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54757" w:rsidR="00F807BA" w:rsidP="00F807BA" w:rsidRDefault="00F807BA" w14:paraId="0AD8A541" w14:textId="2B71537C">
      <w:pPr>
        <w:spacing w:after="0" w:line="240" w:lineRule="auto"/>
        <w:contextualSpacing/>
        <w:jc w:val="both"/>
        <w:rPr>
          <w:rFonts w:ascii="Arial" w:hAnsi="Arial" w:eastAsia="Calibri" w:cs="Arial"/>
          <w:b/>
          <w:lang w:val="es-MX" w:eastAsia="es-MX"/>
        </w:rPr>
      </w:pPr>
      <w:r w:rsidRPr="00F54757">
        <w:rPr>
          <w:rFonts w:ascii="Arial" w:hAnsi="Arial" w:eastAsia="Calibri" w:cs="Arial"/>
          <w:b/>
          <w:lang w:val="es-MX" w:eastAsia="es-MX"/>
        </w:rPr>
        <w:t xml:space="preserve">LEY DE GARANTÍAS ELECTORALES – Definición – Finalidad </w:t>
      </w:r>
    </w:p>
    <w:p w:rsidR="00F807BA" w:rsidP="00F807BA" w:rsidRDefault="00F807BA" w14:paraId="34486862" w14:textId="77777777">
      <w:pPr>
        <w:spacing w:after="0" w:line="240" w:lineRule="auto"/>
        <w:contextualSpacing/>
        <w:jc w:val="both"/>
        <w:rPr>
          <w:rFonts w:ascii="Arial" w:hAnsi="Arial" w:eastAsia="Calibri" w:cs="Arial"/>
          <w:b/>
          <w:sz w:val="20"/>
          <w:szCs w:val="20"/>
          <w:lang w:val="es-MX" w:eastAsia="es-MX"/>
        </w:rPr>
      </w:pPr>
    </w:p>
    <w:p w:rsidR="00F807BA" w:rsidP="00F807BA" w:rsidRDefault="00F807BA" w14:paraId="58D9532A" w14:textId="77777777">
      <w:pPr>
        <w:spacing w:after="0" w:line="240" w:lineRule="auto"/>
        <w:contextualSpacing/>
        <w:jc w:val="both"/>
        <w:rPr>
          <w:rFonts w:ascii="Arial" w:hAnsi="Arial" w:eastAsia="Times New Roman" w:cs="Arial"/>
          <w:bCs/>
          <w:sz w:val="20"/>
          <w:szCs w:val="20"/>
          <w:lang w:val="es-MX" w:eastAsia="es-CO"/>
        </w:rPr>
      </w:pPr>
      <w:r w:rsidRPr="00F54757">
        <w:rPr>
          <w:rFonts w:ascii="Arial" w:hAnsi="Arial" w:eastAsia="Times New Roman" w:cs="Arial"/>
          <w:bCs/>
          <w:sz w:val="20"/>
          <w:szCs w:val="20"/>
          <w:lang w:val="es-MX" w:eastAsia="es-CO"/>
        </w:rPr>
        <w:t xml:space="preserve">[…] </w:t>
      </w:r>
      <w:r w:rsidRPr="00CB0635">
        <w:rPr>
          <w:rFonts w:ascii="Arial" w:hAnsi="Arial" w:eastAsia="Times New Roman" w:cs="Arial"/>
          <w:bCs/>
          <w:sz w:val="20"/>
          <w:szCs w:val="20"/>
          <w:lang w:val="es-MX" w:eastAsia="es-CO"/>
        </w:rPr>
        <w:t>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rsidRPr="00CB0635" w:rsidR="00F807BA" w:rsidP="00F807BA" w:rsidRDefault="00F807BA" w14:paraId="24584AC0" w14:textId="77777777">
      <w:pPr>
        <w:spacing w:after="0" w:line="240" w:lineRule="auto"/>
        <w:contextualSpacing/>
        <w:jc w:val="both"/>
        <w:rPr>
          <w:rFonts w:ascii="Arial" w:hAnsi="Arial" w:eastAsia="Times New Roman" w:cs="Arial"/>
          <w:bCs/>
          <w:sz w:val="20"/>
          <w:szCs w:val="20"/>
          <w:lang w:val="es-MX" w:eastAsia="es-CO"/>
        </w:rPr>
      </w:pPr>
    </w:p>
    <w:p w:rsidRPr="00CB0635" w:rsidR="00F807BA" w:rsidP="00F807BA" w:rsidRDefault="00F807BA" w14:paraId="6A386F14" w14:textId="77777777">
      <w:pPr>
        <w:spacing w:after="0" w:line="240" w:lineRule="auto"/>
        <w:contextualSpacing/>
        <w:jc w:val="both"/>
        <w:rPr>
          <w:rFonts w:ascii="Arial" w:hAnsi="Arial" w:eastAsia="Times New Roman" w:cs="Arial"/>
          <w:bCs/>
          <w:sz w:val="20"/>
          <w:szCs w:val="20"/>
          <w:lang w:val="es-MX" w:eastAsia="es-CO"/>
        </w:rPr>
      </w:pPr>
      <w:r w:rsidRPr="00F54757">
        <w:rPr>
          <w:rFonts w:ascii="Arial" w:hAnsi="Arial" w:eastAsia="Times New Roman" w:cs="Arial"/>
          <w:bCs/>
          <w:sz w:val="20"/>
          <w:szCs w:val="20"/>
          <w:lang w:val="es-MX" w:eastAsia="es-CO"/>
        </w:rPr>
        <w:t xml:space="preserve">[…] </w:t>
      </w:r>
      <w:r w:rsidRPr="00CB0635">
        <w:rPr>
          <w:rFonts w:ascii="Arial" w:hAnsi="Arial" w:eastAsia="Times New Roman" w:cs="Arial"/>
          <w:bCs/>
          <w:sz w:val="20"/>
          <w:szCs w:val="20"/>
          <w:lang w:val="es-MX"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rsidR="00F807BA" w:rsidP="00F807BA" w:rsidRDefault="00F807BA" w14:paraId="120A4F79" w14:textId="77777777">
      <w:pPr>
        <w:spacing w:after="0" w:line="240" w:lineRule="auto"/>
        <w:jc w:val="both"/>
        <w:rPr>
          <w:rFonts w:ascii="Arial" w:hAnsi="Arial" w:eastAsia="Calibri" w:cs="Arial"/>
          <w:b/>
          <w:lang w:val="es-MX" w:eastAsia="es-MX"/>
        </w:rPr>
      </w:pPr>
    </w:p>
    <w:p w:rsidRPr="00F54757" w:rsidR="00F807BA" w:rsidP="00F807BA" w:rsidRDefault="00F807BA" w14:paraId="30979C71" w14:textId="77777777">
      <w:pPr>
        <w:spacing w:after="0" w:line="240" w:lineRule="auto"/>
        <w:jc w:val="both"/>
        <w:rPr>
          <w:rFonts w:ascii="Arial" w:hAnsi="Arial" w:eastAsia="Calibri" w:cs="Arial"/>
          <w:b/>
          <w:lang w:val="es-MX" w:eastAsia="es-MX"/>
        </w:rPr>
      </w:pPr>
      <w:r w:rsidRPr="00F54757">
        <w:rPr>
          <w:rFonts w:ascii="Arial" w:hAnsi="Arial" w:eastAsia="Calibri" w:cs="Arial"/>
          <w:b/>
          <w:lang w:val="es-MX" w:eastAsia="es-MX"/>
        </w:rPr>
        <w:t xml:space="preserve">LEY DE GARANTÍAS ELECTORALES – Prohibiciones </w:t>
      </w:r>
    </w:p>
    <w:p w:rsidRPr="00F54757" w:rsidR="00F807BA" w:rsidP="00F807BA" w:rsidRDefault="00F807BA" w14:paraId="43595977" w14:textId="77777777">
      <w:pPr>
        <w:spacing w:after="0" w:line="240" w:lineRule="auto"/>
        <w:contextualSpacing/>
        <w:jc w:val="both"/>
        <w:rPr>
          <w:rFonts w:ascii="Arial" w:hAnsi="Arial" w:eastAsia="Calibri" w:cs="Arial"/>
          <w:b/>
          <w:sz w:val="20"/>
          <w:szCs w:val="20"/>
          <w:lang w:val="es-MX" w:eastAsia="es-MX"/>
        </w:rPr>
      </w:pPr>
    </w:p>
    <w:p w:rsidR="00F807BA" w:rsidP="00F807BA" w:rsidRDefault="00F807BA" w14:paraId="55CA0FD5" w14:textId="77777777">
      <w:pPr>
        <w:spacing w:after="0" w:line="240" w:lineRule="auto"/>
        <w:contextualSpacing/>
        <w:jc w:val="both"/>
        <w:rPr>
          <w:rFonts w:ascii="Arial" w:hAnsi="Arial" w:eastAsia="Calibri" w:cs="Arial"/>
          <w:bCs/>
          <w:sz w:val="20"/>
          <w:szCs w:val="20"/>
          <w:lang w:val="es-MX" w:eastAsia="es-MX"/>
        </w:rPr>
      </w:pPr>
      <w:r w:rsidRPr="00CB0635">
        <w:rPr>
          <w:rFonts w:ascii="Arial" w:hAnsi="Arial" w:eastAsia="Calibri" w:cs="Arial"/>
          <w:bCs/>
          <w:sz w:val="20"/>
          <w:szCs w:val="20"/>
          <w:lang w:val="es-MX" w:eastAsia="es-MX"/>
        </w:rPr>
        <w:t>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rsidRPr="00CB0635" w:rsidR="00F807BA" w:rsidP="00F807BA" w:rsidRDefault="00F807BA" w14:paraId="43CE43E8" w14:textId="77777777">
      <w:pPr>
        <w:spacing w:after="0" w:line="240" w:lineRule="auto"/>
        <w:contextualSpacing/>
        <w:jc w:val="both"/>
        <w:rPr>
          <w:rFonts w:ascii="Arial" w:hAnsi="Arial" w:eastAsia="Calibri" w:cs="Arial"/>
          <w:bCs/>
          <w:sz w:val="20"/>
          <w:szCs w:val="20"/>
          <w:lang w:val="es-MX" w:eastAsia="es-MX"/>
        </w:rPr>
      </w:pPr>
    </w:p>
    <w:p w:rsidRPr="00CB0635" w:rsidR="00F807BA" w:rsidP="00F807BA" w:rsidRDefault="00F807BA" w14:paraId="5B0FF9D7" w14:textId="77777777">
      <w:pPr>
        <w:spacing w:after="0" w:line="240" w:lineRule="auto"/>
        <w:contextualSpacing/>
        <w:jc w:val="both"/>
        <w:rPr>
          <w:rFonts w:ascii="Arial" w:hAnsi="Arial" w:eastAsia="Calibri" w:cs="Arial"/>
          <w:bCs/>
          <w:sz w:val="20"/>
          <w:szCs w:val="20"/>
          <w:lang w:val="es-MX" w:eastAsia="es-MX"/>
        </w:rPr>
      </w:pPr>
      <w:r w:rsidRPr="00CB0635">
        <w:rPr>
          <w:rFonts w:ascii="Arial" w:hAnsi="Arial" w:eastAsia="Calibri" w:cs="Arial"/>
          <w:bCs/>
          <w:sz w:val="20"/>
          <w:szCs w:val="20"/>
          <w:lang w:val="es-MX" w:eastAsia="es-MX"/>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rsidR="00F807BA" w:rsidP="00F807BA" w:rsidRDefault="00F807BA" w14:paraId="0EF08FCA" w14:textId="77777777">
      <w:pPr>
        <w:spacing w:after="0" w:line="240" w:lineRule="auto"/>
        <w:contextualSpacing/>
        <w:jc w:val="both"/>
        <w:rPr>
          <w:rFonts w:ascii="Arial" w:hAnsi="Arial" w:eastAsia="Calibri" w:cs="Arial"/>
          <w:bCs/>
          <w:sz w:val="20"/>
          <w:szCs w:val="20"/>
          <w:lang w:val="es-MX" w:eastAsia="es-MX"/>
        </w:rPr>
      </w:pPr>
    </w:p>
    <w:p w:rsidRPr="00FD1215" w:rsidR="00F807BA" w:rsidP="00F807BA" w:rsidRDefault="00F807BA" w14:paraId="3DC8F453" w14:textId="77777777">
      <w:pPr>
        <w:spacing w:after="0" w:line="240" w:lineRule="auto"/>
        <w:contextualSpacing/>
        <w:jc w:val="both"/>
        <w:rPr>
          <w:rFonts w:ascii="Arial" w:hAnsi="Arial" w:eastAsia="Calibri" w:cs="Arial"/>
          <w:bCs/>
          <w:sz w:val="20"/>
          <w:szCs w:val="20"/>
          <w:lang w:val="es-MX" w:eastAsia="es-MX"/>
        </w:rPr>
      </w:pPr>
      <w:r w:rsidRPr="00CB0635">
        <w:rPr>
          <w:rFonts w:ascii="Arial" w:hAnsi="Arial" w:eastAsia="Calibri" w:cs="Arial"/>
          <w:bCs/>
          <w:sz w:val="20"/>
          <w:szCs w:val="20"/>
          <w:lang w:val="es-MX" w:eastAsia="es-MX"/>
        </w:rPr>
        <w:t xml:space="preserve">Por otro lado, el parágrafo del artículo 38 de la Ley 996 de 2005 –modificado transitoriamente por el artículo 124 de la Ley 2159 de 2021–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w:t>
      </w:r>
      <w:r w:rsidRPr="00FD1215">
        <w:rPr>
          <w:rFonts w:ascii="Arial" w:hAnsi="Arial" w:eastAsia="Calibri" w:cs="Arial"/>
          <w:bCs/>
          <w:sz w:val="20"/>
          <w:szCs w:val="20"/>
          <w:lang w:val="es-MX" w:eastAsia="es-MX"/>
        </w:rPr>
        <w:t>promover y destinar recursos públicos de las entidades a su cargo, como tampoco de las que participen como miembros de sus juntas directivas, en o para reuniones de carácter proselitista»</w:t>
      </w:r>
    </w:p>
    <w:p w:rsidRPr="00FD1215" w:rsidR="00F807BA" w:rsidP="00F807BA" w:rsidRDefault="00F807BA" w14:paraId="6151F9FA" w14:textId="77777777">
      <w:pPr>
        <w:spacing w:after="0" w:line="240" w:lineRule="auto"/>
        <w:contextualSpacing/>
        <w:jc w:val="both"/>
        <w:rPr>
          <w:rFonts w:ascii="Arial" w:hAnsi="Arial" w:eastAsia="Calibri" w:cs="Arial"/>
          <w:b/>
          <w:sz w:val="20"/>
          <w:szCs w:val="20"/>
          <w:lang w:val="es-MX" w:eastAsia="es-MX"/>
        </w:rPr>
      </w:pPr>
    </w:p>
    <w:p w:rsidRPr="00FD1215" w:rsidR="00F807BA" w:rsidP="00F807BA" w:rsidRDefault="00F807BA" w14:paraId="20EFE641" w14:textId="77777777">
      <w:pPr>
        <w:tabs>
          <w:tab w:val="left" w:pos="426"/>
        </w:tabs>
        <w:spacing w:after="0" w:line="240" w:lineRule="auto"/>
        <w:contextualSpacing/>
        <w:jc w:val="both"/>
        <w:rPr>
          <w:rFonts w:ascii="Arial" w:hAnsi="Arial" w:eastAsia="Calibri" w:cs="Arial"/>
          <w:b/>
          <w:bCs/>
          <w:lang w:val="es-MX"/>
        </w:rPr>
      </w:pPr>
      <w:bookmarkStart w:name="_Hlk77165666" w:id="0"/>
      <w:r w:rsidRPr="00FD1215">
        <w:rPr>
          <w:rFonts w:ascii="Arial" w:hAnsi="Arial" w:eastAsia="Calibri" w:cs="Arial"/>
          <w:b/>
          <w:bCs/>
          <w:lang w:val="es-MX"/>
        </w:rPr>
        <w:lastRenderedPageBreak/>
        <w:t xml:space="preserve">LEY DE GARANTÍAS ELECTORALES ─ Prohibición artículo 33 ‒ </w:t>
      </w:r>
      <w:bookmarkEnd w:id="0"/>
      <w:r w:rsidRPr="00FD1215">
        <w:rPr>
          <w:rFonts w:ascii="Arial" w:hAnsi="Arial" w:eastAsia="Calibri" w:cs="Arial"/>
          <w:b/>
          <w:bCs/>
          <w:lang w:val="es-MX"/>
        </w:rPr>
        <w:t xml:space="preserve">Contratación directa ‒ Alcance </w:t>
      </w:r>
    </w:p>
    <w:p w:rsidRPr="00FD1215" w:rsidR="00F807BA" w:rsidP="00F807BA" w:rsidRDefault="00F807BA" w14:paraId="2E611DD0" w14:textId="77777777">
      <w:pPr>
        <w:tabs>
          <w:tab w:val="left" w:pos="426"/>
        </w:tabs>
        <w:spacing w:after="0" w:line="240" w:lineRule="auto"/>
        <w:contextualSpacing/>
        <w:jc w:val="both"/>
        <w:rPr>
          <w:rFonts w:ascii="Arial" w:hAnsi="Arial" w:eastAsia="Calibri" w:cs="Arial"/>
          <w:noProof/>
          <w:lang w:val="es-MX"/>
        </w:rPr>
      </w:pPr>
    </w:p>
    <w:p w:rsidRPr="00FD1215" w:rsidR="00F807BA" w:rsidP="00F807BA" w:rsidRDefault="00F807BA" w14:paraId="5EC17201" w14:textId="77777777">
      <w:pPr>
        <w:spacing w:after="0" w:line="240" w:lineRule="auto"/>
        <w:contextualSpacing/>
        <w:jc w:val="both"/>
        <w:rPr>
          <w:rFonts w:ascii="Arial" w:hAnsi="Arial" w:eastAsia="Calibri" w:cs="Arial"/>
          <w:bCs/>
          <w:sz w:val="20"/>
          <w:szCs w:val="20"/>
          <w:lang w:val="es-MX" w:eastAsia="es-MX"/>
        </w:rPr>
      </w:pPr>
      <w:r w:rsidRPr="00FD1215">
        <w:rPr>
          <w:rFonts w:ascii="Arial" w:hAnsi="Arial" w:eastAsia="Calibri" w:cs="Arial"/>
          <w:bCs/>
          <w:sz w:val="20"/>
          <w:szCs w:val="20"/>
          <w:lang w:val="es-MX" w:eastAsia="es-MX"/>
        </w:rPr>
        <w:t xml:space="preserve">[…]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 </w:t>
      </w:r>
    </w:p>
    <w:p w:rsidRPr="00FD1215" w:rsidR="00F807BA" w:rsidP="00F807BA" w:rsidRDefault="00F807BA" w14:paraId="3E3F681B" w14:textId="77777777">
      <w:pPr>
        <w:spacing w:after="0" w:line="240" w:lineRule="auto"/>
        <w:contextualSpacing/>
        <w:jc w:val="both"/>
        <w:rPr>
          <w:rFonts w:ascii="Arial" w:hAnsi="Arial" w:eastAsia="Calibri" w:cs="Arial"/>
          <w:bCs/>
          <w:sz w:val="20"/>
          <w:szCs w:val="20"/>
          <w:lang w:val="es-MX" w:eastAsia="es-MX"/>
        </w:rPr>
      </w:pPr>
    </w:p>
    <w:p w:rsidRPr="00FD1215" w:rsidR="00F807BA" w:rsidP="00F807BA" w:rsidRDefault="00F807BA" w14:paraId="2189A230" w14:textId="77777777">
      <w:pPr>
        <w:spacing w:after="0" w:line="240" w:lineRule="auto"/>
        <w:contextualSpacing/>
        <w:jc w:val="both"/>
        <w:rPr>
          <w:rFonts w:ascii="Arial" w:hAnsi="Arial" w:eastAsia="Calibri" w:cs="Arial"/>
          <w:bCs/>
          <w:sz w:val="20"/>
          <w:szCs w:val="20"/>
          <w:lang w:val="es-MX" w:eastAsia="es-MX"/>
        </w:rPr>
      </w:pPr>
      <w:r w:rsidRPr="00FD1215">
        <w:rPr>
          <w:rFonts w:ascii="Arial" w:hAnsi="Arial" w:eastAsia="Calibri" w:cs="Arial"/>
          <w:bCs/>
          <w:sz w:val="20"/>
          <w:szCs w:val="20"/>
          <w:lang w:val="es-MX" w:eastAsia="es-MX"/>
        </w:rPr>
        <w:t>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procedimientos.</w:t>
      </w:r>
    </w:p>
    <w:p w:rsidRPr="00FD1215" w:rsidR="00F807BA" w:rsidP="00F807BA" w:rsidRDefault="00F807BA" w14:paraId="381FBEC4" w14:textId="77777777">
      <w:pPr>
        <w:spacing w:after="0" w:line="240" w:lineRule="auto"/>
        <w:contextualSpacing/>
        <w:jc w:val="both"/>
        <w:rPr>
          <w:rFonts w:ascii="Arial" w:hAnsi="Arial" w:eastAsia="Times New Roman" w:cs="Arial"/>
          <w:b/>
          <w:bCs/>
          <w:sz w:val="20"/>
          <w:szCs w:val="20"/>
          <w:lang w:val="es-MX" w:eastAsia="es-ES"/>
        </w:rPr>
      </w:pPr>
    </w:p>
    <w:p w:rsidRPr="00FD1215" w:rsidR="00F807BA" w:rsidP="00F807BA" w:rsidRDefault="00F807BA" w14:paraId="34E628F0" w14:textId="77777777">
      <w:pPr>
        <w:shd w:val="clear" w:color="auto" w:fill="FFFFFF"/>
        <w:spacing w:after="0" w:line="240" w:lineRule="auto"/>
        <w:contextualSpacing/>
        <w:jc w:val="both"/>
        <w:rPr>
          <w:rFonts w:ascii="Arial" w:hAnsi="Arial" w:eastAsia="Times New Roman" w:cs="Arial"/>
          <w:b/>
          <w:bCs/>
          <w:lang w:eastAsia="es-CO"/>
        </w:rPr>
      </w:pPr>
      <w:r w:rsidRPr="00FD1215">
        <w:rPr>
          <w:rFonts w:ascii="Arial" w:hAnsi="Arial" w:eastAsia="Times New Roman" w:cs="Arial"/>
          <w:b/>
          <w:bCs/>
          <w:lang w:eastAsia="es-CO"/>
        </w:rPr>
        <w:t xml:space="preserve">LEY DE GARANTÍAS ELECTORALES </w:t>
      </w:r>
      <w:r w:rsidRPr="00FD1215">
        <w:rPr>
          <w:rFonts w:ascii="Arial" w:hAnsi="Arial" w:eastAsia="Calibri" w:cs="Arial"/>
          <w:b/>
          <w:bCs/>
          <w:lang w:val="es-MX"/>
        </w:rPr>
        <w:t xml:space="preserve">─ Prohibición artículo 33 ‒ </w:t>
      </w:r>
      <w:r w:rsidRPr="00FD1215">
        <w:rPr>
          <w:rFonts w:ascii="Arial" w:hAnsi="Arial" w:eastAsia="Times New Roman" w:cs="Arial"/>
          <w:b/>
          <w:bCs/>
          <w:lang w:eastAsia="es-CO"/>
        </w:rPr>
        <w:t>Excepciones</w:t>
      </w:r>
    </w:p>
    <w:p w:rsidRPr="00FD1215" w:rsidR="00F807BA" w:rsidP="00F807BA" w:rsidRDefault="00F807BA" w14:paraId="7CBD60D1" w14:textId="77777777">
      <w:pPr>
        <w:shd w:val="clear" w:color="auto" w:fill="FFFFFF"/>
        <w:spacing w:after="0" w:line="240" w:lineRule="auto"/>
        <w:contextualSpacing/>
        <w:jc w:val="both"/>
        <w:rPr>
          <w:rFonts w:ascii="Arial" w:hAnsi="Arial" w:eastAsia="Times New Roman" w:cs="Arial"/>
          <w:b/>
          <w:lang w:eastAsia="es-CO"/>
        </w:rPr>
      </w:pPr>
    </w:p>
    <w:p w:rsidRPr="00785EE3" w:rsidR="00F807BA" w:rsidP="00F807BA" w:rsidRDefault="00F807BA" w14:paraId="083825C5" w14:textId="77777777">
      <w:pPr>
        <w:spacing w:after="0" w:line="240" w:lineRule="auto"/>
        <w:contextualSpacing/>
        <w:jc w:val="both"/>
        <w:rPr>
          <w:rFonts w:ascii="Arial" w:hAnsi="Arial" w:eastAsia="Calibri" w:cs="Arial"/>
          <w:bCs/>
          <w:sz w:val="20"/>
          <w:szCs w:val="20"/>
          <w:lang w:val="es-MX" w:eastAsia="es-MX"/>
        </w:rPr>
      </w:pPr>
      <w:r w:rsidRPr="00FD1215">
        <w:rPr>
          <w:rFonts w:ascii="Arial" w:hAnsi="Arial" w:eastAsia="Calibri" w:cs="Arial"/>
          <w:bCs/>
          <w:sz w:val="20"/>
          <w:szCs w:val="20"/>
          <w:lang w:val="es-MX" w:eastAsia="es-MX"/>
        </w:rPr>
        <w:t xml:space="preserve">[…],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w:t>
      </w:r>
      <w:r w:rsidRPr="00785EE3">
        <w:rPr>
          <w:rFonts w:ascii="Arial" w:hAnsi="Arial" w:eastAsia="Calibri" w:cs="Arial"/>
          <w:bCs/>
          <w:sz w:val="20"/>
          <w:szCs w:val="20"/>
          <w:lang w:val="es-MX" w:eastAsia="es-MX"/>
        </w:rPr>
        <w:t xml:space="preserve">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 </w:t>
      </w:r>
    </w:p>
    <w:p w:rsidRPr="00785EE3" w:rsidR="00F807BA" w:rsidP="00F807BA" w:rsidRDefault="00F807BA" w14:paraId="6D0DA325" w14:textId="77777777">
      <w:pPr>
        <w:spacing w:after="0" w:line="240" w:lineRule="auto"/>
        <w:contextualSpacing/>
        <w:jc w:val="both"/>
        <w:rPr>
          <w:rFonts w:ascii="Arial" w:hAnsi="Arial" w:eastAsia="Calibri" w:cs="Arial"/>
          <w:bCs/>
          <w:sz w:val="20"/>
          <w:szCs w:val="20"/>
          <w:lang w:val="es-MX" w:eastAsia="es-MX"/>
        </w:rPr>
      </w:pPr>
    </w:p>
    <w:p w:rsidRPr="00785EE3" w:rsidR="00F807BA" w:rsidP="00F807BA" w:rsidRDefault="00F807BA" w14:paraId="3F38C591" w14:textId="77777777">
      <w:pPr>
        <w:spacing w:after="0" w:line="240" w:lineRule="auto"/>
        <w:jc w:val="both"/>
        <w:rPr>
          <w:rFonts w:ascii="Arial" w:hAnsi="Arial" w:eastAsia="Times New Roman" w:cs="Arial"/>
          <w:b/>
          <w:lang w:val="es-ES" w:eastAsia="es-CO"/>
        </w:rPr>
      </w:pPr>
      <w:r w:rsidRPr="00785EE3">
        <w:rPr>
          <w:rFonts w:ascii="Arial" w:hAnsi="Arial" w:eastAsia="Times New Roman" w:cs="Arial"/>
          <w:b/>
          <w:bCs/>
          <w:lang w:eastAsia="es-CO"/>
        </w:rPr>
        <w:t xml:space="preserve">LEY DE GARANTÍAS ELECTORALES </w:t>
      </w:r>
      <w:bookmarkStart w:name="_Hlk77166669" w:id="1"/>
      <w:r w:rsidRPr="00785EE3">
        <w:rPr>
          <w:rFonts w:ascii="Arial" w:hAnsi="Arial" w:eastAsia="Times New Roman" w:cs="Arial"/>
          <w:b/>
          <w:bCs/>
          <w:lang w:eastAsia="es-CO"/>
        </w:rPr>
        <w:t>‒</w:t>
      </w:r>
      <w:bookmarkEnd w:id="1"/>
      <w:r w:rsidRPr="00785EE3">
        <w:rPr>
          <w:rFonts w:ascii="Arial" w:hAnsi="Arial" w:eastAsia="Times New Roman" w:cs="Arial"/>
          <w:b/>
          <w:bCs/>
          <w:lang w:eastAsia="es-CO"/>
        </w:rPr>
        <w:t xml:space="preserve"> </w:t>
      </w:r>
      <w:r w:rsidRPr="00785EE3">
        <w:rPr>
          <w:rFonts w:ascii="Arial" w:hAnsi="Arial" w:eastAsia="Times New Roman" w:cs="Arial"/>
          <w:b/>
          <w:lang w:val="es-ES" w:eastAsia="es-CO"/>
        </w:rPr>
        <w:t xml:space="preserve">Prohibición del artículo 33 </w:t>
      </w:r>
      <w:r w:rsidRPr="00785EE3">
        <w:rPr>
          <w:rFonts w:ascii="Arial" w:hAnsi="Arial" w:eastAsia="Times New Roman" w:cs="Arial"/>
          <w:b/>
          <w:bCs/>
          <w:lang w:eastAsia="es-CO"/>
        </w:rPr>
        <w:t>‒ Destinatarios</w:t>
      </w:r>
    </w:p>
    <w:p w:rsidRPr="00785EE3" w:rsidR="00F807BA" w:rsidP="00F807BA" w:rsidRDefault="00F807BA" w14:paraId="000020B9" w14:textId="77777777">
      <w:pPr>
        <w:spacing w:after="0" w:line="240" w:lineRule="auto"/>
        <w:contextualSpacing/>
        <w:jc w:val="both"/>
        <w:rPr>
          <w:rFonts w:ascii="Arial" w:hAnsi="Arial" w:eastAsia="Calibri" w:cs="Arial"/>
          <w:bCs/>
          <w:sz w:val="20"/>
          <w:szCs w:val="20"/>
          <w:lang w:val="es-MX" w:eastAsia="es-MX"/>
        </w:rPr>
      </w:pPr>
    </w:p>
    <w:p w:rsidRPr="00785EE3" w:rsidR="00F807BA" w:rsidP="00F807BA" w:rsidRDefault="00F807BA" w14:paraId="1FF412E7" w14:textId="77777777">
      <w:pPr>
        <w:spacing w:after="0" w:line="240" w:lineRule="auto"/>
        <w:contextualSpacing/>
        <w:jc w:val="both"/>
        <w:rPr>
          <w:rFonts w:ascii="Arial" w:hAnsi="Arial" w:eastAsia="Calibri" w:cs="Arial"/>
          <w:bCs/>
          <w:sz w:val="20"/>
          <w:szCs w:val="20"/>
          <w:lang w:val="es-MX" w:eastAsia="es-MX"/>
        </w:rPr>
      </w:pPr>
      <w:r w:rsidRPr="00785EE3">
        <w:rPr>
          <w:rFonts w:ascii="Arial" w:hAnsi="Arial" w:eastAsia="Calibri" w:cs="Arial"/>
          <w:bCs/>
          <w:sz w:val="20"/>
          <w:szCs w:val="20"/>
          <w:lang w:val="es-MX" w:eastAsia="es-MX"/>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rsidRPr="00785EE3" w:rsidR="00F807BA" w:rsidP="00F807BA" w:rsidRDefault="00F807BA" w14:paraId="7185FC83" w14:textId="77777777">
      <w:pPr>
        <w:spacing w:after="0" w:line="240" w:lineRule="auto"/>
        <w:contextualSpacing/>
        <w:jc w:val="both"/>
        <w:rPr>
          <w:rFonts w:ascii="Arial" w:hAnsi="Arial" w:eastAsia="Calibri" w:cs="Arial"/>
          <w:bCs/>
          <w:sz w:val="20"/>
          <w:szCs w:val="20"/>
          <w:lang w:val="es-MX" w:eastAsia="es-MX"/>
        </w:rPr>
      </w:pPr>
    </w:p>
    <w:p w:rsidRPr="00480EAE" w:rsidR="00F807BA" w:rsidP="00F807BA" w:rsidRDefault="00F807BA" w14:paraId="3C3517FD" w14:textId="77777777">
      <w:pPr>
        <w:spacing w:after="0" w:line="240" w:lineRule="auto"/>
        <w:contextualSpacing/>
        <w:jc w:val="both"/>
        <w:rPr>
          <w:rFonts w:ascii="Arial" w:hAnsi="Arial" w:eastAsia="Calibri" w:cs="Arial"/>
          <w:bCs/>
          <w:sz w:val="20"/>
          <w:szCs w:val="20"/>
          <w:lang w:val="es-MX" w:eastAsia="es-MX"/>
        </w:rPr>
      </w:pPr>
      <w:r w:rsidRPr="00785EE3">
        <w:rPr>
          <w:rFonts w:ascii="Arial" w:hAnsi="Arial" w:eastAsia="Calibri" w:cs="Arial"/>
          <w:bCs/>
          <w:sz w:val="20"/>
          <w:szCs w:val="20"/>
          <w:lang w:val="es-MX" w:eastAsia="es-MX"/>
        </w:rPr>
        <w:t xml:space="preserve">Por lo tanto, la restricción prevista en la Ley 996 de 2005, teniendo en cuenta la finalidad de la ley de garantías electorales, cobija a cualquier ente público que pueda a través de la </w:t>
      </w:r>
      <w:r w:rsidRPr="00785EE3">
        <w:rPr>
          <w:rFonts w:ascii="Arial" w:hAnsi="Arial" w:eastAsia="Calibri" w:cs="Arial"/>
          <w:bCs/>
          <w:sz w:val="20"/>
          <w:szCs w:val="20"/>
          <w:lang w:val="es-MX" w:eastAsia="es-MX"/>
        </w:rPr>
        <w:lastRenderedPageBreak/>
        <w:t xml:space="preserve">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w:t>
      </w:r>
      <w:r w:rsidRPr="00480EAE">
        <w:rPr>
          <w:rFonts w:ascii="Arial" w:hAnsi="Arial" w:eastAsia="Calibri" w:cs="Arial"/>
          <w:bCs/>
          <w:sz w:val="20"/>
          <w:szCs w:val="20"/>
          <w:lang w:val="es-MX" w:eastAsia="es-MX"/>
        </w:rPr>
        <w:t>regida por normas especiales.</w:t>
      </w:r>
    </w:p>
    <w:p w:rsidRPr="00480EAE" w:rsidR="00F807BA" w:rsidP="00F807BA" w:rsidRDefault="00F807BA" w14:paraId="5BE61C0D" w14:textId="77777777">
      <w:pPr>
        <w:tabs>
          <w:tab w:val="left" w:pos="426"/>
        </w:tabs>
        <w:spacing w:after="0" w:line="240" w:lineRule="auto"/>
        <w:contextualSpacing/>
        <w:jc w:val="both"/>
        <w:rPr>
          <w:rFonts w:ascii="Arial" w:hAnsi="Arial" w:eastAsia="Times New Roman" w:cs="Arial"/>
          <w:bCs/>
          <w:sz w:val="20"/>
          <w:szCs w:val="20"/>
          <w:lang w:val="es-MX" w:eastAsia="x-none"/>
        </w:rPr>
      </w:pPr>
    </w:p>
    <w:p w:rsidRPr="00480EAE" w:rsidR="00F807BA" w:rsidP="00F807BA" w:rsidRDefault="00F807BA" w14:paraId="25CF0214" w14:textId="77777777">
      <w:pPr>
        <w:spacing w:after="0" w:line="240" w:lineRule="auto"/>
        <w:contextualSpacing/>
        <w:jc w:val="both"/>
        <w:rPr>
          <w:rFonts w:ascii="Arial" w:hAnsi="Arial" w:eastAsia="Calibri" w:cs="Arial"/>
          <w:b/>
          <w:lang w:eastAsia="es-ES_tradnl"/>
        </w:rPr>
      </w:pPr>
      <w:r w:rsidRPr="00480EAE">
        <w:rPr>
          <w:rFonts w:ascii="Arial" w:hAnsi="Arial" w:eastAsia="Calibri" w:cs="Arial"/>
          <w:b/>
          <w:lang w:eastAsia="es-ES_tradnl"/>
        </w:rPr>
        <w:t xml:space="preserve">ORGANISMOS INTERNACIONALES – Concepto – </w:t>
      </w:r>
      <w:r>
        <w:rPr>
          <w:rFonts w:ascii="Arial" w:hAnsi="Arial" w:eastAsia="Calibri" w:cs="Arial"/>
          <w:b/>
          <w:lang w:eastAsia="es-ES_tradnl"/>
        </w:rPr>
        <w:t xml:space="preserve">Régimen de </w:t>
      </w:r>
      <w:r w:rsidRPr="00480EAE">
        <w:rPr>
          <w:rFonts w:ascii="Arial" w:hAnsi="Arial" w:eastAsia="Calibri" w:cs="Arial"/>
          <w:b/>
          <w:lang w:eastAsia="es-ES_tradnl"/>
        </w:rPr>
        <w:t xml:space="preserve">Contratación </w:t>
      </w:r>
    </w:p>
    <w:p w:rsidRPr="00480EAE" w:rsidR="00F807BA" w:rsidP="00F807BA" w:rsidRDefault="00F807BA" w14:paraId="118F8D90" w14:textId="77777777">
      <w:pPr>
        <w:spacing w:after="0" w:line="240" w:lineRule="auto"/>
        <w:contextualSpacing/>
        <w:jc w:val="both"/>
        <w:rPr>
          <w:rFonts w:ascii="Arial" w:hAnsi="Arial" w:eastAsia="Calibri" w:cs="Arial"/>
          <w:bCs/>
          <w:sz w:val="20"/>
          <w:szCs w:val="20"/>
          <w:lang w:val="es-MX" w:eastAsia="es-MX"/>
        </w:rPr>
      </w:pPr>
    </w:p>
    <w:p w:rsidRPr="008D3FF0" w:rsidR="00F807BA" w:rsidP="00F807BA" w:rsidRDefault="00F807BA" w14:paraId="4B368E0D" w14:textId="77777777">
      <w:pPr>
        <w:spacing w:after="0" w:line="240" w:lineRule="auto"/>
        <w:contextualSpacing/>
        <w:jc w:val="both"/>
        <w:rPr>
          <w:rFonts w:ascii="Arial" w:hAnsi="Arial" w:eastAsia="Calibri" w:cs="Arial"/>
          <w:bCs/>
          <w:sz w:val="20"/>
          <w:szCs w:val="20"/>
          <w:lang w:val="es-MX" w:eastAsia="es-MX"/>
        </w:rPr>
      </w:pPr>
      <w:r w:rsidRPr="00480EAE">
        <w:rPr>
          <w:rFonts w:ascii="Arial" w:hAnsi="Arial" w:eastAsia="Calibri" w:cs="Arial"/>
          <w:bCs/>
          <w:sz w:val="20"/>
          <w:szCs w:val="20"/>
          <w:lang w:val="es-MX" w:eastAsia="es-MX"/>
        </w:rPr>
        <w:t xml:space="preserve">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w:t>
      </w:r>
      <w:r w:rsidRPr="008D3FF0">
        <w:rPr>
          <w:rFonts w:ascii="Arial" w:hAnsi="Arial" w:eastAsia="Calibri" w:cs="Arial"/>
          <w:bCs/>
          <w:sz w:val="20"/>
          <w:szCs w:val="20"/>
          <w:lang w:val="es-MX" w:eastAsia="es-MX"/>
        </w:rPr>
        <w:t xml:space="preserve">operatividad,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rsidRPr="008D3FF0" w:rsidR="00F807BA" w:rsidP="00F807BA" w:rsidRDefault="00F807BA" w14:paraId="06F4602B" w14:textId="77777777">
      <w:pPr>
        <w:spacing w:after="0" w:line="240" w:lineRule="auto"/>
        <w:contextualSpacing/>
        <w:jc w:val="both"/>
        <w:rPr>
          <w:rFonts w:ascii="Arial" w:hAnsi="Arial" w:eastAsia="Calibri" w:cs="Arial"/>
          <w:bCs/>
          <w:sz w:val="20"/>
          <w:szCs w:val="20"/>
          <w:lang w:val="es-MX" w:eastAsia="es-MX"/>
        </w:rPr>
      </w:pPr>
    </w:p>
    <w:p w:rsidRPr="008D3FF0" w:rsidR="00F807BA" w:rsidP="00F807BA" w:rsidRDefault="00F807BA" w14:paraId="681A041F" w14:textId="77777777">
      <w:pPr>
        <w:spacing w:after="0" w:line="240" w:lineRule="auto"/>
        <w:contextualSpacing/>
        <w:jc w:val="both"/>
        <w:rPr>
          <w:rFonts w:ascii="Arial" w:hAnsi="Arial" w:eastAsia="Calibri" w:cs="Arial"/>
          <w:bCs/>
          <w:sz w:val="20"/>
          <w:szCs w:val="20"/>
          <w:lang w:val="es-MX" w:eastAsia="es-MX"/>
        </w:rPr>
      </w:pPr>
      <w:r w:rsidRPr="008D3FF0">
        <w:rPr>
          <w:rFonts w:ascii="Arial" w:hAnsi="Arial" w:eastAsia="Calibri" w:cs="Arial"/>
          <w:bCs/>
          <w:sz w:val="20"/>
          <w:szCs w:val="20"/>
          <w:lang w:val="es-MX" w:eastAsia="es-MX"/>
        </w:rPr>
        <w:t xml:space="preserve">El artículo 13 de la Ley 80 de 1993 regula de forma general el régimen aplicable a los contratos que celebren las entidades referidas en el artículo segundo del estatuto, señalando en el inciso primero, como primer criterio, la aplicabilidad de las disposiciones civiles y comerciales nacionales, sin perjuicio de la aplicación prevalente de las contenidas en el Estatuto General de Contratación de la Administración Pública.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p>
    <w:p w:rsidRPr="00480EAE" w:rsidR="00F807BA" w:rsidP="00F807BA" w:rsidRDefault="00F807BA" w14:paraId="491D036F" w14:textId="77777777">
      <w:pPr>
        <w:spacing w:after="0" w:line="240" w:lineRule="auto"/>
        <w:contextualSpacing/>
        <w:jc w:val="both"/>
        <w:rPr>
          <w:rFonts w:ascii="Arial" w:hAnsi="Arial" w:eastAsia="Calibri" w:cs="Arial"/>
          <w:b/>
          <w:lang w:eastAsia="es-ES_tradnl"/>
        </w:rPr>
      </w:pPr>
    </w:p>
    <w:p w:rsidRPr="00480EAE" w:rsidR="00F807BA" w:rsidP="1DE80B7B" w:rsidRDefault="00F807BA" w14:paraId="7919A1EC" w14:textId="41693C6D">
      <w:pPr>
        <w:pStyle w:val="Normal"/>
        <w:spacing w:after="0" w:line="240" w:lineRule="auto"/>
        <w:contextualSpacing/>
        <w:jc w:val="both"/>
        <w:rPr>
          <w:rFonts w:ascii="Arial" w:hAnsi="Arial" w:eastAsia="Calibri" w:cs="Arial"/>
          <w:b w:val="1"/>
          <w:bCs w:val="1"/>
          <w:lang w:eastAsia="es-ES"/>
        </w:rPr>
      </w:pPr>
      <w:r w:rsidRPr="1DE80B7B" w:rsidR="1DE80B7B">
        <w:rPr>
          <w:rFonts w:ascii="Arial" w:hAnsi="Arial" w:eastAsia="Arial" w:cs="Arial"/>
          <w:b w:val="1"/>
          <w:bCs w:val="1"/>
          <w:noProof w:val="0"/>
          <w:sz w:val="22"/>
          <w:szCs w:val="22"/>
          <w:lang w:val="es-CO"/>
        </w:rPr>
        <w:t xml:space="preserve">ORGANISMOS INTERNACIONALES – </w:t>
      </w:r>
      <w:r w:rsidRPr="1DE80B7B" w:rsidR="00F807BA">
        <w:rPr>
          <w:rFonts w:ascii="Arial" w:hAnsi="Arial" w:eastAsia="Calibri" w:cs="Arial"/>
          <w:b w:val="1"/>
          <w:bCs w:val="1"/>
          <w:lang w:eastAsia="es-ES"/>
        </w:rPr>
        <w:t xml:space="preserve">Ley de Garantías Electorales – Restricción – Contratación Directa – Artículo 33 – Alcance </w:t>
      </w:r>
    </w:p>
    <w:p w:rsidRPr="00480EAE" w:rsidR="00F807BA" w:rsidP="00F807BA" w:rsidRDefault="00F807BA" w14:paraId="6765CA73" w14:textId="77777777">
      <w:pPr>
        <w:spacing w:after="0" w:line="240" w:lineRule="auto"/>
        <w:contextualSpacing/>
        <w:jc w:val="both"/>
        <w:rPr>
          <w:rFonts w:ascii="Arial" w:hAnsi="Arial" w:eastAsia="Calibri" w:cs="Arial"/>
          <w:bCs/>
          <w:sz w:val="20"/>
          <w:szCs w:val="20"/>
          <w:lang w:val="es-MX" w:eastAsia="es-MX"/>
        </w:rPr>
      </w:pPr>
    </w:p>
    <w:p w:rsidRPr="00480EAE" w:rsidR="00F807BA" w:rsidP="00F807BA" w:rsidRDefault="00F807BA" w14:paraId="47149763" w14:textId="77777777">
      <w:pPr>
        <w:spacing w:after="0" w:line="240" w:lineRule="auto"/>
        <w:contextualSpacing/>
        <w:jc w:val="both"/>
        <w:rPr>
          <w:rFonts w:ascii="Arial" w:hAnsi="Arial" w:eastAsia="Calibri" w:cs="Arial"/>
          <w:bCs/>
          <w:sz w:val="20"/>
          <w:szCs w:val="20"/>
          <w:lang w:val="es-MX" w:eastAsia="es-MX"/>
        </w:rPr>
      </w:pPr>
      <w:r w:rsidRPr="00480EAE">
        <w:rPr>
          <w:rFonts w:ascii="Arial" w:hAnsi="Arial" w:eastAsia="Calibri" w:cs="Arial"/>
          <w:bCs/>
          <w:sz w:val="20"/>
          <w:szCs w:val="20"/>
          <w:lang w:val="es-MX" w:eastAsia="es-MX"/>
        </w:rPr>
        <w:t>Ahora bien, para la restricción del artículo 33 de la Ley 996 de 2005 es necesario considerar que el artículo 20 de la Ley 1150 de 2007 consagra un régimen jurídico que exceptúa la aplicación del Estatuto General de Contratación de la Administración Pública. A diferencia del régimen de las empresas de servicios públicos domiciliarios, las empresas industriales y comerciales del Estado, las empresas sociales del Estado, entre otras, la excepción prevista para los contratos suscritos con organismos internacionales –más que privilegiar la competencia económica– flexibiliza el régimen contractual aplicable. Para la doctrina, esta excepción se consagra de acuerdo con el objeto del contrato celebrado, por lo que no se realiza en consideración al sector específico al que pertenece la entidad, la asignación de un esquema legal propio a esta o por la naturaleza del fondo encargado de administrar recursos públicos.</w:t>
      </w:r>
    </w:p>
    <w:p w:rsidR="00F807BA" w:rsidP="00F807BA" w:rsidRDefault="00F807BA" w14:paraId="7C00833C" w14:textId="77777777">
      <w:pPr>
        <w:spacing w:after="0" w:line="240" w:lineRule="auto"/>
        <w:contextualSpacing/>
        <w:jc w:val="both"/>
        <w:rPr>
          <w:rFonts w:ascii="Arial" w:hAnsi="Arial" w:eastAsia="Calibri" w:cs="Arial"/>
          <w:bCs/>
          <w:sz w:val="20"/>
          <w:szCs w:val="20"/>
          <w:lang w:val="es-MX" w:eastAsia="es-MX"/>
        </w:rPr>
      </w:pPr>
    </w:p>
    <w:p w:rsidRPr="00D122BE" w:rsidR="00F807BA" w:rsidP="00F807BA" w:rsidRDefault="00F807BA" w14:paraId="3AB77F92" w14:textId="77777777">
      <w:pPr>
        <w:spacing w:after="0" w:line="240" w:lineRule="auto"/>
        <w:contextualSpacing/>
        <w:jc w:val="both"/>
        <w:rPr>
          <w:rFonts w:ascii="Arial" w:hAnsi="Arial" w:eastAsia="Calibri" w:cs="Arial"/>
          <w:bCs/>
          <w:sz w:val="20"/>
          <w:szCs w:val="20"/>
          <w:lang w:val="es-MX" w:eastAsia="es-MX"/>
        </w:rPr>
      </w:pPr>
      <w:r w:rsidRPr="00D122BE">
        <w:rPr>
          <w:rFonts w:ascii="Arial" w:hAnsi="Arial" w:eastAsia="Calibri" w:cs="Arial"/>
          <w:bCs/>
          <w:sz w:val="20"/>
          <w:szCs w:val="20"/>
          <w:lang w:val="es-MX" w:eastAsia="es-MX"/>
        </w:rPr>
        <w:t xml:space="preserve">Pese a lo anterior, la prohibición de contratación directa de la Ley de Garantías es independiente del régimen contractual. Así la Sala de Consulta y Servicio Civil del Consejo de Estado explica que «La prohibición contenida en el artículo 33, desde el punto de vista </w:t>
      </w:r>
      <w:r w:rsidRPr="00D122BE">
        <w:rPr>
          <w:rFonts w:ascii="Arial" w:hAnsi="Arial" w:eastAsia="Calibri" w:cs="Arial"/>
          <w:bCs/>
          <w:sz w:val="20"/>
          <w:szCs w:val="20"/>
          <w:lang w:val="es-MX" w:eastAsia="es-MX"/>
        </w:rPr>
        <w:lastRenderedPageBreak/>
        <w:t xml:space="preserve">objetivo o material, comprende la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o uno especial en razón del objeto, del contrato o del órgano que contrata»  (Énfasis fuera de texto). Por tanto, durante la vigencia de la prohibición del artículo 33 de la Ley 996 de 2005 está restringida cualquier modalidad de selección que excluya la pluralidad de oferentes en el régimen especial de contratación con organismos internacionales. </w:t>
      </w:r>
    </w:p>
    <w:p w:rsidRPr="00D122BE" w:rsidR="00F807BA" w:rsidP="00F807BA" w:rsidRDefault="00F807BA" w14:paraId="2CA5D7BC" w14:textId="77777777">
      <w:pPr>
        <w:spacing w:after="0" w:line="240" w:lineRule="auto"/>
        <w:contextualSpacing/>
        <w:jc w:val="both"/>
        <w:rPr>
          <w:rFonts w:ascii="Arial" w:hAnsi="Arial" w:eastAsia="Calibri" w:cs="Arial"/>
          <w:bCs/>
          <w:sz w:val="20"/>
          <w:szCs w:val="20"/>
          <w:lang w:val="es-MX" w:eastAsia="es-MX"/>
        </w:rPr>
      </w:pPr>
    </w:p>
    <w:p w:rsidRPr="00645575" w:rsidR="00F807BA" w:rsidP="00F807BA" w:rsidRDefault="00F807BA" w14:paraId="71521D03" w14:textId="77777777">
      <w:pPr>
        <w:spacing w:after="0" w:line="240" w:lineRule="auto"/>
        <w:contextualSpacing/>
        <w:jc w:val="both"/>
        <w:rPr>
          <w:rFonts w:ascii="Arial" w:hAnsi="Arial" w:eastAsia="Calibri" w:cs="Arial"/>
          <w:bCs/>
          <w:sz w:val="20"/>
          <w:szCs w:val="20"/>
          <w:lang w:val="es-MX" w:eastAsia="es-MX"/>
        </w:rPr>
      </w:pPr>
      <w:r w:rsidRPr="00645575">
        <w:rPr>
          <w:rFonts w:ascii="Arial" w:hAnsi="Arial" w:eastAsia="Calibri" w:cs="Arial"/>
          <w:bCs/>
          <w:sz w:val="20"/>
          <w:szCs w:val="20"/>
          <w:lang w:val="es-MX" w:eastAsia="es-MX"/>
        </w:rPr>
        <w:t>Cada entidad estatal debe analizar en el caso concreto si se presenta o no el supuesto que habilite la contratación directa, respetando el carácter taxativo de las excepciones señaladas en el segundo inciso del referido artículo 33. En efecto, es posible que el contrato que se pretenda celebrar con el organismo internacional de cooperación, ayuda o asistencia ingrese en alguna de las excepciones indicadas en dicho inciso; es decir, que se refiera «[…]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Por tanto, solo en este caso la contratación directa será admisible para celebrar tales contratos, en vigencia de la prohibición general del artículo 33 de la Ley 996 de 2005.</w:t>
      </w:r>
    </w:p>
    <w:p w:rsidR="00F807BA" w:rsidRDefault="00F807BA" w14:paraId="11F03778" w14:textId="2F5175BD">
      <w:pPr>
        <w:rPr>
          <w:rFonts w:ascii="Arial" w:hAnsi="Arial" w:eastAsia="Calibri" w:cs="Arial"/>
          <w:b/>
          <w:lang w:val="es-MX" w:eastAsia="es-MX"/>
        </w:rPr>
      </w:pPr>
      <w:r>
        <w:rPr>
          <w:rFonts w:ascii="Arial" w:hAnsi="Arial" w:eastAsia="Calibri" w:cs="Arial"/>
          <w:b/>
          <w:lang w:val="es-MX" w:eastAsia="es-MX"/>
        </w:rPr>
        <w:br w:type="page"/>
      </w:r>
    </w:p>
    <w:p w:rsidRPr="00F807BA" w:rsidR="00721553" w:rsidP="006F6DC3" w:rsidRDefault="006F6DC3" w14:paraId="12228334" w14:textId="43C6B1E5">
      <w:pPr>
        <w:tabs>
          <w:tab w:val="left" w:pos="3374"/>
        </w:tabs>
        <w:spacing w:after="0" w:line="240" w:lineRule="auto"/>
        <w:jc w:val="right"/>
        <w:rPr>
          <w:rFonts w:ascii="Arial" w:hAnsi="Arial" w:eastAsia="Calibri" w:cs="Arial"/>
          <w:lang w:val="es-MX"/>
        </w:rPr>
      </w:pPr>
      <w:r>
        <w:rPr>
          <w:noProof/>
        </w:rPr>
        <w:lastRenderedPageBreak/>
        <w:drawing>
          <wp:inline distT="0" distB="0" distL="0" distR="0" wp14:anchorId="38A36F01" wp14:editId="70E63C32">
            <wp:extent cx="3162300" cy="714375"/>
            <wp:effectExtent l="0" t="0" r="0" b="0"/>
            <wp:docPr id="2091321007" name="Imagen 209132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162300" cy="714375"/>
                    </a:xfrm>
                    <a:prstGeom prst="rect">
                      <a:avLst/>
                    </a:prstGeom>
                  </pic:spPr>
                </pic:pic>
              </a:graphicData>
            </a:graphic>
          </wp:inline>
        </w:drawing>
      </w:r>
    </w:p>
    <w:p w:rsidR="00721553" w:rsidP="00AC7752" w:rsidRDefault="00AC7752" w14:paraId="2A75BE5D" w14:textId="2DDAE59C">
      <w:pPr>
        <w:tabs>
          <w:tab w:val="left" w:pos="3374"/>
        </w:tabs>
        <w:spacing w:after="0" w:line="240" w:lineRule="auto"/>
        <w:jc w:val="right"/>
        <w:rPr>
          <w:rFonts w:ascii="Arial" w:hAnsi="Arial" w:eastAsia="Calibri" w:cs="Arial"/>
          <w:lang w:val="es-MX"/>
        </w:rPr>
      </w:pPr>
      <w:r>
        <w:rPr>
          <w:noProof/>
        </w:rPr>
        <w:drawing>
          <wp:inline distT="0" distB="0" distL="0" distR="0" wp14:anchorId="41A76165" wp14:editId="4D5043B8">
            <wp:extent cx="2562225" cy="771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62225" cy="771525"/>
                    </a:xfrm>
                    <a:prstGeom prst="rect">
                      <a:avLst/>
                    </a:prstGeom>
                  </pic:spPr>
                </pic:pic>
              </a:graphicData>
            </a:graphic>
          </wp:inline>
        </w:drawing>
      </w:r>
    </w:p>
    <w:p w:rsidRPr="00F807BA" w:rsidR="00721553" w:rsidP="00721553" w:rsidRDefault="00403190" w14:paraId="677CD3B6" w14:textId="66C37640">
      <w:pPr>
        <w:spacing w:after="0" w:line="240" w:lineRule="auto"/>
        <w:jc w:val="both"/>
        <w:rPr>
          <w:rFonts w:ascii="Arial" w:hAnsi="Arial" w:eastAsia="Calibri" w:cs="Arial"/>
        </w:rPr>
      </w:pPr>
      <w:bookmarkStart w:name="_Hlk96417464" w:id="2"/>
      <w:r w:rsidRPr="00F807BA">
        <w:rPr>
          <w:rFonts w:ascii="Arial" w:hAnsi="Arial" w:eastAsia="Calibri" w:cs="Arial"/>
        </w:rPr>
        <w:t>Doctora</w:t>
      </w:r>
    </w:p>
    <w:p w:rsidRPr="00F807BA" w:rsidR="00721553" w:rsidP="00721553" w:rsidRDefault="003A40C9" w14:paraId="3AD2E4B4" w14:textId="0B8898CF">
      <w:pPr>
        <w:spacing w:after="0" w:line="240" w:lineRule="auto"/>
        <w:jc w:val="both"/>
        <w:rPr>
          <w:rFonts w:ascii="Arial" w:hAnsi="Arial" w:eastAsia="Calibri" w:cs="Arial"/>
          <w:b/>
        </w:rPr>
      </w:pPr>
      <w:r w:rsidRPr="00F807BA">
        <w:rPr>
          <w:rFonts w:ascii="Arial" w:hAnsi="Arial" w:eastAsia="Calibri" w:cs="Arial"/>
          <w:b/>
        </w:rPr>
        <w:t>Ginneteth Forero Forero</w:t>
      </w:r>
    </w:p>
    <w:p w:rsidRPr="00F807BA" w:rsidR="00350E93" w:rsidP="00E60437" w:rsidRDefault="00721553" w14:paraId="79BFC986" w14:textId="4F50AE7E">
      <w:pPr>
        <w:spacing w:after="0" w:line="240" w:lineRule="auto"/>
        <w:jc w:val="both"/>
        <w:rPr>
          <w:rFonts w:ascii="Arial" w:hAnsi="Arial" w:eastAsia="Calibri" w:cs="Arial"/>
          <w:bCs/>
        </w:rPr>
      </w:pPr>
      <w:r w:rsidRPr="00F807BA">
        <w:rPr>
          <w:rFonts w:ascii="Arial" w:hAnsi="Arial" w:eastAsia="Calibri" w:cs="Arial"/>
          <w:bCs/>
        </w:rPr>
        <w:t>Subdirectora Jurídica</w:t>
      </w:r>
      <w:r w:rsidRPr="00F807BA" w:rsidR="003A40C9">
        <w:rPr>
          <w:rFonts w:ascii="Arial" w:hAnsi="Arial" w:eastAsia="Calibri" w:cs="Arial"/>
          <w:b/>
        </w:rPr>
        <w:t xml:space="preserve"> </w:t>
      </w:r>
      <w:r w:rsidRPr="00F807BA" w:rsidR="003A40C9">
        <w:rPr>
          <w:rFonts w:ascii="Arial" w:hAnsi="Arial" w:eastAsia="Calibri" w:cs="Arial"/>
          <w:bCs/>
        </w:rPr>
        <w:t xml:space="preserve"> </w:t>
      </w:r>
    </w:p>
    <w:p w:rsidRPr="00F807BA" w:rsidR="00721553" w:rsidP="00E60437" w:rsidRDefault="00721553" w14:paraId="6C6FCA98" w14:textId="24032E6E">
      <w:pPr>
        <w:spacing w:after="0" w:line="240" w:lineRule="auto"/>
        <w:jc w:val="both"/>
        <w:rPr>
          <w:rFonts w:ascii="Arial" w:hAnsi="Arial" w:eastAsia="Calibri" w:cs="Arial"/>
          <w:bCs/>
        </w:rPr>
      </w:pPr>
      <w:r w:rsidRPr="00F807BA">
        <w:rPr>
          <w:rFonts w:ascii="Arial" w:hAnsi="Arial" w:eastAsia="Calibri" w:cs="Arial"/>
          <w:bCs/>
        </w:rPr>
        <w:t>Consejo Nacional de Arquitectura y sus profesionales auxiliares</w:t>
      </w:r>
    </w:p>
    <w:p w:rsidRPr="00F807BA" w:rsidR="00721553" w:rsidP="00721553" w:rsidRDefault="00721553" w14:paraId="479CA355" w14:textId="6542EDB7">
      <w:pPr>
        <w:spacing w:after="0" w:line="240" w:lineRule="auto"/>
        <w:jc w:val="both"/>
        <w:rPr>
          <w:rFonts w:ascii="Arial" w:hAnsi="Arial" w:eastAsia="Calibri" w:cs="Arial"/>
        </w:rPr>
      </w:pPr>
      <w:r w:rsidRPr="00F807BA">
        <w:rPr>
          <w:rFonts w:ascii="Arial" w:hAnsi="Arial" w:eastAsia="Calibri" w:cs="Arial"/>
        </w:rPr>
        <w:t xml:space="preserve">Bogotá D.C </w:t>
      </w:r>
    </w:p>
    <w:p w:rsidRPr="00F807BA" w:rsidR="00721553" w:rsidP="00721553" w:rsidRDefault="00721553" w14:paraId="5F32DAD4" w14:textId="77777777">
      <w:pPr>
        <w:spacing w:after="0" w:line="240" w:lineRule="auto"/>
        <w:jc w:val="both"/>
        <w:rPr>
          <w:rFonts w:ascii="Arial" w:hAnsi="Arial" w:eastAsia="Calibri" w:cs="Arial"/>
          <w:color w:val="FF0000"/>
        </w:rPr>
      </w:pPr>
    </w:p>
    <w:p w:rsidRPr="00F807BA" w:rsidR="00721553" w:rsidP="00721553" w:rsidRDefault="00721553" w14:paraId="3D01E6E2" w14:textId="77777777">
      <w:pPr>
        <w:spacing w:after="0" w:line="240" w:lineRule="auto"/>
        <w:jc w:val="both"/>
        <w:rPr>
          <w:rFonts w:ascii="Arial" w:hAnsi="Arial" w:eastAsia="Calibri" w:cs="Arial"/>
          <w:color w:val="FF0000"/>
        </w:rPr>
      </w:pPr>
    </w:p>
    <w:p w:rsidRPr="00F807BA" w:rsidR="00721553" w:rsidP="00721553" w:rsidRDefault="00721553" w14:paraId="0D034D36" w14:textId="33034868">
      <w:pPr>
        <w:spacing w:after="0" w:line="240" w:lineRule="auto"/>
        <w:jc w:val="both"/>
        <w:rPr>
          <w:rFonts w:ascii="Arial" w:hAnsi="Arial" w:eastAsia="Calibri" w:cs="Arial"/>
        </w:rPr>
      </w:pPr>
      <w:r w:rsidRPr="00F807BA">
        <w:rPr>
          <w:rFonts w:ascii="Arial" w:hAnsi="Arial" w:eastAsia="Calibri" w:cs="Arial"/>
        </w:rPr>
        <w:t xml:space="preserve">                                            </w:t>
      </w:r>
      <w:r w:rsidRPr="00F807BA">
        <w:rPr>
          <w:rFonts w:ascii="Arial" w:hAnsi="Arial" w:eastAsia="Calibri" w:cs="Arial"/>
          <w:b/>
        </w:rPr>
        <w:t xml:space="preserve">Concepto C – </w:t>
      </w:r>
      <w:r w:rsidRPr="00F807BA" w:rsidR="00E86FF5">
        <w:rPr>
          <w:rFonts w:ascii="Arial" w:hAnsi="Arial" w:eastAsia="Calibri" w:cs="Arial"/>
          <w:b/>
        </w:rPr>
        <w:t>100</w:t>
      </w:r>
      <w:r w:rsidRPr="00F807BA">
        <w:rPr>
          <w:rFonts w:ascii="Arial" w:hAnsi="Arial" w:eastAsia="Calibri" w:cs="Arial"/>
          <w:b/>
        </w:rPr>
        <w:t xml:space="preserve"> de 2022</w:t>
      </w:r>
      <w:r w:rsidRPr="00F807BA">
        <w:rPr>
          <w:rFonts w:ascii="Arial" w:hAnsi="Arial" w:eastAsia="Calibri" w:cs="Arial"/>
        </w:rPr>
        <w:t xml:space="preserve"> </w:t>
      </w:r>
    </w:p>
    <w:p w:rsidRPr="00F807BA" w:rsidR="00721553" w:rsidP="00721553" w:rsidRDefault="00721553" w14:paraId="52B5D3AD" w14:textId="77777777">
      <w:pPr>
        <w:spacing w:after="0" w:line="240" w:lineRule="auto"/>
        <w:jc w:val="both"/>
        <w:rPr>
          <w:rFonts w:ascii="Arial" w:hAnsi="Arial" w:eastAsia="Calibri" w:cs="Arial"/>
          <w:b/>
        </w:rPr>
      </w:pPr>
    </w:p>
    <w:tbl>
      <w:tblPr>
        <w:tblStyle w:val="Tablaconcuadrcula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F807BA" w:rsidR="00D5439C" w:rsidTr="00936F31" w14:paraId="7A4E0B0A" w14:textId="77777777">
        <w:trPr>
          <w:trHeight w:val="485"/>
        </w:trPr>
        <w:tc>
          <w:tcPr>
            <w:tcW w:w="2689" w:type="dxa"/>
            <w:hideMark/>
          </w:tcPr>
          <w:p w:rsidRPr="00F807BA" w:rsidR="00721553" w:rsidP="00721553" w:rsidRDefault="00721553" w14:paraId="2486837E" w14:textId="77777777">
            <w:pPr>
              <w:contextualSpacing/>
              <w:rPr>
                <w:rFonts w:ascii="Arial" w:hAnsi="Arial" w:eastAsia="Calibri" w:cs="Arial"/>
                <w:noProof/>
                <w:lang w:val="es-ES_tradnl"/>
              </w:rPr>
            </w:pPr>
            <w:r w:rsidRPr="00F807BA">
              <w:rPr>
                <w:rFonts w:ascii="Arial" w:hAnsi="Arial" w:eastAsia="Calibri" w:cs="Arial"/>
                <w:b/>
                <w:noProof/>
                <w:lang w:val="es-ES_tradnl"/>
              </w:rPr>
              <w:t>Temas:</w:t>
            </w:r>
            <w:r w:rsidRPr="00F807BA">
              <w:rPr>
                <w:rFonts w:ascii="Arial" w:hAnsi="Arial" w:eastAsia="Calibri" w:cs="Arial"/>
                <w:noProof/>
                <w:lang w:val="es-ES_tradnl"/>
              </w:rPr>
              <w:t xml:space="preserve">        </w:t>
            </w:r>
          </w:p>
        </w:tc>
        <w:tc>
          <w:tcPr>
            <w:tcW w:w="6237" w:type="dxa"/>
            <w:hideMark/>
          </w:tcPr>
          <w:p w:rsidRPr="00987710" w:rsidR="00987710" w:rsidP="00987710" w:rsidRDefault="00BB1913" w14:paraId="3B1DDF69" w14:textId="35298C38">
            <w:pPr>
              <w:spacing w:after="120"/>
              <w:ind w:right="703"/>
              <w:contextualSpacing/>
              <w:jc w:val="both"/>
              <w:rPr>
                <w:rFonts w:ascii="Arial" w:hAnsi="Arial" w:eastAsia="Calibri" w:cs="Arial"/>
                <w:bCs/>
                <w:lang w:eastAsia="es-ES_tradnl"/>
              </w:rPr>
            </w:pPr>
            <w:r w:rsidRPr="00F807BA">
              <w:rPr>
                <w:rFonts w:ascii="Arial" w:hAnsi="Arial" w:eastAsia="Calibri" w:cs="Arial"/>
                <w:bCs/>
                <w:lang w:val="es-MX" w:eastAsia="es-MX"/>
              </w:rPr>
              <w:t>LEY DE GARANTÍAS ELECTORALES – Definición – Finalidad /</w:t>
            </w:r>
            <w:r w:rsidRPr="00F807BA" w:rsidR="00852601">
              <w:rPr>
                <w:rFonts w:ascii="Arial" w:hAnsi="Arial" w:eastAsia="Calibri" w:cs="Arial"/>
                <w:bCs/>
                <w:lang w:val="es-MX" w:eastAsia="es-MX"/>
              </w:rPr>
              <w:t xml:space="preserve"> </w:t>
            </w:r>
            <w:r w:rsidRPr="00F807BA" w:rsidR="00235A70">
              <w:rPr>
                <w:rFonts w:ascii="Arial" w:hAnsi="Arial" w:eastAsia="Calibri" w:cs="Arial"/>
                <w:bCs/>
                <w:lang w:val="es-MX" w:eastAsia="es-MX"/>
              </w:rPr>
              <w:t xml:space="preserve">LEY DE GARANTÍAS ELECTORALES – Prohibiciones / </w:t>
            </w:r>
            <w:r w:rsidRPr="00F807BA" w:rsidR="00E43CC4">
              <w:rPr>
                <w:rFonts w:ascii="Arial" w:hAnsi="Arial" w:eastAsia="Calibri" w:cs="Arial"/>
                <w:bCs/>
                <w:lang w:val="es-MX"/>
              </w:rPr>
              <w:t xml:space="preserve">LEY DE GARANTÍAS ELECTORALES ─ Prohibición artículo 33 ‒ Contratación directa ‒ Alcance / </w:t>
            </w:r>
            <w:r w:rsidRPr="00F807BA" w:rsidR="005B41CB">
              <w:rPr>
                <w:rFonts w:ascii="Arial" w:hAnsi="Arial" w:eastAsia="Times New Roman" w:cs="Arial"/>
                <w:bCs/>
                <w:lang w:eastAsia="es-CO"/>
              </w:rPr>
              <w:t xml:space="preserve">LEY DE GARANTÍAS ELECTORALES </w:t>
            </w:r>
            <w:r w:rsidRPr="00F807BA" w:rsidR="005B41CB">
              <w:rPr>
                <w:rFonts w:ascii="Arial" w:hAnsi="Arial" w:eastAsia="Calibri" w:cs="Arial"/>
                <w:bCs/>
                <w:lang w:val="es-MX"/>
              </w:rPr>
              <w:t xml:space="preserve">─ Prohibición artículo 33 ‒ </w:t>
            </w:r>
            <w:r w:rsidRPr="00F807BA" w:rsidR="005B41CB">
              <w:rPr>
                <w:rFonts w:ascii="Arial" w:hAnsi="Arial" w:eastAsia="Times New Roman" w:cs="Arial"/>
                <w:bCs/>
                <w:lang w:eastAsia="es-CO"/>
              </w:rPr>
              <w:t xml:space="preserve">Excepciones / </w:t>
            </w:r>
            <w:r w:rsidRPr="00F807BA" w:rsidR="00D866A2">
              <w:rPr>
                <w:rFonts w:ascii="Arial" w:hAnsi="Arial" w:eastAsia="Times New Roman" w:cs="Arial"/>
                <w:bCs/>
                <w:lang w:eastAsia="es-CO"/>
              </w:rPr>
              <w:t xml:space="preserve">LEY DE GARANTÍAS ELECTORALES ‒ </w:t>
            </w:r>
            <w:r w:rsidRPr="00F807BA" w:rsidR="00D866A2">
              <w:rPr>
                <w:rFonts w:ascii="Arial" w:hAnsi="Arial" w:eastAsia="Times New Roman" w:cs="Arial"/>
                <w:bCs/>
                <w:lang w:val="es-ES" w:eastAsia="es-CO"/>
              </w:rPr>
              <w:t xml:space="preserve">Prohibición del artículo 33 </w:t>
            </w:r>
            <w:r w:rsidRPr="00F807BA" w:rsidR="00D866A2">
              <w:rPr>
                <w:rFonts w:ascii="Arial" w:hAnsi="Arial" w:eastAsia="Times New Roman" w:cs="Arial"/>
                <w:bCs/>
                <w:lang w:eastAsia="es-CO"/>
              </w:rPr>
              <w:t>‒ Destinatarios /</w:t>
            </w:r>
            <w:r w:rsidRPr="00F807BA" w:rsidR="00D5439C">
              <w:rPr>
                <w:rFonts w:ascii="Arial" w:hAnsi="Arial" w:eastAsia="Times New Roman" w:cs="Arial"/>
                <w:bCs/>
                <w:lang w:eastAsia="es-CO"/>
              </w:rPr>
              <w:t xml:space="preserve"> </w:t>
            </w:r>
            <w:r w:rsidRPr="00F807BA" w:rsidR="00D5439C">
              <w:rPr>
                <w:rFonts w:ascii="Arial" w:hAnsi="Arial" w:eastAsia="Calibri" w:cs="Arial"/>
                <w:bCs/>
                <w:lang w:eastAsia="es-ES_tradnl"/>
              </w:rPr>
              <w:t xml:space="preserve">ORGANISMOS INTERNACIONALES – </w:t>
            </w:r>
            <w:r w:rsidR="00F807BA">
              <w:rPr>
                <w:rFonts w:ascii="Arial" w:hAnsi="Arial" w:eastAsia="Calibri" w:cs="Arial"/>
                <w:bCs/>
                <w:lang w:eastAsia="es-ES_tradnl"/>
              </w:rPr>
              <w:t>Concepto</w:t>
            </w:r>
            <w:r w:rsidRPr="00F807BA" w:rsidR="00D5439C">
              <w:rPr>
                <w:rFonts w:ascii="Arial" w:hAnsi="Arial" w:eastAsia="Calibri" w:cs="Arial"/>
                <w:bCs/>
                <w:lang w:eastAsia="es-ES_tradnl"/>
              </w:rPr>
              <w:t xml:space="preserve"> – </w:t>
            </w:r>
            <w:r w:rsidR="00F807BA">
              <w:rPr>
                <w:rFonts w:ascii="Arial" w:hAnsi="Arial" w:eastAsia="Calibri" w:cs="Arial"/>
                <w:bCs/>
                <w:lang w:eastAsia="es-ES_tradnl"/>
              </w:rPr>
              <w:t xml:space="preserve">Régimen de contratación </w:t>
            </w:r>
            <w:r w:rsidRPr="00F807BA" w:rsidR="00D5439C">
              <w:rPr>
                <w:rFonts w:ascii="Arial" w:hAnsi="Arial" w:eastAsia="Calibri" w:cs="Arial"/>
                <w:bCs/>
                <w:lang w:eastAsia="es-ES_tradnl"/>
              </w:rPr>
              <w:t xml:space="preserve">– </w:t>
            </w:r>
            <w:r w:rsidRPr="00987710" w:rsidR="00987710">
              <w:rPr>
                <w:rFonts w:ascii="Arial" w:hAnsi="Arial" w:eastAsia="Calibri" w:cs="Arial"/>
                <w:bCs/>
                <w:lang w:eastAsia="es-ES_tradnl"/>
              </w:rPr>
              <w:t xml:space="preserve">ORGANISMOS INTERNACIONALES – Ley de Garantías Electorales – Restricción – Contratación Directa – Artículo 33 – Alcance </w:t>
            </w:r>
          </w:p>
          <w:p w:rsidRPr="00F807BA" w:rsidR="00BB1913" w:rsidP="009D600E" w:rsidRDefault="00BB1913" w14:paraId="4FEB29B8" w14:textId="329AA7D4">
            <w:pPr>
              <w:spacing w:after="120"/>
              <w:ind w:right="703"/>
              <w:contextualSpacing/>
              <w:jc w:val="both"/>
              <w:rPr>
                <w:rFonts w:ascii="Arial" w:hAnsi="Arial" w:eastAsia="Calibri" w:cs="Arial"/>
                <w:b/>
                <w:lang w:val="es-MX" w:eastAsia="es-MX"/>
              </w:rPr>
            </w:pPr>
          </w:p>
          <w:p w:rsidRPr="00F807BA" w:rsidR="00721553" w:rsidP="00721553" w:rsidRDefault="00721553" w14:paraId="62B5FA3E" w14:textId="77777777">
            <w:pPr>
              <w:spacing w:after="120"/>
              <w:rPr>
                <w:rFonts w:ascii="Arial" w:hAnsi="Arial" w:eastAsia="Calibri" w:cs="Arial"/>
                <w:bCs/>
                <w:lang w:val="es-MX"/>
              </w:rPr>
            </w:pPr>
          </w:p>
        </w:tc>
      </w:tr>
      <w:tr w:rsidRPr="00F807BA" w:rsidR="00D5439C" w:rsidTr="00936F31" w14:paraId="1B1EEB20" w14:textId="77777777">
        <w:tc>
          <w:tcPr>
            <w:tcW w:w="2689" w:type="dxa"/>
          </w:tcPr>
          <w:p w:rsidRPr="00F807BA" w:rsidR="00721553" w:rsidP="00721553" w:rsidRDefault="00721553" w14:paraId="1F0A7BC4" w14:textId="77777777">
            <w:pPr>
              <w:contextualSpacing/>
              <w:rPr>
                <w:rFonts w:ascii="Arial" w:hAnsi="Arial" w:eastAsia="Calibri" w:cs="Arial"/>
                <w:b/>
                <w:noProof/>
                <w:lang w:val="es-ES_tradnl"/>
              </w:rPr>
            </w:pPr>
            <w:r w:rsidRPr="00F807BA">
              <w:rPr>
                <w:rFonts w:ascii="Arial" w:hAnsi="Arial" w:eastAsia="Calibri" w:cs="Arial"/>
                <w:b/>
                <w:noProof/>
                <w:lang w:val="es-ES_tradnl"/>
              </w:rPr>
              <w:t>Radicación:</w:t>
            </w:r>
            <w:r w:rsidRPr="00F807BA">
              <w:rPr>
                <w:rFonts w:ascii="Arial" w:hAnsi="Arial" w:eastAsia="Calibri" w:cs="Arial"/>
                <w:noProof/>
                <w:lang w:val="es-ES_tradnl"/>
              </w:rPr>
              <w:t xml:space="preserve">                              </w:t>
            </w:r>
          </w:p>
        </w:tc>
        <w:tc>
          <w:tcPr>
            <w:tcW w:w="6237" w:type="dxa"/>
          </w:tcPr>
          <w:p w:rsidRPr="00F807BA" w:rsidR="00721553" w:rsidP="00721553" w:rsidRDefault="00721553" w14:paraId="703ACEDD" w14:textId="7D0959F3">
            <w:pPr>
              <w:contextualSpacing/>
              <w:jc w:val="both"/>
              <w:rPr>
                <w:rFonts w:ascii="Arial" w:hAnsi="Arial" w:eastAsia="Calibri" w:cs="Arial"/>
                <w:noProof/>
                <w:lang w:val="es-ES_tradnl"/>
              </w:rPr>
            </w:pPr>
            <w:r w:rsidRPr="00F807BA">
              <w:rPr>
                <w:rFonts w:ascii="Arial" w:hAnsi="Arial" w:eastAsia="Calibri" w:cs="Arial"/>
                <w:noProof/>
                <w:lang w:val="es-ES_tradnl"/>
              </w:rPr>
              <w:t xml:space="preserve">Respuesta a consulta </w:t>
            </w:r>
            <w:r w:rsidRPr="00F807BA" w:rsidR="00E86FF5">
              <w:rPr>
                <w:rFonts w:ascii="Arial" w:hAnsi="Arial" w:eastAsia="Calibri" w:cs="Arial"/>
                <w:noProof/>
                <w:lang w:val="es-ES_tradnl"/>
              </w:rPr>
              <w:t>P20220208001204</w:t>
            </w:r>
          </w:p>
        </w:tc>
      </w:tr>
    </w:tbl>
    <w:p w:rsidRPr="00F807BA" w:rsidR="00721553" w:rsidP="00721553" w:rsidRDefault="00721553" w14:paraId="0C2EE167" w14:textId="77777777">
      <w:pPr>
        <w:spacing w:after="0" w:line="240" w:lineRule="auto"/>
        <w:jc w:val="both"/>
        <w:rPr>
          <w:rFonts w:ascii="Arial" w:hAnsi="Arial" w:eastAsia="Calibri" w:cs="Arial"/>
        </w:rPr>
      </w:pPr>
    </w:p>
    <w:p w:rsidRPr="00F807BA" w:rsidR="00721553" w:rsidP="00721553" w:rsidRDefault="00721553" w14:paraId="7D89D76C" w14:textId="77777777">
      <w:pPr>
        <w:spacing w:after="0" w:line="240" w:lineRule="auto"/>
        <w:jc w:val="both"/>
        <w:rPr>
          <w:rFonts w:ascii="Arial" w:hAnsi="Arial" w:eastAsia="Calibri" w:cs="Arial"/>
        </w:rPr>
      </w:pPr>
    </w:p>
    <w:p w:rsidRPr="00F807BA" w:rsidR="00721553" w:rsidP="00721553" w:rsidRDefault="00721553" w14:paraId="2C1A547B" w14:textId="26B5584B">
      <w:pPr>
        <w:spacing w:after="0" w:line="276" w:lineRule="auto"/>
        <w:jc w:val="both"/>
        <w:rPr>
          <w:rFonts w:ascii="Arial" w:hAnsi="Arial" w:eastAsia="Calibri" w:cs="Arial"/>
        </w:rPr>
      </w:pPr>
      <w:r w:rsidRPr="00F807BA">
        <w:rPr>
          <w:rFonts w:ascii="Arial" w:hAnsi="Arial" w:eastAsia="Calibri" w:cs="Arial"/>
        </w:rPr>
        <w:t>Estimad</w:t>
      </w:r>
      <w:r w:rsidRPr="00F807BA" w:rsidR="00E86FF5">
        <w:rPr>
          <w:rFonts w:ascii="Arial" w:hAnsi="Arial" w:eastAsia="Calibri" w:cs="Arial"/>
        </w:rPr>
        <w:t>a</w:t>
      </w:r>
      <w:r w:rsidRPr="00F807BA">
        <w:rPr>
          <w:rFonts w:ascii="Arial" w:hAnsi="Arial" w:eastAsia="Calibri" w:cs="Arial"/>
        </w:rPr>
        <w:t xml:space="preserve"> </w:t>
      </w:r>
      <w:r w:rsidRPr="00F807BA" w:rsidR="00403190">
        <w:rPr>
          <w:rFonts w:ascii="Arial" w:hAnsi="Arial" w:eastAsia="Calibri" w:cs="Arial"/>
        </w:rPr>
        <w:t>doctora Forero</w:t>
      </w:r>
      <w:r w:rsidRPr="00F807BA">
        <w:rPr>
          <w:rFonts w:ascii="Arial" w:hAnsi="Arial" w:eastAsia="Calibri" w:cs="Arial"/>
        </w:rPr>
        <w:t>:</w:t>
      </w:r>
    </w:p>
    <w:p w:rsidRPr="00F807BA" w:rsidR="00721553" w:rsidP="00721553" w:rsidRDefault="00721553" w14:paraId="0927AB1C" w14:textId="77777777">
      <w:pPr>
        <w:spacing w:after="0" w:line="276" w:lineRule="auto"/>
        <w:ind w:firstLine="709"/>
        <w:jc w:val="both"/>
        <w:rPr>
          <w:rFonts w:ascii="Arial" w:hAnsi="Arial" w:eastAsia="Calibri" w:cs="Arial"/>
        </w:rPr>
      </w:pPr>
    </w:p>
    <w:p w:rsidRPr="00F807BA" w:rsidR="00721553" w:rsidP="00721553" w:rsidRDefault="00721553" w14:paraId="51DBFC08" w14:textId="261BC7C8">
      <w:pPr>
        <w:spacing w:after="0" w:line="276" w:lineRule="auto"/>
        <w:ind w:right="51"/>
        <w:jc w:val="both"/>
        <w:rPr>
          <w:rFonts w:ascii="Arial" w:hAnsi="Arial" w:eastAsia="Calibri" w:cs="Arial"/>
        </w:rPr>
      </w:pPr>
      <w:r w:rsidRPr="00F807BA">
        <w:rPr>
          <w:rFonts w:ascii="Arial" w:hAnsi="Arial" w:eastAsia="Calibri" w:cs="Arial"/>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Pr="00F807BA" w:rsidR="00E86FF5">
        <w:rPr>
          <w:rFonts w:ascii="Arial" w:hAnsi="Arial" w:eastAsia="Calibri" w:cs="Arial"/>
        </w:rPr>
        <w:t>8 de febrero</w:t>
      </w:r>
      <w:r w:rsidRPr="00F807BA">
        <w:rPr>
          <w:rFonts w:ascii="Arial" w:hAnsi="Arial" w:eastAsia="Calibri" w:cs="Arial"/>
        </w:rPr>
        <w:t xml:space="preserve"> de 2022. </w:t>
      </w:r>
    </w:p>
    <w:p w:rsidRPr="00F807BA" w:rsidR="00721553" w:rsidP="00721553" w:rsidRDefault="00721553" w14:paraId="7F6094D8" w14:textId="77777777">
      <w:pPr>
        <w:spacing w:after="0" w:line="276" w:lineRule="auto"/>
        <w:jc w:val="both"/>
        <w:rPr>
          <w:rFonts w:ascii="Arial" w:hAnsi="Arial" w:eastAsia="Calibri" w:cs="Arial"/>
        </w:rPr>
      </w:pPr>
    </w:p>
    <w:p w:rsidRPr="00F807BA" w:rsidR="00721553" w:rsidP="00721553" w:rsidRDefault="00721553" w14:paraId="373B2FC9" w14:textId="77777777">
      <w:pPr>
        <w:tabs>
          <w:tab w:val="left" w:pos="284"/>
        </w:tabs>
        <w:spacing w:after="0" w:line="276" w:lineRule="auto"/>
        <w:jc w:val="both"/>
        <w:rPr>
          <w:rFonts w:ascii="Arial" w:hAnsi="Arial" w:eastAsia="Calibri" w:cs="Arial"/>
          <w:b/>
        </w:rPr>
      </w:pPr>
      <w:r w:rsidRPr="00F807BA">
        <w:rPr>
          <w:rFonts w:ascii="Arial" w:hAnsi="Arial" w:eastAsia="Calibri" w:cs="Arial"/>
          <w:b/>
        </w:rPr>
        <w:t xml:space="preserve">1. Problema planteado </w:t>
      </w:r>
    </w:p>
    <w:p w:rsidRPr="00F807BA" w:rsidR="00721553" w:rsidP="00721553" w:rsidRDefault="00721553" w14:paraId="74A4FBAC" w14:textId="77777777">
      <w:pPr>
        <w:tabs>
          <w:tab w:val="left" w:pos="284"/>
        </w:tabs>
        <w:spacing w:after="0" w:line="276" w:lineRule="auto"/>
        <w:ind w:firstLine="709"/>
        <w:contextualSpacing/>
        <w:jc w:val="both"/>
        <w:rPr>
          <w:rFonts w:ascii="Arial" w:hAnsi="Arial" w:eastAsia="Calibri" w:cs="Arial"/>
          <w:b/>
        </w:rPr>
      </w:pPr>
    </w:p>
    <w:p w:rsidRPr="00F807BA" w:rsidR="00721553" w:rsidP="00E60437" w:rsidRDefault="00E83ED4" w14:paraId="7857E486" w14:textId="7B447B46">
      <w:pPr>
        <w:spacing w:after="0" w:line="276" w:lineRule="auto"/>
        <w:jc w:val="both"/>
        <w:rPr>
          <w:rFonts w:ascii="Arial" w:hAnsi="Arial" w:eastAsia="Times New Roman" w:cs="Arial"/>
          <w:bCs/>
          <w:color w:val="000000"/>
          <w:lang w:eastAsia="es-CO"/>
        </w:rPr>
      </w:pPr>
      <w:bookmarkStart w:name="_Hlk58917991" w:id="3"/>
      <w:bookmarkStart w:name="_Hlk56103000" w:id="4"/>
      <w:r w:rsidRPr="00F807BA">
        <w:rPr>
          <w:rFonts w:ascii="Arial" w:hAnsi="Arial" w:eastAsia="Times New Roman" w:cs="Arial"/>
          <w:color w:val="000000" w:themeColor="text1"/>
          <w:lang w:val="es-ES_tradnl" w:eastAsia="es-ES_tradnl"/>
        </w:rPr>
        <w:t>Respecto a</w:t>
      </w:r>
      <w:r w:rsidRPr="00F807BA" w:rsidR="00E86FF5">
        <w:rPr>
          <w:rFonts w:ascii="Arial" w:hAnsi="Arial" w:eastAsia="Times New Roman" w:cs="Arial"/>
          <w:color w:val="000000" w:themeColor="text1"/>
          <w:lang w:val="es-ES_tradnl" w:eastAsia="es-ES_tradnl"/>
        </w:rPr>
        <w:t xml:space="preserve"> la aplicación de la Ley de Garantías Electorales, u</w:t>
      </w:r>
      <w:r w:rsidRPr="00F807BA" w:rsidR="00721553">
        <w:rPr>
          <w:rFonts w:ascii="Arial" w:hAnsi="Arial" w:eastAsia="Times New Roman" w:cs="Arial"/>
          <w:color w:val="000000" w:themeColor="text1"/>
          <w:lang w:val="es-ES_tradnl" w:eastAsia="es-ES_tradnl"/>
        </w:rPr>
        <w:t xml:space="preserve">sted </w:t>
      </w:r>
      <w:r w:rsidRPr="00F807BA" w:rsidR="00E86FF5">
        <w:rPr>
          <w:rFonts w:ascii="Arial" w:hAnsi="Arial" w:eastAsia="Times New Roman" w:cs="Arial"/>
          <w:color w:val="000000" w:themeColor="text1"/>
          <w:lang w:val="es-ES_tradnl" w:eastAsia="es-ES_tradnl"/>
        </w:rPr>
        <w:t xml:space="preserve">plantea </w:t>
      </w:r>
      <w:r w:rsidRPr="00F807BA" w:rsidR="00721553">
        <w:rPr>
          <w:rFonts w:ascii="Arial" w:hAnsi="Arial" w:eastAsia="Times New Roman" w:cs="Arial"/>
          <w:color w:val="000000" w:themeColor="text1"/>
          <w:lang w:val="es-ES_tradnl" w:eastAsia="es-ES_tradnl"/>
        </w:rPr>
        <w:t xml:space="preserve">la siguiente </w:t>
      </w:r>
      <w:r w:rsidRPr="00F807BA" w:rsidR="00E86FF5">
        <w:rPr>
          <w:rFonts w:ascii="Arial" w:hAnsi="Arial" w:eastAsia="Times New Roman" w:cs="Arial"/>
          <w:color w:val="000000" w:themeColor="text1"/>
          <w:lang w:val="es-ES_tradnl" w:eastAsia="es-ES_tradnl"/>
        </w:rPr>
        <w:t>consulta</w:t>
      </w:r>
      <w:r w:rsidRPr="00F807BA" w:rsidR="00721553">
        <w:rPr>
          <w:rFonts w:ascii="Arial" w:hAnsi="Arial" w:eastAsia="Times New Roman" w:cs="Arial"/>
          <w:color w:val="000000" w:themeColor="text1"/>
          <w:lang w:val="es-ES_tradnl" w:eastAsia="es-ES_tradnl"/>
        </w:rPr>
        <w:t xml:space="preserve">: </w:t>
      </w:r>
      <w:bookmarkStart w:name="_Hlk98832248" w:id="5"/>
      <w:bookmarkStart w:name="_Hlk94514883" w:id="6"/>
      <w:r w:rsidRPr="00F807BA" w:rsidR="00721553">
        <w:rPr>
          <w:rFonts w:ascii="Arial" w:hAnsi="Arial" w:eastAsia="Times New Roman" w:cs="Arial"/>
          <w:bCs/>
          <w:color w:val="000000"/>
          <w:lang w:eastAsia="es-CO"/>
        </w:rPr>
        <w:t>«</w:t>
      </w:r>
      <w:r w:rsidRPr="00F807BA" w:rsidR="00E86FF5">
        <w:rPr>
          <w:rFonts w:ascii="Arial" w:hAnsi="Arial" w:eastAsia="Times New Roman" w:cs="Arial"/>
          <w:bCs/>
          <w:color w:val="000000"/>
          <w:lang w:eastAsia="es-CO"/>
        </w:rPr>
        <w:t>De manera respetuosa, atendiendo las funciones de la Agencia CCE, nos permitimos solicitar concepto sobre si por virtud de la restricción prevista en el artículo 33 de la Ley 906 de 2005</w:t>
      </w:r>
      <w:r w:rsidRPr="00F807BA" w:rsidR="007D4206">
        <w:rPr>
          <w:rFonts w:ascii="Arial" w:hAnsi="Arial" w:eastAsia="Times New Roman" w:cs="Arial"/>
          <w:bCs/>
          <w:color w:val="000000"/>
          <w:lang w:eastAsia="es-CO"/>
        </w:rPr>
        <w:t xml:space="preserve"> (sic)</w:t>
      </w:r>
      <w:r w:rsidRPr="00F807BA" w:rsidR="00E86FF5">
        <w:rPr>
          <w:rFonts w:ascii="Arial" w:hAnsi="Arial" w:eastAsia="Times New Roman" w:cs="Arial"/>
          <w:bCs/>
          <w:color w:val="000000"/>
          <w:lang w:eastAsia="es-CO"/>
        </w:rPr>
        <w:t>, los convenios celebrados con organismos de cooperación internacional se encuentran restringidos para su celebración cuando los mismos conlleven el compromiso de recurso públicos de contrapartida, es decir, conlleven desembolsos presupuestales</w:t>
      </w:r>
      <w:r w:rsidRPr="00F807BA" w:rsidR="00721553">
        <w:rPr>
          <w:rFonts w:ascii="Arial" w:hAnsi="Arial" w:eastAsia="Times New Roman" w:cs="Arial"/>
          <w:bCs/>
          <w:color w:val="000000"/>
          <w:lang w:eastAsia="es-CO"/>
        </w:rPr>
        <w:t>»</w:t>
      </w:r>
      <w:bookmarkEnd w:id="5"/>
      <w:r w:rsidRPr="00F807BA" w:rsidR="00721553">
        <w:rPr>
          <w:rFonts w:ascii="Arial" w:hAnsi="Arial" w:eastAsia="Times New Roman" w:cs="Arial"/>
          <w:bCs/>
          <w:color w:val="000000"/>
          <w:lang w:eastAsia="es-CO"/>
        </w:rPr>
        <w:t>.</w:t>
      </w:r>
      <w:bookmarkEnd w:id="6"/>
    </w:p>
    <w:p w:rsidRPr="00F807BA" w:rsidR="00721553" w:rsidP="00721553" w:rsidRDefault="00721553" w14:paraId="5EE6F060" w14:textId="77777777">
      <w:pPr>
        <w:tabs>
          <w:tab w:val="left" w:pos="426"/>
        </w:tabs>
        <w:spacing w:after="0" w:line="276" w:lineRule="auto"/>
        <w:jc w:val="both"/>
        <w:rPr>
          <w:rFonts w:ascii="Arial" w:hAnsi="Arial" w:eastAsia="Calibri" w:cs="Arial"/>
        </w:rPr>
      </w:pPr>
    </w:p>
    <w:bookmarkEnd w:id="3"/>
    <w:bookmarkEnd w:id="4"/>
    <w:p w:rsidRPr="00F807BA" w:rsidR="00721553" w:rsidP="00721553" w:rsidRDefault="00721553" w14:paraId="5CA06AEA" w14:textId="77777777">
      <w:pPr>
        <w:tabs>
          <w:tab w:val="left" w:pos="284"/>
        </w:tabs>
        <w:spacing w:after="0" w:line="276" w:lineRule="auto"/>
        <w:jc w:val="both"/>
        <w:rPr>
          <w:rFonts w:ascii="Arial" w:hAnsi="Arial" w:eastAsia="Calibri" w:cs="Arial"/>
          <w:b/>
        </w:rPr>
      </w:pPr>
      <w:r w:rsidRPr="00F807BA">
        <w:rPr>
          <w:rFonts w:ascii="Arial" w:hAnsi="Arial" w:eastAsia="Calibri" w:cs="Arial"/>
          <w:b/>
        </w:rPr>
        <w:t>2. Consideraciones</w:t>
      </w:r>
    </w:p>
    <w:p w:rsidRPr="00F807BA" w:rsidR="00721553" w:rsidP="00721553" w:rsidRDefault="00721553" w14:paraId="11327D42" w14:textId="77777777">
      <w:pPr>
        <w:tabs>
          <w:tab w:val="left" w:pos="426"/>
        </w:tabs>
        <w:spacing w:after="0" w:line="276" w:lineRule="auto"/>
        <w:ind w:firstLine="709"/>
        <w:jc w:val="both"/>
        <w:rPr>
          <w:rFonts w:ascii="Arial" w:hAnsi="Arial" w:eastAsia="Calibri" w:cs="Arial"/>
          <w:bCs/>
        </w:rPr>
      </w:pPr>
    </w:p>
    <w:p w:rsidRPr="00F807BA" w:rsidR="003843CE" w:rsidP="009D600E" w:rsidRDefault="003843CE" w14:paraId="0D751663" w14:textId="7394BC2C">
      <w:pPr>
        <w:spacing w:after="120" w:line="276" w:lineRule="auto"/>
        <w:jc w:val="both"/>
        <w:rPr>
          <w:rFonts w:ascii="Arial" w:hAnsi="Arial" w:eastAsia="Calibri" w:cs="Arial"/>
          <w:color w:val="000000" w:themeColor="text1"/>
          <w:szCs w:val="24"/>
          <w:lang w:eastAsia="es-ES_tradnl"/>
        </w:rPr>
      </w:pPr>
      <w:r w:rsidRPr="00F807BA">
        <w:rPr>
          <w:rFonts w:ascii="Arial" w:hAnsi="Arial" w:eastAsia="Calibri" w:cs="Arial"/>
          <w:color w:val="000000" w:themeColor="text1"/>
          <w:szCs w:val="24"/>
          <w:lang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F807BA">
        <w:rPr>
          <w:rFonts w:ascii="Arial" w:hAnsi="Arial" w:eastAsia="Calibri" w:cs="Arial"/>
          <w:color w:val="000000" w:themeColor="text1"/>
          <w:szCs w:val="24"/>
          <w:vertAlign w:val="superscript"/>
          <w:lang w:eastAsia="es-ES_tradnl"/>
        </w:rPr>
        <w:footnoteReference w:id="1"/>
      </w:r>
      <w:r w:rsidRPr="00F807BA">
        <w:rPr>
          <w:rFonts w:ascii="Arial" w:hAnsi="Arial" w:eastAsia="Calibri" w:cs="Arial"/>
          <w:color w:val="000000" w:themeColor="text1"/>
          <w:szCs w:val="24"/>
          <w:lang w:eastAsia="es-ES_tradnl"/>
        </w:rPr>
        <w:t>.</w:t>
      </w:r>
      <w:r w:rsidRPr="00F807BA" w:rsidR="00CF76CC">
        <w:rPr>
          <w:rFonts w:ascii="Arial" w:hAnsi="Arial" w:eastAsia="Calibri" w:cs="Arial"/>
          <w:color w:val="000000" w:themeColor="text1"/>
          <w:szCs w:val="24"/>
          <w:lang w:eastAsia="es-ES_tradnl"/>
        </w:rPr>
        <w:t xml:space="preserve"> </w:t>
      </w:r>
      <w:r w:rsidRPr="00F807BA">
        <w:rPr>
          <w:rFonts w:ascii="Arial" w:hAnsi="Arial" w:eastAsia="Calibri" w:cs="Arial"/>
          <w:color w:val="000000" w:themeColor="text1"/>
          <w:szCs w:val="24"/>
          <w:lang w:eastAsia="es-ES_tradnl"/>
        </w:rPr>
        <w:t xml:space="preserve">Es necesario tener en cuenta que esta entidad solo tiene competencia para responder solicitudes sobre la aplicación de normas de carácter general en materia de compras y contratación pública. En ese sentido, resolver casos </w:t>
      </w:r>
      <w:r w:rsidRPr="00F807BA" w:rsidR="00CF76CC">
        <w:rPr>
          <w:rFonts w:ascii="Arial" w:hAnsi="Arial" w:eastAsia="Calibri" w:cs="Arial"/>
          <w:color w:val="000000" w:themeColor="text1"/>
          <w:szCs w:val="24"/>
          <w:lang w:eastAsia="es-ES_tradnl"/>
        </w:rPr>
        <w:t xml:space="preserve">concretos </w:t>
      </w:r>
      <w:r w:rsidRPr="00F807BA">
        <w:rPr>
          <w:rFonts w:ascii="Arial" w:hAnsi="Arial" w:eastAsia="Calibri" w:cs="Arial"/>
          <w:color w:val="000000" w:themeColor="text1"/>
          <w:szCs w:val="24"/>
          <w:lang w:eastAsia="es-ES_tradnl"/>
        </w:rPr>
        <w:t>desborda las atribuciones asignadas por el legislador extraordinario, que no concibió a Colombia Compra Eficiente como una autoridad para solucionar problemas jurídicos particulares de todos los partícipes de la contratación estatal.</w:t>
      </w:r>
    </w:p>
    <w:p w:rsidRPr="00F807BA" w:rsidR="003843CE" w:rsidP="00BC06E1" w:rsidRDefault="003843CE" w14:paraId="5FE899A6" w14:textId="29BDD4FC">
      <w:pPr>
        <w:spacing w:after="120" w:line="276" w:lineRule="auto"/>
        <w:ind w:firstLine="708"/>
        <w:jc w:val="both"/>
        <w:rPr>
          <w:rFonts w:ascii="Arial" w:hAnsi="Arial" w:eastAsia="Calibri" w:cs="Arial"/>
          <w:color w:val="000000" w:themeColor="text1"/>
          <w:szCs w:val="24"/>
          <w:lang w:eastAsia="es-ES_tradnl"/>
        </w:rPr>
      </w:pPr>
      <w:r w:rsidRPr="00F807BA">
        <w:rPr>
          <w:rFonts w:ascii="Arial" w:hAnsi="Arial" w:eastAsia="Calibri" w:cs="Arial"/>
          <w:color w:val="000000" w:themeColor="text1"/>
          <w:szCs w:val="24"/>
          <w:lang w:eastAsia="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w:t>
      </w:r>
      <w:r w:rsidRPr="00F807BA">
        <w:rPr>
          <w:rFonts w:ascii="Arial" w:hAnsi="Arial" w:eastAsia="Calibri" w:cs="Arial"/>
          <w:color w:val="000000" w:themeColor="text1"/>
          <w:szCs w:val="24"/>
          <w:lang w:eastAsia="es-ES_tradnl"/>
        </w:rPr>
        <w:lastRenderedPageBreak/>
        <w:t>procedimiento de selección y, en caso de conflicto, a las autoridades judiciales, fiscales y disciplinarias.</w:t>
      </w:r>
    </w:p>
    <w:p w:rsidRPr="00F807BA" w:rsidR="002A2567" w:rsidP="00CF76CC" w:rsidRDefault="002A2567" w14:paraId="5E97E947" w14:textId="39D3FC63">
      <w:pPr>
        <w:spacing w:after="120" w:line="276" w:lineRule="auto"/>
        <w:ind w:firstLine="708"/>
        <w:jc w:val="both"/>
        <w:rPr>
          <w:rFonts w:ascii="Arial" w:hAnsi="Arial" w:eastAsia="Calibri" w:cs="Arial"/>
          <w:color w:val="000000" w:themeColor="text1"/>
          <w:szCs w:val="24"/>
          <w:lang w:eastAsia="es-ES_tradnl"/>
        </w:rPr>
      </w:pPr>
      <w:r w:rsidRPr="00F807BA">
        <w:rPr>
          <w:rFonts w:ascii="Arial" w:hAnsi="Arial" w:eastAsia="Calibri" w:cs="Arial"/>
          <w:color w:val="000000" w:themeColor="text1"/>
          <w:szCs w:val="24"/>
          <w:lang w:eastAsia="es-ES_tradnl"/>
        </w:rPr>
        <w:t xml:space="preserve">En atención a lo anterior, la Subdirección responderá su consulta dentro de los límites de su competencia previo análisis de los siguientes temas: </w:t>
      </w:r>
      <w:r w:rsidRPr="00F807BA" w:rsidR="00CF76CC">
        <w:rPr>
          <w:rFonts w:ascii="Arial" w:hAnsi="Arial" w:eastAsia="Calibri" w:cs="Arial"/>
          <w:color w:val="000000" w:themeColor="text1"/>
          <w:szCs w:val="24"/>
          <w:lang w:val="es-ES_tradnl" w:eastAsia="es-ES_tradnl"/>
        </w:rPr>
        <w:t>i) alcance de las restricciones establecidas en la Ley 996 de 2005 –más conocida como «Ley de Garantías Electorales»–, ii) restricciones especiales aplicables de cara a las elecciones presidenciales, y iii) aplicación de la Ley de Garantías Electorales a la contratación directa sometida a los reglamentos de los organismos de cooperación, asistencia o ayuda internacional</w:t>
      </w:r>
      <w:r w:rsidRPr="00F807BA">
        <w:rPr>
          <w:rFonts w:ascii="Arial" w:hAnsi="Arial" w:eastAsia="Calibri" w:cs="Arial"/>
          <w:color w:val="000000" w:themeColor="text1"/>
          <w:szCs w:val="24"/>
          <w:lang w:eastAsia="es-ES_tradnl"/>
        </w:rPr>
        <w:t>.</w:t>
      </w:r>
    </w:p>
    <w:p w:rsidRPr="00F807BA" w:rsidR="003843CE" w:rsidP="009D600E" w:rsidRDefault="00B12BA4" w14:paraId="3E8AD507" w14:textId="07613277">
      <w:pPr>
        <w:tabs>
          <w:tab w:val="left" w:pos="426"/>
        </w:tabs>
        <w:spacing w:after="0" w:line="276" w:lineRule="auto"/>
        <w:jc w:val="both"/>
        <w:rPr>
          <w:rFonts w:ascii="Arial" w:hAnsi="Arial" w:eastAsia="Calibri" w:cs="Arial"/>
          <w:lang w:val="es-ES"/>
        </w:rPr>
      </w:pPr>
      <w:r w:rsidRPr="00F807BA">
        <w:rPr>
          <w:rFonts w:ascii="Arial" w:hAnsi="Arial" w:eastAsia="Calibri" w:cs="Arial"/>
          <w:color w:val="000000" w:themeColor="text1"/>
          <w:szCs w:val="24"/>
          <w:lang w:eastAsia="es-ES_tradnl"/>
        </w:rPr>
        <w:tab/>
      </w:r>
      <w:r w:rsidRPr="00F807BA">
        <w:rPr>
          <w:rFonts w:ascii="Arial" w:hAnsi="Arial" w:eastAsia="Calibri" w:cs="Arial"/>
          <w:color w:val="000000" w:themeColor="text1"/>
          <w:szCs w:val="24"/>
          <w:lang w:eastAsia="es-ES_tradnl"/>
        </w:rPr>
        <w:tab/>
      </w:r>
      <w:r w:rsidRPr="00F807BA" w:rsidR="003843CE">
        <w:rPr>
          <w:rFonts w:ascii="Arial" w:hAnsi="Arial" w:eastAsia="Calibri" w:cs="Arial"/>
          <w:color w:val="000000" w:themeColor="text1"/>
          <w:szCs w:val="24"/>
          <w:lang w:eastAsia="es-ES_tradnl"/>
        </w:rPr>
        <w:t>La Agencia Nacional de Contratación Pública – Colombia Compra Eficiente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 y C-543 del 11 de noviembre de 2021, C-633 del 11 de noviembre de 2021, 681 del 7 de diciembre de 2021, C-686 del 21 de diciembre de 2021, C-697 del 3 de enero de 2022, C-009 del 15 de febrero de 2022, C-005 del 16 de febrero de  2022, C-014 del 18 de febrero de 2022, C- 022 del 21 de febrero de 2022, C-045 del 3 de marzo de 2022, C-064 del 8 de marzo de 2022, C-072 del 11 de marzo de 2022, C-097 del 18 de febrero de 2022</w:t>
      </w:r>
      <w:r w:rsidRPr="00F807BA" w:rsidR="00797368">
        <w:rPr>
          <w:rFonts w:ascii="Arial" w:hAnsi="Arial" w:eastAsia="Calibri" w:cs="Arial"/>
          <w:color w:val="000000" w:themeColor="text1"/>
          <w:szCs w:val="24"/>
          <w:lang w:eastAsia="es-ES_tradnl"/>
        </w:rPr>
        <w:t xml:space="preserve">, </w:t>
      </w:r>
      <w:r w:rsidRPr="00F807BA" w:rsidR="003843CE">
        <w:rPr>
          <w:rFonts w:ascii="Arial" w:hAnsi="Arial" w:eastAsia="Calibri" w:cs="Arial"/>
          <w:color w:val="000000" w:themeColor="text1"/>
          <w:szCs w:val="24"/>
          <w:lang w:eastAsia="es-ES_tradnl"/>
        </w:rPr>
        <w:t>C-116 del 18 de febrero de 2022</w:t>
      </w:r>
      <w:r w:rsidRPr="00F807BA" w:rsidR="00797368">
        <w:rPr>
          <w:rFonts w:ascii="Arial" w:hAnsi="Arial" w:eastAsia="Calibri" w:cs="Arial"/>
          <w:color w:val="000000" w:themeColor="text1"/>
          <w:szCs w:val="24"/>
          <w:lang w:eastAsia="es-ES_tradnl"/>
        </w:rPr>
        <w:t xml:space="preserve"> y C-077 del 17 de marzo de </w:t>
      </w:r>
      <w:r w:rsidRPr="00F807BA" w:rsidR="001E4467">
        <w:rPr>
          <w:rFonts w:ascii="Arial" w:hAnsi="Arial" w:eastAsia="Calibri" w:cs="Arial"/>
          <w:color w:val="000000" w:themeColor="text1"/>
          <w:szCs w:val="24"/>
          <w:lang w:eastAsia="es-ES_tradnl"/>
        </w:rPr>
        <w:t>2022</w:t>
      </w:r>
      <w:r w:rsidRPr="00F807BA" w:rsidR="003843CE">
        <w:rPr>
          <w:rFonts w:ascii="Arial" w:hAnsi="Arial" w:eastAsia="Calibri" w:cs="Arial"/>
          <w:color w:val="000000" w:themeColor="text1"/>
          <w:szCs w:val="24"/>
          <w:lang w:eastAsia="es-ES_tradnl"/>
        </w:rPr>
        <w:t xml:space="preserve">, entre otros. </w:t>
      </w:r>
      <w:r w:rsidRPr="00F807BA">
        <w:rPr>
          <w:rFonts w:ascii="Arial" w:hAnsi="Arial" w:eastAsia="Calibri" w:cs="Arial"/>
        </w:rPr>
        <w:t xml:space="preserve">Dichos conceptos serán reiterados y complementados, en lo pertinente, efectuando algunas precisiones sobre </w:t>
      </w:r>
      <w:r w:rsidRPr="00F807BA" w:rsidR="008C2697">
        <w:rPr>
          <w:rFonts w:ascii="Arial" w:hAnsi="Arial" w:eastAsia="Calibri" w:cs="Arial"/>
        </w:rPr>
        <w:t>los</w:t>
      </w:r>
      <w:r w:rsidRPr="00F807BA">
        <w:rPr>
          <w:rFonts w:ascii="Arial" w:hAnsi="Arial" w:eastAsia="Calibri" w:cs="Arial"/>
        </w:rPr>
        <w:t xml:space="preserve"> </w:t>
      </w:r>
      <w:r w:rsidRPr="00F807BA" w:rsidR="008C2697">
        <w:rPr>
          <w:rFonts w:ascii="Arial" w:hAnsi="Arial" w:eastAsia="Calibri" w:cs="Arial"/>
        </w:rPr>
        <w:t>C</w:t>
      </w:r>
      <w:r w:rsidRPr="00F807BA">
        <w:rPr>
          <w:rFonts w:ascii="Arial" w:hAnsi="Arial" w:eastAsia="Calibri" w:cs="Arial"/>
        </w:rPr>
        <w:t>oncepto</w:t>
      </w:r>
      <w:r w:rsidRPr="00F807BA" w:rsidR="008C2697">
        <w:rPr>
          <w:rFonts w:ascii="Arial" w:hAnsi="Arial" w:eastAsia="Calibri" w:cs="Arial"/>
        </w:rPr>
        <w:t xml:space="preserve">s </w:t>
      </w:r>
      <w:r w:rsidRPr="00F807BA" w:rsidR="008C2697">
        <w:rPr>
          <w:rFonts w:ascii="Arial" w:hAnsi="Arial" w:eastAsia="Calibri" w:cs="Arial"/>
          <w:bCs/>
        </w:rPr>
        <w:t>C-296 del 22 de junio</w:t>
      </w:r>
      <w:r w:rsidRPr="00F807BA">
        <w:rPr>
          <w:rFonts w:ascii="Arial" w:hAnsi="Arial" w:eastAsia="Calibri" w:cs="Arial"/>
        </w:rPr>
        <w:t xml:space="preserve"> </w:t>
      </w:r>
      <w:r w:rsidRPr="00F807BA" w:rsidR="008C2697">
        <w:rPr>
          <w:rFonts w:ascii="Arial" w:hAnsi="Arial" w:eastAsia="Calibri" w:cs="Arial"/>
        </w:rPr>
        <w:t xml:space="preserve">de 2021 y </w:t>
      </w:r>
      <w:r w:rsidRPr="00F807BA">
        <w:rPr>
          <w:rFonts w:ascii="Arial" w:hAnsi="Arial" w:eastAsia="Calibri" w:cs="Arial"/>
        </w:rPr>
        <w:t>C-559 del 31 de agosto de 2021.</w:t>
      </w:r>
    </w:p>
    <w:p w:rsidRPr="00F807BA" w:rsidR="00BC06E1" w:rsidP="0003362C" w:rsidRDefault="00BC06E1" w14:paraId="12933AF9" w14:textId="59902682">
      <w:pPr>
        <w:spacing w:after="0" w:line="276" w:lineRule="auto"/>
        <w:contextualSpacing/>
        <w:jc w:val="both"/>
        <w:rPr>
          <w:rFonts w:ascii="Arial" w:hAnsi="Arial" w:eastAsia="Calibri" w:cs="Arial"/>
          <w:color w:val="000000" w:themeColor="text1"/>
          <w:szCs w:val="24"/>
          <w:lang w:eastAsia="es-ES_tradnl"/>
        </w:rPr>
      </w:pPr>
    </w:p>
    <w:p w:rsidRPr="00F807BA" w:rsidR="0003362C" w:rsidP="0003362C" w:rsidRDefault="0003362C" w14:paraId="5D9A3B7D" w14:textId="77777777">
      <w:pPr>
        <w:tabs>
          <w:tab w:val="left" w:pos="426"/>
        </w:tabs>
        <w:spacing w:after="0" w:line="276" w:lineRule="auto"/>
        <w:jc w:val="both"/>
        <w:rPr>
          <w:rFonts w:ascii="Arial" w:hAnsi="Arial" w:eastAsia="Calibri" w:cs="Arial"/>
          <w:b/>
          <w:bCs/>
          <w:lang w:val="es-ES_tradnl"/>
        </w:rPr>
      </w:pPr>
      <w:r w:rsidRPr="00F807BA">
        <w:rPr>
          <w:rFonts w:ascii="Arial" w:hAnsi="Arial" w:eastAsia="Calibri" w:cs="Arial"/>
          <w:b/>
          <w:bCs/>
          <w:lang w:val="es-ES_tradnl"/>
        </w:rPr>
        <w:t>2.1. Definición y finalidad de la Ley de Garantías Electorales: alcance de las restricciones</w:t>
      </w:r>
    </w:p>
    <w:p w:rsidRPr="00F807BA" w:rsidR="0003362C" w:rsidP="0003362C" w:rsidRDefault="0003362C" w14:paraId="00E91B8E" w14:textId="77777777">
      <w:pPr>
        <w:tabs>
          <w:tab w:val="left" w:pos="426"/>
        </w:tabs>
        <w:spacing w:after="0" w:line="276" w:lineRule="auto"/>
        <w:ind w:firstLine="709"/>
        <w:jc w:val="both"/>
        <w:rPr>
          <w:rFonts w:ascii="Arial" w:hAnsi="Arial" w:eastAsia="Calibri" w:cs="Arial"/>
          <w:bCs/>
          <w:lang w:val="es-ES_tradnl"/>
        </w:rPr>
      </w:pPr>
    </w:p>
    <w:p w:rsidRPr="00F807BA" w:rsidR="0003362C" w:rsidP="0003362C" w:rsidRDefault="0003362C" w14:paraId="09D2D4B5" w14:textId="77777777">
      <w:pPr>
        <w:tabs>
          <w:tab w:val="left" w:pos="426"/>
        </w:tabs>
        <w:spacing w:after="120" w:line="276" w:lineRule="auto"/>
        <w:jc w:val="both"/>
        <w:rPr>
          <w:rFonts w:ascii="Arial" w:hAnsi="Arial" w:cs="Arial"/>
          <w:bCs/>
          <w:lang w:val="es-ES_tradnl" w:eastAsia="es-CO"/>
        </w:rPr>
      </w:pPr>
      <w:r w:rsidRPr="00F807BA">
        <w:rPr>
          <w:rFonts w:ascii="Arial" w:hAnsi="Arial" w:eastAsia="Calibri" w:cs="Arial"/>
          <w:bCs/>
          <w:lang w:val="es-ES_tradnl"/>
        </w:rPr>
        <w:t>El ordenamiento jurídico colombiano contempla previsiones claras para evitar la obtención de beneficios personales en asuntos propios de la administración pública</w:t>
      </w:r>
      <w:r w:rsidRPr="00F807BA">
        <w:rPr>
          <w:rFonts w:ascii="Arial" w:hAnsi="Arial" w:eastAsia="Calibri" w:cs="Arial"/>
          <w:bCs/>
          <w:i/>
          <w:iCs/>
          <w:lang w:val="es-ES_tradnl"/>
        </w:rPr>
        <w:t xml:space="preserve">. </w:t>
      </w:r>
      <w:r w:rsidRPr="00F807BA">
        <w:rPr>
          <w:rFonts w:ascii="Arial" w:hAnsi="Arial" w:eastAsia="Calibri" w:cs="Arial"/>
          <w:bCs/>
          <w:lang w:val="es-ES_tradnl"/>
        </w:rPr>
        <w:t xml:space="preserve">Por ejemplo, el artículo 127 de la Constitución Política establece una prohibición </w:t>
      </w:r>
      <w:r w:rsidRPr="00F807BA">
        <w:rPr>
          <w:rFonts w:ascii="Arial" w:hAnsi="Arial" w:eastAsia="Calibri" w:cs="Arial"/>
          <w:bCs/>
          <w:lang w:val="es-ES_tradnl"/>
        </w:rPr>
        <w:lastRenderedPageBreak/>
        <w:t>contractual a los servidores públicos y, en cuanto a aspectos políticos, establece restricciones a ciertos empleados del Estado, incluso en época no electoral</w:t>
      </w:r>
      <w:r w:rsidRPr="00F807BA">
        <w:rPr>
          <w:rStyle w:val="Refdenotaalpie"/>
          <w:rFonts w:ascii="Arial" w:hAnsi="Arial" w:eastAsia="Calibri" w:cs="Arial"/>
        </w:rPr>
        <w:footnoteReference w:id="2"/>
      </w:r>
      <w:r w:rsidRPr="00F807BA">
        <w:rPr>
          <w:rFonts w:ascii="Arial" w:hAnsi="Arial" w:eastAsia="Calibri" w:cs="Arial"/>
          <w:bCs/>
          <w:lang w:val="es-ES_tradnl"/>
        </w:rPr>
        <w:t xml:space="preserve">. </w:t>
      </w:r>
    </w:p>
    <w:p w:rsidRPr="00F807BA" w:rsidR="0003362C" w:rsidP="0003362C" w:rsidRDefault="0003362C" w14:paraId="7836C71E" w14:textId="77777777">
      <w:pPr>
        <w:tabs>
          <w:tab w:val="left" w:pos="426"/>
        </w:tabs>
        <w:spacing w:after="0" w:line="276" w:lineRule="auto"/>
        <w:ind w:firstLine="709"/>
        <w:jc w:val="both"/>
        <w:rPr>
          <w:rFonts w:ascii="Arial" w:hAnsi="Arial" w:cs="Arial"/>
          <w:bCs/>
          <w:lang w:val="es-ES_tradnl" w:eastAsia="es-CO"/>
        </w:rPr>
      </w:pPr>
      <w:r w:rsidRPr="00F807BA">
        <w:rPr>
          <w:rFonts w:ascii="Arial" w:hAnsi="Arial" w:cs="Arial"/>
          <w:bCs/>
          <w:lang w:val="es-ES_tradnl" w:eastAsia="es-CO"/>
        </w:rPr>
        <w:t xml:space="preserve">En el mismo sentido, </w:t>
      </w:r>
      <w:bookmarkStart w:name="_Hlk99448083" w:id="7"/>
      <w:r w:rsidRPr="00F807BA">
        <w:rPr>
          <w:rFonts w:ascii="Arial" w:hAnsi="Arial" w:cs="Arial"/>
          <w:bCs/>
          <w:lang w:val="es-ES_tradnl" w:eastAsia="es-CO"/>
        </w:rPr>
        <w:t>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F807BA">
        <w:rPr>
          <w:rStyle w:val="Refdenotaalpie"/>
          <w:rFonts w:ascii="Arial" w:hAnsi="Arial" w:cs="Arial"/>
        </w:rPr>
        <w:footnoteReference w:id="3"/>
      </w:r>
      <w:r w:rsidRPr="00F807BA">
        <w:rPr>
          <w:rFonts w:ascii="Arial" w:hAnsi="Arial" w:cs="Arial"/>
          <w:bCs/>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F807BA">
        <w:rPr>
          <w:rFonts w:ascii="Arial" w:hAnsi="Arial" w:eastAsia="Calibri" w:cs="Arial"/>
          <w:noProof/>
          <w:lang w:val="es-ES_tradnl"/>
        </w:rPr>
        <w:t xml:space="preserve"> </w:t>
      </w:r>
      <w:bookmarkEnd w:id="7"/>
      <w:r w:rsidRPr="00F807BA">
        <w:rPr>
          <w:rFonts w:ascii="Arial" w:hAnsi="Arial" w:cs="Arial"/>
          <w:bCs/>
          <w:lang w:val="es-ES_tradnl" w:eastAsia="es-CO"/>
        </w:rPr>
        <w:t>En armonía con lo anterior, la Corte Constitucional ha abordado la definición de la Ley de Garantías Electorales. De esta manera, explica que tiene como propósito:</w:t>
      </w:r>
    </w:p>
    <w:p w:rsidRPr="00F807BA" w:rsidR="0003362C" w:rsidP="0003362C" w:rsidRDefault="0003362C" w14:paraId="6881CB69" w14:textId="77777777">
      <w:pPr>
        <w:spacing w:after="0"/>
        <w:ind w:right="709"/>
        <w:jc w:val="both"/>
        <w:rPr>
          <w:rFonts w:ascii="Arial" w:hAnsi="Arial" w:cs="Arial"/>
          <w:sz w:val="21"/>
          <w:szCs w:val="21"/>
          <w:lang w:val="es-ES_tradnl" w:eastAsia="es-CO"/>
        </w:rPr>
      </w:pPr>
    </w:p>
    <w:p w:rsidRPr="00F807BA" w:rsidR="0003362C" w:rsidP="000E427F" w:rsidRDefault="0003362C" w14:paraId="566566F7" w14:textId="77777777">
      <w:pPr>
        <w:spacing w:after="0" w:line="240" w:lineRule="auto"/>
        <w:ind w:left="709" w:right="709"/>
        <w:jc w:val="both"/>
        <w:rPr>
          <w:rFonts w:ascii="Arial" w:hAnsi="Arial" w:cs="Arial"/>
          <w:bCs/>
          <w:sz w:val="21"/>
          <w:szCs w:val="21"/>
          <w:lang w:val="es-ES_tradnl" w:eastAsia="es-CO"/>
        </w:rPr>
      </w:pPr>
      <w:r w:rsidRPr="00F807BA">
        <w:rPr>
          <w:rFonts w:ascii="Arial" w:hAnsi="Arial" w:cs="Arial"/>
          <w:sz w:val="21"/>
          <w:szCs w:val="21"/>
          <w:lang w:val="es-ES_tradnl" w:eastAsia="es-CO"/>
        </w:rPr>
        <w:t xml:space="preserve">[…] </w:t>
      </w:r>
      <w:r w:rsidRPr="00F807BA">
        <w:rPr>
          <w:rFonts w:ascii="Arial" w:hAnsi="Arial" w:cs="Arial"/>
          <w:bCs/>
          <w:sz w:val="21"/>
          <w:szCs w:val="21"/>
          <w:lang w:val="es-ES_tradnl" w:eastAsia="es-CO"/>
        </w:rPr>
        <w:t>la definición de reglas claras que permitan acceder a los canales de expresión democrática de manera efectiva e igualitaria. El objetivo de una ley de garantías es definir esas reglas.</w:t>
      </w:r>
    </w:p>
    <w:p w:rsidRPr="00F807BA" w:rsidR="0003362C" w:rsidP="000E427F" w:rsidRDefault="0003362C" w14:paraId="0B2BFA2F" w14:textId="77777777">
      <w:pPr>
        <w:spacing w:after="120" w:line="240" w:lineRule="auto"/>
        <w:ind w:left="709" w:right="709"/>
        <w:jc w:val="both"/>
        <w:rPr>
          <w:rFonts w:ascii="Arial" w:hAnsi="Arial" w:cs="Arial"/>
          <w:bCs/>
          <w:sz w:val="21"/>
          <w:szCs w:val="21"/>
          <w:lang w:val="es-ES_tradnl" w:eastAsia="es-CO"/>
        </w:rPr>
      </w:pPr>
      <w:r w:rsidRPr="00F807BA">
        <w:rPr>
          <w:rFonts w:ascii="Arial" w:hAnsi="Arial" w:cs="Arial"/>
          <w:bCs/>
          <w:sz w:val="21"/>
          <w:szCs w:val="21"/>
          <w:lang w:val="es-ES_tradnl" w:eastAsia="es-CO"/>
        </w:rPr>
        <w:t xml:space="preserve">[…] </w:t>
      </w:r>
    </w:p>
    <w:p w:rsidRPr="00F807BA" w:rsidR="0003362C" w:rsidP="000E427F" w:rsidRDefault="0003362C" w14:paraId="3129987E" w14:textId="77777777">
      <w:pPr>
        <w:spacing w:after="0" w:line="240" w:lineRule="auto"/>
        <w:ind w:left="709" w:right="709"/>
        <w:jc w:val="both"/>
        <w:rPr>
          <w:rFonts w:ascii="Arial" w:hAnsi="Arial" w:cs="Arial"/>
          <w:bCs/>
          <w:sz w:val="21"/>
          <w:szCs w:val="21"/>
          <w:lang w:val="es-ES_tradnl" w:eastAsia="es-CO"/>
        </w:rPr>
      </w:pPr>
      <w:r w:rsidRPr="00F807BA">
        <w:rPr>
          <w:rFonts w:ascii="Arial" w:hAnsi="Arial" w:cs="Arial"/>
          <w:bCs/>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F807BA">
        <w:rPr>
          <w:rStyle w:val="Refdenotaalpie"/>
        </w:rPr>
        <w:footnoteReference w:id="4"/>
      </w:r>
    </w:p>
    <w:p w:rsidRPr="00F807BA" w:rsidR="0003362C" w:rsidP="00E31114" w:rsidRDefault="0003362C" w14:paraId="23CBF530" w14:textId="77777777">
      <w:pPr>
        <w:spacing w:after="0" w:line="276" w:lineRule="auto"/>
        <w:ind w:left="709" w:right="709"/>
        <w:jc w:val="both"/>
        <w:rPr>
          <w:rFonts w:ascii="Arial" w:hAnsi="Arial" w:cs="Arial"/>
          <w:bCs/>
          <w:sz w:val="21"/>
          <w:szCs w:val="21"/>
          <w:lang w:val="es-ES_tradnl" w:eastAsia="es-CO"/>
        </w:rPr>
      </w:pPr>
    </w:p>
    <w:p w:rsidRPr="00F807BA" w:rsidR="0003362C" w:rsidP="00E31114" w:rsidRDefault="0003362C" w14:paraId="6289FCFD" w14:textId="77777777">
      <w:pPr>
        <w:spacing w:after="0" w:line="276" w:lineRule="auto"/>
        <w:ind w:firstLine="709"/>
        <w:jc w:val="both"/>
        <w:rPr>
          <w:rFonts w:ascii="Arial" w:hAnsi="Arial" w:cs="Arial"/>
          <w:bCs/>
          <w:lang w:val="es-ES_tradnl" w:eastAsia="es-CO"/>
        </w:rPr>
      </w:pPr>
      <w:bookmarkStart w:name="_Hlk99448209" w:id="8"/>
      <w:r w:rsidRPr="00F807BA">
        <w:rPr>
          <w:rFonts w:ascii="Arial" w:hAnsi="Arial" w:cs="Arial"/>
          <w:bCs/>
          <w:lang w:val="es-ES_tradnl"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8"/>
      <w:r w:rsidRPr="00F807BA">
        <w:rPr>
          <w:rFonts w:ascii="Arial" w:hAnsi="Arial" w:cs="Arial"/>
          <w:bCs/>
          <w:lang w:val="es-ES_tradnl"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rsidRPr="00F807BA" w:rsidR="0003362C" w:rsidP="00E31114" w:rsidRDefault="0003362C" w14:paraId="62BB6BD8" w14:textId="77777777">
      <w:pPr>
        <w:spacing w:after="0" w:line="276" w:lineRule="auto"/>
        <w:ind w:firstLine="709"/>
        <w:jc w:val="both"/>
        <w:rPr>
          <w:rFonts w:ascii="Arial" w:hAnsi="Arial" w:cs="Arial"/>
          <w:bCs/>
          <w:lang w:val="es-ES_tradnl" w:eastAsia="es-CO"/>
        </w:rPr>
      </w:pPr>
    </w:p>
    <w:p w:rsidRPr="00F807BA" w:rsidR="0003362C" w:rsidP="000E427F" w:rsidRDefault="0003362C" w14:paraId="4B2539ED" w14:textId="77777777">
      <w:pPr>
        <w:spacing w:after="120" w:line="240" w:lineRule="auto"/>
        <w:ind w:left="709" w:right="709"/>
        <w:jc w:val="both"/>
        <w:rPr>
          <w:rFonts w:ascii="Arial" w:hAnsi="Arial" w:cs="Arial"/>
          <w:bCs/>
          <w:sz w:val="21"/>
          <w:szCs w:val="21"/>
          <w:lang w:val="es-ES_tradnl" w:eastAsia="es-CO"/>
        </w:rPr>
      </w:pPr>
      <w:r w:rsidRPr="00F807BA">
        <w:rPr>
          <w:rFonts w:ascii="Arial" w:hAnsi="Arial" w:cs="Arial"/>
          <w:bCs/>
          <w:sz w:val="21"/>
          <w:szCs w:val="21"/>
          <w:lang w:val="es-ES_tradnl"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rsidRPr="00F807BA" w:rsidR="0003362C" w:rsidP="000E427F" w:rsidRDefault="0003362C" w14:paraId="6E2C079F" w14:textId="77777777">
      <w:pPr>
        <w:spacing w:after="0" w:line="240" w:lineRule="auto"/>
        <w:ind w:left="709" w:right="709"/>
        <w:jc w:val="both"/>
        <w:rPr>
          <w:rFonts w:ascii="Arial" w:hAnsi="Arial" w:cs="Arial"/>
          <w:bCs/>
          <w:sz w:val="21"/>
          <w:szCs w:val="21"/>
          <w:lang w:val="es-ES_tradnl" w:eastAsia="es-CO"/>
        </w:rPr>
      </w:pPr>
      <w:r w:rsidRPr="00F807BA">
        <w:rPr>
          <w:rFonts w:ascii="Arial" w:hAnsi="Arial" w:cs="Arial"/>
          <w:bCs/>
          <w:sz w:val="21"/>
          <w:szCs w:val="21"/>
          <w:lang w:val="es-ES_tradnl" w:eastAsia="es-CO"/>
        </w:rPr>
        <w:t>La jurisprudencia de la Corte Constitucional</w:t>
      </w:r>
      <w:r w:rsidRPr="00F807BA">
        <w:rPr>
          <w:rStyle w:val="Refdenotaalpie"/>
          <w:rFonts w:ascii="Arial" w:hAnsi="Arial" w:cs="Arial"/>
          <w:sz w:val="21"/>
          <w:szCs w:val="21"/>
        </w:rPr>
        <w:footnoteReference w:id="5"/>
      </w:r>
      <w:r w:rsidRPr="00F807BA">
        <w:rPr>
          <w:rFonts w:ascii="Arial" w:hAnsi="Arial" w:cs="Arial"/>
          <w:bCs/>
          <w:sz w:val="21"/>
          <w:szCs w:val="21"/>
          <w:lang w:val="es-ES_tradnl" w:eastAsia="es-CO"/>
        </w:rPr>
        <w:t> y del Consejo de Estado</w:t>
      </w:r>
      <w:r w:rsidRPr="00F807BA">
        <w:rPr>
          <w:rStyle w:val="Refdenotaalpie"/>
          <w:rFonts w:ascii="Arial" w:hAnsi="Arial" w:cs="Arial"/>
          <w:sz w:val="21"/>
          <w:szCs w:val="21"/>
        </w:rPr>
        <w:footnoteReference w:id="6"/>
      </w:r>
      <w:r w:rsidRPr="00F807BA">
        <w:rPr>
          <w:rFonts w:ascii="Arial" w:hAnsi="Arial" w:cs="Arial"/>
          <w:bCs/>
          <w:sz w:val="21"/>
          <w:szCs w:val="21"/>
          <w:lang w:val="es-ES_tradnl"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F807BA">
        <w:rPr>
          <w:rStyle w:val="Refdenotaalpie"/>
          <w:rFonts w:ascii="Arial" w:hAnsi="Arial" w:cs="Arial"/>
          <w:sz w:val="21"/>
          <w:szCs w:val="21"/>
        </w:rPr>
        <w:footnoteReference w:id="7"/>
      </w:r>
      <w:r w:rsidRPr="00F807BA">
        <w:rPr>
          <w:rFonts w:ascii="Arial" w:hAnsi="Arial" w:cs="Arial"/>
          <w:bCs/>
          <w:sz w:val="21"/>
          <w:szCs w:val="21"/>
          <w:lang w:val="es-ES_tradnl" w:eastAsia="es-CO"/>
        </w:rPr>
        <w:t>.</w:t>
      </w:r>
    </w:p>
    <w:p w:rsidRPr="00F807BA" w:rsidR="0003362C" w:rsidP="00E31114" w:rsidRDefault="0003362C" w14:paraId="2A2D4664" w14:textId="77777777">
      <w:pPr>
        <w:spacing w:after="0" w:line="276" w:lineRule="auto"/>
        <w:ind w:right="709"/>
        <w:jc w:val="both"/>
        <w:rPr>
          <w:rFonts w:ascii="Arial" w:hAnsi="Arial" w:cs="Arial"/>
          <w:bCs/>
          <w:lang w:val="es-ES_tradnl" w:eastAsia="es-CO"/>
        </w:rPr>
      </w:pPr>
    </w:p>
    <w:p w:rsidRPr="00F807BA" w:rsidR="0003362C" w:rsidP="0003362C" w:rsidRDefault="0003362C" w14:paraId="25F225E6" w14:textId="77777777">
      <w:pPr>
        <w:spacing w:after="120" w:line="276" w:lineRule="auto"/>
        <w:jc w:val="both"/>
        <w:rPr>
          <w:rFonts w:ascii="Arial" w:hAnsi="Arial" w:eastAsia="Arial" w:cs="Arial"/>
          <w:lang w:val="es-ES_tradnl" w:eastAsia="es-ES" w:bidi="es-ES"/>
        </w:rPr>
      </w:pPr>
      <w:r w:rsidRPr="00F807BA">
        <w:rPr>
          <w:rFonts w:ascii="Arial" w:hAnsi="Arial" w:cs="Arial"/>
          <w:bCs/>
          <w:lang w:val="es-ES_tradnl" w:eastAsia="es-CO"/>
        </w:rPr>
        <w:lastRenderedPageBreak/>
        <w:tab/>
      </w:r>
      <w:bookmarkStart w:name="_Hlk99448351" w:id="9"/>
      <w:r w:rsidRPr="00F807BA">
        <w:rPr>
          <w:rFonts w:ascii="Arial" w:hAnsi="Arial" w:cs="Arial"/>
          <w:bCs/>
          <w:lang w:val="es-ES_tradnl" w:eastAsia="es-CO"/>
        </w:rPr>
        <w:t>De</w:t>
      </w:r>
      <w:r w:rsidRPr="00F807BA">
        <w:rPr>
          <w:rFonts w:ascii="Arial" w:hAnsi="Arial" w:eastAsia="Arial" w:cs="Arial"/>
          <w:lang w:val="es-ES_tradnl"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rsidRPr="00F807BA" w:rsidR="0003362C" w:rsidP="0003362C" w:rsidRDefault="0003362C" w14:paraId="55A4AB8A" w14:textId="77777777">
      <w:pPr>
        <w:spacing w:after="120" w:line="276" w:lineRule="auto"/>
        <w:ind w:firstLine="708"/>
        <w:jc w:val="both"/>
        <w:rPr>
          <w:rFonts w:ascii="Arial" w:hAnsi="Arial" w:eastAsia="Calibri" w:cs="Arial"/>
          <w:lang w:val="es-ES_tradnl"/>
        </w:rPr>
      </w:pPr>
      <w:r w:rsidRPr="00F807BA">
        <w:rPr>
          <w:rFonts w:ascii="Arial" w:hAnsi="Arial" w:eastAsia="Calibri" w:cs="Arial"/>
          <w:lang w:val="es-ES_tradnl"/>
        </w:rPr>
        <w:t xml:space="preserve">Por un lado, el artículo 33 de la Ley 996 de 2005 prohíbe </w:t>
      </w:r>
      <w:r w:rsidRPr="00F807BA">
        <w:rPr>
          <w:rFonts w:ascii="Arial" w:hAnsi="Arial" w:eastAsia="Calibri" w:cs="Arial"/>
          <w:bCs/>
          <w:lang w:val="es-ES_tradnl"/>
        </w:rPr>
        <w:t xml:space="preserve">«[…] </w:t>
      </w:r>
      <w:r w:rsidRPr="00F807BA">
        <w:rPr>
          <w:rFonts w:ascii="Arial" w:hAnsi="Arial" w:eastAsia="Calibri" w:cs="Arial"/>
          <w:lang w:val="es-ES_tradnl"/>
        </w:rPr>
        <w:t>la contratación directa por parte de todos los entes del Estado</w:t>
      </w:r>
      <w:r w:rsidRPr="00F807BA">
        <w:rPr>
          <w:rFonts w:ascii="Arial" w:hAnsi="Arial" w:eastAsia="Calibri" w:cs="Arial"/>
          <w:bCs/>
          <w:lang w:val="es-ES_tradnl"/>
        </w:rPr>
        <w:t>»</w:t>
      </w:r>
      <w:r w:rsidRPr="00F807BA">
        <w:rPr>
          <w:rFonts w:ascii="Arial" w:hAnsi="Arial" w:eastAsia="Calibri" w:cs="Arial"/>
          <w:lang w:val="es-ES_tradnl"/>
        </w:rPr>
        <w:t xml:space="preserve"> durante los cuatro (4) meses anteriores a las elecciones presidenciales, salvo </w:t>
      </w:r>
      <w:r w:rsidRPr="00F807BA">
        <w:rPr>
          <w:rFonts w:ascii="Arial" w:hAnsi="Arial" w:eastAsia="Calibri" w:cs="Arial"/>
          <w:bCs/>
          <w:lang w:val="es-ES_tradnl"/>
        </w:rPr>
        <w:t xml:space="preserve">«[…] </w:t>
      </w:r>
      <w:r w:rsidRPr="00F807BA">
        <w:rPr>
          <w:rFonts w:ascii="Arial" w:hAnsi="Arial" w:eastAsia="Calibri" w:cs="Arial"/>
          <w:lang w:val="es-ES_tradn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F807BA">
        <w:rPr>
          <w:rFonts w:ascii="Arial" w:hAnsi="Arial" w:eastAsia="Calibri" w:cs="Arial"/>
          <w:bCs/>
          <w:lang w:val="es-ES_tradnl"/>
        </w:rPr>
        <w:t>»</w:t>
      </w:r>
      <w:r w:rsidRPr="00F807BA">
        <w:rPr>
          <w:rStyle w:val="Refdenotaalpie"/>
          <w:rFonts w:ascii="Arial" w:hAnsi="Arial" w:eastAsia="Calibri" w:cs="Arial"/>
        </w:rPr>
        <w:footnoteReference w:id="8"/>
      </w:r>
      <w:r w:rsidRPr="00F807BA">
        <w:rPr>
          <w:rFonts w:ascii="Arial" w:hAnsi="Arial" w:eastAsia="Calibri" w:cs="Arial"/>
          <w:lang w:val="es-ES_tradnl"/>
        </w:rPr>
        <w:t>.</w:t>
      </w:r>
    </w:p>
    <w:p w:rsidRPr="00F807BA" w:rsidR="0003362C" w:rsidP="00E31114" w:rsidRDefault="0003362C" w14:paraId="2955B5CF" w14:textId="77777777">
      <w:pPr>
        <w:widowControl w:val="0"/>
        <w:autoSpaceDE w:val="0"/>
        <w:autoSpaceDN w:val="0"/>
        <w:spacing w:after="0" w:line="276" w:lineRule="auto"/>
        <w:ind w:right="113" w:firstLine="708"/>
        <w:jc w:val="both"/>
        <w:rPr>
          <w:rFonts w:ascii="Arial" w:hAnsi="Arial" w:eastAsia="Arial" w:cs="Arial"/>
          <w:lang w:val="es-ES_tradnl" w:eastAsia="es-ES" w:bidi="es-ES"/>
        </w:rPr>
      </w:pPr>
      <w:r w:rsidRPr="00F807BA">
        <w:rPr>
          <w:rFonts w:ascii="Arial" w:hAnsi="Arial" w:eastAsia="Calibri" w:cs="Arial"/>
          <w:lang w:val="es-ES_tradnl"/>
        </w:rPr>
        <w:t xml:space="preserve">Por otro lado, el parágrafo del artículo 38 de la Ley 996 de 2005 –modificado transitoriamente por el artículo 124 de la Ley 2159 de 2021–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F807BA">
        <w:rPr>
          <w:rFonts w:ascii="Arial" w:hAnsi="Arial" w:eastAsia="Calibri" w:cs="Arial"/>
          <w:bCs/>
          <w:lang w:val="es-ES_tradnl"/>
        </w:rPr>
        <w:t xml:space="preserve">«[…] </w:t>
      </w:r>
      <w:r w:rsidRPr="00F807BA">
        <w:rPr>
          <w:rFonts w:ascii="Arial" w:hAnsi="Arial" w:eastAsia="Calibri" w:cs="Arial"/>
          <w:lang w:val="es-ES_tradnl"/>
        </w:rPr>
        <w:t xml:space="preserve">celebrar convenios interadministrativos para la ejecución de recursos públicos, ni participar, promover y destinar recursos públicos de las entidades a su cargo, como tampoco de las que participen como miembros de sus juntas directivas, en o para </w:t>
      </w:r>
      <w:r w:rsidRPr="00F807BA">
        <w:rPr>
          <w:rFonts w:ascii="Arial" w:hAnsi="Arial" w:eastAsia="Calibri" w:cs="Arial"/>
          <w:lang w:val="es-ES_tradnl"/>
        </w:rPr>
        <w:lastRenderedPageBreak/>
        <w:t>reuniones de carácter proselitista</w:t>
      </w:r>
      <w:r w:rsidRPr="00F807BA">
        <w:rPr>
          <w:rFonts w:ascii="Arial" w:hAnsi="Arial" w:eastAsia="Calibri" w:cs="Arial"/>
          <w:bCs/>
          <w:lang w:val="es-ES_tradnl"/>
        </w:rPr>
        <w:t>»</w:t>
      </w:r>
      <w:bookmarkEnd w:id="9"/>
      <w:r w:rsidRPr="00F807BA">
        <w:rPr>
          <w:rStyle w:val="Refdenotaalpie"/>
          <w:rFonts w:ascii="Arial" w:hAnsi="Arial" w:eastAsia="Calibri" w:cs="Arial"/>
        </w:rPr>
        <w:footnoteReference w:id="9"/>
      </w:r>
      <w:r w:rsidRPr="00F807BA">
        <w:rPr>
          <w:rFonts w:ascii="Arial" w:hAnsi="Arial" w:eastAsia="Calibri" w:cs="Arial"/>
          <w:lang w:val="es-ES_tradnl"/>
        </w:rPr>
        <w:t>.</w:t>
      </w:r>
      <w:r w:rsidRPr="00F807BA">
        <w:rPr>
          <w:rFonts w:ascii="Arial" w:hAnsi="Arial" w:eastAsia="Arial" w:cs="Arial"/>
          <w:lang w:val="es-ES_tradnl"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rsidRPr="00F807BA" w:rsidR="0003362C" w:rsidP="00E31114" w:rsidRDefault="0003362C" w14:paraId="582C9685" w14:textId="77777777">
      <w:pPr>
        <w:widowControl w:val="0"/>
        <w:autoSpaceDE w:val="0"/>
        <w:autoSpaceDN w:val="0"/>
        <w:spacing w:after="0"/>
        <w:ind w:left="805" w:right="812"/>
        <w:jc w:val="both"/>
        <w:rPr>
          <w:rFonts w:ascii="Arial" w:hAnsi="Arial" w:eastAsia="Arial" w:cs="Arial"/>
          <w:lang w:val="es-ES_tradnl" w:eastAsia="es-ES" w:bidi="es-ES"/>
        </w:rPr>
      </w:pPr>
    </w:p>
    <w:p w:rsidRPr="00F807BA" w:rsidR="0003362C" w:rsidP="000E427F" w:rsidRDefault="0003362C" w14:paraId="419761BB" w14:textId="77777777">
      <w:pPr>
        <w:widowControl w:val="0"/>
        <w:autoSpaceDE w:val="0"/>
        <w:autoSpaceDN w:val="0"/>
        <w:spacing w:after="0" w:line="240" w:lineRule="auto"/>
        <w:ind w:left="709" w:right="709"/>
        <w:jc w:val="both"/>
        <w:rPr>
          <w:rFonts w:ascii="Arial" w:hAnsi="Arial" w:eastAsia="Arial" w:cs="Arial"/>
          <w:sz w:val="21"/>
          <w:szCs w:val="21"/>
          <w:lang w:val="es-ES_tradnl" w:eastAsia="es-ES" w:bidi="es-ES"/>
        </w:rPr>
      </w:pPr>
      <w:r w:rsidRPr="00F807BA">
        <w:rPr>
          <w:rFonts w:ascii="Arial" w:hAnsi="Arial" w:eastAsia="Arial" w:cs="Arial"/>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F807BA">
        <w:rPr>
          <w:rFonts w:ascii="Arial" w:hAnsi="Arial" w:eastAsia="Arial" w:cs="Arial"/>
          <w:bCs/>
          <w:sz w:val="21"/>
          <w:szCs w:val="21"/>
          <w:lang w:val="es-ES_tradnl" w:eastAsia="es-ES" w:bidi="es-ES"/>
        </w:rPr>
        <w:t>En cambio, para elecciones en general, excluyendo las correspondientes a Presidente de la República, a las autoridades territoriales allí mencionadas sólo se aplican las restricciones contenidas en el parágrafo del artículo 38</w:t>
      </w:r>
      <w:r w:rsidRPr="00F807BA">
        <w:rPr>
          <w:rStyle w:val="Refdenotaalpie"/>
          <w:rFonts w:ascii="Arial" w:hAnsi="Arial" w:eastAsia="Arial" w:cs="Arial"/>
          <w:sz w:val="21"/>
          <w:szCs w:val="21"/>
        </w:rPr>
        <w:footnoteReference w:id="10"/>
      </w:r>
      <w:r w:rsidRPr="00F807BA">
        <w:rPr>
          <w:rFonts w:ascii="Arial" w:hAnsi="Arial" w:eastAsia="Arial" w:cs="Arial"/>
          <w:bCs/>
          <w:sz w:val="21"/>
          <w:szCs w:val="21"/>
          <w:lang w:val="es-ES_tradnl" w:eastAsia="es-ES" w:bidi="es-ES"/>
        </w:rPr>
        <w:t>.</w:t>
      </w:r>
    </w:p>
    <w:p w:rsidRPr="00F807BA" w:rsidR="0003362C" w:rsidP="00E31114" w:rsidRDefault="0003362C" w14:paraId="678D0E9C" w14:textId="77777777">
      <w:pPr>
        <w:widowControl w:val="0"/>
        <w:autoSpaceDE w:val="0"/>
        <w:autoSpaceDN w:val="0"/>
        <w:spacing w:before="8" w:after="0"/>
        <w:rPr>
          <w:rFonts w:ascii="Arial" w:hAnsi="Arial" w:eastAsia="Arial" w:cs="Arial"/>
          <w:lang w:val="es-ES_tradnl" w:eastAsia="es-ES" w:bidi="es-ES"/>
        </w:rPr>
      </w:pPr>
    </w:p>
    <w:p w:rsidRPr="00F807BA" w:rsidR="0003362C" w:rsidP="0003362C" w:rsidRDefault="0003362C" w14:paraId="2976620C" w14:textId="77777777">
      <w:pPr>
        <w:spacing w:after="120" w:line="276" w:lineRule="auto"/>
        <w:ind w:firstLine="709"/>
        <w:jc w:val="both"/>
        <w:rPr>
          <w:rFonts w:ascii="Arial" w:hAnsi="Arial" w:eastAsia="Arial" w:cs="Arial"/>
          <w:lang w:val="es-ES_tradnl" w:eastAsia="es-ES" w:bidi="es-ES"/>
        </w:rPr>
      </w:pPr>
      <w:r w:rsidRPr="00F807BA">
        <w:rPr>
          <w:rFonts w:ascii="Arial" w:hAnsi="Arial" w:eastAsia="Arial" w:cs="Arial"/>
          <w:lang w:val="es-ES_tradnl" w:eastAsia="es-ES" w:bidi="es-ES"/>
        </w:rPr>
        <w:t xml:space="preserve">De lo anterior se desprende que la Ley 996 de 2005 establece dos (2) tipos de restricciones en materia de contratación, las cuales coinciden parcialmente. </w:t>
      </w:r>
      <w:r w:rsidRPr="00F807BA">
        <w:rPr>
          <w:rFonts w:ascii="Arial" w:hAnsi="Arial" w:eastAsia="Arial" w:cs="Arial"/>
          <w:i/>
          <w:iCs/>
          <w:lang w:val="es-ES_tradnl" w:eastAsia="es-ES" w:bidi="es-ES"/>
        </w:rPr>
        <w:t>En primer lugar</w:t>
      </w:r>
      <w:r w:rsidRPr="00F807BA">
        <w:rPr>
          <w:rFonts w:ascii="Arial" w:hAnsi="Arial" w:eastAsia="Arial" w:cs="Arial"/>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w:t>
      </w:r>
      <w:r w:rsidRPr="00F807BA">
        <w:rPr>
          <w:rFonts w:ascii="Arial" w:hAnsi="Arial" w:eastAsia="Arial" w:cs="Arial"/>
          <w:lang w:val="es-ES_tradnl" w:eastAsia="es-ES" w:bidi="es-ES"/>
        </w:rPr>
        <w:lastRenderedPageBreak/>
        <w:t xml:space="preserve">de la Constitución Política. Para estos efectos, la restricción se extenderá hasta la fecha en la que se realice la segunda vuelta. </w:t>
      </w:r>
      <w:r w:rsidRPr="00F807BA">
        <w:rPr>
          <w:rFonts w:ascii="Arial" w:hAnsi="Arial" w:eastAsia="Arial" w:cs="Arial"/>
          <w:i/>
          <w:iCs/>
          <w:lang w:val="es-ES_tradnl" w:eastAsia="es-ES" w:bidi="es-ES"/>
        </w:rPr>
        <w:t>En segundo lugar</w:t>
      </w:r>
      <w:r w:rsidRPr="00F807BA">
        <w:rPr>
          <w:rFonts w:ascii="Arial" w:hAnsi="Arial" w:eastAsia="Arial" w:cs="Arial"/>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rsidRPr="00F807BA" w:rsidR="0003362C" w:rsidP="0003362C" w:rsidRDefault="0003362C" w14:paraId="3D9C2500" w14:textId="77777777">
      <w:pPr>
        <w:spacing w:after="120" w:line="276" w:lineRule="auto"/>
        <w:ind w:firstLine="709"/>
        <w:jc w:val="both"/>
        <w:rPr>
          <w:rFonts w:ascii="Arial" w:hAnsi="Arial" w:eastAsia="Arial" w:cs="Arial"/>
          <w:lang w:val="es-ES_tradnl" w:eastAsia="es-ES" w:bidi="es-ES"/>
        </w:rPr>
      </w:pPr>
      <w:r w:rsidRPr="00F807BA">
        <w:rPr>
          <w:rFonts w:ascii="Arial" w:hAnsi="Arial" w:eastAsia="Arial" w:cs="Arial"/>
          <w:lang w:val="es-ES_tradnl"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solo deben aplicar las restricciones contenidas en el parágrafo del artículo 38.</w:t>
      </w:r>
    </w:p>
    <w:p w:rsidRPr="00F807BA" w:rsidR="0003362C" w:rsidP="00E31114" w:rsidRDefault="0003362C" w14:paraId="2A444525" w14:textId="77777777">
      <w:pPr>
        <w:spacing w:after="0" w:line="276" w:lineRule="auto"/>
        <w:ind w:firstLine="708"/>
        <w:jc w:val="both"/>
        <w:rPr>
          <w:rFonts w:ascii="Arial" w:hAnsi="Arial" w:eastAsia="Arial" w:cs="Arial"/>
          <w:lang w:val="es-ES_tradnl" w:eastAsia="es-ES" w:bidi="es-ES"/>
        </w:rPr>
      </w:pPr>
      <w:r w:rsidRPr="00F807BA">
        <w:rPr>
          <w:rFonts w:ascii="Arial" w:hAnsi="Arial" w:eastAsia="Arial" w:cs="Arial"/>
          <w:lang w:val="es-ES_tradnl" w:eastAsia="es-ES" w:bidi="es-ES"/>
        </w:rPr>
        <w:t>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rsidRPr="00F807BA" w:rsidR="0003362C" w:rsidP="00E31114" w:rsidRDefault="0003362C" w14:paraId="181D759C" w14:textId="77777777">
      <w:pPr>
        <w:spacing w:after="0" w:line="276" w:lineRule="auto"/>
        <w:jc w:val="both"/>
        <w:rPr>
          <w:rFonts w:ascii="Arial" w:hAnsi="Arial" w:eastAsia="Arial" w:cs="Arial"/>
          <w:lang w:val="es-ES_tradnl" w:eastAsia="es-ES" w:bidi="es-ES"/>
        </w:rPr>
      </w:pPr>
    </w:p>
    <w:p w:rsidRPr="00F807BA" w:rsidR="0003362C" w:rsidP="00E31114" w:rsidRDefault="0003362C" w14:paraId="3D359AFE" w14:textId="77777777">
      <w:pPr>
        <w:spacing w:after="0" w:line="276" w:lineRule="auto"/>
        <w:jc w:val="both"/>
        <w:rPr>
          <w:rFonts w:ascii="Arial" w:hAnsi="Arial" w:cs="Arial"/>
          <w:b/>
          <w:lang w:val="es-ES_tradnl" w:eastAsia="es-CO"/>
        </w:rPr>
      </w:pPr>
      <w:r w:rsidRPr="00F807BA">
        <w:rPr>
          <w:rFonts w:ascii="Arial" w:hAnsi="Arial" w:cs="Arial"/>
          <w:b/>
          <w:lang w:val="es-ES_tradnl" w:eastAsia="es-CO"/>
        </w:rPr>
        <w:t xml:space="preserve">2.2. </w:t>
      </w:r>
      <w:r w:rsidRPr="00F807BA">
        <w:rPr>
          <w:rFonts w:ascii="Arial" w:hAnsi="Arial" w:cs="Arial"/>
          <w:b/>
          <w:bCs/>
          <w:lang w:val="es-ES_tradnl" w:eastAsia="es-CO"/>
        </w:rPr>
        <w:t>Restricciones en elecciones presidenciales: prohibición del artículo 33 de la Ley 996 de 2005</w:t>
      </w:r>
    </w:p>
    <w:p w:rsidRPr="00F807BA" w:rsidR="0003362C" w:rsidP="00E31114" w:rsidRDefault="0003362C" w14:paraId="4C87DA63" w14:textId="77777777">
      <w:pPr>
        <w:spacing w:after="0" w:line="276" w:lineRule="auto"/>
        <w:jc w:val="both"/>
        <w:rPr>
          <w:rFonts w:ascii="Arial" w:hAnsi="Arial" w:cs="Arial"/>
          <w:bCs/>
          <w:lang w:val="es-ES_tradnl" w:eastAsia="x-none"/>
        </w:rPr>
      </w:pPr>
    </w:p>
    <w:p w:rsidRPr="00F807BA" w:rsidR="0003362C" w:rsidP="00E31114" w:rsidRDefault="0003362C" w14:paraId="12D1F92F" w14:textId="4BA83CBA">
      <w:pPr>
        <w:spacing w:after="0" w:line="276" w:lineRule="auto"/>
        <w:jc w:val="both"/>
        <w:rPr>
          <w:rFonts w:ascii="Arial" w:hAnsi="Arial" w:cs="Arial"/>
          <w:bCs/>
          <w:lang w:val="es-ES_tradnl" w:eastAsia="es-CO"/>
        </w:rPr>
      </w:pPr>
      <w:r w:rsidRPr="00F807BA">
        <w:rPr>
          <w:rFonts w:ascii="Arial" w:hAnsi="Arial" w:cs="Arial"/>
          <w:bCs/>
          <w:lang w:val="es-ES_tradnl" w:eastAsia="x-none"/>
        </w:rPr>
        <w:t xml:space="preserve">El ámbito material de la prohibición contenida en el artículo 33 de la ley 996 de 2005 está delimitado por la expresión </w:t>
      </w:r>
      <w:r w:rsidRPr="00F807BA">
        <w:rPr>
          <w:rFonts w:ascii="Arial" w:hAnsi="Arial" w:eastAsia="Calibri" w:cs="Arial"/>
          <w:bCs/>
          <w:sz w:val="20"/>
          <w:szCs w:val="20"/>
          <w:lang w:val="es-ES_tradnl"/>
        </w:rPr>
        <w:t>«</w:t>
      </w:r>
      <w:r w:rsidRPr="00F807BA">
        <w:rPr>
          <w:rFonts w:ascii="Arial" w:hAnsi="Arial" w:cs="Arial"/>
          <w:bCs/>
          <w:lang w:val="es-ES_tradnl" w:eastAsia="x-none"/>
        </w:rPr>
        <w:t>queda prohibida la contratación directa</w:t>
      </w:r>
      <w:r w:rsidRPr="00F807BA">
        <w:rPr>
          <w:rFonts w:ascii="Arial" w:hAnsi="Arial" w:cs="Arial"/>
          <w:sz w:val="20"/>
          <w:szCs w:val="20"/>
          <w:lang w:val="es-ES_tradnl"/>
        </w:rPr>
        <w:t>»</w:t>
      </w:r>
      <w:r w:rsidRPr="00F807BA">
        <w:rPr>
          <w:rFonts w:ascii="Arial" w:hAnsi="Arial" w:cs="Arial"/>
          <w:bCs/>
          <w:lang w:val="es-ES_tradnl" w:eastAsia="x-none"/>
        </w:rPr>
        <w:t xml:space="preserve">. </w:t>
      </w:r>
      <w:r w:rsidRPr="00F807BA">
        <w:rPr>
          <w:rFonts w:ascii="Arial" w:hAnsi="Arial" w:cs="Arial"/>
          <w:lang w:val="es-ES_tradnl" w:eastAsia="es-CO"/>
        </w:rPr>
        <w:t>A propósito de esta restricción de la Ley de Garantías Electorales, la Sala de Consulta y Servicio Civil del Consejo de Estado ha considerado que:</w:t>
      </w:r>
    </w:p>
    <w:p w:rsidRPr="00F807BA" w:rsidR="0003362C" w:rsidP="00E31114" w:rsidRDefault="0003362C" w14:paraId="1C514529" w14:textId="77777777">
      <w:pPr>
        <w:spacing w:after="0"/>
        <w:ind w:left="708" w:right="709"/>
        <w:jc w:val="both"/>
        <w:rPr>
          <w:rFonts w:ascii="Arial" w:hAnsi="Arial" w:cs="Arial"/>
          <w:lang w:val="es-ES_tradnl"/>
        </w:rPr>
      </w:pPr>
    </w:p>
    <w:p w:rsidRPr="00F807BA" w:rsidR="0003362C" w:rsidP="000E427F" w:rsidRDefault="0003362C" w14:paraId="74D6FB80" w14:textId="77777777">
      <w:pPr>
        <w:spacing w:after="120" w:line="240" w:lineRule="auto"/>
        <w:ind w:left="709" w:right="709"/>
        <w:jc w:val="both"/>
        <w:rPr>
          <w:rFonts w:ascii="Arial" w:hAnsi="Arial" w:cs="Arial"/>
          <w:sz w:val="21"/>
          <w:szCs w:val="21"/>
          <w:lang w:val="es-ES_tradnl"/>
        </w:rPr>
      </w:pPr>
      <w:r w:rsidRPr="00F807BA">
        <w:rPr>
          <w:rFonts w:ascii="Arial" w:hAnsi="Arial" w:cs="Arial"/>
          <w:sz w:val="21"/>
          <w:szCs w:val="21"/>
          <w:lang w:val="es-ES_tradnl"/>
        </w:rPr>
        <w:t xml:space="preserve">La contratación directa es un mecanismo de selección de carácter excepcional, en virtud del cual las entidades públicas pueden contratar mediante un trámite simplificado, ágil y expedito sin necesidad de realizar </w:t>
      </w:r>
      <w:r w:rsidRPr="00F807BA">
        <w:rPr>
          <w:rFonts w:ascii="Arial" w:hAnsi="Arial" w:cs="Arial"/>
          <w:sz w:val="21"/>
          <w:szCs w:val="21"/>
          <w:lang w:val="es-ES_tradnl"/>
        </w:rPr>
        <w:lastRenderedPageBreak/>
        <w:t>previamente un proceso de licitación pública o concurso, únicamente en los casos en que expresa y taxativamente señale la ley (numeral 4, artículo 2, ley 1150 de 2007), y cumpliendo siempre los principios que rigen la contratación pública</w:t>
      </w:r>
      <w:r w:rsidRPr="00F807BA">
        <w:rPr>
          <w:rStyle w:val="Refdenotaalpie"/>
          <w:rFonts w:ascii="Arial" w:hAnsi="Arial" w:cs="Arial"/>
          <w:sz w:val="21"/>
          <w:szCs w:val="21"/>
        </w:rPr>
        <w:footnoteReference w:id="11"/>
      </w:r>
      <w:r w:rsidRPr="00F807BA">
        <w:rPr>
          <w:rFonts w:ascii="Arial" w:hAnsi="Arial" w:cs="Arial"/>
          <w:sz w:val="21"/>
          <w:szCs w:val="21"/>
          <w:lang w:val="es-ES_tradnl"/>
        </w:rPr>
        <w:t>.</w:t>
      </w:r>
    </w:p>
    <w:p w:rsidRPr="00F807BA" w:rsidR="0003362C" w:rsidP="000E427F" w:rsidRDefault="0003362C" w14:paraId="767B53E2" w14:textId="77777777">
      <w:pPr>
        <w:spacing w:after="0" w:line="240" w:lineRule="auto"/>
        <w:ind w:left="708" w:right="709"/>
        <w:jc w:val="both"/>
        <w:rPr>
          <w:rFonts w:ascii="Arial" w:hAnsi="Arial" w:cs="Arial"/>
          <w:sz w:val="21"/>
          <w:szCs w:val="21"/>
          <w:lang w:val="es-ES_tradnl"/>
        </w:rPr>
      </w:pPr>
      <w:r w:rsidRPr="00F807BA">
        <w:rPr>
          <w:rFonts w:ascii="Arial" w:hAnsi="Arial" w:cs="Arial"/>
          <w:sz w:val="21"/>
          <w:szCs w:val="21"/>
          <w:lang w:val="es-ES_tradnl"/>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F807BA">
        <w:rPr>
          <w:rStyle w:val="Refdenotaalpie"/>
          <w:rFonts w:ascii="Arial" w:hAnsi="Arial" w:cs="Arial"/>
          <w:sz w:val="21"/>
          <w:szCs w:val="21"/>
        </w:rPr>
        <w:footnoteReference w:id="12"/>
      </w:r>
      <w:r w:rsidRPr="00F807BA">
        <w:rPr>
          <w:rFonts w:ascii="Arial" w:hAnsi="Arial" w:cs="Arial"/>
          <w:sz w:val="21"/>
          <w:szCs w:val="21"/>
          <w:vertAlign w:val="superscript"/>
          <w:lang w:val="es-ES_tradnl"/>
        </w:rPr>
        <w:t>.</w:t>
      </w:r>
      <w:r w:rsidRPr="00F807BA">
        <w:rPr>
          <w:rFonts w:ascii="Arial" w:hAnsi="Arial" w:cs="Arial"/>
          <w:sz w:val="21"/>
          <w:szCs w:val="21"/>
          <w:lang w:val="es-ES_tradnl"/>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F807BA">
        <w:rPr>
          <w:rStyle w:val="Refdenotaalpie"/>
          <w:rFonts w:ascii="Arial" w:hAnsi="Arial" w:cs="Arial"/>
          <w:sz w:val="21"/>
          <w:szCs w:val="21"/>
        </w:rPr>
        <w:footnoteReference w:id="13"/>
      </w:r>
      <w:r w:rsidRPr="00F807BA">
        <w:rPr>
          <w:rFonts w:ascii="Arial" w:hAnsi="Arial" w:cs="Arial"/>
          <w:sz w:val="21"/>
          <w:szCs w:val="21"/>
          <w:lang w:val="es-ES_tradnl"/>
        </w:rPr>
        <w:t xml:space="preserve"> .</w:t>
      </w:r>
    </w:p>
    <w:p w:rsidRPr="00F807BA" w:rsidR="0003362C" w:rsidP="00E31114" w:rsidRDefault="0003362C" w14:paraId="744E0500" w14:textId="77777777">
      <w:pPr>
        <w:shd w:val="clear" w:color="auto" w:fill="FFFFFF"/>
        <w:spacing w:after="0" w:line="276" w:lineRule="auto"/>
        <w:ind w:firstLine="709"/>
        <w:jc w:val="both"/>
        <w:rPr>
          <w:rFonts w:ascii="Arial" w:hAnsi="Arial" w:cs="Arial"/>
          <w:lang w:val="es-ES_tradnl" w:eastAsia="x-none"/>
        </w:rPr>
      </w:pPr>
    </w:p>
    <w:p w:rsidRPr="00F807BA" w:rsidR="0003362C" w:rsidP="0003362C" w:rsidRDefault="0003362C" w14:paraId="7022D399" w14:textId="77777777">
      <w:pPr>
        <w:spacing w:after="120" w:line="276" w:lineRule="auto"/>
        <w:ind w:firstLine="708"/>
        <w:jc w:val="both"/>
        <w:rPr>
          <w:rFonts w:ascii="Arial" w:hAnsi="Arial" w:cs="Arial"/>
          <w:bCs/>
          <w:lang w:val="es-ES_tradnl" w:eastAsia="x-none"/>
        </w:rPr>
      </w:pPr>
      <w:r w:rsidRPr="00F807BA">
        <w:rPr>
          <w:rFonts w:ascii="Arial" w:hAnsi="Arial" w:cs="Arial"/>
          <w:lang w:val="es-ES_tradnl" w:eastAsia="x-none"/>
        </w:rPr>
        <w:t xml:space="preserve">De acuerdo con el citado concepto, la prohibición del artículo 33 de la Ley de Garantías Electorales se refiere a </w:t>
      </w:r>
      <w:r w:rsidRPr="00F807BA">
        <w:rPr>
          <w:rFonts w:ascii="Arial" w:hAnsi="Arial" w:cs="Arial"/>
          <w:sz w:val="19"/>
          <w:szCs w:val="19"/>
          <w:lang w:val="es-ES_tradnl" w:eastAsia="en-GB"/>
        </w:rPr>
        <w:t>«</w:t>
      </w:r>
      <w:r w:rsidRPr="00F807BA">
        <w:rPr>
          <w:rFonts w:ascii="Arial" w:hAnsi="Arial" w:cs="Arial"/>
          <w:lang w:val="es-ES_tradnl" w:eastAsia="x-none"/>
        </w:rPr>
        <w:t>cualquier sistema que no implique convocatoria pública y posibilidad de pluralidad de oferentes</w:t>
      </w:r>
      <w:r w:rsidRPr="00F807BA">
        <w:rPr>
          <w:rFonts w:ascii="Arial" w:hAnsi="Arial" w:cs="Arial"/>
          <w:lang w:val="es-ES_tradnl" w:eastAsia="en-GB"/>
        </w:rPr>
        <w:t>»</w:t>
      </w:r>
      <w:r w:rsidRPr="00F807BA">
        <w:rPr>
          <w:rFonts w:ascii="Arial" w:hAnsi="Arial" w:cs="Arial"/>
          <w:lang w:val="es-ES_tradnl"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w:t>
      </w:r>
      <w:r w:rsidRPr="00F807BA">
        <w:rPr>
          <w:rStyle w:val="Refdenotaalpie"/>
          <w:rFonts w:ascii="Arial" w:hAnsi="Arial" w:cs="Arial"/>
        </w:rPr>
        <w:footnoteReference w:id="14"/>
      </w:r>
      <w:r w:rsidRPr="00F807BA">
        <w:rPr>
          <w:rFonts w:ascii="Arial" w:hAnsi="Arial" w:cs="Arial"/>
          <w:lang w:val="es-ES_tradnl" w:eastAsia="x-none"/>
        </w:rPr>
        <w:t xml:space="preserve"> y sistematizó las causales de contratación directa</w:t>
      </w:r>
      <w:r w:rsidRPr="00F807BA">
        <w:rPr>
          <w:rStyle w:val="Refdenotaalpie"/>
          <w:rFonts w:ascii="Arial" w:hAnsi="Arial" w:cs="Arial"/>
        </w:rPr>
        <w:footnoteReference w:id="15"/>
      </w:r>
      <w:r w:rsidRPr="00F807BA">
        <w:rPr>
          <w:rFonts w:ascii="Arial" w:hAnsi="Arial" w:cs="Arial"/>
          <w:lang w:val="es-ES_tradnl" w:eastAsia="x-none"/>
        </w:rPr>
        <w:t xml:space="preserve">, </w:t>
      </w:r>
      <w:r w:rsidRPr="00F807BA">
        <w:rPr>
          <w:rFonts w:ascii="Arial" w:hAnsi="Arial" w:cs="Arial"/>
          <w:color w:val="000000" w:themeColor="text1"/>
          <w:lang w:eastAsia="x-none"/>
        </w:rPr>
        <w:t>además lo es con la posterior creación de la modalidad de mínima cuantía establecida actualmente en el numeral 5 del artículo 2 de la Ley 1150 de 2007, de acuerdo con las modificaciones realizadas por leyes posteriores.</w:t>
      </w:r>
    </w:p>
    <w:p w:rsidRPr="00F807BA" w:rsidR="0003362C" w:rsidP="0003362C" w:rsidRDefault="0003362C" w14:paraId="031C8581" w14:textId="77777777">
      <w:pPr>
        <w:spacing w:after="120" w:line="276" w:lineRule="auto"/>
        <w:ind w:firstLine="708"/>
        <w:jc w:val="both"/>
        <w:rPr>
          <w:rFonts w:ascii="Arial" w:hAnsi="Arial" w:cs="Arial"/>
          <w:lang w:val="es-ES_tradnl" w:eastAsia="x-none"/>
        </w:rPr>
      </w:pPr>
      <w:r w:rsidRPr="00F807BA">
        <w:rPr>
          <w:rFonts w:ascii="Arial" w:hAnsi="Arial" w:cs="Arial"/>
          <w:lang w:val="es-ES_tradnl" w:eastAsia="x-none"/>
        </w:rPr>
        <w:t xml:space="preserve">De esta forma, con fundamento en la evolución de la normativa sobre la contratación pública, se ha depurado la noción de </w:t>
      </w:r>
      <w:r w:rsidRPr="00F807BA">
        <w:rPr>
          <w:rFonts w:ascii="Arial" w:hAnsi="Arial" w:cs="Arial"/>
          <w:lang w:val="es-ES_tradnl" w:eastAsia="en-GB"/>
        </w:rPr>
        <w:t>«</w:t>
      </w:r>
      <w:r w:rsidRPr="00F807BA">
        <w:rPr>
          <w:rFonts w:ascii="Arial" w:hAnsi="Arial" w:cs="Arial"/>
          <w:lang w:val="es-ES_tradnl" w:eastAsia="x-none"/>
        </w:rPr>
        <w:t>contratación directa</w:t>
      </w:r>
      <w:r w:rsidRPr="00F807BA">
        <w:rPr>
          <w:rFonts w:ascii="Arial" w:hAnsi="Arial" w:cs="Arial"/>
          <w:lang w:val="es-ES_tradnl" w:eastAsia="en-GB"/>
        </w:rPr>
        <w:t>»</w:t>
      </w:r>
      <w:r w:rsidRPr="00F807BA">
        <w:rPr>
          <w:rFonts w:ascii="Arial" w:hAnsi="Arial" w:cs="Arial"/>
          <w:lang w:val="es-ES_tradnl" w:eastAsia="x-none"/>
        </w:rPr>
        <w:t xml:space="preserve">, precisando el Consejo de Estado –en el concepto citado– que, «aun cuando no coincide única y </w:t>
      </w:r>
      <w:r w:rsidRPr="00F807BA">
        <w:rPr>
          <w:rFonts w:ascii="Arial" w:hAnsi="Arial" w:cs="Arial"/>
          <w:lang w:val="es-ES_tradnl" w:eastAsia="x-none"/>
        </w:rPr>
        <w:lastRenderedPageBreak/>
        <w:t>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F807BA">
        <w:rPr>
          <w:rStyle w:val="Refdenotaalpie"/>
          <w:rFonts w:ascii="Arial" w:hAnsi="Arial" w:cs="Arial"/>
        </w:rPr>
        <w:footnoteReference w:id="16"/>
      </w:r>
      <w:r w:rsidRPr="00F807BA">
        <w:rPr>
          <w:rFonts w:ascii="Arial" w:hAnsi="Arial" w:cs="Arial"/>
          <w:lang w:val="es-ES_tradnl" w:eastAsia="x-none"/>
        </w:rPr>
        <w:t>, han establecido sistemas de contratación que implican convocatoria pública y participación de varios oferentes</w:t>
      </w:r>
      <w:r w:rsidRPr="00F807BA">
        <w:rPr>
          <w:rFonts w:ascii="Arial" w:hAnsi="Arial" w:cs="Arial"/>
          <w:lang w:val="es-ES_tradnl" w:eastAsia="en-GB"/>
        </w:rPr>
        <w:t>»</w:t>
      </w:r>
      <w:r w:rsidRPr="00F807BA">
        <w:rPr>
          <w:rFonts w:ascii="Arial" w:hAnsi="Arial" w:cs="Arial"/>
          <w:lang w:val="es-ES_tradnl" w:eastAsia="x-none"/>
        </w:rPr>
        <w:t xml:space="preserve">. </w:t>
      </w:r>
    </w:p>
    <w:p w:rsidRPr="00F807BA" w:rsidR="0003362C" w:rsidP="0003362C" w:rsidRDefault="0003362C" w14:paraId="783A4F25" w14:textId="77777777">
      <w:pPr>
        <w:spacing w:after="120" w:line="276" w:lineRule="auto"/>
        <w:ind w:firstLine="708"/>
        <w:jc w:val="both"/>
        <w:rPr>
          <w:rFonts w:ascii="Arial" w:hAnsi="Arial" w:cs="Arial"/>
          <w:bCs/>
          <w:lang w:val="es-ES_tradnl" w:eastAsia="es-CO"/>
        </w:rPr>
      </w:pPr>
      <w:r w:rsidRPr="00F807BA">
        <w:rPr>
          <w:rFonts w:ascii="Arial" w:hAnsi="Arial" w:cs="Arial"/>
          <w:bCs/>
          <w:lang w:val="es-ES_tradnl" w:eastAsia="x-none"/>
        </w:rPr>
        <w:t>E</w:t>
      </w:r>
      <w:r w:rsidRPr="00F807BA">
        <w:rPr>
          <w:rFonts w:ascii="Arial" w:hAnsi="Arial" w:cs="Arial"/>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F807BA">
        <w:rPr>
          <w:rStyle w:val="Refdenotaalpie"/>
          <w:rFonts w:ascii="Arial" w:hAnsi="Arial" w:cs="Arial"/>
        </w:rPr>
        <w:footnoteReference w:id="17"/>
      </w:r>
      <w:r w:rsidRPr="00F807BA">
        <w:rPr>
          <w:rFonts w:ascii="Arial" w:hAnsi="Arial" w:cs="Arial"/>
          <w:lang w:val="es-ES_tradnl" w:eastAsia="x-none"/>
        </w:rPr>
        <w:t xml:space="preserve">. </w:t>
      </w:r>
    </w:p>
    <w:p w:rsidRPr="00F807BA" w:rsidR="0003362C" w:rsidP="0003362C" w:rsidRDefault="0003362C" w14:paraId="6FFB41DE" w14:textId="77777777">
      <w:pPr>
        <w:spacing w:after="120" w:line="276" w:lineRule="auto"/>
        <w:ind w:firstLine="708"/>
        <w:jc w:val="both"/>
        <w:rPr>
          <w:rFonts w:ascii="Arial" w:hAnsi="Arial" w:cs="Arial"/>
          <w:bCs/>
          <w:lang w:val="es-ES_tradnl" w:eastAsia="es-CO"/>
        </w:rPr>
      </w:pPr>
      <w:r w:rsidRPr="00F807BA">
        <w:rPr>
          <w:rFonts w:ascii="Arial" w:hAnsi="Arial" w:cs="Arial"/>
          <w:bCs/>
          <w:lang w:val="es-ES_tradnl"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rsidRPr="00F807BA" w:rsidR="0003362C" w:rsidP="0003362C" w:rsidRDefault="0003362C" w14:paraId="151AC322" w14:textId="77777777">
      <w:pPr>
        <w:spacing w:after="120" w:line="276" w:lineRule="auto"/>
        <w:ind w:firstLine="708"/>
        <w:jc w:val="both"/>
        <w:rPr>
          <w:rFonts w:ascii="Arial" w:hAnsi="Arial" w:cs="Arial"/>
          <w:bCs/>
          <w:lang w:val="es-ES_tradnl" w:eastAsia="x-none"/>
        </w:rPr>
      </w:pPr>
      <w:r w:rsidRPr="00F807BA">
        <w:rPr>
          <w:rFonts w:ascii="Arial" w:hAnsi="Arial" w:cs="Arial"/>
          <w:bCs/>
          <w:lang w:val="es-ES_tradnl" w:eastAsia="x-none"/>
        </w:rPr>
        <w:t xml:space="preserve"> Así las cosas, </w:t>
      </w:r>
      <w:bookmarkStart w:name="_Hlk99448534" w:id="10"/>
      <w:r w:rsidRPr="00F807BA">
        <w:rPr>
          <w:rFonts w:ascii="Arial" w:hAnsi="Arial" w:cs="Arial"/>
          <w:bCs/>
          <w:lang w:val="es-ES_tradnl" w:eastAsia="x-none"/>
        </w:rPr>
        <w:t xml:space="preserve">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w:t>
      </w:r>
      <w:r w:rsidRPr="00F807BA">
        <w:rPr>
          <w:rFonts w:ascii="Arial" w:hAnsi="Arial" w:cs="Arial"/>
          <w:bCs/>
          <w:lang w:val="es-ES_tradnl" w:eastAsia="x-none"/>
        </w:rPr>
        <w:lastRenderedPageBreak/>
        <w:t>pública en alguna de sus etapas, ni permita la participación de una pluralidad de oferentes</w:t>
      </w:r>
      <w:bookmarkEnd w:id="10"/>
      <w:r w:rsidRPr="00F807BA">
        <w:rPr>
          <w:rStyle w:val="Refdenotaalpie"/>
          <w:rFonts w:ascii="Arial" w:hAnsi="Arial" w:cs="Arial"/>
        </w:rPr>
        <w:footnoteReference w:id="18"/>
      </w:r>
      <w:r w:rsidRPr="00F807BA">
        <w:rPr>
          <w:rFonts w:ascii="Arial" w:hAnsi="Arial" w:cs="Arial"/>
          <w:bCs/>
          <w:lang w:val="es-ES_tradnl" w:eastAsia="x-none"/>
        </w:rPr>
        <w:t>.</w:t>
      </w:r>
      <w:r w:rsidRPr="00F807BA">
        <w:rPr>
          <w:rFonts w:ascii="Arial" w:hAnsi="Arial" w:cs="Arial"/>
          <w:vertAlign w:val="superscript"/>
          <w:lang w:val="es-ES_tradnl" w:eastAsia="x-none"/>
        </w:rPr>
        <w:t xml:space="preserve"> </w:t>
      </w:r>
    </w:p>
    <w:p w:rsidRPr="00F807BA" w:rsidR="0003362C" w:rsidP="0003362C" w:rsidRDefault="0003362C" w14:paraId="3EBCAEF7" w14:textId="77777777">
      <w:pPr>
        <w:spacing w:after="120" w:line="276" w:lineRule="auto"/>
        <w:ind w:firstLine="708"/>
        <w:jc w:val="both"/>
        <w:rPr>
          <w:rFonts w:ascii="Arial" w:hAnsi="Arial" w:cs="Arial"/>
          <w:lang w:val="es-ES_tradnl" w:eastAsia="x-none"/>
        </w:rPr>
      </w:pPr>
      <w:bookmarkStart w:name="_Hlk99448660" w:id="11"/>
      <w:r w:rsidRPr="00F807BA">
        <w:rPr>
          <w:rFonts w:ascii="Arial" w:hAnsi="Arial" w:cs="Arial"/>
          <w:bCs/>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F807BA">
        <w:rPr>
          <w:rFonts w:ascii="Arial" w:hAnsi="Arial" w:cs="Arial"/>
          <w:lang w:val="es-ES_tradnl"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procedimientos.</w:t>
      </w:r>
    </w:p>
    <w:bookmarkEnd w:id="11"/>
    <w:p w:rsidRPr="00F807BA" w:rsidR="0003362C" w:rsidP="0003362C" w:rsidRDefault="0003362C" w14:paraId="67911BBC" w14:textId="77777777">
      <w:pPr>
        <w:spacing w:after="120" w:line="276" w:lineRule="auto"/>
        <w:ind w:firstLine="708"/>
        <w:jc w:val="both"/>
        <w:rPr>
          <w:rFonts w:ascii="Arial" w:hAnsi="Arial" w:cs="Arial"/>
          <w:bCs/>
          <w:lang w:val="es-ES_tradnl" w:eastAsia="x-none"/>
        </w:rPr>
      </w:pPr>
      <w:r w:rsidRPr="00F807BA">
        <w:rPr>
          <w:rFonts w:ascii="Arial" w:hAnsi="Arial" w:cs="Arial"/>
          <w:bCs/>
          <w:lang w:val="es-ES_tradnl"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w:t>
      </w:r>
      <w:r w:rsidRPr="00F807BA">
        <w:rPr>
          <w:rStyle w:val="Refdenotaalpie"/>
          <w:rFonts w:ascii="Arial" w:hAnsi="Arial" w:cs="Arial"/>
        </w:rPr>
        <w:footnoteReference w:id="19"/>
      </w:r>
      <w:r w:rsidRPr="00F807BA">
        <w:rPr>
          <w:rFonts w:ascii="Arial" w:hAnsi="Arial" w:cs="Arial"/>
          <w:bCs/>
          <w:lang w:val="es-ES_tradnl" w:eastAsia="es-CO"/>
        </w:rPr>
        <w:t>. Esto sin que ello haga nugatoria la restricción de la contratación directa y siempre que cumplan los principios de planeación, transparencia y responsabilidad.</w:t>
      </w:r>
    </w:p>
    <w:p w:rsidRPr="00F807BA" w:rsidR="0003362C" w:rsidP="0003362C" w:rsidRDefault="0003362C" w14:paraId="44E1EB9D" w14:textId="77777777">
      <w:pPr>
        <w:spacing w:after="120" w:line="276" w:lineRule="auto"/>
        <w:ind w:firstLine="708"/>
        <w:jc w:val="both"/>
        <w:rPr>
          <w:rFonts w:ascii="Arial" w:hAnsi="Arial" w:cs="Arial"/>
          <w:bCs/>
          <w:lang w:val="es-ES_tradnl" w:eastAsia="es-CO"/>
        </w:rPr>
      </w:pPr>
      <w:r w:rsidRPr="00F807BA">
        <w:rPr>
          <w:rFonts w:ascii="Arial" w:hAnsi="Arial" w:cs="Arial"/>
          <w:bCs/>
          <w:lang w:val="es-ES_tradnl" w:eastAsia="x-none"/>
        </w:rPr>
        <w:t xml:space="preserve">De otro lado, </w:t>
      </w:r>
      <w:bookmarkStart w:name="_Hlk99448685" w:id="12"/>
      <w:r w:rsidRPr="00F807BA">
        <w:rPr>
          <w:rFonts w:ascii="Arial" w:hAnsi="Arial" w:cs="Arial"/>
          <w:bCs/>
          <w:lang w:val="es-ES_tradnl" w:eastAsia="x-none"/>
        </w:rPr>
        <w:t>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F807BA">
        <w:rPr>
          <w:rFonts w:ascii="Arial" w:hAnsi="Arial" w:cs="Arial"/>
          <w:bCs/>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bookmarkEnd w:id="12"/>
      <w:r w:rsidRPr="00F807BA">
        <w:rPr>
          <w:rFonts w:ascii="Arial" w:hAnsi="Arial" w:cs="Arial"/>
          <w:bCs/>
          <w:lang w:val="es-ES_tradnl" w:eastAsia="es-CO"/>
        </w:rPr>
        <w:t>.</w:t>
      </w:r>
    </w:p>
    <w:p w:rsidRPr="00F807BA" w:rsidR="0003362C" w:rsidP="0003362C" w:rsidRDefault="0003362C" w14:paraId="2A18CA97" w14:textId="77777777">
      <w:pPr>
        <w:spacing w:line="276" w:lineRule="auto"/>
        <w:ind w:firstLine="708"/>
        <w:jc w:val="both"/>
        <w:rPr>
          <w:rFonts w:ascii="Arial" w:hAnsi="Arial" w:cs="Arial"/>
          <w:bCs/>
          <w:lang w:val="es-ES_tradnl" w:eastAsia="x-none"/>
        </w:rPr>
      </w:pPr>
      <w:r w:rsidRPr="00F807BA">
        <w:rPr>
          <w:rFonts w:ascii="Arial" w:hAnsi="Arial" w:cs="Arial"/>
          <w:bCs/>
          <w:lang w:val="es-ES_tradnl" w:eastAsia="x-none"/>
        </w:rPr>
        <w:t xml:space="preserve">En esta labor es importante tener en cuenta, como lo anotó la Corte Constitucional, en Sentencia C-1153 de noviembre 11 de 2005 que «si bien la </w:t>
      </w:r>
      <w:r w:rsidRPr="00F807BA">
        <w:rPr>
          <w:rFonts w:ascii="Arial" w:hAnsi="Arial" w:cs="Arial"/>
          <w:bCs/>
          <w:lang w:val="es-ES_tradnl" w:eastAsia="x-none"/>
        </w:rPr>
        <w:lastRenderedPageBreak/>
        <w:t>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F807BA">
        <w:rPr>
          <w:rStyle w:val="Refdenotaalpie"/>
          <w:rFonts w:ascii="Arial" w:hAnsi="Arial" w:cs="Arial"/>
        </w:rPr>
        <w:footnoteReference w:id="20"/>
      </w:r>
      <w:r w:rsidRPr="00F807BA">
        <w:rPr>
          <w:rFonts w:ascii="Arial" w:hAnsi="Arial" w:cs="Arial"/>
          <w:bCs/>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rsidRPr="00F807BA" w:rsidR="0003362C" w:rsidP="00E31114" w:rsidRDefault="0003362C" w14:paraId="1420D38E" w14:textId="77777777">
      <w:pPr>
        <w:spacing w:before="120" w:after="0" w:line="276" w:lineRule="auto"/>
        <w:ind w:firstLine="709"/>
        <w:jc w:val="both"/>
        <w:rPr>
          <w:rFonts w:ascii="Arial" w:hAnsi="Arial" w:cs="Arial"/>
          <w:bCs/>
          <w:lang w:val="es-ES_tradnl" w:eastAsia="x-none"/>
        </w:rPr>
      </w:pPr>
      <w:bookmarkStart w:name="_Hlk99448732" w:id="13"/>
      <w:r w:rsidRPr="00F807BA">
        <w:rPr>
          <w:rFonts w:ascii="Arial" w:hAnsi="Arial" w:cs="Arial"/>
          <w:bCs/>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F807BA">
        <w:rPr>
          <w:rFonts w:ascii="Arial" w:hAnsi="Arial" w:cs="Arial"/>
          <w:lang w:val="es-ES_tradnl"/>
        </w:rPr>
        <w:t xml:space="preserve"> </w:t>
      </w:r>
      <w:r w:rsidRPr="00F807BA">
        <w:rPr>
          <w:rFonts w:ascii="Arial" w:hAnsi="Arial" w:cs="Arial"/>
          <w:bCs/>
          <w:lang w:val="es-ES_tradnl" w:eastAsia="x-none"/>
        </w:rPr>
        <w:t>En efecto, tal como lo ha sostenido el Consejo de Estado, el vocablo «todos» utilizado por el legislador comprende</w:t>
      </w:r>
      <w:r w:rsidRPr="00F807BA">
        <w:rPr>
          <w:rFonts w:ascii="Arial" w:hAnsi="Arial" w:cs="Arial"/>
          <w:lang w:val="es-ES_tradnl"/>
        </w:rPr>
        <w:t xml:space="preserve"> </w:t>
      </w:r>
      <w:r w:rsidRPr="00F807BA">
        <w:rPr>
          <w:rFonts w:ascii="Arial" w:hAnsi="Arial" w:cs="Arial"/>
          <w:bCs/>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bookmarkEnd w:id="13"/>
      <w:r w:rsidRPr="00F807BA">
        <w:rPr>
          <w:rFonts w:ascii="Arial" w:hAnsi="Arial" w:cs="Arial"/>
          <w:bCs/>
          <w:lang w:val="es-ES_tradnl" w:eastAsia="x-none"/>
        </w:rPr>
        <w:t xml:space="preserve">La Sala de Consulta y Servicio Civil del Consejo de Estado, en Concepto 1727 de fecha 20 de febrero de 2006, consideró que: </w:t>
      </w:r>
    </w:p>
    <w:p w:rsidRPr="00F807BA" w:rsidR="0003362C" w:rsidP="00E31114" w:rsidRDefault="0003362C" w14:paraId="4A60BA1D" w14:textId="77777777">
      <w:pPr>
        <w:spacing w:after="0" w:line="276" w:lineRule="auto"/>
        <w:ind w:firstLine="708"/>
        <w:jc w:val="both"/>
        <w:rPr>
          <w:rFonts w:ascii="Arial" w:hAnsi="Arial" w:cs="Arial"/>
          <w:bCs/>
          <w:lang w:val="es-ES_tradnl" w:eastAsia="x-none"/>
        </w:rPr>
      </w:pPr>
    </w:p>
    <w:p w:rsidRPr="00F807BA" w:rsidR="0003362C" w:rsidP="000E427F" w:rsidRDefault="0003362C" w14:paraId="7BD0C7F8" w14:textId="77777777">
      <w:pPr>
        <w:spacing w:after="0" w:line="240" w:lineRule="auto"/>
        <w:ind w:left="708" w:right="709"/>
        <w:jc w:val="both"/>
        <w:rPr>
          <w:rFonts w:ascii="Arial" w:hAnsi="Arial" w:cs="Arial"/>
          <w:bCs/>
          <w:sz w:val="21"/>
          <w:szCs w:val="21"/>
          <w:lang w:val="es-ES_tradnl" w:eastAsia="es-CO"/>
        </w:rPr>
      </w:pPr>
      <w:r w:rsidRPr="00F807BA">
        <w:rPr>
          <w:rFonts w:ascii="Arial" w:hAnsi="Arial" w:cs="Arial"/>
          <w:bCs/>
          <w:sz w:val="21"/>
          <w:szCs w:val="21"/>
          <w:lang w:val="es-ES_tradnl"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F807BA">
        <w:rPr>
          <w:rStyle w:val="Refdenotaalpie"/>
          <w:rFonts w:ascii="Arial" w:hAnsi="Arial" w:cs="Arial"/>
          <w:sz w:val="21"/>
          <w:szCs w:val="21"/>
        </w:rPr>
        <w:footnoteReference w:id="21"/>
      </w:r>
      <w:r w:rsidRPr="00F807BA">
        <w:rPr>
          <w:rFonts w:ascii="Arial" w:hAnsi="Arial" w:cs="Arial"/>
          <w:bCs/>
          <w:sz w:val="21"/>
          <w:szCs w:val="21"/>
          <w:lang w:val="es-ES_tradnl" w:eastAsia="x-none"/>
        </w:rPr>
        <w:t>.</w:t>
      </w:r>
      <w:r w:rsidRPr="00F807BA">
        <w:rPr>
          <w:rFonts w:ascii="Arial" w:hAnsi="Arial" w:cs="Arial"/>
          <w:bCs/>
          <w:sz w:val="21"/>
          <w:szCs w:val="21"/>
          <w:lang w:val="es-ES_tradnl" w:eastAsia="es-CO"/>
        </w:rPr>
        <w:t xml:space="preserve"> </w:t>
      </w:r>
    </w:p>
    <w:p w:rsidRPr="00F807BA" w:rsidR="0003362C" w:rsidP="00E31114" w:rsidRDefault="0003362C" w14:paraId="13946258" w14:textId="77777777">
      <w:pPr>
        <w:spacing w:after="0" w:line="276" w:lineRule="auto"/>
        <w:ind w:firstLine="708"/>
        <w:jc w:val="both"/>
        <w:rPr>
          <w:rFonts w:ascii="Arial" w:hAnsi="Arial" w:cs="Arial"/>
          <w:bCs/>
          <w:lang w:val="es-ES_tradnl" w:eastAsia="es-CO"/>
        </w:rPr>
      </w:pPr>
    </w:p>
    <w:p w:rsidRPr="00F807BA" w:rsidR="0003362C" w:rsidP="00E31114" w:rsidRDefault="0003362C" w14:paraId="3E8D7727" w14:textId="77777777">
      <w:pPr>
        <w:spacing w:after="0" w:line="276" w:lineRule="auto"/>
        <w:ind w:firstLine="708"/>
        <w:jc w:val="both"/>
        <w:rPr>
          <w:rFonts w:ascii="Arial" w:hAnsi="Arial" w:cs="Arial"/>
          <w:bCs/>
          <w:lang w:val="es-ES_tradnl" w:eastAsia="x-none"/>
        </w:rPr>
      </w:pPr>
      <w:bookmarkStart w:name="_Hlk99448778" w:id="14"/>
      <w:r w:rsidRPr="00F807BA">
        <w:rPr>
          <w:rFonts w:ascii="Arial" w:hAnsi="Arial" w:cs="Arial"/>
          <w:lang w:val="es-ES_tradnl"/>
        </w:rPr>
        <w:t xml:space="preserve">Por lo tanto, la restricción prevista en la Ley 996 de 2005, </w:t>
      </w:r>
      <w:r w:rsidRPr="00F807BA">
        <w:rPr>
          <w:rFonts w:ascii="Arial" w:hAnsi="Arial" w:cs="Arial"/>
          <w:bCs/>
          <w:lang w:val="es-ES_tradnl" w:eastAsia="x-none"/>
        </w:rPr>
        <w:t>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w:t>
      </w:r>
    </w:p>
    <w:bookmarkEnd w:id="14"/>
    <w:p w:rsidRPr="00F807BA" w:rsidR="0003362C" w:rsidP="00E31114" w:rsidRDefault="0003362C" w14:paraId="5420DAF3" w14:textId="77777777">
      <w:pPr>
        <w:tabs>
          <w:tab w:val="left" w:pos="426"/>
        </w:tabs>
        <w:spacing w:after="0" w:line="276" w:lineRule="auto"/>
        <w:jc w:val="both"/>
        <w:rPr>
          <w:rFonts w:ascii="Arial" w:hAnsi="Arial" w:cs="Arial"/>
          <w:bCs/>
          <w:lang w:val="es-ES_tradnl" w:eastAsia="es-CO"/>
        </w:rPr>
      </w:pPr>
    </w:p>
    <w:p w:rsidRPr="00F807BA" w:rsidR="0003362C" w:rsidP="00E31114" w:rsidRDefault="0003362C" w14:paraId="0B7C7692" w14:textId="77777777">
      <w:pPr>
        <w:spacing w:after="0" w:line="276" w:lineRule="auto"/>
        <w:jc w:val="both"/>
        <w:rPr>
          <w:rFonts w:ascii="Arial" w:hAnsi="Arial" w:eastAsia="Calibri" w:cs="Arial"/>
          <w:b/>
          <w:bCs/>
          <w:color w:val="000000" w:themeColor="text1"/>
        </w:rPr>
      </w:pPr>
      <w:r w:rsidRPr="00F807BA">
        <w:rPr>
          <w:rFonts w:ascii="Arial" w:hAnsi="Arial" w:eastAsia="Calibri" w:cs="Arial"/>
          <w:b/>
          <w:bCs/>
          <w:color w:val="000000" w:themeColor="text1"/>
        </w:rPr>
        <w:t>2.3. Contratos con organismos internacionales y restricciones de la Ley de Garantías para la contratación directa</w:t>
      </w:r>
    </w:p>
    <w:p w:rsidRPr="00F807BA" w:rsidR="0003362C" w:rsidP="00E31114" w:rsidRDefault="0003362C" w14:paraId="40DD6DCB" w14:textId="77777777">
      <w:pPr>
        <w:spacing w:after="0" w:line="276" w:lineRule="auto"/>
        <w:jc w:val="both"/>
        <w:rPr>
          <w:rFonts w:ascii="Arial" w:hAnsi="Arial" w:eastAsia="Calibri" w:cs="Arial"/>
          <w:b/>
          <w:bCs/>
          <w:color w:val="000000" w:themeColor="text1"/>
        </w:rPr>
      </w:pPr>
    </w:p>
    <w:p w:rsidRPr="00F807BA" w:rsidR="0003362C" w:rsidP="0003362C" w:rsidRDefault="0003362C" w14:paraId="09C9EBC7" w14:textId="77777777">
      <w:pPr>
        <w:spacing w:after="120" w:line="276" w:lineRule="auto"/>
        <w:jc w:val="both"/>
        <w:rPr>
          <w:rFonts w:ascii="Arial" w:hAnsi="Arial" w:cs="Arial"/>
          <w:lang w:val="es-ES"/>
        </w:rPr>
      </w:pPr>
      <w:bookmarkStart w:name="_Hlk99449041" w:id="15"/>
      <w:r w:rsidRPr="00F807BA">
        <w:rPr>
          <w:rFonts w:ascii="Arial" w:hAnsi="Arial" w:cs="Arial"/>
          <w:lang w:val="es-ES"/>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w:t>
      </w:r>
      <w:r w:rsidRPr="00F807BA">
        <w:rPr>
          <w:rStyle w:val="Refdenotaalpie"/>
          <w:rFonts w:ascii="Arial" w:hAnsi="Arial" w:cs="Arial"/>
        </w:rPr>
        <w:footnoteReference w:id="22"/>
      </w:r>
      <w:r w:rsidRPr="00F807BA">
        <w:rPr>
          <w:rFonts w:ascii="Arial" w:hAnsi="Arial" w:cs="Arial"/>
          <w:lang w:val="es-ES"/>
        </w:rPr>
        <w:t xml:space="preserve">,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rsidRPr="00F807BA" w:rsidR="0003362C" w:rsidP="0003362C" w:rsidRDefault="0003362C" w14:paraId="2266DB68" w14:textId="77777777">
      <w:pPr>
        <w:pStyle w:val="Prrafodelista"/>
        <w:snapToGrid w:val="0"/>
        <w:spacing w:before="120" w:after="120"/>
        <w:ind w:left="0" w:firstLine="709"/>
        <w:rPr>
          <w:rFonts w:ascii="Arial" w:hAnsi="Arial" w:eastAsia="Calibri" w:cs="Arial"/>
          <w:sz w:val="22"/>
        </w:rPr>
      </w:pPr>
      <w:bookmarkStart w:name="_Hlk99449078" w:id="16"/>
      <w:bookmarkEnd w:id="15"/>
      <w:r w:rsidRPr="00F807BA">
        <w:rPr>
          <w:rFonts w:ascii="Arial" w:hAnsi="Arial" w:eastAsia="Calibri" w:cs="Arial"/>
          <w:sz w:val="22"/>
        </w:rPr>
        <w:t>El artículo 13 de la Ley 80 de 1993 regula de forma general el régimen aplicable a los contratos que celebren las entidades referidas en el artículo segundo del estatuto</w:t>
      </w:r>
      <w:r w:rsidRPr="00F807BA">
        <w:rPr>
          <w:rStyle w:val="Refdenotaalpie"/>
          <w:rFonts w:ascii="Arial" w:hAnsi="Arial" w:cs="Arial"/>
          <w:sz w:val="22"/>
        </w:rPr>
        <w:footnoteReference w:id="23"/>
      </w:r>
      <w:r w:rsidRPr="00F807BA">
        <w:rPr>
          <w:rFonts w:ascii="Arial" w:hAnsi="Arial" w:eastAsia="Calibri" w:cs="Arial"/>
          <w:sz w:val="22"/>
        </w:rPr>
        <w:t xml:space="preserve">, señalando en el inciso primero, como primer criterio, la aplicabilidad de las disposiciones civiles y comerciales nacionales, sin perjuicio de la aplicación prevalente de las contenidas en el Estatuto General de Contratación de la </w:t>
      </w:r>
      <w:r w:rsidRPr="00F807BA">
        <w:rPr>
          <w:rFonts w:ascii="Arial" w:hAnsi="Arial" w:eastAsia="Calibri" w:cs="Arial"/>
          <w:sz w:val="22"/>
        </w:rPr>
        <w:lastRenderedPageBreak/>
        <w:t xml:space="preserve">Administración Pública.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p>
    <w:bookmarkEnd w:id="16"/>
    <w:p w:rsidRPr="00F807BA" w:rsidR="0003362C" w:rsidP="0003362C" w:rsidRDefault="0003362C" w14:paraId="5EFBDB67" w14:textId="77777777">
      <w:pPr>
        <w:pStyle w:val="Prrafodelista"/>
        <w:snapToGrid w:val="0"/>
        <w:spacing w:before="120" w:after="120"/>
        <w:ind w:left="0" w:firstLine="709"/>
        <w:rPr>
          <w:rFonts w:ascii="Arial" w:hAnsi="Arial" w:eastAsia="Calibri" w:cs="Arial"/>
          <w:sz w:val="12"/>
          <w:szCs w:val="12"/>
        </w:rPr>
      </w:pPr>
    </w:p>
    <w:p w:rsidRPr="00F807BA" w:rsidR="0003362C" w:rsidP="0003362C" w:rsidRDefault="0003362C" w14:paraId="7F1CE837" w14:textId="77777777">
      <w:pPr>
        <w:pStyle w:val="Prrafodelista"/>
        <w:snapToGrid w:val="0"/>
        <w:ind w:left="0" w:firstLine="709"/>
        <w:rPr>
          <w:rFonts w:ascii="Arial" w:hAnsi="Arial" w:eastAsia="Calibri" w:cs="Arial"/>
          <w:sz w:val="22"/>
        </w:rPr>
      </w:pPr>
      <w:r w:rsidRPr="00F807BA">
        <w:rPr>
          <w:rFonts w:ascii="Arial" w:hAnsi="Arial" w:eastAsia="Calibri" w:cs="Arial"/>
          <w:sz w:val="22"/>
        </w:rPr>
        <w:t>Nótese cómo el artículo citado permite que las entidades estatales no se rijan siempre por la normativa colombiana, permitiendo, en algunos casos, la aplicación de la ley extranjera. Además de los supuestos anteriores, el Consejo de Estado explica, en general, los siguientes escenarios, en los cuales el régimen jurídico puede ser uno diferente al prescrito en el derecho nacional, pese a tratarse de contratos sometidos, en principio, a la Ley 80 de 1993:</w:t>
      </w:r>
    </w:p>
    <w:p w:rsidRPr="00F807BA" w:rsidR="0003362C" w:rsidP="0003362C" w:rsidRDefault="0003362C" w14:paraId="1305721B" w14:textId="77777777">
      <w:pPr>
        <w:pStyle w:val="Prrafodelista"/>
        <w:snapToGrid w:val="0"/>
        <w:ind w:left="0" w:firstLine="709"/>
        <w:rPr>
          <w:rFonts w:ascii="Arial" w:hAnsi="Arial" w:eastAsia="Calibri" w:cs="Arial"/>
          <w:sz w:val="22"/>
        </w:rPr>
      </w:pPr>
    </w:p>
    <w:p w:rsidRPr="00F807BA" w:rsidR="0003362C" w:rsidP="000E427F" w:rsidRDefault="0003362C" w14:paraId="52F72D7B" w14:textId="77777777">
      <w:pPr>
        <w:pStyle w:val="Prrafodelista"/>
        <w:spacing w:after="0" w:line="240" w:lineRule="auto"/>
        <w:ind w:left="709" w:right="709"/>
        <w:rPr>
          <w:rFonts w:ascii="Arial" w:hAnsi="Arial" w:eastAsia="MS Mincho" w:cs="Arial"/>
          <w:sz w:val="21"/>
          <w:szCs w:val="21"/>
          <w:lang w:eastAsia="es-ES"/>
        </w:rPr>
      </w:pPr>
      <w:r w:rsidRPr="00F807BA">
        <w:rPr>
          <w:rFonts w:ascii="Arial" w:hAnsi="Arial" w:eastAsia="MS Mincho" w:cs="Arial"/>
          <w:sz w:val="21"/>
          <w:szCs w:val="21"/>
          <w:lang w:eastAsia="es-ES"/>
        </w:rPr>
        <w:t>i) Contratos celebrados en el exterior, los cuales se podrán regir en su ejecución por las reglas del país donde se ha suscrito, salvo cuando su cumplimiento deba hacerse en Colombia, caso en el cual se aplicará la legislación nacional, ii) Contratos celebrados en territorio colombiano que deben ejecutarse o cumplirse en el extranjero, en tal caso podrá regirse bajo legislación foránea, salvo aquella parte que deba ejecutarse o cumplirse en Colombia, la cual se regirá por el derecho nacional, iii)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adjudicación y cláusulas especiales de ejecución, cumplimiento, pagos y ajustes»</w:t>
      </w:r>
      <w:r w:rsidRPr="00F807BA">
        <w:rPr>
          <w:rStyle w:val="Refdenotaalpie"/>
          <w:rFonts w:ascii="Arial" w:hAnsi="Arial" w:cs="Arial"/>
          <w:sz w:val="21"/>
          <w:szCs w:val="21"/>
        </w:rPr>
        <w:footnoteReference w:id="24"/>
      </w:r>
      <w:r w:rsidRPr="00F807BA">
        <w:rPr>
          <w:rFonts w:ascii="Arial" w:hAnsi="Arial" w:eastAsia="MS Mincho" w:cs="Arial"/>
          <w:sz w:val="21"/>
          <w:szCs w:val="21"/>
          <w:lang w:eastAsia="es-ES"/>
        </w:rPr>
        <w:t xml:space="preserve">. </w:t>
      </w:r>
    </w:p>
    <w:p w:rsidRPr="00F807BA" w:rsidR="0003362C" w:rsidP="000E427F" w:rsidRDefault="0003362C" w14:paraId="6F989FF2" w14:textId="77777777">
      <w:pPr>
        <w:pStyle w:val="Prrafodelista"/>
        <w:spacing w:before="120" w:after="0" w:line="240" w:lineRule="auto"/>
        <w:ind w:left="851" w:right="709"/>
        <w:rPr>
          <w:rFonts w:ascii="Arial" w:hAnsi="Arial" w:eastAsia="Calibri" w:cs="Arial"/>
          <w:sz w:val="22"/>
        </w:rPr>
      </w:pPr>
    </w:p>
    <w:p w:rsidRPr="00F807BA" w:rsidR="0003362C" w:rsidP="0003362C" w:rsidRDefault="0003362C" w14:paraId="4D3D0611" w14:textId="77777777">
      <w:pPr>
        <w:spacing w:line="276" w:lineRule="auto"/>
        <w:ind w:firstLine="709"/>
        <w:jc w:val="both"/>
        <w:rPr>
          <w:rFonts w:ascii="Arial" w:hAnsi="Arial" w:eastAsia="Calibri" w:cs="Arial"/>
          <w:lang w:val="es-ES"/>
        </w:rPr>
      </w:pPr>
      <w:r w:rsidRPr="00F807BA">
        <w:rPr>
          <w:rFonts w:ascii="Arial" w:hAnsi="Arial" w:eastAsia="Calibri" w:cs="Arial"/>
          <w:lang w:val="es-ES"/>
        </w:rPr>
        <w:t>La redacción original del artículo 13 de la Ley 80 de 1993 incluía un inciso cuarto en el que se regulaba el régimen aplicable a los contratos suscritos con organismos internacionales, estableciendo otros supuestos donde era posible aplicar un régimen distinto al del Estatuto General de Contratación de la Administración Pública –en adelante EGCAP–</w:t>
      </w:r>
      <w:r w:rsidRPr="00F807BA">
        <w:rPr>
          <w:rStyle w:val="Refdenotaalpie"/>
          <w:rFonts w:ascii="Arial" w:hAnsi="Arial" w:eastAsia="Calibri" w:cs="Arial"/>
        </w:rPr>
        <w:footnoteReference w:id="25"/>
      </w:r>
      <w:r w:rsidRPr="00F807BA">
        <w:rPr>
          <w:rFonts w:ascii="Arial" w:hAnsi="Arial" w:eastAsia="Calibri" w:cs="Arial"/>
          <w:lang w:val="es-ES"/>
        </w:rPr>
        <w:t xml:space="preserve">. Sin embargo, el artículo 20 de la Ley 1150 de 2007 modificó el régimen contractual aplicable a los contratos o convenios suscritos con </w:t>
      </w:r>
      <w:r w:rsidRPr="00F807BA">
        <w:rPr>
          <w:rFonts w:ascii="Arial" w:hAnsi="Arial" w:eastAsia="Calibri" w:cs="Arial"/>
          <w:lang w:val="es-ES"/>
        </w:rPr>
        <w:lastRenderedPageBreak/>
        <w:t xml:space="preserve">organismos internacionales, estableciendo, para algunos casos, la posible definición del régimen dependiendo del porcentaje de participación que el organismo internacional tuviera frente a dichos contratos, a partir del cual establece una potestad discrecional en torno a la elección del régimen contractual aplicable. Así, el artículo 20 de la citada norma señala que «podrán» ser sometidos a los reglamentos de tales entidades, en lo que tiene que ver con el inciso primero de dicho artículo. </w:t>
      </w:r>
    </w:p>
    <w:p w:rsidRPr="00F807BA" w:rsidR="0003362C" w:rsidP="0003362C" w:rsidRDefault="0003362C" w14:paraId="391E9D75" w14:textId="77777777">
      <w:pPr>
        <w:spacing w:before="120" w:after="120" w:line="276" w:lineRule="auto"/>
        <w:ind w:firstLine="709"/>
        <w:jc w:val="both"/>
        <w:rPr>
          <w:rFonts w:ascii="Arial" w:hAnsi="Arial" w:eastAsia="Calibri" w:cs="Arial"/>
          <w:lang w:val="es-ES"/>
        </w:rPr>
      </w:pPr>
      <w:r w:rsidRPr="00F807BA">
        <w:rPr>
          <w:rFonts w:ascii="Arial" w:hAnsi="Arial" w:eastAsia="Calibri" w:cs="Arial"/>
          <w:lang w:val="es-ES"/>
        </w:rPr>
        <w:t>Para comprender el alcance del régimen aplicable a los contratos o convenios que se suscriban con organismos internacionales, de acuerdo con la financiación de estos, resulta necesario analizar el artículo 20 de la Ley 1150 de 2007</w:t>
      </w:r>
      <w:r w:rsidRPr="00F807BA">
        <w:rPr>
          <w:rStyle w:val="Refdenotaalpie"/>
          <w:rFonts w:ascii="Arial" w:hAnsi="Arial" w:eastAsia="Calibri" w:cs="Arial"/>
        </w:rPr>
        <w:footnoteReference w:id="26"/>
      </w:r>
      <w:r w:rsidRPr="00F807BA">
        <w:rPr>
          <w:rFonts w:ascii="Arial" w:hAnsi="Arial" w:eastAsia="Calibri" w:cs="Arial"/>
          <w:lang w:val="es-ES"/>
        </w:rPr>
        <w:t xml:space="preserve">. De conformidad con este artículo, en lo que tiene que ver con el </w:t>
      </w:r>
      <w:r w:rsidRPr="00F807BA">
        <w:rPr>
          <w:rFonts w:ascii="Arial" w:hAnsi="Arial" w:eastAsia="Calibri" w:cs="Arial"/>
          <w:i/>
          <w:iCs/>
          <w:lang w:val="es-ES"/>
        </w:rPr>
        <w:t>inciso primero</w:t>
      </w:r>
      <w:r w:rsidRPr="00F807BA">
        <w:rPr>
          <w:rFonts w:ascii="Arial" w:hAnsi="Arial" w:eastAsia="Calibri" w:cs="Arial"/>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w:t>
      </w:r>
      <w:r w:rsidRPr="00F807BA">
        <w:rPr>
          <w:rFonts w:ascii="Arial" w:hAnsi="Arial" w:eastAsia="Calibri" w:cs="Arial"/>
          <w:lang w:val="es-ES"/>
        </w:rPr>
        <w:lastRenderedPageBreak/>
        <w:t xml:space="preserve">internacional son inferiores al porcentaje señalado, el contrato o convenio debe someterse al EGCAP. </w:t>
      </w:r>
    </w:p>
    <w:p w:rsidRPr="00F807BA" w:rsidR="0003362C" w:rsidP="00FA2FE5" w:rsidRDefault="0003362C" w14:paraId="668B5ED4" w14:textId="77777777">
      <w:pPr>
        <w:spacing w:before="120" w:after="0" w:line="276" w:lineRule="auto"/>
        <w:ind w:firstLine="709"/>
        <w:jc w:val="both"/>
        <w:rPr>
          <w:rFonts w:ascii="Arial" w:hAnsi="Arial" w:eastAsia="Calibri" w:cs="Arial"/>
          <w:lang w:val="es-ES"/>
        </w:rPr>
      </w:pPr>
      <w:r w:rsidRPr="00F807BA">
        <w:rPr>
          <w:rFonts w:ascii="Arial" w:hAnsi="Arial" w:eastAsia="Calibri" w:cs="Arial"/>
          <w:lang w:val="es-ES"/>
        </w:rPr>
        <w:t xml:space="preserve">Por otro lado, la norma establece un segundo criterio, en el </w:t>
      </w:r>
      <w:r w:rsidRPr="00F807BA">
        <w:rPr>
          <w:rFonts w:ascii="Arial" w:hAnsi="Arial" w:eastAsia="Calibri" w:cs="Arial"/>
          <w:i/>
          <w:iCs/>
          <w:lang w:val="es-ES"/>
        </w:rPr>
        <w:t>inciso segundo,</w:t>
      </w:r>
      <w:r w:rsidRPr="00F807BA">
        <w:rPr>
          <w:rFonts w:ascii="Arial" w:hAnsi="Arial" w:eastAsia="Calibri" w:cs="Arial"/>
          <w:lang w:val="es-ES"/>
        </w:rPr>
        <w:t xml:space="preserve"> para determinar la posibilidad de aplicar los reglamentos de los organismos internacionales. Este segundo criterio depende del objeto del convenio o contrato a celebrar, de manera que en dichos casos se puede pactar el sometimiento a los reglamentos de estas entidades. En tal sentido, los otros supuestos en que es posible someter el régimen contractual a los reglamentos de los organismos internacionales son los siguientes: </w:t>
      </w:r>
    </w:p>
    <w:p w:rsidRPr="00F807BA" w:rsidR="0003362C" w:rsidP="00FA2FE5" w:rsidRDefault="0003362C" w14:paraId="0BC1D63E" w14:textId="77777777">
      <w:pPr>
        <w:spacing w:after="0" w:line="276" w:lineRule="auto"/>
        <w:ind w:firstLine="709"/>
        <w:jc w:val="both"/>
        <w:rPr>
          <w:rFonts w:ascii="Arial" w:hAnsi="Arial" w:eastAsia="Calibri" w:cs="Arial"/>
          <w:lang w:val="es-ES"/>
        </w:rPr>
      </w:pPr>
    </w:p>
    <w:p w:rsidRPr="00F807BA" w:rsidR="0003362C" w:rsidP="0003362C" w:rsidRDefault="0003362C" w14:paraId="2644B93B" w14:textId="77777777">
      <w:pPr>
        <w:pStyle w:val="Prrafodelista"/>
        <w:numPr>
          <w:ilvl w:val="0"/>
          <w:numId w:val="30"/>
        </w:numPr>
        <w:ind w:left="1134" w:right="709" w:hanging="141"/>
        <w:rPr>
          <w:rFonts w:ascii="Arial" w:hAnsi="Arial" w:eastAsia="Calibri" w:cs="Arial"/>
          <w:sz w:val="21"/>
          <w:szCs w:val="21"/>
        </w:rPr>
      </w:pPr>
      <w:r w:rsidRPr="00F807BA">
        <w:rPr>
          <w:rFonts w:ascii="Arial" w:hAnsi="Arial" w:eastAsia="Calibri" w:cs="Arial"/>
          <w:sz w:val="21"/>
          <w:szCs w:val="21"/>
        </w:rPr>
        <w:t xml:space="preserve">Desarrollo de programas de promoción, prevención y atención en salud. </w:t>
      </w:r>
    </w:p>
    <w:p w:rsidRPr="00F807BA" w:rsidR="0003362C" w:rsidP="0003362C" w:rsidRDefault="0003362C" w14:paraId="3582C275" w14:textId="77777777">
      <w:pPr>
        <w:pStyle w:val="Prrafodelista"/>
        <w:numPr>
          <w:ilvl w:val="0"/>
          <w:numId w:val="30"/>
        </w:numPr>
        <w:spacing w:after="0"/>
        <w:ind w:left="1134" w:right="709" w:hanging="141"/>
        <w:rPr>
          <w:rFonts w:ascii="Arial" w:hAnsi="Arial" w:cs="Arial"/>
          <w:sz w:val="21"/>
          <w:szCs w:val="21"/>
        </w:rPr>
      </w:pPr>
      <w:r w:rsidRPr="00F807BA">
        <w:rPr>
          <w:rFonts w:ascii="Arial" w:hAnsi="Arial" w:cs="Arial"/>
          <w:sz w:val="21"/>
          <w:szCs w:val="21"/>
        </w:rPr>
        <w:t>Contratos y convenios necesarios para la operación de la OIT.</w:t>
      </w:r>
    </w:p>
    <w:p w:rsidRPr="00F807BA" w:rsidR="0003362C" w:rsidP="0003362C" w:rsidRDefault="0003362C" w14:paraId="746ADAEB" w14:textId="77777777">
      <w:pPr>
        <w:pStyle w:val="Prrafodelista"/>
        <w:numPr>
          <w:ilvl w:val="0"/>
          <w:numId w:val="30"/>
        </w:numPr>
        <w:spacing w:after="0"/>
        <w:ind w:left="1134" w:right="709" w:hanging="141"/>
        <w:rPr>
          <w:rFonts w:ascii="Arial" w:hAnsi="Arial" w:cs="Arial"/>
          <w:sz w:val="21"/>
          <w:szCs w:val="21"/>
        </w:rPr>
      </w:pPr>
      <w:r w:rsidRPr="00F807BA">
        <w:rPr>
          <w:rFonts w:ascii="Arial" w:hAnsi="Arial" w:cs="Arial"/>
          <w:sz w:val="21"/>
          <w:szCs w:val="21"/>
        </w:rPr>
        <w:t>Contratos y convenios que se ejecuten en desarrollo del sistema integrado de monitoreo de cultivos ilícitos.</w:t>
      </w:r>
    </w:p>
    <w:p w:rsidRPr="00F807BA" w:rsidR="0003362C" w:rsidP="0003362C" w:rsidRDefault="0003362C" w14:paraId="425D5019" w14:textId="77777777">
      <w:pPr>
        <w:pStyle w:val="Prrafodelista"/>
        <w:numPr>
          <w:ilvl w:val="0"/>
          <w:numId w:val="30"/>
        </w:numPr>
        <w:spacing w:after="0"/>
        <w:ind w:left="1134" w:right="709" w:hanging="141"/>
        <w:rPr>
          <w:rFonts w:ascii="Arial" w:hAnsi="Arial" w:cs="Arial"/>
          <w:sz w:val="21"/>
          <w:szCs w:val="21"/>
        </w:rPr>
      </w:pPr>
      <w:r w:rsidRPr="00F807BA">
        <w:rPr>
          <w:rFonts w:ascii="Arial" w:hAnsi="Arial" w:cs="Arial"/>
          <w:sz w:val="21"/>
          <w:szCs w:val="21"/>
        </w:rPr>
        <w:t>Contratos y convenios para la operación del programa mundial de alimentos.</w:t>
      </w:r>
    </w:p>
    <w:p w:rsidRPr="00F807BA" w:rsidR="0003362C" w:rsidP="0003362C" w:rsidRDefault="0003362C" w14:paraId="10D6AA20" w14:textId="77777777">
      <w:pPr>
        <w:pStyle w:val="Prrafodelista"/>
        <w:numPr>
          <w:ilvl w:val="0"/>
          <w:numId w:val="30"/>
        </w:numPr>
        <w:spacing w:after="0"/>
        <w:ind w:left="1134" w:right="709" w:hanging="141"/>
        <w:rPr>
          <w:rFonts w:ascii="Arial" w:hAnsi="Arial" w:cs="Arial"/>
          <w:sz w:val="21"/>
          <w:szCs w:val="21"/>
        </w:rPr>
      </w:pPr>
      <w:r w:rsidRPr="00F807BA">
        <w:rPr>
          <w:rFonts w:ascii="Arial" w:hAnsi="Arial" w:cs="Arial"/>
          <w:sz w:val="21"/>
          <w:szCs w:val="21"/>
        </w:rPr>
        <w:t>Contratos y convenios para el desarrollo de programas de apoyo educativo a población desplazada y vulnerable adelantados por la Unesco y la OIM.</w:t>
      </w:r>
    </w:p>
    <w:p w:rsidRPr="00F807BA" w:rsidR="0003362C" w:rsidP="00FA2FE5" w:rsidRDefault="0003362C" w14:paraId="16493557" w14:textId="77777777">
      <w:pPr>
        <w:pStyle w:val="Prrafodelista"/>
        <w:numPr>
          <w:ilvl w:val="0"/>
          <w:numId w:val="30"/>
        </w:numPr>
        <w:spacing w:after="0"/>
        <w:ind w:left="1134" w:right="709" w:hanging="141"/>
        <w:rPr>
          <w:rFonts w:ascii="Arial" w:hAnsi="Arial" w:cs="Arial"/>
          <w:sz w:val="22"/>
        </w:rPr>
      </w:pPr>
      <w:r w:rsidRPr="00F807BA">
        <w:rPr>
          <w:rFonts w:ascii="Arial" w:hAnsi="Arial" w:cs="Arial"/>
          <w:sz w:val="21"/>
          <w:szCs w:val="21"/>
        </w:rPr>
        <w:t>Los contratos o convenios financiados con fondos de los organismos multilaterales de crédito y entes gubernamentales extranjeros.</w:t>
      </w:r>
      <w:r w:rsidRPr="00F807BA">
        <w:rPr>
          <w:rFonts w:ascii="Arial" w:hAnsi="Arial" w:cs="Arial"/>
          <w:sz w:val="22"/>
        </w:rPr>
        <w:t xml:space="preserve"> </w:t>
      </w:r>
    </w:p>
    <w:p w:rsidRPr="00F807BA" w:rsidR="0003362C" w:rsidP="00FA2FE5" w:rsidRDefault="0003362C" w14:paraId="1190086D" w14:textId="77777777">
      <w:pPr>
        <w:pStyle w:val="Prrafodelista"/>
        <w:spacing w:after="0"/>
        <w:ind w:left="1429"/>
        <w:rPr>
          <w:rFonts w:ascii="Arial" w:hAnsi="Arial" w:cs="Arial"/>
          <w:sz w:val="22"/>
        </w:rPr>
      </w:pPr>
    </w:p>
    <w:p w:rsidRPr="00F807BA" w:rsidR="0003362C" w:rsidP="0034205B" w:rsidRDefault="0003362C" w14:paraId="5D9FEB74" w14:textId="77777777">
      <w:pPr>
        <w:spacing w:after="0" w:line="276" w:lineRule="auto"/>
        <w:ind w:firstLine="709"/>
        <w:jc w:val="both"/>
        <w:rPr>
          <w:rFonts w:ascii="Arial" w:hAnsi="Arial" w:eastAsia="Calibri" w:cs="Arial"/>
          <w:lang w:val="es-ES"/>
        </w:rPr>
      </w:pPr>
      <w:r w:rsidRPr="00F807BA">
        <w:rPr>
          <w:rFonts w:ascii="Arial" w:hAnsi="Arial" w:eastAsia="Calibri" w:cs="Arial"/>
          <w:lang w:val="es-ES"/>
        </w:rPr>
        <w:t>En los supuestos anteriores, regulados en el inciso segundo del artículo 20, independientemente del monto de los aportes de cada una de las partes, es posible optar por someter el contrato a los reglamentos de dichos organismos o bien someterlos al EGCAP, es decir, configurado alguno de los presupuestos anteriores es posible elegir cualquiera de los dos (2) regímenes indicados. Al respecto, en el concepto C-374 del 27 de julio de 2020, esta Agencia –después de analizar el artículo 20 de la Ley 1150 de 2007– concluyó que:</w:t>
      </w:r>
    </w:p>
    <w:p w:rsidRPr="00F807BA" w:rsidR="0003362C" w:rsidP="0034205B" w:rsidRDefault="0003362C" w14:paraId="5B18A146" w14:textId="77777777">
      <w:pPr>
        <w:spacing w:after="0" w:line="276" w:lineRule="auto"/>
        <w:ind w:firstLine="709"/>
        <w:jc w:val="both"/>
        <w:rPr>
          <w:rFonts w:ascii="Arial" w:hAnsi="Arial" w:eastAsia="Calibri" w:cs="Arial"/>
          <w:lang w:val="es-ES"/>
        </w:rPr>
      </w:pPr>
    </w:p>
    <w:p w:rsidRPr="00F807BA" w:rsidR="0003362C" w:rsidP="000E427F" w:rsidRDefault="0003362C" w14:paraId="5AEFD5FE" w14:textId="77777777">
      <w:pPr>
        <w:spacing w:after="0" w:line="240" w:lineRule="auto"/>
        <w:ind w:left="709" w:right="709"/>
        <w:jc w:val="both"/>
        <w:rPr>
          <w:rFonts w:ascii="Arial" w:hAnsi="Arial" w:eastAsia="Calibri" w:cs="Arial"/>
          <w:sz w:val="21"/>
          <w:szCs w:val="21"/>
          <w:lang w:val="es-ES"/>
        </w:rPr>
      </w:pPr>
      <w:r w:rsidRPr="00F807BA">
        <w:rPr>
          <w:rFonts w:ascii="Arial" w:hAnsi="Arial" w:eastAsia="Calibri" w:cs="Arial"/>
          <w:sz w:val="21"/>
          <w:szCs w:val="21"/>
          <w:lang w:val="es-ES"/>
        </w:rPr>
        <w:t xml:space="preserve">[…] 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w:t>
      </w:r>
      <w:r w:rsidRPr="00F807BA">
        <w:rPr>
          <w:rFonts w:ascii="Arial" w:hAnsi="Arial" w:eastAsia="Calibri" w:cs="Arial"/>
          <w:sz w:val="21"/>
          <w:szCs w:val="21"/>
          <w:lang w:val="es-ES"/>
        </w:rPr>
        <w:lastRenderedPageBreak/>
        <w:t>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p>
    <w:p w:rsidRPr="00F807BA" w:rsidR="0003362C" w:rsidP="0034205B" w:rsidRDefault="0003362C" w14:paraId="3DF149C4" w14:textId="77777777">
      <w:pPr>
        <w:spacing w:after="0"/>
        <w:ind w:left="709" w:right="709"/>
        <w:jc w:val="both"/>
        <w:rPr>
          <w:rFonts w:ascii="Arial" w:hAnsi="Arial" w:eastAsia="Calibri" w:cs="Arial"/>
          <w:sz w:val="21"/>
          <w:szCs w:val="21"/>
          <w:lang w:val="es-ES"/>
        </w:rPr>
      </w:pPr>
    </w:p>
    <w:p w:rsidRPr="00F807BA" w:rsidR="0003362C" w:rsidP="0003362C" w:rsidRDefault="0003362C" w14:paraId="6CA7AB88" w14:textId="77777777">
      <w:pPr>
        <w:spacing w:after="120" w:line="276" w:lineRule="auto"/>
        <w:ind w:firstLine="709"/>
        <w:jc w:val="both"/>
        <w:rPr>
          <w:rFonts w:ascii="Arial" w:hAnsi="Arial" w:cs="Arial"/>
          <w:lang w:val="es-MX"/>
        </w:rPr>
      </w:pPr>
      <w:r w:rsidRPr="00F807BA">
        <w:rPr>
          <w:rFonts w:ascii="Arial" w:hAnsi="Arial" w:eastAsia="Calibri" w:cs="Arial"/>
          <w:lang w:val="es-ES"/>
        </w:rPr>
        <w:t>De otra parte, en relación con los contratos del inciso primero del artículo 20 de la Ley 1150 de 2007, conviene mencionar que dentro de la ejecución del contrato o convenio pueden presentarse situaciones en las que el porcentaje de los aportes sea modificado, en virtud de su adición o no ejecución en los términos pactados, por lo que, previendo este escenario, el artículo 2.2.1.2.4.4.1. del Decreto 1082 de 2015 dispuso que: «se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F807BA">
        <w:rPr>
          <w:rStyle w:val="Refdenotaalpie"/>
          <w:rFonts w:ascii="Arial" w:hAnsi="Arial" w:eastAsia="Calibri" w:cs="Arial"/>
        </w:rPr>
        <w:footnoteReference w:id="27"/>
      </w:r>
      <w:r w:rsidRPr="00F807BA">
        <w:rPr>
          <w:rFonts w:ascii="Arial" w:hAnsi="Arial" w:eastAsia="Calibri" w:cs="Arial"/>
          <w:lang w:val="es-ES"/>
        </w:rPr>
        <w:t xml:space="preserve">. Así las </w:t>
      </w:r>
      <w:r w:rsidRPr="00F807BA">
        <w:rPr>
          <w:rFonts w:ascii="Arial" w:hAnsi="Arial" w:eastAsia="Calibri" w:cs="Arial"/>
          <w:lang w:val="es-ES"/>
        </w:rPr>
        <w:lastRenderedPageBreak/>
        <w:t>cosas, la entidad contratante debe realizar un constante monitoreo respecto de los aportes de cada una de las partes para determinar si se debe realizar un ajuste frente al régimen aplicable, esto es, en relación con los contratos regulados en el inciso primero del artículo 20 de la Ley 1150 de 2007</w:t>
      </w:r>
      <w:r w:rsidRPr="00F807BA">
        <w:rPr>
          <w:rFonts w:ascii="Arial" w:hAnsi="Arial" w:cs="Arial"/>
        </w:rPr>
        <w:t xml:space="preserve">. </w:t>
      </w:r>
    </w:p>
    <w:p w:rsidRPr="00F807BA" w:rsidR="0003362C" w:rsidP="0034205B" w:rsidRDefault="0003362C" w14:paraId="776C7D9C" w14:textId="77777777">
      <w:pPr>
        <w:spacing w:after="0" w:line="276" w:lineRule="auto"/>
        <w:ind w:firstLine="709"/>
        <w:jc w:val="both"/>
        <w:rPr>
          <w:rFonts w:ascii="Arial" w:hAnsi="Arial" w:cs="Arial"/>
          <w:bCs/>
          <w:color w:val="000000"/>
          <w:lang w:eastAsia="es-CO"/>
        </w:rPr>
      </w:pPr>
      <w:bookmarkStart w:name="_Hlk99449550" w:id="17"/>
      <w:r w:rsidRPr="00F807BA">
        <w:rPr>
          <w:rFonts w:ascii="Arial" w:hAnsi="Arial" w:eastAsia="Calibri" w:cs="Arial"/>
          <w:color w:val="000000" w:themeColor="text1"/>
        </w:rPr>
        <w:t xml:space="preserve">Ahora bien, para la restricción del artículo 33 de la </w:t>
      </w:r>
      <w:r w:rsidRPr="00F807BA">
        <w:rPr>
          <w:rFonts w:ascii="Arial" w:hAnsi="Arial" w:cs="Arial"/>
          <w:bCs/>
          <w:color w:val="000000"/>
          <w:lang w:eastAsia="es-CO"/>
        </w:rPr>
        <w:t xml:space="preserve">Ley 996 de 2005 es necesario considerar que </w:t>
      </w:r>
      <w:r w:rsidRPr="00F807BA">
        <w:rPr>
          <w:rFonts w:ascii="Arial" w:hAnsi="Arial" w:eastAsia="Calibri" w:cs="Arial"/>
          <w:lang w:val="es-ES"/>
        </w:rPr>
        <w:t>el artículo 20 de la Ley 1150 de 2007</w:t>
      </w:r>
      <w:r w:rsidRPr="00F807BA">
        <w:rPr>
          <w:rFonts w:ascii="Arial" w:hAnsi="Arial" w:cs="Arial"/>
          <w:bCs/>
          <w:color w:val="000000"/>
          <w:lang w:eastAsia="es-CO"/>
        </w:rPr>
        <w:t xml:space="preserve"> consagra un régimen jurídico que exceptúa la aplicación del Estatuto General de Contratación de la Administración Pública. A diferencia del régimen de las empresas de servicios públicos domiciliarios, las empresas industriales y comerciales del Estado, las empresas sociales del Estado, entre otras, la excepción prevista para los contratos suscritos con organismos internacionales –más que privilegiar la competencia económica– flexibiliza el régimen contractual aplicable</w:t>
      </w:r>
      <w:r w:rsidRPr="00F807BA">
        <w:rPr>
          <w:rStyle w:val="Refdenotaalpie"/>
          <w:rFonts w:ascii="Arial" w:hAnsi="Arial" w:cs="Arial"/>
        </w:rPr>
        <w:footnoteReference w:id="28"/>
      </w:r>
      <w:r w:rsidRPr="00F807BA">
        <w:rPr>
          <w:rFonts w:ascii="Arial" w:hAnsi="Arial" w:cs="Arial"/>
          <w:bCs/>
          <w:color w:val="000000"/>
          <w:lang w:eastAsia="es-CO"/>
        </w:rPr>
        <w:t xml:space="preserve">. Para la doctrina, esta excepción se consagra de acuerdo con el objeto del contrato celebrado, por lo que no se realiza en consideración al sector específico al que pertenece la entidad, la asignación de un esquema legal propio a esta o por la naturaleza del fondo encargado de administrar recursos públicos. </w:t>
      </w:r>
      <w:bookmarkEnd w:id="17"/>
      <w:r w:rsidRPr="00F807BA">
        <w:rPr>
          <w:rFonts w:ascii="Arial" w:hAnsi="Arial" w:cs="Arial"/>
          <w:bCs/>
          <w:color w:val="000000"/>
          <w:lang w:eastAsia="es-CO"/>
        </w:rPr>
        <w:t>Por ello, explica que:</w:t>
      </w:r>
    </w:p>
    <w:p w:rsidRPr="00F807BA" w:rsidR="0003362C" w:rsidP="0034205B" w:rsidRDefault="0003362C" w14:paraId="181BB798" w14:textId="77777777">
      <w:pPr>
        <w:spacing w:after="0" w:line="276" w:lineRule="auto"/>
        <w:ind w:firstLine="709"/>
        <w:jc w:val="both"/>
        <w:rPr>
          <w:rFonts w:ascii="Arial" w:hAnsi="Arial" w:cs="Arial"/>
          <w:bCs/>
          <w:color w:val="000000"/>
          <w:lang w:eastAsia="es-CO"/>
        </w:rPr>
      </w:pPr>
    </w:p>
    <w:p w:rsidRPr="00F807BA" w:rsidR="0003362C" w:rsidP="000E427F" w:rsidRDefault="0003362C" w14:paraId="7A5F07AD" w14:textId="77777777">
      <w:pPr>
        <w:spacing w:after="0" w:line="240" w:lineRule="auto"/>
        <w:ind w:left="709" w:right="709"/>
        <w:jc w:val="both"/>
        <w:rPr>
          <w:rFonts w:ascii="Arial" w:hAnsi="Arial" w:cs="Arial"/>
          <w:bCs/>
          <w:color w:val="000000"/>
          <w:sz w:val="21"/>
          <w:szCs w:val="21"/>
          <w:lang w:eastAsia="es-CO"/>
        </w:rPr>
      </w:pPr>
      <w:r w:rsidRPr="00F807BA">
        <w:rPr>
          <w:rFonts w:ascii="Arial" w:hAnsi="Arial" w:cs="Arial"/>
          <w:bCs/>
          <w:color w:val="000000"/>
          <w:sz w:val="21"/>
          <w:szCs w:val="21"/>
          <w:lang w:eastAsia="es-CO"/>
        </w:rPr>
        <w:t>Tradicionalmente se plantea la existencia de regímenes especiales de contratación desde la perspectiva orgánica o subjetiva. Sin embargo, la tendencia es crear regímenes especiales por el contrato llamados de múltiples formas con diferentes propósitos. A través de esta modalidad de asignación, el legislador otorga a la entidad, en algunos casos sin importar su régimen, la posibilidad de celebrar un contrato tipificado del régimen especial sin acudir a las reglas de selección del régimen general de contratación. Lo usual es que en los casos excepcionales la selección sea directa o por lo menos con menos exigencias</w:t>
      </w:r>
      <w:r w:rsidRPr="00F807BA">
        <w:rPr>
          <w:rStyle w:val="Refdenotaalpie"/>
          <w:rFonts w:ascii="Arial" w:hAnsi="Arial" w:cs="Arial"/>
          <w:sz w:val="21"/>
          <w:szCs w:val="21"/>
        </w:rPr>
        <w:footnoteReference w:id="29"/>
      </w:r>
      <w:r w:rsidRPr="00F807BA">
        <w:rPr>
          <w:rFonts w:ascii="Arial" w:hAnsi="Arial" w:cs="Arial"/>
          <w:bCs/>
          <w:color w:val="000000"/>
          <w:sz w:val="21"/>
          <w:szCs w:val="21"/>
          <w:lang w:eastAsia="es-CO"/>
        </w:rPr>
        <w:t>.</w:t>
      </w:r>
    </w:p>
    <w:p w:rsidRPr="00F807BA" w:rsidR="0003362C" w:rsidP="0034205B" w:rsidRDefault="0003362C" w14:paraId="2AB6604D" w14:textId="77777777">
      <w:pPr>
        <w:spacing w:after="0" w:line="276" w:lineRule="auto"/>
        <w:ind w:left="709" w:right="709"/>
        <w:jc w:val="both"/>
        <w:rPr>
          <w:rFonts w:ascii="Arial" w:hAnsi="Arial" w:cs="Arial"/>
          <w:bCs/>
          <w:color w:val="000000"/>
          <w:lang w:eastAsia="es-CO"/>
        </w:rPr>
      </w:pPr>
    </w:p>
    <w:p w:rsidRPr="00F807BA" w:rsidR="0003362C" w:rsidP="0003362C" w:rsidRDefault="0003362C" w14:paraId="3199258B" w14:textId="36D9C24B">
      <w:pPr>
        <w:spacing w:after="120" w:line="276" w:lineRule="auto"/>
        <w:ind w:firstLine="708"/>
        <w:jc w:val="both"/>
        <w:rPr>
          <w:rFonts w:ascii="Arial" w:hAnsi="Arial" w:cs="Arial"/>
          <w:bCs/>
          <w:color w:val="000000"/>
          <w:lang w:eastAsia="es-CO"/>
        </w:rPr>
      </w:pPr>
      <w:bookmarkStart w:name="_Hlk99449710" w:id="18"/>
      <w:r w:rsidRPr="00F807BA">
        <w:rPr>
          <w:rFonts w:ascii="Arial" w:hAnsi="Arial" w:cs="Arial"/>
          <w:bCs/>
          <w:color w:val="000000"/>
          <w:lang w:eastAsia="es-CO"/>
        </w:rPr>
        <w:t xml:space="preserve">Pese a lo anterior, la prohibición de contratación directa de la Ley de Garantías es independiente del régimen contractual. 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F807BA">
        <w:rPr>
          <w:rFonts w:ascii="Arial" w:hAnsi="Arial" w:cs="Arial"/>
          <w:bCs/>
          <w:i/>
          <w:iCs/>
          <w:color w:val="000000"/>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F807BA">
        <w:rPr>
          <w:rFonts w:ascii="Arial" w:hAnsi="Arial" w:cs="Arial"/>
          <w:bCs/>
          <w:color w:val="000000"/>
          <w:lang w:eastAsia="es-CO"/>
        </w:rPr>
        <w:t>»</w:t>
      </w:r>
      <w:r w:rsidRPr="00F807BA">
        <w:rPr>
          <w:rStyle w:val="Refdenotaalpie"/>
          <w:rFonts w:ascii="Arial" w:hAnsi="Arial" w:cs="Arial"/>
        </w:rPr>
        <w:footnoteReference w:id="30"/>
      </w:r>
      <w:r w:rsidRPr="00F807BA">
        <w:rPr>
          <w:rFonts w:ascii="Arial" w:hAnsi="Arial" w:cs="Arial"/>
          <w:bCs/>
          <w:color w:val="000000"/>
          <w:lang w:eastAsia="es-CO"/>
        </w:rPr>
        <w:t xml:space="preserve"> (Énfasis fuera de texto). Por tanto, durante la vigencia de la prohibición del artículo 33 de la Ley 996 de 2005 está restringida cualquier modalidad de selección que excluya la pluralidad de oferentes en el régimen especial de contratación con organismos internacionales</w:t>
      </w:r>
      <w:bookmarkEnd w:id="18"/>
      <w:r w:rsidRPr="00F807BA" w:rsidR="00B8105E">
        <w:rPr>
          <w:rStyle w:val="Refdenotaalpie"/>
          <w:rFonts w:ascii="Arial" w:hAnsi="Arial" w:cs="Arial"/>
          <w:bCs/>
          <w:color w:val="000000"/>
          <w:lang w:eastAsia="es-CO"/>
        </w:rPr>
        <w:footnoteReference w:id="31"/>
      </w:r>
      <w:r w:rsidRPr="00F807BA">
        <w:rPr>
          <w:rFonts w:ascii="Arial" w:hAnsi="Arial" w:cs="Arial"/>
          <w:bCs/>
          <w:color w:val="000000"/>
          <w:lang w:eastAsia="es-CO"/>
        </w:rPr>
        <w:t xml:space="preserve">. </w:t>
      </w:r>
    </w:p>
    <w:p w:rsidRPr="00F807BA" w:rsidR="0003362C" w:rsidP="0003362C" w:rsidRDefault="0003362C" w14:paraId="5B42087B" w14:textId="69BDE75A">
      <w:pPr>
        <w:spacing w:after="120" w:line="276" w:lineRule="auto"/>
        <w:ind w:firstLine="708"/>
        <w:jc w:val="both"/>
        <w:rPr>
          <w:rFonts w:ascii="Arial" w:hAnsi="Arial" w:cs="Arial"/>
          <w:bCs/>
          <w:color w:val="000000"/>
          <w:lang w:eastAsia="es-CO"/>
        </w:rPr>
      </w:pPr>
      <w:r w:rsidRPr="00F807BA">
        <w:rPr>
          <w:rFonts w:ascii="Arial" w:hAnsi="Arial" w:cs="Arial"/>
          <w:bCs/>
          <w:color w:val="000000"/>
          <w:lang w:eastAsia="es-CO"/>
        </w:rPr>
        <w:t xml:space="preserve">Por tales razones, se aclara Concepto C-559 del 31 de agosto de 2021, armonizándolo con el Concepto C-296 del 22 de junio del mismo año, para precisar que la </w:t>
      </w:r>
      <w:bookmarkStart w:name="_Hlk98782207" w:id="19"/>
      <w:r w:rsidRPr="00F807BA">
        <w:rPr>
          <w:rFonts w:ascii="Arial" w:hAnsi="Arial" w:cs="Arial"/>
          <w:bCs/>
          <w:color w:val="000000"/>
          <w:lang w:eastAsia="es-CO"/>
        </w:rPr>
        <w:t xml:space="preserve">prohibición de contratación directa del artículo 33 de la Ley 996 de 2005 rige con independencia del régimen jurídico del contrato. </w:t>
      </w:r>
      <w:bookmarkStart w:name="_Hlk98782113" w:id="20"/>
      <w:r w:rsidRPr="00F807BA">
        <w:rPr>
          <w:rFonts w:ascii="Arial" w:hAnsi="Arial" w:cs="Arial"/>
          <w:bCs/>
          <w:color w:val="000000"/>
          <w:lang w:eastAsia="es-CO"/>
        </w:rPr>
        <w:t>En tal sentido, salvo que ingrese en alguna de las excepciones establecidas en el segundo inciso de la disposición citada, esta restricción también aplica a la celebración de contratos con organismos internacionales, aun cuando se presenten los supuestos indicados en el artículo 20 de la Ley 1150 de 2007, en los cuales dichos contratos se pueden someter a los reglamentos de tales organizaciones. Esta conclusión se apoya en los siguientes argumentos</w:t>
      </w:r>
      <w:bookmarkEnd w:id="19"/>
      <w:bookmarkEnd w:id="20"/>
      <w:r w:rsidRPr="00F807BA">
        <w:rPr>
          <w:rFonts w:ascii="Arial" w:hAnsi="Arial" w:cs="Arial"/>
          <w:bCs/>
          <w:color w:val="000000"/>
          <w:lang w:eastAsia="es-CO"/>
        </w:rPr>
        <w:t xml:space="preserve">: </w:t>
      </w:r>
    </w:p>
    <w:p w:rsidRPr="00F807BA" w:rsidR="0003362C" w:rsidP="0003362C" w:rsidRDefault="0003362C" w14:paraId="0F4C3F5D" w14:textId="77777777">
      <w:pPr>
        <w:spacing w:after="120" w:line="276" w:lineRule="auto"/>
        <w:ind w:firstLine="708"/>
        <w:jc w:val="both"/>
        <w:rPr>
          <w:rFonts w:ascii="Arial" w:hAnsi="Arial" w:cs="Arial"/>
          <w:bCs/>
          <w:color w:val="000000"/>
          <w:lang w:eastAsia="es-CO"/>
        </w:rPr>
      </w:pPr>
      <w:r w:rsidRPr="00F807BA">
        <w:rPr>
          <w:rFonts w:ascii="Arial" w:hAnsi="Arial" w:cs="Arial"/>
          <w:bCs/>
          <w:color w:val="000000"/>
          <w:lang w:eastAsia="es-CO"/>
        </w:rPr>
        <w:lastRenderedPageBreak/>
        <w:t xml:space="preserve">i) El artículo 33 de la Ley 996 de 2005 debe aplicarse, como lo indica su primer inciso, a «todos los entes del Estado». Este criterio orgánico reviste importancia, porque permite argumentar que a pesar de que una entidad estatal celebre un contrato con un organismo internacional de cooperación, ayuda o asistencia, aquella no muta su naturaleza jurídica –no deja de ser una entidad estatal– y, por tanto, continúa siendo destinataria de la Ley de Garantías Electorales.  </w:t>
      </w:r>
    </w:p>
    <w:p w:rsidRPr="00F807BA" w:rsidR="0003362C" w:rsidP="0003362C" w:rsidRDefault="0003362C" w14:paraId="7B277CBE" w14:textId="5AFF8086">
      <w:pPr>
        <w:spacing w:after="120" w:line="276" w:lineRule="auto"/>
        <w:ind w:firstLine="708"/>
        <w:jc w:val="both"/>
        <w:rPr>
          <w:rFonts w:ascii="Arial" w:hAnsi="Arial" w:cs="Arial"/>
          <w:bCs/>
          <w:color w:val="000000"/>
          <w:lang w:eastAsia="es-CO"/>
        </w:rPr>
      </w:pPr>
      <w:r w:rsidRPr="00F807BA">
        <w:rPr>
          <w:rFonts w:ascii="Arial" w:hAnsi="Arial" w:cs="Arial"/>
          <w:bCs/>
          <w:color w:val="000000"/>
          <w:lang w:eastAsia="es-CO"/>
        </w:rPr>
        <w:t>ii) La proscripción de la contratación directa indicada en dicho artículo no diferencia régimen contractual, ni indica que solo se aplica a la contratación directa sometida al Estatuto General de Contratación de la Administración Pública, razón por la cual la prohibición incluye cualquier contratación directa, así esté sujeta a un régimen excepcional –como el del artículo 20 de la Ley 1150 de 2007–</w:t>
      </w:r>
      <w:r w:rsidRPr="00F807BA" w:rsidR="006D49D6">
        <w:rPr>
          <w:rFonts w:ascii="Arial" w:hAnsi="Arial" w:cs="Arial"/>
          <w:bCs/>
          <w:color w:val="000000"/>
          <w:lang w:eastAsia="es-CO"/>
        </w:rPr>
        <w:t>.</w:t>
      </w:r>
    </w:p>
    <w:p w:rsidRPr="00F807BA" w:rsidR="0003362C" w:rsidP="0003362C" w:rsidRDefault="0003362C" w14:paraId="34E97A70" w14:textId="77777777">
      <w:pPr>
        <w:spacing w:after="120" w:line="276" w:lineRule="auto"/>
        <w:ind w:firstLine="708"/>
        <w:jc w:val="both"/>
        <w:rPr>
          <w:rFonts w:ascii="Arial" w:hAnsi="Arial" w:cs="Arial"/>
          <w:bCs/>
          <w:color w:val="000000"/>
          <w:lang w:eastAsia="es-CO"/>
        </w:rPr>
      </w:pPr>
      <w:r w:rsidRPr="00F807BA">
        <w:rPr>
          <w:rFonts w:ascii="Arial" w:hAnsi="Arial" w:cs="Arial"/>
          <w:bCs/>
          <w:color w:val="000000"/>
          <w:lang w:eastAsia="es-CO"/>
        </w:rPr>
        <w:t xml:space="preserve">iii) Los artículos 13 de la Ley 80 de 1993, 20 de la Ley 1150 de 2007 y 2.2.1.2.4.4.1 del Decreto 1082 de 2015 </w:t>
      </w:r>
      <w:r w:rsidRPr="00F807BA">
        <w:rPr>
          <w:rFonts w:ascii="Arial" w:hAnsi="Arial" w:cs="Arial"/>
          <w:bCs/>
          <w:i/>
          <w:iCs/>
          <w:color w:val="000000"/>
          <w:lang w:eastAsia="es-CO"/>
        </w:rPr>
        <w:t>no establecen una excepción en bloque de todo el ordenamiento jurídico colombiano</w:t>
      </w:r>
      <w:r w:rsidRPr="00F807BA">
        <w:rPr>
          <w:rFonts w:ascii="Arial" w:hAnsi="Arial" w:cs="Arial"/>
          <w:bCs/>
          <w:color w:val="000000"/>
          <w:lang w:eastAsia="es-CO"/>
        </w:rPr>
        <w:t xml:space="preserve"> para los supuestos en los cuales se pueden aplicar los reglamentos de los organismos de cooperación, ayuda o asistencia internacionales. Por una parte, lo que es posible someter a dichos reglamentos son </w:t>
      </w:r>
      <w:r w:rsidRPr="00F807BA">
        <w:rPr>
          <w:rFonts w:ascii="Arial" w:hAnsi="Arial" w:cs="Arial"/>
          <w:bCs/>
          <w:i/>
          <w:iCs/>
          <w:color w:val="000000"/>
          <w:lang w:eastAsia="es-CO"/>
        </w:rPr>
        <w:t>los contratos o convenios</w:t>
      </w:r>
      <w:r w:rsidRPr="00F807BA">
        <w:rPr>
          <w:rFonts w:ascii="Arial" w:hAnsi="Arial" w:cs="Arial"/>
          <w:bCs/>
          <w:color w:val="000000"/>
          <w:lang w:eastAsia="es-CO"/>
        </w:rPr>
        <w:t xml:space="preserve"> –esto es lo que se interpreta a partir de una lectura atenta de las normas en comento–. </w:t>
      </w:r>
    </w:p>
    <w:p w:rsidRPr="00F807BA" w:rsidR="0003362C" w:rsidP="0003362C" w:rsidRDefault="0003362C" w14:paraId="7C0AE670" w14:textId="77777777">
      <w:pPr>
        <w:spacing w:after="120" w:line="276" w:lineRule="auto"/>
        <w:ind w:firstLine="708"/>
        <w:jc w:val="both"/>
        <w:rPr>
          <w:rFonts w:ascii="Arial" w:hAnsi="Arial" w:cs="Arial"/>
          <w:bCs/>
          <w:color w:val="000000"/>
          <w:lang w:eastAsia="es-CO"/>
        </w:rPr>
      </w:pPr>
      <w:r w:rsidRPr="00F807BA">
        <w:rPr>
          <w:rFonts w:ascii="Arial" w:hAnsi="Arial" w:cs="Arial"/>
          <w:bCs/>
          <w:color w:val="000000"/>
          <w:lang w:eastAsia="es-CO"/>
        </w:rPr>
        <w:t>Por otra parte, el hecho de que los contratos o convenios se sometan a los reglamentos de dichos organismos no obsta para que las entidades estatales colombianas que los celebren deban continuar rigiéndose, en todo lo demás, por las disposiciones normativas colombianas. Lo anterior teniendo en cuenta que, a título enunciativo, estas disposiciones regulan aspectos como: a) los principios de la función administrativa y de la gestión fiscal –consagrados, respectivamente, en los artículos 209 y 267 de la Constitución Política–, b) la obligación de publicar en el SECOP la contratación</w:t>
      </w:r>
      <w:r w:rsidRPr="00F807BA">
        <w:rPr>
          <w:rStyle w:val="Refdenotaalpie"/>
          <w:rFonts w:ascii="Arial" w:hAnsi="Arial" w:cs="Arial"/>
        </w:rPr>
        <w:footnoteReference w:id="32"/>
      </w:r>
      <w:r w:rsidRPr="00F807BA">
        <w:rPr>
          <w:rFonts w:ascii="Arial" w:hAnsi="Arial" w:cs="Arial"/>
          <w:bCs/>
          <w:color w:val="000000"/>
          <w:lang w:eastAsia="es-CO"/>
        </w:rPr>
        <w:t>, c) las normas presupuestales</w:t>
      </w:r>
      <w:r w:rsidRPr="00F807BA">
        <w:rPr>
          <w:rStyle w:val="Refdenotaalpie"/>
          <w:rFonts w:ascii="Arial" w:hAnsi="Arial" w:cs="Arial"/>
        </w:rPr>
        <w:footnoteReference w:id="33"/>
      </w:r>
      <w:r w:rsidRPr="00F807BA">
        <w:rPr>
          <w:rFonts w:ascii="Arial" w:hAnsi="Arial" w:cs="Arial"/>
          <w:bCs/>
          <w:color w:val="000000"/>
          <w:lang w:eastAsia="es-CO"/>
        </w:rPr>
        <w:t xml:space="preserve">, d) el régimen de prohibiciones de los órganos del Estado y de los servidores públicos –en el cual se incluye la Ley de Garantías Electorales y el régimen de inhabilidades e incompatibilidades–. En consecuencia, el hecho de que un contrato se rija por el </w:t>
      </w:r>
      <w:r w:rsidRPr="00F807BA">
        <w:rPr>
          <w:rFonts w:ascii="Arial" w:hAnsi="Arial" w:cs="Arial"/>
          <w:bCs/>
          <w:color w:val="000000"/>
          <w:lang w:eastAsia="es-CO"/>
        </w:rPr>
        <w:lastRenderedPageBreak/>
        <w:t>reglamento de un organismo de cooperación, ayuda o asistencia internacional no exime a la entidad estatal colombiana de acatar las restricciones de la Ley 996 de 2005, porque estas prohibiciones no tienen que ver con el régimen sustantivo del contrato en el que se aplica la excepción al EGCAP, sino con disposiciones transversales consagradas en el ordenamiento jurídico en materia de garantías electorales.</w:t>
      </w:r>
    </w:p>
    <w:p w:rsidRPr="00F807BA" w:rsidR="0003362C" w:rsidP="0003362C" w:rsidRDefault="0003362C" w14:paraId="49374907" w14:textId="77777777">
      <w:pPr>
        <w:spacing w:after="120" w:line="276" w:lineRule="auto"/>
        <w:ind w:firstLine="708"/>
        <w:jc w:val="both"/>
        <w:rPr>
          <w:rFonts w:ascii="Arial" w:hAnsi="Arial" w:cs="Arial"/>
          <w:bCs/>
          <w:color w:val="000000"/>
          <w:lang w:eastAsia="es-CO"/>
        </w:rPr>
      </w:pPr>
      <w:r w:rsidRPr="00F807BA">
        <w:rPr>
          <w:rFonts w:ascii="Arial" w:hAnsi="Arial" w:cs="Arial"/>
          <w:bCs/>
          <w:color w:val="000000"/>
          <w:lang w:eastAsia="es-CO"/>
        </w:rPr>
        <w:t xml:space="preserve">iv) Además, la Ley 996 de 2005 es una ley estatutaria –que integra el bloque de constitucionalidad– y, en este sentido, ante las dudas hermenéuticas que se susciten frente a su aplicación –por su aparente contradicción con otras leyes– el operador jurídico debe privilegiar la vigencia de la ley estatutaria. En efecto, la Corte Constitucional ha explicado que uno de los argumentos hermenéuticos que deben tenerse en cuenta en la aplicación de las leyes  es «el criterio jerárquico, según el cual la norma superior prima o prevalece sobre la inferior </w:t>
      </w:r>
      <w:r w:rsidRPr="00F807BA">
        <w:rPr>
          <w:rFonts w:ascii="Arial" w:hAnsi="Arial" w:cs="Arial"/>
          <w:bCs/>
          <w:i/>
          <w:iCs/>
          <w:color w:val="000000"/>
          <w:lang w:eastAsia="es-CO"/>
        </w:rPr>
        <w:t>(lex superior derogat inferiori)</w:t>
      </w:r>
      <w:r w:rsidRPr="00F807BA">
        <w:rPr>
          <w:rFonts w:ascii="Arial" w:hAnsi="Arial" w:cs="Arial"/>
          <w:bCs/>
          <w:color w:val="000000"/>
          <w:lang w:eastAsia="es-CO"/>
        </w:rPr>
        <w:t>»</w:t>
      </w:r>
      <w:r w:rsidRPr="00F807BA">
        <w:rPr>
          <w:rStyle w:val="Refdenotaalpie"/>
          <w:rFonts w:ascii="Arial" w:hAnsi="Arial" w:cs="Arial"/>
        </w:rPr>
        <w:footnoteReference w:id="34"/>
      </w:r>
      <w:r w:rsidRPr="00F807BA">
        <w:rPr>
          <w:rFonts w:ascii="Arial" w:hAnsi="Arial" w:cs="Arial"/>
          <w:bCs/>
          <w:color w:val="000000"/>
          <w:lang w:eastAsia="es-CO"/>
        </w:rPr>
        <w:t xml:space="preserve"> y que, por ello, «entre preceptos de distinta jerarquía, como ocurre entre una la ley ordinaria y una ley estatutaria, o entre la Constitución y la ley en general, […] es claro que prevalece y se aplica siempre la norma superior»</w:t>
      </w:r>
      <w:r w:rsidRPr="00F807BA">
        <w:rPr>
          <w:rStyle w:val="Refdenotaalpie"/>
          <w:rFonts w:ascii="Arial" w:hAnsi="Arial" w:cs="Arial"/>
        </w:rPr>
        <w:footnoteReference w:id="35"/>
      </w:r>
      <w:r w:rsidRPr="00F807BA">
        <w:rPr>
          <w:rFonts w:ascii="Arial" w:hAnsi="Arial" w:cs="Arial"/>
          <w:bCs/>
          <w:color w:val="000000"/>
          <w:lang w:eastAsia="es-CO"/>
        </w:rPr>
        <w:t>. En consecuencia, el artículo 20 de la Ley 1150 de 2007 no implica una derogatoria de lo establecido en el artículo 33 de la Ley 996 de 2005, porque aquella es una ley ordinaria y esta una ley estatutaria.</w:t>
      </w:r>
    </w:p>
    <w:p w:rsidRPr="00F807BA" w:rsidR="0003362C" w:rsidP="0003362C" w:rsidRDefault="0003362C" w14:paraId="68F97293" w14:textId="77777777">
      <w:pPr>
        <w:spacing w:after="120" w:line="276" w:lineRule="auto"/>
        <w:ind w:firstLine="708"/>
        <w:jc w:val="both"/>
        <w:rPr>
          <w:rFonts w:ascii="Arial" w:hAnsi="Arial" w:cs="Arial"/>
          <w:bCs/>
          <w:color w:val="000000"/>
          <w:lang w:eastAsia="es-CO"/>
        </w:rPr>
      </w:pPr>
      <w:r w:rsidRPr="00F807BA">
        <w:rPr>
          <w:rFonts w:ascii="Arial" w:hAnsi="Arial" w:cs="Arial"/>
          <w:bCs/>
          <w:color w:val="000000"/>
          <w:lang w:eastAsia="es-CO"/>
        </w:rPr>
        <w:t xml:space="preserve">v) En línea con lo anterior, si la Ley 996 de 2005 se aplica también a la contratación con organismos internacionales a la que se refiere el artículo 20 de la Ley 1150 de 2007, deben interpretarse restrictivamente las excepciones a la prohibición de contratar directamente consagradas en el artículo 33 de Ley de Garantías Electorales. A partir de esto se concluye que la contratación directa con un organismo internacional no es, </w:t>
      </w:r>
      <w:r w:rsidRPr="00F807BA">
        <w:rPr>
          <w:rFonts w:ascii="Arial" w:hAnsi="Arial" w:cs="Arial"/>
          <w:bCs/>
          <w:i/>
          <w:iCs/>
          <w:color w:val="000000"/>
          <w:lang w:eastAsia="es-CO"/>
        </w:rPr>
        <w:t>en sí misma considerada</w:t>
      </w:r>
      <w:r w:rsidRPr="00F807BA">
        <w:rPr>
          <w:rFonts w:ascii="Arial" w:hAnsi="Arial" w:cs="Arial"/>
          <w:bCs/>
          <w:color w:val="000000"/>
          <w:lang w:eastAsia="es-CO"/>
        </w:rPr>
        <w:t xml:space="preserve"> –o por esa sola circunstancia–, una contratación que ingresa en las excepciones a la prohibición de celebrar contratos que no estén precedidos de un procedimiento plural «Durante los cuatro (4) meses anteriores a la elección presidencial y hasta la realización de la elección en la segunda vuelta, si fuere el caso». </w:t>
      </w:r>
    </w:p>
    <w:p w:rsidRPr="00F807BA" w:rsidR="0003362C" w:rsidRDefault="0003362C" w14:paraId="0A222518" w14:textId="16F2873F">
      <w:pPr>
        <w:spacing w:after="0" w:line="276" w:lineRule="auto"/>
        <w:ind w:firstLine="708"/>
        <w:contextualSpacing/>
        <w:jc w:val="both"/>
        <w:rPr>
          <w:rFonts w:ascii="Arial" w:hAnsi="Arial" w:eastAsia="Calibri" w:cs="Arial"/>
          <w:color w:val="000000" w:themeColor="text1"/>
          <w:szCs w:val="24"/>
          <w:lang w:eastAsia="es-ES_tradnl"/>
        </w:rPr>
      </w:pPr>
      <w:bookmarkStart w:name="_Hlk99450083" w:id="21"/>
      <w:r w:rsidRPr="00F807BA">
        <w:rPr>
          <w:rFonts w:ascii="Arial" w:hAnsi="Arial" w:cs="Arial"/>
          <w:bCs/>
          <w:color w:val="000000"/>
          <w:lang w:eastAsia="es-CO"/>
        </w:rPr>
        <w:t xml:space="preserve">Cada entidad estatal debe analizar en el caso concreto si se presenta o no el supuesto que habilite la contratación directa, respetando el carácter taxativo de las excepciones señaladas en el segundo inciso del referido artículo 33. En efecto, es posible que el contrato que se pretenda celebrar con el organismo internacional de </w:t>
      </w:r>
      <w:r w:rsidRPr="00F807BA">
        <w:rPr>
          <w:rFonts w:ascii="Arial" w:hAnsi="Arial" w:cs="Arial"/>
          <w:bCs/>
          <w:color w:val="000000"/>
          <w:lang w:eastAsia="es-CO"/>
        </w:rPr>
        <w:lastRenderedPageBreak/>
        <w:t>cooperación, ayuda o asistencia ingrese en alguna de las excepciones indicadas en dicho inciso; es decir, que se refiera «</w:t>
      </w:r>
      <w:r w:rsidRPr="00F807BA">
        <w:rPr>
          <w:rFonts w:ascii="Arial" w:hAnsi="Arial" w:cs="Arial"/>
        </w:rPr>
        <w:t xml:space="preserve">[…] </w:t>
      </w:r>
      <w:r w:rsidRPr="00F807BA">
        <w:rPr>
          <w:rFonts w:ascii="Arial" w:hAnsi="Arial" w:cs="Arial"/>
          <w:bCs/>
          <w:color w:val="000000"/>
          <w:lang w:eastAsia="es-CO"/>
        </w:rPr>
        <w:t xml:space="preserve">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w:t>
      </w:r>
      <w:r w:rsidRPr="00F807BA" w:rsidR="00BE2EFD">
        <w:rPr>
          <w:rFonts w:ascii="Arial" w:hAnsi="Arial" w:cs="Arial"/>
          <w:bCs/>
          <w:color w:val="000000"/>
          <w:lang w:eastAsia="es-CO"/>
        </w:rPr>
        <w:t>Por tanto, s</w:t>
      </w:r>
      <w:r w:rsidRPr="00F807BA">
        <w:rPr>
          <w:rFonts w:ascii="Arial" w:hAnsi="Arial" w:cs="Arial"/>
          <w:bCs/>
          <w:color w:val="000000"/>
          <w:lang w:eastAsia="es-CO"/>
        </w:rPr>
        <w:t>olo en este caso la contratación directa será admisible para celebrar tales contratos, en vigencia de la prohibición general del artículo 33 de la Ley 996 de 2005.</w:t>
      </w:r>
    </w:p>
    <w:bookmarkEnd w:id="21"/>
    <w:p w:rsidRPr="00F807BA" w:rsidR="00BD3760" w:rsidP="00BD3760" w:rsidRDefault="00BD3760" w14:paraId="59412E81" w14:textId="77777777">
      <w:pPr>
        <w:spacing w:after="0" w:line="276" w:lineRule="auto"/>
        <w:ind w:firstLine="708"/>
        <w:contextualSpacing/>
        <w:jc w:val="both"/>
        <w:rPr>
          <w:rFonts w:ascii="Arial" w:hAnsi="Arial" w:cs="Arial"/>
          <w:bCs/>
          <w:lang w:eastAsia="es-CO"/>
        </w:rPr>
      </w:pPr>
    </w:p>
    <w:p w:rsidRPr="00F807BA" w:rsidR="00721553" w:rsidP="00BD3760" w:rsidRDefault="00721553" w14:paraId="33BDB11A" w14:textId="77777777">
      <w:pPr>
        <w:spacing w:after="0" w:line="276" w:lineRule="auto"/>
        <w:contextualSpacing/>
        <w:jc w:val="both"/>
        <w:rPr>
          <w:rFonts w:ascii="Arial" w:hAnsi="Arial" w:eastAsia="Calibri" w:cs="Arial"/>
          <w:b/>
        </w:rPr>
      </w:pPr>
      <w:r w:rsidRPr="00F807BA">
        <w:rPr>
          <w:rFonts w:ascii="Arial" w:hAnsi="Arial" w:eastAsia="Calibri" w:cs="Arial"/>
          <w:b/>
        </w:rPr>
        <w:t>3. Respuesta</w:t>
      </w:r>
    </w:p>
    <w:p w:rsidRPr="00F807BA" w:rsidR="00721553" w:rsidP="00336181" w:rsidRDefault="00721553" w14:paraId="0F3FF7C2" w14:textId="77777777">
      <w:pPr>
        <w:spacing w:after="0" w:line="276" w:lineRule="auto"/>
        <w:contextualSpacing/>
        <w:jc w:val="both"/>
        <w:rPr>
          <w:rFonts w:ascii="Arial" w:hAnsi="Arial" w:eastAsia="Calibri" w:cs="Arial"/>
          <w:bCs/>
          <w:color w:val="FF0000"/>
        </w:rPr>
      </w:pPr>
    </w:p>
    <w:p w:rsidRPr="00F807BA" w:rsidR="006C4D69" w:rsidP="009D600E" w:rsidRDefault="007D4206" w14:paraId="7BDD63BC" w14:textId="75EEC753">
      <w:pPr>
        <w:spacing w:after="0" w:line="240" w:lineRule="auto"/>
        <w:ind w:left="708" w:right="709"/>
        <w:contextualSpacing/>
        <w:jc w:val="both"/>
        <w:rPr>
          <w:rFonts w:ascii="Arial" w:hAnsi="Arial" w:eastAsia="Calibri" w:cs="Arial"/>
          <w:color w:val="000000" w:themeColor="text1"/>
          <w:sz w:val="21"/>
          <w:szCs w:val="21"/>
          <w:lang w:val="es-MX"/>
        </w:rPr>
      </w:pPr>
      <w:bookmarkStart w:name="_Hlk57650395" w:id="22"/>
      <w:r w:rsidRPr="00F807BA">
        <w:rPr>
          <w:rFonts w:ascii="Arial" w:hAnsi="Arial" w:eastAsia="Calibri" w:cs="Arial"/>
          <w:bCs/>
          <w:color w:val="000000" w:themeColor="text1"/>
          <w:sz w:val="21"/>
          <w:szCs w:val="21"/>
        </w:rPr>
        <w:t>«De manera respetuosa, atendiendo las funciones de la Agencia CCE, nos permitimos solicitar concepto sobre si por virtud de la restricción prevista en el artículo 33 de la Ley 906 de 2005 (sic), los convenios celebrados con organismos de cooperación internacional se encuentran restringidos para su celebración cuando los mismos conlleven el compromiso de recurso públicos de contrapartida, es decir, conlleven desembolsos presupuestales»</w:t>
      </w:r>
      <w:r w:rsidRPr="00F807BA" w:rsidR="006C4D69">
        <w:rPr>
          <w:rFonts w:ascii="Arial" w:hAnsi="Arial" w:eastAsia="Calibri" w:cs="Arial"/>
          <w:color w:val="000000" w:themeColor="text1"/>
          <w:sz w:val="21"/>
          <w:szCs w:val="21"/>
          <w:lang w:val="es-MX"/>
        </w:rPr>
        <w:t xml:space="preserve">. </w:t>
      </w:r>
    </w:p>
    <w:p w:rsidRPr="00F807BA" w:rsidR="006C4D69" w:rsidP="00336181" w:rsidRDefault="006C4D69" w14:paraId="74F9BA24" w14:textId="77777777">
      <w:pPr>
        <w:spacing w:after="0" w:line="276" w:lineRule="auto"/>
        <w:contextualSpacing/>
        <w:jc w:val="both"/>
        <w:rPr>
          <w:rFonts w:ascii="Arial" w:hAnsi="Arial" w:eastAsia="Times New Roman" w:cs="Arial"/>
          <w:bCs/>
          <w:lang w:val="es-MX" w:eastAsia="es-CO"/>
        </w:rPr>
      </w:pPr>
    </w:p>
    <w:p w:rsidRPr="00F807BA" w:rsidR="00B40AA2" w:rsidP="00B40AA2" w:rsidRDefault="00336181" w14:paraId="73672C79" w14:textId="49610CAC">
      <w:pPr>
        <w:spacing w:after="120" w:line="276" w:lineRule="auto"/>
        <w:jc w:val="both"/>
        <w:rPr>
          <w:rFonts w:ascii="Arial" w:hAnsi="Arial" w:cs="Arial"/>
          <w:bCs/>
          <w:color w:val="000000"/>
          <w:lang w:eastAsia="es-CO"/>
        </w:rPr>
      </w:pPr>
      <w:r w:rsidRPr="00F807BA">
        <w:rPr>
          <w:rFonts w:ascii="Arial" w:hAnsi="Arial" w:eastAsia="Times New Roman" w:cs="Arial"/>
          <w:bCs/>
          <w:lang w:eastAsia="es-CO"/>
        </w:rPr>
        <w:t>De acuerdo con la</w:t>
      </w:r>
      <w:r w:rsidRPr="00F807BA" w:rsidR="00B40AA2">
        <w:rPr>
          <w:rFonts w:ascii="Arial" w:hAnsi="Arial" w:eastAsia="Times New Roman" w:cs="Arial"/>
          <w:bCs/>
          <w:lang w:eastAsia="es-CO"/>
        </w:rPr>
        <w:t xml:space="preserve"> interpretación de las normas generales del sistema de compras públicas,</w:t>
      </w:r>
      <w:r w:rsidRPr="00F807BA">
        <w:rPr>
          <w:rFonts w:ascii="Arial" w:hAnsi="Arial" w:eastAsia="Times New Roman" w:cs="Arial"/>
          <w:bCs/>
          <w:lang w:eastAsia="es-CO"/>
        </w:rPr>
        <w:t xml:space="preserve"> </w:t>
      </w:r>
      <w:r w:rsidRPr="00F807BA" w:rsidR="00B40AA2">
        <w:rPr>
          <w:rFonts w:ascii="Arial" w:hAnsi="Arial" w:cs="Arial"/>
          <w:bCs/>
          <w:color w:val="000000"/>
          <w:lang w:eastAsia="es-CO"/>
        </w:rPr>
        <w:t xml:space="preserve">la prohibición de contratación directa del artículo 33 de la Ley 996 de 2005 aplica con independencia del régimen jurídico del contrato. En tal sentido, salvo que ingrese en alguna de las excepciones establecidas en el segundo inciso de la disposición citada, esta restricción también aplica a la celebración de contratos con organismos internacionales, aun cuando se presenten los supuestos indicados en el artículo 20 de la Ley 1150 de 2007, en los cuales dichos contratos se pueden someter a los reglamentos de tales organizaciones. Esta conclusión se apoya en los siguientes argumentos: </w:t>
      </w:r>
    </w:p>
    <w:p w:rsidRPr="00F807BA" w:rsidR="00B40AA2" w:rsidP="00B40AA2" w:rsidRDefault="00B40AA2" w14:paraId="582208CE" w14:textId="77777777">
      <w:pPr>
        <w:spacing w:after="120" w:line="276" w:lineRule="auto"/>
        <w:ind w:firstLine="708"/>
        <w:jc w:val="both"/>
        <w:rPr>
          <w:rFonts w:ascii="Arial" w:hAnsi="Arial" w:cs="Arial"/>
          <w:bCs/>
          <w:color w:val="000000"/>
          <w:lang w:eastAsia="es-CO"/>
        </w:rPr>
      </w:pPr>
      <w:r w:rsidRPr="00F807BA">
        <w:rPr>
          <w:rFonts w:ascii="Arial" w:hAnsi="Arial" w:cs="Arial"/>
          <w:bCs/>
          <w:color w:val="000000"/>
          <w:lang w:eastAsia="es-CO"/>
        </w:rPr>
        <w:t xml:space="preserve">i) El artículo 33 de la Ley 996 de 2005 debe aplicarse, como lo indica su primer inciso, a «todos los entes del Estado». Este criterio orgánico reviste importancia, porque permite argumentar que a pesar de que una entidad estatal celebre un contrato con un organismo internacional de cooperación, ayuda o asistencia, aquella no muta su naturaleza jurídica –no deja de ser una entidad estatal– y, por tanto, continúa siendo destinataria de la Ley de Garantías Electorales.  </w:t>
      </w:r>
    </w:p>
    <w:p w:rsidRPr="00F807BA" w:rsidR="00B40AA2" w:rsidP="00B40AA2" w:rsidRDefault="00B40AA2" w14:paraId="2CB8A193" w14:textId="77777777">
      <w:pPr>
        <w:spacing w:after="120" w:line="276" w:lineRule="auto"/>
        <w:ind w:firstLine="708"/>
        <w:jc w:val="both"/>
        <w:rPr>
          <w:rFonts w:ascii="Arial" w:hAnsi="Arial" w:cs="Arial"/>
          <w:bCs/>
          <w:color w:val="000000"/>
          <w:lang w:eastAsia="es-CO"/>
        </w:rPr>
      </w:pPr>
      <w:r w:rsidRPr="00F807BA">
        <w:rPr>
          <w:rFonts w:ascii="Arial" w:hAnsi="Arial" w:cs="Arial"/>
          <w:bCs/>
          <w:color w:val="000000"/>
          <w:lang w:eastAsia="es-CO"/>
        </w:rPr>
        <w:t xml:space="preserve">ii) La proscripción de la contratación directa indicada en dicho artículo no diferencia régimen contractual, ni indica que solo se aplica a la contratación directa sometida al Estatuto General de Contratación de la Administración Pública, razón por </w:t>
      </w:r>
      <w:r w:rsidRPr="00F807BA">
        <w:rPr>
          <w:rFonts w:ascii="Arial" w:hAnsi="Arial" w:cs="Arial"/>
          <w:bCs/>
          <w:color w:val="000000"/>
          <w:lang w:eastAsia="es-CO"/>
        </w:rPr>
        <w:lastRenderedPageBreak/>
        <w:t xml:space="preserve">la cual la prohibición incluye cualquier contratación directa, así esté sujeta a un régimen excepcional –como el del artículo 20 de la Ley 1150 de 2007–. </w:t>
      </w:r>
    </w:p>
    <w:p w:rsidRPr="00F807BA" w:rsidR="00B40AA2" w:rsidP="00B40AA2" w:rsidRDefault="00B40AA2" w14:paraId="421B5CF8" w14:textId="77777777">
      <w:pPr>
        <w:spacing w:after="120" w:line="276" w:lineRule="auto"/>
        <w:ind w:firstLine="708"/>
        <w:jc w:val="both"/>
        <w:rPr>
          <w:rFonts w:ascii="Arial" w:hAnsi="Arial" w:cs="Arial"/>
          <w:bCs/>
          <w:color w:val="000000"/>
          <w:lang w:eastAsia="es-CO"/>
        </w:rPr>
      </w:pPr>
      <w:r w:rsidRPr="00F807BA">
        <w:rPr>
          <w:rFonts w:ascii="Arial" w:hAnsi="Arial" w:cs="Arial"/>
          <w:bCs/>
          <w:color w:val="000000"/>
          <w:lang w:eastAsia="es-CO"/>
        </w:rPr>
        <w:t xml:space="preserve">iii) Los artículos 13 de la Ley 80 de 1993, 20 de la Ley 1150 de 2007 y 2.2.1.2.4.4.1 del Decreto 1082 de 2015 </w:t>
      </w:r>
      <w:r w:rsidRPr="00F807BA">
        <w:rPr>
          <w:rFonts w:ascii="Arial" w:hAnsi="Arial" w:cs="Arial"/>
          <w:bCs/>
          <w:i/>
          <w:iCs/>
          <w:color w:val="000000"/>
          <w:lang w:eastAsia="es-CO"/>
        </w:rPr>
        <w:t>no establecen una excepción en bloque de todo el ordenamiento jurídico colombiano</w:t>
      </w:r>
      <w:r w:rsidRPr="00F807BA">
        <w:rPr>
          <w:rFonts w:ascii="Arial" w:hAnsi="Arial" w:cs="Arial"/>
          <w:bCs/>
          <w:color w:val="000000"/>
          <w:lang w:eastAsia="es-CO"/>
        </w:rPr>
        <w:t xml:space="preserve"> para los supuestos en los cuales se pueden aplicar los reglamentos de los organismos de cooperación, ayuda o asistencia internacionales. Por una parte, lo que es posible someter a dichos reglamentos son </w:t>
      </w:r>
      <w:r w:rsidRPr="00F807BA">
        <w:rPr>
          <w:rFonts w:ascii="Arial" w:hAnsi="Arial" w:cs="Arial"/>
          <w:bCs/>
          <w:i/>
          <w:iCs/>
          <w:color w:val="000000"/>
          <w:lang w:eastAsia="es-CO"/>
        </w:rPr>
        <w:t>los contratos o convenios</w:t>
      </w:r>
      <w:r w:rsidRPr="00F807BA">
        <w:rPr>
          <w:rFonts w:ascii="Arial" w:hAnsi="Arial" w:cs="Arial"/>
          <w:bCs/>
          <w:color w:val="000000"/>
          <w:lang w:eastAsia="es-CO"/>
        </w:rPr>
        <w:t xml:space="preserve"> –esto es lo que se interpreta a partir de una lectura atenta de las normas en comento–. </w:t>
      </w:r>
    </w:p>
    <w:p w:rsidRPr="00F807BA" w:rsidR="00B40AA2" w:rsidP="00B40AA2" w:rsidRDefault="00B40AA2" w14:paraId="2ECA6465" w14:textId="77777777">
      <w:pPr>
        <w:spacing w:after="120" w:line="276" w:lineRule="auto"/>
        <w:ind w:firstLine="708"/>
        <w:jc w:val="both"/>
        <w:rPr>
          <w:rFonts w:ascii="Arial" w:hAnsi="Arial" w:cs="Arial"/>
          <w:bCs/>
          <w:color w:val="000000"/>
          <w:lang w:eastAsia="es-CO"/>
        </w:rPr>
      </w:pPr>
      <w:r w:rsidRPr="00F807BA">
        <w:rPr>
          <w:rFonts w:ascii="Arial" w:hAnsi="Arial" w:cs="Arial"/>
          <w:bCs/>
          <w:color w:val="000000"/>
          <w:lang w:eastAsia="es-CO"/>
        </w:rPr>
        <w:t>Por otra parte, el hecho de que los contratos o convenios se sometan a los reglamentos de dichos organismos no obsta para que las entidades estatales colombianas que los celebren deban continuar rigiéndose, en todo lo demás, por las disposiciones normativas colombianas. Lo anterior teniendo en cuenta que, a título enunciativo, estas disposiciones regulan aspectos como: a) los principios de la función administrativa y de la gestión fiscal –consagrados, respectivamente, en los artículos 209 y 267 de la Constitución Política–, b) la obligación de publicar en el SECOP la contratación, c) las normas presupuestales, d) el régimen de prohibiciones de los órganos del Estado y de los servidores públicos –en el cual se incluye la Ley de Garantías Electorales y el régimen de inhabilidades e incompatibilidades–. En consecuencia, el hecho de que un contrato se rija por el reglamento de un organismo de cooperación, ayuda o asistencia internacional no exime a la entidad estatal colombiana de acatar las restricciones de la Ley 996 de 2005, porque estas prohibiciones no tienen que ver con el régimen sustantivo del contrato en el que se aplica la excepción al EGCAP, sino con disposiciones transversales consagradas en el ordenamiento jurídico en materia de garantías electorales.</w:t>
      </w:r>
    </w:p>
    <w:p w:rsidRPr="00F807BA" w:rsidR="00B40AA2" w:rsidP="00B40AA2" w:rsidRDefault="00B40AA2" w14:paraId="257A496A" w14:textId="77777777">
      <w:pPr>
        <w:spacing w:before="120" w:after="120" w:line="276" w:lineRule="auto"/>
        <w:ind w:firstLine="709"/>
        <w:jc w:val="both"/>
        <w:rPr>
          <w:rFonts w:ascii="Arial" w:hAnsi="Arial" w:cs="Arial"/>
          <w:color w:val="000000" w:themeColor="text1"/>
          <w:lang w:val="es-ES_tradnl"/>
        </w:rPr>
      </w:pPr>
      <w:r w:rsidRPr="00F807BA">
        <w:rPr>
          <w:rFonts w:ascii="Arial" w:hAnsi="Arial" w:cs="Arial"/>
          <w:bCs/>
          <w:color w:val="000000"/>
          <w:lang w:eastAsia="es-CO"/>
        </w:rPr>
        <w:t xml:space="preserve">iv) Además, la Ley 996 de 2005 es una ley estatutaria –que integra el bloque de constitucionalidad– y, en este sentido, ante las dudas hermenéuticas que se susciten frente a su aplicación –por su aparente contradicción con otras leyes– el operador jurídico debe privilegiar la vigencia de la ley estatutaria. En efecto, la Corte Constitucional ha explicado que uno de los argumentos hermenéuticos que deben tenerse en cuenta en la aplicación de las leyes  es «el criterio jerárquico, según el cual la norma superior prima o prevalece sobre la inferior </w:t>
      </w:r>
      <w:r w:rsidRPr="00F807BA">
        <w:rPr>
          <w:rFonts w:ascii="Arial" w:hAnsi="Arial" w:cs="Arial"/>
          <w:bCs/>
          <w:i/>
          <w:iCs/>
          <w:color w:val="000000"/>
          <w:lang w:eastAsia="es-CO"/>
        </w:rPr>
        <w:t>(lex superior derogat inferiori)</w:t>
      </w:r>
      <w:r w:rsidRPr="00F807BA">
        <w:rPr>
          <w:rFonts w:ascii="Arial" w:hAnsi="Arial" w:cs="Arial"/>
          <w:bCs/>
          <w:color w:val="000000"/>
          <w:lang w:eastAsia="es-CO"/>
        </w:rPr>
        <w:t>»</w:t>
      </w:r>
      <w:r w:rsidRPr="00F807BA">
        <w:rPr>
          <w:rStyle w:val="Refdenotaalpie"/>
        </w:rPr>
        <w:footnoteReference w:id="36"/>
      </w:r>
      <w:r w:rsidRPr="00F807BA">
        <w:rPr>
          <w:rFonts w:ascii="Arial" w:hAnsi="Arial" w:cs="Arial"/>
          <w:bCs/>
          <w:color w:val="000000"/>
          <w:lang w:eastAsia="es-CO"/>
        </w:rPr>
        <w:t xml:space="preserve"> y que, por ello, «entre preceptos de distinta jerarquía, como ocurre entre </w:t>
      </w:r>
      <w:r w:rsidRPr="00F807BA">
        <w:rPr>
          <w:rFonts w:ascii="Arial" w:hAnsi="Arial" w:cs="Arial"/>
          <w:bCs/>
          <w:color w:val="000000"/>
          <w:lang w:eastAsia="es-CO"/>
        </w:rPr>
        <w:lastRenderedPageBreak/>
        <w:t>una la ley ordinaria y una ley estatutaria, o entre la Constitución y la ley en general, […] es claro que prevalece y se aplica siempre la norma superior»</w:t>
      </w:r>
      <w:r w:rsidRPr="00F807BA">
        <w:rPr>
          <w:rStyle w:val="Refdenotaalpie"/>
        </w:rPr>
        <w:footnoteReference w:id="37"/>
      </w:r>
      <w:r w:rsidRPr="00F807BA">
        <w:rPr>
          <w:rFonts w:ascii="Arial" w:hAnsi="Arial" w:cs="Arial"/>
          <w:bCs/>
          <w:color w:val="000000"/>
          <w:lang w:eastAsia="es-CO"/>
        </w:rPr>
        <w:t>. En consecuencia, el artículo 20 de la Ley 1150 de 2007 no implica una derogatoria de lo establecido en el artículo 33 de la Ley 996 de 2005, porque aquella es una ley ordinaria y esta una ley estatutaria.</w:t>
      </w:r>
      <w:r w:rsidRPr="00F807BA">
        <w:rPr>
          <w:rFonts w:ascii="Arial" w:hAnsi="Arial" w:cs="Arial"/>
          <w:color w:val="000000" w:themeColor="text1"/>
          <w:lang w:val="es-ES_tradnl"/>
        </w:rPr>
        <w:t xml:space="preserve"> </w:t>
      </w:r>
    </w:p>
    <w:p w:rsidRPr="00F807BA" w:rsidR="00B40AA2" w:rsidP="00B40AA2" w:rsidRDefault="00B40AA2" w14:paraId="5F5F2F5D" w14:textId="77777777">
      <w:pPr>
        <w:spacing w:after="120" w:line="276" w:lineRule="auto"/>
        <w:ind w:firstLine="708"/>
        <w:jc w:val="both"/>
        <w:rPr>
          <w:rFonts w:ascii="Arial" w:hAnsi="Arial" w:cs="Arial"/>
          <w:bCs/>
          <w:color w:val="000000"/>
          <w:lang w:eastAsia="es-CO"/>
        </w:rPr>
      </w:pPr>
      <w:r w:rsidRPr="00F807BA">
        <w:rPr>
          <w:rFonts w:ascii="Arial" w:hAnsi="Arial" w:cs="Arial"/>
          <w:bCs/>
          <w:color w:val="000000"/>
          <w:lang w:eastAsia="es-CO"/>
        </w:rPr>
        <w:t xml:space="preserve">v) En línea con lo anterior, si la Ley 996 de 2005 se aplica también a la contratación con organismos internacionales a la que se refiere el artículo 20 de la Ley 1150 de 2007, deben interpretarse restrictivamente las excepciones a la prohibición de contratar directamente consagradas en el artículo 33 de Ley de Garantías Electorales. A partir de esto se concluye que la contratación directa con un organismo internacional no es, </w:t>
      </w:r>
      <w:r w:rsidRPr="00F807BA">
        <w:rPr>
          <w:rFonts w:ascii="Arial" w:hAnsi="Arial" w:cs="Arial"/>
          <w:bCs/>
          <w:i/>
          <w:iCs/>
          <w:color w:val="000000"/>
          <w:lang w:eastAsia="es-CO"/>
        </w:rPr>
        <w:t>en sí misma considerada</w:t>
      </w:r>
      <w:r w:rsidRPr="00F807BA">
        <w:rPr>
          <w:rFonts w:ascii="Arial" w:hAnsi="Arial" w:cs="Arial"/>
          <w:bCs/>
          <w:color w:val="000000"/>
          <w:lang w:eastAsia="es-CO"/>
        </w:rPr>
        <w:t xml:space="preserve"> –o por esa sola circunstancia–, una contratación que ingresa en las excepciones a la prohibición de celebrar contratos que no estén precedidos de un procedimiento plural «Durante los cuatro (4) meses anteriores a la elección presidencial y hasta la realización de la elección en la segunda vuelta, si fuere el caso». </w:t>
      </w:r>
    </w:p>
    <w:p w:rsidRPr="00F807BA" w:rsidR="00B40AA2" w:rsidP="00B40AA2" w:rsidRDefault="00B40AA2" w14:paraId="61A8E40A" w14:textId="6461B38F">
      <w:pPr>
        <w:spacing w:after="120" w:line="276" w:lineRule="auto"/>
        <w:ind w:firstLine="708"/>
        <w:jc w:val="both"/>
        <w:rPr>
          <w:rFonts w:ascii="Arial" w:hAnsi="Arial" w:cs="Arial"/>
          <w:bCs/>
          <w:color w:val="000000"/>
          <w:lang w:eastAsia="es-CO"/>
        </w:rPr>
      </w:pPr>
      <w:r w:rsidRPr="00F807BA">
        <w:rPr>
          <w:rFonts w:ascii="Arial" w:hAnsi="Arial" w:cs="Arial"/>
          <w:bCs/>
          <w:color w:val="000000"/>
          <w:lang w:eastAsia="es-CO"/>
        </w:rPr>
        <w:t>Cada entidad estatal debe analizar en el caso concreto si se presenta o no el supuesto que habilite la contratación directa, respetando el carácter taxativo de las excepciones señaladas en el segundo inciso del referido artículo 33. En efecto, es posible que el contrato que se pretenda celebrar con el organismo internacional de cooperación, ayuda o asistencia ingrese en alguna de las excepciones indicadas en dicho inciso; es decir, que se refiera «</w:t>
      </w:r>
      <w:r w:rsidRPr="00F807BA">
        <w:rPr>
          <w:rFonts w:ascii="Arial" w:hAnsi="Arial" w:cs="Arial"/>
        </w:rPr>
        <w:t xml:space="preserve">[…] </w:t>
      </w:r>
      <w:r w:rsidRPr="00F807BA">
        <w:rPr>
          <w:rFonts w:ascii="Arial" w:hAnsi="Arial" w:cs="Arial"/>
          <w:bCs/>
          <w:color w:val="000000"/>
          <w:lang w:eastAsia="es-CO"/>
        </w:rPr>
        <w:t xml:space="preserve">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w:t>
      </w:r>
      <w:r w:rsidRPr="00F807BA" w:rsidR="002D6FEA">
        <w:rPr>
          <w:rFonts w:ascii="Arial" w:hAnsi="Arial" w:cs="Arial"/>
          <w:bCs/>
          <w:color w:val="000000"/>
          <w:lang w:eastAsia="es-CO"/>
        </w:rPr>
        <w:t>Por tanto, s</w:t>
      </w:r>
      <w:r w:rsidRPr="00F807BA">
        <w:rPr>
          <w:rFonts w:ascii="Arial" w:hAnsi="Arial" w:cs="Arial"/>
          <w:bCs/>
          <w:color w:val="000000"/>
          <w:lang w:eastAsia="es-CO"/>
        </w:rPr>
        <w:t xml:space="preserve">olo en este caso la contratación directa será admisible para celebrar tales contratos, en vigencia de la prohibición general del artículo 33 de la Ley 996 de 2005. </w:t>
      </w:r>
    </w:p>
    <w:p w:rsidRPr="00F807BA" w:rsidR="00034C81" w:rsidP="009D600E" w:rsidRDefault="00B40AA2" w14:paraId="40F51FD9" w14:textId="6971BEAE">
      <w:pPr>
        <w:spacing w:after="120"/>
        <w:ind w:firstLine="708"/>
        <w:jc w:val="both"/>
        <w:rPr>
          <w:rFonts w:ascii="Arial" w:hAnsi="Arial" w:eastAsia="Times New Roman" w:cs="Arial"/>
          <w:lang w:eastAsia="x-none"/>
        </w:rPr>
      </w:pPr>
      <w:r w:rsidRPr="00F807BA">
        <w:rPr>
          <w:rFonts w:ascii="Arial" w:hAnsi="Arial" w:cs="Arial"/>
          <w:bCs/>
          <w:color w:val="000000"/>
          <w:lang w:eastAsia="es-CO"/>
        </w:rPr>
        <w:t xml:space="preserve">De cualquier manera, se reitera que es cada entidad pública la que, en ejercicio de su competencia y previa valoración de los elementos fácticos y jurídicos, debe determinar si –aplicando el régimen de excepción </w:t>
      </w:r>
      <w:r w:rsidRPr="00F807BA">
        <w:rPr>
          <w:rFonts w:ascii="Arial" w:hAnsi="Arial" w:cs="Arial"/>
          <w:bCs/>
          <w:i/>
          <w:iCs/>
          <w:color w:val="000000"/>
          <w:lang w:eastAsia="es-CO"/>
        </w:rPr>
        <w:t>parcial</w:t>
      </w:r>
      <w:r w:rsidRPr="00F807BA">
        <w:rPr>
          <w:rFonts w:ascii="Arial" w:hAnsi="Arial" w:cs="Arial"/>
          <w:bCs/>
          <w:color w:val="000000"/>
          <w:lang w:eastAsia="es-CO"/>
        </w:rPr>
        <w:t xml:space="preserve">, permitido por el artículo 20 de la Ley 1150 de 2007– la contratación que busca celebrar se adecua a las causales taxativas que la eximen de aplicar la prohibición del artículo 33 de la Ley 996 de 2005. Al tratarse de un análisis que se debe realizar en cada caso concreto, la Agencia, por vía consultiva, no puede definir un criterio universal y absoluto, sino </w:t>
      </w:r>
      <w:r w:rsidRPr="00F807BA">
        <w:rPr>
          <w:rFonts w:ascii="Arial" w:hAnsi="Arial" w:cs="Arial"/>
          <w:bCs/>
          <w:color w:val="000000"/>
          <w:lang w:eastAsia="es-CO"/>
        </w:rPr>
        <w:lastRenderedPageBreak/>
        <w:t>que brinda elementos hermenéuticos de carácter general para que los partícipes del sistema de compras y contratación pública adopten la decisión que corresponda, lo cual es acorde con el principio de juridicidad</w:t>
      </w:r>
      <w:r w:rsidRPr="00F807BA" w:rsidR="003F1BFF">
        <w:rPr>
          <w:rFonts w:ascii="Arial" w:hAnsi="Arial" w:eastAsia="Times New Roman" w:cs="Arial"/>
          <w:lang w:eastAsia="x-none"/>
        </w:rPr>
        <w:t xml:space="preserve">. </w:t>
      </w:r>
    </w:p>
    <w:p w:rsidRPr="00F807BA" w:rsidR="00721553" w:rsidP="00336181" w:rsidRDefault="00721553" w14:paraId="18A321BB" w14:textId="553D04DC">
      <w:pPr>
        <w:spacing w:after="120" w:line="276" w:lineRule="auto"/>
        <w:jc w:val="both"/>
        <w:rPr>
          <w:rFonts w:ascii="Times New Roman" w:hAnsi="Times New Roman" w:eastAsia="Times New Roman" w:cs="Times New Roman"/>
          <w:sz w:val="24"/>
          <w:szCs w:val="24"/>
          <w:lang w:eastAsia="es-ES_tradnl"/>
        </w:rPr>
      </w:pPr>
      <w:r w:rsidRPr="00F807BA">
        <w:rPr>
          <w:rFonts w:ascii="Arial" w:hAnsi="Arial" w:eastAsia="Calibri" w:cs="Arial"/>
        </w:rPr>
        <w:t>Este concepto tiene el alcance previsto en el artículo 28 del Código de Procedimiento Administrativo y de lo Contencioso Administrativo.</w:t>
      </w:r>
      <w:r w:rsidRPr="00F807BA">
        <w:rPr>
          <w:rFonts w:ascii="Arial" w:hAnsi="Arial" w:eastAsia="Calibri" w:cs="Arial"/>
          <w:noProof/>
          <w:sz w:val="24"/>
          <w:lang w:eastAsia="es-CO"/>
        </w:rPr>
        <mc:AlternateContent>
          <mc:Choice Requires="wps">
            <w:drawing>
              <wp:anchor distT="0" distB="0" distL="114300" distR="114300" simplePos="0" relativeHeight="251659264" behindDoc="0" locked="0" layoutInCell="1" allowOverlap="1" wp14:anchorId="0F68E584" wp14:editId="46399F64">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7D991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w10:wrap anchorx="page"/>
              </v:line>
            </w:pict>
          </mc:Fallback>
        </mc:AlternateContent>
      </w:r>
    </w:p>
    <w:p w:rsidRPr="00F807BA" w:rsidR="00721553" w:rsidP="00721553" w:rsidRDefault="00721553" w14:paraId="4551D20F" w14:textId="77777777">
      <w:pPr>
        <w:spacing w:after="0" w:line="276" w:lineRule="auto"/>
        <w:jc w:val="both"/>
        <w:rPr>
          <w:rFonts w:ascii="Times New Roman" w:hAnsi="Times New Roman" w:eastAsia="Times New Roman" w:cs="Times New Roman"/>
          <w:sz w:val="24"/>
          <w:szCs w:val="24"/>
          <w:lang w:eastAsia="es-ES_tradnl"/>
        </w:rPr>
      </w:pPr>
    </w:p>
    <w:p w:rsidRPr="00F807BA" w:rsidR="00721553" w:rsidP="00721553" w:rsidRDefault="00721553" w14:paraId="6EF45C18" w14:textId="77777777">
      <w:pPr>
        <w:spacing w:after="200" w:line="276" w:lineRule="auto"/>
        <w:jc w:val="both"/>
        <w:rPr>
          <w:rFonts w:ascii="Arial" w:hAnsi="Arial" w:eastAsia="Times New Roman" w:cs="Arial"/>
          <w:lang w:eastAsia="es-CO"/>
        </w:rPr>
      </w:pPr>
      <w:r w:rsidRPr="00F807BA">
        <w:rPr>
          <w:rFonts w:ascii="Arial" w:hAnsi="Arial" w:eastAsia="Times New Roman" w:cs="Arial"/>
          <w:lang w:eastAsia="es-CO"/>
        </w:rPr>
        <w:t>Atentamente,</w:t>
      </w:r>
    </w:p>
    <w:p w:rsidR="00721553" w:rsidP="00721553" w:rsidRDefault="00FD19C1" w14:paraId="2F7DEBF9" w14:textId="69143D26">
      <w:pPr>
        <w:spacing w:after="200" w:line="276" w:lineRule="auto"/>
        <w:jc w:val="center"/>
        <w:rPr>
          <w:noProof/>
        </w:rPr>
      </w:pPr>
      <w:r>
        <w:rPr>
          <w:noProof/>
        </w:rPr>
        <w:drawing>
          <wp:inline distT="0" distB="0" distL="0" distR="0" wp14:anchorId="487ABFE2" wp14:editId="28201C37">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291"/>
      </w:tblGrid>
      <w:tr w:rsidRPr="00F807BA" w:rsidR="00921F2D" w:rsidTr="00721553" w14:paraId="3511C1FA" w14:textId="77777777">
        <w:trPr>
          <w:trHeight w:val="315"/>
        </w:trPr>
        <w:tc>
          <w:tcPr>
            <w:tcW w:w="812" w:type="dxa"/>
            <w:vAlign w:val="center"/>
            <w:hideMark/>
          </w:tcPr>
          <w:p w:rsidRPr="00F807BA" w:rsidR="00721553" w:rsidP="00721553" w:rsidRDefault="00721553" w14:paraId="0CD26EA0" w14:textId="77777777">
            <w:pPr>
              <w:rPr>
                <w:rFonts w:ascii="Arial" w:hAnsi="Arial" w:eastAsia="Times New Roman" w:cs="Arial"/>
                <w:sz w:val="16"/>
                <w:szCs w:val="16"/>
                <w:lang w:eastAsia="es-ES"/>
              </w:rPr>
            </w:pPr>
            <w:r w:rsidRPr="00F807BA">
              <w:rPr>
                <w:rFonts w:ascii="Arial" w:hAnsi="Arial" w:eastAsia="Times New Roman" w:cs="Arial"/>
                <w:sz w:val="16"/>
                <w:szCs w:val="16"/>
                <w:lang w:eastAsia="es-ES"/>
              </w:rPr>
              <w:t>Elaboró:</w:t>
            </w:r>
          </w:p>
        </w:tc>
        <w:tc>
          <w:tcPr>
            <w:tcW w:w="4291" w:type="dxa"/>
            <w:tcBorders>
              <w:top w:val="nil"/>
              <w:left w:val="nil"/>
              <w:bottom w:val="dotted" w:color="7F7F7F" w:sz="4" w:space="0"/>
              <w:right w:val="nil"/>
            </w:tcBorders>
            <w:vAlign w:val="center"/>
            <w:hideMark/>
          </w:tcPr>
          <w:p w:rsidRPr="00F807BA" w:rsidR="00721553" w:rsidP="00721553" w:rsidRDefault="00921F2D" w14:paraId="7FEAA851" w14:textId="3BC4203B">
            <w:pPr>
              <w:rPr>
                <w:rFonts w:ascii="Arial" w:hAnsi="Arial" w:eastAsia="Times New Roman" w:cs="Arial"/>
                <w:sz w:val="16"/>
                <w:szCs w:val="16"/>
                <w:lang w:eastAsia="es-ES"/>
              </w:rPr>
            </w:pPr>
            <w:r w:rsidRPr="00F807BA">
              <w:rPr>
                <w:rFonts w:ascii="Arial" w:hAnsi="Arial" w:eastAsia="Times New Roman" w:cs="Arial"/>
                <w:sz w:val="16"/>
                <w:szCs w:val="16"/>
                <w:lang w:eastAsia="es-ES"/>
              </w:rPr>
              <w:t>Diana Lucia Saavedra Castañeda</w:t>
            </w:r>
          </w:p>
          <w:p w:rsidRPr="00F807BA" w:rsidR="00721553" w:rsidP="00721553" w:rsidRDefault="00921F2D" w14:paraId="68483478" w14:textId="04FB1930">
            <w:pPr>
              <w:rPr>
                <w:rFonts w:ascii="Arial" w:hAnsi="Arial" w:eastAsia="Times New Roman" w:cs="Arial"/>
                <w:sz w:val="16"/>
                <w:szCs w:val="16"/>
                <w:lang w:eastAsia="es-ES"/>
              </w:rPr>
            </w:pPr>
            <w:r w:rsidRPr="00F807BA">
              <w:rPr>
                <w:rFonts w:ascii="Arial" w:hAnsi="Arial" w:eastAsia="Times New Roman" w:cs="Arial"/>
                <w:sz w:val="16"/>
                <w:szCs w:val="16"/>
                <w:lang w:eastAsia="es-ES"/>
              </w:rPr>
              <w:t>Contratista</w:t>
            </w:r>
            <w:r w:rsidRPr="00F807BA" w:rsidR="00721553">
              <w:rPr>
                <w:rFonts w:ascii="Arial" w:hAnsi="Arial" w:eastAsia="Times New Roman" w:cs="Arial"/>
                <w:sz w:val="16"/>
                <w:szCs w:val="16"/>
                <w:lang w:eastAsia="es-ES"/>
              </w:rPr>
              <w:t xml:space="preserve"> de la Subdirección de Gestión Contractual</w:t>
            </w:r>
          </w:p>
        </w:tc>
      </w:tr>
      <w:tr w:rsidRPr="00F807BA" w:rsidR="00921F2D" w:rsidTr="00721553" w14:paraId="56684362" w14:textId="77777777">
        <w:trPr>
          <w:trHeight w:val="330"/>
        </w:trPr>
        <w:tc>
          <w:tcPr>
            <w:tcW w:w="812" w:type="dxa"/>
            <w:vAlign w:val="center"/>
            <w:hideMark/>
          </w:tcPr>
          <w:p w:rsidRPr="00F807BA" w:rsidR="00721553" w:rsidP="00721553" w:rsidRDefault="00721553" w14:paraId="054B5A42" w14:textId="77777777">
            <w:pPr>
              <w:rPr>
                <w:rFonts w:ascii="Arial" w:hAnsi="Arial" w:eastAsia="Times New Roman" w:cs="Arial"/>
                <w:sz w:val="16"/>
                <w:szCs w:val="16"/>
                <w:lang w:eastAsia="es-ES"/>
              </w:rPr>
            </w:pPr>
            <w:r w:rsidRPr="00F807BA">
              <w:rPr>
                <w:rFonts w:ascii="Arial" w:hAnsi="Arial" w:eastAsia="Times New Roman" w:cs="Arial"/>
                <w:sz w:val="16"/>
                <w:szCs w:val="16"/>
                <w:lang w:eastAsia="es-ES"/>
              </w:rPr>
              <w:t>Revisó:</w:t>
            </w:r>
          </w:p>
        </w:tc>
        <w:tc>
          <w:tcPr>
            <w:tcW w:w="4291" w:type="dxa"/>
            <w:tcBorders>
              <w:top w:val="dotted" w:color="7F7F7F" w:sz="4" w:space="0"/>
              <w:left w:val="nil"/>
              <w:bottom w:val="dotted" w:color="7F7F7F" w:sz="4" w:space="0"/>
              <w:right w:val="nil"/>
            </w:tcBorders>
            <w:vAlign w:val="center"/>
            <w:hideMark/>
          </w:tcPr>
          <w:p w:rsidRPr="00F807BA" w:rsidR="00721553" w:rsidP="00721553" w:rsidRDefault="00721553" w14:paraId="36D23F90" w14:textId="77777777">
            <w:pPr>
              <w:rPr>
                <w:rFonts w:ascii="Arial" w:hAnsi="Arial" w:eastAsia="Times New Roman" w:cs="Arial"/>
                <w:sz w:val="16"/>
                <w:szCs w:val="16"/>
                <w:lang w:eastAsia="es-ES"/>
              </w:rPr>
            </w:pPr>
            <w:r w:rsidRPr="00F807BA">
              <w:rPr>
                <w:rFonts w:ascii="Arial" w:hAnsi="Arial" w:eastAsia="Times New Roman" w:cs="Arial"/>
                <w:sz w:val="16"/>
                <w:szCs w:val="16"/>
                <w:lang w:eastAsia="es-ES"/>
              </w:rPr>
              <w:t>Juan David Montoya Penagos</w:t>
            </w:r>
          </w:p>
          <w:p w:rsidRPr="00F807BA" w:rsidR="00721553" w:rsidP="00721553" w:rsidRDefault="00721553" w14:paraId="3ADD49E2" w14:textId="77777777">
            <w:pPr>
              <w:rPr>
                <w:rFonts w:ascii="Arial" w:hAnsi="Arial" w:eastAsia="Times New Roman" w:cs="Arial"/>
                <w:sz w:val="16"/>
                <w:szCs w:val="16"/>
                <w:lang w:eastAsia="es-ES"/>
              </w:rPr>
            </w:pPr>
            <w:r w:rsidRPr="00F807BA">
              <w:rPr>
                <w:rFonts w:ascii="Arial" w:hAnsi="Arial" w:eastAsia="Times New Roman" w:cs="Arial"/>
                <w:sz w:val="16"/>
                <w:szCs w:val="16"/>
                <w:lang w:eastAsia="es-ES"/>
              </w:rPr>
              <w:t>Gestor T1-15 de la Subdirección de Gestión Contractual</w:t>
            </w:r>
          </w:p>
        </w:tc>
      </w:tr>
      <w:tr w:rsidRPr="00921F2D" w:rsidR="00921F2D" w:rsidTr="00721553" w14:paraId="049E400F" w14:textId="77777777">
        <w:trPr>
          <w:trHeight w:val="300"/>
        </w:trPr>
        <w:tc>
          <w:tcPr>
            <w:tcW w:w="812" w:type="dxa"/>
            <w:vAlign w:val="center"/>
            <w:hideMark/>
          </w:tcPr>
          <w:p w:rsidRPr="00F807BA" w:rsidR="00721553" w:rsidP="00721553" w:rsidRDefault="00721553" w14:paraId="78EDF019" w14:textId="77777777">
            <w:pPr>
              <w:rPr>
                <w:rFonts w:ascii="Arial" w:hAnsi="Arial" w:eastAsia="Times New Roman" w:cs="Arial"/>
                <w:sz w:val="16"/>
                <w:szCs w:val="16"/>
                <w:lang w:eastAsia="es-ES"/>
              </w:rPr>
            </w:pPr>
            <w:r w:rsidRPr="00F807BA">
              <w:rPr>
                <w:rFonts w:ascii="Arial" w:hAnsi="Arial" w:eastAsia="Times New Roman" w:cs="Arial"/>
                <w:sz w:val="16"/>
                <w:szCs w:val="16"/>
                <w:lang w:eastAsia="es-ES"/>
              </w:rPr>
              <w:t>Aprobó:</w:t>
            </w:r>
          </w:p>
        </w:tc>
        <w:tc>
          <w:tcPr>
            <w:tcW w:w="4291" w:type="dxa"/>
            <w:tcBorders>
              <w:top w:val="dotted" w:color="7F7F7F" w:sz="4" w:space="0"/>
              <w:left w:val="nil"/>
              <w:bottom w:val="dotted" w:color="7F7F7F" w:sz="4" w:space="0"/>
              <w:right w:val="nil"/>
            </w:tcBorders>
            <w:vAlign w:val="center"/>
            <w:hideMark/>
          </w:tcPr>
          <w:p w:rsidRPr="00F807BA" w:rsidR="00721553" w:rsidP="00721553" w:rsidRDefault="00721553" w14:paraId="5B20E5B1" w14:textId="77777777">
            <w:pPr>
              <w:rPr>
                <w:rFonts w:ascii="Arial" w:hAnsi="Arial" w:eastAsia="Times New Roman" w:cs="Arial"/>
                <w:sz w:val="16"/>
                <w:szCs w:val="16"/>
                <w:lang w:eastAsia="es-ES"/>
              </w:rPr>
            </w:pPr>
            <w:r w:rsidRPr="00F807BA">
              <w:rPr>
                <w:rFonts w:ascii="Arial" w:hAnsi="Arial" w:eastAsia="Times New Roman" w:cs="Arial"/>
                <w:sz w:val="16"/>
                <w:szCs w:val="16"/>
                <w:lang w:eastAsia="es-ES"/>
              </w:rPr>
              <w:t>Jorge Augusto Tirado Navarro</w:t>
            </w:r>
          </w:p>
          <w:p w:rsidRPr="00721553" w:rsidR="00721553" w:rsidP="00721553" w:rsidRDefault="00721553" w14:paraId="1818A5D3" w14:textId="77777777">
            <w:pPr>
              <w:rPr>
                <w:rFonts w:ascii="Arial" w:hAnsi="Arial" w:eastAsia="Times New Roman" w:cs="Arial"/>
                <w:sz w:val="16"/>
                <w:szCs w:val="16"/>
                <w:lang w:eastAsia="es-ES"/>
              </w:rPr>
            </w:pPr>
            <w:r w:rsidRPr="00F807BA">
              <w:rPr>
                <w:rFonts w:ascii="Arial" w:hAnsi="Arial" w:eastAsia="Times New Roman" w:cs="Arial"/>
                <w:sz w:val="16"/>
                <w:szCs w:val="16"/>
                <w:lang w:eastAsia="es-ES"/>
              </w:rPr>
              <w:t>Subdirector de Gestión Contractual ANCP – CCE</w:t>
            </w:r>
          </w:p>
        </w:tc>
      </w:tr>
      <w:bookmarkEnd w:id="2"/>
      <w:bookmarkEnd w:id="22"/>
    </w:tbl>
    <w:p w:rsidRPr="00721553" w:rsidR="00814945" w:rsidP="00EA2AD9" w:rsidRDefault="00814945" w14:paraId="4B04C66C" w14:textId="77777777">
      <w:pPr>
        <w:rPr>
          <w:color w:val="FF0000"/>
        </w:rPr>
      </w:pPr>
    </w:p>
    <w:sectPr w:rsidRPr="00721553" w:rsidR="00814945" w:rsidSect="003D603B">
      <w:headerReference w:type="default" r:id="rId11"/>
      <w:footerReference w:type="default" r:id="rId12"/>
      <w:pgSz w:w="12240" w:h="15840" w:orient="portrait"/>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2A8D" w:rsidP="00721553" w:rsidRDefault="008E2A8D" w14:paraId="7B1F373B" w14:textId="77777777">
      <w:pPr>
        <w:spacing w:after="0" w:line="240" w:lineRule="auto"/>
      </w:pPr>
      <w:r>
        <w:separator/>
      </w:r>
    </w:p>
  </w:endnote>
  <w:endnote w:type="continuationSeparator" w:id="0">
    <w:p w:rsidR="008E2A8D" w:rsidP="00721553" w:rsidRDefault="008E2A8D" w14:paraId="6FB12D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12132" w:rsidP="00B6444C" w:rsidRDefault="006F6DC3" w14:paraId="32659667" w14:textId="77777777">
    <w:pPr>
      <w:pStyle w:val="Sinespaciado"/>
      <w:rPr>
        <w:rFonts w:ascii="Arial" w:hAnsi="Arial" w:cs="Arial"/>
        <w:sz w:val="18"/>
        <w:szCs w:val="18"/>
      </w:rPr>
    </w:pPr>
  </w:p>
  <w:p w:rsidR="00412132" w:rsidP="00B6444C" w:rsidRDefault="006F6DC3" w14:paraId="7E47BE69" w14:textId="77777777">
    <w:pPr>
      <w:pStyle w:val="Sinespaciado"/>
      <w:rPr>
        <w:rFonts w:ascii="Arial" w:hAnsi="Arial" w:cs="Arial"/>
        <w:sz w:val="18"/>
        <w:szCs w:val="18"/>
      </w:rPr>
    </w:pPr>
  </w:p>
  <w:p w:rsidRPr="00721553" w:rsidR="00412132" w:rsidP="005A79FE" w:rsidRDefault="001E4467" w14:paraId="2160CFE9" w14:textId="77777777">
    <w:pPr>
      <w:pStyle w:val="Piedepgina"/>
      <w:jc w:val="right"/>
      <w:rPr>
        <w:rFonts w:ascii="Arial" w:hAnsi="Arial" w:cs="Arial"/>
        <w:color w:val="7F7F7F"/>
        <w:sz w:val="16"/>
        <w:szCs w:val="16"/>
      </w:rPr>
    </w:pPr>
    <w:r w:rsidRPr="00721553">
      <w:rPr>
        <w:rFonts w:ascii="Arial" w:hAnsi="Arial" w:cs="Arial"/>
        <w:bCs/>
        <w:color w:val="7F7F7F"/>
        <w:sz w:val="16"/>
        <w:szCs w:val="16"/>
      </w:rPr>
      <w:t xml:space="preserve">Página </w:t>
    </w:r>
    <w:r w:rsidRPr="00721553">
      <w:rPr>
        <w:rFonts w:ascii="Arial" w:hAnsi="Arial" w:cs="Arial"/>
        <w:b/>
        <w:bCs/>
        <w:color w:val="7F7F7F"/>
        <w:sz w:val="16"/>
        <w:szCs w:val="16"/>
      </w:rPr>
      <w:fldChar w:fldCharType="begin"/>
    </w:r>
    <w:r w:rsidRPr="00721553">
      <w:rPr>
        <w:rFonts w:ascii="Arial" w:hAnsi="Arial" w:cs="Arial"/>
        <w:b/>
        <w:bCs/>
        <w:color w:val="7F7F7F"/>
        <w:sz w:val="16"/>
        <w:szCs w:val="16"/>
      </w:rPr>
      <w:instrText>PAGE  \* Arabic  \* MERGEFORMAT</w:instrText>
    </w:r>
    <w:r w:rsidRPr="00721553">
      <w:rPr>
        <w:rFonts w:ascii="Arial" w:hAnsi="Arial" w:cs="Arial"/>
        <w:b/>
        <w:bCs/>
        <w:color w:val="7F7F7F"/>
        <w:sz w:val="16"/>
        <w:szCs w:val="16"/>
      </w:rPr>
      <w:fldChar w:fldCharType="separate"/>
    </w:r>
    <w:r w:rsidRPr="00721553">
      <w:rPr>
        <w:rFonts w:ascii="Arial" w:hAnsi="Arial" w:cs="Arial"/>
        <w:b/>
        <w:bCs/>
        <w:noProof/>
        <w:color w:val="7F7F7F"/>
        <w:sz w:val="16"/>
        <w:szCs w:val="16"/>
      </w:rPr>
      <w:t>17</w:t>
    </w:r>
    <w:r w:rsidRPr="00721553">
      <w:rPr>
        <w:rFonts w:ascii="Arial" w:hAnsi="Arial" w:cs="Arial"/>
        <w:b/>
        <w:bCs/>
        <w:color w:val="7F7F7F"/>
        <w:sz w:val="16"/>
        <w:szCs w:val="16"/>
      </w:rPr>
      <w:fldChar w:fldCharType="end"/>
    </w:r>
    <w:r w:rsidRPr="00721553">
      <w:rPr>
        <w:rFonts w:ascii="Arial" w:hAnsi="Arial" w:cs="Arial"/>
        <w:color w:val="7F7F7F"/>
        <w:sz w:val="16"/>
        <w:szCs w:val="16"/>
      </w:rPr>
      <w:t xml:space="preserve"> de </w:t>
    </w:r>
    <w:r w:rsidRPr="00721553">
      <w:rPr>
        <w:rFonts w:ascii="Arial" w:hAnsi="Arial" w:cs="Arial"/>
        <w:b/>
        <w:bCs/>
        <w:color w:val="7F7F7F"/>
        <w:sz w:val="16"/>
        <w:szCs w:val="16"/>
      </w:rPr>
      <w:fldChar w:fldCharType="begin"/>
    </w:r>
    <w:r w:rsidRPr="00721553">
      <w:rPr>
        <w:rFonts w:ascii="Arial" w:hAnsi="Arial" w:cs="Arial"/>
        <w:b/>
        <w:bCs/>
        <w:color w:val="7F7F7F"/>
        <w:sz w:val="16"/>
        <w:szCs w:val="16"/>
      </w:rPr>
      <w:instrText>NUMPAGES  \* Arabic  \* MERGEFORMAT</w:instrText>
    </w:r>
    <w:r w:rsidRPr="00721553">
      <w:rPr>
        <w:rFonts w:ascii="Arial" w:hAnsi="Arial" w:cs="Arial"/>
        <w:b/>
        <w:bCs/>
        <w:color w:val="7F7F7F"/>
        <w:sz w:val="16"/>
        <w:szCs w:val="16"/>
      </w:rPr>
      <w:fldChar w:fldCharType="separate"/>
    </w:r>
    <w:r w:rsidRPr="00721553">
      <w:rPr>
        <w:rFonts w:ascii="Arial" w:hAnsi="Arial" w:cs="Arial"/>
        <w:b/>
        <w:bCs/>
        <w:noProof/>
        <w:color w:val="7F7F7F"/>
        <w:sz w:val="16"/>
        <w:szCs w:val="16"/>
      </w:rPr>
      <w:t>17</w:t>
    </w:r>
    <w:r w:rsidRPr="00721553">
      <w:rPr>
        <w:rFonts w:ascii="Arial" w:hAnsi="Arial" w:cs="Arial"/>
        <w:b/>
        <w:bCs/>
        <w:color w:val="7F7F7F"/>
        <w:sz w:val="16"/>
        <w:szCs w:val="16"/>
      </w:rPr>
      <w:fldChar w:fldCharType="end"/>
    </w:r>
  </w:p>
  <w:p w:rsidR="00412132" w:rsidP="007B0854" w:rsidRDefault="001E4467" w14:paraId="1A14EA99" w14:textId="77777777">
    <w:pPr>
      <w:pStyle w:val="Piedepgina"/>
      <w:jc w:val="center"/>
      <w:rPr>
        <w:lang w:val="es-ES"/>
      </w:rPr>
    </w:pPr>
    <w:r>
      <w:rPr>
        <w:noProof/>
        <w:lang w:val="es-CO" w:eastAsia="es-CO"/>
      </w:rPr>
      <w:drawing>
        <wp:inline distT="0" distB="0" distL="0" distR="0" wp14:anchorId="726ED8C9" wp14:editId="217F8FE2">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rsidR="00412132" w:rsidP="007B0854" w:rsidRDefault="006F6DC3" w14:paraId="2F78B7F7" w14:textId="77777777">
    <w:pPr>
      <w:pStyle w:val="Piedepgina"/>
      <w:jc w:val="center"/>
      <w:rPr>
        <w:lang w:val="es-ES"/>
      </w:rPr>
    </w:pPr>
  </w:p>
  <w:p w:rsidRPr="007B0854" w:rsidR="00412132" w:rsidP="00A5235A" w:rsidRDefault="006F6DC3" w14:paraId="4536440A" w14:textId="77777777">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2A8D" w:rsidP="00721553" w:rsidRDefault="008E2A8D" w14:paraId="114FD0B2" w14:textId="77777777">
      <w:pPr>
        <w:spacing w:after="0" w:line="240" w:lineRule="auto"/>
      </w:pPr>
      <w:r>
        <w:separator/>
      </w:r>
    </w:p>
  </w:footnote>
  <w:footnote w:type="continuationSeparator" w:id="0">
    <w:p w:rsidR="008E2A8D" w:rsidP="00721553" w:rsidRDefault="008E2A8D" w14:paraId="049289FD" w14:textId="77777777">
      <w:pPr>
        <w:spacing w:after="0" w:line="240" w:lineRule="auto"/>
      </w:pPr>
      <w:r>
        <w:continuationSeparator/>
      </w:r>
    </w:p>
  </w:footnote>
  <w:footnote w:id="1">
    <w:p w:rsidRPr="00F807BA" w:rsidR="003843CE" w:rsidP="00E31114" w:rsidRDefault="003843CE" w14:paraId="04F5C79F" w14:textId="77777777">
      <w:pPr>
        <w:pStyle w:val="Textonotapie"/>
        <w:spacing w:after="0" w:line="240" w:lineRule="auto"/>
        <w:ind w:firstLine="708"/>
        <w:contextualSpacing/>
        <w:rPr>
          <w:rFonts w:ascii="Arial" w:hAnsi="Arial" w:cs="Arial"/>
          <w:sz w:val="19"/>
          <w:szCs w:val="19"/>
        </w:rPr>
      </w:pPr>
      <w:r w:rsidRPr="00F807BA">
        <w:rPr>
          <w:rStyle w:val="Refdenotaalpie"/>
          <w:rFonts w:ascii="Arial" w:hAnsi="Arial" w:cs="Arial"/>
          <w:sz w:val="19"/>
          <w:szCs w:val="19"/>
        </w:rPr>
        <w:footnoteRef/>
      </w:r>
      <w:r w:rsidRPr="00F807BA">
        <w:rPr>
          <w:rFonts w:ascii="Arial" w:hAnsi="Arial" w:cs="Arial"/>
          <w:sz w:val="19"/>
          <w:szCs w:val="19"/>
        </w:rPr>
        <w:t xml:space="preserve"> «Artículo 3°. Funciones. La Agencia Nacional de Contratación Pública –Colombia Compra Eficiente– ejercerá las siguientes funciones: </w:t>
      </w:r>
    </w:p>
    <w:p w:rsidRPr="00F807BA" w:rsidR="003843CE" w:rsidP="00E31114" w:rsidRDefault="003843CE" w14:paraId="63F7D708" w14:textId="77777777">
      <w:pPr>
        <w:pStyle w:val="Textonotapie"/>
        <w:spacing w:after="0" w:line="240" w:lineRule="auto"/>
        <w:ind w:firstLine="709"/>
        <w:contextualSpacing/>
        <w:rPr>
          <w:rFonts w:ascii="Arial" w:hAnsi="Arial" w:cs="Arial"/>
          <w:sz w:val="19"/>
          <w:szCs w:val="19"/>
          <w:lang w:val="es-ES"/>
        </w:rPr>
      </w:pPr>
      <w:r w:rsidRPr="00F807BA">
        <w:rPr>
          <w:rFonts w:ascii="Arial" w:hAnsi="Arial" w:cs="Arial"/>
          <w:sz w:val="19"/>
          <w:szCs w:val="19"/>
          <w:lang w:val="es-ES"/>
        </w:rPr>
        <w:t xml:space="preserve">»[...] </w:t>
      </w:r>
    </w:p>
    <w:p w:rsidRPr="00F807BA" w:rsidR="003843CE" w:rsidP="00E31114" w:rsidRDefault="003843CE" w14:paraId="3601378E" w14:textId="13DA303C">
      <w:pPr>
        <w:pStyle w:val="Textonotapie"/>
        <w:spacing w:after="0" w:line="240" w:lineRule="auto"/>
        <w:ind w:firstLine="709"/>
        <w:contextualSpacing/>
        <w:rPr>
          <w:rFonts w:ascii="Arial" w:hAnsi="Arial" w:cs="Arial"/>
          <w:sz w:val="19"/>
          <w:szCs w:val="19"/>
          <w:lang w:val="es-ES"/>
        </w:rPr>
      </w:pPr>
      <w:r w:rsidRPr="00F807BA">
        <w:rPr>
          <w:rFonts w:ascii="Arial" w:hAnsi="Arial" w:cs="Arial"/>
          <w:sz w:val="19"/>
          <w:szCs w:val="19"/>
          <w:lang w:val="es-ES"/>
        </w:rPr>
        <w:t>»5. Absolver consultas sobre la aplicación de normas de carácter general y expedir circulares externas en materia de compras y contratación pública».</w:t>
      </w:r>
    </w:p>
    <w:p w:rsidRPr="00F807BA" w:rsidR="003843CE" w:rsidP="00E31114" w:rsidRDefault="003843CE" w14:paraId="67BD20C5" w14:textId="77777777">
      <w:pPr>
        <w:pStyle w:val="Textonotapie"/>
        <w:spacing w:after="0" w:line="240" w:lineRule="auto"/>
        <w:ind w:firstLine="709"/>
        <w:contextualSpacing/>
        <w:rPr>
          <w:rFonts w:ascii="Arial" w:hAnsi="Arial" w:cs="Arial"/>
          <w:sz w:val="19"/>
          <w:szCs w:val="19"/>
          <w:lang w:val="es-ES"/>
        </w:rPr>
      </w:pPr>
      <w:r w:rsidRPr="00F807BA">
        <w:rPr>
          <w:rFonts w:ascii="Arial" w:hAnsi="Arial" w:eastAsia="Times New Roman" w:cs="Arial"/>
          <w:sz w:val="19"/>
          <w:szCs w:val="19"/>
          <w:lang w:val="es-CO" w:eastAsia="es-ES_tradnl"/>
        </w:rPr>
        <w:t>«</w:t>
      </w:r>
      <w:r w:rsidRPr="00F807BA">
        <w:rPr>
          <w:rFonts w:ascii="Arial" w:hAnsi="Arial" w:cs="Arial"/>
          <w:sz w:val="19"/>
          <w:szCs w:val="19"/>
          <w:lang w:val="es-ES"/>
        </w:rPr>
        <w:t xml:space="preserve">Artículo 11. Subdirección de Gestión Contractual. Son funciones de la Subdirección de Gestión Contractual las siguientes: </w:t>
      </w:r>
    </w:p>
    <w:p w:rsidRPr="00F807BA" w:rsidR="003843CE" w:rsidP="00E31114" w:rsidRDefault="003843CE" w14:paraId="5D9F0BC4" w14:textId="77777777">
      <w:pPr>
        <w:pStyle w:val="Textonotapie"/>
        <w:spacing w:after="0" w:line="240" w:lineRule="auto"/>
        <w:ind w:firstLine="709"/>
        <w:contextualSpacing/>
        <w:rPr>
          <w:rFonts w:ascii="Arial" w:hAnsi="Arial" w:cs="Arial"/>
          <w:sz w:val="19"/>
          <w:szCs w:val="19"/>
          <w:lang w:val="es-ES"/>
        </w:rPr>
      </w:pPr>
      <w:r w:rsidRPr="00F807BA">
        <w:rPr>
          <w:rFonts w:ascii="Arial" w:hAnsi="Arial" w:cs="Arial"/>
          <w:sz w:val="19"/>
          <w:szCs w:val="19"/>
          <w:lang w:val="es-ES"/>
        </w:rPr>
        <w:t xml:space="preserve">»[...] </w:t>
      </w:r>
    </w:p>
    <w:p w:rsidRPr="00F807BA" w:rsidR="003843CE" w:rsidP="00E31114" w:rsidRDefault="003843CE" w14:paraId="3993551D" w14:textId="77777777">
      <w:pPr>
        <w:pStyle w:val="Textonotapie"/>
        <w:spacing w:after="0" w:line="240" w:lineRule="auto"/>
        <w:ind w:firstLine="708"/>
        <w:contextualSpacing/>
        <w:rPr>
          <w:rFonts w:ascii="Arial" w:hAnsi="Arial" w:cs="Arial"/>
          <w:sz w:val="19"/>
          <w:szCs w:val="19"/>
        </w:rPr>
      </w:pPr>
      <w:r w:rsidRPr="00F807BA">
        <w:rPr>
          <w:rFonts w:ascii="Arial" w:hAnsi="Arial" w:eastAsia="Times New Roman" w:cs="Arial"/>
          <w:sz w:val="19"/>
          <w:szCs w:val="19"/>
          <w:lang w:val="es-CO" w:eastAsia="es-ES_tradnl"/>
        </w:rPr>
        <w:t>»</w:t>
      </w:r>
      <w:r w:rsidRPr="00F807BA">
        <w:rPr>
          <w:rFonts w:ascii="Arial" w:hAnsi="Arial" w:cs="Arial"/>
          <w:sz w:val="19"/>
          <w:szCs w:val="19"/>
          <w:lang w:val="es-ES"/>
        </w:rPr>
        <w:t>8. Absolver consultas sobre la aplicación de normas de carácter general».</w:t>
      </w:r>
    </w:p>
  </w:footnote>
  <w:footnote w:id="2">
    <w:p w:rsidRPr="00F807BA" w:rsidR="0003362C" w:rsidP="00E31114" w:rsidRDefault="0003362C" w14:paraId="1554F7FC" w14:textId="77777777">
      <w:pPr>
        <w:pStyle w:val="Textonotapie"/>
        <w:spacing w:after="0" w:line="240" w:lineRule="auto"/>
        <w:ind w:firstLine="709"/>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rsidRPr="00F807BA" w:rsidR="0003362C" w:rsidP="00D7729F" w:rsidRDefault="0003362C" w14:paraId="3C156DC0" w14:textId="07D5EDA0">
      <w:pPr>
        <w:pStyle w:val="Textonotapie"/>
        <w:spacing w:after="0" w:line="240" w:lineRule="auto"/>
        <w:ind w:firstLine="709"/>
        <w:rPr>
          <w:rFonts w:ascii="Arial" w:hAnsi="Arial" w:cs="Arial"/>
          <w:color w:val="000000" w:themeColor="text1"/>
          <w:sz w:val="19"/>
          <w:szCs w:val="19"/>
        </w:rPr>
      </w:pPr>
      <w:r w:rsidRPr="00F807BA">
        <w:rPr>
          <w:rFonts w:ascii="Arial" w:hAnsi="Arial" w:cs="Arial"/>
          <w:color w:val="000000" w:themeColor="text1"/>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rsidRPr="00F807BA" w:rsidR="0003362C" w:rsidP="00D7729F" w:rsidRDefault="0003362C" w14:paraId="776FD2CD" w14:textId="3509D4B0">
      <w:pPr>
        <w:pStyle w:val="Textonotapie"/>
        <w:spacing w:after="0" w:line="240" w:lineRule="auto"/>
        <w:ind w:firstLine="709"/>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Gaceta del Congreso de la República No. 71 del 2005.</w:t>
      </w:r>
    </w:p>
  </w:footnote>
  <w:footnote w:id="4">
    <w:p w:rsidRPr="00F807BA" w:rsidR="0003362C" w:rsidP="00D7729F" w:rsidRDefault="0003362C" w14:paraId="796541A5" w14:textId="55313B4E">
      <w:pPr>
        <w:pStyle w:val="Textonotapie"/>
        <w:spacing w:after="0" w:line="240" w:lineRule="auto"/>
        <w:ind w:firstLine="709"/>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Corte Constitucional. Sentencia C- 1153 de 2005, M.P. Marco Gerardo Monroy Cabra.</w:t>
      </w:r>
    </w:p>
  </w:footnote>
  <w:footnote w:id="5">
    <w:p w:rsidRPr="00F807BA" w:rsidR="0003362C" w:rsidP="00D7729F" w:rsidRDefault="0003362C" w14:paraId="2016ECAE" w14:textId="5CBCF13B">
      <w:pPr>
        <w:pStyle w:val="Textonotapie"/>
        <w:spacing w:after="0" w:line="240" w:lineRule="auto"/>
        <w:ind w:firstLine="709"/>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rsidRPr="00F807BA" w:rsidR="0003362C" w:rsidP="00D7729F" w:rsidRDefault="0003362C" w14:paraId="6C410715" w14:textId="577F52BA">
      <w:pPr>
        <w:pStyle w:val="Textonotapie"/>
        <w:spacing w:after="0" w:line="240" w:lineRule="auto"/>
        <w:ind w:firstLine="709"/>
        <w:rPr>
          <w:rFonts w:ascii="Arial" w:hAnsi="Arial" w:cs="Arial"/>
          <w:color w:val="000000" w:themeColor="text1"/>
          <w:sz w:val="19"/>
          <w:szCs w:val="19"/>
          <w:lang w:val="es-CO"/>
        </w:rPr>
      </w:pPr>
      <w:r w:rsidRPr="00F807BA">
        <w:rPr>
          <w:rStyle w:val="Refdenotaalpie"/>
          <w:rFonts w:ascii="Arial" w:hAnsi="Arial" w:cs="Arial"/>
          <w:sz w:val="19"/>
          <w:szCs w:val="19"/>
        </w:rPr>
        <w:footnoteRef/>
      </w:r>
      <w:r w:rsidRPr="00F807BA">
        <w:rPr>
          <w:rFonts w:ascii="Arial" w:hAnsi="Arial" w:cs="Arial"/>
          <w:color w:val="000000" w:themeColor="text1"/>
          <w:sz w:val="19"/>
          <w:szCs w:val="19"/>
          <w:lang w:val="es-CO"/>
        </w:rPr>
        <w:t xml:space="preserve"> Consejo de Estado.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rsidRPr="00F807BA" w:rsidR="0003362C" w:rsidP="00E31114" w:rsidRDefault="0003362C" w14:paraId="15B9933D" w14:textId="77777777">
      <w:pPr>
        <w:pStyle w:val="Textonotapie"/>
        <w:spacing w:after="0" w:line="240" w:lineRule="auto"/>
        <w:ind w:firstLine="709"/>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Consejo de Estado, Sala de Consulta y Servicio Civil de fecha 24 de julio de 2013, radicado 2166, Consejero Ponente: Álvaro Namén Vargas.  </w:t>
      </w:r>
    </w:p>
  </w:footnote>
  <w:footnote w:id="8">
    <w:p w:rsidRPr="00F807BA" w:rsidR="0003362C" w:rsidP="00E31114" w:rsidRDefault="0003362C" w14:paraId="0B524023" w14:textId="77777777">
      <w:pPr>
        <w:spacing w:after="0" w:line="240" w:lineRule="auto"/>
        <w:ind w:firstLine="709"/>
        <w:jc w:val="both"/>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w:t>
      </w:r>
      <w:r w:rsidRPr="00F807BA">
        <w:rPr>
          <w:rFonts w:ascii="Arial" w:hAnsi="Arial" w:eastAsia="Calibri" w:cs="Arial"/>
          <w:color w:val="000000" w:themeColor="text1"/>
          <w:sz w:val="19"/>
          <w:szCs w:val="19"/>
        </w:rPr>
        <w:t>«</w:t>
      </w:r>
      <w:r w:rsidRPr="00F807BA">
        <w:rPr>
          <w:rFonts w:ascii="Arial" w:hAnsi="Arial" w:cs="Arial"/>
          <w:color w:val="000000" w:themeColor="text1"/>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rsidRPr="00F807BA" w:rsidR="0003362C" w:rsidP="00D7729F" w:rsidRDefault="0003362C" w14:paraId="79C357AA" w14:textId="4A9591CC">
      <w:pPr>
        <w:spacing w:after="0" w:line="240" w:lineRule="auto"/>
        <w:ind w:firstLine="709"/>
        <w:jc w:val="both"/>
        <w:rPr>
          <w:rFonts w:ascii="Arial" w:hAnsi="Arial" w:cs="Arial"/>
          <w:color w:val="000000" w:themeColor="text1"/>
          <w:sz w:val="19"/>
          <w:szCs w:val="19"/>
        </w:rPr>
      </w:pPr>
      <w:r w:rsidRPr="00F807BA">
        <w:rPr>
          <w:rFonts w:ascii="Arial" w:hAnsi="Arial" w:eastAsia="Calibri" w:cs="Arial"/>
          <w:color w:val="000000" w:themeColor="text1"/>
          <w:sz w:val="19"/>
          <w:szCs w:val="19"/>
        </w:rPr>
        <w:t>»</w:t>
      </w:r>
      <w:r w:rsidRPr="00F807BA">
        <w:rPr>
          <w:rFonts w:ascii="Arial" w:hAnsi="Arial" w:cs="Arial"/>
          <w:color w:val="000000" w:themeColor="text1"/>
          <w:sz w:val="19"/>
          <w:szCs w:val="19"/>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F807BA">
        <w:rPr>
          <w:rFonts w:ascii="Arial" w:hAnsi="Arial" w:eastAsia="Calibri" w:cs="Arial"/>
          <w:color w:val="000000" w:themeColor="text1"/>
          <w:sz w:val="19"/>
          <w:szCs w:val="19"/>
        </w:rPr>
        <w:t>»</w:t>
      </w:r>
      <w:r w:rsidRPr="00F807BA">
        <w:rPr>
          <w:rFonts w:ascii="Arial" w:hAnsi="Arial" w:cs="Arial"/>
          <w:color w:val="000000" w:themeColor="text1"/>
          <w:sz w:val="19"/>
          <w:szCs w:val="19"/>
        </w:rPr>
        <w:t>.</w:t>
      </w:r>
    </w:p>
  </w:footnote>
  <w:footnote w:id="9">
    <w:p w:rsidRPr="00F807BA" w:rsidR="0003362C" w:rsidP="00E31114" w:rsidRDefault="0003362C" w14:paraId="560710EA" w14:textId="77777777">
      <w:pPr>
        <w:pStyle w:val="NormalWeb"/>
        <w:spacing w:before="0" w:beforeAutospacing="0" w:after="0" w:afterAutospacing="0" w:line="240" w:lineRule="auto"/>
        <w:ind w:firstLine="709"/>
        <w:rPr>
          <w:rFonts w:ascii="Arial" w:hAnsi="Arial" w:cs="Arial"/>
          <w:color w:val="000000" w:themeColor="text1"/>
          <w:sz w:val="19"/>
          <w:szCs w:val="19"/>
          <w:lang w:val="es-MX"/>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w:t>
      </w:r>
      <w:r w:rsidRPr="00F807BA">
        <w:rPr>
          <w:rFonts w:ascii="Arial" w:hAnsi="Arial" w:eastAsia="Calibri" w:cs="Arial"/>
          <w:color w:val="000000" w:themeColor="text1"/>
          <w:sz w:val="19"/>
          <w:szCs w:val="19"/>
        </w:rPr>
        <w:t>«</w:t>
      </w:r>
      <w:r w:rsidRPr="00F807BA">
        <w:rPr>
          <w:rFonts w:ascii="Arial" w:hAnsi="Arial" w:cs="Arial"/>
          <w:color w:val="000000" w:themeColor="text1"/>
          <w:sz w:val="19"/>
          <w:szCs w:val="19"/>
          <w:lang w:val="es-MX"/>
        </w:rPr>
        <w:t>Artículo 38. Prohibiciones para los servidores públicos. A los empleados del Estado les está prohibido:</w:t>
      </w:r>
    </w:p>
    <w:p w:rsidRPr="00F807BA" w:rsidR="0003362C" w:rsidP="00E31114" w:rsidRDefault="0003362C" w14:paraId="6820BA18" w14:textId="77777777">
      <w:pPr>
        <w:pStyle w:val="NormalWeb"/>
        <w:spacing w:before="0" w:beforeAutospacing="0" w:after="0" w:afterAutospacing="0" w:line="240" w:lineRule="auto"/>
        <w:ind w:firstLine="709"/>
        <w:rPr>
          <w:rFonts w:ascii="Arial" w:hAnsi="Arial" w:cs="Arial"/>
          <w:color w:val="000000" w:themeColor="text1"/>
          <w:sz w:val="19"/>
          <w:szCs w:val="19"/>
          <w:lang w:val="es-MX"/>
        </w:rPr>
      </w:pPr>
      <w:r w:rsidRPr="00F807BA">
        <w:rPr>
          <w:rFonts w:ascii="Arial" w:hAnsi="Arial" w:eastAsia="Calibri" w:cs="Arial"/>
          <w:color w:val="000000" w:themeColor="text1"/>
          <w:sz w:val="19"/>
          <w:szCs w:val="19"/>
        </w:rPr>
        <w:t>»</w:t>
      </w:r>
      <w:r w:rsidRPr="00F807BA">
        <w:rPr>
          <w:rFonts w:ascii="Arial" w:hAnsi="Arial" w:cs="Arial"/>
          <w:color w:val="000000" w:themeColor="text1"/>
          <w:sz w:val="19"/>
          <w:szCs w:val="19"/>
          <w:lang w:val="es-MX"/>
        </w:rPr>
        <w:t xml:space="preserve"> […]</w:t>
      </w:r>
    </w:p>
    <w:p w:rsidRPr="00F807BA" w:rsidR="0003362C" w:rsidP="00D7729F" w:rsidRDefault="0003362C" w14:paraId="17A05359" w14:textId="67070BFC">
      <w:pPr>
        <w:spacing w:after="0" w:line="240" w:lineRule="auto"/>
        <w:ind w:firstLine="709"/>
        <w:jc w:val="both"/>
        <w:rPr>
          <w:rFonts w:ascii="Arial" w:hAnsi="Arial" w:cs="Arial"/>
          <w:color w:val="000000" w:themeColor="text1"/>
          <w:sz w:val="19"/>
          <w:szCs w:val="19"/>
          <w:lang w:val="es-MX"/>
        </w:rPr>
      </w:pPr>
      <w:r w:rsidRPr="00F807BA">
        <w:rPr>
          <w:rFonts w:ascii="Arial" w:hAnsi="Arial" w:eastAsia="Calibri" w:cs="Arial"/>
          <w:color w:val="000000" w:themeColor="text1"/>
          <w:sz w:val="19"/>
          <w:szCs w:val="19"/>
        </w:rPr>
        <w:t>»</w:t>
      </w:r>
      <w:r w:rsidRPr="00F807BA">
        <w:rPr>
          <w:rStyle w:val="baj"/>
          <w:rFonts w:ascii="Arial" w:hAnsi="Arial" w:cs="Arial"/>
          <w:color w:val="000000" w:themeColor="text1"/>
          <w:sz w:val="19"/>
          <w:szCs w:val="19"/>
          <w:lang w:val="es-MX"/>
        </w:rPr>
        <w:t xml:space="preserve"> Parágrafo.</w:t>
      </w:r>
      <w:r w:rsidRPr="00F807BA">
        <w:rPr>
          <w:rFonts w:ascii="Arial" w:hAnsi="Arial" w:cs="Arial"/>
          <w:color w:val="000000" w:themeColor="text1"/>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F807BA">
        <w:rPr>
          <w:rFonts w:ascii="Arial" w:hAnsi="Arial" w:eastAsia="Calibri" w:cs="Arial"/>
          <w:color w:val="000000" w:themeColor="text1"/>
          <w:sz w:val="19"/>
          <w:szCs w:val="19"/>
        </w:rPr>
        <w:t>»</w:t>
      </w:r>
      <w:r w:rsidRPr="00F807BA">
        <w:rPr>
          <w:rFonts w:ascii="Arial" w:hAnsi="Arial" w:cs="Arial"/>
          <w:color w:val="000000" w:themeColor="text1"/>
          <w:sz w:val="19"/>
          <w:szCs w:val="19"/>
          <w:lang w:val="es-MX"/>
        </w:rPr>
        <w:t>.</w:t>
      </w:r>
    </w:p>
  </w:footnote>
  <w:footnote w:id="10">
    <w:p w:rsidRPr="00F807BA" w:rsidR="0003362C" w:rsidP="00E31114" w:rsidRDefault="0003362C" w14:paraId="7CAA47CF" w14:textId="77777777">
      <w:pPr>
        <w:spacing w:after="0" w:line="240" w:lineRule="auto"/>
        <w:ind w:firstLine="709"/>
        <w:jc w:val="both"/>
        <w:rPr>
          <w:rFonts w:ascii="Arial" w:hAnsi="Arial" w:cs="Arial"/>
          <w:color w:val="000000" w:themeColor="text1"/>
          <w:sz w:val="19"/>
          <w:szCs w:val="19"/>
          <w:lang w:val="es-ES"/>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Consejo de Estado. Sala de Consulta y Servicio Civil. Concepto del 17 de febrero de 2015. C.P. William Zambrano Cetina. Radicación No. 11001-03-06-000-2015-00164-00(2269).</w:t>
      </w:r>
    </w:p>
  </w:footnote>
  <w:footnote w:id="11">
    <w:p w:rsidRPr="00F807BA" w:rsidR="0003362C" w:rsidP="00D7729F" w:rsidRDefault="0003362C" w14:paraId="115FAEEA" w14:textId="1463AA53">
      <w:pPr>
        <w:pStyle w:val="Textonotapie"/>
        <w:spacing w:after="0" w:line="240" w:lineRule="auto"/>
        <w:ind w:firstLine="709"/>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w:t>
      </w:r>
      <w:r w:rsidRPr="00F807BA">
        <w:rPr>
          <w:rFonts w:ascii="Arial" w:hAnsi="Arial" w:cs="Arial"/>
          <w:color w:val="000000" w:themeColor="text1"/>
          <w:sz w:val="19"/>
          <w:szCs w:val="19"/>
          <w:lang w:val="es-ES"/>
        </w:rPr>
        <w:t xml:space="preserve">[25] </w:t>
      </w:r>
      <w:r w:rsidRPr="00F807BA">
        <w:rPr>
          <w:rFonts w:ascii="Arial" w:hAnsi="Arial" w:cs="Arial"/>
          <w:color w:val="000000" w:themeColor="text1"/>
          <w:sz w:val="19"/>
          <w:szCs w:val="19"/>
        </w:rPr>
        <w:t>Cfr. Consejo de Estado. Sección Tercera. Sentencia de 3 de diciembre de 2007. Radicados: 24.715, 25.206, 25.409, 24.524, 27.834, 25.410, 26.105, 28.244, 31.447 -acumulados-».</w:t>
      </w:r>
    </w:p>
  </w:footnote>
  <w:footnote w:id="12">
    <w:p w:rsidRPr="00F807BA" w:rsidR="0003362C" w:rsidP="00D7729F" w:rsidRDefault="0003362C" w14:paraId="2B7220DE" w14:textId="4E89FB95">
      <w:pPr>
        <w:pStyle w:val="Textonotapie"/>
        <w:spacing w:after="0" w:line="240" w:lineRule="auto"/>
        <w:ind w:firstLine="709"/>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w:t>
      </w:r>
      <w:r w:rsidRPr="00F807BA">
        <w:rPr>
          <w:rFonts w:ascii="Arial" w:hAnsi="Arial" w:cs="Arial"/>
          <w:color w:val="000000" w:themeColor="text1"/>
          <w:sz w:val="19"/>
          <w:szCs w:val="19"/>
          <w:lang w:val="es-ES"/>
        </w:rPr>
        <w:t xml:space="preserve">[26] </w:t>
      </w:r>
      <w:r w:rsidRPr="00F807BA">
        <w:rPr>
          <w:rFonts w:ascii="Arial" w:hAnsi="Arial" w:cs="Arial"/>
          <w:color w:val="000000" w:themeColor="text1"/>
          <w:sz w:val="19"/>
          <w:szCs w:val="19"/>
        </w:rPr>
        <w:t>Al respecto ver el concepto 1712 de 2 de febrero de 2006. Consejo de Estado Sala de Consulta y Servicio Civil».</w:t>
      </w:r>
    </w:p>
  </w:footnote>
  <w:footnote w:id="13">
    <w:p w:rsidRPr="00F807BA" w:rsidR="0003362C" w:rsidP="00D7729F" w:rsidRDefault="0003362C" w14:paraId="10284340" w14:textId="1E855D45">
      <w:pPr>
        <w:pStyle w:val="Textonotapie"/>
        <w:spacing w:after="0" w:line="240" w:lineRule="auto"/>
        <w:ind w:firstLine="709"/>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Consejo de Estado. Sala de Consulta y Servicio Civil. Concepto del 2 de septiembre de 2013. Radicación número: 11001-03-06-000-2013-00412-00 (2168). Consejero Ponente: Álvaro Namén Vargas.</w:t>
      </w:r>
    </w:p>
  </w:footnote>
  <w:footnote w:id="14">
    <w:p w:rsidRPr="00F807BA" w:rsidR="0003362C" w:rsidP="00D7729F" w:rsidRDefault="0003362C" w14:paraId="29B572B3" w14:textId="7D57E73F">
      <w:pPr>
        <w:pStyle w:val="Textonotapie"/>
        <w:spacing w:after="0" w:line="240" w:lineRule="auto"/>
        <w:ind w:firstLine="709"/>
        <w:rPr>
          <w:rFonts w:ascii="Arial" w:hAnsi="Arial" w:cs="Arial"/>
          <w:color w:val="000000" w:themeColor="text1"/>
          <w:sz w:val="19"/>
          <w:szCs w:val="19"/>
          <w:lang w:val="es-ES"/>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w:t>
      </w:r>
      <w:r w:rsidRPr="00F807BA">
        <w:rPr>
          <w:rFonts w:ascii="Arial" w:hAnsi="Arial" w:cs="Arial"/>
          <w:color w:val="000000" w:themeColor="text1"/>
          <w:sz w:val="19"/>
          <w:szCs w:val="19"/>
          <w:lang w:val="es-ES"/>
        </w:rPr>
        <w:t xml:space="preserve">Artículo 2. </w:t>
      </w:r>
    </w:p>
  </w:footnote>
  <w:footnote w:id="15">
    <w:p w:rsidRPr="00F807BA" w:rsidR="0003362C" w:rsidP="00D7729F" w:rsidRDefault="0003362C" w14:paraId="19A14F4C" w14:textId="304F4B28">
      <w:pPr>
        <w:pStyle w:val="Textonotapie"/>
        <w:spacing w:after="0" w:line="240" w:lineRule="auto"/>
        <w:ind w:firstLine="709"/>
        <w:rPr>
          <w:rFonts w:ascii="Arial" w:hAnsi="Arial" w:cs="Arial"/>
          <w:color w:val="000000" w:themeColor="text1"/>
          <w:sz w:val="19"/>
          <w:szCs w:val="19"/>
          <w:lang w:val="es-ES"/>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w:t>
      </w:r>
      <w:r w:rsidRPr="00F807BA">
        <w:rPr>
          <w:rFonts w:ascii="Arial" w:hAnsi="Arial" w:cs="Arial"/>
          <w:i/>
          <w:color w:val="000000" w:themeColor="text1"/>
          <w:sz w:val="19"/>
          <w:szCs w:val="19"/>
          <w:lang w:val="es-ES"/>
        </w:rPr>
        <w:t>Ídem</w:t>
      </w:r>
      <w:r w:rsidRPr="00F807BA">
        <w:rPr>
          <w:rFonts w:ascii="Arial" w:hAnsi="Arial" w:cs="Arial"/>
          <w:color w:val="000000" w:themeColor="text1"/>
          <w:sz w:val="19"/>
          <w:szCs w:val="19"/>
          <w:lang w:val="es-ES"/>
        </w:rPr>
        <w:t>.</w:t>
      </w:r>
    </w:p>
  </w:footnote>
  <w:footnote w:id="16">
    <w:p w:rsidRPr="00F807BA" w:rsidR="0003362C" w:rsidP="00D7729F" w:rsidRDefault="0003362C" w14:paraId="2E0C417A" w14:textId="6D030D54">
      <w:pPr>
        <w:pStyle w:val="Textonotapie"/>
        <w:spacing w:after="0" w:line="240" w:lineRule="auto"/>
        <w:ind w:firstLine="709"/>
        <w:rPr>
          <w:rFonts w:ascii="Arial" w:hAnsi="Arial" w:cs="Arial"/>
          <w:color w:val="000000" w:themeColor="text1"/>
          <w:sz w:val="19"/>
          <w:szCs w:val="19"/>
          <w:lang w:val="es-ES"/>
        </w:rPr>
      </w:pPr>
      <w:r w:rsidRPr="00F807BA">
        <w:rPr>
          <w:rStyle w:val="Refdenotaalpie"/>
          <w:rFonts w:ascii="Arial" w:hAnsi="Arial" w:cs="Arial"/>
          <w:sz w:val="19"/>
          <w:szCs w:val="19"/>
        </w:rPr>
        <w:footnoteRef/>
      </w:r>
      <w:r w:rsidRPr="00F807BA">
        <w:rPr>
          <w:rStyle w:val="Refdenotaalpie"/>
          <w:rFonts w:ascii="Arial" w:hAnsi="Arial" w:cs="Arial"/>
          <w:color w:val="000000" w:themeColor="text1"/>
          <w:sz w:val="19"/>
          <w:szCs w:val="19"/>
        </w:rPr>
        <w:t xml:space="preserve"> </w:t>
      </w:r>
      <w:r w:rsidRPr="00F807BA">
        <w:rPr>
          <w:rFonts w:ascii="Arial" w:hAnsi="Arial" w:cs="Arial"/>
          <w:color w:val="000000" w:themeColor="text1"/>
          <w:sz w:val="19"/>
          <w:szCs w:val="19"/>
          <w:lang w:val="es-ES"/>
        </w:rPr>
        <w:t xml:space="preserve">«[…] A este respecto, cabe recordar que el artículo 860 del Código de Comercio regula la licitación en el derecho privado». </w:t>
      </w:r>
    </w:p>
  </w:footnote>
  <w:footnote w:id="17">
    <w:p w:rsidRPr="00F807BA" w:rsidR="0003362C" w:rsidP="00E31114" w:rsidRDefault="0003362C" w14:paraId="2738ABAE" w14:textId="77777777">
      <w:pPr>
        <w:shd w:val="clear" w:color="auto" w:fill="FFFFFF"/>
        <w:spacing w:after="0" w:line="240" w:lineRule="auto"/>
        <w:ind w:firstLine="709"/>
        <w:jc w:val="both"/>
        <w:rPr>
          <w:rFonts w:ascii="Arial" w:hAnsi="Arial" w:cs="Arial"/>
          <w:color w:val="000000" w:themeColor="text1"/>
          <w:sz w:val="19"/>
          <w:szCs w:val="19"/>
          <w:lang w:val="es-ES"/>
        </w:rPr>
      </w:pPr>
      <w:r w:rsidRPr="00F807BA">
        <w:rPr>
          <w:rStyle w:val="Refdenotaalpie"/>
          <w:rFonts w:ascii="Arial" w:hAnsi="Arial" w:cs="Arial"/>
          <w:sz w:val="19"/>
          <w:szCs w:val="19"/>
        </w:rPr>
        <w:footnoteRef/>
      </w:r>
      <w:r w:rsidRPr="00F807BA">
        <w:rPr>
          <w:rStyle w:val="Refdenotaalpie"/>
          <w:rFonts w:ascii="Arial" w:hAnsi="Arial" w:cs="Arial"/>
          <w:color w:val="000000" w:themeColor="text1"/>
          <w:sz w:val="19"/>
          <w:szCs w:val="19"/>
        </w:rPr>
        <w:t xml:space="preserve"> </w:t>
      </w:r>
      <w:r w:rsidRPr="00F807BA">
        <w:rPr>
          <w:rFonts w:ascii="Arial" w:hAnsi="Arial" w:cs="Arial"/>
          <w:color w:val="000000" w:themeColor="text1"/>
          <w:sz w:val="19"/>
          <w:szCs w:val="19"/>
          <w:lang w:val="es-ES"/>
        </w:rPr>
        <w:t>Consejo de Estado. Sala de Consulta y Servicio Civil, Concepto de 8 de mayo de 2018. Radicación Número: 11001-03-06-000-2018-00095-00(2382). Consejero Ponente: Álvaro Namén Vargas.</w:t>
      </w:r>
    </w:p>
  </w:footnote>
  <w:footnote w:id="18">
    <w:p w:rsidRPr="00F807BA" w:rsidR="0003362C" w:rsidP="00D7729F" w:rsidRDefault="0003362C" w14:paraId="73975D7D" w14:textId="29233A84">
      <w:pPr>
        <w:pStyle w:val="Textonotapie"/>
        <w:spacing w:after="0" w:line="240" w:lineRule="auto"/>
        <w:ind w:firstLine="709"/>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Consejo de Estado. Sala de Consulta y Servicio Civil. Concepto del 08 de mayo de 2018. Exp. 2.382. C.P. Álvaro Namén Vargas.</w:t>
      </w:r>
    </w:p>
  </w:footnote>
  <w:footnote w:id="19">
    <w:p w:rsidRPr="00F807BA" w:rsidR="0003362C" w:rsidP="00E31114" w:rsidRDefault="0003362C" w14:paraId="10EA8AAF" w14:textId="77777777">
      <w:pPr>
        <w:pStyle w:val="Textonotapie"/>
        <w:spacing w:after="0" w:line="240" w:lineRule="auto"/>
        <w:ind w:firstLine="709"/>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Cfr. Concepto C-757 del 30 de diciembre de 2021.</w:t>
      </w:r>
    </w:p>
  </w:footnote>
  <w:footnote w:id="20">
    <w:p w:rsidRPr="00F807BA" w:rsidR="0003362C" w:rsidP="00D7729F" w:rsidRDefault="0003362C" w14:paraId="2849164A" w14:textId="47889C1D">
      <w:pPr>
        <w:pStyle w:val="Textonotapie"/>
        <w:spacing w:after="0" w:line="240" w:lineRule="auto"/>
        <w:ind w:firstLine="709"/>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1">
    <w:p w:rsidRPr="00F807BA" w:rsidR="0003362C" w:rsidP="00DB3852" w:rsidRDefault="0003362C" w14:paraId="7E29E2C2" w14:textId="4EEFA848">
      <w:pPr>
        <w:spacing w:after="0" w:line="240" w:lineRule="auto"/>
        <w:ind w:firstLine="709"/>
        <w:jc w:val="both"/>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rsidRPr="00F807BA" w:rsidR="0003362C" w:rsidP="00DB3852" w:rsidRDefault="0003362C" w14:paraId="519B582A" w14:textId="5B17AB05">
      <w:pPr>
        <w:pStyle w:val="Textonotapie"/>
        <w:spacing w:after="0" w:line="240" w:lineRule="auto"/>
        <w:ind w:firstLine="709"/>
        <w:rPr>
          <w:rFonts w:ascii="Arial" w:hAnsi="Arial" w:cs="Arial"/>
          <w:color w:val="000000" w:themeColor="text1"/>
          <w:sz w:val="19"/>
          <w:szCs w:val="19"/>
          <w:lang w:val="es-CO"/>
        </w:rPr>
      </w:pPr>
      <w:r w:rsidRPr="00F807BA">
        <w:rPr>
          <w:rStyle w:val="Refdenotaalpie"/>
          <w:rFonts w:ascii="Arial" w:hAnsi="Arial" w:cs="Arial"/>
          <w:sz w:val="19"/>
          <w:szCs w:val="19"/>
        </w:rPr>
        <w:footnoteRef/>
      </w:r>
      <w:r w:rsidRPr="00F807BA">
        <w:rPr>
          <w:rFonts w:ascii="Arial" w:hAnsi="Arial" w:cs="Arial"/>
          <w:color w:val="000000" w:themeColor="text1"/>
          <w:sz w:val="19"/>
          <w:szCs w:val="19"/>
          <w:lang w:val="es-CO"/>
        </w:rPr>
        <w:t xml:space="preserve"> FIGUEROA U. Organismos internacionales. 2ª edición. Santiago de Chile: Editorial RIL editores, 2010.</w:t>
      </w:r>
    </w:p>
  </w:footnote>
  <w:footnote w:id="23">
    <w:p w:rsidRPr="00F807BA" w:rsidR="0003362C" w:rsidP="00E31114" w:rsidRDefault="0003362C" w14:paraId="4F9217ED" w14:textId="77777777">
      <w:pPr>
        <w:pStyle w:val="NormalWeb"/>
        <w:spacing w:before="0" w:beforeAutospacing="0" w:after="0" w:afterAutospacing="0" w:line="240" w:lineRule="auto"/>
        <w:ind w:firstLine="709"/>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Ley 80 de 1993: «Artículo 13. De la normatividad aplicable a los contratos estatales. Los contratos que celebren las entidades a que se refiere el artículo </w:t>
      </w:r>
      <w:hyperlink w:history="1" w:anchor="2" r:id="rId1">
        <w:r w:rsidRPr="00F807BA">
          <w:rPr>
            <w:rStyle w:val="Hipervnculo"/>
            <w:rFonts w:ascii="Arial" w:hAnsi="Arial" w:cs="Arial"/>
            <w:color w:val="000000" w:themeColor="text1"/>
            <w:sz w:val="19"/>
            <w:szCs w:val="19"/>
          </w:rPr>
          <w:t>2</w:t>
        </w:r>
      </w:hyperlink>
      <w:r w:rsidRPr="00F807BA">
        <w:rPr>
          <w:rFonts w:ascii="Arial" w:hAnsi="Arial" w:cs="Arial"/>
          <w:color w:val="000000" w:themeColor="text1"/>
          <w:sz w:val="19"/>
          <w:szCs w:val="19"/>
        </w:rPr>
        <w:t>o. del presente estatuto se regirán por las disposiciones comerciales y civiles pertinentes, salvo en las materias particularmente reguladas en esta ley.</w:t>
      </w:r>
    </w:p>
    <w:p w:rsidRPr="00F807BA" w:rsidR="0003362C" w:rsidP="00E31114" w:rsidRDefault="0003362C" w14:paraId="32ACC2AE" w14:textId="77777777">
      <w:pPr>
        <w:pStyle w:val="NormalWeb"/>
        <w:spacing w:before="0" w:beforeAutospacing="0" w:after="0" w:afterAutospacing="0" w:line="240" w:lineRule="auto"/>
        <w:ind w:firstLine="709"/>
        <w:rPr>
          <w:rFonts w:ascii="Arial" w:hAnsi="Arial" w:cs="Arial"/>
          <w:color w:val="000000" w:themeColor="text1"/>
          <w:sz w:val="19"/>
          <w:szCs w:val="19"/>
        </w:rPr>
      </w:pPr>
      <w:r w:rsidRPr="00F807BA">
        <w:rPr>
          <w:rFonts w:ascii="Arial" w:hAnsi="Arial" w:cs="Arial"/>
          <w:color w:val="000000" w:themeColor="text1"/>
          <w:sz w:val="19"/>
          <w:szCs w:val="19"/>
        </w:rPr>
        <w:t>»Los contratos celebrados en el exterior se podrán regir en su ejecución por las reglas del país en donde se hayan suscrito, a menos que deban cumplirse en Colombia»</w:t>
      </w:r>
    </w:p>
    <w:p w:rsidRPr="00F807BA" w:rsidR="0003362C" w:rsidP="00DB3852" w:rsidRDefault="0003362C" w14:paraId="4ECCB719" w14:textId="3608C8FE">
      <w:pPr>
        <w:pStyle w:val="NormalWeb"/>
        <w:spacing w:before="0" w:beforeAutospacing="0" w:after="0" w:afterAutospacing="0" w:line="240" w:lineRule="auto"/>
        <w:ind w:firstLine="709"/>
        <w:rPr>
          <w:rFonts w:ascii="Arial" w:hAnsi="Arial" w:cs="Arial"/>
          <w:color w:val="000000" w:themeColor="text1"/>
          <w:sz w:val="19"/>
          <w:szCs w:val="19"/>
        </w:rPr>
      </w:pPr>
      <w:r w:rsidRPr="00F807BA">
        <w:rPr>
          <w:rFonts w:ascii="Arial" w:hAnsi="Arial" w:cs="Arial"/>
          <w:color w:val="000000" w:themeColor="text1"/>
          <w:sz w:val="19"/>
          <w:szCs w:val="19"/>
        </w:rPr>
        <w:t>»Los contratos que se celebren en Colombia y deban ejecutarse o cumplirse en el extranjero, podrán someterse a la ley extranjera».</w:t>
      </w:r>
    </w:p>
  </w:footnote>
  <w:footnote w:id="24">
    <w:p w:rsidRPr="00F807BA" w:rsidR="0003362C" w:rsidP="00DB3852" w:rsidRDefault="0003362C" w14:paraId="716D389A" w14:textId="0A137A83">
      <w:pPr>
        <w:pStyle w:val="Textonotapie"/>
        <w:spacing w:after="0" w:line="240" w:lineRule="auto"/>
        <w:ind w:firstLine="709"/>
        <w:rPr>
          <w:rFonts w:ascii="Arial" w:hAnsi="Arial" w:cs="Arial"/>
          <w:color w:val="000000" w:themeColor="text1"/>
          <w:sz w:val="19"/>
          <w:szCs w:val="19"/>
          <w:lang w:val="es-ES_tradnl"/>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Consejo de Estado. Sección Tercera, Subsección C. Sentencia del 26 de noviembre de 2015. </w:t>
      </w:r>
      <w:r w:rsidRPr="00F807BA">
        <w:rPr>
          <w:rFonts w:ascii="Arial" w:hAnsi="Arial" w:cs="Arial"/>
          <w:color w:val="000000" w:themeColor="text1"/>
          <w:sz w:val="19"/>
          <w:szCs w:val="19"/>
          <w:lang w:val="es-ES_tradnl"/>
        </w:rPr>
        <w:t xml:space="preserve">Exp. </w:t>
      </w:r>
      <w:r w:rsidRPr="00F807BA">
        <w:rPr>
          <w:rFonts w:ascii="Arial" w:hAnsi="Arial" w:cs="Arial"/>
          <w:color w:val="000000" w:themeColor="text1"/>
          <w:sz w:val="19"/>
          <w:szCs w:val="19"/>
          <w:lang w:val="es-CO"/>
        </w:rPr>
        <w:t xml:space="preserve">54.069. C.P Jaime Orlando Santofimio Gamboa. </w:t>
      </w:r>
    </w:p>
  </w:footnote>
  <w:footnote w:id="25">
    <w:p w:rsidRPr="00F807BA" w:rsidR="0003362C" w:rsidP="00DB3852" w:rsidRDefault="0003362C" w14:paraId="4A2DABC3" w14:textId="284FBCF2">
      <w:pPr>
        <w:pStyle w:val="Textonotapie"/>
        <w:spacing w:after="0" w:line="240" w:lineRule="auto"/>
        <w:ind w:firstLine="709"/>
        <w:rPr>
          <w:rFonts w:ascii="Arial" w:hAnsi="Arial" w:cs="Arial"/>
          <w:color w:val="000000" w:themeColor="text1"/>
          <w:sz w:val="19"/>
          <w:szCs w:val="19"/>
          <w:lang w:eastAsia="es-CO"/>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w:t>
      </w:r>
      <w:r w:rsidRPr="00F807BA">
        <w:rPr>
          <w:rFonts w:ascii="Arial" w:hAnsi="Arial" w:cs="Arial"/>
          <w:color w:val="000000" w:themeColor="text1"/>
          <w:sz w:val="19"/>
          <w:szCs w:val="19"/>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footnote>
  <w:footnote w:id="26">
    <w:p w:rsidRPr="00F807BA" w:rsidR="0003362C" w:rsidP="00E31114" w:rsidRDefault="0003362C" w14:paraId="55233919" w14:textId="77777777">
      <w:pPr>
        <w:pStyle w:val="NormalWeb"/>
        <w:spacing w:before="0" w:beforeAutospacing="0" w:after="0" w:afterAutospacing="0" w:line="240" w:lineRule="auto"/>
        <w:ind w:firstLine="709"/>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Ley 1150 de 2007. «Artículo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de 1993. Los recursos de contrapartida vinculados a estas operaciones podrán tener el mismo tratamiento.</w:t>
      </w:r>
    </w:p>
    <w:p w:rsidRPr="00F807BA" w:rsidR="0003362C" w:rsidP="00E31114" w:rsidRDefault="0003362C" w14:paraId="43524514" w14:textId="77777777">
      <w:pPr>
        <w:pStyle w:val="NormalWeb"/>
        <w:spacing w:before="0" w:beforeAutospacing="0" w:after="0" w:afterAutospacing="0" w:line="240" w:lineRule="auto"/>
        <w:ind w:firstLine="709"/>
        <w:rPr>
          <w:rFonts w:ascii="Arial" w:hAnsi="Arial" w:cs="Arial"/>
          <w:color w:val="000000" w:themeColor="text1"/>
          <w:sz w:val="19"/>
          <w:szCs w:val="19"/>
        </w:rPr>
      </w:pPr>
      <w:r w:rsidRPr="00F807BA">
        <w:rPr>
          <w:rFonts w:ascii="Arial" w:hAnsi="Arial" w:cs="Arial"/>
          <w:color w:val="000000" w:themeColor="text1"/>
          <w:sz w:val="19"/>
          <w:szCs w:val="19"/>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rsidRPr="00F807BA" w:rsidR="0003362C" w:rsidP="00E31114" w:rsidRDefault="0003362C" w14:paraId="4630F7AB" w14:textId="77777777">
      <w:pPr>
        <w:pStyle w:val="NormalWeb"/>
        <w:spacing w:before="0" w:beforeAutospacing="0" w:after="0" w:afterAutospacing="0" w:line="240" w:lineRule="auto"/>
        <w:ind w:firstLine="709"/>
        <w:rPr>
          <w:rFonts w:ascii="Arial" w:hAnsi="Arial" w:cs="Arial"/>
          <w:color w:val="000000" w:themeColor="text1"/>
          <w:sz w:val="19"/>
          <w:szCs w:val="19"/>
        </w:rPr>
      </w:pPr>
      <w:r w:rsidRPr="00F807BA">
        <w:rPr>
          <w:rFonts w:ascii="Arial" w:hAnsi="Arial" w:cs="Arial"/>
          <w:color w:val="000000" w:themeColor="text1"/>
          <w:sz w:val="19"/>
          <w:szCs w:val="19"/>
        </w:rPr>
        <w:t>»Las entidades estatales no podrán celebrar contratos o convenios para la administración o gerencia de sus recursos propios o de aquellos que les asignen los presupuestos públicos, con organismos de cooperación, asistencia o ayuda internacional.</w:t>
      </w:r>
    </w:p>
    <w:p w:rsidRPr="00F807BA" w:rsidR="0003362C" w:rsidP="00E31114" w:rsidRDefault="0003362C" w14:paraId="5F9A2812" w14:textId="77777777">
      <w:pPr>
        <w:pStyle w:val="NormalWeb"/>
        <w:spacing w:before="0" w:beforeAutospacing="0" w:after="0" w:afterAutospacing="0" w:line="240" w:lineRule="auto"/>
        <w:ind w:firstLine="709"/>
        <w:rPr>
          <w:rFonts w:ascii="Arial" w:hAnsi="Arial" w:cs="Arial"/>
          <w:color w:val="000000" w:themeColor="text1"/>
          <w:sz w:val="19"/>
          <w:szCs w:val="19"/>
        </w:rPr>
      </w:pPr>
      <w:r w:rsidRPr="00F807BA">
        <w:rPr>
          <w:rFonts w:ascii="Arial" w:hAnsi="Arial" w:cs="Arial"/>
          <w:color w:val="000000" w:themeColor="text1"/>
          <w:sz w:val="19"/>
          <w:szCs w:val="19"/>
        </w:rPr>
        <w:t>»</w:t>
      </w:r>
      <w:r w:rsidRPr="00F807BA">
        <w:rPr>
          <w:rStyle w:val="baj"/>
          <w:rFonts w:ascii="Arial" w:hAnsi="Arial" w:cs="Arial"/>
          <w:color w:val="000000" w:themeColor="text1"/>
          <w:sz w:val="19"/>
          <w:szCs w:val="19"/>
        </w:rPr>
        <w:t>PARÁGRAFO 1o.</w:t>
      </w:r>
      <w:r w:rsidRPr="00F807BA">
        <w:rPr>
          <w:rFonts w:ascii="Arial" w:hAnsi="Arial" w:cs="Arial"/>
          <w:color w:val="000000" w:themeColor="text1"/>
          <w:sz w:val="19"/>
          <w:szCs w:val="19"/>
        </w:rPr>
        <w:t> Los contratos o acuerdos celebrados con personas extranjeras de derecho público, podrán someterse a las reglas de tales organismos.</w:t>
      </w:r>
    </w:p>
    <w:p w:rsidRPr="00F807BA" w:rsidR="0003362C" w:rsidP="00E31114" w:rsidRDefault="0003362C" w14:paraId="38002949" w14:textId="77777777">
      <w:pPr>
        <w:pStyle w:val="NormalWeb"/>
        <w:spacing w:before="0" w:beforeAutospacing="0" w:after="0" w:afterAutospacing="0" w:line="240" w:lineRule="auto"/>
        <w:ind w:firstLine="709"/>
        <w:rPr>
          <w:rFonts w:ascii="Arial" w:hAnsi="Arial" w:cs="Arial"/>
          <w:color w:val="000000" w:themeColor="text1"/>
          <w:sz w:val="19"/>
          <w:szCs w:val="19"/>
        </w:rPr>
      </w:pPr>
      <w:r w:rsidRPr="00F807BA">
        <w:rPr>
          <w:rFonts w:ascii="Arial" w:hAnsi="Arial" w:cs="Arial"/>
          <w:color w:val="000000" w:themeColor="text1"/>
          <w:sz w:val="19"/>
          <w:szCs w:val="19"/>
        </w:rPr>
        <w:t>»</w:t>
      </w:r>
      <w:r w:rsidRPr="00F807BA">
        <w:rPr>
          <w:rStyle w:val="baj"/>
          <w:rFonts w:ascii="Arial" w:hAnsi="Arial" w:cs="Arial"/>
          <w:color w:val="000000" w:themeColor="text1"/>
          <w:sz w:val="19"/>
          <w:szCs w:val="19"/>
        </w:rPr>
        <w:t>PARÁGRAFO 2o.</w:t>
      </w:r>
      <w:r w:rsidRPr="00F807BA">
        <w:rPr>
          <w:rFonts w:ascii="Arial" w:hAnsi="Arial" w:cs="Arial"/>
          <w:color w:val="000000" w:themeColor="text1"/>
          <w:sz w:val="19"/>
          <w:szCs w:val="19"/>
        </w:rPr>
        <w:t> Las entidades estatales tendrán la obligación de reportar la información a los organismos de control y al Secop relativa a la ejecución de los contratos a los que se refiere el presente artículo.</w:t>
      </w:r>
    </w:p>
    <w:p w:rsidRPr="00F807BA" w:rsidR="0003362C" w:rsidP="00DB3852" w:rsidRDefault="0003362C" w14:paraId="250C9188" w14:textId="16106316">
      <w:pPr>
        <w:pStyle w:val="NormalWeb"/>
        <w:spacing w:before="0" w:beforeAutospacing="0" w:after="0" w:afterAutospacing="0" w:line="240" w:lineRule="auto"/>
        <w:ind w:firstLine="709"/>
        <w:rPr>
          <w:rFonts w:ascii="Arial" w:hAnsi="Arial" w:cs="Arial"/>
          <w:color w:val="000000" w:themeColor="text1"/>
          <w:sz w:val="19"/>
          <w:szCs w:val="19"/>
        </w:rPr>
      </w:pPr>
      <w:r w:rsidRPr="00F807BA">
        <w:rPr>
          <w:rFonts w:ascii="Arial" w:hAnsi="Arial" w:cs="Arial"/>
          <w:color w:val="000000" w:themeColor="text1"/>
          <w:sz w:val="19"/>
          <w:szCs w:val="19"/>
        </w:rPr>
        <w:t>»</w:t>
      </w:r>
      <w:r w:rsidRPr="00F807BA">
        <w:rPr>
          <w:rStyle w:val="baj"/>
          <w:rFonts w:ascii="Arial" w:hAnsi="Arial" w:cs="Arial"/>
          <w:color w:val="000000" w:themeColor="text1"/>
          <w:sz w:val="19"/>
          <w:szCs w:val="19"/>
        </w:rPr>
        <w:t>PARÁGRAFO 3o.</w:t>
      </w:r>
      <w:r w:rsidRPr="00F807BA">
        <w:rPr>
          <w:rFonts w:ascii="Arial" w:hAnsi="Arial" w:cs="Arial"/>
          <w:color w:val="000000" w:themeColor="text1"/>
          <w:sz w:val="19"/>
          <w:szCs w:val="19"/>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footnote>
  <w:footnote w:id="27">
    <w:p w:rsidRPr="00F807BA" w:rsidR="0003362C" w:rsidP="00E31114" w:rsidRDefault="0003362C" w14:paraId="6E37D210" w14:textId="77777777">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Decreto 1082 de 2015. «Artículo </w:t>
      </w:r>
      <w:r w:rsidRPr="00F807BA">
        <w:rPr>
          <w:rStyle w:val="Textoennegrita"/>
          <w:rFonts w:ascii="Arial" w:hAnsi="Arial" w:cs="Arial"/>
          <w:color w:val="000000" w:themeColor="text1"/>
          <w:sz w:val="19"/>
          <w:szCs w:val="19"/>
        </w:rPr>
        <w:t>2.2.1.2.4.4.1. </w:t>
      </w:r>
      <w:r w:rsidRPr="00F807BA">
        <w:rPr>
          <w:rStyle w:val="nfasis"/>
          <w:rFonts w:ascii="Arial" w:hAnsi="Arial" w:cs="Arial"/>
          <w:color w:val="000000" w:themeColor="text1"/>
          <w:sz w:val="19"/>
          <w:szCs w:val="19"/>
        </w:rPr>
        <w:t>Régimen aplicable a los contratos o convenios de cooperación Internacional. </w:t>
      </w:r>
      <w:r w:rsidRPr="00F807BA">
        <w:rPr>
          <w:rFonts w:ascii="Arial" w:hAnsi="Arial" w:cs="Arial"/>
          <w:color w:val="000000" w:themeColor="text1"/>
          <w:sz w:val="19"/>
          <w:szCs w:val="19"/>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rsidRPr="00F807BA" w:rsidR="0003362C" w:rsidP="00E31114" w:rsidRDefault="0003362C" w14:paraId="6E82B0D6" w14:textId="77777777">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r w:rsidRPr="00F807BA">
        <w:rPr>
          <w:rFonts w:ascii="Arial" w:hAnsi="Arial" w:cs="Arial"/>
          <w:color w:val="000000" w:themeColor="text1"/>
          <w:sz w:val="19"/>
          <w:szCs w:val="19"/>
        </w:rPr>
        <w:t>»</w:t>
      </w:r>
      <w:r w:rsidRPr="00F807BA">
        <w:rPr>
          <w:rFonts w:ascii="Arial" w:hAnsi="Arial" w:cs="Arial"/>
          <w:i/>
          <w:iCs/>
          <w:color w:val="000000" w:themeColor="text1"/>
          <w:sz w:val="19"/>
          <w:szCs w:val="19"/>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F807BA">
        <w:rPr>
          <w:rFonts w:ascii="Arial" w:hAnsi="Arial" w:cs="Arial"/>
          <w:color w:val="000000" w:themeColor="text1"/>
          <w:sz w:val="19"/>
          <w:szCs w:val="19"/>
        </w:rPr>
        <w:t>.</w:t>
      </w:r>
    </w:p>
    <w:p w:rsidRPr="00F807BA" w:rsidR="0003362C" w:rsidP="00E31114" w:rsidRDefault="0003362C" w14:paraId="26C6F9DB" w14:textId="77777777">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r w:rsidRPr="00F807BA">
        <w:rPr>
          <w:rFonts w:ascii="Arial" w:hAnsi="Arial" w:cs="Arial"/>
          <w:color w:val="000000" w:themeColor="text1"/>
          <w:sz w:val="19"/>
          <w:szCs w:val="19"/>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rsidRPr="00F807BA" w:rsidR="0003362C" w:rsidP="00E31114" w:rsidRDefault="0003362C" w14:paraId="3A6C00A1" w14:textId="77777777">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r w:rsidRPr="00F807BA">
        <w:rPr>
          <w:rFonts w:ascii="Arial" w:hAnsi="Arial" w:cs="Arial"/>
          <w:color w:val="000000" w:themeColor="text1"/>
          <w:sz w:val="19"/>
          <w:szCs w:val="19"/>
        </w:rPr>
        <w:t>»Los recursos generados en desarrollo de los contratos o convenios financiados con fondos de los organismos de cooperación, asistencia o ayudas internacionales no deben ser tenidos en cuenta para determinar los porcentajes de los aportes de las partes». (Cursiva fuera del original).</w:t>
      </w:r>
    </w:p>
    <w:p w:rsidRPr="00F807BA" w:rsidR="0003362C" w:rsidP="00E31114" w:rsidRDefault="0003362C" w14:paraId="5C60F18F" w14:textId="77777777">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r w:rsidRPr="00F807BA">
        <w:rPr>
          <w:rFonts w:ascii="Arial" w:hAnsi="Arial" w:cs="Arial"/>
          <w:color w:val="000000" w:themeColor="text1"/>
          <w:sz w:val="19"/>
          <w:szCs w:val="19"/>
        </w:rPr>
        <w:t>»Los contratos o convenios financiados con fondos de los organismos multilaterales de crédito, entes gubernamentales extranjeros o personas extranjeras de derecho público, así como aquellos a los que se refiere el inciso 2 del artículo 20 de la </w:t>
      </w:r>
      <w:hyperlink w:history="1" r:id="rId2">
        <w:r w:rsidRPr="00F807BA">
          <w:rPr>
            <w:rStyle w:val="Hipervnculo"/>
            <w:rFonts w:ascii="Arial" w:hAnsi="Arial" w:cs="Arial"/>
            <w:color w:val="000000" w:themeColor="text1"/>
            <w:sz w:val="19"/>
            <w:szCs w:val="19"/>
          </w:rPr>
          <w:t>Ley 1150 de 2007</w:t>
        </w:r>
      </w:hyperlink>
      <w:r w:rsidRPr="00F807BA">
        <w:rPr>
          <w:rFonts w:ascii="Arial" w:hAnsi="Arial" w:cs="Arial"/>
          <w:color w:val="000000" w:themeColor="text1"/>
          <w:sz w:val="19"/>
          <w:szCs w:val="19"/>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hyperlink w:history="1" r:id="rId3">
        <w:r w:rsidRPr="00F807BA">
          <w:rPr>
            <w:rStyle w:val="Hipervnculo"/>
            <w:rFonts w:ascii="Arial" w:hAnsi="Arial" w:cs="Arial"/>
            <w:color w:val="000000" w:themeColor="text1"/>
            <w:sz w:val="19"/>
            <w:szCs w:val="19"/>
          </w:rPr>
          <w:t> Ley 1150 de 2007</w:t>
        </w:r>
      </w:hyperlink>
      <w:r w:rsidRPr="00F807BA">
        <w:rPr>
          <w:rFonts w:ascii="Arial" w:hAnsi="Arial" w:cs="Arial"/>
          <w:color w:val="000000" w:themeColor="text1"/>
          <w:sz w:val="19"/>
          <w:szCs w:val="19"/>
        </w:rPr>
        <w:t>.</w:t>
      </w:r>
    </w:p>
    <w:p w:rsidRPr="00F807BA" w:rsidR="0003362C" w:rsidP="00DB3852" w:rsidRDefault="0003362C" w14:paraId="7946B79E" w14:textId="0DB60E4C">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r w:rsidRPr="00F807BA">
        <w:rPr>
          <w:rFonts w:ascii="Arial" w:hAnsi="Arial" w:cs="Arial"/>
          <w:color w:val="000000" w:themeColor="text1"/>
          <w:sz w:val="19"/>
          <w:szCs w:val="19"/>
        </w:rPr>
        <w:t>»Los contratos con personas extranjeras de derecho público se deben celebrar y ejecutar según se acuerde entre las partes».</w:t>
      </w:r>
    </w:p>
  </w:footnote>
  <w:footnote w:id="28">
    <w:p w:rsidRPr="00F807BA" w:rsidR="0003362C" w:rsidP="00DB3852" w:rsidRDefault="0003362C" w14:paraId="5D360B2D" w14:textId="1C4F4224">
      <w:pPr>
        <w:pStyle w:val="Textonotapie"/>
        <w:spacing w:after="0" w:line="240" w:lineRule="auto"/>
        <w:ind w:firstLine="709"/>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JOJOA BOLAÑOS, Alexander. Los regímenes exceptuados en los contratos estatales. Bogotá: Grupo Editorial Ibáñez, 2012. p. 138 y ss.</w:t>
      </w:r>
    </w:p>
  </w:footnote>
  <w:footnote w:id="29">
    <w:p w:rsidRPr="00F807BA" w:rsidR="0003362C" w:rsidP="00DB3852" w:rsidRDefault="0003362C" w14:paraId="281E5245" w14:textId="27A93253">
      <w:pPr>
        <w:pStyle w:val="Textonotapie"/>
        <w:spacing w:after="0" w:line="240" w:lineRule="auto"/>
        <w:ind w:firstLine="709"/>
        <w:rPr>
          <w:rFonts w:ascii="Arial" w:hAnsi="Arial" w:cs="Arial"/>
          <w:color w:val="000000" w:themeColor="text1"/>
          <w:sz w:val="19"/>
          <w:szCs w:val="19"/>
          <w:lang w:val="es-CO"/>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BARRETO MORENO, Antonio Alejandro. El derecho de la compra pública: estudio jurídico de un mercado imperfecto. Bogotá: Legis, 2019. pp. 247 y 248. En este sentido, DÀVILA VINUEZA agrega que «</w:t>
      </w:r>
      <w:r w:rsidRPr="00F807BA">
        <w:rPr>
          <w:rFonts w:ascii="Arial" w:hAnsi="Arial" w:cs="Arial"/>
          <w:color w:val="000000" w:themeColor="text1"/>
          <w:sz w:val="19"/>
          <w:szCs w:val="19"/>
          <w:lang w:val="es-CO"/>
        </w:rPr>
        <w:t xml:space="preserve">La modificación insertada [por el artículo 20 de la Ley 1150 de 2007] es muy clara en el sentido de que se admite contratar con organismos de cooperación, asistencia o ayuda internacionales de manera directa para que se ejecute un contrato no sometido a la Ley 80 sino a sus reglamentos internos, si y solo sí los recursos provenientes para su pago, sean del propio organismo en por lo menos más del 50% de su valor. Con tal fin, se deben cuantificar moneda colombiana incluso los aportes que se hagan en especie» (Cfr. </w:t>
      </w:r>
      <w:r w:rsidRPr="00F807BA">
        <w:rPr>
          <w:rFonts w:ascii="Arial" w:hAnsi="Arial" w:cs="Arial"/>
          <w:color w:val="000000" w:themeColor="text1"/>
          <w:sz w:val="19"/>
          <w:szCs w:val="19"/>
        </w:rPr>
        <w:t>DÀVILA VINUEZA, Luis Guillermo. Régimen jurídico de la contratación estatal. Tercera edición. Bogotá: Legis, 2016.</w:t>
      </w:r>
      <w:r w:rsidRPr="00F807BA">
        <w:rPr>
          <w:rFonts w:ascii="Arial" w:hAnsi="Arial" w:cs="Arial"/>
          <w:color w:val="000000" w:themeColor="text1"/>
          <w:sz w:val="19"/>
          <w:szCs w:val="19"/>
          <w:lang w:val="es-CO"/>
        </w:rPr>
        <w:t xml:space="preserve"> p. 59. Corchetes fuera de texto).</w:t>
      </w:r>
    </w:p>
  </w:footnote>
  <w:footnote w:id="30">
    <w:p w:rsidRPr="00F807BA" w:rsidR="0003362C" w:rsidP="00DB3852" w:rsidRDefault="0003362C" w14:paraId="71A1C425" w14:textId="20FC6C6D">
      <w:pPr>
        <w:pStyle w:val="Textonotapie"/>
        <w:spacing w:after="0" w:line="240" w:lineRule="auto"/>
        <w:ind w:firstLine="709"/>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CONSEJO DE ESTADO. Sala de Consulta y Servicio Civil. Concepto del 27 de abril de 2006. Rad:1712. C.P. Enrique José Arboleda Perdomo.</w:t>
      </w:r>
    </w:p>
  </w:footnote>
  <w:footnote w:id="31">
    <w:p w:rsidRPr="00F807BA" w:rsidR="00B8105E" w:rsidP="00197BF1" w:rsidRDefault="00B8105E" w14:paraId="692D1A2E" w14:textId="0EBC553E">
      <w:pPr>
        <w:pStyle w:val="Textonotapie"/>
        <w:spacing w:after="0" w:line="240" w:lineRule="auto"/>
        <w:ind w:firstLine="708"/>
        <w:rPr>
          <w:rFonts w:ascii="Arial" w:hAnsi="Arial" w:cs="Arial"/>
          <w:sz w:val="19"/>
          <w:szCs w:val="19"/>
          <w:lang w:val="es-CO"/>
        </w:rPr>
      </w:pPr>
      <w:r w:rsidRPr="00F807BA">
        <w:rPr>
          <w:rStyle w:val="Refdenotaalpie"/>
          <w:rFonts w:ascii="Arial" w:hAnsi="Arial" w:cs="Arial"/>
          <w:sz w:val="19"/>
          <w:szCs w:val="19"/>
        </w:rPr>
        <w:footnoteRef/>
      </w:r>
      <w:r w:rsidRPr="00F807BA">
        <w:rPr>
          <w:rFonts w:ascii="Arial" w:hAnsi="Arial" w:cs="Arial"/>
          <w:sz w:val="19"/>
          <w:szCs w:val="19"/>
        </w:rPr>
        <w:t xml:space="preserve"> Si bien en el Concepto 1724 del 20 de febrero de 2006, la Sala de Consulta y Servicio Civil del Consejo de Estado consideró que «[…] </w:t>
      </w:r>
      <w:r w:rsidRPr="00F807BA">
        <w:rPr>
          <w:rFonts w:ascii="Arial" w:hAnsi="Arial" w:cs="Arial"/>
          <w:sz w:val="19"/>
          <w:szCs w:val="19"/>
          <w:lang w:val="es-CO"/>
        </w:rPr>
        <w:t xml:space="preserve">el Estado Colombiano a través de sus entidades públicas durante el período transitorio fijado en la ley 996 de 2005, puede celebrar convenios de cooperación o ayuda cuando no exista contrapartida nacional o dicha contrapartida se pacte en términos de servicios o en especie, es decir, que no se comprometan desembolsos presupuestales», es necesario tener en cuenta </w:t>
      </w:r>
      <w:r w:rsidRPr="00F807BA" w:rsidR="00063C86">
        <w:rPr>
          <w:rFonts w:ascii="Arial" w:hAnsi="Arial" w:cs="Arial"/>
          <w:sz w:val="19"/>
          <w:szCs w:val="19"/>
          <w:lang w:val="es-CO"/>
        </w:rPr>
        <w:t>esta doctrina</w:t>
      </w:r>
      <w:r w:rsidRPr="00F807BA">
        <w:rPr>
          <w:rFonts w:ascii="Arial" w:hAnsi="Arial" w:cs="Arial"/>
          <w:sz w:val="19"/>
          <w:szCs w:val="19"/>
          <w:lang w:val="es-CO"/>
        </w:rPr>
        <w:t xml:space="preserve"> es anterior al artículo 20 de la Ley 1150 de 2007</w:t>
      </w:r>
      <w:r w:rsidRPr="00F807BA" w:rsidR="00CA18E1">
        <w:rPr>
          <w:rFonts w:ascii="Arial" w:hAnsi="Arial" w:cs="Arial"/>
          <w:sz w:val="19"/>
          <w:szCs w:val="19"/>
          <w:lang w:val="es-CO"/>
        </w:rPr>
        <w:t>. En este contexto,</w:t>
      </w:r>
      <w:r w:rsidRPr="00F807BA">
        <w:rPr>
          <w:rFonts w:ascii="Arial" w:hAnsi="Arial" w:cs="Arial"/>
          <w:sz w:val="19"/>
          <w:szCs w:val="19"/>
          <w:lang w:val="es-CO"/>
        </w:rPr>
        <w:t xml:space="preserve"> no es un referente adecuado para interpretar el alcance </w:t>
      </w:r>
      <w:r w:rsidRPr="00F807BA" w:rsidR="00197BF1">
        <w:rPr>
          <w:rFonts w:ascii="Arial" w:hAnsi="Arial" w:cs="Arial"/>
          <w:sz w:val="19"/>
          <w:szCs w:val="19"/>
          <w:lang w:val="es-CO"/>
        </w:rPr>
        <w:t>de esta</w:t>
      </w:r>
      <w:r w:rsidRPr="00F807BA" w:rsidR="00063C86">
        <w:rPr>
          <w:rFonts w:ascii="Arial" w:hAnsi="Arial" w:cs="Arial"/>
          <w:sz w:val="19"/>
          <w:szCs w:val="19"/>
          <w:lang w:val="es-CO"/>
        </w:rPr>
        <w:t xml:space="preserve"> última</w:t>
      </w:r>
      <w:r w:rsidRPr="00F807BA" w:rsidR="00197BF1">
        <w:rPr>
          <w:rFonts w:ascii="Arial" w:hAnsi="Arial" w:cs="Arial"/>
          <w:sz w:val="19"/>
          <w:szCs w:val="19"/>
          <w:lang w:val="es-CO"/>
        </w:rPr>
        <w:t xml:space="preserve"> disposición</w:t>
      </w:r>
      <w:r w:rsidRPr="00F807BA">
        <w:rPr>
          <w:rFonts w:ascii="Arial" w:hAnsi="Arial" w:cs="Arial"/>
          <w:sz w:val="19"/>
          <w:szCs w:val="19"/>
          <w:lang w:val="es-CO"/>
        </w:rPr>
        <w:t xml:space="preserve">, </w:t>
      </w:r>
      <w:r w:rsidRPr="00F807BA" w:rsidR="00CA18E1">
        <w:rPr>
          <w:rFonts w:ascii="Arial" w:hAnsi="Arial" w:cs="Arial"/>
          <w:sz w:val="19"/>
          <w:szCs w:val="19"/>
          <w:lang w:val="es-CO"/>
        </w:rPr>
        <w:t>especialmente, cuando</w:t>
      </w:r>
      <w:r w:rsidRPr="00F807BA">
        <w:rPr>
          <w:rFonts w:ascii="Arial" w:hAnsi="Arial" w:cs="Arial"/>
          <w:sz w:val="19"/>
          <w:szCs w:val="19"/>
          <w:lang w:val="es-CO"/>
        </w:rPr>
        <w:t xml:space="preserve"> </w:t>
      </w:r>
      <w:r w:rsidRPr="00F807BA" w:rsidR="00CA18E1">
        <w:rPr>
          <w:rFonts w:ascii="Arial" w:hAnsi="Arial" w:cs="Arial"/>
          <w:sz w:val="19"/>
          <w:szCs w:val="19"/>
          <w:lang w:val="es-CO"/>
        </w:rPr>
        <w:t xml:space="preserve">la tesis de la Sala de Consulta y Servicio Civil </w:t>
      </w:r>
      <w:r w:rsidRPr="00F807BA" w:rsidR="0024514B">
        <w:rPr>
          <w:rFonts w:ascii="Arial" w:hAnsi="Arial" w:cs="Arial"/>
          <w:sz w:val="19"/>
          <w:szCs w:val="19"/>
          <w:lang w:val="es-CO"/>
        </w:rPr>
        <w:t>tiene como referente el derogado</w:t>
      </w:r>
      <w:r w:rsidRPr="00F807BA">
        <w:rPr>
          <w:rFonts w:ascii="Arial" w:hAnsi="Arial" w:cs="Arial"/>
          <w:sz w:val="19"/>
          <w:szCs w:val="19"/>
          <w:lang w:val="es-CO"/>
        </w:rPr>
        <w:t xml:space="preserve"> inciso cuarto del artículo 13 de la ley 80 de 1993</w:t>
      </w:r>
      <w:r w:rsidRPr="00F807BA" w:rsidR="00CA18E1">
        <w:rPr>
          <w:rFonts w:ascii="Arial" w:hAnsi="Arial" w:cs="Arial"/>
          <w:sz w:val="19"/>
          <w:szCs w:val="19"/>
          <w:lang w:val="es-CO"/>
        </w:rPr>
        <w:t xml:space="preserve">. Por lo demás, </w:t>
      </w:r>
      <w:r w:rsidRPr="00F807BA">
        <w:rPr>
          <w:rFonts w:ascii="Arial" w:hAnsi="Arial" w:cs="Arial"/>
          <w:sz w:val="19"/>
          <w:szCs w:val="19"/>
          <w:lang w:val="es-CO"/>
        </w:rPr>
        <w:t xml:space="preserve">el artículo 33 de la Ley de Garantías prohíbe la contratación directa </w:t>
      </w:r>
      <w:r w:rsidRPr="00F807BA" w:rsidR="00CA18E1">
        <w:rPr>
          <w:rFonts w:ascii="Arial" w:hAnsi="Arial" w:cs="Arial"/>
          <w:sz w:val="19"/>
          <w:szCs w:val="19"/>
          <w:lang w:val="es-CO"/>
        </w:rPr>
        <w:t>a todos los entes del Estado</w:t>
      </w:r>
      <w:r w:rsidRPr="00F807BA" w:rsidR="0024514B">
        <w:rPr>
          <w:rFonts w:ascii="Arial" w:hAnsi="Arial" w:cs="Arial"/>
          <w:sz w:val="19"/>
          <w:szCs w:val="19"/>
          <w:lang w:val="es-CO"/>
        </w:rPr>
        <w:t xml:space="preserve"> </w:t>
      </w:r>
      <w:r w:rsidRPr="00F807BA" w:rsidR="00197BF1">
        <w:rPr>
          <w:rFonts w:ascii="Arial" w:hAnsi="Arial" w:cs="Arial"/>
          <w:sz w:val="19"/>
          <w:szCs w:val="19"/>
          <w:lang w:val="es-CO"/>
        </w:rPr>
        <w:t>sin distinguir si el acuerdo implica la ejecución o no de recursos públicos, por lo que aplica a ambas hipótesis bajo el criterio hermenéutico «</w:t>
      </w:r>
      <w:r w:rsidRPr="00F807BA" w:rsidR="00197BF1">
        <w:rPr>
          <w:rFonts w:ascii="Arial" w:hAnsi="Arial" w:cs="Arial"/>
          <w:i/>
          <w:iCs/>
          <w:sz w:val="19"/>
          <w:szCs w:val="19"/>
          <w:lang w:val="es-CO"/>
        </w:rPr>
        <w:t>Ubi lex non distinguit, nec nos distinguere debemus</w:t>
      </w:r>
      <w:r w:rsidRPr="00F807BA" w:rsidR="00197BF1">
        <w:rPr>
          <w:rFonts w:ascii="Arial" w:hAnsi="Arial" w:cs="Arial"/>
          <w:sz w:val="19"/>
          <w:szCs w:val="19"/>
          <w:lang w:val="es-CO"/>
        </w:rPr>
        <w:t>»</w:t>
      </w:r>
      <w:r w:rsidRPr="00F807BA">
        <w:rPr>
          <w:rFonts w:ascii="Arial" w:hAnsi="Arial" w:cs="Arial"/>
          <w:sz w:val="19"/>
          <w:szCs w:val="19"/>
          <w:lang w:val="es-CO"/>
        </w:rPr>
        <w:t>.</w:t>
      </w:r>
      <w:r w:rsidRPr="00F807BA">
        <w:rPr>
          <w:rFonts w:ascii="Arial" w:hAnsi="Arial" w:cs="Arial"/>
          <w:sz w:val="19"/>
          <w:szCs w:val="19"/>
        </w:rPr>
        <w:t xml:space="preserve"> </w:t>
      </w:r>
    </w:p>
  </w:footnote>
  <w:footnote w:id="32">
    <w:p w:rsidRPr="00F807BA" w:rsidR="0003362C" w:rsidP="00DB3852" w:rsidRDefault="0003362C" w14:paraId="0FD11602" w14:textId="0ED85603">
      <w:pPr>
        <w:spacing w:after="0" w:line="240" w:lineRule="auto"/>
        <w:ind w:firstLine="709"/>
        <w:jc w:val="both"/>
        <w:rPr>
          <w:rFonts w:ascii="Arial" w:hAnsi="Arial" w:cs="Arial"/>
          <w:sz w:val="19"/>
          <w:szCs w:val="19"/>
          <w:lang w:val="es-ES"/>
        </w:rPr>
      </w:pPr>
      <w:r w:rsidRPr="00F807BA">
        <w:rPr>
          <w:rStyle w:val="Refdenotaalpie"/>
          <w:rFonts w:ascii="Arial" w:hAnsi="Arial" w:cs="Arial"/>
          <w:sz w:val="19"/>
          <w:szCs w:val="19"/>
        </w:rPr>
        <w:footnoteRef/>
      </w:r>
      <w:r w:rsidRPr="00F807BA">
        <w:rPr>
          <w:rFonts w:ascii="Arial" w:hAnsi="Arial" w:cs="Arial"/>
          <w:sz w:val="19"/>
          <w:szCs w:val="19"/>
        </w:rPr>
        <w:t xml:space="preserve"> </w:t>
      </w:r>
      <w:r w:rsidRPr="00F807BA">
        <w:rPr>
          <w:rFonts w:ascii="Arial" w:hAnsi="Arial" w:cs="Arial"/>
          <w:sz w:val="19"/>
          <w:szCs w:val="19"/>
          <w:lang w:val="es-ES"/>
        </w:rPr>
        <w:t>En efecto, el parágrafo 2 del artículo 20 de la Ley 1150 de 2007 dispone que «Las entidades estatales tendrán la obligación de reportar la información a los organismos de control y al Secop relativa a la ejecución de los contratos a los que se refiere el presente artículo».</w:t>
      </w:r>
    </w:p>
  </w:footnote>
  <w:footnote w:id="33">
    <w:p w:rsidRPr="00F807BA" w:rsidR="0003362C" w:rsidP="00DB3852" w:rsidRDefault="0003362C" w14:paraId="0E360E13" w14:textId="1C685E59">
      <w:pPr>
        <w:spacing w:after="0" w:line="240" w:lineRule="auto"/>
        <w:ind w:firstLine="709"/>
        <w:jc w:val="both"/>
        <w:rPr>
          <w:rFonts w:ascii="Arial" w:hAnsi="Arial" w:cs="Arial"/>
          <w:sz w:val="19"/>
          <w:szCs w:val="19"/>
          <w:lang w:val="es-MX"/>
        </w:rPr>
      </w:pPr>
      <w:r w:rsidRPr="00F807BA">
        <w:rPr>
          <w:rStyle w:val="Refdenotaalpie"/>
          <w:rFonts w:ascii="Arial" w:hAnsi="Arial" w:cs="Arial"/>
          <w:sz w:val="19"/>
          <w:szCs w:val="19"/>
        </w:rPr>
        <w:footnoteRef/>
      </w:r>
      <w:r w:rsidRPr="00F807BA">
        <w:rPr>
          <w:rFonts w:ascii="Arial" w:hAnsi="Arial" w:cs="Arial"/>
          <w:sz w:val="19"/>
          <w:szCs w:val="19"/>
        </w:rPr>
        <w:t xml:space="preserve"> No en vano, el parágrafo 3 del artículo 20 de la Ley 1150 de 2007 establece que «</w:t>
      </w:r>
      <w:r w:rsidRPr="00F807BA">
        <w:rPr>
          <w:rFonts w:ascii="Arial" w:hAnsi="Arial" w:cs="Arial"/>
          <w:sz w:val="19"/>
          <w:szCs w:val="19"/>
          <w:lang w:val="es-MX"/>
        </w:rPr>
        <w:t>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footnote>
  <w:footnote w:id="34">
    <w:p w:rsidRPr="00F807BA" w:rsidR="0003362C" w:rsidP="00DB3852" w:rsidRDefault="0003362C" w14:paraId="4477F092" w14:textId="6AF84B14">
      <w:pPr>
        <w:spacing w:after="0" w:line="240" w:lineRule="auto"/>
        <w:ind w:firstLine="709"/>
        <w:jc w:val="both"/>
        <w:rPr>
          <w:rFonts w:ascii="Arial" w:hAnsi="Arial" w:cs="Arial"/>
          <w:sz w:val="19"/>
          <w:szCs w:val="19"/>
          <w:lang w:val="es-MX"/>
        </w:rPr>
      </w:pPr>
      <w:r w:rsidRPr="00F807BA">
        <w:rPr>
          <w:rStyle w:val="Refdenotaalpie"/>
          <w:rFonts w:ascii="Arial" w:hAnsi="Arial" w:cs="Arial"/>
          <w:sz w:val="19"/>
          <w:szCs w:val="19"/>
        </w:rPr>
        <w:footnoteRef/>
      </w:r>
      <w:r w:rsidRPr="00F807BA">
        <w:rPr>
          <w:rFonts w:ascii="Arial" w:hAnsi="Arial" w:cs="Arial"/>
          <w:sz w:val="19"/>
          <w:szCs w:val="19"/>
        </w:rPr>
        <w:t xml:space="preserve"> Sentencia C-439 de 2016. M.P.: </w:t>
      </w:r>
      <w:r w:rsidRPr="00F807BA">
        <w:rPr>
          <w:rFonts w:ascii="Arial" w:hAnsi="Arial" w:cs="Arial"/>
          <w:sz w:val="19"/>
          <w:szCs w:val="19"/>
          <w:lang w:val="es-MX"/>
        </w:rPr>
        <w:t>Luis Guillermo Guerrero Pérez. Así también lo indicó la Corte Constitucional en la Sentencia C-339 de 2002, M.P.: Jaime Araujo Rentería.</w:t>
      </w:r>
    </w:p>
  </w:footnote>
  <w:footnote w:id="35">
    <w:p w:rsidRPr="00F807BA" w:rsidR="0003362C" w:rsidP="00DB3852" w:rsidRDefault="0003362C" w14:paraId="7BA13878" w14:textId="52653ACC">
      <w:pPr>
        <w:pStyle w:val="Textonotapie"/>
        <w:spacing w:after="0" w:line="240" w:lineRule="auto"/>
        <w:ind w:firstLine="709"/>
        <w:rPr>
          <w:rFonts w:ascii="Arial" w:hAnsi="Arial" w:cs="Arial"/>
          <w:sz w:val="19"/>
          <w:szCs w:val="19"/>
        </w:rPr>
      </w:pPr>
      <w:r w:rsidRPr="00F807BA">
        <w:rPr>
          <w:rStyle w:val="Refdenotaalpie"/>
          <w:rFonts w:ascii="Arial" w:hAnsi="Arial" w:cs="Arial"/>
          <w:sz w:val="19"/>
          <w:szCs w:val="19"/>
        </w:rPr>
        <w:footnoteRef/>
      </w:r>
      <w:r w:rsidRPr="00F807BA">
        <w:rPr>
          <w:rFonts w:ascii="Arial" w:hAnsi="Arial" w:cs="Arial"/>
          <w:sz w:val="19"/>
          <w:szCs w:val="19"/>
        </w:rPr>
        <w:t xml:space="preserve"> Ibíd.</w:t>
      </w:r>
    </w:p>
  </w:footnote>
  <w:footnote w:id="36">
    <w:p w:rsidRPr="00F807BA" w:rsidR="00B40AA2" w:rsidP="009D600E" w:rsidRDefault="00B40AA2" w14:paraId="5D0194DE" w14:textId="2A128099">
      <w:pPr>
        <w:spacing w:after="0"/>
        <w:ind w:firstLine="709"/>
        <w:jc w:val="both"/>
        <w:rPr>
          <w:rFonts w:ascii="Arial" w:hAnsi="Arial" w:cs="Arial"/>
          <w:sz w:val="19"/>
          <w:szCs w:val="19"/>
        </w:rPr>
      </w:pPr>
      <w:r w:rsidRPr="00F807BA">
        <w:rPr>
          <w:rStyle w:val="Refdenotaalpie"/>
        </w:rPr>
        <w:footnoteRef/>
      </w:r>
      <w:r w:rsidRPr="00F807BA">
        <w:rPr>
          <w:rFonts w:ascii="Arial" w:hAnsi="Arial" w:cs="Arial"/>
          <w:sz w:val="19"/>
          <w:szCs w:val="19"/>
        </w:rPr>
        <w:t xml:space="preserve"> Sentencia C-439 de 2016. M.P.: </w:t>
      </w:r>
      <w:r w:rsidRPr="00F807BA">
        <w:rPr>
          <w:rFonts w:ascii="Arial" w:hAnsi="Arial" w:cs="Arial"/>
          <w:sz w:val="19"/>
          <w:szCs w:val="19"/>
          <w:lang w:val="es-MX"/>
        </w:rPr>
        <w:t>Luis Guillermo Guerrero Pérez. Así también lo indicó la Corte Constitucional en la Sentencia C-339 de 2002, M.P.: Jaime Araujo Rentería.</w:t>
      </w:r>
    </w:p>
  </w:footnote>
  <w:footnote w:id="37">
    <w:p w:rsidRPr="003B07F6" w:rsidR="00B40AA2" w:rsidP="009D600E" w:rsidRDefault="00B40AA2" w14:paraId="6FEF85EA" w14:textId="161E9C47">
      <w:pPr>
        <w:pStyle w:val="Textonotapie"/>
        <w:spacing w:after="0" w:line="240" w:lineRule="auto"/>
        <w:ind w:firstLine="709"/>
        <w:rPr>
          <w:rFonts w:ascii="Arial" w:hAnsi="Arial" w:cs="Arial"/>
          <w:sz w:val="19"/>
          <w:szCs w:val="19"/>
        </w:rPr>
      </w:pPr>
      <w:r w:rsidRPr="00F807BA">
        <w:rPr>
          <w:rStyle w:val="Refdenotaalpie"/>
        </w:rPr>
        <w:footnoteRef/>
      </w:r>
      <w:r w:rsidRPr="00F807BA">
        <w:rPr>
          <w:rFonts w:ascii="Arial" w:hAnsi="Arial" w:cs="Arial"/>
          <w:sz w:val="19"/>
          <w:szCs w:val="19"/>
        </w:rPr>
        <w:t xml:space="preserve"> Ibíd.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12132" w:rsidRDefault="001E4467" w14:paraId="713C1AEA" w14:textId="77777777">
    <w:pPr>
      <w:pStyle w:val="Encabezado"/>
    </w:pPr>
    <w:r>
      <w:rPr>
        <w:noProof/>
        <w:lang w:val="es-CO" w:eastAsia="es-CO"/>
      </w:rPr>
      <w:drawing>
        <wp:anchor distT="0" distB="0" distL="114300" distR="114300" simplePos="0" relativeHeight="251659264" behindDoc="1" locked="0" layoutInCell="1" allowOverlap="1" wp14:anchorId="34748B77" wp14:editId="76172EE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0395" w:rsidP="00FE0395" w:rsidRDefault="006F6DC3" w14:paraId="29E1872F" w14:textId="77777777">
    <w:pPr>
      <w:pStyle w:val="Encabezado"/>
      <w:spacing w:after="0"/>
    </w:pPr>
  </w:p>
  <w:p w:rsidR="00412132" w:rsidRDefault="006F6DC3" w14:paraId="4C0BD96F"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hint="default" w:eastAsia="Calibri"/>
        <w:color w:val="000000" w:themeColor="text1"/>
      </w:rPr>
    </w:lvl>
    <w:lvl w:ilvl="2">
      <w:start w:val="1"/>
      <w:numFmt w:val="decimal"/>
      <w:isLgl/>
      <w:lvlText w:val="%1.%2.%3."/>
      <w:lvlJc w:val="left"/>
      <w:pPr>
        <w:ind w:left="1080" w:hanging="720"/>
      </w:pPr>
      <w:rPr>
        <w:rFonts w:hint="default" w:eastAsia="Calibri"/>
        <w:color w:val="000000" w:themeColor="text1"/>
      </w:rPr>
    </w:lvl>
    <w:lvl w:ilvl="3">
      <w:start w:val="1"/>
      <w:numFmt w:val="decimal"/>
      <w:isLgl/>
      <w:lvlText w:val="%1.%2.%3.%4."/>
      <w:lvlJc w:val="left"/>
      <w:pPr>
        <w:ind w:left="1440" w:hanging="1080"/>
      </w:pPr>
      <w:rPr>
        <w:rFonts w:hint="default" w:eastAsia="Calibri"/>
        <w:color w:val="000000" w:themeColor="text1"/>
      </w:rPr>
    </w:lvl>
    <w:lvl w:ilvl="4">
      <w:start w:val="1"/>
      <w:numFmt w:val="decimal"/>
      <w:isLgl/>
      <w:lvlText w:val="%1.%2.%3.%4.%5."/>
      <w:lvlJc w:val="left"/>
      <w:pPr>
        <w:ind w:left="1440" w:hanging="1080"/>
      </w:pPr>
      <w:rPr>
        <w:rFonts w:hint="default" w:eastAsia="Calibri"/>
        <w:color w:val="000000" w:themeColor="text1"/>
      </w:rPr>
    </w:lvl>
    <w:lvl w:ilvl="5">
      <w:start w:val="1"/>
      <w:numFmt w:val="decimal"/>
      <w:isLgl/>
      <w:lvlText w:val="%1.%2.%3.%4.%5.%6."/>
      <w:lvlJc w:val="left"/>
      <w:pPr>
        <w:ind w:left="1800" w:hanging="1440"/>
      </w:pPr>
      <w:rPr>
        <w:rFonts w:hint="default" w:eastAsia="Calibri"/>
        <w:color w:val="000000" w:themeColor="text1"/>
      </w:rPr>
    </w:lvl>
    <w:lvl w:ilvl="6">
      <w:start w:val="1"/>
      <w:numFmt w:val="decimal"/>
      <w:isLgl/>
      <w:lvlText w:val="%1.%2.%3.%4.%5.%6.%7."/>
      <w:lvlJc w:val="left"/>
      <w:pPr>
        <w:ind w:left="1800" w:hanging="1440"/>
      </w:pPr>
      <w:rPr>
        <w:rFonts w:hint="default" w:eastAsia="Calibri"/>
        <w:color w:val="000000" w:themeColor="text1"/>
      </w:rPr>
    </w:lvl>
    <w:lvl w:ilvl="7">
      <w:start w:val="1"/>
      <w:numFmt w:val="decimal"/>
      <w:isLgl/>
      <w:lvlText w:val="%1.%2.%3.%4.%5.%6.%7.%8."/>
      <w:lvlJc w:val="left"/>
      <w:pPr>
        <w:ind w:left="2160" w:hanging="1800"/>
      </w:pPr>
      <w:rPr>
        <w:rFonts w:hint="default" w:eastAsia="Calibri"/>
        <w:color w:val="000000" w:themeColor="text1"/>
      </w:rPr>
    </w:lvl>
    <w:lvl w:ilvl="8">
      <w:start w:val="1"/>
      <w:numFmt w:val="decimal"/>
      <w:isLgl/>
      <w:lvlText w:val="%1.%2.%3.%4.%5.%6.%7.%8.%9."/>
      <w:lvlJc w:val="left"/>
      <w:pPr>
        <w:ind w:left="2160" w:hanging="1800"/>
      </w:pPr>
      <w:rPr>
        <w:rFonts w:hint="default" w:eastAsia="Calibri"/>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B3838"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B3838" w:themeColor="background2" w:themeShade="40"/>
      </w:rPr>
    </w:lvl>
    <w:lvl w:ilvl="3">
      <w:start w:val="1"/>
      <w:numFmt w:val="decimal"/>
      <w:lvlText w:val="%1.%2.%3.%4."/>
      <w:lvlJc w:val="left"/>
      <w:pPr>
        <w:ind w:left="720" w:hanging="720"/>
      </w:pPr>
      <w:rPr>
        <w:rFonts w:hint="default"/>
        <w:color w:val="3B3838" w:themeColor="background2" w:themeShade="40"/>
      </w:rPr>
    </w:lvl>
    <w:lvl w:ilvl="4">
      <w:start w:val="1"/>
      <w:numFmt w:val="decimal"/>
      <w:lvlText w:val="%1.%2.%3.%4.%5."/>
      <w:lvlJc w:val="left"/>
      <w:pPr>
        <w:ind w:left="1080" w:hanging="1080"/>
      </w:pPr>
      <w:rPr>
        <w:rFonts w:hint="default"/>
        <w:color w:val="3B3838" w:themeColor="background2" w:themeShade="40"/>
      </w:rPr>
    </w:lvl>
    <w:lvl w:ilvl="5">
      <w:start w:val="1"/>
      <w:numFmt w:val="decimal"/>
      <w:lvlText w:val="%1.%2.%3.%4.%5.%6."/>
      <w:lvlJc w:val="left"/>
      <w:pPr>
        <w:ind w:left="1080" w:hanging="1080"/>
      </w:pPr>
      <w:rPr>
        <w:rFonts w:hint="default"/>
        <w:color w:val="3B3838" w:themeColor="background2" w:themeShade="40"/>
      </w:rPr>
    </w:lvl>
    <w:lvl w:ilvl="6">
      <w:start w:val="1"/>
      <w:numFmt w:val="decimal"/>
      <w:lvlText w:val="%1.%2.%3.%4.%5.%6.%7."/>
      <w:lvlJc w:val="left"/>
      <w:pPr>
        <w:ind w:left="1440" w:hanging="1440"/>
      </w:pPr>
      <w:rPr>
        <w:rFonts w:hint="default"/>
        <w:color w:val="3B3838" w:themeColor="background2" w:themeShade="40"/>
      </w:rPr>
    </w:lvl>
    <w:lvl w:ilvl="7">
      <w:start w:val="1"/>
      <w:numFmt w:val="decimal"/>
      <w:lvlText w:val="%1.%2.%3.%4.%5.%6.%7.%8."/>
      <w:lvlJc w:val="left"/>
      <w:pPr>
        <w:ind w:left="1440" w:hanging="1440"/>
      </w:pPr>
      <w:rPr>
        <w:rFonts w:hint="default"/>
        <w:color w:val="3B3838" w:themeColor="background2" w:themeShade="40"/>
      </w:rPr>
    </w:lvl>
    <w:lvl w:ilvl="8">
      <w:start w:val="1"/>
      <w:numFmt w:val="decimal"/>
      <w:lvlText w:val="%1.%2.%3.%4.%5.%6.%7.%8.%9."/>
      <w:lvlJc w:val="left"/>
      <w:pPr>
        <w:ind w:left="1800" w:hanging="1800"/>
      </w:pPr>
      <w:rPr>
        <w:rFonts w:hint="default"/>
        <w:color w:val="3B3838"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hint="default" w:ascii="Courier New" w:hAnsi="Courier New" w:cs="Times New Roman"/>
      </w:rPr>
    </w:lvl>
    <w:lvl w:ilvl="2" w:tplc="F5DE03CA">
      <w:start w:val="1"/>
      <w:numFmt w:val="bullet"/>
      <w:lvlText w:val=""/>
      <w:lvlJc w:val="left"/>
      <w:pPr>
        <w:ind w:left="2160" w:hanging="360"/>
      </w:pPr>
      <w:rPr>
        <w:rFonts w:hint="default" w:ascii="Wingdings" w:hAnsi="Wingdings"/>
      </w:rPr>
    </w:lvl>
    <w:lvl w:ilvl="3" w:tplc="A288AAB6">
      <w:start w:val="1"/>
      <w:numFmt w:val="bullet"/>
      <w:lvlText w:val=""/>
      <w:lvlJc w:val="left"/>
      <w:pPr>
        <w:ind w:left="2880" w:hanging="360"/>
      </w:pPr>
      <w:rPr>
        <w:rFonts w:hint="default" w:ascii="Symbol" w:hAnsi="Symbol"/>
      </w:rPr>
    </w:lvl>
    <w:lvl w:ilvl="4" w:tplc="81DAFD16">
      <w:start w:val="1"/>
      <w:numFmt w:val="bullet"/>
      <w:lvlText w:val="o"/>
      <w:lvlJc w:val="left"/>
      <w:pPr>
        <w:ind w:left="3600" w:hanging="360"/>
      </w:pPr>
      <w:rPr>
        <w:rFonts w:hint="default" w:ascii="Courier New" w:hAnsi="Courier New" w:cs="Times New Roman"/>
      </w:rPr>
    </w:lvl>
    <w:lvl w:ilvl="5" w:tplc="D540ACF6">
      <w:start w:val="1"/>
      <w:numFmt w:val="bullet"/>
      <w:lvlText w:val=""/>
      <w:lvlJc w:val="left"/>
      <w:pPr>
        <w:ind w:left="4320" w:hanging="360"/>
      </w:pPr>
      <w:rPr>
        <w:rFonts w:hint="default" w:ascii="Wingdings" w:hAnsi="Wingdings"/>
      </w:rPr>
    </w:lvl>
    <w:lvl w:ilvl="6" w:tplc="CE02DD38">
      <w:start w:val="1"/>
      <w:numFmt w:val="bullet"/>
      <w:lvlText w:val=""/>
      <w:lvlJc w:val="left"/>
      <w:pPr>
        <w:ind w:left="5040" w:hanging="360"/>
      </w:pPr>
      <w:rPr>
        <w:rFonts w:hint="default" w:ascii="Symbol" w:hAnsi="Symbol"/>
      </w:rPr>
    </w:lvl>
    <w:lvl w:ilvl="7" w:tplc="63564B5A">
      <w:start w:val="1"/>
      <w:numFmt w:val="bullet"/>
      <w:lvlText w:val="o"/>
      <w:lvlJc w:val="left"/>
      <w:pPr>
        <w:ind w:left="5760" w:hanging="360"/>
      </w:pPr>
      <w:rPr>
        <w:rFonts w:hint="default" w:ascii="Courier New" w:hAnsi="Courier New" w:cs="Times New Roman"/>
      </w:rPr>
    </w:lvl>
    <w:lvl w:ilvl="8" w:tplc="477E1BD4">
      <w:start w:val="1"/>
      <w:numFmt w:val="bullet"/>
      <w:lvlText w:val=""/>
      <w:lvlJc w:val="left"/>
      <w:pPr>
        <w:ind w:left="6480" w:hanging="360"/>
      </w:pPr>
      <w:rPr>
        <w:rFonts w:hint="default" w:ascii="Wingdings" w:hAnsi="Wingdings"/>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hint="default" w:ascii="Courier New" w:hAnsi="Courier New"/>
      </w:rPr>
    </w:lvl>
    <w:lvl w:ilvl="2" w:tplc="F5DE03CA">
      <w:start w:val="1"/>
      <w:numFmt w:val="bullet"/>
      <w:lvlText w:val=""/>
      <w:lvlJc w:val="left"/>
      <w:pPr>
        <w:ind w:left="2160" w:hanging="360"/>
      </w:pPr>
      <w:rPr>
        <w:rFonts w:hint="default" w:ascii="Wingdings" w:hAnsi="Wingdings"/>
      </w:rPr>
    </w:lvl>
    <w:lvl w:ilvl="3" w:tplc="A288AAB6">
      <w:start w:val="1"/>
      <w:numFmt w:val="bullet"/>
      <w:lvlText w:val=""/>
      <w:lvlJc w:val="left"/>
      <w:pPr>
        <w:ind w:left="2880" w:hanging="360"/>
      </w:pPr>
      <w:rPr>
        <w:rFonts w:hint="default" w:ascii="Symbol" w:hAnsi="Symbol"/>
      </w:rPr>
    </w:lvl>
    <w:lvl w:ilvl="4" w:tplc="81DAFD16">
      <w:start w:val="1"/>
      <w:numFmt w:val="bullet"/>
      <w:lvlText w:val="o"/>
      <w:lvlJc w:val="left"/>
      <w:pPr>
        <w:ind w:left="3600" w:hanging="360"/>
      </w:pPr>
      <w:rPr>
        <w:rFonts w:hint="default" w:ascii="Courier New" w:hAnsi="Courier New"/>
      </w:rPr>
    </w:lvl>
    <w:lvl w:ilvl="5" w:tplc="D540ACF6">
      <w:start w:val="1"/>
      <w:numFmt w:val="bullet"/>
      <w:lvlText w:val=""/>
      <w:lvlJc w:val="left"/>
      <w:pPr>
        <w:ind w:left="4320" w:hanging="360"/>
      </w:pPr>
      <w:rPr>
        <w:rFonts w:hint="default" w:ascii="Wingdings" w:hAnsi="Wingdings"/>
      </w:rPr>
    </w:lvl>
    <w:lvl w:ilvl="6" w:tplc="CE02DD38">
      <w:start w:val="1"/>
      <w:numFmt w:val="bullet"/>
      <w:lvlText w:val=""/>
      <w:lvlJc w:val="left"/>
      <w:pPr>
        <w:ind w:left="5040" w:hanging="360"/>
      </w:pPr>
      <w:rPr>
        <w:rFonts w:hint="default" w:ascii="Symbol" w:hAnsi="Symbol"/>
      </w:rPr>
    </w:lvl>
    <w:lvl w:ilvl="7" w:tplc="63564B5A">
      <w:start w:val="1"/>
      <w:numFmt w:val="bullet"/>
      <w:lvlText w:val="o"/>
      <w:lvlJc w:val="left"/>
      <w:pPr>
        <w:ind w:left="5760" w:hanging="360"/>
      </w:pPr>
      <w:rPr>
        <w:rFonts w:hint="default" w:ascii="Courier New" w:hAnsi="Courier New"/>
      </w:rPr>
    </w:lvl>
    <w:lvl w:ilvl="8" w:tplc="477E1BD4">
      <w:start w:val="1"/>
      <w:numFmt w:val="bullet"/>
      <w:lvlText w:val=""/>
      <w:lvlJc w:val="left"/>
      <w:pPr>
        <w:ind w:left="6480" w:hanging="360"/>
      </w:pPr>
      <w:rPr>
        <w:rFonts w:hint="default" w:ascii="Wingdings" w:hAnsi="Wingdings"/>
      </w:rPr>
    </w:lvl>
  </w:abstractNum>
  <w:abstractNum w:abstractNumId="26" w15:restartNumberingAfterBreak="0">
    <w:nsid w:val="70C9241D"/>
    <w:multiLevelType w:val="hybridMultilevel"/>
    <w:tmpl w:val="B0B487B8"/>
    <w:lvl w:ilvl="0" w:tplc="AAC4AE08">
      <w:start w:val="1"/>
      <w:numFmt w:val="lowerRoman"/>
      <w:lvlText w:val="%1."/>
      <w:lvlJc w:val="right"/>
      <w:pPr>
        <w:ind w:left="1429" w:hanging="360"/>
      </w:pPr>
      <w:rPr>
        <w:rFonts w:ascii="Arial" w:hAnsi="Arial" w:eastAsia="Calibri"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7"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21"/>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4"/>
  </w:num>
  <w:num w:numId="9">
    <w:abstractNumId w:val="6"/>
    <w:lvlOverride w:ilvl="0">
      <w:startOverride w:val="1"/>
    </w:lvlOverride>
  </w:num>
  <w:num w:numId="10">
    <w:abstractNumId w:val="25"/>
  </w:num>
  <w:num w:numId="11">
    <w:abstractNumId w:val="7"/>
  </w:num>
  <w:num w:numId="12">
    <w:abstractNumId w:val="2"/>
  </w:num>
  <w:num w:numId="13">
    <w:abstractNumId w:val="4"/>
  </w:num>
  <w:num w:numId="14">
    <w:abstractNumId w:val="20"/>
  </w:num>
  <w:num w:numId="15">
    <w:abstractNumId w:val="13"/>
  </w:num>
  <w:num w:numId="16">
    <w:abstractNumId w:val="10"/>
  </w:num>
  <w:num w:numId="17">
    <w:abstractNumId w:val="14"/>
  </w:num>
  <w:num w:numId="18">
    <w:abstractNumId w:val="16"/>
  </w:num>
  <w:num w:numId="19">
    <w:abstractNumId w:val="5"/>
  </w:num>
  <w:num w:numId="20">
    <w:abstractNumId w:val="28"/>
  </w:num>
  <w:num w:numId="21">
    <w:abstractNumId w:val="22"/>
  </w:num>
  <w:num w:numId="22">
    <w:abstractNumId w:val="18"/>
  </w:num>
  <w:num w:numId="23">
    <w:abstractNumId w:val="17"/>
  </w:num>
  <w:num w:numId="24">
    <w:abstractNumId w:val="8"/>
  </w:num>
  <w:num w:numId="25">
    <w:abstractNumId w:val="19"/>
  </w:num>
  <w:num w:numId="26">
    <w:abstractNumId w:val="1"/>
  </w:num>
  <w:num w:numId="27">
    <w:abstractNumId w:val="12"/>
  </w:num>
  <w:num w:numId="28">
    <w:abstractNumId w:val="27"/>
  </w:num>
  <w:num w:numId="29">
    <w:abstractNumId w:val="3"/>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553"/>
    <w:rsid w:val="00005CC1"/>
    <w:rsid w:val="0003362C"/>
    <w:rsid w:val="00034C81"/>
    <w:rsid w:val="00041FFA"/>
    <w:rsid w:val="00063C86"/>
    <w:rsid w:val="0007288B"/>
    <w:rsid w:val="00082630"/>
    <w:rsid w:val="00082AF3"/>
    <w:rsid w:val="0008398C"/>
    <w:rsid w:val="00091468"/>
    <w:rsid w:val="000A2FC3"/>
    <w:rsid w:val="000A67AF"/>
    <w:rsid w:val="000B4102"/>
    <w:rsid w:val="000C38BA"/>
    <w:rsid w:val="000E427F"/>
    <w:rsid w:val="00100398"/>
    <w:rsid w:val="00111705"/>
    <w:rsid w:val="00121E61"/>
    <w:rsid w:val="001262D1"/>
    <w:rsid w:val="00127A90"/>
    <w:rsid w:val="0013216D"/>
    <w:rsid w:val="00153BA2"/>
    <w:rsid w:val="00161A17"/>
    <w:rsid w:val="00164729"/>
    <w:rsid w:val="00167516"/>
    <w:rsid w:val="00170ACE"/>
    <w:rsid w:val="0017658A"/>
    <w:rsid w:val="00190676"/>
    <w:rsid w:val="00197BF1"/>
    <w:rsid w:val="001E4467"/>
    <w:rsid w:val="001F2005"/>
    <w:rsid w:val="00235A70"/>
    <w:rsid w:val="002367BE"/>
    <w:rsid w:val="0024514B"/>
    <w:rsid w:val="002505D1"/>
    <w:rsid w:val="002567EF"/>
    <w:rsid w:val="0026486F"/>
    <w:rsid w:val="00291BDA"/>
    <w:rsid w:val="002A2567"/>
    <w:rsid w:val="002C4139"/>
    <w:rsid w:val="002D6FEA"/>
    <w:rsid w:val="002D7278"/>
    <w:rsid w:val="00314826"/>
    <w:rsid w:val="00336181"/>
    <w:rsid w:val="0034205B"/>
    <w:rsid w:val="00350C59"/>
    <w:rsid w:val="00350E93"/>
    <w:rsid w:val="003633BC"/>
    <w:rsid w:val="003731ED"/>
    <w:rsid w:val="00375853"/>
    <w:rsid w:val="00380A5A"/>
    <w:rsid w:val="0038180A"/>
    <w:rsid w:val="003843CE"/>
    <w:rsid w:val="00384A6C"/>
    <w:rsid w:val="00384F74"/>
    <w:rsid w:val="003A40C9"/>
    <w:rsid w:val="003A562D"/>
    <w:rsid w:val="003A6A16"/>
    <w:rsid w:val="003C0333"/>
    <w:rsid w:val="003C4F48"/>
    <w:rsid w:val="003F1BFF"/>
    <w:rsid w:val="00403190"/>
    <w:rsid w:val="0041013C"/>
    <w:rsid w:val="004327D2"/>
    <w:rsid w:val="00436638"/>
    <w:rsid w:val="004650A5"/>
    <w:rsid w:val="004B7FCA"/>
    <w:rsid w:val="004F311F"/>
    <w:rsid w:val="004F7386"/>
    <w:rsid w:val="00504152"/>
    <w:rsid w:val="00510F95"/>
    <w:rsid w:val="00525B88"/>
    <w:rsid w:val="005330B6"/>
    <w:rsid w:val="00540716"/>
    <w:rsid w:val="00551912"/>
    <w:rsid w:val="005720E5"/>
    <w:rsid w:val="005A52C6"/>
    <w:rsid w:val="005B41CB"/>
    <w:rsid w:val="005B5A67"/>
    <w:rsid w:val="005F2F6C"/>
    <w:rsid w:val="005F4BBA"/>
    <w:rsid w:val="00600A22"/>
    <w:rsid w:val="006B210E"/>
    <w:rsid w:val="006B7FC6"/>
    <w:rsid w:val="006C4D69"/>
    <w:rsid w:val="006D49D6"/>
    <w:rsid w:val="006F6DC3"/>
    <w:rsid w:val="00721553"/>
    <w:rsid w:val="00731BB3"/>
    <w:rsid w:val="00755BC5"/>
    <w:rsid w:val="00774E3D"/>
    <w:rsid w:val="00782982"/>
    <w:rsid w:val="00783307"/>
    <w:rsid w:val="007900BD"/>
    <w:rsid w:val="00797368"/>
    <w:rsid w:val="007A0503"/>
    <w:rsid w:val="007A391B"/>
    <w:rsid w:val="007A6A62"/>
    <w:rsid w:val="007B0B5C"/>
    <w:rsid w:val="007B21A6"/>
    <w:rsid w:val="007B42EA"/>
    <w:rsid w:val="007D3F00"/>
    <w:rsid w:val="007D4206"/>
    <w:rsid w:val="007D56D6"/>
    <w:rsid w:val="007E64BB"/>
    <w:rsid w:val="007F427F"/>
    <w:rsid w:val="00806110"/>
    <w:rsid w:val="008146C1"/>
    <w:rsid w:val="00814945"/>
    <w:rsid w:val="008448CA"/>
    <w:rsid w:val="00852601"/>
    <w:rsid w:val="0085368F"/>
    <w:rsid w:val="00860A12"/>
    <w:rsid w:val="008B2603"/>
    <w:rsid w:val="008C2697"/>
    <w:rsid w:val="008C31D4"/>
    <w:rsid w:val="008D2A36"/>
    <w:rsid w:val="008E2A8D"/>
    <w:rsid w:val="008E2CE8"/>
    <w:rsid w:val="008E44F8"/>
    <w:rsid w:val="00901FBA"/>
    <w:rsid w:val="00905B4F"/>
    <w:rsid w:val="00911FD0"/>
    <w:rsid w:val="00921F2D"/>
    <w:rsid w:val="00925F2F"/>
    <w:rsid w:val="0093101B"/>
    <w:rsid w:val="009359C1"/>
    <w:rsid w:val="00967515"/>
    <w:rsid w:val="00972AAC"/>
    <w:rsid w:val="00987710"/>
    <w:rsid w:val="00991EE6"/>
    <w:rsid w:val="009B548E"/>
    <w:rsid w:val="009B759D"/>
    <w:rsid w:val="009C0CFD"/>
    <w:rsid w:val="009C5F3E"/>
    <w:rsid w:val="009D600E"/>
    <w:rsid w:val="009E7D47"/>
    <w:rsid w:val="009F5D71"/>
    <w:rsid w:val="009F66A7"/>
    <w:rsid w:val="00A22DCC"/>
    <w:rsid w:val="00A266DB"/>
    <w:rsid w:val="00A55E4C"/>
    <w:rsid w:val="00A81216"/>
    <w:rsid w:val="00A81971"/>
    <w:rsid w:val="00AA774E"/>
    <w:rsid w:val="00AB6F3E"/>
    <w:rsid w:val="00AC7752"/>
    <w:rsid w:val="00AE2676"/>
    <w:rsid w:val="00B12BA4"/>
    <w:rsid w:val="00B15555"/>
    <w:rsid w:val="00B36D94"/>
    <w:rsid w:val="00B37687"/>
    <w:rsid w:val="00B40AA2"/>
    <w:rsid w:val="00B528DD"/>
    <w:rsid w:val="00B63A45"/>
    <w:rsid w:val="00B66355"/>
    <w:rsid w:val="00B7383E"/>
    <w:rsid w:val="00B755B3"/>
    <w:rsid w:val="00B8105E"/>
    <w:rsid w:val="00B83986"/>
    <w:rsid w:val="00B910F2"/>
    <w:rsid w:val="00BA3F6C"/>
    <w:rsid w:val="00BA4DE5"/>
    <w:rsid w:val="00BB1913"/>
    <w:rsid w:val="00BB762C"/>
    <w:rsid w:val="00BC06E1"/>
    <w:rsid w:val="00BC1440"/>
    <w:rsid w:val="00BC6D47"/>
    <w:rsid w:val="00BD3760"/>
    <w:rsid w:val="00BE2EFD"/>
    <w:rsid w:val="00BF4E05"/>
    <w:rsid w:val="00C10429"/>
    <w:rsid w:val="00C134E7"/>
    <w:rsid w:val="00C15103"/>
    <w:rsid w:val="00C55B32"/>
    <w:rsid w:val="00C61B78"/>
    <w:rsid w:val="00C6675F"/>
    <w:rsid w:val="00C73230"/>
    <w:rsid w:val="00C74DF1"/>
    <w:rsid w:val="00C94826"/>
    <w:rsid w:val="00CA18E1"/>
    <w:rsid w:val="00CB2894"/>
    <w:rsid w:val="00CC0878"/>
    <w:rsid w:val="00CE7697"/>
    <w:rsid w:val="00CF42B2"/>
    <w:rsid w:val="00CF76CC"/>
    <w:rsid w:val="00D4707C"/>
    <w:rsid w:val="00D5439C"/>
    <w:rsid w:val="00D7428A"/>
    <w:rsid w:val="00D751FC"/>
    <w:rsid w:val="00D7729F"/>
    <w:rsid w:val="00D865DC"/>
    <w:rsid w:val="00D866A2"/>
    <w:rsid w:val="00DA11EC"/>
    <w:rsid w:val="00DA7A8F"/>
    <w:rsid w:val="00DB3852"/>
    <w:rsid w:val="00DF466B"/>
    <w:rsid w:val="00E31114"/>
    <w:rsid w:val="00E427EE"/>
    <w:rsid w:val="00E43CC4"/>
    <w:rsid w:val="00E4453F"/>
    <w:rsid w:val="00E60437"/>
    <w:rsid w:val="00E83ED4"/>
    <w:rsid w:val="00E86FF5"/>
    <w:rsid w:val="00EA2AD9"/>
    <w:rsid w:val="00EB6D3E"/>
    <w:rsid w:val="00ED6E08"/>
    <w:rsid w:val="00ED7C7A"/>
    <w:rsid w:val="00EF0D66"/>
    <w:rsid w:val="00F04D0B"/>
    <w:rsid w:val="00F30D54"/>
    <w:rsid w:val="00F44989"/>
    <w:rsid w:val="00F54198"/>
    <w:rsid w:val="00F54757"/>
    <w:rsid w:val="00F807BA"/>
    <w:rsid w:val="00FA2FE5"/>
    <w:rsid w:val="00FC12BF"/>
    <w:rsid w:val="00FC6C37"/>
    <w:rsid w:val="00FD19C1"/>
    <w:rsid w:val="00FD553D"/>
    <w:rsid w:val="00FE5DA0"/>
    <w:rsid w:val="1DE80B7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D692"/>
  <w15:chartTrackingRefBased/>
  <w15:docId w15:val="{C9060873-A6EC-49E2-881A-70F212C6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qFormat/>
    <w:rsid w:val="00721553"/>
    <w:pPr>
      <w:keepNext/>
      <w:numPr>
        <w:numId w:val="17"/>
      </w:numPr>
      <w:spacing w:before="240" w:after="60" w:line="240" w:lineRule="auto"/>
      <w:outlineLvl w:val="0"/>
    </w:pPr>
    <w:rPr>
      <w:rFonts w:ascii="Arial" w:hAnsi="Arial" w:eastAsia="Times New Roman" w:cs="Arial"/>
      <w:b/>
      <w:bCs/>
      <w:kern w:val="32"/>
      <w:sz w:val="32"/>
      <w:szCs w:val="32"/>
      <w:lang w:val="es-ES" w:eastAsia="es-ES"/>
    </w:rPr>
  </w:style>
  <w:style w:type="paragraph" w:styleId="Ttulo2">
    <w:name w:val="heading 2"/>
    <w:basedOn w:val="Normal"/>
    <w:next w:val="Normal"/>
    <w:link w:val="Ttulo2Car"/>
    <w:qFormat/>
    <w:rsid w:val="00721553"/>
    <w:pPr>
      <w:keepNext/>
      <w:numPr>
        <w:ilvl w:val="1"/>
        <w:numId w:val="17"/>
      </w:numPr>
      <w:spacing w:before="240" w:after="60" w:line="240" w:lineRule="auto"/>
      <w:outlineLvl w:val="1"/>
    </w:pPr>
    <w:rPr>
      <w:rFonts w:ascii="Arial" w:hAnsi="Arial" w:eastAsia="Times New Roman" w:cs="Arial"/>
      <w:b/>
      <w:bCs/>
      <w:i/>
      <w:iCs/>
      <w:sz w:val="28"/>
      <w:szCs w:val="28"/>
      <w:lang w:val="es-ES" w:eastAsia="es-ES"/>
    </w:rPr>
  </w:style>
  <w:style w:type="paragraph" w:styleId="Ttulo3">
    <w:name w:val="heading 3"/>
    <w:basedOn w:val="Normal"/>
    <w:next w:val="Normal"/>
    <w:link w:val="Ttulo3Car"/>
    <w:qFormat/>
    <w:rsid w:val="00721553"/>
    <w:pPr>
      <w:keepNext/>
      <w:numPr>
        <w:ilvl w:val="2"/>
        <w:numId w:val="17"/>
      </w:numPr>
      <w:spacing w:before="240" w:after="60" w:line="240" w:lineRule="auto"/>
      <w:outlineLvl w:val="2"/>
    </w:pPr>
    <w:rPr>
      <w:rFonts w:ascii="Arial" w:hAnsi="Arial" w:eastAsia="Times New Roman" w:cs="Arial"/>
      <w:b/>
      <w:bCs/>
      <w:sz w:val="26"/>
      <w:szCs w:val="26"/>
      <w:lang w:val="es-ES" w:eastAsia="es-ES"/>
    </w:rPr>
  </w:style>
  <w:style w:type="paragraph" w:styleId="Ttulo4">
    <w:name w:val="heading 4"/>
    <w:basedOn w:val="Normal"/>
    <w:next w:val="Normal"/>
    <w:link w:val="Ttulo4Car"/>
    <w:qFormat/>
    <w:rsid w:val="00721553"/>
    <w:pPr>
      <w:keepNext/>
      <w:numPr>
        <w:ilvl w:val="3"/>
        <w:numId w:val="17"/>
      </w:numPr>
      <w:spacing w:before="240" w:after="60" w:line="240" w:lineRule="auto"/>
      <w:outlineLvl w:val="3"/>
    </w:pPr>
    <w:rPr>
      <w:rFonts w:ascii="Times New Roman" w:hAnsi="Times New Roman" w:eastAsia="Times New Roman" w:cs="Times New Roman"/>
      <w:b/>
      <w:bCs/>
      <w:sz w:val="28"/>
      <w:szCs w:val="28"/>
      <w:lang w:val="es-ES" w:eastAsia="es-ES"/>
    </w:rPr>
  </w:style>
  <w:style w:type="paragraph" w:styleId="Ttulo5">
    <w:name w:val="heading 5"/>
    <w:basedOn w:val="Normal"/>
    <w:next w:val="Normal"/>
    <w:link w:val="Ttulo5Car"/>
    <w:qFormat/>
    <w:rsid w:val="00721553"/>
    <w:pPr>
      <w:numPr>
        <w:ilvl w:val="4"/>
        <w:numId w:val="17"/>
      </w:numPr>
      <w:spacing w:before="240" w:after="60" w:line="240" w:lineRule="auto"/>
      <w:outlineLvl w:val="4"/>
    </w:pPr>
    <w:rPr>
      <w:rFonts w:ascii="Times New Roman" w:hAnsi="Times New Roman" w:eastAsia="Times New Roman" w:cs="Times New Roman"/>
      <w:b/>
      <w:bCs/>
      <w:i/>
      <w:iCs/>
      <w:sz w:val="26"/>
      <w:szCs w:val="26"/>
      <w:lang w:val="es-ES" w:eastAsia="es-ES"/>
    </w:rPr>
  </w:style>
  <w:style w:type="paragraph" w:styleId="Ttulo6">
    <w:name w:val="heading 6"/>
    <w:basedOn w:val="Normal"/>
    <w:next w:val="Normal"/>
    <w:link w:val="Ttulo6Car"/>
    <w:qFormat/>
    <w:rsid w:val="00721553"/>
    <w:pPr>
      <w:numPr>
        <w:ilvl w:val="5"/>
        <w:numId w:val="17"/>
      </w:numPr>
      <w:spacing w:before="240" w:after="60" w:line="240" w:lineRule="auto"/>
      <w:outlineLvl w:val="5"/>
    </w:pPr>
    <w:rPr>
      <w:rFonts w:ascii="Times New Roman" w:hAnsi="Times New Roman" w:eastAsia="Times New Roman" w:cs="Times New Roman"/>
      <w:b/>
      <w:bCs/>
      <w:lang w:val="es-ES" w:eastAsia="es-ES"/>
    </w:rPr>
  </w:style>
  <w:style w:type="paragraph" w:styleId="Ttulo7">
    <w:name w:val="heading 7"/>
    <w:basedOn w:val="Normal"/>
    <w:next w:val="Normal"/>
    <w:link w:val="Ttulo7Car"/>
    <w:qFormat/>
    <w:rsid w:val="00721553"/>
    <w:pPr>
      <w:numPr>
        <w:ilvl w:val="6"/>
        <w:numId w:val="17"/>
      </w:numPr>
      <w:spacing w:before="240" w:after="60" w:line="240" w:lineRule="auto"/>
      <w:outlineLvl w:val="6"/>
    </w:pPr>
    <w:rPr>
      <w:rFonts w:ascii="Times New Roman" w:hAnsi="Times New Roman" w:eastAsia="Times New Roman" w:cs="Times New Roman"/>
      <w:sz w:val="24"/>
      <w:szCs w:val="24"/>
      <w:lang w:val="es-ES" w:eastAsia="es-ES"/>
    </w:rPr>
  </w:style>
  <w:style w:type="paragraph" w:styleId="Ttulo8">
    <w:name w:val="heading 8"/>
    <w:basedOn w:val="Normal"/>
    <w:next w:val="Normal"/>
    <w:link w:val="Ttulo8Car"/>
    <w:qFormat/>
    <w:rsid w:val="00721553"/>
    <w:pPr>
      <w:numPr>
        <w:ilvl w:val="7"/>
        <w:numId w:val="17"/>
      </w:numPr>
      <w:spacing w:before="240" w:after="60" w:line="240" w:lineRule="auto"/>
      <w:outlineLvl w:val="7"/>
    </w:pPr>
    <w:rPr>
      <w:rFonts w:ascii="Times New Roman" w:hAnsi="Times New Roman" w:eastAsia="Times New Roman" w:cs="Times New Roman"/>
      <w:i/>
      <w:iCs/>
      <w:sz w:val="24"/>
      <w:szCs w:val="24"/>
      <w:lang w:val="es-ES" w:eastAsia="es-ES"/>
    </w:rPr>
  </w:style>
  <w:style w:type="paragraph" w:styleId="Ttulo9">
    <w:name w:val="heading 9"/>
    <w:basedOn w:val="Normal"/>
    <w:next w:val="Normal"/>
    <w:link w:val="Ttulo9Car"/>
    <w:qFormat/>
    <w:rsid w:val="00721553"/>
    <w:pPr>
      <w:numPr>
        <w:ilvl w:val="8"/>
        <w:numId w:val="17"/>
      </w:numPr>
      <w:spacing w:before="240" w:after="60" w:line="240" w:lineRule="auto"/>
      <w:outlineLvl w:val="8"/>
    </w:pPr>
    <w:rPr>
      <w:rFonts w:ascii="Arial" w:hAnsi="Arial" w:eastAsia="Times New Roman" w:cs="Arial"/>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rsid w:val="00721553"/>
    <w:rPr>
      <w:rFonts w:ascii="Arial" w:hAnsi="Arial" w:eastAsia="Times New Roman" w:cs="Arial"/>
      <w:b/>
      <w:bCs/>
      <w:kern w:val="32"/>
      <w:sz w:val="32"/>
      <w:szCs w:val="32"/>
      <w:lang w:val="es-ES" w:eastAsia="es-ES"/>
    </w:rPr>
  </w:style>
  <w:style w:type="character" w:styleId="Ttulo2Car" w:customStyle="1">
    <w:name w:val="Título 2 Car"/>
    <w:basedOn w:val="Fuentedeprrafopredeter"/>
    <w:link w:val="Ttulo2"/>
    <w:rsid w:val="00721553"/>
    <w:rPr>
      <w:rFonts w:ascii="Arial" w:hAnsi="Arial" w:eastAsia="Times New Roman" w:cs="Arial"/>
      <w:b/>
      <w:bCs/>
      <w:i/>
      <w:iCs/>
      <w:sz w:val="28"/>
      <w:szCs w:val="28"/>
      <w:lang w:val="es-ES" w:eastAsia="es-ES"/>
    </w:rPr>
  </w:style>
  <w:style w:type="character" w:styleId="Ttulo3Car" w:customStyle="1">
    <w:name w:val="Título 3 Car"/>
    <w:basedOn w:val="Fuentedeprrafopredeter"/>
    <w:link w:val="Ttulo3"/>
    <w:rsid w:val="00721553"/>
    <w:rPr>
      <w:rFonts w:ascii="Arial" w:hAnsi="Arial" w:eastAsia="Times New Roman" w:cs="Arial"/>
      <w:b/>
      <w:bCs/>
      <w:sz w:val="26"/>
      <w:szCs w:val="26"/>
      <w:lang w:val="es-ES" w:eastAsia="es-ES"/>
    </w:rPr>
  </w:style>
  <w:style w:type="character" w:styleId="Ttulo4Car" w:customStyle="1">
    <w:name w:val="Título 4 Car"/>
    <w:basedOn w:val="Fuentedeprrafopredeter"/>
    <w:link w:val="Ttulo4"/>
    <w:rsid w:val="00721553"/>
    <w:rPr>
      <w:rFonts w:ascii="Times New Roman" w:hAnsi="Times New Roman" w:eastAsia="Times New Roman" w:cs="Times New Roman"/>
      <w:b/>
      <w:bCs/>
      <w:sz w:val="28"/>
      <w:szCs w:val="28"/>
      <w:lang w:val="es-ES" w:eastAsia="es-ES"/>
    </w:rPr>
  </w:style>
  <w:style w:type="character" w:styleId="Ttulo5Car" w:customStyle="1">
    <w:name w:val="Título 5 Car"/>
    <w:basedOn w:val="Fuentedeprrafopredeter"/>
    <w:link w:val="Ttulo5"/>
    <w:rsid w:val="00721553"/>
    <w:rPr>
      <w:rFonts w:ascii="Times New Roman" w:hAnsi="Times New Roman" w:eastAsia="Times New Roman" w:cs="Times New Roman"/>
      <w:b/>
      <w:bCs/>
      <w:i/>
      <w:iCs/>
      <w:sz w:val="26"/>
      <w:szCs w:val="26"/>
      <w:lang w:val="es-ES" w:eastAsia="es-ES"/>
    </w:rPr>
  </w:style>
  <w:style w:type="character" w:styleId="Ttulo6Car" w:customStyle="1">
    <w:name w:val="Título 6 Car"/>
    <w:basedOn w:val="Fuentedeprrafopredeter"/>
    <w:link w:val="Ttulo6"/>
    <w:rsid w:val="00721553"/>
    <w:rPr>
      <w:rFonts w:ascii="Times New Roman" w:hAnsi="Times New Roman" w:eastAsia="Times New Roman" w:cs="Times New Roman"/>
      <w:b/>
      <w:bCs/>
      <w:lang w:val="es-ES" w:eastAsia="es-ES"/>
    </w:rPr>
  </w:style>
  <w:style w:type="character" w:styleId="Ttulo7Car" w:customStyle="1">
    <w:name w:val="Título 7 Car"/>
    <w:basedOn w:val="Fuentedeprrafopredeter"/>
    <w:link w:val="Ttulo7"/>
    <w:rsid w:val="00721553"/>
    <w:rPr>
      <w:rFonts w:ascii="Times New Roman" w:hAnsi="Times New Roman" w:eastAsia="Times New Roman" w:cs="Times New Roman"/>
      <w:sz w:val="24"/>
      <w:szCs w:val="24"/>
      <w:lang w:val="es-ES" w:eastAsia="es-ES"/>
    </w:rPr>
  </w:style>
  <w:style w:type="character" w:styleId="Ttulo8Car" w:customStyle="1">
    <w:name w:val="Título 8 Car"/>
    <w:basedOn w:val="Fuentedeprrafopredeter"/>
    <w:link w:val="Ttulo8"/>
    <w:rsid w:val="00721553"/>
    <w:rPr>
      <w:rFonts w:ascii="Times New Roman" w:hAnsi="Times New Roman" w:eastAsia="Times New Roman" w:cs="Times New Roman"/>
      <w:i/>
      <w:iCs/>
      <w:sz w:val="24"/>
      <w:szCs w:val="24"/>
      <w:lang w:val="es-ES" w:eastAsia="es-ES"/>
    </w:rPr>
  </w:style>
  <w:style w:type="character" w:styleId="Ttulo9Car" w:customStyle="1">
    <w:name w:val="Título 9 Car"/>
    <w:basedOn w:val="Fuentedeprrafopredeter"/>
    <w:link w:val="Ttulo9"/>
    <w:rsid w:val="00721553"/>
    <w:rPr>
      <w:rFonts w:ascii="Arial" w:hAnsi="Arial" w:eastAsia="Times New Roman" w:cs="Arial"/>
      <w:lang w:val="es-ES" w:eastAsia="es-ES"/>
    </w:rPr>
  </w:style>
  <w:style w:type="numbering" w:styleId="Sinlista1" w:customStyle="1">
    <w:name w:val="Sin lista1"/>
    <w:next w:val="Sinlista"/>
    <w:uiPriority w:val="99"/>
    <w:semiHidden/>
    <w:unhideWhenUsed/>
    <w:rsid w:val="00721553"/>
  </w:style>
  <w:style w:type="paragraph" w:styleId="Piedepgina">
    <w:name w:val="footer"/>
    <w:basedOn w:val="Normal"/>
    <w:link w:val="PiedepginaCar"/>
    <w:uiPriority w:val="99"/>
    <w:unhideWhenUsed/>
    <w:rsid w:val="00721553"/>
    <w:pPr>
      <w:tabs>
        <w:tab w:val="center" w:pos="4419"/>
        <w:tab w:val="right" w:pos="8838"/>
      </w:tabs>
      <w:spacing w:after="200" w:line="276" w:lineRule="auto"/>
      <w:jc w:val="both"/>
    </w:pPr>
    <w:rPr>
      <w:sz w:val="24"/>
      <w:lang w:val="es-MX"/>
    </w:rPr>
  </w:style>
  <w:style w:type="character" w:styleId="PiedepginaCar" w:customStyle="1">
    <w:name w:val="Pie de página Car"/>
    <w:basedOn w:val="Fuentedeprrafopredeter"/>
    <w:link w:val="Piedepgina"/>
    <w:uiPriority w:val="99"/>
    <w:rsid w:val="00721553"/>
    <w:rPr>
      <w:sz w:val="24"/>
      <w:lang w:val="es-MX"/>
    </w:rPr>
  </w:style>
  <w:style w:type="paragraph" w:styleId="Textodeglobo">
    <w:name w:val="Balloon Text"/>
    <w:basedOn w:val="Normal"/>
    <w:link w:val="TextodegloboCar"/>
    <w:uiPriority w:val="99"/>
    <w:semiHidden/>
    <w:unhideWhenUsed/>
    <w:rsid w:val="00721553"/>
    <w:pPr>
      <w:spacing w:after="200" w:line="276" w:lineRule="auto"/>
      <w:jc w:val="both"/>
    </w:pPr>
    <w:rPr>
      <w:rFonts w:ascii="Tahoma" w:hAnsi="Tahoma" w:cs="Tahoma"/>
      <w:sz w:val="16"/>
      <w:szCs w:val="16"/>
      <w:lang w:val="es-MX"/>
    </w:rPr>
  </w:style>
  <w:style w:type="character" w:styleId="TextodegloboCar" w:customStyle="1">
    <w:name w:val="Texto de globo Car"/>
    <w:basedOn w:val="Fuentedeprrafopredeter"/>
    <w:link w:val="Textodeglobo"/>
    <w:uiPriority w:val="99"/>
    <w:semiHidden/>
    <w:rsid w:val="00721553"/>
    <w:rPr>
      <w:rFonts w:ascii="Tahoma" w:hAnsi="Tahoma" w:cs="Tahoma"/>
      <w:sz w:val="16"/>
      <w:szCs w:val="16"/>
      <w:lang w:val="es-MX"/>
    </w:rPr>
  </w:style>
  <w:style w:type="paragraph" w:styleId="Encabezado">
    <w:name w:val="header"/>
    <w:basedOn w:val="Normal"/>
    <w:link w:val="EncabezadoCar"/>
    <w:uiPriority w:val="99"/>
    <w:unhideWhenUsed/>
    <w:rsid w:val="00721553"/>
    <w:pPr>
      <w:tabs>
        <w:tab w:val="center" w:pos="4252"/>
        <w:tab w:val="right" w:pos="8504"/>
      </w:tabs>
      <w:spacing w:after="200" w:line="276" w:lineRule="auto"/>
      <w:jc w:val="both"/>
    </w:pPr>
    <w:rPr>
      <w:sz w:val="24"/>
      <w:lang w:val="es-MX"/>
    </w:rPr>
  </w:style>
  <w:style w:type="character" w:styleId="EncabezadoCar" w:customStyle="1">
    <w:name w:val="Encabezado Car"/>
    <w:basedOn w:val="Fuentedeprrafopredeter"/>
    <w:link w:val="Encabezado"/>
    <w:uiPriority w:val="99"/>
    <w:rsid w:val="00721553"/>
    <w:rPr>
      <w:sz w:val="24"/>
      <w:lang w:val="es-MX"/>
    </w:rPr>
  </w:style>
  <w:style w:type="table" w:styleId="Tablaconcuadrcula">
    <w:name w:val="Table Grid"/>
    <w:basedOn w:val="Tablanormal"/>
    <w:uiPriority w:val="39"/>
    <w:rsid w:val="00721553"/>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721553"/>
    <w:pPr>
      <w:spacing w:after="200" w:line="276" w:lineRule="auto"/>
      <w:ind w:left="720"/>
      <w:contextualSpacing/>
      <w:jc w:val="both"/>
    </w:pPr>
    <w:rPr>
      <w:sz w:val="24"/>
      <w:lang w:val="es-MX"/>
    </w:rPr>
  </w:style>
  <w:style w:type="character" w:styleId="Refdecomentario">
    <w:name w:val="annotation reference"/>
    <w:basedOn w:val="Fuentedeprrafopredeter"/>
    <w:uiPriority w:val="99"/>
    <w:semiHidden/>
    <w:unhideWhenUsed/>
    <w:rsid w:val="00721553"/>
    <w:rPr>
      <w:sz w:val="16"/>
      <w:szCs w:val="16"/>
    </w:rPr>
  </w:style>
  <w:style w:type="paragraph" w:styleId="Textocomentario">
    <w:name w:val="annotation text"/>
    <w:basedOn w:val="Normal"/>
    <w:link w:val="TextocomentarioCar"/>
    <w:uiPriority w:val="99"/>
    <w:unhideWhenUsed/>
    <w:rsid w:val="00721553"/>
    <w:pPr>
      <w:spacing w:after="200" w:line="276" w:lineRule="auto"/>
      <w:jc w:val="both"/>
    </w:pPr>
    <w:rPr>
      <w:sz w:val="20"/>
      <w:szCs w:val="20"/>
      <w:lang w:val="es-MX"/>
    </w:rPr>
  </w:style>
  <w:style w:type="character" w:styleId="TextocomentarioCar" w:customStyle="1">
    <w:name w:val="Texto comentario Car"/>
    <w:basedOn w:val="Fuentedeprrafopredeter"/>
    <w:link w:val="Textocomentario"/>
    <w:uiPriority w:val="99"/>
    <w:rsid w:val="00721553"/>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721553"/>
    <w:rPr>
      <w:b/>
      <w:bCs/>
    </w:rPr>
  </w:style>
  <w:style w:type="character" w:styleId="AsuntodelcomentarioCar" w:customStyle="1">
    <w:name w:val="Asunto del comentario Car"/>
    <w:basedOn w:val="TextocomentarioCar"/>
    <w:link w:val="Asuntodelcomentario"/>
    <w:uiPriority w:val="99"/>
    <w:semiHidden/>
    <w:rsid w:val="00721553"/>
    <w:rPr>
      <w:b/>
      <w:bCs/>
      <w:sz w:val="20"/>
      <w:szCs w:val="20"/>
      <w:lang w:val="es-MX"/>
    </w:rPr>
  </w:style>
  <w:style w:type="character" w:styleId="Hipervnculo1" w:customStyle="1">
    <w:name w:val="Hipervínculo1"/>
    <w:basedOn w:val="Fuentedeprrafopredeter"/>
    <w:uiPriority w:val="99"/>
    <w:unhideWhenUsed/>
    <w:rsid w:val="00721553"/>
    <w:rPr>
      <w:color w:val="F2F2F2"/>
      <w:u w:val="single"/>
    </w:rPr>
  </w:style>
  <w:style w:type="paragraph" w:styleId="NormalWeb">
    <w:name w:val="Normal (Web)"/>
    <w:basedOn w:val="Normal"/>
    <w:link w:val="NormalWebCar"/>
    <w:uiPriority w:val="99"/>
    <w:unhideWhenUsed/>
    <w:rsid w:val="00721553"/>
    <w:pPr>
      <w:spacing w:before="100" w:beforeAutospacing="1" w:after="100" w:afterAutospacing="1" w:line="276" w:lineRule="auto"/>
      <w:jc w:val="both"/>
    </w:pPr>
    <w:rPr>
      <w:rFonts w:ascii="Times New Roman" w:hAnsi="Times New Roman" w:eastAsia="Times New Roman" w:cs="Times New Roman"/>
      <w:sz w:val="24"/>
      <w:szCs w:val="24"/>
      <w:lang w:eastAsia="es-CO"/>
    </w:rPr>
  </w:style>
  <w:style w:type="paragraph" w:styleId="Sinespaciado">
    <w:name w:val="No Spacing"/>
    <w:uiPriority w:val="1"/>
    <w:qFormat/>
    <w:rsid w:val="00721553"/>
    <w:pPr>
      <w:spacing w:after="0" w:line="240" w:lineRule="auto"/>
      <w:jc w:val="both"/>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2155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21553"/>
    <w:pPr>
      <w:spacing w:after="200" w:line="276" w:lineRule="auto"/>
      <w:jc w:val="both"/>
    </w:pPr>
    <w:rPr>
      <w:sz w:val="20"/>
      <w:szCs w:val="20"/>
      <w:lang w:val="es-MX"/>
    </w:rPr>
  </w:style>
  <w:style w:type="character" w:styleId="TextonotapieCar1" w:customStyle="1">
    <w:name w:val="Texto nota pie Car1"/>
    <w:basedOn w:val="Fuentedeprrafopredeter"/>
    <w:uiPriority w:val="99"/>
    <w:semiHidden/>
    <w:rsid w:val="00721553"/>
    <w:rPr>
      <w:sz w:val="20"/>
      <w:szCs w:val="20"/>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21553"/>
    <w:rPr>
      <w:sz w:val="24"/>
      <w:lang w:val="es-MX"/>
    </w:rPr>
  </w:style>
  <w:style w:type="paragraph" w:styleId="Capitulo1" w:customStyle="1">
    <w:name w:val="Capitulo 1"/>
    <w:basedOn w:val="Normal"/>
    <w:uiPriority w:val="99"/>
    <w:qFormat/>
    <w:rsid w:val="00721553"/>
    <w:pPr>
      <w:keepNext/>
      <w:spacing w:before="120" w:after="200" w:line="276" w:lineRule="auto"/>
      <w:ind w:left="720" w:hanging="360"/>
      <w:jc w:val="both"/>
      <w:outlineLvl w:val="1"/>
    </w:pPr>
    <w:rPr>
      <w:rFonts w:ascii="Arial" w:hAnsi="Arial" w:eastAsia="Times New Roman"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21553"/>
    <w:rPr>
      <w:vertAlign w:val="superscript"/>
    </w:rPr>
  </w:style>
  <w:style w:type="paragraph" w:styleId="pa22" w:customStyle="1">
    <w:name w:val="pa22"/>
    <w:basedOn w:val="Normal"/>
    <w:rsid w:val="00721553"/>
    <w:pPr>
      <w:spacing w:before="100" w:beforeAutospacing="1" w:after="100" w:afterAutospacing="1" w:line="276" w:lineRule="auto"/>
      <w:jc w:val="both"/>
    </w:pPr>
    <w:rPr>
      <w:rFonts w:ascii="Times New Roman" w:hAnsi="Times New Roman" w:eastAsia="Times New Roman" w:cs="Times New Roman"/>
      <w:sz w:val="24"/>
      <w:szCs w:val="24"/>
      <w:lang w:val="es-ES" w:eastAsia="es-ES"/>
    </w:rPr>
  </w:style>
  <w:style w:type="character" w:styleId="Textoennegrita">
    <w:name w:val="Strong"/>
    <w:basedOn w:val="Fuentedeprrafopredeter"/>
    <w:uiPriority w:val="22"/>
    <w:qFormat/>
    <w:rsid w:val="00721553"/>
    <w:rPr>
      <w:b/>
      <w:bCs/>
    </w:rPr>
  </w:style>
  <w:style w:type="character" w:styleId="nfasis">
    <w:name w:val="Emphasis"/>
    <w:basedOn w:val="Fuentedeprrafopredeter"/>
    <w:uiPriority w:val="20"/>
    <w:qFormat/>
    <w:rsid w:val="00721553"/>
    <w:rPr>
      <w:i/>
      <w:iCs/>
    </w:rPr>
  </w:style>
  <w:style w:type="character" w:styleId="Mencinsinresolver1" w:customStyle="1">
    <w:name w:val="Mención sin resolver1"/>
    <w:basedOn w:val="Fuentedeprrafopredeter"/>
    <w:uiPriority w:val="99"/>
    <w:semiHidden/>
    <w:unhideWhenUsed/>
    <w:rsid w:val="00721553"/>
    <w:rPr>
      <w:color w:val="605E5C"/>
      <w:shd w:val="clear" w:color="auto" w:fill="E1DFDD"/>
    </w:rPr>
  </w:style>
  <w:style w:type="paragraph" w:styleId="Capitulo3" w:customStyle="1">
    <w:name w:val="Capitulo 3"/>
    <w:basedOn w:val="Normal"/>
    <w:qFormat/>
    <w:rsid w:val="00721553"/>
    <w:pPr>
      <w:keepNext/>
      <w:numPr>
        <w:numId w:val="7"/>
      </w:numPr>
      <w:spacing w:before="120" w:after="200" w:line="276" w:lineRule="auto"/>
      <w:jc w:val="both"/>
      <w:outlineLvl w:val="1"/>
    </w:pPr>
    <w:rPr>
      <w:rFonts w:ascii="Arial" w:hAnsi="Arial" w:eastAsia="Times New Roman" w:cs="Arial"/>
      <w:b/>
      <w:color w:val="000000"/>
      <w:sz w:val="20"/>
      <w:szCs w:val="20"/>
      <w:lang w:eastAsia="es-CO"/>
    </w:rPr>
  </w:style>
  <w:style w:type="paragraph" w:styleId="InviasNormal" w:customStyle="1">
    <w:name w:val="Invias Normal"/>
    <w:basedOn w:val="Normal"/>
    <w:link w:val="InviasNormalCar"/>
    <w:qFormat/>
    <w:rsid w:val="00721553"/>
    <w:pPr>
      <w:tabs>
        <w:tab w:val="left" w:pos="-142"/>
      </w:tabs>
      <w:autoSpaceDE w:val="0"/>
      <w:autoSpaceDN w:val="0"/>
      <w:adjustRightInd w:val="0"/>
      <w:spacing w:before="120" w:after="240" w:line="276" w:lineRule="auto"/>
      <w:jc w:val="both"/>
    </w:pPr>
    <w:rPr>
      <w:rFonts w:ascii="Arial Narrow" w:hAnsi="Arial Narrow" w:eastAsia="Times New Roman" w:cs="Times New Roman"/>
      <w:color w:val="3C3C3C"/>
      <w:sz w:val="24"/>
      <w:szCs w:val="24"/>
      <w:lang w:val="x-none" w:eastAsia="es-ES"/>
    </w:rPr>
  </w:style>
  <w:style w:type="character" w:styleId="InviasNormalCar" w:customStyle="1">
    <w:name w:val="Invias Normal Car"/>
    <w:link w:val="InviasNormal"/>
    <w:locked/>
    <w:rsid w:val="00721553"/>
    <w:rPr>
      <w:rFonts w:ascii="Arial Narrow" w:hAnsi="Arial Narrow" w:eastAsia="Times New Roman" w:cs="Times New Roman"/>
      <w:color w:val="3C3C3C"/>
      <w:sz w:val="24"/>
      <w:szCs w:val="24"/>
      <w:lang w:val="x-none" w:eastAsia="es-ES"/>
    </w:rPr>
  </w:style>
  <w:style w:type="paragraph" w:styleId="Entidad-Capitulo" w:customStyle="1">
    <w:name w:val="Entidad-Capitulo"/>
    <w:next w:val="Normal"/>
    <w:autoRedefine/>
    <w:uiPriority w:val="99"/>
    <w:qFormat/>
    <w:rsid w:val="00721553"/>
    <w:pPr>
      <w:keepNext/>
      <w:spacing w:before="240" w:after="0" w:line="240" w:lineRule="auto"/>
      <w:jc w:val="center"/>
      <w:outlineLvl w:val="0"/>
    </w:pPr>
    <w:rPr>
      <w:rFonts w:ascii="Arial" w:hAnsi="Arial" w:eastAsia="Times New Roman" w:cs="Arial"/>
      <w:b/>
      <w:smallCaps/>
      <w:sz w:val="20"/>
      <w:szCs w:val="20"/>
      <w:lang w:eastAsia="es-ES"/>
    </w:rPr>
  </w:style>
  <w:style w:type="paragraph" w:styleId="Revisin">
    <w:name w:val="Revision"/>
    <w:hidden/>
    <w:uiPriority w:val="99"/>
    <w:semiHidden/>
    <w:rsid w:val="00721553"/>
    <w:pPr>
      <w:spacing w:after="0" w:line="240" w:lineRule="auto"/>
      <w:jc w:val="both"/>
    </w:pPr>
    <w:rPr>
      <w:sz w:val="24"/>
      <w:lang w:val="es-MX"/>
    </w:rPr>
  </w:style>
  <w:style w:type="paragraph" w:styleId="Appelnotedebasde" w:customStyle="1">
    <w:name w:val="Appel note de bas de..."/>
    <w:basedOn w:val="Normal"/>
    <w:link w:val="Refdenotaalpie"/>
    <w:uiPriority w:val="99"/>
    <w:rsid w:val="00721553"/>
    <w:pPr>
      <w:spacing w:line="240" w:lineRule="exact"/>
      <w:jc w:val="both"/>
    </w:pPr>
    <w:rPr>
      <w:vertAlign w:val="superscript"/>
    </w:rPr>
  </w:style>
  <w:style w:type="character" w:styleId="NormalWebCar" w:customStyle="1">
    <w:name w:val="Normal (Web) Car"/>
    <w:link w:val="NormalWeb"/>
    <w:uiPriority w:val="99"/>
    <w:locked/>
    <w:rsid w:val="00721553"/>
    <w:rPr>
      <w:rFonts w:ascii="Times New Roman" w:hAnsi="Times New Roman" w:eastAsia="Times New Roman" w:cs="Times New Roman"/>
      <w:sz w:val="24"/>
      <w:szCs w:val="24"/>
      <w:lang w:eastAsia="es-CO"/>
    </w:rPr>
  </w:style>
  <w:style w:type="character" w:styleId="normaltextrun" w:customStyle="1">
    <w:name w:val="normaltextrun"/>
    <w:basedOn w:val="Fuentedeprrafopredeter"/>
    <w:rsid w:val="00721553"/>
  </w:style>
  <w:style w:type="paragraph" w:styleId="Textoindependiente">
    <w:name w:val="Body Text"/>
    <w:basedOn w:val="Normal"/>
    <w:link w:val="TextoindependienteCar"/>
    <w:uiPriority w:val="1"/>
    <w:qFormat/>
    <w:rsid w:val="00721553"/>
    <w:pPr>
      <w:widowControl w:val="0"/>
      <w:autoSpaceDE w:val="0"/>
      <w:autoSpaceDN w:val="0"/>
      <w:spacing w:after="200" w:line="276" w:lineRule="auto"/>
      <w:jc w:val="both"/>
    </w:pPr>
    <w:rPr>
      <w:rFonts w:ascii="Arial" w:hAnsi="Arial" w:eastAsia="Arial" w:cs="Arial"/>
      <w:lang w:val="es-ES" w:eastAsia="es-ES" w:bidi="es-ES"/>
    </w:rPr>
  </w:style>
  <w:style w:type="character" w:styleId="TextoindependienteCar" w:customStyle="1">
    <w:name w:val="Texto independiente Car"/>
    <w:basedOn w:val="Fuentedeprrafopredeter"/>
    <w:link w:val="Textoindependiente"/>
    <w:uiPriority w:val="1"/>
    <w:rsid w:val="00721553"/>
    <w:rPr>
      <w:rFonts w:ascii="Arial" w:hAnsi="Arial" w:eastAsia="Arial" w:cs="Arial"/>
      <w:lang w:val="es-ES" w:eastAsia="es-ES" w:bidi="es-ES"/>
    </w:rPr>
  </w:style>
  <w:style w:type="paragraph" w:styleId="Textonotaalfinal">
    <w:name w:val="endnote text"/>
    <w:basedOn w:val="Normal"/>
    <w:link w:val="TextonotaalfinalCar"/>
    <w:uiPriority w:val="99"/>
    <w:semiHidden/>
    <w:unhideWhenUsed/>
    <w:rsid w:val="00721553"/>
    <w:pPr>
      <w:spacing w:after="200" w:line="276" w:lineRule="auto"/>
      <w:jc w:val="both"/>
    </w:pPr>
    <w:rPr>
      <w:sz w:val="20"/>
      <w:szCs w:val="20"/>
      <w:lang w:val="es-MX"/>
    </w:rPr>
  </w:style>
  <w:style w:type="character" w:styleId="TextonotaalfinalCar" w:customStyle="1">
    <w:name w:val="Texto nota al final Car"/>
    <w:basedOn w:val="Fuentedeprrafopredeter"/>
    <w:link w:val="Textonotaalfinal"/>
    <w:uiPriority w:val="99"/>
    <w:semiHidden/>
    <w:rsid w:val="00721553"/>
    <w:rPr>
      <w:sz w:val="20"/>
      <w:szCs w:val="20"/>
      <w:lang w:val="es-MX"/>
    </w:rPr>
  </w:style>
  <w:style w:type="character" w:styleId="Refdenotaalfinal">
    <w:name w:val="endnote reference"/>
    <w:basedOn w:val="Fuentedeprrafopredeter"/>
    <w:uiPriority w:val="99"/>
    <w:semiHidden/>
    <w:unhideWhenUsed/>
    <w:rsid w:val="00721553"/>
    <w:rPr>
      <w:vertAlign w:val="superscript"/>
    </w:rPr>
  </w:style>
  <w:style w:type="table" w:styleId="Tablaconcuadrcula1" w:customStyle="1">
    <w:name w:val="Tabla con cuadrícula1"/>
    <w:basedOn w:val="Tablanormal"/>
    <w:next w:val="Tablaconcuadrcula"/>
    <w:uiPriority w:val="39"/>
    <w:rsid w:val="007215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721553"/>
  </w:style>
  <w:style w:type="table" w:styleId="Tablaconcuadrcula2" w:customStyle="1">
    <w:name w:val="Tabla con cuadrícula2"/>
    <w:basedOn w:val="Tablanormal"/>
    <w:next w:val="Tablaconcuadrcula"/>
    <w:uiPriority w:val="39"/>
    <w:rsid w:val="00721553"/>
    <w:pPr>
      <w:spacing w:before="120"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3" w:customStyle="1">
    <w:name w:val="Tabla con cuadrícula3"/>
    <w:basedOn w:val="Tablanormal"/>
    <w:next w:val="Tablaconcuadrcula"/>
    <w:uiPriority w:val="39"/>
    <w:rsid w:val="007215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scripcin">
    <w:name w:val="caption"/>
    <w:basedOn w:val="Normal"/>
    <w:next w:val="Normal"/>
    <w:qFormat/>
    <w:rsid w:val="00721553"/>
    <w:pPr>
      <w:overflowPunct w:val="0"/>
      <w:autoSpaceDE w:val="0"/>
      <w:autoSpaceDN w:val="0"/>
      <w:adjustRightInd w:val="0"/>
      <w:spacing w:after="0" w:line="240" w:lineRule="auto"/>
      <w:jc w:val="right"/>
      <w:textAlignment w:val="baseline"/>
    </w:pPr>
    <w:rPr>
      <w:rFonts w:ascii="Verdana" w:hAnsi="Verdana" w:eastAsia="Times New Roman" w:cs="Times New Roman"/>
      <w:b/>
      <w:sz w:val="28"/>
      <w:szCs w:val="20"/>
      <w:lang w:val="es-ES_tradnl" w:eastAsia="es-ES"/>
    </w:rPr>
  </w:style>
  <w:style w:type="paragraph" w:styleId="Default" w:customStyle="1">
    <w:name w:val="Default"/>
    <w:rsid w:val="00721553"/>
    <w:pPr>
      <w:autoSpaceDE w:val="0"/>
      <w:autoSpaceDN w:val="0"/>
      <w:adjustRightInd w:val="0"/>
      <w:spacing w:after="0" w:line="240" w:lineRule="auto"/>
    </w:pPr>
    <w:rPr>
      <w:rFonts w:ascii="Arial" w:hAnsi="Arial" w:cs="Arial"/>
      <w:color w:val="000000"/>
      <w:sz w:val="24"/>
      <w:szCs w:val="24"/>
      <w:lang w:val="es-ES"/>
    </w:rPr>
  </w:style>
  <w:style w:type="paragraph" w:styleId="CM203" w:customStyle="1">
    <w:name w:val="CM203"/>
    <w:basedOn w:val="Normal"/>
    <w:next w:val="Normal"/>
    <w:uiPriority w:val="99"/>
    <w:rsid w:val="00721553"/>
    <w:pPr>
      <w:widowControl w:val="0"/>
      <w:autoSpaceDE w:val="0"/>
      <w:autoSpaceDN w:val="0"/>
      <w:adjustRightInd w:val="0"/>
      <w:spacing w:after="0" w:line="240" w:lineRule="auto"/>
    </w:pPr>
    <w:rPr>
      <w:rFonts w:ascii="Times New Roman" w:hAnsi="Times New Roman" w:eastAsia="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721553"/>
    <w:pPr>
      <w:spacing w:after="120" w:line="480" w:lineRule="auto"/>
      <w:jc w:val="both"/>
    </w:pPr>
    <w:rPr>
      <w:sz w:val="24"/>
      <w:lang w:val="es-MX"/>
    </w:rPr>
  </w:style>
  <w:style w:type="character" w:styleId="Textoindependiente2Car" w:customStyle="1">
    <w:name w:val="Texto independiente 2 Car"/>
    <w:basedOn w:val="Fuentedeprrafopredeter"/>
    <w:link w:val="Textoindependiente2"/>
    <w:uiPriority w:val="99"/>
    <w:semiHidden/>
    <w:rsid w:val="00721553"/>
    <w:rPr>
      <w:sz w:val="24"/>
      <w:lang w:val="es-MX"/>
    </w:rPr>
  </w:style>
  <w:style w:type="character" w:styleId="apple-converted-space" w:customStyle="1">
    <w:name w:val="apple-converted-space"/>
    <w:basedOn w:val="Fuentedeprrafopredeter"/>
    <w:rsid w:val="00721553"/>
  </w:style>
  <w:style w:type="character" w:styleId="Hipervnculo">
    <w:name w:val="Hyperlink"/>
    <w:basedOn w:val="Fuentedeprrafopredeter"/>
    <w:uiPriority w:val="99"/>
    <w:unhideWhenUsed/>
    <w:rsid w:val="00721553"/>
    <w:rPr>
      <w:color w:val="0563C1" w:themeColor="hyperlink"/>
      <w:u w:val="single"/>
    </w:rPr>
  </w:style>
  <w:style w:type="character" w:styleId="Mencinsinresolver">
    <w:name w:val="Unresolved Mention"/>
    <w:basedOn w:val="Fuentedeprrafopredeter"/>
    <w:uiPriority w:val="99"/>
    <w:semiHidden/>
    <w:unhideWhenUsed/>
    <w:rsid w:val="005F2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16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150_2007.html" TargetMode="External"/><Relationship Id="rId2" Type="http://schemas.openxmlformats.org/officeDocument/2006/relationships/hyperlink" Target="http://www.secretariasenado.gov.co/senado/basedoc/ley_1150_2007.html" TargetMode="External"/><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363FC67-CB60-4E2F-AB43-92FB31AAA07F}">
  <ds:schemaRefs>
    <ds:schemaRef ds:uri="http://schemas.openxmlformats.org/officeDocument/2006/bibliography"/>
  </ds:schemaRefs>
</ds:datastoreItem>
</file>

<file path=customXml/itemProps2.xml><?xml version="1.0" encoding="utf-8"?>
<ds:datastoreItem xmlns:ds="http://schemas.openxmlformats.org/officeDocument/2006/customXml" ds:itemID="{63250BCD-ADFD-45AD-97EF-CC87A90F1DC5}"/>
</file>

<file path=customXml/itemProps3.xml><?xml version="1.0" encoding="utf-8"?>
<ds:datastoreItem xmlns:ds="http://schemas.openxmlformats.org/officeDocument/2006/customXml" ds:itemID="{0E218088-8D5E-4FE7-B15D-AB0ADDAD1472}"/>
</file>

<file path=customXml/itemProps4.xml><?xml version="1.0" encoding="utf-8"?>
<ds:datastoreItem xmlns:ds="http://schemas.openxmlformats.org/officeDocument/2006/customXml" ds:itemID="{0AA5D485-9802-480A-BB82-4B0E198805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Diana Lucia Saavedra</dc:creator>
  <keywords/>
  <dc:description/>
  <lastModifiedBy>Diana Lucia Saavedra</lastModifiedBy>
  <revision>6</revision>
  <dcterms:created xsi:type="dcterms:W3CDTF">2022-03-29T17:44:00.0000000Z</dcterms:created>
  <dcterms:modified xsi:type="dcterms:W3CDTF">2022-03-29T18:37:57.6645271Z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