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53CF" w14:textId="4E07FC94" w:rsidR="00B823FD" w:rsidRPr="002B6BAB" w:rsidRDefault="00B823FD" w:rsidP="00B823FD">
      <w:pPr>
        <w:tabs>
          <w:tab w:val="left" w:pos="426"/>
        </w:tabs>
        <w:spacing w:after="0" w:line="240" w:lineRule="auto"/>
        <w:jc w:val="both"/>
        <w:rPr>
          <w:rFonts w:ascii="Arial" w:eastAsia="Calibri" w:hAnsi="Arial" w:cs="Arial"/>
          <w:b/>
          <w:bCs/>
          <w:lang w:val="es-ES_tradnl"/>
        </w:rPr>
      </w:pPr>
      <w:bookmarkStart w:id="0" w:name="_Hlk77165666"/>
      <w:bookmarkStart w:id="1" w:name="_Hlk78821436"/>
      <w:r w:rsidRPr="002B6BAB">
        <w:rPr>
          <w:rFonts w:ascii="Arial" w:eastAsia="Calibri" w:hAnsi="Arial" w:cs="Arial"/>
          <w:b/>
          <w:bCs/>
          <w:lang w:val="es-ES_tradnl"/>
        </w:rPr>
        <w:t xml:space="preserve">LEY DE GARANTÍAS ELECTORALES ─ Prohibición ‒ </w:t>
      </w:r>
      <w:bookmarkEnd w:id="0"/>
      <w:r w:rsidRPr="002B6BAB">
        <w:rPr>
          <w:rFonts w:ascii="Arial" w:eastAsia="Calibri" w:hAnsi="Arial" w:cs="Arial"/>
          <w:b/>
          <w:bCs/>
          <w:lang w:val="es-ES_tradnl"/>
        </w:rPr>
        <w:t xml:space="preserve">Contratación directa ‒ Alcance – </w:t>
      </w:r>
      <w:r w:rsidRPr="002B6BAB">
        <w:rPr>
          <w:rFonts w:ascii="Arial" w:eastAsia="Times New Roman" w:hAnsi="Arial" w:cs="Arial"/>
          <w:b/>
          <w:bCs/>
          <w:lang w:val="es-ES_tradnl" w:eastAsia="es-CO"/>
        </w:rPr>
        <w:t>Excepciones</w:t>
      </w:r>
      <w:r w:rsidRPr="002B6BAB">
        <w:rPr>
          <w:rFonts w:ascii="Arial" w:eastAsia="Calibri" w:hAnsi="Arial" w:cs="Arial"/>
          <w:b/>
          <w:bCs/>
          <w:lang w:val="es-ES_tradnl"/>
        </w:rPr>
        <w:t xml:space="preserve"> </w:t>
      </w:r>
      <w:r w:rsidR="00822AB3">
        <w:rPr>
          <w:rFonts w:ascii="Arial" w:eastAsia="Calibri" w:hAnsi="Arial" w:cs="Arial"/>
          <w:b/>
          <w:bCs/>
          <w:lang w:val="es-ES_tradnl"/>
        </w:rPr>
        <w:t>– Destinatarios</w:t>
      </w:r>
    </w:p>
    <w:p w14:paraId="78E035D7" w14:textId="77777777" w:rsidR="00B823FD" w:rsidRPr="002B6BAB" w:rsidRDefault="00B823FD" w:rsidP="00B823FD">
      <w:pPr>
        <w:tabs>
          <w:tab w:val="left" w:pos="426"/>
        </w:tabs>
        <w:spacing w:after="0" w:line="240" w:lineRule="auto"/>
        <w:jc w:val="both"/>
        <w:rPr>
          <w:rFonts w:ascii="Arial" w:eastAsia="Calibri" w:hAnsi="Arial" w:cs="Arial"/>
          <w:noProof/>
          <w:sz w:val="20"/>
          <w:szCs w:val="20"/>
          <w:lang w:val="es-ES_tradnl"/>
        </w:rPr>
      </w:pPr>
    </w:p>
    <w:p w14:paraId="292372EA" w14:textId="414803A1" w:rsidR="00B823FD" w:rsidRDefault="00B823FD" w:rsidP="00B823FD">
      <w:pPr>
        <w:tabs>
          <w:tab w:val="left" w:pos="426"/>
        </w:tabs>
        <w:spacing w:after="0" w:line="240" w:lineRule="auto"/>
        <w:jc w:val="both"/>
        <w:rPr>
          <w:rFonts w:ascii="Arial" w:eastAsia="Calibri" w:hAnsi="Arial" w:cs="Arial"/>
          <w:noProof/>
          <w:sz w:val="20"/>
          <w:szCs w:val="20"/>
          <w:lang w:val="es-ES_tradnl"/>
        </w:rPr>
      </w:pPr>
      <w:r w:rsidRPr="002B6BAB">
        <w:rPr>
          <w:rFonts w:ascii="Arial" w:eastAsia="Calibri" w:hAnsi="Arial" w:cs="Arial"/>
          <w:noProof/>
          <w:sz w:val="20"/>
          <w:szCs w:val="20"/>
          <w:lang w:val="es-ES_tradnl"/>
        </w:rPr>
        <w:t>[…]</w:t>
      </w:r>
      <w:r w:rsidR="001C4698">
        <w:rPr>
          <w:rFonts w:ascii="Arial" w:eastAsia="Calibri" w:hAnsi="Arial" w:cs="Arial"/>
          <w:noProof/>
          <w:sz w:val="20"/>
          <w:szCs w:val="20"/>
          <w:lang w:val="es-ES_tradnl"/>
        </w:rPr>
        <w:t xml:space="preserve"> </w:t>
      </w:r>
      <w:r w:rsidR="001C4698" w:rsidRPr="001C4698">
        <w:rPr>
          <w:rFonts w:ascii="Arial" w:eastAsia="Calibri" w:hAnsi="Arial" w:cs="Arial"/>
          <w:noProof/>
          <w:sz w:val="20"/>
          <w:szCs w:val="20"/>
          <w:lang w:val="es-ES_tradnl"/>
        </w:rPr>
        <w:t>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02C02137" w14:textId="6B89CBD4" w:rsidR="00822AB3" w:rsidRDefault="00822AB3" w:rsidP="00B823FD">
      <w:pPr>
        <w:tabs>
          <w:tab w:val="left" w:pos="426"/>
        </w:tabs>
        <w:spacing w:after="0" w:line="240" w:lineRule="auto"/>
        <w:jc w:val="both"/>
        <w:rPr>
          <w:rFonts w:ascii="Arial" w:eastAsia="Calibri" w:hAnsi="Arial" w:cs="Arial"/>
          <w:noProof/>
          <w:sz w:val="20"/>
          <w:szCs w:val="20"/>
          <w:lang w:val="es-ES_tradnl"/>
        </w:rPr>
      </w:pPr>
      <w:r>
        <w:rPr>
          <w:rFonts w:ascii="Arial" w:eastAsia="Calibri" w:hAnsi="Arial" w:cs="Arial"/>
          <w:noProof/>
          <w:sz w:val="20"/>
          <w:szCs w:val="20"/>
          <w:lang w:val="es-ES_tradnl"/>
        </w:rPr>
        <w:t>[…]</w:t>
      </w:r>
    </w:p>
    <w:p w14:paraId="2F68DCA7" w14:textId="2A593CE0" w:rsidR="00822AB3" w:rsidRDefault="00822AB3" w:rsidP="00B823FD">
      <w:pPr>
        <w:tabs>
          <w:tab w:val="left" w:pos="426"/>
        </w:tabs>
        <w:spacing w:after="0" w:line="240" w:lineRule="auto"/>
        <w:jc w:val="both"/>
        <w:rPr>
          <w:rFonts w:ascii="Arial" w:eastAsia="Calibri" w:hAnsi="Arial" w:cs="Arial"/>
          <w:noProof/>
          <w:sz w:val="20"/>
          <w:szCs w:val="20"/>
          <w:lang w:val="es-ES_tradnl"/>
        </w:rPr>
      </w:pPr>
      <w:r w:rsidRPr="00822AB3">
        <w:rPr>
          <w:rFonts w:ascii="Arial" w:eastAsia="Calibri" w:hAnsi="Arial" w:cs="Arial"/>
          <w:noProof/>
          <w:sz w:val="20"/>
          <w:szCs w:val="20"/>
          <w:lang w:val="es-ES_tradnl"/>
        </w:rPr>
        <w:t>Ahora bien, particularmente, el artículo 33 de la Ley 996 de 2005 señala expresamente a los destinatarios de la prohibición, indicando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r>
        <w:rPr>
          <w:rFonts w:ascii="Arial" w:eastAsia="Calibri" w:hAnsi="Arial" w:cs="Arial"/>
          <w:noProof/>
          <w:sz w:val="20"/>
          <w:szCs w:val="20"/>
          <w:lang w:val="es-ES_tradnl"/>
        </w:rPr>
        <w:t>. […]</w:t>
      </w:r>
    </w:p>
    <w:p w14:paraId="5B4012CC" w14:textId="5E3BCA3C" w:rsidR="00822AB3" w:rsidRDefault="00822AB3" w:rsidP="00B823FD">
      <w:pPr>
        <w:tabs>
          <w:tab w:val="left" w:pos="426"/>
        </w:tabs>
        <w:spacing w:after="0" w:line="240" w:lineRule="auto"/>
        <w:jc w:val="both"/>
        <w:rPr>
          <w:rFonts w:ascii="Arial" w:eastAsia="Calibri" w:hAnsi="Arial" w:cs="Arial"/>
          <w:noProof/>
          <w:sz w:val="20"/>
          <w:szCs w:val="20"/>
          <w:lang w:val="es-ES_tradnl"/>
        </w:rPr>
      </w:pPr>
      <w:r>
        <w:rPr>
          <w:rFonts w:ascii="Arial" w:eastAsia="Calibri" w:hAnsi="Arial" w:cs="Arial"/>
          <w:noProof/>
          <w:sz w:val="20"/>
          <w:szCs w:val="20"/>
          <w:lang w:val="es-ES_tradnl"/>
        </w:rPr>
        <w:t>[…]</w:t>
      </w:r>
    </w:p>
    <w:p w14:paraId="1E52BA60" w14:textId="0CF8AC55" w:rsidR="00B823FD" w:rsidRDefault="00B823FD" w:rsidP="00B823FD">
      <w:pPr>
        <w:tabs>
          <w:tab w:val="left" w:pos="426"/>
        </w:tabs>
        <w:spacing w:after="0" w:line="240" w:lineRule="auto"/>
        <w:jc w:val="both"/>
        <w:rPr>
          <w:rFonts w:ascii="Arial" w:eastAsia="Calibri" w:hAnsi="Arial" w:cs="Arial"/>
          <w:noProof/>
          <w:sz w:val="20"/>
          <w:szCs w:val="20"/>
          <w:lang w:val="es-ES_tradnl"/>
        </w:rPr>
      </w:pPr>
      <w:r>
        <w:rPr>
          <w:rFonts w:ascii="Arial" w:eastAsia="Calibri" w:hAnsi="Arial" w:cs="Arial"/>
          <w:noProof/>
          <w:sz w:val="20"/>
          <w:szCs w:val="20"/>
          <w:lang w:val="es-ES_tradnl"/>
        </w:rPr>
        <w:t xml:space="preserve">[…] </w:t>
      </w:r>
      <w:r w:rsidR="001C4698" w:rsidRPr="001C4698">
        <w:rPr>
          <w:rFonts w:ascii="Arial" w:eastAsia="Calibri" w:hAnsi="Arial" w:cs="Arial"/>
          <w:noProof/>
          <w:sz w:val="20"/>
          <w:szCs w:val="20"/>
          <w:lang w:val="es-ES_tradnl"/>
        </w:rPr>
        <w:t>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 Esta posición es congruente con la expedición de la Ley 1150 de 2007 que, entre otras reformas, introdujo la selección abreviada, rediseñó el concurso de méritos  y sistematizó las causales de contratación directa.</w:t>
      </w:r>
    </w:p>
    <w:p w14:paraId="2E2293ED" w14:textId="7C1FEEE7" w:rsidR="00DB4CB1" w:rsidRDefault="00DB4CB1" w:rsidP="00B823FD">
      <w:pPr>
        <w:tabs>
          <w:tab w:val="left" w:pos="426"/>
        </w:tabs>
        <w:spacing w:after="0" w:line="240" w:lineRule="auto"/>
        <w:jc w:val="both"/>
        <w:rPr>
          <w:rFonts w:ascii="Arial" w:eastAsia="Calibri" w:hAnsi="Arial" w:cs="Arial"/>
          <w:noProof/>
          <w:lang w:val="es-ES_tradnl"/>
        </w:rPr>
      </w:pPr>
    </w:p>
    <w:p w14:paraId="701D1C23" w14:textId="2938AC63" w:rsidR="00501FB3" w:rsidRPr="00EA6132" w:rsidRDefault="00501FB3" w:rsidP="00B823FD">
      <w:pPr>
        <w:tabs>
          <w:tab w:val="left" w:pos="426"/>
        </w:tabs>
        <w:spacing w:after="0" w:line="240" w:lineRule="auto"/>
        <w:jc w:val="both"/>
        <w:rPr>
          <w:rFonts w:ascii="Arial" w:eastAsia="Calibri" w:hAnsi="Arial" w:cs="Arial"/>
          <w:b/>
          <w:bCs/>
          <w:noProof/>
          <w:lang w:val="es-ES_tradnl"/>
        </w:rPr>
      </w:pPr>
      <w:r w:rsidRPr="00EA6132">
        <w:rPr>
          <w:rFonts w:ascii="Arial" w:eastAsia="Calibri" w:hAnsi="Arial" w:cs="Arial"/>
          <w:b/>
          <w:bCs/>
          <w:noProof/>
          <w:lang w:val="es-ES_tradnl"/>
        </w:rPr>
        <w:t xml:space="preserve">LEY DE GARANTÍAS – Contratos con organismos internacionales </w:t>
      </w:r>
      <w:r w:rsidR="00B73DCD" w:rsidRPr="00EA6132">
        <w:rPr>
          <w:rFonts w:ascii="Arial" w:eastAsia="Calibri" w:hAnsi="Arial" w:cs="Arial"/>
          <w:b/>
          <w:bCs/>
          <w:noProof/>
          <w:lang w:val="es-ES_tradnl"/>
        </w:rPr>
        <w:t>–</w:t>
      </w:r>
      <w:r w:rsidRPr="00EA6132">
        <w:rPr>
          <w:rFonts w:ascii="Arial" w:eastAsia="Calibri" w:hAnsi="Arial" w:cs="Arial"/>
          <w:b/>
          <w:bCs/>
          <w:noProof/>
          <w:lang w:val="es-ES_tradnl"/>
        </w:rPr>
        <w:t xml:space="preserve"> Aplicaci</w:t>
      </w:r>
      <w:r w:rsidR="00B73DCD" w:rsidRPr="00EA6132">
        <w:rPr>
          <w:rFonts w:ascii="Arial" w:eastAsia="Calibri" w:hAnsi="Arial" w:cs="Arial"/>
          <w:b/>
          <w:bCs/>
          <w:noProof/>
          <w:lang w:val="es-ES_tradnl"/>
        </w:rPr>
        <w:t>ón</w:t>
      </w:r>
    </w:p>
    <w:p w14:paraId="7E3A1D6A" w14:textId="16876857" w:rsidR="00DE3D65" w:rsidRDefault="00DE3D65" w:rsidP="00B823FD">
      <w:pPr>
        <w:tabs>
          <w:tab w:val="left" w:pos="426"/>
        </w:tabs>
        <w:spacing w:after="0" w:line="240" w:lineRule="auto"/>
        <w:jc w:val="both"/>
        <w:rPr>
          <w:rFonts w:ascii="Arial" w:eastAsia="Calibri" w:hAnsi="Arial" w:cs="Arial"/>
          <w:noProof/>
          <w:lang w:val="es-ES_tradnl"/>
        </w:rPr>
      </w:pPr>
    </w:p>
    <w:p w14:paraId="1681734C" w14:textId="483D645A" w:rsidR="00DE3D65" w:rsidRPr="00EA6132" w:rsidRDefault="00DE3D65" w:rsidP="00DE3D65">
      <w:pPr>
        <w:tabs>
          <w:tab w:val="left" w:pos="426"/>
        </w:tabs>
        <w:spacing w:after="0" w:line="240" w:lineRule="auto"/>
        <w:jc w:val="both"/>
        <w:rPr>
          <w:rFonts w:ascii="Arial" w:eastAsia="Calibri" w:hAnsi="Arial" w:cs="Arial"/>
          <w:noProof/>
          <w:sz w:val="20"/>
          <w:szCs w:val="20"/>
          <w:lang w:val="es-ES_tradnl"/>
        </w:rPr>
      </w:pPr>
      <w:r w:rsidRPr="00EA6132">
        <w:rPr>
          <w:rFonts w:ascii="Arial" w:eastAsia="Calibri" w:hAnsi="Arial" w:cs="Arial"/>
          <w:noProof/>
          <w:sz w:val="20"/>
          <w:szCs w:val="20"/>
          <w:lang w:val="es-ES_tradnl"/>
        </w:rPr>
        <w:t>[…]</w:t>
      </w:r>
      <w:r w:rsidR="00A84372" w:rsidRPr="00A84372">
        <w:rPr>
          <w:rFonts w:ascii="Arial" w:eastAsia="Calibri" w:hAnsi="Arial" w:cs="Arial"/>
          <w:noProof/>
          <w:sz w:val="20"/>
          <w:szCs w:val="20"/>
          <w:lang w:val="es-ES_tradnl"/>
        </w:rPr>
        <w:t>para la restricción del artículo 33 de la Ley 996 de 2005 es necesario considerar que el artículo 20 de la Ley 1150 de 2007 consagra un régimen jurídico que exceptúa la aplicación del Estatuto General de Contratación de la Administración Pública. A diferencia del régimen de las empresas de servicios públicos domiciliarios, las empresas industriales y comerciales del Estado, las empresas sociales del Estado, entre otras, la excepción prevista para los contratos suscritos con organismos internacionales –más que privilegiar la competencia económica– flexibiliza el régimen contractual aplicable . Para la doctrina, esta excepción se consagra de acuerdo con el objeto del contrato celebrado, por lo que no se realiza en consideración al sector específico al que pertenece la entidad, la asignación de un esquema legal propio a esta o por la naturaleza del fondo encargado de administrar recursos públicos</w:t>
      </w:r>
      <w:r w:rsidR="00A84372">
        <w:rPr>
          <w:rFonts w:ascii="Arial" w:eastAsia="Calibri" w:hAnsi="Arial" w:cs="Arial"/>
          <w:noProof/>
          <w:sz w:val="20"/>
          <w:szCs w:val="20"/>
          <w:lang w:val="es-ES_tradnl"/>
        </w:rPr>
        <w:t>.</w:t>
      </w:r>
      <w:r w:rsidRPr="00EA6132">
        <w:rPr>
          <w:rFonts w:ascii="Arial" w:eastAsia="Calibri" w:hAnsi="Arial" w:cs="Arial"/>
          <w:noProof/>
          <w:sz w:val="20"/>
          <w:szCs w:val="20"/>
          <w:lang w:val="es-ES_tradnl"/>
        </w:rPr>
        <w:t xml:space="preserve"> […]</w:t>
      </w:r>
    </w:p>
    <w:p w14:paraId="63BA9CC2" w14:textId="6D123314" w:rsidR="00DE3D65" w:rsidRPr="00EA6132" w:rsidRDefault="00A84372" w:rsidP="00DE3D65">
      <w:pPr>
        <w:tabs>
          <w:tab w:val="left" w:pos="426"/>
        </w:tabs>
        <w:spacing w:after="0" w:line="240" w:lineRule="auto"/>
        <w:jc w:val="both"/>
        <w:rPr>
          <w:rFonts w:ascii="Arial" w:eastAsia="Calibri" w:hAnsi="Arial" w:cs="Arial"/>
          <w:noProof/>
          <w:sz w:val="20"/>
          <w:szCs w:val="20"/>
          <w:lang w:val="es-ES_tradnl"/>
        </w:rPr>
      </w:pPr>
      <w:r w:rsidRPr="00A84372">
        <w:rPr>
          <w:rFonts w:ascii="Arial" w:eastAsia="Calibri" w:hAnsi="Arial" w:cs="Arial"/>
          <w:noProof/>
          <w:sz w:val="20"/>
          <w:szCs w:val="20"/>
          <w:lang w:val="es-ES_tradnl"/>
        </w:rPr>
        <w:t xml:space="preserve">Pese a lo anterior, la prohibición de contratación directa de la Ley de Garantías es independiente del régimen contractual. Así la Sala de Consulta y Servicio Civil del Consejo de Estado explica que «La prohibición contenida en el artículo 33, desde el punto de vista objetivo o material, comprende la contratación directa, entendida como cualquier mecanismo </w:t>
      </w:r>
      <w:r w:rsidRPr="00A84372">
        <w:rPr>
          <w:rFonts w:ascii="Arial" w:eastAsia="Calibri" w:hAnsi="Arial" w:cs="Arial"/>
          <w:noProof/>
          <w:sz w:val="20"/>
          <w:szCs w:val="20"/>
          <w:lang w:val="es-ES_tradnl"/>
        </w:rPr>
        <w:lastRenderedPageBreak/>
        <w:t>de escogencia del contratista en el que se prescinde de la licitación o concurso, sin que se tenga en cuenta por el legislador estatutario el régimen de contratación aplicable, ya sea contenido en el Estatuto General de Contratación de la Administración Pública o uno especial en razón del objeto, del contrato o del órgano que contrata»  (Énfasis fuera de texto). Por tanto, durante la vigencia de la prohibición del artículo 33 de la Ley 996 de 2005 está restringida cualquier modalidad de selección que excluya la pluralidad de oferentes en el régimen especial de contratación con organismos internacionales.</w:t>
      </w:r>
    </w:p>
    <w:p w14:paraId="6B80D0F0" w14:textId="47DC666C" w:rsidR="00F30711" w:rsidRDefault="00F30711" w:rsidP="00DE3D65">
      <w:pPr>
        <w:tabs>
          <w:tab w:val="left" w:pos="426"/>
        </w:tabs>
        <w:spacing w:after="0" w:line="240" w:lineRule="auto"/>
        <w:jc w:val="both"/>
        <w:rPr>
          <w:rFonts w:ascii="Arial" w:eastAsia="Calibri" w:hAnsi="Arial" w:cs="Arial"/>
          <w:noProof/>
          <w:lang w:val="es-ES_tradnl"/>
        </w:rPr>
      </w:pPr>
    </w:p>
    <w:p w14:paraId="6D5211FA" w14:textId="5367A6F2" w:rsidR="00F30711" w:rsidRPr="00EA6132" w:rsidRDefault="00F30711" w:rsidP="00DE3D65">
      <w:pPr>
        <w:tabs>
          <w:tab w:val="left" w:pos="426"/>
        </w:tabs>
        <w:spacing w:after="0" w:line="240" w:lineRule="auto"/>
        <w:jc w:val="both"/>
        <w:rPr>
          <w:rFonts w:ascii="Arial" w:eastAsia="Calibri" w:hAnsi="Arial" w:cs="Arial"/>
          <w:b/>
          <w:bCs/>
          <w:noProof/>
          <w:lang w:val="es-ES_tradnl"/>
        </w:rPr>
      </w:pPr>
      <w:r w:rsidRPr="00EA6132">
        <w:rPr>
          <w:rFonts w:ascii="Arial" w:eastAsia="Calibri" w:hAnsi="Arial" w:cs="Arial"/>
          <w:b/>
          <w:bCs/>
          <w:noProof/>
          <w:lang w:val="es-ES_tradnl"/>
        </w:rPr>
        <w:t>LEY DE GARANTÍAS – Contratación con ESAL – Aplicación</w:t>
      </w:r>
      <w:r w:rsidR="00E437EB" w:rsidRPr="00EA6132">
        <w:rPr>
          <w:rFonts w:ascii="Arial" w:eastAsia="Calibri" w:hAnsi="Arial" w:cs="Arial"/>
          <w:b/>
          <w:bCs/>
          <w:noProof/>
          <w:lang w:val="es-ES_tradnl"/>
        </w:rPr>
        <w:t xml:space="preserve"> – Restricciones</w:t>
      </w:r>
    </w:p>
    <w:p w14:paraId="60549C16" w14:textId="4A7C7B7D" w:rsidR="00E437EB" w:rsidRDefault="00E437EB" w:rsidP="00DE3D65">
      <w:pPr>
        <w:tabs>
          <w:tab w:val="left" w:pos="426"/>
        </w:tabs>
        <w:spacing w:after="0" w:line="240" w:lineRule="auto"/>
        <w:jc w:val="both"/>
        <w:rPr>
          <w:rFonts w:ascii="Arial" w:eastAsia="Calibri" w:hAnsi="Arial" w:cs="Arial"/>
          <w:noProof/>
          <w:lang w:val="es-ES_tradnl"/>
        </w:rPr>
      </w:pPr>
    </w:p>
    <w:p w14:paraId="249A41A1" w14:textId="2FC4368B" w:rsidR="00E437EB" w:rsidRPr="00EA6132" w:rsidRDefault="00A84372" w:rsidP="00DE3D65">
      <w:pPr>
        <w:tabs>
          <w:tab w:val="left" w:pos="426"/>
        </w:tabs>
        <w:spacing w:after="0" w:line="240" w:lineRule="auto"/>
        <w:jc w:val="both"/>
        <w:rPr>
          <w:rFonts w:ascii="Arial" w:eastAsia="Calibri" w:hAnsi="Arial" w:cs="Arial"/>
          <w:noProof/>
          <w:sz w:val="20"/>
          <w:szCs w:val="20"/>
          <w:lang w:val="es-ES_tradnl"/>
        </w:rPr>
      </w:pPr>
      <w:r w:rsidRPr="00A84372">
        <w:rPr>
          <w:rFonts w:ascii="Arial" w:eastAsia="Calibri" w:hAnsi="Arial" w:cs="Arial"/>
          <w:noProof/>
          <w:sz w:val="20"/>
          <w:szCs w:val="20"/>
          <w:lang w:val="es-ES_tradnl"/>
        </w:rPr>
        <w:t>El Gobierno Nacional, en desarrollo del artículo 355 de la Constitución, expidió el Decreto 092 de 2017, que dispone las reglas para las contrataciones que realicen las entidades estatales con las ESAL. El Decreto regula dos [2] eventos: i) los contratos de colaboración o de interés público con el fin de impulsar programas y actividades de interés público de acuerdo con el plan nacional o los planes seccionales de desarrollo, en los términos del artículo 355 de la Constitución Política, y ii) los convenios de asociación, para el desarrollo conjunto de actividades relacionadas con las funciones de las entidades estatales, en desarrollo del artículo 96 de la Ley 489 de 1998. Los primeros están regulados en el artículo 2 del Decreto 092 de 2017, mientras que los segundos están previstos en el artículo 5 ibidem. Así, es posible diferenciar, los convenios de asociación, regulados en el artículo 5, de los contratos de colaboración, establecidos en el artículo 2 del Decreto 092 de 2017.</w:t>
      </w:r>
    </w:p>
    <w:p w14:paraId="328E3C8D" w14:textId="25422742" w:rsidR="00EA6132" w:rsidRPr="00EA6132" w:rsidRDefault="00EA6132" w:rsidP="00DE3D65">
      <w:pPr>
        <w:tabs>
          <w:tab w:val="left" w:pos="426"/>
        </w:tabs>
        <w:spacing w:after="0" w:line="240" w:lineRule="auto"/>
        <w:jc w:val="both"/>
        <w:rPr>
          <w:rFonts w:ascii="Arial" w:eastAsia="Calibri" w:hAnsi="Arial" w:cs="Arial"/>
          <w:noProof/>
          <w:sz w:val="20"/>
          <w:szCs w:val="20"/>
          <w:lang w:val="es-ES_tradnl"/>
        </w:rPr>
      </w:pPr>
      <w:r w:rsidRPr="00EA6132">
        <w:rPr>
          <w:rFonts w:ascii="Arial" w:eastAsia="Calibri" w:hAnsi="Arial" w:cs="Arial"/>
          <w:noProof/>
          <w:sz w:val="20"/>
          <w:szCs w:val="20"/>
          <w:lang w:val="es-ES_tradnl"/>
        </w:rPr>
        <w:t>[…]</w:t>
      </w:r>
    </w:p>
    <w:p w14:paraId="75E8D628" w14:textId="0434D0AF" w:rsidR="00EA6132" w:rsidRPr="00EA6132" w:rsidRDefault="00250B23" w:rsidP="00DE3D65">
      <w:pPr>
        <w:tabs>
          <w:tab w:val="left" w:pos="426"/>
        </w:tabs>
        <w:spacing w:after="0" w:line="240" w:lineRule="auto"/>
        <w:jc w:val="both"/>
        <w:rPr>
          <w:rFonts w:ascii="Arial" w:eastAsia="Calibri" w:hAnsi="Arial" w:cs="Arial"/>
          <w:noProof/>
          <w:sz w:val="20"/>
          <w:szCs w:val="20"/>
          <w:lang w:val="es-ES_tradnl"/>
        </w:rPr>
      </w:pPr>
      <w:r w:rsidRPr="00250B23">
        <w:rPr>
          <w:rFonts w:ascii="Arial" w:eastAsia="Calibri" w:hAnsi="Arial" w:cs="Arial"/>
          <w:noProof/>
          <w:sz w:val="20"/>
          <w:szCs w:val="20"/>
          <w:lang w:val="es-ES_tradnl"/>
        </w:rPr>
        <w:t>En contraste, la restricción citada no aplicaría a los convenios de asociación que celebren las entidades estatales y las ESAL bajo el procedimiento competitivo, pues este supone la pluralidad de oferentes y la selección objetiva del contratista. Conforme al artículo 5 del Decreto 092 de 2017, esta es la regla general, salvo en aquellos casos en que una ESAL comprometa recursos en dinero por un valor igual o superior al 30% del valor total del convenio, siempre que la entidad estatal verifique previamente que no existe ninguna otra ESAL que ofrezca aportes iguales o superiores a dicho porcentaje, supuesto excepcional en que procede la selección directa.</w:t>
      </w:r>
    </w:p>
    <w:p w14:paraId="2148268E" w14:textId="67FBE0A9" w:rsidR="00B73DCD" w:rsidRDefault="00B73DCD" w:rsidP="00B823FD">
      <w:pPr>
        <w:tabs>
          <w:tab w:val="left" w:pos="426"/>
        </w:tabs>
        <w:spacing w:after="0" w:line="240" w:lineRule="auto"/>
        <w:jc w:val="both"/>
        <w:rPr>
          <w:rFonts w:ascii="Arial" w:eastAsia="Calibri" w:hAnsi="Arial" w:cs="Arial"/>
          <w:noProof/>
          <w:lang w:val="es-ES_tradnl"/>
        </w:rPr>
      </w:pPr>
    </w:p>
    <w:p w14:paraId="44E6B3BF" w14:textId="77777777" w:rsidR="00B73DCD" w:rsidRPr="00501FB3" w:rsidRDefault="00B73DCD" w:rsidP="00B823FD">
      <w:pPr>
        <w:tabs>
          <w:tab w:val="left" w:pos="426"/>
        </w:tabs>
        <w:spacing w:after="0" w:line="240" w:lineRule="auto"/>
        <w:jc w:val="both"/>
        <w:rPr>
          <w:rFonts w:ascii="Arial" w:eastAsia="Calibri" w:hAnsi="Arial" w:cs="Arial"/>
          <w:noProof/>
          <w:lang w:val="es-ES_tradnl"/>
        </w:rPr>
      </w:pPr>
    </w:p>
    <w:p w14:paraId="69C76DC1" w14:textId="77777777" w:rsidR="00DB4CB1" w:rsidRPr="002B6BAB" w:rsidRDefault="00DB4CB1" w:rsidP="00B823FD">
      <w:pPr>
        <w:tabs>
          <w:tab w:val="left" w:pos="426"/>
        </w:tabs>
        <w:spacing w:after="0" w:line="240" w:lineRule="auto"/>
        <w:jc w:val="both"/>
        <w:rPr>
          <w:rFonts w:ascii="Arial" w:eastAsia="Calibri" w:hAnsi="Arial" w:cs="Arial"/>
          <w:noProof/>
          <w:sz w:val="20"/>
          <w:szCs w:val="20"/>
          <w:lang w:val="es-ES_tradnl"/>
        </w:rPr>
      </w:pPr>
    </w:p>
    <w:p w14:paraId="4BA646FB" w14:textId="77777777" w:rsidR="00B823FD" w:rsidRPr="002B6BAB" w:rsidRDefault="00B823FD" w:rsidP="00B823FD">
      <w:pPr>
        <w:spacing w:after="200" w:line="276" w:lineRule="auto"/>
        <w:jc w:val="both"/>
        <w:rPr>
          <w:rFonts w:ascii="Arial" w:eastAsia="Calibri" w:hAnsi="Arial" w:cs="Arial"/>
          <w:b/>
          <w:bCs/>
          <w:lang w:val="es-ES_tradnl"/>
        </w:rPr>
      </w:pPr>
      <w:bookmarkStart w:id="2" w:name="_Hlk29890381"/>
      <w:bookmarkEnd w:id="1"/>
      <w:bookmarkEnd w:id="2"/>
      <w:r w:rsidRPr="002B6BAB">
        <w:rPr>
          <w:rFonts w:ascii="Arial" w:eastAsia="Calibri" w:hAnsi="Arial" w:cs="Arial"/>
          <w:b/>
          <w:bCs/>
          <w:lang w:val="es-ES_tradnl"/>
        </w:rPr>
        <w:br w:type="page"/>
      </w:r>
    </w:p>
    <w:p w14:paraId="5DBB908C" w14:textId="24D557F7" w:rsidR="002163C6" w:rsidRPr="002B6BAB" w:rsidRDefault="008E0AEF" w:rsidP="008E0AEF">
      <w:pPr>
        <w:spacing w:after="0" w:line="276" w:lineRule="auto"/>
        <w:jc w:val="right"/>
        <w:rPr>
          <w:rFonts w:ascii="Arial" w:eastAsia="Times New Roman" w:hAnsi="Arial" w:cs="Arial"/>
          <w:b/>
          <w:bCs/>
          <w:sz w:val="16"/>
          <w:szCs w:val="16"/>
          <w:lang w:val="es-ES_tradnl" w:eastAsia="es-ES"/>
        </w:rPr>
      </w:pPr>
      <w:r>
        <w:rPr>
          <w:rFonts w:ascii="Arial" w:eastAsia="Times New Roman" w:hAnsi="Arial" w:cs="Arial"/>
          <w:b/>
          <w:bCs/>
          <w:noProof/>
          <w:sz w:val="16"/>
          <w:szCs w:val="16"/>
          <w:lang w:val="es-ES_tradnl" w:eastAsia="es-ES"/>
        </w:rPr>
        <w:lastRenderedPageBreak/>
        <w:drawing>
          <wp:inline distT="0" distB="0" distL="0" distR="0" wp14:anchorId="166E3AB9" wp14:editId="3896487A">
            <wp:extent cx="3053369" cy="830580"/>
            <wp:effectExtent l="0" t="0" r="0" b="7620"/>
            <wp:docPr id="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3071658" cy="835555"/>
                    </a:xfrm>
                    <a:prstGeom prst="rect">
                      <a:avLst/>
                    </a:prstGeom>
                  </pic:spPr>
                </pic:pic>
              </a:graphicData>
            </a:graphic>
          </wp:inline>
        </w:drawing>
      </w:r>
    </w:p>
    <w:p w14:paraId="58FD9A3C" w14:textId="77777777" w:rsidR="00B823FD" w:rsidRPr="002B6BAB" w:rsidRDefault="00B823FD" w:rsidP="00B823FD">
      <w:pPr>
        <w:spacing w:after="0" w:line="276" w:lineRule="auto"/>
        <w:jc w:val="right"/>
        <w:rPr>
          <w:rFonts w:ascii="Arial" w:eastAsia="Times New Roman" w:hAnsi="Arial" w:cs="Arial"/>
          <w:b/>
          <w:bCs/>
          <w:sz w:val="16"/>
          <w:szCs w:val="16"/>
          <w:lang w:val="es-ES_tradnl" w:eastAsia="es-ES"/>
        </w:rPr>
      </w:pPr>
    </w:p>
    <w:p w14:paraId="1412E330" w14:textId="77777777" w:rsidR="00B823FD" w:rsidRPr="002B6BAB" w:rsidRDefault="00B823FD" w:rsidP="00B823FD">
      <w:pPr>
        <w:spacing w:after="0" w:line="276" w:lineRule="auto"/>
        <w:jc w:val="right"/>
        <w:rPr>
          <w:rFonts w:ascii="Arial" w:eastAsia="Times New Roman" w:hAnsi="Arial" w:cs="Arial"/>
          <w:b/>
          <w:bCs/>
          <w:sz w:val="16"/>
          <w:szCs w:val="16"/>
          <w:lang w:val="es-ES_tradnl" w:eastAsia="es-ES"/>
        </w:rPr>
      </w:pPr>
    </w:p>
    <w:p w14:paraId="7ADA4191" w14:textId="77777777" w:rsidR="00B823FD" w:rsidRPr="00410615" w:rsidRDefault="00B823FD" w:rsidP="00B823FD">
      <w:pPr>
        <w:spacing w:after="0" w:line="276" w:lineRule="auto"/>
        <w:jc w:val="right"/>
        <w:rPr>
          <w:rFonts w:ascii="Arial" w:eastAsia="Calibri" w:hAnsi="Arial" w:cs="Arial"/>
          <w:sz w:val="16"/>
          <w:szCs w:val="16"/>
          <w:lang w:val="es-ES_tradnl"/>
        </w:rPr>
      </w:pPr>
      <w:r w:rsidRPr="00410615">
        <w:rPr>
          <w:rFonts w:ascii="Arial" w:eastAsia="Times New Roman" w:hAnsi="Arial" w:cs="Arial"/>
          <w:sz w:val="16"/>
          <w:szCs w:val="16"/>
          <w:lang w:val="es-ES_tradnl" w:eastAsia="es-ES"/>
        </w:rPr>
        <w:t>CCE-DES-FM-17</w:t>
      </w:r>
    </w:p>
    <w:p w14:paraId="34EA62AD" w14:textId="77777777" w:rsidR="00B823FD" w:rsidRPr="002B6BAB" w:rsidRDefault="00B823FD" w:rsidP="00B823FD">
      <w:pPr>
        <w:spacing w:after="0" w:line="240" w:lineRule="auto"/>
        <w:jc w:val="both"/>
        <w:rPr>
          <w:rFonts w:ascii="Arial" w:eastAsia="Calibri" w:hAnsi="Arial" w:cs="Arial"/>
          <w:noProof/>
          <w:lang w:val="es-ES_tradnl"/>
        </w:rPr>
      </w:pPr>
    </w:p>
    <w:p w14:paraId="1ED853E0" w14:textId="77777777" w:rsidR="00B823FD" w:rsidRDefault="00B823FD" w:rsidP="00B823FD">
      <w:pPr>
        <w:spacing w:after="0" w:line="240" w:lineRule="auto"/>
        <w:jc w:val="both"/>
        <w:rPr>
          <w:rFonts w:ascii="Arial" w:eastAsia="Calibri" w:hAnsi="Arial" w:cs="Arial"/>
          <w:lang w:val="es-ES_tradnl"/>
        </w:rPr>
      </w:pPr>
    </w:p>
    <w:p w14:paraId="6C1687B9" w14:textId="520FBC5E" w:rsidR="00B823FD" w:rsidRPr="002B6BAB" w:rsidRDefault="00B823FD" w:rsidP="00B823FD">
      <w:pPr>
        <w:spacing w:after="0" w:line="240" w:lineRule="auto"/>
        <w:jc w:val="both"/>
        <w:rPr>
          <w:rFonts w:ascii="Arial" w:eastAsia="Calibri" w:hAnsi="Arial" w:cs="Arial"/>
          <w:lang w:val="es-ES_tradnl"/>
        </w:rPr>
      </w:pPr>
      <w:r w:rsidRPr="002B6BAB">
        <w:rPr>
          <w:rFonts w:ascii="Arial" w:eastAsia="Calibri" w:hAnsi="Arial" w:cs="Arial"/>
          <w:lang w:val="es-ES_tradnl"/>
        </w:rPr>
        <w:t>Señor</w:t>
      </w:r>
      <w:r>
        <w:rPr>
          <w:rFonts w:ascii="Arial" w:eastAsia="Calibri" w:hAnsi="Arial" w:cs="Arial"/>
          <w:lang w:val="es-ES_tradnl"/>
        </w:rPr>
        <w:t>a</w:t>
      </w:r>
    </w:p>
    <w:p w14:paraId="3761ABC2" w14:textId="3A7880D6" w:rsidR="00B823FD" w:rsidRPr="002B6BAB" w:rsidRDefault="00B823FD" w:rsidP="00B823FD">
      <w:pPr>
        <w:spacing w:after="0" w:line="240" w:lineRule="auto"/>
        <w:jc w:val="both"/>
        <w:rPr>
          <w:rFonts w:ascii="Arial" w:eastAsia="Calibri" w:hAnsi="Arial" w:cs="Arial"/>
          <w:b/>
          <w:lang w:val="es-ES_tradnl"/>
        </w:rPr>
      </w:pPr>
      <w:r>
        <w:rPr>
          <w:rFonts w:ascii="Arial" w:eastAsia="Calibri" w:hAnsi="Arial" w:cs="Arial"/>
          <w:b/>
          <w:lang w:val="es-ES_tradnl"/>
        </w:rPr>
        <w:t>Erika María Ramos Dávila</w:t>
      </w:r>
    </w:p>
    <w:p w14:paraId="39070C84" w14:textId="276966A5" w:rsidR="00B823FD" w:rsidRPr="002B6BAB" w:rsidRDefault="00961DA6" w:rsidP="00B823FD">
      <w:pPr>
        <w:spacing w:after="0" w:line="240" w:lineRule="auto"/>
        <w:jc w:val="both"/>
        <w:rPr>
          <w:rFonts w:ascii="Arial" w:eastAsia="Calibri" w:hAnsi="Arial" w:cs="Arial"/>
          <w:lang w:val="es-ES_tradnl"/>
        </w:rPr>
      </w:pPr>
      <w:r>
        <w:rPr>
          <w:rFonts w:ascii="Arial" w:eastAsia="Calibri" w:hAnsi="Arial" w:cs="Arial"/>
          <w:lang w:val="es-ES_tradnl"/>
        </w:rPr>
        <w:t>Ibagué, Tolima</w:t>
      </w:r>
    </w:p>
    <w:p w14:paraId="5E77F207" w14:textId="77777777" w:rsidR="00B823FD" w:rsidRPr="002B6BAB" w:rsidRDefault="00B823FD" w:rsidP="00B823FD">
      <w:pPr>
        <w:spacing w:after="0" w:line="240" w:lineRule="auto"/>
        <w:jc w:val="both"/>
        <w:rPr>
          <w:rFonts w:ascii="Arial" w:eastAsia="Calibri" w:hAnsi="Arial" w:cs="Arial"/>
          <w:lang w:val="es-ES_tradnl"/>
        </w:rPr>
      </w:pPr>
    </w:p>
    <w:p w14:paraId="3A8CDAB9" w14:textId="11938443" w:rsidR="00B823FD" w:rsidRPr="002B6BAB" w:rsidRDefault="00B823FD" w:rsidP="00B823FD">
      <w:pPr>
        <w:spacing w:after="0" w:line="240" w:lineRule="auto"/>
        <w:jc w:val="both"/>
        <w:rPr>
          <w:rFonts w:ascii="Arial" w:eastAsia="Calibri" w:hAnsi="Arial" w:cs="Arial"/>
          <w:lang w:val="es-ES_tradnl"/>
        </w:rPr>
      </w:pPr>
      <w:r w:rsidRPr="002B6BAB">
        <w:rPr>
          <w:rFonts w:ascii="Arial" w:eastAsia="Calibri" w:hAnsi="Arial" w:cs="Arial"/>
          <w:lang w:val="es-ES_tradnl"/>
        </w:rPr>
        <w:t xml:space="preserve">                                            </w:t>
      </w:r>
      <w:r w:rsidRPr="002B6BAB">
        <w:rPr>
          <w:rFonts w:ascii="Arial" w:eastAsia="Calibri" w:hAnsi="Arial" w:cs="Arial"/>
          <w:b/>
          <w:lang w:val="es-ES_tradnl"/>
        </w:rPr>
        <w:t>Concepto C</w:t>
      </w:r>
      <w:r w:rsidR="00EF6E49">
        <w:rPr>
          <w:rFonts w:ascii="Arial" w:eastAsia="Calibri" w:hAnsi="Arial" w:cs="Arial"/>
          <w:b/>
          <w:lang w:val="es-ES_tradnl"/>
        </w:rPr>
        <w:t>-</w:t>
      </w:r>
      <w:r>
        <w:rPr>
          <w:rFonts w:ascii="Arial" w:eastAsia="Calibri" w:hAnsi="Arial" w:cs="Arial"/>
          <w:b/>
          <w:lang w:val="es-ES_tradnl"/>
        </w:rPr>
        <w:t>106</w:t>
      </w:r>
      <w:r w:rsidRPr="002B6BAB">
        <w:rPr>
          <w:rFonts w:ascii="Arial" w:eastAsia="Calibri" w:hAnsi="Arial" w:cs="Arial"/>
          <w:b/>
          <w:lang w:val="es-ES_tradnl"/>
        </w:rPr>
        <w:t xml:space="preserve"> de 2022</w:t>
      </w:r>
      <w:r w:rsidRPr="002B6BAB">
        <w:rPr>
          <w:rFonts w:ascii="Arial" w:eastAsia="Calibri" w:hAnsi="Arial" w:cs="Arial"/>
          <w:lang w:val="es-ES_tradnl"/>
        </w:rPr>
        <w:t xml:space="preserve"> </w:t>
      </w:r>
    </w:p>
    <w:p w14:paraId="48AFBF6D" w14:textId="77777777" w:rsidR="00B823FD" w:rsidRPr="002B6BAB" w:rsidRDefault="00B823FD" w:rsidP="00B823FD">
      <w:pPr>
        <w:spacing w:after="0" w:line="240" w:lineRule="auto"/>
        <w:jc w:val="both"/>
        <w:rPr>
          <w:rFonts w:ascii="Arial" w:eastAsia="Calibri" w:hAnsi="Arial" w:cs="Arial"/>
          <w:b/>
          <w:lang w:val="es-ES_tradnl"/>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823FD" w:rsidRPr="002B6BAB" w14:paraId="00FC9723" w14:textId="77777777" w:rsidTr="006934E0">
        <w:trPr>
          <w:trHeight w:val="485"/>
        </w:trPr>
        <w:tc>
          <w:tcPr>
            <w:tcW w:w="2689" w:type="dxa"/>
            <w:hideMark/>
          </w:tcPr>
          <w:p w14:paraId="194F98BC" w14:textId="77777777" w:rsidR="00B823FD" w:rsidRPr="002B6BAB" w:rsidRDefault="00B823FD" w:rsidP="006934E0">
            <w:pPr>
              <w:contextualSpacing/>
              <w:rPr>
                <w:rFonts w:ascii="Arial" w:eastAsia="Calibri" w:hAnsi="Arial" w:cs="Arial"/>
                <w:noProof/>
                <w:lang w:val="es-ES_tradnl"/>
              </w:rPr>
            </w:pPr>
            <w:r w:rsidRPr="002B6BAB">
              <w:rPr>
                <w:rFonts w:ascii="Arial" w:eastAsia="Calibri" w:hAnsi="Arial" w:cs="Arial"/>
                <w:b/>
                <w:noProof/>
                <w:lang w:val="es-ES_tradnl"/>
              </w:rPr>
              <w:t>Temas:</w:t>
            </w:r>
            <w:r w:rsidRPr="002B6BAB">
              <w:rPr>
                <w:rFonts w:ascii="Arial" w:eastAsia="Calibri" w:hAnsi="Arial" w:cs="Arial"/>
                <w:noProof/>
                <w:lang w:val="es-ES_tradnl"/>
              </w:rPr>
              <w:t xml:space="preserve">        </w:t>
            </w:r>
          </w:p>
        </w:tc>
        <w:tc>
          <w:tcPr>
            <w:tcW w:w="6237" w:type="dxa"/>
            <w:hideMark/>
          </w:tcPr>
          <w:p w14:paraId="1515F5A1" w14:textId="66F060F9" w:rsidR="00B823FD" w:rsidRPr="00D87561" w:rsidRDefault="00250B23" w:rsidP="001C4698">
            <w:pPr>
              <w:jc w:val="both"/>
              <w:rPr>
                <w:rFonts w:ascii="Arial" w:eastAsia="Calibri" w:hAnsi="Arial" w:cs="Arial"/>
                <w:highlight w:val="yellow"/>
                <w:lang w:val="es-ES_tradnl"/>
              </w:rPr>
            </w:pPr>
            <w:r w:rsidRPr="00250B23">
              <w:rPr>
                <w:rFonts w:ascii="Arial" w:eastAsia="Calibri" w:hAnsi="Arial" w:cs="Arial"/>
                <w:lang w:val="es-ES_tradnl"/>
              </w:rPr>
              <w:t>LEY DE GARANTÍAS ELECTORALES ─ Prohibición ‒ Contratación directa ‒ Alcance – Excepciones – Destinatarios</w:t>
            </w:r>
            <w:r>
              <w:rPr>
                <w:rFonts w:ascii="Arial" w:eastAsia="Calibri" w:hAnsi="Arial" w:cs="Arial"/>
                <w:lang w:val="es-ES_tradnl"/>
              </w:rPr>
              <w:t xml:space="preserve"> </w:t>
            </w:r>
            <w:r w:rsidR="00463A7C">
              <w:rPr>
                <w:rFonts w:ascii="Arial" w:eastAsia="Calibri" w:hAnsi="Arial" w:cs="Arial"/>
                <w:lang w:val="es-ES_tradnl"/>
              </w:rPr>
              <w:t>/</w:t>
            </w:r>
            <w:r>
              <w:rPr>
                <w:rFonts w:ascii="Arial" w:eastAsia="Calibri" w:hAnsi="Arial" w:cs="Arial"/>
                <w:lang w:val="es-ES_tradnl"/>
              </w:rPr>
              <w:t xml:space="preserve"> </w:t>
            </w:r>
            <w:r w:rsidR="00463A7C" w:rsidRPr="00463A7C">
              <w:rPr>
                <w:rFonts w:ascii="Arial" w:eastAsia="Calibri" w:hAnsi="Arial" w:cs="Arial"/>
                <w:lang w:val="es-ES_tradnl"/>
              </w:rPr>
              <w:t>LEY DE GARANTÍAS – Contratos con organismos internacionales – Aplicación</w:t>
            </w:r>
            <w:r w:rsidR="00463A7C">
              <w:rPr>
                <w:rFonts w:ascii="Arial" w:eastAsia="Calibri" w:hAnsi="Arial" w:cs="Arial"/>
                <w:lang w:val="es-ES_tradnl"/>
              </w:rPr>
              <w:t xml:space="preserve"> / </w:t>
            </w:r>
            <w:r w:rsidR="00463A7C" w:rsidRPr="00463A7C">
              <w:rPr>
                <w:rFonts w:ascii="Arial" w:eastAsia="Calibri" w:hAnsi="Arial" w:cs="Arial"/>
                <w:lang w:val="es-ES_tradnl"/>
              </w:rPr>
              <w:t>LEY DE GARANTÍAS – Contratación con ESAL – Aplicación – Restricciones</w:t>
            </w:r>
          </w:p>
          <w:p w14:paraId="067CE8D3" w14:textId="77777777" w:rsidR="00B823FD" w:rsidRPr="00D87561" w:rsidRDefault="00B823FD" w:rsidP="006934E0">
            <w:pPr>
              <w:spacing w:after="120"/>
              <w:rPr>
                <w:rFonts w:ascii="Arial" w:eastAsia="Calibri" w:hAnsi="Arial" w:cs="Arial"/>
                <w:highlight w:val="yellow"/>
                <w:lang w:val="es-ES_tradnl"/>
              </w:rPr>
            </w:pPr>
          </w:p>
        </w:tc>
      </w:tr>
      <w:tr w:rsidR="00B823FD" w:rsidRPr="002B6BAB" w14:paraId="44CC89BF" w14:textId="77777777" w:rsidTr="006934E0">
        <w:tc>
          <w:tcPr>
            <w:tcW w:w="2689" w:type="dxa"/>
          </w:tcPr>
          <w:p w14:paraId="753EBAD5" w14:textId="77777777" w:rsidR="00B823FD" w:rsidRPr="002B6BAB" w:rsidRDefault="00B823FD" w:rsidP="006934E0">
            <w:pPr>
              <w:contextualSpacing/>
              <w:rPr>
                <w:rFonts w:ascii="Arial" w:eastAsia="Calibri" w:hAnsi="Arial" w:cs="Arial"/>
                <w:b/>
                <w:noProof/>
                <w:lang w:val="es-ES_tradnl"/>
              </w:rPr>
            </w:pPr>
            <w:r w:rsidRPr="002B6BAB">
              <w:rPr>
                <w:rFonts w:ascii="Arial" w:eastAsia="Calibri" w:hAnsi="Arial" w:cs="Arial"/>
                <w:b/>
                <w:noProof/>
                <w:lang w:val="es-ES_tradnl"/>
              </w:rPr>
              <w:t>Radicación:</w:t>
            </w:r>
            <w:r w:rsidRPr="002B6BAB">
              <w:rPr>
                <w:rFonts w:ascii="Arial" w:eastAsia="Calibri" w:hAnsi="Arial" w:cs="Arial"/>
                <w:noProof/>
                <w:lang w:val="es-ES_tradnl"/>
              </w:rPr>
              <w:t xml:space="preserve">                              </w:t>
            </w:r>
          </w:p>
        </w:tc>
        <w:tc>
          <w:tcPr>
            <w:tcW w:w="6237" w:type="dxa"/>
          </w:tcPr>
          <w:p w14:paraId="0292622A" w14:textId="4393EBBE" w:rsidR="00B823FD" w:rsidRPr="002B6BAB" w:rsidRDefault="00B823FD" w:rsidP="006934E0">
            <w:pPr>
              <w:contextualSpacing/>
              <w:jc w:val="both"/>
              <w:rPr>
                <w:rFonts w:ascii="Arial" w:eastAsia="Calibri" w:hAnsi="Arial" w:cs="Arial"/>
                <w:noProof/>
                <w:lang w:val="es-ES_tradnl"/>
              </w:rPr>
            </w:pPr>
            <w:r w:rsidRPr="002B6BAB">
              <w:rPr>
                <w:rFonts w:ascii="Arial" w:eastAsia="Calibri" w:hAnsi="Arial" w:cs="Arial"/>
                <w:noProof/>
                <w:lang w:val="es-ES_tradnl"/>
              </w:rPr>
              <w:t>Respuesta a consult</w:t>
            </w:r>
            <w:r>
              <w:rPr>
                <w:rFonts w:ascii="Arial" w:eastAsia="Calibri" w:hAnsi="Arial" w:cs="Arial"/>
                <w:noProof/>
                <w:lang w:val="es-ES_tradnl"/>
              </w:rPr>
              <w:t>a</w:t>
            </w:r>
            <w:r w:rsidRPr="002B6BAB">
              <w:rPr>
                <w:rFonts w:ascii="Arial" w:eastAsia="Calibri" w:hAnsi="Arial" w:cs="Arial"/>
                <w:noProof/>
                <w:lang w:val="es-ES_tradnl"/>
              </w:rPr>
              <w:t xml:space="preserve"> # P2022</w:t>
            </w:r>
            <w:r>
              <w:rPr>
                <w:rFonts w:ascii="Arial" w:eastAsia="Calibri" w:hAnsi="Arial" w:cs="Arial"/>
                <w:noProof/>
                <w:lang w:val="es-ES_tradnl"/>
              </w:rPr>
              <w:t>0207001158</w:t>
            </w:r>
          </w:p>
        </w:tc>
      </w:tr>
    </w:tbl>
    <w:p w14:paraId="75CD4FD5" w14:textId="77777777" w:rsidR="00B823FD" w:rsidRPr="002B6BAB" w:rsidRDefault="00B823FD" w:rsidP="00B823FD">
      <w:pPr>
        <w:spacing w:after="0" w:line="240" w:lineRule="auto"/>
        <w:jc w:val="both"/>
        <w:rPr>
          <w:rFonts w:ascii="Arial" w:eastAsia="Calibri" w:hAnsi="Arial" w:cs="Arial"/>
          <w:lang w:val="es-ES_tradnl"/>
        </w:rPr>
      </w:pPr>
    </w:p>
    <w:p w14:paraId="607CA15A" w14:textId="77777777" w:rsidR="00B823FD" w:rsidRPr="002B6BAB" w:rsidRDefault="00B823FD" w:rsidP="00B823FD">
      <w:pPr>
        <w:spacing w:after="0" w:line="240" w:lineRule="auto"/>
        <w:jc w:val="both"/>
        <w:rPr>
          <w:rFonts w:ascii="Arial" w:eastAsia="Calibri" w:hAnsi="Arial" w:cs="Arial"/>
          <w:lang w:val="es-ES_tradnl"/>
        </w:rPr>
      </w:pPr>
    </w:p>
    <w:p w14:paraId="2846E704" w14:textId="13096C22" w:rsidR="00B823FD" w:rsidRPr="002B6BAB" w:rsidRDefault="00B823FD" w:rsidP="00B823FD">
      <w:pPr>
        <w:spacing w:after="0" w:line="276" w:lineRule="auto"/>
        <w:jc w:val="both"/>
        <w:rPr>
          <w:rFonts w:ascii="Arial" w:eastAsia="Calibri" w:hAnsi="Arial" w:cs="Arial"/>
          <w:lang w:val="es-ES_tradnl"/>
        </w:rPr>
      </w:pPr>
      <w:r w:rsidRPr="002B6BAB">
        <w:rPr>
          <w:rFonts w:ascii="Arial" w:eastAsia="Calibri" w:hAnsi="Arial" w:cs="Arial"/>
          <w:lang w:val="es-ES_tradnl"/>
        </w:rPr>
        <w:t>Estima</w:t>
      </w:r>
      <w:r>
        <w:rPr>
          <w:rFonts w:ascii="Arial" w:eastAsia="Calibri" w:hAnsi="Arial" w:cs="Arial"/>
          <w:lang w:val="es-ES_tradnl"/>
        </w:rPr>
        <w:t>da señora Ramos Dávila</w:t>
      </w:r>
      <w:r w:rsidRPr="002B6BAB">
        <w:rPr>
          <w:rFonts w:ascii="Arial" w:eastAsia="Calibri" w:hAnsi="Arial" w:cs="Arial"/>
          <w:lang w:val="es-ES_tradnl"/>
        </w:rPr>
        <w:t>;</w:t>
      </w:r>
    </w:p>
    <w:p w14:paraId="43195ED1" w14:textId="77777777" w:rsidR="00B823FD" w:rsidRPr="002B6BAB" w:rsidRDefault="00B823FD" w:rsidP="00B823FD">
      <w:pPr>
        <w:spacing w:after="0" w:line="276" w:lineRule="auto"/>
        <w:ind w:firstLine="709"/>
        <w:jc w:val="both"/>
        <w:rPr>
          <w:rFonts w:ascii="Arial" w:eastAsia="Calibri" w:hAnsi="Arial" w:cs="Arial"/>
          <w:lang w:val="es-ES_tradnl"/>
        </w:rPr>
      </w:pPr>
    </w:p>
    <w:p w14:paraId="3F575403" w14:textId="1F4FECB6" w:rsidR="00B823FD" w:rsidRPr="002B6BAB" w:rsidRDefault="00B823FD" w:rsidP="00B823FD">
      <w:pPr>
        <w:spacing w:after="0" w:line="276" w:lineRule="auto"/>
        <w:ind w:right="51"/>
        <w:jc w:val="both"/>
        <w:rPr>
          <w:rFonts w:ascii="Arial" w:eastAsia="Calibri" w:hAnsi="Arial" w:cs="Arial"/>
          <w:lang w:val="es-ES_tradnl"/>
        </w:rPr>
      </w:pPr>
      <w:r w:rsidRPr="002B6BAB">
        <w:rPr>
          <w:rFonts w:ascii="Arial" w:eastAsia="Calibri" w:hAnsi="Arial" w:cs="Arial"/>
          <w:lang w:val="es-ES_tradnl"/>
        </w:rPr>
        <w:t xml:space="preserve">En ejercicio de la competencia otorgada por el numeral 8 del artículo 11 y el numeral 5 del artículo 3 del Decreto Ley 4170 de 2011, la Agencia Nacional de Contratación Pública – Colombia Compra Eficiente responde </w:t>
      </w:r>
      <w:r>
        <w:rPr>
          <w:rFonts w:ascii="Arial" w:eastAsia="Calibri" w:hAnsi="Arial" w:cs="Arial"/>
          <w:lang w:val="es-ES_tradnl"/>
        </w:rPr>
        <w:t>su consulta del 7 de febrero de 2022.</w:t>
      </w:r>
    </w:p>
    <w:p w14:paraId="143EDA00" w14:textId="77777777" w:rsidR="00B823FD" w:rsidRPr="002B6BAB" w:rsidRDefault="00B823FD" w:rsidP="00B823FD">
      <w:pPr>
        <w:spacing w:after="0" w:line="276" w:lineRule="auto"/>
        <w:jc w:val="both"/>
        <w:rPr>
          <w:rFonts w:ascii="Arial" w:eastAsia="Calibri" w:hAnsi="Arial" w:cs="Arial"/>
          <w:lang w:val="es-ES_tradnl"/>
        </w:rPr>
      </w:pPr>
    </w:p>
    <w:p w14:paraId="4A3DDC7C" w14:textId="77777777" w:rsidR="00B823FD" w:rsidRPr="002B6BAB" w:rsidRDefault="00B823FD" w:rsidP="00B823FD">
      <w:pPr>
        <w:tabs>
          <w:tab w:val="left" w:pos="284"/>
        </w:tabs>
        <w:spacing w:after="0" w:line="276" w:lineRule="auto"/>
        <w:jc w:val="both"/>
        <w:rPr>
          <w:rFonts w:ascii="Arial" w:eastAsia="Calibri" w:hAnsi="Arial" w:cs="Arial"/>
          <w:b/>
          <w:lang w:val="es-ES_tradnl"/>
        </w:rPr>
      </w:pPr>
      <w:r w:rsidRPr="002B6BAB">
        <w:rPr>
          <w:rFonts w:ascii="Arial" w:eastAsia="Calibri" w:hAnsi="Arial" w:cs="Arial"/>
          <w:b/>
          <w:lang w:val="es-ES_tradnl"/>
        </w:rPr>
        <w:t xml:space="preserve">1. Problema planteado </w:t>
      </w:r>
    </w:p>
    <w:p w14:paraId="42405A83" w14:textId="77777777" w:rsidR="00B823FD" w:rsidRPr="002B6BAB" w:rsidRDefault="00B823FD" w:rsidP="00B823FD">
      <w:pPr>
        <w:tabs>
          <w:tab w:val="left" w:pos="284"/>
        </w:tabs>
        <w:spacing w:after="0" w:line="276" w:lineRule="auto"/>
        <w:ind w:firstLine="709"/>
        <w:contextualSpacing/>
        <w:jc w:val="both"/>
        <w:rPr>
          <w:rFonts w:ascii="Arial" w:eastAsia="Calibri" w:hAnsi="Arial" w:cs="Arial"/>
          <w:b/>
          <w:lang w:val="es-ES_tradnl"/>
        </w:rPr>
      </w:pPr>
    </w:p>
    <w:p w14:paraId="39DD28C9" w14:textId="77777777" w:rsidR="00B823FD" w:rsidRPr="002B6BAB" w:rsidRDefault="00B823FD" w:rsidP="00B823FD">
      <w:pPr>
        <w:autoSpaceDE w:val="0"/>
        <w:autoSpaceDN w:val="0"/>
        <w:adjustRightInd w:val="0"/>
        <w:spacing w:after="0" w:line="276" w:lineRule="auto"/>
        <w:jc w:val="both"/>
        <w:rPr>
          <w:rFonts w:ascii="Arial" w:eastAsia="Calibri" w:hAnsi="Arial" w:cs="Arial"/>
          <w:lang w:val="es-ES_tradnl"/>
        </w:rPr>
      </w:pPr>
      <w:bookmarkStart w:id="3" w:name="_Hlk58917991"/>
      <w:bookmarkStart w:id="4" w:name="_Hlk56103000"/>
      <w:r w:rsidRPr="002B6BAB">
        <w:rPr>
          <w:rFonts w:ascii="Arial" w:eastAsia="Calibri" w:hAnsi="Arial" w:cs="Arial"/>
          <w:lang w:val="es-ES_tradnl"/>
        </w:rPr>
        <w:t>Usted realiza la siguiente consulta:</w:t>
      </w:r>
    </w:p>
    <w:p w14:paraId="74726EA6" w14:textId="77777777" w:rsidR="00B823FD" w:rsidRPr="002B6BAB" w:rsidRDefault="00B823FD" w:rsidP="00B823FD">
      <w:pPr>
        <w:autoSpaceDE w:val="0"/>
        <w:autoSpaceDN w:val="0"/>
        <w:adjustRightInd w:val="0"/>
        <w:spacing w:after="0" w:line="276" w:lineRule="auto"/>
        <w:jc w:val="both"/>
        <w:rPr>
          <w:rFonts w:ascii="Arial" w:eastAsia="Calibri" w:hAnsi="Arial" w:cs="Arial"/>
          <w:lang w:val="es-ES_tradnl"/>
        </w:rPr>
      </w:pPr>
    </w:p>
    <w:p w14:paraId="650BC905" w14:textId="7D727B83" w:rsidR="00B823FD" w:rsidRPr="002B6BAB" w:rsidRDefault="00B823FD" w:rsidP="00B823FD">
      <w:pPr>
        <w:autoSpaceDE w:val="0"/>
        <w:autoSpaceDN w:val="0"/>
        <w:adjustRightInd w:val="0"/>
        <w:spacing w:after="0" w:line="240" w:lineRule="auto"/>
        <w:ind w:left="709" w:right="709"/>
        <w:jc w:val="both"/>
        <w:rPr>
          <w:rFonts w:ascii="Arial" w:eastAsia="Calibri" w:hAnsi="Arial" w:cs="Arial"/>
          <w:sz w:val="21"/>
          <w:szCs w:val="21"/>
          <w:lang w:val="es-ES_tradnl"/>
        </w:rPr>
      </w:pPr>
      <w:r w:rsidRPr="002B6BAB">
        <w:rPr>
          <w:rFonts w:ascii="Arial" w:eastAsia="Calibri" w:hAnsi="Arial" w:cs="Arial"/>
          <w:sz w:val="21"/>
          <w:szCs w:val="21"/>
          <w:lang w:val="es-ES_tradnl"/>
        </w:rPr>
        <w:t>«</w:t>
      </w:r>
      <w:r w:rsidRPr="00B823FD">
        <w:rPr>
          <w:rFonts w:ascii="Arial" w:eastAsia="Calibri" w:hAnsi="Arial" w:cs="Arial"/>
          <w:sz w:val="21"/>
          <w:szCs w:val="21"/>
          <w:lang w:val="es-ES_tradnl"/>
        </w:rPr>
        <w:t>Buen día, comedidamente quiero solicitar me aclaren si es posible realizar convenio con organismo internacional en ley de garantías, teniendo en cuenta que el PNUD por ser organismo internacional, su contratación se regula por el artículo 20 de la Ley 1150 de 2007.</w:t>
      </w:r>
      <w:r w:rsidR="00064CF5">
        <w:rPr>
          <w:rFonts w:ascii="Arial" w:eastAsia="Calibri" w:hAnsi="Arial" w:cs="Arial"/>
          <w:sz w:val="21"/>
          <w:szCs w:val="21"/>
          <w:lang w:val="es-ES_tradnl"/>
        </w:rPr>
        <w:t xml:space="preserve"> </w:t>
      </w:r>
      <w:r w:rsidRPr="00B823FD">
        <w:rPr>
          <w:rFonts w:ascii="Arial" w:eastAsia="Calibri" w:hAnsi="Arial" w:cs="Arial"/>
          <w:sz w:val="21"/>
          <w:szCs w:val="21"/>
          <w:lang w:val="es-ES_tradnl"/>
        </w:rPr>
        <w:t>De igual manera, me gustaría saber si aplica o no ley</w:t>
      </w:r>
      <w:r>
        <w:rPr>
          <w:rFonts w:ascii="Arial" w:eastAsia="Calibri" w:hAnsi="Arial" w:cs="Arial"/>
          <w:sz w:val="21"/>
          <w:szCs w:val="21"/>
          <w:lang w:val="es-ES_tradnl"/>
        </w:rPr>
        <w:t xml:space="preserve"> </w:t>
      </w:r>
      <w:r w:rsidRPr="00B823FD">
        <w:rPr>
          <w:rFonts w:ascii="Arial" w:eastAsia="Calibri" w:hAnsi="Arial" w:cs="Arial"/>
          <w:sz w:val="21"/>
          <w:szCs w:val="21"/>
          <w:lang w:val="es-ES_tradnl"/>
        </w:rPr>
        <w:t xml:space="preserve">de garantías en los procesos competitivos adelantados por Dcto 092 de 2017, </w:t>
      </w:r>
      <w:r>
        <w:rPr>
          <w:rFonts w:ascii="Arial" w:eastAsia="Calibri" w:hAnsi="Arial" w:cs="Arial"/>
          <w:sz w:val="21"/>
          <w:szCs w:val="21"/>
          <w:lang w:val="es-ES_tradnl"/>
        </w:rPr>
        <w:t>[teniendo]</w:t>
      </w:r>
      <w:r w:rsidRPr="00B823FD">
        <w:rPr>
          <w:rFonts w:ascii="Arial" w:eastAsia="Calibri" w:hAnsi="Arial" w:cs="Arial"/>
          <w:sz w:val="21"/>
          <w:szCs w:val="21"/>
          <w:lang w:val="es-ES_tradnl"/>
        </w:rPr>
        <w:t xml:space="preserve"> en cuenta que no se contrataría directamente con una ESAL, sino la adjudicación del proceso se somete a una selección objetiva mediante una convocatoria </w:t>
      </w:r>
      <w:r w:rsidRPr="00B823FD">
        <w:rPr>
          <w:rFonts w:ascii="Arial" w:eastAsia="Calibri" w:hAnsi="Arial" w:cs="Arial"/>
          <w:sz w:val="21"/>
          <w:szCs w:val="21"/>
          <w:lang w:val="es-ES_tradnl"/>
        </w:rPr>
        <w:lastRenderedPageBreak/>
        <w:t>abierta en la cual pueden participar las ESAL interesadas y se adjudica a la mejor propuesta</w:t>
      </w:r>
      <w:r>
        <w:rPr>
          <w:rFonts w:ascii="Arial" w:eastAsia="Calibri" w:hAnsi="Arial" w:cs="Arial"/>
          <w:sz w:val="21"/>
          <w:szCs w:val="21"/>
          <w:lang w:val="es-ES_tradnl"/>
        </w:rPr>
        <w:t>.</w:t>
      </w:r>
      <w:r w:rsidR="00061178">
        <w:rPr>
          <w:rFonts w:ascii="Arial" w:eastAsia="Calibri" w:hAnsi="Arial" w:cs="Arial"/>
          <w:sz w:val="21"/>
          <w:szCs w:val="21"/>
          <w:lang w:val="es-ES_tradnl"/>
        </w:rPr>
        <w:t>»</w:t>
      </w:r>
    </w:p>
    <w:p w14:paraId="102BA241" w14:textId="77777777" w:rsidR="00B823FD" w:rsidRPr="002B6BAB" w:rsidRDefault="00B823FD" w:rsidP="00B823FD">
      <w:pPr>
        <w:tabs>
          <w:tab w:val="left" w:pos="426"/>
        </w:tabs>
        <w:spacing w:after="0" w:line="276" w:lineRule="auto"/>
        <w:jc w:val="both"/>
        <w:rPr>
          <w:rFonts w:ascii="Arial" w:eastAsia="Calibri" w:hAnsi="Arial" w:cs="Arial"/>
          <w:lang w:val="es-ES_tradnl"/>
        </w:rPr>
      </w:pPr>
    </w:p>
    <w:bookmarkEnd w:id="3"/>
    <w:bookmarkEnd w:id="4"/>
    <w:p w14:paraId="74FC5E7E" w14:textId="2F99B2A5" w:rsidR="00B823FD" w:rsidRDefault="00B823FD" w:rsidP="00B823FD">
      <w:pPr>
        <w:tabs>
          <w:tab w:val="left" w:pos="284"/>
        </w:tabs>
        <w:spacing w:after="0" w:line="276" w:lineRule="auto"/>
        <w:jc w:val="both"/>
        <w:rPr>
          <w:rFonts w:ascii="Arial" w:eastAsia="Calibri" w:hAnsi="Arial" w:cs="Arial"/>
          <w:b/>
          <w:lang w:val="es-ES_tradnl"/>
        </w:rPr>
      </w:pPr>
      <w:r w:rsidRPr="002B6BAB">
        <w:rPr>
          <w:rFonts w:ascii="Arial" w:eastAsia="Calibri" w:hAnsi="Arial" w:cs="Arial"/>
          <w:b/>
          <w:lang w:val="es-ES_tradnl"/>
        </w:rPr>
        <w:t>2. Consideraciones</w:t>
      </w:r>
    </w:p>
    <w:p w14:paraId="36672222" w14:textId="77777777" w:rsidR="000709DE" w:rsidRPr="002B6BAB" w:rsidRDefault="000709DE" w:rsidP="00B823FD">
      <w:pPr>
        <w:tabs>
          <w:tab w:val="left" w:pos="284"/>
        </w:tabs>
        <w:spacing w:after="0" w:line="276" w:lineRule="auto"/>
        <w:jc w:val="both"/>
        <w:rPr>
          <w:rFonts w:ascii="Arial" w:eastAsia="Calibri" w:hAnsi="Arial" w:cs="Arial"/>
          <w:b/>
          <w:lang w:val="es-ES_tradnl"/>
        </w:rPr>
      </w:pPr>
    </w:p>
    <w:p w14:paraId="19953183" w14:textId="77777777" w:rsidR="000709DE" w:rsidRDefault="000709DE" w:rsidP="001C4698">
      <w:pPr>
        <w:spacing w:after="120" w:line="276" w:lineRule="auto"/>
        <w:jc w:val="both"/>
        <w:rPr>
          <w:rFonts w:ascii="Arial" w:eastAsia="Calibri" w:hAnsi="Arial" w:cs="Arial"/>
          <w:color w:val="000000" w:themeColor="text1"/>
          <w:lang w:val="es-ES_tradnl"/>
        </w:rPr>
      </w:pPr>
      <w:r w:rsidRPr="00133651">
        <w:rPr>
          <w:rFonts w:ascii="Arial" w:eastAsia="Calibri" w:hAnsi="Arial" w:cs="Arial"/>
          <w:color w:val="000000" w:themeColor="text1"/>
          <w:lang w:val="es-ES_tradnl"/>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Pr>
          <w:rFonts w:ascii="Arial" w:eastAsia="Calibri" w:hAnsi="Arial" w:cs="Arial"/>
          <w:color w:val="000000" w:themeColor="text1"/>
          <w:lang w:val="es-ES_tradnl"/>
        </w:rPr>
        <w:t xml:space="preserve"> </w:t>
      </w:r>
      <w:r w:rsidRPr="00133651">
        <w:rPr>
          <w:rFonts w:ascii="Arial" w:eastAsia="Calibri" w:hAnsi="Arial" w:cs="Arial"/>
          <w:color w:val="000000" w:themeColor="text1"/>
          <w:lang w:val="es-ES_tradnl"/>
        </w:rPr>
        <w:t>Es necesario tener en cuenta que esta entidad solo tiene competencia para responder solicitudes sobre la aplicación de normas de carácter general en materia de compras y contratación pública</w:t>
      </w:r>
      <w:r>
        <w:rPr>
          <w:rStyle w:val="Refdenotaalpie"/>
          <w:rFonts w:ascii="Arial" w:eastAsia="Calibri" w:hAnsi="Arial" w:cs="Arial"/>
          <w:color w:val="000000" w:themeColor="text1"/>
          <w:lang w:val="es-ES_tradnl"/>
        </w:rPr>
        <w:footnoteReference w:id="1"/>
      </w:r>
      <w:r w:rsidRPr="00133651">
        <w:rPr>
          <w:rFonts w:ascii="Arial" w:eastAsia="Calibri" w:hAnsi="Arial" w:cs="Arial"/>
          <w:color w:val="000000" w:themeColor="text1"/>
          <w:lang w:val="es-ES_tradnl"/>
        </w:rPr>
        <w:t>. Esta se fija con límites claros, con el objeto de evitar que la Agencia actúe como una instancia de validación de las actuaciones de las entidades sujetas a la Ley 80 de 1993 o de los demás participantes de la contratación pública.</w:t>
      </w:r>
    </w:p>
    <w:p w14:paraId="7DC19EB0" w14:textId="410975EA" w:rsidR="00B823FD" w:rsidRPr="002B6BAB" w:rsidRDefault="000709DE" w:rsidP="00B823FD">
      <w:pPr>
        <w:tabs>
          <w:tab w:val="left" w:pos="426"/>
        </w:tabs>
        <w:spacing w:after="0" w:line="276" w:lineRule="auto"/>
        <w:jc w:val="both"/>
        <w:rPr>
          <w:rFonts w:ascii="Arial" w:eastAsia="Calibri" w:hAnsi="Arial" w:cs="Arial"/>
          <w:bCs/>
          <w:lang w:val="es-ES_tradnl"/>
        </w:rPr>
      </w:pPr>
      <w:r>
        <w:rPr>
          <w:rFonts w:ascii="Arial" w:eastAsia="Calibri" w:hAnsi="Arial" w:cs="Arial"/>
          <w:bCs/>
          <w:lang w:val="es-ES_tradnl"/>
        </w:rPr>
        <w:tab/>
      </w:r>
      <w:r w:rsidR="00AB596D">
        <w:rPr>
          <w:rFonts w:ascii="Arial" w:eastAsia="Calibri" w:hAnsi="Arial" w:cs="Arial"/>
          <w:bCs/>
          <w:lang w:val="es-ES_tradnl"/>
        </w:rPr>
        <w:tab/>
      </w:r>
      <w:r w:rsidR="00B823FD" w:rsidRPr="002B6BAB">
        <w:rPr>
          <w:rFonts w:ascii="Arial" w:eastAsia="Calibri" w:hAnsi="Arial" w:cs="Arial"/>
          <w:bCs/>
          <w:lang w:val="es-ES_tradnl"/>
        </w:rPr>
        <w:t xml:space="preserve">La Agencia Nacional de Contratación Pública – Colombia Compra Eficiente 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w:t>
      </w:r>
      <w:r w:rsidR="00B823FD" w:rsidRPr="002B6BAB">
        <w:rPr>
          <w:rFonts w:ascii="Arial" w:eastAsia="Calibri" w:hAnsi="Arial" w:cs="Arial"/>
          <w:bCs/>
          <w:lang w:val="es-ES_tradnl"/>
        </w:rPr>
        <w:lastRenderedPageBreak/>
        <w:t xml:space="preserve">de 2021, C-456 del 3 de septiembre de 2021, C-481 del 9 de septiembre de 2021, C-495 del 15 de septiembre de 2021, C-497 del 15 de septiembre de 2021, C-499 del 15 de septiembre de 2021, C-523 del 10 de octubre de 2021, C-528 del 27 de septiembre de 2021, C-543 del 9 de noviembre de 2021, C-550 del 5 de octubre de 2021, C-557 </w:t>
      </w:r>
      <w:r w:rsidR="00B823FD" w:rsidRPr="001B708A">
        <w:rPr>
          <w:rFonts w:ascii="Arial" w:eastAsia="Calibri" w:hAnsi="Arial" w:cs="Arial"/>
          <w:bCs/>
          <w:lang w:val="es-ES_tradnl"/>
        </w:rPr>
        <w:t>del 7 de octubre de 2021, C-563 del 8 de octubre de 2021, C-606 del 3 de noviembre de 2021, C-614 del 2 d</w:t>
      </w:r>
      <w:r w:rsidR="00B823FD" w:rsidRPr="00995F09">
        <w:rPr>
          <w:rFonts w:ascii="Arial" w:eastAsia="Calibri" w:hAnsi="Arial" w:cs="Arial"/>
          <w:bCs/>
          <w:lang w:val="es-ES_tradnl"/>
        </w:rPr>
        <w:t xml:space="preserve">e noviembre de 2021, C-633 del 11 de noviembre de 2021, C-634 del 11 de noviembre de 2021, C-636 del 16 de noviembre de 2021, C-677 del 4 de diciembre de 2021, C-693 del 9 de diciembre de 2021, C-695 del 22 de diciembre de 2021 y C-037 del 21 de enero de 2022. </w:t>
      </w:r>
      <w:r w:rsidR="0095253C" w:rsidRPr="00995F09">
        <w:rPr>
          <w:rFonts w:ascii="Arial" w:eastAsia="Calibri" w:hAnsi="Arial" w:cs="Arial"/>
          <w:bCs/>
          <w:lang w:val="es-ES_tradnl"/>
        </w:rPr>
        <w:t>Particularmente, en los conceptos C</w:t>
      </w:r>
      <w:r w:rsidR="00511E04" w:rsidRPr="00995F09">
        <w:rPr>
          <w:rFonts w:ascii="Arial" w:eastAsia="Calibri" w:hAnsi="Arial" w:cs="Arial"/>
          <w:bCs/>
          <w:lang w:val="es-ES_tradnl"/>
        </w:rPr>
        <w:t>-296 del 22 de junio de 2021, C-</w:t>
      </w:r>
      <w:r w:rsidR="00511E04" w:rsidRPr="001C4698">
        <w:rPr>
          <w:rFonts w:ascii="Arial" w:hAnsi="Arial" w:cs="Arial"/>
          <w:bCs/>
          <w:color w:val="000000"/>
          <w:lang w:eastAsia="es-CO"/>
        </w:rPr>
        <w:t>559 del 31 de agosto de 2021, C-</w:t>
      </w:r>
      <w:r w:rsidR="00670731" w:rsidRPr="001C4698">
        <w:rPr>
          <w:rFonts w:ascii="Arial" w:hAnsi="Arial" w:cs="Arial"/>
          <w:bCs/>
          <w:color w:val="000000"/>
          <w:lang w:eastAsia="es-CO"/>
        </w:rPr>
        <w:t>100</w:t>
      </w:r>
      <w:r w:rsidR="00484406" w:rsidRPr="001C4698">
        <w:rPr>
          <w:rFonts w:ascii="Arial" w:hAnsi="Arial" w:cs="Arial"/>
          <w:bCs/>
          <w:color w:val="000000"/>
          <w:lang w:eastAsia="es-CO"/>
        </w:rPr>
        <w:t xml:space="preserve"> y C-246</w:t>
      </w:r>
      <w:r w:rsidR="00511E04" w:rsidRPr="001C4698">
        <w:rPr>
          <w:rFonts w:ascii="Arial" w:hAnsi="Arial" w:cs="Arial"/>
          <w:bCs/>
          <w:color w:val="000000"/>
          <w:lang w:eastAsia="es-CO"/>
        </w:rPr>
        <w:t xml:space="preserve"> del </w:t>
      </w:r>
      <w:r w:rsidR="00670731" w:rsidRPr="001C4698">
        <w:rPr>
          <w:rFonts w:ascii="Arial" w:hAnsi="Arial" w:cs="Arial"/>
          <w:bCs/>
          <w:color w:val="000000"/>
          <w:lang w:eastAsia="es-CO"/>
        </w:rPr>
        <w:t>29 de</w:t>
      </w:r>
      <w:r w:rsidR="00511E04" w:rsidRPr="001C4698">
        <w:rPr>
          <w:rFonts w:ascii="Arial" w:hAnsi="Arial" w:cs="Arial"/>
          <w:bCs/>
          <w:color w:val="000000"/>
          <w:lang w:eastAsia="es-CO"/>
        </w:rPr>
        <w:t xml:space="preserve"> </w:t>
      </w:r>
      <w:r w:rsidR="003360E1" w:rsidRPr="001C4698">
        <w:rPr>
          <w:rFonts w:ascii="Arial" w:hAnsi="Arial" w:cs="Arial"/>
          <w:bCs/>
          <w:color w:val="000000"/>
          <w:lang w:eastAsia="es-CO"/>
        </w:rPr>
        <w:t>marzo</w:t>
      </w:r>
      <w:r w:rsidR="00511E04" w:rsidRPr="001C4698">
        <w:rPr>
          <w:rFonts w:ascii="Arial" w:hAnsi="Arial" w:cs="Arial"/>
          <w:bCs/>
          <w:color w:val="000000"/>
          <w:lang w:eastAsia="es-CO"/>
        </w:rPr>
        <w:t xml:space="preserve"> </w:t>
      </w:r>
      <w:r w:rsidR="003360E1" w:rsidRPr="001B708A">
        <w:rPr>
          <w:rFonts w:ascii="Arial" w:hAnsi="Arial" w:cs="Arial"/>
          <w:bCs/>
          <w:color w:val="000000"/>
          <w:lang w:eastAsia="es-CO"/>
        </w:rPr>
        <w:t>de 2022</w:t>
      </w:r>
      <w:r w:rsidR="00484406" w:rsidRPr="00995F09">
        <w:rPr>
          <w:rFonts w:ascii="Arial" w:hAnsi="Arial" w:cs="Arial"/>
          <w:bCs/>
          <w:color w:val="000000"/>
          <w:lang w:eastAsia="es-CO"/>
        </w:rPr>
        <w:t>, se estudió la aplicabilidad de las restricci</w:t>
      </w:r>
      <w:r w:rsidR="00995F09" w:rsidRPr="00995F09">
        <w:rPr>
          <w:rFonts w:ascii="Arial" w:hAnsi="Arial" w:cs="Arial"/>
          <w:bCs/>
          <w:color w:val="000000"/>
          <w:lang w:eastAsia="es-CO"/>
        </w:rPr>
        <w:t>ones</w:t>
      </w:r>
      <w:r w:rsidR="00484406" w:rsidRPr="00995F09">
        <w:rPr>
          <w:rFonts w:ascii="Arial" w:hAnsi="Arial" w:cs="Arial"/>
          <w:bCs/>
          <w:color w:val="000000"/>
          <w:lang w:eastAsia="es-CO"/>
        </w:rPr>
        <w:t xml:space="preserve"> de la Ley de Garantías </w:t>
      </w:r>
      <w:r w:rsidR="00995F09" w:rsidRPr="00995F09">
        <w:rPr>
          <w:rFonts w:ascii="Arial" w:hAnsi="Arial" w:cs="Arial"/>
          <w:bCs/>
          <w:color w:val="000000"/>
          <w:lang w:eastAsia="es-CO"/>
        </w:rPr>
        <w:t xml:space="preserve">a los contratos suscritos con organismos internacionales, de conformidad con el artículo 20 de la Ley 1150 de 2007. Algunos de los argumentos </w:t>
      </w:r>
      <w:r w:rsidR="00995F09" w:rsidRPr="00995F09">
        <w:rPr>
          <w:rFonts w:ascii="Arial" w:eastAsia="Calibri" w:hAnsi="Arial" w:cs="Arial"/>
          <w:bCs/>
          <w:lang w:val="es-ES_tradnl"/>
        </w:rPr>
        <w:t>expuestos en</w:t>
      </w:r>
      <w:r w:rsidR="00B823FD" w:rsidRPr="00995F09">
        <w:rPr>
          <w:rFonts w:ascii="Arial" w:eastAsia="Calibri" w:hAnsi="Arial" w:cs="Arial"/>
          <w:bCs/>
          <w:lang w:val="es-ES_tradnl"/>
        </w:rPr>
        <w:t xml:space="preserve"> estos conceptos se reitera</w:t>
      </w:r>
      <w:r w:rsidR="00995F09" w:rsidRPr="00995F09">
        <w:rPr>
          <w:rFonts w:ascii="Arial" w:eastAsia="Calibri" w:hAnsi="Arial" w:cs="Arial"/>
          <w:bCs/>
          <w:lang w:val="es-ES_tradnl"/>
        </w:rPr>
        <w:t>n</w:t>
      </w:r>
      <w:r w:rsidR="00B823FD" w:rsidRPr="00995F09">
        <w:rPr>
          <w:rFonts w:ascii="Arial" w:eastAsia="Calibri" w:hAnsi="Arial" w:cs="Arial"/>
          <w:bCs/>
          <w:lang w:val="es-ES_tradnl"/>
        </w:rPr>
        <w:t xml:space="preserve"> y complementa</w:t>
      </w:r>
      <w:r w:rsidR="00995F09" w:rsidRPr="00995F09">
        <w:rPr>
          <w:rFonts w:ascii="Arial" w:eastAsia="Calibri" w:hAnsi="Arial" w:cs="Arial"/>
          <w:bCs/>
          <w:lang w:val="es-ES_tradnl"/>
        </w:rPr>
        <w:t>n</w:t>
      </w:r>
      <w:r w:rsidR="00B823FD" w:rsidRPr="00995F09">
        <w:rPr>
          <w:rFonts w:ascii="Arial" w:eastAsia="Calibri" w:hAnsi="Arial" w:cs="Arial"/>
          <w:bCs/>
          <w:lang w:val="es-ES_tradnl"/>
        </w:rPr>
        <w:t xml:space="preserve"> a continuación.</w:t>
      </w:r>
    </w:p>
    <w:p w14:paraId="1B5CDEA9" w14:textId="77777777" w:rsidR="00B823FD" w:rsidRDefault="00B823FD" w:rsidP="001C4698">
      <w:pPr>
        <w:tabs>
          <w:tab w:val="left" w:pos="426"/>
        </w:tabs>
        <w:spacing w:after="0" w:line="240" w:lineRule="auto"/>
        <w:jc w:val="both"/>
        <w:rPr>
          <w:rFonts w:ascii="Arial" w:eastAsia="Calibri" w:hAnsi="Arial" w:cs="Arial"/>
          <w:b/>
          <w:bCs/>
          <w:lang w:val="es-ES_tradnl"/>
        </w:rPr>
      </w:pPr>
    </w:p>
    <w:p w14:paraId="54D6C452" w14:textId="16A02D4B" w:rsidR="00B823FD" w:rsidRPr="002B6BAB" w:rsidRDefault="00B823FD" w:rsidP="00B823FD">
      <w:pPr>
        <w:tabs>
          <w:tab w:val="left" w:pos="426"/>
        </w:tabs>
        <w:spacing w:after="0" w:line="276" w:lineRule="auto"/>
        <w:jc w:val="both"/>
        <w:rPr>
          <w:rFonts w:ascii="Arial" w:eastAsia="Calibri" w:hAnsi="Arial" w:cs="Arial"/>
          <w:b/>
          <w:bCs/>
          <w:lang w:val="es-ES_tradnl"/>
        </w:rPr>
      </w:pPr>
      <w:r w:rsidRPr="002B6BAB">
        <w:rPr>
          <w:rFonts w:ascii="Arial" w:eastAsia="Calibri" w:hAnsi="Arial" w:cs="Arial"/>
          <w:b/>
          <w:bCs/>
          <w:lang w:val="es-ES_tradnl"/>
        </w:rPr>
        <w:t>2.</w:t>
      </w:r>
      <w:r w:rsidR="00064CF5">
        <w:rPr>
          <w:rFonts w:ascii="Arial" w:eastAsia="Calibri" w:hAnsi="Arial" w:cs="Arial"/>
          <w:b/>
          <w:bCs/>
          <w:lang w:val="es-ES_tradnl"/>
        </w:rPr>
        <w:t>1</w:t>
      </w:r>
      <w:r w:rsidRPr="002B6BAB">
        <w:rPr>
          <w:rFonts w:ascii="Arial" w:eastAsia="Calibri" w:hAnsi="Arial" w:cs="Arial"/>
          <w:b/>
          <w:bCs/>
          <w:lang w:val="es-ES_tradnl"/>
        </w:rPr>
        <w:t>. Definición y finalidad de la Ley de Garantías Electorales: alcance de las restricciones</w:t>
      </w:r>
    </w:p>
    <w:p w14:paraId="4E367034" w14:textId="77777777" w:rsidR="00B823FD" w:rsidRPr="002B6BAB" w:rsidRDefault="00B823FD" w:rsidP="001C4698">
      <w:pPr>
        <w:tabs>
          <w:tab w:val="left" w:pos="426"/>
        </w:tabs>
        <w:spacing w:after="0" w:line="240" w:lineRule="auto"/>
        <w:ind w:firstLine="709"/>
        <w:jc w:val="both"/>
        <w:rPr>
          <w:rFonts w:ascii="Arial" w:eastAsia="Calibri" w:hAnsi="Arial" w:cs="Arial"/>
          <w:bCs/>
          <w:lang w:val="es-ES_tradnl"/>
        </w:rPr>
      </w:pPr>
    </w:p>
    <w:p w14:paraId="197B62BE" w14:textId="77777777" w:rsidR="00B823FD" w:rsidRPr="002B6BAB" w:rsidRDefault="00B823FD" w:rsidP="00B823FD">
      <w:pPr>
        <w:tabs>
          <w:tab w:val="left" w:pos="426"/>
        </w:tabs>
        <w:spacing w:after="120" w:line="276" w:lineRule="auto"/>
        <w:jc w:val="both"/>
        <w:rPr>
          <w:rFonts w:ascii="Arial" w:eastAsia="Times New Roman" w:hAnsi="Arial" w:cs="Arial"/>
          <w:bCs/>
          <w:lang w:val="es-ES_tradnl" w:eastAsia="es-CO"/>
        </w:rPr>
      </w:pPr>
      <w:r w:rsidRPr="002B6BAB">
        <w:rPr>
          <w:rFonts w:ascii="Arial" w:eastAsia="Calibri" w:hAnsi="Arial" w:cs="Arial"/>
          <w:bCs/>
          <w:lang w:val="es-ES_tradnl"/>
        </w:rPr>
        <w:t>El ordenamiento jurídico colombiano contempla previsiones claras para evitar la obtención de beneficios personales en asuntos propios de la administración pública</w:t>
      </w:r>
      <w:r w:rsidRPr="002B6BAB">
        <w:rPr>
          <w:rFonts w:ascii="Arial" w:eastAsia="Calibri" w:hAnsi="Arial" w:cs="Arial"/>
          <w:bCs/>
          <w:i/>
          <w:iCs/>
          <w:lang w:val="es-ES_tradnl"/>
        </w:rPr>
        <w:t xml:space="preserve">. </w:t>
      </w:r>
      <w:r w:rsidRPr="002B6BAB">
        <w:rPr>
          <w:rFonts w:ascii="Arial" w:eastAsia="Calibri" w:hAnsi="Arial" w:cs="Arial"/>
          <w:bCs/>
          <w:lang w:val="es-ES_tradnl"/>
        </w:rPr>
        <w:t>Por ejemplo, el artículo 127 de la Constitución Política establece una prohibición contractual a los servidores públicos y en cuanto a aspectos políticos establece restricciones a ciertos empleados del Estado, incluso en época no electoral</w:t>
      </w:r>
      <w:r w:rsidRPr="002B6BAB">
        <w:rPr>
          <w:rFonts w:ascii="Arial" w:eastAsia="Calibri" w:hAnsi="Arial" w:cs="Arial"/>
          <w:bCs/>
          <w:vertAlign w:val="superscript"/>
          <w:lang w:val="es-ES_tradnl"/>
        </w:rPr>
        <w:footnoteReference w:id="2"/>
      </w:r>
      <w:r w:rsidRPr="002B6BAB">
        <w:rPr>
          <w:rFonts w:ascii="Arial" w:eastAsia="Calibri" w:hAnsi="Arial" w:cs="Arial"/>
          <w:bCs/>
          <w:lang w:val="es-ES_tradnl"/>
        </w:rPr>
        <w:t xml:space="preserve">. </w:t>
      </w:r>
    </w:p>
    <w:p w14:paraId="2D87E36C" w14:textId="77777777" w:rsidR="00B823FD" w:rsidRPr="002B6BAB" w:rsidRDefault="00B823FD" w:rsidP="00B823FD">
      <w:pPr>
        <w:tabs>
          <w:tab w:val="left" w:pos="426"/>
        </w:tabs>
        <w:spacing w:after="0" w:line="276" w:lineRule="auto"/>
        <w:ind w:firstLine="709"/>
        <w:jc w:val="both"/>
        <w:rPr>
          <w:rFonts w:ascii="Arial" w:eastAsia="Times New Roman" w:hAnsi="Arial" w:cs="Arial"/>
          <w:bCs/>
          <w:lang w:val="es-ES_tradnl" w:eastAsia="es-CO"/>
        </w:rPr>
      </w:pPr>
      <w:r w:rsidRPr="002B6BAB">
        <w:rPr>
          <w:rFonts w:ascii="Arial" w:eastAsia="Times New Roman" w:hAnsi="Arial" w:cs="Arial"/>
          <w:bCs/>
          <w:lang w:val="es-ES_tradnl" w:eastAsia="es-CO"/>
        </w:rPr>
        <w:t xml:space="preserve">En el mismo sentido,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w:t>
      </w:r>
      <w:r w:rsidRPr="002B6BAB">
        <w:rPr>
          <w:rFonts w:ascii="Arial" w:eastAsia="Times New Roman" w:hAnsi="Arial" w:cs="Arial"/>
          <w:bCs/>
          <w:lang w:val="es-ES_tradnl" w:eastAsia="es-CO"/>
        </w:rPr>
        <w:lastRenderedPageBreak/>
        <w:t>arbitrariedad, de ventaja injustificada, de uso irregular de los recursos del Estado en las campañas o falta de garantías en la elección presidencial</w:t>
      </w:r>
      <w:r w:rsidRPr="002B6BAB">
        <w:rPr>
          <w:rFonts w:ascii="Arial" w:eastAsia="Times New Roman" w:hAnsi="Arial" w:cs="Arial"/>
          <w:bCs/>
          <w:vertAlign w:val="superscript"/>
          <w:lang w:val="es-ES_tradnl" w:eastAsia="es-CO"/>
        </w:rPr>
        <w:footnoteReference w:id="3"/>
      </w:r>
      <w:r w:rsidRPr="002B6BAB">
        <w:rPr>
          <w:rFonts w:ascii="Arial" w:eastAsia="Times New Roman" w:hAnsi="Arial" w:cs="Arial"/>
          <w:bCs/>
          <w:lang w:val="es-ES_tradnl" w:eastAsia="es-CO"/>
        </w:rPr>
        <w:t>. En esta medida, introduce limitaciones para realizar nombramientos, postulaciones, contrataciones o cualquier otro tipo de actividad que implique destinación de recursos públicos bajo el devenir propio de las entidades estatales.</w:t>
      </w:r>
      <w:r w:rsidRPr="002B6BAB">
        <w:rPr>
          <w:rFonts w:ascii="Arial" w:eastAsia="Calibri" w:hAnsi="Arial" w:cs="Arial"/>
          <w:noProof/>
          <w:lang w:val="es-ES_tradnl"/>
        </w:rPr>
        <w:t xml:space="preserve"> </w:t>
      </w:r>
      <w:r w:rsidRPr="002B6BAB">
        <w:rPr>
          <w:rFonts w:ascii="Arial" w:eastAsia="Times New Roman" w:hAnsi="Arial" w:cs="Arial"/>
          <w:bCs/>
          <w:lang w:val="es-ES_tradnl" w:eastAsia="es-CO"/>
        </w:rPr>
        <w:t>En armonía con lo anterior, la Corte Constitucional ha abordado la definición de la Ley de Garantías Electorales. De esta manera, explica que tiene como propósito:</w:t>
      </w:r>
    </w:p>
    <w:p w14:paraId="512C7C40" w14:textId="77777777" w:rsidR="00B823FD" w:rsidRPr="002B6BAB" w:rsidRDefault="00B823FD" w:rsidP="00B823FD">
      <w:pPr>
        <w:spacing w:after="0" w:line="276" w:lineRule="auto"/>
        <w:ind w:right="709"/>
        <w:jc w:val="both"/>
        <w:rPr>
          <w:rFonts w:ascii="Arial" w:eastAsia="Times New Roman" w:hAnsi="Arial" w:cs="Arial"/>
          <w:sz w:val="21"/>
          <w:szCs w:val="21"/>
          <w:lang w:val="es-ES_tradnl" w:eastAsia="es-CO"/>
        </w:rPr>
      </w:pPr>
    </w:p>
    <w:p w14:paraId="32A7912C" w14:textId="77777777" w:rsidR="00B823FD" w:rsidRPr="002B6BAB" w:rsidRDefault="00B823FD" w:rsidP="00B823FD">
      <w:pPr>
        <w:spacing w:after="0" w:line="240" w:lineRule="auto"/>
        <w:ind w:left="709" w:right="709"/>
        <w:jc w:val="both"/>
        <w:rPr>
          <w:rFonts w:ascii="Arial" w:eastAsia="Times New Roman" w:hAnsi="Arial" w:cs="Arial"/>
          <w:bCs/>
          <w:sz w:val="21"/>
          <w:szCs w:val="21"/>
          <w:lang w:val="es-ES_tradnl" w:eastAsia="es-CO"/>
        </w:rPr>
      </w:pPr>
      <w:r w:rsidRPr="002B6BAB">
        <w:rPr>
          <w:rFonts w:ascii="Arial" w:eastAsia="Times New Roman" w:hAnsi="Arial" w:cs="Arial"/>
          <w:sz w:val="21"/>
          <w:szCs w:val="21"/>
          <w:lang w:val="es-ES_tradnl" w:eastAsia="es-CO"/>
        </w:rPr>
        <w:t xml:space="preserve">[…] </w:t>
      </w:r>
      <w:r w:rsidRPr="002B6BAB">
        <w:rPr>
          <w:rFonts w:ascii="Arial" w:eastAsia="Times New Roman" w:hAnsi="Arial" w:cs="Arial"/>
          <w:bCs/>
          <w:sz w:val="21"/>
          <w:szCs w:val="21"/>
          <w:lang w:val="es-ES_tradnl" w:eastAsia="es-CO"/>
        </w:rPr>
        <w:t>la definición de reglas claras que permitan acceder a los canales de expresión democrática de manera efectiva e igualitaria. El objetivo de una ley de garantías es definir esas reglas.</w:t>
      </w:r>
    </w:p>
    <w:p w14:paraId="61790A5E" w14:textId="77777777" w:rsidR="00B823FD" w:rsidRPr="002B6BAB" w:rsidRDefault="00B823FD" w:rsidP="00B823FD">
      <w:pPr>
        <w:spacing w:after="120" w:line="240" w:lineRule="auto"/>
        <w:ind w:left="709" w:right="709"/>
        <w:jc w:val="both"/>
        <w:rPr>
          <w:rFonts w:ascii="Arial" w:eastAsia="Times New Roman" w:hAnsi="Arial" w:cs="Arial"/>
          <w:bCs/>
          <w:sz w:val="21"/>
          <w:szCs w:val="21"/>
          <w:lang w:val="es-ES_tradnl" w:eastAsia="es-CO"/>
        </w:rPr>
      </w:pPr>
      <w:r w:rsidRPr="002B6BAB">
        <w:rPr>
          <w:rFonts w:ascii="Arial" w:eastAsia="Times New Roman" w:hAnsi="Arial" w:cs="Arial"/>
          <w:bCs/>
          <w:sz w:val="21"/>
          <w:szCs w:val="21"/>
          <w:lang w:val="es-ES_tradnl" w:eastAsia="es-CO"/>
        </w:rPr>
        <w:t xml:space="preserve">[…] </w:t>
      </w:r>
    </w:p>
    <w:p w14:paraId="7B8F99A0" w14:textId="77777777" w:rsidR="00B823FD" w:rsidRPr="002B6BAB" w:rsidRDefault="00B823FD" w:rsidP="00B823FD">
      <w:pPr>
        <w:spacing w:after="0" w:line="240" w:lineRule="auto"/>
        <w:ind w:left="709" w:right="709"/>
        <w:jc w:val="both"/>
        <w:rPr>
          <w:rFonts w:ascii="Arial" w:eastAsia="Times New Roman" w:hAnsi="Arial" w:cs="Arial"/>
          <w:bCs/>
          <w:sz w:val="21"/>
          <w:szCs w:val="21"/>
          <w:lang w:val="es-ES_tradnl" w:eastAsia="es-CO"/>
        </w:rPr>
      </w:pPr>
      <w:r w:rsidRPr="002B6BAB">
        <w:rPr>
          <w:rFonts w:ascii="Arial" w:eastAsia="Times New Roman" w:hAnsi="Arial" w:cs="Arial"/>
          <w:bCs/>
          <w:sz w:val="21"/>
          <w:szCs w:val="21"/>
          <w:lang w:val="es-ES_tradnl"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2B6BAB">
        <w:rPr>
          <w:rFonts w:ascii="Arial" w:eastAsia="Calibri" w:hAnsi="Arial" w:cs="Arial"/>
          <w:sz w:val="20"/>
          <w:szCs w:val="20"/>
          <w:vertAlign w:val="superscript"/>
          <w:lang w:val="es-ES_tradnl"/>
        </w:rPr>
        <w:footnoteReference w:id="4"/>
      </w:r>
    </w:p>
    <w:p w14:paraId="4F059B64" w14:textId="77777777" w:rsidR="00B823FD" w:rsidRPr="002B6BAB" w:rsidRDefault="00B823FD" w:rsidP="00B823FD">
      <w:pPr>
        <w:spacing w:after="0" w:line="276" w:lineRule="auto"/>
        <w:ind w:left="709" w:right="709"/>
        <w:jc w:val="both"/>
        <w:rPr>
          <w:rFonts w:ascii="Arial" w:eastAsia="Times New Roman" w:hAnsi="Arial" w:cs="Arial"/>
          <w:bCs/>
          <w:sz w:val="21"/>
          <w:szCs w:val="21"/>
          <w:lang w:val="es-ES_tradnl" w:eastAsia="es-CO"/>
        </w:rPr>
      </w:pPr>
    </w:p>
    <w:p w14:paraId="2527265E" w14:textId="77777777" w:rsidR="00B823FD" w:rsidRPr="002B6BAB" w:rsidRDefault="00B823FD" w:rsidP="00B823FD">
      <w:pPr>
        <w:spacing w:after="0" w:line="276" w:lineRule="auto"/>
        <w:ind w:firstLine="709"/>
        <w:jc w:val="both"/>
        <w:rPr>
          <w:rFonts w:ascii="Arial" w:eastAsia="Times New Roman" w:hAnsi="Arial" w:cs="Arial"/>
          <w:bCs/>
          <w:lang w:val="es-ES_tradnl" w:eastAsia="es-CO"/>
        </w:rPr>
      </w:pPr>
      <w:bookmarkStart w:id="5" w:name="_Hlk78818186"/>
      <w:r w:rsidRPr="002B6BAB">
        <w:rPr>
          <w:rFonts w:ascii="Arial" w:eastAsia="Times New Roman" w:hAnsi="Arial" w:cs="Arial"/>
          <w:bCs/>
          <w:lang w:val="es-ES_tradnl"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5"/>
      <w:r w:rsidRPr="002B6BAB">
        <w:rPr>
          <w:rFonts w:ascii="Arial" w:eastAsia="Times New Roman" w:hAnsi="Arial" w:cs="Arial"/>
          <w:bCs/>
          <w:lang w:val="es-ES_tradnl" w:eastAsia="es-CO"/>
        </w:rPr>
        <w:t>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69F7B239" w14:textId="77777777" w:rsidR="00B823FD" w:rsidRPr="002B6BAB" w:rsidRDefault="00B823FD" w:rsidP="00B823FD">
      <w:pPr>
        <w:spacing w:after="0" w:line="276" w:lineRule="auto"/>
        <w:ind w:firstLine="709"/>
        <w:jc w:val="both"/>
        <w:rPr>
          <w:rFonts w:ascii="Arial" w:eastAsia="Times New Roman" w:hAnsi="Arial" w:cs="Arial"/>
          <w:bCs/>
          <w:lang w:val="es-ES_tradnl" w:eastAsia="es-CO"/>
        </w:rPr>
      </w:pPr>
    </w:p>
    <w:p w14:paraId="5E7D18E2" w14:textId="77777777" w:rsidR="00B823FD" w:rsidRPr="002B6BAB" w:rsidRDefault="00B823FD" w:rsidP="00B823FD">
      <w:pPr>
        <w:spacing w:after="120" w:line="240" w:lineRule="auto"/>
        <w:ind w:left="709" w:right="709"/>
        <w:jc w:val="both"/>
        <w:rPr>
          <w:rFonts w:ascii="Arial" w:eastAsia="Times New Roman" w:hAnsi="Arial" w:cs="Arial"/>
          <w:bCs/>
          <w:sz w:val="21"/>
          <w:szCs w:val="21"/>
          <w:lang w:val="es-ES_tradnl" w:eastAsia="es-CO"/>
        </w:rPr>
      </w:pPr>
      <w:r w:rsidRPr="002B6BAB">
        <w:rPr>
          <w:rFonts w:ascii="Arial" w:eastAsia="Times New Roman" w:hAnsi="Arial" w:cs="Arial"/>
          <w:bCs/>
          <w:sz w:val="21"/>
          <w:szCs w:val="21"/>
          <w:lang w:val="es-ES_tradnl"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w:t>
      </w:r>
      <w:r w:rsidRPr="002B6BAB">
        <w:rPr>
          <w:rFonts w:ascii="Arial" w:eastAsia="Times New Roman" w:hAnsi="Arial" w:cs="Arial"/>
          <w:bCs/>
          <w:sz w:val="21"/>
          <w:szCs w:val="21"/>
          <w:lang w:val="es-ES_tradnl" w:eastAsia="es-CO"/>
        </w:rPr>
        <w:lastRenderedPageBreak/>
        <w:t>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003090B0" w14:textId="77777777" w:rsidR="00B823FD" w:rsidRPr="002B6BAB" w:rsidRDefault="00B823FD" w:rsidP="00B823FD">
      <w:pPr>
        <w:spacing w:after="0" w:line="240" w:lineRule="auto"/>
        <w:ind w:left="709" w:right="709"/>
        <w:jc w:val="both"/>
        <w:rPr>
          <w:rFonts w:ascii="Arial" w:eastAsia="Times New Roman" w:hAnsi="Arial" w:cs="Arial"/>
          <w:bCs/>
          <w:sz w:val="21"/>
          <w:szCs w:val="21"/>
          <w:lang w:val="es-ES_tradnl" w:eastAsia="es-CO"/>
        </w:rPr>
      </w:pPr>
      <w:r w:rsidRPr="002B6BAB">
        <w:rPr>
          <w:rFonts w:ascii="Arial" w:eastAsia="Times New Roman" w:hAnsi="Arial" w:cs="Arial"/>
          <w:bCs/>
          <w:sz w:val="21"/>
          <w:szCs w:val="21"/>
          <w:lang w:val="es-ES_tradnl" w:eastAsia="es-CO"/>
        </w:rPr>
        <w:t>La jurisprudencia de la Corte Constitucional</w:t>
      </w:r>
      <w:r w:rsidRPr="002B6BAB">
        <w:rPr>
          <w:rFonts w:ascii="Arial" w:eastAsia="Times New Roman" w:hAnsi="Arial" w:cs="Arial"/>
          <w:bCs/>
          <w:sz w:val="21"/>
          <w:szCs w:val="21"/>
          <w:vertAlign w:val="superscript"/>
          <w:lang w:val="es-ES_tradnl" w:eastAsia="es-CO"/>
        </w:rPr>
        <w:footnoteReference w:id="5"/>
      </w:r>
      <w:r w:rsidRPr="002B6BAB">
        <w:rPr>
          <w:rFonts w:ascii="Arial" w:eastAsia="Times New Roman" w:hAnsi="Arial" w:cs="Arial"/>
          <w:bCs/>
          <w:sz w:val="21"/>
          <w:szCs w:val="21"/>
          <w:lang w:val="es-ES_tradnl" w:eastAsia="es-CO"/>
        </w:rPr>
        <w:t> y del Consejo de Estado</w:t>
      </w:r>
      <w:r w:rsidRPr="002B6BAB">
        <w:rPr>
          <w:rFonts w:ascii="Arial" w:eastAsia="Times New Roman" w:hAnsi="Arial" w:cs="Arial"/>
          <w:bCs/>
          <w:sz w:val="21"/>
          <w:szCs w:val="21"/>
          <w:vertAlign w:val="superscript"/>
          <w:lang w:val="es-ES_tradnl" w:eastAsia="es-CO"/>
        </w:rPr>
        <w:footnoteReference w:id="6"/>
      </w:r>
      <w:r w:rsidRPr="002B6BAB">
        <w:rPr>
          <w:rFonts w:ascii="Arial" w:eastAsia="Times New Roman" w:hAnsi="Arial" w:cs="Arial"/>
          <w:bCs/>
          <w:sz w:val="21"/>
          <w:szCs w:val="21"/>
          <w:lang w:val="es-ES_tradnl"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2B6BAB">
        <w:rPr>
          <w:rFonts w:ascii="Arial" w:eastAsia="Times New Roman" w:hAnsi="Arial" w:cs="Arial"/>
          <w:bCs/>
          <w:vertAlign w:val="superscript"/>
          <w:lang w:val="es-ES_tradnl" w:eastAsia="es-CO"/>
        </w:rPr>
        <w:footnoteReference w:id="7"/>
      </w:r>
      <w:r w:rsidRPr="002B6BAB">
        <w:rPr>
          <w:rFonts w:ascii="Arial" w:eastAsia="Times New Roman" w:hAnsi="Arial" w:cs="Arial"/>
          <w:bCs/>
          <w:sz w:val="21"/>
          <w:szCs w:val="21"/>
          <w:lang w:val="es-ES_tradnl" w:eastAsia="es-CO"/>
        </w:rPr>
        <w:t>.</w:t>
      </w:r>
    </w:p>
    <w:p w14:paraId="622B69B5" w14:textId="77777777" w:rsidR="00B823FD" w:rsidRPr="002B6BAB" w:rsidRDefault="00B823FD" w:rsidP="00B823FD">
      <w:pPr>
        <w:spacing w:after="0" w:line="276" w:lineRule="auto"/>
        <w:ind w:right="709"/>
        <w:jc w:val="both"/>
        <w:rPr>
          <w:rFonts w:ascii="Arial" w:eastAsia="Times New Roman" w:hAnsi="Arial" w:cs="Arial"/>
          <w:bCs/>
          <w:sz w:val="21"/>
          <w:szCs w:val="21"/>
          <w:lang w:val="es-ES_tradnl" w:eastAsia="es-CO"/>
        </w:rPr>
      </w:pPr>
    </w:p>
    <w:p w14:paraId="36832052" w14:textId="77777777" w:rsidR="00B823FD" w:rsidRPr="002B6BAB" w:rsidRDefault="00B823FD" w:rsidP="00B823FD">
      <w:pPr>
        <w:spacing w:after="120" w:line="276" w:lineRule="auto"/>
        <w:jc w:val="both"/>
        <w:rPr>
          <w:rFonts w:ascii="Arial" w:eastAsia="Arial" w:hAnsi="Arial" w:cs="Arial"/>
          <w:lang w:val="es-ES_tradnl" w:eastAsia="es-ES" w:bidi="es-ES"/>
        </w:rPr>
      </w:pPr>
      <w:r w:rsidRPr="002B6BAB">
        <w:rPr>
          <w:rFonts w:ascii="Arial" w:eastAsia="Times New Roman" w:hAnsi="Arial" w:cs="Arial"/>
          <w:bCs/>
          <w:lang w:val="es-ES_tradnl" w:eastAsia="es-CO"/>
        </w:rPr>
        <w:tab/>
        <w:t>De</w:t>
      </w:r>
      <w:r w:rsidRPr="002B6BAB">
        <w:rPr>
          <w:rFonts w:ascii="Arial" w:eastAsia="Arial" w:hAnsi="Arial" w:cs="Arial"/>
          <w:lang w:val="es-ES_tradnl" w:eastAsia="es-ES" w:bidi="es-ES"/>
        </w:rPr>
        <w:t xml:space="preserve"> conformidad con lo anterior, </w:t>
      </w:r>
      <w:bookmarkStart w:id="6" w:name="_Hlk77236098"/>
      <w:r w:rsidRPr="002B6BAB">
        <w:rPr>
          <w:rFonts w:ascii="Arial" w:eastAsia="Arial" w:hAnsi="Arial" w:cs="Arial"/>
          <w:lang w:val="es-ES_tradnl" w:eastAsia="es-ES" w:bidi="es-ES"/>
        </w:rPr>
        <w:t>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bookmarkEnd w:id="6"/>
    </w:p>
    <w:p w14:paraId="5F7BAA4D" w14:textId="77777777" w:rsidR="00B823FD" w:rsidRPr="002B6BAB" w:rsidRDefault="00B823FD" w:rsidP="00B823FD">
      <w:pPr>
        <w:spacing w:after="120" w:line="276" w:lineRule="auto"/>
        <w:ind w:firstLine="708"/>
        <w:jc w:val="both"/>
        <w:rPr>
          <w:rFonts w:ascii="Arial" w:eastAsia="Calibri" w:hAnsi="Arial" w:cs="Arial"/>
          <w:lang w:val="es-ES_tradnl"/>
        </w:rPr>
      </w:pPr>
      <w:r w:rsidRPr="002B6BAB">
        <w:rPr>
          <w:rFonts w:ascii="Arial" w:eastAsia="Calibri" w:hAnsi="Arial" w:cs="Arial"/>
          <w:lang w:val="es-ES_tradnl"/>
        </w:rPr>
        <w:t xml:space="preserve">Por un lado, el artículo 33 de la Ley 996 de 2005 prohíbe </w:t>
      </w:r>
      <w:r w:rsidRPr="002B6BAB">
        <w:rPr>
          <w:rFonts w:ascii="Arial" w:eastAsia="Calibri" w:hAnsi="Arial" w:cs="Arial"/>
          <w:bCs/>
          <w:lang w:val="es-ES_tradnl"/>
        </w:rPr>
        <w:t xml:space="preserve">«[…] </w:t>
      </w:r>
      <w:r w:rsidRPr="002B6BAB">
        <w:rPr>
          <w:rFonts w:ascii="Arial" w:eastAsia="Calibri" w:hAnsi="Arial" w:cs="Arial"/>
          <w:lang w:val="es-ES_tradnl"/>
        </w:rPr>
        <w:t>la contratación directa por parte de todos los entes del Estado</w:t>
      </w:r>
      <w:r w:rsidRPr="002B6BAB">
        <w:rPr>
          <w:rFonts w:ascii="Arial" w:eastAsia="Calibri" w:hAnsi="Arial" w:cs="Arial"/>
          <w:bCs/>
          <w:lang w:val="es-ES_tradnl"/>
        </w:rPr>
        <w:t>»</w:t>
      </w:r>
      <w:r w:rsidRPr="002B6BAB">
        <w:rPr>
          <w:rFonts w:ascii="Arial" w:eastAsia="Calibri" w:hAnsi="Arial" w:cs="Arial"/>
          <w:lang w:val="es-ES_tradnl"/>
        </w:rPr>
        <w:t xml:space="preserve"> durante los cuatro (4) meses anteriores a las elecciones presidenciales, salvo </w:t>
      </w:r>
      <w:r w:rsidRPr="002B6BAB">
        <w:rPr>
          <w:rFonts w:ascii="Arial" w:eastAsia="Calibri" w:hAnsi="Arial" w:cs="Arial"/>
          <w:bCs/>
          <w:lang w:val="es-ES_tradnl"/>
        </w:rPr>
        <w:t xml:space="preserve">«[…] </w:t>
      </w:r>
      <w:r w:rsidRPr="002B6BAB">
        <w:rPr>
          <w:rFonts w:ascii="Arial" w:eastAsia="Calibri" w:hAnsi="Arial" w:cs="Arial"/>
          <w:lang w:val="es-ES_tradnl"/>
        </w:rPr>
        <w:t xml:space="preserve">lo referente a la defensa y </w:t>
      </w:r>
      <w:r w:rsidRPr="002B6BAB">
        <w:rPr>
          <w:rFonts w:ascii="Arial" w:eastAsia="Calibri" w:hAnsi="Arial" w:cs="Arial"/>
          <w:lang w:val="es-ES_tradnl"/>
        </w:rPr>
        <w:lastRenderedPageBreak/>
        <w:t>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2B6BAB">
        <w:rPr>
          <w:rFonts w:ascii="Arial" w:eastAsia="Calibri" w:hAnsi="Arial" w:cs="Arial"/>
          <w:bCs/>
          <w:lang w:val="es-ES_tradnl"/>
        </w:rPr>
        <w:t>»</w:t>
      </w:r>
      <w:r w:rsidRPr="002B6BAB">
        <w:rPr>
          <w:rFonts w:ascii="Arial" w:eastAsia="Calibri" w:hAnsi="Arial" w:cs="Arial"/>
          <w:bCs/>
          <w:vertAlign w:val="superscript"/>
          <w:lang w:val="es-ES_tradnl"/>
        </w:rPr>
        <w:footnoteReference w:id="8"/>
      </w:r>
      <w:r w:rsidRPr="002B6BAB">
        <w:rPr>
          <w:rFonts w:ascii="Arial" w:eastAsia="Calibri" w:hAnsi="Arial" w:cs="Arial"/>
          <w:lang w:val="es-ES_tradnl"/>
        </w:rPr>
        <w:t>.</w:t>
      </w:r>
    </w:p>
    <w:p w14:paraId="264134E0" w14:textId="77777777" w:rsidR="00B823FD" w:rsidRPr="002B6BAB" w:rsidRDefault="00B823FD" w:rsidP="00B823FD">
      <w:pPr>
        <w:widowControl w:val="0"/>
        <w:autoSpaceDE w:val="0"/>
        <w:autoSpaceDN w:val="0"/>
        <w:spacing w:after="0" w:line="276" w:lineRule="auto"/>
        <w:ind w:right="113" w:firstLine="708"/>
        <w:jc w:val="both"/>
        <w:rPr>
          <w:rFonts w:ascii="Arial" w:eastAsia="Arial" w:hAnsi="Arial" w:cs="Arial"/>
          <w:lang w:val="es-ES_tradnl" w:eastAsia="es-ES" w:bidi="es-ES"/>
        </w:rPr>
      </w:pPr>
      <w:r w:rsidRPr="002B6BAB">
        <w:rPr>
          <w:rFonts w:ascii="Arial" w:eastAsia="Calibri" w:hAnsi="Arial" w:cs="Arial"/>
          <w:lang w:val="es-ES_tradnl"/>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2B6BAB">
        <w:rPr>
          <w:rFonts w:ascii="Arial" w:eastAsia="Calibri" w:hAnsi="Arial" w:cs="Arial"/>
          <w:bCs/>
          <w:lang w:val="es-ES_tradnl"/>
        </w:rPr>
        <w:t xml:space="preserve">«[…] </w:t>
      </w:r>
      <w:r w:rsidRPr="002B6BAB">
        <w:rPr>
          <w:rFonts w:ascii="Arial" w:eastAsia="Calibri" w:hAnsi="Arial" w:cs="Arial"/>
          <w:lang w:val="es-ES_tradnl"/>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2B6BAB">
        <w:rPr>
          <w:rFonts w:ascii="Arial" w:eastAsia="Calibri" w:hAnsi="Arial" w:cs="Arial"/>
          <w:bCs/>
          <w:sz w:val="19"/>
          <w:szCs w:val="19"/>
          <w:lang w:val="es-ES_tradnl"/>
        </w:rPr>
        <w:t>»</w:t>
      </w:r>
      <w:r w:rsidRPr="002B6BAB">
        <w:rPr>
          <w:rFonts w:ascii="Arial" w:eastAsia="Calibri" w:hAnsi="Arial" w:cs="Arial"/>
          <w:bCs/>
          <w:sz w:val="19"/>
          <w:szCs w:val="19"/>
          <w:vertAlign w:val="superscript"/>
          <w:lang w:val="es-ES_tradnl"/>
        </w:rPr>
        <w:footnoteReference w:id="9"/>
      </w:r>
      <w:r w:rsidRPr="002B6BAB">
        <w:rPr>
          <w:rFonts w:ascii="Arial" w:eastAsia="Calibri" w:hAnsi="Arial" w:cs="Arial"/>
          <w:lang w:val="es-ES_tradnl"/>
        </w:rPr>
        <w:t>.</w:t>
      </w:r>
      <w:r w:rsidRPr="002B6BAB">
        <w:rPr>
          <w:rFonts w:ascii="Arial" w:eastAsia="Arial" w:hAnsi="Arial" w:cs="Arial"/>
          <w:lang w:val="es-ES_tradnl"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2E96343E" w14:textId="77777777" w:rsidR="00B823FD" w:rsidRPr="002B6BAB" w:rsidRDefault="00B823FD" w:rsidP="00B823FD">
      <w:pPr>
        <w:widowControl w:val="0"/>
        <w:autoSpaceDE w:val="0"/>
        <w:autoSpaceDN w:val="0"/>
        <w:spacing w:after="0" w:line="276" w:lineRule="auto"/>
        <w:ind w:left="805" w:right="812"/>
        <w:jc w:val="both"/>
        <w:rPr>
          <w:rFonts w:ascii="Arial" w:eastAsia="Arial" w:hAnsi="Arial" w:cs="Arial"/>
          <w:lang w:val="es-ES_tradnl" w:eastAsia="es-ES" w:bidi="es-ES"/>
        </w:rPr>
      </w:pPr>
    </w:p>
    <w:p w14:paraId="535EF135" w14:textId="77777777" w:rsidR="00B823FD" w:rsidRPr="002B6BAB" w:rsidRDefault="00B823FD" w:rsidP="00B823FD">
      <w:pPr>
        <w:widowControl w:val="0"/>
        <w:autoSpaceDE w:val="0"/>
        <w:autoSpaceDN w:val="0"/>
        <w:spacing w:after="0" w:line="240" w:lineRule="auto"/>
        <w:ind w:left="709" w:right="709"/>
        <w:jc w:val="both"/>
        <w:rPr>
          <w:rFonts w:ascii="Arial" w:eastAsia="Arial" w:hAnsi="Arial" w:cs="Arial"/>
          <w:sz w:val="21"/>
          <w:szCs w:val="21"/>
          <w:lang w:val="es-ES_tradnl" w:eastAsia="es-ES" w:bidi="es-ES"/>
        </w:rPr>
      </w:pPr>
      <w:r w:rsidRPr="002B6BAB">
        <w:rPr>
          <w:rFonts w:ascii="Arial" w:eastAsia="Arial" w:hAnsi="Arial" w:cs="Arial"/>
          <w:sz w:val="21"/>
          <w:szCs w:val="21"/>
          <w:lang w:val="es-ES_tradnl"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w:t>
      </w:r>
      <w:r w:rsidRPr="002B6BAB">
        <w:rPr>
          <w:rFonts w:ascii="Arial" w:eastAsia="Arial" w:hAnsi="Arial" w:cs="Arial"/>
          <w:sz w:val="21"/>
          <w:szCs w:val="21"/>
          <w:lang w:val="es-ES_tradnl" w:eastAsia="es-ES" w:bidi="es-ES"/>
        </w:rPr>
        <w:lastRenderedPageBreak/>
        <w:t xml:space="preserve">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9" w:name="_Hlk76109421"/>
      <w:r w:rsidRPr="002B6BAB">
        <w:rPr>
          <w:rFonts w:ascii="Arial" w:eastAsia="Arial" w:hAnsi="Arial" w:cs="Arial"/>
          <w:sz w:val="21"/>
          <w:szCs w:val="21"/>
          <w:lang w:val="es-ES_tradnl" w:eastAsia="es-ES" w:bidi="es-ES"/>
        </w:rPr>
        <w:t>se integran parcialmente</w:t>
      </w:r>
      <w:bookmarkEnd w:id="9"/>
      <w:r w:rsidRPr="002B6BAB">
        <w:rPr>
          <w:rFonts w:ascii="Arial" w:eastAsia="Arial" w:hAnsi="Arial" w:cs="Arial"/>
          <w:sz w:val="21"/>
          <w:szCs w:val="21"/>
          <w:lang w:val="es-ES_tradnl"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2B6BAB">
        <w:rPr>
          <w:rFonts w:ascii="Arial" w:eastAsia="Arial" w:hAnsi="Arial" w:cs="Arial"/>
          <w:bCs/>
          <w:sz w:val="21"/>
          <w:szCs w:val="21"/>
          <w:lang w:val="es-ES_tradnl" w:eastAsia="es-ES" w:bidi="es-ES"/>
        </w:rPr>
        <w:t>En cambio, para elecciones en general, excluyendo las correspondientes a Presidente de la República, a las autoridades territoriales allí mencionadas sólo se aplican las restricciones contenidas en el parágrafo del artículo 38</w:t>
      </w:r>
      <w:r w:rsidRPr="002B6BAB">
        <w:rPr>
          <w:rFonts w:ascii="Arial" w:eastAsia="Arial" w:hAnsi="Arial" w:cs="Arial"/>
          <w:sz w:val="21"/>
          <w:szCs w:val="21"/>
          <w:lang w:val="es-ES_tradnl" w:eastAsia="es-ES" w:bidi="es-ES"/>
        </w:rPr>
        <w:t>.</w:t>
      </w:r>
      <w:r w:rsidRPr="002B6BAB">
        <w:rPr>
          <w:rFonts w:ascii="Arial" w:eastAsia="Arial" w:hAnsi="Arial" w:cs="Arial"/>
          <w:sz w:val="21"/>
          <w:szCs w:val="21"/>
          <w:vertAlign w:val="superscript"/>
          <w:lang w:val="es-ES_tradnl" w:eastAsia="es-ES" w:bidi="es-ES"/>
        </w:rPr>
        <w:footnoteReference w:id="10"/>
      </w:r>
    </w:p>
    <w:p w14:paraId="7C58716A" w14:textId="77777777" w:rsidR="00B823FD" w:rsidRPr="002B6BAB" w:rsidRDefault="00B823FD" w:rsidP="00B823FD">
      <w:pPr>
        <w:widowControl w:val="0"/>
        <w:autoSpaceDE w:val="0"/>
        <w:autoSpaceDN w:val="0"/>
        <w:spacing w:before="8" w:after="0" w:line="276" w:lineRule="auto"/>
        <w:rPr>
          <w:rFonts w:ascii="Arial" w:eastAsia="Arial" w:hAnsi="Arial" w:cs="Arial"/>
          <w:lang w:val="es-ES_tradnl" w:eastAsia="es-ES" w:bidi="es-ES"/>
        </w:rPr>
      </w:pPr>
    </w:p>
    <w:p w14:paraId="6803F6AD" w14:textId="77777777" w:rsidR="00B823FD" w:rsidRPr="002B6BAB" w:rsidRDefault="00B823FD" w:rsidP="00B823FD">
      <w:pPr>
        <w:spacing w:after="120" w:line="276" w:lineRule="auto"/>
        <w:ind w:firstLine="709"/>
        <w:jc w:val="both"/>
        <w:rPr>
          <w:rFonts w:ascii="Arial" w:eastAsia="Arial" w:hAnsi="Arial" w:cs="Arial"/>
          <w:lang w:val="es-ES_tradnl" w:eastAsia="es-ES" w:bidi="es-ES"/>
        </w:rPr>
      </w:pPr>
      <w:r w:rsidRPr="002B6BAB">
        <w:rPr>
          <w:rFonts w:ascii="Arial" w:eastAsia="Arial" w:hAnsi="Arial" w:cs="Arial"/>
          <w:lang w:val="es-ES_tradnl" w:eastAsia="es-ES" w:bidi="es-ES"/>
        </w:rPr>
        <w:t xml:space="preserve">De conformidad con lo anterior, </w:t>
      </w:r>
      <w:bookmarkStart w:id="10" w:name="_Hlk77236420"/>
      <w:bookmarkStart w:id="11" w:name="_Hlk78818435"/>
      <w:bookmarkStart w:id="12" w:name="_Hlk75780333"/>
      <w:r w:rsidRPr="002B6BAB">
        <w:rPr>
          <w:rFonts w:ascii="Arial" w:eastAsia="Arial" w:hAnsi="Arial" w:cs="Arial"/>
          <w:lang w:val="es-ES_tradnl" w:eastAsia="es-ES" w:bidi="es-ES"/>
        </w:rPr>
        <w:t xml:space="preserve">la Ley 996 de 2005 establece dos (2) tipos de restricciones en materia de contratación, las cuales coinciden parcialmente. </w:t>
      </w:r>
      <w:r w:rsidRPr="002B6BAB">
        <w:rPr>
          <w:rFonts w:ascii="Arial" w:eastAsia="Arial" w:hAnsi="Arial" w:cs="Arial"/>
          <w:i/>
          <w:iCs/>
          <w:lang w:val="es-ES_tradnl" w:eastAsia="es-ES" w:bidi="es-ES"/>
        </w:rPr>
        <w:t>En primer lugar</w:t>
      </w:r>
      <w:r w:rsidRPr="002B6BAB">
        <w:rPr>
          <w:rFonts w:ascii="Arial" w:eastAsia="Arial" w:hAnsi="Arial" w:cs="Arial"/>
          <w:lang w:val="es-ES_tradnl"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2B6BAB">
        <w:rPr>
          <w:rFonts w:ascii="Arial" w:eastAsia="Arial" w:hAnsi="Arial" w:cs="Arial"/>
          <w:i/>
          <w:iCs/>
          <w:lang w:val="es-ES_tradnl" w:eastAsia="es-ES" w:bidi="es-ES"/>
        </w:rPr>
        <w:t>En segundo lugar</w:t>
      </w:r>
      <w:r w:rsidRPr="002B6BAB">
        <w:rPr>
          <w:rFonts w:ascii="Arial" w:eastAsia="Arial" w:hAnsi="Arial" w:cs="Arial"/>
          <w:lang w:val="es-ES_tradnl"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10"/>
    </w:p>
    <w:bookmarkEnd w:id="11"/>
    <w:p w14:paraId="7B1B3EC2" w14:textId="77777777" w:rsidR="00B823FD" w:rsidRPr="002B6BAB" w:rsidRDefault="00B823FD" w:rsidP="00B823FD">
      <w:pPr>
        <w:spacing w:after="120" w:line="276" w:lineRule="auto"/>
        <w:ind w:firstLine="709"/>
        <w:jc w:val="both"/>
        <w:rPr>
          <w:rFonts w:ascii="Arial" w:eastAsia="Arial" w:hAnsi="Arial" w:cs="Arial"/>
          <w:lang w:val="es-ES_tradnl" w:eastAsia="es-ES" w:bidi="es-ES"/>
        </w:rPr>
      </w:pPr>
      <w:r w:rsidRPr="002B6BAB">
        <w:rPr>
          <w:rFonts w:ascii="Arial" w:eastAsia="Arial" w:hAnsi="Arial" w:cs="Arial"/>
          <w:lang w:val="es-ES_tradnl" w:eastAsia="es-ES" w:bidi="es-ES"/>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bookmarkEnd w:id="12"/>
    <w:p w14:paraId="5F43989A" w14:textId="77777777" w:rsidR="00B823FD" w:rsidRDefault="00B823FD" w:rsidP="00B823FD">
      <w:pPr>
        <w:spacing w:after="120" w:line="276" w:lineRule="auto"/>
        <w:ind w:firstLine="709"/>
        <w:jc w:val="both"/>
        <w:rPr>
          <w:rFonts w:ascii="Arial" w:eastAsia="Arial" w:hAnsi="Arial" w:cs="Arial"/>
          <w:lang w:val="es-ES_tradnl" w:eastAsia="es-ES" w:bidi="es-ES"/>
        </w:rPr>
      </w:pPr>
      <w:r w:rsidRPr="002B6BAB">
        <w:rPr>
          <w:rFonts w:ascii="Arial" w:eastAsia="Arial" w:hAnsi="Arial" w:cs="Arial"/>
          <w:lang w:val="es-ES_tradnl" w:eastAsia="es-ES" w:bidi="es-ES"/>
        </w:rPr>
        <w:lastRenderedPageBreak/>
        <w:t>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w:t>
      </w:r>
      <w:r>
        <w:rPr>
          <w:rFonts w:ascii="Arial" w:eastAsia="Arial" w:hAnsi="Arial" w:cs="Arial"/>
          <w:lang w:val="es-ES_tradnl" w:eastAsia="es-ES" w:bidi="es-ES"/>
        </w:rPr>
        <w:t xml:space="preserve">establecida </w:t>
      </w:r>
      <w:r w:rsidRPr="002B6BAB">
        <w:rPr>
          <w:rFonts w:ascii="Arial" w:eastAsia="Arial" w:hAnsi="Arial" w:cs="Arial"/>
          <w:lang w:val="es-ES_tradnl" w:eastAsia="es-ES" w:bidi="es-ES"/>
        </w:rPr>
        <w:t xml:space="preserve">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3F423D2A" w14:textId="77777777" w:rsidR="00B823FD" w:rsidRPr="0002074B" w:rsidRDefault="00B823FD" w:rsidP="00B823FD">
      <w:pPr>
        <w:spacing w:after="0" w:line="276" w:lineRule="auto"/>
        <w:ind w:firstLine="709"/>
        <w:jc w:val="both"/>
        <w:rPr>
          <w:rFonts w:ascii="Arial" w:eastAsia="Arial" w:hAnsi="Arial" w:cs="Arial"/>
          <w:lang w:val="es-ES_tradnl" w:eastAsia="es-ES" w:bidi="es-ES"/>
        </w:rPr>
      </w:pPr>
      <w:r>
        <w:rPr>
          <w:rFonts w:ascii="Arial" w:eastAsia="Times New Roman" w:hAnsi="Arial" w:cs="Arial"/>
          <w:bCs/>
          <w:lang w:val="es-ES_tradnl" w:eastAsia="x-none"/>
        </w:rPr>
        <w:t>Sin perjuicio de lo anterior, es importante señalar que, e</w:t>
      </w:r>
      <w:r w:rsidRPr="002B6BAB">
        <w:rPr>
          <w:rFonts w:ascii="Arial" w:eastAsia="Times New Roman" w:hAnsi="Arial" w:cs="Arial"/>
          <w:lang w:val="es-ES_tradnl" w:eastAsia="es-CO"/>
        </w:rPr>
        <w:t>l 12 de noviembre de 2021 el Presidente de la República sancionó la Ley 2159</w:t>
      </w:r>
      <w:r w:rsidRPr="002B6BAB">
        <w:rPr>
          <w:rFonts w:ascii="Arial" w:eastAsia="Times New Roman" w:hAnsi="Arial" w:cs="Arial"/>
          <w:vertAlign w:val="superscript"/>
          <w:lang w:val="es-ES_tradnl" w:eastAsia="es-CO"/>
        </w:rPr>
        <w:footnoteReference w:id="11"/>
      </w:r>
      <w:r w:rsidRPr="002B6BAB">
        <w:rPr>
          <w:rFonts w:ascii="Arial" w:eastAsia="Times New Roman" w:hAnsi="Arial" w:cs="Arial"/>
          <w:lang w:val="es-ES_tradnl" w:eastAsia="es-CO"/>
        </w:rPr>
        <w:t>,  por la cual se decreta el presupuesto de rentas y recursos de capital y ley de apropiaciones para la vigencia fiscal del 1 de enero al 31 de diciembre de 2022 –Ley Anual del Presupuesto–</w:t>
      </w:r>
      <w:r w:rsidRPr="002B6BAB">
        <w:rPr>
          <w:rFonts w:ascii="Arial" w:eastAsia="Times New Roman" w:hAnsi="Arial" w:cs="Arial"/>
          <w:vertAlign w:val="superscript"/>
          <w:lang w:val="es-ES_tradnl" w:eastAsia="es-CO"/>
        </w:rPr>
        <w:footnoteReference w:id="12"/>
      </w:r>
      <w:r w:rsidRPr="002B6BAB">
        <w:rPr>
          <w:rFonts w:ascii="Arial" w:eastAsia="Times New Roman" w:hAnsi="Arial" w:cs="Arial"/>
          <w:lang w:val="es-ES_tradnl" w:eastAsia="es-CO"/>
        </w:rPr>
        <w:t xml:space="preserve">. En el Capítulo V sobre «disposiciones varias» contenido en la Tercera Parte, «Disposiciones Generales», se destaca la inclusión del artículo 124. Esta norma </w:t>
      </w:r>
      <w:r>
        <w:rPr>
          <w:rFonts w:ascii="Arial" w:eastAsia="Times New Roman" w:hAnsi="Arial" w:cs="Arial"/>
          <w:lang w:val="es-ES_tradnl" w:eastAsia="es-CO"/>
        </w:rPr>
        <w:t>modifica el parágrafo del artículo 38 de la Ley de Garantías, en los siguientes términos</w:t>
      </w:r>
      <w:r w:rsidRPr="002B6BAB">
        <w:rPr>
          <w:rFonts w:ascii="Arial" w:eastAsia="Times New Roman" w:hAnsi="Arial" w:cs="Arial"/>
          <w:lang w:val="es-ES_tradnl" w:eastAsia="es-CO"/>
        </w:rPr>
        <w:t xml:space="preserve">: </w:t>
      </w:r>
    </w:p>
    <w:p w14:paraId="6B313957" w14:textId="77777777" w:rsidR="00B823FD" w:rsidRPr="002B6BAB" w:rsidRDefault="00B823FD" w:rsidP="00B823FD">
      <w:pPr>
        <w:spacing w:after="0" w:line="276" w:lineRule="auto"/>
        <w:jc w:val="both"/>
        <w:rPr>
          <w:rFonts w:ascii="Arial" w:eastAsia="Times New Roman" w:hAnsi="Arial" w:cs="Arial"/>
          <w:lang w:val="es-ES_tradnl" w:eastAsia="es-CO"/>
        </w:rPr>
      </w:pPr>
    </w:p>
    <w:p w14:paraId="5A71AA93" w14:textId="77777777" w:rsidR="00B823FD" w:rsidRPr="002B6BAB" w:rsidRDefault="00B823FD" w:rsidP="00B823FD">
      <w:pPr>
        <w:spacing w:after="120" w:line="240" w:lineRule="auto"/>
        <w:ind w:left="709" w:right="567"/>
        <w:jc w:val="both"/>
        <w:rPr>
          <w:rFonts w:ascii="Arial" w:eastAsia="Times New Roman" w:hAnsi="Arial" w:cs="Arial"/>
          <w:sz w:val="21"/>
          <w:szCs w:val="21"/>
          <w:lang w:val="es-ES_tradnl" w:eastAsia="es-CO"/>
        </w:rPr>
      </w:pPr>
      <w:r w:rsidRPr="002B6BAB">
        <w:rPr>
          <w:rFonts w:ascii="Arial" w:eastAsia="Times New Roman" w:hAnsi="Arial" w:cs="Arial"/>
          <w:sz w:val="21"/>
          <w:szCs w:val="21"/>
          <w:lang w:val="es-ES_tradnl" w:eastAsia="es-CO"/>
        </w:rPr>
        <w:t xml:space="preserve">Con el propósito de promover la reactivación económica y la generación de empleo en las regiones, a partir de la publicación de la presente ley y durante la vigencia fiscal 2022, la Nación podrá celebrar convenios interadministrativos con las entidades territoriales para ejecutar programas y proyectos correspondientes al Presupuesto General de la Nación. </w:t>
      </w:r>
    </w:p>
    <w:p w14:paraId="55A9BFDD" w14:textId="77777777" w:rsidR="00B823FD" w:rsidRPr="002B6BAB" w:rsidRDefault="00B823FD" w:rsidP="00B823FD">
      <w:pPr>
        <w:spacing w:after="120" w:line="240" w:lineRule="auto"/>
        <w:ind w:left="709" w:right="567"/>
        <w:jc w:val="both"/>
        <w:rPr>
          <w:rFonts w:ascii="Arial" w:eastAsia="Times New Roman" w:hAnsi="Arial" w:cs="Arial"/>
          <w:sz w:val="21"/>
          <w:szCs w:val="21"/>
          <w:lang w:val="es-ES_tradnl" w:eastAsia="es-CO"/>
        </w:rPr>
      </w:pPr>
      <w:r w:rsidRPr="002B6BAB">
        <w:rPr>
          <w:rFonts w:ascii="Arial" w:eastAsia="Times New Roman" w:hAnsi="Arial" w:cs="Arial"/>
          <w:sz w:val="21"/>
          <w:szCs w:val="21"/>
          <w:lang w:val="es-ES_tradnl" w:eastAsia="es-CO"/>
        </w:rPr>
        <w:t xml:space="preserve">La presente disposición modifica únicamente en la parte pertinente el inciso primero del parágrafo del artículo 38 de la Ley 996 de 2005. </w:t>
      </w:r>
    </w:p>
    <w:p w14:paraId="6C3261CA" w14:textId="77777777" w:rsidR="00B823FD" w:rsidRPr="002B6BAB" w:rsidRDefault="00B823FD" w:rsidP="00B823FD">
      <w:pPr>
        <w:spacing w:after="0" w:line="240" w:lineRule="auto"/>
        <w:ind w:left="708" w:right="567"/>
        <w:jc w:val="both"/>
        <w:rPr>
          <w:rFonts w:ascii="Arial" w:eastAsia="Times New Roman" w:hAnsi="Arial" w:cs="Arial"/>
          <w:lang w:val="es-ES_tradnl" w:eastAsia="es-CO"/>
        </w:rPr>
      </w:pPr>
      <w:r w:rsidRPr="002B6BAB">
        <w:rPr>
          <w:rFonts w:ascii="Arial" w:eastAsia="Times New Roman" w:hAnsi="Arial" w:cs="Arial"/>
          <w:sz w:val="21"/>
          <w:szCs w:val="21"/>
          <w:lang w:val="es-ES_tradnl" w:eastAsia="es-CO"/>
        </w:rPr>
        <w:t>Parágrafo.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ejercerá dicho control especial.</w:t>
      </w:r>
    </w:p>
    <w:p w14:paraId="63DE80C9" w14:textId="77777777" w:rsidR="00B823FD" w:rsidRPr="002B6BAB" w:rsidRDefault="00B823FD" w:rsidP="00B823FD">
      <w:pPr>
        <w:overflowPunct w:val="0"/>
        <w:autoSpaceDE w:val="0"/>
        <w:autoSpaceDN w:val="0"/>
        <w:adjustRightInd w:val="0"/>
        <w:spacing w:after="0" w:line="276" w:lineRule="auto"/>
        <w:jc w:val="both"/>
        <w:textAlignment w:val="baseline"/>
        <w:rPr>
          <w:rFonts w:ascii="Arial" w:eastAsia="Calibri" w:hAnsi="Arial" w:cs="Arial"/>
          <w:lang w:val="es-ES_tradnl" w:eastAsia="es-ES"/>
        </w:rPr>
      </w:pPr>
    </w:p>
    <w:p w14:paraId="59299B77" w14:textId="10FECD3D" w:rsidR="00B01072" w:rsidRDefault="00B823FD" w:rsidP="003A7987">
      <w:pPr>
        <w:spacing w:after="120" w:line="276" w:lineRule="auto"/>
        <w:jc w:val="both"/>
        <w:rPr>
          <w:rFonts w:ascii="Arial" w:eastAsia="Times New Roman" w:hAnsi="Arial" w:cs="Arial"/>
          <w:lang w:val="es-ES_tradnl" w:eastAsia="es-CO"/>
        </w:rPr>
      </w:pPr>
      <w:r w:rsidRPr="002B6BAB">
        <w:rPr>
          <w:rFonts w:ascii="Arial" w:eastAsia="Calibri" w:hAnsi="Arial" w:cs="Arial"/>
          <w:lang w:val="es-ES_tradnl" w:eastAsia="es-ES"/>
        </w:rPr>
        <w:tab/>
      </w:r>
      <w:r w:rsidRPr="002B6BAB">
        <w:rPr>
          <w:rFonts w:ascii="Arial" w:eastAsia="Times New Roman" w:hAnsi="Arial" w:cs="Arial"/>
          <w:lang w:val="es-ES_tradnl" w:eastAsia="es-CO"/>
        </w:rPr>
        <w:t>En este contexto, como se puede apreciar, el artículo 124 de la Ley del Presupuesto para la vigencia fiscal del 2022, con la finalidad de promover la reactivación económica y la generación de empleo en las regiones, consagra una autorización a la Nación y a las entidades territoriales para celebrar convenios interadministrativos con el fin de ejecutar programas y proyectos correspondientes al Presupuesto General de la Nación.</w:t>
      </w:r>
      <w:r w:rsidR="00073C80">
        <w:rPr>
          <w:rFonts w:ascii="Arial" w:eastAsia="Times New Roman" w:hAnsi="Arial" w:cs="Arial"/>
          <w:lang w:val="es-ES_tradnl" w:eastAsia="es-CO"/>
        </w:rPr>
        <w:t xml:space="preserve"> Tal como se indica, tal habilitación opera </w:t>
      </w:r>
      <w:r w:rsidR="00A267B9">
        <w:rPr>
          <w:rFonts w:ascii="Arial" w:eastAsia="Times New Roman" w:hAnsi="Arial" w:cs="Arial"/>
          <w:lang w:val="es-ES_tradnl" w:eastAsia="es-CO"/>
        </w:rPr>
        <w:t>solo respecto de la</w:t>
      </w:r>
      <w:r w:rsidR="009E7EC9">
        <w:rPr>
          <w:rFonts w:ascii="Arial" w:eastAsia="Times New Roman" w:hAnsi="Arial" w:cs="Arial"/>
          <w:lang w:val="es-ES_tradnl" w:eastAsia="es-CO"/>
        </w:rPr>
        <w:t xml:space="preserve"> restricción del artículo 38, en lo relativo a la</w:t>
      </w:r>
      <w:r w:rsidR="00A267B9">
        <w:rPr>
          <w:rFonts w:ascii="Arial" w:eastAsia="Times New Roman" w:hAnsi="Arial" w:cs="Arial"/>
          <w:lang w:val="es-ES_tradnl" w:eastAsia="es-CO"/>
        </w:rPr>
        <w:t xml:space="preserve"> suscripción de convenios interadministrativos</w:t>
      </w:r>
      <w:r w:rsidR="009E7EC9">
        <w:rPr>
          <w:rFonts w:ascii="Arial" w:eastAsia="Times New Roman" w:hAnsi="Arial" w:cs="Arial"/>
          <w:lang w:val="es-ES_tradnl" w:eastAsia="es-CO"/>
        </w:rPr>
        <w:t>.</w:t>
      </w:r>
    </w:p>
    <w:p w14:paraId="694B11B5" w14:textId="1BFD88B7" w:rsidR="00AE332C" w:rsidRPr="002B6BAB" w:rsidRDefault="009219A3" w:rsidP="003A7987">
      <w:pPr>
        <w:spacing w:after="0" w:line="276" w:lineRule="auto"/>
        <w:ind w:firstLine="709"/>
        <w:jc w:val="both"/>
        <w:rPr>
          <w:rFonts w:ascii="Arial" w:eastAsia="Times New Roman" w:hAnsi="Arial" w:cs="Arial"/>
          <w:bCs/>
          <w:lang w:val="es-ES_tradnl" w:eastAsia="x-none"/>
        </w:rPr>
      </w:pPr>
      <w:r>
        <w:rPr>
          <w:rFonts w:ascii="Arial" w:eastAsia="Times New Roman" w:hAnsi="Arial" w:cs="Arial"/>
          <w:bCs/>
          <w:lang w:val="es-ES_tradnl" w:eastAsia="x-none"/>
        </w:rPr>
        <w:t>Ahora bien, particularmente, e</w:t>
      </w:r>
      <w:r w:rsidR="00AE332C" w:rsidRPr="002B6BAB">
        <w:rPr>
          <w:rFonts w:ascii="Arial" w:eastAsia="Times New Roman" w:hAnsi="Arial" w:cs="Arial"/>
          <w:bCs/>
          <w:lang w:val="es-ES_tradnl" w:eastAsia="x-none"/>
        </w:rPr>
        <w:t xml:space="preserve">l artículo 33 de la Ley 996 de 2005 señala expresamente a los destinatarios de la prohibición, </w:t>
      </w:r>
      <w:r w:rsidR="009E7EC9">
        <w:rPr>
          <w:rFonts w:ascii="Arial" w:eastAsia="Times New Roman" w:hAnsi="Arial" w:cs="Arial"/>
          <w:bCs/>
          <w:lang w:val="es-ES_tradnl" w:eastAsia="x-none"/>
        </w:rPr>
        <w:t>indicando</w:t>
      </w:r>
      <w:r w:rsidR="00AE332C" w:rsidRPr="002B6BAB">
        <w:rPr>
          <w:rFonts w:ascii="Arial" w:eastAsia="Times New Roman" w:hAnsi="Arial" w:cs="Arial"/>
          <w:bCs/>
          <w:lang w:val="es-ES_tradnl" w:eastAsia="x-none"/>
        </w:rPr>
        <w:t xml:space="preserve"> que son «todos los entes del Estado», expresión que contempla a los diferentes organismos o entidades autorizadas por la ley para suscribir contratos.</w:t>
      </w:r>
      <w:r w:rsidR="00AE332C" w:rsidRPr="002B6BAB">
        <w:rPr>
          <w:rFonts w:ascii="Calibri" w:eastAsia="Calibri" w:hAnsi="Calibri" w:cs="Times New Roman"/>
          <w:sz w:val="24"/>
          <w:lang w:val="es-ES_tradnl"/>
        </w:rPr>
        <w:t xml:space="preserve"> </w:t>
      </w:r>
      <w:r w:rsidR="00AE332C" w:rsidRPr="002B6BAB">
        <w:rPr>
          <w:rFonts w:ascii="Arial" w:eastAsia="Times New Roman" w:hAnsi="Arial" w:cs="Arial"/>
          <w:bCs/>
          <w:lang w:val="es-ES_tradnl" w:eastAsia="x-none"/>
        </w:rPr>
        <w:t>En efecto, tal como lo ha sostenido el Consejo de Estado, el vocablo «todos» utilizado por el legislador comprende</w:t>
      </w:r>
      <w:r w:rsidR="00AE332C" w:rsidRPr="002B6BAB">
        <w:rPr>
          <w:rFonts w:ascii="Calibri" w:eastAsia="Calibri" w:hAnsi="Calibri" w:cs="Times New Roman"/>
          <w:sz w:val="24"/>
          <w:lang w:val="es-ES_tradnl"/>
        </w:rPr>
        <w:t xml:space="preserve"> </w:t>
      </w:r>
      <w:r w:rsidR="00AE332C" w:rsidRPr="002B6BAB">
        <w:rPr>
          <w:rFonts w:ascii="Arial" w:eastAsia="Times New Roman" w:hAnsi="Arial" w:cs="Arial"/>
          <w:bCs/>
          <w:lang w:val="es-ES_tradnl" w:eastAsia="x-none"/>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El Consejo de Estado, en Concepto con radicado 1727 de fecha 20 de febrero de 2006, consideró que: </w:t>
      </w:r>
    </w:p>
    <w:p w14:paraId="7FF34516" w14:textId="77777777" w:rsidR="00AE332C" w:rsidRPr="002B6BAB" w:rsidRDefault="00AE332C" w:rsidP="00AE332C">
      <w:pPr>
        <w:spacing w:after="0" w:line="276" w:lineRule="auto"/>
        <w:ind w:firstLine="708"/>
        <w:jc w:val="both"/>
        <w:rPr>
          <w:rFonts w:ascii="Arial" w:eastAsia="Times New Roman" w:hAnsi="Arial" w:cs="Arial"/>
          <w:bCs/>
          <w:lang w:val="es-ES_tradnl" w:eastAsia="x-none"/>
        </w:rPr>
      </w:pPr>
    </w:p>
    <w:p w14:paraId="59162267" w14:textId="1B868332" w:rsidR="00AE332C" w:rsidRPr="00AE332C" w:rsidRDefault="00AE332C" w:rsidP="00AE332C">
      <w:pPr>
        <w:spacing w:after="0" w:line="240" w:lineRule="auto"/>
        <w:ind w:left="708" w:right="709"/>
        <w:jc w:val="both"/>
        <w:rPr>
          <w:rFonts w:ascii="Arial" w:eastAsia="Times New Roman" w:hAnsi="Arial" w:cs="Arial"/>
          <w:bCs/>
          <w:sz w:val="21"/>
          <w:szCs w:val="21"/>
          <w:lang w:val="es-ES_tradnl" w:eastAsia="es-CO"/>
        </w:rPr>
      </w:pPr>
      <w:r w:rsidRPr="002B6BAB">
        <w:rPr>
          <w:rFonts w:ascii="Arial" w:eastAsia="Times New Roman" w:hAnsi="Arial" w:cs="Arial"/>
          <w:bCs/>
          <w:sz w:val="21"/>
          <w:szCs w:val="21"/>
          <w:lang w:val="es-ES_tradnl" w:eastAsia="x-none"/>
        </w:rPr>
        <w:t>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2B6BAB">
        <w:rPr>
          <w:rFonts w:ascii="Arial" w:eastAsia="Times New Roman" w:hAnsi="Arial" w:cs="Arial"/>
          <w:bCs/>
          <w:sz w:val="21"/>
          <w:szCs w:val="21"/>
          <w:vertAlign w:val="superscript"/>
          <w:lang w:val="es-ES_tradnl" w:eastAsia="x-none"/>
        </w:rPr>
        <w:footnoteReference w:id="13"/>
      </w:r>
      <w:r w:rsidRPr="002B6BAB">
        <w:rPr>
          <w:rFonts w:ascii="Arial" w:eastAsia="Times New Roman" w:hAnsi="Arial" w:cs="Arial"/>
          <w:bCs/>
          <w:sz w:val="21"/>
          <w:szCs w:val="21"/>
          <w:lang w:val="es-ES_tradnl" w:eastAsia="x-none"/>
        </w:rPr>
        <w:t>.</w:t>
      </w:r>
      <w:r w:rsidRPr="002B6BAB">
        <w:rPr>
          <w:rFonts w:ascii="Arial" w:eastAsia="Times New Roman" w:hAnsi="Arial" w:cs="Arial"/>
          <w:bCs/>
          <w:sz w:val="21"/>
          <w:szCs w:val="21"/>
          <w:lang w:val="es-ES_tradnl" w:eastAsia="es-CO"/>
        </w:rPr>
        <w:t xml:space="preserve"> </w:t>
      </w:r>
    </w:p>
    <w:p w14:paraId="0C6DBF28" w14:textId="77777777" w:rsidR="00AE332C" w:rsidRDefault="00AE332C" w:rsidP="00B823FD">
      <w:pPr>
        <w:spacing w:after="0" w:line="276" w:lineRule="auto"/>
        <w:jc w:val="both"/>
        <w:rPr>
          <w:rFonts w:ascii="Arial" w:eastAsia="Times New Roman" w:hAnsi="Arial" w:cs="Arial"/>
          <w:lang w:val="es-ES_tradnl" w:eastAsia="es-CO"/>
        </w:rPr>
      </w:pPr>
    </w:p>
    <w:p w14:paraId="4F3F937C" w14:textId="05E91079" w:rsidR="00B823FD" w:rsidRPr="00B01072" w:rsidRDefault="00B823FD" w:rsidP="003A7987">
      <w:pPr>
        <w:spacing w:after="0" w:line="276" w:lineRule="auto"/>
        <w:ind w:firstLine="709"/>
        <w:jc w:val="both"/>
        <w:rPr>
          <w:rFonts w:ascii="Arial" w:eastAsia="Times New Roman" w:hAnsi="Arial" w:cs="Arial"/>
          <w:lang w:val="es-ES_tradnl" w:eastAsia="es-CO"/>
        </w:rPr>
      </w:pPr>
      <w:r w:rsidRPr="002B6BAB">
        <w:rPr>
          <w:rFonts w:ascii="Arial" w:eastAsia="Times New Roman" w:hAnsi="Arial" w:cs="Arial"/>
          <w:bCs/>
          <w:lang w:val="es-ES_tradnl" w:eastAsia="x-none"/>
        </w:rPr>
        <w:lastRenderedPageBreak/>
        <w:t xml:space="preserve">El ámbito material de la prohibición contenida </w:t>
      </w:r>
      <w:bookmarkStart w:id="13" w:name="_Hlk75628761"/>
      <w:r w:rsidRPr="002B6BAB">
        <w:rPr>
          <w:rFonts w:ascii="Arial" w:eastAsia="Times New Roman" w:hAnsi="Arial" w:cs="Arial"/>
          <w:bCs/>
          <w:lang w:val="es-ES_tradnl" w:eastAsia="x-none"/>
        </w:rPr>
        <w:t xml:space="preserve">en el artículo 33 de la ley 996 de 2005 </w:t>
      </w:r>
      <w:bookmarkEnd w:id="13"/>
      <w:r w:rsidRPr="002B6BAB">
        <w:rPr>
          <w:rFonts w:ascii="Arial" w:eastAsia="Times New Roman" w:hAnsi="Arial" w:cs="Arial"/>
          <w:bCs/>
          <w:lang w:val="es-ES_tradnl" w:eastAsia="x-none"/>
        </w:rPr>
        <w:t xml:space="preserve">está delimitado por la expresión </w:t>
      </w:r>
      <w:r w:rsidRPr="002B6BAB">
        <w:rPr>
          <w:rFonts w:ascii="Arial" w:eastAsia="Calibri" w:hAnsi="Arial" w:cs="Arial"/>
          <w:bCs/>
          <w:sz w:val="20"/>
          <w:szCs w:val="20"/>
          <w:lang w:val="es-ES_tradnl"/>
        </w:rPr>
        <w:t>«</w:t>
      </w:r>
      <w:r w:rsidRPr="002B6BAB">
        <w:rPr>
          <w:rFonts w:ascii="Arial" w:eastAsia="Times New Roman" w:hAnsi="Arial" w:cs="Arial"/>
          <w:bCs/>
          <w:lang w:val="es-ES_tradnl" w:eastAsia="x-none"/>
        </w:rPr>
        <w:t>queda prohibida la contratación directa</w:t>
      </w:r>
      <w:r w:rsidRPr="002B6BAB">
        <w:rPr>
          <w:rFonts w:ascii="Arial" w:eastAsia="Calibri" w:hAnsi="Arial" w:cs="Arial"/>
          <w:sz w:val="20"/>
          <w:szCs w:val="20"/>
          <w:lang w:val="es-ES_tradnl"/>
        </w:rPr>
        <w:t>»</w:t>
      </w:r>
      <w:r w:rsidRPr="002B6BAB">
        <w:rPr>
          <w:rFonts w:ascii="Arial" w:eastAsia="Times New Roman" w:hAnsi="Arial" w:cs="Arial"/>
          <w:bCs/>
          <w:lang w:val="es-ES_tradnl" w:eastAsia="x-none"/>
        </w:rPr>
        <w:t>.</w:t>
      </w:r>
      <w:r>
        <w:rPr>
          <w:rFonts w:ascii="Arial" w:eastAsia="Times New Roman" w:hAnsi="Arial" w:cs="Arial"/>
          <w:bCs/>
          <w:lang w:val="es-ES_tradnl" w:eastAsia="x-none"/>
        </w:rPr>
        <w:t xml:space="preserve"> </w:t>
      </w:r>
      <w:r w:rsidRPr="002B6BAB">
        <w:rPr>
          <w:rFonts w:ascii="Arial" w:eastAsia="Times New Roman" w:hAnsi="Arial" w:cs="Arial"/>
          <w:lang w:val="es-ES_tradnl" w:eastAsia="es-CO"/>
        </w:rPr>
        <w:t>A propósito de esta restricción de la Ley de Garantías Electorales, la Sala de Consulta y Servicio Civil del Consejo de Estado ha considerado que:</w:t>
      </w:r>
    </w:p>
    <w:p w14:paraId="5509E818" w14:textId="77777777" w:rsidR="00B823FD" w:rsidRPr="002B6BAB" w:rsidRDefault="00B823FD" w:rsidP="00B823FD">
      <w:pPr>
        <w:spacing w:after="0" w:line="276" w:lineRule="auto"/>
        <w:ind w:left="708" w:right="709"/>
        <w:jc w:val="both"/>
        <w:rPr>
          <w:rFonts w:ascii="Arial" w:eastAsia="Calibri" w:hAnsi="Arial" w:cs="Arial"/>
          <w:sz w:val="21"/>
          <w:szCs w:val="21"/>
          <w:lang w:val="es-ES_tradnl"/>
        </w:rPr>
      </w:pPr>
    </w:p>
    <w:p w14:paraId="7819B7B5" w14:textId="5781BA39" w:rsidR="00B823FD" w:rsidRDefault="00B823FD" w:rsidP="00D40121">
      <w:pPr>
        <w:spacing w:after="0" w:line="240" w:lineRule="auto"/>
        <w:ind w:left="709" w:right="709"/>
        <w:jc w:val="both"/>
        <w:rPr>
          <w:rFonts w:ascii="Arial" w:eastAsia="Calibri" w:hAnsi="Arial" w:cs="Arial"/>
          <w:sz w:val="21"/>
          <w:szCs w:val="21"/>
          <w:lang w:val="es-ES_tradnl"/>
        </w:rPr>
      </w:pPr>
      <w:r w:rsidRPr="002B6BAB">
        <w:rPr>
          <w:rFonts w:ascii="Arial" w:eastAsia="Calibri" w:hAnsi="Arial" w:cs="Arial"/>
          <w:sz w:val="21"/>
          <w:szCs w:val="21"/>
          <w:lang w:val="es-ES_tradnl"/>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2B6BAB">
        <w:rPr>
          <w:rFonts w:ascii="Arial" w:eastAsia="Times New Roman" w:hAnsi="Arial" w:cs="Arial"/>
          <w:vertAlign w:val="superscript"/>
          <w:lang w:val="es-ES_tradnl" w:eastAsia="es-CO"/>
        </w:rPr>
        <w:footnoteReference w:id="14"/>
      </w:r>
      <w:r w:rsidRPr="002B6BAB">
        <w:rPr>
          <w:rFonts w:ascii="Arial" w:eastAsia="Calibri" w:hAnsi="Arial" w:cs="Arial"/>
          <w:sz w:val="21"/>
          <w:szCs w:val="21"/>
          <w:lang w:val="es-ES_tradnl"/>
        </w:rPr>
        <w:t>.</w:t>
      </w:r>
    </w:p>
    <w:p w14:paraId="26D1EF21" w14:textId="77777777" w:rsidR="00D40121" w:rsidRPr="002B6BAB" w:rsidRDefault="00D40121" w:rsidP="00D40121">
      <w:pPr>
        <w:spacing w:after="0" w:line="240" w:lineRule="auto"/>
        <w:ind w:left="709" w:right="709"/>
        <w:jc w:val="both"/>
        <w:rPr>
          <w:rFonts w:ascii="Arial" w:eastAsia="Calibri" w:hAnsi="Arial" w:cs="Arial"/>
          <w:sz w:val="21"/>
          <w:szCs w:val="21"/>
          <w:lang w:val="es-ES_tradnl"/>
        </w:rPr>
      </w:pPr>
    </w:p>
    <w:p w14:paraId="0DA9968A" w14:textId="219BEB8D" w:rsidR="00B823FD" w:rsidRPr="002B6BAB" w:rsidRDefault="00B823FD" w:rsidP="00B823FD">
      <w:pPr>
        <w:spacing w:after="0" w:line="240" w:lineRule="auto"/>
        <w:ind w:left="708" w:right="709"/>
        <w:jc w:val="both"/>
        <w:rPr>
          <w:rFonts w:ascii="Arial" w:eastAsia="Calibri" w:hAnsi="Arial" w:cs="Arial"/>
          <w:sz w:val="21"/>
          <w:szCs w:val="21"/>
          <w:lang w:val="es-ES_tradnl"/>
        </w:rPr>
      </w:pPr>
      <w:r w:rsidRPr="002B6BAB">
        <w:rPr>
          <w:rFonts w:ascii="Arial" w:eastAsia="Calibri" w:hAnsi="Arial" w:cs="Arial"/>
          <w:sz w:val="21"/>
          <w:szCs w:val="21"/>
          <w:lang w:val="es-ES_tradnl"/>
        </w:rPr>
        <w:t xml:space="preserve">Esta Sala ha entendido que para los efectos de la ley de garantías, y dada su finalidad, el enunciado ´contratación directa´ es sinónimo </w:t>
      </w:r>
      <w:bookmarkStart w:id="16" w:name="_Hlk75741738"/>
      <w:r w:rsidRPr="002B6BAB">
        <w:rPr>
          <w:rFonts w:ascii="Arial" w:eastAsia="Calibri" w:hAnsi="Arial" w:cs="Arial"/>
          <w:sz w:val="21"/>
          <w:szCs w:val="21"/>
          <w:lang w:val="es-ES_tradnl"/>
        </w:rPr>
        <w:t xml:space="preserve">de cualquier sistema que no implique convocatoria pública y posibilidad de pluralidad de oferentes, </w:t>
      </w:r>
      <w:bookmarkEnd w:id="16"/>
      <w:r w:rsidRPr="002B6BAB">
        <w:rPr>
          <w:rFonts w:ascii="Arial" w:eastAsia="Calibri" w:hAnsi="Arial" w:cs="Arial"/>
          <w:sz w:val="21"/>
          <w:szCs w:val="21"/>
          <w:lang w:val="es-ES_tradnl"/>
        </w:rPr>
        <w:t>y que, además, no necesariamente hace referencia al procedimiento especial regulado por la ley de contratación estatal, sino a cualquier otro que prescinda de un proceso de licitación pública o concurso</w:t>
      </w:r>
      <w:r w:rsidRPr="002B6BAB">
        <w:rPr>
          <w:rFonts w:ascii="Arial" w:eastAsia="Times New Roman" w:hAnsi="Arial" w:cs="Arial"/>
          <w:sz w:val="21"/>
          <w:szCs w:val="21"/>
          <w:vertAlign w:val="superscript"/>
          <w:lang w:val="es-ES_tradnl"/>
        </w:rPr>
        <w:footnoteReference w:id="15"/>
      </w:r>
      <w:r w:rsidRPr="002B6BAB">
        <w:rPr>
          <w:rFonts w:ascii="Arial" w:eastAsia="Times New Roman" w:hAnsi="Arial" w:cs="Arial"/>
          <w:sz w:val="21"/>
          <w:szCs w:val="21"/>
          <w:vertAlign w:val="superscript"/>
          <w:lang w:val="es-ES_tradnl"/>
        </w:rPr>
        <w:t>.</w:t>
      </w:r>
      <w:r w:rsidRPr="002B6BAB">
        <w:rPr>
          <w:rFonts w:ascii="Arial" w:eastAsia="Calibri" w:hAnsi="Arial" w:cs="Arial"/>
          <w:sz w:val="21"/>
          <w:szCs w:val="21"/>
          <w:lang w:val="es-ES_tradnl"/>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2B6BAB">
        <w:rPr>
          <w:rFonts w:ascii="Arial" w:eastAsia="Times New Roman" w:hAnsi="Arial" w:cs="Arial"/>
          <w:vertAlign w:val="superscript"/>
          <w:lang w:val="es-ES_tradnl" w:eastAsia="es-CO"/>
        </w:rPr>
        <w:footnoteReference w:id="16"/>
      </w:r>
    </w:p>
    <w:p w14:paraId="3E00E24E" w14:textId="77777777" w:rsidR="00B823FD" w:rsidRPr="002B6BAB" w:rsidRDefault="00B823FD" w:rsidP="00B823FD">
      <w:pPr>
        <w:spacing w:after="0" w:line="276" w:lineRule="auto"/>
        <w:ind w:firstLine="709"/>
        <w:jc w:val="both"/>
        <w:rPr>
          <w:rFonts w:ascii="Arial" w:eastAsia="Times New Roman" w:hAnsi="Arial" w:cs="Arial"/>
          <w:lang w:val="es-ES_tradnl" w:eastAsia="x-none"/>
        </w:rPr>
      </w:pPr>
    </w:p>
    <w:p w14:paraId="42F6B0B0" w14:textId="77777777" w:rsidR="00B823FD" w:rsidRPr="002B6BAB" w:rsidRDefault="00B823FD" w:rsidP="00B823FD">
      <w:pPr>
        <w:spacing w:after="120" w:line="276" w:lineRule="auto"/>
        <w:ind w:firstLine="708"/>
        <w:jc w:val="both"/>
        <w:rPr>
          <w:rFonts w:ascii="Arial" w:eastAsia="Times New Roman" w:hAnsi="Arial" w:cs="Arial"/>
          <w:bCs/>
          <w:lang w:val="es-ES_tradnl" w:eastAsia="x-none"/>
        </w:rPr>
      </w:pPr>
      <w:r w:rsidRPr="002B6BAB">
        <w:rPr>
          <w:rFonts w:ascii="Arial" w:eastAsia="Times New Roman" w:hAnsi="Arial" w:cs="Arial"/>
          <w:lang w:val="es-ES_tradnl" w:eastAsia="x-none"/>
        </w:rPr>
        <w:t xml:space="preserve">De conformidad con el citado concepto, </w:t>
      </w:r>
      <w:bookmarkStart w:id="18" w:name="_Hlk78818702"/>
      <w:bookmarkStart w:id="19" w:name="_Hlk99460144"/>
      <w:r w:rsidRPr="002B6BAB">
        <w:rPr>
          <w:rFonts w:ascii="Arial" w:eastAsia="Times New Roman" w:hAnsi="Arial" w:cs="Arial"/>
          <w:lang w:val="es-ES_tradnl" w:eastAsia="x-none"/>
        </w:rPr>
        <w:t xml:space="preserve">la prohibición del artículo 33 de la Ley de Garantías Electorales se refiere a </w:t>
      </w:r>
      <w:bookmarkStart w:id="20" w:name="_Hlk74294635"/>
      <w:r w:rsidRPr="002B6BAB">
        <w:rPr>
          <w:rFonts w:ascii="Arial" w:eastAsia="Times New Roman" w:hAnsi="Arial" w:cs="Arial"/>
          <w:sz w:val="19"/>
          <w:szCs w:val="19"/>
          <w:lang w:val="es-ES_tradnl" w:eastAsia="en-GB"/>
        </w:rPr>
        <w:t>«</w:t>
      </w:r>
      <w:bookmarkEnd w:id="20"/>
      <w:r w:rsidRPr="002B6BAB">
        <w:rPr>
          <w:rFonts w:ascii="Arial" w:eastAsia="Times New Roman" w:hAnsi="Arial" w:cs="Arial"/>
          <w:lang w:val="es-ES_tradnl" w:eastAsia="x-none"/>
        </w:rPr>
        <w:t>cualquier sistema que no implique convocatoria pública y posibilidad de pluralidad de oferentes</w:t>
      </w:r>
      <w:bookmarkStart w:id="21" w:name="_Hlk74404754"/>
      <w:r w:rsidRPr="002B6BAB">
        <w:rPr>
          <w:rFonts w:ascii="Arial" w:eastAsia="Times New Roman" w:hAnsi="Arial" w:cs="Arial"/>
          <w:lang w:val="es-ES_tradnl" w:eastAsia="en-GB"/>
        </w:rPr>
        <w:t>»</w:t>
      </w:r>
      <w:bookmarkEnd w:id="21"/>
      <w:r w:rsidRPr="002B6BAB">
        <w:rPr>
          <w:rFonts w:ascii="Arial" w:eastAsia="Times New Roman" w:hAnsi="Arial" w:cs="Arial"/>
          <w:lang w:val="es-ES_tradnl" w:eastAsia="x-none"/>
        </w:rPr>
        <w:t xml:space="preserve">, por lo que excluye las demás modalidades de contratación previstas en la Ley 1150 de 2007, es decir, la licitación pública, la selección abreviada y el concurso de méritos u otros previstos en normas especiales. </w:t>
      </w:r>
      <w:bookmarkEnd w:id="18"/>
      <w:r w:rsidRPr="002B6BAB">
        <w:rPr>
          <w:rFonts w:ascii="Arial" w:eastAsia="Times New Roman" w:hAnsi="Arial" w:cs="Arial"/>
          <w:lang w:val="es-ES_tradnl" w:eastAsia="x-none"/>
        </w:rPr>
        <w:t xml:space="preserve">Esta posición es congruente con la expedición de la Ley 1150 de 2007 </w:t>
      </w:r>
      <w:r w:rsidRPr="002B6BAB">
        <w:rPr>
          <w:rFonts w:ascii="Arial" w:eastAsia="Times New Roman" w:hAnsi="Arial" w:cs="Arial"/>
          <w:lang w:val="es-ES_tradnl" w:eastAsia="x-none"/>
        </w:rPr>
        <w:lastRenderedPageBreak/>
        <w:t>que, entre otras reformas, introdujo la selección abreviada, rediseñó el concurso de méritos</w:t>
      </w:r>
      <w:r w:rsidRPr="002B6BAB">
        <w:rPr>
          <w:rFonts w:ascii="Arial" w:eastAsia="Times New Roman" w:hAnsi="Arial" w:cs="Arial"/>
          <w:vertAlign w:val="superscript"/>
          <w:lang w:val="es-ES_tradnl" w:eastAsia="x-none"/>
        </w:rPr>
        <w:footnoteReference w:id="17"/>
      </w:r>
      <w:r w:rsidRPr="002B6BAB">
        <w:rPr>
          <w:rFonts w:ascii="Arial" w:eastAsia="Times New Roman" w:hAnsi="Arial" w:cs="Arial"/>
          <w:lang w:val="es-ES_tradnl" w:eastAsia="x-none"/>
        </w:rPr>
        <w:t xml:space="preserve"> y sistematizó las causales de contratación directa</w:t>
      </w:r>
      <w:r w:rsidRPr="002B6BAB">
        <w:rPr>
          <w:rFonts w:ascii="Arial" w:eastAsia="Times New Roman" w:hAnsi="Arial" w:cs="Arial"/>
          <w:vertAlign w:val="superscript"/>
          <w:lang w:val="es-ES_tradnl" w:eastAsia="x-none"/>
        </w:rPr>
        <w:footnoteReference w:id="18"/>
      </w:r>
      <w:r w:rsidRPr="002B6BAB">
        <w:rPr>
          <w:rFonts w:ascii="Arial" w:eastAsia="Times New Roman" w:hAnsi="Arial" w:cs="Arial"/>
          <w:lang w:val="es-ES_tradnl" w:eastAsia="x-none"/>
        </w:rPr>
        <w:t xml:space="preserve">. </w:t>
      </w:r>
      <w:bookmarkEnd w:id="19"/>
    </w:p>
    <w:p w14:paraId="6B189A0A" w14:textId="5C742F81" w:rsidR="00B823FD" w:rsidRPr="002B6BAB" w:rsidRDefault="00B823FD" w:rsidP="006A7EA7">
      <w:pPr>
        <w:spacing w:after="0" w:line="276" w:lineRule="auto"/>
        <w:ind w:firstLine="709"/>
        <w:jc w:val="both"/>
        <w:rPr>
          <w:rFonts w:ascii="Arial" w:eastAsia="Times New Roman" w:hAnsi="Arial" w:cs="Arial"/>
          <w:bCs/>
          <w:lang w:val="es-ES_tradnl" w:eastAsia="x-none"/>
        </w:rPr>
      </w:pPr>
      <w:bookmarkStart w:id="22" w:name="_Hlk78818796"/>
      <w:r w:rsidRPr="002B6BAB">
        <w:rPr>
          <w:rFonts w:ascii="Arial" w:eastAsia="Times New Roman" w:hAnsi="Arial" w:cs="Arial"/>
          <w:bCs/>
          <w:lang w:val="es-ES_tradnl" w:eastAsia="x-none"/>
        </w:rPr>
        <w:t>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2B6BAB">
        <w:rPr>
          <w:rFonts w:ascii="Arial" w:eastAsia="Times New Roman" w:hAnsi="Arial" w:cs="Arial"/>
          <w:vertAlign w:val="superscript"/>
          <w:lang w:val="es-ES_tradnl" w:eastAsia="x-none"/>
        </w:rPr>
        <w:footnoteReference w:id="19"/>
      </w:r>
      <w:r w:rsidRPr="002B6BAB">
        <w:rPr>
          <w:rFonts w:ascii="Arial" w:eastAsia="Times New Roman" w:hAnsi="Arial" w:cs="Arial"/>
          <w:bCs/>
          <w:lang w:val="es-ES_tradnl" w:eastAsia="x-none"/>
        </w:rPr>
        <w:t>.</w:t>
      </w:r>
      <w:r w:rsidRPr="002B6BAB">
        <w:rPr>
          <w:rFonts w:ascii="Arial" w:eastAsia="Times New Roman" w:hAnsi="Arial" w:cs="Arial"/>
          <w:vertAlign w:val="superscript"/>
          <w:lang w:val="es-ES_tradnl" w:eastAsia="x-none"/>
        </w:rPr>
        <w:t xml:space="preserve"> </w:t>
      </w:r>
      <w:bookmarkEnd w:id="22"/>
      <w:r w:rsidRPr="002B6BAB">
        <w:rPr>
          <w:rFonts w:ascii="Arial" w:eastAsia="Times New Roman" w:hAnsi="Arial" w:cs="Arial"/>
          <w:bCs/>
          <w:lang w:val="es-ES_tradnl" w:eastAsia="x-none"/>
        </w:rPr>
        <w:t>De lo anterior se desprende que la restricción aplica, sin perjuicio de las excepciones establecidas en la misma ley, para celebrar cualquier contrato de forma directa, esto es, sin que exista un proceso abierto y competitivo.</w:t>
      </w:r>
      <w:r w:rsidRPr="002B6BAB">
        <w:rPr>
          <w:rFonts w:ascii="Arial" w:eastAsia="Times New Roman" w:hAnsi="Arial" w:cs="Arial"/>
          <w:lang w:val="es-ES_tradnl" w:eastAsia="x-none"/>
        </w:rPr>
        <w:t xml:space="preserve"> </w:t>
      </w:r>
      <w:bookmarkStart w:id="23" w:name="_Hlk75783800"/>
    </w:p>
    <w:p w14:paraId="20178CEE" w14:textId="77777777" w:rsidR="0041477E" w:rsidRDefault="0041477E" w:rsidP="00064CF5">
      <w:pPr>
        <w:spacing w:after="0" w:line="276" w:lineRule="auto"/>
        <w:jc w:val="both"/>
        <w:rPr>
          <w:rFonts w:ascii="Arial" w:eastAsia="Times New Roman" w:hAnsi="Arial" w:cs="Arial"/>
          <w:bCs/>
          <w:lang w:val="es-ES_tradnl" w:eastAsia="x-none"/>
        </w:rPr>
      </w:pPr>
      <w:bookmarkStart w:id="24" w:name="_Hlk77237229"/>
      <w:bookmarkStart w:id="25" w:name="_Hlk75741539"/>
      <w:bookmarkEnd w:id="23"/>
    </w:p>
    <w:p w14:paraId="734616C3" w14:textId="687290A5" w:rsidR="000D6FF9" w:rsidRPr="00711612" w:rsidRDefault="00064CF5" w:rsidP="000D6FF9">
      <w:pPr>
        <w:spacing w:after="0" w:line="276" w:lineRule="auto"/>
        <w:jc w:val="both"/>
        <w:rPr>
          <w:rFonts w:ascii="Arial" w:eastAsia="Calibri" w:hAnsi="Arial" w:cs="Arial"/>
          <w:b/>
          <w:bCs/>
          <w:color w:val="000000" w:themeColor="text1"/>
        </w:rPr>
      </w:pPr>
      <w:r w:rsidRPr="00064CF5">
        <w:rPr>
          <w:rFonts w:ascii="Arial" w:eastAsia="Calibri" w:hAnsi="Arial" w:cs="Arial"/>
          <w:b/>
          <w:bCs/>
          <w:color w:val="000000"/>
          <w:szCs w:val="24"/>
          <w:lang w:eastAsia="es-ES_tradnl"/>
        </w:rPr>
        <w:t>2.</w:t>
      </w:r>
      <w:r w:rsidR="000D6FF9">
        <w:rPr>
          <w:rFonts w:ascii="Arial" w:eastAsia="Calibri" w:hAnsi="Arial" w:cs="Arial"/>
          <w:b/>
          <w:bCs/>
          <w:color w:val="000000" w:themeColor="text1"/>
        </w:rPr>
        <w:t>2</w:t>
      </w:r>
      <w:r w:rsidR="000D6FF9" w:rsidRPr="00711612">
        <w:rPr>
          <w:rFonts w:ascii="Arial" w:eastAsia="Calibri" w:hAnsi="Arial" w:cs="Arial"/>
          <w:b/>
          <w:bCs/>
          <w:color w:val="000000" w:themeColor="text1"/>
        </w:rPr>
        <w:t>. Contratos con organismos internacionales y restricciones de la Ley de Garantías</w:t>
      </w:r>
      <w:r w:rsidR="000D6FF9">
        <w:rPr>
          <w:rFonts w:ascii="Arial" w:eastAsia="Calibri" w:hAnsi="Arial" w:cs="Arial"/>
          <w:b/>
          <w:bCs/>
          <w:color w:val="000000" w:themeColor="text1"/>
        </w:rPr>
        <w:t xml:space="preserve"> para la contratación directa</w:t>
      </w:r>
    </w:p>
    <w:p w14:paraId="62E42848" w14:textId="77777777" w:rsidR="000D6FF9" w:rsidRPr="00711612" w:rsidRDefault="000D6FF9" w:rsidP="000D6FF9">
      <w:pPr>
        <w:spacing w:after="0" w:line="276" w:lineRule="auto"/>
        <w:jc w:val="both"/>
        <w:rPr>
          <w:rFonts w:ascii="Arial" w:eastAsia="Calibri" w:hAnsi="Arial" w:cs="Arial"/>
          <w:b/>
          <w:bCs/>
          <w:color w:val="000000" w:themeColor="text1"/>
        </w:rPr>
      </w:pPr>
    </w:p>
    <w:p w14:paraId="65EA2C4B" w14:textId="77777777" w:rsidR="000D6FF9" w:rsidRPr="00742316" w:rsidRDefault="000D6FF9" w:rsidP="000D6FF9">
      <w:pPr>
        <w:spacing w:after="120" w:line="276" w:lineRule="auto"/>
        <w:jc w:val="both"/>
        <w:rPr>
          <w:rFonts w:ascii="Arial" w:hAnsi="Arial" w:cs="Arial"/>
          <w:lang w:val="es-ES"/>
        </w:rPr>
      </w:pPr>
      <w:r w:rsidRPr="00742316">
        <w:rPr>
          <w:rFonts w:ascii="Arial" w:hAnsi="Arial" w:cs="Arial"/>
          <w:lang w:val="es-ES"/>
        </w:rPr>
        <w:t>Por organismo internacional se entiende aquella organización, grupo o asociación que se extiende más allá de las fronteras de un Estado y cuenta con órganos gubernamentales permanentes distintos e independientes de los Estados miembros de la organización que garantizan su vigencia y operatividad</w:t>
      </w:r>
      <w:r w:rsidRPr="00742316">
        <w:rPr>
          <w:rStyle w:val="Refdenotaalpie"/>
          <w:rFonts w:ascii="Arial" w:hAnsi="Arial" w:cs="Arial"/>
        </w:rPr>
        <w:footnoteReference w:id="20"/>
      </w:r>
      <w:r w:rsidRPr="00742316">
        <w:rPr>
          <w:rFonts w:ascii="Arial" w:hAnsi="Arial" w:cs="Arial"/>
          <w:lang w:val="es-ES"/>
        </w:rPr>
        <w:t xml:space="preserve">, con el propósito de cumplir objetivos comunes entre los Estados miembros. Conforme a su naturaleza, los organismos internacionales están facultados para suscribir contratos o convenios con los Estados, lo que supone un incidente frente a la aplicabilidad de los regímenes tanto de los Estados contratantes como de los organismos en su celebración. </w:t>
      </w:r>
    </w:p>
    <w:p w14:paraId="63B226CA" w14:textId="77777777" w:rsidR="000D6FF9" w:rsidRDefault="000D6FF9" w:rsidP="000D6FF9">
      <w:pPr>
        <w:pStyle w:val="Prrafodelista"/>
        <w:snapToGrid w:val="0"/>
        <w:spacing w:before="120" w:after="120"/>
        <w:ind w:left="0" w:firstLine="709"/>
        <w:rPr>
          <w:rFonts w:ascii="Arial" w:eastAsia="Calibri" w:hAnsi="Arial" w:cs="Arial"/>
          <w:sz w:val="22"/>
        </w:rPr>
      </w:pPr>
      <w:r w:rsidRPr="00742316">
        <w:rPr>
          <w:rFonts w:ascii="Arial" w:eastAsia="Calibri" w:hAnsi="Arial" w:cs="Arial"/>
          <w:sz w:val="22"/>
        </w:rPr>
        <w:t>El artículo 13 de la Ley 80 de 1993 regula de forma general el régimen aplicable a los contratos que celebren las entidades referidas en el artículo segundo del estatuto</w:t>
      </w:r>
      <w:r w:rsidRPr="00742316">
        <w:rPr>
          <w:rStyle w:val="Refdenotaalpie"/>
          <w:rFonts w:ascii="Arial" w:hAnsi="Arial" w:cs="Arial"/>
          <w:sz w:val="22"/>
        </w:rPr>
        <w:footnoteReference w:id="21"/>
      </w:r>
      <w:r w:rsidRPr="00742316">
        <w:rPr>
          <w:rFonts w:ascii="Arial" w:eastAsia="Calibri" w:hAnsi="Arial" w:cs="Arial"/>
          <w:sz w:val="22"/>
        </w:rPr>
        <w:t xml:space="preserve">, señalando en el inciso primero, como primer criterio, la aplicabilidad </w:t>
      </w:r>
      <w:r w:rsidRPr="00742316">
        <w:rPr>
          <w:rFonts w:ascii="Arial" w:eastAsia="Calibri" w:hAnsi="Arial" w:cs="Arial"/>
          <w:sz w:val="22"/>
        </w:rPr>
        <w:lastRenderedPageBreak/>
        <w:t xml:space="preserve">de las disposiciones civiles y comerciales nacionales, sin perjuicio de la aplicación prevalente de las contenidas en el Estatuto General de Contratación de la Administración Pública. Sin embargo, en su segundo inciso, respecto a los contratos celebrados en el exterior, permite que su ejecución se realice de conformidad con las normas del país donde se hayan suscrito, salvo que deban cumplirse en Colombia, caso en el que se aplicaría el esquema señalado respecto al inciso primero. Por último, el inciso tercero permite que los contratos que se celebren en Colombia, pero deban ejecutarse o cumplirse en el extranjero, se sometan a la ley extranjera. </w:t>
      </w:r>
    </w:p>
    <w:p w14:paraId="448702A7" w14:textId="77777777" w:rsidR="000D6FF9" w:rsidRPr="00742316" w:rsidRDefault="000D6FF9" w:rsidP="000D6FF9">
      <w:pPr>
        <w:pStyle w:val="Prrafodelista"/>
        <w:snapToGrid w:val="0"/>
        <w:spacing w:before="120" w:after="120"/>
        <w:ind w:left="0" w:firstLine="709"/>
        <w:rPr>
          <w:rFonts w:ascii="Arial" w:eastAsia="Calibri" w:hAnsi="Arial" w:cs="Arial"/>
          <w:sz w:val="12"/>
          <w:szCs w:val="12"/>
        </w:rPr>
      </w:pPr>
    </w:p>
    <w:p w14:paraId="0A7D9065" w14:textId="77777777" w:rsidR="000D6FF9" w:rsidRPr="00742316" w:rsidRDefault="000D6FF9" w:rsidP="000D6FF9">
      <w:pPr>
        <w:pStyle w:val="Prrafodelista"/>
        <w:snapToGrid w:val="0"/>
        <w:ind w:left="0" w:firstLine="709"/>
        <w:rPr>
          <w:rFonts w:ascii="Arial" w:eastAsia="Calibri" w:hAnsi="Arial" w:cs="Arial"/>
          <w:sz w:val="22"/>
        </w:rPr>
      </w:pPr>
      <w:r w:rsidRPr="00742316">
        <w:rPr>
          <w:rFonts w:ascii="Arial" w:eastAsia="Calibri" w:hAnsi="Arial" w:cs="Arial"/>
          <w:sz w:val="22"/>
        </w:rPr>
        <w:t>Nótese cómo el artículo citado permite que las entidades estatales no se rijan siempre por la normativa colombiana, permitiendo, en algunos casos, la aplicación de la ley extranjera. Además de los supuestos anteriores, el Consejo de Estado explica, en general, los siguientes escenarios, en los cuales el régimen jurídico puede ser uno diferente al prescrito en el derecho nacional, pese a tratarse de contratos sometidos, en principio, a la Ley 80 de 1993:</w:t>
      </w:r>
    </w:p>
    <w:p w14:paraId="0E19305C" w14:textId="77777777" w:rsidR="000D6FF9" w:rsidRPr="00711612" w:rsidRDefault="000D6FF9" w:rsidP="000D6FF9">
      <w:pPr>
        <w:pStyle w:val="Prrafodelista"/>
        <w:snapToGrid w:val="0"/>
        <w:ind w:left="0" w:firstLine="709"/>
        <w:rPr>
          <w:rFonts w:ascii="Arial" w:eastAsia="Calibri" w:hAnsi="Arial" w:cs="Arial"/>
          <w:sz w:val="22"/>
        </w:rPr>
      </w:pPr>
    </w:p>
    <w:p w14:paraId="7760FFB4" w14:textId="77777777" w:rsidR="000D6FF9" w:rsidRPr="007204EF" w:rsidRDefault="000D6FF9" w:rsidP="000D6FF9">
      <w:pPr>
        <w:pStyle w:val="Prrafodelista"/>
        <w:spacing w:after="0" w:line="240" w:lineRule="auto"/>
        <w:ind w:left="709" w:right="709"/>
        <w:rPr>
          <w:rFonts w:ascii="Arial" w:eastAsia="MS Mincho" w:hAnsi="Arial" w:cs="Arial"/>
          <w:sz w:val="21"/>
          <w:szCs w:val="21"/>
          <w:lang w:eastAsia="es-ES"/>
        </w:rPr>
      </w:pPr>
      <w:r w:rsidRPr="00711612">
        <w:rPr>
          <w:rFonts w:ascii="Arial" w:eastAsia="MS Mincho" w:hAnsi="Arial" w:cs="Arial"/>
          <w:sz w:val="21"/>
          <w:szCs w:val="21"/>
          <w:lang w:eastAsia="es-ES"/>
        </w:rPr>
        <w:t xml:space="preserve">i) Contratos celebrados en el exterior, los cuales se podrán regir en su ejecución por las reglas del país donde se ha suscrito, salvo cuando su cumplimiento deba hacerse en Colombia, caso en el cual se aplicará la legislación nacional, ii) Contratos celebrados en territorio colombiano que deben ejecutarse o cumplirse en el extranjero, en tal caso podrá regirse bajo legislación foránea, salvo aquella parte que deba ejecutarse o cumplirse en Colombia, la cual se regirá por el derecho nacional, iii) a) los contratos financiados con fondos de organismos multilaterales de crédito y b) aquellos celebrados con personas extranjeras de derecho público u organismos de cooperación, asistencia o ayudas internacionales, los cuales «podrán someterse a los reglamentos de tales entidades en todo lo relacionado con procedimientos de formación y </w:t>
      </w:r>
      <w:r w:rsidRPr="007204EF">
        <w:rPr>
          <w:rFonts w:ascii="Arial" w:eastAsia="MS Mincho" w:hAnsi="Arial" w:cs="Arial"/>
          <w:sz w:val="21"/>
          <w:szCs w:val="21"/>
          <w:lang w:eastAsia="es-ES"/>
        </w:rPr>
        <w:t>adjudicación y cláusulas especiales de ejecución, cumplimiento, pagos y ajustes»</w:t>
      </w:r>
      <w:r w:rsidRPr="007204EF">
        <w:rPr>
          <w:rStyle w:val="Refdenotaalpie"/>
          <w:rFonts w:ascii="Arial" w:hAnsi="Arial" w:cs="Arial"/>
          <w:sz w:val="21"/>
          <w:szCs w:val="21"/>
        </w:rPr>
        <w:footnoteReference w:id="22"/>
      </w:r>
      <w:r w:rsidRPr="007204EF">
        <w:rPr>
          <w:rFonts w:ascii="Arial" w:eastAsia="MS Mincho" w:hAnsi="Arial" w:cs="Arial"/>
          <w:sz w:val="21"/>
          <w:szCs w:val="21"/>
          <w:lang w:eastAsia="es-ES"/>
        </w:rPr>
        <w:t xml:space="preserve">. </w:t>
      </w:r>
    </w:p>
    <w:p w14:paraId="5F3E84C4" w14:textId="77777777" w:rsidR="000D6FF9" w:rsidRPr="00711612" w:rsidRDefault="000D6FF9" w:rsidP="000D6FF9">
      <w:pPr>
        <w:pStyle w:val="Prrafodelista"/>
        <w:spacing w:before="120" w:after="0" w:line="240" w:lineRule="auto"/>
        <w:ind w:left="851" w:right="709"/>
        <w:rPr>
          <w:rFonts w:ascii="Arial" w:eastAsia="Calibri" w:hAnsi="Arial" w:cs="Arial"/>
          <w:sz w:val="22"/>
        </w:rPr>
      </w:pPr>
    </w:p>
    <w:p w14:paraId="7C782E16" w14:textId="77777777" w:rsidR="000D6FF9" w:rsidRPr="00711612" w:rsidRDefault="000D6FF9" w:rsidP="000D6FF9">
      <w:pPr>
        <w:spacing w:line="276" w:lineRule="auto"/>
        <w:ind w:firstLine="709"/>
        <w:jc w:val="both"/>
        <w:rPr>
          <w:rFonts w:ascii="Arial" w:eastAsia="Calibri" w:hAnsi="Arial" w:cs="Arial"/>
          <w:lang w:val="es-ES"/>
        </w:rPr>
      </w:pPr>
      <w:r w:rsidRPr="00711612">
        <w:rPr>
          <w:rFonts w:ascii="Arial" w:eastAsia="Calibri" w:hAnsi="Arial" w:cs="Arial"/>
          <w:lang w:val="es-ES"/>
        </w:rPr>
        <w:t xml:space="preserve">La redacción original del artículo 13 de la Ley 80 de 1993 incluía un inciso cuarto en el que se regulaba el régimen aplicable a los contratos suscritos con organismos internacionales, estableciendo otros supuestos donde era posible aplicar un régimen </w:t>
      </w:r>
      <w:r w:rsidRPr="00ED75BC">
        <w:rPr>
          <w:rFonts w:ascii="Arial" w:eastAsia="Calibri" w:hAnsi="Arial" w:cs="Arial"/>
          <w:lang w:val="es-ES"/>
        </w:rPr>
        <w:t xml:space="preserve">distinto al del Estatuto General de Contratación de la Administración </w:t>
      </w:r>
      <w:r w:rsidRPr="00ED75BC">
        <w:rPr>
          <w:rFonts w:ascii="Arial" w:eastAsia="Calibri" w:hAnsi="Arial" w:cs="Arial"/>
          <w:lang w:val="es-ES"/>
        </w:rPr>
        <w:lastRenderedPageBreak/>
        <w:t>Pública –en adelante EGCAP–</w:t>
      </w:r>
      <w:r w:rsidRPr="00ED75BC">
        <w:rPr>
          <w:rStyle w:val="Refdenotaalpie"/>
          <w:rFonts w:ascii="Arial" w:eastAsia="Calibri" w:hAnsi="Arial" w:cs="Arial"/>
        </w:rPr>
        <w:footnoteReference w:id="23"/>
      </w:r>
      <w:r w:rsidRPr="00ED75BC">
        <w:rPr>
          <w:rFonts w:ascii="Arial" w:eastAsia="Calibri" w:hAnsi="Arial" w:cs="Arial"/>
          <w:lang w:val="es-ES"/>
        </w:rPr>
        <w:t>. Sin embargo, el artículo 20 de la Ley 1150 de 2007 modificó el régimen contractual aplicable a los contratos o convenios suscritos con organismos internacionales, estableciendo, para algunos</w:t>
      </w:r>
      <w:r w:rsidRPr="00711612">
        <w:rPr>
          <w:rFonts w:ascii="Arial" w:eastAsia="Calibri" w:hAnsi="Arial" w:cs="Arial"/>
          <w:lang w:val="es-ES"/>
        </w:rPr>
        <w:t xml:space="preserve"> casos, la posible definición del régimen dependiendo del porcentaje de participación que el organismo internacional tuviera frente a dichos contratos, a partir del cual establece una potestad discrecional en torno a la elección del régimen contractual aplicable. Así, el artículo 20 de la citada norma señala que «podrán» ser sometidos a los reglamentos de tales entidades, en lo que tiene que ver con el inciso primero de dicho artículo. </w:t>
      </w:r>
    </w:p>
    <w:p w14:paraId="298D0EDC" w14:textId="77777777" w:rsidR="000D6FF9" w:rsidRPr="00ED75BC" w:rsidRDefault="000D6FF9" w:rsidP="000D6FF9">
      <w:pPr>
        <w:spacing w:before="120" w:after="120" w:line="276" w:lineRule="auto"/>
        <w:ind w:firstLine="709"/>
        <w:jc w:val="both"/>
        <w:rPr>
          <w:rFonts w:ascii="Arial" w:eastAsia="Calibri" w:hAnsi="Arial" w:cs="Arial"/>
          <w:lang w:val="es-ES"/>
        </w:rPr>
      </w:pPr>
      <w:r w:rsidRPr="00711612">
        <w:rPr>
          <w:rFonts w:ascii="Arial" w:eastAsia="Calibri" w:hAnsi="Arial" w:cs="Arial"/>
          <w:lang w:val="es-ES"/>
        </w:rPr>
        <w:t xml:space="preserve">Para comprender el alcance del régimen aplicable a los contratos o convenios que se suscriban con organismos internacionales, de acuerdo con la financiación de estos, resulta necesario analizar el artículo 20 de la </w:t>
      </w:r>
      <w:r w:rsidRPr="00ED75BC">
        <w:rPr>
          <w:rFonts w:ascii="Arial" w:eastAsia="Calibri" w:hAnsi="Arial" w:cs="Arial"/>
          <w:lang w:val="es-ES"/>
        </w:rPr>
        <w:t>Ley 1150 de 2007</w:t>
      </w:r>
      <w:r w:rsidRPr="00ED75BC">
        <w:rPr>
          <w:rStyle w:val="Refdenotaalpie"/>
          <w:rFonts w:ascii="Arial" w:eastAsia="Calibri" w:hAnsi="Arial" w:cs="Arial"/>
        </w:rPr>
        <w:footnoteReference w:id="24"/>
      </w:r>
      <w:r w:rsidRPr="00ED75BC">
        <w:rPr>
          <w:rFonts w:ascii="Arial" w:eastAsia="Calibri" w:hAnsi="Arial" w:cs="Arial"/>
          <w:lang w:val="es-ES"/>
        </w:rPr>
        <w:t xml:space="preserve">. De conformidad con este artículo, en lo que tiene que ver con el </w:t>
      </w:r>
      <w:r w:rsidRPr="00ED75BC">
        <w:rPr>
          <w:rFonts w:ascii="Arial" w:eastAsia="Calibri" w:hAnsi="Arial" w:cs="Arial"/>
          <w:i/>
          <w:iCs/>
          <w:lang w:val="es-ES"/>
        </w:rPr>
        <w:t>inciso primero</w:t>
      </w:r>
      <w:r w:rsidRPr="00ED75BC">
        <w:rPr>
          <w:rFonts w:ascii="Arial" w:eastAsia="Calibri" w:hAnsi="Arial" w:cs="Arial"/>
          <w:lang w:val="es-ES"/>
        </w:rPr>
        <w:t xml:space="preserve">, resulta </w:t>
      </w:r>
      <w:r w:rsidRPr="00ED75BC">
        <w:rPr>
          <w:rFonts w:ascii="Arial" w:eastAsia="Calibri" w:hAnsi="Arial" w:cs="Arial"/>
          <w:lang w:val="es-ES"/>
        </w:rPr>
        <w:lastRenderedPageBreak/>
        <w:t xml:space="preserve">que únicamente procederá la aplicación de los reglamentos de estas entidades y, por lo tanto, es facultativo dejar de aplicar el EGCAP cuando los contratos o convenios sean financiados en su totalidad o en sumas iguales o superiores al 50% con fondos del organismo de cooperación, asistencia o ayudas internacionales. Cuando la entidad contratante determine o establezca que los aportes del organismo internacional son inferiores al porcentaje señalado, el contrato o convenio debe someterse al EGCAP. </w:t>
      </w:r>
    </w:p>
    <w:p w14:paraId="237FD3FB" w14:textId="77777777" w:rsidR="000D6FF9" w:rsidRPr="00ED75BC" w:rsidRDefault="000D6FF9" w:rsidP="000D6FF9">
      <w:pPr>
        <w:spacing w:before="120" w:after="0" w:line="276" w:lineRule="auto"/>
        <w:ind w:firstLine="709"/>
        <w:jc w:val="both"/>
        <w:rPr>
          <w:rFonts w:ascii="Arial" w:eastAsia="Calibri" w:hAnsi="Arial" w:cs="Arial"/>
          <w:lang w:val="es-ES"/>
        </w:rPr>
      </w:pPr>
      <w:r w:rsidRPr="00ED75BC">
        <w:rPr>
          <w:rFonts w:ascii="Arial" w:eastAsia="Calibri" w:hAnsi="Arial" w:cs="Arial"/>
          <w:lang w:val="es-ES"/>
        </w:rPr>
        <w:t xml:space="preserve">Por otro lado, la norma establece un segundo criterio, en el </w:t>
      </w:r>
      <w:r w:rsidRPr="00ED75BC">
        <w:rPr>
          <w:rFonts w:ascii="Arial" w:eastAsia="Calibri" w:hAnsi="Arial" w:cs="Arial"/>
          <w:i/>
          <w:iCs/>
          <w:lang w:val="es-ES"/>
        </w:rPr>
        <w:t>inciso segundo,</w:t>
      </w:r>
      <w:r w:rsidRPr="00ED75BC">
        <w:rPr>
          <w:rFonts w:ascii="Arial" w:eastAsia="Calibri" w:hAnsi="Arial" w:cs="Arial"/>
          <w:lang w:val="es-ES"/>
        </w:rPr>
        <w:t xml:space="preserve"> para determinar la posibilidad de aplicar los reglamentos de los organismos internacionales. Este segundo criterio depende del objeto del convenio o contrato a celebrar, de manera que en dichos casos se puede pactar el sometimiento a los reglamentos de estas entidades. En tal sentido, los otros supuestos en que es posible someter el régimen contractual a los reglamentos de los organismos internacionales son los siguientes: </w:t>
      </w:r>
    </w:p>
    <w:p w14:paraId="79F417A7" w14:textId="77777777" w:rsidR="000D6FF9" w:rsidRPr="00711612" w:rsidRDefault="000D6FF9" w:rsidP="000D6FF9">
      <w:pPr>
        <w:spacing w:after="0" w:line="276" w:lineRule="auto"/>
        <w:ind w:firstLine="709"/>
        <w:jc w:val="both"/>
        <w:rPr>
          <w:rFonts w:ascii="Arial" w:eastAsia="Calibri" w:hAnsi="Arial" w:cs="Arial"/>
          <w:lang w:val="es-ES"/>
        </w:rPr>
      </w:pPr>
    </w:p>
    <w:p w14:paraId="243C48D9" w14:textId="77777777" w:rsidR="000D6FF9" w:rsidRPr="00FA2FE5" w:rsidRDefault="000D6FF9" w:rsidP="000D6FF9">
      <w:pPr>
        <w:pStyle w:val="Prrafodelista"/>
        <w:numPr>
          <w:ilvl w:val="0"/>
          <w:numId w:val="1"/>
        </w:numPr>
        <w:ind w:left="1134" w:right="709" w:hanging="141"/>
        <w:rPr>
          <w:rFonts w:ascii="Arial" w:eastAsia="Calibri" w:hAnsi="Arial" w:cs="Arial"/>
          <w:sz w:val="21"/>
          <w:szCs w:val="21"/>
        </w:rPr>
      </w:pPr>
      <w:r w:rsidRPr="00FA2FE5">
        <w:rPr>
          <w:rFonts w:ascii="Arial" w:eastAsia="Calibri" w:hAnsi="Arial" w:cs="Arial"/>
          <w:sz w:val="21"/>
          <w:szCs w:val="21"/>
        </w:rPr>
        <w:t xml:space="preserve">Desarrollo de programas de promoción, prevención y atención en salud. </w:t>
      </w:r>
    </w:p>
    <w:p w14:paraId="37C364F4" w14:textId="77777777" w:rsidR="000D6FF9" w:rsidRPr="00FA2FE5" w:rsidRDefault="000D6FF9" w:rsidP="000D6FF9">
      <w:pPr>
        <w:pStyle w:val="Prrafodelista"/>
        <w:numPr>
          <w:ilvl w:val="0"/>
          <w:numId w:val="1"/>
        </w:numPr>
        <w:spacing w:after="0"/>
        <w:ind w:left="1134" w:right="709" w:hanging="141"/>
        <w:rPr>
          <w:rFonts w:ascii="Arial" w:hAnsi="Arial" w:cs="Arial"/>
          <w:sz w:val="21"/>
          <w:szCs w:val="21"/>
        </w:rPr>
      </w:pPr>
      <w:r w:rsidRPr="00FA2FE5">
        <w:rPr>
          <w:rFonts w:ascii="Arial" w:hAnsi="Arial" w:cs="Arial"/>
          <w:sz w:val="21"/>
          <w:szCs w:val="21"/>
        </w:rPr>
        <w:t>Contratos y convenios necesarios para la operación de la OIT.</w:t>
      </w:r>
    </w:p>
    <w:p w14:paraId="5E04C05A" w14:textId="77777777" w:rsidR="000D6FF9" w:rsidRPr="00FA2FE5" w:rsidRDefault="000D6FF9" w:rsidP="000D6FF9">
      <w:pPr>
        <w:pStyle w:val="Prrafodelista"/>
        <w:numPr>
          <w:ilvl w:val="0"/>
          <w:numId w:val="1"/>
        </w:numPr>
        <w:spacing w:after="0"/>
        <w:ind w:left="1134" w:right="709" w:hanging="141"/>
        <w:rPr>
          <w:rFonts w:ascii="Arial" w:hAnsi="Arial" w:cs="Arial"/>
          <w:sz w:val="21"/>
          <w:szCs w:val="21"/>
        </w:rPr>
      </w:pPr>
      <w:r w:rsidRPr="00FA2FE5">
        <w:rPr>
          <w:rFonts w:ascii="Arial" w:hAnsi="Arial" w:cs="Arial"/>
          <w:sz w:val="21"/>
          <w:szCs w:val="21"/>
        </w:rPr>
        <w:t>Contratos y convenios que se ejecuten en desarrollo del sistema integrado de monitoreo de cultivos ilícitos.</w:t>
      </w:r>
    </w:p>
    <w:p w14:paraId="7754231F" w14:textId="77777777" w:rsidR="000D6FF9" w:rsidRPr="00FA2FE5" w:rsidRDefault="000D6FF9" w:rsidP="000D6FF9">
      <w:pPr>
        <w:pStyle w:val="Prrafodelista"/>
        <w:numPr>
          <w:ilvl w:val="0"/>
          <w:numId w:val="1"/>
        </w:numPr>
        <w:spacing w:after="0"/>
        <w:ind w:left="1134" w:right="709" w:hanging="141"/>
        <w:rPr>
          <w:rFonts w:ascii="Arial" w:hAnsi="Arial" w:cs="Arial"/>
          <w:sz w:val="21"/>
          <w:szCs w:val="21"/>
        </w:rPr>
      </w:pPr>
      <w:r w:rsidRPr="00FA2FE5">
        <w:rPr>
          <w:rFonts w:ascii="Arial" w:hAnsi="Arial" w:cs="Arial"/>
          <w:sz w:val="21"/>
          <w:szCs w:val="21"/>
        </w:rPr>
        <w:t>Contratos y convenios para la operación del programa mundial de alimentos.</w:t>
      </w:r>
    </w:p>
    <w:p w14:paraId="71D441B6" w14:textId="77777777" w:rsidR="000D6FF9" w:rsidRPr="00FA2FE5" w:rsidRDefault="000D6FF9" w:rsidP="000D6FF9">
      <w:pPr>
        <w:pStyle w:val="Prrafodelista"/>
        <w:numPr>
          <w:ilvl w:val="0"/>
          <w:numId w:val="1"/>
        </w:numPr>
        <w:spacing w:after="0"/>
        <w:ind w:left="1134" w:right="709" w:hanging="141"/>
        <w:rPr>
          <w:rFonts w:ascii="Arial" w:hAnsi="Arial" w:cs="Arial"/>
          <w:sz w:val="21"/>
          <w:szCs w:val="21"/>
        </w:rPr>
      </w:pPr>
      <w:r w:rsidRPr="00FA2FE5">
        <w:rPr>
          <w:rFonts w:ascii="Arial" w:hAnsi="Arial" w:cs="Arial"/>
          <w:sz w:val="21"/>
          <w:szCs w:val="21"/>
        </w:rPr>
        <w:t>Contratos y convenios para el desarrollo de programas de apoyo educativo a población desplazada y vulnerable adelantados por la Unesco y la OIM.</w:t>
      </w:r>
    </w:p>
    <w:p w14:paraId="76E9E138" w14:textId="77777777" w:rsidR="000D6FF9" w:rsidRPr="00711612" w:rsidRDefault="000D6FF9" w:rsidP="000D6FF9">
      <w:pPr>
        <w:pStyle w:val="Prrafodelista"/>
        <w:numPr>
          <w:ilvl w:val="0"/>
          <w:numId w:val="1"/>
        </w:numPr>
        <w:spacing w:after="0"/>
        <w:ind w:left="1134" w:right="709" w:hanging="141"/>
        <w:rPr>
          <w:rFonts w:ascii="Arial" w:hAnsi="Arial" w:cs="Arial"/>
          <w:sz w:val="22"/>
        </w:rPr>
      </w:pPr>
      <w:r w:rsidRPr="00FA2FE5">
        <w:rPr>
          <w:rFonts w:ascii="Arial" w:hAnsi="Arial" w:cs="Arial"/>
          <w:sz w:val="21"/>
          <w:szCs w:val="21"/>
        </w:rPr>
        <w:t>Los contratos o convenios financiados con fondos de los organismos multilaterales de crédito y entes gubernamentales extranjeros.</w:t>
      </w:r>
      <w:r w:rsidRPr="00711612">
        <w:rPr>
          <w:rFonts w:ascii="Arial" w:hAnsi="Arial" w:cs="Arial"/>
          <w:sz w:val="22"/>
        </w:rPr>
        <w:t xml:space="preserve"> </w:t>
      </w:r>
    </w:p>
    <w:p w14:paraId="05721629" w14:textId="77777777" w:rsidR="000D6FF9" w:rsidRPr="00711612" w:rsidRDefault="000D6FF9" w:rsidP="000D6FF9">
      <w:pPr>
        <w:pStyle w:val="Prrafodelista"/>
        <w:spacing w:after="0"/>
        <w:ind w:left="1429"/>
        <w:rPr>
          <w:rFonts w:ascii="Arial" w:hAnsi="Arial" w:cs="Arial"/>
          <w:sz w:val="22"/>
        </w:rPr>
      </w:pPr>
    </w:p>
    <w:p w14:paraId="04C8DD45" w14:textId="77777777" w:rsidR="000D6FF9" w:rsidRPr="00711612" w:rsidRDefault="000D6FF9" w:rsidP="000D6FF9">
      <w:pPr>
        <w:spacing w:after="0" w:line="276" w:lineRule="auto"/>
        <w:ind w:firstLine="709"/>
        <w:jc w:val="both"/>
        <w:rPr>
          <w:rFonts w:ascii="Arial" w:eastAsia="Calibri" w:hAnsi="Arial" w:cs="Arial"/>
          <w:lang w:val="es-ES"/>
        </w:rPr>
      </w:pPr>
      <w:r w:rsidRPr="00711612">
        <w:rPr>
          <w:rFonts w:ascii="Arial" w:eastAsia="Calibri" w:hAnsi="Arial" w:cs="Arial"/>
          <w:lang w:val="es-ES"/>
        </w:rPr>
        <w:t>En los supuestos anteriores, regulados en el inciso segundo del artículo 20, independiente</w:t>
      </w:r>
      <w:r>
        <w:rPr>
          <w:rFonts w:ascii="Arial" w:eastAsia="Calibri" w:hAnsi="Arial" w:cs="Arial"/>
          <w:lang w:val="es-ES"/>
        </w:rPr>
        <w:t>mente</w:t>
      </w:r>
      <w:r w:rsidRPr="00711612">
        <w:rPr>
          <w:rFonts w:ascii="Arial" w:eastAsia="Calibri" w:hAnsi="Arial" w:cs="Arial"/>
          <w:lang w:val="es-ES"/>
        </w:rPr>
        <w:t xml:space="preserve"> del monto de los aportes de cada una de las partes, es posible optar por someter el contrato a los reglamentos de dichos organismos o bien someterlos al EGCAP, es decir, configurado alguno de los presupuestos anteriores es posible elegir cualquiera de los dos (2) regímenes indicados. Al respecto, en el concepto C-374 del 27 de julio de 2020, esta Agencia –después de analizar el artículo 20 de la Ley 1150 de 2007– concluyó que:</w:t>
      </w:r>
    </w:p>
    <w:p w14:paraId="28DD404A" w14:textId="77777777" w:rsidR="000D6FF9" w:rsidRPr="00711612" w:rsidRDefault="000D6FF9" w:rsidP="000D6FF9">
      <w:pPr>
        <w:spacing w:after="0" w:line="276" w:lineRule="auto"/>
        <w:ind w:firstLine="709"/>
        <w:jc w:val="both"/>
        <w:rPr>
          <w:rFonts w:ascii="Arial" w:eastAsia="Calibri" w:hAnsi="Arial" w:cs="Arial"/>
          <w:lang w:val="es-ES"/>
        </w:rPr>
      </w:pPr>
    </w:p>
    <w:p w14:paraId="4AF80E68" w14:textId="77777777" w:rsidR="000D6FF9" w:rsidRPr="00711612" w:rsidRDefault="000D6FF9" w:rsidP="000D6FF9">
      <w:pPr>
        <w:spacing w:after="0" w:line="240" w:lineRule="auto"/>
        <w:ind w:left="709" w:right="709"/>
        <w:jc w:val="both"/>
        <w:rPr>
          <w:rFonts w:ascii="Arial" w:eastAsia="Calibri" w:hAnsi="Arial" w:cs="Arial"/>
          <w:sz w:val="21"/>
          <w:szCs w:val="21"/>
          <w:lang w:val="es-ES"/>
        </w:rPr>
      </w:pPr>
      <w:r w:rsidRPr="00711612">
        <w:rPr>
          <w:rFonts w:ascii="Arial" w:eastAsia="Calibri" w:hAnsi="Arial" w:cs="Arial"/>
          <w:sz w:val="21"/>
          <w:szCs w:val="21"/>
          <w:lang w:val="es-ES"/>
        </w:rPr>
        <w:t xml:space="preserve">[…] existen dos grupos de supuestos en el artículo 20 de la Ley 1150 de 2007, bajo los cuales es posible someter el régimen contractual aplicable </w:t>
      </w:r>
      <w:r w:rsidRPr="00711612">
        <w:rPr>
          <w:rFonts w:ascii="Arial" w:eastAsia="Calibri" w:hAnsi="Arial" w:cs="Arial"/>
          <w:sz w:val="21"/>
          <w:szCs w:val="21"/>
          <w:lang w:val="es-ES"/>
        </w:rPr>
        <w:lastRenderedPageBreak/>
        <w:t>a los reglamentos de los organismos internacionales: el primer grupo, regulado en el inciso primero, donde dicha posibilidad se condiciona a que los contratos o convenios  se financien en el 50% o más con fondos de dichos organismos de cooperación, asistencia o ayudas internacionales y, el segundo grupo, regulado en el inciso segundo, donde dicha posibilidad se condiciona a que se configure alguno de los 6 supuestos enlistados atrás, sin que resulte exigible algún porcentaje de incorporación de recursos. En todo caso, frente a ambos grupos, la aplicación de los reglamentos de tales entidades internacionales es una posibilidad por la que pueden optar o no las partes; es decir, configurados los requisitos indicados, las partes pueden decidir si someten los contratos a los reglamentos de las entidades internacionales o si se rigen por el Estatuto General de Contratación de la Administración Pública.</w:t>
      </w:r>
    </w:p>
    <w:p w14:paraId="294D761D" w14:textId="77777777" w:rsidR="000D6FF9" w:rsidRPr="00711612" w:rsidRDefault="000D6FF9" w:rsidP="000D6FF9">
      <w:pPr>
        <w:spacing w:after="0"/>
        <w:ind w:left="709" w:right="709"/>
        <w:jc w:val="both"/>
        <w:rPr>
          <w:rFonts w:ascii="Arial" w:eastAsia="Calibri" w:hAnsi="Arial" w:cs="Arial"/>
          <w:sz w:val="21"/>
          <w:szCs w:val="21"/>
          <w:lang w:val="es-ES"/>
        </w:rPr>
      </w:pPr>
    </w:p>
    <w:p w14:paraId="1BB8F135" w14:textId="77777777" w:rsidR="000D6FF9" w:rsidRPr="00ED75BC" w:rsidRDefault="000D6FF9" w:rsidP="000D6FF9">
      <w:pPr>
        <w:spacing w:after="120" w:line="276" w:lineRule="auto"/>
        <w:ind w:firstLine="709"/>
        <w:jc w:val="both"/>
        <w:rPr>
          <w:rFonts w:ascii="Arial" w:hAnsi="Arial" w:cs="Arial"/>
          <w:lang w:val="es-MX"/>
        </w:rPr>
      </w:pPr>
      <w:r w:rsidRPr="00711612">
        <w:rPr>
          <w:rFonts w:ascii="Arial" w:eastAsia="Calibri" w:hAnsi="Arial" w:cs="Arial"/>
          <w:lang w:val="es-ES"/>
        </w:rPr>
        <w:t>De otra parte, en relación con los contratos del inciso primero del artículo 20 de la Ley 1150 de 2007, conviene mencionar que dentro de la ejecución del contrato o convenio pueden presentarse situaciones en las que el porcentaje de los aportes sea modificado, en virtud de su adición o no ejecución en los términos pactados, por lo que</w:t>
      </w:r>
      <w:r>
        <w:rPr>
          <w:rFonts w:ascii="Arial" w:eastAsia="Calibri" w:hAnsi="Arial" w:cs="Arial"/>
          <w:lang w:val="es-ES"/>
        </w:rPr>
        <w:t>,</w:t>
      </w:r>
      <w:r w:rsidRPr="00711612">
        <w:rPr>
          <w:rFonts w:ascii="Arial" w:eastAsia="Calibri" w:hAnsi="Arial" w:cs="Arial"/>
          <w:lang w:val="es-ES"/>
        </w:rPr>
        <w:t xml:space="preserve"> previendo este escenario</w:t>
      </w:r>
      <w:r>
        <w:rPr>
          <w:rFonts w:ascii="Arial" w:eastAsia="Calibri" w:hAnsi="Arial" w:cs="Arial"/>
          <w:lang w:val="es-ES"/>
        </w:rPr>
        <w:t>,</w:t>
      </w:r>
      <w:r w:rsidRPr="00711612">
        <w:rPr>
          <w:rFonts w:ascii="Arial" w:eastAsia="Calibri" w:hAnsi="Arial" w:cs="Arial"/>
          <w:lang w:val="es-ES"/>
        </w:rPr>
        <w:t xml:space="preserve"> el artículo 2.2.1.2.4.4.1. del Decreto 1082 de 2015 dispuso que: «se deben modificar los contratos o convenios para efectos de que estos estén sujetos a las normas del sistema de compras y contratación pública, si el aporte de recursos públicos es superior al cincuenta por ciento (50%) del total o de las normas internas de la entidad de cooperación </w:t>
      </w:r>
      <w:r w:rsidRPr="00ED75BC">
        <w:rPr>
          <w:rFonts w:ascii="Arial" w:eastAsia="Calibri" w:hAnsi="Arial" w:cs="Arial"/>
          <w:lang w:val="es-ES"/>
        </w:rPr>
        <w:t>si el aporte es inferior»</w:t>
      </w:r>
      <w:r w:rsidRPr="00ED75BC">
        <w:rPr>
          <w:rStyle w:val="Refdenotaalpie"/>
          <w:rFonts w:ascii="Arial" w:eastAsia="Calibri" w:hAnsi="Arial" w:cs="Arial"/>
        </w:rPr>
        <w:footnoteReference w:id="25"/>
      </w:r>
      <w:r w:rsidRPr="00ED75BC">
        <w:rPr>
          <w:rFonts w:ascii="Arial" w:eastAsia="Calibri" w:hAnsi="Arial" w:cs="Arial"/>
          <w:lang w:val="es-ES"/>
        </w:rPr>
        <w:t xml:space="preserve">. Así las </w:t>
      </w:r>
      <w:r w:rsidRPr="00ED75BC">
        <w:rPr>
          <w:rFonts w:ascii="Arial" w:eastAsia="Calibri" w:hAnsi="Arial" w:cs="Arial"/>
          <w:lang w:val="es-ES"/>
        </w:rPr>
        <w:lastRenderedPageBreak/>
        <w:t>cosas, la entidad contratante debe realizar un constante monitoreo respecto de los aportes de cada una de las partes para determinar si se debe realizar un ajuste frente al régimen aplicable, esto es, en relación con los contratos regulados en el inciso primero del artículo 20 de la Ley 1150 de 2007</w:t>
      </w:r>
      <w:r w:rsidRPr="00ED75BC">
        <w:rPr>
          <w:rFonts w:ascii="Arial" w:hAnsi="Arial" w:cs="Arial"/>
        </w:rPr>
        <w:t xml:space="preserve">. </w:t>
      </w:r>
    </w:p>
    <w:p w14:paraId="210A3A59" w14:textId="77777777" w:rsidR="000D6FF9" w:rsidRPr="00711612" w:rsidRDefault="000D6FF9" w:rsidP="000D6FF9">
      <w:pPr>
        <w:spacing w:after="0" w:line="276" w:lineRule="auto"/>
        <w:ind w:firstLine="709"/>
        <w:jc w:val="both"/>
        <w:rPr>
          <w:rFonts w:ascii="Arial" w:hAnsi="Arial" w:cs="Arial"/>
          <w:bCs/>
          <w:color w:val="000000"/>
          <w:lang w:eastAsia="es-CO"/>
        </w:rPr>
      </w:pPr>
      <w:r w:rsidRPr="00711612">
        <w:rPr>
          <w:rFonts w:ascii="Arial" w:eastAsia="Calibri" w:hAnsi="Arial" w:cs="Arial"/>
          <w:color w:val="000000" w:themeColor="text1"/>
        </w:rPr>
        <w:t xml:space="preserve">Ahora bien, para la restricción del artículo 33 de la </w:t>
      </w:r>
      <w:r w:rsidRPr="00711612">
        <w:rPr>
          <w:rFonts w:ascii="Arial" w:hAnsi="Arial" w:cs="Arial"/>
          <w:bCs/>
          <w:color w:val="000000"/>
          <w:lang w:eastAsia="es-CO"/>
        </w:rPr>
        <w:t xml:space="preserve">Ley 996 de 2005 es necesario considerar que </w:t>
      </w:r>
      <w:r w:rsidRPr="00711612">
        <w:rPr>
          <w:rFonts w:ascii="Arial" w:eastAsia="Calibri" w:hAnsi="Arial" w:cs="Arial"/>
          <w:lang w:val="es-ES"/>
        </w:rPr>
        <w:t>el artículo 20 de la Ley 1150 de 2007</w:t>
      </w:r>
      <w:r w:rsidRPr="00711612">
        <w:rPr>
          <w:rFonts w:ascii="Arial" w:hAnsi="Arial" w:cs="Arial"/>
          <w:bCs/>
          <w:color w:val="000000"/>
          <w:lang w:eastAsia="es-CO"/>
        </w:rPr>
        <w:t xml:space="preserve"> consagra un régimen jurídico que exceptúa la aplicación del Estatuto General de </w:t>
      </w:r>
      <w:r w:rsidRPr="00ED75BC">
        <w:rPr>
          <w:rFonts w:ascii="Arial" w:hAnsi="Arial" w:cs="Arial"/>
          <w:bCs/>
          <w:color w:val="000000"/>
          <w:lang w:eastAsia="es-CO"/>
        </w:rPr>
        <w:t>Contratación de la Administración Pública. A diferencia del régimen de las empresas de servicios públicos domiciliarios, las empresas industriales y comerciales del Estado, las empresas sociales del Estado, entre otras, la excepción prevista para los contratos suscritos con organismos internacionales –más que privilegiar la competencia económica– flexibiliza el régimen contractual aplicable</w:t>
      </w:r>
      <w:r w:rsidRPr="00ED75BC">
        <w:rPr>
          <w:rStyle w:val="Refdenotaalpie"/>
          <w:rFonts w:ascii="Arial" w:hAnsi="Arial" w:cs="Arial"/>
        </w:rPr>
        <w:footnoteReference w:id="26"/>
      </w:r>
      <w:r w:rsidRPr="00ED75BC">
        <w:rPr>
          <w:rFonts w:ascii="Arial" w:hAnsi="Arial" w:cs="Arial"/>
          <w:bCs/>
          <w:color w:val="000000"/>
          <w:lang w:eastAsia="es-CO"/>
        </w:rPr>
        <w:t>. Para la doctrina, esta excepción se consagra de acuerdo con el objeto del contrato celebrado, por</w:t>
      </w:r>
      <w:r w:rsidRPr="00711612">
        <w:rPr>
          <w:rFonts w:ascii="Arial" w:hAnsi="Arial" w:cs="Arial"/>
          <w:bCs/>
          <w:color w:val="000000"/>
          <w:lang w:eastAsia="es-CO"/>
        </w:rPr>
        <w:t xml:space="preserve"> lo que no se realiza en consideración al sector específico al que pertenece la entidad, la asignación de un esquema legal propio a esta o por la naturaleza del fondo encargado de administrar recursos públicos. Por ello, explica que:</w:t>
      </w:r>
    </w:p>
    <w:p w14:paraId="206D35BC" w14:textId="77777777" w:rsidR="000D6FF9" w:rsidRPr="00711612" w:rsidRDefault="000D6FF9" w:rsidP="000D6FF9">
      <w:pPr>
        <w:spacing w:after="0" w:line="276" w:lineRule="auto"/>
        <w:ind w:firstLine="709"/>
        <w:jc w:val="both"/>
        <w:rPr>
          <w:rFonts w:ascii="Arial" w:hAnsi="Arial" w:cs="Arial"/>
          <w:bCs/>
          <w:color w:val="000000"/>
          <w:lang w:eastAsia="es-CO"/>
        </w:rPr>
      </w:pPr>
    </w:p>
    <w:p w14:paraId="18B33921" w14:textId="77777777" w:rsidR="000D6FF9" w:rsidRPr="00ED75BC" w:rsidRDefault="000D6FF9" w:rsidP="000D6FF9">
      <w:pPr>
        <w:spacing w:after="0" w:line="240" w:lineRule="auto"/>
        <w:ind w:left="709" w:right="709"/>
        <w:jc w:val="both"/>
        <w:rPr>
          <w:rFonts w:ascii="Arial" w:hAnsi="Arial" w:cs="Arial"/>
          <w:bCs/>
          <w:color w:val="000000"/>
          <w:sz w:val="21"/>
          <w:szCs w:val="21"/>
          <w:lang w:eastAsia="es-CO"/>
        </w:rPr>
      </w:pPr>
      <w:r w:rsidRPr="00711612">
        <w:rPr>
          <w:rFonts w:ascii="Arial" w:hAnsi="Arial" w:cs="Arial"/>
          <w:bCs/>
          <w:color w:val="000000"/>
          <w:sz w:val="21"/>
          <w:szCs w:val="21"/>
          <w:lang w:eastAsia="es-CO"/>
        </w:rPr>
        <w:t xml:space="preserve">Tradicionalmente se plantea la existencia de regímenes especiales de contratación desde la perspectiva orgánica o subjetiva. Sin embargo, la tendencia es crear regímenes especiales por el contrato llamados de múltiples formas con diferentes propósitos. A través de esta modalidad de asignación, el legislador otorga a la entidad, en algunos casos sin importar su régimen, la posibilidad de celebrar un contrato tipificado del régimen especial sin acudir a las </w:t>
      </w:r>
      <w:r w:rsidRPr="00ED75BC">
        <w:rPr>
          <w:rFonts w:ascii="Arial" w:hAnsi="Arial" w:cs="Arial"/>
          <w:bCs/>
          <w:color w:val="000000"/>
          <w:sz w:val="21"/>
          <w:szCs w:val="21"/>
          <w:lang w:eastAsia="es-CO"/>
        </w:rPr>
        <w:t xml:space="preserve">reglas de selección del régimen general de </w:t>
      </w:r>
      <w:r w:rsidRPr="00ED75BC">
        <w:rPr>
          <w:rFonts w:ascii="Arial" w:hAnsi="Arial" w:cs="Arial"/>
          <w:bCs/>
          <w:color w:val="000000"/>
          <w:sz w:val="21"/>
          <w:szCs w:val="21"/>
          <w:lang w:eastAsia="es-CO"/>
        </w:rPr>
        <w:lastRenderedPageBreak/>
        <w:t>contratación. Lo usual es que en los casos excepcionales la selección sea directa o por lo menos con menos exigencias</w:t>
      </w:r>
      <w:r w:rsidRPr="00ED75BC">
        <w:rPr>
          <w:rStyle w:val="Refdenotaalpie"/>
          <w:rFonts w:ascii="Arial" w:hAnsi="Arial" w:cs="Arial"/>
          <w:sz w:val="21"/>
          <w:szCs w:val="21"/>
        </w:rPr>
        <w:footnoteReference w:id="27"/>
      </w:r>
      <w:r w:rsidRPr="00ED75BC">
        <w:rPr>
          <w:rFonts w:ascii="Arial" w:hAnsi="Arial" w:cs="Arial"/>
          <w:bCs/>
          <w:color w:val="000000"/>
          <w:sz w:val="21"/>
          <w:szCs w:val="21"/>
          <w:lang w:eastAsia="es-CO"/>
        </w:rPr>
        <w:t>.</w:t>
      </w:r>
    </w:p>
    <w:p w14:paraId="2EA35392" w14:textId="77777777" w:rsidR="000D6FF9" w:rsidRPr="00711612" w:rsidRDefault="000D6FF9" w:rsidP="000D6FF9">
      <w:pPr>
        <w:spacing w:after="0" w:line="276" w:lineRule="auto"/>
        <w:ind w:left="709" w:right="709"/>
        <w:jc w:val="both"/>
        <w:rPr>
          <w:rFonts w:ascii="Arial" w:hAnsi="Arial" w:cs="Arial"/>
          <w:bCs/>
          <w:color w:val="000000"/>
          <w:lang w:eastAsia="es-CO"/>
        </w:rPr>
      </w:pPr>
    </w:p>
    <w:p w14:paraId="4AC9E4CD" w14:textId="6816FF1A" w:rsidR="000D6FF9" w:rsidRPr="00ED75BC" w:rsidRDefault="000D6FF9" w:rsidP="000D6FF9">
      <w:pPr>
        <w:spacing w:after="120" w:line="276" w:lineRule="auto"/>
        <w:ind w:firstLine="708"/>
        <w:jc w:val="both"/>
        <w:rPr>
          <w:rFonts w:ascii="Arial" w:hAnsi="Arial" w:cs="Arial"/>
          <w:bCs/>
          <w:color w:val="000000"/>
          <w:lang w:eastAsia="es-CO"/>
        </w:rPr>
      </w:pPr>
      <w:r w:rsidRPr="00711612">
        <w:rPr>
          <w:rFonts w:ascii="Arial" w:hAnsi="Arial" w:cs="Arial"/>
          <w:bCs/>
          <w:color w:val="000000"/>
          <w:lang w:eastAsia="es-CO"/>
        </w:rPr>
        <w:t xml:space="preserve">Pese a lo anterior, la prohibición de contratación directa de la Ley de Garantías es independiente del régimen contractual. Así la Sala de </w:t>
      </w:r>
      <w:r w:rsidRPr="00ED75BC">
        <w:rPr>
          <w:rFonts w:ascii="Arial" w:hAnsi="Arial" w:cs="Arial"/>
          <w:bCs/>
          <w:color w:val="000000"/>
          <w:lang w:eastAsia="es-CO"/>
        </w:rPr>
        <w:t xml:space="preserve">Consulta y Servicio Civil del Consejo de Estado explica que «La prohibición contenida en el artículo 33, desde el punto de vista objetivo o material, comprende la contratación directa, entendida como cualquier mecanismo de escogencia del contratista en el que se prescinde de la licitación o concurso, </w:t>
      </w:r>
      <w:r w:rsidRPr="00ED75BC">
        <w:rPr>
          <w:rFonts w:ascii="Arial" w:hAnsi="Arial" w:cs="Arial"/>
          <w:bCs/>
          <w:i/>
          <w:iCs/>
          <w:color w:val="000000"/>
          <w:lang w:eastAsia="es-CO"/>
        </w:rPr>
        <w:t>sin que se tenga en cuenta por el legislador estatutario el régimen de contratación aplicable, ya sea contenido en el Estatuto General de Contratación de la Administración Pública o uno especial en razón del objeto, del contrato o del órgano que contrata</w:t>
      </w:r>
      <w:r w:rsidRPr="00ED75BC">
        <w:rPr>
          <w:rFonts w:ascii="Arial" w:hAnsi="Arial" w:cs="Arial"/>
          <w:bCs/>
          <w:color w:val="000000"/>
          <w:lang w:eastAsia="es-CO"/>
        </w:rPr>
        <w:t>»</w:t>
      </w:r>
      <w:r w:rsidRPr="00ED75BC">
        <w:rPr>
          <w:rStyle w:val="Refdenotaalpie"/>
          <w:rFonts w:ascii="Arial" w:hAnsi="Arial" w:cs="Arial"/>
        </w:rPr>
        <w:footnoteReference w:id="28"/>
      </w:r>
      <w:r w:rsidRPr="00ED75BC">
        <w:rPr>
          <w:rFonts w:ascii="Arial" w:hAnsi="Arial" w:cs="Arial"/>
          <w:bCs/>
          <w:color w:val="000000"/>
          <w:lang w:eastAsia="es-CO"/>
        </w:rPr>
        <w:t xml:space="preserve"> (Énfasis fuera de texto). Por tanto, durante la vigencia de la prohibición del artículo 33 de la Ley 996 de 2005 está restringida cualquier modalidad de selección que excluya la pluralidad de oferentes en el régimen especial de contratación con organismos internacionales. </w:t>
      </w:r>
    </w:p>
    <w:p w14:paraId="3E5B615E" w14:textId="77777777" w:rsidR="000D6FF9" w:rsidRPr="001C4698" w:rsidRDefault="000D6FF9" w:rsidP="000D6FF9">
      <w:pPr>
        <w:spacing w:after="120" w:line="276" w:lineRule="auto"/>
        <w:ind w:firstLine="708"/>
        <w:jc w:val="both"/>
        <w:rPr>
          <w:rFonts w:ascii="Arial" w:hAnsi="Arial" w:cs="Arial"/>
          <w:bCs/>
          <w:color w:val="000000"/>
          <w:lang w:eastAsia="es-CO"/>
        </w:rPr>
      </w:pPr>
      <w:r w:rsidRPr="001C4698">
        <w:rPr>
          <w:rFonts w:ascii="Arial" w:hAnsi="Arial" w:cs="Arial"/>
          <w:bCs/>
          <w:color w:val="000000"/>
          <w:lang w:eastAsia="es-CO"/>
        </w:rPr>
        <w:t xml:space="preserve">Por tales razones, se aclara Concepto C-559 del 31 de agosto de 2021, armonizándolo con el Concepto C-296 del 22 de junio del mismo año, para precisar que la </w:t>
      </w:r>
      <w:bookmarkStart w:id="26" w:name="_Hlk98782207"/>
      <w:r w:rsidRPr="001C4698">
        <w:rPr>
          <w:rFonts w:ascii="Arial" w:hAnsi="Arial" w:cs="Arial"/>
          <w:bCs/>
          <w:color w:val="000000"/>
          <w:lang w:eastAsia="es-CO"/>
        </w:rPr>
        <w:t xml:space="preserve">prohibición de contratación directa del artículo 33 de la Ley 996 de 2005 rige con independencia del régimen jurídico del contrato. </w:t>
      </w:r>
      <w:bookmarkStart w:id="27" w:name="_Hlk98782113"/>
      <w:r w:rsidRPr="001C4698">
        <w:rPr>
          <w:rFonts w:ascii="Arial" w:hAnsi="Arial" w:cs="Arial"/>
          <w:bCs/>
          <w:color w:val="000000"/>
          <w:lang w:eastAsia="es-CO"/>
        </w:rPr>
        <w:t>En tal sentido, salvo que ingrese en alguna de las excepciones establecidas en el segundo inciso de la disposición citada, esta restricción también aplica a la celebración de contratos con organismos internacionales, aun cuando se presenten los supuestos indicados en el artículo 20 de la Ley 1150 de 2007, en los cuales dichos contratos se pueden someter a los reglamentos de tales organizaciones. Esta conclusión se apoya en los siguientes argumentos</w:t>
      </w:r>
      <w:bookmarkEnd w:id="26"/>
      <w:bookmarkEnd w:id="27"/>
      <w:r w:rsidRPr="001C4698">
        <w:rPr>
          <w:rFonts w:ascii="Arial" w:hAnsi="Arial" w:cs="Arial"/>
          <w:bCs/>
          <w:color w:val="000000"/>
          <w:lang w:eastAsia="es-CO"/>
        </w:rPr>
        <w:t xml:space="preserve">: </w:t>
      </w:r>
    </w:p>
    <w:p w14:paraId="52B32545" w14:textId="77777777" w:rsidR="000D6FF9" w:rsidRPr="001C4698" w:rsidRDefault="000D6FF9" w:rsidP="000D6FF9">
      <w:pPr>
        <w:spacing w:after="120" w:line="276" w:lineRule="auto"/>
        <w:ind w:firstLine="708"/>
        <w:jc w:val="both"/>
        <w:rPr>
          <w:rFonts w:ascii="Arial" w:hAnsi="Arial" w:cs="Arial"/>
          <w:bCs/>
          <w:color w:val="000000"/>
          <w:lang w:eastAsia="es-CO"/>
        </w:rPr>
      </w:pPr>
      <w:r w:rsidRPr="001C4698">
        <w:rPr>
          <w:rFonts w:ascii="Arial" w:hAnsi="Arial" w:cs="Arial"/>
          <w:bCs/>
          <w:color w:val="000000"/>
          <w:lang w:eastAsia="es-CO"/>
        </w:rPr>
        <w:lastRenderedPageBreak/>
        <w:t xml:space="preserve">i) El artículo 33 de la Ley 996 de 2005 debe aplicarse, como lo indica su primer inciso, a «todos los entes del Estado». Este criterio orgánico reviste importancia, porque permite argumentar que a pesar de que una entidad estatal celebre un contrato con un organismo internacional de cooperación, ayuda o asistencia, aquella no muta su naturaleza jurídica –no deja de ser una entidad estatal– y, por tanto, continúa siendo destinataria de la Ley de Garantías Electorales.  </w:t>
      </w:r>
    </w:p>
    <w:p w14:paraId="3DA9A4E7" w14:textId="77777777" w:rsidR="000D6FF9" w:rsidRPr="001C4698" w:rsidRDefault="000D6FF9" w:rsidP="000D6FF9">
      <w:pPr>
        <w:spacing w:after="120" w:line="276" w:lineRule="auto"/>
        <w:ind w:firstLine="708"/>
        <w:jc w:val="both"/>
        <w:rPr>
          <w:rFonts w:ascii="Arial" w:hAnsi="Arial" w:cs="Arial"/>
          <w:bCs/>
          <w:color w:val="000000"/>
          <w:lang w:eastAsia="es-CO"/>
        </w:rPr>
      </w:pPr>
      <w:r w:rsidRPr="001C4698">
        <w:rPr>
          <w:rFonts w:ascii="Arial" w:hAnsi="Arial" w:cs="Arial"/>
          <w:bCs/>
          <w:color w:val="000000"/>
          <w:lang w:eastAsia="es-CO"/>
        </w:rPr>
        <w:t>ii) La proscripción de la contratación directa indicada en dicho artículo no diferencia régimen contractual, ni indica que solo se aplica a la contratación directa sometida al Estatuto General de Contratación de la Administración Pública, razón por la cual la prohibición incluye cualquier contratación directa, así esté sujeta a un régimen excepcional –como el del artículo 20 de la Ley 1150 de 2007–.</w:t>
      </w:r>
    </w:p>
    <w:p w14:paraId="30280DC8" w14:textId="77777777" w:rsidR="000D6FF9" w:rsidRPr="001C4698" w:rsidRDefault="000D6FF9" w:rsidP="000D6FF9">
      <w:pPr>
        <w:spacing w:after="120" w:line="276" w:lineRule="auto"/>
        <w:ind w:firstLine="708"/>
        <w:jc w:val="both"/>
        <w:rPr>
          <w:rFonts w:ascii="Arial" w:hAnsi="Arial" w:cs="Arial"/>
          <w:bCs/>
          <w:color w:val="000000"/>
          <w:lang w:eastAsia="es-CO"/>
        </w:rPr>
      </w:pPr>
      <w:r w:rsidRPr="001C4698">
        <w:rPr>
          <w:rFonts w:ascii="Arial" w:hAnsi="Arial" w:cs="Arial"/>
          <w:bCs/>
          <w:color w:val="000000"/>
          <w:lang w:eastAsia="es-CO"/>
        </w:rPr>
        <w:t xml:space="preserve">iii) Los artículos 13 de la Ley 80 de 1993, 20 de la Ley 1150 de 2007 y 2.2.1.2.4.4.1 del Decreto 1082 de 2015 </w:t>
      </w:r>
      <w:r w:rsidRPr="001C4698">
        <w:rPr>
          <w:rFonts w:ascii="Arial" w:hAnsi="Arial" w:cs="Arial"/>
          <w:bCs/>
          <w:i/>
          <w:iCs/>
          <w:color w:val="000000"/>
          <w:lang w:eastAsia="es-CO"/>
        </w:rPr>
        <w:t>no establecen una excepción en bloque de todo el ordenamiento jurídico colombiano</w:t>
      </w:r>
      <w:r w:rsidRPr="001C4698">
        <w:rPr>
          <w:rFonts w:ascii="Arial" w:hAnsi="Arial" w:cs="Arial"/>
          <w:bCs/>
          <w:color w:val="000000"/>
          <w:lang w:eastAsia="es-CO"/>
        </w:rPr>
        <w:t xml:space="preserve"> para los supuestos en los cuales se pueden aplicar los reglamentos de los organismos de cooperación, ayuda o asistencia internacionales. Por una parte, lo que es posible someter a dichos reglamentos son </w:t>
      </w:r>
      <w:r w:rsidRPr="001C4698">
        <w:rPr>
          <w:rFonts w:ascii="Arial" w:hAnsi="Arial" w:cs="Arial"/>
          <w:bCs/>
          <w:i/>
          <w:iCs/>
          <w:color w:val="000000"/>
          <w:lang w:eastAsia="es-CO"/>
        </w:rPr>
        <w:t>los contratos o convenios</w:t>
      </w:r>
      <w:r w:rsidRPr="001C4698">
        <w:rPr>
          <w:rFonts w:ascii="Arial" w:hAnsi="Arial" w:cs="Arial"/>
          <w:bCs/>
          <w:color w:val="000000"/>
          <w:lang w:eastAsia="es-CO"/>
        </w:rPr>
        <w:t xml:space="preserve"> –esto es lo que se interpreta a partir de una lectura atenta de las normas en comento–. </w:t>
      </w:r>
    </w:p>
    <w:p w14:paraId="0BA57FA9" w14:textId="77777777" w:rsidR="000D6FF9" w:rsidRPr="001C4698" w:rsidRDefault="000D6FF9" w:rsidP="000D6FF9">
      <w:pPr>
        <w:spacing w:after="120" w:line="276" w:lineRule="auto"/>
        <w:ind w:firstLine="708"/>
        <w:jc w:val="both"/>
        <w:rPr>
          <w:rFonts w:ascii="Arial" w:hAnsi="Arial" w:cs="Arial"/>
          <w:bCs/>
          <w:color w:val="000000"/>
          <w:lang w:eastAsia="es-CO"/>
        </w:rPr>
      </w:pPr>
      <w:r w:rsidRPr="001C4698">
        <w:rPr>
          <w:rFonts w:ascii="Arial" w:hAnsi="Arial" w:cs="Arial"/>
          <w:bCs/>
          <w:color w:val="000000"/>
          <w:lang w:eastAsia="es-CO"/>
        </w:rPr>
        <w:t>Por otra parte, el hecho de que los contratos o convenios se sometan a los reglamentos de dichos organismos no obsta para que las entidades estatales colombianas que los celebren deban continuar rigiéndose, en todo lo demás, por las disposiciones normativas colombianas. Lo anterior teniendo en cuenta que, a título enunciativo, estas disposiciones regulan aspectos como: a) los principios de la función administrativa y de la gestión fiscal –consagrados, respectivamente, en los artículos 209 y 267 de la Constitución Política–, b) la obligación de publicar en el SECOP la contratación</w:t>
      </w:r>
      <w:r w:rsidRPr="001C4698">
        <w:rPr>
          <w:rStyle w:val="Refdenotaalpie"/>
          <w:rFonts w:ascii="Arial" w:hAnsi="Arial" w:cs="Arial"/>
        </w:rPr>
        <w:footnoteReference w:id="29"/>
      </w:r>
      <w:r w:rsidRPr="001C4698">
        <w:rPr>
          <w:rFonts w:ascii="Arial" w:hAnsi="Arial" w:cs="Arial"/>
          <w:bCs/>
          <w:color w:val="000000"/>
          <w:lang w:eastAsia="es-CO"/>
        </w:rPr>
        <w:t>, c) las normas presupuestales</w:t>
      </w:r>
      <w:r w:rsidRPr="001C4698">
        <w:rPr>
          <w:rStyle w:val="Refdenotaalpie"/>
          <w:rFonts w:ascii="Arial" w:hAnsi="Arial" w:cs="Arial"/>
        </w:rPr>
        <w:footnoteReference w:id="30"/>
      </w:r>
      <w:r w:rsidRPr="001C4698">
        <w:rPr>
          <w:rFonts w:ascii="Arial" w:hAnsi="Arial" w:cs="Arial"/>
          <w:bCs/>
          <w:color w:val="000000"/>
          <w:lang w:eastAsia="es-CO"/>
        </w:rPr>
        <w:t xml:space="preserve">, d) el régimen de prohibiciones de los órganos del Estado y de los servidores públicos –en el cual se incluye la Ley de Garantías Electorales y el régimen de inhabilidades e incompatibilidades–. En consecuencia, el hecho de que un contrato se rija por el </w:t>
      </w:r>
      <w:r w:rsidRPr="001C4698">
        <w:rPr>
          <w:rFonts w:ascii="Arial" w:hAnsi="Arial" w:cs="Arial"/>
          <w:bCs/>
          <w:color w:val="000000"/>
          <w:lang w:eastAsia="es-CO"/>
        </w:rPr>
        <w:lastRenderedPageBreak/>
        <w:t>reglamento de un organismo de cooperación, ayuda o asistencia internacional no exime a la entidad estatal colombiana de acatar las restricciones de la Ley 996 de 2005, porque estas prohibiciones no tienen que ver con el régimen sustantivo del contrato en el que se aplica la excepción al EGCAP, sino con disposiciones transversales consagradas en el ordenamiento jurídico en materia de garantías electorales.</w:t>
      </w:r>
    </w:p>
    <w:p w14:paraId="671F2D3D" w14:textId="77777777" w:rsidR="000D6FF9" w:rsidRPr="001C4698" w:rsidRDefault="000D6FF9" w:rsidP="000D6FF9">
      <w:pPr>
        <w:spacing w:after="120" w:line="276" w:lineRule="auto"/>
        <w:ind w:firstLine="708"/>
        <w:jc w:val="both"/>
        <w:rPr>
          <w:rFonts w:ascii="Arial" w:hAnsi="Arial" w:cs="Arial"/>
          <w:bCs/>
          <w:color w:val="000000"/>
          <w:lang w:eastAsia="es-CO"/>
        </w:rPr>
      </w:pPr>
      <w:r w:rsidRPr="001C4698">
        <w:rPr>
          <w:rFonts w:ascii="Arial" w:hAnsi="Arial" w:cs="Arial"/>
          <w:bCs/>
          <w:color w:val="000000"/>
          <w:lang w:eastAsia="es-CO"/>
        </w:rPr>
        <w:t xml:space="preserve">iv) Además, la Ley 996 de 2005 es una ley estatutaria –que integra el bloque de constitucionalidad– y, en este sentido, ante las dudas hermenéuticas que se susciten frente a su aplicación –por su aparente contradicción con otras leyes– el operador jurídico debe privilegiar la vigencia de la ley estatutaria. En efecto, la Corte Constitucional ha explicado que uno de los argumentos hermenéuticos que deben tenerse en cuenta en la aplicación de las leyes  es «el criterio jerárquico, según el cual la norma superior prima o prevalece sobre la inferior </w:t>
      </w:r>
      <w:r w:rsidRPr="001C4698">
        <w:rPr>
          <w:rFonts w:ascii="Arial" w:hAnsi="Arial" w:cs="Arial"/>
          <w:bCs/>
          <w:i/>
          <w:iCs/>
          <w:color w:val="000000"/>
          <w:lang w:eastAsia="es-CO"/>
        </w:rPr>
        <w:t>(lex superior derogat inferiori)</w:t>
      </w:r>
      <w:r w:rsidRPr="001C4698">
        <w:rPr>
          <w:rFonts w:ascii="Arial" w:hAnsi="Arial" w:cs="Arial"/>
          <w:bCs/>
          <w:color w:val="000000"/>
          <w:lang w:eastAsia="es-CO"/>
        </w:rPr>
        <w:t>»</w:t>
      </w:r>
      <w:r w:rsidRPr="001C4698">
        <w:rPr>
          <w:rStyle w:val="Refdenotaalpie"/>
          <w:rFonts w:ascii="Arial" w:hAnsi="Arial" w:cs="Arial"/>
        </w:rPr>
        <w:footnoteReference w:id="31"/>
      </w:r>
      <w:r w:rsidRPr="001C4698">
        <w:rPr>
          <w:rFonts w:ascii="Arial" w:hAnsi="Arial" w:cs="Arial"/>
          <w:bCs/>
          <w:color w:val="000000"/>
          <w:lang w:eastAsia="es-CO"/>
        </w:rPr>
        <w:t xml:space="preserve"> y que, por ello, «entre preceptos de distinta jerarquía, como ocurre entre una la ley ordinaria y una ley estatutaria, o entre la Constitución y la ley en general, […] es claro que prevalece y se aplica siempre la norma superior»</w:t>
      </w:r>
      <w:r w:rsidRPr="001C4698">
        <w:rPr>
          <w:rStyle w:val="Refdenotaalpie"/>
          <w:rFonts w:ascii="Arial" w:hAnsi="Arial" w:cs="Arial"/>
        </w:rPr>
        <w:footnoteReference w:id="32"/>
      </w:r>
      <w:r w:rsidRPr="001C4698">
        <w:rPr>
          <w:rFonts w:ascii="Arial" w:hAnsi="Arial" w:cs="Arial"/>
          <w:bCs/>
          <w:color w:val="000000"/>
          <w:lang w:eastAsia="es-CO"/>
        </w:rPr>
        <w:t>. En consecuencia, el artículo 20 de la Ley 1150 de 2007 no implica una derogatoria de lo establecido en el artículo 33 de la Ley 996 de 2005, porque aquella es una ley ordinaria y esta una ley estatutaria.</w:t>
      </w:r>
    </w:p>
    <w:p w14:paraId="32177BDD" w14:textId="77777777" w:rsidR="000D6FF9" w:rsidRPr="001C4698" w:rsidRDefault="000D6FF9" w:rsidP="000D6FF9">
      <w:pPr>
        <w:spacing w:after="120" w:line="276" w:lineRule="auto"/>
        <w:ind w:firstLine="708"/>
        <w:jc w:val="both"/>
        <w:rPr>
          <w:rFonts w:ascii="Arial" w:hAnsi="Arial" w:cs="Arial"/>
          <w:bCs/>
          <w:color w:val="000000"/>
          <w:lang w:eastAsia="es-CO"/>
        </w:rPr>
      </w:pPr>
      <w:r w:rsidRPr="001C4698">
        <w:rPr>
          <w:rFonts w:ascii="Arial" w:hAnsi="Arial" w:cs="Arial"/>
          <w:bCs/>
          <w:color w:val="000000"/>
          <w:lang w:eastAsia="es-CO"/>
        </w:rPr>
        <w:t xml:space="preserve">v) En línea con lo anterior, si la Ley 996 de 2005 se aplica también a la contratación con organismos internacionales a la que se refiere el artículo 20 de la Ley 1150 de 2007, deben interpretarse restrictivamente las excepciones a la prohibición de contratar directamente consagradas en el artículo 33 de Ley de Garantías Electorales. A partir de esto se concluye que la contratación directa con un organismo internacional no es, </w:t>
      </w:r>
      <w:r w:rsidRPr="001C4698">
        <w:rPr>
          <w:rFonts w:ascii="Arial" w:hAnsi="Arial" w:cs="Arial"/>
          <w:bCs/>
          <w:i/>
          <w:iCs/>
          <w:color w:val="000000"/>
          <w:lang w:eastAsia="es-CO"/>
        </w:rPr>
        <w:t>en sí misma considerada</w:t>
      </w:r>
      <w:r w:rsidRPr="001C4698">
        <w:rPr>
          <w:rFonts w:ascii="Arial" w:hAnsi="Arial" w:cs="Arial"/>
          <w:bCs/>
          <w:color w:val="000000"/>
          <w:lang w:eastAsia="es-CO"/>
        </w:rPr>
        <w:t xml:space="preserve"> –o por esa sola circunstancia–, una contratación que ingresa en las excepciones a la prohibición de celebrar contratos que no estén precedidos de un procedimiento plural «Durante los cuatro (4) meses anteriores a la elección presidencial y hasta la realización de la elección en la segunda vuelta, si fuere el caso». </w:t>
      </w:r>
    </w:p>
    <w:p w14:paraId="49F7AD0B" w14:textId="77777777" w:rsidR="000D6FF9" w:rsidRPr="00BC06E1" w:rsidRDefault="000D6FF9" w:rsidP="000D6FF9">
      <w:pPr>
        <w:spacing w:after="0" w:line="276" w:lineRule="auto"/>
        <w:ind w:firstLine="708"/>
        <w:contextualSpacing/>
        <w:jc w:val="both"/>
        <w:rPr>
          <w:rFonts w:ascii="Arial" w:eastAsia="Calibri" w:hAnsi="Arial" w:cs="Arial"/>
          <w:color w:val="000000" w:themeColor="text1"/>
          <w:szCs w:val="24"/>
          <w:lang w:eastAsia="es-ES_tradnl"/>
        </w:rPr>
      </w:pPr>
      <w:r w:rsidRPr="001C4698">
        <w:rPr>
          <w:rFonts w:ascii="Arial" w:hAnsi="Arial" w:cs="Arial"/>
          <w:bCs/>
          <w:color w:val="000000"/>
          <w:lang w:eastAsia="es-CO"/>
        </w:rPr>
        <w:t xml:space="preserve">Cada entidad estatal debe analizar en el caso concreto si se presenta o no el supuesto que habilite la contratación directa, respetando el carácter taxativo de las excepciones señaladas en el segundo inciso del referido artículo 33. En efecto, es </w:t>
      </w:r>
      <w:r w:rsidRPr="001C4698">
        <w:rPr>
          <w:rFonts w:ascii="Arial" w:hAnsi="Arial" w:cs="Arial"/>
          <w:bCs/>
          <w:color w:val="000000"/>
          <w:lang w:eastAsia="es-CO"/>
        </w:rPr>
        <w:lastRenderedPageBreak/>
        <w:t>posible que el contrato que se pretenda celebrar con el organismo internacional de cooperación, ayuda o asistencia ingrese en alguna de las excepciones indicadas en dicho inciso; es decir, que se refiera «</w:t>
      </w:r>
      <w:r w:rsidRPr="001C4698">
        <w:rPr>
          <w:rFonts w:ascii="Arial" w:hAnsi="Arial" w:cs="Arial"/>
        </w:rPr>
        <w:t xml:space="preserve">[…] </w:t>
      </w:r>
      <w:r w:rsidRPr="001C4698">
        <w:rPr>
          <w:rFonts w:ascii="Arial" w:hAnsi="Arial" w:cs="Arial"/>
          <w:bCs/>
          <w:color w:val="000000"/>
          <w:lang w:eastAsia="es-CO"/>
        </w:rPr>
        <w:t>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 Por tanto, solo en este caso la contratación directa será admisible para celebrar tales contratos, en vigencia de la prohibición general del artículo 33 de la Ley 996 de 2005.</w:t>
      </w:r>
    </w:p>
    <w:p w14:paraId="397E1E54" w14:textId="74EA1773" w:rsidR="0011631A" w:rsidRDefault="0011631A" w:rsidP="000D6FF9">
      <w:pPr>
        <w:spacing w:after="0" w:line="276" w:lineRule="auto"/>
        <w:jc w:val="both"/>
        <w:rPr>
          <w:rFonts w:ascii="Arial" w:eastAsia="Times New Roman" w:hAnsi="Arial" w:cs="Arial"/>
          <w:bCs/>
          <w:color w:val="000000"/>
          <w:szCs w:val="24"/>
          <w:lang w:eastAsia="es-CO"/>
        </w:rPr>
      </w:pPr>
    </w:p>
    <w:p w14:paraId="4C4DE7DE" w14:textId="1B922447" w:rsidR="0011631A" w:rsidRPr="0011631A" w:rsidRDefault="009219A3" w:rsidP="0011631A">
      <w:pPr>
        <w:spacing w:after="0" w:line="276" w:lineRule="auto"/>
        <w:jc w:val="both"/>
        <w:rPr>
          <w:rFonts w:ascii="Arial" w:hAnsi="Arial" w:cs="Arial"/>
          <w:b/>
          <w:bCs/>
          <w:lang w:val="es-MX"/>
        </w:rPr>
      </w:pPr>
      <w:r>
        <w:rPr>
          <w:rFonts w:ascii="Arial" w:hAnsi="Arial" w:cs="Arial"/>
          <w:b/>
          <w:bCs/>
          <w:lang w:val="es-MX"/>
        </w:rPr>
        <w:t>2.</w:t>
      </w:r>
      <w:r w:rsidR="00A84372">
        <w:rPr>
          <w:rFonts w:ascii="Arial" w:hAnsi="Arial" w:cs="Arial"/>
          <w:b/>
          <w:bCs/>
          <w:lang w:val="es-MX"/>
        </w:rPr>
        <w:t>3</w:t>
      </w:r>
      <w:r>
        <w:rPr>
          <w:rFonts w:ascii="Arial" w:hAnsi="Arial" w:cs="Arial"/>
          <w:b/>
          <w:bCs/>
          <w:lang w:val="es-MX"/>
        </w:rPr>
        <w:t xml:space="preserve">. </w:t>
      </w:r>
      <w:r w:rsidR="00047532">
        <w:rPr>
          <w:rFonts w:ascii="Arial" w:hAnsi="Arial" w:cs="Arial"/>
          <w:b/>
          <w:bCs/>
          <w:lang w:val="es-MX"/>
        </w:rPr>
        <w:t>Contrataci</w:t>
      </w:r>
      <w:r w:rsidR="00416633">
        <w:rPr>
          <w:rFonts w:ascii="Arial" w:hAnsi="Arial" w:cs="Arial"/>
          <w:b/>
          <w:bCs/>
          <w:lang w:val="es-MX"/>
        </w:rPr>
        <w:t>ón con ESAL y restricciones de la Ley de Garantías</w:t>
      </w:r>
    </w:p>
    <w:p w14:paraId="17BC6116" w14:textId="77777777" w:rsidR="0011631A" w:rsidRDefault="0011631A" w:rsidP="0011631A">
      <w:pPr>
        <w:spacing w:after="0" w:line="276" w:lineRule="auto"/>
        <w:jc w:val="both"/>
        <w:rPr>
          <w:rFonts w:ascii="Arial" w:hAnsi="Arial" w:cs="Arial"/>
          <w:lang w:val="es-MX"/>
        </w:rPr>
      </w:pPr>
    </w:p>
    <w:p w14:paraId="65EF3A39" w14:textId="63C500CB" w:rsidR="0011631A" w:rsidRPr="0011631A" w:rsidRDefault="0011631A" w:rsidP="0011631A">
      <w:pPr>
        <w:spacing w:after="0" w:line="276" w:lineRule="auto"/>
        <w:jc w:val="both"/>
        <w:rPr>
          <w:rFonts w:ascii="Arial" w:hAnsi="Arial" w:cs="Arial"/>
          <w:lang w:val="es-MX"/>
        </w:rPr>
      </w:pPr>
      <w:r w:rsidRPr="0011631A">
        <w:rPr>
          <w:rFonts w:ascii="Arial" w:hAnsi="Arial" w:cs="Arial"/>
          <w:lang w:val="es-MX"/>
        </w:rPr>
        <w:t>El artículo 355 de la Constitución Política prohíbe a las ramas y órganos del poder público decretar auxilios o donaciones en favor de personas naturales o jurídicas de derecho privado.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11631A">
        <w:rPr>
          <w:rFonts w:ascii="Arial" w:hAnsi="Arial" w:cs="Arial"/>
          <w:vertAlign w:val="superscript"/>
          <w:lang w:val="es-MX"/>
        </w:rPr>
        <w:footnoteReference w:id="33"/>
      </w:r>
      <w:r w:rsidRPr="0011631A">
        <w:rPr>
          <w:rFonts w:ascii="Arial" w:hAnsi="Arial" w:cs="Arial"/>
          <w:lang w:val="es-MX"/>
        </w:rPr>
        <w:t>.</w:t>
      </w:r>
    </w:p>
    <w:p w14:paraId="25998981" w14:textId="77777777" w:rsidR="0011631A" w:rsidRPr="0011631A" w:rsidRDefault="0011631A" w:rsidP="0011631A">
      <w:pPr>
        <w:spacing w:before="120" w:after="0" w:line="276" w:lineRule="auto"/>
        <w:ind w:firstLine="708"/>
        <w:jc w:val="both"/>
        <w:rPr>
          <w:rFonts w:ascii="Arial" w:eastAsia="Calibri" w:hAnsi="Arial" w:cs="Arial"/>
          <w:lang w:val="es-MX"/>
        </w:rPr>
      </w:pPr>
      <w:r w:rsidRPr="0011631A">
        <w:rPr>
          <w:rFonts w:ascii="Arial" w:eastAsia="Calibri" w:hAnsi="Arial" w:cs="Arial"/>
          <w:lang w:val="es-MX"/>
        </w:rPr>
        <w:t>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r w:rsidRPr="0011631A">
        <w:rPr>
          <w:rFonts w:ascii="Arial" w:eastAsia="Calibri" w:hAnsi="Arial" w:cs="Arial"/>
          <w:vertAlign w:val="superscript"/>
          <w:lang w:val="es-MX"/>
        </w:rPr>
        <w:footnoteReference w:id="34"/>
      </w:r>
      <w:r w:rsidRPr="0011631A">
        <w:rPr>
          <w:rFonts w:ascii="Arial" w:eastAsia="Calibri" w:hAnsi="Arial" w:cs="Arial"/>
          <w:lang w:val="es-MX"/>
        </w:rPr>
        <w:t>.</w:t>
      </w:r>
    </w:p>
    <w:p w14:paraId="0E3CE9D1" w14:textId="77777777" w:rsidR="0011631A" w:rsidRPr="0011631A" w:rsidRDefault="0011631A" w:rsidP="0011631A">
      <w:pPr>
        <w:spacing w:before="120" w:after="0" w:line="276" w:lineRule="auto"/>
        <w:ind w:firstLine="708"/>
        <w:jc w:val="both"/>
        <w:rPr>
          <w:rFonts w:ascii="Arial" w:eastAsia="Calibri" w:hAnsi="Arial" w:cs="Arial"/>
          <w:lang w:val="es-MX"/>
        </w:rPr>
      </w:pPr>
      <w:r w:rsidRPr="0011631A">
        <w:rPr>
          <w:rFonts w:ascii="Arial" w:hAnsi="Arial" w:cs="Arial"/>
          <w:lang w:val="es-MX"/>
        </w:rPr>
        <w:lastRenderedPageBreak/>
        <w:t>El Gobierno Nacional, en desarrollo del artículo 355 de la Constitución, expidió el Decreto 092 de 2017, q</w:t>
      </w:r>
      <w:r w:rsidRPr="0011631A">
        <w:rPr>
          <w:rFonts w:ascii="Arial" w:eastAsia="Calibri" w:hAnsi="Arial" w:cs="Arial"/>
          <w:lang w:val="es-MX"/>
        </w:rPr>
        <w:t xml:space="preserve">ue dispone las reglas para las contrataciones que realicen las entidades estatales con las ESAL. El Decreto regula dos [2] eventos: i) los contratos de colaboración o de interés público con el fin de impulsar programas y actividades de interés público de acuerdo con el plan nacional o los planes seccionales de desarrollo, en los términos del artículo 355 de la Constitución Política, y ii) los convenios de asociación, para el desarrollo conjunto de actividades relacionadas con las funciones de las entidades estatales, en desarrollo del artículo 96 de la Ley 489 de 1998. Los primeros están regulados en el artículo 2 del Decreto 092 de 2017, mientras que los segundos están previstos en el artículo 5 </w:t>
      </w:r>
      <w:r w:rsidRPr="0011631A">
        <w:rPr>
          <w:rFonts w:ascii="Arial" w:eastAsia="Calibri" w:hAnsi="Arial" w:cs="Arial"/>
          <w:i/>
          <w:iCs/>
          <w:lang w:val="es-MX"/>
        </w:rPr>
        <w:t>ibidem</w:t>
      </w:r>
      <w:r w:rsidRPr="0011631A">
        <w:rPr>
          <w:rFonts w:ascii="Arial" w:eastAsia="Calibri" w:hAnsi="Arial" w:cs="Arial"/>
          <w:lang w:val="es-MX"/>
        </w:rPr>
        <w:t xml:space="preserve">. Así, es posible diferenciar, los </w:t>
      </w:r>
      <w:r w:rsidRPr="0011631A">
        <w:rPr>
          <w:rFonts w:ascii="Arial" w:eastAsia="Calibri" w:hAnsi="Arial" w:cs="Arial"/>
          <w:i/>
          <w:iCs/>
          <w:lang w:val="es-MX"/>
        </w:rPr>
        <w:t>convenios de asociación</w:t>
      </w:r>
      <w:r w:rsidRPr="0011631A">
        <w:rPr>
          <w:rFonts w:ascii="Arial" w:eastAsia="Calibri" w:hAnsi="Arial" w:cs="Arial"/>
          <w:lang w:val="es-MX"/>
        </w:rPr>
        <w:t xml:space="preserve">, regulados en el artículo 5, de los </w:t>
      </w:r>
      <w:r w:rsidRPr="0011631A">
        <w:rPr>
          <w:rFonts w:ascii="Arial" w:eastAsia="Calibri" w:hAnsi="Arial" w:cs="Arial"/>
          <w:i/>
          <w:iCs/>
          <w:lang w:val="es-MX"/>
        </w:rPr>
        <w:t>contratos de colaboración</w:t>
      </w:r>
      <w:r w:rsidRPr="0011631A">
        <w:rPr>
          <w:rFonts w:ascii="Arial" w:eastAsia="Calibri" w:hAnsi="Arial" w:cs="Arial"/>
          <w:lang w:val="es-MX"/>
        </w:rPr>
        <w:t>, establecidos en el artículo 2 del Decreto 092 de 2017</w:t>
      </w:r>
      <w:r w:rsidRPr="0011631A">
        <w:rPr>
          <w:rFonts w:ascii="Arial" w:eastAsia="Calibri" w:hAnsi="Arial" w:cs="Arial"/>
          <w:vertAlign w:val="superscript"/>
          <w:lang w:val="es-MX"/>
        </w:rPr>
        <w:footnoteReference w:id="35"/>
      </w:r>
      <w:r w:rsidRPr="0011631A">
        <w:rPr>
          <w:rFonts w:ascii="Arial" w:eastAsia="Calibri" w:hAnsi="Arial" w:cs="Arial"/>
          <w:lang w:val="es-MX"/>
        </w:rPr>
        <w:t>.</w:t>
      </w:r>
    </w:p>
    <w:p w14:paraId="51E2A322" w14:textId="77777777" w:rsidR="0011631A" w:rsidRPr="0011631A" w:rsidRDefault="0011631A" w:rsidP="0011631A">
      <w:pPr>
        <w:spacing w:before="120" w:after="0" w:line="276" w:lineRule="auto"/>
        <w:ind w:firstLine="708"/>
        <w:jc w:val="both"/>
        <w:rPr>
          <w:rFonts w:ascii="Arial" w:eastAsia="Calibri" w:hAnsi="Arial" w:cs="Arial"/>
          <w:lang w:val="es-MX"/>
        </w:rPr>
      </w:pPr>
      <w:r w:rsidRPr="0011631A">
        <w:rPr>
          <w:rFonts w:ascii="Arial" w:eastAsia="Calibri" w:hAnsi="Arial" w:cs="Arial"/>
          <w:lang w:val="es-MX"/>
        </w:rPr>
        <w:t xml:space="preserve">De conformidad con el artículo 96 de la Ley 489 de 1996, los </w:t>
      </w:r>
      <w:r w:rsidRPr="0011631A">
        <w:rPr>
          <w:rFonts w:ascii="Arial" w:eastAsia="Calibri" w:hAnsi="Arial" w:cs="Arial"/>
          <w:i/>
          <w:lang w:val="es-MX"/>
        </w:rPr>
        <w:t>convenios de asociación</w:t>
      </w:r>
      <w:r w:rsidRPr="0011631A">
        <w:rPr>
          <w:rFonts w:ascii="Arial" w:eastAsia="Calibri" w:hAnsi="Arial" w:cs="Arial"/>
          <w:lang w:val="es-MX"/>
        </w:rPr>
        <w:t xml:space="preserve"> pueden ser celebrados por cualquier entidad estatal «cualquiera sea su naturaleza y orden administrativo», mientras que el artículo 355 Superior establece que los </w:t>
      </w:r>
      <w:r w:rsidRPr="0011631A">
        <w:rPr>
          <w:rFonts w:ascii="Arial" w:eastAsia="Calibri" w:hAnsi="Arial" w:cs="Arial"/>
          <w:i/>
          <w:lang w:val="es-MX"/>
        </w:rPr>
        <w:t>contratos de colaboración</w:t>
      </w:r>
      <w:r w:rsidRPr="0011631A">
        <w:rPr>
          <w:rFonts w:ascii="Arial" w:eastAsia="Calibri" w:hAnsi="Arial" w:cs="Arial"/>
          <w:lang w:val="es-MX"/>
        </w:rPr>
        <w:t xml:space="preserve"> podrán ser celebrados por «El Gobierno, en los niveles nacional, departamental, distrital y municipal». Respecto de lo que se debe entender por «Gobierno» en esta norma, esta Agencia ha determinado que «la interpretación del artículo 355 de la Carta Política se debe hacer en armonía con su finalidad, esto es, prohibir los auxilios y permitir la ejecución de actividades de interés público acordes con los planes de desarrollo, a través de la celebración de contratos con ESAL. Esta interpretación finalística supone una lectura de la norma en sentido amplio, es decir, de tal forma que se entienda que todas las entidades que forman parte de la Rama Ejecutiva pueden celebrar contratos con ESAL para la ejecución de actividades de interés público»</w:t>
      </w:r>
      <w:r w:rsidRPr="0011631A">
        <w:rPr>
          <w:rFonts w:ascii="Arial" w:eastAsia="Calibri" w:hAnsi="Arial" w:cs="Arial"/>
          <w:vertAlign w:val="superscript"/>
          <w:lang w:val="es-MX"/>
        </w:rPr>
        <w:footnoteReference w:id="36"/>
      </w:r>
      <w:r w:rsidRPr="0011631A">
        <w:rPr>
          <w:rFonts w:ascii="Arial" w:eastAsia="Calibri" w:hAnsi="Arial" w:cs="Arial"/>
          <w:lang w:val="es-MX"/>
        </w:rPr>
        <w:t xml:space="preserve">.   </w:t>
      </w:r>
    </w:p>
    <w:p w14:paraId="7E992FA2" w14:textId="77777777" w:rsidR="0011631A" w:rsidRPr="0011631A" w:rsidRDefault="0011631A" w:rsidP="0011631A">
      <w:pPr>
        <w:spacing w:before="120" w:after="0" w:line="276" w:lineRule="auto"/>
        <w:ind w:firstLine="708"/>
        <w:jc w:val="both"/>
        <w:rPr>
          <w:rFonts w:ascii="Arial" w:eastAsia="Calibri" w:hAnsi="Arial" w:cs="Arial"/>
          <w:lang w:val="es-MX"/>
        </w:rPr>
      </w:pPr>
      <w:r w:rsidRPr="0011631A">
        <w:rPr>
          <w:rFonts w:ascii="Arial" w:eastAsia="Calibri" w:hAnsi="Arial" w:cs="Arial"/>
          <w:lang w:val="es-MX"/>
        </w:rPr>
        <w:t xml:space="preserve">Los </w:t>
      </w:r>
      <w:r w:rsidRPr="0011631A">
        <w:rPr>
          <w:rFonts w:ascii="Arial" w:eastAsia="Calibri" w:hAnsi="Arial" w:cs="Arial"/>
          <w:i/>
          <w:iCs/>
          <w:lang w:val="es-MX"/>
        </w:rPr>
        <w:t xml:space="preserve">contratos de colaboración </w:t>
      </w:r>
      <w:r w:rsidRPr="0011631A">
        <w:rPr>
          <w:rFonts w:ascii="Arial" w:eastAsia="Calibri" w:hAnsi="Arial" w:cs="Arial"/>
          <w:lang w:val="es-MX"/>
        </w:rPr>
        <w:t xml:space="preserve">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w:t>
      </w:r>
      <w:r w:rsidRPr="0011631A">
        <w:rPr>
          <w:rFonts w:ascii="Arial" w:eastAsia="Calibri" w:hAnsi="Arial" w:cs="Arial"/>
          <w:lang w:val="es-MX"/>
        </w:rPr>
        <w:lastRenderedPageBreak/>
        <w:t xml:space="preserve">entre esta y la ESAL. Esto toda vez que el beneficio real y directo lo reciben, en últimas, los terceros beneficiarios de este tipo de acciones de fomento. Para celebrar estos contratos, según el artículo 4 del Decreto 092 de 2017, la entidad debe adelantar –por regla general– un proceso competitivo para seleccionar la entidad contratista sin ánimo de lucro. </w:t>
      </w:r>
    </w:p>
    <w:p w14:paraId="55C54359" w14:textId="48155268" w:rsidR="0011631A" w:rsidRPr="0011631A" w:rsidRDefault="0011631A" w:rsidP="0011631A">
      <w:pPr>
        <w:spacing w:before="120" w:after="0" w:line="276" w:lineRule="auto"/>
        <w:ind w:firstLine="708"/>
        <w:jc w:val="both"/>
        <w:rPr>
          <w:rFonts w:ascii="Arial" w:eastAsia="Calibri" w:hAnsi="Arial" w:cs="Arial"/>
          <w:lang w:val="es-MX"/>
        </w:rPr>
      </w:pPr>
      <w:r w:rsidRPr="0011631A">
        <w:rPr>
          <w:rFonts w:ascii="Arial" w:eastAsia="Calibri" w:hAnsi="Arial" w:cs="Arial"/>
          <w:lang w:val="es-MX"/>
        </w:rPr>
        <w:t>En particular, debe verificar el cumplimiento de los siguientes requisitos. Por un lado, que el objeto del contrato corresponda a programas y actividades de interés público acordes con el Plan Nacional o Seccional de Desarrollo. Por otra parte, que no exista una contraprestación directa a favor de la entidad estatal, es decir, que el programa o actividad a desarrollar esté dirigido al beneficio de la población en general. Lo anterior teniendo en cuenta que cuando se adquieren bienes o servicios o se ejecutan obras en una relación conmutativa, las normas aplicables son las del Estatuto General de Contratación de la Administración Pública –EGCAP–. Por ello, solo cuando se reúnan estas condiciones, y se cuente con la autorización previa y escrita del representante legal de la entidad estatal, es procedente celebrar contratos de colaboración.</w:t>
      </w:r>
    </w:p>
    <w:p w14:paraId="0BB5A3F2" w14:textId="77777777" w:rsidR="0011631A" w:rsidRPr="0011631A" w:rsidRDefault="0011631A" w:rsidP="0011631A">
      <w:pPr>
        <w:spacing w:before="120" w:after="0" w:line="276" w:lineRule="auto"/>
        <w:ind w:firstLine="708"/>
        <w:jc w:val="both"/>
        <w:rPr>
          <w:rFonts w:ascii="Arial" w:hAnsi="Arial" w:cs="Arial"/>
          <w:lang w:val="es-MX"/>
        </w:rPr>
      </w:pPr>
      <w:r w:rsidRPr="0011631A">
        <w:rPr>
          <w:rFonts w:ascii="Arial" w:hAnsi="Arial" w:cs="Arial"/>
          <w:lang w:val="es-MX"/>
        </w:rPr>
        <w:t xml:space="preserve">De otro lado, </w:t>
      </w:r>
      <w:bookmarkStart w:id="28" w:name="_Hlk90391817"/>
      <w:r w:rsidRPr="0011631A">
        <w:rPr>
          <w:rFonts w:ascii="Arial" w:hAnsi="Arial" w:cs="Arial"/>
          <w:lang w:val="es-MX"/>
        </w:rPr>
        <w:t xml:space="preserve">los </w:t>
      </w:r>
      <w:r w:rsidRPr="0011631A">
        <w:rPr>
          <w:rFonts w:ascii="Arial" w:hAnsi="Arial" w:cs="Arial"/>
          <w:i/>
          <w:iCs/>
          <w:lang w:val="es-MX"/>
        </w:rPr>
        <w:t>convenios de asociación</w:t>
      </w:r>
      <w:r w:rsidRPr="0011631A">
        <w:rPr>
          <w:rFonts w:ascii="Arial" w:hAnsi="Arial" w:cs="Arial"/>
          <w:lang w:val="es-MX"/>
        </w:rPr>
        <w:t xml:space="preserve">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11631A">
        <w:rPr>
          <w:rFonts w:ascii="Arial" w:hAnsi="Arial" w:cs="Arial"/>
          <w:vertAlign w:val="superscript"/>
          <w:lang w:val="es-MX"/>
        </w:rPr>
        <w:footnoteReference w:id="37"/>
      </w:r>
      <w:r w:rsidRPr="0011631A">
        <w:rPr>
          <w:rFonts w:ascii="Arial" w:hAnsi="Arial" w:cs="Arial"/>
          <w:lang w:val="es-MX"/>
        </w:rPr>
        <w:t xml:space="preserve">. En estos convenios no existe contraprestación o pago, sino aportes, los cuales están dirigidos, exclusivamente, a lograr la ejecución del convenio y no a remunerar la actividad o las actuaciones del asociado. De todos modos, la entidad debe adelantar un proceso competitivo, salvo cuando la ESAL comprometa recursos en dinero para la ejecución de estas actividades, en una proporción no inferior al 30% del valor total del convenio. </w:t>
      </w:r>
      <w:bookmarkEnd w:id="28"/>
    </w:p>
    <w:p w14:paraId="525F42FF" w14:textId="77777777" w:rsidR="0011631A" w:rsidRPr="0011631A" w:rsidRDefault="0011631A" w:rsidP="0011631A">
      <w:pPr>
        <w:spacing w:before="120" w:after="0" w:line="276" w:lineRule="auto"/>
        <w:ind w:firstLine="709"/>
        <w:jc w:val="both"/>
        <w:rPr>
          <w:rFonts w:ascii="Arial" w:hAnsi="Arial" w:cs="Arial"/>
          <w:lang w:val="es-MX"/>
        </w:rPr>
      </w:pPr>
      <w:r w:rsidRPr="0011631A">
        <w:rPr>
          <w:rFonts w:ascii="Arial" w:hAnsi="Arial" w:cs="Arial"/>
          <w:lang w:val="es-MX"/>
        </w:rPr>
        <w:t>No todas las actividades que las entidades estatales deben desarrollar para alcanzar sus objetivos misionales deben ejecutarse a través de la celebración de contratos de colaboración o convenios de asociación. Debe tenerse en cuenta que lo que determina la aplicación del Decreto 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w:t>
      </w:r>
    </w:p>
    <w:p w14:paraId="2B9A0070" w14:textId="77777777" w:rsidR="0011631A" w:rsidRPr="0011631A" w:rsidRDefault="0011631A" w:rsidP="0011631A">
      <w:pPr>
        <w:spacing w:before="120" w:after="0" w:line="276" w:lineRule="auto"/>
        <w:ind w:firstLine="708"/>
        <w:jc w:val="both"/>
        <w:rPr>
          <w:rFonts w:ascii="Arial" w:hAnsi="Arial" w:cs="Arial"/>
          <w:lang w:val="es-MX"/>
        </w:rPr>
      </w:pPr>
      <w:r w:rsidRPr="0011631A">
        <w:rPr>
          <w:rFonts w:ascii="Arial" w:hAnsi="Arial" w:cs="Arial"/>
          <w:lang w:val="es-MX"/>
        </w:rPr>
        <w:lastRenderedPageBreak/>
        <w:t xml:space="preserve">De conformidad con el inciso segundo del artículo 96 de la Ley 489 de 1998, en estos convenios debe determinarse «con precisión su objeto, término, obligaciones de las partes, aportes, coordinación y todos aquellos aspectos que se consideren pertinentes». Dentro de estos elementos resalta la exigencia de aportes, que debe interpretarse en el sentido de que las ESAL deben realizar aportes a los convenios que suscriban. Dichos aportes pueden ser en dinero, en porcentajes inferiores o superiores al 30%, o en especie, los cuales deben servir al desarrollo de los objetivos comunes de la asociación. </w:t>
      </w:r>
    </w:p>
    <w:p w14:paraId="4E0F8D52" w14:textId="77777777" w:rsidR="0011631A" w:rsidRPr="0011631A" w:rsidRDefault="0011631A" w:rsidP="0011631A">
      <w:pPr>
        <w:spacing w:before="120" w:after="0" w:line="276" w:lineRule="auto"/>
        <w:ind w:firstLine="708"/>
        <w:jc w:val="both"/>
        <w:rPr>
          <w:rFonts w:ascii="Arial" w:hAnsi="Arial" w:cs="Arial"/>
          <w:lang w:val="es-MX"/>
        </w:rPr>
      </w:pPr>
      <w:r w:rsidRPr="0011631A">
        <w:rPr>
          <w:rFonts w:ascii="Arial" w:hAnsi="Arial" w:cs="Arial"/>
          <w:lang w:val="es-MX"/>
        </w:rPr>
        <w:t>La normativa vigente no impide que varias entidades suscriban conjuntamente el convenio de asociación y tampoco que dos o más ESAL pueden hacerlo, a través de las figuras asociativas autorizadas por la ley, por ejemplo, la unión temporal o el consorcio</w:t>
      </w:r>
      <w:r w:rsidRPr="0011631A">
        <w:rPr>
          <w:rFonts w:ascii="Arial" w:hAnsi="Arial" w:cs="Arial"/>
          <w:vertAlign w:val="superscript"/>
          <w:lang w:val="es-MX"/>
        </w:rPr>
        <w:footnoteReference w:id="38"/>
      </w:r>
      <w:r w:rsidRPr="0011631A">
        <w:rPr>
          <w:rFonts w:ascii="Arial" w:hAnsi="Arial" w:cs="Arial"/>
          <w:lang w:val="es-MX"/>
        </w:rPr>
        <w:t xml:space="preserve">.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una o varias ESAL, aporten al menos el treinta por ciento del valor del convenio para celebrarlo directamente, ya que de lo contrario deberá celebrarse un proceso competitivo. </w:t>
      </w:r>
    </w:p>
    <w:p w14:paraId="45AD6B50" w14:textId="77777777" w:rsidR="0011631A" w:rsidRPr="0011631A" w:rsidRDefault="0011631A" w:rsidP="0011631A">
      <w:pPr>
        <w:spacing w:before="120" w:after="0" w:line="276" w:lineRule="auto"/>
        <w:ind w:firstLine="708"/>
        <w:jc w:val="both"/>
        <w:rPr>
          <w:rFonts w:ascii="Arial" w:hAnsi="Arial" w:cs="Arial"/>
          <w:lang w:val="es-MX"/>
        </w:rPr>
      </w:pPr>
      <w:r w:rsidRPr="0011631A">
        <w:rPr>
          <w:rFonts w:ascii="Arial" w:hAnsi="Arial" w:cs="Arial"/>
          <w:lang w:val="es-MX"/>
        </w:rPr>
        <w:t xml:space="preserve">Además, en atención al inciso 2 del artículo 5 del Decreto 092 de 2017, deben «asegurarse que no haya otras ESAL que ofrezcan su compromiso de recursos en dinero en una proporción no inferior al 30% del valor total del convenio. En caso de que la entidad encuentre que más de una ESAL le ofrece al menos el 30% de </w:t>
      </w:r>
      <w:r w:rsidRPr="0011631A">
        <w:rPr>
          <w:rFonts w:ascii="Arial" w:hAnsi="Arial" w:cs="Arial"/>
          <w:lang w:val="es-MX"/>
        </w:rPr>
        <w:lastRenderedPageBreak/>
        <w:t>recursos en dinero para el convenio de asociación, debe seleccionar objetivamente con cual asociarse»</w:t>
      </w:r>
      <w:r w:rsidRPr="0011631A">
        <w:rPr>
          <w:rFonts w:ascii="Arial" w:hAnsi="Arial" w:cs="Arial"/>
          <w:vertAlign w:val="superscript"/>
          <w:lang w:val="es-MX"/>
        </w:rPr>
        <w:footnoteReference w:id="39"/>
      </w:r>
      <w:r w:rsidRPr="0011631A">
        <w:rPr>
          <w:rFonts w:ascii="Arial" w:hAnsi="Arial" w:cs="Arial"/>
          <w:lang w:val="es-MX"/>
        </w:rPr>
        <w:t>.</w:t>
      </w:r>
    </w:p>
    <w:p w14:paraId="28FAC4D0" w14:textId="2EF4BD35" w:rsidR="0011631A" w:rsidRPr="0011631A" w:rsidRDefault="0011631A" w:rsidP="0011631A">
      <w:pPr>
        <w:spacing w:before="120" w:after="0" w:line="276" w:lineRule="auto"/>
        <w:ind w:firstLine="708"/>
        <w:jc w:val="both"/>
        <w:rPr>
          <w:rFonts w:ascii="Arial" w:hAnsi="Arial" w:cs="Arial"/>
          <w:lang w:val="es-MX"/>
        </w:rPr>
      </w:pPr>
      <w:r w:rsidRPr="0011631A">
        <w:rPr>
          <w:rFonts w:ascii="Arial" w:hAnsi="Arial" w:cs="Arial"/>
          <w:lang w:val="es-MX"/>
        </w:rPr>
        <w:t xml:space="preserve">La noción «seleccionar de forma objetiva», contenida en la disposición </w:t>
      </w:r>
      <w:r w:rsidRPr="0011631A">
        <w:rPr>
          <w:rFonts w:ascii="Arial" w:hAnsi="Arial" w:cs="Arial"/>
          <w:i/>
          <w:iCs/>
          <w:lang w:val="es-MX"/>
        </w:rPr>
        <w:t xml:space="preserve">sub examine </w:t>
      </w:r>
      <w:r w:rsidRPr="0011631A">
        <w:rPr>
          <w:rFonts w:ascii="Arial" w:hAnsi="Arial" w:cs="Arial"/>
          <w:lang w:val="es-MX"/>
        </w:rPr>
        <w:t xml:space="preserve">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acudir a los procesos de selección de contratistas que establece el EGCAP o, incluso, al trámite que regula el inciso 2 del artículo 2 del Decreto </w:t>
      </w:r>
      <w:r w:rsidR="009B0207">
        <w:rPr>
          <w:rFonts w:ascii="Arial" w:hAnsi="Arial" w:cs="Arial"/>
          <w:lang w:val="es-MX"/>
        </w:rPr>
        <w:t>0</w:t>
      </w:r>
      <w:r w:rsidRPr="0011631A">
        <w:rPr>
          <w:rFonts w:ascii="Arial" w:hAnsi="Arial" w:cs="Arial"/>
          <w:lang w:val="es-MX"/>
        </w:rPr>
        <w:t>92 de 2017.</w:t>
      </w:r>
    </w:p>
    <w:p w14:paraId="31FD1252" w14:textId="77777777" w:rsidR="00F47A3C" w:rsidRPr="00DD15DE" w:rsidRDefault="00F47A3C" w:rsidP="00F47A3C">
      <w:pPr>
        <w:spacing w:before="120" w:after="120" w:line="276" w:lineRule="auto"/>
        <w:ind w:firstLine="708"/>
        <w:jc w:val="both"/>
        <w:textAlignment w:val="baseline"/>
        <w:rPr>
          <w:rFonts w:ascii="Arial" w:hAnsi="Arial" w:cs="Arial"/>
          <w:color w:val="000000" w:themeColor="text1"/>
        </w:rPr>
      </w:pPr>
      <w:r w:rsidRPr="00DD15DE">
        <w:rPr>
          <w:rFonts w:ascii="Arial" w:eastAsia="Arial" w:hAnsi="Arial" w:cs="Arial"/>
          <w:color w:val="000000" w:themeColor="text1"/>
          <w:lang w:val="es-ES"/>
        </w:rPr>
        <w:t>En suma,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 Este procedimiento puede ser análogo a otros donde existe competencia, como la licitación pública</w:t>
      </w:r>
      <w:r w:rsidRPr="00DD15DE">
        <w:rPr>
          <w:rFonts w:ascii="Arial" w:hAnsi="Arial" w:cs="Arial"/>
          <w:color w:val="000000" w:themeColor="text1"/>
        </w:rPr>
        <w:t>. </w:t>
      </w:r>
    </w:p>
    <w:p w14:paraId="54B49A1C" w14:textId="77777777" w:rsidR="00F47A3C" w:rsidRPr="00DD15DE" w:rsidRDefault="00F47A3C" w:rsidP="00F47A3C">
      <w:pPr>
        <w:spacing w:after="120" w:line="276" w:lineRule="auto"/>
        <w:ind w:firstLine="709"/>
        <w:jc w:val="both"/>
        <w:rPr>
          <w:rFonts w:ascii="Arial" w:eastAsia="Calibri" w:hAnsi="Arial" w:cs="Arial"/>
          <w:color w:val="000000" w:themeColor="text1"/>
        </w:rPr>
      </w:pPr>
      <w:r w:rsidRPr="00DD15DE">
        <w:rPr>
          <w:rFonts w:ascii="Arial" w:hAnsi="Arial" w:cs="Arial"/>
          <w:color w:val="000000" w:themeColor="text1"/>
        </w:rPr>
        <w:t>Ahora bien, e</w:t>
      </w:r>
      <w:r w:rsidRPr="00DD15DE">
        <w:rPr>
          <w:rFonts w:ascii="Arial" w:eastAsia="Calibri" w:hAnsi="Arial" w:cs="Arial"/>
          <w:color w:val="000000" w:themeColor="text1"/>
        </w:rPr>
        <w:t>l Consejo de Estado, en el Auto del 6 de agosto de 2019 de la Sección Tercera, Subsección A –Exp. 62.003–, estudió la solicitud de suspensión provisional</w:t>
      </w:r>
      <w:r w:rsidRPr="00DD15DE">
        <w:rPr>
          <w:rStyle w:val="Refdenotaalpie"/>
          <w:rFonts w:ascii="Arial" w:eastAsia="Calibri" w:hAnsi="Arial" w:cs="Arial"/>
          <w:color w:val="000000" w:themeColor="text1"/>
        </w:rPr>
        <w:footnoteReference w:id="40"/>
      </w:r>
      <w:r w:rsidRPr="00DD15DE">
        <w:rPr>
          <w:rFonts w:ascii="Arial" w:eastAsia="Calibri" w:hAnsi="Arial" w:cs="Arial"/>
          <w:color w:val="000000" w:themeColor="text1"/>
        </w:rPr>
        <w:t xml:space="preserve"> del inciso 2 del artículo 1, literales a y c del artículo 2, inciso 5 del artículo 2, inciso 2 del artículo 3, inciso final del artículo 4 y artículo 5 del Decreto </w:t>
      </w:r>
      <w:r>
        <w:rPr>
          <w:rFonts w:ascii="Arial" w:eastAsia="Calibri" w:hAnsi="Arial" w:cs="Arial"/>
          <w:color w:val="000000" w:themeColor="text1"/>
        </w:rPr>
        <w:t>0</w:t>
      </w:r>
      <w:r w:rsidRPr="00DD15DE">
        <w:rPr>
          <w:rFonts w:ascii="Arial" w:eastAsia="Calibri" w:hAnsi="Arial" w:cs="Arial"/>
          <w:color w:val="000000" w:themeColor="text1"/>
        </w:rPr>
        <w:t xml:space="preserve">92 de 2017. No obstante, sobre esta última norma concluyó que el análisis de esta disposición debe realizarse a profundidad para establecer si efectivamente existe una contradicción normativa que implique que se afectó la competencia del legislador. En consecuencia, negó la solicitud de suspensión provisional, reservando el análisis sobre la legalidad de dicho artículo a la sentencia de fondo. Por tanto, si se pretende realizar un </w:t>
      </w:r>
      <w:r w:rsidRPr="00DD15DE">
        <w:rPr>
          <w:rFonts w:ascii="Arial" w:eastAsia="Calibri" w:hAnsi="Arial" w:cs="Arial"/>
          <w:i/>
          <w:iCs/>
          <w:color w:val="000000" w:themeColor="text1"/>
        </w:rPr>
        <w:t>convenio de asociación</w:t>
      </w:r>
      <w:r w:rsidRPr="00DD15DE">
        <w:rPr>
          <w:rFonts w:ascii="Arial" w:eastAsia="Calibri" w:hAnsi="Arial" w:cs="Arial"/>
          <w:color w:val="000000" w:themeColor="text1"/>
        </w:rPr>
        <w:t xml:space="preserve"> con ESAL de reconocida idoneidad para el </w:t>
      </w:r>
      <w:r w:rsidRPr="00DD15DE">
        <w:rPr>
          <w:rFonts w:ascii="Arial" w:eastAsia="Calibri" w:hAnsi="Arial" w:cs="Arial"/>
          <w:color w:val="000000" w:themeColor="text1"/>
        </w:rPr>
        <w:lastRenderedPageBreak/>
        <w:t xml:space="preserve">cumplimiento de las funciones que la ley les asigna a las entidades públicas, debe aplicarse lo dispuesto en el artículo 5 del Decreto 092 de 2017. </w:t>
      </w:r>
    </w:p>
    <w:p w14:paraId="2F88FCDA" w14:textId="77777777" w:rsidR="00F47A3C" w:rsidRPr="00436BDA" w:rsidRDefault="00F47A3C" w:rsidP="001C4698">
      <w:pPr>
        <w:spacing w:before="120" w:after="0" w:line="276" w:lineRule="auto"/>
        <w:ind w:firstLine="708"/>
        <w:jc w:val="both"/>
        <w:rPr>
          <w:rFonts w:ascii="Arial" w:eastAsia="Calibri" w:hAnsi="Arial" w:cs="Arial"/>
          <w:color w:val="000000" w:themeColor="text1"/>
        </w:rPr>
      </w:pPr>
      <w:r w:rsidRPr="00436BDA">
        <w:rPr>
          <w:rFonts w:ascii="Arial" w:eastAsia="Calibri" w:hAnsi="Arial" w:cs="Arial"/>
          <w:color w:val="000000" w:themeColor="text1"/>
        </w:rPr>
        <w:t xml:space="preserve">Para los convenios de asociación, como se explicó </w:t>
      </w:r>
      <w:r w:rsidRPr="00436BDA">
        <w:rPr>
          <w:rFonts w:ascii="Arial" w:eastAsia="Calibri" w:hAnsi="Arial" w:cs="Arial"/>
          <w:i/>
          <w:iCs/>
          <w:color w:val="000000" w:themeColor="text1"/>
        </w:rPr>
        <w:t>ut supra</w:t>
      </w:r>
      <w:r w:rsidRPr="00436BDA">
        <w:rPr>
          <w:rFonts w:ascii="Arial" w:eastAsia="Calibri" w:hAnsi="Arial" w:cs="Arial"/>
          <w:color w:val="000000" w:themeColor="text1"/>
        </w:rPr>
        <w:t>, el artículo 5 del citado Decreto establece que el proceso para la selección de la ESAL, por regla general, debe estar sujeto a competencia; salvo en aquellos casos en que una entidad sin ánimo de lucro comprometa recursos en dinero por un valor igual o superior al 30% del valor total del convenio</w:t>
      </w:r>
      <w:r w:rsidRPr="00436BDA">
        <w:rPr>
          <w:rStyle w:val="Refdenotaalpie"/>
          <w:rFonts w:ascii="Arial" w:hAnsi="Arial" w:cs="Arial"/>
          <w:color w:val="000000" w:themeColor="text1"/>
        </w:rPr>
        <w:footnoteReference w:id="41"/>
      </w:r>
      <w:r w:rsidRPr="00436BDA">
        <w:rPr>
          <w:rFonts w:ascii="Arial" w:eastAsia="Calibri" w:hAnsi="Arial" w:cs="Arial"/>
          <w:color w:val="000000" w:themeColor="text1"/>
        </w:rPr>
        <w:t xml:space="preserve">, y siempre que la entidad estatal verifique previamente que no existe ninguna otra entidad sin ánimo de lucro que ofrezca aportes iguales o superiores al 30%. De hecho, en relación con la naturaleza y cuantía de los convenios, la norma anteriormente citada no prohíbe la celebración de convenios en que la ESAL aporte menos del 30% o cuando aporte recursos en especie: solo indica que en esos casos la entidad estatal debe acudir al proceso competitivo para seleccionar a la entidad sin ánimo de lucro con la cual celebrará el respectivo convenio. </w:t>
      </w:r>
      <w:r w:rsidRPr="00436BDA">
        <w:rPr>
          <w:rFonts w:ascii="Arial" w:eastAsia="Calibri" w:hAnsi="Arial" w:cs="Arial"/>
          <w:color w:val="000000"/>
          <w:szCs w:val="24"/>
          <w:lang w:eastAsia="es-ES_tradnl"/>
        </w:rPr>
        <w:t xml:space="preserve">Teniendo en cuenta lo anterior, y las consideraciones realizadas en los acápites previos, la prohibición de contratación directa del artículo 33 de la Ley de Garantías Electorales únicamente aplica frente a los procedimientos </w:t>
      </w:r>
      <w:r w:rsidRPr="00436BDA">
        <w:rPr>
          <w:rFonts w:ascii="Arial" w:eastAsia="Calibri" w:hAnsi="Arial" w:cs="Arial"/>
          <w:i/>
          <w:iCs/>
          <w:color w:val="000000"/>
          <w:szCs w:val="24"/>
          <w:lang w:eastAsia="es-ES_tradnl"/>
        </w:rPr>
        <w:t>no competitivos</w:t>
      </w:r>
      <w:r w:rsidRPr="00436BDA">
        <w:rPr>
          <w:rFonts w:ascii="Arial" w:eastAsia="Calibri" w:hAnsi="Arial" w:cs="Arial"/>
          <w:color w:val="000000"/>
          <w:szCs w:val="24"/>
          <w:lang w:eastAsia="es-ES_tradnl"/>
        </w:rPr>
        <w:t>, que son los que implican una contratación directa. Como explica la Sala de Consulta y Servicio Civil del Consejo de Estado:</w:t>
      </w:r>
    </w:p>
    <w:p w14:paraId="3558FCBB" w14:textId="77777777" w:rsidR="00F47A3C" w:rsidRPr="00436BDA" w:rsidRDefault="00F47A3C" w:rsidP="001C4698">
      <w:pPr>
        <w:spacing w:after="0" w:line="276" w:lineRule="auto"/>
        <w:ind w:firstLine="708"/>
        <w:jc w:val="both"/>
        <w:rPr>
          <w:rFonts w:ascii="Arial" w:eastAsia="Calibri" w:hAnsi="Arial" w:cs="Arial"/>
          <w:color w:val="000000"/>
          <w:szCs w:val="24"/>
          <w:lang w:eastAsia="es-ES_tradnl"/>
        </w:rPr>
      </w:pPr>
    </w:p>
    <w:p w14:paraId="31E45AFD" w14:textId="77777777" w:rsidR="00F47A3C" w:rsidRPr="00436BDA" w:rsidRDefault="00F47A3C" w:rsidP="001C4698">
      <w:pPr>
        <w:spacing w:after="0"/>
        <w:ind w:left="709" w:right="709"/>
        <w:jc w:val="both"/>
        <w:rPr>
          <w:rFonts w:ascii="Arial" w:eastAsia="Calibri" w:hAnsi="Arial" w:cs="Arial"/>
          <w:color w:val="000000"/>
          <w:sz w:val="21"/>
          <w:szCs w:val="21"/>
          <w:lang w:eastAsia="es-ES_tradnl"/>
        </w:rPr>
      </w:pPr>
      <w:r w:rsidRPr="00436BDA">
        <w:rPr>
          <w:rFonts w:ascii="Arial" w:eastAsia="Calibri" w:hAnsi="Arial" w:cs="Arial"/>
          <w:color w:val="000000"/>
          <w:sz w:val="21"/>
          <w:szCs w:val="21"/>
          <w:lang w:eastAsia="es-ES_tradnl"/>
        </w:rPr>
        <w:t>Para efectos de la «Ley de Garantías Electorales», y en armonía con las normas que regulan la contratación pública en Colombia, debe entenderse por «contratación directa» cualquier sistema de selección de contratistas en el que no exista convocatoria pública, ni sea posible la participación de una pluralidad de oferentes, independientemente del régimen de contratación que se aplique</w:t>
      </w:r>
      <w:r w:rsidRPr="00436BDA">
        <w:rPr>
          <w:rFonts w:ascii="Arial" w:eastAsia="Calibri" w:hAnsi="Arial" w:cs="Arial"/>
          <w:color w:val="000000"/>
          <w:sz w:val="21"/>
          <w:szCs w:val="21"/>
          <w:vertAlign w:val="superscript"/>
          <w:lang w:eastAsia="es-ES_tradnl"/>
        </w:rPr>
        <w:footnoteReference w:id="42"/>
      </w:r>
      <w:r w:rsidRPr="00436BDA">
        <w:rPr>
          <w:rFonts w:ascii="Arial" w:eastAsia="Calibri" w:hAnsi="Arial" w:cs="Arial"/>
          <w:color w:val="000000"/>
          <w:sz w:val="21"/>
          <w:szCs w:val="21"/>
          <w:lang w:eastAsia="es-ES_tradnl"/>
        </w:rPr>
        <w:t xml:space="preserve">. </w:t>
      </w:r>
    </w:p>
    <w:p w14:paraId="20837993" w14:textId="77777777" w:rsidR="00F47A3C" w:rsidRPr="00436BDA" w:rsidRDefault="00F47A3C" w:rsidP="00F47A3C">
      <w:pPr>
        <w:spacing w:line="276" w:lineRule="auto"/>
        <w:ind w:left="709" w:right="709"/>
        <w:jc w:val="both"/>
        <w:rPr>
          <w:rFonts w:ascii="Arial" w:eastAsia="Calibri" w:hAnsi="Arial" w:cs="Arial"/>
          <w:color w:val="000000"/>
          <w:szCs w:val="24"/>
          <w:lang w:eastAsia="es-ES_tradnl"/>
        </w:rPr>
      </w:pPr>
    </w:p>
    <w:p w14:paraId="6EDBB1D3" w14:textId="77777777" w:rsidR="00F47A3C" w:rsidRPr="00436BDA" w:rsidRDefault="00F47A3C" w:rsidP="001C4698">
      <w:pPr>
        <w:spacing w:after="0" w:line="276" w:lineRule="auto"/>
        <w:jc w:val="both"/>
        <w:rPr>
          <w:rFonts w:ascii="Arial" w:eastAsia="Calibri" w:hAnsi="Arial" w:cs="Arial"/>
          <w:color w:val="000000"/>
          <w:szCs w:val="24"/>
          <w:lang w:eastAsia="es-ES_tradnl"/>
        </w:rPr>
      </w:pPr>
      <w:r w:rsidRPr="00436BDA">
        <w:rPr>
          <w:rFonts w:ascii="Arial" w:eastAsia="Calibri" w:hAnsi="Arial" w:cs="Arial"/>
          <w:color w:val="000000"/>
          <w:szCs w:val="24"/>
          <w:lang w:eastAsia="es-ES_tradnl"/>
        </w:rPr>
        <w:tab/>
        <w:t xml:space="preserve">En contraste, la restricción citada no aplicaría a los convenios de asociación que celebren las entidades estatales y las ESAL bajo el procedimiento </w:t>
      </w:r>
      <w:r w:rsidRPr="00436BDA">
        <w:rPr>
          <w:rFonts w:ascii="Arial" w:eastAsia="Calibri" w:hAnsi="Arial" w:cs="Arial"/>
          <w:i/>
          <w:iCs/>
          <w:color w:val="000000"/>
          <w:szCs w:val="24"/>
          <w:lang w:eastAsia="es-ES_tradnl"/>
        </w:rPr>
        <w:t>competitivo</w:t>
      </w:r>
      <w:r w:rsidRPr="00436BDA">
        <w:rPr>
          <w:rFonts w:ascii="Arial" w:eastAsia="Calibri" w:hAnsi="Arial" w:cs="Arial"/>
          <w:color w:val="000000"/>
          <w:szCs w:val="24"/>
          <w:lang w:eastAsia="es-ES_tradnl"/>
        </w:rPr>
        <w:t xml:space="preserve">, pues este supone la pluralidad de oferentes y la selección objetiva del contratista. Conforme al artículo 5 del Decreto 092 de 2017, esta es la regla general, salvo en </w:t>
      </w:r>
      <w:r w:rsidRPr="00436BDA">
        <w:rPr>
          <w:rFonts w:ascii="Arial" w:eastAsia="Calibri" w:hAnsi="Arial" w:cs="Arial"/>
          <w:color w:val="000000"/>
          <w:szCs w:val="24"/>
          <w:lang w:eastAsia="es-ES_tradnl"/>
        </w:rPr>
        <w:lastRenderedPageBreak/>
        <w:t xml:space="preserve">aquellos casos en que una ESAL comprometa recursos en dinero por un valor igual o superior al 30% del valor total del convenio, siempre que la entidad estatal verifique previamente que no existe ninguna otra ESAL que ofrezca aportes iguales o superiores a dicho porcentaje, supuesto excepcional en que procede la selección directa. </w:t>
      </w:r>
    </w:p>
    <w:bookmarkEnd w:id="24"/>
    <w:bookmarkEnd w:id="25"/>
    <w:p w14:paraId="294930BE" w14:textId="77777777" w:rsidR="00B823FD" w:rsidRPr="002B6BAB" w:rsidRDefault="00B823FD" w:rsidP="001C4698">
      <w:pPr>
        <w:spacing w:after="0" w:line="240" w:lineRule="auto"/>
        <w:jc w:val="both"/>
        <w:rPr>
          <w:rFonts w:ascii="Arial" w:eastAsia="Calibri" w:hAnsi="Arial" w:cs="Arial"/>
          <w:lang w:val="es-ES_tradnl"/>
        </w:rPr>
      </w:pPr>
    </w:p>
    <w:p w14:paraId="77DFC15C" w14:textId="77777777" w:rsidR="00B823FD" w:rsidRPr="002B6BAB" w:rsidRDefault="00B823FD" w:rsidP="00B823FD">
      <w:pPr>
        <w:spacing w:after="0" w:line="276" w:lineRule="auto"/>
        <w:jc w:val="both"/>
        <w:rPr>
          <w:rFonts w:ascii="Arial" w:eastAsia="Calibri" w:hAnsi="Arial" w:cs="Arial"/>
          <w:b/>
          <w:lang w:val="es-ES_tradnl"/>
        </w:rPr>
      </w:pPr>
      <w:r w:rsidRPr="002B6BAB">
        <w:rPr>
          <w:rFonts w:ascii="Arial" w:eastAsia="Calibri" w:hAnsi="Arial" w:cs="Arial"/>
          <w:b/>
          <w:lang w:val="es-ES_tradnl"/>
        </w:rPr>
        <w:t>3. Respuesta</w:t>
      </w:r>
    </w:p>
    <w:p w14:paraId="5E09EC8B" w14:textId="77777777" w:rsidR="00B823FD" w:rsidRPr="002B6BAB" w:rsidRDefault="00B823FD" w:rsidP="00B823FD">
      <w:pPr>
        <w:spacing w:after="0" w:line="240" w:lineRule="auto"/>
        <w:jc w:val="both"/>
        <w:rPr>
          <w:rFonts w:ascii="Arial" w:eastAsia="Calibri" w:hAnsi="Arial" w:cs="Arial"/>
          <w:bCs/>
          <w:lang w:val="es-ES_tradnl"/>
        </w:rPr>
      </w:pPr>
    </w:p>
    <w:p w14:paraId="3DC46FBB" w14:textId="319D2BF1" w:rsidR="00B823FD" w:rsidRPr="002B6BAB" w:rsidRDefault="00AE58AD" w:rsidP="00B823FD">
      <w:pPr>
        <w:autoSpaceDE w:val="0"/>
        <w:autoSpaceDN w:val="0"/>
        <w:adjustRightInd w:val="0"/>
        <w:spacing w:after="0" w:line="240" w:lineRule="auto"/>
        <w:ind w:left="709" w:right="709"/>
        <w:jc w:val="both"/>
        <w:rPr>
          <w:rFonts w:ascii="Arial" w:eastAsia="Calibri" w:hAnsi="Arial" w:cs="Arial"/>
          <w:sz w:val="21"/>
          <w:szCs w:val="21"/>
          <w:lang w:val="es-ES_tradnl"/>
        </w:rPr>
      </w:pPr>
      <w:bookmarkStart w:id="29" w:name="_Hlk57650395"/>
      <w:r w:rsidRPr="00AE58AD">
        <w:rPr>
          <w:rFonts w:ascii="Arial" w:eastAsia="Calibri" w:hAnsi="Arial" w:cs="Arial"/>
          <w:sz w:val="21"/>
          <w:szCs w:val="21"/>
          <w:lang w:val="es-ES_tradnl"/>
        </w:rPr>
        <w:t>«Buen día, comedidamente quiero solicitar me aclaren si es posible realizar convenio con organismo internacional en ley de garantías, teniendo en cuenta que el PNUD por ser organismo internacional, su contratación se regula por el artículo 20 de la Ley 1150 de 2007</w:t>
      </w:r>
      <w:r w:rsidR="00D578C4">
        <w:rPr>
          <w:rFonts w:ascii="Arial" w:eastAsia="Calibri" w:hAnsi="Arial" w:cs="Arial"/>
          <w:sz w:val="21"/>
          <w:szCs w:val="21"/>
          <w:lang w:val="es-ES_tradnl"/>
        </w:rPr>
        <w:t xml:space="preserve"> […]»</w:t>
      </w:r>
      <w:r w:rsidRPr="00AE58AD">
        <w:rPr>
          <w:rFonts w:ascii="Arial" w:eastAsia="Calibri" w:hAnsi="Arial" w:cs="Arial"/>
          <w:sz w:val="21"/>
          <w:szCs w:val="21"/>
          <w:lang w:val="es-ES_tradnl"/>
        </w:rPr>
        <w:t xml:space="preserve">. </w:t>
      </w:r>
    </w:p>
    <w:p w14:paraId="33FF2D9B" w14:textId="77777777" w:rsidR="00B823FD" w:rsidRPr="002B6BAB" w:rsidRDefault="00B823FD" w:rsidP="00B823FD">
      <w:pPr>
        <w:spacing w:after="0" w:line="240" w:lineRule="auto"/>
        <w:ind w:right="709"/>
        <w:jc w:val="both"/>
        <w:rPr>
          <w:rFonts w:ascii="Arial" w:eastAsia="Times New Roman" w:hAnsi="Arial" w:cs="Arial"/>
          <w:lang w:val="es-ES_tradnl" w:eastAsia="es-ES_tradnl"/>
        </w:rPr>
      </w:pPr>
    </w:p>
    <w:p w14:paraId="1D01C2E6" w14:textId="77777777" w:rsidR="0093131B" w:rsidRDefault="0093131B" w:rsidP="0093131B">
      <w:pPr>
        <w:spacing w:after="120" w:line="276" w:lineRule="auto"/>
        <w:jc w:val="both"/>
        <w:rPr>
          <w:rFonts w:ascii="Arial" w:eastAsia="Arial" w:hAnsi="Arial" w:cs="Arial"/>
          <w:lang w:val="es-ES" w:eastAsia="es-ES" w:bidi="es-ES"/>
        </w:rPr>
      </w:pPr>
      <w:r>
        <w:rPr>
          <w:rFonts w:ascii="Arial" w:eastAsia="Arial" w:hAnsi="Arial" w:cs="Arial"/>
          <w:lang w:val="es-ES" w:eastAsia="es-ES" w:bidi="es-ES"/>
        </w:rPr>
        <w:t xml:space="preserve">De conformidad con lo expuesto, las </w:t>
      </w:r>
      <w:r w:rsidRPr="001F4B51">
        <w:rPr>
          <w:rFonts w:ascii="Arial" w:eastAsia="Calibri" w:hAnsi="Arial" w:cs="Arial"/>
          <w:bCs/>
          <w:lang w:val="es-ES_tradnl"/>
        </w:rPr>
        <w:t xml:space="preserve">competencias </w:t>
      </w:r>
      <w:r>
        <w:rPr>
          <w:rFonts w:ascii="Arial" w:eastAsia="Calibri" w:hAnsi="Arial" w:cs="Arial"/>
          <w:bCs/>
          <w:lang w:val="es-ES_tradnl"/>
        </w:rPr>
        <w:t>atribuidas por</w:t>
      </w:r>
      <w:r w:rsidRPr="001F4B51">
        <w:rPr>
          <w:rFonts w:ascii="Arial" w:eastAsia="Calibri" w:hAnsi="Arial" w:cs="Arial"/>
          <w:bCs/>
          <w:lang w:val="es-ES_tradnl"/>
        </w:rPr>
        <w:t xml:space="preserve"> los artículos 3.5 y 11.8 del Decreto 4170 de 2011</w:t>
      </w:r>
      <w:r>
        <w:rPr>
          <w:rFonts w:ascii="Arial" w:eastAsia="Calibri" w:hAnsi="Arial" w:cs="Arial"/>
          <w:bCs/>
          <w:lang w:val="es-ES_tradnl"/>
        </w:rPr>
        <w:t xml:space="preserve"> a</w:t>
      </w:r>
      <w:r w:rsidRPr="001F4B51">
        <w:rPr>
          <w:rFonts w:ascii="Arial" w:eastAsia="Calibri" w:hAnsi="Arial" w:cs="Arial"/>
          <w:bCs/>
          <w:lang w:val="es-ES_tradnl"/>
        </w:rPr>
        <w:t xml:space="preserve"> la Agencia Nacional de Contratación Pública – Colombia Compra Eficiente </w:t>
      </w:r>
      <w:r>
        <w:rPr>
          <w:rFonts w:ascii="Arial" w:eastAsia="Calibri" w:hAnsi="Arial" w:cs="Arial"/>
          <w:bCs/>
          <w:lang w:val="es-ES_tradnl"/>
        </w:rPr>
        <w:t>solo le permiten resolver</w:t>
      </w:r>
      <w:r w:rsidRPr="001F4B51">
        <w:rPr>
          <w:rFonts w:ascii="Arial" w:eastAsia="Calibri" w:hAnsi="Arial" w:cs="Arial"/>
          <w:bCs/>
          <w:lang w:val="es-ES_tradnl"/>
        </w:rPr>
        <w:t xml:space="preserve"> consultas sobre los asuntos de su competencia, esto es, sobre la</w:t>
      </w:r>
      <w:r>
        <w:rPr>
          <w:rFonts w:ascii="Arial" w:eastAsia="Calibri" w:hAnsi="Arial" w:cs="Arial"/>
          <w:bCs/>
          <w:lang w:val="es-ES_tradnl"/>
        </w:rPr>
        <w:t xml:space="preserve"> aplicación de normas de carácter general en material de contratación pública. La resolución de casos particulares y la validación de actuaciones de las entidades estatales son asuntos que escapan del alcance dicha competencia consultiva, y que incumben en principio a las </w:t>
      </w:r>
      <w:r w:rsidRPr="001F4B51">
        <w:rPr>
          <w:rFonts w:ascii="Arial" w:eastAsia="Calibri" w:hAnsi="Arial" w:cs="Arial"/>
          <w:bCs/>
          <w:lang w:val="es-ES_tradnl"/>
        </w:rPr>
        <w:t>entidad</w:t>
      </w:r>
      <w:r>
        <w:rPr>
          <w:rFonts w:ascii="Arial" w:eastAsia="Calibri" w:hAnsi="Arial" w:cs="Arial"/>
          <w:bCs/>
          <w:lang w:val="es-ES_tradnl"/>
        </w:rPr>
        <w:t>es</w:t>
      </w:r>
      <w:r w:rsidRPr="001F4B51">
        <w:rPr>
          <w:rFonts w:ascii="Arial" w:eastAsia="Calibri" w:hAnsi="Arial" w:cs="Arial"/>
          <w:bCs/>
          <w:lang w:val="es-ES_tradnl"/>
        </w:rPr>
        <w:t xml:space="preserve"> que adelanta</w:t>
      </w:r>
      <w:r>
        <w:rPr>
          <w:rFonts w:ascii="Arial" w:eastAsia="Calibri" w:hAnsi="Arial" w:cs="Arial"/>
          <w:bCs/>
          <w:lang w:val="es-ES_tradnl"/>
        </w:rPr>
        <w:t>n</w:t>
      </w:r>
      <w:r w:rsidRPr="001F4B51">
        <w:rPr>
          <w:rFonts w:ascii="Arial" w:eastAsia="Calibri" w:hAnsi="Arial" w:cs="Arial"/>
          <w:bCs/>
          <w:lang w:val="es-ES_tradnl"/>
        </w:rPr>
        <w:t xml:space="preserve"> </w:t>
      </w:r>
      <w:r>
        <w:rPr>
          <w:rFonts w:ascii="Arial" w:eastAsia="Calibri" w:hAnsi="Arial" w:cs="Arial"/>
          <w:bCs/>
          <w:lang w:val="es-ES_tradnl"/>
        </w:rPr>
        <w:t>los</w:t>
      </w:r>
      <w:r w:rsidRPr="001F4B51">
        <w:rPr>
          <w:rFonts w:ascii="Arial" w:eastAsia="Calibri" w:hAnsi="Arial" w:cs="Arial"/>
          <w:bCs/>
          <w:lang w:val="es-ES_tradnl"/>
        </w:rPr>
        <w:t xml:space="preserve"> procedimiento</w:t>
      </w:r>
      <w:r>
        <w:rPr>
          <w:rFonts w:ascii="Arial" w:eastAsia="Calibri" w:hAnsi="Arial" w:cs="Arial"/>
          <w:bCs/>
          <w:lang w:val="es-ES_tradnl"/>
        </w:rPr>
        <w:t>s</w:t>
      </w:r>
      <w:r w:rsidRPr="001F4B51">
        <w:rPr>
          <w:rFonts w:ascii="Arial" w:eastAsia="Calibri" w:hAnsi="Arial" w:cs="Arial"/>
          <w:bCs/>
          <w:lang w:val="es-ES_tradnl"/>
        </w:rPr>
        <w:t xml:space="preserve"> de selección y, en caso de conflicto, a las autoridades judiciales, fiscales y disciplinarias. </w:t>
      </w:r>
      <w:r>
        <w:rPr>
          <w:rFonts w:ascii="Arial" w:eastAsia="Calibri" w:hAnsi="Arial" w:cs="Arial"/>
          <w:bCs/>
          <w:lang w:val="es-ES_tradnl"/>
        </w:rPr>
        <w:t xml:space="preserve"> </w:t>
      </w:r>
    </w:p>
    <w:p w14:paraId="7B369172" w14:textId="0FADD8CA" w:rsidR="007238E2" w:rsidRPr="001C4698" w:rsidRDefault="0093131B" w:rsidP="001C4698">
      <w:pPr>
        <w:spacing w:after="120" w:line="276" w:lineRule="auto"/>
        <w:ind w:firstLine="708"/>
        <w:jc w:val="both"/>
        <w:rPr>
          <w:rFonts w:ascii="Arial" w:hAnsi="Arial" w:cs="Arial"/>
          <w:bCs/>
          <w:color w:val="000000"/>
          <w:lang w:eastAsia="es-CO"/>
        </w:rPr>
      </w:pPr>
      <w:r w:rsidRPr="001C4698">
        <w:rPr>
          <w:rFonts w:ascii="Arial" w:eastAsia="Times New Roman" w:hAnsi="Arial" w:cs="Arial"/>
          <w:bCs/>
          <w:lang w:eastAsia="es-CO"/>
        </w:rPr>
        <w:t xml:space="preserve">Sin perjuicio de lo anterior, dentro de los límites impuestos por las referidas competencias es posible afirma que, </w:t>
      </w:r>
      <w:r w:rsidR="007238E2" w:rsidRPr="001C4698">
        <w:rPr>
          <w:rFonts w:ascii="Arial" w:eastAsia="Times New Roman" w:hAnsi="Arial" w:cs="Arial"/>
          <w:bCs/>
          <w:lang w:eastAsia="es-CO"/>
        </w:rPr>
        <w:t xml:space="preserve">la interpretación de las normas generales del sistema de compras públicas, </w:t>
      </w:r>
      <w:r w:rsidR="007238E2" w:rsidRPr="001C4698">
        <w:rPr>
          <w:rFonts w:ascii="Arial" w:hAnsi="Arial" w:cs="Arial"/>
          <w:bCs/>
          <w:color w:val="000000"/>
          <w:lang w:eastAsia="es-CO"/>
        </w:rPr>
        <w:t xml:space="preserve">la prohibición de contratación directa del artículo 33 de la Ley 996 de 2005 aplica con independencia del régimen jurídico del contrato. En tal sentido, salvo que ingrese en alguna de las excepciones establecidas en el segundo inciso de la disposición citada, esta restricción también aplica a la celebración de contratos con organismos internacionales, aun cuando se presenten los supuestos indicados en el artículo 20 de la Ley 1150 de 2007, en los cuales dichos contratos se pueden someter a los reglamentos de tales organizaciones. Esta conclusión se apoya en los siguientes argumentos: </w:t>
      </w:r>
    </w:p>
    <w:p w14:paraId="7776CF80" w14:textId="77777777" w:rsidR="007238E2" w:rsidRPr="001C4698" w:rsidRDefault="007238E2" w:rsidP="007238E2">
      <w:pPr>
        <w:spacing w:after="120" w:line="276" w:lineRule="auto"/>
        <w:ind w:firstLine="708"/>
        <w:jc w:val="both"/>
        <w:rPr>
          <w:rFonts w:ascii="Arial" w:hAnsi="Arial" w:cs="Arial"/>
          <w:bCs/>
          <w:color w:val="000000"/>
          <w:lang w:eastAsia="es-CO"/>
        </w:rPr>
      </w:pPr>
      <w:r w:rsidRPr="001C4698">
        <w:rPr>
          <w:rFonts w:ascii="Arial" w:hAnsi="Arial" w:cs="Arial"/>
          <w:bCs/>
          <w:color w:val="000000"/>
          <w:lang w:eastAsia="es-CO"/>
        </w:rPr>
        <w:t xml:space="preserve">i) El artículo 33 de la Ley 996 de 2005 debe aplicarse, como lo indica su primer inciso, a «todos los entes del Estado». Este criterio orgánico reviste importancia, porque permite argumentar que a pesar de que una entidad estatal celebre un contrato con un organismo internacional de cooperación, ayuda o asistencia, aquella no muta su naturaleza jurídica –no deja de ser una entidad estatal– y, por tanto, continúa siendo destinataria de la Ley de Garantías Electorales.  </w:t>
      </w:r>
    </w:p>
    <w:p w14:paraId="240362E7" w14:textId="77777777" w:rsidR="007238E2" w:rsidRPr="001C4698" w:rsidRDefault="007238E2" w:rsidP="007238E2">
      <w:pPr>
        <w:spacing w:after="120" w:line="276" w:lineRule="auto"/>
        <w:ind w:firstLine="708"/>
        <w:jc w:val="both"/>
        <w:rPr>
          <w:rFonts w:ascii="Arial" w:hAnsi="Arial" w:cs="Arial"/>
          <w:bCs/>
          <w:color w:val="000000"/>
          <w:lang w:eastAsia="es-CO"/>
        </w:rPr>
      </w:pPr>
      <w:r w:rsidRPr="001C4698">
        <w:rPr>
          <w:rFonts w:ascii="Arial" w:hAnsi="Arial" w:cs="Arial"/>
          <w:bCs/>
          <w:color w:val="000000"/>
          <w:lang w:eastAsia="es-CO"/>
        </w:rPr>
        <w:lastRenderedPageBreak/>
        <w:t xml:space="preserve">ii) La proscripción de la contratación directa indicada en dicho artículo no diferencia régimen contractual, ni indica que solo se aplica a la contratación directa sometida al Estatuto General de Contratación de la Administración Pública, razón por la cual la prohibición incluye cualquier contratación directa, así esté sujeta a un régimen excepcional –como el del artículo 20 de la Ley 1150 de 2007–. </w:t>
      </w:r>
    </w:p>
    <w:p w14:paraId="30F60612" w14:textId="77777777" w:rsidR="007238E2" w:rsidRPr="001C4698" w:rsidRDefault="007238E2" w:rsidP="007238E2">
      <w:pPr>
        <w:spacing w:after="120" w:line="276" w:lineRule="auto"/>
        <w:ind w:firstLine="708"/>
        <w:jc w:val="both"/>
        <w:rPr>
          <w:rFonts w:ascii="Arial" w:hAnsi="Arial" w:cs="Arial"/>
          <w:bCs/>
          <w:color w:val="000000"/>
          <w:lang w:eastAsia="es-CO"/>
        </w:rPr>
      </w:pPr>
      <w:r w:rsidRPr="001C4698">
        <w:rPr>
          <w:rFonts w:ascii="Arial" w:hAnsi="Arial" w:cs="Arial"/>
          <w:bCs/>
          <w:color w:val="000000"/>
          <w:lang w:eastAsia="es-CO"/>
        </w:rPr>
        <w:t xml:space="preserve">iii) Los artículos 13 de la Ley 80 de 1993, 20 de la Ley 1150 de 2007 y 2.2.1.2.4.4.1 del Decreto 1082 de 2015 </w:t>
      </w:r>
      <w:r w:rsidRPr="001C4698">
        <w:rPr>
          <w:rFonts w:ascii="Arial" w:hAnsi="Arial" w:cs="Arial"/>
          <w:bCs/>
          <w:i/>
          <w:iCs/>
          <w:color w:val="000000"/>
          <w:lang w:eastAsia="es-CO"/>
        </w:rPr>
        <w:t>no establecen una excepción en bloque de todo el ordenamiento jurídico colombiano</w:t>
      </w:r>
      <w:r w:rsidRPr="001C4698">
        <w:rPr>
          <w:rFonts w:ascii="Arial" w:hAnsi="Arial" w:cs="Arial"/>
          <w:bCs/>
          <w:color w:val="000000"/>
          <w:lang w:eastAsia="es-CO"/>
        </w:rPr>
        <w:t xml:space="preserve"> para los supuestos en los cuales se pueden aplicar los reglamentos de los organismos de cooperación, ayuda o asistencia internacionales. Por una parte, lo que es posible someter a dichos reglamentos son </w:t>
      </w:r>
      <w:r w:rsidRPr="001C4698">
        <w:rPr>
          <w:rFonts w:ascii="Arial" w:hAnsi="Arial" w:cs="Arial"/>
          <w:bCs/>
          <w:i/>
          <w:iCs/>
          <w:color w:val="000000"/>
          <w:lang w:eastAsia="es-CO"/>
        </w:rPr>
        <w:t>los contratos o convenios</w:t>
      </w:r>
      <w:r w:rsidRPr="001C4698">
        <w:rPr>
          <w:rFonts w:ascii="Arial" w:hAnsi="Arial" w:cs="Arial"/>
          <w:bCs/>
          <w:color w:val="000000"/>
          <w:lang w:eastAsia="es-CO"/>
        </w:rPr>
        <w:t xml:space="preserve"> –esto es lo que se interpreta a partir de una lectura atenta de las normas en comento–. </w:t>
      </w:r>
    </w:p>
    <w:p w14:paraId="6953A552" w14:textId="77777777" w:rsidR="007238E2" w:rsidRPr="001C4698" w:rsidRDefault="007238E2" w:rsidP="007238E2">
      <w:pPr>
        <w:spacing w:after="120" w:line="276" w:lineRule="auto"/>
        <w:ind w:firstLine="708"/>
        <w:jc w:val="both"/>
        <w:rPr>
          <w:rFonts w:ascii="Arial" w:hAnsi="Arial" w:cs="Arial"/>
          <w:bCs/>
          <w:color w:val="000000"/>
          <w:lang w:eastAsia="es-CO"/>
        </w:rPr>
      </w:pPr>
      <w:r w:rsidRPr="001C4698">
        <w:rPr>
          <w:rFonts w:ascii="Arial" w:hAnsi="Arial" w:cs="Arial"/>
          <w:bCs/>
          <w:color w:val="000000"/>
          <w:lang w:eastAsia="es-CO"/>
        </w:rPr>
        <w:t>Por otra parte, el hecho de que los contratos o convenios se sometan a los reglamentos de dichos organismos no obsta para que las entidades estatales colombianas que los celebren deban continuar rigiéndose, en todo lo demás, por las disposiciones normativas colombianas. Lo anterior teniendo en cuenta que, a título enunciativo, estas disposiciones regulan aspectos como: a) los principios de la función administrativa y de la gestión fiscal –consagrados, respectivamente, en los artículos 209 y 267 de la Constitución Política–, b) la obligación de publicar en el SECOP la contratación, c) las normas presupuestales, d) el régimen de prohibiciones de los órganos del Estado y de los servidores públicos –en el cual se incluye la Ley de Garantías Electorales y el régimen de inhabilidades e incompatibilidades–. En consecuencia, el hecho de que un contrato se rija por el reglamento de un organismo de cooperación, ayuda o asistencia internacional no exime a la entidad estatal colombiana de acatar las restricciones de la Ley 996 de 2005, porque estas prohibiciones no tienen que ver con el régimen sustantivo del contrato en el que se aplica la excepción al EGCAP, sino con disposiciones transversales consagradas en el ordenamiento jurídico en materia de garantías electorales.</w:t>
      </w:r>
    </w:p>
    <w:p w14:paraId="48FA3140" w14:textId="77777777" w:rsidR="007238E2" w:rsidRPr="001C4698" w:rsidRDefault="007238E2" w:rsidP="007238E2">
      <w:pPr>
        <w:spacing w:before="120" w:after="120" w:line="276" w:lineRule="auto"/>
        <w:ind w:firstLine="709"/>
        <w:jc w:val="both"/>
        <w:rPr>
          <w:rFonts w:ascii="Arial" w:hAnsi="Arial" w:cs="Arial"/>
          <w:color w:val="000000" w:themeColor="text1"/>
          <w:lang w:val="es-ES_tradnl"/>
        </w:rPr>
      </w:pPr>
      <w:r w:rsidRPr="001C4698">
        <w:rPr>
          <w:rFonts w:ascii="Arial" w:hAnsi="Arial" w:cs="Arial"/>
          <w:bCs/>
          <w:color w:val="000000"/>
          <w:lang w:eastAsia="es-CO"/>
        </w:rPr>
        <w:t xml:space="preserve">iv) Además, la Ley 996 de 2005 es una ley estatutaria –que integra el bloque de constitucionalidad– y, en este sentido, ante las dudas hermenéuticas que se susciten frente a su aplicación –por su aparente contradicción con otras leyes– el operador jurídico debe privilegiar la vigencia de la ley estatutaria. En efecto, la Corte Constitucional ha explicado que uno de los argumentos hermenéuticos que deben tenerse en cuenta en la aplicación de las leyes  es «el criterio jerárquico, según el cual la norma superior prima o prevalece sobre la inferior </w:t>
      </w:r>
      <w:r w:rsidRPr="001C4698">
        <w:rPr>
          <w:rFonts w:ascii="Arial" w:hAnsi="Arial" w:cs="Arial"/>
          <w:bCs/>
          <w:i/>
          <w:iCs/>
          <w:color w:val="000000"/>
          <w:lang w:eastAsia="es-CO"/>
        </w:rPr>
        <w:t xml:space="preserve">(lex superior derogat </w:t>
      </w:r>
      <w:r w:rsidRPr="001C4698">
        <w:rPr>
          <w:rFonts w:ascii="Arial" w:hAnsi="Arial" w:cs="Arial"/>
          <w:bCs/>
          <w:i/>
          <w:iCs/>
          <w:color w:val="000000"/>
          <w:lang w:eastAsia="es-CO"/>
        </w:rPr>
        <w:lastRenderedPageBreak/>
        <w:t>inferiori)</w:t>
      </w:r>
      <w:r w:rsidRPr="001C4698">
        <w:rPr>
          <w:rFonts w:ascii="Arial" w:hAnsi="Arial" w:cs="Arial"/>
          <w:bCs/>
          <w:color w:val="000000"/>
          <w:lang w:eastAsia="es-CO"/>
        </w:rPr>
        <w:t>»</w:t>
      </w:r>
      <w:r w:rsidRPr="001C4698">
        <w:rPr>
          <w:rStyle w:val="Refdenotaalpie"/>
        </w:rPr>
        <w:footnoteReference w:id="43"/>
      </w:r>
      <w:r w:rsidRPr="001C4698">
        <w:rPr>
          <w:rFonts w:ascii="Arial" w:hAnsi="Arial" w:cs="Arial"/>
          <w:bCs/>
          <w:color w:val="000000"/>
          <w:lang w:eastAsia="es-CO"/>
        </w:rPr>
        <w:t xml:space="preserve"> y que, por ello, «entre preceptos de distinta jerarquía, como ocurre entre una la ley ordinaria y una ley estatutaria, o entre la Constitución y la ley en general, […] es claro que prevalece y se aplica siempre la norma superior»</w:t>
      </w:r>
      <w:r w:rsidRPr="001C4698">
        <w:rPr>
          <w:rStyle w:val="Refdenotaalpie"/>
        </w:rPr>
        <w:footnoteReference w:id="44"/>
      </w:r>
      <w:r w:rsidRPr="001C4698">
        <w:rPr>
          <w:rFonts w:ascii="Arial" w:hAnsi="Arial" w:cs="Arial"/>
          <w:bCs/>
          <w:color w:val="000000"/>
          <w:lang w:eastAsia="es-CO"/>
        </w:rPr>
        <w:t>. En consecuencia, el artículo 20 de la Ley 1150 de 2007 no implica una derogatoria de lo establecido en el artículo 33 de la Ley 996 de 2005, porque aquella es una ley ordinaria y esta una ley estatutaria.</w:t>
      </w:r>
      <w:r w:rsidRPr="001C4698">
        <w:rPr>
          <w:rFonts w:ascii="Arial" w:hAnsi="Arial" w:cs="Arial"/>
          <w:color w:val="000000" w:themeColor="text1"/>
          <w:lang w:val="es-ES_tradnl"/>
        </w:rPr>
        <w:t xml:space="preserve"> </w:t>
      </w:r>
    </w:p>
    <w:p w14:paraId="414044C2" w14:textId="77777777" w:rsidR="007238E2" w:rsidRPr="001C4698" w:rsidRDefault="007238E2" w:rsidP="007238E2">
      <w:pPr>
        <w:spacing w:after="120" w:line="276" w:lineRule="auto"/>
        <w:ind w:firstLine="708"/>
        <w:jc w:val="both"/>
        <w:rPr>
          <w:rFonts w:ascii="Arial" w:hAnsi="Arial" w:cs="Arial"/>
          <w:bCs/>
          <w:color w:val="000000"/>
          <w:lang w:eastAsia="es-CO"/>
        </w:rPr>
      </w:pPr>
      <w:r w:rsidRPr="001C4698">
        <w:rPr>
          <w:rFonts w:ascii="Arial" w:hAnsi="Arial" w:cs="Arial"/>
          <w:bCs/>
          <w:color w:val="000000"/>
          <w:lang w:eastAsia="es-CO"/>
        </w:rPr>
        <w:t xml:space="preserve">v) En línea con lo anterior, si la Ley 996 de 2005 se aplica también a la contratación con organismos internacionales a la que se refiere el artículo 20 de la Ley 1150 de 2007, deben interpretarse restrictivamente las excepciones a la prohibición de contratar directamente consagradas en el artículo 33 de Ley de Garantías Electorales. A partir de esto se concluye que la contratación directa con un organismo internacional no es, </w:t>
      </w:r>
      <w:r w:rsidRPr="001C4698">
        <w:rPr>
          <w:rFonts w:ascii="Arial" w:hAnsi="Arial" w:cs="Arial"/>
          <w:bCs/>
          <w:i/>
          <w:iCs/>
          <w:color w:val="000000"/>
          <w:lang w:eastAsia="es-CO"/>
        </w:rPr>
        <w:t>en sí misma considerada</w:t>
      </w:r>
      <w:r w:rsidRPr="001C4698">
        <w:rPr>
          <w:rFonts w:ascii="Arial" w:hAnsi="Arial" w:cs="Arial"/>
          <w:bCs/>
          <w:color w:val="000000"/>
          <w:lang w:eastAsia="es-CO"/>
        </w:rPr>
        <w:t xml:space="preserve"> –o por esa sola circunstancia–, una contratación que ingresa en las excepciones a la prohibición de celebrar contratos que no estén precedidos de un procedimiento plural «Durante los cuatro (4) meses anteriores a la elección presidencial y hasta la realización de la elección en la segunda vuelta, si fuere el caso». </w:t>
      </w:r>
    </w:p>
    <w:p w14:paraId="599A9E84" w14:textId="77777777" w:rsidR="007238E2" w:rsidRPr="001C4698" w:rsidRDefault="007238E2" w:rsidP="007238E2">
      <w:pPr>
        <w:spacing w:after="120" w:line="276" w:lineRule="auto"/>
        <w:ind w:firstLine="708"/>
        <w:jc w:val="both"/>
        <w:rPr>
          <w:rFonts w:ascii="Arial" w:hAnsi="Arial" w:cs="Arial"/>
          <w:bCs/>
          <w:color w:val="000000"/>
          <w:lang w:eastAsia="es-CO"/>
        </w:rPr>
      </w:pPr>
      <w:r w:rsidRPr="001C4698">
        <w:rPr>
          <w:rFonts w:ascii="Arial" w:hAnsi="Arial" w:cs="Arial"/>
          <w:bCs/>
          <w:color w:val="000000"/>
          <w:lang w:eastAsia="es-CO"/>
        </w:rPr>
        <w:t>Cada entidad estatal debe analizar en el caso concreto si se presenta o no el supuesto que habilite la contratación directa, respetando el carácter taxativo de las excepciones señaladas en el segundo inciso del referido artículo 33. En efecto, es posible que el contrato que se pretenda celebrar con el organismo internacional de cooperación, ayuda o asistencia ingrese en alguna de las excepciones indicadas en dicho inciso; es decir, que se refiera «</w:t>
      </w:r>
      <w:r w:rsidRPr="001C4698">
        <w:rPr>
          <w:rFonts w:ascii="Arial" w:hAnsi="Arial" w:cs="Arial"/>
        </w:rPr>
        <w:t xml:space="preserve">[…] </w:t>
      </w:r>
      <w:r w:rsidRPr="001C4698">
        <w:rPr>
          <w:rFonts w:ascii="Arial" w:hAnsi="Arial" w:cs="Arial"/>
          <w:bCs/>
          <w:color w:val="000000"/>
          <w:lang w:eastAsia="es-CO"/>
        </w:rPr>
        <w:t xml:space="preserve">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 Por tanto, solo en este caso la contratación directa será admisible para celebrar tales contratos, en vigencia de la prohibición general del artículo 33 de la Ley 996 de 2005. </w:t>
      </w:r>
    </w:p>
    <w:p w14:paraId="1BC01834" w14:textId="77777777" w:rsidR="007238E2" w:rsidRDefault="007238E2" w:rsidP="001C4698">
      <w:pPr>
        <w:spacing w:after="0"/>
        <w:ind w:firstLine="708"/>
        <w:jc w:val="both"/>
        <w:rPr>
          <w:rFonts w:ascii="Arial" w:eastAsia="Times New Roman" w:hAnsi="Arial" w:cs="Arial"/>
          <w:lang w:eastAsia="x-none"/>
        </w:rPr>
      </w:pPr>
      <w:r w:rsidRPr="001C4698">
        <w:rPr>
          <w:rFonts w:ascii="Arial" w:hAnsi="Arial" w:cs="Arial"/>
          <w:bCs/>
          <w:color w:val="000000"/>
          <w:lang w:eastAsia="es-CO"/>
        </w:rPr>
        <w:t xml:space="preserve">De cualquier manera, se reitera que es cada entidad pública la que, en ejercicio de su competencia y previa valoración de los elementos fácticos y jurídicos, debe determinar si –aplicando el régimen de excepción </w:t>
      </w:r>
      <w:r w:rsidRPr="001C4698">
        <w:rPr>
          <w:rFonts w:ascii="Arial" w:hAnsi="Arial" w:cs="Arial"/>
          <w:bCs/>
          <w:i/>
          <w:iCs/>
          <w:color w:val="000000"/>
          <w:lang w:eastAsia="es-CO"/>
        </w:rPr>
        <w:t>parcial</w:t>
      </w:r>
      <w:r w:rsidRPr="001C4698">
        <w:rPr>
          <w:rFonts w:ascii="Arial" w:hAnsi="Arial" w:cs="Arial"/>
          <w:bCs/>
          <w:color w:val="000000"/>
          <w:lang w:eastAsia="es-CO"/>
        </w:rPr>
        <w:t xml:space="preserve">, permitido por el artículo 20 de la Ley 1150 de 2007– la contratación que busca celebrar se adecua a </w:t>
      </w:r>
      <w:r w:rsidRPr="001C4698">
        <w:rPr>
          <w:rFonts w:ascii="Arial" w:hAnsi="Arial" w:cs="Arial"/>
          <w:bCs/>
          <w:color w:val="000000"/>
          <w:lang w:eastAsia="es-CO"/>
        </w:rPr>
        <w:lastRenderedPageBreak/>
        <w:t>las causales taxativas que la eximen de aplicar la prohibición del artículo 33 de la Ley 996 de 2005.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sidRPr="001C4698">
        <w:rPr>
          <w:rFonts w:ascii="Arial" w:eastAsia="Times New Roman" w:hAnsi="Arial" w:cs="Arial"/>
          <w:lang w:eastAsia="x-none"/>
        </w:rPr>
        <w:t>.</w:t>
      </w:r>
      <w:r>
        <w:rPr>
          <w:rFonts w:ascii="Arial" w:eastAsia="Times New Roman" w:hAnsi="Arial" w:cs="Arial"/>
          <w:lang w:eastAsia="x-none"/>
        </w:rPr>
        <w:t xml:space="preserve"> </w:t>
      </w:r>
    </w:p>
    <w:p w14:paraId="5ABF9EAA" w14:textId="0436D83F" w:rsidR="00D578C4" w:rsidRDefault="00D578C4" w:rsidP="001C4698">
      <w:pPr>
        <w:spacing w:after="0" w:line="276" w:lineRule="auto"/>
        <w:jc w:val="both"/>
        <w:rPr>
          <w:rFonts w:ascii="Arial" w:eastAsia="Calibri" w:hAnsi="Arial" w:cs="Arial"/>
          <w:lang w:val="es-ES_tradnl"/>
        </w:rPr>
      </w:pPr>
    </w:p>
    <w:p w14:paraId="04467988" w14:textId="10D1B1E0" w:rsidR="00D578C4" w:rsidRPr="002B6BAB" w:rsidRDefault="00D578C4" w:rsidP="00D578C4">
      <w:pPr>
        <w:autoSpaceDE w:val="0"/>
        <w:autoSpaceDN w:val="0"/>
        <w:adjustRightInd w:val="0"/>
        <w:spacing w:after="0" w:line="240" w:lineRule="auto"/>
        <w:ind w:left="709" w:right="709"/>
        <w:jc w:val="both"/>
        <w:rPr>
          <w:rFonts w:ascii="Arial" w:eastAsia="Calibri" w:hAnsi="Arial" w:cs="Arial"/>
          <w:sz w:val="21"/>
          <w:szCs w:val="21"/>
          <w:lang w:val="es-ES_tradnl"/>
        </w:rPr>
      </w:pPr>
      <w:r>
        <w:rPr>
          <w:rFonts w:ascii="Arial" w:eastAsia="Calibri" w:hAnsi="Arial" w:cs="Arial"/>
          <w:sz w:val="21"/>
          <w:szCs w:val="21"/>
          <w:lang w:val="es-ES_tradnl"/>
        </w:rPr>
        <w:t>«</w:t>
      </w:r>
      <w:r w:rsidRPr="00AE58AD">
        <w:rPr>
          <w:rFonts w:ascii="Arial" w:eastAsia="Calibri" w:hAnsi="Arial" w:cs="Arial"/>
          <w:sz w:val="21"/>
          <w:szCs w:val="21"/>
          <w:lang w:val="es-ES_tradnl"/>
        </w:rPr>
        <w:t>De igual manera, me gustaría saber si aplica o no ley de garantías en los procesos competitivos adelantados por Dcto 092 de 2017, [teniendo] en cuenta que no se contrataría directamente con una ESAL, sino la adjudicación del proceso se somete a una selección objetiva mediante una convocatoria abierta en la cual pueden participar las ESAL interesadas y se adjudica a la mejor propuesta»</w:t>
      </w:r>
      <w:r w:rsidR="006B29A0">
        <w:rPr>
          <w:rFonts w:ascii="Arial" w:eastAsia="Calibri" w:hAnsi="Arial" w:cs="Arial"/>
          <w:sz w:val="21"/>
          <w:szCs w:val="21"/>
          <w:lang w:val="es-ES_tradnl"/>
        </w:rPr>
        <w:t>.</w:t>
      </w:r>
    </w:p>
    <w:p w14:paraId="47129F5C" w14:textId="30786849" w:rsidR="00D578C4" w:rsidRDefault="00D578C4" w:rsidP="001C4698">
      <w:pPr>
        <w:spacing w:after="0" w:line="276" w:lineRule="auto"/>
        <w:jc w:val="both"/>
        <w:rPr>
          <w:rFonts w:ascii="Arial" w:eastAsia="Calibri" w:hAnsi="Arial" w:cs="Arial"/>
          <w:lang w:val="es-ES_tradnl"/>
        </w:rPr>
      </w:pPr>
    </w:p>
    <w:p w14:paraId="48A638FE" w14:textId="1D7FF531" w:rsidR="00313AAA" w:rsidRDefault="00D578C4" w:rsidP="001F1F75">
      <w:pPr>
        <w:spacing w:after="120" w:line="276" w:lineRule="auto"/>
        <w:jc w:val="both"/>
        <w:rPr>
          <w:rFonts w:ascii="Arial" w:eastAsia="Times New Roman" w:hAnsi="Arial" w:cs="Arial"/>
          <w:bCs/>
          <w:lang w:val="es-ES_tradnl" w:eastAsia="x-none"/>
        </w:rPr>
      </w:pPr>
      <w:r>
        <w:rPr>
          <w:rFonts w:ascii="Arial" w:eastAsia="Times New Roman" w:hAnsi="Arial" w:cs="Arial"/>
          <w:bCs/>
          <w:lang w:val="es-ES_tradnl" w:eastAsia="es-CO"/>
        </w:rPr>
        <w:t>Conforme a lo expuesto</w:t>
      </w:r>
      <w:r w:rsidR="00B823FD">
        <w:rPr>
          <w:rFonts w:ascii="Arial" w:eastAsia="Times New Roman" w:hAnsi="Arial" w:cs="Arial"/>
          <w:bCs/>
          <w:lang w:val="es-ES_tradnl" w:eastAsia="x-none"/>
        </w:rPr>
        <w:t>, e</w:t>
      </w:r>
      <w:r w:rsidR="00B823FD" w:rsidRPr="002B6BAB">
        <w:rPr>
          <w:rFonts w:ascii="Arial" w:eastAsia="Times New Roman" w:hAnsi="Arial" w:cs="Arial"/>
          <w:bCs/>
          <w:lang w:val="es-ES_tradnl" w:eastAsia="x-none"/>
        </w:rPr>
        <w:t xml:space="preserve">l artículo 33 de la Ley 996 de 2005 señala expresamente </w:t>
      </w:r>
      <w:r w:rsidR="00BB2F20">
        <w:rPr>
          <w:rFonts w:ascii="Arial" w:eastAsia="Times New Roman" w:hAnsi="Arial" w:cs="Arial"/>
          <w:bCs/>
          <w:lang w:val="es-ES_tradnl" w:eastAsia="x-none"/>
        </w:rPr>
        <w:t xml:space="preserve">a </w:t>
      </w:r>
      <w:r w:rsidR="00B823FD" w:rsidRPr="002B6BAB">
        <w:rPr>
          <w:rFonts w:ascii="Arial" w:eastAsia="Times New Roman" w:hAnsi="Arial" w:cs="Arial"/>
          <w:bCs/>
          <w:lang w:val="es-ES_tradnl" w:eastAsia="x-none"/>
        </w:rPr>
        <w:t>«todos los entes del Estado»</w:t>
      </w:r>
      <w:r w:rsidR="00BB2F20">
        <w:rPr>
          <w:rFonts w:ascii="Arial" w:eastAsia="Times New Roman" w:hAnsi="Arial" w:cs="Arial"/>
          <w:bCs/>
          <w:lang w:val="es-ES_tradnl" w:eastAsia="x-none"/>
        </w:rPr>
        <w:t xml:space="preserve"> como destinatarios de la prohi</w:t>
      </w:r>
      <w:r w:rsidR="00E76E36">
        <w:rPr>
          <w:rFonts w:ascii="Arial" w:eastAsia="Times New Roman" w:hAnsi="Arial" w:cs="Arial"/>
          <w:bCs/>
          <w:lang w:val="es-ES_tradnl" w:eastAsia="x-none"/>
        </w:rPr>
        <w:t>bición a la contratación directa,</w:t>
      </w:r>
      <w:r w:rsidR="00B823FD">
        <w:rPr>
          <w:rFonts w:ascii="Arial" w:eastAsia="Times New Roman" w:hAnsi="Arial" w:cs="Arial"/>
          <w:bCs/>
          <w:lang w:val="es-ES_tradnl" w:eastAsia="x-none"/>
        </w:rPr>
        <w:t xml:space="preserve"> </w:t>
      </w:r>
      <w:r w:rsidR="00B823FD" w:rsidRPr="002B6BAB">
        <w:rPr>
          <w:rFonts w:ascii="Arial" w:eastAsia="Times New Roman" w:hAnsi="Arial" w:cs="Arial"/>
          <w:bCs/>
          <w:lang w:val="es-ES_tradnl" w:eastAsia="x-none"/>
        </w:rPr>
        <w:t>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r w:rsidR="005A5FB2">
        <w:rPr>
          <w:rFonts w:ascii="Arial" w:eastAsia="Times New Roman" w:hAnsi="Arial" w:cs="Arial"/>
          <w:bCs/>
          <w:lang w:val="es-ES_tradnl" w:eastAsia="x-none"/>
        </w:rPr>
        <w:t xml:space="preserve"> </w:t>
      </w:r>
    </w:p>
    <w:p w14:paraId="41960161" w14:textId="0DC8E162" w:rsidR="00FC0C7A" w:rsidRDefault="00B823FD" w:rsidP="001C4698">
      <w:pPr>
        <w:spacing w:after="0" w:line="276" w:lineRule="auto"/>
        <w:ind w:firstLine="708"/>
        <w:jc w:val="both"/>
        <w:rPr>
          <w:rFonts w:ascii="Arial" w:eastAsia="Times New Roman" w:hAnsi="Arial" w:cs="Arial"/>
          <w:bCs/>
          <w:color w:val="000000"/>
          <w:szCs w:val="24"/>
          <w:lang w:eastAsia="es-CO"/>
        </w:rPr>
      </w:pPr>
      <w:r>
        <w:rPr>
          <w:rFonts w:ascii="Arial" w:eastAsia="Times New Roman" w:hAnsi="Arial" w:cs="Arial"/>
          <w:bCs/>
          <w:lang w:val="es-ES_tradnl" w:eastAsia="x-none"/>
        </w:rPr>
        <w:t xml:space="preserve">En consecuencia, </w:t>
      </w:r>
      <w:r w:rsidR="00D54600">
        <w:rPr>
          <w:rFonts w:ascii="Arial" w:eastAsia="Times New Roman" w:hAnsi="Arial" w:cs="Arial"/>
          <w:bCs/>
          <w:lang w:val="es-ES_tradnl" w:eastAsia="x-none"/>
        </w:rPr>
        <w:t>la prohibición de contratación directa de la Ley de Garantías es inde</w:t>
      </w:r>
      <w:r w:rsidR="0071181F">
        <w:rPr>
          <w:rFonts w:ascii="Arial" w:eastAsia="Times New Roman" w:hAnsi="Arial" w:cs="Arial"/>
          <w:bCs/>
          <w:lang w:val="es-ES_tradnl" w:eastAsia="x-none"/>
        </w:rPr>
        <w:t xml:space="preserve">pendiente del </w:t>
      </w:r>
      <w:r w:rsidR="001B5D52">
        <w:rPr>
          <w:rFonts w:ascii="Arial" w:eastAsia="Times New Roman" w:hAnsi="Arial" w:cs="Arial"/>
          <w:bCs/>
          <w:lang w:val="es-ES_tradnl" w:eastAsia="x-none"/>
        </w:rPr>
        <w:t xml:space="preserve">régimen contractual, por lo que, durante su vigencia, </w:t>
      </w:r>
      <w:r w:rsidR="0071181F" w:rsidRPr="00064CF5">
        <w:rPr>
          <w:rFonts w:ascii="Arial" w:eastAsia="Times New Roman" w:hAnsi="Arial" w:cs="Arial"/>
          <w:bCs/>
          <w:color w:val="000000"/>
          <w:szCs w:val="24"/>
          <w:lang w:eastAsia="es-CO"/>
        </w:rPr>
        <w:t>está restringida cualquier modalidad de selección que excluya la pluralidad de oferentes en el régimen especial de contratación con organismos internacionales.</w:t>
      </w:r>
      <w:r w:rsidR="00DE64F5">
        <w:rPr>
          <w:rFonts w:ascii="Arial" w:eastAsia="Times New Roman" w:hAnsi="Arial" w:cs="Arial"/>
          <w:bCs/>
          <w:color w:val="000000"/>
          <w:szCs w:val="24"/>
          <w:lang w:eastAsia="es-CO"/>
        </w:rPr>
        <w:t xml:space="preserve"> </w:t>
      </w:r>
      <w:r w:rsidR="00AF7A02">
        <w:rPr>
          <w:rFonts w:ascii="Arial" w:eastAsia="Times New Roman" w:hAnsi="Arial" w:cs="Arial"/>
          <w:bCs/>
          <w:color w:val="000000"/>
          <w:szCs w:val="24"/>
          <w:lang w:eastAsia="es-CO"/>
        </w:rPr>
        <w:t xml:space="preserve">A su turno, en lo que respecta a la contratación con ESAL, </w:t>
      </w:r>
      <w:r w:rsidR="008C0FAA">
        <w:rPr>
          <w:rFonts w:ascii="Arial" w:eastAsia="Times New Roman" w:hAnsi="Arial" w:cs="Arial"/>
          <w:bCs/>
          <w:color w:val="000000"/>
          <w:szCs w:val="24"/>
          <w:lang w:eastAsia="es-CO"/>
        </w:rPr>
        <w:t xml:space="preserve">se reitera que la precitada prohibición </w:t>
      </w:r>
      <w:r w:rsidR="0017033B">
        <w:rPr>
          <w:rFonts w:ascii="Arial" w:eastAsia="Times New Roman" w:hAnsi="Arial" w:cs="Arial"/>
          <w:bCs/>
          <w:color w:val="000000"/>
          <w:szCs w:val="24"/>
          <w:lang w:eastAsia="es-CO"/>
        </w:rPr>
        <w:t>únicamente aplica para procesos no competitivos,</w:t>
      </w:r>
      <w:r w:rsidR="00DE6561">
        <w:rPr>
          <w:rFonts w:ascii="Arial" w:eastAsia="Times New Roman" w:hAnsi="Arial" w:cs="Arial"/>
          <w:bCs/>
          <w:color w:val="000000"/>
          <w:szCs w:val="24"/>
          <w:lang w:eastAsia="es-CO"/>
        </w:rPr>
        <w:t xml:space="preserve"> por lo que </w:t>
      </w:r>
      <w:r w:rsidR="006B1954">
        <w:rPr>
          <w:rFonts w:ascii="Arial" w:eastAsia="Calibri" w:hAnsi="Arial" w:cs="Arial"/>
          <w:color w:val="000000"/>
          <w:szCs w:val="24"/>
          <w:lang w:eastAsia="es-ES_tradnl"/>
        </w:rPr>
        <w:t>no aplicaría a los convenios de asociación o de contratos de colaboración con ESAL, adelantados bajo procedimientos competitivos</w:t>
      </w:r>
      <w:r w:rsidR="00DE6561">
        <w:rPr>
          <w:rFonts w:ascii="Arial" w:eastAsia="Calibri" w:hAnsi="Arial" w:cs="Arial"/>
          <w:color w:val="000000"/>
          <w:szCs w:val="24"/>
          <w:lang w:eastAsia="es-ES_tradnl"/>
        </w:rPr>
        <w:t>.</w:t>
      </w:r>
      <w:r w:rsidR="005A5FB2">
        <w:rPr>
          <w:rFonts w:ascii="Arial" w:eastAsia="Calibri" w:hAnsi="Arial" w:cs="Arial"/>
          <w:color w:val="000000"/>
          <w:szCs w:val="24"/>
          <w:lang w:eastAsia="es-ES_tradnl"/>
        </w:rPr>
        <w:t xml:space="preserve"> Esto significa </w:t>
      </w:r>
      <w:r w:rsidR="00DE6561">
        <w:rPr>
          <w:rFonts w:ascii="Arial" w:eastAsia="Calibri" w:hAnsi="Arial" w:cs="Arial"/>
          <w:color w:val="000000"/>
          <w:szCs w:val="24"/>
          <w:lang w:eastAsia="es-ES_tradnl"/>
        </w:rPr>
        <w:t>que</w:t>
      </w:r>
      <w:r w:rsidR="008E6AFE">
        <w:rPr>
          <w:rFonts w:ascii="Arial" w:eastAsia="Calibri" w:hAnsi="Arial" w:cs="Arial"/>
          <w:color w:val="000000"/>
          <w:szCs w:val="24"/>
          <w:lang w:eastAsia="es-ES_tradnl"/>
        </w:rPr>
        <w:t xml:space="preserve">, la </w:t>
      </w:r>
      <w:r w:rsidR="008E6AFE" w:rsidRPr="002B6BAB">
        <w:rPr>
          <w:rFonts w:ascii="Arial" w:eastAsia="Times New Roman" w:hAnsi="Arial" w:cs="Arial"/>
          <w:bCs/>
          <w:lang w:val="es-ES_tradnl" w:eastAsia="x-none"/>
        </w:rPr>
        <w:t>celebra</w:t>
      </w:r>
      <w:r w:rsidR="008E6AFE">
        <w:rPr>
          <w:rFonts w:ascii="Arial" w:eastAsia="Times New Roman" w:hAnsi="Arial" w:cs="Arial"/>
          <w:bCs/>
          <w:lang w:val="es-ES_tradnl" w:eastAsia="x-none"/>
        </w:rPr>
        <w:t>ción de</w:t>
      </w:r>
      <w:r w:rsidR="008E6AFE" w:rsidRPr="002B6BAB">
        <w:rPr>
          <w:rFonts w:ascii="Arial" w:eastAsia="Times New Roman" w:hAnsi="Arial" w:cs="Arial"/>
          <w:bCs/>
          <w:lang w:val="es-ES_tradnl" w:eastAsia="x-none"/>
        </w:rPr>
        <w:t xml:space="preserve"> cualquier contrato</w:t>
      </w:r>
      <w:r w:rsidR="008E6AFE">
        <w:rPr>
          <w:rFonts w:ascii="Arial" w:eastAsia="Times New Roman" w:hAnsi="Arial" w:cs="Arial"/>
          <w:bCs/>
          <w:lang w:val="es-ES_tradnl" w:eastAsia="x-none"/>
        </w:rPr>
        <w:t xml:space="preserve"> o convenio</w:t>
      </w:r>
      <w:r w:rsidR="008E6AFE" w:rsidRPr="002B6BAB">
        <w:rPr>
          <w:rFonts w:ascii="Arial" w:eastAsia="Times New Roman" w:hAnsi="Arial" w:cs="Arial"/>
          <w:bCs/>
          <w:lang w:val="es-ES_tradnl" w:eastAsia="x-none"/>
        </w:rPr>
        <w:t xml:space="preserve"> de forma directa, esto es, sin que exista un proceso abierto y competitivo</w:t>
      </w:r>
      <w:r w:rsidR="008E6AFE">
        <w:rPr>
          <w:rFonts w:ascii="Arial" w:eastAsia="Times New Roman" w:hAnsi="Arial" w:cs="Arial"/>
          <w:bCs/>
          <w:lang w:val="es-ES_tradnl" w:eastAsia="x-none"/>
        </w:rPr>
        <w:t xml:space="preserve">, </w:t>
      </w:r>
      <w:r w:rsidR="00771E21">
        <w:rPr>
          <w:rFonts w:ascii="Arial" w:eastAsia="Times New Roman" w:hAnsi="Arial" w:cs="Arial"/>
          <w:bCs/>
          <w:lang w:val="es-ES_tradnl" w:eastAsia="x-none"/>
        </w:rPr>
        <w:t>se</w:t>
      </w:r>
      <w:r w:rsidR="008E6AFE">
        <w:rPr>
          <w:rFonts w:ascii="Arial" w:eastAsia="Times New Roman" w:hAnsi="Arial" w:cs="Arial"/>
          <w:bCs/>
          <w:lang w:val="es-ES_tradnl" w:eastAsia="x-none"/>
        </w:rPr>
        <w:t xml:space="preserve"> encuentra restringida para </w:t>
      </w:r>
      <w:r w:rsidR="00771E21">
        <w:rPr>
          <w:rFonts w:ascii="Arial" w:eastAsia="Times New Roman" w:hAnsi="Arial" w:cs="Arial"/>
          <w:bCs/>
          <w:lang w:val="es-ES_tradnl" w:eastAsia="x-none"/>
        </w:rPr>
        <w:t>las entidades públicas,</w:t>
      </w:r>
      <w:r w:rsidR="008E6AFE">
        <w:rPr>
          <w:rFonts w:ascii="Arial" w:eastAsia="Times New Roman" w:hAnsi="Arial" w:cs="Arial"/>
          <w:bCs/>
          <w:lang w:val="es-ES_tradnl" w:eastAsia="x-none"/>
        </w:rPr>
        <w:t xml:space="preserve"> sin perjuicio de las excepciones expresamente previstas en el inciso final del artículo 33 de </w:t>
      </w:r>
      <w:r w:rsidR="00C94E53">
        <w:rPr>
          <w:rFonts w:ascii="Arial" w:eastAsia="Times New Roman" w:hAnsi="Arial" w:cs="Arial"/>
          <w:bCs/>
          <w:lang w:val="es-ES_tradnl" w:eastAsia="x-none"/>
        </w:rPr>
        <w:t>la Ley 996 de 2005</w:t>
      </w:r>
      <w:r w:rsidR="00771E21">
        <w:rPr>
          <w:rFonts w:ascii="Arial" w:eastAsia="Times New Roman" w:hAnsi="Arial" w:cs="Arial"/>
          <w:bCs/>
          <w:lang w:val="es-ES_tradnl" w:eastAsia="x-none"/>
        </w:rPr>
        <w:t xml:space="preserve"> o que se trate de </w:t>
      </w:r>
      <w:r w:rsidR="00FC0C7A">
        <w:rPr>
          <w:rFonts w:ascii="Arial" w:eastAsia="Times New Roman" w:hAnsi="Arial" w:cs="Arial"/>
          <w:bCs/>
          <w:lang w:val="es-ES_tradnl" w:eastAsia="x-none"/>
        </w:rPr>
        <w:t xml:space="preserve">un procedimiento competitivo para seleccionar al contratista. </w:t>
      </w:r>
    </w:p>
    <w:p w14:paraId="6B08F497" w14:textId="77777777" w:rsidR="00E429E4" w:rsidRPr="00FC0C7A" w:rsidRDefault="00E429E4" w:rsidP="001C4698">
      <w:pPr>
        <w:spacing w:after="0" w:line="276" w:lineRule="auto"/>
        <w:ind w:firstLine="708"/>
        <w:jc w:val="both"/>
        <w:rPr>
          <w:rFonts w:ascii="Arial" w:eastAsia="Times New Roman" w:hAnsi="Arial" w:cs="Arial"/>
          <w:bCs/>
          <w:color w:val="000000"/>
          <w:szCs w:val="24"/>
          <w:lang w:eastAsia="es-CO"/>
        </w:rPr>
      </w:pPr>
    </w:p>
    <w:p w14:paraId="107A8DC4" w14:textId="77777777" w:rsidR="001F1F75" w:rsidRDefault="001F1F75" w:rsidP="00B823FD">
      <w:pPr>
        <w:spacing w:after="0" w:line="276" w:lineRule="auto"/>
        <w:jc w:val="both"/>
        <w:rPr>
          <w:rFonts w:ascii="Arial" w:eastAsia="Calibri" w:hAnsi="Arial" w:cs="Arial"/>
          <w:lang w:val="es-ES_tradnl"/>
        </w:rPr>
      </w:pPr>
    </w:p>
    <w:p w14:paraId="555624EB" w14:textId="77777777" w:rsidR="001F1F75" w:rsidRDefault="001F1F75" w:rsidP="00B823FD">
      <w:pPr>
        <w:spacing w:after="0" w:line="276" w:lineRule="auto"/>
        <w:jc w:val="both"/>
        <w:rPr>
          <w:rFonts w:ascii="Arial" w:eastAsia="Calibri" w:hAnsi="Arial" w:cs="Arial"/>
          <w:lang w:val="es-ES_tradnl"/>
        </w:rPr>
      </w:pPr>
    </w:p>
    <w:p w14:paraId="12672461" w14:textId="77777777" w:rsidR="001F1F75" w:rsidRDefault="001F1F75" w:rsidP="00B823FD">
      <w:pPr>
        <w:spacing w:after="0" w:line="276" w:lineRule="auto"/>
        <w:jc w:val="both"/>
        <w:rPr>
          <w:rFonts w:ascii="Arial" w:eastAsia="Calibri" w:hAnsi="Arial" w:cs="Arial"/>
          <w:lang w:val="es-ES_tradnl"/>
        </w:rPr>
      </w:pPr>
    </w:p>
    <w:p w14:paraId="154BD2AB" w14:textId="64D31F5D" w:rsidR="00B823FD" w:rsidRPr="002B6BAB" w:rsidRDefault="00B823FD" w:rsidP="00B823FD">
      <w:pPr>
        <w:spacing w:after="0" w:line="276" w:lineRule="auto"/>
        <w:jc w:val="both"/>
        <w:rPr>
          <w:rFonts w:ascii="Arial" w:eastAsia="Calibri" w:hAnsi="Arial" w:cs="Arial"/>
          <w:lang w:val="es-ES_tradnl"/>
        </w:rPr>
      </w:pPr>
      <w:r w:rsidRPr="002B6BAB">
        <w:rPr>
          <w:rFonts w:ascii="Arial" w:eastAsia="Calibri" w:hAnsi="Arial" w:cs="Arial"/>
          <w:lang w:val="es-ES_tradnl"/>
        </w:rPr>
        <w:lastRenderedPageBreak/>
        <w:t>Este concepto tiene el alcance previsto en el artículo 28 del Código de Procedimiento Administrativo y de lo Contencioso Administrativo.</w:t>
      </w:r>
    </w:p>
    <w:p w14:paraId="72404BB5" w14:textId="77777777" w:rsidR="00E429E4" w:rsidRPr="002B6BAB" w:rsidRDefault="00E429E4" w:rsidP="00B823FD">
      <w:pPr>
        <w:spacing w:after="0" w:line="276" w:lineRule="auto"/>
        <w:jc w:val="both"/>
        <w:rPr>
          <w:rFonts w:ascii="Calibri" w:eastAsia="Calibri" w:hAnsi="Calibri" w:cs="Times New Roman"/>
          <w:noProof/>
          <w:sz w:val="24"/>
          <w:lang w:val="es-ES_tradnl"/>
        </w:rPr>
      </w:pPr>
    </w:p>
    <w:p w14:paraId="0AC5734F" w14:textId="76509F23" w:rsidR="00B823FD" w:rsidRPr="002B6BAB" w:rsidRDefault="00B823FD" w:rsidP="00B823FD">
      <w:pPr>
        <w:spacing w:after="200" w:line="276" w:lineRule="auto"/>
        <w:jc w:val="both"/>
        <w:rPr>
          <w:rFonts w:ascii="Arial" w:eastAsia="Times New Roman" w:hAnsi="Arial" w:cs="Arial"/>
          <w:lang w:val="es-ES_tradnl" w:eastAsia="es-CO"/>
        </w:rPr>
      </w:pPr>
      <w:r w:rsidRPr="002B6BAB">
        <w:rPr>
          <w:rFonts w:ascii="Arial" w:eastAsia="Times New Roman" w:hAnsi="Arial" w:cs="Arial"/>
          <w:lang w:val="es-ES_tradnl" w:eastAsia="es-CO"/>
        </w:rPr>
        <w:t>Atentamente,</w:t>
      </w:r>
    </w:p>
    <w:p w14:paraId="53E5414A" w14:textId="62C1FFCC" w:rsidR="00B823FD" w:rsidRPr="002B6BAB" w:rsidRDefault="00B643D6" w:rsidP="00B823FD">
      <w:pPr>
        <w:spacing w:after="200" w:line="276" w:lineRule="auto"/>
        <w:jc w:val="center"/>
        <w:rPr>
          <w:rFonts w:ascii="Arial" w:eastAsia="Times New Roman" w:hAnsi="Arial" w:cs="Arial"/>
          <w:sz w:val="18"/>
          <w:szCs w:val="20"/>
          <w:lang w:val="es-ES_tradnl" w:eastAsia="es-CO"/>
        </w:rPr>
      </w:pPr>
      <w:r>
        <w:rPr>
          <w:noProof/>
        </w:rPr>
        <w:drawing>
          <wp:inline distT="0" distB="0" distL="0" distR="0" wp14:anchorId="477F1E89" wp14:editId="72C3370C">
            <wp:extent cx="2514600" cy="1114425"/>
            <wp:effectExtent l="0" t="0" r="0" b="9525"/>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B823FD" w:rsidRPr="002B6BAB" w14:paraId="59225535" w14:textId="77777777" w:rsidTr="006934E0">
        <w:trPr>
          <w:trHeight w:val="315"/>
        </w:trPr>
        <w:tc>
          <w:tcPr>
            <w:tcW w:w="812" w:type="dxa"/>
            <w:vAlign w:val="center"/>
            <w:hideMark/>
          </w:tcPr>
          <w:p w14:paraId="1D069870" w14:textId="77777777" w:rsidR="00B823FD" w:rsidRPr="002B6BAB" w:rsidRDefault="00B823FD" w:rsidP="006934E0">
            <w:pPr>
              <w:rPr>
                <w:rFonts w:ascii="Arial" w:eastAsia="Times New Roman" w:hAnsi="Arial" w:cs="Arial"/>
                <w:sz w:val="16"/>
                <w:szCs w:val="16"/>
                <w:lang w:val="es-ES_tradnl" w:eastAsia="es-ES"/>
              </w:rPr>
            </w:pPr>
            <w:r w:rsidRPr="002B6BAB">
              <w:rPr>
                <w:rFonts w:ascii="Arial" w:eastAsia="Times New Roman" w:hAnsi="Arial" w:cs="Arial"/>
                <w:sz w:val="16"/>
                <w:szCs w:val="16"/>
                <w:lang w:val="es-ES_tradnl" w:eastAsia="es-ES"/>
              </w:rPr>
              <w:t>Elaboró:</w:t>
            </w:r>
          </w:p>
        </w:tc>
        <w:tc>
          <w:tcPr>
            <w:tcW w:w="4291" w:type="dxa"/>
            <w:tcBorders>
              <w:top w:val="nil"/>
              <w:left w:val="nil"/>
              <w:bottom w:val="dotted" w:sz="4" w:space="0" w:color="7F7F7F"/>
              <w:right w:val="nil"/>
            </w:tcBorders>
            <w:vAlign w:val="center"/>
            <w:hideMark/>
          </w:tcPr>
          <w:p w14:paraId="2112D163" w14:textId="77777777" w:rsidR="00B823FD" w:rsidRPr="002B6BAB" w:rsidRDefault="00B823FD" w:rsidP="006934E0">
            <w:pPr>
              <w:rPr>
                <w:rFonts w:ascii="Arial" w:eastAsia="Times New Roman" w:hAnsi="Arial" w:cs="Arial"/>
                <w:sz w:val="16"/>
                <w:szCs w:val="16"/>
                <w:lang w:val="es-ES_tradnl" w:eastAsia="es-ES"/>
              </w:rPr>
            </w:pPr>
            <w:r w:rsidRPr="002B6BAB">
              <w:rPr>
                <w:rFonts w:ascii="Arial" w:eastAsia="Times New Roman" w:hAnsi="Arial" w:cs="Arial"/>
                <w:sz w:val="16"/>
                <w:szCs w:val="16"/>
                <w:lang w:val="es-ES_tradnl" w:eastAsia="es-ES"/>
              </w:rPr>
              <w:t>Kevin Arlid Herrera Santa</w:t>
            </w:r>
          </w:p>
          <w:p w14:paraId="69F78E7E" w14:textId="77777777" w:rsidR="00B823FD" w:rsidRPr="002B6BAB" w:rsidRDefault="00B823FD" w:rsidP="006934E0">
            <w:pPr>
              <w:rPr>
                <w:rFonts w:ascii="Arial" w:eastAsia="Times New Roman" w:hAnsi="Arial" w:cs="Arial"/>
                <w:sz w:val="16"/>
                <w:szCs w:val="16"/>
                <w:lang w:val="es-ES_tradnl" w:eastAsia="es-ES"/>
              </w:rPr>
            </w:pPr>
            <w:r w:rsidRPr="002B6BAB">
              <w:rPr>
                <w:rFonts w:ascii="Arial" w:eastAsia="Times New Roman" w:hAnsi="Arial" w:cs="Arial"/>
                <w:sz w:val="16"/>
                <w:szCs w:val="16"/>
                <w:lang w:val="es-ES_tradnl" w:eastAsia="es-ES"/>
              </w:rPr>
              <w:t>Analista T2-04 de la Subdirección de Gestión Contractual</w:t>
            </w:r>
          </w:p>
        </w:tc>
      </w:tr>
      <w:tr w:rsidR="00B823FD" w:rsidRPr="002B6BAB" w14:paraId="2C777C96" w14:textId="77777777" w:rsidTr="006934E0">
        <w:trPr>
          <w:trHeight w:val="330"/>
        </w:trPr>
        <w:tc>
          <w:tcPr>
            <w:tcW w:w="812" w:type="dxa"/>
            <w:vAlign w:val="center"/>
            <w:hideMark/>
          </w:tcPr>
          <w:p w14:paraId="152BBF81" w14:textId="77777777" w:rsidR="00B823FD" w:rsidRPr="002B6BAB" w:rsidRDefault="00B823FD" w:rsidP="006934E0">
            <w:pPr>
              <w:rPr>
                <w:rFonts w:ascii="Arial" w:eastAsia="Times New Roman" w:hAnsi="Arial" w:cs="Arial"/>
                <w:sz w:val="16"/>
                <w:szCs w:val="16"/>
                <w:lang w:val="es-ES_tradnl" w:eastAsia="es-ES"/>
              </w:rPr>
            </w:pPr>
            <w:r w:rsidRPr="002B6BAB">
              <w:rPr>
                <w:rFonts w:ascii="Arial" w:eastAsia="Times New Roman" w:hAnsi="Arial" w:cs="Arial"/>
                <w:sz w:val="16"/>
                <w:szCs w:val="16"/>
                <w:lang w:val="es-ES_tradnl" w:eastAsia="es-ES"/>
              </w:rPr>
              <w:t>Revisó:</w:t>
            </w:r>
          </w:p>
        </w:tc>
        <w:tc>
          <w:tcPr>
            <w:tcW w:w="4291" w:type="dxa"/>
            <w:tcBorders>
              <w:top w:val="dotted" w:sz="4" w:space="0" w:color="7F7F7F"/>
              <w:left w:val="nil"/>
              <w:bottom w:val="dotted" w:sz="4" w:space="0" w:color="7F7F7F"/>
              <w:right w:val="nil"/>
            </w:tcBorders>
            <w:vAlign w:val="center"/>
            <w:hideMark/>
          </w:tcPr>
          <w:p w14:paraId="4A5E64E5" w14:textId="72B4CAD4" w:rsidR="00B823FD" w:rsidRPr="002B6BAB" w:rsidRDefault="008865FA" w:rsidP="006934E0">
            <w:pPr>
              <w:rPr>
                <w:rFonts w:ascii="Arial" w:eastAsia="Times New Roman" w:hAnsi="Arial" w:cs="Arial"/>
                <w:sz w:val="16"/>
                <w:szCs w:val="16"/>
                <w:lang w:val="es-ES_tradnl" w:eastAsia="es-ES"/>
              </w:rPr>
            </w:pPr>
            <w:r>
              <w:rPr>
                <w:rFonts w:ascii="Arial" w:eastAsia="Times New Roman" w:hAnsi="Arial" w:cs="Arial"/>
                <w:sz w:val="16"/>
                <w:szCs w:val="16"/>
                <w:lang w:val="es-ES_tradnl" w:eastAsia="es-ES"/>
              </w:rPr>
              <w:t>Alejandro Sarmiento Cantillo</w:t>
            </w:r>
          </w:p>
          <w:p w14:paraId="22518567" w14:textId="0AFE5A22" w:rsidR="00B823FD" w:rsidRPr="002B6BAB" w:rsidRDefault="008865FA" w:rsidP="006934E0">
            <w:pPr>
              <w:rPr>
                <w:rFonts w:ascii="Arial" w:eastAsia="Times New Roman" w:hAnsi="Arial" w:cs="Arial"/>
                <w:sz w:val="16"/>
                <w:szCs w:val="16"/>
                <w:lang w:val="es-ES_tradnl" w:eastAsia="es-ES"/>
              </w:rPr>
            </w:pPr>
            <w:r>
              <w:rPr>
                <w:rFonts w:ascii="Arial" w:eastAsia="Times New Roman" w:hAnsi="Arial" w:cs="Arial"/>
                <w:sz w:val="16"/>
                <w:szCs w:val="16"/>
                <w:lang w:val="es-ES_tradnl" w:eastAsia="es-ES"/>
              </w:rPr>
              <w:t>Gestor T1-11</w:t>
            </w:r>
            <w:r w:rsidR="00B823FD" w:rsidRPr="002B6BAB">
              <w:rPr>
                <w:rFonts w:ascii="Arial" w:eastAsia="Times New Roman" w:hAnsi="Arial" w:cs="Arial"/>
                <w:sz w:val="16"/>
                <w:szCs w:val="16"/>
                <w:lang w:val="es-ES_tradnl" w:eastAsia="es-ES"/>
              </w:rPr>
              <w:t xml:space="preserve"> de la Subdirección de Gestión Contractual</w:t>
            </w:r>
          </w:p>
        </w:tc>
      </w:tr>
      <w:tr w:rsidR="00B823FD" w:rsidRPr="002B6BAB" w14:paraId="657F8654" w14:textId="77777777" w:rsidTr="006934E0">
        <w:trPr>
          <w:trHeight w:val="300"/>
        </w:trPr>
        <w:tc>
          <w:tcPr>
            <w:tcW w:w="812" w:type="dxa"/>
            <w:vAlign w:val="center"/>
            <w:hideMark/>
          </w:tcPr>
          <w:p w14:paraId="7EF35ADC" w14:textId="77777777" w:rsidR="00B823FD" w:rsidRPr="002B6BAB" w:rsidRDefault="00B823FD" w:rsidP="006934E0">
            <w:pPr>
              <w:rPr>
                <w:rFonts w:ascii="Arial" w:eastAsia="Times New Roman" w:hAnsi="Arial" w:cs="Arial"/>
                <w:sz w:val="16"/>
                <w:szCs w:val="16"/>
                <w:lang w:val="es-ES_tradnl" w:eastAsia="es-ES"/>
              </w:rPr>
            </w:pPr>
            <w:r w:rsidRPr="002B6BAB">
              <w:rPr>
                <w:rFonts w:ascii="Arial" w:eastAsia="Times New Roman" w:hAnsi="Arial" w:cs="Arial"/>
                <w:sz w:val="16"/>
                <w:szCs w:val="16"/>
                <w:lang w:val="es-ES_tradnl" w:eastAsia="es-ES"/>
              </w:rPr>
              <w:t>Aprobó:</w:t>
            </w:r>
          </w:p>
        </w:tc>
        <w:tc>
          <w:tcPr>
            <w:tcW w:w="4291" w:type="dxa"/>
            <w:tcBorders>
              <w:top w:val="dotted" w:sz="4" w:space="0" w:color="7F7F7F"/>
              <w:left w:val="nil"/>
              <w:bottom w:val="dotted" w:sz="4" w:space="0" w:color="7F7F7F"/>
              <w:right w:val="nil"/>
            </w:tcBorders>
            <w:vAlign w:val="center"/>
            <w:hideMark/>
          </w:tcPr>
          <w:p w14:paraId="58F197FE" w14:textId="77777777" w:rsidR="00B823FD" w:rsidRPr="002B6BAB" w:rsidRDefault="00B823FD" w:rsidP="006934E0">
            <w:pPr>
              <w:rPr>
                <w:rFonts w:ascii="Arial" w:eastAsia="Times New Roman" w:hAnsi="Arial" w:cs="Arial"/>
                <w:sz w:val="16"/>
                <w:szCs w:val="16"/>
                <w:lang w:val="es-ES_tradnl" w:eastAsia="es-ES"/>
              </w:rPr>
            </w:pPr>
            <w:r w:rsidRPr="002B6BAB">
              <w:rPr>
                <w:rFonts w:ascii="Arial" w:eastAsia="Times New Roman" w:hAnsi="Arial" w:cs="Arial"/>
                <w:sz w:val="16"/>
                <w:szCs w:val="16"/>
                <w:lang w:val="es-ES_tradnl" w:eastAsia="es-ES"/>
              </w:rPr>
              <w:t>Jorge Augusto Tirado Navarro</w:t>
            </w:r>
          </w:p>
          <w:p w14:paraId="4760BEAB" w14:textId="77777777" w:rsidR="00B823FD" w:rsidRPr="002B6BAB" w:rsidRDefault="00B823FD" w:rsidP="006934E0">
            <w:pPr>
              <w:rPr>
                <w:rFonts w:ascii="Arial" w:eastAsia="Times New Roman" w:hAnsi="Arial" w:cs="Arial"/>
                <w:sz w:val="16"/>
                <w:szCs w:val="16"/>
                <w:lang w:val="es-ES_tradnl" w:eastAsia="es-ES"/>
              </w:rPr>
            </w:pPr>
            <w:r w:rsidRPr="002B6BAB">
              <w:rPr>
                <w:rFonts w:ascii="Arial" w:eastAsia="Times New Roman" w:hAnsi="Arial" w:cs="Arial"/>
                <w:sz w:val="16"/>
                <w:szCs w:val="16"/>
                <w:lang w:val="es-ES_tradnl" w:eastAsia="es-ES"/>
              </w:rPr>
              <w:t>Subdirector de Gestión Contractual ANCP – CCE</w:t>
            </w:r>
          </w:p>
        </w:tc>
      </w:tr>
      <w:bookmarkEnd w:id="29"/>
    </w:tbl>
    <w:p w14:paraId="1DF44844" w14:textId="77777777" w:rsidR="00B823FD" w:rsidRDefault="00B823FD"/>
    <w:sectPr w:rsidR="00B823FD" w:rsidSect="003D603B">
      <w:headerReference w:type="default" r:id="rId10"/>
      <w:footerReference w:type="default" r:id="rId11"/>
      <w:pgSz w:w="12240" w:h="15840"/>
      <w:pgMar w:top="411" w:right="2317"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441CF" w14:textId="77777777" w:rsidR="006C0953" w:rsidRDefault="006C0953" w:rsidP="00B823FD">
      <w:pPr>
        <w:spacing w:after="0" w:line="240" w:lineRule="auto"/>
      </w:pPr>
      <w:r>
        <w:separator/>
      </w:r>
    </w:p>
  </w:endnote>
  <w:endnote w:type="continuationSeparator" w:id="0">
    <w:p w14:paraId="2BF9A2CB" w14:textId="77777777" w:rsidR="006C0953" w:rsidRDefault="006C0953" w:rsidP="00B82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FEC01" w14:textId="77777777" w:rsidR="00412132" w:rsidRDefault="00B643D6" w:rsidP="00B6444C">
    <w:pPr>
      <w:pStyle w:val="Sinespaciado"/>
      <w:rPr>
        <w:rFonts w:ascii="Arial" w:hAnsi="Arial" w:cs="Arial"/>
        <w:sz w:val="18"/>
        <w:szCs w:val="18"/>
      </w:rPr>
    </w:pPr>
  </w:p>
  <w:p w14:paraId="0FCDB756" w14:textId="77777777" w:rsidR="00412132" w:rsidRDefault="00B643D6" w:rsidP="00B6444C">
    <w:pPr>
      <w:pStyle w:val="Sinespaciado"/>
      <w:rPr>
        <w:rFonts w:ascii="Arial" w:hAnsi="Arial" w:cs="Arial"/>
        <w:sz w:val="18"/>
        <w:szCs w:val="18"/>
      </w:rPr>
    </w:pPr>
  </w:p>
  <w:p w14:paraId="61FF10F8" w14:textId="77777777" w:rsidR="00412132" w:rsidRPr="00AA4A3A" w:rsidRDefault="0059506E" w:rsidP="005A79FE">
    <w:pPr>
      <w:pStyle w:val="Piedepgina"/>
      <w:jc w:val="right"/>
      <w:rPr>
        <w:rFonts w:ascii="Arial" w:hAnsi="Arial" w:cs="Arial"/>
        <w:color w:val="7F7F7F"/>
        <w:sz w:val="16"/>
        <w:szCs w:val="16"/>
      </w:rPr>
    </w:pPr>
    <w:r w:rsidRPr="00AA4A3A">
      <w:rPr>
        <w:rFonts w:ascii="Arial" w:hAnsi="Arial" w:cs="Arial"/>
        <w:bCs/>
        <w:color w:val="7F7F7F"/>
        <w:sz w:val="16"/>
        <w:szCs w:val="16"/>
      </w:rPr>
      <w:t xml:space="preserve">Página </w:t>
    </w:r>
    <w:r w:rsidRPr="00AA4A3A">
      <w:rPr>
        <w:rFonts w:ascii="Arial" w:hAnsi="Arial" w:cs="Arial"/>
        <w:b/>
        <w:bCs/>
        <w:color w:val="7F7F7F"/>
        <w:sz w:val="16"/>
        <w:szCs w:val="16"/>
      </w:rPr>
      <w:fldChar w:fldCharType="begin"/>
    </w:r>
    <w:r w:rsidRPr="00AA4A3A">
      <w:rPr>
        <w:rFonts w:ascii="Arial" w:hAnsi="Arial" w:cs="Arial"/>
        <w:b/>
        <w:bCs/>
        <w:color w:val="7F7F7F"/>
        <w:sz w:val="16"/>
        <w:szCs w:val="16"/>
      </w:rPr>
      <w:instrText>PAGE  \* Arabic  \* MERGEFORMAT</w:instrText>
    </w:r>
    <w:r w:rsidRPr="00AA4A3A">
      <w:rPr>
        <w:rFonts w:ascii="Arial" w:hAnsi="Arial" w:cs="Arial"/>
        <w:b/>
        <w:bCs/>
        <w:color w:val="7F7F7F"/>
        <w:sz w:val="16"/>
        <w:szCs w:val="16"/>
      </w:rPr>
      <w:fldChar w:fldCharType="separate"/>
    </w:r>
    <w:r w:rsidRPr="00AA4A3A">
      <w:rPr>
        <w:rFonts w:ascii="Arial" w:hAnsi="Arial" w:cs="Arial"/>
        <w:b/>
        <w:bCs/>
        <w:noProof/>
        <w:color w:val="7F7F7F"/>
        <w:sz w:val="16"/>
        <w:szCs w:val="16"/>
      </w:rPr>
      <w:t>17</w:t>
    </w:r>
    <w:r w:rsidRPr="00AA4A3A">
      <w:rPr>
        <w:rFonts w:ascii="Arial" w:hAnsi="Arial" w:cs="Arial"/>
        <w:b/>
        <w:bCs/>
        <w:color w:val="7F7F7F"/>
        <w:sz w:val="16"/>
        <w:szCs w:val="16"/>
      </w:rPr>
      <w:fldChar w:fldCharType="end"/>
    </w:r>
    <w:r w:rsidRPr="00AA4A3A">
      <w:rPr>
        <w:rFonts w:ascii="Arial" w:hAnsi="Arial" w:cs="Arial"/>
        <w:color w:val="7F7F7F"/>
        <w:sz w:val="16"/>
        <w:szCs w:val="16"/>
      </w:rPr>
      <w:t xml:space="preserve"> de </w:t>
    </w:r>
    <w:r w:rsidRPr="00AA4A3A">
      <w:rPr>
        <w:rFonts w:ascii="Arial" w:hAnsi="Arial" w:cs="Arial"/>
        <w:b/>
        <w:bCs/>
        <w:color w:val="7F7F7F"/>
        <w:sz w:val="16"/>
        <w:szCs w:val="16"/>
      </w:rPr>
      <w:fldChar w:fldCharType="begin"/>
    </w:r>
    <w:r w:rsidRPr="00AA4A3A">
      <w:rPr>
        <w:rFonts w:ascii="Arial" w:hAnsi="Arial" w:cs="Arial"/>
        <w:b/>
        <w:bCs/>
        <w:color w:val="7F7F7F"/>
        <w:sz w:val="16"/>
        <w:szCs w:val="16"/>
      </w:rPr>
      <w:instrText>NUMPAGES  \* Arabic  \* MERGEFORMAT</w:instrText>
    </w:r>
    <w:r w:rsidRPr="00AA4A3A">
      <w:rPr>
        <w:rFonts w:ascii="Arial" w:hAnsi="Arial" w:cs="Arial"/>
        <w:b/>
        <w:bCs/>
        <w:color w:val="7F7F7F"/>
        <w:sz w:val="16"/>
        <w:szCs w:val="16"/>
      </w:rPr>
      <w:fldChar w:fldCharType="separate"/>
    </w:r>
    <w:r w:rsidRPr="00AA4A3A">
      <w:rPr>
        <w:rFonts w:ascii="Arial" w:hAnsi="Arial" w:cs="Arial"/>
        <w:b/>
        <w:bCs/>
        <w:noProof/>
        <w:color w:val="7F7F7F"/>
        <w:sz w:val="16"/>
        <w:szCs w:val="16"/>
      </w:rPr>
      <w:t>17</w:t>
    </w:r>
    <w:r w:rsidRPr="00AA4A3A">
      <w:rPr>
        <w:rFonts w:ascii="Arial" w:hAnsi="Arial" w:cs="Arial"/>
        <w:b/>
        <w:bCs/>
        <w:color w:val="7F7F7F"/>
        <w:sz w:val="16"/>
        <w:szCs w:val="16"/>
      </w:rPr>
      <w:fldChar w:fldCharType="end"/>
    </w:r>
  </w:p>
  <w:p w14:paraId="113AD2D0" w14:textId="77777777" w:rsidR="00412132" w:rsidRDefault="0059506E" w:rsidP="007B0854">
    <w:pPr>
      <w:pStyle w:val="Piedepgina"/>
      <w:jc w:val="center"/>
      <w:rPr>
        <w:lang w:val="es-ES"/>
      </w:rPr>
    </w:pPr>
    <w:r>
      <w:rPr>
        <w:noProof/>
        <w:lang w:val="es-CO" w:eastAsia="es-CO"/>
      </w:rPr>
      <w:drawing>
        <wp:inline distT="0" distB="0" distL="0" distR="0" wp14:anchorId="7FB7A844" wp14:editId="43BF2F2B">
          <wp:extent cx="4241994" cy="595165"/>
          <wp:effectExtent l="0" t="0" r="6350" b="0"/>
          <wp:docPr id="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18B62B70" w14:textId="77777777" w:rsidR="00412132" w:rsidRDefault="00B643D6" w:rsidP="007B0854">
    <w:pPr>
      <w:pStyle w:val="Piedepgina"/>
      <w:jc w:val="center"/>
      <w:rPr>
        <w:lang w:val="es-ES"/>
      </w:rPr>
    </w:pPr>
  </w:p>
  <w:p w14:paraId="1FAD322B" w14:textId="77777777" w:rsidR="00412132" w:rsidRPr="007B0854" w:rsidRDefault="00B643D6"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F0955" w14:textId="77777777" w:rsidR="006C0953" w:rsidRDefault="006C0953" w:rsidP="00B823FD">
      <w:pPr>
        <w:spacing w:after="0" w:line="240" w:lineRule="auto"/>
      </w:pPr>
      <w:r>
        <w:separator/>
      </w:r>
    </w:p>
  </w:footnote>
  <w:footnote w:type="continuationSeparator" w:id="0">
    <w:p w14:paraId="52DDC73C" w14:textId="77777777" w:rsidR="006C0953" w:rsidRDefault="006C0953" w:rsidP="00B823FD">
      <w:pPr>
        <w:spacing w:after="0" w:line="240" w:lineRule="auto"/>
      </w:pPr>
      <w:r>
        <w:continuationSeparator/>
      </w:r>
    </w:p>
  </w:footnote>
  <w:footnote w:id="1">
    <w:p w14:paraId="0B9936F9" w14:textId="77777777" w:rsidR="000709DE" w:rsidRPr="001C4698" w:rsidRDefault="000709DE" w:rsidP="004D5103">
      <w:pPr>
        <w:pStyle w:val="Textonotapie"/>
        <w:spacing w:after="0" w:line="240" w:lineRule="auto"/>
        <w:ind w:firstLine="708"/>
        <w:rPr>
          <w:rFonts w:ascii="Arial" w:hAnsi="Arial" w:cs="Arial"/>
          <w:sz w:val="18"/>
          <w:szCs w:val="18"/>
        </w:rPr>
      </w:pPr>
      <w:r w:rsidRPr="001C4698">
        <w:rPr>
          <w:rStyle w:val="Refdenotaalpie"/>
          <w:rFonts w:ascii="Arial" w:hAnsi="Arial" w:cs="Arial"/>
          <w:sz w:val="18"/>
          <w:szCs w:val="18"/>
        </w:rPr>
        <w:footnoteRef/>
      </w:r>
      <w:r w:rsidRPr="001C4698">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0907A61F" w14:textId="77777777" w:rsidR="00B823FD" w:rsidRPr="001C4698" w:rsidRDefault="00B823FD" w:rsidP="004D5103">
      <w:pPr>
        <w:pStyle w:val="Textonotapie"/>
        <w:spacing w:after="0" w:line="240" w:lineRule="auto"/>
        <w:ind w:firstLine="709"/>
        <w:rPr>
          <w:rFonts w:ascii="Arial" w:hAnsi="Arial" w:cs="Arial"/>
          <w:sz w:val="19"/>
          <w:szCs w:val="19"/>
        </w:rPr>
      </w:pPr>
      <w:r w:rsidRPr="001C4698">
        <w:rPr>
          <w:rStyle w:val="Refdenotaalpie"/>
          <w:rFonts w:ascii="Arial" w:hAnsi="Arial" w:cs="Arial"/>
          <w:sz w:val="19"/>
          <w:szCs w:val="19"/>
        </w:rPr>
        <w:footnoteRef/>
      </w:r>
      <w:r w:rsidRPr="001C4698">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057CB8E0" w14:textId="77777777" w:rsidR="00B823FD" w:rsidRPr="001C4698" w:rsidRDefault="00B823FD" w:rsidP="004D5103">
      <w:pPr>
        <w:pStyle w:val="Textonotapie"/>
        <w:spacing w:after="0" w:line="240" w:lineRule="auto"/>
        <w:ind w:firstLine="709"/>
        <w:rPr>
          <w:rFonts w:ascii="Arial" w:hAnsi="Arial" w:cs="Arial"/>
          <w:sz w:val="19"/>
          <w:szCs w:val="19"/>
        </w:rPr>
      </w:pPr>
      <w:r w:rsidRPr="001C4698">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1CCD130A" w14:textId="77777777" w:rsidR="00B823FD" w:rsidRPr="001C4698" w:rsidRDefault="00B823FD" w:rsidP="004D5103">
      <w:pPr>
        <w:pStyle w:val="Textonotapie"/>
        <w:spacing w:after="0" w:line="240" w:lineRule="auto"/>
        <w:ind w:firstLine="709"/>
        <w:rPr>
          <w:rFonts w:ascii="Arial" w:hAnsi="Arial" w:cs="Arial"/>
          <w:sz w:val="19"/>
          <w:szCs w:val="19"/>
        </w:rPr>
      </w:pPr>
    </w:p>
  </w:footnote>
  <w:footnote w:id="3">
    <w:p w14:paraId="026019D0" w14:textId="77777777" w:rsidR="00B823FD" w:rsidRPr="001C4698" w:rsidRDefault="00B823FD" w:rsidP="004D5103">
      <w:pPr>
        <w:pStyle w:val="Textonotapie"/>
        <w:spacing w:after="0" w:line="240" w:lineRule="auto"/>
        <w:ind w:firstLine="709"/>
        <w:rPr>
          <w:rFonts w:ascii="Arial" w:hAnsi="Arial" w:cs="Arial"/>
          <w:sz w:val="19"/>
          <w:szCs w:val="19"/>
        </w:rPr>
      </w:pPr>
      <w:r w:rsidRPr="001C4698">
        <w:rPr>
          <w:rStyle w:val="Refdenotaalpie"/>
          <w:rFonts w:ascii="Arial" w:hAnsi="Arial" w:cs="Arial"/>
          <w:sz w:val="19"/>
          <w:szCs w:val="19"/>
        </w:rPr>
        <w:footnoteRef/>
      </w:r>
      <w:r w:rsidRPr="001C4698">
        <w:rPr>
          <w:rFonts w:ascii="Arial" w:hAnsi="Arial" w:cs="Arial"/>
          <w:sz w:val="19"/>
          <w:szCs w:val="19"/>
        </w:rPr>
        <w:t xml:space="preserve"> Gaceta del Congreso de la República No. 71 del 2005.</w:t>
      </w:r>
    </w:p>
  </w:footnote>
  <w:footnote w:id="4">
    <w:p w14:paraId="745A114C" w14:textId="6E7B21A6" w:rsidR="00B823FD" w:rsidRPr="001C4698" w:rsidRDefault="00B823FD" w:rsidP="004D5103">
      <w:pPr>
        <w:pStyle w:val="Textonotapie"/>
        <w:spacing w:after="0" w:line="240" w:lineRule="auto"/>
        <w:ind w:firstLine="709"/>
        <w:rPr>
          <w:rFonts w:ascii="Arial" w:hAnsi="Arial" w:cs="Arial"/>
          <w:sz w:val="19"/>
          <w:szCs w:val="19"/>
        </w:rPr>
      </w:pPr>
      <w:r w:rsidRPr="001C4698">
        <w:rPr>
          <w:rStyle w:val="Refdenotaalpie"/>
          <w:rFonts w:ascii="Arial" w:hAnsi="Arial" w:cs="Arial"/>
          <w:sz w:val="19"/>
          <w:szCs w:val="19"/>
        </w:rPr>
        <w:footnoteRef/>
      </w:r>
      <w:r w:rsidRPr="001C4698">
        <w:rPr>
          <w:rFonts w:ascii="Arial" w:hAnsi="Arial" w:cs="Arial"/>
          <w:sz w:val="19"/>
          <w:szCs w:val="19"/>
        </w:rPr>
        <w:t xml:space="preserve"> Corte Constitucional, Sentencia C- 1153 de 2005, M.P. Marco Gerardo Monroy Cabra.</w:t>
      </w:r>
    </w:p>
  </w:footnote>
  <w:footnote w:id="5">
    <w:p w14:paraId="3E567457" w14:textId="77777777" w:rsidR="00B823FD" w:rsidRPr="001C4698" w:rsidRDefault="00B823FD" w:rsidP="004D5103">
      <w:pPr>
        <w:pStyle w:val="Textonotapie"/>
        <w:spacing w:after="0" w:line="240" w:lineRule="auto"/>
        <w:ind w:firstLine="709"/>
        <w:rPr>
          <w:rFonts w:ascii="Arial" w:hAnsi="Arial" w:cs="Arial"/>
          <w:sz w:val="19"/>
          <w:szCs w:val="19"/>
        </w:rPr>
      </w:pPr>
      <w:r w:rsidRPr="001C4698">
        <w:rPr>
          <w:rStyle w:val="Refdenotaalpie"/>
          <w:rFonts w:ascii="Arial" w:hAnsi="Arial" w:cs="Arial"/>
          <w:sz w:val="19"/>
          <w:szCs w:val="19"/>
        </w:rPr>
        <w:footnoteRef/>
      </w:r>
      <w:r w:rsidRPr="001C4698">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15B9FE75" w14:textId="77777777" w:rsidR="00B823FD" w:rsidRPr="001C4698" w:rsidRDefault="00B823FD" w:rsidP="004D5103">
      <w:pPr>
        <w:pStyle w:val="Textonotapie"/>
        <w:spacing w:after="0" w:line="240" w:lineRule="auto"/>
        <w:ind w:firstLine="709"/>
        <w:rPr>
          <w:rFonts w:ascii="Arial" w:hAnsi="Arial" w:cs="Arial"/>
          <w:sz w:val="19"/>
          <w:szCs w:val="19"/>
        </w:rPr>
      </w:pPr>
    </w:p>
  </w:footnote>
  <w:footnote w:id="6">
    <w:p w14:paraId="1B63819C" w14:textId="77777777" w:rsidR="00B823FD" w:rsidRPr="001C4698" w:rsidRDefault="00B823FD" w:rsidP="004D5103">
      <w:pPr>
        <w:pStyle w:val="Textonotapie"/>
        <w:spacing w:after="0" w:line="240" w:lineRule="auto"/>
        <w:ind w:firstLine="709"/>
        <w:rPr>
          <w:rFonts w:ascii="Arial" w:hAnsi="Arial" w:cs="Arial"/>
          <w:sz w:val="19"/>
          <w:szCs w:val="19"/>
          <w:lang w:val="es-CO"/>
        </w:rPr>
      </w:pPr>
      <w:r w:rsidRPr="001C4698">
        <w:rPr>
          <w:rStyle w:val="Refdenotaalpie"/>
          <w:rFonts w:ascii="Arial" w:hAnsi="Arial" w:cs="Arial"/>
          <w:sz w:val="19"/>
          <w:szCs w:val="19"/>
        </w:rPr>
        <w:footnoteRef/>
      </w:r>
      <w:r w:rsidRPr="001C4698">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7">
    <w:p w14:paraId="0AC8C434" w14:textId="77777777" w:rsidR="004057D3" w:rsidRPr="001C4698" w:rsidRDefault="004057D3" w:rsidP="004D5103">
      <w:pPr>
        <w:pStyle w:val="Textonotapie"/>
        <w:spacing w:after="0" w:line="240" w:lineRule="auto"/>
        <w:ind w:firstLine="709"/>
        <w:rPr>
          <w:rFonts w:ascii="Arial" w:hAnsi="Arial" w:cs="Arial"/>
          <w:sz w:val="19"/>
          <w:szCs w:val="19"/>
        </w:rPr>
      </w:pPr>
    </w:p>
    <w:p w14:paraId="07D0D880" w14:textId="04C6CE3A" w:rsidR="00B823FD" w:rsidRPr="001C4698" w:rsidRDefault="00B823FD" w:rsidP="004D5103">
      <w:pPr>
        <w:pStyle w:val="Textonotapie"/>
        <w:spacing w:after="0" w:line="240" w:lineRule="auto"/>
        <w:ind w:firstLine="709"/>
        <w:rPr>
          <w:rFonts w:ascii="Arial" w:hAnsi="Arial" w:cs="Arial"/>
          <w:sz w:val="19"/>
          <w:szCs w:val="19"/>
        </w:rPr>
      </w:pPr>
      <w:r w:rsidRPr="001C4698">
        <w:rPr>
          <w:rStyle w:val="Refdenotaalpie"/>
          <w:rFonts w:ascii="Arial" w:hAnsi="Arial" w:cs="Arial"/>
          <w:sz w:val="19"/>
          <w:szCs w:val="19"/>
        </w:rPr>
        <w:footnoteRef/>
      </w:r>
      <w:r w:rsidRPr="001C4698">
        <w:rPr>
          <w:rFonts w:ascii="Arial" w:hAnsi="Arial" w:cs="Arial"/>
          <w:sz w:val="19"/>
          <w:szCs w:val="19"/>
        </w:rPr>
        <w:t xml:space="preserve"> Consejo de Estado, Sala de Consulta y Servicio Civil de fecha 24 de julio de 2013, radicado 2166, Consejero Ponente: Álvaro Namén Vargas.  </w:t>
      </w:r>
    </w:p>
  </w:footnote>
  <w:footnote w:id="8">
    <w:p w14:paraId="720E4C7C" w14:textId="77777777" w:rsidR="00B823FD" w:rsidRPr="001C4698" w:rsidRDefault="00B823FD" w:rsidP="004D5103">
      <w:pPr>
        <w:spacing w:after="0" w:line="240" w:lineRule="auto"/>
        <w:ind w:firstLine="709"/>
        <w:jc w:val="both"/>
        <w:rPr>
          <w:rFonts w:ascii="Arial" w:eastAsia="Times New Roman" w:hAnsi="Arial" w:cs="Arial"/>
          <w:sz w:val="19"/>
          <w:szCs w:val="19"/>
        </w:rPr>
      </w:pPr>
      <w:r w:rsidRPr="001C4698">
        <w:rPr>
          <w:rStyle w:val="Refdenotaalpie"/>
          <w:rFonts w:ascii="Arial" w:hAnsi="Arial" w:cs="Arial"/>
          <w:sz w:val="19"/>
          <w:szCs w:val="19"/>
        </w:rPr>
        <w:footnoteRef/>
      </w:r>
      <w:r w:rsidRPr="001C4698">
        <w:rPr>
          <w:rFonts w:ascii="Arial" w:hAnsi="Arial" w:cs="Arial"/>
          <w:sz w:val="19"/>
          <w:szCs w:val="19"/>
        </w:rPr>
        <w:t xml:space="preserve"> </w:t>
      </w:r>
      <w:bookmarkStart w:id="7" w:name="33"/>
      <w:r w:rsidRPr="001C4698">
        <w:rPr>
          <w:rFonts w:ascii="Arial" w:eastAsia="Calibri" w:hAnsi="Arial" w:cs="Arial"/>
          <w:bCs/>
          <w:color w:val="000000"/>
          <w:sz w:val="19"/>
          <w:szCs w:val="19"/>
        </w:rPr>
        <w:t>«</w:t>
      </w:r>
      <w:r w:rsidRPr="001C4698">
        <w:rPr>
          <w:rFonts w:ascii="Arial" w:eastAsia="Times New Roman" w:hAnsi="Arial" w:cs="Arial"/>
          <w:sz w:val="19"/>
          <w:szCs w:val="19"/>
        </w:rPr>
        <w:t>Artículo 33. Restricciones a la contratación pública.</w:t>
      </w:r>
      <w:bookmarkEnd w:id="7"/>
      <w:r w:rsidRPr="001C4698">
        <w:rPr>
          <w:rFonts w:ascii="Arial" w:eastAsia="Times New Roman"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299934C6" w14:textId="6BE5A8CD" w:rsidR="00B823FD" w:rsidRPr="001C4698" w:rsidRDefault="00B823FD" w:rsidP="004D5103">
      <w:pPr>
        <w:spacing w:after="0" w:line="240" w:lineRule="auto"/>
        <w:ind w:firstLine="709"/>
        <w:jc w:val="both"/>
        <w:rPr>
          <w:rFonts w:ascii="Arial" w:eastAsia="Times New Roman" w:hAnsi="Arial" w:cs="Arial"/>
          <w:sz w:val="19"/>
          <w:szCs w:val="19"/>
        </w:rPr>
      </w:pPr>
      <w:r w:rsidRPr="001C4698">
        <w:rPr>
          <w:rFonts w:ascii="Arial" w:eastAsia="Calibri" w:hAnsi="Arial" w:cs="Arial"/>
          <w:bCs/>
          <w:color w:val="000000"/>
          <w:sz w:val="19"/>
          <w:szCs w:val="19"/>
        </w:rPr>
        <w:t>»</w:t>
      </w:r>
      <w:r w:rsidRPr="001C4698">
        <w:rPr>
          <w:rFonts w:ascii="Arial" w:eastAsia="Times New Roman"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1C4698">
        <w:rPr>
          <w:rFonts w:ascii="Arial" w:eastAsia="Calibri" w:hAnsi="Arial" w:cs="Arial"/>
          <w:bCs/>
          <w:color w:val="000000"/>
          <w:sz w:val="19"/>
          <w:szCs w:val="19"/>
        </w:rPr>
        <w:t>»</w:t>
      </w:r>
      <w:r w:rsidRPr="001C4698">
        <w:rPr>
          <w:rFonts w:ascii="Arial" w:eastAsia="Times New Roman" w:hAnsi="Arial" w:cs="Arial"/>
          <w:sz w:val="19"/>
          <w:szCs w:val="19"/>
        </w:rPr>
        <w:t>.</w:t>
      </w:r>
    </w:p>
    <w:p w14:paraId="6489B2E3" w14:textId="77777777" w:rsidR="004057D3" w:rsidRPr="001C4698" w:rsidRDefault="004057D3" w:rsidP="004D5103">
      <w:pPr>
        <w:spacing w:after="0" w:line="240" w:lineRule="auto"/>
        <w:ind w:firstLine="709"/>
        <w:jc w:val="both"/>
        <w:rPr>
          <w:rFonts w:ascii="Arial" w:eastAsia="Times New Roman" w:hAnsi="Arial" w:cs="Arial"/>
          <w:sz w:val="19"/>
          <w:szCs w:val="19"/>
        </w:rPr>
      </w:pPr>
    </w:p>
  </w:footnote>
  <w:footnote w:id="9">
    <w:p w14:paraId="758A4FFE" w14:textId="77777777" w:rsidR="00B823FD" w:rsidRPr="001C4698" w:rsidRDefault="00B823FD" w:rsidP="004D5103">
      <w:pPr>
        <w:pStyle w:val="NormalWeb"/>
        <w:spacing w:before="0" w:beforeAutospacing="0" w:after="0" w:afterAutospacing="0" w:line="240" w:lineRule="auto"/>
        <w:ind w:firstLine="709"/>
        <w:rPr>
          <w:rFonts w:ascii="Arial" w:hAnsi="Arial" w:cs="Arial"/>
          <w:sz w:val="19"/>
          <w:szCs w:val="19"/>
          <w:lang w:val="es-MX"/>
        </w:rPr>
      </w:pPr>
      <w:r w:rsidRPr="001C4698">
        <w:rPr>
          <w:rStyle w:val="Refdenotaalpie"/>
          <w:rFonts w:ascii="Arial" w:hAnsi="Arial" w:cs="Arial"/>
          <w:sz w:val="19"/>
          <w:szCs w:val="19"/>
        </w:rPr>
        <w:footnoteRef/>
      </w:r>
      <w:r w:rsidRPr="001C4698">
        <w:rPr>
          <w:rFonts w:ascii="Arial" w:hAnsi="Arial" w:cs="Arial"/>
          <w:sz w:val="19"/>
          <w:szCs w:val="19"/>
        </w:rPr>
        <w:t xml:space="preserve"> </w:t>
      </w:r>
      <w:bookmarkStart w:id="8" w:name="38"/>
      <w:r w:rsidRPr="001C4698">
        <w:rPr>
          <w:rFonts w:ascii="Arial" w:eastAsia="Calibri" w:hAnsi="Arial" w:cs="Arial"/>
          <w:bCs/>
          <w:color w:val="000000"/>
          <w:sz w:val="19"/>
          <w:szCs w:val="19"/>
        </w:rPr>
        <w:t>«</w:t>
      </w:r>
      <w:r w:rsidRPr="001C4698">
        <w:rPr>
          <w:rFonts w:ascii="Arial" w:hAnsi="Arial" w:cs="Arial"/>
          <w:sz w:val="19"/>
          <w:szCs w:val="19"/>
          <w:lang w:val="es-MX"/>
        </w:rPr>
        <w:t>Artículo 38. Prohibiciones para los servidores públicos. A los empleados del Estado les está prohibido:</w:t>
      </w:r>
      <w:bookmarkEnd w:id="8"/>
    </w:p>
    <w:p w14:paraId="562BA8BA" w14:textId="77777777" w:rsidR="00B823FD" w:rsidRPr="001C4698" w:rsidRDefault="00B823FD" w:rsidP="004D5103">
      <w:pPr>
        <w:pStyle w:val="NormalWeb"/>
        <w:spacing w:before="0" w:beforeAutospacing="0" w:after="0" w:afterAutospacing="0" w:line="240" w:lineRule="auto"/>
        <w:ind w:firstLine="709"/>
        <w:rPr>
          <w:rFonts w:ascii="Arial" w:hAnsi="Arial" w:cs="Arial"/>
          <w:sz w:val="19"/>
          <w:szCs w:val="19"/>
          <w:lang w:val="es-MX"/>
        </w:rPr>
      </w:pPr>
      <w:r w:rsidRPr="001C4698">
        <w:rPr>
          <w:rFonts w:ascii="Arial" w:eastAsia="Calibri" w:hAnsi="Arial" w:cs="Arial"/>
          <w:bCs/>
          <w:color w:val="000000"/>
          <w:sz w:val="19"/>
          <w:szCs w:val="19"/>
        </w:rPr>
        <w:t>»</w:t>
      </w:r>
      <w:r w:rsidRPr="001C4698">
        <w:rPr>
          <w:rFonts w:ascii="Arial" w:hAnsi="Arial" w:cs="Arial"/>
          <w:sz w:val="19"/>
          <w:szCs w:val="19"/>
          <w:lang w:val="es-MX"/>
        </w:rPr>
        <w:t xml:space="preserve"> […]</w:t>
      </w:r>
    </w:p>
    <w:p w14:paraId="3F5C2E70" w14:textId="59E2305B" w:rsidR="00B823FD" w:rsidRPr="001C4698" w:rsidRDefault="00B823FD" w:rsidP="004D5103">
      <w:pPr>
        <w:pStyle w:val="NormalWeb"/>
        <w:spacing w:before="0" w:beforeAutospacing="0" w:after="0" w:afterAutospacing="0" w:line="240" w:lineRule="auto"/>
        <w:ind w:firstLine="709"/>
        <w:rPr>
          <w:rFonts w:ascii="Arial" w:hAnsi="Arial" w:cs="Arial"/>
          <w:sz w:val="19"/>
          <w:szCs w:val="19"/>
          <w:lang w:val="es-MX"/>
        </w:rPr>
      </w:pPr>
      <w:r w:rsidRPr="001C4698">
        <w:rPr>
          <w:rFonts w:ascii="Arial" w:eastAsia="Calibri" w:hAnsi="Arial" w:cs="Arial"/>
          <w:bCs/>
          <w:color w:val="000000"/>
          <w:sz w:val="19"/>
          <w:szCs w:val="19"/>
        </w:rPr>
        <w:t>»</w:t>
      </w:r>
      <w:r w:rsidRPr="001C4698">
        <w:rPr>
          <w:rStyle w:val="baj"/>
          <w:rFonts w:ascii="Arial" w:hAnsi="Arial" w:cs="Arial"/>
          <w:sz w:val="19"/>
          <w:szCs w:val="19"/>
          <w:lang w:val="es-MX"/>
        </w:rPr>
        <w:t xml:space="preserve"> Parágrafo.</w:t>
      </w:r>
      <w:r w:rsidRPr="001C4698">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1C4698">
        <w:rPr>
          <w:rFonts w:ascii="Arial" w:eastAsia="Calibri" w:hAnsi="Arial" w:cs="Arial"/>
          <w:bCs/>
          <w:color w:val="000000"/>
          <w:sz w:val="19"/>
          <w:szCs w:val="19"/>
        </w:rPr>
        <w:t>»</w:t>
      </w:r>
      <w:r w:rsidRPr="001C4698">
        <w:rPr>
          <w:rFonts w:ascii="Arial" w:hAnsi="Arial" w:cs="Arial"/>
          <w:sz w:val="19"/>
          <w:szCs w:val="19"/>
          <w:lang w:val="es-MX"/>
        </w:rPr>
        <w:t>.</w:t>
      </w:r>
    </w:p>
  </w:footnote>
  <w:footnote w:id="10">
    <w:p w14:paraId="4E6E5860" w14:textId="77777777" w:rsidR="00B823FD" w:rsidRPr="001C4698" w:rsidRDefault="00B823FD" w:rsidP="004D5103">
      <w:pPr>
        <w:spacing w:after="0" w:line="240" w:lineRule="auto"/>
        <w:ind w:left="100" w:right="244" w:firstLine="709"/>
        <w:jc w:val="both"/>
        <w:rPr>
          <w:rFonts w:ascii="Arial" w:hAnsi="Arial" w:cs="Arial"/>
          <w:sz w:val="19"/>
          <w:szCs w:val="19"/>
          <w:lang w:val="es-ES"/>
        </w:rPr>
      </w:pPr>
      <w:r w:rsidRPr="001C4698">
        <w:rPr>
          <w:rStyle w:val="Refdenotaalpie"/>
          <w:rFonts w:ascii="Arial" w:hAnsi="Arial" w:cs="Arial"/>
          <w:sz w:val="19"/>
          <w:szCs w:val="19"/>
        </w:rPr>
        <w:footnoteRef/>
      </w:r>
      <w:r w:rsidRPr="001C4698">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1">
    <w:p w14:paraId="7A4144F8" w14:textId="36E48488" w:rsidR="00B823FD" w:rsidRPr="001C4698" w:rsidRDefault="00B823FD" w:rsidP="004D5103">
      <w:pPr>
        <w:pStyle w:val="Textonotapie"/>
        <w:spacing w:after="0" w:line="240" w:lineRule="auto"/>
        <w:ind w:firstLine="709"/>
        <w:rPr>
          <w:rFonts w:ascii="Arial" w:hAnsi="Arial" w:cs="Arial"/>
          <w:sz w:val="19"/>
          <w:szCs w:val="19"/>
        </w:rPr>
      </w:pPr>
      <w:r w:rsidRPr="001C4698">
        <w:rPr>
          <w:rStyle w:val="Refdenotaalpie"/>
          <w:rFonts w:ascii="Arial" w:hAnsi="Arial" w:cs="Arial"/>
          <w:sz w:val="19"/>
          <w:szCs w:val="19"/>
        </w:rPr>
        <w:footnoteRef/>
      </w:r>
      <w:r w:rsidRPr="001C4698">
        <w:rPr>
          <w:rFonts w:ascii="Arial" w:hAnsi="Arial" w:cs="Arial"/>
          <w:sz w:val="19"/>
          <w:szCs w:val="19"/>
        </w:rPr>
        <w:t xml:space="preserve"> Que en su artículo 141 establece: «La presente Ley rige a partir de la fecha de su publicación y surte efectos fiscales a partir del 1 de enero de 2022».</w:t>
      </w:r>
    </w:p>
    <w:p w14:paraId="77BD1970" w14:textId="77777777" w:rsidR="00073C80" w:rsidRPr="001C4698" w:rsidRDefault="00073C80" w:rsidP="004D5103">
      <w:pPr>
        <w:pStyle w:val="Textonotapie"/>
        <w:spacing w:after="0" w:line="240" w:lineRule="auto"/>
        <w:ind w:firstLine="709"/>
        <w:rPr>
          <w:rFonts w:ascii="Arial" w:hAnsi="Arial" w:cs="Arial"/>
          <w:sz w:val="19"/>
          <w:szCs w:val="19"/>
        </w:rPr>
      </w:pPr>
    </w:p>
  </w:footnote>
  <w:footnote w:id="12">
    <w:p w14:paraId="34FFE617" w14:textId="77777777" w:rsidR="00B823FD" w:rsidRPr="001C4698" w:rsidRDefault="00B823FD" w:rsidP="004D5103">
      <w:pPr>
        <w:pStyle w:val="Textonotapie"/>
        <w:spacing w:after="0" w:line="240" w:lineRule="auto"/>
        <w:ind w:firstLine="709"/>
        <w:rPr>
          <w:rFonts w:ascii="Arial" w:hAnsi="Arial" w:cs="Arial"/>
          <w:sz w:val="19"/>
          <w:szCs w:val="19"/>
          <w:lang w:val="es-ES"/>
        </w:rPr>
      </w:pPr>
      <w:r w:rsidRPr="001C4698">
        <w:rPr>
          <w:rStyle w:val="Refdenotaalpie"/>
          <w:rFonts w:ascii="Arial" w:hAnsi="Arial" w:cs="Arial"/>
          <w:sz w:val="19"/>
          <w:szCs w:val="19"/>
        </w:rPr>
        <w:footnoteRef/>
      </w:r>
      <w:r w:rsidRPr="001C4698">
        <w:rPr>
          <w:rFonts w:ascii="Arial" w:hAnsi="Arial" w:cs="Arial"/>
          <w:sz w:val="19"/>
          <w:szCs w:val="19"/>
        </w:rPr>
        <w:t xml:space="preserve"> </w:t>
      </w:r>
      <w:r w:rsidRPr="001C4698">
        <w:rPr>
          <w:rFonts w:ascii="Arial" w:hAnsi="Arial" w:cs="Arial"/>
          <w:sz w:val="19"/>
          <w:szCs w:val="19"/>
          <w:lang w:val="es-ES"/>
        </w:rPr>
        <w:t xml:space="preserve">Correspondiente al Proyecto de Ley 158/21 Cámara y 096/2021 Senado, cuyo texto definitivo fue aprobado en plenaria del Senado de la República el día 19 de octubre de 2021, según la Gaceta  del Congreso de la República nro. 1496. </w:t>
      </w:r>
    </w:p>
  </w:footnote>
  <w:footnote w:id="13">
    <w:p w14:paraId="79B21EF6" w14:textId="5565F01E" w:rsidR="00AE332C" w:rsidRPr="001C4698" w:rsidRDefault="00AE332C" w:rsidP="004D5103">
      <w:pPr>
        <w:spacing w:after="0" w:line="240" w:lineRule="auto"/>
        <w:ind w:firstLine="709"/>
        <w:jc w:val="both"/>
        <w:rPr>
          <w:rFonts w:ascii="Arial" w:hAnsi="Arial" w:cs="Arial"/>
          <w:sz w:val="19"/>
          <w:szCs w:val="19"/>
        </w:rPr>
      </w:pPr>
      <w:r w:rsidRPr="001C4698">
        <w:rPr>
          <w:rStyle w:val="Refdenotaalpie"/>
          <w:rFonts w:ascii="Arial" w:hAnsi="Arial" w:cs="Arial"/>
          <w:sz w:val="19"/>
          <w:szCs w:val="19"/>
        </w:rPr>
        <w:footnoteRef/>
      </w:r>
      <w:r w:rsidRPr="001C4698">
        <w:rPr>
          <w:rFonts w:ascii="Arial" w:hAnsi="Arial" w:cs="Arial"/>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14">
    <w:p w14:paraId="582ACDE8" w14:textId="77777777" w:rsidR="00B823FD" w:rsidRPr="001C4698" w:rsidRDefault="00B823FD" w:rsidP="004D5103">
      <w:pPr>
        <w:pStyle w:val="Textonotapie"/>
        <w:spacing w:after="0" w:line="240" w:lineRule="auto"/>
        <w:ind w:right="51" w:firstLine="709"/>
        <w:rPr>
          <w:rFonts w:ascii="Arial" w:hAnsi="Arial" w:cs="Arial"/>
          <w:sz w:val="19"/>
          <w:szCs w:val="19"/>
        </w:rPr>
      </w:pPr>
      <w:r w:rsidRPr="001C4698">
        <w:rPr>
          <w:rStyle w:val="Refdenotaalpie"/>
          <w:rFonts w:ascii="Arial" w:hAnsi="Arial" w:cs="Arial"/>
          <w:sz w:val="19"/>
          <w:szCs w:val="19"/>
        </w:rPr>
        <w:footnoteRef/>
      </w:r>
      <w:r w:rsidRPr="001C4698">
        <w:rPr>
          <w:rFonts w:ascii="Arial" w:hAnsi="Arial" w:cs="Arial"/>
          <w:sz w:val="19"/>
          <w:szCs w:val="19"/>
        </w:rPr>
        <w:t xml:space="preserve"> </w:t>
      </w:r>
      <w:bookmarkStart w:id="14" w:name="_Hlk74272731"/>
      <w:r w:rsidRPr="001C4698">
        <w:rPr>
          <w:rFonts w:ascii="Arial" w:hAnsi="Arial" w:cs="Arial"/>
          <w:sz w:val="19"/>
          <w:szCs w:val="19"/>
        </w:rPr>
        <w:t>«</w:t>
      </w:r>
      <w:bookmarkEnd w:id="14"/>
      <w:r w:rsidRPr="001C4698">
        <w:rPr>
          <w:rFonts w:ascii="Arial" w:hAnsi="Arial" w:cs="Arial"/>
          <w:sz w:val="19"/>
          <w:szCs w:val="19"/>
          <w:lang w:val="es-ES"/>
        </w:rPr>
        <w:t xml:space="preserve">[25] </w:t>
      </w:r>
      <w:r w:rsidRPr="001C4698">
        <w:rPr>
          <w:rFonts w:ascii="Arial" w:hAnsi="Arial" w:cs="Arial"/>
          <w:sz w:val="19"/>
          <w:szCs w:val="19"/>
        </w:rPr>
        <w:t>Cfr. Consejo de Estado. Sección Tercera. Sentencia de 3 de diciembre de 2007. Radicados: 24.715, 25.206, 25.409, 24.524, 27.834, 25.410, 26.105, 28.244, 31.447 -acumulados-</w:t>
      </w:r>
      <w:bookmarkStart w:id="15" w:name="_Hlk74271358"/>
      <w:r w:rsidRPr="001C4698">
        <w:rPr>
          <w:rFonts w:ascii="Arial" w:hAnsi="Arial" w:cs="Arial"/>
          <w:sz w:val="19"/>
          <w:szCs w:val="19"/>
        </w:rPr>
        <w:t>»</w:t>
      </w:r>
      <w:bookmarkEnd w:id="15"/>
      <w:r w:rsidRPr="001C4698">
        <w:rPr>
          <w:rFonts w:ascii="Arial" w:hAnsi="Arial" w:cs="Arial"/>
          <w:sz w:val="19"/>
          <w:szCs w:val="19"/>
        </w:rPr>
        <w:t>.</w:t>
      </w:r>
    </w:p>
  </w:footnote>
  <w:footnote w:id="15">
    <w:p w14:paraId="7D2A170B" w14:textId="77777777" w:rsidR="00B823FD" w:rsidRPr="001C4698" w:rsidRDefault="00B823FD" w:rsidP="004D5103">
      <w:pPr>
        <w:pStyle w:val="Textonotapie"/>
        <w:spacing w:after="0" w:line="240" w:lineRule="auto"/>
        <w:ind w:right="51" w:firstLine="709"/>
        <w:rPr>
          <w:rFonts w:ascii="Arial" w:hAnsi="Arial" w:cs="Arial"/>
          <w:sz w:val="19"/>
          <w:szCs w:val="19"/>
        </w:rPr>
      </w:pPr>
      <w:r w:rsidRPr="001C4698">
        <w:rPr>
          <w:rStyle w:val="Refdenotaalpie"/>
          <w:rFonts w:ascii="Arial" w:hAnsi="Arial" w:cs="Arial"/>
          <w:sz w:val="19"/>
          <w:szCs w:val="19"/>
        </w:rPr>
        <w:footnoteRef/>
      </w:r>
      <w:r w:rsidRPr="001C4698">
        <w:rPr>
          <w:rFonts w:ascii="Arial" w:hAnsi="Arial" w:cs="Arial"/>
          <w:sz w:val="19"/>
          <w:szCs w:val="19"/>
        </w:rPr>
        <w:t xml:space="preserve"> </w:t>
      </w:r>
      <w:bookmarkStart w:id="17" w:name="_Hlk74294506"/>
      <w:r w:rsidRPr="001C4698">
        <w:rPr>
          <w:rFonts w:ascii="Arial" w:hAnsi="Arial" w:cs="Arial"/>
          <w:sz w:val="19"/>
          <w:szCs w:val="19"/>
        </w:rPr>
        <w:t>«</w:t>
      </w:r>
      <w:r w:rsidRPr="001C4698">
        <w:rPr>
          <w:rFonts w:ascii="Arial" w:hAnsi="Arial" w:cs="Arial"/>
          <w:sz w:val="19"/>
          <w:szCs w:val="19"/>
          <w:lang w:val="es-ES"/>
        </w:rPr>
        <w:t xml:space="preserve">[26] </w:t>
      </w:r>
      <w:bookmarkEnd w:id="17"/>
      <w:r w:rsidRPr="001C4698">
        <w:rPr>
          <w:rFonts w:ascii="Arial" w:hAnsi="Arial" w:cs="Arial"/>
          <w:sz w:val="19"/>
          <w:szCs w:val="19"/>
        </w:rPr>
        <w:t>Al respecto ver el concepto 1712 de 2 de febrero de 2006. Consejo de Estado Sala de Consulta y Servicio Civil».</w:t>
      </w:r>
    </w:p>
    <w:p w14:paraId="52C2F210" w14:textId="77777777" w:rsidR="00B823FD" w:rsidRPr="001C4698" w:rsidRDefault="00B823FD" w:rsidP="004D5103">
      <w:pPr>
        <w:pStyle w:val="Textonotapie"/>
        <w:spacing w:after="0" w:line="240" w:lineRule="auto"/>
        <w:ind w:right="51" w:firstLine="709"/>
        <w:rPr>
          <w:rFonts w:ascii="Arial" w:hAnsi="Arial" w:cs="Arial"/>
          <w:sz w:val="19"/>
          <w:szCs w:val="19"/>
        </w:rPr>
      </w:pPr>
    </w:p>
  </w:footnote>
  <w:footnote w:id="16">
    <w:p w14:paraId="1BCD2D67" w14:textId="77777777" w:rsidR="00B823FD" w:rsidRPr="001C4698" w:rsidRDefault="00B823FD" w:rsidP="004D5103">
      <w:pPr>
        <w:pStyle w:val="Textonotapie"/>
        <w:spacing w:after="0" w:line="240" w:lineRule="auto"/>
        <w:ind w:firstLine="709"/>
        <w:rPr>
          <w:rFonts w:ascii="Arial" w:hAnsi="Arial" w:cs="Arial"/>
          <w:sz w:val="19"/>
          <w:szCs w:val="19"/>
        </w:rPr>
      </w:pPr>
      <w:r w:rsidRPr="001C4698">
        <w:rPr>
          <w:rStyle w:val="Refdenotaalpie"/>
          <w:rFonts w:ascii="Arial" w:hAnsi="Arial" w:cs="Arial"/>
          <w:sz w:val="19"/>
          <w:szCs w:val="19"/>
        </w:rPr>
        <w:footnoteRef/>
      </w:r>
      <w:r w:rsidRPr="001C4698">
        <w:rPr>
          <w:rFonts w:ascii="Arial" w:hAnsi="Arial" w:cs="Arial"/>
          <w:sz w:val="19"/>
          <w:szCs w:val="19"/>
        </w:rPr>
        <w:t xml:space="preserve"> Consejo de Estado. Sala de Consulta y Servicio Civil. Concepto del 2 de septiembre de 2013. Radicación número: 11001-03-06-000-2013-00412-00 (2168). Consejero Ponente: Álvaro Namén Vargas.</w:t>
      </w:r>
    </w:p>
    <w:p w14:paraId="295376E0" w14:textId="77777777" w:rsidR="00B823FD" w:rsidRPr="001C4698" w:rsidRDefault="00B823FD" w:rsidP="004D5103">
      <w:pPr>
        <w:pStyle w:val="Textonotapie"/>
        <w:spacing w:after="0" w:line="240" w:lineRule="auto"/>
        <w:ind w:firstLine="709"/>
        <w:rPr>
          <w:rFonts w:ascii="Arial" w:hAnsi="Arial" w:cs="Arial"/>
          <w:sz w:val="19"/>
          <w:szCs w:val="19"/>
        </w:rPr>
      </w:pPr>
    </w:p>
  </w:footnote>
  <w:footnote w:id="17">
    <w:p w14:paraId="02043A88" w14:textId="77777777" w:rsidR="00B823FD" w:rsidRPr="001C4698" w:rsidRDefault="00B823FD" w:rsidP="004D5103">
      <w:pPr>
        <w:pStyle w:val="Textonotapie"/>
        <w:spacing w:after="0" w:line="240" w:lineRule="auto"/>
        <w:ind w:firstLine="709"/>
        <w:rPr>
          <w:rFonts w:ascii="Arial" w:hAnsi="Arial" w:cs="Arial"/>
          <w:sz w:val="19"/>
          <w:szCs w:val="19"/>
          <w:lang w:val="es-ES"/>
        </w:rPr>
      </w:pPr>
      <w:r w:rsidRPr="001C4698">
        <w:rPr>
          <w:rStyle w:val="Refdenotaalpie"/>
          <w:rFonts w:ascii="Arial" w:hAnsi="Arial" w:cs="Arial"/>
          <w:sz w:val="19"/>
          <w:szCs w:val="19"/>
        </w:rPr>
        <w:footnoteRef/>
      </w:r>
      <w:r w:rsidRPr="001C4698">
        <w:rPr>
          <w:rFonts w:ascii="Arial" w:hAnsi="Arial" w:cs="Arial"/>
          <w:sz w:val="19"/>
          <w:szCs w:val="19"/>
        </w:rPr>
        <w:t xml:space="preserve"> </w:t>
      </w:r>
      <w:r w:rsidRPr="001C4698">
        <w:rPr>
          <w:rFonts w:ascii="Arial" w:hAnsi="Arial" w:cs="Arial"/>
          <w:sz w:val="19"/>
          <w:szCs w:val="19"/>
          <w:lang w:val="es-ES"/>
        </w:rPr>
        <w:t xml:space="preserve">Artículo 2. </w:t>
      </w:r>
    </w:p>
    <w:p w14:paraId="77462DFF" w14:textId="77777777" w:rsidR="00B823FD" w:rsidRPr="001C4698" w:rsidRDefault="00B823FD" w:rsidP="004D5103">
      <w:pPr>
        <w:pStyle w:val="Textonotapie"/>
        <w:spacing w:after="0" w:line="240" w:lineRule="auto"/>
        <w:ind w:firstLine="709"/>
        <w:rPr>
          <w:rFonts w:ascii="Arial" w:hAnsi="Arial" w:cs="Arial"/>
          <w:sz w:val="19"/>
          <w:szCs w:val="19"/>
          <w:lang w:val="es-ES"/>
        </w:rPr>
      </w:pPr>
    </w:p>
  </w:footnote>
  <w:footnote w:id="18">
    <w:p w14:paraId="5A5F917D" w14:textId="18FA1B28" w:rsidR="00B823FD" w:rsidRPr="001C4698" w:rsidRDefault="00B823FD" w:rsidP="004D5103">
      <w:pPr>
        <w:pStyle w:val="Textonotapie"/>
        <w:spacing w:after="0" w:line="240" w:lineRule="auto"/>
        <w:ind w:firstLine="709"/>
        <w:rPr>
          <w:rFonts w:ascii="Arial" w:hAnsi="Arial" w:cs="Arial"/>
          <w:sz w:val="19"/>
          <w:szCs w:val="19"/>
          <w:lang w:val="es-ES"/>
        </w:rPr>
      </w:pPr>
      <w:r w:rsidRPr="001C4698">
        <w:rPr>
          <w:rStyle w:val="Refdenotaalpie"/>
          <w:rFonts w:ascii="Arial" w:hAnsi="Arial" w:cs="Arial"/>
          <w:sz w:val="19"/>
          <w:szCs w:val="19"/>
        </w:rPr>
        <w:footnoteRef/>
      </w:r>
      <w:r w:rsidRPr="001C4698">
        <w:rPr>
          <w:rFonts w:ascii="Arial" w:hAnsi="Arial" w:cs="Arial"/>
          <w:sz w:val="19"/>
          <w:szCs w:val="19"/>
        </w:rPr>
        <w:t xml:space="preserve"> </w:t>
      </w:r>
      <w:r w:rsidRPr="001C4698">
        <w:rPr>
          <w:rFonts w:ascii="Arial" w:hAnsi="Arial" w:cs="Arial"/>
          <w:i/>
          <w:sz w:val="19"/>
          <w:szCs w:val="19"/>
          <w:lang w:val="es-ES"/>
        </w:rPr>
        <w:t>Ídem</w:t>
      </w:r>
      <w:r w:rsidRPr="001C4698">
        <w:rPr>
          <w:rFonts w:ascii="Arial" w:hAnsi="Arial" w:cs="Arial"/>
          <w:sz w:val="19"/>
          <w:szCs w:val="19"/>
          <w:lang w:val="es-ES"/>
        </w:rPr>
        <w:t>.</w:t>
      </w:r>
    </w:p>
    <w:p w14:paraId="4DF08700" w14:textId="77777777" w:rsidR="008122B8" w:rsidRPr="001C4698" w:rsidRDefault="008122B8" w:rsidP="004D5103">
      <w:pPr>
        <w:pStyle w:val="Textonotapie"/>
        <w:spacing w:after="0" w:line="240" w:lineRule="auto"/>
        <w:ind w:firstLine="709"/>
        <w:rPr>
          <w:rFonts w:ascii="Arial" w:hAnsi="Arial" w:cs="Arial"/>
          <w:sz w:val="19"/>
          <w:szCs w:val="19"/>
          <w:lang w:val="es-ES"/>
        </w:rPr>
      </w:pPr>
    </w:p>
  </w:footnote>
  <w:footnote w:id="19">
    <w:p w14:paraId="3C440946" w14:textId="23CD20AC" w:rsidR="00B823FD" w:rsidRPr="001C4698" w:rsidRDefault="00B823FD" w:rsidP="004D5103">
      <w:pPr>
        <w:pStyle w:val="Textonotapie"/>
        <w:spacing w:after="0" w:line="240" w:lineRule="auto"/>
        <w:ind w:firstLine="709"/>
        <w:rPr>
          <w:rFonts w:ascii="Arial" w:hAnsi="Arial" w:cs="Arial"/>
          <w:sz w:val="19"/>
          <w:szCs w:val="19"/>
        </w:rPr>
      </w:pPr>
      <w:r w:rsidRPr="001C4698">
        <w:rPr>
          <w:rStyle w:val="Refdenotaalpie"/>
          <w:rFonts w:ascii="Arial" w:hAnsi="Arial" w:cs="Arial"/>
          <w:sz w:val="19"/>
          <w:szCs w:val="19"/>
        </w:rPr>
        <w:footnoteRef/>
      </w:r>
      <w:r w:rsidRPr="001C4698">
        <w:rPr>
          <w:rFonts w:ascii="Arial" w:hAnsi="Arial" w:cs="Arial"/>
          <w:sz w:val="19"/>
          <w:szCs w:val="19"/>
        </w:rPr>
        <w:t xml:space="preserve"> Consejo de Estado. Sala de Consulta y Servicio Civil. Concepto del 08 de mayo de 2018. Exp. 2.382. C.P. Álvaro Namén Vargas.</w:t>
      </w:r>
    </w:p>
    <w:p w14:paraId="0F6B255A" w14:textId="77777777" w:rsidR="00280386" w:rsidRPr="001C4698" w:rsidRDefault="00280386" w:rsidP="004D5103">
      <w:pPr>
        <w:pStyle w:val="Textonotapie"/>
        <w:spacing w:after="0" w:line="240" w:lineRule="auto"/>
        <w:ind w:firstLine="709"/>
        <w:rPr>
          <w:rFonts w:ascii="Arial" w:hAnsi="Arial" w:cs="Arial"/>
          <w:sz w:val="19"/>
          <w:szCs w:val="19"/>
        </w:rPr>
      </w:pPr>
    </w:p>
  </w:footnote>
  <w:footnote w:id="20">
    <w:p w14:paraId="1844125D" w14:textId="77777777" w:rsidR="000D6FF9" w:rsidRPr="001C4698" w:rsidRDefault="000D6FF9" w:rsidP="000D6FF9">
      <w:pPr>
        <w:pStyle w:val="Textonotapie"/>
        <w:spacing w:after="0" w:line="240" w:lineRule="auto"/>
        <w:ind w:firstLine="709"/>
        <w:rPr>
          <w:rFonts w:ascii="Arial" w:hAnsi="Arial" w:cs="Arial"/>
          <w:color w:val="000000" w:themeColor="text1"/>
          <w:sz w:val="19"/>
          <w:szCs w:val="19"/>
          <w:lang w:val="es-CO"/>
        </w:rPr>
      </w:pPr>
      <w:r w:rsidRPr="001C4698">
        <w:rPr>
          <w:rStyle w:val="Refdenotaalpie"/>
          <w:rFonts w:ascii="Arial" w:hAnsi="Arial" w:cs="Arial"/>
          <w:sz w:val="19"/>
          <w:szCs w:val="19"/>
        </w:rPr>
        <w:footnoteRef/>
      </w:r>
      <w:r w:rsidRPr="001C4698">
        <w:rPr>
          <w:rFonts w:ascii="Arial" w:hAnsi="Arial" w:cs="Arial"/>
          <w:color w:val="000000" w:themeColor="text1"/>
          <w:sz w:val="19"/>
          <w:szCs w:val="19"/>
          <w:lang w:val="es-CO"/>
        </w:rPr>
        <w:t xml:space="preserve"> FIGUEROA U. Organismos internacionales. 2ª edición. Santiago de Chile: Editorial RIL editores, 2010.</w:t>
      </w:r>
    </w:p>
  </w:footnote>
  <w:footnote w:id="21">
    <w:p w14:paraId="06813F3F" w14:textId="77777777" w:rsidR="000D6FF9" w:rsidRPr="001C4698" w:rsidRDefault="000D6FF9" w:rsidP="000D6FF9">
      <w:pPr>
        <w:pStyle w:val="NormalWeb"/>
        <w:spacing w:before="0" w:beforeAutospacing="0" w:after="0" w:afterAutospacing="0" w:line="240" w:lineRule="auto"/>
        <w:ind w:firstLine="709"/>
        <w:rPr>
          <w:rFonts w:ascii="Arial" w:hAnsi="Arial" w:cs="Arial"/>
          <w:color w:val="000000" w:themeColor="text1"/>
          <w:sz w:val="19"/>
          <w:szCs w:val="19"/>
        </w:rPr>
      </w:pPr>
      <w:r w:rsidRPr="001C4698">
        <w:rPr>
          <w:rStyle w:val="Refdenotaalpie"/>
          <w:rFonts w:ascii="Arial" w:hAnsi="Arial" w:cs="Arial"/>
          <w:sz w:val="19"/>
          <w:szCs w:val="19"/>
        </w:rPr>
        <w:footnoteRef/>
      </w:r>
      <w:r w:rsidRPr="001C4698">
        <w:rPr>
          <w:rFonts w:ascii="Arial" w:hAnsi="Arial" w:cs="Arial"/>
          <w:color w:val="000000" w:themeColor="text1"/>
          <w:sz w:val="19"/>
          <w:szCs w:val="19"/>
        </w:rPr>
        <w:t xml:space="preserve"> Ley 80 de 1993: «Artículo 13. De la normatividad aplicable a los contratos estatales. Los contratos que celebren las entidades a que se refiere el artículo </w:t>
      </w:r>
      <w:hyperlink r:id="rId1" w:anchor="2" w:history="1">
        <w:r w:rsidRPr="001C4698">
          <w:rPr>
            <w:rStyle w:val="Hipervnculo"/>
            <w:rFonts w:ascii="Arial" w:hAnsi="Arial" w:cs="Arial"/>
            <w:color w:val="000000" w:themeColor="text1"/>
            <w:sz w:val="19"/>
            <w:szCs w:val="19"/>
          </w:rPr>
          <w:t>2</w:t>
        </w:r>
      </w:hyperlink>
      <w:r w:rsidRPr="001C4698">
        <w:rPr>
          <w:rFonts w:ascii="Arial" w:hAnsi="Arial" w:cs="Arial"/>
          <w:color w:val="000000" w:themeColor="text1"/>
          <w:sz w:val="19"/>
          <w:szCs w:val="19"/>
        </w:rPr>
        <w:t>o. del presente estatuto se regirán por las disposiciones comerciales y civiles pertinentes, salvo en las materias particularmente reguladas en esta ley.</w:t>
      </w:r>
    </w:p>
    <w:p w14:paraId="276415FA" w14:textId="77777777" w:rsidR="000D6FF9" w:rsidRPr="001C4698" w:rsidRDefault="000D6FF9" w:rsidP="000D6FF9">
      <w:pPr>
        <w:pStyle w:val="NormalWeb"/>
        <w:spacing w:before="0" w:beforeAutospacing="0" w:after="0" w:afterAutospacing="0" w:line="240" w:lineRule="auto"/>
        <w:ind w:firstLine="709"/>
        <w:rPr>
          <w:rFonts w:ascii="Arial" w:hAnsi="Arial" w:cs="Arial"/>
          <w:color w:val="000000" w:themeColor="text1"/>
          <w:sz w:val="19"/>
          <w:szCs w:val="19"/>
        </w:rPr>
      </w:pPr>
      <w:r w:rsidRPr="001C4698">
        <w:rPr>
          <w:rFonts w:ascii="Arial" w:hAnsi="Arial" w:cs="Arial"/>
          <w:color w:val="000000" w:themeColor="text1"/>
          <w:sz w:val="19"/>
          <w:szCs w:val="19"/>
        </w:rPr>
        <w:t>»Los contratos celebrados en el exterior se podrán regir en su ejecución por las reglas del país en donde se hayan suscrito, a menos que deban cumplirse en Colombia»</w:t>
      </w:r>
    </w:p>
    <w:p w14:paraId="45ABD33D" w14:textId="77777777" w:rsidR="000D6FF9" w:rsidRPr="001C4698" w:rsidRDefault="000D6FF9" w:rsidP="000D6FF9">
      <w:pPr>
        <w:pStyle w:val="NormalWeb"/>
        <w:spacing w:before="0" w:beforeAutospacing="0" w:after="0" w:afterAutospacing="0" w:line="240" w:lineRule="auto"/>
        <w:ind w:firstLine="709"/>
        <w:rPr>
          <w:rFonts w:ascii="Arial" w:hAnsi="Arial" w:cs="Arial"/>
          <w:color w:val="000000" w:themeColor="text1"/>
          <w:sz w:val="19"/>
          <w:szCs w:val="19"/>
        </w:rPr>
      </w:pPr>
      <w:r w:rsidRPr="001C4698">
        <w:rPr>
          <w:rFonts w:ascii="Arial" w:hAnsi="Arial" w:cs="Arial"/>
          <w:color w:val="000000" w:themeColor="text1"/>
          <w:sz w:val="19"/>
          <w:szCs w:val="19"/>
        </w:rPr>
        <w:t>»Los contratos que se celebren en Colombia y deban ejecutarse o cumplirse en el extranjero, podrán someterse a la ley extranjera».</w:t>
      </w:r>
    </w:p>
  </w:footnote>
  <w:footnote w:id="22">
    <w:p w14:paraId="6BD3A692" w14:textId="77777777" w:rsidR="000D6FF9" w:rsidRPr="001C4698" w:rsidRDefault="000D6FF9" w:rsidP="000D6FF9">
      <w:pPr>
        <w:pStyle w:val="Textonotapie"/>
        <w:spacing w:after="0" w:line="240" w:lineRule="auto"/>
        <w:ind w:firstLine="709"/>
        <w:rPr>
          <w:rFonts w:ascii="Arial" w:hAnsi="Arial" w:cs="Arial"/>
          <w:color w:val="000000" w:themeColor="text1"/>
          <w:sz w:val="19"/>
          <w:szCs w:val="19"/>
          <w:lang w:val="es-ES_tradnl"/>
        </w:rPr>
      </w:pPr>
      <w:r w:rsidRPr="001C4698">
        <w:rPr>
          <w:rStyle w:val="Refdenotaalpie"/>
          <w:rFonts w:ascii="Arial" w:hAnsi="Arial" w:cs="Arial"/>
          <w:sz w:val="19"/>
          <w:szCs w:val="19"/>
        </w:rPr>
        <w:footnoteRef/>
      </w:r>
      <w:r w:rsidRPr="001C4698">
        <w:rPr>
          <w:rFonts w:ascii="Arial" w:hAnsi="Arial" w:cs="Arial"/>
          <w:color w:val="000000" w:themeColor="text1"/>
          <w:sz w:val="19"/>
          <w:szCs w:val="19"/>
        </w:rPr>
        <w:t xml:space="preserve"> Consejo de Estado. Sección Tercera, Subsección C. Sentencia del 26 de noviembre de 2015. </w:t>
      </w:r>
      <w:r w:rsidRPr="001C4698">
        <w:rPr>
          <w:rFonts w:ascii="Arial" w:hAnsi="Arial" w:cs="Arial"/>
          <w:color w:val="000000" w:themeColor="text1"/>
          <w:sz w:val="19"/>
          <w:szCs w:val="19"/>
          <w:lang w:val="es-ES_tradnl"/>
        </w:rPr>
        <w:t xml:space="preserve">Exp. </w:t>
      </w:r>
      <w:r w:rsidRPr="001C4698">
        <w:rPr>
          <w:rFonts w:ascii="Arial" w:hAnsi="Arial" w:cs="Arial"/>
          <w:color w:val="000000" w:themeColor="text1"/>
          <w:sz w:val="19"/>
          <w:szCs w:val="19"/>
          <w:lang w:val="es-CO"/>
        </w:rPr>
        <w:t xml:space="preserve">54.069. C.P Jaime Orlando Santofimio Gamboa. </w:t>
      </w:r>
    </w:p>
  </w:footnote>
  <w:footnote w:id="23">
    <w:p w14:paraId="31AA1FF5" w14:textId="77777777" w:rsidR="000D6FF9" w:rsidRPr="001C4698" w:rsidRDefault="000D6FF9" w:rsidP="000D6FF9">
      <w:pPr>
        <w:pStyle w:val="Textonotapie"/>
        <w:spacing w:after="0" w:line="240" w:lineRule="auto"/>
        <w:ind w:firstLine="709"/>
        <w:rPr>
          <w:rFonts w:ascii="Arial" w:hAnsi="Arial" w:cs="Arial"/>
          <w:color w:val="000000" w:themeColor="text1"/>
          <w:sz w:val="19"/>
          <w:szCs w:val="19"/>
          <w:lang w:eastAsia="es-CO"/>
        </w:rPr>
      </w:pPr>
      <w:r w:rsidRPr="001C4698">
        <w:rPr>
          <w:rStyle w:val="Refdenotaalpie"/>
          <w:rFonts w:ascii="Arial" w:hAnsi="Arial" w:cs="Arial"/>
          <w:sz w:val="19"/>
          <w:szCs w:val="19"/>
        </w:rPr>
        <w:footnoteRef/>
      </w:r>
      <w:r w:rsidRPr="001C4698">
        <w:rPr>
          <w:rFonts w:ascii="Arial" w:hAnsi="Arial" w:cs="Arial"/>
          <w:color w:val="000000" w:themeColor="text1"/>
          <w:sz w:val="19"/>
          <w:szCs w:val="19"/>
        </w:rPr>
        <w:t xml:space="preserve"> </w:t>
      </w:r>
      <w:r w:rsidRPr="001C4698">
        <w:rPr>
          <w:rFonts w:ascii="Arial" w:hAnsi="Arial" w:cs="Arial"/>
          <w:color w:val="000000" w:themeColor="text1"/>
          <w:sz w:val="19"/>
          <w:szCs w:val="19"/>
          <w:lang w:eastAsia="es-CO"/>
        </w:rPr>
        <w:t>«Los contratos financiados con fondos de los organismos multilaterales de crédito o celebrados con personas extranjeras de derecho público u organismos de cooperación, asistencia o ayuda internacionales, podrán someterse a los reglamentos de tales entidades en todo lo relacionado con procedimientos de formación y adjudicación y cláusulas especiales de ejecución, cumplimiento, pago y ajustes». (Derogado por el artículo 32 de la Ley 1150 de 2007).</w:t>
      </w:r>
    </w:p>
  </w:footnote>
  <w:footnote w:id="24">
    <w:p w14:paraId="6698C9A7" w14:textId="77777777" w:rsidR="000D6FF9" w:rsidRPr="001C4698" w:rsidRDefault="000D6FF9" w:rsidP="000D6FF9">
      <w:pPr>
        <w:pStyle w:val="NormalWeb"/>
        <w:spacing w:before="0" w:beforeAutospacing="0" w:after="0" w:afterAutospacing="0" w:line="240" w:lineRule="auto"/>
        <w:ind w:firstLine="709"/>
        <w:rPr>
          <w:rFonts w:ascii="Arial" w:hAnsi="Arial" w:cs="Arial"/>
          <w:color w:val="000000" w:themeColor="text1"/>
          <w:sz w:val="19"/>
          <w:szCs w:val="19"/>
        </w:rPr>
      </w:pPr>
      <w:r w:rsidRPr="001C4698">
        <w:rPr>
          <w:rStyle w:val="Refdenotaalpie"/>
          <w:rFonts w:ascii="Arial" w:hAnsi="Arial" w:cs="Arial"/>
          <w:sz w:val="19"/>
          <w:szCs w:val="19"/>
        </w:rPr>
        <w:footnoteRef/>
      </w:r>
      <w:r w:rsidRPr="001C4698">
        <w:rPr>
          <w:rFonts w:ascii="Arial" w:hAnsi="Arial" w:cs="Arial"/>
          <w:color w:val="000000" w:themeColor="text1"/>
          <w:sz w:val="19"/>
          <w:szCs w:val="19"/>
        </w:rPr>
        <w:t xml:space="preserve"> Ley 1150 de 2007. «Artículo 20: Los contratos o convenios financiados en su totalidad o en sumas iguales o superiores al cincuenta por ciento (50%) con fondos de los organismos de cooperación, asistencia o ayudas internacionales, podrán someterse a los reglamentos de tales entidades. En caso contrario, se someterán a los procedimientos establecidos en la Ley de 1993. Los recursos de contrapartida vinculados a estas operaciones podrán tener el mismo tratamiento.</w:t>
      </w:r>
    </w:p>
    <w:p w14:paraId="0E7CE8BB" w14:textId="77777777" w:rsidR="000D6FF9" w:rsidRPr="001C4698" w:rsidRDefault="000D6FF9" w:rsidP="000D6FF9">
      <w:pPr>
        <w:pStyle w:val="NormalWeb"/>
        <w:spacing w:before="0" w:beforeAutospacing="0" w:after="0" w:afterAutospacing="0" w:line="240" w:lineRule="auto"/>
        <w:ind w:firstLine="709"/>
        <w:rPr>
          <w:rFonts w:ascii="Arial" w:hAnsi="Arial" w:cs="Arial"/>
          <w:color w:val="000000" w:themeColor="text1"/>
          <w:sz w:val="19"/>
          <w:szCs w:val="19"/>
        </w:rPr>
      </w:pPr>
      <w:r w:rsidRPr="001C4698">
        <w:rPr>
          <w:rFonts w:ascii="Arial" w:hAnsi="Arial" w:cs="Arial"/>
          <w:color w:val="000000" w:themeColor="text1"/>
          <w:sz w:val="19"/>
          <w:szCs w:val="19"/>
        </w:rPr>
        <w:t>»Los contratos o convenios celebrados con personas extranjeras de derecho público u organismos de derecho internacional cuyo objeto sea el desarrollo de programas de promoción, prevención y atención en salud; contratos y convenios necesarios para la operación de la OIT; contratos y convenios que se ejecuten en desarrollo del sistema integrado de monitoreo de cultivos ilícitos; contratos y convenios para la operación del programa mundial de alimentos; contratos y convenios para el desarrollo de programas de apoyo educativo a población desplazada y vulnerable adelantados por la Unesco y la OIM; los contratos o convenios financiados con fondos de los organismos multilaterales de crédito y entes gubernamentales extranjeros, podrán someterse a los reglamentos de tales entidades.</w:t>
      </w:r>
    </w:p>
    <w:p w14:paraId="68F91856" w14:textId="77777777" w:rsidR="000D6FF9" w:rsidRPr="001C4698" w:rsidRDefault="000D6FF9" w:rsidP="000D6FF9">
      <w:pPr>
        <w:pStyle w:val="NormalWeb"/>
        <w:spacing w:before="0" w:beforeAutospacing="0" w:after="0" w:afterAutospacing="0" w:line="240" w:lineRule="auto"/>
        <w:ind w:firstLine="709"/>
        <w:rPr>
          <w:rFonts w:ascii="Arial" w:hAnsi="Arial" w:cs="Arial"/>
          <w:color w:val="000000" w:themeColor="text1"/>
          <w:sz w:val="19"/>
          <w:szCs w:val="19"/>
        </w:rPr>
      </w:pPr>
      <w:r w:rsidRPr="001C4698">
        <w:rPr>
          <w:rFonts w:ascii="Arial" w:hAnsi="Arial" w:cs="Arial"/>
          <w:color w:val="000000" w:themeColor="text1"/>
          <w:sz w:val="19"/>
          <w:szCs w:val="19"/>
        </w:rPr>
        <w:t>»Las entidades estatales no podrán celebrar contratos o convenios para la administración o gerencia de sus recursos propios o de aquellos que les asignen los presupuestos públicos, con organismos de cooperación, asistencia o ayuda internacional.</w:t>
      </w:r>
    </w:p>
    <w:p w14:paraId="3727833E" w14:textId="77777777" w:rsidR="000D6FF9" w:rsidRPr="001C4698" w:rsidRDefault="000D6FF9" w:rsidP="000D6FF9">
      <w:pPr>
        <w:pStyle w:val="NormalWeb"/>
        <w:spacing w:before="0" w:beforeAutospacing="0" w:after="0" w:afterAutospacing="0" w:line="240" w:lineRule="auto"/>
        <w:ind w:firstLine="709"/>
        <w:rPr>
          <w:rFonts w:ascii="Arial" w:hAnsi="Arial" w:cs="Arial"/>
          <w:color w:val="000000" w:themeColor="text1"/>
          <w:sz w:val="19"/>
          <w:szCs w:val="19"/>
        </w:rPr>
      </w:pPr>
      <w:r w:rsidRPr="001C4698">
        <w:rPr>
          <w:rFonts w:ascii="Arial" w:hAnsi="Arial" w:cs="Arial"/>
          <w:color w:val="000000" w:themeColor="text1"/>
          <w:sz w:val="19"/>
          <w:szCs w:val="19"/>
        </w:rPr>
        <w:t>»</w:t>
      </w:r>
      <w:r w:rsidRPr="001C4698">
        <w:rPr>
          <w:rStyle w:val="baj"/>
          <w:rFonts w:ascii="Arial" w:hAnsi="Arial" w:cs="Arial"/>
          <w:color w:val="000000" w:themeColor="text1"/>
          <w:sz w:val="19"/>
          <w:szCs w:val="19"/>
        </w:rPr>
        <w:t>PARÁGRAFO 1o.</w:t>
      </w:r>
      <w:r w:rsidRPr="001C4698">
        <w:rPr>
          <w:rFonts w:ascii="Arial" w:hAnsi="Arial" w:cs="Arial"/>
          <w:color w:val="000000" w:themeColor="text1"/>
          <w:sz w:val="19"/>
          <w:szCs w:val="19"/>
        </w:rPr>
        <w:t> Los contratos o acuerdos celebrados con personas extranjeras de derecho público, podrán someterse a las reglas de tales organismos.</w:t>
      </w:r>
    </w:p>
    <w:p w14:paraId="01E2BFDD" w14:textId="77777777" w:rsidR="000D6FF9" w:rsidRPr="001C4698" w:rsidRDefault="000D6FF9" w:rsidP="000D6FF9">
      <w:pPr>
        <w:pStyle w:val="NormalWeb"/>
        <w:spacing w:before="0" w:beforeAutospacing="0" w:after="0" w:afterAutospacing="0" w:line="240" w:lineRule="auto"/>
        <w:ind w:firstLine="709"/>
        <w:rPr>
          <w:rFonts w:ascii="Arial" w:hAnsi="Arial" w:cs="Arial"/>
          <w:color w:val="000000" w:themeColor="text1"/>
          <w:sz w:val="19"/>
          <w:szCs w:val="19"/>
        </w:rPr>
      </w:pPr>
      <w:r w:rsidRPr="001C4698">
        <w:rPr>
          <w:rFonts w:ascii="Arial" w:hAnsi="Arial" w:cs="Arial"/>
          <w:color w:val="000000" w:themeColor="text1"/>
          <w:sz w:val="19"/>
          <w:szCs w:val="19"/>
        </w:rPr>
        <w:t>»</w:t>
      </w:r>
      <w:r w:rsidRPr="001C4698">
        <w:rPr>
          <w:rStyle w:val="baj"/>
          <w:rFonts w:ascii="Arial" w:hAnsi="Arial" w:cs="Arial"/>
          <w:color w:val="000000" w:themeColor="text1"/>
          <w:sz w:val="19"/>
          <w:szCs w:val="19"/>
        </w:rPr>
        <w:t>PARÁGRAFO 2o.</w:t>
      </w:r>
      <w:r w:rsidRPr="001C4698">
        <w:rPr>
          <w:rFonts w:ascii="Arial" w:hAnsi="Arial" w:cs="Arial"/>
          <w:color w:val="000000" w:themeColor="text1"/>
          <w:sz w:val="19"/>
          <w:szCs w:val="19"/>
        </w:rPr>
        <w:t> Las entidades estatales tendrán la obligación de reportar la información a los organismos de control y al Secop relativa a la ejecución de los contratos a los que se refiere el presente artículo.</w:t>
      </w:r>
    </w:p>
    <w:p w14:paraId="72E728B2" w14:textId="77777777" w:rsidR="000D6FF9" w:rsidRPr="001C4698" w:rsidRDefault="000D6FF9" w:rsidP="000D6FF9">
      <w:pPr>
        <w:pStyle w:val="NormalWeb"/>
        <w:spacing w:before="0" w:beforeAutospacing="0" w:after="0" w:afterAutospacing="0" w:line="240" w:lineRule="auto"/>
        <w:ind w:firstLine="709"/>
        <w:rPr>
          <w:rFonts w:ascii="Arial" w:hAnsi="Arial" w:cs="Arial"/>
          <w:color w:val="000000" w:themeColor="text1"/>
          <w:sz w:val="19"/>
          <w:szCs w:val="19"/>
        </w:rPr>
      </w:pPr>
      <w:r w:rsidRPr="001C4698">
        <w:rPr>
          <w:rFonts w:ascii="Arial" w:hAnsi="Arial" w:cs="Arial"/>
          <w:color w:val="000000" w:themeColor="text1"/>
          <w:sz w:val="19"/>
          <w:szCs w:val="19"/>
        </w:rPr>
        <w:t>»</w:t>
      </w:r>
      <w:r w:rsidRPr="001C4698">
        <w:rPr>
          <w:rStyle w:val="baj"/>
          <w:rFonts w:ascii="Arial" w:hAnsi="Arial" w:cs="Arial"/>
          <w:color w:val="000000" w:themeColor="text1"/>
          <w:sz w:val="19"/>
          <w:szCs w:val="19"/>
        </w:rPr>
        <w:t>PARÁGRAFO 3o.</w:t>
      </w:r>
      <w:r w:rsidRPr="001C4698">
        <w:rPr>
          <w:rFonts w:ascii="Arial" w:hAnsi="Arial" w:cs="Arial"/>
          <w:color w:val="000000" w:themeColor="text1"/>
          <w:sz w:val="19"/>
          <w:szCs w:val="19"/>
        </w:rPr>
        <w:t> En todo Proyecto de cooperación que involucre recursos estatales se deberán cuantificar en moneda nacional, los aportes en especie de la entidad, organización o persona cooperante, así como los del ente nacional colombiano. Las contralorías ejercerán el control fiscal sobre los proyectos y contratos celebrados con organismos multilaterales».</w:t>
      </w:r>
    </w:p>
  </w:footnote>
  <w:footnote w:id="25">
    <w:p w14:paraId="29112356" w14:textId="77777777" w:rsidR="000D6FF9" w:rsidRPr="001C4698" w:rsidRDefault="000D6FF9" w:rsidP="000D6FF9">
      <w:pPr>
        <w:pStyle w:val="NormalWeb"/>
        <w:shd w:val="clear" w:color="auto" w:fill="FFFFFF"/>
        <w:spacing w:before="0" w:beforeAutospacing="0" w:after="0" w:afterAutospacing="0" w:line="240" w:lineRule="auto"/>
        <w:ind w:firstLine="709"/>
        <w:rPr>
          <w:rFonts w:ascii="Arial" w:hAnsi="Arial" w:cs="Arial"/>
          <w:color w:val="000000" w:themeColor="text1"/>
          <w:sz w:val="19"/>
          <w:szCs w:val="19"/>
        </w:rPr>
      </w:pPr>
      <w:r w:rsidRPr="001C4698">
        <w:rPr>
          <w:rStyle w:val="Refdenotaalpie"/>
          <w:rFonts w:ascii="Arial" w:hAnsi="Arial" w:cs="Arial"/>
          <w:sz w:val="19"/>
          <w:szCs w:val="19"/>
        </w:rPr>
        <w:footnoteRef/>
      </w:r>
      <w:r w:rsidRPr="001C4698">
        <w:rPr>
          <w:rFonts w:ascii="Arial" w:hAnsi="Arial" w:cs="Arial"/>
          <w:color w:val="000000" w:themeColor="text1"/>
          <w:sz w:val="19"/>
          <w:szCs w:val="19"/>
        </w:rPr>
        <w:t xml:space="preserve"> Decreto 1082 de 2015. «Artículo </w:t>
      </w:r>
      <w:r w:rsidRPr="001C4698">
        <w:rPr>
          <w:rStyle w:val="Textoennegrita"/>
          <w:rFonts w:ascii="Arial" w:hAnsi="Arial" w:cs="Arial"/>
          <w:color w:val="000000" w:themeColor="text1"/>
          <w:sz w:val="19"/>
          <w:szCs w:val="19"/>
        </w:rPr>
        <w:t>2.2.1.2.4.4.1. </w:t>
      </w:r>
      <w:r w:rsidRPr="001C4698">
        <w:rPr>
          <w:rStyle w:val="nfasis"/>
          <w:rFonts w:ascii="Arial" w:hAnsi="Arial" w:cs="Arial"/>
          <w:color w:val="000000" w:themeColor="text1"/>
          <w:sz w:val="19"/>
          <w:szCs w:val="19"/>
        </w:rPr>
        <w:t>Régimen aplicable a los contratos o convenios de cooperación Internacional. </w:t>
      </w:r>
      <w:r w:rsidRPr="001C4698">
        <w:rPr>
          <w:rFonts w:ascii="Arial" w:hAnsi="Arial" w:cs="Arial"/>
          <w:color w:val="000000" w:themeColor="text1"/>
          <w:sz w:val="19"/>
          <w:szCs w:val="19"/>
        </w:rPr>
        <w:t>Los contratos o convenios financiados en su totalidad o en sumas iguales o superiores al cincuenta por ciento (50%) con fondos de los organismos de cooperación, asistencia o ayudas internacionales, pueden someterse a los reglamentos de tales entidades incluidos los recursos de aporte de fuente nacional o sus equivalentes vinculados a estas operaciones en los acuerdos celebrados, o sus reglamentos, según el caso. En caso contrario, los contratos o convenios que se celebren en su totalidad o en sumas iguales o superiores al cincuenta por ciento (50%) con recursos de origen nacional se someterán al presente título.</w:t>
      </w:r>
    </w:p>
    <w:p w14:paraId="11856F97" w14:textId="77777777" w:rsidR="000D6FF9" w:rsidRPr="001C4698" w:rsidRDefault="000D6FF9" w:rsidP="000D6FF9">
      <w:pPr>
        <w:pStyle w:val="NormalWeb"/>
        <w:shd w:val="clear" w:color="auto" w:fill="FFFFFF"/>
        <w:spacing w:before="0" w:beforeAutospacing="0" w:after="0" w:afterAutospacing="0" w:line="240" w:lineRule="auto"/>
        <w:ind w:firstLine="709"/>
        <w:rPr>
          <w:rFonts w:ascii="Arial" w:hAnsi="Arial" w:cs="Arial"/>
          <w:color w:val="000000" w:themeColor="text1"/>
          <w:sz w:val="19"/>
          <w:szCs w:val="19"/>
        </w:rPr>
      </w:pPr>
      <w:r w:rsidRPr="001C4698">
        <w:rPr>
          <w:rFonts w:ascii="Arial" w:hAnsi="Arial" w:cs="Arial"/>
          <w:color w:val="000000" w:themeColor="text1"/>
          <w:sz w:val="19"/>
          <w:szCs w:val="19"/>
        </w:rPr>
        <w:t>»</w:t>
      </w:r>
      <w:r w:rsidRPr="001C4698">
        <w:rPr>
          <w:rFonts w:ascii="Arial" w:hAnsi="Arial" w:cs="Arial"/>
          <w:i/>
          <w:iCs/>
          <w:color w:val="000000" w:themeColor="text1"/>
          <w:sz w:val="19"/>
          <w:szCs w:val="19"/>
        </w:rPr>
        <w:t>Si el aporte de fuente nacional o internacional de un contrato o convenio de cooperación internacional es modificado o los aportes no se ejecutan en los términos pactados, las Entidades Estatales deben modificar los contratos o convenios para efectos de que estos estén sujetos a las normas del sistema de compras y contratación pública, si el aporte de recursos públicos es superior al cincuenta por ciento (50%) del total o de las normas internas de la entidad de cooperación si el aporte es inferior</w:t>
      </w:r>
      <w:r w:rsidRPr="001C4698">
        <w:rPr>
          <w:rFonts w:ascii="Arial" w:hAnsi="Arial" w:cs="Arial"/>
          <w:color w:val="000000" w:themeColor="text1"/>
          <w:sz w:val="19"/>
          <w:szCs w:val="19"/>
        </w:rPr>
        <w:t>.</w:t>
      </w:r>
    </w:p>
    <w:p w14:paraId="4716A30F" w14:textId="77777777" w:rsidR="000D6FF9" w:rsidRPr="001C4698" w:rsidRDefault="000D6FF9" w:rsidP="000D6FF9">
      <w:pPr>
        <w:pStyle w:val="NormalWeb"/>
        <w:shd w:val="clear" w:color="auto" w:fill="FFFFFF"/>
        <w:spacing w:before="0" w:beforeAutospacing="0" w:after="0" w:afterAutospacing="0" w:line="240" w:lineRule="auto"/>
        <w:ind w:firstLine="709"/>
        <w:rPr>
          <w:rFonts w:ascii="Arial" w:hAnsi="Arial" w:cs="Arial"/>
          <w:color w:val="000000" w:themeColor="text1"/>
          <w:sz w:val="19"/>
          <w:szCs w:val="19"/>
        </w:rPr>
      </w:pPr>
      <w:r w:rsidRPr="001C4698">
        <w:rPr>
          <w:rFonts w:ascii="Arial" w:hAnsi="Arial" w:cs="Arial"/>
          <w:color w:val="000000" w:themeColor="text1"/>
          <w:sz w:val="19"/>
          <w:szCs w:val="19"/>
        </w:rPr>
        <w:t>»Cuando la variación de la participación de los aportes de las partes es consecuencia de las fluctuaciones de la tasa de cambio de la moneda pactada en el convenio o contrato de cooperación internacional, este seguirá sometido a las reglas establecidas en el momento de su suscripción.</w:t>
      </w:r>
    </w:p>
    <w:p w14:paraId="4A7A60EC" w14:textId="77777777" w:rsidR="000D6FF9" w:rsidRPr="001C4698" w:rsidRDefault="000D6FF9" w:rsidP="000D6FF9">
      <w:pPr>
        <w:pStyle w:val="NormalWeb"/>
        <w:shd w:val="clear" w:color="auto" w:fill="FFFFFF"/>
        <w:spacing w:before="0" w:beforeAutospacing="0" w:after="0" w:afterAutospacing="0" w:line="240" w:lineRule="auto"/>
        <w:ind w:firstLine="709"/>
        <w:rPr>
          <w:rFonts w:ascii="Arial" w:hAnsi="Arial" w:cs="Arial"/>
          <w:color w:val="000000" w:themeColor="text1"/>
          <w:sz w:val="19"/>
          <w:szCs w:val="19"/>
        </w:rPr>
      </w:pPr>
      <w:r w:rsidRPr="001C4698">
        <w:rPr>
          <w:rFonts w:ascii="Arial" w:hAnsi="Arial" w:cs="Arial"/>
          <w:color w:val="000000" w:themeColor="text1"/>
          <w:sz w:val="19"/>
          <w:szCs w:val="19"/>
        </w:rPr>
        <w:t>»Los recursos generados en desarrollo de los contratos o convenios financiados con fondos de los organismos de cooperación, asistencia o ayudas internacionales no deben ser tenidos en cuenta para determinar los porcentajes de los aportes de las partes». (Cursiva fuera del original).</w:t>
      </w:r>
    </w:p>
    <w:p w14:paraId="53E51BD8" w14:textId="77777777" w:rsidR="000D6FF9" w:rsidRPr="001C4698" w:rsidRDefault="000D6FF9" w:rsidP="000D6FF9">
      <w:pPr>
        <w:pStyle w:val="NormalWeb"/>
        <w:shd w:val="clear" w:color="auto" w:fill="FFFFFF"/>
        <w:spacing w:before="0" w:beforeAutospacing="0" w:after="0" w:afterAutospacing="0" w:line="240" w:lineRule="auto"/>
        <w:ind w:firstLine="709"/>
        <w:rPr>
          <w:rFonts w:ascii="Arial" w:hAnsi="Arial" w:cs="Arial"/>
          <w:color w:val="000000" w:themeColor="text1"/>
          <w:sz w:val="19"/>
          <w:szCs w:val="19"/>
        </w:rPr>
      </w:pPr>
      <w:r w:rsidRPr="001C4698">
        <w:rPr>
          <w:rFonts w:ascii="Arial" w:hAnsi="Arial" w:cs="Arial"/>
          <w:color w:val="000000" w:themeColor="text1"/>
          <w:sz w:val="19"/>
          <w:szCs w:val="19"/>
        </w:rPr>
        <w:t>»Los contratos o convenios financiados con fondos de los organismos multilaterales de crédito, entes gubernamentales extranjeros o personas extranjeras de derecho público, así como aquellos a los que se refiere el inciso 2 del artículo 20 de la </w:t>
      </w:r>
      <w:hyperlink r:id="rId2" w:history="1">
        <w:r w:rsidRPr="001C4698">
          <w:rPr>
            <w:rStyle w:val="Hipervnculo"/>
            <w:rFonts w:ascii="Arial" w:hAnsi="Arial" w:cs="Arial"/>
            <w:color w:val="000000" w:themeColor="text1"/>
            <w:sz w:val="19"/>
            <w:szCs w:val="19"/>
          </w:rPr>
          <w:t>Ley 1150 de 2007</w:t>
        </w:r>
      </w:hyperlink>
      <w:r w:rsidRPr="001C4698">
        <w:rPr>
          <w:rFonts w:ascii="Arial" w:hAnsi="Arial" w:cs="Arial"/>
          <w:color w:val="000000" w:themeColor="text1"/>
          <w:sz w:val="19"/>
          <w:szCs w:val="19"/>
        </w:rPr>
        <w:t>, se ejecutarán de conformidad con lo establecido en los tratados internacionales marco y complementarios, y en los convenios celebrados, o sus reglamentos, según sea el caso, incluidos los recursos de aporte de fuente nacional o sus equivalentes vinculados a tales operaciones en dichos documentos, sin que a ellos le sea aplicable el porcentaje señalado en el inciso primero del artículo 20 de la</w:t>
      </w:r>
      <w:hyperlink r:id="rId3" w:history="1">
        <w:r w:rsidRPr="001C4698">
          <w:rPr>
            <w:rStyle w:val="Hipervnculo"/>
            <w:rFonts w:ascii="Arial" w:hAnsi="Arial" w:cs="Arial"/>
            <w:color w:val="000000" w:themeColor="text1"/>
            <w:sz w:val="19"/>
            <w:szCs w:val="19"/>
          </w:rPr>
          <w:t> Ley 1150 de 2007</w:t>
        </w:r>
      </w:hyperlink>
      <w:r w:rsidRPr="001C4698">
        <w:rPr>
          <w:rFonts w:ascii="Arial" w:hAnsi="Arial" w:cs="Arial"/>
          <w:color w:val="000000" w:themeColor="text1"/>
          <w:sz w:val="19"/>
          <w:szCs w:val="19"/>
        </w:rPr>
        <w:t>.</w:t>
      </w:r>
    </w:p>
    <w:p w14:paraId="176A0CB5" w14:textId="77777777" w:rsidR="000D6FF9" w:rsidRPr="001C4698" w:rsidRDefault="000D6FF9" w:rsidP="000D6FF9">
      <w:pPr>
        <w:pStyle w:val="NormalWeb"/>
        <w:shd w:val="clear" w:color="auto" w:fill="FFFFFF"/>
        <w:spacing w:before="0" w:beforeAutospacing="0" w:after="0" w:afterAutospacing="0" w:line="240" w:lineRule="auto"/>
        <w:ind w:firstLine="709"/>
        <w:rPr>
          <w:rFonts w:ascii="Arial" w:hAnsi="Arial" w:cs="Arial"/>
          <w:color w:val="000000" w:themeColor="text1"/>
          <w:sz w:val="19"/>
          <w:szCs w:val="19"/>
        </w:rPr>
      </w:pPr>
      <w:r w:rsidRPr="001C4698">
        <w:rPr>
          <w:rFonts w:ascii="Arial" w:hAnsi="Arial" w:cs="Arial"/>
          <w:color w:val="000000" w:themeColor="text1"/>
          <w:sz w:val="19"/>
          <w:szCs w:val="19"/>
        </w:rPr>
        <w:t>»Los contratos con personas extranjeras de derecho público se deben celebrar y ejecutar según se acuerde entre las partes».</w:t>
      </w:r>
    </w:p>
  </w:footnote>
  <w:footnote w:id="26">
    <w:p w14:paraId="5A762A0F" w14:textId="77777777" w:rsidR="000D6FF9" w:rsidRPr="001C4698" w:rsidRDefault="000D6FF9" w:rsidP="000D6FF9">
      <w:pPr>
        <w:pStyle w:val="Textonotapie"/>
        <w:spacing w:after="0" w:line="240" w:lineRule="auto"/>
        <w:ind w:firstLine="709"/>
        <w:rPr>
          <w:rFonts w:ascii="Arial" w:hAnsi="Arial" w:cs="Arial"/>
          <w:color w:val="000000" w:themeColor="text1"/>
          <w:sz w:val="19"/>
          <w:szCs w:val="19"/>
        </w:rPr>
      </w:pPr>
      <w:r w:rsidRPr="001C4698">
        <w:rPr>
          <w:rStyle w:val="Refdenotaalpie"/>
          <w:rFonts w:ascii="Arial" w:hAnsi="Arial" w:cs="Arial"/>
          <w:sz w:val="19"/>
          <w:szCs w:val="19"/>
        </w:rPr>
        <w:footnoteRef/>
      </w:r>
      <w:r w:rsidRPr="001C4698">
        <w:rPr>
          <w:rFonts w:ascii="Arial" w:hAnsi="Arial" w:cs="Arial"/>
          <w:color w:val="000000" w:themeColor="text1"/>
          <w:sz w:val="19"/>
          <w:szCs w:val="19"/>
        </w:rPr>
        <w:t xml:space="preserve"> JOJOA BOLAÑOS, Alexander. Los regímenes exceptuados en los contratos estatales. Bogotá: Grupo Editorial Ibáñez, 2012. p. 138 y ss.</w:t>
      </w:r>
    </w:p>
  </w:footnote>
  <w:footnote w:id="27">
    <w:p w14:paraId="02386508" w14:textId="77777777" w:rsidR="000D6FF9" w:rsidRPr="001C4698" w:rsidRDefault="000D6FF9" w:rsidP="000D6FF9">
      <w:pPr>
        <w:pStyle w:val="Textonotapie"/>
        <w:spacing w:after="0" w:line="240" w:lineRule="auto"/>
        <w:ind w:firstLine="709"/>
        <w:rPr>
          <w:rFonts w:ascii="Arial" w:hAnsi="Arial" w:cs="Arial"/>
          <w:color w:val="000000" w:themeColor="text1"/>
          <w:sz w:val="19"/>
          <w:szCs w:val="19"/>
          <w:lang w:val="es-CO"/>
        </w:rPr>
      </w:pPr>
      <w:r w:rsidRPr="001C4698">
        <w:rPr>
          <w:rStyle w:val="Refdenotaalpie"/>
          <w:rFonts w:ascii="Arial" w:hAnsi="Arial" w:cs="Arial"/>
          <w:sz w:val="19"/>
          <w:szCs w:val="19"/>
        </w:rPr>
        <w:footnoteRef/>
      </w:r>
      <w:r w:rsidRPr="001C4698">
        <w:rPr>
          <w:rFonts w:ascii="Arial" w:hAnsi="Arial" w:cs="Arial"/>
          <w:color w:val="000000" w:themeColor="text1"/>
          <w:sz w:val="19"/>
          <w:szCs w:val="19"/>
        </w:rPr>
        <w:t xml:space="preserve"> BARRETO MORENO, Antonio Alejandro. El derecho de la compra pública: estudio jurídico de un mercado imperfecto. Bogotá: Legis, 2019. pp. 247 y 248. En este sentido, DÀVILA VINUEZA agrega que «</w:t>
      </w:r>
      <w:r w:rsidRPr="001C4698">
        <w:rPr>
          <w:rFonts w:ascii="Arial" w:hAnsi="Arial" w:cs="Arial"/>
          <w:color w:val="000000" w:themeColor="text1"/>
          <w:sz w:val="19"/>
          <w:szCs w:val="19"/>
          <w:lang w:val="es-CO"/>
        </w:rPr>
        <w:t xml:space="preserve">La modificación insertada [por el artículo 20 de la Ley 1150 de 2007] es muy clara en el sentido de que se admite contratar con organismos de cooperación, asistencia o ayuda internacionales de manera directa para que se ejecute un contrato no sometido a la Ley 80 sino a sus reglamentos internos, si y solo sí los recursos provenientes para su pago, sean del propio organismo en por lo menos más del 50% de su valor. Con tal fin, se deben cuantificar moneda colombiana incluso los aportes que se hagan en especie» (Cfr. </w:t>
      </w:r>
      <w:r w:rsidRPr="001C4698">
        <w:rPr>
          <w:rFonts w:ascii="Arial" w:hAnsi="Arial" w:cs="Arial"/>
          <w:color w:val="000000" w:themeColor="text1"/>
          <w:sz w:val="19"/>
          <w:szCs w:val="19"/>
        </w:rPr>
        <w:t>DÀVILA VINUEZA, Luis Guillermo. Régimen jurídico de la contratación estatal. Tercera edición. Bogotá: Legis, 2016.</w:t>
      </w:r>
      <w:r w:rsidRPr="001C4698">
        <w:rPr>
          <w:rFonts w:ascii="Arial" w:hAnsi="Arial" w:cs="Arial"/>
          <w:color w:val="000000" w:themeColor="text1"/>
          <w:sz w:val="19"/>
          <w:szCs w:val="19"/>
          <w:lang w:val="es-CO"/>
        </w:rPr>
        <w:t xml:space="preserve"> p. 59. Corchetes fuera de texto).</w:t>
      </w:r>
    </w:p>
  </w:footnote>
  <w:footnote w:id="28">
    <w:p w14:paraId="4888A6BE" w14:textId="1FD2EAF3" w:rsidR="000D6FF9" w:rsidRPr="001C4698" w:rsidRDefault="000D6FF9" w:rsidP="000D6FF9">
      <w:pPr>
        <w:pStyle w:val="Textonotapie"/>
        <w:spacing w:after="0" w:line="240" w:lineRule="auto"/>
        <w:ind w:firstLine="709"/>
        <w:rPr>
          <w:rFonts w:ascii="Arial" w:hAnsi="Arial" w:cs="Arial"/>
          <w:color w:val="000000" w:themeColor="text1"/>
          <w:sz w:val="19"/>
          <w:szCs w:val="19"/>
        </w:rPr>
      </w:pPr>
      <w:r w:rsidRPr="001C4698">
        <w:rPr>
          <w:rStyle w:val="Refdenotaalpie"/>
          <w:rFonts w:ascii="Arial" w:hAnsi="Arial" w:cs="Arial"/>
          <w:sz w:val="19"/>
          <w:szCs w:val="19"/>
        </w:rPr>
        <w:footnoteRef/>
      </w:r>
      <w:r w:rsidRPr="001C4698">
        <w:rPr>
          <w:rFonts w:ascii="Arial" w:hAnsi="Arial" w:cs="Arial"/>
          <w:color w:val="000000" w:themeColor="text1"/>
          <w:sz w:val="19"/>
          <w:szCs w:val="19"/>
        </w:rPr>
        <w:t xml:space="preserve"> CONSEJO DE ESTADO. Sala de Consulta y Servicio Civil. Concepto del 27 de abril de 2006. Rad:1712. C.P. Enrique José Arboleda Perdomo.</w:t>
      </w:r>
    </w:p>
    <w:p w14:paraId="798C3554" w14:textId="77777777" w:rsidR="000D6FF9" w:rsidRPr="001C4698" w:rsidRDefault="000D6FF9" w:rsidP="000D6FF9">
      <w:pPr>
        <w:pStyle w:val="Textonotapie"/>
        <w:spacing w:after="0" w:line="240" w:lineRule="auto"/>
        <w:ind w:firstLine="709"/>
        <w:rPr>
          <w:rFonts w:ascii="Arial" w:hAnsi="Arial" w:cs="Arial"/>
          <w:color w:val="000000" w:themeColor="text1"/>
          <w:sz w:val="19"/>
          <w:szCs w:val="19"/>
        </w:rPr>
      </w:pPr>
    </w:p>
  </w:footnote>
  <w:footnote w:id="29">
    <w:p w14:paraId="4B57A568" w14:textId="77777777" w:rsidR="000D6FF9" w:rsidRPr="001C4698" w:rsidRDefault="000D6FF9" w:rsidP="000D6FF9">
      <w:pPr>
        <w:spacing w:after="0" w:line="240" w:lineRule="auto"/>
        <w:ind w:firstLine="709"/>
        <w:jc w:val="both"/>
        <w:rPr>
          <w:rFonts w:ascii="Arial" w:hAnsi="Arial" w:cs="Arial"/>
          <w:sz w:val="19"/>
          <w:szCs w:val="19"/>
          <w:lang w:val="es-ES"/>
        </w:rPr>
      </w:pPr>
      <w:r w:rsidRPr="001C4698">
        <w:rPr>
          <w:rStyle w:val="Refdenotaalpie"/>
          <w:rFonts w:ascii="Arial" w:hAnsi="Arial" w:cs="Arial"/>
          <w:sz w:val="19"/>
          <w:szCs w:val="19"/>
        </w:rPr>
        <w:footnoteRef/>
      </w:r>
      <w:r w:rsidRPr="001C4698">
        <w:rPr>
          <w:rFonts w:ascii="Arial" w:hAnsi="Arial" w:cs="Arial"/>
          <w:sz w:val="19"/>
          <w:szCs w:val="19"/>
        </w:rPr>
        <w:t xml:space="preserve"> </w:t>
      </w:r>
      <w:r w:rsidRPr="001C4698">
        <w:rPr>
          <w:rFonts w:ascii="Arial" w:hAnsi="Arial" w:cs="Arial"/>
          <w:sz w:val="19"/>
          <w:szCs w:val="19"/>
          <w:lang w:val="es-ES"/>
        </w:rPr>
        <w:t>En efecto, el parágrafo 2 del artículo 20 de la Ley 1150 de 2007 dispone que «Las entidades estatales tendrán la obligación de reportar la información a los organismos de control y al Secop relativa a la ejecución de los contratos a los que se refiere el presente artículo».</w:t>
      </w:r>
    </w:p>
  </w:footnote>
  <w:footnote w:id="30">
    <w:p w14:paraId="7C717260" w14:textId="77777777" w:rsidR="000D6FF9" w:rsidRPr="001C4698" w:rsidRDefault="000D6FF9" w:rsidP="000D6FF9">
      <w:pPr>
        <w:spacing w:after="0" w:line="240" w:lineRule="auto"/>
        <w:ind w:firstLine="709"/>
        <w:jc w:val="both"/>
        <w:rPr>
          <w:rFonts w:ascii="Arial" w:hAnsi="Arial" w:cs="Arial"/>
          <w:sz w:val="19"/>
          <w:szCs w:val="19"/>
          <w:lang w:val="es-MX"/>
        </w:rPr>
      </w:pPr>
      <w:r w:rsidRPr="001C4698">
        <w:rPr>
          <w:rStyle w:val="Refdenotaalpie"/>
          <w:rFonts w:ascii="Arial" w:hAnsi="Arial" w:cs="Arial"/>
          <w:sz w:val="19"/>
          <w:szCs w:val="19"/>
        </w:rPr>
        <w:footnoteRef/>
      </w:r>
      <w:r w:rsidRPr="001C4698">
        <w:rPr>
          <w:rFonts w:ascii="Arial" w:hAnsi="Arial" w:cs="Arial"/>
          <w:sz w:val="19"/>
          <w:szCs w:val="19"/>
        </w:rPr>
        <w:t xml:space="preserve"> No en vano, el parágrafo 3 del artículo 20 de la Ley 1150 de 2007 establece que «</w:t>
      </w:r>
      <w:r w:rsidRPr="001C4698">
        <w:rPr>
          <w:rFonts w:ascii="Arial" w:hAnsi="Arial" w:cs="Arial"/>
          <w:sz w:val="19"/>
          <w:szCs w:val="19"/>
          <w:lang w:val="es-MX"/>
        </w:rPr>
        <w:t>En todo Proyecto de cooperación que involucre recursos estatales se deberán cuantificar en moneda nacional, los aportes en especie de la entidad, organización o persona cooperante, así como los del ente nacional colombiano. Las contralorías ejercerán el control fiscal sobre los proyectos y contratos celebrados con organismos multilaterales».</w:t>
      </w:r>
    </w:p>
  </w:footnote>
  <w:footnote w:id="31">
    <w:p w14:paraId="273DC6C9" w14:textId="57067520" w:rsidR="000D6FF9" w:rsidRPr="001C4698" w:rsidRDefault="000D6FF9" w:rsidP="000D6FF9">
      <w:pPr>
        <w:spacing w:after="0" w:line="240" w:lineRule="auto"/>
        <w:ind w:firstLine="709"/>
        <w:jc w:val="both"/>
        <w:rPr>
          <w:rFonts w:ascii="Arial" w:hAnsi="Arial" w:cs="Arial"/>
          <w:sz w:val="19"/>
          <w:szCs w:val="19"/>
          <w:lang w:val="es-MX"/>
        </w:rPr>
      </w:pPr>
      <w:r w:rsidRPr="001C4698">
        <w:rPr>
          <w:rStyle w:val="Refdenotaalpie"/>
          <w:rFonts w:ascii="Arial" w:hAnsi="Arial" w:cs="Arial"/>
          <w:sz w:val="19"/>
          <w:szCs w:val="19"/>
        </w:rPr>
        <w:footnoteRef/>
      </w:r>
      <w:r w:rsidRPr="001C4698">
        <w:rPr>
          <w:rFonts w:ascii="Arial" w:hAnsi="Arial" w:cs="Arial"/>
          <w:sz w:val="19"/>
          <w:szCs w:val="19"/>
        </w:rPr>
        <w:t xml:space="preserve"> Sentencia C-439 de 2016. M.P.: </w:t>
      </w:r>
      <w:r w:rsidRPr="001C4698">
        <w:rPr>
          <w:rFonts w:ascii="Arial" w:hAnsi="Arial" w:cs="Arial"/>
          <w:sz w:val="19"/>
          <w:szCs w:val="19"/>
          <w:lang w:val="es-MX"/>
        </w:rPr>
        <w:t>Luis Guillermo Guerrero Pérez. Así también lo indicó la Corte Constitucional en la Sentencia C-339 de 2002, M.P.: Jaime Araujo Rentería.</w:t>
      </w:r>
    </w:p>
    <w:p w14:paraId="2DC82AE3" w14:textId="77777777" w:rsidR="001D1A9E" w:rsidRPr="001C4698" w:rsidRDefault="001D1A9E" w:rsidP="000D6FF9">
      <w:pPr>
        <w:spacing w:after="0" w:line="240" w:lineRule="auto"/>
        <w:ind w:firstLine="709"/>
        <w:jc w:val="both"/>
        <w:rPr>
          <w:rFonts w:ascii="Arial" w:hAnsi="Arial" w:cs="Arial"/>
          <w:sz w:val="19"/>
          <w:szCs w:val="19"/>
          <w:lang w:val="es-MX"/>
        </w:rPr>
      </w:pPr>
    </w:p>
  </w:footnote>
  <w:footnote w:id="32">
    <w:p w14:paraId="07FFD4E1" w14:textId="77777777" w:rsidR="000D6FF9" w:rsidRPr="001C4698" w:rsidRDefault="000D6FF9" w:rsidP="000D6FF9">
      <w:pPr>
        <w:pStyle w:val="Textonotapie"/>
        <w:spacing w:after="0" w:line="240" w:lineRule="auto"/>
        <w:ind w:firstLine="709"/>
        <w:rPr>
          <w:rFonts w:ascii="Arial" w:hAnsi="Arial" w:cs="Arial"/>
          <w:sz w:val="19"/>
          <w:szCs w:val="19"/>
        </w:rPr>
      </w:pPr>
      <w:r w:rsidRPr="001C4698">
        <w:rPr>
          <w:rStyle w:val="Refdenotaalpie"/>
          <w:rFonts w:ascii="Arial" w:hAnsi="Arial" w:cs="Arial"/>
          <w:sz w:val="19"/>
          <w:szCs w:val="19"/>
        </w:rPr>
        <w:footnoteRef/>
      </w:r>
      <w:r w:rsidRPr="001C4698">
        <w:rPr>
          <w:rFonts w:ascii="Arial" w:hAnsi="Arial" w:cs="Arial"/>
          <w:sz w:val="19"/>
          <w:szCs w:val="19"/>
        </w:rPr>
        <w:t xml:space="preserve"> Ibíd.</w:t>
      </w:r>
    </w:p>
  </w:footnote>
  <w:footnote w:id="33">
    <w:p w14:paraId="52E69976" w14:textId="38C9F9DB" w:rsidR="0011631A" w:rsidRPr="001C4698" w:rsidRDefault="0011631A" w:rsidP="001C4698">
      <w:pPr>
        <w:pStyle w:val="Textonotapie"/>
        <w:spacing w:line="240" w:lineRule="auto"/>
        <w:ind w:firstLine="708"/>
        <w:rPr>
          <w:rFonts w:ascii="Arial" w:hAnsi="Arial" w:cs="Arial"/>
          <w:color w:val="000000" w:themeColor="text1"/>
          <w:sz w:val="19"/>
          <w:szCs w:val="19"/>
        </w:rPr>
      </w:pPr>
      <w:r w:rsidRPr="001C4698">
        <w:rPr>
          <w:rStyle w:val="Refdenotaalpie"/>
          <w:rFonts w:ascii="Arial" w:hAnsi="Arial" w:cs="Arial"/>
          <w:color w:val="000000" w:themeColor="text1"/>
          <w:sz w:val="19"/>
          <w:szCs w:val="19"/>
        </w:rPr>
        <w:footnoteRef/>
      </w:r>
      <w:r w:rsidRPr="001C4698">
        <w:rPr>
          <w:rFonts w:ascii="Arial" w:hAnsi="Arial" w:cs="Arial"/>
          <w:color w:val="000000" w:themeColor="text1"/>
          <w:sz w:val="19"/>
          <w:szCs w:val="19"/>
        </w:rPr>
        <w:t xml:space="preserve"> Sobre esta norma consultar los conceptos del 8 de octubre de 2019, con radicado 2201913000007532, y del 20 de diciembre de 2019, cuyo radicado es el No. 4201913000008240.</w:t>
      </w:r>
    </w:p>
  </w:footnote>
  <w:footnote w:id="34">
    <w:p w14:paraId="07C5A084" w14:textId="77777777" w:rsidR="00A96A9C" w:rsidRPr="001C4698" w:rsidRDefault="0011631A" w:rsidP="001C4698">
      <w:pPr>
        <w:pStyle w:val="Textonotapie"/>
        <w:spacing w:after="0" w:line="240" w:lineRule="auto"/>
        <w:ind w:firstLine="709"/>
        <w:rPr>
          <w:rFonts w:ascii="Arial" w:hAnsi="Arial" w:cs="Arial"/>
          <w:color w:val="000000" w:themeColor="text1"/>
          <w:sz w:val="19"/>
          <w:szCs w:val="19"/>
        </w:rPr>
      </w:pPr>
      <w:r w:rsidRPr="001C4698">
        <w:rPr>
          <w:rStyle w:val="Refdenotaalpie"/>
          <w:rFonts w:ascii="Arial" w:hAnsi="Arial" w:cs="Arial"/>
          <w:color w:val="000000" w:themeColor="text1"/>
          <w:sz w:val="19"/>
          <w:szCs w:val="19"/>
        </w:rPr>
        <w:footnoteRef/>
      </w:r>
      <w:r w:rsidRPr="001C4698">
        <w:rPr>
          <w:rFonts w:ascii="Arial" w:hAnsi="Arial" w:cs="Arial"/>
          <w:color w:val="000000" w:themeColor="text1"/>
          <w:sz w:val="19"/>
          <w:szCs w:val="19"/>
        </w:rPr>
        <w:t xml:space="preserve"> Ley 489 de 1998: «Articulo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7C8C023D" w14:textId="66092462" w:rsidR="0011631A" w:rsidRPr="001C4698" w:rsidRDefault="0011631A" w:rsidP="001C4698">
      <w:pPr>
        <w:pStyle w:val="Textonotapie"/>
        <w:spacing w:after="0" w:line="240" w:lineRule="auto"/>
        <w:ind w:firstLine="709"/>
        <w:rPr>
          <w:rFonts w:ascii="Arial" w:hAnsi="Arial" w:cs="Arial"/>
          <w:color w:val="000000" w:themeColor="text1"/>
          <w:sz w:val="19"/>
          <w:szCs w:val="19"/>
        </w:rPr>
      </w:pPr>
      <w:r w:rsidRPr="001C4698">
        <w:rPr>
          <w:rFonts w:ascii="Arial" w:hAnsi="Arial" w:cs="Arial"/>
          <w:color w:val="000000" w:themeColor="text1"/>
          <w:sz w:val="19"/>
          <w:szCs w:val="19"/>
        </w:rPr>
        <w:t>»Los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14:paraId="6055ADFF" w14:textId="195957D5" w:rsidR="0011631A" w:rsidRPr="001C4698" w:rsidRDefault="0011631A" w:rsidP="001C4698">
      <w:pPr>
        <w:pStyle w:val="Textonotapie"/>
        <w:spacing w:after="0" w:line="240" w:lineRule="auto"/>
        <w:ind w:firstLine="709"/>
        <w:rPr>
          <w:rFonts w:ascii="Arial" w:hAnsi="Arial" w:cs="Arial"/>
          <w:color w:val="000000" w:themeColor="text1"/>
          <w:sz w:val="19"/>
          <w:szCs w:val="19"/>
        </w:rPr>
      </w:pPr>
      <w:r w:rsidRPr="001C4698">
        <w:rPr>
          <w:rFonts w:ascii="Arial" w:hAnsi="Arial" w:cs="Arial"/>
          <w:color w:val="000000" w:themeColor="text1"/>
          <w:sz w:val="19"/>
          <w:szCs w:val="19"/>
        </w:rPr>
        <w:t>»[…]».</w:t>
      </w:r>
    </w:p>
    <w:p w14:paraId="138B33F0" w14:textId="77777777" w:rsidR="00A96A9C" w:rsidRPr="001C4698" w:rsidRDefault="00A96A9C" w:rsidP="001C4698">
      <w:pPr>
        <w:pStyle w:val="Textonotapie"/>
        <w:spacing w:after="0" w:line="240" w:lineRule="auto"/>
        <w:ind w:firstLine="709"/>
        <w:rPr>
          <w:rFonts w:ascii="Arial" w:hAnsi="Arial" w:cs="Arial"/>
          <w:color w:val="000000" w:themeColor="text1"/>
          <w:sz w:val="19"/>
          <w:szCs w:val="19"/>
        </w:rPr>
      </w:pPr>
    </w:p>
  </w:footnote>
  <w:footnote w:id="35">
    <w:p w14:paraId="0B25FB2C" w14:textId="3DAC73B9" w:rsidR="0011631A" w:rsidRPr="001C4698" w:rsidRDefault="0011631A" w:rsidP="001C4698">
      <w:pPr>
        <w:pStyle w:val="Textonotapie"/>
        <w:spacing w:line="240" w:lineRule="auto"/>
        <w:ind w:firstLine="708"/>
        <w:rPr>
          <w:rFonts w:ascii="Arial" w:hAnsi="Arial" w:cs="Arial"/>
          <w:color w:val="000000" w:themeColor="text1"/>
          <w:sz w:val="19"/>
          <w:szCs w:val="19"/>
        </w:rPr>
      </w:pPr>
      <w:r w:rsidRPr="001C4698">
        <w:rPr>
          <w:rStyle w:val="Refdenotaalpie"/>
          <w:rFonts w:ascii="Arial" w:hAnsi="Arial" w:cs="Arial"/>
          <w:color w:val="000000" w:themeColor="text1"/>
          <w:sz w:val="19"/>
          <w:szCs w:val="19"/>
        </w:rPr>
        <w:footnoteRef/>
      </w:r>
      <w:r w:rsidRPr="001C4698">
        <w:rPr>
          <w:rFonts w:ascii="Arial" w:hAnsi="Arial" w:cs="Arial"/>
          <w:color w:val="000000" w:themeColor="text1"/>
          <w:sz w:val="19"/>
          <w:szCs w:val="19"/>
        </w:rPr>
        <w:t xml:space="preserve"> En el concepto emitido el 5 de febrero de 2019, dentro del radicado No. 2201913000000663, se dijo: «[l]os convenios de asociación del artículo 5 son distintos a los contratos de colaboración del artículo 2 del Decreto 092 de 2017».</w:t>
      </w:r>
    </w:p>
  </w:footnote>
  <w:footnote w:id="36">
    <w:p w14:paraId="4B218360" w14:textId="77777777" w:rsidR="0011631A" w:rsidRPr="001C4698" w:rsidRDefault="0011631A" w:rsidP="001C4698">
      <w:pPr>
        <w:pStyle w:val="Textonotapie"/>
        <w:spacing w:line="240" w:lineRule="auto"/>
        <w:ind w:firstLine="708"/>
        <w:rPr>
          <w:rFonts w:ascii="Arial" w:hAnsi="Arial" w:cs="Arial"/>
          <w:sz w:val="19"/>
          <w:szCs w:val="19"/>
        </w:rPr>
      </w:pPr>
      <w:r w:rsidRPr="001C4698">
        <w:rPr>
          <w:rStyle w:val="Refdenotaalpie"/>
          <w:rFonts w:ascii="Arial" w:hAnsi="Arial" w:cs="Arial"/>
          <w:sz w:val="19"/>
          <w:szCs w:val="19"/>
        </w:rPr>
        <w:footnoteRef/>
      </w:r>
      <w:r w:rsidRPr="001C4698">
        <w:rPr>
          <w:rFonts w:ascii="Arial" w:hAnsi="Arial" w:cs="Arial"/>
          <w:sz w:val="19"/>
          <w:szCs w:val="19"/>
        </w:rPr>
        <w:t xml:space="preserve"> Concepto del 12 de diciembre de 2019, radicado No. </w:t>
      </w:r>
      <w:r w:rsidRPr="001C4698">
        <w:rPr>
          <w:rFonts w:ascii="Arial" w:eastAsia="Calibri" w:hAnsi="Arial" w:cs="Arial"/>
          <w:color w:val="000000" w:themeColor="text1"/>
          <w:sz w:val="19"/>
          <w:szCs w:val="19"/>
        </w:rPr>
        <w:t>2201913000009196</w:t>
      </w:r>
      <w:r w:rsidRPr="001C4698">
        <w:rPr>
          <w:rFonts w:ascii="Arial" w:hAnsi="Arial" w:cs="Arial"/>
          <w:sz w:val="19"/>
          <w:szCs w:val="19"/>
        </w:rPr>
        <w:t>.</w:t>
      </w:r>
    </w:p>
    <w:p w14:paraId="5FB9E326" w14:textId="77777777" w:rsidR="0011631A" w:rsidRPr="001C4698" w:rsidRDefault="0011631A" w:rsidP="001C4698">
      <w:pPr>
        <w:pStyle w:val="Textonotapie"/>
        <w:spacing w:line="240" w:lineRule="auto"/>
        <w:ind w:firstLine="708"/>
        <w:rPr>
          <w:rFonts w:ascii="Arial" w:hAnsi="Arial" w:cs="Arial"/>
          <w:sz w:val="19"/>
          <w:szCs w:val="19"/>
        </w:rPr>
      </w:pPr>
    </w:p>
  </w:footnote>
  <w:footnote w:id="37">
    <w:p w14:paraId="753C1808" w14:textId="10AD49DE" w:rsidR="0011631A" w:rsidRPr="001C4698" w:rsidRDefault="0011631A" w:rsidP="001C4698">
      <w:pPr>
        <w:pStyle w:val="Textonotapie"/>
        <w:spacing w:line="240" w:lineRule="auto"/>
        <w:ind w:firstLine="708"/>
        <w:rPr>
          <w:rFonts w:ascii="Arial" w:hAnsi="Arial" w:cs="Arial"/>
          <w:color w:val="000000" w:themeColor="text1"/>
          <w:sz w:val="19"/>
          <w:szCs w:val="19"/>
        </w:rPr>
      </w:pPr>
      <w:r w:rsidRPr="001C4698">
        <w:rPr>
          <w:rStyle w:val="Refdenotaalpie"/>
          <w:rFonts w:ascii="Arial" w:hAnsi="Arial" w:cs="Arial"/>
          <w:color w:val="000000" w:themeColor="text1"/>
          <w:sz w:val="19"/>
          <w:szCs w:val="19"/>
        </w:rPr>
        <w:footnoteRef/>
      </w:r>
      <w:r w:rsidRPr="001C4698">
        <w:rPr>
          <w:rFonts w:ascii="Arial" w:hAnsi="Arial" w:cs="Arial"/>
          <w:color w:val="000000" w:themeColor="text1"/>
          <w:sz w:val="19"/>
          <w:szCs w:val="19"/>
        </w:rPr>
        <w:t xml:space="preserve"> Concepto del 3 de septiembre de 2019, emitido en el radicado No. 2201913000006512.</w:t>
      </w:r>
    </w:p>
  </w:footnote>
  <w:footnote w:id="38">
    <w:p w14:paraId="1D72E006" w14:textId="77777777" w:rsidR="0011631A" w:rsidRPr="001C4698" w:rsidRDefault="0011631A" w:rsidP="001C4698">
      <w:pPr>
        <w:pStyle w:val="Textonotapie"/>
        <w:spacing w:line="240" w:lineRule="auto"/>
        <w:ind w:firstLine="708"/>
        <w:rPr>
          <w:rFonts w:ascii="Arial" w:hAnsi="Arial" w:cs="Arial"/>
          <w:color w:val="000000"/>
          <w:sz w:val="19"/>
          <w:szCs w:val="19"/>
        </w:rPr>
      </w:pPr>
      <w:r w:rsidRPr="001C4698">
        <w:rPr>
          <w:rStyle w:val="Refdenotaalpie"/>
          <w:rFonts w:ascii="Arial" w:hAnsi="Arial" w:cs="Arial"/>
          <w:color w:val="000000"/>
          <w:sz w:val="19"/>
          <w:szCs w:val="19"/>
        </w:rPr>
        <w:footnoteRef/>
      </w:r>
      <w:r w:rsidRPr="001C4698">
        <w:rPr>
          <w:rFonts w:ascii="Arial" w:hAnsi="Arial" w:cs="Arial"/>
          <w:color w:val="000000"/>
          <w:sz w:val="19"/>
          <w:szCs w:val="19"/>
        </w:rPr>
        <w:t xml:space="preserve"> El numeral 16.9 de la Circular Externa Única de Colombia Compra Eficiente determina:</w:t>
      </w:r>
    </w:p>
    <w:p w14:paraId="5B08F60F" w14:textId="77777777" w:rsidR="0011631A" w:rsidRPr="001C4698" w:rsidRDefault="0011631A" w:rsidP="001C4698">
      <w:pPr>
        <w:pStyle w:val="Textonotapie"/>
        <w:spacing w:after="0" w:line="240" w:lineRule="auto"/>
        <w:ind w:firstLine="709"/>
        <w:rPr>
          <w:rFonts w:ascii="Arial" w:hAnsi="Arial" w:cs="Arial"/>
          <w:color w:val="000000"/>
          <w:sz w:val="19"/>
          <w:szCs w:val="19"/>
        </w:rPr>
      </w:pPr>
      <w:r w:rsidRPr="001C4698">
        <w:rPr>
          <w:rFonts w:ascii="Arial" w:hAnsi="Arial" w:cs="Arial"/>
          <w:color w:val="000000"/>
          <w:sz w:val="19"/>
          <w:szCs w:val="19"/>
        </w:rPr>
        <w:t>«16.9 Uniones temporales y consorcios conformados por entidades sin ánimo de lucro.</w:t>
      </w:r>
    </w:p>
    <w:p w14:paraId="4F55BF07" w14:textId="76F1A285" w:rsidR="0011631A" w:rsidRPr="001C4698" w:rsidRDefault="0011631A" w:rsidP="001C4698">
      <w:pPr>
        <w:pStyle w:val="Textonotapie"/>
        <w:spacing w:line="240" w:lineRule="auto"/>
        <w:ind w:firstLine="708"/>
        <w:rPr>
          <w:rFonts w:ascii="Arial" w:hAnsi="Arial" w:cs="Arial"/>
          <w:color w:val="000000"/>
          <w:sz w:val="19"/>
          <w:szCs w:val="19"/>
        </w:rPr>
      </w:pPr>
      <w:r w:rsidRPr="001C4698">
        <w:rPr>
          <w:rFonts w:ascii="Arial" w:hAnsi="Arial" w:cs="Arial"/>
          <w:color w:val="000000"/>
          <w:sz w:val="19"/>
          <w:szCs w:val="19"/>
        </w:rPr>
        <w:t>»El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footnote>
  <w:footnote w:id="39">
    <w:p w14:paraId="19F26E26" w14:textId="42B99FAA" w:rsidR="0011631A" w:rsidRPr="001C4698" w:rsidRDefault="0011631A" w:rsidP="001C4698">
      <w:pPr>
        <w:pStyle w:val="Textonotapie"/>
        <w:spacing w:after="0" w:line="240" w:lineRule="auto"/>
        <w:ind w:firstLine="708"/>
        <w:rPr>
          <w:rFonts w:ascii="Arial" w:hAnsi="Arial" w:cs="Arial"/>
          <w:color w:val="000000"/>
          <w:sz w:val="19"/>
          <w:szCs w:val="19"/>
          <w:lang w:val="es-ES"/>
        </w:rPr>
      </w:pPr>
      <w:r w:rsidRPr="001C4698">
        <w:rPr>
          <w:rStyle w:val="Refdenotaalpie"/>
          <w:rFonts w:ascii="Arial" w:hAnsi="Arial" w:cs="Arial"/>
          <w:color w:val="000000"/>
          <w:sz w:val="19"/>
          <w:szCs w:val="19"/>
        </w:rPr>
        <w:footnoteRef/>
      </w:r>
      <w:r w:rsidRPr="001C4698">
        <w:rPr>
          <w:rFonts w:ascii="Arial" w:hAnsi="Arial" w:cs="Arial"/>
          <w:color w:val="000000"/>
          <w:sz w:val="19"/>
          <w:szCs w:val="19"/>
        </w:rPr>
        <w:t xml:space="preserve"> Concepto del 19 de noviembre de 2019, emitido en el radicado No. 2201913000008611.</w:t>
      </w:r>
    </w:p>
  </w:footnote>
  <w:footnote w:id="40">
    <w:p w14:paraId="623082B1" w14:textId="77777777" w:rsidR="00F47A3C" w:rsidRPr="001C4698" w:rsidRDefault="00F47A3C" w:rsidP="001C4698">
      <w:pPr>
        <w:pStyle w:val="Textonotapie"/>
        <w:spacing w:after="0" w:line="240" w:lineRule="auto"/>
        <w:ind w:firstLine="708"/>
        <w:rPr>
          <w:rFonts w:ascii="Arial" w:hAnsi="Arial" w:cs="Arial"/>
          <w:color w:val="000000" w:themeColor="text1"/>
          <w:sz w:val="19"/>
          <w:szCs w:val="19"/>
        </w:rPr>
      </w:pPr>
      <w:r w:rsidRPr="001C4698">
        <w:rPr>
          <w:rStyle w:val="Refdenotaalpie"/>
          <w:rFonts w:ascii="Arial" w:hAnsi="Arial" w:cs="Arial"/>
          <w:color w:val="000000" w:themeColor="text1"/>
          <w:sz w:val="19"/>
          <w:szCs w:val="19"/>
        </w:rPr>
        <w:footnoteRef/>
      </w:r>
      <w:r w:rsidRPr="001C4698">
        <w:rPr>
          <w:rFonts w:ascii="Arial" w:hAnsi="Arial" w:cs="Arial"/>
          <w:color w:val="000000" w:themeColor="text1"/>
          <w:sz w:val="19"/>
          <w:szCs w:val="19"/>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p w14:paraId="7A129857" w14:textId="77777777" w:rsidR="00F47A3C" w:rsidRPr="001C4698" w:rsidRDefault="00F47A3C" w:rsidP="001C4698">
      <w:pPr>
        <w:pStyle w:val="Textonotapie"/>
        <w:spacing w:after="0" w:line="240" w:lineRule="auto"/>
        <w:ind w:firstLine="708"/>
        <w:rPr>
          <w:rFonts w:ascii="Arial" w:hAnsi="Arial" w:cs="Arial"/>
          <w:color w:val="000000" w:themeColor="text1"/>
          <w:sz w:val="19"/>
          <w:szCs w:val="19"/>
          <w:lang w:val="es-ES"/>
        </w:rPr>
      </w:pPr>
    </w:p>
  </w:footnote>
  <w:footnote w:id="41">
    <w:p w14:paraId="366B2BDB" w14:textId="77777777" w:rsidR="00F47A3C" w:rsidRPr="001C4698" w:rsidRDefault="00F47A3C" w:rsidP="001C4698">
      <w:pPr>
        <w:pStyle w:val="Textonotapie"/>
        <w:spacing w:after="0" w:line="240" w:lineRule="auto"/>
        <w:ind w:firstLine="708"/>
        <w:rPr>
          <w:rFonts w:ascii="Arial" w:hAnsi="Arial" w:cs="Arial"/>
          <w:color w:val="000000" w:themeColor="text1"/>
          <w:sz w:val="19"/>
          <w:szCs w:val="19"/>
        </w:rPr>
      </w:pPr>
      <w:r w:rsidRPr="001C4698">
        <w:rPr>
          <w:rStyle w:val="Refdenotaalpie"/>
          <w:rFonts w:ascii="Arial" w:hAnsi="Arial" w:cs="Arial"/>
          <w:color w:val="000000" w:themeColor="text1"/>
          <w:sz w:val="19"/>
          <w:szCs w:val="19"/>
        </w:rPr>
        <w:footnoteRef/>
      </w:r>
      <w:r w:rsidRPr="001C4698">
        <w:rPr>
          <w:rFonts w:ascii="Arial" w:hAnsi="Arial" w:cs="Arial"/>
          <w:color w:val="000000" w:themeColor="text1"/>
          <w:sz w:val="19"/>
          <w:szCs w:val="19"/>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14:paraId="487E39EA" w14:textId="77777777" w:rsidR="00F47A3C" w:rsidRPr="001C4698" w:rsidRDefault="00F47A3C" w:rsidP="001C4698">
      <w:pPr>
        <w:pStyle w:val="Textonotapie"/>
        <w:spacing w:after="0"/>
        <w:rPr>
          <w:rFonts w:ascii="Arial" w:hAnsi="Arial" w:cs="Arial"/>
          <w:color w:val="000000" w:themeColor="text1"/>
          <w:sz w:val="19"/>
          <w:szCs w:val="19"/>
          <w:lang w:val="es-ES"/>
        </w:rPr>
      </w:pPr>
    </w:p>
  </w:footnote>
  <w:footnote w:id="42">
    <w:p w14:paraId="39814504" w14:textId="050542E8" w:rsidR="00F47A3C" w:rsidRPr="001C4698" w:rsidRDefault="00F47A3C" w:rsidP="001C4698">
      <w:pPr>
        <w:pStyle w:val="Textonotapie"/>
        <w:spacing w:after="0"/>
        <w:ind w:firstLine="708"/>
        <w:rPr>
          <w:rFonts w:ascii="Arial" w:hAnsi="Arial" w:cs="Arial"/>
          <w:sz w:val="19"/>
          <w:szCs w:val="19"/>
          <w:lang w:val="es-ES"/>
        </w:rPr>
      </w:pPr>
      <w:r w:rsidRPr="001C4698">
        <w:rPr>
          <w:rStyle w:val="Refdenotaalpie"/>
          <w:rFonts w:ascii="Arial" w:hAnsi="Arial" w:cs="Arial"/>
          <w:sz w:val="19"/>
          <w:szCs w:val="19"/>
        </w:rPr>
        <w:footnoteRef/>
      </w:r>
      <w:r w:rsidRPr="001C4698">
        <w:rPr>
          <w:rFonts w:ascii="Arial" w:hAnsi="Arial" w:cs="Arial"/>
          <w:sz w:val="19"/>
          <w:szCs w:val="19"/>
        </w:rPr>
        <w:t xml:space="preserve"> </w:t>
      </w:r>
      <w:r w:rsidRPr="001C4698">
        <w:rPr>
          <w:rFonts w:ascii="Arial" w:hAnsi="Arial" w:cs="Arial"/>
          <w:sz w:val="19"/>
          <w:szCs w:val="19"/>
          <w:lang w:val="es-CO"/>
        </w:rPr>
        <w:t>CONSEJO DE ESTADO. Sala de Consulta y Servicio Civil. Concepto del 8 de mayo de 2018. Rad. 2382. C.P. Álvaro Namén Vargas.</w:t>
      </w:r>
    </w:p>
  </w:footnote>
  <w:footnote w:id="43">
    <w:p w14:paraId="336D4C19" w14:textId="77777777" w:rsidR="007238E2" w:rsidRPr="001C4698" w:rsidRDefault="007238E2" w:rsidP="007238E2">
      <w:pPr>
        <w:spacing w:after="0"/>
        <w:ind w:firstLine="709"/>
        <w:jc w:val="both"/>
        <w:rPr>
          <w:rFonts w:ascii="Arial" w:hAnsi="Arial" w:cs="Arial"/>
          <w:sz w:val="19"/>
          <w:szCs w:val="19"/>
        </w:rPr>
      </w:pPr>
      <w:r w:rsidRPr="001C4698">
        <w:rPr>
          <w:rStyle w:val="Refdenotaalpie"/>
        </w:rPr>
        <w:footnoteRef/>
      </w:r>
      <w:r w:rsidRPr="001C4698">
        <w:rPr>
          <w:rFonts w:ascii="Arial" w:hAnsi="Arial" w:cs="Arial"/>
          <w:sz w:val="19"/>
          <w:szCs w:val="19"/>
        </w:rPr>
        <w:t xml:space="preserve"> Sentencia C-439 de 2016. M.P.: </w:t>
      </w:r>
      <w:r w:rsidRPr="001C4698">
        <w:rPr>
          <w:rFonts w:ascii="Arial" w:hAnsi="Arial" w:cs="Arial"/>
          <w:sz w:val="19"/>
          <w:szCs w:val="19"/>
          <w:lang w:val="es-MX"/>
        </w:rPr>
        <w:t>Luis Guillermo Guerrero Pérez. Así también lo indicó la Corte Constitucional en la Sentencia C-339 de 2002, M.P.: Jaime Araujo Rentería.</w:t>
      </w:r>
    </w:p>
  </w:footnote>
  <w:footnote w:id="44">
    <w:p w14:paraId="030D2052" w14:textId="77777777" w:rsidR="007238E2" w:rsidRPr="003B07F6" w:rsidRDefault="007238E2" w:rsidP="007238E2">
      <w:pPr>
        <w:pStyle w:val="Textonotapie"/>
        <w:spacing w:after="0" w:line="240" w:lineRule="auto"/>
        <w:ind w:firstLine="709"/>
        <w:rPr>
          <w:rFonts w:ascii="Arial" w:hAnsi="Arial" w:cs="Arial"/>
          <w:sz w:val="19"/>
          <w:szCs w:val="19"/>
        </w:rPr>
      </w:pPr>
      <w:r w:rsidRPr="001C4698">
        <w:rPr>
          <w:rStyle w:val="Refdenotaalpie"/>
        </w:rPr>
        <w:footnoteRef/>
      </w:r>
      <w:r w:rsidRPr="001C4698">
        <w:rPr>
          <w:rFonts w:ascii="Arial" w:hAnsi="Arial" w:cs="Arial"/>
          <w:sz w:val="19"/>
          <w:szCs w:val="19"/>
        </w:rPr>
        <w:t xml:space="preserve"> Ibíd.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6D52" w14:textId="77777777" w:rsidR="00412132" w:rsidRDefault="0059506E">
    <w:pPr>
      <w:pStyle w:val="Encabezado"/>
    </w:pPr>
    <w:r>
      <w:rPr>
        <w:noProof/>
        <w:lang w:val="es-CO" w:eastAsia="es-CO"/>
      </w:rPr>
      <w:drawing>
        <wp:anchor distT="0" distB="0" distL="114300" distR="114300" simplePos="0" relativeHeight="251659264" behindDoc="1" locked="0" layoutInCell="1" allowOverlap="1" wp14:anchorId="5693DF48" wp14:editId="01E9C1AD">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4FD056" w14:textId="77777777" w:rsidR="00FE0395" w:rsidRDefault="00B643D6" w:rsidP="00FE0395">
    <w:pPr>
      <w:pStyle w:val="Encabezado"/>
      <w:spacing w:after="0"/>
    </w:pPr>
  </w:p>
  <w:p w14:paraId="6BF83C4B" w14:textId="77777777" w:rsidR="00412132" w:rsidRDefault="00B643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3FD"/>
    <w:rsid w:val="00010367"/>
    <w:rsid w:val="00015F0C"/>
    <w:rsid w:val="00017F5A"/>
    <w:rsid w:val="00047532"/>
    <w:rsid w:val="00057DF4"/>
    <w:rsid w:val="00061178"/>
    <w:rsid w:val="00064CF5"/>
    <w:rsid w:val="000709DE"/>
    <w:rsid w:val="00073C80"/>
    <w:rsid w:val="000D6FF9"/>
    <w:rsid w:val="0011631A"/>
    <w:rsid w:val="00122E3D"/>
    <w:rsid w:val="00153E37"/>
    <w:rsid w:val="0017033B"/>
    <w:rsid w:val="001B5D52"/>
    <w:rsid w:val="001B708A"/>
    <w:rsid w:val="001C3BDF"/>
    <w:rsid w:val="001C4698"/>
    <w:rsid w:val="001C7DE7"/>
    <w:rsid w:val="001D1A9E"/>
    <w:rsid w:val="001F1F75"/>
    <w:rsid w:val="002163C6"/>
    <w:rsid w:val="00250B23"/>
    <w:rsid w:val="002752F6"/>
    <w:rsid w:val="00280386"/>
    <w:rsid w:val="002E7EFE"/>
    <w:rsid w:val="00313AAA"/>
    <w:rsid w:val="00335D1A"/>
    <w:rsid w:val="003360E1"/>
    <w:rsid w:val="0034478A"/>
    <w:rsid w:val="0035046E"/>
    <w:rsid w:val="00387E94"/>
    <w:rsid w:val="003A32ED"/>
    <w:rsid w:val="003A7987"/>
    <w:rsid w:val="004057D3"/>
    <w:rsid w:val="0041477E"/>
    <w:rsid w:val="00416633"/>
    <w:rsid w:val="00463A7C"/>
    <w:rsid w:val="00467024"/>
    <w:rsid w:val="00476F34"/>
    <w:rsid w:val="00484406"/>
    <w:rsid w:val="004A4DED"/>
    <w:rsid w:val="004D5103"/>
    <w:rsid w:val="004D6296"/>
    <w:rsid w:val="004E5F1E"/>
    <w:rsid w:val="00501FB3"/>
    <w:rsid w:val="00511E04"/>
    <w:rsid w:val="00521FA6"/>
    <w:rsid w:val="00567E28"/>
    <w:rsid w:val="005711E4"/>
    <w:rsid w:val="00592846"/>
    <w:rsid w:val="0059506E"/>
    <w:rsid w:val="00595FAC"/>
    <w:rsid w:val="005A5FB2"/>
    <w:rsid w:val="005F4A0D"/>
    <w:rsid w:val="006514AA"/>
    <w:rsid w:val="00670731"/>
    <w:rsid w:val="00691424"/>
    <w:rsid w:val="006A7EA7"/>
    <w:rsid w:val="006B1954"/>
    <w:rsid w:val="006B29A0"/>
    <w:rsid w:val="006C0953"/>
    <w:rsid w:val="006E1AD0"/>
    <w:rsid w:val="0071181F"/>
    <w:rsid w:val="00720AAA"/>
    <w:rsid w:val="00722156"/>
    <w:rsid w:val="007238E2"/>
    <w:rsid w:val="00771E21"/>
    <w:rsid w:val="00794B1B"/>
    <w:rsid w:val="008122B8"/>
    <w:rsid w:val="00822AB3"/>
    <w:rsid w:val="008865FA"/>
    <w:rsid w:val="008C0FAA"/>
    <w:rsid w:val="008E0AEF"/>
    <w:rsid w:val="008E6AFE"/>
    <w:rsid w:val="00921443"/>
    <w:rsid w:val="009219A3"/>
    <w:rsid w:val="0093131B"/>
    <w:rsid w:val="00934BD2"/>
    <w:rsid w:val="0095253C"/>
    <w:rsid w:val="00961DA6"/>
    <w:rsid w:val="00962934"/>
    <w:rsid w:val="0098015E"/>
    <w:rsid w:val="00995F09"/>
    <w:rsid w:val="009B0207"/>
    <w:rsid w:val="009E7EC9"/>
    <w:rsid w:val="00A267B9"/>
    <w:rsid w:val="00A523BC"/>
    <w:rsid w:val="00A84372"/>
    <w:rsid w:val="00A96A9C"/>
    <w:rsid w:val="00AB596D"/>
    <w:rsid w:val="00AE1968"/>
    <w:rsid w:val="00AE332C"/>
    <w:rsid w:val="00AE58AD"/>
    <w:rsid w:val="00AF7A02"/>
    <w:rsid w:val="00B01072"/>
    <w:rsid w:val="00B643D6"/>
    <w:rsid w:val="00B73DCD"/>
    <w:rsid w:val="00B823FD"/>
    <w:rsid w:val="00BB2F20"/>
    <w:rsid w:val="00BF6979"/>
    <w:rsid w:val="00C75B2F"/>
    <w:rsid w:val="00C94E53"/>
    <w:rsid w:val="00D11993"/>
    <w:rsid w:val="00D2799E"/>
    <w:rsid w:val="00D30178"/>
    <w:rsid w:val="00D40121"/>
    <w:rsid w:val="00D54600"/>
    <w:rsid w:val="00D578C4"/>
    <w:rsid w:val="00D7098D"/>
    <w:rsid w:val="00D90806"/>
    <w:rsid w:val="00DB4CB1"/>
    <w:rsid w:val="00DC6042"/>
    <w:rsid w:val="00DE3D65"/>
    <w:rsid w:val="00DE64F5"/>
    <w:rsid w:val="00DE6561"/>
    <w:rsid w:val="00DF51E1"/>
    <w:rsid w:val="00E150A1"/>
    <w:rsid w:val="00E228FC"/>
    <w:rsid w:val="00E256A8"/>
    <w:rsid w:val="00E429E4"/>
    <w:rsid w:val="00E437EB"/>
    <w:rsid w:val="00E6719B"/>
    <w:rsid w:val="00E76E36"/>
    <w:rsid w:val="00EA2831"/>
    <w:rsid w:val="00EA6132"/>
    <w:rsid w:val="00EF651C"/>
    <w:rsid w:val="00EF6E49"/>
    <w:rsid w:val="00F30711"/>
    <w:rsid w:val="00F47A3C"/>
    <w:rsid w:val="00FB448E"/>
    <w:rsid w:val="00FC0C7A"/>
    <w:rsid w:val="00FF4E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90E2"/>
  <w15:chartTrackingRefBased/>
  <w15:docId w15:val="{9EB3D75A-8452-4B19-B23D-962F9965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3F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823FD"/>
    <w:pPr>
      <w:tabs>
        <w:tab w:val="center" w:pos="4419"/>
        <w:tab w:val="right" w:pos="8838"/>
      </w:tabs>
      <w:spacing w:after="200" w:line="276" w:lineRule="auto"/>
      <w:jc w:val="both"/>
    </w:pPr>
    <w:rPr>
      <w:sz w:val="24"/>
      <w:lang w:val="es-MX"/>
    </w:rPr>
  </w:style>
  <w:style w:type="character" w:customStyle="1" w:styleId="PiedepginaCar">
    <w:name w:val="Pie de página Car"/>
    <w:basedOn w:val="Fuentedeprrafopredeter"/>
    <w:link w:val="Piedepgina"/>
    <w:uiPriority w:val="99"/>
    <w:rsid w:val="00B823FD"/>
    <w:rPr>
      <w:sz w:val="24"/>
      <w:lang w:val="es-MX"/>
    </w:rPr>
  </w:style>
  <w:style w:type="paragraph" w:styleId="Encabezado">
    <w:name w:val="header"/>
    <w:basedOn w:val="Normal"/>
    <w:link w:val="EncabezadoCar"/>
    <w:uiPriority w:val="99"/>
    <w:unhideWhenUsed/>
    <w:rsid w:val="00B823FD"/>
    <w:pPr>
      <w:tabs>
        <w:tab w:val="center" w:pos="4252"/>
        <w:tab w:val="right" w:pos="8504"/>
      </w:tabs>
      <w:spacing w:after="200" w:line="276" w:lineRule="auto"/>
      <w:jc w:val="both"/>
    </w:pPr>
    <w:rPr>
      <w:sz w:val="24"/>
      <w:lang w:val="es-MX"/>
    </w:rPr>
  </w:style>
  <w:style w:type="character" w:customStyle="1" w:styleId="EncabezadoCar">
    <w:name w:val="Encabezado Car"/>
    <w:basedOn w:val="Fuentedeprrafopredeter"/>
    <w:link w:val="Encabezado"/>
    <w:uiPriority w:val="99"/>
    <w:rsid w:val="00B823FD"/>
    <w:rPr>
      <w:sz w:val="24"/>
      <w:lang w:val="es-MX"/>
    </w:rPr>
  </w:style>
  <w:style w:type="table" w:styleId="Tablaconcuadrcula">
    <w:name w:val="Table Grid"/>
    <w:basedOn w:val="Tablanormal"/>
    <w:uiPriority w:val="39"/>
    <w:rsid w:val="00B823FD"/>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B823FD"/>
    <w:pPr>
      <w:spacing w:before="100" w:beforeAutospacing="1" w:after="100" w:afterAutospacing="1" w:line="276" w:lineRule="auto"/>
      <w:jc w:val="both"/>
    </w:pPr>
    <w:rPr>
      <w:rFonts w:ascii="Times New Roman" w:eastAsia="Times New Roman" w:hAnsi="Times New Roman" w:cs="Times New Roman"/>
      <w:sz w:val="24"/>
      <w:szCs w:val="24"/>
      <w:lang w:eastAsia="es-CO"/>
    </w:rPr>
  </w:style>
  <w:style w:type="paragraph" w:styleId="Sinespaciado">
    <w:name w:val="No Spacing"/>
    <w:aliases w:val="No Indent"/>
    <w:uiPriority w:val="3"/>
    <w:qFormat/>
    <w:rsid w:val="00B823FD"/>
    <w:pPr>
      <w:spacing w:after="0" w:line="240" w:lineRule="auto"/>
      <w:jc w:val="both"/>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823FD"/>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B823FD"/>
    <w:pPr>
      <w:spacing w:after="200" w:line="276" w:lineRule="auto"/>
      <w:jc w:val="both"/>
    </w:pPr>
    <w:rPr>
      <w:sz w:val="20"/>
      <w:szCs w:val="20"/>
      <w:lang w:val="es-MX"/>
    </w:rPr>
  </w:style>
  <w:style w:type="character" w:customStyle="1" w:styleId="TextonotapieCar1">
    <w:name w:val="Texto nota pie Car1"/>
    <w:basedOn w:val="Fuentedeprrafopredeter"/>
    <w:uiPriority w:val="99"/>
    <w:semiHidden/>
    <w:rsid w:val="00B823FD"/>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B823FD"/>
    <w:rPr>
      <w:vertAlign w:val="superscript"/>
    </w:rPr>
  </w:style>
  <w:style w:type="paragraph" w:customStyle="1" w:styleId="Appelnotedebasde">
    <w:name w:val="Appel note de bas de..."/>
    <w:basedOn w:val="Normal"/>
    <w:link w:val="Refdenotaalpie"/>
    <w:uiPriority w:val="99"/>
    <w:rsid w:val="00B823FD"/>
    <w:pPr>
      <w:spacing w:line="240" w:lineRule="exact"/>
      <w:jc w:val="both"/>
    </w:pPr>
    <w:rPr>
      <w:vertAlign w:val="superscript"/>
    </w:rPr>
  </w:style>
  <w:style w:type="character" w:customStyle="1" w:styleId="NormalWebCar">
    <w:name w:val="Normal (Web) Car"/>
    <w:link w:val="NormalWeb"/>
    <w:uiPriority w:val="99"/>
    <w:locked/>
    <w:rsid w:val="00B823FD"/>
    <w:rPr>
      <w:rFonts w:ascii="Times New Roman" w:eastAsia="Times New Roman" w:hAnsi="Times New Roman" w:cs="Times New Roman"/>
      <w:sz w:val="24"/>
      <w:szCs w:val="24"/>
      <w:lang w:eastAsia="es-CO"/>
    </w:rPr>
  </w:style>
  <w:style w:type="table" w:customStyle="1" w:styleId="Tablaconcuadrcula1">
    <w:name w:val="Tabla con cuadrícula1"/>
    <w:basedOn w:val="Tablanormal"/>
    <w:next w:val="Tablaconcuadrcula"/>
    <w:uiPriority w:val="39"/>
    <w:rsid w:val="00B82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B823FD"/>
  </w:style>
  <w:style w:type="character" w:styleId="Hipervnculo">
    <w:name w:val="Hyperlink"/>
    <w:basedOn w:val="Fuentedeprrafopredeter"/>
    <w:uiPriority w:val="99"/>
    <w:unhideWhenUsed/>
    <w:rsid w:val="00B823FD"/>
    <w:rPr>
      <w:color w:val="0563C1" w:themeColor="hyperlink"/>
      <w:u w:val="single"/>
    </w:rPr>
  </w:style>
  <w:style w:type="paragraph" w:customStyle="1" w:styleId="paragraph">
    <w:name w:val="paragraph"/>
    <w:basedOn w:val="Normal"/>
    <w:rsid w:val="00B823F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64CF5"/>
    <w:rPr>
      <w:b/>
      <w:bCs/>
    </w:rPr>
  </w:style>
  <w:style w:type="character" w:styleId="nfasis">
    <w:name w:val="Emphasis"/>
    <w:basedOn w:val="Fuentedeprrafopredeter"/>
    <w:uiPriority w:val="20"/>
    <w:qFormat/>
    <w:rsid w:val="00064CF5"/>
    <w:rPr>
      <w:i/>
      <w:iCs/>
    </w:rPr>
  </w:style>
  <w:style w:type="character" w:styleId="Refdecomentario">
    <w:name w:val="annotation reference"/>
    <w:basedOn w:val="Fuentedeprrafopredeter"/>
    <w:uiPriority w:val="99"/>
    <w:semiHidden/>
    <w:unhideWhenUsed/>
    <w:rsid w:val="0059506E"/>
    <w:rPr>
      <w:sz w:val="16"/>
      <w:szCs w:val="16"/>
    </w:rPr>
  </w:style>
  <w:style w:type="paragraph" w:styleId="Textocomentario">
    <w:name w:val="annotation text"/>
    <w:basedOn w:val="Normal"/>
    <w:link w:val="TextocomentarioCar"/>
    <w:uiPriority w:val="99"/>
    <w:unhideWhenUsed/>
    <w:rsid w:val="0059506E"/>
    <w:pPr>
      <w:spacing w:line="240" w:lineRule="auto"/>
    </w:pPr>
    <w:rPr>
      <w:sz w:val="20"/>
      <w:szCs w:val="20"/>
    </w:rPr>
  </w:style>
  <w:style w:type="character" w:customStyle="1" w:styleId="TextocomentarioCar">
    <w:name w:val="Texto comentario Car"/>
    <w:basedOn w:val="Fuentedeprrafopredeter"/>
    <w:link w:val="Textocomentario"/>
    <w:uiPriority w:val="99"/>
    <w:rsid w:val="0059506E"/>
    <w:rPr>
      <w:sz w:val="20"/>
      <w:szCs w:val="20"/>
    </w:rPr>
  </w:style>
  <w:style w:type="paragraph" w:styleId="Asuntodelcomentario">
    <w:name w:val="annotation subject"/>
    <w:basedOn w:val="Textocomentario"/>
    <w:next w:val="Textocomentario"/>
    <w:link w:val="AsuntodelcomentarioCar"/>
    <w:uiPriority w:val="99"/>
    <w:semiHidden/>
    <w:unhideWhenUsed/>
    <w:rsid w:val="0059506E"/>
    <w:rPr>
      <w:b/>
      <w:bCs/>
    </w:rPr>
  </w:style>
  <w:style w:type="character" w:customStyle="1" w:styleId="AsuntodelcomentarioCar">
    <w:name w:val="Asunto del comentario Car"/>
    <w:basedOn w:val="TextocomentarioCar"/>
    <w:link w:val="Asuntodelcomentario"/>
    <w:uiPriority w:val="99"/>
    <w:semiHidden/>
    <w:rsid w:val="0059506E"/>
    <w:rPr>
      <w:b/>
      <w:bCs/>
      <w:sz w:val="20"/>
      <w:szCs w:val="20"/>
    </w:rPr>
  </w:style>
  <w:style w:type="paragraph" w:styleId="Revisin">
    <w:name w:val="Revision"/>
    <w:hidden/>
    <w:uiPriority w:val="99"/>
    <w:semiHidden/>
    <w:rsid w:val="00D11993"/>
    <w:pPr>
      <w:spacing w:after="0" w:line="240" w:lineRule="auto"/>
    </w:p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0D6FF9"/>
    <w:pPr>
      <w:spacing w:after="200" w:line="276" w:lineRule="auto"/>
      <w:ind w:left="720"/>
      <w:contextualSpacing/>
      <w:jc w:val="both"/>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D6FF9"/>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1150_2007.html" TargetMode="External"/><Relationship Id="rId2" Type="http://schemas.openxmlformats.org/officeDocument/2006/relationships/hyperlink" Target="http://www.secretariasenado.gov.co/senado/basedoc/ley_1150_2007.html" TargetMode="External"/><Relationship Id="rId1" Type="http://schemas.openxmlformats.org/officeDocument/2006/relationships/hyperlink" Target="http://www.secretariasenado.gov.co/senado/basedoc/ley_0080_199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B490733-9BE8-4E91-A14D-E20C779D6020}">
  <ds:schemaRefs>
    <ds:schemaRef ds:uri="http://schemas.openxmlformats.org/officeDocument/2006/bibliography"/>
  </ds:schemaRefs>
</ds:datastoreItem>
</file>

<file path=customXml/itemProps2.xml><?xml version="1.0" encoding="utf-8"?>
<ds:datastoreItem xmlns:ds="http://schemas.openxmlformats.org/officeDocument/2006/customXml" ds:itemID="{B5E989A2-33A6-4387-A8EC-FFED17AE8202}"/>
</file>

<file path=customXml/itemProps3.xml><?xml version="1.0" encoding="utf-8"?>
<ds:datastoreItem xmlns:ds="http://schemas.openxmlformats.org/officeDocument/2006/customXml" ds:itemID="{1CBCCCCE-7465-4804-88AA-554F2688F03A}"/>
</file>

<file path=customXml/itemProps4.xml><?xml version="1.0" encoding="utf-8"?>
<ds:datastoreItem xmlns:ds="http://schemas.openxmlformats.org/officeDocument/2006/customXml" ds:itemID="{6D80DA25-39C0-4966-8F7C-0724BB063171}"/>
</file>

<file path=docProps/app.xml><?xml version="1.0" encoding="utf-8"?>
<Properties xmlns="http://schemas.openxmlformats.org/officeDocument/2006/extended-properties" xmlns:vt="http://schemas.openxmlformats.org/officeDocument/2006/docPropsVTypes">
  <Template>Normal</Template>
  <TotalTime>9</TotalTime>
  <Pages>32</Pages>
  <Words>10417</Words>
  <Characters>57298</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Arlid Herrera Santa</dc:creator>
  <cp:keywords/>
  <dc:description/>
  <cp:lastModifiedBy>Kevin Arlid Herrera Santa</cp:lastModifiedBy>
  <cp:revision>6</cp:revision>
  <dcterms:created xsi:type="dcterms:W3CDTF">2022-03-30T16:21:00Z</dcterms:created>
  <dcterms:modified xsi:type="dcterms:W3CDTF">2022-03-30T16:26:00Z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