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97650" w:rsidR="00957364" w:rsidP="00897650" w:rsidRDefault="003C7067" w14:paraId="25ED69EC" w14:textId="4E51DB75">
      <w:pPr>
        <w:jc w:val="right"/>
        <w:rPr>
          <w:rFonts w:ascii="Arial" w:hAnsi="Arial" w:cs="Arial"/>
          <w:b/>
          <w:sz w:val="16"/>
          <w:szCs w:val="16"/>
          <w:lang w:val="es-ES" w:eastAsia="es-ES"/>
        </w:rPr>
      </w:pPr>
      <w:r w:rsidRPr="00C00312">
        <w:rPr>
          <w:rFonts w:ascii="Arial" w:hAnsi="Arial" w:cs="Arial"/>
          <w:b/>
          <w:sz w:val="16"/>
          <w:szCs w:val="16"/>
          <w:lang w:val="es-ES" w:eastAsia="es-ES"/>
        </w:rPr>
        <w:t>CCE-DES-FM-17</w:t>
      </w:r>
    </w:p>
    <w:p w:rsidR="00957364" w:rsidP="00957364" w:rsidRDefault="00957364" w14:paraId="36FAFF4B" w14:textId="372C474E">
      <w:pPr>
        <w:tabs>
          <w:tab w:val="left" w:pos="426"/>
        </w:tabs>
        <w:jc w:val="both"/>
        <w:rPr>
          <w:rFonts w:ascii="Arial" w:hAnsi="Arial" w:eastAsia="Calibri" w:cs="Arial"/>
          <w:b/>
          <w:bCs/>
          <w:sz w:val="22"/>
          <w:szCs w:val="22"/>
        </w:rPr>
      </w:pPr>
    </w:p>
    <w:p w:rsidR="00733877" w:rsidP="0094584C" w:rsidRDefault="00897650" w14:paraId="537EA973" w14:textId="77777777">
      <w:pPr>
        <w:tabs>
          <w:tab w:val="left" w:pos="426"/>
        </w:tabs>
        <w:jc w:val="both"/>
        <w:rPr>
          <w:rFonts w:ascii="Arial" w:hAnsi="Arial" w:eastAsia="Calibri" w:cs="Arial"/>
          <w:b/>
          <w:bCs/>
          <w:sz w:val="22"/>
          <w:szCs w:val="22"/>
        </w:rPr>
      </w:pPr>
      <w:r>
        <w:rPr>
          <w:rFonts w:ascii="Arial" w:hAnsi="Arial" w:eastAsia="Calibri" w:cs="Arial"/>
          <w:b/>
          <w:bCs/>
          <w:sz w:val="22"/>
          <w:szCs w:val="22"/>
        </w:rPr>
        <w:t xml:space="preserve">CAPACIDAD RESIDUAL – </w:t>
      </w:r>
      <w:r w:rsidR="00733877">
        <w:rPr>
          <w:rFonts w:ascii="Arial" w:hAnsi="Arial" w:eastAsia="Calibri" w:cs="Arial"/>
          <w:b/>
          <w:bCs/>
          <w:sz w:val="22"/>
          <w:szCs w:val="22"/>
        </w:rPr>
        <w:t xml:space="preserve">Definición – Alcance </w:t>
      </w:r>
    </w:p>
    <w:p w:rsidR="00733877" w:rsidP="0094584C" w:rsidRDefault="00733877" w14:paraId="14427E38" w14:textId="77777777">
      <w:pPr>
        <w:tabs>
          <w:tab w:val="left" w:pos="426"/>
        </w:tabs>
        <w:jc w:val="both"/>
        <w:rPr>
          <w:rFonts w:ascii="Arial" w:hAnsi="Arial" w:eastAsia="Calibri" w:cs="Arial"/>
          <w:b/>
          <w:bCs/>
          <w:sz w:val="22"/>
          <w:szCs w:val="22"/>
        </w:rPr>
      </w:pPr>
    </w:p>
    <w:p w:rsidRPr="00733877" w:rsidR="00733877" w:rsidP="00733877" w:rsidRDefault="00733877" w14:paraId="55F0E490" w14:textId="0C0CC44A">
      <w:pPr>
        <w:pStyle w:val="Textoindependiente"/>
        <w:ind w:right="51"/>
        <w:jc w:val="both"/>
        <w:rPr>
          <w:lang w:val="es-CO"/>
        </w:rPr>
      </w:pPr>
      <w:r w:rsidRPr="00733877">
        <w:rPr>
          <w:lang w:val="es-CO"/>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rsidRPr="00733877" w:rsidR="00957364" w:rsidP="00733877" w:rsidRDefault="00957364" w14:paraId="38B84969" w14:textId="46AAE218">
      <w:pPr>
        <w:tabs>
          <w:tab w:val="left" w:pos="426"/>
        </w:tabs>
        <w:jc w:val="both"/>
        <w:rPr>
          <w:rFonts w:ascii="Arial" w:hAnsi="Arial" w:eastAsia="Calibri" w:cs="Arial"/>
          <w:b/>
          <w:bCs/>
          <w:sz w:val="20"/>
          <w:szCs w:val="20"/>
        </w:rPr>
      </w:pPr>
    </w:p>
    <w:p w:rsidR="0000763E" w:rsidP="00763584" w:rsidRDefault="00733877" w14:paraId="4868E1D2" w14:textId="31DA244B">
      <w:pPr>
        <w:jc w:val="both"/>
        <w:rPr>
          <w:rFonts w:ascii="Arial" w:hAnsi="Arial" w:eastAsia="Calibri" w:cs="Arial"/>
          <w:b/>
          <w:sz w:val="22"/>
          <w:szCs w:val="22"/>
          <w:lang w:val="es-MX"/>
        </w:rPr>
      </w:pPr>
      <w:r>
        <w:rPr>
          <w:rFonts w:ascii="Arial" w:hAnsi="Arial" w:eastAsia="Calibri" w:cs="Arial"/>
          <w:b/>
          <w:sz w:val="22"/>
          <w:szCs w:val="22"/>
          <w:lang w:val="es-MX"/>
        </w:rPr>
        <w:t xml:space="preserve">CAPACIDAD RESIDUAL – Acreditación </w:t>
      </w:r>
    </w:p>
    <w:p w:rsidR="00897650" w:rsidP="00763584" w:rsidRDefault="00897650" w14:paraId="4A448766" w14:textId="35DF3C56">
      <w:pPr>
        <w:jc w:val="both"/>
        <w:rPr>
          <w:rFonts w:ascii="Arial" w:hAnsi="Arial" w:eastAsia="Calibri" w:cs="Arial"/>
          <w:b/>
          <w:sz w:val="22"/>
          <w:szCs w:val="22"/>
          <w:lang w:val="es-MX"/>
        </w:rPr>
      </w:pPr>
    </w:p>
    <w:p w:rsidRPr="00A60957" w:rsidR="00862B07" w:rsidP="00A60957" w:rsidRDefault="00A60957" w14:paraId="7DE35B75" w14:textId="04419A59">
      <w:pPr>
        <w:jc w:val="both"/>
        <w:rPr>
          <w:rFonts w:ascii="Arial" w:hAnsi="Arial" w:cs="Arial"/>
          <w:sz w:val="20"/>
          <w:szCs w:val="20"/>
        </w:rPr>
      </w:pPr>
      <w:r w:rsidRPr="00A60957">
        <w:rPr>
          <w:rFonts w:ascii="Arial" w:hAnsi="Arial" w:cs="Arial"/>
          <w:sz w:val="20"/>
          <w:szCs w:val="20"/>
        </w:rPr>
        <w:t xml:space="preserve">De conformidad con lo anterior, esta Agencia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 […]. </w:t>
      </w:r>
    </w:p>
    <w:p w:rsidR="00A60957" w:rsidP="00763584" w:rsidRDefault="00A60957" w14:paraId="63CB0253" w14:textId="77777777">
      <w:pPr>
        <w:jc w:val="both"/>
        <w:rPr>
          <w:rFonts w:ascii="Arial" w:hAnsi="Arial" w:eastAsia="Calibri" w:cs="Arial"/>
          <w:b/>
          <w:sz w:val="22"/>
          <w:szCs w:val="22"/>
          <w:lang w:val="es-MX"/>
        </w:rPr>
      </w:pPr>
    </w:p>
    <w:p w:rsidR="00CB410C" w:rsidP="00763584" w:rsidRDefault="00CB410C" w14:paraId="672802EA" w14:textId="77777777">
      <w:pPr>
        <w:jc w:val="both"/>
        <w:rPr>
          <w:rFonts w:ascii="Arial" w:hAnsi="Arial" w:eastAsia="Calibri" w:cs="Arial"/>
          <w:b/>
          <w:sz w:val="22"/>
          <w:szCs w:val="22"/>
          <w:lang w:val="es-MX"/>
        </w:rPr>
      </w:pPr>
      <w:r w:rsidRPr="00CB410C">
        <w:rPr>
          <w:rFonts w:ascii="Arial" w:hAnsi="Arial" w:eastAsia="Calibri" w:cs="Arial"/>
          <w:b/>
          <w:sz w:val="22"/>
          <w:szCs w:val="22"/>
          <w:lang w:val="es-MX"/>
        </w:rPr>
        <w:t xml:space="preserve">CONTRATOS EN EJECUCIÓN – Definición </w:t>
      </w:r>
    </w:p>
    <w:p w:rsidR="00CB410C" w:rsidP="00763584" w:rsidRDefault="00CB410C" w14:paraId="227099C0" w14:textId="77777777">
      <w:pPr>
        <w:jc w:val="both"/>
        <w:rPr>
          <w:rFonts w:ascii="Arial" w:hAnsi="Arial" w:eastAsia="Calibri" w:cs="Arial"/>
          <w:b/>
          <w:sz w:val="22"/>
          <w:szCs w:val="22"/>
          <w:lang w:val="es-MX"/>
        </w:rPr>
      </w:pPr>
    </w:p>
    <w:p w:rsidRPr="008F3730" w:rsidR="00CB410C" w:rsidP="008F3730" w:rsidRDefault="00E21B4B" w14:paraId="764B1847" w14:textId="5AEC3005">
      <w:pPr>
        <w:jc w:val="both"/>
        <w:rPr>
          <w:rFonts w:ascii="Arial" w:hAnsi="Arial" w:cs="Arial"/>
          <w:i/>
          <w:iCs/>
          <w:sz w:val="20"/>
          <w:szCs w:val="20"/>
        </w:rPr>
      </w:pPr>
      <w:r w:rsidRPr="008F3730">
        <w:rPr>
          <w:rFonts w:ascii="Arial" w:hAnsi="Arial" w:eastAsia="Arial," w:cs="Arial"/>
          <w:sz w:val="20"/>
          <w:szCs w:val="20"/>
        </w:rPr>
        <w:t xml:space="preserve">[…] </w:t>
      </w:r>
      <w:r w:rsidRPr="008F3730" w:rsidR="008F3730">
        <w:rPr>
          <w:rFonts w:ascii="Arial" w:hAnsi="Arial" w:cs="Arial"/>
          <w:sz w:val="20"/>
          <w:szCs w:val="20"/>
        </w:rPr>
        <w:t xml:space="preserve">En este orden de ideas, la referida Guía define los </w:t>
      </w:r>
      <w:r w:rsidRPr="008F3730" w:rsidR="008F3730">
        <w:rPr>
          <w:rFonts w:ascii="Arial" w:hAnsi="Arial" w:cs="Arial"/>
          <w:i/>
          <w:iCs/>
          <w:sz w:val="20"/>
          <w:szCs w:val="20"/>
        </w:rPr>
        <w:t>Contratos en ejecución</w:t>
      </w:r>
      <w:r w:rsidRPr="008F3730" w:rsidR="008F3730">
        <w:rPr>
          <w:rFonts w:ascii="Arial" w:hAnsi="Arial" w:cs="Arial"/>
          <w:sz w:val="20"/>
          <w:szCs w:val="20"/>
        </w:rPr>
        <w:t xml:space="preserve"> de la siguiente manera:</w:t>
      </w:r>
      <w:r w:rsidR="008F3730">
        <w:rPr>
          <w:rFonts w:ascii="Arial" w:hAnsi="Arial" w:cs="Arial"/>
          <w:sz w:val="20"/>
          <w:szCs w:val="20"/>
        </w:rPr>
        <w:t xml:space="preserve"> </w:t>
      </w:r>
      <w:r w:rsidRPr="008F3730" w:rsidR="008F3730">
        <w:rPr>
          <w:rFonts w:ascii="Arial" w:hAnsi="Arial" w:cs="Arial"/>
          <w:sz w:val="20"/>
          <w:szCs w:val="20"/>
        </w:rPr>
        <w:t>«</w:t>
      </w:r>
      <w:r w:rsidRPr="008F3730" w:rsidR="008F3730">
        <w:rPr>
          <w:rFonts w:ascii="Arial" w:hAnsi="Arial" w:cs="Arial"/>
          <w:i/>
          <w:iCs/>
          <w:sz w:val="20"/>
          <w:szCs w:val="20"/>
          <w:u w:val="single"/>
        </w:rPr>
        <w:t>Son los contratos que a la fecha de presentación de la oferta obligan al proponente con Entidades Estatales y con entidades privadas para ejecutar obras civiles</w:t>
      </w:r>
      <w:r w:rsidRPr="008F3730" w:rsidR="008F3730">
        <w:rPr>
          <w:rFonts w:ascii="Arial" w:hAnsi="Arial" w:cs="Arial"/>
          <w:sz w:val="20"/>
          <w:szCs w:val="20"/>
        </w:rPr>
        <w:t xml:space="preserve">, incluyendo la ejecución de obras civiles en los contratos de concesión y los contratos de obra suscritos con concesionarios, </w:t>
      </w:r>
      <w:r w:rsidRPr="008F3730" w:rsidR="008F3730">
        <w:rPr>
          <w:rFonts w:ascii="Arial" w:hAnsi="Arial" w:cs="Arial"/>
          <w:sz w:val="20"/>
          <w:szCs w:val="20"/>
          <w:u w:val="single"/>
        </w:rPr>
        <w:t>incluyendo los contratos suspendidos y aquellos que no tengan acta de inicio.</w:t>
      </w:r>
      <w:r w:rsidRPr="008F3730" w:rsidR="008F3730">
        <w:rPr>
          <w:rFonts w:ascii="Arial" w:hAnsi="Arial" w:cs="Arial"/>
          <w:sz w:val="20"/>
          <w:szCs w:val="20"/>
        </w:rPr>
        <w:t xml:space="preserve"> No se entenderán como contratos en ejecución los que se encuentren en liquidación.» (Subrayas fuera del texto)</w:t>
      </w:r>
      <w:r w:rsidRPr="008F3730">
        <w:rPr>
          <w:rFonts w:ascii="Arial" w:hAnsi="Arial" w:eastAsia="Arial," w:cs="Arial"/>
          <w:sz w:val="20"/>
          <w:szCs w:val="20"/>
        </w:rPr>
        <w:t>.»</w:t>
      </w:r>
    </w:p>
    <w:p w:rsidRPr="00E21B4B" w:rsidR="00E21B4B" w:rsidP="00E21B4B" w:rsidRDefault="00E21B4B" w14:paraId="1AEB53CB" w14:textId="77777777">
      <w:pPr>
        <w:jc w:val="both"/>
        <w:rPr>
          <w:rFonts w:ascii="Arial" w:hAnsi="Arial" w:eastAsia="Calibri" w:cs="Arial"/>
          <w:bCs/>
          <w:sz w:val="22"/>
          <w:szCs w:val="22"/>
          <w:lang w:val="es-MX"/>
        </w:rPr>
      </w:pPr>
    </w:p>
    <w:p w:rsidR="00733877" w:rsidP="00763584" w:rsidRDefault="00733877" w14:paraId="5153A9BC" w14:textId="159A73A4">
      <w:pPr>
        <w:jc w:val="both"/>
        <w:rPr>
          <w:rFonts w:ascii="Arial" w:hAnsi="Arial" w:eastAsia="Calibri" w:cs="Arial"/>
          <w:b/>
          <w:sz w:val="22"/>
          <w:szCs w:val="22"/>
          <w:lang w:val="es-MX"/>
        </w:rPr>
      </w:pPr>
      <w:r>
        <w:rPr>
          <w:rFonts w:ascii="Arial" w:hAnsi="Arial" w:eastAsia="Calibri" w:cs="Arial"/>
          <w:b/>
          <w:sz w:val="22"/>
          <w:szCs w:val="22"/>
          <w:lang w:val="es-MX"/>
        </w:rPr>
        <w:t xml:space="preserve">CONTRATOS EN ESTADO DE LIQUIDACIÓN – Relación con la </w:t>
      </w:r>
      <w:r w:rsidR="00E21B4B">
        <w:rPr>
          <w:rFonts w:ascii="Arial" w:hAnsi="Arial" w:eastAsia="Calibri" w:cs="Arial"/>
          <w:b/>
          <w:sz w:val="22"/>
          <w:szCs w:val="22"/>
          <w:lang w:val="es-MX"/>
        </w:rPr>
        <w:t>c</w:t>
      </w:r>
      <w:r>
        <w:rPr>
          <w:rFonts w:ascii="Arial" w:hAnsi="Arial" w:eastAsia="Calibri" w:cs="Arial"/>
          <w:b/>
          <w:sz w:val="22"/>
          <w:szCs w:val="22"/>
          <w:lang w:val="es-MX"/>
        </w:rPr>
        <w:t xml:space="preserve">apacidad </w:t>
      </w:r>
      <w:r w:rsidR="00E21B4B">
        <w:rPr>
          <w:rFonts w:ascii="Arial" w:hAnsi="Arial" w:eastAsia="Calibri" w:cs="Arial"/>
          <w:b/>
          <w:sz w:val="22"/>
          <w:szCs w:val="22"/>
          <w:lang w:val="es-MX"/>
        </w:rPr>
        <w:t>r</w:t>
      </w:r>
      <w:r>
        <w:rPr>
          <w:rFonts w:ascii="Arial" w:hAnsi="Arial" w:eastAsia="Calibri" w:cs="Arial"/>
          <w:b/>
          <w:sz w:val="22"/>
          <w:szCs w:val="22"/>
          <w:lang w:val="es-MX"/>
        </w:rPr>
        <w:t xml:space="preserve">esidual </w:t>
      </w:r>
    </w:p>
    <w:p w:rsidRPr="00261AE6" w:rsidR="00733877" w:rsidP="00261AE6" w:rsidRDefault="00733877" w14:paraId="12C546E4" w14:textId="120FFDC7">
      <w:pPr>
        <w:jc w:val="both"/>
        <w:rPr>
          <w:rFonts w:ascii="Arial" w:hAnsi="Arial" w:eastAsia="Calibri" w:cs="Arial"/>
          <w:b/>
          <w:sz w:val="20"/>
          <w:szCs w:val="20"/>
          <w:lang w:val="es-MX"/>
        </w:rPr>
      </w:pPr>
    </w:p>
    <w:p w:rsidRPr="00E21B4B" w:rsidR="00E21B4B" w:rsidP="00E21B4B" w:rsidRDefault="00E21B4B" w14:paraId="7C3FF28D" w14:textId="7DAB08A1">
      <w:pPr>
        <w:spacing w:after="120"/>
        <w:jc w:val="both"/>
        <w:rPr>
          <w:rFonts w:ascii="Arial" w:hAnsi="Arial" w:cs="Arial"/>
          <w:sz w:val="20"/>
          <w:szCs w:val="20"/>
        </w:rPr>
      </w:pPr>
      <w:r>
        <w:rPr>
          <w:rFonts w:ascii="Arial" w:hAnsi="Arial" w:cs="Arial"/>
          <w:sz w:val="20"/>
          <w:szCs w:val="20"/>
        </w:rPr>
        <w:t xml:space="preserve">[…] </w:t>
      </w:r>
      <w:r w:rsidRPr="00E21B4B">
        <w:rPr>
          <w:rFonts w:ascii="Arial" w:hAnsi="Arial" w:cs="Arial"/>
          <w:sz w:val="20"/>
          <w:szCs w:val="20"/>
        </w:rPr>
        <w:t xml:space="preserve">retomando la definición de contratos en ejecución contenida en la «Guía para Determinar y Verificar la Capacidad Residual del Proponente en los Procesos de Contratación de Obra Pública» debe resaltarse que la «terminación con actividades pendientes», por la que usted consulta, no constituye, por sí misma, una categoría determinante para establecer si el contrato está o no ejecución. Por ello, debe consultarse el contenido de la respectiva acta de terminación o su naturaleza jurídica para establecer si, en virtud de lo que en ella se declara, es o no posible establecer si el contrato entró en etapa de liquidación – situación en el que ese contrato no se tendrá en cuenta para efectos de calcular la capacidad residual–, o si, por contrario, se encuentra aún en ejecución o simplemente suspendido –eventos en los que si afectará el cálculo de la capacidad residual–.  </w:t>
      </w:r>
    </w:p>
    <w:p w:rsidR="001A7809" w:rsidP="00E21B4B" w:rsidRDefault="00E21B4B" w14:paraId="2F1DAC62" w14:textId="77777777">
      <w:pPr>
        <w:spacing w:after="120"/>
        <w:jc w:val="both"/>
        <w:rPr>
          <w:rFonts w:ascii="Arial" w:hAnsi="Arial" w:cs="Arial"/>
          <w:sz w:val="20"/>
          <w:szCs w:val="20"/>
        </w:rPr>
      </w:pPr>
      <w:r w:rsidRPr="00E21B4B">
        <w:rPr>
          <w:rFonts w:ascii="Arial" w:hAnsi="Arial" w:cs="Arial"/>
          <w:sz w:val="20"/>
          <w:szCs w:val="20"/>
        </w:rPr>
        <w:t xml:space="preserve">De este modo, a efectos de su pregunta, es posible concluir que en los eventos en que exista «acta de terminación con actividades pendientes» o documentos análogos debe determinarse si, producto de dicha acta, se dio inicio a la etapa de liquidación contractual, evento en el cual, con independencia de que existan o no prestaciones pendientes por ejecutar -y que, según la reciente jurisprudencia del Consejo de Estado, cuando se trate de contratos estatales las entidades deban recibirlas por fuera del plazo de ejecución y pagar la contraprestación al contratista-, esos contratos no deberán ser tenidos en cuenta para el cálculo de la capacidad residual, pues no son «contratos en ejecución», sino en liquidación. Por el contrario, si esa acta o sus similares no implican el inicio de la etapa de </w:t>
      </w:r>
      <w:r w:rsidRPr="00E21B4B">
        <w:rPr>
          <w:rFonts w:ascii="Arial" w:hAnsi="Arial" w:cs="Arial"/>
          <w:sz w:val="20"/>
          <w:szCs w:val="20"/>
        </w:rPr>
        <w:lastRenderedPageBreak/>
        <w:t>liquidación contractual, los contratos son catalogables como «contratos en ejecución» y, de ese modo, deben ser tenidos en cuenta para el cálculo de la capacidad residual.</w:t>
      </w:r>
      <w:r>
        <w:rPr>
          <w:rFonts w:ascii="Arial" w:hAnsi="Arial" w:cs="Arial"/>
          <w:sz w:val="20"/>
          <w:szCs w:val="20"/>
        </w:rPr>
        <w:t xml:space="preserve"> </w:t>
      </w:r>
    </w:p>
    <w:p w:rsidR="00261AE6" w:rsidP="009F0A44" w:rsidRDefault="00261AE6" w14:paraId="00F115E7" w14:textId="4B14D6A4">
      <w:pPr>
        <w:spacing w:line="276" w:lineRule="auto"/>
        <w:rPr>
          <w:rFonts w:ascii="Arial" w:hAnsi="Arial" w:cs="Arial"/>
          <w:b/>
          <w:bCs/>
          <w:sz w:val="22"/>
          <w:szCs w:val="22"/>
          <w:lang w:val="es-ES"/>
        </w:rPr>
      </w:pPr>
    </w:p>
    <w:p w:rsidR="001A7809" w:rsidP="009F0A44" w:rsidRDefault="001A7809" w14:paraId="797B2DBD" w14:textId="0596958A">
      <w:pPr>
        <w:spacing w:line="276" w:lineRule="auto"/>
        <w:rPr>
          <w:rFonts w:ascii="Arial" w:hAnsi="Arial" w:cs="Arial"/>
          <w:b/>
          <w:bCs/>
          <w:sz w:val="22"/>
          <w:szCs w:val="22"/>
          <w:lang w:val="es-ES"/>
        </w:rPr>
      </w:pPr>
    </w:p>
    <w:p w:rsidR="001A7809" w:rsidP="009F0A44" w:rsidRDefault="001A7809" w14:paraId="7CF37591" w14:textId="22F242D9">
      <w:pPr>
        <w:spacing w:line="276" w:lineRule="auto"/>
        <w:rPr>
          <w:rFonts w:ascii="Arial" w:hAnsi="Arial" w:cs="Arial"/>
          <w:b/>
          <w:bCs/>
          <w:sz w:val="22"/>
          <w:szCs w:val="22"/>
          <w:lang w:val="es-ES"/>
        </w:rPr>
      </w:pPr>
    </w:p>
    <w:p w:rsidR="001A7809" w:rsidP="009F0A44" w:rsidRDefault="001A7809" w14:paraId="42FB4C62" w14:textId="3DAE255E">
      <w:pPr>
        <w:spacing w:line="276" w:lineRule="auto"/>
        <w:rPr>
          <w:rFonts w:ascii="Arial" w:hAnsi="Arial" w:cs="Arial"/>
          <w:b/>
          <w:bCs/>
          <w:sz w:val="22"/>
          <w:szCs w:val="22"/>
          <w:lang w:val="es-ES"/>
        </w:rPr>
      </w:pPr>
    </w:p>
    <w:p w:rsidR="001A7809" w:rsidP="009F0A44" w:rsidRDefault="001A7809" w14:paraId="5CDC51DA" w14:textId="0B3CF5B6">
      <w:pPr>
        <w:spacing w:line="276" w:lineRule="auto"/>
        <w:rPr>
          <w:rFonts w:ascii="Arial" w:hAnsi="Arial" w:cs="Arial"/>
          <w:b/>
          <w:bCs/>
          <w:sz w:val="22"/>
          <w:szCs w:val="22"/>
          <w:lang w:val="es-ES"/>
        </w:rPr>
      </w:pPr>
    </w:p>
    <w:p w:rsidR="001A7809" w:rsidP="009F0A44" w:rsidRDefault="001A7809" w14:paraId="3CAAEE9B" w14:textId="04907F96">
      <w:pPr>
        <w:spacing w:line="276" w:lineRule="auto"/>
        <w:rPr>
          <w:rFonts w:ascii="Arial" w:hAnsi="Arial" w:cs="Arial"/>
          <w:b/>
          <w:bCs/>
          <w:sz w:val="22"/>
          <w:szCs w:val="22"/>
          <w:lang w:val="es-ES"/>
        </w:rPr>
      </w:pPr>
    </w:p>
    <w:p w:rsidR="001A7809" w:rsidP="009F0A44" w:rsidRDefault="001A7809" w14:paraId="367B57B6" w14:textId="34E0C021">
      <w:pPr>
        <w:spacing w:line="276" w:lineRule="auto"/>
        <w:rPr>
          <w:rFonts w:ascii="Arial" w:hAnsi="Arial" w:cs="Arial"/>
          <w:b/>
          <w:bCs/>
          <w:sz w:val="22"/>
          <w:szCs w:val="22"/>
          <w:lang w:val="es-ES"/>
        </w:rPr>
      </w:pPr>
    </w:p>
    <w:p w:rsidR="001A7809" w:rsidP="009F0A44" w:rsidRDefault="001A7809" w14:paraId="2D3771C1" w14:textId="4313C2B1">
      <w:pPr>
        <w:spacing w:line="276" w:lineRule="auto"/>
        <w:rPr>
          <w:rFonts w:ascii="Arial" w:hAnsi="Arial" w:cs="Arial"/>
          <w:b/>
          <w:bCs/>
          <w:sz w:val="22"/>
          <w:szCs w:val="22"/>
          <w:lang w:val="es-ES"/>
        </w:rPr>
      </w:pPr>
    </w:p>
    <w:p w:rsidR="001A7809" w:rsidP="009F0A44" w:rsidRDefault="001A7809" w14:paraId="6820E860" w14:textId="517F902D">
      <w:pPr>
        <w:spacing w:line="276" w:lineRule="auto"/>
        <w:rPr>
          <w:rFonts w:ascii="Arial" w:hAnsi="Arial" w:cs="Arial"/>
          <w:b/>
          <w:bCs/>
          <w:sz w:val="22"/>
          <w:szCs w:val="22"/>
          <w:lang w:val="es-ES"/>
        </w:rPr>
      </w:pPr>
    </w:p>
    <w:p w:rsidR="001A7809" w:rsidP="009F0A44" w:rsidRDefault="001A7809" w14:paraId="25CAFE5E" w14:textId="778D24D3">
      <w:pPr>
        <w:spacing w:line="276" w:lineRule="auto"/>
        <w:rPr>
          <w:rFonts w:ascii="Arial" w:hAnsi="Arial" w:cs="Arial"/>
          <w:b/>
          <w:bCs/>
          <w:sz w:val="22"/>
          <w:szCs w:val="22"/>
          <w:lang w:val="es-ES"/>
        </w:rPr>
      </w:pPr>
    </w:p>
    <w:p w:rsidR="001A7809" w:rsidP="009F0A44" w:rsidRDefault="001A7809" w14:paraId="7CCABA32" w14:textId="085600A3">
      <w:pPr>
        <w:spacing w:line="276" w:lineRule="auto"/>
        <w:rPr>
          <w:rFonts w:ascii="Arial" w:hAnsi="Arial" w:cs="Arial"/>
          <w:b/>
          <w:bCs/>
          <w:sz w:val="22"/>
          <w:szCs w:val="22"/>
          <w:lang w:val="es-ES"/>
        </w:rPr>
      </w:pPr>
    </w:p>
    <w:p w:rsidR="001A7809" w:rsidP="009F0A44" w:rsidRDefault="001A7809" w14:paraId="6663130D" w14:textId="01DECF84">
      <w:pPr>
        <w:spacing w:line="276" w:lineRule="auto"/>
        <w:rPr>
          <w:rFonts w:ascii="Arial" w:hAnsi="Arial" w:cs="Arial"/>
          <w:b/>
          <w:bCs/>
          <w:sz w:val="22"/>
          <w:szCs w:val="22"/>
          <w:lang w:val="es-ES"/>
        </w:rPr>
      </w:pPr>
    </w:p>
    <w:p w:rsidR="001A7809" w:rsidP="009F0A44" w:rsidRDefault="001A7809" w14:paraId="5BCB9CBF" w14:textId="2D492228">
      <w:pPr>
        <w:spacing w:line="276" w:lineRule="auto"/>
        <w:rPr>
          <w:rFonts w:ascii="Arial" w:hAnsi="Arial" w:cs="Arial"/>
          <w:b/>
          <w:bCs/>
          <w:sz w:val="22"/>
          <w:szCs w:val="22"/>
          <w:lang w:val="es-ES"/>
        </w:rPr>
      </w:pPr>
    </w:p>
    <w:p w:rsidR="001A7809" w:rsidP="009F0A44" w:rsidRDefault="001A7809" w14:paraId="69B0300C" w14:textId="27301C32">
      <w:pPr>
        <w:spacing w:line="276" w:lineRule="auto"/>
        <w:rPr>
          <w:rFonts w:ascii="Arial" w:hAnsi="Arial" w:cs="Arial"/>
          <w:b/>
          <w:bCs/>
          <w:sz w:val="22"/>
          <w:szCs w:val="22"/>
          <w:lang w:val="es-ES"/>
        </w:rPr>
      </w:pPr>
    </w:p>
    <w:p w:rsidR="001A7809" w:rsidP="009F0A44" w:rsidRDefault="001A7809" w14:paraId="7BB669DA" w14:textId="2007B92C">
      <w:pPr>
        <w:spacing w:line="276" w:lineRule="auto"/>
        <w:rPr>
          <w:rFonts w:ascii="Arial" w:hAnsi="Arial" w:cs="Arial"/>
          <w:b/>
          <w:bCs/>
          <w:sz w:val="22"/>
          <w:szCs w:val="22"/>
          <w:lang w:val="es-ES"/>
        </w:rPr>
      </w:pPr>
    </w:p>
    <w:p w:rsidR="001A7809" w:rsidP="009F0A44" w:rsidRDefault="001A7809" w14:paraId="635792E4" w14:textId="31AB20BA">
      <w:pPr>
        <w:spacing w:line="276" w:lineRule="auto"/>
        <w:rPr>
          <w:rFonts w:ascii="Arial" w:hAnsi="Arial" w:cs="Arial"/>
          <w:b/>
          <w:bCs/>
          <w:sz w:val="22"/>
          <w:szCs w:val="22"/>
          <w:lang w:val="es-ES"/>
        </w:rPr>
      </w:pPr>
    </w:p>
    <w:p w:rsidR="001A7809" w:rsidP="009F0A44" w:rsidRDefault="001A7809" w14:paraId="0D1348A1" w14:textId="37D5FFC9">
      <w:pPr>
        <w:spacing w:line="276" w:lineRule="auto"/>
        <w:rPr>
          <w:rFonts w:ascii="Arial" w:hAnsi="Arial" w:cs="Arial"/>
          <w:b/>
          <w:bCs/>
          <w:sz w:val="22"/>
          <w:szCs w:val="22"/>
          <w:lang w:val="es-ES"/>
        </w:rPr>
      </w:pPr>
    </w:p>
    <w:p w:rsidR="001A7809" w:rsidP="009F0A44" w:rsidRDefault="001A7809" w14:paraId="27C29DCF" w14:textId="702CD53B">
      <w:pPr>
        <w:spacing w:line="276" w:lineRule="auto"/>
        <w:rPr>
          <w:rFonts w:ascii="Arial" w:hAnsi="Arial" w:cs="Arial"/>
          <w:b/>
          <w:bCs/>
          <w:sz w:val="22"/>
          <w:szCs w:val="22"/>
          <w:lang w:val="es-ES"/>
        </w:rPr>
      </w:pPr>
    </w:p>
    <w:p w:rsidR="001A7809" w:rsidP="009F0A44" w:rsidRDefault="001A7809" w14:paraId="02FD19C5" w14:textId="42D24C3E">
      <w:pPr>
        <w:spacing w:line="276" w:lineRule="auto"/>
        <w:rPr>
          <w:rFonts w:ascii="Arial" w:hAnsi="Arial" w:cs="Arial"/>
          <w:b/>
          <w:bCs/>
          <w:sz w:val="22"/>
          <w:szCs w:val="22"/>
          <w:lang w:val="es-ES"/>
        </w:rPr>
      </w:pPr>
    </w:p>
    <w:p w:rsidR="001A7809" w:rsidP="009F0A44" w:rsidRDefault="001A7809" w14:paraId="18C3D0C7" w14:textId="2B2D1C24">
      <w:pPr>
        <w:spacing w:line="276" w:lineRule="auto"/>
        <w:rPr>
          <w:rFonts w:ascii="Arial" w:hAnsi="Arial" w:cs="Arial"/>
          <w:b/>
          <w:bCs/>
          <w:sz w:val="22"/>
          <w:szCs w:val="22"/>
          <w:lang w:val="es-ES"/>
        </w:rPr>
      </w:pPr>
    </w:p>
    <w:p w:rsidR="001A7809" w:rsidP="009F0A44" w:rsidRDefault="001A7809" w14:paraId="7C9D4D3E" w14:textId="39A93E42">
      <w:pPr>
        <w:spacing w:line="276" w:lineRule="auto"/>
        <w:rPr>
          <w:rFonts w:ascii="Arial" w:hAnsi="Arial" w:cs="Arial"/>
          <w:b/>
          <w:bCs/>
          <w:sz w:val="22"/>
          <w:szCs w:val="22"/>
          <w:lang w:val="es-ES"/>
        </w:rPr>
      </w:pPr>
    </w:p>
    <w:p w:rsidR="001A7809" w:rsidP="009F0A44" w:rsidRDefault="001A7809" w14:paraId="2CC631D6" w14:textId="4A7299A3">
      <w:pPr>
        <w:spacing w:line="276" w:lineRule="auto"/>
        <w:rPr>
          <w:rFonts w:ascii="Arial" w:hAnsi="Arial" w:cs="Arial"/>
          <w:b/>
          <w:bCs/>
          <w:sz w:val="22"/>
          <w:szCs w:val="22"/>
          <w:lang w:val="es-ES"/>
        </w:rPr>
      </w:pPr>
    </w:p>
    <w:p w:rsidR="001A7809" w:rsidP="009F0A44" w:rsidRDefault="001A7809" w14:paraId="297CD337" w14:textId="77777777">
      <w:pPr>
        <w:spacing w:line="276" w:lineRule="auto"/>
        <w:rPr>
          <w:rFonts w:ascii="Arial" w:hAnsi="Arial" w:cs="Arial"/>
          <w:b/>
          <w:bCs/>
          <w:sz w:val="22"/>
          <w:szCs w:val="22"/>
          <w:lang w:val="es-ES"/>
        </w:rPr>
      </w:pPr>
    </w:p>
    <w:p w:rsidR="00733877" w:rsidP="009F0A44" w:rsidRDefault="00733877" w14:paraId="21F55D3C" w14:textId="34BFA605">
      <w:pPr>
        <w:spacing w:line="276" w:lineRule="auto"/>
        <w:rPr>
          <w:rFonts w:ascii="Arial" w:hAnsi="Arial" w:cs="Arial"/>
          <w:b/>
          <w:bCs/>
          <w:sz w:val="22"/>
          <w:szCs w:val="22"/>
          <w:lang w:val="es-ES"/>
        </w:rPr>
      </w:pPr>
    </w:p>
    <w:p w:rsidR="001A7809" w:rsidP="009F0A44" w:rsidRDefault="001A7809" w14:paraId="3750DAC5" w14:textId="33E57FF3">
      <w:pPr>
        <w:spacing w:line="276" w:lineRule="auto"/>
        <w:rPr>
          <w:rFonts w:ascii="Arial" w:hAnsi="Arial" w:cs="Arial"/>
          <w:b/>
          <w:bCs/>
          <w:sz w:val="22"/>
          <w:szCs w:val="22"/>
          <w:lang w:val="es-ES"/>
        </w:rPr>
      </w:pPr>
    </w:p>
    <w:p w:rsidR="001A7809" w:rsidP="009F0A44" w:rsidRDefault="001A7809" w14:paraId="066A5297" w14:textId="37EF1F02">
      <w:pPr>
        <w:spacing w:line="276" w:lineRule="auto"/>
        <w:rPr>
          <w:rFonts w:ascii="Arial" w:hAnsi="Arial" w:cs="Arial"/>
          <w:b/>
          <w:bCs/>
          <w:sz w:val="22"/>
          <w:szCs w:val="22"/>
          <w:lang w:val="es-ES"/>
        </w:rPr>
      </w:pPr>
    </w:p>
    <w:p w:rsidR="001A7809" w:rsidP="009F0A44" w:rsidRDefault="001A7809" w14:paraId="6B855362" w14:textId="74DCD7A0">
      <w:pPr>
        <w:spacing w:line="276" w:lineRule="auto"/>
        <w:rPr>
          <w:rFonts w:ascii="Arial" w:hAnsi="Arial" w:cs="Arial"/>
          <w:b/>
          <w:bCs/>
          <w:sz w:val="22"/>
          <w:szCs w:val="22"/>
          <w:lang w:val="es-ES"/>
        </w:rPr>
      </w:pPr>
    </w:p>
    <w:p w:rsidR="001A7809" w:rsidP="009F0A44" w:rsidRDefault="001A7809" w14:paraId="57490D3C" w14:textId="288D973B">
      <w:pPr>
        <w:spacing w:line="276" w:lineRule="auto"/>
        <w:rPr>
          <w:rFonts w:ascii="Arial" w:hAnsi="Arial" w:cs="Arial"/>
          <w:b/>
          <w:bCs/>
          <w:sz w:val="22"/>
          <w:szCs w:val="22"/>
          <w:lang w:val="es-ES"/>
        </w:rPr>
      </w:pPr>
    </w:p>
    <w:p w:rsidR="001A7809" w:rsidP="009F0A44" w:rsidRDefault="001A7809" w14:paraId="5AEF8381" w14:textId="3194DA3C">
      <w:pPr>
        <w:spacing w:line="276" w:lineRule="auto"/>
        <w:rPr>
          <w:rFonts w:ascii="Arial" w:hAnsi="Arial" w:cs="Arial"/>
          <w:b/>
          <w:bCs/>
          <w:sz w:val="22"/>
          <w:szCs w:val="22"/>
          <w:lang w:val="es-ES"/>
        </w:rPr>
      </w:pPr>
    </w:p>
    <w:p w:rsidR="001A7809" w:rsidP="009F0A44" w:rsidRDefault="001A7809" w14:paraId="3684F8A1" w14:textId="077D3A65">
      <w:pPr>
        <w:spacing w:line="276" w:lineRule="auto"/>
        <w:rPr>
          <w:rFonts w:ascii="Arial" w:hAnsi="Arial" w:cs="Arial"/>
          <w:b/>
          <w:bCs/>
          <w:sz w:val="22"/>
          <w:szCs w:val="22"/>
          <w:lang w:val="es-ES"/>
        </w:rPr>
      </w:pPr>
    </w:p>
    <w:p w:rsidR="008F3730" w:rsidP="009F0A44" w:rsidRDefault="008F3730" w14:paraId="6A35F1E8" w14:textId="328E3A7B">
      <w:pPr>
        <w:spacing w:line="276" w:lineRule="auto"/>
        <w:rPr>
          <w:rFonts w:ascii="Arial" w:hAnsi="Arial" w:cs="Arial"/>
          <w:b/>
          <w:bCs/>
          <w:sz w:val="22"/>
          <w:szCs w:val="22"/>
          <w:lang w:val="es-ES"/>
        </w:rPr>
      </w:pPr>
    </w:p>
    <w:p w:rsidR="008F3730" w:rsidP="009F0A44" w:rsidRDefault="008F3730" w14:paraId="15665B6D" w14:textId="12CE16CD">
      <w:pPr>
        <w:spacing w:line="276" w:lineRule="auto"/>
        <w:rPr>
          <w:rFonts w:ascii="Arial" w:hAnsi="Arial" w:cs="Arial"/>
          <w:b/>
          <w:bCs/>
          <w:sz w:val="22"/>
          <w:szCs w:val="22"/>
          <w:lang w:val="es-ES"/>
        </w:rPr>
      </w:pPr>
    </w:p>
    <w:p w:rsidR="008F3730" w:rsidP="009F0A44" w:rsidRDefault="008F3730" w14:paraId="074D84C7" w14:textId="43EB72A7">
      <w:pPr>
        <w:spacing w:line="276" w:lineRule="auto"/>
        <w:rPr>
          <w:rFonts w:ascii="Arial" w:hAnsi="Arial" w:cs="Arial"/>
          <w:b/>
          <w:bCs/>
          <w:sz w:val="22"/>
          <w:szCs w:val="22"/>
          <w:lang w:val="es-ES"/>
        </w:rPr>
      </w:pPr>
    </w:p>
    <w:p w:rsidR="008F3730" w:rsidP="009F0A44" w:rsidRDefault="008F3730" w14:paraId="3A9A3886" w14:textId="49774DF0">
      <w:pPr>
        <w:spacing w:line="276" w:lineRule="auto"/>
        <w:rPr>
          <w:rFonts w:ascii="Arial" w:hAnsi="Arial" w:cs="Arial"/>
          <w:b/>
          <w:bCs/>
          <w:sz w:val="22"/>
          <w:szCs w:val="22"/>
          <w:lang w:val="es-ES"/>
        </w:rPr>
      </w:pPr>
    </w:p>
    <w:p w:rsidR="008F3730" w:rsidP="009F0A44" w:rsidRDefault="008F3730" w14:paraId="00F5C130" w14:textId="77777777">
      <w:pPr>
        <w:spacing w:line="276" w:lineRule="auto"/>
        <w:rPr>
          <w:rFonts w:ascii="Arial" w:hAnsi="Arial" w:cs="Arial"/>
          <w:b/>
          <w:bCs/>
          <w:sz w:val="22"/>
          <w:szCs w:val="22"/>
          <w:lang w:val="es-ES"/>
        </w:rPr>
      </w:pPr>
    </w:p>
    <w:p w:rsidR="00A60957" w:rsidP="009F0A44" w:rsidRDefault="00A60957" w14:paraId="76E11F12" w14:textId="3571EB2D">
      <w:pPr>
        <w:spacing w:line="276" w:lineRule="auto"/>
        <w:rPr>
          <w:rFonts w:ascii="Arial" w:hAnsi="Arial" w:cs="Arial"/>
          <w:b/>
          <w:bCs/>
          <w:sz w:val="22"/>
          <w:szCs w:val="22"/>
          <w:lang w:val="es-ES"/>
        </w:rPr>
      </w:pPr>
    </w:p>
    <w:p w:rsidR="00A60957" w:rsidP="009F0A44" w:rsidRDefault="00A60957" w14:paraId="6E57FE14" w14:textId="40BB3236">
      <w:pPr>
        <w:spacing w:line="276" w:lineRule="auto"/>
        <w:rPr>
          <w:rFonts w:ascii="Arial" w:hAnsi="Arial" w:cs="Arial"/>
          <w:b/>
          <w:bCs/>
          <w:sz w:val="22"/>
          <w:szCs w:val="22"/>
          <w:lang w:val="es-ES"/>
        </w:rPr>
      </w:pPr>
    </w:p>
    <w:p w:rsidR="00A60957" w:rsidP="009F0A44" w:rsidRDefault="00A60957" w14:paraId="68821FA6" w14:textId="77777777">
      <w:pPr>
        <w:spacing w:line="276" w:lineRule="auto"/>
        <w:rPr>
          <w:rFonts w:ascii="Arial" w:hAnsi="Arial" w:cs="Arial"/>
          <w:b/>
          <w:bCs/>
          <w:sz w:val="22"/>
          <w:szCs w:val="22"/>
          <w:lang w:val="es-ES"/>
        </w:rPr>
      </w:pPr>
    </w:p>
    <w:p w:rsidR="00423D30" w:rsidP="009F0A44" w:rsidRDefault="00423D30" w14:paraId="45BF815E" w14:textId="68855B69">
      <w:pPr>
        <w:spacing w:line="276" w:lineRule="auto"/>
        <w:rPr>
          <w:rFonts w:ascii="Arial" w:hAnsi="Arial" w:cs="Arial"/>
          <w:b/>
          <w:bCs/>
          <w:sz w:val="22"/>
          <w:szCs w:val="22"/>
          <w:lang w:val="es-ES"/>
        </w:rPr>
      </w:pPr>
    </w:p>
    <w:p w:rsidR="00A523A8" w:rsidP="009F0A44" w:rsidRDefault="00A523A8" w14:paraId="5F10B8C3" w14:textId="1F8D0714">
      <w:pPr>
        <w:spacing w:line="276" w:lineRule="auto"/>
        <w:rPr>
          <w:rFonts w:ascii="Arial" w:hAnsi="Arial" w:cs="Arial"/>
          <w:b/>
          <w:bCs/>
          <w:sz w:val="22"/>
          <w:szCs w:val="22"/>
          <w:lang w:val="es-ES"/>
        </w:rPr>
      </w:pPr>
    </w:p>
    <w:p w:rsidR="00A523A8" w:rsidP="00A523A8" w:rsidRDefault="00A523A8" w14:paraId="02B378AA" w14:textId="42CBE8C4">
      <w:pPr>
        <w:jc w:val="right"/>
      </w:pPr>
      <w:r>
        <w:fldChar w:fldCharType="begin"/>
      </w:r>
      <w:r>
        <w:instrText xml:space="preserve"> INCLUDEPICTURE "/var/folders/tb/0fmk9b510f57pz5rwhv8lnpw0000gp/T/com.microsoft.Word/WebArchiveCopyPasteTempFiles/page1image4253712432" \* MERGEFORMATINET </w:instrText>
      </w:r>
      <w:r>
        <w:fldChar w:fldCharType="separate"/>
      </w:r>
      <w:r>
        <w:rPr>
          <w:noProof/>
        </w:rPr>
        <w:drawing>
          <wp:inline distT="0" distB="0" distL="0" distR="0" wp14:anchorId="0EE85938" wp14:editId="04300F69">
            <wp:extent cx="2398395" cy="612775"/>
            <wp:effectExtent l="0" t="0" r="1905" b="0"/>
            <wp:docPr id="3" name="Imagen 3" descr="page1image425371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42537124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8395" cy="612775"/>
                    </a:xfrm>
                    <a:prstGeom prst="rect">
                      <a:avLst/>
                    </a:prstGeom>
                    <a:noFill/>
                    <a:ln>
                      <a:noFill/>
                    </a:ln>
                  </pic:spPr>
                </pic:pic>
              </a:graphicData>
            </a:graphic>
          </wp:inline>
        </w:drawing>
      </w:r>
      <w:r>
        <w:fldChar w:fldCharType="end"/>
      </w:r>
    </w:p>
    <w:p w:rsidR="00A523A8" w:rsidP="009F0A44" w:rsidRDefault="00A523A8" w14:paraId="005555DF" w14:textId="77777777">
      <w:pPr>
        <w:spacing w:line="276" w:lineRule="auto"/>
        <w:rPr>
          <w:rFonts w:ascii="Arial" w:hAnsi="Arial" w:cs="Arial"/>
          <w:b/>
          <w:bCs/>
          <w:sz w:val="22"/>
          <w:szCs w:val="22"/>
          <w:lang w:val="es-ES"/>
        </w:rPr>
      </w:pPr>
    </w:p>
    <w:p w:rsidRPr="00C00312" w:rsidR="003C7067" w:rsidP="00080865" w:rsidRDefault="003C7067" w14:paraId="2EB81414" w14:textId="7190FA17">
      <w:pPr>
        <w:spacing w:line="276" w:lineRule="auto"/>
        <w:rPr>
          <w:rFonts w:ascii="Arial" w:hAnsi="Arial" w:eastAsia="Calibri" w:cs="Arial"/>
          <w:sz w:val="22"/>
          <w:szCs w:val="22"/>
          <w:lang w:val="es-ES"/>
        </w:rPr>
      </w:pPr>
      <w:r w:rsidRPr="00C00312">
        <w:rPr>
          <w:rFonts w:ascii="Arial" w:hAnsi="Arial" w:eastAsia="Calibri" w:cs="Arial"/>
          <w:sz w:val="22"/>
          <w:szCs w:val="22"/>
          <w:lang w:val="es-ES"/>
        </w:rPr>
        <w:t>Señor</w:t>
      </w:r>
    </w:p>
    <w:p w:rsidR="00231FB4" w:rsidP="00080865" w:rsidRDefault="00231FB4" w14:paraId="4905DA4F" w14:textId="6F04E50A">
      <w:pPr>
        <w:spacing w:line="276" w:lineRule="auto"/>
        <w:rPr>
          <w:rFonts w:ascii="Arial" w:hAnsi="Arial" w:eastAsia="Calibri" w:cs="Arial"/>
          <w:b/>
          <w:sz w:val="22"/>
          <w:szCs w:val="22"/>
          <w:lang w:val="es-ES"/>
        </w:rPr>
      </w:pPr>
      <w:r w:rsidRPr="00231FB4">
        <w:rPr>
          <w:rFonts w:ascii="Arial" w:hAnsi="Arial" w:eastAsia="Calibri" w:cs="Arial"/>
          <w:b/>
          <w:sz w:val="22"/>
          <w:szCs w:val="22"/>
          <w:lang w:val="es-ES"/>
        </w:rPr>
        <w:t xml:space="preserve">Juan David Patiño Trasladino </w:t>
      </w:r>
    </w:p>
    <w:p w:rsidRPr="00231FB4" w:rsidR="00231FB4" w:rsidP="00080865" w:rsidRDefault="00231FB4" w14:paraId="29D3A2C0" w14:textId="475E5154">
      <w:pPr>
        <w:spacing w:line="276" w:lineRule="auto"/>
        <w:rPr>
          <w:rFonts w:ascii="Arial" w:hAnsi="Arial" w:eastAsia="Calibri" w:cs="Arial"/>
          <w:bCs/>
          <w:sz w:val="22"/>
          <w:szCs w:val="22"/>
          <w:lang w:val="es-ES"/>
        </w:rPr>
      </w:pPr>
      <w:r>
        <w:rPr>
          <w:rFonts w:ascii="Arial" w:hAnsi="Arial" w:eastAsia="Calibri" w:cs="Arial"/>
          <w:bCs/>
          <w:sz w:val="22"/>
          <w:szCs w:val="22"/>
          <w:lang w:val="es-ES"/>
        </w:rPr>
        <w:t xml:space="preserve">El Dorado, Meta </w:t>
      </w:r>
    </w:p>
    <w:p w:rsidRPr="00C00312" w:rsidR="002C56DB" w:rsidP="003C7067" w:rsidRDefault="002C56DB" w14:paraId="0ABFD0A6" w14:textId="77777777">
      <w:pPr>
        <w:rPr>
          <w:rFonts w:ascii="Arial" w:hAnsi="Arial" w:eastAsia="Calibri" w:cs="Arial"/>
          <w:b/>
          <w:sz w:val="22"/>
          <w:szCs w:val="22"/>
          <w:lang w:val="es-ES"/>
        </w:rPr>
      </w:pPr>
    </w:p>
    <w:p w:rsidR="003C7067" w:rsidP="003C7067" w:rsidRDefault="003C7067" w14:paraId="1F4E36CB" w14:textId="3D60D67C">
      <w:pPr>
        <w:rPr>
          <w:rFonts w:ascii="Arial" w:hAnsi="Arial" w:eastAsia="Calibri" w:cs="Arial"/>
          <w:b/>
          <w:sz w:val="22"/>
          <w:szCs w:val="22"/>
          <w:lang w:val="es-ES"/>
        </w:rPr>
      </w:pPr>
      <w:r w:rsidRPr="00C00312">
        <w:rPr>
          <w:rFonts w:ascii="Arial" w:hAnsi="Arial" w:eastAsia="Calibri" w:cs="Arial"/>
          <w:b/>
          <w:sz w:val="22"/>
          <w:szCs w:val="22"/>
          <w:lang w:val="es-ES"/>
        </w:rPr>
        <w:t xml:space="preserve">                                            Concepto C</w:t>
      </w:r>
      <w:r w:rsidR="0017389F">
        <w:rPr>
          <w:rFonts w:ascii="Arial" w:hAnsi="Arial" w:eastAsia="Calibri" w:cs="Arial"/>
          <w:b/>
          <w:sz w:val="22"/>
          <w:szCs w:val="22"/>
          <w:lang w:val="es-ES"/>
        </w:rPr>
        <w:t>-</w:t>
      </w:r>
      <w:r w:rsidR="00231FB4">
        <w:rPr>
          <w:rFonts w:ascii="Arial" w:hAnsi="Arial" w:eastAsia="Calibri" w:cs="Arial"/>
          <w:b/>
          <w:sz w:val="22"/>
          <w:szCs w:val="22"/>
          <w:lang w:val="es-ES"/>
        </w:rPr>
        <w:t>068</w:t>
      </w:r>
      <w:r w:rsidRPr="00C00312">
        <w:rPr>
          <w:rFonts w:ascii="Arial" w:hAnsi="Arial" w:eastAsia="Calibri" w:cs="Arial"/>
          <w:b/>
          <w:sz w:val="22"/>
          <w:szCs w:val="22"/>
          <w:lang w:val="es-ES"/>
        </w:rPr>
        <w:t xml:space="preserve"> de 202</w:t>
      </w:r>
      <w:r w:rsidR="00231FB4">
        <w:rPr>
          <w:rFonts w:ascii="Arial" w:hAnsi="Arial" w:eastAsia="Calibri" w:cs="Arial"/>
          <w:b/>
          <w:sz w:val="22"/>
          <w:szCs w:val="22"/>
          <w:lang w:val="es-ES"/>
        </w:rPr>
        <w:t>2</w:t>
      </w:r>
    </w:p>
    <w:p w:rsidRPr="00C00312" w:rsidR="0094584C" w:rsidP="003C7067" w:rsidRDefault="0094584C" w14:paraId="63D91505" w14:textId="77777777">
      <w:pPr>
        <w:rPr>
          <w:rFonts w:ascii="Arial" w:hAnsi="Arial" w:eastAsia="Calibri" w:cs="Arial"/>
          <w:b/>
          <w:sz w:val="22"/>
          <w:szCs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6C1EB7" w:rsidR="003C7067" w:rsidTr="00C96E18" w14:paraId="7C1768E2" w14:textId="77777777">
        <w:trPr>
          <w:trHeight w:val="735"/>
        </w:trPr>
        <w:tc>
          <w:tcPr>
            <w:tcW w:w="2689" w:type="dxa"/>
          </w:tcPr>
          <w:p w:rsidRPr="00C00312" w:rsidR="003C7067" w:rsidP="00080865" w:rsidRDefault="003C7067" w14:paraId="7F7464C9" w14:textId="77777777">
            <w:pPr>
              <w:spacing w:line="276" w:lineRule="auto"/>
              <w:rPr>
                <w:rFonts w:ascii="Arial" w:hAnsi="Arial" w:eastAsia="Calibri" w:cs="Arial"/>
                <w:lang w:val="es-ES"/>
              </w:rPr>
            </w:pPr>
            <w:r w:rsidRPr="00C00312">
              <w:rPr>
                <w:rFonts w:ascii="Arial" w:hAnsi="Arial" w:eastAsia="Calibri" w:cs="Arial"/>
                <w:b/>
                <w:lang w:val="es-ES"/>
              </w:rPr>
              <w:t>Temas:</w:t>
            </w:r>
            <w:r w:rsidRPr="00C00312">
              <w:rPr>
                <w:rFonts w:ascii="Arial" w:hAnsi="Arial" w:eastAsia="Calibri" w:cs="Arial"/>
                <w:lang w:val="es-ES"/>
              </w:rPr>
              <w:t xml:space="preserve">                                      </w:t>
            </w:r>
          </w:p>
        </w:tc>
        <w:tc>
          <w:tcPr>
            <w:tcW w:w="6237" w:type="dxa"/>
          </w:tcPr>
          <w:p w:rsidR="00033625" w:rsidP="00080865" w:rsidRDefault="00733877" w14:paraId="36FF2A9A" w14:textId="77777777">
            <w:pPr>
              <w:spacing w:line="276" w:lineRule="auto"/>
              <w:jc w:val="both"/>
              <w:rPr>
                <w:rFonts w:ascii="Arial" w:hAnsi="Arial" w:eastAsia="Calibri" w:cs="Arial"/>
                <w:lang w:val="es-MX"/>
              </w:rPr>
            </w:pPr>
            <w:r w:rsidRPr="00733877">
              <w:rPr>
                <w:rFonts w:ascii="Arial" w:hAnsi="Arial" w:eastAsia="Calibri" w:cs="Arial"/>
              </w:rPr>
              <w:t xml:space="preserve">CAPACIDAD RESIDUAL – Definición – Alcance / </w:t>
            </w:r>
            <w:r w:rsidRPr="00733877">
              <w:rPr>
                <w:rFonts w:ascii="Arial" w:hAnsi="Arial" w:eastAsia="Calibri" w:cs="Arial"/>
                <w:lang w:val="es-MX"/>
              </w:rPr>
              <w:t xml:space="preserve">CAPACIDAD RESIDUAL – Acreditación / </w:t>
            </w:r>
            <w:r w:rsidRPr="00733877" w:rsidR="00CB410C">
              <w:rPr>
                <w:rFonts w:ascii="Arial" w:hAnsi="Arial" w:eastAsia="Calibri" w:cs="Arial"/>
                <w:lang w:val="es-MX"/>
              </w:rPr>
              <w:t xml:space="preserve">CONTRATOS EN </w:t>
            </w:r>
            <w:r w:rsidR="00CB410C">
              <w:rPr>
                <w:rFonts w:ascii="Arial" w:hAnsi="Arial" w:eastAsia="Calibri" w:cs="Arial"/>
                <w:lang w:val="es-MX"/>
              </w:rPr>
              <w:t>EJECUCIÓN</w:t>
            </w:r>
            <w:r w:rsidRPr="00733877" w:rsidR="00CB410C">
              <w:rPr>
                <w:rFonts w:ascii="Arial" w:hAnsi="Arial" w:eastAsia="Calibri" w:cs="Arial"/>
                <w:lang w:val="es-MX"/>
              </w:rPr>
              <w:t xml:space="preserve"> </w:t>
            </w:r>
            <w:r w:rsidR="00CB410C">
              <w:rPr>
                <w:rFonts w:ascii="Arial" w:hAnsi="Arial" w:eastAsia="Calibri" w:cs="Arial"/>
                <w:lang w:val="es-MX"/>
              </w:rPr>
              <w:t xml:space="preserve">– Definición / </w:t>
            </w:r>
            <w:r w:rsidRPr="00733877">
              <w:rPr>
                <w:rFonts w:ascii="Arial" w:hAnsi="Arial" w:eastAsia="Calibri" w:cs="Arial"/>
                <w:lang w:val="es-MX"/>
              </w:rPr>
              <w:t xml:space="preserve">CONTRATOS EN ESTADO DE LIQUIDACIÓN – Relación con la </w:t>
            </w:r>
            <w:r w:rsidR="00CB410C">
              <w:rPr>
                <w:rFonts w:ascii="Arial" w:hAnsi="Arial" w:eastAsia="Calibri" w:cs="Arial"/>
                <w:lang w:val="es-MX"/>
              </w:rPr>
              <w:t>c</w:t>
            </w:r>
            <w:r w:rsidRPr="00733877">
              <w:rPr>
                <w:rFonts w:ascii="Arial" w:hAnsi="Arial" w:eastAsia="Calibri" w:cs="Arial"/>
                <w:lang w:val="es-MX"/>
              </w:rPr>
              <w:t xml:space="preserve">apacidad </w:t>
            </w:r>
            <w:r w:rsidR="00CB410C">
              <w:rPr>
                <w:rFonts w:ascii="Arial" w:hAnsi="Arial" w:eastAsia="Calibri" w:cs="Arial"/>
                <w:lang w:val="es-MX"/>
              </w:rPr>
              <w:t>r</w:t>
            </w:r>
            <w:r w:rsidRPr="00733877">
              <w:rPr>
                <w:rFonts w:ascii="Arial" w:hAnsi="Arial" w:eastAsia="Calibri" w:cs="Arial"/>
                <w:lang w:val="es-MX"/>
              </w:rPr>
              <w:t xml:space="preserve">esidual </w:t>
            </w:r>
          </w:p>
          <w:p w:rsidRPr="00CB410C" w:rsidR="00080865" w:rsidP="00080865" w:rsidRDefault="00080865" w14:paraId="2F4B7014" w14:textId="30D6AEDD">
            <w:pPr>
              <w:spacing w:line="276" w:lineRule="auto"/>
              <w:jc w:val="both"/>
              <w:rPr>
                <w:rFonts w:ascii="Arial" w:hAnsi="Arial" w:eastAsia="Calibri" w:cs="Arial"/>
                <w:lang w:val="es-MX"/>
              </w:rPr>
            </w:pPr>
          </w:p>
        </w:tc>
      </w:tr>
      <w:tr w:rsidRPr="00C00312" w:rsidR="003C7067" w:rsidTr="00406F4B" w14:paraId="60D249F0" w14:textId="77777777">
        <w:tc>
          <w:tcPr>
            <w:tcW w:w="2689" w:type="dxa"/>
          </w:tcPr>
          <w:p w:rsidRPr="00C00312" w:rsidR="003C7067" w:rsidP="00406F4B" w:rsidRDefault="0094584C" w14:paraId="291F9A18" w14:textId="768E00AF">
            <w:pPr>
              <w:rPr>
                <w:rFonts w:ascii="Arial" w:hAnsi="Arial" w:eastAsia="Calibri" w:cs="Arial"/>
                <w:lang w:val="es-ES"/>
              </w:rPr>
            </w:pPr>
            <w:r>
              <w:rPr>
                <w:rFonts w:ascii="Arial" w:hAnsi="Arial" w:eastAsia="Calibri" w:cs="Arial"/>
                <w:b/>
                <w:lang w:val="es-ES"/>
              </w:rPr>
              <w:t xml:space="preserve">  </w:t>
            </w:r>
            <w:r w:rsidRPr="00C00312" w:rsidR="003C7067">
              <w:rPr>
                <w:rFonts w:ascii="Arial" w:hAnsi="Arial" w:eastAsia="Calibri" w:cs="Arial"/>
                <w:b/>
                <w:lang w:val="es-ES"/>
              </w:rPr>
              <w:t>Radicación:</w:t>
            </w:r>
            <w:r w:rsidRPr="00C00312" w:rsidR="003C7067">
              <w:rPr>
                <w:rFonts w:ascii="Arial" w:hAnsi="Arial" w:eastAsia="Calibri" w:cs="Arial"/>
                <w:lang w:val="es-ES"/>
              </w:rPr>
              <w:t xml:space="preserve">                              </w:t>
            </w:r>
          </w:p>
        </w:tc>
        <w:tc>
          <w:tcPr>
            <w:tcW w:w="6237" w:type="dxa"/>
          </w:tcPr>
          <w:p w:rsidRPr="00C00312" w:rsidR="003C7067" w:rsidP="00406F4B" w:rsidRDefault="003C7067" w14:paraId="3C674517" w14:textId="455E3111">
            <w:pPr>
              <w:rPr>
                <w:rFonts w:ascii="Arial" w:hAnsi="Arial" w:eastAsia="Calibri" w:cs="Arial"/>
                <w:lang w:val="es-ES"/>
              </w:rPr>
            </w:pPr>
            <w:r w:rsidRPr="00C00312">
              <w:rPr>
                <w:rFonts w:ascii="Arial" w:hAnsi="Arial" w:eastAsia="Calibri" w:cs="Arial"/>
                <w:lang w:val="es-ES"/>
              </w:rPr>
              <w:t xml:space="preserve">Respuesta a consulta </w:t>
            </w:r>
            <w:r w:rsidRPr="00231FB4" w:rsidR="00231FB4">
              <w:rPr>
                <w:rFonts w:ascii="Arial" w:hAnsi="Arial" w:cs="Arial"/>
                <w:lang w:val="es-ES"/>
              </w:rPr>
              <w:t>P20220128000732</w:t>
            </w:r>
          </w:p>
        </w:tc>
      </w:tr>
    </w:tbl>
    <w:p w:rsidRPr="00C00312" w:rsidR="003C7067" w:rsidP="003C7067" w:rsidRDefault="003C7067" w14:paraId="7E6B5A12" w14:textId="77777777">
      <w:pPr>
        <w:spacing w:line="276" w:lineRule="auto"/>
        <w:rPr>
          <w:rFonts w:ascii="Arial" w:hAnsi="Arial" w:eastAsia="Calibri" w:cs="Arial"/>
          <w:sz w:val="22"/>
          <w:szCs w:val="22"/>
          <w:lang w:val="es-ES"/>
        </w:rPr>
      </w:pPr>
    </w:p>
    <w:p w:rsidRPr="00C00312" w:rsidR="003C7067" w:rsidP="003C7067" w:rsidRDefault="003C7067" w14:paraId="776B553A" w14:textId="77777777">
      <w:pPr>
        <w:spacing w:line="276" w:lineRule="auto"/>
        <w:rPr>
          <w:rFonts w:ascii="Arial" w:hAnsi="Arial" w:eastAsia="Calibri" w:cs="Arial"/>
          <w:sz w:val="22"/>
          <w:szCs w:val="22"/>
          <w:lang w:val="es-ES"/>
        </w:rPr>
      </w:pPr>
    </w:p>
    <w:p w:rsidRPr="00740C72" w:rsidR="003C7067" w:rsidP="003C7067" w:rsidRDefault="0094584C" w14:paraId="6BB19977" w14:textId="58D14304">
      <w:pPr>
        <w:tabs>
          <w:tab w:val="left" w:pos="3736"/>
        </w:tabs>
        <w:spacing w:line="276" w:lineRule="auto"/>
        <w:rPr>
          <w:rFonts w:ascii="Arial" w:hAnsi="Arial" w:eastAsia="Calibri" w:cs="Arial"/>
          <w:sz w:val="22"/>
          <w:szCs w:val="22"/>
          <w:lang w:val="es-ES"/>
        </w:rPr>
      </w:pPr>
      <w:r w:rsidRPr="00740C72">
        <w:rPr>
          <w:rFonts w:ascii="Arial" w:hAnsi="Arial" w:eastAsia="Calibri" w:cs="Arial"/>
          <w:sz w:val="22"/>
          <w:szCs w:val="22"/>
          <w:lang w:val="es-ES"/>
        </w:rPr>
        <w:t>Estimado señor</w:t>
      </w:r>
      <w:r w:rsidRPr="00740C72" w:rsidR="00231FB4">
        <w:rPr>
          <w:rFonts w:ascii="Arial" w:hAnsi="Arial" w:eastAsia="Calibri" w:cs="Arial"/>
          <w:sz w:val="22"/>
          <w:szCs w:val="22"/>
          <w:lang w:val="es-ES"/>
        </w:rPr>
        <w:t xml:space="preserve"> Patiño</w:t>
      </w:r>
      <w:r w:rsidRPr="00740C72" w:rsidR="003C7067">
        <w:rPr>
          <w:rFonts w:ascii="Arial" w:hAnsi="Arial" w:eastAsia="Calibri" w:cs="Arial"/>
          <w:sz w:val="22"/>
          <w:szCs w:val="22"/>
          <w:lang w:val="es-ES"/>
        </w:rPr>
        <w:t>:</w:t>
      </w:r>
      <w:r w:rsidRPr="00740C72" w:rsidR="003C7067">
        <w:rPr>
          <w:rFonts w:ascii="Arial" w:hAnsi="Arial" w:eastAsia="Calibri" w:cs="Arial"/>
          <w:sz w:val="22"/>
          <w:szCs w:val="22"/>
          <w:lang w:val="es-ES"/>
        </w:rPr>
        <w:tab/>
      </w:r>
    </w:p>
    <w:p w:rsidRPr="00740C72" w:rsidR="003C7067" w:rsidP="003C7067" w:rsidRDefault="003C7067" w14:paraId="17594CC4" w14:textId="77777777">
      <w:pPr>
        <w:spacing w:line="276" w:lineRule="auto"/>
        <w:rPr>
          <w:rFonts w:ascii="Arial" w:hAnsi="Arial" w:eastAsia="Calibri" w:cs="Arial"/>
          <w:sz w:val="22"/>
          <w:szCs w:val="22"/>
          <w:lang w:val="es-ES"/>
        </w:rPr>
      </w:pPr>
    </w:p>
    <w:p w:rsidRPr="00740C72" w:rsidR="003C7067" w:rsidP="003C7067" w:rsidRDefault="003C7067" w14:paraId="57E2A948" w14:textId="514E89D6">
      <w:pPr>
        <w:spacing w:line="276" w:lineRule="auto"/>
        <w:jc w:val="both"/>
        <w:rPr>
          <w:rFonts w:ascii="Arial" w:hAnsi="Arial" w:eastAsia="Calibri" w:cs="Arial"/>
          <w:sz w:val="22"/>
          <w:szCs w:val="22"/>
          <w:lang w:val="es-ES"/>
        </w:rPr>
      </w:pPr>
      <w:r w:rsidRPr="00740C72">
        <w:rPr>
          <w:rFonts w:ascii="Arial" w:hAnsi="Arial" w:eastAsia="Calibri" w:cs="Arial"/>
          <w:sz w:val="22"/>
          <w:szCs w:val="22"/>
          <w:lang w:val="es-ES"/>
        </w:rPr>
        <w:t xml:space="preserve">La Agencia Nacional de Contratación Pública – Colombia Compra Eficiente responde a su consulta del </w:t>
      </w:r>
      <w:r w:rsidRPr="00740C72" w:rsidR="00231FB4">
        <w:rPr>
          <w:rFonts w:ascii="Arial" w:hAnsi="Arial" w:eastAsia="Calibri" w:cs="Arial"/>
          <w:sz w:val="22"/>
          <w:szCs w:val="22"/>
          <w:lang w:val="es-ES"/>
        </w:rPr>
        <w:t>28 de enero de 2022</w:t>
      </w:r>
      <w:r w:rsidRPr="00740C72">
        <w:rPr>
          <w:rFonts w:ascii="Arial" w:hAnsi="Arial" w:eastAsia="Calibri" w:cs="Arial"/>
          <w:sz w:val="22"/>
          <w:szCs w:val="22"/>
          <w:lang w:val="es-ES"/>
        </w:rPr>
        <w:t xml:space="preserve">, en ejercicio de la competencia otorgada por el numeral 8 del artículo 11 y el numeral 5 del artículo 3 del Decreto Ley 4170 de 2011. </w:t>
      </w:r>
    </w:p>
    <w:p w:rsidRPr="00740C72" w:rsidR="003C7067" w:rsidP="003C7067" w:rsidRDefault="003C7067" w14:paraId="2D852432" w14:textId="77777777">
      <w:pPr>
        <w:pStyle w:val="Prrafodelista"/>
        <w:spacing w:line="276" w:lineRule="auto"/>
        <w:ind w:left="0"/>
        <w:rPr>
          <w:rFonts w:ascii="Arial" w:hAnsi="Arial" w:eastAsia="Calibri" w:cs="Arial"/>
          <w:sz w:val="22"/>
          <w:lang w:val="es-ES"/>
        </w:rPr>
      </w:pPr>
    </w:p>
    <w:p w:rsidRPr="001E53C9" w:rsidR="003C7067" w:rsidP="003C7067" w:rsidRDefault="003C7067" w14:paraId="67CA615C" w14:textId="77777777">
      <w:pPr>
        <w:tabs>
          <w:tab w:val="left" w:pos="0"/>
        </w:tabs>
        <w:spacing w:line="276" w:lineRule="auto"/>
        <w:jc w:val="both"/>
        <w:rPr>
          <w:rFonts w:ascii="Arial" w:hAnsi="Arial" w:eastAsia="Calibri" w:cs="Arial"/>
          <w:b/>
          <w:sz w:val="22"/>
          <w:szCs w:val="22"/>
          <w:lang w:val="es-ES"/>
        </w:rPr>
      </w:pPr>
      <w:r w:rsidRPr="001E53C9">
        <w:rPr>
          <w:rFonts w:ascii="Arial" w:hAnsi="Arial" w:eastAsia="Calibri" w:cs="Arial"/>
          <w:b/>
          <w:sz w:val="22"/>
          <w:szCs w:val="22"/>
          <w:lang w:val="es-ES"/>
        </w:rPr>
        <w:t>1. Problema planteado</w:t>
      </w:r>
    </w:p>
    <w:p w:rsidRPr="001E53C9" w:rsidR="003C7067" w:rsidP="003C7067" w:rsidRDefault="003C7067" w14:paraId="5A060666" w14:textId="77777777">
      <w:pPr>
        <w:rPr>
          <w:rFonts w:ascii="Arial" w:hAnsi="Arial" w:eastAsia="Calibri" w:cs="Arial"/>
          <w:sz w:val="22"/>
          <w:szCs w:val="22"/>
          <w:lang w:val="es-ES"/>
        </w:rPr>
      </w:pPr>
    </w:p>
    <w:p w:rsidRPr="001E53C9" w:rsidR="003C7067" w:rsidP="003C7067" w:rsidRDefault="003C7067" w14:paraId="3E00A2D4" w14:textId="27B98EC7">
      <w:pPr>
        <w:spacing w:line="276" w:lineRule="auto"/>
        <w:jc w:val="both"/>
        <w:rPr>
          <w:rFonts w:ascii="Arial" w:hAnsi="Arial" w:eastAsia="Calibri" w:cs="Arial"/>
          <w:sz w:val="22"/>
          <w:szCs w:val="22"/>
          <w:lang w:val="es-ES"/>
        </w:rPr>
      </w:pPr>
      <w:r w:rsidRPr="001E53C9">
        <w:rPr>
          <w:rFonts w:ascii="Arial" w:hAnsi="Arial" w:eastAsia="Calibri" w:cs="Arial"/>
          <w:sz w:val="22"/>
          <w:szCs w:val="22"/>
          <w:lang w:val="es-ES"/>
        </w:rPr>
        <w:t xml:space="preserve">Usted realiza la siguiente pregunta: </w:t>
      </w:r>
    </w:p>
    <w:p w:rsidRPr="001E53C9" w:rsidR="00740C72" w:rsidP="003C7067" w:rsidRDefault="00740C72" w14:paraId="52AE5611" w14:textId="77777777">
      <w:pPr>
        <w:spacing w:line="276" w:lineRule="auto"/>
        <w:jc w:val="both"/>
        <w:rPr>
          <w:rFonts w:ascii="Arial" w:hAnsi="Arial" w:eastAsia="Calibri" w:cs="Arial"/>
          <w:sz w:val="22"/>
          <w:szCs w:val="22"/>
          <w:lang w:val="es-ES"/>
        </w:rPr>
      </w:pPr>
    </w:p>
    <w:p w:rsidRPr="001E53C9" w:rsidR="00740C72" w:rsidP="00740C72" w:rsidRDefault="00231FB4" w14:paraId="440A74C1" w14:textId="77777777">
      <w:pPr>
        <w:pStyle w:val="NormalWeb"/>
        <w:spacing w:before="0" w:beforeAutospacing="0" w:after="0" w:afterAutospacing="0"/>
        <w:ind w:left="709" w:right="709"/>
        <w:jc w:val="both"/>
        <w:rPr>
          <w:rFonts w:ascii="Arial" w:hAnsi="Arial" w:cs="Arial"/>
          <w:sz w:val="21"/>
          <w:szCs w:val="21"/>
        </w:rPr>
      </w:pPr>
      <w:r w:rsidRPr="001E53C9">
        <w:rPr>
          <w:rFonts w:ascii="Arial" w:hAnsi="Arial" w:cs="Arial"/>
          <w:sz w:val="21"/>
          <w:szCs w:val="21"/>
        </w:rPr>
        <w:t>«[…] los oferentes o las entidades públicas en el momento de la evaluación debe (sic) tener en cuenta como contrato en ejecución los contratos con ACTA DE TERMINACION CON ACTIVIDADES PENDIENTES, O se debe tomar como se muestra anteriormente que dice textualmente NO SE ENTENDERÁN COMO CONTRATOS EN EJECUCIÓN LOS QUE SE ENCUENTREN EN LIQUIDACIÓN»</w:t>
      </w:r>
      <w:r w:rsidRPr="001E53C9" w:rsidR="00733877">
        <w:rPr>
          <w:rFonts w:ascii="Arial" w:hAnsi="Arial" w:cs="Arial"/>
          <w:sz w:val="21"/>
          <w:szCs w:val="21"/>
        </w:rPr>
        <w:t>.</w:t>
      </w:r>
    </w:p>
    <w:p w:rsidRPr="001E53C9" w:rsidR="003C7067" w:rsidP="00080865" w:rsidRDefault="00733877" w14:paraId="2C4B2B60" w14:textId="2C368EA1">
      <w:pPr>
        <w:pStyle w:val="NormalWeb"/>
        <w:spacing w:before="0" w:beforeAutospacing="0" w:after="0" w:afterAutospacing="0"/>
        <w:ind w:left="709" w:right="709"/>
        <w:jc w:val="both"/>
        <w:rPr>
          <w:rFonts w:ascii="Arial" w:hAnsi="Arial" w:cs="Arial"/>
          <w:sz w:val="21"/>
          <w:szCs w:val="21"/>
        </w:rPr>
      </w:pPr>
      <w:r w:rsidRPr="001E53C9">
        <w:rPr>
          <w:rFonts w:ascii="Arial" w:hAnsi="Arial" w:cs="Arial"/>
          <w:sz w:val="21"/>
          <w:szCs w:val="21"/>
        </w:rPr>
        <w:t xml:space="preserve"> </w:t>
      </w:r>
    </w:p>
    <w:p w:rsidRPr="001E53C9" w:rsidR="003C7067" w:rsidP="003C7067" w:rsidRDefault="003C7067" w14:paraId="5914F486" w14:textId="7E249E09">
      <w:pPr>
        <w:spacing w:line="276" w:lineRule="auto"/>
        <w:jc w:val="both"/>
        <w:rPr>
          <w:rFonts w:ascii="Arial" w:hAnsi="Arial" w:eastAsia="Calibri" w:cs="Arial"/>
          <w:b/>
          <w:sz w:val="22"/>
          <w:szCs w:val="22"/>
          <w:lang w:val="es-ES"/>
        </w:rPr>
      </w:pPr>
      <w:r w:rsidRPr="001E53C9">
        <w:rPr>
          <w:rFonts w:ascii="Arial" w:hAnsi="Arial" w:eastAsia="Calibri" w:cs="Arial"/>
          <w:b/>
          <w:sz w:val="22"/>
          <w:szCs w:val="22"/>
          <w:lang w:val="es-ES"/>
        </w:rPr>
        <w:t>2. Consideraciones</w:t>
      </w:r>
    </w:p>
    <w:p w:rsidR="006B4BF8" w:rsidP="006B4BF8" w:rsidRDefault="006B4BF8" w14:paraId="6FAE1903" w14:textId="77777777">
      <w:pPr>
        <w:spacing w:line="276" w:lineRule="auto"/>
        <w:jc w:val="both"/>
        <w:rPr>
          <w:rFonts w:ascii="Arial" w:hAnsi="Arial" w:eastAsia="Calibri" w:cs="Arial"/>
          <w:sz w:val="22"/>
          <w:szCs w:val="22"/>
        </w:rPr>
      </w:pPr>
    </w:p>
    <w:p w:rsidRPr="001E53C9" w:rsidR="005379D0" w:rsidP="00080865" w:rsidRDefault="005379D0" w14:paraId="77AB21E5" w14:textId="1C0F78DB">
      <w:pPr>
        <w:spacing w:line="276" w:lineRule="auto"/>
        <w:jc w:val="both"/>
        <w:rPr>
          <w:rFonts w:ascii="Arial" w:hAnsi="Arial" w:cs="Arial"/>
          <w:sz w:val="22"/>
          <w:szCs w:val="22"/>
        </w:rPr>
      </w:pPr>
      <w:r w:rsidRPr="001E53C9">
        <w:rPr>
          <w:rFonts w:ascii="Arial" w:hAnsi="Arial" w:eastAsia="Calibri" w:cs="Arial"/>
          <w:sz w:val="22"/>
          <w:szCs w:val="22"/>
        </w:rPr>
        <w:t xml:space="preserve">La Agencia Nacional de Contratación Pública − Colombia Compra Eficiente se ha pronunciado sobre la capacidad residual, y la forma como esta se debe acreditar, en los </w:t>
      </w:r>
      <w:r w:rsidRPr="001E53C9">
        <w:rPr>
          <w:rFonts w:ascii="Arial" w:hAnsi="Arial" w:eastAsia="Calibri" w:cs="Arial"/>
          <w:sz w:val="22"/>
          <w:szCs w:val="22"/>
        </w:rPr>
        <w:lastRenderedPageBreak/>
        <w:t>conceptos del 27 de agosto y el 20 y 26 (2) de diciembre de 2019 −radicados Nos. 2201913000006275, 2201913000009465, 2201913000009642 y 2201913000009640−; así como en los conceptos C–022, C–089, C–112, C–133, C – 194 de 2020, C–222 de 2020</w:t>
      </w:r>
      <w:r w:rsidRPr="001E53C9" w:rsidR="00F44566">
        <w:rPr>
          <w:rFonts w:ascii="Arial" w:hAnsi="Arial" w:eastAsia="Calibri" w:cs="Arial"/>
          <w:sz w:val="22"/>
          <w:szCs w:val="22"/>
        </w:rPr>
        <w:t xml:space="preserve">, </w:t>
      </w:r>
      <w:r w:rsidRPr="001E53C9">
        <w:rPr>
          <w:rFonts w:ascii="Arial" w:hAnsi="Arial" w:eastAsia="Calibri" w:cs="Arial"/>
          <w:sz w:val="22"/>
          <w:szCs w:val="22"/>
        </w:rPr>
        <w:t>C–326 de 2020, C-446 del 6 de julio de 2020</w:t>
      </w:r>
      <w:r w:rsidRPr="001E53C9" w:rsidR="00F44566">
        <w:rPr>
          <w:rFonts w:ascii="Arial" w:hAnsi="Arial" w:eastAsia="Calibri" w:cs="Arial"/>
          <w:sz w:val="22"/>
          <w:szCs w:val="22"/>
        </w:rPr>
        <w:t xml:space="preserve">, C-045 de 5 de marzo de 2021, </w:t>
      </w:r>
      <w:r w:rsidRPr="00080865" w:rsidR="00F44566">
        <w:rPr>
          <w:rFonts w:ascii="Arial" w:hAnsi="Arial" w:cs="Arial"/>
          <w:sz w:val="22"/>
          <w:szCs w:val="22"/>
          <w:lang w:val="es-MX"/>
        </w:rPr>
        <w:t>C-170 del 20 de abril de 2021</w:t>
      </w:r>
      <w:hyperlink w:tgtFrame="_blank" w:history="1" r:id="rId9">
        <w:r w:rsidRPr="00080865" w:rsidR="00F44566">
          <w:rPr>
            <w:rFonts w:ascii="Arial" w:hAnsi="Arial" w:cs="Arial"/>
            <w:sz w:val="22"/>
            <w:szCs w:val="22"/>
            <w:lang w:val="es-MX"/>
          </w:rPr>
          <w:t>,</w:t>
        </w:r>
      </w:hyperlink>
      <w:r w:rsidRPr="00080865" w:rsidR="00F44566">
        <w:rPr>
          <w:rFonts w:ascii="Arial" w:hAnsi="Arial" w:cs="Arial"/>
          <w:sz w:val="22"/>
          <w:szCs w:val="22"/>
          <w:lang w:val="es-MX"/>
        </w:rPr>
        <w:t>C-202 del 7 de mayo de 2021, C-219 del 19 de mayo de 2021, C-368 del 28 de julio de 2021, C-392 del 5 de agosto de 2021</w:t>
      </w:r>
      <w:r w:rsidRPr="001E53C9">
        <w:rPr>
          <w:rFonts w:ascii="Arial" w:hAnsi="Arial" w:eastAsia="Calibri" w:cs="Arial"/>
          <w:sz w:val="22"/>
        </w:rPr>
        <w:t xml:space="preserve">. La tesis propuesta se expone y, en lo </w:t>
      </w:r>
      <w:r w:rsidR="006B4BF8">
        <w:rPr>
          <w:rFonts w:ascii="Arial" w:hAnsi="Arial" w:eastAsia="Calibri" w:cs="Arial"/>
          <w:sz w:val="22"/>
        </w:rPr>
        <w:t>pertinente</w:t>
      </w:r>
      <w:r w:rsidRPr="001E53C9">
        <w:rPr>
          <w:rFonts w:ascii="Arial" w:hAnsi="Arial" w:eastAsia="Calibri" w:cs="Arial"/>
          <w:sz w:val="22"/>
        </w:rPr>
        <w:t xml:space="preserve">, se complementa </w:t>
      </w:r>
      <w:r w:rsidR="008246CC">
        <w:rPr>
          <w:rFonts w:ascii="Arial" w:hAnsi="Arial" w:eastAsia="Calibri" w:cs="Arial"/>
          <w:sz w:val="22"/>
        </w:rPr>
        <w:t>a continuación</w:t>
      </w:r>
      <w:r w:rsidRPr="001E53C9">
        <w:rPr>
          <w:rFonts w:eastAsia="Calibri"/>
          <w:sz w:val="22"/>
        </w:rPr>
        <w:t xml:space="preserve">: </w:t>
      </w:r>
    </w:p>
    <w:p w:rsidR="005379D0" w:rsidP="005379D0" w:rsidRDefault="005379D0" w14:paraId="2C42EE20" w14:textId="77777777">
      <w:pPr>
        <w:pStyle w:val="Textoindependiente"/>
        <w:spacing w:line="276" w:lineRule="auto"/>
        <w:ind w:right="51"/>
        <w:jc w:val="both"/>
        <w:rPr>
          <w:rFonts w:eastAsia="Calibri"/>
          <w:sz w:val="22"/>
          <w:lang w:val="es-CO"/>
        </w:rPr>
      </w:pPr>
    </w:p>
    <w:p w:rsidR="00BF274B" w:rsidP="005379D0" w:rsidRDefault="00897650" w14:paraId="02DEB213" w14:textId="381593D0">
      <w:pPr>
        <w:pStyle w:val="Textoindependiente"/>
        <w:spacing w:line="276" w:lineRule="auto"/>
        <w:ind w:right="51"/>
        <w:jc w:val="both"/>
        <w:rPr>
          <w:b/>
          <w:bCs/>
          <w:sz w:val="22"/>
          <w:szCs w:val="22"/>
          <w:lang w:val="es-CO"/>
        </w:rPr>
      </w:pPr>
      <w:r w:rsidRPr="005379D0">
        <w:rPr>
          <w:b/>
          <w:bCs/>
          <w:sz w:val="22"/>
          <w:szCs w:val="22"/>
          <w:lang w:val="es-CO"/>
        </w:rPr>
        <w:t xml:space="preserve">2.1. </w:t>
      </w:r>
      <w:r w:rsidR="00903598">
        <w:rPr>
          <w:b/>
          <w:bCs/>
          <w:sz w:val="22"/>
          <w:szCs w:val="22"/>
          <w:lang w:val="es-CO"/>
        </w:rPr>
        <w:t>La noción de contratos en ejecución y su relación con la capacidad residual</w:t>
      </w:r>
    </w:p>
    <w:p w:rsidRPr="005379D0" w:rsidR="003B7C57" w:rsidP="005379D0" w:rsidRDefault="003B7C57" w14:paraId="3D546500" w14:textId="77777777">
      <w:pPr>
        <w:pStyle w:val="Textoindependiente"/>
        <w:spacing w:line="276" w:lineRule="auto"/>
        <w:ind w:right="51"/>
        <w:jc w:val="both"/>
        <w:rPr>
          <w:b/>
          <w:bCs/>
          <w:sz w:val="22"/>
          <w:szCs w:val="22"/>
          <w:lang w:val="es-CO"/>
        </w:rPr>
      </w:pPr>
    </w:p>
    <w:p w:rsidRPr="005379D0" w:rsidR="00897650" w:rsidP="003B7C57" w:rsidRDefault="00897650" w14:paraId="0B9EB3CA" w14:textId="77777777">
      <w:pPr>
        <w:pStyle w:val="Textoindependiente"/>
        <w:spacing w:line="276" w:lineRule="auto"/>
        <w:ind w:right="51"/>
        <w:jc w:val="both"/>
        <w:rPr>
          <w:sz w:val="22"/>
          <w:szCs w:val="22"/>
          <w:lang w:val="es-CO"/>
        </w:rPr>
      </w:pPr>
      <w:r w:rsidRPr="005379D0">
        <w:rPr>
          <w:sz w:val="22"/>
          <w:szCs w:val="22"/>
          <w:lang w:val="es-CO"/>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w:t>
      </w:r>
      <w:r w:rsidRPr="005379D0">
        <w:rPr>
          <w:rStyle w:val="Refdenotaalpie"/>
          <w:sz w:val="22"/>
          <w:szCs w:val="22"/>
          <w:lang w:val="es-CO"/>
        </w:rPr>
        <w:footnoteReference w:id="1"/>
      </w:r>
      <w:r w:rsidRPr="005379D0">
        <w:rPr>
          <w:sz w:val="22"/>
          <w:szCs w:val="22"/>
          <w:lang w:val="es-CO"/>
        </w:rPr>
        <w:t>. El Consejo de Estado ha definido la capacidad residual como «la diferencia que existe entre el potencial de contratación que se tiene y los compromisos que haya adquirido y que se encuentren en ejecución, para la fecha de presentación de la oferta»</w:t>
      </w:r>
      <w:r w:rsidRPr="005379D0">
        <w:rPr>
          <w:rStyle w:val="Refdenotaalpie"/>
          <w:sz w:val="22"/>
          <w:szCs w:val="22"/>
          <w:lang w:val="es-CO"/>
        </w:rPr>
        <w:footnoteReference w:id="2"/>
      </w:r>
      <w:r w:rsidRPr="005379D0">
        <w:rPr>
          <w:sz w:val="22"/>
          <w:szCs w:val="22"/>
          <w:lang w:val="es-CO"/>
        </w:rPr>
        <w:t>.</w:t>
      </w:r>
    </w:p>
    <w:p w:rsidRPr="005379D0" w:rsidR="00897650" w:rsidP="00080865" w:rsidRDefault="0097687B" w14:paraId="314A2D5F" w14:textId="5B5DEF17">
      <w:pPr>
        <w:pStyle w:val="Textoindependiente"/>
        <w:spacing w:before="120" w:line="276" w:lineRule="auto"/>
        <w:ind w:right="51" w:firstLine="708"/>
        <w:jc w:val="both"/>
        <w:rPr>
          <w:sz w:val="22"/>
          <w:szCs w:val="22"/>
          <w:lang w:val="es-CO"/>
        </w:rPr>
      </w:pPr>
      <w:r>
        <w:rPr>
          <w:sz w:val="22"/>
          <w:szCs w:val="22"/>
          <w:lang w:val="es-CO"/>
        </w:rPr>
        <w:t>Partiendo lo anterior</w:t>
      </w:r>
      <w:r w:rsidRPr="005379D0" w:rsidR="00897650">
        <w:rPr>
          <w:sz w:val="22"/>
          <w:szCs w:val="22"/>
          <w:lang w:val="es-CO"/>
        </w:rPr>
        <w:t xml:space="preserve">, esta </w:t>
      </w:r>
      <w:r w:rsidRPr="005379D0" w:rsidR="006029E4">
        <w:rPr>
          <w:sz w:val="22"/>
          <w:szCs w:val="22"/>
          <w:lang w:val="es-CO"/>
        </w:rPr>
        <w:t xml:space="preserve">Agencia </w:t>
      </w:r>
      <w:r w:rsidR="006029E4">
        <w:rPr>
          <w:sz w:val="22"/>
          <w:szCs w:val="22"/>
          <w:lang w:val="es-CO"/>
        </w:rPr>
        <w:t>ha</w:t>
      </w:r>
      <w:r>
        <w:rPr>
          <w:sz w:val="22"/>
          <w:szCs w:val="22"/>
          <w:lang w:val="es-CO"/>
        </w:rPr>
        <w:t xml:space="preserve"> </w:t>
      </w:r>
      <w:r w:rsidR="006029E4">
        <w:rPr>
          <w:sz w:val="22"/>
          <w:szCs w:val="22"/>
          <w:lang w:val="es-CO"/>
        </w:rPr>
        <w:t>interpretado que</w:t>
      </w:r>
      <w:r w:rsidRPr="005379D0" w:rsidR="00897650">
        <w:rPr>
          <w:sz w:val="22"/>
          <w:szCs w:val="22"/>
          <w:lang w:val="es-CO"/>
        </w:rPr>
        <w:t xml:space="preserve"> la capacidad residual hace referencia a la suficiencia que se predica del proponente para asumir nuevas obligaciones que se derivan del contrato objeto del proceso de contratación, en relación con las obligaciones que ha adquirido</w:t>
      </w:r>
      <w:r w:rsidR="006029E4">
        <w:rPr>
          <w:sz w:val="22"/>
          <w:szCs w:val="22"/>
          <w:lang w:val="es-CO"/>
        </w:rPr>
        <w:t xml:space="preserve"> previamente, y que tendría que cumplir</w:t>
      </w:r>
      <w:r w:rsidRPr="005379D0" w:rsidR="00897650">
        <w:rPr>
          <w:sz w:val="22"/>
          <w:szCs w:val="22"/>
          <w:lang w:val="es-CO"/>
        </w:rPr>
        <w:t xml:space="preserve"> simultáneamente</w:t>
      </w:r>
      <w:r w:rsidR="006029E4">
        <w:rPr>
          <w:sz w:val="22"/>
          <w:szCs w:val="22"/>
          <w:lang w:val="es-CO"/>
        </w:rPr>
        <w:t xml:space="preserve"> con las derivadas del eventual nuevo contrato.</w:t>
      </w:r>
      <w:r w:rsidR="00060256">
        <w:rPr>
          <w:sz w:val="22"/>
          <w:szCs w:val="22"/>
          <w:lang w:val="es-CO"/>
        </w:rPr>
        <w:t xml:space="preserve"> Esta interpretación </w:t>
      </w:r>
      <w:r w:rsidR="00DA0DA6">
        <w:rPr>
          <w:sz w:val="22"/>
          <w:szCs w:val="22"/>
          <w:lang w:val="es-CO"/>
        </w:rPr>
        <w:t>se sustenta en l</w:t>
      </w:r>
      <w:r w:rsidRPr="005379D0" w:rsidR="00897650">
        <w:rPr>
          <w:sz w:val="22"/>
          <w:szCs w:val="22"/>
          <w:lang w:val="es-CO"/>
        </w:rPr>
        <w:t>a Ley 1150 de 2007</w:t>
      </w:r>
      <w:r w:rsidR="00DA0DA6">
        <w:rPr>
          <w:sz w:val="22"/>
          <w:szCs w:val="22"/>
          <w:lang w:val="es-CO"/>
        </w:rPr>
        <w:t>,</w:t>
      </w:r>
      <w:r w:rsidRPr="005379D0" w:rsidR="00897650">
        <w:rPr>
          <w:sz w:val="22"/>
          <w:szCs w:val="22"/>
          <w:lang w:val="es-CO"/>
        </w:rPr>
        <w:t xml:space="preserve"> la</w:t>
      </w:r>
      <w:r w:rsidR="00DA0DA6">
        <w:rPr>
          <w:sz w:val="22"/>
          <w:szCs w:val="22"/>
          <w:lang w:val="es-CO"/>
        </w:rPr>
        <w:t xml:space="preserve"> cual establece que</w:t>
      </w:r>
      <w:r w:rsidRPr="005379D0" w:rsidR="00897650">
        <w:rPr>
          <w:sz w:val="22"/>
          <w:szCs w:val="22"/>
          <w:lang w:val="es-CO"/>
        </w:rPr>
        <w:t xml:space="preserve"> </w:t>
      </w:r>
      <w:r w:rsidR="00DA0DA6">
        <w:rPr>
          <w:sz w:val="22"/>
          <w:szCs w:val="22"/>
          <w:lang w:val="es-CO"/>
        </w:rPr>
        <w:t xml:space="preserve">la </w:t>
      </w:r>
      <w:r w:rsidRPr="005379D0" w:rsidR="00897650">
        <w:rPr>
          <w:sz w:val="22"/>
          <w:szCs w:val="22"/>
          <w:lang w:val="es-CO"/>
        </w:rPr>
        <w:t xml:space="preserve">capacidad residual de los interesados en participar en </w:t>
      </w:r>
      <w:r w:rsidR="00DA0DA6">
        <w:rPr>
          <w:sz w:val="22"/>
          <w:szCs w:val="22"/>
          <w:lang w:val="es-CO"/>
        </w:rPr>
        <w:t xml:space="preserve">un </w:t>
      </w:r>
      <w:r w:rsidRPr="005379D0" w:rsidR="00897650">
        <w:rPr>
          <w:sz w:val="22"/>
          <w:szCs w:val="22"/>
          <w:lang w:val="es-CO"/>
        </w:rPr>
        <w:t>proceso de selección para contratos de obra</w:t>
      </w:r>
      <w:r w:rsidR="00DA0DA6">
        <w:rPr>
          <w:sz w:val="22"/>
          <w:szCs w:val="22"/>
          <w:lang w:val="es-CO"/>
        </w:rPr>
        <w:t>,</w:t>
      </w:r>
      <w:r w:rsidRPr="005379D0" w:rsidR="00897650">
        <w:rPr>
          <w:sz w:val="22"/>
          <w:szCs w:val="22"/>
          <w:lang w:val="es-CO"/>
        </w:rPr>
        <w:t xml:space="preserve"> deberá ser igual o superior a</w:t>
      </w:r>
      <w:r w:rsidR="00DA0DA6">
        <w:rPr>
          <w:sz w:val="22"/>
          <w:szCs w:val="22"/>
          <w:lang w:val="es-CO"/>
        </w:rPr>
        <w:t xml:space="preserve"> </w:t>
      </w:r>
      <w:r w:rsidRPr="005379D0" w:rsidR="00897650">
        <w:rPr>
          <w:sz w:val="22"/>
          <w:szCs w:val="22"/>
          <w:lang w:val="es-CO"/>
        </w:rPr>
        <w:t>l</w:t>
      </w:r>
      <w:r w:rsidR="00DA0DA6">
        <w:rPr>
          <w:sz w:val="22"/>
          <w:szCs w:val="22"/>
          <w:lang w:val="es-CO"/>
        </w:rPr>
        <w:t>a</w:t>
      </w:r>
      <w:r w:rsidRPr="005379D0" w:rsidR="00897650">
        <w:rPr>
          <w:sz w:val="22"/>
          <w:szCs w:val="22"/>
          <w:lang w:val="es-CO"/>
        </w:rPr>
        <w:t xml:space="preserve"> que la entidad ha</w:t>
      </w:r>
      <w:r w:rsidR="00DA0DA6">
        <w:rPr>
          <w:sz w:val="22"/>
          <w:szCs w:val="22"/>
          <w:lang w:val="es-CO"/>
        </w:rPr>
        <w:t>ya</w:t>
      </w:r>
      <w:r w:rsidRPr="005379D0" w:rsidR="00897650">
        <w:rPr>
          <w:sz w:val="22"/>
          <w:szCs w:val="22"/>
          <w:lang w:val="es-CO"/>
        </w:rPr>
        <w:t xml:space="preserve"> establecido en los pliegos de condiciones</w:t>
      </w:r>
      <w:r w:rsidR="00DA0DA6">
        <w:rPr>
          <w:sz w:val="22"/>
          <w:szCs w:val="22"/>
          <w:lang w:val="es-CO"/>
        </w:rPr>
        <w:t xml:space="preserve">. </w:t>
      </w:r>
      <w:r w:rsidR="00980A9A">
        <w:rPr>
          <w:sz w:val="22"/>
          <w:szCs w:val="22"/>
          <w:lang w:val="es-CO"/>
        </w:rPr>
        <w:t>Al respecto indica la norma</w:t>
      </w:r>
      <w:r w:rsidRPr="005379D0" w:rsidR="00897650">
        <w:rPr>
          <w:sz w:val="22"/>
          <w:szCs w:val="22"/>
          <w:lang w:val="es-CO"/>
        </w:rPr>
        <w:t>:</w:t>
      </w:r>
    </w:p>
    <w:p w:rsidRPr="005379D0" w:rsidR="00897650" w:rsidP="00897650" w:rsidRDefault="00897650" w14:paraId="05BB6145" w14:textId="77777777">
      <w:pPr>
        <w:pStyle w:val="Textoindependiente"/>
        <w:ind w:right="49"/>
        <w:jc w:val="both"/>
        <w:rPr>
          <w:sz w:val="22"/>
          <w:szCs w:val="22"/>
          <w:lang w:val="es-CO"/>
        </w:rPr>
      </w:pPr>
    </w:p>
    <w:p w:rsidRPr="00B33BD8" w:rsidR="00897650" w:rsidP="00897650" w:rsidRDefault="00897650" w14:paraId="008F39AF" w14:textId="77777777">
      <w:pPr>
        <w:pStyle w:val="Textoindependiente"/>
        <w:ind w:left="709" w:right="758"/>
        <w:jc w:val="both"/>
        <w:rPr>
          <w:sz w:val="21"/>
          <w:szCs w:val="21"/>
          <w:lang w:val="es-CO"/>
        </w:rPr>
      </w:pPr>
      <w:r w:rsidRPr="00B33BD8">
        <w:rPr>
          <w:sz w:val="21"/>
          <w:szCs w:val="21"/>
          <w:lang w:val="es-CO"/>
        </w:rPr>
        <w:t xml:space="preserve">«Artículo 6. De la verificación de las condiciones de los proponentes. Todas las </w:t>
      </w:r>
      <w:r w:rsidRPr="00B33BD8">
        <w:rPr>
          <w:sz w:val="21"/>
          <w:szCs w:val="21"/>
          <w:lang w:val="es-CO"/>
        </w:rPr>
        <w:lastRenderedPageBreak/>
        <w:t>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B33BD8">
        <w:rPr>
          <w:spacing w:val="-3"/>
          <w:sz w:val="21"/>
          <w:szCs w:val="21"/>
          <w:lang w:val="es-CO"/>
        </w:rPr>
        <w:t xml:space="preserve"> </w:t>
      </w:r>
      <w:r w:rsidRPr="00B33BD8">
        <w:rPr>
          <w:sz w:val="21"/>
          <w:szCs w:val="21"/>
          <w:lang w:val="es-CO"/>
        </w:rPr>
        <w:t>principal.</w:t>
      </w:r>
    </w:p>
    <w:p w:rsidRPr="00B33BD8" w:rsidR="00897650" w:rsidP="00897650" w:rsidRDefault="00897650" w14:paraId="11A4A919" w14:textId="77777777">
      <w:pPr>
        <w:pStyle w:val="Textoindependiente"/>
        <w:ind w:left="709" w:right="758"/>
        <w:jc w:val="both"/>
        <w:rPr>
          <w:sz w:val="21"/>
          <w:szCs w:val="21"/>
          <w:lang w:val="es-CO"/>
        </w:rPr>
      </w:pPr>
      <w:r w:rsidRPr="00B33BD8">
        <w:rPr>
          <w:sz w:val="21"/>
          <w:szCs w:val="21"/>
          <w:lang w:val="es-CO"/>
        </w:rPr>
        <w:t>(…)</w:t>
      </w:r>
    </w:p>
    <w:p w:rsidRPr="00B33BD8" w:rsidR="00897650" w:rsidP="00897650" w:rsidRDefault="00897650" w14:paraId="74F7D23C" w14:textId="77777777">
      <w:pPr>
        <w:pStyle w:val="Textoindependiente"/>
        <w:spacing w:before="2"/>
        <w:ind w:left="709" w:right="758"/>
        <w:jc w:val="both"/>
        <w:rPr>
          <w:sz w:val="21"/>
          <w:szCs w:val="21"/>
          <w:lang w:val="es-CO"/>
        </w:rPr>
      </w:pPr>
    </w:p>
    <w:p w:rsidRPr="00B33BD8" w:rsidR="00897650" w:rsidP="00897650" w:rsidRDefault="00897650" w14:paraId="62494F4E" w14:textId="77777777">
      <w:pPr>
        <w:pStyle w:val="Textoindependiente"/>
        <w:ind w:left="709" w:right="758"/>
        <w:jc w:val="both"/>
        <w:rPr>
          <w:sz w:val="21"/>
          <w:szCs w:val="21"/>
          <w:lang w:val="es-CO"/>
        </w:rPr>
      </w:pPr>
      <w:r w:rsidRPr="00B33BD8">
        <w:rPr>
          <w:sz w:val="21"/>
          <w:szCs w:val="21"/>
          <w:lang w:val="es-CO"/>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rsidRPr="00B33BD8" w:rsidR="00897650" w:rsidP="00897650" w:rsidRDefault="00897650" w14:paraId="31743D2D" w14:textId="77777777">
      <w:pPr>
        <w:pStyle w:val="Textoindependiente"/>
        <w:ind w:left="709" w:right="758"/>
        <w:jc w:val="both"/>
        <w:rPr>
          <w:sz w:val="21"/>
          <w:szCs w:val="21"/>
          <w:lang w:val="es-CO"/>
        </w:rPr>
      </w:pPr>
    </w:p>
    <w:p w:rsidRPr="00B33BD8" w:rsidR="00897650" w:rsidP="00897650" w:rsidRDefault="00897650" w14:paraId="535BB905" w14:textId="77777777">
      <w:pPr>
        <w:pStyle w:val="Textoindependiente"/>
        <w:ind w:left="709" w:right="758"/>
        <w:jc w:val="both"/>
        <w:rPr>
          <w:sz w:val="21"/>
          <w:szCs w:val="21"/>
          <w:lang w:val="es-CO"/>
        </w:rPr>
      </w:pPr>
      <w:r w:rsidRPr="00B33BD8">
        <w:rPr>
          <w:i/>
          <w:iCs/>
          <w:sz w:val="21"/>
          <w:szCs w:val="21"/>
          <w:lang w:val="es-CO"/>
        </w:rPr>
        <w:t>Para establecer la capacidad residual del proponente o K de contratación, se deberán considerar todos los contratos que tenga en ejecución el proponente al momento de presentar la oferta</w:t>
      </w:r>
      <w:r w:rsidRPr="00B33BD8">
        <w:rPr>
          <w:sz w:val="21"/>
          <w:szCs w:val="21"/>
          <w:lang w:val="es-CO"/>
        </w:rPr>
        <w:t>. El desarrollo y ejecución del contrato podrá dar lugar a que los valores que sean cancelados al contratista se consideren para establecer el real K de contratación, en cada oportunidad. El Gobierno Nacional reglamentará la materia.» (Cursiva fuera de texto)</w:t>
      </w:r>
    </w:p>
    <w:p w:rsidRPr="005379D0" w:rsidR="00897650" w:rsidP="00897650" w:rsidRDefault="00897650" w14:paraId="00D5CE36" w14:textId="77777777">
      <w:pPr>
        <w:pStyle w:val="Textoindependiente"/>
        <w:ind w:right="49"/>
        <w:jc w:val="both"/>
        <w:rPr>
          <w:sz w:val="22"/>
          <w:szCs w:val="22"/>
          <w:lang w:val="es-CO"/>
        </w:rPr>
      </w:pPr>
    </w:p>
    <w:p w:rsidRPr="005379D0" w:rsidR="00897650" w:rsidP="00897650" w:rsidRDefault="00897650" w14:paraId="2554957B" w14:textId="77777777">
      <w:pPr>
        <w:pStyle w:val="Textoindependiente"/>
        <w:spacing w:before="120" w:after="120" w:line="276" w:lineRule="auto"/>
        <w:ind w:right="51" w:firstLine="709"/>
        <w:jc w:val="both"/>
        <w:rPr>
          <w:sz w:val="22"/>
          <w:szCs w:val="22"/>
          <w:lang w:val="es-CO"/>
        </w:rPr>
      </w:pPr>
      <w:r w:rsidRPr="005379D0">
        <w:rPr>
          <w:sz w:val="22"/>
          <w:szCs w:val="22"/>
          <w:lang w:val="es-CO"/>
        </w:rPr>
        <w:t>Como se observa, la ley es clara en establecer que para determinar la capacidad residual se deben tener en cuenta todos (y solo) los contratos que el proponente u oferente tenga en estado de ejecución al momento de presentar la oferta.</w:t>
      </w:r>
    </w:p>
    <w:p w:rsidRPr="005379D0" w:rsidR="00897650" w:rsidP="00897650" w:rsidRDefault="00897650" w14:paraId="38F75B70" w14:textId="77777777">
      <w:pPr>
        <w:pStyle w:val="Textoindependiente"/>
        <w:spacing w:before="120" w:after="120" w:line="276" w:lineRule="auto"/>
        <w:ind w:right="51" w:firstLine="709"/>
        <w:jc w:val="both"/>
        <w:rPr>
          <w:sz w:val="22"/>
          <w:szCs w:val="22"/>
          <w:lang w:val="es-CO"/>
        </w:rPr>
      </w:pPr>
      <w:r w:rsidRPr="005379D0">
        <w:rPr>
          <w:sz w:val="22"/>
          <w:szCs w:val="22"/>
          <w:lang w:val="es-CO"/>
        </w:rPr>
        <w:t>En línea con lo anterior, 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rsidRPr="005379D0" w:rsidR="00897650" w:rsidP="00897650" w:rsidRDefault="00897650" w14:paraId="047BAF2C" w14:textId="086DA836">
      <w:pPr>
        <w:pStyle w:val="Textoindependiente"/>
        <w:spacing w:before="120" w:after="120" w:line="276" w:lineRule="auto"/>
        <w:ind w:right="51" w:firstLine="709"/>
        <w:jc w:val="both"/>
        <w:rPr>
          <w:sz w:val="22"/>
          <w:szCs w:val="22"/>
          <w:lang w:val="es-CO"/>
        </w:rPr>
      </w:pPr>
      <w:r w:rsidRPr="005379D0">
        <w:rPr>
          <w:sz w:val="22"/>
          <w:szCs w:val="22"/>
          <w:lang w:val="es-CO"/>
        </w:rPr>
        <w:t>Por su parte, el artículo 2.2.1.1.1.6.4 del Decreto 1082 de 2015 establece que las entidades estatales deben calcular la capacidad residual conforme a la metodología definida por Colombia Compre Eficiente y</w:t>
      </w:r>
      <w:r w:rsidR="00437DB9">
        <w:rPr>
          <w:sz w:val="22"/>
          <w:szCs w:val="22"/>
          <w:lang w:val="es-CO"/>
        </w:rPr>
        <w:t>, adicionalmente,</w:t>
      </w:r>
      <w:r w:rsidRPr="005379D0">
        <w:rPr>
          <w:sz w:val="22"/>
          <w:szCs w:val="22"/>
          <w:lang w:val="es-CO"/>
        </w:rPr>
        <w:t xml:space="preserve"> precisó que para tales fines </w:t>
      </w:r>
      <w:r w:rsidR="00437DB9">
        <w:rPr>
          <w:sz w:val="22"/>
          <w:szCs w:val="22"/>
          <w:lang w:val="es-CO"/>
        </w:rPr>
        <w:t>es</w:t>
      </w:r>
      <w:r w:rsidRPr="005379D0" w:rsidR="00437DB9">
        <w:rPr>
          <w:sz w:val="22"/>
          <w:szCs w:val="22"/>
          <w:lang w:val="es-CO"/>
        </w:rPr>
        <w:t xml:space="preserve"> </w:t>
      </w:r>
      <w:r w:rsidRPr="005379D0">
        <w:rPr>
          <w:sz w:val="22"/>
          <w:szCs w:val="22"/>
          <w:lang w:val="es-CO"/>
        </w:rPr>
        <w:t>necesario tener en cuenta los factores de: i) experiencia; ii) capacidad financiera; iii) capacidad técnica; iv) capacidad de organización; y v) los saldos de los contratos en ejecución, así:</w:t>
      </w:r>
    </w:p>
    <w:p w:rsidRPr="005379D0" w:rsidR="00897650" w:rsidP="00897650" w:rsidRDefault="00897650" w14:paraId="17FBCDC1" w14:textId="77777777">
      <w:pPr>
        <w:pStyle w:val="Textoindependiente"/>
        <w:spacing w:before="8"/>
        <w:ind w:right="49"/>
        <w:jc w:val="both"/>
        <w:rPr>
          <w:sz w:val="22"/>
          <w:szCs w:val="22"/>
          <w:lang w:val="es-CO"/>
        </w:rPr>
      </w:pPr>
    </w:p>
    <w:p w:rsidRPr="00B33BD8" w:rsidR="00897650" w:rsidP="00897650" w:rsidRDefault="00897650" w14:paraId="32112361" w14:textId="77777777">
      <w:pPr>
        <w:pStyle w:val="Textoindependiente"/>
        <w:ind w:left="709" w:right="760" w:firstLine="2"/>
        <w:jc w:val="both"/>
        <w:rPr>
          <w:sz w:val="21"/>
          <w:szCs w:val="21"/>
          <w:lang w:val="es-CO"/>
        </w:rPr>
      </w:pPr>
      <w:r w:rsidRPr="00B33BD8">
        <w:rPr>
          <w:sz w:val="21"/>
          <w:szCs w:val="21"/>
          <w:lang w:val="es-CO"/>
        </w:rPr>
        <w:t xml:space="preserve">«Artículo 2.2.1.1.1.6.4. Capacidad Residual. El interesado en celebrar contratos de obra pública con Entidades Estatales debe acreditar su Capacidad Residual o K de Contratación con los siguientes documentos: </w:t>
      </w:r>
    </w:p>
    <w:p w:rsidRPr="00B33BD8" w:rsidR="00897650" w:rsidP="00897650" w:rsidRDefault="00897650" w14:paraId="568717E7" w14:textId="77777777">
      <w:pPr>
        <w:pStyle w:val="Textoindependiente"/>
        <w:ind w:left="709" w:right="760" w:firstLine="2"/>
        <w:jc w:val="both"/>
        <w:rPr>
          <w:sz w:val="21"/>
          <w:szCs w:val="21"/>
          <w:lang w:val="es-CO"/>
        </w:rPr>
      </w:pPr>
    </w:p>
    <w:p w:rsidRPr="00B33BD8" w:rsidR="00897650" w:rsidP="00897650" w:rsidRDefault="0081232A" w14:paraId="17ACE6B1" w14:textId="2A8E9A8F">
      <w:pPr>
        <w:pStyle w:val="Textoindependiente"/>
        <w:ind w:left="709" w:right="760" w:firstLine="2"/>
        <w:jc w:val="both"/>
        <w:rPr>
          <w:sz w:val="21"/>
          <w:szCs w:val="21"/>
          <w:lang w:val="es-CO"/>
        </w:rPr>
      </w:pPr>
      <w:r>
        <w:rPr>
          <w:sz w:val="21"/>
          <w:szCs w:val="21"/>
          <w:lang w:val="es-CO"/>
        </w:rPr>
        <w:t>[</w:t>
      </w:r>
      <w:r w:rsidRPr="00B33BD8" w:rsidR="00897650">
        <w:rPr>
          <w:sz w:val="21"/>
          <w:szCs w:val="21"/>
          <w:lang w:val="es-CO"/>
        </w:rPr>
        <w:t>…</w:t>
      </w:r>
      <w:r>
        <w:rPr>
          <w:sz w:val="21"/>
          <w:szCs w:val="21"/>
          <w:lang w:val="es-CO"/>
        </w:rPr>
        <w:t>]</w:t>
      </w:r>
    </w:p>
    <w:p w:rsidRPr="00B33BD8" w:rsidR="00897650" w:rsidP="00897650" w:rsidRDefault="00897650" w14:paraId="5F1ACBBF" w14:textId="77777777">
      <w:pPr>
        <w:pStyle w:val="Textoindependiente"/>
        <w:ind w:left="709" w:right="760"/>
        <w:jc w:val="both"/>
        <w:rPr>
          <w:sz w:val="21"/>
          <w:szCs w:val="21"/>
          <w:lang w:val="es-CO"/>
        </w:rPr>
      </w:pPr>
    </w:p>
    <w:p w:rsidRPr="00B33BD8" w:rsidR="00897650" w:rsidP="00897650" w:rsidRDefault="00897650" w14:paraId="2207481D" w14:textId="77777777">
      <w:pPr>
        <w:pStyle w:val="Textoindependiente"/>
        <w:ind w:left="709" w:right="760" w:firstLine="2"/>
        <w:jc w:val="both"/>
        <w:rPr>
          <w:sz w:val="21"/>
          <w:szCs w:val="21"/>
          <w:lang w:val="es-CO"/>
        </w:rPr>
      </w:pPr>
      <w:r w:rsidRPr="00B33BD8">
        <w:rPr>
          <w:sz w:val="21"/>
          <w:szCs w:val="21"/>
          <w:lang w:val="es-CO"/>
        </w:rPr>
        <w:t xml:space="preserve">La Entidad Estatal debe calcular la Capacidad Residual del proponente de acuerdo con la metodología que defina Colombia Compra Eficiente, teniendo en </w:t>
      </w:r>
      <w:r w:rsidRPr="00B33BD8">
        <w:rPr>
          <w:sz w:val="21"/>
          <w:szCs w:val="21"/>
          <w:lang w:val="es-CO"/>
        </w:rPr>
        <w:lastRenderedPageBreak/>
        <w:t>cuenta los factores de: Experiencia (E), Capacidad Financiera (CF), Capacidad Técnica (CT), Capacidad de Organización (CO), y los saldos de los contratos en ejecución (SCE).»</w:t>
      </w:r>
    </w:p>
    <w:p w:rsidR="00F04350" w:rsidP="00F04350" w:rsidRDefault="00F04350" w14:paraId="2E46556A" w14:textId="77777777">
      <w:pPr>
        <w:pStyle w:val="Textoindependiente"/>
        <w:spacing w:line="276" w:lineRule="auto"/>
        <w:ind w:right="49"/>
        <w:jc w:val="both"/>
        <w:rPr>
          <w:sz w:val="22"/>
          <w:szCs w:val="22"/>
          <w:lang w:val="es-CO"/>
        </w:rPr>
      </w:pPr>
    </w:p>
    <w:p w:rsidRPr="005379D0" w:rsidR="00897650" w:rsidP="00080865" w:rsidRDefault="00897650" w14:paraId="4998353C" w14:textId="658EB1C2">
      <w:pPr>
        <w:pStyle w:val="Textoindependiente"/>
        <w:spacing w:line="276" w:lineRule="auto"/>
        <w:ind w:right="49"/>
        <w:jc w:val="both"/>
        <w:rPr>
          <w:sz w:val="22"/>
          <w:szCs w:val="22"/>
          <w:lang w:val="es-CO"/>
        </w:rPr>
      </w:pPr>
      <w:r w:rsidRPr="005379D0">
        <w:rPr>
          <w:sz w:val="22"/>
          <w:szCs w:val="22"/>
          <w:lang w:val="es-CO"/>
        </w:rPr>
        <w:t>De conformidad con lo anterior, esta Agencia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 claro está, teniendo en cuenta la siguiente información aportada por el proponente:</w:t>
      </w:r>
    </w:p>
    <w:p w:rsidRPr="005379D0" w:rsidR="00897650" w:rsidP="00897650" w:rsidRDefault="00897650" w14:paraId="6F3F0FB8" w14:textId="77777777">
      <w:pPr>
        <w:pStyle w:val="Textoindependiente"/>
        <w:ind w:left="709" w:right="760"/>
        <w:jc w:val="both"/>
        <w:rPr>
          <w:sz w:val="22"/>
          <w:szCs w:val="22"/>
          <w:lang w:val="es-CO"/>
        </w:rPr>
      </w:pPr>
    </w:p>
    <w:p w:rsidRPr="005379D0" w:rsidR="00897650" w:rsidP="00897650" w:rsidRDefault="00897650" w14:paraId="614AE646" w14:textId="77777777">
      <w:pPr>
        <w:pStyle w:val="Textoindependiente"/>
        <w:numPr>
          <w:ilvl w:val="0"/>
          <w:numId w:val="1"/>
        </w:numPr>
        <w:tabs>
          <w:tab w:val="left" w:pos="993"/>
        </w:tabs>
        <w:ind w:left="709" w:right="760" w:firstLine="0"/>
        <w:jc w:val="both"/>
        <w:rPr>
          <w:sz w:val="22"/>
          <w:szCs w:val="22"/>
          <w:lang w:val="es-CO"/>
        </w:rPr>
      </w:pPr>
      <w:r w:rsidRPr="005379D0">
        <w:rPr>
          <w:sz w:val="22"/>
          <w:szCs w:val="22"/>
          <w:lang w:val="es-CO"/>
        </w:rPr>
        <w:t>La lista de los Contratos en Ejecución, así como el valor y plazo de tales contratos.</w:t>
      </w:r>
    </w:p>
    <w:p w:rsidRPr="005379D0" w:rsidR="00897650" w:rsidP="00897650" w:rsidRDefault="00897650" w14:paraId="117102F2" w14:textId="77777777">
      <w:pPr>
        <w:pStyle w:val="Textoindependiente"/>
        <w:tabs>
          <w:tab w:val="left" w:pos="993"/>
        </w:tabs>
        <w:ind w:left="709" w:right="760"/>
        <w:jc w:val="both"/>
        <w:rPr>
          <w:sz w:val="22"/>
          <w:szCs w:val="22"/>
          <w:lang w:val="es-CO"/>
        </w:rPr>
      </w:pPr>
    </w:p>
    <w:p w:rsidRPr="005379D0" w:rsidR="00897650" w:rsidP="00897650" w:rsidRDefault="00897650" w14:paraId="378AA687" w14:textId="77777777">
      <w:pPr>
        <w:pStyle w:val="Textoindependiente"/>
        <w:numPr>
          <w:ilvl w:val="0"/>
          <w:numId w:val="1"/>
        </w:numPr>
        <w:tabs>
          <w:tab w:val="left" w:pos="993"/>
        </w:tabs>
        <w:ind w:left="709" w:right="760" w:firstLine="0"/>
        <w:jc w:val="both"/>
        <w:rPr>
          <w:sz w:val="22"/>
          <w:szCs w:val="22"/>
          <w:lang w:val="es-CO"/>
        </w:rPr>
      </w:pPr>
      <w:r w:rsidRPr="005379D0">
        <w:rPr>
          <w:sz w:val="22"/>
          <w:szCs w:val="22"/>
          <w:lang w:val="es-CO"/>
        </w:rPr>
        <w:t>La lista de los Contratos en Ejecución, suscritos por sociedades, consorcios o uniones temporales, en los cuales el proponente tenga participación, así como el valor y plazo de tales contratos.</w:t>
      </w:r>
    </w:p>
    <w:p w:rsidRPr="005379D0" w:rsidR="00897650" w:rsidP="00897650" w:rsidRDefault="00897650" w14:paraId="5D234DC0" w14:textId="77777777">
      <w:pPr>
        <w:pStyle w:val="Textoindependiente"/>
        <w:tabs>
          <w:tab w:val="left" w:pos="993"/>
        </w:tabs>
        <w:ind w:right="760"/>
        <w:jc w:val="both"/>
        <w:rPr>
          <w:sz w:val="22"/>
          <w:szCs w:val="22"/>
          <w:lang w:val="es-CO"/>
        </w:rPr>
      </w:pPr>
    </w:p>
    <w:p w:rsidRPr="005379D0" w:rsidR="00897650" w:rsidP="00897650" w:rsidRDefault="00897650" w14:paraId="2E6AAE3F" w14:textId="77777777">
      <w:pPr>
        <w:spacing w:after="120" w:line="276" w:lineRule="auto"/>
        <w:ind w:firstLine="709"/>
        <w:jc w:val="both"/>
        <w:rPr>
          <w:rFonts w:ascii="Arial" w:hAnsi="Arial" w:cs="Arial"/>
          <w:sz w:val="22"/>
          <w:szCs w:val="22"/>
        </w:rPr>
      </w:pPr>
      <w:r w:rsidRPr="005379D0">
        <w:rPr>
          <w:rFonts w:ascii="Arial" w:hAnsi="Arial" w:cs="Arial"/>
          <w:sz w:val="22"/>
          <w:szCs w:val="22"/>
        </w:rPr>
        <w:t>Para acreditar el factor (SCE) «Saldos contratos en ejecución», como lo establece la citada Guía, el proponente debe presentar la lista de Contratos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rsidRPr="005379D0" w:rsidR="00897650" w:rsidP="00897650" w:rsidRDefault="00897650" w14:paraId="4DAB6527" w14:textId="77777777">
      <w:pPr>
        <w:spacing w:line="276" w:lineRule="auto"/>
        <w:ind w:firstLine="709"/>
        <w:jc w:val="both"/>
        <w:rPr>
          <w:rFonts w:ascii="Arial" w:hAnsi="Arial" w:cs="Arial"/>
          <w:i/>
          <w:iCs/>
          <w:sz w:val="22"/>
          <w:szCs w:val="22"/>
        </w:rPr>
      </w:pPr>
      <w:r w:rsidRPr="005379D0">
        <w:rPr>
          <w:rFonts w:ascii="Arial" w:hAnsi="Arial" w:cs="Arial"/>
          <w:sz w:val="22"/>
          <w:szCs w:val="22"/>
        </w:rPr>
        <w:t xml:space="preserve">En este orden de ideas, la referida Guía define los </w:t>
      </w:r>
      <w:r w:rsidRPr="005379D0">
        <w:rPr>
          <w:rFonts w:ascii="Arial" w:hAnsi="Arial" w:cs="Arial"/>
          <w:i/>
          <w:iCs/>
          <w:sz w:val="22"/>
          <w:szCs w:val="22"/>
        </w:rPr>
        <w:t>Contratos en ejecución</w:t>
      </w:r>
      <w:r w:rsidRPr="005379D0">
        <w:rPr>
          <w:rFonts w:ascii="Arial" w:hAnsi="Arial" w:cs="Arial"/>
          <w:sz w:val="22"/>
          <w:szCs w:val="22"/>
        </w:rPr>
        <w:t xml:space="preserve"> de la siguiente manera:</w:t>
      </w:r>
      <w:r w:rsidRPr="005379D0">
        <w:rPr>
          <w:rFonts w:ascii="Arial" w:hAnsi="Arial" w:cs="Arial"/>
          <w:i/>
          <w:iCs/>
          <w:sz w:val="22"/>
          <w:szCs w:val="22"/>
        </w:rPr>
        <w:t xml:space="preserve"> </w:t>
      </w:r>
    </w:p>
    <w:p w:rsidRPr="005379D0" w:rsidR="00897650" w:rsidP="00897650" w:rsidRDefault="00897650" w14:paraId="435460D6" w14:textId="77777777">
      <w:pPr>
        <w:ind w:left="709" w:right="709"/>
        <w:jc w:val="both"/>
        <w:rPr>
          <w:rFonts w:ascii="Arial" w:hAnsi="Arial" w:cs="Arial"/>
          <w:sz w:val="22"/>
          <w:szCs w:val="22"/>
        </w:rPr>
      </w:pPr>
    </w:p>
    <w:p w:rsidRPr="00B33BD8" w:rsidR="00733877" w:rsidP="00733877" w:rsidRDefault="00897650" w14:paraId="5DB848C9" w14:textId="38CDE2ED">
      <w:pPr>
        <w:ind w:left="709" w:right="709"/>
        <w:jc w:val="both"/>
        <w:rPr>
          <w:rFonts w:ascii="Arial" w:hAnsi="Arial" w:cs="Arial"/>
          <w:sz w:val="21"/>
          <w:szCs w:val="21"/>
        </w:rPr>
      </w:pPr>
      <w:r w:rsidRPr="00B33BD8">
        <w:rPr>
          <w:rFonts w:ascii="Arial" w:hAnsi="Arial" w:cs="Arial"/>
          <w:sz w:val="21"/>
          <w:szCs w:val="21"/>
        </w:rPr>
        <w:t>«</w:t>
      </w:r>
      <w:r w:rsidRPr="00B33BD8">
        <w:rPr>
          <w:rFonts w:ascii="Arial" w:hAnsi="Arial" w:cs="Arial"/>
          <w:i/>
          <w:iCs/>
          <w:sz w:val="21"/>
          <w:szCs w:val="21"/>
          <w:u w:val="single"/>
        </w:rPr>
        <w:t>Son los contratos que a la fecha de presentación de la oferta obligan al proponente con Entidades Estatales y con entidades privadas para ejecutar obras civiles</w:t>
      </w:r>
      <w:r w:rsidRPr="00B33BD8">
        <w:rPr>
          <w:rFonts w:ascii="Arial" w:hAnsi="Arial" w:cs="Arial"/>
          <w:sz w:val="21"/>
          <w:szCs w:val="21"/>
        </w:rPr>
        <w:t xml:space="preserve">, incluyendo la ejecución de obras civiles en los contratos de concesión y los contratos de obra suscritos con concesionarios, </w:t>
      </w:r>
      <w:r w:rsidRPr="00B33BD8">
        <w:rPr>
          <w:rFonts w:ascii="Arial" w:hAnsi="Arial" w:cs="Arial"/>
          <w:sz w:val="21"/>
          <w:szCs w:val="21"/>
          <w:u w:val="single"/>
        </w:rPr>
        <w:t>incluyendo los contratos suspendidos y aquellos que no tengan acta de inicio.</w:t>
      </w:r>
      <w:r w:rsidRPr="00B33BD8">
        <w:rPr>
          <w:rFonts w:ascii="Arial" w:hAnsi="Arial" w:cs="Arial"/>
          <w:sz w:val="21"/>
          <w:szCs w:val="21"/>
        </w:rPr>
        <w:t xml:space="preserve"> No se entenderán como contratos en ejecución los que se encuentren en liquidación.» (Subrayas fuera del texto)</w:t>
      </w:r>
      <w:r w:rsidRPr="00B33BD8">
        <w:rPr>
          <w:rStyle w:val="Refdenotaalpie"/>
          <w:rFonts w:ascii="Arial" w:hAnsi="Arial" w:cs="Arial"/>
          <w:sz w:val="21"/>
          <w:szCs w:val="21"/>
        </w:rPr>
        <w:footnoteReference w:id="3"/>
      </w:r>
      <w:r w:rsidRPr="00B33BD8">
        <w:rPr>
          <w:rFonts w:ascii="Arial" w:hAnsi="Arial" w:cs="Arial"/>
          <w:sz w:val="21"/>
          <w:szCs w:val="21"/>
        </w:rPr>
        <w:t>.</w:t>
      </w:r>
    </w:p>
    <w:p w:rsidR="00733877" w:rsidP="00733877" w:rsidRDefault="00733877" w14:paraId="4D8772EB" w14:textId="60508387">
      <w:pPr>
        <w:ind w:left="709" w:right="709"/>
        <w:jc w:val="both"/>
        <w:rPr>
          <w:rFonts w:ascii="Arial" w:hAnsi="Arial" w:cs="Arial"/>
          <w:sz w:val="22"/>
          <w:szCs w:val="22"/>
        </w:rPr>
      </w:pPr>
    </w:p>
    <w:p w:rsidRPr="005379D0" w:rsidR="00897650" w:rsidP="00897650" w:rsidRDefault="001A68B2" w14:paraId="672DA4C2" w14:textId="6B68C635">
      <w:pPr>
        <w:spacing w:after="120" w:line="276" w:lineRule="auto"/>
        <w:ind w:firstLine="709"/>
        <w:jc w:val="both"/>
        <w:rPr>
          <w:rFonts w:ascii="Arial" w:hAnsi="Arial" w:cs="Arial"/>
          <w:sz w:val="22"/>
          <w:szCs w:val="22"/>
        </w:rPr>
      </w:pPr>
      <w:r>
        <w:rPr>
          <w:rFonts w:ascii="Arial" w:hAnsi="Arial" w:cs="Arial"/>
          <w:color w:val="000000"/>
          <w:sz w:val="22"/>
          <w:szCs w:val="22"/>
          <w:shd w:val="clear" w:color="auto" w:fill="FFFFFF"/>
        </w:rPr>
        <w:lastRenderedPageBreak/>
        <w:t xml:space="preserve">Como se aprecia, </w:t>
      </w:r>
      <w:r w:rsidRPr="005379D0" w:rsidR="00897650">
        <w:rPr>
          <w:rFonts w:ascii="Arial" w:hAnsi="Arial" w:cs="Arial"/>
          <w:sz w:val="22"/>
          <w:szCs w:val="22"/>
        </w:rPr>
        <w:t xml:space="preserve">los saldos pendientes por ejecutar de los contratos suspendidos es una información que interesa para el cálculo del factor (SCE) «Saldos contratos en ejecución». Al respecto debe mencionarse que, si bien la suspensión de los contratos estatales no es una institución regulada explícitamente en el Estatuto General de Contratación de la Administración Pública, </w:t>
      </w:r>
      <w:r w:rsidR="00071967">
        <w:rPr>
          <w:rFonts w:ascii="Arial" w:hAnsi="Arial" w:cs="Arial"/>
          <w:sz w:val="22"/>
          <w:szCs w:val="22"/>
        </w:rPr>
        <w:t xml:space="preserve">si es una categoría relevante para el </w:t>
      </w:r>
      <w:r w:rsidR="005400D4">
        <w:rPr>
          <w:rFonts w:ascii="Arial" w:hAnsi="Arial" w:cs="Arial"/>
          <w:sz w:val="22"/>
          <w:szCs w:val="22"/>
        </w:rPr>
        <w:t>cálculo</w:t>
      </w:r>
      <w:r w:rsidR="00071967">
        <w:rPr>
          <w:rFonts w:ascii="Arial" w:hAnsi="Arial" w:cs="Arial"/>
          <w:sz w:val="22"/>
          <w:szCs w:val="22"/>
        </w:rPr>
        <w:t xml:space="preserve"> de la capacidad residual, </w:t>
      </w:r>
      <w:r w:rsidRPr="005379D0" w:rsidR="00897650">
        <w:rPr>
          <w:rFonts w:ascii="Arial" w:hAnsi="Arial" w:cs="Arial"/>
          <w:sz w:val="22"/>
          <w:szCs w:val="22"/>
        </w:rPr>
        <w:t xml:space="preserve"> </w:t>
      </w:r>
      <w:r w:rsidR="00071967">
        <w:rPr>
          <w:rFonts w:ascii="Arial" w:hAnsi="Arial" w:cs="Arial"/>
          <w:sz w:val="22"/>
          <w:szCs w:val="22"/>
        </w:rPr>
        <w:t xml:space="preserve">en la medida en que  de </w:t>
      </w:r>
      <w:r w:rsidRPr="005379D0" w:rsidR="00897650">
        <w:rPr>
          <w:rFonts w:ascii="Arial" w:hAnsi="Arial" w:cs="Arial"/>
          <w:sz w:val="22"/>
          <w:szCs w:val="22"/>
        </w:rPr>
        <w:t>los contratos afectados por una suspensión</w:t>
      </w:r>
      <w:r w:rsidR="005400D4">
        <w:rPr>
          <w:rFonts w:ascii="Arial" w:hAnsi="Arial" w:cs="Arial"/>
          <w:sz w:val="22"/>
          <w:szCs w:val="22"/>
        </w:rPr>
        <w:t xml:space="preserve"> devienen obligaciones para el proponente que podrían condicionar su capacidad para ejecutar otros compromisos. </w:t>
      </w:r>
    </w:p>
    <w:p w:rsidR="00897650" w:rsidP="00897650" w:rsidRDefault="00897650" w14:paraId="5D168BA1" w14:textId="25C63E60">
      <w:pPr>
        <w:spacing w:after="120" w:line="276" w:lineRule="auto"/>
        <w:ind w:firstLine="709"/>
        <w:jc w:val="both"/>
        <w:rPr>
          <w:rFonts w:ascii="Arial" w:hAnsi="Arial" w:cs="Arial"/>
          <w:sz w:val="22"/>
          <w:szCs w:val="22"/>
        </w:rPr>
      </w:pPr>
      <w:r w:rsidRPr="005379D0">
        <w:rPr>
          <w:rFonts w:ascii="Arial" w:hAnsi="Arial" w:cs="Arial"/>
          <w:sz w:val="22"/>
          <w:szCs w:val="22"/>
        </w:rPr>
        <w:t xml:space="preserve"> En efecto, su relevancia surge en la medida en que la </w:t>
      </w:r>
      <w:r w:rsidR="00E47EE6">
        <w:rPr>
          <w:rFonts w:ascii="Arial" w:hAnsi="Arial" w:cs="Arial"/>
          <w:sz w:val="22"/>
          <w:szCs w:val="22"/>
        </w:rPr>
        <w:t xml:space="preserve">eventual </w:t>
      </w:r>
      <w:r w:rsidR="005400D4">
        <w:rPr>
          <w:rFonts w:ascii="Arial" w:hAnsi="Arial" w:cs="Arial"/>
          <w:sz w:val="22"/>
          <w:szCs w:val="22"/>
        </w:rPr>
        <w:t xml:space="preserve">reanudación de la </w:t>
      </w:r>
      <w:r w:rsidRPr="005379D0">
        <w:rPr>
          <w:rFonts w:ascii="Arial" w:hAnsi="Arial" w:cs="Arial"/>
          <w:sz w:val="22"/>
          <w:szCs w:val="22"/>
        </w:rPr>
        <w:t xml:space="preserve">ejecución de los contratos en principio suspendidos </w:t>
      </w:r>
      <w:r w:rsidR="005400D4">
        <w:rPr>
          <w:rFonts w:ascii="Arial" w:hAnsi="Arial" w:cs="Arial"/>
          <w:sz w:val="22"/>
          <w:szCs w:val="22"/>
        </w:rPr>
        <w:t>podría</w:t>
      </w:r>
      <w:r w:rsidRPr="005379D0">
        <w:rPr>
          <w:rFonts w:ascii="Arial" w:hAnsi="Arial" w:cs="Arial"/>
          <w:sz w:val="22"/>
          <w:szCs w:val="22"/>
        </w:rPr>
        <w:t xml:space="preserve"> afectar la aptitud del oferente para cumplir con el contrato ofertado</w:t>
      </w:r>
      <w:r w:rsidR="007E6191">
        <w:rPr>
          <w:rFonts w:ascii="Arial" w:hAnsi="Arial" w:cs="Arial"/>
          <w:sz w:val="22"/>
          <w:szCs w:val="22"/>
        </w:rPr>
        <w:t>.</w:t>
      </w:r>
      <w:r w:rsidRPr="005379D0">
        <w:rPr>
          <w:rFonts w:ascii="Arial" w:hAnsi="Arial" w:cs="Arial"/>
          <w:sz w:val="22"/>
          <w:szCs w:val="22"/>
        </w:rPr>
        <w:t xml:space="preserve"> </w:t>
      </w:r>
      <w:r w:rsidR="007E6191">
        <w:rPr>
          <w:rFonts w:ascii="Arial" w:hAnsi="Arial" w:cs="Arial"/>
          <w:sz w:val="22"/>
          <w:szCs w:val="22"/>
        </w:rPr>
        <w:t>A</w:t>
      </w:r>
      <w:r w:rsidRPr="005379D0">
        <w:rPr>
          <w:rFonts w:ascii="Arial" w:hAnsi="Arial" w:cs="Arial"/>
          <w:sz w:val="22"/>
          <w:szCs w:val="22"/>
        </w:rPr>
        <w:t xml:space="preserve">nte </w:t>
      </w:r>
      <w:r w:rsidR="005400D4">
        <w:rPr>
          <w:rFonts w:ascii="Arial" w:hAnsi="Arial" w:cs="Arial"/>
          <w:sz w:val="22"/>
          <w:szCs w:val="22"/>
        </w:rPr>
        <w:t>t</w:t>
      </w:r>
      <w:r w:rsidRPr="005379D0">
        <w:rPr>
          <w:rFonts w:ascii="Arial" w:hAnsi="Arial" w:cs="Arial"/>
          <w:sz w:val="22"/>
          <w:szCs w:val="22"/>
        </w:rPr>
        <w:t>a</w:t>
      </w:r>
      <w:r w:rsidR="005400D4">
        <w:rPr>
          <w:rFonts w:ascii="Arial" w:hAnsi="Arial" w:cs="Arial"/>
          <w:sz w:val="22"/>
          <w:szCs w:val="22"/>
        </w:rPr>
        <w:t>l</w:t>
      </w:r>
      <w:r w:rsidRPr="005379D0">
        <w:rPr>
          <w:rFonts w:ascii="Arial" w:hAnsi="Arial" w:cs="Arial"/>
          <w:sz w:val="22"/>
          <w:szCs w:val="22"/>
        </w:rPr>
        <w:t xml:space="preserve"> posibilida</w:t>
      </w:r>
      <w:r w:rsidR="00E47EE6">
        <w:rPr>
          <w:rFonts w:ascii="Arial" w:hAnsi="Arial" w:cs="Arial"/>
          <w:sz w:val="22"/>
          <w:szCs w:val="22"/>
        </w:rPr>
        <w:t xml:space="preserve">d, </w:t>
      </w:r>
      <w:r w:rsidR="00AE25DC">
        <w:rPr>
          <w:rFonts w:ascii="Arial" w:hAnsi="Arial" w:cs="Arial"/>
          <w:sz w:val="22"/>
          <w:szCs w:val="22"/>
        </w:rPr>
        <w:t>es</w:t>
      </w:r>
      <w:r w:rsidRPr="005379D0">
        <w:rPr>
          <w:rFonts w:ascii="Arial" w:hAnsi="Arial" w:cs="Arial"/>
          <w:sz w:val="22"/>
          <w:szCs w:val="22"/>
        </w:rPr>
        <w:t xml:space="preserve"> </w:t>
      </w:r>
      <w:r w:rsidR="00AE25DC">
        <w:rPr>
          <w:rFonts w:ascii="Arial" w:hAnsi="Arial" w:cs="Arial"/>
          <w:sz w:val="22"/>
          <w:szCs w:val="22"/>
        </w:rPr>
        <w:t>importante que</w:t>
      </w:r>
      <w:r w:rsidR="007E6191">
        <w:rPr>
          <w:rFonts w:ascii="Arial" w:hAnsi="Arial" w:cs="Arial"/>
          <w:sz w:val="22"/>
          <w:szCs w:val="22"/>
        </w:rPr>
        <w:t>,</w:t>
      </w:r>
      <w:r w:rsidR="00AE25DC">
        <w:rPr>
          <w:rFonts w:ascii="Arial" w:hAnsi="Arial" w:cs="Arial"/>
          <w:sz w:val="22"/>
          <w:szCs w:val="22"/>
        </w:rPr>
        <w:t xml:space="preserve"> al</w:t>
      </w:r>
      <w:r w:rsidRPr="005379D0" w:rsidR="00AE25DC">
        <w:rPr>
          <w:rFonts w:ascii="Arial" w:hAnsi="Arial" w:cs="Arial"/>
          <w:sz w:val="22"/>
          <w:szCs w:val="22"/>
        </w:rPr>
        <w:t xml:space="preserve"> </w:t>
      </w:r>
      <w:r w:rsidRPr="005379D0">
        <w:rPr>
          <w:rFonts w:ascii="Arial" w:hAnsi="Arial" w:cs="Arial"/>
          <w:sz w:val="22"/>
          <w:szCs w:val="22"/>
        </w:rPr>
        <w:t>evaluar</w:t>
      </w:r>
      <w:r w:rsidR="007E6191">
        <w:rPr>
          <w:rFonts w:ascii="Arial" w:hAnsi="Arial" w:cs="Arial"/>
          <w:sz w:val="22"/>
          <w:szCs w:val="22"/>
        </w:rPr>
        <w:t>se</w:t>
      </w:r>
      <w:r w:rsidRPr="005379D0">
        <w:rPr>
          <w:rFonts w:ascii="Arial" w:hAnsi="Arial" w:cs="Arial"/>
          <w:sz w:val="22"/>
          <w:szCs w:val="22"/>
        </w:rPr>
        <w:t xml:space="preserve"> </w:t>
      </w:r>
      <w:r w:rsidR="00AE25DC">
        <w:rPr>
          <w:rFonts w:ascii="Arial" w:hAnsi="Arial" w:cs="Arial"/>
          <w:sz w:val="22"/>
          <w:szCs w:val="22"/>
        </w:rPr>
        <w:t>la capacidad residual</w:t>
      </w:r>
      <w:r w:rsidR="007E6191">
        <w:rPr>
          <w:rFonts w:ascii="Arial" w:hAnsi="Arial" w:cs="Arial"/>
          <w:sz w:val="22"/>
          <w:szCs w:val="22"/>
        </w:rPr>
        <w:t>,</w:t>
      </w:r>
      <w:r w:rsidR="00AE25DC">
        <w:rPr>
          <w:rFonts w:ascii="Arial" w:hAnsi="Arial" w:cs="Arial"/>
          <w:sz w:val="22"/>
          <w:szCs w:val="22"/>
        </w:rPr>
        <w:t xml:space="preserve"> se tenga</w:t>
      </w:r>
      <w:r w:rsidR="002D2815">
        <w:rPr>
          <w:rFonts w:ascii="Arial" w:hAnsi="Arial" w:cs="Arial"/>
          <w:sz w:val="22"/>
          <w:szCs w:val="22"/>
        </w:rPr>
        <w:t>n</w:t>
      </w:r>
      <w:r w:rsidR="00AE25DC">
        <w:rPr>
          <w:rFonts w:ascii="Arial" w:hAnsi="Arial" w:cs="Arial"/>
          <w:sz w:val="22"/>
          <w:szCs w:val="22"/>
        </w:rPr>
        <w:t xml:space="preserve"> en cuenta </w:t>
      </w:r>
      <w:r w:rsidRPr="005379D0">
        <w:rPr>
          <w:rFonts w:ascii="Arial" w:hAnsi="Arial" w:cs="Arial"/>
          <w:sz w:val="22"/>
          <w:szCs w:val="22"/>
        </w:rPr>
        <w:t>los saldos pendientes por ejecutar de tales contratos</w:t>
      </w:r>
      <w:r w:rsidR="00E47EE6">
        <w:rPr>
          <w:rFonts w:ascii="Arial" w:hAnsi="Arial" w:cs="Arial"/>
          <w:sz w:val="22"/>
          <w:szCs w:val="22"/>
        </w:rPr>
        <w:t>,</w:t>
      </w:r>
      <w:r w:rsidRPr="005379D0">
        <w:rPr>
          <w:rFonts w:ascii="Arial" w:hAnsi="Arial" w:cs="Arial"/>
          <w:sz w:val="22"/>
          <w:szCs w:val="22"/>
        </w:rPr>
        <w:t xml:space="preserve"> </w:t>
      </w:r>
      <w:r w:rsidR="002D2815">
        <w:rPr>
          <w:rFonts w:ascii="Arial" w:hAnsi="Arial" w:cs="Arial"/>
          <w:sz w:val="22"/>
          <w:szCs w:val="22"/>
        </w:rPr>
        <w:t xml:space="preserve">ya que son relevantes para poder determinar </w:t>
      </w:r>
      <w:r w:rsidR="00E47EE6">
        <w:rPr>
          <w:rFonts w:ascii="Arial" w:hAnsi="Arial" w:cs="Arial"/>
          <w:sz w:val="22"/>
          <w:szCs w:val="22"/>
        </w:rPr>
        <w:t>de manera objetiva</w:t>
      </w:r>
      <w:r w:rsidRPr="005379D0">
        <w:rPr>
          <w:rFonts w:ascii="Arial" w:hAnsi="Arial" w:cs="Arial"/>
          <w:sz w:val="22"/>
          <w:szCs w:val="22"/>
        </w:rPr>
        <w:t xml:space="preserve"> si el proponente cumple </w:t>
      </w:r>
      <w:r w:rsidR="00E47EE6">
        <w:rPr>
          <w:rFonts w:ascii="Arial" w:hAnsi="Arial" w:cs="Arial"/>
          <w:sz w:val="22"/>
          <w:szCs w:val="22"/>
        </w:rPr>
        <w:t xml:space="preserve">o no </w:t>
      </w:r>
      <w:r w:rsidRPr="005379D0">
        <w:rPr>
          <w:rFonts w:ascii="Arial" w:hAnsi="Arial" w:cs="Arial"/>
          <w:sz w:val="22"/>
          <w:szCs w:val="22"/>
        </w:rPr>
        <w:t xml:space="preserve">con la capacidad residual requerida. Conforme a esto, en virtud de la competencia otorgada por el artículo 2.2.1.1.1.6.4 del Decreto 1082 de 2015 a esta Agencia para determinar la metodología para el cálculo de la capacidad residual, en el marco de la expedición de la guía mencionada, incluyó el saldo pendiente por ejecutar de los contratos suspendidos dentro del factor (SCE) «Saldos contratos en ejecución» en los términos antes precisados. </w:t>
      </w:r>
    </w:p>
    <w:p w:rsidRPr="005379D0" w:rsidR="00897650" w:rsidP="00733877" w:rsidRDefault="00897650" w14:paraId="44F78192" w14:textId="77777777">
      <w:pPr>
        <w:spacing w:before="120" w:line="276" w:lineRule="auto"/>
        <w:ind w:firstLine="709"/>
        <w:jc w:val="both"/>
        <w:rPr>
          <w:rFonts w:ascii="Arial" w:hAnsi="Arial" w:cs="Arial"/>
          <w:sz w:val="22"/>
          <w:szCs w:val="22"/>
        </w:rPr>
      </w:pPr>
      <w:r w:rsidRPr="005379D0">
        <w:rPr>
          <w:rFonts w:ascii="Arial" w:hAnsi="Arial" w:cs="Arial"/>
          <w:sz w:val="22"/>
          <w:szCs w:val="22"/>
        </w:rPr>
        <w:t>Sobre la acreditación del factor (SCE) «Saldos contratos en ejecución», el literal E del numeral 3.10.2 del Documento Base de los documentos tipo de licitación de obra pública de infraestructura de transporte – versión 3, señala lo siguiente:</w:t>
      </w:r>
    </w:p>
    <w:p w:rsidRPr="005379D0" w:rsidR="00897650" w:rsidP="00897650" w:rsidRDefault="00897650" w14:paraId="66328EF6" w14:textId="77777777">
      <w:pPr>
        <w:ind w:firstLine="709"/>
        <w:jc w:val="both"/>
        <w:rPr>
          <w:rFonts w:ascii="Arial" w:hAnsi="Arial" w:cs="Arial"/>
          <w:sz w:val="22"/>
          <w:szCs w:val="22"/>
        </w:rPr>
      </w:pPr>
    </w:p>
    <w:p w:rsidRPr="001A68B2" w:rsidR="00897650" w:rsidP="00897650" w:rsidRDefault="00897650" w14:paraId="3CA353CD" w14:textId="77777777">
      <w:pPr>
        <w:ind w:left="709" w:right="709"/>
        <w:jc w:val="both"/>
        <w:rPr>
          <w:rFonts w:ascii="Arial" w:hAnsi="Arial" w:eastAsia="Arial," w:cs="Arial"/>
          <w:sz w:val="21"/>
          <w:szCs w:val="21"/>
        </w:rPr>
      </w:pPr>
      <w:r w:rsidRPr="001A68B2">
        <w:rPr>
          <w:rFonts w:ascii="Arial" w:hAnsi="Arial" w:cs="Arial"/>
          <w:sz w:val="21"/>
          <w:szCs w:val="21"/>
        </w:rPr>
        <w:t>«Para</w:t>
      </w:r>
      <w:r w:rsidRPr="001A68B2">
        <w:rPr>
          <w:rFonts w:ascii="Arial" w:hAnsi="Arial" w:eastAsia="Arial," w:cs="Arial"/>
          <w:sz w:val="21"/>
          <w:szCs w:val="21"/>
        </w:rPr>
        <w:t xml:space="preserve"> </w:t>
      </w:r>
      <w:r w:rsidRPr="001A68B2">
        <w:rPr>
          <w:rFonts w:ascii="Arial" w:hAnsi="Arial" w:cs="Arial"/>
          <w:sz w:val="21"/>
          <w:szCs w:val="21"/>
        </w:rPr>
        <w:t>acreditar</w:t>
      </w:r>
      <w:r w:rsidRPr="001A68B2">
        <w:rPr>
          <w:rFonts w:ascii="Arial" w:hAnsi="Arial" w:eastAsia="Arial," w:cs="Arial"/>
          <w:sz w:val="21"/>
          <w:szCs w:val="21"/>
        </w:rPr>
        <w:t xml:space="preserve"> </w:t>
      </w:r>
      <w:r w:rsidRPr="001A68B2">
        <w:rPr>
          <w:rFonts w:ascii="Arial" w:hAnsi="Arial" w:cs="Arial"/>
          <w:sz w:val="21"/>
          <w:szCs w:val="21"/>
        </w:rPr>
        <w:t>el</w:t>
      </w:r>
      <w:r w:rsidRPr="001A68B2">
        <w:rPr>
          <w:rFonts w:ascii="Arial" w:hAnsi="Arial" w:eastAsia="Arial," w:cs="Arial"/>
          <w:sz w:val="21"/>
          <w:szCs w:val="21"/>
        </w:rPr>
        <w:t xml:space="preserve"> </w:t>
      </w:r>
      <w:r w:rsidRPr="001A68B2">
        <w:rPr>
          <w:rFonts w:ascii="Arial" w:hAnsi="Arial" w:cs="Arial"/>
          <w:sz w:val="21"/>
          <w:szCs w:val="21"/>
        </w:rPr>
        <w:t>factor</w:t>
      </w:r>
      <w:r w:rsidRPr="001A68B2">
        <w:rPr>
          <w:rFonts w:ascii="Arial" w:hAnsi="Arial" w:eastAsia="Arial," w:cs="Arial"/>
          <w:sz w:val="21"/>
          <w:szCs w:val="21"/>
        </w:rPr>
        <w:t xml:space="preserve"> </w:t>
      </w:r>
      <w:r w:rsidRPr="001A68B2">
        <w:rPr>
          <w:rFonts w:ascii="Arial" w:hAnsi="Arial" w:cs="Arial"/>
          <w:sz w:val="21"/>
          <w:szCs w:val="21"/>
        </w:rPr>
        <w:t>(SCE)</w:t>
      </w:r>
      <w:r w:rsidRPr="001A68B2">
        <w:rPr>
          <w:rFonts w:ascii="Arial" w:hAnsi="Arial" w:eastAsia="Arial," w:cs="Arial"/>
          <w:sz w:val="21"/>
          <w:szCs w:val="21"/>
        </w:rPr>
        <w:t xml:space="preserve"> </w:t>
      </w:r>
      <w:r w:rsidRPr="001A68B2">
        <w:rPr>
          <w:rFonts w:ascii="Arial" w:hAnsi="Arial" w:cs="Arial"/>
          <w:sz w:val="21"/>
          <w:szCs w:val="21"/>
        </w:rPr>
        <w:t>el</w:t>
      </w:r>
      <w:r w:rsidRPr="001A68B2">
        <w:rPr>
          <w:rFonts w:ascii="Arial" w:hAnsi="Arial" w:eastAsia="Arial," w:cs="Arial"/>
          <w:sz w:val="21"/>
          <w:szCs w:val="21"/>
        </w:rPr>
        <w:t xml:space="preserve"> </w:t>
      </w:r>
      <w:r w:rsidRPr="001A68B2">
        <w:rPr>
          <w:rFonts w:ascii="Arial" w:hAnsi="Arial" w:cs="Arial"/>
          <w:sz w:val="21"/>
          <w:szCs w:val="21"/>
        </w:rPr>
        <w:t>Proponente</w:t>
      </w:r>
      <w:r w:rsidRPr="001A68B2">
        <w:rPr>
          <w:rFonts w:ascii="Arial" w:hAnsi="Arial" w:eastAsia="Arial," w:cs="Arial"/>
          <w:sz w:val="21"/>
          <w:szCs w:val="21"/>
        </w:rPr>
        <w:t xml:space="preserve"> </w:t>
      </w:r>
      <w:r w:rsidRPr="001A68B2">
        <w:rPr>
          <w:rFonts w:ascii="Arial" w:hAnsi="Arial" w:cs="Arial"/>
          <w:sz w:val="21"/>
          <w:szCs w:val="21"/>
        </w:rPr>
        <w:t>tendrá</w:t>
      </w:r>
      <w:r w:rsidRPr="001A68B2">
        <w:rPr>
          <w:rFonts w:ascii="Arial" w:hAnsi="Arial" w:eastAsia="Arial," w:cs="Arial"/>
          <w:sz w:val="21"/>
          <w:szCs w:val="21"/>
        </w:rPr>
        <w:t xml:space="preserve"> </w:t>
      </w:r>
      <w:r w:rsidRPr="001A68B2">
        <w:rPr>
          <w:rFonts w:ascii="Arial" w:hAnsi="Arial" w:cs="Arial"/>
          <w:sz w:val="21"/>
          <w:szCs w:val="21"/>
        </w:rPr>
        <w:t>en</w:t>
      </w:r>
      <w:r w:rsidRPr="001A68B2">
        <w:rPr>
          <w:rFonts w:ascii="Arial" w:hAnsi="Arial" w:eastAsia="Arial," w:cs="Arial"/>
          <w:sz w:val="21"/>
          <w:szCs w:val="21"/>
        </w:rPr>
        <w:t xml:space="preserve"> </w:t>
      </w:r>
      <w:r w:rsidRPr="001A68B2">
        <w:rPr>
          <w:rFonts w:ascii="Arial" w:hAnsi="Arial" w:cs="Arial"/>
          <w:sz w:val="21"/>
          <w:szCs w:val="21"/>
        </w:rPr>
        <w:t>cuenta</w:t>
      </w:r>
      <w:r w:rsidRPr="001A68B2">
        <w:rPr>
          <w:rFonts w:ascii="Arial" w:hAnsi="Arial" w:eastAsia="Arial," w:cs="Arial"/>
          <w:sz w:val="21"/>
          <w:szCs w:val="21"/>
        </w:rPr>
        <w:t xml:space="preserve"> </w:t>
      </w:r>
      <w:r w:rsidRPr="001A68B2">
        <w:rPr>
          <w:rFonts w:ascii="Arial" w:hAnsi="Arial" w:cs="Arial"/>
          <w:sz w:val="21"/>
          <w:szCs w:val="21"/>
        </w:rPr>
        <w:t>lo</w:t>
      </w:r>
      <w:r w:rsidRPr="001A68B2">
        <w:rPr>
          <w:rFonts w:ascii="Arial" w:hAnsi="Arial" w:eastAsia="Arial," w:cs="Arial"/>
          <w:sz w:val="21"/>
          <w:szCs w:val="21"/>
        </w:rPr>
        <w:t xml:space="preserve"> </w:t>
      </w:r>
      <w:r w:rsidRPr="001A68B2">
        <w:rPr>
          <w:rFonts w:ascii="Arial" w:hAnsi="Arial" w:cs="Arial"/>
          <w:sz w:val="21"/>
          <w:szCs w:val="21"/>
        </w:rPr>
        <w:t>siguiente:</w:t>
      </w:r>
      <w:r w:rsidRPr="001A68B2">
        <w:rPr>
          <w:rFonts w:ascii="Arial" w:hAnsi="Arial" w:eastAsia="Arial," w:cs="Arial"/>
          <w:sz w:val="21"/>
          <w:szCs w:val="21"/>
        </w:rPr>
        <w:t xml:space="preserve"> </w:t>
      </w:r>
    </w:p>
    <w:p w:rsidRPr="001A68B2" w:rsidR="00897650" w:rsidP="00897650" w:rsidRDefault="00897650" w14:paraId="60D2B08B" w14:textId="77777777">
      <w:pPr>
        <w:ind w:left="709" w:right="709"/>
        <w:jc w:val="both"/>
        <w:rPr>
          <w:rFonts w:ascii="Arial" w:hAnsi="Arial" w:eastAsia="Arial," w:cs="Arial"/>
          <w:sz w:val="21"/>
          <w:szCs w:val="21"/>
        </w:rPr>
      </w:pPr>
    </w:p>
    <w:p w:rsidRPr="001A68B2" w:rsidR="00897650" w:rsidP="00897650" w:rsidRDefault="00897650" w14:paraId="0DCBB2DE" w14:textId="77777777">
      <w:pPr>
        <w:pStyle w:val="Prrafodelista"/>
        <w:ind w:left="1134" w:right="709"/>
        <w:jc w:val="both"/>
        <w:rPr>
          <w:rFonts w:ascii="Arial" w:hAnsi="Arial" w:eastAsia="Arial," w:cs="Arial"/>
          <w:sz w:val="21"/>
          <w:szCs w:val="21"/>
        </w:rPr>
      </w:pPr>
      <w:r w:rsidRPr="001A68B2">
        <w:rPr>
          <w:rFonts w:ascii="Arial" w:hAnsi="Arial" w:eastAsia="Arial," w:cs="Arial"/>
          <w:sz w:val="21"/>
          <w:szCs w:val="21"/>
        </w:rPr>
        <w:t>[…]</w:t>
      </w:r>
    </w:p>
    <w:p w:rsidRPr="001A68B2" w:rsidR="00897650" w:rsidP="00897650" w:rsidRDefault="00897650" w14:paraId="5A99B77A" w14:textId="77777777">
      <w:pPr>
        <w:pStyle w:val="Prrafodelista"/>
        <w:ind w:left="1134" w:right="709"/>
        <w:jc w:val="both"/>
        <w:rPr>
          <w:rFonts w:ascii="Arial" w:hAnsi="Arial" w:eastAsia="Arial," w:cs="Arial"/>
          <w:sz w:val="21"/>
          <w:szCs w:val="21"/>
        </w:rPr>
      </w:pPr>
    </w:p>
    <w:p w:rsidRPr="001A68B2" w:rsidR="00897650" w:rsidP="00897650" w:rsidRDefault="00897650" w14:paraId="5620B270" w14:textId="77777777">
      <w:pPr>
        <w:pStyle w:val="Prrafodelista"/>
        <w:numPr>
          <w:ilvl w:val="0"/>
          <w:numId w:val="2"/>
        </w:numPr>
        <w:ind w:left="1276" w:right="709" w:hanging="218"/>
        <w:jc w:val="both"/>
        <w:rPr>
          <w:rFonts w:ascii="Arial" w:hAnsi="Arial" w:eastAsia="Arial," w:cs="Arial"/>
          <w:sz w:val="21"/>
          <w:szCs w:val="21"/>
        </w:rPr>
      </w:pPr>
      <w:r w:rsidRPr="001A68B2">
        <w:rPr>
          <w:rFonts w:ascii="Arial" w:hAnsi="Arial" w:eastAsia="Arial" w:cs="Arial"/>
          <w:sz w:val="21"/>
          <w:szCs w:val="21"/>
        </w:rPr>
        <w:t>Los</w:t>
      </w:r>
      <w:r w:rsidRPr="001A68B2">
        <w:rPr>
          <w:rFonts w:ascii="Arial" w:hAnsi="Arial" w:eastAsia="Arial," w:cs="Arial"/>
          <w:sz w:val="21"/>
          <w:szCs w:val="21"/>
        </w:rPr>
        <w:t xml:space="preserve"> </w:t>
      </w:r>
      <w:r w:rsidRPr="001A68B2">
        <w:rPr>
          <w:rFonts w:ascii="Arial" w:hAnsi="Arial" w:eastAsia="Arial" w:cs="Arial"/>
          <w:sz w:val="21"/>
          <w:szCs w:val="21"/>
        </w:rPr>
        <w:t>contratos</w:t>
      </w:r>
      <w:r w:rsidRPr="001A68B2">
        <w:rPr>
          <w:rFonts w:ascii="Arial" w:hAnsi="Arial" w:eastAsia="Arial," w:cs="Arial"/>
          <w:sz w:val="21"/>
          <w:szCs w:val="21"/>
        </w:rPr>
        <w:t xml:space="preserve"> </w:t>
      </w:r>
      <w:r w:rsidRPr="001A68B2">
        <w:rPr>
          <w:rFonts w:ascii="Arial" w:hAnsi="Arial" w:eastAsia="Arial" w:cs="Arial"/>
          <w:sz w:val="21"/>
          <w:szCs w:val="21"/>
        </w:rPr>
        <w:t>de obras civiles en</w:t>
      </w:r>
      <w:r w:rsidRPr="001A68B2">
        <w:rPr>
          <w:rFonts w:ascii="Arial" w:hAnsi="Arial" w:eastAsia="Arial," w:cs="Arial"/>
          <w:sz w:val="21"/>
          <w:szCs w:val="21"/>
        </w:rPr>
        <w:t xml:space="preserve"> </w:t>
      </w:r>
      <w:r w:rsidRPr="001A68B2">
        <w:rPr>
          <w:rFonts w:ascii="Arial" w:hAnsi="Arial" w:eastAsia="Arial" w:cs="Arial"/>
          <w:sz w:val="21"/>
          <w:szCs w:val="21"/>
        </w:rPr>
        <w:t>ejecución</w:t>
      </w:r>
      <w:r w:rsidRPr="001A68B2">
        <w:rPr>
          <w:rFonts w:ascii="Arial" w:hAnsi="Arial" w:eastAsia="Arial," w:cs="Arial"/>
          <w:sz w:val="21"/>
          <w:szCs w:val="21"/>
        </w:rPr>
        <w:t xml:space="preserve"> </w:t>
      </w:r>
      <w:r w:rsidRPr="001A68B2">
        <w:rPr>
          <w:rFonts w:ascii="Arial" w:hAnsi="Arial" w:eastAsia="Arial" w:cs="Arial"/>
          <w:sz w:val="21"/>
          <w:szCs w:val="21"/>
        </w:rPr>
        <w:t>son</w:t>
      </w:r>
      <w:r w:rsidRPr="001A68B2">
        <w:rPr>
          <w:rFonts w:ascii="Arial" w:hAnsi="Arial" w:eastAsia="Arial," w:cs="Arial"/>
          <w:sz w:val="21"/>
          <w:szCs w:val="21"/>
        </w:rPr>
        <w:t xml:space="preserve"> </w:t>
      </w:r>
      <w:r w:rsidRPr="001A68B2">
        <w:rPr>
          <w:rFonts w:ascii="Arial" w:hAnsi="Arial" w:eastAsia="Arial" w:cs="Arial"/>
          <w:sz w:val="21"/>
          <w:szCs w:val="21"/>
        </w:rPr>
        <w:t>aquellos</w:t>
      </w:r>
      <w:r w:rsidRPr="001A68B2">
        <w:rPr>
          <w:rFonts w:ascii="Arial" w:hAnsi="Arial" w:eastAsia="Arial," w:cs="Arial"/>
          <w:sz w:val="21"/>
          <w:szCs w:val="21"/>
        </w:rPr>
        <w:t xml:space="preserve"> </w:t>
      </w:r>
      <w:r w:rsidRPr="001A68B2">
        <w:rPr>
          <w:rFonts w:ascii="Arial" w:hAnsi="Arial" w:eastAsia="Arial" w:cs="Arial"/>
          <w:sz w:val="21"/>
          <w:szCs w:val="21"/>
        </w:rPr>
        <w:t>que</w:t>
      </w:r>
      <w:r w:rsidRPr="001A68B2">
        <w:rPr>
          <w:rFonts w:ascii="Arial" w:hAnsi="Arial" w:eastAsia="Arial," w:cs="Arial"/>
          <w:sz w:val="21"/>
          <w:szCs w:val="21"/>
        </w:rPr>
        <w:t xml:space="preserve"> </w:t>
      </w:r>
      <w:r w:rsidRPr="001A68B2">
        <w:rPr>
          <w:rFonts w:ascii="Arial" w:hAnsi="Arial" w:eastAsia="Arial" w:cs="Arial"/>
          <w:sz w:val="21"/>
          <w:szCs w:val="21"/>
        </w:rPr>
        <w:t>a</w:t>
      </w:r>
      <w:r w:rsidRPr="001A68B2">
        <w:rPr>
          <w:rFonts w:ascii="Arial" w:hAnsi="Arial" w:eastAsia="Arial," w:cs="Arial"/>
          <w:sz w:val="21"/>
          <w:szCs w:val="21"/>
        </w:rPr>
        <w:t xml:space="preserve"> </w:t>
      </w:r>
      <w:r w:rsidRPr="001A68B2">
        <w:rPr>
          <w:rFonts w:ascii="Arial" w:hAnsi="Arial" w:eastAsia="Arial" w:cs="Arial"/>
          <w:sz w:val="21"/>
          <w:szCs w:val="21"/>
        </w:rPr>
        <w:t>la</w:t>
      </w:r>
      <w:r w:rsidRPr="001A68B2">
        <w:rPr>
          <w:rFonts w:ascii="Arial" w:hAnsi="Arial" w:eastAsia="Arial," w:cs="Arial"/>
          <w:sz w:val="21"/>
          <w:szCs w:val="21"/>
        </w:rPr>
        <w:t xml:space="preserve"> </w:t>
      </w:r>
      <w:r w:rsidRPr="001A68B2">
        <w:rPr>
          <w:rFonts w:ascii="Arial" w:hAnsi="Arial" w:eastAsia="Arial" w:cs="Arial"/>
          <w:sz w:val="21"/>
          <w:szCs w:val="21"/>
        </w:rPr>
        <w:t>fecha</w:t>
      </w:r>
      <w:r w:rsidRPr="001A68B2">
        <w:rPr>
          <w:rFonts w:ascii="Arial" w:hAnsi="Arial" w:eastAsia="Arial," w:cs="Arial"/>
          <w:sz w:val="21"/>
          <w:szCs w:val="21"/>
        </w:rPr>
        <w:t xml:space="preserve"> </w:t>
      </w:r>
      <w:r w:rsidRPr="001A68B2">
        <w:rPr>
          <w:rFonts w:ascii="Arial" w:hAnsi="Arial" w:eastAsia="Arial" w:cs="Arial"/>
          <w:sz w:val="21"/>
          <w:szCs w:val="21"/>
        </w:rPr>
        <w:t>de</w:t>
      </w:r>
      <w:r w:rsidRPr="001A68B2">
        <w:rPr>
          <w:rFonts w:ascii="Arial" w:hAnsi="Arial" w:eastAsia="Arial," w:cs="Arial"/>
          <w:sz w:val="21"/>
          <w:szCs w:val="21"/>
        </w:rPr>
        <w:t xml:space="preserve"> </w:t>
      </w:r>
      <w:r w:rsidRPr="001A68B2">
        <w:rPr>
          <w:rFonts w:ascii="Arial" w:hAnsi="Arial" w:eastAsia="Arial" w:cs="Arial"/>
          <w:sz w:val="21"/>
          <w:szCs w:val="21"/>
        </w:rPr>
        <w:t>presentación</w:t>
      </w:r>
      <w:r w:rsidRPr="001A68B2">
        <w:rPr>
          <w:rFonts w:ascii="Arial" w:hAnsi="Arial" w:eastAsia="Arial," w:cs="Arial"/>
          <w:sz w:val="21"/>
          <w:szCs w:val="21"/>
        </w:rPr>
        <w:t xml:space="preserve"> </w:t>
      </w:r>
      <w:r w:rsidRPr="001A68B2">
        <w:rPr>
          <w:rFonts w:ascii="Arial" w:hAnsi="Arial" w:eastAsia="Arial" w:cs="Arial"/>
          <w:sz w:val="21"/>
          <w:szCs w:val="21"/>
        </w:rPr>
        <w:t>de</w:t>
      </w:r>
      <w:r w:rsidRPr="001A68B2">
        <w:rPr>
          <w:rFonts w:ascii="Arial" w:hAnsi="Arial" w:eastAsia="Arial," w:cs="Arial"/>
          <w:sz w:val="21"/>
          <w:szCs w:val="21"/>
        </w:rPr>
        <w:t xml:space="preserve"> </w:t>
      </w:r>
      <w:r w:rsidRPr="001A68B2">
        <w:rPr>
          <w:rFonts w:ascii="Arial" w:hAnsi="Arial" w:eastAsia="Arial" w:cs="Arial"/>
          <w:sz w:val="21"/>
          <w:szCs w:val="21"/>
        </w:rPr>
        <w:t>la</w:t>
      </w:r>
      <w:r w:rsidRPr="001A68B2">
        <w:rPr>
          <w:rFonts w:ascii="Arial" w:hAnsi="Arial" w:eastAsia="Arial," w:cs="Arial"/>
          <w:sz w:val="21"/>
          <w:szCs w:val="21"/>
        </w:rPr>
        <w:t xml:space="preserve"> </w:t>
      </w:r>
      <w:r w:rsidRPr="001A68B2">
        <w:rPr>
          <w:rFonts w:ascii="Arial" w:hAnsi="Arial" w:eastAsia="Arial" w:cs="Arial"/>
          <w:sz w:val="21"/>
          <w:szCs w:val="21"/>
        </w:rPr>
        <w:t>oferta</w:t>
      </w:r>
      <w:r w:rsidRPr="001A68B2">
        <w:rPr>
          <w:rFonts w:ascii="Arial" w:hAnsi="Arial" w:eastAsia="Arial," w:cs="Arial"/>
          <w:sz w:val="21"/>
          <w:szCs w:val="21"/>
        </w:rPr>
        <w:t xml:space="preserve"> </w:t>
      </w:r>
      <w:r w:rsidRPr="001A68B2">
        <w:rPr>
          <w:rFonts w:ascii="Arial" w:hAnsi="Arial" w:eastAsia="Arial" w:cs="Arial"/>
          <w:sz w:val="21"/>
          <w:szCs w:val="21"/>
        </w:rPr>
        <w:t>obligan</w:t>
      </w:r>
      <w:r w:rsidRPr="001A68B2">
        <w:rPr>
          <w:rFonts w:ascii="Arial" w:hAnsi="Arial" w:eastAsia="Arial," w:cs="Arial"/>
          <w:sz w:val="21"/>
          <w:szCs w:val="21"/>
        </w:rPr>
        <w:t xml:space="preserve"> </w:t>
      </w:r>
      <w:r w:rsidRPr="001A68B2">
        <w:rPr>
          <w:rFonts w:ascii="Arial" w:hAnsi="Arial" w:eastAsia="Arial" w:cs="Arial"/>
          <w:sz w:val="21"/>
          <w:szCs w:val="21"/>
        </w:rPr>
        <w:t>al</w:t>
      </w:r>
      <w:r w:rsidRPr="001A68B2">
        <w:rPr>
          <w:rFonts w:ascii="Arial" w:hAnsi="Arial" w:eastAsia="Arial," w:cs="Arial"/>
          <w:sz w:val="21"/>
          <w:szCs w:val="21"/>
        </w:rPr>
        <w:t xml:space="preserve"> </w:t>
      </w:r>
      <w:r w:rsidRPr="001A68B2">
        <w:rPr>
          <w:rFonts w:ascii="Arial" w:hAnsi="Arial" w:eastAsia="Arial" w:cs="Arial"/>
          <w:sz w:val="21"/>
          <w:szCs w:val="21"/>
        </w:rPr>
        <w:t>Proponente</w:t>
      </w:r>
      <w:r w:rsidRPr="001A68B2">
        <w:rPr>
          <w:rFonts w:ascii="Arial" w:hAnsi="Arial" w:eastAsia="Arial," w:cs="Arial"/>
          <w:sz w:val="21"/>
          <w:szCs w:val="21"/>
        </w:rPr>
        <w:t xml:space="preserve"> </w:t>
      </w:r>
      <w:r w:rsidRPr="001A68B2">
        <w:rPr>
          <w:rFonts w:ascii="Arial" w:hAnsi="Arial" w:eastAsia="Arial" w:cs="Arial"/>
          <w:sz w:val="21"/>
          <w:szCs w:val="21"/>
        </w:rPr>
        <w:t>con</w:t>
      </w:r>
      <w:r w:rsidRPr="001A68B2">
        <w:rPr>
          <w:rFonts w:ascii="Arial" w:hAnsi="Arial" w:eastAsia="Arial," w:cs="Arial"/>
          <w:sz w:val="21"/>
          <w:szCs w:val="21"/>
        </w:rPr>
        <w:t xml:space="preserve"> </w:t>
      </w:r>
      <w:r w:rsidRPr="001A68B2">
        <w:rPr>
          <w:rFonts w:ascii="Arial" w:hAnsi="Arial" w:eastAsia="Arial" w:cs="Arial"/>
          <w:sz w:val="21"/>
          <w:szCs w:val="21"/>
        </w:rPr>
        <w:t>Entidades</w:t>
      </w:r>
      <w:r w:rsidRPr="001A68B2">
        <w:rPr>
          <w:rFonts w:ascii="Arial" w:hAnsi="Arial" w:eastAsia="Arial," w:cs="Arial"/>
          <w:sz w:val="21"/>
          <w:szCs w:val="21"/>
        </w:rPr>
        <w:t xml:space="preserve"> </w:t>
      </w:r>
      <w:r w:rsidRPr="001A68B2">
        <w:rPr>
          <w:rFonts w:ascii="Arial" w:hAnsi="Arial" w:eastAsia="Arial" w:cs="Arial"/>
          <w:sz w:val="21"/>
          <w:szCs w:val="21"/>
        </w:rPr>
        <w:t>Estatales</w:t>
      </w:r>
      <w:r w:rsidRPr="001A68B2">
        <w:rPr>
          <w:rFonts w:ascii="Arial" w:hAnsi="Arial" w:eastAsia="Arial," w:cs="Arial"/>
          <w:sz w:val="21"/>
          <w:szCs w:val="21"/>
        </w:rPr>
        <w:t xml:space="preserve"> </w:t>
      </w:r>
      <w:r w:rsidRPr="001A68B2">
        <w:rPr>
          <w:rFonts w:ascii="Arial" w:hAnsi="Arial" w:eastAsia="Arial" w:cs="Arial"/>
          <w:sz w:val="21"/>
          <w:szCs w:val="21"/>
        </w:rPr>
        <w:t>y</w:t>
      </w:r>
      <w:r w:rsidRPr="001A68B2">
        <w:rPr>
          <w:rFonts w:ascii="Arial" w:hAnsi="Arial" w:eastAsia="Arial," w:cs="Arial"/>
          <w:sz w:val="21"/>
          <w:szCs w:val="21"/>
        </w:rPr>
        <w:t xml:space="preserve"> </w:t>
      </w:r>
      <w:r w:rsidRPr="001A68B2">
        <w:rPr>
          <w:rFonts w:ascii="Arial" w:hAnsi="Arial" w:eastAsia="Arial" w:cs="Arial"/>
          <w:sz w:val="21"/>
          <w:szCs w:val="21"/>
        </w:rPr>
        <w:t>con</w:t>
      </w:r>
      <w:r w:rsidRPr="001A68B2">
        <w:rPr>
          <w:rFonts w:ascii="Arial" w:hAnsi="Arial" w:eastAsia="Arial," w:cs="Arial"/>
          <w:sz w:val="21"/>
          <w:szCs w:val="21"/>
        </w:rPr>
        <w:t xml:space="preserve"> </w:t>
      </w:r>
      <w:r w:rsidRPr="001A68B2">
        <w:rPr>
          <w:rFonts w:ascii="Arial" w:hAnsi="Arial" w:eastAsia="Arial" w:cs="Arial"/>
          <w:sz w:val="21"/>
          <w:szCs w:val="21"/>
        </w:rPr>
        <w:t>Entidades</w:t>
      </w:r>
      <w:r w:rsidRPr="001A68B2">
        <w:rPr>
          <w:rFonts w:ascii="Arial" w:hAnsi="Arial" w:eastAsia="Arial," w:cs="Arial"/>
          <w:sz w:val="21"/>
          <w:szCs w:val="21"/>
        </w:rPr>
        <w:t xml:space="preserve"> </w:t>
      </w:r>
      <w:r w:rsidRPr="001A68B2">
        <w:rPr>
          <w:rFonts w:ascii="Arial" w:hAnsi="Arial" w:eastAsia="Arial" w:cs="Arial"/>
          <w:sz w:val="21"/>
          <w:szCs w:val="21"/>
        </w:rPr>
        <w:t>privadas</w:t>
      </w:r>
      <w:r w:rsidRPr="001A68B2">
        <w:rPr>
          <w:rFonts w:ascii="Arial" w:hAnsi="Arial" w:eastAsia="Arial," w:cs="Arial"/>
          <w:sz w:val="21"/>
          <w:szCs w:val="21"/>
        </w:rPr>
        <w:t xml:space="preserve"> </w:t>
      </w:r>
      <w:r w:rsidRPr="001A68B2">
        <w:rPr>
          <w:rFonts w:ascii="Arial" w:hAnsi="Arial" w:eastAsia="Arial" w:cs="Arial"/>
          <w:sz w:val="21"/>
          <w:szCs w:val="21"/>
        </w:rPr>
        <w:t>para</w:t>
      </w:r>
      <w:r w:rsidRPr="001A68B2">
        <w:rPr>
          <w:rFonts w:ascii="Arial" w:hAnsi="Arial" w:eastAsia="Arial," w:cs="Arial"/>
          <w:sz w:val="21"/>
          <w:szCs w:val="21"/>
        </w:rPr>
        <w:t xml:space="preserve"> </w:t>
      </w:r>
      <w:r w:rsidRPr="001A68B2">
        <w:rPr>
          <w:rFonts w:ascii="Arial" w:hAnsi="Arial" w:eastAsia="Arial" w:cs="Arial"/>
          <w:sz w:val="21"/>
          <w:szCs w:val="21"/>
        </w:rPr>
        <w:t>ejecutar</w:t>
      </w:r>
      <w:r w:rsidRPr="001A68B2">
        <w:rPr>
          <w:rFonts w:ascii="Arial" w:hAnsi="Arial" w:eastAsia="Arial," w:cs="Arial"/>
          <w:sz w:val="21"/>
          <w:szCs w:val="21"/>
        </w:rPr>
        <w:t xml:space="preserve"> </w:t>
      </w:r>
      <w:r w:rsidRPr="001A68B2">
        <w:rPr>
          <w:rFonts w:ascii="Arial" w:hAnsi="Arial" w:eastAsia="Arial" w:cs="Arial"/>
          <w:sz w:val="21"/>
          <w:szCs w:val="21"/>
        </w:rPr>
        <w:t>obras</w:t>
      </w:r>
      <w:r w:rsidRPr="001A68B2">
        <w:rPr>
          <w:rFonts w:ascii="Arial" w:hAnsi="Arial" w:eastAsia="Arial," w:cs="Arial"/>
          <w:sz w:val="21"/>
          <w:szCs w:val="21"/>
        </w:rPr>
        <w:t xml:space="preserve"> </w:t>
      </w:r>
      <w:r w:rsidRPr="001A68B2">
        <w:rPr>
          <w:rFonts w:ascii="Arial" w:hAnsi="Arial" w:eastAsia="Arial" w:cs="Arial"/>
          <w:sz w:val="21"/>
          <w:szCs w:val="21"/>
        </w:rPr>
        <w:t>civiles. Estas incluyen</w:t>
      </w:r>
      <w:r w:rsidRPr="001A68B2">
        <w:rPr>
          <w:rFonts w:ascii="Arial" w:hAnsi="Arial" w:eastAsia="Arial," w:cs="Arial"/>
          <w:sz w:val="21"/>
          <w:szCs w:val="21"/>
        </w:rPr>
        <w:t xml:space="preserve"> </w:t>
      </w:r>
      <w:r w:rsidRPr="001A68B2">
        <w:rPr>
          <w:rFonts w:ascii="Arial" w:hAnsi="Arial" w:eastAsia="Arial" w:cs="Arial"/>
          <w:sz w:val="21"/>
          <w:szCs w:val="21"/>
        </w:rPr>
        <w:t>las</w:t>
      </w:r>
      <w:r w:rsidRPr="001A68B2">
        <w:rPr>
          <w:rFonts w:ascii="Arial" w:hAnsi="Arial" w:eastAsia="Arial," w:cs="Arial"/>
          <w:sz w:val="21"/>
          <w:szCs w:val="21"/>
        </w:rPr>
        <w:t xml:space="preserve"> </w:t>
      </w:r>
      <w:r w:rsidRPr="001A68B2">
        <w:rPr>
          <w:rFonts w:ascii="Arial" w:hAnsi="Arial" w:eastAsia="Arial" w:cs="Arial"/>
          <w:sz w:val="21"/>
          <w:szCs w:val="21"/>
        </w:rPr>
        <w:t>obras</w:t>
      </w:r>
      <w:r w:rsidRPr="001A68B2">
        <w:rPr>
          <w:rFonts w:ascii="Arial" w:hAnsi="Arial" w:eastAsia="Arial," w:cs="Arial"/>
          <w:sz w:val="21"/>
          <w:szCs w:val="21"/>
        </w:rPr>
        <w:t xml:space="preserve"> </w:t>
      </w:r>
      <w:r w:rsidRPr="001A68B2">
        <w:rPr>
          <w:rFonts w:ascii="Arial" w:hAnsi="Arial" w:eastAsia="Arial" w:cs="Arial"/>
          <w:sz w:val="21"/>
          <w:szCs w:val="21"/>
        </w:rPr>
        <w:t>civiles</w:t>
      </w:r>
      <w:r w:rsidRPr="001A68B2">
        <w:rPr>
          <w:rFonts w:ascii="Arial" w:hAnsi="Arial" w:eastAsia="Arial," w:cs="Arial"/>
          <w:sz w:val="21"/>
          <w:szCs w:val="21"/>
        </w:rPr>
        <w:t xml:space="preserve"> </w:t>
      </w:r>
      <w:r w:rsidRPr="001A68B2">
        <w:rPr>
          <w:rFonts w:ascii="Arial" w:hAnsi="Arial" w:eastAsia="Arial" w:cs="Arial"/>
          <w:sz w:val="21"/>
          <w:szCs w:val="21"/>
        </w:rPr>
        <w:t>de los</w:t>
      </w:r>
      <w:r w:rsidRPr="001A68B2">
        <w:rPr>
          <w:rFonts w:ascii="Arial" w:hAnsi="Arial" w:eastAsia="Arial," w:cs="Arial"/>
          <w:sz w:val="21"/>
          <w:szCs w:val="21"/>
        </w:rPr>
        <w:t xml:space="preserve"> </w:t>
      </w:r>
      <w:r w:rsidRPr="001A68B2">
        <w:rPr>
          <w:rFonts w:ascii="Arial" w:hAnsi="Arial" w:eastAsia="Arial" w:cs="Arial"/>
          <w:sz w:val="21"/>
          <w:szCs w:val="21"/>
        </w:rPr>
        <w:t>contratos</w:t>
      </w:r>
      <w:r w:rsidRPr="001A68B2">
        <w:rPr>
          <w:rFonts w:ascii="Arial" w:hAnsi="Arial" w:eastAsia="Arial," w:cs="Arial"/>
          <w:sz w:val="21"/>
          <w:szCs w:val="21"/>
        </w:rPr>
        <w:t xml:space="preserve"> </w:t>
      </w:r>
      <w:r w:rsidRPr="001A68B2">
        <w:rPr>
          <w:rFonts w:ascii="Arial" w:hAnsi="Arial" w:eastAsia="Arial" w:cs="Arial"/>
          <w:sz w:val="21"/>
          <w:szCs w:val="21"/>
        </w:rPr>
        <w:t>de</w:t>
      </w:r>
      <w:r w:rsidRPr="001A68B2">
        <w:rPr>
          <w:rFonts w:ascii="Arial" w:hAnsi="Arial" w:eastAsia="Arial," w:cs="Arial"/>
          <w:sz w:val="21"/>
          <w:szCs w:val="21"/>
        </w:rPr>
        <w:t xml:space="preserve"> </w:t>
      </w:r>
      <w:r w:rsidRPr="001A68B2">
        <w:rPr>
          <w:rFonts w:ascii="Arial" w:hAnsi="Arial" w:eastAsia="Arial" w:cs="Arial"/>
          <w:sz w:val="21"/>
          <w:szCs w:val="21"/>
        </w:rPr>
        <w:t>concesión</w:t>
      </w:r>
      <w:r w:rsidRPr="001A68B2">
        <w:rPr>
          <w:rFonts w:ascii="Arial" w:hAnsi="Arial" w:eastAsia="Arial," w:cs="Arial"/>
          <w:sz w:val="21"/>
          <w:szCs w:val="21"/>
        </w:rPr>
        <w:t xml:space="preserve"> </w:t>
      </w:r>
      <w:r w:rsidRPr="001A68B2">
        <w:rPr>
          <w:rFonts w:ascii="Arial" w:hAnsi="Arial" w:eastAsia="Arial" w:cs="Arial"/>
          <w:sz w:val="21"/>
          <w:szCs w:val="21"/>
        </w:rPr>
        <w:t>y</w:t>
      </w:r>
      <w:r w:rsidRPr="001A68B2">
        <w:rPr>
          <w:rFonts w:ascii="Arial" w:hAnsi="Arial" w:eastAsia="Arial," w:cs="Arial"/>
          <w:sz w:val="21"/>
          <w:szCs w:val="21"/>
        </w:rPr>
        <w:t xml:space="preserve"> </w:t>
      </w:r>
      <w:r w:rsidRPr="001A68B2">
        <w:rPr>
          <w:rFonts w:ascii="Arial" w:hAnsi="Arial" w:eastAsia="Arial" w:cs="Arial"/>
          <w:sz w:val="21"/>
          <w:szCs w:val="21"/>
        </w:rPr>
        <w:t>los</w:t>
      </w:r>
      <w:r w:rsidRPr="001A68B2">
        <w:rPr>
          <w:rFonts w:ascii="Arial" w:hAnsi="Arial" w:eastAsia="Arial," w:cs="Arial"/>
          <w:sz w:val="21"/>
          <w:szCs w:val="21"/>
        </w:rPr>
        <w:t xml:space="preserve"> </w:t>
      </w:r>
      <w:r w:rsidRPr="001A68B2">
        <w:rPr>
          <w:rFonts w:ascii="Arial" w:hAnsi="Arial" w:eastAsia="Arial" w:cs="Arial"/>
          <w:sz w:val="21"/>
          <w:szCs w:val="21"/>
        </w:rPr>
        <w:t>contratos</w:t>
      </w:r>
      <w:r w:rsidRPr="001A68B2">
        <w:rPr>
          <w:rFonts w:ascii="Arial" w:hAnsi="Arial" w:eastAsia="Arial," w:cs="Arial"/>
          <w:sz w:val="21"/>
          <w:szCs w:val="21"/>
        </w:rPr>
        <w:t xml:space="preserve"> </w:t>
      </w:r>
      <w:r w:rsidRPr="001A68B2">
        <w:rPr>
          <w:rFonts w:ascii="Arial" w:hAnsi="Arial" w:eastAsia="Arial" w:cs="Arial"/>
          <w:sz w:val="21"/>
          <w:szCs w:val="21"/>
        </w:rPr>
        <w:t>de</w:t>
      </w:r>
      <w:r w:rsidRPr="001A68B2">
        <w:rPr>
          <w:rFonts w:ascii="Arial" w:hAnsi="Arial" w:eastAsia="Arial," w:cs="Arial"/>
          <w:sz w:val="21"/>
          <w:szCs w:val="21"/>
        </w:rPr>
        <w:t xml:space="preserve"> </w:t>
      </w:r>
      <w:r w:rsidRPr="001A68B2">
        <w:rPr>
          <w:rFonts w:ascii="Arial" w:hAnsi="Arial" w:eastAsia="Arial" w:cs="Arial"/>
          <w:sz w:val="21"/>
          <w:szCs w:val="21"/>
        </w:rPr>
        <w:t>obra</w:t>
      </w:r>
      <w:r w:rsidRPr="001A68B2">
        <w:rPr>
          <w:rFonts w:ascii="Arial" w:hAnsi="Arial" w:eastAsia="Arial," w:cs="Arial"/>
          <w:sz w:val="21"/>
          <w:szCs w:val="21"/>
        </w:rPr>
        <w:t xml:space="preserve"> </w:t>
      </w:r>
      <w:r w:rsidRPr="001A68B2">
        <w:rPr>
          <w:rFonts w:ascii="Arial" w:hAnsi="Arial" w:eastAsia="Arial" w:cs="Arial"/>
          <w:sz w:val="21"/>
          <w:szCs w:val="21"/>
        </w:rPr>
        <w:t>suscritos</w:t>
      </w:r>
      <w:r w:rsidRPr="001A68B2">
        <w:rPr>
          <w:rFonts w:ascii="Arial" w:hAnsi="Arial" w:eastAsia="Arial," w:cs="Arial"/>
          <w:sz w:val="21"/>
          <w:szCs w:val="21"/>
        </w:rPr>
        <w:t xml:space="preserve"> </w:t>
      </w:r>
      <w:r w:rsidRPr="001A68B2">
        <w:rPr>
          <w:rFonts w:ascii="Arial" w:hAnsi="Arial" w:eastAsia="Arial" w:cs="Arial"/>
          <w:sz w:val="21"/>
          <w:szCs w:val="21"/>
        </w:rPr>
        <w:t>con</w:t>
      </w:r>
      <w:r w:rsidRPr="001A68B2">
        <w:rPr>
          <w:rFonts w:ascii="Arial" w:hAnsi="Arial" w:eastAsia="Arial," w:cs="Arial"/>
          <w:sz w:val="21"/>
          <w:szCs w:val="21"/>
        </w:rPr>
        <w:t xml:space="preserve"> </w:t>
      </w:r>
      <w:r w:rsidRPr="001A68B2">
        <w:rPr>
          <w:rFonts w:ascii="Arial" w:hAnsi="Arial" w:eastAsia="Arial" w:cs="Arial"/>
          <w:sz w:val="21"/>
          <w:szCs w:val="21"/>
        </w:rPr>
        <w:t>concesionarios,</w:t>
      </w:r>
      <w:r w:rsidRPr="001A68B2">
        <w:rPr>
          <w:rFonts w:ascii="Arial" w:hAnsi="Arial" w:eastAsia="Arial," w:cs="Arial"/>
          <w:sz w:val="21"/>
          <w:szCs w:val="21"/>
        </w:rPr>
        <w:t xml:space="preserve"> </w:t>
      </w:r>
      <w:r w:rsidRPr="001A68B2">
        <w:rPr>
          <w:rFonts w:ascii="Arial" w:hAnsi="Arial" w:eastAsia="Arial" w:cs="Arial"/>
          <w:sz w:val="21"/>
          <w:szCs w:val="21"/>
        </w:rPr>
        <w:t>así como, los</w:t>
      </w:r>
      <w:r w:rsidRPr="001A68B2">
        <w:rPr>
          <w:rFonts w:ascii="Arial" w:hAnsi="Arial" w:eastAsia="Arial," w:cs="Arial"/>
          <w:sz w:val="21"/>
          <w:szCs w:val="21"/>
        </w:rPr>
        <w:t xml:space="preserve"> </w:t>
      </w:r>
      <w:r w:rsidRPr="001A68B2">
        <w:rPr>
          <w:rFonts w:ascii="Arial" w:hAnsi="Arial" w:eastAsia="Arial" w:cs="Arial"/>
          <w:sz w:val="21"/>
          <w:szCs w:val="21"/>
        </w:rPr>
        <w:t>contratos</w:t>
      </w:r>
      <w:r w:rsidRPr="001A68B2">
        <w:rPr>
          <w:rFonts w:ascii="Arial" w:hAnsi="Arial" w:eastAsia="Arial," w:cs="Arial"/>
          <w:sz w:val="21"/>
          <w:szCs w:val="21"/>
        </w:rPr>
        <w:t xml:space="preserve"> </w:t>
      </w:r>
      <w:r w:rsidRPr="001A68B2">
        <w:rPr>
          <w:rFonts w:ascii="Arial" w:hAnsi="Arial" w:eastAsia="Arial" w:cs="Arial"/>
          <w:sz w:val="21"/>
          <w:szCs w:val="21"/>
        </w:rPr>
        <w:t>suspendidos</w:t>
      </w:r>
      <w:r w:rsidRPr="001A68B2">
        <w:rPr>
          <w:rFonts w:ascii="Arial" w:hAnsi="Arial" w:eastAsia="Arial," w:cs="Arial"/>
          <w:sz w:val="21"/>
          <w:szCs w:val="21"/>
        </w:rPr>
        <w:t xml:space="preserve"> </w:t>
      </w:r>
      <w:r w:rsidRPr="001A68B2">
        <w:rPr>
          <w:rFonts w:ascii="Arial" w:hAnsi="Arial" w:eastAsia="Arial" w:cs="Arial"/>
          <w:sz w:val="21"/>
          <w:szCs w:val="21"/>
        </w:rPr>
        <w:t>y</w:t>
      </w:r>
      <w:r w:rsidRPr="001A68B2">
        <w:rPr>
          <w:rFonts w:ascii="Arial" w:hAnsi="Arial" w:eastAsia="Arial," w:cs="Arial"/>
          <w:sz w:val="21"/>
          <w:szCs w:val="21"/>
        </w:rPr>
        <w:t xml:space="preserve"> </w:t>
      </w:r>
      <w:r w:rsidRPr="001A68B2">
        <w:rPr>
          <w:rFonts w:ascii="Arial" w:hAnsi="Arial" w:eastAsia="Arial" w:cs="Arial"/>
          <w:sz w:val="21"/>
          <w:szCs w:val="21"/>
        </w:rPr>
        <w:t>aquellos</w:t>
      </w:r>
      <w:r w:rsidRPr="001A68B2">
        <w:rPr>
          <w:rFonts w:ascii="Arial" w:hAnsi="Arial" w:eastAsia="Arial," w:cs="Arial"/>
          <w:sz w:val="21"/>
          <w:szCs w:val="21"/>
        </w:rPr>
        <w:t xml:space="preserve"> </w:t>
      </w:r>
      <w:r w:rsidRPr="001A68B2">
        <w:rPr>
          <w:rFonts w:ascii="Arial" w:hAnsi="Arial" w:eastAsia="Arial" w:cs="Arial"/>
          <w:sz w:val="21"/>
          <w:szCs w:val="21"/>
        </w:rPr>
        <w:t>que</w:t>
      </w:r>
      <w:r w:rsidRPr="001A68B2">
        <w:rPr>
          <w:rFonts w:ascii="Arial" w:hAnsi="Arial" w:eastAsia="Arial," w:cs="Arial"/>
          <w:sz w:val="21"/>
          <w:szCs w:val="21"/>
        </w:rPr>
        <w:t xml:space="preserve"> </w:t>
      </w:r>
      <w:r w:rsidRPr="001A68B2">
        <w:rPr>
          <w:rFonts w:ascii="Arial" w:hAnsi="Arial" w:eastAsia="Arial" w:cs="Arial"/>
          <w:sz w:val="21"/>
          <w:szCs w:val="21"/>
        </w:rPr>
        <w:t>no</w:t>
      </w:r>
      <w:r w:rsidRPr="001A68B2">
        <w:rPr>
          <w:rFonts w:ascii="Arial" w:hAnsi="Arial" w:eastAsia="Arial," w:cs="Arial"/>
          <w:sz w:val="21"/>
          <w:szCs w:val="21"/>
        </w:rPr>
        <w:t xml:space="preserve"> </w:t>
      </w:r>
      <w:r w:rsidRPr="001A68B2">
        <w:rPr>
          <w:rFonts w:ascii="Arial" w:hAnsi="Arial" w:eastAsia="Arial" w:cs="Arial"/>
          <w:sz w:val="21"/>
          <w:szCs w:val="21"/>
        </w:rPr>
        <w:t>tengan</w:t>
      </w:r>
      <w:r w:rsidRPr="001A68B2">
        <w:rPr>
          <w:rFonts w:ascii="Arial" w:hAnsi="Arial" w:eastAsia="Arial," w:cs="Arial"/>
          <w:sz w:val="21"/>
          <w:szCs w:val="21"/>
        </w:rPr>
        <w:t xml:space="preserve"> </w:t>
      </w:r>
      <w:r w:rsidRPr="001A68B2">
        <w:rPr>
          <w:rFonts w:ascii="Arial" w:hAnsi="Arial" w:eastAsia="Arial" w:cs="Arial"/>
          <w:sz w:val="21"/>
          <w:szCs w:val="21"/>
        </w:rPr>
        <w:t>acta</w:t>
      </w:r>
      <w:r w:rsidRPr="001A68B2">
        <w:rPr>
          <w:rFonts w:ascii="Arial" w:hAnsi="Arial" w:eastAsia="Arial," w:cs="Arial"/>
          <w:sz w:val="21"/>
          <w:szCs w:val="21"/>
        </w:rPr>
        <w:t xml:space="preserve"> </w:t>
      </w:r>
      <w:r w:rsidRPr="001A68B2">
        <w:rPr>
          <w:rFonts w:ascii="Arial" w:hAnsi="Arial" w:eastAsia="Arial" w:cs="Arial"/>
          <w:sz w:val="21"/>
          <w:szCs w:val="21"/>
        </w:rPr>
        <w:t>de</w:t>
      </w:r>
      <w:r w:rsidRPr="001A68B2">
        <w:rPr>
          <w:rFonts w:ascii="Arial" w:hAnsi="Arial" w:eastAsia="Arial," w:cs="Arial"/>
          <w:sz w:val="21"/>
          <w:szCs w:val="21"/>
        </w:rPr>
        <w:t xml:space="preserve"> </w:t>
      </w:r>
      <w:r w:rsidRPr="001A68B2">
        <w:rPr>
          <w:rFonts w:ascii="Arial" w:hAnsi="Arial" w:eastAsia="Arial" w:cs="Arial"/>
          <w:sz w:val="21"/>
          <w:szCs w:val="21"/>
        </w:rPr>
        <w:t>inicio.</w:t>
      </w:r>
      <w:r w:rsidRPr="001A68B2">
        <w:rPr>
          <w:rFonts w:ascii="Arial" w:hAnsi="Arial" w:eastAsia="Arial," w:cs="Arial"/>
          <w:sz w:val="21"/>
          <w:szCs w:val="21"/>
        </w:rPr>
        <w:t xml:space="preserve"> </w:t>
      </w:r>
      <w:r w:rsidRPr="001A68B2">
        <w:rPr>
          <w:rFonts w:ascii="Arial" w:hAnsi="Arial" w:eastAsia="Arial" w:cs="Arial"/>
          <w:sz w:val="21"/>
          <w:szCs w:val="21"/>
          <w:u w:val="single"/>
        </w:rPr>
        <w:t>No</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se</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entenderán</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como</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contratos</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en</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ejecución</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los</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que</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se</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encuentren</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en</w:t>
      </w:r>
      <w:r w:rsidRPr="001A68B2">
        <w:rPr>
          <w:rFonts w:ascii="Arial" w:hAnsi="Arial" w:eastAsia="Arial," w:cs="Arial"/>
          <w:sz w:val="21"/>
          <w:szCs w:val="21"/>
          <w:u w:val="single"/>
        </w:rPr>
        <w:t xml:space="preserve"> </w:t>
      </w:r>
      <w:r w:rsidRPr="001A68B2">
        <w:rPr>
          <w:rFonts w:ascii="Arial" w:hAnsi="Arial" w:eastAsia="Arial" w:cs="Arial"/>
          <w:sz w:val="21"/>
          <w:szCs w:val="21"/>
          <w:u w:val="single"/>
        </w:rPr>
        <w:t>liquidación.</w:t>
      </w:r>
      <w:bookmarkStart w:name="_Hlk95133394" w:id="0"/>
      <w:r w:rsidRPr="001A68B2">
        <w:rPr>
          <w:rFonts w:ascii="Arial" w:hAnsi="Arial" w:cs="Arial"/>
          <w:sz w:val="21"/>
          <w:szCs w:val="21"/>
          <w:lang w:val="es-CO"/>
        </w:rPr>
        <w:t>»</w:t>
      </w:r>
      <w:bookmarkEnd w:id="0"/>
      <w:r w:rsidRPr="001A68B2">
        <w:rPr>
          <w:rFonts w:ascii="Arial" w:hAnsi="Arial" w:eastAsia="Arial" w:cs="Arial"/>
          <w:sz w:val="21"/>
          <w:szCs w:val="21"/>
        </w:rPr>
        <w:t xml:space="preserve"> (Subrayas fuera del texto)</w:t>
      </w:r>
    </w:p>
    <w:p w:rsidRPr="005379D0" w:rsidR="00897650" w:rsidP="00897650" w:rsidRDefault="00897650" w14:paraId="3F6A5AD7" w14:textId="77777777">
      <w:pPr>
        <w:pStyle w:val="Prrafodelista"/>
        <w:spacing w:line="276" w:lineRule="auto"/>
        <w:ind w:left="1134" w:right="709"/>
        <w:jc w:val="both"/>
        <w:rPr>
          <w:rFonts w:ascii="Arial" w:hAnsi="Arial" w:eastAsia="Arial," w:cs="Arial"/>
          <w:sz w:val="22"/>
        </w:rPr>
      </w:pPr>
    </w:p>
    <w:p w:rsidRPr="005379D0" w:rsidR="00897650" w:rsidP="00897650" w:rsidRDefault="001A68B2" w14:paraId="6E2BB003" w14:textId="4153B647">
      <w:pPr>
        <w:spacing w:after="120" w:line="276" w:lineRule="auto"/>
        <w:ind w:firstLine="709"/>
        <w:jc w:val="both"/>
        <w:rPr>
          <w:rFonts w:ascii="Arial" w:hAnsi="Arial" w:cs="Arial"/>
          <w:sz w:val="22"/>
          <w:szCs w:val="22"/>
        </w:rPr>
      </w:pPr>
      <w:r>
        <w:rPr>
          <w:rFonts w:ascii="Arial" w:hAnsi="Arial" w:eastAsia="Arial," w:cs="Arial"/>
          <w:sz w:val="22"/>
          <w:szCs w:val="22"/>
        </w:rPr>
        <w:t>De este modo</w:t>
      </w:r>
      <w:r w:rsidRPr="005379D0" w:rsidR="00897650">
        <w:rPr>
          <w:rFonts w:ascii="Arial" w:hAnsi="Arial" w:eastAsia="Arial," w:cs="Arial"/>
          <w:sz w:val="22"/>
          <w:szCs w:val="22"/>
        </w:rPr>
        <w:t xml:space="preserve">, el apartado transcrito del Documento Base es armónico con lo dispuesto en la </w:t>
      </w:r>
      <w:r w:rsidRPr="005379D0" w:rsidR="00897650">
        <w:rPr>
          <w:rFonts w:ascii="Arial" w:hAnsi="Arial" w:cs="Arial"/>
          <w:sz w:val="22"/>
          <w:szCs w:val="22"/>
        </w:rPr>
        <w:t xml:space="preserve">«Guía para Determinar y Verificar la Capacidad Residual del Proponente en los Procesos de Contratación de Obra Pública» expedida por esta Agencia, al afirmar, expresamente, que «no se entenderán como contratos en ejecución los que se encuentren en liquidación». </w:t>
      </w:r>
    </w:p>
    <w:p w:rsidR="006736CC" w:rsidP="00E13F98" w:rsidRDefault="00B863BF" w14:paraId="39B9169D" w14:textId="20B5A0C0">
      <w:pPr>
        <w:pStyle w:val="Sinespaciado"/>
        <w:spacing w:line="276" w:lineRule="auto"/>
        <w:ind w:firstLine="708"/>
        <w:jc w:val="both"/>
        <w:rPr>
          <w:rFonts w:ascii="Arial" w:hAnsi="Arial" w:cs="Arial"/>
          <w:color w:val="000000" w:themeColor="text1"/>
          <w:sz w:val="22"/>
          <w:lang w:val="es-ES_tradnl"/>
        </w:rPr>
      </w:pPr>
      <w:r>
        <w:rPr>
          <w:rFonts w:ascii="Arial" w:hAnsi="Arial" w:eastAsia="Arial," w:cs="Arial"/>
          <w:sz w:val="22"/>
        </w:rPr>
        <w:t>E</w:t>
      </w:r>
      <w:r w:rsidR="000A3EF5">
        <w:rPr>
          <w:rFonts w:ascii="Arial" w:hAnsi="Arial" w:eastAsia="Arial," w:cs="Arial"/>
          <w:sz w:val="22"/>
        </w:rPr>
        <w:t xml:space="preserve">sta determinación </w:t>
      </w:r>
      <w:r w:rsidR="00314C8B">
        <w:rPr>
          <w:rFonts w:ascii="Arial" w:hAnsi="Arial" w:eastAsia="Arial," w:cs="Arial"/>
          <w:sz w:val="22"/>
        </w:rPr>
        <w:t>de la guía</w:t>
      </w:r>
      <w:r w:rsidRPr="005379D0" w:rsidR="00897650">
        <w:rPr>
          <w:rFonts w:ascii="Arial" w:hAnsi="Arial" w:eastAsia="Arial," w:cs="Arial"/>
          <w:sz w:val="22"/>
        </w:rPr>
        <w:t xml:space="preserve"> </w:t>
      </w:r>
      <w:r w:rsidR="00314C8B">
        <w:rPr>
          <w:rFonts w:ascii="Arial" w:hAnsi="Arial" w:eastAsia="Arial," w:cs="Arial"/>
          <w:sz w:val="22"/>
        </w:rPr>
        <w:t xml:space="preserve">de excluir </w:t>
      </w:r>
      <w:r w:rsidR="00805EB9">
        <w:rPr>
          <w:rFonts w:ascii="Arial" w:hAnsi="Arial" w:eastAsia="Arial," w:cs="Arial"/>
          <w:sz w:val="22"/>
        </w:rPr>
        <w:t xml:space="preserve">a </w:t>
      </w:r>
      <w:r w:rsidRPr="005379D0" w:rsidR="00897650">
        <w:rPr>
          <w:rFonts w:ascii="Arial" w:hAnsi="Arial" w:eastAsia="Arial," w:cs="Arial"/>
          <w:sz w:val="22"/>
        </w:rPr>
        <w:t>los contratos en liquidación de l</w:t>
      </w:r>
      <w:r>
        <w:rPr>
          <w:rFonts w:ascii="Arial" w:hAnsi="Arial" w:eastAsia="Arial," w:cs="Arial"/>
          <w:sz w:val="22"/>
        </w:rPr>
        <w:t>a noción de</w:t>
      </w:r>
      <w:r w:rsidRPr="005379D0" w:rsidR="00897650">
        <w:rPr>
          <w:rFonts w:ascii="Arial" w:hAnsi="Arial" w:eastAsia="Arial," w:cs="Arial"/>
          <w:sz w:val="22"/>
        </w:rPr>
        <w:t xml:space="preserve"> </w:t>
      </w:r>
      <w:r w:rsidRPr="00080865" w:rsidR="00897650">
        <w:rPr>
          <w:rFonts w:ascii="Arial" w:hAnsi="Arial" w:eastAsia="Arial," w:cs="Arial"/>
          <w:i/>
          <w:iCs/>
          <w:sz w:val="22"/>
        </w:rPr>
        <w:t>contratos</w:t>
      </w:r>
      <w:r w:rsidRPr="00080865">
        <w:rPr>
          <w:rFonts w:ascii="Arial" w:hAnsi="Arial" w:eastAsia="Arial," w:cs="Arial"/>
          <w:i/>
          <w:iCs/>
          <w:sz w:val="22"/>
        </w:rPr>
        <w:t xml:space="preserve"> en ejecución</w:t>
      </w:r>
      <w:r>
        <w:rPr>
          <w:rFonts w:ascii="Arial" w:hAnsi="Arial" w:eastAsia="Arial," w:cs="Arial"/>
          <w:i/>
          <w:iCs/>
          <w:sz w:val="22"/>
        </w:rPr>
        <w:t>,</w:t>
      </w:r>
      <w:r w:rsidRPr="005379D0" w:rsidR="00897650">
        <w:rPr>
          <w:rFonts w:ascii="Arial" w:hAnsi="Arial" w:eastAsia="Arial," w:cs="Arial"/>
          <w:sz w:val="22"/>
        </w:rPr>
        <w:t xml:space="preserve"> </w:t>
      </w:r>
      <w:r w:rsidR="00F45DD8">
        <w:rPr>
          <w:rFonts w:ascii="Arial" w:hAnsi="Arial" w:eastAsia="Arial," w:cs="Arial"/>
          <w:sz w:val="22"/>
        </w:rPr>
        <w:t xml:space="preserve">tiene que ver </w:t>
      </w:r>
      <w:r w:rsidRPr="005379D0" w:rsidR="00897650">
        <w:rPr>
          <w:rFonts w:ascii="Arial" w:hAnsi="Arial" w:eastAsia="Arial," w:cs="Arial"/>
          <w:sz w:val="22"/>
        </w:rPr>
        <w:t xml:space="preserve"> </w:t>
      </w:r>
      <w:r w:rsidR="00805EB9">
        <w:rPr>
          <w:rFonts w:ascii="Arial" w:hAnsi="Arial" w:eastAsia="Arial," w:cs="Arial"/>
          <w:sz w:val="22"/>
        </w:rPr>
        <w:t xml:space="preserve">con </w:t>
      </w:r>
      <w:r w:rsidRPr="005379D0" w:rsidR="00897650">
        <w:rPr>
          <w:rFonts w:ascii="Arial" w:hAnsi="Arial" w:eastAsia="Arial," w:cs="Arial"/>
          <w:sz w:val="22"/>
        </w:rPr>
        <w:t>la</w:t>
      </w:r>
      <w:r w:rsidR="00E36631">
        <w:rPr>
          <w:rFonts w:ascii="Arial" w:hAnsi="Arial" w:eastAsia="Arial," w:cs="Arial"/>
          <w:sz w:val="22"/>
        </w:rPr>
        <w:t xml:space="preserve">s </w:t>
      </w:r>
      <w:r w:rsidR="00BF1A9A">
        <w:rPr>
          <w:rFonts w:ascii="Arial" w:hAnsi="Arial" w:eastAsia="Arial," w:cs="Arial"/>
          <w:sz w:val="22"/>
        </w:rPr>
        <w:t>p</w:t>
      </w:r>
      <w:r w:rsidR="00E36631">
        <w:rPr>
          <w:rFonts w:ascii="Arial" w:hAnsi="Arial" w:eastAsia="Arial," w:cs="Arial"/>
          <w:sz w:val="22"/>
        </w:rPr>
        <w:t xml:space="preserve">articularidades </w:t>
      </w:r>
      <w:r w:rsidR="00BF1A9A">
        <w:rPr>
          <w:rFonts w:ascii="Arial" w:hAnsi="Arial" w:eastAsia="Arial," w:cs="Arial"/>
          <w:sz w:val="22"/>
        </w:rPr>
        <w:t>de etapa de liquidación de los contratos</w:t>
      </w:r>
      <w:r w:rsidR="00F75A67">
        <w:rPr>
          <w:rFonts w:ascii="Arial" w:hAnsi="Arial" w:eastAsia="Arial," w:cs="Arial"/>
          <w:sz w:val="22"/>
        </w:rPr>
        <w:t>. Esto por cuanto, la fase de liquidación tiene l</w:t>
      </w:r>
      <w:r w:rsidR="003C17E7">
        <w:rPr>
          <w:rFonts w:ascii="Arial" w:hAnsi="Arial" w:eastAsia="Arial," w:cs="Arial"/>
          <w:sz w:val="22"/>
        </w:rPr>
        <w:t>ugar</w:t>
      </w:r>
      <w:r w:rsidRPr="005379D0" w:rsidR="00897650">
        <w:rPr>
          <w:rFonts w:ascii="Arial" w:hAnsi="Arial" w:eastAsia="Arial," w:cs="Arial"/>
          <w:sz w:val="22"/>
        </w:rPr>
        <w:t xml:space="preserve"> </w:t>
      </w:r>
      <w:r w:rsidRPr="005379D0" w:rsidR="00897650">
        <w:rPr>
          <w:rFonts w:ascii="Arial" w:hAnsi="Arial" w:cs="Arial"/>
          <w:color w:val="000000" w:themeColor="text1"/>
          <w:sz w:val="22"/>
          <w:lang w:val="es-ES_tradnl"/>
        </w:rPr>
        <w:t>una vez concluid</w:t>
      </w:r>
      <w:r w:rsidR="003C17E7">
        <w:rPr>
          <w:rFonts w:ascii="Arial" w:hAnsi="Arial" w:cs="Arial"/>
          <w:color w:val="000000" w:themeColor="text1"/>
          <w:sz w:val="22"/>
          <w:lang w:val="es-ES_tradnl"/>
        </w:rPr>
        <w:t>a la fase de ejecución del</w:t>
      </w:r>
      <w:r w:rsidRPr="005379D0" w:rsidR="00897650">
        <w:rPr>
          <w:rFonts w:ascii="Arial" w:hAnsi="Arial" w:cs="Arial"/>
          <w:color w:val="000000" w:themeColor="text1"/>
          <w:sz w:val="22"/>
          <w:lang w:val="es-ES_tradnl"/>
        </w:rPr>
        <w:t xml:space="preserve"> contrato estatal, </w:t>
      </w:r>
      <w:r w:rsidR="00E94429">
        <w:rPr>
          <w:rFonts w:ascii="Arial" w:hAnsi="Arial" w:cs="Arial"/>
          <w:color w:val="000000" w:themeColor="text1"/>
          <w:sz w:val="22"/>
          <w:lang w:val="es-ES_tradnl"/>
        </w:rPr>
        <w:t xml:space="preserve">siendo la oportunidad </w:t>
      </w:r>
      <w:r w:rsidR="00E13F98">
        <w:rPr>
          <w:rFonts w:ascii="Arial" w:hAnsi="Arial" w:cs="Arial"/>
          <w:color w:val="000000" w:themeColor="text1"/>
          <w:sz w:val="22"/>
          <w:lang w:val="es-ES_tradnl"/>
        </w:rPr>
        <w:t>para que</w:t>
      </w:r>
      <w:r w:rsidRPr="005379D0" w:rsidR="00E13F98">
        <w:rPr>
          <w:rFonts w:ascii="Arial" w:hAnsi="Arial" w:cs="Arial"/>
          <w:color w:val="000000" w:themeColor="text1"/>
          <w:sz w:val="22"/>
          <w:lang w:val="es-ES_tradnl"/>
        </w:rPr>
        <w:t xml:space="preserve"> </w:t>
      </w:r>
      <w:r w:rsidR="00E13F98">
        <w:rPr>
          <w:rFonts w:ascii="Arial" w:hAnsi="Arial" w:cs="Arial"/>
          <w:color w:val="000000" w:themeColor="text1"/>
          <w:sz w:val="22"/>
          <w:lang w:val="es-ES_tradnl"/>
        </w:rPr>
        <w:t xml:space="preserve">las </w:t>
      </w:r>
      <w:r w:rsidRPr="005379D0" w:rsidR="00897650">
        <w:rPr>
          <w:rFonts w:ascii="Arial" w:hAnsi="Arial" w:cs="Arial"/>
          <w:color w:val="000000" w:themeColor="text1"/>
          <w:sz w:val="22"/>
          <w:lang w:val="es-ES_tradnl"/>
        </w:rPr>
        <w:t>partes cru</w:t>
      </w:r>
      <w:r w:rsidR="00E13F98">
        <w:rPr>
          <w:rFonts w:ascii="Arial" w:hAnsi="Arial" w:cs="Arial"/>
          <w:color w:val="000000" w:themeColor="text1"/>
          <w:sz w:val="22"/>
          <w:lang w:val="es-ES_tradnl"/>
        </w:rPr>
        <w:t>cen</w:t>
      </w:r>
      <w:r w:rsidRPr="005379D0" w:rsidR="00897650">
        <w:rPr>
          <w:rFonts w:ascii="Arial" w:hAnsi="Arial" w:cs="Arial"/>
          <w:color w:val="000000" w:themeColor="text1"/>
          <w:sz w:val="22"/>
          <w:lang w:val="es-ES_tradnl"/>
        </w:rPr>
        <w:t xml:space="preserve"> cuentas respecto de sus obligaciones, </w:t>
      </w:r>
      <w:r w:rsidR="00E13F98">
        <w:rPr>
          <w:rFonts w:ascii="Arial" w:hAnsi="Arial" w:cs="Arial"/>
          <w:color w:val="000000" w:themeColor="text1"/>
          <w:sz w:val="22"/>
          <w:lang w:val="es-ES_tradnl"/>
        </w:rPr>
        <w:t xml:space="preserve">para </w:t>
      </w:r>
      <w:r w:rsidRPr="005379D0" w:rsidR="00897650">
        <w:rPr>
          <w:rFonts w:ascii="Arial" w:hAnsi="Arial" w:cs="Arial"/>
          <w:color w:val="000000" w:themeColor="text1"/>
          <w:sz w:val="22"/>
          <w:lang w:val="es-ES_tradnl"/>
        </w:rPr>
        <w:t xml:space="preserve">determinar si pueden declararse a paz y salvo mutuo o si, por el contrario, existen aún obligaciones por cumplir, para acordar la forma en que deben ser </w:t>
      </w:r>
      <w:r w:rsidR="00E13F98">
        <w:rPr>
          <w:rFonts w:ascii="Arial" w:hAnsi="Arial" w:cs="Arial"/>
          <w:color w:val="000000" w:themeColor="text1"/>
          <w:sz w:val="22"/>
          <w:lang w:val="es-ES_tradnl"/>
        </w:rPr>
        <w:t>saldadas</w:t>
      </w:r>
      <w:r w:rsidR="00B52438">
        <w:rPr>
          <w:rFonts w:ascii="Arial" w:hAnsi="Arial" w:cs="Arial"/>
          <w:color w:val="000000" w:themeColor="text1"/>
          <w:sz w:val="21"/>
          <w:szCs w:val="21"/>
          <w:lang w:val="es-ES_tradnl"/>
        </w:rPr>
        <w:t>.</w:t>
      </w:r>
      <w:r w:rsidRPr="00607622" w:rsidR="00897650">
        <w:rPr>
          <w:rFonts w:ascii="Arial" w:hAnsi="Arial" w:cs="Arial"/>
          <w:sz w:val="21"/>
          <w:szCs w:val="21"/>
        </w:rPr>
        <w:t xml:space="preserve"> </w:t>
      </w:r>
      <w:r w:rsidR="00B52438">
        <w:rPr>
          <w:rFonts w:ascii="Arial" w:hAnsi="Arial" w:cs="Arial"/>
          <w:color w:val="000000" w:themeColor="text1"/>
          <w:sz w:val="22"/>
          <w:lang w:val="es-ES_tradnl"/>
        </w:rPr>
        <w:t>En ese orden,</w:t>
      </w:r>
      <w:r w:rsidR="00E13F98">
        <w:rPr>
          <w:rFonts w:ascii="Arial" w:hAnsi="Arial" w:cs="Arial"/>
          <w:color w:val="000000" w:themeColor="text1"/>
          <w:sz w:val="22"/>
          <w:lang w:val="es-ES_tradnl"/>
        </w:rPr>
        <w:t xml:space="preserve"> la exclusión </w:t>
      </w:r>
      <w:r w:rsidR="00071ECB">
        <w:rPr>
          <w:rFonts w:ascii="Arial" w:hAnsi="Arial" w:cs="Arial"/>
          <w:color w:val="000000" w:themeColor="text1"/>
          <w:sz w:val="22"/>
          <w:lang w:val="es-ES_tradnl"/>
        </w:rPr>
        <w:t>de los contratos</w:t>
      </w:r>
      <w:r w:rsidR="00890C7B">
        <w:rPr>
          <w:rFonts w:ascii="Arial" w:hAnsi="Arial" w:cs="Arial"/>
          <w:color w:val="000000" w:themeColor="text1"/>
          <w:sz w:val="22"/>
          <w:lang w:val="es-ES_tradnl"/>
        </w:rPr>
        <w:t xml:space="preserve"> en liquidación del factor (SCE)</w:t>
      </w:r>
      <w:r w:rsidR="00B52438">
        <w:rPr>
          <w:rFonts w:ascii="Arial" w:hAnsi="Arial" w:cs="Arial"/>
          <w:color w:val="000000" w:themeColor="text1"/>
          <w:sz w:val="22"/>
          <w:lang w:val="es-ES_tradnl"/>
        </w:rPr>
        <w:t xml:space="preserve"> </w:t>
      </w:r>
      <w:r w:rsidR="00890C7B">
        <w:rPr>
          <w:rFonts w:ascii="Arial" w:hAnsi="Arial" w:cs="Arial"/>
          <w:color w:val="000000" w:themeColor="text1"/>
          <w:sz w:val="22"/>
          <w:lang w:val="es-ES_tradnl"/>
        </w:rPr>
        <w:t xml:space="preserve">se sustenta en el hecho de </w:t>
      </w:r>
      <w:r w:rsidRPr="005379D0" w:rsidR="00897650">
        <w:rPr>
          <w:rFonts w:ascii="Arial" w:hAnsi="Arial" w:cs="Arial"/>
          <w:color w:val="000000" w:themeColor="text1"/>
          <w:sz w:val="22"/>
          <w:lang w:val="es-ES_tradnl"/>
        </w:rPr>
        <w:t xml:space="preserve">que la etapa de liquidación inicia una vez cumplido el plazo de ejecución contractual, momento en el cual todas y cada una de las obligaciones y prestaciones objeto del contrato se hacen exigibles. </w:t>
      </w:r>
    </w:p>
    <w:p w:rsidRPr="005379D0" w:rsidR="00897650" w:rsidP="00897650" w:rsidRDefault="00897650" w14:paraId="042A53D6" w14:textId="1511AE91">
      <w:pPr>
        <w:pStyle w:val="Sinespaciado"/>
        <w:spacing w:before="120" w:after="120" w:line="276" w:lineRule="auto"/>
        <w:jc w:val="both"/>
        <w:rPr>
          <w:rFonts w:ascii="Arial" w:hAnsi="Arial" w:cs="Arial"/>
          <w:color w:val="000000" w:themeColor="text1"/>
          <w:sz w:val="22"/>
          <w:lang w:val="es-ES_tradnl"/>
        </w:rPr>
      </w:pPr>
      <w:r w:rsidRPr="005379D0">
        <w:rPr>
          <w:rFonts w:ascii="Arial" w:hAnsi="Arial" w:cs="Arial"/>
          <w:color w:val="000000" w:themeColor="text1"/>
          <w:sz w:val="22"/>
          <w:lang w:val="es-ES_tradnl"/>
        </w:rPr>
        <w:tab/>
      </w:r>
      <w:r w:rsidRPr="005379D0">
        <w:rPr>
          <w:rFonts w:ascii="Arial" w:hAnsi="Arial" w:cs="Arial"/>
          <w:color w:val="000000" w:themeColor="text1"/>
          <w:sz w:val="22"/>
          <w:lang w:val="es-ES_tradnl"/>
        </w:rPr>
        <w:t>Entonces, como se observa, lo ideal es que en la liquidación de los contratos las partes resulten a paz y salvo. Sin embargo, precisamente en esa etapa es donde debe verificarse la existencia de obligaciones en mora y pendientes de ser ejecutadas, luego del plazo de ejecución, para acordar la forma en que serán satisfechas. En relación con la posibilidad de ejecutar prestaciones contractuales por fuera del plazo de ejecución, recientemente, el Consejo de Estado</w:t>
      </w:r>
      <w:r w:rsidR="00FA0EDC">
        <w:rPr>
          <w:rFonts w:ascii="Arial" w:hAnsi="Arial" w:cs="Arial"/>
          <w:color w:val="000000" w:themeColor="text1"/>
          <w:sz w:val="22"/>
          <w:lang w:val="es-ES_tradnl"/>
        </w:rPr>
        <w:t xml:space="preserve"> ha</w:t>
      </w:r>
      <w:r w:rsidRPr="005379D0">
        <w:rPr>
          <w:rFonts w:ascii="Arial" w:hAnsi="Arial" w:cs="Arial"/>
          <w:color w:val="000000" w:themeColor="text1"/>
          <w:sz w:val="22"/>
          <w:lang w:val="es-ES_tradnl"/>
        </w:rPr>
        <w:t xml:space="preserve"> consider</w:t>
      </w:r>
      <w:r w:rsidR="00FA0EDC">
        <w:rPr>
          <w:rFonts w:ascii="Arial" w:hAnsi="Arial" w:cs="Arial"/>
          <w:color w:val="000000" w:themeColor="text1"/>
          <w:sz w:val="22"/>
          <w:lang w:val="es-ES_tradnl"/>
        </w:rPr>
        <w:t>ado</w:t>
      </w:r>
      <w:r w:rsidRPr="005379D0">
        <w:rPr>
          <w:rFonts w:ascii="Arial" w:hAnsi="Arial" w:cs="Arial"/>
          <w:color w:val="000000" w:themeColor="text1"/>
          <w:sz w:val="22"/>
          <w:lang w:val="es-ES_tradnl"/>
        </w:rPr>
        <w:t xml:space="preserve"> que: </w:t>
      </w:r>
    </w:p>
    <w:p w:rsidRPr="00607622" w:rsidR="00897650" w:rsidP="00897650" w:rsidRDefault="00897650" w14:paraId="66DEDBCF" w14:textId="77777777">
      <w:pPr>
        <w:pStyle w:val="Sinespaciado"/>
        <w:spacing w:before="120" w:after="120"/>
        <w:ind w:left="709" w:right="902"/>
        <w:jc w:val="both"/>
        <w:rPr>
          <w:rFonts w:ascii="Arial" w:hAnsi="Arial" w:cs="Arial"/>
          <w:color w:val="000000" w:themeColor="text1"/>
          <w:sz w:val="21"/>
          <w:szCs w:val="21"/>
          <w:lang w:val="es-ES_tradnl"/>
        </w:rPr>
      </w:pPr>
      <w:r w:rsidRPr="00607622">
        <w:rPr>
          <w:rFonts w:ascii="Arial" w:hAnsi="Arial" w:cs="Arial"/>
          <w:color w:val="000000" w:themeColor="text1"/>
          <w:sz w:val="21"/>
          <w:szCs w:val="21"/>
          <w:lang w:val="es-ES_tradnl"/>
        </w:rPr>
        <w:t>«</w:t>
      </w:r>
      <w:r w:rsidRPr="00607622">
        <w:rPr>
          <w:rFonts w:ascii="Arial" w:hAnsi="Arial" w:cs="Arial"/>
          <w:sz w:val="21"/>
          <w:szCs w:val="21"/>
        </w:rPr>
        <w:t xml:space="preserve">[…] </w:t>
      </w:r>
      <w:r w:rsidRPr="00607622">
        <w:rPr>
          <w:rFonts w:ascii="Arial" w:hAnsi="Arial" w:cs="Arial"/>
          <w:color w:val="000000" w:themeColor="text1"/>
          <w:sz w:val="21"/>
          <w:szCs w:val="21"/>
          <w:lang w:val="es-ES_tradnl"/>
        </w:rPr>
        <w:t>si un contratista cumple con sus obligaciones contractuales por fuera del plazo de ejecución, y la entidad decide recibir la prestación que se le adeuda, resulta lógico que el contratista tenga el derecho de recibir la contraprestación de las prestaciones ejecutadas y recibidas a satisfacción. Lo anterior no implica que las entidades estatales estén obligadas a recibir las prestaciones ejecutadas fuera del plazo de ejecución. Tampoco quiere decir lo anterior que todas las obras ejecutadas fuera del plazo deban ser pagadas. De la misma manera, lo sostenido no significa que las entidades no puedan ejercer sus poderes excepcionales para declarar el incumplimiento de la obligación e imponer el pago de los perjuicios causados por entregar fuera del plazo. Menos aún, que no se puedan reclamar judicialmente tales perjuicios o que las partes no puedan realizar acuerdos sobre este asunto en la etapa de liquidación del contrato.»</w:t>
      </w:r>
      <w:r w:rsidRPr="00607622">
        <w:rPr>
          <w:rStyle w:val="Refdenotaalpie"/>
          <w:rFonts w:ascii="Arial" w:hAnsi="Arial" w:cs="Arial"/>
          <w:color w:val="000000" w:themeColor="text1"/>
          <w:sz w:val="21"/>
          <w:szCs w:val="21"/>
          <w:lang w:val="es-ES_tradnl"/>
        </w:rPr>
        <w:footnoteReference w:id="4"/>
      </w:r>
    </w:p>
    <w:p w:rsidRPr="005379D0" w:rsidR="00897650" w:rsidP="00897650" w:rsidRDefault="00897650" w14:paraId="0EA38556" w14:textId="77777777">
      <w:pPr>
        <w:pStyle w:val="Sinespaciado"/>
        <w:spacing w:before="120" w:after="120" w:line="276" w:lineRule="auto"/>
        <w:jc w:val="both"/>
        <w:rPr>
          <w:rFonts w:ascii="Arial" w:hAnsi="Arial" w:cs="Arial"/>
          <w:color w:val="000000" w:themeColor="text1"/>
          <w:sz w:val="22"/>
          <w:lang w:val="es-ES_tradnl"/>
        </w:rPr>
      </w:pPr>
      <w:r w:rsidRPr="005379D0">
        <w:rPr>
          <w:rFonts w:ascii="Arial" w:hAnsi="Arial" w:cs="Arial"/>
          <w:color w:val="000000" w:themeColor="text1"/>
          <w:sz w:val="22"/>
          <w:lang w:val="es-ES_tradnl"/>
        </w:rPr>
        <w:t xml:space="preserve">Con base en lo anterior, puede concluirse que en un contrato en liquidación pueden existir aún prestaciones u obligaciones pendientes de ser cumplidas, que impacten en la capacidad del oferente. Sin embargo, a pesar de esto último, esta Agencia determinó, en ejercicio de sus competencias, que a efectos de determinar la capacidad residual en los procesos de licitación para obra pública de infraestructura de transporte sólo se tendrán en cuenta los </w:t>
      </w:r>
      <w:r w:rsidRPr="005379D0">
        <w:rPr>
          <w:rFonts w:ascii="Arial" w:hAnsi="Arial" w:cs="Arial"/>
          <w:i/>
          <w:iCs/>
          <w:color w:val="000000" w:themeColor="text1"/>
          <w:sz w:val="22"/>
          <w:lang w:val="es-ES_tradnl"/>
        </w:rPr>
        <w:t>contratos en ejecución</w:t>
      </w:r>
      <w:r w:rsidRPr="005379D0">
        <w:rPr>
          <w:rFonts w:ascii="Arial" w:hAnsi="Arial" w:cs="Arial"/>
          <w:color w:val="000000" w:themeColor="text1"/>
          <w:sz w:val="22"/>
          <w:lang w:val="es-ES_tradnl"/>
        </w:rPr>
        <w:t xml:space="preserve"> y, tal como se señaló, de manera expresa, en el numeral II del literal E -Saldos Contratos en Ejecución (SCE)- del numeral 3.10.4 3.10.2. -Cálculo de la capacidad residual del proponente (CRP)- del Documento Base, se indica que «[…] No se entenderán como contratos en ejecución los que se encuentren en liquidación.»</w:t>
      </w:r>
    </w:p>
    <w:p w:rsidR="001D55B4" w:rsidP="001D55B4" w:rsidRDefault="00607622" w14:paraId="5BBDE0F1" w14:textId="77777777">
      <w:pPr>
        <w:pStyle w:val="Sinespaciado"/>
        <w:spacing w:before="120" w:after="120" w:line="276" w:lineRule="auto"/>
        <w:ind w:firstLine="708"/>
        <w:jc w:val="both"/>
        <w:rPr>
          <w:rFonts w:ascii="Arial" w:hAnsi="Arial" w:cs="Arial"/>
          <w:color w:val="000000"/>
          <w:sz w:val="22"/>
          <w:shd w:val="clear" w:color="auto" w:fill="FFFFFF"/>
        </w:rPr>
      </w:pPr>
      <w:r>
        <w:rPr>
          <w:rFonts w:ascii="Arial" w:hAnsi="Arial" w:cs="Arial"/>
          <w:color w:val="000000" w:themeColor="text1"/>
          <w:sz w:val="22"/>
          <w:lang w:val="es-ES_tradnl"/>
        </w:rPr>
        <w:t xml:space="preserve">En este orden de ideas, retomando la definición de contratos en ejecución contenida en la </w:t>
      </w:r>
      <w:r w:rsidRPr="00400E55" w:rsidR="00794349">
        <w:rPr>
          <w:rFonts w:ascii="Arial" w:hAnsi="Arial" w:cs="Arial"/>
          <w:color w:val="000000" w:themeColor="text1"/>
          <w:sz w:val="22"/>
          <w:lang w:val="es-ES_tradnl"/>
        </w:rPr>
        <w:t>«Guía para Determinar y Verificar la Capacidad Residual del Proponente en los Procesos de Contratación de Obra Pública»</w:t>
      </w:r>
      <w:r>
        <w:rPr>
          <w:rFonts w:ascii="Arial" w:hAnsi="Arial" w:cs="Arial"/>
          <w:sz w:val="22"/>
        </w:rPr>
        <w:t xml:space="preserve"> debe resaltarse que l</w:t>
      </w:r>
      <w:r w:rsidRPr="00733877">
        <w:rPr>
          <w:rFonts w:ascii="Arial" w:hAnsi="Arial" w:cs="Arial"/>
          <w:color w:val="000000"/>
          <w:sz w:val="22"/>
          <w:shd w:val="clear" w:color="auto" w:fill="FFFFFF"/>
        </w:rPr>
        <w:t xml:space="preserve">a </w:t>
      </w:r>
      <w:r>
        <w:rPr>
          <w:rFonts w:ascii="Arial" w:hAnsi="Arial" w:cs="Arial"/>
          <w:color w:val="000000"/>
          <w:sz w:val="22"/>
          <w:shd w:val="clear" w:color="auto" w:fill="FFFFFF"/>
        </w:rPr>
        <w:t>«</w:t>
      </w:r>
      <w:r w:rsidRPr="00733877">
        <w:rPr>
          <w:rFonts w:ascii="Arial" w:hAnsi="Arial" w:cs="Arial"/>
          <w:color w:val="000000"/>
          <w:sz w:val="22"/>
          <w:shd w:val="clear" w:color="auto" w:fill="FFFFFF"/>
        </w:rPr>
        <w:t>terminación con actividades pendientes</w:t>
      </w:r>
      <w:r w:rsidRPr="00897650">
        <w:rPr>
          <w:rFonts w:ascii="Arial" w:hAnsi="Arial" w:cs="Arial"/>
          <w:sz w:val="21"/>
          <w:szCs w:val="21"/>
        </w:rPr>
        <w:t>»</w:t>
      </w:r>
      <w:r w:rsidRPr="00733877">
        <w:rPr>
          <w:rFonts w:ascii="Arial" w:hAnsi="Arial" w:cs="Arial"/>
          <w:color w:val="000000"/>
          <w:sz w:val="22"/>
          <w:shd w:val="clear" w:color="auto" w:fill="FFFFFF"/>
        </w:rPr>
        <w:t>,</w:t>
      </w:r>
      <w:r w:rsidR="00794349">
        <w:rPr>
          <w:rFonts w:ascii="Arial" w:hAnsi="Arial" w:cs="Arial"/>
          <w:color w:val="000000"/>
          <w:sz w:val="22"/>
          <w:shd w:val="clear" w:color="auto" w:fill="FFFFFF"/>
        </w:rPr>
        <w:t xml:space="preserve"> por la que usted consu</w:t>
      </w:r>
      <w:r w:rsidR="001D55B4">
        <w:rPr>
          <w:rFonts w:ascii="Arial" w:hAnsi="Arial" w:cs="Arial"/>
          <w:color w:val="000000"/>
          <w:sz w:val="22"/>
          <w:shd w:val="clear" w:color="auto" w:fill="FFFFFF"/>
        </w:rPr>
        <w:t>l</w:t>
      </w:r>
      <w:r w:rsidR="00794349">
        <w:rPr>
          <w:rFonts w:ascii="Arial" w:hAnsi="Arial" w:cs="Arial"/>
          <w:color w:val="000000"/>
          <w:sz w:val="22"/>
          <w:shd w:val="clear" w:color="auto" w:fill="FFFFFF"/>
        </w:rPr>
        <w:t xml:space="preserve">ta, </w:t>
      </w:r>
      <w:r w:rsidR="001D55B4">
        <w:rPr>
          <w:rFonts w:ascii="Arial" w:hAnsi="Arial" w:cs="Arial"/>
          <w:color w:val="000000"/>
          <w:sz w:val="22"/>
          <w:shd w:val="clear" w:color="auto" w:fill="FFFFFF"/>
        </w:rPr>
        <w:t>n</w:t>
      </w:r>
      <w:r w:rsidRPr="00733877">
        <w:rPr>
          <w:rFonts w:ascii="Arial" w:hAnsi="Arial" w:cs="Arial"/>
          <w:color w:val="000000"/>
          <w:sz w:val="22"/>
          <w:shd w:val="clear" w:color="auto" w:fill="FFFFFF"/>
        </w:rPr>
        <w:t>o</w:t>
      </w:r>
      <w:r w:rsidR="001D55B4">
        <w:rPr>
          <w:rFonts w:ascii="Arial" w:hAnsi="Arial" w:cs="Arial"/>
          <w:color w:val="000000"/>
          <w:sz w:val="22"/>
          <w:shd w:val="clear" w:color="auto" w:fill="FFFFFF"/>
        </w:rPr>
        <w:t xml:space="preserve"> constituye, por sí misma, </w:t>
      </w:r>
      <w:r w:rsidRPr="00733877">
        <w:rPr>
          <w:rFonts w:ascii="Arial" w:hAnsi="Arial" w:cs="Arial"/>
          <w:color w:val="000000"/>
          <w:sz w:val="22"/>
          <w:shd w:val="clear" w:color="auto" w:fill="FFFFFF"/>
        </w:rPr>
        <w:t>una categoría determinante para establecer si el contrato está o no ejecución</w:t>
      </w:r>
      <w:r w:rsidR="001D55B4">
        <w:rPr>
          <w:rFonts w:ascii="Arial" w:hAnsi="Arial" w:cs="Arial"/>
          <w:color w:val="000000"/>
          <w:sz w:val="22"/>
          <w:shd w:val="clear" w:color="auto" w:fill="FFFFFF"/>
        </w:rPr>
        <w:t xml:space="preserve">. Por ello, </w:t>
      </w:r>
      <w:r w:rsidRPr="00733877">
        <w:rPr>
          <w:rFonts w:ascii="Arial" w:hAnsi="Arial" w:cs="Arial"/>
          <w:color w:val="000000"/>
          <w:sz w:val="22"/>
          <w:shd w:val="clear" w:color="auto" w:fill="FFFFFF"/>
        </w:rPr>
        <w:t>debe consultarse el contenido de la respectiva acta</w:t>
      </w:r>
      <w:r w:rsidR="001D55B4">
        <w:rPr>
          <w:rFonts w:ascii="Arial" w:hAnsi="Arial" w:cs="Arial"/>
          <w:color w:val="000000"/>
          <w:sz w:val="22"/>
          <w:shd w:val="clear" w:color="auto" w:fill="FFFFFF"/>
        </w:rPr>
        <w:t xml:space="preserve"> de terminación</w:t>
      </w:r>
      <w:r w:rsidRPr="00733877">
        <w:rPr>
          <w:rFonts w:ascii="Arial" w:hAnsi="Arial" w:cs="Arial"/>
          <w:color w:val="000000"/>
          <w:sz w:val="22"/>
          <w:shd w:val="clear" w:color="auto" w:fill="FFFFFF"/>
        </w:rPr>
        <w:t xml:space="preserve"> o su naturaleza jurídica para establecer si, en virtud de lo que en ella se declara, es o no posible establecer si el contrato entró en etapa de liquidación </w:t>
      </w:r>
      <w:r>
        <w:rPr>
          <w:rFonts w:ascii="Arial" w:hAnsi="Arial" w:cs="Arial"/>
          <w:color w:val="000000"/>
          <w:sz w:val="22"/>
          <w:shd w:val="clear" w:color="auto" w:fill="FFFFFF"/>
        </w:rPr>
        <w:t xml:space="preserve">– situación </w:t>
      </w:r>
      <w:r w:rsidRPr="00733877">
        <w:rPr>
          <w:rFonts w:ascii="Arial" w:hAnsi="Arial" w:cs="Arial"/>
          <w:color w:val="000000"/>
          <w:sz w:val="22"/>
          <w:shd w:val="clear" w:color="auto" w:fill="FFFFFF"/>
        </w:rPr>
        <w:t>en el que</w:t>
      </w:r>
      <w:r w:rsidR="001D55B4">
        <w:rPr>
          <w:rFonts w:ascii="Arial" w:hAnsi="Arial" w:cs="Arial"/>
          <w:color w:val="000000"/>
          <w:sz w:val="22"/>
          <w:shd w:val="clear" w:color="auto" w:fill="FFFFFF"/>
        </w:rPr>
        <w:t xml:space="preserve"> ese contrato</w:t>
      </w:r>
      <w:r w:rsidRPr="00733877">
        <w:rPr>
          <w:rFonts w:ascii="Arial" w:hAnsi="Arial" w:cs="Arial"/>
          <w:color w:val="000000"/>
          <w:sz w:val="22"/>
          <w:shd w:val="clear" w:color="auto" w:fill="FFFFFF"/>
        </w:rPr>
        <w:t xml:space="preserve"> no se tendrá en cuenta para </w:t>
      </w:r>
      <w:r w:rsidR="001D55B4">
        <w:rPr>
          <w:rFonts w:ascii="Arial" w:hAnsi="Arial" w:cs="Arial"/>
          <w:color w:val="000000"/>
          <w:sz w:val="22"/>
          <w:shd w:val="clear" w:color="auto" w:fill="FFFFFF"/>
        </w:rPr>
        <w:t xml:space="preserve">efectos de calcular </w:t>
      </w:r>
      <w:r w:rsidRPr="00733877">
        <w:rPr>
          <w:rFonts w:ascii="Arial" w:hAnsi="Arial" w:cs="Arial"/>
          <w:color w:val="000000"/>
          <w:sz w:val="22"/>
          <w:shd w:val="clear" w:color="auto" w:fill="FFFFFF"/>
        </w:rPr>
        <w:t>la capacidad residual</w:t>
      </w:r>
      <w:r>
        <w:rPr>
          <w:rFonts w:ascii="Arial" w:hAnsi="Arial" w:cs="Arial"/>
          <w:color w:val="000000"/>
          <w:sz w:val="22"/>
          <w:shd w:val="clear" w:color="auto" w:fill="FFFFFF"/>
        </w:rPr>
        <w:t>–</w:t>
      </w:r>
      <w:r w:rsidRPr="00733877">
        <w:rPr>
          <w:rFonts w:ascii="Arial" w:hAnsi="Arial" w:cs="Arial"/>
          <w:color w:val="000000"/>
          <w:sz w:val="22"/>
          <w:shd w:val="clear" w:color="auto" w:fill="FFFFFF"/>
        </w:rPr>
        <w:t>, o si</w:t>
      </w:r>
      <w:r w:rsidR="001D55B4">
        <w:rPr>
          <w:rFonts w:ascii="Arial" w:hAnsi="Arial" w:cs="Arial"/>
          <w:color w:val="000000"/>
          <w:sz w:val="22"/>
          <w:shd w:val="clear" w:color="auto" w:fill="FFFFFF"/>
        </w:rPr>
        <w:t>,</w:t>
      </w:r>
      <w:r w:rsidRPr="00733877">
        <w:rPr>
          <w:rFonts w:ascii="Arial" w:hAnsi="Arial" w:cs="Arial"/>
          <w:color w:val="000000"/>
          <w:sz w:val="22"/>
          <w:shd w:val="clear" w:color="auto" w:fill="FFFFFF"/>
        </w:rPr>
        <w:t xml:space="preserve"> por contrario</w:t>
      </w:r>
      <w:r w:rsidR="001D55B4">
        <w:rPr>
          <w:rFonts w:ascii="Arial" w:hAnsi="Arial" w:cs="Arial"/>
          <w:color w:val="000000"/>
          <w:sz w:val="22"/>
          <w:shd w:val="clear" w:color="auto" w:fill="FFFFFF"/>
        </w:rPr>
        <w:t>,</w:t>
      </w:r>
      <w:r w:rsidRPr="00733877">
        <w:rPr>
          <w:rFonts w:ascii="Arial" w:hAnsi="Arial" w:cs="Arial"/>
          <w:color w:val="000000"/>
          <w:sz w:val="22"/>
          <w:shd w:val="clear" w:color="auto" w:fill="FFFFFF"/>
        </w:rPr>
        <w:t xml:space="preserve"> se encuentra</w:t>
      </w:r>
      <w:r w:rsidR="001D55B4">
        <w:rPr>
          <w:rFonts w:ascii="Arial" w:hAnsi="Arial" w:cs="Arial"/>
          <w:color w:val="000000"/>
          <w:sz w:val="22"/>
          <w:shd w:val="clear" w:color="auto" w:fill="FFFFFF"/>
        </w:rPr>
        <w:t xml:space="preserve"> aún en ejecución o simplemente</w:t>
      </w:r>
      <w:r w:rsidRPr="00733877">
        <w:rPr>
          <w:rFonts w:ascii="Arial" w:hAnsi="Arial" w:cs="Arial"/>
          <w:color w:val="000000"/>
          <w:sz w:val="22"/>
          <w:shd w:val="clear" w:color="auto" w:fill="FFFFFF"/>
        </w:rPr>
        <w:t xml:space="preserve"> suspendido </w:t>
      </w:r>
      <w:r>
        <w:rPr>
          <w:rFonts w:ascii="Arial" w:hAnsi="Arial" w:cs="Arial"/>
          <w:color w:val="000000"/>
          <w:sz w:val="22"/>
          <w:shd w:val="clear" w:color="auto" w:fill="FFFFFF"/>
        </w:rPr>
        <w:t>–</w:t>
      </w:r>
      <w:r w:rsidRPr="00733877">
        <w:rPr>
          <w:rFonts w:ascii="Arial" w:hAnsi="Arial" w:cs="Arial"/>
          <w:color w:val="000000"/>
          <w:sz w:val="22"/>
          <w:shd w:val="clear" w:color="auto" w:fill="FFFFFF"/>
        </w:rPr>
        <w:t>evento</w:t>
      </w:r>
      <w:r w:rsidR="001D55B4">
        <w:rPr>
          <w:rFonts w:ascii="Arial" w:hAnsi="Arial" w:cs="Arial"/>
          <w:color w:val="000000"/>
          <w:sz w:val="22"/>
          <w:shd w:val="clear" w:color="auto" w:fill="FFFFFF"/>
        </w:rPr>
        <w:t>s</w:t>
      </w:r>
      <w:r w:rsidRPr="00733877">
        <w:rPr>
          <w:rFonts w:ascii="Arial" w:hAnsi="Arial" w:cs="Arial"/>
          <w:color w:val="000000"/>
          <w:sz w:val="22"/>
          <w:shd w:val="clear" w:color="auto" w:fill="FFFFFF"/>
        </w:rPr>
        <w:t xml:space="preserve"> en l</w:t>
      </w:r>
      <w:r w:rsidR="001D55B4">
        <w:rPr>
          <w:rFonts w:ascii="Arial" w:hAnsi="Arial" w:cs="Arial"/>
          <w:color w:val="000000"/>
          <w:sz w:val="22"/>
          <w:shd w:val="clear" w:color="auto" w:fill="FFFFFF"/>
        </w:rPr>
        <w:t>os</w:t>
      </w:r>
      <w:r w:rsidRPr="00733877">
        <w:rPr>
          <w:rFonts w:ascii="Arial" w:hAnsi="Arial" w:cs="Arial"/>
          <w:color w:val="000000"/>
          <w:sz w:val="22"/>
          <w:shd w:val="clear" w:color="auto" w:fill="FFFFFF"/>
        </w:rPr>
        <w:t xml:space="preserve"> que si afectar</w:t>
      </w:r>
      <w:r w:rsidR="001D55B4">
        <w:rPr>
          <w:rFonts w:ascii="Arial" w:hAnsi="Arial" w:cs="Arial"/>
          <w:color w:val="000000"/>
          <w:sz w:val="22"/>
          <w:shd w:val="clear" w:color="auto" w:fill="FFFFFF"/>
        </w:rPr>
        <w:t xml:space="preserve">á el cálculo de </w:t>
      </w:r>
      <w:r w:rsidRPr="00733877">
        <w:rPr>
          <w:rFonts w:ascii="Arial" w:hAnsi="Arial" w:cs="Arial"/>
          <w:color w:val="000000"/>
          <w:sz w:val="22"/>
          <w:shd w:val="clear" w:color="auto" w:fill="FFFFFF"/>
        </w:rPr>
        <w:t>la capacidad residual</w:t>
      </w:r>
      <w:r>
        <w:rPr>
          <w:rFonts w:ascii="Arial" w:hAnsi="Arial" w:cs="Arial"/>
          <w:color w:val="000000"/>
          <w:sz w:val="22"/>
          <w:shd w:val="clear" w:color="auto" w:fill="FFFFFF"/>
        </w:rPr>
        <w:t>–</w:t>
      </w:r>
      <w:r w:rsidRPr="00733877">
        <w:rPr>
          <w:rFonts w:ascii="Arial" w:hAnsi="Arial" w:cs="Arial"/>
          <w:color w:val="000000"/>
          <w:sz w:val="22"/>
          <w:shd w:val="clear" w:color="auto" w:fill="FFFFFF"/>
        </w:rPr>
        <w:t>.  </w:t>
      </w:r>
    </w:p>
    <w:p w:rsidRPr="005379D0" w:rsidR="00897650" w:rsidP="001D55B4" w:rsidRDefault="00897650" w14:paraId="323EE313" w14:textId="5C07EEED">
      <w:pPr>
        <w:pStyle w:val="Sinespaciado"/>
        <w:spacing w:before="120" w:after="120" w:line="276" w:lineRule="auto"/>
        <w:ind w:firstLine="708"/>
        <w:jc w:val="both"/>
        <w:rPr>
          <w:rFonts w:ascii="Arial" w:hAnsi="Arial" w:cs="Arial"/>
          <w:color w:val="000000" w:themeColor="text1"/>
          <w:sz w:val="22"/>
          <w:lang w:val="es-ES_tradnl"/>
        </w:rPr>
      </w:pPr>
      <w:r w:rsidRPr="005379D0">
        <w:rPr>
          <w:rFonts w:ascii="Arial" w:hAnsi="Arial" w:cs="Arial"/>
          <w:color w:val="000000" w:themeColor="text1"/>
          <w:sz w:val="22"/>
          <w:lang w:val="es-ES_tradnl"/>
        </w:rPr>
        <w:t xml:space="preserve">De este modo, a efectos de su pregunta, es posible concluir que en los eventos en que exista «acta de terminación con actividades pendientes» o documentos análogos debe determinarse si, producto de dicha acta, se dio inicio a la etapa de liquidación contractual, evento en el cual, con independencia de que existan o no prestaciones pendientes por ejecutar, esos contratos no deberán ser tenidos en cuenta para el cálculo de la capacidad residual, pues no son </w:t>
      </w:r>
      <w:r w:rsidRPr="006709D2" w:rsidR="006709D2">
        <w:rPr>
          <w:rFonts w:ascii="Arial" w:hAnsi="Arial" w:cs="Arial"/>
          <w:i/>
          <w:iCs/>
          <w:color w:val="000000" w:themeColor="text1"/>
          <w:sz w:val="22"/>
          <w:lang w:val="es-ES_tradnl"/>
        </w:rPr>
        <w:t>«contratos en ejecución»</w:t>
      </w:r>
      <w:r w:rsidRPr="005379D0">
        <w:rPr>
          <w:rFonts w:ascii="Arial" w:hAnsi="Arial" w:cs="Arial"/>
          <w:color w:val="000000" w:themeColor="text1"/>
          <w:sz w:val="22"/>
          <w:lang w:val="es-ES_tradnl"/>
        </w:rPr>
        <w:t xml:space="preserve">, sino en liquidación. Por el contrario, si esa acta o sus similares no implican el inicio de la etapa de liquidación contractual, los contratos son catalogables como </w:t>
      </w:r>
      <w:r w:rsidRPr="006709D2">
        <w:rPr>
          <w:rFonts w:ascii="Arial" w:hAnsi="Arial" w:cs="Arial"/>
          <w:i/>
          <w:iCs/>
          <w:color w:val="000000" w:themeColor="text1"/>
          <w:sz w:val="22"/>
          <w:lang w:val="es-ES_tradnl"/>
        </w:rPr>
        <w:t>«contratos en ejecución»</w:t>
      </w:r>
      <w:r w:rsidRPr="005379D0">
        <w:rPr>
          <w:rFonts w:ascii="Arial" w:hAnsi="Arial" w:cs="Arial"/>
          <w:color w:val="000000" w:themeColor="text1"/>
          <w:sz w:val="22"/>
          <w:lang w:val="es-ES_tradnl"/>
        </w:rPr>
        <w:t xml:space="preserve"> y, de ese modo, deben ser tenidos en cuenta para el cálculo de la capacidad residual.</w:t>
      </w:r>
      <w:r w:rsidR="00FD0664">
        <w:rPr>
          <w:rFonts w:ascii="Arial" w:hAnsi="Arial" w:cs="Arial"/>
          <w:color w:val="000000" w:themeColor="text1"/>
          <w:sz w:val="22"/>
          <w:lang w:val="es-ES_tradnl"/>
        </w:rPr>
        <w:t xml:space="preserve"> </w:t>
      </w:r>
    </w:p>
    <w:p w:rsidRPr="00B0659B" w:rsidR="003037F6" w:rsidP="00897650" w:rsidRDefault="003037F6" w14:paraId="7F0A51E3" w14:textId="77777777">
      <w:pPr>
        <w:spacing w:line="276" w:lineRule="auto"/>
        <w:jc w:val="both"/>
        <w:rPr>
          <w:rFonts w:ascii="Arial" w:hAnsi="Arial" w:eastAsia="Arial" w:cs="Arial"/>
          <w:sz w:val="22"/>
          <w:szCs w:val="22"/>
          <w:lang w:val="es-ES" w:eastAsia="es-ES" w:bidi="es-ES"/>
        </w:rPr>
      </w:pPr>
    </w:p>
    <w:p w:rsidR="003C7067" w:rsidP="003C7067" w:rsidRDefault="003C7067" w14:paraId="1C1BEAFF" w14:textId="079E0FD0">
      <w:pPr>
        <w:tabs>
          <w:tab w:val="left" w:pos="709"/>
        </w:tabs>
        <w:spacing w:line="276" w:lineRule="auto"/>
        <w:jc w:val="both"/>
        <w:rPr>
          <w:rFonts w:ascii="Arial" w:hAnsi="Arial" w:eastAsia="Calibri" w:cs="Arial"/>
          <w:b/>
          <w:sz w:val="22"/>
          <w:szCs w:val="22"/>
          <w:lang w:val="es-ES"/>
        </w:rPr>
      </w:pPr>
      <w:r w:rsidRPr="00B0659B">
        <w:rPr>
          <w:rFonts w:ascii="Arial" w:hAnsi="Arial" w:eastAsia="Calibri" w:cs="Arial"/>
          <w:b/>
          <w:sz w:val="22"/>
          <w:szCs w:val="22"/>
          <w:lang w:val="es-ES"/>
        </w:rPr>
        <w:t>3. Respuesta</w:t>
      </w:r>
    </w:p>
    <w:p w:rsidR="00733877" w:rsidP="003C7067" w:rsidRDefault="00733877" w14:paraId="55D15BDA" w14:textId="5BBDAA5D">
      <w:pPr>
        <w:tabs>
          <w:tab w:val="left" w:pos="709"/>
        </w:tabs>
        <w:spacing w:line="276" w:lineRule="auto"/>
        <w:jc w:val="both"/>
        <w:rPr>
          <w:rFonts w:ascii="Arial" w:hAnsi="Arial" w:eastAsia="Calibri" w:cs="Arial"/>
          <w:b/>
          <w:sz w:val="22"/>
          <w:szCs w:val="22"/>
          <w:lang w:val="es-ES"/>
        </w:rPr>
      </w:pPr>
    </w:p>
    <w:p w:rsidR="00897650" w:rsidP="00733877" w:rsidRDefault="00733877" w14:paraId="5325D235" w14:textId="32BC7F76">
      <w:pPr>
        <w:pStyle w:val="NormalWeb"/>
        <w:spacing w:before="0" w:beforeAutospacing="0" w:after="0" w:afterAutospacing="0"/>
        <w:ind w:left="709" w:right="709"/>
        <w:jc w:val="both"/>
        <w:rPr>
          <w:rFonts w:ascii="Arial" w:hAnsi="Arial" w:cs="Arial"/>
          <w:sz w:val="21"/>
          <w:szCs w:val="21"/>
        </w:rPr>
      </w:pPr>
      <w:r w:rsidRPr="00897650">
        <w:rPr>
          <w:rFonts w:ascii="Arial" w:hAnsi="Arial" w:cs="Arial"/>
          <w:sz w:val="21"/>
          <w:szCs w:val="21"/>
        </w:rPr>
        <w:t>«[…] los oferentes o las entidades públicas en el momento de la evaluación debe (sic) tener en cuenta como contrato en ejecución los contratos con ACTA DE TERMINACION CON ACTIVIDADES PENDIENTES, O se debe tomar como se muestra anteriormente que dice textualmente NO SE ENTENDERÁN COMO CONTRATOS EN EJECUCIÓN LOS QUE SE ENCUENTREN EN LIQUIDACIÓN»</w:t>
      </w:r>
      <w:r>
        <w:rPr>
          <w:rFonts w:ascii="Arial" w:hAnsi="Arial" w:cs="Arial"/>
          <w:sz w:val="21"/>
          <w:szCs w:val="21"/>
        </w:rPr>
        <w:t>.</w:t>
      </w:r>
    </w:p>
    <w:p w:rsidRPr="00733877" w:rsidR="00733877" w:rsidP="00733877" w:rsidRDefault="00733877" w14:paraId="04729229" w14:textId="77777777">
      <w:pPr>
        <w:pStyle w:val="NormalWeb"/>
        <w:spacing w:before="0" w:beforeAutospacing="0" w:after="0" w:afterAutospacing="0"/>
        <w:ind w:left="709" w:right="709"/>
        <w:jc w:val="both"/>
        <w:rPr>
          <w:rFonts w:ascii="Arial" w:hAnsi="Arial" w:cs="Arial"/>
          <w:sz w:val="21"/>
          <w:szCs w:val="21"/>
        </w:rPr>
      </w:pPr>
    </w:p>
    <w:p w:rsidR="00897650" w:rsidP="00897650" w:rsidRDefault="00897650" w14:paraId="76B0B693" w14:textId="25A479E5">
      <w:pPr>
        <w:pStyle w:val="NormalWeb"/>
        <w:spacing w:before="0" w:beforeAutospacing="0" w:after="120" w:afterAutospacing="0" w:line="276" w:lineRule="auto"/>
        <w:jc w:val="both"/>
        <w:rPr>
          <w:rFonts w:ascii="Arial" w:hAnsi="Arial" w:cs="Arial"/>
          <w:color w:val="000000" w:themeColor="text1"/>
          <w:sz w:val="22"/>
          <w:lang w:val="es-ES_tradnl"/>
        </w:rPr>
      </w:pPr>
      <w:r w:rsidRPr="00073AA8">
        <w:rPr>
          <w:rFonts w:ascii="Arial" w:hAnsi="Arial" w:cs="Arial"/>
          <w:sz w:val="22"/>
          <w:szCs w:val="22"/>
        </w:rPr>
        <w:t xml:space="preserve">De </w:t>
      </w:r>
      <w:r>
        <w:rPr>
          <w:rFonts w:ascii="Arial" w:hAnsi="Arial" w:cs="Arial"/>
          <w:sz w:val="22"/>
          <w:szCs w:val="22"/>
        </w:rPr>
        <w:t>conformidad con lo expuesto</w:t>
      </w:r>
      <w:r w:rsidRPr="00073AA8">
        <w:rPr>
          <w:rFonts w:ascii="Arial" w:hAnsi="Arial" w:cs="Arial"/>
          <w:sz w:val="22"/>
          <w:szCs w:val="22"/>
        </w:rPr>
        <w:t xml:space="preserve">, </w:t>
      </w:r>
      <w:r>
        <w:rPr>
          <w:rFonts w:ascii="Arial" w:hAnsi="Arial" w:cs="Arial"/>
          <w:sz w:val="22"/>
          <w:szCs w:val="22"/>
        </w:rPr>
        <w:t xml:space="preserve">es posible concluir que, si bien </w:t>
      </w:r>
      <w:r w:rsidRPr="00073AA8">
        <w:rPr>
          <w:rFonts w:ascii="Arial" w:hAnsi="Arial" w:cs="Arial"/>
          <w:sz w:val="22"/>
          <w:szCs w:val="22"/>
        </w:rPr>
        <w:t xml:space="preserve">los saldos de contratos en ejecución corresponden a aquellos contratos que al momento de la presentación de la oferta obligan al proponente, es decir, </w:t>
      </w:r>
      <w:r>
        <w:rPr>
          <w:rFonts w:ascii="Arial" w:hAnsi="Arial" w:cs="Arial"/>
          <w:sz w:val="22"/>
          <w:szCs w:val="22"/>
        </w:rPr>
        <w:t xml:space="preserve">en los que </w:t>
      </w:r>
      <w:r w:rsidRPr="00073AA8">
        <w:rPr>
          <w:rFonts w:ascii="Arial" w:hAnsi="Arial" w:cs="Arial"/>
          <w:sz w:val="22"/>
          <w:szCs w:val="22"/>
        </w:rPr>
        <w:t>el proponente tiene obligaciones pendientes</w:t>
      </w:r>
      <w:r>
        <w:rPr>
          <w:rFonts w:ascii="Arial" w:hAnsi="Arial" w:cs="Arial"/>
          <w:sz w:val="22"/>
          <w:szCs w:val="22"/>
        </w:rPr>
        <w:t xml:space="preserve"> de ejecutar</w:t>
      </w:r>
      <w:r w:rsidR="006709D2">
        <w:rPr>
          <w:rFonts w:ascii="Arial" w:hAnsi="Arial" w:cs="Arial"/>
          <w:sz w:val="22"/>
          <w:szCs w:val="22"/>
        </w:rPr>
        <w:t>,</w:t>
      </w:r>
      <w:r w:rsidRPr="00073AA8">
        <w:rPr>
          <w:rFonts w:ascii="Arial" w:hAnsi="Arial" w:cs="Arial"/>
          <w:sz w:val="22"/>
          <w:szCs w:val="22"/>
        </w:rPr>
        <w:t xml:space="preserve"> bien sea con entidades estatales o entidades privadas</w:t>
      </w:r>
      <w:r>
        <w:rPr>
          <w:rFonts w:ascii="Arial" w:hAnsi="Arial" w:cs="Arial"/>
          <w:sz w:val="22"/>
          <w:szCs w:val="22"/>
        </w:rPr>
        <w:t xml:space="preserve">, este tipo de saldos afecta la capacidad residual del proponente única y exclusivamente cuando se trate de </w:t>
      </w:r>
      <w:r w:rsidRPr="006709D2">
        <w:rPr>
          <w:rFonts w:ascii="Arial" w:hAnsi="Arial" w:cs="Arial"/>
          <w:i/>
          <w:iCs/>
          <w:color w:val="000000" w:themeColor="text1"/>
          <w:sz w:val="22"/>
          <w:lang w:val="es-ES_tradnl"/>
        </w:rPr>
        <w:t>«contratos en ejecución»</w:t>
      </w:r>
      <w:r>
        <w:rPr>
          <w:rFonts w:ascii="Arial" w:hAnsi="Arial" w:cs="Arial"/>
          <w:color w:val="000000" w:themeColor="text1"/>
          <w:sz w:val="22"/>
          <w:lang w:val="es-ES_tradnl"/>
        </w:rPr>
        <w:t>, de los que se excluyen</w:t>
      </w:r>
      <w:r w:rsidR="00E21B4B">
        <w:rPr>
          <w:rFonts w:ascii="Arial" w:hAnsi="Arial" w:cs="Arial"/>
          <w:color w:val="000000" w:themeColor="text1"/>
          <w:sz w:val="22"/>
          <w:lang w:val="es-ES_tradnl"/>
        </w:rPr>
        <w:t>, de manera expresa,</w:t>
      </w:r>
      <w:r>
        <w:rPr>
          <w:rFonts w:ascii="Arial" w:hAnsi="Arial" w:cs="Arial"/>
          <w:color w:val="000000" w:themeColor="text1"/>
          <w:sz w:val="22"/>
          <w:lang w:val="es-ES_tradnl"/>
        </w:rPr>
        <w:t xml:space="preserve"> los contratos que </w:t>
      </w:r>
      <w:r w:rsidRPr="009107DE">
        <w:rPr>
          <w:rFonts w:ascii="Arial" w:hAnsi="Arial" w:cs="Arial"/>
          <w:color w:val="000000" w:themeColor="text1"/>
          <w:sz w:val="22"/>
          <w:lang w:val="es-ES_tradnl"/>
        </w:rPr>
        <w:t>«</w:t>
      </w:r>
      <w:r>
        <w:rPr>
          <w:rFonts w:ascii="Arial" w:hAnsi="Arial" w:cs="Arial"/>
          <w:color w:val="000000" w:themeColor="text1"/>
          <w:sz w:val="22"/>
          <w:lang w:val="es-ES_tradnl"/>
        </w:rPr>
        <w:t>[…] se encuentren en liquidación</w:t>
      </w:r>
      <w:r w:rsidRPr="009107DE">
        <w:rPr>
          <w:rFonts w:ascii="Arial" w:hAnsi="Arial" w:cs="Arial"/>
          <w:color w:val="000000" w:themeColor="text1"/>
          <w:sz w:val="22"/>
          <w:lang w:val="es-ES_tradnl"/>
        </w:rPr>
        <w:t>»</w:t>
      </w:r>
      <w:r>
        <w:rPr>
          <w:rFonts w:ascii="Arial" w:hAnsi="Arial" w:cs="Arial"/>
          <w:color w:val="000000" w:themeColor="text1"/>
          <w:sz w:val="22"/>
          <w:lang w:val="es-ES_tradnl"/>
        </w:rPr>
        <w:t xml:space="preserve">, tanto en la </w:t>
      </w:r>
      <w:r w:rsidRPr="00400E55">
        <w:rPr>
          <w:rFonts w:ascii="Arial" w:hAnsi="Arial" w:cs="Arial"/>
          <w:color w:val="000000" w:themeColor="text1"/>
          <w:sz w:val="22"/>
          <w:lang w:val="es-ES_tradnl"/>
        </w:rPr>
        <w:t>«Guía para Determinar y Verificar la Capacidad Residual del Proponente en los Procesos de Contratación de Obra Pública»</w:t>
      </w:r>
      <w:r>
        <w:rPr>
          <w:rFonts w:ascii="Arial" w:hAnsi="Arial" w:cs="Arial"/>
          <w:color w:val="000000" w:themeColor="text1"/>
          <w:sz w:val="22"/>
          <w:lang w:val="es-ES_tradnl"/>
        </w:rPr>
        <w:t xml:space="preserve">, como en el </w:t>
      </w:r>
      <w:r w:rsidRPr="00400E55">
        <w:rPr>
          <w:rFonts w:ascii="Arial" w:hAnsi="Arial" w:cs="Arial"/>
          <w:color w:val="000000" w:themeColor="text1"/>
          <w:sz w:val="22"/>
          <w:lang w:val="es-ES_tradnl"/>
        </w:rPr>
        <w:t>«</w:t>
      </w:r>
      <w:r>
        <w:rPr>
          <w:rFonts w:ascii="Arial" w:hAnsi="Arial" w:cs="Arial"/>
          <w:color w:val="000000" w:themeColor="text1"/>
          <w:sz w:val="22"/>
          <w:lang w:val="es-ES_tradnl"/>
        </w:rPr>
        <w:t>Documento base</w:t>
      </w:r>
      <w:r w:rsidRPr="00400E55">
        <w:rPr>
          <w:rFonts w:ascii="Arial" w:hAnsi="Arial" w:cs="Arial"/>
          <w:color w:val="000000" w:themeColor="text1"/>
          <w:sz w:val="22"/>
          <w:lang w:val="es-ES_tradnl"/>
        </w:rPr>
        <w:t>»</w:t>
      </w:r>
      <w:r>
        <w:rPr>
          <w:rFonts w:ascii="Arial" w:hAnsi="Arial" w:cs="Arial"/>
          <w:color w:val="000000" w:themeColor="text1"/>
          <w:sz w:val="22"/>
          <w:lang w:val="es-ES_tradnl"/>
        </w:rPr>
        <w:t xml:space="preserve"> de los Documentos tipo para licitación de obra pública de infraestructura de transporte – versión 3.</w:t>
      </w:r>
    </w:p>
    <w:p w:rsidR="001138F8" w:rsidP="00080865" w:rsidRDefault="005C58E7" w14:paraId="7A15EFA0" w14:textId="07A28899">
      <w:pPr>
        <w:pStyle w:val="NormalWeb"/>
        <w:spacing w:before="120" w:beforeAutospacing="0" w:after="0" w:afterAutospacing="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En concordancia con esto</w:t>
      </w:r>
      <w:r w:rsidR="00903415">
        <w:rPr>
          <w:rFonts w:ascii="Arial" w:hAnsi="Arial" w:cs="Arial"/>
          <w:color w:val="000000" w:themeColor="text1"/>
          <w:sz w:val="22"/>
          <w:lang w:val="es-ES_tradnl"/>
        </w:rPr>
        <w:t xml:space="preserve">, </w:t>
      </w:r>
      <w:r w:rsidR="009029DA">
        <w:rPr>
          <w:rFonts w:ascii="Arial" w:hAnsi="Arial" w:cs="Arial"/>
          <w:color w:val="000000" w:themeColor="text1"/>
          <w:sz w:val="22"/>
          <w:lang w:val="es-ES_tradnl"/>
        </w:rPr>
        <w:t>debe advertirse que</w:t>
      </w:r>
      <w:r w:rsidR="001138F8">
        <w:rPr>
          <w:rFonts w:ascii="Arial" w:hAnsi="Arial" w:cs="Arial"/>
          <w:color w:val="000000" w:themeColor="text1"/>
          <w:sz w:val="22"/>
          <w:lang w:val="es-ES_tradnl"/>
        </w:rPr>
        <w:t>,</w:t>
      </w:r>
      <w:r w:rsidR="009029DA">
        <w:rPr>
          <w:rFonts w:ascii="Arial" w:hAnsi="Arial" w:cs="Arial"/>
          <w:color w:val="000000" w:themeColor="text1"/>
          <w:sz w:val="22"/>
          <w:lang w:val="es-ES_tradnl"/>
        </w:rPr>
        <w:t xml:space="preserve"> los efectos de una eventual acta</w:t>
      </w:r>
      <w:r w:rsidR="00866359">
        <w:rPr>
          <w:rFonts w:ascii="Arial" w:hAnsi="Arial" w:cs="Arial"/>
          <w:color w:val="000000" w:themeColor="text1"/>
          <w:sz w:val="22"/>
          <w:lang w:val="es-ES_tradnl"/>
        </w:rPr>
        <w:t xml:space="preserve"> como la que se </w:t>
      </w:r>
      <w:r w:rsidR="00D638EA">
        <w:rPr>
          <w:rFonts w:ascii="Arial" w:hAnsi="Arial" w:cs="Arial"/>
          <w:color w:val="000000" w:themeColor="text1"/>
          <w:sz w:val="22"/>
          <w:lang w:val="es-ES_tradnl"/>
        </w:rPr>
        <w:t>menciona</w:t>
      </w:r>
      <w:r w:rsidR="00866359">
        <w:rPr>
          <w:rFonts w:ascii="Arial" w:hAnsi="Arial" w:cs="Arial"/>
          <w:color w:val="000000" w:themeColor="text1"/>
          <w:sz w:val="22"/>
          <w:lang w:val="es-ES_tradnl"/>
        </w:rPr>
        <w:t xml:space="preserve"> en la consulta</w:t>
      </w:r>
      <w:r w:rsidR="00C935C0">
        <w:rPr>
          <w:rFonts w:ascii="Arial" w:hAnsi="Arial" w:cs="Arial"/>
          <w:color w:val="000000" w:themeColor="text1"/>
          <w:sz w:val="22"/>
          <w:lang w:val="es-ES_tradnl"/>
        </w:rPr>
        <w:t xml:space="preserve"> para el cálculo de la capacidad </w:t>
      </w:r>
      <w:proofErr w:type="gramStart"/>
      <w:r w:rsidR="00C935C0">
        <w:rPr>
          <w:rFonts w:ascii="Arial" w:hAnsi="Arial" w:cs="Arial"/>
          <w:color w:val="000000" w:themeColor="text1"/>
          <w:sz w:val="22"/>
          <w:lang w:val="es-ES_tradnl"/>
        </w:rPr>
        <w:t>residual,</w:t>
      </w:r>
      <w:proofErr w:type="gramEnd"/>
      <w:r w:rsidR="00C935C0">
        <w:rPr>
          <w:rFonts w:ascii="Arial" w:hAnsi="Arial" w:cs="Arial"/>
          <w:color w:val="000000" w:themeColor="text1"/>
          <w:sz w:val="22"/>
          <w:lang w:val="es-ES_tradnl"/>
        </w:rPr>
        <w:t xml:space="preserve"> </w:t>
      </w:r>
      <w:r w:rsidR="00D638EA">
        <w:rPr>
          <w:rFonts w:ascii="Arial" w:hAnsi="Arial" w:cs="Arial"/>
          <w:color w:val="000000" w:themeColor="text1"/>
          <w:sz w:val="22"/>
          <w:lang w:val="es-ES_tradnl"/>
        </w:rPr>
        <w:t>están</w:t>
      </w:r>
      <w:r w:rsidR="00BB718B">
        <w:rPr>
          <w:rFonts w:ascii="Arial" w:hAnsi="Arial" w:cs="Arial"/>
          <w:color w:val="000000" w:themeColor="text1"/>
          <w:sz w:val="22"/>
          <w:lang w:val="es-ES_tradnl"/>
        </w:rPr>
        <w:t xml:space="preserve"> determinad</w:t>
      </w:r>
      <w:r w:rsidR="00BF753E">
        <w:rPr>
          <w:rFonts w:ascii="Arial" w:hAnsi="Arial" w:cs="Arial"/>
          <w:color w:val="000000" w:themeColor="text1"/>
          <w:sz w:val="22"/>
          <w:lang w:val="es-ES_tradnl"/>
        </w:rPr>
        <w:t>os</w:t>
      </w:r>
      <w:r w:rsidR="00BB718B">
        <w:rPr>
          <w:rFonts w:ascii="Arial" w:hAnsi="Arial" w:cs="Arial"/>
          <w:color w:val="000000" w:themeColor="text1"/>
          <w:sz w:val="22"/>
          <w:lang w:val="es-ES_tradnl"/>
        </w:rPr>
        <w:t xml:space="preserve"> por la declaración contenida en el acta, </w:t>
      </w:r>
      <w:r w:rsidR="00D638EA">
        <w:rPr>
          <w:rFonts w:ascii="Arial" w:hAnsi="Arial" w:cs="Arial"/>
          <w:color w:val="000000" w:themeColor="text1"/>
          <w:sz w:val="22"/>
          <w:lang w:val="es-ES_tradnl"/>
        </w:rPr>
        <w:t>máxime considerando</w:t>
      </w:r>
      <w:r w:rsidR="00A14FA2">
        <w:rPr>
          <w:rFonts w:ascii="Arial" w:hAnsi="Arial" w:cs="Arial"/>
          <w:color w:val="000000" w:themeColor="text1"/>
          <w:sz w:val="22"/>
          <w:lang w:val="es-ES_tradnl"/>
        </w:rPr>
        <w:t xml:space="preserve"> </w:t>
      </w:r>
      <w:r w:rsidR="00D638EA">
        <w:rPr>
          <w:rFonts w:ascii="Arial" w:hAnsi="Arial" w:cs="Arial"/>
          <w:color w:val="000000" w:themeColor="text1"/>
          <w:sz w:val="22"/>
          <w:lang w:val="es-ES_tradnl"/>
        </w:rPr>
        <w:t>que</w:t>
      </w:r>
      <w:r w:rsidR="00A14FA2">
        <w:rPr>
          <w:rFonts w:ascii="Arial" w:hAnsi="Arial" w:cs="Arial"/>
          <w:color w:val="000000" w:themeColor="text1"/>
          <w:sz w:val="22"/>
          <w:lang w:val="es-ES_tradnl"/>
        </w:rPr>
        <w:t xml:space="preserve"> </w:t>
      </w:r>
      <w:r w:rsidR="00BD3D2F">
        <w:rPr>
          <w:rFonts w:ascii="Arial" w:hAnsi="Arial" w:cs="Arial"/>
          <w:color w:val="000000" w:themeColor="text1"/>
          <w:sz w:val="22"/>
          <w:lang w:val="es-ES_tradnl"/>
        </w:rPr>
        <w:t xml:space="preserve">la «terminación con actividades pendientes» </w:t>
      </w:r>
      <w:r w:rsidR="00D638EA">
        <w:rPr>
          <w:rFonts w:ascii="Arial" w:hAnsi="Arial" w:cs="Arial"/>
          <w:color w:val="000000" w:themeColor="text1"/>
          <w:sz w:val="22"/>
          <w:lang w:val="es-ES_tradnl"/>
        </w:rPr>
        <w:t xml:space="preserve">no es </w:t>
      </w:r>
      <w:r w:rsidR="00A14FA2">
        <w:rPr>
          <w:rFonts w:ascii="Arial" w:hAnsi="Arial" w:cs="Arial"/>
          <w:color w:val="000000" w:themeColor="text1"/>
          <w:sz w:val="22"/>
          <w:lang w:val="es-ES_tradnl"/>
        </w:rPr>
        <w:t>una categoría en principio relevante para la capacidad residual</w:t>
      </w:r>
      <w:r w:rsidR="00D638EA">
        <w:rPr>
          <w:rFonts w:ascii="Arial" w:hAnsi="Arial" w:cs="Arial"/>
          <w:color w:val="000000" w:themeColor="text1"/>
          <w:sz w:val="22"/>
          <w:lang w:val="es-ES_tradnl"/>
        </w:rPr>
        <w:t xml:space="preserve">, o que tenga </w:t>
      </w:r>
      <w:r w:rsidR="00BF753E">
        <w:rPr>
          <w:rFonts w:ascii="Arial" w:hAnsi="Arial" w:cs="Arial"/>
          <w:color w:val="000000" w:themeColor="text1"/>
          <w:sz w:val="22"/>
          <w:lang w:val="es-ES_tradnl"/>
        </w:rPr>
        <w:t>algún efecto especialmente asignado por la metodología establecida en la guía</w:t>
      </w:r>
      <w:r w:rsidR="00D0111C">
        <w:rPr>
          <w:rFonts w:ascii="Arial" w:hAnsi="Arial" w:cs="Arial"/>
          <w:color w:val="000000" w:themeColor="text1"/>
          <w:sz w:val="22"/>
          <w:lang w:val="es-ES_tradnl"/>
        </w:rPr>
        <w:t xml:space="preserve">. </w:t>
      </w:r>
      <w:r w:rsidR="00167236">
        <w:rPr>
          <w:rFonts w:ascii="Arial" w:hAnsi="Arial" w:cs="Arial"/>
          <w:color w:val="000000" w:themeColor="text1"/>
          <w:sz w:val="22"/>
          <w:lang w:val="es-ES_tradnl"/>
        </w:rPr>
        <w:t>De esta forma, si,</w:t>
      </w:r>
      <w:r w:rsidR="00B64E19">
        <w:rPr>
          <w:rFonts w:ascii="Arial" w:hAnsi="Arial" w:cs="Arial"/>
          <w:color w:val="000000" w:themeColor="text1"/>
          <w:sz w:val="22"/>
          <w:lang w:val="es-ES_tradnl"/>
        </w:rPr>
        <w:t xml:space="preserve"> por ejemplo,</w:t>
      </w:r>
      <w:r w:rsidR="00D0111C">
        <w:rPr>
          <w:rFonts w:ascii="Arial" w:hAnsi="Arial" w:cs="Arial"/>
          <w:color w:val="000000" w:themeColor="text1"/>
          <w:sz w:val="22"/>
          <w:lang w:val="es-ES_tradnl"/>
        </w:rPr>
        <w:t xml:space="preserve"> lo que determina el acta es una suspensión, al tenor de lo dispuesto en la guía, el contrato deberá tenerse en cuenta dentro del saldo de contratos en ejecución</w:t>
      </w:r>
      <w:r w:rsidR="00D51025">
        <w:rPr>
          <w:rFonts w:ascii="Arial" w:hAnsi="Arial" w:cs="Arial"/>
          <w:color w:val="000000" w:themeColor="text1"/>
          <w:sz w:val="22"/>
          <w:lang w:val="es-ES_tradnl"/>
        </w:rPr>
        <w:t xml:space="preserve">. </w:t>
      </w:r>
      <w:r w:rsidR="00BC3BED">
        <w:rPr>
          <w:rFonts w:ascii="Arial" w:hAnsi="Arial" w:cs="Arial"/>
          <w:color w:val="000000" w:themeColor="text1"/>
          <w:sz w:val="22"/>
          <w:lang w:val="es-ES_tradnl"/>
        </w:rPr>
        <w:t xml:space="preserve"> </w:t>
      </w:r>
      <w:r w:rsidR="00D51025">
        <w:rPr>
          <w:rFonts w:ascii="Arial" w:hAnsi="Arial" w:cs="Arial"/>
          <w:color w:val="000000" w:themeColor="text1"/>
          <w:sz w:val="22"/>
          <w:lang w:val="es-ES_tradnl"/>
        </w:rPr>
        <w:t>P</w:t>
      </w:r>
      <w:r w:rsidR="00BC3BED">
        <w:rPr>
          <w:rFonts w:ascii="Arial" w:hAnsi="Arial" w:cs="Arial"/>
          <w:color w:val="000000" w:themeColor="text1"/>
          <w:sz w:val="22"/>
          <w:lang w:val="es-ES_tradnl"/>
        </w:rPr>
        <w:t>ero</w:t>
      </w:r>
      <w:r w:rsidR="00D51025">
        <w:rPr>
          <w:rFonts w:ascii="Arial" w:hAnsi="Arial" w:cs="Arial"/>
          <w:color w:val="000000" w:themeColor="text1"/>
          <w:sz w:val="22"/>
          <w:lang w:val="es-ES_tradnl"/>
        </w:rPr>
        <w:t>,</w:t>
      </w:r>
      <w:r w:rsidR="00BC3BED">
        <w:rPr>
          <w:rFonts w:ascii="Arial" w:hAnsi="Arial" w:cs="Arial"/>
          <w:color w:val="000000" w:themeColor="text1"/>
          <w:sz w:val="22"/>
          <w:lang w:val="es-ES_tradnl"/>
        </w:rPr>
        <w:t xml:space="preserve"> si</w:t>
      </w:r>
      <w:r w:rsidR="00D51025">
        <w:rPr>
          <w:rFonts w:ascii="Arial" w:hAnsi="Arial" w:cs="Arial"/>
          <w:color w:val="000000" w:themeColor="text1"/>
          <w:sz w:val="22"/>
          <w:lang w:val="es-ES_tradnl"/>
        </w:rPr>
        <w:t xml:space="preserve"> en cambio</w:t>
      </w:r>
      <w:r w:rsidR="00BC3BED">
        <w:rPr>
          <w:rFonts w:ascii="Arial" w:hAnsi="Arial" w:cs="Arial"/>
          <w:color w:val="000000" w:themeColor="text1"/>
          <w:sz w:val="22"/>
          <w:lang w:val="es-ES_tradnl"/>
        </w:rPr>
        <w:t xml:space="preserve"> </w:t>
      </w:r>
      <w:r w:rsidR="00D51025">
        <w:rPr>
          <w:rFonts w:ascii="Arial" w:hAnsi="Arial" w:cs="Arial"/>
          <w:color w:val="000000" w:themeColor="text1"/>
          <w:sz w:val="22"/>
          <w:lang w:val="es-ES_tradnl"/>
        </w:rPr>
        <w:t xml:space="preserve">lo que se acordó fue </w:t>
      </w:r>
      <w:r w:rsidR="00B33D81">
        <w:rPr>
          <w:rFonts w:ascii="Arial" w:hAnsi="Arial" w:cs="Arial"/>
          <w:color w:val="000000" w:themeColor="text1"/>
          <w:sz w:val="22"/>
          <w:lang w:val="es-ES_tradnl"/>
        </w:rPr>
        <w:t>iniciar</w:t>
      </w:r>
      <w:r w:rsidR="00D51025">
        <w:rPr>
          <w:rFonts w:ascii="Arial" w:hAnsi="Arial" w:cs="Arial"/>
          <w:color w:val="000000" w:themeColor="text1"/>
          <w:sz w:val="22"/>
          <w:lang w:val="es-ES_tradnl"/>
        </w:rPr>
        <w:t xml:space="preserve"> etapa de liquidación del contrato</w:t>
      </w:r>
      <w:r w:rsidR="007964A8">
        <w:rPr>
          <w:rFonts w:ascii="Arial" w:hAnsi="Arial" w:cs="Arial"/>
          <w:color w:val="000000" w:themeColor="text1"/>
          <w:sz w:val="22"/>
          <w:lang w:val="es-ES_tradnl"/>
        </w:rPr>
        <w:t>, bien podría afirmarse que estos contratos no afectaran la capacidad residual.</w:t>
      </w:r>
      <w:r w:rsidR="00CD45A9">
        <w:rPr>
          <w:rFonts w:ascii="Arial" w:hAnsi="Arial" w:cs="Arial"/>
          <w:color w:val="000000" w:themeColor="text1"/>
          <w:sz w:val="22"/>
          <w:lang w:val="es-ES_tradnl"/>
        </w:rPr>
        <w:t xml:space="preserve"> Lo anterior</w:t>
      </w:r>
      <w:r w:rsidR="00B33D81">
        <w:rPr>
          <w:rFonts w:ascii="Arial" w:hAnsi="Arial" w:cs="Arial"/>
          <w:color w:val="000000" w:themeColor="text1"/>
          <w:sz w:val="22"/>
          <w:lang w:val="es-ES_tradnl"/>
        </w:rPr>
        <w:t xml:space="preserve"> sin perjuicio de la posibilidad de recibir obras por fuera del plazo contractual, conforme a los criterios jurisprudenciales expuestos. </w:t>
      </w:r>
    </w:p>
    <w:p w:rsidR="00C60367" w:rsidP="00080865" w:rsidRDefault="00C60367" w14:paraId="7664507C" w14:textId="77777777">
      <w:pPr>
        <w:pStyle w:val="NormalWeb"/>
        <w:spacing w:before="0" w:beforeAutospacing="0" w:after="0" w:afterAutospacing="0" w:line="276" w:lineRule="auto"/>
        <w:ind w:firstLine="708"/>
        <w:jc w:val="both"/>
        <w:rPr>
          <w:rFonts w:ascii="Arial" w:hAnsi="Arial" w:cs="Arial"/>
          <w:color w:val="000000" w:themeColor="text1"/>
          <w:sz w:val="22"/>
          <w:lang w:val="es-ES_tradnl"/>
        </w:rPr>
      </w:pPr>
    </w:p>
    <w:p w:rsidRPr="00B0659B" w:rsidR="003C7067" w:rsidP="003C7067" w:rsidRDefault="003C7067" w14:paraId="31DA7007" w14:textId="77777777">
      <w:pPr>
        <w:spacing w:line="276" w:lineRule="auto"/>
        <w:jc w:val="both"/>
        <w:rPr>
          <w:rFonts w:ascii="Arial" w:hAnsi="Arial" w:eastAsia="Calibri" w:cs="Arial"/>
          <w:sz w:val="22"/>
          <w:szCs w:val="22"/>
          <w:lang w:val="es-ES"/>
        </w:rPr>
      </w:pPr>
      <w:r w:rsidRPr="00B0659B">
        <w:rPr>
          <w:rFonts w:ascii="Arial" w:hAnsi="Arial" w:eastAsia="Calibri" w:cs="Arial"/>
          <w:sz w:val="22"/>
          <w:szCs w:val="22"/>
          <w:lang w:val="es-ES"/>
        </w:rPr>
        <w:t>Este concepto tiene el alcance previsto en el artículo 28 del Código de Procedimiento Administrativo y de lo Contencioso Administrativo.</w:t>
      </w:r>
    </w:p>
    <w:p w:rsidRPr="00B0659B" w:rsidR="003C7067" w:rsidP="003C7067" w:rsidRDefault="003C7067" w14:paraId="2408787D" w14:textId="77777777">
      <w:pPr>
        <w:jc w:val="both"/>
        <w:rPr>
          <w:rFonts w:ascii="Arial" w:hAnsi="Arial" w:eastAsia="Calibri" w:cs="Arial"/>
          <w:sz w:val="22"/>
          <w:szCs w:val="22"/>
          <w:lang w:val="es-ES"/>
        </w:rPr>
      </w:pPr>
    </w:p>
    <w:p w:rsidR="003C7067" w:rsidP="003C7067" w:rsidRDefault="003C7067" w14:paraId="740312DF" w14:textId="21B1199B">
      <w:pPr>
        <w:jc w:val="both"/>
        <w:rPr>
          <w:rFonts w:ascii="Arial" w:hAnsi="Arial" w:cs="Arial"/>
          <w:sz w:val="22"/>
          <w:szCs w:val="22"/>
          <w:lang w:val="es-ES" w:eastAsia="es-CO"/>
        </w:rPr>
      </w:pPr>
      <w:r w:rsidRPr="00B0659B">
        <w:rPr>
          <w:rFonts w:ascii="Arial" w:hAnsi="Arial" w:cs="Arial"/>
          <w:sz w:val="22"/>
          <w:szCs w:val="22"/>
          <w:lang w:val="es-ES" w:eastAsia="es-CO"/>
        </w:rPr>
        <w:t>Atentamente,</w:t>
      </w:r>
    </w:p>
    <w:p w:rsidRPr="00B0659B" w:rsidR="00E21B4B" w:rsidP="003C7067" w:rsidRDefault="00E21B4B" w14:paraId="22301A9D" w14:textId="77777777">
      <w:pPr>
        <w:jc w:val="both"/>
        <w:rPr>
          <w:rFonts w:ascii="Arial" w:hAnsi="Arial" w:cs="Arial"/>
          <w:sz w:val="22"/>
          <w:szCs w:val="22"/>
          <w:lang w:val="es-ES" w:eastAsia="es-CO"/>
        </w:rPr>
      </w:pPr>
    </w:p>
    <w:p w:rsidR="003C7067" w:rsidP="575D55A6" w:rsidRDefault="003C7067" w14:paraId="34F7EF72" w14:textId="34D32A90">
      <w:pPr>
        <w:pStyle w:val="Normal"/>
        <w:jc w:val="center"/>
        <w:rPr>
          <w:rFonts w:ascii="Times New Roman" w:hAnsi="Times New Roman" w:eastAsia="Times New Roman" w:cs="Times New Roman"/>
          <w:lang w:val="es-ES" w:eastAsia="es-CO"/>
        </w:rPr>
      </w:pPr>
      <w:r w:rsidR="575D55A6">
        <w:drawing>
          <wp:inline wp14:editId="6C4ED819" wp14:anchorId="04157752">
            <wp:extent cx="2714625" cy="1152525"/>
            <wp:effectExtent l="0" t="0" r="0" b="0"/>
            <wp:docPr id="1012622307"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c7e86128eba04425">
                      <a:extLst>
                        <a:ext xmlns:a="http://schemas.openxmlformats.org/drawingml/2006/main" uri="{28A0092B-C50C-407E-A947-70E740481C1C}">
                          <a14:useLocalDpi val="0"/>
                        </a:ext>
                      </a:extLst>
                    </a:blip>
                    <a:stretch>
                      <a:fillRect/>
                    </a:stretch>
                  </pic:blipFill>
                  <pic:spPr>
                    <a:xfrm>
                      <a:off x="0" y="0"/>
                      <a:ext cx="2714625" cy="1152525"/>
                    </a:xfrm>
                    <a:prstGeom prst="rect">
                      <a:avLst/>
                    </a:prstGeom>
                  </pic:spPr>
                </pic:pic>
              </a:graphicData>
            </a:graphic>
          </wp:inline>
        </w:drawing>
      </w:r>
    </w:p>
    <w:p w:rsidRPr="00B0659B" w:rsidR="00E21B4B" w:rsidP="003C7067" w:rsidRDefault="00E21B4B" w14:paraId="10943B3C" w14:textId="77777777">
      <w:pPr>
        <w:jc w:val="center"/>
        <w:rPr>
          <w:rFonts w:ascii="Arial" w:hAnsi="Arial" w:cs="Arial"/>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0659B" w:rsidR="003C7067" w:rsidTr="00406F4B" w14:paraId="67DFEBDD" w14:textId="77777777">
        <w:trPr>
          <w:trHeight w:val="315"/>
        </w:trPr>
        <w:tc>
          <w:tcPr>
            <w:tcW w:w="812" w:type="dxa"/>
            <w:vAlign w:val="center"/>
            <w:hideMark/>
          </w:tcPr>
          <w:p w:rsidRPr="00B0659B" w:rsidR="003C7067" w:rsidP="00406F4B" w:rsidRDefault="003C7067" w14:paraId="586E9637" w14:textId="77777777">
            <w:pPr>
              <w:rPr>
                <w:rFonts w:ascii="Arial" w:hAnsi="Arial" w:cs="Arial"/>
                <w:sz w:val="16"/>
                <w:szCs w:val="16"/>
                <w:lang w:val="es-ES" w:eastAsia="es-ES"/>
              </w:rPr>
            </w:pPr>
            <w:r w:rsidRPr="00B0659B">
              <w:rPr>
                <w:rFonts w:ascii="Arial" w:hAnsi="Arial" w:cs="Arial"/>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B0659B" w:rsidR="003C7067" w:rsidP="00406F4B" w:rsidRDefault="003C7067" w14:paraId="2585B1D8" w14:textId="77777777">
            <w:pPr>
              <w:rPr>
                <w:rFonts w:ascii="Arial" w:hAnsi="Arial" w:cs="Arial"/>
                <w:sz w:val="16"/>
                <w:szCs w:val="16"/>
                <w:lang w:val="es-ES" w:eastAsia="es-ES"/>
              </w:rPr>
            </w:pPr>
            <w:r w:rsidRPr="00B0659B">
              <w:rPr>
                <w:rFonts w:ascii="Arial" w:hAnsi="Arial" w:cs="Arial"/>
                <w:sz w:val="16"/>
                <w:szCs w:val="16"/>
                <w:lang w:val="es-ES" w:eastAsia="es-ES"/>
              </w:rPr>
              <w:t xml:space="preserve">Camilo Perdomo Villamil </w:t>
            </w:r>
          </w:p>
          <w:p w:rsidRPr="00B0659B" w:rsidR="003C7067" w:rsidP="00406F4B" w:rsidRDefault="003C7067" w14:paraId="15047A99" w14:textId="77777777">
            <w:pPr>
              <w:rPr>
                <w:rFonts w:ascii="Arial" w:hAnsi="Arial" w:cs="Arial"/>
                <w:sz w:val="16"/>
                <w:szCs w:val="16"/>
                <w:lang w:val="es-ES" w:eastAsia="es-ES"/>
              </w:rPr>
            </w:pPr>
            <w:r w:rsidRPr="00B0659B">
              <w:rPr>
                <w:rFonts w:ascii="Arial" w:hAnsi="Arial" w:cs="Arial"/>
                <w:sz w:val="16"/>
                <w:szCs w:val="16"/>
                <w:lang w:val="es-ES" w:eastAsia="es-ES"/>
              </w:rPr>
              <w:t>Contratista de la Subdirección de Gestión Contractual</w:t>
            </w:r>
          </w:p>
        </w:tc>
      </w:tr>
      <w:tr w:rsidRPr="00B0659B" w:rsidR="003C7067" w:rsidTr="00406F4B" w14:paraId="5E040385" w14:textId="77777777">
        <w:trPr>
          <w:trHeight w:val="330"/>
        </w:trPr>
        <w:tc>
          <w:tcPr>
            <w:tcW w:w="812" w:type="dxa"/>
            <w:vAlign w:val="center"/>
            <w:hideMark/>
          </w:tcPr>
          <w:p w:rsidRPr="00B0659B" w:rsidR="003C7067" w:rsidP="00406F4B" w:rsidRDefault="003C7067" w14:paraId="1468648A" w14:textId="77777777">
            <w:pPr>
              <w:rPr>
                <w:rFonts w:ascii="Arial" w:hAnsi="Arial" w:cs="Arial"/>
                <w:sz w:val="16"/>
                <w:szCs w:val="16"/>
                <w:lang w:val="es-ES" w:eastAsia="es-ES"/>
              </w:rPr>
            </w:pPr>
            <w:r w:rsidRPr="00B0659B">
              <w:rPr>
                <w:rFonts w:ascii="Arial" w:hAnsi="Arial" w:cs="Arial"/>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F5860" w:rsidR="00231FB4" w:rsidP="00231FB4" w:rsidRDefault="00231FB4" w14:paraId="2F5EAE5A" w14:textId="77777777">
            <w:pPr>
              <w:rPr>
                <w:rFonts w:ascii="Arial" w:hAnsi="Arial" w:cs="Arial"/>
                <w:sz w:val="16"/>
                <w:szCs w:val="16"/>
                <w:lang w:val="es-ES" w:eastAsia="es-ES"/>
              </w:rPr>
            </w:pPr>
            <w:r w:rsidRPr="009F5860">
              <w:rPr>
                <w:rFonts w:ascii="Arial" w:hAnsi="Arial" w:cs="Arial"/>
                <w:sz w:val="16"/>
                <w:szCs w:val="16"/>
                <w:lang w:val="es-ES" w:eastAsia="es-ES"/>
              </w:rPr>
              <w:t>Alejandro Sarmiento Cantillo</w:t>
            </w:r>
          </w:p>
          <w:p w:rsidRPr="00B0659B" w:rsidR="007D2560" w:rsidP="00231FB4" w:rsidRDefault="00231FB4" w14:paraId="202F9F6E" w14:textId="492A54AE">
            <w:pPr>
              <w:rPr>
                <w:rFonts w:ascii="Arial" w:hAnsi="Arial" w:cs="Arial"/>
                <w:sz w:val="16"/>
                <w:szCs w:val="16"/>
                <w:lang w:val="es-ES" w:eastAsia="es-ES"/>
              </w:rPr>
            </w:pPr>
            <w:r w:rsidRPr="009F5860">
              <w:rPr>
                <w:rFonts w:ascii="Arial" w:hAnsi="Arial" w:cs="Arial"/>
                <w:sz w:val="16"/>
                <w:szCs w:val="16"/>
                <w:lang w:val="es-ES" w:eastAsia="es-ES"/>
              </w:rPr>
              <w:t>Gestor T1-1</w:t>
            </w:r>
            <w:r w:rsidR="004C442F">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r w:rsidRPr="00B0659B">
              <w:rPr>
                <w:rFonts w:ascii="Arial" w:hAnsi="Arial" w:cs="Arial"/>
                <w:sz w:val="16"/>
                <w:szCs w:val="16"/>
                <w:lang w:val="es-ES" w:eastAsia="es-ES"/>
              </w:rPr>
              <w:t xml:space="preserve"> </w:t>
            </w:r>
          </w:p>
        </w:tc>
      </w:tr>
      <w:tr w:rsidRPr="00C00312" w:rsidR="003C7067" w:rsidTr="00406F4B" w14:paraId="65581C44" w14:textId="77777777">
        <w:trPr>
          <w:trHeight w:val="300"/>
        </w:trPr>
        <w:tc>
          <w:tcPr>
            <w:tcW w:w="812" w:type="dxa"/>
            <w:vAlign w:val="center"/>
            <w:hideMark/>
          </w:tcPr>
          <w:p w:rsidRPr="00B0659B" w:rsidR="003C7067" w:rsidP="00406F4B" w:rsidRDefault="003C7067" w14:paraId="5B07E6DF" w14:textId="77777777">
            <w:pPr>
              <w:rPr>
                <w:rFonts w:ascii="Arial" w:hAnsi="Arial" w:cs="Arial"/>
                <w:sz w:val="16"/>
                <w:szCs w:val="16"/>
                <w:lang w:val="es-ES" w:eastAsia="es-ES"/>
              </w:rPr>
            </w:pPr>
            <w:r w:rsidRPr="00B0659B">
              <w:rPr>
                <w:rFonts w:ascii="Arial" w:hAnsi="Arial" w:cs="Arial"/>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0659B" w:rsidR="003C7067" w:rsidP="00406F4B" w:rsidRDefault="003C7067" w14:paraId="5930E5E2" w14:textId="77777777">
            <w:pPr>
              <w:rPr>
                <w:rFonts w:ascii="Arial" w:hAnsi="Arial" w:cs="Arial"/>
                <w:sz w:val="16"/>
                <w:szCs w:val="16"/>
                <w:lang w:val="es-ES" w:eastAsia="es-ES"/>
              </w:rPr>
            </w:pPr>
            <w:r w:rsidRPr="00B0659B">
              <w:rPr>
                <w:rFonts w:ascii="Arial" w:hAnsi="Arial" w:cs="Arial"/>
                <w:sz w:val="16"/>
                <w:szCs w:val="16"/>
                <w:lang w:val="es-ES" w:eastAsia="es-ES"/>
              </w:rPr>
              <w:t>Jorge Augusto Tirado Navarro</w:t>
            </w:r>
          </w:p>
          <w:p w:rsidRPr="00C00312" w:rsidR="003C7067" w:rsidP="00406F4B" w:rsidRDefault="003C7067" w14:paraId="43EFE605" w14:textId="77777777">
            <w:pPr>
              <w:rPr>
                <w:rFonts w:ascii="Arial" w:hAnsi="Arial" w:cs="Arial"/>
                <w:sz w:val="16"/>
                <w:szCs w:val="16"/>
                <w:lang w:val="es-ES" w:eastAsia="es-ES"/>
              </w:rPr>
            </w:pPr>
            <w:r w:rsidRPr="00B0659B">
              <w:rPr>
                <w:rFonts w:ascii="Arial" w:hAnsi="Arial" w:cs="Arial"/>
                <w:sz w:val="16"/>
                <w:szCs w:val="16"/>
                <w:lang w:val="es-ES" w:eastAsia="es-ES"/>
              </w:rPr>
              <w:t>Subdirector de Gestión Contractual ANCP – CCE</w:t>
            </w:r>
          </w:p>
        </w:tc>
      </w:tr>
    </w:tbl>
    <w:p w:rsidRPr="00C00312" w:rsidR="003C7067" w:rsidP="005256F8" w:rsidRDefault="003C7067" w14:paraId="019B7BEC" w14:textId="77777777">
      <w:pPr>
        <w:rPr>
          <w:rFonts w:ascii="Arial" w:hAnsi="Arial" w:cs="Arial"/>
        </w:rPr>
      </w:pPr>
    </w:p>
    <w:sectPr w:rsidRPr="00C00312" w:rsidR="003C7067" w:rsidSect="007F1895">
      <w:headerReference w:type="default" r:id="rId11"/>
      <w:footerReference w:type="default" r:id="rId12"/>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03A" w:rsidP="003C7067" w:rsidRDefault="00B5103A" w14:paraId="5B444372" w14:textId="77777777">
      <w:r>
        <w:separator/>
      </w:r>
    </w:p>
  </w:endnote>
  <w:endnote w:type="continuationSeparator" w:id="0">
    <w:p w:rsidR="00B5103A" w:rsidP="003C7067" w:rsidRDefault="00B5103A" w14:paraId="726313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7886" w:rsidP="007F1895" w:rsidRDefault="00B5103A" w14:paraId="262BF19D" w14:textId="77777777">
    <w:pPr>
      <w:pStyle w:val="Sinespaciado"/>
      <w:jc w:val="right"/>
      <w:rPr>
        <w:rFonts w:ascii="Arial" w:hAnsi="Arial" w:cs="Arial"/>
        <w:sz w:val="18"/>
        <w:szCs w:val="18"/>
      </w:rPr>
    </w:pPr>
  </w:p>
  <w:p w:rsidR="00387886" w:rsidP="007F1895" w:rsidRDefault="00B5103A" w14:paraId="7EE0D30C" w14:textId="77777777">
    <w:pPr>
      <w:pStyle w:val="Sinespaciado"/>
      <w:jc w:val="right"/>
      <w:rPr>
        <w:rFonts w:ascii="Arial" w:hAnsi="Arial" w:cs="Arial"/>
        <w:sz w:val="18"/>
        <w:szCs w:val="18"/>
      </w:rPr>
    </w:pPr>
  </w:p>
  <w:p w:rsidRPr="008217B7" w:rsidR="00387886" w:rsidP="007F1895" w:rsidRDefault="000965D3" w14:paraId="120D6A59"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387886" w:rsidP="007F1895" w:rsidRDefault="000965D3" w14:paraId="27B59CE5" w14:textId="77777777">
    <w:pPr>
      <w:pStyle w:val="Piedepgina"/>
      <w:jc w:val="center"/>
      <w:rPr>
        <w:lang w:val="es-ES"/>
      </w:rPr>
    </w:pPr>
    <w:r>
      <w:rPr>
        <w:noProof/>
      </w:rPr>
      <w:drawing>
        <wp:inline distT="0" distB="0" distL="0" distR="0" wp14:anchorId="467852E1" wp14:editId="11106060">
          <wp:extent cx="3700130" cy="5191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Pr="00E756AC" w:rsidR="00387886" w:rsidP="007F1895" w:rsidRDefault="00B5103A" w14:paraId="7D50B862" w14:textId="77777777">
    <w:pPr>
      <w:pStyle w:val="Piedepgina"/>
      <w:jc w:val="center"/>
      <w:rPr>
        <w:sz w:val="18"/>
        <w:szCs w:val="18"/>
        <w:lang w:val="es-ES"/>
      </w:rPr>
    </w:pPr>
  </w:p>
  <w:p w:rsidRPr="00E756AC" w:rsidR="00387886" w:rsidP="007F1895" w:rsidRDefault="00B5103A" w14:paraId="1CBE747A"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03A" w:rsidP="003C7067" w:rsidRDefault="00B5103A" w14:paraId="3620FD6C" w14:textId="77777777">
      <w:r>
        <w:separator/>
      </w:r>
    </w:p>
  </w:footnote>
  <w:footnote w:type="continuationSeparator" w:id="0">
    <w:p w:rsidR="00B5103A" w:rsidP="003C7067" w:rsidRDefault="00B5103A" w14:paraId="61EF3115" w14:textId="77777777">
      <w:r>
        <w:continuationSeparator/>
      </w:r>
    </w:p>
  </w:footnote>
  <w:footnote w:id="1">
    <w:p w:rsidRPr="008251E1" w:rsidR="00897650" w:rsidP="00897650" w:rsidRDefault="00897650" w14:paraId="421525E4" w14:textId="77777777">
      <w:pPr>
        <w:ind w:right="49" w:firstLine="720"/>
        <w:jc w:val="both"/>
        <w:rPr>
          <w:rFonts w:ascii="Arial" w:hAnsi="Arial" w:cs="Arial"/>
          <w:color w:val="000000" w:themeColor="text1"/>
          <w:sz w:val="19"/>
          <w:szCs w:val="19"/>
        </w:rPr>
      </w:pPr>
      <w:r w:rsidRPr="008251E1">
        <w:rPr>
          <w:rStyle w:val="Refdenotaalpie"/>
          <w:rFonts w:ascii="Arial" w:hAnsi="Arial" w:cs="Arial"/>
          <w:color w:val="000000" w:themeColor="text1"/>
          <w:sz w:val="19"/>
          <w:szCs w:val="19"/>
        </w:rPr>
        <w:footnoteRef/>
      </w:r>
      <w:r w:rsidRPr="008251E1">
        <w:rPr>
          <w:rFonts w:ascii="Arial" w:hAnsi="Arial" w:cs="Arial"/>
          <w:color w:val="000000" w:themeColor="text1"/>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8251E1">
        <w:rPr>
          <w:rFonts w:ascii="Arial" w:hAnsi="Arial" w:cs="Arial"/>
          <w:color w:val="000000" w:themeColor="text1"/>
          <w:spacing w:val="-14"/>
          <w:sz w:val="19"/>
          <w:szCs w:val="19"/>
        </w:rPr>
        <w:t xml:space="preserve"> </w:t>
      </w:r>
      <w:r w:rsidRPr="008251E1">
        <w:rPr>
          <w:rFonts w:ascii="Arial" w:hAnsi="Arial" w:cs="Arial"/>
          <w:color w:val="000000" w:themeColor="text1"/>
          <w:sz w:val="19"/>
          <w:szCs w:val="19"/>
        </w:rPr>
        <w:t>utilizados.</w:t>
      </w:r>
    </w:p>
    <w:p w:rsidRPr="008251E1" w:rsidR="00897650" w:rsidP="00897650" w:rsidRDefault="00897650" w14:paraId="405B7392" w14:textId="77777777">
      <w:pPr>
        <w:ind w:right="49" w:firstLine="708"/>
        <w:jc w:val="both"/>
        <w:rPr>
          <w:rFonts w:ascii="Arial" w:hAnsi="Arial" w:cs="Arial"/>
          <w:color w:val="000000" w:themeColor="text1"/>
          <w:sz w:val="19"/>
          <w:szCs w:val="19"/>
        </w:rPr>
      </w:pPr>
      <w:r w:rsidRPr="008251E1">
        <w:rPr>
          <w:rFonts w:ascii="Arial" w:hAnsi="Arial" w:cs="Arial"/>
          <w:color w:val="000000" w:themeColor="text1"/>
          <w:sz w:val="19"/>
          <w:szCs w:val="19"/>
        </w:rPr>
        <w:t>[…]</w:t>
      </w:r>
    </w:p>
    <w:p w:rsidRPr="008251E1" w:rsidR="00897650" w:rsidP="00897650" w:rsidRDefault="00897650" w14:paraId="0F6D766B" w14:textId="77777777">
      <w:pPr>
        <w:ind w:right="49" w:firstLine="708"/>
        <w:jc w:val="both"/>
        <w:rPr>
          <w:rFonts w:ascii="Arial" w:hAnsi="Arial" w:cs="Arial"/>
          <w:color w:val="000000" w:themeColor="text1"/>
          <w:sz w:val="19"/>
          <w:szCs w:val="19"/>
        </w:rPr>
      </w:pPr>
      <w:r w:rsidRPr="008251E1">
        <w:rPr>
          <w:rFonts w:ascii="Arial"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rsidRPr="008251E1" w:rsidR="00897650" w:rsidP="00897650" w:rsidRDefault="00897650" w14:paraId="75649A32" w14:textId="77777777">
      <w:pPr>
        <w:ind w:right="49" w:firstLine="708"/>
        <w:jc w:val="both"/>
        <w:rPr>
          <w:rFonts w:ascii="Arial" w:hAnsi="Arial" w:cs="Arial"/>
          <w:color w:val="000000" w:themeColor="text1"/>
          <w:sz w:val="19"/>
          <w:szCs w:val="19"/>
        </w:rPr>
      </w:pPr>
    </w:p>
  </w:footnote>
  <w:footnote w:id="2">
    <w:p w:rsidRPr="008251E1" w:rsidR="00897650" w:rsidP="00897650" w:rsidRDefault="00897650" w14:paraId="2F7C5A44" w14:textId="77777777">
      <w:pPr>
        <w:ind w:right="49" w:firstLine="720"/>
        <w:jc w:val="both"/>
        <w:rPr>
          <w:rFonts w:ascii="Arial" w:hAnsi="Arial" w:cs="Arial"/>
          <w:color w:val="000000" w:themeColor="text1"/>
          <w:sz w:val="19"/>
          <w:szCs w:val="19"/>
        </w:rPr>
      </w:pPr>
      <w:r w:rsidRPr="008251E1">
        <w:rPr>
          <w:rStyle w:val="Refdenotaalpie"/>
          <w:rFonts w:ascii="Arial" w:hAnsi="Arial" w:cs="Arial"/>
          <w:color w:val="000000" w:themeColor="text1"/>
          <w:sz w:val="19"/>
          <w:szCs w:val="19"/>
        </w:rPr>
        <w:footnoteRef/>
      </w:r>
      <w:r w:rsidRPr="008251E1">
        <w:rPr>
          <w:rFonts w:ascii="Arial" w:hAnsi="Arial" w:cs="Arial"/>
          <w:color w:val="000000" w:themeColor="text1"/>
          <w:sz w:val="19"/>
          <w:szCs w:val="19"/>
        </w:rPr>
        <w:t xml:space="preserve"> Consejo de Estado. Sección Tercera. Providencia del 26 de junio de 2003. </w:t>
      </w:r>
      <w:proofErr w:type="spellStart"/>
      <w:r w:rsidRPr="008251E1">
        <w:rPr>
          <w:rFonts w:ascii="Arial" w:hAnsi="Arial" w:cs="Arial"/>
          <w:color w:val="000000" w:themeColor="text1"/>
          <w:sz w:val="19"/>
          <w:szCs w:val="19"/>
        </w:rPr>
        <w:t>Exp</w:t>
      </w:r>
      <w:proofErr w:type="spellEnd"/>
      <w:r w:rsidRPr="008251E1">
        <w:rPr>
          <w:rFonts w:ascii="Arial" w:hAnsi="Arial" w:cs="Arial"/>
          <w:color w:val="000000" w:themeColor="text1"/>
          <w:sz w:val="19"/>
          <w:szCs w:val="19"/>
        </w:rPr>
        <w:t>. 13.354. M.P. María Elena Giraldo Gómez.</w:t>
      </w:r>
    </w:p>
    <w:p w:rsidRPr="008251E1" w:rsidR="00897650" w:rsidP="00897650" w:rsidRDefault="00897650" w14:paraId="509F9DF9" w14:textId="77777777">
      <w:pPr>
        <w:pStyle w:val="Textonotapie"/>
        <w:ind w:right="49"/>
        <w:jc w:val="both"/>
        <w:rPr>
          <w:rFonts w:ascii="Arial" w:hAnsi="Arial" w:cs="Arial"/>
          <w:color w:val="000000" w:themeColor="text1"/>
          <w:sz w:val="19"/>
          <w:szCs w:val="19"/>
          <w:lang w:val="es-CO"/>
        </w:rPr>
      </w:pPr>
    </w:p>
  </w:footnote>
  <w:footnote w:id="3">
    <w:p w:rsidRPr="008251E1" w:rsidR="00897650" w:rsidP="00897650" w:rsidRDefault="00897650" w14:paraId="167C26F0" w14:textId="77777777">
      <w:pPr>
        <w:pStyle w:val="Textonotapie"/>
        <w:ind w:firstLine="708"/>
        <w:jc w:val="both"/>
        <w:rPr>
          <w:rFonts w:ascii="Arial" w:hAnsi="Arial" w:cs="Arial"/>
          <w:sz w:val="19"/>
          <w:szCs w:val="19"/>
          <w:lang w:val="es-CO"/>
        </w:rPr>
      </w:pPr>
      <w:r w:rsidRPr="008251E1">
        <w:rPr>
          <w:rStyle w:val="Refdenotaalpie"/>
          <w:rFonts w:ascii="Arial" w:hAnsi="Arial" w:cs="Arial"/>
          <w:sz w:val="19"/>
          <w:szCs w:val="19"/>
        </w:rPr>
        <w:footnoteRef/>
      </w:r>
      <w:r w:rsidRPr="008251E1">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Pág 4. Disponible en: </w:t>
      </w:r>
      <w:hyperlink w:history="1" r:id="rId1">
        <w:r w:rsidRPr="008251E1">
          <w:rPr>
            <w:rStyle w:val="Hipervnculo"/>
            <w:rFonts w:ascii="Arial" w:hAnsi="Arial" w:cs="Arial"/>
            <w:sz w:val="19"/>
            <w:szCs w:val="19"/>
          </w:rPr>
          <w:t>https://colombiacompra.gov.co/sites/cce_public/files/cce_documents/cce_guia_capacidad_residual.pdf</w:t>
        </w:r>
      </w:hyperlink>
      <w:r w:rsidRPr="008251E1">
        <w:rPr>
          <w:rFonts w:ascii="Arial" w:hAnsi="Arial" w:cs="Arial"/>
          <w:sz w:val="19"/>
          <w:szCs w:val="19"/>
        </w:rPr>
        <w:t xml:space="preserve"> </w:t>
      </w:r>
    </w:p>
  </w:footnote>
  <w:footnote w:id="4">
    <w:p w:rsidRPr="008251E1" w:rsidR="00897650" w:rsidP="00897650" w:rsidRDefault="00897650" w14:paraId="29BDF12F" w14:textId="6408FA76">
      <w:pPr>
        <w:pStyle w:val="Textonotapie"/>
        <w:ind w:firstLine="708"/>
        <w:jc w:val="both"/>
        <w:rPr>
          <w:rFonts w:ascii="Arial" w:hAnsi="Arial" w:cs="Arial"/>
          <w:sz w:val="19"/>
          <w:szCs w:val="19"/>
          <w:lang w:val="es-CO"/>
        </w:rPr>
      </w:pPr>
      <w:r w:rsidRPr="008251E1">
        <w:rPr>
          <w:rStyle w:val="Refdenotaalpie"/>
          <w:rFonts w:ascii="Arial" w:hAnsi="Arial" w:cs="Arial"/>
          <w:sz w:val="19"/>
          <w:szCs w:val="19"/>
        </w:rPr>
        <w:footnoteRef/>
      </w:r>
      <w:r w:rsidRPr="008251E1">
        <w:rPr>
          <w:rFonts w:ascii="Arial" w:hAnsi="Arial" w:cs="Arial"/>
          <w:sz w:val="19"/>
          <w:szCs w:val="19"/>
        </w:rPr>
        <w:t xml:space="preserve"> CONSEJO DE ESTADO</w:t>
      </w:r>
      <w:r w:rsidR="001B1B66">
        <w:rPr>
          <w:rFonts w:ascii="Arial" w:hAnsi="Arial" w:cs="Arial"/>
          <w:sz w:val="19"/>
          <w:szCs w:val="19"/>
        </w:rPr>
        <w:t>.</w:t>
      </w:r>
      <w:r w:rsidRPr="008251E1">
        <w:rPr>
          <w:rFonts w:ascii="Arial" w:hAnsi="Arial" w:cs="Arial"/>
          <w:sz w:val="19"/>
          <w:szCs w:val="19"/>
        </w:rPr>
        <w:t xml:space="preserve"> Sección Tercera. </w:t>
      </w:r>
      <w:r>
        <w:rPr>
          <w:rFonts w:ascii="Arial" w:hAnsi="Arial" w:cs="Arial"/>
          <w:sz w:val="19"/>
          <w:szCs w:val="19"/>
        </w:rPr>
        <w:t>Sentencia del</w:t>
      </w:r>
      <w:r w:rsidRPr="008251E1">
        <w:rPr>
          <w:rFonts w:ascii="Arial" w:hAnsi="Arial" w:cs="Arial"/>
          <w:sz w:val="19"/>
          <w:szCs w:val="19"/>
        </w:rPr>
        <w:t xml:space="preserve"> 1</w:t>
      </w:r>
      <w:r>
        <w:rPr>
          <w:rFonts w:ascii="Arial" w:hAnsi="Arial" w:cs="Arial"/>
          <w:sz w:val="19"/>
          <w:szCs w:val="19"/>
        </w:rPr>
        <w:t xml:space="preserve">8 de noviembre de </w:t>
      </w:r>
      <w:r w:rsidRPr="008251E1">
        <w:rPr>
          <w:rFonts w:ascii="Arial" w:hAnsi="Arial" w:cs="Arial"/>
          <w:sz w:val="19"/>
          <w:szCs w:val="19"/>
        </w:rPr>
        <w:t>20</w:t>
      </w:r>
      <w:r>
        <w:rPr>
          <w:rFonts w:ascii="Arial" w:hAnsi="Arial" w:cs="Arial"/>
          <w:sz w:val="19"/>
          <w:szCs w:val="19"/>
        </w:rPr>
        <w:t>21</w:t>
      </w:r>
      <w:r w:rsidRPr="008251E1">
        <w:rPr>
          <w:rFonts w:ascii="Arial" w:hAnsi="Arial" w:cs="Arial"/>
          <w:sz w:val="19"/>
          <w:szCs w:val="19"/>
        </w:rPr>
        <w:t xml:space="preserve">. </w:t>
      </w:r>
      <w:r w:rsidR="001B1B66">
        <w:rPr>
          <w:rFonts w:ascii="Arial" w:hAnsi="Arial" w:cs="Arial"/>
          <w:sz w:val="19"/>
          <w:szCs w:val="19"/>
        </w:rPr>
        <w:t>Exp. No.</w:t>
      </w:r>
      <w:r w:rsidRPr="008251E1">
        <w:rPr>
          <w:rFonts w:ascii="Arial" w:hAnsi="Arial" w:cs="Arial"/>
          <w:sz w:val="19"/>
          <w:szCs w:val="19"/>
        </w:rPr>
        <w:t xml:space="preserve">61641. C.P. </w:t>
      </w:r>
      <w:r>
        <w:rPr>
          <w:rFonts w:ascii="Arial" w:hAnsi="Arial" w:cs="Arial"/>
          <w:sz w:val="19"/>
          <w:szCs w:val="19"/>
        </w:rPr>
        <w:t>Alberto Montaña Plata.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7886" w:rsidRDefault="000965D3" w14:paraId="596DAC93" w14:textId="77777777">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C4233"/>
    <w:multiLevelType w:val="hybridMultilevel"/>
    <w:tmpl w:val="6CDA6FB8"/>
    <w:lvl w:ilvl="0" w:tplc="893674DA">
      <w:start w:val="2"/>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032B02"/>
    <w:multiLevelType w:val="hybridMultilevel"/>
    <w:tmpl w:val="593E1724"/>
    <w:lvl w:ilvl="0" w:tplc="080A0001">
      <w:start w:val="1"/>
      <w:numFmt w:val="bullet"/>
      <w:lvlText w:val=""/>
      <w:lvlJc w:val="left"/>
      <w:pPr>
        <w:ind w:left="1429" w:hanging="360"/>
      </w:pPr>
      <w:rPr>
        <w:rFonts w:hint="default" w:ascii="Symbol" w:hAnsi="Symbol"/>
      </w:rPr>
    </w:lvl>
    <w:lvl w:ilvl="1" w:tplc="080A0003" w:tentative="1">
      <w:start w:val="1"/>
      <w:numFmt w:val="bullet"/>
      <w:lvlText w:val="o"/>
      <w:lvlJc w:val="left"/>
      <w:pPr>
        <w:ind w:left="2149" w:hanging="360"/>
      </w:pPr>
      <w:rPr>
        <w:rFonts w:hint="default" w:ascii="Courier New" w:hAnsi="Courier New" w:cs="Courier New"/>
      </w:rPr>
    </w:lvl>
    <w:lvl w:ilvl="2" w:tplc="080A0005" w:tentative="1">
      <w:start w:val="1"/>
      <w:numFmt w:val="bullet"/>
      <w:lvlText w:val=""/>
      <w:lvlJc w:val="left"/>
      <w:pPr>
        <w:ind w:left="2869" w:hanging="360"/>
      </w:pPr>
      <w:rPr>
        <w:rFonts w:hint="default" w:ascii="Wingdings" w:hAnsi="Wingdings"/>
      </w:rPr>
    </w:lvl>
    <w:lvl w:ilvl="3" w:tplc="080A0001" w:tentative="1">
      <w:start w:val="1"/>
      <w:numFmt w:val="bullet"/>
      <w:lvlText w:val=""/>
      <w:lvlJc w:val="left"/>
      <w:pPr>
        <w:ind w:left="3589" w:hanging="360"/>
      </w:pPr>
      <w:rPr>
        <w:rFonts w:hint="default" w:ascii="Symbol" w:hAnsi="Symbol"/>
      </w:rPr>
    </w:lvl>
    <w:lvl w:ilvl="4" w:tplc="080A0003" w:tentative="1">
      <w:start w:val="1"/>
      <w:numFmt w:val="bullet"/>
      <w:lvlText w:val="o"/>
      <w:lvlJc w:val="left"/>
      <w:pPr>
        <w:ind w:left="4309" w:hanging="360"/>
      </w:pPr>
      <w:rPr>
        <w:rFonts w:hint="default" w:ascii="Courier New" w:hAnsi="Courier New" w:cs="Courier New"/>
      </w:rPr>
    </w:lvl>
    <w:lvl w:ilvl="5" w:tplc="080A0005" w:tentative="1">
      <w:start w:val="1"/>
      <w:numFmt w:val="bullet"/>
      <w:lvlText w:val=""/>
      <w:lvlJc w:val="left"/>
      <w:pPr>
        <w:ind w:left="5029" w:hanging="360"/>
      </w:pPr>
      <w:rPr>
        <w:rFonts w:hint="default" w:ascii="Wingdings" w:hAnsi="Wingdings"/>
      </w:rPr>
    </w:lvl>
    <w:lvl w:ilvl="6" w:tplc="080A0001" w:tentative="1">
      <w:start w:val="1"/>
      <w:numFmt w:val="bullet"/>
      <w:lvlText w:val=""/>
      <w:lvlJc w:val="left"/>
      <w:pPr>
        <w:ind w:left="5749" w:hanging="360"/>
      </w:pPr>
      <w:rPr>
        <w:rFonts w:hint="default" w:ascii="Symbol" w:hAnsi="Symbol"/>
      </w:rPr>
    </w:lvl>
    <w:lvl w:ilvl="7" w:tplc="080A0003" w:tentative="1">
      <w:start w:val="1"/>
      <w:numFmt w:val="bullet"/>
      <w:lvlText w:val="o"/>
      <w:lvlJc w:val="left"/>
      <w:pPr>
        <w:ind w:left="6469" w:hanging="360"/>
      </w:pPr>
      <w:rPr>
        <w:rFonts w:hint="default" w:ascii="Courier New" w:hAnsi="Courier New" w:cs="Courier New"/>
      </w:rPr>
    </w:lvl>
    <w:lvl w:ilvl="8" w:tplc="080A0005" w:tentative="1">
      <w:start w:val="1"/>
      <w:numFmt w:val="bullet"/>
      <w:lvlText w:val=""/>
      <w:lvlJc w:val="left"/>
      <w:pPr>
        <w:ind w:left="7189"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7"/>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763E"/>
    <w:rsid w:val="0001035D"/>
    <w:rsid w:val="000161DA"/>
    <w:rsid w:val="00033625"/>
    <w:rsid w:val="000549D1"/>
    <w:rsid w:val="00060256"/>
    <w:rsid w:val="00071967"/>
    <w:rsid w:val="00071ECB"/>
    <w:rsid w:val="00074691"/>
    <w:rsid w:val="00080865"/>
    <w:rsid w:val="000965D3"/>
    <w:rsid w:val="000A3EF5"/>
    <w:rsid w:val="000A6CC7"/>
    <w:rsid w:val="000B322A"/>
    <w:rsid w:val="00100B7E"/>
    <w:rsid w:val="00101763"/>
    <w:rsid w:val="00103032"/>
    <w:rsid w:val="001138F8"/>
    <w:rsid w:val="001313E6"/>
    <w:rsid w:val="0016642F"/>
    <w:rsid w:val="00167236"/>
    <w:rsid w:val="00172E23"/>
    <w:rsid w:val="0017389F"/>
    <w:rsid w:val="00193899"/>
    <w:rsid w:val="001A68B2"/>
    <w:rsid w:val="001A7809"/>
    <w:rsid w:val="001B1B66"/>
    <w:rsid w:val="001D55B4"/>
    <w:rsid w:val="001E52B9"/>
    <w:rsid w:val="001E53C9"/>
    <w:rsid w:val="001F772D"/>
    <w:rsid w:val="00207B71"/>
    <w:rsid w:val="00231FB4"/>
    <w:rsid w:val="00234D67"/>
    <w:rsid w:val="00261AE6"/>
    <w:rsid w:val="002B2B59"/>
    <w:rsid w:val="002B56B1"/>
    <w:rsid w:val="002C56DB"/>
    <w:rsid w:val="002C7C73"/>
    <w:rsid w:val="002D2815"/>
    <w:rsid w:val="002D55E0"/>
    <w:rsid w:val="002E1C4A"/>
    <w:rsid w:val="002E7608"/>
    <w:rsid w:val="003037F6"/>
    <w:rsid w:val="00314C8B"/>
    <w:rsid w:val="00365F74"/>
    <w:rsid w:val="00382A8B"/>
    <w:rsid w:val="00395B41"/>
    <w:rsid w:val="003A0131"/>
    <w:rsid w:val="003B7C57"/>
    <w:rsid w:val="003C0050"/>
    <w:rsid w:val="003C17E7"/>
    <w:rsid w:val="003C7067"/>
    <w:rsid w:val="003D2D2A"/>
    <w:rsid w:val="003D36CE"/>
    <w:rsid w:val="003E060B"/>
    <w:rsid w:val="003E368C"/>
    <w:rsid w:val="003E582E"/>
    <w:rsid w:val="004079E3"/>
    <w:rsid w:val="004118E7"/>
    <w:rsid w:val="00420607"/>
    <w:rsid w:val="00420B13"/>
    <w:rsid w:val="00423D30"/>
    <w:rsid w:val="00424FDE"/>
    <w:rsid w:val="00437DB9"/>
    <w:rsid w:val="004416C7"/>
    <w:rsid w:val="00442947"/>
    <w:rsid w:val="004657DB"/>
    <w:rsid w:val="004662C1"/>
    <w:rsid w:val="00470EFA"/>
    <w:rsid w:val="0048244C"/>
    <w:rsid w:val="0048321E"/>
    <w:rsid w:val="00491798"/>
    <w:rsid w:val="00492BE0"/>
    <w:rsid w:val="004A1498"/>
    <w:rsid w:val="004B3476"/>
    <w:rsid w:val="004C11F0"/>
    <w:rsid w:val="004C442F"/>
    <w:rsid w:val="004D7BB0"/>
    <w:rsid w:val="0051003B"/>
    <w:rsid w:val="00512F87"/>
    <w:rsid w:val="00513EEE"/>
    <w:rsid w:val="00520C5E"/>
    <w:rsid w:val="005256F8"/>
    <w:rsid w:val="005379D0"/>
    <w:rsid w:val="005400D4"/>
    <w:rsid w:val="005556E0"/>
    <w:rsid w:val="005A3065"/>
    <w:rsid w:val="005C58E7"/>
    <w:rsid w:val="005F6429"/>
    <w:rsid w:val="006029E4"/>
    <w:rsid w:val="00607622"/>
    <w:rsid w:val="006151F8"/>
    <w:rsid w:val="00645FB0"/>
    <w:rsid w:val="006709D2"/>
    <w:rsid w:val="006736CC"/>
    <w:rsid w:val="006B4BF8"/>
    <w:rsid w:val="006C1EB7"/>
    <w:rsid w:val="006C4D8B"/>
    <w:rsid w:val="006E050F"/>
    <w:rsid w:val="0072347E"/>
    <w:rsid w:val="00733877"/>
    <w:rsid w:val="00740C72"/>
    <w:rsid w:val="00756C59"/>
    <w:rsid w:val="00763584"/>
    <w:rsid w:val="00772C0F"/>
    <w:rsid w:val="00774CB1"/>
    <w:rsid w:val="007915CC"/>
    <w:rsid w:val="00793E8F"/>
    <w:rsid w:val="00794349"/>
    <w:rsid w:val="007964A8"/>
    <w:rsid w:val="007A1E56"/>
    <w:rsid w:val="007A48A1"/>
    <w:rsid w:val="007B7E8B"/>
    <w:rsid w:val="007C14A7"/>
    <w:rsid w:val="007C3E50"/>
    <w:rsid w:val="007C57D2"/>
    <w:rsid w:val="007D2560"/>
    <w:rsid w:val="007E6191"/>
    <w:rsid w:val="00805EB9"/>
    <w:rsid w:val="00807EF6"/>
    <w:rsid w:val="0081232A"/>
    <w:rsid w:val="008246CC"/>
    <w:rsid w:val="00831710"/>
    <w:rsid w:val="00833A9F"/>
    <w:rsid w:val="00841CA8"/>
    <w:rsid w:val="00853584"/>
    <w:rsid w:val="00862B07"/>
    <w:rsid w:val="00866359"/>
    <w:rsid w:val="0086673C"/>
    <w:rsid w:val="00890C7B"/>
    <w:rsid w:val="00892B5A"/>
    <w:rsid w:val="00897650"/>
    <w:rsid w:val="008A5998"/>
    <w:rsid w:val="008B12C0"/>
    <w:rsid w:val="008C14C7"/>
    <w:rsid w:val="008F3730"/>
    <w:rsid w:val="008F66B0"/>
    <w:rsid w:val="009029DA"/>
    <w:rsid w:val="00903415"/>
    <w:rsid w:val="00903598"/>
    <w:rsid w:val="009211AF"/>
    <w:rsid w:val="0094584C"/>
    <w:rsid w:val="00957364"/>
    <w:rsid w:val="0097687B"/>
    <w:rsid w:val="00980A9A"/>
    <w:rsid w:val="00984890"/>
    <w:rsid w:val="009B557F"/>
    <w:rsid w:val="009B5E61"/>
    <w:rsid w:val="009F0A44"/>
    <w:rsid w:val="00A14FA2"/>
    <w:rsid w:val="00A24C7E"/>
    <w:rsid w:val="00A425A1"/>
    <w:rsid w:val="00A523A8"/>
    <w:rsid w:val="00A558C4"/>
    <w:rsid w:val="00A60957"/>
    <w:rsid w:val="00A80366"/>
    <w:rsid w:val="00AC79EC"/>
    <w:rsid w:val="00AD73B1"/>
    <w:rsid w:val="00AE25DC"/>
    <w:rsid w:val="00AE4F53"/>
    <w:rsid w:val="00AF2CF9"/>
    <w:rsid w:val="00B0659B"/>
    <w:rsid w:val="00B073DF"/>
    <w:rsid w:val="00B24B11"/>
    <w:rsid w:val="00B33831"/>
    <w:rsid w:val="00B33BD8"/>
    <w:rsid w:val="00B33D81"/>
    <w:rsid w:val="00B5103A"/>
    <w:rsid w:val="00B52438"/>
    <w:rsid w:val="00B64E19"/>
    <w:rsid w:val="00B82BA4"/>
    <w:rsid w:val="00B863BF"/>
    <w:rsid w:val="00BA0C7F"/>
    <w:rsid w:val="00BA7483"/>
    <w:rsid w:val="00BB718B"/>
    <w:rsid w:val="00BC3BED"/>
    <w:rsid w:val="00BD3D2F"/>
    <w:rsid w:val="00BE7294"/>
    <w:rsid w:val="00BF1A9A"/>
    <w:rsid w:val="00BF274B"/>
    <w:rsid w:val="00BF753E"/>
    <w:rsid w:val="00C00312"/>
    <w:rsid w:val="00C37B4E"/>
    <w:rsid w:val="00C4563A"/>
    <w:rsid w:val="00C60367"/>
    <w:rsid w:val="00C621D4"/>
    <w:rsid w:val="00C7267B"/>
    <w:rsid w:val="00C84F70"/>
    <w:rsid w:val="00C87384"/>
    <w:rsid w:val="00C90E32"/>
    <w:rsid w:val="00C935C0"/>
    <w:rsid w:val="00C96E18"/>
    <w:rsid w:val="00CB410C"/>
    <w:rsid w:val="00CC48A3"/>
    <w:rsid w:val="00CD45A9"/>
    <w:rsid w:val="00CE3D9C"/>
    <w:rsid w:val="00D0111C"/>
    <w:rsid w:val="00D51025"/>
    <w:rsid w:val="00D638EA"/>
    <w:rsid w:val="00D7628C"/>
    <w:rsid w:val="00DA0DA6"/>
    <w:rsid w:val="00DC2420"/>
    <w:rsid w:val="00DE212A"/>
    <w:rsid w:val="00E00576"/>
    <w:rsid w:val="00E03801"/>
    <w:rsid w:val="00E13F98"/>
    <w:rsid w:val="00E21B4B"/>
    <w:rsid w:val="00E36631"/>
    <w:rsid w:val="00E416E6"/>
    <w:rsid w:val="00E47EE6"/>
    <w:rsid w:val="00E700EA"/>
    <w:rsid w:val="00E94429"/>
    <w:rsid w:val="00EA4609"/>
    <w:rsid w:val="00EB3DF5"/>
    <w:rsid w:val="00EC5869"/>
    <w:rsid w:val="00EE6067"/>
    <w:rsid w:val="00F00588"/>
    <w:rsid w:val="00F04350"/>
    <w:rsid w:val="00F10A96"/>
    <w:rsid w:val="00F17C3F"/>
    <w:rsid w:val="00F369CC"/>
    <w:rsid w:val="00F44566"/>
    <w:rsid w:val="00F45DD8"/>
    <w:rsid w:val="00F75A67"/>
    <w:rsid w:val="00F8617A"/>
    <w:rsid w:val="00F93C05"/>
    <w:rsid w:val="00F97AE4"/>
    <w:rsid w:val="00FA0EDC"/>
    <w:rsid w:val="00FB4302"/>
    <w:rsid w:val="00FD0664"/>
    <w:rsid w:val="575D55A6"/>
    <w:rsid w:val="78200B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chartTrackingRefBased/>
  <w15:docId w15:val="{714D969C-E74C-7348-842B-D1DEAF5C3E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7067"/>
    <w:rPr>
      <w:rFonts w:ascii="Times New Roman" w:hAnsi="Times New Roman" w:eastAsia="Times New Roman" w:cs="Times New Roman"/>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hAnsiTheme="minorHAnsi" w:eastAsia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3C7067"/>
    <w:rPr>
      <w:rFonts w:ascii="Times New Roman" w:hAnsi="Times New Roman" w:eastAsia="Times New Roman" w:cs="Times New Roman"/>
      <w:sz w:val="20"/>
      <w:szCs w:val="20"/>
      <w:lang w:eastAsia="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hAnsi="Arial" w:eastAsia="Arial" w:cs="Arial"/>
      <w:sz w:val="20"/>
      <w:szCs w:val="20"/>
      <w:lang w:val="es-ES" w:eastAsia="en-US"/>
    </w:rPr>
  </w:style>
  <w:style w:type="character" w:styleId="TextoindependienteCar" w:customStyle="1">
    <w:name w:val="Texto independiente Car"/>
    <w:basedOn w:val="Fuentedeprrafopredeter"/>
    <w:link w:val="Textoindependiente"/>
    <w:uiPriority w:val="1"/>
    <w:rsid w:val="003C7067"/>
    <w:rPr>
      <w:rFonts w:ascii="Arial" w:hAnsi="Arial" w:eastAsia="Arial" w:cs="Arial"/>
      <w:sz w:val="20"/>
      <w:szCs w:val="20"/>
      <w:lang w:val="es-ES"/>
    </w:rPr>
  </w:style>
  <w:style w:type="paragraph" w:styleId="Appelnotedebasde" w:customStyle="1">
    <w:name w:val="Appel note de bas de..."/>
    <w:basedOn w:val="Normal"/>
    <w:link w:val="Refdenotaalpie"/>
    <w:uiPriority w:val="99"/>
    <w:rsid w:val="003C7067"/>
    <w:pPr>
      <w:spacing w:after="160" w:line="240" w:lineRule="exact"/>
    </w:pPr>
    <w:rPr>
      <w:rFonts w:asciiTheme="minorHAnsi" w:hAnsiTheme="minorHAnsi" w:eastAsia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styleId="TextocomentarioCar" w:customStyle="1">
    <w:name w:val="Texto comentario Car"/>
    <w:basedOn w:val="Fuentedeprrafopredeter"/>
    <w:link w:val="Textocomentario"/>
    <w:uiPriority w:val="99"/>
    <w:rsid w:val="003C7067"/>
    <w:rPr>
      <w:rFonts w:ascii="Times New Roman" w:hAnsi="Times New Roman" w:eastAsia="Times New Roman" w:cs="Times New Roman"/>
      <w:sz w:val="20"/>
      <w:szCs w:val="20"/>
      <w:lang w:eastAsia="es-MX"/>
    </w:rPr>
  </w:style>
  <w:style w:type="character" w:styleId="normaltextrun" w:customStyle="1">
    <w:name w:val="normaltextrun"/>
    <w:basedOn w:val="Fuentedeprrafopredeter"/>
    <w:rsid w:val="003C7067"/>
  </w:style>
  <w:style w:type="character" w:styleId="eop" w:customStyle="1">
    <w:name w:val="eop"/>
    <w:basedOn w:val="Fuentedeprrafopredeter"/>
    <w:rsid w:val="003C7067"/>
  </w:style>
  <w:style w:type="paragraph" w:styleId="ql-align-justify" w:customStyle="1">
    <w:name w:val="ql-align-justify"/>
    <w:basedOn w:val="Normal"/>
    <w:rsid w:val="003E060B"/>
    <w:pPr>
      <w:spacing w:before="100" w:beforeAutospacing="1" w:after="100" w:afterAutospacing="1"/>
    </w:pPr>
  </w:style>
  <w:style w:type="character" w:styleId="apple-converted-space" w:customStyle="1">
    <w:name w:val="apple-converted-space"/>
    <w:basedOn w:val="Fuentedeprrafopredeter"/>
    <w:rsid w:val="003E060B"/>
  </w:style>
  <w:style w:type="character" w:styleId="Hipervnculo">
    <w:name w:val="Hyperlink"/>
    <w:basedOn w:val="Fuentedeprrafopredeter"/>
    <w:uiPriority w:val="99"/>
    <w:unhideWhenUsed/>
    <w:rsid w:val="00C84F70"/>
    <w:rPr>
      <w:color w:val="0563C1" w:themeColor="hyperlink"/>
      <w:u w:val="single"/>
    </w:rPr>
  </w:style>
  <w:style w:type="character" w:styleId="Mencinsinresolver">
    <w:name w:val="Unresolved Mention"/>
    <w:basedOn w:val="Fuentedeprrafopredeter"/>
    <w:uiPriority w:val="99"/>
    <w:semiHidden/>
    <w:unhideWhenUsed/>
    <w:rsid w:val="00C84F70"/>
    <w:rPr>
      <w:color w:val="605E5C"/>
      <w:shd w:val="clear" w:color="auto" w:fill="E1DFDD"/>
    </w:rPr>
  </w:style>
  <w:style w:type="character" w:styleId="Hipervnculovisitado">
    <w:name w:val="FollowedHyperlink"/>
    <w:basedOn w:val="Fuentedeprrafopredeter"/>
    <w:uiPriority w:val="99"/>
    <w:semiHidden/>
    <w:unhideWhenUsed/>
    <w:rsid w:val="00EA4609"/>
    <w:rPr>
      <w:color w:val="954F72" w:themeColor="followedHyperlink"/>
      <w:u w:val="single"/>
    </w:rPr>
  </w:style>
  <w:style w:type="paragraph" w:styleId="Revisin">
    <w:name w:val="Revision"/>
    <w:hidden/>
    <w:uiPriority w:val="99"/>
    <w:semiHidden/>
    <w:rsid w:val="00E700EA"/>
    <w:rPr>
      <w:rFonts w:ascii="Times New Roman" w:hAnsi="Times New Roman" w:eastAsia="Times New Roman" w:cs="Times New Roman"/>
      <w:lang w:eastAsia="es-MX"/>
    </w:rPr>
  </w:style>
  <w:style w:type="character" w:styleId="Refdecomentario">
    <w:name w:val="annotation reference"/>
    <w:basedOn w:val="Fuentedeprrafopredeter"/>
    <w:uiPriority w:val="99"/>
    <w:semiHidden/>
    <w:unhideWhenUsed/>
    <w:rsid w:val="00C7267B"/>
    <w:rPr>
      <w:sz w:val="16"/>
      <w:szCs w:val="16"/>
    </w:rPr>
  </w:style>
  <w:style w:type="paragraph" w:styleId="Asuntodelcomentario">
    <w:name w:val="annotation subject"/>
    <w:basedOn w:val="Textocomentario"/>
    <w:next w:val="Textocomentario"/>
    <w:link w:val="AsuntodelcomentarioCar"/>
    <w:uiPriority w:val="99"/>
    <w:semiHidden/>
    <w:unhideWhenUsed/>
    <w:rsid w:val="00C7267B"/>
    <w:rPr>
      <w:b/>
      <w:bCs/>
    </w:rPr>
  </w:style>
  <w:style w:type="character" w:styleId="AsuntodelcomentarioCar" w:customStyle="1">
    <w:name w:val="Asunto del comentario Car"/>
    <w:basedOn w:val="TextocomentarioCar"/>
    <w:link w:val="Asuntodelcomentario"/>
    <w:uiPriority w:val="99"/>
    <w:semiHidden/>
    <w:rsid w:val="00C7267B"/>
    <w:rPr>
      <w:rFonts w:ascii="Times New Roman" w:hAnsi="Times New Roman" w:eastAsia="Times New Roman" w:cs="Times New Roman"/>
      <w:b/>
      <w:bCs/>
      <w:sz w:val="20"/>
      <w:szCs w:val="20"/>
      <w:lang w:eastAsia="es-MX"/>
    </w:rPr>
  </w:style>
  <w:style w:type="paragraph" w:styleId="NormalWeb">
    <w:name w:val="Normal (Web)"/>
    <w:basedOn w:val="Normal"/>
    <w:link w:val="NormalWebCar"/>
    <w:uiPriority w:val="99"/>
    <w:unhideWhenUsed/>
    <w:rsid w:val="001F772D"/>
    <w:pPr>
      <w:spacing w:before="100" w:beforeAutospacing="1" w:after="100" w:afterAutospacing="1"/>
    </w:pPr>
  </w:style>
  <w:style w:type="character" w:styleId="NormalWebCar" w:customStyle="1">
    <w:name w:val="Normal (Web) Car"/>
    <w:link w:val="NormalWeb"/>
    <w:uiPriority w:val="99"/>
    <w:rsid w:val="001F772D"/>
    <w:rPr>
      <w:rFonts w:ascii="Times New Roman" w:hAnsi="Times New Roman" w:eastAsia="Times New Roman" w:cs="Times New Roman"/>
      <w:lang w:eastAsia="es-MX"/>
    </w:rPr>
  </w:style>
  <w:style w:type="character" w:styleId="baj" w:customStyle="1">
    <w:name w:val="b_aj"/>
    <w:basedOn w:val="Fuentedeprrafopredeter"/>
    <w:rsid w:val="00F9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417486666">
      <w:bodyDiv w:val="1"/>
      <w:marLeft w:val="0"/>
      <w:marRight w:val="0"/>
      <w:marTop w:val="0"/>
      <w:marBottom w:val="0"/>
      <w:divBdr>
        <w:top w:val="none" w:sz="0" w:space="0" w:color="auto"/>
        <w:left w:val="none" w:sz="0" w:space="0" w:color="auto"/>
        <w:bottom w:val="none" w:sz="0" w:space="0" w:color="auto"/>
        <w:right w:val="none" w:sz="0" w:space="0" w:color="auto"/>
      </w:divBdr>
      <w:divsChild>
        <w:div w:id="688675460">
          <w:marLeft w:val="0"/>
          <w:marRight w:val="0"/>
          <w:marTop w:val="0"/>
          <w:marBottom w:val="0"/>
          <w:divBdr>
            <w:top w:val="none" w:sz="0" w:space="0" w:color="auto"/>
            <w:left w:val="none" w:sz="0" w:space="0" w:color="auto"/>
            <w:bottom w:val="none" w:sz="0" w:space="0" w:color="auto"/>
            <w:right w:val="none" w:sz="0" w:space="0" w:color="auto"/>
          </w:divBdr>
        </w:div>
      </w:divsChild>
    </w:div>
    <w:div w:id="836043937">
      <w:bodyDiv w:val="1"/>
      <w:marLeft w:val="0"/>
      <w:marRight w:val="0"/>
      <w:marTop w:val="0"/>
      <w:marBottom w:val="0"/>
      <w:divBdr>
        <w:top w:val="none" w:sz="0" w:space="0" w:color="auto"/>
        <w:left w:val="none" w:sz="0" w:space="0" w:color="auto"/>
        <w:bottom w:val="none" w:sz="0" w:space="0" w:color="auto"/>
        <w:right w:val="none" w:sz="0" w:space="0" w:color="auto"/>
      </w:divBdr>
    </w:div>
    <w:div w:id="1003782136">
      <w:bodyDiv w:val="1"/>
      <w:marLeft w:val="0"/>
      <w:marRight w:val="0"/>
      <w:marTop w:val="0"/>
      <w:marBottom w:val="0"/>
      <w:divBdr>
        <w:top w:val="none" w:sz="0" w:space="0" w:color="auto"/>
        <w:left w:val="none" w:sz="0" w:space="0" w:color="auto"/>
        <w:bottom w:val="none" w:sz="0" w:space="0" w:color="auto"/>
        <w:right w:val="none" w:sz="0" w:space="0" w:color="auto"/>
      </w:divBdr>
      <w:divsChild>
        <w:div w:id="800028982">
          <w:marLeft w:val="0"/>
          <w:marRight w:val="0"/>
          <w:marTop w:val="0"/>
          <w:marBottom w:val="0"/>
          <w:divBdr>
            <w:top w:val="none" w:sz="0" w:space="0" w:color="auto"/>
            <w:left w:val="none" w:sz="0" w:space="0" w:color="auto"/>
            <w:bottom w:val="none" w:sz="0" w:space="0" w:color="auto"/>
            <w:right w:val="none" w:sz="0" w:space="0" w:color="auto"/>
          </w:divBdr>
        </w:div>
      </w:divsChild>
    </w:div>
    <w:div w:id="1131483503">
      <w:bodyDiv w:val="1"/>
      <w:marLeft w:val="0"/>
      <w:marRight w:val="0"/>
      <w:marTop w:val="0"/>
      <w:marBottom w:val="0"/>
      <w:divBdr>
        <w:top w:val="none" w:sz="0" w:space="0" w:color="auto"/>
        <w:left w:val="none" w:sz="0" w:space="0" w:color="auto"/>
        <w:bottom w:val="none" w:sz="0" w:space="0" w:color="auto"/>
        <w:right w:val="none" w:sz="0" w:space="0" w:color="auto"/>
      </w:divBdr>
    </w:div>
    <w:div w:id="1571496413">
      <w:bodyDiv w:val="1"/>
      <w:marLeft w:val="0"/>
      <w:marRight w:val="0"/>
      <w:marTop w:val="0"/>
      <w:marBottom w:val="0"/>
      <w:divBdr>
        <w:top w:val="none" w:sz="0" w:space="0" w:color="auto"/>
        <w:left w:val="none" w:sz="0" w:space="0" w:color="auto"/>
        <w:bottom w:val="none" w:sz="0" w:space="0" w:color="auto"/>
        <w:right w:val="none" w:sz="0" w:space="0" w:color="auto"/>
      </w:divBdr>
      <w:divsChild>
        <w:div w:id="993415890">
          <w:marLeft w:val="0"/>
          <w:marRight w:val="0"/>
          <w:marTop w:val="0"/>
          <w:marBottom w:val="0"/>
          <w:divBdr>
            <w:top w:val="none" w:sz="0" w:space="0" w:color="auto"/>
            <w:left w:val="none" w:sz="0" w:space="0" w:color="auto"/>
            <w:bottom w:val="none" w:sz="0" w:space="0" w:color="auto"/>
            <w:right w:val="none" w:sz="0" w:space="0" w:color="auto"/>
          </w:divBdr>
          <w:divsChild>
            <w:div w:id="1076903631">
              <w:marLeft w:val="0"/>
              <w:marRight w:val="0"/>
              <w:marTop w:val="0"/>
              <w:marBottom w:val="0"/>
              <w:divBdr>
                <w:top w:val="none" w:sz="0" w:space="0" w:color="auto"/>
                <w:left w:val="none" w:sz="0" w:space="0" w:color="auto"/>
                <w:bottom w:val="none" w:sz="0" w:space="0" w:color="auto"/>
                <w:right w:val="none" w:sz="0" w:space="0" w:color="auto"/>
              </w:divBdr>
              <w:divsChild>
                <w:div w:id="1638559994">
                  <w:marLeft w:val="0"/>
                  <w:marRight w:val="0"/>
                  <w:marTop w:val="0"/>
                  <w:marBottom w:val="0"/>
                  <w:divBdr>
                    <w:top w:val="none" w:sz="0" w:space="0" w:color="auto"/>
                    <w:left w:val="none" w:sz="0" w:space="0" w:color="auto"/>
                    <w:bottom w:val="none" w:sz="0" w:space="0" w:color="auto"/>
                    <w:right w:val="none" w:sz="0" w:space="0" w:color="auto"/>
                  </w:divBdr>
                </w:div>
              </w:divsChild>
            </w:div>
            <w:div w:id="608661922">
              <w:marLeft w:val="0"/>
              <w:marRight w:val="0"/>
              <w:marTop w:val="0"/>
              <w:marBottom w:val="0"/>
              <w:divBdr>
                <w:top w:val="none" w:sz="0" w:space="0" w:color="auto"/>
                <w:left w:val="none" w:sz="0" w:space="0" w:color="auto"/>
                <w:bottom w:val="none" w:sz="0" w:space="0" w:color="auto"/>
                <w:right w:val="none" w:sz="0" w:space="0" w:color="auto"/>
              </w:divBdr>
              <w:divsChild>
                <w:div w:id="482893090">
                  <w:marLeft w:val="0"/>
                  <w:marRight w:val="0"/>
                  <w:marTop w:val="0"/>
                  <w:marBottom w:val="0"/>
                  <w:divBdr>
                    <w:top w:val="none" w:sz="0" w:space="0" w:color="auto"/>
                    <w:left w:val="none" w:sz="0" w:space="0" w:color="auto"/>
                    <w:bottom w:val="none" w:sz="0" w:space="0" w:color="auto"/>
                    <w:right w:val="none" w:sz="0" w:space="0" w:color="auto"/>
                  </w:divBdr>
                </w:div>
                <w:div w:id="407197600">
                  <w:marLeft w:val="0"/>
                  <w:marRight w:val="0"/>
                  <w:marTop w:val="0"/>
                  <w:marBottom w:val="0"/>
                  <w:divBdr>
                    <w:top w:val="none" w:sz="0" w:space="0" w:color="auto"/>
                    <w:left w:val="none" w:sz="0" w:space="0" w:color="auto"/>
                    <w:bottom w:val="none" w:sz="0" w:space="0" w:color="auto"/>
                    <w:right w:val="none" w:sz="0" w:space="0" w:color="auto"/>
                  </w:divBdr>
                </w:div>
              </w:divsChild>
            </w:div>
            <w:div w:id="183401298">
              <w:marLeft w:val="0"/>
              <w:marRight w:val="0"/>
              <w:marTop w:val="0"/>
              <w:marBottom w:val="0"/>
              <w:divBdr>
                <w:top w:val="none" w:sz="0" w:space="0" w:color="auto"/>
                <w:left w:val="none" w:sz="0" w:space="0" w:color="auto"/>
                <w:bottom w:val="none" w:sz="0" w:space="0" w:color="auto"/>
                <w:right w:val="none" w:sz="0" w:space="0" w:color="auto"/>
              </w:divBdr>
              <w:divsChild>
                <w:div w:id="185751582">
                  <w:marLeft w:val="0"/>
                  <w:marRight w:val="0"/>
                  <w:marTop w:val="0"/>
                  <w:marBottom w:val="0"/>
                  <w:divBdr>
                    <w:top w:val="none" w:sz="0" w:space="0" w:color="auto"/>
                    <w:left w:val="none" w:sz="0" w:space="0" w:color="auto"/>
                    <w:bottom w:val="none" w:sz="0" w:space="0" w:color="auto"/>
                    <w:right w:val="none" w:sz="0" w:space="0" w:color="auto"/>
                  </w:divBdr>
                </w:div>
              </w:divsChild>
            </w:div>
            <w:div w:id="1819881323">
              <w:marLeft w:val="0"/>
              <w:marRight w:val="0"/>
              <w:marTop w:val="0"/>
              <w:marBottom w:val="0"/>
              <w:divBdr>
                <w:top w:val="none" w:sz="0" w:space="0" w:color="auto"/>
                <w:left w:val="none" w:sz="0" w:space="0" w:color="auto"/>
                <w:bottom w:val="none" w:sz="0" w:space="0" w:color="auto"/>
                <w:right w:val="none" w:sz="0" w:space="0" w:color="auto"/>
              </w:divBdr>
              <w:divsChild>
                <w:div w:id="9507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hyperlink" Target="http://relatoria.colombiacompra.gov.co/ficha/C-170%20de%202021" TargetMode="External" Id="rId9" /><Relationship Type="http://schemas.openxmlformats.org/officeDocument/2006/relationships/theme" Target="theme/theme1.xml" Id="rId14" /><Relationship Type="http://schemas.openxmlformats.org/officeDocument/2006/relationships/image" Target="/media/image5.png" Id="Rc7e86128eba04425"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capacidad_resid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D5E5F2F-E601-453B-8C08-B9BAE9F84B0D}">
  <ds:schemaRefs>
    <ds:schemaRef ds:uri="http://schemas.openxmlformats.org/officeDocument/2006/bibliography"/>
  </ds:schemaRefs>
</ds:datastoreItem>
</file>

<file path=customXml/itemProps2.xml><?xml version="1.0" encoding="utf-8"?>
<ds:datastoreItem xmlns:ds="http://schemas.openxmlformats.org/officeDocument/2006/customXml" ds:itemID="{CC554105-E7E3-4F3F-9697-72521ACC2C9A}"/>
</file>

<file path=customXml/itemProps3.xml><?xml version="1.0" encoding="utf-8"?>
<ds:datastoreItem xmlns:ds="http://schemas.openxmlformats.org/officeDocument/2006/customXml" ds:itemID="{762A824B-F0C4-4089-A750-F95B34841E92}"/>
</file>

<file path=customXml/itemProps4.xml><?xml version="1.0" encoding="utf-8"?>
<ds:datastoreItem xmlns:ds="http://schemas.openxmlformats.org/officeDocument/2006/customXml" ds:itemID="{41F2312E-3AD3-480B-949E-AD73DE5AC8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nicolle saenz camargo</dc:creator>
  <keywords/>
  <dc:description/>
  <lastModifiedBy>Liliana Patricia Sanguino Arenas</lastModifiedBy>
  <revision>83</revision>
  <dcterms:created xsi:type="dcterms:W3CDTF">2022-02-15T21:55:00.0000000Z</dcterms:created>
  <dcterms:modified xsi:type="dcterms:W3CDTF">2022-03-29T03:45:22.1154503Z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