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073F4" w:rsidP="009F0A44" w:rsidRDefault="00E073F4" w14:paraId="271901EF" w14:textId="77777777">
      <w:pPr>
        <w:rPr>
          <w:rFonts w:ascii="Arial" w:hAnsi="Arial" w:cs="Arial"/>
          <w:b/>
          <w:sz w:val="22"/>
          <w:szCs w:val="22"/>
          <w:lang w:val="es-ES" w:eastAsia="es-ES"/>
        </w:rPr>
      </w:pPr>
    </w:p>
    <w:p w:rsidRPr="0008465D" w:rsidR="00F96DA4" w:rsidP="00F96DA4" w:rsidRDefault="00F96DA4" w14:paraId="001B9CA5" w14:textId="77777777">
      <w:pPr>
        <w:jc w:val="right"/>
        <w:rPr>
          <w:rFonts w:ascii="Arial" w:hAnsi="Arial" w:cs="Arial"/>
          <w:b/>
          <w:sz w:val="16"/>
          <w:szCs w:val="16"/>
          <w:lang w:val="es-ES" w:eastAsia="es-ES"/>
        </w:rPr>
      </w:pPr>
      <w:r w:rsidRPr="0008465D">
        <w:rPr>
          <w:rFonts w:ascii="Arial" w:hAnsi="Arial" w:cs="Arial"/>
          <w:b/>
          <w:sz w:val="16"/>
          <w:szCs w:val="16"/>
          <w:lang w:val="es-ES" w:eastAsia="es-ES"/>
        </w:rPr>
        <w:t>CCE-DES-FM-17</w:t>
      </w:r>
    </w:p>
    <w:p w:rsidR="00F96DA4" w:rsidP="00F96DA4" w:rsidRDefault="00F96DA4" w14:paraId="3E552748" w14:textId="77777777">
      <w:pPr>
        <w:jc w:val="both"/>
        <w:rPr>
          <w:rFonts w:ascii="Arial" w:hAnsi="Arial" w:eastAsia="Calibri" w:cs="Arial"/>
          <w:b/>
          <w:sz w:val="22"/>
          <w:szCs w:val="22"/>
          <w:lang w:val="es-MX"/>
        </w:rPr>
      </w:pPr>
      <w:r>
        <w:rPr>
          <w:rFonts w:ascii="Arial" w:hAnsi="Arial" w:eastAsia="Calibri" w:cs="Arial"/>
          <w:b/>
          <w:sz w:val="22"/>
          <w:szCs w:val="22"/>
          <w:lang w:val="es-MX"/>
        </w:rPr>
        <w:t xml:space="preserve">LEY DE GARANTÍAS ELECTORALES – Naturaleza Jurídica </w:t>
      </w:r>
    </w:p>
    <w:p w:rsidR="00F96DA4" w:rsidP="00F96DA4" w:rsidRDefault="00F96DA4" w14:paraId="63D0B79E" w14:textId="77777777">
      <w:pPr>
        <w:jc w:val="both"/>
        <w:rPr>
          <w:rFonts w:ascii="Arial" w:hAnsi="Arial" w:eastAsia="Calibri" w:cs="Arial"/>
          <w:b/>
          <w:sz w:val="22"/>
          <w:szCs w:val="22"/>
          <w:lang w:val="es-MX"/>
        </w:rPr>
      </w:pPr>
    </w:p>
    <w:p w:rsidRPr="0094584C" w:rsidR="00F96DA4" w:rsidP="00F96DA4" w:rsidRDefault="00F96DA4" w14:paraId="5921150B" w14:textId="77777777">
      <w:pPr>
        <w:jc w:val="both"/>
        <w:rPr>
          <w:rFonts w:ascii="Arial" w:hAnsi="Arial" w:eastAsia="Calibri" w:cs="Arial"/>
          <w:b/>
          <w:sz w:val="20"/>
          <w:szCs w:val="20"/>
          <w:lang w:val="es-MX"/>
        </w:rPr>
      </w:pPr>
      <w:r>
        <w:rPr>
          <w:rFonts w:ascii="Arial" w:hAnsi="Arial" w:cs="Arial"/>
          <w:bCs/>
          <w:sz w:val="20"/>
          <w:szCs w:val="20"/>
          <w:lang w:val="es-MX" w:eastAsia="es-CO"/>
        </w:rPr>
        <w:t>L</w:t>
      </w:r>
      <w:r w:rsidRPr="0094584C">
        <w:rPr>
          <w:rFonts w:ascii="Arial" w:hAnsi="Arial" w:cs="Arial"/>
          <w:bCs/>
          <w:sz w:val="20"/>
          <w:szCs w:val="20"/>
          <w:lang w:val="es-MX" w:eastAsia="es-CO"/>
        </w:rPr>
        <w:t>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En esta medida, introduce limitaciones para realizar nombramientos, postulaciones, contrataciones o cualquier otro tipo de actividad que implique destinación de recursos públicos bajo el devenir propio de las entidades estatales.</w:t>
      </w:r>
    </w:p>
    <w:p w:rsidR="00F96DA4" w:rsidP="00F96DA4" w:rsidRDefault="00F96DA4" w14:paraId="65312F5F" w14:textId="77777777">
      <w:pPr>
        <w:jc w:val="both"/>
        <w:rPr>
          <w:rFonts w:ascii="Arial" w:hAnsi="Arial" w:eastAsia="Calibri" w:cs="Arial"/>
          <w:b/>
          <w:sz w:val="22"/>
          <w:szCs w:val="22"/>
          <w:lang w:val="es-MX"/>
        </w:rPr>
      </w:pPr>
    </w:p>
    <w:p w:rsidR="00F96DA4" w:rsidP="00F96DA4" w:rsidRDefault="00F96DA4" w14:paraId="2AF32A54" w14:textId="77777777">
      <w:pPr>
        <w:jc w:val="both"/>
        <w:rPr>
          <w:rFonts w:ascii="Arial" w:hAnsi="Arial" w:eastAsia="Calibri" w:cs="Arial"/>
          <w:b/>
          <w:sz w:val="22"/>
          <w:szCs w:val="22"/>
          <w:lang w:val="es-MX"/>
        </w:rPr>
      </w:pPr>
      <w:r>
        <w:rPr>
          <w:rFonts w:ascii="Arial" w:hAnsi="Arial" w:eastAsia="Calibri" w:cs="Arial"/>
          <w:b/>
          <w:sz w:val="22"/>
          <w:szCs w:val="22"/>
          <w:lang w:val="es-MX"/>
        </w:rPr>
        <w:t xml:space="preserve">LEY DE GARANTÍAS ELECTORALES – Prohibiciones </w:t>
      </w:r>
    </w:p>
    <w:p w:rsidR="00F96DA4" w:rsidP="00F96DA4" w:rsidRDefault="00F96DA4" w14:paraId="4DAB91AF" w14:textId="77777777">
      <w:pPr>
        <w:jc w:val="both"/>
        <w:rPr>
          <w:rFonts w:ascii="Arial" w:hAnsi="Arial" w:eastAsia="Calibri" w:cs="Arial"/>
          <w:b/>
          <w:sz w:val="22"/>
          <w:szCs w:val="22"/>
          <w:lang w:val="es-MX"/>
        </w:rPr>
      </w:pPr>
    </w:p>
    <w:p w:rsidRPr="0094584C" w:rsidR="00F96DA4" w:rsidP="00F96DA4" w:rsidRDefault="00F96DA4" w14:paraId="4A00D71E" w14:textId="77777777">
      <w:pPr>
        <w:spacing w:after="120"/>
        <w:jc w:val="both"/>
        <w:rPr>
          <w:rFonts w:ascii="Arial" w:hAnsi="Arial" w:eastAsia="Arial" w:cs="Arial"/>
          <w:sz w:val="20"/>
          <w:szCs w:val="20"/>
          <w:lang w:val="es-ES" w:eastAsia="es-ES" w:bidi="es-ES"/>
        </w:rPr>
      </w:pPr>
      <w:r w:rsidRPr="0094584C">
        <w:rPr>
          <w:rFonts w:ascii="Arial" w:hAnsi="Arial" w:cs="Arial"/>
          <w:bCs/>
          <w:sz w:val="20"/>
          <w:szCs w:val="20"/>
          <w:lang w:val="es-MX" w:eastAsia="es-CO"/>
        </w:rPr>
        <w:t>De</w:t>
      </w:r>
      <w:r w:rsidRPr="0094584C">
        <w:rPr>
          <w:rFonts w:ascii="Arial" w:hAnsi="Arial" w:eastAsia="Arial" w:cs="Arial"/>
          <w:sz w:val="20"/>
          <w:szCs w:val="20"/>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rsidRPr="0094584C" w:rsidR="00F96DA4" w:rsidP="00F96DA4" w:rsidRDefault="00F96DA4" w14:paraId="1D496CFF" w14:textId="77777777">
      <w:pPr>
        <w:spacing w:after="120"/>
        <w:jc w:val="both"/>
        <w:rPr>
          <w:rFonts w:ascii="Arial" w:hAnsi="Arial" w:eastAsia="Calibri" w:cs="Arial"/>
          <w:sz w:val="20"/>
          <w:szCs w:val="20"/>
        </w:rPr>
      </w:pPr>
      <w:r w:rsidRPr="0094584C">
        <w:rPr>
          <w:rFonts w:ascii="Arial" w:hAnsi="Arial" w:eastAsia="Calibri" w:cs="Arial"/>
          <w:sz w:val="20"/>
          <w:szCs w:val="20"/>
        </w:rPr>
        <w:t xml:space="preserve">Por un lado, el artículo 33 de la Ley 996 de 2005 prohíbe </w:t>
      </w:r>
      <w:r w:rsidRPr="0094584C">
        <w:rPr>
          <w:rFonts w:ascii="Arial" w:hAnsi="Arial" w:eastAsia="Calibri" w:cs="Arial"/>
          <w:bCs/>
          <w:sz w:val="20"/>
          <w:szCs w:val="20"/>
        </w:rPr>
        <w:t xml:space="preserve">«[…] </w:t>
      </w:r>
      <w:r w:rsidRPr="0094584C">
        <w:rPr>
          <w:rFonts w:ascii="Arial" w:hAnsi="Arial" w:eastAsia="Calibri" w:cs="Arial"/>
          <w:sz w:val="20"/>
          <w:szCs w:val="20"/>
        </w:rPr>
        <w:t>la contratación directa por parte de todos los entes del Estado</w:t>
      </w:r>
      <w:r w:rsidRPr="0094584C">
        <w:rPr>
          <w:rFonts w:ascii="Arial" w:hAnsi="Arial" w:eastAsia="Calibri" w:cs="Arial"/>
          <w:bCs/>
          <w:sz w:val="20"/>
          <w:szCs w:val="20"/>
        </w:rPr>
        <w:t>»</w:t>
      </w:r>
      <w:r w:rsidRPr="0094584C">
        <w:rPr>
          <w:rFonts w:ascii="Arial" w:hAnsi="Arial" w:eastAsia="Calibri" w:cs="Arial"/>
          <w:sz w:val="20"/>
          <w:szCs w:val="20"/>
        </w:rPr>
        <w:t xml:space="preserve"> durante los cuatro (4) meses anteriores a las elecciones presidenciales, salvo </w:t>
      </w:r>
      <w:r w:rsidRPr="0094584C">
        <w:rPr>
          <w:rFonts w:ascii="Arial" w:hAnsi="Arial" w:eastAsia="Calibri" w:cs="Arial"/>
          <w:bCs/>
          <w:sz w:val="20"/>
          <w:szCs w:val="20"/>
        </w:rPr>
        <w:t xml:space="preserve">«[…] </w:t>
      </w:r>
      <w:r w:rsidRPr="0094584C">
        <w:rPr>
          <w:rFonts w:ascii="Arial" w:hAnsi="Arial" w:eastAsia="Calibri" w:cs="Arial"/>
          <w:sz w:val="20"/>
          <w:szCs w:val="20"/>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94584C">
        <w:rPr>
          <w:rFonts w:ascii="Arial" w:hAnsi="Arial" w:eastAsia="Calibri" w:cs="Arial"/>
          <w:bCs/>
          <w:sz w:val="20"/>
          <w:szCs w:val="20"/>
        </w:rPr>
        <w:t>»</w:t>
      </w:r>
      <w:r w:rsidRPr="0094584C">
        <w:rPr>
          <w:rFonts w:ascii="Arial" w:hAnsi="Arial" w:eastAsia="Calibri" w:cs="Arial"/>
          <w:sz w:val="20"/>
          <w:szCs w:val="20"/>
        </w:rPr>
        <w:t>.</w:t>
      </w:r>
    </w:p>
    <w:p w:rsidRPr="0094584C" w:rsidR="00F96DA4" w:rsidP="00F96DA4" w:rsidRDefault="00F96DA4" w14:paraId="24E736F9" w14:textId="77777777">
      <w:pPr>
        <w:jc w:val="both"/>
        <w:rPr>
          <w:rFonts w:ascii="Arial" w:hAnsi="Arial" w:eastAsia="Calibri" w:cs="Arial"/>
          <w:b/>
          <w:sz w:val="20"/>
          <w:szCs w:val="20"/>
          <w:lang w:val="es-MX"/>
        </w:rPr>
      </w:pPr>
      <w:r w:rsidRPr="0094584C">
        <w:rPr>
          <w:rFonts w:ascii="Arial" w:hAnsi="Arial" w:eastAsia="Calibri" w:cs="Arial"/>
          <w:sz w:val="20"/>
          <w:szCs w:val="20"/>
        </w:rPr>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94584C">
        <w:rPr>
          <w:rFonts w:ascii="Arial" w:hAnsi="Arial" w:eastAsia="Calibri" w:cs="Arial"/>
          <w:bCs/>
          <w:sz w:val="20"/>
          <w:szCs w:val="20"/>
        </w:rPr>
        <w:t xml:space="preserve">«[…] </w:t>
      </w:r>
      <w:r w:rsidRPr="0094584C">
        <w:rPr>
          <w:rFonts w:ascii="Arial" w:hAnsi="Arial" w:eastAsia="Calibri" w:cs="Arial"/>
          <w:sz w:val="20"/>
          <w:szCs w:val="20"/>
          <w:lang w:val="es-MX"/>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94584C">
        <w:rPr>
          <w:rFonts w:ascii="Arial" w:hAnsi="Arial" w:eastAsia="Calibri" w:cs="Arial"/>
          <w:bCs/>
          <w:sz w:val="20"/>
          <w:szCs w:val="20"/>
        </w:rPr>
        <w:t>»</w:t>
      </w:r>
      <w:r w:rsidRPr="0094584C">
        <w:rPr>
          <w:rFonts w:ascii="Arial" w:hAnsi="Arial" w:eastAsia="Calibri" w:cs="Arial"/>
          <w:sz w:val="20"/>
          <w:szCs w:val="20"/>
          <w:lang w:val="es-MX"/>
        </w:rPr>
        <w:t>.</w:t>
      </w:r>
    </w:p>
    <w:p w:rsidR="00F96DA4" w:rsidP="00F96DA4" w:rsidRDefault="00F96DA4" w14:paraId="5534BB1C" w14:textId="77777777">
      <w:pPr>
        <w:tabs>
          <w:tab w:val="left" w:pos="0"/>
        </w:tabs>
        <w:spacing w:line="276" w:lineRule="auto"/>
        <w:jc w:val="both"/>
        <w:rPr>
          <w:rFonts w:ascii="Arial" w:hAnsi="Arial" w:eastAsia="Calibri" w:cs="Arial"/>
          <w:b/>
          <w:sz w:val="22"/>
          <w:lang w:val="es-ES"/>
        </w:rPr>
      </w:pPr>
    </w:p>
    <w:p w:rsidR="00F96DA4" w:rsidP="00F96DA4" w:rsidRDefault="00F96DA4" w14:paraId="62FAF40A" w14:textId="77777777">
      <w:pPr>
        <w:jc w:val="both"/>
        <w:rPr>
          <w:rFonts w:ascii="Arial" w:hAnsi="Arial" w:eastAsia="Calibri" w:cs="Arial"/>
          <w:b/>
          <w:sz w:val="22"/>
          <w:szCs w:val="22"/>
          <w:lang w:val="es-MX"/>
        </w:rPr>
      </w:pPr>
      <w:r>
        <w:rPr>
          <w:rFonts w:ascii="Arial" w:hAnsi="Arial" w:eastAsia="Calibri" w:cs="Arial"/>
          <w:b/>
          <w:sz w:val="22"/>
          <w:szCs w:val="22"/>
          <w:lang w:val="es-MX"/>
        </w:rPr>
        <w:t xml:space="preserve">LEY DE GARANTÍAS ELECTORALES – Aplicación – Destinatarios </w:t>
      </w:r>
    </w:p>
    <w:p w:rsidR="00F96DA4" w:rsidP="00F96DA4" w:rsidRDefault="00F96DA4" w14:paraId="50711FCA" w14:textId="77777777">
      <w:pPr>
        <w:jc w:val="both"/>
        <w:rPr>
          <w:rFonts w:ascii="Arial" w:hAnsi="Arial" w:eastAsia="Calibri" w:cs="Arial"/>
          <w:b/>
          <w:sz w:val="22"/>
          <w:szCs w:val="22"/>
          <w:lang w:val="es-MX"/>
        </w:rPr>
      </w:pPr>
    </w:p>
    <w:p w:rsidRPr="0094584C" w:rsidR="00F96DA4" w:rsidP="00F96DA4" w:rsidRDefault="00F96DA4" w14:paraId="1EDD6166" w14:textId="77777777">
      <w:pPr>
        <w:jc w:val="both"/>
        <w:rPr>
          <w:rFonts w:ascii="Arial" w:hAnsi="Arial" w:eastAsia="Calibri" w:cs="Arial"/>
          <w:b/>
          <w:sz w:val="20"/>
          <w:szCs w:val="20"/>
          <w:lang w:val="es-MX"/>
        </w:rPr>
      </w:pPr>
      <w:r w:rsidRPr="0094584C">
        <w:rPr>
          <w:rFonts w:ascii="Arial" w:hAnsi="Arial" w:cs="Arial"/>
          <w:bCs/>
          <w:sz w:val="20"/>
          <w:szCs w:val="20"/>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94584C">
        <w:rPr>
          <w:sz w:val="20"/>
          <w:szCs w:val="20"/>
          <w:lang w:val="es-MX"/>
        </w:rPr>
        <w:t xml:space="preserve"> </w:t>
      </w:r>
      <w:r w:rsidRPr="0094584C">
        <w:rPr>
          <w:rFonts w:ascii="Arial" w:hAnsi="Arial" w:cs="Arial"/>
          <w:bCs/>
          <w:sz w:val="20"/>
          <w:szCs w:val="20"/>
          <w:lang w:val="es-MX" w:eastAsia="x-none"/>
        </w:rPr>
        <w:t>En efecto, tal como lo ha sostenido el Consejo de Estado, el vocablo «todos» utilizado por el legislador comprende</w:t>
      </w:r>
      <w:r w:rsidRPr="0094584C">
        <w:rPr>
          <w:sz w:val="20"/>
          <w:szCs w:val="20"/>
          <w:lang w:val="es-MX"/>
        </w:rPr>
        <w:t xml:space="preserve"> </w:t>
      </w:r>
      <w:r w:rsidRPr="0094584C">
        <w:rPr>
          <w:rFonts w:ascii="Arial" w:hAnsi="Arial" w:cs="Arial"/>
          <w:bCs/>
          <w:sz w:val="20"/>
          <w:szCs w:val="20"/>
          <w:lang w:val="es-MX" w:eastAsia="x-none"/>
        </w:rPr>
        <w:t>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rsidRPr="0094584C" w:rsidR="00F96DA4" w:rsidP="00F96DA4" w:rsidRDefault="00F96DA4" w14:paraId="2DEE57CE" w14:textId="77777777">
      <w:pPr>
        <w:jc w:val="both"/>
        <w:rPr>
          <w:rFonts w:ascii="Arial" w:hAnsi="Arial" w:eastAsia="Calibri" w:cs="Arial"/>
          <w:b/>
          <w:sz w:val="20"/>
          <w:szCs w:val="20"/>
          <w:lang w:val="es-MX"/>
        </w:rPr>
      </w:pPr>
    </w:p>
    <w:p w:rsidR="00F96DA4" w:rsidP="00F96DA4" w:rsidRDefault="00F96DA4" w14:paraId="2BAB33D5" w14:textId="77777777">
      <w:pPr>
        <w:tabs>
          <w:tab w:val="left" w:pos="426"/>
        </w:tabs>
        <w:jc w:val="both"/>
        <w:rPr>
          <w:rFonts w:ascii="Arial" w:hAnsi="Arial" w:cs="Arial"/>
          <w:sz w:val="20"/>
          <w:szCs w:val="20"/>
          <w:lang w:val="es-MX"/>
        </w:rPr>
      </w:pPr>
      <w:r w:rsidRPr="0094584C">
        <w:rPr>
          <w:rFonts w:ascii="Arial" w:hAnsi="Arial" w:eastAsia="Calibri" w:cs="Arial"/>
          <w:bCs/>
          <w:sz w:val="20"/>
          <w:szCs w:val="20"/>
        </w:rPr>
        <w:lastRenderedPageBreak/>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94584C">
        <w:rPr>
          <w:rFonts w:ascii="Arial" w:hAnsi="Arial" w:cs="Arial"/>
          <w:bCs/>
          <w:iCs/>
          <w:sz w:val="20"/>
          <w:szCs w:val="20"/>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94584C">
        <w:rPr>
          <w:rFonts w:ascii="Arial" w:hAnsi="Arial" w:cs="Arial"/>
          <w:sz w:val="20"/>
          <w:szCs w:val="20"/>
          <w:lang w:val="es-MX"/>
        </w:rPr>
        <w:t xml:space="preserve"> </w:t>
      </w:r>
    </w:p>
    <w:p w:rsidRPr="0008465D" w:rsidR="00F96DA4" w:rsidP="00F96DA4" w:rsidRDefault="00F96DA4" w14:paraId="61F03C7B" w14:textId="77777777">
      <w:pPr>
        <w:tabs>
          <w:tab w:val="left" w:pos="0"/>
        </w:tabs>
        <w:spacing w:line="276" w:lineRule="auto"/>
        <w:jc w:val="both"/>
        <w:rPr>
          <w:rFonts w:ascii="Arial" w:hAnsi="Arial" w:eastAsia="Calibri" w:cs="Arial"/>
          <w:b/>
          <w:sz w:val="22"/>
          <w:lang w:val="es-ES"/>
        </w:rPr>
      </w:pPr>
    </w:p>
    <w:p w:rsidRPr="00306E93" w:rsidR="00F96DA4" w:rsidP="00F96DA4" w:rsidRDefault="00F96DA4" w14:paraId="584D2D2C" w14:textId="77777777">
      <w:pPr>
        <w:jc w:val="both"/>
        <w:rPr>
          <w:rFonts w:ascii="Arial" w:hAnsi="Arial" w:eastAsia="Calibri" w:cs="Arial"/>
          <w:b/>
          <w:sz w:val="22"/>
          <w:szCs w:val="22"/>
          <w:lang w:val="es-MX"/>
        </w:rPr>
      </w:pPr>
      <w:r w:rsidRPr="00306E93">
        <w:rPr>
          <w:rFonts w:ascii="Arial" w:hAnsi="Arial" w:eastAsia="Calibri" w:cs="Arial"/>
          <w:b/>
          <w:sz w:val="22"/>
          <w:szCs w:val="22"/>
          <w:lang w:val="es-MX"/>
        </w:rPr>
        <w:t>CONVENIOS DE ASOCIACIÓN – Régimen de Contratación</w:t>
      </w:r>
      <w:r>
        <w:rPr>
          <w:rFonts w:ascii="Arial" w:hAnsi="Arial" w:eastAsia="Calibri" w:cs="Arial"/>
          <w:b/>
          <w:sz w:val="22"/>
          <w:szCs w:val="22"/>
          <w:lang w:val="es-MX"/>
        </w:rPr>
        <w:t xml:space="preserve"> </w:t>
      </w:r>
      <w:r w:rsidRPr="00911A8E">
        <w:rPr>
          <w:rFonts w:ascii="Arial" w:hAnsi="Arial" w:eastAsia="Calibri" w:cs="Arial"/>
          <w:b/>
          <w:sz w:val="22"/>
          <w:szCs w:val="22"/>
          <w:lang w:val="es-MX"/>
        </w:rPr>
        <w:t>–</w:t>
      </w:r>
      <w:r w:rsidRPr="001B7CA0">
        <w:rPr>
          <w:rFonts w:ascii="Arial" w:hAnsi="Arial" w:eastAsia="Calibri" w:cs="Arial"/>
          <w:b/>
          <w:sz w:val="22"/>
          <w:szCs w:val="22"/>
          <w:lang w:val="es-MX"/>
        </w:rPr>
        <w:t xml:space="preserve"> </w:t>
      </w:r>
      <w:r w:rsidRPr="00D35467">
        <w:rPr>
          <w:rFonts w:ascii="Arial" w:hAnsi="Arial" w:eastAsia="Calibri" w:cs="Arial"/>
          <w:b/>
          <w:sz w:val="22"/>
          <w:szCs w:val="22"/>
          <w:lang w:val="es-MX"/>
        </w:rPr>
        <w:t xml:space="preserve">Naturaleza </w:t>
      </w:r>
      <w:r>
        <w:rPr>
          <w:rFonts w:ascii="Arial" w:hAnsi="Arial" w:eastAsia="Calibri" w:cs="Arial"/>
          <w:b/>
          <w:sz w:val="22"/>
          <w:szCs w:val="22"/>
          <w:lang w:val="es-MX"/>
        </w:rPr>
        <w:t>j</w:t>
      </w:r>
      <w:r w:rsidRPr="00D35467">
        <w:rPr>
          <w:rFonts w:ascii="Arial" w:hAnsi="Arial" w:eastAsia="Calibri" w:cs="Arial"/>
          <w:b/>
          <w:sz w:val="22"/>
          <w:szCs w:val="22"/>
          <w:lang w:val="es-MX"/>
        </w:rPr>
        <w:t>urídica</w:t>
      </w:r>
    </w:p>
    <w:p w:rsidR="00F96DA4" w:rsidP="00F96DA4" w:rsidRDefault="00F96DA4" w14:paraId="23CADFCE" w14:textId="77777777">
      <w:pPr>
        <w:jc w:val="both"/>
        <w:rPr>
          <w:rFonts w:ascii="Arial" w:hAnsi="Arial" w:cs="Arial" w:eastAsiaTheme="minorHAnsi"/>
          <w:sz w:val="20"/>
          <w:szCs w:val="20"/>
          <w:lang w:val="es-MX" w:eastAsia="en-US"/>
        </w:rPr>
      </w:pPr>
    </w:p>
    <w:p w:rsidRPr="0051586B" w:rsidR="00F96DA4" w:rsidP="00F96DA4" w:rsidRDefault="00F96DA4" w14:paraId="38F8AE1D" w14:textId="77777777">
      <w:pPr>
        <w:spacing w:before="120"/>
        <w:jc w:val="both"/>
        <w:rPr>
          <w:rFonts w:ascii="Arial" w:hAnsi="Arial" w:cs="Arial" w:eastAsiaTheme="minorHAnsi"/>
          <w:sz w:val="20"/>
          <w:szCs w:val="20"/>
          <w:lang w:val="es-MX" w:eastAsia="en-US"/>
        </w:rPr>
      </w:pPr>
      <w:r w:rsidRPr="0051586B">
        <w:rPr>
          <w:rFonts w:ascii="Arial" w:hAnsi="Arial" w:cs="Arial" w:eastAsiaTheme="minorHAnsi"/>
          <w:sz w:val="20"/>
          <w:szCs w:val="20"/>
          <w:lang w:val="es-MX" w:eastAsia="en-US"/>
        </w:rPr>
        <w:t xml:space="preserve">De otro lado, los </w:t>
      </w:r>
      <w:r w:rsidRPr="0051586B">
        <w:rPr>
          <w:rFonts w:ascii="Arial" w:hAnsi="Arial" w:cs="Arial" w:eastAsiaTheme="minorHAnsi"/>
          <w:i/>
          <w:iCs/>
          <w:sz w:val="20"/>
          <w:szCs w:val="20"/>
          <w:lang w:val="es-MX" w:eastAsia="en-US"/>
        </w:rPr>
        <w:t>convenios de asociación</w:t>
      </w:r>
      <w:r w:rsidRPr="0051586B">
        <w:rPr>
          <w:rFonts w:ascii="Arial" w:hAnsi="Arial" w:cs="Arial" w:eastAsiaTheme="minorHAnsi"/>
          <w:sz w:val="20"/>
          <w:szCs w:val="20"/>
          <w:lang w:val="es-MX" w:eastAsia="en-U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w:t>
      </w:r>
    </w:p>
    <w:p w:rsidRPr="0051586B" w:rsidR="00F96DA4" w:rsidP="00F96DA4" w:rsidRDefault="00F96DA4" w14:paraId="373C64EE" w14:textId="77777777">
      <w:pPr>
        <w:spacing w:before="120"/>
        <w:jc w:val="both"/>
        <w:rPr>
          <w:rFonts w:ascii="Arial" w:hAnsi="Arial" w:cs="Arial" w:eastAsiaTheme="minorHAnsi"/>
          <w:sz w:val="20"/>
          <w:szCs w:val="20"/>
          <w:lang w:val="es-MX" w:eastAsia="en-US"/>
        </w:rPr>
      </w:pPr>
      <w:r w:rsidRPr="0051586B">
        <w:rPr>
          <w:rFonts w:ascii="Arial" w:hAnsi="Arial" w:cs="Arial" w:eastAsiaTheme="minorHAnsi"/>
          <w:sz w:val="20"/>
          <w:szCs w:val="20"/>
          <w:lang w:val="es-MX" w:eastAsia="en-US"/>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rsidRPr="0051586B" w:rsidR="00F96DA4" w:rsidP="00F96DA4" w:rsidRDefault="00F96DA4" w14:paraId="22F8C27F" w14:textId="77777777">
      <w:pPr>
        <w:spacing w:before="120"/>
        <w:jc w:val="both"/>
        <w:rPr>
          <w:rFonts w:ascii="Arial" w:hAnsi="Arial" w:cs="Arial" w:eastAsiaTheme="minorHAnsi"/>
          <w:sz w:val="20"/>
          <w:szCs w:val="20"/>
          <w:lang w:eastAsia="en-US"/>
        </w:rPr>
      </w:pPr>
      <w:r w:rsidRPr="0051586B">
        <w:rPr>
          <w:rFonts w:ascii="Arial" w:hAnsi="Arial" w:cs="Arial" w:eastAsiaTheme="minorHAnsi"/>
          <w:sz w:val="20"/>
          <w:szCs w:val="20"/>
          <w:lang w:eastAsia="en-US"/>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rsidR="00F96DA4" w:rsidP="00F96DA4" w:rsidRDefault="00F96DA4" w14:paraId="3C4A5947" w14:textId="77777777">
      <w:pPr>
        <w:spacing w:after="120"/>
        <w:jc w:val="both"/>
        <w:rPr>
          <w:rFonts w:ascii="Arial" w:hAnsi="Arial" w:eastAsia="Arial," w:cs="Arial"/>
          <w:sz w:val="20"/>
          <w:szCs w:val="20"/>
        </w:rPr>
      </w:pPr>
    </w:p>
    <w:p w:rsidR="00F96DA4" w:rsidP="00F96DA4" w:rsidRDefault="00F96DA4" w14:paraId="0B4FDC27" w14:textId="77777777">
      <w:pPr>
        <w:spacing w:after="120"/>
        <w:jc w:val="both"/>
        <w:rPr>
          <w:rFonts w:ascii="Arial" w:hAnsi="Arial" w:eastAsia="Arial," w:cs="Arial"/>
          <w:sz w:val="20"/>
          <w:szCs w:val="20"/>
        </w:rPr>
      </w:pPr>
    </w:p>
    <w:p w:rsidR="00F96DA4" w:rsidP="00F96DA4" w:rsidRDefault="00F96DA4" w14:paraId="11BD721A" w14:textId="77777777">
      <w:pPr>
        <w:spacing w:after="120"/>
        <w:jc w:val="both"/>
        <w:rPr>
          <w:rFonts w:ascii="Arial" w:hAnsi="Arial" w:eastAsia="Arial," w:cs="Arial"/>
          <w:sz w:val="20"/>
          <w:szCs w:val="20"/>
        </w:rPr>
      </w:pPr>
    </w:p>
    <w:p w:rsidR="00F96DA4" w:rsidP="00F96DA4" w:rsidRDefault="00F96DA4" w14:paraId="2BCF102F" w14:textId="77777777">
      <w:pPr>
        <w:spacing w:after="120"/>
        <w:jc w:val="both"/>
        <w:rPr>
          <w:rFonts w:ascii="Arial" w:hAnsi="Arial" w:eastAsia="Arial," w:cs="Arial"/>
          <w:sz w:val="20"/>
          <w:szCs w:val="20"/>
        </w:rPr>
      </w:pPr>
    </w:p>
    <w:p w:rsidR="00F96DA4" w:rsidP="00F96DA4" w:rsidRDefault="00F96DA4" w14:paraId="41ACB284" w14:textId="77777777">
      <w:pPr>
        <w:spacing w:after="120"/>
        <w:jc w:val="both"/>
        <w:rPr>
          <w:rFonts w:ascii="Arial" w:hAnsi="Arial" w:eastAsia="Arial," w:cs="Arial"/>
          <w:sz w:val="20"/>
          <w:szCs w:val="20"/>
        </w:rPr>
      </w:pPr>
    </w:p>
    <w:p w:rsidR="00F96DA4" w:rsidP="00F96DA4" w:rsidRDefault="00F96DA4" w14:paraId="19494AD2" w14:textId="77777777">
      <w:pPr>
        <w:spacing w:after="120"/>
        <w:jc w:val="both"/>
        <w:rPr>
          <w:rFonts w:ascii="Arial" w:hAnsi="Arial" w:eastAsia="Arial," w:cs="Arial"/>
          <w:sz w:val="20"/>
          <w:szCs w:val="20"/>
        </w:rPr>
      </w:pPr>
    </w:p>
    <w:p w:rsidRPr="00735D41" w:rsidR="00F96DA4" w:rsidP="00F96DA4" w:rsidRDefault="00F96DA4" w14:paraId="2BC81E1A" w14:textId="77777777">
      <w:pPr>
        <w:spacing w:after="120"/>
        <w:jc w:val="both"/>
        <w:rPr>
          <w:rFonts w:ascii="Arial" w:hAnsi="Arial" w:cs="Arial"/>
          <w:sz w:val="20"/>
          <w:szCs w:val="20"/>
        </w:rPr>
      </w:pPr>
    </w:p>
    <w:p w:rsidR="00F96DA4" w:rsidP="00F96DA4" w:rsidRDefault="00F96DA4" w14:paraId="37378DAF" w14:textId="77777777">
      <w:pPr>
        <w:jc w:val="both"/>
        <w:rPr>
          <w:rFonts w:ascii="Arial" w:hAnsi="Arial" w:cs="Arial"/>
          <w:b/>
          <w:bCs/>
          <w:sz w:val="22"/>
          <w:szCs w:val="22"/>
          <w:lang w:val="es-ES"/>
        </w:rPr>
      </w:pPr>
    </w:p>
    <w:p w:rsidR="00F96DA4" w:rsidP="00F96DA4" w:rsidRDefault="00F96DA4" w14:paraId="69433BED" w14:textId="77777777">
      <w:pPr>
        <w:jc w:val="both"/>
        <w:rPr>
          <w:rFonts w:ascii="Arial" w:hAnsi="Arial" w:cs="Arial"/>
          <w:b/>
          <w:bCs/>
          <w:sz w:val="22"/>
          <w:szCs w:val="22"/>
          <w:lang w:val="es-ES"/>
        </w:rPr>
      </w:pPr>
    </w:p>
    <w:p w:rsidR="00F96DA4" w:rsidP="00F96DA4" w:rsidRDefault="00F96DA4" w14:paraId="535EECA1" w14:textId="77777777">
      <w:pPr>
        <w:jc w:val="both"/>
        <w:rPr>
          <w:rFonts w:ascii="Arial" w:hAnsi="Arial" w:cs="Arial"/>
          <w:b/>
          <w:bCs/>
          <w:sz w:val="22"/>
          <w:szCs w:val="22"/>
          <w:lang w:val="es-ES"/>
        </w:rPr>
      </w:pPr>
    </w:p>
    <w:p w:rsidR="00F96DA4" w:rsidP="00F96DA4" w:rsidRDefault="00F96DA4" w14:paraId="7BA8CE27" w14:textId="77777777">
      <w:pPr>
        <w:jc w:val="both"/>
        <w:rPr>
          <w:rFonts w:ascii="Arial" w:hAnsi="Arial" w:cs="Arial"/>
          <w:b/>
          <w:bCs/>
          <w:sz w:val="22"/>
          <w:szCs w:val="22"/>
          <w:lang w:val="es-ES"/>
        </w:rPr>
      </w:pPr>
    </w:p>
    <w:p w:rsidR="00F96DA4" w:rsidP="00F96DA4" w:rsidRDefault="00F96DA4" w14:paraId="15F99D11" w14:textId="77777777">
      <w:pPr>
        <w:jc w:val="both"/>
        <w:rPr>
          <w:rFonts w:ascii="Arial" w:hAnsi="Arial" w:cs="Arial"/>
          <w:b/>
          <w:bCs/>
          <w:sz w:val="22"/>
          <w:szCs w:val="22"/>
          <w:lang w:val="es-ES"/>
        </w:rPr>
      </w:pPr>
    </w:p>
    <w:p w:rsidR="00F96DA4" w:rsidP="00F96DA4" w:rsidRDefault="00F96DA4" w14:paraId="240B420F" w14:textId="77777777">
      <w:pPr>
        <w:jc w:val="both"/>
        <w:rPr>
          <w:rFonts w:ascii="Arial" w:hAnsi="Arial" w:cs="Arial"/>
          <w:b/>
          <w:bCs/>
          <w:sz w:val="22"/>
          <w:szCs w:val="22"/>
          <w:lang w:val="es-ES"/>
        </w:rPr>
      </w:pPr>
    </w:p>
    <w:p w:rsidR="00F96DA4" w:rsidP="00F96DA4" w:rsidRDefault="00F96DA4" w14:paraId="5EF20BB8" w14:textId="77777777">
      <w:pPr>
        <w:jc w:val="both"/>
        <w:rPr>
          <w:rFonts w:ascii="Arial" w:hAnsi="Arial" w:cs="Arial"/>
          <w:b/>
          <w:bCs/>
          <w:sz w:val="22"/>
          <w:szCs w:val="22"/>
          <w:lang w:val="es-ES"/>
        </w:rPr>
      </w:pPr>
    </w:p>
    <w:p w:rsidR="00F96DA4" w:rsidP="00F96DA4" w:rsidRDefault="00F96DA4" w14:paraId="06B87C9F" w14:textId="77777777">
      <w:pPr>
        <w:jc w:val="both"/>
        <w:rPr>
          <w:rFonts w:ascii="Arial" w:hAnsi="Arial" w:cs="Arial"/>
          <w:b/>
          <w:bCs/>
          <w:sz w:val="22"/>
          <w:szCs w:val="22"/>
          <w:lang w:val="es-ES"/>
        </w:rPr>
      </w:pPr>
    </w:p>
    <w:p w:rsidR="00F96DA4" w:rsidP="00F96DA4" w:rsidRDefault="00F96DA4" w14:paraId="6E918D04" w14:textId="77777777">
      <w:pPr>
        <w:jc w:val="both"/>
        <w:rPr>
          <w:rFonts w:ascii="Arial" w:hAnsi="Arial" w:cs="Arial"/>
          <w:b/>
          <w:bCs/>
          <w:sz w:val="22"/>
          <w:szCs w:val="22"/>
          <w:lang w:val="es-ES"/>
        </w:rPr>
      </w:pPr>
    </w:p>
    <w:p w:rsidR="00F96DA4" w:rsidP="00F96DA4" w:rsidRDefault="00F96DA4" w14:paraId="60DBC790" w14:textId="77777777">
      <w:pPr>
        <w:jc w:val="both"/>
        <w:rPr>
          <w:rFonts w:ascii="Arial" w:hAnsi="Arial" w:cs="Arial"/>
          <w:b/>
          <w:bCs/>
          <w:sz w:val="22"/>
          <w:szCs w:val="22"/>
          <w:lang w:val="es-ES"/>
        </w:rPr>
      </w:pPr>
    </w:p>
    <w:p w:rsidR="00F96DA4" w:rsidP="00F96DA4" w:rsidRDefault="00F96DA4" w14:paraId="6A83DBEA" w14:textId="77777777">
      <w:pPr>
        <w:jc w:val="both"/>
        <w:rPr>
          <w:rFonts w:ascii="Arial" w:hAnsi="Arial" w:cs="Arial"/>
          <w:b/>
          <w:bCs/>
          <w:sz w:val="22"/>
          <w:szCs w:val="22"/>
          <w:lang w:val="es-ES"/>
        </w:rPr>
      </w:pPr>
    </w:p>
    <w:p w:rsidR="00F96DA4" w:rsidP="00F96DA4" w:rsidRDefault="00F96DA4" w14:paraId="5F98A2D5" w14:textId="77777777">
      <w:pPr>
        <w:jc w:val="both"/>
        <w:rPr>
          <w:rFonts w:ascii="Arial" w:hAnsi="Arial" w:cs="Arial"/>
          <w:b/>
          <w:bCs/>
          <w:sz w:val="22"/>
          <w:szCs w:val="22"/>
          <w:lang w:val="es-ES"/>
        </w:rPr>
      </w:pPr>
    </w:p>
    <w:p w:rsidRPr="000234E5" w:rsidR="000234E5" w:rsidP="000234E5" w:rsidRDefault="000234E5" w14:paraId="74046AB2" w14:textId="78670A50">
      <w:pPr>
        <w:jc w:val="right"/>
      </w:pPr>
      <w:r w:rsidRPr="000234E5">
        <w:lastRenderedPageBreak/>
        <w:fldChar w:fldCharType="begin"/>
      </w:r>
      <w:r w:rsidRPr="000234E5">
        <w:instrText xml:space="preserve"> INCLUDEPICTURE "/var/folders/tb/0fmk9b510f57pz5rwhv8lnpw0000gp/T/com.microsoft.Word/WebArchiveCopyPasteTempFiles/page1image61560096" \* MERGEFORMATINET </w:instrText>
      </w:r>
      <w:r w:rsidRPr="000234E5">
        <w:fldChar w:fldCharType="separate"/>
      </w:r>
      <w:r w:rsidRPr="000234E5">
        <w:rPr>
          <w:noProof/>
        </w:rPr>
        <w:drawing>
          <wp:inline distT="0" distB="0" distL="0" distR="0" wp14:anchorId="477F26E8" wp14:editId="5C4C5BB5">
            <wp:extent cx="2404745" cy="609600"/>
            <wp:effectExtent l="0" t="0" r="0" b="0"/>
            <wp:docPr id="4" name="Imagen 4" descr="page1image6156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15600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745" cy="609600"/>
                    </a:xfrm>
                    <a:prstGeom prst="rect">
                      <a:avLst/>
                    </a:prstGeom>
                    <a:noFill/>
                    <a:ln>
                      <a:noFill/>
                    </a:ln>
                  </pic:spPr>
                </pic:pic>
              </a:graphicData>
            </a:graphic>
          </wp:inline>
        </w:drawing>
      </w:r>
      <w:r w:rsidRPr="000234E5">
        <w:fldChar w:fldCharType="end"/>
      </w:r>
    </w:p>
    <w:p w:rsidR="00F96DA4" w:rsidP="000234E5" w:rsidRDefault="00F96DA4" w14:paraId="7DABA4C2" w14:textId="77777777">
      <w:pPr>
        <w:jc w:val="right"/>
        <w:rPr>
          <w:rFonts w:ascii="Arial" w:hAnsi="Arial" w:cs="Arial"/>
          <w:b/>
          <w:bCs/>
          <w:sz w:val="22"/>
          <w:szCs w:val="22"/>
          <w:lang w:val="es-ES"/>
        </w:rPr>
      </w:pPr>
    </w:p>
    <w:p w:rsidRPr="00924DEF" w:rsidR="00F96DA4" w:rsidP="00F96DA4" w:rsidRDefault="00F96DA4" w14:paraId="3CDCAF72" w14:textId="77777777">
      <w:pPr>
        <w:rPr>
          <w:rFonts w:ascii="Arial" w:hAnsi="Arial" w:eastAsia="Calibri" w:cs="Arial"/>
          <w:sz w:val="22"/>
          <w:szCs w:val="22"/>
          <w:lang w:val="es-ES"/>
        </w:rPr>
      </w:pPr>
      <w:r w:rsidRPr="006244FD">
        <w:rPr>
          <w:rFonts w:ascii="Arial" w:hAnsi="Arial" w:eastAsia="Calibri" w:cs="Arial"/>
          <w:sz w:val="22"/>
          <w:szCs w:val="22"/>
          <w:lang w:val="es-ES"/>
        </w:rPr>
        <w:t>Señora</w:t>
      </w:r>
    </w:p>
    <w:p w:rsidRPr="00924DEF" w:rsidR="00F96DA4" w:rsidP="00F96DA4" w:rsidRDefault="00F96DA4" w14:paraId="794383C0" w14:textId="77777777">
      <w:pPr>
        <w:rPr>
          <w:rFonts w:ascii="Arial" w:hAnsi="Arial" w:eastAsia="Calibri" w:cs="Arial"/>
          <w:b/>
          <w:bCs/>
          <w:sz w:val="22"/>
          <w:szCs w:val="22"/>
          <w:lang w:val="es-ES"/>
        </w:rPr>
      </w:pPr>
      <w:r>
        <w:rPr>
          <w:rFonts w:ascii="Arial" w:hAnsi="Arial" w:eastAsia="Calibri" w:cs="Arial"/>
          <w:b/>
          <w:bCs/>
          <w:sz w:val="22"/>
          <w:szCs w:val="22"/>
          <w:lang w:val="es-ES"/>
        </w:rPr>
        <w:t xml:space="preserve">Manuela Pérez Correa </w:t>
      </w:r>
    </w:p>
    <w:p w:rsidRPr="00924DEF" w:rsidR="00F96DA4" w:rsidP="00F96DA4" w:rsidRDefault="00F96DA4" w14:paraId="2E2246B3" w14:textId="77777777">
      <w:pPr>
        <w:rPr>
          <w:rFonts w:ascii="Arial" w:hAnsi="Arial" w:eastAsia="Calibri" w:cs="Arial"/>
          <w:sz w:val="22"/>
          <w:szCs w:val="22"/>
          <w:lang w:val="es-ES"/>
        </w:rPr>
      </w:pPr>
      <w:r>
        <w:rPr>
          <w:rFonts w:ascii="Arial" w:hAnsi="Arial" w:eastAsia="Calibri" w:cs="Arial"/>
          <w:sz w:val="22"/>
          <w:szCs w:val="22"/>
          <w:lang w:val="es-ES"/>
        </w:rPr>
        <w:t xml:space="preserve">Medellín, Antioquia </w:t>
      </w:r>
    </w:p>
    <w:p w:rsidRPr="00924DEF" w:rsidR="00F96DA4" w:rsidP="00F96DA4" w:rsidRDefault="00F96DA4" w14:paraId="73FF14DF" w14:textId="77777777">
      <w:pPr>
        <w:rPr>
          <w:rFonts w:ascii="Arial" w:hAnsi="Arial" w:eastAsia="Calibri" w:cs="Arial"/>
          <w:sz w:val="22"/>
          <w:szCs w:val="22"/>
          <w:lang w:val="es-ES"/>
        </w:rPr>
      </w:pPr>
    </w:p>
    <w:p w:rsidRPr="00924DEF" w:rsidR="00F96DA4" w:rsidP="00F96DA4" w:rsidRDefault="00F96DA4" w14:paraId="1BD092AB" w14:textId="77777777">
      <w:pPr>
        <w:rPr>
          <w:rFonts w:ascii="Arial" w:hAnsi="Arial" w:eastAsia="Calibri" w:cs="Arial"/>
          <w:b/>
          <w:sz w:val="22"/>
          <w:szCs w:val="22"/>
          <w:lang w:val="es-ES"/>
        </w:rPr>
      </w:pPr>
      <w:r w:rsidRPr="00924DEF">
        <w:rPr>
          <w:rFonts w:ascii="Arial" w:hAnsi="Arial" w:eastAsia="Calibri" w:cs="Arial"/>
          <w:b/>
          <w:sz w:val="22"/>
          <w:szCs w:val="22"/>
          <w:lang w:val="es-ES"/>
        </w:rPr>
        <w:t xml:space="preserve">                                            Concepto C – </w:t>
      </w:r>
      <w:r>
        <w:rPr>
          <w:rFonts w:ascii="Arial" w:hAnsi="Arial" w:eastAsia="Calibri" w:cs="Arial"/>
          <w:b/>
          <w:sz w:val="22"/>
          <w:szCs w:val="22"/>
          <w:lang w:val="es-ES"/>
        </w:rPr>
        <w:t>097 de 2022</w:t>
      </w:r>
    </w:p>
    <w:p w:rsidRPr="00924DEF" w:rsidR="00F96DA4" w:rsidP="00F96DA4" w:rsidRDefault="00F96DA4" w14:paraId="2B977414" w14:textId="77777777">
      <w:pPr>
        <w:rPr>
          <w:rFonts w:ascii="Arial" w:hAnsi="Arial" w:eastAsia="Calibri" w:cs="Arial"/>
          <w:b/>
          <w:sz w:val="22"/>
          <w:szCs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924DEF" w:rsidR="00F96DA4" w:rsidTr="00B10244" w14:paraId="1E54C979" w14:textId="77777777">
        <w:trPr>
          <w:trHeight w:val="550"/>
        </w:trPr>
        <w:tc>
          <w:tcPr>
            <w:tcW w:w="2689" w:type="dxa"/>
          </w:tcPr>
          <w:p w:rsidRPr="00924DEF" w:rsidR="00F96DA4" w:rsidP="00B10244" w:rsidRDefault="00F96DA4" w14:paraId="6C4CE174" w14:textId="77777777">
            <w:pPr>
              <w:rPr>
                <w:rFonts w:ascii="Arial" w:hAnsi="Arial" w:eastAsia="Calibri" w:cs="Arial"/>
                <w:lang w:val="es-ES"/>
              </w:rPr>
            </w:pPr>
            <w:r w:rsidRPr="00924DEF">
              <w:rPr>
                <w:rFonts w:ascii="Arial" w:hAnsi="Arial" w:eastAsia="Calibri" w:cs="Arial"/>
                <w:b/>
                <w:lang w:val="es-ES"/>
              </w:rPr>
              <w:t>Temas:</w:t>
            </w:r>
            <w:r w:rsidRPr="00924DEF">
              <w:rPr>
                <w:rFonts w:ascii="Arial" w:hAnsi="Arial" w:eastAsia="Calibri" w:cs="Arial"/>
                <w:lang w:val="es-ES"/>
              </w:rPr>
              <w:t xml:space="preserve">                                      </w:t>
            </w:r>
          </w:p>
        </w:tc>
        <w:tc>
          <w:tcPr>
            <w:tcW w:w="6237" w:type="dxa"/>
          </w:tcPr>
          <w:p w:rsidRPr="00640388" w:rsidR="00F96DA4" w:rsidP="00B10244" w:rsidRDefault="00F96DA4" w14:paraId="5C721633" w14:textId="77777777">
            <w:pPr>
              <w:jc w:val="right"/>
              <w:rPr>
                <w:rFonts w:ascii="Arial" w:hAnsi="Arial" w:cs="Arial"/>
                <w:bCs/>
                <w:sz w:val="16"/>
                <w:szCs w:val="16"/>
                <w:lang w:val="es-ES" w:eastAsia="es-ES"/>
              </w:rPr>
            </w:pPr>
          </w:p>
          <w:p w:rsidRPr="00911A8E" w:rsidR="00F96DA4" w:rsidP="00B10244" w:rsidRDefault="00F96DA4" w14:paraId="1FCA947F" w14:textId="77777777">
            <w:pPr>
              <w:jc w:val="both"/>
              <w:rPr>
                <w:rFonts w:ascii="Arial" w:hAnsi="Arial" w:eastAsia="Calibri" w:cs="Arial"/>
                <w:b/>
                <w:lang w:val="es-MX"/>
              </w:rPr>
            </w:pPr>
            <w:r w:rsidRPr="00640388">
              <w:rPr>
                <w:rFonts w:ascii="Arial" w:hAnsi="Arial" w:eastAsia="Calibri" w:cs="Arial"/>
                <w:bCs/>
                <w:lang w:val="es-MX"/>
              </w:rPr>
              <w:t xml:space="preserve">LEY DE GARANTÍAS ELECTORALES – Naturaleza Jurídica / LEY DE GARANTÍAS ELECTORALES – Prohibiciones / LEY DE </w:t>
            </w:r>
            <w:r w:rsidRPr="00306E93">
              <w:rPr>
                <w:rFonts w:ascii="Arial" w:hAnsi="Arial" w:eastAsia="Calibri" w:cs="Arial"/>
                <w:bCs/>
                <w:lang w:val="es-MX"/>
              </w:rPr>
              <w:t>GARANTÍAS ELECTORALES – Aplicación – Destinatarios / CONVENIOS DE ASOCIACIÓN – Régimen de Contratación – Naturaleza jurídica</w:t>
            </w:r>
          </w:p>
          <w:p w:rsidRPr="00640388" w:rsidR="00F96DA4" w:rsidP="00B10244" w:rsidRDefault="00F96DA4" w14:paraId="39AF8A2E" w14:textId="77777777">
            <w:pPr>
              <w:tabs>
                <w:tab w:val="left" w:pos="426"/>
              </w:tabs>
              <w:jc w:val="both"/>
              <w:rPr>
                <w:rFonts w:ascii="Arial" w:hAnsi="Arial" w:eastAsia="Calibri" w:cs="Arial"/>
                <w:bCs/>
                <w:lang w:val="es-MX"/>
              </w:rPr>
            </w:pPr>
          </w:p>
        </w:tc>
      </w:tr>
      <w:tr w:rsidRPr="00924DEF" w:rsidR="00F96DA4" w:rsidTr="00B10244" w14:paraId="75AA47E6" w14:textId="77777777">
        <w:tc>
          <w:tcPr>
            <w:tcW w:w="2689" w:type="dxa"/>
          </w:tcPr>
          <w:p w:rsidRPr="00924DEF" w:rsidR="00F96DA4" w:rsidP="00B10244" w:rsidRDefault="00F96DA4" w14:paraId="35C1FABA" w14:textId="77777777">
            <w:pPr>
              <w:rPr>
                <w:rFonts w:ascii="Arial" w:hAnsi="Arial" w:eastAsia="Calibri" w:cs="Arial"/>
                <w:lang w:val="es-ES"/>
              </w:rPr>
            </w:pPr>
            <w:r w:rsidRPr="00924DEF">
              <w:rPr>
                <w:rFonts w:ascii="Arial" w:hAnsi="Arial" w:eastAsia="Calibri" w:cs="Arial"/>
                <w:b/>
                <w:lang w:val="es-ES"/>
              </w:rPr>
              <w:t>Radicación:</w:t>
            </w:r>
            <w:r w:rsidRPr="00924DEF">
              <w:rPr>
                <w:rFonts w:ascii="Arial" w:hAnsi="Arial" w:eastAsia="Calibri" w:cs="Arial"/>
                <w:lang w:val="es-ES"/>
              </w:rPr>
              <w:t xml:space="preserve">                              </w:t>
            </w:r>
          </w:p>
        </w:tc>
        <w:tc>
          <w:tcPr>
            <w:tcW w:w="6237" w:type="dxa"/>
          </w:tcPr>
          <w:p w:rsidRPr="00924DEF" w:rsidR="00F96DA4" w:rsidP="00B10244" w:rsidRDefault="00F96DA4" w14:paraId="6DBC8E41" w14:textId="77777777">
            <w:pPr>
              <w:rPr>
                <w:rFonts w:ascii="Arial" w:hAnsi="Arial" w:eastAsia="Calibri" w:cs="Arial"/>
                <w:lang w:val="es-ES"/>
              </w:rPr>
            </w:pPr>
            <w:r w:rsidRPr="00924DEF">
              <w:rPr>
                <w:rFonts w:ascii="Arial" w:hAnsi="Arial" w:eastAsia="Calibri" w:cs="Arial"/>
                <w:lang w:val="es-ES"/>
              </w:rPr>
              <w:t>Respuesta a consulta P202</w:t>
            </w:r>
            <w:r>
              <w:rPr>
                <w:rFonts w:ascii="Arial" w:hAnsi="Arial" w:eastAsia="Calibri" w:cs="Arial"/>
                <w:lang w:val="es-ES"/>
              </w:rPr>
              <w:t>20207001114</w:t>
            </w:r>
          </w:p>
        </w:tc>
      </w:tr>
    </w:tbl>
    <w:p w:rsidRPr="00924DEF" w:rsidR="00F96DA4" w:rsidP="00F96DA4" w:rsidRDefault="00F96DA4" w14:paraId="20953F2A" w14:textId="77777777">
      <w:pPr>
        <w:spacing w:line="276" w:lineRule="auto"/>
        <w:rPr>
          <w:rFonts w:ascii="Arial" w:hAnsi="Arial" w:eastAsia="Calibri" w:cs="Arial"/>
          <w:sz w:val="22"/>
          <w:szCs w:val="22"/>
          <w:lang w:val="es-ES"/>
        </w:rPr>
      </w:pPr>
    </w:p>
    <w:p w:rsidRPr="00924DEF" w:rsidR="00F96DA4" w:rsidP="00F96DA4" w:rsidRDefault="00F96DA4" w14:paraId="18A4E46F" w14:textId="77777777">
      <w:pPr>
        <w:spacing w:line="276" w:lineRule="auto"/>
        <w:rPr>
          <w:rFonts w:ascii="Arial" w:hAnsi="Arial" w:eastAsia="Calibri" w:cs="Arial"/>
          <w:sz w:val="22"/>
          <w:szCs w:val="22"/>
          <w:lang w:val="es-ES"/>
        </w:rPr>
      </w:pPr>
    </w:p>
    <w:p w:rsidRPr="00924DEF" w:rsidR="00F96DA4" w:rsidP="00F96DA4" w:rsidRDefault="00F96DA4" w14:paraId="08DC3651" w14:textId="77777777">
      <w:pPr>
        <w:tabs>
          <w:tab w:val="left" w:pos="3736"/>
        </w:tabs>
        <w:spacing w:line="276" w:lineRule="auto"/>
        <w:rPr>
          <w:rFonts w:ascii="Arial" w:hAnsi="Arial" w:eastAsia="Calibri" w:cs="Arial"/>
          <w:sz w:val="22"/>
          <w:szCs w:val="22"/>
          <w:lang w:val="es-ES"/>
        </w:rPr>
      </w:pPr>
      <w:r w:rsidRPr="00924DEF">
        <w:rPr>
          <w:rFonts w:ascii="Arial" w:hAnsi="Arial" w:eastAsia="Calibri" w:cs="Arial"/>
          <w:sz w:val="22"/>
          <w:szCs w:val="22"/>
          <w:lang w:val="es-ES"/>
        </w:rPr>
        <w:t xml:space="preserve">Estimada señora </w:t>
      </w:r>
      <w:r>
        <w:rPr>
          <w:rFonts w:ascii="Arial" w:hAnsi="Arial" w:eastAsia="Calibri" w:cs="Arial"/>
          <w:sz w:val="22"/>
          <w:szCs w:val="22"/>
          <w:lang w:val="es-ES"/>
        </w:rPr>
        <w:t>Pérez</w:t>
      </w:r>
      <w:r w:rsidRPr="00924DEF">
        <w:rPr>
          <w:rFonts w:ascii="Arial" w:hAnsi="Arial" w:eastAsia="Calibri" w:cs="Arial"/>
          <w:sz w:val="22"/>
          <w:szCs w:val="22"/>
          <w:lang w:val="es-ES"/>
        </w:rPr>
        <w:t>:</w:t>
      </w:r>
      <w:r w:rsidRPr="00924DEF">
        <w:rPr>
          <w:rFonts w:ascii="Arial" w:hAnsi="Arial" w:eastAsia="Calibri" w:cs="Arial"/>
          <w:sz w:val="22"/>
          <w:szCs w:val="22"/>
          <w:lang w:val="es-ES"/>
        </w:rPr>
        <w:tab/>
      </w:r>
    </w:p>
    <w:p w:rsidRPr="00924DEF" w:rsidR="00F96DA4" w:rsidP="00F96DA4" w:rsidRDefault="00F96DA4" w14:paraId="031C798D" w14:textId="77777777">
      <w:pPr>
        <w:spacing w:line="276" w:lineRule="auto"/>
        <w:rPr>
          <w:rFonts w:ascii="Arial" w:hAnsi="Arial" w:eastAsia="Calibri" w:cs="Arial"/>
          <w:sz w:val="22"/>
          <w:szCs w:val="22"/>
          <w:lang w:val="es-ES"/>
        </w:rPr>
      </w:pPr>
    </w:p>
    <w:p w:rsidRPr="00924DEF" w:rsidR="00F96DA4" w:rsidP="00F96DA4" w:rsidRDefault="00F96DA4" w14:paraId="766FCB92" w14:textId="77777777">
      <w:pPr>
        <w:spacing w:line="276" w:lineRule="auto"/>
        <w:jc w:val="both"/>
        <w:rPr>
          <w:rFonts w:ascii="Arial" w:hAnsi="Arial" w:eastAsia="Calibri" w:cs="Arial"/>
          <w:sz w:val="22"/>
          <w:szCs w:val="22"/>
          <w:lang w:val="es-ES"/>
        </w:rPr>
      </w:pPr>
      <w:r w:rsidRPr="00924DEF">
        <w:rPr>
          <w:rFonts w:ascii="Arial" w:hAnsi="Arial" w:eastAsia="Calibri" w:cs="Arial"/>
          <w:sz w:val="22"/>
          <w:szCs w:val="22"/>
          <w:lang w:val="es-ES"/>
        </w:rPr>
        <w:t>La Agencia Nacional de Contratación Pública – Colombia Compra Eficiente, en ejercicio de la competencia otorgada por el numeral 8 del artículo 11 y el numeral 5 del artículo 3 del Decreto Ley 4170 de 2011</w:t>
      </w:r>
      <w:r>
        <w:rPr>
          <w:rFonts w:ascii="Arial" w:hAnsi="Arial" w:eastAsia="Calibri" w:cs="Arial"/>
          <w:sz w:val="22"/>
          <w:szCs w:val="22"/>
          <w:lang w:val="es-ES"/>
        </w:rPr>
        <w:t>,</w:t>
      </w:r>
      <w:r w:rsidRPr="00CA610D">
        <w:rPr>
          <w:rFonts w:ascii="Arial" w:hAnsi="Arial" w:eastAsia="Calibri" w:cs="Arial"/>
          <w:sz w:val="22"/>
          <w:szCs w:val="22"/>
          <w:lang w:val="es-ES"/>
        </w:rPr>
        <w:t xml:space="preserve"> </w:t>
      </w:r>
      <w:r w:rsidRPr="00924DEF">
        <w:rPr>
          <w:rFonts w:ascii="Arial" w:hAnsi="Arial" w:eastAsia="Calibri" w:cs="Arial"/>
          <w:sz w:val="22"/>
          <w:szCs w:val="22"/>
          <w:lang w:val="es-ES"/>
        </w:rPr>
        <w:t xml:space="preserve">responde su consulta del </w:t>
      </w:r>
      <w:r>
        <w:rPr>
          <w:rFonts w:ascii="Arial" w:hAnsi="Arial" w:eastAsia="Calibri" w:cs="Arial"/>
          <w:sz w:val="22"/>
          <w:szCs w:val="22"/>
          <w:lang w:val="es-ES"/>
        </w:rPr>
        <w:t>7 de febrero de 2022</w:t>
      </w:r>
      <w:r w:rsidRPr="00924DEF">
        <w:rPr>
          <w:rFonts w:ascii="Arial" w:hAnsi="Arial" w:eastAsia="Calibri" w:cs="Arial"/>
          <w:sz w:val="22"/>
          <w:szCs w:val="22"/>
          <w:lang w:val="es-ES"/>
        </w:rPr>
        <w:t xml:space="preserve">. </w:t>
      </w:r>
    </w:p>
    <w:p w:rsidRPr="00924DEF" w:rsidR="00F96DA4" w:rsidP="00F96DA4" w:rsidRDefault="00F96DA4" w14:paraId="39E18678" w14:textId="77777777">
      <w:pPr>
        <w:pStyle w:val="Prrafodelista"/>
        <w:spacing w:line="276" w:lineRule="auto"/>
        <w:ind w:left="0"/>
        <w:rPr>
          <w:rFonts w:ascii="Arial" w:hAnsi="Arial" w:eastAsia="Calibri" w:cs="Arial"/>
          <w:sz w:val="22"/>
          <w:lang w:val="es-ES"/>
        </w:rPr>
      </w:pPr>
    </w:p>
    <w:p w:rsidRPr="00924DEF" w:rsidR="00F96DA4" w:rsidP="00F96DA4" w:rsidRDefault="00F96DA4" w14:paraId="1BF07FB0" w14:textId="77777777">
      <w:pPr>
        <w:tabs>
          <w:tab w:val="left" w:pos="0"/>
        </w:tabs>
        <w:spacing w:line="276" w:lineRule="auto"/>
        <w:jc w:val="both"/>
        <w:rPr>
          <w:rFonts w:ascii="Arial" w:hAnsi="Arial" w:eastAsia="Calibri" w:cs="Arial"/>
          <w:b/>
          <w:sz w:val="22"/>
          <w:szCs w:val="22"/>
          <w:lang w:val="es-ES"/>
        </w:rPr>
      </w:pPr>
      <w:r w:rsidRPr="00924DEF">
        <w:rPr>
          <w:rFonts w:ascii="Arial" w:hAnsi="Arial" w:eastAsia="Calibri" w:cs="Arial"/>
          <w:b/>
          <w:sz w:val="22"/>
          <w:szCs w:val="22"/>
          <w:lang w:val="es-ES"/>
        </w:rPr>
        <w:t>1. Problema planteado</w:t>
      </w:r>
    </w:p>
    <w:p w:rsidRPr="00924DEF" w:rsidR="00F96DA4" w:rsidP="00F96DA4" w:rsidRDefault="00F96DA4" w14:paraId="745F5176" w14:textId="77777777">
      <w:pPr>
        <w:rPr>
          <w:rFonts w:ascii="Arial" w:hAnsi="Arial" w:eastAsia="Calibri" w:cs="Arial"/>
          <w:sz w:val="22"/>
          <w:szCs w:val="22"/>
          <w:lang w:val="es-ES"/>
        </w:rPr>
      </w:pPr>
    </w:p>
    <w:p w:rsidR="00F96DA4" w:rsidP="00F96DA4" w:rsidRDefault="00F96DA4" w14:paraId="07C5037F" w14:textId="77777777">
      <w:pPr>
        <w:spacing w:line="276" w:lineRule="auto"/>
        <w:jc w:val="both"/>
        <w:rPr>
          <w:rFonts w:ascii="Arial" w:hAnsi="Arial" w:eastAsia="Calibri" w:cs="Arial"/>
          <w:sz w:val="22"/>
          <w:szCs w:val="22"/>
          <w:lang w:val="es-ES"/>
        </w:rPr>
      </w:pPr>
      <w:r w:rsidRPr="00924DEF">
        <w:rPr>
          <w:rFonts w:ascii="Arial" w:hAnsi="Arial" w:eastAsia="Calibri" w:cs="Arial"/>
          <w:sz w:val="22"/>
          <w:szCs w:val="22"/>
          <w:lang w:val="es-ES"/>
        </w:rPr>
        <w:t xml:space="preserve">Usted </w:t>
      </w:r>
      <w:r>
        <w:rPr>
          <w:rFonts w:ascii="Arial" w:hAnsi="Arial" w:eastAsia="Calibri" w:cs="Arial"/>
          <w:sz w:val="22"/>
          <w:szCs w:val="22"/>
          <w:lang w:val="es-ES"/>
        </w:rPr>
        <w:t>realiza</w:t>
      </w:r>
      <w:r w:rsidRPr="00924DEF">
        <w:rPr>
          <w:rFonts w:ascii="Arial" w:hAnsi="Arial" w:eastAsia="Calibri" w:cs="Arial"/>
          <w:sz w:val="22"/>
          <w:szCs w:val="22"/>
          <w:lang w:val="es-ES"/>
        </w:rPr>
        <w:t xml:space="preserve"> la siguiente pregunta: </w:t>
      </w:r>
    </w:p>
    <w:p w:rsidR="00F96DA4" w:rsidP="00F96DA4" w:rsidRDefault="00F96DA4" w14:paraId="2C23DAB5" w14:textId="77777777">
      <w:pPr>
        <w:spacing w:line="276" w:lineRule="auto"/>
        <w:jc w:val="both"/>
        <w:rPr>
          <w:rFonts w:ascii="Arial" w:hAnsi="Arial" w:eastAsia="Calibri" w:cs="Arial"/>
          <w:sz w:val="22"/>
          <w:szCs w:val="22"/>
          <w:lang w:val="es-ES"/>
        </w:rPr>
      </w:pPr>
    </w:p>
    <w:p w:rsidRPr="0051586B" w:rsidR="00F96DA4" w:rsidP="00F96DA4" w:rsidRDefault="00F96DA4" w14:paraId="768A14BD" w14:textId="77777777">
      <w:pPr>
        <w:ind w:left="709" w:right="709"/>
        <w:jc w:val="both"/>
        <w:rPr>
          <w:rFonts w:ascii="Arial" w:hAnsi="Arial" w:eastAsia="Calibri" w:cs="Arial"/>
          <w:sz w:val="21"/>
          <w:szCs w:val="21"/>
          <w:lang w:val="es-ES"/>
        </w:rPr>
      </w:pPr>
      <w:r w:rsidRPr="0051586B">
        <w:rPr>
          <w:rFonts w:ascii="Arial" w:hAnsi="Arial" w:cs="Arial"/>
          <w:sz w:val="21"/>
          <w:szCs w:val="21"/>
        </w:rPr>
        <w:t>«Comedidamente solicito saber si en virtud de la ley de garantías que opera actualmente, es posible contratar mediante los denominados convenios de asociación regulados en el Decreto 092 de 2017, TENIENDO EN CUENTA QUE, PARA LA ELECCIÓN DEL CONTRATISTA, SE REALIZARÁ UN PROCESO COMPETITIVO. De no estar autorizado tal convenio, solicito respetuosamente me informen que tipo de contrato - convenio o instrumento jurídico puedo celebrar con entidades sin ánimo de lucro de reconocida idoneidad estando en ley de garantías y partiendo del hecho de que la entidad publica pretende realizar un proceso competitivo»</w:t>
      </w:r>
      <w:r>
        <w:rPr>
          <w:rFonts w:ascii="Arial" w:hAnsi="Arial" w:cs="Arial"/>
          <w:sz w:val="21"/>
          <w:szCs w:val="21"/>
        </w:rPr>
        <w:t xml:space="preserve"> (sic).</w:t>
      </w:r>
    </w:p>
    <w:p w:rsidRPr="00924DEF" w:rsidR="00F96DA4" w:rsidP="00F96DA4" w:rsidRDefault="00F96DA4" w14:paraId="2A4A7F56" w14:textId="77777777">
      <w:pPr>
        <w:spacing w:line="276" w:lineRule="auto"/>
        <w:ind w:left="709" w:right="709"/>
        <w:jc w:val="both"/>
        <w:rPr>
          <w:rFonts w:ascii="Arial" w:hAnsi="Arial" w:eastAsia="Calibri" w:cs="Arial"/>
          <w:b/>
          <w:sz w:val="22"/>
          <w:szCs w:val="22"/>
          <w:lang w:val="es-ES"/>
        </w:rPr>
      </w:pPr>
    </w:p>
    <w:p w:rsidRPr="00924DEF" w:rsidR="00F96DA4" w:rsidP="00F96DA4" w:rsidRDefault="00F96DA4" w14:paraId="0703D6A5" w14:textId="77777777">
      <w:pPr>
        <w:spacing w:line="276" w:lineRule="auto"/>
        <w:jc w:val="both"/>
        <w:rPr>
          <w:rFonts w:ascii="Arial" w:hAnsi="Arial" w:eastAsia="Calibri" w:cs="Arial"/>
          <w:b/>
          <w:sz w:val="22"/>
          <w:szCs w:val="22"/>
          <w:lang w:val="es-ES"/>
        </w:rPr>
      </w:pPr>
      <w:r w:rsidRPr="00924DEF">
        <w:rPr>
          <w:rFonts w:ascii="Arial" w:hAnsi="Arial" w:eastAsia="Calibri" w:cs="Arial"/>
          <w:b/>
          <w:sz w:val="22"/>
          <w:szCs w:val="22"/>
          <w:lang w:val="es-ES"/>
        </w:rPr>
        <w:t>2. Consideraciones</w:t>
      </w:r>
    </w:p>
    <w:p w:rsidRPr="00924DEF" w:rsidR="00F96DA4" w:rsidP="00F96DA4" w:rsidRDefault="00F96DA4" w14:paraId="394E2799" w14:textId="77777777">
      <w:pPr>
        <w:spacing w:line="276" w:lineRule="auto"/>
        <w:jc w:val="both"/>
        <w:rPr>
          <w:rFonts w:ascii="Arial" w:hAnsi="Arial" w:eastAsia="Calibri" w:cs="Arial"/>
          <w:b/>
          <w:sz w:val="22"/>
          <w:szCs w:val="22"/>
          <w:lang w:val="es-ES"/>
        </w:rPr>
      </w:pPr>
    </w:p>
    <w:p w:rsidRPr="00703495" w:rsidR="00F96DA4" w:rsidP="00F96DA4" w:rsidRDefault="00F96DA4" w14:paraId="0651E024" w14:textId="77777777">
      <w:pPr>
        <w:spacing w:after="120" w:line="276" w:lineRule="auto"/>
        <w:jc w:val="both"/>
        <w:rPr>
          <w:rFonts w:ascii="Arial" w:hAnsi="Arial" w:cs="Arial"/>
          <w:sz w:val="22"/>
          <w:szCs w:val="22"/>
          <w:lang w:val="es-MX"/>
        </w:rPr>
      </w:pPr>
      <w:r>
        <w:rPr>
          <w:rFonts w:ascii="Arial" w:hAnsi="Arial" w:eastAsia="Calibri" w:cs="Arial"/>
          <w:sz w:val="22"/>
          <w:szCs w:val="22"/>
          <w:lang w:val="es-ES"/>
        </w:rPr>
        <w:lastRenderedPageBreak/>
        <w:t>Para resolver el interrogante planteado</w:t>
      </w:r>
      <w:r w:rsidRPr="00924DEF">
        <w:rPr>
          <w:rFonts w:ascii="Arial" w:hAnsi="Arial" w:eastAsia="Calibri" w:cs="Arial"/>
          <w:sz w:val="22"/>
          <w:szCs w:val="22"/>
          <w:lang w:val="es-ES"/>
        </w:rPr>
        <w:t xml:space="preserve"> se analizarán los siguientes temas: i) </w:t>
      </w:r>
      <w:r>
        <w:rPr>
          <w:rFonts w:ascii="Arial" w:hAnsi="Arial" w:eastAsia="Calibri" w:cs="Arial"/>
          <w:sz w:val="22"/>
          <w:szCs w:val="22"/>
          <w:lang w:val="es-ES"/>
        </w:rPr>
        <w:t xml:space="preserve">definición y finalidad de la Ley de Garantías Electorales: alcance de las restricciones, ii) restricciones para la suscripción de contratos de forma directa por parte de los entes del Estado –artículo 33 de la Ley 996 de 2005–, iii) destinatarios de la restricción del artículo 33 de la Ley 996 de 2005, iv) restricciones para la celebración de contratos y convenios interadministrativos en los comicios de cargos de elección popular y v) naturaleza jurídica de los convenios de asociación del artículo 355 de la Constitución Política, regulados por el Decreto 092 de 2017. </w:t>
      </w:r>
    </w:p>
    <w:p w:rsidR="00F96DA4" w:rsidP="00F96DA4" w:rsidRDefault="00F96DA4" w14:paraId="0E108A77" w14:textId="77777777">
      <w:pPr>
        <w:tabs>
          <w:tab w:val="left" w:pos="426"/>
        </w:tabs>
        <w:spacing w:line="276" w:lineRule="auto"/>
        <w:ind w:firstLine="709"/>
        <w:jc w:val="both"/>
        <w:rPr>
          <w:rFonts w:ascii="Arial" w:hAnsi="Arial" w:eastAsia="Calibri" w:cs="Arial"/>
          <w:color w:val="000000" w:themeColor="text1"/>
          <w:sz w:val="22"/>
          <w:szCs w:val="22"/>
          <w:lang w:val="es-ES_tradnl"/>
        </w:rPr>
      </w:pPr>
      <w:r>
        <w:rPr>
          <w:rFonts w:ascii="Arial" w:hAnsi="Arial" w:eastAsia="Calibri" w:cs="Arial"/>
          <w:color w:val="000000" w:themeColor="text1"/>
          <w:sz w:val="22"/>
          <w:szCs w:val="22"/>
          <w:lang w:val="es-ES_tradnl"/>
        </w:rPr>
        <w:t>L</w:t>
      </w:r>
      <w:r w:rsidRPr="00C00312">
        <w:rPr>
          <w:rFonts w:ascii="Arial" w:hAnsi="Arial" w:eastAsia="Calibri" w:cs="Arial"/>
          <w:color w:val="000000" w:themeColor="text1"/>
          <w:sz w:val="22"/>
          <w:szCs w:val="22"/>
          <w:lang w:val="es-ES_tradnl"/>
        </w:rPr>
        <w:t>a Agencia Nacional de Contratación Pública – Colombia Compra Eficiente</w:t>
      </w:r>
      <w:r w:rsidRPr="006E050F">
        <w:rPr>
          <w:rFonts w:ascii="Arial" w:hAnsi="Arial" w:eastAsia="Calibri" w:cs="Arial"/>
          <w:color w:val="000000" w:themeColor="text1"/>
          <w:sz w:val="22"/>
          <w:szCs w:val="22"/>
          <w:lang w:val="es-ES_tradnl"/>
        </w:rPr>
        <w:t xml:space="preserve"> se ha pronunciado en diferentes ocasiones sobre la Ley de Garantías Electorales, entre otros, en los </w:t>
      </w:r>
      <w:r>
        <w:rPr>
          <w:rFonts w:ascii="Arial" w:hAnsi="Arial" w:eastAsia="Calibri" w:cs="Arial"/>
          <w:color w:val="000000" w:themeColor="text1"/>
          <w:sz w:val="22"/>
          <w:szCs w:val="22"/>
          <w:lang w:val="es-ES_tradnl"/>
        </w:rPr>
        <w:t>c</w:t>
      </w:r>
      <w:r w:rsidRPr="006E050F">
        <w:rPr>
          <w:rFonts w:ascii="Arial" w:hAnsi="Arial" w:eastAsia="Calibri" w:cs="Arial"/>
          <w:color w:val="000000" w:themeColor="text1"/>
          <w:sz w:val="22"/>
          <w:szCs w:val="22"/>
          <w:lang w:val="es-ES_tradnl"/>
        </w:rPr>
        <w:t>onceptos 4201913000004536 de 17 de julio de 2019, 4201912000005556 del 12 de septiembre de 2019, 4201913000005175 del 13 de septiembre de 2019, 4201913000006452 del 07 de octubre de 2019, 4201913000005082 del 17 de octubre de 2019, 4201913000006306 del 21 de octubre de 2019, 4201912000006552 del 07 de noviembre de 2019, 4201913000006604 del 17 de diciembre de 2019,  C-227 del 24 de mayo de 2021 y 396 del 13 de agosto de 2021, C-439 del 27 de agosto de 2021, C-456 del 3 de septiembre, C-481 del 9 de septiembre de 2021, C- 528 del 27 de septiembre de 2021, C-550 del 5 de octubre de 2021 y C-523 del 10 de octubre de 2021, C-606 del 28 de octubre de 2021 y C-614 del 2 de noviembre de 2021, C-636 del 16 de noviembre de 2021</w:t>
      </w:r>
      <w:r>
        <w:rPr>
          <w:rFonts w:ascii="Arial" w:hAnsi="Arial" w:eastAsia="Calibri" w:cs="Arial"/>
          <w:color w:val="000000" w:themeColor="text1"/>
          <w:sz w:val="22"/>
          <w:szCs w:val="22"/>
          <w:lang w:val="es-ES_tradnl"/>
        </w:rPr>
        <w:t xml:space="preserve">, </w:t>
      </w:r>
      <w:r w:rsidRPr="006E050F">
        <w:rPr>
          <w:rFonts w:ascii="Arial" w:hAnsi="Arial" w:eastAsia="Calibri" w:cs="Arial"/>
          <w:color w:val="000000" w:themeColor="text1"/>
          <w:sz w:val="22"/>
          <w:szCs w:val="22"/>
          <w:lang w:val="es-ES_tradnl"/>
        </w:rPr>
        <w:t>681 del 7 de diciembre de 2021</w:t>
      </w:r>
      <w:r>
        <w:rPr>
          <w:rFonts w:ascii="Arial" w:hAnsi="Arial" w:eastAsia="Calibri" w:cs="Arial"/>
          <w:color w:val="000000" w:themeColor="text1"/>
          <w:sz w:val="22"/>
          <w:szCs w:val="22"/>
          <w:lang w:val="es-ES_tradnl"/>
        </w:rPr>
        <w:t xml:space="preserve"> y C-718 de 24 de enero de 2022</w:t>
      </w:r>
      <w:r w:rsidRPr="006E050F">
        <w:rPr>
          <w:rFonts w:ascii="Arial" w:hAnsi="Arial" w:eastAsia="Calibri" w:cs="Arial"/>
          <w:color w:val="000000" w:themeColor="text1"/>
          <w:sz w:val="22"/>
          <w:szCs w:val="22"/>
          <w:lang w:val="es-ES_tradnl"/>
        </w:rPr>
        <w:t>. Teniendo en cuenta los conceptos anteriores y analizando la pregunta en cuestión, se realizan las siguientes consideraciones.</w:t>
      </w:r>
    </w:p>
    <w:p w:rsidRPr="00924DEF" w:rsidR="00F96DA4" w:rsidP="00F96DA4" w:rsidRDefault="00F96DA4" w14:paraId="2B9CB25A" w14:textId="77777777">
      <w:pPr>
        <w:spacing w:line="276" w:lineRule="auto"/>
        <w:ind w:firstLine="708"/>
        <w:jc w:val="both"/>
        <w:rPr>
          <w:rFonts w:ascii="Arial" w:hAnsi="Arial" w:cs="Arial"/>
          <w:sz w:val="22"/>
          <w:szCs w:val="22"/>
          <w:lang w:val="es-MX"/>
        </w:rPr>
      </w:pPr>
    </w:p>
    <w:p w:rsidRPr="0051586B" w:rsidR="00F96DA4" w:rsidP="00F96DA4" w:rsidRDefault="00F96DA4" w14:paraId="3572E63C" w14:textId="77777777">
      <w:pPr>
        <w:tabs>
          <w:tab w:val="left" w:pos="426"/>
        </w:tabs>
        <w:spacing w:line="276" w:lineRule="auto"/>
        <w:contextualSpacing/>
        <w:jc w:val="both"/>
        <w:rPr>
          <w:rFonts w:ascii="Arial" w:hAnsi="Arial" w:eastAsia="Calibri" w:cs="Arial"/>
          <w:b/>
          <w:bCs/>
          <w:sz w:val="22"/>
          <w:szCs w:val="22"/>
          <w:lang w:eastAsia="en-US"/>
        </w:rPr>
      </w:pPr>
      <w:r>
        <w:rPr>
          <w:rFonts w:ascii="Arial" w:hAnsi="Arial" w:eastAsia="Calibri" w:cs="Arial"/>
          <w:b/>
          <w:bCs/>
          <w:sz w:val="22"/>
          <w:szCs w:val="22"/>
          <w:lang w:eastAsia="en-US"/>
        </w:rPr>
        <w:t xml:space="preserve">2.1. </w:t>
      </w:r>
      <w:r w:rsidRPr="0051586B">
        <w:rPr>
          <w:rFonts w:ascii="Arial" w:hAnsi="Arial" w:eastAsia="Calibri" w:cs="Arial"/>
          <w:b/>
          <w:bCs/>
          <w:sz w:val="22"/>
          <w:szCs w:val="22"/>
          <w:lang w:eastAsia="en-US"/>
        </w:rPr>
        <w:t>Definición y finalidad de la Ley de Garantías Electorales: alcance de las restricciones</w:t>
      </w:r>
    </w:p>
    <w:p w:rsidRPr="0051586B" w:rsidR="00F96DA4" w:rsidP="00F96DA4" w:rsidRDefault="00F96DA4" w14:paraId="13F766D6" w14:textId="77777777">
      <w:pPr>
        <w:tabs>
          <w:tab w:val="left" w:pos="426"/>
        </w:tabs>
        <w:spacing w:line="276" w:lineRule="auto"/>
        <w:ind w:firstLine="709"/>
        <w:jc w:val="both"/>
        <w:rPr>
          <w:rFonts w:ascii="Arial" w:hAnsi="Arial" w:eastAsia="Calibri" w:cs="Arial"/>
          <w:bCs/>
          <w:sz w:val="22"/>
          <w:szCs w:val="22"/>
          <w:lang w:eastAsia="en-US"/>
        </w:rPr>
      </w:pPr>
    </w:p>
    <w:p w:rsidRPr="0051586B" w:rsidR="00F96DA4" w:rsidP="00F96DA4" w:rsidRDefault="00F96DA4" w14:paraId="1530EDD2" w14:textId="77777777">
      <w:pPr>
        <w:tabs>
          <w:tab w:val="left" w:pos="426"/>
        </w:tabs>
        <w:spacing w:after="120" w:line="276" w:lineRule="auto"/>
        <w:jc w:val="both"/>
        <w:rPr>
          <w:rFonts w:ascii="Arial" w:hAnsi="Arial" w:cs="Arial" w:eastAsiaTheme="minorHAnsi"/>
          <w:bCs/>
          <w:sz w:val="22"/>
          <w:szCs w:val="22"/>
          <w:lang w:eastAsia="es-CO"/>
        </w:rPr>
      </w:pPr>
      <w:r w:rsidRPr="0051586B">
        <w:rPr>
          <w:rFonts w:ascii="Arial" w:hAnsi="Arial" w:eastAsia="Calibri" w:cs="Arial"/>
          <w:bCs/>
          <w:sz w:val="22"/>
          <w:szCs w:val="22"/>
          <w:lang w:eastAsia="en-US"/>
        </w:rPr>
        <w:t>El ordenamiento jurídico colombiano contempla previsiones claras para evitar la obtención de beneficios personales en asuntos propios de la administración pública</w:t>
      </w:r>
      <w:r w:rsidRPr="0051586B">
        <w:rPr>
          <w:rFonts w:ascii="Arial" w:hAnsi="Arial" w:eastAsia="Calibri" w:cs="Arial"/>
          <w:bCs/>
          <w:i/>
          <w:iCs/>
          <w:sz w:val="22"/>
          <w:szCs w:val="22"/>
          <w:lang w:eastAsia="en-US"/>
        </w:rPr>
        <w:t xml:space="preserve">. </w:t>
      </w:r>
      <w:r w:rsidRPr="0051586B">
        <w:rPr>
          <w:rFonts w:ascii="Arial" w:hAnsi="Arial" w:eastAsia="Calibri" w:cs="Arial"/>
          <w:bCs/>
          <w:sz w:val="22"/>
          <w:szCs w:val="22"/>
          <w:lang w:eastAsia="en-US"/>
        </w:rPr>
        <w:t>Por ejemplo, el artículo 127 de la Constitución Política establece una prohibición contractual a los servidores públicos y en cuanto a aspectos políticos establece restricciones a ciertos empleados del Estado, incluso en época no electoral</w:t>
      </w:r>
      <w:r w:rsidRPr="0051586B">
        <w:rPr>
          <w:rFonts w:ascii="Arial" w:hAnsi="Arial" w:eastAsia="Calibri" w:cs="Arial"/>
          <w:bCs/>
          <w:sz w:val="22"/>
          <w:szCs w:val="22"/>
          <w:vertAlign w:val="superscript"/>
          <w:lang w:eastAsia="en-US"/>
        </w:rPr>
        <w:footnoteReference w:id="1"/>
      </w:r>
      <w:r w:rsidRPr="0051586B">
        <w:rPr>
          <w:rFonts w:ascii="Arial" w:hAnsi="Arial" w:eastAsia="Calibri" w:cs="Arial"/>
          <w:bCs/>
          <w:sz w:val="22"/>
          <w:szCs w:val="22"/>
          <w:lang w:eastAsia="en-US"/>
        </w:rPr>
        <w:t xml:space="preserve">. </w:t>
      </w:r>
    </w:p>
    <w:p w:rsidRPr="0051586B" w:rsidR="00F96DA4" w:rsidP="00F96DA4" w:rsidRDefault="00F96DA4" w14:paraId="11204F1C" w14:textId="77777777">
      <w:pPr>
        <w:tabs>
          <w:tab w:val="left" w:pos="426"/>
        </w:tabs>
        <w:spacing w:line="276" w:lineRule="auto"/>
        <w:ind w:firstLine="709"/>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eastAsia="es-CO"/>
        </w:rPr>
        <w:lastRenderedPageBreak/>
        <w:t>En el mismo sentido</w:t>
      </w:r>
      <w:r w:rsidRPr="0051586B">
        <w:rPr>
          <w:rFonts w:ascii="Arial" w:hAnsi="Arial" w:cs="Arial" w:eastAsiaTheme="minorHAnsi"/>
          <w:bCs/>
          <w:sz w:val="22"/>
          <w:szCs w:val="22"/>
          <w:lang w:val="es-MX" w:eastAsia="es-CO"/>
        </w:rPr>
        <w:t>,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51586B">
        <w:rPr>
          <w:rFonts w:ascii="Arial" w:hAnsi="Arial" w:cs="Arial" w:eastAsiaTheme="minorHAnsi"/>
          <w:bCs/>
          <w:sz w:val="22"/>
          <w:szCs w:val="22"/>
          <w:vertAlign w:val="superscript"/>
          <w:lang w:val="es-MX" w:eastAsia="es-CO"/>
        </w:rPr>
        <w:footnoteReference w:id="2"/>
      </w:r>
      <w:r w:rsidRPr="0051586B">
        <w:rPr>
          <w:rFonts w:ascii="Arial" w:hAnsi="Arial" w:cs="Arial" w:eastAsiaTheme="minorHAnsi"/>
          <w:bCs/>
          <w:sz w:val="22"/>
          <w:szCs w:val="22"/>
          <w:lang w:val="es-MX" w:eastAsia="es-CO"/>
        </w:rPr>
        <w:t>. En esta medida, introduce limitaciones para realizar nombramientos, postulaciones, contrataciones o cualquier otro tipo de actividad que implique destinación de recursos públicos bajo el devenir propio de las entidades estatales.</w:t>
      </w:r>
      <w:r w:rsidRPr="0051586B">
        <w:rPr>
          <w:rFonts w:ascii="Arial" w:hAnsi="Arial" w:eastAsia="Calibri" w:cs="Arial"/>
          <w:noProof/>
          <w:sz w:val="22"/>
          <w:szCs w:val="22"/>
          <w:lang w:val="es-ES_tradnl" w:eastAsia="en-US"/>
        </w:rPr>
        <w:t xml:space="preserve"> </w:t>
      </w:r>
      <w:r w:rsidRPr="0051586B">
        <w:rPr>
          <w:rFonts w:ascii="Arial" w:hAnsi="Arial" w:cs="Arial" w:eastAsiaTheme="minorHAnsi"/>
          <w:bCs/>
          <w:sz w:val="22"/>
          <w:szCs w:val="22"/>
          <w:lang w:val="es-MX" w:eastAsia="es-CO"/>
        </w:rPr>
        <w:t>En armonía con lo anterior, la Corte Constitucional ha abordado la definición de la Ley de Garantías Electorales. De esta manera, explica que tiene como propósito:</w:t>
      </w:r>
    </w:p>
    <w:p w:rsidRPr="0051586B" w:rsidR="00F96DA4" w:rsidP="00F96DA4" w:rsidRDefault="00F96DA4" w14:paraId="1F879308" w14:textId="77777777">
      <w:pPr>
        <w:ind w:right="709"/>
        <w:jc w:val="both"/>
        <w:rPr>
          <w:rFonts w:ascii="Arial" w:hAnsi="Arial" w:cs="Arial" w:eastAsiaTheme="minorHAnsi"/>
          <w:sz w:val="21"/>
          <w:szCs w:val="21"/>
          <w:lang w:val="es-ES" w:eastAsia="es-CO"/>
        </w:rPr>
      </w:pPr>
    </w:p>
    <w:p w:rsidRPr="0051586B" w:rsidR="00F96DA4" w:rsidP="00F96DA4" w:rsidRDefault="00F96DA4" w14:paraId="2F2053AD" w14:textId="77777777">
      <w:pPr>
        <w:ind w:left="709" w:right="709"/>
        <w:jc w:val="both"/>
        <w:rPr>
          <w:rFonts w:ascii="Arial" w:hAnsi="Arial" w:cs="Arial" w:eastAsiaTheme="minorHAnsi"/>
          <w:bCs/>
          <w:sz w:val="21"/>
          <w:szCs w:val="21"/>
          <w:lang w:val="es-MX" w:eastAsia="es-CO"/>
        </w:rPr>
      </w:pPr>
      <w:r w:rsidRPr="0051586B">
        <w:rPr>
          <w:rFonts w:ascii="Arial" w:hAnsi="Arial" w:eastAsia="Calibri" w:cs="Arial"/>
          <w:sz w:val="21"/>
          <w:szCs w:val="21"/>
          <w:lang w:val="es-ES" w:eastAsia="en-US"/>
        </w:rPr>
        <w:t>«</w:t>
      </w:r>
      <w:r w:rsidRPr="0051586B">
        <w:rPr>
          <w:rFonts w:ascii="Arial" w:hAnsi="Arial" w:cs="Arial" w:eastAsiaTheme="minorHAnsi"/>
          <w:sz w:val="21"/>
          <w:szCs w:val="21"/>
          <w:lang w:val="es-ES" w:eastAsia="es-CO"/>
        </w:rPr>
        <w:t xml:space="preserve">[…] </w:t>
      </w:r>
      <w:r w:rsidRPr="0051586B">
        <w:rPr>
          <w:rFonts w:ascii="Arial" w:hAnsi="Arial" w:cs="Arial" w:eastAsiaTheme="minorHAnsi"/>
          <w:bCs/>
          <w:sz w:val="21"/>
          <w:szCs w:val="21"/>
          <w:lang w:val="es-MX" w:eastAsia="es-CO"/>
        </w:rPr>
        <w:t>la definición de reglas claras que permitan acceder a los canales de expresión democrática de manera efectiva e igualitaria. El objetivo de una ley de garantías es definir esas reglas.</w:t>
      </w:r>
    </w:p>
    <w:p w:rsidRPr="0051586B" w:rsidR="00F96DA4" w:rsidP="00F96DA4" w:rsidRDefault="00F96DA4" w14:paraId="0636EF6A" w14:textId="77777777">
      <w:pPr>
        <w:spacing w:after="120"/>
        <w:ind w:left="709" w:right="709"/>
        <w:jc w:val="both"/>
        <w:rPr>
          <w:rFonts w:ascii="Arial" w:hAnsi="Arial" w:cs="Arial" w:eastAsiaTheme="minorHAnsi"/>
          <w:bCs/>
          <w:sz w:val="21"/>
          <w:szCs w:val="21"/>
          <w:lang w:val="es-MX" w:eastAsia="es-CO"/>
        </w:rPr>
      </w:pPr>
      <w:r w:rsidRPr="0051586B">
        <w:rPr>
          <w:rFonts w:ascii="Arial" w:hAnsi="Arial" w:cs="Arial" w:eastAsiaTheme="minorHAnsi"/>
          <w:bCs/>
          <w:sz w:val="21"/>
          <w:szCs w:val="21"/>
          <w:lang w:val="es-MX" w:eastAsia="es-CO"/>
        </w:rPr>
        <w:t xml:space="preserve">[…] </w:t>
      </w:r>
    </w:p>
    <w:p w:rsidRPr="0051586B" w:rsidR="00F96DA4" w:rsidP="00F96DA4" w:rsidRDefault="00F96DA4" w14:paraId="048B67A4" w14:textId="77777777">
      <w:pPr>
        <w:ind w:left="709" w:right="709"/>
        <w:jc w:val="both"/>
        <w:rPr>
          <w:rFonts w:ascii="Arial" w:hAnsi="Arial" w:cs="Arial" w:eastAsiaTheme="minorHAnsi"/>
          <w:bCs/>
          <w:sz w:val="21"/>
          <w:szCs w:val="21"/>
          <w:lang w:val="es-MX" w:eastAsia="es-CO"/>
        </w:rPr>
      </w:pPr>
      <w:r w:rsidRPr="0051586B">
        <w:rPr>
          <w:rFonts w:ascii="Arial" w:hAnsi="Arial" w:cs="Arial" w:eastAsiaTheme="minorHAnsi"/>
          <w:bCs/>
          <w:sz w:val="21"/>
          <w:szCs w:val="21"/>
          <w:lang w:val="es-MX" w:eastAsia="es-CO"/>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51586B">
        <w:rPr>
          <w:rFonts w:ascii="Arial" w:hAnsi="Arial" w:cs="Arial" w:eastAsiaTheme="minorHAnsi"/>
          <w:sz w:val="21"/>
          <w:szCs w:val="21"/>
          <w:lang w:val="es-ES" w:eastAsia="en-US"/>
        </w:rPr>
        <w:t>»</w:t>
      </w:r>
      <w:r w:rsidRPr="0051586B">
        <w:rPr>
          <w:rFonts w:ascii="Arial" w:hAnsi="Arial" w:cs="Arial" w:eastAsiaTheme="minorHAnsi"/>
          <w:sz w:val="20"/>
          <w:szCs w:val="20"/>
          <w:vertAlign w:val="superscript"/>
          <w:lang w:val="es-MX" w:eastAsia="en-US"/>
        </w:rPr>
        <w:footnoteReference w:id="3"/>
      </w:r>
    </w:p>
    <w:p w:rsidRPr="0051586B" w:rsidR="00F96DA4" w:rsidP="00F96DA4" w:rsidRDefault="00F96DA4" w14:paraId="73139F8B" w14:textId="77777777">
      <w:pPr>
        <w:spacing w:line="276" w:lineRule="auto"/>
        <w:ind w:left="709" w:right="709"/>
        <w:jc w:val="both"/>
        <w:rPr>
          <w:rFonts w:ascii="Arial" w:hAnsi="Arial" w:cs="Arial" w:eastAsiaTheme="minorHAnsi"/>
          <w:bCs/>
          <w:sz w:val="21"/>
          <w:szCs w:val="21"/>
          <w:lang w:val="es-MX" w:eastAsia="es-CO"/>
        </w:rPr>
      </w:pPr>
    </w:p>
    <w:p w:rsidRPr="0051586B" w:rsidR="00F96DA4" w:rsidP="00F96DA4" w:rsidRDefault="00F96DA4" w14:paraId="52DC94B3" w14:textId="77777777">
      <w:pPr>
        <w:spacing w:line="276" w:lineRule="auto"/>
        <w:ind w:firstLine="709"/>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val="es-MX" w:eastAsia="es-CO"/>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rsidRPr="0051586B" w:rsidR="00F96DA4" w:rsidP="00F96DA4" w:rsidRDefault="00F96DA4" w14:paraId="734184F2" w14:textId="77777777">
      <w:pPr>
        <w:spacing w:line="276" w:lineRule="auto"/>
        <w:ind w:firstLine="709"/>
        <w:jc w:val="both"/>
        <w:rPr>
          <w:rFonts w:ascii="Arial" w:hAnsi="Arial" w:cs="Arial" w:eastAsiaTheme="minorHAnsi"/>
          <w:bCs/>
          <w:sz w:val="22"/>
          <w:szCs w:val="22"/>
          <w:lang w:val="es-MX" w:eastAsia="es-CO"/>
        </w:rPr>
      </w:pPr>
    </w:p>
    <w:p w:rsidRPr="0051586B" w:rsidR="00F96DA4" w:rsidP="00F96DA4" w:rsidRDefault="00F96DA4" w14:paraId="339623A9" w14:textId="77777777">
      <w:pPr>
        <w:spacing w:after="120"/>
        <w:ind w:left="709" w:right="709"/>
        <w:jc w:val="both"/>
        <w:rPr>
          <w:rFonts w:ascii="Arial" w:hAnsi="Arial" w:cs="Arial" w:eastAsiaTheme="minorHAnsi"/>
          <w:bCs/>
          <w:sz w:val="21"/>
          <w:szCs w:val="21"/>
          <w:lang w:val="es-MX" w:eastAsia="es-CO"/>
        </w:rPr>
      </w:pPr>
      <w:r w:rsidRPr="0051586B">
        <w:rPr>
          <w:rFonts w:ascii="Arial" w:hAnsi="Arial" w:eastAsia="Calibri" w:cs="Arial"/>
          <w:sz w:val="21"/>
          <w:szCs w:val="21"/>
          <w:lang w:val="es-ES" w:eastAsia="en-US"/>
        </w:rPr>
        <w:t>«</w:t>
      </w:r>
      <w:r w:rsidRPr="0051586B">
        <w:rPr>
          <w:rFonts w:ascii="Arial" w:hAnsi="Arial" w:cs="Arial" w:eastAsiaTheme="minorHAnsi"/>
          <w:bCs/>
          <w:sz w:val="21"/>
          <w:szCs w:val="21"/>
          <w:lang w:val="es-MX" w:eastAsia="es-CO"/>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w:t>
      </w:r>
      <w:r w:rsidRPr="0051586B">
        <w:rPr>
          <w:rFonts w:ascii="Arial" w:hAnsi="Arial" w:cs="Arial" w:eastAsiaTheme="minorHAnsi"/>
          <w:bCs/>
          <w:sz w:val="21"/>
          <w:szCs w:val="21"/>
          <w:lang w:val="es-MX" w:eastAsia="es-CO"/>
        </w:rPr>
        <w:lastRenderedPageBreak/>
        <w:t>público, razón por la cual no son disponibles ni pueden ser derogadas, modificadas, ampliadas o adicionadas por acuerdo o convenio o acto unilateral.</w:t>
      </w:r>
    </w:p>
    <w:p w:rsidRPr="0051586B" w:rsidR="00F96DA4" w:rsidP="00F96DA4" w:rsidRDefault="00F96DA4" w14:paraId="21E2EC07" w14:textId="77777777">
      <w:pPr>
        <w:ind w:left="709" w:right="709"/>
        <w:jc w:val="both"/>
        <w:rPr>
          <w:rFonts w:ascii="Arial" w:hAnsi="Arial" w:cs="Arial" w:eastAsiaTheme="minorHAnsi"/>
          <w:bCs/>
          <w:sz w:val="21"/>
          <w:szCs w:val="21"/>
          <w:lang w:val="es-MX" w:eastAsia="es-CO"/>
        </w:rPr>
      </w:pPr>
      <w:r w:rsidRPr="0051586B">
        <w:rPr>
          <w:rFonts w:ascii="Arial" w:hAnsi="Arial" w:cs="Arial" w:eastAsiaTheme="minorHAnsi"/>
          <w:bCs/>
          <w:sz w:val="21"/>
          <w:szCs w:val="21"/>
          <w:lang w:val="es-MX" w:eastAsia="es-CO"/>
        </w:rPr>
        <w:t>La jurisprudencia de la Corte Constitucional</w:t>
      </w:r>
      <w:r w:rsidRPr="0051586B">
        <w:rPr>
          <w:rFonts w:ascii="Arial" w:hAnsi="Arial" w:cs="Arial" w:eastAsiaTheme="minorHAnsi"/>
          <w:bCs/>
          <w:sz w:val="21"/>
          <w:szCs w:val="21"/>
          <w:vertAlign w:val="superscript"/>
          <w:lang w:val="es-MX" w:eastAsia="es-CO"/>
        </w:rPr>
        <w:footnoteReference w:id="4"/>
      </w:r>
      <w:r w:rsidRPr="0051586B">
        <w:rPr>
          <w:rFonts w:ascii="Arial" w:hAnsi="Arial" w:cs="Arial" w:eastAsiaTheme="minorHAnsi"/>
          <w:bCs/>
          <w:sz w:val="21"/>
          <w:szCs w:val="21"/>
          <w:lang w:val="es-MX" w:eastAsia="es-CO"/>
        </w:rPr>
        <w:t> y del Consejo de Estado</w:t>
      </w:r>
      <w:r w:rsidRPr="0051586B">
        <w:rPr>
          <w:rFonts w:ascii="Arial" w:hAnsi="Arial" w:cs="Arial" w:eastAsiaTheme="minorHAnsi"/>
          <w:bCs/>
          <w:sz w:val="21"/>
          <w:szCs w:val="21"/>
          <w:vertAlign w:val="superscript"/>
          <w:lang w:val="es-MX" w:eastAsia="es-CO"/>
        </w:rPr>
        <w:footnoteReference w:id="5"/>
      </w:r>
      <w:r w:rsidRPr="0051586B">
        <w:rPr>
          <w:rFonts w:ascii="Arial" w:hAnsi="Arial" w:cs="Arial" w:eastAsiaTheme="minorHAnsi"/>
          <w:bCs/>
          <w:sz w:val="21"/>
          <w:szCs w:val="21"/>
          <w:lang w:val="es-MX" w:eastAsia="es-CO"/>
        </w:rPr>
        <w:t>,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51586B">
        <w:rPr>
          <w:rFonts w:ascii="Arial" w:hAnsi="Arial" w:cs="Arial" w:eastAsiaTheme="minorHAnsi"/>
          <w:sz w:val="21"/>
          <w:szCs w:val="21"/>
          <w:lang w:val="es-ES" w:eastAsia="en-US"/>
        </w:rPr>
        <w:t>»</w:t>
      </w:r>
      <w:r w:rsidRPr="0051586B">
        <w:rPr>
          <w:rFonts w:ascii="Arial" w:hAnsi="Arial" w:cs="Arial" w:eastAsiaTheme="minorHAnsi"/>
          <w:bCs/>
          <w:sz w:val="22"/>
          <w:szCs w:val="22"/>
          <w:vertAlign w:val="superscript"/>
          <w:lang w:val="es-MX" w:eastAsia="es-CO"/>
        </w:rPr>
        <w:footnoteReference w:id="6"/>
      </w:r>
    </w:p>
    <w:p w:rsidRPr="0051586B" w:rsidR="00F96DA4" w:rsidP="00F96DA4" w:rsidRDefault="00F96DA4" w14:paraId="19859606" w14:textId="77777777">
      <w:pPr>
        <w:spacing w:line="276" w:lineRule="auto"/>
        <w:ind w:right="709"/>
        <w:jc w:val="both"/>
        <w:rPr>
          <w:rFonts w:ascii="Arial" w:hAnsi="Arial" w:cs="Arial" w:eastAsiaTheme="minorHAnsi"/>
          <w:bCs/>
          <w:sz w:val="22"/>
          <w:szCs w:val="22"/>
          <w:lang w:val="es-MX" w:eastAsia="es-CO"/>
        </w:rPr>
      </w:pPr>
    </w:p>
    <w:p w:rsidRPr="0051586B" w:rsidR="00F96DA4" w:rsidP="00F96DA4" w:rsidRDefault="00F96DA4" w14:paraId="34D9109D" w14:textId="77777777">
      <w:pPr>
        <w:spacing w:after="120" w:line="276" w:lineRule="auto"/>
        <w:jc w:val="both"/>
        <w:rPr>
          <w:rFonts w:ascii="Arial" w:hAnsi="Arial" w:eastAsia="Arial" w:cs="Arial"/>
          <w:sz w:val="22"/>
          <w:szCs w:val="22"/>
          <w:lang w:val="es-ES" w:eastAsia="es-ES" w:bidi="es-ES"/>
        </w:rPr>
      </w:pPr>
      <w:r w:rsidRPr="0051586B">
        <w:rPr>
          <w:rFonts w:ascii="Arial" w:hAnsi="Arial" w:cs="Arial" w:eastAsiaTheme="minorHAnsi"/>
          <w:bCs/>
          <w:sz w:val="22"/>
          <w:szCs w:val="22"/>
          <w:lang w:val="es-MX" w:eastAsia="es-CO"/>
        </w:rPr>
        <w:tab/>
      </w:r>
      <w:r w:rsidRPr="0051586B">
        <w:rPr>
          <w:rFonts w:ascii="Arial" w:hAnsi="Arial" w:cs="Arial" w:eastAsiaTheme="minorHAnsi"/>
          <w:bCs/>
          <w:sz w:val="22"/>
          <w:szCs w:val="22"/>
          <w:lang w:val="es-MX" w:eastAsia="es-CO"/>
        </w:rPr>
        <w:t>De</w:t>
      </w:r>
      <w:r w:rsidRPr="0051586B">
        <w:rPr>
          <w:rFonts w:ascii="Arial" w:hAnsi="Arial" w:eastAsia="Arial" w:cs="Arial"/>
          <w:sz w:val="22"/>
          <w:szCs w:val="22"/>
          <w:lang w:val="es-ES" w:eastAsia="es-ES" w:bidi="es-ES"/>
        </w:rPr>
        <w:t xml:space="preserv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períodos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rsidRPr="0051586B" w:rsidR="00F96DA4" w:rsidP="00F96DA4" w:rsidRDefault="00F96DA4" w14:paraId="065F25DD" w14:textId="77777777">
      <w:pPr>
        <w:spacing w:after="120" w:line="276" w:lineRule="auto"/>
        <w:ind w:firstLine="708"/>
        <w:jc w:val="both"/>
        <w:rPr>
          <w:rFonts w:ascii="Arial" w:hAnsi="Arial" w:eastAsia="Calibri" w:cs="Arial"/>
          <w:sz w:val="22"/>
          <w:szCs w:val="22"/>
          <w:lang w:eastAsia="en-US"/>
        </w:rPr>
      </w:pPr>
      <w:r w:rsidRPr="0051586B">
        <w:rPr>
          <w:rFonts w:ascii="Arial" w:hAnsi="Arial" w:eastAsia="Calibri" w:cs="Arial"/>
          <w:sz w:val="22"/>
          <w:szCs w:val="22"/>
          <w:lang w:eastAsia="en-US"/>
        </w:rPr>
        <w:t xml:space="preserve">Por un lado, el artículo 33 de la Ley 996 de 2005 prohíbe </w:t>
      </w:r>
      <w:r w:rsidRPr="0051586B">
        <w:rPr>
          <w:rFonts w:ascii="Arial" w:hAnsi="Arial" w:eastAsia="Calibri" w:cs="Arial"/>
          <w:bCs/>
          <w:sz w:val="22"/>
          <w:szCs w:val="22"/>
          <w:lang w:eastAsia="en-US"/>
        </w:rPr>
        <w:t xml:space="preserve">«[…] </w:t>
      </w:r>
      <w:r w:rsidRPr="0051586B">
        <w:rPr>
          <w:rFonts w:ascii="Arial" w:hAnsi="Arial" w:eastAsia="Calibri" w:cs="Arial"/>
          <w:sz w:val="22"/>
          <w:szCs w:val="22"/>
          <w:lang w:eastAsia="en-US"/>
        </w:rPr>
        <w:t>la contratación directa por parte de todos los entes del Estado</w:t>
      </w:r>
      <w:r w:rsidRPr="0051586B">
        <w:rPr>
          <w:rFonts w:ascii="Arial" w:hAnsi="Arial" w:eastAsia="Calibri" w:cs="Arial"/>
          <w:bCs/>
          <w:sz w:val="22"/>
          <w:szCs w:val="22"/>
          <w:lang w:eastAsia="en-US"/>
        </w:rPr>
        <w:t>»</w:t>
      </w:r>
      <w:r w:rsidRPr="0051586B">
        <w:rPr>
          <w:rFonts w:ascii="Arial" w:hAnsi="Arial" w:eastAsia="Calibri" w:cs="Arial"/>
          <w:sz w:val="22"/>
          <w:szCs w:val="22"/>
          <w:lang w:eastAsia="en-US"/>
        </w:rPr>
        <w:t xml:space="preserve"> durante los cuatro (4) meses anteriores a las elecciones presidenciales, salvo </w:t>
      </w:r>
      <w:r w:rsidRPr="0051586B">
        <w:rPr>
          <w:rFonts w:ascii="Arial" w:hAnsi="Arial" w:eastAsia="Calibri" w:cs="Arial"/>
          <w:bCs/>
          <w:sz w:val="22"/>
          <w:szCs w:val="22"/>
          <w:lang w:eastAsia="en-US"/>
        </w:rPr>
        <w:t xml:space="preserve">«[…] </w:t>
      </w:r>
      <w:r w:rsidRPr="0051586B">
        <w:rPr>
          <w:rFonts w:ascii="Arial" w:hAnsi="Arial" w:eastAsia="Calibri" w:cs="Arial"/>
          <w:sz w:val="22"/>
          <w:szCs w:val="22"/>
          <w:lang w:eastAsia="en-US"/>
        </w:rPr>
        <w:t>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51586B">
        <w:rPr>
          <w:rFonts w:ascii="Arial" w:hAnsi="Arial" w:eastAsia="Calibri" w:cs="Arial"/>
          <w:bCs/>
          <w:sz w:val="22"/>
          <w:szCs w:val="22"/>
          <w:lang w:eastAsia="en-US"/>
        </w:rPr>
        <w:t>»</w:t>
      </w:r>
      <w:r w:rsidRPr="0051586B">
        <w:rPr>
          <w:rFonts w:ascii="Arial" w:hAnsi="Arial" w:eastAsia="Calibri" w:cs="Arial"/>
          <w:bCs/>
          <w:sz w:val="22"/>
          <w:szCs w:val="22"/>
          <w:vertAlign w:val="superscript"/>
          <w:lang w:eastAsia="en-US"/>
        </w:rPr>
        <w:footnoteReference w:id="7"/>
      </w:r>
      <w:r w:rsidRPr="0051586B">
        <w:rPr>
          <w:rFonts w:ascii="Arial" w:hAnsi="Arial" w:eastAsia="Calibri" w:cs="Arial"/>
          <w:sz w:val="22"/>
          <w:szCs w:val="22"/>
          <w:lang w:eastAsia="en-US"/>
        </w:rPr>
        <w:t>.</w:t>
      </w:r>
    </w:p>
    <w:p w:rsidRPr="0051586B" w:rsidR="00F96DA4" w:rsidP="00F96DA4" w:rsidRDefault="00F96DA4" w14:paraId="0B3C4610" w14:textId="77777777">
      <w:pPr>
        <w:widowControl w:val="0"/>
        <w:autoSpaceDE w:val="0"/>
        <w:autoSpaceDN w:val="0"/>
        <w:spacing w:line="276" w:lineRule="auto"/>
        <w:ind w:right="113" w:firstLine="708"/>
        <w:jc w:val="both"/>
        <w:rPr>
          <w:rFonts w:ascii="Arial" w:hAnsi="Arial" w:eastAsia="Arial" w:cs="Arial"/>
          <w:sz w:val="22"/>
          <w:szCs w:val="22"/>
          <w:lang w:val="es-ES" w:eastAsia="es-ES" w:bidi="es-ES"/>
        </w:rPr>
      </w:pPr>
      <w:r w:rsidRPr="0051586B">
        <w:rPr>
          <w:rFonts w:ascii="Arial" w:hAnsi="Arial" w:eastAsia="Calibri" w:cs="Arial"/>
          <w:sz w:val="22"/>
          <w:szCs w:val="22"/>
          <w:lang w:eastAsia="en-US"/>
        </w:rPr>
        <w:lastRenderedPageBreak/>
        <w:t xml:space="preserve">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w:t>
      </w:r>
      <w:r w:rsidRPr="0051586B">
        <w:rPr>
          <w:rFonts w:ascii="Arial" w:hAnsi="Arial" w:eastAsia="Calibri" w:cs="Arial"/>
          <w:bCs/>
          <w:sz w:val="22"/>
          <w:szCs w:val="22"/>
          <w:lang w:eastAsia="en-US"/>
        </w:rPr>
        <w:t xml:space="preserve">«[…] </w:t>
      </w:r>
      <w:r w:rsidRPr="0051586B">
        <w:rPr>
          <w:rFonts w:ascii="Arial" w:hAnsi="Arial" w:eastAsia="Calibri" w:cs="Arial"/>
          <w:sz w:val="22"/>
          <w:szCs w:val="22"/>
          <w:lang w:val="es-MX" w:eastAsia="en-US"/>
        </w:rPr>
        <w:t>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51586B">
        <w:rPr>
          <w:rFonts w:ascii="Arial" w:hAnsi="Arial" w:eastAsia="Calibri" w:cs="Arial"/>
          <w:bCs/>
          <w:sz w:val="19"/>
          <w:szCs w:val="19"/>
          <w:lang w:eastAsia="en-US"/>
        </w:rPr>
        <w:t>»</w:t>
      </w:r>
      <w:r w:rsidRPr="0051586B">
        <w:rPr>
          <w:rFonts w:ascii="Arial" w:hAnsi="Arial" w:eastAsia="Calibri" w:cs="Arial"/>
          <w:bCs/>
          <w:sz w:val="19"/>
          <w:szCs w:val="19"/>
          <w:vertAlign w:val="superscript"/>
          <w:lang w:eastAsia="en-US"/>
        </w:rPr>
        <w:footnoteReference w:id="8"/>
      </w:r>
      <w:r w:rsidRPr="0051586B">
        <w:rPr>
          <w:rFonts w:ascii="Arial" w:hAnsi="Arial" w:eastAsia="Calibri" w:cs="Arial"/>
          <w:sz w:val="22"/>
          <w:szCs w:val="22"/>
          <w:lang w:val="es-MX" w:eastAsia="en-US"/>
        </w:rPr>
        <w:t>.</w:t>
      </w:r>
      <w:r w:rsidRPr="0051586B">
        <w:rPr>
          <w:rFonts w:ascii="Arial" w:hAnsi="Arial" w:eastAsia="Arial" w:cs="Arial"/>
          <w:sz w:val="22"/>
          <w:szCs w:val="22"/>
          <w:lang w:val="es-ES" w:eastAsia="es-ES" w:bidi="es-ES"/>
        </w:rPr>
        <w:t xml:space="preserve"> La Sala de Consulta y Servicio Civil del Consejo de Estado ha aclarado la distinción en la aplicación de las prohibiciones de la Ley 996 de 2005, dependiendo del tipo de elección que se trate. Al respecto, considera que:</w:t>
      </w:r>
    </w:p>
    <w:p w:rsidRPr="0051586B" w:rsidR="00F96DA4" w:rsidP="00F96DA4" w:rsidRDefault="00F96DA4" w14:paraId="22587ED3" w14:textId="77777777">
      <w:pPr>
        <w:widowControl w:val="0"/>
        <w:autoSpaceDE w:val="0"/>
        <w:autoSpaceDN w:val="0"/>
        <w:ind w:left="805" w:right="812"/>
        <w:jc w:val="both"/>
        <w:rPr>
          <w:rFonts w:ascii="Arial" w:hAnsi="Arial" w:eastAsia="Arial" w:cs="Arial"/>
          <w:sz w:val="22"/>
          <w:szCs w:val="22"/>
          <w:lang w:val="es-ES" w:eastAsia="es-ES" w:bidi="es-ES"/>
        </w:rPr>
      </w:pPr>
    </w:p>
    <w:p w:rsidRPr="0051586B" w:rsidR="00F96DA4" w:rsidP="00F96DA4" w:rsidRDefault="00F96DA4" w14:paraId="3806222B" w14:textId="77777777">
      <w:pPr>
        <w:widowControl w:val="0"/>
        <w:autoSpaceDE w:val="0"/>
        <w:autoSpaceDN w:val="0"/>
        <w:ind w:left="709" w:right="709"/>
        <w:jc w:val="both"/>
        <w:rPr>
          <w:rFonts w:ascii="Arial" w:hAnsi="Arial" w:eastAsia="Arial" w:cs="Arial"/>
          <w:sz w:val="21"/>
          <w:szCs w:val="21"/>
          <w:lang w:val="es-ES" w:eastAsia="es-ES" w:bidi="es-ES"/>
        </w:rPr>
      </w:pPr>
      <w:r w:rsidRPr="0051586B">
        <w:rPr>
          <w:rFonts w:ascii="Arial" w:hAnsi="Arial" w:eastAsia="Calibri" w:cs="Arial"/>
          <w:sz w:val="21"/>
          <w:szCs w:val="21"/>
          <w:lang w:val="es-ES" w:eastAsia="en-US"/>
        </w:rPr>
        <w:t>«</w:t>
      </w:r>
      <w:r w:rsidRPr="0051586B">
        <w:rPr>
          <w:rFonts w:ascii="Arial" w:hAnsi="Arial" w:eastAsia="Arial" w:cs="Arial"/>
          <w:sz w:val="21"/>
          <w:szCs w:val="21"/>
          <w:lang w:val="es-ES" w:eastAsia="es-ES" w:bidi="es-ES"/>
        </w:rPr>
        <w:t xml:space="preserve">La interpretación sistemática de las disposiciones consagradas en los artículos 32, 33 y el parágrafo del artículo 38 de la ley 996 de 2.005 lleva a concluir que dichas normas contienen restricciones y prohibiciones para períodos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w:t>
      </w:r>
      <w:r w:rsidRPr="0051586B">
        <w:rPr>
          <w:rFonts w:ascii="Arial" w:hAnsi="Arial" w:eastAsia="Arial" w:cs="Arial"/>
          <w:bCs/>
          <w:sz w:val="21"/>
          <w:szCs w:val="21"/>
          <w:lang w:val="es-ES" w:eastAsia="es-ES" w:bidi="es-ES"/>
        </w:rPr>
        <w:t xml:space="preserve">En cambio, para elecciones en general, excluyendo las correspondientes a </w:t>
      </w:r>
      <w:proofErr w:type="gramStart"/>
      <w:r w:rsidRPr="0051586B">
        <w:rPr>
          <w:rFonts w:ascii="Arial" w:hAnsi="Arial" w:eastAsia="Arial" w:cs="Arial"/>
          <w:bCs/>
          <w:sz w:val="21"/>
          <w:szCs w:val="21"/>
          <w:lang w:val="es-ES" w:eastAsia="es-ES" w:bidi="es-ES"/>
        </w:rPr>
        <w:t>Presidente</w:t>
      </w:r>
      <w:proofErr w:type="gramEnd"/>
      <w:r w:rsidRPr="0051586B">
        <w:rPr>
          <w:rFonts w:ascii="Arial" w:hAnsi="Arial" w:eastAsia="Arial" w:cs="Arial"/>
          <w:bCs/>
          <w:sz w:val="21"/>
          <w:szCs w:val="21"/>
          <w:lang w:val="es-ES" w:eastAsia="es-ES" w:bidi="es-ES"/>
        </w:rPr>
        <w:t xml:space="preserve"> de la República, a las autoridades territoriales allí mencionadas sólo se aplican las restricciones contenidas en el parágrafo del artículo 38.</w:t>
      </w:r>
      <w:r w:rsidRPr="0051586B">
        <w:rPr>
          <w:rFonts w:ascii="Arial" w:hAnsi="Arial" w:cs="Arial" w:eastAsiaTheme="minorHAnsi"/>
          <w:sz w:val="21"/>
          <w:szCs w:val="21"/>
          <w:lang w:val="es-ES" w:eastAsia="en-US"/>
        </w:rPr>
        <w:t>»</w:t>
      </w:r>
      <w:r w:rsidRPr="0051586B">
        <w:rPr>
          <w:rFonts w:ascii="Arial" w:hAnsi="Arial" w:eastAsia="Arial" w:cs="Arial"/>
          <w:sz w:val="21"/>
          <w:szCs w:val="21"/>
          <w:vertAlign w:val="superscript"/>
          <w:lang w:val="es-ES" w:eastAsia="es-ES" w:bidi="es-ES"/>
        </w:rPr>
        <w:footnoteReference w:id="9"/>
      </w:r>
    </w:p>
    <w:p w:rsidRPr="0051586B" w:rsidR="00F96DA4" w:rsidP="00F96DA4" w:rsidRDefault="00F96DA4" w14:paraId="5E59AA54" w14:textId="77777777">
      <w:pPr>
        <w:widowControl w:val="0"/>
        <w:autoSpaceDE w:val="0"/>
        <w:autoSpaceDN w:val="0"/>
        <w:spacing w:before="8"/>
        <w:rPr>
          <w:rFonts w:ascii="Arial" w:hAnsi="Arial" w:eastAsia="Arial" w:cs="Arial"/>
          <w:sz w:val="26"/>
          <w:szCs w:val="22"/>
          <w:lang w:val="es-ES" w:eastAsia="es-ES" w:bidi="es-ES"/>
        </w:rPr>
      </w:pPr>
    </w:p>
    <w:p w:rsidRPr="0051586B" w:rsidR="00F96DA4" w:rsidP="00F96DA4" w:rsidRDefault="00F96DA4" w14:paraId="30E84922" w14:textId="77777777">
      <w:pPr>
        <w:spacing w:after="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 xml:space="preserve">De conformidad con lo anterior, la Ley 996 de 2005 establece dos (2) tipos de restricciones en materia de contratación, las cuales coinciden parcialmente. </w:t>
      </w:r>
      <w:r w:rsidRPr="0051586B">
        <w:rPr>
          <w:rFonts w:ascii="Arial" w:hAnsi="Arial" w:eastAsia="Arial" w:cs="Arial"/>
          <w:i/>
          <w:iCs/>
          <w:sz w:val="22"/>
          <w:szCs w:val="22"/>
          <w:lang w:val="es-ES" w:eastAsia="es-ES" w:bidi="es-ES"/>
        </w:rPr>
        <w:t>En primer lugar</w:t>
      </w:r>
      <w:r w:rsidRPr="0051586B">
        <w:rPr>
          <w:rFonts w:ascii="Arial" w:hAnsi="Arial" w:eastAsia="Arial" w:cs="Arial"/>
          <w:sz w:val="22"/>
          <w:szCs w:val="22"/>
          <w:lang w:val="es-ES" w:eastAsia="es-ES" w:bidi="es-ES"/>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51586B">
        <w:rPr>
          <w:rFonts w:ascii="Arial" w:hAnsi="Arial" w:eastAsia="Arial" w:cs="Arial"/>
          <w:i/>
          <w:iCs/>
          <w:sz w:val="22"/>
          <w:szCs w:val="22"/>
          <w:lang w:val="es-ES" w:eastAsia="es-ES" w:bidi="es-ES"/>
        </w:rPr>
        <w:t>En segundo lugar</w:t>
      </w:r>
      <w:r w:rsidRPr="0051586B">
        <w:rPr>
          <w:rFonts w:ascii="Arial" w:hAnsi="Arial" w:eastAsia="Arial" w:cs="Arial"/>
          <w:sz w:val="22"/>
          <w:szCs w:val="22"/>
          <w:lang w:val="es-ES" w:eastAsia="es-ES" w:bidi="es-ES"/>
        </w:rPr>
        <w:t xml:space="preserve">,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 </w:t>
      </w:r>
    </w:p>
    <w:p w:rsidRPr="0051586B" w:rsidR="00F96DA4" w:rsidP="00F96DA4" w:rsidRDefault="00F96DA4" w14:paraId="5A4A776A" w14:textId="77777777">
      <w:pPr>
        <w:spacing w:after="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 xml:space="preserve">Ambas restricciones no son excluyentes, lo que permite concluir que en el período preelectoral para elección de </w:t>
      </w:r>
      <w:proofErr w:type="gramStart"/>
      <w:r w:rsidRPr="0051586B">
        <w:rPr>
          <w:rFonts w:ascii="Arial" w:hAnsi="Arial" w:eastAsia="Arial" w:cs="Arial"/>
          <w:sz w:val="22"/>
          <w:szCs w:val="22"/>
          <w:lang w:val="es-ES" w:eastAsia="es-ES" w:bidi="es-ES"/>
        </w:rPr>
        <w:t>Presidente</w:t>
      </w:r>
      <w:proofErr w:type="gramEnd"/>
      <w:r w:rsidRPr="0051586B">
        <w:rPr>
          <w:rFonts w:ascii="Arial" w:hAnsi="Arial" w:eastAsia="Arial" w:cs="Arial"/>
          <w:sz w:val="22"/>
          <w:szCs w:val="22"/>
          <w:lang w:val="es-ES" w:eastAsia="es-ES" w:bidi="es-ES"/>
        </w:rPr>
        <w:t xml:space="preserve"> de la República, a todos los entes del Estado, incluidos los territoriales, aplican las restricciones del artículo 33 con sus excepciones, así como las del parágrafo del artículo 38. En cambio, tratándose de elecciones en general, excluyendo las correspondientes al </w:t>
      </w:r>
      <w:proofErr w:type="gramStart"/>
      <w:r w:rsidRPr="0051586B">
        <w:rPr>
          <w:rFonts w:ascii="Arial" w:hAnsi="Arial" w:eastAsia="Arial" w:cs="Arial"/>
          <w:sz w:val="22"/>
          <w:szCs w:val="22"/>
          <w:lang w:val="es-ES" w:eastAsia="es-ES" w:bidi="es-ES"/>
        </w:rPr>
        <w:t>Presidente</w:t>
      </w:r>
      <w:proofErr w:type="gramEnd"/>
      <w:r w:rsidRPr="0051586B">
        <w:rPr>
          <w:rFonts w:ascii="Arial" w:hAnsi="Arial" w:eastAsia="Arial" w:cs="Arial"/>
          <w:sz w:val="22"/>
          <w:szCs w:val="22"/>
          <w:lang w:val="es-ES" w:eastAsia="es-ES" w:bidi="es-ES"/>
        </w:rPr>
        <w:t xml:space="preserve"> de la República, las autoridades allí mencionadas sólo deben aplicar las restricciones contenidas en el parágrafo del artículo 38.</w:t>
      </w:r>
    </w:p>
    <w:p w:rsidRPr="0051586B" w:rsidR="00F96DA4" w:rsidP="00F96DA4" w:rsidRDefault="00F96DA4" w14:paraId="75D40415" w14:textId="77777777">
      <w:pPr>
        <w:spacing w:before="120" w:after="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 xml:space="preserve">La Corte Constitucional, en la Sentencia C-1153 del 11 de noviembre de 2005, señaló que, para que la garantía sea plena, era necesario que la prohibición se aplicara para el </w:t>
      </w:r>
      <w:proofErr w:type="gramStart"/>
      <w:r w:rsidRPr="0051586B">
        <w:rPr>
          <w:rFonts w:ascii="Arial" w:hAnsi="Arial" w:eastAsia="Arial" w:cs="Arial"/>
          <w:sz w:val="22"/>
          <w:szCs w:val="22"/>
          <w:lang w:val="es-ES" w:eastAsia="es-ES" w:bidi="es-ES"/>
        </w:rPr>
        <w:t>Presidente</w:t>
      </w:r>
      <w:proofErr w:type="gramEnd"/>
      <w:r w:rsidRPr="0051586B">
        <w:rPr>
          <w:rFonts w:ascii="Arial" w:hAnsi="Arial" w:eastAsia="Arial" w:cs="Arial"/>
          <w:sz w:val="22"/>
          <w:szCs w:val="22"/>
          <w:lang w:val="es-ES" w:eastAsia="es-ES" w:bidi="es-ES"/>
        </w:rPr>
        <w:t xml:space="preserve"> o el Vicepresidente desde que éstos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rsidRPr="0051586B" w:rsidR="00F96DA4" w:rsidP="00F96DA4" w:rsidRDefault="00F96DA4" w14:paraId="61AD8D04" w14:textId="77777777">
      <w:pPr>
        <w:spacing w:before="120" w:after="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Por último, es importante resaltar que el artículo 124 de la Ley 2159 de 2021, desde su expedición y durante la vigencia fiscal 2022, con el propósito de promover la reactivación económica y la generación de empleo en las regiones, introdujo una excepción parcial y temporal a la prohibición contenida en el inciso 1 del parágrafo del artículo 38 de la Ley 966 de 2005. En efecto, la citada disposición establece:</w:t>
      </w:r>
    </w:p>
    <w:p w:rsidRPr="0051586B" w:rsidR="00F96DA4" w:rsidP="00F96DA4" w:rsidRDefault="00F96DA4" w14:paraId="5A07C82A" w14:textId="77777777">
      <w:pPr>
        <w:ind w:left="709" w:right="902"/>
        <w:jc w:val="both"/>
        <w:rPr>
          <w:rFonts w:ascii="Arial" w:hAnsi="Arial" w:eastAsia="Arial" w:cs="Arial"/>
          <w:sz w:val="21"/>
          <w:szCs w:val="21"/>
          <w:lang w:val="es-ES" w:eastAsia="es-ES" w:bidi="es-ES"/>
        </w:rPr>
      </w:pPr>
      <w:r w:rsidRPr="0051586B">
        <w:rPr>
          <w:rFonts w:ascii="Arial" w:hAnsi="Arial" w:eastAsia="Calibri" w:cs="Arial"/>
          <w:sz w:val="21"/>
          <w:szCs w:val="21"/>
          <w:lang w:val="es-ES" w:eastAsia="en-US"/>
        </w:rPr>
        <w:lastRenderedPageBreak/>
        <w:t>«</w:t>
      </w:r>
      <w:r w:rsidRPr="0051586B">
        <w:rPr>
          <w:rFonts w:ascii="Arial" w:hAnsi="Arial" w:eastAsia="Arial" w:cs="Arial"/>
          <w:sz w:val="21"/>
          <w:szCs w:val="21"/>
          <w:lang w:val="es-ES" w:eastAsia="es-ES" w:bidi="es-ES"/>
        </w:rPr>
        <w:t>Artículo 124. 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w:t>
      </w:r>
    </w:p>
    <w:p w:rsidRPr="0051586B" w:rsidR="00F96DA4" w:rsidP="00F96DA4" w:rsidRDefault="00F96DA4" w14:paraId="7796DACE" w14:textId="77777777">
      <w:pPr>
        <w:ind w:left="709" w:right="902"/>
        <w:jc w:val="both"/>
        <w:rPr>
          <w:rFonts w:ascii="Arial" w:hAnsi="Arial" w:eastAsia="Arial" w:cs="Arial"/>
          <w:sz w:val="21"/>
          <w:szCs w:val="21"/>
          <w:lang w:val="es-ES" w:eastAsia="es-ES" w:bidi="es-ES"/>
        </w:rPr>
      </w:pPr>
    </w:p>
    <w:p w:rsidRPr="0051586B" w:rsidR="00F96DA4" w:rsidP="00F96DA4" w:rsidRDefault="00F96DA4" w14:paraId="71551216" w14:textId="77777777">
      <w:pPr>
        <w:ind w:left="709" w:right="902"/>
        <w:jc w:val="both"/>
        <w:rPr>
          <w:rFonts w:ascii="Arial" w:hAnsi="Arial" w:eastAsia="Arial" w:cs="Arial"/>
          <w:sz w:val="21"/>
          <w:szCs w:val="21"/>
          <w:lang w:val="es-ES" w:eastAsia="es-ES" w:bidi="es-ES"/>
        </w:rPr>
      </w:pPr>
      <w:r w:rsidRPr="0051586B">
        <w:rPr>
          <w:rFonts w:ascii="Arial" w:hAnsi="Arial" w:eastAsia="Arial" w:cs="Arial"/>
          <w:sz w:val="21"/>
          <w:szCs w:val="21"/>
          <w:lang w:val="es-ES" w:eastAsia="es-ES" w:bidi="es-ES"/>
        </w:rPr>
        <w:t>La presente disposición modifica únicamente en la parte pertinente el inciso primero del parágrafo del artículo 38 de la Ley 996 de 2005.</w:t>
      </w:r>
    </w:p>
    <w:p w:rsidRPr="0051586B" w:rsidR="00F96DA4" w:rsidP="00F96DA4" w:rsidRDefault="00F96DA4" w14:paraId="67A3BC91" w14:textId="77777777">
      <w:pPr>
        <w:ind w:left="709" w:right="902"/>
        <w:jc w:val="both"/>
        <w:rPr>
          <w:rFonts w:ascii="Arial" w:hAnsi="Arial" w:eastAsia="Arial" w:cs="Arial"/>
          <w:sz w:val="21"/>
          <w:szCs w:val="21"/>
          <w:lang w:val="es-ES" w:eastAsia="es-ES" w:bidi="es-ES"/>
        </w:rPr>
      </w:pPr>
    </w:p>
    <w:p w:rsidRPr="0051586B" w:rsidR="00F96DA4" w:rsidP="00F96DA4" w:rsidRDefault="00F96DA4" w14:paraId="0F85FA25" w14:textId="77777777">
      <w:pPr>
        <w:ind w:left="709" w:right="902"/>
        <w:jc w:val="both"/>
        <w:rPr>
          <w:rFonts w:ascii="Arial" w:hAnsi="Arial" w:eastAsia="Arial" w:cs="Arial"/>
          <w:sz w:val="21"/>
          <w:szCs w:val="21"/>
          <w:lang w:val="es-ES" w:eastAsia="es-ES" w:bidi="es-ES"/>
        </w:rPr>
      </w:pPr>
      <w:r w:rsidRPr="0051586B">
        <w:rPr>
          <w:rFonts w:ascii="Arial" w:hAnsi="Arial" w:eastAsia="Arial" w:cs="Arial"/>
          <w:sz w:val="21"/>
          <w:szCs w:val="21"/>
          <w:lang w:val="es-ES" w:eastAsia="es-ES" w:bidi="es-ES"/>
        </w:rPr>
        <w:t>Parágrafo. Todos los convenios que se suscriban bajo el amparo de la presente disposición serán objeto de control especial por parte de la Contraloría General de la República. El Contralor General de la República determinará, en el marco de sus competencias constitucionales y legales, la forma en que se ejercerá dicho control especial.</w:t>
      </w:r>
      <w:r w:rsidRPr="0051586B">
        <w:rPr>
          <w:rFonts w:ascii="Arial" w:hAnsi="Arial" w:cs="Arial" w:eastAsiaTheme="minorHAnsi"/>
          <w:sz w:val="21"/>
          <w:szCs w:val="21"/>
          <w:lang w:val="es-ES" w:eastAsia="en-US"/>
        </w:rPr>
        <w:t>»</w:t>
      </w:r>
    </w:p>
    <w:p w:rsidRPr="0051586B" w:rsidR="00F96DA4" w:rsidP="00F96DA4" w:rsidRDefault="00F96DA4" w14:paraId="21DA0D66" w14:textId="77777777">
      <w:pPr>
        <w:spacing w:before="120" w:line="276" w:lineRule="auto"/>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De este modo, desde la expedición de la citada ley y durante la vigencia fiscal 2022, se estableció una excepción parcial a la prohibición establecida en el inciso primero del parágrafo del artículo 38 de la Ley 996 de 2005, consistente en que la Nación podrá celebrar convenios interadministrativos con las entidades territoriales para ejecutar programas y proyectos correspondientes al Presupuesto General de la Nación. No obstante, la excepción solo opera cuando se cumplan dichos elementos, de manera que</w:t>
      </w:r>
      <w:r>
        <w:rPr>
          <w:rFonts w:ascii="Arial" w:hAnsi="Arial" w:eastAsia="Arial" w:cs="Arial"/>
          <w:sz w:val="22"/>
          <w:szCs w:val="22"/>
          <w:lang w:val="es-ES" w:eastAsia="es-ES" w:bidi="es-ES"/>
        </w:rPr>
        <w:t>,</w:t>
      </w:r>
      <w:r w:rsidRPr="0051586B">
        <w:rPr>
          <w:rFonts w:ascii="Arial" w:hAnsi="Arial" w:eastAsia="Arial" w:cs="Arial"/>
          <w:sz w:val="22"/>
          <w:szCs w:val="22"/>
          <w:lang w:val="es-ES" w:eastAsia="es-ES" w:bidi="es-ES"/>
        </w:rPr>
        <w:t xml:space="preserve"> en principio</w:t>
      </w:r>
      <w:r>
        <w:rPr>
          <w:rFonts w:ascii="Arial" w:hAnsi="Arial" w:eastAsia="Arial" w:cs="Arial"/>
          <w:sz w:val="22"/>
          <w:szCs w:val="22"/>
          <w:lang w:val="es-ES" w:eastAsia="es-ES" w:bidi="es-ES"/>
        </w:rPr>
        <w:t>,</w:t>
      </w:r>
      <w:r w:rsidRPr="0051586B">
        <w:rPr>
          <w:rFonts w:ascii="Arial" w:hAnsi="Arial" w:eastAsia="Arial" w:cs="Arial"/>
          <w:sz w:val="22"/>
          <w:szCs w:val="22"/>
          <w:lang w:val="es-ES" w:eastAsia="es-ES" w:bidi="es-ES"/>
        </w:rPr>
        <w:t xml:space="preserve"> se mantiene la prohibición general con esta excepción concreta.</w:t>
      </w:r>
    </w:p>
    <w:p w:rsidRPr="0051586B" w:rsidR="00F96DA4" w:rsidP="00F96DA4" w:rsidRDefault="00F96DA4" w14:paraId="4540BF1F" w14:textId="77777777">
      <w:pPr>
        <w:spacing w:line="276" w:lineRule="auto"/>
        <w:jc w:val="both"/>
        <w:rPr>
          <w:rFonts w:ascii="Arial" w:hAnsi="Arial" w:eastAsia="Arial" w:cs="Arial"/>
          <w:sz w:val="22"/>
          <w:szCs w:val="22"/>
          <w:lang w:val="es-ES" w:eastAsia="es-ES" w:bidi="es-ES"/>
        </w:rPr>
      </w:pPr>
    </w:p>
    <w:p w:rsidRPr="0051586B" w:rsidR="00F96DA4" w:rsidP="00F96DA4" w:rsidRDefault="00F96DA4" w14:paraId="5FF0E386" w14:textId="77777777">
      <w:pPr>
        <w:spacing w:line="276" w:lineRule="auto"/>
        <w:contextualSpacing/>
        <w:jc w:val="both"/>
        <w:rPr>
          <w:rFonts w:ascii="Arial" w:hAnsi="Arial" w:cs="Arial" w:eastAsiaTheme="minorHAnsi"/>
          <w:b/>
          <w:sz w:val="22"/>
          <w:szCs w:val="22"/>
          <w:lang w:val="es-ES" w:eastAsia="es-CO"/>
        </w:rPr>
      </w:pPr>
      <w:r>
        <w:rPr>
          <w:rFonts w:ascii="Arial" w:hAnsi="Arial" w:cs="Arial" w:eastAsiaTheme="minorHAnsi"/>
          <w:b/>
          <w:color w:val="000000" w:themeColor="text1"/>
          <w:sz w:val="22"/>
          <w:lang w:eastAsia="en-US"/>
        </w:rPr>
        <w:t xml:space="preserve">2.2. </w:t>
      </w:r>
      <w:r w:rsidRPr="0051586B">
        <w:rPr>
          <w:rFonts w:ascii="Arial" w:hAnsi="Arial" w:cs="Arial" w:eastAsiaTheme="minorHAnsi"/>
          <w:b/>
          <w:color w:val="000000" w:themeColor="text1"/>
          <w:sz w:val="22"/>
          <w:lang w:eastAsia="en-US"/>
        </w:rPr>
        <w:t>Restricciones para la suscripción de contratos de forma directa por parte de los entes del Estado –artículo 33 de la Ley 996 de 2005–</w:t>
      </w:r>
      <w:r w:rsidRPr="0051586B">
        <w:rPr>
          <w:rFonts w:ascii="Arial" w:hAnsi="Arial" w:cs="Arial" w:eastAsiaTheme="minorHAnsi"/>
          <w:b/>
          <w:bCs/>
          <w:sz w:val="22"/>
          <w:szCs w:val="22"/>
          <w:lang w:val="es-MX" w:eastAsia="es-CO"/>
        </w:rPr>
        <w:t xml:space="preserve"> </w:t>
      </w:r>
    </w:p>
    <w:p w:rsidRPr="0051586B" w:rsidR="00F96DA4" w:rsidP="00F96DA4" w:rsidRDefault="00F96DA4" w14:paraId="37556EA9" w14:textId="77777777">
      <w:pPr>
        <w:spacing w:line="276" w:lineRule="auto"/>
        <w:jc w:val="both"/>
        <w:rPr>
          <w:rFonts w:ascii="Arial" w:hAnsi="Arial" w:cs="Arial" w:eastAsiaTheme="minorHAnsi"/>
          <w:bCs/>
          <w:sz w:val="22"/>
          <w:szCs w:val="22"/>
          <w:lang w:val="es-MX" w:eastAsia="x-none"/>
        </w:rPr>
      </w:pPr>
    </w:p>
    <w:p w:rsidRPr="0051586B" w:rsidR="00F96DA4" w:rsidP="00F96DA4" w:rsidRDefault="00F96DA4" w14:paraId="63832135" w14:textId="77777777">
      <w:pPr>
        <w:spacing w:line="276" w:lineRule="auto"/>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val="es-MX" w:eastAsia="x-none"/>
        </w:rPr>
        <w:t xml:space="preserve">El ámbito material de la prohibición contenida en el artículo 33 de la ley 996 de 2005 está delimitado por la expresión </w:t>
      </w:r>
      <w:r w:rsidRPr="0051586B">
        <w:rPr>
          <w:rFonts w:ascii="Arial" w:hAnsi="Arial" w:eastAsia="Calibri" w:cs="Arial"/>
          <w:bCs/>
          <w:sz w:val="20"/>
          <w:szCs w:val="20"/>
          <w:lang w:val="es-MX" w:eastAsia="en-US"/>
        </w:rPr>
        <w:t>«</w:t>
      </w:r>
      <w:r w:rsidRPr="0051586B">
        <w:rPr>
          <w:rFonts w:ascii="Arial" w:hAnsi="Arial" w:cs="Arial" w:eastAsiaTheme="minorHAnsi"/>
          <w:bCs/>
          <w:sz w:val="22"/>
          <w:szCs w:val="22"/>
          <w:lang w:val="es-MX" w:eastAsia="x-none"/>
        </w:rPr>
        <w:t>queda prohibida la contratación directa</w:t>
      </w:r>
      <w:r w:rsidRPr="0051586B">
        <w:rPr>
          <w:rFonts w:ascii="Arial" w:hAnsi="Arial" w:cs="Arial" w:eastAsiaTheme="minorHAnsi"/>
          <w:sz w:val="20"/>
          <w:szCs w:val="20"/>
          <w:lang w:val="es-MX" w:eastAsia="en-US"/>
        </w:rPr>
        <w:t>»</w:t>
      </w:r>
      <w:r w:rsidRPr="0051586B">
        <w:rPr>
          <w:rFonts w:ascii="Arial" w:hAnsi="Arial" w:cs="Arial" w:eastAsiaTheme="minorHAnsi"/>
          <w:bCs/>
          <w:sz w:val="22"/>
          <w:szCs w:val="22"/>
          <w:lang w:val="es-MX" w:eastAsia="x-none"/>
        </w:rPr>
        <w:t xml:space="preserve">. </w:t>
      </w:r>
      <w:r w:rsidRPr="0051586B">
        <w:rPr>
          <w:rFonts w:ascii="Arial" w:hAnsi="Arial" w:cs="Arial" w:eastAsiaTheme="minorHAnsi"/>
          <w:sz w:val="22"/>
          <w:szCs w:val="22"/>
          <w:lang w:val="es-MX" w:eastAsia="es-CO"/>
        </w:rPr>
        <w:t xml:space="preserve"> A propósito de </w:t>
      </w:r>
      <w:r w:rsidRPr="0051586B">
        <w:rPr>
          <w:rFonts w:ascii="Arial" w:hAnsi="Arial" w:cs="Arial" w:eastAsiaTheme="minorHAnsi"/>
          <w:sz w:val="22"/>
          <w:szCs w:val="22"/>
          <w:lang w:eastAsia="es-CO"/>
        </w:rPr>
        <w:t>esta restricción de la Ley de Garantías Electorales, la Sala de Consulta y Servicio Civil del Consejo de Estado ha considerado que:</w:t>
      </w:r>
    </w:p>
    <w:p w:rsidRPr="0051586B" w:rsidR="00F96DA4" w:rsidP="00F96DA4" w:rsidRDefault="00F96DA4" w14:paraId="389DE9F6" w14:textId="77777777">
      <w:pPr>
        <w:ind w:left="708" w:right="709"/>
        <w:jc w:val="both"/>
        <w:rPr>
          <w:rFonts w:ascii="Arial" w:hAnsi="Arial" w:cs="Arial" w:eastAsiaTheme="minorHAnsi"/>
          <w:sz w:val="21"/>
          <w:szCs w:val="21"/>
          <w:lang w:val="es-MX" w:eastAsia="en-US"/>
        </w:rPr>
      </w:pPr>
    </w:p>
    <w:p w:rsidRPr="0051586B" w:rsidR="00F96DA4" w:rsidP="00F96DA4" w:rsidRDefault="00F96DA4" w14:paraId="1D2557F0" w14:textId="77777777">
      <w:pPr>
        <w:spacing w:after="120"/>
        <w:ind w:left="709" w:right="709"/>
        <w:jc w:val="both"/>
        <w:rPr>
          <w:rFonts w:ascii="Arial" w:hAnsi="Arial" w:cs="Arial" w:eastAsiaTheme="minorHAnsi"/>
          <w:sz w:val="21"/>
          <w:szCs w:val="21"/>
          <w:lang w:val="es-MX" w:eastAsia="en-US"/>
        </w:rPr>
      </w:pPr>
      <w:r w:rsidRPr="0051586B">
        <w:rPr>
          <w:rFonts w:ascii="Arial" w:hAnsi="Arial" w:eastAsia="Calibri" w:cs="Arial"/>
          <w:sz w:val="21"/>
          <w:szCs w:val="21"/>
          <w:lang w:val="es-ES" w:eastAsia="en-US"/>
        </w:rPr>
        <w:t>«</w:t>
      </w:r>
      <w:r w:rsidRPr="0051586B">
        <w:rPr>
          <w:rFonts w:ascii="Arial" w:hAnsi="Arial" w:cs="Arial" w:eastAsiaTheme="minorHAnsi"/>
          <w:sz w:val="21"/>
          <w:szCs w:val="21"/>
          <w:lang w:val="es-MX" w:eastAsia="en-US"/>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51586B">
        <w:rPr>
          <w:rFonts w:ascii="Arial" w:hAnsi="Arial" w:cs="Arial" w:eastAsiaTheme="minorHAnsi"/>
          <w:sz w:val="22"/>
          <w:szCs w:val="22"/>
          <w:vertAlign w:val="superscript"/>
          <w:lang w:eastAsia="es-CO"/>
        </w:rPr>
        <w:footnoteReference w:id="10"/>
      </w:r>
      <w:r w:rsidRPr="0051586B">
        <w:rPr>
          <w:rFonts w:ascii="Arial" w:hAnsi="Arial" w:cs="Arial" w:eastAsiaTheme="minorHAnsi"/>
          <w:sz w:val="21"/>
          <w:szCs w:val="21"/>
          <w:lang w:val="es-MX" w:eastAsia="en-US"/>
        </w:rPr>
        <w:t>.</w:t>
      </w:r>
    </w:p>
    <w:p w:rsidRPr="0051586B" w:rsidR="00F96DA4" w:rsidP="00F96DA4" w:rsidRDefault="00F96DA4" w14:paraId="3CAB564C" w14:textId="77777777">
      <w:pPr>
        <w:ind w:left="708" w:right="709"/>
        <w:jc w:val="both"/>
        <w:rPr>
          <w:rFonts w:ascii="Arial" w:hAnsi="Arial" w:cs="Arial" w:eastAsiaTheme="minorHAnsi"/>
          <w:sz w:val="21"/>
          <w:szCs w:val="21"/>
          <w:lang w:val="es-MX" w:eastAsia="en-US"/>
        </w:rPr>
      </w:pPr>
      <w:r w:rsidRPr="0051586B">
        <w:rPr>
          <w:rFonts w:ascii="Arial" w:hAnsi="Arial" w:cs="Arial" w:eastAsiaTheme="minorHAnsi"/>
          <w:sz w:val="21"/>
          <w:szCs w:val="21"/>
          <w:lang w:val="es-MX" w:eastAsia="en-US"/>
        </w:rPr>
        <w:t xml:space="preserve">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w:t>
      </w:r>
      <w:r w:rsidRPr="0051586B">
        <w:rPr>
          <w:rFonts w:ascii="Arial" w:hAnsi="Arial" w:cs="Arial" w:eastAsiaTheme="minorHAnsi"/>
          <w:sz w:val="21"/>
          <w:szCs w:val="21"/>
          <w:lang w:val="es-MX" w:eastAsia="en-US"/>
        </w:rPr>
        <w:lastRenderedPageBreak/>
        <w:t>regulado por la ley de contratación estatal, sino a cualquier otro que prescinda de un proceso de licitación pública o concurso</w:t>
      </w:r>
      <w:r w:rsidRPr="0051586B">
        <w:rPr>
          <w:rFonts w:ascii="Arial" w:hAnsi="Arial" w:cs="Arial" w:eastAsiaTheme="minorHAnsi"/>
          <w:sz w:val="21"/>
          <w:szCs w:val="21"/>
          <w:vertAlign w:val="superscript"/>
          <w:lang w:val="es-MX" w:eastAsia="en-US"/>
        </w:rPr>
        <w:footnoteReference w:id="11"/>
      </w:r>
      <w:r w:rsidRPr="0051586B">
        <w:rPr>
          <w:rFonts w:ascii="Arial" w:hAnsi="Arial" w:cs="Arial" w:eastAsiaTheme="minorHAnsi"/>
          <w:sz w:val="21"/>
          <w:szCs w:val="21"/>
          <w:vertAlign w:val="superscript"/>
          <w:lang w:val="es-MX" w:eastAsia="en-US"/>
        </w:rPr>
        <w:t>.</w:t>
      </w:r>
      <w:r w:rsidRPr="0051586B">
        <w:rPr>
          <w:rFonts w:ascii="Arial" w:hAnsi="Arial" w:cs="Arial" w:eastAsiaTheme="minorHAnsi"/>
          <w:sz w:val="21"/>
          <w:szCs w:val="21"/>
          <w:lang w:val="es-MX" w:eastAsia="en-US"/>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51586B">
        <w:rPr>
          <w:rFonts w:ascii="Arial" w:hAnsi="Arial" w:cs="Arial" w:eastAsiaTheme="minorHAnsi"/>
          <w:sz w:val="21"/>
          <w:szCs w:val="21"/>
          <w:lang w:val="es-ES" w:eastAsia="en-US"/>
        </w:rPr>
        <w:t>»</w:t>
      </w:r>
      <w:r w:rsidRPr="0051586B">
        <w:rPr>
          <w:rFonts w:ascii="Arial" w:hAnsi="Arial" w:cs="Arial" w:eastAsiaTheme="minorHAnsi"/>
          <w:sz w:val="22"/>
          <w:szCs w:val="22"/>
          <w:vertAlign w:val="superscript"/>
          <w:lang w:eastAsia="es-CO"/>
        </w:rPr>
        <w:footnoteReference w:id="12"/>
      </w:r>
    </w:p>
    <w:p w:rsidRPr="0051586B" w:rsidR="00F96DA4" w:rsidP="00F96DA4" w:rsidRDefault="00F96DA4" w14:paraId="141A7FB9" w14:textId="77777777">
      <w:pPr>
        <w:shd w:val="clear" w:color="auto" w:fill="FFFFFF"/>
        <w:spacing w:line="276" w:lineRule="auto"/>
        <w:ind w:firstLine="709"/>
        <w:jc w:val="both"/>
        <w:rPr>
          <w:rFonts w:ascii="Arial" w:hAnsi="Arial" w:cs="Arial" w:eastAsiaTheme="minorHAnsi"/>
          <w:sz w:val="22"/>
          <w:szCs w:val="22"/>
          <w:lang w:eastAsia="x-none"/>
        </w:rPr>
      </w:pPr>
    </w:p>
    <w:p w:rsidRPr="0051586B" w:rsidR="00F96DA4" w:rsidP="00F96DA4" w:rsidRDefault="00F96DA4" w14:paraId="57A29514" w14:textId="77777777">
      <w:pPr>
        <w:spacing w:after="120" w:line="276" w:lineRule="auto"/>
        <w:ind w:firstLine="708"/>
        <w:jc w:val="both"/>
        <w:rPr>
          <w:rFonts w:ascii="Arial" w:hAnsi="Arial" w:cs="Arial" w:eastAsiaTheme="minorHAnsi"/>
          <w:bCs/>
          <w:sz w:val="22"/>
          <w:szCs w:val="22"/>
          <w:lang w:eastAsia="x-none"/>
        </w:rPr>
      </w:pPr>
      <w:r w:rsidRPr="0051586B">
        <w:rPr>
          <w:rFonts w:ascii="Arial" w:hAnsi="Arial" w:cs="Arial" w:eastAsiaTheme="minorHAnsi"/>
          <w:sz w:val="22"/>
          <w:szCs w:val="22"/>
          <w:lang w:eastAsia="x-none"/>
        </w:rPr>
        <w:t xml:space="preserve">De conformidad con el citado concepto, </w:t>
      </w:r>
      <w:bookmarkStart w:name="_Hlk95735188" w:id="0"/>
      <w:bookmarkStart w:name="_Hlk78818702" w:id="1"/>
      <w:r w:rsidRPr="0051586B">
        <w:rPr>
          <w:rFonts w:ascii="Arial" w:hAnsi="Arial" w:cs="Arial" w:eastAsiaTheme="minorHAnsi"/>
          <w:sz w:val="22"/>
          <w:szCs w:val="22"/>
          <w:lang w:eastAsia="x-none"/>
        </w:rPr>
        <w:t xml:space="preserve">la prohibición del artículo 33 de la Ley de Garantías Electorales se refiere a </w:t>
      </w:r>
      <w:bookmarkStart w:name="_Hlk74294635" w:id="2"/>
      <w:r w:rsidRPr="0051586B">
        <w:rPr>
          <w:rFonts w:ascii="Arial" w:hAnsi="Arial" w:cs="Arial" w:eastAsiaTheme="minorHAnsi"/>
          <w:sz w:val="19"/>
          <w:szCs w:val="19"/>
          <w:lang w:eastAsia="en-GB"/>
        </w:rPr>
        <w:t>«</w:t>
      </w:r>
      <w:bookmarkEnd w:id="2"/>
      <w:r w:rsidRPr="0051586B">
        <w:rPr>
          <w:rFonts w:ascii="Arial" w:hAnsi="Arial" w:cs="Arial" w:eastAsiaTheme="minorHAnsi"/>
          <w:sz w:val="22"/>
          <w:szCs w:val="22"/>
          <w:lang w:eastAsia="x-none"/>
        </w:rPr>
        <w:t>cualquier sistema que no implique convocatoria pública y posibilidad de pluralidad de oferentes</w:t>
      </w:r>
      <w:bookmarkStart w:name="_Hlk74404754" w:id="3"/>
      <w:r w:rsidRPr="0051586B">
        <w:rPr>
          <w:rFonts w:ascii="Arial" w:hAnsi="Arial" w:cs="Arial" w:eastAsiaTheme="minorHAnsi"/>
          <w:sz w:val="22"/>
          <w:szCs w:val="22"/>
          <w:lang w:eastAsia="en-GB"/>
        </w:rPr>
        <w:t>»</w:t>
      </w:r>
      <w:bookmarkEnd w:id="3"/>
      <w:r w:rsidRPr="0051586B">
        <w:rPr>
          <w:rFonts w:ascii="Arial" w:hAnsi="Arial" w:cs="Arial" w:eastAsiaTheme="minorHAnsi"/>
          <w:sz w:val="22"/>
          <w:szCs w:val="22"/>
          <w:lang w:eastAsia="x-none"/>
        </w:rPr>
        <w:t>, por lo que excluye las demás modalidades de contratación previstas en la Ley 1150 de 2007, es decir, la licitación pública, la selección abreviada, el concurso de méritos, la mínima cuantía u otros previstos en normas especiales.</w:t>
      </w:r>
      <w:bookmarkEnd w:id="0"/>
      <w:r w:rsidRPr="0051586B">
        <w:rPr>
          <w:rFonts w:ascii="Arial" w:hAnsi="Arial" w:cs="Arial" w:eastAsiaTheme="minorHAnsi"/>
          <w:sz w:val="22"/>
          <w:szCs w:val="22"/>
          <w:lang w:eastAsia="x-none"/>
        </w:rPr>
        <w:t xml:space="preserve"> </w:t>
      </w:r>
      <w:bookmarkEnd w:id="1"/>
      <w:r w:rsidRPr="0051586B">
        <w:rPr>
          <w:rFonts w:ascii="Arial" w:hAnsi="Arial" w:cs="Arial" w:eastAsiaTheme="minorHAnsi"/>
          <w:sz w:val="22"/>
          <w:szCs w:val="22"/>
          <w:lang w:eastAsia="x-none"/>
        </w:rPr>
        <w:t>Esta posición es congruente con la expedición de la Ley 1150 de 2007 que, entre otras reformas, introdujo la selección abreviada, rediseñó el concurso de méritos</w:t>
      </w:r>
      <w:r w:rsidRPr="0051586B">
        <w:rPr>
          <w:rFonts w:ascii="Arial" w:hAnsi="Arial" w:cs="Arial" w:eastAsiaTheme="minorHAnsi"/>
          <w:sz w:val="22"/>
          <w:szCs w:val="22"/>
          <w:vertAlign w:val="superscript"/>
          <w:lang w:val="en-GB" w:eastAsia="x-none"/>
        </w:rPr>
        <w:footnoteReference w:id="13"/>
      </w:r>
      <w:r w:rsidRPr="0051586B">
        <w:rPr>
          <w:rFonts w:ascii="Arial" w:hAnsi="Arial" w:cs="Arial" w:eastAsiaTheme="minorHAnsi"/>
          <w:sz w:val="22"/>
          <w:szCs w:val="22"/>
          <w:lang w:eastAsia="x-none"/>
        </w:rPr>
        <w:t xml:space="preserve"> y sistematizó las causales de contratación directa</w:t>
      </w:r>
      <w:r w:rsidRPr="0051586B">
        <w:rPr>
          <w:rFonts w:ascii="Arial" w:hAnsi="Arial" w:cs="Arial" w:eastAsiaTheme="minorHAnsi"/>
          <w:sz w:val="22"/>
          <w:szCs w:val="22"/>
          <w:vertAlign w:val="superscript"/>
          <w:lang w:val="en-GB" w:eastAsia="x-none"/>
        </w:rPr>
        <w:footnoteReference w:id="14"/>
      </w:r>
      <w:r w:rsidRPr="0051586B">
        <w:rPr>
          <w:rFonts w:ascii="Arial" w:hAnsi="Arial" w:cs="Arial" w:eastAsiaTheme="minorHAnsi"/>
          <w:sz w:val="22"/>
          <w:szCs w:val="22"/>
          <w:lang w:eastAsia="x-none"/>
        </w:rPr>
        <w:t xml:space="preserve">, </w:t>
      </w:r>
      <w:r w:rsidRPr="0051586B">
        <w:rPr>
          <w:rFonts w:ascii="Arial" w:hAnsi="Arial" w:cs="Arial" w:eastAsiaTheme="minorHAnsi"/>
          <w:sz w:val="22"/>
          <w:lang w:eastAsia="x-none"/>
        </w:rPr>
        <w:t>además lo es con la posterior creación de la modalidad de mínima cuantía establecida actualmente en el numeral 5 del artículo 2 de la Ley 1150 de 2007, de acuerdo con las modificaciones realizadas por leyes posteriores.</w:t>
      </w:r>
    </w:p>
    <w:p w:rsidRPr="0051586B" w:rsidR="00F96DA4" w:rsidP="00F96DA4" w:rsidRDefault="00F96DA4" w14:paraId="133DF4F0" w14:textId="77777777">
      <w:pPr>
        <w:spacing w:after="120" w:line="276" w:lineRule="auto"/>
        <w:ind w:firstLine="708"/>
        <w:jc w:val="both"/>
        <w:rPr>
          <w:rFonts w:ascii="Arial" w:hAnsi="Arial" w:cs="Arial" w:eastAsiaTheme="minorHAnsi"/>
          <w:sz w:val="22"/>
          <w:szCs w:val="22"/>
          <w:lang w:val="es-MX" w:eastAsia="x-none"/>
        </w:rPr>
      </w:pPr>
      <w:r w:rsidRPr="0051586B">
        <w:rPr>
          <w:rFonts w:ascii="Arial" w:hAnsi="Arial" w:cs="Arial" w:eastAsiaTheme="minorHAnsi"/>
          <w:sz w:val="22"/>
          <w:szCs w:val="22"/>
          <w:lang w:eastAsia="x-none"/>
        </w:rPr>
        <w:t xml:space="preserve">De esta forma, con fundamento en la evolución de la normativa sobre la contratación pública, se ha depurado la noción de </w:t>
      </w:r>
      <w:r w:rsidRPr="0051586B">
        <w:rPr>
          <w:rFonts w:ascii="Arial" w:hAnsi="Arial" w:cs="Arial" w:eastAsiaTheme="minorHAnsi"/>
          <w:sz w:val="19"/>
          <w:szCs w:val="19"/>
          <w:lang w:eastAsia="en-GB"/>
        </w:rPr>
        <w:t>«</w:t>
      </w:r>
      <w:r w:rsidRPr="0051586B">
        <w:rPr>
          <w:rFonts w:ascii="Arial" w:hAnsi="Arial" w:cs="Arial" w:eastAsiaTheme="minorHAnsi"/>
          <w:sz w:val="22"/>
          <w:szCs w:val="22"/>
          <w:lang w:eastAsia="x-none"/>
        </w:rPr>
        <w:t>contratación directa</w:t>
      </w:r>
      <w:r w:rsidRPr="0051586B">
        <w:rPr>
          <w:rFonts w:ascii="Arial" w:hAnsi="Arial" w:cs="Arial" w:eastAsiaTheme="minorHAnsi"/>
          <w:sz w:val="22"/>
          <w:szCs w:val="22"/>
          <w:lang w:eastAsia="en-GB"/>
        </w:rPr>
        <w:t>»</w:t>
      </w:r>
      <w:r w:rsidRPr="0051586B">
        <w:rPr>
          <w:rFonts w:ascii="Arial" w:hAnsi="Arial" w:cs="Arial" w:eastAsiaTheme="minorHAnsi"/>
          <w:sz w:val="22"/>
          <w:szCs w:val="22"/>
          <w:lang w:eastAsia="x-none"/>
        </w:rPr>
        <w:t>,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51586B">
        <w:rPr>
          <w:rFonts w:ascii="Arial" w:hAnsi="Arial" w:cs="Arial" w:eastAsiaTheme="minorHAnsi"/>
          <w:sz w:val="22"/>
          <w:szCs w:val="22"/>
          <w:vertAlign w:val="superscript"/>
          <w:lang w:val="en-GB" w:eastAsia="x-none"/>
        </w:rPr>
        <w:footnoteReference w:id="15"/>
      </w:r>
      <w:r w:rsidRPr="0051586B">
        <w:rPr>
          <w:rFonts w:ascii="Arial" w:hAnsi="Arial" w:cs="Arial" w:eastAsiaTheme="minorHAnsi"/>
          <w:sz w:val="22"/>
          <w:szCs w:val="22"/>
          <w:lang w:eastAsia="x-none"/>
        </w:rPr>
        <w:t>, han establecido sistemas de contratación que implican convocatoria pública y participación de varios oferentes</w:t>
      </w:r>
      <w:r w:rsidRPr="0051586B">
        <w:rPr>
          <w:rFonts w:ascii="Arial" w:hAnsi="Arial" w:cs="Arial" w:eastAsiaTheme="minorHAnsi"/>
          <w:sz w:val="22"/>
          <w:szCs w:val="22"/>
          <w:lang w:eastAsia="en-GB"/>
        </w:rPr>
        <w:t>»</w:t>
      </w:r>
      <w:r w:rsidRPr="0051586B">
        <w:rPr>
          <w:rFonts w:ascii="Arial" w:hAnsi="Arial" w:cs="Arial" w:eastAsiaTheme="minorHAnsi"/>
          <w:sz w:val="22"/>
          <w:szCs w:val="22"/>
          <w:lang w:eastAsia="x-none"/>
        </w:rPr>
        <w:t xml:space="preserve">. </w:t>
      </w:r>
    </w:p>
    <w:p w:rsidRPr="0051586B" w:rsidR="00F96DA4" w:rsidP="00F96DA4" w:rsidRDefault="00F96DA4" w14:paraId="4AEA5867" w14:textId="77777777">
      <w:pPr>
        <w:spacing w:after="120" w:line="276" w:lineRule="auto"/>
        <w:ind w:firstLine="708"/>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val="es-MX" w:eastAsia="x-none"/>
        </w:rPr>
        <w:t>E</w:t>
      </w:r>
      <w:r w:rsidRPr="0051586B">
        <w:rPr>
          <w:rFonts w:ascii="Arial" w:hAnsi="Arial" w:cs="Arial" w:eastAsiaTheme="minorHAnsi"/>
          <w:sz w:val="22"/>
          <w:szCs w:val="22"/>
          <w:lang w:eastAsia="x-none"/>
        </w:rPr>
        <w:t xml:space="preserve">n efecto, vale la pena mencionar que, en algunos sistemas de contratación, utilizados por entidades públicas con regímenes especiales, o sujetas al derecho privado, la convocatoria o invitación para contratar puede limitarse a aquellas personas que </w:t>
      </w:r>
      <w:r w:rsidRPr="0051586B">
        <w:rPr>
          <w:rFonts w:ascii="Arial" w:hAnsi="Arial" w:cs="Arial" w:eastAsiaTheme="minorHAnsi"/>
          <w:sz w:val="22"/>
          <w:szCs w:val="22"/>
          <w:lang w:eastAsia="x-none"/>
        </w:rPr>
        <w:lastRenderedPageBreak/>
        <w:t>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51586B">
        <w:rPr>
          <w:rFonts w:ascii="Arial" w:hAnsi="Arial" w:cs="Arial" w:eastAsiaTheme="minorHAnsi"/>
          <w:sz w:val="22"/>
          <w:szCs w:val="22"/>
          <w:vertAlign w:val="superscript"/>
          <w:lang w:eastAsia="x-none"/>
        </w:rPr>
        <w:footnoteReference w:id="16"/>
      </w:r>
      <w:r w:rsidRPr="0051586B">
        <w:rPr>
          <w:rFonts w:ascii="Arial" w:hAnsi="Arial" w:cs="Arial" w:eastAsiaTheme="minorHAnsi"/>
          <w:sz w:val="22"/>
          <w:szCs w:val="22"/>
          <w:lang w:eastAsia="x-none"/>
        </w:rPr>
        <w:t xml:space="preserve">. </w:t>
      </w:r>
    </w:p>
    <w:p w:rsidRPr="0051586B" w:rsidR="00F96DA4" w:rsidP="00F96DA4" w:rsidRDefault="00F96DA4" w14:paraId="1B4E509F" w14:textId="77777777">
      <w:pPr>
        <w:spacing w:after="120" w:line="276" w:lineRule="auto"/>
        <w:ind w:firstLine="708"/>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val="es-MX" w:eastAsia="es-CO"/>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w:t>
      </w:r>
      <w:r>
        <w:rPr>
          <w:rFonts w:ascii="Arial" w:hAnsi="Arial" w:cs="Arial" w:eastAsiaTheme="minorHAnsi"/>
          <w:bCs/>
          <w:sz w:val="22"/>
          <w:szCs w:val="22"/>
          <w:lang w:val="es-MX" w:eastAsia="es-CO"/>
        </w:rPr>
        <w:t>,</w:t>
      </w:r>
      <w:r w:rsidRPr="0051586B">
        <w:rPr>
          <w:rFonts w:ascii="Arial" w:hAnsi="Arial" w:cs="Arial" w:eastAsiaTheme="minorHAnsi"/>
          <w:bCs/>
          <w:sz w:val="22"/>
          <w:szCs w:val="22"/>
          <w:lang w:val="es-MX" w:eastAsia="es-CO"/>
        </w:rPr>
        <w:t xml:space="preserve"> luego de la expedición de Ley 1150 de 2007, el Consejo de Estado comenzó a delimitar con mayor precisión el término «contratación directa».</w:t>
      </w:r>
    </w:p>
    <w:p w:rsidRPr="0051586B" w:rsidR="00F96DA4" w:rsidP="00F96DA4" w:rsidRDefault="00F96DA4" w14:paraId="26779823" w14:textId="77777777">
      <w:pPr>
        <w:spacing w:after="120" w:line="276" w:lineRule="auto"/>
        <w:ind w:firstLine="708"/>
        <w:jc w:val="both"/>
        <w:rPr>
          <w:rFonts w:ascii="Arial" w:hAnsi="Arial" w:cs="Arial" w:eastAsiaTheme="minorHAnsi"/>
          <w:bCs/>
          <w:sz w:val="22"/>
          <w:szCs w:val="22"/>
          <w:lang w:val="es-MX" w:eastAsia="x-none"/>
        </w:rPr>
      </w:pPr>
      <w:r w:rsidRPr="0051586B">
        <w:rPr>
          <w:rFonts w:ascii="Arial" w:hAnsi="Arial" w:cs="Arial" w:eastAsiaTheme="minorHAnsi"/>
          <w:bCs/>
          <w:sz w:val="22"/>
          <w:szCs w:val="22"/>
          <w:lang w:val="es-MX" w:eastAsia="x-none"/>
        </w:rPr>
        <w:t xml:space="preserve"> Así las cosas, </w:t>
      </w:r>
      <w:bookmarkStart w:name="_Hlk95735240" w:id="4"/>
      <w:r w:rsidRPr="0051586B">
        <w:rPr>
          <w:rFonts w:ascii="Arial" w:hAnsi="Arial" w:cs="Arial" w:eastAsiaTheme="minorHAnsi"/>
          <w:bCs/>
          <w:sz w:val="22"/>
          <w:szCs w:val="22"/>
          <w:lang w:val="es-MX" w:eastAsia="x-none"/>
        </w:rPr>
        <w:t>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bookmarkEnd w:id="4"/>
      <w:r w:rsidRPr="0051586B">
        <w:rPr>
          <w:rFonts w:ascii="Arial" w:hAnsi="Arial" w:cs="Arial" w:eastAsiaTheme="minorHAnsi"/>
          <w:sz w:val="22"/>
          <w:szCs w:val="22"/>
          <w:vertAlign w:val="superscript"/>
          <w:lang w:eastAsia="x-none"/>
        </w:rPr>
        <w:footnoteReference w:id="17"/>
      </w:r>
      <w:r w:rsidRPr="0051586B">
        <w:rPr>
          <w:rFonts w:ascii="Arial" w:hAnsi="Arial" w:cs="Arial" w:eastAsiaTheme="minorHAnsi"/>
          <w:bCs/>
          <w:sz w:val="22"/>
          <w:szCs w:val="22"/>
          <w:lang w:val="es-MX" w:eastAsia="x-none"/>
        </w:rPr>
        <w:t>.</w:t>
      </w:r>
      <w:r w:rsidRPr="0051586B">
        <w:rPr>
          <w:rFonts w:ascii="Arial" w:hAnsi="Arial" w:cs="Arial" w:eastAsiaTheme="minorHAnsi"/>
          <w:sz w:val="22"/>
          <w:szCs w:val="22"/>
          <w:vertAlign w:val="superscript"/>
          <w:lang w:eastAsia="x-none"/>
        </w:rPr>
        <w:t xml:space="preserve"> </w:t>
      </w:r>
    </w:p>
    <w:p w:rsidRPr="0051586B" w:rsidR="00F96DA4" w:rsidP="00F96DA4" w:rsidRDefault="00F96DA4" w14:paraId="55144F47" w14:textId="77777777">
      <w:pPr>
        <w:spacing w:after="120" w:line="276" w:lineRule="auto"/>
        <w:ind w:firstLine="708"/>
        <w:jc w:val="both"/>
        <w:rPr>
          <w:rFonts w:ascii="Arial" w:hAnsi="Arial" w:cs="Arial" w:eastAsiaTheme="minorHAnsi"/>
          <w:sz w:val="22"/>
          <w:szCs w:val="22"/>
          <w:lang w:eastAsia="x-none"/>
        </w:rPr>
      </w:pPr>
      <w:bookmarkStart w:name="_Hlk95735299" w:id="5"/>
      <w:r w:rsidRPr="0051586B">
        <w:rPr>
          <w:rFonts w:ascii="Arial" w:hAnsi="Arial" w:cs="Arial" w:eastAsiaTheme="minorHAnsi"/>
          <w:bCs/>
          <w:sz w:val="22"/>
          <w:szCs w:val="22"/>
          <w:lang w:val="es-MX" w:eastAsia="x-none"/>
        </w:rPr>
        <w:t>De lo anterior se desprende que la restricción aplica, sin perjuicio de las excepciones establecidas en la misma ley, para celebrar cualquier contrato de forma directa, esto es, sin que exista un proceso abierto y competitivo.</w:t>
      </w:r>
      <w:r w:rsidRPr="0051586B">
        <w:rPr>
          <w:rFonts w:ascii="Arial" w:hAnsi="Arial" w:cs="Arial" w:eastAsiaTheme="minorHAnsi"/>
          <w:sz w:val="22"/>
          <w:szCs w:val="22"/>
          <w:lang w:eastAsia="x-none"/>
        </w:rPr>
        <w:t xml:space="preserve"> Por tanto, no son materia de la prohibición las demás modalidades de selección previstas en la Ley 1150 de 2007, es decir, la licitación pública, el concurso de méritos</w:t>
      </w:r>
      <w:r>
        <w:rPr>
          <w:rFonts w:ascii="Arial" w:hAnsi="Arial" w:cs="Arial" w:eastAsiaTheme="minorHAnsi"/>
          <w:sz w:val="22"/>
          <w:szCs w:val="22"/>
          <w:lang w:eastAsia="x-none"/>
        </w:rPr>
        <w:t xml:space="preserve">, </w:t>
      </w:r>
      <w:r w:rsidRPr="0051586B">
        <w:rPr>
          <w:rFonts w:ascii="Arial" w:hAnsi="Arial" w:cs="Arial" w:eastAsiaTheme="minorHAnsi"/>
          <w:sz w:val="22"/>
          <w:szCs w:val="22"/>
          <w:lang w:eastAsia="x-none"/>
        </w:rPr>
        <w:t>la selección abreviada</w:t>
      </w:r>
      <w:r>
        <w:rPr>
          <w:rFonts w:ascii="Arial" w:hAnsi="Arial" w:cs="Arial" w:eastAsiaTheme="minorHAnsi"/>
          <w:sz w:val="22"/>
          <w:szCs w:val="22"/>
          <w:lang w:eastAsia="x-none"/>
        </w:rPr>
        <w:t xml:space="preserve"> y la contratación de mínima cuantía</w:t>
      </w:r>
      <w:r w:rsidRPr="0051586B">
        <w:rPr>
          <w:rFonts w:ascii="Arial" w:hAnsi="Arial" w:cs="Arial" w:eastAsiaTheme="minorHAnsi"/>
          <w:sz w:val="22"/>
          <w:szCs w:val="22"/>
          <w:lang w:eastAsia="x-none"/>
        </w:rPr>
        <w:t>, razón por la cual en ese período preelectoral de que trata la disposición pueden las entidades públicas seguir contratando bajo estas modalidades.</w:t>
      </w:r>
      <w:bookmarkEnd w:id="5"/>
    </w:p>
    <w:p w:rsidRPr="0051586B" w:rsidR="00F96DA4" w:rsidP="00F96DA4" w:rsidRDefault="00F96DA4" w14:paraId="07324B76" w14:textId="77777777">
      <w:pPr>
        <w:spacing w:after="120" w:line="276" w:lineRule="auto"/>
        <w:ind w:firstLine="708"/>
        <w:jc w:val="both"/>
        <w:rPr>
          <w:rFonts w:ascii="Arial" w:hAnsi="Arial" w:cs="Arial" w:eastAsiaTheme="minorHAnsi"/>
          <w:bCs/>
          <w:sz w:val="22"/>
          <w:szCs w:val="22"/>
          <w:lang w:val="es-MX" w:eastAsia="x-none"/>
        </w:rPr>
      </w:pPr>
      <w:bookmarkStart w:name="_Hlk77237094" w:id="6"/>
      <w:r w:rsidRPr="0051586B">
        <w:rPr>
          <w:rFonts w:ascii="Arial" w:hAnsi="Arial" w:cs="Arial" w:eastAsiaTheme="minorHAnsi"/>
          <w:bCs/>
          <w:sz w:val="22"/>
          <w:szCs w:val="22"/>
          <w:lang w:val="es-MX" w:eastAsia="es-CO"/>
        </w:rPr>
        <w:t>Ahora bien, como en otras oportunidades lo ha manifestado esta Agencia, las prórrogas, modificaciones o adiciones de los contratos suscritos antes de la entrada en vigor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bookmarkEnd w:id="6"/>
    </w:p>
    <w:p w:rsidRPr="0051586B" w:rsidR="00F96DA4" w:rsidP="00F96DA4" w:rsidRDefault="00F96DA4" w14:paraId="2F859A3A" w14:textId="77777777">
      <w:pPr>
        <w:spacing w:after="120" w:line="276" w:lineRule="auto"/>
        <w:ind w:firstLine="708"/>
        <w:jc w:val="both"/>
        <w:rPr>
          <w:rFonts w:ascii="Arial" w:hAnsi="Arial" w:cs="Arial" w:eastAsiaTheme="minorHAnsi"/>
          <w:bCs/>
          <w:sz w:val="22"/>
          <w:szCs w:val="22"/>
          <w:lang w:val="es-MX" w:eastAsia="es-CO"/>
        </w:rPr>
      </w:pPr>
      <w:r w:rsidRPr="0051586B">
        <w:rPr>
          <w:rFonts w:ascii="Arial" w:hAnsi="Arial" w:cs="Arial" w:eastAsiaTheme="minorHAnsi"/>
          <w:bCs/>
          <w:sz w:val="22"/>
          <w:szCs w:val="22"/>
          <w:lang w:val="es-MX" w:eastAsia="x-none"/>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w:t>
      </w:r>
      <w:r w:rsidRPr="0051586B">
        <w:rPr>
          <w:rFonts w:ascii="Arial" w:hAnsi="Arial" w:cs="Arial" w:eastAsiaTheme="minorHAnsi"/>
          <w:bCs/>
          <w:sz w:val="22"/>
          <w:szCs w:val="22"/>
          <w:lang w:val="es-MX" w:eastAsia="x-none"/>
        </w:rPr>
        <w:lastRenderedPageBreak/>
        <w:t>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r w:rsidRPr="0051586B">
        <w:rPr>
          <w:rFonts w:ascii="Arial" w:hAnsi="Arial" w:cs="Arial" w:eastAsiaTheme="minorHAnsi"/>
          <w:bCs/>
          <w:sz w:val="22"/>
          <w:szCs w:val="22"/>
          <w:lang w:val="es-MX" w:eastAsia="es-CO"/>
        </w:rPr>
        <w:t xml:space="preserve"> Por tanto,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rsidRPr="0051586B" w:rsidR="00F96DA4" w:rsidP="00F96DA4" w:rsidRDefault="00F96DA4" w14:paraId="337A6AED" w14:textId="77777777">
      <w:pPr>
        <w:spacing w:after="120" w:line="276" w:lineRule="auto"/>
        <w:ind w:firstLine="709"/>
        <w:jc w:val="both"/>
        <w:rPr>
          <w:rFonts w:ascii="Arial" w:hAnsi="Arial" w:cs="Arial" w:eastAsiaTheme="minorHAnsi"/>
          <w:bCs/>
          <w:sz w:val="22"/>
          <w:szCs w:val="22"/>
          <w:lang w:val="es-MX" w:eastAsia="x-none"/>
        </w:rPr>
      </w:pPr>
      <w:r w:rsidRPr="0051586B">
        <w:rPr>
          <w:rFonts w:ascii="Arial" w:hAnsi="Arial" w:cs="Arial" w:eastAsiaTheme="minorHAnsi"/>
          <w:bCs/>
          <w:sz w:val="22"/>
          <w:szCs w:val="22"/>
          <w:lang w:val="es-MX" w:eastAsia="x-none"/>
        </w:rPr>
        <w:t>En esta labor es importante tener en cuenta, como lo anotó la Corte Constitucional, en Sentencia C-1153 de noviembre 11 de 2005,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51586B">
        <w:rPr>
          <w:rFonts w:ascii="Arial" w:hAnsi="Arial" w:eastAsia="Calibri" w:cs="Arial"/>
          <w:sz w:val="22"/>
          <w:szCs w:val="22"/>
          <w:vertAlign w:val="superscript"/>
          <w:lang w:val="es-MX" w:eastAsia="en-US"/>
        </w:rPr>
        <w:footnoteReference w:id="18"/>
      </w:r>
      <w:r w:rsidRPr="0051586B">
        <w:rPr>
          <w:rFonts w:ascii="Arial" w:hAnsi="Arial" w:cs="Arial" w:eastAsiaTheme="minorHAnsi"/>
          <w:bCs/>
          <w:sz w:val="22"/>
          <w:szCs w:val="22"/>
          <w:lang w:val="es-MX" w:eastAsia="x-none"/>
        </w:rPr>
        <w:t>. De ahí que la Corte hizo énfasis en que las excepciones a la restricción, establecidos en el inciso segundo del artículo 33,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name="_Hlk75783800" w:id="7"/>
    </w:p>
    <w:p w:rsidRPr="0051586B" w:rsidR="00F96DA4" w:rsidP="00F96DA4" w:rsidRDefault="00F96DA4" w14:paraId="7A64E75A" w14:textId="77777777">
      <w:pPr>
        <w:spacing w:line="276" w:lineRule="auto"/>
        <w:ind w:firstLine="708"/>
        <w:jc w:val="both"/>
        <w:rPr>
          <w:rFonts w:ascii="Arial" w:hAnsi="Arial" w:cs="Arial" w:eastAsiaTheme="minorHAnsi"/>
          <w:bCs/>
          <w:sz w:val="22"/>
          <w:szCs w:val="22"/>
          <w:lang w:val="es-MX" w:eastAsia="x-none"/>
        </w:rPr>
      </w:pPr>
      <w:bookmarkStart w:name="_Hlk95735408" w:id="8"/>
      <w:r w:rsidRPr="0051586B">
        <w:rPr>
          <w:rFonts w:ascii="Arial" w:hAnsi="Arial" w:cs="Arial" w:eastAsiaTheme="minorHAnsi"/>
          <w:bCs/>
          <w:sz w:val="22"/>
          <w:szCs w:val="22"/>
          <w:lang w:val="es-MX" w:eastAsia="x-none"/>
        </w:rPr>
        <w:t>De conformidad con lo expuesto, se concluye que durante los cuatro (4) meses anteriores a la elección presidencial y hasta la realización de la elección en la segunda vuelta, queda prohibida la contratación directa por parte de todos los entes del Estado. Lo anterior, entendiendo el término contratación directa como cualquier sistema de selección o procedimiento de contratación utilizado por las entidades estatales que no incluya la convocatoria pública en alguna de sus etapas, ni permita la participación de una pluralidad de oferentes, sin perjuicio de las excepciones contempladas en el ordenamiento jurídico</w:t>
      </w:r>
      <w:bookmarkEnd w:id="8"/>
      <w:r w:rsidRPr="0051586B">
        <w:rPr>
          <w:rFonts w:ascii="Arial" w:hAnsi="Arial" w:cs="Arial" w:eastAsiaTheme="minorHAnsi"/>
          <w:bCs/>
          <w:sz w:val="22"/>
          <w:szCs w:val="22"/>
          <w:lang w:val="es-MX" w:eastAsia="x-none"/>
        </w:rPr>
        <w:t>.</w:t>
      </w:r>
    </w:p>
    <w:p w:rsidRPr="0051586B" w:rsidR="00F96DA4" w:rsidP="00F96DA4" w:rsidRDefault="00F96DA4" w14:paraId="0C0C5F0F" w14:textId="77777777">
      <w:pPr>
        <w:spacing w:line="276" w:lineRule="auto"/>
        <w:ind w:firstLine="708"/>
        <w:jc w:val="both"/>
        <w:rPr>
          <w:rFonts w:ascii="Arial" w:hAnsi="Arial" w:cs="Arial" w:eastAsiaTheme="minorHAnsi"/>
          <w:bCs/>
          <w:sz w:val="22"/>
          <w:szCs w:val="22"/>
          <w:lang w:val="es-MX" w:eastAsia="x-none"/>
        </w:rPr>
      </w:pPr>
    </w:p>
    <w:p w:rsidRPr="0051586B" w:rsidR="00F96DA4" w:rsidP="00F96DA4" w:rsidRDefault="00F96DA4" w14:paraId="51A78390" w14:textId="77777777">
      <w:pPr>
        <w:spacing w:line="276" w:lineRule="auto"/>
        <w:jc w:val="both"/>
        <w:rPr>
          <w:rFonts w:ascii="Arial" w:hAnsi="Arial" w:cs="Arial" w:eastAsiaTheme="minorHAnsi"/>
          <w:b/>
          <w:sz w:val="22"/>
          <w:szCs w:val="22"/>
          <w:lang w:val="es-MX" w:eastAsia="x-none"/>
        </w:rPr>
      </w:pPr>
      <w:r w:rsidRPr="0051586B">
        <w:rPr>
          <w:rFonts w:ascii="Arial" w:hAnsi="Arial" w:cs="Arial" w:eastAsiaTheme="minorHAnsi"/>
          <w:b/>
          <w:sz w:val="22"/>
          <w:szCs w:val="22"/>
          <w:lang w:val="es-MX" w:eastAsia="x-none"/>
        </w:rPr>
        <w:t>2.</w:t>
      </w:r>
      <w:r>
        <w:rPr>
          <w:rFonts w:ascii="Arial" w:hAnsi="Arial" w:cs="Arial" w:eastAsiaTheme="minorHAnsi"/>
          <w:b/>
          <w:sz w:val="22"/>
          <w:szCs w:val="22"/>
          <w:lang w:val="es-MX" w:eastAsia="x-none"/>
        </w:rPr>
        <w:t xml:space="preserve">3. </w:t>
      </w:r>
      <w:r w:rsidRPr="0051586B">
        <w:rPr>
          <w:rFonts w:ascii="Arial" w:hAnsi="Arial" w:cs="Arial" w:eastAsiaTheme="minorHAnsi"/>
          <w:b/>
          <w:sz w:val="22"/>
          <w:szCs w:val="22"/>
          <w:lang w:val="es-MX" w:eastAsia="x-none"/>
        </w:rPr>
        <w:t>Destinatarios de la restricción del artículo 33 de la Ley 996 de 2005</w:t>
      </w:r>
    </w:p>
    <w:p w:rsidRPr="0051586B" w:rsidR="00F96DA4" w:rsidP="00F96DA4" w:rsidRDefault="00F96DA4" w14:paraId="226EFF3C" w14:textId="77777777">
      <w:pPr>
        <w:spacing w:line="276" w:lineRule="auto"/>
        <w:jc w:val="both"/>
        <w:rPr>
          <w:rFonts w:ascii="Arial" w:hAnsi="Arial" w:cs="Arial" w:eastAsiaTheme="minorHAnsi"/>
          <w:bCs/>
          <w:sz w:val="22"/>
          <w:szCs w:val="22"/>
          <w:lang w:val="es-MX" w:eastAsia="x-none"/>
        </w:rPr>
      </w:pPr>
    </w:p>
    <w:p w:rsidRPr="0051586B" w:rsidR="00F96DA4" w:rsidP="00F96DA4" w:rsidRDefault="00F96DA4" w14:paraId="1742650F" w14:textId="77777777">
      <w:pPr>
        <w:spacing w:line="276" w:lineRule="auto"/>
        <w:jc w:val="both"/>
        <w:rPr>
          <w:rFonts w:ascii="Arial" w:hAnsi="Arial" w:cs="Arial" w:eastAsiaTheme="minorHAnsi"/>
          <w:bCs/>
          <w:sz w:val="22"/>
          <w:szCs w:val="22"/>
          <w:lang w:val="es-MX" w:eastAsia="x-none"/>
        </w:rPr>
      </w:pPr>
      <w:r w:rsidRPr="0051586B">
        <w:rPr>
          <w:rFonts w:ascii="Arial" w:hAnsi="Arial" w:cs="Arial" w:eastAsiaTheme="minorHAnsi"/>
          <w:bCs/>
          <w:sz w:val="22"/>
          <w:szCs w:val="22"/>
          <w:lang w:val="es-MX" w:eastAsia="x-none"/>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51586B">
        <w:rPr>
          <w:rFonts w:asciiTheme="minorHAnsi" w:hAnsiTheme="minorHAnsi" w:eastAsiaTheme="minorHAnsi" w:cstheme="minorBidi"/>
          <w:szCs w:val="22"/>
          <w:lang w:val="es-MX" w:eastAsia="en-US"/>
        </w:rPr>
        <w:t xml:space="preserve"> </w:t>
      </w:r>
      <w:r w:rsidRPr="0051586B">
        <w:rPr>
          <w:rFonts w:ascii="Arial" w:hAnsi="Arial" w:cs="Arial" w:eastAsiaTheme="minorHAnsi"/>
          <w:bCs/>
          <w:sz w:val="22"/>
          <w:szCs w:val="22"/>
          <w:lang w:val="es-MX" w:eastAsia="x-none"/>
        </w:rPr>
        <w:t>En efecto, tal como lo ha sostenido el Consejo de Estado, el vocablo «todos» utilizado por el legislador comprende</w:t>
      </w:r>
      <w:r w:rsidRPr="0051586B">
        <w:rPr>
          <w:rFonts w:asciiTheme="minorHAnsi" w:hAnsiTheme="minorHAnsi" w:eastAsiaTheme="minorHAnsi" w:cstheme="minorBidi"/>
          <w:szCs w:val="22"/>
          <w:lang w:val="es-MX" w:eastAsia="en-US"/>
        </w:rPr>
        <w:t xml:space="preserve"> </w:t>
      </w:r>
      <w:r w:rsidRPr="0051586B">
        <w:rPr>
          <w:rFonts w:ascii="Arial" w:hAnsi="Arial" w:cs="Arial" w:eastAsiaTheme="minorHAnsi"/>
          <w:bCs/>
          <w:sz w:val="22"/>
          <w:szCs w:val="22"/>
          <w:lang w:val="es-MX" w:eastAsia="x-none"/>
        </w:rPr>
        <w:t xml:space="preserve">a la totalidad de los entes del Estado, sin distinción del régimen </w:t>
      </w:r>
      <w:r w:rsidRPr="0051586B">
        <w:rPr>
          <w:rFonts w:ascii="Arial" w:hAnsi="Arial" w:cs="Arial" w:eastAsiaTheme="minorHAnsi"/>
          <w:bCs/>
          <w:sz w:val="22"/>
          <w:szCs w:val="22"/>
          <w:lang w:val="es-MX" w:eastAsia="x-none"/>
        </w:rPr>
        <w:lastRenderedPageBreak/>
        <w:t>jurídico, forma de organización o naturaleza, su pertenencia a una u otra rama del poder público o su autonomía</w:t>
      </w:r>
      <w:bookmarkEnd w:id="7"/>
      <w:r w:rsidRPr="0051586B">
        <w:rPr>
          <w:rFonts w:ascii="Arial" w:hAnsi="Arial" w:cs="Arial" w:eastAsiaTheme="minorHAnsi"/>
          <w:bCs/>
          <w:sz w:val="22"/>
          <w:szCs w:val="22"/>
          <w:lang w:val="es-MX" w:eastAsia="x-none"/>
        </w:rPr>
        <w:t xml:space="preserve">,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rsidRPr="0051586B" w:rsidR="00F96DA4" w:rsidP="00F96DA4" w:rsidRDefault="00F96DA4" w14:paraId="692BB621" w14:textId="77777777">
      <w:pPr>
        <w:spacing w:line="276" w:lineRule="auto"/>
        <w:ind w:firstLine="708"/>
        <w:jc w:val="both"/>
        <w:rPr>
          <w:rFonts w:ascii="Arial" w:hAnsi="Arial" w:cs="Arial" w:eastAsiaTheme="minorHAnsi"/>
          <w:bCs/>
          <w:sz w:val="22"/>
          <w:szCs w:val="22"/>
          <w:lang w:val="es-MX" w:eastAsia="x-none"/>
        </w:rPr>
      </w:pPr>
    </w:p>
    <w:p w:rsidRPr="0051586B" w:rsidR="00F96DA4" w:rsidP="00F96DA4" w:rsidRDefault="00F96DA4" w14:paraId="4CF70D58" w14:textId="77777777">
      <w:pPr>
        <w:ind w:left="708" w:right="709"/>
        <w:jc w:val="both"/>
        <w:rPr>
          <w:rFonts w:ascii="Arial" w:hAnsi="Arial" w:cs="Arial" w:eastAsiaTheme="minorHAnsi"/>
          <w:bCs/>
          <w:sz w:val="21"/>
          <w:szCs w:val="21"/>
          <w:lang w:val="es-MX" w:eastAsia="es-CO"/>
        </w:rPr>
      </w:pPr>
      <w:r w:rsidRPr="0051586B">
        <w:rPr>
          <w:rFonts w:ascii="Arial" w:hAnsi="Arial" w:eastAsia="Calibri" w:cs="Arial"/>
          <w:sz w:val="21"/>
          <w:szCs w:val="21"/>
          <w:lang w:val="es-ES" w:eastAsia="en-US"/>
        </w:rPr>
        <w:t>«</w:t>
      </w:r>
      <w:r w:rsidRPr="0051586B">
        <w:rPr>
          <w:rFonts w:ascii="Arial" w:hAnsi="Arial" w:cs="Arial" w:eastAsiaTheme="minorHAnsi"/>
          <w:bCs/>
          <w:sz w:val="21"/>
          <w:szCs w:val="21"/>
          <w:lang w:val="es-MX" w:eastAsia="x-none"/>
        </w:rPr>
        <w:t xml:space="preserve">El artículo 33 de la ley 996 de 2005, </w:t>
      </w:r>
      <w:bookmarkStart w:name="_Hlk75787147" w:id="9"/>
      <w:r w:rsidRPr="0051586B">
        <w:rPr>
          <w:rFonts w:ascii="Arial" w:hAnsi="Arial" w:cs="Arial" w:eastAsiaTheme="minorHAnsi"/>
          <w:bCs/>
          <w:sz w:val="21"/>
          <w:szCs w:val="21"/>
          <w:lang w:val="es-MX" w:eastAsia="x-none"/>
        </w:rPr>
        <w:t>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51586B">
        <w:rPr>
          <w:rFonts w:ascii="Arial" w:hAnsi="Arial" w:cs="Arial" w:eastAsiaTheme="minorHAnsi"/>
          <w:sz w:val="21"/>
          <w:szCs w:val="21"/>
          <w:lang w:val="es-ES" w:eastAsia="en-US"/>
        </w:rPr>
        <w:t>»</w:t>
      </w:r>
      <w:r w:rsidRPr="0051586B">
        <w:rPr>
          <w:rFonts w:ascii="Arial" w:hAnsi="Arial" w:cs="Arial" w:eastAsiaTheme="minorHAnsi"/>
          <w:bCs/>
          <w:sz w:val="21"/>
          <w:szCs w:val="21"/>
          <w:vertAlign w:val="superscript"/>
          <w:lang w:val="es-MX" w:eastAsia="x-none"/>
        </w:rPr>
        <w:footnoteReference w:id="19"/>
      </w:r>
      <w:r w:rsidRPr="0051586B">
        <w:rPr>
          <w:rFonts w:ascii="Arial" w:hAnsi="Arial" w:cs="Arial" w:eastAsiaTheme="minorHAnsi"/>
          <w:bCs/>
          <w:sz w:val="21"/>
          <w:szCs w:val="21"/>
          <w:lang w:val="es-MX" w:eastAsia="es-CO"/>
        </w:rPr>
        <w:t xml:space="preserve"> </w:t>
      </w:r>
    </w:p>
    <w:p w:rsidRPr="0051586B" w:rsidR="00F96DA4" w:rsidP="00F96DA4" w:rsidRDefault="00F96DA4" w14:paraId="3CC7BE63" w14:textId="77777777">
      <w:pPr>
        <w:spacing w:line="276" w:lineRule="auto"/>
        <w:ind w:firstLine="708"/>
        <w:jc w:val="both"/>
        <w:rPr>
          <w:rFonts w:ascii="Arial" w:hAnsi="Arial" w:cs="Arial" w:eastAsiaTheme="minorHAnsi"/>
          <w:bCs/>
          <w:sz w:val="22"/>
          <w:szCs w:val="22"/>
          <w:lang w:val="es-MX" w:eastAsia="es-CO"/>
        </w:rPr>
      </w:pPr>
    </w:p>
    <w:p w:rsidRPr="0051586B" w:rsidR="00F96DA4" w:rsidP="00F96DA4" w:rsidRDefault="00F96DA4" w14:paraId="55DFB880" w14:textId="77777777">
      <w:pPr>
        <w:spacing w:line="276" w:lineRule="auto"/>
        <w:ind w:firstLine="708"/>
        <w:jc w:val="both"/>
        <w:rPr>
          <w:rFonts w:ascii="Arial" w:hAnsi="Arial" w:cs="Arial" w:eastAsiaTheme="minorHAnsi"/>
          <w:sz w:val="22"/>
          <w:szCs w:val="22"/>
          <w:lang w:val="es-MX" w:eastAsia="en-US"/>
        </w:rPr>
      </w:pPr>
      <w:r w:rsidRPr="0051586B">
        <w:rPr>
          <w:rFonts w:ascii="Arial" w:hAnsi="Arial" w:cs="Arial" w:eastAsiaTheme="minorHAnsi"/>
          <w:bCs/>
          <w:sz w:val="22"/>
          <w:szCs w:val="22"/>
          <w:lang w:val="es-MX" w:eastAsia="x-none"/>
        </w:rPr>
        <w:t>De igual forma, 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bookmarkStart w:name="_Hlk75635823" w:id="10"/>
      <w:r w:rsidRPr="0051586B">
        <w:rPr>
          <w:rFonts w:ascii="Arial" w:hAnsi="Arial" w:cs="Arial" w:eastAsiaTheme="minorHAnsi"/>
          <w:bCs/>
          <w:sz w:val="22"/>
          <w:szCs w:val="22"/>
          <w:lang w:val="es-MX" w:eastAsia="x-none"/>
        </w:rPr>
        <w:t>»</w:t>
      </w:r>
      <w:bookmarkStart w:name="_Hlk75758868" w:id="11"/>
      <w:bookmarkStart w:name="_Hlk75741220" w:id="12"/>
      <w:bookmarkEnd w:id="10"/>
      <w:r w:rsidRPr="0051586B">
        <w:rPr>
          <w:rFonts w:ascii="Arial" w:hAnsi="Arial" w:cs="Arial" w:eastAsiaTheme="minorHAnsi"/>
          <w:szCs w:val="22"/>
          <w:vertAlign w:val="superscript"/>
          <w:lang w:val="es-MX" w:eastAsia="en-US"/>
        </w:rPr>
        <w:footnoteReference w:id="20"/>
      </w:r>
      <w:bookmarkEnd w:id="11"/>
      <w:bookmarkEnd w:id="12"/>
      <w:r w:rsidRPr="0051586B">
        <w:rPr>
          <w:rFonts w:ascii="Arial" w:hAnsi="Arial" w:cs="Arial" w:eastAsiaTheme="minorHAnsi"/>
          <w:bCs/>
          <w:sz w:val="22"/>
          <w:szCs w:val="22"/>
          <w:lang w:val="es-MX" w:eastAsia="x-none"/>
        </w:rPr>
        <w:t>.</w:t>
      </w:r>
      <w:r w:rsidRPr="0051586B">
        <w:rPr>
          <w:rFonts w:ascii="Arial" w:hAnsi="Arial" w:cs="Arial" w:eastAsiaTheme="minorHAnsi"/>
          <w:sz w:val="22"/>
          <w:szCs w:val="22"/>
          <w:lang w:val="es-MX" w:eastAsia="en-US"/>
        </w:rPr>
        <w:t xml:space="preserve"> Sin embargo, debe precisarse el siguiente aspecto que distinguió la Sala de Consulta y Servicio Civil:</w:t>
      </w:r>
    </w:p>
    <w:p w:rsidRPr="0051586B" w:rsidR="00F96DA4" w:rsidP="00F96DA4" w:rsidRDefault="00F96DA4" w14:paraId="02B5ECDB" w14:textId="77777777">
      <w:pPr>
        <w:spacing w:line="276" w:lineRule="auto"/>
        <w:jc w:val="both"/>
        <w:rPr>
          <w:rFonts w:ascii="Arial" w:hAnsi="Arial" w:cs="Arial" w:eastAsiaTheme="minorHAnsi"/>
          <w:sz w:val="22"/>
          <w:szCs w:val="22"/>
          <w:lang w:val="es-MX" w:eastAsia="en-US"/>
        </w:rPr>
      </w:pPr>
    </w:p>
    <w:p w:rsidRPr="0051586B" w:rsidR="00F96DA4" w:rsidP="00F96DA4" w:rsidRDefault="00F96DA4" w14:paraId="184C45AF" w14:textId="77777777">
      <w:pPr>
        <w:ind w:left="708" w:right="709"/>
        <w:jc w:val="both"/>
        <w:rPr>
          <w:rFonts w:ascii="Arial" w:hAnsi="Arial" w:cs="Arial" w:eastAsiaTheme="minorHAnsi"/>
          <w:sz w:val="21"/>
          <w:szCs w:val="21"/>
          <w:lang w:val="es-MX" w:eastAsia="en-US"/>
        </w:rPr>
      </w:pPr>
      <w:bookmarkStart w:name="_Hlk75811446" w:id="14"/>
      <w:r w:rsidRPr="0051586B">
        <w:rPr>
          <w:rFonts w:ascii="Arial" w:hAnsi="Arial" w:eastAsia="Calibri" w:cs="Arial"/>
          <w:sz w:val="21"/>
          <w:szCs w:val="21"/>
          <w:lang w:val="es-ES" w:eastAsia="en-US"/>
        </w:rPr>
        <w:t>«</w:t>
      </w:r>
      <w:r w:rsidRPr="0051586B">
        <w:rPr>
          <w:rFonts w:ascii="Arial" w:hAnsi="Arial" w:cs="Arial" w:eastAsiaTheme="minorHAnsi"/>
          <w:sz w:val="21"/>
          <w:szCs w:val="21"/>
          <w:lang w:val="es-MX" w:eastAsia="en-US"/>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bookmarkEnd w:id="14"/>
      <w:r w:rsidRPr="0051586B">
        <w:rPr>
          <w:rFonts w:ascii="Arial" w:hAnsi="Arial" w:cs="Arial" w:eastAsiaTheme="minorHAnsi"/>
          <w:sz w:val="21"/>
          <w:szCs w:val="21"/>
          <w:lang w:val="es-MX" w:eastAsia="en-US"/>
        </w:rPr>
        <w:t>.</w:t>
      </w:r>
      <w:r w:rsidRPr="0051586B">
        <w:rPr>
          <w:rFonts w:ascii="Arial" w:hAnsi="Arial" w:cs="Arial" w:eastAsiaTheme="minorHAnsi"/>
          <w:sz w:val="21"/>
          <w:szCs w:val="21"/>
          <w:lang w:val="es-ES" w:eastAsia="en-US"/>
        </w:rPr>
        <w:t>»</w:t>
      </w:r>
      <w:r w:rsidRPr="0051586B">
        <w:rPr>
          <w:rFonts w:ascii="Arial" w:hAnsi="Arial" w:cs="Arial" w:eastAsiaTheme="minorHAnsi"/>
          <w:szCs w:val="22"/>
          <w:vertAlign w:val="superscript"/>
          <w:lang w:val="es-MX" w:eastAsia="en-US"/>
        </w:rPr>
        <w:footnoteReference w:id="21"/>
      </w:r>
      <w:r w:rsidRPr="0051586B">
        <w:rPr>
          <w:rFonts w:ascii="Arial" w:hAnsi="Arial" w:cs="Arial" w:eastAsiaTheme="minorHAnsi"/>
          <w:sz w:val="21"/>
          <w:szCs w:val="21"/>
          <w:lang w:val="es-ES" w:eastAsia="en-US"/>
        </w:rPr>
        <w:t xml:space="preserve"> </w:t>
      </w:r>
    </w:p>
    <w:p w:rsidRPr="0051586B" w:rsidR="00F96DA4" w:rsidP="00F96DA4" w:rsidRDefault="00F96DA4" w14:paraId="4119FFED" w14:textId="77777777">
      <w:pPr>
        <w:spacing w:line="276" w:lineRule="auto"/>
        <w:jc w:val="both"/>
        <w:rPr>
          <w:rFonts w:ascii="Arial" w:hAnsi="Arial" w:cs="Arial" w:eastAsiaTheme="minorHAnsi"/>
          <w:sz w:val="22"/>
          <w:szCs w:val="22"/>
          <w:lang w:val="es-MX" w:eastAsia="en-US"/>
        </w:rPr>
      </w:pPr>
    </w:p>
    <w:p w:rsidRPr="0051586B" w:rsidR="00F96DA4" w:rsidP="00F96DA4" w:rsidRDefault="00F96DA4" w14:paraId="1D7BFE2B" w14:textId="77777777">
      <w:pPr>
        <w:spacing w:after="120" w:line="276" w:lineRule="auto"/>
        <w:ind w:firstLine="709"/>
        <w:jc w:val="both"/>
        <w:rPr>
          <w:rFonts w:ascii="Arial" w:hAnsi="Arial" w:cs="Arial" w:eastAsiaTheme="minorHAnsi"/>
          <w:bCs/>
          <w:sz w:val="22"/>
          <w:szCs w:val="22"/>
          <w:lang w:val="es-MX" w:eastAsia="x-none"/>
        </w:rPr>
      </w:pPr>
      <w:r w:rsidRPr="0051586B">
        <w:rPr>
          <w:rFonts w:ascii="Arial" w:hAnsi="Arial" w:cs="Arial" w:eastAsiaTheme="minorHAnsi"/>
          <w:sz w:val="22"/>
          <w:szCs w:val="22"/>
          <w:lang w:val="es-MX" w:eastAsia="en-US"/>
        </w:rPr>
        <w:t>Aplicando este razonamiento,</w:t>
      </w:r>
      <w:bookmarkStart w:name="_Hlk75811096" w:id="15"/>
      <w:r w:rsidRPr="0051586B">
        <w:rPr>
          <w:rFonts w:ascii="Arial" w:hAnsi="Arial" w:cs="Arial" w:eastAsiaTheme="minorHAnsi"/>
          <w:sz w:val="22"/>
          <w:szCs w:val="22"/>
          <w:lang w:val="es-MX" w:eastAsia="en-US"/>
        </w:rPr>
        <w:t xml:space="preserve">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bookmarkEnd w:id="15"/>
      <w:r w:rsidRPr="0051586B">
        <w:rPr>
          <w:rFonts w:ascii="Arial" w:hAnsi="Arial" w:cs="Arial" w:eastAsiaTheme="minorHAnsi"/>
          <w:sz w:val="22"/>
          <w:szCs w:val="22"/>
          <w:lang w:val="es-MX" w:eastAsia="en-US"/>
        </w:rPr>
        <w:t>»</w:t>
      </w:r>
      <w:r w:rsidRPr="0051586B">
        <w:rPr>
          <w:rFonts w:ascii="Arial" w:hAnsi="Arial" w:cs="Arial" w:eastAsiaTheme="minorHAnsi"/>
          <w:szCs w:val="22"/>
          <w:vertAlign w:val="superscript"/>
          <w:lang w:val="es-MX" w:eastAsia="en-US"/>
        </w:rPr>
        <w:t xml:space="preserve"> </w:t>
      </w:r>
      <w:r w:rsidRPr="0051586B">
        <w:rPr>
          <w:rFonts w:ascii="Arial" w:hAnsi="Arial" w:cs="Arial" w:eastAsiaTheme="minorHAnsi"/>
          <w:sz w:val="22"/>
          <w:szCs w:val="22"/>
          <w:vertAlign w:val="superscript"/>
          <w:lang w:val="es-MX" w:eastAsia="en-US"/>
        </w:rPr>
        <w:footnoteReference w:id="22"/>
      </w:r>
      <w:r w:rsidRPr="0051586B">
        <w:rPr>
          <w:rFonts w:ascii="Arial" w:hAnsi="Arial" w:cs="Arial" w:eastAsiaTheme="minorHAnsi"/>
          <w:sz w:val="22"/>
          <w:szCs w:val="22"/>
          <w:lang w:val="es-MX" w:eastAsia="en-US"/>
        </w:rPr>
        <w:t>.</w:t>
      </w:r>
    </w:p>
    <w:bookmarkEnd w:id="9"/>
    <w:p w:rsidRPr="0051586B" w:rsidR="00F96DA4" w:rsidP="00F96DA4" w:rsidRDefault="00F96DA4" w14:paraId="38D26DA5" w14:textId="77777777">
      <w:pPr>
        <w:spacing w:before="120" w:line="276" w:lineRule="auto"/>
        <w:ind w:firstLine="708"/>
        <w:jc w:val="both"/>
        <w:rPr>
          <w:rFonts w:ascii="Arial" w:hAnsi="Arial" w:eastAsia="Arial" w:cs="Arial"/>
          <w:sz w:val="22"/>
          <w:szCs w:val="22"/>
          <w:lang w:val="es-ES" w:eastAsia="es-ES" w:bidi="es-ES"/>
        </w:rPr>
      </w:pPr>
      <w:r w:rsidRPr="0051586B">
        <w:rPr>
          <w:rFonts w:ascii="Arial" w:hAnsi="Arial" w:cs="Arial" w:eastAsiaTheme="minorHAnsi"/>
          <w:sz w:val="22"/>
          <w:szCs w:val="22"/>
          <w:lang w:val="es-MX" w:eastAsia="en-US"/>
        </w:rPr>
        <w:t xml:space="preserve">Por lo tanto, la restricción prevista en la Ley 996 de 2005, </w:t>
      </w:r>
      <w:bookmarkStart w:name="_Hlk95735475" w:id="16"/>
      <w:r w:rsidRPr="0051586B">
        <w:rPr>
          <w:rFonts w:ascii="Arial" w:hAnsi="Arial" w:cs="Arial" w:eastAsiaTheme="minorHAnsi"/>
          <w:bCs/>
          <w:sz w:val="22"/>
          <w:szCs w:val="22"/>
          <w:lang w:val="es-MX" w:eastAsia="x-none"/>
        </w:rPr>
        <w:t xml:space="preserve">teniendo en cuenta la finalidad de la ley de garantías electorales, cobija a cualquier ente público que pueda a través de la contratación directa romper el equilibrio entre los candidatos en desarrollo de las elecciones presidenciales. </w:t>
      </w:r>
      <w:bookmarkEnd w:id="16"/>
      <w:r w:rsidRPr="0051586B">
        <w:rPr>
          <w:rFonts w:ascii="Arial" w:hAnsi="Arial" w:cs="Arial" w:eastAsiaTheme="minorHAnsi"/>
          <w:bCs/>
          <w:sz w:val="22"/>
          <w:szCs w:val="22"/>
          <w:lang w:val="es-MX" w:eastAsia="x-none"/>
        </w:rPr>
        <w:t>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rsidRPr="0051586B" w:rsidR="00F96DA4" w:rsidP="00F96DA4" w:rsidRDefault="00F96DA4" w14:paraId="7BC52B5A" w14:textId="77777777">
      <w:pPr>
        <w:ind w:left="720"/>
        <w:contextualSpacing/>
        <w:rPr>
          <w:rFonts w:ascii="Arial" w:hAnsi="Arial" w:cs="Arial"/>
          <w:b/>
          <w:sz w:val="22"/>
          <w:lang w:val="es-ES_tradnl" w:eastAsia="en-US"/>
        </w:rPr>
      </w:pPr>
    </w:p>
    <w:p w:rsidR="00F96DA4" w:rsidP="00F96DA4" w:rsidRDefault="00F96DA4" w14:paraId="561D28C9" w14:textId="77777777">
      <w:pPr>
        <w:spacing w:after="200" w:line="276" w:lineRule="auto"/>
        <w:contextualSpacing/>
        <w:jc w:val="both"/>
        <w:rPr>
          <w:rFonts w:ascii="Arial" w:hAnsi="Arial" w:cs="Arial" w:eastAsiaTheme="minorHAnsi"/>
          <w:b/>
          <w:bCs/>
          <w:sz w:val="22"/>
          <w:szCs w:val="22"/>
          <w:lang w:val="es-MX" w:eastAsia="es-CO"/>
        </w:rPr>
      </w:pPr>
      <w:bookmarkStart w:name="_Hlk77153296" w:id="17"/>
      <w:r>
        <w:rPr>
          <w:rFonts w:ascii="Arial" w:hAnsi="Arial" w:cs="Arial" w:eastAsiaTheme="minorHAnsi"/>
          <w:b/>
          <w:bCs/>
          <w:sz w:val="22"/>
          <w:szCs w:val="22"/>
          <w:lang w:val="es-MX" w:eastAsia="es-CO"/>
        </w:rPr>
        <w:t xml:space="preserve">2.4. </w:t>
      </w:r>
      <w:r w:rsidRPr="0051586B">
        <w:rPr>
          <w:rFonts w:ascii="Arial" w:hAnsi="Arial" w:cs="Arial" w:eastAsiaTheme="minorHAnsi"/>
          <w:b/>
          <w:bCs/>
          <w:sz w:val="22"/>
          <w:szCs w:val="22"/>
          <w:lang w:val="es-MX" w:eastAsia="es-CO"/>
        </w:rPr>
        <w:t xml:space="preserve">Restricciones </w:t>
      </w:r>
      <w:bookmarkStart w:name="_Hlk75643279" w:id="18"/>
      <w:r w:rsidRPr="0051586B">
        <w:rPr>
          <w:rFonts w:ascii="Arial" w:hAnsi="Arial" w:cs="Arial" w:eastAsiaTheme="minorHAnsi"/>
          <w:b/>
          <w:bCs/>
          <w:sz w:val="22"/>
          <w:szCs w:val="22"/>
          <w:lang w:val="es-MX" w:eastAsia="es-CO"/>
        </w:rPr>
        <w:t>para la celebración de contratos y convenios interadministrativos en los comicios de cargos de elección popular</w:t>
      </w:r>
      <w:r>
        <w:rPr>
          <w:rFonts w:ascii="Arial" w:hAnsi="Arial" w:cs="Arial" w:eastAsiaTheme="minorHAnsi"/>
          <w:b/>
          <w:bCs/>
          <w:sz w:val="22"/>
          <w:szCs w:val="22"/>
          <w:lang w:val="es-MX" w:eastAsia="es-CO"/>
        </w:rPr>
        <w:t xml:space="preserve">. </w:t>
      </w:r>
    </w:p>
    <w:p w:rsidRPr="0051586B" w:rsidR="00F96DA4" w:rsidP="00F96DA4" w:rsidRDefault="00F96DA4" w14:paraId="37B2820F" w14:textId="77777777">
      <w:pPr>
        <w:spacing w:after="200" w:line="276" w:lineRule="auto"/>
        <w:contextualSpacing/>
        <w:jc w:val="both"/>
        <w:rPr>
          <w:rFonts w:ascii="Arial" w:hAnsi="Arial" w:cs="Arial" w:eastAsiaTheme="minorHAnsi"/>
          <w:b/>
          <w:bCs/>
          <w:sz w:val="22"/>
          <w:szCs w:val="22"/>
          <w:lang w:val="es-MX" w:eastAsia="en-US"/>
        </w:rPr>
      </w:pPr>
    </w:p>
    <w:bookmarkEnd w:id="17"/>
    <w:bookmarkEnd w:id="18"/>
    <w:p w:rsidRPr="0051586B" w:rsidR="00F96DA4" w:rsidP="00F96DA4" w:rsidRDefault="00F96DA4" w14:paraId="56344786" w14:textId="77777777">
      <w:pPr>
        <w:tabs>
          <w:tab w:val="left" w:pos="426"/>
        </w:tabs>
        <w:spacing w:after="120" w:line="276" w:lineRule="auto"/>
        <w:jc w:val="both"/>
        <w:rPr>
          <w:rFonts w:ascii="Arial" w:hAnsi="Arial" w:eastAsia="Calibri" w:cs="Arial"/>
          <w:bCs/>
          <w:sz w:val="22"/>
          <w:szCs w:val="22"/>
          <w:lang w:eastAsia="en-US"/>
        </w:rPr>
      </w:pPr>
      <w:r w:rsidRPr="0051586B">
        <w:rPr>
          <w:rFonts w:ascii="Arial" w:hAnsi="Arial" w:eastAsia="Calibri" w:cs="Arial"/>
          <w:bCs/>
          <w:sz w:val="22"/>
          <w:szCs w:val="22"/>
          <w:lang w:eastAsia="en-US"/>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w:t>
      </w:r>
      <w:r w:rsidRPr="0051586B">
        <w:rPr>
          <w:rFonts w:ascii="Arial" w:hAnsi="Arial" w:cs="Arial" w:eastAsiaTheme="minorHAnsi"/>
          <w:bCs/>
          <w:iCs/>
          <w:sz w:val="22"/>
          <w:szCs w:val="22"/>
          <w:lang w:val="es-MX" w:eastAsia="x-none"/>
        </w:rPr>
        <w:t xml:space="preserve">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51586B">
        <w:rPr>
          <w:rFonts w:ascii="Arial" w:hAnsi="Arial" w:cs="Arial" w:eastAsiaTheme="minorHAnsi"/>
          <w:bCs/>
          <w:iCs/>
          <w:sz w:val="22"/>
          <w:szCs w:val="22"/>
          <w:vertAlign w:val="superscript"/>
          <w:lang w:val="es-MX" w:eastAsia="x-none"/>
        </w:rPr>
        <w:footnoteReference w:id="23"/>
      </w:r>
      <w:r w:rsidRPr="0051586B">
        <w:rPr>
          <w:rFonts w:ascii="Arial" w:hAnsi="Arial" w:cs="Arial" w:eastAsiaTheme="minorHAnsi"/>
          <w:bCs/>
          <w:iCs/>
          <w:sz w:val="22"/>
          <w:szCs w:val="22"/>
          <w:lang w:val="es-MX" w:eastAsia="x-none"/>
        </w:rPr>
        <w:t>.</w:t>
      </w:r>
      <w:r w:rsidRPr="0051586B">
        <w:rPr>
          <w:rFonts w:ascii="Arial" w:hAnsi="Arial" w:cs="Arial" w:eastAsiaTheme="minorHAnsi"/>
          <w:szCs w:val="22"/>
          <w:lang w:val="es-MX" w:eastAsia="en-US"/>
        </w:rPr>
        <w:t xml:space="preserve"> </w:t>
      </w:r>
    </w:p>
    <w:p w:rsidRPr="0051586B" w:rsidR="00F96DA4" w:rsidP="00F96DA4" w:rsidRDefault="00F96DA4" w14:paraId="2EA8C3DC" w14:textId="77777777">
      <w:pPr>
        <w:widowControl w:val="0"/>
        <w:autoSpaceDE w:val="0"/>
        <w:autoSpaceDN w:val="0"/>
        <w:spacing w:after="120" w:line="276" w:lineRule="auto"/>
        <w:ind w:firstLine="707"/>
        <w:jc w:val="both"/>
        <w:rPr>
          <w:rFonts w:ascii="Arial" w:hAnsi="Arial" w:eastAsia="Arial" w:cs="Arial"/>
          <w:sz w:val="22"/>
          <w:szCs w:val="22"/>
          <w:lang w:val="es-ES" w:eastAsia="es-ES" w:bidi="es-ES"/>
        </w:rPr>
      </w:pPr>
      <w:r w:rsidRPr="0051586B">
        <w:rPr>
          <w:rFonts w:ascii="Arial" w:hAnsi="Arial" w:eastAsia="Calibri" w:cs="Arial"/>
          <w:bCs/>
          <w:sz w:val="22"/>
          <w:szCs w:val="22"/>
          <w:lang w:eastAsia="es-ES" w:bidi="es-ES"/>
        </w:rPr>
        <w:t xml:space="preserve">Ahora bien, </w:t>
      </w:r>
      <w:bookmarkStart w:name="_Hlk78820161" w:id="19"/>
      <w:r w:rsidRPr="0051586B">
        <w:rPr>
          <w:rFonts w:ascii="Arial" w:hAnsi="Arial" w:eastAsia="Calibri" w:cs="Arial"/>
          <w:bCs/>
          <w:sz w:val="22"/>
          <w:szCs w:val="22"/>
          <w:lang w:eastAsia="es-ES" w:bidi="es-ES"/>
        </w:rPr>
        <w:t xml:space="preserve">para determinar el alcance de esta prohibición consagrada por la Ley de Garantías Electorales, conviene precisar la tipología de convenios o contratos interadministrativos. </w:t>
      </w:r>
      <w:r w:rsidRPr="0051586B">
        <w:rPr>
          <w:rFonts w:ascii="Arial" w:hAnsi="Arial" w:eastAsia="Arial" w:cs="Arial"/>
          <w:sz w:val="22"/>
          <w:szCs w:val="22"/>
          <w:lang w:val="es-ES" w:eastAsia="es-ES" w:bidi="es-ES"/>
        </w:rPr>
        <w:t>Aunque la ley no la definió ni desarrolló, el Decreto 1082 de 2015 califica a los convenios o contratos interadministrativos como aquella contratación entre entidades estatales</w:t>
      </w:r>
      <w:r w:rsidRPr="0051586B">
        <w:rPr>
          <w:rFonts w:ascii="Arial" w:hAnsi="Arial" w:eastAsia="Arial" w:cs="Arial"/>
          <w:sz w:val="22"/>
          <w:szCs w:val="22"/>
          <w:vertAlign w:val="superscript"/>
          <w:lang w:val="es-ES" w:eastAsia="es-ES" w:bidi="es-ES"/>
        </w:rPr>
        <w:footnoteReference w:id="24"/>
      </w:r>
      <w:r w:rsidRPr="0051586B">
        <w:rPr>
          <w:rFonts w:ascii="Arial" w:hAnsi="Arial" w:eastAsia="Arial" w:cs="Arial"/>
          <w:sz w:val="22"/>
          <w:szCs w:val="22"/>
          <w:lang w:val="es-ES" w:eastAsia="es-ES" w:bidi="es-ES"/>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w:t>
      </w:r>
      <w:r w:rsidRPr="0051586B">
        <w:rPr>
          <w:rFonts w:ascii="Arial" w:hAnsi="Arial" w:eastAsia="Arial" w:cs="Arial"/>
          <w:spacing w:val="-6"/>
          <w:sz w:val="22"/>
          <w:szCs w:val="22"/>
          <w:lang w:val="es-ES" w:eastAsia="es-ES" w:bidi="es-ES"/>
        </w:rPr>
        <w:t xml:space="preserve"> </w:t>
      </w:r>
      <w:r w:rsidRPr="0051586B">
        <w:rPr>
          <w:rFonts w:ascii="Arial" w:hAnsi="Arial" w:eastAsia="Arial" w:cs="Arial"/>
          <w:sz w:val="22"/>
          <w:szCs w:val="22"/>
          <w:lang w:val="es-ES" w:eastAsia="es-ES" w:bidi="es-ES"/>
        </w:rPr>
        <w:t>estatales.</w:t>
      </w:r>
    </w:p>
    <w:p w:rsidRPr="0051586B" w:rsidR="00F96DA4" w:rsidP="00F96DA4" w:rsidRDefault="00F96DA4" w14:paraId="1B6EA325" w14:textId="77777777">
      <w:pPr>
        <w:widowControl w:val="0"/>
        <w:autoSpaceDE w:val="0"/>
        <w:autoSpaceDN w:val="0"/>
        <w:spacing w:before="117" w:after="120" w:line="276" w:lineRule="auto"/>
        <w:ind w:firstLine="707"/>
        <w:jc w:val="both"/>
        <w:rPr>
          <w:rFonts w:ascii="Arial" w:hAnsi="Arial" w:eastAsia="Arial" w:cs="Arial"/>
          <w:sz w:val="22"/>
          <w:szCs w:val="22"/>
          <w:lang w:val="es-ES" w:eastAsia="es-ES" w:bidi="es-ES"/>
        </w:rPr>
      </w:pPr>
      <w:bookmarkStart w:name="_Hlk78820654" w:id="20"/>
      <w:bookmarkEnd w:id="19"/>
      <w:r w:rsidRPr="0051586B">
        <w:rPr>
          <w:rFonts w:ascii="Arial" w:hAnsi="Arial" w:eastAsia="Arial" w:cs="Arial"/>
          <w:sz w:val="22"/>
          <w:szCs w:val="22"/>
          <w:lang w:val="es-ES" w:eastAsia="es-ES" w:bidi="es-ES"/>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bookmarkEnd w:id="20"/>
    <w:p w:rsidRPr="0051586B" w:rsidR="00F96DA4" w:rsidP="00F96DA4" w:rsidRDefault="00F96DA4" w14:paraId="7E757C35" w14:textId="77777777">
      <w:pPr>
        <w:widowControl w:val="0"/>
        <w:autoSpaceDE w:val="0"/>
        <w:autoSpaceDN w:val="0"/>
        <w:spacing w:before="121" w:after="120" w:line="276" w:lineRule="auto"/>
        <w:ind w:firstLine="707"/>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Entonces, 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51586B">
        <w:rPr>
          <w:rFonts w:ascii="Arial" w:hAnsi="Arial" w:eastAsia="Arial" w:cs="Arial"/>
          <w:sz w:val="22"/>
          <w:szCs w:val="22"/>
          <w:vertAlign w:val="superscript"/>
          <w:lang w:val="es-ES" w:eastAsia="es-ES" w:bidi="es-ES"/>
        </w:rPr>
        <w:footnoteReference w:id="25"/>
      </w:r>
      <w:r w:rsidRPr="0051586B">
        <w:rPr>
          <w:rFonts w:ascii="Arial" w:hAnsi="Arial" w:eastAsia="Arial" w:cs="Arial"/>
          <w:sz w:val="22"/>
          <w:szCs w:val="22"/>
          <w:lang w:val="es-ES" w:eastAsia="es-ES" w:bidi="es-ES"/>
        </w:rPr>
        <w:t>. Nótese que, en este caso, lo que cambia es la modalidad de selección y no la naturaleza de contrato</w:t>
      </w:r>
      <w:r w:rsidRPr="0051586B">
        <w:rPr>
          <w:rFonts w:ascii="Arial" w:hAnsi="Arial" w:eastAsia="Arial" w:cs="Arial"/>
          <w:spacing w:val="-18"/>
          <w:sz w:val="22"/>
          <w:szCs w:val="22"/>
          <w:lang w:val="es-ES" w:eastAsia="es-ES" w:bidi="es-ES"/>
        </w:rPr>
        <w:t xml:space="preserve"> </w:t>
      </w:r>
      <w:r w:rsidRPr="0051586B">
        <w:rPr>
          <w:rFonts w:ascii="Arial" w:hAnsi="Arial" w:eastAsia="Arial" w:cs="Arial"/>
          <w:sz w:val="22"/>
          <w:szCs w:val="22"/>
          <w:lang w:val="es-ES" w:eastAsia="es-ES" w:bidi="es-ES"/>
        </w:rPr>
        <w:t>interadministrativo.</w:t>
      </w:r>
    </w:p>
    <w:p w:rsidRPr="0051586B" w:rsidR="00F96DA4" w:rsidP="00F96DA4" w:rsidRDefault="00F96DA4" w14:paraId="7C2AFF2D" w14:textId="77777777">
      <w:pPr>
        <w:widowControl w:val="0"/>
        <w:autoSpaceDE w:val="0"/>
        <w:autoSpaceDN w:val="0"/>
        <w:spacing w:before="114" w:line="276" w:lineRule="auto"/>
        <w:ind w:firstLine="707"/>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La Corte Constitucional expresó</w:t>
      </w:r>
      <w:r>
        <w:rPr>
          <w:rFonts w:ascii="Arial" w:hAnsi="Arial" w:eastAsia="Arial" w:cs="Arial"/>
          <w:sz w:val="22"/>
          <w:szCs w:val="22"/>
          <w:lang w:val="es-ES" w:eastAsia="es-ES" w:bidi="es-ES"/>
        </w:rPr>
        <w:t>,</w:t>
      </w:r>
      <w:r w:rsidRPr="0051586B">
        <w:rPr>
          <w:rFonts w:ascii="Arial" w:hAnsi="Arial" w:eastAsia="Arial" w:cs="Arial"/>
          <w:sz w:val="22"/>
          <w:szCs w:val="22"/>
          <w:lang w:val="es-ES" w:eastAsia="es-ES" w:bidi="es-ES"/>
        </w:rPr>
        <w:t xml:space="preserve"> en la Sentencia C–671 de 2015</w:t>
      </w:r>
      <w:r>
        <w:rPr>
          <w:rFonts w:ascii="Arial" w:hAnsi="Arial" w:eastAsia="Arial" w:cs="Arial"/>
          <w:sz w:val="22"/>
          <w:szCs w:val="22"/>
          <w:lang w:val="es-ES" w:eastAsia="es-ES" w:bidi="es-ES"/>
        </w:rPr>
        <w:t>,</w:t>
      </w:r>
      <w:r w:rsidRPr="0051586B">
        <w:rPr>
          <w:rFonts w:ascii="Arial" w:hAnsi="Arial" w:eastAsia="Arial" w:cs="Arial"/>
          <w:sz w:val="22"/>
          <w:szCs w:val="22"/>
          <w:lang w:val="es-ES" w:eastAsia="es-ES" w:bidi="es-ES"/>
        </w:rPr>
        <w:t xml:space="preserve">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w:t>
      </w:r>
      <w:r w:rsidRPr="0051586B">
        <w:rPr>
          <w:rFonts w:ascii="Arial" w:hAnsi="Arial" w:eastAsia="Arial" w:cs="Arial"/>
          <w:spacing w:val="-13"/>
          <w:sz w:val="22"/>
          <w:szCs w:val="22"/>
          <w:lang w:val="es-ES" w:eastAsia="es-ES" w:bidi="es-ES"/>
        </w:rPr>
        <w:t xml:space="preserve"> </w:t>
      </w:r>
      <w:r w:rsidRPr="0051586B">
        <w:rPr>
          <w:rFonts w:ascii="Arial" w:hAnsi="Arial" w:eastAsia="Arial" w:cs="Arial"/>
          <w:sz w:val="22"/>
          <w:szCs w:val="22"/>
          <w:lang w:val="es-ES" w:eastAsia="es-ES" w:bidi="es-ES"/>
        </w:rPr>
        <w:t>que:</w:t>
      </w:r>
    </w:p>
    <w:p w:rsidRPr="0051586B" w:rsidR="00F96DA4" w:rsidP="00F96DA4" w:rsidRDefault="00F96DA4" w14:paraId="188C605B" w14:textId="77777777">
      <w:pPr>
        <w:widowControl w:val="0"/>
        <w:autoSpaceDE w:val="0"/>
        <w:autoSpaceDN w:val="0"/>
        <w:spacing w:line="276" w:lineRule="auto"/>
        <w:ind w:firstLine="707"/>
        <w:jc w:val="both"/>
        <w:rPr>
          <w:rFonts w:ascii="Arial" w:hAnsi="Arial" w:eastAsia="Arial" w:cs="Arial"/>
          <w:sz w:val="22"/>
          <w:szCs w:val="22"/>
          <w:lang w:val="es-ES" w:eastAsia="es-ES" w:bidi="es-ES"/>
        </w:rPr>
      </w:pPr>
    </w:p>
    <w:p w:rsidRPr="0051586B" w:rsidR="00F96DA4" w:rsidP="00F96DA4" w:rsidRDefault="00F96DA4" w14:paraId="5C59320A" w14:textId="77777777">
      <w:pPr>
        <w:ind w:left="709" w:right="709"/>
        <w:jc w:val="both"/>
        <w:rPr>
          <w:rFonts w:ascii="Arial" w:hAnsi="Arial" w:cs="Arial" w:eastAsiaTheme="minorHAnsi"/>
          <w:sz w:val="21"/>
          <w:szCs w:val="22"/>
          <w:lang w:val="es-MX" w:eastAsia="en-US"/>
        </w:rPr>
      </w:pPr>
      <w:r w:rsidRPr="0051586B">
        <w:rPr>
          <w:rFonts w:ascii="Arial" w:hAnsi="Arial" w:eastAsia="Calibri" w:cs="Arial"/>
          <w:sz w:val="21"/>
          <w:szCs w:val="21"/>
          <w:lang w:val="es-ES" w:eastAsia="en-US"/>
        </w:rPr>
        <w:t>«</w:t>
      </w:r>
      <w:r w:rsidRPr="0051586B">
        <w:rPr>
          <w:rFonts w:ascii="Arial" w:hAnsi="Arial" w:cs="Arial" w:eastAsiaTheme="minorHAnsi"/>
          <w:sz w:val="21"/>
          <w:szCs w:val="22"/>
          <w:lang w:val="es-MX" w:eastAsia="en-US"/>
        </w:rPr>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51586B">
        <w:rPr>
          <w:rFonts w:ascii="Arial" w:hAnsi="Arial" w:cs="Arial" w:eastAsiaTheme="minorHAnsi"/>
          <w:sz w:val="21"/>
          <w:szCs w:val="21"/>
          <w:lang w:val="es-ES" w:eastAsia="en-US"/>
        </w:rPr>
        <w:t>»</w:t>
      </w:r>
      <w:r w:rsidRPr="0051586B">
        <w:rPr>
          <w:rFonts w:ascii="Arial" w:hAnsi="Arial" w:cs="Arial" w:eastAsiaTheme="minorHAnsi"/>
          <w:sz w:val="21"/>
          <w:szCs w:val="22"/>
          <w:vertAlign w:val="superscript"/>
          <w:lang w:val="es-MX" w:eastAsia="en-US"/>
        </w:rPr>
        <w:footnoteReference w:id="26"/>
      </w:r>
    </w:p>
    <w:p w:rsidRPr="0051586B" w:rsidR="00F96DA4" w:rsidP="00F96DA4" w:rsidRDefault="00F96DA4" w14:paraId="64E17F33" w14:textId="77777777">
      <w:pPr>
        <w:spacing w:line="276" w:lineRule="auto"/>
        <w:ind w:left="709" w:right="709"/>
        <w:jc w:val="both"/>
        <w:rPr>
          <w:rFonts w:asciiTheme="minorHAnsi" w:hAnsiTheme="minorHAnsi" w:eastAsiaTheme="minorHAnsi" w:cstheme="minorBidi"/>
          <w:sz w:val="22"/>
          <w:szCs w:val="22"/>
          <w:lang w:val="es-MX" w:eastAsia="en-US"/>
        </w:rPr>
      </w:pPr>
    </w:p>
    <w:p w:rsidRPr="0051586B" w:rsidR="00F96DA4" w:rsidP="00F96DA4" w:rsidRDefault="00F96DA4" w14:paraId="39D9B200" w14:textId="77777777">
      <w:pPr>
        <w:widowControl w:val="0"/>
        <w:autoSpaceDE w:val="0"/>
        <w:autoSpaceDN w:val="0"/>
        <w:spacing w:after="120" w:line="276" w:lineRule="auto"/>
        <w:ind w:firstLine="707"/>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rsidRPr="0051586B" w:rsidR="00F96DA4" w:rsidP="00F96DA4" w:rsidRDefault="00F96DA4" w14:paraId="6F8E881B" w14:textId="77777777">
      <w:pPr>
        <w:widowControl w:val="0"/>
        <w:autoSpaceDE w:val="0"/>
        <w:autoSpaceDN w:val="0"/>
        <w:spacing w:before="119" w:after="120" w:line="276" w:lineRule="auto"/>
        <w:ind w:firstLine="707"/>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w:t>
      </w:r>
      <w:r w:rsidRPr="0051586B">
        <w:rPr>
          <w:rFonts w:ascii="Arial" w:hAnsi="Arial" w:eastAsia="Arial" w:cs="Arial"/>
          <w:spacing w:val="-3"/>
          <w:sz w:val="22"/>
          <w:szCs w:val="22"/>
          <w:lang w:val="es-ES" w:eastAsia="es-ES" w:bidi="es-ES"/>
        </w:rPr>
        <w:t xml:space="preserve"> </w:t>
      </w:r>
      <w:r w:rsidRPr="0051586B">
        <w:rPr>
          <w:rFonts w:ascii="Arial" w:hAnsi="Arial" w:eastAsia="Arial" w:cs="Arial"/>
          <w:sz w:val="22"/>
          <w:szCs w:val="22"/>
          <w:lang w:val="es-ES" w:eastAsia="es-ES" w:bidi="es-ES"/>
        </w:rPr>
        <w:t>estatales.</w:t>
      </w:r>
    </w:p>
    <w:p w:rsidRPr="0051586B" w:rsidR="00F96DA4" w:rsidP="00F96DA4" w:rsidRDefault="00F96DA4" w14:paraId="4A087968" w14:textId="77777777">
      <w:pPr>
        <w:widowControl w:val="0"/>
        <w:autoSpaceDE w:val="0"/>
        <w:autoSpaceDN w:val="0"/>
        <w:spacing w:before="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w:t>
      </w:r>
      <w:r w:rsidRPr="0051586B">
        <w:rPr>
          <w:rFonts w:ascii="Arial" w:hAnsi="Arial" w:eastAsia="Arial" w:cs="Arial"/>
          <w:spacing w:val="-4"/>
          <w:sz w:val="22"/>
          <w:szCs w:val="22"/>
          <w:lang w:val="es-ES" w:eastAsia="es-ES" w:bidi="es-ES"/>
        </w:rPr>
        <w:t xml:space="preserve"> </w:t>
      </w:r>
      <w:r w:rsidRPr="0051586B">
        <w:rPr>
          <w:rFonts w:ascii="Arial" w:hAnsi="Arial" w:eastAsia="Arial" w:cs="Arial"/>
          <w:sz w:val="22"/>
          <w:szCs w:val="22"/>
          <w:lang w:val="es-ES" w:eastAsia="es-ES" w:bidi="es-ES"/>
        </w:rPr>
        <w:t>estatales.</w:t>
      </w:r>
    </w:p>
    <w:p w:rsidRPr="0051586B" w:rsidR="00F96DA4" w:rsidP="00F96DA4" w:rsidRDefault="00F96DA4" w14:paraId="42265F86" w14:textId="77777777">
      <w:pPr>
        <w:widowControl w:val="0"/>
        <w:autoSpaceDE w:val="0"/>
        <w:autoSpaceDN w:val="0"/>
        <w:spacing w:before="122" w:after="120" w:line="276" w:lineRule="auto"/>
        <w:ind w:firstLine="708"/>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rsidRPr="0051586B" w:rsidR="00F96DA4" w:rsidP="00F96DA4" w:rsidRDefault="00F96DA4" w14:paraId="552B823A" w14:textId="77777777">
      <w:pPr>
        <w:widowControl w:val="0"/>
        <w:autoSpaceDE w:val="0"/>
        <w:autoSpaceDN w:val="0"/>
        <w:spacing w:line="276" w:lineRule="auto"/>
        <w:ind w:firstLine="708"/>
        <w:jc w:val="both"/>
        <w:rPr>
          <w:rFonts w:ascii="Arial" w:hAnsi="Arial" w:eastAsia="Calibri" w:cs="Arial"/>
          <w:bCs/>
          <w:sz w:val="22"/>
          <w:szCs w:val="22"/>
          <w:lang w:eastAsia="es-ES" w:bidi="es-ES"/>
        </w:rPr>
      </w:pPr>
      <w:r w:rsidRPr="0051586B">
        <w:rPr>
          <w:rFonts w:ascii="Arial" w:hAnsi="Arial" w:eastAsia="Arial" w:cs="Arial"/>
          <w:sz w:val="22"/>
          <w:szCs w:val="22"/>
          <w:lang w:val="es-ES" w:eastAsia="es-ES" w:bidi="es-ES"/>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w:t>
      </w:r>
      <w:r w:rsidRPr="0051586B">
        <w:rPr>
          <w:rFonts w:ascii="Arial" w:hAnsi="Arial" w:eastAsia="Arial" w:cs="Arial"/>
          <w:spacing w:val="-4"/>
          <w:sz w:val="22"/>
          <w:szCs w:val="22"/>
          <w:lang w:val="es-ES" w:eastAsia="es-ES" w:bidi="es-ES"/>
        </w:rPr>
        <w:t xml:space="preserve"> </w:t>
      </w:r>
      <w:r w:rsidRPr="0051586B">
        <w:rPr>
          <w:rFonts w:ascii="Arial" w:hAnsi="Arial" w:eastAsia="Arial" w:cs="Arial"/>
          <w:sz w:val="22"/>
          <w:szCs w:val="22"/>
          <w:lang w:val="es-ES" w:eastAsia="es-ES" w:bidi="es-ES"/>
        </w:rPr>
        <w:t>[…]»</w:t>
      </w:r>
      <w:r w:rsidRPr="0051586B">
        <w:rPr>
          <w:rFonts w:ascii="Arial" w:hAnsi="Arial" w:eastAsia="Arial" w:cs="Arial"/>
          <w:sz w:val="22"/>
          <w:szCs w:val="22"/>
          <w:vertAlign w:val="superscript"/>
          <w:lang w:val="es-ES" w:eastAsia="es-ES" w:bidi="es-ES"/>
        </w:rPr>
        <w:footnoteReference w:id="27"/>
      </w:r>
      <w:r w:rsidRPr="0051586B">
        <w:rPr>
          <w:rFonts w:ascii="Arial" w:hAnsi="Arial" w:eastAsia="Arial" w:cs="Arial"/>
          <w:sz w:val="22"/>
          <w:szCs w:val="22"/>
          <w:lang w:val="es-ES" w:eastAsia="es-ES" w:bidi="es-ES"/>
        </w:rPr>
        <w:t>.</w:t>
      </w:r>
      <w:bookmarkStart w:name="_Hlk77171241" w:id="21"/>
    </w:p>
    <w:p w:rsidRPr="0051586B" w:rsidR="00F96DA4" w:rsidP="00F96DA4" w:rsidRDefault="00F96DA4" w14:paraId="012FD027" w14:textId="77777777">
      <w:pPr>
        <w:widowControl w:val="0"/>
        <w:autoSpaceDE w:val="0"/>
        <w:autoSpaceDN w:val="0"/>
        <w:spacing w:before="122" w:after="20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Sin perjuicio de lo anterior, vale la pena tener en cuenta que cierto sector de la doctrina y la jurisprudencia han establecido algunas diferencias o caracterización de los contratos interadministrativos frente a los convenios interadministrativos de que trata el artículo 95 de la Ley 489 de 1998. Por ejemplo, el Consejo de Estado sentencia del 14 de junio de 2019 expresó:</w:t>
      </w:r>
    </w:p>
    <w:p w:rsidRPr="0051586B" w:rsidR="00F96DA4" w:rsidP="00F96DA4" w:rsidRDefault="00F96DA4" w14:paraId="22511CEB" w14:textId="77777777">
      <w:pPr>
        <w:spacing w:after="120"/>
        <w:ind w:left="709" w:right="709"/>
        <w:jc w:val="both"/>
        <w:rPr>
          <w:rFonts w:ascii="Arial" w:hAnsi="Arial" w:cs="Arial" w:eastAsiaTheme="minorHAnsi"/>
          <w:sz w:val="21"/>
          <w:szCs w:val="21"/>
          <w:lang w:val="es-ES_tradnl" w:eastAsia="en-US"/>
        </w:rPr>
      </w:pPr>
      <w:r w:rsidRPr="0051586B">
        <w:rPr>
          <w:rFonts w:ascii="Arial" w:hAnsi="Arial" w:eastAsia="Calibri" w:cs="Arial"/>
          <w:sz w:val="21"/>
          <w:szCs w:val="21"/>
          <w:lang w:val="es-ES" w:eastAsia="en-US"/>
        </w:rPr>
        <w:t>«</w:t>
      </w:r>
      <w:r w:rsidRPr="0051586B">
        <w:rPr>
          <w:rFonts w:ascii="Arial" w:hAnsi="Arial" w:cs="Arial" w:eastAsiaTheme="minorHAnsi"/>
          <w:sz w:val="21"/>
          <w:szCs w:val="21"/>
          <w:lang w:val="es-ES_tradnl" w:eastAsia="en-US"/>
        </w:rPr>
        <w:t>La Sala de Consulta y Servicio Civil</w:t>
      </w:r>
      <w:r w:rsidRPr="0051586B">
        <w:rPr>
          <w:rFonts w:ascii="Arial" w:hAnsi="Arial" w:cs="Arial" w:eastAsiaTheme="minorHAnsi"/>
          <w:sz w:val="21"/>
          <w:szCs w:val="21"/>
          <w:vertAlign w:val="superscript"/>
          <w:lang w:val="es-ES_tradnl" w:eastAsia="en-US"/>
        </w:rPr>
        <w:footnoteReference w:id="28"/>
      </w:r>
      <w:r w:rsidRPr="0051586B">
        <w:rPr>
          <w:rFonts w:ascii="Arial" w:hAnsi="Arial" w:cs="Arial" w:eastAsiaTheme="minorHAnsi"/>
          <w:sz w:val="21"/>
          <w:szCs w:val="21"/>
          <w:lang w:val="es-ES_tradnl" w:eastAsia="en-US"/>
        </w:rPr>
        <w:t xml:space="preserve"> de esta Corporación se ha referido a los </w:t>
      </w:r>
      <w:r w:rsidRPr="0051586B">
        <w:rPr>
          <w:rFonts w:ascii="Arial" w:hAnsi="Arial" w:cs="Arial" w:eastAsiaTheme="minorHAnsi"/>
          <w:i/>
          <w:sz w:val="21"/>
          <w:szCs w:val="21"/>
          <w:lang w:val="es-ES_tradnl" w:eastAsia="en-US"/>
        </w:rPr>
        <w:t>“convenios interadministrativos”</w:t>
      </w:r>
      <w:r w:rsidRPr="0051586B">
        <w:rPr>
          <w:rFonts w:ascii="Arial" w:hAnsi="Arial" w:cs="Arial" w:eastAsiaTheme="minorHAnsi"/>
          <w:sz w:val="21"/>
          <w:szCs w:val="21"/>
          <w:lang w:val="es-ES_tradnl" w:eastAsia="en-US"/>
        </w:rPr>
        <w:t xml:space="preserve"> a los cuales alude el artículo 95 de la Ley 489 de 1998, calificándolos de </w:t>
      </w:r>
      <w:r w:rsidRPr="0051586B">
        <w:rPr>
          <w:rFonts w:ascii="Arial" w:hAnsi="Arial" w:cs="Arial" w:eastAsiaTheme="minorHAnsi"/>
          <w:i/>
          <w:sz w:val="21"/>
          <w:szCs w:val="21"/>
          <w:lang w:val="es-ES_tradnl" w:eastAsia="en-US"/>
        </w:rPr>
        <w:t xml:space="preserve">“puros” </w:t>
      </w:r>
      <w:r w:rsidRPr="0051586B">
        <w:rPr>
          <w:rFonts w:ascii="Arial" w:hAnsi="Arial" w:cs="Arial" w:eastAsiaTheme="minorHAnsi"/>
          <w:sz w:val="21"/>
          <w:szCs w:val="21"/>
          <w:lang w:val="es-ES_tradnl" w:eastAsia="en-US"/>
        </w:rPr>
        <w:t xml:space="preserve">y entendiendo que estos, además de perseguir la finalidad de cooperación antes indicada, no implican intereses contrapuestos ni tampoco se circunscriben a un </w:t>
      </w:r>
      <w:r w:rsidRPr="0051586B">
        <w:rPr>
          <w:rFonts w:ascii="Arial" w:hAnsi="Arial" w:cs="Arial" w:eastAsiaTheme="minorHAnsi"/>
          <w:i/>
          <w:sz w:val="21"/>
          <w:szCs w:val="21"/>
          <w:lang w:val="es-ES_tradnl" w:eastAsia="en-US"/>
        </w:rPr>
        <w:t>“intercambio patrimonial”</w:t>
      </w:r>
      <w:r w:rsidRPr="0051586B">
        <w:rPr>
          <w:rFonts w:ascii="Arial" w:hAnsi="Arial" w:cs="Arial" w:eastAsiaTheme="minorHAnsi"/>
          <w:sz w:val="21"/>
          <w:szCs w:val="21"/>
          <w:lang w:val="es-ES_tradnl" w:eastAsia="en-US"/>
        </w:rPr>
        <w:t>. Sin perjuicio de lo anterior, en otra oportunidad, la misma Sala</w:t>
      </w:r>
      <w:r w:rsidRPr="0051586B">
        <w:rPr>
          <w:rFonts w:ascii="Arial" w:hAnsi="Arial" w:cs="Arial" w:eastAsiaTheme="minorHAnsi"/>
          <w:sz w:val="21"/>
          <w:szCs w:val="21"/>
          <w:vertAlign w:val="superscript"/>
          <w:lang w:val="es-ES_tradnl" w:eastAsia="en-US"/>
        </w:rPr>
        <w:footnoteReference w:id="29"/>
      </w:r>
      <w:r w:rsidRPr="0051586B">
        <w:rPr>
          <w:rFonts w:ascii="Arial" w:hAnsi="Arial" w:cs="Arial" w:eastAsiaTheme="minorHAnsi"/>
          <w:sz w:val="21"/>
          <w:szCs w:val="21"/>
          <w:lang w:val="es-ES_tradnl" w:eastAsia="en-US"/>
        </w:rPr>
        <w:t xml:space="preserve"> había indicado que, si bien en dichos convenios no se daba un </w:t>
      </w:r>
      <w:r w:rsidRPr="0051586B">
        <w:rPr>
          <w:rFonts w:ascii="Arial" w:hAnsi="Arial" w:cs="Arial" w:eastAsiaTheme="minorHAnsi"/>
          <w:i/>
          <w:sz w:val="21"/>
          <w:szCs w:val="21"/>
          <w:lang w:val="es-ES_tradnl" w:eastAsia="en-US"/>
        </w:rPr>
        <w:t>“verdadero intercambio de bienes o servicios (contrato conmutativo)”</w:t>
      </w:r>
      <w:r w:rsidRPr="0051586B">
        <w:rPr>
          <w:rFonts w:ascii="Arial" w:hAnsi="Arial" w:cs="Arial" w:eastAsiaTheme="minorHAnsi"/>
          <w:sz w:val="21"/>
          <w:szCs w:val="21"/>
          <w:lang w:val="es-ES_tradnl" w:eastAsia="en-US"/>
        </w:rPr>
        <w:t>, ello no impedía que se conviniera una remuneración a cargo de alguna(s) entidad(es).</w:t>
      </w:r>
    </w:p>
    <w:p w:rsidRPr="0051586B" w:rsidR="00F96DA4" w:rsidP="00F96DA4" w:rsidRDefault="00F96DA4" w14:paraId="1CCF386B" w14:textId="77777777">
      <w:pPr>
        <w:widowControl w:val="0"/>
        <w:autoSpaceDE w:val="0"/>
        <w:autoSpaceDN w:val="0"/>
        <w:ind w:left="709" w:right="709"/>
        <w:jc w:val="both"/>
        <w:rPr>
          <w:rFonts w:ascii="Arial" w:hAnsi="Arial" w:eastAsia="Arial" w:cs="Arial"/>
          <w:sz w:val="21"/>
          <w:szCs w:val="21"/>
          <w:lang w:val="es-ES" w:eastAsia="es-ES" w:bidi="es-ES"/>
        </w:rPr>
      </w:pPr>
      <w:r w:rsidRPr="0051586B">
        <w:rPr>
          <w:rFonts w:ascii="Arial" w:hAnsi="Arial" w:eastAsia="Arial" w:cs="Arial"/>
          <w:sz w:val="21"/>
          <w:szCs w:val="21"/>
          <w:lang w:val="es-ES_tradnl" w:eastAsia="es-ES" w:bidi="es-ES"/>
        </w:rPr>
        <w:t xml:space="preserve">Lo expuesto evidencia que, en general, las interpretaciones en torno a los </w:t>
      </w:r>
      <w:r w:rsidRPr="0051586B">
        <w:rPr>
          <w:rFonts w:ascii="Arial" w:hAnsi="Arial" w:eastAsia="Arial" w:cs="Arial"/>
          <w:i/>
          <w:sz w:val="21"/>
          <w:szCs w:val="21"/>
          <w:lang w:val="es-ES_tradnl" w:eastAsia="es-ES" w:bidi="es-ES"/>
        </w:rPr>
        <w:t>“convenios interadministrativos”</w:t>
      </w:r>
      <w:r w:rsidRPr="0051586B">
        <w:rPr>
          <w:rFonts w:ascii="Arial" w:hAnsi="Arial" w:eastAsia="Arial" w:cs="Arial"/>
          <w:sz w:val="21"/>
          <w:szCs w:val="21"/>
          <w:lang w:val="es-ES_tradnl" w:eastAsia="es-ES" w:bidi="es-ES"/>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51586B">
        <w:rPr>
          <w:rFonts w:ascii="Arial" w:hAnsi="Arial" w:cs="Arial" w:eastAsiaTheme="minorHAnsi"/>
          <w:sz w:val="21"/>
          <w:szCs w:val="21"/>
          <w:lang w:val="es-ES" w:eastAsia="en-US"/>
        </w:rPr>
        <w:t>»</w:t>
      </w:r>
      <w:r w:rsidRPr="0051586B">
        <w:rPr>
          <w:rFonts w:ascii="Arial" w:hAnsi="Arial" w:eastAsia="Arial" w:cs="Arial"/>
          <w:sz w:val="21"/>
          <w:szCs w:val="21"/>
          <w:vertAlign w:val="superscript"/>
          <w:lang w:val="es-ES_tradnl" w:eastAsia="es-ES" w:bidi="es-ES"/>
        </w:rPr>
        <w:footnoteReference w:id="30"/>
      </w:r>
      <w:r w:rsidRPr="0051586B">
        <w:rPr>
          <w:rFonts w:ascii="Arial" w:hAnsi="Arial" w:cs="Arial" w:eastAsiaTheme="minorHAnsi"/>
          <w:sz w:val="21"/>
          <w:szCs w:val="21"/>
          <w:vertAlign w:val="superscript"/>
          <w:lang w:val="es-ES" w:eastAsia="en-US"/>
        </w:rPr>
        <w:t>-</w:t>
      </w:r>
      <w:r w:rsidRPr="0051586B">
        <w:rPr>
          <w:rFonts w:ascii="Arial" w:hAnsi="Arial" w:eastAsia="Arial" w:cs="Arial"/>
          <w:sz w:val="21"/>
          <w:szCs w:val="21"/>
          <w:vertAlign w:val="superscript"/>
          <w:lang w:val="es-ES_tradnl" w:eastAsia="es-ES" w:bidi="es-ES"/>
        </w:rPr>
        <w:footnoteReference w:id="31"/>
      </w:r>
    </w:p>
    <w:p w:rsidRPr="0051586B" w:rsidR="00F96DA4" w:rsidP="00F96DA4" w:rsidRDefault="00F96DA4" w14:paraId="54B42611" w14:textId="77777777">
      <w:pPr>
        <w:widowControl w:val="0"/>
        <w:autoSpaceDE w:val="0"/>
        <w:autoSpaceDN w:val="0"/>
        <w:spacing w:line="276" w:lineRule="auto"/>
        <w:jc w:val="both"/>
        <w:rPr>
          <w:rFonts w:ascii="Arial" w:hAnsi="Arial" w:eastAsia="Arial" w:cs="Arial"/>
          <w:sz w:val="22"/>
          <w:szCs w:val="22"/>
          <w:lang w:val="es-ES" w:eastAsia="es-ES" w:bidi="es-ES"/>
        </w:rPr>
      </w:pPr>
    </w:p>
    <w:p w:rsidRPr="0051586B" w:rsidR="00F96DA4" w:rsidP="00F96DA4" w:rsidRDefault="00F96DA4" w14:paraId="1E253D6C" w14:textId="77777777">
      <w:pPr>
        <w:widowControl w:val="0"/>
        <w:autoSpaceDE w:val="0"/>
        <w:autoSpaceDN w:val="0"/>
        <w:spacing w:after="120" w:line="276" w:lineRule="auto"/>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ab/>
      </w:r>
      <w:r w:rsidRPr="0051586B">
        <w:rPr>
          <w:rFonts w:ascii="Arial" w:hAnsi="Arial" w:eastAsia="Arial" w:cs="Arial"/>
          <w:color w:val="000000"/>
          <w:sz w:val="22"/>
          <w:szCs w:val="22"/>
          <w:lang w:eastAsia="en-US"/>
        </w:rPr>
        <w:t xml:space="preserve">Sin perjuicio de lo indicado, conviene reiterar que el ordenamiento jurídico en distintas disposiciones utiliza de forma indistinta </w:t>
      </w:r>
      <w:r w:rsidRPr="0051586B">
        <w:rPr>
          <w:rFonts w:ascii="Arial" w:hAnsi="Arial" w:eastAsia="Arial" w:cs="Arial"/>
          <w:sz w:val="22"/>
          <w:szCs w:val="22"/>
          <w:lang w:val="es-ES" w:eastAsia="es-ES" w:bidi="es-ES"/>
        </w:rPr>
        <w:t>los conceptos de contrato o convenio para referirse a la misma institución jurídica</w:t>
      </w:r>
      <w:r w:rsidRPr="0051586B">
        <w:rPr>
          <w:rFonts w:ascii="Arial" w:hAnsi="Arial" w:eastAsia="Arial" w:cs="Arial"/>
          <w:sz w:val="22"/>
          <w:szCs w:val="22"/>
          <w:vertAlign w:val="superscript"/>
          <w:lang w:val="es-ES" w:eastAsia="es-ES" w:bidi="es-ES"/>
        </w:rPr>
        <w:footnoteReference w:id="32"/>
      </w:r>
      <w:r w:rsidRPr="0051586B">
        <w:rPr>
          <w:rFonts w:ascii="Arial" w:hAnsi="Arial" w:eastAsia="Arial" w:cs="Arial"/>
          <w:sz w:val="22"/>
          <w:szCs w:val="22"/>
          <w:lang w:val="es-ES" w:eastAsia="es-ES" w:bidi="es-ES"/>
        </w:rPr>
        <w:t>. Incluso la Corte Constitucional explica la posibilidad de celebrar convenios interadministrativos de forma directa, con fundamento en la causal establecida en la Ley 1150 de 2007 respecto a los contratos interadministrativos</w:t>
      </w:r>
      <w:r w:rsidRPr="0051586B">
        <w:rPr>
          <w:rFonts w:ascii="Arial" w:hAnsi="Arial" w:eastAsia="Arial" w:cs="Arial"/>
          <w:sz w:val="22"/>
          <w:szCs w:val="22"/>
          <w:vertAlign w:val="superscript"/>
          <w:lang w:val="es-ES" w:eastAsia="es-ES" w:bidi="es-ES"/>
        </w:rPr>
        <w:footnoteReference w:id="33"/>
      </w:r>
      <w:r w:rsidRPr="0051586B">
        <w:rPr>
          <w:rFonts w:ascii="Arial" w:hAnsi="Arial" w:eastAsia="Arial" w:cs="Arial"/>
          <w:sz w:val="22"/>
          <w:szCs w:val="22"/>
          <w:lang w:val="es-ES" w:eastAsia="es-ES" w:bidi="es-ES"/>
        </w:rPr>
        <w:t>.</w:t>
      </w:r>
    </w:p>
    <w:p w:rsidRPr="0051586B" w:rsidR="00F96DA4" w:rsidP="00F96DA4" w:rsidRDefault="00F96DA4" w14:paraId="15B20EEF" w14:textId="77777777">
      <w:pPr>
        <w:widowControl w:val="0"/>
        <w:autoSpaceDE w:val="0"/>
        <w:autoSpaceDN w:val="0"/>
        <w:spacing w:line="276" w:lineRule="auto"/>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ab/>
      </w:r>
      <w:r w:rsidRPr="0051586B">
        <w:rPr>
          <w:rFonts w:ascii="Arial" w:hAnsi="Arial" w:eastAsia="Arial" w:cs="Arial"/>
          <w:sz w:val="22"/>
          <w:szCs w:val="22"/>
          <w:lang w:val="es-ES" w:eastAsia="es-ES" w:bidi="es-ES"/>
        </w:rPr>
        <w:t>En desarrollo de lo anterior, vale la pena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rsidRPr="0051586B" w:rsidR="00F96DA4" w:rsidP="00F96DA4" w:rsidRDefault="00F96DA4" w14:paraId="6AF3B13A" w14:textId="77777777">
      <w:pPr>
        <w:widowControl w:val="0"/>
        <w:autoSpaceDE w:val="0"/>
        <w:autoSpaceDN w:val="0"/>
        <w:spacing w:line="276" w:lineRule="auto"/>
        <w:jc w:val="both"/>
        <w:rPr>
          <w:rFonts w:ascii="Arial" w:hAnsi="Arial" w:eastAsia="Arial" w:cs="Arial"/>
          <w:sz w:val="22"/>
          <w:szCs w:val="22"/>
          <w:lang w:val="es-ES" w:eastAsia="es-ES" w:bidi="es-ES"/>
        </w:rPr>
      </w:pPr>
    </w:p>
    <w:p w:rsidRPr="0051586B" w:rsidR="00F96DA4" w:rsidP="00F96DA4" w:rsidRDefault="00F96DA4" w14:paraId="21E2E613" w14:textId="77777777">
      <w:pPr>
        <w:spacing w:after="120"/>
        <w:ind w:left="709" w:right="709"/>
        <w:jc w:val="both"/>
        <w:rPr>
          <w:rFonts w:ascii="Arial" w:hAnsi="Arial" w:cs="Arial" w:eastAsiaTheme="minorHAnsi"/>
          <w:sz w:val="21"/>
          <w:szCs w:val="21"/>
          <w:lang w:val="es-MX" w:eastAsia="en-US"/>
        </w:rPr>
      </w:pPr>
      <w:r w:rsidRPr="0051586B">
        <w:rPr>
          <w:rFonts w:ascii="Arial" w:hAnsi="Arial" w:eastAsia="Calibri" w:cs="Arial"/>
          <w:sz w:val="21"/>
          <w:szCs w:val="21"/>
          <w:lang w:val="es-ES" w:eastAsia="en-US"/>
        </w:rPr>
        <w:t>«</w:t>
      </w:r>
      <w:r w:rsidRPr="0051586B">
        <w:rPr>
          <w:rFonts w:ascii="Arial" w:hAnsi="Arial" w:cs="Arial" w:eastAsiaTheme="minorHAnsi"/>
          <w:sz w:val="21"/>
          <w:szCs w:val="21"/>
          <w:lang w:val="es-ES_tradnl" w:eastAsia="en-US"/>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w:t>
      </w:r>
      <w:r w:rsidRPr="0051586B">
        <w:rPr>
          <w:rFonts w:ascii="Arial" w:hAnsi="Arial" w:cs="Arial" w:eastAsiaTheme="minorHAnsi"/>
          <w:sz w:val="21"/>
          <w:szCs w:val="21"/>
          <w:lang w:val="es-MX" w:eastAsia="en-US"/>
        </w:rPr>
        <w:t xml:space="preserve">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rsidRPr="0051586B" w:rsidR="00F96DA4" w:rsidP="00F96DA4" w:rsidRDefault="00F96DA4" w14:paraId="18A11EE0" w14:textId="77777777">
      <w:pPr>
        <w:spacing w:after="120"/>
        <w:ind w:left="709" w:right="709"/>
        <w:jc w:val="both"/>
        <w:rPr>
          <w:rFonts w:ascii="Arial" w:hAnsi="Arial" w:cs="Arial" w:eastAsiaTheme="minorHAnsi"/>
          <w:sz w:val="21"/>
          <w:szCs w:val="21"/>
          <w:lang w:val="es-MX" w:eastAsia="en-US"/>
        </w:rPr>
      </w:pPr>
      <w:r w:rsidRPr="0051586B">
        <w:rPr>
          <w:rFonts w:ascii="Arial" w:hAnsi="Arial" w:cs="Arial" w:eastAsiaTheme="minorHAnsi"/>
          <w:sz w:val="21"/>
          <w:szCs w:val="21"/>
          <w:lang w:val="es-MX" w:eastAsia="en-US"/>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rsidRPr="0051586B" w:rsidR="00F96DA4" w:rsidP="00F96DA4" w:rsidRDefault="00F96DA4" w14:paraId="782A4526" w14:textId="77777777">
      <w:pPr>
        <w:ind w:left="709" w:right="709"/>
        <w:jc w:val="both"/>
        <w:rPr>
          <w:rFonts w:asciiTheme="minorHAnsi" w:hAnsiTheme="minorHAnsi" w:eastAsiaTheme="minorHAnsi" w:cstheme="minorBidi"/>
          <w:szCs w:val="22"/>
          <w:vertAlign w:val="superscript"/>
          <w:lang w:val="es-MX" w:eastAsia="en-US"/>
        </w:rPr>
      </w:pPr>
      <w:r w:rsidRPr="0051586B">
        <w:rPr>
          <w:rFonts w:ascii="Arial" w:hAnsi="Arial" w:cs="Arial" w:eastAsiaTheme="minorHAnsi"/>
          <w:sz w:val="21"/>
          <w:szCs w:val="21"/>
          <w:lang w:val="es-MX" w:eastAsia="en-US"/>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r w:rsidRPr="0051586B">
        <w:rPr>
          <w:rFonts w:ascii="Arial" w:hAnsi="Arial" w:cs="Arial" w:eastAsiaTheme="minorHAnsi"/>
          <w:sz w:val="21"/>
          <w:szCs w:val="21"/>
          <w:lang w:val="es-ES" w:eastAsia="en-US"/>
        </w:rPr>
        <w:t>»</w:t>
      </w:r>
    </w:p>
    <w:p w:rsidRPr="0051586B" w:rsidR="00F96DA4" w:rsidP="00F96DA4" w:rsidRDefault="00F96DA4" w14:paraId="08ABB17A" w14:textId="77777777">
      <w:pPr>
        <w:widowControl w:val="0"/>
        <w:autoSpaceDE w:val="0"/>
        <w:autoSpaceDN w:val="0"/>
        <w:spacing w:before="3" w:line="276" w:lineRule="auto"/>
        <w:jc w:val="both"/>
        <w:rPr>
          <w:rFonts w:ascii="Arial" w:hAnsi="Arial" w:eastAsia="Arial" w:cs="Arial"/>
          <w:sz w:val="25"/>
          <w:szCs w:val="22"/>
          <w:lang w:val="es-ES" w:eastAsia="es-ES" w:bidi="es-ES"/>
        </w:rPr>
      </w:pPr>
    </w:p>
    <w:p w:rsidRPr="0051586B" w:rsidR="00F96DA4" w:rsidP="00F96DA4" w:rsidRDefault="00F96DA4" w14:paraId="3DC453BC" w14:textId="77777777">
      <w:pPr>
        <w:widowControl w:val="0"/>
        <w:shd w:val="clear" w:color="auto" w:fill="FFFFFF" w:themeFill="background1"/>
        <w:autoSpaceDE w:val="0"/>
        <w:autoSpaceDN w:val="0"/>
        <w:spacing w:after="120" w:line="276" w:lineRule="auto"/>
        <w:jc w:val="both"/>
        <w:rPr>
          <w:rFonts w:ascii="Arial" w:hAnsi="Arial" w:eastAsia="Calibri" w:cs="Arial"/>
          <w:bCs/>
          <w:sz w:val="22"/>
          <w:szCs w:val="22"/>
          <w:lang w:eastAsia="es-ES" w:bidi="es-ES"/>
        </w:rPr>
      </w:pPr>
      <w:r w:rsidRPr="0051586B">
        <w:rPr>
          <w:rFonts w:ascii="Arial" w:hAnsi="Arial" w:eastAsia="Arial" w:cs="Arial"/>
          <w:sz w:val="25"/>
          <w:szCs w:val="22"/>
          <w:lang w:val="es-ES" w:eastAsia="es-ES" w:bidi="es-ES"/>
        </w:rPr>
        <w:tab/>
      </w:r>
      <w:r w:rsidRPr="0051586B">
        <w:rPr>
          <w:rFonts w:ascii="Arial" w:hAnsi="Arial" w:eastAsia="Arial" w:cs="Arial"/>
          <w:sz w:val="22"/>
          <w:szCs w:val="22"/>
          <w:lang w:val="es-ES" w:eastAsia="es-ES" w:bidi="es-ES"/>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asimilaron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bookmarkEnd w:id="21"/>
    </w:p>
    <w:p w:rsidRPr="0051586B" w:rsidR="00F96DA4" w:rsidP="00F96DA4" w:rsidRDefault="00F96DA4" w14:paraId="2FCD38E7" w14:textId="77777777">
      <w:pPr>
        <w:shd w:val="clear" w:color="auto" w:fill="FFFFFF" w:themeFill="background1"/>
        <w:tabs>
          <w:tab w:val="left" w:pos="426"/>
        </w:tabs>
        <w:spacing w:after="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4 meses anteriores a los comicios de cargos de elección popular. De esta manera, solo si una de las partes de la relación contractual es una entidad de aquellas descritas en el parágrafo ibidem, no se podrán celebrar tales convenios o contratos mientras rija la restricción del parágrafo indiciado, toda vez que la citada disposición hace referencia a dicha tipología contractual –contratos o convenios interadministrativos–, sin que el legislador hubiere contemplado excepción alguna frente a la modalidad de selección o naturaleza de su objeto. </w:t>
      </w:r>
    </w:p>
    <w:p w:rsidRPr="0051586B" w:rsidR="00F96DA4" w:rsidP="00F96DA4" w:rsidRDefault="00F96DA4" w14:paraId="6F0CB514" w14:textId="77777777">
      <w:pPr>
        <w:shd w:val="clear" w:color="auto" w:fill="FFFFFF" w:themeFill="background1"/>
        <w:tabs>
          <w:tab w:val="left" w:pos="426"/>
        </w:tabs>
        <w:spacing w:before="120" w:after="120" w:line="276" w:lineRule="auto"/>
        <w:ind w:firstLine="709"/>
        <w:jc w:val="both"/>
        <w:rPr>
          <w:rFonts w:ascii="Arial" w:hAnsi="Arial" w:eastAsia="Arial" w:cs="Arial"/>
          <w:sz w:val="22"/>
          <w:szCs w:val="22"/>
          <w:lang w:val="es-ES" w:eastAsia="es-ES" w:bidi="es-ES"/>
        </w:rPr>
      </w:pPr>
      <w:r w:rsidRPr="0051586B">
        <w:rPr>
          <w:rFonts w:ascii="Arial" w:hAnsi="Arial" w:eastAsia="Arial" w:cs="Arial"/>
          <w:sz w:val="22"/>
          <w:szCs w:val="22"/>
          <w:lang w:val="es-ES" w:eastAsia="es-ES" w:bidi="es-ES"/>
        </w:rPr>
        <w:t>Con todo, se reitera que el artículo 124 de la Ley 2159 de 2021, desde la expedición de dicha ley y durante la vigencia fiscal 2022, con el propósito de promover la reactivación económica y la generación de empleo en las regiones, introdujo una excepción a la prohibición contenida en el inciso 1 del parágrafo del artículo 38 de la Ley 966 de 2005, en virtud del cual, durante la vigencia 2022, la Nación podrá celebrar convenios interadministrativos con las entidades territoriales con el fin de ejecutar programas y proyectos correspondientes al Presupuesto General de la Nación.</w:t>
      </w:r>
    </w:p>
    <w:p w:rsidRPr="0051586B" w:rsidR="00F96DA4" w:rsidP="00F96DA4" w:rsidRDefault="00F96DA4" w14:paraId="558BC530" w14:textId="77777777">
      <w:pPr>
        <w:pStyle w:val="Sinespaciado"/>
        <w:rPr>
          <w:lang w:bidi="es-ES"/>
        </w:rPr>
      </w:pPr>
    </w:p>
    <w:p w:rsidRPr="0051586B" w:rsidR="00F96DA4" w:rsidP="00F96DA4" w:rsidRDefault="00F96DA4" w14:paraId="6E18A544" w14:textId="77777777">
      <w:pPr>
        <w:contextualSpacing/>
        <w:jc w:val="both"/>
        <w:rPr>
          <w:rFonts w:ascii="Arial" w:hAnsi="Arial" w:cs="Arial"/>
          <w:b/>
          <w:sz w:val="22"/>
          <w:lang w:val="es-ES_tradnl" w:eastAsia="en-US"/>
        </w:rPr>
      </w:pPr>
      <w:r>
        <w:rPr>
          <w:rFonts w:ascii="Arial" w:hAnsi="Arial" w:cs="Arial" w:eastAsiaTheme="minorHAnsi"/>
          <w:b/>
          <w:sz w:val="22"/>
          <w:lang w:val="es-ES_tradnl" w:eastAsia="en-US"/>
        </w:rPr>
        <w:t>2.5.</w:t>
      </w:r>
      <w:r w:rsidRPr="0051586B">
        <w:rPr>
          <w:rFonts w:ascii="Arial" w:hAnsi="Arial" w:cs="Arial" w:eastAsiaTheme="minorHAnsi"/>
          <w:b/>
          <w:sz w:val="22"/>
          <w:lang w:val="es-ES_tradnl" w:eastAsia="en-US"/>
        </w:rPr>
        <w:t xml:space="preserve"> Naturaleza jurídica de los convenios de asociación del artículo 355 de la Constitución Política</w:t>
      </w:r>
    </w:p>
    <w:p w:rsidRPr="0051586B" w:rsidR="00F96DA4" w:rsidP="00F96DA4" w:rsidRDefault="00F96DA4" w14:paraId="428911F2" w14:textId="77777777">
      <w:pPr>
        <w:jc w:val="both"/>
        <w:textAlignment w:val="baseline"/>
        <w:rPr>
          <w:rFonts w:ascii="Arial" w:hAnsi="Arial" w:cs="Arial" w:eastAsiaTheme="minorHAnsi"/>
          <w:sz w:val="22"/>
          <w:lang w:val="es-ES_tradnl" w:eastAsia="es-ES_tradnl"/>
        </w:rPr>
      </w:pPr>
    </w:p>
    <w:p w:rsidRPr="0051586B" w:rsidR="00F96DA4" w:rsidP="00F96DA4" w:rsidRDefault="00F96DA4" w14:paraId="1F824EA7" w14:textId="77777777">
      <w:pPr>
        <w:spacing w:line="276" w:lineRule="auto"/>
        <w:jc w:val="both"/>
        <w:textAlignment w:val="baseline"/>
        <w:rPr>
          <w:rFonts w:ascii="Arial" w:hAnsi="Arial" w:cs="Arial" w:eastAsiaTheme="minorHAnsi"/>
          <w:sz w:val="22"/>
          <w:lang w:val="es-ES_tradnl" w:eastAsia="es-ES_tradnl"/>
        </w:rPr>
      </w:pPr>
      <w:r w:rsidRPr="0051586B">
        <w:rPr>
          <w:rFonts w:ascii="Arial" w:hAnsi="Arial" w:cs="Arial" w:eastAsiaTheme="minorHAnsi"/>
          <w:sz w:val="22"/>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51586B">
        <w:rPr>
          <w:rFonts w:ascii="Arial" w:hAnsi="Arial" w:cs="Arial" w:eastAsiaTheme="minorHAnsi"/>
          <w:sz w:val="22"/>
          <w:vertAlign w:val="superscript"/>
          <w:lang w:val="es-ES_tradnl" w:eastAsia="es-ES_tradnl"/>
        </w:rPr>
        <w:footnoteReference w:id="34"/>
      </w:r>
      <w:r w:rsidRPr="0051586B">
        <w:rPr>
          <w:rFonts w:ascii="Arial" w:hAnsi="Arial" w:cs="Arial" w:eastAsiaTheme="minorHAnsi"/>
          <w:sz w:val="22"/>
          <w:lang w:val="es-ES_tradnl" w:eastAsia="es-ES_tradnl"/>
        </w:rPr>
        <w:t>. </w:t>
      </w:r>
    </w:p>
    <w:p w:rsidRPr="0051586B" w:rsidR="00F96DA4" w:rsidP="00F96DA4" w:rsidRDefault="00F96DA4" w14:paraId="6510190F" w14:textId="77777777">
      <w:pPr>
        <w:spacing w:before="120" w:line="276" w:lineRule="auto"/>
        <w:ind w:firstLine="709"/>
        <w:jc w:val="both"/>
        <w:textAlignment w:val="baseline"/>
        <w:rPr>
          <w:rFonts w:ascii="Arial" w:hAnsi="Arial" w:cs="Arial" w:eastAsiaTheme="minorHAnsi"/>
          <w:sz w:val="22"/>
          <w:lang w:val="es-ES_tradnl" w:eastAsia="es-ES_tradnl"/>
        </w:rPr>
      </w:pPr>
      <w:r w:rsidRPr="0051586B">
        <w:rPr>
          <w:rFonts w:ascii="Arial" w:hAnsi="Arial" w:cs="Arial" w:eastAsiaTheme="minorHAnsi"/>
          <w:sz w:val="22"/>
          <w:lang w:val="es-ES_tradnl" w:eastAsia="es-ES_tradnl"/>
        </w:rPr>
        <w:t>Por otra parte, el artículo 96 de la Ley 489 de 1998</w:t>
      </w:r>
      <w:r w:rsidRPr="0051586B">
        <w:rPr>
          <w:rFonts w:ascii="Arial" w:hAnsi="Arial" w:cs="Arial" w:eastAsiaTheme="minorHAnsi"/>
          <w:sz w:val="22"/>
          <w:vertAlign w:val="superscript"/>
          <w:lang w:val="es-ES_tradnl" w:eastAsia="es-ES_tradnl"/>
        </w:rPr>
        <w:footnoteReference w:id="35"/>
      </w:r>
      <w:r w:rsidRPr="0051586B">
        <w:rPr>
          <w:rFonts w:ascii="Arial" w:hAnsi="Arial" w:cs="Arial" w:eastAsiaTheme="minorHAnsi"/>
          <w:sz w:val="22"/>
          <w:lang w:val="es-ES_tradnl" w:eastAsia="es-ES_tradnl"/>
        </w:rPr>
        <w:t xml:space="preserve"> permite a las entidades públicas en general, es decir, cualquiera sea su naturaleza y orden administrativo, asociarse con personas jurídicas particulares, mediante la celebración de convenios de asociación o la creación de personas jurídicas</w:t>
      </w:r>
      <w:r w:rsidRPr="0051586B">
        <w:rPr>
          <w:rFonts w:ascii="Arial" w:hAnsi="Arial" w:eastAsia="Calibri" w:cs="Arial"/>
          <w:sz w:val="22"/>
          <w:vertAlign w:val="superscript"/>
          <w:lang w:eastAsia="en-US"/>
        </w:rPr>
        <w:footnoteReference w:id="36"/>
      </w:r>
      <w:r w:rsidRPr="0051586B">
        <w:rPr>
          <w:rFonts w:ascii="Arial" w:hAnsi="Arial" w:cs="Arial" w:eastAsiaTheme="minorHAnsi"/>
          <w:sz w:val="22"/>
          <w:lang w:val="es-ES_tradnl" w:eastAsia="es-ES_tradnl"/>
        </w:rPr>
        <w:t>. Ambas figuras tienen como fin desarrollar conjuntamente actividades relacionadas con los cometidos y funciones legales asignadas a la entidad. </w:t>
      </w:r>
    </w:p>
    <w:p w:rsidRPr="0051586B" w:rsidR="00F96DA4" w:rsidP="00F96DA4" w:rsidRDefault="00F96DA4" w14:paraId="359E3DB9" w14:textId="77777777">
      <w:pPr>
        <w:spacing w:before="120" w:after="120" w:line="276" w:lineRule="auto"/>
        <w:ind w:firstLine="709"/>
        <w:jc w:val="both"/>
        <w:textAlignment w:val="baseline"/>
        <w:rPr>
          <w:rFonts w:ascii="Arial" w:hAnsi="Arial" w:cs="Arial" w:eastAsiaTheme="minorHAnsi"/>
          <w:sz w:val="22"/>
          <w:lang w:val="es-ES_tradnl" w:eastAsia="es-ES_tradnl"/>
        </w:rPr>
      </w:pPr>
      <w:r w:rsidRPr="0051586B">
        <w:rPr>
          <w:rFonts w:ascii="Arial" w:hAnsi="Arial" w:cs="Arial" w:eastAsiaTheme="minorHAnsi"/>
          <w:sz w:val="22"/>
          <w:lang w:val="es-ES_tradnl" w:eastAsia="es-ES_tradnl"/>
        </w:rPr>
        <w:t>Parte del desarrollo del artículo 355 de la Constitución Política se produjo mediante la expedición del Decreto 092 de 2017, el cual tiene como objeto establecer la forma en que las entidades del orden nacional, departamental, distrital y municipal deben contratar con ESAL, con la finalidad de impulsar programas y actividades de interés público acordes con el Plan Nacional o los planes seccionales de Desarrollo. Así las cosas, es importante resaltar que el factor que determina la aplicación del Decreto 092 de 2017 no es única y exclusivamente el carácter de las ESAL, sino también el objeto del convenio que la entidad estatal pretende adelantar. Por tanto, el hecho de que se trate de una ESAL no implica que, necesariamente, deba celebrarse un contrato de colaboración o un convenio de asociación, en los términos del referido decreto.</w:t>
      </w:r>
    </w:p>
    <w:p w:rsidRPr="0051586B" w:rsidR="00F96DA4" w:rsidP="00F96DA4" w:rsidRDefault="00F96DA4" w14:paraId="12B2C3EB" w14:textId="77777777">
      <w:pPr>
        <w:spacing w:before="120" w:after="120" w:line="276" w:lineRule="auto"/>
        <w:ind w:firstLine="709"/>
        <w:jc w:val="both"/>
        <w:textAlignment w:val="baseline"/>
        <w:rPr>
          <w:rFonts w:ascii="Arial" w:hAnsi="Arial" w:cs="Arial" w:eastAsiaTheme="minorHAnsi"/>
          <w:sz w:val="22"/>
          <w:lang w:val="es-ES_tradnl" w:eastAsia="es-ES_tradnl"/>
        </w:rPr>
      </w:pPr>
      <w:bookmarkStart w:name="_Hlk95735706" w:id="22"/>
      <w:r w:rsidRPr="0051586B">
        <w:rPr>
          <w:rFonts w:ascii="Arial" w:hAnsi="Arial" w:cs="Arial" w:eastAsiaTheme="minorHAnsi"/>
          <w:sz w:val="22"/>
          <w:lang w:val="es-ES_tradnl" w:eastAsia="es-ES_tradnl"/>
        </w:rPr>
        <w:t>El Decreto 092 de 2017 prevé las reglas para las contrataciones que realicen las entidades estatales con las ESAL. Este regula dos eventos: i) los contratos de colaboración o de interés público con el fin de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mientras que los segundos en los artículos 5, 6, 7 y 8 </w:t>
      </w:r>
      <w:r w:rsidRPr="0051586B">
        <w:rPr>
          <w:rFonts w:ascii="Arial" w:hAnsi="Arial" w:cs="Arial" w:eastAsiaTheme="minorHAnsi"/>
          <w:i/>
          <w:iCs/>
          <w:sz w:val="22"/>
          <w:lang w:val="es-ES_tradnl" w:eastAsia="es-ES_tradnl"/>
        </w:rPr>
        <w:t>ibidem</w:t>
      </w:r>
      <w:r w:rsidRPr="0051586B">
        <w:rPr>
          <w:rFonts w:ascii="Arial" w:hAnsi="Arial" w:cs="Arial" w:eastAsiaTheme="minorHAnsi"/>
          <w:sz w:val="22"/>
          <w:lang w:val="es-ES_tradnl" w:eastAsia="es-ES_tradnl"/>
        </w:rPr>
        <w:t>. Es posible diferenciar los </w:t>
      </w:r>
      <w:r w:rsidRPr="0051586B">
        <w:rPr>
          <w:rFonts w:ascii="Arial" w:hAnsi="Arial" w:cs="Arial" w:eastAsiaTheme="minorHAnsi"/>
          <w:i/>
          <w:iCs/>
          <w:sz w:val="22"/>
          <w:lang w:val="es-ES_tradnl" w:eastAsia="es-ES_tradnl"/>
        </w:rPr>
        <w:t>convenios de asociación</w:t>
      </w:r>
      <w:r w:rsidRPr="0051586B">
        <w:rPr>
          <w:rFonts w:ascii="Arial" w:hAnsi="Arial" w:cs="Arial" w:eastAsiaTheme="minorHAnsi"/>
          <w:sz w:val="22"/>
          <w:lang w:val="es-ES_tradnl" w:eastAsia="es-ES_tradnl"/>
        </w:rPr>
        <w:t>, regulados en el artículo 5, de los </w:t>
      </w:r>
      <w:r w:rsidRPr="0051586B">
        <w:rPr>
          <w:rFonts w:ascii="Arial" w:hAnsi="Arial" w:cs="Arial" w:eastAsiaTheme="minorHAnsi"/>
          <w:i/>
          <w:iCs/>
          <w:sz w:val="22"/>
          <w:lang w:val="es-ES_tradnl" w:eastAsia="es-ES_tradnl"/>
        </w:rPr>
        <w:t>contratos de colaboración</w:t>
      </w:r>
      <w:r w:rsidRPr="0051586B">
        <w:rPr>
          <w:rFonts w:ascii="Arial" w:hAnsi="Arial" w:cs="Arial" w:eastAsiaTheme="minorHAnsi"/>
          <w:sz w:val="22"/>
          <w:lang w:val="es-ES_tradnl" w:eastAsia="es-ES_tradnl"/>
        </w:rPr>
        <w:t>, establecidos en el artículo 2 del Decreto 092 de 2017</w:t>
      </w:r>
      <w:bookmarkEnd w:id="22"/>
      <w:r w:rsidRPr="0051586B">
        <w:rPr>
          <w:rFonts w:ascii="Arial" w:hAnsi="Arial" w:cs="Arial" w:eastAsiaTheme="minorHAnsi"/>
          <w:sz w:val="22"/>
          <w:vertAlign w:val="superscript"/>
          <w:lang w:val="es-ES_tradnl" w:eastAsia="es-ES_tradnl"/>
        </w:rPr>
        <w:footnoteReference w:id="37"/>
      </w:r>
      <w:r w:rsidRPr="0051586B">
        <w:rPr>
          <w:rFonts w:ascii="Arial" w:hAnsi="Arial" w:cs="Arial" w:eastAsiaTheme="minorHAnsi"/>
          <w:sz w:val="22"/>
          <w:lang w:val="es-ES_tradnl" w:eastAsia="es-ES_tradnl"/>
        </w:rPr>
        <w:t>.  </w:t>
      </w:r>
    </w:p>
    <w:p w:rsidRPr="0051586B" w:rsidR="00F96DA4" w:rsidP="00F96DA4" w:rsidRDefault="00F96DA4" w14:paraId="6F12BC73" w14:textId="77777777">
      <w:pPr>
        <w:spacing w:before="120" w:line="276" w:lineRule="auto"/>
        <w:ind w:firstLine="708"/>
        <w:jc w:val="both"/>
        <w:rPr>
          <w:rFonts w:ascii="Arial" w:hAnsi="Arial" w:eastAsia="Calibri" w:cs="Arial"/>
          <w:sz w:val="22"/>
          <w:lang w:eastAsia="en-US"/>
        </w:rPr>
      </w:pPr>
      <w:r w:rsidRPr="0051586B">
        <w:rPr>
          <w:rFonts w:ascii="Arial" w:hAnsi="Arial" w:eastAsia="Calibri" w:cs="Arial"/>
          <w:sz w:val="22"/>
          <w:lang w:eastAsia="en-US"/>
        </w:rPr>
        <w:t xml:space="preserve">Los </w:t>
      </w:r>
      <w:r w:rsidRPr="0051586B">
        <w:rPr>
          <w:rFonts w:ascii="Arial" w:hAnsi="Arial" w:eastAsia="Calibri" w:cs="Arial"/>
          <w:i/>
          <w:iCs/>
          <w:sz w:val="22"/>
          <w:lang w:eastAsia="en-US"/>
        </w:rPr>
        <w:t xml:space="preserve">contratos de colaboración </w:t>
      </w:r>
      <w:r w:rsidRPr="0051586B">
        <w:rPr>
          <w:rFonts w:ascii="Arial" w:hAnsi="Arial" w:eastAsia="Calibri" w:cs="Arial"/>
          <w:sz w:val="22"/>
          <w:lang w:eastAsia="en-US"/>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reciben,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 </w:t>
      </w:r>
    </w:p>
    <w:p w:rsidRPr="0051586B" w:rsidR="00F96DA4" w:rsidP="00F96DA4" w:rsidRDefault="00F96DA4" w14:paraId="3CD47CD1" w14:textId="77777777">
      <w:pPr>
        <w:spacing w:before="120" w:line="276" w:lineRule="auto"/>
        <w:ind w:firstLine="709"/>
        <w:jc w:val="both"/>
        <w:textAlignment w:val="baseline"/>
        <w:rPr>
          <w:rFonts w:ascii="Arial" w:hAnsi="Arial" w:cs="Arial" w:eastAsiaTheme="minorHAnsi"/>
          <w:sz w:val="22"/>
          <w:lang w:val="es-ES_tradnl" w:eastAsia="es-ES_tradnl"/>
        </w:rPr>
      </w:pPr>
      <w:r w:rsidRPr="0051586B">
        <w:rPr>
          <w:rFonts w:ascii="Arial" w:hAnsi="Arial" w:eastAsia="Calibri" w:cs="Arial"/>
          <w:sz w:val="22"/>
          <w:lang w:eastAsia="en-US"/>
        </w:rPr>
        <w:t>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esté dirigido al beneficio de la población en general, ya que cuando se adquieren bienes o servicios o se ejecutan obras, en una relación conmutativa, las normas aplicables son las del Estatuto General de Contratación de la Administración Pública –en adelante EGCAP–. Por ello, solo cuando se reúnan estas condiciones, y se cuente con la autorización previa y escrita del representante legal de la entidad estatal, es procedente celebrar contratos de colaboración.</w:t>
      </w:r>
    </w:p>
    <w:p w:rsidRPr="0051586B" w:rsidR="00F96DA4" w:rsidP="00F96DA4" w:rsidRDefault="00F96DA4" w14:paraId="3EC52D46" w14:textId="77777777">
      <w:pPr>
        <w:spacing w:before="120" w:line="276" w:lineRule="auto"/>
        <w:ind w:firstLine="708"/>
        <w:jc w:val="both"/>
        <w:rPr>
          <w:rFonts w:ascii="Arial" w:hAnsi="Arial" w:cs="Arial" w:eastAsiaTheme="minorHAnsi"/>
          <w:sz w:val="22"/>
          <w:szCs w:val="22"/>
          <w:lang w:val="es-MX" w:eastAsia="en-US"/>
        </w:rPr>
      </w:pPr>
      <w:r w:rsidRPr="0051586B">
        <w:rPr>
          <w:rFonts w:ascii="Arial" w:hAnsi="Arial" w:cs="Arial" w:eastAsiaTheme="minorHAnsi"/>
          <w:sz w:val="22"/>
          <w:szCs w:val="22"/>
          <w:lang w:val="es-MX" w:eastAsia="en-US"/>
        </w:rPr>
        <w:t xml:space="preserve">De otro lado, los </w:t>
      </w:r>
      <w:r w:rsidRPr="0051586B">
        <w:rPr>
          <w:rFonts w:ascii="Arial" w:hAnsi="Arial" w:cs="Arial" w:eastAsiaTheme="minorHAnsi"/>
          <w:i/>
          <w:iCs/>
          <w:sz w:val="22"/>
          <w:szCs w:val="22"/>
          <w:lang w:val="es-MX" w:eastAsia="en-US"/>
        </w:rPr>
        <w:t>convenios de asociación</w:t>
      </w:r>
      <w:r w:rsidRPr="0051586B">
        <w:rPr>
          <w:rFonts w:ascii="Arial" w:hAnsi="Arial" w:cs="Arial" w:eastAsiaTheme="minorHAnsi"/>
          <w:sz w:val="22"/>
          <w:szCs w:val="22"/>
          <w:lang w:val="es-MX" w:eastAsia="en-US"/>
        </w:rPr>
        <w:t xml:space="preserve"> «[t]ienen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51586B">
        <w:rPr>
          <w:rFonts w:ascii="Arial" w:hAnsi="Arial" w:cs="Arial" w:eastAsiaTheme="minorHAnsi"/>
          <w:sz w:val="22"/>
          <w:szCs w:val="22"/>
          <w:vertAlign w:val="superscript"/>
          <w:lang w:val="es-MX" w:eastAsia="en-US"/>
        </w:rPr>
        <w:footnoteReference w:id="38"/>
      </w:r>
      <w:r w:rsidRPr="0051586B">
        <w:rPr>
          <w:rFonts w:ascii="Arial" w:hAnsi="Arial" w:cs="Arial" w:eastAsiaTheme="minorHAnsi"/>
          <w:sz w:val="22"/>
          <w:szCs w:val="22"/>
          <w:lang w:val="es-MX" w:eastAsia="en-US"/>
        </w:rPr>
        <w:t xml:space="preserve">. </w:t>
      </w:r>
    </w:p>
    <w:p w:rsidRPr="0051586B" w:rsidR="00F96DA4" w:rsidP="00F96DA4" w:rsidRDefault="00F96DA4" w14:paraId="2D66BDFB" w14:textId="77777777">
      <w:pPr>
        <w:spacing w:before="120" w:line="276" w:lineRule="auto"/>
        <w:ind w:firstLine="708"/>
        <w:jc w:val="both"/>
        <w:rPr>
          <w:rFonts w:ascii="Arial" w:hAnsi="Arial" w:cs="Arial" w:eastAsiaTheme="minorHAnsi"/>
          <w:sz w:val="22"/>
          <w:szCs w:val="22"/>
          <w:lang w:val="es-MX" w:eastAsia="en-US"/>
        </w:rPr>
      </w:pPr>
      <w:r w:rsidRPr="0051586B">
        <w:rPr>
          <w:rFonts w:ascii="Arial" w:hAnsi="Arial" w:cs="Arial" w:eastAsiaTheme="minorHAnsi"/>
          <w:sz w:val="22"/>
          <w:szCs w:val="22"/>
          <w:lang w:val="es-MX" w:eastAsia="en-US"/>
        </w:rPr>
        <w:t xml:space="preserve">En estos convenios 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 </w:t>
      </w:r>
    </w:p>
    <w:p w:rsidRPr="0051586B" w:rsidR="00F96DA4" w:rsidP="00F96DA4" w:rsidRDefault="00F96DA4" w14:paraId="59932112" w14:textId="77777777">
      <w:pPr>
        <w:spacing w:before="120" w:line="276" w:lineRule="auto"/>
        <w:ind w:firstLine="709"/>
        <w:jc w:val="both"/>
        <w:rPr>
          <w:rFonts w:ascii="Arial" w:hAnsi="Arial" w:cs="Arial" w:eastAsiaTheme="minorHAnsi"/>
          <w:sz w:val="22"/>
          <w:lang w:eastAsia="en-US"/>
        </w:rPr>
      </w:pPr>
      <w:r w:rsidRPr="0051586B">
        <w:rPr>
          <w:rFonts w:ascii="Arial" w:hAnsi="Arial" w:cs="Arial" w:eastAsiaTheme="minorHAnsi"/>
          <w:sz w:val="22"/>
          <w:szCs w:val="22"/>
          <w:lang w:eastAsia="en-US"/>
        </w:rPr>
        <w:t>No 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rsidRPr="0051586B" w:rsidR="00F96DA4" w:rsidP="00F96DA4" w:rsidRDefault="00F96DA4" w14:paraId="7C68960A" w14:textId="77777777">
      <w:pPr>
        <w:spacing w:before="120" w:line="276" w:lineRule="auto"/>
        <w:ind w:firstLine="708"/>
        <w:jc w:val="both"/>
        <w:rPr>
          <w:rFonts w:ascii="Arial" w:hAnsi="Arial" w:cs="Arial" w:eastAsiaTheme="minorHAnsi"/>
          <w:sz w:val="22"/>
          <w:szCs w:val="22"/>
          <w:lang w:val="es-MX" w:eastAsia="en-US"/>
        </w:rPr>
      </w:pPr>
      <w:r w:rsidRPr="0051586B">
        <w:rPr>
          <w:rFonts w:ascii="Arial" w:hAnsi="Arial" w:cs="Arial" w:eastAsiaTheme="minorHAnsi"/>
          <w:sz w:val="22"/>
          <w:szCs w:val="22"/>
          <w:lang w:val="es-MX" w:eastAsia="en-US"/>
        </w:rPr>
        <w:t xml:space="preserve">De conformidad con el inciso segundo del artículo 96 de la Ley 489 de 1998, en estos convenios debe determinarse «con precisión su objeto, término, obligaciones de las partes, aportes, coordinación y todos aquellos aspectos que se consideren pertinentes», elementos dentro de los que resalta la exigencia de aportes, que debe interpretarse en el sentido de que las ESAL deben realizar aportes a los convenios que suscriban, los cuales pueden ser en dinero, en porcentajes inferiores o superiores al 30%, o en especie, los cuales deben servir al desarrollo de los objetivos comunes de la asociación. </w:t>
      </w:r>
    </w:p>
    <w:p w:rsidRPr="0051586B" w:rsidR="00F96DA4" w:rsidP="00F96DA4" w:rsidRDefault="00F96DA4" w14:paraId="5350EA0E" w14:textId="77777777">
      <w:pPr>
        <w:spacing w:before="120" w:line="276" w:lineRule="auto"/>
        <w:ind w:firstLine="708"/>
        <w:jc w:val="both"/>
        <w:rPr>
          <w:rFonts w:ascii="Arial" w:hAnsi="Arial" w:eastAsia="Calibri" w:cs="Arial"/>
          <w:sz w:val="22"/>
          <w:szCs w:val="22"/>
          <w:lang w:val="es-MX" w:eastAsia="en-US"/>
        </w:rPr>
      </w:pPr>
      <w:r w:rsidRPr="0051586B">
        <w:rPr>
          <w:rFonts w:ascii="Arial" w:hAnsi="Arial" w:cs="Arial" w:eastAsiaTheme="minorHAnsi"/>
          <w:sz w:val="22"/>
          <w:szCs w:val="22"/>
          <w:lang w:val="es-MX" w:eastAsia="en-US"/>
        </w:rPr>
        <w:t>L</w:t>
      </w:r>
      <w:r w:rsidRPr="0051586B">
        <w:rPr>
          <w:rFonts w:ascii="Arial" w:hAnsi="Arial" w:eastAsia="Calibri" w:cs="Arial"/>
          <w:sz w:val="22"/>
          <w:szCs w:val="22"/>
          <w:lang w:val="es-MX" w:eastAsia="en-US"/>
        </w:rPr>
        <w:t>a normativa vigente no impide que varias entidades suscriban conjuntamente el convenio de asociación y tampoco que dos o más ESAL pueden hacerlo, a través de las figuras asociativas autorizadas por la ley, por ejemplo, la unión temporal o el consorcio</w:t>
      </w:r>
      <w:r w:rsidRPr="0051586B">
        <w:rPr>
          <w:rFonts w:ascii="Arial" w:hAnsi="Arial" w:eastAsia="Calibri" w:cs="Arial"/>
          <w:sz w:val="22"/>
          <w:szCs w:val="22"/>
          <w:vertAlign w:val="superscript"/>
          <w:lang w:val="es-MX" w:eastAsia="en-US"/>
        </w:rPr>
        <w:footnoteReference w:id="39"/>
      </w:r>
      <w:r w:rsidRPr="0051586B">
        <w:rPr>
          <w:rFonts w:ascii="Arial" w:hAnsi="Arial" w:eastAsia="Calibri" w:cs="Arial"/>
          <w:sz w:val="22"/>
          <w:szCs w:val="22"/>
          <w:lang w:val="es-MX" w:eastAsia="en-US"/>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w:t>
      </w:r>
      <w:bookmarkStart w:name="_Hlk95735826" w:id="23"/>
      <w:r w:rsidRPr="0051586B">
        <w:rPr>
          <w:rFonts w:ascii="Arial" w:hAnsi="Arial" w:eastAsia="Calibri" w:cs="Arial"/>
          <w:sz w:val="22"/>
          <w:szCs w:val="22"/>
          <w:lang w:val="es-MX" w:eastAsia="en-US"/>
        </w:rPr>
        <w:t xml:space="preserve">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una o varias ESAL, aporten al menos el treinta por ciento del valor del convenio para celebrarlo directamente, ya que de lo contrario deberá celebrarse un proceso competitivo. </w:t>
      </w:r>
      <w:bookmarkEnd w:id="23"/>
    </w:p>
    <w:p w:rsidRPr="0051586B" w:rsidR="00F96DA4" w:rsidP="00F96DA4" w:rsidRDefault="00F96DA4" w14:paraId="622FEEA1" w14:textId="77777777">
      <w:pPr>
        <w:spacing w:before="120" w:line="276" w:lineRule="auto"/>
        <w:ind w:firstLine="708"/>
        <w:jc w:val="both"/>
        <w:rPr>
          <w:rFonts w:ascii="Arial" w:hAnsi="Arial" w:eastAsia="Calibri" w:cs="Arial"/>
          <w:sz w:val="22"/>
          <w:szCs w:val="22"/>
          <w:lang w:val="es-MX" w:eastAsia="en-US"/>
        </w:rPr>
      </w:pPr>
      <w:bookmarkStart w:name="_Hlk95735968" w:id="24"/>
      <w:r w:rsidRPr="0051586B">
        <w:rPr>
          <w:rFonts w:ascii="Arial" w:hAnsi="Arial" w:eastAsia="Calibri" w:cs="Arial"/>
          <w:sz w:val="22"/>
          <w:szCs w:val="22"/>
          <w:lang w:val="es-MX" w:eastAsia="en-US"/>
        </w:rPr>
        <w:t>Además, en atención al inciso 2 del artículo 5 del Decreto 092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bookmarkEnd w:id="24"/>
      <w:r w:rsidRPr="0051586B">
        <w:rPr>
          <w:rFonts w:ascii="Arial" w:hAnsi="Arial" w:eastAsia="Calibri" w:cs="Arial"/>
          <w:sz w:val="22"/>
          <w:szCs w:val="22"/>
          <w:vertAlign w:val="superscript"/>
          <w:lang w:val="es-MX" w:eastAsia="en-US"/>
        </w:rPr>
        <w:footnoteReference w:id="40"/>
      </w:r>
      <w:r w:rsidRPr="0051586B">
        <w:rPr>
          <w:rFonts w:ascii="Arial" w:hAnsi="Arial" w:eastAsia="Calibri" w:cs="Arial"/>
          <w:sz w:val="22"/>
          <w:szCs w:val="22"/>
          <w:lang w:val="es-MX" w:eastAsia="en-US"/>
        </w:rPr>
        <w:t>.</w:t>
      </w:r>
    </w:p>
    <w:p w:rsidRPr="0051586B" w:rsidR="00F96DA4" w:rsidP="00F96DA4" w:rsidRDefault="00F96DA4" w14:paraId="63E284A2" w14:textId="77777777">
      <w:pPr>
        <w:spacing w:before="120" w:line="276" w:lineRule="auto"/>
        <w:ind w:firstLine="708"/>
        <w:jc w:val="both"/>
        <w:rPr>
          <w:rFonts w:ascii="Arial" w:hAnsi="Arial" w:cs="Arial" w:eastAsiaTheme="minorHAnsi"/>
          <w:sz w:val="22"/>
          <w:lang w:eastAsia="en-US"/>
        </w:rPr>
      </w:pPr>
      <w:r w:rsidRPr="0051586B">
        <w:rPr>
          <w:rFonts w:ascii="Arial" w:hAnsi="Arial" w:cs="Arial" w:eastAsiaTheme="minorHAnsi"/>
          <w:sz w:val="22"/>
          <w:lang w:eastAsia="en-US"/>
        </w:rPr>
        <w:t xml:space="preserve">La noción «seleccionar de forma objetiva», contenida en la disposición </w:t>
      </w:r>
      <w:r w:rsidRPr="0051586B">
        <w:rPr>
          <w:rFonts w:ascii="Arial" w:hAnsi="Arial" w:cs="Arial" w:eastAsiaTheme="minorHAnsi"/>
          <w:i/>
          <w:iCs/>
          <w:sz w:val="22"/>
          <w:lang w:eastAsia="en-US"/>
        </w:rPr>
        <w:t xml:space="preserve">sub examine </w:t>
      </w:r>
      <w:r w:rsidRPr="0051586B">
        <w:rPr>
          <w:rFonts w:ascii="Arial" w:hAnsi="Arial" w:cs="Arial" w:eastAsiaTheme="minorHAnsi"/>
          <w:sz w:val="22"/>
          <w:lang w:eastAsia="en-US"/>
        </w:rPr>
        <w:t xml:space="preserve">no puede ser entendida como una remisión a las Leyes 80 de 1993 y 1150 de 2007. A lo que se refiere la norma es a que la entidad estatal debe diseñar herramientas que permitan una comparación objetiva de las entidades sin ánimo de lucro para seleccionar objetivamente a aquella que tenga las mejores condiciones para alcanzar el resultado esperado con el proyecto de cooperación, por lo </w:t>
      </w:r>
      <w:r>
        <w:rPr>
          <w:rFonts w:ascii="Arial" w:hAnsi="Arial" w:cs="Arial" w:eastAsiaTheme="minorHAnsi"/>
          <w:sz w:val="22"/>
          <w:lang w:eastAsia="en-US"/>
        </w:rPr>
        <w:t>cual</w:t>
      </w:r>
      <w:r w:rsidRPr="0051586B">
        <w:rPr>
          <w:rFonts w:ascii="Arial" w:hAnsi="Arial" w:cs="Arial" w:eastAsiaTheme="minorHAnsi"/>
          <w:sz w:val="22"/>
          <w:lang w:eastAsia="en-US"/>
        </w:rPr>
        <w:t xml:space="preserve"> los criterios que permitan una selección objetiva deben definirse en términos de la obtención de los objetivos del convenio de asociación. Sin perjuicio de lo anterior, la entidad puede decidir acudir a los procesos de selección de contratistas que establece el EGCAP o, incluso, al trámite que regula el inciso 2 del artículo 2 del Decreto 092 de 2017.</w:t>
      </w:r>
    </w:p>
    <w:p w:rsidRPr="0051586B" w:rsidR="00F96DA4" w:rsidP="00F96DA4" w:rsidRDefault="00F96DA4" w14:paraId="04071525" w14:textId="77777777">
      <w:pPr>
        <w:spacing w:before="120" w:line="276" w:lineRule="auto"/>
        <w:ind w:firstLine="709"/>
        <w:jc w:val="both"/>
        <w:textAlignment w:val="baseline"/>
        <w:rPr>
          <w:rFonts w:ascii="Arial" w:hAnsi="Arial" w:cs="Arial" w:eastAsiaTheme="minorHAnsi"/>
          <w:sz w:val="22"/>
          <w:lang w:eastAsia="en-US"/>
        </w:rPr>
      </w:pPr>
      <w:r w:rsidRPr="0051586B">
        <w:rPr>
          <w:rFonts w:ascii="Arial" w:hAnsi="Arial" w:cs="Arial" w:eastAsiaTheme="minorHAnsi"/>
          <w:sz w:val="22"/>
          <w:lang w:eastAsia="en-US"/>
        </w:rPr>
        <w:t>En suma,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por lo que este procedimiento puede ser análogo a otros donde existe competencia, como la licitación pública.</w:t>
      </w:r>
    </w:p>
    <w:p w:rsidRPr="00924DEF" w:rsidR="00F96DA4" w:rsidP="00F96DA4" w:rsidRDefault="00F96DA4" w14:paraId="1EC2DB33" w14:textId="77777777">
      <w:pPr>
        <w:spacing w:line="276" w:lineRule="auto"/>
        <w:jc w:val="both"/>
        <w:rPr>
          <w:rFonts w:ascii="Arial" w:hAnsi="Arial" w:eastAsia="Calibri" w:cs="Arial"/>
          <w:b/>
          <w:bCs/>
          <w:sz w:val="22"/>
          <w:szCs w:val="22"/>
          <w:lang w:val="es-ES"/>
        </w:rPr>
      </w:pPr>
    </w:p>
    <w:p w:rsidRPr="00924DEF" w:rsidR="00F96DA4" w:rsidP="00F96DA4" w:rsidRDefault="00F96DA4" w14:paraId="345FF431" w14:textId="77777777">
      <w:pPr>
        <w:tabs>
          <w:tab w:val="left" w:pos="709"/>
        </w:tabs>
        <w:spacing w:line="276" w:lineRule="auto"/>
        <w:jc w:val="both"/>
        <w:rPr>
          <w:rFonts w:ascii="Arial" w:hAnsi="Arial" w:eastAsia="Calibri" w:cs="Arial"/>
          <w:b/>
          <w:sz w:val="22"/>
          <w:szCs w:val="22"/>
          <w:lang w:val="es-ES"/>
        </w:rPr>
      </w:pPr>
      <w:r w:rsidRPr="00924DEF">
        <w:rPr>
          <w:rFonts w:ascii="Arial" w:hAnsi="Arial" w:eastAsia="Calibri" w:cs="Arial"/>
          <w:b/>
          <w:sz w:val="22"/>
          <w:szCs w:val="22"/>
          <w:lang w:val="es-ES"/>
        </w:rPr>
        <w:t>3. Respuesta</w:t>
      </w:r>
    </w:p>
    <w:p w:rsidRPr="00924DEF" w:rsidR="00F96DA4" w:rsidP="00F96DA4" w:rsidRDefault="00F96DA4" w14:paraId="6027CC46" w14:textId="77777777">
      <w:pPr>
        <w:tabs>
          <w:tab w:val="left" w:pos="709"/>
        </w:tabs>
        <w:spacing w:line="276" w:lineRule="auto"/>
        <w:ind w:left="709" w:right="709"/>
        <w:jc w:val="both"/>
        <w:rPr>
          <w:rFonts w:ascii="Arial" w:hAnsi="Arial" w:eastAsia="Calibri" w:cs="Arial"/>
          <w:b/>
          <w:sz w:val="22"/>
          <w:szCs w:val="22"/>
          <w:lang w:val="es-ES"/>
        </w:rPr>
      </w:pPr>
    </w:p>
    <w:p w:rsidRPr="0051586B" w:rsidR="00F96DA4" w:rsidP="00F96DA4" w:rsidRDefault="00F96DA4" w14:paraId="71D4766A" w14:textId="77777777">
      <w:pPr>
        <w:spacing w:line="276" w:lineRule="auto"/>
        <w:ind w:left="709" w:right="709"/>
        <w:jc w:val="both"/>
        <w:rPr>
          <w:rFonts w:ascii="Arial" w:hAnsi="Arial" w:eastAsia="Calibri" w:cs="Arial"/>
          <w:sz w:val="21"/>
          <w:szCs w:val="21"/>
          <w:lang w:val="es-ES"/>
        </w:rPr>
      </w:pPr>
      <w:r w:rsidRPr="0051586B">
        <w:rPr>
          <w:rFonts w:ascii="Arial" w:hAnsi="Arial" w:cs="Arial"/>
          <w:sz w:val="21"/>
          <w:szCs w:val="21"/>
        </w:rPr>
        <w:t>«Comedidamente solicito saber si en virtud de la ley de garantías que opera actualmente, es posible contratar mediante los denominados convenios de asociación regulados en el Decreto 092 de 2017, TENIENDO EN CUENTA QUE, PARA LA ELECCIÓN DEL CONTRATISTA, SE REALIZARÁ UN PROCESO COMPETITIVO. De no estar autorizado tal convenio, solicito respetuosamente me informen que tipo de contrato - convenio o instrumento jurídico puedo celebrar con entidades sin ánimo de lucro de reconocida idoneidad estando en ley de garantías y partiendo del hecho de que la entidad publica pretende realizar un proceso competitivo.»</w:t>
      </w:r>
    </w:p>
    <w:p w:rsidRPr="0051586B" w:rsidR="00F96DA4" w:rsidP="00F96DA4" w:rsidRDefault="00F96DA4" w14:paraId="7ECFAA4E" w14:textId="77777777">
      <w:pPr>
        <w:spacing w:before="120" w:after="120" w:line="276" w:lineRule="auto"/>
        <w:jc w:val="both"/>
        <w:rPr>
          <w:rFonts w:ascii="Arial" w:hAnsi="Arial" w:cs="Arial" w:eastAsiaTheme="minorHAnsi"/>
          <w:sz w:val="22"/>
          <w:szCs w:val="22"/>
          <w:lang w:eastAsia="x-none"/>
        </w:rPr>
      </w:pPr>
      <w:r w:rsidRPr="0051586B">
        <w:rPr>
          <w:rFonts w:ascii="Arial" w:hAnsi="Arial" w:cs="Arial" w:eastAsiaTheme="minorHAnsi"/>
          <w:sz w:val="22"/>
          <w:szCs w:val="22"/>
          <w:lang w:val="es-ES_tradnl" w:eastAsia="es-ES_tradnl"/>
        </w:rPr>
        <w:t xml:space="preserve">Con base en las anteriores consideraciones, esta Agencia concluye que </w:t>
      </w:r>
      <w:r w:rsidRPr="0051586B">
        <w:rPr>
          <w:rFonts w:ascii="Arial" w:hAnsi="Arial" w:cs="Arial" w:eastAsiaTheme="minorHAnsi"/>
          <w:sz w:val="22"/>
          <w:szCs w:val="22"/>
          <w:lang w:eastAsia="x-none"/>
        </w:rPr>
        <w:t xml:space="preserve">la prohibición del artículo 33 de la Ley 996 de 2005 -Ley de Garantías Electorales- se refiere a </w:t>
      </w:r>
      <w:r w:rsidRPr="0051586B">
        <w:rPr>
          <w:rFonts w:ascii="Arial" w:hAnsi="Arial" w:cs="Arial" w:eastAsiaTheme="minorHAnsi"/>
          <w:sz w:val="22"/>
          <w:szCs w:val="22"/>
          <w:lang w:eastAsia="en-GB"/>
        </w:rPr>
        <w:t>«</w:t>
      </w:r>
      <w:r w:rsidRPr="0051586B">
        <w:rPr>
          <w:rFonts w:ascii="Arial" w:hAnsi="Arial" w:cs="Arial" w:eastAsiaTheme="minorHAnsi"/>
          <w:sz w:val="22"/>
          <w:szCs w:val="22"/>
          <w:lang w:eastAsia="x-none"/>
        </w:rPr>
        <w:t>cualquier sistema que no implique convocatoria pública y posibilidad de pluralidad de oferentes</w:t>
      </w:r>
      <w:r w:rsidRPr="0051586B">
        <w:rPr>
          <w:rFonts w:ascii="Arial" w:hAnsi="Arial" w:cs="Arial" w:eastAsiaTheme="minorHAnsi"/>
          <w:sz w:val="22"/>
          <w:szCs w:val="22"/>
          <w:lang w:eastAsia="en-GB"/>
        </w:rPr>
        <w:t>»</w:t>
      </w:r>
      <w:r w:rsidRPr="0051586B">
        <w:rPr>
          <w:rFonts w:ascii="Arial" w:hAnsi="Arial" w:cs="Arial" w:eastAsiaTheme="minorHAnsi"/>
          <w:sz w:val="22"/>
          <w:szCs w:val="22"/>
          <w:lang w:eastAsia="x-none"/>
        </w:rPr>
        <w:t xml:space="preserve">, por lo que incluye también los convenios de asociación </w:t>
      </w:r>
      <w:r w:rsidRPr="00306E93">
        <w:rPr>
          <w:rFonts w:ascii="Arial" w:hAnsi="Arial" w:cs="Arial" w:eastAsiaTheme="minorHAnsi"/>
          <w:i/>
          <w:iCs/>
          <w:sz w:val="22"/>
          <w:szCs w:val="22"/>
          <w:lang w:eastAsia="x-none"/>
        </w:rPr>
        <w:t>que no se celebren a través de un proceso competitivo</w:t>
      </w:r>
      <w:r>
        <w:rPr>
          <w:rFonts w:ascii="Arial" w:hAnsi="Arial" w:cs="Arial" w:eastAsiaTheme="minorHAnsi"/>
          <w:sz w:val="22"/>
          <w:szCs w:val="22"/>
          <w:lang w:eastAsia="x-none"/>
        </w:rPr>
        <w:t>. En tal sentido, no quedan comprendidas por la prohibición</w:t>
      </w:r>
      <w:r w:rsidRPr="0051586B">
        <w:rPr>
          <w:rFonts w:ascii="Arial" w:hAnsi="Arial" w:cs="Arial" w:eastAsiaTheme="minorHAnsi"/>
          <w:sz w:val="22"/>
          <w:szCs w:val="22"/>
          <w:lang w:eastAsia="x-none"/>
        </w:rPr>
        <w:t xml:space="preserve"> las demás modalidades de contratación previstas en la Ley 1150 de 2007, es decir, la licitación pública, la selección abreviada, el concurso de méritos, la mínima cuantía u otros previstos en normas especiales. Por tanto, durante el per</w:t>
      </w:r>
      <w:r>
        <w:rPr>
          <w:rFonts w:ascii="Arial" w:hAnsi="Arial" w:cs="Arial" w:eastAsiaTheme="minorHAnsi"/>
          <w:sz w:val="22"/>
          <w:szCs w:val="22"/>
          <w:lang w:eastAsia="x-none"/>
        </w:rPr>
        <w:t>í</w:t>
      </w:r>
      <w:r w:rsidRPr="0051586B">
        <w:rPr>
          <w:rFonts w:ascii="Arial" w:hAnsi="Arial" w:cs="Arial" w:eastAsiaTheme="minorHAnsi"/>
          <w:sz w:val="22"/>
          <w:szCs w:val="22"/>
          <w:lang w:eastAsia="x-none"/>
        </w:rPr>
        <w:t>odo de prohibición derivado del artículo 33 de la Ley 996 de 2005 se podrán celebrar convenios de asociación con ESAL</w:t>
      </w:r>
      <w:r>
        <w:rPr>
          <w:rFonts w:ascii="Arial" w:hAnsi="Arial" w:cs="Arial" w:eastAsiaTheme="minorHAnsi"/>
          <w:sz w:val="22"/>
          <w:szCs w:val="22"/>
          <w:lang w:eastAsia="x-none"/>
        </w:rPr>
        <w:t>,</w:t>
      </w:r>
      <w:r w:rsidRPr="0051586B">
        <w:rPr>
          <w:rFonts w:ascii="Arial" w:hAnsi="Arial" w:cs="Arial" w:eastAsiaTheme="minorHAnsi"/>
          <w:sz w:val="22"/>
          <w:szCs w:val="22"/>
          <w:lang w:eastAsia="x-none"/>
        </w:rPr>
        <w:t xml:space="preserve"> </w:t>
      </w:r>
      <w:r w:rsidRPr="00306E93">
        <w:rPr>
          <w:rFonts w:ascii="Arial" w:hAnsi="Arial" w:cs="Arial" w:eastAsiaTheme="minorHAnsi"/>
          <w:i/>
          <w:iCs/>
          <w:sz w:val="22"/>
          <w:szCs w:val="22"/>
          <w:lang w:eastAsia="x-none"/>
        </w:rPr>
        <w:t>siempre y cuando se celebren a través de procesos competitivos</w:t>
      </w:r>
      <w:r>
        <w:rPr>
          <w:rFonts w:ascii="Arial" w:hAnsi="Arial" w:cs="Arial" w:eastAsiaTheme="minorHAnsi"/>
          <w:sz w:val="22"/>
          <w:szCs w:val="22"/>
          <w:lang w:eastAsia="x-none"/>
        </w:rPr>
        <w:t>, cumpliendo con las normas especiales del Decreto 092 de 2017 y las demás disposiciones aplicables en cada caso</w:t>
      </w:r>
      <w:r w:rsidRPr="0051586B">
        <w:rPr>
          <w:rFonts w:ascii="Arial" w:hAnsi="Arial" w:cs="Arial" w:eastAsiaTheme="minorHAnsi"/>
          <w:sz w:val="22"/>
          <w:szCs w:val="22"/>
          <w:lang w:eastAsia="x-none"/>
        </w:rPr>
        <w:t>.</w:t>
      </w:r>
    </w:p>
    <w:p w:rsidRPr="0051586B" w:rsidR="00F96DA4" w:rsidP="00F96DA4" w:rsidRDefault="00F96DA4" w14:paraId="7FC55E74" w14:textId="77777777">
      <w:pPr>
        <w:spacing w:before="120" w:after="120" w:line="276" w:lineRule="auto"/>
        <w:ind w:firstLine="708"/>
        <w:jc w:val="both"/>
        <w:rPr>
          <w:rFonts w:ascii="Arial" w:hAnsi="Arial" w:cs="Arial" w:eastAsiaTheme="minorHAnsi"/>
          <w:sz w:val="22"/>
          <w:szCs w:val="22"/>
          <w:lang w:eastAsia="x-none"/>
        </w:rPr>
      </w:pPr>
      <w:r w:rsidRPr="0051586B">
        <w:rPr>
          <w:rFonts w:ascii="Arial" w:hAnsi="Arial" w:cs="Arial" w:eastAsiaTheme="minorHAnsi"/>
          <w:sz w:val="22"/>
          <w:szCs w:val="22"/>
          <w:lang w:eastAsia="x-none"/>
        </w:rPr>
        <w:t xml:space="preserve">Lo anterior porque, con base en la interpretación efectuada por el Consejo de Estado, </w:t>
      </w:r>
      <w:r w:rsidRPr="0051586B">
        <w:rPr>
          <w:rFonts w:ascii="Arial" w:hAnsi="Arial" w:cs="Arial" w:eastAsiaTheme="minorHAnsi"/>
          <w:bCs/>
          <w:sz w:val="22"/>
          <w:szCs w:val="22"/>
          <w:lang w:val="es-MX" w:eastAsia="x-none"/>
        </w:rPr>
        <w:t>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 De lo anterior se desprende que la restricción aplica, sin perjuicio de las excepciones establecidas en la misma ley, para celebrar cualquier contrato de forma directa, esto es, sin que exista un proceso abierto y competitivo.</w:t>
      </w:r>
      <w:r w:rsidRPr="0051586B">
        <w:rPr>
          <w:rFonts w:ascii="Arial" w:hAnsi="Arial" w:cs="Arial" w:eastAsiaTheme="minorHAnsi"/>
          <w:sz w:val="22"/>
          <w:szCs w:val="22"/>
          <w:lang w:eastAsia="x-none"/>
        </w:rPr>
        <w:t xml:space="preserve"> </w:t>
      </w:r>
    </w:p>
    <w:p w:rsidRPr="0051586B" w:rsidR="00F96DA4" w:rsidP="00F96DA4" w:rsidRDefault="00F96DA4" w14:paraId="51C58C8A" w14:textId="77777777">
      <w:pPr>
        <w:spacing w:before="120" w:after="120" w:line="276" w:lineRule="auto"/>
        <w:ind w:firstLine="708"/>
        <w:jc w:val="both"/>
        <w:rPr>
          <w:rFonts w:ascii="Arial" w:hAnsi="Arial" w:cs="Arial" w:eastAsiaTheme="minorHAnsi"/>
          <w:bCs/>
          <w:sz w:val="22"/>
          <w:szCs w:val="22"/>
          <w:lang w:val="es-MX" w:eastAsia="x-none"/>
        </w:rPr>
      </w:pPr>
      <w:r w:rsidRPr="0051586B">
        <w:rPr>
          <w:rFonts w:ascii="Arial" w:hAnsi="Arial" w:cs="Arial" w:eastAsiaTheme="minorHAnsi"/>
          <w:bCs/>
          <w:sz w:val="22"/>
          <w:szCs w:val="22"/>
          <w:lang w:val="es-MX" w:eastAsia="x-none"/>
        </w:rPr>
        <w:t>De conformidad con esto, durante los cuatro (4) meses anteriores a la elección presidencial y hasta la realización de la elección en la segunda vuelta, queda prohibida la contratación directa por parte de todos los entes del Estado. Lo anterior, entendiendo el término contratación directa como cualquier sistema de selección o procedimiento de contratación utilizado por las entidades estatales que no incluya la convocatoria pública en alguna de sus etapas, ni permita la participación de una pluralidad de oferentes, sin perjuicio de las excepciones contempladas en el ordenamiento jurídico. Es importante resaltar que, a efectos de la aplicación de la referida prohibición, con base en la finalidad de la ley de garantías electorales, se le debe aplicar a cualquier ente público que pueda</w:t>
      </w:r>
      <w:r>
        <w:rPr>
          <w:rFonts w:ascii="Arial" w:hAnsi="Arial" w:cs="Arial" w:eastAsiaTheme="minorHAnsi"/>
          <w:bCs/>
          <w:sz w:val="22"/>
          <w:szCs w:val="22"/>
          <w:lang w:val="es-MX" w:eastAsia="x-none"/>
        </w:rPr>
        <w:t>,</w:t>
      </w:r>
      <w:r w:rsidRPr="0051586B">
        <w:rPr>
          <w:rFonts w:ascii="Arial" w:hAnsi="Arial" w:cs="Arial" w:eastAsiaTheme="minorHAnsi"/>
          <w:bCs/>
          <w:sz w:val="22"/>
          <w:szCs w:val="22"/>
          <w:lang w:val="es-MX" w:eastAsia="x-none"/>
        </w:rPr>
        <w:t xml:space="preserve"> a través de la contratación directa</w:t>
      </w:r>
      <w:r>
        <w:rPr>
          <w:rFonts w:ascii="Arial" w:hAnsi="Arial" w:cs="Arial" w:eastAsiaTheme="minorHAnsi"/>
          <w:bCs/>
          <w:sz w:val="22"/>
          <w:szCs w:val="22"/>
          <w:lang w:val="es-MX" w:eastAsia="x-none"/>
        </w:rPr>
        <w:t>,</w:t>
      </w:r>
      <w:r w:rsidRPr="0051586B">
        <w:rPr>
          <w:rFonts w:ascii="Arial" w:hAnsi="Arial" w:cs="Arial" w:eastAsiaTheme="minorHAnsi"/>
          <w:bCs/>
          <w:sz w:val="22"/>
          <w:szCs w:val="22"/>
          <w:lang w:val="es-MX" w:eastAsia="x-none"/>
        </w:rPr>
        <w:t xml:space="preserve"> romper el equilibrio entre los candidatos en desarrollo de las elecciones presidenciales.</w:t>
      </w:r>
    </w:p>
    <w:p w:rsidRPr="0051586B" w:rsidR="00F96DA4" w:rsidP="00F96DA4" w:rsidRDefault="00F96DA4" w14:paraId="22AD627A" w14:textId="77777777">
      <w:pPr>
        <w:spacing w:before="120" w:after="120" w:line="276" w:lineRule="auto"/>
        <w:ind w:firstLine="708"/>
        <w:jc w:val="both"/>
        <w:rPr>
          <w:rFonts w:ascii="Arial" w:hAnsi="Arial" w:cs="Arial" w:eastAsiaTheme="minorHAnsi"/>
          <w:sz w:val="22"/>
          <w:szCs w:val="22"/>
          <w:lang w:val="es-ES_tradnl" w:eastAsia="es-ES_tradnl"/>
        </w:rPr>
      </w:pPr>
      <w:r w:rsidRPr="0051586B">
        <w:rPr>
          <w:rFonts w:ascii="Arial" w:hAnsi="Arial" w:cs="Arial" w:eastAsiaTheme="minorHAnsi"/>
          <w:bCs/>
          <w:sz w:val="22"/>
          <w:szCs w:val="22"/>
          <w:lang w:val="es-MX" w:eastAsia="x-none"/>
        </w:rPr>
        <w:t xml:space="preserve">Así las cosas, en relación con su consulta, </w:t>
      </w:r>
      <w:r w:rsidRPr="0051586B">
        <w:rPr>
          <w:rFonts w:ascii="Arial" w:hAnsi="Arial" w:cs="Arial" w:eastAsiaTheme="minorHAnsi"/>
          <w:sz w:val="22"/>
          <w:szCs w:val="22"/>
          <w:lang w:val="es-ES_tradnl" w:eastAsia="es-ES_tradnl"/>
        </w:rPr>
        <w:t>el Decreto 092 de 2017 prevé reglas para las contrataciones que realicen las entidades estatales con las ESAL. Este regula dos eventos: i) los contratos de colaboración o de interés público con el fin de impulsar programas y actividades de interés público</w:t>
      </w:r>
      <w:r>
        <w:rPr>
          <w:rFonts w:ascii="Arial" w:hAnsi="Arial" w:cs="Arial" w:eastAsiaTheme="minorHAnsi"/>
          <w:sz w:val="22"/>
          <w:szCs w:val="22"/>
          <w:lang w:val="es-ES_tradnl" w:eastAsia="es-ES_tradnl"/>
        </w:rPr>
        <w:t>,</w:t>
      </w:r>
      <w:r w:rsidRPr="0051586B">
        <w:rPr>
          <w:rFonts w:ascii="Arial" w:hAnsi="Arial" w:cs="Arial" w:eastAsiaTheme="minorHAnsi"/>
          <w:sz w:val="22"/>
          <w:szCs w:val="22"/>
          <w:lang w:val="es-ES_tradnl" w:eastAsia="es-ES_tradnl"/>
        </w:rPr>
        <w:t xml:space="preserve">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 Los primeros están regulados en el artículo 2 del Decreto 092 de 2017, </w:t>
      </w:r>
      <w:r>
        <w:rPr>
          <w:rFonts w:ascii="Arial" w:hAnsi="Arial" w:cs="Arial" w:eastAsiaTheme="minorHAnsi"/>
          <w:sz w:val="22"/>
          <w:szCs w:val="22"/>
          <w:lang w:val="es-ES_tradnl" w:eastAsia="es-ES_tradnl"/>
        </w:rPr>
        <w:t>y</w:t>
      </w:r>
      <w:r w:rsidRPr="0051586B">
        <w:rPr>
          <w:rFonts w:ascii="Arial" w:hAnsi="Arial" w:cs="Arial" w:eastAsiaTheme="minorHAnsi"/>
          <w:sz w:val="22"/>
          <w:szCs w:val="22"/>
          <w:lang w:val="es-ES_tradnl" w:eastAsia="es-ES_tradnl"/>
        </w:rPr>
        <w:t xml:space="preserve"> los segundos en los artículos 5, 6, 7 y 8 </w:t>
      </w:r>
      <w:r w:rsidRPr="0051586B">
        <w:rPr>
          <w:rFonts w:ascii="Arial" w:hAnsi="Arial" w:cs="Arial" w:eastAsiaTheme="minorHAnsi"/>
          <w:i/>
          <w:iCs/>
          <w:sz w:val="22"/>
          <w:szCs w:val="22"/>
          <w:lang w:val="es-ES_tradnl" w:eastAsia="es-ES_tradnl"/>
        </w:rPr>
        <w:t>ibidem</w:t>
      </w:r>
      <w:r w:rsidRPr="0051586B">
        <w:rPr>
          <w:rFonts w:ascii="Arial" w:hAnsi="Arial" w:cs="Arial" w:eastAsiaTheme="minorHAnsi"/>
          <w:sz w:val="22"/>
          <w:szCs w:val="22"/>
          <w:lang w:val="es-ES_tradnl" w:eastAsia="es-ES_tradnl"/>
        </w:rPr>
        <w:t>. Es posible diferenciar los </w:t>
      </w:r>
      <w:r w:rsidRPr="0051586B">
        <w:rPr>
          <w:rFonts w:ascii="Arial" w:hAnsi="Arial" w:cs="Arial" w:eastAsiaTheme="minorHAnsi"/>
          <w:i/>
          <w:iCs/>
          <w:sz w:val="22"/>
          <w:szCs w:val="22"/>
          <w:lang w:val="es-ES_tradnl" w:eastAsia="es-ES_tradnl"/>
        </w:rPr>
        <w:t>convenios de asociación</w:t>
      </w:r>
      <w:r w:rsidRPr="0051586B">
        <w:rPr>
          <w:rFonts w:ascii="Arial" w:hAnsi="Arial" w:cs="Arial" w:eastAsiaTheme="minorHAnsi"/>
          <w:sz w:val="22"/>
          <w:szCs w:val="22"/>
          <w:lang w:val="es-ES_tradnl" w:eastAsia="es-ES_tradnl"/>
        </w:rPr>
        <w:t>, regulados en el artículo 5, de los </w:t>
      </w:r>
      <w:r w:rsidRPr="0051586B">
        <w:rPr>
          <w:rFonts w:ascii="Arial" w:hAnsi="Arial" w:cs="Arial" w:eastAsiaTheme="minorHAnsi"/>
          <w:i/>
          <w:iCs/>
          <w:sz w:val="22"/>
          <w:szCs w:val="22"/>
          <w:lang w:val="es-ES_tradnl" w:eastAsia="es-ES_tradnl"/>
        </w:rPr>
        <w:t>contratos de colaboración</w:t>
      </w:r>
      <w:r w:rsidRPr="0051586B">
        <w:rPr>
          <w:rFonts w:ascii="Arial" w:hAnsi="Arial" w:cs="Arial" w:eastAsiaTheme="minorHAnsi"/>
          <w:sz w:val="22"/>
          <w:szCs w:val="22"/>
          <w:lang w:val="es-ES_tradnl" w:eastAsia="es-ES_tradnl"/>
        </w:rPr>
        <w:t>, establecidos en el artículo 2 del Decreto 092 de 2017.</w:t>
      </w:r>
    </w:p>
    <w:p w:rsidRPr="0051586B" w:rsidR="00F96DA4" w:rsidP="00F96DA4" w:rsidRDefault="00F96DA4" w14:paraId="70A79BB6" w14:textId="77777777">
      <w:pPr>
        <w:spacing w:before="120" w:after="120" w:line="276" w:lineRule="auto"/>
        <w:ind w:firstLine="708"/>
        <w:jc w:val="both"/>
        <w:rPr>
          <w:rFonts w:ascii="Arial" w:hAnsi="Arial" w:eastAsia="Calibri" w:cs="Arial"/>
          <w:sz w:val="22"/>
          <w:szCs w:val="22"/>
          <w:lang w:eastAsia="en-US"/>
        </w:rPr>
      </w:pPr>
      <w:r w:rsidRPr="0051586B">
        <w:rPr>
          <w:rFonts w:ascii="Arial" w:hAnsi="Arial" w:cs="Arial" w:eastAsiaTheme="minorHAnsi"/>
          <w:sz w:val="22"/>
          <w:szCs w:val="22"/>
          <w:lang w:val="es-ES_tradnl" w:eastAsia="es-ES_tradnl"/>
        </w:rPr>
        <w:t xml:space="preserve">Según el artículo 5 del Decreto 092 de 2017, </w:t>
      </w:r>
      <w:r w:rsidRPr="0051586B">
        <w:rPr>
          <w:rFonts w:ascii="Arial" w:hAnsi="Arial" w:eastAsia="Calibri" w:cs="Arial"/>
          <w:sz w:val="22"/>
          <w:szCs w:val="22"/>
          <w:lang w:eastAsia="en-US"/>
        </w:rPr>
        <w:t>los convenios de asociación «no estarán sujetos a competencia cuando la entidad sin ánimo de lucro comprometa recursos en dinero para la ejecución de esas actividades en una proporción no inferior al 30% del valor total del convenio». Por tanto, habrá lugar a contratación directa para los convenios de asociación cuando el contratista, es decir, una ESAL, aporte al menos el treinta por ciento (30%) del valor del convenio; de lo contrario deberá celebrarse un proceso competitivo. Además, en atención al inciso 2 del artículo 5 del Decreto 092 de 2017, las entidades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rsidRPr="0051586B" w:rsidR="00F96DA4" w:rsidP="00F96DA4" w:rsidRDefault="00F96DA4" w14:paraId="690D9A90" w14:textId="77777777">
      <w:pPr>
        <w:spacing w:before="120" w:after="120" w:line="276" w:lineRule="auto"/>
        <w:ind w:firstLine="708"/>
        <w:jc w:val="both"/>
        <w:rPr>
          <w:rFonts w:ascii="Arial" w:hAnsi="Arial" w:cs="Arial" w:eastAsiaTheme="minorHAnsi"/>
          <w:sz w:val="22"/>
          <w:szCs w:val="22"/>
          <w:lang w:val="es-ES_tradnl" w:eastAsia="es-ES_tradnl"/>
        </w:rPr>
      </w:pPr>
      <w:r w:rsidRPr="0051586B">
        <w:rPr>
          <w:rFonts w:ascii="Arial" w:hAnsi="Arial" w:eastAsia="Calibri" w:cs="Arial"/>
          <w:sz w:val="22"/>
          <w:szCs w:val="22"/>
          <w:lang w:eastAsia="en-US"/>
        </w:rPr>
        <w:t>Sin embargo, en virtud de la prohibición contenida en el artículo 33 de la Ley 996 de 2005</w:t>
      </w:r>
      <w:r>
        <w:rPr>
          <w:rFonts w:ascii="Arial" w:hAnsi="Arial" w:eastAsia="Calibri" w:cs="Arial"/>
          <w:sz w:val="22"/>
          <w:szCs w:val="22"/>
          <w:lang w:eastAsia="en-US"/>
        </w:rPr>
        <w:t>,</w:t>
      </w:r>
      <w:r w:rsidRPr="0051586B">
        <w:rPr>
          <w:rFonts w:ascii="Arial" w:hAnsi="Arial" w:eastAsia="Calibri" w:cs="Arial"/>
          <w:sz w:val="22"/>
          <w:szCs w:val="22"/>
          <w:lang w:eastAsia="en-US"/>
        </w:rPr>
        <w:t xml:space="preserve"> dirigida a la «contratación directa», la cual, como se explicó, se extiende a </w:t>
      </w:r>
      <w:r w:rsidRPr="0051586B">
        <w:rPr>
          <w:rFonts w:ascii="Arial" w:hAnsi="Arial" w:cs="Arial" w:eastAsiaTheme="minorHAnsi"/>
          <w:bCs/>
          <w:sz w:val="22"/>
          <w:szCs w:val="22"/>
          <w:lang w:val="es-MX" w:eastAsia="x-none"/>
        </w:rPr>
        <w:t>cualquier sistema de selección o procedimiento de contratación utilizado por las entidades estatales que no incluya la convocatoria pública en alguna de sus etapas, ni permita la participación de una pluralidad de oferentes, debe concluirse que, durante los cuatro (4) meses anteriores a la elección presidencial y hasta la realización de la elección en la segunda vuelta, queda también prohibida la contratación directa de convenios de asociación con ESAL y, por tanto, incluso en los eventos en que la entidad verifique que la ESAL ofrecerá al menos el 30%</w:t>
      </w:r>
      <w:r w:rsidRPr="0051586B">
        <w:rPr>
          <w:rFonts w:ascii="Arial" w:hAnsi="Arial" w:eastAsia="Calibri" w:cs="Arial"/>
          <w:sz w:val="22"/>
          <w:szCs w:val="22"/>
          <w:lang w:eastAsia="en-US"/>
        </w:rPr>
        <w:t xml:space="preserve"> de recursos en dinero para el convenio de asociación, deberá realizar un proceso competitivo para la celebración de los</w:t>
      </w:r>
      <w:r w:rsidRPr="0051586B">
        <w:rPr>
          <w:rFonts w:ascii="Arial" w:hAnsi="Arial" w:cs="Arial" w:eastAsiaTheme="minorHAnsi"/>
          <w:bCs/>
          <w:sz w:val="22"/>
          <w:szCs w:val="22"/>
          <w:lang w:val="es-MX" w:eastAsia="x-none"/>
        </w:rPr>
        <w:t xml:space="preserve"> </w:t>
      </w:r>
      <w:r w:rsidRPr="0051586B">
        <w:rPr>
          <w:rFonts w:ascii="Arial" w:hAnsi="Arial" w:cs="Arial" w:eastAsiaTheme="minorHAnsi"/>
          <w:bCs/>
          <w:i/>
          <w:iCs/>
          <w:sz w:val="22"/>
          <w:szCs w:val="22"/>
          <w:lang w:val="es-MX" w:eastAsia="x-none"/>
        </w:rPr>
        <w:t>convenios de asociación.</w:t>
      </w:r>
    </w:p>
    <w:p w:rsidRPr="00924DEF" w:rsidR="00F96DA4" w:rsidP="00F96DA4" w:rsidRDefault="00F96DA4" w14:paraId="49EF737C" w14:textId="77777777">
      <w:pPr>
        <w:pStyle w:val="Textoindependiente"/>
        <w:spacing w:line="276" w:lineRule="auto"/>
        <w:ind w:right="51"/>
        <w:jc w:val="both"/>
      </w:pPr>
    </w:p>
    <w:p w:rsidRPr="00924DEF" w:rsidR="00F96DA4" w:rsidP="00F96DA4" w:rsidRDefault="00F96DA4" w14:paraId="022E287A" w14:textId="77777777">
      <w:pPr>
        <w:spacing w:line="276" w:lineRule="auto"/>
        <w:jc w:val="both"/>
        <w:rPr>
          <w:rFonts w:ascii="Arial" w:hAnsi="Arial" w:eastAsia="Calibri" w:cs="Arial"/>
          <w:sz w:val="22"/>
          <w:szCs w:val="22"/>
          <w:lang w:val="es-ES"/>
        </w:rPr>
      </w:pPr>
      <w:r w:rsidRPr="00924DEF">
        <w:rPr>
          <w:rFonts w:ascii="Arial" w:hAnsi="Arial" w:eastAsia="Calibri" w:cs="Arial"/>
          <w:sz w:val="22"/>
          <w:szCs w:val="22"/>
          <w:lang w:val="es-ES"/>
        </w:rPr>
        <w:t>Este concepto tiene el alcance previsto en el artículo 28 del Código de Procedimiento Administrativo y de lo Contencioso Administrativo.</w:t>
      </w:r>
    </w:p>
    <w:p w:rsidRPr="00924DEF" w:rsidR="00F96DA4" w:rsidP="00F96DA4" w:rsidRDefault="00F96DA4" w14:paraId="3FD38E49" w14:textId="77777777">
      <w:pPr>
        <w:jc w:val="both"/>
        <w:rPr>
          <w:rFonts w:ascii="Arial" w:hAnsi="Arial" w:eastAsia="Calibri" w:cs="Arial"/>
          <w:sz w:val="22"/>
          <w:szCs w:val="22"/>
          <w:lang w:val="es-ES"/>
        </w:rPr>
      </w:pPr>
    </w:p>
    <w:p w:rsidRPr="00924DEF" w:rsidR="00F96DA4" w:rsidP="00F96DA4" w:rsidRDefault="00F96DA4" w14:paraId="320668AE" w14:textId="77777777">
      <w:pPr>
        <w:jc w:val="both"/>
        <w:rPr>
          <w:rFonts w:ascii="Arial" w:hAnsi="Arial" w:cs="Arial"/>
          <w:sz w:val="22"/>
          <w:szCs w:val="22"/>
          <w:lang w:val="es-ES" w:eastAsia="es-CO"/>
        </w:rPr>
      </w:pPr>
      <w:r w:rsidRPr="1DA648C9" w:rsidR="00F96DA4">
        <w:rPr>
          <w:rFonts w:ascii="Arial" w:hAnsi="Arial" w:cs="Arial"/>
          <w:sz w:val="22"/>
          <w:szCs w:val="22"/>
          <w:lang w:val="es-ES" w:eastAsia="es-CO"/>
        </w:rPr>
        <w:t>Atentamente,</w:t>
      </w:r>
    </w:p>
    <w:p w:rsidRPr="0008465D" w:rsidR="00F96DA4" w:rsidP="1DA648C9" w:rsidRDefault="00F96DA4" w14:paraId="3AEAA3BE" w14:textId="6522C9D1">
      <w:pPr>
        <w:pStyle w:val="Normal"/>
        <w:jc w:val="center"/>
        <w:rPr>
          <w:rFonts w:ascii="Times New Roman" w:hAnsi="Times New Roman" w:eastAsia="Times New Roman" w:cs="Times New Roman"/>
          <w:lang w:val="es-ES" w:eastAsia="es-CO"/>
        </w:rPr>
      </w:pPr>
      <w:r w:rsidR="1DA648C9">
        <w:drawing>
          <wp:inline wp14:editId="1DA648C9" wp14:anchorId="5800C026">
            <wp:extent cx="2981325" cy="1228725"/>
            <wp:effectExtent l="0" t="0" r="0" b="0"/>
            <wp:docPr id="1260862451" name="" descr="Texto&#10;&#10;Descripción generada automáticamente" title=""/>
            <wp:cNvGraphicFramePr>
              <a:graphicFrameLocks noChangeAspect="1"/>
            </wp:cNvGraphicFramePr>
            <a:graphic>
              <a:graphicData uri="http://schemas.openxmlformats.org/drawingml/2006/picture">
                <pic:pic>
                  <pic:nvPicPr>
                    <pic:cNvPr id="0" name=""/>
                    <pic:cNvPicPr/>
                  </pic:nvPicPr>
                  <pic:blipFill>
                    <a:blip r:embed="R080cc4580ae54a0e">
                      <a:extLst>
                        <a:ext xmlns:a="http://schemas.openxmlformats.org/drawingml/2006/main" uri="{28A0092B-C50C-407E-A947-70E740481C1C}">
                          <a14:useLocalDpi val="0"/>
                        </a:ext>
                      </a:extLst>
                    </a:blip>
                    <a:stretch>
                      <a:fillRect/>
                    </a:stretch>
                  </pic:blipFill>
                  <pic:spPr>
                    <a:xfrm>
                      <a:off x="0" y="0"/>
                      <a:ext cx="2981325" cy="1228725"/>
                    </a:xfrm>
                    <a:prstGeom prst="rect">
                      <a:avLst/>
                    </a:prstGeom>
                  </pic:spPr>
                </pic:pic>
              </a:graphicData>
            </a:graphic>
          </wp:inline>
        </w:drawing>
      </w:r>
    </w:p>
    <w:p w:rsidRPr="0008465D" w:rsidR="00F96DA4" w:rsidP="00F96DA4" w:rsidRDefault="00F96DA4" w14:paraId="56988345" w14:textId="77777777">
      <w:pPr>
        <w:jc w:val="center"/>
        <w:rPr>
          <w:rFonts w:ascii="Arial" w:hAnsi="Arial" w:cs="Arial"/>
          <w:sz w:val="18"/>
          <w:szCs w:val="20"/>
          <w:lang w:val="es-ES"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08465D" w:rsidR="00F96DA4" w:rsidTr="00B10244" w14:paraId="4D2ABEA7" w14:textId="77777777">
        <w:trPr>
          <w:trHeight w:val="315"/>
        </w:trPr>
        <w:tc>
          <w:tcPr>
            <w:tcW w:w="812" w:type="dxa"/>
            <w:vAlign w:val="center"/>
            <w:hideMark/>
          </w:tcPr>
          <w:p w:rsidRPr="0008465D" w:rsidR="00F96DA4" w:rsidP="00B10244" w:rsidRDefault="00F96DA4" w14:paraId="33F0C057" w14:textId="77777777">
            <w:pPr>
              <w:rPr>
                <w:rFonts w:ascii="Arial" w:hAnsi="Arial" w:cs="Arial"/>
                <w:sz w:val="16"/>
                <w:szCs w:val="16"/>
                <w:lang w:val="es-ES" w:eastAsia="es-ES"/>
              </w:rPr>
            </w:pPr>
            <w:r w:rsidRPr="0008465D">
              <w:rPr>
                <w:rFonts w:ascii="Arial" w:hAnsi="Arial" w:cs="Arial"/>
                <w:sz w:val="16"/>
                <w:szCs w:val="16"/>
                <w:lang w:val="es-ES" w:eastAsia="es-ES"/>
              </w:rPr>
              <w:t>Elaboró:</w:t>
            </w:r>
          </w:p>
        </w:tc>
        <w:tc>
          <w:tcPr>
            <w:tcW w:w="4413" w:type="dxa"/>
            <w:tcBorders>
              <w:top w:val="nil"/>
              <w:left w:val="nil"/>
              <w:bottom w:val="dotted" w:color="7F7F7F" w:themeColor="text1" w:themeTint="80" w:sz="4" w:space="0"/>
              <w:right w:val="nil"/>
            </w:tcBorders>
            <w:vAlign w:val="center"/>
            <w:hideMark/>
          </w:tcPr>
          <w:p w:rsidRPr="0008465D" w:rsidR="00F96DA4" w:rsidP="00B10244" w:rsidRDefault="00F96DA4" w14:paraId="360F8E04" w14:textId="77777777">
            <w:pPr>
              <w:rPr>
                <w:rFonts w:ascii="Arial" w:hAnsi="Arial" w:cs="Arial"/>
                <w:sz w:val="16"/>
                <w:szCs w:val="16"/>
                <w:lang w:val="es-ES" w:eastAsia="es-ES"/>
              </w:rPr>
            </w:pPr>
            <w:r w:rsidRPr="0008465D">
              <w:rPr>
                <w:rFonts w:ascii="Arial" w:hAnsi="Arial" w:cs="Arial"/>
                <w:sz w:val="16"/>
                <w:szCs w:val="16"/>
                <w:lang w:val="es-ES" w:eastAsia="es-ES"/>
              </w:rPr>
              <w:t xml:space="preserve">Camilo Perdomo Villamil </w:t>
            </w:r>
          </w:p>
          <w:p w:rsidRPr="0008465D" w:rsidR="00F96DA4" w:rsidP="00B10244" w:rsidRDefault="00F96DA4" w14:paraId="0DC80314" w14:textId="77777777">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Pr="0008465D" w:rsidR="00F96DA4" w:rsidTr="00B10244" w14:paraId="6934D226" w14:textId="77777777">
        <w:trPr>
          <w:trHeight w:val="330"/>
        </w:trPr>
        <w:tc>
          <w:tcPr>
            <w:tcW w:w="812" w:type="dxa"/>
            <w:vAlign w:val="center"/>
            <w:hideMark/>
          </w:tcPr>
          <w:p w:rsidRPr="0008465D" w:rsidR="00F96DA4" w:rsidP="00B10244" w:rsidRDefault="00F96DA4" w14:paraId="7BE0E2D5" w14:textId="77777777">
            <w:pPr>
              <w:rPr>
                <w:rFonts w:ascii="Arial" w:hAnsi="Arial" w:cs="Arial"/>
                <w:sz w:val="16"/>
                <w:szCs w:val="16"/>
                <w:lang w:val="es-ES" w:eastAsia="es-ES"/>
              </w:rPr>
            </w:pPr>
            <w:r w:rsidRPr="0008465D">
              <w:rPr>
                <w:rFonts w:ascii="Arial" w:hAnsi="Arial" w:cs="Arial"/>
                <w:sz w:val="16"/>
                <w:szCs w:val="16"/>
                <w:lang w:val="es-ES"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8465D" w:rsidR="00F96DA4" w:rsidP="00B10244" w:rsidRDefault="00F96DA4" w14:paraId="7D6B013B" w14:textId="77777777">
            <w:pPr>
              <w:rPr>
                <w:rFonts w:ascii="Arial" w:hAnsi="Arial" w:cs="Arial"/>
                <w:sz w:val="16"/>
                <w:szCs w:val="16"/>
                <w:lang w:val="es-ES" w:eastAsia="es-ES"/>
              </w:rPr>
            </w:pPr>
            <w:r>
              <w:rPr>
                <w:rFonts w:ascii="Arial" w:hAnsi="Arial" w:cs="Arial"/>
                <w:sz w:val="16"/>
                <w:szCs w:val="16"/>
                <w:lang w:val="es-ES" w:eastAsia="es-ES"/>
              </w:rPr>
              <w:t xml:space="preserve">Cristian Andrés Díaz Díez </w:t>
            </w:r>
          </w:p>
          <w:p w:rsidRPr="0008465D" w:rsidR="00F96DA4" w:rsidP="00B10244" w:rsidRDefault="00F96DA4" w14:paraId="0D1B3E61" w14:textId="77777777">
            <w:pPr>
              <w:rPr>
                <w:rFonts w:ascii="Arial" w:hAnsi="Arial" w:cs="Arial"/>
                <w:sz w:val="16"/>
                <w:szCs w:val="16"/>
                <w:lang w:val="es-ES" w:eastAsia="es-ES"/>
              </w:rPr>
            </w:pPr>
            <w:r w:rsidRPr="0008465D">
              <w:rPr>
                <w:rFonts w:ascii="Arial" w:hAnsi="Arial" w:cs="Arial"/>
                <w:sz w:val="16"/>
                <w:szCs w:val="16"/>
                <w:lang w:val="es-ES" w:eastAsia="es-ES"/>
              </w:rPr>
              <w:t>Contratista de la Subdirección de Gestión Contractual</w:t>
            </w:r>
          </w:p>
        </w:tc>
      </w:tr>
      <w:tr w:rsidRPr="0008465D" w:rsidR="00F96DA4" w:rsidTr="00B10244" w14:paraId="6E8C3543" w14:textId="77777777">
        <w:trPr>
          <w:trHeight w:val="300"/>
        </w:trPr>
        <w:tc>
          <w:tcPr>
            <w:tcW w:w="812" w:type="dxa"/>
            <w:vAlign w:val="center"/>
            <w:hideMark/>
          </w:tcPr>
          <w:p w:rsidRPr="0008465D" w:rsidR="00F96DA4" w:rsidP="00B10244" w:rsidRDefault="00F96DA4" w14:paraId="2A6EDD83" w14:textId="77777777">
            <w:pPr>
              <w:rPr>
                <w:rFonts w:ascii="Arial" w:hAnsi="Arial" w:cs="Arial"/>
                <w:sz w:val="16"/>
                <w:szCs w:val="16"/>
                <w:lang w:val="es-ES" w:eastAsia="es-ES"/>
              </w:rPr>
            </w:pPr>
            <w:r w:rsidRPr="0008465D">
              <w:rPr>
                <w:rFonts w:ascii="Arial" w:hAnsi="Arial" w:cs="Arial"/>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8465D" w:rsidR="00F96DA4" w:rsidP="00B10244" w:rsidRDefault="00F96DA4" w14:paraId="7A34BF08" w14:textId="77777777">
            <w:pPr>
              <w:rPr>
                <w:rFonts w:ascii="Arial" w:hAnsi="Arial" w:cs="Arial"/>
                <w:sz w:val="16"/>
                <w:szCs w:val="16"/>
                <w:lang w:val="es-ES" w:eastAsia="es-ES"/>
              </w:rPr>
            </w:pPr>
            <w:r w:rsidRPr="0008465D">
              <w:rPr>
                <w:rFonts w:ascii="Arial" w:hAnsi="Arial" w:cs="Arial"/>
                <w:sz w:val="16"/>
                <w:szCs w:val="16"/>
                <w:lang w:val="es-ES" w:eastAsia="es-ES"/>
              </w:rPr>
              <w:t>Jorge Augusto Tirado Navarro</w:t>
            </w:r>
          </w:p>
          <w:p w:rsidRPr="0008465D" w:rsidR="00F96DA4" w:rsidP="00B10244" w:rsidRDefault="00F96DA4" w14:paraId="54918AF1" w14:textId="77777777">
            <w:pPr>
              <w:rPr>
                <w:rFonts w:ascii="Arial" w:hAnsi="Arial" w:cs="Arial"/>
                <w:sz w:val="16"/>
                <w:szCs w:val="16"/>
                <w:lang w:val="es-ES" w:eastAsia="es-ES"/>
              </w:rPr>
            </w:pPr>
            <w:r w:rsidRPr="0008465D">
              <w:rPr>
                <w:rFonts w:ascii="Arial" w:hAnsi="Arial" w:cs="Arial"/>
                <w:sz w:val="16"/>
                <w:szCs w:val="16"/>
                <w:lang w:val="es-ES" w:eastAsia="es-ES"/>
              </w:rPr>
              <w:t>Subdirector de Gestión Contractual ANCP – CCE</w:t>
            </w:r>
          </w:p>
        </w:tc>
      </w:tr>
    </w:tbl>
    <w:p w:rsidR="00F96DA4" w:rsidP="00F96DA4" w:rsidRDefault="00F96DA4" w14:paraId="13E432E5" w14:textId="77777777"/>
    <w:p w:rsidR="003C7067" w:rsidP="00F96DA4" w:rsidRDefault="003C7067" w14:paraId="019B7BEC" w14:textId="77777777">
      <w:pPr>
        <w:jc w:val="both"/>
      </w:pPr>
    </w:p>
    <w:sectPr w:rsidR="003C7067" w:rsidSect="00D81E5B">
      <w:headerReference w:type="default" r:id="rId10"/>
      <w:footerReference w:type="default" r:id="rId11"/>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153" w:rsidP="003C7067" w:rsidRDefault="00D95153" w14:paraId="278D8B76" w14:textId="77777777">
      <w:r>
        <w:separator/>
      </w:r>
    </w:p>
  </w:endnote>
  <w:endnote w:type="continuationSeparator" w:id="0">
    <w:p w:rsidR="00D95153" w:rsidP="003C7067" w:rsidRDefault="00D95153" w14:paraId="404D3B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1E5B" w:rsidP="00D81E5B" w:rsidRDefault="00D81E5B" w14:paraId="262BF19D" w14:textId="77777777">
    <w:pPr>
      <w:pStyle w:val="Sinespaciado"/>
      <w:jc w:val="right"/>
      <w:rPr>
        <w:rFonts w:ascii="Arial" w:hAnsi="Arial" w:cs="Arial"/>
        <w:sz w:val="18"/>
        <w:szCs w:val="18"/>
      </w:rPr>
    </w:pPr>
  </w:p>
  <w:p w:rsidR="00D81E5B" w:rsidP="00D81E5B" w:rsidRDefault="00D81E5B" w14:paraId="7EE0D30C" w14:textId="77777777">
    <w:pPr>
      <w:pStyle w:val="Sinespaciado"/>
      <w:jc w:val="right"/>
      <w:rPr>
        <w:rFonts w:ascii="Arial" w:hAnsi="Arial" w:cs="Arial"/>
        <w:sz w:val="18"/>
        <w:szCs w:val="18"/>
      </w:rPr>
    </w:pPr>
  </w:p>
  <w:p w:rsidRPr="008217B7" w:rsidR="00D81E5B" w:rsidP="00D81E5B" w:rsidRDefault="000965D3" w14:paraId="120D6A59"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D81E5B" w:rsidP="00D81E5B" w:rsidRDefault="000965D3" w14:paraId="27B59CE5" w14:textId="77777777">
    <w:pPr>
      <w:pStyle w:val="Piedepgina"/>
      <w:jc w:val="center"/>
      <w:rPr>
        <w:lang w:val="es-ES"/>
      </w:rPr>
    </w:pPr>
    <w:r>
      <w:rPr>
        <w:noProof/>
      </w:rPr>
      <w:drawing>
        <wp:inline distT="0" distB="0" distL="0" distR="0" wp14:anchorId="467852E1" wp14:editId="1110606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Pr="00E756AC" w:rsidR="00D81E5B" w:rsidP="00D81E5B" w:rsidRDefault="00D81E5B" w14:paraId="7D50B862" w14:textId="77777777">
    <w:pPr>
      <w:pStyle w:val="Piedepgina"/>
      <w:jc w:val="center"/>
      <w:rPr>
        <w:sz w:val="18"/>
        <w:szCs w:val="18"/>
        <w:lang w:val="es-ES"/>
      </w:rPr>
    </w:pPr>
  </w:p>
  <w:p w:rsidRPr="00E756AC" w:rsidR="00D81E5B" w:rsidP="00D81E5B" w:rsidRDefault="00D81E5B" w14:paraId="1CBE747A" w14:textId="7777777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153" w:rsidP="003C7067" w:rsidRDefault="00D95153" w14:paraId="30D99617" w14:textId="77777777">
      <w:r>
        <w:separator/>
      </w:r>
    </w:p>
  </w:footnote>
  <w:footnote w:type="continuationSeparator" w:id="0">
    <w:p w:rsidR="00D95153" w:rsidP="003C7067" w:rsidRDefault="00D95153" w14:paraId="40253CA5" w14:textId="77777777">
      <w:r>
        <w:continuationSeparator/>
      </w:r>
    </w:p>
  </w:footnote>
  <w:footnote w:id="1">
    <w:p w:rsidRPr="00EC20D7" w:rsidR="00F96DA4" w:rsidP="00F96DA4" w:rsidRDefault="00F96DA4" w14:paraId="7BB20E62" w14:textId="77777777">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rsidR="00F96DA4" w:rsidP="00F96DA4" w:rsidRDefault="00F96DA4" w14:paraId="78DEC02E" w14:textId="77777777">
      <w:pPr>
        <w:pStyle w:val="Textonotapie"/>
        <w:ind w:firstLine="709"/>
        <w:jc w:val="both"/>
        <w:rPr>
          <w:rFonts w:ascii="Arial" w:hAnsi="Arial" w:cs="Arial"/>
          <w:sz w:val="19"/>
          <w:szCs w:val="19"/>
        </w:rPr>
      </w:pPr>
      <w:r w:rsidRPr="00EC20D7">
        <w:rPr>
          <w:rFonts w:ascii="Arial" w:hAnsi="Arial" w:cs="Arial"/>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p w:rsidRPr="00EC20D7" w:rsidR="00F96DA4" w:rsidP="00F96DA4" w:rsidRDefault="00F96DA4" w14:paraId="147FAB36" w14:textId="77777777">
      <w:pPr>
        <w:pStyle w:val="Textonotapie"/>
        <w:ind w:firstLine="709"/>
        <w:jc w:val="both"/>
        <w:rPr>
          <w:rFonts w:ascii="Arial" w:hAnsi="Arial" w:cs="Arial"/>
          <w:sz w:val="19"/>
          <w:szCs w:val="19"/>
        </w:rPr>
      </w:pPr>
    </w:p>
  </w:footnote>
  <w:footnote w:id="2">
    <w:p w:rsidR="00F96DA4" w:rsidP="00F96DA4" w:rsidRDefault="00F96DA4" w14:paraId="00D7EBE5" w14:textId="77777777">
      <w:pPr>
        <w:pStyle w:val="Textonotapie"/>
        <w:ind w:firstLine="709"/>
        <w:jc w:val="both"/>
        <w:rPr>
          <w:rFonts w:ascii="Arial" w:hAnsi="Arial" w:cs="Arial"/>
          <w:sz w:val="19"/>
          <w:szCs w:val="19"/>
        </w:rPr>
      </w:pPr>
      <w:r w:rsidRPr="002F0981">
        <w:rPr>
          <w:rStyle w:val="Refdenotaalpie"/>
          <w:rFonts w:ascii="Arial" w:hAnsi="Arial" w:cs="Arial"/>
          <w:sz w:val="19"/>
          <w:szCs w:val="19"/>
        </w:rPr>
        <w:footnoteRef/>
      </w:r>
      <w:r w:rsidRPr="002F0981">
        <w:rPr>
          <w:rFonts w:ascii="Arial" w:hAnsi="Arial" w:cs="Arial"/>
          <w:sz w:val="19"/>
          <w:szCs w:val="19"/>
        </w:rPr>
        <w:t xml:space="preserve"> Gaceta del Congreso de la República No. 71 del 2005.</w:t>
      </w:r>
    </w:p>
    <w:p w:rsidRPr="002F0981" w:rsidR="00F96DA4" w:rsidP="00F96DA4" w:rsidRDefault="00F96DA4" w14:paraId="76816949" w14:textId="77777777">
      <w:pPr>
        <w:pStyle w:val="Textonotapie"/>
        <w:ind w:firstLine="709"/>
        <w:jc w:val="both"/>
        <w:rPr>
          <w:rFonts w:ascii="Arial" w:hAnsi="Arial" w:cs="Arial"/>
          <w:sz w:val="19"/>
          <w:szCs w:val="19"/>
          <w:lang w:val="es-CO"/>
        </w:rPr>
      </w:pPr>
    </w:p>
  </w:footnote>
  <w:footnote w:id="3">
    <w:p w:rsidRPr="00EC20D7" w:rsidR="00F96DA4" w:rsidP="00F96DA4" w:rsidRDefault="00F96DA4" w14:paraId="5DB0FF18" w14:textId="77777777">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 C- 1153 de 2005, M.P. Marco Gerardo Monroy Cabra.</w:t>
      </w:r>
    </w:p>
  </w:footnote>
  <w:footnote w:id="4">
    <w:p w:rsidRPr="00EC20D7" w:rsidR="00F96DA4" w:rsidP="00F96DA4" w:rsidRDefault="00F96DA4" w14:paraId="6A371E8C" w14:textId="77777777">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rsidRPr="00EC20D7" w:rsidR="00F96DA4" w:rsidP="00F96DA4" w:rsidRDefault="00F96DA4" w14:paraId="5F9BD11A" w14:textId="77777777">
      <w:pPr>
        <w:pStyle w:val="Textonotapie"/>
        <w:ind w:firstLine="709"/>
        <w:jc w:val="both"/>
        <w:rPr>
          <w:rFonts w:ascii="Arial" w:hAnsi="Arial" w:cs="Arial"/>
          <w:sz w:val="19"/>
          <w:szCs w:val="19"/>
        </w:rPr>
      </w:pPr>
    </w:p>
  </w:footnote>
  <w:footnote w:id="5">
    <w:p w:rsidRPr="00EC20D7" w:rsidR="00F96DA4" w:rsidP="00F96DA4" w:rsidRDefault="00F96DA4" w14:paraId="77B1B007" w14:textId="77777777">
      <w:pPr>
        <w:pStyle w:val="Textonotapie"/>
        <w:ind w:firstLine="709"/>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lang w:val="es-CO"/>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rsidRPr="00EC20D7" w:rsidR="00F96DA4" w:rsidP="00F96DA4" w:rsidRDefault="00F96DA4" w14:paraId="76BAF7B9" w14:textId="77777777">
      <w:pPr>
        <w:pStyle w:val="Textonotapie"/>
        <w:ind w:firstLine="709"/>
        <w:jc w:val="both"/>
        <w:rPr>
          <w:rFonts w:ascii="Arial" w:hAnsi="Arial" w:cs="Arial"/>
          <w:sz w:val="19"/>
          <w:szCs w:val="19"/>
          <w:lang w:val="es-CO"/>
        </w:rPr>
      </w:pPr>
    </w:p>
  </w:footnote>
  <w:footnote w:id="6">
    <w:p w:rsidRPr="00EC20D7" w:rsidR="00F96DA4" w:rsidP="00F96DA4" w:rsidRDefault="00F96DA4" w14:paraId="7DBE65B8" w14:textId="77777777">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de fecha 24 de julio de 2013, radicado 2166, Consejero Ponente: Álvaro Namén Vargas.  </w:t>
      </w:r>
    </w:p>
  </w:footnote>
  <w:footnote w:id="7">
    <w:p w:rsidR="00F96DA4" w:rsidP="00F96DA4" w:rsidRDefault="00F96DA4" w14:paraId="0C514B3E" w14:textId="77777777">
      <w:pPr>
        <w:ind w:firstLine="709"/>
        <w:jc w:val="both"/>
        <w:rPr>
          <w:rFonts w:ascii="Arial" w:hAnsi="Arial" w:cs="Arial"/>
          <w:sz w:val="19"/>
          <w:szCs w:val="19"/>
        </w:rPr>
      </w:pPr>
    </w:p>
    <w:p w:rsidRPr="00EC20D7" w:rsidR="00F96DA4" w:rsidP="00F96DA4" w:rsidRDefault="00F96DA4" w14:paraId="25C045B1" w14:textId="77777777">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eastAsia="Calibri" w:cs="Arial"/>
          <w:bCs/>
          <w:color w:val="000000"/>
          <w:sz w:val="19"/>
          <w:szCs w:val="19"/>
        </w:rPr>
        <w:t>«</w:t>
      </w:r>
      <w:r w:rsidRPr="00EC20D7">
        <w:rPr>
          <w:rFonts w:ascii="Arial" w:hAnsi="Arial" w:cs="Arial"/>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rsidRPr="00EC20D7" w:rsidR="00F96DA4" w:rsidP="00F96DA4" w:rsidRDefault="00F96DA4" w14:paraId="5C3E6BAB" w14:textId="77777777">
      <w:pPr>
        <w:ind w:firstLine="709"/>
        <w:jc w:val="both"/>
        <w:rPr>
          <w:rFonts w:ascii="Arial" w:hAnsi="Arial" w:cs="Arial"/>
          <w:sz w:val="19"/>
          <w:szCs w:val="19"/>
        </w:rPr>
      </w:pPr>
      <w:r w:rsidRPr="00EC20D7">
        <w:rPr>
          <w:rFonts w:ascii="Arial" w:hAnsi="Arial" w:eastAsia="Calibri" w:cs="Arial"/>
          <w:bCs/>
          <w:color w:val="000000"/>
          <w:sz w:val="19"/>
          <w:szCs w:val="19"/>
        </w:rPr>
        <w:t>»</w:t>
      </w:r>
      <w:r w:rsidRPr="00EC20D7">
        <w:rPr>
          <w:rFonts w:ascii="Arial" w:hAnsi="Arial" w:cs="Arial"/>
          <w:sz w:val="19"/>
          <w:szCs w:val="19"/>
        </w:rPr>
        <w:t xml:space="preserve">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EC20D7">
        <w:rPr>
          <w:rFonts w:ascii="Arial" w:hAnsi="Arial" w:eastAsia="Calibri" w:cs="Arial"/>
          <w:bCs/>
          <w:color w:val="000000"/>
          <w:sz w:val="19"/>
          <w:szCs w:val="19"/>
        </w:rPr>
        <w:t>»</w:t>
      </w:r>
      <w:r w:rsidRPr="00EC20D7">
        <w:rPr>
          <w:rFonts w:ascii="Arial" w:hAnsi="Arial" w:cs="Arial"/>
          <w:sz w:val="19"/>
          <w:szCs w:val="19"/>
        </w:rPr>
        <w:t>.</w:t>
      </w:r>
    </w:p>
  </w:footnote>
  <w:footnote w:id="8">
    <w:p w:rsidR="00F96DA4" w:rsidP="00F96DA4" w:rsidRDefault="00F96DA4" w14:paraId="61B56D30" w14:textId="77777777">
      <w:pPr>
        <w:pStyle w:val="NormalWeb"/>
        <w:spacing w:before="0" w:beforeAutospacing="0" w:after="0" w:afterAutospacing="0"/>
        <w:ind w:firstLine="709"/>
        <w:jc w:val="both"/>
        <w:rPr>
          <w:rFonts w:ascii="Arial" w:hAnsi="Arial" w:cs="Arial"/>
          <w:sz w:val="19"/>
          <w:szCs w:val="19"/>
        </w:rPr>
      </w:pPr>
    </w:p>
    <w:p w:rsidRPr="00EC20D7" w:rsidR="00F96DA4" w:rsidP="00F96DA4" w:rsidRDefault="00F96DA4" w14:paraId="082AC420" w14:textId="77777777">
      <w:pPr>
        <w:pStyle w:val="NormalWeb"/>
        <w:spacing w:before="0" w:beforeAutospacing="0" w:after="0" w:afterAutospacing="0"/>
        <w:ind w:firstLine="709"/>
        <w:jc w:val="both"/>
        <w:rPr>
          <w:rFonts w:ascii="Arial" w:hAnsi="Arial" w:cs="Arial"/>
          <w:sz w:val="19"/>
          <w:szCs w:val="19"/>
          <w:lang w:val="es-MX"/>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eastAsia="Calibri" w:cs="Arial"/>
          <w:bCs/>
          <w:color w:val="000000"/>
          <w:sz w:val="19"/>
          <w:szCs w:val="19"/>
        </w:rPr>
        <w:t>«</w:t>
      </w:r>
      <w:r w:rsidRPr="00EC20D7">
        <w:rPr>
          <w:rFonts w:ascii="Arial" w:hAnsi="Arial" w:cs="Arial"/>
          <w:sz w:val="19"/>
          <w:szCs w:val="19"/>
          <w:lang w:val="es-MX"/>
        </w:rPr>
        <w:t>Artículo 38. Prohibiciones para los servidores públicos. A los empleados del Estado les está prohibido:</w:t>
      </w:r>
    </w:p>
    <w:p w:rsidRPr="00EC20D7" w:rsidR="00F96DA4" w:rsidP="00F96DA4" w:rsidRDefault="00F96DA4" w14:paraId="6BB2B280" w14:textId="77777777">
      <w:pPr>
        <w:pStyle w:val="NormalWeb"/>
        <w:spacing w:before="0" w:beforeAutospacing="0" w:after="0" w:afterAutospacing="0"/>
        <w:ind w:firstLine="709"/>
        <w:jc w:val="both"/>
        <w:rPr>
          <w:rFonts w:ascii="Arial" w:hAnsi="Arial" w:cs="Arial"/>
          <w:sz w:val="19"/>
          <w:szCs w:val="19"/>
          <w:lang w:val="es-MX"/>
        </w:rPr>
      </w:pPr>
      <w:r w:rsidRPr="00EC20D7">
        <w:rPr>
          <w:rFonts w:ascii="Arial" w:hAnsi="Arial" w:eastAsia="Calibri" w:cs="Arial"/>
          <w:bCs/>
          <w:color w:val="000000"/>
          <w:sz w:val="19"/>
          <w:szCs w:val="19"/>
        </w:rPr>
        <w:t>»</w:t>
      </w:r>
      <w:r w:rsidRPr="00EC20D7">
        <w:rPr>
          <w:rFonts w:ascii="Arial" w:hAnsi="Arial" w:cs="Arial"/>
          <w:sz w:val="19"/>
          <w:szCs w:val="19"/>
          <w:lang w:val="es-MX"/>
        </w:rPr>
        <w:t xml:space="preserve"> […]</w:t>
      </w:r>
    </w:p>
    <w:p w:rsidRPr="002F0981" w:rsidR="00F96DA4" w:rsidP="00F96DA4" w:rsidRDefault="00F96DA4" w14:paraId="4176BF27" w14:textId="77777777">
      <w:pPr>
        <w:ind w:firstLine="709"/>
        <w:jc w:val="both"/>
        <w:rPr>
          <w:rFonts w:ascii="Arial" w:hAnsi="Arial" w:cs="Arial"/>
          <w:sz w:val="19"/>
          <w:szCs w:val="19"/>
          <w:lang w:val="es-MX"/>
        </w:rPr>
      </w:pPr>
      <w:r w:rsidRPr="0026728E">
        <w:rPr>
          <w:rFonts w:ascii="Arial" w:hAnsi="Arial" w:eastAsia="Calibri" w:cs="Arial"/>
          <w:bCs/>
          <w:color w:val="000000"/>
          <w:sz w:val="19"/>
          <w:szCs w:val="19"/>
        </w:rPr>
        <w:t>»</w:t>
      </w:r>
      <w:r w:rsidRPr="002F0981">
        <w:rPr>
          <w:rStyle w:val="baj"/>
          <w:rFonts w:ascii="Arial" w:hAnsi="Arial" w:cs="Arial"/>
          <w:sz w:val="19"/>
          <w:szCs w:val="19"/>
        </w:rPr>
        <w:t xml:space="preserve"> Parágrafo.</w:t>
      </w:r>
      <w:r w:rsidRPr="002F0981">
        <w:rPr>
          <w:rFonts w:ascii="Arial" w:hAnsi="Arial" w:cs="Arial"/>
          <w:sz w:val="19"/>
          <w:szCs w:val="19"/>
          <w:lang w:val="es-MX"/>
        </w:rPr>
        <w:t>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26728E">
        <w:rPr>
          <w:rFonts w:ascii="Arial" w:hAnsi="Arial" w:eastAsia="Calibri" w:cs="Arial"/>
          <w:bCs/>
          <w:color w:val="000000"/>
          <w:sz w:val="19"/>
          <w:szCs w:val="19"/>
        </w:rPr>
        <w:t>»</w:t>
      </w:r>
      <w:r w:rsidRPr="002F0981">
        <w:rPr>
          <w:rFonts w:ascii="Arial" w:hAnsi="Arial" w:cs="Arial"/>
          <w:sz w:val="19"/>
          <w:szCs w:val="19"/>
          <w:lang w:val="es-MX"/>
        </w:rPr>
        <w:t>.</w:t>
      </w:r>
    </w:p>
  </w:footnote>
  <w:footnote w:id="9">
    <w:p w:rsidR="00F96DA4" w:rsidP="00F96DA4" w:rsidRDefault="00F96DA4" w14:paraId="03900F51" w14:textId="77777777">
      <w:pPr>
        <w:ind w:left="100" w:right="244" w:firstLine="709"/>
        <w:jc w:val="both"/>
        <w:rPr>
          <w:rFonts w:ascii="Arial" w:hAnsi="Arial" w:cs="Arial"/>
          <w:sz w:val="19"/>
          <w:szCs w:val="19"/>
        </w:rPr>
      </w:pPr>
    </w:p>
    <w:p w:rsidRPr="002F0981" w:rsidR="00F96DA4" w:rsidP="00F96DA4" w:rsidRDefault="00F96DA4" w14:paraId="48A8493A" w14:textId="77777777">
      <w:pPr>
        <w:ind w:left="100" w:right="244" w:firstLine="709"/>
        <w:jc w:val="both"/>
        <w:rPr>
          <w:rFonts w:ascii="Arial" w:hAnsi="Arial" w:cs="Arial"/>
          <w:sz w:val="19"/>
          <w:szCs w:val="19"/>
          <w:lang w:val="es-ES"/>
        </w:rPr>
      </w:pPr>
      <w:r w:rsidRPr="0026728E">
        <w:rPr>
          <w:rStyle w:val="Refdenotaalpie"/>
          <w:rFonts w:ascii="Arial" w:hAnsi="Arial" w:cs="Arial"/>
          <w:sz w:val="19"/>
          <w:szCs w:val="19"/>
        </w:rPr>
        <w:footnoteRef/>
      </w:r>
      <w:r w:rsidRPr="00AC7007">
        <w:rPr>
          <w:rFonts w:ascii="Arial" w:hAnsi="Arial" w:cs="Arial"/>
          <w:sz w:val="19"/>
          <w:szCs w:val="19"/>
        </w:rPr>
        <w:t xml:space="preserve"> Consejo de Estado. Sala de Consulta y Servicio Civil. Concepto del 17 de febrero de 2015. C.P. William Zambrano Cetina. Radicación No. 11001-03-06-000-2015-00164-00(2269).</w:t>
      </w:r>
    </w:p>
  </w:footnote>
  <w:footnote w:id="10">
    <w:p w:rsidRPr="00EC20D7" w:rsidR="00F96DA4" w:rsidP="00F96DA4" w:rsidRDefault="00F96DA4" w14:paraId="7B0E15C0" w14:textId="77777777">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[25] </w:t>
      </w:r>
      <w:r w:rsidRPr="00EC20D7">
        <w:rPr>
          <w:rFonts w:ascii="Arial" w:hAnsi="Arial" w:cs="Arial"/>
          <w:sz w:val="19"/>
          <w:szCs w:val="19"/>
        </w:rPr>
        <w:t>Cfr. Consejo de Estado. Sección Tercera. Sentencia de 3 de diciembre de 2007. Radicados: 24.715, 25.206, 25.409, 24.524, 27.834, 25.410, 26.105, 28.244, 31.447 -acumulados-».</w:t>
      </w:r>
    </w:p>
    <w:p w:rsidRPr="00EC20D7" w:rsidR="00F96DA4" w:rsidP="00F96DA4" w:rsidRDefault="00F96DA4" w14:paraId="6665653A" w14:textId="77777777">
      <w:pPr>
        <w:pStyle w:val="Textonotapie"/>
        <w:ind w:right="51" w:firstLine="709"/>
        <w:jc w:val="both"/>
        <w:rPr>
          <w:rFonts w:ascii="Arial" w:hAnsi="Arial" w:cs="Arial"/>
          <w:sz w:val="19"/>
          <w:szCs w:val="19"/>
        </w:rPr>
      </w:pPr>
    </w:p>
  </w:footnote>
  <w:footnote w:id="11">
    <w:p w:rsidRPr="00EC20D7" w:rsidR="00F96DA4" w:rsidP="00F96DA4" w:rsidRDefault="00F96DA4" w14:paraId="5AE95349" w14:textId="77777777">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r w:rsidRPr="00EC20D7">
        <w:rPr>
          <w:rFonts w:ascii="Arial" w:hAnsi="Arial" w:cs="Arial"/>
          <w:sz w:val="19"/>
          <w:szCs w:val="19"/>
          <w:lang w:val="es-ES"/>
        </w:rPr>
        <w:t xml:space="preserve">[26] </w:t>
      </w:r>
      <w:r w:rsidRPr="00EC20D7">
        <w:rPr>
          <w:rFonts w:ascii="Arial" w:hAnsi="Arial" w:cs="Arial"/>
          <w:sz w:val="19"/>
          <w:szCs w:val="19"/>
        </w:rPr>
        <w:t>Al respecto ver el concepto 1712 de 2 de febrero de 2006. Consejo de Estado Sala de Consulta y Servicio Civil».</w:t>
      </w:r>
    </w:p>
    <w:p w:rsidRPr="00EC20D7" w:rsidR="00F96DA4" w:rsidP="00F96DA4" w:rsidRDefault="00F96DA4" w14:paraId="442D02F7" w14:textId="77777777">
      <w:pPr>
        <w:pStyle w:val="Textonotapie"/>
        <w:ind w:right="51" w:firstLine="709"/>
        <w:jc w:val="both"/>
        <w:rPr>
          <w:rFonts w:ascii="Arial" w:hAnsi="Arial" w:cs="Arial"/>
          <w:sz w:val="19"/>
          <w:szCs w:val="19"/>
        </w:rPr>
      </w:pPr>
    </w:p>
  </w:footnote>
  <w:footnote w:id="12">
    <w:p w:rsidRPr="00EC20D7" w:rsidR="00F96DA4" w:rsidP="00F96DA4" w:rsidRDefault="00F96DA4" w14:paraId="0DD7A9B5" w14:textId="77777777">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2 de septiembre de 2013. Radicación número: 11001-03-06-000-2013-00412-00 (2168). Consejero Ponente: Álvaro Namén Vargas.</w:t>
      </w:r>
    </w:p>
  </w:footnote>
  <w:footnote w:id="13">
    <w:p w:rsidR="00F96DA4" w:rsidP="00F96DA4" w:rsidRDefault="00F96DA4" w14:paraId="25962E6A" w14:textId="77777777">
      <w:pPr>
        <w:pStyle w:val="Textonotapie"/>
        <w:ind w:firstLine="709"/>
        <w:jc w:val="both"/>
        <w:rPr>
          <w:rFonts w:ascii="Arial" w:hAnsi="Arial" w:cs="Arial"/>
          <w:sz w:val="18"/>
          <w:szCs w:val="18"/>
        </w:rPr>
      </w:pPr>
    </w:p>
    <w:p w:rsidRPr="00360A25" w:rsidR="00F96DA4" w:rsidP="00F96DA4" w:rsidRDefault="00F96DA4" w14:paraId="0D7F720D" w14:textId="77777777">
      <w:pPr>
        <w:pStyle w:val="Textonotapie"/>
        <w:ind w:firstLine="709"/>
        <w:jc w:val="both"/>
        <w:rPr>
          <w:rFonts w:ascii="Arial" w:hAnsi="Arial" w:cs="Arial"/>
          <w:sz w:val="18"/>
          <w:szCs w:val="18"/>
          <w:lang w:val="es-ES"/>
        </w:rPr>
      </w:pPr>
      <w:r w:rsidRPr="00360A25">
        <w:rPr>
          <w:rStyle w:val="Refdenotaalpie"/>
          <w:rFonts w:ascii="Arial" w:hAnsi="Arial" w:cs="Arial"/>
          <w:sz w:val="18"/>
          <w:szCs w:val="18"/>
        </w:rPr>
        <w:footnoteRef/>
      </w:r>
      <w:r w:rsidRPr="00360A25">
        <w:rPr>
          <w:rFonts w:ascii="Arial" w:hAnsi="Arial" w:cs="Arial"/>
          <w:sz w:val="18"/>
          <w:szCs w:val="18"/>
        </w:rPr>
        <w:t xml:space="preserve"> </w:t>
      </w:r>
      <w:r w:rsidRPr="00360A25">
        <w:rPr>
          <w:rFonts w:ascii="Arial" w:hAnsi="Arial" w:cs="Arial"/>
          <w:sz w:val="18"/>
          <w:szCs w:val="18"/>
          <w:lang w:val="es-ES"/>
        </w:rPr>
        <w:t xml:space="preserve">Artículo 2. </w:t>
      </w:r>
    </w:p>
  </w:footnote>
  <w:footnote w:id="14">
    <w:p w:rsidR="00F96DA4" w:rsidP="00F96DA4" w:rsidRDefault="00F96DA4" w14:paraId="6D471285" w14:textId="77777777">
      <w:pPr>
        <w:pStyle w:val="Textonotapie"/>
        <w:ind w:firstLine="709"/>
        <w:jc w:val="both"/>
        <w:rPr>
          <w:rFonts w:ascii="Arial" w:hAnsi="Arial" w:cs="Arial"/>
          <w:sz w:val="18"/>
          <w:szCs w:val="18"/>
        </w:rPr>
      </w:pPr>
    </w:p>
    <w:p w:rsidRPr="00360A25" w:rsidR="00F96DA4" w:rsidP="00F96DA4" w:rsidRDefault="00F96DA4" w14:paraId="5A9E6230" w14:textId="77777777">
      <w:pPr>
        <w:pStyle w:val="Textonotapie"/>
        <w:ind w:firstLine="709"/>
        <w:jc w:val="both"/>
        <w:rPr>
          <w:rFonts w:ascii="Arial" w:hAnsi="Arial" w:cs="Arial"/>
          <w:sz w:val="18"/>
          <w:szCs w:val="18"/>
          <w:lang w:val="es-ES"/>
        </w:rPr>
      </w:pPr>
      <w:r w:rsidRPr="00360A25">
        <w:rPr>
          <w:rStyle w:val="Refdenotaalpie"/>
          <w:rFonts w:ascii="Arial" w:hAnsi="Arial" w:cs="Arial"/>
          <w:sz w:val="18"/>
          <w:szCs w:val="18"/>
        </w:rPr>
        <w:footnoteRef/>
      </w:r>
      <w:r w:rsidRPr="00360A25">
        <w:rPr>
          <w:rFonts w:ascii="Arial" w:hAnsi="Arial" w:cs="Arial"/>
          <w:sz w:val="18"/>
          <w:szCs w:val="18"/>
        </w:rPr>
        <w:t xml:space="preserve"> </w:t>
      </w:r>
      <w:r w:rsidRPr="00360A25">
        <w:rPr>
          <w:rFonts w:ascii="Arial" w:hAnsi="Arial" w:cs="Arial"/>
          <w:i/>
          <w:sz w:val="18"/>
          <w:szCs w:val="18"/>
          <w:lang w:val="es-ES"/>
        </w:rPr>
        <w:t>Ídem</w:t>
      </w:r>
      <w:r w:rsidRPr="00360A25">
        <w:rPr>
          <w:rFonts w:ascii="Arial" w:hAnsi="Arial" w:cs="Arial"/>
          <w:sz w:val="18"/>
          <w:szCs w:val="18"/>
          <w:lang w:val="es-ES"/>
        </w:rPr>
        <w:t>.</w:t>
      </w:r>
    </w:p>
  </w:footnote>
  <w:footnote w:id="15">
    <w:p w:rsidR="00F96DA4" w:rsidP="00F96DA4" w:rsidRDefault="00F96DA4" w14:paraId="0929BE9B" w14:textId="77777777">
      <w:pPr>
        <w:pStyle w:val="Textonotapie"/>
        <w:ind w:firstLine="709"/>
        <w:jc w:val="both"/>
        <w:rPr>
          <w:rFonts w:ascii="Arial" w:hAnsi="Arial" w:cs="Arial"/>
          <w:sz w:val="19"/>
          <w:szCs w:val="19"/>
        </w:rPr>
      </w:pPr>
    </w:p>
    <w:p w:rsidRPr="00EC20D7" w:rsidR="00F96DA4" w:rsidP="00F96DA4" w:rsidRDefault="00F96DA4" w14:paraId="2181FAC1" w14:textId="77777777">
      <w:pPr>
        <w:pStyle w:val="Textonotapie"/>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 xml:space="preserve">«[…] A este respecto, cabe recordar que el artículo 860 del Código de Comercio regula la licitación en el derecho privado». </w:t>
      </w:r>
    </w:p>
    <w:p w:rsidRPr="00EC20D7" w:rsidR="00F96DA4" w:rsidP="00F96DA4" w:rsidRDefault="00F96DA4" w14:paraId="127D8BAB" w14:textId="77777777">
      <w:pPr>
        <w:pStyle w:val="Textonotapie"/>
        <w:ind w:firstLine="709"/>
        <w:jc w:val="both"/>
        <w:rPr>
          <w:rFonts w:ascii="Arial" w:hAnsi="Arial" w:cs="Arial"/>
          <w:sz w:val="19"/>
          <w:szCs w:val="19"/>
          <w:lang w:val="es-ES"/>
        </w:rPr>
      </w:pPr>
    </w:p>
  </w:footnote>
  <w:footnote w:id="16">
    <w:p w:rsidRPr="00EC20D7" w:rsidR="00F96DA4" w:rsidP="00F96DA4" w:rsidRDefault="00F96DA4" w14:paraId="7563D285" w14:textId="77777777">
      <w:pPr>
        <w:shd w:val="clear" w:color="auto" w:fill="FFFFFF"/>
        <w:ind w:firstLine="709"/>
        <w:jc w:val="both"/>
        <w:rPr>
          <w:rFonts w:ascii="Arial" w:hAnsi="Arial" w:cs="Arial"/>
          <w:sz w:val="19"/>
          <w:szCs w:val="19"/>
          <w:lang w:val="es-ES"/>
        </w:rPr>
      </w:pPr>
      <w:r w:rsidRPr="00EC20D7">
        <w:rPr>
          <w:rStyle w:val="Refdenotaalpie"/>
          <w:rFonts w:ascii="Arial" w:hAnsi="Arial" w:cs="Arial"/>
          <w:sz w:val="19"/>
          <w:szCs w:val="19"/>
        </w:rPr>
        <w:footnoteRef/>
      </w:r>
      <w:r w:rsidRPr="00EC20D7">
        <w:rPr>
          <w:rStyle w:val="Refdenotaalpie"/>
          <w:rFonts w:ascii="Arial" w:hAnsi="Arial" w:cs="Arial"/>
          <w:sz w:val="19"/>
          <w:szCs w:val="19"/>
        </w:rPr>
        <w:t xml:space="preserve"> </w:t>
      </w:r>
      <w:r w:rsidRPr="00EC20D7">
        <w:rPr>
          <w:rFonts w:ascii="Arial" w:hAnsi="Arial" w:cs="Arial"/>
          <w:sz w:val="19"/>
          <w:szCs w:val="19"/>
          <w:lang w:val="es-ES"/>
        </w:rPr>
        <w:t>Consejo de Estado. Sala de Consulta y Servicio Civil, Concepto de 8 de mayo de 2018. Radicación Número: 11001-03-06-000-2018-00095-00(2382). Consejero Ponente: Álvaro Namén Vargas.</w:t>
      </w:r>
    </w:p>
  </w:footnote>
  <w:footnote w:id="17">
    <w:p w:rsidR="00F96DA4" w:rsidP="00F96DA4" w:rsidRDefault="00F96DA4" w14:paraId="11902963" w14:textId="77777777">
      <w:pPr>
        <w:pStyle w:val="Textonotapie"/>
        <w:ind w:firstLine="709"/>
        <w:jc w:val="both"/>
        <w:rPr>
          <w:rFonts w:ascii="Arial" w:hAnsi="Arial" w:cs="Arial"/>
          <w:sz w:val="19"/>
          <w:szCs w:val="19"/>
        </w:rPr>
      </w:pPr>
    </w:p>
    <w:p w:rsidRPr="00EC20D7" w:rsidR="00F96DA4" w:rsidP="00F96DA4" w:rsidRDefault="00F96DA4" w14:paraId="6290722F" w14:textId="77777777">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del 08 de mayo de 2018. Exp. 2.382. C.P. Álvaro Namén Vargas.</w:t>
      </w:r>
    </w:p>
  </w:footnote>
  <w:footnote w:id="18">
    <w:p w:rsidRPr="00360A25" w:rsidR="00F96DA4" w:rsidP="00F96DA4" w:rsidRDefault="00F96DA4" w14:paraId="5A797041" w14:textId="77777777">
      <w:pPr>
        <w:pStyle w:val="Textonotapie"/>
        <w:ind w:firstLine="709"/>
        <w:jc w:val="both"/>
        <w:rPr>
          <w:rFonts w:ascii="Arial" w:hAnsi="Arial" w:cs="Arial"/>
          <w:sz w:val="18"/>
          <w:szCs w:val="18"/>
        </w:rPr>
      </w:pPr>
      <w:r w:rsidRPr="00360A25">
        <w:rPr>
          <w:rStyle w:val="Refdenotaalpie"/>
          <w:rFonts w:ascii="Arial" w:hAnsi="Arial" w:cs="Arial"/>
          <w:sz w:val="18"/>
          <w:szCs w:val="18"/>
        </w:rPr>
        <w:footnoteRef/>
      </w:r>
      <w:r w:rsidRPr="00360A25">
        <w:rPr>
          <w:rFonts w:ascii="Arial" w:hAnsi="Arial" w:cs="Arial"/>
          <w:sz w:val="18"/>
          <w:szCs w:val="18"/>
        </w:rPr>
        <w:t xml:space="preserve"> La Corte Constitucional mediante Sentencia C-1153-05 de 11 de noviembre de 2005, Magistrado Ponente Marco Gerardo Monroy Cabra, efectuó el Control constitucional al Proyecto de Ley Estatutaria N° 216/05 Senado, N</w:t>
      </w:r>
      <w:r>
        <w:rPr>
          <w:rFonts w:ascii="Arial" w:hAnsi="Arial" w:cs="Arial"/>
          <w:sz w:val="18"/>
          <w:szCs w:val="18"/>
        </w:rPr>
        <w:t>o.</w:t>
      </w:r>
      <w:r w:rsidRPr="00360A25">
        <w:rPr>
          <w:rFonts w:ascii="Arial" w:hAnsi="Arial" w:cs="Arial"/>
          <w:sz w:val="18"/>
          <w:szCs w:val="18"/>
        </w:rPr>
        <w:t xml:space="preserve"> 235-Cámara que dio lugar a la Ley de Garantías Electorales.</w:t>
      </w:r>
    </w:p>
  </w:footnote>
  <w:footnote w:id="19">
    <w:p w:rsidRPr="00EC20D7" w:rsidR="00F96DA4" w:rsidP="00F96DA4" w:rsidRDefault="00F96DA4" w14:paraId="7FD45F20" w14:textId="77777777">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footnote>
  <w:footnote w:id="20">
    <w:p w:rsidR="00F96DA4" w:rsidP="00F96DA4" w:rsidRDefault="00F96DA4" w14:paraId="115255F3" w14:textId="77777777">
      <w:pPr>
        <w:pStyle w:val="Textonotapie"/>
        <w:ind w:right="51" w:firstLine="709"/>
        <w:jc w:val="both"/>
        <w:rPr>
          <w:rFonts w:ascii="Arial" w:hAnsi="Arial" w:cs="Arial"/>
          <w:sz w:val="19"/>
          <w:szCs w:val="19"/>
        </w:rPr>
      </w:pPr>
    </w:p>
    <w:p w:rsidRPr="00EC20D7" w:rsidR="00F96DA4" w:rsidP="00F96DA4" w:rsidRDefault="00F96DA4" w14:paraId="1EB8008E" w14:textId="77777777">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w:t>
      </w:r>
      <w:bookmarkStart w:name="_Hlk75633115" w:id="13"/>
      <w:r w:rsidRPr="00EC20D7">
        <w:rPr>
          <w:rFonts w:ascii="Arial" w:hAnsi="Arial" w:cs="Arial"/>
          <w:sz w:val="19"/>
          <w:szCs w:val="19"/>
        </w:rPr>
        <w:t xml:space="preserve">Consejo de Estado. Sala de Consulta y Servicio Civil. Concepto </w:t>
      </w:r>
      <w:bookmarkEnd w:id="13"/>
      <w:r w:rsidRPr="00EC20D7">
        <w:rPr>
          <w:rFonts w:ascii="Arial" w:hAnsi="Arial" w:cs="Arial"/>
          <w:sz w:val="19"/>
          <w:szCs w:val="19"/>
        </w:rPr>
        <w:t>de 6 de abril de 2006. Radicación Número: 11001-03-06-000-2006-00038-00(1738). Consejero Ponente: Enrique José Arboleda Perdomo:</w:t>
      </w:r>
      <w:r w:rsidRPr="00EC20D7">
        <w:rPr>
          <w:rFonts w:ascii="Arial" w:hAnsi="Arial" w:eastAsia="Times New Roman" w:cs="Arial"/>
          <w:bCs/>
          <w:sz w:val="19"/>
          <w:szCs w:val="19"/>
          <w:lang w:eastAsia="x-none"/>
        </w:rPr>
        <w:t xml:space="preserve"> «</w:t>
      </w:r>
      <w:r w:rsidRPr="00EC20D7">
        <w:rPr>
          <w:rFonts w:ascii="Arial" w:hAnsi="Arial" w:cs="Arial"/>
          <w:sz w:val="19"/>
          <w:szCs w:val="19"/>
        </w:rPr>
        <w:t>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r w:rsidRPr="00EC20D7">
        <w:rPr>
          <w:rFonts w:ascii="Arial" w:hAnsi="Arial" w:eastAsia="Times New Roman" w:cs="Arial"/>
          <w:bCs/>
          <w:sz w:val="19"/>
          <w:szCs w:val="19"/>
          <w:lang w:eastAsia="x-none"/>
        </w:rPr>
        <w:t>».</w:t>
      </w:r>
    </w:p>
  </w:footnote>
  <w:footnote w:id="21">
    <w:p w:rsidRPr="00EC20D7" w:rsidR="00F96DA4" w:rsidP="00F96DA4" w:rsidRDefault="00F96DA4" w14:paraId="13FA00AF" w14:textId="77777777">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6 de abril de 2006. Radicación Número: 11001-03-06-000-2006-00038-00(1738). Consejero Ponente: Enrique José Arboleda Perdomo.</w:t>
      </w:r>
    </w:p>
    <w:p w:rsidRPr="00EC20D7" w:rsidR="00F96DA4" w:rsidP="00F96DA4" w:rsidRDefault="00F96DA4" w14:paraId="78F8FCC8" w14:textId="77777777">
      <w:pPr>
        <w:pStyle w:val="Textonotapie"/>
        <w:ind w:right="51" w:firstLine="709"/>
        <w:jc w:val="both"/>
        <w:rPr>
          <w:rFonts w:ascii="Arial" w:hAnsi="Arial" w:cs="Arial"/>
          <w:sz w:val="19"/>
          <w:szCs w:val="19"/>
        </w:rPr>
      </w:pPr>
    </w:p>
  </w:footnote>
  <w:footnote w:id="22">
    <w:p w:rsidRPr="00EC20D7" w:rsidR="00F96DA4" w:rsidP="00F96DA4" w:rsidRDefault="00F96DA4" w14:paraId="0306823D" w14:textId="77777777">
      <w:pPr>
        <w:pStyle w:val="Textonotapie"/>
        <w:ind w:right="51"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ídem.</w:t>
      </w:r>
    </w:p>
  </w:footnote>
  <w:footnote w:id="23">
    <w:p w:rsidRPr="00EC20D7" w:rsidR="00F96DA4" w:rsidP="00F96DA4" w:rsidRDefault="00F96DA4" w14:paraId="2BBF221F" w14:textId="77777777">
      <w:pPr>
        <w:pStyle w:val="Textonotapie"/>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Sala de Consulta y Servicio Civil. Concepto de 20 de febrero de2006. Radicación 11001-03-06-000-2006-00023-00(1724). Consejero Ponente: Flavio Augusto Rodríguez Arce.</w:t>
      </w:r>
    </w:p>
    <w:p w:rsidRPr="00EC20D7" w:rsidR="00F96DA4" w:rsidP="00F96DA4" w:rsidRDefault="00F96DA4" w14:paraId="5E8CCF70" w14:textId="77777777">
      <w:pPr>
        <w:pStyle w:val="Textonotapie"/>
        <w:ind w:firstLine="709"/>
        <w:jc w:val="both"/>
        <w:rPr>
          <w:rFonts w:ascii="Arial" w:hAnsi="Arial" w:cs="Arial"/>
          <w:sz w:val="19"/>
          <w:szCs w:val="19"/>
        </w:rPr>
      </w:pPr>
    </w:p>
  </w:footnote>
  <w:footnote w:id="24">
    <w:p w:rsidRPr="00EC20D7" w:rsidR="00F96DA4" w:rsidP="00F96DA4" w:rsidRDefault="00F96DA4" w14:paraId="5AFED3CD" w14:textId="77777777">
      <w:pPr>
        <w:spacing w:before="78"/>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rsidRPr="00EC20D7" w:rsidR="00F96DA4" w:rsidP="00F96DA4" w:rsidRDefault="00F96DA4" w14:paraId="7D1050B0" w14:textId="77777777">
      <w:pPr>
        <w:ind w:firstLine="709"/>
        <w:jc w:val="both"/>
        <w:rPr>
          <w:rFonts w:ascii="Arial" w:hAnsi="Arial" w:cs="Arial"/>
          <w:sz w:val="19"/>
          <w:szCs w:val="19"/>
        </w:rPr>
      </w:pPr>
      <w:r w:rsidRPr="00EC20D7">
        <w:rPr>
          <w:rFonts w:ascii="Arial" w:hAnsi="Arial" w:cs="Arial"/>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EC20D7">
        <w:rPr>
          <w:rFonts w:ascii="Arial" w:hAnsi="Arial" w:cs="Arial"/>
          <w:spacing w:val="-1"/>
          <w:sz w:val="19"/>
          <w:szCs w:val="19"/>
        </w:rPr>
        <w:t xml:space="preserve"> </w:t>
      </w:r>
      <w:r w:rsidRPr="00EC20D7">
        <w:rPr>
          <w:rFonts w:ascii="Arial" w:hAnsi="Arial" w:cs="Arial"/>
          <w:sz w:val="19"/>
          <w:szCs w:val="19"/>
        </w:rPr>
        <w:t>Estatales».</w:t>
      </w:r>
    </w:p>
  </w:footnote>
  <w:footnote w:id="25">
    <w:p w:rsidR="00F96DA4" w:rsidP="00F96DA4" w:rsidRDefault="00F96DA4" w14:paraId="75F45B62" w14:textId="77777777">
      <w:pPr>
        <w:ind w:firstLine="709"/>
        <w:jc w:val="both"/>
        <w:rPr>
          <w:rFonts w:ascii="Arial" w:hAnsi="Arial" w:cs="Arial"/>
          <w:sz w:val="19"/>
          <w:szCs w:val="19"/>
        </w:rPr>
      </w:pPr>
    </w:p>
    <w:p w:rsidRPr="00EC20D7" w:rsidR="00F96DA4" w:rsidP="00F96DA4" w:rsidRDefault="00F96DA4" w14:paraId="3A62AAB9" w14:textId="77777777">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EC20D7">
        <w:rPr>
          <w:rFonts w:ascii="Arial" w:hAnsi="Arial" w:cs="Arial"/>
          <w:spacing w:val="-6"/>
          <w:sz w:val="19"/>
          <w:szCs w:val="19"/>
        </w:rPr>
        <w:t xml:space="preserve"> </w:t>
      </w:r>
      <w:r w:rsidRPr="00EC20D7">
        <w:rPr>
          <w:rFonts w:ascii="Arial" w:hAnsi="Arial" w:cs="Arial"/>
          <w:sz w:val="19"/>
          <w:szCs w:val="19"/>
        </w:rPr>
        <w:t>artículo».</w:t>
      </w:r>
    </w:p>
  </w:footnote>
  <w:footnote w:id="26">
    <w:p w:rsidR="00F96DA4" w:rsidP="00F96DA4" w:rsidRDefault="00F96DA4" w14:paraId="763C593D" w14:textId="77777777">
      <w:pPr>
        <w:ind w:firstLine="709"/>
        <w:jc w:val="both"/>
        <w:rPr>
          <w:rFonts w:ascii="Arial" w:hAnsi="Arial" w:cs="Arial"/>
          <w:position w:val="7"/>
          <w:sz w:val="19"/>
          <w:szCs w:val="19"/>
        </w:rPr>
      </w:pPr>
    </w:p>
    <w:p w:rsidRPr="002F0981" w:rsidR="00F96DA4" w:rsidP="00F96DA4" w:rsidRDefault="00F96DA4" w14:paraId="043877CB" w14:textId="77777777">
      <w:pPr>
        <w:ind w:firstLine="709"/>
        <w:jc w:val="both"/>
        <w:rPr>
          <w:rFonts w:ascii="Arial" w:hAnsi="Arial" w:cs="Arial"/>
          <w:sz w:val="19"/>
          <w:szCs w:val="19"/>
        </w:rPr>
      </w:pPr>
      <w:r w:rsidRPr="0026728E">
        <w:rPr>
          <w:rStyle w:val="Refdenotaalpie"/>
          <w:rFonts w:ascii="Arial" w:hAnsi="Arial" w:cs="Arial"/>
          <w:sz w:val="19"/>
          <w:szCs w:val="19"/>
        </w:rPr>
        <w:footnoteRef/>
      </w:r>
      <w:r w:rsidRPr="00AC7007">
        <w:rPr>
          <w:rFonts w:ascii="Arial" w:hAnsi="Arial" w:cs="Arial"/>
          <w:position w:val="7"/>
          <w:sz w:val="19"/>
          <w:szCs w:val="19"/>
        </w:rPr>
        <w:t xml:space="preserve"> </w:t>
      </w:r>
      <w:r w:rsidRPr="00A27246">
        <w:rPr>
          <w:rFonts w:ascii="Arial" w:hAnsi="Arial" w:cs="Arial"/>
          <w:sz w:val="19"/>
          <w:szCs w:val="19"/>
        </w:rPr>
        <w:t>Consejo de Estado. Sección Tercera. Sentencia del 23 de junio de 2010. Radicación No. 66001-23-31-000-1998-00261-01(17.860). Consejero Ponente: Mauricio Fajardo Gómez.</w:t>
      </w:r>
    </w:p>
  </w:footnote>
  <w:footnote w:id="27">
    <w:p w:rsidR="00F96DA4" w:rsidP="00F96DA4" w:rsidRDefault="00F96DA4" w14:paraId="05585954" w14:textId="77777777">
      <w:pPr>
        <w:ind w:firstLine="709"/>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Consejo de Estado. Sección Tercera. Subsección C. Sentencia del 11 de diciembre de 2019. Exp. 46.986. C.P. Jaime Enrique Rodríguez Navas.</w:t>
      </w:r>
    </w:p>
    <w:p w:rsidRPr="00EC20D7" w:rsidR="00F96DA4" w:rsidP="00F96DA4" w:rsidRDefault="00F96DA4" w14:paraId="29678FEF" w14:textId="77777777">
      <w:pPr>
        <w:ind w:firstLine="709"/>
        <w:jc w:val="both"/>
        <w:rPr>
          <w:rFonts w:ascii="Arial" w:hAnsi="Arial" w:cs="Arial"/>
          <w:sz w:val="19"/>
          <w:szCs w:val="19"/>
        </w:rPr>
      </w:pPr>
    </w:p>
  </w:footnote>
  <w:footnote w:id="28">
    <w:p w:rsidR="00F96DA4" w:rsidP="00F96DA4" w:rsidRDefault="00F96DA4" w14:paraId="050981F2" w14:textId="77777777">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1 de noviembre de 2016 [Rad. 11001-03-06-000-2016-00125-00(2305)]. MP. Germán Alberto Bula Escobar».</w:t>
      </w:r>
    </w:p>
    <w:p w:rsidRPr="00EC20D7" w:rsidR="00F96DA4" w:rsidP="00F96DA4" w:rsidRDefault="00F96DA4" w14:paraId="58CAC447" w14:textId="77777777">
      <w:pPr>
        <w:pStyle w:val="Textonotapie"/>
        <w:ind w:firstLine="708"/>
        <w:jc w:val="both"/>
        <w:rPr>
          <w:rFonts w:ascii="Arial" w:hAnsi="Arial" w:cs="Arial"/>
          <w:sz w:val="19"/>
          <w:szCs w:val="19"/>
        </w:rPr>
      </w:pPr>
    </w:p>
  </w:footnote>
  <w:footnote w:id="29">
    <w:p w:rsidRPr="00EC20D7" w:rsidR="00F96DA4" w:rsidP="00F96DA4" w:rsidRDefault="00F96DA4" w14:paraId="75D8CDCD" w14:textId="77777777">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«CE. SCSC. Concepto de 30 de abril de 2008 [Rad. 11001-03-06-000-2008-00013-00(1881)]. MP. Enrique José Arboleda Perdomo. En esta oportunidad, la Sala indicó que el contenido </w:t>
      </w:r>
      <w:r w:rsidRPr="00EC20D7">
        <w:rPr>
          <w:rFonts w:ascii="Arial" w:hAnsi="Arial" w:cs="Arial"/>
          <w:i/>
          <w:sz w:val="19"/>
          <w:szCs w:val="19"/>
        </w:rPr>
        <w:t>“obligacional”</w:t>
      </w:r>
      <w:r w:rsidRPr="00EC20D7">
        <w:rPr>
          <w:rFonts w:ascii="Arial" w:hAnsi="Arial" w:cs="Arial"/>
          <w:sz w:val="19"/>
          <w:szCs w:val="19"/>
        </w:rPr>
        <w:t xml:space="preserve"> de los convenios se estructura definiendo el resultado querido por las partes y los medios que cada entidad despliega para la obtención del respectivo objeto».</w:t>
      </w:r>
    </w:p>
  </w:footnote>
  <w:footnote w:id="30">
    <w:p w:rsidR="00F96DA4" w:rsidP="00F96DA4" w:rsidRDefault="00F96DA4" w14:paraId="195C34E6" w14:textId="77777777">
      <w:pPr>
        <w:pStyle w:val="Textonotapie"/>
        <w:ind w:firstLine="708"/>
        <w:jc w:val="both"/>
        <w:rPr>
          <w:rFonts w:ascii="Arial" w:hAnsi="Arial" w:cs="Arial"/>
          <w:sz w:val="19"/>
          <w:szCs w:val="19"/>
        </w:rPr>
      </w:pPr>
    </w:p>
    <w:p w:rsidR="00F96DA4" w:rsidP="00F96DA4" w:rsidRDefault="00F96DA4" w14:paraId="0166261D" w14:textId="77777777">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[Referencia propia de la cita] «La normativa vigente del EGCAP </w:t>
      </w:r>
      <w:r w:rsidRPr="00EC20D7">
        <w:rPr>
          <w:rFonts w:ascii="Arial" w:hAnsi="Arial" w:cs="Arial"/>
          <w:i/>
          <w:sz w:val="19"/>
          <w:szCs w:val="19"/>
        </w:rPr>
        <w:t>[literal c) del numeral 4. del artículo 2 de la Ley 1150/07]</w:t>
      </w:r>
      <w:r w:rsidRPr="00EC20D7">
        <w:rPr>
          <w:rFonts w:ascii="Arial" w:hAnsi="Arial" w:cs="Arial"/>
          <w:sz w:val="19"/>
          <w:szCs w:val="19"/>
        </w:rPr>
        <w:t xml:space="preserve"> se refiere a </w:t>
      </w:r>
      <w:r w:rsidRPr="00EC20D7">
        <w:rPr>
          <w:rFonts w:ascii="Arial" w:hAnsi="Arial" w:cs="Arial"/>
          <w:i/>
          <w:sz w:val="19"/>
          <w:szCs w:val="19"/>
        </w:rPr>
        <w:t>“contratos interadministrativos”</w:t>
      </w:r>
      <w:r w:rsidRPr="00EC20D7">
        <w:rPr>
          <w:rFonts w:ascii="Arial" w:hAnsi="Arial" w:cs="Arial"/>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rsidRPr="00EC20D7" w:rsidR="00F96DA4" w:rsidP="00F96DA4" w:rsidRDefault="00F96DA4" w14:paraId="46D0CFBF" w14:textId="77777777">
      <w:pPr>
        <w:pStyle w:val="Textonotapie"/>
        <w:ind w:firstLine="708"/>
        <w:jc w:val="both"/>
        <w:rPr>
          <w:rFonts w:ascii="Arial" w:hAnsi="Arial" w:cs="Arial"/>
          <w:sz w:val="19"/>
          <w:szCs w:val="19"/>
        </w:rPr>
      </w:pPr>
    </w:p>
  </w:footnote>
  <w:footnote w:id="31">
    <w:p w:rsidR="00F96DA4" w:rsidP="00F96DA4" w:rsidRDefault="00F96DA4" w14:paraId="53BEA87B" w14:textId="77777777">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rsidRPr="00EC20D7" w:rsidR="00F96DA4" w:rsidP="00F96DA4" w:rsidRDefault="00F96DA4" w14:paraId="545250AC" w14:textId="77777777">
      <w:pPr>
        <w:pStyle w:val="Textonotapie"/>
        <w:ind w:firstLine="708"/>
        <w:jc w:val="both"/>
        <w:rPr>
          <w:rFonts w:ascii="Arial" w:hAnsi="Arial" w:cs="Arial"/>
          <w:sz w:val="19"/>
          <w:szCs w:val="19"/>
        </w:rPr>
      </w:pPr>
    </w:p>
  </w:footnote>
  <w:footnote w:id="32">
    <w:p w:rsidRPr="00EC20D7" w:rsidR="00F96DA4" w:rsidP="00F96DA4" w:rsidRDefault="00F96DA4" w14:paraId="74EDB617" w14:textId="77777777">
      <w:pPr>
        <w:pStyle w:val="Textonotapie"/>
        <w:ind w:firstLine="708"/>
        <w:jc w:val="both"/>
        <w:rPr>
          <w:rFonts w:ascii="Arial" w:hAnsi="Arial" w:cs="Arial"/>
          <w:sz w:val="19"/>
          <w:szCs w:val="19"/>
        </w:rPr>
      </w:pPr>
      <w:r w:rsidRPr="00EC20D7">
        <w:rPr>
          <w:rStyle w:val="Refdenotaalpie"/>
          <w:rFonts w:ascii="Arial" w:hAnsi="Arial" w:cs="Arial"/>
          <w:sz w:val="19"/>
          <w:szCs w:val="19"/>
        </w:rPr>
        <w:footnoteRef/>
      </w:r>
      <w:r w:rsidRPr="00EC20D7">
        <w:rPr>
          <w:rFonts w:ascii="Arial" w:hAnsi="Arial" w:cs="Arial"/>
          <w:sz w:val="19"/>
          <w:szCs w:val="19"/>
        </w:rPr>
        <w:t xml:space="preserve"> Es lo que sucede, por ejemplo, con el Decreto 092 de 2017, que en su desarrollo hace referencia tanto a los «contratos» como a los «convenios». </w:t>
      </w:r>
    </w:p>
    <w:p w:rsidRPr="00EC20D7" w:rsidR="00F96DA4" w:rsidP="00F96DA4" w:rsidRDefault="00F96DA4" w14:paraId="5E6F87DD" w14:textId="77777777">
      <w:pPr>
        <w:pStyle w:val="Textonotapie"/>
        <w:ind w:firstLine="708"/>
        <w:jc w:val="both"/>
        <w:rPr>
          <w:rFonts w:ascii="Arial" w:hAnsi="Arial" w:cs="Arial"/>
          <w:sz w:val="19"/>
          <w:szCs w:val="19"/>
          <w:lang w:val="es-CO"/>
        </w:rPr>
      </w:pPr>
    </w:p>
  </w:footnote>
  <w:footnote w:id="33">
    <w:p w:rsidRPr="00EC20D7" w:rsidR="00F96DA4" w:rsidP="00F96DA4" w:rsidRDefault="00F96DA4" w14:paraId="77BC1EB2" w14:textId="77777777">
      <w:pPr>
        <w:pStyle w:val="Textonotapie"/>
        <w:ind w:firstLine="708"/>
        <w:jc w:val="both"/>
        <w:rPr>
          <w:rFonts w:ascii="Arial" w:hAnsi="Arial" w:cs="Arial"/>
          <w:sz w:val="19"/>
          <w:szCs w:val="19"/>
          <w:lang w:val="es-CO"/>
        </w:rPr>
      </w:pPr>
      <w:r w:rsidRPr="00EC20D7">
        <w:rPr>
          <w:rStyle w:val="Refdenotaalpie"/>
          <w:rFonts w:ascii="Arial" w:hAnsi="Arial" w:cs="Arial"/>
          <w:sz w:val="19"/>
          <w:szCs w:val="19"/>
        </w:rPr>
        <w:footnoteRef/>
      </w:r>
      <w:r w:rsidRPr="00EC20D7">
        <w:rPr>
          <w:rFonts w:ascii="Arial" w:hAnsi="Arial" w:cs="Arial"/>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4">
    <w:p w:rsidRPr="00EC49FE" w:rsidR="00F96DA4" w:rsidP="00F96DA4" w:rsidRDefault="00F96DA4" w14:paraId="06F284B5" w14:textId="77777777">
      <w:pPr>
        <w:ind w:firstLine="709"/>
        <w:jc w:val="both"/>
        <w:rPr>
          <w:rFonts w:ascii="Arial" w:hAnsi="Arial" w:cs="Arial"/>
          <w:color w:val="000000"/>
          <w:sz w:val="19"/>
          <w:szCs w:val="19"/>
          <w:lang w:eastAsia="es-ES_tradnl"/>
        </w:rPr>
      </w:pPr>
      <w:r w:rsidRPr="00037DAF">
        <w:rPr>
          <w:rStyle w:val="Refdenotaalpie"/>
          <w:rFonts w:ascii="Arial" w:hAnsi="Arial" w:cs="Arial"/>
          <w:sz w:val="19"/>
          <w:szCs w:val="19"/>
        </w:rPr>
        <w:footnoteRef/>
      </w:r>
      <w:r w:rsidRPr="00037DAF">
        <w:rPr>
          <w:rFonts w:ascii="Arial" w:hAnsi="Arial" w:cs="Arial"/>
          <w:sz w:val="19"/>
          <w:szCs w:val="19"/>
        </w:rPr>
        <w:t xml:space="preserve"> </w:t>
      </w:r>
      <w:r w:rsidRPr="00EC49FE">
        <w:rPr>
          <w:rFonts w:ascii="Arial" w:hAnsi="Arial" w:cs="Arial"/>
          <w:color w:val="000000"/>
          <w:sz w:val="19"/>
          <w:szCs w:val="19"/>
          <w:lang w:eastAsia="es-ES_tradnl"/>
        </w:rPr>
        <w:t xml:space="preserve">Sobre esta norma, </w:t>
      </w:r>
      <w:r w:rsidRPr="005F149C">
        <w:rPr>
          <w:rFonts w:ascii="Arial" w:hAnsi="Arial" w:cs="Arial"/>
          <w:color w:val="000000"/>
          <w:sz w:val="19"/>
          <w:szCs w:val="19"/>
          <w:lang w:eastAsia="es-ES_tradnl"/>
        </w:rPr>
        <w:t>consultar los conceptos del 8 de octubre de 2019, con radicado 2201913000007532, y del 20 de diciembre de 2019, cuyo radicado es el No. 4201913000008240.</w:t>
      </w:r>
      <w:r w:rsidRPr="00EC49FE">
        <w:rPr>
          <w:rFonts w:ascii="Arial" w:hAnsi="Arial" w:cs="Arial"/>
          <w:color w:val="000000"/>
          <w:sz w:val="19"/>
          <w:szCs w:val="19"/>
          <w:lang w:eastAsia="es-ES_tradnl"/>
        </w:rPr>
        <w:t> </w:t>
      </w:r>
    </w:p>
    <w:p w:rsidRPr="00EC49FE" w:rsidR="00F96DA4" w:rsidP="00F96DA4" w:rsidRDefault="00F96DA4" w14:paraId="20D9D8EA" w14:textId="77777777">
      <w:pPr>
        <w:ind w:firstLine="709"/>
        <w:jc w:val="both"/>
        <w:rPr>
          <w:rFonts w:ascii="Arial" w:hAnsi="Arial" w:cs="Arial"/>
          <w:color w:val="000000"/>
          <w:sz w:val="19"/>
          <w:szCs w:val="19"/>
          <w:lang w:eastAsia="es-ES_tradnl"/>
        </w:rPr>
      </w:pPr>
    </w:p>
  </w:footnote>
  <w:footnote w:id="35">
    <w:p w:rsidRPr="00EC49FE" w:rsidR="00F96DA4" w:rsidP="00F96DA4" w:rsidRDefault="00F96DA4" w14:paraId="60635595" w14:textId="77777777">
      <w:pPr>
        <w:pStyle w:val="paragraph"/>
        <w:spacing w:before="0" w:beforeAutospacing="0" w:after="0" w:afterAutospacing="0"/>
        <w:ind w:firstLine="709"/>
        <w:jc w:val="both"/>
        <w:textAlignment w:val="baseline"/>
        <w:rPr>
          <w:rFonts w:ascii="Arial" w:hAnsi="Arial" w:cs="Arial"/>
          <w:sz w:val="19"/>
          <w:szCs w:val="19"/>
          <w:lang w:eastAsia="es-ES_tradnl"/>
        </w:rPr>
      </w:pPr>
      <w:r w:rsidRPr="00EC49FE">
        <w:rPr>
          <w:rStyle w:val="Refdenotaalpie"/>
          <w:rFonts w:ascii="Arial" w:hAnsi="Arial" w:cs="Arial"/>
          <w:sz w:val="19"/>
          <w:szCs w:val="19"/>
        </w:rPr>
        <w:footnoteRef/>
      </w:r>
      <w:r w:rsidRPr="00EC49FE">
        <w:rPr>
          <w:rFonts w:ascii="Arial" w:hAnsi="Arial" w:cs="Arial"/>
          <w:sz w:val="19"/>
          <w:szCs w:val="19"/>
        </w:rPr>
        <w:t xml:space="preserve"> </w:t>
      </w:r>
      <w:r w:rsidRPr="005F149C">
        <w:rPr>
          <w:rFonts w:ascii="Arial" w:hAnsi="Arial" w:cs="Arial"/>
          <w:color w:val="000000"/>
          <w:sz w:val="19"/>
          <w:szCs w:val="19"/>
          <w:lang w:val="es-MX"/>
        </w:rPr>
        <w:t>«Articulo 96. Constitución de asociaciones y fundaciones para el cumplimiento de las actividades p</w:t>
      </w:r>
      <w:r w:rsidRPr="00EC49FE">
        <w:rPr>
          <w:rFonts w:ascii="Arial" w:hAnsi="Arial" w:cs="Arial"/>
          <w:color w:val="000000"/>
          <w:sz w:val="19"/>
          <w:szCs w:val="19"/>
          <w:lang w:val="es-MX"/>
        </w:rPr>
        <w:t>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r w:rsidRPr="00EC49FE">
        <w:rPr>
          <w:rFonts w:ascii="Arial" w:hAnsi="Arial" w:cs="Arial"/>
          <w:color w:val="000000"/>
          <w:sz w:val="19"/>
          <w:szCs w:val="19"/>
        </w:rPr>
        <w:t> </w:t>
      </w:r>
    </w:p>
    <w:p w:rsidRPr="00EC49FE" w:rsidR="00F96DA4" w:rsidP="00F96DA4" w:rsidRDefault="00F96DA4" w14:paraId="5DD72765" w14:textId="77777777">
      <w:pPr>
        <w:ind w:firstLine="709"/>
        <w:jc w:val="both"/>
        <w:textAlignment w:val="baseline"/>
        <w:rPr>
          <w:rFonts w:ascii="Arial" w:hAnsi="Arial" w:cs="Arial"/>
          <w:color w:val="000000"/>
          <w:sz w:val="19"/>
          <w:szCs w:val="19"/>
          <w:lang w:eastAsia="es-ES_tradnl"/>
        </w:rPr>
      </w:pPr>
      <w:r w:rsidRPr="00EC49FE">
        <w:rPr>
          <w:rFonts w:ascii="Arial" w:hAnsi="Arial" w:cs="Arial"/>
          <w:color w:val="000000"/>
          <w:sz w:val="19"/>
          <w:szCs w:val="19"/>
          <w:lang w:eastAsia="es-ES_tradnl"/>
        </w:rPr>
        <w:t xml:space="preserve"> </w:t>
      </w:r>
      <w:r w:rsidRPr="00EC49FE">
        <w:rPr>
          <w:rFonts w:ascii="Arial" w:hAnsi="Arial" w:cs="Arial"/>
          <w:color w:val="000000"/>
          <w:sz w:val="19"/>
          <w:szCs w:val="19"/>
        </w:rPr>
        <w:t>«</w:t>
      </w:r>
      <w:r w:rsidRPr="00EC49FE">
        <w:rPr>
          <w:rFonts w:ascii="Arial" w:hAnsi="Arial" w:cs="Arial"/>
          <w:color w:val="000000"/>
          <w:sz w:val="19"/>
          <w:szCs w:val="19"/>
          <w:lang w:eastAsia="es-ES_tradnl"/>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rsidRPr="00EC49FE" w:rsidR="00F96DA4" w:rsidP="00F96DA4" w:rsidRDefault="00F96DA4" w14:paraId="220F279C" w14:textId="77777777">
      <w:pPr>
        <w:ind w:firstLine="709"/>
        <w:jc w:val="both"/>
        <w:textAlignment w:val="baseline"/>
        <w:rPr>
          <w:rFonts w:ascii="Arial" w:hAnsi="Arial" w:cs="Arial"/>
          <w:sz w:val="19"/>
          <w:szCs w:val="19"/>
          <w:lang w:eastAsia="es-ES_tradnl"/>
        </w:rPr>
      </w:pPr>
    </w:p>
  </w:footnote>
  <w:footnote w:id="36">
    <w:p w:rsidRPr="00522B4D" w:rsidR="00F96DA4" w:rsidP="00F96DA4" w:rsidRDefault="00F96DA4" w14:paraId="3A6F3DF3"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rsidRPr="00522B4D" w:rsidR="00F96DA4" w:rsidP="00F96DA4" w:rsidRDefault="00F96DA4" w14:paraId="58A8688B" w14:textId="77777777">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 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rsidRPr="00522B4D" w:rsidR="00F96DA4" w:rsidP="00F96DA4" w:rsidRDefault="00F96DA4" w14:paraId="4FBF9175" w14:textId="77777777">
      <w:pPr>
        <w:pStyle w:val="Textonotapie"/>
        <w:ind w:firstLine="708"/>
        <w:jc w:val="both"/>
        <w:rPr>
          <w:rFonts w:ascii="Arial" w:hAnsi="Arial" w:cs="Arial"/>
          <w:color w:val="000000" w:themeColor="text1"/>
          <w:sz w:val="19"/>
          <w:szCs w:val="19"/>
          <w:lang w:val="es-CO"/>
        </w:rPr>
      </w:pPr>
    </w:p>
  </w:footnote>
  <w:footnote w:id="37">
    <w:p w:rsidRPr="00EC49FE" w:rsidR="00F96DA4" w:rsidP="00F96DA4" w:rsidRDefault="00F96DA4" w14:paraId="033C241A" w14:textId="77777777">
      <w:pPr>
        <w:ind w:firstLine="709"/>
        <w:jc w:val="both"/>
        <w:rPr>
          <w:rFonts w:ascii="Arial" w:hAnsi="Arial" w:cs="Arial"/>
          <w:color w:val="000000"/>
          <w:sz w:val="19"/>
          <w:szCs w:val="19"/>
          <w:shd w:val="clear" w:color="auto" w:fill="FFFFFF"/>
          <w:lang w:eastAsia="es-ES_tradnl"/>
        </w:rPr>
      </w:pPr>
      <w:r w:rsidRPr="00EC49FE">
        <w:rPr>
          <w:rStyle w:val="Refdenotaalpie"/>
          <w:rFonts w:ascii="Arial" w:hAnsi="Arial" w:cs="Arial"/>
          <w:sz w:val="19"/>
          <w:szCs w:val="19"/>
        </w:rPr>
        <w:footnoteRef/>
      </w:r>
      <w:r w:rsidRPr="00EC49FE">
        <w:rPr>
          <w:rFonts w:ascii="Arial" w:hAnsi="Arial" w:cs="Arial"/>
          <w:sz w:val="19"/>
          <w:szCs w:val="19"/>
        </w:rPr>
        <w:t xml:space="preserve"> </w:t>
      </w:r>
      <w:r w:rsidRPr="005F149C">
        <w:rPr>
          <w:rFonts w:ascii="Arial" w:hAnsi="Arial" w:cs="Arial"/>
          <w:color w:val="000000"/>
          <w:sz w:val="19"/>
          <w:szCs w:val="19"/>
          <w:shd w:val="clear" w:color="auto" w:fill="FFFFFF"/>
          <w:lang w:eastAsia="es-ES_tradnl"/>
        </w:rPr>
        <w:t xml:space="preserve">En el concepto emitido el 5 de febrero de 2019, dentro del radicado No. 2201913000000663, se dijo: «[l]os convenios de asociación del artículo 5 son distintos a los contratos de </w:t>
      </w:r>
      <w:r w:rsidRPr="00EC49FE">
        <w:rPr>
          <w:rFonts w:ascii="Arial" w:hAnsi="Arial" w:cs="Arial"/>
          <w:color w:val="000000"/>
          <w:sz w:val="19"/>
          <w:szCs w:val="19"/>
          <w:shd w:val="clear" w:color="auto" w:fill="FFFFFF"/>
          <w:lang w:eastAsia="es-ES_tradnl"/>
        </w:rPr>
        <w:t>colaboración del artículo 2 del Decreto 092 de 2017».</w:t>
      </w:r>
    </w:p>
    <w:p w:rsidRPr="00EC49FE" w:rsidR="00F96DA4" w:rsidP="00F96DA4" w:rsidRDefault="00F96DA4" w14:paraId="3541B0D1" w14:textId="77777777">
      <w:pPr>
        <w:ind w:firstLine="709"/>
        <w:jc w:val="both"/>
        <w:rPr>
          <w:rFonts w:ascii="Arial" w:hAnsi="Arial" w:cs="Arial"/>
          <w:sz w:val="19"/>
          <w:szCs w:val="19"/>
          <w:lang w:eastAsia="es-ES_tradnl"/>
        </w:rPr>
      </w:pPr>
    </w:p>
  </w:footnote>
  <w:footnote w:id="38">
    <w:p w:rsidR="00F96DA4" w:rsidP="00F96DA4" w:rsidRDefault="00F96DA4" w14:paraId="342924AF"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3 de septiembre de 2019, emitido en el radicado No. 2201913000006512.</w:t>
      </w:r>
    </w:p>
    <w:p w:rsidRPr="00522B4D" w:rsidR="00F96DA4" w:rsidP="00F96DA4" w:rsidRDefault="00F96DA4" w14:paraId="2971277D" w14:textId="77777777">
      <w:pPr>
        <w:pStyle w:val="Textonotapie"/>
        <w:ind w:firstLine="708"/>
        <w:jc w:val="both"/>
        <w:rPr>
          <w:rFonts w:ascii="Arial" w:hAnsi="Arial" w:cs="Arial"/>
          <w:color w:val="000000" w:themeColor="text1"/>
          <w:sz w:val="19"/>
          <w:szCs w:val="19"/>
          <w:lang w:val="es-ES"/>
        </w:rPr>
      </w:pPr>
    </w:p>
  </w:footnote>
  <w:footnote w:id="39">
    <w:p w:rsidRPr="00522B4D" w:rsidR="00F96DA4" w:rsidP="00F96DA4" w:rsidRDefault="00F96DA4" w14:paraId="7504BF0C" w14:textId="77777777">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rsidRPr="00522B4D" w:rsidR="00F96DA4" w:rsidP="00F96DA4" w:rsidRDefault="00F96DA4" w14:paraId="52222AFE" w14:textId="77777777">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Pr>
          <w:rFonts w:ascii="Arial" w:hAnsi="Arial" w:cs="Arial"/>
          <w:color w:val="000000" w:themeColor="text1"/>
          <w:sz w:val="19"/>
          <w:szCs w:val="19"/>
        </w:rPr>
        <w:t>.</w:t>
      </w:r>
    </w:p>
    <w:p w:rsidRPr="00522B4D" w:rsidR="00F96DA4" w:rsidP="00F96DA4" w:rsidRDefault="00F96DA4" w14:paraId="03D82107" w14:textId="77777777">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Pr="00522B4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rsidRPr="00522B4D" w:rsidR="00F96DA4" w:rsidP="00F96DA4" w:rsidRDefault="00F96DA4" w14:paraId="1577B95A" w14:textId="77777777">
      <w:pPr>
        <w:pStyle w:val="Textonotapie"/>
        <w:ind w:firstLine="708"/>
        <w:jc w:val="both"/>
        <w:rPr>
          <w:rFonts w:ascii="Arial" w:hAnsi="Arial" w:cs="Arial"/>
          <w:color w:val="000000" w:themeColor="text1"/>
          <w:sz w:val="19"/>
          <w:szCs w:val="19"/>
          <w:lang w:val="es-ES"/>
        </w:rPr>
      </w:pPr>
    </w:p>
  </w:footnote>
  <w:footnote w:id="40">
    <w:p w:rsidRPr="00522B4D" w:rsidR="00F96DA4" w:rsidP="00F96DA4" w:rsidRDefault="00F96DA4" w14:paraId="2D0E60D4" w14:textId="77777777">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1E5B" w:rsidRDefault="000965D3" w14:paraId="596DAC93" w14:textId="77777777">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67032B02"/>
    <w:multiLevelType w:val="hybridMultilevel"/>
    <w:tmpl w:val="593E1724"/>
    <w:lvl w:ilvl="0" w:tplc="080A0001">
      <w:start w:val="1"/>
      <w:numFmt w:val="bullet"/>
      <w:lvlText w:val=""/>
      <w:lvlJc w:val="left"/>
      <w:pPr>
        <w:ind w:left="1429" w:hanging="360"/>
      </w:pPr>
      <w:rPr>
        <w:rFonts w:hint="default" w:ascii="Symbol" w:hAnsi="Symbol"/>
      </w:rPr>
    </w:lvl>
    <w:lvl w:ilvl="1" w:tplc="080A0003" w:tentative="1">
      <w:start w:val="1"/>
      <w:numFmt w:val="bullet"/>
      <w:lvlText w:val="o"/>
      <w:lvlJc w:val="left"/>
      <w:pPr>
        <w:ind w:left="2149" w:hanging="360"/>
      </w:pPr>
      <w:rPr>
        <w:rFonts w:hint="default" w:ascii="Courier New" w:hAnsi="Courier New" w:cs="Courier New"/>
      </w:rPr>
    </w:lvl>
    <w:lvl w:ilvl="2" w:tplc="080A0005" w:tentative="1">
      <w:start w:val="1"/>
      <w:numFmt w:val="bullet"/>
      <w:lvlText w:val=""/>
      <w:lvlJc w:val="left"/>
      <w:pPr>
        <w:ind w:left="2869" w:hanging="360"/>
      </w:pPr>
      <w:rPr>
        <w:rFonts w:hint="default" w:ascii="Wingdings" w:hAnsi="Wingdings"/>
      </w:rPr>
    </w:lvl>
    <w:lvl w:ilvl="3" w:tplc="080A0001" w:tentative="1">
      <w:start w:val="1"/>
      <w:numFmt w:val="bullet"/>
      <w:lvlText w:val=""/>
      <w:lvlJc w:val="left"/>
      <w:pPr>
        <w:ind w:left="3589" w:hanging="360"/>
      </w:pPr>
      <w:rPr>
        <w:rFonts w:hint="default" w:ascii="Symbol" w:hAnsi="Symbol"/>
      </w:rPr>
    </w:lvl>
    <w:lvl w:ilvl="4" w:tplc="080A0003" w:tentative="1">
      <w:start w:val="1"/>
      <w:numFmt w:val="bullet"/>
      <w:lvlText w:val="o"/>
      <w:lvlJc w:val="left"/>
      <w:pPr>
        <w:ind w:left="4309" w:hanging="360"/>
      </w:pPr>
      <w:rPr>
        <w:rFonts w:hint="default" w:ascii="Courier New" w:hAnsi="Courier New" w:cs="Courier New"/>
      </w:rPr>
    </w:lvl>
    <w:lvl w:ilvl="5" w:tplc="080A0005" w:tentative="1">
      <w:start w:val="1"/>
      <w:numFmt w:val="bullet"/>
      <w:lvlText w:val=""/>
      <w:lvlJc w:val="left"/>
      <w:pPr>
        <w:ind w:left="5029" w:hanging="360"/>
      </w:pPr>
      <w:rPr>
        <w:rFonts w:hint="default" w:ascii="Wingdings" w:hAnsi="Wingdings"/>
      </w:rPr>
    </w:lvl>
    <w:lvl w:ilvl="6" w:tplc="080A0001" w:tentative="1">
      <w:start w:val="1"/>
      <w:numFmt w:val="bullet"/>
      <w:lvlText w:val=""/>
      <w:lvlJc w:val="left"/>
      <w:pPr>
        <w:ind w:left="5749" w:hanging="360"/>
      </w:pPr>
      <w:rPr>
        <w:rFonts w:hint="default" w:ascii="Symbol" w:hAnsi="Symbol"/>
      </w:rPr>
    </w:lvl>
    <w:lvl w:ilvl="7" w:tplc="080A0003" w:tentative="1">
      <w:start w:val="1"/>
      <w:numFmt w:val="bullet"/>
      <w:lvlText w:val="o"/>
      <w:lvlJc w:val="left"/>
      <w:pPr>
        <w:ind w:left="6469" w:hanging="360"/>
      </w:pPr>
      <w:rPr>
        <w:rFonts w:hint="default" w:ascii="Courier New" w:hAnsi="Courier New" w:cs="Courier New"/>
      </w:rPr>
    </w:lvl>
    <w:lvl w:ilvl="8" w:tplc="080A0005" w:tentative="1">
      <w:start w:val="1"/>
      <w:numFmt w:val="bullet"/>
      <w:lvlText w:val=""/>
      <w:lvlJc w:val="left"/>
      <w:pPr>
        <w:ind w:left="7189"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7AC"/>
    <w:rsid w:val="0000290E"/>
    <w:rsid w:val="00013A32"/>
    <w:rsid w:val="000234E5"/>
    <w:rsid w:val="00027E00"/>
    <w:rsid w:val="00034765"/>
    <w:rsid w:val="0004470C"/>
    <w:rsid w:val="00051DF9"/>
    <w:rsid w:val="00063E22"/>
    <w:rsid w:val="000770A6"/>
    <w:rsid w:val="00093ECC"/>
    <w:rsid w:val="000965D3"/>
    <w:rsid w:val="000A22E0"/>
    <w:rsid w:val="000A71F8"/>
    <w:rsid w:val="000B322A"/>
    <w:rsid w:val="000B6B23"/>
    <w:rsid w:val="000B7A2F"/>
    <w:rsid w:val="000C0C5A"/>
    <w:rsid w:val="000C41FF"/>
    <w:rsid w:val="000D31AF"/>
    <w:rsid w:val="000E4BCC"/>
    <w:rsid w:val="000F16C3"/>
    <w:rsid w:val="000F20D6"/>
    <w:rsid w:val="0010115C"/>
    <w:rsid w:val="001048AE"/>
    <w:rsid w:val="00110547"/>
    <w:rsid w:val="001221E5"/>
    <w:rsid w:val="00122D5C"/>
    <w:rsid w:val="0014294A"/>
    <w:rsid w:val="00145CEA"/>
    <w:rsid w:val="001542F1"/>
    <w:rsid w:val="00155176"/>
    <w:rsid w:val="00155A6A"/>
    <w:rsid w:val="00156332"/>
    <w:rsid w:val="00156426"/>
    <w:rsid w:val="00160EA4"/>
    <w:rsid w:val="0016321F"/>
    <w:rsid w:val="00166895"/>
    <w:rsid w:val="00172E23"/>
    <w:rsid w:val="00196387"/>
    <w:rsid w:val="001A7515"/>
    <w:rsid w:val="001B1ED3"/>
    <w:rsid w:val="001B5043"/>
    <w:rsid w:val="001D169F"/>
    <w:rsid w:val="001D579D"/>
    <w:rsid w:val="001E51C7"/>
    <w:rsid w:val="001F0BA1"/>
    <w:rsid w:val="001F1036"/>
    <w:rsid w:val="001F2FE7"/>
    <w:rsid w:val="001F4A87"/>
    <w:rsid w:val="0022027A"/>
    <w:rsid w:val="002203D9"/>
    <w:rsid w:val="00222FE7"/>
    <w:rsid w:val="00234C96"/>
    <w:rsid w:val="00236169"/>
    <w:rsid w:val="002370E0"/>
    <w:rsid w:val="00244285"/>
    <w:rsid w:val="0025667C"/>
    <w:rsid w:val="00266469"/>
    <w:rsid w:val="00273DB1"/>
    <w:rsid w:val="00276E87"/>
    <w:rsid w:val="00276F1D"/>
    <w:rsid w:val="0027789E"/>
    <w:rsid w:val="00290872"/>
    <w:rsid w:val="00294A56"/>
    <w:rsid w:val="002A092A"/>
    <w:rsid w:val="002B2085"/>
    <w:rsid w:val="002B5D94"/>
    <w:rsid w:val="002B6EDD"/>
    <w:rsid w:val="002C3DC8"/>
    <w:rsid w:val="002D55E0"/>
    <w:rsid w:val="002D6662"/>
    <w:rsid w:val="002E0539"/>
    <w:rsid w:val="002E4878"/>
    <w:rsid w:val="002F3B48"/>
    <w:rsid w:val="00305DDD"/>
    <w:rsid w:val="00311E48"/>
    <w:rsid w:val="00313EFB"/>
    <w:rsid w:val="003142AF"/>
    <w:rsid w:val="003210B5"/>
    <w:rsid w:val="003258E3"/>
    <w:rsid w:val="00333088"/>
    <w:rsid w:val="00334B19"/>
    <w:rsid w:val="0035529C"/>
    <w:rsid w:val="00355937"/>
    <w:rsid w:val="003702AD"/>
    <w:rsid w:val="0037154B"/>
    <w:rsid w:val="00372146"/>
    <w:rsid w:val="00375947"/>
    <w:rsid w:val="00377837"/>
    <w:rsid w:val="0038422A"/>
    <w:rsid w:val="00385A96"/>
    <w:rsid w:val="00391B62"/>
    <w:rsid w:val="00395260"/>
    <w:rsid w:val="003953A4"/>
    <w:rsid w:val="003B42A6"/>
    <w:rsid w:val="003C0050"/>
    <w:rsid w:val="003C1B39"/>
    <w:rsid w:val="003C6B38"/>
    <w:rsid w:val="003C7067"/>
    <w:rsid w:val="003E060B"/>
    <w:rsid w:val="003F2CA6"/>
    <w:rsid w:val="00427639"/>
    <w:rsid w:val="0043199D"/>
    <w:rsid w:val="00450F52"/>
    <w:rsid w:val="00452C65"/>
    <w:rsid w:val="004530B5"/>
    <w:rsid w:val="004541BB"/>
    <w:rsid w:val="00461578"/>
    <w:rsid w:val="004662C1"/>
    <w:rsid w:val="004708A3"/>
    <w:rsid w:val="00472517"/>
    <w:rsid w:val="004963B0"/>
    <w:rsid w:val="004A0C2B"/>
    <w:rsid w:val="004A2FA1"/>
    <w:rsid w:val="004A6DF7"/>
    <w:rsid w:val="004B2DEB"/>
    <w:rsid w:val="004B3476"/>
    <w:rsid w:val="004C1C33"/>
    <w:rsid w:val="004D4519"/>
    <w:rsid w:val="004E5663"/>
    <w:rsid w:val="004E76CB"/>
    <w:rsid w:val="004F1086"/>
    <w:rsid w:val="004F654F"/>
    <w:rsid w:val="005058EF"/>
    <w:rsid w:val="0051003B"/>
    <w:rsid w:val="00521AC0"/>
    <w:rsid w:val="005278E3"/>
    <w:rsid w:val="0053012B"/>
    <w:rsid w:val="005313ED"/>
    <w:rsid w:val="00543797"/>
    <w:rsid w:val="00545362"/>
    <w:rsid w:val="005463B4"/>
    <w:rsid w:val="00546A01"/>
    <w:rsid w:val="00546BD3"/>
    <w:rsid w:val="00554FCF"/>
    <w:rsid w:val="00573E27"/>
    <w:rsid w:val="00584231"/>
    <w:rsid w:val="005867C9"/>
    <w:rsid w:val="00594698"/>
    <w:rsid w:val="005E57D6"/>
    <w:rsid w:val="00607049"/>
    <w:rsid w:val="00626DC2"/>
    <w:rsid w:val="00645FB0"/>
    <w:rsid w:val="00646C99"/>
    <w:rsid w:val="00660C19"/>
    <w:rsid w:val="006610BD"/>
    <w:rsid w:val="00664E56"/>
    <w:rsid w:val="00676C2D"/>
    <w:rsid w:val="006908AF"/>
    <w:rsid w:val="00696C59"/>
    <w:rsid w:val="0069743E"/>
    <w:rsid w:val="00697780"/>
    <w:rsid w:val="006B040D"/>
    <w:rsid w:val="006B205F"/>
    <w:rsid w:val="006C25DE"/>
    <w:rsid w:val="006C67CE"/>
    <w:rsid w:val="006C730C"/>
    <w:rsid w:val="006D1DF5"/>
    <w:rsid w:val="006D66D3"/>
    <w:rsid w:val="006D7111"/>
    <w:rsid w:val="006E01E2"/>
    <w:rsid w:val="006E280E"/>
    <w:rsid w:val="006E2E59"/>
    <w:rsid w:val="006E3684"/>
    <w:rsid w:val="006F628A"/>
    <w:rsid w:val="006F6C29"/>
    <w:rsid w:val="007007D0"/>
    <w:rsid w:val="0070319B"/>
    <w:rsid w:val="00703305"/>
    <w:rsid w:val="0071057D"/>
    <w:rsid w:val="00714D49"/>
    <w:rsid w:val="0071587F"/>
    <w:rsid w:val="007301A5"/>
    <w:rsid w:val="007374F5"/>
    <w:rsid w:val="007444BB"/>
    <w:rsid w:val="007477FE"/>
    <w:rsid w:val="007566AD"/>
    <w:rsid w:val="00763584"/>
    <w:rsid w:val="007704C1"/>
    <w:rsid w:val="00771994"/>
    <w:rsid w:val="00774EA0"/>
    <w:rsid w:val="00780EF8"/>
    <w:rsid w:val="00781A67"/>
    <w:rsid w:val="007A09E8"/>
    <w:rsid w:val="007A48A1"/>
    <w:rsid w:val="007A52B4"/>
    <w:rsid w:val="007A5F2D"/>
    <w:rsid w:val="007A6F08"/>
    <w:rsid w:val="007B0517"/>
    <w:rsid w:val="007B4AAC"/>
    <w:rsid w:val="007B4CC3"/>
    <w:rsid w:val="007C14A7"/>
    <w:rsid w:val="007E48AE"/>
    <w:rsid w:val="007F4036"/>
    <w:rsid w:val="00812BB2"/>
    <w:rsid w:val="00826A17"/>
    <w:rsid w:val="0082778E"/>
    <w:rsid w:val="008402CD"/>
    <w:rsid w:val="00847A78"/>
    <w:rsid w:val="00854A55"/>
    <w:rsid w:val="008702BA"/>
    <w:rsid w:val="008708B7"/>
    <w:rsid w:val="00876B78"/>
    <w:rsid w:val="00890D5F"/>
    <w:rsid w:val="00893807"/>
    <w:rsid w:val="008951CE"/>
    <w:rsid w:val="008958AC"/>
    <w:rsid w:val="008A6295"/>
    <w:rsid w:val="008C368A"/>
    <w:rsid w:val="008D2933"/>
    <w:rsid w:val="008D35A4"/>
    <w:rsid w:val="008E33F5"/>
    <w:rsid w:val="008E518E"/>
    <w:rsid w:val="008F6E0C"/>
    <w:rsid w:val="0090557C"/>
    <w:rsid w:val="00920086"/>
    <w:rsid w:val="0092073B"/>
    <w:rsid w:val="0092111A"/>
    <w:rsid w:val="00924576"/>
    <w:rsid w:val="009346BA"/>
    <w:rsid w:val="0094506A"/>
    <w:rsid w:val="009527E4"/>
    <w:rsid w:val="00961511"/>
    <w:rsid w:val="00977BC1"/>
    <w:rsid w:val="00984D8B"/>
    <w:rsid w:val="00987493"/>
    <w:rsid w:val="00987861"/>
    <w:rsid w:val="009916A6"/>
    <w:rsid w:val="0099278D"/>
    <w:rsid w:val="0099407E"/>
    <w:rsid w:val="00994D39"/>
    <w:rsid w:val="0099787B"/>
    <w:rsid w:val="009A246D"/>
    <w:rsid w:val="009B5641"/>
    <w:rsid w:val="009B5F97"/>
    <w:rsid w:val="009B6276"/>
    <w:rsid w:val="009C16B3"/>
    <w:rsid w:val="009C5E1C"/>
    <w:rsid w:val="009C7BBC"/>
    <w:rsid w:val="009D66B9"/>
    <w:rsid w:val="009D6BD7"/>
    <w:rsid w:val="009F0A44"/>
    <w:rsid w:val="009F4002"/>
    <w:rsid w:val="009F5860"/>
    <w:rsid w:val="00A0046D"/>
    <w:rsid w:val="00A009D4"/>
    <w:rsid w:val="00A04819"/>
    <w:rsid w:val="00A16F59"/>
    <w:rsid w:val="00A201B3"/>
    <w:rsid w:val="00A21241"/>
    <w:rsid w:val="00A2369A"/>
    <w:rsid w:val="00A23905"/>
    <w:rsid w:val="00A55358"/>
    <w:rsid w:val="00A55366"/>
    <w:rsid w:val="00A57E21"/>
    <w:rsid w:val="00A63DA3"/>
    <w:rsid w:val="00A844C4"/>
    <w:rsid w:val="00A86314"/>
    <w:rsid w:val="00A977C8"/>
    <w:rsid w:val="00AB36B6"/>
    <w:rsid w:val="00AC4FE9"/>
    <w:rsid w:val="00AC5A39"/>
    <w:rsid w:val="00AD027E"/>
    <w:rsid w:val="00AD17DB"/>
    <w:rsid w:val="00AE3552"/>
    <w:rsid w:val="00B0338C"/>
    <w:rsid w:val="00B036EA"/>
    <w:rsid w:val="00B24B11"/>
    <w:rsid w:val="00B71F0A"/>
    <w:rsid w:val="00B742C2"/>
    <w:rsid w:val="00B74E3B"/>
    <w:rsid w:val="00B80197"/>
    <w:rsid w:val="00B82D1D"/>
    <w:rsid w:val="00BA0AE4"/>
    <w:rsid w:val="00BA6AA2"/>
    <w:rsid w:val="00BC51F1"/>
    <w:rsid w:val="00BD5A6F"/>
    <w:rsid w:val="00BD5ED5"/>
    <w:rsid w:val="00BE065B"/>
    <w:rsid w:val="00C1122A"/>
    <w:rsid w:val="00C12608"/>
    <w:rsid w:val="00C21998"/>
    <w:rsid w:val="00C24E6D"/>
    <w:rsid w:val="00C30F2F"/>
    <w:rsid w:val="00C43F7C"/>
    <w:rsid w:val="00C45EFF"/>
    <w:rsid w:val="00C46B18"/>
    <w:rsid w:val="00C52F53"/>
    <w:rsid w:val="00C55E13"/>
    <w:rsid w:val="00C667F5"/>
    <w:rsid w:val="00C71F83"/>
    <w:rsid w:val="00C76716"/>
    <w:rsid w:val="00C807B0"/>
    <w:rsid w:val="00C95355"/>
    <w:rsid w:val="00C967B4"/>
    <w:rsid w:val="00CB0C0E"/>
    <w:rsid w:val="00CC747F"/>
    <w:rsid w:val="00CD1FFB"/>
    <w:rsid w:val="00CD23C7"/>
    <w:rsid w:val="00CF21BD"/>
    <w:rsid w:val="00CF4D94"/>
    <w:rsid w:val="00D06B51"/>
    <w:rsid w:val="00D13E49"/>
    <w:rsid w:val="00D14CB4"/>
    <w:rsid w:val="00D20437"/>
    <w:rsid w:val="00D2190E"/>
    <w:rsid w:val="00D354FA"/>
    <w:rsid w:val="00D371F4"/>
    <w:rsid w:val="00D43237"/>
    <w:rsid w:val="00D5574A"/>
    <w:rsid w:val="00D56CA2"/>
    <w:rsid w:val="00D62C94"/>
    <w:rsid w:val="00D74DB3"/>
    <w:rsid w:val="00D81E5B"/>
    <w:rsid w:val="00D95153"/>
    <w:rsid w:val="00D95F6B"/>
    <w:rsid w:val="00D97105"/>
    <w:rsid w:val="00DA07F3"/>
    <w:rsid w:val="00DB587E"/>
    <w:rsid w:val="00DC7CC6"/>
    <w:rsid w:val="00DD50DE"/>
    <w:rsid w:val="00DE6D2B"/>
    <w:rsid w:val="00DE7249"/>
    <w:rsid w:val="00E06A3D"/>
    <w:rsid w:val="00E073F4"/>
    <w:rsid w:val="00E1744A"/>
    <w:rsid w:val="00E2370B"/>
    <w:rsid w:val="00E36420"/>
    <w:rsid w:val="00E457BB"/>
    <w:rsid w:val="00E55AA2"/>
    <w:rsid w:val="00E60868"/>
    <w:rsid w:val="00E63B8B"/>
    <w:rsid w:val="00E74412"/>
    <w:rsid w:val="00E84094"/>
    <w:rsid w:val="00E93DD3"/>
    <w:rsid w:val="00E9754D"/>
    <w:rsid w:val="00EB1DBF"/>
    <w:rsid w:val="00EB2411"/>
    <w:rsid w:val="00EB32BF"/>
    <w:rsid w:val="00EB66C4"/>
    <w:rsid w:val="00ED55F2"/>
    <w:rsid w:val="00F00588"/>
    <w:rsid w:val="00F06CDD"/>
    <w:rsid w:val="00F13E1E"/>
    <w:rsid w:val="00F14E3E"/>
    <w:rsid w:val="00F17E55"/>
    <w:rsid w:val="00F2234C"/>
    <w:rsid w:val="00F37E69"/>
    <w:rsid w:val="00F37FFA"/>
    <w:rsid w:val="00F40435"/>
    <w:rsid w:val="00F4282D"/>
    <w:rsid w:val="00F44EDE"/>
    <w:rsid w:val="00F537D7"/>
    <w:rsid w:val="00F646A8"/>
    <w:rsid w:val="00F71872"/>
    <w:rsid w:val="00F967CA"/>
    <w:rsid w:val="00F96DA4"/>
    <w:rsid w:val="00FA1DEA"/>
    <w:rsid w:val="00FA4397"/>
    <w:rsid w:val="00FB2D69"/>
    <w:rsid w:val="00FB4302"/>
    <w:rsid w:val="00FB59B1"/>
    <w:rsid w:val="00FB5F56"/>
    <w:rsid w:val="00FC0382"/>
    <w:rsid w:val="00FC0CA5"/>
    <w:rsid w:val="00FC460F"/>
    <w:rsid w:val="00FC53A0"/>
    <w:rsid w:val="00FE1E54"/>
    <w:rsid w:val="00FF2096"/>
    <w:rsid w:val="1DA648C9"/>
    <w:rsid w:val="273402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AA234BB-4D13-49C7-BBBC-CD96B2668E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246D"/>
    <w:rPr>
      <w:rFonts w:ascii="Times New Roman" w:hAnsi="Times New Roman" w:eastAsia="Times New Roman" w:cs="Times New Roman"/>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C7067"/>
    <w:pPr>
      <w:ind w:left="720"/>
      <w:contextualSpacing/>
    </w:pPr>
    <w:rPr>
      <w:rFonts w:asciiTheme="minorHAnsi" w:hAnsiTheme="minorHAnsi" w:eastAsiaTheme="minorHAnsi" w:cstheme="minorBidi"/>
      <w:szCs w:val="22"/>
      <w:lang w:val="es-MX" w:eastAsia="en-US"/>
    </w:rPr>
  </w:style>
  <w:style w:type="paragraph" w:styleId="Sinespaciado">
    <w:name w:val="No Spacing"/>
    <w:aliases w:val="No Indent"/>
    <w:uiPriority w:val="3"/>
    <w:qFormat/>
    <w:rsid w:val="003C7067"/>
    <w:rPr>
      <w:szCs w:val="22"/>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hAnsiTheme="minorHAnsi" w:eastAsiaTheme="minorHAnsi" w:cstheme="minorBidi"/>
      <w:sz w:val="20"/>
      <w:szCs w:val="20"/>
      <w:lang w:val="es-MX" w:eastAsia="en-US"/>
    </w:rPr>
  </w:style>
  <w:style w:type="character" w:styleId="TextonotapieCar1" w:customStyle="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hAnsi="Times New Roman" w:eastAsia="Times New Roman" w:cs="Times New Roman"/>
      <w:sz w:val="20"/>
      <w:szCs w:val="20"/>
      <w:lang w:eastAsia="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hAnsi="Arial" w:eastAsia="Arial" w:cs="Arial"/>
      <w:sz w:val="20"/>
      <w:szCs w:val="20"/>
      <w:lang w:val="es-ES" w:eastAsia="en-US"/>
    </w:rPr>
  </w:style>
  <w:style w:type="character" w:styleId="TextoindependienteCar" w:customStyle="1">
    <w:name w:val="Texto independiente Car"/>
    <w:basedOn w:val="Fuentedeprrafopredeter"/>
    <w:link w:val="Textoindependiente"/>
    <w:uiPriority w:val="1"/>
    <w:rsid w:val="003C7067"/>
    <w:rPr>
      <w:rFonts w:ascii="Arial" w:hAnsi="Arial" w:eastAsia="Arial" w:cs="Arial"/>
      <w:sz w:val="20"/>
      <w:szCs w:val="20"/>
      <w:lang w:val="es-ES"/>
    </w:rPr>
  </w:style>
  <w:style w:type="paragraph" w:styleId="Appelnotedebasde" w:customStyle="1">
    <w:name w:val="Appel note de bas de..."/>
    <w:basedOn w:val="Normal"/>
    <w:link w:val="Refdenotaalpie"/>
    <w:uiPriority w:val="99"/>
    <w:rsid w:val="003C7067"/>
    <w:pPr>
      <w:spacing w:after="160" w:line="240" w:lineRule="exact"/>
    </w:pPr>
    <w:rPr>
      <w:rFonts w:asciiTheme="minorHAnsi" w:hAnsiTheme="minorHAnsi" w:eastAsia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styleId="TextocomentarioCar" w:customStyle="1">
    <w:name w:val="Texto comentario Car"/>
    <w:basedOn w:val="Fuentedeprrafopredeter"/>
    <w:link w:val="Textocomentario"/>
    <w:uiPriority w:val="99"/>
    <w:rsid w:val="003C7067"/>
    <w:rPr>
      <w:rFonts w:ascii="Times New Roman" w:hAnsi="Times New Roman" w:eastAsia="Times New Roman" w:cs="Times New Roman"/>
      <w:sz w:val="20"/>
      <w:szCs w:val="20"/>
      <w:lang w:eastAsia="es-MX"/>
    </w:rPr>
  </w:style>
  <w:style w:type="character" w:styleId="normaltextrun" w:customStyle="1">
    <w:name w:val="normaltextrun"/>
    <w:basedOn w:val="Fuentedeprrafopredeter"/>
    <w:rsid w:val="003C7067"/>
  </w:style>
  <w:style w:type="character" w:styleId="eop" w:customStyle="1">
    <w:name w:val="eop"/>
    <w:basedOn w:val="Fuentedeprrafopredeter"/>
    <w:rsid w:val="003C7067"/>
  </w:style>
  <w:style w:type="paragraph" w:styleId="ql-align-justify" w:customStyle="1">
    <w:name w:val="ql-align-justify"/>
    <w:basedOn w:val="Normal"/>
    <w:rsid w:val="003E060B"/>
    <w:pPr>
      <w:spacing w:before="100" w:beforeAutospacing="1" w:after="100" w:afterAutospacing="1"/>
    </w:pPr>
  </w:style>
  <w:style w:type="character" w:styleId="apple-converted-space" w:customStyle="1">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styleId="AsuntodelcomentarioCar" w:customStyle="1">
    <w:name w:val="Asunto del comentario Car"/>
    <w:basedOn w:val="TextocomentarioCar"/>
    <w:link w:val="Asuntodelcomentario"/>
    <w:uiPriority w:val="99"/>
    <w:semiHidden/>
    <w:rsid w:val="0016321F"/>
    <w:rPr>
      <w:rFonts w:ascii="Times New Roman" w:hAnsi="Times New Roman" w:eastAsia="Times New Roman" w:cs="Times New Roman"/>
      <w:b/>
      <w:bCs/>
      <w:sz w:val="20"/>
      <w:szCs w:val="20"/>
      <w:lang w:eastAsia="es-MX"/>
    </w:rPr>
  </w:style>
  <w:style w:type="paragraph" w:styleId="Revisin">
    <w:name w:val="Revision"/>
    <w:hidden/>
    <w:uiPriority w:val="99"/>
    <w:semiHidden/>
    <w:rsid w:val="001B1ED3"/>
    <w:rPr>
      <w:rFonts w:ascii="Times New Roman" w:hAnsi="Times New Roman" w:eastAsia="Times New Roman" w:cs="Times New Roman"/>
      <w:lang w:eastAsia="es-MX"/>
    </w:rPr>
  </w:style>
  <w:style w:type="paragraph" w:styleId="Normal11pt" w:customStyle="1">
    <w:name w:val="Normal + 11 pt"/>
    <w:aliases w:val="Negro,Justificado,Izquierda:  -0,95 cm,Derecha:  0,04 cm"/>
    <w:basedOn w:val="Normal"/>
    <w:uiPriority w:val="99"/>
    <w:rsid w:val="00236169"/>
    <w:pPr>
      <w:ind w:left="-540"/>
      <w:jc w:val="both"/>
    </w:pPr>
    <w:rPr>
      <w:rFonts w:ascii="Arial" w:hAnsi="Arial" w:cs="Arial"/>
      <w:color w:val="000000"/>
      <w:sz w:val="22"/>
      <w:szCs w:val="22"/>
      <w:lang w:val="es-ES_tradnl"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styleId="Tablaconcuadrcula2" w:customStyle="1">
    <w:name w:val="Tabla con cuadrícula2"/>
    <w:basedOn w:val="Tablanormal"/>
    <w:next w:val="Tablaconcuadrcula"/>
    <w:uiPriority w:val="39"/>
    <w:rsid w:val="00826A1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WebCar" w:customStyle="1">
    <w:name w:val="Normal (Web) Car"/>
    <w:link w:val="NormalWeb"/>
    <w:uiPriority w:val="99"/>
    <w:rsid w:val="00826A17"/>
    <w:rPr>
      <w:rFonts w:ascii="Times New Roman" w:hAnsi="Times New Roman" w:eastAsia="Times New Roman" w:cs="Times New Roman"/>
      <w:lang w:eastAsia="es-MX"/>
    </w:rPr>
  </w:style>
  <w:style w:type="character" w:styleId="baj" w:customStyle="1">
    <w:name w:val="b_aj"/>
    <w:basedOn w:val="Fuentedeprrafopredeter"/>
    <w:rsid w:val="00F96DA4"/>
  </w:style>
  <w:style w:type="paragraph" w:styleId="paragraph" w:customStyle="1">
    <w:name w:val="paragraph"/>
    <w:basedOn w:val="Normal"/>
    <w:rsid w:val="00F96DA4"/>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695038002">
      <w:bodyDiv w:val="1"/>
      <w:marLeft w:val="0"/>
      <w:marRight w:val="0"/>
      <w:marTop w:val="0"/>
      <w:marBottom w:val="0"/>
      <w:divBdr>
        <w:top w:val="none" w:sz="0" w:space="0" w:color="auto"/>
        <w:left w:val="none" w:sz="0" w:space="0" w:color="auto"/>
        <w:bottom w:val="none" w:sz="0" w:space="0" w:color="auto"/>
        <w:right w:val="none" w:sz="0" w:space="0" w:color="auto"/>
      </w:divBdr>
      <w:divsChild>
        <w:div w:id="2134325378">
          <w:marLeft w:val="0"/>
          <w:marRight w:val="0"/>
          <w:marTop w:val="0"/>
          <w:marBottom w:val="0"/>
          <w:divBdr>
            <w:top w:val="none" w:sz="0" w:space="0" w:color="auto"/>
            <w:left w:val="none" w:sz="0" w:space="0" w:color="auto"/>
            <w:bottom w:val="none" w:sz="0" w:space="0" w:color="auto"/>
            <w:right w:val="none" w:sz="0" w:space="0" w:color="auto"/>
          </w:divBdr>
        </w:div>
      </w:divsChild>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image" Target="/media/image.jpg" Id="R080cc4580ae54a0e"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customXml/itemProps2.xml><?xml version="1.0" encoding="utf-8"?>
<ds:datastoreItem xmlns:ds="http://schemas.openxmlformats.org/officeDocument/2006/customXml" ds:itemID="{8CBECE93-A1D0-4548-B930-8CCBABDCD771}"/>
</file>

<file path=customXml/itemProps3.xml><?xml version="1.0" encoding="utf-8"?>
<ds:datastoreItem xmlns:ds="http://schemas.openxmlformats.org/officeDocument/2006/customXml" ds:itemID="{7BB5DB36-F253-4D08-81FA-2AB7C28A1183}"/>
</file>

<file path=customXml/itemProps4.xml><?xml version="1.0" encoding="utf-8"?>
<ds:datastoreItem xmlns:ds="http://schemas.openxmlformats.org/officeDocument/2006/customXml" ds:itemID="{DC304536-2F08-45A4-9612-9CC81419BC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nicolle saenz camargo</dc:creator>
  <keywords/>
  <dc:description/>
  <lastModifiedBy>Liliana Patricia Sanguino Arenas</lastModifiedBy>
  <revision>4</revision>
  <dcterms:created xsi:type="dcterms:W3CDTF">2022-02-18T18:28:00.0000000Z</dcterms:created>
  <dcterms:modified xsi:type="dcterms:W3CDTF">2022-03-29T04:15:25.5693595Z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