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8465D" w:rsidR="000B2F93" w:rsidP="000B2F93" w:rsidRDefault="000B2F93" w14:paraId="7F171770" w14:textId="77777777">
      <w:pPr>
        <w:jc w:val="right"/>
        <w:rPr>
          <w:rFonts w:ascii="Arial" w:hAnsi="Arial" w:cs="Arial"/>
          <w:b/>
          <w:sz w:val="16"/>
          <w:szCs w:val="16"/>
          <w:lang w:val="es-ES" w:eastAsia="es-ES"/>
        </w:rPr>
      </w:pPr>
      <w:r w:rsidRPr="0008465D">
        <w:rPr>
          <w:rFonts w:ascii="Arial" w:hAnsi="Arial" w:cs="Arial"/>
          <w:b/>
          <w:sz w:val="16"/>
          <w:szCs w:val="16"/>
          <w:lang w:val="es-ES" w:eastAsia="es-ES"/>
        </w:rPr>
        <w:t>CCE-DES-FM-17</w:t>
      </w:r>
    </w:p>
    <w:p w:rsidRPr="007D7C78" w:rsidR="008F1F27" w:rsidP="008F1F27" w:rsidRDefault="008F1F27" w14:paraId="51A43833" w14:textId="77777777">
      <w:pPr>
        <w:jc w:val="both"/>
        <w:rPr>
          <w:rFonts w:ascii="Arial" w:hAnsi="Arial" w:eastAsia="Calibri" w:cs="Arial"/>
          <w:b/>
          <w:sz w:val="20"/>
          <w:szCs w:val="20"/>
          <w:lang w:val="es-MX"/>
        </w:rPr>
      </w:pPr>
      <w:r w:rsidRPr="007D7C78">
        <w:rPr>
          <w:rFonts w:ascii="Arial" w:hAnsi="Arial" w:eastAsia="Calibri" w:cs="Arial"/>
          <w:b/>
          <w:sz w:val="20"/>
          <w:szCs w:val="20"/>
          <w:lang w:val="es-MX"/>
        </w:rPr>
        <w:t xml:space="preserve">LEY DE GARANTÍAS ELECTORALES – Naturaleza Jurídica </w:t>
      </w:r>
    </w:p>
    <w:p w:rsidRPr="007D7C78" w:rsidR="008F1F27" w:rsidP="008F1F27" w:rsidRDefault="008F1F27" w14:paraId="240CCC1A" w14:textId="77777777">
      <w:pPr>
        <w:jc w:val="both"/>
        <w:rPr>
          <w:rFonts w:ascii="Arial" w:hAnsi="Arial" w:eastAsia="Calibri" w:cs="Arial"/>
          <w:b/>
          <w:sz w:val="20"/>
          <w:szCs w:val="20"/>
          <w:lang w:val="es-MX"/>
        </w:rPr>
      </w:pPr>
    </w:p>
    <w:p w:rsidRPr="007D7C78" w:rsidR="008F1F27" w:rsidP="008F1F27" w:rsidRDefault="008F1F27" w14:paraId="19FED78A" w14:textId="77777777">
      <w:pPr>
        <w:jc w:val="both"/>
        <w:rPr>
          <w:rFonts w:ascii="Arial" w:hAnsi="Arial" w:eastAsia="Calibri" w:cs="Arial"/>
          <w:b/>
          <w:sz w:val="20"/>
          <w:szCs w:val="20"/>
          <w:lang w:val="es-MX"/>
        </w:rPr>
      </w:pPr>
      <w:r>
        <w:rPr>
          <w:rFonts w:ascii="Arial" w:hAnsi="Arial" w:cs="Arial"/>
          <w:bCs/>
          <w:sz w:val="20"/>
          <w:szCs w:val="20"/>
          <w:lang w:val="es-MX" w:eastAsia="es-CO"/>
        </w:rPr>
        <w:t>L</w:t>
      </w:r>
      <w:r w:rsidRPr="007D7C78">
        <w:rPr>
          <w:rFonts w:ascii="Arial" w:hAnsi="Arial" w:cs="Arial"/>
          <w:bCs/>
          <w:sz w:val="20"/>
          <w:szCs w:val="20"/>
          <w:lang w:val="es-MX" w:eastAsia="es-CO"/>
        </w:rPr>
        <w:t>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rsidRPr="007D7C78" w:rsidR="008F1F27" w:rsidP="008F1F27" w:rsidRDefault="008F1F27" w14:paraId="609F97A8" w14:textId="77777777">
      <w:pPr>
        <w:jc w:val="both"/>
        <w:rPr>
          <w:rFonts w:ascii="Arial" w:hAnsi="Arial" w:eastAsia="Calibri" w:cs="Arial"/>
          <w:b/>
          <w:sz w:val="20"/>
          <w:szCs w:val="20"/>
          <w:lang w:val="es-MX"/>
        </w:rPr>
      </w:pPr>
    </w:p>
    <w:p w:rsidRPr="007D7C78" w:rsidR="008F1F27" w:rsidP="008F1F27" w:rsidRDefault="008F1F27" w14:paraId="6589EFA8" w14:textId="77777777">
      <w:pPr>
        <w:jc w:val="both"/>
        <w:rPr>
          <w:rFonts w:ascii="Arial" w:hAnsi="Arial" w:eastAsia="Calibri" w:cs="Arial"/>
          <w:b/>
          <w:sz w:val="20"/>
          <w:szCs w:val="20"/>
          <w:lang w:val="es-MX"/>
        </w:rPr>
      </w:pPr>
      <w:r w:rsidRPr="007D7C78">
        <w:rPr>
          <w:rFonts w:ascii="Arial" w:hAnsi="Arial" w:eastAsia="Calibri" w:cs="Arial"/>
          <w:b/>
          <w:sz w:val="20"/>
          <w:szCs w:val="20"/>
          <w:lang w:val="es-MX"/>
        </w:rPr>
        <w:t xml:space="preserve">LEY DE GARANTÍAS ELECTORALES – Prohibiciones </w:t>
      </w:r>
    </w:p>
    <w:p w:rsidRPr="007D7C78" w:rsidR="008F1F27" w:rsidP="008F1F27" w:rsidRDefault="008F1F27" w14:paraId="77BBE1E2" w14:textId="77777777">
      <w:pPr>
        <w:jc w:val="both"/>
        <w:rPr>
          <w:rFonts w:ascii="Arial" w:hAnsi="Arial" w:eastAsia="Calibri" w:cs="Arial"/>
          <w:b/>
          <w:sz w:val="20"/>
          <w:szCs w:val="20"/>
          <w:lang w:val="es-MX"/>
        </w:rPr>
      </w:pPr>
    </w:p>
    <w:p w:rsidRPr="007D7C78" w:rsidR="008F1F27" w:rsidP="008F1F27" w:rsidRDefault="008F1F27" w14:paraId="7DD5A3D8" w14:textId="77777777">
      <w:pPr>
        <w:spacing w:after="120"/>
        <w:jc w:val="both"/>
        <w:rPr>
          <w:rFonts w:ascii="Arial" w:hAnsi="Arial" w:eastAsia="Arial" w:cs="Arial"/>
          <w:sz w:val="20"/>
          <w:szCs w:val="20"/>
          <w:lang w:val="es-ES" w:eastAsia="es-ES" w:bidi="es-ES"/>
        </w:rPr>
      </w:pPr>
      <w:r w:rsidRPr="007D7C78">
        <w:rPr>
          <w:rFonts w:ascii="Arial" w:hAnsi="Arial" w:cs="Arial"/>
          <w:bCs/>
          <w:sz w:val="20"/>
          <w:szCs w:val="20"/>
          <w:lang w:val="es-MX" w:eastAsia="es-CO"/>
        </w:rPr>
        <w:t>De</w:t>
      </w:r>
      <w:r w:rsidRPr="007D7C78">
        <w:rPr>
          <w:rFonts w:ascii="Arial" w:hAnsi="Arial" w:eastAsia="Arial" w:cs="Arial"/>
          <w:sz w:val="20"/>
          <w:szCs w:val="20"/>
          <w:lang w:val="es-ES"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rsidRPr="007D7C78" w:rsidR="008F1F27" w:rsidP="008F1F27" w:rsidRDefault="008F1F27" w14:paraId="07FB8258" w14:textId="77777777">
      <w:pPr>
        <w:spacing w:after="120"/>
        <w:jc w:val="both"/>
        <w:rPr>
          <w:rFonts w:ascii="Arial" w:hAnsi="Arial" w:eastAsia="Calibri" w:cs="Arial"/>
          <w:sz w:val="20"/>
          <w:szCs w:val="20"/>
        </w:rPr>
      </w:pPr>
      <w:r w:rsidRPr="007D7C78">
        <w:rPr>
          <w:rFonts w:ascii="Arial" w:hAnsi="Arial" w:eastAsia="Calibri" w:cs="Arial"/>
          <w:sz w:val="20"/>
          <w:szCs w:val="20"/>
        </w:rPr>
        <w:t xml:space="preserve">Por un lado, el artículo 33 de la Ley 996 de 2005 prohíbe </w:t>
      </w:r>
      <w:r w:rsidRPr="007D7C78">
        <w:rPr>
          <w:rFonts w:ascii="Arial" w:hAnsi="Arial" w:eastAsia="Calibri" w:cs="Arial"/>
          <w:bCs/>
          <w:sz w:val="20"/>
          <w:szCs w:val="20"/>
        </w:rPr>
        <w:t xml:space="preserve">«[…] </w:t>
      </w:r>
      <w:r w:rsidRPr="007D7C78">
        <w:rPr>
          <w:rFonts w:ascii="Arial" w:hAnsi="Arial" w:eastAsia="Calibri" w:cs="Arial"/>
          <w:sz w:val="20"/>
          <w:szCs w:val="20"/>
        </w:rPr>
        <w:t>la contratación directa por parte de todos los entes del Estado</w:t>
      </w:r>
      <w:r w:rsidRPr="007D7C78">
        <w:rPr>
          <w:rFonts w:ascii="Arial" w:hAnsi="Arial" w:eastAsia="Calibri" w:cs="Arial"/>
          <w:bCs/>
          <w:sz w:val="20"/>
          <w:szCs w:val="20"/>
        </w:rPr>
        <w:t>»</w:t>
      </w:r>
      <w:r w:rsidRPr="007D7C78">
        <w:rPr>
          <w:rFonts w:ascii="Arial" w:hAnsi="Arial" w:eastAsia="Calibri" w:cs="Arial"/>
          <w:sz w:val="20"/>
          <w:szCs w:val="20"/>
        </w:rPr>
        <w:t xml:space="preserve"> durante los cuatro (4) meses anteriores a las elecciones presidenciales, salvo </w:t>
      </w:r>
      <w:r w:rsidRPr="007D7C78">
        <w:rPr>
          <w:rFonts w:ascii="Arial" w:hAnsi="Arial" w:eastAsia="Calibri" w:cs="Arial"/>
          <w:bCs/>
          <w:sz w:val="20"/>
          <w:szCs w:val="20"/>
        </w:rPr>
        <w:t xml:space="preserve">«[…] </w:t>
      </w:r>
      <w:r w:rsidRPr="007D7C78">
        <w:rPr>
          <w:rFonts w:ascii="Arial" w:hAnsi="Arial" w:eastAsia="Calibri" w:cs="Arial"/>
          <w:sz w:val="20"/>
          <w:szCs w:val="20"/>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7D7C78">
        <w:rPr>
          <w:rFonts w:ascii="Arial" w:hAnsi="Arial" w:eastAsia="Calibri" w:cs="Arial"/>
          <w:bCs/>
          <w:sz w:val="20"/>
          <w:szCs w:val="20"/>
        </w:rPr>
        <w:t>»</w:t>
      </w:r>
      <w:r w:rsidRPr="007D7C78">
        <w:rPr>
          <w:rFonts w:ascii="Arial" w:hAnsi="Arial" w:eastAsia="Calibri" w:cs="Arial"/>
          <w:sz w:val="20"/>
          <w:szCs w:val="20"/>
        </w:rPr>
        <w:t>.</w:t>
      </w:r>
    </w:p>
    <w:p w:rsidRPr="007D7C78" w:rsidR="008F1F27" w:rsidP="008F1F27" w:rsidRDefault="008F1F27" w14:paraId="56C41A99" w14:textId="77777777">
      <w:pPr>
        <w:jc w:val="both"/>
        <w:rPr>
          <w:rFonts w:ascii="Arial" w:hAnsi="Arial" w:eastAsia="Calibri" w:cs="Arial"/>
          <w:b/>
          <w:sz w:val="20"/>
          <w:szCs w:val="20"/>
          <w:lang w:val="es-MX"/>
        </w:rPr>
      </w:pPr>
      <w:r w:rsidRPr="007D7C78">
        <w:rPr>
          <w:rFonts w:ascii="Arial" w:hAnsi="Arial" w:eastAsia="Calibri" w:cs="Arial"/>
          <w:sz w:val="20"/>
          <w:szCs w:val="20"/>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7D7C78">
        <w:rPr>
          <w:rFonts w:ascii="Arial" w:hAnsi="Arial" w:eastAsia="Calibri" w:cs="Arial"/>
          <w:bCs/>
          <w:sz w:val="20"/>
          <w:szCs w:val="20"/>
        </w:rPr>
        <w:t xml:space="preserve">«[…] </w:t>
      </w:r>
      <w:r w:rsidRPr="007D7C78">
        <w:rPr>
          <w:rFonts w:ascii="Arial" w:hAnsi="Arial" w:eastAsia="Calibri" w:cs="Arial"/>
          <w:sz w:val="20"/>
          <w:szCs w:val="20"/>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7D7C78">
        <w:rPr>
          <w:rFonts w:ascii="Arial" w:hAnsi="Arial" w:eastAsia="Calibri" w:cs="Arial"/>
          <w:bCs/>
          <w:sz w:val="20"/>
          <w:szCs w:val="20"/>
        </w:rPr>
        <w:t>»</w:t>
      </w:r>
      <w:r w:rsidRPr="007D7C78">
        <w:rPr>
          <w:rFonts w:ascii="Arial" w:hAnsi="Arial" w:eastAsia="Calibri" w:cs="Arial"/>
          <w:sz w:val="20"/>
          <w:szCs w:val="20"/>
          <w:lang w:val="es-MX"/>
        </w:rPr>
        <w:t>.</w:t>
      </w:r>
    </w:p>
    <w:p w:rsidRPr="007D7C78" w:rsidR="008F1F27" w:rsidP="008F1F27" w:rsidRDefault="008F1F27" w14:paraId="3C3D3500" w14:textId="77777777">
      <w:pPr>
        <w:tabs>
          <w:tab w:val="left" w:pos="0"/>
        </w:tabs>
        <w:spacing w:line="276" w:lineRule="auto"/>
        <w:jc w:val="both"/>
        <w:rPr>
          <w:rFonts w:ascii="Arial" w:hAnsi="Arial" w:eastAsia="Calibri" w:cs="Arial"/>
          <w:b/>
          <w:sz w:val="20"/>
          <w:szCs w:val="20"/>
          <w:lang w:val="es-ES"/>
        </w:rPr>
      </w:pPr>
    </w:p>
    <w:p w:rsidRPr="007D7C78" w:rsidR="008F1F27" w:rsidP="008F1F27" w:rsidRDefault="008F1F27" w14:paraId="13271D8A" w14:textId="77777777">
      <w:pPr>
        <w:jc w:val="both"/>
        <w:rPr>
          <w:rFonts w:ascii="Arial" w:hAnsi="Arial" w:eastAsia="Calibri" w:cs="Arial"/>
          <w:b/>
          <w:sz w:val="20"/>
          <w:szCs w:val="20"/>
          <w:lang w:val="es-MX"/>
        </w:rPr>
      </w:pPr>
      <w:r w:rsidRPr="007D7C78">
        <w:rPr>
          <w:rFonts w:ascii="Arial" w:hAnsi="Arial" w:eastAsia="Calibri" w:cs="Arial"/>
          <w:b/>
          <w:sz w:val="20"/>
          <w:szCs w:val="20"/>
          <w:lang w:val="es-MX"/>
        </w:rPr>
        <w:t xml:space="preserve">LEY DE GARANTÍAS ELECTORALES – Aplicación – Destinatarios </w:t>
      </w:r>
    </w:p>
    <w:p w:rsidRPr="007D7C78" w:rsidR="008F1F27" w:rsidP="008F1F27" w:rsidRDefault="008F1F27" w14:paraId="5EA4F71F" w14:textId="77777777">
      <w:pPr>
        <w:jc w:val="both"/>
        <w:rPr>
          <w:rFonts w:ascii="Arial" w:hAnsi="Arial" w:eastAsia="Calibri" w:cs="Arial"/>
          <w:b/>
          <w:sz w:val="20"/>
          <w:szCs w:val="20"/>
          <w:lang w:val="es-MX"/>
        </w:rPr>
      </w:pPr>
    </w:p>
    <w:p w:rsidRPr="007D7C78" w:rsidR="008F1F27" w:rsidP="008F1F27" w:rsidRDefault="008F1F27" w14:paraId="79A93EBE" w14:textId="77777777">
      <w:pPr>
        <w:jc w:val="both"/>
        <w:rPr>
          <w:rFonts w:ascii="Arial" w:hAnsi="Arial" w:eastAsia="Calibri" w:cs="Arial"/>
          <w:b/>
          <w:sz w:val="20"/>
          <w:szCs w:val="20"/>
          <w:lang w:val="es-MX"/>
        </w:rPr>
      </w:pPr>
      <w:r w:rsidRPr="007D7C78">
        <w:rPr>
          <w:rFonts w:ascii="Arial" w:hAnsi="Arial" w:cs="Arial"/>
          <w:bCs/>
          <w:sz w:val="20"/>
          <w:szCs w:val="20"/>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7D7C78">
        <w:rPr>
          <w:sz w:val="20"/>
          <w:szCs w:val="20"/>
          <w:lang w:val="es-MX"/>
        </w:rPr>
        <w:t xml:space="preserve"> </w:t>
      </w:r>
      <w:r w:rsidRPr="007D7C78">
        <w:rPr>
          <w:rFonts w:ascii="Arial" w:hAnsi="Arial" w:cs="Arial"/>
          <w:bCs/>
          <w:sz w:val="20"/>
          <w:szCs w:val="20"/>
          <w:lang w:val="es-MX" w:eastAsia="x-none"/>
        </w:rPr>
        <w:t>En efecto, tal como lo ha sostenido el Consejo de Estado, el vocablo «todos» utilizado por el legislador comprende</w:t>
      </w:r>
      <w:r w:rsidRPr="007D7C78">
        <w:rPr>
          <w:sz w:val="20"/>
          <w:szCs w:val="20"/>
          <w:lang w:val="es-MX"/>
        </w:rPr>
        <w:t xml:space="preserve"> </w:t>
      </w:r>
      <w:r w:rsidRPr="007D7C78">
        <w:rPr>
          <w:rFonts w:ascii="Arial" w:hAnsi="Arial" w:cs="Arial"/>
          <w:bCs/>
          <w:sz w:val="20"/>
          <w:szCs w:val="20"/>
          <w:lang w:val="es-MX"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rsidRPr="007D7C78" w:rsidR="008F1F27" w:rsidP="008F1F27" w:rsidRDefault="008F1F27" w14:paraId="6CD90119" w14:textId="77777777">
      <w:pPr>
        <w:jc w:val="both"/>
        <w:rPr>
          <w:rFonts w:ascii="Arial" w:hAnsi="Arial" w:eastAsia="Calibri" w:cs="Arial"/>
          <w:b/>
          <w:sz w:val="20"/>
          <w:szCs w:val="20"/>
          <w:lang w:val="es-MX"/>
        </w:rPr>
      </w:pPr>
    </w:p>
    <w:p w:rsidRPr="007D7C78" w:rsidR="008F1F27" w:rsidP="008F1F27" w:rsidRDefault="008F1F27" w14:paraId="5C0C0282" w14:textId="77777777">
      <w:pPr>
        <w:tabs>
          <w:tab w:val="left" w:pos="426"/>
        </w:tabs>
        <w:jc w:val="both"/>
        <w:rPr>
          <w:rFonts w:ascii="Arial" w:hAnsi="Arial" w:cs="Arial"/>
          <w:sz w:val="20"/>
          <w:szCs w:val="20"/>
          <w:lang w:val="es-MX"/>
        </w:rPr>
      </w:pPr>
      <w:r w:rsidRPr="007D7C78">
        <w:rPr>
          <w:rFonts w:ascii="Arial" w:hAnsi="Arial" w:eastAsia="Calibri" w:cs="Arial"/>
          <w:bCs/>
          <w:sz w:val="20"/>
          <w:szCs w:val="20"/>
        </w:rPr>
        <w:t xml:space="preserve">El parágrafo del artículo 38 de la Ley 996 de 2005 dispone que «[l]os Gobernadores, Alcaldes Municipales y/o Distritales, Secretarios, Gerentes y directores de Entidades Descentralizadas del </w:t>
      </w:r>
      <w:r w:rsidRPr="007D7C78">
        <w:rPr>
          <w:rFonts w:ascii="Arial" w:hAnsi="Arial" w:eastAsia="Calibri" w:cs="Arial"/>
          <w:bCs/>
          <w:sz w:val="20"/>
          <w:szCs w:val="20"/>
        </w:rPr>
        <w:lastRenderedPageBreak/>
        <w:t>orden Municipal, Departamental o Distrital, dentro de los cuatro (4) meses anteriores a las elecciones, no podrán celebrar convenios interadministrativos para la ejecución de recursos públicos».</w:t>
      </w:r>
      <w:r w:rsidRPr="007D7C78">
        <w:rPr>
          <w:rFonts w:ascii="Arial" w:hAnsi="Arial" w:cs="Arial"/>
          <w:bCs/>
          <w:iCs/>
          <w:sz w:val="20"/>
          <w:szCs w:val="20"/>
          <w:lang w:val="es-MX"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7D7C78">
        <w:rPr>
          <w:rFonts w:ascii="Arial" w:hAnsi="Arial" w:cs="Arial"/>
          <w:sz w:val="20"/>
          <w:szCs w:val="20"/>
          <w:lang w:val="es-MX"/>
        </w:rPr>
        <w:t xml:space="preserve"> </w:t>
      </w:r>
    </w:p>
    <w:p w:rsidRPr="007D7C78" w:rsidR="008F1F27" w:rsidP="008F1F27" w:rsidRDefault="008F1F27" w14:paraId="53C91AC1" w14:textId="77777777">
      <w:pPr>
        <w:tabs>
          <w:tab w:val="left" w:pos="0"/>
        </w:tabs>
        <w:spacing w:line="276" w:lineRule="auto"/>
        <w:jc w:val="both"/>
        <w:rPr>
          <w:rFonts w:ascii="Arial" w:hAnsi="Arial" w:eastAsia="Calibri" w:cs="Arial"/>
          <w:b/>
          <w:sz w:val="20"/>
          <w:szCs w:val="20"/>
          <w:lang w:val="es-ES"/>
        </w:rPr>
      </w:pPr>
    </w:p>
    <w:p w:rsidRPr="007D7C78" w:rsidR="008F1F27" w:rsidP="008F1F27" w:rsidRDefault="008F1F27" w14:paraId="65143CAC" w14:textId="77777777">
      <w:pPr>
        <w:jc w:val="both"/>
        <w:rPr>
          <w:rFonts w:ascii="Arial" w:hAnsi="Arial" w:cs="Arial"/>
          <w:b/>
          <w:sz w:val="20"/>
          <w:szCs w:val="20"/>
          <w:lang w:val="es-MX" w:eastAsia="x-none"/>
        </w:rPr>
      </w:pPr>
      <w:r w:rsidRPr="007D7C78">
        <w:rPr>
          <w:rFonts w:ascii="Arial" w:hAnsi="Arial" w:cs="Arial"/>
          <w:b/>
          <w:sz w:val="20"/>
          <w:szCs w:val="20"/>
          <w:lang w:val="es-MX" w:eastAsia="x-none"/>
        </w:rPr>
        <w:t>CONVENIOS SOLIDARIOS – naturaleza jurídica</w:t>
      </w:r>
    </w:p>
    <w:p w:rsidR="008F1F27" w:rsidP="008F1F27" w:rsidRDefault="008F1F27" w14:paraId="5468752A" w14:textId="77777777">
      <w:pPr>
        <w:jc w:val="both"/>
        <w:rPr>
          <w:rFonts w:ascii="Arial" w:hAnsi="Arial" w:cs="Arial"/>
          <w:bCs/>
          <w:sz w:val="20"/>
          <w:szCs w:val="20"/>
          <w:lang w:val="es-MX" w:eastAsia="x-none"/>
        </w:rPr>
      </w:pPr>
    </w:p>
    <w:p w:rsidRPr="007D7C78" w:rsidR="008F1F27" w:rsidP="008F1F27" w:rsidRDefault="008F1F27" w14:paraId="4663AE90" w14:textId="77777777">
      <w:pPr>
        <w:jc w:val="both"/>
        <w:rPr>
          <w:rFonts w:ascii="Arial" w:hAnsi="Arial" w:cs="Arial"/>
          <w:bCs/>
          <w:sz w:val="20"/>
          <w:szCs w:val="20"/>
          <w:lang w:val="es-MX" w:eastAsia="x-none"/>
        </w:rPr>
      </w:pPr>
      <w:r w:rsidRPr="007D7C78">
        <w:rPr>
          <w:rFonts w:ascii="Arial" w:hAnsi="Arial" w:cs="Arial"/>
          <w:bCs/>
          <w:sz w:val="20"/>
          <w:szCs w:val="20"/>
          <w:lang w:val="es-MX" w:eastAsia="x-none"/>
        </w:rPr>
        <w:t xml:space="preserve">[…] debe tenerse en cuenta que todos los convenios solidarios celebrados entre entidades del orden nacional, departamental, distrital o municipal y los organismos de acción comunal deben propender por la satisfacción de necesidades y aspiraciones de las comunidades, estar encaminados a la satisfacción del interés público, y ser concordantes con el Plan Nacional o los planes seccionales de desarrollo, según el caso. </w:t>
      </w:r>
    </w:p>
    <w:p w:rsidR="008F1F27" w:rsidP="008F1F27" w:rsidRDefault="008F1F27" w14:paraId="792CB023" w14:textId="77777777">
      <w:pPr>
        <w:jc w:val="both"/>
        <w:rPr>
          <w:rFonts w:ascii="Arial" w:hAnsi="Arial" w:cs="Arial"/>
          <w:bCs/>
          <w:sz w:val="20"/>
          <w:szCs w:val="20"/>
          <w:lang w:val="es-MX" w:eastAsia="x-none"/>
        </w:rPr>
      </w:pPr>
    </w:p>
    <w:p w:rsidRPr="007D7C78" w:rsidR="008F1F27" w:rsidP="008F1F27" w:rsidRDefault="008F1F27" w14:paraId="426E2926" w14:textId="77777777">
      <w:pPr>
        <w:jc w:val="both"/>
        <w:rPr>
          <w:rFonts w:ascii="Arial" w:hAnsi="Arial" w:cs="Arial"/>
          <w:bCs/>
          <w:sz w:val="20"/>
          <w:szCs w:val="20"/>
          <w:lang w:val="es-MX" w:eastAsia="x-none"/>
        </w:rPr>
      </w:pPr>
      <w:r w:rsidRPr="007D7C78">
        <w:rPr>
          <w:rFonts w:ascii="Arial" w:hAnsi="Arial" w:cs="Arial"/>
          <w:bCs/>
          <w:sz w:val="20"/>
          <w:szCs w:val="20"/>
          <w:lang w:val="es-MX" w:eastAsia="x-none"/>
        </w:rPr>
        <w:t xml:space="preserve">Ahora bien, aunadas a las características generales de cualquier convenio solidario, su régimen jurídico encuentra su fundamento en los parágrafos 4 y 5 del artículo 3 de la Ley 136 de 1994. Como se indicó, el referido parágrafo 4 determina una sub-regla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ii) que el objeto contractual consista en la ejecución de obras; y, iii)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 </w:t>
      </w:r>
    </w:p>
    <w:p w:rsidR="008F1F27" w:rsidP="008F1F27" w:rsidRDefault="008F1F27" w14:paraId="172D6927" w14:textId="77777777">
      <w:pPr>
        <w:jc w:val="both"/>
        <w:rPr>
          <w:rFonts w:ascii="Arial" w:hAnsi="Arial" w:cs="Arial"/>
          <w:bCs/>
          <w:sz w:val="20"/>
          <w:szCs w:val="20"/>
          <w:lang w:val="es-MX" w:eastAsia="x-none"/>
        </w:rPr>
      </w:pPr>
    </w:p>
    <w:p w:rsidRPr="007D7C78" w:rsidR="008F1F27" w:rsidP="008F1F27" w:rsidRDefault="008F1F27" w14:paraId="4427C88C" w14:textId="77777777">
      <w:pPr>
        <w:jc w:val="both"/>
        <w:rPr>
          <w:rFonts w:ascii="Arial" w:hAnsi="Arial" w:cs="Arial"/>
          <w:bCs/>
          <w:sz w:val="20"/>
          <w:szCs w:val="20"/>
          <w:lang w:val="es-MX" w:eastAsia="x-none"/>
        </w:rPr>
      </w:pPr>
      <w:r w:rsidRPr="007D7C78">
        <w:rPr>
          <w:rFonts w:ascii="Arial" w:hAnsi="Arial" w:cs="Arial"/>
          <w:bCs/>
          <w:sz w:val="20"/>
          <w:szCs w:val="20"/>
          <w:lang w:val="es-MX" w:eastAsia="x-none"/>
        </w:rPr>
        <w:t>Finalmente, el parágrafo 5 del referido artículo 3 de la Ley 136 de 1994, introducido por la Ley 1955 de 2019, habilita a las entidades del orden nacional para celebrar con los organismos de acción comunal convenios de asociación «para la ejecución de proyectos incluidos en el respectivo Plan Nacional de Desarrollo.»</w:t>
      </w:r>
    </w:p>
    <w:p w:rsidRPr="007D7C78" w:rsidR="008F1F27" w:rsidP="008F1F27" w:rsidRDefault="008F1F27" w14:paraId="4545725C" w14:textId="77777777">
      <w:pPr>
        <w:jc w:val="both"/>
        <w:rPr>
          <w:rFonts w:ascii="Arial" w:hAnsi="Arial" w:cs="Arial"/>
          <w:bCs/>
          <w:sz w:val="20"/>
          <w:szCs w:val="20"/>
          <w:lang w:val="es-MX" w:eastAsia="x-none"/>
        </w:rPr>
      </w:pPr>
    </w:p>
    <w:p w:rsidR="008F1F27" w:rsidP="008F1F27" w:rsidRDefault="008F1F27" w14:paraId="1441028D" w14:textId="77777777">
      <w:pPr>
        <w:jc w:val="both"/>
        <w:rPr>
          <w:rFonts w:ascii="Arial" w:hAnsi="Arial" w:cs="Arial"/>
          <w:b/>
          <w:sz w:val="20"/>
          <w:szCs w:val="20"/>
          <w:lang w:val="es-MX" w:eastAsia="x-none"/>
        </w:rPr>
      </w:pPr>
      <w:r w:rsidRPr="007D7C78">
        <w:rPr>
          <w:rFonts w:ascii="Arial" w:hAnsi="Arial" w:cs="Arial"/>
          <w:b/>
          <w:sz w:val="20"/>
          <w:szCs w:val="20"/>
          <w:lang w:val="es-MX" w:eastAsia="x-none"/>
        </w:rPr>
        <w:t xml:space="preserve">CONVENIOS SOLIDARIOS – </w:t>
      </w:r>
      <w:r>
        <w:rPr>
          <w:rFonts w:ascii="Arial" w:hAnsi="Arial" w:cs="Arial"/>
          <w:b/>
          <w:sz w:val="20"/>
          <w:szCs w:val="20"/>
          <w:lang w:val="es-MX" w:eastAsia="x-none"/>
        </w:rPr>
        <w:t>contratación directa – aplicación prohibición artículo 33 de la Ley 966 de 2005</w:t>
      </w:r>
    </w:p>
    <w:p w:rsidR="008F1F27" w:rsidP="008F1F27" w:rsidRDefault="008F1F27" w14:paraId="1D0B8782" w14:textId="77777777">
      <w:pPr>
        <w:jc w:val="both"/>
        <w:rPr>
          <w:rFonts w:ascii="Arial" w:hAnsi="Arial" w:cs="Arial"/>
          <w:b/>
          <w:sz w:val="20"/>
          <w:szCs w:val="20"/>
          <w:lang w:val="es-MX" w:eastAsia="x-none"/>
        </w:rPr>
      </w:pPr>
    </w:p>
    <w:p w:rsidRPr="007D7C78" w:rsidR="008F1F27" w:rsidP="008F1F27" w:rsidRDefault="008F1F27" w14:paraId="5E5A471D" w14:textId="77777777">
      <w:pPr>
        <w:jc w:val="both"/>
        <w:rPr>
          <w:rFonts w:ascii="Arial" w:hAnsi="Arial" w:cs="Arial"/>
          <w:bCs/>
          <w:sz w:val="20"/>
          <w:szCs w:val="20"/>
          <w:lang w:val="es-MX" w:eastAsia="x-none"/>
        </w:rPr>
      </w:pPr>
      <w:r w:rsidRPr="00EC0C5B">
        <w:rPr>
          <w:rFonts w:ascii="Arial" w:hAnsi="Arial" w:cs="Arial"/>
          <w:bCs/>
          <w:sz w:val="20"/>
          <w:szCs w:val="20"/>
          <w:lang w:val="es-MX" w:eastAsia="x-none"/>
        </w:rPr>
        <w:t>En relación con la modalidad de selección de los convenios solidarios, se observa como el parágrafo 4 y 5 del artículo 3 de la Ley 136 de 1994 establece que se celebrarán directamente y, por tanto, se trata de un procedimiento de selección que no incluye la convocatoria pública en alguna de sus etapas, ni permite la participación de una pluralidad de oferentes. De este modo, debe concluirse que los convenios solidarios, que deben celebrarse directamente, se encuentran comprendidos en el ámbito material de la prohibición prevista en el artículo 33 de la ley 996 de 2005, delimitado por la expresión «queda prohibida la contratación directa». Lo anterior porque, según se relacionó atrás, según la jurisprudencia del Consejo de Estado, «contratación directa» es cualquier sistema de selección o procedimiento de contratación utilizado por las entidades estatales que no incluya la convocatoria pública en alguna de sus etapas, ni permita la participación de una pluralidad de oferentes. Por lo tanto, se reitera, la prohibición aplica, sin perjuicio de las excepciones establecidas en la misma ley de garantías, para celebrar cualquier contrato de forma directa, esto es, sin que exista un proceso abierto y competitivo.</w:t>
      </w:r>
    </w:p>
    <w:p w:rsidRPr="007D7C78" w:rsidR="008F1F27" w:rsidP="008F1F27" w:rsidRDefault="008F1F27" w14:paraId="486708EA" w14:textId="77777777">
      <w:pPr>
        <w:jc w:val="both"/>
        <w:rPr>
          <w:rFonts w:ascii="Arial" w:hAnsi="Arial" w:cs="Arial"/>
          <w:bCs/>
          <w:sz w:val="20"/>
          <w:szCs w:val="20"/>
          <w:lang w:val="es-MX" w:eastAsia="x-none"/>
        </w:rPr>
      </w:pPr>
    </w:p>
    <w:p w:rsidRPr="007D7C78" w:rsidR="008F1F27" w:rsidP="008F1F27" w:rsidRDefault="008F1F27" w14:paraId="33CDC9A2" w14:textId="77777777">
      <w:pPr>
        <w:jc w:val="both"/>
        <w:rPr>
          <w:rFonts w:ascii="Arial" w:hAnsi="Arial" w:cs="Arial"/>
          <w:bCs/>
          <w:sz w:val="20"/>
          <w:szCs w:val="20"/>
          <w:lang w:val="es-MX" w:eastAsia="x-none"/>
        </w:rPr>
      </w:pPr>
    </w:p>
    <w:p w:rsidR="008F1F27" w:rsidP="008F1F27" w:rsidRDefault="008F1F27" w14:paraId="78BD1068" w14:textId="77777777">
      <w:pPr>
        <w:spacing w:after="120"/>
        <w:jc w:val="both"/>
        <w:rPr>
          <w:rFonts w:ascii="Arial" w:hAnsi="Arial" w:eastAsia="Arial," w:cs="Arial"/>
          <w:sz w:val="20"/>
          <w:szCs w:val="20"/>
        </w:rPr>
      </w:pPr>
    </w:p>
    <w:p w:rsidRPr="00EA2FEE" w:rsidR="00EA2FEE" w:rsidP="00EA2FEE" w:rsidRDefault="00EA2FEE" w14:paraId="1F0CA5E6" w14:textId="6327808C">
      <w:pPr>
        <w:jc w:val="right"/>
      </w:pPr>
      <w:r w:rsidRPr="00EA2FEE">
        <w:lastRenderedPageBreak/>
        <w:fldChar w:fldCharType="begin"/>
      </w:r>
      <w:r w:rsidRPr="00EA2FEE">
        <w:instrText xml:space="preserve"> INCLUDEPICTURE "/var/folders/tb/0fmk9b510f57pz5rwhv8lnpw0000gp/T/com.microsoft.Word/WebArchiveCopyPasteTempFiles/page1image3652788304" \* MERGEFORMATINET </w:instrText>
      </w:r>
      <w:r w:rsidRPr="00EA2FEE">
        <w:fldChar w:fldCharType="separate"/>
      </w:r>
      <w:r w:rsidRPr="00EA2FEE">
        <w:rPr>
          <w:noProof/>
        </w:rPr>
        <w:drawing>
          <wp:inline distT="0" distB="0" distL="0" distR="0" wp14:anchorId="5B13BB7E" wp14:editId="46C73420">
            <wp:extent cx="2404745" cy="609600"/>
            <wp:effectExtent l="0" t="0" r="0" b="0"/>
            <wp:docPr id="4" name="Imagen 4" descr="page1image365278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6527883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4745" cy="609600"/>
                    </a:xfrm>
                    <a:prstGeom prst="rect">
                      <a:avLst/>
                    </a:prstGeom>
                    <a:noFill/>
                    <a:ln>
                      <a:noFill/>
                    </a:ln>
                  </pic:spPr>
                </pic:pic>
              </a:graphicData>
            </a:graphic>
          </wp:inline>
        </w:drawing>
      </w:r>
      <w:r w:rsidRPr="00EA2FEE">
        <w:fldChar w:fldCharType="end"/>
      </w:r>
    </w:p>
    <w:p w:rsidR="00EA2FEE" w:rsidP="008F1F27" w:rsidRDefault="00EA2FEE" w14:paraId="2325DE8E" w14:textId="77777777">
      <w:pPr>
        <w:rPr>
          <w:rFonts w:ascii="Arial" w:hAnsi="Arial" w:eastAsia="Calibri" w:cs="Arial"/>
          <w:sz w:val="22"/>
          <w:szCs w:val="22"/>
          <w:lang w:val="es-ES"/>
        </w:rPr>
      </w:pPr>
    </w:p>
    <w:p w:rsidRPr="00924DEF" w:rsidR="008F1F27" w:rsidP="008F1F27" w:rsidRDefault="008F1F27" w14:paraId="082B6DB4" w14:textId="6C7016C1">
      <w:pPr>
        <w:rPr>
          <w:rFonts w:ascii="Arial" w:hAnsi="Arial" w:eastAsia="Calibri" w:cs="Arial"/>
          <w:sz w:val="22"/>
          <w:szCs w:val="22"/>
          <w:lang w:val="es-ES"/>
        </w:rPr>
      </w:pPr>
      <w:r w:rsidRPr="006244FD">
        <w:rPr>
          <w:rFonts w:ascii="Arial" w:hAnsi="Arial" w:eastAsia="Calibri" w:cs="Arial"/>
          <w:sz w:val="22"/>
          <w:szCs w:val="22"/>
          <w:lang w:val="es-ES"/>
        </w:rPr>
        <w:t>Señora</w:t>
      </w:r>
    </w:p>
    <w:p w:rsidRPr="00924DEF" w:rsidR="008F1F27" w:rsidP="008F1F27" w:rsidRDefault="008F1F27" w14:paraId="051C590D" w14:textId="77777777">
      <w:pPr>
        <w:rPr>
          <w:rFonts w:ascii="Arial" w:hAnsi="Arial" w:eastAsia="Calibri" w:cs="Arial"/>
          <w:b/>
          <w:bCs/>
          <w:sz w:val="22"/>
          <w:szCs w:val="22"/>
          <w:lang w:val="es-ES"/>
        </w:rPr>
      </w:pPr>
      <w:r>
        <w:rPr>
          <w:rFonts w:ascii="Arial" w:hAnsi="Arial" w:eastAsia="Calibri" w:cs="Arial"/>
          <w:b/>
          <w:bCs/>
          <w:sz w:val="22"/>
          <w:szCs w:val="22"/>
          <w:lang w:val="es-ES"/>
        </w:rPr>
        <w:t>Karen García Salcedo</w:t>
      </w:r>
    </w:p>
    <w:p w:rsidRPr="00924DEF" w:rsidR="008F1F27" w:rsidP="008F1F27" w:rsidRDefault="008F1F27" w14:paraId="2B910637" w14:textId="77777777">
      <w:pPr>
        <w:rPr>
          <w:rFonts w:ascii="Arial" w:hAnsi="Arial" w:eastAsia="Calibri" w:cs="Arial"/>
          <w:sz w:val="22"/>
          <w:szCs w:val="22"/>
          <w:lang w:val="es-ES"/>
        </w:rPr>
      </w:pPr>
      <w:r>
        <w:rPr>
          <w:rFonts w:ascii="Arial" w:hAnsi="Arial" w:eastAsia="Calibri" w:cs="Arial"/>
          <w:sz w:val="22"/>
          <w:szCs w:val="22"/>
          <w:lang w:val="es-ES"/>
        </w:rPr>
        <w:t>Manizales, Caldas</w:t>
      </w:r>
    </w:p>
    <w:p w:rsidRPr="00924DEF" w:rsidR="008F1F27" w:rsidP="008F1F27" w:rsidRDefault="008F1F27" w14:paraId="75A8322F" w14:textId="77777777">
      <w:pPr>
        <w:rPr>
          <w:rFonts w:ascii="Arial" w:hAnsi="Arial" w:eastAsia="Calibri" w:cs="Arial"/>
          <w:sz w:val="22"/>
          <w:szCs w:val="22"/>
          <w:lang w:val="es-ES"/>
        </w:rPr>
      </w:pPr>
    </w:p>
    <w:p w:rsidRPr="00924DEF" w:rsidR="008F1F27" w:rsidP="008F1F27" w:rsidRDefault="008F1F27" w14:paraId="509A3CD8" w14:textId="77777777">
      <w:pPr>
        <w:rPr>
          <w:rFonts w:ascii="Arial" w:hAnsi="Arial" w:eastAsia="Calibri" w:cs="Arial"/>
          <w:b/>
          <w:sz w:val="22"/>
          <w:szCs w:val="22"/>
          <w:lang w:val="es-ES"/>
        </w:rPr>
      </w:pPr>
    </w:p>
    <w:p w:rsidRPr="00924DEF" w:rsidR="008F1F27" w:rsidP="008F1F27" w:rsidRDefault="008F1F27" w14:paraId="481D0967" w14:textId="77777777">
      <w:pPr>
        <w:rPr>
          <w:rFonts w:ascii="Arial" w:hAnsi="Arial" w:eastAsia="Calibri" w:cs="Arial"/>
          <w:b/>
          <w:sz w:val="22"/>
          <w:szCs w:val="22"/>
          <w:lang w:val="es-ES"/>
        </w:rPr>
      </w:pPr>
      <w:r w:rsidRPr="00924DEF">
        <w:rPr>
          <w:rFonts w:ascii="Arial" w:hAnsi="Arial" w:eastAsia="Calibri" w:cs="Arial"/>
          <w:b/>
          <w:sz w:val="22"/>
          <w:szCs w:val="22"/>
          <w:lang w:val="es-ES"/>
        </w:rPr>
        <w:t xml:space="preserve">                                            Concepto C – </w:t>
      </w:r>
      <w:r>
        <w:rPr>
          <w:rFonts w:ascii="Arial" w:hAnsi="Arial" w:eastAsia="Calibri" w:cs="Arial"/>
          <w:b/>
          <w:sz w:val="22"/>
          <w:szCs w:val="22"/>
          <w:lang w:val="es-ES"/>
        </w:rPr>
        <w:t>116 de 2022</w:t>
      </w:r>
    </w:p>
    <w:p w:rsidRPr="00924DEF" w:rsidR="008F1F27" w:rsidP="008F1F27" w:rsidRDefault="008F1F27" w14:paraId="1CFE9394" w14:textId="77777777">
      <w:pPr>
        <w:rPr>
          <w:rFonts w:ascii="Arial" w:hAnsi="Arial" w:eastAsia="Calibri" w:cs="Arial"/>
          <w:b/>
          <w:sz w:val="22"/>
          <w:szCs w:val="22"/>
          <w:lang w:val="es-ES"/>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924DEF" w:rsidR="008F1F27" w:rsidTr="00B10244" w14:paraId="273EBBC8" w14:textId="77777777">
        <w:trPr>
          <w:trHeight w:val="550"/>
        </w:trPr>
        <w:tc>
          <w:tcPr>
            <w:tcW w:w="2689" w:type="dxa"/>
          </w:tcPr>
          <w:p w:rsidRPr="00924DEF" w:rsidR="008F1F27" w:rsidP="00B10244" w:rsidRDefault="008F1F27" w14:paraId="6D706277" w14:textId="77777777">
            <w:pPr>
              <w:rPr>
                <w:rFonts w:ascii="Arial" w:hAnsi="Arial" w:eastAsia="Calibri" w:cs="Arial"/>
                <w:lang w:val="es-ES"/>
              </w:rPr>
            </w:pPr>
            <w:r w:rsidRPr="00924DEF">
              <w:rPr>
                <w:rFonts w:ascii="Arial" w:hAnsi="Arial" w:eastAsia="Calibri" w:cs="Arial"/>
                <w:b/>
                <w:lang w:val="es-ES"/>
              </w:rPr>
              <w:t>Temas:</w:t>
            </w:r>
            <w:r w:rsidRPr="00924DEF">
              <w:rPr>
                <w:rFonts w:ascii="Arial" w:hAnsi="Arial" w:eastAsia="Calibri" w:cs="Arial"/>
                <w:lang w:val="es-ES"/>
              </w:rPr>
              <w:t xml:space="preserve">                                      </w:t>
            </w:r>
          </w:p>
        </w:tc>
        <w:tc>
          <w:tcPr>
            <w:tcW w:w="6237" w:type="dxa"/>
          </w:tcPr>
          <w:p w:rsidRPr="00640388" w:rsidR="008F1F27" w:rsidP="00B10244" w:rsidRDefault="008F1F27" w14:paraId="0B7E56EF" w14:textId="77777777">
            <w:pPr>
              <w:jc w:val="right"/>
              <w:rPr>
                <w:rFonts w:ascii="Arial" w:hAnsi="Arial" w:cs="Arial"/>
                <w:bCs/>
                <w:sz w:val="16"/>
                <w:szCs w:val="16"/>
                <w:lang w:val="es-ES" w:eastAsia="es-ES"/>
              </w:rPr>
            </w:pPr>
          </w:p>
          <w:p w:rsidRPr="008000F4" w:rsidR="008F1F27" w:rsidP="00B10244" w:rsidRDefault="008F1F27" w14:paraId="08D9D14A" w14:textId="77777777">
            <w:pPr>
              <w:tabs>
                <w:tab w:val="left" w:pos="426"/>
              </w:tabs>
              <w:jc w:val="both"/>
              <w:rPr>
                <w:rFonts w:ascii="Arial" w:hAnsi="Arial" w:eastAsia="Calibri" w:cs="Arial"/>
                <w:bCs/>
              </w:rPr>
            </w:pPr>
            <w:r w:rsidRPr="00640388">
              <w:rPr>
                <w:rFonts w:ascii="Arial" w:hAnsi="Arial" w:eastAsia="Calibri" w:cs="Arial"/>
                <w:bCs/>
                <w:lang w:val="es-MX"/>
              </w:rPr>
              <w:t xml:space="preserve">LEY DE GARANTÍAS ELECTORALES – Naturaleza Jurídica / LEY DE GARANTÍAS ELECTORALES – Prohibiciones / LEY DE GARANTÍAS ELECTORALES – Aplicación – Destinatarios / </w:t>
            </w:r>
            <w:r>
              <w:rPr>
                <w:rFonts w:ascii="Arial" w:hAnsi="Arial" w:eastAsia="Calibri" w:cs="Arial"/>
                <w:bCs/>
              </w:rPr>
              <w:t xml:space="preserve">CONVENIOS SOLIDARIOS – Naturaleza jurídica / </w:t>
            </w:r>
            <w:r w:rsidRPr="007D7C78">
              <w:rPr>
                <w:rFonts w:ascii="Arial" w:hAnsi="Arial" w:eastAsia="Calibri" w:cs="Arial"/>
                <w:bCs/>
              </w:rPr>
              <w:t xml:space="preserve">CONVENIOS SOLIDARIOS – </w:t>
            </w:r>
            <w:r w:rsidRPr="00EC0C5B">
              <w:rPr>
                <w:rFonts w:ascii="Arial" w:hAnsi="Arial" w:eastAsia="Calibri" w:cs="Arial"/>
                <w:bCs/>
              </w:rPr>
              <w:t>contratación directa – aplicación prohibición artículo 33 de la Ley 966 de 2005</w:t>
            </w:r>
          </w:p>
        </w:tc>
      </w:tr>
      <w:tr w:rsidRPr="00924DEF" w:rsidR="008F1F27" w:rsidTr="00B10244" w14:paraId="4D112C5C" w14:textId="77777777">
        <w:tc>
          <w:tcPr>
            <w:tcW w:w="2689" w:type="dxa"/>
          </w:tcPr>
          <w:p w:rsidRPr="00924DEF" w:rsidR="008F1F27" w:rsidP="00B10244" w:rsidRDefault="008F1F27" w14:paraId="2CB6AE77" w14:textId="77777777">
            <w:pPr>
              <w:rPr>
                <w:rFonts w:ascii="Arial" w:hAnsi="Arial" w:eastAsia="Calibri" w:cs="Arial"/>
                <w:lang w:val="es-ES"/>
              </w:rPr>
            </w:pPr>
            <w:r w:rsidRPr="00924DEF">
              <w:rPr>
                <w:rFonts w:ascii="Arial" w:hAnsi="Arial" w:eastAsia="Calibri" w:cs="Arial"/>
                <w:b/>
                <w:lang w:val="es-ES"/>
              </w:rPr>
              <w:t>Radicación:</w:t>
            </w:r>
            <w:r w:rsidRPr="00924DEF">
              <w:rPr>
                <w:rFonts w:ascii="Arial" w:hAnsi="Arial" w:eastAsia="Calibri" w:cs="Arial"/>
                <w:lang w:val="es-ES"/>
              </w:rPr>
              <w:t xml:space="preserve">                              </w:t>
            </w:r>
          </w:p>
        </w:tc>
        <w:tc>
          <w:tcPr>
            <w:tcW w:w="6237" w:type="dxa"/>
          </w:tcPr>
          <w:p w:rsidRPr="00924DEF" w:rsidR="008F1F27" w:rsidP="00B10244" w:rsidRDefault="008F1F27" w14:paraId="774FD7A7" w14:textId="77777777">
            <w:pPr>
              <w:rPr>
                <w:rFonts w:ascii="Arial" w:hAnsi="Arial" w:eastAsia="Calibri" w:cs="Arial"/>
                <w:lang w:val="es-ES"/>
              </w:rPr>
            </w:pPr>
            <w:r w:rsidRPr="00924DEF">
              <w:rPr>
                <w:rFonts w:ascii="Arial" w:hAnsi="Arial" w:eastAsia="Calibri" w:cs="Arial"/>
                <w:lang w:val="es-ES"/>
              </w:rPr>
              <w:t xml:space="preserve">Respuesta a consulta </w:t>
            </w:r>
            <w:r w:rsidRPr="00132761">
              <w:rPr>
                <w:rFonts w:ascii="Arial" w:hAnsi="Arial" w:eastAsia="Calibri" w:cs="Arial"/>
                <w:lang w:val="es-ES"/>
              </w:rPr>
              <w:t>P20220209001259</w:t>
            </w:r>
          </w:p>
        </w:tc>
      </w:tr>
    </w:tbl>
    <w:p w:rsidRPr="00924DEF" w:rsidR="008F1F27" w:rsidP="008F1F27" w:rsidRDefault="008F1F27" w14:paraId="26DFA7A8" w14:textId="77777777">
      <w:pPr>
        <w:spacing w:line="276" w:lineRule="auto"/>
        <w:rPr>
          <w:rFonts w:ascii="Arial" w:hAnsi="Arial" w:eastAsia="Calibri" w:cs="Arial"/>
          <w:sz w:val="22"/>
          <w:szCs w:val="22"/>
          <w:lang w:val="es-ES"/>
        </w:rPr>
      </w:pPr>
    </w:p>
    <w:p w:rsidRPr="00924DEF" w:rsidR="008F1F27" w:rsidP="008F1F27" w:rsidRDefault="008F1F27" w14:paraId="6D2F9086" w14:textId="77777777">
      <w:pPr>
        <w:spacing w:line="276" w:lineRule="auto"/>
        <w:rPr>
          <w:rFonts w:ascii="Arial" w:hAnsi="Arial" w:eastAsia="Calibri" w:cs="Arial"/>
          <w:sz w:val="22"/>
          <w:szCs w:val="22"/>
          <w:lang w:val="es-ES"/>
        </w:rPr>
      </w:pPr>
    </w:p>
    <w:p w:rsidRPr="00924DEF" w:rsidR="008F1F27" w:rsidP="008F1F27" w:rsidRDefault="008F1F27" w14:paraId="54C8633C" w14:textId="77777777">
      <w:pPr>
        <w:tabs>
          <w:tab w:val="left" w:pos="3736"/>
        </w:tabs>
        <w:spacing w:line="276" w:lineRule="auto"/>
        <w:rPr>
          <w:rFonts w:ascii="Arial" w:hAnsi="Arial" w:eastAsia="Calibri" w:cs="Arial"/>
          <w:sz w:val="22"/>
          <w:szCs w:val="22"/>
          <w:lang w:val="es-ES"/>
        </w:rPr>
      </w:pPr>
      <w:r w:rsidRPr="00924DEF">
        <w:rPr>
          <w:rFonts w:ascii="Arial" w:hAnsi="Arial" w:eastAsia="Calibri" w:cs="Arial"/>
          <w:sz w:val="22"/>
          <w:szCs w:val="22"/>
          <w:lang w:val="es-ES"/>
        </w:rPr>
        <w:t xml:space="preserve">Estimada señora </w:t>
      </w:r>
      <w:r>
        <w:rPr>
          <w:rFonts w:ascii="Arial" w:hAnsi="Arial" w:eastAsia="Calibri" w:cs="Arial"/>
          <w:sz w:val="22"/>
          <w:szCs w:val="22"/>
          <w:lang w:val="es-ES"/>
        </w:rPr>
        <w:t>García</w:t>
      </w:r>
      <w:r w:rsidRPr="00924DEF">
        <w:rPr>
          <w:rFonts w:ascii="Arial" w:hAnsi="Arial" w:eastAsia="Calibri" w:cs="Arial"/>
          <w:sz w:val="22"/>
          <w:szCs w:val="22"/>
          <w:lang w:val="es-ES"/>
        </w:rPr>
        <w:t>:</w:t>
      </w:r>
      <w:r w:rsidRPr="00924DEF">
        <w:rPr>
          <w:rFonts w:ascii="Arial" w:hAnsi="Arial" w:eastAsia="Calibri" w:cs="Arial"/>
          <w:sz w:val="22"/>
          <w:szCs w:val="22"/>
          <w:lang w:val="es-ES"/>
        </w:rPr>
        <w:tab/>
      </w:r>
    </w:p>
    <w:p w:rsidRPr="00924DEF" w:rsidR="008F1F27" w:rsidP="008F1F27" w:rsidRDefault="008F1F27" w14:paraId="2693C6B2" w14:textId="77777777">
      <w:pPr>
        <w:spacing w:line="276" w:lineRule="auto"/>
        <w:rPr>
          <w:rFonts w:ascii="Arial" w:hAnsi="Arial" w:eastAsia="Calibri" w:cs="Arial"/>
          <w:sz w:val="22"/>
          <w:szCs w:val="22"/>
          <w:lang w:val="es-ES"/>
        </w:rPr>
      </w:pPr>
    </w:p>
    <w:p w:rsidRPr="00924DEF" w:rsidR="008F1F27" w:rsidP="008F1F27" w:rsidRDefault="008F1F27" w14:paraId="0E3A6299" w14:textId="77777777">
      <w:pPr>
        <w:spacing w:line="276" w:lineRule="auto"/>
        <w:jc w:val="both"/>
        <w:rPr>
          <w:rFonts w:ascii="Arial" w:hAnsi="Arial" w:eastAsia="Calibri" w:cs="Arial"/>
          <w:sz w:val="22"/>
          <w:szCs w:val="22"/>
          <w:lang w:val="es-ES"/>
        </w:rPr>
      </w:pPr>
      <w:r w:rsidRPr="00924DEF">
        <w:rPr>
          <w:rFonts w:ascii="Arial" w:hAnsi="Arial" w:eastAsia="Calibri" w:cs="Arial"/>
          <w:sz w:val="22"/>
          <w:szCs w:val="22"/>
          <w:lang w:val="es-ES"/>
        </w:rPr>
        <w:t>La Agencia Nacional de Contratación Pública – Colombia Compra Eficiente, en ejercicio de la competencia otorgada por el numeral 8 del artículo 11 y el numeral 5 del artículo 3 del Decreto Ley 4170 de 2011</w:t>
      </w:r>
      <w:r>
        <w:rPr>
          <w:rFonts w:ascii="Arial" w:hAnsi="Arial" w:eastAsia="Calibri" w:cs="Arial"/>
          <w:sz w:val="22"/>
          <w:szCs w:val="22"/>
          <w:lang w:val="es-ES"/>
        </w:rPr>
        <w:t xml:space="preserve">, </w:t>
      </w:r>
      <w:r w:rsidRPr="00924DEF">
        <w:rPr>
          <w:rFonts w:ascii="Arial" w:hAnsi="Arial" w:eastAsia="Calibri" w:cs="Arial"/>
          <w:sz w:val="22"/>
          <w:szCs w:val="22"/>
          <w:lang w:val="es-ES"/>
        </w:rPr>
        <w:t xml:space="preserve">responde a su consulta del </w:t>
      </w:r>
      <w:r>
        <w:rPr>
          <w:rFonts w:ascii="Arial" w:hAnsi="Arial" w:eastAsia="Calibri" w:cs="Arial"/>
          <w:sz w:val="22"/>
          <w:szCs w:val="22"/>
          <w:lang w:val="es-ES"/>
        </w:rPr>
        <w:t>9 de febrero de 2022.</w:t>
      </w:r>
    </w:p>
    <w:p w:rsidRPr="00924DEF" w:rsidR="008F1F27" w:rsidP="008F1F27" w:rsidRDefault="008F1F27" w14:paraId="70E54971" w14:textId="77777777">
      <w:pPr>
        <w:pStyle w:val="Prrafodelista"/>
        <w:spacing w:line="276" w:lineRule="auto"/>
        <w:ind w:left="0"/>
        <w:rPr>
          <w:rFonts w:ascii="Arial" w:hAnsi="Arial" w:eastAsia="Calibri" w:cs="Arial"/>
          <w:sz w:val="22"/>
          <w:lang w:val="es-ES"/>
        </w:rPr>
      </w:pPr>
    </w:p>
    <w:p w:rsidRPr="00924DEF" w:rsidR="008F1F27" w:rsidP="008F1F27" w:rsidRDefault="008F1F27" w14:paraId="273F674B" w14:textId="77777777">
      <w:pPr>
        <w:tabs>
          <w:tab w:val="left" w:pos="0"/>
        </w:tabs>
        <w:spacing w:line="276" w:lineRule="auto"/>
        <w:jc w:val="both"/>
        <w:rPr>
          <w:rFonts w:ascii="Arial" w:hAnsi="Arial" w:eastAsia="Calibri" w:cs="Arial"/>
          <w:b/>
          <w:sz w:val="22"/>
          <w:szCs w:val="22"/>
          <w:lang w:val="es-ES"/>
        </w:rPr>
      </w:pPr>
      <w:r w:rsidRPr="00924DEF">
        <w:rPr>
          <w:rFonts w:ascii="Arial" w:hAnsi="Arial" w:eastAsia="Calibri" w:cs="Arial"/>
          <w:b/>
          <w:sz w:val="22"/>
          <w:szCs w:val="22"/>
          <w:lang w:val="es-ES"/>
        </w:rPr>
        <w:t>1. Problema planteado</w:t>
      </w:r>
    </w:p>
    <w:p w:rsidRPr="00924DEF" w:rsidR="008F1F27" w:rsidP="008F1F27" w:rsidRDefault="008F1F27" w14:paraId="466A69CF" w14:textId="77777777">
      <w:pPr>
        <w:rPr>
          <w:rFonts w:ascii="Arial" w:hAnsi="Arial" w:eastAsia="Calibri" w:cs="Arial"/>
          <w:sz w:val="22"/>
          <w:szCs w:val="22"/>
          <w:lang w:val="es-ES"/>
        </w:rPr>
      </w:pPr>
    </w:p>
    <w:p w:rsidR="008F1F27" w:rsidP="008F1F27" w:rsidRDefault="008F1F27" w14:paraId="7B6A0190" w14:textId="77777777">
      <w:pPr>
        <w:spacing w:line="276" w:lineRule="auto"/>
        <w:jc w:val="both"/>
        <w:rPr>
          <w:rFonts w:ascii="Arial" w:hAnsi="Arial" w:eastAsia="Calibri" w:cs="Arial"/>
          <w:sz w:val="22"/>
          <w:szCs w:val="22"/>
          <w:lang w:val="es-ES"/>
        </w:rPr>
      </w:pPr>
      <w:r w:rsidRPr="00924DEF">
        <w:rPr>
          <w:rFonts w:ascii="Arial" w:hAnsi="Arial" w:eastAsia="Calibri" w:cs="Arial"/>
          <w:sz w:val="22"/>
          <w:szCs w:val="22"/>
          <w:lang w:val="es-ES"/>
        </w:rPr>
        <w:t xml:space="preserve">Usted </w:t>
      </w:r>
      <w:r>
        <w:rPr>
          <w:rFonts w:ascii="Arial" w:hAnsi="Arial" w:eastAsia="Calibri" w:cs="Arial"/>
          <w:sz w:val="22"/>
          <w:szCs w:val="22"/>
          <w:lang w:val="es-ES"/>
        </w:rPr>
        <w:t>realiza</w:t>
      </w:r>
      <w:r w:rsidRPr="00924DEF">
        <w:rPr>
          <w:rFonts w:ascii="Arial" w:hAnsi="Arial" w:eastAsia="Calibri" w:cs="Arial"/>
          <w:sz w:val="22"/>
          <w:szCs w:val="22"/>
          <w:lang w:val="es-ES"/>
        </w:rPr>
        <w:t xml:space="preserve"> la siguiente pregunta: </w:t>
      </w:r>
    </w:p>
    <w:p w:rsidR="008F1F27" w:rsidP="008F1F27" w:rsidRDefault="008F1F27" w14:paraId="2CCAE993" w14:textId="77777777">
      <w:pPr>
        <w:spacing w:line="276" w:lineRule="auto"/>
        <w:jc w:val="both"/>
        <w:rPr>
          <w:rFonts w:ascii="Arial" w:hAnsi="Arial" w:eastAsia="Calibri" w:cs="Arial"/>
          <w:sz w:val="22"/>
          <w:szCs w:val="22"/>
          <w:lang w:val="es-ES"/>
        </w:rPr>
      </w:pPr>
    </w:p>
    <w:p w:rsidRPr="00652974" w:rsidR="008F1F27" w:rsidP="008F1F27" w:rsidRDefault="008F1F27" w14:paraId="7F6F7468" w14:textId="77777777">
      <w:pPr>
        <w:ind w:left="709" w:right="709"/>
        <w:jc w:val="both"/>
        <w:rPr>
          <w:rFonts w:ascii="Arial" w:hAnsi="Arial" w:cs="Arial"/>
          <w:sz w:val="22"/>
          <w:szCs w:val="22"/>
        </w:rPr>
      </w:pPr>
      <w:r w:rsidRPr="00FD0969">
        <w:rPr>
          <w:rFonts w:ascii="Arial" w:hAnsi="Arial" w:cs="Arial"/>
          <w:sz w:val="22"/>
          <w:szCs w:val="22"/>
        </w:rPr>
        <w:t>«</w:t>
      </w:r>
      <w:r w:rsidRPr="00652974">
        <w:rPr>
          <w:rFonts w:ascii="Arial" w:hAnsi="Arial" w:cs="Arial"/>
          <w:sz w:val="22"/>
          <w:szCs w:val="22"/>
        </w:rPr>
        <w:t>Me permito consultar si es posible o no adelantar contratación de régimen especial, específicamente los convenios solidarios establecidos en el artículo 6 de lay 1551 de 2012, convenios solidarios con la Juntas de Acción comunal</w:t>
      </w:r>
      <w:r w:rsidRPr="00FD0969">
        <w:rPr>
          <w:rFonts w:ascii="Arial" w:hAnsi="Arial" w:cs="Arial"/>
          <w:sz w:val="22"/>
          <w:szCs w:val="22"/>
        </w:rPr>
        <w:t>»</w:t>
      </w:r>
      <w:r>
        <w:rPr>
          <w:rFonts w:ascii="Arial" w:hAnsi="Arial" w:cs="Arial"/>
          <w:sz w:val="22"/>
          <w:szCs w:val="22"/>
        </w:rPr>
        <w:t>.</w:t>
      </w:r>
    </w:p>
    <w:p w:rsidRPr="00924DEF" w:rsidR="008F1F27" w:rsidP="008F1F27" w:rsidRDefault="008F1F27" w14:paraId="71D1A8F9" w14:textId="77777777">
      <w:pPr>
        <w:spacing w:line="276" w:lineRule="auto"/>
        <w:ind w:left="709" w:right="709"/>
        <w:jc w:val="both"/>
        <w:rPr>
          <w:rFonts w:ascii="Arial" w:hAnsi="Arial" w:eastAsia="Calibri" w:cs="Arial"/>
          <w:b/>
          <w:sz w:val="22"/>
          <w:szCs w:val="22"/>
          <w:lang w:val="es-ES"/>
        </w:rPr>
      </w:pPr>
    </w:p>
    <w:p w:rsidRPr="00924DEF" w:rsidR="008F1F27" w:rsidP="008F1F27" w:rsidRDefault="008F1F27" w14:paraId="134C4794" w14:textId="77777777">
      <w:pPr>
        <w:spacing w:line="276" w:lineRule="auto"/>
        <w:jc w:val="both"/>
        <w:rPr>
          <w:rFonts w:ascii="Arial" w:hAnsi="Arial" w:eastAsia="Calibri" w:cs="Arial"/>
          <w:b/>
          <w:sz w:val="22"/>
          <w:szCs w:val="22"/>
          <w:lang w:val="es-ES"/>
        </w:rPr>
      </w:pPr>
      <w:r w:rsidRPr="00924DEF">
        <w:rPr>
          <w:rFonts w:ascii="Arial" w:hAnsi="Arial" w:eastAsia="Calibri" w:cs="Arial"/>
          <w:b/>
          <w:sz w:val="22"/>
          <w:szCs w:val="22"/>
          <w:lang w:val="es-ES"/>
        </w:rPr>
        <w:t>2. Consideraciones</w:t>
      </w:r>
    </w:p>
    <w:p w:rsidRPr="00924DEF" w:rsidR="008F1F27" w:rsidP="008F1F27" w:rsidRDefault="008F1F27" w14:paraId="7062BAA0" w14:textId="77777777">
      <w:pPr>
        <w:spacing w:line="276" w:lineRule="auto"/>
        <w:jc w:val="both"/>
        <w:rPr>
          <w:rFonts w:ascii="Arial" w:hAnsi="Arial" w:eastAsia="Calibri" w:cs="Arial"/>
          <w:b/>
          <w:sz w:val="22"/>
          <w:szCs w:val="22"/>
          <w:lang w:val="es-ES"/>
        </w:rPr>
      </w:pPr>
    </w:p>
    <w:p w:rsidRPr="00703495" w:rsidR="008F1F27" w:rsidP="008F1F27" w:rsidRDefault="008F1F27" w14:paraId="169E7F5E" w14:textId="77777777">
      <w:pPr>
        <w:spacing w:after="120" w:line="276" w:lineRule="auto"/>
        <w:jc w:val="both"/>
        <w:rPr>
          <w:rFonts w:ascii="Arial" w:hAnsi="Arial" w:cs="Arial"/>
          <w:sz w:val="22"/>
          <w:szCs w:val="22"/>
          <w:lang w:val="es-MX"/>
        </w:rPr>
      </w:pPr>
      <w:r>
        <w:rPr>
          <w:rFonts w:ascii="Arial" w:hAnsi="Arial" w:eastAsia="Calibri" w:cs="Arial"/>
          <w:sz w:val="22"/>
          <w:szCs w:val="22"/>
          <w:lang w:val="es-ES"/>
        </w:rPr>
        <w:t>Para resolver el interrogante planteado</w:t>
      </w:r>
      <w:r w:rsidRPr="00924DEF">
        <w:rPr>
          <w:rFonts w:ascii="Arial" w:hAnsi="Arial" w:eastAsia="Calibri" w:cs="Arial"/>
          <w:sz w:val="22"/>
          <w:szCs w:val="22"/>
          <w:lang w:val="es-ES"/>
        </w:rPr>
        <w:t xml:space="preserve"> se analizarán los siguientes temas: i) </w:t>
      </w:r>
      <w:r>
        <w:rPr>
          <w:rFonts w:ascii="Arial" w:hAnsi="Arial" w:eastAsia="Calibri" w:cs="Arial"/>
          <w:sz w:val="22"/>
          <w:szCs w:val="22"/>
          <w:lang w:val="es-ES"/>
        </w:rPr>
        <w:t xml:space="preserve">definición y finalidad de la Ley de Garantías Electorales: alcance de las restricciones, ii) restricciones para la suscripción de contratos de forma directa por parte de los entes del Estado –artículo 33 de la Ley 996 de 2005–, iii) destinatarios de la restricción del artículo 33 de la Ley 996 de 2005, iv) naturaleza jurídica de los convenios solidarios regulados en la Ley 136 de 1994 </w:t>
      </w:r>
      <w:r>
        <w:rPr>
          <w:rFonts w:ascii="Arial" w:hAnsi="Arial" w:eastAsia="Calibri" w:cs="Arial"/>
          <w:sz w:val="22"/>
          <w:szCs w:val="22"/>
          <w:lang w:val="es-ES"/>
        </w:rPr>
        <w:lastRenderedPageBreak/>
        <w:t>y v) contratación directa como modalidad de selección de los convenios solidarios: aplicación de la prohibición del artículo 33 de la Ley 996 de 2005.</w:t>
      </w:r>
    </w:p>
    <w:p w:rsidR="008F1F27" w:rsidP="008F1F27" w:rsidRDefault="008F1F27" w14:paraId="5988FAB6" w14:textId="77777777">
      <w:pPr>
        <w:tabs>
          <w:tab w:val="left" w:pos="426"/>
        </w:tabs>
        <w:spacing w:line="276" w:lineRule="auto"/>
        <w:ind w:firstLine="709"/>
        <w:jc w:val="both"/>
        <w:rPr>
          <w:rFonts w:ascii="Arial" w:hAnsi="Arial" w:eastAsia="Calibri" w:cs="Arial"/>
          <w:color w:val="000000" w:themeColor="text1"/>
          <w:sz w:val="22"/>
          <w:szCs w:val="22"/>
          <w:lang w:val="es-ES_tradnl"/>
        </w:rPr>
      </w:pPr>
      <w:r>
        <w:rPr>
          <w:rFonts w:ascii="Arial" w:hAnsi="Arial" w:eastAsia="Calibri" w:cs="Arial"/>
          <w:color w:val="000000" w:themeColor="text1"/>
          <w:sz w:val="22"/>
          <w:szCs w:val="22"/>
          <w:lang w:val="es-ES_tradnl"/>
        </w:rPr>
        <w:t>L</w:t>
      </w:r>
      <w:r w:rsidRPr="00C00312">
        <w:rPr>
          <w:rFonts w:ascii="Arial" w:hAnsi="Arial" w:eastAsia="Calibri" w:cs="Arial"/>
          <w:color w:val="000000" w:themeColor="text1"/>
          <w:sz w:val="22"/>
          <w:szCs w:val="22"/>
          <w:lang w:val="es-ES_tradnl"/>
        </w:rPr>
        <w:t>a Agencia Nacional de Contratación Pública – Colombia Compra Eficiente</w:t>
      </w:r>
      <w:r w:rsidRPr="006E050F">
        <w:rPr>
          <w:rFonts w:ascii="Arial" w:hAnsi="Arial" w:eastAsia="Calibri" w:cs="Arial"/>
          <w:color w:val="000000" w:themeColor="text1"/>
          <w:sz w:val="22"/>
          <w:szCs w:val="22"/>
          <w:lang w:val="es-ES_tradnl"/>
        </w:rPr>
        <w:t xml:space="preserve"> se ha pronunciado en diferentes ocasiones sobre la Ley de Garantías Electorales,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C-227 del 24 de mayo de 2021 y 396 del 13 de agosto de 2021, C-439 del 27 de agosto de 2021, C-456 del 3 de septiembre, C-481 del 9 de septiembre de 2021, C- 528 del 27 de septiembre de 2021, C-550 del 5 de octubre de 2021 y C-523 del 10 de octubre de 2021, C-606 del 28 de octubre de 2021 y C-614 del 2 de noviembre de 2021, C-636 del 16 de noviembre de 2021</w:t>
      </w:r>
      <w:r>
        <w:rPr>
          <w:rFonts w:ascii="Arial" w:hAnsi="Arial" w:eastAsia="Calibri" w:cs="Arial"/>
          <w:color w:val="000000" w:themeColor="text1"/>
          <w:sz w:val="22"/>
          <w:szCs w:val="22"/>
          <w:lang w:val="es-ES_tradnl"/>
        </w:rPr>
        <w:t xml:space="preserve">, </w:t>
      </w:r>
      <w:r w:rsidRPr="006E050F">
        <w:rPr>
          <w:rFonts w:ascii="Arial" w:hAnsi="Arial" w:eastAsia="Calibri" w:cs="Arial"/>
          <w:color w:val="000000" w:themeColor="text1"/>
          <w:sz w:val="22"/>
          <w:szCs w:val="22"/>
          <w:lang w:val="es-ES_tradnl"/>
        </w:rPr>
        <w:t>681 del 7 de diciembre de 2021</w:t>
      </w:r>
      <w:r>
        <w:rPr>
          <w:rFonts w:ascii="Arial" w:hAnsi="Arial" w:eastAsia="Calibri" w:cs="Arial"/>
          <w:color w:val="000000" w:themeColor="text1"/>
          <w:sz w:val="22"/>
          <w:szCs w:val="22"/>
          <w:lang w:val="es-ES_tradnl"/>
        </w:rPr>
        <w:t xml:space="preserve"> y C-718 de 24 de enero de 2022</w:t>
      </w:r>
      <w:r w:rsidRPr="006E050F">
        <w:rPr>
          <w:rFonts w:ascii="Arial" w:hAnsi="Arial" w:eastAsia="Calibri" w:cs="Arial"/>
          <w:color w:val="000000" w:themeColor="text1"/>
          <w:sz w:val="22"/>
          <w:szCs w:val="22"/>
          <w:lang w:val="es-ES_tradnl"/>
        </w:rPr>
        <w:t>. Teniendo en cuenta los conceptos anteriores y analizando la pregunta en cuestión, se realizan las siguientes consideraciones.</w:t>
      </w:r>
    </w:p>
    <w:p w:rsidRPr="00924DEF" w:rsidR="008F1F27" w:rsidP="008F1F27" w:rsidRDefault="008F1F27" w14:paraId="7706EF7B" w14:textId="77777777">
      <w:pPr>
        <w:spacing w:line="276" w:lineRule="auto"/>
        <w:ind w:firstLine="708"/>
        <w:jc w:val="both"/>
        <w:rPr>
          <w:rFonts w:ascii="Arial" w:hAnsi="Arial" w:cs="Arial"/>
          <w:sz w:val="22"/>
          <w:szCs w:val="22"/>
          <w:lang w:val="es-MX"/>
        </w:rPr>
      </w:pPr>
    </w:p>
    <w:p w:rsidRPr="0051586B" w:rsidR="008F1F27" w:rsidP="008F1F27" w:rsidRDefault="008F1F27" w14:paraId="601E39F1" w14:textId="77777777">
      <w:pPr>
        <w:tabs>
          <w:tab w:val="left" w:pos="426"/>
        </w:tabs>
        <w:spacing w:line="276" w:lineRule="auto"/>
        <w:contextualSpacing/>
        <w:jc w:val="both"/>
        <w:rPr>
          <w:rFonts w:ascii="Arial" w:hAnsi="Arial" w:eastAsia="Calibri" w:cs="Arial"/>
          <w:b/>
          <w:bCs/>
          <w:sz w:val="22"/>
          <w:szCs w:val="22"/>
          <w:lang w:eastAsia="en-US"/>
        </w:rPr>
      </w:pPr>
      <w:r>
        <w:rPr>
          <w:rFonts w:ascii="Arial" w:hAnsi="Arial" w:eastAsia="Calibri" w:cs="Arial"/>
          <w:b/>
          <w:bCs/>
          <w:sz w:val="22"/>
          <w:szCs w:val="22"/>
          <w:lang w:eastAsia="en-US"/>
        </w:rPr>
        <w:t xml:space="preserve">2.1. </w:t>
      </w:r>
      <w:r w:rsidRPr="0051586B">
        <w:rPr>
          <w:rFonts w:ascii="Arial" w:hAnsi="Arial" w:eastAsia="Calibri" w:cs="Arial"/>
          <w:b/>
          <w:bCs/>
          <w:sz w:val="22"/>
          <w:szCs w:val="22"/>
          <w:lang w:eastAsia="en-US"/>
        </w:rPr>
        <w:t>Definición y finalidad de la Ley de Garantías Electorales: alcance de las restricciones</w:t>
      </w:r>
    </w:p>
    <w:p w:rsidRPr="0051586B" w:rsidR="008F1F27" w:rsidP="008F1F27" w:rsidRDefault="008F1F27" w14:paraId="02A1C0ED" w14:textId="77777777">
      <w:pPr>
        <w:tabs>
          <w:tab w:val="left" w:pos="426"/>
        </w:tabs>
        <w:spacing w:line="276" w:lineRule="auto"/>
        <w:ind w:firstLine="709"/>
        <w:jc w:val="both"/>
        <w:rPr>
          <w:rFonts w:ascii="Arial" w:hAnsi="Arial" w:eastAsia="Calibri" w:cs="Arial"/>
          <w:bCs/>
          <w:sz w:val="22"/>
          <w:szCs w:val="22"/>
          <w:lang w:eastAsia="en-US"/>
        </w:rPr>
      </w:pPr>
    </w:p>
    <w:p w:rsidRPr="0051586B" w:rsidR="008F1F27" w:rsidP="008F1F27" w:rsidRDefault="008F1F27" w14:paraId="1272E691" w14:textId="77777777">
      <w:pPr>
        <w:tabs>
          <w:tab w:val="left" w:pos="426"/>
        </w:tabs>
        <w:spacing w:after="120" w:line="276" w:lineRule="auto"/>
        <w:jc w:val="both"/>
        <w:rPr>
          <w:rFonts w:ascii="Arial" w:hAnsi="Arial" w:cs="Arial" w:eastAsiaTheme="minorHAnsi"/>
          <w:bCs/>
          <w:sz w:val="22"/>
          <w:szCs w:val="22"/>
          <w:lang w:eastAsia="es-CO"/>
        </w:rPr>
      </w:pPr>
      <w:r w:rsidRPr="0051586B">
        <w:rPr>
          <w:rFonts w:ascii="Arial" w:hAnsi="Arial" w:eastAsia="Calibri" w:cs="Arial"/>
          <w:bCs/>
          <w:sz w:val="22"/>
          <w:szCs w:val="22"/>
          <w:lang w:eastAsia="en-US"/>
        </w:rPr>
        <w:t>El ordenamiento jurídico colombiano contempla previsiones claras para evitar la obtención de beneficios personales en asuntos propios de la administración pública</w:t>
      </w:r>
      <w:r w:rsidRPr="0051586B">
        <w:rPr>
          <w:rFonts w:ascii="Arial" w:hAnsi="Arial" w:eastAsia="Calibri" w:cs="Arial"/>
          <w:bCs/>
          <w:i/>
          <w:iCs/>
          <w:sz w:val="22"/>
          <w:szCs w:val="22"/>
          <w:lang w:eastAsia="en-US"/>
        </w:rPr>
        <w:t xml:space="preserve">. </w:t>
      </w:r>
      <w:r w:rsidRPr="0051586B">
        <w:rPr>
          <w:rFonts w:ascii="Arial" w:hAnsi="Arial" w:eastAsia="Calibri" w:cs="Arial"/>
          <w:bCs/>
          <w:sz w:val="22"/>
          <w:szCs w:val="22"/>
          <w:lang w:eastAsia="en-US"/>
        </w:rPr>
        <w:t>Por ejemplo, el artículo 127 de la Constitución Política establece una prohibición contractual a los servidores públicos y en cuanto a aspectos políticos establece restricciones a ciertos empleados del Estado, incluso en época no electoral</w:t>
      </w:r>
      <w:r w:rsidRPr="0051586B">
        <w:rPr>
          <w:rFonts w:ascii="Arial" w:hAnsi="Arial" w:eastAsia="Calibri" w:cs="Arial"/>
          <w:bCs/>
          <w:sz w:val="22"/>
          <w:szCs w:val="22"/>
          <w:vertAlign w:val="superscript"/>
          <w:lang w:eastAsia="en-US"/>
        </w:rPr>
        <w:footnoteReference w:id="1"/>
      </w:r>
      <w:r w:rsidRPr="0051586B">
        <w:rPr>
          <w:rFonts w:ascii="Arial" w:hAnsi="Arial" w:eastAsia="Calibri" w:cs="Arial"/>
          <w:bCs/>
          <w:sz w:val="22"/>
          <w:szCs w:val="22"/>
          <w:lang w:eastAsia="en-US"/>
        </w:rPr>
        <w:t xml:space="preserve">. </w:t>
      </w:r>
    </w:p>
    <w:p w:rsidRPr="0051586B" w:rsidR="008F1F27" w:rsidP="008F1F27" w:rsidRDefault="008F1F27" w14:paraId="5D04116F" w14:textId="77777777">
      <w:pPr>
        <w:tabs>
          <w:tab w:val="left" w:pos="426"/>
        </w:tabs>
        <w:spacing w:line="276" w:lineRule="auto"/>
        <w:ind w:firstLine="709"/>
        <w:jc w:val="both"/>
        <w:rPr>
          <w:rFonts w:ascii="Arial" w:hAnsi="Arial" w:cs="Arial" w:eastAsiaTheme="minorHAnsi"/>
          <w:bCs/>
          <w:sz w:val="22"/>
          <w:szCs w:val="22"/>
          <w:lang w:val="es-MX" w:eastAsia="es-CO"/>
        </w:rPr>
      </w:pPr>
      <w:r w:rsidRPr="0051586B">
        <w:rPr>
          <w:rFonts w:ascii="Arial" w:hAnsi="Arial" w:cs="Arial" w:eastAsiaTheme="minorHAnsi"/>
          <w:bCs/>
          <w:sz w:val="22"/>
          <w:szCs w:val="22"/>
          <w:lang w:eastAsia="es-CO"/>
        </w:rPr>
        <w:t>En el mismo sentido</w:t>
      </w:r>
      <w:r w:rsidRPr="0051586B">
        <w:rPr>
          <w:rFonts w:ascii="Arial" w:hAnsi="Arial" w:cs="Arial" w:eastAsiaTheme="minorHAnsi"/>
          <w:bCs/>
          <w:sz w:val="22"/>
          <w:szCs w:val="22"/>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51586B">
        <w:rPr>
          <w:rFonts w:ascii="Arial" w:hAnsi="Arial" w:cs="Arial" w:eastAsiaTheme="minorHAnsi"/>
          <w:bCs/>
          <w:sz w:val="22"/>
          <w:szCs w:val="22"/>
          <w:vertAlign w:val="superscript"/>
          <w:lang w:val="es-MX" w:eastAsia="es-CO"/>
        </w:rPr>
        <w:footnoteReference w:id="2"/>
      </w:r>
      <w:r w:rsidRPr="0051586B">
        <w:rPr>
          <w:rFonts w:ascii="Arial" w:hAnsi="Arial" w:cs="Arial" w:eastAsiaTheme="minorHAnsi"/>
          <w:bCs/>
          <w:sz w:val="22"/>
          <w:szCs w:val="22"/>
          <w:lang w:val="es-MX" w:eastAsia="es-CO"/>
        </w:rPr>
        <w:t xml:space="preserve">. En esta medida, introduce limitaciones para realizar nombramientos, postulaciones, contrataciones o cualquier otro tipo de actividad que implique destinación de </w:t>
      </w:r>
      <w:r w:rsidRPr="0051586B">
        <w:rPr>
          <w:rFonts w:ascii="Arial" w:hAnsi="Arial" w:cs="Arial" w:eastAsiaTheme="minorHAnsi"/>
          <w:bCs/>
          <w:sz w:val="22"/>
          <w:szCs w:val="22"/>
          <w:lang w:val="es-MX" w:eastAsia="es-CO"/>
        </w:rPr>
        <w:lastRenderedPageBreak/>
        <w:t>recursos públicos bajo el devenir propio de las entidades estatales.</w:t>
      </w:r>
      <w:r w:rsidRPr="0051586B">
        <w:rPr>
          <w:rFonts w:ascii="Arial" w:hAnsi="Arial" w:eastAsia="Calibri" w:cs="Arial"/>
          <w:noProof/>
          <w:sz w:val="22"/>
          <w:szCs w:val="22"/>
          <w:lang w:val="es-ES_tradnl" w:eastAsia="en-US"/>
        </w:rPr>
        <w:t xml:space="preserve"> </w:t>
      </w:r>
      <w:r w:rsidRPr="0051586B">
        <w:rPr>
          <w:rFonts w:ascii="Arial" w:hAnsi="Arial" w:cs="Arial" w:eastAsiaTheme="minorHAnsi"/>
          <w:bCs/>
          <w:sz w:val="22"/>
          <w:szCs w:val="22"/>
          <w:lang w:val="es-MX" w:eastAsia="es-CO"/>
        </w:rPr>
        <w:t>En armonía con lo anterior, la Corte Constitucional ha abordado la definición de la Ley de Garantías Electorales. De esta manera, explica que tiene como propósito:</w:t>
      </w:r>
    </w:p>
    <w:p w:rsidRPr="0051586B" w:rsidR="008F1F27" w:rsidP="008F1F27" w:rsidRDefault="008F1F27" w14:paraId="001DA81E" w14:textId="77777777">
      <w:pPr>
        <w:ind w:right="709"/>
        <w:jc w:val="both"/>
        <w:rPr>
          <w:rFonts w:ascii="Arial" w:hAnsi="Arial" w:cs="Arial" w:eastAsiaTheme="minorHAnsi"/>
          <w:sz w:val="21"/>
          <w:szCs w:val="21"/>
          <w:lang w:val="es-ES" w:eastAsia="es-CO"/>
        </w:rPr>
      </w:pPr>
    </w:p>
    <w:p w:rsidRPr="0051586B" w:rsidR="008F1F27" w:rsidP="008F1F27" w:rsidRDefault="008F1F27" w14:paraId="0CC743BE" w14:textId="77777777">
      <w:pPr>
        <w:ind w:left="709" w:right="709"/>
        <w:jc w:val="both"/>
        <w:rPr>
          <w:rFonts w:ascii="Arial" w:hAnsi="Arial" w:cs="Arial" w:eastAsiaTheme="minorHAnsi"/>
          <w:bCs/>
          <w:sz w:val="21"/>
          <w:szCs w:val="21"/>
          <w:lang w:val="es-MX" w:eastAsia="es-CO"/>
        </w:rPr>
      </w:pPr>
      <w:r w:rsidRPr="0051586B">
        <w:rPr>
          <w:rFonts w:ascii="Arial" w:hAnsi="Arial" w:eastAsia="Calibri" w:cs="Arial"/>
          <w:sz w:val="21"/>
          <w:szCs w:val="21"/>
          <w:lang w:val="es-ES" w:eastAsia="en-US"/>
        </w:rPr>
        <w:t>«</w:t>
      </w:r>
      <w:r w:rsidRPr="0051586B">
        <w:rPr>
          <w:rFonts w:ascii="Arial" w:hAnsi="Arial" w:cs="Arial" w:eastAsiaTheme="minorHAnsi"/>
          <w:sz w:val="21"/>
          <w:szCs w:val="21"/>
          <w:lang w:val="es-ES" w:eastAsia="es-CO"/>
        </w:rPr>
        <w:t xml:space="preserve">[…] </w:t>
      </w:r>
      <w:r w:rsidRPr="0051586B">
        <w:rPr>
          <w:rFonts w:ascii="Arial" w:hAnsi="Arial" w:cs="Arial" w:eastAsiaTheme="minorHAnsi"/>
          <w:bCs/>
          <w:sz w:val="21"/>
          <w:szCs w:val="21"/>
          <w:lang w:val="es-MX" w:eastAsia="es-CO"/>
        </w:rPr>
        <w:t>la definición de reglas claras que permitan acceder a los canales de expresión democrática de manera efectiva e igualitaria. El objetivo de una ley de garantías es definir esas reglas.</w:t>
      </w:r>
    </w:p>
    <w:p w:rsidRPr="0051586B" w:rsidR="008F1F27" w:rsidP="008F1F27" w:rsidRDefault="008F1F27" w14:paraId="537E9662" w14:textId="77777777">
      <w:pPr>
        <w:spacing w:after="120"/>
        <w:ind w:left="709" w:right="709"/>
        <w:jc w:val="both"/>
        <w:rPr>
          <w:rFonts w:ascii="Arial" w:hAnsi="Arial" w:cs="Arial" w:eastAsiaTheme="minorHAnsi"/>
          <w:bCs/>
          <w:sz w:val="21"/>
          <w:szCs w:val="21"/>
          <w:lang w:val="es-MX" w:eastAsia="es-CO"/>
        </w:rPr>
      </w:pPr>
      <w:r w:rsidRPr="0051586B">
        <w:rPr>
          <w:rFonts w:ascii="Arial" w:hAnsi="Arial" w:cs="Arial" w:eastAsiaTheme="minorHAnsi"/>
          <w:bCs/>
          <w:sz w:val="21"/>
          <w:szCs w:val="21"/>
          <w:lang w:val="es-MX" w:eastAsia="es-CO"/>
        </w:rPr>
        <w:t xml:space="preserve">[…] </w:t>
      </w:r>
    </w:p>
    <w:p w:rsidRPr="0051586B" w:rsidR="008F1F27" w:rsidP="008F1F27" w:rsidRDefault="008F1F27" w14:paraId="3A5C04F6" w14:textId="77777777">
      <w:pPr>
        <w:ind w:left="709" w:right="709"/>
        <w:jc w:val="both"/>
        <w:rPr>
          <w:rFonts w:ascii="Arial" w:hAnsi="Arial" w:cs="Arial" w:eastAsiaTheme="minorHAnsi"/>
          <w:bCs/>
          <w:sz w:val="21"/>
          <w:szCs w:val="21"/>
          <w:lang w:val="es-MX" w:eastAsia="es-CO"/>
        </w:rPr>
      </w:pPr>
      <w:r w:rsidRPr="0051586B">
        <w:rPr>
          <w:rFonts w:ascii="Arial" w:hAnsi="Arial" w:cs="Arial" w:eastAsiaTheme="minorHAnsi"/>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51586B">
        <w:rPr>
          <w:rFonts w:ascii="Arial" w:hAnsi="Arial" w:cs="Arial" w:eastAsiaTheme="minorHAnsi"/>
          <w:sz w:val="21"/>
          <w:szCs w:val="21"/>
          <w:lang w:val="es-ES" w:eastAsia="en-US"/>
        </w:rPr>
        <w:t>»</w:t>
      </w:r>
      <w:r w:rsidRPr="0051586B">
        <w:rPr>
          <w:rFonts w:ascii="Arial" w:hAnsi="Arial" w:cs="Arial" w:eastAsiaTheme="minorHAnsi"/>
          <w:sz w:val="20"/>
          <w:szCs w:val="20"/>
          <w:vertAlign w:val="superscript"/>
          <w:lang w:val="es-MX" w:eastAsia="en-US"/>
        </w:rPr>
        <w:footnoteReference w:id="3"/>
      </w:r>
    </w:p>
    <w:p w:rsidRPr="0051586B" w:rsidR="008F1F27" w:rsidP="008F1F27" w:rsidRDefault="008F1F27" w14:paraId="773713FA" w14:textId="77777777">
      <w:pPr>
        <w:spacing w:line="276" w:lineRule="auto"/>
        <w:ind w:left="709" w:right="709"/>
        <w:jc w:val="both"/>
        <w:rPr>
          <w:rFonts w:ascii="Arial" w:hAnsi="Arial" w:cs="Arial" w:eastAsiaTheme="minorHAnsi"/>
          <w:bCs/>
          <w:sz w:val="21"/>
          <w:szCs w:val="21"/>
          <w:lang w:val="es-MX" w:eastAsia="es-CO"/>
        </w:rPr>
      </w:pPr>
    </w:p>
    <w:p w:rsidRPr="0051586B" w:rsidR="008F1F27" w:rsidP="008F1F27" w:rsidRDefault="008F1F27" w14:paraId="17064A05" w14:textId="77777777">
      <w:pPr>
        <w:spacing w:line="276" w:lineRule="auto"/>
        <w:ind w:firstLine="709"/>
        <w:jc w:val="both"/>
        <w:rPr>
          <w:rFonts w:ascii="Arial" w:hAnsi="Arial" w:cs="Arial" w:eastAsiaTheme="minorHAnsi"/>
          <w:bCs/>
          <w:sz w:val="22"/>
          <w:szCs w:val="22"/>
          <w:lang w:val="es-MX" w:eastAsia="es-CO"/>
        </w:rPr>
      </w:pPr>
      <w:r w:rsidRPr="0051586B">
        <w:rPr>
          <w:rFonts w:ascii="Arial" w:hAnsi="Arial" w:cs="Arial" w:eastAsiaTheme="minorHAnsi"/>
          <w:bCs/>
          <w:sz w:val="22"/>
          <w:szCs w:val="22"/>
          <w:lang w:val="es-MX"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rsidRPr="0051586B" w:rsidR="008F1F27" w:rsidP="008F1F27" w:rsidRDefault="008F1F27" w14:paraId="67526061" w14:textId="77777777">
      <w:pPr>
        <w:spacing w:line="276" w:lineRule="auto"/>
        <w:ind w:firstLine="709"/>
        <w:jc w:val="both"/>
        <w:rPr>
          <w:rFonts w:ascii="Arial" w:hAnsi="Arial" w:cs="Arial" w:eastAsiaTheme="minorHAnsi"/>
          <w:bCs/>
          <w:sz w:val="22"/>
          <w:szCs w:val="22"/>
          <w:lang w:val="es-MX" w:eastAsia="es-CO"/>
        </w:rPr>
      </w:pPr>
    </w:p>
    <w:p w:rsidRPr="0051586B" w:rsidR="008F1F27" w:rsidP="008F1F27" w:rsidRDefault="008F1F27" w14:paraId="5E485CC7" w14:textId="77777777">
      <w:pPr>
        <w:spacing w:after="120"/>
        <w:ind w:left="709" w:right="709"/>
        <w:jc w:val="both"/>
        <w:rPr>
          <w:rFonts w:ascii="Arial" w:hAnsi="Arial" w:cs="Arial" w:eastAsiaTheme="minorHAnsi"/>
          <w:bCs/>
          <w:sz w:val="21"/>
          <w:szCs w:val="21"/>
          <w:lang w:val="es-MX" w:eastAsia="es-CO"/>
        </w:rPr>
      </w:pPr>
      <w:r w:rsidRPr="0051586B">
        <w:rPr>
          <w:rFonts w:ascii="Arial" w:hAnsi="Arial" w:eastAsia="Calibri" w:cs="Arial"/>
          <w:sz w:val="21"/>
          <w:szCs w:val="21"/>
          <w:lang w:val="es-ES" w:eastAsia="en-US"/>
        </w:rPr>
        <w:t>«</w:t>
      </w:r>
      <w:r w:rsidRPr="0051586B">
        <w:rPr>
          <w:rFonts w:ascii="Arial" w:hAnsi="Arial" w:cs="Arial" w:eastAsiaTheme="minorHAnsi"/>
          <w:bCs/>
          <w:sz w:val="21"/>
          <w:szCs w:val="21"/>
          <w:lang w:val="es-MX"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rsidRPr="0051586B" w:rsidR="008F1F27" w:rsidP="008F1F27" w:rsidRDefault="008F1F27" w14:paraId="191C1B95" w14:textId="77777777">
      <w:pPr>
        <w:ind w:left="709" w:right="709"/>
        <w:jc w:val="both"/>
        <w:rPr>
          <w:rFonts w:ascii="Arial" w:hAnsi="Arial" w:cs="Arial" w:eastAsiaTheme="minorHAnsi"/>
          <w:bCs/>
          <w:sz w:val="21"/>
          <w:szCs w:val="21"/>
          <w:lang w:val="es-MX" w:eastAsia="es-CO"/>
        </w:rPr>
      </w:pPr>
      <w:r w:rsidRPr="0051586B">
        <w:rPr>
          <w:rFonts w:ascii="Arial" w:hAnsi="Arial" w:cs="Arial" w:eastAsiaTheme="minorHAnsi"/>
          <w:bCs/>
          <w:sz w:val="21"/>
          <w:szCs w:val="21"/>
          <w:lang w:val="es-MX" w:eastAsia="es-CO"/>
        </w:rPr>
        <w:t>La jurisprudencia de la Corte Constitucional</w:t>
      </w:r>
      <w:r w:rsidRPr="0051586B">
        <w:rPr>
          <w:rFonts w:ascii="Arial" w:hAnsi="Arial" w:cs="Arial" w:eastAsiaTheme="minorHAnsi"/>
          <w:bCs/>
          <w:sz w:val="21"/>
          <w:szCs w:val="21"/>
          <w:vertAlign w:val="superscript"/>
          <w:lang w:val="es-MX" w:eastAsia="es-CO"/>
        </w:rPr>
        <w:footnoteReference w:id="4"/>
      </w:r>
      <w:r w:rsidRPr="0051586B">
        <w:rPr>
          <w:rFonts w:ascii="Arial" w:hAnsi="Arial" w:cs="Arial" w:eastAsiaTheme="minorHAnsi"/>
          <w:bCs/>
          <w:sz w:val="21"/>
          <w:szCs w:val="21"/>
          <w:lang w:val="es-MX" w:eastAsia="es-CO"/>
        </w:rPr>
        <w:t> y del Consejo de Estado</w:t>
      </w:r>
      <w:r w:rsidRPr="0051586B">
        <w:rPr>
          <w:rFonts w:ascii="Arial" w:hAnsi="Arial" w:cs="Arial" w:eastAsiaTheme="minorHAnsi"/>
          <w:bCs/>
          <w:sz w:val="21"/>
          <w:szCs w:val="21"/>
          <w:vertAlign w:val="superscript"/>
          <w:lang w:val="es-MX" w:eastAsia="es-CO"/>
        </w:rPr>
        <w:footnoteReference w:id="5"/>
      </w:r>
      <w:r w:rsidRPr="0051586B">
        <w:rPr>
          <w:rFonts w:ascii="Arial" w:hAnsi="Arial" w:cs="Arial" w:eastAsiaTheme="minorHAnsi"/>
          <w:bCs/>
          <w:sz w:val="21"/>
          <w:szCs w:val="21"/>
          <w:lang w:val="es-MX" w:eastAsia="es-CO"/>
        </w:rPr>
        <w:t xml:space="preserve">, coinciden en que las normas que establecen prohibiciones deben estar de manera explícita </w:t>
      </w:r>
      <w:r w:rsidRPr="0051586B">
        <w:rPr>
          <w:rFonts w:ascii="Arial" w:hAnsi="Arial" w:cs="Arial" w:eastAsiaTheme="minorHAnsi"/>
          <w:bCs/>
          <w:sz w:val="21"/>
          <w:szCs w:val="21"/>
          <w:lang w:val="es-MX" w:eastAsia="es-CO"/>
        </w:rPr>
        <w:lastRenderedPageBreak/>
        <w:t>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51586B">
        <w:rPr>
          <w:rFonts w:ascii="Arial" w:hAnsi="Arial" w:cs="Arial" w:eastAsiaTheme="minorHAnsi"/>
          <w:sz w:val="21"/>
          <w:szCs w:val="21"/>
          <w:lang w:val="es-ES" w:eastAsia="en-US"/>
        </w:rPr>
        <w:t>»</w:t>
      </w:r>
      <w:r w:rsidRPr="0051586B">
        <w:rPr>
          <w:rFonts w:ascii="Arial" w:hAnsi="Arial" w:cs="Arial" w:eastAsiaTheme="minorHAnsi"/>
          <w:bCs/>
          <w:sz w:val="22"/>
          <w:szCs w:val="22"/>
          <w:vertAlign w:val="superscript"/>
          <w:lang w:val="es-MX" w:eastAsia="es-CO"/>
        </w:rPr>
        <w:footnoteReference w:id="6"/>
      </w:r>
    </w:p>
    <w:p w:rsidRPr="0051586B" w:rsidR="008F1F27" w:rsidP="008F1F27" w:rsidRDefault="008F1F27" w14:paraId="665ADC13" w14:textId="77777777">
      <w:pPr>
        <w:spacing w:line="276" w:lineRule="auto"/>
        <w:ind w:right="709"/>
        <w:jc w:val="both"/>
        <w:rPr>
          <w:rFonts w:ascii="Arial" w:hAnsi="Arial" w:cs="Arial" w:eastAsiaTheme="minorHAnsi"/>
          <w:bCs/>
          <w:sz w:val="22"/>
          <w:szCs w:val="22"/>
          <w:lang w:val="es-MX" w:eastAsia="es-CO"/>
        </w:rPr>
      </w:pPr>
    </w:p>
    <w:p w:rsidRPr="0051586B" w:rsidR="008F1F27" w:rsidP="008F1F27" w:rsidRDefault="008F1F27" w14:paraId="46B9A08A" w14:textId="77777777">
      <w:pPr>
        <w:spacing w:after="120" w:line="276" w:lineRule="auto"/>
        <w:jc w:val="both"/>
        <w:rPr>
          <w:rFonts w:ascii="Arial" w:hAnsi="Arial" w:eastAsia="Arial" w:cs="Arial"/>
          <w:sz w:val="22"/>
          <w:szCs w:val="22"/>
          <w:lang w:val="es-ES" w:eastAsia="es-ES" w:bidi="es-ES"/>
        </w:rPr>
      </w:pPr>
      <w:r w:rsidRPr="0051586B">
        <w:rPr>
          <w:rFonts w:ascii="Arial" w:hAnsi="Arial" w:cs="Arial" w:eastAsiaTheme="minorHAnsi"/>
          <w:bCs/>
          <w:sz w:val="22"/>
          <w:szCs w:val="22"/>
          <w:lang w:val="es-MX" w:eastAsia="es-CO"/>
        </w:rPr>
        <w:tab/>
      </w:r>
      <w:r w:rsidRPr="0051586B">
        <w:rPr>
          <w:rFonts w:ascii="Arial" w:hAnsi="Arial" w:cs="Arial" w:eastAsiaTheme="minorHAnsi"/>
          <w:bCs/>
          <w:sz w:val="22"/>
          <w:szCs w:val="22"/>
          <w:lang w:val="es-MX" w:eastAsia="es-CO"/>
        </w:rPr>
        <w:t>De</w:t>
      </w:r>
      <w:r w:rsidRPr="0051586B">
        <w:rPr>
          <w:rFonts w:ascii="Arial" w:hAnsi="Arial" w:eastAsia="Arial" w:cs="Arial"/>
          <w:sz w:val="22"/>
          <w:szCs w:val="22"/>
          <w:lang w:val="es-ES"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rsidRPr="0051586B" w:rsidR="008F1F27" w:rsidP="008F1F27" w:rsidRDefault="008F1F27" w14:paraId="5A50AD97" w14:textId="77777777">
      <w:pPr>
        <w:spacing w:after="120" w:line="276" w:lineRule="auto"/>
        <w:ind w:firstLine="708"/>
        <w:jc w:val="both"/>
        <w:rPr>
          <w:rFonts w:ascii="Arial" w:hAnsi="Arial" w:eastAsia="Calibri" w:cs="Arial"/>
          <w:sz w:val="22"/>
          <w:szCs w:val="22"/>
          <w:lang w:eastAsia="en-US"/>
        </w:rPr>
      </w:pPr>
      <w:r w:rsidRPr="0051586B">
        <w:rPr>
          <w:rFonts w:ascii="Arial" w:hAnsi="Arial" w:eastAsia="Calibri" w:cs="Arial"/>
          <w:sz w:val="22"/>
          <w:szCs w:val="22"/>
          <w:lang w:eastAsia="en-US"/>
        </w:rPr>
        <w:t xml:space="preserve">Por un lado, el artículo 33 de la Ley 996 de 2005 prohíbe </w:t>
      </w:r>
      <w:r w:rsidRPr="0051586B">
        <w:rPr>
          <w:rFonts w:ascii="Arial" w:hAnsi="Arial" w:eastAsia="Calibri" w:cs="Arial"/>
          <w:bCs/>
          <w:sz w:val="22"/>
          <w:szCs w:val="22"/>
          <w:lang w:eastAsia="en-US"/>
        </w:rPr>
        <w:t xml:space="preserve">«[…] </w:t>
      </w:r>
      <w:r w:rsidRPr="0051586B">
        <w:rPr>
          <w:rFonts w:ascii="Arial" w:hAnsi="Arial" w:eastAsia="Calibri" w:cs="Arial"/>
          <w:sz w:val="22"/>
          <w:szCs w:val="22"/>
          <w:lang w:eastAsia="en-US"/>
        </w:rPr>
        <w:t>la contratación directa por parte de todos los entes del Estado</w:t>
      </w:r>
      <w:r w:rsidRPr="0051586B">
        <w:rPr>
          <w:rFonts w:ascii="Arial" w:hAnsi="Arial" w:eastAsia="Calibri" w:cs="Arial"/>
          <w:bCs/>
          <w:sz w:val="22"/>
          <w:szCs w:val="22"/>
          <w:lang w:eastAsia="en-US"/>
        </w:rPr>
        <w:t>»</w:t>
      </w:r>
      <w:r w:rsidRPr="0051586B">
        <w:rPr>
          <w:rFonts w:ascii="Arial" w:hAnsi="Arial" w:eastAsia="Calibri" w:cs="Arial"/>
          <w:sz w:val="22"/>
          <w:szCs w:val="22"/>
          <w:lang w:eastAsia="en-US"/>
        </w:rPr>
        <w:t xml:space="preserve"> durante los cuatro (4) meses anteriores a las elecciones presidenciales, salvo </w:t>
      </w:r>
      <w:r w:rsidRPr="0051586B">
        <w:rPr>
          <w:rFonts w:ascii="Arial" w:hAnsi="Arial" w:eastAsia="Calibri" w:cs="Arial"/>
          <w:bCs/>
          <w:sz w:val="22"/>
          <w:szCs w:val="22"/>
          <w:lang w:eastAsia="en-US"/>
        </w:rPr>
        <w:t xml:space="preserve">«[…] </w:t>
      </w:r>
      <w:r w:rsidRPr="0051586B">
        <w:rPr>
          <w:rFonts w:ascii="Arial" w:hAnsi="Arial" w:eastAsia="Calibri" w:cs="Arial"/>
          <w:sz w:val="22"/>
          <w:szCs w:val="22"/>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1586B">
        <w:rPr>
          <w:rFonts w:ascii="Arial" w:hAnsi="Arial" w:eastAsia="Calibri" w:cs="Arial"/>
          <w:bCs/>
          <w:sz w:val="22"/>
          <w:szCs w:val="22"/>
          <w:lang w:eastAsia="en-US"/>
        </w:rPr>
        <w:t>»</w:t>
      </w:r>
      <w:r w:rsidRPr="0051586B">
        <w:rPr>
          <w:rFonts w:ascii="Arial" w:hAnsi="Arial" w:eastAsia="Calibri" w:cs="Arial"/>
          <w:bCs/>
          <w:sz w:val="22"/>
          <w:szCs w:val="22"/>
          <w:vertAlign w:val="superscript"/>
          <w:lang w:eastAsia="en-US"/>
        </w:rPr>
        <w:footnoteReference w:id="7"/>
      </w:r>
      <w:r w:rsidRPr="0051586B">
        <w:rPr>
          <w:rFonts w:ascii="Arial" w:hAnsi="Arial" w:eastAsia="Calibri" w:cs="Arial"/>
          <w:sz w:val="22"/>
          <w:szCs w:val="22"/>
          <w:lang w:eastAsia="en-US"/>
        </w:rPr>
        <w:t>.</w:t>
      </w:r>
    </w:p>
    <w:p w:rsidRPr="0051586B" w:rsidR="008F1F27" w:rsidP="008F1F27" w:rsidRDefault="008F1F27" w14:paraId="6420636D" w14:textId="77777777">
      <w:pPr>
        <w:widowControl w:val="0"/>
        <w:autoSpaceDE w:val="0"/>
        <w:autoSpaceDN w:val="0"/>
        <w:spacing w:line="276" w:lineRule="auto"/>
        <w:ind w:right="113" w:firstLine="708"/>
        <w:jc w:val="both"/>
        <w:rPr>
          <w:rFonts w:ascii="Arial" w:hAnsi="Arial" w:eastAsia="Arial" w:cs="Arial"/>
          <w:sz w:val="22"/>
          <w:szCs w:val="22"/>
          <w:lang w:val="es-ES" w:eastAsia="es-ES" w:bidi="es-ES"/>
        </w:rPr>
      </w:pPr>
      <w:r w:rsidRPr="0051586B">
        <w:rPr>
          <w:rFonts w:ascii="Arial" w:hAnsi="Arial" w:eastAsia="Calibri" w:cs="Arial"/>
          <w:sz w:val="22"/>
          <w:szCs w:val="22"/>
          <w:lang w:eastAsia="en-US"/>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51586B">
        <w:rPr>
          <w:rFonts w:ascii="Arial" w:hAnsi="Arial" w:eastAsia="Calibri" w:cs="Arial"/>
          <w:bCs/>
          <w:sz w:val="22"/>
          <w:szCs w:val="22"/>
          <w:lang w:eastAsia="en-US"/>
        </w:rPr>
        <w:t xml:space="preserve">«[…] </w:t>
      </w:r>
      <w:r w:rsidRPr="0051586B">
        <w:rPr>
          <w:rFonts w:ascii="Arial" w:hAnsi="Arial" w:eastAsia="Calibri" w:cs="Arial"/>
          <w:sz w:val="22"/>
          <w:szCs w:val="22"/>
          <w:lang w:val="es-MX" w:eastAsia="en-US"/>
        </w:rPr>
        <w:t xml:space="preserve">celebrar convenios interadministrativos para la ejecución de recursos públicos, ni participar, promover y destinar recursos públicos de las entidades a su cargo, como tampoco de las </w:t>
      </w:r>
      <w:r w:rsidRPr="0051586B">
        <w:rPr>
          <w:rFonts w:ascii="Arial" w:hAnsi="Arial" w:eastAsia="Calibri" w:cs="Arial"/>
          <w:sz w:val="22"/>
          <w:szCs w:val="22"/>
          <w:lang w:val="es-MX" w:eastAsia="en-US"/>
        </w:rPr>
        <w:lastRenderedPageBreak/>
        <w:t>que participen como miembros de sus juntas directivas, en o para reuniones de carácter proselitista</w:t>
      </w:r>
      <w:r w:rsidRPr="0051586B">
        <w:rPr>
          <w:rFonts w:ascii="Arial" w:hAnsi="Arial" w:eastAsia="Calibri" w:cs="Arial"/>
          <w:bCs/>
          <w:sz w:val="19"/>
          <w:szCs w:val="19"/>
          <w:lang w:eastAsia="en-US"/>
        </w:rPr>
        <w:t>»</w:t>
      </w:r>
      <w:r w:rsidRPr="0051586B">
        <w:rPr>
          <w:rFonts w:ascii="Arial" w:hAnsi="Arial" w:eastAsia="Calibri" w:cs="Arial"/>
          <w:bCs/>
          <w:sz w:val="19"/>
          <w:szCs w:val="19"/>
          <w:vertAlign w:val="superscript"/>
          <w:lang w:eastAsia="en-US"/>
        </w:rPr>
        <w:footnoteReference w:id="8"/>
      </w:r>
      <w:r w:rsidRPr="0051586B">
        <w:rPr>
          <w:rFonts w:ascii="Arial" w:hAnsi="Arial" w:eastAsia="Calibri" w:cs="Arial"/>
          <w:sz w:val="22"/>
          <w:szCs w:val="22"/>
          <w:lang w:val="es-MX" w:eastAsia="en-US"/>
        </w:rPr>
        <w:t>.</w:t>
      </w:r>
      <w:r w:rsidRPr="0051586B">
        <w:rPr>
          <w:rFonts w:ascii="Arial" w:hAnsi="Arial" w:eastAsia="Arial" w:cs="Arial"/>
          <w:sz w:val="22"/>
          <w:szCs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rsidRPr="0051586B" w:rsidR="008F1F27" w:rsidP="008F1F27" w:rsidRDefault="008F1F27" w14:paraId="49934A2D" w14:textId="77777777">
      <w:pPr>
        <w:widowControl w:val="0"/>
        <w:autoSpaceDE w:val="0"/>
        <w:autoSpaceDN w:val="0"/>
        <w:ind w:left="805" w:right="812"/>
        <w:jc w:val="both"/>
        <w:rPr>
          <w:rFonts w:ascii="Arial" w:hAnsi="Arial" w:eastAsia="Arial" w:cs="Arial"/>
          <w:sz w:val="22"/>
          <w:szCs w:val="22"/>
          <w:lang w:val="es-ES" w:eastAsia="es-ES" w:bidi="es-ES"/>
        </w:rPr>
      </w:pPr>
    </w:p>
    <w:p w:rsidRPr="0051586B" w:rsidR="008F1F27" w:rsidP="008F1F27" w:rsidRDefault="008F1F27" w14:paraId="32918AAC" w14:textId="77777777">
      <w:pPr>
        <w:widowControl w:val="0"/>
        <w:autoSpaceDE w:val="0"/>
        <w:autoSpaceDN w:val="0"/>
        <w:ind w:left="709" w:right="709"/>
        <w:jc w:val="both"/>
        <w:rPr>
          <w:rFonts w:ascii="Arial" w:hAnsi="Arial" w:eastAsia="Arial" w:cs="Arial"/>
          <w:sz w:val="21"/>
          <w:szCs w:val="21"/>
          <w:lang w:val="es-ES" w:eastAsia="es-ES" w:bidi="es-ES"/>
        </w:rPr>
      </w:pPr>
      <w:r w:rsidRPr="0051586B">
        <w:rPr>
          <w:rFonts w:ascii="Arial" w:hAnsi="Arial" w:eastAsia="Calibri" w:cs="Arial"/>
          <w:sz w:val="21"/>
          <w:szCs w:val="21"/>
          <w:lang w:val="es-ES" w:eastAsia="en-US"/>
        </w:rPr>
        <w:t>«</w:t>
      </w:r>
      <w:r w:rsidRPr="0051586B">
        <w:rPr>
          <w:rFonts w:ascii="Arial" w:hAnsi="Arial" w:eastAsia="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períodos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51586B">
        <w:rPr>
          <w:rFonts w:ascii="Arial" w:hAnsi="Arial" w:eastAsia="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51586B">
        <w:rPr>
          <w:rFonts w:ascii="Arial" w:hAnsi="Arial" w:cs="Arial" w:eastAsiaTheme="minorHAnsi"/>
          <w:sz w:val="21"/>
          <w:szCs w:val="21"/>
          <w:lang w:val="es-ES" w:eastAsia="en-US"/>
        </w:rPr>
        <w:t>»</w:t>
      </w:r>
      <w:r w:rsidRPr="0051586B">
        <w:rPr>
          <w:rFonts w:ascii="Arial" w:hAnsi="Arial" w:eastAsia="Arial" w:cs="Arial"/>
          <w:sz w:val="21"/>
          <w:szCs w:val="21"/>
          <w:vertAlign w:val="superscript"/>
          <w:lang w:val="es-ES" w:eastAsia="es-ES" w:bidi="es-ES"/>
        </w:rPr>
        <w:footnoteReference w:id="9"/>
      </w:r>
    </w:p>
    <w:p w:rsidRPr="0051586B" w:rsidR="008F1F27" w:rsidP="008F1F27" w:rsidRDefault="008F1F27" w14:paraId="1481B8A9" w14:textId="77777777">
      <w:pPr>
        <w:widowControl w:val="0"/>
        <w:autoSpaceDE w:val="0"/>
        <w:autoSpaceDN w:val="0"/>
        <w:spacing w:before="8"/>
        <w:rPr>
          <w:rFonts w:ascii="Arial" w:hAnsi="Arial" w:eastAsia="Arial" w:cs="Arial"/>
          <w:sz w:val="26"/>
          <w:szCs w:val="22"/>
          <w:lang w:val="es-ES" w:eastAsia="es-ES" w:bidi="es-ES"/>
        </w:rPr>
      </w:pPr>
    </w:p>
    <w:p w:rsidRPr="0051586B" w:rsidR="008F1F27" w:rsidP="008F1F27" w:rsidRDefault="008F1F27" w14:paraId="4F95EC82" w14:textId="77777777">
      <w:pPr>
        <w:spacing w:after="120" w:line="276" w:lineRule="auto"/>
        <w:ind w:firstLine="709"/>
        <w:jc w:val="both"/>
        <w:rPr>
          <w:rFonts w:ascii="Arial" w:hAnsi="Arial" w:eastAsia="Arial" w:cs="Arial"/>
          <w:sz w:val="22"/>
          <w:szCs w:val="22"/>
          <w:lang w:val="es-ES" w:eastAsia="es-ES" w:bidi="es-ES"/>
        </w:rPr>
      </w:pPr>
      <w:r w:rsidRPr="0051586B">
        <w:rPr>
          <w:rFonts w:ascii="Arial" w:hAnsi="Arial" w:eastAsia="Arial" w:cs="Arial"/>
          <w:sz w:val="22"/>
          <w:szCs w:val="22"/>
          <w:lang w:val="es-ES" w:eastAsia="es-ES" w:bidi="es-ES"/>
        </w:rPr>
        <w:t xml:space="preserve">De conformidad con lo anterior, la Ley 996 de 2005 establece dos (2) tipos de restricciones en materia de contratación, las cuales coinciden parcialmente. </w:t>
      </w:r>
      <w:r w:rsidRPr="0051586B">
        <w:rPr>
          <w:rFonts w:ascii="Arial" w:hAnsi="Arial" w:eastAsia="Arial" w:cs="Arial"/>
          <w:i/>
          <w:iCs/>
          <w:sz w:val="22"/>
          <w:szCs w:val="22"/>
          <w:lang w:val="es-ES" w:eastAsia="es-ES" w:bidi="es-ES"/>
        </w:rPr>
        <w:t>En primer lugar</w:t>
      </w:r>
      <w:r w:rsidRPr="0051586B">
        <w:rPr>
          <w:rFonts w:ascii="Arial" w:hAnsi="Arial" w:eastAsia="Arial" w:cs="Arial"/>
          <w:sz w:val="22"/>
          <w:szCs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51586B">
        <w:rPr>
          <w:rFonts w:ascii="Arial" w:hAnsi="Arial" w:eastAsia="Arial" w:cs="Arial"/>
          <w:i/>
          <w:iCs/>
          <w:sz w:val="22"/>
          <w:szCs w:val="22"/>
          <w:lang w:val="es-ES" w:eastAsia="es-ES" w:bidi="es-ES"/>
        </w:rPr>
        <w:t>En segundo lugar</w:t>
      </w:r>
      <w:r w:rsidRPr="0051586B">
        <w:rPr>
          <w:rFonts w:ascii="Arial" w:hAnsi="Arial" w:eastAsia="Arial" w:cs="Arial"/>
          <w:sz w:val="22"/>
          <w:szCs w:val="22"/>
          <w:lang w:val="es-ES" w:eastAsia="es-ES" w:bidi="es-ES"/>
        </w:rPr>
        <w:t xml:space="preserve">,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 </w:t>
      </w:r>
    </w:p>
    <w:p w:rsidRPr="0051586B" w:rsidR="008F1F27" w:rsidP="008F1F27" w:rsidRDefault="008F1F27" w14:paraId="459F0B25" w14:textId="77777777">
      <w:pPr>
        <w:spacing w:after="120" w:line="276" w:lineRule="auto"/>
        <w:ind w:firstLine="709"/>
        <w:jc w:val="both"/>
        <w:rPr>
          <w:rFonts w:ascii="Arial" w:hAnsi="Arial" w:eastAsia="Arial" w:cs="Arial"/>
          <w:sz w:val="22"/>
          <w:szCs w:val="22"/>
          <w:lang w:val="es-ES" w:eastAsia="es-ES" w:bidi="es-ES"/>
        </w:rPr>
      </w:pPr>
      <w:r w:rsidRPr="0051586B">
        <w:rPr>
          <w:rFonts w:ascii="Arial" w:hAnsi="Arial" w:eastAsia="Arial" w:cs="Arial"/>
          <w:sz w:val="22"/>
          <w:szCs w:val="22"/>
          <w:lang w:val="es-ES" w:eastAsia="es-ES" w:bidi="es-ES"/>
        </w:rPr>
        <w:lastRenderedPageBreak/>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p w:rsidRPr="0051586B" w:rsidR="008F1F27" w:rsidP="008F1F27" w:rsidRDefault="008F1F27" w14:paraId="017B7512" w14:textId="77777777">
      <w:pPr>
        <w:spacing w:before="120" w:after="120" w:line="276" w:lineRule="auto"/>
        <w:ind w:firstLine="709"/>
        <w:jc w:val="both"/>
        <w:rPr>
          <w:rFonts w:ascii="Arial" w:hAnsi="Arial" w:eastAsia="Arial" w:cs="Arial"/>
          <w:sz w:val="22"/>
          <w:szCs w:val="22"/>
          <w:lang w:val="es-ES" w:eastAsia="es-ES" w:bidi="es-ES"/>
        </w:rPr>
      </w:pPr>
      <w:r w:rsidRPr="0051586B">
        <w:rPr>
          <w:rFonts w:ascii="Arial" w:hAnsi="Arial" w:eastAsia="Arial" w:cs="Arial"/>
          <w:sz w:val="22"/>
          <w:szCs w:val="22"/>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rsidRPr="0051586B" w:rsidR="008F1F27" w:rsidP="008F1F27" w:rsidRDefault="008F1F27" w14:paraId="7846D2DB" w14:textId="77777777">
      <w:pPr>
        <w:spacing w:before="120" w:after="120" w:line="276" w:lineRule="auto"/>
        <w:ind w:firstLine="709"/>
        <w:jc w:val="both"/>
        <w:rPr>
          <w:rFonts w:ascii="Arial" w:hAnsi="Arial" w:eastAsia="Arial" w:cs="Arial"/>
          <w:sz w:val="22"/>
          <w:szCs w:val="22"/>
          <w:lang w:val="es-ES" w:eastAsia="es-ES" w:bidi="es-ES"/>
        </w:rPr>
      </w:pPr>
      <w:r w:rsidRPr="0051586B">
        <w:rPr>
          <w:rFonts w:ascii="Arial" w:hAnsi="Arial" w:eastAsia="Arial" w:cs="Arial"/>
          <w:sz w:val="22"/>
          <w:szCs w:val="22"/>
          <w:lang w:val="es-ES" w:eastAsia="es-ES" w:bidi="es-ES"/>
        </w:rPr>
        <w:t>Por último, es importante resaltar que el artículo 124 de la Ley 2159 de 2021, desde su expedición y durante la vigencia fiscal 2022, con el propósito de promover la reactivación económica y la generación de empleo en las regiones, introdujo una excepción parcial y temporal a la prohibición contenida en el inciso 1 del parágrafo del artículo 38 de la Ley 966 de 2005. En efecto, la citada disposición establece:</w:t>
      </w:r>
    </w:p>
    <w:p w:rsidRPr="0051586B" w:rsidR="008F1F27" w:rsidP="008F1F27" w:rsidRDefault="008F1F27" w14:paraId="501418EA" w14:textId="77777777">
      <w:pPr>
        <w:ind w:left="709" w:right="902"/>
        <w:jc w:val="both"/>
        <w:rPr>
          <w:rFonts w:ascii="Arial" w:hAnsi="Arial" w:eastAsia="Arial" w:cs="Arial"/>
          <w:sz w:val="21"/>
          <w:szCs w:val="21"/>
          <w:lang w:val="es-ES" w:eastAsia="es-ES" w:bidi="es-ES"/>
        </w:rPr>
      </w:pPr>
      <w:r w:rsidRPr="0051586B">
        <w:rPr>
          <w:rFonts w:ascii="Arial" w:hAnsi="Arial" w:eastAsia="Calibri" w:cs="Arial"/>
          <w:sz w:val="21"/>
          <w:szCs w:val="21"/>
          <w:lang w:val="es-ES" w:eastAsia="en-US"/>
        </w:rPr>
        <w:t>«</w:t>
      </w:r>
      <w:r w:rsidRPr="0051586B">
        <w:rPr>
          <w:rFonts w:ascii="Arial" w:hAnsi="Arial" w:eastAsia="Arial" w:cs="Arial"/>
          <w:sz w:val="21"/>
          <w:szCs w:val="21"/>
          <w:lang w:val="es-ES" w:eastAsia="es-ES" w:bidi="es-ES"/>
        </w:rPr>
        <w:t>Artículo 124. 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w:t>
      </w:r>
    </w:p>
    <w:p w:rsidRPr="0051586B" w:rsidR="008F1F27" w:rsidP="008F1F27" w:rsidRDefault="008F1F27" w14:paraId="2E0CAA0B" w14:textId="77777777">
      <w:pPr>
        <w:ind w:left="709" w:right="902"/>
        <w:jc w:val="both"/>
        <w:rPr>
          <w:rFonts w:ascii="Arial" w:hAnsi="Arial" w:eastAsia="Arial" w:cs="Arial"/>
          <w:sz w:val="21"/>
          <w:szCs w:val="21"/>
          <w:lang w:val="es-ES" w:eastAsia="es-ES" w:bidi="es-ES"/>
        </w:rPr>
      </w:pPr>
    </w:p>
    <w:p w:rsidRPr="0051586B" w:rsidR="008F1F27" w:rsidP="008F1F27" w:rsidRDefault="008F1F27" w14:paraId="36E42417" w14:textId="77777777">
      <w:pPr>
        <w:ind w:left="709" w:right="902"/>
        <w:jc w:val="both"/>
        <w:rPr>
          <w:rFonts w:ascii="Arial" w:hAnsi="Arial" w:eastAsia="Arial" w:cs="Arial"/>
          <w:sz w:val="21"/>
          <w:szCs w:val="21"/>
          <w:lang w:val="es-ES" w:eastAsia="es-ES" w:bidi="es-ES"/>
        </w:rPr>
      </w:pPr>
      <w:r w:rsidRPr="0051586B">
        <w:rPr>
          <w:rFonts w:ascii="Arial" w:hAnsi="Arial" w:eastAsia="Arial" w:cs="Arial"/>
          <w:sz w:val="21"/>
          <w:szCs w:val="21"/>
          <w:lang w:val="es-ES" w:eastAsia="es-ES" w:bidi="es-ES"/>
        </w:rPr>
        <w:t>La presente disposición modifica únicamente en la parte pertinente el inciso primero del parágrafo del artículo 38 de la Ley 996 de 2005.</w:t>
      </w:r>
    </w:p>
    <w:p w:rsidRPr="0051586B" w:rsidR="008F1F27" w:rsidP="008F1F27" w:rsidRDefault="008F1F27" w14:paraId="694953C1" w14:textId="77777777">
      <w:pPr>
        <w:ind w:left="709" w:right="902"/>
        <w:jc w:val="both"/>
        <w:rPr>
          <w:rFonts w:ascii="Arial" w:hAnsi="Arial" w:eastAsia="Arial" w:cs="Arial"/>
          <w:sz w:val="21"/>
          <w:szCs w:val="21"/>
          <w:lang w:val="es-ES" w:eastAsia="es-ES" w:bidi="es-ES"/>
        </w:rPr>
      </w:pPr>
    </w:p>
    <w:p w:rsidRPr="0051586B" w:rsidR="008F1F27" w:rsidP="008F1F27" w:rsidRDefault="008F1F27" w14:paraId="3D1F054E" w14:textId="77777777">
      <w:pPr>
        <w:ind w:left="709" w:right="902"/>
        <w:jc w:val="both"/>
        <w:rPr>
          <w:rFonts w:ascii="Arial" w:hAnsi="Arial" w:eastAsia="Arial" w:cs="Arial"/>
          <w:sz w:val="21"/>
          <w:szCs w:val="21"/>
          <w:lang w:val="es-ES" w:eastAsia="es-ES" w:bidi="es-ES"/>
        </w:rPr>
      </w:pPr>
      <w:r w:rsidRPr="0051586B">
        <w:rPr>
          <w:rFonts w:ascii="Arial" w:hAnsi="Arial" w:eastAsia="Arial" w:cs="Arial"/>
          <w:sz w:val="21"/>
          <w:szCs w:val="21"/>
          <w:lang w:val="es-ES" w:eastAsia="es-ES" w:bidi="es-ES"/>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r w:rsidRPr="0051586B">
        <w:rPr>
          <w:rFonts w:ascii="Arial" w:hAnsi="Arial" w:cs="Arial" w:eastAsiaTheme="minorHAnsi"/>
          <w:sz w:val="21"/>
          <w:szCs w:val="21"/>
          <w:lang w:val="es-ES" w:eastAsia="en-US"/>
        </w:rPr>
        <w:t>»</w:t>
      </w:r>
    </w:p>
    <w:p w:rsidRPr="0051586B" w:rsidR="008F1F27" w:rsidP="008F1F27" w:rsidRDefault="008F1F27" w14:paraId="6A1B5448" w14:textId="77777777">
      <w:pPr>
        <w:spacing w:before="120" w:line="276" w:lineRule="auto"/>
        <w:jc w:val="both"/>
        <w:rPr>
          <w:rFonts w:ascii="Arial" w:hAnsi="Arial" w:eastAsia="Arial" w:cs="Arial"/>
          <w:sz w:val="22"/>
          <w:szCs w:val="22"/>
          <w:lang w:val="es-ES" w:eastAsia="es-ES" w:bidi="es-ES"/>
        </w:rPr>
      </w:pPr>
      <w:r w:rsidRPr="0051586B">
        <w:rPr>
          <w:rFonts w:ascii="Arial" w:hAnsi="Arial" w:eastAsia="Arial" w:cs="Arial"/>
          <w:sz w:val="22"/>
          <w:szCs w:val="22"/>
          <w:lang w:val="es-ES" w:eastAsia="es-ES" w:bidi="es-ES"/>
        </w:rPr>
        <w:t xml:space="preserve">De este modo, desde la expedición de la citada ley y durante la vigencia fiscal 2022, se estableció una excepción parcial a la prohibición establecida en el inciso primero del parágrafo del artículo 38 de la Ley 996 de 2005, consistente en que la Nación podrá celebrar convenios interadministrativos con las entidades territoriales para ejecutar programas y </w:t>
      </w:r>
      <w:r w:rsidRPr="0051586B">
        <w:rPr>
          <w:rFonts w:ascii="Arial" w:hAnsi="Arial" w:eastAsia="Arial" w:cs="Arial"/>
          <w:sz w:val="22"/>
          <w:szCs w:val="22"/>
          <w:lang w:val="es-ES" w:eastAsia="es-ES" w:bidi="es-ES"/>
        </w:rPr>
        <w:lastRenderedPageBreak/>
        <w:t>proyectos correspondientes al Presupuesto General de la Nación. No obstante, la excepción solo opera cuando se cumplan dichos elementos, de manera que en principio se mantiene la prohibición general con esta excepción concreta.</w:t>
      </w:r>
    </w:p>
    <w:p w:rsidRPr="0051586B" w:rsidR="008F1F27" w:rsidP="008F1F27" w:rsidRDefault="008F1F27" w14:paraId="357D2AEB" w14:textId="77777777">
      <w:pPr>
        <w:spacing w:line="276" w:lineRule="auto"/>
        <w:jc w:val="both"/>
        <w:rPr>
          <w:rFonts w:ascii="Arial" w:hAnsi="Arial" w:eastAsia="Arial" w:cs="Arial"/>
          <w:sz w:val="22"/>
          <w:szCs w:val="22"/>
          <w:lang w:val="es-ES" w:eastAsia="es-ES" w:bidi="es-ES"/>
        </w:rPr>
      </w:pPr>
    </w:p>
    <w:p w:rsidRPr="0051586B" w:rsidR="008F1F27" w:rsidP="008F1F27" w:rsidRDefault="008F1F27" w14:paraId="1DE44E44" w14:textId="77777777">
      <w:pPr>
        <w:spacing w:line="276" w:lineRule="auto"/>
        <w:contextualSpacing/>
        <w:jc w:val="both"/>
        <w:rPr>
          <w:rFonts w:ascii="Arial" w:hAnsi="Arial" w:cs="Arial" w:eastAsiaTheme="minorHAnsi"/>
          <w:b/>
          <w:sz w:val="22"/>
          <w:szCs w:val="22"/>
          <w:lang w:val="es-ES" w:eastAsia="es-CO"/>
        </w:rPr>
      </w:pPr>
      <w:r>
        <w:rPr>
          <w:rFonts w:ascii="Arial" w:hAnsi="Arial" w:cs="Arial" w:eastAsiaTheme="minorHAnsi"/>
          <w:b/>
          <w:color w:val="000000" w:themeColor="text1"/>
          <w:sz w:val="22"/>
          <w:lang w:eastAsia="en-US"/>
        </w:rPr>
        <w:t xml:space="preserve">2.2. </w:t>
      </w:r>
      <w:r w:rsidRPr="0051586B">
        <w:rPr>
          <w:rFonts w:ascii="Arial" w:hAnsi="Arial" w:cs="Arial" w:eastAsiaTheme="minorHAnsi"/>
          <w:b/>
          <w:color w:val="000000" w:themeColor="text1"/>
          <w:sz w:val="22"/>
          <w:lang w:eastAsia="en-US"/>
        </w:rPr>
        <w:t>Restricciones para la suscripción de contratos de forma directa por parte de los entes del Estado –artículo 33 de la Ley 996 de 2005–</w:t>
      </w:r>
      <w:r w:rsidRPr="0051586B">
        <w:rPr>
          <w:rFonts w:ascii="Arial" w:hAnsi="Arial" w:cs="Arial" w:eastAsiaTheme="minorHAnsi"/>
          <w:b/>
          <w:bCs/>
          <w:sz w:val="22"/>
          <w:szCs w:val="22"/>
          <w:lang w:val="es-MX" w:eastAsia="es-CO"/>
        </w:rPr>
        <w:t xml:space="preserve"> </w:t>
      </w:r>
    </w:p>
    <w:p w:rsidRPr="0051586B" w:rsidR="008F1F27" w:rsidP="008F1F27" w:rsidRDefault="008F1F27" w14:paraId="5A9B58D3" w14:textId="77777777">
      <w:pPr>
        <w:spacing w:line="276" w:lineRule="auto"/>
        <w:jc w:val="both"/>
        <w:rPr>
          <w:rFonts w:ascii="Arial" w:hAnsi="Arial" w:cs="Arial" w:eastAsiaTheme="minorHAnsi"/>
          <w:bCs/>
          <w:sz w:val="22"/>
          <w:szCs w:val="22"/>
          <w:lang w:val="es-MX" w:eastAsia="x-none"/>
        </w:rPr>
      </w:pPr>
    </w:p>
    <w:p w:rsidRPr="0051586B" w:rsidR="008F1F27" w:rsidP="008F1F27" w:rsidRDefault="008F1F27" w14:paraId="14AB737E" w14:textId="77777777">
      <w:pPr>
        <w:spacing w:line="276" w:lineRule="auto"/>
        <w:jc w:val="both"/>
        <w:rPr>
          <w:rFonts w:ascii="Arial" w:hAnsi="Arial" w:cs="Arial" w:eastAsiaTheme="minorHAnsi"/>
          <w:bCs/>
          <w:sz w:val="22"/>
          <w:szCs w:val="22"/>
          <w:lang w:val="es-MX" w:eastAsia="es-CO"/>
        </w:rPr>
      </w:pPr>
      <w:r w:rsidRPr="0051586B">
        <w:rPr>
          <w:rFonts w:ascii="Arial" w:hAnsi="Arial" w:cs="Arial" w:eastAsiaTheme="minorHAnsi"/>
          <w:bCs/>
          <w:sz w:val="22"/>
          <w:szCs w:val="22"/>
          <w:lang w:val="es-MX" w:eastAsia="x-none"/>
        </w:rPr>
        <w:t xml:space="preserve">El ámbito material de la prohibición contenida en el artículo 33 de la ley 996 de 2005 está delimitado por la expresión </w:t>
      </w:r>
      <w:r w:rsidRPr="0051586B">
        <w:rPr>
          <w:rFonts w:ascii="Arial" w:hAnsi="Arial" w:eastAsia="Calibri" w:cs="Arial"/>
          <w:bCs/>
          <w:sz w:val="20"/>
          <w:szCs w:val="20"/>
          <w:lang w:val="es-MX" w:eastAsia="en-US"/>
        </w:rPr>
        <w:t>«</w:t>
      </w:r>
      <w:r w:rsidRPr="0051586B">
        <w:rPr>
          <w:rFonts w:ascii="Arial" w:hAnsi="Arial" w:cs="Arial" w:eastAsiaTheme="minorHAnsi"/>
          <w:bCs/>
          <w:sz w:val="22"/>
          <w:szCs w:val="22"/>
          <w:lang w:val="es-MX" w:eastAsia="x-none"/>
        </w:rPr>
        <w:t>queda prohibida la contratación directa</w:t>
      </w:r>
      <w:r w:rsidRPr="0051586B">
        <w:rPr>
          <w:rFonts w:ascii="Arial" w:hAnsi="Arial" w:cs="Arial" w:eastAsiaTheme="minorHAnsi"/>
          <w:sz w:val="20"/>
          <w:szCs w:val="20"/>
          <w:lang w:val="es-MX" w:eastAsia="en-US"/>
        </w:rPr>
        <w:t>»</w:t>
      </w:r>
      <w:r w:rsidRPr="0051586B">
        <w:rPr>
          <w:rFonts w:ascii="Arial" w:hAnsi="Arial" w:cs="Arial" w:eastAsiaTheme="minorHAnsi"/>
          <w:bCs/>
          <w:sz w:val="22"/>
          <w:szCs w:val="22"/>
          <w:lang w:val="es-MX" w:eastAsia="x-none"/>
        </w:rPr>
        <w:t xml:space="preserve">. </w:t>
      </w:r>
      <w:r w:rsidRPr="0051586B">
        <w:rPr>
          <w:rFonts w:ascii="Arial" w:hAnsi="Arial" w:cs="Arial" w:eastAsiaTheme="minorHAnsi"/>
          <w:sz w:val="22"/>
          <w:szCs w:val="22"/>
          <w:lang w:val="es-MX" w:eastAsia="es-CO"/>
        </w:rPr>
        <w:t xml:space="preserve"> A propósito de </w:t>
      </w:r>
      <w:r w:rsidRPr="0051586B">
        <w:rPr>
          <w:rFonts w:ascii="Arial" w:hAnsi="Arial" w:cs="Arial" w:eastAsiaTheme="minorHAnsi"/>
          <w:sz w:val="22"/>
          <w:szCs w:val="22"/>
          <w:lang w:eastAsia="es-CO"/>
        </w:rPr>
        <w:t>esta restricción de la Ley de Garantías Electorales, la Sala de Consulta y Servicio Civil del Consejo de Estado ha considerado que:</w:t>
      </w:r>
    </w:p>
    <w:p w:rsidRPr="0051586B" w:rsidR="008F1F27" w:rsidP="008F1F27" w:rsidRDefault="008F1F27" w14:paraId="107A5E47" w14:textId="77777777">
      <w:pPr>
        <w:ind w:left="708" w:right="709"/>
        <w:jc w:val="both"/>
        <w:rPr>
          <w:rFonts w:ascii="Arial" w:hAnsi="Arial" w:cs="Arial" w:eastAsiaTheme="minorHAnsi"/>
          <w:sz w:val="21"/>
          <w:szCs w:val="21"/>
          <w:lang w:val="es-MX" w:eastAsia="en-US"/>
        </w:rPr>
      </w:pPr>
    </w:p>
    <w:p w:rsidRPr="0051586B" w:rsidR="008F1F27" w:rsidP="008F1F27" w:rsidRDefault="008F1F27" w14:paraId="417F716E" w14:textId="77777777">
      <w:pPr>
        <w:spacing w:after="120"/>
        <w:ind w:left="709" w:right="709"/>
        <w:jc w:val="both"/>
        <w:rPr>
          <w:rFonts w:ascii="Arial" w:hAnsi="Arial" w:cs="Arial" w:eastAsiaTheme="minorHAnsi"/>
          <w:sz w:val="21"/>
          <w:szCs w:val="21"/>
          <w:lang w:val="es-MX" w:eastAsia="en-US"/>
        </w:rPr>
      </w:pPr>
      <w:r w:rsidRPr="0051586B">
        <w:rPr>
          <w:rFonts w:ascii="Arial" w:hAnsi="Arial" w:eastAsia="Calibri" w:cs="Arial"/>
          <w:sz w:val="21"/>
          <w:szCs w:val="21"/>
          <w:lang w:val="es-ES" w:eastAsia="en-US"/>
        </w:rPr>
        <w:t>«</w:t>
      </w:r>
      <w:r w:rsidRPr="0051586B">
        <w:rPr>
          <w:rFonts w:ascii="Arial" w:hAnsi="Arial" w:cs="Arial" w:eastAsiaTheme="minorHAnsi"/>
          <w:sz w:val="21"/>
          <w:szCs w:val="21"/>
          <w:lang w:val="es-MX"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51586B">
        <w:rPr>
          <w:rFonts w:ascii="Arial" w:hAnsi="Arial" w:cs="Arial" w:eastAsiaTheme="minorHAnsi"/>
          <w:sz w:val="22"/>
          <w:szCs w:val="22"/>
          <w:vertAlign w:val="superscript"/>
          <w:lang w:eastAsia="es-CO"/>
        </w:rPr>
        <w:footnoteReference w:id="10"/>
      </w:r>
      <w:r w:rsidRPr="0051586B">
        <w:rPr>
          <w:rFonts w:ascii="Arial" w:hAnsi="Arial" w:cs="Arial" w:eastAsiaTheme="minorHAnsi"/>
          <w:sz w:val="21"/>
          <w:szCs w:val="21"/>
          <w:lang w:val="es-MX" w:eastAsia="en-US"/>
        </w:rPr>
        <w:t>.</w:t>
      </w:r>
    </w:p>
    <w:p w:rsidRPr="0051586B" w:rsidR="008F1F27" w:rsidP="008F1F27" w:rsidRDefault="008F1F27" w14:paraId="512F662C" w14:textId="77777777">
      <w:pPr>
        <w:ind w:left="708" w:right="709"/>
        <w:jc w:val="both"/>
        <w:rPr>
          <w:rFonts w:ascii="Arial" w:hAnsi="Arial" w:cs="Arial" w:eastAsiaTheme="minorHAnsi"/>
          <w:sz w:val="21"/>
          <w:szCs w:val="21"/>
          <w:lang w:val="es-MX" w:eastAsia="en-US"/>
        </w:rPr>
      </w:pPr>
      <w:r w:rsidRPr="0051586B">
        <w:rPr>
          <w:rFonts w:ascii="Arial" w:hAnsi="Arial" w:cs="Arial" w:eastAsiaTheme="minorHAnsi"/>
          <w:sz w:val="21"/>
          <w:szCs w:val="21"/>
          <w:lang w:val="es-MX" w:eastAsia="en-US"/>
        </w:rPr>
        <w:t>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51586B">
        <w:rPr>
          <w:rFonts w:ascii="Arial" w:hAnsi="Arial" w:cs="Arial" w:eastAsiaTheme="minorHAnsi"/>
          <w:sz w:val="21"/>
          <w:szCs w:val="21"/>
          <w:vertAlign w:val="superscript"/>
          <w:lang w:val="es-MX" w:eastAsia="en-US"/>
        </w:rPr>
        <w:footnoteReference w:id="11"/>
      </w:r>
      <w:r w:rsidRPr="0051586B">
        <w:rPr>
          <w:rFonts w:ascii="Arial" w:hAnsi="Arial" w:cs="Arial" w:eastAsiaTheme="minorHAnsi"/>
          <w:sz w:val="21"/>
          <w:szCs w:val="21"/>
          <w:vertAlign w:val="superscript"/>
          <w:lang w:val="es-MX" w:eastAsia="en-US"/>
        </w:rPr>
        <w:t>.</w:t>
      </w:r>
      <w:r w:rsidRPr="0051586B">
        <w:rPr>
          <w:rFonts w:ascii="Arial" w:hAnsi="Arial" w:cs="Arial" w:eastAsiaTheme="minorHAnsi"/>
          <w:sz w:val="21"/>
          <w:szCs w:val="21"/>
          <w:lang w:val="es-MX"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51586B">
        <w:rPr>
          <w:rFonts w:ascii="Arial" w:hAnsi="Arial" w:cs="Arial" w:eastAsiaTheme="minorHAnsi"/>
          <w:sz w:val="21"/>
          <w:szCs w:val="21"/>
          <w:lang w:val="es-ES" w:eastAsia="en-US"/>
        </w:rPr>
        <w:t>»</w:t>
      </w:r>
      <w:r w:rsidRPr="0051586B">
        <w:rPr>
          <w:rFonts w:ascii="Arial" w:hAnsi="Arial" w:cs="Arial" w:eastAsiaTheme="minorHAnsi"/>
          <w:sz w:val="22"/>
          <w:szCs w:val="22"/>
          <w:vertAlign w:val="superscript"/>
          <w:lang w:eastAsia="es-CO"/>
        </w:rPr>
        <w:footnoteReference w:id="12"/>
      </w:r>
    </w:p>
    <w:p w:rsidRPr="0051586B" w:rsidR="008F1F27" w:rsidP="008F1F27" w:rsidRDefault="008F1F27" w14:paraId="226F7E54" w14:textId="77777777">
      <w:pPr>
        <w:shd w:val="clear" w:color="auto" w:fill="FFFFFF"/>
        <w:spacing w:line="276" w:lineRule="auto"/>
        <w:ind w:firstLine="709"/>
        <w:jc w:val="both"/>
        <w:rPr>
          <w:rFonts w:ascii="Arial" w:hAnsi="Arial" w:cs="Arial" w:eastAsiaTheme="minorHAnsi"/>
          <w:sz w:val="22"/>
          <w:szCs w:val="22"/>
          <w:lang w:eastAsia="x-none"/>
        </w:rPr>
      </w:pPr>
    </w:p>
    <w:p w:rsidRPr="0051586B" w:rsidR="008F1F27" w:rsidP="008F1F27" w:rsidRDefault="008F1F27" w14:paraId="2A4E15EA" w14:textId="77777777">
      <w:pPr>
        <w:spacing w:after="120" w:line="276" w:lineRule="auto"/>
        <w:ind w:firstLine="708"/>
        <w:jc w:val="both"/>
        <w:rPr>
          <w:rFonts w:ascii="Arial" w:hAnsi="Arial" w:cs="Arial" w:eastAsiaTheme="minorHAnsi"/>
          <w:bCs/>
          <w:sz w:val="22"/>
          <w:szCs w:val="22"/>
          <w:lang w:eastAsia="x-none"/>
        </w:rPr>
      </w:pPr>
      <w:r w:rsidRPr="0051586B">
        <w:rPr>
          <w:rFonts w:ascii="Arial" w:hAnsi="Arial" w:cs="Arial" w:eastAsiaTheme="minorHAnsi"/>
          <w:sz w:val="22"/>
          <w:szCs w:val="22"/>
          <w:lang w:eastAsia="x-none"/>
        </w:rPr>
        <w:t xml:space="preserve">De conformidad con el citado concepto, </w:t>
      </w:r>
      <w:bookmarkStart w:name="_Hlk95735188" w:id="0"/>
      <w:bookmarkStart w:name="_Hlk78818702" w:id="1"/>
      <w:r w:rsidRPr="0051586B">
        <w:rPr>
          <w:rFonts w:ascii="Arial" w:hAnsi="Arial" w:cs="Arial" w:eastAsiaTheme="minorHAnsi"/>
          <w:sz w:val="22"/>
          <w:szCs w:val="22"/>
          <w:lang w:eastAsia="x-none"/>
        </w:rPr>
        <w:t xml:space="preserve">la prohibición del artículo 33 de la Ley de Garantías Electorales se refiere a </w:t>
      </w:r>
      <w:bookmarkStart w:name="_Hlk74294635" w:id="2"/>
      <w:r w:rsidRPr="0051586B">
        <w:rPr>
          <w:rFonts w:ascii="Arial" w:hAnsi="Arial" w:cs="Arial" w:eastAsiaTheme="minorHAnsi"/>
          <w:sz w:val="19"/>
          <w:szCs w:val="19"/>
          <w:lang w:eastAsia="en-GB"/>
        </w:rPr>
        <w:t>«</w:t>
      </w:r>
      <w:bookmarkEnd w:id="2"/>
      <w:r w:rsidRPr="0051586B">
        <w:rPr>
          <w:rFonts w:ascii="Arial" w:hAnsi="Arial" w:cs="Arial" w:eastAsiaTheme="minorHAnsi"/>
          <w:sz w:val="22"/>
          <w:szCs w:val="22"/>
          <w:lang w:eastAsia="x-none"/>
        </w:rPr>
        <w:t>cualquier sistema que no implique convocatoria pública y posibilidad de pluralidad de oferentes</w:t>
      </w:r>
      <w:bookmarkStart w:name="_Hlk74404754" w:id="3"/>
      <w:r w:rsidRPr="0051586B">
        <w:rPr>
          <w:rFonts w:ascii="Arial" w:hAnsi="Arial" w:cs="Arial" w:eastAsiaTheme="minorHAnsi"/>
          <w:sz w:val="22"/>
          <w:szCs w:val="22"/>
          <w:lang w:eastAsia="en-GB"/>
        </w:rPr>
        <w:t>»</w:t>
      </w:r>
      <w:bookmarkEnd w:id="3"/>
      <w:r w:rsidRPr="0051586B">
        <w:rPr>
          <w:rFonts w:ascii="Arial" w:hAnsi="Arial" w:cs="Arial" w:eastAsiaTheme="minorHAnsi"/>
          <w:sz w:val="22"/>
          <w:szCs w:val="22"/>
          <w:lang w:eastAsia="x-none"/>
        </w:rPr>
        <w:t>, por lo que excluye las demás modalidades de contratación previstas en la Ley 1150 de 2007, es decir, la licitación pública, la selección abreviada, el concurso de méritos, la mínima cuantía u otros previstos en normas especiales.</w:t>
      </w:r>
      <w:bookmarkEnd w:id="0"/>
      <w:r w:rsidRPr="0051586B">
        <w:rPr>
          <w:rFonts w:ascii="Arial" w:hAnsi="Arial" w:cs="Arial" w:eastAsiaTheme="minorHAnsi"/>
          <w:sz w:val="22"/>
          <w:szCs w:val="22"/>
          <w:lang w:eastAsia="x-none"/>
        </w:rPr>
        <w:t xml:space="preserve"> </w:t>
      </w:r>
      <w:bookmarkEnd w:id="1"/>
      <w:r w:rsidRPr="0051586B">
        <w:rPr>
          <w:rFonts w:ascii="Arial" w:hAnsi="Arial" w:cs="Arial" w:eastAsiaTheme="minorHAnsi"/>
          <w:sz w:val="22"/>
          <w:szCs w:val="22"/>
          <w:lang w:eastAsia="x-none"/>
        </w:rPr>
        <w:t xml:space="preserve">Esta posición es congruente con la expedición de la Ley 1150 de 2007 que, </w:t>
      </w:r>
      <w:r w:rsidRPr="0051586B">
        <w:rPr>
          <w:rFonts w:ascii="Arial" w:hAnsi="Arial" w:cs="Arial" w:eastAsiaTheme="minorHAnsi"/>
          <w:sz w:val="22"/>
          <w:szCs w:val="22"/>
          <w:lang w:eastAsia="x-none"/>
        </w:rPr>
        <w:lastRenderedPageBreak/>
        <w:t>entre otras reformas, introdujo la selección abreviada, rediseñó el concurso de méritos</w:t>
      </w:r>
      <w:r w:rsidRPr="0051586B">
        <w:rPr>
          <w:rFonts w:ascii="Arial" w:hAnsi="Arial" w:cs="Arial" w:eastAsiaTheme="minorHAnsi"/>
          <w:sz w:val="22"/>
          <w:szCs w:val="22"/>
          <w:vertAlign w:val="superscript"/>
          <w:lang w:val="en-GB" w:eastAsia="x-none"/>
        </w:rPr>
        <w:footnoteReference w:id="13"/>
      </w:r>
      <w:r w:rsidRPr="0051586B">
        <w:rPr>
          <w:rFonts w:ascii="Arial" w:hAnsi="Arial" w:cs="Arial" w:eastAsiaTheme="minorHAnsi"/>
          <w:sz w:val="22"/>
          <w:szCs w:val="22"/>
          <w:lang w:eastAsia="x-none"/>
        </w:rPr>
        <w:t xml:space="preserve"> y sistematizó las causales de contratación directa</w:t>
      </w:r>
      <w:r w:rsidRPr="0051586B">
        <w:rPr>
          <w:rFonts w:ascii="Arial" w:hAnsi="Arial" w:cs="Arial" w:eastAsiaTheme="minorHAnsi"/>
          <w:sz w:val="22"/>
          <w:szCs w:val="22"/>
          <w:vertAlign w:val="superscript"/>
          <w:lang w:val="en-GB" w:eastAsia="x-none"/>
        </w:rPr>
        <w:footnoteReference w:id="14"/>
      </w:r>
      <w:r w:rsidRPr="0051586B">
        <w:rPr>
          <w:rFonts w:ascii="Arial" w:hAnsi="Arial" w:cs="Arial" w:eastAsiaTheme="minorHAnsi"/>
          <w:sz w:val="22"/>
          <w:szCs w:val="22"/>
          <w:lang w:eastAsia="x-none"/>
        </w:rPr>
        <w:t xml:space="preserve">, </w:t>
      </w:r>
      <w:r w:rsidRPr="0051586B">
        <w:rPr>
          <w:rFonts w:ascii="Arial" w:hAnsi="Arial" w:cs="Arial" w:eastAsiaTheme="minorHAnsi"/>
          <w:sz w:val="22"/>
          <w:lang w:eastAsia="x-none"/>
        </w:rPr>
        <w:t>además lo es con la posterior creación de la modalidad de mínima cuantía establecida actualmente en el numeral 5 del artículo 2 de la Ley 1150 de 2007, de acuerdo con las modificaciones realizadas por leyes posteriores.</w:t>
      </w:r>
    </w:p>
    <w:p w:rsidRPr="0051586B" w:rsidR="008F1F27" w:rsidP="008F1F27" w:rsidRDefault="008F1F27" w14:paraId="10AB6ABB" w14:textId="77777777">
      <w:pPr>
        <w:spacing w:after="120" w:line="276" w:lineRule="auto"/>
        <w:ind w:firstLine="708"/>
        <w:jc w:val="both"/>
        <w:rPr>
          <w:rFonts w:ascii="Arial" w:hAnsi="Arial" w:cs="Arial" w:eastAsiaTheme="minorHAnsi"/>
          <w:sz w:val="22"/>
          <w:szCs w:val="22"/>
          <w:lang w:val="es-MX" w:eastAsia="x-none"/>
        </w:rPr>
      </w:pPr>
      <w:r w:rsidRPr="0051586B">
        <w:rPr>
          <w:rFonts w:ascii="Arial" w:hAnsi="Arial" w:cs="Arial" w:eastAsiaTheme="minorHAnsi"/>
          <w:sz w:val="22"/>
          <w:szCs w:val="22"/>
          <w:lang w:eastAsia="x-none"/>
        </w:rPr>
        <w:t xml:space="preserve">De esta forma, con fundamento en la evolución de la normativa sobre la contratación pública, se ha depurado la noción de </w:t>
      </w:r>
      <w:r w:rsidRPr="0051586B">
        <w:rPr>
          <w:rFonts w:ascii="Arial" w:hAnsi="Arial" w:cs="Arial" w:eastAsiaTheme="minorHAnsi"/>
          <w:sz w:val="19"/>
          <w:szCs w:val="19"/>
          <w:lang w:eastAsia="en-GB"/>
        </w:rPr>
        <w:t>«</w:t>
      </w:r>
      <w:r w:rsidRPr="0051586B">
        <w:rPr>
          <w:rFonts w:ascii="Arial" w:hAnsi="Arial" w:cs="Arial" w:eastAsiaTheme="minorHAnsi"/>
          <w:sz w:val="22"/>
          <w:szCs w:val="22"/>
          <w:lang w:eastAsia="x-none"/>
        </w:rPr>
        <w:t>contratación directa</w:t>
      </w:r>
      <w:r w:rsidRPr="0051586B">
        <w:rPr>
          <w:rFonts w:ascii="Arial" w:hAnsi="Arial" w:cs="Arial" w:eastAsiaTheme="minorHAnsi"/>
          <w:sz w:val="22"/>
          <w:szCs w:val="22"/>
          <w:lang w:eastAsia="en-GB"/>
        </w:rPr>
        <w:t>»</w:t>
      </w:r>
      <w:r w:rsidRPr="0051586B">
        <w:rPr>
          <w:rFonts w:ascii="Arial" w:hAnsi="Arial" w:cs="Arial" w:eastAsiaTheme="minorHAnsi"/>
          <w:sz w:val="22"/>
          <w:szCs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51586B">
        <w:rPr>
          <w:rFonts w:ascii="Arial" w:hAnsi="Arial" w:cs="Arial" w:eastAsiaTheme="minorHAnsi"/>
          <w:sz w:val="22"/>
          <w:szCs w:val="22"/>
          <w:vertAlign w:val="superscript"/>
          <w:lang w:val="en-GB" w:eastAsia="x-none"/>
        </w:rPr>
        <w:footnoteReference w:id="15"/>
      </w:r>
      <w:r w:rsidRPr="0051586B">
        <w:rPr>
          <w:rFonts w:ascii="Arial" w:hAnsi="Arial" w:cs="Arial" w:eastAsiaTheme="minorHAnsi"/>
          <w:sz w:val="22"/>
          <w:szCs w:val="22"/>
          <w:lang w:eastAsia="x-none"/>
        </w:rPr>
        <w:t>, han establecido sistemas de contratación que implican convocatoria pública y participación de varios oferentes</w:t>
      </w:r>
      <w:r w:rsidRPr="0051586B">
        <w:rPr>
          <w:rFonts w:ascii="Arial" w:hAnsi="Arial" w:cs="Arial" w:eastAsiaTheme="minorHAnsi"/>
          <w:sz w:val="22"/>
          <w:szCs w:val="22"/>
          <w:lang w:eastAsia="en-GB"/>
        </w:rPr>
        <w:t>»</w:t>
      </w:r>
      <w:r w:rsidRPr="0051586B">
        <w:rPr>
          <w:rFonts w:ascii="Arial" w:hAnsi="Arial" w:cs="Arial" w:eastAsiaTheme="minorHAnsi"/>
          <w:sz w:val="22"/>
          <w:szCs w:val="22"/>
          <w:lang w:eastAsia="x-none"/>
        </w:rPr>
        <w:t xml:space="preserve">. </w:t>
      </w:r>
    </w:p>
    <w:p w:rsidRPr="0051586B" w:rsidR="008F1F27" w:rsidP="008F1F27" w:rsidRDefault="008F1F27" w14:paraId="1B2A4EAB" w14:textId="77777777">
      <w:pPr>
        <w:spacing w:after="120" w:line="276" w:lineRule="auto"/>
        <w:ind w:firstLine="708"/>
        <w:jc w:val="both"/>
        <w:rPr>
          <w:rFonts w:ascii="Arial" w:hAnsi="Arial" w:cs="Arial" w:eastAsiaTheme="minorHAnsi"/>
          <w:bCs/>
          <w:sz w:val="22"/>
          <w:szCs w:val="22"/>
          <w:lang w:val="es-MX" w:eastAsia="es-CO"/>
        </w:rPr>
      </w:pPr>
      <w:r w:rsidRPr="0051586B">
        <w:rPr>
          <w:rFonts w:ascii="Arial" w:hAnsi="Arial" w:cs="Arial" w:eastAsiaTheme="minorHAnsi"/>
          <w:bCs/>
          <w:sz w:val="22"/>
          <w:szCs w:val="22"/>
          <w:lang w:val="es-MX" w:eastAsia="x-none"/>
        </w:rPr>
        <w:t>E</w:t>
      </w:r>
      <w:r w:rsidRPr="0051586B">
        <w:rPr>
          <w:rFonts w:ascii="Arial" w:hAnsi="Arial" w:cs="Arial" w:eastAsiaTheme="minorHAnsi"/>
          <w:sz w:val="22"/>
          <w:szCs w:val="22"/>
          <w:lang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51586B">
        <w:rPr>
          <w:rFonts w:ascii="Arial" w:hAnsi="Arial" w:cs="Arial" w:eastAsiaTheme="minorHAnsi"/>
          <w:sz w:val="22"/>
          <w:szCs w:val="22"/>
          <w:vertAlign w:val="superscript"/>
          <w:lang w:eastAsia="x-none"/>
        </w:rPr>
        <w:footnoteReference w:id="16"/>
      </w:r>
      <w:r w:rsidRPr="0051586B">
        <w:rPr>
          <w:rFonts w:ascii="Arial" w:hAnsi="Arial" w:cs="Arial" w:eastAsiaTheme="minorHAnsi"/>
          <w:sz w:val="22"/>
          <w:szCs w:val="22"/>
          <w:lang w:eastAsia="x-none"/>
        </w:rPr>
        <w:t xml:space="preserve">. </w:t>
      </w:r>
    </w:p>
    <w:p w:rsidRPr="0051586B" w:rsidR="008F1F27" w:rsidP="008F1F27" w:rsidRDefault="008F1F27" w14:paraId="4118BB94" w14:textId="77777777">
      <w:pPr>
        <w:spacing w:after="120" w:line="276" w:lineRule="auto"/>
        <w:ind w:firstLine="708"/>
        <w:jc w:val="both"/>
        <w:rPr>
          <w:rFonts w:ascii="Arial" w:hAnsi="Arial" w:cs="Arial" w:eastAsiaTheme="minorHAnsi"/>
          <w:bCs/>
          <w:sz w:val="22"/>
          <w:szCs w:val="22"/>
          <w:lang w:val="es-MX" w:eastAsia="es-CO"/>
        </w:rPr>
      </w:pPr>
      <w:r w:rsidRPr="0051586B">
        <w:rPr>
          <w:rFonts w:ascii="Arial" w:hAnsi="Arial" w:cs="Arial" w:eastAsiaTheme="minorHAnsi"/>
          <w:bCs/>
          <w:sz w:val="22"/>
          <w:szCs w:val="22"/>
          <w:lang w:val="es-MX"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«contratación directa».</w:t>
      </w:r>
    </w:p>
    <w:p w:rsidRPr="0051586B" w:rsidR="008F1F27" w:rsidP="008F1F27" w:rsidRDefault="008F1F27" w14:paraId="6CE10537" w14:textId="77777777">
      <w:pPr>
        <w:spacing w:after="120" w:line="276" w:lineRule="auto"/>
        <w:ind w:firstLine="708"/>
        <w:jc w:val="both"/>
        <w:rPr>
          <w:rFonts w:ascii="Arial" w:hAnsi="Arial" w:cs="Arial" w:eastAsiaTheme="minorHAnsi"/>
          <w:bCs/>
          <w:sz w:val="22"/>
          <w:szCs w:val="22"/>
          <w:lang w:val="es-MX" w:eastAsia="x-none"/>
        </w:rPr>
      </w:pPr>
      <w:r w:rsidRPr="0051586B">
        <w:rPr>
          <w:rFonts w:ascii="Arial" w:hAnsi="Arial" w:cs="Arial" w:eastAsiaTheme="minorHAnsi"/>
          <w:bCs/>
          <w:sz w:val="22"/>
          <w:szCs w:val="22"/>
          <w:lang w:val="es-MX" w:eastAsia="x-none"/>
        </w:rPr>
        <w:t xml:space="preserve"> Así las cosas, </w:t>
      </w:r>
      <w:bookmarkStart w:name="_Hlk95735240" w:id="4"/>
      <w:r w:rsidRPr="0051586B">
        <w:rPr>
          <w:rFonts w:ascii="Arial" w:hAnsi="Arial" w:cs="Arial" w:eastAsiaTheme="minorHAnsi"/>
          <w:bCs/>
          <w:sz w:val="22"/>
          <w:szCs w:val="22"/>
          <w:lang w:val="es-MX" w:eastAsia="x-none"/>
        </w:rPr>
        <w:t xml:space="preserve">ha de entenderse que, para efectos de la Ley de Garantías Electorales y, en particular, para la prohibición o restricción temporal contenida en su artículo 33, «contratación directa» es cualquier sistema de selección o procedimiento de </w:t>
      </w:r>
      <w:r w:rsidRPr="0051586B">
        <w:rPr>
          <w:rFonts w:ascii="Arial" w:hAnsi="Arial" w:cs="Arial" w:eastAsiaTheme="minorHAnsi"/>
          <w:bCs/>
          <w:sz w:val="22"/>
          <w:szCs w:val="22"/>
          <w:lang w:val="es-MX" w:eastAsia="x-none"/>
        </w:rPr>
        <w:lastRenderedPageBreak/>
        <w:t>contratación utilizado por las entidades estatales que no incluya la convocatoria pública en alguna de sus etapas, ni permita la participación de una pluralidad de oferentes</w:t>
      </w:r>
      <w:bookmarkEnd w:id="4"/>
      <w:r w:rsidRPr="0051586B">
        <w:rPr>
          <w:rFonts w:ascii="Arial" w:hAnsi="Arial" w:cs="Arial" w:eastAsiaTheme="minorHAnsi"/>
          <w:sz w:val="22"/>
          <w:szCs w:val="22"/>
          <w:vertAlign w:val="superscript"/>
          <w:lang w:eastAsia="x-none"/>
        </w:rPr>
        <w:footnoteReference w:id="17"/>
      </w:r>
      <w:r w:rsidRPr="0051586B">
        <w:rPr>
          <w:rFonts w:ascii="Arial" w:hAnsi="Arial" w:cs="Arial" w:eastAsiaTheme="minorHAnsi"/>
          <w:bCs/>
          <w:sz w:val="22"/>
          <w:szCs w:val="22"/>
          <w:lang w:val="es-MX" w:eastAsia="x-none"/>
        </w:rPr>
        <w:t>.</w:t>
      </w:r>
      <w:r w:rsidRPr="0051586B">
        <w:rPr>
          <w:rFonts w:ascii="Arial" w:hAnsi="Arial" w:cs="Arial" w:eastAsiaTheme="minorHAnsi"/>
          <w:sz w:val="22"/>
          <w:szCs w:val="22"/>
          <w:vertAlign w:val="superscript"/>
          <w:lang w:eastAsia="x-none"/>
        </w:rPr>
        <w:t xml:space="preserve"> </w:t>
      </w:r>
    </w:p>
    <w:p w:rsidRPr="0051586B" w:rsidR="008F1F27" w:rsidP="008F1F27" w:rsidRDefault="008F1F27" w14:paraId="0F91F0C4" w14:textId="77777777">
      <w:pPr>
        <w:spacing w:after="120" w:line="276" w:lineRule="auto"/>
        <w:ind w:firstLine="708"/>
        <w:jc w:val="both"/>
        <w:rPr>
          <w:rFonts w:ascii="Arial" w:hAnsi="Arial" w:cs="Arial" w:eastAsiaTheme="minorHAnsi"/>
          <w:sz w:val="22"/>
          <w:szCs w:val="22"/>
          <w:lang w:eastAsia="x-none"/>
        </w:rPr>
      </w:pPr>
      <w:bookmarkStart w:name="_Hlk95735299" w:id="5"/>
      <w:r w:rsidRPr="0051586B">
        <w:rPr>
          <w:rFonts w:ascii="Arial" w:hAnsi="Arial" w:cs="Arial" w:eastAsiaTheme="minorHAnsi"/>
          <w:bCs/>
          <w:sz w:val="22"/>
          <w:szCs w:val="22"/>
          <w:lang w:val="es-MX" w:eastAsia="x-none"/>
        </w:rPr>
        <w:t>De lo anterior se desprende que la restricción aplica, sin perjuicio de las excepciones establecidas en la misma ley, para celebrar cualquier contrato de forma directa, esto es, sin que exista un proceso abierto y competitivo.</w:t>
      </w:r>
      <w:r w:rsidRPr="0051586B">
        <w:rPr>
          <w:rFonts w:ascii="Arial" w:hAnsi="Arial" w:cs="Arial" w:eastAsiaTheme="minorHAnsi"/>
          <w:sz w:val="22"/>
          <w:szCs w:val="22"/>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estas modalidades.</w:t>
      </w:r>
      <w:bookmarkEnd w:id="5"/>
    </w:p>
    <w:p w:rsidRPr="0051586B" w:rsidR="008F1F27" w:rsidP="008F1F27" w:rsidRDefault="008F1F27" w14:paraId="6CCE4453" w14:textId="77777777">
      <w:pPr>
        <w:spacing w:after="120" w:line="276" w:lineRule="auto"/>
        <w:ind w:firstLine="708"/>
        <w:jc w:val="both"/>
        <w:rPr>
          <w:rFonts w:ascii="Arial" w:hAnsi="Arial" w:cs="Arial" w:eastAsiaTheme="minorHAnsi"/>
          <w:bCs/>
          <w:sz w:val="22"/>
          <w:szCs w:val="22"/>
          <w:lang w:val="es-MX" w:eastAsia="x-none"/>
        </w:rPr>
      </w:pPr>
      <w:bookmarkStart w:name="_Hlk77237094" w:id="6"/>
      <w:r w:rsidRPr="0051586B">
        <w:rPr>
          <w:rFonts w:ascii="Arial" w:hAnsi="Arial" w:cs="Arial" w:eastAsiaTheme="minorHAnsi"/>
          <w:bCs/>
          <w:sz w:val="22"/>
          <w:szCs w:val="22"/>
          <w:lang w:val="es-MX" w:eastAsia="es-CO"/>
        </w:rPr>
        <w:t>Ahora bien, como en otras oportunidades lo ha manifestado esta Agencia, las prórrogas, modificaciones o adiciones de los contratos suscritos antes de la entrada en vigor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6"/>
    </w:p>
    <w:p w:rsidRPr="0051586B" w:rsidR="008F1F27" w:rsidP="008F1F27" w:rsidRDefault="008F1F27" w14:paraId="40201C0A" w14:textId="77777777">
      <w:pPr>
        <w:spacing w:after="120" w:line="276" w:lineRule="auto"/>
        <w:ind w:firstLine="708"/>
        <w:jc w:val="both"/>
        <w:rPr>
          <w:rFonts w:ascii="Arial" w:hAnsi="Arial" w:cs="Arial" w:eastAsiaTheme="minorHAnsi"/>
          <w:bCs/>
          <w:sz w:val="22"/>
          <w:szCs w:val="22"/>
          <w:lang w:val="es-MX" w:eastAsia="es-CO"/>
        </w:rPr>
      </w:pPr>
      <w:r w:rsidRPr="0051586B">
        <w:rPr>
          <w:rFonts w:ascii="Arial" w:hAnsi="Arial" w:cs="Arial" w:eastAsiaTheme="minorHAnsi"/>
          <w:bCs/>
          <w:sz w:val="22"/>
          <w:szCs w:val="22"/>
          <w:lang w:val="es-MX"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51586B">
        <w:rPr>
          <w:rFonts w:ascii="Arial" w:hAnsi="Arial" w:cs="Arial" w:eastAsiaTheme="minorHAnsi"/>
          <w:bCs/>
          <w:sz w:val="22"/>
          <w:szCs w:val="22"/>
          <w:lang w:val="es-MX" w:eastAsia="es-CO"/>
        </w:rPr>
        <w:t xml:space="preserve"> Por tanto,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rsidRPr="0051586B" w:rsidR="008F1F27" w:rsidP="008F1F27" w:rsidRDefault="008F1F27" w14:paraId="2AE07716" w14:textId="77777777">
      <w:pPr>
        <w:spacing w:after="120" w:line="276" w:lineRule="auto"/>
        <w:ind w:firstLine="709"/>
        <w:jc w:val="both"/>
        <w:rPr>
          <w:rFonts w:ascii="Arial" w:hAnsi="Arial" w:cs="Arial" w:eastAsiaTheme="minorHAnsi"/>
          <w:bCs/>
          <w:sz w:val="22"/>
          <w:szCs w:val="22"/>
          <w:lang w:val="es-MX" w:eastAsia="x-none"/>
        </w:rPr>
      </w:pPr>
      <w:r w:rsidRPr="0051586B">
        <w:rPr>
          <w:rFonts w:ascii="Arial" w:hAnsi="Arial" w:cs="Arial" w:eastAsiaTheme="minorHAnsi"/>
          <w:bCs/>
          <w:sz w:val="22"/>
          <w:szCs w:val="22"/>
          <w:lang w:val="es-MX" w:eastAsia="x-none"/>
        </w:rPr>
        <w:t xml:space="preserve">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w:t>
      </w:r>
      <w:r w:rsidRPr="0051586B">
        <w:rPr>
          <w:rFonts w:ascii="Arial" w:hAnsi="Arial" w:cs="Arial" w:eastAsiaTheme="minorHAnsi"/>
          <w:bCs/>
          <w:sz w:val="22"/>
          <w:szCs w:val="22"/>
          <w:lang w:val="es-MX" w:eastAsia="x-none"/>
        </w:rPr>
        <w:lastRenderedPageBreak/>
        <w:t>ejecutivo, como son los inmersos en las excepciones para la prohibición de contratación»</w:t>
      </w:r>
      <w:r w:rsidRPr="0051586B">
        <w:rPr>
          <w:rFonts w:ascii="Arial" w:hAnsi="Arial" w:eastAsia="Calibri" w:cs="Arial"/>
          <w:sz w:val="22"/>
          <w:szCs w:val="22"/>
          <w:vertAlign w:val="superscript"/>
          <w:lang w:val="es-MX" w:eastAsia="en-US"/>
        </w:rPr>
        <w:footnoteReference w:id="18"/>
      </w:r>
      <w:r w:rsidRPr="0051586B">
        <w:rPr>
          <w:rFonts w:ascii="Arial" w:hAnsi="Arial" w:cs="Arial" w:eastAsiaTheme="minorHAnsi"/>
          <w:bCs/>
          <w:sz w:val="22"/>
          <w:szCs w:val="22"/>
          <w:lang w:val="es-MX" w:eastAsia="x-none"/>
        </w:rPr>
        <w:t>. De ahí que la Corte hizo énfasis en que las excepciones a la restricción, establecidos en el inciso segundo del artículo 33,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name="_Hlk75783800" w:id="7"/>
    </w:p>
    <w:p w:rsidRPr="0051586B" w:rsidR="008F1F27" w:rsidP="008F1F27" w:rsidRDefault="008F1F27" w14:paraId="00455D77" w14:textId="77777777">
      <w:pPr>
        <w:spacing w:line="276" w:lineRule="auto"/>
        <w:ind w:firstLine="708"/>
        <w:jc w:val="both"/>
        <w:rPr>
          <w:rFonts w:ascii="Arial" w:hAnsi="Arial" w:cs="Arial" w:eastAsiaTheme="minorHAnsi"/>
          <w:bCs/>
          <w:sz w:val="22"/>
          <w:szCs w:val="22"/>
          <w:lang w:val="es-MX" w:eastAsia="x-none"/>
        </w:rPr>
      </w:pPr>
      <w:bookmarkStart w:name="_Hlk95735408" w:id="8"/>
      <w:r w:rsidRPr="0051586B">
        <w:rPr>
          <w:rFonts w:ascii="Arial" w:hAnsi="Arial" w:cs="Arial" w:eastAsiaTheme="minorHAnsi"/>
          <w:bCs/>
          <w:sz w:val="22"/>
          <w:szCs w:val="22"/>
          <w:lang w:val="es-MX" w:eastAsia="x-none"/>
        </w:rPr>
        <w:t>De conformidad con lo expuesto, se concluye que durante los cuatro (4) meses anteriores a la elección presidencial y hasta la realización de la elección en la segunda vuelta, queda prohibida la contratación directa por parte de todos los entes del Estado. Lo anterior, entendiendo el término contratación directa como cualquier sistema de selección o procedimiento de contratación utilizado por las entidades estatales que no incluya la convocatoria pública en alguna de sus etapas, ni permita la participación de una pluralidad de oferentes, sin perjuicio de las excepciones contempladas en el ordenamiento jurídico</w:t>
      </w:r>
      <w:bookmarkEnd w:id="8"/>
      <w:r w:rsidRPr="0051586B">
        <w:rPr>
          <w:rFonts w:ascii="Arial" w:hAnsi="Arial" w:cs="Arial" w:eastAsiaTheme="minorHAnsi"/>
          <w:bCs/>
          <w:sz w:val="22"/>
          <w:szCs w:val="22"/>
          <w:lang w:val="es-MX" w:eastAsia="x-none"/>
        </w:rPr>
        <w:t>.</w:t>
      </w:r>
    </w:p>
    <w:p w:rsidRPr="0051586B" w:rsidR="008F1F27" w:rsidP="008F1F27" w:rsidRDefault="008F1F27" w14:paraId="001F42E0" w14:textId="77777777">
      <w:pPr>
        <w:spacing w:line="276" w:lineRule="auto"/>
        <w:ind w:firstLine="708"/>
        <w:jc w:val="both"/>
        <w:rPr>
          <w:rFonts w:ascii="Arial" w:hAnsi="Arial" w:cs="Arial" w:eastAsiaTheme="minorHAnsi"/>
          <w:bCs/>
          <w:sz w:val="22"/>
          <w:szCs w:val="22"/>
          <w:lang w:val="es-MX" w:eastAsia="x-none"/>
        </w:rPr>
      </w:pPr>
    </w:p>
    <w:p w:rsidRPr="0051586B" w:rsidR="008F1F27" w:rsidP="008F1F27" w:rsidRDefault="008F1F27" w14:paraId="4A553809" w14:textId="77777777">
      <w:pPr>
        <w:spacing w:line="276" w:lineRule="auto"/>
        <w:jc w:val="both"/>
        <w:rPr>
          <w:rFonts w:ascii="Arial" w:hAnsi="Arial" w:cs="Arial" w:eastAsiaTheme="minorHAnsi"/>
          <w:b/>
          <w:sz w:val="22"/>
          <w:szCs w:val="22"/>
          <w:lang w:val="es-MX" w:eastAsia="x-none"/>
        </w:rPr>
      </w:pPr>
      <w:r w:rsidRPr="0051586B">
        <w:rPr>
          <w:rFonts w:ascii="Arial" w:hAnsi="Arial" w:cs="Arial" w:eastAsiaTheme="minorHAnsi"/>
          <w:b/>
          <w:sz w:val="22"/>
          <w:szCs w:val="22"/>
          <w:lang w:val="es-MX" w:eastAsia="x-none"/>
        </w:rPr>
        <w:t>2.</w:t>
      </w:r>
      <w:r>
        <w:rPr>
          <w:rFonts w:ascii="Arial" w:hAnsi="Arial" w:cs="Arial" w:eastAsiaTheme="minorHAnsi"/>
          <w:b/>
          <w:sz w:val="22"/>
          <w:szCs w:val="22"/>
          <w:lang w:val="es-MX" w:eastAsia="x-none"/>
        </w:rPr>
        <w:t xml:space="preserve">3. </w:t>
      </w:r>
      <w:r w:rsidRPr="0051586B">
        <w:rPr>
          <w:rFonts w:ascii="Arial" w:hAnsi="Arial" w:cs="Arial" w:eastAsiaTheme="minorHAnsi"/>
          <w:b/>
          <w:sz w:val="22"/>
          <w:szCs w:val="22"/>
          <w:lang w:val="es-MX" w:eastAsia="x-none"/>
        </w:rPr>
        <w:t>Destinatarios de la restricción del artículo 33 de la Ley 996 de 2005</w:t>
      </w:r>
    </w:p>
    <w:p w:rsidRPr="0051586B" w:rsidR="008F1F27" w:rsidP="008F1F27" w:rsidRDefault="008F1F27" w14:paraId="42537D03" w14:textId="77777777">
      <w:pPr>
        <w:spacing w:line="276" w:lineRule="auto"/>
        <w:jc w:val="both"/>
        <w:rPr>
          <w:rFonts w:ascii="Arial" w:hAnsi="Arial" w:cs="Arial" w:eastAsiaTheme="minorHAnsi"/>
          <w:bCs/>
          <w:sz w:val="22"/>
          <w:szCs w:val="22"/>
          <w:lang w:val="es-MX" w:eastAsia="x-none"/>
        </w:rPr>
      </w:pPr>
    </w:p>
    <w:p w:rsidRPr="0051586B" w:rsidR="008F1F27" w:rsidP="008F1F27" w:rsidRDefault="008F1F27" w14:paraId="17EFA273" w14:textId="77777777">
      <w:pPr>
        <w:spacing w:line="276" w:lineRule="auto"/>
        <w:jc w:val="both"/>
        <w:rPr>
          <w:rFonts w:ascii="Arial" w:hAnsi="Arial" w:cs="Arial" w:eastAsiaTheme="minorHAnsi"/>
          <w:bCs/>
          <w:sz w:val="22"/>
          <w:szCs w:val="22"/>
          <w:lang w:val="es-MX" w:eastAsia="x-none"/>
        </w:rPr>
      </w:pPr>
      <w:r w:rsidRPr="0051586B">
        <w:rPr>
          <w:rFonts w:ascii="Arial" w:hAnsi="Arial" w:cs="Arial" w:eastAsiaTheme="minorHAnsi"/>
          <w:bCs/>
          <w:sz w:val="22"/>
          <w:szCs w:val="22"/>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51586B">
        <w:rPr>
          <w:rFonts w:asciiTheme="minorHAnsi" w:hAnsiTheme="minorHAnsi" w:eastAsiaTheme="minorHAnsi" w:cstheme="minorBidi"/>
          <w:szCs w:val="22"/>
          <w:lang w:val="es-MX" w:eastAsia="en-US"/>
        </w:rPr>
        <w:t xml:space="preserve"> </w:t>
      </w:r>
      <w:r w:rsidRPr="0051586B">
        <w:rPr>
          <w:rFonts w:ascii="Arial" w:hAnsi="Arial" w:cs="Arial" w:eastAsiaTheme="minorHAnsi"/>
          <w:bCs/>
          <w:sz w:val="22"/>
          <w:szCs w:val="22"/>
          <w:lang w:val="es-MX" w:eastAsia="x-none"/>
        </w:rPr>
        <w:t>En efecto, tal como lo ha sostenido el Consejo de Estado, el vocablo «todos» utilizado por el legislador comprende</w:t>
      </w:r>
      <w:r w:rsidRPr="0051586B">
        <w:rPr>
          <w:rFonts w:asciiTheme="minorHAnsi" w:hAnsiTheme="minorHAnsi" w:eastAsiaTheme="minorHAnsi" w:cstheme="minorBidi"/>
          <w:szCs w:val="22"/>
          <w:lang w:val="es-MX" w:eastAsia="en-US"/>
        </w:rPr>
        <w:t xml:space="preserve"> </w:t>
      </w:r>
      <w:r w:rsidRPr="0051586B">
        <w:rPr>
          <w:rFonts w:ascii="Arial" w:hAnsi="Arial" w:cs="Arial" w:eastAsiaTheme="minorHAnsi"/>
          <w:bCs/>
          <w:sz w:val="22"/>
          <w:szCs w:val="22"/>
          <w:lang w:val="es-MX" w:eastAsia="x-none"/>
        </w:rPr>
        <w:t>a la totalidad de los entes del Estado, sin distinción del régimen jurídico, forma de organización o naturaleza, su pertenencia a una u otra rama del poder público o su autonomía</w:t>
      </w:r>
      <w:bookmarkEnd w:id="7"/>
      <w:r w:rsidRPr="0051586B">
        <w:rPr>
          <w:rFonts w:ascii="Arial" w:hAnsi="Arial" w:cs="Arial" w:eastAsiaTheme="minorHAnsi"/>
          <w:bCs/>
          <w:sz w:val="22"/>
          <w:szCs w:val="22"/>
          <w:lang w:val="es-MX" w:eastAsia="x-none"/>
        </w:rPr>
        <w:t xml:space="preserve">,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rsidRPr="0051586B" w:rsidR="008F1F27" w:rsidP="008F1F27" w:rsidRDefault="008F1F27" w14:paraId="5F37DEC2" w14:textId="77777777">
      <w:pPr>
        <w:spacing w:line="276" w:lineRule="auto"/>
        <w:ind w:firstLine="708"/>
        <w:jc w:val="both"/>
        <w:rPr>
          <w:rFonts w:ascii="Arial" w:hAnsi="Arial" w:cs="Arial" w:eastAsiaTheme="minorHAnsi"/>
          <w:bCs/>
          <w:sz w:val="22"/>
          <w:szCs w:val="22"/>
          <w:lang w:val="es-MX" w:eastAsia="x-none"/>
        </w:rPr>
      </w:pPr>
    </w:p>
    <w:p w:rsidRPr="0051586B" w:rsidR="008F1F27" w:rsidP="008F1F27" w:rsidRDefault="008F1F27" w14:paraId="7D698F2A" w14:textId="77777777">
      <w:pPr>
        <w:ind w:left="708" w:right="709"/>
        <w:jc w:val="both"/>
        <w:rPr>
          <w:rFonts w:ascii="Arial" w:hAnsi="Arial" w:cs="Arial" w:eastAsiaTheme="minorHAnsi"/>
          <w:bCs/>
          <w:sz w:val="21"/>
          <w:szCs w:val="21"/>
          <w:lang w:val="es-MX" w:eastAsia="es-CO"/>
        </w:rPr>
      </w:pPr>
      <w:r w:rsidRPr="0051586B">
        <w:rPr>
          <w:rFonts w:ascii="Arial" w:hAnsi="Arial" w:eastAsia="Calibri" w:cs="Arial"/>
          <w:sz w:val="21"/>
          <w:szCs w:val="21"/>
          <w:lang w:val="es-ES" w:eastAsia="en-US"/>
        </w:rPr>
        <w:t>«</w:t>
      </w:r>
      <w:r w:rsidRPr="0051586B">
        <w:rPr>
          <w:rFonts w:ascii="Arial" w:hAnsi="Arial" w:cs="Arial" w:eastAsiaTheme="minorHAnsi"/>
          <w:bCs/>
          <w:sz w:val="21"/>
          <w:szCs w:val="21"/>
          <w:lang w:val="es-MX" w:eastAsia="x-none"/>
        </w:rPr>
        <w:t xml:space="preserve">El artículo 33 de la ley 996 de 2005, </w:t>
      </w:r>
      <w:bookmarkStart w:name="_Hlk75787147" w:id="9"/>
      <w:r w:rsidRPr="0051586B">
        <w:rPr>
          <w:rFonts w:ascii="Arial" w:hAnsi="Arial" w:cs="Arial" w:eastAsiaTheme="minorHAnsi"/>
          <w:bCs/>
          <w:sz w:val="21"/>
          <w:szCs w:val="21"/>
          <w:lang w:val="es-MX" w:eastAsia="x-none"/>
        </w:rPr>
        <w:t>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51586B">
        <w:rPr>
          <w:rFonts w:ascii="Arial" w:hAnsi="Arial" w:cs="Arial" w:eastAsiaTheme="minorHAnsi"/>
          <w:sz w:val="21"/>
          <w:szCs w:val="21"/>
          <w:lang w:val="es-ES" w:eastAsia="en-US"/>
        </w:rPr>
        <w:t>»</w:t>
      </w:r>
      <w:r w:rsidRPr="0051586B">
        <w:rPr>
          <w:rFonts w:ascii="Arial" w:hAnsi="Arial" w:cs="Arial" w:eastAsiaTheme="minorHAnsi"/>
          <w:bCs/>
          <w:sz w:val="21"/>
          <w:szCs w:val="21"/>
          <w:vertAlign w:val="superscript"/>
          <w:lang w:val="es-MX" w:eastAsia="x-none"/>
        </w:rPr>
        <w:footnoteReference w:id="19"/>
      </w:r>
      <w:r w:rsidRPr="0051586B">
        <w:rPr>
          <w:rFonts w:ascii="Arial" w:hAnsi="Arial" w:cs="Arial" w:eastAsiaTheme="minorHAnsi"/>
          <w:bCs/>
          <w:sz w:val="21"/>
          <w:szCs w:val="21"/>
          <w:lang w:val="es-MX" w:eastAsia="es-CO"/>
        </w:rPr>
        <w:t xml:space="preserve"> </w:t>
      </w:r>
    </w:p>
    <w:p w:rsidRPr="0051586B" w:rsidR="008F1F27" w:rsidP="008F1F27" w:rsidRDefault="008F1F27" w14:paraId="55A64487" w14:textId="77777777">
      <w:pPr>
        <w:spacing w:line="276" w:lineRule="auto"/>
        <w:ind w:firstLine="708"/>
        <w:jc w:val="both"/>
        <w:rPr>
          <w:rFonts w:ascii="Arial" w:hAnsi="Arial" w:cs="Arial" w:eastAsiaTheme="minorHAnsi"/>
          <w:bCs/>
          <w:sz w:val="22"/>
          <w:szCs w:val="22"/>
          <w:lang w:val="es-MX" w:eastAsia="es-CO"/>
        </w:rPr>
      </w:pPr>
    </w:p>
    <w:p w:rsidRPr="0051586B" w:rsidR="008F1F27" w:rsidP="008F1F27" w:rsidRDefault="008F1F27" w14:paraId="669FDC10" w14:textId="77777777">
      <w:pPr>
        <w:spacing w:line="276" w:lineRule="auto"/>
        <w:ind w:firstLine="708"/>
        <w:jc w:val="both"/>
        <w:rPr>
          <w:rFonts w:ascii="Arial" w:hAnsi="Arial" w:cs="Arial" w:eastAsiaTheme="minorHAnsi"/>
          <w:sz w:val="22"/>
          <w:szCs w:val="22"/>
          <w:lang w:val="es-MX" w:eastAsia="en-US"/>
        </w:rPr>
      </w:pPr>
      <w:r w:rsidRPr="0051586B">
        <w:rPr>
          <w:rFonts w:ascii="Arial" w:hAnsi="Arial" w:cs="Arial" w:eastAsiaTheme="minorHAnsi"/>
          <w:bCs/>
          <w:sz w:val="22"/>
          <w:szCs w:val="22"/>
          <w:lang w:val="es-MX" w:eastAsia="x-none"/>
        </w:rPr>
        <w:t>De igual forma, 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name="_Hlk75635823" w:id="10"/>
      <w:r w:rsidRPr="0051586B">
        <w:rPr>
          <w:rFonts w:ascii="Arial" w:hAnsi="Arial" w:cs="Arial" w:eastAsiaTheme="minorHAnsi"/>
          <w:bCs/>
          <w:sz w:val="22"/>
          <w:szCs w:val="22"/>
          <w:lang w:val="es-MX" w:eastAsia="x-none"/>
        </w:rPr>
        <w:t>»</w:t>
      </w:r>
      <w:bookmarkStart w:name="_Hlk75758868" w:id="11"/>
      <w:bookmarkStart w:name="_Hlk75741220" w:id="12"/>
      <w:bookmarkEnd w:id="10"/>
      <w:r w:rsidRPr="0051586B">
        <w:rPr>
          <w:rFonts w:ascii="Arial" w:hAnsi="Arial" w:cs="Arial" w:eastAsiaTheme="minorHAnsi"/>
          <w:szCs w:val="22"/>
          <w:vertAlign w:val="superscript"/>
          <w:lang w:val="es-MX" w:eastAsia="en-US"/>
        </w:rPr>
        <w:footnoteReference w:id="20"/>
      </w:r>
      <w:bookmarkEnd w:id="11"/>
      <w:bookmarkEnd w:id="12"/>
      <w:r w:rsidRPr="0051586B">
        <w:rPr>
          <w:rFonts w:ascii="Arial" w:hAnsi="Arial" w:cs="Arial" w:eastAsiaTheme="minorHAnsi"/>
          <w:bCs/>
          <w:sz w:val="22"/>
          <w:szCs w:val="22"/>
          <w:lang w:val="es-MX" w:eastAsia="x-none"/>
        </w:rPr>
        <w:t>.</w:t>
      </w:r>
      <w:r w:rsidRPr="0051586B">
        <w:rPr>
          <w:rFonts w:ascii="Arial" w:hAnsi="Arial" w:cs="Arial" w:eastAsiaTheme="minorHAnsi"/>
          <w:sz w:val="22"/>
          <w:szCs w:val="22"/>
          <w:lang w:val="es-MX" w:eastAsia="en-US"/>
        </w:rPr>
        <w:t xml:space="preserve"> Sin embargo, debe precisarse el siguiente aspecto que distinguió la Sala de Consulta y Servicio Civil:</w:t>
      </w:r>
    </w:p>
    <w:p w:rsidRPr="0051586B" w:rsidR="008F1F27" w:rsidP="008F1F27" w:rsidRDefault="008F1F27" w14:paraId="1DCA36AB" w14:textId="77777777">
      <w:pPr>
        <w:spacing w:line="276" w:lineRule="auto"/>
        <w:jc w:val="both"/>
        <w:rPr>
          <w:rFonts w:ascii="Arial" w:hAnsi="Arial" w:cs="Arial" w:eastAsiaTheme="minorHAnsi"/>
          <w:sz w:val="22"/>
          <w:szCs w:val="22"/>
          <w:lang w:val="es-MX" w:eastAsia="en-US"/>
        </w:rPr>
      </w:pPr>
    </w:p>
    <w:p w:rsidRPr="0051586B" w:rsidR="008F1F27" w:rsidP="008F1F27" w:rsidRDefault="008F1F27" w14:paraId="71A00454" w14:textId="77777777">
      <w:pPr>
        <w:ind w:left="708" w:right="709"/>
        <w:jc w:val="both"/>
        <w:rPr>
          <w:rFonts w:ascii="Arial" w:hAnsi="Arial" w:cs="Arial" w:eastAsiaTheme="minorHAnsi"/>
          <w:sz w:val="21"/>
          <w:szCs w:val="21"/>
          <w:lang w:val="es-MX" w:eastAsia="en-US"/>
        </w:rPr>
      </w:pPr>
      <w:bookmarkStart w:name="_Hlk75811446" w:id="14"/>
      <w:r w:rsidRPr="0051586B">
        <w:rPr>
          <w:rFonts w:ascii="Arial" w:hAnsi="Arial" w:eastAsia="Calibri" w:cs="Arial"/>
          <w:sz w:val="21"/>
          <w:szCs w:val="21"/>
          <w:lang w:val="es-ES" w:eastAsia="en-US"/>
        </w:rPr>
        <w:t>«</w:t>
      </w:r>
      <w:r w:rsidRPr="0051586B">
        <w:rPr>
          <w:rFonts w:ascii="Arial" w:hAnsi="Arial" w:cs="Arial" w:eastAsiaTheme="minorHAnsi"/>
          <w:sz w:val="21"/>
          <w:szCs w:val="21"/>
          <w:lang w:val="es-MX" w:eastAsia="en-US"/>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14"/>
      <w:r w:rsidRPr="0051586B">
        <w:rPr>
          <w:rFonts w:ascii="Arial" w:hAnsi="Arial" w:cs="Arial" w:eastAsiaTheme="minorHAnsi"/>
          <w:sz w:val="21"/>
          <w:szCs w:val="21"/>
          <w:lang w:val="es-MX" w:eastAsia="en-US"/>
        </w:rPr>
        <w:t>.</w:t>
      </w:r>
      <w:r w:rsidRPr="0051586B">
        <w:rPr>
          <w:rFonts w:ascii="Arial" w:hAnsi="Arial" w:cs="Arial" w:eastAsiaTheme="minorHAnsi"/>
          <w:sz w:val="21"/>
          <w:szCs w:val="21"/>
          <w:lang w:val="es-ES" w:eastAsia="en-US"/>
        </w:rPr>
        <w:t>»</w:t>
      </w:r>
      <w:r w:rsidRPr="0051586B">
        <w:rPr>
          <w:rFonts w:ascii="Arial" w:hAnsi="Arial" w:cs="Arial" w:eastAsiaTheme="minorHAnsi"/>
          <w:szCs w:val="22"/>
          <w:vertAlign w:val="superscript"/>
          <w:lang w:val="es-MX" w:eastAsia="en-US"/>
        </w:rPr>
        <w:footnoteReference w:id="21"/>
      </w:r>
      <w:r w:rsidRPr="0051586B">
        <w:rPr>
          <w:rFonts w:ascii="Arial" w:hAnsi="Arial" w:cs="Arial" w:eastAsiaTheme="minorHAnsi"/>
          <w:sz w:val="21"/>
          <w:szCs w:val="21"/>
          <w:lang w:val="es-ES" w:eastAsia="en-US"/>
        </w:rPr>
        <w:t xml:space="preserve"> </w:t>
      </w:r>
    </w:p>
    <w:p w:rsidRPr="0051586B" w:rsidR="008F1F27" w:rsidP="008F1F27" w:rsidRDefault="008F1F27" w14:paraId="22D2EBED" w14:textId="77777777">
      <w:pPr>
        <w:spacing w:line="276" w:lineRule="auto"/>
        <w:jc w:val="both"/>
        <w:rPr>
          <w:rFonts w:ascii="Arial" w:hAnsi="Arial" w:cs="Arial" w:eastAsiaTheme="minorHAnsi"/>
          <w:sz w:val="22"/>
          <w:szCs w:val="22"/>
          <w:lang w:val="es-MX" w:eastAsia="en-US"/>
        </w:rPr>
      </w:pPr>
    </w:p>
    <w:p w:rsidRPr="0051586B" w:rsidR="008F1F27" w:rsidP="008F1F27" w:rsidRDefault="008F1F27" w14:paraId="10B19BAC" w14:textId="77777777">
      <w:pPr>
        <w:spacing w:after="120" w:line="276" w:lineRule="auto"/>
        <w:ind w:firstLine="709"/>
        <w:jc w:val="both"/>
        <w:rPr>
          <w:rFonts w:ascii="Arial" w:hAnsi="Arial" w:cs="Arial" w:eastAsiaTheme="minorHAnsi"/>
          <w:bCs/>
          <w:sz w:val="22"/>
          <w:szCs w:val="22"/>
          <w:lang w:val="es-MX" w:eastAsia="x-none"/>
        </w:rPr>
      </w:pPr>
      <w:r w:rsidRPr="0051586B">
        <w:rPr>
          <w:rFonts w:ascii="Arial" w:hAnsi="Arial" w:cs="Arial" w:eastAsiaTheme="minorHAnsi"/>
          <w:sz w:val="22"/>
          <w:szCs w:val="22"/>
          <w:lang w:val="es-MX" w:eastAsia="en-US"/>
        </w:rPr>
        <w:t>Aplicando este razonamiento,</w:t>
      </w:r>
      <w:bookmarkStart w:name="_Hlk75811096" w:id="15"/>
      <w:r w:rsidRPr="0051586B">
        <w:rPr>
          <w:rFonts w:ascii="Arial" w:hAnsi="Arial" w:cs="Arial" w:eastAsiaTheme="minorHAnsi"/>
          <w:sz w:val="22"/>
          <w:szCs w:val="22"/>
          <w:lang w:val="es-MX" w:eastAsia="en-US"/>
        </w:rPr>
        <w:t xml:space="preserve"> se tiene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15"/>
      <w:r w:rsidRPr="0051586B">
        <w:rPr>
          <w:rFonts w:ascii="Arial" w:hAnsi="Arial" w:cs="Arial" w:eastAsiaTheme="minorHAnsi"/>
          <w:sz w:val="22"/>
          <w:szCs w:val="22"/>
          <w:lang w:val="es-MX" w:eastAsia="en-US"/>
        </w:rPr>
        <w:t>»</w:t>
      </w:r>
      <w:r w:rsidRPr="0051586B">
        <w:rPr>
          <w:rFonts w:ascii="Arial" w:hAnsi="Arial" w:cs="Arial" w:eastAsiaTheme="minorHAnsi"/>
          <w:szCs w:val="22"/>
          <w:vertAlign w:val="superscript"/>
          <w:lang w:val="es-MX" w:eastAsia="en-US"/>
        </w:rPr>
        <w:t xml:space="preserve"> </w:t>
      </w:r>
      <w:r w:rsidRPr="0051586B">
        <w:rPr>
          <w:rFonts w:ascii="Arial" w:hAnsi="Arial" w:cs="Arial" w:eastAsiaTheme="minorHAnsi"/>
          <w:sz w:val="22"/>
          <w:szCs w:val="22"/>
          <w:vertAlign w:val="superscript"/>
          <w:lang w:val="es-MX" w:eastAsia="en-US"/>
        </w:rPr>
        <w:footnoteReference w:id="22"/>
      </w:r>
      <w:r w:rsidRPr="0051586B">
        <w:rPr>
          <w:rFonts w:ascii="Arial" w:hAnsi="Arial" w:cs="Arial" w:eastAsiaTheme="minorHAnsi"/>
          <w:sz w:val="22"/>
          <w:szCs w:val="22"/>
          <w:lang w:val="es-MX" w:eastAsia="en-US"/>
        </w:rPr>
        <w:t>.</w:t>
      </w:r>
    </w:p>
    <w:bookmarkEnd w:id="9"/>
    <w:p w:rsidRPr="0051586B" w:rsidR="008F1F27" w:rsidP="008F1F27" w:rsidRDefault="008F1F27" w14:paraId="08ADCE49" w14:textId="77777777">
      <w:pPr>
        <w:spacing w:before="120" w:line="276" w:lineRule="auto"/>
        <w:ind w:firstLine="708"/>
        <w:jc w:val="both"/>
        <w:rPr>
          <w:rFonts w:ascii="Arial" w:hAnsi="Arial" w:eastAsia="Arial" w:cs="Arial"/>
          <w:sz w:val="22"/>
          <w:szCs w:val="22"/>
          <w:lang w:val="es-ES" w:eastAsia="es-ES" w:bidi="es-ES"/>
        </w:rPr>
      </w:pPr>
      <w:r w:rsidRPr="0051586B">
        <w:rPr>
          <w:rFonts w:ascii="Arial" w:hAnsi="Arial" w:cs="Arial" w:eastAsiaTheme="minorHAnsi"/>
          <w:sz w:val="22"/>
          <w:szCs w:val="22"/>
          <w:lang w:val="es-MX" w:eastAsia="en-US"/>
        </w:rPr>
        <w:lastRenderedPageBreak/>
        <w:t xml:space="preserve">Por lo tanto, la restricción prevista en la Ley 996 de 2005, </w:t>
      </w:r>
      <w:bookmarkStart w:name="_Hlk95735475" w:id="16"/>
      <w:r w:rsidRPr="0051586B">
        <w:rPr>
          <w:rFonts w:ascii="Arial" w:hAnsi="Arial" w:cs="Arial" w:eastAsiaTheme="minorHAnsi"/>
          <w:bCs/>
          <w:sz w:val="22"/>
          <w:szCs w:val="22"/>
          <w:lang w:val="es-MX" w:eastAsia="x-none"/>
        </w:rPr>
        <w:t xml:space="preserve">teniendo en cuenta la finalidad de la ley de garantías electorales, cobija a cualquier ente público que pueda a través de la contratación directa romper el equilibrio entre los candidatos en desarrollo de las elecciones presidenciales. </w:t>
      </w:r>
      <w:bookmarkEnd w:id="16"/>
      <w:r w:rsidRPr="0051586B">
        <w:rPr>
          <w:rFonts w:ascii="Arial" w:hAnsi="Arial" w:cs="Arial" w:eastAsiaTheme="minorHAnsi"/>
          <w:bCs/>
          <w:sz w:val="22"/>
          <w:szCs w:val="22"/>
          <w:lang w:val="es-MX" w:eastAsia="x-none"/>
        </w:rPr>
        <w:t>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rsidRPr="0051586B" w:rsidR="008F1F27" w:rsidP="008F1F27" w:rsidRDefault="008F1F27" w14:paraId="0ECF6DDC" w14:textId="77777777">
      <w:pPr>
        <w:ind w:left="720"/>
        <w:contextualSpacing/>
        <w:rPr>
          <w:rFonts w:ascii="Arial" w:hAnsi="Arial" w:cs="Arial"/>
          <w:b/>
          <w:sz w:val="22"/>
          <w:lang w:val="es-ES_tradnl" w:eastAsia="en-US"/>
        </w:rPr>
      </w:pPr>
    </w:p>
    <w:p w:rsidR="008F1F27" w:rsidP="008F1F27" w:rsidRDefault="008F1F27" w14:paraId="46B65242" w14:textId="77777777">
      <w:pPr>
        <w:spacing w:after="200" w:line="276" w:lineRule="auto"/>
        <w:contextualSpacing/>
        <w:jc w:val="both"/>
        <w:rPr>
          <w:rFonts w:ascii="Arial" w:hAnsi="Arial" w:cs="Arial" w:eastAsiaTheme="minorHAnsi"/>
          <w:b/>
          <w:bCs/>
          <w:sz w:val="22"/>
          <w:szCs w:val="22"/>
          <w:lang w:val="es-MX" w:eastAsia="es-CO"/>
        </w:rPr>
      </w:pPr>
      <w:bookmarkStart w:name="_Hlk77153296" w:id="17"/>
      <w:r>
        <w:rPr>
          <w:rFonts w:ascii="Arial" w:hAnsi="Arial" w:cs="Arial" w:eastAsiaTheme="minorHAnsi"/>
          <w:b/>
          <w:bCs/>
          <w:sz w:val="22"/>
          <w:szCs w:val="22"/>
          <w:lang w:val="es-MX" w:eastAsia="es-CO"/>
        </w:rPr>
        <w:t>2.4</w:t>
      </w:r>
      <w:bookmarkStart w:name="_Hlk75643279" w:id="18"/>
      <w:r>
        <w:rPr>
          <w:rFonts w:ascii="Arial" w:hAnsi="Arial" w:cs="Arial" w:eastAsiaTheme="minorHAnsi"/>
          <w:b/>
          <w:bCs/>
          <w:sz w:val="22"/>
          <w:szCs w:val="22"/>
          <w:lang w:val="es-MX" w:eastAsia="es-CO"/>
        </w:rPr>
        <w:t>. Régimen jurídico de los convenios solidarios: generalidades</w:t>
      </w:r>
    </w:p>
    <w:p w:rsidRPr="0051586B" w:rsidR="008F1F27" w:rsidP="008F1F27" w:rsidRDefault="008F1F27" w14:paraId="5B7E96CD" w14:textId="77777777">
      <w:pPr>
        <w:spacing w:after="200" w:line="276" w:lineRule="auto"/>
        <w:contextualSpacing/>
        <w:jc w:val="both"/>
        <w:rPr>
          <w:rFonts w:ascii="Arial" w:hAnsi="Arial" w:cs="Arial" w:eastAsiaTheme="minorHAnsi"/>
          <w:b/>
          <w:bCs/>
          <w:sz w:val="22"/>
          <w:szCs w:val="22"/>
          <w:lang w:val="es-MX" w:eastAsia="en-US"/>
        </w:rPr>
      </w:pPr>
    </w:p>
    <w:bookmarkEnd w:id="17"/>
    <w:bookmarkEnd w:id="18"/>
    <w:p w:rsidRPr="00652974" w:rsidR="008F1F27" w:rsidP="008F1F27" w:rsidRDefault="008F1F27" w14:paraId="226C14BC" w14:textId="77777777">
      <w:pPr>
        <w:spacing w:after="120" w:line="276" w:lineRule="auto"/>
        <w:jc w:val="both"/>
        <w:rPr>
          <w:rFonts w:ascii="Arial" w:hAnsi="Arial" w:eastAsia="Calibri" w:cs="Arial"/>
          <w:color w:val="000000" w:themeColor="text1"/>
          <w:sz w:val="22"/>
          <w:szCs w:val="22"/>
          <w:lang w:val="es-ES"/>
        </w:rPr>
      </w:pPr>
      <w:r w:rsidRPr="00652974">
        <w:rPr>
          <w:rFonts w:ascii="Arial" w:hAnsi="Arial" w:eastAsia="Calibri" w:cs="Arial"/>
          <w:color w:val="000000" w:themeColor="text1"/>
          <w:sz w:val="22"/>
          <w:szCs w:val="22"/>
          <w:lang w:val="es-ES"/>
        </w:rPr>
        <w:t>La contratación estatal con entidades privadas sin ánimo de lucro encuentra su fundamento en el artículo 355 de la Constitución Política, el cual, tras proscribir cualquier tipo de donación por parte del Estado a personas de derecho privado, determina que:</w:t>
      </w:r>
    </w:p>
    <w:p w:rsidRPr="00652974" w:rsidR="008F1F27" w:rsidP="008F1F27" w:rsidRDefault="008F1F27" w14:paraId="2764371B" w14:textId="77777777">
      <w:pPr>
        <w:spacing w:after="120"/>
        <w:ind w:left="709" w:right="709"/>
        <w:jc w:val="both"/>
        <w:rPr>
          <w:rFonts w:ascii="Arial" w:hAnsi="Arial" w:eastAsia="Calibri" w:cs="Arial"/>
          <w:color w:val="000000" w:themeColor="text1"/>
          <w:sz w:val="22"/>
          <w:szCs w:val="22"/>
          <w:lang w:val="es-ES"/>
        </w:rPr>
      </w:pPr>
      <w:r w:rsidRPr="00652974">
        <w:rPr>
          <w:rFonts w:ascii="Arial" w:hAnsi="Arial" w:eastAsia="Calibri" w:cs="Arial"/>
          <w:color w:val="000000" w:themeColor="text1"/>
          <w:sz w:val="22"/>
          <w:szCs w:val="22"/>
          <w:lang w:val="es-ES"/>
        </w:rPr>
        <w:t xml:space="preserve">«El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w:t>
      </w:r>
    </w:p>
    <w:p w:rsidRPr="00652974" w:rsidR="008F1F27" w:rsidP="008F1F27" w:rsidRDefault="008F1F27" w14:paraId="4AA2D33C" w14:textId="77777777">
      <w:pPr>
        <w:spacing w:after="120" w:line="276" w:lineRule="auto"/>
        <w:ind w:firstLine="708"/>
        <w:jc w:val="both"/>
        <w:rPr>
          <w:rFonts w:ascii="Arial" w:hAnsi="Arial" w:eastAsia="Calibri" w:cs="Arial"/>
          <w:color w:val="000000" w:themeColor="text1"/>
          <w:sz w:val="22"/>
          <w:szCs w:val="22"/>
          <w:lang w:val="es-ES"/>
        </w:rPr>
      </w:pPr>
      <w:r w:rsidRPr="00652974">
        <w:rPr>
          <w:rFonts w:ascii="Arial" w:hAnsi="Arial" w:eastAsia="Calibri" w:cs="Arial"/>
          <w:color w:val="000000" w:themeColor="text1"/>
          <w:sz w:val="22"/>
          <w:szCs w:val="22"/>
          <w:lang w:val="es-ES"/>
        </w:rPr>
        <w:t>A su vez, el referido mandato constitucional faculta al Gobierno Nacional para efectuar la respectiva reglamentación en la materia. En concordancia con lo establecido en el artículo 355, la Ley 136 de 1994 introdujo un tipo especial de contratación cuyo objetivo consiste en la celebración de convenios solidarios. De conformidad con lo dispuesto en el</w:t>
      </w:r>
      <w:r>
        <w:rPr>
          <w:rFonts w:ascii="Arial" w:hAnsi="Arial" w:eastAsia="Calibri" w:cs="Arial"/>
          <w:color w:val="000000" w:themeColor="text1"/>
          <w:sz w:val="22"/>
          <w:szCs w:val="22"/>
          <w:lang w:val="es-ES"/>
        </w:rPr>
        <w:t xml:space="preserve"> artículo 3</w:t>
      </w:r>
      <w:r w:rsidRPr="00652974">
        <w:rPr>
          <w:rFonts w:ascii="Arial" w:hAnsi="Arial" w:eastAsia="Calibri" w:cs="Arial"/>
          <w:color w:val="000000" w:themeColor="text1"/>
          <w:sz w:val="22"/>
          <w:szCs w:val="22"/>
          <w:lang w:val="es-ES"/>
        </w:rPr>
        <w:t xml:space="preserve"> parágrafo tercero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  </w:t>
      </w:r>
    </w:p>
    <w:p w:rsidRPr="00652974" w:rsidR="008F1F27" w:rsidP="008F1F27" w:rsidRDefault="008F1F27" w14:paraId="638E8920" w14:textId="77777777">
      <w:pPr>
        <w:spacing w:after="120" w:line="276" w:lineRule="auto"/>
        <w:ind w:firstLine="708"/>
        <w:jc w:val="both"/>
        <w:rPr>
          <w:rFonts w:ascii="Arial" w:hAnsi="Arial" w:eastAsia="Calibri" w:cs="Arial"/>
          <w:color w:val="000000" w:themeColor="text1"/>
          <w:sz w:val="22"/>
          <w:szCs w:val="22"/>
          <w:lang w:val="es-ES"/>
        </w:rPr>
      </w:pPr>
      <w:r w:rsidRPr="00652974">
        <w:rPr>
          <w:rFonts w:ascii="Arial" w:hAnsi="Arial" w:eastAsia="Calibri" w:cs="Arial"/>
          <w:color w:val="000000" w:themeColor="text1"/>
          <w:sz w:val="22"/>
          <w:szCs w:val="22"/>
          <w:lang w:val="es-ES"/>
        </w:rPr>
        <w:t>En este sentido, reiterando la tesis expuesta por esta Agencia mediante concepto C – 140 del 31 de marzo de 2020, el artículo tercero de la Ley 136 de 1994, modificado por la Ley 1551 de 2012, determina tres alternativas mediante las cuales las entidades territoriales pueden celebrar convenios solidarios con organismos de acción comunal, las cuales se enlistan a continuación:</w:t>
      </w:r>
    </w:p>
    <w:p w:rsidRPr="00652974" w:rsidR="008F1F27" w:rsidP="008F1F27" w:rsidRDefault="008F1F27" w14:paraId="6E2F72C7" w14:textId="77777777">
      <w:pPr>
        <w:spacing w:after="120" w:line="276" w:lineRule="auto"/>
        <w:ind w:firstLine="708"/>
        <w:jc w:val="both"/>
        <w:rPr>
          <w:rFonts w:ascii="Arial" w:hAnsi="Arial" w:eastAsia="Calibri" w:cs="Arial"/>
          <w:color w:val="000000" w:themeColor="text1"/>
          <w:sz w:val="22"/>
          <w:szCs w:val="22"/>
          <w:lang w:val="es-ES"/>
        </w:rPr>
      </w:pPr>
      <w:r w:rsidRPr="00652974">
        <w:rPr>
          <w:rFonts w:ascii="Arial" w:hAnsi="Arial" w:eastAsia="Calibri" w:cs="Arial"/>
          <w:color w:val="000000" w:themeColor="text1"/>
          <w:sz w:val="22"/>
          <w:szCs w:val="22"/>
          <w:lang w:val="es-ES"/>
        </w:rPr>
        <w:t xml:space="preserve">i) En primer lugar, las entidades territoriales del orden municipal o distrital pueden celebrar convenios solidarios con organismos de acción comunal «[…] para el desarrollo </w:t>
      </w:r>
      <w:r w:rsidRPr="00652974">
        <w:rPr>
          <w:rFonts w:ascii="Arial" w:hAnsi="Arial" w:eastAsia="Calibri" w:cs="Arial"/>
          <w:color w:val="000000" w:themeColor="text1"/>
          <w:sz w:val="22"/>
          <w:szCs w:val="22"/>
          <w:lang w:val="es-ES"/>
        </w:rPr>
        <w:lastRenderedPageBreak/>
        <w:t>conjunto de programas y actividades establecidas por la Ley a los municipios y distritos, acorde con sus planes y desarrollos»</w:t>
      </w:r>
      <w:r w:rsidRPr="00652974">
        <w:rPr>
          <w:rFonts w:ascii="Arial" w:hAnsi="Arial" w:eastAsia="Calibri" w:cs="Arial"/>
          <w:sz w:val="22"/>
          <w:szCs w:val="22"/>
          <w:vertAlign w:val="superscript"/>
        </w:rPr>
        <w:footnoteReference w:id="23"/>
      </w:r>
      <w:r w:rsidRPr="00652974">
        <w:rPr>
          <w:rFonts w:ascii="Arial" w:hAnsi="Arial" w:eastAsia="Calibri" w:cs="Arial"/>
          <w:color w:val="000000" w:themeColor="text1"/>
          <w:sz w:val="22"/>
          <w:szCs w:val="22"/>
          <w:lang w:val="es-ES"/>
        </w:rPr>
        <w:t>.</w:t>
      </w:r>
    </w:p>
    <w:p w:rsidRPr="00652974" w:rsidR="008F1F27" w:rsidP="008F1F27" w:rsidRDefault="008F1F27" w14:paraId="2D533A8C" w14:textId="77777777">
      <w:pPr>
        <w:spacing w:after="120" w:line="276" w:lineRule="auto"/>
        <w:ind w:firstLine="708"/>
        <w:jc w:val="both"/>
        <w:rPr>
          <w:rFonts w:ascii="Arial" w:hAnsi="Arial" w:eastAsia="Calibri" w:cs="Arial"/>
          <w:color w:val="000000" w:themeColor="text1"/>
          <w:sz w:val="22"/>
          <w:szCs w:val="22"/>
          <w:lang w:val="es-ES"/>
        </w:rPr>
      </w:pPr>
      <w:r w:rsidRPr="00652974">
        <w:rPr>
          <w:rFonts w:ascii="Arial" w:hAnsi="Arial" w:eastAsia="Calibri" w:cs="Arial"/>
          <w:color w:val="000000" w:themeColor="text1"/>
          <w:sz w:val="22"/>
          <w:szCs w:val="22"/>
          <w:lang w:val="es-ES"/>
        </w:rPr>
        <w:t xml:space="preserve">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rsidR="008F1F27" w:rsidP="008F1F27" w:rsidRDefault="008F1F27" w14:paraId="6CF9E93E" w14:textId="77777777">
      <w:pPr>
        <w:spacing w:line="276" w:lineRule="auto"/>
        <w:ind w:firstLine="709"/>
        <w:jc w:val="both"/>
        <w:rPr>
          <w:rFonts w:ascii="Arial" w:hAnsi="Arial" w:eastAsia="Calibri" w:cs="Arial"/>
          <w:color w:val="000000" w:themeColor="text1"/>
          <w:sz w:val="22"/>
          <w:szCs w:val="22"/>
          <w:lang w:val="es-ES"/>
        </w:rPr>
      </w:pPr>
      <w:r w:rsidRPr="00652974">
        <w:rPr>
          <w:rFonts w:ascii="Arial" w:hAnsi="Arial" w:eastAsia="Calibri" w:cs="Arial"/>
          <w:color w:val="000000" w:themeColor="text1"/>
          <w:sz w:val="22"/>
          <w:szCs w:val="22"/>
          <w:lang w:val="es-ES"/>
        </w:rPr>
        <w:t xml:space="preserve">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rsidR="008F1F27" w:rsidP="008F1F27" w:rsidRDefault="008F1F27" w14:paraId="4A75EE4D" w14:textId="77777777">
      <w:pPr>
        <w:spacing w:line="276" w:lineRule="auto"/>
        <w:ind w:firstLine="709"/>
        <w:jc w:val="both"/>
        <w:rPr>
          <w:rFonts w:ascii="Arial" w:hAnsi="Arial" w:eastAsia="Calibri" w:cs="Arial"/>
          <w:color w:val="000000" w:themeColor="text1"/>
          <w:sz w:val="22"/>
          <w:szCs w:val="22"/>
          <w:lang w:val="es-ES"/>
        </w:rPr>
      </w:pPr>
    </w:p>
    <w:p w:rsidRPr="007E22FC" w:rsidR="008F1F27" w:rsidP="008F1F27" w:rsidRDefault="008F1F27" w14:paraId="2943E6B3" w14:textId="77777777">
      <w:pPr>
        <w:spacing w:line="276" w:lineRule="auto"/>
        <w:contextualSpacing/>
        <w:jc w:val="both"/>
        <w:rPr>
          <w:rFonts w:ascii="Arial" w:hAnsi="Arial" w:cs="Arial" w:eastAsiaTheme="minorHAnsi"/>
          <w:b/>
          <w:sz w:val="22"/>
          <w:lang w:val="es-ES_tradnl" w:eastAsia="en-US"/>
        </w:rPr>
      </w:pPr>
      <w:r>
        <w:rPr>
          <w:rFonts w:ascii="Arial" w:hAnsi="Arial" w:cs="Arial" w:eastAsiaTheme="minorHAnsi"/>
          <w:b/>
          <w:sz w:val="22"/>
          <w:lang w:val="es-ES_tradnl" w:eastAsia="en-US"/>
        </w:rPr>
        <w:t>2.5.</w:t>
      </w:r>
      <w:r w:rsidRPr="0051586B">
        <w:rPr>
          <w:rFonts w:ascii="Arial" w:hAnsi="Arial" w:cs="Arial" w:eastAsiaTheme="minorHAnsi"/>
          <w:b/>
          <w:sz w:val="22"/>
          <w:lang w:val="es-ES_tradnl" w:eastAsia="en-US"/>
        </w:rPr>
        <w:t xml:space="preserve"> </w:t>
      </w:r>
      <w:r>
        <w:rPr>
          <w:rFonts w:ascii="Arial" w:hAnsi="Arial" w:cs="Arial" w:eastAsiaTheme="minorHAnsi"/>
          <w:b/>
          <w:sz w:val="22"/>
          <w:lang w:val="es-ES_tradnl" w:eastAsia="en-US"/>
        </w:rPr>
        <w:t>Contratación directa como modalidad de selección de los convenios solidarios: aplicación de la prohibición del artículo 33 de la Ley 996 de 2005</w:t>
      </w:r>
    </w:p>
    <w:p w:rsidRPr="0051586B" w:rsidR="008F1F27" w:rsidP="008F1F27" w:rsidRDefault="008F1F27" w14:paraId="2CF63BFE" w14:textId="77777777">
      <w:pPr>
        <w:jc w:val="both"/>
        <w:textAlignment w:val="baseline"/>
        <w:rPr>
          <w:rFonts w:ascii="Arial" w:hAnsi="Arial" w:cs="Arial" w:eastAsiaTheme="minorHAnsi"/>
          <w:sz w:val="22"/>
          <w:lang w:val="es-ES_tradnl" w:eastAsia="es-ES_tradnl"/>
        </w:rPr>
      </w:pPr>
    </w:p>
    <w:p w:rsidR="008F1F27" w:rsidP="008F1F27" w:rsidRDefault="008F1F27" w14:paraId="7D684661" w14:textId="77777777">
      <w:pPr>
        <w:spacing w:after="120" w:line="276" w:lineRule="auto"/>
        <w:jc w:val="both"/>
        <w:rPr>
          <w:rFonts w:ascii="Arial" w:hAnsi="Arial" w:eastAsia="Calibri" w:cs="Arial"/>
          <w:color w:val="000000" w:themeColor="text1"/>
          <w:sz w:val="22"/>
          <w:szCs w:val="22"/>
          <w:lang w:val="es-ES"/>
        </w:rPr>
      </w:pPr>
      <w:r w:rsidRPr="00652974">
        <w:rPr>
          <w:rFonts w:ascii="Arial" w:hAnsi="Arial" w:cs="Arial"/>
          <w:color w:val="000000" w:themeColor="text1"/>
          <w:sz w:val="22"/>
          <w:szCs w:val="22"/>
          <w:lang w:val="es-ES"/>
        </w:rPr>
        <w:t xml:space="preserve">Del recuento normativo antes expuesto se desprende que la legislación vigente establece tres regímenes para celebrar los convenios solidarios definidos por la Ley 136 de 1994. </w:t>
      </w:r>
      <w:r w:rsidRPr="00652974">
        <w:rPr>
          <w:rFonts w:ascii="Arial" w:hAnsi="Arial" w:eastAsia="Calibri" w:cs="Arial"/>
          <w:color w:val="000000" w:themeColor="text1"/>
          <w:sz w:val="22"/>
          <w:szCs w:val="22"/>
          <w:lang w:val="es-ES"/>
        </w:rPr>
        <w:t xml:space="preserve">En forma preliminar, resulta necesario mencionar que existen características </w:t>
      </w:r>
      <w:r>
        <w:rPr>
          <w:rFonts w:ascii="Arial" w:hAnsi="Arial" w:eastAsia="Calibri" w:cs="Arial"/>
          <w:color w:val="000000" w:themeColor="text1"/>
          <w:sz w:val="22"/>
          <w:szCs w:val="22"/>
          <w:lang w:val="es-ES"/>
        </w:rPr>
        <w:t xml:space="preserve">comunes </w:t>
      </w:r>
      <w:r w:rsidRPr="00652974">
        <w:rPr>
          <w:rFonts w:ascii="Arial" w:hAnsi="Arial" w:eastAsia="Calibri" w:cs="Arial"/>
          <w:color w:val="000000" w:themeColor="text1"/>
          <w:sz w:val="22"/>
          <w:szCs w:val="22"/>
          <w:lang w:val="es-ES"/>
        </w:rPr>
        <w:t xml:space="preserve">que se encuentran presentes en los tres regímenes de contratación aplicables y que están contenidas en el parágrafo tercero del artículo 3 de la Ley 136 de 1994, en consonancia con el artículo 355 de la Constitución Política. </w:t>
      </w:r>
    </w:p>
    <w:p w:rsidRPr="00652974" w:rsidR="008F1F27" w:rsidP="008F1F27" w:rsidRDefault="008F1F27" w14:paraId="2460DF8A" w14:textId="77777777">
      <w:pPr>
        <w:spacing w:after="120" w:line="276" w:lineRule="auto"/>
        <w:ind w:firstLine="708"/>
        <w:jc w:val="both"/>
        <w:rPr>
          <w:rFonts w:ascii="Arial" w:hAnsi="Arial" w:eastAsia="Calibri" w:cs="Arial"/>
          <w:color w:val="000000" w:themeColor="text1"/>
          <w:sz w:val="22"/>
          <w:szCs w:val="22"/>
          <w:lang w:val="es-ES"/>
        </w:rPr>
      </w:pPr>
      <w:r w:rsidRPr="00652974">
        <w:rPr>
          <w:rFonts w:ascii="Arial" w:hAnsi="Arial" w:eastAsia="Calibri" w:cs="Arial"/>
          <w:color w:val="000000" w:themeColor="text1"/>
          <w:sz w:val="22"/>
          <w:szCs w:val="22"/>
          <w:lang w:val="es-ES"/>
        </w:rPr>
        <w:t xml:space="preserve">En ese sentido, debe tenerse en cuenta que todos los convenios solidarios celebrados entre entidades del orden nacional, departamental, distrital o municipal y los organismos de acción comunal deben propender por la satisfacción de necesidades y aspiraciones de las comunidades, estar encaminados a la satisfacción del interés público, y ser concordantes con el Plan Nacional o los planes seccionales de desarrollo, según el caso. </w:t>
      </w:r>
    </w:p>
    <w:p w:rsidR="008F1F27" w:rsidP="008F1F27" w:rsidRDefault="008F1F27" w14:paraId="336C84FB" w14:textId="77777777">
      <w:pPr>
        <w:spacing w:after="120" w:line="276" w:lineRule="auto"/>
        <w:ind w:firstLine="709"/>
        <w:jc w:val="both"/>
        <w:rPr>
          <w:rFonts w:ascii="Arial" w:hAnsi="Arial" w:cs="Arial"/>
          <w:color w:val="000000" w:themeColor="text1"/>
          <w:sz w:val="22"/>
          <w:szCs w:val="22"/>
          <w:lang w:val="es-ES"/>
        </w:rPr>
      </w:pPr>
      <w:r>
        <w:rPr>
          <w:rFonts w:ascii="Arial" w:hAnsi="Arial" w:cs="Arial"/>
          <w:color w:val="000000" w:themeColor="text1"/>
          <w:sz w:val="22"/>
          <w:szCs w:val="22"/>
          <w:lang w:val="es-ES"/>
        </w:rPr>
        <w:t xml:space="preserve">Ahora bien, aunadas a las </w:t>
      </w:r>
      <w:r w:rsidRPr="00652974">
        <w:rPr>
          <w:rFonts w:ascii="Arial" w:hAnsi="Arial" w:cs="Arial"/>
          <w:color w:val="000000" w:themeColor="text1"/>
          <w:sz w:val="22"/>
          <w:szCs w:val="22"/>
          <w:lang w:val="es-ES"/>
        </w:rPr>
        <w:t xml:space="preserve">características generales de cualquier convenio solidario, </w:t>
      </w:r>
      <w:r>
        <w:rPr>
          <w:rFonts w:ascii="Arial" w:hAnsi="Arial" w:cs="Arial"/>
          <w:color w:val="000000" w:themeColor="text1"/>
          <w:sz w:val="22"/>
          <w:szCs w:val="22"/>
          <w:lang w:val="es-ES"/>
        </w:rPr>
        <w:t>su</w:t>
      </w:r>
      <w:r w:rsidRPr="00652974">
        <w:rPr>
          <w:rFonts w:ascii="Arial" w:hAnsi="Arial" w:cs="Arial"/>
          <w:color w:val="000000" w:themeColor="text1"/>
          <w:sz w:val="22"/>
          <w:szCs w:val="22"/>
          <w:lang w:val="es-ES"/>
        </w:rPr>
        <w:t xml:space="preserve"> </w:t>
      </w:r>
      <w:bookmarkStart w:name="_Hlk69293147" w:id="19"/>
      <w:r w:rsidRPr="00652974">
        <w:rPr>
          <w:rFonts w:ascii="Arial" w:hAnsi="Arial" w:cs="Arial"/>
          <w:color w:val="000000" w:themeColor="text1"/>
          <w:sz w:val="22"/>
          <w:szCs w:val="22"/>
          <w:lang w:val="es-ES"/>
        </w:rPr>
        <w:t xml:space="preserve">régimen </w:t>
      </w:r>
      <w:r>
        <w:rPr>
          <w:rFonts w:ascii="Arial" w:hAnsi="Arial" w:cs="Arial"/>
          <w:color w:val="000000" w:themeColor="text1"/>
          <w:sz w:val="22"/>
          <w:szCs w:val="22"/>
          <w:lang w:val="es-ES"/>
        </w:rPr>
        <w:t xml:space="preserve">jurídico </w:t>
      </w:r>
      <w:r w:rsidRPr="00652974">
        <w:rPr>
          <w:rFonts w:ascii="Arial" w:hAnsi="Arial" w:cs="Arial"/>
          <w:color w:val="000000" w:themeColor="text1"/>
          <w:sz w:val="22"/>
          <w:szCs w:val="22"/>
          <w:lang w:val="es-ES"/>
        </w:rPr>
        <w:t>encuentra su fundamento en l</w:t>
      </w:r>
      <w:r>
        <w:rPr>
          <w:rFonts w:ascii="Arial" w:hAnsi="Arial" w:cs="Arial"/>
          <w:color w:val="000000" w:themeColor="text1"/>
          <w:sz w:val="22"/>
          <w:szCs w:val="22"/>
          <w:lang w:val="es-ES"/>
        </w:rPr>
        <w:t>os</w:t>
      </w:r>
      <w:r w:rsidRPr="00652974">
        <w:rPr>
          <w:rFonts w:ascii="Arial" w:hAnsi="Arial" w:cs="Arial"/>
          <w:color w:val="000000" w:themeColor="text1"/>
          <w:sz w:val="22"/>
          <w:szCs w:val="22"/>
          <w:lang w:val="es-ES"/>
        </w:rPr>
        <w:t xml:space="preserve"> parágrafo</w:t>
      </w:r>
      <w:r>
        <w:rPr>
          <w:rFonts w:ascii="Arial" w:hAnsi="Arial" w:cs="Arial"/>
          <w:color w:val="000000" w:themeColor="text1"/>
          <w:sz w:val="22"/>
          <w:szCs w:val="22"/>
          <w:lang w:val="es-ES"/>
        </w:rPr>
        <w:t>s</w:t>
      </w:r>
      <w:r w:rsidRPr="00652974">
        <w:rPr>
          <w:rFonts w:ascii="Arial" w:hAnsi="Arial" w:cs="Arial"/>
          <w:color w:val="000000" w:themeColor="text1"/>
          <w:sz w:val="22"/>
          <w:szCs w:val="22"/>
          <w:lang w:val="es-ES"/>
        </w:rPr>
        <w:t xml:space="preserve"> </w:t>
      </w:r>
      <w:r>
        <w:rPr>
          <w:rFonts w:ascii="Arial" w:hAnsi="Arial" w:cs="Arial"/>
          <w:color w:val="000000" w:themeColor="text1"/>
          <w:sz w:val="22"/>
          <w:szCs w:val="22"/>
          <w:lang w:val="es-ES"/>
        </w:rPr>
        <w:t>4 y 5 del artículo 3</w:t>
      </w:r>
      <w:r w:rsidRPr="00652974">
        <w:rPr>
          <w:rFonts w:ascii="Arial" w:hAnsi="Arial" w:cs="Arial"/>
          <w:color w:val="000000" w:themeColor="text1"/>
          <w:sz w:val="22"/>
          <w:szCs w:val="22"/>
          <w:lang w:val="es-ES"/>
        </w:rPr>
        <w:t xml:space="preserve"> de la Ley 136 de 1994. Como se indicó, </w:t>
      </w:r>
      <w:r>
        <w:rPr>
          <w:rFonts w:ascii="Arial" w:hAnsi="Arial" w:cs="Arial"/>
          <w:color w:val="000000" w:themeColor="text1"/>
          <w:sz w:val="22"/>
          <w:szCs w:val="22"/>
          <w:lang w:val="es-ES"/>
        </w:rPr>
        <w:t xml:space="preserve">el referido parágrafo 4 </w:t>
      </w:r>
      <w:r w:rsidRPr="00652974">
        <w:rPr>
          <w:rFonts w:ascii="Arial" w:hAnsi="Arial" w:cs="Arial"/>
          <w:color w:val="000000" w:themeColor="text1"/>
          <w:sz w:val="22"/>
          <w:szCs w:val="22"/>
          <w:lang w:val="es-ES"/>
        </w:rPr>
        <w:t xml:space="preserve">determina una sub-regla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ii) que el objeto contractual consista en la ejecución de obras; y, iii) que el contrato no supere la mínima cuantía. De concurrir las anteriores circunstancias, la norma autoriza </w:t>
      </w:r>
      <w:r w:rsidRPr="00652974">
        <w:rPr>
          <w:rFonts w:ascii="Arial" w:hAnsi="Arial" w:cs="Arial"/>
          <w:color w:val="000000" w:themeColor="text1"/>
          <w:sz w:val="22"/>
          <w:szCs w:val="22"/>
          <w:lang w:val="es-ES"/>
        </w:rPr>
        <w:lastRenderedPageBreak/>
        <w:t xml:space="preserve">la </w:t>
      </w:r>
      <w:r w:rsidRPr="008A1F10">
        <w:rPr>
          <w:rFonts w:ascii="Arial" w:hAnsi="Arial" w:cs="Arial"/>
          <w:i/>
          <w:iCs/>
          <w:color w:val="000000" w:themeColor="text1"/>
          <w:sz w:val="22"/>
          <w:szCs w:val="22"/>
          <w:lang w:val="es-ES"/>
        </w:rPr>
        <w:t>contratación directa</w:t>
      </w:r>
      <w:r w:rsidRPr="00652974">
        <w:rPr>
          <w:rFonts w:ascii="Arial" w:hAnsi="Arial" w:cs="Arial"/>
          <w:color w:val="000000" w:themeColor="text1"/>
          <w:sz w:val="22"/>
          <w:szCs w:val="22"/>
          <w:lang w:val="es-ES"/>
        </w:rPr>
        <w:t xml:space="preserve"> entre la entidad territorial y la respectiva junta de acción comunal previamente legalizada y reconocida ante los organismos competentes. En todo caso, esta contratación debe tomar como personal para la ejecución de la obra a los habitantes de la comunidad.</w:t>
      </w:r>
      <w:bookmarkEnd w:id="19"/>
      <w:r w:rsidRPr="00652974">
        <w:rPr>
          <w:rFonts w:ascii="Arial" w:hAnsi="Arial" w:cs="Arial"/>
          <w:color w:val="000000" w:themeColor="text1"/>
          <w:sz w:val="22"/>
          <w:szCs w:val="22"/>
          <w:lang w:val="es-ES"/>
        </w:rPr>
        <w:t xml:space="preserve"> </w:t>
      </w:r>
    </w:p>
    <w:p w:rsidR="008F1F27" w:rsidP="008F1F27" w:rsidRDefault="008F1F27" w14:paraId="65364E79" w14:textId="77777777">
      <w:pPr>
        <w:spacing w:after="120" w:line="276" w:lineRule="auto"/>
        <w:ind w:firstLine="709"/>
        <w:jc w:val="both"/>
        <w:rPr>
          <w:rFonts w:ascii="Arial" w:hAnsi="Arial" w:cs="Arial"/>
          <w:color w:val="000000" w:themeColor="text1"/>
          <w:sz w:val="22"/>
          <w:szCs w:val="22"/>
          <w:lang w:val="es-ES"/>
        </w:rPr>
      </w:pPr>
      <w:r>
        <w:rPr>
          <w:rFonts w:ascii="Arial" w:hAnsi="Arial" w:cs="Arial"/>
          <w:color w:val="000000" w:themeColor="text1"/>
          <w:sz w:val="22"/>
          <w:szCs w:val="22"/>
          <w:lang w:val="es-ES"/>
        </w:rPr>
        <w:t xml:space="preserve">Finalmente, el parágrafo 5 del referido artículo 3 de la Ley 136 de 1994, introducido por la Ley 1955 de 2019, habilita a las entidades del orden nacional para celebrar con los organismos de acción comunal convenios de asociación </w:t>
      </w:r>
      <w:r w:rsidRPr="007E3E85">
        <w:rPr>
          <w:rFonts w:ascii="Arial" w:hAnsi="Arial" w:cs="Arial"/>
          <w:color w:val="000000" w:themeColor="text1"/>
          <w:sz w:val="22"/>
          <w:szCs w:val="22"/>
          <w:lang w:val="es-ES"/>
        </w:rPr>
        <w:t>«para la ejecución de proyectos incluidos en el respectivo Plan Nacional de Desarrollo.»</w:t>
      </w:r>
    </w:p>
    <w:p w:rsidRPr="007E22FC" w:rsidR="008F1F27" w:rsidP="008F1F27" w:rsidRDefault="008F1F27" w14:paraId="6F6D681F" w14:textId="77777777">
      <w:pPr>
        <w:spacing w:after="120" w:line="276" w:lineRule="auto"/>
        <w:ind w:firstLine="709"/>
        <w:jc w:val="both"/>
        <w:rPr>
          <w:rFonts w:ascii="Arial" w:hAnsi="Arial" w:cs="Arial"/>
          <w:color w:val="000000" w:themeColor="text1"/>
          <w:sz w:val="22"/>
          <w:szCs w:val="22"/>
          <w:lang w:val="es-ES"/>
        </w:rPr>
      </w:pPr>
      <w:r>
        <w:rPr>
          <w:rFonts w:ascii="Arial" w:hAnsi="Arial" w:cs="Arial"/>
          <w:color w:val="000000" w:themeColor="text1"/>
          <w:sz w:val="22"/>
          <w:szCs w:val="22"/>
          <w:lang w:val="es-ES"/>
        </w:rPr>
        <w:t xml:space="preserve">En relación con la modalidad de selección de los </w:t>
      </w:r>
      <w:r>
        <w:rPr>
          <w:rFonts w:ascii="Arial" w:hAnsi="Arial" w:cs="Arial"/>
          <w:i/>
          <w:iCs/>
          <w:color w:val="000000" w:themeColor="text1"/>
          <w:sz w:val="22"/>
          <w:szCs w:val="22"/>
          <w:lang w:val="es-ES"/>
        </w:rPr>
        <w:t>convenios solidarios</w:t>
      </w:r>
      <w:r>
        <w:rPr>
          <w:rFonts w:ascii="Arial" w:hAnsi="Arial" w:cs="Arial"/>
          <w:color w:val="000000" w:themeColor="text1"/>
          <w:sz w:val="22"/>
          <w:szCs w:val="22"/>
          <w:lang w:val="es-ES"/>
        </w:rPr>
        <w:t xml:space="preserve">, se observa cómo el parágrafo 4 y 5 del artículo 3 de la Ley 136 de 1994 establece que se </w:t>
      </w:r>
      <w:r w:rsidRPr="00AC0270">
        <w:rPr>
          <w:rFonts w:ascii="Arial" w:hAnsi="Arial" w:cs="Arial"/>
          <w:color w:val="000000" w:themeColor="text1"/>
          <w:sz w:val="22"/>
          <w:szCs w:val="22"/>
          <w:lang w:val="es-ES"/>
        </w:rPr>
        <w:t>celebrarán</w:t>
      </w:r>
      <w:r w:rsidRPr="00AC0270">
        <w:rPr>
          <w:rFonts w:ascii="Arial" w:hAnsi="Arial" w:cs="Arial"/>
          <w:i/>
          <w:iCs/>
          <w:color w:val="000000" w:themeColor="text1"/>
          <w:sz w:val="22"/>
          <w:szCs w:val="22"/>
          <w:lang w:val="es-ES"/>
        </w:rPr>
        <w:t xml:space="preserve"> directamente</w:t>
      </w:r>
      <w:r>
        <w:rPr>
          <w:rFonts w:ascii="Arial" w:hAnsi="Arial" w:cs="Arial"/>
          <w:color w:val="000000" w:themeColor="text1"/>
          <w:sz w:val="22"/>
          <w:szCs w:val="22"/>
          <w:lang w:val="es-ES"/>
        </w:rPr>
        <w:t xml:space="preserve"> y, por tanto, se trata de un procedimiento de selección que </w:t>
      </w:r>
      <w:r w:rsidRPr="00564ADF">
        <w:rPr>
          <w:rFonts w:ascii="Arial" w:hAnsi="Arial" w:cs="Arial"/>
          <w:color w:val="000000" w:themeColor="text1"/>
          <w:sz w:val="22"/>
          <w:szCs w:val="22"/>
          <w:lang w:val="es-ES"/>
        </w:rPr>
        <w:t>no incluy</w:t>
      </w:r>
      <w:r>
        <w:rPr>
          <w:rFonts w:ascii="Arial" w:hAnsi="Arial" w:cs="Arial"/>
          <w:color w:val="000000" w:themeColor="text1"/>
          <w:sz w:val="22"/>
          <w:szCs w:val="22"/>
          <w:lang w:val="es-ES"/>
        </w:rPr>
        <w:t>e</w:t>
      </w:r>
      <w:r w:rsidRPr="00564ADF">
        <w:rPr>
          <w:rFonts w:ascii="Arial" w:hAnsi="Arial" w:cs="Arial"/>
          <w:color w:val="000000" w:themeColor="text1"/>
          <w:sz w:val="22"/>
          <w:szCs w:val="22"/>
          <w:lang w:val="es-ES"/>
        </w:rPr>
        <w:t xml:space="preserve"> la convocatoria pública en alguna de sus etapas, ni permit</w:t>
      </w:r>
      <w:r>
        <w:rPr>
          <w:rFonts w:ascii="Arial" w:hAnsi="Arial" w:cs="Arial"/>
          <w:color w:val="000000" w:themeColor="text1"/>
          <w:sz w:val="22"/>
          <w:szCs w:val="22"/>
          <w:lang w:val="es-ES"/>
        </w:rPr>
        <w:t>e</w:t>
      </w:r>
      <w:r w:rsidRPr="00564ADF">
        <w:rPr>
          <w:rFonts w:ascii="Arial" w:hAnsi="Arial" w:cs="Arial"/>
          <w:color w:val="000000" w:themeColor="text1"/>
          <w:sz w:val="22"/>
          <w:szCs w:val="22"/>
          <w:lang w:val="es-ES"/>
        </w:rPr>
        <w:t xml:space="preserve"> la participación de una pluralidad de oferentes</w:t>
      </w:r>
      <w:r>
        <w:rPr>
          <w:rFonts w:ascii="Arial" w:hAnsi="Arial" w:cs="Arial"/>
          <w:color w:val="000000" w:themeColor="text1"/>
          <w:sz w:val="22"/>
          <w:szCs w:val="22"/>
          <w:lang w:val="es-ES"/>
        </w:rPr>
        <w:t xml:space="preserve">. De este modo, debe concluirse que los </w:t>
      </w:r>
      <w:r>
        <w:rPr>
          <w:rFonts w:ascii="Arial" w:hAnsi="Arial" w:cs="Arial"/>
          <w:i/>
          <w:iCs/>
          <w:color w:val="000000" w:themeColor="text1"/>
          <w:sz w:val="22"/>
          <w:szCs w:val="22"/>
          <w:lang w:val="es-ES"/>
        </w:rPr>
        <w:t>convenios solidarios</w:t>
      </w:r>
      <w:r>
        <w:rPr>
          <w:rFonts w:ascii="Arial" w:hAnsi="Arial" w:cs="Arial"/>
          <w:color w:val="000000" w:themeColor="text1"/>
          <w:sz w:val="22"/>
          <w:szCs w:val="22"/>
          <w:lang w:val="es-ES"/>
        </w:rPr>
        <w:t>, que deben celebrarse directamente, se encuentran comprendidos en el ámbito material de la prohibición prevista</w:t>
      </w:r>
      <w:r w:rsidRPr="00DE55EC">
        <w:rPr>
          <w:rFonts w:ascii="Arial" w:hAnsi="Arial" w:cs="Arial"/>
          <w:color w:val="000000" w:themeColor="text1"/>
          <w:sz w:val="22"/>
          <w:szCs w:val="22"/>
          <w:lang w:val="es-ES"/>
        </w:rPr>
        <w:t xml:space="preserve"> en el artículo 33 de la ley 996 de 2005</w:t>
      </w:r>
      <w:r>
        <w:rPr>
          <w:rFonts w:ascii="Arial" w:hAnsi="Arial" w:cs="Arial"/>
          <w:color w:val="000000" w:themeColor="text1"/>
          <w:sz w:val="22"/>
          <w:szCs w:val="22"/>
          <w:lang w:val="es-ES"/>
        </w:rPr>
        <w:t xml:space="preserve">, </w:t>
      </w:r>
      <w:r w:rsidRPr="00DE55EC">
        <w:rPr>
          <w:rFonts w:ascii="Arial" w:hAnsi="Arial" w:cs="Arial"/>
          <w:color w:val="000000" w:themeColor="text1"/>
          <w:sz w:val="22"/>
          <w:szCs w:val="22"/>
          <w:lang w:val="es-ES"/>
        </w:rPr>
        <w:t>delimitado por la expresión «queda prohibida la contratación directa».</w:t>
      </w:r>
      <w:r>
        <w:rPr>
          <w:rFonts w:ascii="Arial" w:hAnsi="Arial" w:cs="Arial"/>
          <w:color w:val="000000" w:themeColor="text1"/>
          <w:sz w:val="22"/>
          <w:szCs w:val="22"/>
          <w:lang w:val="es-ES"/>
        </w:rPr>
        <w:t xml:space="preserve"> Lo anterior porque, según se relacionó atrás, según la jurisprudencia del Consejo de Estado, </w:t>
      </w:r>
      <w:r w:rsidRPr="00C84F90">
        <w:rPr>
          <w:rFonts w:ascii="Arial" w:hAnsi="Arial" w:cs="Arial"/>
          <w:bCs/>
          <w:sz w:val="22"/>
          <w:szCs w:val="22"/>
          <w:lang w:val="es-MX" w:eastAsia="x-none"/>
        </w:rPr>
        <w:t>«contratación directa» es cualquier sistema de selección o procedimiento de contratación utilizado por las entidades estatales que no incluya la convocatoria pública en alguna de sus etapas, ni permita la participación de una pluralidad de oferentes</w:t>
      </w:r>
      <w:r>
        <w:rPr>
          <w:rFonts w:ascii="Arial" w:hAnsi="Arial" w:cs="Arial"/>
          <w:bCs/>
          <w:sz w:val="22"/>
          <w:szCs w:val="22"/>
          <w:lang w:val="es-MX" w:eastAsia="x-none"/>
        </w:rPr>
        <w:t>.</w:t>
      </w:r>
      <w:r>
        <w:rPr>
          <w:rFonts w:ascii="Arial" w:hAnsi="Arial" w:cs="Arial"/>
          <w:color w:val="000000" w:themeColor="text1"/>
          <w:sz w:val="22"/>
          <w:szCs w:val="22"/>
          <w:lang w:val="es-ES"/>
        </w:rPr>
        <w:t xml:space="preserve"> Por lo tanto, se reitera, </w:t>
      </w:r>
      <w:r>
        <w:rPr>
          <w:rFonts w:ascii="Arial" w:hAnsi="Arial" w:cs="Arial"/>
          <w:bCs/>
          <w:sz w:val="22"/>
          <w:szCs w:val="22"/>
          <w:lang w:val="es-MX" w:eastAsia="x-none"/>
        </w:rPr>
        <w:t xml:space="preserve">la prohibición </w:t>
      </w:r>
      <w:r w:rsidRPr="00C84F90">
        <w:rPr>
          <w:rFonts w:ascii="Arial" w:hAnsi="Arial" w:cs="Arial"/>
          <w:bCs/>
          <w:sz w:val="22"/>
          <w:szCs w:val="22"/>
          <w:lang w:val="es-MX" w:eastAsia="x-none"/>
        </w:rPr>
        <w:t>aplica, sin perjuicio de las excepciones establecidas en la misma ley</w:t>
      </w:r>
      <w:r>
        <w:rPr>
          <w:rFonts w:ascii="Arial" w:hAnsi="Arial" w:cs="Arial"/>
          <w:bCs/>
          <w:sz w:val="22"/>
          <w:szCs w:val="22"/>
          <w:lang w:val="es-MX" w:eastAsia="x-none"/>
        </w:rPr>
        <w:t xml:space="preserve"> de garantías</w:t>
      </w:r>
      <w:r w:rsidRPr="00C84F90">
        <w:rPr>
          <w:rFonts w:ascii="Arial" w:hAnsi="Arial" w:cs="Arial"/>
          <w:bCs/>
          <w:sz w:val="22"/>
          <w:szCs w:val="22"/>
          <w:lang w:val="es-MX" w:eastAsia="x-none"/>
        </w:rPr>
        <w:t>, para celebrar cualquier contrato de forma directa, esto es, sin que exista un proceso abierto y competitivo.</w:t>
      </w:r>
    </w:p>
    <w:p w:rsidR="008F1F27" w:rsidP="008F1F27" w:rsidRDefault="008F1F27" w14:paraId="53406A3E" w14:textId="77777777">
      <w:pPr>
        <w:tabs>
          <w:tab w:val="left" w:pos="709"/>
        </w:tabs>
        <w:spacing w:line="276" w:lineRule="auto"/>
        <w:jc w:val="both"/>
        <w:rPr>
          <w:rFonts w:ascii="Arial" w:hAnsi="Arial" w:eastAsia="Calibri" w:cs="Arial"/>
          <w:b/>
          <w:sz w:val="22"/>
          <w:szCs w:val="22"/>
          <w:lang w:val="es-ES"/>
        </w:rPr>
      </w:pPr>
    </w:p>
    <w:p w:rsidR="008F1F27" w:rsidP="008F1F27" w:rsidRDefault="008F1F27" w14:paraId="6938A576" w14:textId="77777777">
      <w:pPr>
        <w:tabs>
          <w:tab w:val="left" w:pos="709"/>
        </w:tabs>
        <w:spacing w:line="276" w:lineRule="auto"/>
        <w:jc w:val="both"/>
        <w:rPr>
          <w:rFonts w:ascii="Arial" w:hAnsi="Arial" w:eastAsia="Calibri" w:cs="Arial"/>
          <w:b/>
          <w:sz w:val="22"/>
          <w:szCs w:val="22"/>
          <w:lang w:val="es-ES"/>
        </w:rPr>
      </w:pPr>
    </w:p>
    <w:p w:rsidRPr="00924DEF" w:rsidR="008F1F27" w:rsidP="008F1F27" w:rsidRDefault="008F1F27" w14:paraId="3D309102" w14:textId="77777777">
      <w:pPr>
        <w:tabs>
          <w:tab w:val="left" w:pos="709"/>
        </w:tabs>
        <w:spacing w:line="276" w:lineRule="auto"/>
        <w:jc w:val="both"/>
        <w:rPr>
          <w:rFonts w:ascii="Arial" w:hAnsi="Arial" w:eastAsia="Calibri" w:cs="Arial"/>
          <w:b/>
          <w:sz w:val="22"/>
          <w:szCs w:val="22"/>
          <w:lang w:val="es-ES"/>
        </w:rPr>
      </w:pPr>
      <w:r w:rsidRPr="00924DEF">
        <w:rPr>
          <w:rFonts w:ascii="Arial" w:hAnsi="Arial" w:eastAsia="Calibri" w:cs="Arial"/>
          <w:b/>
          <w:sz w:val="22"/>
          <w:szCs w:val="22"/>
          <w:lang w:val="es-ES"/>
        </w:rPr>
        <w:t>3. Respuesta</w:t>
      </w:r>
    </w:p>
    <w:p w:rsidRPr="00924DEF" w:rsidR="008F1F27" w:rsidP="008F1F27" w:rsidRDefault="008F1F27" w14:paraId="0B37DE35" w14:textId="77777777">
      <w:pPr>
        <w:tabs>
          <w:tab w:val="left" w:pos="709"/>
        </w:tabs>
        <w:spacing w:line="276" w:lineRule="auto"/>
        <w:ind w:left="709" w:right="709"/>
        <w:jc w:val="both"/>
        <w:rPr>
          <w:rFonts w:ascii="Arial" w:hAnsi="Arial" w:eastAsia="Calibri" w:cs="Arial"/>
          <w:b/>
          <w:sz w:val="22"/>
          <w:szCs w:val="22"/>
          <w:lang w:val="es-ES"/>
        </w:rPr>
      </w:pPr>
    </w:p>
    <w:p w:rsidRPr="007E22FC" w:rsidR="008F1F27" w:rsidP="008F1F27" w:rsidRDefault="008F1F27" w14:paraId="795460FB" w14:textId="77777777">
      <w:pPr>
        <w:ind w:left="709" w:right="709"/>
        <w:jc w:val="both"/>
        <w:rPr>
          <w:rFonts w:ascii="Arial" w:hAnsi="Arial" w:cs="Arial"/>
          <w:sz w:val="21"/>
          <w:szCs w:val="21"/>
        </w:rPr>
      </w:pPr>
      <w:r w:rsidRPr="007E22FC">
        <w:rPr>
          <w:rFonts w:ascii="Arial" w:hAnsi="Arial" w:cs="Arial"/>
          <w:sz w:val="21"/>
          <w:szCs w:val="21"/>
        </w:rPr>
        <w:t>«Me permito consultar si es posible o no adelantar contratación de régimen especial, específicamente los convenios solidarios establecidos en el artículo 6 de lay 1551 de 2012, convenios solidarios con la Juntas de Acción comunal.»</w:t>
      </w:r>
    </w:p>
    <w:p w:rsidRPr="00652974" w:rsidR="008F1F27" w:rsidP="008F1F27" w:rsidRDefault="008F1F27" w14:paraId="35197332" w14:textId="77777777">
      <w:pPr>
        <w:spacing w:before="120" w:after="120" w:line="276" w:lineRule="auto"/>
        <w:jc w:val="both"/>
        <w:rPr>
          <w:rFonts w:ascii="Arial" w:hAnsi="Arial" w:cs="Arial"/>
          <w:sz w:val="22"/>
          <w:szCs w:val="22"/>
          <w:lang w:eastAsia="x-none"/>
        </w:rPr>
      </w:pPr>
      <w:r w:rsidRPr="00652974">
        <w:rPr>
          <w:rFonts w:ascii="Arial" w:hAnsi="Arial" w:cs="Arial"/>
          <w:sz w:val="22"/>
          <w:szCs w:val="22"/>
          <w:lang w:val="es-ES_tradnl" w:eastAsia="es-ES_tradnl"/>
        </w:rPr>
        <w:t xml:space="preserve">Con base en las anteriores consideraciones, esta Agencia concluye que </w:t>
      </w:r>
      <w:r w:rsidRPr="00652974">
        <w:rPr>
          <w:rFonts w:ascii="Arial" w:hAnsi="Arial" w:cs="Arial"/>
          <w:sz w:val="22"/>
          <w:szCs w:val="22"/>
          <w:lang w:eastAsia="x-none"/>
        </w:rPr>
        <w:t xml:space="preserve">la prohibición </w:t>
      </w:r>
      <w:r>
        <w:rPr>
          <w:rFonts w:ascii="Arial" w:hAnsi="Arial" w:cs="Arial"/>
          <w:sz w:val="22"/>
          <w:szCs w:val="22"/>
          <w:lang w:eastAsia="x-none"/>
        </w:rPr>
        <w:t xml:space="preserve">contenida en </w:t>
      </w:r>
      <w:r w:rsidRPr="00652974">
        <w:rPr>
          <w:rFonts w:ascii="Arial" w:hAnsi="Arial" w:cs="Arial"/>
          <w:sz w:val="22"/>
          <w:szCs w:val="22"/>
          <w:lang w:eastAsia="x-none"/>
        </w:rPr>
        <w:t xml:space="preserve">el artículo 33 de la Ley 996 de 2005 </w:t>
      </w:r>
      <w:r>
        <w:rPr>
          <w:rFonts w:ascii="Arial" w:hAnsi="Arial" w:cs="Arial"/>
          <w:sz w:val="22"/>
          <w:szCs w:val="22"/>
          <w:lang w:eastAsia="x-none"/>
        </w:rPr>
        <w:t>–</w:t>
      </w:r>
      <w:r w:rsidRPr="00652974">
        <w:rPr>
          <w:rFonts w:ascii="Arial" w:hAnsi="Arial" w:cs="Arial"/>
          <w:sz w:val="22"/>
          <w:szCs w:val="22"/>
          <w:lang w:eastAsia="x-none"/>
        </w:rPr>
        <w:t>Ley de Garantías Electorales</w:t>
      </w:r>
      <w:r>
        <w:rPr>
          <w:rFonts w:ascii="Arial" w:hAnsi="Arial" w:cs="Arial"/>
          <w:sz w:val="22"/>
          <w:szCs w:val="22"/>
          <w:lang w:eastAsia="x-none"/>
        </w:rPr>
        <w:t>–</w:t>
      </w:r>
      <w:r w:rsidRPr="00652974">
        <w:rPr>
          <w:rFonts w:ascii="Arial" w:hAnsi="Arial" w:cs="Arial"/>
          <w:sz w:val="22"/>
          <w:szCs w:val="22"/>
          <w:lang w:eastAsia="x-none"/>
        </w:rPr>
        <w:t xml:space="preserve"> se refiere a cualquier sistema que no implique convocatoria pública y posibilidad de pluralidad de oferentes, por lo que incluye también los </w:t>
      </w:r>
      <w:r w:rsidRPr="00F923CC">
        <w:rPr>
          <w:rFonts w:ascii="Arial" w:hAnsi="Arial" w:cs="Arial"/>
          <w:i/>
          <w:iCs/>
          <w:sz w:val="22"/>
          <w:szCs w:val="22"/>
          <w:lang w:eastAsia="x-none"/>
        </w:rPr>
        <w:t>convenios solidarios</w:t>
      </w:r>
      <w:r>
        <w:rPr>
          <w:rFonts w:ascii="Arial" w:hAnsi="Arial" w:cs="Arial"/>
          <w:sz w:val="22"/>
          <w:szCs w:val="22"/>
          <w:lang w:eastAsia="x-none"/>
        </w:rPr>
        <w:t xml:space="preserve">, toda vez que el artículo 3 de la Ley 136 de 1994, modificada por la Ley 1551 de 2012, prevé que aquellos se celebran </w:t>
      </w:r>
      <w:r w:rsidRPr="00737DC7">
        <w:rPr>
          <w:rFonts w:ascii="Arial" w:hAnsi="Arial" w:cs="Arial"/>
          <w:i/>
          <w:iCs/>
          <w:sz w:val="22"/>
          <w:szCs w:val="22"/>
          <w:lang w:eastAsia="x-none"/>
        </w:rPr>
        <w:t>directamente</w:t>
      </w:r>
      <w:r>
        <w:rPr>
          <w:rFonts w:ascii="Arial" w:hAnsi="Arial" w:cs="Arial"/>
          <w:sz w:val="22"/>
          <w:szCs w:val="22"/>
          <w:lang w:eastAsia="x-none"/>
        </w:rPr>
        <w:t xml:space="preserve">, es decir, </w:t>
      </w:r>
      <w:r w:rsidRPr="00652974">
        <w:rPr>
          <w:rFonts w:ascii="Arial" w:hAnsi="Arial" w:cs="Arial"/>
          <w:sz w:val="22"/>
          <w:szCs w:val="22"/>
          <w:lang w:eastAsia="x-none"/>
        </w:rPr>
        <w:t xml:space="preserve">no se </w:t>
      </w:r>
      <w:r>
        <w:rPr>
          <w:rFonts w:ascii="Arial" w:hAnsi="Arial" w:cs="Arial"/>
          <w:sz w:val="22"/>
          <w:szCs w:val="22"/>
          <w:lang w:eastAsia="x-none"/>
        </w:rPr>
        <w:t xml:space="preserve">realiza un </w:t>
      </w:r>
      <w:r w:rsidRPr="00652974">
        <w:rPr>
          <w:rFonts w:ascii="Arial" w:hAnsi="Arial" w:cs="Arial"/>
          <w:sz w:val="22"/>
          <w:szCs w:val="22"/>
          <w:lang w:eastAsia="x-none"/>
        </w:rPr>
        <w:t>proceso competitivo</w:t>
      </w:r>
      <w:r>
        <w:rPr>
          <w:rFonts w:ascii="Arial" w:hAnsi="Arial" w:cs="Arial"/>
          <w:sz w:val="22"/>
          <w:szCs w:val="22"/>
          <w:lang w:eastAsia="x-none"/>
        </w:rPr>
        <w:t>.</w:t>
      </w:r>
    </w:p>
    <w:p w:rsidRPr="00652974" w:rsidR="008F1F27" w:rsidP="008F1F27" w:rsidRDefault="008F1F27" w14:paraId="2C65224D" w14:textId="77777777">
      <w:pPr>
        <w:spacing w:before="120" w:after="120" w:line="276" w:lineRule="auto"/>
        <w:ind w:firstLine="708"/>
        <w:jc w:val="both"/>
        <w:rPr>
          <w:rFonts w:ascii="Arial" w:hAnsi="Arial" w:cs="Arial"/>
          <w:sz w:val="22"/>
          <w:szCs w:val="22"/>
          <w:lang w:eastAsia="x-none"/>
        </w:rPr>
      </w:pPr>
      <w:r w:rsidRPr="00652974">
        <w:rPr>
          <w:rFonts w:ascii="Arial" w:hAnsi="Arial" w:cs="Arial"/>
          <w:sz w:val="22"/>
          <w:szCs w:val="22"/>
          <w:lang w:eastAsia="x-none"/>
        </w:rPr>
        <w:t xml:space="preserve">Lo anterior porque, con base en la interpretación efectuada por el Consejo de Estado, </w:t>
      </w:r>
      <w:r w:rsidRPr="00652974">
        <w:rPr>
          <w:rFonts w:ascii="Arial" w:hAnsi="Arial" w:cs="Arial"/>
          <w:bCs/>
          <w:sz w:val="22"/>
          <w:szCs w:val="22"/>
          <w:lang w:val="es-MX" w:eastAsia="x-none"/>
        </w:rPr>
        <w:t xml:space="preserve">ha de entenderse que, para efectos de la Ley de Garantías Electorales y, en particular, para la prohibición o restricción temporal contenida en su artículo 33, </w:t>
      </w:r>
      <w:r w:rsidRPr="00652974">
        <w:rPr>
          <w:rFonts w:ascii="Arial" w:hAnsi="Arial" w:cs="Arial"/>
          <w:bCs/>
          <w:sz w:val="22"/>
          <w:szCs w:val="22"/>
          <w:lang w:val="es-MX" w:eastAsia="x-none"/>
        </w:rPr>
        <w:lastRenderedPageBreak/>
        <w:t xml:space="preserve">«contratación directa» es cualquier sistema de selección o procedimiento de contratación utilizado por las entidades estatales que no incluya la convocatoria pública en alguna de sus etapas, ni permita la participación de una pluralidad de oferentes. De lo anterior se desprende que la </w:t>
      </w:r>
      <w:r>
        <w:rPr>
          <w:rFonts w:ascii="Arial" w:hAnsi="Arial" w:cs="Arial"/>
          <w:bCs/>
          <w:sz w:val="22"/>
          <w:szCs w:val="22"/>
          <w:lang w:val="es-MX" w:eastAsia="x-none"/>
        </w:rPr>
        <w:t>prohibición</w:t>
      </w:r>
      <w:r w:rsidRPr="00652974">
        <w:rPr>
          <w:rFonts w:ascii="Arial" w:hAnsi="Arial" w:cs="Arial"/>
          <w:bCs/>
          <w:sz w:val="22"/>
          <w:szCs w:val="22"/>
          <w:lang w:val="es-MX" w:eastAsia="x-none"/>
        </w:rPr>
        <w:t xml:space="preserve"> aplica, sin perjuicio de las excepciones establecidas en la misma ley, para celebrar cualquier contrato de forma directa, esto es, sin que exista un proceso abierto y competitivo.</w:t>
      </w:r>
      <w:r w:rsidRPr="00652974">
        <w:rPr>
          <w:rFonts w:ascii="Arial" w:hAnsi="Arial" w:cs="Arial"/>
          <w:sz w:val="22"/>
          <w:szCs w:val="22"/>
          <w:lang w:eastAsia="x-none"/>
        </w:rPr>
        <w:t xml:space="preserve"> </w:t>
      </w:r>
    </w:p>
    <w:p w:rsidRPr="00F12E3F" w:rsidR="008F1F27" w:rsidP="008F1F27" w:rsidRDefault="008F1F27" w14:paraId="3EE1B558" w14:textId="77777777">
      <w:pPr>
        <w:spacing w:line="276" w:lineRule="auto"/>
        <w:ind w:firstLine="708"/>
        <w:jc w:val="both"/>
        <w:rPr>
          <w:rFonts w:ascii="Arial" w:hAnsi="Arial" w:eastAsia="Calibri" w:cs="Arial"/>
          <w:i/>
          <w:iCs/>
          <w:color w:val="000000" w:themeColor="text1"/>
          <w:sz w:val="22"/>
          <w:szCs w:val="22"/>
          <w:lang w:val="es-ES"/>
        </w:rPr>
      </w:pPr>
      <w:r w:rsidRPr="00652974">
        <w:rPr>
          <w:rFonts w:ascii="Arial" w:hAnsi="Arial" w:cs="Arial"/>
          <w:bCs/>
          <w:sz w:val="22"/>
          <w:szCs w:val="22"/>
          <w:lang w:val="es-MX" w:eastAsia="x-none"/>
        </w:rPr>
        <w:t>De conformidad con esto, durante los cuatro (4) meses anteriores a la elección presidencial y hasta la realización de la elección en la segunda vuelta, queda prohibida la contratación directa por parte de todos los entes del Estado</w:t>
      </w:r>
      <w:r>
        <w:rPr>
          <w:rFonts w:ascii="Arial" w:hAnsi="Arial" w:cs="Arial"/>
          <w:bCs/>
          <w:sz w:val="22"/>
          <w:szCs w:val="22"/>
          <w:lang w:val="es-MX" w:eastAsia="x-none"/>
        </w:rPr>
        <w:t xml:space="preserve">. </w:t>
      </w:r>
      <w:r w:rsidRPr="00652974">
        <w:rPr>
          <w:rFonts w:ascii="Arial" w:hAnsi="Arial" w:cs="Arial"/>
          <w:bCs/>
          <w:sz w:val="22"/>
          <w:szCs w:val="22"/>
          <w:lang w:val="es-MX" w:eastAsia="x-none"/>
        </w:rPr>
        <w:t xml:space="preserve">Así las cosas, con base en lo </w:t>
      </w:r>
      <w:r>
        <w:rPr>
          <w:rFonts w:ascii="Arial" w:hAnsi="Arial" w:cs="Arial"/>
          <w:bCs/>
          <w:sz w:val="22"/>
          <w:szCs w:val="22"/>
          <w:lang w:val="es-MX" w:eastAsia="x-none"/>
        </w:rPr>
        <w:t>previsto en</w:t>
      </w:r>
      <w:r w:rsidRPr="00652974">
        <w:rPr>
          <w:rFonts w:ascii="Arial" w:hAnsi="Arial" w:cs="Arial"/>
          <w:bCs/>
          <w:sz w:val="22"/>
          <w:szCs w:val="22"/>
          <w:lang w:val="es-MX" w:eastAsia="x-none"/>
        </w:rPr>
        <w:t xml:space="preserve"> </w:t>
      </w:r>
      <w:r>
        <w:rPr>
          <w:rFonts w:ascii="Arial" w:hAnsi="Arial" w:cs="Arial"/>
          <w:bCs/>
          <w:sz w:val="22"/>
          <w:szCs w:val="22"/>
          <w:lang w:val="es-MX" w:eastAsia="x-none"/>
        </w:rPr>
        <w:t>los</w:t>
      </w:r>
      <w:r w:rsidRPr="00652974">
        <w:rPr>
          <w:rFonts w:ascii="Arial" w:hAnsi="Arial" w:cs="Arial"/>
          <w:bCs/>
          <w:sz w:val="22"/>
          <w:szCs w:val="22"/>
          <w:lang w:val="es-MX" w:eastAsia="x-none"/>
        </w:rPr>
        <w:t xml:space="preserve"> parágrafo</w:t>
      </w:r>
      <w:r>
        <w:rPr>
          <w:rFonts w:ascii="Arial" w:hAnsi="Arial" w:cs="Arial"/>
          <w:bCs/>
          <w:sz w:val="22"/>
          <w:szCs w:val="22"/>
          <w:lang w:val="es-MX" w:eastAsia="x-none"/>
        </w:rPr>
        <w:t>s</w:t>
      </w:r>
      <w:r w:rsidRPr="00652974">
        <w:rPr>
          <w:rFonts w:ascii="Arial" w:hAnsi="Arial" w:cs="Arial"/>
          <w:bCs/>
          <w:sz w:val="22"/>
          <w:szCs w:val="22"/>
          <w:lang w:val="es-MX" w:eastAsia="x-none"/>
        </w:rPr>
        <w:t xml:space="preserve"> 4</w:t>
      </w:r>
      <w:r>
        <w:rPr>
          <w:rFonts w:ascii="Arial" w:hAnsi="Arial" w:cs="Arial"/>
          <w:bCs/>
          <w:sz w:val="22"/>
          <w:szCs w:val="22"/>
          <w:lang w:val="es-MX" w:eastAsia="x-none"/>
        </w:rPr>
        <w:t xml:space="preserve"> y 5</w:t>
      </w:r>
      <w:r w:rsidRPr="00652974">
        <w:rPr>
          <w:rFonts w:ascii="Arial" w:hAnsi="Arial" w:cs="Arial"/>
          <w:bCs/>
          <w:sz w:val="22"/>
          <w:szCs w:val="22"/>
          <w:lang w:val="es-MX" w:eastAsia="x-none"/>
        </w:rPr>
        <w:t xml:space="preserve"> del artículo </w:t>
      </w:r>
      <w:r>
        <w:rPr>
          <w:rFonts w:ascii="Arial" w:hAnsi="Arial" w:cs="Arial"/>
          <w:bCs/>
          <w:sz w:val="22"/>
          <w:szCs w:val="22"/>
          <w:lang w:val="es-MX" w:eastAsia="x-none"/>
        </w:rPr>
        <w:t>3</w:t>
      </w:r>
      <w:r w:rsidRPr="00652974">
        <w:rPr>
          <w:rFonts w:ascii="Arial" w:hAnsi="Arial" w:cs="Arial"/>
          <w:bCs/>
          <w:sz w:val="22"/>
          <w:szCs w:val="22"/>
          <w:lang w:val="es-MX" w:eastAsia="x-none"/>
        </w:rPr>
        <w:t xml:space="preserve"> de la </w:t>
      </w:r>
      <w:r w:rsidRPr="00652974">
        <w:rPr>
          <w:rFonts w:ascii="Arial" w:hAnsi="Arial" w:eastAsia="Calibri" w:cs="Arial"/>
          <w:color w:val="000000" w:themeColor="text1"/>
          <w:sz w:val="22"/>
          <w:szCs w:val="22"/>
          <w:lang w:val="es-ES"/>
        </w:rPr>
        <w:t>Ley</w:t>
      </w:r>
      <w:r>
        <w:rPr>
          <w:rFonts w:ascii="Arial" w:hAnsi="Arial" w:eastAsia="Calibri" w:cs="Arial"/>
          <w:color w:val="000000" w:themeColor="text1"/>
          <w:sz w:val="22"/>
          <w:szCs w:val="22"/>
          <w:lang w:val="es-ES"/>
        </w:rPr>
        <w:t xml:space="preserve"> 136 de 1994, modificado por la Ley</w:t>
      </w:r>
      <w:r w:rsidRPr="00652974">
        <w:rPr>
          <w:rFonts w:ascii="Arial" w:hAnsi="Arial" w:eastAsia="Calibri" w:cs="Arial"/>
          <w:color w:val="000000" w:themeColor="text1"/>
          <w:sz w:val="22"/>
          <w:szCs w:val="22"/>
          <w:lang w:val="es-ES"/>
        </w:rPr>
        <w:t xml:space="preserve"> 1551 de 2012</w:t>
      </w:r>
      <w:r>
        <w:rPr>
          <w:rFonts w:ascii="Arial" w:hAnsi="Arial" w:eastAsia="Calibri" w:cs="Arial"/>
          <w:color w:val="000000" w:themeColor="text1"/>
          <w:sz w:val="22"/>
          <w:szCs w:val="22"/>
          <w:lang w:val="es-ES"/>
        </w:rPr>
        <w:t xml:space="preserve"> y adicionado por la Ley 1955 de 2019 respectivamente</w:t>
      </w:r>
      <w:r w:rsidRPr="00652974">
        <w:rPr>
          <w:rFonts w:ascii="Arial" w:hAnsi="Arial" w:eastAsia="Calibri" w:cs="Arial"/>
          <w:color w:val="000000" w:themeColor="text1"/>
          <w:sz w:val="22"/>
          <w:szCs w:val="22"/>
          <w:lang w:val="es-ES"/>
        </w:rPr>
        <w:t xml:space="preserve">, </w:t>
      </w:r>
      <w:r>
        <w:rPr>
          <w:rFonts w:ascii="Arial" w:hAnsi="Arial" w:eastAsia="Calibri" w:cs="Arial"/>
          <w:color w:val="000000" w:themeColor="text1"/>
          <w:sz w:val="22"/>
          <w:szCs w:val="22"/>
          <w:lang w:val="es-ES"/>
        </w:rPr>
        <w:t xml:space="preserve">los </w:t>
      </w:r>
      <w:r w:rsidRPr="007D7C78">
        <w:rPr>
          <w:rFonts w:ascii="Arial" w:hAnsi="Arial" w:eastAsia="Calibri" w:cs="Arial"/>
          <w:i/>
          <w:iCs/>
          <w:color w:val="000000" w:themeColor="text1"/>
          <w:sz w:val="22"/>
          <w:szCs w:val="22"/>
          <w:lang w:val="es-ES"/>
        </w:rPr>
        <w:t>convenios de asociación</w:t>
      </w:r>
      <w:r>
        <w:rPr>
          <w:rFonts w:ascii="Arial" w:hAnsi="Arial" w:eastAsia="Calibri" w:cs="Arial"/>
          <w:color w:val="000000" w:themeColor="text1"/>
          <w:sz w:val="22"/>
          <w:szCs w:val="22"/>
          <w:lang w:val="es-ES"/>
        </w:rPr>
        <w:t xml:space="preserve"> se celebran </w:t>
      </w:r>
      <w:r w:rsidRPr="00F12E3F">
        <w:rPr>
          <w:rFonts w:ascii="Arial" w:hAnsi="Arial" w:eastAsia="Calibri" w:cs="Arial"/>
          <w:i/>
          <w:iCs/>
          <w:color w:val="000000" w:themeColor="text1"/>
          <w:sz w:val="22"/>
          <w:szCs w:val="22"/>
          <w:lang w:val="es-ES"/>
        </w:rPr>
        <w:t>directamente</w:t>
      </w:r>
      <w:r>
        <w:rPr>
          <w:rFonts w:ascii="Arial" w:hAnsi="Arial" w:eastAsia="Calibri" w:cs="Arial"/>
          <w:color w:val="000000" w:themeColor="text1"/>
          <w:sz w:val="22"/>
          <w:szCs w:val="22"/>
          <w:lang w:val="es-ES"/>
        </w:rPr>
        <w:t xml:space="preserve"> y, por tanto,</w:t>
      </w:r>
      <w:r>
        <w:rPr>
          <w:rFonts w:ascii="Arial" w:hAnsi="Arial" w:eastAsia="Calibri" w:cs="Arial"/>
          <w:i/>
          <w:iCs/>
          <w:color w:val="000000" w:themeColor="text1"/>
          <w:sz w:val="22"/>
          <w:szCs w:val="22"/>
          <w:lang w:val="es-ES"/>
        </w:rPr>
        <w:t xml:space="preserve"> </w:t>
      </w:r>
      <w:r w:rsidRPr="00F12E3F">
        <w:rPr>
          <w:rFonts w:ascii="Arial" w:hAnsi="Arial" w:eastAsia="Calibri" w:cs="Arial"/>
          <w:color w:val="000000" w:themeColor="text1"/>
          <w:sz w:val="22"/>
          <w:szCs w:val="22"/>
          <w:lang w:val="es-ES"/>
        </w:rPr>
        <w:t>se encuentran comprendidos en el ámbito material de la prohibición prevista en el artículo 33 de la ley 996 de 2005, delimitado por la expresión «queda prohibida la contratación directa».</w:t>
      </w:r>
    </w:p>
    <w:p w:rsidRPr="00924DEF" w:rsidR="008F1F27" w:rsidP="008F1F27" w:rsidRDefault="008F1F27" w14:paraId="73F6D4D8" w14:textId="77777777">
      <w:pPr>
        <w:pStyle w:val="Textoindependiente"/>
        <w:spacing w:line="276" w:lineRule="auto"/>
        <w:ind w:right="51"/>
        <w:jc w:val="both"/>
      </w:pPr>
    </w:p>
    <w:p w:rsidRPr="00924DEF" w:rsidR="008F1F27" w:rsidP="008F1F27" w:rsidRDefault="008F1F27" w14:paraId="5F50678A" w14:textId="77777777">
      <w:pPr>
        <w:spacing w:line="276" w:lineRule="auto"/>
        <w:jc w:val="both"/>
        <w:rPr>
          <w:rFonts w:ascii="Arial" w:hAnsi="Arial" w:eastAsia="Calibri" w:cs="Arial"/>
          <w:sz w:val="22"/>
          <w:szCs w:val="22"/>
          <w:lang w:val="es-ES"/>
        </w:rPr>
      </w:pPr>
      <w:r w:rsidRPr="00924DEF">
        <w:rPr>
          <w:rFonts w:ascii="Arial" w:hAnsi="Arial" w:eastAsia="Calibri" w:cs="Arial"/>
          <w:sz w:val="22"/>
          <w:szCs w:val="22"/>
          <w:lang w:val="es-ES"/>
        </w:rPr>
        <w:t>Este concepto tiene el alcance previsto en el artículo 28 del Código de Procedimiento Administrativo y de lo Contencioso Administrativo.</w:t>
      </w:r>
    </w:p>
    <w:p w:rsidRPr="00924DEF" w:rsidR="008F1F27" w:rsidP="008F1F27" w:rsidRDefault="008F1F27" w14:paraId="2AA109C0" w14:textId="77777777">
      <w:pPr>
        <w:jc w:val="both"/>
        <w:rPr>
          <w:rFonts w:ascii="Arial" w:hAnsi="Arial" w:eastAsia="Calibri" w:cs="Arial"/>
          <w:sz w:val="22"/>
          <w:szCs w:val="22"/>
          <w:lang w:val="es-ES"/>
        </w:rPr>
      </w:pPr>
    </w:p>
    <w:p w:rsidRPr="00924DEF" w:rsidR="008F1F27" w:rsidP="008F1F27" w:rsidRDefault="008F1F27" w14:paraId="7EFFE4CF" w14:textId="77777777">
      <w:pPr>
        <w:jc w:val="both"/>
        <w:rPr>
          <w:rFonts w:ascii="Arial" w:hAnsi="Arial" w:cs="Arial"/>
          <w:sz w:val="22"/>
          <w:szCs w:val="22"/>
          <w:lang w:val="es-ES" w:eastAsia="es-CO"/>
        </w:rPr>
      </w:pPr>
      <w:r w:rsidRPr="3E827245" w:rsidR="008F1F27">
        <w:rPr>
          <w:rFonts w:ascii="Arial" w:hAnsi="Arial" w:cs="Arial"/>
          <w:sz w:val="22"/>
          <w:szCs w:val="22"/>
          <w:lang w:val="es-ES" w:eastAsia="es-CO"/>
        </w:rPr>
        <w:t>Atentamente,</w:t>
      </w:r>
    </w:p>
    <w:p w:rsidRPr="0008465D" w:rsidR="008F1F27" w:rsidP="3E827245" w:rsidRDefault="008F1F27" w14:paraId="39F9E624" w14:textId="13E63C83">
      <w:pPr>
        <w:pStyle w:val="Normal"/>
        <w:jc w:val="center"/>
        <w:rPr>
          <w:rFonts w:ascii="Times New Roman" w:hAnsi="Times New Roman" w:eastAsia="Times New Roman" w:cs="Times New Roman"/>
          <w:lang w:val="es-ES" w:eastAsia="es-CO"/>
        </w:rPr>
      </w:pPr>
      <w:r w:rsidR="3E827245">
        <w:drawing>
          <wp:inline wp14:editId="3E827245" wp14:anchorId="4501DFF1">
            <wp:extent cx="2000250" cy="895350"/>
            <wp:effectExtent l="0" t="0" r="0" b="0"/>
            <wp:docPr id="1603830587" name="" descr="Texto&#10;&#10;Descripción generada automáticamente" title=""/>
            <wp:cNvGraphicFramePr>
              <a:graphicFrameLocks noChangeAspect="1"/>
            </wp:cNvGraphicFramePr>
            <a:graphic>
              <a:graphicData uri="http://schemas.openxmlformats.org/drawingml/2006/picture">
                <pic:pic>
                  <pic:nvPicPr>
                    <pic:cNvPr id="0" name=""/>
                    <pic:cNvPicPr/>
                  </pic:nvPicPr>
                  <pic:blipFill>
                    <a:blip r:embed="R2eed03f17cd54387">
                      <a:extLst>
                        <a:ext xmlns:a="http://schemas.openxmlformats.org/drawingml/2006/main" uri="{28A0092B-C50C-407E-A947-70E740481C1C}">
                          <a14:useLocalDpi val="0"/>
                        </a:ext>
                      </a:extLst>
                    </a:blip>
                    <a:stretch>
                      <a:fillRect/>
                    </a:stretch>
                  </pic:blipFill>
                  <pic:spPr>
                    <a:xfrm>
                      <a:off x="0" y="0"/>
                      <a:ext cx="2000250" cy="895350"/>
                    </a:xfrm>
                    <a:prstGeom prst="rect">
                      <a:avLst/>
                    </a:prstGeom>
                  </pic:spPr>
                </pic:pic>
              </a:graphicData>
            </a:graphic>
          </wp:inline>
        </w:drawing>
      </w:r>
    </w:p>
    <w:p w:rsidRPr="0008465D" w:rsidR="008F1F27" w:rsidP="008F1F27" w:rsidRDefault="008F1F27" w14:paraId="42FEC02E" w14:textId="77777777">
      <w:pPr>
        <w:jc w:val="center"/>
        <w:rPr>
          <w:rFonts w:ascii="Arial" w:hAnsi="Arial" w:cs="Arial"/>
          <w:sz w:val="18"/>
          <w:szCs w:val="20"/>
          <w:lang w:val="es-ES"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08465D" w:rsidR="008F1F27" w:rsidTr="00B10244" w14:paraId="0ADD22D4" w14:textId="77777777">
        <w:trPr>
          <w:trHeight w:val="315"/>
        </w:trPr>
        <w:tc>
          <w:tcPr>
            <w:tcW w:w="812" w:type="dxa"/>
            <w:vAlign w:val="center"/>
            <w:hideMark/>
          </w:tcPr>
          <w:p w:rsidRPr="0008465D" w:rsidR="008F1F27" w:rsidP="00B10244" w:rsidRDefault="008F1F27" w14:paraId="421F7B07" w14:textId="77777777">
            <w:pPr>
              <w:rPr>
                <w:rFonts w:ascii="Arial" w:hAnsi="Arial" w:cs="Arial"/>
                <w:sz w:val="16"/>
                <w:szCs w:val="16"/>
                <w:lang w:val="es-ES" w:eastAsia="es-ES"/>
              </w:rPr>
            </w:pPr>
            <w:r w:rsidRPr="0008465D">
              <w:rPr>
                <w:rFonts w:ascii="Arial" w:hAnsi="Arial" w:cs="Arial"/>
                <w:sz w:val="16"/>
                <w:szCs w:val="16"/>
                <w:lang w:val="es-ES" w:eastAsia="es-ES"/>
              </w:rPr>
              <w:t>Elaboró:</w:t>
            </w:r>
          </w:p>
        </w:tc>
        <w:tc>
          <w:tcPr>
            <w:tcW w:w="4413" w:type="dxa"/>
            <w:tcBorders>
              <w:top w:val="nil"/>
              <w:left w:val="nil"/>
              <w:bottom w:val="dotted" w:color="7F7F7F" w:themeColor="text1" w:themeTint="80" w:sz="4" w:space="0"/>
              <w:right w:val="nil"/>
            </w:tcBorders>
            <w:vAlign w:val="center"/>
            <w:hideMark/>
          </w:tcPr>
          <w:p w:rsidRPr="0008465D" w:rsidR="008F1F27" w:rsidP="00B10244" w:rsidRDefault="008F1F27" w14:paraId="4CBF9EF9" w14:textId="77777777">
            <w:pPr>
              <w:rPr>
                <w:rFonts w:ascii="Arial" w:hAnsi="Arial" w:cs="Arial"/>
                <w:sz w:val="16"/>
                <w:szCs w:val="16"/>
                <w:lang w:val="es-ES" w:eastAsia="es-ES"/>
              </w:rPr>
            </w:pPr>
            <w:r w:rsidRPr="0008465D">
              <w:rPr>
                <w:rFonts w:ascii="Arial" w:hAnsi="Arial" w:cs="Arial"/>
                <w:sz w:val="16"/>
                <w:szCs w:val="16"/>
                <w:lang w:val="es-ES" w:eastAsia="es-ES"/>
              </w:rPr>
              <w:t>Camilo Perdomo Villamil</w:t>
            </w:r>
          </w:p>
          <w:p w:rsidRPr="0008465D" w:rsidR="008F1F27" w:rsidP="00B10244" w:rsidRDefault="008F1F27" w14:paraId="6E4291B8" w14:textId="77777777">
            <w:pPr>
              <w:rPr>
                <w:rFonts w:ascii="Arial" w:hAnsi="Arial" w:cs="Arial"/>
                <w:sz w:val="16"/>
                <w:szCs w:val="16"/>
                <w:lang w:val="es-ES" w:eastAsia="es-ES"/>
              </w:rPr>
            </w:pPr>
            <w:r w:rsidRPr="0008465D">
              <w:rPr>
                <w:rFonts w:ascii="Arial" w:hAnsi="Arial" w:cs="Arial"/>
                <w:sz w:val="16"/>
                <w:szCs w:val="16"/>
                <w:lang w:val="es-ES" w:eastAsia="es-ES"/>
              </w:rPr>
              <w:t>Contratista de la Subdirección de Gestión Contractual</w:t>
            </w:r>
          </w:p>
        </w:tc>
      </w:tr>
      <w:tr w:rsidRPr="0008465D" w:rsidR="008F1F27" w:rsidTr="00B10244" w14:paraId="157EA2CB" w14:textId="77777777">
        <w:trPr>
          <w:trHeight w:val="330"/>
        </w:trPr>
        <w:tc>
          <w:tcPr>
            <w:tcW w:w="812" w:type="dxa"/>
            <w:vAlign w:val="center"/>
            <w:hideMark/>
          </w:tcPr>
          <w:p w:rsidRPr="0008465D" w:rsidR="008F1F27" w:rsidP="00B10244" w:rsidRDefault="008F1F27" w14:paraId="608DD08B" w14:textId="77777777">
            <w:pPr>
              <w:rPr>
                <w:rFonts w:ascii="Arial" w:hAnsi="Arial" w:cs="Arial"/>
                <w:sz w:val="16"/>
                <w:szCs w:val="16"/>
                <w:lang w:val="es-ES" w:eastAsia="es-ES"/>
              </w:rPr>
            </w:pPr>
            <w:r w:rsidRPr="0008465D">
              <w:rPr>
                <w:rFonts w:ascii="Arial" w:hAnsi="Arial" w:cs="Arial"/>
                <w:sz w:val="16"/>
                <w:szCs w:val="16"/>
                <w:lang w:val="es-ES"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8F1F27" w:rsidP="00B10244" w:rsidRDefault="008F1F27" w14:paraId="3B8640CF" w14:textId="77777777">
            <w:pPr>
              <w:rPr>
                <w:rFonts w:ascii="Arial" w:hAnsi="Arial" w:cs="Arial"/>
                <w:sz w:val="16"/>
                <w:szCs w:val="16"/>
                <w:lang w:val="es-ES" w:eastAsia="es-ES"/>
              </w:rPr>
            </w:pPr>
            <w:r w:rsidRPr="00EC0C5B">
              <w:rPr>
                <w:rFonts w:ascii="Arial" w:hAnsi="Arial" w:cs="Arial"/>
                <w:sz w:val="16"/>
                <w:szCs w:val="16"/>
                <w:lang w:val="es-ES" w:eastAsia="es-ES"/>
              </w:rPr>
              <w:t>Cristian Andrés Díaz Díez</w:t>
            </w:r>
          </w:p>
          <w:p w:rsidRPr="0008465D" w:rsidR="008F1F27" w:rsidP="00B10244" w:rsidRDefault="008F1F27" w14:paraId="287116A6" w14:textId="77777777">
            <w:pPr>
              <w:rPr>
                <w:rFonts w:ascii="Arial" w:hAnsi="Arial" w:cs="Arial"/>
                <w:sz w:val="16"/>
                <w:szCs w:val="16"/>
                <w:lang w:val="es-ES" w:eastAsia="es-ES"/>
              </w:rPr>
            </w:pPr>
            <w:r w:rsidRPr="0008465D">
              <w:rPr>
                <w:rFonts w:ascii="Arial" w:hAnsi="Arial" w:cs="Arial"/>
                <w:sz w:val="16"/>
                <w:szCs w:val="16"/>
                <w:lang w:val="es-ES" w:eastAsia="es-ES"/>
              </w:rPr>
              <w:t>Contratista de la Subdirección de Gestión Contractual</w:t>
            </w:r>
          </w:p>
        </w:tc>
      </w:tr>
      <w:tr w:rsidRPr="0008465D" w:rsidR="008F1F27" w:rsidTr="00B10244" w14:paraId="56EFC3BD" w14:textId="77777777">
        <w:trPr>
          <w:trHeight w:val="300"/>
        </w:trPr>
        <w:tc>
          <w:tcPr>
            <w:tcW w:w="812" w:type="dxa"/>
            <w:vAlign w:val="center"/>
            <w:hideMark/>
          </w:tcPr>
          <w:p w:rsidRPr="0008465D" w:rsidR="008F1F27" w:rsidP="00B10244" w:rsidRDefault="008F1F27" w14:paraId="3637F9F9" w14:textId="77777777">
            <w:pPr>
              <w:rPr>
                <w:rFonts w:ascii="Arial" w:hAnsi="Arial" w:cs="Arial"/>
                <w:sz w:val="16"/>
                <w:szCs w:val="16"/>
                <w:lang w:val="es-ES" w:eastAsia="es-ES"/>
              </w:rPr>
            </w:pPr>
            <w:r w:rsidRPr="0008465D">
              <w:rPr>
                <w:rFonts w:ascii="Arial" w:hAnsi="Arial" w:cs="Arial"/>
                <w:sz w:val="16"/>
                <w:szCs w:val="16"/>
                <w:lang w:val="es-ES"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08465D" w:rsidR="008F1F27" w:rsidP="00B10244" w:rsidRDefault="008F1F27" w14:paraId="1C7D9017" w14:textId="77777777">
            <w:pPr>
              <w:rPr>
                <w:rFonts w:ascii="Arial" w:hAnsi="Arial" w:cs="Arial"/>
                <w:sz w:val="16"/>
                <w:szCs w:val="16"/>
                <w:lang w:val="es-ES" w:eastAsia="es-ES"/>
              </w:rPr>
            </w:pPr>
            <w:r w:rsidRPr="0008465D">
              <w:rPr>
                <w:rFonts w:ascii="Arial" w:hAnsi="Arial" w:cs="Arial"/>
                <w:sz w:val="16"/>
                <w:szCs w:val="16"/>
                <w:lang w:val="es-ES" w:eastAsia="es-ES"/>
              </w:rPr>
              <w:t>Jorge Augusto Tirado Navarro</w:t>
            </w:r>
          </w:p>
          <w:p w:rsidRPr="0008465D" w:rsidR="008F1F27" w:rsidP="00B10244" w:rsidRDefault="008F1F27" w14:paraId="180D728A" w14:textId="77777777">
            <w:pPr>
              <w:rPr>
                <w:rFonts w:ascii="Arial" w:hAnsi="Arial" w:cs="Arial"/>
                <w:sz w:val="16"/>
                <w:szCs w:val="16"/>
                <w:lang w:val="es-ES" w:eastAsia="es-ES"/>
              </w:rPr>
            </w:pPr>
            <w:r w:rsidRPr="0008465D">
              <w:rPr>
                <w:rFonts w:ascii="Arial" w:hAnsi="Arial" w:cs="Arial"/>
                <w:sz w:val="16"/>
                <w:szCs w:val="16"/>
                <w:lang w:val="es-ES" w:eastAsia="es-ES"/>
              </w:rPr>
              <w:t>Subdirector de Gestión Contractual ANCP – CCE</w:t>
            </w:r>
          </w:p>
        </w:tc>
      </w:tr>
    </w:tbl>
    <w:p w:rsidR="008F1F27" w:rsidP="008F1F27" w:rsidRDefault="008F1F27" w14:paraId="47351EEC" w14:textId="77777777"/>
    <w:p w:rsidR="000B2F93" w:rsidP="008F1F27" w:rsidRDefault="000B2F93" w14:paraId="50A69111" w14:textId="77777777">
      <w:pPr>
        <w:spacing w:line="276" w:lineRule="auto"/>
      </w:pPr>
    </w:p>
    <w:sectPr w:rsidR="000B2F93" w:rsidSect="007F1895">
      <w:headerReference w:type="default" r:id="rId8"/>
      <w:footerReference w:type="default" r:id="rId9"/>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0ADF" w:rsidP="000B2F93" w:rsidRDefault="00CF0ADF" w14:paraId="6DC97246" w14:textId="77777777">
      <w:r>
        <w:separator/>
      </w:r>
    </w:p>
  </w:endnote>
  <w:endnote w:type="continuationSeparator" w:id="0">
    <w:p w:rsidR="00CF0ADF" w:rsidP="000B2F93" w:rsidRDefault="00CF0ADF" w14:paraId="67231F8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87886" w:rsidP="007F1895" w:rsidRDefault="00CF0ADF" w14:paraId="6A417096" w14:textId="77777777">
    <w:pPr>
      <w:pStyle w:val="Sinespaciado"/>
      <w:jc w:val="right"/>
      <w:rPr>
        <w:rFonts w:ascii="Arial" w:hAnsi="Arial" w:cs="Arial"/>
        <w:sz w:val="18"/>
        <w:szCs w:val="18"/>
      </w:rPr>
    </w:pPr>
  </w:p>
  <w:p w:rsidR="00387886" w:rsidP="007F1895" w:rsidRDefault="00CF0ADF" w14:paraId="6B8912A4" w14:textId="77777777">
    <w:pPr>
      <w:pStyle w:val="Sinespaciado"/>
      <w:jc w:val="right"/>
      <w:rPr>
        <w:rFonts w:ascii="Arial" w:hAnsi="Arial" w:cs="Arial"/>
        <w:sz w:val="18"/>
        <w:szCs w:val="18"/>
      </w:rPr>
    </w:pPr>
  </w:p>
  <w:p w:rsidRPr="008217B7" w:rsidR="00387886" w:rsidP="007F1895" w:rsidRDefault="007C2EF0" w14:paraId="049D09DA" w14:textId="7777777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rsidR="00387886" w:rsidP="007F1895" w:rsidRDefault="007C2EF0" w14:paraId="178FB5CE" w14:textId="77777777">
    <w:pPr>
      <w:pStyle w:val="Piedepgina"/>
      <w:jc w:val="center"/>
      <w:rPr>
        <w:lang w:val="es-ES"/>
      </w:rPr>
    </w:pPr>
    <w:r>
      <w:rPr>
        <w:noProof/>
      </w:rPr>
      <w:drawing>
        <wp:inline distT="0" distB="0" distL="0" distR="0" wp14:anchorId="231BB9A0" wp14:editId="79ACFD46">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rsidRPr="00E756AC" w:rsidR="00387886" w:rsidP="007F1895" w:rsidRDefault="00CF0ADF" w14:paraId="7F3E6FDB" w14:textId="77777777">
    <w:pPr>
      <w:pStyle w:val="Piedepgina"/>
      <w:jc w:val="center"/>
      <w:rPr>
        <w:sz w:val="18"/>
        <w:szCs w:val="18"/>
        <w:lang w:val="es-ES"/>
      </w:rPr>
    </w:pPr>
  </w:p>
  <w:p w:rsidRPr="00E756AC" w:rsidR="00387886" w:rsidP="007F1895" w:rsidRDefault="00CF0ADF" w14:paraId="19562477" w14:textId="7777777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0ADF" w:rsidP="000B2F93" w:rsidRDefault="00CF0ADF" w14:paraId="3ED9EFE9" w14:textId="77777777">
      <w:r>
        <w:separator/>
      </w:r>
    </w:p>
  </w:footnote>
  <w:footnote w:type="continuationSeparator" w:id="0">
    <w:p w:rsidR="00CF0ADF" w:rsidP="000B2F93" w:rsidRDefault="00CF0ADF" w14:paraId="23F8AC83" w14:textId="77777777">
      <w:r>
        <w:continuationSeparator/>
      </w:r>
    </w:p>
  </w:footnote>
  <w:footnote w:id="1">
    <w:p w:rsidRPr="00D074E1" w:rsidR="008F1F27" w:rsidP="008F1F27" w:rsidRDefault="008F1F27" w14:paraId="3E8CF750" w14:textId="77777777">
      <w:pPr>
        <w:pStyle w:val="Textonotapie"/>
        <w:ind w:firstLine="709"/>
        <w:jc w:val="both"/>
        <w:rPr>
          <w:rFonts w:ascii="Arial" w:hAnsi="Arial" w:cs="Arial"/>
          <w:sz w:val="16"/>
          <w:szCs w:val="16"/>
        </w:rPr>
      </w:pPr>
      <w:r w:rsidRPr="00D074E1">
        <w:rPr>
          <w:rStyle w:val="Refdenotaalpie"/>
          <w:rFonts w:ascii="Arial" w:hAnsi="Arial" w:cs="Arial"/>
          <w:sz w:val="16"/>
          <w:szCs w:val="16"/>
        </w:rPr>
        <w:footnoteRef/>
      </w:r>
      <w:r w:rsidRPr="00D074E1">
        <w:rPr>
          <w:rFonts w:ascii="Arial" w:hAnsi="Arial" w:cs="Arial"/>
          <w:sz w:val="16"/>
          <w:szCs w:val="16"/>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rsidRPr="00D074E1" w:rsidR="008F1F27" w:rsidP="008F1F27" w:rsidRDefault="008F1F27" w14:paraId="40F89340" w14:textId="77777777">
      <w:pPr>
        <w:pStyle w:val="Textonotapie"/>
        <w:ind w:firstLine="709"/>
        <w:jc w:val="both"/>
        <w:rPr>
          <w:rFonts w:ascii="Arial" w:hAnsi="Arial" w:cs="Arial"/>
          <w:sz w:val="16"/>
          <w:szCs w:val="16"/>
        </w:rPr>
      </w:pPr>
      <w:r w:rsidRPr="00D074E1">
        <w:rPr>
          <w:rFonts w:ascii="Arial" w:hAnsi="Arial" w:cs="Arial"/>
          <w:sz w:val="16"/>
          <w:szCs w:val="16"/>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rsidRPr="00D074E1" w:rsidR="008F1F27" w:rsidP="008F1F27" w:rsidRDefault="008F1F27" w14:paraId="1B35DA44" w14:textId="77777777">
      <w:pPr>
        <w:pStyle w:val="Textonotapie"/>
        <w:ind w:firstLine="709"/>
        <w:jc w:val="both"/>
        <w:rPr>
          <w:rFonts w:ascii="Arial" w:hAnsi="Arial" w:cs="Arial"/>
          <w:sz w:val="16"/>
          <w:szCs w:val="16"/>
        </w:rPr>
      </w:pPr>
    </w:p>
  </w:footnote>
  <w:footnote w:id="2">
    <w:p w:rsidRPr="00D074E1" w:rsidR="008F1F27" w:rsidP="008F1F27" w:rsidRDefault="008F1F27" w14:paraId="7C031846" w14:textId="77777777">
      <w:pPr>
        <w:pStyle w:val="Textonotapie"/>
        <w:ind w:firstLine="709"/>
        <w:jc w:val="both"/>
        <w:rPr>
          <w:rFonts w:ascii="Arial" w:hAnsi="Arial" w:cs="Arial"/>
          <w:sz w:val="16"/>
          <w:szCs w:val="16"/>
        </w:rPr>
      </w:pPr>
      <w:r w:rsidRPr="00D074E1">
        <w:rPr>
          <w:rStyle w:val="Refdenotaalpie"/>
          <w:rFonts w:ascii="Arial" w:hAnsi="Arial" w:cs="Arial"/>
          <w:sz w:val="16"/>
          <w:szCs w:val="16"/>
        </w:rPr>
        <w:footnoteRef/>
      </w:r>
      <w:r w:rsidRPr="00D074E1">
        <w:rPr>
          <w:rFonts w:ascii="Arial" w:hAnsi="Arial" w:cs="Arial"/>
          <w:sz w:val="16"/>
          <w:szCs w:val="16"/>
        </w:rPr>
        <w:t xml:space="preserve"> Gaceta del Congreso de la República No. 71 del 2005.</w:t>
      </w:r>
    </w:p>
    <w:p w:rsidRPr="00D074E1" w:rsidR="008F1F27" w:rsidP="008F1F27" w:rsidRDefault="008F1F27" w14:paraId="1DC730C4" w14:textId="77777777">
      <w:pPr>
        <w:pStyle w:val="Textonotapie"/>
        <w:ind w:firstLine="709"/>
        <w:jc w:val="both"/>
        <w:rPr>
          <w:rFonts w:ascii="Arial" w:hAnsi="Arial" w:cs="Arial"/>
          <w:sz w:val="16"/>
          <w:szCs w:val="16"/>
          <w:lang w:val="es-CO"/>
        </w:rPr>
      </w:pPr>
    </w:p>
  </w:footnote>
  <w:footnote w:id="3">
    <w:p w:rsidRPr="00D074E1" w:rsidR="008F1F27" w:rsidP="008F1F27" w:rsidRDefault="008F1F27" w14:paraId="7DA68213" w14:textId="77777777">
      <w:pPr>
        <w:pStyle w:val="Textonotapie"/>
        <w:ind w:firstLine="709"/>
        <w:jc w:val="both"/>
        <w:rPr>
          <w:rFonts w:ascii="Arial" w:hAnsi="Arial" w:cs="Arial"/>
          <w:sz w:val="16"/>
          <w:szCs w:val="16"/>
        </w:rPr>
      </w:pPr>
      <w:r w:rsidRPr="00D074E1">
        <w:rPr>
          <w:rStyle w:val="Refdenotaalpie"/>
          <w:rFonts w:ascii="Arial" w:hAnsi="Arial" w:cs="Arial"/>
          <w:sz w:val="16"/>
          <w:szCs w:val="16"/>
        </w:rPr>
        <w:footnoteRef/>
      </w:r>
      <w:r w:rsidRPr="00D074E1">
        <w:rPr>
          <w:rFonts w:ascii="Arial" w:hAnsi="Arial" w:cs="Arial"/>
          <w:sz w:val="16"/>
          <w:szCs w:val="16"/>
        </w:rPr>
        <w:t xml:space="preserve"> Corte Constitucional, Sentencia C- 1153 de 2005, M.P. Marco Gerardo Monroy Cabra.</w:t>
      </w:r>
    </w:p>
  </w:footnote>
  <w:footnote w:id="4">
    <w:p w:rsidRPr="00D074E1" w:rsidR="008F1F27" w:rsidP="008F1F27" w:rsidRDefault="008F1F27" w14:paraId="77D91FEA" w14:textId="77777777">
      <w:pPr>
        <w:pStyle w:val="Textonotapie"/>
        <w:ind w:firstLine="709"/>
        <w:jc w:val="both"/>
        <w:rPr>
          <w:rFonts w:ascii="Arial" w:hAnsi="Arial" w:cs="Arial"/>
          <w:sz w:val="16"/>
          <w:szCs w:val="16"/>
        </w:rPr>
      </w:pPr>
    </w:p>
    <w:p w:rsidRPr="00D074E1" w:rsidR="008F1F27" w:rsidP="008F1F27" w:rsidRDefault="008F1F27" w14:paraId="5FAA4E84" w14:textId="77777777">
      <w:pPr>
        <w:pStyle w:val="Textonotapie"/>
        <w:ind w:firstLine="709"/>
        <w:jc w:val="both"/>
        <w:rPr>
          <w:rFonts w:ascii="Arial" w:hAnsi="Arial" w:cs="Arial"/>
          <w:sz w:val="16"/>
          <w:szCs w:val="16"/>
        </w:rPr>
      </w:pPr>
      <w:r w:rsidRPr="00D074E1">
        <w:rPr>
          <w:rStyle w:val="Refdenotaalpie"/>
          <w:rFonts w:ascii="Arial" w:hAnsi="Arial" w:cs="Arial"/>
          <w:sz w:val="16"/>
          <w:szCs w:val="16"/>
        </w:rPr>
        <w:footnoteRef/>
      </w:r>
      <w:r w:rsidRPr="00D074E1">
        <w:rPr>
          <w:rFonts w:ascii="Arial" w:hAnsi="Arial" w:cs="Arial"/>
          <w:sz w:val="16"/>
          <w:szCs w:val="16"/>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rsidRPr="00D074E1" w:rsidR="008F1F27" w:rsidP="008F1F27" w:rsidRDefault="008F1F27" w14:paraId="2392F732" w14:textId="77777777">
      <w:pPr>
        <w:pStyle w:val="Textonotapie"/>
        <w:ind w:firstLine="709"/>
        <w:jc w:val="both"/>
        <w:rPr>
          <w:rFonts w:ascii="Arial" w:hAnsi="Arial" w:cs="Arial"/>
          <w:sz w:val="16"/>
          <w:szCs w:val="16"/>
        </w:rPr>
      </w:pPr>
    </w:p>
  </w:footnote>
  <w:footnote w:id="5">
    <w:p w:rsidRPr="00D074E1" w:rsidR="008F1F27" w:rsidP="008F1F27" w:rsidRDefault="008F1F27" w14:paraId="5821F974" w14:textId="77777777">
      <w:pPr>
        <w:pStyle w:val="Textonotapie"/>
        <w:ind w:firstLine="709"/>
        <w:jc w:val="both"/>
        <w:rPr>
          <w:rFonts w:ascii="Arial" w:hAnsi="Arial" w:cs="Arial"/>
          <w:sz w:val="16"/>
          <w:szCs w:val="16"/>
          <w:lang w:val="es-CO"/>
        </w:rPr>
      </w:pPr>
      <w:r w:rsidRPr="00D074E1">
        <w:rPr>
          <w:rStyle w:val="Refdenotaalpie"/>
          <w:rFonts w:ascii="Arial" w:hAnsi="Arial" w:cs="Arial"/>
          <w:sz w:val="16"/>
          <w:szCs w:val="16"/>
        </w:rPr>
        <w:footnoteRef/>
      </w:r>
      <w:r w:rsidRPr="00D074E1">
        <w:rPr>
          <w:rFonts w:ascii="Arial" w:hAnsi="Arial" w:cs="Arial"/>
          <w:sz w:val="16"/>
          <w:szCs w:val="16"/>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rsidRPr="00D074E1" w:rsidR="008F1F27" w:rsidP="008F1F27" w:rsidRDefault="008F1F27" w14:paraId="2A6BAB23" w14:textId="77777777">
      <w:pPr>
        <w:pStyle w:val="Textonotapie"/>
        <w:ind w:firstLine="709"/>
        <w:jc w:val="both"/>
        <w:rPr>
          <w:rFonts w:ascii="Arial" w:hAnsi="Arial" w:cs="Arial"/>
          <w:sz w:val="16"/>
          <w:szCs w:val="16"/>
          <w:lang w:val="es-CO"/>
        </w:rPr>
      </w:pPr>
    </w:p>
  </w:footnote>
  <w:footnote w:id="6">
    <w:p w:rsidRPr="00D074E1" w:rsidR="008F1F27" w:rsidP="008F1F27" w:rsidRDefault="008F1F27" w14:paraId="7F9128F0" w14:textId="77777777">
      <w:pPr>
        <w:pStyle w:val="Textonotapie"/>
        <w:ind w:firstLine="709"/>
        <w:jc w:val="both"/>
        <w:rPr>
          <w:rFonts w:ascii="Arial" w:hAnsi="Arial" w:cs="Arial"/>
          <w:sz w:val="16"/>
          <w:szCs w:val="16"/>
        </w:rPr>
      </w:pPr>
      <w:r w:rsidRPr="00D074E1">
        <w:rPr>
          <w:rStyle w:val="Refdenotaalpie"/>
          <w:rFonts w:ascii="Arial" w:hAnsi="Arial" w:cs="Arial"/>
          <w:sz w:val="16"/>
          <w:szCs w:val="16"/>
        </w:rPr>
        <w:footnoteRef/>
      </w:r>
      <w:r w:rsidRPr="00D074E1">
        <w:rPr>
          <w:rFonts w:ascii="Arial" w:hAnsi="Arial" w:cs="Arial"/>
          <w:sz w:val="16"/>
          <w:szCs w:val="16"/>
        </w:rPr>
        <w:t xml:space="preserve"> Consejo de Estado, Sala de Consulta y Servicio Civil de fecha 24 de julio de 2013, radicado 2166, Consejero Ponente: Álvaro Namén Vargas.  </w:t>
      </w:r>
    </w:p>
  </w:footnote>
  <w:footnote w:id="7">
    <w:p w:rsidRPr="00D074E1" w:rsidR="008F1F27" w:rsidP="008F1F27" w:rsidRDefault="008F1F27" w14:paraId="7EDC8D79" w14:textId="77777777">
      <w:pPr>
        <w:ind w:firstLine="709"/>
        <w:jc w:val="both"/>
        <w:rPr>
          <w:rFonts w:ascii="Arial" w:hAnsi="Arial" w:cs="Arial"/>
          <w:sz w:val="16"/>
          <w:szCs w:val="16"/>
        </w:rPr>
      </w:pPr>
      <w:r w:rsidRPr="00D074E1">
        <w:rPr>
          <w:rStyle w:val="Refdenotaalpie"/>
          <w:rFonts w:ascii="Arial" w:hAnsi="Arial" w:cs="Arial"/>
          <w:sz w:val="16"/>
          <w:szCs w:val="16"/>
        </w:rPr>
        <w:footnoteRef/>
      </w:r>
      <w:r w:rsidRPr="00D074E1">
        <w:rPr>
          <w:rFonts w:ascii="Arial" w:hAnsi="Arial" w:cs="Arial"/>
          <w:sz w:val="16"/>
          <w:szCs w:val="16"/>
        </w:rPr>
        <w:t xml:space="preserve"> </w:t>
      </w:r>
      <w:r w:rsidRPr="00D074E1">
        <w:rPr>
          <w:rFonts w:ascii="Arial" w:hAnsi="Arial" w:eastAsia="Calibri" w:cs="Arial"/>
          <w:bCs/>
          <w:color w:val="000000"/>
          <w:sz w:val="16"/>
          <w:szCs w:val="16"/>
        </w:rPr>
        <w:t>«</w:t>
      </w:r>
      <w:r w:rsidRPr="00D074E1">
        <w:rPr>
          <w:rFonts w:ascii="Arial" w:hAnsi="Arial" w:cs="Arial"/>
          <w:sz w:val="16"/>
          <w:szCs w:val="16"/>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rsidRPr="00D074E1" w:rsidR="008F1F27" w:rsidP="008F1F27" w:rsidRDefault="008F1F27" w14:paraId="6E2C58C2" w14:textId="77777777">
      <w:pPr>
        <w:ind w:firstLine="709"/>
        <w:jc w:val="both"/>
        <w:rPr>
          <w:rFonts w:ascii="Arial" w:hAnsi="Arial" w:cs="Arial"/>
          <w:sz w:val="16"/>
          <w:szCs w:val="16"/>
        </w:rPr>
      </w:pPr>
      <w:r w:rsidRPr="00D074E1">
        <w:rPr>
          <w:rFonts w:ascii="Arial" w:hAnsi="Arial" w:eastAsia="Calibri" w:cs="Arial"/>
          <w:bCs/>
          <w:color w:val="000000"/>
          <w:sz w:val="16"/>
          <w:szCs w:val="16"/>
        </w:rPr>
        <w:t>»</w:t>
      </w:r>
      <w:r w:rsidRPr="00D074E1">
        <w:rPr>
          <w:rFonts w:ascii="Arial" w:hAnsi="Arial" w:cs="Arial"/>
          <w:sz w:val="16"/>
          <w:szCs w:val="16"/>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D074E1">
        <w:rPr>
          <w:rFonts w:ascii="Arial" w:hAnsi="Arial" w:eastAsia="Calibri" w:cs="Arial"/>
          <w:bCs/>
          <w:color w:val="000000"/>
          <w:sz w:val="16"/>
          <w:szCs w:val="16"/>
        </w:rPr>
        <w:t>»</w:t>
      </w:r>
      <w:r w:rsidRPr="00D074E1">
        <w:rPr>
          <w:rFonts w:ascii="Arial" w:hAnsi="Arial" w:cs="Arial"/>
          <w:sz w:val="16"/>
          <w:szCs w:val="16"/>
        </w:rPr>
        <w:t>.</w:t>
      </w:r>
    </w:p>
  </w:footnote>
  <w:footnote w:id="8">
    <w:p w:rsidRPr="00D074E1" w:rsidR="008F1F27" w:rsidP="008F1F27" w:rsidRDefault="008F1F27" w14:paraId="365609C8" w14:textId="77777777">
      <w:pPr>
        <w:pStyle w:val="NormalWeb"/>
        <w:spacing w:before="0" w:beforeAutospacing="0" w:after="0" w:afterAutospacing="0"/>
        <w:ind w:firstLine="709"/>
        <w:jc w:val="both"/>
        <w:rPr>
          <w:rFonts w:ascii="Arial" w:hAnsi="Arial" w:cs="Arial"/>
          <w:sz w:val="16"/>
          <w:szCs w:val="16"/>
          <w:lang w:val="es-MX"/>
        </w:rPr>
      </w:pPr>
      <w:r w:rsidRPr="00D074E1">
        <w:rPr>
          <w:rStyle w:val="Refdenotaalpie"/>
          <w:rFonts w:ascii="Arial" w:hAnsi="Arial" w:cs="Arial"/>
          <w:sz w:val="16"/>
          <w:szCs w:val="16"/>
        </w:rPr>
        <w:footnoteRef/>
      </w:r>
      <w:r w:rsidRPr="00D074E1">
        <w:rPr>
          <w:rFonts w:ascii="Arial" w:hAnsi="Arial" w:cs="Arial"/>
          <w:sz w:val="16"/>
          <w:szCs w:val="16"/>
        </w:rPr>
        <w:t xml:space="preserve"> </w:t>
      </w:r>
      <w:r w:rsidRPr="00D074E1">
        <w:rPr>
          <w:rFonts w:ascii="Arial" w:hAnsi="Arial" w:eastAsia="Calibri" w:cs="Arial"/>
          <w:bCs/>
          <w:color w:val="000000"/>
          <w:sz w:val="16"/>
          <w:szCs w:val="16"/>
        </w:rPr>
        <w:t>«</w:t>
      </w:r>
      <w:r w:rsidRPr="00D074E1">
        <w:rPr>
          <w:rFonts w:ascii="Arial" w:hAnsi="Arial" w:cs="Arial"/>
          <w:sz w:val="16"/>
          <w:szCs w:val="16"/>
          <w:lang w:val="es-MX"/>
        </w:rPr>
        <w:t>Artículo 38. Prohibiciones para los servidores públicos. A los empleados del Estado les está prohibido:</w:t>
      </w:r>
    </w:p>
    <w:p w:rsidRPr="00D074E1" w:rsidR="008F1F27" w:rsidP="008F1F27" w:rsidRDefault="008F1F27" w14:paraId="1DC20883" w14:textId="77777777">
      <w:pPr>
        <w:pStyle w:val="NormalWeb"/>
        <w:spacing w:before="0" w:beforeAutospacing="0" w:after="0" w:afterAutospacing="0"/>
        <w:ind w:firstLine="709"/>
        <w:jc w:val="both"/>
        <w:rPr>
          <w:rFonts w:ascii="Arial" w:hAnsi="Arial" w:cs="Arial"/>
          <w:sz w:val="16"/>
          <w:szCs w:val="16"/>
          <w:lang w:val="es-MX"/>
        </w:rPr>
      </w:pPr>
      <w:r w:rsidRPr="00D074E1">
        <w:rPr>
          <w:rFonts w:ascii="Arial" w:hAnsi="Arial" w:eastAsia="Calibri" w:cs="Arial"/>
          <w:bCs/>
          <w:color w:val="000000"/>
          <w:sz w:val="16"/>
          <w:szCs w:val="16"/>
        </w:rPr>
        <w:t>»</w:t>
      </w:r>
      <w:r w:rsidRPr="00D074E1">
        <w:rPr>
          <w:rFonts w:ascii="Arial" w:hAnsi="Arial" w:cs="Arial"/>
          <w:sz w:val="16"/>
          <w:szCs w:val="16"/>
          <w:lang w:val="es-MX"/>
        </w:rPr>
        <w:t xml:space="preserve"> […]</w:t>
      </w:r>
    </w:p>
    <w:p w:rsidRPr="00D074E1" w:rsidR="008F1F27" w:rsidP="008F1F27" w:rsidRDefault="008F1F27" w14:paraId="37CD4EAD" w14:textId="77777777">
      <w:pPr>
        <w:ind w:firstLine="709"/>
        <w:jc w:val="both"/>
        <w:rPr>
          <w:rFonts w:ascii="Arial" w:hAnsi="Arial" w:cs="Arial"/>
          <w:sz w:val="16"/>
          <w:szCs w:val="16"/>
          <w:lang w:val="es-MX"/>
        </w:rPr>
      </w:pPr>
      <w:r w:rsidRPr="00D074E1">
        <w:rPr>
          <w:rFonts w:ascii="Arial" w:hAnsi="Arial" w:eastAsia="Calibri" w:cs="Arial"/>
          <w:bCs/>
          <w:color w:val="000000"/>
          <w:sz w:val="16"/>
          <w:szCs w:val="16"/>
        </w:rPr>
        <w:t>»</w:t>
      </w:r>
      <w:r w:rsidRPr="00D074E1">
        <w:rPr>
          <w:rStyle w:val="baj"/>
          <w:rFonts w:ascii="Arial" w:hAnsi="Arial" w:cs="Arial"/>
          <w:sz w:val="16"/>
          <w:szCs w:val="16"/>
        </w:rPr>
        <w:t xml:space="preserve"> Parágrafo.</w:t>
      </w:r>
      <w:r w:rsidRPr="00D074E1">
        <w:rPr>
          <w:rFonts w:ascii="Arial" w:hAnsi="Arial" w:cs="Arial"/>
          <w:sz w:val="16"/>
          <w:szCs w:val="16"/>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D074E1">
        <w:rPr>
          <w:rFonts w:ascii="Arial" w:hAnsi="Arial" w:eastAsia="Calibri" w:cs="Arial"/>
          <w:bCs/>
          <w:color w:val="000000"/>
          <w:sz w:val="16"/>
          <w:szCs w:val="16"/>
        </w:rPr>
        <w:t>»</w:t>
      </w:r>
      <w:r w:rsidRPr="00D074E1">
        <w:rPr>
          <w:rFonts w:ascii="Arial" w:hAnsi="Arial" w:cs="Arial"/>
          <w:sz w:val="16"/>
          <w:szCs w:val="16"/>
          <w:lang w:val="es-MX"/>
        </w:rPr>
        <w:t>.</w:t>
      </w:r>
    </w:p>
  </w:footnote>
  <w:footnote w:id="9">
    <w:p w:rsidRPr="00D074E1" w:rsidR="008F1F27" w:rsidP="008F1F27" w:rsidRDefault="008F1F27" w14:paraId="5A500874" w14:textId="77777777">
      <w:pPr>
        <w:ind w:left="100" w:right="244" w:firstLine="709"/>
        <w:jc w:val="both"/>
        <w:rPr>
          <w:rFonts w:ascii="Arial" w:hAnsi="Arial" w:cs="Arial"/>
          <w:sz w:val="16"/>
          <w:szCs w:val="16"/>
          <w:lang w:val="es-ES"/>
        </w:rPr>
      </w:pPr>
      <w:r w:rsidRPr="00D074E1">
        <w:rPr>
          <w:rStyle w:val="Refdenotaalpie"/>
          <w:rFonts w:ascii="Arial" w:hAnsi="Arial" w:cs="Arial"/>
          <w:sz w:val="16"/>
          <w:szCs w:val="16"/>
        </w:rPr>
        <w:footnoteRef/>
      </w:r>
      <w:r w:rsidRPr="00D074E1">
        <w:rPr>
          <w:rFonts w:ascii="Arial" w:hAnsi="Arial" w:cs="Arial"/>
          <w:sz w:val="16"/>
          <w:szCs w:val="16"/>
        </w:rPr>
        <w:t xml:space="preserve"> Consejo de Estado. Sala de Consulta y Servicio Civil. Concepto del 17 de febrero de 2015. C.P. William Zambrano Cetina. Radicación No. 11001-03-06-000-2015-00164-00(2269).</w:t>
      </w:r>
    </w:p>
  </w:footnote>
  <w:footnote w:id="10">
    <w:p w:rsidRPr="00D074E1" w:rsidR="008F1F27" w:rsidP="008F1F27" w:rsidRDefault="008F1F27" w14:paraId="4B614087" w14:textId="77777777">
      <w:pPr>
        <w:pStyle w:val="Textonotapie"/>
        <w:ind w:right="51" w:firstLine="709"/>
        <w:jc w:val="both"/>
        <w:rPr>
          <w:rFonts w:ascii="Arial" w:hAnsi="Arial" w:cs="Arial"/>
          <w:sz w:val="16"/>
          <w:szCs w:val="16"/>
        </w:rPr>
      </w:pPr>
      <w:r w:rsidRPr="00D074E1">
        <w:rPr>
          <w:rStyle w:val="Refdenotaalpie"/>
          <w:rFonts w:ascii="Arial" w:hAnsi="Arial" w:cs="Arial"/>
          <w:sz w:val="16"/>
          <w:szCs w:val="16"/>
        </w:rPr>
        <w:footnoteRef/>
      </w:r>
      <w:r w:rsidRPr="00D074E1">
        <w:rPr>
          <w:rFonts w:ascii="Arial" w:hAnsi="Arial" w:cs="Arial"/>
          <w:sz w:val="16"/>
          <w:szCs w:val="16"/>
        </w:rPr>
        <w:t xml:space="preserve"> «</w:t>
      </w:r>
      <w:r w:rsidRPr="00D074E1">
        <w:rPr>
          <w:rFonts w:ascii="Arial" w:hAnsi="Arial" w:cs="Arial"/>
          <w:sz w:val="16"/>
          <w:szCs w:val="16"/>
          <w:lang w:val="es-ES"/>
        </w:rPr>
        <w:t xml:space="preserve">[25] </w:t>
      </w:r>
      <w:r w:rsidRPr="00D074E1">
        <w:rPr>
          <w:rFonts w:ascii="Arial" w:hAnsi="Arial" w:cs="Arial"/>
          <w:sz w:val="16"/>
          <w:szCs w:val="16"/>
        </w:rPr>
        <w:t>Cfr. Consejo de Estado. Sección Tercera. Sentencia de 3 de diciembre de 2007. Radicados: 24.715, 25.206, 25.409, 24.524, 27.834, 25.410, 26.105, 28.244, 31.447 -acumulados-».</w:t>
      </w:r>
    </w:p>
    <w:p w:rsidRPr="00D074E1" w:rsidR="008F1F27" w:rsidP="008F1F27" w:rsidRDefault="008F1F27" w14:paraId="6CF55494" w14:textId="77777777">
      <w:pPr>
        <w:pStyle w:val="Textonotapie"/>
        <w:ind w:right="51" w:firstLine="709"/>
        <w:jc w:val="both"/>
        <w:rPr>
          <w:rFonts w:ascii="Arial" w:hAnsi="Arial" w:cs="Arial"/>
          <w:sz w:val="16"/>
          <w:szCs w:val="16"/>
        </w:rPr>
      </w:pPr>
    </w:p>
  </w:footnote>
  <w:footnote w:id="11">
    <w:p w:rsidRPr="00D074E1" w:rsidR="008F1F27" w:rsidP="008F1F27" w:rsidRDefault="008F1F27" w14:paraId="1ABAB44B" w14:textId="77777777">
      <w:pPr>
        <w:pStyle w:val="Textonotapie"/>
        <w:ind w:right="51" w:firstLine="709"/>
        <w:jc w:val="both"/>
        <w:rPr>
          <w:rFonts w:ascii="Arial" w:hAnsi="Arial" w:cs="Arial"/>
          <w:sz w:val="16"/>
          <w:szCs w:val="16"/>
        </w:rPr>
      </w:pPr>
      <w:r w:rsidRPr="00D074E1">
        <w:rPr>
          <w:rStyle w:val="Refdenotaalpie"/>
          <w:rFonts w:ascii="Arial" w:hAnsi="Arial" w:cs="Arial"/>
          <w:sz w:val="16"/>
          <w:szCs w:val="16"/>
        </w:rPr>
        <w:footnoteRef/>
      </w:r>
      <w:r w:rsidRPr="00D074E1">
        <w:rPr>
          <w:rFonts w:ascii="Arial" w:hAnsi="Arial" w:cs="Arial"/>
          <w:sz w:val="16"/>
          <w:szCs w:val="16"/>
        </w:rPr>
        <w:t xml:space="preserve"> «</w:t>
      </w:r>
      <w:r w:rsidRPr="00D074E1">
        <w:rPr>
          <w:rFonts w:ascii="Arial" w:hAnsi="Arial" w:cs="Arial"/>
          <w:sz w:val="16"/>
          <w:szCs w:val="16"/>
          <w:lang w:val="es-ES"/>
        </w:rPr>
        <w:t xml:space="preserve">[26] </w:t>
      </w:r>
      <w:r w:rsidRPr="00D074E1">
        <w:rPr>
          <w:rFonts w:ascii="Arial" w:hAnsi="Arial" w:cs="Arial"/>
          <w:sz w:val="16"/>
          <w:szCs w:val="16"/>
        </w:rPr>
        <w:t>Al respecto ver el concepto 1712 de 2 de febrero de 2006. Consejo de Estado Sala de Consulta y Servicio Civil».</w:t>
      </w:r>
    </w:p>
    <w:p w:rsidRPr="00D074E1" w:rsidR="008F1F27" w:rsidP="008F1F27" w:rsidRDefault="008F1F27" w14:paraId="07A364E9" w14:textId="77777777">
      <w:pPr>
        <w:pStyle w:val="Textonotapie"/>
        <w:ind w:right="51" w:firstLine="709"/>
        <w:jc w:val="both"/>
        <w:rPr>
          <w:rFonts w:ascii="Arial" w:hAnsi="Arial" w:cs="Arial"/>
          <w:sz w:val="16"/>
          <w:szCs w:val="16"/>
        </w:rPr>
      </w:pPr>
    </w:p>
  </w:footnote>
  <w:footnote w:id="12">
    <w:p w:rsidRPr="00D074E1" w:rsidR="008F1F27" w:rsidP="008F1F27" w:rsidRDefault="008F1F27" w14:paraId="2262F2F2" w14:textId="77777777">
      <w:pPr>
        <w:pStyle w:val="Textonotapie"/>
        <w:ind w:firstLine="709"/>
        <w:jc w:val="both"/>
        <w:rPr>
          <w:rFonts w:ascii="Arial" w:hAnsi="Arial" w:cs="Arial"/>
          <w:sz w:val="16"/>
          <w:szCs w:val="16"/>
        </w:rPr>
      </w:pPr>
      <w:r w:rsidRPr="00D074E1">
        <w:rPr>
          <w:rStyle w:val="Refdenotaalpie"/>
          <w:rFonts w:ascii="Arial" w:hAnsi="Arial" w:cs="Arial"/>
          <w:sz w:val="16"/>
          <w:szCs w:val="16"/>
        </w:rPr>
        <w:footnoteRef/>
      </w:r>
      <w:r w:rsidRPr="00D074E1">
        <w:rPr>
          <w:rFonts w:ascii="Arial" w:hAnsi="Arial" w:cs="Arial"/>
          <w:sz w:val="16"/>
          <w:szCs w:val="16"/>
        </w:rPr>
        <w:t xml:space="preserve"> Consejo de Estado. Sala de Consulta y Servicio Civil. Concepto del 2 de septiembre de 2013. Radicación número: 11001-03-06-000-2013-00412-00 (2168). Consejero Ponente: Álvaro Namén Vargas.</w:t>
      </w:r>
    </w:p>
  </w:footnote>
  <w:footnote w:id="13">
    <w:p w:rsidRPr="00D074E1" w:rsidR="008F1F27" w:rsidP="008F1F27" w:rsidRDefault="008F1F27" w14:paraId="490EFF83" w14:textId="77777777">
      <w:pPr>
        <w:pStyle w:val="Textonotapie"/>
        <w:ind w:firstLine="709"/>
        <w:jc w:val="both"/>
        <w:rPr>
          <w:rFonts w:ascii="Arial" w:hAnsi="Arial" w:cs="Arial"/>
          <w:sz w:val="16"/>
          <w:szCs w:val="16"/>
          <w:lang w:val="es-ES"/>
        </w:rPr>
      </w:pPr>
      <w:r w:rsidRPr="00D074E1">
        <w:rPr>
          <w:rStyle w:val="Refdenotaalpie"/>
          <w:rFonts w:ascii="Arial" w:hAnsi="Arial" w:cs="Arial"/>
          <w:sz w:val="16"/>
          <w:szCs w:val="16"/>
        </w:rPr>
        <w:footnoteRef/>
      </w:r>
      <w:r w:rsidRPr="00D074E1">
        <w:rPr>
          <w:rFonts w:ascii="Arial" w:hAnsi="Arial" w:cs="Arial"/>
          <w:sz w:val="16"/>
          <w:szCs w:val="16"/>
        </w:rPr>
        <w:t xml:space="preserve"> </w:t>
      </w:r>
      <w:r w:rsidRPr="00D074E1">
        <w:rPr>
          <w:rFonts w:ascii="Arial" w:hAnsi="Arial" w:cs="Arial"/>
          <w:sz w:val="16"/>
          <w:szCs w:val="16"/>
          <w:lang w:val="es-ES"/>
        </w:rPr>
        <w:t xml:space="preserve">Artículo 2. </w:t>
      </w:r>
    </w:p>
  </w:footnote>
  <w:footnote w:id="14">
    <w:p w:rsidRPr="00D074E1" w:rsidR="008F1F27" w:rsidP="008F1F27" w:rsidRDefault="008F1F27" w14:paraId="5F6D1702" w14:textId="77777777">
      <w:pPr>
        <w:pStyle w:val="Textonotapie"/>
        <w:ind w:firstLine="709"/>
        <w:jc w:val="both"/>
        <w:rPr>
          <w:rFonts w:ascii="Arial" w:hAnsi="Arial" w:cs="Arial"/>
          <w:sz w:val="16"/>
          <w:szCs w:val="16"/>
          <w:lang w:val="es-ES"/>
        </w:rPr>
      </w:pPr>
      <w:r w:rsidRPr="00D074E1">
        <w:rPr>
          <w:rStyle w:val="Refdenotaalpie"/>
          <w:rFonts w:ascii="Arial" w:hAnsi="Arial" w:cs="Arial"/>
          <w:sz w:val="16"/>
          <w:szCs w:val="16"/>
        </w:rPr>
        <w:footnoteRef/>
      </w:r>
      <w:r w:rsidRPr="00D074E1">
        <w:rPr>
          <w:rFonts w:ascii="Arial" w:hAnsi="Arial" w:cs="Arial"/>
          <w:sz w:val="16"/>
          <w:szCs w:val="16"/>
        </w:rPr>
        <w:t xml:space="preserve"> </w:t>
      </w:r>
      <w:r w:rsidRPr="00D074E1">
        <w:rPr>
          <w:rFonts w:ascii="Arial" w:hAnsi="Arial" w:cs="Arial"/>
          <w:i/>
          <w:sz w:val="16"/>
          <w:szCs w:val="16"/>
          <w:lang w:val="es-ES"/>
        </w:rPr>
        <w:t>Ídem</w:t>
      </w:r>
      <w:r w:rsidRPr="00D074E1">
        <w:rPr>
          <w:rFonts w:ascii="Arial" w:hAnsi="Arial" w:cs="Arial"/>
          <w:sz w:val="16"/>
          <w:szCs w:val="16"/>
          <w:lang w:val="es-ES"/>
        </w:rPr>
        <w:t>.</w:t>
      </w:r>
    </w:p>
  </w:footnote>
  <w:footnote w:id="15">
    <w:p w:rsidRPr="00D074E1" w:rsidR="008F1F27" w:rsidP="008F1F27" w:rsidRDefault="008F1F27" w14:paraId="7718A06F" w14:textId="77777777">
      <w:pPr>
        <w:pStyle w:val="Textonotapie"/>
        <w:ind w:firstLine="709"/>
        <w:jc w:val="both"/>
        <w:rPr>
          <w:rFonts w:ascii="Arial" w:hAnsi="Arial" w:cs="Arial"/>
          <w:sz w:val="16"/>
          <w:szCs w:val="16"/>
          <w:lang w:val="es-ES"/>
        </w:rPr>
      </w:pPr>
      <w:r w:rsidRPr="00D074E1">
        <w:rPr>
          <w:rStyle w:val="Refdenotaalpie"/>
          <w:rFonts w:ascii="Arial" w:hAnsi="Arial" w:cs="Arial"/>
          <w:sz w:val="16"/>
          <w:szCs w:val="16"/>
        </w:rPr>
        <w:footnoteRef/>
      </w:r>
      <w:r w:rsidRPr="00D074E1">
        <w:rPr>
          <w:rStyle w:val="Refdenotaalpie"/>
          <w:rFonts w:ascii="Arial" w:hAnsi="Arial" w:cs="Arial"/>
          <w:sz w:val="16"/>
          <w:szCs w:val="16"/>
        </w:rPr>
        <w:t xml:space="preserve"> </w:t>
      </w:r>
      <w:r w:rsidRPr="00D074E1">
        <w:rPr>
          <w:rFonts w:ascii="Arial" w:hAnsi="Arial" w:cs="Arial"/>
          <w:sz w:val="16"/>
          <w:szCs w:val="16"/>
          <w:lang w:val="es-ES"/>
        </w:rPr>
        <w:t xml:space="preserve">«[…] A este respecto, cabe recordar que el artículo 860 del Código de Comercio regula la licitación en el derecho privado». </w:t>
      </w:r>
    </w:p>
    <w:p w:rsidRPr="00D074E1" w:rsidR="008F1F27" w:rsidP="008F1F27" w:rsidRDefault="008F1F27" w14:paraId="06CFB412" w14:textId="77777777">
      <w:pPr>
        <w:pStyle w:val="Textonotapie"/>
        <w:ind w:firstLine="709"/>
        <w:jc w:val="both"/>
        <w:rPr>
          <w:rFonts w:ascii="Arial" w:hAnsi="Arial" w:cs="Arial"/>
          <w:sz w:val="16"/>
          <w:szCs w:val="16"/>
          <w:lang w:val="es-ES"/>
        </w:rPr>
      </w:pPr>
    </w:p>
  </w:footnote>
  <w:footnote w:id="16">
    <w:p w:rsidRPr="00D074E1" w:rsidR="008F1F27" w:rsidP="008F1F27" w:rsidRDefault="008F1F27" w14:paraId="693BBFD3" w14:textId="77777777">
      <w:pPr>
        <w:shd w:val="clear" w:color="auto" w:fill="FFFFFF"/>
        <w:ind w:firstLine="709"/>
        <w:jc w:val="both"/>
        <w:rPr>
          <w:rFonts w:ascii="Arial" w:hAnsi="Arial" w:cs="Arial"/>
          <w:sz w:val="16"/>
          <w:szCs w:val="16"/>
          <w:lang w:val="es-ES"/>
        </w:rPr>
      </w:pPr>
      <w:r w:rsidRPr="00D074E1">
        <w:rPr>
          <w:rStyle w:val="Refdenotaalpie"/>
          <w:rFonts w:ascii="Arial" w:hAnsi="Arial" w:cs="Arial"/>
          <w:sz w:val="16"/>
          <w:szCs w:val="16"/>
        </w:rPr>
        <w:footnoteRef/>
      </w:r>
      <w:r w:rsidRPr="00D074E1">
        <w:rPr>
          <w:rStyle w:val="Refdenotaalpie"/>
          <w:rFonts w:ascii="Arial" w:hAnsi="Arial" w:cs="Arial"/>
          <w:sz w:val="16"/>
          <w:szCs w:val="16"/>
        </w:rPr>
        <w:t xml:space="preserve"> </w:t>
      </w:r>
      <w:r w:rsidRPr="00D074E1">
        <w:rPr>
          <w:rFonts w:ascii="Arial" w:hAnsi="Arial" w:cs="Arial"/>
          <w:sz w:val="16"/>
          <w:szCs w:val="16"/>
          <w:lang w:val="es-ES"/>
        </w:rPr>
        <w:t>Consejo de Estado. Sala de Consulta y Servicio Civil, Concepto de 8 de mayo de 2018. Radicación Número: 11001-03-06-000-2018-00095-00(2382). Consejero Ponente: Álvaro Namén Vargas.</w:t>
      </w:r>
    </w:p>
  </w:footnote>
  <w:footnote w:id="17">
    <w:p w:rsidRPr="00D074E1" w:rsidR="008F1F27" w:rsidP="008F1F27" w:rsidRDefault="008F1F27" w14:paraId="343ADEB7" w14:textId="77777777">
      <w:pPr>
        <w:pStyle w:val="Textonotapie"/>
        <w:ind w:firstLine="709"/>
        <w:jc w:val="both"/>
        <w:rPr>
          <w:rFonts w:ascii="Arial" w:hAnsi="Arial" w:cs="Arial"/>
          <w:sz w:val="16"/>
          <w:szCs w:val="16"/>
        </w:rPr>
      </w:pPr>
    </w:p>
    <w:p w:rsidRPr="00D074E1" w:rsidR="008F1F27" w:rsidP="008F1F27" w:rsidRDefault="008F1F27" w14:paraId="517EDCE2" w14:textId="77777777">
      <w:pPr>
        <w:pStyle w:val="Textonotapie"/>
        <w:ind w:firstLine="709"/>
        <w:jc w:val="both"/>
        <w:rPr>
          <w:rFonts w:ascii="Arial" w:hAnsi="Arial" w:cs="Arial"/>
          <w:sz w:val="16"/>
          <w:szCs w:val="16"/>
        </w:rPr>
      </w:pPr>
      <w:r w:rsidRPr="00D074E1">
        <w:rPr>
          <w:rStyle w:val="Refdenotaalpie"/>
          <w:rFonts w:ascii="Arial" w:hAnsi="Arial" w:cs="Arial"/>
          <w:sz w:val="16"/>
          <w:szCs w:val="16"/>
        </w:rPr>
        <w:footnoteRef/>
      </w:r>
      <w:r w:rsidRPr="00D074E1">
        <w:rPr>
          <w:rFonts w:ascii="Arial" w:hAnsi="Arial" w:cs="Arial"/>
          <w:sz w:val="16"/>
          <w:szCs w:val="16"/>
        </w:rPr>
        <w:t xml:space="preserve"> Consejo de Estado. Sala de Consulta y Servicio Civil. Concepto del 08 de mayo de 2018. Exp. 2.382. C.P. Álvaro Namén Vargas.</w:t>
      </w:r>
    </w:p>
  </w:footnote>
  <w:footnote w:id="18">
    <w:p w:rsidRPr="00D074E1" w:rsidR="008F1F27" w:rsidP="008F1F27" w:rsidRDefault="008F1F27" w14:paraId="0AECB21B" w14:textId="77777777">
      <w:pPr>
        <w:pStyle w:val="Textonotapie"/>
        <w:ind w:firstLine="709"/>
        <w:jc w:val="both"/>
        <w:rPr>
          <w:rFonts w:ascii="Arial" w:hAnsi="Arial" w:cs="Arial"/>
          <w:sz w:val="16"/>
          <w:szCs w:val="16"/>
        </w:rPr>
      </w:pPr>
      <w:r w:rsidRPr="00D074E1">
        <w:rPr>
          <w:rStyle w:val="Refdenotaalpie"/>
          <w:rFonts w:ascii="Arial" w:hAnsi="Arial" w:cs="Arial"/>
          <w:sz w:val="16"/>
          <w:szCs w:val="16"/>
        </w:rPr>
        <w:footnoteRef/>
      </w:r>
      <w:r w:rsidRPr="00D074E1">
        <w:rPr>
          <w:rFonts w:ascii="Arial" w:hAnsi="Arial" w:cs="Arial"/>
          <w:sz w:val="16"/>
          <w:szCs w:val="16"/>
        </w:rPr>
        <w:t xml:space="preserve"> La Corte Constitucional mediante Sentencia C-1153-05 de 11 de noviembre de 2005, Magistrado Ponente Marco Gerardo Monroy Cabra, efectuó el Control constitucional al Proyecto de Ley Estatutaria N° 216/05 Senado, No. 235-Cámara que dio lugar a la Ley de Garantías Electorales.</w:t>
      </w:r>
    </w:p>
  </w:footnote>
  <w:footnote w:id="19">
    <w:p w:rsidRPr="00D074E1" w:rsidR="008F1F27" w:rsidP="008F1F27" w:rsidRDefault="008F1F27" w14:paraId="35796DC8" w14:textId="77777777">
      <w:pPr>
        <w:ind w:firstLine="709"/>
        <w:jc w:val="both"/>
        <w:rPr>
          <w:rFonts w:ascii="Arial" w:hAnsi="Arial" w:cs="Arial"/>
          <w:sz w:val="16"/>
          <w:szCs w:val="16"/>
        </w:rPr>
      </w:pPr>
      <w:r w:rsidRPr="00D074E1">
        <w:rPr>
          <w:rStyle w:val="Refdenotaalpie"/>
          <w:rFonts w:ascii="Arial" w:hAnsi="Arial" w:cs="Arial"/>
          <w:sz w:val="16"/>
          <w:szCs w:val="16"/>
        </w:rPr>
        <w:footnoteRef/>
      </w:r>
      <w:r w:rsidRPr="00D074E1">
        <w:rPr>
          <w:rFonts w:ascii="Arial" w:hAnsi="Arial" w:cs="Arial"/>
          <w:sz w:val="16"/>
          <w:szCs w:val="16"/>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0">
    <w:p w:rsidRPr="00D074E1" w:rsidR="008F1F27" w:rsidP="008F1F27" w:rsidRDefault="008F1F27" w14:paraId="0E755F6F" w14:textId="77777777">
      <w:pPr>
        <w:pStyle w:val="Textonotapie"/>
        <w:ind w:right="51" w:firstLine="709"/>
        <w:jc w:val="both"/>
        <w:rPr>
          <w:rFonts w:ascii="Arial" w:hAnsi="Arial" w:cs="Arial"/>
          <w:sz w:val="16"/>
          <w:szCs w:val="16"/>
        </w:rPr>
      </w:pPr>
      <w:r w:rsidRPr="00D074E1">
        <w:rPr>
          <w:rStyle w:val="Refdenotaalpie"/>
          <w:rFonts w:ascii="Arial" w:hAnsi="Arial" w:cs="Arial"/>
          <w:sz w:val="16"/>
          <w:szCs w:val="16"/>
        </w:rPr>
        <w:footnoteRef/>
      </w:r>
      <w:r w:rsidRPr="00D074E1">
        <w:rPr>
          <w:rFonts w:ascii="Arial" w:hAnsi="Arial" w:cs="Arial"/>
          <w:sz w:val="16"/>
          <w:szCs w:val="16"/>
        </w:rPr>
        <w:t xml:space="preserve"> </w:t>
      </w:r>
      <w:bookmarkStart w:name="_Hlk75633115" w:id="13"/>
      <w:r w:rsidRPr="00D074E1">
        <w:rPr>
          <w:rFonts w:ascii="Arial" w:hAnsi="Arial" w:cs="Arial"/>
          <w:sz w:val="16"/>
          <w:szCs w:val="16"/>
        </w:rPr>
        <w:t xml:space="preserve">Consejo de Estado. Sala de Consulta y Servicio Civil. Concepto </w:t>
      </w:r>
      <w:bookmarkEnd w:id="13"/>
      <w:r w:rsidRPr="00D074E1">
        <w:rPr>
          <w:rFonts w:ascii="Arial" w:hAnsi="Arial" w:cs="Arial"/>
          <w:sz w:val="16"/>
          <w:szCs w:val="16"/>
        </w:rPr>
        <w:t>de 6 de abril de 2006. Radicación Número: 11001-03-06-000-2006-00038-00(1738). Consejero Ponente: Enrique José Arboleda Perdomo:</w:t>
      </w:r>
      <w:r w:rsidRPr="00D074E1">
        <w:rPr>
          <w:rFonts w:ascii="Arial" w:hAnsi="Arial" w:eastAsia="Times New Roman" w:cs="Arial"/>
          <w:bCs/>
          <w:sz w:val="16"/>
          <w:szCs w:val="16"/>
          <w:lang w:eastAsia="x-none"/>
        </w:rPr>
        <w:t xml:space="preserve"> «</w:t>
      </w:r>
      <w:r w:rsidRPr="00D074E1">
        <w:rPr>
          <w:rFonts w:ascii="Arial" w:hAnsi="Arial" w:cs="Arial"/>
          <w:sz w:val="16"/>
          <w:szCs w:val="16"/>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D074E1">
        <w:rPr>
          <w:rFonts w:ascii="Arial" w:hAnsi="Arial" w:eastAsia="Times New Roman" w:cs="Arial"/>
          <w:bCs/>
          <w:sz w:val="16"/>
          <w:szCs w:val="16"/>
          <w:lang w:eastAsia="x-none"/>
        </w:rPr>
        <w:t>».</w:t>
      </w:r>
    </w:p>
  </w:footnote>
  <w:footnote w:id="21">
    <w:p w:rsidRPr="00D074E1" w:rsidR="008F1F27" w:rsidP="008F1F27" w:rsidRDefault="008F1F27" w14:paraId="47DAEDA1" w14:textId="77777777">
      <w:pPr>
        <w:pStyle w:val="Textonotapie"/>
        <w:ind w:right="51" w:firstLine="709"/>
        <w:jc w:val="both"/>
        <w:rPr>
          <w:rFonts w:ascii="Arial" w:hAnsi="Arial" w:cs="Arial"/>
          <w:sz w:val="16"/>
          <w:szCs w:val="16"/>
        </w:rPr>
      </w:pPr>
      <w:r w:rsidRPr="00D074E1">
        <w:rPr>
          <w:rStyle w:val="Refdenotaalpie"/>
          <w:rFonts w:ascii="Arial" w:hAnsi="Arial" w:cs="Arial"/>
          <w:sz w:val="16"/>
          <w:szCs w:val="16"/>
        </w:rPr>
        <w:footnoteRef/>
      </w:r>
      <w:r w:rsidRPr="00D074E1">
        <w:rPr>
          <w:rFonts w:ascii="Arial" w:hAnsi="Arial" w:cs="Arial"/>
          <w:sz w:val="16"/>
          <w:szCs w:val="16"/>
        </w:rPr>
        <w:t xml:space="preserve"> Consejo de Estado. Sala de Consulta y Servicio Civil. Concepto de 6 de abril de 2006. Radicación Número: 11001-03-06-000-2006-00038-00(1738). Consejero Ponente: Enrique José Arboleda Perdomo.</w:t>
      </w:r>
    </w:p>
    <w:p w:rsidRPr="00D074E1" w:rsidR="008F1F27" w:rsidP="008F1F27" w:rsidRDefault="008F1F27" w14:paraId="34DB1E31" w14:textId="77777777">
      <w:pPr>
        <w:pStyle w:val="Textonotapie"/>
        <w:ind w:right="51" w:firstLine="709"/>
        <w:jc w:val="both"/>
        <w:rPr>
          <w:rFonts w:ascii="Arial" w:hAnsi="Arial" w:cs="Arial"/>
          <w:sz w:val="16"/>
          <w:szCs w:val="16"/>
        </w:rPr>
      </w:pPr>
    </w:p>
  </w:footnote>
  <w:footnote w:id="22">
    <w:p w:rsidRPr="00D074E1" w:rsidR="008F1F27" w:rsidP="008F1F27" w:rsidRDefault="008F1F27" w14:paraId="55221C6F" w14:textId="77777777">
      <w:pPr>
        <w:pStyle w:val="Textonotapie"/>
        <w:ind w:right="51" w:firstLine="709"/>
        <w:jc w:val="both"/>
        <w:rPr>
          <w:rFonts w:ascii="Arial" w:hAnsi="Arial" w:cs="Arial"/>
          <w:sz w:val="16"/>
          <w:szCs w:val="16"/>
        </w:rPr>
      </w:pPr>
      <w:r w:rsidRPr="00D074E1">
        <w:rPr>
          <w:rStyle w:val="Refdenotaalpie"/>
          <w:rFonts w:ascii="Arial" w:hAnsi="Arial" w:cs="Arial"/>
          <w:sz w:val="16"/>
          <w:szCs w:val="16"/>
        </w:rPr>
        <w:footnoteRef/>
      </w:r>
      <w:r w:rsidRPr="00D074E1">
        <w:rPr>
          <w:rFonts w:ascii="Arial" w:hAnsi="Arial" w:cs="Arial"/>
          <w:sz w:val="16"/>
          <w:szCs w:val="16"/>
        </w:rPr>
        <w:t xml:space="preserve"> Consejo de Estado. Sala de Consulta y Servicio Civil, ídem.</w:t>
      </w:r>
    </w:p>
  </w:footnote>
  <w:footnote w:id="23">
    <w:p w:rsidRPr="00087EDA" w:rsidR="008F1F27" w:rsidP="008F1F27" w:rsidRDefault="008F1F27" w14:paraId="18A9B7FA" w14:textId="77777777">
      <w:pPr>
        <w:pStyle w:val="Textonotapie"/>
        <w:ind w:firstLine="709"/>
        <w:jc w:val="both"/>
        <w:rPr>
          <w:rFonts w:ascii="Arial" w:hAnsi="Arial" w:cs="Arial"/>
          <w:sz w:val="19"/>
          <w:szCs w:val="19"/>
          <w:lang w:val="es-ES"/>
        </w:rPr>
      </w:pPr>
      <w:r w:rsidRPr="00D074E1">
        <w:rPr>
          <w:rStyle w:val="Refdenotaalpie"/>
          <w:rFonts w:ascii="Arial" w:hAnsi="Arial" w:cs="Arial"/>
          <w:sz w:val="16"/>
          <w:szCs w:val="16"/>
        </w:rPr>
        <w:footnoteRef/>
      </w:r>
      <w:r w:rsidRPr="00D074E1">
        <w:rPr>
          <w:rFonts w:ascii="Arial" w:hAnsi="Arial" w:cs="Arial"/>
          <w:sz w:val="16"/>
          <w:szCs w:val="16"/>
        </w:rPr>
        <w:t xml:space="preserve"> </w:t>
      </w:r>
      <w:r w:rsidRPr="00D074E1">
        <w:rPr>
          <w:rFonts w:ascii="Arial" w:hAnsi="Arial" w:cs="Arial"/>
          <w:sz w:val="16"/>
          <w:szCs w:val="16"/>
          <w:lang w:val="es-ES"/>
        </w:rPr>
        <w:t>El numeral 16 del artículo tercero de la Ley 136 de 1994 dispone:</w:t>
      </w:r>
      <w:r w:rsidRPr="00D074E1">
        <w:rPr>
          <w:rFonts w:ascii="Arial" w:hAnsi="Arial" w:cs="Arial"/>
          <w:color w:val="000000" w:themeColor="text1"/>
          <w:sz w:val="16"/>
          <w:szCs w:val="16"/>
          <w:lang w:val="es-CO"/>
        </w:rPr>
        <w:t xml:space="preserve"> «[…] </w:t>
      </w:r>
      <w:r w:rsidRPr="00D074E1">
        <w:rPr>
          <w:rFonts w:ascii="Arial" w:hAnsi="Arial" w:cs="Arial"/>
          <w:sz w:val="16"/>
          <w:szCs w:val="16"/>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D074E1">
        <w:rPr>
          <w:rFonts w:ascii="Arial" w:hAnsi="Arial" w:cs="Arial"/>
          <w:color w:val="000000" w:themeColor="text1"/>
          <w:sz w:val="16"/>
          <w:szCs w:val="16"/>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87886" w:rsidRDefault="007C2EF0" w14:paraId="7742A9E4" w14:textId="77777777">
    <w:pPr>
      <w:pStyle w:val="Encabezado"/>
    </w:pPr>
    <w:r>
      <w:rPr>
        <w:noProof/>
        <w:lang w:val="es-CO" w:eastAsia="es-CO"/>
      </w:rPr>
      <w:drawing>
        <wp:anchor distT="0" distB="0" distL="114300" distR="114300" simplePos="0" relativeHeight="251659264" behindDoc="1" locked="0" layoutInCell="1" allowOverlap="1" wp14:anchorId="57019949" wp14:editId="7362747C">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93"/>
    <w:rsid w:val="000B2F93"/>
    <w:rsid w:val="007C2EF0"/>
    <w:rsid w:val="008F1F27"/>
    <w:rsid w:val="00BF34F2"/>
    <w:rsid w:val="00CF0ADF"/>
    <w:rsid w:val="00EA2FEE"/>
    <w:rsid w:val="3E8272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5C6394C"/>
  <w15:chartTrackingRefBased/>
  <w15:docId w15:val="{847351DB-D241-9A45-8995-A577B52397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B2F93"/>
    <w:rPr>
      <w:rFonts w:ascii="Times New Roman" w:hAnsi="Times New Roman" w:eastAsia="Times New Roman" w:cs="Times New Roman"/>
      <w:lang w:eastAsia="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0B2F93"/>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0B2F93"/>
    <w:rPr>
      <w:szCs w:val="22"/>
      <w:lang w:val="es-MX"/>
    </w:rPr>
  </w:style>
  <w:style w:type="paragraph" w:styleId="Encabezado">
    <w:name w:val="header"/>
    <w:basedOn w:val="Normal"/>
    <w:link w:val="EncabezadoCar"/>
    <w:uiPriority w:val="99"/>
    <w:unhideWhenUsed/>
    <w:rsid w:val="000B2F93"/>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0B2F93"/>
    <w:rPr>
      <w:szCs w:val="22"/>
      <w:lang w:val="es-MX"/>
    </w:rPr>
  </w:style>
  <w:style w:type="table" w:styleId="Tablaconcuadrcula">
    <w:name w:val="Table Grid"/>
    <w:basedOn w:val="Tablanormal"/>
    <w:uiPriority w:val="39"/>
    <w:qFormat/>
    <w:rsid w:val="000B2F93"/>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0B2F93"/>
    <w:pPr>
      <w:ind w:left="720"/>
      <w:contextualSpacing/>
    </w:pPr>
    <w:rPr>
      <w:rFonts w:asciiTheme="minorHAnsi" w:hAnsiTheme="minorHAnsi" w:eastAsiaTheme="minorHAnsi" w:cstheme="minorBidi"/>
      <w:szCs w:val="22"/>
      <w:lang w:val="es-MX" w:eastAsia="en-US"/>
    </w:rPr>
  </w:style>
  <w:style w:type="paragraph" w:styleId="Sinespaciado">
    <w:name w:val="No Spacing"/>
    <w:aliases w:val="No Indent"/>
    <w:uiPriority w:val="3"/>
    <w:qFormat/>
    <w:rsid w:val="000B2F93"/>
    <w:rPr>
      <w:szCs w:val="22"/>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0B2F9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0B2F93"/>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0B2F93"/>
    <w:rPr>
      <w:rFonts w:ascii="Times New Roman" w:hAnsi="Times New Roman" w:eastAsia="Times New Roman" w:cs="Times New Roman"/>
      <w:sz w:val="20"/>
      <w:szCs w:val="20"/>
      <w:lang w:eastAsia="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B2F93"/>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0B2F93"/>
    <w:rPr>
      <w:vertAlign w:val="superscript"/>
    </w:rPr>
  </w:style>
  <w:style w:type="paragraph" w:styleId="Appelnotedebasde" w:customStyle="1">
    <w:name w:val="Appel note de bas de..."/>
    <w:basedOn w:val="Normal"/>
    <w:link w:val="Refdenotaalpie"/>
    <w:uiPriority w:val="99"/>
    <w:rsid w:val="000B2F93"/>
    <w:pPr>
      <w:spacing w:after="160" w:line="240" w:lineRule="exact"/>
    </w:pPr>
    <w:rPr>
      <w:rFonts w:asciiTheme="minorHAnsi" w:hAnsiTheme="minorHAnsi" w:eastAsiaTheme="minorHAnsi" w:cstheme="minorBidi"/>
      <w:vertAlign w:val="superscript"/>
      <w:lang w:eastAsia="en-US"/>
    </w:rPr>
  </w:style>
  <w:style w:type="paragraph" w:styleId="NormalWeb">
    <w:name w:val="Normal (Web)"/>
    <w:basedOn w:val="Normal"/>
    <w:link w:val="NormalWebCar"/>
    <w:uiPriority w:val="99"/>
    <w:unhideWhenUsed/>
    <w:rsid w:val="000B2F93"/>
    <w:pPr>
      <w:spacing w:before="100" w:beforeAutospacing="1" w:after="100" w:afterAutospacing="1"/>
    </w:pPr>
  </w:style>
  <w:style w:type="character" w:styleId="NormalWebCar" w:customStyle="1">
    <w:name w:val="Normal (Web) Car"/>
    <w:link w:val="NormalWeb"/>
    <w:uiPriority w:val="99"/>
    <w:rsid w:val="000B2F93"/>
    <w:rPr>
      <w:rFonts w:ascii="Times New Roman" w:hAnsi="Times New Roman" w:eastAsia="Times New Roman" w:cs="Times New Roman"/>
      <w:lang w:eastAsia="es-MX"/>
    </w:rPr>
  </w:style>
  <w:style w:type="paragraph" w:styleId="Textoindependiente">
    <w:name w:val="Body Text"/>
    <w:basedOn w:val="Normal"/>
    <w:link w:val="TextoindependienteCar"/>
    <w:uiPriority w:val="1"/>
    <w:qFormat/>
    <w:rsid w:val="008F1F27"/>
    <w:pPr>
      <w:widowControl w:val="0"/>
      <w:autoSpaceDE w:val="0"/>
      <w:autoSpaceDN w:val="0"/>
    </w:pPr>
    <w:rPr>
      <w:rFonts w:ascii="Arial" w:hAnsi="Arial" w:eastAsia="Arial" w:cs="Arial"/>
      <w:sz w:val="20"/>
      <w:szCs w:val="20"/>
      <w:lang w:val="es-ES" w:eastAsia="en-US"/>
    </w:rPr>
  </w:style>
  <w:style w:type="character" w:styleId="TextoindependienteCar" w:customStyle="1">
    <w:name w:val="Texto independiente Car"/>
    <w:basedOn w:val="Fuentedeprrafopredeter"/>
    <w:link w:val="Textoindependiente"/>
    <w:uiPriority w:val="1"/>
    <w:rsid w:val="008F1F27"/>
    <w:rPr>
      <w:rFonts w:ascii="Arial" w:hAnsi="Arial" w:eastAsia="Arial" w:cs="Arial"/>
      <w:sz w:val="20"/>
      <w:szCs w:val="20"/>
      <w:lang w:val="es-ES"/>
    </w:rPr>
  </w:style>
  <w:style w:type="character" w:styleId="baj" w:customStyle="1">
    <w:name w:val="b_aj"/>
    <w:basedOn w:val="Fuentedeprrafopredeter"/>
    <w:rsid w:val="008F1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21641">
      <w:bodyDiv w:val="1"/>
      <w:marLeft w:val="0"/>
      <w:marRight w:val="0"/>
      <w:marTop w:val="0"/>
      <w:marBottom w:val="0"/>
      <w:divBdr>
        <w:top w:val="none" w:sz="0" w:space="0" w:color="auto"/>
        <w:left w:val="none" w:sz="0" w:space="0" w:color="auto"/>
        <w:bottom w:val="none" w:sz="0" w:space="0" w:color="auto"/>
        <w:right w:val="none" w:sz="0" w:space="0" w:color="auto"/>
      </w:divBdr>
      <w:divsChild>
        <w:div w:id="1752896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webSettings" Target="webSettings.xml" Id="rId3" /><Relationship Type="http://schemas.openxmlformats.org/officeDocument/2006/relationships/customXml" Target="../customXml/item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customXml" Target="../customXml/item3.xml" Id="rId14" /><Relationship Type="http://schemas.openxmlformats.org/officeDocument/2006/relationships/image" Target="/media/image.jpg" Id="R2eed03f17cd54387"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FD3AB56-1AC1-43B9-B03C-14F520DC67A7}"/>
</file>

<file path=customXml/itemProps2.xml><?xml version="1.0" encoding="utf-8"?>
<ds:datastoreItem xmlns:ds="http://schemas.openxmlformats.org/officeDocument/2006/customXml" ds:itemID="{43F403F2-CD58-42FC-A708-FDD172CFB018}"/>
</file>

<file path=customXml/itemProps3.xml><?xml version="1.0" encoding="utf-8"?>
<ds:datastoreItem xmlns:ds="http://schemas.openxmlformats.org/officeDocument/2006/customXml" ds:itemID="{37BC8B08-D0DE-4689-A258-94B23C04B7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nicolle saenz camargo</dc:creator>
  <keywords/>
  <dc:description/>
  <lastModifiedBy>Liliana Patricia Sanguino Arenas</lastModifiedBy>
  <revision>4</revision>
  <dcterms:created xsi:type="dcterms:W3CDTF">2022-02-18T19:03:00.0000000Z</dcterms:created>
  <dcterms:modified xsi:type="dcterms:W3CDTF">2022-03-29T04:24:17.0580921Z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