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1770" w14:textId="77777777" w:rsidR="000B2F93" w:rsidRPr="0008465D" w:rsidRDefault="000B2F93" w:rsidP="000B2F93">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1FE3ED05" w14:textId="77777777" w:rsidR="00953313" w:rsidRDefault="00953313" w:rsidP="00F11750">
      <w:pPr>
        <w:jc w:val="both"/>
        <w:rPr>
          <w:rFonts w:ascii="Arial" w:eastAsia="Calibri" w:hAnsi="Arial" w:cs="Arial"/>
          <w:b/>
          <w:sz w:val="20"/>
          <w:szCs w:val="20"/>
          <w:lang w:val="es-MX"/>
        </w:rPr>
      </w:pPr>
    </w:p>
    <w:p w14:paraId="4402B7B0" w14:textId="4666775E" w:rsidR="00417118" w:rsidRPr="00E87923" w:rsidRDefault="00953313" w:rsidP="00F11750">
      <w:pPr>
        <w:jc w:val="both"/>
        <w:rPr>
          <w:rFonts w:ascii="Arial" w:eastAsia="Calibri" w:hAnsi="Arial" w:cs="Arial"/>
          <w:b/>
          <w:sz w:val="22"/>
          <w:szCs w:val="22"/>
          <w:lang w:val="es-MX"/>
        </w:rPr>
      </w:pPr>
      <w:r w:rsidRPr="00E87923">
        <w:rPr>
          <w:rFonts w:ascii="Arial" w:eastAsia="Calibri" w:hAnsi="Arial" w:cs="Arial"/>
          <w:b/>
          <w:sz w:val="22"/>
          <w:szCs w:val="22"/>
          <w:lang w:val="es-MX"/>
        </w:rPr>
        <w:t xml:space="preserve">PRINCIPIO DE SELECCIÓN OBJETIVA – </w:t>
      </w:r>
      <w:r w:rsidR="00E668CC">
        <w:rPr>
          <w:rFonts w:ascii="Arial" w:eastAsia="Calibri" w:hAnsi="Arial" w:cs="Arial"/>
          <w:b/>
          <w:sz w:val="22"/>
          <w:szCs w:val="22"/>
          <w:lang w:val="es-MX"/>
        </w:rPr>
        <w:t xml:space="preserve">factores de desempate </w:t>
      </w:r>
    </w:p>
    <w:p w14:paraId="00A29B92" w14:textId="06089417" w:rsidR="000A12D9" w:rsidRPr="00E87923" w:rsidRDefault="000A12D9" w:rsidP="00E87923">
      <w:pPr>
        <w:jc w:val="both"/>
        <w:rPr>
          <w:rFonts w:ascii="Arial" w:eastAsia="Calibri" w:hAnsi="Arial" w:cs="Arial"/>
          <w:b/>
          <w:sz w:val="20"/>
          <w:szCs w:val="20"/>
          <w:lang w:val="es-MX"/>
        </w:rPr>
      </w:pPr>
    </w:p>
    <w:p w14:paraId="1D7B226D" w14:textId="30B69632" w:rsidR="00150841" w:rsidRPr="00150841" w:rsidRDefault="00150841" w:rsidP="00150841">
      <w:pPr>
        <w:jc w:val="both"/>
        <w:rPr>
          <w:rFonts w:ascii="Arial" w:eastAsia="Calibri" w:hAnsi="Arial" w:cs="Arial"/>
          <w:color w:val="000000" w:themeColor="text1"/>
          <w:sz w:val="20"/>
          <w:szCs w:val="20"/>
          <w:lang w:val="es-ES_tradnl"/>
        </w:rPr>
      </w:pPr>
      <w:r w:rsidRPr="00150841">
        <w:rPr>
          <w:rFonts w:ascii="Arial" w:eastAsia="Calibri" w:hAnsi="Arial" w:cs="Arial"/>
          <w:color w:val="000000" w:themeColor="text1"/>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150841">
        <w:rPr>
          <w:rFonts w:ascii="Arial" w:eastAsia="Calibri" w:hAnsi="Arial" w:cs="Arial"/>
          <w:color w:val="000000" w:themeColor="text1"/>
          <w:sz w:val="20"/>
          <w:szCs w:val="20"/>
          <w:lang w:val="es-ES_tradnl"/>
        </w:rPr>
        <w:t>equivalentes,</w:t>
      </w:r>
      <w:proofErr w:type="gramEnd"/>
      <w:r w:rsidRPr="00150841">
        <w:rPr>
          <w:rFonts w:ascii="Arial" w:eastAsia="Calibri" w:hAnsi="Arial" w:cs="Arial"/>
          <w:color w:val="000000" w:themeColor="text1"/>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67ACC42B" w14:textId="77777777" w:rsidR="00150841" w:rsidRPr="00150841" w:rsidRDefault="00150841" w:rsidP="00150841">
      <w:pPr>
        <w:jc w:val="both"/>
        <w:rPr>
          <w:rFonts w:ascii="Arial" w:eastAsia="Calibri" w:hAnsi="Arial" w:cs="Arial"/>
          <w:color w:val="000000" w:themeColor="text1"/>
          <w:sz w:val="20"/>
          <w:szCs w:val="20"/>
          <w:lang w:val="es-ES_tradnl"/>
        </w:rPr>
      </w:pPr>
    </w:p>
    <w:p w14:paraId="00CFDEAF" w14:textId="77777777" w:rsidR="00150841" w:rsidRPr="00150841" w:rsidRDefault="00150841" w:rsidP="00150841">
      <w:pPr>
        <w:tabs>
          <w:tab w:val="left" w:pos="0"/>
        </w:tabs>
        <w:spacing w:after="120"/>
        <w:jc w:val="both"/>
        <w:rPr>
          <w:rFonts w:ascii="Arial" w:eastAsia="Calibri" w:hAnsi="Arial" w:cs="Arial"/>
          <w:color w:val="000000" w:themeColor="text1"/>
          <w:sz w:val="20"/>
          <w:szCs w:val="20"/>
          <w:lang w:val="es-ES_tradnl"/>
        </w:rPr>
      </w:pPr>
      <w:r w:rsidRPr="00150841">
        <w:rPr>
          <w:rFonts w:ascii="Arial" w:eastAsia="Calibri" w:hAnsi="Arial"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092E403C" w14:textId="602C9007" w:rsidR="00E87923" w:rsidRDefault="00150841" w:rsidP="00150841">
      <w:pPr>
        <w:tabs>
          <w:tab w:val="left" w:pos="0"/>
        </w:tabs>
        <w:spacing w:after="120"/>
        <w:jc w:val="both"/>
        <w:rPr>
          <w:rFonts w:ascii="Arial" w:eastAsia="Calibri" w:hAnsi="Arial" w:cs="Arial"/>
          <w:b/>
          <w:sz w:val="22"/>
          <w:szCs w:val="22"/>
        </w:rPr>
      </w:pPr>
      <w:r>
        <w:rPr>
          <w:rFonts w:ascii="Arial" w:eastAsia="Calibri" w:hAnsi="Arial" w:cs="Arial"/>
          <w:b/>
          <w:sz w:val="22"/>
          <w:szCs w:val="22"/>
        </w:rPr>
        <w:t xml:space="preserve">CRITERIOS DE SUBSANABILIDAD – LEY 2069 DE 2020 </w:t>
      </w:r>
    </w:p>
    <w:p w14:paraId="589649E8" w14:textId="77777777" w:rsidR="00150841" w:rsidRPr="00150841" w:rsidRDefault="00150841" w:rsidP="00150841">
      <w:pPr>
        <w:spacing w:after="120"/>
        <w:jc w:val="both"/>
        <w:rPr>
          <w:rFonts w:ascii="Arial" w:eastAsia="Calibri" w:hAnsi="Arial" w:cs="Arial"/>
          <w:color w:val="000000" w:themeColor="text1"/>
          <w:sz w:val="20"/>
          <w:szCs w:val="20"/>
          <w:lang w:val="es-ES_tradnl"/>
        </w:rPr>
      </w:pPr>
      <w:r w:rsidRPr="00150841">
        <w:rPr>
          <w:rFonts w:ascii="Arial" w:eastAsia="Calibri" w:hAnsi="Arial" w:cs="Arial"/>
          <w:color w:val="000000" w:themeColor="text1"/>
          <w:sz w:val="20"/>
          <w:szCs w:val="20"/>
          <w:lang w:val="es-ES_tradnl"/>
        </w:rPr>
        <w:t xml:space="preserve">Para establecer responder la consulta es necesario precisar los siguientes aspectos: i) el momento en el que el proponente debe aportar los documentos que acreditan las causales del artículo 35 de la Ley 2069 de 2020, ii) si la no entrega de estos documentos es subsanable y iii) si es posible solicitar los documentos que acreditan los factores de desempate en la audiencia de adjudicación. Para estos efectos, es necesario realizar algunas consideraciones sobre el alcance de la regla de </w:t>
      </w:r>
      <w:proofErr w:type="spellStart"/>
      <w:r w:rsidRPr="00150841">
        <w:rPr>
          <w:rFonts w:ascii="Arial" w:eastAsia="Calibri" w:hAnsi="Arial" w:cs="Arial"/>
          <w:color w:val="000000" w:themeColor="text1"/>
          <w:sz w:val="20"/>
          <w:szCs w:val="20"/>
          <w:lang w:val="es-ES_tradnl"/>
        </w:rPr>
        <w:t>subsanabilidad</w:t>
      </w:r>
      <w:proofErr w:type="spellEnd"/>
      <w:r w:rsidRPr="00150841">
        <w:rPr>
          <w:rFonts w:ascii="Arial" w:eastAsia="Calibri" w:hAnsi="Arial" w:cs="Arial"/>
          <w:color w:val="000000" w:themeColor="text1"/>
          <w:sz w:val="20"/>
          <w:szCs w:val="20"/>
          <w:lang w:val="es-ES_tradnl"/>
        </w:rPr>
        <w:t xml:space="preserve"> en los procesos de selección.</w:t>
      </w:r>
    </w:p>
    <w:p w14:paraId="189E2C7D" w14:textId="77777777" w:rsidR="00150841" w:rsidRPr="00150841" w:rsidRDefault="00150841" w:rsidP="00150841">
      <w:pPr>
        <w:jc w:val="both"/>
        <w:rPr>
          <w:rFonts w:ascii="Arial" w:eastAsia="Calibri" w:hAnsi="Arial" w:cs="Arial"/>
          <w:color w:val="000000" w:themeColor="text1"/>
          <w:sz w:val="20"/>
          <w:szCs w:val="20"/>
          <w:lang w:val="es-ES"/>
        </w:rPr>
      </w:pPr>
      <w:r w:rsidRPr="00150841">
        <w:rPr>
          <w:rFonts w:ascii="Arial" w:eastAsia="Calibri" w:hAnsi="Arial" w:cs="Arial"/>
          <w:color w:val="000000" w:themeColor="text1"/>
          <w:sz w:val="20"/>
          <w:szCs w:val="20"/>
          <w:lang w:val="es-ES"/>
        </w:rPr>
        <w:t xml:space="preserve">La </w:t>
      </w:r>
      <w:proofErr w:type="spellStart"/>
      <w:r w:rsidRPr="00150841">
        <w:rPr>
          <w:rFonts w:ascii="Arial" w:eastAsia="Calibri" w:hAnsi="Arial" w:cs="Arial"/>
          <w:color w:val="000000" w:themeColor="text1"/>
          <w:sz w:val="20"/>
          <w:szCs w:val="20"/>
          <w:lang w:val="es-ES"/>
        </w:rPr>
        <w:t>subsanabilidad</w:t>
      </w:r>
      <w:proofErr w:type="spellEnd"/>
      <w:r w:rsidRPr="00150841">
        <w:rPr>
          <w:rFonts w:ascii="Arial" w:eastAsia="Calibri" w:hAnsi="Arial" w:cs="Arial"/>
          <w:color w:val="000000" w:themeColor="text1"/>
          <w:sz w:val="20"/>
          <w:szCs w:val="20"/>
          <w:lang w:val="es-ES"/>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p>
    <w:p w14:paraId="071D7DC6" w14:textId="77777777" w:rsidR="00150841" w:rsidRPr="00150841" w:rsidRDefault="00150841" w:rsidP="00150841">
      <w:pPr>
        <w:jc w:val="both"/>
        <w:rPr>
          <w:rFonts w:ascii="Arial" w:eastAsia="Calibri" w:hAnsi="Arial" w:cs="Arial"/>
          <w:color w:val="000000" w:themeColor="text1"/>
          <w:sz w:val="20"/>
          <w:szCs w:val="20"/>
          <w:lang w:val="es-ES"/>
        </w:rPr>
      </w:pPr>
    </w:p>
    <w:p w14:paraId="71799D21" w14:textId="77777777" w:rsidR="00150841" w:rsidRPr="00150841" w:rsidRDefault="00150841" w:rsidP="00150841">
      <w:pPr>
        <w:tabs>
          <w:tab w:val="left" w:pos="0"/>
        </w:tabs>
        <w:spacing w:after="120"/>
        <w:jc w:val="both"/>
        <w:rPr>
          <w:rFonts w:ascii="Arial" w:eastAsia="Calibri" w:hAnsi="Arial" w:cs="Arial"/>
          <w:color w:val="000000" w:themeColor="text1"/>
          <w:sz w:val="20"/>
          <w:szCs w:val="20"/>
          <w:lang w:val="es-ES"/>
        </w:rPr>
      </w:pPr>
      <w:r w:rsidRPr="00150841">
        <w:rPr>
          <w:rFonts w:ascii="Arial" w:eastAsia="Calibri" w:hAnsi="Arial" w:cs="Arial"/>
          <w:color w:val="000000" w:themeColor="text1"/>
          <w:sz w:val="20"/>
          <w:szCs w:val="20"/>
          <w:lang w:val="es-ES"/>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150841">
        <w:rPr>
          <w:rFonts w:ascii="Arial" w:eastAsia="Calibri" w:hAnsi="Arial" w:cs="Arial"/>
          <w:color w:val="000000" w:themeColor="text1"/>
          <w:sz w:val="20"/>
          <w:szCs w:val="20"/>
          <w:lang w:val="es-ES"/>
        </w:rPr>
        <w:t>la misma</w:t>
      </w:r>
      <w:proofErr w:type="gramEnd"/>
      <w:r w:rsidRPr="00150841">
        <w:rPr>
          <w:rFonts w:ascii="Arial" w:eastAsia="Calibri" w:hAnsi="Arial" w:cs="Arial"/>
          <w:color w:val="000000" w:themeColor="text1"/>
          <w:sz w:val="20"/>
          <w:szCs w:val="20"/>
          <w:lang w:val="es-ES"/>
        </w:rPr>
        <w:t>, priven a la administración de considerar una oferta por causa de tales falencias</w:t>
      </w:r>
    </w:p>
    <w:p w14:paraId="54D84046" w14:textId="3C77EE21" w:rsidR="00E87923" w:rsidRDefault="00E87923" w:rsidP="00150841">
      <w:pPr>
        <w:tabs>
          <w:tab w:val="left" w:pos="0"/>
        </w:tabs>
        <w:spacing w:after="120"/>
        <w:jc w:val="both"/>
        <w:rPr>
          <w:rFonts w:ascii="Arial" w:eastAsia="Calibri" w:hAnsi="Arial" w:cs="Arial"/>
          <w:b/>
          <w:sz w:val="22"/>
          <w:szCs w:val="22"/>
        </w:rPr>
      </w:pPr>
      <w:r>
        <w:rPr>
          <w:rFonts w:ascii="Arial" w:eastAsia="Calibri" w:hAnsi="Arial" w:cs="Arial"/>
          <w:b/>
          <w:sz w:val="22"/>
          <w:szCs w:val="22"/>
        </w:rPr>
        <w:t xml:space="preserve">DOCUMENTOS TIPO – </w:t>
      </w:r>
      <w:r w:rsidR="00CA0752" w:rsidRPr="00CA0752">
        <w:rPr>
          <w:rFonts w:ascii="Arial" w:eastAsia="Calibri" w:hAnsi="Arial" w:cs="Arial"/>
          <w:b/>
          <w:sz w:val="22"/>
          <w:szCs w:val="22"/>
        </w:rPr>
        <w:t>formatos 10 y 11</w:t>
      </w:r>
      <w:r>
        <w:rPr>
          <w:rFonts w:ascii="Arial" w:eastAsia="Calibri" w:hAnsi="Arial" w:cs="Arial"/>
          <w:b/>
          <w:sz w:val="22"/>
          <w:szCs w:val="22"/>
        </w:rPr>
        <w:t xml:space="preserve"> – LEY 2069 DE 2020 – </w:t>
      </w:r>
      <w:r w:rsidR="007D2816">
        <w:rPr>
          <w:rFonts w:ascii="Arial" w:eastAsia="Calibri" w:hAnsi="Arial" w:cs="Arial"/>
          <w:b/>
          <w:sz w:val="22"/>
          <w:szCs w:val="22"/>
        </w:rPr>
        <w:t>artículo 35</w:t>
      </w:r>
      <w:r>
        <w:rPr>
          <w:rFonts w:ascii="Arial" w:eastAsia="Calibri" w:hAnsi="Arial" w:cs="Arial"/>
          <w:b/>
          <w:sz w:val="22"/>
          <w:szCs w:val="22"/>
        </w:rPr>
        <w:t xml:space="preserve"> – FACTORES DE DESEMPATE </w:t>
      </w:r>
    </w:p>
    <w:p w14:paraId="650F53F1" w14:textId="77777777" w:rsidR="00150841" w:rsidRPr="00150841" w:rsidRDefault="00150841" w:rsidP="00150841">
      <w:pPr>
        <w:spacing w:before="120" w:after="120"/>
        <w:jc w:val="both"/>
        <w:rPr>
          <w:rFonts w:ascii="Arial" w:hAnsi="Arial" w:cs="Arial"/>
          <w:sz w:val="20"/>
          <w:szCs w:val="20"/>
          <w:lang w:val="es-ES"/>
        </w:rPr>
      </w:pPr>
      <w:r w:rsidRPr="00150841">
        <w:rPr>
          <w:rFonts w:ascii="Arial" w:hAnsi="Arial" w:cs="Arial"/>
          <w:sz w:val="20"/>
          <w:szCs w:val="20"/>
          <w:lang w:val="es-ES"/>
        </w:rPr>
        <w:t xml:space="preserve">Dado esto, esta Agencia expidió la Resolución 161 de 2021, en procura de acoger los factores establecidos en la mencionada ley y, al efecto, fue modificado el numeral 4.6 del documento base de los documentos tipo los documentos tipo de obra pública de infraestructura de transporte </w:t>
      </w:r>
      <w:r w:rsidRPr="00150841">
        <w:rPr>
          <w:rFonts w:ascii="Arial" w:hAnsi="Arial" w:cs="Arial"/>
          <w:sz w:val="20"/>
          <w:szCs w:val="20"/>
          <w:lang w:val="es-ES"/>
        </w:rPr>
        <w:lastRenderedPageBreak/>
        <w:t>adelantados bajo la modalidad de licitación pública -Versión 3-, adoptados mediante la Resolución 240 del 27 de noviembre de 2020 y de los documentos tipo de obra pública para proyectos de agua potable y saneamiento básico bajo la modalidad de licitación pública, expedidos a través de la Resolución 248 del 1 de diciembre de 2020 y los de la modalidad llave en mano, adoptados por la Resolución 249 del 1 de diciembre de 2020 con la finalidad de incluir los criterios establecidos por la Ley.</w:t>
      </w:r>
    </w:p>
    <w:p w14:paraId="18143612" w14:textId="77777777" w:rsidR="00150841" w:rsidRPr="00150841" w:rsidRDefault="00150841" w:rsidP="00150841">
      <w:pPr>
        <w:spacing w:before="120" w:after="120"/>
        <w:jc w:val="both"/>
        <w:rPr>
          <w:rFonts w:ascii="Arial" w:hAnsi="Arial" w:cs="Arial"/>
          <w:sz w:val="20"/>
          <w:szCs w:val="20"/>
        </w:rPr>
      </w:pPr>
      <w:r w:rsidRPr="00150841">
        <w:rPr>
          <w:rFonts w:ascii="Arial" w:hAnsi="Arial" w:cs="Arial"/>
          <w:sz w:val="20"/>
          <w:szCs w:val="20"/>
        </w:rPr>
        <w:t>En concordancia con este propósito, el artículo 2 de la Resolución 161 de 2021 incluyó el «Formato 10 -Criterios de desempate» a los documentos tipo</w:t>
      </w:r>
      <w:r w:rsidRPr="00150841">
        <w:rPr>
          <w:sz w:val="20"/>
          <w:szCs w:val="20"/>
        </w:rPr>
        <w:t xml:space="preserve"> </w:t>
      </w:r>
      <w:r w:rsidRPr="00150841">
        <w:rPr>
          <w:rFonts w:ascii="Arial" w:hAnsi="Arial" w:cs="Arial"/>
          <w:sz w:val="20"/>
          <w:szCs w:val="20"/>
        </w:rPr>
        <w:t>de obra pública de infraestructura de transporte adelantados bajo la modalidad de licitación pública -Versión3-, adoptados mediante la Resolución 240 del 27 de noviembre de 2020, a los documentos tipo de interventoría de obra pública infraestructura de transporte adelantados bajo la modalidad de concurso de méritos, incorporados por medio de la Resolución 256 del 11 de diciembre de 2020 y de los documentos tipo de obra pública para proyectos de agua potable y saneamiento básico adelantados bajo la modalidad de licitación pública, acogidos a través de la Resolución 248 del 1 de diciembre de 2020, y los de la modalidad llave en mano, adoptados por la Resolución 249 del 1 de diciembre de 2020.</w:t>
      </w:r>
    </w:p>
    <w:p w14:paraId="5A6B0B22" w14:textId="77777777" w:rsidR="00150841" w:rsidRPr="00150841" w:rsidRDefault="00150841" w:rsidP="00150841">
      <w:pPr>
        <w:spacing w:before="120" w:after="120"/>
        <w:jc w:val="both"/>
        <w:rPr>
          <w:rFonts w:ascii="Arial" w:hAnsi="Arial" w:cs="Arial"/>
          <w:sz w:val="20"/>
          <w:szCs w:val="20"/>
        </w:rPr>
      </w:pPr>
      <w:r w:rsidRPr="00150841">
        <w:rPr>
          <w:rFonts w:ascii="Arial" w:hAnsi="Arial" w:cs="Arial"/>
          <w:sz w:val="20"/>
          <w:szCs w:val="20"/>
        </w:rPr>
        <w:t>Conforme a lo anterior, la finalidad del Formato 10 es, precisamente, la acreditación de factores de desempate en el caso de personas jurídicas pues, en virtud de la Resolución 161 de 2021, se preferirá a aquellas en las que «…participen mayoritariamente mujeres cabeza de familia y/o mujeres víctimas de violencia intrafamiliar, para lo cual el representante legal o el revisor fiscal, según corresponda, diligenciará el «Formato 10A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5681756F" w14:textId="3F82F525" w:rsidR="00E87923" w:rsidRPr="00E87923" w:rsidRDefault="00E87923" w:rsidP="00E87923">
      <w:pPr>
        <w:tabs>
          <w:tab w:val="left" w:pos="0"/>
        </w:tabs>
        <w:spacing w:after="120"/>
        <w:jc w:val="both"/>
        <w:rPr>
          <w:rFonts w:ascii="Arial" w:eastAsia="Calibri" w:hAnsi="Arial" w:cs="Arial"/>
          <w:b/>
          <w:sz w:val="20"/>
          <w:szCs w:val="20"/>
        </w:rPr>
      </w:pPr>
    </w:p>
    <w:p w14:paraId="1E0373C5" w14:textId="77777777" w:rsidR="00E87923" w:rsidRPr="00E87923" w:rsidRDefault="00E87923" w:rsidP="00E87923">
      <w:pPr>
        <w:tabs>
          <w:tab w:val="left" w:pos="0"/>
        </w:tabs>
        <w:spacing w:after="120"/>
        <w:jc w:val="both"/>
        <w:rPr>
          <w:rFonts w:ascii="Arial" w:eastAsia="Calibri" w:hAnsi="Arial" w:cs="Arial"/>
          <w:b/>
          <w:sz w:val="20"/>
          <w:szCs w:val="20"/>
        </w:rPr>
      </w:pPr>
    </w:p>
    <w:p w14:paraId="43EEA630" w14:textId="77777777" w:rsidR="00E87923" w:rsidRPr="00E87923" w:rsidRDefault="00E87923" w:rsidP="00E87923">
      <w:pPr>
        <w:tabs>
          <w:tab w:val="left" w:pos="0"/>
        </w:tabs>
        <w:spacing w:after="120"/>
        <w:jc w:val="both"/>
        <w:rPr>
          <w:rFonts w:ascii="Arial" w:eastAsia="Calibri" w:hAnsi="Arial" w:cs="Arial"/>
          <w:b/>
          <w:sz w:val="20"/>
          <w:szCs w:val="20"/>
        </w:rPr>
      </w:pPr>
    </w:p>
    <w:p w14:paraId="42F7811D" w14:textId="77777777" w:rsidR="00E87923" w:rsidRPr="00E87923" w:rsidRDefault="00E87923" w:rsidP="00E87923">
      <w:pPr>
        <w:tabs>
          <w:tab w:val="left" w:pos="0"/>
        </w:tabs>
        <w:spacing w:after="120"/>
        <w:jc w:val="both"/>
        <w:rPr>
          <w:rFonts w:ascii="Arial" w:eastAsia="Calibri" w:hAnsi="Arial" w:cs="Arial"/>
          <w:bCs/>
          <w:sz w:val="20"/>
          <w:szCs w:val="20"/>
        </w:rPr>
      </w:pPr>
    </w:p>
    <w:p w14:paraId="7D43E40E" w14:textId="77777777" w:rsidR="00E87923" w:rsidRPr="00E87923" w:rsidRDefault="00E87923" w:rsidP="00E87923">
      <w:pPr>
        <w:tabs>
          <w:tab w:val="left" w:pos="0"/>
        </w:tabs>
        <w:spacing w:after="120"/>
        <w:jc w:val="both"/>
        <w:rPr>
          <w:rFonts w:ascii="Arial" w:eastAsia="Calibri" w:hAnsi="Arial" w:cs="Arial"/>
          <w:bCs/>
          <w:sz w:val="20"/>
          <w:szCs w:val="20"/>
        </w:rPr>
      </w:pPr>
    </w:p>
    <w:p w14:paraId="57DA6AA8" w14:textId="713A98C1" w:rsidR="00F11750" w:rsidRPr="00E87923" w:rsidRDefault="00F11750" w:rsidP="008F1F27">
      <w:pPr>
        <w:rPr>
          <w:rFonts w:ascii="Arial" w:eastAsia="Calibri" w:hAnsi="Arial" w:cs="Arial"/>
          <w:sz w:val="20"/>
          <w:szCs w:val="20"/>
          <w:lang w:val="es-ES"/>
        </w:rPr>
      </w:pPr>
    </w:p>
    <w:p w14:paraId="70030944" w14:textId="3F8757EF" w:rsidR="00F11750" w:rsidRPr="00E87923" w:rsidRDefault="00F11750" w:rsidP="008F1F27">
      <w:pPr>
        <w:rPr>
          <w:rFonts w:ascii="Arial" w:eastAsia="Calibri" w:hAnsi="Arial" w:cs="Arial"/>
          <w:sz w:val="20"/>
          <w:szCs w:val="20"/>
          <w:lang w:val="es-ES"/>
        </w:rPr>
      </w:pPr>
    </w:p>
    <w:p w14:paraId="46454AC2" w14:textId="6B51D3A2" w:rsidR="00F11750" w:rsidRPr="00E87923" w:rsidRDefault="00F11750" w:rsidP="008F1F27">
      <w:pPr>
        <w:rPr>
          <w:rFonts w:ascii="Arial" w:eastAsia="Calibri" w:hAnsi="Arial" w:cs="Arial"/>
          <w:sz w:val="20"/>
          <w:szCs w:val="20"/>
          <w:lang w:val="es-ES"/>
        </w:rPr>
      </w:pPr>
    </w:p>
    <w:p w14:paraId="3D30E1EA" w14:textId="1757B5C9" w:rsidR="00F11750" w:rsidRDefault="00F11750" w:rsidP="008F1F27">
      <w:pPr>
        <w:rPr>
          <w:rFonts w:ascii="Arial" w:eastAsia="Calibri" w:hAnsi="Arial" w:cs="Arial"/>
          <w:sz w:val="22"/>
          <w:szCs w:val="22"/>
          <w:lang w:val="es-ES"/>
        </w:rPr>
      </w:pPr>
    </w:p>
    <w:p w14:paraId="1AE5A974" w14:textId="77A27AEA" w:rsidR="00F11750" w:rsidRDefault="00F11750" w:rsidP="008F1F27">
      <w:pPr>
        <w:rPr>
          <w:rFonts w:ascii="Arial" w:eastAsia="Calibri" w:hAnsi="Arial" w:cs="Arial"/>
          <w:sz w:val="22"/>
          <w:szCs w:val="22"/>
          <w:lang w:val="es-ES"/>
        </w:rPr>
      </w:pPr>
    </w:p>
    <w:p w14:paraId="2F52508E" w14:textId="03E920A5" w:rsidR="00F11750" w:rsidRDefault="00F11750" w:rsidP="008F1F27">
      <w:pPr>
        <w:rPr>
          <w:rFonts w:ascii="Arial" w:eastAsia="Calibri" w:hAnsi="Arial" w:cs="Arial"/>
          <w:sz w:val="22"/>
          <w:szCs w:val="22"/>
          <w:lang w:val="es-ES"/>
        </w:rPr>
      </w:pPr>
    </w:p>
    <w:p w14:paraId="2196113E" w14:textId="15202CF3" w:rsidR="00F11750" w:rsidRDefault="00F11750" w:rsidP="008F1F27">
      <w:pPr>
        <w:rPr>
          <w:rFonts w:ascii="Arial" w:eastAsia="Calibri" w:hAnsi="Arial" w:cs="Arial"/>
          <w:sz w:val="22"/>
          <w:szCs w:val="22"/>
          <w:lang w:val="es-ES"/>
        </w:rPr>
      </w:pPr>
    </w:p>
    <w:p w14:paraId="0E692D50" w14:textId="73FC1107" w:rsidR="00F11750" w:rsidRDefault="00F11750" w:rsidP="008F1F27">
      <w:pPr>
        <w:rPr>
          <w:rFonts w:ascii="Arial" w:eastAsia="Calibri" w:hAnsi="Arial" w:cs="Arial"/>
          <w:sz w:val="22"/>
          <w:szCs w:val="22"/>
          <w:lang w:val="es-ES"/>
        </w:rPr>
      </w:pPr>
    </w:p>
    <w:p w14:paraId="282637E0" w14:textId="5D3A4971" w:rsidR="00F11750" w:rsidRDefault="00F11750" w:rsidP="008F1F27">
      <w:pPr>
        <w:rPr>
          <w:rFonts w:ascii="Arial" w:eastAsia="Calibri" w:hAnsi="Arial" w:cs="Arial"/>
          <w:sz w:val="22"/>
          <w:szCs w:val="22"/>
          <w:lang w:val="es-ES"/>
        </w:rPr>
      </w:pPr>
    </w:p>
    <w:p w14:paraId="20204F51" w14:textId="128F930C" w:rsidR="00F11750" w:rsidRDefault="00F11750" w:rsidP="008F1F27">
      <w:pPr>
        <w:rPr>
          <w:rFonts w:ascii="Arial" w:eastAsia="Calibri" w:hAnsi="Arial" w:cs="Arial"/>
          <w:sz w:val="22"/>
          <w:szCs w:val="22"/>
          <w:lang w:val="es-ES"/>
        </w:rPr>
      </w:pPr>
    </w:p>
    <w:p w14:paraId="2908E4D0" w14:textId="553ED4E8" w:rsidR="00F11750" w:rsidRDefault="00F11750" w:rsidP="008F1F27">
      <w:pPr>
        <w:rPr>
          <w:rFonts w:ascii="Arial" w:eastAsia="Calibri" w:hAnsi="Arial" w:cs="Arial"/>
          <w:sz w:val="22"/>
          <w:szCs w:val="22"/>
          <w:lang w:val="es-ES"/>
        </w:rPr>
      </w:pPr>
    </w:p>
    <w:p w14:paraId="667A9DD9" w14:textId="0906784F" w:rsidR="00F11750" w:rsidRDefault="00F11750" w:rsidP="008F1F27">
      <w:pPr>
        <w:rPr>
          <w:rFonts w:ascii="Arial" w:eastAsia="Calibri" w:hAnsi="Arial" w:cs="Arial"/>
          <w:sz w:val="22"/>
          <w:szCs w:val="22"/>
          <w:lang w:val="es-ES"/>
        </w:rPr>
      </w:pPr>
    </w:p>
    <w:p w14:paraId="27B0BB9F" w14:textId="629249DF" w:rsidR="00CC410C" w:rsidRDefault="00CC410C" w:rsidP="008F1F27">
      <w:pPr>
        <w:rPr>
          <w:rFonts w:ascii="Arial" w:eastAsia="Calibri" w:hAnsi="Arial" w:cs="Arial"/>
          <w:sz w:val="22"/>
          <w:szCs w:val="22"/>
          <w:lang w:val="es-ES"/>
        </w:rPr>
      </w:pPr>
    </w:p>
    <w:p w14:paraId="2128E161" w14:textId="77777777" w:rsidR="00150841" w:rsidRDefault="00150841" w:rsidP="008F1F27">
      <w:pPr>
        <w:rPr>
          <w:rFonts w:ascii="Arial" w:eastAsia="Calibri" w:hAnsi="Arial" w:cs="Arial"/>
          <w:sz w:val="22"/>
          <w:szCs w:val="22"/>
          <w:lang w:val="es-ES"/>
        </w:rPr>
      </w:pPr>
    </w:p>
    <w:p w14:paraId="3F5AE4C8" w14:textId="6FCFC1C2" w:rsidR="00B65034" w:rsidRDefault="00B65034" w:rsidP="00B65034">
      <w:pPr>
        <w:jc w:val="right"/>
      </w:pPr>
      <w:r>
        <w:lastRenderedPageBreak/>
        <w:fldChar w:fldCharType="begin"/>
      </w:r>
      <w:r>
        <w:instrText xml:space="preserve"> INCLUDEPICTURE "/var/folders/tb/0fmk9b510f57pz5rwhv8lnpw0000gp/T/com.microsoft.Word/WebArchiveCopyPasteTempFiles/page1image1038500256" \* MERGEFORMATINET </w:instrText>
      </w:r>
      <w:r>
        <w:fldChar w:fldCharType="separate"/>
      </w:r>
      <w:r>
        <w:rPr>
          <w:noProof/>
        </w:rPr>
        <w:drawing>
          <wp:inline distT="0" distB="0" distL="0" distR="0" wp14:anchorId="49E3B31B" wp14:editId="000C3812">
            <wp:extent cx="2406015" cy="613410"/>
            <wp:effectExtent l="0" t="0" r="0" b="0"/>
            <wp:docPr id="4" name="Imagen 4" descr="page1image10385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38500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015" cy="613410"/>
                    </a:xfrm>
                    <a:prstGeom prst="rect">
                      <a:avLst/>
                    </a:prstGeom>
                    <a:noFill/>
                    <a:ln>
                      <a:noFill/>
                    </a:ln>
                  </pic:spPr>
                </pic:pic>
              </a:graphicData>
            </a:graphic>
          </wp:inline>
        </w:drawing>
      </w:r>
      <w:r>
        <w:fldChar w:fldCharType="end"/>
      </w:r>
    </w:p>
    <w:p w14:paraId="06748ECA" w14:textId="77777777" w:rsidR="00B65034" w:rsidRDefault="00B65034" w:rsidP="008F1F27">
      <w:pPr>
        <w:rPr>
          <w:rFonts w:ascii="Arial" w:eastAsia="Calibri" w:hAnsi="Arial" w:cs="Arial"/>
          <w:sz w:val="22"/>
          <w:szCs w:val="22"/>
          <w:lang w:val="es-ES"/>
        </w:rPr>
      </w:pPr>
    </w:p>
    <w:p w14:paraId="082B6DB4" w14:textId="5DFB22D8" w:rsidR="008F1F27" w:rsidRPr="00924DEF" w:rsidRDefault="008F1F27" w:rsidP="008F1F27">
      <w:pPr>
        <w:rPr>
          <w:rFonts w:ascii="Arial" w:eastAsia="Calibri" w:hAnsi="Arial" w:cs="Arial"/>
          <w:sz w:val="22"/>
          <w:szCs w:val="22"/>
          <w:lang w:val="es-ES"/>
        </w:rPr>
      </w:pPr>
      <w:r w:rsidRPr="006244FD">
        <w:rPr>
          <w:rFonts w:ascii="Arial" w:eastAsia="Calibri" w:hAnsi="Arial" w:cs="Arial"/>
          <w:sz w:val="22"/>
          <w:szCs w:val="22"/>
          <w:lang w:val="es-ES"/>
        </w:rPr>
        <w:t>Señor</w:t>
      </w:r>
    </w:p>
    <w:p w14:paraId="20EB80AD" w14:textId="017DB0E0" w:rsidR="00D83877" w:rsidRDefault="00CA648B" w:rsidP="008F1F27">
      <w:pPr>
        <w:rPr>
          <w:rFonts w:ascii="Arial" w:eastAsia="Calibri" w:hAnsi="Arial" w:cs="Arial"/>
          <w:b/>
          <w:bCs/>
          <w:sz w:val="22"/>
          <w:szCs w:val="22"/>
          <w:lang w:val="es-ES"/>
        </w:rPr>
      </w:pPr>
      <w:r>
        <w:rPr>
          <w:rFonts w:ascii="Arial" w:eastAsia="Calibri" w:hAnsi="Arial" w:cs="Arial"/>
          <w:b/>
          <w:bCs/>
          <w:sz w:val="22"/>
          <w:szCs w:val="22"/>
          <w:lang w:val="es-ES"/>
        </w:rPr>
        <w:t>Pablo García</w:t>
      </w:r>
    </w:p>
    <w:p w14:paraId="2B910637" w14:textId="52A350CC" w:rsidR="008F1F27" w:rsidRPr="00924DEF" w:rsidRDefault="00E25DCE" w:rsidP="008F1F27">
      <w:pPr>
        <w:rPr>
          <w:rFonts w:ascii="Arial" w:eastAsia="Calibri" w:hAnsi="Arial" w:cs="Arial"/>
          <w:sz w:val="22"/>
          <w:szCs w:val="22"/>
          <w:lang w:val="es-ES"/>
        </w:rPr>
      </w:pPr>
      <w:r>
        <w:rPr>
          <w:rFonts w:ascii="Arial" w:eastAsia="Calibri" w:hAnsi="Arial" w:cs="Arial"/>
          <w:sz w:val="22"/>
          <w:szCs w:val="22"/>
          <w:lang w:val="es-ES"/>
        </w:rPr>
        <w:t>Medellín, Antioquia</w:t>
      </w:r>
    </w:p>
    <w:p w14:paraId="75A8322F" w14:textId="77777777" w:rsidR="008F1F27" w:rsidRPr="00924DEF" w:rsidRDefault="008F1F27" w:rsidP="008F1F27">
      <w:pPr>
        <w:rPr>
          <w:rFonts w:ascii="Arial" w:eastAsia="Calibri" w:hAnsi="Arial" w:cs="Arial"/>
          <w:sz w:val="22"/>
          <w:szCs w:val="22"/>
          <w:lang w:val="es-ES"/>
        </w:rPr>
      </w:pPr>
    </w:p>
    <w:p w14:paraId="509A3CD8" w14:textId="77777777" w:rsidR="008F1F27" w:rsidRPr="00924DEF" w:rsidRDefault="008F1F27" w:rsidP="008F1F27">
      <w:pPr>
        <w:rPr>
          <w:rFonts w:ascii="Arial" w:eastAsia="Calibri" w:hAnsi="Arial" w:cs="Arial"/>
          <w:b/>
          <w:sz w:val="22"/>
          <w:szCs w:val="22"/>
          <w:lang w:val="es-ES"/>
        </w:rPr>
      </w:pPr>
    </w:p>
    <w:p w14:paraId="481D0967" w14:textId="47CC1912" w:rsidR="008F1F27" w:rsidRPr="00924DEF" w:rsidRDefault="008F1F27" w:rsidP="008F1F27">
      <w:pPr>
        <w:rPr>
          <w:rFonts w:ascii="Arial" w:eastAsia="Calibri" w:hAnsi="Arial" w:cs="Arial"/>
          <w:b/>
          <w:sz w:val="22"/>
          <w:szCs w:val="22"/>
          <w:lang w:val="es-ES"/>
        </w:rPr>
      </w:pPr>
      <w:r w:rsidRPr="00924DEF">
        <w:rPr>
          <w:rFonts w:ascii="Arial" w:eastAsia="Calibri" w:hAnsi="Arial" w:cs="Arial"/>
          <w:b/>
          <w:sz w:val="22"/>
          <w:szCs w:val="22"/>
          <w:lang w:val="es-ES"/>
        </w:rPr>
        <w:t xml:space="preserve">                                            Concepto C – </w:t>
      </w:r>
      <w:r>
        <w:rPr>
          <w:rFonts w:ascii="Arial" w:eastAsia="Calibri" w:hAnsi="Arial" w:cs="Arial"/>
          <w:b/>
          <w:sz w:val="22"/>
          <w:szCs w:val="22"/>
          <w:lang w:val="es-ES"/>
        </w:rPr>
        <w:t>1</w:t>
      </w:r>
      <w:r w:rsidR="00CA648B">
        <w:rPr>
          <w:rFonts w:ascii="Arial" w:eastAsia="Calibri" w:hAnsi="Arial" w:cs="Arial"/>
          <w:b/>
          <w:sz w:val="22"/>
          <w:szCs w:val="22"/>
          <w:lang w:val="es-ES"/>
        </w:rPr>
        <w:t>40</w:t>
      </w:r>
      <w:r>
        <w:rPr>
          <w:rFonts w:ascii="Arial" w:eastAsia="Calibri" w:hAnsi="Arial" w:cs="Arial"/>
          <w:b/>
          <w:sz w:val="22"/>
          <w:szCs w:val="22"/>
          <w:lang w:val="es-ES"/>
        </w:rPr>
        <w:t xml:space="preserve"> de 2022</w:t>
      </w:r>
    </w:p>
    <w:p w14:paraId="1CFE9394" w14:textId="77777777" w:rsidR="008F1F27" w:rsidRPr="00924DEF" w:rsidRDefault="008F1F27" w:rsidP="008F1F2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5"/>
        <w:gridCol w:w="6301"/>
      </w:tblGrid>
      <w:tr w:rsidR="000A12D9" w:rsidRPr="00924DEF" w14:paraId="273EBBC8" w14:textId="77777777" w:rsidTr="4C98CF6B">
        <w:trPr>
          <w:trHeight w:val="550"/>
        </w:trPr>
        <w:tc>
          <w:tcPr>
            <w:tcW w:w="2625" w:type="dxa"/>
          </w:tcPr>
          <w:p w14:paraId="6D706277" w14:textId="09319225" w:rsidR="000A12D9" w:rsidRPr="00924DEF" w:rsidRDefault="000A12D9" w:rsidP="000A12D9">
            <w:pPr>
              <w:rPr>
                <w:rFonts w:ascii="Arial" w:eastAsia="Calibri" w:hAnsi="Arial" w:cs="Arial"/>
                <w:lang w:val="es-ES"/>
              </w:rPr>
            </w:pPr>
            <w:r w:rsidRPr="00924DEF">
              <w:rPr>
                <w:rFonts w:ascii="Arial" w:eastAsia="Calibri" w:hAnsi="Arial" w:cs="Arial"/>
                <w:b/>
                <w:lang w:val="es-ES"/>
              </w:rPr>
              <w:t>T</w:t>
            </w:r>
            <w:r w:rsidR="00150841">
              <w:rPr>
                <w:rFonts w:ascii="Arial" w:eastAsia="Calibri" w:hAnsi="Arial" w:cs="Arial"/>
                <w:b/>
                <w:lang w:val="es-ES"/>
              </w:rPr>
              <w:t>e</w:t>
            </w:r>
            <w:r w:rsidRPr="00924DEF">
              <w:rPr>
                <w:rFonts w:ascii="Arial" w:eastAsia="Calibri" w:hAnsi="Arial" w:cs="Arial"/>
                <w:b/>
                <w:lang w:val="es-ES"/>
              </w:rPr>
              <w:t>mas:</w:t>
            </w:r>
            <w:r w:rsidRPr="00924DEF">
              <w:rPr>
                <w:rFonts w:ascii="Arial" w:eastAsia="Calibri" w:hAnsi="Arial" w:cs="Arial"/>
                <w:lang w:val="es-ES"/>
              </w:rPr>
              <w:t xml:space="preserve">                                    </w:t>
            </w:r>
          </w:p>
        </w:tc>
        <w:tc>
          <w:tcPr>
            <w:tcW w:w="6301" w:type="dxa"/>
          </w:tcPr>
          <w:p w14:paraId="66713F2E" w14:textId="788CAC5D" w:rsidR="00150841" w:rsidRPr="00150841" w:rsidRDefault="00150841" w:rsidP="00150841">
            <w:pPr>
              <w:tabs>
                <w:tab w:val="left" w:pos="0"/>
              </w:tabs>
              <w:spacing w:after="120"/>
              <w:jc w:val="both"/>
              <w:rPr>
                <w:rFonts w:ascii="Arial" w:eastAsia="Calibri" w:hAnsi="Arial" w:cs="Arial"/>
                <w:b/>
              </w:rPr>
            </w:pPr>
            <w:r w:rsidRPr="00150841">
              <w:rPr>
                <w:rFonts w:ascii="Arial" w:eastAsia="Calibri" w:hAnsi="Arial" w:cs="Arial"/>
                <w:bCs/>
                <w:lang w:val="es-MX"/>
              </w:rPr>
              <w:t xml:space="preserve">PRINCIPIO DE SELECCIÓN OBJETIVA – </w:t>
            </w:r>
            <w:r w:rsidR="00E668CC" w:rsidRPr="00150841">
              <w:rPr>
                <w:rFonts w:ascii="Arial" w:eastAsia="Calibri" w:hAnsi="Arial" w:cs="Arial"/>
                <w:bCs/>
                <w:lang w:val="es-MX"/>
              </w:rPr>
              <w:t xml:space="preserve">factores de desempate </w:t>
            </w:r>
            <w:r w:rsidRPr="00150841">
              <w:rPr>
                <w:rFonts w:ascii="Arial" w:eastAsia="Calibri" w:hAnsi="Arial" w:cs="Arial"/>
                <w:bCs/>
                <w:lang w:val="es-MX"/>
              </w:rPr>
              <w:t xml:space="preserve">/ </w:t>
            </w:r>
            <w:r w:rsidRPr="00150841">
              <w:rPr>
                <w:rFonts w:ascii="Arial" w:eastAsia="Calibri" w:hAnsi="Arial" w:cs="Arial"/>
                <w:bCs/>
              </w:rPr>
              <w:t xml:space="preserve">CRITERIOS DE SUBSANABILIDAD – LEY 2069 DE 2020 </w:t>
            </w:r>
            <w:r>
              <w:rPr>
                <w:rFonts w:ascii="Arial" w:eastAsia="Calibri" w:hAnsi="Arial" w:cs="Arial"/>
                <w:bCs/>
              </w:rPr>
              <w:t xml:space="preserve">/ </w:t>
            </w:r>
            <w:r w:rsidRPr="00150841">
              <w:rPr>
                <w:rFonts w:ascii="Arial" w:eastAsia="Calibri" w:hAnsi="Arial" w:cs="Arial"/>
                <w:bCs/>
              </w:rPr>
              <w:t xml:space="preserve">DOCUMENTOS TIPO – </w:t>
            </w:r>
            <w:r w:rsidR="00EB6025" w:rsidRPr="00150841">
              <w:rPr>
                <w:rFonts w:ascii="Arial" w:eastAsia="Calibri" w:hAnsi="Arial" w:cs="Arial"/>
                <w:bCs/>
              </w:rPr>
              <w:t xml:space="preserve">formatos 10 y 11 </w:t>
            </w:r>
            <w:r w:rsidRPr="00150841">
              <w:rPr>
                <w:rFonts w:ascii="Arial" w:eastAsia="Calibri" w:hAnsi="Arial" w:cs="Arial"/>
                <w:bCs/>
              </w:rPr>
              <w:t xml:space="preserve">– LEY 2069 DE 2020 – </w:t>
            </w:r>
            <w:r w:rsidR="00EB6025" w:rsidRPr="00150841">
              <w:rPr>
                <w:rFonts w:ascii="Arial" w:eastAsia="Calibri" w:hAnsi="Arial" w:cs="Arial"/>
                <w:bCs/>
              </w:rPr>
              <w:t xml:space="preserve">artículo 35 </w:t>
            </w:r>
            <w:r w:rsidRPr="00150841">
              <w:rPr>
                <w:rFonts w:ascii="Arial" w:eastAsia="Calibri" w:hAnsi="Arial" w:cs="Arial"/>
                <w:bCs/>
              </w:rPr>
              <w:t>– FACTORES DE DESEMPATE</w:t>
            </w:r>
            <w:r>
              <w:rPr>
                <w:rFonts w:ascii="Arial" w:eastAsia="Calibri" w:hAnsi="Arial" w:cs="Arial"/>
                <w:b/>
              </w:rPr>
              <w:t xml:space="preserve"> </w:t>
            </w:r>
          </w:p>
          <w:p w14:paraId="08D9D14A" w14:textId="3C2BE816" w:rsidR="000A12D9" w:rsidRPr="00E87923" w:rsidRDefault="000A12D9" w:rsidP="00284A4E">
            <w:pPr>
              <w:tabs>
                <w:tab w:val="left" w:pos="0"/>
              </w:tabs>
              <w:spacing w:after="120"/>
              <w:jc w:val="both"/>
              <w:rPr>
                <w:rFonts w:ascii="Arial" w:eastAsia="Calibri" w:hAnsi="Arial" w:cs="Arial"/>
                <w:bCs/>
              </w:rPr>
            </w:pPr>
          </w:p>
        </w:tc>
      </w:tr>
      <w:tr w:rsidR="008F1F27" w:rsidRPr="00924DEF" w14:paraId="4D112C5C" w14:textId="77777777" w:rsidTr="4C98CF6B">
        <w:tc>
          <w:tcPr>
            <w:tcW w:w="2625" w:type="dxa"/>
          </w:tcPr>
          <w:p w14:paraId="2CB6AE77" w14:textId="77777777" w:rsidR="008F1F27" w:rsidRPr="00924DEF" w:rsidRDefault="008F1F27" w:rsidP="00B10244">
            <w:pPr>
              <w:rPr>
                <w:rFonts w:ascii="Arial" w:eastAsia="Calibri" w:hAnsi="Arial" w:cs="Arial"/>
                <w:lang w:val="es-ES"/>
              </w:rPr>
            </w:pPr>
            <w:r w:rsidRPr="00924DEF">
              <w:rPr>
                <w:rFonts w:ascii="Arial" w:eastAsia="Calibri" w:hAnsi="Arial" w:cs="Arial"/>
                <w:b/>
                <w:lang w:val="es-ES"/>
              </w:rPr>
              <w:t>Radicación:</w:t>
            </w:r>
            <w:r w:rsidRPr="00924DEF">
              <w:rPr>
                <w:rFonts w:ascii="Arial" w:eastAsia="Calibri" w:hAnsi="Arial" w:cs="Arial"/>
                <w:lang w:val="es-ES"/>
              </w:rPr>
              <w:t xml:space="preserve">                              </w:t>
            </w:r>
          </w:p>
        </w:tc>
        <w:tc>
          <w:tcPr>
            <w:tcW w:w="6301" w:type="dxa"/>
          </w:tcPr>
          <w:p w14:paraId="774FD7A7" w14:textId="52E742A9" w:rsidR="008F1F27" w:rsidRPr="00924DEF" w:rsidRDefault="008F1F27" w:rsidP="00B10244">
            <w:pPr>
              <w:rPr>
                <w:rFonts w:ascii="Arial" w:eastAsia="Calibri" w:hAnsi="Arial" w:cs="Arial"/>
                <w:lang w:val="es-ES"/>
              </w:rPr>
            </w:pPr>
            <w:r w:rsidRPr="00924DEF">
              <w:rPr>
                <w:rFonts w:ascii="Arial" w:eastAsia="Calibri" w:hAnsi="Arial" w:cs="Arial"/>
                <w:lang w:val="es-ES"/>
              </w:rPr>
              <w:t xml:space="preserve">Respuesta a consulta </w:t>
            </w:r>
            <w:r w:rsidR="00293834" w:rsidRPr="00ED384F">
              <w:rPr>
                <w:rFonts w:ascii="Arial" w:hAnsi="Arial" w:cs="Arial"/>
                <w:lang w:val="es-ES"/>
              </w:rPr>
              <w:t>P20220</w:t>
            </w:r>
            <w:r w:rsidR="00E25DCE">
              <w:rPr>
                <w:rFonts w:ascii="Arial" w:hAnsi="Arial" w:cs="Arial"/>
                <w:lang w:val="es-ES"/>
              </w:rPr>
              <w:t>216001546</w:t>
            </w:r>
          </w:p>
        </w:tc>
      </w:tr>
    </w:tbl>
    <w:p w14:paraId="26DFA7A8" w14:textId="77777777" w:rsidR="008F1F27" w:rsidRPr="00924DEF" w:rsidRDefault="008F1F27" w:rsidP="008F1F27">
      <w:pPr>
        <w:spacing w:line="276" w:lineRule="auto"/>
        <w:rPr>
          <w:rFonts w:ascii="Arial" w:eastAsia="Calibri" w:hAnsi="Arial" w:cs="Arial"/>
          <w:sz w:val="22"/>
          <w:szCs w:val="22"/>
          <w:lang w:val="es-ES"/>
        </w:rPr>
      </w:pPr>
    </w:p>
    <w:p w14:paraId="6D2F9086" w14:textId="77777777" w:rsidR="008F1F27" w:rsidRPr="00924DEF" w:rsidRDefault="008F1F27" w:rsidP="008F1F27">
      <w:pPr>
        <w:spacing w:line="276" w:lineRule="auto"/>
        <w:rPr>
          <w:rFonts w:ascii="Arial" w:eastAsia="Calibri" w:hAnsi="Arial" w:cs="Arial"/>
          <w:sz w:val="22"/>
          <w:szCs w:val="22"/>
          <w:lang w:val="es-ES"/>
        </w:rPr>
      </w:pPr>
    </w:p>
    <w:p w14:paraId="54C8633C" w14:textId="71BCAB5E" w:rsidR="008F1F27" w:rsidRPr="00924DEF" w:rsidRDefault="008F1F27" w:rsidP="008F1F27">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Estimad</w:t>
      </w:r>
      <w:r w:rsidR="00CA648B">
        <w:rPr>
          <w:rFonts w:ascii="Arial" w:eastAsia="Calibri" w:hAnsi="Arial" w:cs="Arial"/>
          <w:sz w:val="22"/>
          <w:szCs w:val="22"/>
          <w:lang w:val="es-ES"/>
        </w:rPr>
        <w:t>o</w:t>
      </w:r>
      <w:r w:rsidRPr="00924DEF">
        <w:rPr>
          <w:rFonts w:ascii="Arial" w:eastAsia="Calibri" w:hAnsi="Arial" w:cs="Arial"/>
          <w:sz w:val="22"/>
          <w:szCs w:val="22"/>
          <w:lang w:val="es-ES"/>
        </w:rPr>
        <w:t xml:space="preserve"> señor</w:t>
      </w:r>
      <w:r w:rsidR="00CA648B">
        <w:rPr>
          <w:rFonts w:ascii="Arial" w:eastAsia="Calibri" w:hAnsi="Arial" w:cs="Arial"/>
          <w:sz w:val="22"/>
          <w:szCs w:val="22"/>
          <w:lang w:val="es-ES"/>
        </w:rPr>
        <w:t xml:space="preserve"> García</w:t>
      </w:r>
      <w:r w:rsidRPr="00924DEF">
        <w:rPr>
          <w:rFonts w:ascii="Arial" w:eastAsia="Calibri" w:hAnsi="Arial" w:cs="Arial"/>
          <w:sz w:val="22"/>
          <w:szCs w:val="22"/>
          <w:lang w:val="es-ES"/>
        </w:rPr>
        <w:t>:</w:t>
      </w:r>
      <w:r w:rsidRPr="00924DEF">
        <w:rPr>
          <w:rFonts w:ascii="Arial" w:eastAsia="Calibri" w:hAnsi="Arial" w:cs="Arial"/>
          <w:sz w:val="22"/>
          <w:szCs w:val="22"/>
          <w:lang w:val="es-ES"/>
        </w:rPr>
        <w:tab/>
      </w:r>
    </w:p>
    <w:p w14:paraId="2693C6B2" w14:textId="77777777" w:rsidR="008F1F27" w:rsidRPr="00924DEF" w:rsidRDefault="008F1F27" w:rsidP="008F1F27">
      <w:pPr>
        <w:spacing w:line="276" w:lineRule="auto"/>
        <w:rPr>
          <w:rFonts w:ascii="Arial" w:eastAsia="Calibri" w:hAnsi="Arial" w:cs="Arial"/>
          <w:sz w:val="22"/>
          <w:szCs w:val="22"/>
          <w:lang w:val="es-ES"/>
        </w:rPr>
      </w:pPr>
    </w:p>
    <w:p w14:paraId="0E3A6299" w14:textId="24829BDC" w:rsidR="008F1F27" w:rsidRPr="00924DEF" w:rsidRDefault="008F1F27" w:rsidP="008F1F2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Pr>
          <w:rFonts w:ascii="Arial" w:eastAsia="Calibri" w:hAnsi="Arial" w:cs="Arial"/>
          <w:sz w:val="22"/>
          <w:szCs w:val="22"/>
          <w:lang w:val="es-ES"/>
        </w:rPr>
        <w:t>de febrero de 2022.</w:t>
      </w:r>
    </w:p>
    <w:p w14:paraId="70E54971" w14:textId="77777777" w:rsidR="008F1F27" w:rsidRPr="00924DEF" w:rsidRDefault="008F1F27" w:rsidP="008F1F27">
      <w:pPr>
        <w:pStyle w:val="Prrafodelista"/>
        <w:spacing w:line="276" w:lineRule="auto"/>
        <w:ind w:left="0"/>
        <w:rPr>
          <w:rFonts w:ascii="Arial" w:eastAsia="Calibri" w:hAnsi="Arial" w:cs="Arial"/>
          <w:sz w:val="22"/>
          <w:lang w:val="es-ES"/>
        </w:rPr>
      </w:pPr>
    </w:p>
    <w:p w14:paraId="273F674B" w14:textId="77777777" w:rsidR="008F1F27" w:rsidRPr="00924DEF" w:rsidRDefault="008F1F27" w:rsidP="008F1F27">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466A69CF" w14:textId="77777777" w:rsidR="008F1F27" w:rsidRPr="00924DEF" w:rsidRDefault="008F1F27" w:rsidP="008F1F27">
      <w:pPr>
        <w:rPr>
          <w:rFonts w:ascii="Arial" w:eastAsia="Calibri" w:hAnsi="Arial" w:cs="Arial"/>
          <w:sz w:val="22"/>
          <w:szCs w:val="22"/>
          <w:lang w:val="es-ES"/>
        </w:rPr>
      </w:pPr>
    </w:p>
    <w:p w14:paraId="7B6A0190" w14:textId="0D4D18ED" w:rsidR="008F1F27" w:rsidRDefault="008F1F27" w:rsidP="008F1F2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 xml:space="preserve">Usted </w:t>
      </w:r>
      <w:r>
        <w:rPr>
          <w:rFonts w:ascii="Arial" w:eastAsia="Calibri" w:hAnsi="Arial" w:cs="Arial"/>
          <w:sz w:val="22"/>
          <w:szCs w:val="22"/>
          <w:lang w:val="es-ES"/>
        </w:rPr>
        <w:t>realiza</w:t>
      </w:r>
      <w:r w:rsidRPr="00924DEF">
        <w:rPr>
          <w:rFonts w:ascii="Arial" w:eastAsia="Calibri" w:hAnsi="Arial" w:cs="Arial"/>
          <w:sz w:val="22"/>
          <w:szCs w:val="22"/>
          <w:lang w:val="es-ES"/>
        </w:rPr>
        <w:t xml:space="preserve"> la</w:t>
      </w:r>
      <w:r w:rsidR="00293834">
        <w:rPr>
          <w:rFonts w:ascii="Arial" w:eastAsia="Calibri" w:hAnsi="Arial" w:cs="Arial"/>
          <w:sz w:val="22"/>
          <w:szCs w:val="22"/>
          <w:lang w:val="es-ES"/>
        </w:rPr>
        <w:t>s</w:t>
      </w:r>
      <w:r w:rsidRPr="00924DEF">
        <w:rPr>
          <w:rFonts w:ascii="Arial" w:eastAsia="Calibri" w:hAnsi="Arial" w:cs="Arial"/>
          <w:sz w:val="22"/>
          <w:szCs w:val="22"/>
          <w:lang w:val="es-ES"/>
        </w:rPr>
        <w:t xml:space="preserve"> siguiente</w:t>
      </w:r>
      <w:r w:rsidR="00293834">
        <w:rPr>
          <w:rFonts w:ascii="Arial" w:eastAsia="Calibri" w:hAnsi="Arial" w:cs="Arial"/>
          <w:sz w:val="22"/>
          <w:szCs w:val="22"/>
          <w:lang w:val="es-ES"/>
        </w:rPr>
        <w:t>s</w:t>
      </w:r>
      <w:r w:rsidRPr="00924DEF">
        <w:rPr>
          <w:rFonts w:ascii="Arial" w:eastAsia="Calibri" w:hAnsi="Arial" w:cs="Arial"/>
          <w:sz w:val="22"/>
          <w:szCs w:val="22"/>
          <w:lang w:val="es-ES"/>
        </w:rPr>
        <w:t xml:space="preserve"> pregunta</w:t>
      </w:r>
      <w:r w:rsidR="00293834">
        <w:rPr>
          <w:rFonts w:ascii="Arial" w:eastAsia="Calibri" w:hAnsi="Arial" w:cs="Arial"/>
          <w:sz w:val="22"/>
          <w:szCs w:val="22"/>
          <w:lang w:val="es-ES"/>
        </w:rPr>
        <w:t>s</w:t>
      </w:r>
      <w:r w:rsidRPr="00924DEF">
        <w:rPr>
          <w:rFonts w:ascii="Arial" w:eastAsia="Calibri" w:hAnsi="Arial" w:cs="Arial"/>
          <w:sz w:val="22"/>
          <w:szCs w:val="22"/>
          <w:lang w:val="es-ES"/>
        </w:rPr>
        <w:t xml:space="preserve">: </w:t>
      </w:r>
    </w:p>
    <w:p w14:paraId="47040221" w14:textId="3E46219C" w:rsidR="00CA648B" w:rsidRPr="00CA648B" w:rsidRDefault="00CA648B" w:rsidP="00CA648B">
      <w:pPr>
        <w:pStyle w:val="NormalWeb"/>
        <w:ind w:left="709" w:right="709"/>
        <w:jc w:val="both"/>
        <w:rPr>
          <w:rFonts w:ascii="Arial" w:hAnsi="Arial" w:cs="Arial"/>
          <w:b/>
          <w:bCs/>
          <w:sz w:val="21"/>
          <w:szCs w:val="21"/>
        </w:rPr>
      </w:pPr>
      <w:r w:rsidRPr="00CA648B">
        <w:rPr>
          <w:rFonts w:ascii="Arial" w:hAnsi="Arial" w:cs="Arial"/>
          <w:sz w:val="21"/>
          <w:szCs w:val="21"/>
          <w:lang w:val="es-ES"/>
        </w:rPr>
        <w:t>«</w:t>
      </w:r>
      <w:r w:rsidRPr="00CA648B">
        <w:rPr>
          <w:rFonts w:ascii="Arial" w:hAnsi="Arial" w:cs="Arial"/>
          <w:sz w:val="21"/>
          <w:szCs w:val="21"/>
        </w:rPr>
        <w:t>1. ¿La presentación del Formato 10 puede ser considerado como un requisito habilitante?»</w:t>
      </w:r>
    </w:p>
    <w:p w14:paraId="4C8FAEBA" w14:textId="23843EB5" w:rsidR="00CA648B" w:rsidRDefault="00CA648B" w:rsidP="00CA648B">
      <w:pPr>
        <w:pStyle w:val="NormalWeb"/>
        <w:ind w:left="709" w:right="709"/>
        <w:jc w:val="both"/>
        <w:rPr>
          <w:rFonts w:ascii="Arial" w:hAnsi="Arial" w:cs="Arial"/>
          <w:sz w:val="21"/>
          <w:szCs w:val="21"/>
        </w:rPr>
      </w:pPr>
      <w:r w:rsidRPr="00CA648B">
        <w:rPr>
          <w:rFonts w:ascii="Arial" w:hAnsi="Arial" w:cs="Arial"/>
          <w:sz w:val="21"/>
          <w:szCs w:val="21"/>
        </w:rPr>
        <w:t>2. ¿El formato 10 puede ser considerado como un requisito NO (sic) subsanable?»</w:t>
      </w:r>
    </w:p>
    <w:p w14:paraId="71D1A8F9" w14:textId="2B4D1D78" w:rsidR="008F1F27" w:rsidRPr="00CA648B" w:rsidRDefault="00CA648B" w:rsidP="00CA648B">
      <w:pPr>
        <w:pStyle w:val="NormalWeb"/>
        <w:ind w:left="709" w:right="709"/>
        <w:jc w:val="both"/>
        <w:rPr>
          <w:rFonts w:ascii="Arial" w:hAnsi="Arial" w:cs="Arial"/>
          <w:sz w:val="21"/>
          <w:szCs w:val="21"/>
        </w:rPr>
      </w:pPr>
      <w:r w:rsidRPr="00CA648B">
        <w:rPr>
          <w:rFonts w:ascii="Arial" w:hAnsi="Arial" w:cs="Arial"/>
          <w:sz w:val="21"/>
          <w:szCs w:val="21"/>
        </w:rPr>
        <w:t>3. Si un proponente no presenta en su propuesta información sensible, ¿Tiene obligación de presentar el Formato 11</w:t>
      </w:r>
      <w:r w:rsidR="00293834" w:rsidRPr="00CA648B">
        <w:rPr>
          <w:rFonts w:ascii="Arial" w:hAnsi="Arial" w:cs="Arial"/>
          <w:sz w:val="21"/>
          <w:szCs w:val="21"/>
        </w:rPr>
        <w:t>?»</w:t>
      </w:r>
      <w:r w:rsidR="00254949">
        <w:rPr>
          <w:rFonts w:ascii="Arial" w:hAnsi="Arial" w:cs="Arial"/>
          <w:sz w:val="21"/>
          <w:szCs w:val="21"/>
        </w:rPr>
        <w:t>.</w:t>
      </w:r>
    </w:p>
    <w:p w14:paraId="7062BAA0" w14:textId="7A2E739E" w:rsidR="008F1F27" w:rsidRDefault="008F1F27" w:rsidP="008F1F27">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63167F17" w14:textId="77777777" w:rsidR="00417118" w:rsidRPr="00924DEF" w:rsidRDefault="00417118" w:rsidP="008F1F27">
      <w:pPr>
        <w:spacing w:line="276" w:lineRule="auto"/>
        <w:jc w:val="both"/>
        <w:rPr>
          <w:rFonts w:ascii="Arial" w:eastAsia="Calibri" w:hAnsi="Arial" w:cs="Arial"/>
          <w:b/>
          <w:sz w:val="22"/>
          <w:szCs w:val="22"/>
          <w:lang w:val="es-ES"/>
        </w:rPr>
      </w:pPr>
    </w:p>
    <w:p w14:paraId="6CC8DDAF" w14:textId="135BEB74" w:rsidR="00417118" w:rsidRDefault="00293834" w:rsidP="00D81D35">
      <w:pPr>
        <w:spacing w:after="120" w:line="276" w:lineRule="auto"/>
        <w:jc w:val="both"/>
        <w:rPr>
          <w:rFonts w:ascii="Arial" w:eastAsia="Calibri" w:hAnsi="Arial" w:cs="Arial"/>
          <w:b/>
          <w:bCs/>
          <w:color w:val="000000" w:themeColor="text1"/>
          <w:sz w:val="22"/>
          <w:szCs w:val="22"/>
          <w:lang w:val="es-ES_tradnl"/>
        </w:rPr>
      </w:pPr>
      <w:r w:rsidRPr="00DA403A">
        <w:rPr>
          <w:rFonts w:ascii="Arial" w:eastAsia="Calibri" w:hAnsi="Arial" w:cs="Arial"/>
          <w:sz w:val="22"/>
        </w:rPr>
        <w:t xml:space="preserve">Para absolver los interrogantes formulados, esta dependencia analizará los siguientes temas: i) </w:t>
      </w:r>
      <w:r w:rsidR="005E2DF7">
        <w:rPr>
          <w:rFonts w:ascii="Arial" w:eastAsia="Calibri" w:hAnsi="Arial" w:cs="Arial"/>
          <w:sz w:val="22"/>
        </w:rPr>
        <w:t>f</w:t>
      </w:r>
      <w:r w:rsidR="005E2DF7" w:rsidRPr="005E2DF7">
        <w:rPr>
          <w:rFonts w:ascii="Arial" w:eastAsia="Calibri" w:hAnsi="Arial" w:cs="Arial"/>
          <w:sz w:val="22"/>
        </w:rPr>
        <w:t>actores de desempate en la contratación estatal: concepto y características</w:t>
      </w:r>
      <w:r w:rsidR="005E2DF7" w:rsidRPr="005E2DF7" w:rsidDel="005E2DF7">
        <w:rPr>
          <w:rFonts w:ascii="Arial" w:eastAsia="Calibri" w:hAnsi="Arial" w:cs="Arial"/>
          <w:sz w:val="22"/>
        </w:rPr>
        <w:t xml:space="preserve"> </w:t>
      </w:r>
      <w:r w:rsidR="00CA648B">
        <w:rPr>
          <w:rFonts w:ascii="Arial" w:eastAsia="Calibri" w:hAnsi="Arial" w:cs="Arial"/>
          <w:sz w:val="22"/>
        </w:rPr>
        <w:t xml:space="preserve">, ii) </w:t>
      </w:r>
      <w:r w:rsidR="005E2DF7">
        <w:rPr>
          <w:rFonts w:ascii="Arial" w:eastAsia="Calibri" w:hAnsi="Arial" w:cs="Arial"/>
          <w:sz w:val="22"/>
        </w:rPr>
        <w:lastRenderedPageBreak/>
        <w:t>v</w:t>
      </w:r>
      <w:r w:rsidR="005E2DF7" w:rsidRPr="005E2DF7">
        <w:rPr>
          <w:rFonts w:ascii="Arial" w:eastAsia="Calibri" w:hAnsi="Arial" w:cs="Arial"/>
          <w:sz w:val="22"/>
        </w:rPr>
        <w:t>igencia y reglamentación de los criterios factores de desempate de la Ley 2069 de 2020</w:t>
      </w:r>
      <w:r w:rsidR="005E2DF7">
        <w:rPr>
          <w:rFonts w:ascii="Arial" w:eastAsia="Calibri" w:hAnsi="Arial" w:cs="Arial"/>
          <w:sz w:val="22"/>
        </w:rPr>
        <w:t>,</w:t>
      </w:r>
      <w:r w:rsidR="005E2DF7" w:rsidRPr="005E2DF7">
        <w:rPr>
          <w:rFonts w:ascii="Arial" w:eastAsia="Calibri" w:hAnsi="Arial" w:cs="Arial"/>
          <w:sz w:val="22"/>
        </w:rPr>
        <w:t xml:space="preserve"> </w:t>
      </w:r>
      <w:r w:rsidR="00E25DCE">
        <w:rPr>
          <w:rFonts w:ascii="Arial" w:eastAsia="Calibri" w:hAnsi="Arial" w:cs="Arial"/>
          <w:color w:val="000000" w:themeColor="text1"/>
          <w:sz w:val="22"/>
          <w:szCs w:val="22"/>
          <w:lang w:val="es-ES_tradnl"/>
        </w:rPr>
        <w:t xml:space="preserve"> iii) </w:t>
      </w:r>
      <w:r w:rsidR="005E2DF7">
        <w:rPr>
          <w:rFonts w:ascii="Arial" w:eastAsia="Calibri" w:hAnsi="Arial" w:cs="Arial"/>
          <w:color w:val="000000" w:themeColor="text1"/>
          <w:sz w:val="22"/>
          <w:szCs w:val="22"/>
          <w:lang w:val="es-ES_tradnl"/>
        </w:rPr>
        <w:t>f</w:t>
      </w:r>
      <w:r w:rsidR="005E2DF7" w:rsidRPr="005E2DF7">
        <w:rPr>
          <w:rFonts w:ascii="Arial" w:eastAsia="Calibri" w:hAnsi="Arial" w:cs="Arial"/>
          <w:color w:val="000000" w:themeColor="text1"/>
          <w:sz w:val="22"/>
          <w:szCs w:val="22"/>
          <w:lang w:val="es-ES_tradnl"/>
        </w:rPr>
        <w:t>orma de acreditación de los factores de desempate consagrados en el artículo 35 de la Ley 2069 de 2020</w:t>
      </w:r>
      <w:r w:rsidR="005E2DF7">
        <w:rPr>
          <w:rFonts w:ascii="Arial" w:eastAsia="Calibri" w:hAnsi="Arial" w:cs="Arial"/>
          <w:color w:val="000000" w:themeColor="text1"/>
          <w:sz w:val="22"/>
          <w:szCs w:val="22"/>
          <w:lang w:val="es-ES_tradnl"/>
        </w:rPr>
        <w:t>, iv) r</w:t>
      </w:r>
      <w:r w:rsidR="005E2DF7" w:rsidRPr="005E2DF7">
        <w:rPr>
          <w:rFonts w:ascii="Arial" w:eastAsia="Calibri" w:hAnsi="Arial" w:cs="Arial"/>
          <w:color w:val="000000" w:themeColor="text1"/>
          <w:sz w:val="22"/>
          <w:szCs w:val="22"/>
          <w:lang w:val="es-ES_tradnl"/>
        </w:rPr>
        <w:t>esolución 161 de 2021 de la Agencia Nacional de Contratación Pública – Colombia Compra Eficiente: Formatos 10 –factores de desempate- y 11 -tratamiento de datos sensibles-</w:t>
      </w:r>
      <w:r w:rsidR="005E2DF7">
        <w:rPr>
          <w:rFonts w:ascii="Arial" w:eastAsia="Calibri" w:hAnsi="Arial" w:cs="Arial"/>
          <w:color w:val="000000" w:themeColor="text1"/>
          <w:sz w:val="22"/>
          <w:szCs w:val="22"/>
          <w:lang w:val="es-ES_tradnl"/>
        </w:rPr>
        <w:t xml:space="preserve"> y v)</w:t>
      </w:r>
      <w:r w:rsidR="00D81D35">
        <w:rPr>
          <w:rFonts w:ascii="Arial" w:eastAsia="Calibri" w:hAnsi="Arial" w:cs="Arial"/>
          <w:color w:val="000000" w:themeColor="text1"/>
          <w:sz w:val="22"/>
          <w:szCs w:val="22"/>
          <w:lang w:val="es-ES_tradnl"/>
        </w:rPr>
        <w:t xml:space="preserve"> a</w:t>
      </w:r>
      <w:r w:rsidR="00D81D35" w:rsidRPr="00D81D35">
        <w:rPr>
          <w:rFonts w:ascii="Arial" w:eastAsia="Calibri" w:hAnsi="Arial" w:cs="Arial"/>
          <w:color w:val="000000" w:themeColor="text1"/>
          <w:sz w:val="22"/>
          <w:szCs w:val="22"/>
          <w:lang w:val="es-ES_tradnl"/>
        </w:rPr>
        <w:t xml:space="preserve">lcance de la regla de </w:t>
      </w:r>
      <w:proofErr w:type="spellStart"/>
      <w:r w:rsidR="00D81D35" w:rsidRPr="00D81D35">
        <w:rPr>
          <w:rFonts w:ascii="Arial" w:eastAsia="Calibri" w:hAnsi="Arial" w:cs="Arial"/>
          <w:color w:val="000000" w:themeColor="text1"/>
          <w:sz w:val="22"/>
          <w:szCs w:val="22"/>
          <w:lang w:val="es-ES_tradnl"/>
        </w:rPr>
        <w:t>subsanabilidad</w:t>
      </w:r>
      <w:proofErr w:type="spellEnd"/>
      <w:r w:rsidR="00D81D35" w:rsidRPr="00D81D35">
        <w:rPr>
          <w:rFonts w:ascii="Arial" w:eastAsia="Calibri" w:hAnsi="Arial" w:cs="Arial"/>
          <w:color w:val="000000" w:themeColor="text1"/>
          <w:sz w:val="22"/>
          <w:szCs w:val="22"/>
          <w:lang w:val="es-ES_tradnl"/>
        </w:rPr>
        <w:t xml:space="preserve"> para acreditar los factores de desempate previstos en la Ley 2069 de 2020</w:t>
      </w:r>
      <w:r w:rsidR="00D81D35">
        <w:rPr>
          <w:rFonts w:ascii="Arial" w:eastAsia="Calibri" w:hAnsi="Arial" w:cs="Arial"/>
          <w:color w:val="000000" w:themeColor="text1"/>
          <w:sz w:val="22"/>
          <w:szCs w:val="22"/>
          <w:lang w:val="es-ES_tradnl"/>
        </w:rPr>
        <w:t>.</w:t>
      </w:r>
      <w:r w:rsidR="00E25DCE">
        <w:rPr>
          <w:rFonts w:ascii="Arial" w:hAnsi="Arial" w:cs="Arial"/>
          <w:sz w:val="22"/>
          <w:szCs w:val="22"/>
          <w:lang w:val="es-ES"/>
        </w:rPr>
        <w:t xml:space="preserve"> </w:t>
      </w:r>
    </w:p>
    <w:p w14:paraId="611A0611" w14:textId="4BC57C81" w:rsidR="0003011E" w:rsidRDefault="0003011E" w:rsidP="0003011E">
      <w:pPr>
        <w:spacing w:line="276" w:lineRule="auto"/>
        <w:ind w:firstLine="708"/>
        <w:jc w:val="both"/>
        <w:rPr>
          <w:rFonts w:ascii="Arial" w:eastAsia="Calibri" w:hAnsi="Arial" w:cs="Arial"/>
          <w:sz w:val="22"/>
          <w:szCs w:val="22"/>
          <w:lang w:val="es-ES_tradnl"/>
        </w:rPr>
      </w:pPr>
      <w:r w:rsidRPr="00B73D58">
        <w:rPr>
          <w:rFonts w:ascii="Arial" w:eastAsia="Calibri" w:hAnsi="Arial" w:cs="Arial"/>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w:t>
      </w:r>
      <w:r>
        <w:rPr>
          <w:rFonts w:ascii="Arial" w:eastAsia="Calibri" w:hAnsi="Arial" w:cs="Arial"/>
          <w:sz w:val="22"/>
          <w:szCs w:val="22"/>
          <w:lang w:val="es-ES_tradnl"/>
        </w:rPr>
        <w:t xml:space="preserve"> De igual manera, Colombia Compra Eficiente estudió, en los conceptos C-006 del 5 de febrero de 2021, C-043 del 9 de febrero de 2021, C-044 del 2 de marzo de 2021, C-056 del 8 de marzo de 2021, C-069 del 12 de marzo de 2021, </w:t>
      </w:r>
      <w:r w:rsidRPr="00B31451">
        <w:rPr>
          <w:rFonts w:ascii="Arial" w:eastAsia="Calibri" w:hAnsi="Arial" w:cs="Arial"/>
          <w:sz w:val="22"/>
          <w:szCs w:val="22"/>
          <w:lang w:val="es-ES_tradnl"/>
        </w:rPr>
        <w:t>C-101 del 24 de marzo de 202, C-102 del 25 de marzo de 2021, C-136, C-138 y C-139 del 7 de abril de 2021, C-141 del 08 de abril de 2021, C-162 y C-165 de 13 de abril de 2021, C-164 del 19 de abril de 2021, C-166 del 23 de abril de 2021</w:t>
      </w:r>
      <w:r>
        <w:rPr>
          <w:rFonts w:ascii="Arial" w:eastAsia="Calibri" w:hAnsi="Arial" w:cs="Arial"/>
          <w:sz w:val="22"/>
          <w:szCs w:val="22"/>
          <w:lang w:val="es-ES_tradnl"/>
        </w:rPr>
        <w:t>,</w:t>
      </w:r>
      <w:r w:rsidRPr="00B31451">
        <w:rPr>
          <w:rFonts w:ascii="Arial" w:eastAsia="Calibri" w:hAnsi="Arial" w:cs="Arial"/>
          <w:sz w:val="22"/>
          <w:szCs w:val="22"/>
          <w:lang w:val="es-ES_tradnl"/>
        </w:rPr>
        <w:t xml:space="preserve"> C-191 del 26 de abril de 2021</w:t>
      </w:r>
      <w:r>
        <w:rPr>
          <w:rFonts w:ascii="Arial" w:eastAsia="Calibri" w:hAnsi="Arial" w:cs="Arial"/>
          <w:sz w:val="22"/>
          <w:szCs w:val="22"/>
          <w:lang w:val="es-ES_tradnl"/>
        </w:rPr>
        <w:t xml:space="preserve"> y C-209 del 10 de mayo de 2021, s</w:t>
      </w:r>
      <w:r w:rsidRPr="00B31451">
        <w:rPr>
          <w:rFonts w:ascii="Arial" w:eastAsia="Calibri" w:hAnsi="Arial" w:cs="Arial"/>
          <w:sz w:val="22"/>
          <w:szCs w:val="22"/>
          <w:lang w:val="es-ES_tradnl"/>
        </w:rPr>
        <w:t>e analizaron algunos aspectos sobre la aplicación de los factores de desempate introducidos por la Ley 2069 de 2020.</w:t>
      </w:r>
      <w:r>
        <w:rPr>
          <w:rFonts w:ascii="Arial" w:eastAsia="Calibri" w:hAnsi="Arial" w:cs="Arial"/>
          <w:sz w:val="22"/>
          <w:szCs w:val="22"/>
          <w:lang w:val="es-ES_tradnl"/>
        </w:rPr>
        <w:t xml:space="preserve"> Finalmente, </w:t>
      </w:r>
      <w:r w:rsidRPr="00DD054E">
        <w:rPr>
          <w:rFonts w:ascii="Arial" w:eastAsia="Calibri" w:hAnsi="Arial" w:cs="Arial"/>
          <w:sz w:val="22"/>
          <w:szCs w:val="22"/>
          <w:lang w:val="es-ES_tradnl"/>
        </w:rPr>
        <w:t>en los conceptos 4201912000005659 del 21 de agosto de 2019, CU–060 del 24 de febrero de 2020, C-218 del 02 de abril de 2020, C-675 del 25 de noviembre de 2020, C-730 del 14 de diciembre de 2020</w:t>
      </w:r>
      <w:r>
        <w:rPr>
          <w:rFonts w:ascii="Arial" w:eastAsia="Calibri" w:hAnsi="Arial" w:cs="Arial"/>
          <w:sz w:val="22"/>
          <w:szCs w:val="22"/>
          <w:lang w:val="es-ES_tradnl"/>
        </w:rPr>
        <w:t xml:space="preserve">, </w:t>
      </w:r>
      <w:r w:rsidRPr="00DD054E">
        <w:rPr>
          <w:rFonts w:ascii="Arial" w:eastAsia="Calibri" w:hAnsi="Arial" w:cs="Arial"/>
          <w:sz w:val="22"/>
          <w:szCs w:val="22"/>
          <w:lang w:val="es-ES_tradnl"/>
        </w:rPr>
        <w:t>C-779 del 18 de enero de 2021</w:t>
      </w:r>
      <w:r>
        <w:rPr>
          <w:rFonts w:ascii="Arial" w:eastAsia="Calibri" w:hAnsi="Arial" w:cs="Arial"/>
          <w:sz w:val="22"/>
          <w:szCs w:val="22"/>
          <w:lang w:val="es-ES_tradnl"/>
        </w:rPr>
        <w:t xml:space="preserve"> y C-010 del 16 de febrero de 2021 y C-207 de 10 de mayo de 2021, la Agencia se pronunció sobre </w:t>
      </w:r>
      <w:r w:rsidRPr="00DC2C79">
        <w:rPr>
          <w:rFonts w:ascii="Arial" w:eastAsia="Calibri" w:hAnsi="Arial" w:cs="Arial"/>
          <w:color w:val="000000" w:themeColor="text1"/>
          <w:sz w:val="22"/>
          <w:lang w:val="es-ES_tradnl"/>
        </w:rPr>
        <w:t xml:space="preserve">el alcance de la regla de la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de las ofertas en los procedimientos de selección</w:t>
      </w:r>
      <w:r>
        <w:rPr>
          <w:rFonts w:ascii="Arial" w:eastAsia="Calibri" w:hAnsi="Arial" w:cs="Arial"/>
          <w:color w:val="000000" w:themeColor="text1"/>
          <w:sz w:val="22"/>
          <w:lang w:val="es-ES_tradnl"/>
        </w:rPr>
        <w:t>. Algunas de las consideraciones de estos conceptos se reiteran a continuación.</w:t>
      </w:r>
    </w:p>
    <w:p w14:paraId="7706EF7B" w14:textId="77777777" w:rsidR="008F1F27" w:rsidRPr="00924DEF" w:rsidRDefault="008F1F27" w:rsidP="008F1F27">
      <w:pPr>
        <w:spacing w:line="276" w:lineRule="auto"/>
        <w:ind w:firstLine="708"/>
        <w:jc w:val="both"/>
        <w:rPr>
          <w:rFonts w:ascii="Arial" w:hAnsi="Arial" w:cs="Arial"/>
          <w:sz w:val="22"/>
          <w:szCs w:val="22"/>
          <w:lang w:val="es-MX"/>
        </w:rPr>
      </w:pPr>
    </w:p>
    <w:p w14:paraId="06690DE9" w14:textId="73F37BEF" w:rsidR="00435999" w:rsidRPr="00DD054E" w:rsidRDefault="00435999" w:rsidP="00435999">
      <w:pPr>
        <w:spacing w:line="276" w:lineRule="auto"/>
        <w:jc w:val="both"/>
        <w:rPr>
          <w:rFonts w:ascii="Arial" w:eastAsia="Calibri" w:hAnsi="Arial" w:cs="Arial"/>
          <w:sz w:val="22"/>
          <w:szCs w:val="22"/>
          <w:lang w:val="es-ES_tradnl"/>
        </w:rPr>
      </w:pPr>
      <w:bookmarkStart w:id="0" w:name="_Hlk66196033"/>
      <w:r w:rsidRPr="00DD054E">
        <w:rPr>
          <w:rFonts w:ascii="Arial" w:eastAsia="Calibri" w:hAnsi="Arial" w:cs="Arial"/>
          <w:b/>
          <w:bCs/>
          <w:sz w:val="22"/>
          <w:szCs w:val="22"/>
          <w:lang w:val="es-ES_tradnl"/>
        </w:rPr>
        <w:t>2.</w:t>
      </w:r>
      <w:r w:rsidR="000D6091">
        <w:rPr>
          <w:rFonts w:ascii="Arial" w:eastAsia="Calibri" w:hAnsi="Arial" w:cs="Arial"/>
          <w:b/>
          <w:bCs/>
          <w:sz w:val="22"/>
          <w:szCs w:val="22"/>
          <w:lang w:val="es-ES_tradnl"/>
        </w:rPr>
        <w:t>1</w:t>
      </w:r>
      <w:r w:rsidRPr="00DD054E">
        <w:rPr>
          <w:rFonts w:ascii="Arial" w:eastAsia="Calibri" w:hAnsi="Arial" w:cs="Arial"/>
          <w:b/>
          <w:bCs/>
          <w:sz w:val="22"/>
          <w:szCs w:val="22"/>
          <w:lang w:val="es-ES_tradnl"/>
        </w:rPr>
        <w:t>. Factores de desempate en la contratación estatal: concepto y características</w:t>
      </w:r>
    </w:p>
    <w:p w14:paraId="0747534D" w14:textId="77777777" w:rsidR="00435999" w:rsidRPr="00DD054E" w:rsidRDefault="00435999" w:rsidP="00435999">
      <w:pPr>
        <w:spacing w:line="276" w:lineRule="auto"/>
        <w:jc w:val="both"/>
        <w:rPr>
          <w:rFonts w:ascii="Arial" w:eastAsia="Calibri" w:hAnsi="Arial" w:cs="Arial"/>
          <w:sz w:val="22"/>
          <w:szCs w:val="22"/>
          <w:lang w:val="es-ES_tradnl"/>
        </w:rPr>
      </w:pPr>
    </w:p>
    <w:p w14:paraId="56537887" w14:textId="6F31FBD1" w:rsidR="00435999" w:rsidRPr="005419DA" w:rsidRDefault="00435999" w:rsidP="00435999">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419DA">
        <w:rPr>
          <w:rFonts w:ascii="Arial" w:eastAsia="Calibri" w:hAnsi="Arial" w:cs="Arial"/>
          <w:color w:val="000000" w:themeColor="text1"/>
          <w:sz w:val="22"/>
          <w:szCs w:val="22"/>
          <w:lang w:val="es-ES_tradnl"/>
        </w:rPr>
        <w:t>equivalentes,</w:t>
      </w:r>
      <w:proofErr w:type="gramEnd"/>
      <w:r w:rsidRPr="005419DA">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5B43BECA" w14:textId="77777777" w:rsidR="00435999" w:rsidRPr="005419DA" w:rsidRDefault="00435999" w:rsidP="0043599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lastRenderedPageBreak/>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50FB2CDD" w14:textId="77777777" w:rsidR="00435999" w:rsidRPr="005419DA" w:rsidRDefault="00435999" w:rsidP="00435999">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Pr="005419DA">
        <w:rPr>
          <w:rFonts w:ascii="Arial" w:eastAsia="Calibri" w:hAnsi="Arial" w:cs="Arial"/>
          <w:color w:val="000000" w:themeColor="text1"/>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Pr>
          <w:rFonts w:ascii="Arial" w:eastAsia="Calibri" w:hAnsi="Arial" w:cs="Arial"/>
          <w:color w:val="000000" w:themeColor="text1"/>
          <w:sz w:val="22"/>
          <w:szCs w:val="22"/>
          <w:lang w:val="es-ES_tradnl"/>
        </w:rPr>
        <w:t>, entre las que se cuenta,</w:t>
      </w:r>
      <w:r w:rsidRPr="005419DA">
        <w:rPr>
          <w:rFonts w:ascii="Arial" w:eastAsia="Calibri" w:hAnsi="Arial" w:cs="Arial"/>
          <w:color w:val="000000" w:themeColor="text1"/>
          <w:sz w:val="22"/>
          <w:szCs w:val="22"/>
          <w:lang w:val="es-ES_tradnl"/>
        </w:rPr>
        <w:t xml:space="preserve">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1"/>
      </w:r>
      <w:r w:rsidRPr="005419DA">
        <w:rPr>
          <w:rFonts w:ascii="Arial" w:eastAsia="Calibri" w:hAnsi="Arial" w:cs="Arial"/>
          <w:color w:val="000000" w:themeColor="text1"/>
          <w:sz w:val="22"/>
          <w:szCs w:val="22"/>
          <w:lang w:val="es-ES_tradnl"/>
        </w:rPr>
        <w:t xml:space="preserve">. </w:t>
      </w:r>
    </w:p>
    <w:p w14:paraId="4EF50030" w14:textId="77777777" w:rsidR="00435999" w:rsidRPr="005419DA" w:rsidRDefault="00435999" w:rsidP="0043599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color w:val="000000" w:themeColor="text1"/>
          <w:sz w:val="22"/>
          <w:szCs w:val="22"/>
          <w:lang w:val="es-ES_tradnl"/>
        </w:rPr>
        <w:t>inaplicarlos</w:t>
      </w:r>
      <w:proofErr w:type="spellEnd"/>
      <w:r w:rsidRPr="005419DA">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2"/>
      </w:r>
      <w:r w:rsidRPr="005419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M</w:t>
      </w:r>
      <w:r w:rsidRPr="005419DA">
        <w:rPr>
          <w:rFonts w:ascii="Arial" w:eastAsia="Calibri" w:hAnsi="Arial" w:cs="Arial"/>
          <w:color w:val="000000" w:themeColor="text1"/>
          <w:sz w:val="22"/>
          <w:szCs w:val="22"/>
          <w:lang w:val="es-ES_tradnl"/>
        </w:rPr>
        <w:t>ás</w:t>
      </w:r>
      <w:r>
        <w:rPr>
          <w:rFonts w:ascii="Arial" w:eastAsia="Calibri" w:hAnsi="Arial" w:cs="Arial"/>
          <w:color w:val="000000" w:themeColor="text1"/>
          <w:sz w:val="22"/>
          <w:szCs w:val="22"/>
          <w:lang w:val="es-ES_tradnl"/>
        </w:rPr>
        <w:t xml:space="preserve"> aún</w:t>
      </w:r>
      <w:r w:rsidRPr="005419DA">
        <w:rPr>
          <w:rFonts w:ascii="Arial" w:eastAsia="Calibri" w:hAnsi="Arial" w:cs="Arial"/>
          <w:color w:val="000000" w:themeColor="text1"/>
          <w:sz w:val="22"/>
          <w:szCs w:val="22"/>
          <w:lang w:val="es-ES_tradnl"/>
        </w:rPr>
        <w:t>, el Consejo de Estado</w:t>
      </w:r>
      <w:r>
        <w:rPr>
          <w:rFonts w:ascii="Arial" w:eastAsia="Calibri" w:hAnsi="Arial" w:cs="Arial"/>
          <w:color w:val="000000" w:themeColor="text1"/>
          <w:sz w:val="22"/>
          <w:szCs w:val="22"/>
          <w:lang w:val="es-ES_tradnl"/>
        </w:rPr>
        <w:t xml:space="preserve"> ha señalado que contrariar</w:t>
      </w:r>
      <w:r w:rsidRPr="005419DA">
        <w:rPr>
          <w:rFonts w:ascii="Arial" w:eastAsia="Calibri" w:hAnsi="Arial" w:cs="Arial"/>
          <w:color w:val="000000" w:themeColor="text1"/>
          <w:sz w:val="22"/>
          <w:szCs w:val="22"/>
          <w:lang w:val="es-ES_tradnl"/>
        </w:rPr>
        <w:t xml:space="preserve"> los factores de desempate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w:t>
      </w:r>
    </w:p>
    <w:p w14:paraId="28150C7A" w14:textId="080827E5" w:rsidR="00435999" w:rsidRDefault="00435999" w:rsidP="00435999">
      <w:pPr>
        <w:spacing w:before="120" w:line="276" w:lineRule="auto"/>
        <w:ind w:firstLine="709"/>
        <w:jc w:val="both"/>
        <w:rPr>
          <w:rFonts w:ascii="Arial" w:eastAsia="Calibri" w:hAnsi="Arial" w:cs="Arial"/>
          <w:sz w:val="22"/>
          <w:szCs w:val="22"/>
          <w:lang w:val="es-ES_tradnl"/>
        </w:rPr>
      </w:pPr>
      <w:r w:rsidRPr="005419DA">
        <w:rPr>
          <w:rFonts w:ascii="Arial" w:eastAsia="Calibri" w:hAnsi="Arial" w:cs="Arial"/>
          <w:color w:val="000000" w:themeColor="text1"/>
          <w:sz w:val="22"/>
          <w:szCs w:val="22"/>
          <w:lang w:val="es-ES_tradnl"/>
        </w:rPr>
        <w:lastRenderedPageBreak/>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w:t>
      </w:r>
      <w:proofErr w:type="spellStart"/>
      <w:r w:rsidRPr="005419DA">
        <w:rPr>
          <w:rFonts w:ascii="Arial" w:eastAsia="Calibri" w:hAnsi="Arial" w:cs="Arial"/>
          <w:i/>
          <w:iCs/>
          <w:color w:val="000000" w:themeColor="text1"/>
          <w:sz w:val="22"/>
          <w:szCs w:val="22"/>
          <w:lang w:val="es-ES_tradnl"/>
        </w:rPr>
        <w:t>sunt</w:t>
      </w:r>
      <w:proofErr w:type="spellEnd"/>
      <w:r w:rsidRPr="005419DA">
        <w:rPr>
          <w:rFonts w:ascii="Arial" w:eastAsia="Calibri" w:hAnsi="Arial" w:cs="Arial"/>
          <w:i/>
          <w:iCs/>
          <w:color w:val="000000" w:themeColor="text1"/>
          <w:sz w:val="22"/>
          <w:szCs w:val="22"/>
          <w:lang w:val="es-ES_tradnl"/>
        </w:rPr>
        <w:t xml:space="preserve">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r w:rsidRPr="00DD054E">
        <w:rPr>
          <w:rFonts w:ascii="Arial" w:eastAsia="Calibri" w:hAnsi="Arial" w:cs="Arial"/>
          <w:sz w:val="22"/>
          <w:szCs w:val="22"/>
          <w:lang w:val="es-ES_tradnl"/>
        </w:rPr>
        <w:t xml:space="preserve"> </w:t>
      </w:r>
    </w:p>
    <w:p w14:paraId="3BEF4180" w14:textId="77777777" w:rsidR="000D6091" w:rsidRDefault="000D6091" w:rsidP="0003011E">
      <w:pPr>
        <w:spacing w:before="120"/>
        <w:ind w:firstLine="709"/>
        <w:jc w:val="both"/>
        <w:rPr>
          <w:rFonts w:ascii="Arial" w:eastAsia="Calibri" w:hAnsi="Arial" w:cs="Arial"/>
          <w:sz w:val="22"/>
          <w:szCs w:val="22"/>
          <w:lang w:val="es-ES_tradnl"/>
        </w:rPr>
      </w:pPr>
    </w:p>
    <w:p w14:paraId="174A4999" w14:textId="2AFE0BF9" w:rsidR="000D6091" w:rsidRPr="003362CD" w:rsidRDefault="000D6091" w:rsidP="000D6091">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00748D">
        <w:rPr>
          <w:rFonts w:ascii="Arial" w:eastAsia="Calibri" w:hAnsi="Arial" w:cs="Arial"/>
          <w:b/>
          <w:bCs/>
          <w:sz w:val="22"/>
          <w:szCs w:val="22"/>
          <w:lang w:val="es-ES_tradnl"/>
        </w:rPr>
        <w:t>2</w:t>
      </w:r>
      <w:r w:rsidRPr="003362CD">
        <w:rPr>
          <w:rFonts w:ascii="Arial" w:eastAsia="Calibri" w:hAnsi="Arial" w:cs="Arial"/>
          <w:b/>
          <w:bCs/>
          <w:sz w:val="22"/>
          <w:szCs w:val="22"/>
          <w:lang w:val="es-ES_tradnl"/>
        </w:rPr>
        <w:t xml:space="preserve">. </w:t>
      </w:r>
      <w:bookmarkStart w:id="1" w:name="_Hlk94018153"/>
      <w:r w:rsidRPr="003362CD">
        <w:rPr>
          <w:rFonts w:ascii="Arial" w:eastAsia="Calibri" w:hAnsi="Arial" w:cs="Arial"/>
          <w:b/>
          <w:bCs/>
          <w:sz w:val="22"/>
          <w:szCs w:val="22"/>
          <w:lang w:val="es-ES_tradnl"/>
        </w:rPr>
        <w:t xml:space="preserve">Vigencia y reglamentación de los criterios </w:t>
      </w:r>
      <w:r>
        <w:rPr>
          <w:rFonts w:ascii="Arial" w:eastAsia="Calibri" w:hAnsi="Arial" w:cs="Arial"/>
          <w:b/>
          <w:bCs/>
          <w:sz w:val="22"/>
          <w:szCs w:val="22"/>
          <w:lang w:val="es-ES_tradnl"/>
        </w:rPr>
        <w:t>factores de desempate de</w:t>
      </w:r>
      <w:r w:rsidRPr="003362CD">
        <w:rPr>
          <w:rFonts w:ascii="Arial" w:eastAsia="Calibri" w:hAnsi="Arial" w:cs="Arial"/>
          <w:b/>
          <w:bCs/>
          <w:sz w:val="22"/>
          <w:szCs w:val="22"/>
          <w:lang w:val="es-ES_tradnl"/>
        </w:rPr>
        <w:t xml:space="preserve"> la Ley 2069 de 2020 </w:t>
      </w:r>
      <w:bookmarkEnd w:id="1"/>
    </w:p>
    <w:p w14:paraId="17F63712" w14:textId="77777777" w:rsidR="000D6091" w:rsidRPr="003362CD" w:rsidRDefault="000D6091" w:rsidP="000D6091">
      <w:pPr>
        <w:spacing w:line="276" w:lineRule="auto"/>
        <w:jc w:val="both"/>
        <w:rPr>
          <w:rFonts w:ascii="Arial" w:eastAsia="Calibri" w:hAnsi="Arial" w:cs="Arial"/>
          <w:sz w:val="22"/>
          <w:szCs w:val="22"/>
          <w:lang w:val="es-ES_tradnl"/>
        </w:rPr>
      </w:pPr>
    </w:p>
    <w:p w14:paraId="5BAB61C3" w14:textId="77777777" w:rsidR="000D6091" w:rsidRPr="003362CD" w:rsidRDefault="000D6091" w:rsidP="000D6091">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w:t>
      </w:r>
      <w:r>
        <w:rPr>
          <w:rFonts w:ascii="Arial" w:eastAsia="Calibri" w:hAnsi="Arial" w:cs="Arial"/>
          <w:sz w:val="22"/>
          <w:szCs w:val="22"/>
          <w:lang w:val="es-ES_tradnl"/>
        </w:rPr>
        <w:t>los</w:t>
      </w:r>
      <w:r w:rsidRPr="003362CD">
        <w:rPr>
          <w:rFonts w:ascii="Arial" w:eastAsia="Calibri" w:hAnsi="Arial" w:cs="Arial"/>
          <w:sz w:val="22"/>
          <w:szCs w:val="22"/>
          <w:lang w:val="es-ES_tradnl"/>
        </w:rPr>
        <w:t xml:space="preserve"> decreto</w:t>
      </w:r>
      <w:r>
        <w:rPr>
          <w:rFonts w:ascii="Arial" w:eastAsia="Calibri" w:hAnsi="Arial" w:cs="Arial"/>
          <w:sz w:val="22"/>
          <w:szCs w:val="22"/>
          <w:lang w:val="es-ES_tradnl"/>
        </w:rPr>
        <w:t>s</w:t>
      </w:r>
      <w:r w:rsidRPr="003362CD">
        <w:rPr>
          <w:rFonts w:ascii="Arial" w:eastAsia="Calibri" w:hAnsi="Arial" w:cs="Arial"/>
          <w:sz w:val="22"/>
          <w:szCs w:val="22"/>
          <w:lang w:val="es-ES_tradnl"/>
        </w:rPr>
        <w:t xml:space="preserve"> correspondiente</w:t>
      </w:r>
      <w:r>
        <w:rPr>
          <w:rFonts w:ascii="Arial" w:eastAsia="Calibri" w:hAnsi="Arial" w:cs="Arial"/>
          <w:sz w:val="22"/>
          <w:szCs w:val="22"/>
          <w:lang w:val="es-ES_tradnl"/>
        </w:rPr>
        <w:t>s</w:t>
      </w:r>
      <w:r w:rsidRPr="003362CD">
        <w:rPr>
          <w:rFonts w:ascii="Arial" w:eastAsia="Calibri" w:hAnsi="Arial" w:cs="Arial"/>
          <w:sz w:val="22"/>
          <w:szCs w:val="22"/>
          <w:lang w:val="es-ES_tradnl"/>
        </w:rPr>
        <w:t xml:space="preserve"> que permita</w:t>
      </w:r>
      <w:r>
        <w:rPr>
          <w:rFonts w:ascii="Arial" w:eastAsia="Calibri" w:hAnsi="Arial" w:cs="Arial"/>
          <w:sz w:val="22"/>
          <w:szCs w:val="22"/>
          <w:lang w:val="es-ES_tradnl"/>
        </w:rPr>
        <w:t>n</w:t>
      </w:r>
      <w:r w:rsidRPr="003362CD">
        <w:rPr>
          <w:rFonts w:ascii="Arial" w:eastAsia="Calibri" w:hAnsi="Arial" w:cs="Arial"/>
          <w:sz w:val="22"/>
          <w:szCs w:val="22"/>
          <w:lang w:val="es-ES_tradnl"/>
        </w:rPr>
        <w:t xml:space="preserve"> la cumplida ejecución de esta Ley.</w:t>
      </w:r>
    </w:p>
    <w:p w14:paraId="58D266D5" w14:textId="77777777" w:rsidR="000D6091" w:rsidRPr="003362CD" w:rsidRDefault="000D6091" w:rsidP="000D6091">
      <w:pPr>
        <w:spacing w:before="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En cuan</w:t>
      </w:r>
      <w:r>
        <w:rPr>
          <w:rFonts w:ascii="Arial" w:eastAsia="Calibri" w:hAnsi="Arial" w:cs="Arial"/>
          <w:sz w:val="22"/>
          <w:szCs w:val="22"/>
          <w:lang w:val="es-ES_tradnl"/>
        </w:rPr>
        <w:t>t</w:t>
      </w:r>
      <w:r w:rsidRPr="003362CD">
        <w:rPr>
          <w:rFonts w:ascii="Arial" w:eastAsia="Calibri" w:hAnsi="Arial" w:cs="Arial"/>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3362CD">
        <w:rPr>
          <w:rFonts w:ascii="Arial" w:eastAsia="Calibri" w:hAnsi="Arial" w:cs="Arial"/>
          <w:vertAlign w:val="superscript"/>
          <w:lang w:val="es-ES_tradnl"/>
        </w:rPr>
        <w:footnoteReference w:id="4"/>
      </w:r>
      <w:r w:rsidRPr="003362CD">
        <w:rPr>
          <w:rFonts w:ascii="Arial" w:eastAsia="Calibri" w:hAnsi="Arial" w:cs="Arial"/>
          <w:sz w:val="22"/>
          <w:szCs w:val="22"/>
          <w:lang w:val="es-ES_tradnl"/>
        </w:rPr>
        <w:t xml:space="preserve">. Esto, a partir de «[…] un enfoque regionalizado </w:t>
      </w:r>
      <w:proofErr w:type="gramStart"/>
      <w:r w:rsidRPr="003362CD">
        <w:rPr>
          <w:rFonts w:ascii="Arial" w:eastAsia="Calibri" w:hAnsi="Arial" w:cs="Arial"/>
          <w:sz w:val="22"/>
          <w:szCs w:val="22"/>
          <w:lang w:val="es-ES_tradnl"/>
        </w:rPr>
        <w:t>de acuerdo a</w:t>
      </w:r>
      <w:proofErr w:type="gramEnd"/>
      <w:r w:rsidRPr="003362CD">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mediante la racionalización y simplificación de los trámites y tarifas</w:t>
      </w:r>
      <w:r w:rsidRPr="003362CD">
        <w:rPr>
          <w:rStyle w:val="Refdenotaalpie"/>
          <w:rFonts w:ascii="Arial" w:eastAsia="Calibri" w:hAnsi="Arial" w:cs="Arial"/>
          <w:sz w:val="22"/>
          <w:szCs w:val="22"/>
          <w:lang w:val="es-ES_tradnl"/>
        </w:rPr>
        <w:footnoteReference w:id="5"/>
      </w:r>
      <w:r w:rsidRPr="003362CD">
        <w:rPr>
          <w:rFonts w:ascii="Arial" w:eastAsia="Calibri" w:hAnsi="Arial" w:cs="Arial"/>
          <w:sz w:val="22"/>
          <w:szCs w:val="22"/>
          <w:lang w:val="es-ES_tradnl"/>
        </w:rPr>
        <w:t>, así como incentivos a favor de aquellas dentro del sistema de compras y contratación pública</w:t>
      </w:r>
      <w:r w:rsidRPr="003362CD">
        <w:rPr>
          <w:rStyle w:val="Refdenotaalpie"/>
          <w:rFonts w:ascii="Arial" w:eastAsia="Calibri" w:hAnsi="Arial" w:cs="Arial"/>
          <w:sz w:val="22"/>
          <w:szCs w:val="22"/>
          <w:lang w:val="es-ES_tradnl"/>
        </w:rPr>
        <w:footnoteReference w:id="6"/>
      </w:r>
      <w:r w:rsidRPr="003362CD">
        <w:rPr>
          <w:rFonts w:ascii="Arial" w:eastAsia="Calibri" w:hAnsi="Arial" w:cs="Arial"/>
          <w:sz w:val="22"/>
          <w:szCs w:val="22"/>
          <w:lang w:val="es-ES_tradnl"/>
        </w:rPr>
        <w:t>. También se consagran mecanismos de acceso al financiamiento</w:t>
      </w:r>
      <w:r w:rsidRPr="003362CD">
        <w:rPr>
          <w:rStyle w:val="Refdenotaalpie"/>
          <w:rFonts w:ascii="Arial" w:eastAsia="Calibri" w:hAnsi="Arial" w:cs="Arial"/>
          <w:sz w:val="22"/>
          <w:szCs w:val="22"/>
          <w:lang w:val="es-ES_tradnl"/>
        </w:rPr>
        <w:footnoteReference w:id="7"/>
      </w:r>
      <w:r w:rsidRPr="003362CD">
        <w:rPr>
          <w:rFonts w:ascii="Arial" w:eastAsia="Calibri" w:hAnsi="Arial" w:cs="Arial"/>
          <w:sz w:val="22"/>
          <w:szCs w:val="22"/>
          <w:lang w:val="es-ES_tradnl"/>
        </w:rPr>
        <w:t xml:space="preserve">, se unifican las fuentes de emprendimiento y de desarrollo empresarial, para fortalecer y promover los distintos </w:t>
      </w:r>
      <w:r w:rsidRPr="003362CD">
        <w:rPr>
          <w:rFonts w:ascii="Arial" w:eastAsia="Calibri" w:hAnsi="Arial" w:cs="Arial"/>
          <w:sz w:val="22"/>
          <w:szCs w:val="22"/>
          <w:lang w:val="es-ES_tradnl"/>
        </w:rPr>
        <w:lastRenderedPageBreak/>
        <w:t>sectores de la economía</w:t>
      </w:r>
      <w:r w:rsidRPr="003362CD">
        <w:rPr>
          <w:rStyle w:val="Refdenotaalpie"/>
          <w:rFonts w:ascii="Arial" w:eastAsia="Calibri" w:hAnsi="Arial" w:cs="Arial"/>
          <w:sz w:val="22"/>
          <w:szCs w:val="22"/>
          <w:lang w:val="es-ES_tradnl"/>
        </w:rPr>
        <w:footnoteReference w:id="8"/>
      </w:r>
      <w:r w:rsidRPr="003362CD">
        <w:rPr>
          <w:rFonts w:ascii="Arial" w:eastAsia="Calibri" w:hAnsi="Arial" w:cs="Arial"/>
          <w:sz w:val="22"/>
          <w:szCs w:val="22"/>
          <w:lang w:val="es-ES_tradnl"/>
        </w:rPr>
        <w:t xml:space="preserve"> y se prevén medidas de educación para el emprendimiento y la innovación</w:t>
      </w:r>
      <w:r w:rsidRPr="003362CD">
        <w:rPr>
          <w:rStyle w:val="Refdenotaalpie"/>
          <w:rFonts w:ascii="Arial" w:eastAsia="Calibri" w:hAnsi="Arial" w:cs="Arial"/>
          <w:sz w:val="22"/>
          <w:szCs w:val="22"/>
          <w:lang w:val="es-ES_tradnl"/>
        </w:rPr>
        <w:footnoteReference w:id="9"/>
      </w:r>
      <w:r w:rsidRPr="003362CD">
        <w:rPr>
          <w:rFonts w:ascii="Arial" w:eastAsia="Calibri" w:hAnsi="Arial" w:cs="Arial"/>
          <w:sz w:val="22"/>
          <w:szCs w:val="22"/>
          <w:lang w:val="es-ES_tradnl"/>
        </w:rPr>
        <w:t>.</w:t>
      </w:r>
    </w:p>
    <w:p w14:paraId="1ABFCFEC" w14:textId="77777777" w:rsidR="000D6091" w:rsidRPr="003362CD" w:rsidRDefault="000D6091" w:rsidP="000D6091">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procedimiento de mínima cuantía, ii) criterios diferenciales para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w:t>
      </w:r>
      <w:r w:rsidRPr="003362CD">
        <w:rPr>
          <w:rFonts w:ascii="Arial" w:eastAsia="Calibri" w:hAnsi="Arial" w:cs="Arial"/>
          <w:bCs/>
          <w:vertAlign w:val="superscript"/>
          <w:lang w:val="es-MX"/>
        </w:rPr>
        <w:footnoteReference w:id="10"/>
      </w:r>
      <w:r w:rsidRPr="003362CD">
        <w:rPr>
          <w:rFonts w:ascii="Arial" w:eastAsia="Calibri" w:hAnsi="Arial" w:cs="Arial"/>
          <w:sz w:val="22"/>
          <w:szCs w:val="22"/>
          <w:lang w:val="es-ES_tradnl"/>
        </w:rPr>
        <w:t xml:space="preserve">.  </w:t>
      </w:r>
    </w:p>
    <w:p w14:paraId="4B9862B5" w14:textId="77777777" w:rsidR="000D6091" w:rsidRPr="003362CD" w:rsidRDefault="000D6091" w:rsidP="000D6091">
      <w:pPr>
        <w:tabs>
          <w:tab w:val="left" w:pos="709"/>
        </w:tabs>
        <w:spacing w:after="120" w:line="276" w:lineRule="auto"/>
        <w:jc w:val="both"/>
        <w:rPr>
          <w:rFonts w:ascii="Arial" w:eastAsia="Calibri" w:hAnsi="Arial" w:cs="Arial"/>
          <w:sz w:val="22"/>
          <w:szCs w:val="22"/>
          <w:lang w:val="es-ES_tradnl"/>
        </w:rPr>
      </w:pPr>
      <w:r w:rsidRPr="003362CD">
        <w:rPr>
          <w:rFonts w:ascii="Arial" w:eastAsia="Calibri" w:hAnsi="Arial" w:cs="Arial"/>
          <w:bCs/>
          <w:sz w:val="22"/>
        </w:rPr>
        <w:tab/>
      </w:r>
      <w:r w:rsidRPr="003362CD">
        <w:rPr>
          <w:rFonts w:ascii="Arial" w:eastAsia="Calibri" w:hAnsi="Arial" w:cs="Arial"/>
          <w:sz w:val="22"/>
          <w:szCs w:val="22"/>
          <w:lang w:val="es-ES_tradnl"/>
        </w:rPr>
        <w:t>En este contexto, el pasado 24 de diciembre, el gobierno nacional expidió el Decreto 1860 de 2021</w:t>
      </w:r>
      <w:r w:rsidRPr="003362CD">
        <w:t xml:space="preserve"> </w:t>
      </w:r>
      <w:r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362CD">
        <w:rPr>
          <w:rStyle w:val="Refdenotaalpie"/>
          <w:rFonts w:ascii="Arial" w:eastAsia="Calibri" w:hAnsi="Arial" w:cs="Arial"/>
          <w:sz w:val="22"/>
          <w:szCs w:val="22"/>
          <w:lang w:val="es-ES_tradnl"/>
        </w:rPr>
        <w:footnoteReference w:id="11"/>
      </w:r>
      <w:r w:rsidRPr="003362CD">
        <w:rPr>
          <w:rFonts w:ascii="Arial" w:eastAsia="Calibri" w:hAnsi="Arial" w:cs="Arial"/>
          <w:sz w:val="22"/>
          <w:szCs w:val="22"/>
          <w:lang w:val="es-ES_tradnl"/>
        </w:rPr>
        <w:t xml:space="preserve">.  </w:t>
      </w:r>
    </w:p>
    <w:p w14:paraId="0E01932D" w14:textId="77777777" w:rsidR="00101939" w:rsidRDefault="000D6091" w:rsidP="0003011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En lo relativo al artículo 3</w:t>
      </w:r>
      <w:r>
        <w:rPr>
          <w:rFonts w:ascii="Arial" w:eastAsia="Calibri" w:hAnsi="Arial" w:cs="Arial"/>
          <w:sz w:val="22"/>
          <w:szCs w:val="22"/>
          <w:lang w:val="es-ES_tradnl"/>
        </w:rPr>
        <w:t>5</w:t>
      </w:r>
      <w:r w:rsidRPr="003362CD">
        <w:rPr>
          <w:rFonts w:ascii="Arial" w:eastAsia="Calibri" w:hAnsi="Arial" w:cs="Arial"/>
          <w:sz w:val="22"/>
          <w:szCs w:val="22"/>
          <w:lang w:val="es-ES_tradnl"/>
        </w:rPr>
        <w:t xml:space="preserve"> de la Ley 2069 de 2020, el artículo 3 del Decreto 1860 de 2021 adiciona</w:t>
      </w:r>
      <w:r>
        <w:rPr>
          <w:rFonts w:ascii="Arial" w:eastAsia="Calibri" w:hAnsi="Arial" w:cs="Arial"/>
          <w:sz w:val="22"/>
          <w:szCs w:val="22"/>
          <w:lang w:val="es-ES_tradnl"/>
        </w:rPr>
        <w:t xml:space="preserve"> el</w:t>
      </w:r>
      <w:r w:rsidRPr="003362CD">
        <w:rPr>
          <w:rFonts w:ascii="Arial" w:eastAsia="Calibri" w:hAnsi="Arial" w:cs="Arial"/>
          <w:sz w:val="22"/>
          <w:szCs w:val="22"/>
          <w:lang w:val="es-ES_tradnl"/>
        </w:rPr>
        <w:t xml:space="preserve"> artículo</w:t>
      </w:r>
      <w:r>
        <w:rPr>
          <w:rFonts w:ascii="Arial" w:eastAsia="Calibri" w:hAnsi="Arial" w:cs="Arial"/>
          <w:sz w:val="22"/>
          <w:szCs w:val="22"/>
          <w:lang w:val="es-ES_tradnl"/>
        </w:rPr>
        <w:t xml:space="preserve"> </w:t>
      </w:r>
      <w:r w:rsidRPr="003362CD">
        <w:rPr>
          <w:rFonts w:ascii="Arial" w:eastAsia="Calibri" w:hAnsi="Arial" w:cs="Arial"/>
          <w:sz w:val="22"/>
          <w:szCs w:val="22"/>
          <w:lang w:val="es-ES_tradnl"/>
        </w:rPr>
        <w:t>2.2.1.2.4.2.1</w:t>
      </w:r>
      <w:r>
        <w:rPr>
          <w:rFonts w:ascii="Arial" w:eastAsia="Calibri" w:hAnsi="Arial" w:cs="Arial"/>
          <w:sz w:val="22"/>
          <w:szCs w:val="22"/>
          <w:lang w:val="es-ES_tradnl"/>
        </w:rPr>
        <w:t>7</w:t>
      </w:r>
      <w:r w:rsidRPr="003362CD">
        <w:rPr>
          <w:rFonts w:ascii="Arial" w:eastAsia="Calibri" w:hAnsi="Arial" w:cs="Arial"/>
          <w:sz w:val="22"/>
          <w:szCs w:val="22"/>
          <w:lang w:val="es-ES_tradnl"/>
        </w:rPr>
        <w:t xml:space="preserve"> a la Subsección 2 de la Sección 4 del Capítulo 2 del Título 1 de la Parte 2 del Libro 2 del Decreto 1082 de 2015.</w:t>
      </w:r>
      <w:r>
        <w:rPr>
          <w:rFonts w:ascii="Arial" w:eastAsia="Calibri" w:hAnsi="Arial" w:cs="Arial"/>
          <w:sz w:val="22"/>
          <w:szCs w:val="22"/>
          <w:lang w:val="es-ES_tradnl"/>
        </w:rPr>
        <w:t xml:space="preserve"> Esta norma se encarga de regular los mecanismos de acreditación para los supuestos de hecho de cada de uno de </w:t>
      </w:r>
      <w:r>
        <w:rPr>
          <w:rFonts w:ascii="Arial" w:eastAsia="Calibri" w:hAnsi="Arial" w:cs="Arial"/>
          <w:sz w:val="22"/>
          <w:szCs w:val="22"/>
          <w:lang w:val="es-ES_tradnl"/>
        </w:rPr>
        <w:lastRenderedPageBreak/>
        <w:t xml:space="preserve">los factores de desempate introducidos por la Ley 2069 de 2020, de conformidad con el artículo 189.11 Superior.  </w:t>
      </w:r>
    </w:p>
    <w:p w14:paraId="300F88A8" w14:textId="22AE2657" w:rsidR="000D6091" w:rsidRPr="004770BD" w:rsidRDefault="000D6091" w:rsidP="0003011E">
      <w:pPr>
        <w:spacing w:line="276" w:lineRule="auto"/>
        <w:ind w:firstLine="708"/>
        <w:jc w:val="both"/>
        <w:rPr>
          <w:rFonts w:ascii="Arial" w:eastAsia="Calibri" w:hAnsi="Arial" w:cs="Arial"/>
          <w:sz w:val="22"/>
          <w:szCs w:val="22"/>
          <w:lang w:val="es-ES_tradnl"/>
        </w:rPr>
      </w:pPr>
      <w:r w:rsidRPr="003362CD">
        <w:rPr>
          <w:rFonts w:ascii="Arial" w:hAnsi="Arial" w:cs="Arial"/>
          <w:sz w:val="22"/>
          <w:szCs w:val="22"/>
          <w:lang w:eastAsia="es-CO"/>
        </w:rPr>
        <w:t xml:space="preserve">Debe precisarse que la vigencia del Decreto 1860 de 2021 está regida por lo </w:t>
      </w:r>
      <w:r>
        <w:rPr>
          <w:rFonts w:ascii="Arial" w:hAnsi="Arial" w:cs="Arial"/>
          <w:sz w:val="22"/>
          <w:szCs w:val="22"/>
          <w:lang w:eastAsia="es-CO"/>
        </w:rPr>
        <w:t>establecido</w:t>
      </w:r>
      <w:r w:rsidRPr="003362CD">
        <w:rPr>
          <w:rFonts w:ascii="Arial" w:hAnsi="Arial" w:cs="Arial"/>
          <w:sz w:val="22"/>
          <w:szCs w:val="22"/>
          <w:lang w:eastAsia="es-CO"/>
        </w:rPr>
        <w:t xml:space="preserve">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w:t>
      </w:r>
      <w:r>
        <w:rPr>
          <w:rFonts w:ascii="Arial" w:hAnsi="Arial" w:cs="Arial"/>
          <w:sz w:val="22"/>
          <w:szCs w:val="22"/>
          <w:lang w:eastAsia="es-CO"/>
        </w:rPr>
        <w:t>momento</w:t>
      </w:r>
      <w:r w:rsidRPr="003362CD">
        <w:rPr>
          <w:rStyle w:val="Refdenotaalpie"/>
          <w:rFonts w:ascii="Arial" w:hAnsi="Arial" w:cs="Arial"/>
          <w:sz w:val="22"/>
          <w:szCs w:val="22"/>
          <w:lang w:eastAsia="es-CO"/>
        </w:rPr>
        <w:footnoteReference w:id="12"/>
      </w:r>
      <w:r w:rsidRPr="003362CD">
        <w:rPr>
          <w:rFonts w:ascii="Arial" w:hAnsi="Arial" w:cs="Arial"/>
          <w:sz w:val="22"/>
          <w:szCs w:val="22"/>
          <w:lang w:eastAsia="es-CO"/>
        </w:rPr>
        <w:t xml:space="preserve">. </w:t>
      </w:r>
    </w:p>
    <w:p w14:paraId="4A8C7265" w14:textId="77777777" w:rsidR="00435999" w:rsidRPr="00DD054E" w:rsidRDefault="00435999" w:rsidP="00435999">
      <w:pPr>
        <w:spacing w:line="276" w:lineRule="auto"/>
        <w:jc w:val="both"/>
        <w:rPr>
          <w:rFonts w:ascii="Arial" w:eastAsia="Calibri" w:hAnsi="Arial" w:cs="Arial"/>
          <w:sz w:val="22"/>
          <w:szCs w:val="22"/>
          <w:lang w:val="es-ES_tradnl"/>
        </w:rPr>
      </w:pPr>
    </w:p>
    <w:p w14:paraId="090D70E0" w14:textId="71738088" w:rsidR="00435999" w:rsidRPr="00DD054E" w:rsidRDefault="00435999" w:rsidP="00435999">
      <w:pPr>
        <w:spacing w:line="276" w:lineRule="auto"/>
        <w:jc w:val="both"/>
        <w:rPr>
          <w:rFonts w:ascii="Arial" w:eastAsia="Calibri" w:hAnsi="Arial" w:cs="Arial"/>
          <w:b/>
          <w:bCs/>
          <w:sz w:val="22"/>
          <w:szCs w:val="22"/>
          <w:lang w:val="es-ES_tradnl"/>
        </w:rPr>
      </w:pPr>
      <w:r w:rsidRPr="00DD054E">
        <w:rPr>
          <w:rFonts w:ascii="Arial" w:eastAsia="Calibri" w:hAnsi="Arial" w:cs="Arial"/>
          <w:b/>
          <w:bCs/>
          <w:sz w:val="22"/>
          <w:szCs w:val="22"/>
          <w:lang w:val="es-ES_tradnl"/>
        </w:rPr>
        <w:t>2.3. Forma de acreditación de los factores de desempate consagrados en el artículo 35 de la Ley 2069 de 2020</w:t>
      </w:r>
    </w:p>
    <w:p w14:paraId="63AFEF3B" w14:textId="77777777" w:rsidR="00435999" w:rsidRDefault="00435999" w:rsidP="00435999">
      <w:pPr>
        <w:spacing w:line="276" w:lineRule="auto"/>
        <w:jc w:val="both"/>
        <w:rPr>
          <w:rFonts w:ascii="Arial" w:eastAsia="Calibri" w:hAnsi="Arial" w:cs="Arial"/>
          <w:color w:val="000000" w:themeColor="text1"/>
          <w:sz w:val="22"/>
          <w:szCs w:val="22"/>
          <w:lang w:val="es-ES_tradnl"/>
        </w:rPr>
      </w:pPr>
    </w:p>
    <w:p w14:paraId="6F798A90" w14:textId="77777777" w:rsidR="00435999" w:rsidRPr="00325B05" w:rsidRDefault="00435999" w:rsidP="00435999">
      <w:pPr>
        <w:spacing w:line="276" w:lineRule="auto"/>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Pr>
          <w:rFonts w:ascii="Arial" w:eastAsia="Calibri" w:hAnsi="Arial" w:cs="Arial"/>
          <w:color w:val="000000" w:themeColor="text1"/>
          <w:sz w:val="22"/>
          <w:szCs w:val="22"/>
          <w:lang w:val="es-ES_tradnl"/>
        </w:rPr>
        <w:t>este</w:t>
      </w:r>
      <w:r w:rsidRPr="00325B05">
        <w:rPr>
          <w:rFonts w:ascii="Arial" w:eastAsia="Calibri" w:hAnsi="Arial" w:cs="Arial"/>
          <w:color w:val="000000" w:themeColor="text1"/>
          <w:sz w:val="22"/>
          <w:szCs w:val="22"/>
          <w:lang w:val="es-ES_tradnl"/>
        </w:rPr>
        <w:t xml:space="preserve"> artículo, la Agencia se pronunciará sobre el alcance que otorga a </w:t>
      </w:r>
      <w:r>
        <w:rPr>
          <w:rFonts w:ascii="Arial" w:eastAsia="Calibri" w:hAnsi="Arial" w:cs="Arial"/>
          <w:color w:val="000000" w:themeColor="text1"/>
          <w:sz w:val="22"/>
          <w:szCs w:val="22"/>
          <w:lang w:val="es-ES_tradnl"/>
        </w:rPr>
        <w:t>esta</w:t>
      </w:r>
      <w:r w:rsidRPr="00325B05">
        <w:rPr>
          <w:rFonts w:ascii="Arial" w:eastAsia="Calibri" w:hAnsi="Arial" w:cs="Arial"/>
          <w:color w:val="000000" w:themeColor="text1"/>
          <w:sz w:val="22"/>
          <w:szCs w:val="22"/>
          <w:lang w:val="es-ES_tradnl"/>
        </w:rPr>
        <w:t xml:space="preserve"> disposici</w:t>
      </w:r>
      <w:r>
        <w:rPr>
          <w:rFonts w:ascii="Arial" w:eastAsia="Calibri" w:hAnsi="Arial" w:cs="Arial"/>
          <w:color w:val="000000" w:themeColor="text1"/>
          <w:sz w:val="22"/>
          <w:szCs w:val="22"/>
          <w:lang w:val="es-ES_tradnl"/>
        </w:rPr>
        <w:t>ón. Esto</w:t>
      </w:r>
      <w:r w:rsidRPr="00325B05">
        <w:rPr>
          <w:rFonts w:ascii="Arial" w:eastAsia="Calibri" w:hAnsi="Arial" w:cs="Arial"/>
          <w:color w:val="000000" w:themeColor="text1"/>
          <w:sz w:val="22"/>
          <w:szCs w:val="22"/>
          <w:lang w:val="es-ES_tradnl"/>
        </w:rPr>
        <w:t xml:space="preserve"> sin pasar por alto la novedad de la Ley 2069 de 2020 –dada su reciente </w:t>
      </w:r>
      <w:proofErr w:type="gramStart"/>
      <w:r w:rsidRPr="00325B05">
        <w:rPr>
          <w:rFonts w:ascii="Arial" w:eastAsia="Calibri" w:hAnsi="Arial" w:cs="Arial"/>
          <w:color w:val="000000" w:themeColor="text1"/>
          <w:sz w:val="22"/>
          <w:szCs w:val="22"/>
          <w:lang w:val="es-ES_tradnl"/>
        </w:rPr>
        <w:t>entrada en vigencia</w:t>
      </w:r>
      <w:proofErr w:type="gramEnd"/>
      <w:r w:rsidRPr="00325B05">
        <w:rPr>
          <w:rFonts w:ascii="Arial" w:eastAsia="Calibri" w:hAnsi="Arial" w:cs="Arial"/>
          <w:color w:val="000000" w:themeColor="text1"/>
          <w:sz w:val="22"/>
          <w:szCs w:val="22"/>
          <w:lang w:val="es-ES_tradnl"/>
        </w:rPr>
        <w:t>– y la ausencia de pronunciamientos jurisprudenciales o estudios doctrinarios sobre el tema, que seguramente contribuirán a decantar la interpretación de las normas en comento.</w:t>
      </w:r>
    </w:p>
    <w:p w14:paraId="24C5B83D" w14:textId="77777777" w:rsidR="00435999" w:rsidRPr="00325B05" w:rsidRDefault="00435999" w:rsidP="00435999">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Al respecto, </w:t>
      </w:r>
      <w:r w:rsidRPr="00325B05">
        <w:rPr>
          <w:rFonts w:ascii="Arial" w:eastAsia="Calibri" w:hAnsi="Arial" w:cs="Arial"/>
          <w:sz w:val="22"/>
          <w:szCs w:val="22"/>
          <w:lang w:val="es-ES_tradnl"/>
        </w:rPr>
        <w:t>pese a que el parágrafo 3 dispone que el Gobierno Nacional podrá regular los supuestos en que concurran dos o más factores de desempate,</w:t>
      </w:r>
      <w:r w:rsidRPr="00325B05">
        <w:rPr>
          <w:rFonts w:ascii="Arial" w:eastAsia="Calibri" w:hAnsi="Arial" w:cs="Arial"/>
          <w:color w:val="000000" w:themeColor="text1"/>
          <w:sz w:val="22"/>
          <w:szCs w:val="22"/>
          <w:lang w:val="es-ES_tradnl"/>
        </w:rPr>
        <w:t xml:space="preserve"> se considera que el artículo 35 de la Ley 2069 de 2020 goza de aplicación directa desde la fecha de su </w:t>
      </w:r>
      <w:r w:rsidRPr="00325B05">
        <w:rPr>
          <w:rFonts w:ascii="Arial" w:eastAsia="Calibri" w:hAnsi="Arial" w:cs="Arial"/>
          <w:color w:val="000000" w:themeColor="text1"/>
          <w:sz w:val="22"/>
          <w:szCs w:val="22"/>
          <w:lang w:val="es-ES_tradnl"/>
        </w:rPr>
        <w:lastRenderedPageBreak/>
        <w:t xml:space="preserve">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5039D4CD" w14:textId="77777777" w:rsidR="00435999" w:rsidRPr="00325B05" w:rsidRDefault="00435999" w:rsidP="00435999">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5A591BD" w14:textId="77777777" w:rsidR="00435999" w:rsidRPr="00325B05" w:rsidRDefault="00435999" w:rsidP="00435999">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4BD4F49F" w14:textId="77777777" w:rsidR="00435999" w:rsidRPr="00325B05" w:rsidRDefault="00435999" w:rsidP="00435999">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Lo mismo no sucede con el artículo 35</w:t>
      </w:r>
      <w:r w:rsidRPr="00325B05">
        <w:rPr>
          <w:rFonts w:ascii="Arial" w:eastAsia="Calibri" w:hAnsi="Arial" w:cs="Arial"/>
          <w:sz w:val="22"/>
          <w:szCs w:val="22"/>
          <w:lang w:val="es-ES_tradnl"/>
        </w:rPr>
        <w:t xml:space="preserve">. En efecto, </w:t>
      </w:r>
      <w:r w:rsidRPr="00325B05">
        <w:rPr>
          <w:rFonts w:ascii="Arial" w:hAnsi="Arial" w:cs="Arial"/>
          <w:color w:val="000000" w:themeColor="text1"/>
          <w:sz w:val="22"/>
          <w:szCs w:val="22"/>
          <w:lang w:val="es-ES_tradnl"/>
        </w:rPr>
        <w:t>si bien los factores de desempate regulados en el artículo 35 deben aplicarse «</w:t>
      </w:r>
      <w:r w:rsidRPr="00325B05">
        <w:rPr>
          <w:rFonts w:ascii="Arial" w:hAnsi="Arial" w:cs="Arial"/>
          <w:lang w:val="es-ES_tradnl"/>
        </w:rPr>
        <w:t xml:space="preserve">[…] </w:t>
      </w:r>
      <w:r w:rsidRPr="00325B05">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325B05">
        <w:rPr>
          <w:rFonts w:ascii="Arial" w:eastAsia="Calibri" w:hAnsi="Arial" w:cs="Arial"/>
          <w:color w:val="000000" w:themeColor="text1"/>
          <w:sz w:val="22"/>
          <w:szCs w:val="22"/>
          <w:lang w:val="es-ES_tradnl"/>
        </w:rPr>
        <w:t xml:space="preserve">  </w:t>
      </w:r>
    </w:p>
    <w:p w14:paraId="67BFD491" w14:textId="77777777" w:rsidR="002D3A36" w:rsidRDefault="00435999" w:rsidP="00055E3F">
      <w:pPr>
        <w:spacing w:before="120" w:after="120" w:line="276" w:lineRule="auto"/>
        <w:ind w:firstLine="709"/>
        <w:jc w:val="both"/>
        <w:rPr>
          <w:rFonts w:ascii="Arial" w:eastAsia="Calibri" w:hAnsi="Arial" w:cs="Arial"/>
          <w:sz w:val="22"/>
          <w:szCs w:val="22"/>
          <w:lang w:val="es-ES_tradnl"/>
        </w:rPr>
      </w:pPr>
      <w:r w:rsidRPr="00325B05">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325B05">
        <w:rPr>
          <w:rFonts w:ascii="Arial" w:eastAsia="Calibri" w:hAnsi="Arial" w:cs="Arial"/>
          <w:i/>
          <w:iCs/>
          <w:color w:val="000000" w:themeColor="text1"/>
          <w:sz w:val="22"/>
          <w:szCs w:val="22"/>
          <w:lang w:val="es-ES_tradnl"/>
        </w:rPr>
        <w:t>podrá reglamentar</w:t>
      </w:r>
      <w:r w:rsidRPr="00325B05">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r w:rsidR="00055E3F">
        <w:rPr>
          <w:rFonts w:ascii="Arial" w:eastAsia="Calibri" w:hAnsi="Arial" w:cs="Arial"/>
          <w:sz w:val="22"/>
          <w:szCs w:val="22"/>
          <w:lang w:val="es-ES_tradnl"/>
        </w:rPr>
        <w:t xml:space="preserve"> </w:t>
      </w:r>
    </w:p>
    <w:bookmarkEnd w:id="0"/>
    <w:p w14:paraId="4014EC44" w14:textId="5454E89E" w:rsidR="00E25DCE" w:rsidRPr="00B55C5C" w:rsidRDefault="00E25DCE" w:rsidP="00E25DCE">
      <w:pPr>
        <w:spacing w:before="120" w:after="120" w:line="276" w:lineRule="auto"/>
        <w:jc w:val="both"/>
        <w:rPr>
          <w:rFonts w:ascii="Arial" w:hAnsi="Arial" w:cs="Arial"/>
          <w:b/>
          <w:bCs/>
          <w:sz w:val="22"/>
          <w:szCs w:val="22"/>
          <w:lang w:val="es-ES"/>
        </w:rPr>
      </w:pPr>
      <w:r>
        <w:rPr>
          <w:rFonts w:ascii="Arial" w:hAnsi="Arial" w:cs="Arial"/>
          <w:b/>
          <w:bCs/>
          <w:sz w:val="22"/>
          <w:szCs w:val="22"/>
          <w:lang w:val="es-ES"/>
        </w:rPr>
        <w:lastRenderedPageBreak/>
        <w:t>2.</w:t>
      </w:r>
      <w:r w:rsidR="005E2DF7">
        <w:rPr>
          <w:rFonts w:ascii="Arial" w:hAnsi="Arial" w:cs="Arial"/>
          <w:b/>
          <w:bCs/>
          <w:sz w:val="22"/>
          <w:szCs w:val="22"/>
          <w:lang w:val="es-ES"/>
        </w:rPr>
        <w:t>4</w:t>
      </w:r>
      <w:r w:rsidRPr="00B55C5C">
        <w:rPr>
          <w:rFonts w:ascii="Arial" w:hAnsi="Arial" w:cs="Arial"/>
          <w:b/>
          <w:bCs/>
          <w:sz w:val="22"/>
          <w:szCs w:val="22"/>
          <w:lang w:val="es-ES"/>
        </w:rPr>
        <w:t xml:space="preserve">. </w:t>
      </w:r>
      <w:r>
        <w:rPr>
          <w:rFonts w:ascii="Arial" w:hAnsi="Arial" w:cs="Arial"/>
          <w:b/>
          <w:bCs/>
          <w:sz w:val="22"/>
          <w:szCs w:val="22"/>
          <w:lang w:val="es-ES"/>
        </w:rPr>
        <w:t xml:space="preserve">Resolución 161 de 2021 de la Agencia Nacional de Contratación Pública – Colombia Compra Eficiente: Formatos 10 </w:t>
      </w:r>
      <w:r w:rsidR="00AA2BDA">
        <w:rPr>
          <w:rFonts w:ascii="Arial" w:hAnsi="Arial" w:cs="Arial"/>
          <w:b/>
          <w:bCs/>
          <w:sz w:val="22"/>
          <w:szCs w:val="22"/>
          <w:lang w:val="es-ES"/>
        </w:rPr>
        <w:t>–</w:t>
      </w:r>
      <w:r>
        <w:rPr>
          <w:rFonts w:ascii="Arial" w:hAnsi="Arial" w:cs="Arial"/>
          <w:b/>
          <w:bCs/>
          <w:sz w:val="22"/>
          <w:szCs w:val="22"/>
          <w:lang w:val="es-ES"/>
        </w:rPr>
        <w:t>factores de desempate- y 11 -tratamiento de datos sensibles-</w:t>
      </w:r>
    </w:p>
    <w:p w14:paraId="135B5AB1" w14:textId="203F5CF1" w:rsidR="003C60BC" w:rsidRDefault="00791A94" w:rsidP="00791A94">
      <w:pPr>
        <w:spacing w:before="120" w:after="120" w:line="276" w:lineRule="auto"/>
        <w:jc w:val="both"/>
        <w:rPr>
          <w:rFonts w:ascii="Arial" w:hAnsi="Arial" w:cs="Arial"/>
          <w:sz w:val="22"/>
          <w:szCs w:val="22"/>
          <w:lang w:val="es-ES"/>
        </w:rPr>
      </w:pPr>
      <w:r>
        <w:rPr>
          <w:rFonts w:ascii="Arial" w:eastAsia="Calibri" w:hAnsi="Arial" w:cs="Arial"/>
          <w:sz w:val="22"/>
          <w:szCs w:val="22"/>
          <w:lang w:val="es-ES_tradnl"/>
        </w:rPr>
        <w:t>Conforme se explicó en el numeral anterior, el</w:t>
      </w:r>
      <w:r w:rsidR="00E25DCE" w:rsidRPr="00B55C5C">
        <w:rPr>
          <w:rFonts w:ascii="Arial" w:eastAsia="Calibri" w:hAnsi="Arial" w:cs="Arial"/>
          <w:sz w:val="22"/>
          <w:szCs w:val="22"/>
          <w:lang w:val="es-ES_tradnl"/>
        </w:rPr>
        <w:t xml:space="preserve"> artículo 35 de la Ley 2069 de 2020 modific</w:t>
      </w:r>
      <w:r>
        <w:rPr>
          <w:rFonts w:ascii="Arial" w:eastAsia="Calibri" w:hAnsi="Arial" w:cs="Arial"/>
          <w:sz w:val="22"/>
          <w:szCs w:val="22"/>
          <w:lang w:val="es-ES_tradnl"/>
        </w:rPr>
        <w:t>ó</w:t>
      </w:r>
      <w:r w:rsidR="00E25DCE" w:rsidRPr="00B55C5C">
        <w:rPr>
          <w:rFonts w:ascii="Arial" w:eastAsia="Calibri" w:hAnsi="Arial" w:cs="Arial"/>
          <w:sz w:val="22"/>
          <w:szCs w:val="22"/>
          <w:lang w:val="es-ES_tradnl"/>
        </w:rPr>
        <w:t xml:space="preserve"> la regulación de los factores de desempate en la contratación estatal</w:t>
      </w:r>
      <w:r w:rsidR="006172AF">
        <w:rPr>
          <w:rFonts w:ascii="Arial" w:hAnsi="Arial" w:cs="Arial"/>
          <w:sz w:val="22"/>
          <w:szCs w:val="22"/>
          <w:lang w:val="es-ES"/>
        </w:rPr>
        <w:t>.</w:t>
      </w:r>
      <w:r w:rsidR="003C60BC">
        <w:rPr>
          <w:rFonts w:ascii="Arial" w:hAnsi="Arial" w:cs="Arial"/>
          <w:sz w:val="22"/>
          <w:szCs w:val="22"/>
          <w:lang w:val="es-ES"/>
        </w:rPr>
        <w:t xml:space="preserve"> Dich</w:t>
      </w:r>
      <w:r w:rsidR="00D03416">
        <w:rPr>
          <w:rFonts w:ascii="Arial" w:hAnsi="Arial" w:cs="Arial"/>
          <w:sz w:val="22"/>
          <w:szCs w:val="22"/>
          <w:lang w:val="es-ES"/>
        </w:rPr>
        <w:t>a</w:t>
      </w:r>
      <w:r w:rsidR="003C60BC">
        <w:rPr>
          <w:rFonts w:ascii="Arial" w:hAnsi="Arial" w:cs="Arial"/>
          <w:sz w:val="22"/>
          <w:szCs w:val="22"/>
          <w:lang w:val="es-ES"/>
        </w:rPr>
        <w:t xml:space="preserve"> circunstancia generó la necesidad de adecuar </w:t>
      </w:r>
      <w:r w:rsidR="00D03416">
        <w:rPr>
          <w:rFonts w:ascii="Arial" w:hAnsi="Arial" w:cs="Arial"/>
          <w:sz w:val="22"/>
          <w:szCs w:val="22"/>
          <w:lang w:val="es-ES"/>
        </w:rPr>
        <w:t xml:space="preserve">el contenido de los documentos tipo </w:t>
      </w:r>
      <w:r w:rsidR="008D5075">
        <w:rPr>
          <w:rFonts w:ascii="Arial" w:hAnsi="Arial" w:cs="Arial"/>
          <w:sz w:val="22"/>
          <w:szCs w:val="22"/>
          <w:lang w:val="es-ES"/>
        </w:rPr>
        <w:t xml:space="preserve">entonces </w:t>
      </w:r>
      <w:r w:rsidR="00D03416">
        <w:rPr>
          <w:rFonts w:ascii="Arial" w:hAnsi="Arial" w:cs="Arial"/>
          <w:sz w:val="22"/>
          <w:szCs w:val="22"/>
          <w:lang w:val="es-ES"/>
        </w:rPr>
        <w:t>vigentes,</w:t>
      </w:r>
      <w:r w:rsidR="008D5075">
        <w:rPr>
          <w:rFonts w:ascii="Arial" w:hAnsi="Arial" w:cs="Arial"/>
          <w:sz w:val="22"/>
          <w:szCs w:val="22"/>
          <w:lang w:val="es-ES"/>
        </w:rPr>
        <w:t xml:space="preserve"> –que desarrollaban los factores de desempate conforme al artículo </w:t>
      </w:r>
      <w:r w:rsidR="008D5075" w:rsidRPr="008D5075">
        <w:rPr>
          <w:rFonts w:ascii="Arial" w:hAnsi="Arial" w:cs="Arial"/>
          <w:sz w:val="22"/>
          <w:szCs w:val="22"/>
          <w:lang w:val="es-ES"/>
        </w:rPr>
        <w:t>2.2.1.1.2.2.9</w:t>
      </w:r>
      <w:r w:rsidR="008D5075">
        <w:rPr>
          <w:rFonts w:ascii="Arial" w:hAnsi="Arial" w:cs="Arial"/>
          <w:sz w:val="22"/>
          <w:szCs w:val="22"/>
          <w:lang w:val="es-ES"/>
        </w:rPr>
        <w:t xml:space="preserve"> del Decreto 1082 de 2015–</w:t>
      </w:r>
      <w:r w:rsidR="00E142F6">
        <w:rPr>
          <w:rFonts w:ascii="Arial" w:hAnsi="Arial" w:cs="Arial"/>
          <w:sz w:val="22"/>
          <w:szCs w:val="22"/>
          <w:lang w:val="es-ES"/>
        </w:rPr>
        <w:t>,</w:t>
      </w:r>
      <w:r w:rsidR="00D03416">
        <w:rPr>
          <w:rFonts w:ascii="Arial" w:hAnsi="Arial" w:cs="Arial"/>
          <w:sz w:val="22"/>
          <w:szCs w:val="22"/>
          <w:lang w:val="es-ES"/>
        </w:rPr>
        <w:t xml:space="preserve"> con el fin de adecuar su contenido a los nuevos criterios de desempate</w:t>
      </w:r>
      <w:r w:rsidR="00E142F6">
        <w:rPr>
          <w:rFonts w:ascii="Arial" w:hAnsi="Arial" w:cs="Arial"/>
          <w:sz w:val="22"/>
          <w:szCs w:val="22"/>
          <w:lang w:val="es-ES"/>
        </w:rPr>
        <w:t xml:space="preserve">. </w:t>
      </w:r>
      <w:r w:rsidR="00390998">
        <w:rPr>
          <w:rFonts w:ascii="Arial" w:hAnsi="Arial" w:cs="Arial"/>
          <w:sz w:val="22"/>
          <w:szCs w:val="22"/>
          <w:lang w:val="es-ES"/>
        </w:rPr>
        <w:t xml:space="preserve"> </w:t>
      </w:r>
    </w:p>
    <w:p w14:paraId="46726B6E" w14:textId="2821B1D9" w:rsidR="00E25DCE" w:rsidRDefault="00E142F6" w:rsidP="0003011E">
      <w:pPr>
        <w:spacing w:before="120" w:after="120" w:line="276" w:lineRule="auto"/>
        <w:ind w:firstLine="708"/>
        <w:jc w:val="both"/>
        <w:rPr>
          <w:rFonts w:ascii="Arial" w:hAnsi="Arial" w:cs="Arial"/>
          <w:sz w:val="22"/>
          <w:szCs w:val="22"/>
          <w:lang w:val="es-ES"/>
        </w:rPr>
      </w:pPr>
      <w:r>
        <w:rPr>
          <w:rFonts w:ascii="Arial" w:hAnsi="Arial" w:cs="Arial"/>
          <w:sz w:val="22"/>
          <w:szCs w:val="22"/>
          <w:lang w:val="es-ES"/>
        </w:rPr>
        <w:t>Dado esto, esta</w:t>
      </w:r>
      <w:r w:rsidR="00E25DCE" w:rsidRPr="00B55C5C">
        <w:rPr>
          <w:rFonts w:ascii="Arial" w:hAnsi="Arial" w:cs="Arial"/>
          <w:sz w:val="22"/>
          <w:szCs w:val="22"/>
          <w:lang w:val="es-ES"/>
        </w:rPr>
        <w:t xml:space="preserve"> </w:t>
      </w:r>
      <w:r w:rsidR="00E25DCE">
        <w:rPr>
          <w:rFonts w:ascii="Arial" w:hAnsi="Arial" w:cs="Arial"/>
          <w:sz w:val="22"/>
          <w:szCs w:val="22"/>
          <w:lang w:val="es-ES"/>
        </w:rPr>
        <w:t xml:space="preserve">Agencia </w:t>
      </w:r>
      <w:r w:rsidR="00E25DCE" w:rsidRPr="00B55C5C">
        <w:rPr>
          <w:rFonts w:ascii="Arial" w:hAnsi="Arial" w:cs="Arial"/>
          <w:sz w:val="22"/>
          <w:szCs w:val="22"/>
          <w:lang w:val="es-ES"/>
        </w:rPr>
        <w:t>expid</w:t>
      </w:r>
      <w:r w:rsidR="00E25DCE">
        <w:rPr>
          <w:rFonts w:ascii="Arial" w:hAnsi="Arial" w:cs="Arial"/>
          <w:sz w:val="22"/>
          <w:szCs w:val="22"/>
          <w:lang w:val="es-ES"/>
        </w:rPr>
        <w:t xml:space="preserve">ió </w:t>
      </w:r>
      <w:r w:rsidR="00E25DCE" w:rsidRPr="00B55C5C">
        <w:rPr>
          <w:rFonts w:ascii="Arial" w:hAnsi="Arial" w:cs="Arial"/>
          <w:sz w:val="22"/>
          <w:szCs w:val="22"/>
          <w:lang w:val="es-ES"/>
        </w:rPr>
        <w:t xml:space="preserve">la </w:t>
      </w:r>
      <w:r w:rsidR="00E25DCE">
        <w:rPr>
          <w:rFonts w:ascii="Arial" w:hAnsi="Arial" w:cs="Arial"/>
          <w:sz w:val="22"/>
          <w:szCs w:val="22"/>
          <w:lang w:val="es-ES"/>
        </w:rPr>
        <w:t>R</w:t>
      </w:r>
      <w:r w:rsidR="00E25DCE" w:rsidRPr="00B55C5C">
        <w:rPr>
          <w:rFonts w:ascii="Arial" w:hAnsi="Arial" w:cs="Arial"/>
          <w:sz w:val="22"/>
          <w:szCs w:val="22"/>
          <w:lang w:val="es-ES"/>
        </w:rPr>
        <w:t xml:space="preserve">esolución 161 de 2021, </w:t>
      </w:r>
      <w:r w:rsidR="00E25DCE">
        <w:rPr>
          <w:rFonts w:ascii="Arial" w:hAnsi="Arial" w:cs="Arial"/>
          <w:sz w:val="22"/>
          <w:szCs w:val="22"/>
          <w:lang w:val="es-ES"/>
        </w:rPr>
        <w:t>en procura de</w:t>
      </w:r>
      <w:r w:rsidR="00E25DCE" w:rsidRPr="00B55C5C">
        <w:rPr>
          <w:rFonts w:ascii="Arial" w:hAnsi="Arial" w:cs="Arial"/>
          <w:sz w:val="22"/>
          <w:szCs w:val="22"/>
          <w:lang w:val="es-ES"/>
        </w:rPr>
        <w:t xml:space="preserve"> acoger los factores establecidos en la mencionada ley</w:t>
      </w:r>
      <w:r w:rsidR="00E25DCE">
        <w:rPr>
          <w:rFonts w:ascii="Arial" w:hAnsi="Arial" w:cs="Arial"/>
          <w:sz w:val="22"/>
          <w:szCs w:val="22"/>
          <w:lang w:val="es-ES"/>
        </w:rPr>
        <w:t xml:space="preserve"> y, al efecto, fue modificado el</w:t>
      </w:r>
      <w:r w:rsidR="00E25DCE" w:rsidRPr="00B55C5C">
        <w:rPr>
          <w:rFonts w:ascii="Arial" w:hAnsi="Arial" w:cs="Arial"/>
          <w:sz w:val="22"/>
          <w:szCs w:val="22"/>
          <w:lang w:val="es-ES"/>
        </w:rPr>
        <w:t xml:space="preserve"> numeral 4.6 del documento base </w:t>
      </w:r>
      <w:r w:rsidR="00E25DCE">
        <w:rPr>
          <w:rFonts w:ascii="Arial" w:hAnsi="Arial" w:cs="Arial"/>
          <w:sz w:val="22"/>
          <w:szCs w:val="22"/>
          <w:lang w:val="es-ES"/>
        </w:rPr>
        <w:t xml:space="preserve">de los documentos tipo </w:t>
      </w:r>
      <w:r w:rsidR="00E25DCE" w:rsidRPr="00426C4B">
        <w:rPr>
          <w:rFonts w:ascii="Arial" w:hAnsi="Arial" w:cs="Arial"/>
          <w:sz w:val="22"/>
          <w:szCs w:val="22"/>
          <w:lang w:val="es-ES"/>
        </w:rPr>
        <w:t>los documentos tipo</w:t>
      </w:r>
      <w:r w:rsidR="00E25DCE">
        <w:rPr>
          <w:rFonts w:ascii="Arial" w:hAnsi="Arial" w:cs="Arial"/>
          <w:sz w:val="22"/>
          <w:szCs w:val="22"/>
          <w:lang w:val="es-ES"/>
        </w:rPr>
        <w:t xml:space="preserve"> </w:t>
      </w:r>
      <w:r w:rsidR="00E25DCE" w:rsidRPr="00426C4B">
        <w:rPr>
          <w:rFonts w:ascii="Arial" w:hAnsi="Arial" w:cs="Arial"/>
          <w:sz w:val="22"/>
          <w:szCs w:val="22"/>
          <w:lang w:val="es-ES"/>
        </w:rPr>
        <w:t>de obra pública de infraestructura de transporte adelantados bajo la modalidad de licitación</w:t>
      </w:r>
      <w:r w:rsidR="00E25DCE">
        <w:rPr>
          <w:rFonts w:ascii="Arial" w:hAnsi="Arial" w:cs="Arial"/>
          <w:sz w:val="22"/>
          <w:szCs w:val="22"/>
          <w:lang w:val="es-ES"/>
        </w:rPr>
        <w:t xml:space="preserve"> </w:t>
      </w:r>
      <w:r w:rsidR="00E25DCE" w:rsidRPr="00426C4B">
        <w:rPr>
          <w:rFonts w:ascii="Arial" w:hAnsi="Arial" w:cs="Arial"/>
          <w:sz w:val="22"/>
          <w:szCs w:val="22"/>
          <w:lang w:val="es-ES"/>
        </w:rPr>
        <w:t>pública -Versión 3-, adoptados mediante la Resolución 240 del 27 de noviembre de 2020 y</w:t>
      </w:r>
      <w:r w:rsidR="00E25DCE">
        <w:rPr>
          <w:rFonts w:ascii="Arial" w:hAnsi="Arial" w:cs="Arial"/>
          <w:sz w:val="22"/>
          <w:szCs w:val="22"/>
          <w:lang w:val="es-ES"/>
        </w:rPr>
        <w:t xml:space="preserve"> </w:t>
      </w:r>
      <w:r w:rsidR="00E25DCE" w:rsidRPr="00426C4B">
        <w:rPr>
          <w:rFonts w:ascii="Arial" w:hAnsi="Arial" w:cs="Arial"/>
          <w:sz w:val="22"/>
          <w:szCs w:val="22"/>
          <w:lang w:val="es-ES"/>
        </w:rPr>
        <w:t>de los documentos tipo de obra pública para proyectos de agua potable y saneamiento</w:t>
      </w:r>
      <w:r w:rsidR="00E25DCE">
        <w:rPr>
          <w:rFonts w:ascii="Arial" w:hAnsi="Arial" w:cs="Arial"/>
          <w:sz w:val="22"/>
          <w:szCs w:val="22"/>
          <w:lang w:val="es-ES"/>
        </w:rPr>
        <w:t xml:space="preserve"> </w:t>
      </w:r>
      <w:r w:rsidR="00E25DCE" w:rsidRPr="00426C4B">
        <w:rPr>
          <w:rFonts w:ascii="Arial" w:hAnsi="Arial" w:cs="Arial"/>
          <w:sz w:val="22"/>
          <w:szCs w:val="22"/>
          <w:lang w:val="es-ES"/>
        </w:rPr>
        <w:t>básico bajo la modalidad de licitación pública, expedidos a través de la Resolución 248 del</w:t>
      </w:r>
      <w:r w:rsidR="00E25DCE">
        <w:rPr>
          <w:rFonts w:ascii="Arial" w:hAnsi="Arial" w:cs="Arial"/>
          <w:sz w:val="22"/>
          <w:szCs w:val="22"/>
          <w:lang w:val="es-ES"/>
        </w:rPr>
        <w:t xml:space="preserve"> </w:t>
      </w:r>
      <w:r w:rsidR="00E25DCE" w:rsidRPr="00426C4B">
        <w:rPr>
          <w:rFonts w:ascii="Arial" w:hAnsi="Arial" w:cs="Arial"/>
          <w:sz w:val="22"/>
          <w:szCs w:val="22"/>
          <w:lang w:val="es-ES"/>
        </w:rPr>
        <w:t>1 de diciembre de 2020 y los de la modalidad llave en mano, adoptados por la Resolución</w:t>
      </w:r>
      <w:r w:rsidR="00E25DCE">
        <w:rPr>
          <w:rFonts w:ascii="Arial" w:hAnsi="Arial" w:cs="Arial"/>
          <w:sz w:val="22"/>
          <w:szCs w:val="22"/>
          <w:lang w:val="es-ES"/>
        </w:rPr>
        <w:t xml:space="preserve"> </w:t>
      </w:r>
      <w:r w:rsidR="00E25DCE" w:rsidRPr="00426C4B">
        <w:rPr>
          <w:rFonts w:ascii="Arial" w:hAnsi="Arial" w:cs="Arial"/>
          <w:sz w:val="22"/>
          <w:szCs w:val="22"/>
          <w:lang w:val="es-ES"/>
        </w:rPr>
        <w:t>249 del 1 de diciembre de 2020</w:t>
      </w:r>
      <w:r w:rsidR="00E25DCE" w:rsidRPr="00B55C5C">
        <w:rPr>
          <w:rFonts w:ascii="Arial" w:hAnsi="Arial" w:cs="Arial"/>
          <w:sz w:val="22"/>
          <w:szCs w:val="22"/>
          <w:lang w:val="es-ES"/>
        </w:rPr>
        <w:t xml:space="preserve"> con la finalidad de incluir los criterios establecidos por la Ley.</w:t>
      </w:r>
    </w:p>
    <w:p w14:paraId="2E903B3F" w14:textId="2FB0A6E1" w:rsidR="00E25DCE" w:rsidRDefault="00211F5E" w:rsidP="00E25DCE">
      <w:pPr>
        <w:spacing w:before="120" w:after="120" w:line="276" w:lineRule="auto"/>
        <w:ind w:firstLine="709"/>
        <w:jc w:val="both"/>
        <w:rPr>
          <w:rFonts w:ascii="Arial" w:hAnsi="Arial" w:cs="Arial"/>
          <w:sz w:val="22"/>
          <w:szCs w:val="22"/>
        </w:rPr>
      </w:pPr>
      <w:r>
        <w:rPr>
          <w:rFonts w:ascii="Arial" w:hAnsi="Arial" w:cs="Arial"/>
          <w:sz w:val="22"/>
          <w:szCs w:val="22"/>
        </w:rPr>
        <w:t xml:space="preserve">En concordancia con este </w:t>
      </w:r>
      <w:r w:rsidR="0015294A">
        <w:rPr>
          <w:rFonts w:ascii="Arial" w:hAnsi="Arial" w:cs="Arial"/>
          <w:sz w:val="22"/>
          <w:szCs w:val="22"/>
        </w:rPr>
        <w:t>propósito</w:t>
      </w:r>
      <w:r w:rsidR="00E25DCE" w:rsidRPr="003111C8">
        <w:rPr>
          <w:rFonts w:ascii="Arial" w:hAnsi="Arial" w:cs="Arial"/>
          <w:sz w:val="22"/>
          <w:szCs w:val="22"/>
        </w:rPr>
        <w:t>, el artículo 2</w:t>
      </w:r>
      <w:r w:rsidR="00E25DCE" w:rsidRPr="00B55C5C">
        <w:rPr>
          <w:rFonts w:ascii="Arial" w:hAnsi="Arial" w:cs="Arial"/>
          <w:sz w:val="22"/>
          <w:szCs w:val="22"/>
        </w:rPr>
        <w:t xml:space="preserve"> de la </w:t>
      </w:r>
      <w:r w:rsidR="00E25DCE">
        <w:rPr>
          <w:rFonts w:ascii="Arial" w:hAnsi="Arial" w:cs="Arial"/>
          <w:sz w:val="22"/>
          <w:szCs w:val="22"/>
        </w:rPr>
        <w:t>R</w:t>
      </w:r>
      <w:r w:rsidR="00E25DCE" w:rsidRPr="00B55C5C">
        <w:rPr>
          <w:rFonts w:ascii="Arial" w:hAnsi="Arial" w:cs="Arial"/>
          <w:sz w:val="22"/>
          <w:szCs w:val="22"/>
        </w:rPr>
        <w:t>esolución 161 de 2021</w:t>
      </w:r>
      <w:r w:rsidR="00E25DCE" w:rsidRPr="003111C8">
        <w:rPr>
          <w:rFonts w:ascii="Arial" w:hAnsi="Arial" w:cs="Arial"/>
          <w:sz w:val="22"/>
          <w:szCs w:val="22"/>
        </w:rPr>
        <w:t xml:space="preserve"> incluy</w:t>
      </w:r>
      <w:r w:rsidR="00E25DCE">
        <w:rPr>
          <w:rFonts w:ascii="Arial" w:hAnsi="Arial" w:cs="Arial"/>
          <w:sz w:val="22"/>
          <w:szCs w:val="22"/>
        </w:rPr>
        <w:t>ó</w:t>
      </w:r>
      <w:r w:rsidR="00E25DCE" w:rsidRPr="003111C8">
        <w:rPr>
          <w:rFonts w:ascii="Arial" w:hAnsi="Arial" w:cs="Arial"/>
          <w:sz w:val="22"/>
          <w:szCs w:val="22"/>
        </w:rPr>
        <w:t xml:space="preserve"> el «Formato 10 -Criterios de desempate» </w:t>
      </w:r>
      <w:r w:rsidR="00E25DCE">
        <w:rPr>
          <w:rFonts w:ascii="Arial" w:hAnsi="Arial" w:cs="Arial"/>
          <w:sz w:val="22"/>
          <w:szCs w:val="22"/>
        </w:rPr>
        <w:t>a los documentos tipo</w:t>
      </w:r>
      <w:r w:rsidR="00E25DCE" w:rsidRPr="00FC1D25">
        <w:t xml:space="preserve"> </w:t>
      </w:r>
      <w:r w:rsidR="00E25DCE" w:rsidRPr="00FC1D25">
        <w:rPr>
          <w:rFonts w:ascii="Arial" w:hAnsi="Arial" w:cs="Arial"/>
          <w:sz w:val="22"/>
          <w:szCs w:val="22"/>
        </w:rPr>
        <w:t>de obra pública de</w:t>
      </w:r>
      <w:r w:rsidR="00E25DCE">
        <w:rPr>
          <w:rFonts w:ascii="Arial" w:hAnsi="Arial" w:cs="Arial"/>
          <w:sz w:val="22"/>
          <w:szCs w:val="22"/>
        </w:rPr>
        <w:t xml:space="preserve"> </w:t>
      </w:r>
      <w:r w:rsidR="00E25DCE" w:rsidRPr="00FC1D25">
        <w:rPr>
          <w:rFonts w:ascii="Arial" w:hAnsi="Arial" w:cs="Arial"/>
          <w:sz w:val="22"/>
          <w:szCs w:val="22"/>
        </w:rPr>
        <w:t>infraestructura de transporte adelantados b</w:t>
      </w:r>
      <w:r w:rsidR="00E25DCE">
        <w:rPr>
          <w:rFonts w:ascii="Arial" w:hAnsi="Arial" w:cs="Arial"/>
          <w:sz w:val="22"/>
          <w:szCs w:val="22"/>
        </w:rPr>
        <w:t xml:space="preserve">ajo </w:t>
      </w:r>
      <w:r w:rsidR="00E25DCE" w:rsidRPr="00FC1D25">
        <w:rPr>
          <w:rFonts w:ascii="Arial" w:hAnsi="Arial" w:cs="Arial"/>
          <w:sz w:val="22"/>
          <w:szCs w:val="22"/>
        </w:rPr>
        <w:t>la modalidad de licitación pública -Versión3-, adoptados mediante la Resolución 240 del 27 de noviembre de 2020, a los documentos</w:t>
      </w:r>
      <w:r w:rsidR="00E25DCE">
        <w:rPr>
          <w:rFonts w:ascii="Arial" w:hAnsi="Arial" w:cs="Arial"/>
          <w:sz w:val="22"/>
          <w:szCs w:val="22"/>
        </w:rPr>
        <w:t xml:space="preserve"> </w:t>
      </w:r>
      <w:r w:rsidR="00E25DCE" w:rsidRPr="00FC1D25">
        <w:rPr>
          <w:rFonts w:ascii="Arial" w:hAnsi="Arial" w:cs="Arial"/>
          <w:sz w:val="22"/>
          <w:szCs w:val="22"/>
        </w:rPr>
        <w:t>tipo de interventoría de obra pública infraestructura de transporte adelantados bajo la</w:t>
      </w:r>
      <w:r w:rsidR="00E25DCE">
        <w:rPr>
          <w:rFonts w:ascii="Arial" w:hAnsi="Arial" w:cs="Arial"/>
          <w:sz w:val="22"/>
          <w:szCs w:val="22"/>
        </w:rPr>
        <w:t xml:space="preserve"> </w:t>
      </w:r>
      <w:r w:rsidR="00E25DCE" w:rsidRPr="00FC1D25">
        <w:rPr>
          <w:rFonts w:ascii="Arial" w:hAnsi="Arial" w:cs="Arial"/>
          <w:sz w:val="22"/>
          <w:szCs w:val="22"/>
        </w:rPr>
        <w:t>modalidad de concurso de méritos, incorporados por medio de la Resolución 256 del 11 de</w:t>
      </w:r>
      <w:r w:rsidR="00E25DCE">
        <w:rPr>
          <w:rFonts w:ascii="Arial" w:hAnsi="Arial" w:cs="Arial"/>
          <w:sz w:val="22"/>
          <w:szCs w:val="22"/>
        </w:rPr>
        <w:t xml:space="preserve"> </w:t>
      </w:r>
      <w:r w:rsidR="00E25DCE" w:rsidRPr="00FC1D25">
        <w:rPr>
          <w:rFonts w:ascii="Arial" w:hAnsi="Arial" w:cs="Arial"/>
          <w:sz w:val="22"/>
          <w:szCs w:val="22"/>
        </w:rPr>
        <w:t xml:space="preserve">diciembre de 2020 y de los documentos </w:t>
      </w:r>
      <w:r w:rsidR="00E25DCE">
        <w:rPr>
          <w:rFonts w:ascii="Arial" w:hAnsi="Arial" w:cs="Arial"/>
          <w:sz w:val="22"/>
          <w:szCs w:val="22"/>
        </w:rPr>
        <w:t>t</w:t>
      </w:r>
      <w:r w:rsidR="00E25DCE" w:rsidRPr="00FC1D25">
        <w:rPr>
          <w:rFonts w:ascii="Arial" w:hAnsi="Arial" w:cs="Arial"/>
          <w:sz w:val="22"/>
          <w:szCs w:val="22"/>
        </w:rPr>
        <w:t>ipo de obra pública para proyectos de agua potable</w:t>
      </w:r>
      <w:r w:rsidR="00E25DCE">
        <w:rPr>
          <w:rFonts w:ascii="Arial" w:hAnsi="Arial" w:cs="Arial"/>
          <w:sz w:val="22"/>
          <w:szCs w:val="22"/>
        </w:rPr>
        <w:t xml:space="preserve"> </w:t>
      </w:r>
      <w:r w:rsidR="00E25DCE" w:rsidRPr="00FC1D25">
        <w:rPr>
          <w:rFonts w:ascii="Arial" w:hAnsi="Arial" w:cs="Arial"/>
          <w:sz w:val="22"/>
          <w:szCs w:val="22"/>
        </w:rPr>
        <w:t>y saneamiento básico adelantados bajo la modalidad de licitación pública, acogidos a través</w:t>
      </w:r>
      <w:r w:rsidR="00E25DCE">
        <w:rPr>
          <w:rFonts w:ascii="Arial" w:hAnsi="Arial" w:cs="Arial"/>
          <w:sz w:val="22"/>
          <w:szCs w:val="22"/>
        </w:rPr>
        <w:t xml:space="preserve"> </w:t>
      </w:r>
      <w:r w:rsidR="00E25DCE" w:rsidRPr="00FC1D25">
        <w:rPr>
          <w:rFonts w:ascii="Arial" w:hAnsi="Arial" w:cs="Arial"/>
          <w:sz w:val="22"/>
          <w:szCs w:val="22"/>
        </w:rPr>
        <w:t>de la Resolución 248 del 1 de diciembre de 2020, y los de la modalidad llave en mano,</w:t>
      </w:r>
      <w:r w:rsidR="00E25DCE">
        <w:rPr>
          <w:rFonts w:ascii="Arial" w:hAnsi="Arial" w:cs="Arial"/>
          <w:sz w:val="22"/>
          <w:szCs w:val="22"/>
        </w:rPr>
        <w:t xml:space="preserve"> </w:t>
      </w:r>
      <w:r w:rsidR="00E25DCE" w:rsidRPr="00FC1D25">
        <w:rPr>
          <w:rFonts w:ascii="Arial" w:hAnsi="Arial" w:cs="Arial"/>
          <w:sz w:val="22"/>
          <w:szCs w:val="22"/>
        </w:rPr>
        <w:t>adoptados por la Resolución 249 del 1 de diciembre de 2020.</w:t>
      </w:r>
    </w:p>
    <w:p w14:paraId="6E3DA305" w14:textId="26FEBF6F" w:rsidR="00E25DCE" w:rsidRDefault="00FC03E1" w:rsidP="00E25DCE">
      <w:pPr>
        <w:spacing w:before="120" w:after="120" w:line="276" w:lineRule="auto"/>
        <w:ind w:firstLine="709"/>
        <w:jc w:val="both"/>
        <w:rPr>
          <w:rFonts w:ascii="Arial" w:hAnsi="Arial" w:cs="Arial"/>
          <w:sz w:val="22"/>
          <w:szCs w:val="22"/>
        </w:rPr>
      </w:pPr>
      <w:r>
        <w:rPr>
          <w:rFonts w:ascii="Arial" w:hAnsi="Arial" w:cs="Arial"/>
          <w:sz w:val="22"/>
          <w:szCs w:val="22"/>
        </w:rPr>
        <w:t>Conforme a lo anterior,</w:t>
      </w:r>
      <w:r w:rsidR="00E25DCE">
        <w:rPr>
          <w:rFonts w:ascii="Arial" w:hAnsi="Arial" w:cs="Arial"/>
          <w:sz w:val="22"/>
          <w:szCs w:val="22"/>
        </w:rPr>
        <w:t xml:space="preserve"> la finalidad del Formato 10 es, precisamente, la acreditación de factores de desempate en el caso de personas jurídicas pues, en virtud de la Resolución 161 de 2021, </w:t>
      </w:r>
      <w:r w:rsidR="00E25DCE" w:rsidRPr="00410B71">
        <w:rPr>
          <w:rFonts w:ascii="Arial" w:hAnsi="Arial" w:cs="Arial"/>
          <w:sz w:val="22"/>
          <w:szCs w:val="22"/>
        </w:rPr>
        <w:t>se preferirá a aquellas en las que</w:t>
      </w:r>
      <w:r w:rsidR="00E25DCE">
        <w:rPr>
          <w:rFonts w:ascii="Arial" w:hAnsi="Arial" w:cs="Arial"/>
          <w:sz w:val="22"/>
          <w:szCs w:val="22"/>
        </w:rPr>
        <w:t xml:space="preserve"> </w:t>
      </w:r>
      <w:r w:rsidR="00E25DCE" w:rsidRPr="00F537EE">
        <w:rPr>
          <w:rFonts w:ascii="Arial" w:hAnsi="Arial" w:cs="Arial"/>
          <w:sz w:val="22"/>
          <w:szCs w:val="22"/>
        </w:rPr>
        <w:t>«</w:t>
      </w:r>
      <w:r w:rsidR="00E25DCE">
        <w:rPr>
          <w:rFonts w:ascii="Arial" w:hAnsi="Arial" w:cs="Arial"/>
          <w:sz w:val="22"/>
          <w:szCs w:val="22"/>
        </w:rPr>
        <w:t>…</w:t>
      </w:r>
      <w:r w:rsidR="00E25DCE" w:rsidRPr="00410B71">
        <w:rPr>
          <w:rFonts w:ascii="Arial" w:hAnsi="Arial" w:cs="Arial"/>
          <w:sz w:val="22"/>
          <w:szCs w:val="22"/>
        </w:rPr>
        <w:t>p</w:t>
      </w:r>
      <w:r w:rsidR="00E25DCE">
        <w:rPr>
          <w:rFonts w:ascii="Arial" w:hAnsi="Arial" w:cs="Arial"/>
          <w:sz w:val="22"/>
          <w:szCs w:val="22"/>
        </w:rPr>
        <w:t xml:space="preserve">articipen mayoritariamente </w:t>
      </w:r>
      <w:r w:rsidR="00E25DCE" w:rsidRPr="00410B71">
        <w:rPr>
          <w:rFonts w:ascii="Arial" w:hAnsi="Arial" w:cs="Arial"/>
          <w:sz w:val="22"/>
          <w:szCs w:val="22"/>
        </w:rPr>
        <w:t>mujeres</w:t>
      </w:r>
      <w:r w:rsidR="00E25DCE">
        <w:rPr>
          <w:rFonts w:ascii="Arial" w:hAnsi="Arial" w:cs="Arial"/>
          <w:sz w:val="22"/>
          <w:szCs w:val="22"/>
        </w:rPr>
        <w:t xml:space="preserve"> </w:t>
      </w:r>
      <w:r w:rsidR="00E25DCE" w:rsidRPr="00410B71">
        <w:rPr>
          <w:rFonts w:ascii="Arial" w:hAnsi="Arial" w:cs="Arial"/>
          <w:sz w:val="22"/>
          <w:szCs w:val="22"/>
        </w:rPr>
        <w:t>cabeza de familia y/o mujeres vícti</w:t>
      </w:r>
      <w:r w:rsidR="00E25DCE">
        <w:rPr>
          <w:rFonts w:ascii="Arial" w:hAnsi="Arial" w:cs="Arial"/>
          <w:sz w:val="22"/>
          <w:szCs w:val="22"/>
        </w:rPr>
        <w:t>m</w:t>
      </w:r>
      <w:r w:rsidR="00E25DCE" w:rsidRPr="00410B71">
        <w:rPr>
          <w:rFonts w:ascii="Arial" w:hAnsi="Arial" w:cs="Arial"/>
          <w:sz w:val="22"/>
          <w:szCs w:val="22"/>
        </w:rPr>
        <w:t>as</w:t>
      </w:r>
      <w:r w:rsidR="00E25DCE">
        <w:rPr>
          <w:rFonts w:ascii="Arial" w:hAnsi="Arial" w:cs="Arial"/>
          <w:sz w:val="22"/>
          <w:szCs w:val="22"/>
        </w:rPr>
        <w:t xml:space="preserve"> d</w:t>
      </w:r>
      <w:r w:rsidR="00E25DCE" w:rsidRPr="00410B71">
        <w:rPr>
          <w:rFonts w:ascii="Arial" w:hAnsi="Arial" w:cs="Arial"/>
          <w:sz w:val="22"/>
          <w:szCs w:val="22"/>
        </w:rPr>
        <w:t xml:space="preserve">e violencia intrafamiliar, para lo cual el representante legal o </w:t>
      </w:r>
      <w:r w:rsidR="00E25DCE">
        <w:rPr>
          <w:rFonts w:ascii="Arial" w:hAnsi="Arial" w:cs="Arial"/>
          <w:sz w:val="22"/>
          <w:szCs w:val="22"/>
        </w:rPr>
        <w:t>e</w:t>
      </w:r>
      <w:r w:rsidR="00E25DCE" w:rsidRPr="00410B71">
        <w:rPr>
          <w:rFonts w:ascii="Arial" w:hAnsi="Arial" w:cs="Arial"/>
          <w:sz w:val="22"/>
          <w:szCs w:val="22"/>
        </w:rPr>
        <w:t>l revisor fiscal,</w:t>
      </w:r>
      <w:r w:rsidR="00E25DCE">
        <w:rPr>
          <w:rFonts w:ascii="Arial" w:hAnsi="Arial" w:cs="Arial"/>
          <w:sz w:val="22"/>
          <w:szCs w:val="22"/>
        </w:rPr>
        <w:t xml:space="preserve"> </w:t>
      </w:r>
      <w:r w:rsidR="00E25DCE" w:rsidRPr="00410B71">
        <w:rPr>
          <w:rFonts w:ascii="Arial" w:hAnsi="Arial" w:cs="Arial"/>
          <w:sz w:val="22"/>
          <w:szCs w:val="22"/>
        </w:rPr>
        <w:t xml:space="preserve">según corresponda, </w:t>
      </w:r>
      <w:r w:rsidR="00E25DCE">
        <w:rPr>
          <w:rFonts w:ascii="Arial" w:hAnsi="Arial" w:cs="Arial"/>
          <w:sz w:val="22"/>
          <w:szCs w:val="22"/>
        </w:rPr>
        <w:t>diligenciará</w:t>
      </w:r>
      <w:r w:rsidR="00E25DCE" w:rsidRPr="00410B71">
        <w:rPr>
          <w:rFonts w:ascii="Arial" w:hAnsi="Arial" w:cs="Arial"/>
          <w:sz w:val="22"/>
          <w:szCs w:val="22"/>
        </w:rPr>
        <w:t xml:space="preserve"> el «Formato 1</w:t>
      </w:r>
      <w:r w:rsidR="00E25DCE">
        <w:rPr>
          <w:rFonts w:ascii="Arial" w:hAnsi="Arial" w:cs="Arial"/>
          <w:sz w:val="22"/>
          <w:szCs w:val="22"/>
        </w:rPr>
        <w:t>0</w:t>
      </w:r>
      <w:r w:rsidR="00E25DCE" w:rsidRPr="00410B71">
        <w:rPr>
          <w:rFonts w:ascii="Arial" w:hAnsi="Arial" w:cs="Arial"/>
          <w:sz w:val="22"/>
          <w:szCs w:val="22"/>
        </w:rPr>
        <w:t>A -Participación mayoritari</w:t>
      </w:r>
      <w:r w:rsidR="00E25DCE">
        <w:rPr>
          <w:rFonts w:ascii="Arial" w:hAnsi="Arial" w:cs="Arial"/>
          <w:sz w:val="22"/>
          <w:szCs w:val="22"/>
        </w:rPr>
        <w:t xml:space="preserve">a </w:t>
      </w:r>
      <w:r w:rsidR="00E25DCE" w:rsidRPr="00410B71">
        <w:rPr>
          <w:rFonts w:ascii="Arial" w:hAnsi="Arial" w:cs="Arial"/>
          <w:sz w:val="22"/>
          <w:szCs w:val="22"/>
        </w:rPr>
        <w:t>de mujeres cabeza de familia y/o mujeres víctimas de violencia intrafamiliar</w:t>
      </w:r>
      <w:r w:rsidR="00E25DCE">
        <w:rPr>
          <w:rFonts w:ascii="Arial" w:hAnsi="Arial" w:cs="Arial"/>
          <w:sz w:val="22"/>
          <w:szCs w:val="22"/>
        </w:rPr>
        <w:t xml:space="preserve"> </w:t>
      </w:r>
      <w:r w:rsidR="00E25DCE" w:rsidRPr="00410B71">
        <w:rPr>
          <w:rFonts w:ascii="Arial" w:hAnsi="Arial" w:cs="Arial"/>
          <w:sz w:val="22"/>
          <w:szCs w:val="22"/>
        </w:rPr>
        <w:t>(persona jurídica)», mediante el cual certifica, bajo la gravedad de juramento,</w:t>
      </w:r>
      <w:r w:rsidR="00E25DCE">
        <w:rPr>
          <w:rFonts w:ascii="Arial" w:hAnsi="Arial" w:cs="Arial"/>
          <w:sz w:val="22"/>
          <w:szCs w:val="22"/>
        </w:rPr>
        <w:t xml:space="preserve"> </w:t>
      </w:r>
      <w:r w:rsidR="00E25DCE" w:rsidRPr="00410B71">
        <w:rPr>
          <w:rFonts w:ascii="Arial" w:hAnsi="Arial" w:cs="Arial"/>
          <w:sz w:val="22"/>
          <w:szCs w:val="22"/>
        </w:rPr>
        <w:t>que más del cincuenta por ciento (50 %) de la composición accionaria o cuota</w:t>
      </w:r>
      <w:r w:rsidR="00E25DCE">
        <w:rPr>
          <w:rFonts w:ascii="Arial" w:hAnsi="Arial" w:cs="Arial"/>
          <w:sz w:val="22"/>
          <w:szCs w:val="22"/>
        </w:rPr>
        <w:t xml:space="preserve"> </w:t>
      </w:r>
      <w:r w:rsidR="00E25DCE" w:rsidRPr="00410B71">
        <w:rPr>
          <w:rFonts w:ascii="Arial" w:hAnsi="Arial" w:cs="Arial"/>
          <w:sz w:val="22"/>
          <w:szCs w:val="22"/>
        </w:rPr>
        <w:t>par</w:t>
      </w:r>
      <w:r w:rsidR="00E25DCE">
        <w:rPr>
          <w:rFonts w:ascii="Arial" w:hAnsi="Arial" w:cs="Arial"/>
          <w:sz w:val="22"/>
          <w:szCs w:val="22"/>
        </w:rPr>
        <w:t>t</w:t>
      </w:r>
      <w:r w:rsidR="00E25DCE" w:rsidRPr="00410B71">
        <w:rPr>
          <w:rFonts w:ascii="Arial" w:hAnsi="Arial" w:cs="Arial"/>
          <w:sz w:val="22"/>
          <w:szCs w:val="22"/>
        </w:rPr>
        <w:t>e de la</w:t>
      </w:r>
      <w:r w:rsidR="00E25DCE">
        <w:rPr>
          <w:rFonts w:ascii="Arial" w:hAnsi="Arial" w:cs="Arial"/>
          <w:sz w:val="22"/>
          <w:szCs w:val="22"/>
        </w:rPr>
        <w:t xml:space="preserve"> persona jurídica está </w:t>
      </w:r>
      <w:r w:rsidR="00E25DCE" w:rsidRPr="00410B71">
        <w:rPr>
          <w:rFonts w:ascii="Arial" w:hAnsi="Arial" w:cs="Arial"/>
          <w:sz w:val="22"/>
          <w:szCs w:val="22"/>
        </w:rPr>
        <w:t>constituida por mujeres cabeza de familia y/o</w:t>
      </w:r>
      <w:r w:rsidR="00E25DCE">
        <w:rPr>
          <w:rFonts w:ascii="Arial" w:hAnsi="Arial" w:cs="Arial"/>
          <w:sz w:val="22"/>
          <w:szCs w:val="22"/>
        </w:rPr>
        <w:t xml:space="preserve"> </w:t>
      </w:r>
      <w:r w:rsidR="00E25DCE" w:rsidRPr="00410B71">
        <w:rPr>
          <w:rFonts w:ascii="Arial" w:hAnsi="Arial" w:cs="Arial"/>
          <w:sz w:val="22"/>
          <w:szCs w:val="22"/>
        </w:rPr>
        <w:t>mujeres víctimas de violencia intrafamiliar. Además, deberá acreditar la</w:t>
      </w:r>
      <w:r w:rsidR="00E25DCE">
        <w:rPr>
          <w:rFonts w:ascii="Arial" w:hAnsi="Arial" w:cs="Arial"/>
          <w:sz w:val="22"/>
          <w:szCs w:val="22"/>
        </w:rPr>
        <w:t xml:space="preserve"> condición indicada</w:t>
      </w:r>
      <w:r w:rsidR="00E25DCE" w:rsidRPr="00410B71">
        <w:rPr>
          <w:rFonts w:ascii="Arial" w:hAnsi="Arial" w:cs="Arial"/>
          <w:sz w:val="22"/>
          <w:szCs w:val="22"/>
        </w:rPr>
        <w:t xml:space="preserve"> de cada una de las </w:t>
      </w:r>
      <w:r w:rsidR="00E25DCE" w:rsidRPr="00410B71">
        <w:rPr>
          <w:rFonts w:ascii="Arial" w:hAnsi="Arial" w:cs="Arial"/>
          <w:sz w:val="22"/>
          <w:szCs w:val="22"/>
        </w:rPr>
        <w:lastRenderedPageBreak/>
        <w:t>mujeres que participen en la sociedad,</w:t>
      </w:r>
      <w:r w:rsidR="00E25DCE">
        <w:rPr>
          <w:rFonts w:ascii="Arial" w:hAnsi="Arial" w:cs="Arial"/>
          <w:sz w:val="22"/>
          <w:szCs w:val="22"/>
        </w:rPr>
        <w:t xml:space="preserve"> </w:t>
      </w:r>
      <w:r w:rsidR="00E25DCE" w:rsidRPr="00410B71">
        <w:rPr>
          <w:rFonts w:ascii="Arial" w:hAnsi="Arial" w:cs="Arial"/>
          <w:sz w:val="22"/>
          <w:szCs w:val="22"/>
        </w:rPr>
        <w:t>aportando los documentos de cada una de ellas, de acuerdo con los dos</w:t>
      </w:r>
      <w:r w:rsidR="00E25DCE">
        <w:rPr>
          <w:rFonts w:ascii="Arial" w:hAnsi="Arial" w:cs="Arial"/>
          <w:sz w:val="22"/>
          <w:szCs w:val="22"/>
        </w:rPr>
        <w:t xml:space="preserve"> </w:t>
      </w:r>
      <w:r w:rsidR="00E25DCE" w:rsidRPr="00410B71">
        <w:rPr>
          <w:rFonts w:ascii="Arial" w:hAnsi="Arial" w:cs="Arial"/>
          <w:sz w:val="22"/>
          <w:szCs w:val="22"/>
        </w:rPr>
        <w:t>incisos anteriores</w:t>
      </w:r>
      <w:r w:rsidR="00E25DCE" w:rsidRPr="005B766F">
        <w:rPr>
          <w:rFonts w:ascii="Arial" w:hAnsi="Arial" w:cs="Arial"/>
          <w:sz w:val="22"/>
          <w:szCs w:val="22"/>
        </w:rPr>
        <w:t>»</w:t>
      </w:r>
      <w:r w:rsidR="00E018E5">
        <w:rPr>
          <w:rFonts w:ascii="Arial" w:hAnsi="Arial" w:cs="Arial"/>
          <w:sz w:val="22"/>
          <w:szCs w:val="22"/>
        </w:rPr>
        <w:t>.</w:t>
      </w:r>
    </w:p>
    <w:p w14:paraId="4DA3ED6D" w14:textId="0177536F" w:rsidR="00E25DCE" w:rsidRDefault="00E25DCE" w:rsidP="00E25DCE">
      <w:pPr>
        <w:spacing w:before="120" w:after="120" w:line="276" w:lineRule="auto"/>
        <w:ind w:firstLine="709"/>
        <w:jc w:val="both"/>
        <w:rPr>
          <w:rFonts w:ascii="Arial" w:hAnsi="Arial" w:cs="Arial"/>
          <w:sz w:val="22"/>
          <w:szCs w:val="22"/>
        </w:rPr>
      </w:pPr>
      <w:r>
        <w:rPr>
          <w:rFonts w:ascii="Arial" w:hAnsi="Arial" w:cs="Arial"/>
          <w:sz w:val="22"/>
          <w:szCs w:val="22"/>
        </w:rPr>
        <w:t xml:space="preserve">Por su parte, y como ilustración, el Formato 10 de los documentos tipo de infraestructura para licitación de obra pública de transporte indica que </w:t>
      </w:r>
      <w:r w:rsidRPr="005B766F">
        <w:rPr>
          <w:rFonts w:ascii="Arial" w:hAnsi="Arial" w:cs="Arial"/>
          <w:sz w:val="22"/>
          <w:szCs w:val="22"/>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r w:rsidR="00E018E5">
        <w:rPr>
          <w:rFonts w:ascii="Arial" w:hAnsi="Arial" w:cs="Arial"/>
          <w:sz w:val="22"/>
          <w:szCs w:val="22"/>
        </w:rPr>
        <w:t>.</w:t>
      </w:r>
    </w:p>
    <w:p w14:paraId="25A6B6CC" w14:textId="77777777" w:rsidR="00E146F0" w:rsidRDefault="00E25DCE" w:rsidP="00E146F0">
      <w:pPr>
        <w:spacing w:before="120" w:after="120" w:line="276" w:lineRule="auto"/>
        <w:ind w:firstLine="709"/>
        <w:jc w:val="both"/>
        <w:rPr>
          <w:rFonts w:ascii="Arial" w:hAnsi="Arial" w:cs="Arial"/>
          <w:sz w:val="22"/>
          <w:szCs w:val="22"/>
        </w:rPr>
      </w:pPr>
      <w:r>
        <w:rPr>
          <w:rFonts w:ascii="Arial" w:hAnsi="Arial" w:cs="Arial"/>
          <w:sz w:val="22"/>
          <w:szCs w:val="22"/>
        </w:rPr>
        <w:t xml:space="preserve">Por su parte, </w:t>
      </w:r>
      <w:r w:rsidRPr="003111C8">
        <w:rPr>
          <w:rFonts w:ascii="Arial" w:hAnsi="Arial" w:cs="Arial"/>
          <w:sz w:val="22"/>
          <w:szCs w:val="22"/>
        </w:rPr>
        <w:t>e</w:t>
      </w:r>
      <w:r w:rsidRPr="00B55C5C">
        <w:rPr>
          <w:rFonts w:ascii="Arial" w:hAnsi="Arial" w:cs="Arial"/>
          <w:sz w:val="22"/>
          <w:szCs w:val="22"/>
        </w:rPr>
        <w:t>l</w:t>
      </w:r>
      <w:r w:rsidRPr="003111C8">
        <w:rPr>
          <w:rFonts w:ascii="Arial" w:hAnsi="Arial" w:cs="Arial"/>
          <w:sz w:val="22"/>
          <w:szCs w:val="22"/>
        </w:rPr>
        <w:t xml:space="preserve"> artículo 3</w:t>
      </w:r>
      <w:r>
        <w:rPr>
          <w:rFonts w:ascii="Arial" w:hAnsi="Arial" w:cs="Arial"/>
          <w:sz w:val="22"/>
          <w:szCs w:val="22"/>
        </w:rPr>
        <w:t xml:space="preserve"> de la Resolución 161 de 2021</w:t>
      </w:r>
      <w:r w:rsidRPr="003111C8">
        <w:rPr>
          <w:rFonts w:ascii="Arial" w:hAnsi="Arial" w:cs="Arial"/>
          <w:sz w:val="22"/>
          <w:szCs w:val="22"/>
        </w:rPr>
        <w:t xml:space="preserve"> incluy</w:t>
      </w:r>
      <w:r>
        <w:rPr>
          <w:rFonts w:ascii="Arial" w:hAnsi="Arial" w:cs="Arial"/>
          <w:sz w:val="22"/>
          <w:szCs w:val="22"/>
        </w:rPr>
        <w:t>ó</w:t>
      </w:r>
      <w:r w:rsidRPr="003111C8">
        <w:rPr>
          <w:rFonts w:ascii="Arial" w:hAnsi="Arial" w:cs="Arial"/>
          <w:sz w:val="22"/>
          <w:szCs w:val="22"/>
        </w:rPr>
        <w:t xml:space="preserve"> el «Formato 11 -</w:t>
      </w:r>
      <w:r>
        <w:rPr>
          <w:rFonts w:ascii="Arial" w:hAnsi="Arial" w:cs="Arial"/>
          <w:sz w:val="22"/>
          <w:szCs w:val="22"/>
        </w:rPr>
        <w:t xml:space="preserve"> </w:t>
      </w:r>
      <w:r w:rsidRPr="003111C8">
        <w:rPr>
          <w:rFonts w:ascii="Arial" w:hAnsi="Arial" w:cs="Arial"/>
          <w:sz w:val="22"/>
          <w:szCs w:val="22"/>
        </w:rPr>
        <w:t>Autorización para el tratamiento de datos personales» para cumplir lo dispuesto en la Ley 1581 de 2012 y el Decreto 1377 de 2013</w:t>
      </w:r>
      <w:r>
        <w:rPr>
          <w:rFonts w:ascii="Arial" w:hAnsi="Arial" w:cs="Arial"/>
          <w:sz w:val="22"/>
          <w:szCs w:val="22"/>
        </w:rPr>
        <w:t xml:space="preserve">, con el fin de </w:t>
      </w:r>
      <w:r w:rsidRPr="003111C8">
        <w:rPr>
          <w:rFonts w:ascii="Arial" w:hAnsi="Arial" w:cs="Arial"/>
          <w:sz w:val="22"/>
          <w:szCs w:val="22"/>
        </w:rPr>
        <w:t>garantizar un adecuado manejo de los datos sensibles en los</w:t>
      </w:r>
      <w:r>
        <w:rPr>
          <w:rFonts w:ascii="Arial" w:hAnsi="Arial" w:cs="Arial"/>
          <w:sz w:val="22"/>
          <w:szCs w:val="22"/>
        </w:rPr>
        <w:t xml:space="preserve"> mismos</w:t>
      </w:r>
      <w:r w:rsidRPr="003111C8">
        <w:rPr>
          <w:rFonts w:ascii="Arial" w:hAnsi="Arial" w:cs="Arial"/>
          <w:sz w:val="22"/>
          <w:szCs w:val="22"/>
        </w:rPr>
        <w:t xml:space="preserve"> documentos tipo</w:t>
      </w:r>
      <w:r>
        <w:rPr>
          <w:rFonts w:ascii="Arial" w:hAnsi="Arial" w:cs="Arial"/>
          <w:sz w:val="22"/>
          <w:szCs w:val="22"/>
        </w:rPr>
        <w:t xml:space="preserve"> relacionados atrás.</w:t>
      </w:r>
      <w:r w:rsidR="00E146F0">
        <w:rPr>
          <w:rFonts w:ascii="Arial" w:hAnsi="Arial" w:cs="Arial"/>
          <w:sz w:val="22"/>
          <w:szCs w:val="22"/>
        </w:rPr>
        <w:t xml:space="preserve"> </w:t>
      </w:r>
      <w:r>
        <w:rPr>
          <w:rFonts w:ascii="Arial" w:hAnsi="Arial" w:cs="Arial"/>
          <w:sz w:val="22"/>
          <w:szCs w:val="22"/>
        </w:rPr>
        <w:t xml:space="preserve">En este caso, y como ilustración, el Formato 11 de los documentos tipo de infraestructura para licitación de obra pública de transporte indica que </w:t>
      </w:r>
      <w:r w:rsidRPr="003111C8">
        <w:rPr>
          <w:rFonts w:ascii="Arial" w:hAnsi="Arial" w:cs="Arial"/>
          <w:sz w:val="22"/>
          <w:szCs w:val="22"/>
        </w:rPr>
        <w:t>«</w:t>
      </w:r>
      <w:r w:rsidRPr="006E2449">
        <w:rPr>
          <w:rFonts w:ascii="Arial" w:hAnsi="Arial" w:cs="Arial"/>
          <w:sz w:val="22"/>
          <w:szCs w:val="22"/>
        </w:rPr>
        <w:t>El presente Formato lo diligenciará toda persona (proponente, socia o trabajador) que al momento de presentar su oferta contenga datos sensibles, para que la Entidad Estatal contratante garantice el tratamiento adecuado a estos datos</w:t>
      </w:r>
      <w:r w:rsidR="00E146F0">
        <w:rPr>
          <w:rFonts w:ascii="Arial" w:hAnsi="Arial" w:cs="Arial"/>
          <w:sz w:val="22"/>
          <w:szCs w:val="22"/>
        </w:rPr>
        <w:t>.</w:t>
      </w:r>
      <w:r w:rsidRPr="005B766F">
        <w:rPr>
          <w:rFonts w:ascii="Arial" w:hAnsi="Arial" w:cs="Arial"/>
          <w:sz w:val="22"/>
          <w:szCs w:val="22"/>
        </w:rPr>
        <w:t>»</w:t>
      </w:r>
      <w:bookmarkStart w:id="3" w:name="_Toc84411344"/>
      <w:r w:rsidR="00E146F0">
        <w:rPr>
          <w:rFonts w:ascii="Arial" w:hAnsi="Arial" w:cs="Arial"/>
          <w:sz w:val="22"/>
          <w:szCs w:val="22"/>
        </w:rPr>
        <w:t xml:space="preserve"> </w:t>
      </w:r>
    </w:p>
    <w:p w14:paraId="0CD3F58D" w14:textId="066EE8FC" w:rsidR="00322518" w:rsidRDefault="00E25DCE" w:rsidP="0003011E">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Así las cosas, se evidencia que se trata de dos formatos que contienen, por un lado, información relativa a los hechos que solucionan empates </w:t>
      </w:r>
      <w:r w:rsidR="00FC03E1">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factores de desempate</w:t>
      </w:r>
      <w:r w:rsidR="00FC03E1">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y, por el otro, información relativa a la </w:t>
      </w:r>
      <w:r w:rsidRPr="003A6580">
        <w:rPr>
          <w:rFonts w:ascii="Arial" w:eastAsia="Calibri" w:hAnsi="Arial" w:cs="Arial"/>
          <w:color w:val="000000" w:themeColor="text1"/>
          <w:sz w:val="22"/>
          <w:szCs w:val="22"/>
          <w:lang w:val="es-ES_tradnl"/>
        </w:rPr>
        <w:t>protección de datos personales</w:t>
      </w:r>
      <w:r w:rsidR="00FC03E1">
        <w:rPr>
          <w:rFonts w:ascii="Arial" w:eastAsia="Calibri" w:hAnsi="Arial" w:cs="Arial"/>
          <w:color w:val="000000" w:themeColor="text1"/>
          <w:sz w:val="22"/>
          <w:szCs w:val="22"/>
          <w:lang w:val="es-ES_tradnl"/>
        </w:rPr>
        <w:t>, que es presupuesto para acreditar el criterio de desempate</w:t>
      </w:r>
      <w:r>
        <w:rPr>
          <w:rFonts w:ascii="Arial" w:eastAsia="Calibri" w:hAnsi="Arial" w:cs="Arial"/>
          <w:color w:val="000000" w:themeColor="text1"/>
          <w:sz w:val="22"/>
          <w:szCs w:val="22"/>
          <w:lang w:val="es-ES_tradnl"/>
        </w:rPr>
        <w:t>.</w:t>
      </w:r>
      <w:r w:rsidR="00E2049E">
        <w:rPr>
          <w:rFonts w:ascii="Arial" w:eastAsia="Calibri" w:hAnsi="Arial" w:cs="Arial"/>
          <w:color w:val="000000" w:themeColor="text1"/>
          <w:sz w:val="22"/>
          <w:szCs w:val="22"/>
          <w:lang w:val="es-ES_tradnl"/>
        </w:rPr>
        <w:t xml:space="preserve"> No obstante, para determinar si estos constituyen </w:t>
      </w:r>
      <w:r w:rsidR="007C25D3">
        <w:rPr>
          <w:rFonts w:ascii="Arial" w:eastAsia="Calibri" w:hAnsi="Arial" w:cs="Arial"/>
          <w:color w:val="000000" w:themeColor="text1"/>
          <w:sz w:val="22"/>
          <w:szCs w:val="22"/>
          <w:lang w:val="es-ES_tradnl"/>
        </w:rPr>
        <w:t xml:space="preserve">o no </w:t>
      </w:r>
      <w:r w:rsidR="00E2049E">
        <w:rPr>
          <w:rFonts w:ascii="Arial" w:eastAsia="Calibri" w:hAnsi="Arial" w:cs="Arial"/>
          <w:color w:val="000000" w:themeColor="text1"/>
          <w:sz w:val="22"/>
          <w:szCs w:val="22"/>
          <w:lang w:val="es-ES_tradnl"/>
        </w:rPr>
        <w:t>documentos subsanables</w:t>
      </w:r>
      <w:r w:rsidR="007C25D3">
        <w:rPr>
          <w:rFonts w:ascii="Arial" w:eastAsia="Calibri" w:hAnsi="Arial" w:cs="Arial"/>
          <w:color w:val="000000" w:themeColor="text1"/>
          <w:sz w:val="22"/>
          <w:szCs w:val="22"/>
          <w:lang w:val="es-ES_tradnl"/>
        </w:rPr>
        <w:t>, es necesario detenerse en l</w:t>
      </w:r>
      <w:r w:rsidR="00A47AA9">
        <w:rPr>
          <w:rFonts w:ascii="Arial" w:eastAsia="Calibri" w:hAnsi="Arial" w:cs="Arial"/>
          <w:color w:val="000000" w:themeColor="text1"/>
          <w:sz w:val="22"/>
          <w:szCs w:val="22"/>
          <w:lang w:val="es-ES_tradnl"/>
        </w:rPr>
        <w:t xml:space="preserve">os supuestos en atención a los cuales opera la regla de subsanabilidad de las ofertas, prevista en el parágrafo del artículo 5 de la Ley 1150 de 2007. </w:t>
      </w:r>
    </w:p>
    <w:p w14:paraId="50508B50" w14:textId="77777777" w:rsidR="0015294A" w:rsidRDefault="0015294A" w:rsidP="0003011E">
      <w:pPr>
        <w:spacing w:line="276" w:lineRule="auto"/>
        <w:ind w:firstLine="709"/>
        <w:jc w:val="both"/>
        <w:rPr>
          <w:rFonts w:ascii="Arial" w:eastAsia="Calibri" w:hAnsi="Arial" w:cs="Arial"/>
          <w:color w:val="000000" w:themeColor="text1"/>
          <w:sz w:val="22"/>
          <w:szCs w:val="22"/>
          <w:lang w:val="es-ES_tradnl"/>
        </w:rPr>
      </w:pPr>
    </w:p>
    <w:p w14:paraId="69C7ED52" w14:textId="71C8E80E" w:rsidR="00322518" w:rsidRDefault="00322518" w:rsidP="00322518">
      <w:pPr>
        <w:spacing w:line="276" w:lineRule="auto"/>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2.</w:t>
      </w:r>
      <w:r w:rsidR="00D81D35">
        <w:rPr>
          <w:rFonts w:ascii="Arial" w:eastAsia="Calibri" w:hAnsi="Arial" w:cs="Arial"/>
          <w:b/>
          <w:bCs/>
          <w:color w:val="000000" w:themeColor="text1"/>
          <w:sz w:val="22"/>
          <w:szCs w:val="22"/>
          <w:lang w:val="es-ES_tradnl"/>
        </w:rPr>
        <w:t>5</w:t>
      </w:r>
      <w:r>
        <w:rPr>
          <w:rFonts w:ascii="Arial" w:eastAsia="Calibri" w:hAnsi="Arial" w:cs="Arial"/>
          <w:b/>
          <w:bCs/>
          <w:color w:val="000000" w:themeColor="text1"/>
          <w:sz w:val="22"/>
          <w:szCs w:val="22"/>
          <w:lang w:val="es-ES_tradnl"/>
        </w:rPr>
        <w:t xml:space="preserve"> </w:t>
      </w:r>
      <w:r w:rsidR="00D81D35">
        <w:rPr>
          <w:rFonts w:ascii="Arial" w:eastAsia="Calibri" w:hAnsi="Arial" w:cs="Arial"/>
          <w:b/>
          <w:bCs/>
          <w:color w:val="000000" w:themeColor="text1"/>
          <w:sz w:val="22"/>
          <w:szCs w:val="22"/>
          <w:lang w:val="es-ES_tradnl"/>
        </w:rPr>
        <w:t>A</w:t>
      </w:r>
      <w:r>
        <w:rPr>
          <w:rFonts w:ascii="Arial" w:eastAsia="Calibri" w:hAnsi="Arial" w:cs="Arial"/>
          <w:b/>
          <w:bCs/>
          <w:color w:val="000000" w:themeColor="text1"/>
          <w:sz w:val="22"/>
          <w:szCs w:val="22"/>
          <w:lang w:val="es-ES_tradnl"/>
        </w:rPr>
        <w:t>lcance de la regla de subsanabilidad para acreditar los factores de desempate previstos en la Ley 2069 de 2020</w:t>
      </w:r>
    </w:p>
    <w:p w14:paraId="35E84266" w14:textId="77777777" w:rsidR="00322518" w:rsidRDefault="00322518" w:rsidP="00322518">
      <w:pPr>
        <w:spacing w:line="276" w:lineRule="auto"/>
        <w:jc w:val="both"/>
        <w:rPr>
          <w:rFonts w:ascii="Arial" w:eastAsia="Calibri" w:hAnsi="Arial" w:cs="Arial"/>
          <w:b/>
          <w:bCs/>
          <w:color w:val="000000" w:themeColor="text1"/>
          <w:sz w:val="22"/>
          <w:szCs w:val="22"/>
          <w:lang w:val="es-ES_tradnl"/>
        </w:rPr>
      </w:pPr>
    </w:p>
    <w:p w14:paraId="2A481434" w14:textId="793A222A" w:rsidR="00322518" w:rsidRDefault="007D01F8" w:rsidP="00322518">
      <w:pPr>
        <w:spacing w:after="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Para establecer responder </w:t>
      </w:r>
      <w:r w:rsidR="00822ECB">
        <w:rPr>
          <w:rFonts w:ascii="Arial" w:eastAsia="Calibri" w:hAnsi="Arial" w:cs="Arial"/>
          <w:color w:val="000000" w:themeColor="text1"/>
          <w:sz w:val="22"/>
          <w:szCs w:val="22"/>
          <w:lang w:val="es-ES_tradnl"/>
        </w:rPr>
        <w:t xml:space="preserve">la consulta </w:t>
      </w:r>
      <w:r w:rsidR="00322518">
        <w:rPr>
          <w:rFonts w:ascii="Arial" w:eastAsia="Calibri" w:hAnsi="Arial" w:cs="Arial"/>
          <w:color w:val="000000" w:themeColor="text1"/>
          <w:sz w:val="22"/>
          <w:szCs w:val="22"/>
          <w:lang w:val="es-ES_tradnl"/>
        </w:rPr>
        <w:t>es necesario precisar los siguientes aspectos: i) el momento en el que el proponente debe aportar los documentos que acreditan las causales del artículo 35 de la Ley 2069 de 2020, ii) si la no entrega de estos documentos es subsanable y iii) si es posible solicitar los documentos que acreditan los factores de desempate en la audiencia de adjudicación. Para estos efectos, es necesario realizar algunas consideraciones sobre el alcance de la regla de subsanabilidad en los procesos de selección.</w:t>
      </w:r>
    </w:p>
    <w:p w14:paraId="2A3BDDDE" w14:textId="77777777" w:rsidR="00322518" w:rsidRDefault="00322518" w:rsidP="00322518">
      <w:pPr>
        <w:spacing w:line="276" w:lineRule="auto"/>
        <w:ind w:firstLine="708"/>
        <w:jc w:val="both"/>
        <w:rPr>
          <w:rFonts w:ascii="Arial" w:eastAsia="Calibri" w:hAnsi="Arial" w:cs="Arial"/>
          <w:color w:val="000000" w:themeColor="text1"/>
          <w:sz w:val="22"/>
          <w:lang w:val="es-ES"/>
        </w:rPr>
      </w:pPr>
      <w:r w:rsidRPr="000F6C89">
        <w:rPr>
          <w:rFonts w:ascii="Arial" w:eastAsia="Calibri" w:hAnsi="Arial" w:cs="Arial"/>
          <w:color w:val="000000" w:themeColor="text1"/>
          <w:sz w:val="22"/>
          <w:lang w:val="es-ES"/>
        </w:rPr>
        <w:lastRenderedPageBreak/>
        <w:t>La subsanabilidad es un mecanismo previsto en los proce</w:t>
      </w:r>
      <w:r>
        <w:rPr>
          <w:rFonts w:ascii="Arial" w:eastAsia="Calibri" w:hAnsi="Arial" w:cs="Arial"/>
          <w:color w:val="000000" w:themeColor="text1"/>
          <w:sz w:val="22"/>
          <w:lang w:val="es-ES"/>
        </w:rPr>
        <w:t>dimientos</w:t>
      </w:r>
      <w:r w:rsidRPr="000F6C8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regulados</w:t>
      </w:r>
      <w:r w:rsidRPr="000F6C89">
        <w:rPr>
          <w:rFonts w:ascii="Arial" w:eastAsia="Calibri" w:hAnsi="Arial" w:cs="Arial"/>
          <w:color w:val="000000" w:themeColor="text1"/>
          <w:sz w:val="22"/>
          <w:lang w:val="es-ES"/>
        </w:rPr>
        <w:t xml:space="preserve"> por el Estatuto de Contratación Estatal de Colombia. Esta regla</w:t>
      </w:r>
      <w:r>
        <w:rPr>
          <w:rFonts w:ascii="Arial" w:eastAsia="Calibri" w:hAnsi="Arial" w:cs="Arial"/>
          <w:color w:val="000000" w:themeColor="text1"/>
          <w:sz w:val="22"/>
          <w:lang w:val="es-ES"/>
        </w:rPr>
        <w:t>,</w:t>
      </w:r>
      <w:r w:rsidRPr="000F6C89">
        <w:rPr>
          <w:rFonts w:ascii="Arial" w:eastAsia="Calibri" w:hAnsi="Arial" w:cs="Arial"/>
          <w:color w:val="000000" w:themeColor="text1"/>
          <w:sz w:val="22"/>
          <w:lang w:val="es-ES"/>
        </w:rPr>
        <w:t xml:space="preserve"> prevista en el artículo 5 de la Ley 1150 de 2007, permit</w:t>
      </w:r>
      <w:r>
        <w:rPr>
          <w:rFonts w:ascii="Arial" w:eastAsia="Calibri" w:hAnsi="Arial" w:cs="Arial"/>
          <w:color w:val="000000" w:themeColor="text1"/>
          <w:sz w:val="22"/>
          <w:lang w:val="es-ES"/>
        </w:rPr>
        <w:t>e</w:t>
      </w:r>
      <w:r w:rsidRPr="000F6C89">
        <w:rPr>
          <w:rFonts w:ascii="Arial" w:eastAsia="Calibri" w:hAnsi="Arial" w:cs="Arial"/>
          <w:color w:val="000000" w:themeColor="text1"/>
          <w:sz w:val="22"/>
          <w:lang w:val="es-ES"/>
        </w:rPr>
        <w:t xml:space="preserve"> que los proponentes puedan enmendar, corregir o modificar los errores en los documentos</w:t>
      </w:r>
      <w:r>
        <w:rPr>
          <w:rFonts w:ascii="Arial" w:eastAsia="Calibri" w:hAnsi="Arial" w:cs="Arial"/>
          <w:color w:val="000000" w:themeColor="text1"/>
          <w:sz w:val="22"/>
          <w:lang w:val="es-ES"/>
        </w:rPr>
        <w:t xml:space="preserve"> de la oferta respecto a los requisitos habilitantes. Además, la posibilidad de subsanar estos documentos tiene como propósito: </w:t>
      </w:r>
    </w:p>
    <w:p w14:paraId="55BB525B" w14:textId="77777777" w:rsidR="00322518" w:rsidRDefault="00322518" w:rsidP="00322518">
      <w:pPr>
        <w:spacing w:line="276" w:lineRule="auto"/>
        <w:jc w:val="both"/>
        <w:rPr>
          <w:rFonts w:ascii="Arial" w:eastAsia="Calibri" w:hAnsi="Arial" w:cs="Arial"/>
          <w:color w:val="000000" w:themeColor="text1"/>
          <w:sz w:val="22"/>
          <w:lang w:val="es-ES"/>
        </w:rPr>
      </w:pPr>
    </w:p>
    <w:p w14:paraId="0E535C8E" w14:textId="77777777" w:rsidR="00322518" w:rsidRPr="00724CB1" w:rsidRDefault="00322518" w:rsidP="00322518">
      <w:pPr>
        <w:ind w:left="709" w:right="709"/>
        <w:jc w:val="both"/>
        <w:rPr>
          <w:rFonts w:ascii="Arial" w:eastAsia="Calibri" w:hAnsi="Arial" w:cs="Arial"/>
          <w:color w:val="000000" w:themeColor="text1"/>
          <w:sz w:val="21"/>
          <w:szCs w:val="21"/>
          <w:lang w:val="es-ES"/>
        </w:rPr>
      </w:pPr>
      <w:r w:rsidRPr="00724CB1">
        <w:rPr>
          <w:rFonts w:ascii="Arial" w:eastAsia="Calibri" w:hAnsi="Arial" w:cs="Arial"/>
          <w:color w:val="000000" w:themeColor="text1"/>
          <w:sz w:val="21"/>
          <w:szCs w:val="21"/>
          <w:lang w:val="es-ES"/>
        </w:rPr>
        <w:t xml:space="preserve">[…] </w:t>
      </w:r>
      <w:r w:rsidRPr="00ED3142">
        <w:rPr>
          <w:rFonts w:ascii="Arial" w:eastAsia="Calibri" w:hAnsi="Arial" w:cs="Arial"/>
          <w:color w:val="000000" w:themeColor="text1"/>
          <w:sz w:val="21"/>
          <w:szCs w:val="21"/>
          <w:lang w:val="es-ES"/>
        </w:rPr>
        <w:t xml:space="preserve">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ED3142">
        <w:rPr>
          <w:rFonts w:ascii="Arial" w:eastAsia="Calibri" w:hAnsi="Arial" w:cs="Arial"/>
          <w:color w:val="000000" w:themeColor="text1"/>
          <w:sz w:val="21"/>
          <w:szCs w:val="21"/>
          <w:lang w:val="es-ES"/>
        </w:rPr>
        <w:t>la misma</w:t>
      </w:r>
      <w:proofErr w:type="gramEnd"/>
      <w:r w:rsidRPr="00ED3142">
        <w:rPr>
          <w:rFonts w:ascii="Arial" w:eastAsia="Calibri" w:hAnsi="Arial" w:cs="Arial"/>
          <w:color w:val="000000" w:themeColor="text1"/>
          <w:sz w:val="21"/>
          <w:szCs w:val="21"/>
          <w:lang w:val="es-ES"/>
        </w:rPr>
        <w:t>, priven a la administración de considerar una oferta por causa de tales falencias</w:t>
      </w:r>
      <w:r>
        <w:rPr>
          <w:rStyle w:val="Refdenotaalpie"/>
          <w:rFonts w:ascii="Arial" w:eastAsia="Calibri" w:hAnsi="Arial" w:cs="Arial"/>
          <w:color w:val="000000" w:themeColor="text1"/>
          <w:sz w:val="21"/>
          <w:szCs w:val="21"/>
          <w:lang w:val="es-ES"/>
        </w:rPr>
        <w:footnoteReference w:id="13"/>
      </w:r>
      <w:r>
        <w:rPr>
          <w:rFonts w:ascii="Arial" w:eastAsia="Calibri" w:hAnsi="Arial" w:cs="Arial"/>
          <w:color w:val="000000" w:themeColor="text1"/>
          <w:sz w:val="21"/>
          <w:szCs w:val="21"/>
          <w:lang w:val="es-ES"/>
        </w:rPr>
        <w:t>.</w:t>
      </w:r>
    </w:p>
    <w:p w14:paraId="2F1271DA" w14:textId="77777777" w:rsidR="00322518" w:rsidRDefault="00322518" w:rsidP="00322518">
      <w:pPr>
        <w:spacing w:line="276" w:lineRule="auto"/>
        <w:jc w:val="both"/>
        <w:rPr>
          <w:rFonts w:ascii="Arial" w:eastAsia="Calibri" w:hAnsi="Arial" w:cs="Arial"/>
          <w:color w:val="000000" w:themeColor="text1"/>
          <w:sz w:val="22"/>
          <w:lang w:val="es-ES"/>
        </w:rPr>
      </w:pPr>
    </w:p>
    <w:p w14:paraId="71A68FDC" w14:textId="77777777" w:rsidR="00322518" w:rsidRDefault="00322518" w:rsidP="00322518">
      <w:pPr>
        <w:spacing w:after="120" w:line="276" w:lineRule="auto"/>
        <w:ind w:firstLine="708"/>
        <w:jc w:val="both"/>
        <w:rPr>
          <w:rFonts w:ascii="Arial" w:hAnsi="Arial" w:cs="Arial"/>
          <w:color w:val="000000" w:themeColor="text1"/>
          <w:sz w:val="22"/>
          <w:lang w:val="es-ES_tradnl"/>
        </w:rPr>
      </w:pPr>
      <w:r>
        <w:rPr>
          <w:rFonts w:ascii="Arial" w:eastAsia="Calibri" w:hAnsi="Arial" w:cs="Arial"/>
          <w:color w:val="000000" w:themeColor="text1"/>
          <w:sz w:val="22"/>
          <w:lang w:val="es-ES"/>
        </w:rPr>
        <w:t xml:space="preserve">A raíz de lo anterior, no podrán rechazarse las propuestas por ausencia de requisitos o falta de documentos que verifiquen las condiciones habilitantes del proponente, y que, a su vez, estos no se constituyan como factores de comparación entre propuestas. </w:t>
      </w:r>
      <w:r>
        <w:rPr>
          <w:rFonts w:ascii="Arial" w:hAnsi="Arial" w:cs="Arial"/>
          <w:color w:val="000000" w:themeColor="text1"/>
          <w:sz w:val="22"/>
          <w:lang w:val="es-ES_tradnl"/>
        </w:rPr>
        <w:t xml:space="preserve">Ahora bien, la posibilidad de subsanar los documentos contentivos de la oferta es un tema que ha tenido diferentes momentos o etapas en el ordenamiento jurídico colombiano. </w:t>
      </w:r>
    </w:p>
    <w:p w14:paraId="1DE9D8B2" w14:textId="77777777" w:rsidR="00322518" w:rsidRPr="00801108" w:rsidRDefault="00322518" w:rsidP="00322518">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primer momento</w:t>
      </w:r>
      <w:r w:rsidRPr="00801108">
        <w:rPr>
          <w:rFonts w:ascii="Arial" w:hAnsi="Arial" w:cs="Arial"/>
          <w:color w:val="000000" w:themeColor="text1"/>
          <w:sz w:val="22"/>
          <w:lang w:val="es-ES_tradnl"/>
        </w:rPr>
        <w:t>, antes de la entrada en vigor de la Constitución Política de 1991, el régimen jurídico de la subsanabilidad de las ofertas estaba compuesto por el Decreto</w:t>
      </w:r>
      <w:r>
        <w:rPr>
          <w:rFonts w:ascii="Arial" w:hAnsi="Arial" w:cs="Arial"/>
          <w:color w:val="000000" w:themeColor="text1"/>
          <w:sz w:val="22"/>
          <w:lang w:val="es-ES_tradnl"/>
        </w:rPr>
        <w:t xml:space="preserve"> L</w:t>
      </w:r>
      <w:r w:rsidRPr="00801108">
        <w:rPr>
          <w:rFonts w:ascii="Arial" w:hAnsi="Arial" w:cs="Arial"/>
          <w:color w:val="000000" w:themeColor="text1"/>
          <w:sz w:val="22"/>
          <w:lang w:val="es-ES_tradnl"/>
        </w:rPr>
        <w:t>ey 150 de 1976 y el Decreto</w:t>
      </w:r>
      <w:r>
        <w:rPr>
          <w:rFonts w:ascii="Arial" w:hAnsi="Arial" w:cs="Arial"/>
          <w:color w:val="000000" w:themeColor="text1"/>
          <w:sz w:val="22"/>
          <w:lang w:val="es-ES_tradnl"/>
        </w:rPr>
        <w:t xml:space="preserve"> L</w:t>
      </w:r>
      <w:r w:rsidRPr="00801108">
        <w:rPr>
          <w:rFonts w:ascii="Arial" w:hAnsi="Arial" w:cs="Arial"/>
          <w:color w:val="000000" w:themeColor="text1"/>
          <w:sz w:val="22"/>
          <w:lang w:val="es-ES_tradnl"/>
        </w:rPr>
        <w:t xml:space="preserve">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2F2ADC30" w14:textId="77777777" w:rsidR="00322518" w:rsidRDefault="00322518" w:rsidP="00322518">
      <w:pPr>
        <w:spacing w:before="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segundo momento</w:t>
      </w:r>
      <w:r w:rsidRPr="00801108">
        <w:rPr>
          <w:rFonts w:ascii="Arial" w:hAnsi="Arial" w:cs="Arial"/>
          <w:color w:val="000000" w:themeColor="text1"/>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r>
        <w:rPr>
          <w:rFonts w:ascii="Arial" w:hAnsi="Arial" w:cs="Arial"/>
          <w:color w:val="000000" w:themeColor="text1"/>
          <w:sz w:val="22"/>
          <w:lang w:val="es-ES_tradnl"/>
        </w:rPr>
        <w:t xml:space="preserve"> </w:t>
      </w:r>
      <w:r w:rsidRPr="00801108">
        <w:rPr>
          <w:rFonts w:ascii="Arial" w:hAnsi="Arial" w:cs="Arial"/>
          <w:color w:val="000000" w:themeColor="text1"/>
          <w:sz w:val="22"/>
          <w:lang w:val="es-ES_tradnl"/>
        </w:rPr>
        <w:t>En este nuevo escenario constitucional, el artículo 25</w:t>
      </w:r>
      <w:r>
        <w:rPr>
          <w:rFonts w:ascii="Arial" w:hAnsi="Arial" w:cs="Arial"/>
          <w:color w:val="000000" w:themeColor="text1"/>
          <w:sz w:val="22"/>
          <w:lang w:val="es-ES_tradnl"/>
        </w:rPr>
        <w:t>.15</w:t>
      </w:r>
      <w:r w:rsidRPr="00801108">
        <w:rPr>
          <w:rFonts w:ascii="Arial" w:hAnsi="Arial" w:cs="Arial"/>
          <w:color w:val="000000" w:themeColor="text1"/>
          <w:sz w:val="22"/>
          <w:lang w:val="es-ES_tradnl"/>
        </w:rPr>
        <w:t xml:space="preserve"> de la Ley 80 de 1993 dispuso lo siguiente: </w:t>
      </w:r>
    </w:p>
    <w:p w14:paraId="1A4DE7C5" w14:textId="77777777" w:rsidR="00322518" w:rsidRPr="00801108" w:rsidRDefault="00322518" w:rsidP="00322518">
      <w:pPr>
        <w:spacing w:line="276" w:lineRule="auto"/>
        <w:ind w:firstLine="709"/>
        <w:jc w:val="both"/>
        <w:rPr>
          <w:rFonts w:ascii="Arial" w:hAnsi="Arial" w:cs="Arial"/>
          <w:color w:val="000000" w:themeColor="text1"/>
          <w:sz w:val="22"/>
          <w:lang w:val="es-ES_tradnl"/>
        </w:rPr>
      </w:pPr>
    </w:p>
    <w:p w14:paraId="39C12B3C" w14:textId="77777777" w:rsidR="00322518" w:rsidRPr="00801108" w:rsidRDefault="00322518" w:rsidP="00322518">
      <w:pPr>
        <w:spacing w:after="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42A47F41" w14:textId="77777777" w:rsidR="00322518" w:rsidRPr="00801108" w:rsidRDefault="00322518" w:rsidP="00322518">
      <w:pPr>
        <w:spacing w:before="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3BB2AE04" w14:textId="77777777" w:rsidR="00322518" w:rsidRPr="00801108" w:rsidRDefault="00322518" w:rsidP="00322518">
      <w:pPr>
        <w:spacing w:line="276" w:lineRule="auto"/>
        <w:ind w:firstLine="709"/>
        <w:jc w:val="both"/>
        <w:rPr>
          <w:rFonts w:ascii="Arial" w:hAnsi="Arial" w:cs="Arial"/>
          <w:color w:val="000000" w:themeColor="text1"/>
          <w:sz w:val="22"/>
          <w:lang w:val="es-ES_tradnl"/>
        </w:rPr>
      </w:pPr>
    </w:p>
    <w:p w14:paraId="50CA9B48" w14:textId="77777777" w:rsidR="00322518" w:rsidRPr="00801108" w:rsidRDefault="00322518" w:rsidP="00322518">
      <w:pPr>
        <w:spacing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07B3EC1B" w14:textId="77777777" w:rsidR="00322518" w:rsidRPr="00801108" w:rsidRDefault="00322518" w:rsidP="00322518">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Esta norma debía leerse en conjunto con otras de la Ley 80 de 1993, particularmente con el artículo 30.7, que ordena a la entidad señalar un plazo razonable para evaluar las propuestas y para pedir a los proponentes, de ser necesario, que aclaren o expliquen aspectos que ofrezcan dudas y resulten indispensables para llevar a cabo la evaluación</w:t>
      </w:r>
      <w:r w:rsidRPr="00801108">
        <w:rPr>
          <w:rStyle w:val="Refdenotaalpie"/>
          <w:rFonts w:ascii="Arial" w:hAnsi="Arial" w:cs="Arial"/>
          <w:color w:val="000000" w:themeColor="text1"/>
          <w:sz w:val="22"/>
          <w:lang w:val="es-ES_tradnl"/>
        </w:rPr>
        <w:footnoteReference w:id="14"/>
      </w:r>
      <w:r w:rsidRPr="00801108">
        <w:rPr>
          <w:rFonts w:ascii="Arial" w:hAnsi="Arial" w:cs="Arial"/>
          <w:color w:val="000000" w:themeColor="text1"/>
          <w:sz w:val="22"/>
          <w:lang w:val="es-ES_tradnl"/>
        </w:rPr>
        <w:t>; y con el artículo 30.8, que consagró el término de 5 días hábiles para que los oferentes presenten observaciones al informe de evaluación de las propuestas, sin que sea posible completar, adicionar, modificar o mejorar su oferta</w:t>
      </w:r>
      <w:r w:rsidRPr="00801108">
        <w:rPr>
          <w:rStyle w:val="Refdenotaalpie"/>
          <w:rFonts w:ascii="Arial" w:hAnsi="Arial" w:cs="Arial"/>
          <w:color w:val="000000" w:themeColor="text1"/>
          <w:sz w:val="22"/>
          <w:lang w:val="es-ES_tradnl"/>
        </w:rPr>
        <w:footnoteReference w:id="15"/>
      </w:r>
      <w:r w:rsidRPr="00801108">
        <w:rPr>
          <w:rFonts w:ascii="Arial" w:hAnsi="Arial" w:cs="Arial"/>
          <w:color w:val="000000" w:themeColor="text1"/>
          <w:sz w:val="22"/>
          <w:lang w:val="es-ES_tradnl"/>
        </w:rPr>
        <w:t xml:space="preserve">.  </w:t>
      </w:r>
    </w:p>
    <w:p w14:paraId="1C757E36" w14:textId="77777777" w:rsidR="00322518" w:rsidRPr="00801108" w:rsidRDefault="00322518" w:rsidP="00322518">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62778C25" w14:textId="77777777" w:rsidR="00322518" w:rsidRPr="00801108" w:rsidRDefault="00322518" w:rsidP="00322518">
      <w:pPr>
        <w:spacing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 xml:space="preserve">En un </w:t>
      </w:r>
      <w:r w:rsidRPr="00801108">
        <w:rPr>
          <w:rFonts w:ascii="Arial" w:hAnsi="Arial" w:cs="Arial"/>
          <w:i/>
          <w:color w:val="000000" w:themeColor="text1"/>
          <w:sz w:val="22"/>
          <w:lang w:val="es-ES_tradnl"/>
        </w:rPr>
        <w:t>tercer momento</w:t>
      </w:r>
      <w:r w:rsidRPr="00801108">
        <w:rPr>
          <w:rFonts w:ascii="Arial" w:hAnsi="Arial" w:cs="Arial"/>
          <w:color w:val="000000" w:themeColor="text1"/>
          <w:sz w:val="22"/>
          <w:lang w:val="es-ES_tradnl"/>
        </w:rPr>
        <w:t xml:space="preserve">, siguiendo la línea trazada por la Ley 80 de 1993, el legislador expidió la Ley 1150 de 2007, que en el parágrafo 1º del artículo 5, determinó lo siguiente: </w:t>
      </w:r>
    </w:p>
    <w:p w14:paraId="1F485FEE" w14:textId="77777777" w:rsidR="00322518" w:rsidRPr="00801108" w:rsidRDefault="00322518" w:rsidP="00322518">
      <w:pPr>
        <w:spacing w:line="276" w:lineRule="auto"/>
        <w:jc w:val="both"/>
        <w:rPr>
          <w:rFonts w:ascii="Arial" w:hAnsi="Arial" w:cs="Arial"/>
          <w:color w:val="000000" w:themeColor="text1"/>
          <w:sz w:val="22"/>
          <w:lang w:val="es-ES_tradnl"/>
        </w:rPr>
      </w:pPr>
    </w:p>
    <w:p w14:paraId="3694E3EF" w14:textId="77777777" w:rsidR="00322518" w:rsidRPr="00801108" w:rsidRDefault="00322518" w:rsidP="00322518">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801108">
        <w:rPr>
          <w:rFonts w:ascii="Arial" w:hAnsi="Arial" w:cs="Arial"/>
          <w:b/>
          <w:color w:val="000000" w:themeColor="text1"/>
          <w:sz w:val="21"/>
          <w:szCs w:val="21"/>
          <w:lang w:val="es-ES_tradnl"/>
        </w:rPr>
        <w:t xml:space="preserve">, </w:t>
      </w:r>
      <w:r w:rsidRPr="00801108">
        <w:rPr>
          <w:rFonts w:ascii="Arial" w:hAnsi="Arial" w:cs="Arial"/>
          <w:color w:val="000000" w:themeColor="text1"/>
          <w:sz w:val="21"/>
          <w:szCs w:val="21"/>
          <w:lang w:val="es-ES_tradnl"/>
        </w:rPr>
        <w:t xml:space="preserve">todos aquellos requisitos de la propuesta que no afecten la asignación de </w:t>
      </w:r>
      <w:proofErr w:type="gramStart"/>
      <w:r w:rsidRPr="00801108">
        <w:rPr>
          <w:rFonts w:ascii="Arial" w:hAnsi="Arial" w:cs="Arial"/>
          <w:color w:val="000000" w:themeColor="text1"/>
          <w:sz w:val="21"/>
          <w:szCs w:val="21"/>
          <w:lang w:val="es-ES_tradnl"/>
        </w:rPr>
        <w:t>puntaje,</w:t>
      </w:r>
      <w:proofErr w:type="gramEnd"/>
      <w:r w:rsidRPr="00801108">
        <w:rPr>
          <w:rFonts w:ascii="Arial" w:hAnsi="Arial" w:cs="Arial"/>
          <w:color w:val="000000" w:themeColor="text1"/>
          <w:sz w:val="21"/>
          <w:szCs w:val="21"/>
          <w:lang w:val="es-ES_tradnl"/>
        </w:rPr>
        <w:t xml:space="preserve"> podrán ser solicitados por las entidades en cualquier momento, hasta la adjudicación. No </w:t>
      </w:r>
      <w:proofErr w:type="gramStart"/>
      <w:r w:rsidRPr="00801108">
        <w:rPr>
          <w:rFonts w:ascii="Arial" w:hAnsi="Arial" w:cs="Arial"/>
          <w:color w:val="000000" w:themeColor="text1"/>
          <w:sz w:val="21"/>
          <w:szCs w:val="21"/>
          <w:lang w:val="es-ES_tradnl"/>
        </w:rPr>
        <w:t>obstante</w:t>
      </w:r>
      <w:proofErr w:type="gramEnd"/>
      <w:r w:rsidRPr="00801108">
        <w:rPr>
          <w:rFonts w:ascii="Arial" w:hAnsi="Arial" w:cs="Arial"/>
          <w:color w:val="000000" w:themeColor="text1"/>
          <w:sz w:val="21"/>
          <w:szCs w:val="21"/>
          <w:lang w:val="es-ES_tradnl"/>
        </w:rPr>
        <w:t xml:space="preserve"> lo anterior, en aquellos procesos de selección en los que se utilice el mecanismo de subasta, deberán ser solicitados hasta el momento previo a su realización. </w:t>
      </w:r>
    </w:p>
    <w:p w14:paraId="08F923B1" w14:textId="77777777" w:rsidR="00322518" w:rsidRPr="00801108" w:rsidRDefault="00322518" w:rsidP="00322518">
      <w:pPr>
        <w:spacing w:line="276" w:lineRule="auto"/>
        <w:jc w:val="both"/>
        <w:rPr>
          <w:rFonts w:ascii="Arial" w:hAnsi="Arial" w:cs="Arial"/>
          <w:b/>
          <w:color w:val="000000" w:themeColor="text1"/>
          <w:sz w:val="22"/>
          <w:lang w:val="es-ES_tradnl"/>
        </w:rPr>
      </w:pPr>
    </w:p>
    <w:p w14:paraId="58DAE4F0" w14:textId="77777777" w:rsidR="00322518" w:rsidRPr="00801108" w:rsidRDefault="00322518" w:rsidP="00322518">
      <w:pPr>
        <w:spacing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lastRenderedPageBreak/>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608DA866" w14:textId="77777777" w:rsidR="00322518" w:rsidRPr="00801108" w:rsidRDefault="00322518" w:rsidP="00322518">
      <w:pPr>
        <w:spacing w:before="120" w:after="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A partir de la Ley 1150 de 2007</w:t>
      </w:r>
      <w:r>
        <w:rPr>
          <w:rFonts w:ascii="Arial" w:hAnsi="Arial" w:cs="Arial"/>
          <w:color w:val="000000" w:themeColor="text1"/>
          <w:sz w:val="22"/>
          <w:lang w:val="es-ES_tradnl"/>
        </w:rPr>
        <w:t>,</w:t>
      </w:r>
      <w:r w:rsidRPr="00801108">
        <w:rPr>
          <w:rFonts w:ascii="Arial" w:hAnsi="Arial" w:cs="Arial"/>
          <w:color w:val="000000" w:themeColor="text1"/>
          <w:sz w:val="22"/>
          <w:lang w:val="es-ES_tradnl"/>
        </w:rPr>
        <w:t xml:space="preserve">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35822965" w14:textId="77777777" w:rsidR="00322518" w:rsidRPr="00801108" w:rsidRDefault="00322518" w:rsidP="00322518">
      <w:pPr>
        <w:spacing w:before="120" w:line="276" w:lineRule="auto"/>
        <w:ind w:firstLine="709"/>
        <w:jc w:val="both"/>
        <w:rPr>
          <w:rFonts w:ascii="Arial" w:hAnsi="Arial" w:cs="Arial"/>
          <w:color w:val="000000" w:themeColor="text1"/>
          <w:sz w:val="22"/>
          <w:lang w:val="es-ES_tradnl"/>
        </w:rPr>
      </w:pPr>
      <w:r w:rsidRPr="00801108">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«en cualquier momento, hasta la adjudicación». El Consejo de Estado</w:t>
      </w:r>
      <w:r>
        <w:rPr>
          <w:rFonts w:ascii="Arial" w:hAnsi="Arial" w:cs="Arial"/>
          <w:color w:val="000000" w:themeColor="text1"/>
          <w:sz w:val="22"/>
          <w:lang w:val="es-ES_tradnl"/>
        </w:rPr>
        <w:t xml:space="preserve"> </w:t>
      </w:r>
      <w:r w:rsidRPr="00801108">
        <w:rPr>
          <w:rFonts w:ascii="Arial" w:hAnsi="Arial" w:cs="Arial"/>
          <w:color w:val="000000" w:themeColor="text1"/>
          <w:sz w:val="22"/>
          <w:lang w:val="es-ES_tradnl"/>
        </w:rPr>
        <w:t xml:space="preserve">concluyó que a partir del parágrafo 1º del artículo 5 de la Ley 1150, la definición de lo que es subsanable y lo que no lo es surge a partir del planteamiento de la pregunta sobre si el defecto asigna puntaje o no, en estos términos: </w:t>
      </w:r>
    </w:p>
    <w:p w14:paraId="5D7AE773" w14:textId="77777777" w:rsidR="00322518" w:rsidRPr="00801108" w:rsidRDefault="00322518" w:rsidP="00322518">
      <w:pPr>
        <w:spacing w:line="276" w:lineRule="auto"/>
        <w:jc w:val="both"/>
        <w:rPr>
          <w:rFonts w:ascii="Arial" w:hAnsi="Arial" w:cs="Arial"/>
          <w:color w:val="000000" w:themeColor="text1"/>
          <w:sz w:val="22"/>
          <w:lang w:val="es-ES_tradnl"/>
        </w:rPr>
      </w:pPr>
    </w:p>
    <w:p w14:paraId="4F0E05DC" w14:textId="77777777" w:rsidR="00322518" w:rsidRDefault="00322518" w:rsidP="00322518">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801108">
        <w:rPr>
          <w:rStyle w:val="Refdenotaalpie"/>
          <w:rFonts w:ascii="Arial" w:hAnsi="Arial" w:cs="Arial"/>
          <w:color w:val="000000" w:themeColor="text1"/>
          <w:sz w:val="21"/>
          <w:szCs w:val="21"/>
          <w:lang w:val="es-ES_tradnl"/>
        </w:rPr>
        <w:footnoteReference w:id="16"/>
      </w:r>
      <w:r w:rsidRPr="00801108">
        <w:rPr>
          <w:rFonts w:ascii="Arial" w:hAnsi="Arial" w:cs="Arial"/>
          <w:color w:val="000000" w:themeColor="text1"/>
          <w:sz w:val="21"/>
          <w:szCs w:val="21"/>
          <w:lang w:val="es-ES_tradnl"/>
        </w:rPr>
        <w:t>.</w:t>
      </w:r>
    </w:p>
    <w:p w14:paraId="6803B604" w14:textId="77777777" w:rsidR="00322518" w:rsidRPr="000B22B3" w:rsidRDefault="00322518" w:rsidP="00322518">
      <w:pPr>
        <w:spacing w:line="276" w:lineRule="auto"/>
        <w:ind w:left="709" w:right="709"/>
        <w:jc w:val="both"/>
        <w:rPr>
          <w:rFonts w:ascii="Arial" w:hAnsi="Arial" w:cs="Arial"/>
          <w:color w:val="000000" w:themeColor="text1"/>
          <w:sz w:val="22"/>
          <w:szCs w:val="22"/>
          <w:lang w:val="es-ES_tradnl"/>
        </w:rPr>
      </w:pPr>
    </w:p>
    <w:p w14:paraId="716AA346" w14:textId="77777777" w:rsidR="00322518" w:rsidRPr="0003011E" w:rsidRDefault="00322518" w:rsidP="0003011E">
      <w:pPr>
        <w:pStyle w:val="Textoindependiente"/>
        <w:tabs>
          <w:tab w:val="left" w:pos="284"/>
        </w:tabs>
        <w:spacing w:line="276" w:lineRule="auto"/>
        <w:ind w:firstLine="709"/>
        <w:jc w:val="both"/>
        <w:rPr>
          <w:rFonts w:eastAsiaTheme="minorHAnsi"/>
          <w:color w:val="000000" w:themeColor="text1"/>
          <w:sz w:val="22"/>
          <w:szCs w:val="22"/>
          <w:lang w:val="es-ES_tradnl"/>
        </w:rPr>
      </w:pPr>
      <w:r w:rsidRPr="0003011E">
        <w:rPr>
          <w:rFonts w:eastAsiaTheme="minorHAnsi"/>
          <w:color w:val="000000" w:themeColor="text1"/>
          <w:sz w:val="22"/>
          <w:szCs w:val="22"/>
          <w:lang w:val="es-ES_tradnl"/>
        </w:rPr>
        <w:t xml:space="preserve">Esa interpretación fue compartida por la </w:t>
      </w:r>
      <w:r w:rsidRPr="0003011E">
        <w:rPr>
          <w:color w:val="000000" w:themeColor="text1"/>
          <w:sz w:val="22"/>
          <w:szCs w:val="22"/>
          <w:lang w:val="es-ES_tradnl"/>
        </w:rPr>
        <w:t>Agencia Nacional de Contratación Pública – Colombia Compra Eficiente</w:t>
      </w:r>
      <w:r w:rsidRPr="0003011E">
        <w:rPr>
          <w:rFonts w:eastAsiaTheme="minorHAnsi"/>
          <w:color w:val="000000" w:themeColor="text1"/>
          <w:sz w:val="22"/>
          <w:szCs w:val="22"/>
          <w:lang w:val="es-ES_tradnl"/>
        </w:rPr>
        <w:t xml:space="preserve">, pues en la Circular Externa Única se precisó </w:t>
      </w:r>
      <w:proofErr w:type="gramStart"/>
      <w:r w:rsidRPr="0003011E">
        <w:rPr>
          <w:rFonts w:eastAsiaTheme="minorHAnsi"/>
          <w:color w:val="000000" w:themeColor="text1"/>
          <w:sz w:val="22"/>
          <w:szCs w:val="22"/>
          <w:lang w:val="es-ES_tradnl"/>
        </w:rPr>
        <w:t>que</w:t>
      </w:r>
      <w:proofErr w:type="gramEnd"/>
      <w:r w:rsidRPr="0003011E">
        <w:rPr>
          <w:rFonts w:eastAsiaTheme="minorHAnsi"/>
          <w:color w:val="000000" w:themeColor="text1"/>
          <w:sz w:val="22"/>
          <w:szCs w:val="22"/>
          <w:lang w:val="es-ES_tradnl"/>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23069CE2" w14:textId="77777777" w:rsidR="00322518" w:rsidRPr="0003011E" w:rsidRDefault="00322518" w:rsidP="00322518">
      <w:pPr>
        <w:pStyle w:val="Textoindependiente"/>
        <w:tabs>
          <w:tab w:val="left" w:pos="284"/>
        </w:tabs>
        <w:spacing w:before="120"/>
        <w:ind w:firstLine="709"/>
        <w:jc w:val="both"/>
        <w:rPr>
          <w:color w:val="000000" w:themeColor="text1"/>
          <w:sz w:val="22"/>
          <w:szCs w:val="22"/>
        </w:rPr>
      </w:pPr>
      <w:r w:rsidRPr="0003011E">
        <w:rPr>
          <w:color w:val="000000" w:themeColor="text1"/>
          <w:sz w:val="22"/>
          <w:szCs w:val="22"/>
        </w:rPr>
        <w:t xml:space="preserve">En un </w:t>
      </w:r>
      <w:r w:rsidRPr="0003011E">
        <w:rPr>
          <w:i/>
          <w:iCs/>
          <w:color w:val="000000" w:themeColor="text1"/>
          <w:sz w:val="22"/>
          <w:szCs w:val="22"/>
        </w:rPr>
        <w:t>cuarto momento</w:t>
      </w:r>
      <w:r w:rsidRPr="0003011E">
        <w:rPr>
          <w:color w:val="000000" w:themeColor="text1"/>
          <w:sz w:val="22"/>
          <w:szCs w:val="22"/>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4FBD45AB" w14:textId="77777777" w:rsidR="00322518" w:rsidRDefault="00322518" w:rsidP="00322518">
      <w:pPr>
        <w:pStyle w:val="Textoindependiente"/>
        <w:tabs>
          <w:tab w:val="left" w:pos="284"/>
        </w:tabs>
        <w:ind w:firstLine="709"/>
        <w:jc w:val="both"/>
        <w:rPr>
          <w:color w:val="000000" w:themeColor="text1"/>
        </w:rPr>
      </w:pPr>
    </w:p>
    <w:p w14:paraId="2B269A79" w14:textId="77777777" w:rsidR="00322518" w:rsidRPr="00801108" w:rsidRDefault="00322518" w:rsidP="00322518">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Artículo 5°. De la selección objetiva. </w:t>
      </w:r>
    </w:p>
    <w:p w14:paraId="0300D646" w14:textId="77777777" w:rsidR="00322518" w:rsidRPr="00801108" w:rsidRDefault="00322518" w:rsidP="00322518">
      <w:pPr>
        <w:spacing w:after="120"/>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w:t>
      </w:r>
    </w:p>
    <w:p w14:paraId="5228E564" w14:textId="77777777" w:rsidR="00322518" w:rsidRPr="00801108" w:rsidRDefault="00322518" w:rsidP="00322518">
      <w:pPr>
        <w:ind w:left="709" w:right="709"/>
        <w:jc w:val="both"/>
        <w:rPr>
          <w:rFonts w:ascii="Arial" w:hAnsi="Arial" w:cs="Arial"/>
          <w:color w:val="000000" w:themeColor="text1"/>
          <w:sz w:val="21"/>
          <w:szCs w:val="21"/>
          <w:lang w:val="es-ES_tradnl"/>
        </w:rPr>
      </w:pPr>
      <w:r w:rsidRPr="00801108">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w:t>
      </w:r>
      <w:bookmarkStart w:id="4" w:name="_Hlk71479674"/>
      <w:r w:rsidRPr="00801108">
        <w:rPr>
          <w:rFonts w:ascii="Arial" w:hAnsi="Arial" w:cs="Arial"/>
          <w:color w:val="000000" w:themeColor="text1"/>
          <w:sz w:val="21"/>
          <w:szCs w:val="21"/>
          <w:lang w:val="es-ES_tradnl"/>
        </w:rPr>
        <w:t>comparación de las propuestas</w:t>
      </w:r>
      <w:bookmarkEnd w:id="4"/>
      <w:r w:rsidRPr="00801108">
        <w:rPr>
          <w:rFonts w:ascii="Arial" w:hAnsi="Arial" w:cs="Arial"/>
          <w:color w:val="000000" w:themeColor="text1"/>
          <w:sz w:val="21"/>
          <w:szCs w:val="21"/>
          <w:lang w:val="es-ES_tradnl"/>
        </w:rPr>
        <w:t xml:space="preserve"> no servirán de título suficiente para el rechazo de los ofrecimientos hechos. En consecuencia, todos aquellos requisitos de la propuesta que no afecten la asignación de </w:t>
      </w:r>
      <w:proofErr w:type="gramStart"/>
      <w:r w:rsidRPr="00801108">
        <w:rPr>
          <w:rFonts w:ascii="Arial" w:hAnsi="Arial" w:cs="Arial"/>
          <w:color w:val="000000" w:themeColor="text1"/>
          <w:sz w:val="21"/>
          <w:szCs w:val="21"/>
          <w:lang w:val="es-ES_tradnl"/>
        </w:rPr>
        <w:t>puntaje,</w:t>
      </w:r>
      <w:proofErr w:type="gramEnd"/>
      <w:r w:rsidRPr="00801108">
        <w:rPr>
          <w:rFonts w:ascii="Arial"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5F4FC62" w14:textId="77777777" w:rsidR="00322518" w:rsidRPr="00801108" w:rsidRDefault="00322518" w:rsidP="00322518">
      <w:pPr>
        <w:spacing w:line="276" w:lineRule="auto"/>
        <w:jc w:val="both"/>
        <w:rPr>
          <w:rFonts w:ascii="Arial" w:hAnsi="Arial" w:cs="Arial"/>
          <w:b/>
          <w:color w:val="000000" w:themeColor="text1"/>
          <w:sz w:val="22"/>
          <w:lang w:val="es-ES_tradnl"/>
        </w:rPr>
      </w:pPr>
    </w:p>
    <w:p w14:paraId="2282F7EC" w14:textId="77777777" w:rsidR="00322518" w:rsidRDefault="00322518" w:rsidP="00322518">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w:t>
      </w:r>
      <w:r w:rsidRPr="242905EC">
        <w:rPr>
          <w:rFonts w:ascii="Arial" w:hAnsi="Arial" w:cs="Arial"/>
          <w:color w:val="000000" w:themeColor="text1"/>
          <w:sz w:val="22"/>
          <w:lang w:val="es-ES"/>
        </w:rPr>
        <w:t>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w:t>
      </w:r>
      <w:r>
        <w:rPr>
          <w:rFonts w:ascii="Arial" w:hAnsi="Arial" w:cs="Arial"/>
          <w:color w:val="000000" w:themeColor="text1"/>
          <w:sz w:val="22"/>
          <w:lang w:val="es-ES"/>
        </w:rPr>
        <w:t xml:space="preserve"> (3)</w:t>
      </w:r>
      <w:r w:rsidRPr="242905EC">
        <w:rPr>
          <w:rFonts w:ascii="Arial" w:hAnsi="Arial" w:cs="Arial"/>
          <w:color w:val="000000" w:themeColor="text1"/>
          <w:sz w:val="22"/>
          <w:lang w:val="es-ES"/>
        </w:rPr>
        <w:t xml:space="preserve"> aspectos que se analizarán a continuación</w:t>
      </w:r>
      <w:r>
        <w:rPr>
          <w:rFonts w:ascii="Arial" w:hAnsi="Arial" w:cs="Arial"/>
          <w:color w:val="000000" w:themeColor="text1"/>
          <w:sz w:val="22"/>
        </w:rPr>
        <w:t>:</w:t>
      </w:r>
    </w:p>
    <w:p w14:paraId="156DD4AE" w14:textId="77777777" w:rsidR="00322518" w:rsidRDefault="00322518" w:rsidP="00322518">
      <w:pPr>
        <w:spacing w:after="120" w:line="276" w:lineRule="auto"/>
        <w:ind w:firstLine="709"/>
        <w:jc w:val="both"/>
        <w:rPr>
          <w:rFonts w:ascii="Arial" w:eastAsia="Arial" w:hAnsi="Arial" w:cs="Arial"/>
          <w:color w:val="000000" w:themeColor="text1"/>
          <w:sz w:val="22"/>
          <w:lang w:val="es-ES"/>
        </w:rPr>
      </w:pPr>
      <w:r w:rsidRPr="242905EC">
        <w:rPr>
          <w:rFonts w:ascii="Arial" w:eastAsia="Arial" w:hAnsi="Arial" w:cs="Arial"/>
          <w:color w:val="000000" w:themeColor="text1"/>
          <w:sz w:val="22"/>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Pr>
          <w:rFonts w:ascii="Arial" w:eastAsia="Arial" w:hAnsi="Arial" w:cs="Arial"/>
          <w:color w:val="000000" w:themeColor="text1"/>
          <w:sz w:val="22"/>
          <w:lang w:val="es-ES"/>
        </w:rPr>
        <w:t>:</w:t>
      </w:r>
      <w:r w:rsidRPr="242905EC">
        <w:rPr>
          <w:rFonts w:ascii="Arial" w:eastAsia="Arial" w:hAnsi="Arial" w:cs="Arial"/>
          <w:color w:val="000000" w:themeColor="text1"/>
          <w:sz w:val="22"/>
          <w:lang w:val="es-ES"/>
        </w:rPr>
        <w:t xml:space="preserve"> en </w:t>
      </w:r>
      <w:r>
        <w:rPr>
          <w:rFonts w:ascii="Arial" w:eastAsia="Arial" w:hAnsi="Arial" w:cs="Arial"/>
          <w:color w:val="000000" w:themeColor="text1"/>
          <w:sz w:val="22"/>
          <w:lang w:val="es-ES"/>
        </w:rPr>
        <w:t>este</w:t>
      </w:r>
      <w:r w:rsidRPr="242905EC">
        <w:rPr>
          <w:rFonts w:ascii="Arial" w:eastAsia="Arial" w:hAnsi="Arial" w:cs="Arial"/>
          <w:color w:val="000000" w:themeColor="text1"/>
          <w:sz w:val="22"/>
          <w:lang w:val="es-ES"/>
        </w:rPr>
        <w:t xml:space="preserve"> último los documentos o requisitos subsanables deben solicitarse, como límite final, hasta el momento previo a su realización</w:t>
      </w:r>
      <w:r>
        <w:rPr>
          <w:rFonts w:ascii="Arial" w:eastAsia="Arial" w:hAnsi="Arial" w:cs="Arial"/>
          <w:color w:val="000000"/>
          <w:sz w:val="22"/>
          <w:szCs w:val="22"/>
          <w:vertAlign w:val="superscript"/>
        </w:rPr>
        <w:footnoteReference w:id="17"/>
      </w:r>
      <w:r w:rsidRPr="242905EC">
        <w:rPr>
          <w:rFonts w:ascii="Arial" w:eastAsia="Arial" w:hAnsi="Arial" w:cs="Arial"/>
          <w:color w:val="000000" w:themeColor="text1"/>
          <w:sz w:val="22"/>
          <w:lang w:val="es-ES"/>
        </w:rPr>
        <w:t>.</w:t>
      </w:r>
    </w:p>
    <w:p w14:paraId="3184D6AD" w14:textId="77777777" w:rsidR="00322518" w:rsidRPr="009417A8" w:rsidRDefault="00322518" w:rsidP="00322518">
      <w:pPr>
        <w:spacing w:after="120" w:line="276" w:lineRule="auto"/>
        <w:ind w:firstLine="709"/>
        <w:jc w:val="both"/>
        <w:rPr>
          <w:rFonts w:ascii="Arial" w:eastAsia="Arial" w:hAnsi="Arial" w:cs="Arial"/>
          <w:color w:val="000000" w:themeColor="text1"/>
          <w:sz w:val="22"/>
          <w:lang w:val="es-ES"/>
        </w:rPr>
      </w:pPr>
      <w:r>
        <w:rPr>
          <w:rStyle w:val="normaltextrun"/>
          <w:rFonts w:ascii="Arial" w:hAnsi="Arial" w:cs="Arial"/>
          <w:color w:val="000000"/>
          <w:sz w:val="22"/>
          <w:shd w:val="clear" w:color="auto" w:fill="FFFFFF"/>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r>
        <w:rPr>
          <w:rStyle w:val="eop"/>
          <w:rFonts w:ascii="Arial" w:hAnsi="Arial" w:cs="Arial"/>
          <w:color w:val="000000"/>
          <w:sz w:val="22"/>
          <w:shd w:val="clear" w:color="auto" w:fill="FFFFFF"/>
        </w:rPr>
        <w:t> </w:t>
      </w:r>
    </w:p>
    <w:p w14:paraId="502C7EEB" w14:textId="77777777" w:rsidR="00322518" w:rsidRPr="00AE6622" w:rsidRDefault="00322518" w:rsidP="00322518">
      <w:pPr>
        <w:spacing w:after="120" w:line="276" w:lineRule="auto"/>
        <w:ind w:firstLine="720"/>
        <w:jc w:val="both"/>
        <w:rPr>
          <w:rFonts w:ascii="Arial" w:eastAsia="Calibri" w:hAnsi="Arial" w:cs="Arial"/>
          <w:color w:val="000000" w:themeColor="text1"/>
          <w:sz w:val="21"/>
          <w:szCs w:val="21"/>
        </w:rPr>
      </w:pPr>
      <w:r w:rsidRPr="242905EC">
        <w:rPr>
          <w:rFonts w:ascii="Arial" w:eastAsia="Arial" w:hAnsi="Arial" w:cs="Arial"/>
          <w:color w:val="000000" w:themeColor="text1"/>
          <w:sz w:val="22"/>
          <w:lang w:val="es-ES"/>
        </w:rPr>
        <w:lastRenderedPageBreak/>
        <w:t>De otro lado, el segundo cambio importante de la Ley 1882 de 2018</w:t>
      </w:r>
      <w:r>
        <w:rPr>
          <w:rFonts w:ascii="Arial" w:eastAsia="Arial" w:hAnsi="Arial" w:cs="Arial"/>
          <w:color w:val="000000" w:themeColor="text1"/>
          <w:sz w:val="22"/>
        </w:rPr>
        <w:t xml:space="preserve"> </w:t>
      </w:r>
      <w:r w:rsidRPr="242905EC">
        <w:rPr>
          <w:rFonts w:ascii="Arial" w:eastAsia="Calibri" w:hAnsi="Arial" w:cs="Arial"/>
          <w:color w:val="000000" w:themeColor="text1"/>
          <w:sz w:val="22"/>
        </w:rPr>
        <w:t xml:space="preserve">es </w:t>
      </w:r>
      <w:r>
        <w:rPr>
          <w:rFonts w:ascii="Arial" w:eastAsia="Calibri" w:hAnsi="Arial" w:cs="Arial"/>
          <w:color w:val="000000" w:themeColor="text1"/>
          <w:sz w:val="22"/>
        </w:rPr>
        <w:t>e</w:t>
      </w:r>
      <w:r w:rsidRPr="242905EC">
        <w:rPr>
          <w:rFonts w:ascii="Arial" w:eastAsia="Calibri" w:hAnsi="Arial" w:cs="Arial"/>
          <w:color w:val="000000" w:themeColor="text1"/>
          <w:sz w:val="22"/>
        </w:rPr>
        <w:t xml:space="preserve">l correspondiente a la garantía de seriedad. El parágrafo 3 del artículo 5 de la Ley 1150 de 2007, adicionado por el artículo 5 de la Ley 1882 de 2018 </w:t>
      </w:r>
      <w:r>
        <w:rPr>
          <w:rFonts w:ascii="Arial" w:eastAsia="Calibri" w:hAnsi="Arial" w:cs="Arial"/>
          <w:color w:val="000000" w:themeColor="text1"/>
          <w:sz w:val="22"/>
        </w:rPr>
        <w:t>dispone que la falta de</w:t>
      </w:r>
      <w:r w:rsidRPr="242905EC">
        <w:rPr>
          <w:rFonts w:ascii="Arial" w:eastAsia="Calibri" w:hAnsi="Arial" w:cs="Arial"/>
          <w:color w:val="000000" w:themeColor="text1"/>
          <w:sz w:val="22"/>
        </w:rPr>
        <w:t xml:space="preserve"> entrega</w:t>
      </w:r>
      <w:r>
        <w:rPr>
          <w:rFonts w:ascii="Arial" w:eastAsia="Calibri" w:hAnsi="Arial" w:cs="Arial"/>
          <w:color w:val="000000" w:themeColor="text1"/>
          <w:sz w:val="22"/>
        </w:rPr>
        <w:t xml:space="preserve"> de la</w:t>
      </w:r>
      <w:r w:rsidRPr="242905EC">
        <w:rPr>
          <w:rFonts w:ascii="Arial" w:eastAsia="Calibri" w:hAnsi="Arial" w:cs="Arial"/>
          <w:color w:val="000000" w:themeColor="text1"/>
          <w:sz w:val="22"/>
        </w:rPr>
        <w:t xml:space="preserve"> garantía de seriedad </w:t>
      </w:r>
      <w:r>
        <w:rPr>
          <w:rFonts w:ascii="Arial" w:eastAsia="Calibri" w:hAnsi="Arial" w:cs="Arial"/>
          <w:color w:val="000000" w:themeColor="text1"/>
          <w:sz w:val="22"/>
        </w:rPr>
        <w:t>es insubsanable. Al respecto, la norma prescribe lo siguiente</w:t>
      </w:r>
      <w:r w:rsidRPr="242905EC">
        <w:rPr>
          <w:rFonts w:ascii="Arial" w:eastAsia="Calibri" w:hAnsi="Arial" w:cs="Arial"/>
          <w:color w:val="000000" w:themeColor="text1"/>
          <w:sz w:val="22"/>
        </w:rPr>
        <w:t xml:space="preserve">: </w:t>
      </w:r>
      <w:r w:rsidRPr="00802DBF">
        <w:rPr>
          <w:rFonts w:ascii="Arial" w:eastAsia="Calibri" w:hAnsi="Arial" w:cs="Arial"/>
          <w:color w:val="000000" w:themeColor="text1"/>
          <w:sz w:val="22"/>
        </w:rPr>
        <w:t>«PARÁGRAFO 3o. La no entrega de la garantía de seriedad junto con la propuesta no será subsanable y será causal de rechazo de la misma».</w:t>
      </w:r>
    </w:p>
    <w:p w14:paraId="560DCF91" w14:textId="77777777" w:rsidR="00322518" w:rsidRPr="00D13660" w:rsidRDefault="00322518" w:rsidP="00322518">
      <w:pPr>
        <w:spacing w:line="276" w:lineRule="auto"/>
        <w:ind w:firstLine="709"/>
        <w:jc w:val="both"/>
        <w:rPr>
          <w:rFonts w:ascii="Arial" w:hAnsi="Arial" w:cs="Arial"/>
          <w:sz w:val="22"/>
          <w:bdr w:val="none" w:sz="0" w:space="0" w:color="auto" w:frame="1"/>
          <w:lang w:val="es-ES_tradnl"/>
        </w:rPr>
      </w:pPr>
      <w:r>
        <w:rPr>
          <w:rFonts w:ascii="Arial" w:eastAsia="Arial" w:hAnsi="Arial" w:cs="Arial"/>
          <w:color w:val="000000" w:themeColor="text1"/>
          <w:sz w:val="22"/>
        </w:rPr>
        <w:t>Finalmente, el último cambio</w:t>
      </w:r>
      <w:r w:rsidRPr="242905EC">
        <w:rPr>
          <w:rFonts w:ascii="Arial" w:eastAsia="Arial" w:hAnsi="Arial" w:cs="Arial"/>
          <w:color w:val="000000" w:themeColor="text1"/>
          <w:sz w:val="22"/>
          <w:lang w:val="es-ES"/>
        </w:rPr>
        <w:t xml:space="preserve"> importante de la Ley 1882 de 2018 fue la introducción de un criterio material, directamente relacionado con los aspectos subsanables: </w:t>
      </w:r>
      <w:r w:rsidRPr="242905EC">
        <w:rPr>
          <w:rFonts w:ascii="Arial" w:eastAsia="Arial" w:hAnsi="Arial" w:cs="Arial"/>
          <w:i/>
          <w:iCs/>
          <w:color w:val="000000" w:themeColor="text1"/>
          <w:sz w:val="22"/>
          <w:lang w:val="es-ES"/>
        </w:rPr>
        <w:t>«</w:t>
      </w:r>
      <w:r w:rsidRPr="242905EC">
        <w:rPr>
          <w:rFonts w:ascii="Arial" w:eastAsia="Arial" w:hAnsi="Arial" w:cs="Arial"/>
          <w:color w:val="000000" w:themeColor="text1"/>
          <w:sz w:val="22"/>
          <w:lang w:val="es-ES"/>
        </w:rPr>
        <w:t>los proponentes no podrán acreditar circunstancias ocurridas con posterioridad al cierre del proceso»</w:t>
      </w:r>
      <w:r w:rsidRPr="242905EC">
        <w:rPr>
          <w:rFonts w:ascii="Arial" w:eastAsia="Arial" w:hAnsi="Arial" w:cs="Arial"/>
          <w:b/>
          <w:bCs/>
          <w:color w:val="000000" w:themeColor="text1"/>
          <w:sz w:val="22"/>
          <w:lang w:val="es-ES"/>
        </w:rPr>
        <w:t>.</w:t>
      </w:r>
      <w:r>
        <w:rPr>
          <w:rFonts w:ascii="Arial" w:hAnsi="Arial" w:cs="Arial"/>
          <w:sz w:val="22"/>
          <w:bdr w:val="none" w:sz="0" w:space="0" w:color="auto" w:frame="1"/>
          <w:lang w:val="es-ES_tradnl"/>
        </w:rPr>
        <w:t xml:space="preserve"> E</w:t>
      </w:r>
      <w:r w:rsidRPr="00D13660">
        <w:rPr>
          <w:rFonts w:ascii="Arial" w:hAnsi="Arial" w:cs="Arial"/>
          <w:sz w:val="22"/>
          <w:bdr w:val="none" w:sz="0" w:space="0" w:color="auto" w:frame="1"/>
          <w:lang w:val="es-ES_tradnl"/>
        </w:rPr>
        <w:t xml:space="preserve">sta regla tiene una finalidad particular, y es que, al momento de presentar la oferta, el proponente la deberá </w:t>
      </w:r>
      <w:r>
        <w:rPr>
          <w:rFonts w:ascii="Arial" w:hAnsi="Arial" w:cs="Arial"/>
          <w:sz w:val="22"/>
          <w:bdr w:val="none" w:sz="0" w:space="0" w:color="auto" w:frame="1"/>
          <w:lang w:val="es-ES_tradnl"/>
        </w:rPr>
        <w:t>hacerlo</w:t>
      </w:r>
      <w:r w:rsidRPr="00D13660">
        <w:rPr>
          <w:rFonts w:ascii="Arial" w:hAnsi="Arial" w:cs="Arial"/>
          <w:sz w:val="22"/>
          <w:bdr w:val="none" w:sz="0" w:space="0" w:color="auto" w:frame="1"/>
          <w:lang w:val="es-ES_tradnl"/>
        </w:rPr>
        <w:t xml:space="preserve"> de forma íntegra y así evitar que a lo largo del proce</w:t>
      </w:r>
      <w:r>
        <w:rPr>
          <w:rFonts w:ascii="Arial" w:hAnsi="Arial" w:cs="Arial"/>
          <w:sz w:val="22"/>
          <w:bdr w:val="none" w:sz="0" w:space="0" w:color="auto" w:frame="1"/>
          <w:lang w:val="es-ES_tradnl"/>
        </w:rPr>
        <w:t>dimiento</w:t>
      </w:r>
      <w:r w:rsidRPr="00D13660">
        <w:rPr>
          <w:rFonts w:ascii="Arial" w:hAnsi="Arial" w:cs="Arial"/>
          <w:sz w:val="22"/>
          <w:bdr w:val="none" w:sz="0" w:space="0" w:color="auto" w:frame="1"/>
          <w:lang w:val="es-ES_tradnl"/>
        </w:rPr>
        <w:t xml:space="preserve"> contractual complet</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 xml:space="preserve"> o adicion</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 xml:space="preserve"> su propuesta, conforme mejora su situación particular. En términos del Consejo de Estado:</w:t>
      </w:r>
    </w:p>
    <w:p w14:paraId="6AE0D17A" w14:textId="77777777" w:rsidR="00322518" w:rsidRDefault="00322518" w:rsidP="00322518">
      <w:pPr>
        <w:spacing w:line="276" w:lineRule="auto"/>
        <w:ind w:firstLine="709"/>
        <w:jc w:val="both"/>
        <w:rPr>
          <w:rFonts w:ascii="Arial" w:hAnsi="Arial" w:cs="Arial"/>
          <w:color w:val="201F1E"/>
          <w:sz w:val="22"/>
          <w:bdr w:val="none" w:sz="0" w:space="0" w:color="auto" w:frame="1"/>
          <w:lang w:val="es-ES_tradnl"/>
        </w:rPr>
      </w:pPr>
    </w:p>
    <w:p w14:paraId="4DD1336D" w14:textId="77777777" w:rsidR="00322518" w:rsidRDefault="00322518" w:rsidP="00322518">
      <w:pPr>
        <w:tabs>
          <w:tab w:val="left" w:pos="426"/>
        </w:tabs>
        <w:ind w:left="709" w:right="709"/>
        <w:jc w:val="both"/>
        <w:rPr>
          <w:rFonts w:ascii="Arial" w:eastAsia="Arial" w:hAnsi="Arial" w:cs="Arial"/>
          <w:color w:val="000000" w:themeColor="text1"/>
          <w:sz w:val="21"/>
          <w:szCs w:val="21"/>
        </w:rPr>
      </w:pPr>
      <w:r w:rsidRPr="63A9585E">
        <w:rPr>
          <w:rFonts w:ascii="Arial" w:eastAsia="Arial" w:hAnsi="Arial" w:cs="Arial"/>
          <w:color w:val="000000" w:themeColor="text1"/>
          <w:sz w:val="21"/>
          <w:szCs w:val="21"/>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63A9585E">
        <w:rPr>
          <w:rFonts w:ascii="Arial" w:eastAsia="Arial" w:hAnsi="Arial" w:cs="Arial"/>
          <w:color w:val="000000" w:themeColor="text1"/>
          <w:sz w:val="21"/>
          <w:szCs w:val="21"/>
          <w:vertAlign w:val="superscript"/>
        </w:rPr>
        <w:footnoteReference w:id="18"/>
      </w:r>
    </w:p>
    <w:p w14:paraId="6DAEAB0C" w14:textId="77777777" w:rsidR="00322518" w:rsidRPr="00E915C7" w:rsidRDefault="00322518" w:rsidP="00322518">
      <w:pPr>
        <w:tabs>
          <w:tab w:val="left" w:pos="426"/>
        </w:tabs>
        <w:spacing w:line="259" w:lineRule="auto"/>
        <w:ind w:left="709" w:right="709"/>
        <w:jc w:val="both"/>
        <w:rPr>
          <w:rFonts w:ascii="Arial" w:eastAsia="Arial" w:hAnsi="Arial" w:cs="Arial"/>
          <w:color w:val="000000" w:themeColor="text1"/>
          <w:sz w:val="21"/>
          <w:szCs w:val="21"/>
        </w:rPr>
      </w:pPr>
    </w:p>
    <w:p w14:paraId="60E4CC04" w14:textId="44E61CB1" w:rsidR="00322518" w:rsidRDefault="00322518" w:rsidP="00322518">
      <w:pPr>
        <w:spacing w:line="276" w:lineRule="auto"/>
        <w:ind w:firstLine="709"/>
        <w:jc w:val="both"/>
        <w:rPr>
          <w:rFonts w:ascii="Arial" w:eastAsia="Arial" w:hAnsi="Arial" w:cs="Arial"/>
          <w:color w:val="000000" w:themeColor="text1"/>
          <w:sz w:val="21"/>
          <w:szCs w:val="21"/>
        </w:rPr>
      </w:pPr>
      <w:r>
        <w:rPr>
          <w:rFonts w:ascii="Arial" w:eastAsia="Arial" w:hAnsi="Arial" w:cs="Arial"/>
          <w:color w:val="000000" w:themeColor="text1"/>
          <w:sz w:val="22"/>
        </w:rPr>
        <w:t xml:space="preserve">De igual manera, en los documentos tipo adoptados mediante las Resoluciones </w:t>
      </w:r>
      <w:r w:rsidRPr="0043040E">
        <w:rPr>
          <w:rFonts w:ascii="Arial" w:hAnsi="Arial" w:cs="Arial"/>
          <w:color w:val="0D0D0D"/>
          <w:sz w:val="22"/>
          <w:bdr w:val="none" w:sz="0" w:space="0" w:color="auto" w:frame="1"/>
          <w:lang w:eastAsia="es-CO"/>
        </w:rPr>
        <w:t>No. 240 y 241 del 27 de noviembre 2020</w:t>
      </w:r>
      <w:r>
        <w:rPr>
          <w:rFonts w:ascii="Arial" w:eastAsia="Arial" w:hAnsi="Arial" w:cs="Arial"/>
          <w:color w:val="000000" w:themeColor="text1"/>
          <w:sz w:val="22"/>
        </w:rPr>
        <w:t xml:space="preserve">, la obligación del proponente de presentar su oferta de manera íntegra es congruente con el numeral 1.6. del documento </w:t>
      </w:r>
      <w:r w:rsidRPr="00802DBF">
        <w:rPr>
          <w:rFonts w:ascii="Arial" w:eastAsia="Arial" w:hAnsi="Arial" w:cs="Arial"/>
          <w:color w:val="000000" w:themeColor="text1"/>
          <w:sz w:val="22"/>
        </w:rPr>
        <w:t>base</w:t>
      </w:r>
      <w:r>
        <w:rPr>
          <w:rFonts w:ascii="Arial" w:eastAsia="Arial" w:hAnsi="Arial" w:cs="Arial"/>
          <w:color w:val="000000" w:themeColor="text1"/>
          <w:sz w:val="22"/>
        </w:rPr>
        <w:t>. Al respecto, el pliego dispone que</w:t>
      </w:r>
      <w:r>
        <w:rPr>
          <w:rFonts w:ascii="Arial" w:eastAsia="Arial" w:hAnsi="Arial" w:cs="Arial"/>
          <w:color w:val="000000" w:themeColor="text1"/>
          <w:sz w:val="21"/>
          <w:szCs w:val="21"/>
        </w:rPr>
        <w:t>:</w:t>
      </w:r>
    </w:p>
    <w:p w14:paraId="44739B95" w14:textId="77777777" w:rsidR="00322518" w:rsidRDefault="00322518" w:rsidP="00322518">
      <w:pPr>
        <w:spacing w:line="276" w:lineRule="auto"/>
        <w:ind w:firstLine="360"/>
        <w:jc w:val="both"/>
        <w:rPr>
          <w:rFonts w:ascii="Arial" w:eastAsia="Arial" w:hAnsi="Arial" w:cs="Arial"/>
          <w:color w:val="000000" w:themeColor="text1"/>
          <w:sz w:val="21"/>
          <w:szCs w:val="21"/>
        </w:rPr>
      </w:pPr>
    </w:p>
    <w:p w14:paraId="22246CB6" w14:textId="77777777" w:rsidR="00322518" w:rsidRPr="00A015C2" w:rsidRDefault="00322518" w:rsidP="00322518">
      <w:pPr>
        <w:spacing w:after="120"/>
        <w:ind w:left="709" w:right="709"/>
        <w:jc w:val="both"/>
        <w:rPr>
          <w:rFonts w:ascii="Arial" w:eastAsia="Arial" w:hAnsi="Arial" w:cs="Arial"/>
          <w:color w:val="000000" w:themeColor="text1"/>
          <w:sz w:val="21"/>
          <w:szCs w:val="21"/>
        </w:rPr>
      </w:pPr>
      <w:r w:rsidRPr="00A015C2">
        <w:rPr>
          <w:rFonts w:ascii="Arial" w:eastAsia="Arial" w:hAnsi="Arial" w:cs="Arial"/>
          <w:color w:val="000000" w:themeColor="text1"/>
          <w:sz w:val="21"/>
          <w:szCs w:val="21"/>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6A6B43D4" w14:textId="77777777" w:rsidR="00322518" w:rsidRPr="00A015C2" w:rsidRDefault="00322518" w:rsidP="00322518">
      <w:pPr>
        <w:ind w:left="709" w:right="709"/>
        <w:jc w:val="both"/>
        <w:rPr>
          <w:rFonts w:ascii="Arial" w:eastAsia="Arial" w:hAnsi="Arial" w:cs="Arial"/>
          <w:color w:val="000000" w:themeColor="text1"/>
          <w:sz w:val="21"/>
          <w:szCs w:val="21"/>
        </w:rPr>
      </w:pPr>
      <w:r w:rsidRPr="00A015C2">
        <w:rPr>
          <w:rFonts w:ascii="Arial" w:eastAsia="Arial" w:hAnsi="Arial" w:cs="Arial"/>
          <w:color w:val="000000" w:themeColor="text1"/>
          <w:sz w:val="21"/>
          <w:szCs w:val="21"/>
        </w:rPr>
        <w:t xml:space="preserve">En caso de ser necesario, la Entidad deberá solicitar a los Proponentes durante el proceso de evaluación, y a más tardar en el informe de evaluación, las </w:t>
      </w:r>
      <w:r w:rsidRPr="00A015C2">
        <w:rPr>
          <w:rFonts w:ascii="Arial" w:eastAsia="Arial" w:hAnsi="Arial" w:cs="Arial"/>
          <w:color w:val="000000" w:themeColor="text1"/>
          <w:sz w:val="21"/>
          <w:szCs w:val="21"/>
        </w:rPr>
        <w:lastRenderedPageBreak/>
        <w:t>aclaraciones, precisiones o solicitud de documentos que puedan ser subsanables.</w:t>
      </w:r>
    </w:p>
    <w:p w14:paraId="30160152" w14:textId="77777777" w:rsidR="00322518" w:rsidRDefault="00322518" w:rsidP="00322518">
      <w:pPr>
        <w:spacing w:line="276" w:lineRule="auto"/>
        <w:jc w:val="both"/>
        <w:rPr>
          <w:rFonts w:ascii="Arial" w:hAnsi="Arial" w:cs="Arial"/>
          <w:color w:val="201F1E"/>
          <w:sz w:val="22"/>
          <w:bdr w:val="none" w:sz="0" w:space="0" w:color="auto" w:frame="1"/>
        </w:rPr>
      </w:pPr>
    </w:p>
    <w:p w14:paraId="573D7071" w14:textId="77777777" w:rsidR="00322518" w:rsidRPr="00D13660" w:rsidRDefault="00322518" w:rsidP="00322518">
      <w:pPr>
        <w:spacing w:after="120" w:line="276" w:lineRule="auto"/>
        <w:ind w:firstLine="709"/>
        <w:jc w:val="both"/>
        <w:rPr>
          <w:rFonts w:ascii="Arial" w:hAnsi="Arial" w:cs="Arial"/>
          <w:sz w:val="22"/>
          <w:bdr w:val="none" w:sz="0" w:space="0" w:color="auto" w:frame="1"/>
          <w:lang w:val="es-ES_tradnl"/>
        </w:rPr>
      </w:pPr>
      <w:r w:rsidRPr="00D13660">
        <w:rPr>
          <w:rFonts w:ascii="Arial" w:hAnsi="Arial" w:cs="Arial"/>
          <w:sz w:val="22"/>
          <w:bdr w:val="none" w:sz="0" w:space="0" w:color="auto" w:frame="1"/>
        </w:rPr>
        <w:t xml:space="preserve">Bajo la premisa de que el proponente deberá presentar su oferta de manera completa, es que se debe interpretar la expresión </w:t>
      </w:r>
      <w:r w:rsidRPr="00D13660">
        <w:rPr>
          <w:rFonts w:ascii="Arial" w:hAnsi="Arial" w:cs="Arial"/>
          <w:sz w:val="22"/>
          <w:bdr w:val="none" w:sz="0" w:space="0" w:color="auto" w:frame="1"/>
          <w:lang w:val="es-ES_tradnl"/>
        </w:rPr>
        <w:t xml:space="preserve">«circunstancias ocurridas con posterioridad al cierre del proceso». </w:t>
      </w:r>
      <w:r>
        <w:rPr>
          <w:rFonts w:ascii="Arial" w:hAnsi="Arial" w:cs="Arial"/>
          <w:sz w:val="22"/>
          <w:bdr w:val="none" w:sz="0" w:space="0" w:color="auto" w:frame="1"/>
          <w:lang w:val="es-ES_tradnl"/>
        </w:rPr>
        <w:t xml:space="preserve">Como se explicó en el </w:t>
      </w:r>
      <w:r>
        <w:rPr>
          <w:rStyle w:val="normaltextrun"/>
          <w:rFonts w:ascii="Arial" w:hAnsi="Arial" w:cs="Arial"/>
          <w:color w:val="000000"/>
          <w:sz w:val="22"/>
          <w:shd w:val="clear" w:color="auto" w:fill="FFFFFF"/>
        </w:rPr>
        <w:t xml:space="preserve">Concepto CU-060 del 24 de febrero de 2020, </w:t>
      </w:r>
      <w:r>
        <w:rPr>
          <w:rFonts w:ascii="Arial" w:hAnsi="Arial" w:cs="Arial"/>
          <w:sz w:val="22"/>
          <w:bdr w:val="none" w:sz="0" w:space="0" w:color="auto" w:frame="1"/>
          <w:lang w:val="es-ES_tradnl"/>
        </w:rPr>
        <w:t>e</w:t>
      </w:r>
      <w:r w:rsidRPr="00D13660">
        <w:rPr>
          <w:rFonts w:ascii="Arial" w:hAnsi="Arial" w:cs="Arial"/>
          <w:sz w:val="22"/>
          <w:bdr w:val="none" w:sz="0" w:space="0" w:color="auto" w:frame="1"/>
          <w:lang w:val="es-ES_tradnl"/>
        </w:rPr>
        <w:t>sto lleva a la necesidad de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en tanto esto implicaría que el proponente pueda hacer mejoras o adicione circunstancias que no corresponden a la oferta inicialmente presentada</w:t>
      </w:r>
      <w:r w:rsidRPr="00E22A17">
        <w:rPr>
          <w:rStyle w:val="Refdenotaalpie"/>
          <w:rFonts w:ascii="Arial" w:hAnsi="Arial" w:cs="Arial"/>
          <w:sz w:val="22"/>
          <w:bdr w:val="none" w:sz="0" w:space="0" w:color="auto" w:frame="1"/>
          <w:lang w:val="es-ES_tradnl"/>
        </w:rPr>
        <w:footnoteReference w:id="19"/>
      </w:r>
      <w:r w:rsidRPr="00D13660">
        <w:rPr>
          <w:rFonts w:ascii="Arial" w:hAnsi="Arial" w:cs="Arial"/>
          <w:sz w:val="22"/>
          <w:bdr w:val="none" w:sz="0" w:space="0" w:color="auto" w:frame="1"/>
          <w:lang w:val="es-ES_tradnl"/>
        </w:rPr>
        <w:t>.</w:t>
      </w:r>
    </w:p>
    <w:p w14:paraId="6B0F8E18" w14:textId="77777777" w:rsidR="00322518" w:rsidRPr="000B22B3" w:rsidRDefault="00322518" w:rsidP="00322518">
      <w:pPr>
        <w:spacing w:after="120" w:line="276" w:lineRule="auto"/>
        <w:ind w:firstLine="709"/>
        <w:jc w:val="both"/>
        <w:rPr>
          <w:rFonts w:ascii="Arial" w:hAnsi="Arial" w:cs="Arial"/>
          <w:color w:val="000000" w:themeColor="text1"/>
          <w:sz w:val="22"/>
          <w:lang w:val="es-ES_tradnl"/>
        </w:rPr>
      </w:pPr>
      <w:r w:rsidRPr="000B22B3">
        <w:rPr>
          <w:rFonts w:ascii="Arial" w:eastAsia="Calibri" w:hAnsi="Arial" w:cs="Arial"/>
          <w:color w:val="000000" w:themeColor="text1"/>
          <w:sz w:val="22"/>
          <w:szCs w:val="22"/>
          <w:lang w:val="es-ES_tradnl"/>
        </w:rPr>
        <w:t>Analizada la regla del parágrafo primero del artículo 5 de la Ley 1150 de 2007</w:t>
      </w:r>
      <w:r w:rsidRPr="000B22B3">
        <w:rPr>
          <w:rFonts w:ascii="Arial" w:hAnsi="Arial" w:cs="Arial"/>
          <w:color w:val="000000" w:themeColor="text1"/>
          <w:sz w:val="22"/>
          <w:lang w:val="es-ES_tradnl"/>
        </w:rPr>
        <w:t xml:space="preserve">, los criterios de desempate afectan la asignación de puntaje, por lo que los documentos que los acreditan son insubsanables. Estos factores definen la adjudicación del contrato cuando, después de aplicar los criterios de evaluación del pliego de condiciones, dos o más proponentes obtienen resultados similares. De hecho, el primer inciso del artículo 35 de la Ley 2069 de 2020 dispone que los factores de desempate aplican cuando el puntaje total de dos o más ofertas es el mismo. Por tanto, el oferente que resulta adjudicatario es aquel que acredita alguno de esos criterios de desempate, por lo que afectan la asignación de puntaje y deciden el resultado del proceso de selección.  </w:t>
      </w:r>
    </w:p>
    <w:p w14:paraId="4ECB0FE6" w14:textId="3B87F1CE" w:rsidR="00322518" w:rsidRPr="000B22B3" w:rsidRDefault="00322518" w:rsidP="00322518">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Para los documentos tipo de licitación –versión 3– y selección abreviada –versión 2– de obra pública de infraestructura de transporte, esta idea es congruente con el numeral 1.6 del pliego de condiciones. Al respecto, el </w:t>
      </w:r>
      <w:r w:rsidR="009165F4">
        <w:rPr>
          <w:rFonts w:ascii="Arial" w:hAnsi="Arial" w:cs="Arial"/>
          <w:color w:val="000000" w:themeColor="text1"/>
          <w:sz w:val="22"/>
          <w:lang w:val="es-ES_tradnl"/>
        </w:rPr>
        <w:t xml:space="preserve">numeral 1.6 del </w:t>
      </w:r>
      <w:r w:rsidRPr="000B22B3">
        <w:rPr>
          <w:rFonts w:ascii="Arial" w:hAnsi="Arial" w:cs="Arial"/>
          <w:color w:val="000000" w:themeColor="text1"/>
          <w:sz w:val="22"/>
          <w:lang w:val="es-ES_tradnl"/>
        </w:rPr>
        <w:t xml:space="preserve">documento base dispone que «Todos aquellos requisitos de la oferta que afecten la asignación de puntaje, </w:t>
      </w:r>
      <w:r w:rsidRPr="000B22B3">
        <w:rPr>
          <w:rFonts w:ascii="Arial" w:hAnsi="Arial" w:cs="Arial"/>
          <w:i/>
          <w:iCs/>
          <w:color w:val="000000" w:themeColor="text1"/>
          <w:sz w:val="22"/>
          <w:lang w:val="es-ES_tradnl"/>
        </w:rPr>
        <w:t>incluyendo los necesarios para acreditar requisitos de desempate</w:t>
      </w:r>
      <w:r w:rsidRPr="000B22B3">
        <w:rPr>
          <w:rFonts w:ascii="Arial" w:hAnsi="Arial" w:cs="Arial"/>
          <w:color w:val="000000" w:themeColor="text1"/>
          <w:sz w:val="22"/>
          <w:lang w:val="es-ES_tradnl"/>
        </w:rPr>
        <w:t>, no son subsanables, por lo que los mismos deben ser aportados por los proponentes desde la presentación de la oferta. No obstante, pueden ser aclarados o ser objeto de explicación» (Énfasis fuera de texto).</w:t>
      </w:r>
    </w:p>
    <w:p w14:paraId="5F2DDB05" w14:textId="77777777" w:rsidR="00322518" w:rsidRPr="000B22B3" w:rsidRDefault="00322518" w:rsidP="00322518">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Es necesario tener en cuenta que los factores desempate complementan los criterios de evaluación, es decir, si después de aplicar estos últimos, varias propuestas terminan empatadas, aplica el artículo 35 de la Ley de Emprendimiento. En esta medida, los documentos que acreditan cada causal no podrían definirse como «condiciones habilitantes», ya que –en los términos del artículo 5.1 de la Ley 1150 de 2007– ninguno de ellos está relacionado con la prueba de la capacidad jurídica o la certificación de las condiciones de experiencia, capacidad financiera y de organización de los proponentes. </w:t>
      </w:r>
    </w:p>
    <w:p w14:paraId="7D38414E" w14:textId="77777777" w:rsidR="00322518" w:rsidRPr="000B22B3" w:rsidRDefault="00322518" w:rsidP="00322518">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lastRenderedPageBreak/>
        <w:t xml:space="preserve">De considerase «condiciones habilitantes», se llegaría a la idea de que –so pena de rechazo– la participación en el procedimiento contractual está sujeta a la prueba de por lo menos una de las causales del artículo 35 de la Ley 2069 de 2020. Esta conclusión no tendría sentido, ya que es posible la acreditación de los requisitos previstos en el artículo 5.1 de la Ley 1150 de 2007, sin que la ausencia de prueba del criterio de desempate condicione la aplicación de los factores de evaluación previstos en el pliego de condiciones. Naturalmente, en caso de empate, la consecuencia es que la adjudicación se resuelve con los participantes que acreditaron alguno de los factores, excluyendo a quienes no lo hicieron. </w:t>
      </w:r>
    </w:p>
    <w:p w14:paraId="722E3C27" w14:textId="6A2ACB9C" w:rsidR="00322518" w:rsidRPr="000B22B3" w:rsidRDefault="00322518" w:rsidP="00322518">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De esta manera, los factores de desempate afectan la «asignación de puntaje» en los términos del</w:t>
      </w:r>
      <w:r w:rsidRPr="000B22B3">
        <w:rPr>
          <w:rFonts w:ascii="Arial" w:eastAsia="Calibri" w:hAnsi="Arial" w:cs="Arial"/>
          <w:color w:val="000000" w:themeColor="text1"/>
          <w:sz w:val="22"/>
          <w:szCs w:val="22"/>
          <w:lang w:val="es-ES_tradnl"/>
        </w:rPr>
        <w:t xml:space="preserve"> parágrafo primero del artículo 5 de la Ley 1150 de 2007, en la medida que </w:t>
      </w:r>
      <w:r w:rsidRPr="000B22B3">
        <w:rPr>
          <w:rFonts w:ascii="Arial" w:hAnsi="Arial" w:cs="Arial"/>
          <w:color w:val="000000" w:themeColor="text1"/>
          <w:sz w:val="22"/>
          <w:lang w:val="es-ES_tradnl"/>
        </w:rPr>
        <w:t xml:space="preserve">influyen en la «comparación de las propuestas». En efecto, algunos de los factores de evaluación también son criterios de desempate: este es el caso de los previstos en el artículo 2 de la Ley 816 de 2003 y en </w:t>
      </w:r>
      <w:bookmarkStart w:id="5" w:name="_Hlk71484452"/>
      <w:r w:rsidRPr="000B22B3">
        <w:rPr>
          <w:rFonts w:ascii="Arial" w:hAnsi="Arial" w:cs="Arial"/>
          <w:color w:val="000000" w:themeColor="text1"/>
          <w:sz w:val="22"/>
          <w:lang w:val="es-ES_tradnl"/>
        </w:rPr>
        <w:t xml:space="preserve">el artículo </w:t>
      </w:r>
      <w:r w:rsidRPr="000B22B3">
        <w:rPr>
          <w:rFonts w:ascii="Arial" w:eastAsia="Calibri" w:hAnsi="Arial" w:cs="Arial"/>
          <w:sz w:val="22"/>
          <w:lang w:val="es-ES"/>
        </w:rPr>
        <w:t>2.2.1.2.4.2.6 del Decreto 1082 de 2015</w:t>
      </w:r>
      <w:bookmarkEnd w:id="5"/>
      <w:r w:rsidRPr="000B22B3">
        <w:rPr>
          <w:rFonts w:ascii="Arial" w:eastAsia="Calibri" w:hAnsi="Arial" w:cs="Arial"/>
          <w:sz w:val="22"/>
          <w:lang w:val="es-ES"/>
        </w:rPr>
        <w:t xml:space="preserve"> para los proponentes que oferten bienes y servicios nacionales o vinculen personas en situación de discapacidad, respectivamente</w:t>
      </w:r>
      <w:r w:rsidRPr="000B22B3">
        <w:rPr>
          <w:rStyle w:val="Refdenotaalpie"/>
          <w:rFonts w:ascii="Arial" w:hAnsi="Arial" w:cs="Arial"/>
          <w:color w:val="000000" w:themeColor="text1"/>
          <w:sz w:val="22"/>
          <w:lang w:val="es-ES_tradnl"/>
        </w:rPr>
        <w:footnoteReference w:id="20"/>
      </w:r>
      <w:r w:rsidRPr="000B22B3">
        <w:rPr>
          <w:rFonts w:ascii="Arial" w:eastAsia="Calibri" w:hAnsi="Arial" w:cs="Arial"/>
          <w:sz w:val="22"/>
          <w:lang w:val="es-ES"/>
        </w:rPr>
        <w:t>.</w:t>
      </w:r>
      <w:r w:rsidRPr="000B22B3">
        <w:rPr>
          <w:rFonts w:ascii="Arial" w:hAnsi="Arial" w:cs="Arial"/>
          <w:color w:val="000000" w:themeColor="text1"/>
          <w:sz w:val="22"/>
          <w:lang w:val="es-ES_tradnl"/>
        </w:rPr>
        <w:t xml:space="preserve"> Por tanto, si no es posible subsanar los factores de evaluación previstos en las normas citadas, mucho menos es posible subsanarlos tratándose de los factores de desempate</w:t>
      </w:r>
      <w:r w:rsidR="00822ECB">
        <w:rPr>
          <w:rFonts w:ascii="Arial" w:hAnsi="Arial" w:cs="Arial"/>
          <w:color w:val="000000" w:themeColor="text1"/>
          <w:sz w:val="22"/>
          <w:lang w:val="es-ES_tradnl"/>
        </w:rPr>
        <w:t xml:space="preserve">. </w:t>
      </w:r>
      <w:r w:rsidRPr="000B22B3">
        <w:rPr>
          <w:rFonts w:ascii="Arial" w:hAnsi="Arial" w:cs="Arial"/>
          <w:color w:val="000000" w:themeColor="text1"/>
          <w:sz w:val="22"/>
          <w:lang w:val="es-ES_tradnl"/>
        </w:rPr>
        <w:t xml:space="preserve">Esta conclusión se extiende al resto de las causales de esta norma, ya que definen la adjudicación del contrato en caso de empate en el puntaje total de dos o más ofertas en los procesos de contratación. </w:t>
      </w:r>
    </w:p>
    <w:p w14:paraId="72C696E1" w14:textId="77777777" w:rsidR="00322518" w:rsidRPr="000B22B3" w:rsidRDefault="00322518" w:rsidP="0003011E">
      <w:pPr>
        <w:spacing w:after="120" w:line="276" w:lineRule="auto"/>
        <w:ind w:firstLine="709"/>
        <w:jc w:val="both"/>
        <w:rPr>
          <w:rFonts w:ascii="Arial" w:hAnsi="Arial" w:cs="Arial"/>
          <w:color w:val="000000" w:themeColor="text1"/>
          <w:sz w:val="22"/>
          <w:lang w:val="es-ES_tradnl"/>
        </w:rPr>
      </w:pPr>
      <w:r w:rsidRPr="000B22B3">
        <w:rPr>
          <w:rFonts w:ascii="Arial" w:hAnsi="Arial" w:cs="Arial"/>
          <w:color w:val="000000" w:themeColor="text1"/>
          <w:sz w:val="22"/>
          <w:lang w:val="es-ES_tradnl"/>
        </w:rPr>
        <w:t xml:space="preserve">Dado que los factores de desempate influyen en la ponderación de las ofertas presentadas, la acreditación de las causales previstas en el artículo 35 de la Ley 2069 de 2020 es insubsanable. Esto considerando que no son criterios puramente formales de las propuestas ni requisitos para la verificación de las condiciones habilitantes en el proceso de selección en los que aplique la regla del </w:t>
      </w:r>
      <w:r w:rsidRPr="000B22B3">
        <w:rPr>
          <w:rFonts w:ascii="Arial" w:eastAsia="Calibri" w:hAnsi="Arial" w:cs="Arial"/>
          <w:color w:val="000000" w:themeColor="text1"/>
          <w:sz w:val="22"/>
          <w:szCs w:val="22"/>
          <w:lang w:val="es-ES_tradnl"/>
        </w:rPr>
        <w:t>parágrafo primero del artículo 5 de la Ley 1150 de 2007</w:t>
      </w:r>
      <w:r w:rsidRPr="000B22B3">
        <w:rPr>
          <w:rFonts w:ascii="Arial" w:hAnsi="Arial" w:cs="Arial"/>
          <w:color w:val="000000" w:themeColor="text1"/>
          <w:sz w:val="22"/>
          <w:lang w:val="es-ES_tradnl"/>
        </w:rPr>
        <w:t>. Por tanto, dado que no existe oportunidad posterior, la documentación relacionada con los factores de desempate debe entregarse con la oferta de forma completa e integra, antes del cierre del proceso de selección.</w:t>
      </w:r>
    </w:p>
    <w:p w14:paraId="632C2BCE" w14:textId="2A4AD99F" w:rsidR="00822ECB" w:rsidRDefault="00822ECB" w:rsidP="00F57173">
      <w:pPr>
        <w:spacing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conformidad con lo anterior</w:t>
      </w:r>
      <w:r w:rsidR="00E25DCE">
        <w:rPr>
          <w:rFonts w:ascii="Arial" w:eastAsia="Calibri" w:hAnsi="Arial" w:cs="Arial"/>
          <w:color w:val="000000" w:themeColor="text1"/>
          <w:sz w:val="22"/>
          <w:szCs w:val="22"/>
          <w:lang w:val="es-ES_tradnl"/>
        </w:rPr>
        <w:t>,</w:t>
      </w:r>
      <w:r w:rsidR="00625A84">
        <w:rPr>
          <w:rFonts w:ascii="Arial" w:eastAsia="Calibri" w:hAnsi="Arial" w:cs="Arial"/>
          <w:color w:val="000000" w:themeColor="text1"/>
          <w:sz w:val="22"/>
          <w:szCs w:val="22"/>
          <w:lang w:val="es-ES_tradnl"/>
        </w:rPr>
        <w:t xml:space="preserve"> si bien </w:t>
      </w:r>
      <w:r w:rsidR="00FB7620">
        <w:rPr>
          <w:rFonts w:ascii="Arial" w:eastAsia="Calibri" w:hAnsi="Arial" w:cs="Arial"/>
          <w:color w:val="000000" w:themeColor="text1"/>
          <w:sz w:val="22"/>
          <w:szCs w:val="22"/>
          <w:lang w:val="es-ES_tradnl"/>
        </w:rPr>
        <w:t>los formatos</w:t>
      </w:r>
      <w:r w:rsidR="00CD023B">
        <w:rPr>
          <w:rFonts w:ascii="Arial" w:eastAsia="Calibri" w:hAnsi="Arial" w:cs="Arial"/>
          <w:color w:val="000000" w:themeColor="text1"/>
          <w:sz w:val="22"/>
          <w:szCs w:val="22"/>
          <w:lang w:val="es-ES_tradnl"/>
        </w:rPr>
        <w:t xml:space="preserve"> 10 y 11 no son documentos destinados a de</w:t>
      </w:r>
      <w:r w:rsidR="00944899">
        <w:rPr>
          <w:rFonts w:ascii="Arial" w:eastAsia="Calibri" w:hAnsi="Arial" w:cs="Arial"/>
          <w:color w:val="000000" w:themeColor="text1"/>
          <w:sz w:val="22"/>
          <w:szCs w:val="22"/>
          <w:lang w:val="es-ES_tradnl"/>
        </w:rPr>
        <w:t xml:space="preserve">finir la evaluación en todos los casos, </w:t>
      </w:r>
      <w:r w:rsidR="002249BE">
        <w:rPr>
          <w:rFonts w:ascii="Arial" w:eastAsia="Calibri" w:hAnsi="Arial" w:cs="Arial"/>
          <w:color w:val="000000" w:themeColor="text1"/>
          <w:sz w:val="22"/>
          <w:szCs w:val="22"/>
          <w:lang w:val="es-ES_tradnl"/>
        </w:rPr>
        <w:t xml:space="preserve">eventualmente, pueden ser </w:t>
      </w:r>
      <w:r w:rsidR="002249BE">
        <w:rPr>
          <w:rFonts w:ascii="Arial" w:eastAsia="Calibri" w:hAnsi="Arial" w:cs="Arial"/>
          <w:color w:val="000000" w:themeColor="text1"/>
          <w:sz w:val="22"/>
          <w:szCs w:val="22"/>
          <w:lang w:val="es-ES_tradnl"/>
        </w:rPr>
        <w:lastRenderedPageBreak/>
        <w:t>determinantes para la evaluación</w:t>
      </w:r>
      <w:r w:rsidR="00DF178A">
        <w:rPr>
          <w:rFonts w:ascii="Arial" w:eastAsia="Calibri" w:hAnsi="Arial" w:cs="Arial"/>
          <w:color w:val="000000" w:themeColor="text1"/>
          <w:sz w:val="22"/>
          <w:szCs w:val="22"/>
          <w:lang w:val="es-ES_tradnl"/>
        </w:rPr>
        <w:t>, al ser requeridos para la comparación de ofertas en situaciones de empate</w:t>
      </w:r>
      <w:r w:rsidR="00F57173">
        <w:rPr>
          <w:rFonts w:ascii="Arial" w:eastAsia="Calibri" w:hAnsi="Arial" w:cs="Arial"/>
          <w:color w:val="000000" w:themeColor="text1"/>
          <w:sz w:val="22"/>
          <w:szCs w:val="22"/>
          <w:lang w:val="es-ES_tradnl"/>
        </w:rPr>
        <w:t xml:space="preserve">. En ese sentido, la posibilidad de subsanar </w:t>
      </w:r>
      <w:r w:rsidR="00A4661E">
        <w:rPr>
          <w:rFonts w:ascii="Arial" w:eastAsia="Calibri" w:hAnsi="Arial" w:cs="Arial"/>
          <w:color w:val="000000" w:themeColor="text1"/>
          <w:sz w:val="22"/>
          <w:szCs w:val="22"/>
          <w:lang w:val="es-ES_tradnl"/>
        </w:rPr>
        <w:t>tales documentos no se encuentra conforme a la regla de subsanabilidad prevista en el parágrafo del artículo 5 de la Ley 1150 de 2007,</w:t>
      </w:r>
      <w:r w:rsidR="00240B73">
        <w:rPr>
          <w:rFonts w:ascii="Arial" w:eastAsia="Calibri" w:hAnsi="Arial" w:cs="Arial"/>
          <w:color w:val="000000" w:themeColor="text1"/>
          <w:sz w:val="22"/>
          <w:szCs w:val="22"/>
          <w:lang w:val="es-ES_tradnl"/>
        </w:rPr>
        <w:t xml:space="preserve"> al referirse los mismos a requisitos determinantes para </w:t>
      </w:r>
      <w:r w:rsidR="00EE151D">
        <w:rPr>
          <w:rFonts w:ascii="Arial" w:eastAsia="Calibri" w:hAnsi="Arial" w:cs="Arial"/>
          <w:color w:val="000000" w:themeColor="text1"/>
          <w:sz w:val="22"/>
          <w:szCs w:val="22"/>
          <w:lang w:val="es-ES_tradnl"/>
        </w:rPr>
        <w:t xml:space="preserve">definir la oferta ganadora, </w:t>
      </w:r>
      <w:r w:rsidR="006374F7">
        <w:rPr>
          <w:rFonts w:ascii="Arial" w:eastAsia="Calibri" w:hAnsi="Arial" w:cs="Arial"/>
          <w:color w:val="000000" w:themeColor="text1"/>
          <w:sz w:val="22"/>
          <w:szCs w:val="22"/>
          <w:lang w:val="es-ES_tradnl"/>
        </w:rPr>
        <w:t>razón por la q</w:t>
      </w:r>
      <w:r w:rsidR="009165F4">
        <w:rPr>
          <w:rFonts w:ascii="Arial" w:eastAsia="Calibri" w:hAnsi="Arial" w:cs="Arial"/>
          <w:color w:val="000000" w:themeColor="text1"/>
          <w:sz w:val="22"/>
          <w:szCs w:val="22"/>
          <w:lang w:val="es-ES_tradnl"/>
        </w:rPr>
        <w:t>ue en el documento base</w:t>
      </w:r>
      <w:r w:rsidR="00EE151D">
        <w:rPr>
          <w:rFonts w:ascii="Arial" w:eastAsia="Calibri" w:hAnsi="Arial" w:cs="Arial"/>
          <w:color w:val="000000" w:themeColor="text1"/>
          <w:sz w:val="22"/>
          <w:szCs w:val="22"/>
          <w:lang w:val="es-ES_tradnl"/>
        </w:rPr>
        <w:t xml:space="preserve"> en su numeral 1,6, expresamente</w:t>
      </w:r>
      <w:r w:rsidR="00237A66">
        <w:rPr>
          <w:rFonts w:ascii="Arial" w:eastAsia="Calibri" w:hAnsi="Arial" w:cs="Arial"/>
          <w:color w:val="000000" w:themeColor="text1"/>
          <w:sz w:val="22"/>
          <w:szCs w:val="22"/>
          <w:lang w:val="es-ES_tradnl"/>
        </w:rPr>
        <w:t>,</w:t>
      </w:r>
      <w:r w:rsidR="00EE151D">
        <w:rPr>
          <w:rFonts w:ascii="Arial" w:eastAsia="Calibri" w:hAnsi="Arial" w:cs="Arial"/>
          <w:color w:val="000000" w:themeColor="text1"/>
          <w:sz w:val="22"/>
          <w:szCs w:val="22"/>
          <w:lang w:val="es-ES_tradnl"/>
        </w:rPr>
        <w:t xml:space="preserve"> </w:t>
      </w:r>
      <w:r w:rsidR="00237A66">
        <w:rPr>
          <w:rFonts w:ascii="Arial" w:eastAsia="Calibri" w:hAnsi="Arial" w:cs="Arial"/>
          <w:color w:val="000000" w:themeColor="text1"/>
          <w:sz w:val="22"/>
          <w:szCs w:val="22"/>
          <w:lang w:val="es-ES_tradnl"/>
        </w:rPr>
        <w:t xml:space="preserve">se </w:t>
      </w:r>
      <w:r w:rsidR="00EE151D">
        <w:rPr>
          <w:rFonts w:ascii="Arial" w:eastAsia="Calibri" w:hAnsi="Arial" w:cs="Arial"/>
          <w:color w:val="000000" w:themeColor="text1"/>
          <w:sz w:val="22"/>
          <w:szCs w:val="22"/>
          <w:lang w:val="es-ES_tradnl"/>
        </w:rPr>
        <w:t>excluyó la posibilidad de que se subsanaran los documentos referidos a l</w:t>
      </w:r>
      <w:r w:rsidR="00237A66">
        <w:rPr>
          <w:rFonts w:ascii="Arial" w:eastAsia="Calibri" w:hAnsi="Arial" w:cs="Arial"/>
          <w:color w:val="000000" w:themeColor="text1"/>
          <w:sz w:val="22"/>
          <w:szCs w:val="22"/>
          <w:lang w:val="es-ES_tradnl"/>
        </w:rPr>
        <w:t xml:space="preserve">os criterios de desempate. </w:t>
      </w:r>
      <w:r w:rsidR="00240B73">
        <w:rPr>
          <w:rFonts w:ascii="Arial" w:eastAsia="Calibri" w:hAnsi="Arial" w:cs="Arial"/>
          <w:color w:val="000000" w:themeColor="text1"/>
          <w:sz w:val="22"/>
          <w:szCs w:val="22"/>
          <w:lang w:val="es-ES_tradnl"/>
        </w:rPr>
        <w:t xml:space="preserve"> </w:t>
      </w:r>
      <w:r w:rsidR="006374F7">
        <w:rPr>
          <w:rFonts w:ascii="Arial" w:eastAsia="Calibri" w:hAnsi="Arial" w:cs="Arial"/>
          <w:color w:val="000000" w:themeColor="text1"/>
          <w:sz w:val="22"/>
          <w:szCs w:val="22"/>
          <w:lang w:val="es-ES_tradnl"/>
        </w:rPr>
        <w:t xml:space="preserve"> </w:t>
      </w:r>
      <w:r w:rsidR="00F57173">
        <w:rPr>
          <w:rFonts w:ascii="Arial" w:eastAsia="Calibri" w:hAnsi="Arial" w:cs="Arial"/>
          <w:color w:val="000000" w:themeColor="text1"/>
          <w:sz w:val="22"/>
          <w:szCs w:val="22"/>
          <w:lang w:val="es-ES_tradnl"/>
        </w:rPr>
        <w:t xml:space="preserve"> </w:t>
      </w:r>
    </w:p>
    <w:bookmarkEnd w:id="3"/>
    <w:p w14:paraId="2C0194A1" w14:textId="77777777" w:rsidR="00237A66" w:rsidRDefault="00237A66" w:rsidP="00417118">
      <w:pPr>
        <w:tabs>
          <w:tab w:val="left" w:pos="709"/>
        </w:tabs>
        <w:spacing w:line="276" w:lineRule="auto"/>
        <w:jc w:val="both"/>
        <w:rPr>
          <w:rFonts w:ascii="Arial" w:eastAsia="Calibri" w:hAnsi="Arial" w:cs="Arial"/>
          <w:b/>
          <w:sz w:val="22"/>
          <w:szCs w:val="22"/>
          <w:lang w:val="es-ES"/>
        </w:rPr>
      </w:pPr>
    </w:p>
    <w:p w14:paraId="104BD8E5" w14:textId="77777777" w:rsidR="00237A66" w:rsidRDefault="00237A66" w:rsidP="00417118">
      <w:pPr>
        <w:tabs>
          <w:tab w:val="left" w:pos="709"/>
        </w:tabs>
        <w:spacing w:line="276" w:lineRule="auto"/>
        <w:jc w:val="both"/>
        <w:rPr>
          <w:rFonts w:ascii="Arial" w:eastAsia="Calibri" w:hAnsi="Arial" w:cs="Arial"/>
          <w:b/>
          <w:sz w:val="22"/>
          <w:szCs w:val="22"/>
          <w:lang w:val="es-ES"/>
        </w:rPr>
      </w:pPr>
    </w:p>
    <w:p w14:paraId="0B37DE35" w14:textId="3262B879" w:rsidR="008F1F27" w:rsidRDefault="008F1F27" w:rsidP="00417118">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54DC570D" w14:textId="77777777" w:rsidR="00995C47" w:rsidRDefault="00E25DCE" w:rsidP="00995C47">
      <w:pPr>
        <w:pStyle w:val="NormalWeb"/>
        <w:ind w:left="709" w:right="709"/>
        <w:jc w:val="both"/>
        <w:rPr>
          <w:rFonts w:ascii="Arial" w:hAnsi="Arial" w:cs="Arial"/>
          <w:sz w:val="21"/>
          <w:szCs w:val="21"/>
        </w:rPr>
      </w:pPr>
      <w:r w:rsidRPr="00CA648B">
        <w:rPr>
          <w:rFonts w:ascii="Arial" w:hAnsi="Arial" w:cs="Arial"/>
          <w:sz w:val="21"/>
          <w:szCs w:val="21"/>
          <w:lang w:val="es-ES"/>
        </w:rPr>
        <w:t>«</w:t>
      </w:r>
      <w:r w:rsidRPr="00CA648B">
        <w:rPr>
          <w:rFonts w:ascii="Arial" w:hAnsi="Arial" w:cs="Arial"/>
          <w:sz w:val="21"/>
          <w:szCs w:val="21"/>
        </w:rPr>
        <w:t>1. ¿La presentación del Formato 10 puede ser considerado como un requisito habilitante?</w:t>
      </w:r>
      <w:r w:rsidR="00995C47" w:rsidRPr="00995C47">
        <w:rPr>
          <w:rFonts w:ascii="Arial" w:hAnsi="Arial" w:cs="Arial"/>
          <w:sz w:val="21"/>
          <w:szCs w:val="21"/>
        </w:rPr>
        <w:t xml:space="preserve"> </w:t>
      </w:r>
    </w:p>
    <w:p w14:paraId="7E78E2E0" w14:textId="68571B5C" w:rsidR="00CD29A6" w:rsidRDefault="00995C47" w:rsidP="00E25DCE">
      <w:pPr>
        <w:pStyle w:val="NormalWeb"/>
        <w:ind w:left="709" w:right="709"/>
        <w:jc w:val="both"/>
        <w:rPr>
          <w:rFonts w:ascii="Arial" w:hAnsi="Arial" w:cs="Arial"/>
          <w:sz w:val="21"/>
          <w:szCs w:val="21"/>
        </w:rPr>
      </w:pPr>
      <w:r w:rsidRPr="00CA648B">
        <w:rPr>
          <w:rFonts w:ascii="Arial" w:hAnsi="Arial" w:cs="Arial"/>
          <w:sz w:val="21"/>
          <w:szCs w:val="21"/>
        </w:rPr>
        <w:t>2. ¿El formato 10 puede ser considerado como un requisito NO (sic) subsanable?</w:t>
      </w:r>
    </w:p>
    <w:p w14:paraId="46BB8CCC" w14:textId="70C17C60" w:rsidR="00E25DCE" w:rsidRDefault="00CD29A6" w:rsidP="0003011E">
      <w:pPr>
        <w:pStyle w:val="NormalWeb"/>
        <w:ind w:left="708" w:right="709"/>
        <w:jc w:val="both"/>
        <w:rPr>
          <w:rFonts w:ascii="Arial" w:hAnsi="Arial" w:cs="Arial"/>
          <w:sz w:val="21"/>
          <w:szCs w:val="21"/>
        </w:rPr>
      </w:pPr>
      <w:r w:rsidRPr="00CA648B">
        <w:rPr>
          <w:rFonts w:ascii="Arial" w:hAnsi="Arial" w:cs="Arial"/>
          <w:sz w:val="21"/>
          <w:szCs w:val="21"/>
        </w:rPr>
        <w:t>3. Si un proponente no presenta en su propuesta información sensible, ¿Tiene obligación de presentar el Formato 11?»</w:t>
      </w:r>
      <w:r>
        <w:rPr>
          <w:rFonts w:ascii="Arial" w:hAnsi="Arial" w:cs="Arial"/>
          <w:sz w:val="21"/>
          <w:szCs w:val="21"/>
        </w:rPr>
        <w:t>.</w:t>
      </w:r>
    </w:p>
    <w:p w14:paraId="40DA836A" w14:textId="0AEECD03" w:rsidR="00E25DCE" w:rsidRDefault="00995C47" w:rsidP="00E25DCE">
      <w:pPr>
        <w:spacing w:before="120" w:after="120" w:line="276" w:lineRule="auto"/>
        <w:jc w:val="both"/>
        <w:rPr>
          <w:rFonts w:ascii="Arial" w:eastAsia="Calibri" w:hAnsi="Arial" w:cs="Arial"/>
          <w:bCs/>
          <w:sz w:val="22"/>
          <w:szCs w:val="22"/>
        </w:rPr>
      </w:pPr>
      <w:r>
        <w:rPr>
          <w:rFonts w:ascii="Arial" w:hAnsi="Arial" w:cs="Arial"/>
          <w:sz w:val="21"/>
          <w:szCs w:val="21"/>
        </w:rPr>
        <w:t>Conforme a lo expuesto</w:t>
      </w:r>
      <w:r w:rsidR="00E25DCE">
        <w:rPr>
          <w:rFonts w:ascii="Arial" w:hAnsi="Arial" w:cs="Arial"/>
          <w:sz w:val="22"/>
          <w:szCs w:val="22"/>
          <w:lang w:val="es-ES"/>
        </w:rPr>
        <w:t xml:space="preserve">, es necesario resaltar que los </w:t>
      </w:r>
      <w:r w:rsidR="00E25DCE" w:rsidRPr="00B55C5C">
        <w:rPr>
          <w:rFonts w:ascii="Arial" w:hAnsi="Arial" w:cs="Arial"/>
          <w:sz w:val="22"/>
          <w:szCs w:val="22"/>
          <w:lang w:val="es-ES"/>
        </w:rPr>
        <w:t xml:space="preserve">requisitos habilitantes </w:t>
      </w:r>
      <w:r w:rsidR="00E25DCE">
        <w:rPr>
          <w:rFonts w:ascii="Arial" w:hAnsi="Arial" w:cs="Arial"/>
          <w:sz w:val="22"/>
          <w:szCs w:val="22"/>
          <w:lang w:val="es-ES"/>
        </w:rPr>
        <w:t>son</w:t>
      </w:r>
      <w:r w:rsidR="00E25DCE" w:rsidRPr="00B55C5C">
        <w:rPr>
          <w:rFonts w:ascii="Arial" w:hAnsi="Arial" w:cs="Arial"/>
          <w:sz w:val="22"/>
          <w:szCs w:val="22"/>
          <w:lang w:val="es-ES"/>
        </w:rPr>
        <w:t xml:space="preserve"> aquellos que</w:t>
      </w:r>
      <w:r w:rsidR="00E25DCE">
        <w:rPr>
          <w:rFonts w:ascii="Arial" w:hAnsi="Arial" w:cs="Arial"/>
          <w:sz w:val="22"/>
          <w:szCs w:val="22"/>
          <w:lang w:val="es-ES"/>
        </w:rPr>
        <w:t>,</w:t>
      </w:r>
      <w:r w:rsidR="00E25DCE" w:rsidRPr="00B55C5C">
        <w:rPr>
          <w:rFonts w:ascii="Arial" w:eastAsia="Calibri" w:hAnsi="Arial" w:cs="Arial"/>
          <w:bCs/>
          <w:sz w:val="22"/>
          <w:szCs w:val="22"/>
        </w:rPr>
        <w:t xml:space="preserve"> por expresa disposición legal</w:t>
      </w:r>
      <w:r w:rsidR="00E25DCE">
        <w:rPr>
          <w:rFonts w:ascii="Arial" w:eastAsia="Calibri" w:hAnsi="Arial" w:cs="Arial"/>
          <w:bCs/>
          <w:sz w:val="22"/>
          <w:szCs w:val="22"/>
        </w:rPr>
        <w:t>,</w:t>
      </w:r>
      <w:r w:rsidR="00E25DCE" w:rsidRPr="00B55C5C">
        <w:rPr>
          <w:rFonts w:ascii="Arial" w:eastAsia="Calibri" w:hAnsi="Arial" w:cs="Arial"/>
          <w:bCs/>
          <w:sz w:val="22"/>
          <w:szCs w:val="22"/>
        </w:rPr>
        <w:t xml:space="preserve"> no otorgan puntaje</w:t>
      </w:r>
      <w:r w:rsidR="00064409">
        <w:rPr>
          <w:rFonts w:ascii="Arial" w:eastAsia="Calibri" w:hAnsi="Arial" w:cs="Arial"/>
          <w:bCs/>
          <w:sz w:val="22"/>
          <w:szCs w:val="22"/>
        </w:rPr>
        <w:t xml:space="preserve"> y no están destinados a la comparación de las ofertas</w:t>
      </w:r>
      <w:r w:rsidR="00E25DCE" w:rsidRPr="00B55C5C">
        <w:rPr>
          <w:rFonts w:ascii="Arial" w:eastAsia="Calibri" w:hAnsi="Arial" w:cs="Arial"/>
          <w:bCs/>
          <w:sz w:val="22"/>
          <w:szCs w:val="22"/>
        </w:rPr>
        <w:t>, salvo que excepcionalmente se permita lo contrario. Esto comoquiera que estos no se refieren a la oferta misma</w:t>
      </w:r>
      <w:r w:rsidR="00E25DCE">
        <w:rPr>
          <w:rFonts w:ascii="Arial" w:eastAsia="Calibri" w:hAnsi="Arial" w:cs="Arial"/>
          <w:bCs/>
          <w:sz w:val="22"/>
          <w:szCs w:val="22"/>
        </w:rPr>
        <w:t>,</w:t>
      </w:r>
      <w:r w:rsidR="00E25DCE" w:rsidRPr="00B55C5C">
        <w:rPr>
          <w:rFonts w:ascii="Arial" w:eastAsia="Calibri" w:hAnsi="Arial" w:cs="Arial"/>
          <w:bCs/>
          <w:sz w:val="22"/>
          <w:szCs w:val="22"/>
        </w:rPr>
        <w:t xml:space="preserve"> sino a la idoneidad </w:t>
      </w:r>
      <w:r w:rsidR="00064409">
        <w:rPr>
          <w:rFonts w:ascii="Arial" w:eastAsia="Calibri" w:hAnsi="Arial" w:cs="Arial"/>
          <w:bCs/>
          <w:sz w:val="22"/>
          <w:szCs w:val="22"/>
        </w:rPr>
        <w:t xml:space="preserve">y aptitud </w:t>
      </w:r>
      <w:r w:rsidR="00E25DCE" w:rsidRPr="00B55C5C">
        <w:rPr>
          <w:rFonts w:ascii="Arial" w:eastAsia="Calibri" w:hAnsi="Arial" w:cs="Arial"/>
          <w:bCs/>
          <w:sz w:val="22"/>
          <w:szCs w:val="22"/>
        </w:rPr>
        <w:t>del oferente para asumir adecuadamente la ejecución del contrato.</w:t>
      </w:r>
      <w:r w:rsidR="00E25DCE">
        <w:rPr>
          <w:rFonts w:ascii="Arial" w:eastAsia="Calibri" w:hAnsi="Arial" w:cs="Arial"/>
          <w:bCs/>
          <w:sz w:val="22"/>
          <w:szCs w:val="22"/>
        </w:rPr>
        <w:t xml:space="preserve"> </w:t>
      </w:r>
      <w:r w:rsidR="00E25DCE" w:rsidRPr="00B55C5C">
        <w:rPr>
          <w:rFonts w:ascii="Arial" w:eastAsia="Calibri" w:hAnsi="Arial" w:cs="Arial"/>
          <w:bCs/>
          <w:sz w:val="22"/>
          <w:szCs w:val="22"/>
        </w:rPr>
        <w:t xml:space="preserve">En este sentido, los requisitos </w:t>
      </w:r>
      <w:r w:rsidR="00E25DCE" w:rsidRPr="00B55C5C">
        <w:rPr>
          <w:rFonts w:ascii="Arial" w:eastAsia="Calibri" w:hAnsi="Arial" w:cs="Arial"/>
          <w:bCs/>
          <w:i/>
          <w:iCs/>
          <w:sz w:val="22"/>
          <w:szCs w:val="22"/>
        </w:rPr>
        <w:t xml:space="preserve">habilitantes </w:t>
      </w:r>
      <w:r w:rsidR="00E25DCE" w:rsidRPr="00B55C5C">
        <w:rPr>
          <w:rFonts w:ascii="Arial" w:eastAsia="Calibri" w:hAnsi="Arial" w:cs="Arial"/>
          <w:bCs/>
          <w:sz w:val="22"/>
          <w:szCs w:val="22"/>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r w:rsidR="00685908">
        <w:rPr>
          <w:rFonts w:ascii="Arial" w:eastAsia="Calibri" w:hAnsi="Arial" w:cs="Arial"/>
          <w:bCs/>
          <w:sz w:val="22"/>
          <w:szCs w:val="22"/>
        </w:rPr>
        <w:t xml:space="preserve"> </w:t>
      </w:r>
    </w:p>
    <w:p w14:paraId="19F04843" w14:textId="3CA996F2" w:rsidR="00E25DCE" w:rsidRDefault="007001A5" w:rsidP="00E25DCE">
      <w:pPr>
        <w:spacing w:before="120" w:after="120" w:line="276" w:lineRule="auto"/>
        <w:ind w:firstLine="708"/>
        <w:jc w:val="both"/>
        <w:rPr>
          <w:rFonts w:ascii="Arial" w:hAnsi="Arial" w:cs="Arial"/>
          <w:sz w:val="22"/>
          <w:szCs w:val="22"/>
          <w:lang w:val="es-ES"/>
        </w:rPr>
      </w:pPr>
      <w:r>
        <w:rPr>
          <w:rFonts w:ascii="Arial" w:hAnsi="Arial" w:cs="Arial"/>
          <w:sz w:val="22"/>
          <w:szCs w:val="22"/>
          <w:lang w:val="es-ES"/>
        </w:rPr>
        <w:t>De acuerdo</w:t>
      </w:r>
      <w:r w:rsidR="00801942">
        <w:rPr>
          <w:rFonts w:ascii="Arial" w:hAnsi="Arial" w:cs="Arial"/>
          <w:sz w:val="22"/>
          <w:szCs w:val="22"/>
          <w:lang w:val="es-ES"/>
        </w:rPr>
        <w:t xml:space="preserve"> con el</w:t>
      </w:r>
      <w:r>
        <w:rPr>
          <w:rFonts w:ascii="Arial" w:hAnsi="Arial" w:cs="Arial"/>
          <w:sz w:val="22"/>
          <w:szCs w:val="22"/>
          <w:lang w:val="es-ES"/>
        </w:rPr>
        <w:t xml:space="preserve"> </w:t>
      </w:r>
      <w:r w:rsidR="00801942" w:rsidRPr="000B22B3">
        <w:rPr>
          <w:rFonts w:ascii="Arial" w:eastAsia="Calibri" w:hAnsi="Arial" w:cs="Arial"/>
          <w:color w:val="000000" w:themeColor="text1"/>
          <w:sz w:val="22"/>
          <w:szCs w:val="22"/>
          <w:lang w:val="es-ES_tradnl"/>
        </w:rPr>
        <w:t>parágrafo primero del artículo 5 de la Ley 1150 de 2007</w:t>
      </w:r>
      <w:r w:rsidR="00E25DCE">
        <w:rPr>
          <w:rFonts w:ascii="Arial" w:hAnsi="Arial" w:cs="Arial"/>
          <w:sz w:val="22"/>
          <w:szCs w:val="22"/>
          <w:lang w:val="es-ES"/>
        </w:rPr>
        <w:t xml:space="preserve">, es posible concluir que, en los casos concretos, </w:t>
      </w:r>
      <w:r w:rsidR="00E25DCE" w:rsidRPr="003F1D48">
        <w:rPr>
          <w:rFonts w:ascii="Arial" w:hAnsi="Arial" w:cs="Arial"/>
          <w:sz w:val="22"/>
          <w:szCs w:val="22"/>
          <w:lang w:val="es-ES"/>
        </w:rPr>
        <w:t>una vez verificada la ausencia de requisitos y/o documentos de la oferta, para saber si se puede subsanar, la entidad estatal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w:t>
      </w:r>
      <w:r w:rsidR="00064409">
        <w:rPr>
          <w:rFonts w:ascii="Arial" w:hAnsi="Arial" w:cs="Arial"/>
          <w:sz w:val="22"/>
          <w:szCs w:val="22"/>
          <w:lang w:val="es-ES"/>
        </w:rPr>
        <w:t xml:space="preserve"> o que no se permita comparar las ofertas</w:t>
      </w:r>
      <w:r w:rsidR="00E25DCE" w:rsidRPr="003F1D48">
        <w:rPr>
          <w:rFonts w:ascii="Arial" w:hAnsi="Arial" w:cs="Arial"/>
          <w:sz w:val="22"/>
          <w:szCs w:val="22"/>
          <w:lang w:val="es-ES"/>
        </w:rPr>
        <w:t>, y la respuesta al segundo interrogante debe dar cuenta de que lo omitido sea la prueba de una circunstancia o hecho que ocurrió con anterioridad al cierre del proceso.</w:t>
      </w:r>
    </w:p>
    <w:p w14:paraId="4208F8CD" w14:textId="51108E57" w:rsidR="00296FD4" w:rsidRPr="000B22B3" w:rsidRDefault="004F4122" w:rsidP="0003011E">
      <w:pPr>
        <w:spacing w:after="120" w:line="276" w:lineRule="auto"/>
        <w:ind w:firstLine="708"/>
        <w:jc w:val="both"/>
        <w:rPr>
          <w:rFonts w:ascii="Arial" w:hAnsi="Arial" w:cs="Arial"/>
          <w:color w:val="000000" w:themeColor="text1"/>
          <w:sz w:val="22"/>
          <w:lang w:val="es-ES_tradnl"/>
        </w:rPr>
      </w:pPr>
      <w:r>
        <w:rPr>
          <w:rFonts w:ascii="Arial" w:hAnsi="Arial" w:cs="Arial"/>
          <w:sz w:val="22"/>
          <w:szCs w:val="22"/>
          <w:lang w:val="es-ES"/>
        </w:rPr>
        <w:lastRenderedPageBreak/>
        <w:t>El F</w:t>
      </w:r>
      <w:r w:rsidRPr="004F4122">
        <w:rPr>
          <w:rFonts w:ascii="Arial" w:hAnsi="Arial" w:cs="Arial"/>
          <w:sz w:val="22"/>
          <w:szCs w:val="22"/>
          <w:lang w:val="es-ES"/>
        </w:rPr>
        <w:t xml:space="preserve">ormato </w:t>
      </w:r>
      <w:r w:rsidR="00B50EF0" w:rsidRPr="004F4122">
        <w:rPr>
          <w:rFonts w:ascii="Arial" w:hAnsi="Arial" w:cs="Arial"/>
          <w:sz w:val="22"/>
          <w:szCs w:val="22"/>
          <w:lang w:val="es-ES"/>
        </w:rPr>
        <w:t xml:space="preserve">10 </w:t>
      </w:r>
      <w:r w:rsidR="00B50EF0">
        <w:rPr>
          <w:rFonts w:ascii="Arial" w:hAnsi="Arial" w:cs="Arial"/>
          <w:sz w:val="22"/>
          <w:szCs w:val="22"/>
          <w:lang w:val="es-ES"/>
        </w:rPr>
        <w:t>está</w:t>
      </w:r>
      <w:r>
        <w:rPr>
          <w:rFonts w:ascii="Arial" w:hAnsi="Arial" w:cs="Arial"/>
          <w:sz w:val="22"/>
          <w:szCs w:val="22"/>
          <w:lang w:val="es-ES"/>
        </w:rPr>
        <w:t xml:space="preserve"> dirigido a acreditar los supuestos de hecho </w:t>
      </w:r>
      <w:r w:rsidR="00E049E3">
        <w:rPr>
          <w:rFonts w:ascii="Arial" w:hAnsi="Arial" w:cs="Arial"/>
          <w:sz w:val="22"/>
          <w:szCs w:val="22"/>
          <w:lang w:val="es-ES"/>
        </w:rPr>
        <w:t xml:space="preserve">los factores de </w:t>
      </w:r>
      <w:r w:rsidRPr="004F4122">
        <w:rPr>
          <w:rFonts w:ascii="Arial" w:hAnsi="Arial" w:cs="Arial"/>
          <w:sz w:val="22"/>
          <w:szCs w:val="22"/>
          <w:lang w:val="es-ES"/>
        </w:rPr>
        <w:t>factores de desempate</w:t>
      </w:r>
      <w:r w:rsidR="00E049E3">
        <w:rPr>
          <w:rFonts w:ascii="Arial" w:hAnsi="Arial" w:cs="Arial"/>
          <w:sz w:val="22"/>
          <w:szCs w:val="22"/>
          <w:lang w:val="es-ES"/>
        </w:rPr>
        <w:t>, mientras que el</w:t>
      </w:r>
      <w:r w:rsidR="00B50EF0">
        <w:rPr>
          <w:rFonts w:ascii="Arial" w:hAnsi="Arial" w:cs="Arial"/>
          <w:sz w:val="22"/>
          <w:szCs w:val="22"/>
          <w:lang w:val="es-ES"/>
        </w:rPr>
        <w:t xml:space="preserve"> </w:t>
      </w:r>
      <w:r w:rsidR="00B15023">
        <w:rPr>
          <w:rFonts w:ascii="Arial" w:hAnsi="Arial" w:cs="Arial"/>
          <w:sz w:val="22"/>
          <w:szCs w:val="22"/>
          <w:lang w:val="es-ES"/>
        </w:rPr>
        <w:t xml:space="preserve">Formato </w:t>
      </w:r>
      <w:r w:rsidRPr="004F4122">
        <w:rPr>
          <w:rFonts w:ascii="Arial" w:hAnsi="Arial" w:cs="Arial"/>
          <w:sz w:val="22"/>
          <w:szCs w:val="22"/>
          <w:lang w:val="es-ES"/>
        </w:rPr>
        <w:t xml:space="preserve">11 </w:t>
      </w:r>
      <w:r w:rsidR="00E049E3">
        <w:rPr>
          <w:rFonts w:ascii="Arial" w:hAnsi="Arial" w:cs="Arial"/>
          <w:sz w:val="22"/>
          <w:szCs w:val="22"/>
          <w:lang w:val="es-ES"/>
        </w:rPr>
        <w:t>es el</w:t>
      </w:r>
      <w:r w:rsidR="00B50EF0">
        <w:rPr>
          <w:rFonts w:ascii="Arial" w:hAnsi="Arial" w:cs="Arial"/>
          <w:sz w:val="22"/>
          <w:szCs w:val="22"/>
          <w:lang w:val="es-ES"/>
        </w:rPr>
        <w:t xml:space="preserve"> documento</w:t>
      </w:r>
      <w:r w:rsidR="00E049E3">
        <w:rPr>
          <w:rFonts w:ascii="Arial" w:hAnsi="Arial" w:cs="Arial"/>
          <w:sz w:val="22"/>
          <w:szCs w:val="22"/>
          <w:lang w:val="es-ES"/>
        </w:rPr>
        <w:t xml:space="preserve"> </w:t>
      </w:r>
      <w:r w:rsidR="00B15023">
        <w:rPr>
          <w:rFonts w:ascii="Arial" w:hAnsi="Arial" w:cs="Arial"/>
          <w:sz w:val="22"/>
          <w:szCs w:val="22"/>
          <w:lang w:val="es-ES"/>
        </w:rPr>
        <w:t>donde se</w:t>
      </w:r>
      <w:r w:rsidR="00E049E3">
        <w:rPr>
          <w:rFonts w:ascii="Arial" w:hAnsi="Arial" w:cs="Arial"/>
          <w:sz w:val="22"/>
          <w:szCs w:val="22"/>
          <w:lang w:val="es-ES"/>
        </w:rPr>
        <w:t xml:space="preserve"> </w:t>
      </w:r>
      <w:r w:rsidR="00B15023">
        <w:rPr>
          <w:rFonts w:ascii="Arial" w:hAnsi="Arial" w:cs="Arial"/>
          <w:sz w:val="22"/>
          <w:szCs w:val="22"/>
          <w:lang w:val="es-ES"/>
        </w:rPr>
        <w:t>debe</w:t>
      </w:r>
      <w:r w:rsidR="00E049E3">
        <w:rPr>
          <w:rFonts w:ascii="Arial" w:hAnsi="Arial" w:cs="Arial"/>
          <w:sz w:val="22"/>
          <w:szCs w:val="22"/>
          <w:lang w:val="es-ES"/>
        </w:rPr>
        <w:t xml:space="preserve"> recoger el consentimiento de los proponentes para el </w:t>
      </w:r>
      <w:r w:rsidRPr="004F4122">
        <w:rPr>
          <w:rFonts w:ascii="Arial" w:hAnsi="Arial" w:cs="Arial"/>
          <w:sz w:val="22"/>
          <w:szCs w:val="22"/>
          <w:lang w:val="es-ES"/>
        </w:rPr>
        <w:t>tratamiento de</w:t>
      </w:r>
      <w:r w:rsidR="00B15023">
        <w:rPr>
          <w:rFonts w:ascii="Arial" w:hAnsi="Arial" w:cs="Arial"/>
          <w:sz w:val="22"/>
          <w:szCs w:val="22"/>
          <w:lang w:val="es-ES"/>
        </w:rPr>
        <w:t xml:space="preserve"> los</w:t>
      </w:r>
      <w:r w:rsidRPr="004F4122">
        <w:rPr>
          <w:rFonts w:ascii="Arial" w:hAnsi="Arial" w:cs="Arial"/>
          <w:sz w:val="22"/>
          <w:szCs w:val="22"/>
          <w:lang w:val="es-ES"/>
        </w:rPr>
        <w:t xml:space="preserve"> datos sensibles</w:t>
      </w:r>
      <w:r w:rsidR="00E049E3">
        <w:rPr>
          <w:rFonts w:ascii="Arial" w:hAnsi="Arial" w:cs="Arial"/>
          <w:sz w:val="22"/>
          <w:szCs w:val="22"/>
          <w:lang w:val="es-ES"/>
        </w:rPr>
        <w:t xml:space="preserve"> asociados a la acreditación de los factores de desempate. </w:t>
      </w:r>
      <w:r w:rsidR="00201B06" w:rsidRPr="000B22B3">
        <w:rPr>
          <w:rFonts w:ascii="Arial" w:eastAsia="Calibri" w:hAnsi="Arial" w:cs="Arial"/>
          <w:color w:val="000000" w:themeColor="text1"/>
          <w:sz w:val="22"/>
          <w:szCs w:val="22"/>
          <w:lang w:val="es-ES_tradnl"/>
        </w:rPr>
        <w:t>Analizad</w:t>
      </w:r>
      <w:r w:rsidR="00801942">
        <w:rPr>
          <w:rFonts w:ascii="Arial" w:eastAsia="Calibri" w:hAnsi="Arial" w:cs="Arial"/>
          <w:color w:val="000000" w:themeColor="text1"/>
          <w:sz w:val="22"/>
          <w:szCs w:val="22"/>
          <w:lang w:val="es-ES_tradnl"/>
        </w:rPr>
        <w:t xml:space="preserve">os </w:t>
      </w:r>
      <w:r w:rsidR="00B50EF0">
        <w:rPr>
          <w:rFonts w:ascii="Arial" w:eastAsia="Calibri" w:hAnsi="Arial" w:cs="Arial"/>
          <w:color w:val="000000" w:themeColor="text1"/>
          <w:sz w:val="22"/>
          <w:szCs w:val="22"/>
          <w:lang w:val="es-ES_tradnl"/>
        </w:rPr>
        <w:t>dichos</w:t>
      </w:r>
      <w:r w:rsidR="00C91611">
        <w:rPr>
          <w:rFonts w:ascii="Arial" w:eastAsia="Calibri" w:hAnsi="Arial" w:cs="Arial"/>
          <w:color w:val="000000" w:themeColor="text1"/>
          <w:sz w:val="22"/>
          <w:szCs w:val="22"/>
          <w:lang w:val="es-ES_tradnl"/>
        </w:rPr>
        <w:t xml:space="preserve"> </w:t>
      </w:r>
      <w:r w:rsidR="00B50EF0">
        <w:rPr>
          <w:rFonts w:ascii="Arial" w:eastAsia="Calibri" w:hAnsi="Arial" w:cs="Arial"/>
          <w:color w:val="000000" w:themeColor="text1"/>
          <w:sz w:val="22"/>
          <w:szCs w:val="22"/>
          <w:lang w:val="es-ES_tradnl"/>
        </w:rPr>
        <w:t>f</w:t>
      </w:r>
      <w:r w:rsidR="00C91611">
        <w:rPr>
          <w:rFonts w:ascii="Arial" w:eastAsia="Calibri" w:hAnsi="Arial" w:cs="Arial"/>
          <w:color w:val="000000" w:themeColor="text1"/>
          <w:sz w:val="22"/>
          <w:szCs w:val="22"/>
          <w:lang w:val="es-ES_tradnl"/>
        </w:rPr>
        <w:t>ormatos</w:t>
      </w:r>
      <w:r w:rsidR="00B50EF0">
        <w:rPr>
          <w:rFonts w:ascii="Arial" w:eastAsia="Calibri" w:hAnsi="Arial" w:cs="Arial"/>
          <w:color w:val="000000" w:themeColor="text1"/>
          <w:sz w:val="22"/>
          <w:szCs w:val="22"/>
          <w:lang w:val="es-ES_tradnl"/>
        </w:rPr>
        <w:t xml:space="preserve"> </w:t>
      </w:r>
      <w:r w:rsidR="00F734F2">
        <w:rPr>
          <w:rFonts w:ascii="Arial" w:eastAsia="Calibri" w:hAnsi="Arial" w:cs="Arial"/>
          <w:color w:val="000000" w:themeColor="text1"/>
          <w:sz w:val="22"/>
          <w:szCs w:val="22"/>
          <w:lang w:val="es-ES_tradnl"/>
        </w:rPr>
        <w:t xml:space="preserve">a </w:t>
      </w:r>
      <w:r w:rsidR="00201B06" w:rsidRPr="000B22B3">
        <w:rPr>
          <w:rFonts w:ascii="Arial" w:eastAsia="Calibri" w:hAnsi="Arial" w:cs="Arial"/>
          <w:color w:val="000000" w:themeColor="text1"/>
          <w:sz w:val="22"/>
          <w:szCs w:val="22"/>
          <w:lang w:val="es-ES_tradnl"/>
        </w:rPr>
        <w:t>la</w:t>
      </w:r>
      <w:r w:rsidR="00F734F2">
        <w:rPr>
          <w:rFonts w:ascii="Arial" w:eastAsia="Calibri" w:hAnsi="Arial" w:cs="Arial"/>
          <w:color w:val="000000" w:themeColor="text1"/>
          <w:sz w:val="22"/>
          <w:szCs w:val="22"/>
          <w:lang w:val="es-ES_tradnl"/>
        </w:rPr>
        <w:t xml:space="preserve"> luz de</w:t>
      </w:r>
      <w:r w:rsidR="00201B06" w:rsidRPr="000B22B3">
        <w:rPr>
          <w:rFonts w:ascii="Arial" w:eastAsia="Calibri" w:hAnsi="Arial" w:cs="Arial"/>
          <w:color w:val="000000" w:themeColor="text1"/>
          <w:sz w:val="22"/>
          <w:szCs w:val="22"/>
          <w:lang w:val="es-ES_tradnl"/>
        </w:rPr>
        <w:t xml:space="preserve"> regla </w:t>
      </w:r>
      <w:r w:rsidR="00F734F2">
        <w:rPr>
          <w:rFonts w:ascii="Arial" w:eastAsia="Calibri" w:hAnsi="Arial" w:cs="Arial"/>
          <w:color w:val="000000" w:themeColor="text1"/>
          <w:sz w:val="22"/>
          <w:szCs w:val="22"/>
          <w:lang w:val="es-ES_tradnl"/>
        </w:rPr>
        <w:t xml:space="preserve">general </w:t>
      </w:r>
      <w:r w:rsidR="00201B06" w:rsidRPr="000B22B3">
        <w:rPr>
          <w:rFonts w:ascii="Arial" w:eastAsia="Calibri" w:hAnsi="Arial" w:cs="Arial"/>
          <w:color w:val="000000" w:themeColor="text1"/>
          <w:sz w:val="22"/>
          <w:szCs w:val="22"/>
          <w:lang w:val="es-ES_tradnl"/>
        </w:rPr>
        <w:t>del parágrafo primero del artículo 5 de la Ley 1150 de 2007</w:t>
      </w:r>
      <w:r w:rsidR="00201B06" w:rsidRPr="000B22B3">
        <w:rPr>
          <w:rFonts w:ascii="Arial" w:hAnsi="Arial" w:cs="Arial"/>
          <w:color w:val="000000" w:themeColor="text1"/>
          <w:sz w:val="22"/>
          <w:lang w:val="es-ES_tradnl"/>
        </w:rPr>
        <w:t>,</w:t>
      </w:r>
      <w:r w:rsidR="00F734F2">
        <w:rPr>
          <w:rFonts w:ascii="Arial" w:hAnsi="Arial" w:cs="Arial"/>
          <w:color w:val="000000" w:themeColor="text1"/>
          <w:sz w:val="22"/>
          <w:lang w:val="es-ES_tradnl"/>
        </w:rPr>
        <w:t xml:space="preserve"> se advierte que los mismos son documentos relacionados</w:t>
      </w:r>
      <w:r w:rsidR="00F25B2A">
        <w:rPr>
          <w:rFonts w:ascii="Arial" w:hAnsi="Arial" w:cs="Arial"/>
          <w:color w:val="000000" w:themeColor="text1"/>
          <w:sz w:val="22"/>
          <w:lang w:val="es-ES_tradnl"/>
        </w:rPr>
        <w:t xml:space="preserve"> con la acreditación de los factores de desempate, </w:t>
      </w:r>
      <w:r w:rsidR="00296FD4">
        <w:rPr>
          <w:rFonts w:ascii="Arial" w:hAnsi="Arial" w:cs="Arial"/>
          <w:color w:val="000000" w:themeColor="text1"/>
          <w:sz w:val="22"/>
          <w:lang w:val="es-ES_tradnl"/>
        </w:rPr>
        <w:t>que,</w:t>
      </w:r>
      <w:r w:rsidR="00F25B2A">
        <w:rPr>
          <w:rFonts w:ascii="Arial" w:hAnsi="Arial" w:cs="Arial"/>
          <w:color w:val="000000" w:themeColor="text1"/>
          <w:sz w:val="22"/>
          <w:lang w:val="es-ES_tradnl"/>
        </w:rPr>
        <w:t xml:space="preserve"> si bien en principio no afectan </w:t>
      </w:r>
      <w:r w:rsidR="00201B06" w:rsidRPr="000B22B3">
        <w:rPr>
          <w:rFonts w:ascii="Arial" w:hAnsi="Arial" w:cs="Arial"/>
          <w:color w:val="000000" w:themeColor="text1"/>
          <w:sz w:val="22"/>
          <w:lang w:val="es-ES_tradnl"/>
        </w:rPr>
        <w:t>la asignación de puntaje</w:t>
      </w:r>
      <w:r w:rsidR="00F25B2A">
        <w:rPr>
          <w:rFonts w:ascii="Arial" w:hAnsi="Arial" w:cs="Arial"/>
          <w:color w:val="000000" w:themeColor="text1"/>
          <w:sz w:val="22"/>
          <w:lang w:val="es-ES_tradnl"/>
        </w:rPr>
        <w:t>, eventualmente, pueden ser determinantes para la comparación de ofertas en caso de presentarse un empate</w:t>
      </w:r>
      <w:r w:rsidR="00201B06" w:rsidRPr="000B22B3">
        <w:rPr>
          <w:rFonts w:ascii="Arial" w:hAnsi="Arial" w:cs="Arial"/>
          <w:color w:val="000000" w:themeColor="text1"/>
          <w:sz w:val="22"/>
          <w:lang w:val="es-ES_tradnl"/>
        </w:rPr>
        <w:t xml:space="preserve">. </w:t>
      </w:r>
      <w:r w:rsidR="00296FD4" w:rsidRPr="000B22B3">
        <w:rPr>
          <w:rFonts w:ascii="Arial" w:hAnsi="Arial" w:cs="Arial"/>
          <w:color w:val="000000" w:themeColor="text1"/>
          <w:sz w:val="22"/>
          <w:lang w:val="es-ES_tradnl"/>
        </w:rPr>
        <w:t xml:space="preserve">Por tanto, dado que los factores de desempate influyen en la ponderación de las ofertas presentadas, la acreditación de </w:t>
      </w:r>
      <w:proofErr w:type="gramStart"/>
      <w:r w:rsidR="00B50EF0">
        <w:rPr>
          <w:rFonts w:ascii="Arial" w:hAnsi="Arial" w:cs="Arial"/>
          <w:color w:val="000000" w:themeColor="text1"/>
          <w:sz w:val="22"/>
          <w:lang w:val="es-ES_tradnl"/>
        </w:rPr>
        <w:t>los mismos</w:t>
      </w:r>
      <w:proofErr w:type="gramEnd"/>
      <w:r w:rsidR="00B50EF0">
        <w:rPr>
          <w:rFonts w:ascii="Arial" w:hAnsi="Arial" w:cs="Arial"/>
          <w:color w:val="000000" w:themeColor="text1"/>
          <w:sz w:val="22"/>
          <w:lang w:val="es-ES_tradnl"/>
        </w:rPr>
        <w:t xml:space="preserve"> es </w:t>
      </w:r>
      <w:r w:rsidR="00296FD4" w:rsidRPr="000B22B3">
        <w:rPr>
          <w:rFonts w:ascii="Arial" w:hAnsi="Arial" w:cs="Arial"/>
          <w:color w:val="000000" w:themeColor="text1"/>
          <w:sz w:val="22"/>
          <w:lang w:val="es-ES_tradnl"/>
        </w:rPr>
        <w:t xml:space="preserve">insubsanable, pues no son criterios puramente formales de las propuestas ni requisitos para la verificación de las condiciones habilitantes. </w:t>
      </w:r>
    </w:p>
    <w:p w14:paraId="4CC07AEF" w14:textId="071AB8AB" w:rsidR="00E25DCE" w:rsidRDefault="004F4122" w:rsidP="0003011E">
      <w:pPr>
        <w:spacing w:before="120" w:line="276" w:lineRule="auto"/>
        <w:ind w:firstLine="708"/>
        <w:jc w:val="both"/>
        <w:rPr>
          <w:rFonts w:ascii="Arial" w:hAnsi="Arial" w:cs="Arial"/>
          <w:sz w:val="22"/>
          <w:szCs w:val="22"/>
        </w:rPr>
      </w:pPr>
      <w:r>
        <w:rPr>
          <w:rFonts w:ascii="Arial" w:hAnsi="Arial" w:cs="Arial"/>
          <w:sz w:val="22"/>
          <w:szCs w:val="22"/>
        </w:rPr>
        <w:t>Sin perjuicio de lo anterior</w:t>
      </w:r>
      <w:r w:rsidR="006372B8">
        <w:rPr>
          <w:rFonts w:ascii="Arial" w:hAnsi="Arial" w:cs="Arial"/>
          <w:sz w:val="22"/>
          <w:szCs w:val="22"/>
        </w:rPr>
        <w:t>,</w:t>
      </w:r>
      <w:r w:rsidR="00685908">
        <w:rPr>
          <w:rFonts w:ascii="Arial" w:hAnsi="Arial" w:cs="Arial"/>
          <w:sz w:val="22"/>
          <w:szCs w:val="22"/>
        </w:rPr>
        <w:t xml:space="preserve"> </w:t>
      </w:r>
      <w:r w:rsidR="00E25DCE" w:rsidRPr="00B55C5C">
        <w:rPr>
          <w:rFonts w:ascii="Arial" w:hAnsi="Arial" w:cs="Arial"/>
          <w:sz w:val="22"/>
          <w:szCs w:val="22"/>
        </w:rPr>
        <w:t xml:space="preserve">si el proponente no cumple con ninguno de los factores de desempate establecidos en el artículo 35 de la Ley 2069 de 2020 y recopilados en el </w:t>
      </w:r>
      <w:r w:rsidR="00E25DCE">
        <w:rPr>
          <w:rFonts w:ascii="Arial" w:hAnsi="Arial" w:cs="Arial"/>
          <w:sz w:val="22"/>
          <w:szCs w:val="22"/>
        </w:rPr>
        <w:t>F</w:t>
      </w:r>
      <w:r w:rsidR="00E25DCE" w:rsidRPr="00B55C5C">
        <w:rPr>
          <w:rFonts w:ascii="Arial" w:hAnsi="Arial" w:cs="Arial"/>
          <w:sz w:val="22"/>
          <w:szCs w:val="22"/>
        </w:rPr>
        <w:t>ormato 10 de los documentos tipo, no</w:t>
      </w:r>
      <w:r w:rsidR="00E25DCE">
        <w:rPr>
          <w:rFonts w:ascii="Arial" w:hAnsi="Arial" w:cs="Arial"/>
          <w:sz w:val="22"/>
          <w:szCs w:val="22"/>
        </w:rPr>
        <w:t xml:space="preserve"> estará obligado a </w:t>
      </w:r>
      <w:r w:rsidR="00E25DCE" w:rsidRPr="00B55C5C">
        <w:rPr>
          <w:rFonts w:ascii="Arial" w:hAnsi="Arial" w:cs="Arial"/>
          <w:sz w:val="22"/>
          <w:szCs w:val="22"/>
        </w:rPr>
        <w:t>presentar</w:t>
      </w:r>
      <w:r w:rsidR="00E25DCE">
        <w:rPr>
          <w:rFonts w:ascii="Arial" w:hAnsi="Arial" w:cs="Arial"/>
          <w:sz w:val="22"/>
          <w:szCs w:val="22"/>
        </w:rPr>
        <w:t xml:space="preserve"> </w:t>
      </w:r>
      <w:r w:rsidR="006372B8">
        <w:rPr>
          <w:rFonts w:ascii="Arial" w:hAnsi="Arial" w:cs="Arial"/>
          <w:sz w:val="22"/>
          <w:szCs w:val="22"/>
        </w:rPr>
        <w:t xml:space="preserve">dicho formato, </w:t>
      </w:r>
      <w:r w:rsidR="00E25DCE">
        <w:rPr>
          <w:rFonts w:ascii="Arial" w:hAnsi="Arial" w:cs="Arial"/>
          <w:sz w:val="22"/>
          <w:szCs w:val="22"/>
        </w:rPr>
        <w:t xml:space="preserve">ni </w:t>
      </w:r>
      <w:r w:rsidR="006372B8">
        <w:rPr>
          <w:rFonts w:ascii="Arial" w:hAnsi="Arial" w:cs="Arial"/>
          <w:sz w:val="22"/>
          <w:szCs w:val="22"/>
        </w:rPr>
        <w:t>tampoco el numerado con el</w:t>
      </w:r>
      <w:r w:rsidR="00E25DCE" w:rsidRPr="00B55C5C">
        <w:rPr>
          <w:rFonts w:ascii="Arial" w:hAnsi="Arial" w:cs="Arial"/>
          <w:sz w:val="22"/>
          <w:szCs w:val="22"/>
        </w:rPr>
        <w:t xml:space="preserve"> 11, </w:t>
      </w:r>
      <w:r w:rsidR="00CC410C">
        <w:rPr>
          <w:rFonts w:ascii="Arial" w:hAnsi="Arial" w:cs="Arial"/>
          <w:sz w:val="22"/>
          <w:szCs w:val="22"/>
        </w:rPr>
        <w:t xml:space="preserve">al no </w:t>
      </w:r>
      <w:r w:rsidR="00E25DCE">
        <w:rPr>
          <w:rFonts w:ascii="Arial" w:hAnsi="Arial" w:cs="Arial"/>
          <w:sz w:val="22"/>
          <w:szCs w:val="22"/>
        </w:rPr>
        <w:t>acreditar</w:t>
      </w:r>
      <w:r w:rsidR="00CC410C">
        <w:rPr>
          <w:rFonts w:ascii="Arial" w:hAnsi="Arial" w:cs="Arial"/>
          <w:sz w:val="22"/>
          <w:szCs w:val="22"/>
        </w:rPr>
        <w:t>se</w:t>
      </w:r>
      <w:r w:rsidR="00E25DCE">
        <w:rPr>
          <w:rFonts w:ascii="Arial" w:hAnsi="Arial" w:cs="Arial"/>
          <w:sz w:val="22"/>
          <w:szCs w:val="22"/>
        </w:rPr>
        <w:t xml:space="preserve"> factores de desempate y no</w:t>
      </w:r>
      <w:r w:rsidR="00E25DCE" w:rsidRPr="00B55C5C">
        <w:rPr>
          <w:rFonts w:ascii="Arial" w:hAnsi="Arial" w:cs="Arial"/>
          <w:sz w:val="22"/>
          <w:szCs w:val="22"/>
        </w:rPr>
        <w:t xml:space="preserve"> exist</w:t>
      </w:r>
      <w:r w:rsidR="00CC410C">
        <w:rPr>
          <w:rFonts w:ascii="Arial" w:hAnsi="Arial" w:cs="Arial"/>
          <w:sz w:val="22"/>
          <w:szCs w:val="22"/>
        </w:rPr>
        <w:t>ir</w:t>
      </w:r>
      <w:r w:rsidR="00E25DCE" w:rsidRPr="00B55C5C">
        <w:rPr>
          <w:rFonts w:ascii="Arial" w:hAnsi="Arial" w:cs="Arial"/>
          <w:sz w:val="22"/>
          <w:szCs w:val="22"/>
        </w:rPr>
        <w:t xml:space="preserve"> información sensible que</w:t>
      </w:r>
      <w:r w:rsidR="00E25DCE">
        <w:rPr>
          <w:rFonts w:ascii="Arial" w:hAnsi="Arial" w:cs="Arial"/>
          <w:sz w:val="22"/>
          <w:szCs w:val="22"/>
        </w:rPr>
        <w:t xml:space="preserve"> la entidad estatal deba</w:t>
      </w:r>
      <w:r w:rsidR="00E25DCE" w:rsidRPr="00B55C5C">
        <w:rPr>
          <w:rFonts w:ascii="Arial" w:hAnsi="Arial" w:cs="Arial"/>
          <w:sz w:val="22"/>
          <w:szCs w:val="22"/>
        </w:rPr>
        <w:t xml:space="preserve"> manejar</w:t>
      </w:r>
      <w:r w:rsidR="00CC410C">
        <w:rPr>
          <w:rFonts w:ascii="Arial" w:hAnsi="Arial" w:cs="Arial"/>
          <w:sz w:val="22"/>
          <w:szCs w:val="22"/>
        </w:rPr>
        <w:t xml:space="preserve"> con relación a los mismos. </w:t>
      </w:r>
    </w:p>
    <w:p w14:paraId="2E4D7572" w14:textId="77777777" w:rsidR="00CC410C" w:rsidRDefault="00CC410C" w:rsidP="0003011E">
      <w:pPr>
        <w:spacing w:after="120" w:line="276" w:lineRule="auto"/>
        <w:jc w:val="both"/>
        <w:rPr>
          <w:rFonts w:ascii="Arial" w:hAnsi="Arial" w:cs="Arial"/>
          <w:sz w:val="22"/>
          <w:szCs w:val="22"/>
        </w:rPr>
      </w:pPr>
    </w:p>
    <w:p w14:paraId="5F50678A" w14:textId="77777777" w:rsidR="008F1F27" w:rsidRPr="00924DEF" w:rsidRDefault="008F1F27" w:rsidP="008F1F27">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2AA109C0" w14:textId="77777777" w:rsidR="008F1F27" w:rsidRPr="00924DEF" w:rsidRDefault="008F1F27" w:rsidP="008F1F27">
      <w:pPr>
        <w:jc w:val="both"/>
        <w:rPr>
          <w:rFonts w:ascii="Arial" w:eastAsia="Calibri" w:hAnsi="Arial" w:cs="Arial"/>
          <w:sz w:val="22"/>
          <w:szCs w:val="22"/>
          <w:lang w:val="es-ES"/>
        </w:rPr>
      </w:pPr>
    </w:p>
    <w:p w14:paraId="7EFFE4CF" w14:textId="77777777" w:rsidR="008F1F27" w:rsidRPr="00924DEF" w:rsidRDefault="008F1F27" w:rsidP="008F1F27">
      <w:pPr>
        <w:jc w:val="both"/>
        <w:rPr>
          <w:rFonts w:ascii="Arial" w:hAnsi="Arial" w:cs="Arial"/>
          <w:sz w:val="22"/>
          <w:szCs w:val="22"/>
          <w:lang w:val="es-ES" w:eastAsia="es-CO"/>
        </w:rPr>
      </w:pPr>
      <w:r w:rsidRPr="60CF8755">
        <w:rPr>
          <w:rFonts w:ascii="Arial" w:hAnsi="Arial" w:cs="Arial"/>
          <w:sz w:val="22"/>
          <w:szCs w:val="22"/>
          <w:lang w:val="es-ES" w:eastAsia="es-CO"/>
        </w:rPr>
        <w:t>Atentamente,</w:t>
      </w:r>
    </w:p>
    <w:p w14:paraId="39F9E624" w14:textId="5DDEA651" w:rsidR="008F1F27" w:rsidRPr="0008465D" w:rsidRDefault="60CF8755" w:rsidP="60CF8755">
      <w:pPr>
        <w:jc w:val="center"/>
        <w:rPr>
          <w:lang w:val="es-ES" w:eastAsia="es-CO"/>
        </w:rPr>
      </w:pPr>
      <w:r>
        <w:rPr>
          <w:noProof/>
        </w:rPr>
        <w:drawing>
          <wp:inline distT="0" distB="0" distL="0" distR="0" wp14:anchorId="4B1B5AF1" wp14:editId="60CF8755">
            <wp:extent cx="2514600" cy="1114425"/>
            <wp:effectExtent l="0" t="0" r="0" b="0"/>
            <wp:docPr id="832052313" name="Imagen 8320523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8F1F27">
        <w:br/>
      </w:r>
    </w:p>
    <w:p w14:paraId="42FEC02E" w14:textId="77777777" w:rsidR="008F1F27" w:rsidRPr="0008465D" w:rsidRDefault="008F1F27" w:rsidP="008F1F2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F1F27" w:rsidRPr="0008465D" w14:paraId="0ADD22D4" w14:textId="77777777" w:rsidTr="00B10244">
        <w:trPr>
          <w:trHeight w:val="315"/>
        </w:trPr>
        <w:tc>
          <w:tcPr>
            <w:tcW w:w="812" w:type="dxa"/>
            <w:vAlign w:val="center"/>
            <w:hideMark/>
          </w:tcPr>
          <w:p w14:paraId="421F7B07"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CBF9EF9"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6E4291B8"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8F1F27" w:rsidRPr="0008465D" w14:paraId="157EA2CB" w14:textId="77777777" w:rsidTr="00B10244">
        <w:trPr>
          <w:trHeight w:val="330"/>
        </w:trPr>
        <w:tc>
          <w:tcPr>
            <w:tcW w:w="812" w:type="dxa"/>
            <w:vAlign w:val="center"/>
            <w:hideMark/>
          </w:tcPr>
          <w:p w14:paraId="608DD08B"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61CD16" w14:textId="77777777" w:rsidR="000A12D9" w:rsidRPr="009F5860" w:rsidRDefault="000A12D9" w:rsidP="000A12D9">
            <w:pPr>
              <w:rPr>
                <w:rFonts w:ascii="Arial" w:hAnsi="Arial" w:cs="Arial"/>
                <w:sz w:val="16"/>
                <w:szCs w:val="16"/>
                <w:lang w:val="es-ES" w:eastAsia="es-ES"/>
              </w:rPr>
            </w:pPr>
            <w:r w:rsidRPr="009F5860">
              <w:rPr>
                <w:rFonts w:ascii="Arial" w:hAnsi="Arial" w:cs="Arial"/>
                <w:sz w:val="16"/>
                <w:szCs w:val="16"/>
                <w:lang w:val="es-ES" w:eastAsia="es-ES"/>
              </w:rPr>
              <w:t>Alejandro Sarmiento Cantillo</w:t>
            </w:r>
          </w:p>
          <w:p w14:paraId="287116A6" w14:textId="0705837D" w:rsidR="008F1F27" w:rsidRPr="0008465D" w:rsidRDefault="000A12D9" w:rsidP="000A12D9">
            <w:pPr>
              <w:rPr>
                <w:rFonts w:ascii="Arial" w:hAnsi="Arial" w:cs="Arial"/>
                <w:sz w:val="16"/>
                <w:szCs w:val="16"/>
                <w:lang w:val="es-ES" w:eastAsia="es-ES"/>
              </w:rPr>
            </w:pPr>
            <w:r w:rsidRPr="009F5860">
              <w:rPr>
                <w:rFonts w:ascii="Arial" w:hAnsi="Arial" w:cs="Arial"/>
                <w:sz w:val="16"/>
                <w:szCs w:val="16"/>
                <w:lang w:val="es-ES" w:eastAsia="es-ES"/>
              </w:rPr>
              <w:t>Gestor T1-1</w:t>
            </w:r>
            <w:r>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p>
        </w:tc>
      </w:tr>
      <w:tr w:rsidR="008F1F27" w:rsidRPr="0008465D" w14:paraId="56EFC3BD" w14:textId="77777777" w:rsidTr="00B10244">
        <w:trPr>
          <w:trHeight w:val="300"/>
        </w:trPr>
        <w:tc>
          <w:tcPr>
            <w:tcW w:w="812" w:type="dxa"/>
            <w:vAlign w:val="center"/>
            <w:hideMark/>
          </w:tcPr>
          <w:p w14:paraId="3637F9F9"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7D9017"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180D728A" w14:textId="77777777" w:rsidR="008F1F27" w:rsidRPr="0008465D" w:rsidRDefault="008F1F27" w:rsidP="00B10244">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50A69111" w14:textId="77777777" w:rsidR="000B2F93" w:rsidRDefault="000B2F93" w:rsidP="008F1F27">
      <w:pPr>
        <w:spacing w:line="276" w:lineRule="auto"/>
      </w:pPr>
    </w:p>
    <w:sectPr w:rsidR="000B2F93"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B100" w14:textId="77777777" w:rsidR="00611918" w:rsidRDefault="00611918" w:rsidP="000B2F93">
      <w:r>
        <w:separator/>
      </w:r>
    </w:p>
  </w:endnote>
  <w:endnote w:type="continuationSeparator" w:id="0">
    <w:p w14:paraId="455C3925" w14:textId="77777777" w:rsidR="00611918" w:rsidRDefault="00611918" w:rsidP="000B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7096" w14:textId="77777777" w:rsidR="00387886" w:rsidRDefault="00611918" w:rsidP="007F1895">
    <w:pPr>
      <w:pStyle w:val="Sinespaciado"/>
      <w:jc w:val="right"/>
      <w:rPr>
        <w:rFonts w:ascii="Arial" w:hAnsi="Arial" w:cs="Arial"/>
        <w:sz w:val="18"/>
        <w:szCs w:val="18"/>
      </w:rPr>
    </w:pPr>
  </w:p>
  <w:p w14:paraId="6B8912A4" w14:textId="77777777" w:rsidR="00387886" w:rsidRDefault="00611918" w:rsidP="007F1895">
    <w:pPr>
      <w:pStyle w:val="Sinespaciado"/>
      <w:jc w:val="right"/>
      <w:rPr>
        <w:rFonts w:ascii="Arial" w:hAnsi="Arial" w:cs="Arial"/>
        <w:sz w:val="18"/>
        <w:szCs w:val="18"/>
      </w:rPr>
    </w:pPr>
  </w:p>
  <w:p w14:paraId="049D09DA" w14:textId="77777777" w:rsidR="00387886" w:rsidRPr="008217B7" w:rsidRDefault="007C2EF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78FB5CE" w14:textId="77777777" w:rsidR="00387886" w:rsidRDefault="007C2EF0" w:rsidP="007F1895">
    <w:pPr>
      <w:pStyle w:val="Piedepgina"/>
      <w:jc w:val="center"/>
      <w:rPr>
        <w:lang w:val="es-ES"/>
      </w:rPr>
    </w:pPr>
    <w:r>
      <w:rPr>
        <w:noProof/>
      </w:rPr>
      <w:drawing>
        <wp:inline distT="0" distB="0" distL="0" distR="0" wp14:anchorId="231BB9A0" wp14:editId="79ACFD46">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F3E6FDB" w14:textId="77777777" w:rsidR="00387886" w:rsidRPr="00E756AC" w:rsidRDefault="00611918" w:rsidP="007F1895">
    <w:pPr>
      <w:pStyle w:val="Piedepgina"/>
      <w:jc w:val="center"/>
      <w:rPr>
        <w:sz w:val="18"/>
        <w:szCs w:val="18"/>
        <w:lang w:val="es-ES"/>
      </w:rPr>
    </w:pPr>
  </w:p>
  <w:p w14:paraId="19562477" w14:textId="77777777" w:rsidR="00387886" w:rsidRPr="00E756AC" w:rsidRDefault="00611918"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34A9" w14:textId="77777777" w:rsidR="00611918" w:rsidRDefault="00611918" w:rsidP="000B2F93">
      <w:r>
        <w:separator/>
      </w:r>
    </w:p>
  </w:footnote>
  <w:footnote w:type="continuationSeparator" w:id="0">
    <w:p w14:paraId="4598A88D" w14:textId="77777777" w:rsidR="00611918" w:rsidRDefault="00611918" w:rsidP="000B2F93">
      <w:r>
        <w:continuationSeparator/>
      </w:r>
    </w:p>
  </w:footnote>
  <w:footnote w:id="1">
    <w:p w14:paraId="48549514" w14:textId="77777777" w:rsidR="00435999" w:rsidRPr="00427BDA" w:rsidRDefault="00435999" w:rsidP="00435999">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6FE7F874" w14:textId="77777777" w:rsidR="00435999" w:rsidRPr="00427BDA" w:rsidRDefault="00435999" w:rsidP="00435999">
      <w:pPr>
        <w:pStyle w:val="Textonotapie"/>
        <w:ind w:firstLine="709"/>
        <w:jc w:val="both"/>
        <w:rPr>
          <w:rFonts w:ascii="Arial" w:hAnsi="Arial" w:cs="Arial"/>
          <w:sz w:val="19"/>
          <w:szCs w:val="19"/>
          <w:lang w:val="es-ES"/>
        </w:rPr>
      </w:pPr>
    </w:p>
  </w:footnote>
  <w:footnote w:id="2">
    <w:p w14:paraId="31337254" w14:textId="77777777" w:rsidR="00435999" w:rsidRPr="00427BDA" w:rsidRDefault="00435999" w:rsidP="00435999">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1DB5C17B" w14:textId="77777777" w:rsidR="00435999" w:rsidRPr="00427BDA" w:rsidRDefault="00435999" w:rsidP="00435999">
      <w:pPr>
        <w:pStyle w:val="Textonotapie"/>
        <w:ind w:firstLine="709"/>
        <w:jc w:val="both"/>
        <w:rPr>
          <w:rFonts w:ascii="Arial" w:hAnsi="Arial" w:cs="Arial"/>
          <w:sz w:val="19"/>
          <w:szCs w:val="19"/>
          <w:lang w:val="es-ES"/>
        </w:rPr>
      </w:pPr>
    </w:p>
  </w:footnote>
  <w:footnote w:id="3">
    <w:p w14:paraId="60CC51AA" w14:textId="77777777" w:rsidR="00435999" w:rsidRPr="00427BDA" w:rsidRDefault="00435999" w:rsidP="00435999">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1965D9A0" w14:textId="77777777" w:rsidR="00435999" w:rsidRPr="00427BDA" w:rsidRDefault="00435999" w:rsidP="00435999">
      <w:pPr>
        <w:pStyle w:val="Textonotapie"/>
        <w:ind w:firstLine="709"/>
        <w:jc w:val="both"/>
        <w:rPr>
          <w:rFonts w:ascii="Arial" w:hAnsi="Arial" w:cs="Arial"/>
          <w:sz w:val="19"/>
          <w:szCs w:val="19"/>
          <w:lang w:val="es-CO"/>
        </w:rPr>
      </w:pPr>
    </w:p>
  </w:footnote>
  <w:footnote w:id="4">
    <w:p w14:paraId="5EFA52C5" w14:textId="77777777" w:rsidR="000D6091" w:rsidRPr="00364B91" w:rsidRDefault="000D6091" w:rsidP="000D6091">
      <w:pPr>
        <w:pStyle w:val="Textonotapie"/>
        <w:ind w:firstLine="708"/>
        <w:jc w:val="both"/>
        <w:rPr>
          <w:rStyle w:val="Hipervnculo1"/>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Texto del Proyecto de Ley 122 de 2020 Cámara. Exposición de motivos. Consultado el 29 de diciembre de 2021 en la página web: </w:t>
      </w:r>
      <w:hyperlink r:id="rId1" w:history="1">
        <w:r w:rsidRPr="00364B91">
          <w:rPr>
            <w:rStyle w:val="Hipervnculo1"/>
            <w:rFonts w:ascii="Arial" w:hAnsi="Arial" w:cs="Arial"/>
            <w:sz w:val="19"/>
            <w:szCs w:val="19"/>
          </w:rPr>
          <w:t>http://leyes.senado.gov.co/proyectos/index.php/textos-radicados-senado/p-ley-2020-2021/1957-proyecto-de-ley-161-de-2020</w:t>
        </w:r>
      </w:hyperlink>
    </w:p>
    <w:p w14:paraId="4446432E" w14:textId="77777777" w:rsidR="000D6091" w:rsidRPr="00364B91" w:rsidRDefault="000D6091" w:rsidP="000D6091">
      <w:pPr>
        <w:pStyle w:val="Textonotapie"/>
        <w:ind w:firstLine="708"/>
        <w:jc w:val="both"/>
        <w:rPr>
          <w:rFonts w:ascii="Arial" w:hAnsi="Arial" w:cs="Arial"/>
          <w:sz w:val="19"/>
          <w:szCs w:val="19"/>
        </w:rPr>
      </w:pPr>
    </w:p>
  </w:footnote>
  <w:footnote w:id="5">
    <w:p w14:paraId="568C1FF7" w14:textId="77777777" w:rsidR="000D6091" w:rsidRPr="00364B91" w:rsidRDefault="000D6091" w:rsidP="000D60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2 al 29.</w:t>
      </w:r>
    </w:p>
    <w:p w14:paraId="58B321EB" w14:textId="77777777" w:rsidR="000D6091" w:rsidRPr="00364B91" w:rsidRDefault="000D6091" w:rsidP="000D6091">
      <w:pPr>
        <w:pStyle w:val="Textonotapie"/>
        <w:ind w:firstLine="709"/>
        <w:jc w:val="both"/>
        <w:rPr>
          <w:rFonts w:ascii="Arial" w:hAnsi="Arial" w:cs="Arial"/>
          <w:sz w:val="19"/>
          <w:szCs w:val="19"/>
          <w:lang w:val="es-ES"/>
        </w:rPr>
      </w:pPr>
    </w:p>
  </w:footnote>
  <w:footnote w:id="6">
    <w:p w14:paraId="6B291061" w14:textId="77777777" w:rsidR="000D6091" w:rsidRPr="00364B91" w:rsidRDefault="000D6091" w:rsidP="000D60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30 al 36.</w:t>
      </w:r>
    </w:p>
    <w:p w14:paraId="21665B8A" w14:textId="77777777" w:rsidR="000D6091" w:rsidRPr="00364B91" w:rsidRDefault="000D6091" w:rsidP="000D6091">
      <w:pPr>
        <w:pStyle w:val="Textonotapie"/>
        <w:ind w:firstLine="709"/>
        <w:jc w:val="both"/>
        <w:rPr>
          <w:rFonts w:ascii="Arial" w:hAnsi="Arial" w:cs="Arial"/>
          <w:sz w:val="19"/>
          <w:szCs w:val="19"/>
          <w:lang w:val="es-ES"/>
        </w:rPr>
      </w:pPr>
    </w:p>
  </w:footnote>
  <w:footnote w:id="7">
    <w:p w14:paraId="6ED2922D" w14:textId="77777777" w:rsidR="000D6091" w:rsidRPr="00364B91" w:rsidRDefault="000D6091" w:rsidP="000D60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37 al 45.</w:t>
      </w:r>
    </w:p>
    <w:p w14:paraId="1F3EA868" w14:textId="77777777" w:rsidR="000D6091" w:rsidRPr="00364B91" w:rsidRDefault="000D6091" w:rsidP="000D6091">
      <w:pPr>
        <w:pStyle w:val="Textonotapie"/>
        <w:ind w:firstLine="709"/>
        <w:jc w:val="both"/>
        <w:rPr>
          <w:rFonts w:ascii="Arial" w:hAnsi="Arial" w:cs="Arial"/>
          <w:sz w:val="19"/>
          <w:szCs w:val="19"/>
          <w:lang w:val="es-ES"/>
        </w:rPr>
      </w:pPr>
    </w:p>
  </w:footnote>
  <w:footnote w:id="8">
    <w:p w14:paraId="41CF7286" w14:textId="77777777" w:rsidR="000D6091" w:rsidRPr="00364B91" w:rsidRDefault="000D6091" w:rsidP="000D60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46 al 73.</w:t>
      </w:r>
    </w:p>
    <w:p w14:paraId="4E69693A" w14:textId="77777777" w:rsidR="000D6091" w:rsidRPr="00364B91" w:rsidRDefault="000D6091" w:rsidP="000D6091">
      <w:pPr>
        <w:pStyle w:val="Textonotapie"/>
        <w:ind w:firstLine="709"/>
        <w:jc w:val="both"/>
        <w:rPr>
          <w:rFonts w:ascii="Arial" w:hAnsi="Arial" w:cs="Arial"/>
          <w:sz w:val="19"/>
          <w:szCs w:val="19"/>
          <w:lang w:val="es-ES"/>
        </w:rPr>
      </w:pPr>
    </w:p>
  </w:footnote>
  <w:footnote w:id="9">
    <w:p w14:paraId="3CF6BB26" w14:textId="77777777" w:rsidR="000D6091" w:rsidRPr="00364B91" w:rsidRDefault="000D6091" w:rsidP="000D60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74 al 83.</w:t>
      </w:r>
    </w:p>
    <w:p w14:paraId="60767BEA" w14:textId="77777777" w:rsidR="000D6091" w:rsidRPr="00364B91" w:rsidRDefault="000D6091" w:rsidP="000D6091">
      <w:pPr>
        <w:pStyle w:val="Textonotapie"/>
        <w:ind w:firstLine="709"/>
        <w:jc w:val="both"/>
        <w:rPr>
          <w:rFonts w:ascii="Arial" w:hAnsi="Arial" w:cs="Arial"/>
          <w:sz w:val="19"/>
          <w:szCs w:val="19"/>
          <w:lang w:val="es-ES"/>
        </w:rPr>
      </w:pPr>
    </w:p>
  </w:footnote>
  <w:footnote w:id="10">
    <w:p w14:paraId="3C7CBB6A" w14:textId="77777777" w:rsidR="000D6091" w:rsidRPr="00364B91" w:rsidRDefault="000D6091" w:rsidP="000D6091">
      <w:pPr>
        <w:pStyle w:val="Textonotapie"/>
        <w:ind w:firstLine="708"/>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bookmarkStart w:id="2" w:name="_Hlk63862868"/>
      <w:r w:rsidRPr="00364B91">
        <w:rPr>
          <w:rFonts w:ascii="Arial" w:hAnsi="Arial" w:cs="Arial"/>
          <w:sz w:val="19"/>
          <w:szCs w:val="19"/>
        </w:rPr>
        <w:t xml:space="preserve">CONGRESO DE LA REPÚBLICA. Gaceta No. 670 del 11 de agosto de 2020. Exposición de motivos del Proyecto de Ley No. 122 de 2020 Cámara. p. 13. </w:t>
      </w:r>
      <w:bookmarkEnd w:id="2"/>
    </w:p>
  </w:footnote>
  <w:footnote w:id="11">
    <w:p w14:paraId="182EB192" w14:textId="77777777" w:rsidR="000D6091" w:rsidRPr="00364B91" w:rsidRDefault="000D6091" w:rsidP="000D6091">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525EDC45" w14:textId="77777777" w:rsidR="000D6091" w:rsidRPr="00364B91" w:rsidRDefault="000D6091" w:rsidP="000D6091">
      <w:pPr>
        <w:pStyle w:val="NormalWeb"/>
        <w:shd w:val="clear" w:color="auto" w:fill="FFFFFF"/>
        <w:spacing w:before="0" w:beforeAutospacing="0" w:after="0" w:afterAutospacing="0"/>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364B91">
          <w:rPr>
            <w:rStyle w:val="Hipervnculo"/>
            <w:rFonts w:ascii="Arial" w:hAnsi="Arial" w:cs="Arial"/>
            <w:sz w:val="19"/>
            <w:szCs w:val="19"/>
          </w:rPr>
          <w:t>5 </w:t>
        </w:r>
      </w:hyperlink>
      <w:r w:rsidRPr="00364B91">
        <w:rPr>
          <w:rFonts w:ascii="Arial" w:hAnsi="Arial" w:cs="Arial"/>
          <w:sz w:val="19"/>
          <w:szCs w:val="19"/>
        </w:rPr>
        <w:t>de la Sección 1 del Capítulo 2 del Título 1 de la Parte 2 del Libro 2, así como los artículos </w:t>
      </w:r>
      <w:hyperlink r:id="rId3" w:anchor="2.2.1.2.4.2.2" w:history="1">
        <w:r w:rsidRPr="00364B91">
          <w:rPr>
            <w:rStyle w:val="Hipervnculo"/>
            <w:rFonts w:ascii="Arial" w:hAnsi="Arial" w:cs="Arial"/>
            <w:sz w:val="19"/>
            <w:szCs w:val="19"/>
          </w:rPr>
          <w:t>2.2.1.2.4.2.2</w:t>
        </w:r>
      </w:hyperlink>
      <w:r w:rsidRPr="00364B91">
        <w:rPr>
          <w:rFonts w:ascii="Arial" w:hAnsi="Arial" w:cs="Arial"/>
          <w:sz w:val="19"/>
          <w:szCs w:val="19"/>
        </w:rPr>
        <w:t>., </w:t>
      </w:r>
      <w:hyperlink r:id="rId4" w:anchor="2.2.1.2.4.2.3" w:history="1">
        <w:r w:rsidRPr="00364B91">
          <w:rPr>
            <w:rStyle w:val="Hipervnculo"/>
            <w:rFonts w:ascii="Arial" w:hAnsi="Arial" w:cs="Arial"/>
            <w:sz w:val="19"/>
            <w:szCs w:val="19"/>
          </w:rPr>
          <w:t>2.2.1.2.4.2.3</w:t>
        </w:r>
      </w:hyperlink>
      <w:r w:rsidRPr="00364B91">
        <w:rPr>
          <w:rFonts w:ascii="Arial" w:hAnsi="Arial" w:cs="Arial"/>
          <w:sz w:val="19"/>
          <w:szCs w:val="19"/>
        </w:rPr>
        <w:t>., </w:t>
      </w:r>
      <w:hyperlink r:id="rId5" w:anchor="2.2.1.2.4.2.4" w:history="1">
        <w:r w:rsidRPr="00364B91">
          <w:rPr>
            <w:rStyle w:val="Hipervnculo"/>
            <w:rFonts w:ascii="Arial" w:hAnsi="Arial" w:cs="Arial"/>
            <w:sz w:val="19"/>
            <w:szCs w:val="19"/>
          </w:rPr>
          <w:t>2.2.1.2.4.2.4</w:t>
        </w:r>
      </w:hyperlink>
      <w:r w:rsidRPr="00364B91">
        <w:rPr>
          <w:rFonts w:ascii="Arial" w:hAnsi="Arial" w:cs="Arial"/>
          <w:sz w:val="19"/>
          <w:szCs w:val="19"/>
        </w:rPr>
        <w:t>., </w:t>
      </w:r>
      <w:hyperlink r:id="rId6" w:anchor="2.2.1.2.1.2.2" w:history="1">
        <w:r w:rsidRPr="00364B91">
          <w:rPr>
            <w:rStyle w:val="Hipervnculo"/>
            <w:rFonts w:ascii="Arial" w:hAnsi="Arial" w:cs="Arial"/>
            <w:sz w:val="19"/>
            <w:szCs w:val="19"/>
          </w:rPr>
          <w:t>2.2.1.2.1.2.2</w:t>
        </w:r>
      </w:hyperlink>
      <w:r w:rsidRPr="00364B91">
        <w:rPr>
          <w:rFonts w:ascii="Arial" w:hAnsi="Arial" w:cs="Arial"/>
          <w:sz w:val="19"/>
          <w:szCs w:val="19"/>
        </w:rPr>
        <w:t xml:space="preserve"> y </w:t>
      </w:r>
      <w:hyperlink r:id="rId7" w:anchor="2.2.1.2.4.2.8" w:history="1">
        <w:r w:rsidRPr="00364B91">
          <w:rPr>
            <w:rStyle w:val="Hipervnculo"/>
            <w:rFonts w:ascii="Arial" w:hAnsi="Arial" w:cs="Arial"/>
            <w:sz w:val="19"/>
            <w:szCs w:val="19"/>
          </w:rPr>
          <w:t>2.2.1.2.4.2.8</w:t>
        </w:r>
      </w:hyperlink>
      <w:r w:rsidRPr="00364B91">
        <w:rPr>
          <w:rFonts w:ascii="Arial" w:hAnsi="Arial" w:cs="Arial"/>
          <w:sz w:val="19"/>
          <w:szCs w:val="19"/>
        </w:rPr>
        <w:t>.; adiciona los artículos </w:t>
      </w:r>
      <w:hyperlink r:id="rId8" w:anchor="2.2.1.2.4.2.14" w:history="1">
        <w:r w:rsidRPr="00364B91">
          <w:rPr>
            <w:rStyle w:val="Hipervnculo"/>
            <w:rFonts w:ascii="Arial" w:hAnsi="Arial" w:cs="Arial"/>
            <w:sz w:val="19"/>
            <w:szCs w:val="19"/>
          </w:rPr>
          <w:t>2.2.1.2.4.2.14</w:t>
        </w:r>
      </w:hyperlink>
      <w:r w:rsidRPr="00364B91">
        <w:rPr>
          <w:rFonts w:ascii="Arial" w:hAnsi="Arial" w:cs="Arial"/>
          <w:sz w:val="19"/>
          <w:szCs w:val="19"/>
        </w:rPr>
        <w:t>., </w:t>
      </w:r>
      <w:hyperlink r:id="rId9" w:anchor="2.2.1.2.4.2.15" w:history="1">
        <w:r w:rsidRPr="00364B91">
          <w:rPr>
            <w:rStyle w:val="Hipervnculo"/>
            <w:rFonts w:ascii="Arial" w:hAnsi="Arial" w:cs="Arial"/>
            <w:sz w:val="19"/>
            <w:szCs w:val="19"/>
          </w:rPr>
          <w:t>2.2.1.2.4.2.15</w:t>
        </w:r>
      </w:hyperlink>
      <w:r w:rsidRPr="00364B91">
        <w:rPr>
          <w:rFonts w:ascii="Arial" w:hAnsi="Arial" w:cs="Arial"/>
          <w:sz w:val="19"/>
          <w:szCs w:val="19"/>
        </w:rPr>
        <w:t>., </w:t>
      </w:r>
      <w:hyperlink r:id="rId10" w:anchor="2.2.1.2.4.2.16" w:history="1">
        <w:r w:rsidRPr="00364B91">
          <w:rPr>
            <w:rStyle w:val="Hipervnculo"/>
            <w:rFonts w:ascii="Arial" w:hAnsi="Arial" w:cs="Arial"/>
            <w:sz w:val="19"/>
            <w:szCs w:val="19"/>
          </w:rPr>
          <w:t>2.2.1.2.4.2.16</w:t>
        </w:r>
      </w:hyperlink>
      <w:r w:rsidRPr="00364B91">
        <w:rPr>
          <w:rFonts w:ascii="Arial" w:hAnsi="Arial" w:cs="Arial"/>
          <w:sz w:val="19"/>
          <w:szCs w:val="19"/>
        </w:rPr>
        <w:t>., </w:t>
      </w:r>
      <w:hyperlink r:id="rId11" w:anchor="2.2.1.2.4.2.17" w:history="1">
        <w:r w:rsidRPr="00364B91">
          <w:rPr>
            <w:rStyle w:val="Hipervnculo"/>
            <w:rFonts w:ascii="Arial" w:hAnsi="Arial" w:cs="Arial"/>
            <w:sz w:val="19"/>
            <w:szCs w:val="19"/>
          </w:rPr>
          <w:t>2.2.1.2.4.2.17</w:t>
        </w:r>
      </w:hyperlink>
      <w:r w:rsidRPr="00364B91">
        <w:rPr>
          <w:rFonts w:ascii="Arial" w:hAnsi="Arial" w:cs="Arial"/>
          <w:sz w:val="19"/>
          <w:szCs w:val="19"/>
        </w:rPr>
        <w:t>. y </w:t>
      </w:r>
      <w:hyperlink r:id="rId12" w:anchor="2.2.1.2.4.2.18" w:history="1">
        <w:r w:rsidRPr="00364B91">
          <w:rPr>
            <w:rStyle w:val="Hipervnculo"/>
            <w:rFonts w:ascii="Arial" w:hAnsi="Arial" w:cs="Arial"/>
            <w:sz w:val="19"/>
            <w:szCs w:val="19"/>
          </w:rPr>
          <w:t>2.2.1.2.4.2.18</w:t>
        </w:r>
      </w:hyperlink>
      <w:r w:rsidRPr="00364B91">
        <w:rPr>
          <w:rFonts w:ascii="Arial" w:hAnsi="Arial" w:cs="Arial"/>
          <w:sz w:val="19"/>
          <w:szCs w:val="19"/>
        </w:rPr>
        <w:t>.; adiciona un </w:t>
      </w:r>
      <w:hyperlink r:id="rId13" w:anchor="2.2.1.2.3.1.9.p" w:history="1">
        <w:r w:rsidRPr="00364B91">
          <w:rPr>
            <w:rStyle w:val="Hipervnculo"/>
            <w:rFonts w:ascii="Arial" w:hAnsi="Arial" w:cs="Arial"/>
            <w:sz w:val="19"/>
            <w:szCs w:val="19"/>
          </w:rPr>
          <w:t>parágrafo </w:t>
        </w:r>
      </w:hyperlink>
      <w:r w:rsidRPr="00364B91">
        <w:rPr>
          <w:rFonts w:ascii="Arial" w:hAnsi="Arial" w:cs="Arial"/>
          <w:sz w:val="19"/>
          <w:szCs w:val="19"/>
        </w:rPr>
        <w:t>al artículo </w:t>
      </w:r>
      <w:hyperlink r:id="rId14" w:anchor="2.2.1.2.3.1.9" w:history="1">
        <w:r w:rsidRPr="00364B91">
          <w:rPr>
            <w:rStyle w:val="Hipervnculo"/>
            <w:rFonts w:ascii="Arial" w:hAnsi="Arial" w:cs="Arial"/>
            <w:sz w:val="19"/>
            <w:szCs w:val="19"/>
          </w:rPr>
          <w:t>2.2.1.2.3.1.9</w:t>
        </w:r>
      </w:hyperlink>
      <w:r w:rsidRPr="00364B91">
        <w:rPr>
          <w:rFonts w:ascii="Arial" w:hAnsi="Arial" w:cs="Arial"/>
          <w:sz w:val="19"/>
          <w:szCs w:val="19"/>
        </w:rPr>
        <w:t>; y deroga el artículo </w:t>
      </w:r>
      <w:hyperlink r:id="rId15" w:anchor="2.2.1.1.2.2.9" w:history="1">
        <w:r w:rsidRPr="00364B91">
          <w:rPr>
            <w:rStyle w:val="Hipervnculo"/>
            <w:rFonts w:ascii="Arial" w:hAnsi="Arial" w:cs="Arial"/>
            <w:sz w:val="19"/>
            <w:szCs w:val="19"/>
          </w:rPr>
          <w:t>2.2.1.1.2.2.9</w:t>
        </w:r>
      </w:hyperlink>
      <w:r w:rsidRPr="00364B91">
        <w:rPr>
          <w:rFonts w:ascii="Arial" w:hAnsi="Arial" w:cs="Arial"/>
          <w:sz w:val="19"/>
          <w:szCs w:val="19"/>
        </w:rPr>
        <w:t>. del Decreto 1082 de 2015, Único Reglamentario del Sector Administrativo de Planeación Nacional.</w:t>
      </w:r>
    </w:p>
    <w:p w14:paraId="1C351FAE" w14:textId="77777777" w:rsidR="000D6091" w:rsidRPr="00364B91" w:rsidRDefault="000D6091" w:rsidP="000D6091">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b/>
          <w:bCs/>
          <w:sz w:val="19"/>
          <w:szCs w:val="19"/>
        </w:rPr>
        <w:t> </w:t>
      </w:r>
      <w:r w:rsidRPr="00364B91">
        <w:rPr>
          <w:rFonts w:ascii="Arial" w:hAnsi="Arial" w:cs="Arial"/>
          <w:b/>
          <w:bCs/>
          <w:sz w:val="19"/>
          <w:szCs w:val="19"/>
        </w:rPr>
        <w:tab/>
        <w:t>»</w:t>
      </w:r>
      <w:r w:rsidRPr="00364B91">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3D0D1D2B" w14:textId="77777777" w:rsidR="000D6091" w:rsidRPr="00364B91" w:rsidRDefault="000D6091" w:rsidP="000D6091">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sz w:val="19"/>
          <w:szCs w:val="19"/>
        </w:rPr>
        <w:t> </w:t>
      </w:r>
      <w:r w:rsidRPr="00364B91">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47973989" w14:textId="77777777" w:rsidR="00322518" w:rsidRPr="00ED3142" w:rsidRDefault="00322518" w:rsidP="00322518">
      <w:pPr>
        <w:pStyle w:val="Textonotapie"/>
        <w:ind w:firstLine="708"/>
        <w:rPr>
          <w:rFonts w:ascii="Arial" w:hAnsi="Arial" w:cs="Arial"/>
          <w:sz w:val="18"/>
          <w:szCs w:val="18"/>
          <w:lang w:val="es-ES"/>
        </w:rPr>
      </w:pPr>
      <w:r w:rsidRPr="00ED3142">
        <w:rPr>
          <w:rStyle w:val="Refdenotaalpie"/>
          <w:rFonts w:ascii="Arial" w:hAnsi="Arial" w:cs="Arial"/>
          <w:sz w:val="18"/>
          <w:szCs w:val="18"/>
        </w:rPr>
        <w:footnoteRef/>
      </w:r>
      <w:r w:rsidRPr="00ED3142">
        <w:rPr>
          <w:rFonts w:ascii="Arial" w:hAnsi="Arial" w:cs="Arial"/>
          <w:sz w:val="18"/>
          <w:szCs w:val="18"/>
        </w:rPr>
        <w:t xml:space="preserve"> </w:t>
      </w:r>
      <w:r w:rsidRPr="00ED3142">
        <w:rPr>
          <w:rFonts w:ascii="Arial" w:hAnsi="Arial" w:cs="Arial"/>
          <w:sz w:val="18"/>
          <w:szCs w:val="18"/>
          <w:lang w:val="es-ES"/>
        </w:rPr>
        <w:t>Consejo de Estado. Sala de Consulta y Servicio Civil. Concepto del 20 de mayo de 2010. No. de Radicado: 11001-03-06-000-2010-00034-00(1992). C.P. Enrique José Arboleda Perdomo</w:t>
      </w:r>
      <w:r>
        <w:rPr>
          <w:rFonts w:ascii="Arial" w:hAnsi="Arial" w:cs="Arial"/>
          <w:sz w:val="18"/>
          <w:szCs w:val="18"/>
          <w:lang w:val="es-ES"/>
        </w:rPr>
        <w:t>.</w:t>
      </w:r>
    </w:p>
  </w:footnote>
  <w:footnote w:id="14">
    <w:p w14:paraId="0F872A18" w14:textId="77777777" w:rsidR="00322518" w:rsidRPr="00801108" w:rsidRDefault="00322518" w:rsidP="00322518">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4F668EB8" w14:textId="77777777" w:rsidR="00322518" w:rsidRPr="00801108" w:rsidRDefault="00322518" w:rsidP="00322518">
      <w:pPr>
        <w:pStyle w:val="Textonotapie"/>
        <w:ind w:firstLine="709"/>
        <w:jc w:val="both"/>
        <w:rPr>
          <w:rFonts w:ascii="Arial" w:hAnsi="Arial" w:cs="Arial"/>
          <w:color w:val="000000" w:themeColor="text1"/>
          <w:sz w:val="18"/>
          <w:szCs w:val="18"/>
        </w:rPr>
      </w:pPr>
    </w:p>
  </w:footnote>
  <w:footnote w:id="15">
    <w:p w14:paraId="2C7E04EF" w14:textId="77777777" w:rsidR="00322518" w:rsidRPr="00801108" w:rsidRDefault="00322518" w:rsidP="00322518">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6">
    <w:p w14:paraId="7990015D" w14:textId="77777777" w:rsidR="00322518" w:rsidRPr="00801108" w:rsidRDefault="00322518" w:rsidP="00322518">
      <w:pPr>
        <w:pStyle w:val="Textonotapie"/>
        <w:ind w:firstLine="709"/>
        <w:jc w:val="both"/>
        <w:rPr>
          <w:rFonts w:ascii="Arial" w:hAnsi="Arial" w:cs="Arial"/>
          <w:color w:val="000000" w:themeColor="text1"/>
          <w:sz w:val="18"/>
          <w:szCs w:val="18"/>
        </w:rPr>
      </w:pPr>
      <w:r w:rsidRPr="00801108">
        <w:rPr>
          <w:rStyle w:val="Refdenotaalpie"/>
          <w:rFonts w:ascii="Arial" w:hAnsi="Arial" w:cs="Arial"/>
          <w:color w:val="000000" w:themeColor="text1"/>
          <w:sz w:val="18"/>
          <w:szCs w:val="18"/>
        </w:rPr>
        <w:footnoteRef/>
      </w:r>
      <w:r w:rsidRPr="00801108">
        <w:rPr>
          <w:rFonts w:ascii="Arial" w:hAnsi="Arial" w:cs="Arial"/>
          <w:color w:val="000000" w:themeColor="text1"/>
          <w:sz w:val="18"/>
          <w:szCs w:val="18"/>
        </w:rPr>
        <w:t xml:space="preserve"> Consejo de Estado. Sección Tercera. Subsección C. Sentencia del 26 de febrero de 2014. Expediente: 25.804. Consejero Ponente: Enrique Gil Botero.</w:t>
      </w:r>
    </w:p>
  </w:footnote>
  <w:footnote w:id="17">
    <w:p w14:paraId="24914400" w14:textId="77777777" w:rsidR="00322518" w:rsidRPr="00E86699" w:rsidRDefault="00322518" w:rsidP="00322518">
      <w:pPr>
        <w:pBdr>
          <w:top w:val="nil"/>
          <w:left w:val="nil"/>
          <w:bottom w:val="nil"/>
          <w:right w:val="nil"/>
          <w:between w:val="nil"/>
        </w:pBdr>
        <w:ind w:firstLine="709"/>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vertAlign w:val="superscript"/>
        </w:rPr>
        <w:t xml:space="preserve"> </w:t>
      </w:r>
      <w:r w:rsidRPr="00E86699">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8">
    <w:p w14:paraId="73EA672C" w14:textId="77777777" w:rsidR="00322518" w:rsidRPr="00EA29A3" w:rsidRDefault="00322518" w:rsidP="00322518">
      <w:pPr>
        <w:pStyle w:val="Textonotapie"/>
        <w:ind w:firstLine="708"/>
        <w:rPr>
          <w:rFonts w:ascii="Arial" w:hAnsi="Arial" w:cs="Arial"/>
          <w:color w:val="000000" w:themeColor="text1"/>
          <w:sz w:val="18"/>
          <w:szCs w:val="18"/>
          <w:lang w:val="es-ES"/>
        </w:rPr>
      </w:pPr>
      <w:r w:rsidRPr="00EA29A3">
        <w:rPr>
          <w:rFonts w:ascii="Arial" w:eastAsia="Arial" w:hAnsi="Arial" w:cs="Arial"/>
          <w:color w:val="000000" w:themeColor="text1"/>
          <w:sz w:val="18"/>
          <w:szCs w:val="18"/>
          <w:vertAlign w:val="superscript"/>
        </w:rPr>
        <w:footnoteRef/>
      </w:r>
      <w:r w:rsidRPr="00EA29A3">
        <w:rPr>
          <w:rFonts w:ascii="Arial" w:eastAsia="Arial" w:hAnsi="Arial" w:cs="Arial"/>
          <w:color w:val="000000" w:themeColor="text1"/>
          <w:sz w:val="18"/>
          <w:szCs w:val="18"/>
          <w:vertAlign w:val="superscript"/>
          <w:lang w:val="es-ES"/>
        </w:rPr>
        <w:t xml:space="preserve"> </w:t>
      </w:r>
      <w:r w:rsidRPr="00EA29A3">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p w14:paraId="02850583" w14:textId="77777777" w:rsidR="00322518" w:rsidRPr="00B96C0F" w:rsidRDefault="00322518" w:rsidP="00322518">
      <w:pPr>
        <w:pStyle w:val="Textonotapie"/>
        <w:ind w:firstLine="708"/>
        <w:rPr>
          <w:rFonts w:ascii="Arial" w:hAnsi="Arial" w:cs="Arial"/>
          <w:color w:val="000000" w:themeColor="text1"/>
          <w:sz w:val="18"/>
          <w:szCs w:val="18"/>
        </w:rPr>
      </w:pPr>
    </w:p>
  </w:footnote>
  <w:footnote w:id="19">
    <w:p w14:paraId="44313640" w14:textId="77777777" w:rsidR="00322518" w:rsidRPr="00A015C2" w:rsidRDefault="00322518" w:rsidP="00322518">
      <w:pPr>
        <w:pStyle w:val="Textonotapie"/>
        <w:ind w:firstLine="708"/>
        <w:rPr>
          <w:rFonts w:ascii="Arial" w:hAnsi="Arial" w:cs="Arial"/>
          <w:color w:val="000000" w:themeColor="text1"/>
          <w:sz w:val="18"/>
          <w:szCs w:val="18"/>
        </w:rPr>
      </w:pPr>
      <w:r w:rsidRPr="00A015C2">
        <w:rPr>
          <w:rStyle w:val="Refdenotaalpie"/>
          <w:rFonts w:ascii="Arial" w:hAnsi="Arial" w:cs="Arial"/>
          <w:color w:val="000000" w:themeColor="text1"/>
          <w:sz w:val="18"/>
          <w:szCs w:val="18"/>
        </w:rPr>
        <w:footnoteRef/>
      </w:r>
      <w:r w:rsidRPr="00A015C2">
        <w:rPr>
          <w:rFonts w:ascii="Arial" w:hAnsi="Arial" w:cs="Arial"/>
          <w:color w:val="000000" w:themeColor="text1"/>
          <w:sz w:val="18"/>
          <w:szCs w:val="18"/>
        </w:rPr>
        <w:t xml:space="preserve"> </w:t>
      </w:r>
      <w:r w:rsidRPr="00EA29A3">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footnote>
  <w:footnote w:id="20">
    <w:p w14:paraId="2EFB0FEB" w14:textId="77777777" w:rsidR="00322518" w:rsidRPr="00D17351" w:rsidRDefault="00322518" w:rsidP="00322518">
      <w:pPr>
        <w:pStyle w:val="Textonotapie"/>
        <w:ind w:firstLine="708"/>
        <w:jc w:val="both"/>
        <w:rPr>
          <w:rFonts w:ascii="Arial" w:hAnsi="Arial" w:cs="Arial"/>
          <w:sz w:val="19"/>
          <w:szCs w:val="19"/>
          <w:lang w:val="es-ES"/>
        </w:rPr>
      </w:pPr>
      <w:r w:rsidRPr="00D17351">
        <w:rPr>
          <w:rStyle w:val="Refdenotaalpie"/>
          <w:rFonts w:ascii="Arial" w:hAnsi="Arial" w:cs="Arial"/>
          <w:sz w:val="19"/>
          <w:szCs w:val="19"/>
        </w:rPr>
        <w:footnoteRef/>
      </w:r>
      <w:r w:rsidRPr="00D17351">
        <w:rPr>
          <w:rFonts w:ascii="Arial" w:hAnsi="Arial" w:cs="Arial"/>
          <w:sz w:val="19"/>
          <w:szCs w:val="19"/>
        </w:rPr>
        <w:t xml:space="preserve"> </w:t>
      </w:r>
      <w:r>
        <w:rPr>
          <w:rFonts w:ascii="Arial" w:hAnsi="Arial" w:cs="Arial"/>
          <w:sz w:val="19"/>
          <w:szCs w:val="19"/>
          <w:lang w:val="es-ES"/>
        </w:rPr>
        <w:t>El primer inciso del</w:t>
      </w:r>
      <w:r w:rsidRPr="00D17351">
        <w:rPr>
          <w:rFonts w:ascii="Arial" w:hAnsi="Arial" w:cs="Arial"/>
          <w:sz w:val="19"/>
          <w:szCs w:val="19"/>
          <w:lang w:val="es-ES"/>
        </w:rPr>
        <w:t xml:space="preserve"> </w:t>
      </w:r>
      <w:r>
        <w:rPr>
          <w:rFonts w:ascii="Arial" w:hAnsi="Arial" w:cs="Arial"/>
          <w:sz w:val="19"/>
          <w:szCs w:val="19"/>
          <w:lang w:val="es-ES"/>
        </w:rPr>
        <w:t>a</w:t>
      </w:r>
      <w:r w:rsidRPr="00D17351">
        <w:rPr>
          <w:rFonts w:ascii="Arial" w:hAnsi="Arial" w:cs="Arial"/>
          <w:sz w:val="19"/>
          <w:szCs w:val="19"/>
          <w:lang w:val="es-ES"/>
        </w:rPr>
        <w:t>rtículo 2º</w:t>
      </w:r>
      <w:r>
        <w:rPr>
          <w:rFonts w:ascii="Arial" w:hAnsi="Arial" w:cs="Arial"/>
          <w:sz w:val="19"/>
          <w:szCs w:val="19"/>
          <w:lang w:val="es-ES"/>
        </w:rPr>
        <w:t xml:space="preserve"> de la Ley 816 de 2003 dispone lo siguiente</w:t>
      </w:r>
      <w:r w:rsidRPr="00D17351">
        <w:rPr>
          <w:rFonts w:ascii="Arial" w:hAnsi="Arial" w:cs="Arial"/>
          <w:sz w:val="19"/>
          <w:szCs w:val="19"/>
          <w:lang w:val="es-ES"/>
        </w:rPr>
        <w:t xml:space="preserve">: </w:t>
      </w:r>
      <w:r>
        <w:rPr>
          <w:rFonts w:ascii="Arial" w:hAnsi="Arial" w:cs="Arial"/>
          <w:sz w:val="19"/>
          <w:szCs w:val="19"/>
          <w:lang w:val="es-ES"/>
        </w:rPr>
        <w:t>«</w:t>
      </w:r>
      <w:r w:rsidRPr="00D17351">
        <w:rPr>
          <w:rFonts w:ascii="Arial" w:hAnsi="Arial" w:cs="Arial"/>
          <w:sz w:val="19"/>
          <w:szCs w:val="19"/>
          <w:lang w:val="es-ES"/>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r>
        <w:rPr>
          <w:rFonts w:ascii="Arial" w:hAnsi="Arial" w:cs="Arial"/>
          <w:sz w:val="19"/>
          <w:szCs w:val="19"/>
          <w:lang w:val="es-ES"/>
        </w:rPr>
        <w:t xml:space="preserve">». Por su parte, </w:t>
      </w:r>
      <w:r w:rsidRPr="009139A6">
        <w:rPr>
          <w:rFonts w:ascii="Arial" w:hAnsi="Arial" w:cs="Arial"/>
          <w:sz w:val="19"/>
          <w:szCs w:val="19"/>
        </w:rPr>
        <w:t>el artículo 2.2.1.2.4.2.6 del Decreto 1082 de 2015</w:t>
      </w:r>
      <w:r>
        <w:rPr>
          <w:rFonts w:ascii="Arial" w:hAnsi="Arial" w:cs="Arial"/>
          <w:sz w:val="19"/>
          <w:szCs w:val="19"/>
        </w:rPr>
        <w:t xml:space="preserve"> prescribe que</w:t>
      </w:r>
      <w:r w:rsidRPr="00D17351">
        <w:rPr>
          <w:rFonts w:ascii="Arial" w:hAnsi="Arial" w:cs="Arial"/>
          <w:sz w:val="19"/>
          <w:szCs w:val="19"/>
        </w:rPr>
        <w:t xml:space="preserve"> </w:t>
      </w:r>
      <w:r>
        <w:rPr>
          <w:rFonts w:ascii="Arial" w:hAnsi="Arial" w:cs="Arial"/>
          <w:sz w:val="19"/>
          <w:szCs w:val="19"/>
        </w:rPr>
        <w:t>«</w:t>
      </w:r>
      <w:r w:rsidRPr="00D17351">
        <w:rPr>
          <w:rFonts w:ascii="Arial" w:hAnsi="Arial" w:cs="Arial"/>
          <w:sz w:val="19"/>
          <w:szCs w:val="19"/>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w:t>
      </w:r>
      <w:r>
        <w:rPr>
          <w:rFonts w:ascii="Arial" w:hAnsi="Arial" w:cs="Arial"/>
          <w:sz w:val="19"/>
          <w:szCs w:val="19"/>
        </w:rPr>
        <w:t xml:space="preserve"> […]».</w:t>
      </w:r>
    </w:p>
    <w:p w14:paraId="709E6C9B" w14:textId="77777777" w:rsidR="00322518" w:rsidRPr="00D17351" w:rsidRDefault="00322518" w:rsidP="00322518">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A9E4" w14:textId="77777777" w:rsidR="00387886" w:rsidRDefault="007C2EF0">
    <w:pPr>
      <w:pStyle w:val="Encabezado"/>
    </w:pPr>
    <w:r>
      <w:rPr>
        <w:noProof/>
        <w:lang w:val="es-CO" w:eastAsia="es-CO"/>
      </w:rPr>
      <w:drawing>
        <wp:anchor distT="0" distB="0" distL="114300" distR="114300" simplePos="0" relativeHeight="251659264" behindDoc="1" locked="0" layoutInCell="1" allowOverlap="1" wp14:anchorId="57019949" wp14:editId="7362747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36D2"/>
    <w:multiLevelType w:val="hybridMultilevel"/>
    <w:tmpl w:val="B6BA71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377F3431"/>
    <w:multiLevelType w:val="hybridMultilevel"/>
    <w:tmpl w:val="346A0E5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num w:numId="1" w16cid:durableId="1434856435">
    <w:abstractNumId w:val="1"/>
  </w:num>
  <w:num w:numId="2" w16cid:durableId="161717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93"/>
    <w:rsid w:val="0000748D"/>
    <w:rsid w:val="0003011E"/>
    <w:rsid w:val="00055E3F"/>
    <w:rsid w:val="00064409"/>
    <w:rsid w:val="000A12D9"/>
    <w:rsid w:val="000B011E"/>
    <w:rsid w:val="000B2F93"/>
    <w:rsid w:val="000D6091"/>
    <w:rsid w:val="00101939"/>
    <w:rsid w:val="0010780D"/>
    <w:rsid w:val="00150841"/>
    <w:rsid w:val="0015294A"/>
    <w:rsid w:val="001A1A0D"/>
    <w:rsid w:val="00201B06"/>
    <w:rsid w:val="00211F5E"/>
    <w:rsid w:val="002249BE"/>
    <w:rsid w:val="002275B6"/>
    <w:rsid w:val="00237A66"/>
    <w:rsid w:val="00240B73"/>
    <w:rsid w:val="00252BB8"/>
    <w:rsid w:val="00254949"/>
    <w:rsid w:val="00284A4E"/>
    <w:rsid w:val="00293834"/>
    <w:rsid w:val="00296FD4"/>
    <w:rsid w:val="002B3E9C"/>
    <w:rsid w:val="002B4CE5"/>
    <w:rsid w:val="002D3A36"/>
    <w:rsid w:val="002D5118"/>
    <w:rsid w:val="00322518"/>
    <w:rsid w:val="00364293"/>
    <w:rsid w:val="00390998"/>
    <w:rsid w:val="003C31E8"/>
    <w:rsid w:val="003C60BC"/>
    <w:rsid w:val="003C7DB7"/>
    <w:rsid w:val="003E35B1"/>
    <w:rsid w:val="00417118"/>
    <w:rsid w:val="00435999"/>
    <w:rsid w:val="00453A6E"/>
    <w:rsid w:val="004F4122"/>
    <w:rsid w:val="005072EF"/>
    <w:rsid w:val="005B37D5"/>
    <w:rsid w:val="005E2DF7"/>
    <w:rsid w:val="005F65BA"/>
    <w:rsid w:val="00611918"/>
    <w:rsid w:val="006172AF"/>
    <w:rsid w:val="00625A84"/>
    <w:rsid w:val="006372B8"/>
    <w:rsid w:val="006374F7"/>
    <w:rsid w:val="00685908"/>
    <w:rsid w:val="007001A5"/>
    <w:rsid w:val="00707F4C"/>
    <w:rsid w:val="00791A94"/>
    <w:rsid w:val="00794929"/>
    <w:rsid w:val="00794A8C"/>
    <w:rsid w:val="007C25D3"/>
    <w:rsid w:val="007C2EF0"/>
    <w:rsid w:val="007D01F8"/>
    <w:rsid w:val="007D2816"/>
    <w:rsid w:val="007F39CD"/>
    <w:rsid w:val="00801942"/>
    <w:rsid w:val="00822ECB"/>
    <w:rsid w:val="008563F2"/>
    <w:rsid w:val="008D5075"/>
    <w:rsid w:val="008F1F27"/>
    <w:rsid w:val="009165F4"/>
    <w:rsid w:val="009252DF"/>
    <w:rsid w:val="00944899"/>
    <w:rsid w:val="00953313"/>
    <w:rsid w:val="00990D67"/>
    <w:rsid w:val="00995C47"/>
    <w:rsid w:val="009C4252"/>
    <w:rsid w:val="009E688F"/>
    <w:rsid w:val="00A34FD7"/>
    <w:rsid w:val="00A4661E"/>
    <w:rsid w:val="00A47AA9"/>
    <w:rsid w:val="00A712A2"/>
    <w:rsid w:val="00AA2BDA"/>
    <w:rsid w:val="00AB6847"/>
    <w:rsid w:val="00B15023"/>
    <w:rsid w:val="00B50EF0"/>
    <w:rsid w:val="00B5202F"/>
    <w:rsid w:val="00B65034"/>
    <w:rsid w:val="00B76D93"/>
    <w:rsid w:val="00BF34F2"/>
    <w:rsid w:val="00C91611"/>
    <w:rsid w:val="00CA0752"/>
    <w:rsid w:val="00CA648B"/>
    <w:rsid w:val="00CC410C"/>
    <w:rsid w:val="00CC7CCF"/>
    <w:rsid w:val="00CD023B"/>
    <w:rsid w:val="00CD29A6"/>
    <w:rsid w:val="00CF0ADF"/>
    <w:rsid w:val="00CF318F"/>
    <w:rsid w:val="00D03416"/>
    <w:rsid w:val="00D724A9"/>
    <w:rsid w:val="00D81D35"/>
    <w:rsid w:val="00D83877"/>
    <w:rsid w:val="00D902B7"/>
    <w:rsid w:val="00DE3656"/>
    <w:rsid w:val="00DF178A"/>
    <w:rsid w:val="00E018E5"/>
    <w:rsid w:val="00E049E3"/>
    <w:rsid w:val="00E142F6"/>
    <w:rsid w:val="00E146F0"/>
    <w:rsid w:val="00E2049E"/>
    <w:rsid w:val="00E25DCE"/>
    <w:rsid w:val="00E668CC"/>
    <w:rsid w:val="00E87923"/>
    <w:rsid w:val="00EA2FEE"/>
    <w:rsid w:val="00EB6025"/>
    <w:rsid w:val="00EC1837"/>
    <w:rsid w:val="00EE151D"/>
    <w:rsid w:val="00F11750"/>
    <w:rsid w:val="00F25B2A"/>
    <w:rsid w:val="00F4421F"/>
    <w:rsid w:val="00F57173"/>
    <w:rsid w:val="00F734F2"/>
    <w:rsid w:val="00F92A79"/>
    <w:rsid w:val="00F93ACE"/>
    <w:rsid w:val="00FB7620"/>
    <w:rsid w:val="00FC03E1"/>
    <w:rsid w:val="00FD32BE"/>
    <w:rsid w:val="00FE487F"/>
    <w:rsid w:val="00FF392A"/>
    <w:rsid w:val="4C98CF6B"/>
    <w:rsid w:val="60CF87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394C"/>
  <w15:chartTrackingRefBased/>
  <w15:docId w15:val="{847351DB-D241-9A45-8995-A577B52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34"/>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B2F93"/>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B2F93"/>
    <w:rPr>
      <w:szCs w:val="22"/>
      <w:lang w:val="es-MX"/>
    </w:rPr>
  </w:style>
  <w:style w:type="paragraph" w:styleId="Encabezado">
    <w:name w:val="header"/>
    <w:basedOn w:val="Normal"/>
    <w:link w:val="EncabezadoCar"/>
    <w:uiPriority w:val="99"/>
    <w:unhideWhenUsed/>
    <w:rsid w:val="000B2F93"/>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B2F93"/>
    <w:rPr>
      <w:szCs w:val="22"/>
      <w:lang w:val="es-MX"/>
    </w:rPr>
  </w:style>
  <w:style w:type="table" w:styleId="Tablaconcuadrcula">
    <w:name w:val="Table Grid"/>
    <w:basedOn w:val="Tablanormal"/>
    <w:uiPriority w:val="39"/>
    <w:qFormat/>
    <w:rsid w:val="000B2F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0B2F93"/>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1"/>
    <w:qFormat/>
    <w:rsid w:val="000B2F93"/>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B2F9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B2F9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B2F93"/>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2F93"/>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B2F93"/>
    <w:rPr>
      <w:vertAlign w:val="superscript"/>
    </w:rPr>
  </w:style>
  <w:style w:type="paragraph" w:customStyle="1" w:styleId="Appelnotedebasde">
    <w:name w:val="Appel note de bas de..."/>
    <w:basedOn w:val="Normal"/>
    <w:link w:val="Refdenotaalpie"/>
    <w:uiPriority w:val="99"/>
    <w:rsid w:val="000B2F93"/>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0B2F93"/>
    <w:pPr>
      <w:spacing w:before="100" w:beforeAutospacing="1" w:after="100" w:afterAutospacing="1"/>
    </w:pPr>
  </w:style>
  <w:style w:type="character" w:customStyle="1" w:styleId="NormalWebCar">
    <w:name w:val="Normal (Web) Car"/>
    <w:link w:val="NormalWeb"/>
    <w:uiPriority w:val="99"/>
    <w:rsid w:val="000B2F93"/>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8F1F2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8F1F27"/>
    <w:rPr>
      <w:rFonts w:ascii="Arial" w:eastAsia="Arial" w:hAnsi="Arial" w:cs="Arial"/>
      <w:sz w:val="20"/>
      <w:szCs w:val="20"/>
      <w:lang w:val="es-ES"/>
    </w:rPr>
  </w:style>
  <w:style w:type="character" w:customStyle="1" w:styleId="baj">
    <w:name w:val="b_aj"/>
    <w:basedOn w:val="Fuentedeprrafopredeter"/>
    <w:rsid w:val="008F1F27"/>
  </w:style>
  <w:style w:type="character" w:styleId="Textoennegrita">
    <w:name w:val="Strong"/>
    <w:basedOn w:val="Fuentedeprrafopredeter"/>
    <w:uiPriority w:val="22"/>
    <w:qFormat/>
    <w:rsid w:val="00E25DCE"/>
    <w:rPr>
      <w:b/>
      <w:bCs/>
    </w:rPr>
  </w:style>
  <w:style w:type="paragraph" w:styleId="Revisin">
    <w:name w:val="Revision"/>
    <w:hidden/>
    <w:uiPriority w:val="99"/>
    <w:semiHidden/>
    <w:rsid w:val="00E146F0"/>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CC410C"/>
    <w:rPr>
      <w:sz w:val="16"/>
      <w:szCs w:val="16"/>
    </w:rPr>
  </w:style>
  <w:style w:type="paragraph" w:styleId="Textocomentario">
    <w:name w:val="annotation text"/>
    <w:basedOn w:val="Normal"/>
    <w:link w:val="TextocomentarioCar"/>
    <w:uiPriority w:val="99"/>
    <w:semiHidden/>
    <w:unhideWhenUsed/>
    <w:rsid w:val="00CC410C"/>
    <w:rPr>
      <w:sz w:val="20"/>
      <w:szCs w:val="20"/>
    </w:rPr>
  </w:style>
  <w:style w:type="character" w:customStyle="1" w:styleId="TextocomentarioCar">
    <w:name w:val="Texto comentario Car"/>
    <w:basedOn w:val="Fuentedeprrafopredeter"/>
    <w:link w:val="Textocomentario"/>
    <w:uiPriority w:val="99"/>
    <w:semiHidden/>
    <w:rsid w:val="00CC410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C410C"/>
    <w:rPr>
      <w:b/>
      <w:bCs/>
    </w:rPr>
  </w:style>
  <w:style w:type="character" w:customStyle="1" w:styleId="AsuntodelcomentarioCar">
    <w:name w:val="Asunto del comentario Car"/>
    <w:basedOn w:val="TextocomentarioCar"/>
    <w:link w:val="Asuntodelcomentario"/>
    <w:uiPriority w:val="99"/>
    <w:semiHidden/>
    <w:rsid w:val="00CC410C"/>
    <w:rPr>
      <w:rFonts w:ascii="Times New Roman" w:eastAsia="Times New Roman" w:hAnsi="Times New Roman" w:cs="Times New Roman"/>
      <w:b/>
      <w:bCs/>
      <w:sz w:val="20"/>
      <w:szCs w:val="20"/>
      <w:lang w:eastAsia="es-MX"/>
    </w:rPr>
  </w:style>
  <w:style w:type="character" w:customStyle="1" w:styleId="normaltextrun">
    <w:name w:val="normaltextrun"/>
    <w:basedOn w:val="Fuentedeprrafopredeter"/>
    <w:rsid w:val="00435999"/>
  </w:style>
  <w:style w:type="character" w:customStyle="1" w:styleId="eop">
    <w:name w:val="eop"/>
    <w:basedOn w:val="Fuentedeprrafopredeter"/>
    <w:rsid w:val="00435999"/>
  </w:style>
  <w:style w:type="character" w:styleId="Hipervnculo">
    <w:name w:val="Hyperlink"/>
    <w:basedOn w:val="Fuentedeprrafopredeter"/>
    <w:uiPriority w:val="99"/>
    <w:unhideWhenUsed/>
    <w:rsid w:val="005F65BA"/>
    <w:rPr>
      <w:color w:val="0563C1" w:themeColor="hyperlink"/>
      <w:u w:val="single"/>
    </w:rPr>
  </w:style>
  <w:style w:type="character" w:customStyle="1" w:styleId="Hipervnculo1">
    <w:name w:val="Hipervínculo1"/>
    <w:basedOn w:val="Fuentedeprrafopredeter"/>
    <w:uiPriority w:val="99"/>
    <w:unhideWhenUsed/>
    <w:rsid w:val="005F65BA"/>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641">
      <w:bodyDiv w:val="1"/>
      <w:marLeft w:val="0"/>
      <w:marRight w:val="0"/>
      <w:marTop w:val="0"/>
      <w:marBottom w:val="0"/>
      <w:divBdr>
        <w:top w:val="none" w:sz="0" w:space="0" w:color="auto"/>
        <w:left w:val="none" w:sz="0" w:space="0" w:color="auto"/>
        <w:bottom w:val="none" w:sz="0" w:space="0" w:color="auto"/>
        <w:right w:val="none" w:sz="0" w:space="0" w:color="auto"/>
      </w:divBdr>
      <w:divsChild>
        <w:div w:id="1752896554">
          <w:marLeft w:val="0"/>
          <w:marRight w:val="0"/>
          <w:marTop w:val="0"/>
          <w:marBottom w:val="0"/>
          <w:divBdr>
            <w:top w:val="none" w:sz="0" w:space="0" w:color="auto"/>
            <w:left w:val="none" w:sz="0" w:space="0" w:color="auto"/>
            <w:bottom w:val="none" w:sz="0" w:space="0" w:color="auto"/>
            <w:right w:val="none" w:sz="0" w:space="0" w:color="auto"/>
          </w:divBdr>
        </w:div>
      </w:divsChild>
    </w:div>
    <w:div w:id="682053784">
      <w:bodyDiv w:val="1"/>
      <w:marLeft w:val="0"/>
      <w:marRight w:val="0"/>
      <w:marTop w:val="0"/>
      <w:marBottom w:val="0"/>
      <w:divBdr>
        <w:top w:val="none" w:sz="0" w:space="0" w:color="auto"/>
        <w:left w:val="none" w:sz="0" w:space="0" w:color="auto"/>
        <w:bottom w:val="none" w:sz="0" w:space="0" w:color="auto"/>
        <w:right w:val="none" w:sz="0" w:space="0" w:color="auto"/>
      </w:divBdr>
      <w:divsChild>
        <w:div w:id="95390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E0E2F89-250A-4FB2-A96C-B022B93DE6D1}">
  <ds:schemaRefs>
    <ds:schemaRef ds:uri="http://schemas.openxmlformats.org/officeDocument/2006/bibliography"/>
  </ds:schemaRefs>
</ds:datastoreItem>
</file>

<file path=customXml/itemProps2.xml><?xml version="1.0" encoding="utf-8"?>
<ds:datastoreItem xmlns:ds="http://schemas.openxmlformats.org/officeDocument/2006/customXml" ds:itemID="{B568A56B-054D-42EF-B248-D32F64F3011F}">
  <ds:schemaRefs>
    <ds:schemaRef ds:uri="http://schemas.microsoft.com/sharepoint/v3/contenttype/forms"/>
  </ds:schemaRefs>
</ds:datastoreItem>
</file>

<file path=customXml/itemProps3.xml><?xml version="1.0" encoding="utf-8"?>
<ds:datastoreItem xmlns:ds="http://schemas.openxmlformats.org/officeDocument/2006/customXml" ds:itemID="{2F28D318-1281-4242-A245-EA2311C25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E5291-3377-4389-B4F9-28302479F31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7865</Words>
  <Characters>43261</Characters>
  <Application>Microsoft Office Word</Application>
  <DocSecurity>0</DocSecurity>
  <Lines>360</Lines>
  <Paragraphs>102</Paragraphs>
  <ScaleCrop>false</ScaleCrop>
  <Company/>
  <LinksUpToDate>false</LinksUpToDate>
  <CharactersWithSpaces>51024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9</cp:revision>
  <dcterms:created xsi:type="dcterms:W3CDTF">2022-03-28T18:54:00Z</dcterms:created>
  <dcterms:modified xsi:type="dcterms:W3CDTF">2022-03-31T21:59:00Z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