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BB4A9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2F1FB1" w:rsidRDefault="00B55C69" w:rsidP="0030575F">
      <w:pPr>
        <w:jc w:val="right"/>
        <w:rPr>
          <w:rFonts w:ascii="Arial" w:eastAsia="Calibri" w:hAnsi="Arial" w:cs="Arial"/>
          <w:b/>
          <w:color w:val="000000" w:themeColor="text1"/>
          <w:sz w:val="16"/>
          <w:szCs w:val="16"/>
          <w:lang w:val="es-ES_tradnl"/>
        </w:rPr>
      </w:pPr>
      <w:r w:rsidRPr="002F1FB1">
        <w:rPr>
          <w:rFonts w:ascii="Arial" w:hAnsi="Arial" w:cs="Arial"/>
          <w:bCs/>
          <w:color w:val="000000" w:themeColor="text1"/>
          <w:sz w:val="16"/>
          <w:szCs w:val="16"/>
          <w:lang w:val="es-ES_tradnl" w:eastAsia="es-ES"/>
        </w:rPr>
        <w:t>CCE-DES-FM-17</w:t>
      </w:r>
      <w:bookmarkEnd w:id="0"/>
      <w:bookmarkEnd w:id="1"/>
    </w:p>
    <w:p w14:paraId="5B5FA1A8" w14:textId="77777777" w:rsidR="005B24E7" w:rsidRPr="002F1FB1" w:rsidRDefault="005B24E7"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p>
    <w:p w14:paraId="2E56D937" w14:textId="453D4A7E" w:rsidR="0030575F" w:rsidRPr="002F1FB1" w:rsidRDefault="0030575F" w:rsidP="00C128B2">
      <w:pPr>
        <w:spacing w:after="120"/>
        <w:contextualSpacing/>
        <w:jc w:val="both"/>
        <w:rPr>
          <w:rFonts w:ascii="Arial" w:eastAsia="Calibri" w:hAnsi="Arial" w:cs="Arial"/>
          <w:b/>
          <w:bCs/>
          <w:color w:val="000000" w:themeColor="text1"/>
          <w:sz w:val="22"/>
          <w:szCs w:val="22"/>
          <w:lang w:val="es-MX" w:eastAsia="en-US"/>
        </w:rPr>
      </w:pPr>
      <w:r w:rsidRPr="002F1FB1">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2F1FB1" w:rsidRDefault="0030575F" w:rsidP="00C128B2">
      <w:pPr>
        <w:spacing w:after="120"/>
        <w:contextualSpacing/>
        <w:jc w:val="both"/>
        <w:rPr>
          <w:rFonts w:ascii="Arial" w:eastAsia="Calibri" w:hAnsi="Arial" w:cs="Arial"/>
          <w:color w:val="000000" w:themeColor="text1"/>
          <w:sz w:val="20"/>
          <w:szCs w:val="20"/>
          <w:lang w:val="es-MX" w:eastAsia="en-US"/>
        </w:rPr>
      </w:pPr>
    </w:p>
    <w:p w14:paraId="7A434A5B" w14:textId="2557170C" w:rsidR="0030575F" w:rsidRPr="002F1FB1" w:rsidRDefault="00861F5C" w:rsidP="00C128B2">
      <w:pPr>
        <w:tabs>
          <w:tab w:val="left" w:pos="426"/>
        </w:tabs>
        <w:spacing w:after="120"/>
        <w:jc w:val="both"/>
        <w:rPr>
          <w:rFonts w:ascii="Arial" w:eastAsia="Calibri" w:hAnsi="Arial" w:cs="Arial"/>
          <w:bCs/>
          <w:color w:val="000000" w:themeColor="text1"/>
          <w:sz w:val="20"/>
          <w:szCs w:val="20"/>
        </w:rPr>
      </w:pPr>
      <w:r w:rsidRPr="002F1FB1">
        <w:rPr>
          <w:rFonts w:ascii="Arial" w:hAnsi="Arial" w:cs="Arial"/>
          <w:bCs/>
          <w:color w:val="000000" w:themeColor="text1"/>
          <w:sz w:val="20"/>
          <w:szCs w:val="20"/>
          <w:lang w:eastAsia="es-CO"/>
        </w:rPr>
        <w:t xml:space="preserve">[…] la Ley 996 de 2005 </w:t>
      </w:r>
      <w:r w:rsidRPr="002F1FB1">
        <w:rPr>
          <w:rFonts w:ascii="Arial" w:eastAsia="Calibri" w:hAnsi="Arial" w:cs="Arial"/>
          <w:color w:val="000000" w:themeColor="text1"/>
          <w:sz w:val="20"/>
          <w:szCs w:val="20"/>
          <w:lang w:eastAsia="en-US"/>
        </w:rPr>
        <w:t>«</w:t>
      </w:r>
      <w:r w:rsidRPr="002F1FB1">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2F1FB1">
        <w:rPr>
          <w:rStyle w:val="Textoennegrita"/>
          <w:rFonts w:ascii="Arial" w:hAnsi="Arial" w:cs="Arial"/>
          <w:b w:val="0"/>
          <w:color w:val="000000" w:themeColor="text1"/>
          <w:sz w:val="20"/>
          <w:szCs w:val="20"/>
          <w:shd w:val="clear" w:color="auto" w:fill="FFFFFF"/>
        </w:rPr>
        <w:t>Presidente</w:t>
      </w:r>
      <w:proofErr w:type="gramEnd"/>
      <w:r w:rsidRPr="002F1FB1">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2F1FB1">
        <w:rPr>
          <w:rFonts w:ascii="Arial" w:eastAsia="Calibri" w:hAnsi="Arial" w:cs="Arial"/>
          <w:bCs/>
          <w:color w:val="000000" w:themeColor="text1"/>
          <w:sz w:val="20"/>
          <w:szCs w:val="20"/>
          <w:lang w:eastAsia="en-US"/>
        </w:rPr>
        <w:t>»,</w:t>
      </w:r>
      <w:r w:rsidRPr="002F1FB1">
        <w:rPr>
          <w:rStyle w:val="Textoennegrita"/>
          <w:rFonts w:ascii="Arial" w:hAnsi="Arial" w:cs="Arial"/>
          <w:color w:val="000000" w:themeColor="text1"/>
          <w:sz w:val="20"/>
          <w:szCs w:val="20"/>
          <w:shd w:val="clear" w:color="auto" w:fill="FFFFFF"/>
        </w:rPr>
        <w:t xml:space="preserve"> </w:t>
      </w:r>
      <w:r w:rsidRPr="002F1FB1">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2F1FB1" w:rsidRDefault="0030575F" w:rsidP="00C128B2">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2F1FB1" w:rsidRDefault="0030575F" w:rsidP="00C128B2">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2F1FB1">
        <w:rPr>
          <w:rFonts w:ascii="Arial" w:eastAsia="Calibri" w:hAnsi="Arial" w:cs="Arial"/>
          <w:b/>
          <w:bCs/>
          <w:color w:val="000000" w:themeColor="text1"/>
          <w:sz w:val="22"/>
          <w:szCs w:val="22"/>
          <w:lang w:val="es-MX" w:eastAsia="en-US"/>
        </w:rPr>
        <w:t>LEY DE GARANTÍAS ELECTORALES ‒</w:t>
      </w:r>
      <w:bookmarkEnd w:id="3"/>
      <w:r w:rsidRPr="002F1FB1">
        <w:rPr>
          <w:rFonts w:ascii="Arial" w:eastAsia="Calibri" w:hAnsi="Arial" w:cs="Arial"/>
          <w:b/>
          <w:bCs/>
          <w:color w:val="000000" w:themeColor="text1"/>
          <w:sz w:val="22"/>
          <w:szCs w:val="22"/>
          <w:lang w:val="es-MX" w:eastAsia="en-US"/>
        </w:rPr>
        <w:t xml:space="preserve"> Restricciones </w:t>
      </w:r>
      <w:bookmarkStart w:id="5" w:name="_Hlk77157034"/>
      <w:r w:rsidRPr="002F1FB1">
        <w:rPr>
          <w:rFonts w:ascii="Arial" w:eastAsia="Calibri" w:hAnsi="Arial" w:cs="Arial"/>
          <w:b/>
          <w:bCs/>
          <w:color w:val="000000" w:themeColor="text1"/>
          <w:sz w:val="22"/>
          <w:szCs w:val="22"/>
          <w:lang w:val="es-MX" w:eastAsia="en-US"/>
        </w:rPr>
        <w:t xml:space="preserve">‒ </w:t>
      </w:r>
      <w:bookmarkEnd w:id="5"/>
      <w:r w:rsidRPr="002F1FB1">
        <w:rPr>
          <w:rFonts w:ascii="Arial" w:eastAsia="Calibri" w:hAnsi="Arial" w:cs="Arial"/>
          <w:b/>
          <w:bCs/>
          <w:color w:val="000000" w:themeColor="text1"/>
          <w:sz w:val="22"/>
          <w:szCs w:val="22"/>
          <w:lang w:val="es-MX" w:eastAsia="en-US"/>
        </w:rPr>
        <w:t>Contratación</w:t>
      </w:r>
      <w:bookmarkStart w:id="6" w:name="_Hlk77153098"/>
      <w:r w:rsidRPr="002F1FB1">
        <w:rPr>
          <w:rFonts w:ascii="Arial" w:eastAsia="Calibri" w:hAnsi="Arial" w:cs="Arial"/>
          <w:b/>
          <w:bCs/>
          <w:color w:val="000000" w:themeColor="text1"/>
          <w:sz w:val="22"/>
          <w:szCs w:val="22"/>
          <w:lang w:val="es-MX" w:eastAsia="en-US"/>
        </w:rPr>
        <w:t xml:space="preserve"> ‒ Tipos de elección</w:t>
      </w:r>
      <w:bookmarkEnd w:id="6"/>
      <w:r w:rsidRPr="002F1FB1">
        <w:rPr>
          <w:rFonts w:ascii="Arial" w:eastAsia="Calibri" w:hAnsi="Arial" w:cs="Arial"/>
          <w:b/>
          <w:bCs/>
          <w:color w:val="000000" w:themeColor="text1"/>
          <w:sz w:val="22"/>
          <w:szCs w:val="22"/>
          <w:lang w:val="es-MX" w:eastAsia="en-US"/>
        </w:rPr>
        <w:t xml:space="preserve"> </w:t>
      </w:r>
    </w:p>
    <w:p w14:paraId="16CB6979" w14:textId="77777777" w:rsidR="0030575F" w:rsidRPr="002F1FB1" w:rsidRDefault="0030575F" w:rsidP="00C128B2">
      <w:pPr>
        <w:tabs>
          <w:tab w:val="left" w:pos="426"/>
        </w:tabs>
        <w:jc w:val="both"/>
        <w:rPr>
          <w:rFonts w:ascii="Arial" w:eastAsia="Calibri" w:hAnsi="Arial" w:cs="Arial"/>
          <w:b/>
          <w:bCs/>
          <w:color w:val="000000" w:themeColor="text1"/>
          <w:sz w:val="20"/>
          <w:szCs w:val="20"/>
          <w:lang w:val="es-MX" w:eastAsia="en-US"/>
        </w:rPr>
      </w:pPr>
    </w:p>
    <w:p w14:paraId="609FD4A0" w14:textId="77777777" w:rsidR="00EB345F" w:rsidRPr="002F1FB1" w:rsidRDefault="00861F5C" w:rsidP="00C128B2">
      <w:pPr>
        <w:spacing w:after="120"/>
        <w:jc w:val="both"/>
        <w:rPr>
          <w:rFonts w:ascii="Arial" w:eastAsia="Calibri" w:hAnsi="Arial" w:cs="Arial"/>
          <w:noProof/>
          <w:color w:val="000000" w:themeColor="text1"/>
          <w:sz w:val="20"/>
          <w:szCs w:val="20"/>
          <w:lang w:val="es-ES_tradnl" w:eastAsia="en-US"/>
        </w:rPr>
      </w:pPr>
      <w:r w:rsidRPr="002F1FB1">
        <w:rPr>
          <w:rFonts w:ascii="Arial" w:hAnsi="Arial" w:cs="Arial"/>
          <w:bCs/>
          <w:color w:val="000000" w:themeColor="text1"/>
          <w:sz w:val="20"/>
          <w:szCs w:val="20"/>
          <w:lang w:val="es-MX" w:eastAsia="es-CO"/>
        </w:rPr>
        <w:t xml:space="preserve">La </w:t>
      </w:r>
      <w:r w:rsidRPr="002F1FB1">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2F1FB1">
        <w:rPr>
          <w:rFonts w:ascii="Arial" w:eastAsia="Calibri" w:hAnsi="Arial" w:cs="Arial"/>
          <w:color w:val="000000" w:themeColor="text1"/>
          <w:sz w:val="20"/>
          <w:szCs w:val="20"/>
          <w:lang w:eastAsia="en-US"/>
        </w:rPr>
        <w:t xml:space="preserve">Por una parte, el artículo 33 de la Ley 996 de 2005 establece una prohibición que impide </w:t>
      </w:r>
      <w:r w:rsidRPr="002F1FB1">
        <w:rPr>
          <w:rFonts w:ascii="Arial" w:eastAsia="Calibri" w:hAnsi="Arial" w:cs="Arial"/>
          <w:bCs/>
          <w:color w:val="000000" w:themeColor="text1"/>
          <w:sz w:val="20"/>
          <w:szCs w:val="20"/>
          <w:lang w:eastAsia="en-US"/>
        </w:rPr>
        <w:t xml:space="preserve">«[…] </w:t>
      </w:r>
      <w:r w:rsidRPr="002F1FB1">
        <w:rPr>
          <w:rFonts w:ascii="Arial" w:eastAsia="Calibri" w:hAnsi="Arial" w:cs="Arial"/>
          <w:color w:val="000000" w:themeColor="text1"/>
          <w:sz w:val="20"/>
          <w:szCs w:val="20"/>
          <w:lang w:eastAsia="en-US"/>
        </w:rPr>
        <w:t>la contratación directa por parte de todos los entes del Estado</w:t>
      </w:r>
      <w:r w:rsidRPr="002F1FB1">
        <w:rPr>
          <w:rFonts w:ascii="Arial" w:eastAsia="Calibri" w:hAnsi="Arial" w:cs="Arial"/>
          <w:bCs/>
          <w:color w:val="000000" w:themeColor="text1"/>
          <w:sz w:val="20"/>
          <w:szCs w:val="20"/>
          <w:lang w:eastAsia="en-US"/>
        </w:rPr>
        <w:t>»</w:t>
      </w:r>
      <w:r w:rsidRPr="002F1FB1">
        <w:rPr>
          <w:rFonts w:ascii="Arial" w:eastAsia="Calibri" w:hAnsi="Arial" w:cs="Arial"/>
          <w:color w:val="000000" w:themeColor="text1"/>
          <w:sz w:val="20"/>
          <w:szCs w:val="20"/>
          <w:lang w:eastAsia="en-US"/>
        </w:rPr>
        <w:t xml:space="preserve"> durante los cuatro (4) meses anteriores a las elecciones presidenciales, salvo </w:t>
      </w:r>
      <w:r w:rsidRPr="002F1FB1">
        <w:rPr>
          <w:rFonts w:ascii="Arial" w:eastAsia="Calibri" w:hAnsi="Arial" w:cs="Arial"/>
          <w:bCs/>
          <w:color w:val="000000" w:themeColor="text1"/>
          <w:sz w:val="20"/>
          <w:szCs w:val="20"/>
          <w:lang w:eastAsia="en-US"/>
        </w:rPr>
        <w:t xml:space="preserve">«[…] </w:t>
      </w:r>
      <w:r w:rsidRPr="002F1FB1">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F1FB1">
        <w:rPr>
          <w:rFonts w:ascii="Arial" w:eastAsia="Calibri" w:hAnsi="Arial" w:cs="Arial"/>
          <w:bCs/>
          <w:color w:val="000000" w:themeColor="text1"/>
          <w:sz w:val="20"/>
          <w:szCs w:val="20"/>
          <w:lang w:eastAsia="en-US"/>
        </w:rPr>
        <w:t>»</w:t>
      </w:r>
      <w:r w:rsidRPr="002F1FB1">
        <w:rPr>
          <w:rFonts w:ascii="Arial" w:eastAsia="Calibri" w:hAnsi="Arial" w:cs="Arial"/>
          <w:color w:val="000000" w:themeColor="text1"/>
          <w:sz w:val="20"/>
          <w:szCs w:val="20"/>
          <w:lang w:eastAsia="en-US"/>
        </w:rPr>
        <w:t>.</w:t>
      </w:r>
      <w:r w:rsidR="00E17122" w:rsidRPr="002F1FB1">
        <w:rPr>
          <w:rFonts w:ascii="Arial" w:eastAsia="Calibri" w:hAnsi="Arial" w:cs="Arial"/>
          <w:color w:val="000000" w:themeColor="text1"/>
          <w:sz w:val="20"/>
          <w:szCs w:val="20"/>
          <w:lang w:eastAsia="en-US"/>
        </w:rPr>
        <w:t xml:space="preserve"> </w:t>
      </w:r>
      <w:r w:rsidRPr="002F1FB1">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2F1FB1">
        <w:rPr>
          <w:rFonts w:ascii="Arial" w:eastAsia="Calibri" w:hAnsi="Arial" w:cs="Arial"/>
          <w:bCs/>
          <w:color w:val="000000" w:themeColor="text1"/>
          <w:sz w:val="20"/>
          <w:szCs w:val="20"/>
          <w:lang w:eastAsia="en-US"/>
        </w:rPr>
        <w:t xml:space="preserve">«[…] </w:t>
      </w:r>
      <w:r w:rsidRPr="002F1FB1">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F1FB1">
        <w:rPr>
          <w:rFonts w:ascii="Arial" w:eastAsia="Calibri" w:hAnsi="Arial" w:cs="Arial"/>
          <w:bCs/>
          <w:color w:val="000000" w:themeColor="text1"/>
          <w:sz w:val="20"/>
          <w:szCs w:val="20"/>
          <w:lang w:eastAsia="en-US"/>
        </w:rPr>
        <w:t>»</w:t>
      </w:r>
      <w:r w:rsidRPr="002F1FB1">
        <w:rPr>
          <w:rFonts w:ascii="Arial" w:eastAsia="Calibri" w:hAnsi="Arial" w:cs="Arial"/>
          <w:color w:val="000000" w:themeColor="text1"/>
          <w:sz w:val="20"/>
          <w:szCs w:val="20"/>
          <w:lang w:val="es-MX" w:eastAsia="en-US"/>
        </w:rPr>
        <w:t>.</w:t>
      </w:r>
    </w:p>
    <w:p w14:paraId="5E5A7646" w14:textId="7E7B994F" w:rsidR="00EB345F" w:rsidRPr="002F1FB1" w:rsidRDefault="00EB345F" w:rsidP="00AE2188">
      <w:pPr>
        <w:jc w:val="both"/>
        <w:rPr>
          <w:rFonts w:ascii="Arial" w:eastAsia="Calibri" w:hAnsi="Arial" w:cs="Arial"/>
          <w:noProof/>
          <w:color w:val="000000" w:themeColor="text1"/>
          <w:sz w:val="20"/>
          <w:szCs w:val="20"/>
          <w:lang w:val="es-ES_tradnl" w:eastAsia="en-US"/>
        </w:rPr>
      </w:pPr>
    </w:p>
    <w:p w14:paraId="137EF084" w14:textId="77777777" w:rsidR="00AB5DF8" w:rsidRPr="002F1FB1" w:rsidRDefault="00AB5DF8" w:rsidP="00AB5DF8">
      <w:pPr>
        <w:tabs>
          <w:tab w:val="left" w:pos="426"/>
        </w:tabs>
        <w:jc w:val="both"/>
        <w:rPr>
          <w:rFonts w:ascii="Arial" w:eastAsia="Calibri" w:hAnsi="Arial" w:cs="Arial"/>
          <w:b/>
          <w:bCs/>
          <w:color w:val="000000" w:themeColor="text1"/>
          <w:sz w:val="22"/>
          <w:szCs w:val="22"/>
          <w:lang w:val="es-MX" w:eastAsia="en-US"/>
        </w:rPr>
      </w:pPr>
      <w:bookmarkStart w:id="7" w:name="_Hlk77165666"/>
      <w:bookmarkEnd w:id="4"/>
      <w:r w:rsidRPr="002F1FB1">
        <w:rPr>
          <w:rFonts w:ascii="Arial" w:eastAsia="Calibri" w:hAnsi="Arial" w:cs="Arial"/>
          <w:b/>
          <w:bCs/>
          <w:color w:val="000000" w:themeColor="text1"/>
          <w:sz w:val="22"/>
          <w:szCs w:val="22"/>
          <w:lang w:val="es-MX" w:eastAsia="en-US"/>
        </w:rPr>
        <w:t xml:space="preserve">LEY DE GARANTÍAS ELECTORALES ─ Prohibición artículo 33 ‒ </w:t>
      </w:r>
      <w:bookmarkEnd w:id="7"/>
      <w:r w:rsidRPr="002F1FB1">
        <w:rPr>
          <w:rFonts w:ascii="Arial" w:eastAsia="Calibri" w:hAnsi="Arial" w:cs="Arial"/>
          <w:b/>
          <w:bCs/>
          <w:color w:val="000000" w:themeColor="text1"/>
          <w:sz w:val="22"/>
          <w:szCs w:val="22"/>
          <w:lang w:val="es-MX" w:eastAsia="en-US"/>
        </w:rPr>
        <w:t xml:space="preserve">Contratación directa ‒ Alcance </w:t>
      </w:r>
    </w:p>
    <w:p w14:paraId="07DDB2B3" w14:textId="77777777" w:rsidR="00AB5DF8" w:rsidRPr="002F1FB1" w:rsidRDefault="00AB5DF8" w:rsidP="00AB5DF8">
      <w:pPr>
        <w:tabs>
          <w:tab w:val="left" w:pos="426"/>
        </w:tabs>
        <w:jc w:val="both"/>
        <w:rPr>
          <w:rFonts w:ascii="Arial" w:eastAsia="Calibri" w:hAnsi="Arial" w:cs="Arial"/>
          <w:noProof/>
          <w:color w:val="000000" w:themeColor="text1"/>
          <w:sz w:val="20"/>
          <w:szCs w:val="20"/>
          <w:lang w:val="es-MX" w:eastAsia="en-US"/>
        </w:rPr>
      </w:pPr>
    </w:p>
    <w:p w14:paraId="5F1D4016" w14:textId="77777777" w:rsidR="00AB5DF8" w:rsidRPr="002F1FB1" w:rsidRDefault="00AB5DF8" w:rsidP="00EE0619">
      <w:pPr>
        <w:jc w:val="both"/>
        <w:rPr>
          <w:rFonts w:ascii="Arial" w:hAnsi="Arial" w:cs="Arial"/>
          <w:bCs/>
          <w:color w:val="000000" w:themeColor="text1"/>
          <w:sz w:val="20"/>
          <w:szCs w:val="20"/>
          <w:lang w:val="es-MX" w:eastAsia="x-none"/>
        </w:rPr>
      </w:pPr>
      <w:r w:rsidRPr="002F1FB1">
        <w:rPr>
          <w:rFonts w:ascii="Arial" w:eastAsia="Calibri" w:hAnsi="Arial" w:cs="Arial"/>
          <w:noProof/>
          <w:color w:val="000000" w:themeColor="text1"/>
          <w:sz w:val="20"/>
          <w:szCs w:val="20"/>
          <w:lang w:val="es-MX" w:eastAsia="en-US"/>
        </w:rPr>
        <w:lastRenderedPageBreak/>
        <w:t xml:space="preserve">[…] </w:t>
      </w:r>
      <w:r w:rsidRPr="002F1FB1">
        <w:rPr>
          <w:rFonts w:ascii="Arial" w:hAnsi="Arial" w:cs="Arial"/>
          <w:bCs/>
          <w:color w:val="000000" w:themeColor="text1"/>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F1FB1">
        <w:rPr>
          <w:rFonts w:ascii="Arial" w:hAnsi="Arial" w:cs="Arial"/>
          <w:color w:val="000000" w:themeColor="text1"/>
          <w:sz w:val="20"/>
          <w:szCs w:val="20"/>
          <w:vertAlign w:val="superscript"/>
          <w:lang w:eastAsia="x-none"/>
        </w:rPr>
        <w:t xml:space="preserve">. </w:t>
      </w:r>
      <w:r w:rsidRPr="002F1FB1">
        <w:rPr>
          <w:rFonts w:ascii="Arial" w:hAnsi="Arial" w:cs="Arial"/>
          <w:bCs/>
          <w:color w:val="000000" w:themeColor="text1"/>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2F1FB1">
        <w:rPr>
          <w:rFonts w:ascii="Arial" w:hAnsi="Arial" w:cs="Arial"/>
          <w:color w:val="000000" w:themeColor="text1"/>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2F1FB1" w:rsidRDefault="00AB5DF8" w:rsidP="00EE0619">
      <w:pPr>
        <w:jc w:val="both"/>
        <w:rPr>
          <w:rFonts w:ascii="Arial" w:hAnsi="Arial" w:cs="Arial"/>
          <w:b/>
          <w:bCs/>
          <w:color w:val="000000" w:themeColor="text1"/>
          <w:sz w:val="20"/>
          <w:szCs w:val="20"/>
          <w:lang w:val="es-MX" w:eastAsia="es-ES"/>
        </w:rPr>
      </w:pPr>
    </w:p>
    <w:p w14:paraId="5F03E86A" w14:textId="77777777" w:rsidR="00AB5DF8" w:rsidRPr="002F1FB1" w:rsidRDefault="00AB5DF8" w:rsidP="00EE0619">
      <w:pPr>
        <w:shd w:val="clear" w:color="auto" w:fill="FFFFFF"/>
        <w:jc w:val="both"/>
        <w:rPr>
          <w:rFonts w:ascii="Arial" w:hAnsi="Arial" w:cs="Arial"/>
          <w:b/>
          <w:bCs/>
          <w:color w:val="000000" w:themeColor="text1"/>
          <w:sz w:val="22"/>
          <w:szCs w:val="22"/>
          <w:lang w:eastAsia="es-CO"/>
        </w:rPr>
      </w:pPr>
      <w:r w:rsidRPr="002F1FB1">
        <w:rPr>
          <w:rFonts w:ascii="Arial" w:hAnsi="Arial" w:cs="Arial"/>
          <w:b/>
          <w:bCs/>
          <w:color w:val="000000" w:themeColor="text1"/>
          <w:sz w:val="22"/>
          <w:szCs w:val="22"/>
          <w:lang w:eastAsia="es-CO"/>
        </w:rPr>
        <w:t xml:space="preserve">LEY DE GARANTÍAS ELECTORALES </w:t>
      </w:r>
      <w:bookmarkStart w:id="8" w:name="_Hlk77022358"/>
      <w:r w:rsidRPr="002F1FB1">
        <w:rPr>
          <w:rFonts w:ascii="Arial" w:hAnsi="Arial" w:cs="Arial"/>
          <w:b/>
          <w:bCs/>
          <w:color w:val="000000" w:themeColor="text1"/>
          <w:sz w:val="22"/>
          <w:szCs w:val="22"/>
          <w:lang w:eastAsia="es-CO"/>
        </w:rPr>
        <w:t>‒</w:t>
      </w:r>
      <w:bookmarkEnd w:id="8"/>
      <w:r w:rsidRPr="002F1FB1">
        <w:rPr>
          <w:rFonts w:ascii="Arial" w:hAnsi="Arial" w:cs="Arial"/>
          <w:b/>
          <w:bCs/>
          <w:color w:val="000000" w:themeColor="text1"/>
          <w:sz w:val="22"/>
          <w:szCs w:val="22"/>
          <w:lang w:eastAsia="es-CO"/>
        </w:rPr>
        <w:t xml:space="preserve"> Excepciones</w:t>
      </w:r>
      <w:r w:rsidRPr="002F1FB1">
        <w:rPr>
          <w:rFonts w:ascii="Arial" w:hAnsi="Arial" w:cs="Arial"/>
          <w:b/>
          <w:color w:val="000000" w:themeColor="text1"/>
          <w:sz w:val="22"/>
          <w:szCs w:val="22"/>
          <w:lang w:eastAsia="es-CO"/>
        </w:rPr>
        <w:t xml:space="preserve"> </w:t>
      </w:r>
    </w:p>
    <w:p w14:paraId="33F8204C" w14:textId="77777777" w:rsidR="00AB5DF8" w:rsidRPr="002F1FB1" w:rsidRDefault="00AB5DF8" w:rsidP="00EE0619">
      <w:pPr>
        <w:shd w:val="clear" w:color="auto" w:fill="FFFFFF"/>
        <w:jc w:val="both"/>
        <w:rPr>
          <w:rFonts w:ascii="Arial" w:hAnsi="Arial" w:cs="Arial"/>
          <w:b/>
          <w:color w:val="000000" w:themeColor="text1"/>
          <w:sz w:val="22"/>
          <w:szCs w:val="22"/>
          <w:lang w:eastAsia="es-CO"/>
        </w:rPr>
      </w:pPr>
    </w:p>
    <w:p w14:paraId="50FBDA27" w14:textId="77777777" w:rsidR="00AB5DF8" w:rsidRPr="002F1FB1" w:rsidRDefault="00AB5DF8" w:rsidP="00EE0619">
      <w:pPr>
        <w:tabs>
          <w:tab w:val="left" w:pos="426"/>
        </w:tabs>
        <w:jc w:val="both"/>
        <w:rPr>
          <w:rFonts w:ascii="Arial" w:eastAsia="Calibri" w:hAnsi="Arial" w:cs="Arial"/>
          <w:color w:val="000000" w:themeColor="text1"/>
          <w:sz w:val="20"/>
          <w:szCs w:val="20"/>
          <w:lang w:val="es-MX" w:eastAsia="en-US"/>
        </w:rPr>
      </w:pPr>
      <w:r w:rsidRPr="002F1FB1">
        <w:rPr>
          <w:rFonts w:ascii="Arial" w:hAnsi="Arial" w:cs="Arial"/>
          <w:color w:val="000000" w:themeColor="text1"/>
          <w:sz w:val="20"/>
          <w:szCs w:val="20"/>
          <w:lang w:eastAsia="x-none"/>
        </w:rPr>
        <w:t xml:space="preserve">[…] </w:t>
      </w:r>
      <w:r w:rsidRPr="002F1FB1">
        <w:rPr>
          <w:rFonts w:ascii="Arial" w:hAnsi="Arial" w:cs="Arial"/>
          <w:bCs/>
          <w:color w:val="000000" w:themeColor="text1"/>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2F1FB1">
        <w:rPr>
          <w:rFonts w:ascii="Arial" w:hAnsi="Arial" w:cs="Arial"/>
          <w:bCs/>
          <w:color w:val="000000" w:themeColor="text1"/>
          <w:sz w:val="20"/>
          <w:szCs w:val="20"/>
          <w:lang w:val="es-MX" w:eastAsia="x-none"/>
        </w:rPr>
        <w:t>ii</w:t>
      </w:r>
      <w:proofErr w:type="spellEnd"/>
      <w:r w:rsidRPr="002F1FB1">
        <w:rPr>
          <w:rFonts w:ascii="Arial" w:hAnsi="Arial" w:cs="Arial"/>
          <w:bCs/>
          <w:color w:val="000000" w:themeColor="text1"/>
          <w:sz w:val="20"/>
          <w:szCs w:val="20"/>
          <w:lang w:val="es-MX" w:eastAsia="x-none"/>
        </w:rPr>
        <w:t xml:space="preserve">) los contratos de crédito público; </w:t>
      </w:r>
      <w:proofErr w:type="spellStart"/>
      <w:r w:rsidRPr="002F1FB1">
        <w:rPr>
          <w:rFonts w:ascii="Arial" w:hAnsi="Arial" w:cs="Arial"/>
          <w:bCs/>
          <w:color w:val="000000" w:themeColor="text1"/>
          <w:sz w:val="20"/>
          <w:szCs w:val="20"/>
          <w:lang w:val="es-MX" w:eastAsia="x-none"/>
        </w:rPr>
        <w:t>iii</w:t>
      </w:r>
      <w:proofErr w:type="spellEnd"/>
      <w:r w:rsidRPr="002F1FB1">
        <w:rPr>
          <w:rFonts w:ascii="Arial" w:hAnsi="Arial" w:cs="Arial"/>
          <w:bCs/>
          <w:color w:val="000000" w:themeColor="text1"/>
          <w:sz w:val="20"/>
          <w:szCs w:val="20"/>
          <w:lang w:val="es-MX" w:eastAsia="x-none"/>
        </w:rPr>
        <w:t xml:space="preserve">) los requeridos para cubrir las emergencias educativas, sanitarias y desastres; </w:t>
      </w:r>
      <w:proofErr w:type="spellStart"/>
      <w:r w:rsidRPr="002F1FB1">
        <w:rPr>
          <w:rFonts w:ascii="Arial" w:hAnsi="Arial" w:cs="Arial"/>
          <w:bCs/>
          <w:color w:val="000000" w:themeColor="text1"/>
          <w:sz w:val="20"/>
          <w:szCs w:val="20"/>
          <w:lang w:val="es-MX" w:eastAsia="x-none"/>
        </w:rPr>
        <w:t>iv</w:t>
      </w:r>
      <w:proofErr w:type="spellEnd"/>
      <w:r w:rsidRPr="002F1FB1">
        <w:rPr>
          <w:rFonts w:ascii="Arial" w:hAnsi="Arial" w:cs="Arial"/>
          <w:bCs/>
          <w:color w:val="000000" w:themeColor="text1"/>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ECDC23" w14:textId="77777777" w:rsidR="00AB5DF8" w:rsidRPr="002F1FB1" w:rsidRDefault="00AB5DF8" w:rsidP="00EE0619">
      <w:pPr>
        <w:tabs>
          <w:tab w:val="left" w:pos="426"/>
        </w:tabs>
        <w:jc w:val="both"/>
        <w:rPr>
          <w:rFonts w:ascii="Arial" w:eastAsia="Calibri" w:hAnsi="Arial" w:cs="Arial"/>
          <w:noProof/>
          <w:color w:val="000000" w:themeColor="text1"/>
          <w:sz w:val="20"/>
          <w:szCs w:val="20"/>
          <w:lang w:eastAsia="en-US"/>
        </w:rPr>
      </w:pPr>
    </w:p>
    <w:p w14:paraId="61C61FFA" w14:textId="77777777" w:rsidR="00AB5DF8" w:rsidRPr="002F1FB1" w:rsidRDefault="00AB5DF8" w:rsidP="00EE0619">
      <w:pPr>
        <w:jc w:val="both"/>
        <w:rPr>
          <w:rFonts w:ascii="Arial" w:hAnsi="Arial" w:cs="Arial"/>
          <w:b/>
          <w:color w:val="000000" w:themeColor="text1"/>
          <w:sz w:val="22"/>
          <w:szCs w:val="22"/>
          <w:lang w:val="es-ES" w:eastAsia="es-CO"/>
        </w:rPr>
      </w:pPr>
      <w:r w:rsidRPr="002F1FB1">
        <w:rPr>
          <w:rFonts w:ascii="Arial" w:hAnsi="Arial" w:cs="Arial"/>
          <w:b/>
          <w:bCs/>
          <w:color w:val="000000" w:themeColor="text1"/>
          <w:sz w:val="22"/>
          <w:szCs w:val="22"/>
          <w:lang w:eastAsia="es-CO"/>
        </w:rPr>
        <w:t xml:space="preserve">LEY DE GARANTÍAS ELECTORALES </w:t>
      </w:r>
      <w:bookmarkStart w:id="9" w:name="_Hlk77166669"/>
      <w:r w:rsidRPr="002F1FB1">
        <w:rPr>
          <w:rFonts w:ascii="Arial" w:hAnsi="Arial" w:cs="Arial"/>
          <w:b/>
          <w:bCs/>
          <w:color w:val="000000" w:themeColor="text1"/>
          <w:sz w:val="22"/>
          <w:szCs w:val="22"/>
          <w:lang w:eastAsia="es-CO"/>
        </w:rPr>
        <w:t>‒</w:t>
      </w:r>
      <w:bookmarkEnd w:id="9"/>
      <w:r w:rsidRPr="002F1FB1">
        <w:rPr>
          <w:rFonts w:ascii="Arial" w:hAnsi="Arial" w:cs="Arial"/>
          <w:b/>
          <w:bCs/>
          <w:color w:val="000000" w:themeColor="text1"/>
          <w:sz w:val="22"/>
          <w:szCs w:val="22"/>
          <w:lang w:eastAsia="es-CO"/>
        </w:rPr>
        <w:t xml:space="preserve"> </w:t>
      </w:r>
      <w:r w:rsidRPr="002F1FB1">
        <w:rPr>
          <w:rFonts w:ascii="Arial" w:hAnsi="Arial" w:cs="Arial"/>
          <w:b/>
          <w:color w:val="000000" w:themeColor="text1"/>
          <w:sz w:val="22"/>
          <w:szCs w:val="22"/>
          <w:lang w:val="es-ES" w:eastAsia="es-CO"/>
        </w:rPr>
        <w:t xml:space="preserve">Prohibición del artículo 33 </w:t>
      </w:r>
      <w:r w:rsidRPr="002F1FB1">
        <w:rPr>
          <w:rFonts w:ascii="Arial" w:hAnsi="Arial" w:cs="Arial"/>
          <w:b/>
          <w:bCs/>
          <w:color w:val="000000" w:themeColor="text1"/>
          <w:sz w:val="22"/>
          <w:szCs w:val="22"/>
          <w:lang w:eastAsia="es-CO"/>
        </w:rPr>
        <w:t>‒ Destinatarios</w:t>
      </w:r>
    </w:p>
    <w:p w14:paraId="08C59DEE" w14:textId="77777777" w:rsidR="00AB5DF8" w:rsidRPr="002F1FB1" w:rsidRDefault="00AB5DF8" w:rsidP="00EE0619">
      <w:pPr>
        <w:tabs>
          <w:tab w:val="left" w:pos="426"/>
        </w:tabs>
        <w:jc w:val="both"/>
        <w:rPr>
          <w:rFonts w:ascii="Arial" w:eastAsia="Calibri" w:hAnsi="Arial" w:cs="Arial"/>
          <w:noProof/>
          <w:color w:val="000000" w:themeColor="text1"/>
          <w:sz w:val="22"/>
          <w:szCs w:val="22"/>
          <w:lang w:val="es-ES" w:eastAsia="en-US"/>
        </w:rPr>
      </w:pPr>
    </w:p>
    <w:p w14:paraId="45C09CF0" w14:textId="2D8D4E11" w:rsidR="00AB5DF8" w:rsidRPr="002F1FB1" w:rsidRDefault="00AB5DF8" w:rsidP="00EE0619">
      <w:pPr>
        <w:tabs>
          <w:tab w:val="left" w:pos="426"/>
        </w:tabs>
        <w:jc w:val="both"/>
        <w:rPr>
          <w:rFonts w:ascii="Arial" w:hAnsi="Arial" w:cs="Arial"/>
          <w:bCs/>
          <w:color w:val="000000" w:themeColor="text1"/>
          <w:sz w:val="20"/>
          <w:szCs w:val="20"/>
          <w:lang w:val="es-MX" w:eastAsia="x-none"/>
        </w:rPr>
      </w:pPr>
      <w:r w:rsidRPr="002F1FB1">
        <w:rPr>
          <w:rFonts w:ascii="Arial" w:hAnsi="Arial" w:cs="Arial"/>
          <w:bCs/>
          <w:color w:val="000000" w:themeColor="text1"/>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2F1FB1">
        <w:rPr>
          <w:rFonts w:ascii="Calibri" w:eastAsia="Calibri" w:hAnsi="Calibri"/>
          <w:color w:val="000000" w:themeColor="text1"/>
          <w:sz w:val="20"/>
          <w:szCs w:val="20"/>
          <w:lang w:val="es-MX" w:eastAsia="en-US"/>
        </w:rPr>
        <w:t xml:space="preserve"> </w:t>
      </w:r>
      <w:r w:rsidRPr="002F1FB1">
        <w:rPr>
          <w:rFonts w:ascii="Arial" w:hAnsi="Arial" w:cs="Arial"/>
          <w:bCs/>
          <w:color w:val="000000" w:themeColor="text1"/>
          <w:sz w:val="20"/>
          <w:szCs w:val="20"/>
          <w:lang w:val="es-MX" w:eastAsia="x-none"/>
        </w:rPr>
        <w:t>En efecto, tal como lo ha sostenido el Consejo de Estado, el vocablo «todos» utilizado por el legislador comprende</w:t>
      </w:r>
      <w:r w:rsidRPr="002F1FB1">
        <w:rPr>
          <w:rFonts w:ascii="Calibri" w:eastAsia="Calibri" w:hAnsi="Calibri"/>
          <w:color w:val="000000" w:themeColor="text1"/>
          <w:sz w:val="20"/>
          <w:szCs w:val="20"/>
          <w:lang w:val="es-MX" w:eastAsia="en-US"/>
        </w:rPr>
        <w:t xml:space="preserve"> </w:t>
      </w:r>
      <w:r w:rsidRPr="002F1FB1">
        <w:rPr>
          <w:rFonts w:ascii="Arial" w:hAnsi="Arial" w:cs="Arial"/>
          <w:bCs/>
          <w:color w:val="000000" w:themeColor="text1"/>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F1BADBF" w14:textId="77777777" w:rsidR="0030575F" w:rsidRPr="002F1FB1" w:rsidRDefault="0030575F" w:rsidP="00EE0619">
      <w:pPr>
        <w:tabs>
          <w:tab w:val="left" w:pos="426"/>
        </w:tabs>
        <w:jc w:val="both"/>
        <w:rPr>
          <w:rFonts w:ascii="Arial" w:eastAsia="Calibri" w:hAnsi="Arial" w:cs="Arial"/>
          <w:color w:val="000000" w:themeColor="text1"/>
          <w:sz w:val="20"/>
          <w:szCs w:val="20"/>
          <w:lang w:val="es-ES" w:eastAsia="en-US"/>
        </w:rPr>
      </w:pPr>
    </w:p>
    <w:bookmarkEnd w:id="2"/>
    <w:p w14:paraId="22B17329" w14:textId="77777777" w:rsidR="00F27B9A" w:rsidRPr="002F1FB1" w:rsidRDefault="00F27B9A">
      <w:pPr>
        <w:spacing w:after="200" w:line="276" w:lineRule="auto"/>
        <w:rPr>
          <w:rFonts w:ascii="Arial" w:eastAsia="Calibri" w:hAnsi="Arial" w:cs="Arial"/>
          <w:b/>
          <w:color w:val="000000" w:themeColor="text1"/>
          <w:sz w:val="22"/>
          <w:szCs w:val="22"/>
          <w:lang w:val="es-MX" w:eastAsia="en-US"/>
        </w:rPr>
      </w:pPr>
      <w:r w:rsidRPr="002F1FB1">
        <w:rPr>
          <w:rFonts w:ascii="Arial" w:eastAsia="Calibri" w:hAnsi="Arial" w:cs="Arial"/>
          <w:b/>
          <w:color w:val="000000" w:themeColor="text1"/>
          <w:sz w:val="22"/>
          <w:szCs w:val="22"/>
          <w:lang w:val="es-MX" w:eastAsia="en-US"/>
        </w:rPr>
        <w:br w:type="page"/>
      </w:r>
    </w:p>
    <w:p w14:paraId="320DE35E" w14:textId="4793516C" w:rsidR="00F472B3" w:rsidRPr="002F1FB1" w:rsidRDefault="007F590A" w:rsidP="007F590A">
      <w:pPr>
        <w:jc w:val="right"/>
        <w:rPr>
          <w:rFonts w:ascii="Arial" w:eastAsia="Calibri" w:hAnsi="Arial" w:cs="Arial"/>
          <w:b/>
          <w:color w:val="000000" w:themeColor="text1"/>
          <w:sz w:val="20"/>
          <w:szCs w:val="20"/>
          <w:lang w:val="es-MX" w:eastAsia="en-US"/>
        </w:rPr>
      </w:pPr>
      <w:r w:rsidRPr="002F1FB1">
        <w:rPr>
          <w:noProof/>
        </w:rPr>
        <w:lastRenderedPageBreak/>
        <w:drawing>
          <wp:inline distT="0" distB="0" distL="0" distR="0" wp14:anchorId="79A76E47" wp14:editId="273E9607">
            <wp:extent cx="2447925" cy="68580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47925" cy="685800"/>
                    </a:xfrm>
                    <a:prstGeom prst="rect">
                      <a:avLst/>
                    </a:prstGeom>
                  </pic:spPr>
                </pic:pic>
              </a:graphicData>
            </a:graphic>
          </wp:inline>
        </w:drawing>
      </w:r>
    </w:p>
    <w:p w14:paraId="181772D7" w14:textId="77777777" w:rsidR="00DF5964" w:rsidRPr="002F1FB1" w:rsidRDefault="00DF5964" w:rsidP="00DF5964">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r w:rsidRPr="002F1FB1">
        <w:rPr>
          <w:rFonts w:ascii="Arial" w:eastAsia="Arial MT" w:hAnsi="Arial MT" w:cs="Arial MT"/>
          <w:b/>
          <w:color w:val="000000" w:themeColor="text1"/>
          <w:sz w:val="18"/>
          <w:szCs w:val="22"/>
          <w:lang w:val="es-ES" w:eastAsia="en-US"/>
        </w:rPr>
        <w:t>CCE-DES-FM-17</w:t>
      </w:r>
    </w:p>
    <w:p w14:paraId="569D55CE" w14:textId="77777777" w:rsidR="00DF5964" w:rsidRPr="002F1FB1" w:rsidRDefault="00DF5964" w:rsidP="00DF5964">
      <w:pPr>
        <w:widowControl w:val="0"/>
        <w:autoSpaceDE w:val="0"/>
        <w:autoSpaceDN w:val="0"/>
        <w:rPr>
          <w:rFonts w:ascii="Arial" w:eastAsia="Arial MT" w:hAnsi="Arial MT" w:cs="Arial MT"/>
          <w:b/>
          <w:color w:val="000000" w:themeColor="text1"/>
          <w:sz w:val="20"/>
          <w:szCs w:val="22"/>
          <w:lang w:val="es-ES" w:eastAsia="en-US"/>
        </w:rPr>
      </w:pPr>
    </w:p>
    <w:p w14:paraId="6CF1A669" w14:textId="49902F2C" w:rsidR="00DF5964" w:rsidRPr="002F1FB1" w:rsidRDefault="00DF5964" w:rsidP="007F590A">
      <w:pPr>
        <w:widowControl w:val="0"/>
        <w:autoSpaceDE w:val="0"/>
        <w:autoSpaceDN w:val="0"/>
        <w:rPr>
          <w:rFonts w:ascii="Arial MT" w:eastAsia="Arial MT" w:hAnsi="Arial MT" w:cs="Arial MT"/>
          <w:color w:val="000000" w:themeColor="text1"/>
          <w:sz w:val="22"/>
          <w:szCs w:val="22"/>
          <w:lang w:val="es-ES" w:eastAsia="en-US"/>
        </w:rPr>
      </w:pPr>
      <w:r w:rsidRPr="002F1FB1">
        <w:rPr>
          <w:rFonts w:ascii="Arial MT" w:eastAsia="Arial MT" w:hAnsi="Arial MT" w:cs="Arial MT"/>
          <w:color w:val="000000" w:themeColor="text1"/>
          <w:sz w:val="22"/>
          <w:szCs w:val="22"/>
          <w:lang w:val="es-ES" w:eastAsia="en-US"/>
        </w:rPr>
        <w:t>Bogotá,</w:t>
      </w:r>
      <w:r w:rsidRPr="002F1FB1">
        <w:rPr>
          <w:rFonts w:ascii="Arial MT" w:eastAsia="Arial MT" w:hAnsi="Arial MT" w:cs="Arial MT"/>
          <w:color w:val="000000" w:themeColor="text1"/>
          <w:spacing w:val="-3"/>
          <w:sz w:val="22"/>
          <w:szCs w:val="22"/>
          <w:lang w:val="es-ES" w:eastAsia="en-US"/>
        </w:rPr>
        <w:t xml:space="preserve"> </w:t>
      </w:r>
      <w:r w:rsidR="007F590A" w:rsidRPr="002F1FB1">
        <w:rPr>
          <w:rFonts w:ascii="Arial MT" w:eastAsia="Arial MT" w:hAnsi="Arial MT" w:cs="Arial MT"/>
          <w:color w:val="000000" w:themeColor="text1"/>
          <w:spacing w:val="-3"/>
          <w:sz w:val="22"/>
          <w:szCs w:val="22"/>
          <w:lang w:val="es-ES" w:eastAsia="en-US"/>
        </w:rPr>
        <w:t xml:space="preserve">11 </w:t>
      </w:r>
      <w:proofErr w:type="gramStart"/>
      <w:r w:rsidR="007F590A" w:rsidRPr="002F1FB1">
        <w:rPr>
          <w:rFonts w:ascii="Arial MT" w:eastAsia="Arial MT" w:hAnsi="Arial MT" w:cs="Arial MT"/>
          <w:color w:val="000000" w:themeColor="text1"/>
          <w:spacing w:val="-3"/>
          <w:sz w:val="22"/>
          <w:szCs w:val="22"/>
          <w:lang w:val="es-ES" w:eastAsia="en-US"/>
        </w:rPr>
        <w:t>Marzo</w:t>
      </w:r>
      <w:proofErr w:type="gramEnd"/>
      <w:r w:rsidR="007F590A" w:rsidRPr="002F1FB1">
        <w:rPr>
          <w:rFonts w:ascii="Arial MT" w:eastAsia="Arial MT" w:hAnsi="Arial MT" w:cs="Arial MT"/>
          <w:color w:val="000000" w:themeColor="text1"/>
          <w:spacing w:val="-3"/>
          <w:sz w:val="22"/>
          <w:szCs w:val="22"/>
          <w:lang w:val="es-ES" w:eastAsia="en-US"/>
        </w:rPr>
        <w:t xml:space="preserve"> 2022</w:t>
      </w:r>
    </w:p>
    <w:p w14:paraId="0D89FD8A" w14:textId="77777777" w:rsidR="00DF5964" w:rsidRPr="002F1FB1" w:rsidRDefault="00DF5964" w:rsidP="00DF5964">
      <w:pPr>
        <w:widowControl w:val="0"/>
        <w:autoSpaceDE w:val="0"/>
        <w:autoSpaceDN w:val="0"/>
        <w:rPr>
          <w:rFonts w:ascii="Arial MT" w:eastAsia="Arial MT" w:hAnsi="Arial MT" w:cs="Arial MT"/>
          <w:color w:val="000000" w:themeColor="text1"/>
          <w:szCs w:val="22"/>
          <w:lang w:val="es-ES" w:eastAsia="en-US"/>
        </w:rPr>
      </w:pPr>
    </w:p>
    <w:p w14:paraId="176395FC" w14:textId="1FAB0ACC" w:rsidR="002F3E4E" w:rsidRPr="002F1FB1" w:rsidRDefault="002F3E4E" w:rsidP="00B95C30">
      <w:pPr>
        <w:jc w:val="both"/>
        <w:rPr>
          <w:rFonts w:ascii="Arial" w:hAnsi="Arial" w:cs="Arial"/>
          <w:bCs/>
          <w:color w:val="000000" w:themeColor="text1"/>
          <w:sz w:val="22"/>
          <w:lang w:val="es-ES_tradnl"/>
        </w:rPr>
      </w:pPr>
    </w:p>
    <w:p w14:paraId="5F5AE9EF" w14:textId="1CF4A4FF" w:rsidR="00B95C30" w:rsidRPr="002F1FB1" w:rsidRDefault="00D608CC" w:rsidP="00B95C30">
      <w:pPr>
        <w:jc w:val="both"/>
        <w:rPr>
          <w:rFonts w:ascii="Arial" w:eastAsia="Calibri" w:hAnsi="Arial" w:cs="Arial"/>
          <w:color w:val="000000" w:themeColor="text1"/>
          <w:sz w:val="22"/>
          <w:szCs w:val="22"/>
        </w:rPr>
      </w:pPr>
      <w:bookmarkStart w:id="10" w:name="_Hlk80951783"/>
      <w:r w:rsidRPr="002F1FB1">
        <w:rPr>
          <w:rFonts w:ascii="Arial" w:eastAsia="Calibri" w:hAnsi="Arial" w:cs="Arial"/>
          <w:color w:val="000000" w:themeColor="text1"/>
          <w:sz w:val="22"/>
          <w:szCs w:val="22"/>
        </w:rPr>
        <w:t xml:space="preserve">Doctora </w:t>
      </w:r>
    </w:p>
    <w:p w14:paraId="5771D2B3" w14:textId="206A6053" w:rsidR="00DA493A" w:rsidRPr="002F1FB1" w:rsidRDefault="00D608CC" w:rsidP="00B95C30">
      <w:pPr>
        <w:jc w:val="both"/>
        <w:rPr>
          <w:rFonts w:ascii="Arial" w:eastAsia="Calibri" w:hAnsi="Arial" w:cs="Arial"/>
          <w:b/>
          <w:color w:val="000000" w:themeColor="text1"/>
          <w:sz w:val="22"/>
          <w:szCs w:val="22"/>
        </w:rPr>
      </w:pPr>
      <w:r w:rsidRPr="002F1FB1">
        <w:rPr>
          <w:rFonts w:ascii="Arial" w:eastAsia="Calibri" w:hAnsi="Arial" w:cs="Arial"/>
          <w:b/>
          <w:color w:val="000000" w:themeColor="text1"/>
          <w:sz w:val="22"/>
          <w:szCs w:val="22"/>
        </w:rPr>
        <w:t>Paula Guerra Tamara</w:t>
      </w:r>
    </w:p>
    <w:p w14:paraId="7B32CBBB" w14:textId="32A065E4" w:rsidR="00A56E1D" w:rsidRPr="002F1FB1" w:rsidRDefault="004707BB" w:rsidP="00B95C30">
      <w:pPr>
        <w:jc w:val="both"/>
        <w:rPr>
          <w:rFonts w:ascii="Arial" w:hAnsi="Arial" w:cs="Arial"/>
          <w:color w:val="000000" w:themeColor="text1"/>
          <w:sz w:val="22"/>
          <w:szCs w:val="22"/>
        </w:rPr>
      </w:pPr>
      <w:r w:rsidRPr="002F1FB1">
        <w:rPr>
          <w:rFonts w:ascii="Arial" w:hAnsi="Arial" w:cs="Arial"/>
          <w:color w:val="000000" w:themeColor="text1"/>
          <w:sz w:val="22"/>
          <w:szCs w:val="22"/>
        </w:rPr>
        <w:t>Bogotá</w:t>
      </w:r>
      <w:r w:rsidR="005B24E7" w:rsidRPr="002F1FB1">
        <w:rPr>
          <w:rFonts w:ascii="Arial" w:hAnsi="Arial" w:cs="Arial"/>
          <w:color w:val="000000" w:themeColor="text1"/>
          <w:sz w:val="22"/>
          <w:szCs w:val="22"/>
        </w:rPr>
        <w:t xml:space="preserve"> D.C.</w:t>
      </w:r>
    </w:p>
    <w:p w14:paraId="67D315D4" w14:textId="77777777" w:rsidR="004707BB" w:rsidRPr="002F1FB1" w:rsidRDefault="004707BB" w:rsidP="00B95C30">
      <w:pPr>
        <w:jc w:val="both"/>
        <w:rPr>
          <w:rFonts w:ascii="Arial" w:eastAsia="Calibri" w:hAnsi="Arial" w:cs="Arial"/>
          <w:color w:val="000000" w:themeColor="text1"/>
          <w:sz w:val="22"/>
          <w:szCs w:val="22"/>
        </w:rPr>
      </w:pPr>
    </w:p>
    <w:p w14:paraId="0942E2A4" w14:textId="77777777" w:rsidR="000254DD" w:rsidRPr="002F1FB1" w:rsidRDefault="000254DD" w:rsidP="00B95C30">
      <w:pPr>
        <w:jc w:val="both"/>
        <w:rPr>
          <w:rFonts w:ascii="Arial" w:eastAsia="Calibri" w:hAnsi="Arial" w:cs="Arial"/>
          <w:color w:val="000000" w:themeColor="text1"/>
          <w:sz w:val="22"/>
          <w:szCs w:val="22"/>
        </w:rPr>
      </w:pPr>
    </w:p>
    <w:p w14:paraId="12E66182" w14:textId="08E390D3" w:rsidR="00B95C30" w:rsidRPr="002F1FB1" w:rsidRDefault="00A25F2F" w:rsidP="004004C2">
      <w:pPr>
        <w:rPr>
          <w:rFonts w:ascii="Arial" w:eastAsia="Calibri" w:hAnsi="Arial" w:cs="Arial"/>
          <w:b/>
          <w:bCs/>
          <w:color w:val="000000" w:themeColor="text1"/>
          <w:sz w:val="22"/>
          <w:szCs w:val="22"/>
          <w:lang w:val="es-ES_tradnl"/>
        </w:rPr>
      </w:pPr>
      <w:r w:rsidRPr="002F1FB1">
        <w:rPr>
          <w:rFonts w:ascii="Arial" w:eastAsia="Calibri" w:hAnsi="Arial" w:cs="Arial"/>
          <w:b/>
          <w:bCs/>
          <w:color w:val="000000" w:themeColor="text1"/>
          <w:sz w:val="22"/>
          <w:szCs w:val="22"/>
        </w:rPr>
        <w:t xml:space="preserve">                                            </w:t>
      </w:r>
      <w:r w:rsidR="00B95C30" w:rsidRPr="002F1FB1">
        <w:rPr>
          <w:rFonts w:ascii="Arial" w:eastAsia="Calibri" w:hAnsi="Arial" w:cs="Arial"/>
          <w:b/>
          <w:bCs/>
          <w:color w:val="000000" w:themeColor="text1"/>
          <w:sz w:val="22"/>
          <w:szCs w:val="22"/>
          <w:lang w:val="es-ES_tradnl"/>
        </w:rPr>
        <w:t>Concepto C ‒</w:t>
      </w:r>
      <w:r w:rsidR="00856F87" w:rsidRPr="002F1FB1">
        <w:rPr>
          <w:rFonts w:ascii="Arial" w:eastAsia="Calibri" w:hAnsi="Arial" w:cs="Arial"/>
          <w:b/>
          <w:bCs/>
          <w:color w:val="000000" w:themeColor="text1"/>
          <w:sz w:val="22"/>
          <w:szCs w:val="22"/>
          <w:lang w:val="es-ES_tradnl"/>
        </w:rPr>
        <w:t xml:space="preserve"> </w:t>
      </w:r>
      <w:r w:rsidR="00F472B3" w:rsidRPr="002F1FB1">
        <w:rPr>
          <w:rFonts w:ascii="Arial" w:eastAsia="Calibri" w:hAnsi="Arial" w:cs="Arial"/>
          <w:b/>
          <w:bCs/>
          <w:color w:val="000000" w:themeColor="text1"/>
          <w:sz w:val="22"/>
          <w:szCs w:val="22"/>
          <w:lang w:val="es-ES_tradnl"/>
        </w:rPr>
        <w:t>0</w:t>
      </w:r>
      <w:r w:rsidR="00D047D5" w:rsidRPr="002F1FB1">
        <w:rPr>
          <w:rFonts w:ascii="Arial" w:eastAsia="Calibri" w:hAnsi="Arial" w:cs="Arial"/>
          <w:b/>
          <w:bCs/>
          <w:color w:val="000000" w:themeColor="text1"/>
          <w:sz w:val="22"/>
          <w:szCs w:val="22"/>
          <w:lang w:val="es-ES_tradnl"/>
        </w:rPr>
        <w:t>32</w:t>
      </w:r>
      <w:r w:rsidR="00F472B3" w:rsidRPr="002F1FB1">
        <w:rPr>
          <w:rFonts w:ascii="Arial" w:eastAsia="Calibri" w:hAnsi="Arial" w:cs="Arial"/>
          <w:b/>
          <w:bCs/>
          <w:color w:val="000000" w:themeColor="text1"/>
          <w:sz w:val="22"/>
          <w:szCs w:val="22"/>
          <w:lang w:val="es-ES_tradnl"/>
        </w:rPr>
        <w:t xml:space="preserve"> </w:t>
      </w:r>
      <w:r w:rsidR="007A57B8" w:rsidRPr="002F1FB1">
        <w:rPr>
          <w:rFonts w:ascii="Arial" w:eastAsia="Calibri" w:hAnsi="Arial" w:cs="Arial"/>
          <w:b/>
          <w:bCs/>
          <w:color w:val="000000" w:themeColor="text1"/>
          <w:sz w:val="22"/>
          <w:szCs w:val="22"/>
          <w:lang w:val="es-ES_tradnl"/>
        </w:rPr>
        <w:t>de 202</w:t>
      </w:r>
      <w:r w:rsidR="00DA493A" w:rsidRPr="002F1FB1">
        <w:rPr>
          <w:rFonts w:ascii="Arial" w:eastAsia="Calibri" w:hAnsi="Arial" w:cs="Arial"/>
          <w:b/>
          <w:bCs/>
          <w:color w:val="000000" w:themeColor="text1"/>
          <w:sz w:val="22"/>
          <w:szCs w:val="22"/>
          <w:lang w:val="es-ES_tradnl"/>
        </w:rPr>
        <w:t>2</w:t>
      </w:r>
    </w:p>
    <w:p w14:paraId="20200123" w14:textId="461A4C5D" w:rsidR="0096347F" w:rsidRPr="002F1FB1"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B4A97" w:rsidRPr="002F1FB1" w14:paraId="19DFC051" w14:textId="77777777" w:rsidTr="008F4163">
        <w:tc>
          <w:tcPr>
            <w:tcW w:w="2689" w:type="dxa"/>
          </w:tcPr>
          <w:p w14:paraId="6BC0D1AC" w14:textId="77777777" w:rsidR="00B95C30" w:rsidRPr="002F1FB1" w:rsidRDefault="00B95C30" w:rsidP="008F4163">
            <w:pPr>
              <w:jc w:val="both"/>
              <w:rPr>
                <w:rFonts w:ascii="Arial" w:eastAsia="Calibri" w:hAnsi="Arial" w:cs="Arial"/>
                <w:b/>
                <w:color w:val="000000" w:themeColor="text1"/>
                <w:sz w:val="22"/>
                <w:szCs w:val="22"/>
                <w:lang w:val="es-ES_tradnl"/>
              </w:rPr>
            </w:pPr>
            <w:r w:rsidRPr="002F1FB1">
              <w:rPr>
                <w:rFonts w:ascii="Arial" w:eastAsia="Calibri" w:hAnsi="Arial" w:cs="Arial"/>
                <w:b/>
                <w:color w:val="000000" w:themeColor="text1"/>
                <w:sz w:val="22"/>
                <w:szCs w:val="22"/>
                <w:lang w:val="es-ES_tradnl"/>
              </w:rPr>
              <w:t xml:space="preserve">Temas:                                      </w:t>
            </w:r>
          </w:p>
        </w:tc>
        <w:tc>
          <w:tcPr>
            <w:tcW w:w="6237" w:type="dxa"/>
          </w:tcPr>
          <w:p w14:paraId="7B1A7825" w14:textId="4C6FD8EC" w:rsidR="00DA493A" w:rsidRPr="002F1FB1" w:rsidRDefault="00D353F8" w:rsidP="00DA493A">
            <w:pPr>
              <w:jc w:val="both"/>
              <w:rPr>
                <w:rFonts w:ascii="Arial" w:eastAsia="Calibri" w:hAnsi="Arial" w:cs="Arial"/>
                <w:b/>
                <w:color w:val="000000" w:themeColor="text1"/>
                <w:sz w:val="22"/>
                <w:szCs w:val="22"/>
                <w:lang w:val="es-MX" w:eastAsia="en-US"/>
              </w:rPr>
            </w:pPr>
            <w:r w:rsidRPr="002F1FB1">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w:t>
            </w:r>
            <w:r w:rsidR="00D044A1" w:rsidRPr="002F1FB1">
              <w:rPr>
                <w:rFonts w:ascii="Arial" w:eastAsia="Calibri" w:hAnsi="Arial" w:cs="Arial"/>
                <w:color w:val="000000" w:themeColor="text1"/>
                <w:sz w:val="22"/>
                <w:szCs w:val="22"/>
                <w:lang w:val="es-MX" w:eastAsia="en-US"/>
              </w:rPr>
              <w:t xml:space="preserve">/ </w:t>
            </w:r>
            <w:r w:rsidRPr="002F1FB1">
              <w:rPr>
                <w:rFonts w:ascii="Arial" w:eastAsia="Calibri" w:hAnsi="Arial" w:cs="Arial"/>
                <w:bCs/>
                <w:color w:val="000000" w:themeColor="text1"/>
                <w:sz w:val="22"/>
                <w:szCs w:val="22"/>
                <w:lang w:val="es-MX" w:eastAsia="en-US"/>
              </w:rPr>
              <w:t xml:space="preserve">LEY DE GARANTÍAS ELECTORALES ─ Prohibición artículo 33 ‒ Contratación directa ‒ Alcance / </w:t>
            </w:r>
            <w:r w:rsidRPr="002F1FB1">
              <w:rPr>
                <w:rFonts w:ascii="Arial" w:hAnsi="Arial" w:cs="Arial"/>
                <w:bCs/>
                <w:color w:val="000000" w:themeColor="text1"/>
                <w:sz w:val="22"/>
                <w:szCs w:val="22"/>
                <w:lang w:eastAsia="es-CO"/>
              </w:rPr>
              <w:t>LEY DE GARANTÍAS ELECTORALES ‒ Excepciones</w:t>
            </w:r>
            <w:r w:rsidRPr="002F1FB1">
              <w:rPr>
                <w:rFonts w:ascii="Arial" w:hAnsi="Arial" w:cs="Arial"/>
                <w:color w:val="000000" w:themeColor="text1"/>
                <w:sz w:val="22"/>
                <w:szCs w:val="22"/>
                <w:lang w:eastAsia="es-CO"/>
              </w:rPr>
              <w:t xml:space="preserve"> / </w:t>
            </w:r>
            <w:r w:rsidRPr="002F1FB1">
              <w:rPr>
                <w:rFonts w:ascii="Arial" w:hAnsi="Arial" w:cs="Arial"/>
                <w:bCs/>
                <w:color w:val="000000" w:themeColor="text1"/>
                <w:sz w:val="22"/>
                <w:szCs w:val="22"/>
                <w:lang w:eastAsia="es-CO"/>
              </w:rPr>
              <w:t xml:space="preserve">LEY DE GARANTÍAS ELECTORALES ‒ </w:t>
            </w:r>
            <w:r w:rsidRPr="002F1FB1">
              <w:rPr>
                <w:rFonts w:ascii="Arial" w:hAnsi="Arial" w:cs="Arial"/>
                <w:color w:val="000000" w:themeColor="text1"/>
                <w:sz w:val="22"/>
                <w:szCs w:val="22"/>
                <w:lang w:val="es-ES" w:eastAsia="es-CO"/>
              </w:rPr>
              <w:t xml:space="preserve">Prohibición del artículo 33 </w:t>
            </w:r>
            <w:r w:rsidRPr="002F1FB1">
              <w:rPr>
                <w:rFonts w:ascii="Arial" w:hAnsi="Arial" w:cs="Arial"/>
                <w:bCs/>
                <w:color w:val="000000" w:themeColor="text1"/>
                <w:sz w:val="22"/>
                <w:szCs w:val="22"/>
                <w:lang w:eastAsia="es-CO"/>
              </w:rPr>
              <w:t>‒ Destinatarios</w:t>
            </w:r>
            <w:r w:rsidR="00677C67" w:rsidRPr="002F1FB1">
              <w:rPr>
                <w:rFonts w:ascii="Arial" w:hAnsi="Arial" w:cs="Arial"/>
                <w:bCs/>
                <w:color w:val="000000" w:themeColor="text1"/>
                <w:sz w:val="22"/>
                <w:szCs w:val="22"/>
                <w:lang w:eastAsia="es-CO"/>
              </w:rPr>
              <w:t xml:space="preserve"> / </w:t>
            </w:r>
            <w:r w:rsidR="00737FB7" w:rsidRPr="002F1FB1">
              <w:rPr>
                <w:rFonts w:ascii="Arial" w:eastAsia="Calibri" w:hAnsi="Arial" w:cs="Arial"/>
                <w:color w:val="000000" w:themeColor="text1"/>
                <w:sz w:val="22"/>
                <w:szCs w:val="22"/>
                <w:lang w:val="es-MX" w:eastAsia="en-US"/>
              </w:rPr>
              <w:t xml:space="preserve">LEY DE GARANTÍAS ELECTORALES </w:t>
            </w:r>
            <w:r w:rsidR="00737FB7" w:rsidRPr="002F1FB1">
              <w:rPr>
                <w:rFonts w:ascii="Arial" w:hAnsi="Arial" w:cs="Arial"/>
                <w:bCs/>
                <w:color w:val="000000" w:themeColor="text1"/>
                <w:sz w:val="22"/>
                <w:szCs w:val="22"/>
                <w:lang w:eastAsia="es-CO"/>
              </w:rPr>
              <w:t xml:space="preserve">‒ </w:t>
            </w:r>
            <w:r w:rsidR="00D35264" w:rsidRPr="002F1FB1">
              <w:rPr>
                <w:rFonts w:ascii="Arial" w:hAnsi="Arial" w:cs="Arial"/>
                <w:bCs/>
                <w:color w:val="000000" w:themeColor="text1"/>
                <w:sz w:val="22"/>
                <w:szCs w:val="22"/>
                <w:lang w:eastAsia="es-CO"/>
              </w:rPr>
              <w:t>Sala de Consulta y Servicio Civil</w:t>
            </w:r>
            <w:r w:rsidR="00737FB7" w:rsidRPr="002F1FB1">
              <w:rPr>
                <w:rFonts w:ascii="Arial" w:hAnsi="Arial" w:cs="Arial"/>
                <w:bCs/>
                <w:color w:val="000000" w:themeColor="text1"/>
                <w:sz w:val="22"/>
                <w:szCs w:val="22"/>
                <w:lang w:eastAsia="es-CO"/>
              </w:rPr>
              <w:t xml:space="preserve"> – condiciones de igualdad – contratación directa</w:t>
            </w:r>
          </w:p>
          <w:p w14:paraId="5F389CAF" w14:textId="0F99A50E" w:rsidR="00066FA4" w:rsidRPr="002F1FB1" w:rsidRDefault="00066FA4" w:rsidP="00F472B3">
            <w:pPr>
              <w:jc w:val="both"/>
              <w:rPr>
                <w:rFonts w:ascii="Arial" w:eastAsia="Calibri" w:hAnsi="Arial" w:cs="Arial"/>
                <w:color w:val="000000" w:themeColor="text1"/>
                <w:sz w:val="22"/>
                <w:szCs w:val="22"/>
                <w:lang w:val="es-MX"/>
              </w:rPr>
            </w:pPr>
          </w:p>
        </w:tc>
      </w:tr>
      <w:tr w:rsidR="00B95C30" w:rsidRPr="002F1FB1" w14:paraId="27CD52AB" w14:textId="77777777" w:rsidTr="0096347F">
        <w:trPr>
          <w:trHeight w:val="391"/>
        </w:trPr>
        <w:tc>
          <w:tcPr>
            <w:tcW w:w="2689" w:type="dxa"/>
          </w:tcPr>
          <w:p w14:paraId="37E195A1" w14:textId="1BA218D5" w:rsidR="00B95C30" w:rsidRPr="002F1FB1" w:rsidRDefault="00B95C30" w:rsidP="008F4163">
            <w:pPr>
              <w:spacing w:before="120"/>
              <w:jc w:val="both"/>
              <w:rPr>
                <w:rFonts w:ascii="Arial" w:eastAsia="Calibri" w:hAnsi="Arial" w:cs="Arial"/>
                <w:color w:val="000000" w:themeColor="text1"/>
                <w:sz w:val="22"/>
                <w:szCs w:val="22"/>
                <w:lang w:val="es-ES_tradnl"/>
              </w:rPr>
            </w:pPr>
            <w:r w:rsidRPr="002F1FB1">
              <w:rPr>
                <w:rFonts w:ascii="Arial" w:eastAsia="Calibri" w:hAnsi="Arial" w:cs="Arial"/>
                <w:b/>
                <w:color w:val="000000" w:themeColor="text1"/>
                <w:sz w:val="22"/>
                <w:szCs w:val="22"/>
                <w:lang w:val="es-ES_tradnl"/>
              </w:rPr>
              <w:t>Radicación</w:t>
            </w:r>
            <w:r w:rsidRPr="002F1FB1">
              <w:rPr>
                <w:rFonts w:ascii="Arial" w:eastAsia="Calibri" w:hAnsi="Arial" w:cs="Arial"/>
                <w:color w:val="000000" w:themeColor="text1"/>
                <w:sz w:val="22"/>
                <w:szCs w:val="22"/>
                <w:lang w:val="es-ES_tradnl"/>
              </w:rPr>
              <w:t xml:space="preserve">:                              </w:t>
            </w:r>
          </w:p>
        </w:tc>
        <w:tc>
          <w:tcPr>
            <w:tcW w:w="6237" w:type="dxa"/>
          </w:tcPr>
          <w:p w14:paraId="09088B1B" w14:textId="7BD809A2" w:rsidR="00B95C30" w:rsidRPr="002F1FB1" w:rsidRDefault="00B95C30" w:rsidP="00F472B3">
            <w:pPr>
              <w:spacing w:before="120"/>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 xml:space="preserve">Respuesta a </w:t>
            </w:r>
            <w:r w:rsidR="00431597" w:rsidRPr="002F1FB1">
              <w:rPr>
                <w:rFonts w:ascii="Arial" w:eastAsia="Calibri" w:hAnsi="Arial" w:cs="Arial"/>
                <w:color w:val="000000" w:themeColor="text1"/>
                <w:sz w:val="22"/>
                <w:szCs w:val="22"/>
                <w:lang w:val="es-ES_tradnl"/>
              </w:rPr>
              <w:t>consultas acumuladas</w:t>
            </w:r>
            <w:r w:rsidRPr="002F1FB1">
              <w:rPr>
                <w:rFonts w:ascii="Arial" w:eastAsia="Calibri" w:hAnsi="Arial" w:cs="Arial"/>
                <w:color w:val="000000" w:themeColor="text1"/>
                <w:sz w:val="22"/>
                <w:szCs w:val="22"/>
                <w:lang w:val="es-ES_tradnl"/>
              </w:rPr>
              <w:t xml:space="preserve"> </w:t>
            </w:r>
            <w:r w:rsidR="00C610BB" w:rsidRPr="002F1FB1">
              <w:rPr>
                <w:rFonts w:ascii="Arial" w:eastAsia="Calibri" w:hAnsi="Arial" w:cs="Arial"/>
                <w:color w:val="000000" w:themeColor="text1"/>
                <w:sz w:val="22"/>
                <w:szCs w:val="22"/>
                <w:lang w:val="es-ES_tradnl"/>
              </w:rPr>
              <w:t xml:space="preserve">Nos </w:t>
            </w:r>
            <w:r w:rsidR="00F472B3" w:rsidRPr="002F1FB1">
              <w:rPr>
                <w:rFonts w:ascii="Arial" w:hAnsi="Arial" w:cs="Arial"/>
                <w:bCs/>
                <w:color w:val="000000" w:themeColor="text1"/>
                <w:sz w:val="22"/>
                <w:szCs w:val="22"/>
                <w:shd w:val="clear" w:color="auto" w:fill="FFFFFF"/>
              </w:rPr>
              <w:t>P20220</w:t>
            </w:r>
            <w:r w:rsidR="001E7193" w:rsidRPr="002F1FB1">
              <w:rPr>
                <w:rFonts w:ascii="Arial" w:hAnsi="Arial" w:cs="Arial"/>
                <w:bCs/>
                <w:color w:val="000000" w:themeColor="text1"/>
                <w:sz w:val="22"/>
                <w:szCs w:val="22"/>
                <w:shd w:val="clear" w:color="auto" w:fill="FFFFFF"/>
              </w:rPr>
              <w:t xml:space="preserve">131000831 P20220131000850 </w:t>
            </w:r>
            <w:r w:rsidR="00130C4B" w:rsidRPr="002F1FB1">
              <w:rPr>
                <w:rFonts w:ascii="Arial" w:hAnsi="Arial" w:cs="Arial"/>
                <w:bCs/>
                <w:color w:val="000000" w:themeColor="text1"/>
                <w:sz w:val="22"/>
                <w:szCs w:val="22"/>
                <w:shd w:val="clear" w:color="auto" w:fill="FFFFFF"/>
              </w:rPr>
              <w:t>P20220202000928 P20220204001067</w:t>
            </w:r>
            <w:r w:rsidR="00BF303C" w:rsidRPr="002F1FB1">
              <w:rPr>
                <w:rFonts w:ascii="Arial" w:hAnsi="Arial" w:cs="Arial"/>
                <w:bCs/>
                <w:color w:val="000000" w:themeColor="text1"/>
                <w:sz w:val="22"/>
                <w:szCs w:val="22"/>
                <w:shd w:val="clear" w:color="auto" w:fill="FFFFFF"/>
              </w:rPr>
              <w:t xml:space="preserve"> P20220207001134 </w:t>
            </w:r>
          </w:p>
        </w:tc>
      </w:tr>
    </w:tbl>
    <w:p w14:paraId="56DCC1FE" w14:textId="1E868909" w:rsidR="00552481" w:rsidRPr="002F1FB1" w:rsidRDefault="00552481" w:rsidP="00552481">
      <w:pPr>
        <w:jc w:val="both"/>
        <w:rPr>
          <w:rFonts w:ascii="Arial" w:hAnsi="Arial" w:cs="Arial"/>
          <w:b/>
          <w:bCs/>
          <w:color w:val="000000" w:themeColor="text1"/>
          <w:sz w:val="22"/>
          <w:szCs w:val="22"/>
          <w:shd w:val="clear" w:color="auto" w:fill="FFFFFF"/>
        </w:rPr>
      </w:pPr>
    </w:p>
    <w:p w14:paraId="2A43E647" w14:textId="77777777" w:rsidR="00236E1A" w:rsidRPr="002F1FB1" w:rsidRDefault="00236E1A" w:rsidP="00552481">
      <w:pPr>
        <w:jc w:val="both"/>
        <w:rPr>
          <w:rFonts w:ascii="Arial" w:hAnsi="Arial" w:cs="Arial"/>
          <w:b/>
          <w:bCs/>
          <w:color w:val="000000" w:themeColor="text1"/>
          <w:sz w:val="22"/>
          <w:szCs w:val="22"/>
          <w:shd w:val="clear" w:color="auto" w:fill="FFFFFF"/>
        </w:rPr>
      </w:pPr>
    </w:p>
    <w:p w14:paraId="1CF4AEA0" w14:textId="4357D1CA" w:rsidR="003C3339" w:rsidRPr="002F1FB1" w:rsidRDefault="003C3339" w:rsidP="003C3339">
      <w:pPr>
        <w:jc w:val="both"/>
        <w:rPr>
          <w:rFonts w:ascii="Arial" w:eastAsia="Calibri" w:hAnsi="Arial" w:cs="Arial"/>
          <w:color w:val="000000" w:themeColor="text1"/>
          <w:sz w:val="22"/>
          <w:lang w:val="es-ES_tradnl"/>
        </w:rPr>
      </w:pPr>
      <w:r w:rsidRPr="002F1FB1">
        <w:rPr>
          <w:rFonts w:ascii="Arial" w:eastAsia="Calibri" w:hAnsi="Arial" w:cs="Arial"/>
          <w:color w:val="000000" w:themeColor="text1"/>
          <w:sz w:val="22"/>
          <w:lang w:val="es-ES_tradnl"/>
        </w:rPr>
        <w:t>Estimad</w:t>
      </w:r>
      <w:r w:rsidR="00A85D9F" w:rsidRPr="002F1FB1">
        <w:rPr>
          <w:rFonts w:ascii="Arial" w:eastAsia="Calibri" w:hAnsi="Arial" w:cs="Arial"/>
          <w:color w:val="000000" w:themeColor="text1"/>
          <w:sz w:val="22"/>
          <w:lang w:val="es-ES_tradnl"/>
        </w:rPr>
        <w:t>a</w:t>
      </w:r>
      <w:r w:rsidR="004707BB" w:rsidRPr="002F1FB1">
        <w:rPr>
          <w:rFonts w:ascii="Arial" w:eastAsia="Calibri" w:hAnsi="Arial" w:cs="Arial"/>
          <w:color w:val="000000" w:themeColor="text1"/>
          <w:sz w:val="22"/>
          <w:lang w:val="es-ES_tradnl"/>
        </w:rPr>
        <w:t xml:space="preserve"> </w:t>
      </w:r>
      <w:r w:rsidR="00D047D5" w:rsidRPr="002F1FB1">
        <w:rPr>
          <w:rFonts w:ascii="Arial" w:eastAsia="Calibri" w:hAnsi="Arial" w:cs="Arial"/>
          <w:color w:val="000000" w:themeColor="text1"/>
          <w:sz w:val="22"/>
          <w:lang w:val="es-ES_tradnl"/>
        </w:rPr>
        <w:t>doctora Paula</w:t>
      </w:r>
      <w:r w:rsidR="00DA493A" w:rsidRPr="002F1FB1">
        <w:rPr>
          <w:rFonts w:ascii="Arial" w:eastAsia="Calibri" w:hAnsi="Arial" w:cs="Arial"/>
          <w:color w:val="000000" w:themeColor="text1"/>
          <w:sz w:val="22"/>
          <w:lang w:val="es-ES_tradnl"/>
        </w:rPr>
        <w:t>,</w:t>
      </w:r>
    </w:p>
    <w:p w14:paraId="1EAE5543" w14:textId="77777777" w:rsidR="00DD5B04" w:rsidRPr="002F1FB1" w:rsidRDefault="00DD5B04" w:rsidP="00DF76A2">
      <w:pPr>
        <w:jc w:val="both"/>
        <w:rPr>
          <w:rFonts w:ascii="Arial" w:eastAsia="Calibri" w:hAnsi="Arial" w:cs="Arial"/>
          <w:color w:val="000000" w:themeColor="text1"/>
          <w:sz w:val="22"/>
          <w:lang w:val="es-ES_tradnl"/>
        </w:rPr>
      </w:pPr>
    </w:p>
    <w:p w14:paraId="2109B2D3" w14:textId="63D9D7E6" w:rsidR="00DD5B04" w:rsidRPr="002F1FB1" w:rsidRDefault="00DD5B04" w:rsidP="00DF76A2">
      <w:pPr>
        <w:spacing w:line="276" w:lineRule="auto"/>
        <w:jc w:val="both"/>
        <w:rPr>
          <w:rFonts w:ascii="Arial" w:eastAsia="Calibri" w:hAnsi="Arial" w:cs="Arial"/>
          <w:color w:val="000000" w:themeColor="text1"/>
          <w:sz w:val="22"/>
          <w:lang w:val="es-ES_tradnl"/>
        </w:rPr>
      </w:pPr>
      <w:r w:rsidRPr="002F1FB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2F1FB1">
        <w:rPr>
          <w:rFonts w:ascii="Arial" w:eastAsia="Calibri" w:hAnsi="Arial" w:cs="Arial"/>
          <w:color w:val="000000" w:themeColor="text1"/>
          <w:sz w:val="22"/>
          <w:lang w:val="es-ES_tradnl"/>
        </w:rPr>
        <w:t>–</w:t>
      </w:r>
      <w:r w:rsidRPr="002F1FB1">
        <w:rPr>
          <w:rFonts w:ascii="Arial" w:eastAsia="Calibri" w:hAnsi="Arial" w:cs="Arial"/>
          <w:color w:val="000000" w:themeColor="text1"/>
          <w:sz w:val="22"/>
          <w:lang w:val="es-ES_tradnl"/>
        </w:rPr>
        <w:t xml:space="preserve"> Colombia Compra Eficiente</w:t>
      </w:r>
      <w:r w:rsidR="008C3C57" w:rsidRPr="002F1FB1">
        <w:rPr>
          <w:rFonts w:ascii="Arial" w:eastAsia="Calibri" w:hAnsi="Arial" w:cs="Arial"/>
          <w:color w:val="000000" w:themeColor="text1"/>
          <w:sz w:val="22"/>
          <w:lang w:val="es-ES_tradnl"/>
        </w:rPr>
        <w:t xml:space="preserve"> </w:t>
      </w:r>
      <w:r w:rsidR="00436B3F" w:rsidRPr="002F1FB1">
        <w:rPr>
          <w:rFonts w:ascii="Arial" w:eastAsia="Calibri" w:hAnsi="Arial" w:cs="Arial"/>
          <w:color w:val="000000" w:themeColor="text1"/>
          <w:sz w:val="22"/>
          <w:lang w:val="es-ES_tradnl"/>
        </w:rPr>
        <w:t>responde a su</w:t>
      </w:r>
      <w:r w:rsidR="00453D1E" w:rsidRPr="002F1FB1">
        <w:rPr>
          <w:rFonts w:ascii="Arial" w:eastAsia="Calibri" w:hAnsi="Arial" w:cs="Arial"/>
          <w:color w:val="000000" w:themeColor="text1"/>
          <w:sz w:val="22"/>
          <w:lang w:val="es-ES_tradnl"/>
        </w:rPr>
        <w:t>s</w:t>
      </w:r>
      <w:r w:rsidR="00436B3F" w:rsidRPr="002F1FB1">
        <w:rPr>
          <w:rFonts w:ascii="Arial" w:eastAsia="Calibri" w:hAnsi="Arial" w:cs="Arial"/>
          <w:color w:val="000000" w:themeColor="text1"/>
          <w:sz w:val="22"/>
          <w:lang w:val="es-ES_tradnl"/>
        </w:rPr>
        <w:t xml:space="preserve"> consulta</w:t>
      </w:r>
      <w:r w:rsidR="00453D1E" w:rsidRPr="002F1FB1">
        <w:rPr>
          <w:rFonts w:ascii="Arial" w:eastAsia="Calibri" w:hAnsi="Arial" w:cs="Arial"/>
          <w:color w:val="000000" w:themeColor="text1"/>
          <w:sz w:val="22"/>
          <w:lang w:val="es-ES_tradnl"/>
        </w:rPr>
        <w:t>s acumuladas</w:t>
      </w:r>
      <w:r w:rsidR="00436B3F" w:rsidRPr="002F1FB1">
        <w:rPr>
          <w:rFonts w:ascii="Arial" w:eastAsia="Calibri" w:hAnsi="Arial" w:cs="Arial"/>
          <w:color w:val="000000" w:themeColor="text1"/>
          <w:sz w:val="22"/>
          <w:lang w:val="es-ES_tradnl"/>
        </w:rPr>
        <w:t xml:space="preserve"> del </w:t>
      </w:r>
      <w:r w:rsidR="00453D1E" w:rsidRPr="002F1FB1">
        <w:rPr>
          <w:rFonts w:ascii="Arial" w:eastAsia="Calibri" w:hAnsi="Arial" w:cs="Arial"/>
          <w:color w:val="000000" w:themeColor="text1"/>
          <w:sz w:val="22"/>
          <w:lang w:val="es-ES_tradnl"/>
        </w:rPr>
        <w:t>28</w:t>
      </w:r>
      <w:r w:rsidR="00DB14D1" w:rsidRPr="002F1FB1">
        <w:rPr>
          <w:rFonts w:ascii="Arial" w:eastAsia="Calibri" w:hAnsi="Arial" w:cs="Arial"/>
          <w:color w:val="000000" w:themeColor="text1"/>
          <w:sz w:val="22"/>
          <w:lang w:val="es-ES_tradnl"/>
        </w:rPr>
        <w:t xml:space="preserve">, 31 </w:t>
      </w:r>
      <w:r w:rsidR="00453D1E" w:rsidRPr="002F1FB1">
        <w:rPr>
          <w:rFonts w:ascii="Arial" w:eastAsia="Calibri" w:hAnsi="Arial" w:cs="Arial"/>
          <w:color w:val="000000" w:themeColor="text1"/>
          <w:sz w:val="22"/>
          <w:lang w:val="es-ES_tradnl"/>
        </w:rPr>
        <w:t>de ener</w:t>
      </w:r>
      <w:r w:rsidR="0029434D" w:rsidRPr="002F1FB1">
        <w:rPr>
          <w:rFonts w:ascii="Arial" w:eastAsia="Calibri" w:hAnsi="Arial" w:cs="Arial"/>
          <w:color w:val="000000" w:themeColor="text1"/>
          <w:sz w:val="22"/>
          <w:lang w:val="es-ES_tradnl"/>
        </w:rPr>
        <w:t>o</w:t>
      </w:r>
      <w:r w:rsidR="008E3756" w:rsidRPr="002F1FB1">
        <w:rPr>
          <w:rFonts w:ascii="Arial" w:eastAsia="Calibri" w:hAnsi="Arial" w:cs="Arial"/>
          <w:color w:val="000000" w:themeColor="text1"/>
          <w:sz w:val="22"/>
          <w:lang w:val="es-ES_tradnl"/>
        </w:rPr>
        <w:t xml:space="preserve"> </w:t>
      </w:r>
      <w:r w:rsidR="005717F1" w:rsidRPr="002F1FB1">
        <w:rPr>
          <w:rFonts w:ascii="Arial" w:eastAsia="Calibri" w:hAnsi="Arial" w:cs="Arial"/>
          <w:color w:val="000000" w:themeColor="text1"/>
          <w:sz w:val="22"/>
          <w:lang w:val="es-ES_tradnl"/>
        </w:rPr>
        <w:t xml:space="preserve">de 2022 </w:t>
      </w:r>
      <w:r w:rsidR="008E3756" w:rsidRPr="002F1FB1">
        <w:rPr>
          <w:rFonts w:ascii="Arial" w:eastAsia="Calibri" w:hAnsi="Arial" w:cs="Arial"/>
          <w:color w:val="000000" w:themeColor="text1"/>
          <w:sz w:val="22"/>
          <w:lang w:val="es-ES_tradnl"/>
        </w:rPr>
        <w:t>y</w:t>
      </w:r>
      <w:r w:rsidR="005717F1" w:rsidRPr="002F1FB1">
        <w:rPr>
          <w:rFonts w:ascii="Arial" w:eastAsia="Calibri" w:hAnsi="Arial" w:cs="Arial"/>
          <w:color w:val="000000" w:themeColor="text1"/>
          <w:sz w:val="22"/>
          <w:lang w:val="es-ES_tradnl"/>
        </w:rPr>
        <w:t xml:space="preserve"> de</w:t>
      </w:r>
      <w:r w:rsidR="008E3756" w:rsidRPr="002F1FB1">
        <w:rPr>
          <w:rFonts w:ascii="Arial" w:eastAsia="Calibri" w:hAnsi="Arial" w:cs="Arial"/>
          <w:color w:val="000000" w:themeColor="text1"/>
          <w:sz w:val="22"/>
          <w:lang w:val="es-ES_tradnl"/>
        </w:rPr>
        <w:t xml:space="preserve"> 2</w:t>
      </w:r>
      <w:r w:rsidR="00C24AAC" w:rsidRPr="002F1FB1">
        <w:rPr>
          <w:rFonts w:ascii="Arial" w:eastAsia="Calibri" w:hAnsi="Arial" w:cs="Arial"/>
          <w:color w:val="000000" w:themeColor="text1"/>
          <w:sz w:val="22"/>
          <w:lang w:val="es-ES_tradnl"/>
        </w:rPr>
        <w:t xml:space="preserve">, 4 </w:t>
      </w:r>
      <w:r w:rsidR="005717F1" w:rsidRPr="002F1FB1">
        <w:rPr>
          <w:rFonts w:ascii="Arial" w:eastAsia="Calibri" w:hAnsi="Arial" w:cs="Arial"/>
          <w:color w:val="000000" w:themeColor="text1"/>
          <w:sz w:val="22"/>
          <w:lang w:val="es-ES_tradnl"/>
        </w:rPr>
        <w:t>y 7</w:t>
      </w:r>
      <w:r w:rsidR="008E3756" w:rsidRPr="002F1FB1">
        <w:rPr>
          <w:rFonts w:ascii="Arial" w:eastAsia="Calibri" w:hAnsi="Arial" w:cs="Arial"/>
          <w:color w:val="000000" w:themeColor="text1"/>
          <w:sz w:val="22"/>
          <w:lang w:val="es-ES_tradnl"/>
        </w:rPr>
        <w:t xml:space="preserve"> de febrero </w:t>
      </w:r>
      <w:r w:rsidR="0029434D" w:rsidRPr="002F1FB1">
        <w:rPr>
          <w:rFonts w:ascii="Arial" w:eastAsia="Calibri" w:hAnsi="Arial" w:cs="Arial"/>
          <w:color w:val="000000" w:themeColor="text1"/>
          <w:sz w:val="22"/>
          <w:lang w:val="es-ES_tradnl"/>
        </w:rPr>
        <w:t xml:space="preserve">de </w:t>
      </w:r>
      <w:r w:rsidR="005717F1" w:rsidRPr="002F1FB1">
        <w:rPr>
          <w:rFonts w:ascii="Arial" w:eastAsia="Calibri" w:hAnsi="Arial" w:cs="Arial"/>
          <w:color w:val="000000" w:themeColor="text1"/>
          <w:sz w:val="22"/>
          <w:lang w:val="es-ES_tradnl"/>
        </w:rPr>
        <w:t xml:space="preserve">la misma anualidad. </w:t>
      </w:r>
    </w:p>
    <w:p w14:paraId="4DD02E29" w14:textId="670A45B8" w:rsidR="0096347F" w:rsidRPr="002F1FB1"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2F1FB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F1FB1">
        <w:rPr>
          <w:rFonts w:ascii="Arial" w:eastAsia="Calibri" w:hAnsi="Arial" w:cs="Arial"/>
          <w:b/>
          <w:color w:val="000000" w:themeColor="text1"/>
          <w:sz w:val="22"/>
          <w:lang w:val="es-ES_tradnl"/>
        </w:rPr>
        <w:t xml:space="preserve">Problema planteado </w:t>
      </w:r>
    </w:p>
    <w:p w14:paraId="224B43D3" w14:textId="77777777" w:rsidR="00DD5B04" w:rsidRPr="002F1FB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F009BE5" w14:textId="26FEC0A5" w:rsidR="001C2F5C" w:rsidRPr="002F1FB1" w:rsidRDefault="00E746A6" w:rsidP="00F360DB">
      <w:pPr>
        <w:spacing w:line="276" w:lineRule="auto"/>
        <w:jc w:val="both"/>
        <w:rPr>
          <w:rFonts w:ascii="Arial" w:hAnsi="Arial" w:cs="Arial"/>
          <w:sz w:val="21"/>
          <w:szCs w:val="21"/>
        </w:rPr>
      </w:pPr>
      <w:r w:rsidRPr="002F1FB1">
        <w:rPr>
          <w:rFonts w:ascii="Arial" w:hAnsi="Arial" w:cs="Arial"/>
          <w:color w:val="000000" w:themeColor="text1"/>
          <w:sz w:val="22"/>
          <w:szCs w:val="22"/>
          <w:lang w:val="es-ES_tradnl"/>
        </w:rPr>
        <w:t xml:space="preserve">En su consulta </w:t>
      </w:r>
      <w:r w:rsidR="00A61F2A" w:rsidRPr="002F1FB1">
        <w:rPr>
          <w:rFonts w:ascii="Arial" w:hAnsi="Arial" w:cs="Arial"/>
          <w:color w:val="000000" w:themeColor="text1"/>
          <w:sz w:val="22"/>
          <w:szCs w:val="22"/>
          <w:lang w:val="es-ES_tradnl"/>
        </w:rPr>
        <w:t>formula</w:t>
      </w:r>
      <w:r w:rsidR="00CB02EF" w:rsidRPr="002F1FB1">
        <w:rPr>
          <w:rFonts w:ascii="Arial" w:hAnsi="Arial" w:cs="Arial"/>
          <w:color w:val="000000" w:themeColor="text1"/>
          <w:sz w:val="22"/>
          <w:szCs w:val="22"/>
          <w:lang w:val="es-ES_tradnl"/>
        </w:rPr>
        <w:t xml:space="preserve"> la siguiente </w:t>
      </w:r>
      <w:r w:rsidR="006A06F3" w:rsidRPr="002F1FB1">
        <w:rPr>
          <w:rFonts w:ascii="Arial" w:hAnsi="Arial" w:cs="Arial"/>
          <w:color w:val="000000" w:themeColor="text1"/>
          <w:sz w:val="22"/>
          <w:szCs w:val="22"/>
          <w:lang w:val="es-ES_tradnl"/>
        </w:rPr>
        <w:t>petición</w:t>
      </w:r>
      <w:r w:rsidR="00CB02EF" w:rsidRPr="002F1FB1">
        <w:rPr>
          <w:rFonts w:ascii="Arial" w:hAnsi="Arial" w:cs="Arial"/>
          <w:color w:val="000000" w:themeColor="text1"/>
          <w:sz w:val="22"/>
          <w:szCs w:val="22"/>
          <w:lang w:val="es-ES_tradnl"/>
        </w:rPr>
        <w:t>, en relación con</w:t>
      </w:r>
      <w:r w:rsidR="00EF00E6" w:rsidRPr="002F1FB1">
        <w:rPr>
          <w:rFonts w:ascii="Arial" w:hAnsi="Arial" w:cs="Arial"/>
          <w:color w:val="000000" w:themeColor="text1"/>
          <w:sz w:val="22"/>
          <w:szCs w:val="22"/>
          <w:lang w:val="es-ES_tradnl"/>
        </w:rPr>
        <w:t xml:space="preserve"> </w:t>
      </w:r>
      <w:r w:rsidR="001C2F5C" w:rsidRPr="002F1FB1">
        <w:rPr>
          <w:rFonts w:ascii="Arial" w:hAnsi="Arial" w:cs="Arial"/>
          <w:color w:val="000000" w:themeColor="text1"/>
          <w:sz w:val="22"/>
          <w:szCs w:val="22"/>
          <w:lang w:val="es-ES_tradnl"/>
        </w:rPr>
        <w:t xml:space="preserve">la aplicación del artículo 33 de la Ley de Garantías Electorales en </w:t>
      </w:r>
      <w:r w:rsidR="00FC655B" w:rsidRPr="002F1FB1">
        <w:rPr>
          <w:rFonts w:ascii="Arial" w:hAnsi="Arial" w:cs="Arial"/>
          <w:color w:val="000000" w:themeColor="text1"/>
          <w:sz w:val="22"/>
          <w:szCs w:val="22"/>
          <w:lang w:val="es-ES_tradnl"/>
        </w:rPr>
        <w:t xml:space="preserve">los contratos de </w:t>
      </w:r>
      <w:r w:rsidR="0012171E" w:rsidRPr="002F1FB1">
        <w:rPr>
          <w:rFonts w:ascii="Arial" w:hAnsi="Arial" w:cs="Arial"/>
          <w:color w:val="000000" w:themeColor="text1"/>
          <w:sz w:val="22"/>
          <w:szCs w:val="22"/>
          <w:lang w:val="es-ES_tradnl"/>
        </w:rPr>
        <w:t xml:space="preserve">acceso e interconexión de servicios de </w:t>
      </w:r>
      <w:r w:rsidR="002977A3" w:rsidRPr="002F1FB1">
        <w:rPr>
          <w:rFonts w:ascii="Arial" w:hAnsi="Arial" w:cs="Arial"/>
          <w:color w:val="000000" w:themeColor="text1"/>
          <w:sz w:val="22"/>
          <w:szCs w:val="22"/>
          <w:lang w:val="es-ES_tradnl"/>
        </w:rPr>
        <w:t>comunicaciones</w:t>
      </w:r>
      <w:r w:rsidR="00EF00E6" w:rsidRPr="002F1FB1">
        <w:rPr>
          <w:rFonts w:ascii="Arial" w:hAnsi="Arial" w:cs="Arial"/>
          <w:color w:val="000000" w:themeColor="text1"/>
          <w:sz w:val="22"/>
          <w:szCs w:val="22"/>
          <w:lang w:val="es-ES_tradnl"/>
        </w:rPr>
        <w:t xml:space="preserve">, </w:t>
      </w:r>
      <w:r w:rsidR="006915CE" w:rsidRPr="002F1FB1">
        <w:rPr>
          <w:rFonts w:ascii="Arial" w:hAnsi="Arial" w:cs="Arial"/>
          <w:color w:val="000000" w:themeColor="text1"/>
          <w:sz w:val="22"/>
          <w:szCs w:val="22"/>
          <w:lang w:val="es-ES_tradnl"/>
        </w:rPr>
        <w:t>de acuerdo con lo señalado por</w:t>
      </w:r>
      <w:r w:rsidR="005F5514" w:rsidRPr="002F1FB1">
        <w:rPr>
          <w:rFonts w:ascii="Arial" w:hAnsi="Arial" w:cs="Arial"/>
          <w:color w:val="000000" w:themeColor="text1"/>
          <w:sz w:val="22"/>
          <w:szCs w:val="22"/>
          <w:lang w:val="es-ES_tradnl"/>
        </w:rPr>
        <w:t xml:space="preserve"> la Agencia Nacional de Contratación </w:t>
      </w:r>
      <w:r w:rsidR="005F5514" w:rsidRPr="002F1FB1">
        <w:rPr>
          <w:rFonts w:ascii="Arial" w:hAnsi="Arial" w:cs="Arial"/>
          <w:color w:val="000000" w:themeColor="text1"/>
          <w:sz w:val="22"/>
          <w:szCs w:val="22"/>
          <w:lang w:val="es-ES_tradnl"/>
        </w:rPr>
        <w:lastRenderedPageBreak/>
        <w:t xml:space="preserve">Pública – Colombia Compra Eficiente, </w:t>
      </w:r>
      <w:r w:rsidR="00AD3991" w:rsidRPr="002F1FB1">
        <w:rPr>
          <w:rFonts w:ascii="Arial" w:hAnsi="Arial" w:cs="Arial"/>
          <w:color w:val="000000" w:themeColor="text1"/>
          <w:sz w:val="22"/>
          <w:szCs w:val="22"/>
          <w:lang w:val="es-ES_tradnl"/>
        </w:rPr>
        <w:t xml:space="preserve">en concepto emitido </w:t>
      </w:r>
      <w:r w:rsidR="005F5514" w:rsidRPr="002F1FB1">
        <w:rPr>
          <w:rFonts w:ascii="Arial" w:hAnsi="Arial" w:cs="Arial"/>
          <w:sz w:val="22"/>
          <w:szCs w:val="22"/>
        </w:rPr>
        <w:t>el 24 de abril de 2018, con el número de radicado 2201813000003411</w:t>
      </w:r>
      <w:r w:rsidR="00D16EA2" w:rsidRPr="002F1FB1">
        <w:rPr>
          <w:rFonts w:ascii="Arial" w:hAnsi="Arial" w:cs="Arial"/>
          <w:sz w:val="22"/>
          <w:szCs w:val="22"/>
        </w:rPr>
        <w:t>:</w:t>
      </w:r>
      <w:r w:rsidR="00D16EA2" w:rsidRPr="002F1FB1">
        <w:rPr>
          <w:rFonts w:ascii="Arial" w:hAnsi="Arial" w:cs="Arial"/>
          <w:sz w:val="21"/>
          <w:szCs w:val="21"/>
        </w:rPr>
        <w:t xml:space="preserve"> </w:t>
      </w:r>
    </w:p>
    <w:p w14:paraId="624EDAFA" w14:textId="77777777" w:rsidR="006915CE" w:rsidRPr="002F1FB1" w:rsidRDefault="006915CE" w:rsidP="00F360DB">
      <w:pPr>
        <w:spacing w:line="276" w:lineRule="auto"/>
        <w:jc w:val="both"/>
        <w:rPr>
          <w:rFonts w:ascii="Arial" w:hAnsi="Arial" w:cs="Arial"/>
          <w:color w:val="000000" w:themeColor="text1"/>
          <w:sz w:val="22"/>
          <w:szCs w:val="22"/>
          <w:lang w:val="es-ES_tradnl"/>
        </w:rPr>
      </w:pPr>
    </w:p>
    <w:p w14:paraId="5B1FF44C" w14:textId="65D0FD39" w:rsidR="006915CE" w:rsidRPr="002F1FB1" w:rsidRDefault="00505494" w:rsidP="00497A11">
      <w:pPr>
        <w:ind w:left="709" w:right="709"/>
        <w:jc w:val="both"/>
        <w:rPr>
          <w:rFonts w:ascii="Arial" w:hAnsi="Arial" w:cs="Arial"/>
          <w:sz w:val="21"/>
          <w:szCs w:val="21"/>
        </w:rPr>
      </w:pPr>
      <w:r w:rsidRPr="002F1FB1">
        <w:rPr>
          <w:rFonts w:ascii="Arial" w:hAnsi="Arial" w:cs="Arial"/>
          <w:sz w:val="21"/>
          <w:szCs w:val="21"/>
        </w:rPr>
        <w:t>[…] D</w:t>
      </w:r>
      <w:r w:rsidR="00D16EA2" w:rsidRPr="002F1FB1">
        <w:rPr>
          <w:rFonts w:ascii="Arial" w:hAnsi="Arial" w:cs="Arial"/>
          <w:sz w:val="21"/>
          <w:szCs w:val="21"/>
        </w:rPr>
        <w:t>ebe considerarse que a pesar que la Ley de Garantías Electorales sea de naturaleza estatutaria, el sector en competencia de las telecomunicaciones se encuentra regido por la Ley especial como ya se indicó, que para el caso concreto es la Ley 1341 de 2009, la cual, en su artículo 55 prevé que los contratos de los PRST se rigen por el derecho privado y, si bien es cierto, CCE y el Consejo de Estado han establecido que la Ley de Garantías Electorales aplica a todas las entidades públicas, independientemente del régimen de contratación (público o privado) que les resulte aplicable, también lo es que los contratos de Acceso e Interconexión son la herramienta e instrumento para garantizar la efectividad de intereses superiores, como derechos fundamentales, y el respaldo a las actividades de defensa y seguridad del Estado, pues – se insiste- los servicios de comunicaciones son esenciales y necesarios para la estabilidad y mantenimiento del orden público, por lo que en este tipo de acuerdos y contratos, la limitación de Ley de Garantías no debería aplicar. Por lo expuesto, solicitamos respetuosamente tener en cuenta lo antes expuesto dentro del trámite del asunto en referencia, respecto al concepto emitido por CCE el 24 de abril de 2018, con el número de radicado 2201813000003411, y proponemos llevar a cabo una mesa de trabajo en la que se pueda exponer y tratar el tema con mayor detalle, pues no suministrar el Acceso, Uso e Interconexión por la imposibilidad de suscribir este tipo de contratos afecta directamente a los usuarios de</w:t>
      </w:r>
      <w:r w:rsidRPr="002F1FB1">
        <w:rPr>
          <w:rFonts w:ascii="Arial" w:hAnsi="Arial" w:cs="Arial"/>
          <w:sz w:val="21"/>
          <w:szCs w:val="21"/>
        </w:rPr>
        <w:t xml:space="preserve"> los servicios de telecomunicaciones, con el riesgo sancionatorio que esto tiene para ETB.</w:t>
      </w:r>
      <w:r w:rsidR="00497A11" w:rsidRPr="002F1FB1">
        <w:rPr>
          <w:rFonts w:ascii="Arial" w:hAnsi="Arial" w:cs="Arial"/>
          <w:sz w:val="21"/>
          <w:szCs w:val="21"/>
        </w:rPr>
        <w:t xml:space="preserve"> // Quedamos muy atentos a su respuesta, y si CCE así lo considera, agradecemos que se conceda la mesa de trabajo solicitada.</w:t>
      </w:r>
    </w:p>
    <w:p w14:paraId="4EB6FED8" w14:textId="77777777" w:rsidR="001340F5" w:rsidRPr="002F1FB1" w:rsidRDefault="001340F5" w:rsidP="006915CE">
      <w:pPr>
        <w:ind w:left="709" w:right="709"/>
        <w:jc w:val="both"/>
        <w:rPr>
          <w:rFonts w:ascii="Arial" w:hAnsi="Arial" w:cs="Arial"/>
          <w:color w:val="000000" w:themeColor="text1"/>
          <w:sz w:val="21"/>
          <w:szCs w:val="21"/>
          <w:lang w:val="es-ES_tradnl"/>
        </w:rPr>
      </w:pPr>
    </w:p>
    <w:p w14:paraId="124D2DCA" w14:textId="77777777" w:rsidR="00DD5B04" w:rsidRPr="002F1FB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F1FB1">
        <w:rPr>
          <w:rFonts w:ascii="Arial" w:eastAsia="Calibri" w:hAnsi="Arial" w:cs="Arial"/>
          <w:b/>
          <w:color w:val="000000" w:themeColor="text1"/>
          <w:sz w:val="22"/>
          <w:lang w:val="es-ES_tradnl"/>
        </w:rPr>
        <w:t>Consideraciones</w:t>
      </w:r>
    </w:p>
    <w:p w14:paraId="7D050D2E" w14:textId="77777777" w:rsidR="00435703" w:rsidRPr="002F1FB1" w:rsidRDefault="00435703" w:rsidP="00DF76A2">
      <w:pPr>
        <w:spacing w:line="276" w:lineRule="auto"/>
        <w:jc w:val="both"/>
        <w:rPr>
          <w:rFonts w:ascii="Arial" w:eastAsia="Calibri" w:hAnsi="Arial" w:cs="Arial"/>
          <w:color w:val="000000" w:themeColor="text1"/>
          <w:sz w:val="22"/>
          <w:szCs w:val="22"/>
          <w:lang w:val="es-ES_tradnl"/>
        </w:rPr>
      </w:pPr>
    </w:p>
    <w:p w14:paraId="18EC9351" w14:textId="4A00AA41" w:rsidR="003D52FB" w:rsidRPr="002F1FB1" w:rsidRDefault="003D52FB" w:rsidP="003D52FB">
      <w:pPr>
        <w:spacing w:after="120" w:line="276" w:lineRule="auto"/>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1E7DEA" w:rsidRPr="002F1FB1">
        <w:rPr>
          <w:rStyle w:val="Refdenotaalpie"/>
          <w:rFonts w:ascii="Arial" w:eastAsia="Calibri" w:hAnsi="Arial" w:cs="Arial"/>
          <w:color w:val="000000" w:themeColor="text1"/>
          <w:sz w:val="22"/>
          <w:szCs w:val="22"/>
          <w:lang w:val="es-ES_tradnl"/>
        </w:rPr>
        <w:footnoteReference w:id="2"/>
      </w:r>
      <w:r w:rsidRPr="002F1FB1">
        <w:rPr>
          <w:rFonts w:ascii="Arial" w:eastAsia="Calibri" w:hAnsi="Arial" w:cs="Arial"/>
          <w:color w:val="000000" w:themeColor="text1"/>
          <w:sz w:val="22"/>
          <w:szCs w:val="22"/>
          <w:lang w:val="es-ES_tradnl"/>
        </w:rPr>
        <w:t>.</w:t>
      </w:r>
    </w:p>
    <w:p w14:paraId="46DC48EB" w14:textId="77777777" w:rsidR="003D52FB" w:rsidRPr="002F1FB1" w:rsidRDefault="003D52FB" w:rsidP="003D52FB">
      <w:pPr>
        <w:spacing w:after="120" w:line="276" w:lineRule="auto"/>
        <w:ind w:firstLine="709"/>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 xml:space="preserve">Es necesario tener en cuenta que esta entidad solo tiene competencia para responder solicitudes sobre la aplicación de normas de carácter general en materia de </w:t>
      </w:r>
      <w:r w:rsidRPr="002F1FB1">
        <w:rPr>
          <w:rFonts w:ascii="Arial" w:eastAsia="Calibri" w:hAnsi="Arial" w:cs="Arial"/>
          <w:color w:val="000000" w:themeColor="text1"/>
          <w:sz w:val="22"/>
          <w:szCs w:val="22"/>
          <w:lang w:val="es-ES_tradnl"/>
        </w:rPr>
        <w:lastRenderedPageBreak/>
        <w:t>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0BE63C96" w14:textId="77777777" w:rsidR="003D52FB" w:rsidRPr="002F1FB1" w:rsidRDefault="003D52FB" w:rsidP="003D52FB">
      <w:pPr>
        <w:spacing w:after="120" w:line="276" w:lineRule="auto"/>
        <w:ind w:firstLine="709"/>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257768C1" w14:textId="7C28DFAE" w:rsidR="00CB2E56" w:rsidRPr="002F1FB1" w:rsidRDefault="00CB2E56" w:rsidP="00AE2188">
      <w:pPr>
        <w:spacing w:after="120" w:line="276" w:lineRule="auto"/>
        <w:ind w:firstLine="709"/>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 xml:space="preserve">Sin perjuicio de lo anterior, </w:t>
      </w:r>
      <w:r w:rsidRPr="002F1FB1">
        <w:rPr>
          <w:rFonts w:ascii="Arial" w:eastAsia="Calibri" w:hAnsi="Arial" w:cs="Arial"/>
          <w:color w:val="000000" w:themeColor="text1"/>
          <w:sz w:val="22"/>
          <w:lang w:val="es-ES"/>
        </w:rPr>
        <w:t>la Subdirección</w:t>
      </w:r>
      <w:r w:rsidRPr="002F1FB1">
        <w:rPr>
          <w:rFonts w:ascii="Arial" w:eastAsia="Calibri" w:hAnsi="Arial" w:cs="Arial"/>
          <w:color w:val="000000" w:themeColor="text1"/>
          <w:sz w:val="22"/>
          <w:szCs w:val="22"/>
          <w:lang w:val="es-ES_tradnl"/>
        </w:rPr>
        <w:t xml:space="preserve"> responderá su consulta dentro de los límites de su competencia, previo análisis de los siguientes temas: i) definición y finalidad de la Ley de Garantías Electorales; </w:t>
      </w:r>
      <w:r w:rsidR="00540E53" w:rsidRPr="002F1FB1">
        <w:rPr>
          <w:rFonts w:ascii="Arial" w:eastAsia="Calibri" w:hAnsi="Arial" w:cs="Arial"/>
          <w:color w:val="000000" w:themeColor="text1"/>
          <w:sz w:val="22"/>
          <w:szCs w:val="22"/>
          <w:lang w:val="es-ES_tradnl"/>
        </w:rPr>
        <w:t xml:space="preserve">y </w:t>
      </w:r>
      <w:proofErr w:type="spellStart"/>
      <w:r w:rsidRPr="002F1FB1">
        <w:rPr>
          <w:rFonts w:ascii="Arial" w:eastAsia="Calibri" w:hAnsi="Arial" w:cs="Arial"/>
          <w:color w:val="000000" w:themeColor="text1"/>
          <w:sz w:val="22"/>
          <w:szCs w:val="22"/>
          <w:lang w:val="es-ES_tradnl"/>
        </w:rPr>
        <w:t>ii</w:t>
      </w:r>
      <w:proofErr w:type="spellEnd"/>
      <w:r w:rsidRPr="002F1FB1">
        <w:rPr>
          <w:rFonts w:ascii="Arial" w:eastAsia="Calibri" w:hAnsi="Arial" w:cs="Arial"/>
          <w:color w:val="000000" w:themeColor="text1"/>
          <w:sz w:val="22"/>
          <w:szCs w:val="22"/>
          <w:lang w:val="es-ES_tradnl"/>
        </w:rPr>
        <w:t>) las restricciones en elecciones presidenciales, donde se desarrollará la prohibición del artículo 33 de la Ley 996 de 2005.</w:t>
      </w:r>
    </w:p>
    <w:p w14:paraId="2100A875" w14:textId="471A130B" w:rsidR="00E670DD" w:rsidRPr="002F1FB1" w:rsidRDefault="00CB2E56" w:rsidP="00AE2188">
      <w:pPr>
        <w:spacing w:line="276" w:lineRule="auto"/>
        <w:ind w:firstLine="708"/>
        <w:jc w:val="both"/>
        <w:rPr>
          <w:rFonts w:ascii="Arial" w:eastAsia="Calibri" w:hAnsi="Arial" w:cs="Arial"/>
          <w:color w:val="000000" w:themeColor="text1"/>
          <w:sz w:val="22"/>
        </w:rPr>
      </w:pPr>
      <w:r w:rsidRPr="002F1FB1">
        <w:rPr>
          <w:rFonts w:ascii="Arial" w:eastAsia="Calibri" w:hAnsi="Arial" w:cs="Arial"/>
          <w:color w:val="000000" w:themeColor="text1"/>
          <w:sz w:val="22"/>
          <w:szCs w:val="22"/>
          <w:lang w:val="es-ES_tradnl"/>
        </w:rPr>
        <w:t xml:space="preserve"> </w:t>
      </w:r>
      <w:r w:rsidR="008E30C4" w:rsidRPr="002F1FB1">
        <w:rPr>
          <w:rFonts w:ascii="Arial" w:eastAsia="Calibri" w:hAnsi="Arial" w:cs="Arial"/>
          <w:color w:val="000000" w:themeColor="text1"/>
          <w:sz w:val="22"/>
          <w:szCs w:val="22"/>
          <w:lang w:val="es-ES_tradnl"/>
        </w:rPr>
        <w:t xml:space="preserve">La </w:t>
      </w:r>
      <w:r w:rsidR="000A600A" w:rsidRPr="002F1FB1">
        <w:rPr>
          <w:rFonts w:ascii="Arial" w:eastAsia="Calibri" w:hAnsi="Arial" w:cs="Arial"/>
          <w:color w:val="000000" w:themeColor="text1"/>
          <w:sz w:val="22"/>
          <w:szCs w:val="22"/>
          <w:lang w:val="es-ES_tradnl"/>
        </w:rPr>
        <w:t>Agencia Nacional de Contratación Pública – Colombia Compra Eficiente</w:t>
      </w:r>
      <w:r w:rsidR="00E670DD" w:rsidRPr="002F1FB1">
        <w:rPr>
          <w:rFonts w:ascii="Arial" w:eastAsia="Calibri" w:hAnsi="Arial" w:cs="Arial"/>
          <w:color w:val="000000" w:themeColor="text1"/>
          <w:sz w:val="22"/>
        </w:rPr>
        <w:t xml:space="preserve"> se ha pronunciado en diferentes ocasiones sobre la Ley de Garantías</w:t>
      </w:r>
      <w:r w:rsidR="001459D2" w:rsidRPr="002F1FB1">
        <w:rPr>
          <w:rFonts w:ascii="Arial" w:eastAsia="Calibri" w:hAnsi="Arial" w:cs="Arial"/>
          <w:color w:val="000000" w:themeColor="text1"/>
          <w:sz w:val="22"/>
        </w:rPr>
        <w:t xml:space="preserve"> Electorales</w:t>
      </w:r>
      <w:r w:rsidR="00E670DD" w:rsidRPr="002F1FB1">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2F1FB1">
        <w:rPr>
          <w:rFonts w:ascii="Arial" w:eastAsia="Calibri" w:hAnsi="Arial" w:cs="Arial"/>
          <w:color w:val="000000" w:themeColor="text1"/>
          <w:sz w:val="22"/>
        </w:rPr>
        <w:t xml:space="preserve">, </w:t>
      </w:r>
      <w:r w:rsidR="00974B94" w:rsidRPr="002F1FB1">
        <w:rPr>
          <w:rFonts w:ascii="Arial" w:eastAsia="Calibri" w:hAnsi="Arial" w:cs="Arial"/>
          <w:color w:val="000000" w:themeColor="text1"/>
          <w:sz w:val="22"/>
        </w:rPr>
        <w:t xml:space="preserve"> C-227 del 24 de mayo de 2021</w:t>
      </w:r>
      <w:r w:rsidR="00E746A6" w:rsidRPr="002F1FB1">
        <w:rPr>
          <w:rFonts w:ascii="Arial" w:eastAsia="Calibri" w:hAnsi="Arial" w:cs="Arial"/>
          <w:color w:val="000000" w:themeColor="text1"/>
          <w:sz w:val="22"/>
        </w:rPr>
        <w:t xml:space="preserve"> y </w:t>
      </w:r>
      <w:r w:rsidR="0030575F" w:rsidRPr="002F1FB1">
        <w:rPr>
          <w:rFonts w:ascii="Arial" w:eastAsia="Calibri" w:hAnsi="Arial" w:cs="Arial"/>
          <w:color w:val="000000" w:themeColor="text1"/>
          <w:sz w:val="22"/>
        </w:rPr>
        <w:t>3</w:t>
      </w:r>
      <w:r w:rsidR="00E746A6" w:rsidRPr="002F1FB1">
        <w:rPr>
          <w:rFonts w:ascii="Arial" w:eastAsia="Calibri" w:hAnsi="Arial" w:cs="Arial"/>
          <w:color w:val="000000" w:themeColor="text1"/>
          <w:sz w:val="22"/>
        </w:rPr>
        <w:t>96 de</w:t>
      </w:r>
      <w:r w:rsidR="0030575F" w:rsidRPr="002F1FB1">
        <w:rPr>
          <w:rFonts w:ascii="Arial" w:eastAsia="Calibri" w:hAnsi="Arial" w:cs="Arial"/>
          <w:color w:val="000000" w:themeColor="text1"/>
          <w:sz w:val="22"/>
        </w:rPr>
        <w:t>l 13 de agosto de</w:t>
      </w:r>
      <w:r w:rsidR="00E746A6" w:rsidRPr="002F1FB1">
        <w:rPr>
          <w:rFonts w:ascii="Arial" w:eastAsia="Calibri" w:hAnsi="Arial" w:cs="Arial"/>
          <w:color w:val="000000" w:themeColor="text1"/>
          <w:sz w:val="22"/>
        </w:rPr>
        <w:t xml:space="preserve"> 2021</w:t>
      </w:r>
      <w:r w:rsidR="00E552DD" w:rsidRPr="002F1FB1">
        <w:rPr>
          <w:rFonts w:ascii="Arial" w:eastAsia="Calibri" w:hAnsi="Arial" w:cs="Arial"/>
          <w:color w:val="000000" w:themeColor="text1"/>
          <w:sz w:val="22"/>
        </w:rPr>
        <w:t>, C-429 del 27 de agosto de 2021</w:t>
      </w:r>
      <w:r w:rsidR="00A161D5" w:rsidRPr="002F1FB1">
        <w:rPr>
          <w:rFonts w:ascii="Arial" w:eastAsia="Calibri" w:hAnsi="Arial" w:cs="Arial"/>
          <w:color w:val="000000" w:themeColor="text1"/>
          <w:sz w:val="22"/>
        </w:rPr>
        <w:t xml:space="preserve">, C-456 del 3 de septiembre, C-481 del 9 de septiembre de 2021, </w:t>
      </w:r>
      <w:r w:rsidR="000A0A18" w:rsidRPr="002F1FB1">
        <w:rPr>
          <w:rFonts w:ascii="Arial" w:eastAsia="Calibri" w:hAnsi="Arial" w:cs="Arial"/>
          <w:color w:val="000000" w:themeColor="text1"/>
          <w:sz w:val="22"/>
        </w:rPr>
        <w:t>C- 528 del 27 de septiembre de 2021, C-550 del 5 de octubre de 2021</w:t>
      </w:r>
      <w:r w:rsidR="004707BB" w:rsidRPr="002F1FB1">
        <w:rPr>
          <w:rFonts w:ascii="Arial" w:eastAsia="Calibri" w:hAnsi="Arial" w:cs="Arial"/>
          <w:color w:val="000000" w:themeColor="text1"/>
          <w:sz w:val="22"/>
        </w:rPr>
        <w:t xml:space="preserve">, </w:t>
      </w:r>
      <w:r w:rsidR="00E552DD" w:rsidRPr="002F1FB1">
        <w:rPr>
          <w:rFonts w:ascii="Arial" w:eastAsia="Calibri" w:hAnsi="Arial" w:cs="Arial"/>
          <w:color w:val="000000" w:themeColor="text1"/>
          <w:sz w:val="22"/>
        </w:rPr>
        <w:t xml:space="preserve"> C-523 del </w:t>
      </w:r>
      <w:r w:rsidR="00E17CD1" w:rsidRPr="002F1FB1">
        <w:rPr>
          <w:rFonts w:ascii="Arial" w:eastAsia="Calibri" w:hAnsi="Arial" w:cs="Arial"/>
          <w:color w:val="000000" w:themeColor="text1"/>
          <w:sz w:val="22"/>
        </w:rPr>
        <w:t>10 de octubre de 2021</w:t>
      </w:r>
      <w:r w:rsidR="00552481" w:rsidRPr="002F1FB1">
        <w:rPr>
          <w:rFonts w:ascii="Arial" w:eastAsia="Calibri" w:hAnsi="Arial" w:cs="Arial"/>
          <w:color w:val="000000" w:themeColor="text1"/>
          <w:sz w:val="22"/>
        </w:rPr>
        <w:t xml:space="preserve">, </w:t>
      </w:r>
      <w:r w:rsidR="004707BB" w:rsidRPr="002F1FB1">
        <w:rPr>
          <w:rFonts w:ascii="Arial" w:eastAsia="Calibri" w:hAnsi="Arial" w:cs="Arial"/>
          <w:color w:val="000000" w:themeColor="text1"/>
          <w:sz w:val="22"/>
        </w:rPr>
        <w:t>C-614 del 2 de noviembre de 2021</w:t>
      </w:r>
      <w:r w:rsidR="00552481" w:rsidRPr="002F1FB1">
        <w:rPr>
          <w:rFonts w:ascii="Arial" w:eastAsia="Calibri" w:hAnsi="Arial" w:cs="Arial"/>
          <w:color w:val="000000" w:themeColor="text1"/>
          <w:sz w:val="22"/>
        </w:rPr>
        <w:t xml:space="preserve"> y C-543 del 11 de noviembre de 2021</w:t>
      </w:r>
      <w:r w:rsidR="00EE0619" w:rsidRPr="002F1FB1">
        <w:rPr>
          <w:rFonts w:ascii="Arial" w:eastAsia="Calibri" w:hAnsi="Arial" w:cs="Arial"/>
          <w:color w:val="000000" w:themeColor="text1"/>
          <w:sz w:val="22"/>
        </w:rPr>
        <w:t xml:space="preserve">, </w:t>
      </w:r>
      <w:r w:rsidR="00213954" w:rsidRPr="002F1FB1">
        <w:rPr>
          <w:rFonts w:ascii="Arial" w:eastAsia="Calibri" w:hAnsi="Arial" w:cs="Arial"/>
          <w:color w:val="000000" w:themeColor="text1"/>
          <w:sz w:val="22"/>
        </w:rPr>
        <w:t>C-633 del 11 de noviembre de 2021</w:t>
      </w:r>
      <w:r w:rsidR="00236E1A" w:rsidRPr="002F1FB1">
        <w:rPr>
          <w:rFonts w:ascii="Arial" w:eastAsia="Calibri" w:hAnsi="Arial" w:cs="Arial"/>
          <w:color w:val="000000" w:themeColor="text1"/>
          <w:sz w:val="22"/>
        </w:rPr>
        <w:t>, 681 del 7 de diciembre de 2021, C-686 del 21 de diciembre de 2021, C-697 del 3 de enero de 2022</w:t>
      </w:r>
      <w:r w:rsidR="00540E53" w:rsidRPr="002F1FB1">
        <w:rPr>
          <w:rFonts w:ascii="Arial" w:eastAsia="Calibri" w:hAnsi="Arial" w:cs="Arial"/>
          <w:color w:val="000000" w:themeColor="text1"/>
          <w:sz w:val="22"/>
        </w:rPr>
        <w:t xml:space="preserve">, </w:t>
      </w:r>
      <w:r w:rsidR="00236E1A" w:rsidRPr="002F1FB1">
        <w:rPr>
          <w:rFonts w:ascii="Arial" w:eastAsia="Calibri" w:hAnsi="Arial" w:cs="Arial"/>
          <w:color w:val="000000" w:themeColor="text1"/>
          <w:sz w:val="22"/>
        </w:rPr>
        <w:t xml:space="preserve"> </w:t>
      </w:r>
      <w:r w:rsidR="00540E53" w:rsidRPr="002F1FB1">
        <w:rPr>
          <w:rFonts w:ascii="Arial" w:eastAsia="Calibri" w:hAnsi="Arial" w:cs="Arial"/>
          <w:color w:val="000000" w:themeColor="text1"/>
          <w:sz w:val="22"/>
        </w:rPr>
        <w:t xml:space="preserve">C – </w:t>
      </w:r>
      <w:r w:rsidR="00236E1A" w:rsidRPr="002F1FB1">
        <w:rPr>
          <w:rFonts w:ascii="Arial" w:eastAsia="Calibri" w:hAnsi="Arial" w:cs="Arial"/>
          <w:color w:val="000000" w:themeColor="text1"/>
          <w:sz w:val="22"/>
        </w:rPr>
        <w:t>002 del 15 de febrero de 2022</w:t>
      </w:r>
      <w:r w:rsidR="000853D5" w:rsidRPr="002F1FB1">
        <w:rPr>
          <w:rFonts w:ascii="Arial" w:eastAsia="Calibri" w:hAnsi="Arial" w:cs="Arial"/>
          <w:color w:val="000000" w:themeColor="text1"/>
          <w:sz w:val="22"/>
        </w:rPr>
        <w:t xml:space="preserve">, C – 014 de </w:t>
      </w:r>
      <w:r w:rsidR="008E7C7C" w:rsidRPr="002F1FB1">
        <w:rPr>
          <w:rFonts w:ascii="Arial" w:eastAsia="Calibri" w:hAnsi="Arial" w:cs="Arial"/>
          <w:color w:val="000000" w:themeColor="text1"/>
          <w:sz w:val="22"/>
        </w:rPr>
        <w:t xml:space="preserve">18 de febrero de 2022, C – 015 de 14 de febrero de 2022, </w:t>
      </w:r>
      <w:r w:rsidR="005D48DE" w:rsidRPr="002F1FB1">
        <w:rPr>
          <w:rFonts w:ascii="Arial" w:eastAsia="Calibri" w:hAnsi="Arial" w:cs="Arial"/>
          <w:color w:val="000000" w:themeColor="text1"/>
          <w:sz w:val="22"/>
        </w:rPr>
        <w:t xml:space="preserve">C – 022 de 21 de febrero de 2022, </w:t>
      </w:r>
      <w:r w:rsidR="00286B98" w:rsidRPr="002F1FB1">
        <w:rPr>
          <w:rFonts w:ascii="Arial" w:eastAsia="Calibri" w:hAnsi="Arial" w:cs="Arial"/>
          <w:color w:val="000000" w:themeColor="text1"/>
          <w:sz w:val="22"/>
        </w:rPr>
        <w:t xml:space="preserve">C – 023 de 22 de febrero de 2022, </w:t>
      </w:r>
      <w:r w:rsidR="000416C5" w:rsidRPr="002F1FB1">
        <w:rPr>
          <w:rFonts w:ascii="Arial" w:eastAsia="Calibri" w:hAnsi="Arial" w:cs="Arial"/>
          <w:color w:val="000000" w:themeColor="text1"/>
          <w:sz w:val="22"/>
        </w:rPr>
        <w:t xml:space="preserve">C-008 de 25 de febrero de 2022, </w:t>
      </w:r>
      <w:r w:rsidR="00AA3565" w:rsidRPr="002F1FB1">
        <w:rPr>
          <w:rFonts w:ascii="Arial" w:eastAsia="Calibri" w:hAnsi="Arial" w:cs="Arial"/>
          <w:color w:val="000000" w:themeColor="text1"/>
          <w:sz w:val="22"/>
        </w:rPr>
        <w:t xml:space="preserve"> C – 037 de </w:t>
      </w:r>
      <w:r w:rsidR="001A6AD4" w:rsidRPr="002F1FB1">
        <w:rPr>
          <w:rFonts w:ascii="Arial" w:eastAsia="Calibri" w:hAnsi="Arial" w:cs="Arial"/>
          <w:color w:val="000000" w:themeColor="text1"/>
          <w:sz w:val="22"/>
        </w:rPr>
        <w:t xml:space="preserve">21 de enero de 2022, C-044 de 4 de marzo de 2022, </w:t>
      </w:r>
      <w:r w:rsidR="00C27D9F" w:rsidRPr="002F1FB1">
        <w:rPr>
          <w:rFonts w:ascii="Arial" w:eastAsia="Calibri" w:hAnsi="Arial" w:cs="Arial"/>
          <w:color w:val="000000" w:themeColor="text1"/>
          <w:sz w:val="22"/>
        </w:rPr>
        <w:t xml:space="preserve">C-045 de 3 de marzo de 2022, C-051 de </w:t>
      </w:r>
      <w:r w:rsidR="009C181E" w:rsidRPr="002F1FB1">
        <w:rPr>
          <w:rFonts w:ascii="Arial" w:eastAsia="Calibri" w:hAnsi="Arial" w:cs="Arial"/>
          <w:color w:val="000000" w:themeColor="text1"/>
          <w:sz w:val="22"/>
        </w:rPr>
        <w:t xml:space="preserve">7 de marzo de 2022, </w:t>
      </w:r>
      <w:r w:rsidR="00165BD5" w:rsidRPr="002F1FB1">
        <w:rPr>
          <w:rFonts w:ascii="Arial" w:eastAsia="Calibri" w:hAnsi="Arial" w:cs="Arial"/>
          <w:color w:val="000000" w:themeColor="text1"/>
          <w:sz w:val="22"/>
        </w:rPr>
        <w:t xml:space="preserve">y </w:t>
      </w:r>
      <w:r w:rsidR="009C181E" w:rsidRPr="002F1FB1">
        <w:rPr>
          <w:rFonts w:ascii="Arial" w:eastAsia="Calibri" w:hAnsi="Arial" w:cs="Arial"/>
          <w:color w:val="000000" w:themeColor="text1"/>
          <w:sz w:val="22"/>
        </w:rPr>
        <w:t xml:space="preserve">C – 064 de 8 de marzo de 2022 </w:t>
      </w:r>
      <w:r w:rsidR="00974B94" w:rsidRPr="002F1FB1">
        <w:rPr>
          <w:rFonts w:ascii="Arial" w:eastAsia="Calibri" w:hAnsi="Arial" w:cs="Arial"/>
          <w:color w:val="000000" w:themeColor="text1"/>
          <w:sz w:val="22"/>
        </w:rPr>
        <w:t xml:space="preserve">. Teniendo en cuenta </w:t>
      </w:r>
      <w:r w:rsidR="002D283F" w:rsidRPr="002F1FB1">
        <w:rPr>
          <w:rFonts w:ascii="Arial" w:eastAsia="Calibri" w:hAnsi="Arial" w:cs="Arial"/>
          <w:color w:val="000000" w:themeColor="text1"/>
          <w:sz w:val="22"/>
        </w:rPr>
        <w:t>los conceptos anteriores y</w:t>
      </w:r>
      <w:r w:rsidR="00974B94" w:rsidRPr="002F1FB1">
        <w:rPr>
          <w:rFonts w:ascii="Arial" w:eastAsia="Calibri" w:hAnsi="Arial" w:cs="Arial"/>
          <w:color w:val="000000" w:themeColor="text1"/>
          <w:sz w:val="22"/>
        </w:rPr>
        <w:t xml:space="preserve"> </w:t>
      </w:r>
      <w:r w:rsidR="002D283F" w:rsidRPr="002F1FB1">
        <w:rPr>
          <w:rFonts w:ascii="Arial" w:eastAsia="Calibri" w:hAnsi="Arial" w:cs="Arial"/>
          <w:color w:val="000000" w:themeColor="text1"/>
          <w:sz w:val="22"/>
        </w:rPr>
        <w:t>analizando</w:t>
      </w:r>
      <w:r w:rsidR="00974B94" w:rsidRPr="002F1FB1">
        <w:rPr>
          <w:rFonts w:ascii="Arial" w:eastAsia="Calibri" w:hAnsi="Arial" w:cs="Arial"/>
          <w:color w:val="000000" w:themeColor="text1"/>
          <w:sz w:val="22"/>
        </w:rPr>
        <w:t xml:space="preserve"> la pregunta en cuestión se </w:t>
      </w:r>
      <w:r w:rsidR="002D283F" w:rsidRPr="002F1FB1">
        <w:rPr>
          <w:rFonts w:ascii="Arial" w:eastAsia="Calibri" w:hAnsi="Arial" w:cs="Arial"/>
          <w:color w:val="000000" w:themeColor="text1"/>
          <w:sz w:val="22"/>
        </w:rPr>
        <w:t>realizan las siguientes consideraciones.</w:t>
      </w:r>
      <w:r w:rsidR="00974B94" w:rsidRPr="002F1FB1">
        <w:rPr>
          <w:rFonts w:ascii="Arial" w:eastAsia="Calibri" w:hAnsi="Arial" w:cs="Arial"/>
          <w:color w:val="000000" w:themeColor="text1"/>
          <w:sz w:val="22"/>
        </w:rPr>
        <w:t xml:space="preserve"> </w:t>
      </w:r>
    </w:p>
    <w:p w14:paraId="0D27A697" w14:textId="452E95D1" w:rsidR="00F433CB" w:rsidRPr="002F1FB1" w:rsidRDefault="00F433CB" w:rsidP="001459D2">
      <w:pPr>
        <w:spacing w:line="276" w:lineRule="auto"/>
        <w:jc w:val="both"/>
        <w:rPr>
          <w:rFonts w:ascii="Arial" w:eastAsia="Calibri" w:hAnsi="Arial" w:cs="Arial"/>
          <w:color w:val="000000" w:themeColor="text1"/>
          <w:sz w:val="22"/>
        </w:rPr>
      </w:pPr>
    </w:p>
    <w:p w14:paraId="061B8FD6" w14:textId="77777777" w:rsidR="003C408D" w:rsidRPr="002F1FB1" w:rsidRDefault="003C408D" w:rsidP="003C408D">
      <w:pPr>
        <w:tabs>
          <w:tab w:val="left" w:pos="426"/>
        </w:tabs>
        <w:spacing w:line="276" w:lineRule="auto"/>
        <w:jc w:val="both"/>
        <w:rPr>
          <w:rFonts w:ascii="Arial" w:eastAsia="Calibri" w:hAnsi="Arial" w:cs="Arial"/>
          <w:b/>
          <w:bCs/>
          <w:color w:val="000000" w:themeColor="text1"/>
          <w:sz w:val="22"/>
          <w:szCs w:val="22"/>
          <w:lang w:eastAsia="en-US"/>
        </w:rPr>
      </w:pPr>
      <w:r w:rsidRPr="002F1FB1">
        <w:rPr>
          <w:rFonts w:ascii="Arial" w:eastAsia="Calibri" w:hAnsi="Arial" w:cs="Arial"/>
          <w:b/>
          <w:bCs/>
          <w:color w:val="000000" w:themeColor="text1"/>
          <w:sz w:val="22"/>
          <w:szCs w:val="22"/>
          <w:lang w:eastAsia="en-US"/>
        </w:rPr>
        <w:lastRenderedPageBreak/>
        <w:t>2.1. Definición y finalidad de la Ley de Garantías Electorales: alcance de las restricciones</w:t>
      </w:r>
    </w:p>
    <w:p w14:paraId="6A69ADBA" w14:textId="77777777" w:rsidR="003C408D" w:rsidRPr="002F1FB1" w:rsidRDefault="003C408D" w:rsidP="003C408D">
      <w:pPr>
        <w:tabs>
          <w:tab w:val="left" w:pos="426"/>
        </w:tabs>
        <w:spacing w:line="276" w:lineRule="auto"/>
        <w:ind w:firstLine="709"/>
        <w:jc w:val="both"/>
        <w:rPr>
          <w:rFonts w:ascii="Arial" w:eastAsia="Calibri" w:hAnsi="Arial" w:cs="Arial"/>
          <w:bCs/>
          <w:color w:val="000000" w:themeColor="text1"/>
          <w:sz w:val="22"/>
          <w:szCs w:val="22"/>
          <w:lang w:eastAsia="en-US"/>
        </w:rPr>
      </w:pPr>
    </w:p>
    <w:p w14:paraId="733AA01E" w14:textId="77777777" w:rsidR="003C408D" w:rsidRPr="002F1FB1" w:rsidRDefault="003C408D" w:rsidP="003C408D">
      <w:pPr>
        <w:tabs>
          <w:tab w:val="left" w:pos="426"/>
        </w:tabs>
        <w:spacing w:after="120" w:line="276" w:lineRule="auto"/>
        <w:jc w:val="both"/>
        <w:rPr>
          <w:rFonts w:ascii="Arial" w:hAnsi="Arial" w:cs="Arial"/>
          <w:bCs/>
          <w:color w:val="000000" w:themeColor="text1"/>
          <w:sz w:val="22"/>
          <w:szCs w:val="22"/>
          <w:lang w:eastAsia="es-CO"/>
        </w:rPr>
      </w:pPr>
      <w:r w:rsidRPr="002F1FB1">
        <w:rPr>
          <w:rFonts w:ascii="Arial" w:eastAsia="Calibri" w:hAnsi="Arial" w:cs="Arial"/>
          <w:bCs/>
          <w:color w:val="000000" w:themeColor="text1"/>
          <w:sz w:val="22"/>
          <w:szCs w:val="22"/>
          <w:lang w:eastAsia="en-US"/>
        </w:rPr>
        <w:t>El ordenamiento jurídico colombiano contempla previsiones claras para evitar la obtención de beneficios personales en asuntos propios de la administración pública</w:t>
      </w:r>
      <w:r w:rsidRPr="002F1FB1">
        <w:rPr>
          <w:rFonts w:ascii="Arial" w:eastAsia="Calibri" w:hAnsi="Arial" w:cs="Arial"/>
          <w:bCs/>
          <w:i/>
          <w:iCs/>
          <w:color w:val="000000" w:themeColor="text1"/>
          <w:sz w:val="22"/>
          <w:szCs w:val="22"/>
          <w:lang w:eastAsia="en-US"/>
        </w:rPr>
        <w:t xml:space="preserve">. </w:t>
      </w:r>
      <w:r w:rsidRPr="002F1FB1">
        <w:rPr>
          <w:rFonts w:ascii="Arial" w:eastAsia="Calibri" w:hAnsi="Arial" w:cs="Arial"/>
          <w:bCs/>
          <w:color w:val="000000" w:themeColor="text1"/>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2F1FB1">
        <w:rPr>
          <w:rFonts w:ascii="Arial" w:eastAsia="Calibri" w:hAnsi="Arial" w:cs="Arial"/>
          <w:bCs/>
          <w:color w:val="000000" w:themeColor="text1"/>
          <w:sz w:val="22"/>
          <w:szCs w:val="22"/>
          <w:vertAlign w:val="superscript"/>
          <w:lang w:eastAsia="en-US"/>
        </w:rPr>
        <w:footnoteReference w:id="3"/>
      </w:r>
      <w:r w:rsidRPr="002F1FB1">
        <w:rPr>
          <w:rFonts w:ascii="Arial" w:eastAsia="Calibri" w:hAnsi="Arial" w:cs="Arial"/>
          <w:bCs/>
          <w:color w:val="000000" w:themeColor="text1"/>
          <w:sz w:val="22"/>
          <w:szCs w:val="22"/>
          <w:lang w:eastAsia="en-US"/>
        </w:rPr>
        <w:t xml:space="preserve">. </w:t>
      </w:r>
    </w:p>
    <w:p w14:paraId="2B1DA027" w14:textId="62E4F680" w:rsidR="003C408D" w:rsidRPr="002F1FB1" w:rsidRDefault="003C408D" w:rsidP="003C408D">
      <w:pPr>
        <w:tabs>
          <w:tab w:val="left" w:pos="426"/>
        </w:tabs>
        <w:spacing w:line="276" w:lineRule="auto"/>
        <w:ind w:firstLine="709"/>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eastAsia="es-CO"/>
        </w:rPr>
        <w:t>En el mismo sentido</w:t>
      </w:r>
      <w:r w:rsidRPr="002F1FB1">
        <w:rPr>
          <w:rFonts w:ascii="Arial" w:hAnsi="Arial" w:cs="Arial"/>
          <w:bCs/>
          <w:color w:val="000000" w:themeColor="text1"/>
          <w:sz w:val="22"/>
          <w:szCs w:val="22"/>
          <w:lang w:val="es-MX" w:eastAsia="es-CO"/>
        </w:rPr>
        <w:t>, la Ley 996 de 2005, conocida como «Ley de Garantías Electorales», se suma a</w:t>
      </w:r>
      <w:r w:rsidR="0085644D" w:rsidRPr="002F1FB1">
        <w:rPr>
          <w:rFonts w:ascii="Arial" w:hAnsi="Arial" w:cs="Arial"/>
          <w:bCs/>
          <w:color w:val="000000" w:themeColor="text1"/>
          <w:sz w:val="22"/>
          <w:szCs w:val="22"/>
          <w:lang w:val="es-MX" w:eastAsia="es-CO"/>
        </w:rPr>
        <w:t xml:space="preserve"> la normatividad</w:t>
      </w:r>
      <w:r w:rsidRPr="002F1FB1">
        <w:rPr>
          <w:rFonts w:ascii="Arial" w:hAnsi="Arial" w:cs="Arial"/>
          <w:bCs/>
          <w:color w:val="000000" w:themeColor="text1"/>
          <w:sz w:val="22"/>
          <w:szCs w:val="22"/>
          <w:lang w:val="es-MX" w:eastAsia="es-CO"/>
        </w:rPr>
        <w:t xml:space="preserv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F1FB1">
        <w:rPr>
          <w:rFonts w:ascii="Arial" w:hAnsi="Arial" w:cs="Arial"/>
          <w:bCs/>
          <w:color w:val="000000" w:themeColor="text1"/>
          <w:sz w:val="22"/>
          <w:szCs w:val="22"/>
          <w:vertAlign w:val="superscript"/>
          <w:lang w:val="es-MX" w:eastAsia="es-CO"/>
        </w:rPr>
        <w:footnoteReference w:id="4"/>
      </w:r>
      <w:r w:rsidRPr="002F1FB1">
        <w:rPr>
          <w:rFonts w:ascii="Arial" w:hAnsi="Arial" w:cs="Arial"/>
          <w:bCs/>
          <w:color w:val="000000" w:themeColor="text1"/>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2F1FB1">
        <w:rPr>
          <w:rFonts w:ascii="Arial" w:eastAsia="Calibri" w:hAnsi="Arial" w:cs="Arial"/>
          <w:noProof/>
          <w:color w:val="000000" w:themeColor="text1"/>
          <w:sz w:val="22"/>
          <w:szCs w:val="22"/>
          <w:lang w:val="es-ES_tradnl" w:eastAsia="en-US"/>
        </w:rPr>
        <w:t xml:space="preserve"> </w:t>
      </w:r>
      <w:r w:rsidRPr="002F1FB1">
        <w:rPr>
          <w:rFonts w:ascii="Arial" w:hAnsi="Arial" w:cs="Arial"/>
          <w:bCs/>
          <w:color w:val="000000" w:themeColor="text1"/>
          <w:sz w:val="22"/>
          <w:szCs w:val="22"/>
          <w:lang w:val="es-MX" w:eastAsia="es-CO"/>
        </w:rPr>
        <w:t>En armonía con lo anterior, la Corte Constitucional ha abordado la definición de la Ley de Garantías Electorales. De esta manera, explica que tiene como propósito:</w:t>
      </w:r>
    </w:p>
    <w:p w14:paraId="2A95B862" w14:textId="77777777" w:rsidR="003C408D" w:rsidRPr="002F1FB1" w:rsidRDefault="003C408D" w:rsidP="003C408D">
      <w:pPr>
        <w:ind w:right="709"/>
        <w:jc w:val="both"/>
        <w:rPr>
          <w:rFonts w:ascii="Arial" w:hAnsi="Arial" w:cs="Arial"/>
          <w:color w:val="000000" w:themeColor="text1"/>
          <w:sz w:val="21"/>
          <w:szCs w:val="21"/>
          <w:lang w:val="es-ES" w:eastAsia="es-CO"/>
        </w:rPr>
      </w:pPr>
    </w:p>
    <w:p w14:paraId="4CCF54A1" w14:textId="77777777" w:rsidR="003C408D" w:rsidRPr="002F1FB1" w:rsidRDefault="003C408D" w:rsidP="003C408D">
      <w:pPr>
        <w:ind w:left="709" w:right="709"/>
        <w:jc w:val="both"/>
        <w:rPr>
          <w:rFonts w:ascii="Arial" w:hAnsi="Arial" w:cs="Arial"/>
          <w:bCs/>
          <w:color w:val="000000" w:themeColor="text1"/>
          <w:sz w:val="21"/>
          <w:szCs w:val="21"/>
          <w:lang w:val="es-MX" w:eastAsia="es-CO"/>
        </w:rPr>
      </w:pPr>
      <w:r w:rsidRPr="002F1FB1">
        <w:rPr>
          <w:rFonts w:ascii="Arial" w:hAnsi="Arial" w:cs="Arial"/>
          <w:color w:val="000000" w:themeColor="text1"/>
          <w:sz w:val="21"/>
          <w:szCs w:val="21"/>
          <w:lang w:val="es-ES" w:eastAsia="es-CO"/>
        </w:rPr>
        <w:t xml:space="preserve">[…] </w:t>
      </w:r>
      <w:r w:rsidRPr="002F1FB1">
        <w:rPr>
          <w:rFonts w:ascii="Arial" w:hAnsi="Arial" w:cs="Arial"/>
          <w:bCs/>
          <w:color w:val="000000" w:themeColor="text1"/>
          <w:sz w:val="21"/>
          <w:szCs w:val="21"/>
          <w:lang w:val="es-MX" w:eastAsia="es-CO"/>
        </w:rPr>
        <w:t>la definición de reglas claras que permitan acceder a los canales de expresión democrática de manera efectiva e igualitaria. El objetivo de una ley de garantías es definir esas reglas.</w:t>
      </w:r>
    </w:p>
    <w:p w14:paraId="48EE73D6" w14:textId="77777777" w:rsidR="003C408D" w:rsidRPr="002F1FB1" w:rsidRDefault="003C408D" w:rsidP="003C408D">
      <w:pPr>
        <w:spacing w:after="120"/>
        <w:ind w:left="709" w:right="709"/>
        <w:jc w:val="both"/>
        <w:rPr>
          <w:rFonts w:ascii="Arial" w:hAnsi="Arial" w:cs="Arial"/>
          <w:bCs/>
          <w:color w:val="000000" w:themeColor="text1"/>
          <w:sz w:val="21"/>
          <w:szCs w:val="21"/>
          <w:lang w:val="es-MX" w:eastAsia="es-CO"/>
        </w:rPr>
      </w:pPr>
      <w:r w:rsidRPr="002F1FB1">
        <w:rPr>
          <w:rFonts w:ascii="Arial" w:hAnsi="Arial" w:cs="Arial"/>
          <w:bCs/>
          <w:color w:val="000000" w:themeColor="text1"/>
          <w:sz w:val="21"/>
          <w:szCs w:val="21"/>
          <w:lang w:val="es-MX" w:eastAsia="es-CO"/>
        </w:rPr>
        <w:t xml:space="preserve">[…] </w:t>
      </w:r>
    </w:p>
    <w:p w14:paraId="7EDEC04A" w14:textId="77777777" w:rsidR="003C408D" w:rsidRPr="002F1FB1" w:rsidRDefault="003C408D" w:rsidP="003C408D">
      <w:pPr>
        <w:ind w:left="709" w:right="709"/>
        <w:jc w:val="both"/>
        <w:rPr>
          <w:rFonts w:ascii="Arial" w:hAnsi="Arial" w:cs="Arial"/>
          <w:bCs/>
          <w:color w:val="000000" w:themeColor="text1"/>
          <w:sz w:val="21"/>
          <w:szCs w:val="21"/>
          <w:lang w:val="es-MX" w:eastAsia="es-CO"/>
        </w:rPr>
      </w:pPr>
      <w:r w:rsidRPr="002F1FB1">
        <w:rPr>
          <w:rFonts w:ascii="Arial" w:hAnsi="Arial" w:cs="Arial"/>
          <w:bCs/>
          <w:color w:val="000000" w:themeColor="text1"/>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F1FB1">
        <w:rPr>
          <w:rFonts w:ascii="Arial" w:eastAsiaTheme="minorHAnsi" w:hAnsi="Arial" w:cs="Arial"/>
          <w:color w:val="000000" w:themeColor="text1"/>
          <w:sz w:val="20"/>
          <w:szCs w:val="20"/>
          <w:vertAlign w:val="superscript"/>
          <w:lang w:val="es-MX" w:eastAsia="en-US"/>
        </w:rPr>
        <w:footnoteReference w:id="5"/>
      </w:r>
    </w:p>
    <w:p w14:paraId="4283D822" w14:textId="77777777" w:rsidR="003C408D" w:rsidRPr="002F1FB1" w:rsidRDefault="003C408D" w:rsidP="003C408D">
      <w:pPr>
        <w:spacing w:line="276" w:lineRule="auto"/>
        <w:ind w:left="709" w:right="709"/>
        <w:jc w:val="both"/>
        <w:rPr>
          <w:rFonts w:ascii="Arial" w:hAnsi="Arial" w:cs="Arial"/>
          <w:bCs/>
          <w:color w:val="000000" w:themeColor="text1"/>
          <w:sz w:val="21"/>
          <w:szCs w:val="21"/>
          <w:lang w:val="es-MX" w:eastAsia="es-CO"/>
        </w:rPr>
      </w:pPr>
    </w:p>
    <w:p w14:paraId="570776ED" w14:textId="77777777" w:rsidR="003C408D" w:rsidRPr="002F1FB1" w:rsidRDefault="003C408D" w:rsidP="003C408D">
      <w:pPr>
        <w:spacing w:line="276" w:lineRule="auto"/>
        <w:ind w:firstLine="709"/>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46A557C" w14:textId="77777777" w:rsidR="003C408D" w:rsidRPr="002F1FB1" w:rsidRDefault="003C408D" w:rsidP="003C408D">
      <w:pPr>
        <w:spacing w:line="276" w:lineRule="auto"/>
        <w:ind w:firstLine="709"/>
        <w:jc w:val="both"/>
        <w:rPr>
          <w:rFonts w:ascii="Arial" w:hAnsi="Arial" w:cs="Arial"/>
          <w:bCs/>
          <w:color w:val="000000" w:themeColor="text1"/>
          <w:sz w:val="22"/>
          <w:szCs w:val="22"/>
          <w:lang w:val="es-MX" w:eastAsia="es-CO"/>
        </w:rPr>
      </w:pPr>
    </w:p>
    <w:p w14:paraId="0E5E6BC3" w14:textId="77777777" w:rsidR="003C408D" w:rsidRPr="002F1FB1" w:rsidRDefault="003C408D" w:rsidP="003C408D">
      <w:pPr>
        <w:spacing w:after="120"/>
        <w:ind w:left="709" w:right="709"/>
        <w:jc w:val="both"/>
        <w:rPr>
          <w:rFonts w:ascii="Arial" w:hAnsi="Arial" w:cs="Arial"/>
          <w:bCs/>
          <w:color w:val="000000" w:themeColor="text1"/>
          <w:sz w:val="21"/>
          <w:szCs w:val="21"/>
          <w:lang w:val="es-MX" w:eastAsia="es-CO"/>
        </w:rPr>
      </w:pPr>
      <w:r w:rsidRPr="002F1FB1">
        <w:rPr>
          <w:rFonts w:ascii="Arial" w:hAnsi="Arial" w:cs="Arial"/>
          <w:bCs/>
          <w:color w:val="000000" w:themeColor="text1"/>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F1FB1">
        <w:rPr>
          <w:rFonts w:ascii="Arial" w:hAnsi="Arial" w:cs="Arial"/>
          <w:bCs/>
          <w:color w:val="000000" w:themeColor="text1"/>
          <w:sz w:val="21"/>
          <w:szCs w:val="21"/>
          <w:lang w:val="es-MX" w:eastAsia="es-CO"/>
        </w:rPr>
        <w:t>legis</w:t>
      </w:r>
      <w:proofErr w:type="spellEnd"/>
      <w:r w:rsidRPr="002F1FB1">
        <w:rPr>
          <w:rFonts w:ascii="Arial" w:hAnsi="Arial" w:cs="Arial"/>
          <w:bCs/>
          <w:color w:val="000000" w:themeColor="text1"/>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758D907" w14:textId="77777777" w:rsidR="003C408D" w:rsidRPr="002F1FB1" w:rsidRDefault="003C408D" w:rsidP="003C408D">
      <w:pPr>
        <w:ind w:left="709" w:right="709"/>
        <w:jc w:val="both"/>
        <w:rPr>
          <w:rFonts w:ascii="Arial" w:hAnsi="Arial" w:cs="Arial"/>
          <w:bCs/>
          <w:color w:val="000000" w:themeColor="text1"/>
          <w:sz w:val="21"/>
          <w:szCs w:val="21"/>
          <w:lang w:val="es-MX" w:eastAsia="es-CO"/>
        </w:rPr>
      </w:pPr>
      <w:r w:rsidRPr="002F1FB1">
        <w:rPr>
          <w:rFonts w:ascii="Arial" w:hAnsi="Arial" w:cs="Arial"/>
          <w:bCs/>
          <w:color w:val="000000" w:themeColor="text1"/>
          <w:sz w:val="21"/>
          <w:szCs w:val="21"/>
          <w:lang w:val="es-MX" w:eastAsia="es-CO"/>
        </w:rPr>
        <w:t>La jurisprudencia de la Corte Constitucional</w:t>
      </w:r>
      <w:r w:rsidRPr="002F1FB1">
        <w:rPr>
          <w:rFonts w:ascii="Arial" w:hAnsi="Arial" w:cs="Arial"/>
          <w:bCs/>
          <w:color w:val="000000" w:themeColor="text1"/>
          <w:sz w:val="21"/>
          <w:szCs w:val="21"/>
          <w:vertAlign w:val="superscript"/>
          <w:lang w:val="es-MX" w:eastAsia="es-CO"/>
        </w:rPr>
        <w:footnoteReference w:id="6"/>
      </w:r>
      <w:r w:rsidRPr="002F1FB1">
        <w:rPr>
          <w:rFonts w:ascii="Arial" w:hAnsi="Arial" w:cs="Arial"/>
          <w:bCs/>
          <w:color w:val="000000" w:themeColor="text1"/>
          <w:sz w:val="21"/>
          <w:szCs w:val="21"/>
          <w:lang w:val="es-MX" w:eastAsia="es-CO"/>
        </w:rPr>
        <w:t> y del Consejo de Estado</w:t>
      </w:r>
      <w:r w:rsidRPr="002F1FB1">
        <w:rPr>
          <w:rFonts w:ascii="Arial" w:hAnsi="Arial" w:cs="Arial"/>
          <w:bCs/>
          <w:color w:val="000000" w:themeColor="text1"/>
          <w:sz w:val="21"/>
          <w:szCs w:val="21"/>
          <w:vertAlign w:val="superscript"/>
          <w:lang w:val="es-MX" w:eastAsia="es-CO"/>
        </w:rPr>
        <w:footnoteReference w:id="7"/>
      </w:r>
      <w:r w:rsidRPr="002F1FB1">
        <w:rPr>
          <w:rFonts w:ascii="Arial" w:hAnsi="Arial" w:cs="Arial"/>
          <w:bCs/>
          <w:color w:val="000000" w:themeColor="text1"/>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F1FB1">
        <w:rPr>
          <w:rFonts w:ascii="Arial" w:hAnsi="Arial" w:cs="Arial"/>
          <w:bCs/>
          <w:color w:val="000000" w:themeColor="text1"/>
          <w:sz w:val="22"/>
          <w:szCs w:val="22"/>
          <w:vertAlign w:val="superscript"/>
          <w:lang w:val="es-MX" w:eastAsia="es-CO"/>
        </w:rPr>
        <w:footnoteReference w:id="8"/>
      </w:r>
      <w:r w:rsidRPr="002F1FB1">
        <w:rPr>
          <w:rFonts w:ascii="Arial" w:hAnsi="Arial" w:cs="Arial"/>
          <w:bCs/>
          <w:color w:val="000000" w:themeColor="text1"/>
          <w:sz w:val="21"/>
          <w:szCs w:val="21"/>
          <w:lang w:val="es-MX" w:eastAsia="es-CO"/>
        </w:rPr>
        <w:t>.</w:t>
      </w:r>
    </w:p>
    <w:p w14:paraId="068ABC6F" w14:textId="77777777" w:rsidR="003C408D" w:rsidRPr="002F1FB1" w:rsidRDefault="003C408D" w:rsidP="003C408D">
      <w:pPr>
        <w:spacing w:line="276" w:lineRule="auto"/>
        <w:ind w:right="709"/>
        <w:jc w:val="both"/>
        <w:rPr>
          <w:rFonts w:ascii="Arial" w:hAnsi="Arial" w:cs="Arial"/>
          <w:bCs/>
          <w:color w:val="000000" w:themeColor="text1"/>
          <w:sz w:val="22"/>
          <w:szCs w:val="22"/>
          <w:lang w:val="es-MX" w:eastAsia="es-CO"/>
        </w:rPr>
      </w:pPr>
    </w:p>
    <w:p w14:paraId="136BAE77" w14:textId="77777777" w:rsidR="003C408D" w:rsidRPr="002F1FB1" w:rsidRDefault="003C408D" w:rsidP="003C408D">
      <w:pPr>
        <w:spacing w:after="120" w:line="276" w:lineRule="auto"/>
        <w:jc w:val="both"/>
        <w:rPr>
          <w:rFonts w:ascii="Arial" w:eastAsia="Arial" w:hAnsi="Arial" w:cs="Arial"/>
          <w:color w:val="000000" w:themeColor="text1"/>
          <w:sz w:val="22"/>
          <w:szCs w:val="22"/>
          <w:lang w:val="es-ES" w:eastAsia="es-ES" w:bidi="es-ES"/>
        </w:rPr>
      </w:pPr>
      <w:r w:rsidRPr="002F1FB1">
        <w:rPr>
          <w:rFonts w:ascii="Arial" w:hAnsi="Arial" w:cs="Arial"/>
          <w:bCs/>
          <w:color w:val="000000" w:themeColor="text1"/>
          <w:sz w:val="22"/>
          <w:szCs w:val="22"/>
          <w:lang w:val="es-MX" w:eastAsia="es-CO"/>
        </w:rPr>
        <w:tab/>
        <w:t>De</w:t>
      </w:r>
      <w:r w:rsidRPr="002F1FB1">
        <w:rPr>
          <w:rFonts w:ascii="Arial" w:eastAsia="Arial" w:hAnsi="Arial" w:cs="Arial"/>
          <w:color w:val="000000" w:themeColor="text1"/>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w:t>
      </w:r>
      <w:r w:rsidRPr="002F1FB1">
        <w:rPr>
          <w:rFonts w:ascii="Arial" w:eastAsia="Arial" w:hAnsi="Arial" w:cs="Arial"/>
          <w:color w:val="000000" w:themeColor="text1"/>
          <w:sz w:val="22"/>
          <w:szCs w:val="22"/>
          <w:lang w:val="es-ES" w:eastAsia="es-ES" w:bidi="es-ES"/>
        </w:rPr>
        <w:lastRenderedPageBreak/>
        <w:t>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510D14A" w14:textId="77777777" w:rsidR="003C408D" w:rsidRPr="002F1FB1" w:rsidRDefault="003C408D" w:rsidP="003C408D">
      <w:pPr>
        <w:spacing w:after="120" w:line="276" w:lineRule="auto"/>
        <w:ind w:firstLine="708"/>
        <w:jc w:val="both"/>
        <w:rPr>
          <w:rFonts w:ascii="Arial" w:eastAsia="Calibri" w:hAnsi="Arial" w:cs="Arial"/>
          <w:color w:val="000000" w:themeColor="text1"/>
          <w:sz w:val="22"/>
          <w:szCs w:val="22"/>
          <w:lang w:eastAsia="en-US"/>
        </w:rPr>
      </w:pPr>
      <w:r w:rsidRPr="002F1FB1">
        <w:rPr>
          <w:rFonts w:ascii="Arial" w:eastAsia="Calibri" w:hAnsi="Arial" w:cs="Arial"/>
          <w:color w:val="000000" w:themeColor="text1"/>
          <w:sz w:val="22"/>
          <w:szCs w:val="22"/>
          <w:lang w:eastAsia="en-US"/>
        </w:rPr>
        <w:t xml:space="preserve">Por un lado, el artículo 33 de la Ley 996 de 2005 prohíbe </w:t>
      </w:r>
      <w:r w:rsidRPr="002F1FB1">
        <w:rPr>
          <w:rFonts w:ascii="Arial" w:eastAsia="Calibri" w:hAnsi="Arial" w:cs="Arial"/>
          <w:bCs/>
          <w:color w:val="000000" w:themeColor="text1"/>
          <w:sz w:val="22"/>
          <w:szCs w:val="22"/>
          <w:lang w:eastAsia="en-US"/>
        </w:rPr>
        <w:t xml:space="preserve">«[…] </w:t>
      </w:r>
      <w:r w:rsidRPr="002F1FB1">
        <w:rPr>
          <w:rFonts w:ascii="Arial" w:eastAsia="Calibri" w:hAnsi="Arial" w:cs="Arial"/>
          <w:color w:val="000000" w:themeColor="text1"/>
          <w:sz w:val="22"/>
          <w:szCs w:val="22"/>
          <w:lang w:eastAsia="en-US"/>
        </w:rPr>
        <w:t>la contratación directa por parte de todos los entes del Estado</w:t>
      </w:r>
      <w:r w:rsidRPr="002F1FB1">
        <w:rPr>
          <w:rFonts w:ascii="Arial" w:eastAsia="Calibri" w:hAnsi="Arial" w:cs="Arial"/>
          <w:bCs/>
          <w:color w:val="000000" w:themeColor="text1"/>
          <w:sz w:val="22"/>
          <w:szCs w:val="22"/>
          <w:lang w:eastAsia="en-US"/>
        </w:rPr>
        <w:t>»</w:t>
      </w:r>
      <w:r w:rsidRPr="002F1FB1">
        <w:rPr>
          <w:rFonts w:ascii="Arial" w:eastAsia="Calibri" w:hAnsi="Arial" w:cs="Arial"/>
          <w:color w:val="000000" w:themeColor="text1"/>
          <w:sz w:val="22"/>
          <w:szCs w:val="22"/>
          <w:lang w:eastAsia="en-US"/>
        </w:rPr>
        <w:t xml:space="preserve"> durante los cuatro (4) meses anteriores a las elecciones presidenciales, salvo </w:t>
      </w:r>
      <w:r w:rsidRPr="002F1FB1">
        <w:rPr>
          <w:rFonts w:ascii="Arial" w:eastAsia="Calibri" w:hAnsi="Arial" w:cs="Arial"/>
          <w:bCs/>
          <w:color w:val="000000" w:themeColor="text1"/>
          <w:sz w:val="22"/>
          <w:szCs w:val="22"/>
          <w:lang w:eastAsia="en-US"/>
        </w:rPr>
        <w:t xml:space="preserve">«[…] </w:t>
      </w:r>
      <w:r w:rsidRPr="002F1FB1">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F1FB1">
        <w:rPr>
          <w:rFonts w:ascii="Arial" w:eastAsia="Calibri" w:hAnsi="Arial" w:cs="Arial"/>
          <w:bCs/>
          <w:color w:val="000000" w:themeColor="text1"/>
          <w:sz w:val="22"/>
          <w:szCs w:val="22"/>
          <w:lang w:eastAsia="en-US"/>
        </w:rPr>
        <w:t>»</w:t>
      </w:r>
      <w:r w:rsidRPr="002F1FB1">
        <w:rPr>
          <w:rFonts w:ascii="Arial" w:eastAsia="Calibri" w:hAnsi="Arial" w:cs="Arial"/>
          <w:bCs/>
          <w:color w:val="000000" w:themeColor="text1"/>
          <w:sz w:val="22"/>
          <w:szCs w:val="22"/>
          <w:vertAlign w:val="superscript"/>
          <w:lang w:eastAsia="en-US"/>
        </w:rPr>
        <w:footnoteReference w:id="9"/>
      </w:r>
      <w:r w:rsidRPr="002F1FB1">
        <w:rPr>
          <w:rFonts w:ascii="Arial" w:eastAsia="Calibri" w:hAnsi="Arial" w:cs="Arial"/>
          <w:color w:val="000000" w:themeColor="text1"/>
          <w:sz w:val="22"/>
          <w:szCs w:val="22"/>
          <w:lang w:eastAsia="en-US"/>
        </w:rPr>
        <w:t>.</w:t>
      </w:r>
    </w:p>
    <w:p w14:paraId="1139D75B" w14:textId="77777777" w:rsidR="003C408D" w:rsidRPr="002F1FB1" w:rsidRDefault="003C408D" w:rsidP="003C408D">
      <w:pPr>
        <w:widowControl w:val="0"/>
        <w:autoSpaceDE w:val="0"/>
        <w:autoSpaceDN w:val="0"/>
        <w:spacing w:line="276" w:lineRule="auto"/>
        <w:ind w:right="113" w:firstLine="708"/>
        <w:jc w:val="both"/>
        <w:rPr>
          <w:rFonts w:ascii="Arial" w:eastAsia="Arial" w:hAnsi="Arial" w:cs="Arial"/>
          <w:color w:val="000000" w:themeColor="text1"/>
          <w:sz w:val="22"/>
          <w:szCs w:val="22"/>
          <w:lang w:val="es-ES" w:eastAsia="es-ES" w:bidi="es-ES"/>
        </w:rPr>
      </w:pPr>
      <w:r w:rsidRPr="002F1FB1">
        <w:rPr>
          <w:rFonts w:ascii="Arial" w:eastAsia="Calibri" w:hAnsi="Arial" w:cs="Arial"/>
          <w:color w:val="000000" w:themeColor="text1"/>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2F1FB1">
        <w:rPr>
          <w:rFonts w:ascii="Arial" w:eastAsia="Calibri" w:hAnsi="Arial" w:cs="Arial"/>
          <w:bCs/>
          <w:color w:val="000000" w:themeColor="text1"/>
          <w:sz w:val="22"/>
          <w:szCs w:val="22"/>
          <w:lang w:eastAsia="en-US"/>
        </w:rPr>
        <w:t xml:space="preserve">«[…] </w:t>
      </w:r>
      <w:r w:rsidRPr="002F1FB1">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F1FB1">
        <w:rPr>
          <w:rFonts w:ascii="Arial" w:eastAsia="Calibri" w:hAnsi="Arial" w:cs="Arial"/>
          <w:bCs/>
          <w:color w:val="000000" w:themeColor="text1"/>
          <w:sz w:val="19"/>
          <w:szCs w:val="19"/>
          <w:lang w:eastAsia="en-US"/>
        </w:rPr>
        <w:t>»</w:t>
      </w:r>
      <w:r w:rsidRPr="002F1FB1">
        <w:rPr>
          <w:rFonts w:ascii="Arial" w:eastAsia="Calibri" w:hAnsi="Arial" w:cs="Arial"/>
          <w:bCs/>
          <w:color w:val="000000" w:themeColor="text1"/>
          <w:sz w:val="19"/>
          <w:szCs w:val="19"/>
          <w:vertAlign w:val="superscript"/>
          <w:lang w:eastAsia="en-US"/>
        </w:rPr>
        <w:footnoteReference w:id="10"/>
      </w:r>
      <w:r w:rsidRPr="002F1FB1">
        <w:rPr>
          <w:rFonts w:ascii="Arial" w:eastAsia="Calibri" w:hAnsi="Arial" w:cs="Arial"/>
          <w:color w:val="000000" w:themeColor="text1"/>
          <w:sz w:val="22"/>
          <w:szCs w:val="22"/>
          <w:lang w:val="es-MX" w:eastAsia="en-US"/>
        </w:rPr>
        <w:t>.</w:t>
      </w:r>
      <w:r w:rsidRPr="002F1FB1">
        <w:rPr>
          <w:rFonts w:ascii="Arial" w:eastAsia="Arial" w:hAnsi="Arial" w:cs="Arial"/>
          <w:color w:val="000000" w:themeColor="text1"/>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3077EDE" w14:textId="77777777" w:rsidR="003C408D" w:rsidRPr="002F1FB1" w:rsidRDefault="003C408D" w:rsidP="003C408D">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019B0F6D" w14:textId="77777777" w:rsidR="003C408D" w:rsidRPr="002F1FB1" w:rsidRDefault="003C408D" w:rsidP="003C408D">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2F1FB1">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w:t>
      </w:r>
      <w:r w:rsidRPr="002F1FB1">
        <w:rPr>
          <w:rFonts w:ascii="Arial" w:eastAsia="Arial" w:hAnsi="Arial" w:cs="Arial"/>
          <w:color w:val="000000" w:themeColor="text1"/>
          <w:sz w:val="21"/>
          <w:szCs w:val="21"/>
          <w:lang w:val="es-ES" w:eastAsia="es-ES" w:bidi="es-ES"/>
        </w:rPr>
        <w:lastRenderedPageBreak/>
        <w:t xml:space="preserve">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F1FB1">
        <w:rPr>
          <w:rFonts w:ascii="Arial" w:eastAsia="Arial" w:hAnsi="Arial" w:cs="Arial"/>
          <w:bCs/>
          <w:color w:val="000000" w:themeColor="text1"/>
          <w:sz w:val="21"/>
          <w:szCs w:val="21"/>
          <w:lang w:val="es-ES" w:eastAsia="es-ES" w:bidi="es-ES"/>
        </w:rPr>
        <w:t xml:space="preserve">En cambio, para elecciones en general, excluyendo las correspondientes a </w:t>
      </w:r>
      <w:proofErr w:type="gramStart"/>
      <w:r w:rsidRPr="002F1FB1">
        <w:rPr>
          <w:rFonts w:ascii="Arial" w:eastAsia="Arial" w:hAnsi="Arial" w:cs="Arial"/>
          <w:bCs/>
          <w:color w:val="000000" w:themeColor="text1"/>
          <w:sz w:val="21"/>
          <w:szCs w:val="21"/>
          <w:lang w:val="es-ES" w:eastAsia="es-ES" w:bidi="es-ES"/>
        </w:rPr>
        <w:t>Presidente</w:t>
      </w:r>
      <w:proofErr w:type="gramEnd"/>
      <w:r w:rsidRPr="002F1FB1">
        <w:rPr>
          <w:rFonts w:ascii="Arial" w:eastAsia="Arial" w:hAnsi="Arial" w:cs="Arial"/>
          <w:bCs/>
          <w:color w:val="000000" w:themeColor="text1"/>
          <w:sz w:val="21"/>
          <w:szCs w:val="21"/>
          <w:lang w:val="es-ES" w:eastAsia="es-ES" w:bidi="es-ES"/>
        </w:rPr>
        <w:t xml:space="preserve"> de la República, a las autoridades territoriales allí mencionadas sólo se aplican las restricciones contenidas en el parágrafo del artículo 38</w:t>
      </w:r>
      <w:r w:rsidRPr="002F1FB1">
        <w:rPr>
          <w:rFonts w:ascii="Arial" w:eastAsia="Arial" w:hAnsi="Arial" w:cs="Arial"/>
          <w:color w:val="000000" w:themeColor="text1"/>
          <w:sz w:val="21"/>
          <w:szCs w:val="21"/>
          <w:vertAlign w:val="superscript"/>
          <w:lang w:val="es-ES" w:eastAsia="es-ES" w:bidi="es-ES"/>
        </w:rPr>
        <w:footnoteReference w:id="11"/>
      </w:r>
      <w:r w:rsidRPr="002F1FB1">
        <w:rPr>
          <w:rFonts w:ascii="Arial" w:eastAsia="Arial" w:hAnsi="Arial" w:cs="Arial"/>
          <w:bCs/>
          <w:color w:val="000000" w:themeColor="text1"/>
          <w:sz w:val="21"/>
          <w:szCs w:val="21"/>
          <w:lang w:val="es-ES" w:eastAsia="es-ES" w:bidi="es-ES"/>
        </w:rPr>
        <w:t>.</w:t>
      </w:r>
    </w:p>
    <w:p w14:paraId="34AB76FB" w14:textId="77777777" w:rsidR="003C408D" w:rsidRPr="002F1FB1" w:rsidRDefault="003C408D" w:rsidP="003C408D">
      <w:pPr>
        <w:widowControl w:val="0"/>
        <w:autoSpaceDE w:val="0"/>
        <w:autoSpaceDN w:val="0"/>
        <w:spacing w:before="8"/>
        <w:rPr>
          <w:rFonts w:ascii="Arial" w:eastAsia="Arial" w:hAnsi="Arial" w:cs="Arial"/>
          <w:color w:val="000000" w:themeColor="text1"/>
          <w:sz w:val="22"/>
          <w:szCs w:val="22"/>
          <w:lang w:val="es-ES" w:eastAsia="es-ES" w:bidi="es-ES"/>
        </w:rPr>
      </w:pPr>
    </w:p>
    <w:p w14:paraId="31003F5F" w14:textId="4E595826" w:rsidR="003C408D" w:rsidRPr="002F1FB1" w:rsidRDefault="003C408D" w:rsidP="003C408D">
      <w:pPr>
        <w:spacing w:after="120" w:line="276" w:lineRule="auto"/>
        <w:ind w:firstLine="709"/>
        <w:jc w:val="both"/>
        <w:rPr>
          <w:rFonts w:ascii="Arial" w:eastAsia="Arial" w:hAnsi="Arial" w:cs="Arial"/>
          <w:color w:val="000000" w:themeColor="text1"/>
          <w:sz w:val="22"/>
          <w:szCs w:val="22"/>
          <w:lang w:val="es-ES" w:eastAsia="es-ES" w:bidi="es-ES"/>
        </w:rPr>
      </w:pPr>
      <w:r w:rsidRPr="002F1FB1">
        <w:rPr>
          <w:rFonts w:ascii="Arial" w:eastAsia="Arial" w:hAnsi="Arial" w:cs="Arial"/>
          <w:color w:val="000000" w:themeColor="text1"/>
          <w:sz w:val="22"/>
          <w:szCs w:val="22"/>
          <w:lang w:val="es-ES" w:eastAsia="es-ES" w:bidi="es-ES"/>
        </w:rPr>
        <w:t>De</w:t>
      </w:r>
      <w:r w:rsidR="00AA074D" w:rsidRPr="002F1FB1">
        <w:rPr>
          <w:rFonts w:ascii="Arial" w:eastAsia="Arial" w:hAnsi="Arial" w:cs="Arial"/>
          <w:color w:val="000000" w:themeColor="text1"/>
          <w:sz w:val="22"/>
          <w:szCs w:val="22"/>
          <w:lang w:val="es-ES" w:eastAsia="es-ES" w:bidi="es-ES"/>
        </w:rPr>
        <w:pgNum/>
      </w:r>
      <w:proofErr w:type="spellStart"/>
      <w:r w:rsidR="00AA074D" w:rsidRPr="002F1FB1">
        <w:rPr>
          <w:rFonts w:ascii="Arial" w:eastAsia="Arial" w:hAnsi="Arial" w:cs="Arial"/>
          <w:color w:val="000000" w:themeColor="text1"/>
          <w:sz w:val="22"/>
          <w:szCs w:val="22"/>
          <w:lang w:val="es-ES" w:eastAsia="es-ES" w:bidi="es-ES"/>
        </w:rPr>
        <w:t>nterior</w:t>
      </w:r>
      <w:r w:rsidRPr="002F1FB1">
        <w:rPr>
          <w:rFonts w:ascii="Arial" w:eastAsia="Arial" w:hAnsi="Arial" w:cs="Arial"/>
          <w:color w:val="000000" w:themeColor="text1"/>
          <w:sz w:val="22"/>
          <w:szCs w:val="22"/>
          <w:lang w:val="es-ES" w:eastAsia="es-ES" w:bidi="es-ES"/>
        </w:rPr>
        <w:t>r</w:t>
      </w:r>
      <w:proofErr w:type="spellEnd"/>
      <w:r w:rsidRPr="002F1FB1">
        <w:rPr>
          <w:rFonts w:ascii="Arial" w:eastAsia="Arial" w:hAnsi="Arial" w:cs="Arial"/>
          <w:color w:val="000000" w:themeColor="text1"/>
          <w:sz w:val="22"/>
          <w:szCs w:val="22"/>
          <w:lang w:val="es-ES" w:eastAsia="es-ES" w:bidi="es-ES"/>
        </w:rPr>
        <w:t xml:space="preserve"> se desprende que la Ley 996 de 2005 establece dos (2) tipos de restricciones en materia de contratación, las cuales coinciden parcialmente. </w:t>
      </w:r>
      <w:r w:rsidRPr="002F1FB1">
        <w:rPr>
          <w:rFonts w:ascii="Arial" w:eastAsia="Arial" w:hAnsi="Arial" w:cs="Arial"/>
          <w:i/>
          <w:iCs/>
          <w:color w:val="000000" w:themeColor="text1"/>
          <w:sz w:val="22"/>
          <w:szCs w:val="22"/>
          <w:lang w:val="es-ES" w:eastAsia="es-ES" w:bidi="es-ES"/>
        </w:rPr>
        <w:t>En primer lugar</w:t>
      </w:r>
      <w:r w:rsidRPr="002F1FB1">
        <w:rPr>
          <w:rFonts w:ascii="Arial" w:eastAsia="Arial" w:hAnsi="Arial" w:cs="Arial"/>
          <w:color w:val="000000" w:themeColor="text1"/>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2F1FB1">
        <w:rPr>
          <w:rFonts w:ascii="Arial" w:eastAsia="Arial" w:hAnsi="Arial" w:cs="Arial"/>
          <w:i/>
          <w:iCs/>
          <w:color w:val="000000" w:themeColor="text1"/>
          <w:sz w:val="22"/>
          <w:szCs w:val="22"/>
          <w:lang w:val="es-ES" w:eastAsia="es-ES" w:bidi="es-ES"/>
        </w:rPr>
        <w:t>En segundo lugar</w:t>
      </w:r>
      <w:r w:rsidRPr="002F1FB1">
        <w:rPr>
          <w:rFonts w:ascii="Arial" w:eastAsia="Arial" w:hAnsi="Arial" w:cs="Arial"/>
          <w:color w:val="000000" w:themeColor="text1"/>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18BE9BA" w14:textId="77777777" w:rsidR="003C408D" w:rsidRPr="002F1FB1" w:rsidRDefault="003C408D" w:rsidP="003C408D">
      <w:pPr>
        <w:spacing w:after="120" w:line="276" w:lineRule="auto"/>
        <w:ind w:firstLine="709"/>
        <w:jc w:val="both"/>
        <w:rPr>
          <w:rFonts w:ascii="Arial" w:eastAsia="Arial" w:hAnsi="Arial" w:cs="Arial"/>
          <w:color w:val="000000" w:themeColor="text1"/>
          <w:sz w:val="22"/>
          <w:szCs w:val="22"/>
          <w:lang w:val="es-ES" w:eastAsia="es-ES" w:bidi="es-ES"/>
        </w:rPr>
      </w:pPr>
      <w:r w:rsidRPr="002F1FB1">
        <w:rPr>
          <w:rFonts w:ascii="Arial" w:eastAsia="Arial" w:hAnsi="Arial" w:cs="Arial"/>
          <w:color w:val="000000" w:themeColor="text1"/>
          <w:sz w:val="22"/>
          <w:szCs w:val="22"/>
          <w:lang w:val="es-ES" w:eastAsia="es-ES" w:bidi="es-ES"/>
        </w:rPr>
        <w:t xml:space="preserve">Ambas restricciones no son excluyentes, lo que permite concluir que en el período preelectoral para elección de </w:t>
      </w:r>
      <w:proofErr w:type="gramStart"/>
      <w:r w:rsidRPr="002F1FB1">
        <w:rPr>
          <w:rFonts w:ascii="Arial" w:eastAsia="Arial" w:hAnsi="Arial" w:cs="Arial"/>
          <w:color w:val="000000" w:themeColor="text1"/>
          <w:sz w:val="22"/>
          <w:szCs w:val="22"/>
          <w:lang w:val="es-ES" w:eastAsia="es-ES" w:bidi="es-ES"/>
        </w:rPr>
        <w:t>Presidente</w:t>
      </w:r>
      <w:proofErr w:type="gramEnd"/>
      <w:r w:rsidRPr="002F1FB1">
        <w:rPr>
          <w:rFonts w:ascii="Arial" w:eastAsia="Arial" w:hAnsi="Arial" w:cs="Arial"/>
          <w:color w:val="000000" w:themeColor="text1"/>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2F1FB1">
        <w:rPr>
          <w:rFonts w:ascii="Arial" w:eastAsia="Arial" w:hAnsi="Arial" w:cs="Arial"/>
          <w:color w:val="000000" w:themeColor="text1"/>
          <w:sz w:val="22"/>
          <w:szCs w:val="22"/>
          <w:lang w:val="es-ES" w:eastAsia="es-ES" w:bidi="es-ES"/>
        </w:rPr>
        <w:t>Presidente</w:t>
      </w:r>
      <w:proofErr w:type="gramEnd"/>
      <w:r w:rsidRPr="002F1FB1">
        <w:rPr>
          <w:rFonts w:ascii="Arial" w:eastAsia="Arial" w:hAnsi="Arial" w:cs="Arial"/>
          <w:color w:val="000000" w:themeColor="text1"/>
          <w:sz w:val="22"/>
          <w:szCs w:val="22"/>
          <w:lang w:val="es-ES" w:eastAsia="es-ES" w:bidi="es-ES"/>
        </w:rPr>
        <w:t xml:space="preserve"> de la República, las autoridades allí mencionadas sólo deben aplicar las restricciones contenidas en el parágrafo del artículo 38.</w:t>
      </w:r>
    </w:p>
    <w:p w14:paraId="1F926E55" w14:textId="77777777" w:rsidR="003C408D" w:rsidRPr="002F1FB1" w:rsidRDefault="003C408D" w:rsidP="003C408D">
      <w:pPr>
        <w:spacing w:line="276" w:lineRule="auto"/>
        <w:ind w:firstLine="708"/>
        <w:jc w:val="both"/>
        <w:rPr>
          <w:rFonts w:ascii="Arial" w:eastAsia="Arial" w:hAnsi="Arial" w:cs="Arial"/>
          <w:color w:val="000000" w:themeColor="text1"/>
          <w:sz w:val="22"/>
          <w:szCs w:val="22"/>
          <w:lang w:val="es-ES" w:eastAsia="es-ES" w:bidi="es-ES"/>
        </w:rPr>
      </w:pPr>
      <w:r w:rsidRPr="002F1FB1">
        <w:rPr>
          <w:rFonts w:ascii="Arial" w:eastAsia="Arial" w:hAnsi="Arial" w:cs="Arial"/>
          <w:color w:val="000000" w:themeColor="text1"/>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2F1FB1">
        <w:rPr>
          <w:rFonts w:ascii="Arial" w:eastAsia="Arial" w:hAnsi="Arial" w:cs="Arial"/>
          <w:color w:val="000000" w:themeColor="text1"/>
          <w:sz w:val="22"/>
          <w:szCs w:val="22"/>
          <w:lang w:val="es-ES" w:eastAsia="es-ES" w:bidi="es-ES"/>
        </w:rPr>
        <w:t>Presidente</w:t>
      </w:r>
      <w:proofErr w:type="gramEnd"/>
      <w:r w:rsidRPr="002F1FB1">
        <w:rPr>
          <w:rFonts w:ascii="Arial" w:eastAsia="Arial" w:hAnsi="Arial" w:cs="Arial"/>
          <w:color w:val="000000" w:themeColor="text1"/>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Pr="002F1FB1">
        <w:rPr>
          <w:rFonts w:ascii="Arial" w:eastAsia="Arial" w:hAnsi="Arial" w:cs="Arial"/>
          <w:color w:val="000000" w:themeColor="text1"/>
          <w:sz w:val="22"/>
          <w:szCs w:val="22"/>
          <w:lang w:val="es-ES" w:eastAsia="es-ES" w:bidi="es-ES"/>
        </w:rPr>
        <w:lastRenderedPageBreak/>
        <w:t>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625E12D7" w14:textId="77777777" w:rsidR="00725DB3" w:rsidRPr="002F1FB1" w:rsidRDefault="00725DB3" w:rsidP="00AE2188">
      <w:pPr>
        <w:spacing w:line="276" w:lineRule="auto"/>
        <w:jc w:val="both"/>
        <w:rPr>
          <w:rFonts w:ascii="Arial" w:eastAsia="Arial" w:hAnsi="Arial" w:cs="Arial"/>
          <w:color w:val="000000" w:themeColor="text1"/>
          <w:sz w:val="22"/>
          <w:szCs w:val="22"/>
          <w:lang w:eastAsia="es-ES" w:bidi="es-ES"/>
        </w:rPr>
      </w:pPr>
    </w:p>
    <w:p w14:paraId="3E51E3AF" w14:textId="54978AC3" w:rsidR="003C408D" w:rsidRPr="002F1FB1" w:rsidRDefault="003C408D" w:rsidP="003C408D">
      <w:pPr>
        <w:spacing w:line="276" w:lineRule="auto"/>
        <w:jc w:val="both"/>
        <w:rPr>
          <w:rFonts w:ascii="Arial" w:hAnsi="Arial" w:cs="Arial"/>
          <w:b/>
          <w:color w:val="000000" w:themeColor="text1"/>
          <w:sz w:val="22"/>
          <w:szCs w:val="22"/>
          <w:lang w:val="es-ES" w:eastAsia="es-CO"/>
        </w:rPr>
      </w:pPr>
      <w:r w:rsidRPr="002F1FB1">
        <w:rPr>
          <w:rFonts w:ascii="Arial" w:hAnsi="Arial" w:cs="Arial"/>
          <w:b/>
          <w:color w:val="000000" w:themeColor="text1"/>
          <w:sz w:val="22"/>
          <w:szCs w:val="22"/>
          <w:lang w:val="es-ES" w:eastAsia="es-CO"/>
        </w:rPr>
        <w:t>2.</w:t>
      </w:r>
      <w:r w:rsidR="00983FFC" w:rsidRPr="002F1FB1">
        <w:rPr>
          <w:rFonts w:ascii="Arial" w:hAnsi="Arial" w:cs="Arial"/>
          <w:b/>
          <w:color w:val="000000" w:themeColor="text1"/>
          <w:sz w:val="22"/>
          <w:szCs w:val="22"/>
          <w:lang w:val="es-ES" w:eastAsia="es-CO"/>
        </w:rPr>
        <w:t>2</w:t>
      </w:r>
      <w:r w:rsidRPr="002F1FB1">
        <w:rPr>
          <w:rFonts w:ascii="Arial" w:hAnsi="Arial" w:cs="Arial"/>
          <w:b/>
          <w:color w:val="000000" w:themeColor="text1"/>
          <w:sz w:val="22"/>
          <w:szCs w:val="22"/>
          <w:lang w:val="es-ES" w:eastAsia="es-CO"/>
        </w:rPr>
        <w:t xml:space="preserve">. </w:t>
      </w:r>
      <w:r w:rsidRPr="002F1FB1">
        <w:rPr>
          <w:rFonts w:ascii="Arial" w:hAnsi="Arial" w:cs="Arial"/>
          <w:b/>
          <w:bCs/>
          <w:color w:val="000000" w:themeColor="text1"/>
          <w:sz w:val="22"/>
          <w:szCs w:val="22"/>
          <w:lang w:val="es-MX" w:eastAsia="es-CO"/>
        </w:rPr>
        <w:t>Restricciones en elecciones presidenciales</w:t>
      </w:r>
      <w:r w:rsidR="00A85D9F" w:rsidRPr="002F1FB1">
        <w:rPr>
          <w:rFonts w:ascii="Arial" w:hAnsi="Arial" w:cs="Arial"/>
          <w:b/>
          <w:bCs/>
          <w:color w:val="000000" w:themeColor="text1"/>
          <w:sz w:val="22"/>
          <w:szCs w:val="22"/>
          <w:lang w:val="es-MX" w:eastAsia="es-CO"/>
        </w:rPr>
        <w:t xml:space="preserve">: </w:t>
      </w:r>
      <w:r w:rsidR="00A85D9F" w:rsidRPr="002F1FB1">
        <w:rPr>
          <w:rFonts w:ascii="Arial" w:hAnsi="Arial" w:cs="Arial"/>
          <w:b/>
          <w:bCs/>
          <w:color w:val="000000" w:themeColor="text1"/>
          <w:sz w:val="22"/>
          <w:szCs w:val="22"/>
          <w:lang w:val="es-ES_tradnl" w:eastAsia="es-CO"/>
        </w:rPr>
        <w:t>prohibición del artículo 33 de la Ley 996 de 2005</w:t>
      </w:r>
    </w:p>
    <w:p w14:paraId="66988F6E" w14:textId="77777777" w:rsidR="003C408D" w:rsidRPr="002F1FB1" w:rsidRDefault="003C408D" w:rsidP="003C408D">
      <w:pPr>
        <w:spacing w:line="276" w:lineRule="auto"/>
        <w:jc w:val="both"/>
        <w:rPr>
          <w:rFonts w:ascii="Arial" w:hAnsi="Arial" w:cs="Arial"/>
          <w:bCs/>
          <w:color w:val="000000" w:themeColor="text1"/>
          <w:sz w:val="22"/>
          <w:szCs w:val="22"/>
          <w:lang w:val="es-MX" w:eastAsia="x-none"/>
        </w:rPr>
      </w:pPr>
    </w:p>
    <w:p w14:paraId="05C36D85" w14:textId="77777777" w:rsidR="003C408D" w:rsidRPr="002F1FB1" w:rsidRDefault="003C408D" w:rsidP="003C408D">
      <w:pPr>
        <w:spacing w:line="276" w:lineRule="auto"/>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x-none"/>
        </w:rPr>
        <w:t xml:space="preserve">El ámbito material de la prohibición contenida en el artículo 33 de la ley 996 de 2005 está delimitado por la expresión </w:t>
      </w:r>
      <w:r w:rsidRPr="002F1FB1">
        <w:rPr>
          <w:rFonts w:ascii="Arial" w:eastAsia="Calibri" w:hAnsi="Arial" w:cs="Arial"/>
          <w:bCs/>
          <w:color w:val="000000" w:themeColor="text1"/>
          <w:sz w:val="20"/>
          <w:szCs w:val="20"/>
          <w:lang w:val="es-MX" w:eastAsia="en-US"/>
        </w:rPr>
        <w:t>«</w:t>
      </w:r>
      <w:r w:rsidRPr="002F1FB1">
        <w:rPr>
          <w:rFonts w:ascii="Arial" w:hAnsi="Arial" w:cs="Arial"/>
          <w:bCs/>
          <w:color w:val="000000" w:themeColor="text1"/>
          <w:sz w:val="22"/>
          <w:szCs w:val="22"/>
          <w:lang w:val="es-MX" w:eastAsia="x-none"/>
        </w:rPr>
        <w:t>queda prohibida la contratación directa</w:t>
      </w:r>
      <w:r w:rsidRPr="002F1FB1">
        <w:rPr>
          <w:rFonts w:ascii="Arial" w:eastAsiaTheme="minorHAnsi" w:hAnsi="Arial" w:cs="Arial"/>
          <w:color w:val="000000" w:themeColor="text1"/>
          <w:sz w:val="20"/>
          <w:szCs w:val="20"/>
          <w:lang w:val="es-MX" w:eastAsia="en-US"/>
        </w:rPr>
        <w:t>»</w:t>
      </w:r>
      <w:r w:rsidRPr="002F1FB1">
        <w:rPr>
          <w:rFonts w:ascii="Arial" w:hAnsi="Arial" w:cs="Arial"/>
          <w:bCs/>
          <w:color w:val="000000" w:themeColor="text1"/>
          <w:sz w:val="22"/>
          <w:szCs w:val="22"/>
          <w:lang w:val="es-MX" w:eastAsia="x-none"/>
        </w:rPr>
        <w:t xml:space="preserve">. </w:t>
      </w:r>
      <w:r w:rsidRPr="002F1FB1">
        <w:rPr>
          <w:rFonts w:ascii="Arial" w:hAnsi="Arial" w:cs="Arial"/>
          <w:color w:val="000000" w:themeColor="text1"/>
          <w:sz w:val="22"/>
          <w:szCs w:val="22"/>
          <w:lang w:val="es-MX" w:eastAsia="es-CO"/>
        </w:rPr>
        <w:t xml:space="preserve"> A propósito de </w:t>
      </w:r>
      <w:r w:rsidRPr="002F1FB1">
        <w:rPr>
          <w:rFonts w:ascii="Arial" w:hAnsi="Arial" w:cs="Arial"/>
          <w:color w:val="000000" w:themeColor="text1"/>
          <w:sz w:val="22"/>
          <w:szCs w:val="22"/>
          <w:lang w:eastAsia="es-CO"/>
        </w:rPr>
        <w:t>esta restricción de la Ley de Garantías Electorales, la Sala de Consulta y Servicio Civil del Consejo de Estado ha considerado que:</w:t>
      </w:r>
    </w:p>
    <w:p w14:paraId="354D32C7" w14:textId="77777777" w:rsidR="003C408D" w:rsidRPr="002F1FB1" w:rsidRDefault="003C408D" w:rsidP="003C408D">
      <w:pPr>
        <w:ind w:left="708" w:right="709"/>
        <w:jc w:val="both"/>
        <w:rPr>
          <w:rFonts w:ascii="Arial" w:eastAsiaTheme="minorHAnsi" w:hAnsi="Arial" w:cs="Arial"/>
          <w:color w:val="000000" w:themeColor="text1"/>
          <w:sz w:val="21"/>
          <w:szCs w:val="21"/>
          <w:lang w:val="es-MX" w:eastAsia="en-US"/>
        </w:rPr>
      </w:pPr>
    </w:p>
    <w:p w14:paraId="6DA1BD41" w14:textId="77777777" w:rsidR="003C408D" w:rsidRPr="002F1FB1" w:rsidRDefault="003C408D" w:rsidP="003C408D">
      <w:pPr>
        <w:spacing w:after="120"/>
        <w:ind w:left="709" w:right="709"/>
        <w:jc w:val="both"/>
        <w:rPr>
          <w:rFonts w:ascii="Arial" w:eastAsiaTheme="minorHAnsi" w:hAnsi="Arial" w:cs="Arial"/>
          <w:color w:val="000000" w:themeColor="text1"/>
          <w:sz w:val="21"/>
          <w:szCs w:val="21"/>
          <w:lang w:val="es-MX" w:eastAsia="en-US"/>
        </w:rPr>
      </w:pPr>
      <w:r w:rsidRPr="002F1FB1">
        <w:rPr>
          <w:rFonts w:ascii="Arial" w:eastAsiaTheme="minorHAnsi" w:hAnsi="Arial" w:cs="Arial"/>
          <w:color w:val="000000" w:themeColor="text1"/>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F1FB1">
        <w:rPr>
          <w:rFonts w:ascii="Arial" w:hAnsi="Arial" w:cs="Arial"/>
          <w:color w:val="000000" w:themeColor="text1"/>
          <w:sz w:val="22"/>
          <w:szCs w:val="22"/>
          <w:vertAlign w:val="superscript"/>
          <w:lang w:eastAsia="es-CO"/>
        </w:rPr>
        <w:footnoteReference w:id="12"/>
      </w:r>
      <w:r w:rsidRPr="002F1FB1">
        <w:rPr>
          <w:rFonts w:ascii="Arial" w:eastAsiaTheme="minorHAnsi" w:hAnsi="Arial" w:cs="Arial"/>
          <w:color w:val="000000" w:themeColor="text1"/>
          <w:sz w:val="21"/>
          <w:szCs w:val="21"/>
          <w:lang w:val="es-MX" w:eastAsia="en-US"/>
        </w:rPr>
        <w:t>.</w:t>
      </w:r>
    </w:p>
    <w:p w14:paraId="70E652F5" w14:textId="54B33654" w:rsidR="003C408D" w:rsidRPr="002F1FB1" w:rsidRDefault="003C408D" w:rsidP="003C408D">
      <w:pPr>
        <w:ind w:left="708" w:right="709"/>
        <w:jc w:val="both"/>
        <w:rPr>
          <w:rFonts w:ascii="Arial" w:eastAsiaTheme="minorHAnsi" w:hAnsi="Arial" w:cs="Arial"/>
          <w:color w:val="000000" w:themeColor="text1"/>
          <w:sz w:val="21"/>
          <w:szCs w:val="21"/>
          <w:lang w:val="es-MX" w:eastAsia="en-US"/>
        </w:rPr>
      </w:pPr>
      <w:r w:rsidRPr="002F1FB1">
        <w:rPr>
          <w:rFonts w:ascii="Arial" w:eastAsiaTheme="minorHAnsi" w:hAnsi="Arial" w:cs="Arial"/>
          <w:color w:val="000000" w:themeColor="text1"/>
          <w:sz w:val="21"/>
          <w:szCs w:val="21"/>
          <w:lang w:val="es-MX" w:eastAsia="en-US"/>
        </w:rPr>
        <w:t xml:space="preserve">Esta Sala ha entendido </w:t>
      </w:r>
      <w:proofErr w:type="gramStart"/>
      <w:r w:rsidRPr="002F1FB1">
        <w:rPr>
          <w:rFonts w:ascii="Arial" w:eastAsiaTheme="minorHAnsi" w:hAnsi="Arial" w:cs="Arial"/>
          <w:color w:val="000000" w:themeColor="text1"/>
          <w:sz w:val="21"/>
          <w:szCs w:val="21"/>
          <w:lang w:val="es-MX" w:eastAsia="en-US"/>
        </w:rPr>
        <w:t>que</w:t>
      </w:r>
      <w:proofErr w:type="gramEnd"/>
      <w:r w:rsidRPr="002F1FB1">
        <w:rPr>
          <w:rFonts w:ascii="Arial" w:eastAsiaTheme="minorHAnsi" w:hAnsi="Arial" w:cs="Arial"/>
          <w:color w:val="000000" w:themeColor="text1"/>
          <w:sz w:val="21"/>
          <w:szCs w:val="21"/>
          <w:lang w:val="es-MX"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2F1FB1">
        <w:rPr>
          <w:rFonts w:ascii="Arial" w:hAnsi="Arial" w:cs="Arial"/>
          <w:color w:val="000000" w:themeColor="text1"/>
          <w:sz w:val="21"/>
          <w:szCs w:val="21"/>
          <w:vertAlign w:val="superscript"/>
          <w:lang w:val="es-MX" w:eastAsia="en-US"/>
        </w:rPr>
        <w:footnoteReference w:id="13"/>
      </w:r>
      <w:r w:rsidRPr="002F1FB1">
        <w:rPr>
          <w:rFonts w:ascii="Arial" w:hAnsi="Arial" w:cs="Arial"/>
          <w:color w:val="000000" w:themeColor="text1"/>
          <w:sz w:val="21"/>
          <w:szCs w:val="21"/>
          <w:vertAlign w:val="subscript"/>
          <w:lang w:val="es-MX" w:eastAsia="en-US"/>
        </w:rPr>
        <w:t>.</w:t>
      </w:r>
      <w:r w:rsidRPr="002F1FB1">
        <w:rPr>
          <w:rFonts w:ascii="Arial" w:eastAsiaTheme="minorHAnsi" w:hAnsi="Arial" w:cs="Arial"/>
          <w:color w:val="000000" w:themeColor="text1"/>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AA074D" w:rsidRPr="002F1FB1">
        <w:rPr>
          <w:rFonts w:ascii="Arial" w:eastAsiaTheme="minorHAnsi" w:hAnsi="Arial" w:cs="Arial"/>
          <w:color w:val="000000" w:themeColor="text1"/>
          <w:sz w:val="21"/>
          <w:szCs w:val="21"/>
          <w:lang w:val="es-MX" w:eastAsia="en-US"/>
        </w:rPr>
        <w:t>…</w:t>
      </w:r>
      <w:r w:rsidRPr="002F1FB1">
        <w:rPr>
          <w:rFonts w:ascii="Arial" w:eastAsiaTheme="minorHAnsi" w:hAnsi="Arial" w:cs="Arial"/>
          <w:color w:val="000000" w:themeColor="text1"/>
          <w:sz w:val="21"/>
          <w:szCs w:val="21"/>
          <w:lang w:val="es-MX" w:eastAsia="en-US"/>
        </w:rPr>
        <w:t>]</w:t>
      </w:r>
      <w:r w:rsidRPr="002F1FB1">
        <w:rPr>
          <w:rFonts w:ascii="Arial" w:hAnsi="Arial" w:cs="Arial"/>
          <w:color w:val="000000" w:themeColor="text1"/>
          <w:sz w:val="22"/>
          <w:szCs w:val="22"/>
          <w:vertAlign w:val="superscript"/>
          <w:lang w:eastAsia="es-CO"/>
        </w:rPr>
        <w:footnoteReference w:id="14"/>
      </w:r>
      <w:r w:rsidRPr="002F1FB1">
        <w:rPr>
          <w:rFonts w:ascii="Arial" w:eastAsiaTheme="minorHAnsi" w:hAnsi="Arial" w:cs="Arial"/>
          <w:color w:val="000000" w:themeColor="text1"/>
          <w:sz w:val="21"/>
          <w:szCs w:val="21"/>
          <w:lang w:val="es-MX" w:eastAsia="en-US"/>
        </w:rPr>
        <w:t xml:space="preserve"> .</w:t>
      </w:r>
    </w:p>
    <w:p w14:paraId="4F097405" w14:textId="77777777" w:rsidR="003C408D" w:rsidRPr="002F1FB1" w:rsidRDefault="003C408D" w:rsidP="003C408D">
      <w:pPr>
        <w:shd w:val="clear" w:color="auto" w:fill="FFFFFF"/>
        <w:spacing w:line="276" w:lineRule="auto"/>
        <w:ind w:firstLine="709"/>
        <w:jc w:val="both"/>
        <w:rPr>
          <w:rFonts w:ascii="Arial" w:hAnsi="Arial" w:cs="Arial"/>
          <w:color w:val="000000" w:themeColor="text1"/>
          <w:sz w:val="22"/>
          <w:szCs w:val="22"/>
          <w:lang w:eastAsia="x-none"/>
        </w:rPr>
      </w:pPr>
    </w:p>
    <w:p w14:paraId="38B4B6C3" w14:textId="601A5046" w:rsidR="003C408D" w:rsidRPr="002F1FB1" w:rsidRDefault="003C408D" w:rsidP="003C408D">
      <w:pPr>
        <w:spacing w:after="120" w:line="276" w:lineRule="auto"/>
        <w:ind w:firstLine="708"/>
        <w:jc w:val="both"/>
        <w:rPr>
          <w:rFonts w:ascii="Arial" w:hAnsi="Arial" w:cs="Arial"/>
          <w:bCs/>
          <w:color w:val="000000" w:themeColor="text1"/>
          <w:sz w:val="22"/>
          <w:szCs w:val="22"/>
          <w:lang w:eastAsia="x-none"/>
        </w:rPr>
      </w:pPr>
      <w:r w:rsidRPr="002F1FB1">
        <w:rPr>
          <w:rFonts w:ascii="Arial" w:hAnsi="Arial" w:cs="Arial"/>
          <w:color w:val="000000" w:themeColor="text1"/>
          <w:sz w:val="22"/>
          <w:szCs w:val="22"/>
          <w:lang w:eastAsia="x-none"/>
        </w:rPr>
        <w:t xml:space="preserve">De acuerdo con el citado concepto, la prohibición del artículo 33 de la Ley de Garantías Electorales se refiere a </w:t>
      </w:r>
      <w:r w:rsidRPr="002F1FB1">
        <w:rPr>
          <w:rFonts w:ascii="Arial" w:hAnsi="Arial" w:cs="Arial"/>
          <w:color w:val="000000" w:themeColor="text1"/>
          <w:sz w:val="19"/>
          <w:szCs w:val="19"/>
          <w:lang w:eastAsia="en-GB"/>
        </w:rPr>
        <w:t>«</w:t>
      </w:r>
      <w:r w:rsidRPr="002F1FB1">
        <w:rPr>
          <w:rFonts w:ascii="Arial" w:hAnsi="Arial" w:cs="Arial"/>
          <w:color w:val="000000" w:themeColor="text1"/>
          <w:sz w:val="22"/>
          <w:szCs w:val="22"/>
          <w:lang w:eastAsia="x-none"/>
        </w:rPr>
        <w:t>cualquier sistema que no implique convocatoria pública y posibilidad de pluralidad de oferentes</w:t>
      </w:r>
      <w:r w:rsidRPr="002F1FB1">
        <w:rPr>
          <w:rFonts w:ascii="Arial" w:hAnsi="Arial" w:cs="Arial"/>
          <w:color w:val="000000" w:themeColor="text1"/>
          <w:sz w:val="22"/>
          <w:szCs w:val="22"/>
          <w:lang w:eastAsia="en-GB"/>
        </w:rPr>
        <w:t>»</w:t>
      </w:r>
      <w:r w:rsidRPr="002F1FB1">
        <w:rPr>
          <w:rFonts w:ascii="Arial" w:hAnsi="Arial" w:cs="Arial"/>
          <w:color w:val="000000" w:themeColor="text1"/>
          <w:sz w:val="22"/>
          <w:szCs w:val="22"/>
          <w:lang w:eastAsia="x-none"/>
        </w:rPr>
        <w:t xml:space="preserve">, por lo que excluye las demás modalidades de contratación previstas en la Ley 1150 de 2007, es decir, la licitación pública, la selección </w:t>
      </w:r>
      <w:r w:rsidRPr="002F1FB1">
        <w:rPr>
          <w:rFonts w:ascii="Arial" w:hAnsi="Arial" w:cs="Arial"/>
          <w:color w:val="000000" w:themeColor="text1"/>
          <w:sz w:val="22"/>
          <w:szCs w:val="22"/>
          <w:lang w:eastAsia="x-none"/>
        </w:rPr>
        <w:lastRenderedPageBreak/>
        <w:t>abreviada</w:t>
      </w:r>
      <w:r w:rsidR="00A85D9F" w:rsidRPr="002F1FB1">
        <w:rPr>
          <w:rFonts w:ascii="Arial" w:hAnsi="Arial" w:cs="Arial"/>
          <w:color w:val="000000" w:themeColor="text1"/>
          <w:sz w:val="22"/>
          <w:szCs w:val="22"/>
          <w:lang w:eastAsia="x-none"/>
        </w:rPr>
        <w:t>,</w:t>
      </w:r>
      <w:r w:rsidRPr="002F1FB1">
        <w:rPr>
          <w:rFonts w:ascii="Arial" w:hAnsi="Arial" w:cs="Arial"/>
          <w:color w:val="000000" w:themeColor="text1"/>
          <w:sz w:val="22"/>
          <w:szCs w:val="22"/>
          <w:lang w:eastAsia="x-none"/>
        </w:rPr>
        <w:t xml:space="preserve"> el concurso de méritos </w:t>
      </w:r>
      <w:r w:rsidR="00A85D9F" w:rsidRPr="002F1FB1">
        <w:rPr>
          <w:rFonts w:ascii="Arial" w:hAnsi="Arial" w:cs="Arial"/>
          <w:color w:val="000000" w:themeColor="text1"/>
          <w:sz w:val="22"/>
          <w:szCs w:val="22"/>
          <w:lang w:val="es-ES_tradnl" w:eastAsia="x-none"/>
        </w:rPr>
        <w:t>y la mínima cuantía</w:t>
      </w:r>
      <w:r w:rsidR="00A85D9F" w:rsidRPr="002F1FB1" w:rsidDel="00A85D9F">
        <w:rPr>
          <w:rFonts w:ascii="Arial" w:hAnsi="Arial" w:cs="Arial"/>
          <w:color w:val="000000" w:themeColor="text1"/>
          <w:sz w:val="22"/>
          <w:szCs w:val="22"/>
          <w:lang w:eastAsia="x-none"/>
        </w:rPr>
        <w:t xml:space="preserve"> </w:t>
      </w:r>
      <w:r w:rsidR="00A85D9F" w:rsidRPr="002F1FB1">
        <w:rPr>
          <w:rFonts w:ascii="Arial" w:hAnsi="Arial" w:cs="Arial"/>
          <w:color w:val="000000" w:themeColor="text1"/>
          <w:sz w:val="22"/>
          <w:szCs w:val="22"/>
          <w:lang w:eastAsia="x-none"/>
        </w:rPr>
        <w:t>u</w:t>
      </w:r>
      <w:r w:rsidRPr="002F1FB1">
        <w:rPr>
          <w:rFonts w:ascii="Arial" w:hAnsi="Arial" w:cs="Arial"/>
          <w:color w:val="000000" w:themeColor="text1"/>
          <w:sz w:val="22"/>
          <w:szCs w:val="22"/>
          <w:lang w:eastAsia="x-none"/>
        </w:rPr>
        <w:t xml:space="preserve"> otros previstos en normas especiales. Esta posición es congruente con la expedición de la Ley 1150 de 2007 que, entre otras reformas, introdujo la selección abreviada, rediseñó el concurso de méritos</w:t>
      </w:r>
      <w:r w:rsidRPr="002F1FB1">
        <w:rPr>
          <w:rFonts w:ascii="Arial" w:hAnsi="Arial" w:cs="Arial"/>
          <w:color w:val="000000" w:themeColor="text1"/>
          <w:sz w:val="22"/>
          <w:szCs w:val="22"/>
          <w:vertAlign w:val="superscript"/>
          <w:lang w:val="en-GB" w:eastAsia="x-none"/>
        </w:rPr>
        <w:footnoteReference w:id="15"/>
      </w:r>
      <w:r w:rsidRPr="002F1FB1">
        <w:rPr>
          <w:rFonts w:ascii="Arial" w:hAnsi="Arial" w:cs="Arial"/>
          <w:color w:val="000000" w:themeColor="text1"/>
          <w:sz w:val="22"/>
          <w:szCs w:val="22"/>
          <w:lang w:eastAsia="x-none"/>
        </w:rPr>
        <w:t xml:space="preserve"> y sistematizó las causales de contratación directa</w:t>
      </w:r>
      <w:r w:rsidRPr="002F1FB1">
        <w:rPr>
          <w:rFonts w:ascii="Arial" w:hAnsi="Arial" w:cs="Arial"/>
          <w:color w:val="000000" w:themeColor="text1"/>
          <w:sz w:val="22"/>
          <w:szCs w:val="22"/>
          <w:vertAlign w:val="superscript"/>
          <w:lang w:val="en-GB" w:eastAsia="x-none"/>
        </w:rPr>
        <w:footnoteReference w:id="16"/>
      </w:r>
      <w:r w:rsidR="00A85D9F" w:rsidRPr="002F1FB1">
        <w:rPr>
          <w:rFonts w:ascii="Arial" w:hAnsi="Arial" w:cs="Arial"/>
          <w:color w:val="000000" w:themeColor="text1"/>
          <w:sz w:val="22"/>
          <w:szCs w:val="22"/>
          <w:lang w:eastAsia="x-none"/>
        </w:rPr>
        <w:t xml:space="preserve">, </w:t>
      </w:r>
      <w:r w:rsidR="00A85D9F" w:rsidRPr="002F1FB1">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07D4339B" w14:textId="00A9DE5E" w:rsidR="003C408D" w:rsidRPr="002F1FB1" w:rsidRDefault="003C408D" w:rsidP="003C408D">
      <w:pPr>
        <w:spacing w:after="120" w:line="276" w:lineRule="auto"/>
        <w:ind w:firstLine="708"/>
        <w:jc w:val="both"/>
        <w:rPr>
          <w:rFonts w:ascii="Arial" w:hAnsi="Arial" w:cs="Arial"/>
          <w:color w:val="000000" w:themeColor="text1"/>
          <w:sz w:val="22"/>
          <w:szCs w:val="22"/>
          <w:lang w:val="es-MX" w:eastAsia="x-none"/>
        </w:rPr>
      </w:pPr>
      <w:r w:rsidRPr="002F1FB1">
        <w:rPr>
          <w:rFonts w:ascii="Arial" w:hAnsi="Arial" w:cs="Arial"/>
          <w:color w:val="000000" w:themeColor="text1"/>
          <w:sz w:val="22"/>
          <w:szCs w:val="22"/>
          <w:lang w:eastAsia="x-none"/>
        </w:rPr>
        <w:t>De e</w:t>
      </w:r>
      <w:r w:rsidR="00AA074D" w:rsidRPr="002F1FB1">
        <w:rPr>
          <w:rFonts w:ascii="Arial" w:hAnsi="Arial" w:cs="Arial"/>
          <w:color w:val="000000" w:themeColor="text1"/>
          <w:sz w:val="22"/>
          <w:szCs w:val="22"/>
          <w:lang w:eastAsia="x-none"/>
        </w:rPr>
        <w:t>s</w:t>
      </w:r>
      <w:r w:rsidRPr="002F1FB1">
        <w:rPr>
          <w:rFonts w:ascii="Arial" w:hAnsi="Arial" w:cs="Arial"/>
          <w:color w:val="000000" w:themeColor="text1"/>
          <w:sz w:val="22"/>
          <w:szCs w:val="22"/>
          <w:lang w:eastAsia="x-none"/>
        </w:rPr>
        <w:t xml:space="preserve">ta forma, con fundamento en la evolución de la normativa sobre la contratación pública, se ha depurado la noción de </w:t>
      </w:r>
      <w:r w:rsidRPr="002F1FB1">
        <w:rPr>
          <w:rFonts w:ascii="Arial" w:hAnsi="Arial" w:cs="Arial"/>
          <w:color w:val="000000" w:themeColor="text1"/>
          <w:sz w:val="19"/>
          <w:szCs w:val="19"/>
          <w:lang w:eastAsia="en-GB"/>
        </w:rPr>
        <w:t>«</w:t>
      </w:r>
      <w:r w:rsidRPr="002F1FB1">
        <w:rPr>
          <w:rFonts w:ascii="Arial" w:hAnsi="Arial" w:cs="Arial"/>
          <w:color w:val="000000" w:themeColor="text1"/>
          <w:sz w:val="22"/>
          <w:szCs w:val="22"/>
          <w:lang w:eastAsia="x-none"/>
        </w:rPr>
        <w:t>contratación directa</w:t>
      </w:r>
      <w:r w:rsidRPr="002F1FB1">
        <w:rPr>
          <w:rFonts w:ascii="Arial" w:hAnsi="Arial" w:cs="Arial"/>
          <w:color w:val="000000" w:themeColor="text1"/>
          <w:sz w:val="22"/>
          <w:szCs w:val="22"/>
          <w:lang w:eastAsia="en-GB"/>
        </w:rPr>
        <w:t>»</w:t>
      </w:r>
      <w:r w:rsidRPr="002F1FB1">
        <w:rPr>
          <w:rFonts w:ascii="Arial" w:hAnsi="Arial" w:cs="Arial"/>
          <w:color w:val="000000" w:themeColor="text1"/>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2F1FB1">
        <w:rPr>
          <w:rFonts w:ascii="Arial" w:hAnsi="Arial" w:cs="Arial"/>
          <w:color w:val="000000" w:themeColor="text1"/>
          <w:sz w:val="22"/>
          <w:szCs w:val="22"/>
          <w:vertAlign w:val="superscript"/>
          <w:lang w:val="en-GB" w:eastAsia="x-none"/>
        </w:rPr>
        <w:footnoteReference w:id="17"/>
      </w:r>
      <w:r w:rsidRPr="002F1FB1">
        <w:rPr>
          <w:rFonts w:ascii="Arial" w:hAnsi="Arial" w:cs="Arial"/>
          <w:color w:val="000000" w:themeColor="text1"/>
          <w:sz w:val="22"/>
          <w:szCs w:val="22"/>
          <w:lang w:eastAsia="x-none"/>
        </w:rPr>
        <w:t>, han establecido sistemas de contratación que implican convocatoria pública y participación de varios oferentes</w:t>
      </w:r>
      <w:r w:rsidRPr="002F1FB1">
        <w:rPr>
          <w:rFonts w:ascii="Arial" w:hAnsi="Arial" w:cs="Arial"/>
          <w:color w:val="000000" w:themeColor="text1"/>
          <w:sz w:val="22"/>
          <w:szCs w:val="22"/>
          <w:lang w:eastAsia="en-GB"/>
        </w:rPr>
        <w:t>»</w:t>
      </w:r>
      <w:r w:rsidRPr="002F1FB1">
        <w:rPr>
          <w:rFonts w:ascii="Arial" w:hAnsi="Arial" w:cs="Arial"/>
          <w:color w:val="000000" w:themeColor="text1"/>
          <w:sz w:val="22"/>
          <w:szCs w:val="22"/>
          <w:lang w:eastAsia="x-none"/>
        </w:rPr>
        <w:t xml:space="preserve">. </w:t>
      </w:r>
    </w:p>
    <w:p w14:paraId="72CC6FD6" w14:textId="77777777" w:rsidR="003C408D" w:rsidRPr="002F1FB1" w:rsidRDefault="003C408D" w:rsidP="003C408D">
      <w:pPr>
        <w:spacing w:after="120" w:line="276" w:lineRule="auto"/>
        <w:ind w:firstLine="708"/>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x-none"/>
        </w:rPr>
        <w:t>E</w:t>
      </w:r>
      <w:r w:rsidRPr="002F1FB1">
        <w:rPr>
          <w:rFonts w:ascii="Arial" w:hAnsi="Arial" w:cs="Arial"/>
          <w:color w:val="000000" w:themeColor="text1"/>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2F1FB1">
        <w:rPr>
          <w:rFonts w:ascii="Arial" w:hAnsi="Arial" w:cs="Arial"/>
          <w:color w:val="000000" w:themeColor="text1"/>
          <w:sz w:val="22"/>
          <w:szCs w:val="22"/>
          <w:vertAlign w:val="superscript"/>
          <w:lang w:eastAsia="x-none"/>
        </w:rPr>
        <w:footnoteReference w:id="18"/>
      </w:r>
      <w:r w:rsidRPr="002F1FB1">
        <w:rPr>
          <w:rFonts w:ascii="Arial" w:hAnsi="Arial" w:cs="Arial"/>
          <w:color w:val="000000" w:themeColor="text1"/>
          <w:sz w:val="22"/>
          <w:szCs w:val="22"/>
          <w:lang w:eastAsia="x-none"/>
        </w:rPr>
        <w:t xml:space="preserve">. </w:t>
      </w:r>
    </w:p>
    <w:p w14:paraId="27EB5D3B" w14:textId="77777777" w:rsidR="003C408D" w:rsidRPr="002F1FB1" w:rsidRDefault="003C408D" w:rsidP="003C408D">
      <w:pPr>
        <w:spacing w:after="120" w:line="276" w:lineRule="auto"/>
        <w:ind w:firstLine="708"/>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B6456E9" w14:textId="77777777" w:rsidR="003C408D" w:rsidRPr="002F1FB1" w:rsidRDefault="003C408D" w:rsidP="003C408D">
      <w:pPr>
        <w:spacing w:after="120" w:line="276" w:lineRule="auto"/>
        <w:ind w:firstLine="708"/>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2F1FB1">
        <w:rPr>
          <w:rFonts w:ascii="Arial" w:hAnsi="Arial" w:cs="Arial"/>
          <w:bCs/>
          <w:color w:val="000000" w:themeColor="text1"/>
          <w:sz w:val="22"/>
          <w:szCs w:val="22"/>
          <w:lang w:val="es-MX" w:eastAsia="x-none"/>
        </w:rPr>
        <w:lastRenderedPageBreak/>
        <w:t>contratación utilizado por las entidades estatales que no incluya la convocatoria pública en alguna de sus etapas, ni permita la participación de una pluralidad de oferentes</w:t>
      </w:r>
      <w:r w:rsidRPr="002F1FB1">
        <w:rPr>
          <w:rFonts w:ascii="Arial" w:hAnsi="Arial" w:cs="Arial"/>
          <w:color w:val="000000" w:themeColor="text1"/>
          <w:sz w:val="22"/>
          <w:szCs w:val="22"/>
          <w:vertAlign w:val="superscript"/>
          <w:lang w:eastAsia="x-none"/>
        </w:rPr>
        <w:footnoteReference w:id="19"/>
      </w:r>
      <w:r w:rsidRPr="002F1FB1">
        <w:rPr>
          <w:rFonts w:ascii="Arial" w:hAnsi="Arial" w:cs="Arial"/>
          <w:bCs/>
          <w:color w:val="000000" w:themeColor="text1"/>
          <w:sz w:val="22"/>
          <w:szCs w:val="22"/>
          <w:lang w:val="es-MX" w:eastAsia="x-none"/>
        </w:rPr>
        <w:t>.</w:t>
      </w:r>
      <w:r w:rsidRPr="002F1FB1">
        <w:rPr>
          <w:rFonts w:ascii="Arial" w:hAnsi="Arial" w:cs="Arial"/>
          <w:color w:val="000000" w:themeColor="text1"/>
          <w:sz w:val="22"/>
          <w:szCs w:val="22"/>
          <w:vertAlign w:val="superscript"/>
          <w:lang w:eastAsia="x-none"/>
        </w:rPr>
        <w:t xml:space="preserve"> </w:t>
      </w:r>
    </w:p>
    <w:p w14:paraId="2366DE25" w14:textId="4C84C2BB" w:rsidR="003C408D" w:rsidRPr="002F1FB1" w:rsidRDefault="003C408D" w:rsidP="003C408D">
      <w:pPr>
        <w:spacing w:after="120" w:line="276" w:lineRule="auto"/>
        <w:ind w:firstLine="708"/>
        <w:jc w:val="both"/>
        <w:rPr>
          <w:rFonts w:ascii="Arial" w:hAnsi="Arial" w:cs="Arial"/>
          <w:color w:val="000000" w:themeColor="text1"/>
          <w:sz w:val="22"/>
          <w:szCs w:val="22"/>
          <w:lang w:eastAsia="x-none"/>
        </w:rPr>
      </w:pPr>
      <w:r w:rsidRPr="002F1FB1">
        <w:rPr>
          <w:rFonts w:ascii="Arial" w:hAnsi="Arial" w:cs="Arial"/>
          <w:bCs/>
          <w:color w:val="000000" w:themeColor="text1"/>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2F1FB1">
        <w:rPr>
          <w:rFonts w:ascii="Arial" w:hAnsi="Arial" w:cs="Arial"/>
          <w:color w:val="000000" w:themeColor="text1"/>
          <w:sz w:val="22"/>
          <w:szCs w:val="22"/>
          <w:lang w:eastAsia="x-none"/>
        </w:rPr>
        <w:t xml:space="preserve"> Por tanto, no son materia de la prohibición las demás modalidades de selección previstas en la Ley 1150 de 2007, es decir, la licitación pública, el concurso de méritos</w:t>
      </w:r>
      <w:r w:rsidR="00A85D9F" w:rsidRPr="002F1FB1">
        <w:rPr>
          <w:rFonts w:ascii="Arial" w:hAnsi="Arial" w:cs="Arial"/>
          <w:color w:val="000000" w:themeColor="text1"/>
          <w:sz w:val="22"/>
          <w:szCs w:val="22"/>
          <w:lang w:eastAsia="x-none"/>
        </w:rPr>
        <w:t>,</w:t>
      </w:r>
      <w:r w:rsidRPr="002F1FB1">
        <w:rPr>
          <w:rFonts w:ascii="Arial" w:hAnsi="Arial" w:cs="Arial"/>
          <w:color w:val="000000" w:themeColor="text1"/>
          <w:sz w:val="22"/>
          <w:szCs w:val="22"/>
          <w:lang w:eastAsia="x-none"/>
        </w:rPr>
        <w:t xml:space="preserve"> la selección abreviada</w:t>
      </w:r>
      <w:r w:rsidR="00A85D9F" w:rsidRPr="002F1FB1">
        <w:rPr>
          <w:rFonts w:ascii="Arial" w:hAnsi="Arial" w:cs="Arial"/>
          <w:color w:val="000000" w:themeColor="text1"/>
          <w:sz w:val="22"/>
          <w:szCs w:val="22"/>
          <w:lang w:eastAsia="x-none"/>
        </w:rPr>
        <w:t xml:space="preserve"> y la mínima cuantía</w:t>
      </w:r>
      <w:r w:rsidRPr="002F1FB1">
        <w:rPr>
          <w:rFonts w:ascii="Arial" w:hAnsi="Arial" w:cs="Arial"/>
          <w:color w:val="000000" w:themeColor="text1"/>
          <w:sz w:val="22"/>
          <w:szCs w:val="22"/>
          <w:lang w:eastAsia="x-none"/>
        </w:rPr>
        <w:t xml:space="preserve">, razón por la cual en ese período preelectoral de que trata la disposición las entidades públicas </w:t>
      </w:r>
      <w:r w:rsidR="00A85D9F" w:rsidRPr="002F1FB1">
        <w:rPr>
          <w:rFonts w:ascii="Arial" w:hAnsi="Arial" w:cs="Arial"/>
          <w:color w:val="000000" w:themeColor="text1"/>
          <w:sz w:val="22"/>
          <w:szCs w:val="22"/>
          <w:lang w:eastAsia="x-none"/>
        </w:rPr>
        <w:t xml:space="preserve">pueden </w:t>
      </w:r>
      <w:r w:rsidRPr="002F1FB1">
        <w:rPr>
          <w:rFonts w:ascii="Arial" w:hAnsi="Arial" w:cs="Arial"/>
          <w:color w:val="000000" w:themeColor="text1"/>
          <w:sz w:val="22"/>
          <w:szCs w:val="22"/>
          <w:lang w:eastAsia="x-none"/>
        </w:rPr>
        <w:t>seguir contratando bajo estos sistemas.</w:t>
      </w:r>
    </w:p>
    <w:p w14:paraId="3C64FF71" w14:textId="27A20EA1" w:rsidR="003C408D" w:rsidRPr="002F1FB1" w:rsidRDefault="003C408D" w:rsidP="003C408D">
      <w:pPr>
        <w:spacing w:after="120" w:line="276" w:lineRule="auto"/>
        <w:ind w:firstLine="708"/>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es-CO"/>
        </w:rPr>
        <w:t xml:space="preserve">Como en otras oportunidades lo ha manifestado esta Agencia, las prórrogas, modificaciones o adiciones de los contratos suscritos antes de la </w:t>
      </w:r>
      <w:proofErr w:type="gramStart"/>
      <w:r w:rsidRPr="002F1FB1">
        <w:rPr>
          <w:rFonts w:ascii="Arial" w:hAnsi="Arial" w:cs="Arial"/>
          <w:bCs/>
          <w:color w:val="000000" w:themeColor="text1"/>
          <w:sz w:val="22"/>
          <w:szCs w:val="22"/>
          <w:lang w:val="es-MX" w:eastAsia="es-CO"/>
        </w:rPr>
        <w:t>entrada en vigencia</w:t>
      </w:r>
      <w:proofErr w:type="gramEnd"/>
      <w:r w:rsidRPr="002F1FB1">
        <w:rPr>
          <w:rFonts w:ascii="Arial" w:hAnsi="Arial" w:cs="Arial"/>
          <w:bCs/>
          <w:color w:val="000000" w:themeColor="text1"/>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043614" w:rsidRPr="002F1FB1">
        <w:rPr>
          <w:rStyle w:val="Refdenotaalpie"/>
          <w:rFonts w:ascii="Arial" w:hAnsi="Arial" w:cs="Arial"/>
          <w:bCs/>
          <w:color w:val="000000" w:themeColor="text1"/>
          <w:sz w:val="22"/>
          <w:szCs w:val="22"/>
          <w:lang w:val="es-MX" w:eastAsia="es-CO"/>
        </w:rPr>
        <w:footnoteReference w:id="20"/>
      </w:r>
      <w:r w:rsidRPr="002F1FB1">
        <w:rPr>
          <w:rFonts w:ascii="Arial" w:hAnsi="Arial" w:cs="Arial"/>
          <w:bCs/>
          <w:color w:val="000000" w:themeColor="text1"/>
          <w:sz w:val="22"/>
          <w:szCs w:val="22"/>
          <w:lang w:val="es-MX" w:eastAsia="es-CO"/>
        </w:rPr>
        <w:t>.</w:t>
      </w:r>
      <w:r w:rsidR="00A85D9F" w:rsidRPr="002F1FB1">
        <w:rPr>
          <w:rFonts w:ascii="Arial" w:hAnsi="Arial" w:cs="Arial"/>
          <w:bCs/>
          <w:color w:val="000000" w:themeColor="text1"/>
          <w:sz w:val="22"/>
          <w:szCs w:val="22"/>
          <w:lang w:val="es-MX" w:eastAsia="es-CO"/>
        </w:rPr>
        <w:t xml:space="preserve"> Además, también es posible que contratos celebrados </w:t>
      </w:r>
      <w:r w:rsidR="00D101BB" w:rsidRPr="002F1FB1">
        <w:rPr>
          <w:rFonts w:ascii="Arial" w:hAnsi="Arial" w:cs="Arial"/>
          <w:bCs/>
          <w:color w:val="000000" w:themeColor="text1"/>
          <w:sz w:val="22"/>
          <w:szCs w:val="22"/>
          <w:lang w:val="es-MX" w:eastAsia="es-CO"/>
        </w:rPr>
        <w:t xml:space="preserve">previamente </w:t>
      </w:r>
      <w:r w:rsidR="00A85D9F" w:rsidRPr="002F1FB1">
        <w:rPr>
          <w:rFonts w:ascii="Arial" w:hAnsi="Arial" w:cs="Arial"/>
          <w:bCs/>
          <w:color w:val="000000" w:themeColor="text1"/>
          <w:sz w:val="22"/>
          <w:szCs w:val="22"/>
          <w:lang w:val="es-MX" w:eastAsia="es-CO"/>
        </w:rPr>
        <w:t>se continúen ejecutando</w:t>
      </w:r>
      <w:r w:rsidR="00053BD4" w:rsidRPr="002F1FB1">
        <w:rPr>
          <w:rFonts w:ascii="Arial" w:hAnsi="Arial" w:cs="Arial"/>
          <w:bCs/>
          <w:color w:val="000000" w:themeColor="text1"/>
          <w:sz w:val="22"/>
          <w:szCs w:val="22"/>
          <w:lang w:val="es-MX" w:eastAsia="es-CO"/>
        </w:rPr>
        <w:t xml:space="preserve"> con normalidad.</w:t>
      </w:r>
    </w:p>
    <w:p w14:paraId="09A86F44" w14:textId="3476B7FD" w:rsidR="003C408D" w:rsidRPr="002F1FB1" w:rsidRDefault="003C408D" w:rsidP="003C408D">
      <w:pPr>
        <w:spacing w:after="120" w:line="276" w:lineRule="auto"/>
        <w:ind w:firstLine="708"/>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w:t>
      </w:r>
      <w:r w:rsidR="00053BD4" w:rsidRPr="002F1FB1">
        <w:rPr>
          <w:rFonts w:ascii="Arial" w:hAnsi="Arial" w:cs="Arial"/>
          <w:bCs/>
          <w:color w:val="000000" w:themeColor="text1"/>
          <w:sz w:val="22"/>
          <w:szCs w:val="22"/>
          <w:lang w:val="es-MX" w:eastAsia="x-none"/>
        </w:rPr>
        <w:t xml:space="preserve">expresamente </w:t>
      </w:r>
      <w:r w:rsidRPr="002F1FB1">
        <w:rPr>
          <w:rFonts w:ascii="Arial" w:hAnsi="Arial" w:cs="Arial"/>
          <w:bCs/>
          <w:color w:val="000000" w:themeColor="text1"/>
          <w:sz w:val="22"/>
          <w:szCs w:val="22"/>
          <w:lang w:val="es-MX" w:eastAsia="x-none"/>
        </w:rPr>
        <w:t>en el inciso final del citado artículo 33 de la Ley 996 de 2005</w:t>
      </w:r>
      <w:r w:rsidR="006F551F" w:rsidRPr="002F1FB1">
        <w:rPr>
          <w:rFonts w:ascii="Arial" w:hAnsi="Arial" w:cs="Arial"/>
          <w:bCs/>
          <w:color w:val="000000" w:themeColor="text1"/>
          <w:sz w:val="22"/>
          <w:szCs w:val="22"/>
          <w:lang w:val="es-MX" w:eastAsia="x-none"/>
        </w:rPr>
        <w:t>,</w:t>
      </w:r>
      <w:r w:rsidRPr="002F1FB1">
        <w:rPr>
          <w:rFonts w:ascii="Arial" w:hAnsi="Arial" w:cs="Arial"/>
          <w:bCs/>
          <w:color w:val="000000" w:themeColor="text1"/>
          <w:sz w:val="22"/>
          <w:szCs w:val="22"/>
          <w:lang w:val="es-MX" w:eastAsia="x-none"/>
        </w:rPr>
        <w:t xml:space="preserve"> en lo referente a</w:t>
      </w:r>
      <w:r w:rsidR="006F551F" w:rsidRPr="002F1FB1">
        <w:rPr>
          <w:rFonts w:ascii="Arial" w:hAnsi="Arial" w:cs="Arial"/>
          <w:bCs/>
          <w:color w:val="000000" w:themeColor="text1"/>
          <w:sz w:val="22"/>
          <w:szCs w:val="22"/>
          <w:lang w:val="es-MX" w:eastAsia="x-none"/>
        </w:rPr>
        <w:t>:</w:t>
      </w:r>
      <w:r w:rsidRPr="002F1FB1">
        <w:rPr>
          <w:rFonts w:ascii="Arial" w:hAnsi="Arial" w:cs="Arial"/>
          <w:bCs/>
          <w:color w:val="000000" w:themeColor="text1"/>
          <w:sz w:val="22"/>
          <w:szCs w:val="22"/>
          <w:lang w:val="es-MX" w:eastAsia="x-none"/>
        </w:rPr>
        <w:t xml:space="preserve"> i) la defensa y seguridad del Estado; </w:t>
      </w:r>
      <w:proofErr w:type="spellStart"/>
      <w:r w:rsidRPr="002F1FB1">
        <w:rPr>
          <w:rFonts w:ascii="Arial" w:hAnsi="Arial" w:cs="Arial"/>
          <w:bCs/>
          <w:color w:val="000000" w:themeColor="text1"/>
          <w:sz w:val="22"/>
          <w:szCs w:val="22"/>
          <w:lang w:val="es-MX" w:eastAsia="x-none"/>
        </w:rPr>
        <w:t>ii</w:t>
      </w:r>
      <w:proofErr w:type="spellEnd"/>
      <w:r w:rsidRPr="002F1FB1">
        <w:rPr>
          <w:rFonts w:ascii="Arial" w:hAnsi="Arial" w:cs="Arial"/>
          <w:bCs/>
          <w:color w:val="000000" w:themeColor="text1"/>
          <w:sz w:val="22"/>
          <w:szCs w:val="22"/>
          <w:lang w:val="es-MX" w:eastAsia="x-none"/>
        </w:rPr>
        <w:t xml:space="preserve">) los contratos de crédito público; </w:t>
      </w:r>
      <w:proofErr w:type="spellStart"/>
      <w:r w:rsidRPr="002F1FB1">
        <w:rPr>
          <w:rFonts w:ascii="Arial" w:hAnsi="Arial" w:cs="Arial"/>
          <w:bCs/>
          <w:color w:val="000000" w:themeColor="text1"/>
          <w:sz w:val="22"/>
          <w:szCs w:val="22"/>
          <w:lang w:val="es-MX" w:eastAsia="x-none"/>
        </w:rPr>
        <w:t>iii</w:t>
      </w:r>
      <w:proofErr w:type="spellEnd"/>
      <w:r w:rsidRPr="002F1FB1">
        <w:rPr>
          <w:rFonts w:ascii="Arial" w:hAnsi="Arial" w:cs="Arial"/>
          <w:bCs/>
          <w:color w:val="000000" w:themeColor="text1"/>
          <w:sz w:val="22"/>
          <w:szCs w:val="22"/>
          <w:lang w:val="es-MX" w:eastAsia="x-none"/>
        </w:rPr>
        <w:t xml:space="preserve">) los requeridos para cubrir las emergencias educativas, sanitarias y desastres; </w:t>
      </w:r>
      <w:proofErr w:type="spellStart"/>
      <w:r w:rsidRPr="002F1FB1">
        <w:rPr>
          <w:rFonts w:ascii="Arial" w:hAnsi="Arial" w:cs="Arial"/>
          <w:bCs/>
          <w:color w:val="000000" w:themeColor="text1"/>
          <w:sz w:val="22"/>
          <w:szCs w:val="22"/>
          <w:lang w:val="es-MX" w:eastAsia="x-none"/>
        </w:rPr>
        <w:t>iv</w:t>
      </w:r>
      <w:proofErr w:type="spellEnd"/>
      <w:r w:rsidRPr="002F1FB1">
        <w:rPr>
          <w:rFonts w:ascii="Arial" w:hAnsi="Arial" w:cs="Arial"/>
          <w:bCs/>
          <w:color w:val="000000" w:themeColor="text1"/>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2F1FB1">
        <w:rPr>
          <w:rFonts w:ascii="Arial" w:hAnsi="Arial" w:cs="Arial"/>
          <w:bCs/>
          <w:color w:val="000000" w:themeColor="text1"/>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DC135AF" w14:textId="77777777" w:rsidR="003C408D" w:rsidRPr="002F1FB1" w:rsidRDefault="003C408D" w:rsidP="00AE2188">
      <w:pPr>
        <w:spacing w:after="120" w:line="276" w:lineRule="auto"/>
        <w:ind w:firstLine="709"/>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2F1FB1">
        <w:rPr>
          <w:rFonts w:ascii="Arial" w:hAnsi="Arial" w:cs="Arial"/>
          <w:bCs/>
          <w:color w:val="000000" w:themeColor="text1"/>
          <w:sz w:val="22"/>
          <w:szCs w:val="22"/>
          <w:lang w:val="es-MX" w:eastAsia="x-none"/>
        </w:rPr>
        <w:lastRenderedPageBreak/>
        <w:t>ejecutivo, como son los inmersos en las excepciones para la prohibición de contratación»</w:t>
      </w:r>
      <w:r w:rsidRPr="002F1FB1">
        <w:rPr>
          <w:rFonts w:ascii="Arial" w:eastAsiaTheme="minorHAnsi" w:hAnsi="Arial" w:cs="Arial"/>
          <w:color w:val="000000" w:themeColor="text1"/>
          <w:sz w:val="22"/>
          <w:szCs w:val="22"/>
          <w:vertAlign w:val="superscript"/>
          <w:lang w:val="es-MX" w:eastAsia="en-US"/>
        </w:rPr>
        <w:footnoteReference w:id="21"/>
      </w:r>
      <w:r w:rsidRPr="002F1FB1">
        <w:rPr>
          <w:rFonts w:ascii="Arial" w:hAnsi="Arial" w:cs="Arial"/>
          <w:bCs/>
          <w:color w:val="000000" w:themeColor="text1"/>
          <w:sz w:val="22"/>
          <w:szCs w:val="22"/>
          <w:lang w:val="es-MX"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5CDC8CC" w14:textId="2A11B850" w:rsidR="003C408D" w:rsidRPr="002F1FB1" w:rsidRDefault="00B370FB" w:rsidP="007F590A">
      <w:pPr>
        <w:spacing w:after="120" w:line="276" w:lineRule="auto"/>
        <w:ind w:firstLine="709"/>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x-none"/>
        </w:rPr>
        <w:t>En relación con los destinatarios de la restricción analizada, e</w:t>
      </w:r>
      <w:r w:rsidR="003C408D" w:rsidRPr="002F1FB1">
        <w:rPr>
          <w:rFonts w:ascii="Arial" w:hAnsi="Arial" w:cs="Arial"/>
          <w:bCs/>
          <w:color w:val="000000" w:themeColor="text1"/>
          <w:sz w:val="22"/>
          <w:szCs w:val="22"/>
          <w:lang w:val="es-MX" w:eastAsia="x-none"/>
        </w:rPr>
        <w:t xml:space="preserve">l artículo 33 de la Ley 996 de 2005 </w:t>
      </w:r>
      <w:r w:rsidRPr="002F1FB1">
        <w:rPr>
          <w:rFonts w:ascii="Arial" w:hAnsi="Arial" w:cs="Arial"/>
          <w:bCs/>
          <w:color w:val="000000" w:themeColor="text1"/>
          <w:sz w:val="22"/>
          <w:szCs w:val="22"/>
          <w:lang w:val="es-MX" w:eastAsia="x-none"/>
        </w:rPr>
        <w:t>los señala expresamente</w:t>
      </w:r>
      <w:r w:rsidR="003C408D" w:rsidRPr="002F1FB1">
        <w:rPr>
          <w:rFonts w:ascii="Arial" w:hAnsi="Arial" w:cs="Arial"/>
          <w:bCs/>
          <w:color w:val="000000" w:themeColor="text1"/>
          <w:sz w:val="22"/>
          <w:szCs w:val="22"/>
          <w:lang w:val="es-MX" w:eastAsia="x-none"/>
        </w:rPr>
        <w:t xml:space="preserv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A85D9F" w:rsidRPr="002F1FB1">
        <w:rPr>
          <w:rFonts w:ascii="Arial" w:hAnsi="Arial" w:cs="Arial"/>
          <w:bCs/>
          <w:color w:val="000000" w:themeColor="text1"/>
          <w:sz w:val="22"/>
          <w:szCs w:val="22"/>
          <w:lang w:val="es-MX" w:eastAsia="x-none"/>
        </w:rPr>
        <w:t>La Sala de Consulta y Servicio Civil del Consejo de Estado, en Concepto 1727 de</w:t>
      </w:r>
      <w:r w:rsidR="00931123" w:rsidRPr="002F1FB1">
        <w:rPr>
          <w:rFonts w:ascii="Arial" w:hAnsi="Arial" w:cs="Arial"/>
          <w:bCs/>
          <w:color w:val="000000" w:themeColor="text1"/>
          <w:sz w:val="22"/>
          <w:szCs w:val="22"/>
          <w:lang w:val="es-MX" w:eastAsia="x-none"/>
        </w:rPr>
        <w:t>l</w:t>
      </w:r>
      <w:r w:rsidR="00A85D9F" w:rsidRPr="002F1FB1">
        <w:rPr>
          <w:rFonts w:ascii="Arial" w:hAnsi="Arial" w:cs="Arial"/>
          <w:bCs/>
          <w:color w:val="000000" w:themeColor="text1"/>
          <w:sz w:val="22"/>
          <w:szCs w:val="22"/>
          <w:lang w:val="es-MX" w:eastAsia="x-none"/>
        </w:rPr>
        <w:t xml:space="preserve"> 20 de febrero de 2006, consideró que</w:t>
      </w:r>
      <w:r w:rsidR="00931123" w:rsidRPr="002F1FB1">
        <w:rPr>
          <w:rFonts w:ascii="Arial" w:hAnsi="Arial" w:cs="Arial"/>
          <w:bCs/>
          <w:color w:val="000000" w:themeColor="text1"/>
          <w:sz w:val="22"/>
          <w:szCs w:val="22"/>
          <w:lang w:val="es-MX" w:eastAsia="x-none"/>
        </w:rPr>
        <w:t xml:space="preserve"> e</w:t>
      </w:r>
      <w:r w:rsidR="003C408D" w:rsidRPr="002F1FB1">
        <w:rPr>
          <w:rFonts w:ascii="Arial" w:hAnsi="Arial" w:cs="Arial"/>
          <w:bCs/>
          <w:color w:val="000000" w:themeColor="text1"/>
          <w:sz w:val="22"/>
          <w:szCs w:val="22"/>
          <w:lang w:val="es-MX" w:eastAsia="x-none"/>
        </w:rPr>
        <w:t>l artículo 33 de la ley 996 de 2005, efectivamente se aplica incluso a las entidades estatales con régimen especial de contratación y que están exceptuadas del ámbito de aplicación del Estatuto General de Contratación de la Administración Pública, como por ejemplo</w:t>
      </w:r>
      <w:r w:rsidR="00931123" w:rsidRPr="002F1FB1">
        <w:rPr>
          <w:rFonts w:ascii="Arial" w:hAnsi="Arial" w:cs="Arial"/>
          <w:bCs/>
          <w:color w:val="000000" w:themeColor="text1"/>
          <w:sz w:val="22"/>
          <w:szCs w:val="22"/>
          <w:lang w:val="es-MX"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3C408D" w:rsidRPr="002F1FB1">
        <w:rPr>
          <w:rFonts w:ascii="Arial" w:hAnsi="Arial" w:cs="Arial"/>
          <w:bCs/>
          <w:color w:val="000000" w:themeColor="text1"/>
          <w:sz w:val="22"/>
          <w:szCs w:val="22"/>
          <w:vertAlign w:val="superscript"/>
          <w:lang w:val="es-MX" w:eastAsia="x-none"/>
        </w:rPr>
        <w:footnoteReference w:id="22"/>
      </w:r>
      <w:r w:rsidR="003C408D" w:rsidRPr="002F1FB1">
        <w:rPr>
          <w:rFonts w:ascii="Arial" w:hAnsi="Arial" w:cs="Arial"/>
          <w:bCs/>
          <w:color w:val="000000" w:themeColor="text1"/>
          <w:sz w:val="22"/>
          <w:szCs w:val="22"/>
          <w:lang w:val="es-MX" w:eastAsia="x-none"/>
        </w:rPr>
        <w:t xml:space="preserve">. </w:t>
      </w:r>
    </w:p>
    <w:p w14:paraId="6166282D" w14:textId="25B2E38F" w:rsidR="003C408D" w:rsidRPr="002F1FB1" w:rsidRDefault="003C408D" w:rsidP="003C408D">
      <w:pPr>
        <w:spacing w:line="276" w:lineRule="auto"/>
        <w:ind w:firstLine="708"/>
        <w:jc w:val="both"/>
        <w:rPr>
          <w:rFonts w:ascii="Arial" w:eastAsiaTheme="minorHAnsi" w:hAnsi="Arial" w:cs="Arial"/>
          <w:color w:val="000000" w:themeColor="text1"/>
          <w:sz w:val="22"/>
          <w:szCs w:val="22"/>
          <w:lang w:val="es-MX" w:eastAsia="en-US"/>
        </w:rPr>
      </w:pPr>
      <w:r w:rsidRPr="002F1FB1">
        <w:rPr>
          <w:rFonts w:ascii="Arial" w:hAnsi="Arial" w:cs="Arial"/>
          <w:bCs/>
          <w:color w:val="000000" w:themeColor="text1"/>
          <w:sz w:val="22"/>
          <w:szCs w:val="22"/>
          <w:lang w:val="es-MX" w:eastAsia="x-none"/>
        </w:rPr>
        <w:t>De igual forma, en Concepto con radicado 1738 de</w:t>
      </w:r>
      <w:r w:rsidR="00A6659C" w:rsidRPr="002F1FB1">
        <w:rPr>
          <w:rFonts w:ascii="Arial" w:hAnsi="Arial" w:cs="Arial"/>
          <w:bCs/>
          <w:color w:val="000000" w:themeColor="text1"/>
          <w:sz w:val="22"/>
          <w:szCs w:val="22"/>
          <w:lang w:val="es-MX" w:eastAsia="x-none"/>
        </w:rPr>
        <w:t>l</w:t>
      </w:r>
      <w:r w:rsidRPr="002F1FB1">
        <w:rPr>
          <w:rFonts w:ascii="Arial" w:hAnsi="Arial" w:cs="Arial"/>
          <w:bCs/>
          <w:color w:val="000000" w:themeColor="text1"/>
          <w:sz w:val="22"/>
          <w:szCs w:val="22"/>
          <w:lang w:val="es-MX" w:eastAsia="x-none"/>
        </w:rPr>
        <w:t xml:space="preserv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2F1FB1">
        <w:rPr>
          <w:rFonts w:ascii="Arial" w:eastAsiaTheme="minorHAnsi" w:hAnsi="Arial" w:cs="Arial"/>
          <w:color w:val="000000" w:themeColor="text1"/>
          <w:szCs w:val="22"/>
          <w:vertAlign w:val="superscript"/>
          <w:lang w:val="es-MX" w:eastAsia="en-US"/>
        </w:rPr>
        <w:footnoteReference w:id="23"/>
      </w:r>
      <w:r w:rsidRPr="002F1FB1">
        <w:rPr>
          <w:rFonts w:ascii="Arial" w:hAnsi="Arial" w:cs="Arial"/>
          <w:bCs/>
          <w:color w:val="000000" w:themeColor="text1"/>
          <w:sz w:val="22"/>
          <w:szCs w:val="22"/>
          <w:lang w:val="es-MX" w:eastAsia="x-none"/>
        </w:rPr>
        <w:t>.</w:t>
      </w:r>
      <w:r w:rsidRPr="002F1FB1">
        <w:rPr>
          <w:rFonts w:ascii="Arial" w:eastAsiaTheme="minorHAnsi" w:hAnsi="Arial" w:cs="Arial"/>
          <w:color w:val="000000" w:themeColor="text1"/>
          <w:sz w:val="22"/>
          <w:szCs w:val="22"/>
          <w:lang w:val="es-MX" w:eastAsia="en-US"/>
        </w:rPr>
        <w:t xml:space="preserve"> </w:t>
      </w:r>
      <w:r w:rsidR="00B370FB" w:rsidRPr="002F1FB1">
        <w:rPr>
          <w:rFonts w:ascii="Arial" w:eastAsiaTheme="minorHAnsi" w:hAnsi="Arial" w:cs="Arial"/>
          <w:color w:val="000000" w:themeColor="text1"/>
          <w:sz w:val="22"/>
          <w:szCs w:val="22"/>
          <w:lang w:val="es-MX" w:eastAsia="en-US"/>
        </w:rPr>
        <w:t xml:space="preserve">Además, la </w:t>
      </w:r>
      <w:r w:rsidRPr="002F1FB1">
        <w:rPr>
          <w:rFonts w:ascii="Arial" w:eastAsiaTheme="minorHAnsi" w:hAnsi="Arial" w:cs="Arial"/>
          <w:color w:val="000000" w:themeColor="text1"/>
          <w:sz w:val="22"/>
          <w:szCs w:val="22"/>
          <w:lang w:val="es-MX" w:eastAsia="en-US"/>
        </w:rPr>
        <w:t>Sala de Consulta y Servicio Civil</w:t>
      </w:r>
      <w:r w:rsidR="00B370FB" w:rsidRPr="002F1FB1">
        <w:rPr>
          <w:rFonts w:ascii="Arial" w:eastAsiaTheme="minorHAnsi" w:hAnsi="Arial" w:cs="Arial"/>
          <w:color w:val="000000" w:themeColor="text1"/>
          <w:sz w:val="22"/>
          <w:szCs w:val="22"/>
          <w:lang w:val="es-MX" w:eastAsia="en-US"/>
        </w:rPr>
        <w:t xml:space="preserve"> del Consejo de </w:t>
      </w:r>
      <w:r w:rsidR="00B370FB" w:rsidRPr="002F1FB1">
        <w:rPr>
          <w:rFonts w:ascii="Arial" w:eastAsiaTheme="minorHAnsi" w:hAnsi="Arial" w:cs="Arial"/>
          <w:color w:val="000000" w:themeColor="text1"/>
          <w:sz w:val="22"/>
          <w:szCs w:val="22"/>
          <w:lang w:val="es-MX" w:eastAsia="en-US"/>
        </w:rPr>
        <w:lastRenderedPageBreak/>
        <w:t>Estado realizó la siguiente distinción, retomando el pronunciamiento de la misma sala del 20 de febrero de 2006, citado anteriormente</w:t>
      </w:r>
      <w:r w:rsidRPr="002F1FB1">
        <w:rPr>
          <w:rFonts w:ascii="Arial" w:eastAsiaTheme="minorHAnsi" w:hAnsi="Arial" w:cs="Arial"/>
          <w:color w:val="000000" w:themeColor="text1"/>
          <w:sz w:val="22"/>
          <w:szCs w:val="22"/>
          <w:lang w:val="es-MX" w:eastAsia="en-US"/>
        </w:rPr>
        <w:t>:</w:t>
      </w:r>
    </w:p>
    <w:p w14:paraId="27203D0A" w14:textId="77777777" w:rsidR="003C408D" w:rsidRPr="002F1FB1" w:rsidRDefault="003C408D" w:rsidP="003C408D">
      <w:pPr>
        <w:spacing w:line="276" w:lineRule="auto"/>
        <w:jc w:val="both"/>
        <w:rPr>
          <w:rFonts w:ascii="Arial" w:eastAsiaTheme="minorHAnsi" w:hAnsi="Arial" w:cs="Arial"/>
          <w:color w:val="000000" w:themeColor="text1"/>
          <w:sz w:val="22"/>
          <w:szCs w:val="22"/>
          <w:lang w:val="es-MX" w:eastAsia="en-US"/>
        </w:rPr>
      </w:pPr>
    </w:p>
    <w:p w14:paraId="59D4546F" w14:textId="13F630CD" w:rsidR="00DF0262" w:rsidRPr="002F1FB1" w:rsidRDefault="003C408D" w:rsidP="003C408D">
      <w:pPr>
        <w:ind w:left="708" w:right="709"/>
        <w:jc w:val="both"/>
        <w:rPr>
          <w:rFonts w:ascii="Arial" w:eastAsiaTheme="minorHAnsi" w:hAnsi="Arial" w:cs="Arial"/>
          <w:color w:val="000000" w:themeColor="text1"/>
          <w:sz w:val="21"/>
          <w:szCs w:val="21"/>
          <w:lang w:val="es-MX" w:eastAsia="en-US"/>
        </w:rPr>
      </w:pPr>
      <w:r w:rsidRPr="002F1FB1">
        <w:rPr>
          <w:rFonts w:ascii="Arial" w:eastAsiaTheme="minorHAnsi" w:hAnsi="Arial" w:cs="Arial"/>
          <w:color w:val="000000" w:themeColor="text1"/>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000979FC" w:rsidRPr="002F1FB1">
        <w:rPr>
          <w:rFonts w:ascii="Arial" w:eastAsiaTheme="minorHAnsi" w:hAnsi="Arial" w:cs="Arial"/>
          <w:color w:val="000000" w:themeColor="text1"/>
          <w:sz w:val="21"/>
          <w:szCs w:val="21"/>
          <w:lang w:val="es-MX" w:eastAsia="en-US"/>
        </w:rPr>
        <w:t>.</w:t>
      </w:r>
    </w:p>
    <w:p w14:paraId="40680503" w14:textId="77777777" w:rsidR="00DF0262" w:rsidRPr="002F1FB1" w:rsidRDefault="00DF0262" w:rsidP="003C408D">
      <w:pPr>
        <w:ind w:left="708" w:right="709"/>
        <w:jc w:val="both"/>
        <w:rPr>
          <w:rFonts w:ascii="Arial" w:eastAsiaTheme="minorHAnsi" w:hAnsi="Arial" w:cs="Arial"/>
          <w:color w:val="000000" w:themeColor="text1"/>
          <w:sz w:val="21"/>
          <w:szCs w:val="21"/>
          <w:lang w:val="es-MX" w:eastAsia="en-US"/>
        </w:rPr>
      </w:pPr>
    </w:p>
    <w:p w14:paraId="1AD26853" w14:textId="20368558" w:rsidR="003C408D" w:rsidRPr="002F1FB1" w:rsidRDefault="00DF0262" w:rsidP="003C408D">
      <w:pPr>
        <w:ind w:left="708" w:right="709"/>
        <w:jc w:val="both"/>
        <w:rPr>
          <w:rFonts w:ascii="Arial" w:eastAsiaTheme="minorHAnsi" w:hAnsi="Arial" w:cs="Arial"/>
          <w:color w:val="000000" w:themeColor="text1"/>
          <w:sz w:val="21"/>
          <w:szCs w:val="21"/>
          <w:lang w:val="es-MX" w:eastAsia="en-US"/>
        </w:rPr>
      </w:pPr>
      <w:r w:rsidRPr="002F1FB1">
        <w:rPr>
          <w:rFonts w:ascii="Arial" w:eastAsiaTheme="minorHAnsi" w:hAnsi="Arial" w:cs="Arial"/>
          <w:color w:val="000000" w:themeColor="text1"/>
          <w:sz w:val="21"/>
          <w:szCs w:val="21"/>
          <w:lang w:val="es-MX" w:eastAsia="en-US"/>
        </w:rPr>
        <w:t>Aplicando este razonamiento a los establecimientos de crédito, a las sociedades de servicios financieros y a las entidades aseguradoras, encontramos que no pueden adquirir los suministros de bienes y servicios necesarios para la realización de su actividad por contratación directa sino por el mecanismo de la licitación pública, pero es obvio que si una de éstas entidades va a prestar un servicio financiero o de seguros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003C408D" w:rsidRPr="002F1FB1">
        <w:rPr>
          <w:rFonts w:ascii="Arial" w:eastAsiaTheme="minorHAnsi" w:hAnsi="Arial" w:cs="Arial"/>
          <w:color w:val="000000" w:themeColor="text1"/>
          <w:szCs w:val="22"/>
          <w:vertAlign w:val="superscript"/>
          <w:lang w:val="es-MX" w:eastAsia="en-US"/>
        </w:rPr>
        <w:footnoteReference w:id="24"/>
      </w:r>
      <w:r w:rsidR="003C408D" w:rsidRPr="002F1FB1">
        <w:rPr>
          <w:rFonts w:ascii="Arial" w:hAnsi="Arial" w:cs="Arial"/>
          <w:bCs/>
          <w:color w:val="000000" w:themeColor="text1"/>
          <w:sz w:val="22"/>
          <w:szCs w:val="22"/>
          <w:lang w:val="es-MX" w:eastAsia="x-none"/>
        </w:rPr>
        <w:t>.</w:t>
      </w:r>
    </w:p>
    <w:p w14:paraId="14F8FAC4" w14:textId="77777777" w:rsidR="003C408D" w:rsidRPr="002F1FB1" w:rsidRDefault="003C408D" w:rsidP="003C408D">
      <w:pPr>
        <w:spacing w:line="276" w:lineRule="auto"/>
        <w:jc w:val="both"/>
        <w:rPr>
          <w:rFonts w:ascii="Arial" w:eastAsiaTheme="minorHAnsi" w:hAnsi="Arial" w:cs="Arial"/>
          <w:color w:val="000000" w:themeColor="text1"/>
          <w:sz w:val="22"/>
          <w:szCs w:val="22"/>
          <w:lang w:val="es-MX" w:eastAsia="en-US"/>
        </w:rPr>
      </w:pPr>
    </w:p>
    <w:p w14:paraId="1AE05216" w14:textId="3A1E0936" w:rsidR="00725DB3" w:rsidRPr="002F1FB1" w:rsidRDefault="00B370FB" w:rsidP="004D08E5">
      <w:pPr>
        <w:spacing w:after="120" w:line="276" w:lineRule="auto"/>
        <w:ind w:firstLine="709"/>
        <w:jc w:val="both"/>
        <w:rPr>
          <w:rFonts w:ascii="Arial" w:hAnsi="Arial" w:cs="Arial"/>
          <w:color w:val="000000" w:themeColor="text1"/>
          <w:sz w:val="22"/>
          <w:szCs w:val="22"/>
          <w:lang w:eastAsia="es-CO"/>
        </w:rPr>
      </w:pPr>
      <w:r w:rsidRPr="002F1FB1">
        <w:rPr>
          <w:rFonts w:ascii="Arial" w:eastAsiaTheme="minorHAnsi" w:hAnsi="Arial" w:cs="Arial"/>
          <w:color w:val="000000" w:themeColor="text1"/>
          <w:sz w:val="22"/>
          <w:szCs w:val="22"/>
          <w:lang w:val="es-MX" w:eastAsia="en-US"/>
        </w:rPr>
        <w:t>De acuerdo con estos pronunciamientos de la Sala de Consulta y Servicio Civil del Consejo de Estado,</w:t>
      </w:r>
      <w:r w:rsidR="00D33DA4" w:rsidRPr="002F1FB1">
        <w:rPr>
          <w:rFonts w:ascii="Arial" w:eastAsiaTheme="minorHAnsi" w:hAnsi="Arial" w:cs="Arial"/>
          <w:color w:val="000000" w:themeColor="text1"/>
          <w:sz w:val="22"/>
          <w:szCs w:val="22"/>
          <w:lang w:val="es-MX" w:eastAsia="en-US"/>
        </w:rPr>
        <w:t xml:space="preserve"> la prohibición de la contratación directa también aplica frente a las entidades exceptuadas de la aplicación del EGCAP y que se rigen en materia contractual por el derecho privado. Sin embargo, señaló </w:t>
      </w:r>
      <w:r w:rsidR="000979FC" w:rsidRPr="002F1FB1">
        <w:rPr>
          <w:rFonts w:ascii="Arial" w:eastAsiaTheme="minorHAnsi" w:hAnsi="Arial" w:cs="Arial"/>
          <w:color w:val="000000" w:themeColor="text1"/>
          <w:sz w:val="22"/>
          <w:szCs w:val="22"/>
          <w:lang w:val="es-MX" w:eastAsia="en-US"/>
        </w:rPr>
        <w:t xml:space="preserve">que </w:t>
      </w:r>
      <w:r w:rsidR="00D33DA4" w:rsidRPr="002F1FB1">
        <w:rPr>
          <w:rFonts w:ascii="Arial" w:eastAsiaTheme="minorHAnsi" w:hAnsi="Arial" w:cs="Arial"/>
          <w:color w:val="000000" w:themeColor="text1"/>
          <w:sz w:val="22"/>
          <w:szCs w:val="22"/>
          <w:lang w:val="es-MX" w:eastAsia="en-US"/>
        </w:rPr>
        <w:t xml:space="preserve">algunas de estas entidades, como sucede con las empresas de servicios públicos domiciliarios, los </w:t>
      </w:r>
      <w:r w:rsidR="00D33DA4" w:rsidRPr="002F1FB1">
        <w:rPr>
          <w:rFonts w:ascii="Arial" w:hAnsi="Arial" w:cs="Arial"/>
          <w:bCs/>
          <w:color w:val="000000" w:themeColor="text1"/>
          <w:sz w:val="22"/>
          <w:szCs w:val="22"/>
          <w:lang w:val="es-MX" w:eastAsia="x-none"/>
        </w:rPr>
        <w:t>establecimientos de crédito, las sociedades de servicios financieros y las entidades aseguradoras</w:t>
      </w:r>
      <w:r w:rsidR="00D33DA4" w:rsidRPr="002F1FB1">
        <w:rPr>
          <w:rFonts w:ascii="Arial" w:eastAsiaTheme="minorHAnsi" w:hAnsi="Arial" w:cs="Arial"/>
          <w:color w:val="000000" w:themeColor="text1"/>
          <w:sz w:val="22"/>
          <w:szCs w:val="22"/>
          <w:lang w:val="es-MX" w:eastAsia="en-US"/>
        </w:rPr>
        <w:t xml:space="preserve"> </w:t>
      </w:r>
      <w:r w:rsidR="003C408D" w:rsidRPr="002F1FB1">
        <w:rPr>
          <w:rFonts w:ascii="Arial" w:eastAsiaTheme="minorHAnsi" w:hAnsi="Arial" w:cs="Arial"/>
          <w:color w:val="000000" w:themeColor="text1"/>
          <w:sz w:val="22"/>
          <w:szCs w:val="22"/>
          <w:lang w:val="es-MX" w:eastAsia="en-US"/>
        </w:rPr>
        <w:t>no pueden adquirir los suministros de bienes y servicios necesarios para la realización de su actividad por contratación directa</w:t>
      </w:r>
      <w:r w:rsidR="00A6659C" w:rsidRPr="002F1FB1">
        <w:rPr>
          <w:rFonts w:ascii="Arial" w:eastAsiaTheme="minorHAnsi" w:hAnsi="Arial" w:cs="Arial"/>
          <w:color w:val="000000" w:themeColor="text1"/>
          <w:sz w:val="22"/>
          <w:szCs w:val="22"/>
          <w:lang w:val="es-MX" w:eastAsia="en-US"/>
        </w:rPr>
        <w:t>,</w:t>
      </w:r>
      <w:r w:rsidR="003C408D" w:rsidRPr="002F1FB1">
        <w:rPr>
          <w:rFonts w:ascii="Arial" w:eastAsiaTheme="minorHAnsi" w:hAnsi="Arial" w:cs="Arial"/>
          <w:color w:val="000000" w:themeColor="text1"/>
          <w:sz w:val="22"/>
          <w:szCs w:val="22"/>
          <w:lang w:val="es-MX" w:eastAsia="en-US"/>
        </w:rPr>
        <w:t xml:space="preserve"> sino por mecanismos competitivos que impliquen convocatoria pública y la posibilidad de</w:t>
      </w:r>
      <w:r w:rsidR="00BD5232" w:rsidRPr="002F1FB1">
        <w:rPr>
          <w:rFonts w:ascii="Arial" w:eastAsiaTheme="minorHAnsi" w:hAnsi="Arial" w:cs="Arial"/>
          <w:color w:val="000000" w:themeColor="text1"/>
          <w:sz w:val="22"/>
          <w:szCs w:val="22"/>
          <w:lang w:val="es-MX" w:eastAsia="en-US"/>
        </w:rPr>
        <w:t xml:space="preserve"> la existencia de</w:t>
      </w:r>
      <w:r w:rsidR="003C408D" w:rsidRPr="002F1FB1">
        <w:rPr>
          <w:rFonts w:ascii="Arial" w:eastAsiaTheme="minorHAnsi" w:hAnsi="Arial" w:cs="Arial"/>
          <w:color w:val="000000" w:themeColor="text1"/>
          <w:sz w:val="22"/>
          <w:szCs w:val="22"/>
          <w:lang w:val="es-MX" w:eastAsia="en-US"/>
        </w:rPr>
        <w:t xml:space="preserve"> pluralidad de oferentes, pero</w:t>
      </w:r>
      <w:r w:rsidR="00D33DA4" w:rsidRPr="002F1FB1">
        <w:rPr>
          <w:rFonts w:ascii="Arial" w:eastAsiaTheme="minorHAnsi" w:hAnsi="Arial" w:cs="Arial"/>
          <w:color w:val="000000" w:themeColor="text1"/>
          <w:sz w:val="22"/>
          <w:szCs w:val="22"/>
          <w:lang w:val="es-MX" w:eastAsia="en-US"/>
        </w:rPr>
        <w:t xml:space="preserve"> </w:t>
      </w:r>
      <w:r w:rsidR="000979FC" w:rsidRPr="002F1FB1">
        <w:rPr>
          <w:rFonts w:ascii="Arial" w:eastAsiaTheme="minorHAnsi" w:hAnsi="Arial" w:cs="Arial"/>
          <w:color w:val="000000" w:themeColor="text1"/>
          <w:sz w:val="22"/>
          <w:szCs w:val="22"/>
          <w:lang w:val="es-MX" w:eastAsia="en-US"/>
        </w:rPr>
        <w:t xml:space="preserve">indicó que en estos casos </w:t>
      </w:r>
      <w:r w:rsidR="003C408D" w:rsidRPr="002F1FB1">
        <w:rPr>
          <w:rFonts w:ascii="Arial" w:eastAsiaTheme="minorHAnsi" w:hAnsi="Arial" w:cs="Arial"/>
          <w:color w:val="000000" w:themeColor="text1"/>
          <w:sz w:val="22"/>
          <w:szCs w:val="22"/>
          <w:lang w:val="es-MX" w:eastAsia="en-US"/>
        </w:rPr>
        <w:t>«</w:t>
      </w:r>
      <w:r w:rsidR="00191742" w:rsidRPr="002F1FB1">
        <w:rPr>
          <w:rFonts w:ascii="Arial" w:eastAsiaTheme="minorHAnsi" w:hAnsi="Arial" w:cs="Arial"/>
          <w:color w:val="000000" w:themeColor="text1"/>
          <w:sz w:val="22"/>
          <w:szCs w:val="22"/>
          <w:lang w:val="es-MX" w:eastAsia="en-US"/>
        </w:rPr>
        <w:t xml:space="preserve">las empresas no pueden dejar de entregar los servicios públicos a su cargo a nuevas </w:t>
      </w:r>
      <w:r w:rsidR="00191742" w:rsidRPr="002F1FB1">
        <w:rPr>
          <w:rFonts w:ascii="Arial" w:eastAsiaTheme="minorHAnsi" w:hAnsi="Arial" w:cs="Arial"/>
          <w:color w:val="000000" w:themeColor="text1"/>
          <w:sz w:val="22"/>
          <w:szCs w:val="22"/>
          <w:lang w:val="es-MX" w:eastAsia="en-US"/>
        </w:rPr>
        <w:lastRenderedPageBreak/>
        <w:t>personas, ni dejar de renovar los contratos existentes, pues significaría la parálisis de una actividad propia de la administración, que incluso podría desconocer los derechos fundamentales</w:t>
      </w:r>
      <w:r w:rsidR="003C408D" w:rsidRPr="002F1FB1">
        <w:rPr>
          <w:rFonts w:ascii="Arial" w:eastAsiaTheme="minorHAnsi" w:hAnsi="Arial" w:cs="Arial"/>
          <w:color w:val="000000" w:themeColor="text1"/>
          <w:sz w:val="22"/>
          <w:szCs w:val="22"/>
          <w:lang w:val="es-MX" w:eastAsia="en-US"/>
        </w:rPr>
        <w:t>»</w:t>
      </w:r>
      <w:r w:rsidR="003C408D" w:rsidRPr="002F1FB1">
        <w:rPr>
          <w:rFonts w:ascii="Arial" w:eastAsiaTheme="minorHAnsi" w:hAnsi="Arial" w:cs="Arial"/>
          <w:color w:val="000000" w:themeColor="text1"/>
          <w:sz w:val="22"/>
          <w:szCs w:val="22"/>
          <w:vertAlign w:val="superscript"/>
          <w:lang w:val="es-MX" w:eastAsia="en-US"/>
        </w:rPr>
        <w:footnoteReference w:id="25"/>
      </w:r>
      <w:r w:rsidR="003C408D" w:rsidRPr="002F1FB1">
        <w:rPr>
          <w:rFonts w:ascii="Arial" w:eastAsiaTheme="minorHAnsi" w:hAnsi="Arial" w:cs="Arial"/>
          <w:color w:val="000000" w:themeColor="text1"/>
          <w:sz w:val="22"/>
          <w:szCs w:val="22"/>
          <w:lang w:val="es-MX" w:eastAsia="en-US"/>
        </w:rPr>
        <w:t>.</w:t>
      </w:r>
      <w:r w:rsidR="001A0959" w:rsidRPr="002F1FB1">
        <w:rPr>
          <w:rFonts w:ascii="Arial" w:hAnsi="Arial" w:cs="Arial"/>
          <w:color w:val="000000" w:themeColor="text1"/>
          <w:sz w:val="22"/>
          <w:szCs w:val="22"/>
          <w:lang w:eastAsia="es-CO"/>
        </w:rPr>
        <w:t xml:space="preserve"> </w:t>
      </w:r>
    </w:p>
    <w:p w14:paraId="08E9F934" w14:textId="296A729B" w:rsidR="003C408D" w:rsidRPr="002F1FB1" w:rsidRDefault="00191742" w:rsidP="00236E1A">
      <w:pPr>
        <w:spacing w:after="120" w:line="276" w:lineRule="auto"/>
        <w:ind w:firstLine="709"/>
        <w:jc w:val="both"/>
        <w:rPr>
          <w:rFonts w:ascii="Arial" w:hAnsi="Arial" w:cs="Arial"/>
          <w:bCs/>
          <w:color w:val="000000" w:themeColor="text1"/>
          <w:sz w:val="22"/>
          <w:szCs w:val="22"/>
          <w:lang w:val="es-MX" w:eastAsia="x-none"/>
        </w:rPr>
      </w:pPr>
      <w:r w:rsidRPr="002F1FB1">
        <w:rPr>
          <w:rFonts w:ascii="Arial" w:hAnsi="Arial" w:cs="Arial"/>
          <w:color w:val="000000" w:themeColor="text1"/>
          <w:sz w:val="22"/>
          <w:szCs w:val="22"/>
          <w:lang w:eastAsia="es-CO"/>
        </w:rPr>
        <w:t>Sin perjuicio de estos pronunciamientos de la Sala de Consulta y Servicio Civil</w:t>
      </w:r>
      <w:r w:rsidR="001A0959" w:rsidRPr="002F1FB1">
        <w:rPr>
          <w:rFonts w:ascii="Arial" w:eastAsiaTheme="minorHAnsi" w:hAnsi="Arial" w:cs="Arial"/>
          <w:color w:val="000000" w:themeColor="text1"/>
          <w:sz w:val="22"/>
          <w:szCs w:val="22"/>
          <w:lang w:val="es-MX" w:eastAsia="en-US"/>
        </w:rPr>
        <w:t>,</w:t>
      </w:r>
      <w:r w:rsidR="003C408D" w:rsidRPr="002F1FB1">
        <w:rPr>
          <w:rFonts w:ascii="Arial" w:eastAsiaTheme="minorHAnsi" w:hAnsi="Arial" w:cs="Arial"/>
          <w:color w:val="000000" w:themeColor="text1"/>
          <w:sz w:val="22"/>
          <w:szCs w:val="22"/>
          <w:lang w:val="es-MX" w:eastAsia="en-US"/>
        </w:rPr>
        <w:t xml:space="preserve"> </w:t>
      </w:r>
      <w:r w:rsidRPr="002F1FB1">
        <w:rPr>
          <w:rFonts w:ascii="Arial" w:eastAsiaTheme="minorHAnsi" w:hAnsi="Arial" w:cs="Arial"/>
          <w:color w:val="000000" w:themeColor="text1"/>
          <w:sz w:val="22"/>
          <w:szCs w:val="22"/>
          <w:lang w:val="es-MX" w:eastAsia="en-US"/>
        </w:rPr>
        <w:t xml:space="preserve">como la ha señalado esa misma Corporación, </w:t>
      </w:r>
      <w:r w:rsidR="003C408D" w:rsidRPr="002F1FB1">
        <w:rPr>
          <w:rFonts w:ascii="Arial" w:eastAsiaTheme="minorHAnsi" w:hAnsi="Arial" w:cs="Arial"/>
          <w:color w:val="000000" w:themeColor="text1"/>
          <w:sz w:val="22"/>
          <w:szCs w:val="22"/>
          <w:lang w:val="es-MX" w:eastAsia="en-US"/>
        </w:rPr>
        <w:t xml:space="preserve">la restricción prevista en la Ley 996 de 2005 </w:t>
      </w:r>
      <w:r w:rsidR="003C408D" w:rsidRPr="002F1FB1">
        <w:rPr>
          <w:rFonts w:ascii="Arial" w:hAnsi="Arial" w:cs="Arial"/>
          <w:bCs/>
          <w:color w:val="000000" w:themeColor="text1"/>
          <w:sz w:val="22"/>
          <w:szCs w:val="22"/>
          <w:lang w:val="es-MX" w:eastAsia="x-none"/>
        </w:rPr>
        <w:t>cobija a cualquier ent</w:t>
      </w:r>
      <w:r w:rsidR="001A0959" w:rsidRPr="002F1FB1">
        <w:rPr>
          <w:rFonts w:ascii="Arial" w:hAnsi="Arial" w:cs="Arial"/>
          <w:bCs/>
          <w:color w:val="000000" w:themeColor="text1"/>
          <w:sz w:val="22"/>
          <w:szCs w:val="22"/>
          <w:lang w:val="es-MX" w:eastAsia="x-none"/>
        </w:rPr>
        <w:t>idad pública independiente del régimen jurídico,</w:t>
      </w:r>
      <w:r w:rsidR="003C408D" w:rsidRPr="002F1FB1">
        <w:rPr>
          <w:rFonts w:ascii="Arial" w:hAnsi="Arial" w:cs="Arial"/>
          <w:bCs/>
          <w:color w:val="000000" w:themeColor="text1"/>
          <w:sz w:val="22"/>
          <w:szCs w:val="22"/>
          <w:lang w:val="es-MX" w:eastAsia="x-none"/>
        </w:rPr>
        <w:t xml:space="preserve"> que pueda </w:t>
      </w:r>
      <w:r w:rsidR="001A0959" w:rsidRPr="002F1FB1">
        <w:rPr>
          <w:rFonts w:ascii="Arial" w:hAnsi="Arial" w:cs="Arial"/>
          <w:bCs/>
          <w:color w:val="000000" w:themeColor="text1"/>
          <w:sz w:val="22"/>
          <w:szCs w:val="22"/>
          <w:lang w:val="es-MX" w:eastAsia="x-none"/>
        </w:rPr>
        <w:t>mediante</w:t>
      </w:r>
      <w:r w:rsidR="003C408D" w:rsidRPr="002F1FB1">
        <w:rPr>
          <w:rFonts w:ascii="Arial" w:hAnsi="Arial" w:cs="Arial"/>
          <w:bCs/>
          <w:color w:val="000000" w:themeColor="text1"/>
          <w:sz w:val="22"/>
          <w:szCs w:val="22"/>
          <w:lang w:val="es-MX" w:eastAsia="x-none"/>
        </w:rPr>
        <w:t xml:space="preserve"> la contratación directa</w:t>
      </w:r>
      <w:r w:rsidR="00525B4D" w:rsidRPr="002F1FB1">
        <w:rPr>
          <w:rFonts w:ascii="Arial" w:hAnsi="Arial" w:cs="Arial"/>
          <w:bCs/>
          <w:color w:val="000000" w:themeColor="text1"/>
          <w:sz w:val="22"/>
          <w:szCs w:val="22"/>
          <w:lang w:val="es-MX" w:eastAsia="x-none"/>
        </w:rPr>
        <w:t xml:space="preserve"> </w:t>
      </w:r>
      <w:r w:rsidR="003C408D" w:rsidRPr="002F1FB1">
        <w:rPr>
          <w:rFonts w:ascii="Arial" w:hAnsi="Arial" w:cs="Arial"/>
          <w:bCs/>
          <w:color w:val="000000" w:themeColor="text1"/>
          <w:sz w:val="22"/>
          <w:szCs w:val="22"/>
          <w:lang w:val="es-MX" w:eastAsia="x-none"/>
        </w:rPr>
        <w:t>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puede presentar</w:t>
      </w:r>
      <w:r w:rsidR="00525B4D" w:rsidRPr="002F1FB1">
        <w:rPr>
          <w:rFonts w:ascii="Arial" w:hAnsi="Arial" w:cs="Arial"/>
          <w:bCs/>
          <w:color w:val="000000" w:themeColor="text1"/>
          <w:sz w:val="22"/>
          <w:szCs w:val="22"/>
          <w:lang w:val="es-MX" w:eastAsia="x-none"/>
        </w:rPr>
        <w:t>se</w:t>
      </w:r>
      <w:r w:rsidR="003C408D" w:rsidRPr="002F1FB1">
        <w:rPr>
          <w:rFonts w:ascii="Arial" w:hAnsi="Arial" w:cs="Arial"/>
          <w:bCs/>
          <w:color w:val="000000" w:themeColor="text1"/>
          <w:sz w:val="22"/>
          <w:szCs w:val="22"/>
          <w:lang w:val="es-MX" w:eastAsia="x-none"/>
        </w:rPr>
        <w:t xml:space="preserve"> tanto en la contratación regulada por la Ley 80 de 1993 como en la regida por </w:t>
      </w:r>
      <w:r w:rsidR="009D7F2E" w:rsidRPr="002F1FB1">
        <w:rPr>
          <w:rFonts w:ascii="Arial" w:hAnsi="Arial" w:cs="Arial"/>
          <w:bCs/>
          <w:color w:val="000000" w:themeColor="text1"/>
          <w:sz w:val="22"/>
          <w:szCs w:val="22"/>
          <w:lang w:val="es-MX" w:eastAsia="x-none"/>
        </w:rPr>
        <w:t>normas especiales.</w:t>
      </w:r>
      <w:r w:rsidR="00525B4D" w:rsidRPr="002F1FB1">
        <w:rPr>
          <w:rFonts w:ascii="Arial" w:hAnsi="Arial" w:cs="Arial"/>
          <w:bCs/>
          <w:color w:val="000000" w:themeColor="text1"/>
          <w:sz w:val="22"/>
          <w:szCs w:val="22"/>
          <w:lang w:val="es-MX" w:eastAsia="x-none"/>
        </w:rPr>
        <w:t xml:space="preserve"> </w:t>
      </w:r>
    </w:p>
    <w:p w14:paraId="69806B25" w14:textId="33492EEE" w:rsidR="00251F82" w:rsidRPr="002F1FB1" w:rsidRDefault="00251F82" w:rsidP="00236E1A">
      <w:pPr>
        <w:spacing w:after="120" w:line="276" w:lineRule="auto"/>
        <w:ind w:firstLine="709"/>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x-none"/>
        </w:rPr>
        <w:t>En tal sentido, atendiendo al desarrollo realizado de la prohibición establecida en el artículo 33 de la Ley de Garantías Electorales y señalados algunos pronunciamientos relevantes en la materia, le compete a cada entidad estatal que considera celebrar un contrato específico, definir si este se enmarca en la prohibición establecida en el artículo 33 que restringe la contratación directa en el periodo preelectoral a las elecciones presidenciales. Lo anterior, adicionalmente</w:t>
      </w:r>
      <w:r w:rsidR="00191742" w:rsidRPr="002F1FB1">
        <w:rPr>
          <w:rFonts w:ascii="Arial" w:hAnsi="Arial" w:cs="Arial"/>
          <w:bCs/>
          <w:color w:val="000000" w:themeColor="text1"/>
          <w:sz w:val="22"/>
          <w:szCs w:val="22"/>
          <w:lang w:val="es-MX" w:eastAsia="x-none"/>
        </w:rPr>
        <w:t>,</w:t>
      </w:r>
      <w:r w:rsidRPr="002F1FB1">
        <w:rPr>
          <w:rFonts w:ascii="Arial" w:hAnsi="Arial" w:cs="Arial"/>
          <w:bCs/>
          <w:color w:val="000000" w:themeColor="text1"/>
          <w:sz w:val="22"/>
          <w:szCs w:val="22"/>
          <w:lang w:val="es-MX" w:eastAsia="x-none"/>
        </w:rPr>
        <w:t xml:space="preserve"> teniendo en cuenta las excepciones a la prohibición</w:t>
      </w:r>
      <w:r w:rsidR="0012395E" w:rsidRPr="002F1FB1">
        <w:rPr>
          <w:rFonts w:ascii="Arial" w:hAnsi="Arial" w:cs="Arial"/>
          <w:bCs/>
          <w:color w:val="000000" w:themeColor="text1"/>
          <w:sz w:val="22"/>
          <w:szCs w:val="22"/>
          <w:lang w:val="es-MX" w:eastAsia="x-none"/>
        </w:rPr>
        <w:t>, que son las</w:t>
      </w:r>
      <w:r w:rsidRPr="002F1FB1">
        <w:rPr>
          <w:rFonts w:ascii="Arial" w:hAnsi="Arial" w:cs="Arial"/>
          <w:bCs/>
          <w:color w:val="000000" w:themeColor="text1"/>
          <w:sz w:val="22"/>
          <w:szCs w:val="22"/>
          <w:lang w:val="es-MX" w:eastAsia="x-none"/>
        </w:rPr>
        <w:t xml:space="preserve"> establecidas en el inciso segundo del mismo artículo 33. Además, se reitera que la </w:t>
      </w:r>
      <w:r w:rsidR="00E2713B" w:rsidRPr="002F1FB1">
        <w:rPr>
          <w:rFonts w:ascii="Arial" w:hAnsi="Arial" w:cs="Arial"/>
          <w:bCs/>
          <w:color w:val="000000" w:themeColor="text1"/>
          <w:sz w:val="22"/>
          <w:szCs w:val="22"/>
          <w:lang w:val="es-MX" w:eastAsia="x-none"/>
        </w:rPr>
        <w:t>restricción</w:t>
      </w:r>
      <w:r w:rsidRPr="002F1FB1">
        <w:rPr>
          <w:rFonts w:ascii="Arial" w:hAnsi="Arial" w:cs="Arial"/>
          <w:bCs/>
          <w:color w:val="000000" w:themeColor="text1"/>
          <w:sz w:val="22"/>
          <w:szCs w:val="22"/>
          <w:lang w:val="es-MX" w:eastAsia="x-none"/>
        </w:rPr>
        <w:t xml:space="preserve"> aplica frente a la contratación directa, entendida como </w:t>
      </w:r>
      <w:r w:rsidR="006E234E" w:rsidRPr="002F1FB1">
        <w:rPr>
          <w:rFonts w:ascii="Arial" w:hAnsi="Arial" w:cs="Arial"/>
          <w:bCs/>
          <w:color w:val="000000" w:themeColor="text1"/>
          <w:sz w:val="22"/>
          <w:szCs w:val="22"/>
          <w:lang w:val="es-MX" w:eastAsia="x-none"/>
        </w:rPr>
        <w:t>cualquier sistema de selección o procedimiento de contratación utilizado por las entidades estatales que no incluya la convocatoria pública en alguna de sus etapas, ni permita la participación de una pluralidad de oferentes; por lo que las entidades que se rigen por el derecho privado podrán celebrar contratos de acuerdo con los procedimientos contractuales desarrollados en sus manuales de contratación, bajo el entendido que estos permitan la participación de una pluralidad de oferentes.</w:t>
      </w:r>
      <w:r w:rsidR="00191742" w:rsidRPr="002F1FB1">
        <w:rPr>
          <w:rFonts w:ascii="Arial" w:hAnsi="Arial" w:cs="Arial"/>
          <w:bCs/>
          <w:color w:val="000000" w:themeColor="text1"/>
          <w:sz w:val="22"/>
          <w:szCs w:val="22"/>
          <w:lang w:val="es-MX" w:eastAsia="x-none"/>
        </w:rPr>
        <w:t xml:space="preserve"> </w:t>
      </w:r>
    </w:p>
    <w:p w14:paraId="3DBE0B30" w14:textId="336709E9" w:rsidR="00725DB3" w:rsidRPr="002F1FB1" w:rsidRDefault="003E7523" w:rsidP="005B1F33">
      <w:pPr>
        <w:spacing w:after="120" w:line="276" w:lineRule="auto"/>
        <w:ind w:firstLine="709"/>
        <w:jc w:val="both"/>
        <w:rPr>
          <w:rFonts w:ascii="Arial" w:hAnsi="Arial" w:cs="Arial"/>
          <w:bCs/>
          <w:color w:val="000000" w:themeColor="text1"/>
          <w:sz w:val="22"/>
          <w:szCs w:val="22"/>
          <w:lang w:val="es-MX" w:eastAsia="x-none"/>
        </w:rPr>
      </w:pPr>
      <w:r w:rsidRPr="002F1FB1">
        <w:rPr>
          <w:rFonts w:ascii="Arial" w:hAnsi="Arial" w:cs="Arial"/>
          <w:bCs/>
          <w:color w:val="000000" w:themeColor="text1"/>
          <w:sz w:val="22"/>
          <w:szCs w:val="22"/>
          <w:lang w:val="es-MX" w:eastAsia="x-none"/>
        </w:rPr>
        <w:t>Habiéndose d</w:t>
      </w:r>
      <w:r w:rsidR="00A13599" w:rsidRPr="002F1FB1">
        <w:rPr>
          <w:rFonts w:ascii="Arial" w:hAnsi="Arial" w:cs="Arial"/>
          <w:bCs/>
          <w:color w:val="000000" w:themeColor="text1"/>
          <w:sz w:val="22"/>
          <w:szCs w:val="22"/>
          <w:lang w:val="es-MX" w:eastAsia="x-none"/>
        </w:rPr>
        <w:t xml:space="preserve">esarrollado el alcance de la prohibición establecida en el artículo 33 de la Ley de Garantías Electorales, de acuerdo con el ámbito de competencias de la Agencia, conviene señalar que frente </w:t>
      </w:r>
      <w:r w:rsidR="001C4D24" w:rsidRPr="002F1FB1">
        <w:rPr>
          <w:rFonts w:ascii="Arial" w:hAnsi="Arial" w:cs="Arial"/>
          <w:bCs/>
          <w:color w:val="000000" w:themeColor="text1"/>
          <w:sz w:val="22"/>
          <w:szCs w:val="22"/>
          <w:lang w:val="es-MX" w:eastAsia="x-none"/>
        </w:rPr>
        <w:t xml:space="preserve">a la posibilidad de </w:t>
      </w:r>
      <w:r w:rsidR="003D52FB" w:rsidRPr="002F1FB1">
        <w:rPr>
          <w:rFonts w:ascii="Arial" w:hAnsi="Arial" w:cs="Arial"/>
          <w:bCs/>
          <w:color w:val="000000" w:themeColor="text1"/>
          <w:sz w:val="22"/>
          <w:szCs w:val="22"/>
          <w:lang w:val="es-MX" w:eastAsia="x-none"/>
        </w:rPr>
        <w:t>«</w:t>
      </w:r>
      <w:r w:rsidR="00290798" w:rsidRPr="002F1FB1">
        <w:rPr>
          <w:rFonts w:ascii="Arial" w:hAnsi="Arial" w:cs="Arial"/>
          <w:bCs/>
          <w:color w:val="000000" w:themeColor="text1"/>
          <w:sz w:val="22"/>
          <w:szCs w:val="22"/>
          <w:lang w:val="es-MX" w:eastAsia="x-none"/>
        </w:rPr>
        <w:t xml:space="preserve">celebrar </w:t>
      </w:r>
      <w:r w:rsidR="00385C29" w:rsidRPr="002F1FB1">
        <w:rPr>
          <w:rFonts w:ascii="Arial" w:hAnsi="Arial" w:cs="Arial"/>
          <w:bCs/>
          <w:color w:val="000000" w:themeColor="text1"/>
          <w:sz w:val="22"/>
          <w:szCs w:val="22"/>
          <w:lang w:val="es-MX" w:eastAsia="x-none"/>
        </w:rPr>
        <w:t xml:space="preserve">contratos </w:t>
      </w:r>
      <w:r w:rsidR="00AE2A46" w:rsidRPr="002F1FB1">
        <w:rPr>
          <w:rFonts w:ascii="Arial" w:hAnsi="Arial" w:cs="Arial"/>
          <w:bCs/>
          <w:color w:val="000000" w:themeColor="text1"/>
          <w:sz w:val="22"/>
          <w:szCs w:val="22"/>
          <w:lang w:val="es-MX" w:eastAsia="x-none"/>
        </w:rPr>
        <w:t>de acceso e interconexión de servicios de comunicaciones</w:t>
      </w:r>
      <w:r w:rsidR="003D52FB" w:rsidRPr="002F1FB1">
        <w:rPr>
          <w:rFonts w:ascii="Arial" w:hAnsi="Arial" w:cs="Arial"/>
          <w:bCs/>
          <w:color w:val="000000" w:themeColor="text1"/>
          <w:sz w:val="22"/>
          <w:szCs w:val="22"/>
          <w:lang w:val="es-MX" w:eastAsia="x-none"/>
        </w:rPr>
        <w:t>»</w:t>
      </w:r>
      <w:r w:rsidR="001C4D24" w:rsidRPr="002F1FB1">
        <w:rPr>
          <w:rFonts w:ascii="Arial" w:hAnsi="Arial" w:cs="Arial"/>
          <w:bCs/>
          <w:color w:val="000000" w:themeColor="text1"/>
          <w:sz w:val="22"/>
          <w:szCs w:val="22"/>
          <w:lang w:val="es-MX" w:eastAsia="x-none"/>
        </w:rPr>
        <w:t xml:space="preserve">, se </w:t>
      </w:r>
      <w:r w:rsidR="00290798" w:rsidRPr="002F1FB1">
        <w:rPr>
          <w:rFonts w:ascii="Arial" w:hAnsi="Arial" w:cs="Arial"/>
          <w:bCs/>
          <w:color w:val="000000" w:themeColor="text1"/>
          <w:sz w:val="22"/>
          <w:szCs w:val="22"/>
          <w:lang w:val="es-MX" w:eastAsia="x-none"/>
        </w:rPr>
        <w:t>reitera que tenemos</w:t>
      </w:r>
      <w:r w:rsidR="001C4D24" w:rsidRPr="002F1FB1">
        <w:rPr>
          <w:rFonts w:ascii="Arial" w:hAnsi="Arial" w:cs="Arial"/>
          <w:bCs/>
          <w:color w:val="000000" w:themeColor="text1"/>
          <w:sz w:val="22"/>
          <w:szCs w:val="22"/>
          <w:lang w:val="es-MX" w:eastAsia="x-none"/>
        </w:rPr>
        <w:t xml:space="preserve"> competencia para atender consultas relativas a temas contractuales, pero solo para «absolver consultas sobre la aplicación de normas de carácter general»</w:t>
      </w:r>
      <w:r w:rsidR="001C4D24" w:rsidRPr="002F1FB1">
        <w:rPr>
          <w:rFonts w:ascii="Arial" w:hAnsi="Arial" w:cs="Arial"/>
          <w:bCs/>
          <w:color w:val="000000" w:themeColor="text1"/>
          <w:sz w:val="22"/>
          <w:szCs w:val="22"/>
          <w:lang w:val="es-MX" w:eastAsia="x-none"/>
        </w:rPr>
        <w:footnoteReference w:id="26"/>
      </w:r>
      <w:r w:rsidR="001C4D24" w:rsidRPr="002F1FB1">
        <w:rPr>
          <w:rFonts w:ascii="Arial" w:hAnsi="Arial" w:cs="Arial"/>
          <w:bCs/>
          <w:color w:val="000000" w:themeColor="text1"/>
          <w:sz w:val="22"/>
          <w:szCs w:val="22"/>
          <w:lang w:val="es-MX" w:eastAsia="x-none"/>
        </w:rPr>
        <w:t xml:space="preserve">. Esto significa que no podemos </w:t>
      </w:r>
      <w:r w:rsidR="001C4D24" w:rsidRPr="002F1FB1">
        <w:rPr>
          <w:rFonts w:ascii="Arial" w:hAnsi="Arial" w:cs="Arial"/>
          <w:bCs/>
          <w:color w:val="000000" w:themeColor="text1"/>
          <w:sz w:val="22"/>
          <w:szCs w:val="22"/>
          <w:lang w:val="es-MX" w:eastAsia="x-none"/>
        </w:rPr>
        <w:lastRenderedPageBreak/>
        <w:t>pronunciarnos sobre casos particulares o sobre preguntas que no contengan dudas sobre la interpretación de disposiciones generales</w:t>
      </w:r>
      <w:r w:rsidR="00211D19" w:rsidRPr="002F1FB1">
        <w:rPr>
          <w:rFonts w:ascii="Arial" w:hAnsi="Arial" w:cs="Arial"/>
          <w:bCs/>
          <w:color w:val="000000" w:themeColor="text1"/>
          <w:sz w:val="22"/>
          <w:szCs w:val="22"/>
          <w:lang w:val="es-MX" w:eastAsia="x-none"/>
        </w:rPr>
        <w:t xml:space="preserve"> en materia de contratación estatal</w:t>
      </w:r>
      <w:r w:rsidR="001C4D24" w:rsidRPr="002F1FB1">
        <w:rPr>
          <w:rFonts w:ascii="Arial" w:hAnsi="Arial" w:cs="Arial"/>
          <w:bCs/>
          <w:color w:val="000000" w:themeColor="text1"/>
          <w:sz w:val="22"/>
          <w:szCs w:val="22"/>
          <w:lang w:val="es-MX" w:eastAsia="x-none"/>
        </w:rPr>
        <w:t xml:space="preserve">. </w:t>
      </w:r>
      <w:r w:rsidR="00290798" w:rsidRPr="002F1FB1">
        <w:rPr>
          <w:rFonts w:ascii="Arial" w:hAnsi="Arial" w:cs="Arial"/>
          <w:bCs/>
          <w:color w:val="000000" w:themeColor="text1"/>
          <w:sz w:val="22"/>
          <w:szCs w:val="22"/>
          <w:lang w:val="es-MX" w:eastAsia="x-none"/>
        </w:rPr>
        <w:t>En este sentido</w:t>
      </w:r>
      <w:r w:rsidR="00737FB7" w:rsidRPr="002F1FB1">
        <w:rPr>
          <w:rFonts w:ascii="Arial" w:hAnsi="Arial" w:cs="Arial"/>
          <w:bCs/>
          <w:color w:val="000000" w:themeColor="text1"/>
          <w:sz w:val="22"/>
          <w:szCs w:val="22"/>
          <w:lang w:val="es-MX" w:eastAsia="x-none"/>
        </w:rPr>
        <w:t xml:space="preserve">, </w:t>
      </w:r>
      <w:r w:rsidR="00290798" w:rsidRPr="002F1FB1">
        <w:rPr>
          <w:rFonts w:ascii="Arial" w:hAnsi="Arial" w:cs="Arial"/>
          <w:bCs/>
          <w:color w:val="000000" w:themeColor="text1"/>
          <w:sz w:val="22"/>
          <w:szCs w:val="22"/>
          <w:lang w:val="es-MX" w:eastAsia="x-none"/>
        </w:rPr>
        <w:t xml:space="preserve">corresponde a cada entidad que considere celebrar este tipo de </w:t>
      </w:r>
      <w:r w:rsidR="0012395E" w:rsidRPr="002F1FB1">
        <w:rPr>
          <w:rFonts w:ascii="Arial" w:hAnsi="Arial" w:cs="Arial"/>
          <w:bCs/>
          <w:color w:val="000000" w:themeColor="text1"/>
          <w:sz w:val="22"/>
          <w:szCs w:val="22"/>
          <w:lang w:val="es-MX" w:eastAsia="x-none"/>
        </w:rPr>
        <w:t>cont</w:t>
      </w:r>
      <w:r w:rsidR="005B1F33" w:rsidRPr="002F1FB1">
        <w:rPr>
          <w:rFonts w:ascii="Arial" w:hAnsi="Arial" w:cs="Arial"/>
          <w:bCs/>
          <w:color w:val="000000" w:themeColor="text1"/>
          <w:sz w:val="22"/>
          <w:szCs w:val="22"/>
          <w:lang w:val="es-MX" w:eastAsia="x-none"/>
        </w:rPr>
        <w:t>r</w:t>
      </w:r>
      <w:r w:rsidR="0012395E" w:rsidRPr="002F1FB1">
        <w:rPr>
          <w:rFonts w:ascii="Arial" w:hAnsi="Arial" w:cs="Arial"/>
          <w:bCs/>
          <w:color w:val="000000" w:themeColor="text1"/>
          <w:sz w:val="22"/>
          <w:szCs w:val="22"/>
          <w:lang w:val="es-MX" w:eastAsia="x-none"/>
        </w:rPr>
        <w:t xml:space="preserve">atos </w:t>
      </w:r>
      <w:r w:rsidR="00290798" w:rsidRPr="002F1FB1">
        <w:rPr>
          <w:rFonts w:ascii="Arial" w:hAnsi="Arial" w:cs="Arial"/>
          <w:bCs/>
          <w:color w:val="000000" w:themeColor="text1"/>
          <w:sz w:val="22"/>
          <w:szCs w:val="22"/>
          <w:lang w:val="es-MX" w:eastAsia="x-none"/>
        </w:rPr>
        <w:t>analizar</w:t>
      </w:r>
      <w:r w:rsidR="00DB050C" w:rsidRPr="002F1FB1">
        <w:rPr>
          <w:rFonts w:ascii="Arial" w:hAnsi="Arial" w:cs="Arial"/>
          <w:bCs/>
          <w:color w:val="000000" w:themeColor="text1"/>
          <w:sz w:val="22"/>
          <w:szCs w:val="22"/>
          <w:lang w:val="es-MX" w:eastAsia="x-none"/>
        </w:rPr>
        <w:t xml:space="preserve">, de conformidad con las consideraciones </w:t>
      </w:r>
      <w:r w:rsidR="001C4D24" w:rsidRPr="002F1FB1">
        <w:rPr>
          <w:rFonts w:ascii="Arial" w:hAnsi="Arial" w:cs="Arial"/>
          <w:bCs/>
          <w:color w:val="000000" w:themeColor="text1"/>
          <w:sz w:val="22"/>
          <w:szCs w:val="22"/>
          <w:lang w:val="es-MX" w:eastAsia="x-none"/>
        </w:rPr>
        <w:t>expuestas en este concepto</w:t>
      </w:r>
      <w:r w:rsidR="005B1F33" w:rsidRPr="002F1FB1">
        <w:rPr>
          <w:rFonts w:ascii="Arial" w:hAnsi="Arial" w:cs="Arial"/>
          <w:bCs/>
          <w:color w:val="000000" w:themeColor="text1"/>
          <w:sz w:val="22"/>
          <w:szCs w:val="22"/>
          <w:lang w:val="es-MX" w:eastAsia="x-none"/>
        </w:rPr>
        <w:t>,</w:t>
      </w:r>
      <w:r w:rsidR="001C4D24" w:rsidRPr="002F1FB1">
        <w:rPr>
          <w:rFonts w:ascii="Arial" w:hAnsi="Arial" w:cs="Arial"/>
          <w:bCs/>
          <w:color w:val="000000" w:themeColor="text1"/>
          <w:sz w:val="22"/>
          <w:szCs w:val="22"/>
          <w:lang w:val="es-MX" w:eastAsia="x-none"/>
        </w:rPr>
        <w:t xml:space="preserve"> sobre </w:t>
      </w:r>
      <w:r w:rsidR="003D52FB" w:rsidRPr="002F1FB1">
        <w:rPr>
          <w:rFonts w:ascii="Arial" w:hAnsi="Arial" w:cs="Arial"/>
          <w:bCs/>
          <w:color w:val="000000" w:themeColor="text1"/>
          <w:sz w:val="22"/>
          <w:szCs w:val="22"/>
          <w:lang w:val="es-MX" w:eastAsia="x-none"/>
        </w:rPr>
        <w:t xml:space="preserve">la aplicación de las </w:t>
      </w:r>
      <w:r w:rsidR="001C4D24" w:rsidRPr="002F1FB1">
        <w:rPr>
          <w:rFonts w:ascii="Arial" w:hAnsi="Arial" w:cs="Arial"/>
          <w:bCs/>
          <w:color w:val="000000" w:themeColor="text1"/>
          <w:sz w:val="22"/>
          <w:szCs w:val="22"/>
          <w:lang w:val="es-MX" w:eastAsia="x-none"/>
        </w:rPr>
        <w:t xml:space="preserve">restricciones y prohibiciones que se presentan actualmente </w:t>
      </w:r>
      <w:r w:rsidR="00A6659C" w:rsidRPr="002F1FB1">
        <w:rPr>
          <w:rFonts w:ascii="Arial" w:hAnsi="Arial" w:cs="Arial"/>
          <w:bCs/>
          <w:color w:val="000000" w:themeColor="text1"/>
          <w:sz w:val="22"/>
          <w:szCs w:val="22"/>
          <w:lang w:val="es-MX" w:eastAsia="x-none"/>
        </w:rPr>
        <w:t xml:space="preserve">derivadas del artículo 33 </w:t>
      </w:r>
      <w:r w:rsidR="00725DB3" w:rsidRPr="002F1FB1">
        <w:rPr>
          <w:rFonts w:ascii="Arial" w:hAnsi="Arial" w:cs="Arial"/>
          <w:bCs/>
          <w:color w:val="000000" w:themeColor="text1"/>
          <w:sz w:val="22"/>
          <w:szCs w:val="22"/>
          <w:lang w:val="es-MX" w:eastAsia="x-none"/>
        </w:rPr>
        <w:t>de la Ley 996 de 2005</w:t>
      </w:r>
      <w:r w:rsidR="00290798" w:rsidRPr="002F1FB1">
        <w:rPr>
          <w:rFonts w:ascii="Arial" w:hAnsi="Arial" w:cs="Arial"/>
          <w:bCs/>
          <w:color w:val="000000" w:themeColor="text1"/>
          <w:sz w:val="22"/>
          <w:szCs w:val="22"/>
          <w:lang w:val="es-MX" w:eastAsia="x-none"/>
        </w:rPr>
        <w:t>, para determinar si el supuesto de hecho se enmarca en las prohibiciones</w:t>
      </w:r>
      <w:r w:rsidR="00BC4FE1" w:rsidRPr="002F1FB1">
        <w:rPr>
          <w:rFonts w:ascii="Arial" w:hAnsi="Arial" w:cs="Arial"/>
          <w:bCs/>
          <w:color w:val="000000" w:themeColor="text1"/>
          <w:sz w:val="22"/>
          <w:szCs w:val="22"/>
          <w:lang w:val="es-MX" w:eastAsia="x-none"/>
        </w:rPr>
        <w:t xml:space="preserve"> analizadas</w:t>
      </w:r>
      <w:r w:rsidR="0012395E" w:rsidRPr="002F1FB1">
        <w:rPr>
          <w:rFonts w:ascii="Arial" w:hAnsi="Arial" w:cs="Arial"/>
          <w:bCs/>
          <w:color w:val="000000" w:themeColor="text1"/>
          <w:sz w:val="22"/>
          <w:szCs w:val="22"/>
          <w:lang w:val="es-MX" w:eastAsia="x-none"/>
        </w:rPr>
        <w:t xml:space="preserve"> o en sus excepciones.</w:t>
      </w:r>
    </w:p>
    <w:p w14:paraId="3BAB57EB" w14:textId="3758B50D" w:rsidR="005B1F33" w:rsidRPr="002F1FB1" w:rsidRDefault="005B1F33" w:rsidP="005B1F33">
      <w:pPr>
        <w:pStyle w:val="Prrafodelista"/>
        <w:tabs>
          <w:tab w:val="left" w:pos="0"/>
        </w:tabs>
        <w:ind w:left="0"/>
        <w:jc w:val="both"/>
        <w:rPr>
          <w:rFonts w:ascii="Arial" w:hAnsi="Arial" w:cs="Arial"/>
          <w:color w:val="000000" w:themeColor="text1"/>
          <w:sz w:val="22"/>
        </w:rPr>
      </w:pPr>
    </w:p>
    <w:p w14:paraId="5071167E" w14:textId="77777777" w:rsidR="008A6AA1" w:rsidRPr="002F1FB1" w:rsidRDefault="008A6AA1" w:rsidP="007F590A">
      <w:pPr>
        <w:pStyle w:val="Prrafodelista"/>
        <w:tabs>
          <w:tab w:val="left" w:pos="0"/>
        </w:tabs>
        <w:ind w:left="0"/>
        <w:jc w:val="both"/>
        <w:rPr>
          <w:rFonts w:ascii="Arial" w:eastAsia="Calibri" w:hAnsi="Arial" w:cs="Arial"/>
          <w:b/>
          <w:color w:val="000000" w:themeColor="text1"/>
          <w:sz w:val="22"/>
          <w:lang w:val="es-ES_tradnl"/>
        </w:rPr>
      </w:pPr>
      <w:r w:rsidRPr="002F1FB1">
        <w:rPr>
          <w:rFonts w:ascii="Arial" w:eastAsia="Calibri" w:hAnsi="Arial" w:cs="Arial"/>
          <w:b/>
          <w:color w:val="000000" w:themeColor="text1"/>
          <w:sz w:val="22"/>
          <w:lang w:val="es-ES_tradnl"/>
        </w:rPr>
        <w:t>3. Respuestas</w:t>
      </w:r>
    </w:p>
    <w:p w14:paraId="1D78D111" w14:textId="77777777" w:rsidR="008A6AA1" w:rsidRPr="002F1FB1" w:rsidRDefault="008A6AA1" w:rsidP="006618E4">
      <w:pPr>
        <w:tabs>
          <w:tab w:val="left" w:pos="0"/>
        </w:tabs>
        <w:jc w:val="both"/>
        <w:rPr>
          <w:rFonts w:ascii="Arial" w:eastAsia="Calibri" w:hAnsi="Arial" w:cs="Arial"/>
          <w:color w:val="000000" w:themeColor="text1"/>
          <w:sz w:val="21"/>
          <w:szCs w:val="21"/>
          <w:lang w:val="es-ES_tradnl"/>
        </w:rPr>
      </w:pPr>
    </w:p>
    <w:p w14:paraId="2B1A1E7C" w14:textId="224B0189" w:rsidR="00A61F2A" w:rsidRPr="002F1FB1" w:rsidRDefault="006A06F3" w:rsidP="00A61F2A">
      <w:pPr>
        <w:spacing w:line="276" w:lineRule="auto"/>
        <w:jc w:val="both"/>
        <w:rPr>
          <w:rFonts w:ascii="Arial" w:hAnsi="Arial" w:cs="Arial"/>
          <w:sz w:val="21"/>
          <w:szCs w:val="21"/>
        </w:rPr>
      </w:pPr>
      <w:r w:rsidRPr="002F1FB1">
        <w:rPr>
          <w:rFonts w:ascii="Arial" w:hAnsi="Arial" w:cs="Arial"/>
          <w:color w:val="000000" w:themeColor="text1"/>
          <w:sz w:val="22"/>
          <w:szCs w:val="22"/>
          <w:lang w:val="es-ES_tradnl"/>
        </w:rPr>
        <w:t>Usted formula la siguiente petición, en</w:t>
      </w:r>
      <w:r w:rsidR="00A61F2A" w:rsidRPr="002F1FB1">
        <w:rPr>
          <w:rFonts w:ascii="Arial" w:hAnsi="Arial" w:cs="Arial"/>
          <w:color w:val="000000" w:themeColor="text1"/>
          <w:sz w:val="22"/>
          <w:szCs w:val="22"/>
          <w:lang w:val="es-ES_tradnl"/>
        </w:rPr>
        <w:t xml:space="preserve"> relación con la aplicación del artículo 33 de la Ley de Garantías Electorales en los contratos de acceso e interconexión de servicios de comunicaciones</w:t>
      </w:r>
      <w:r w:rsidR="00A61F2A" w:rsidRPr="002F1FB1">
        <w:rPr>
          <w:rFonts w:ascii="Arial" w:hAnsi="Arial" w:cs="Arial"/>
          <w:sz w:val="21"/>
          <w:szCs w:val="21"/>
        </w:rPr>
        <w:t xml:space="preserve">: </w:t>
      </w:r>
    </w:p>
    <w:p w14:paraId="3BCB46CB" w14:textId="77777777" w:rsidR="00A61F2A" w:rsidRPr="002F1FB1" w:rsidRDefault="00A61F2A" w:rsidP="00A61F2A">
      <w:pPr>
        <w:spacing w:line="276" w:lineRule="auto"/>
        <w:jc w:val="both"/>
        <w:rPr>
          <w:rFonts w:ascii="Arial" w:hAnsi="Arial" w:cs="Arial"/>
          <w:color w:val="000000" w:themeColor="text1"/>
          <w:sz w:val="22"/>
          <w:szCs w:val="22"/>
          <w:lang w:val="es-ES_tradnl"/>
        </w:rPr>
      </w:pPr>
    </w:p>
    <w:p w14:paraId="7E5B2918" w14:textId="32869DDE" w:rsidR="00211D19" w:rsidRPr="002F1FB1" w:rsidRDefault="00A61F2A" w:rsidP="00A61F2A">
      <w:pPr>
        <w:ind w:left="709" w:right="709"/>
        <w:jc w:val="both"/>
        <w:rPr>
          <w:rFonts w:ascii="Arial" w:hAnsi="Arial" w:cs="Arial"/>
          <w:color w:val="000000" w:themeColor="text1"/>
          <w:sz w:val="21"/>
          <w:szCs w:val="21"/>
          <w:lang w:val="es-ES_tradnl"/>
        </w:rPr>
      </w:pPr>
      <w:r w:rsidRPr="002F1FB1">
        <w:rPr>
          <w:rFonts w:ascii="Arial" w:hAnsi="Arial" w:cs="Arial"/>
          <w:sz w:val="21"/>
          <w:szCs w:val="21"/>
        </w:rPr>
        <w:t>[…] Debe considerarse que a pesar que la Ley de Garantías Electorales sea de naturaleza estatutaria, el sector en competencia de las telecomunicaciones se encuentra regido por la Ley especial como ya se indicó, que para el caso concreto es la Ley 1341 de 2009, la cual, en su artículo 55 prevé que los contratos de los PRST se rigen por el derecho privado y, si bien es cierto, CCE y el Consejo de Estado han establecido que la Ley de Garantías Electorales aplica a todas las entidades públicas, independientemente del régimen de contratación (público o privado) que les resulte aplicable, también lo es que los contratos de Acceso e Interconexión son la herramienta e instrumento para garantizar la efectividad de intereses superiores, como derechos fundamentales, y el respaldo a las actividades de defensa y seguridad del Estado, pues – se insiste- los servicios de comunicaciones son esenciales y necesarios para la estabilidad y mantenimiento del orden público, por lo que en este tipo de acuerdos y contratos, la limitación de Ley de Garantías no debería aplicar. Por lo expuesto, solicitamos respetuosamente tener en cuenta lo antes expuesto dentro del trámite del asunto en referencia, respecto al concepto emitido por CCE el 24 de abril de 2018, con el número de radicado 2201813000003411, y proponemos llevar a cabo una mesa de trabajo en la que se pueda exponer y tratar el tema con mayor detalle, pues no suministrar el Acceso, Uso e Interconexión por la imposibilidad de suscribir este tipo de contratos afecta directamente a los usuarios de los servicios de telecomunicaciones, con el riesgo sancionatorio que esto tiene para ETB.</w:t>
      </w:r>
      <w:r w:rsidR="0012395E" w:rsidRPr="002F1FB1">
        <w:rPr>
          <w:rFonts w:ascii="Arial" w:hAnsi="Arial" w:cs="Arial"/>
          <w:sz w:val="21"/>
          <w:szCs w:val="21"/>
        </w:rPr>
        <w:t xml:space="preserve"> // Quedamos muy atentos a su respuesta, y si CCE así lo considera, agradecemos que se conceda la mesa de trabajo solicitada</w:t>
      </w:r>
      <w:r w:rsidR="00497A11" w:rsidRPr="002F1FB1">
        <w:rPr>
          <w:rFonts w:ascii="Arial" w:hAnsi="Arial" w:cs="Arial"/>
          <w:sz w:val="21"/>
          <w:szCs w:val="21"/>
        </w:rPr>
        <w:t>.</w:t>
      </w:r>
      <w:r w:rsidR="0012395E" w:rsidRPr="002F1FB1" w:rsidDel="00A61F2A">
        <w:rPr>
          <w:rFonts w:ascii="Arial" w:hAnsi="Arial" w:cs="Arial"/>
          <w:color w:val="000000" w:themeColor="text1"/>
          <w:sz w:val="21"/>
          <w:szCs w:val="21"/>
          <w:lang w:val="es-ES_tradnl"/>
        </w:rPr>
        <w:t xml:space="preserve"> </w:t>
      </w:r>
    </w:p>
    <w:p w14:paraId="1B2FFE50" w14:textId="79258E6F" w:rsidR="003D52FB" w:rsidRPr="002F1FB1" w:rsidRDefault="003D52FB" w:rsidP="003D52FB">
      <w:pPr>
        <w:ind w:right="709"/>
        <w:jc w:val="both"/>
        <w:rPr>
          <w:rFonts w:ascii="Arial" w:hAnsi="Arial" w:cs="Arial"/>
          <w:color w:val="000000" w:themeColor="text1"/>
          <w:sz w:val="21"/>
          <w:szCs w:val="21"/>
        </w:rPr>
      </w:pPr>
    </w:p>
    <w:p w14:paraId="1C88AAA5" w14:textId="77777777" w:rsidR="00E3403E" w:rsidRPr="002F1FB1" w:rsidRDefault="00E3403E" w:rsidP="00E3403E">
      <w:pPr>
        <w:spacing w:after="120" w:line="276" w:lineRule="auto"/>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2F1FB1">
        <w:rPr>
          <w:rStyle w:val="Refdenotaalpie"/>
          <w:rFonts w:ascii="Arial" w:eastAsia="Calibri" w:hAnsi="Arial" w:cs="Arial"/>
          <w:color w:val="000000" w:themeColor="text1"/>
          <w:sz w:val="22"/>
          <w:szCs w:val="22"/>
          <w:lang w:val="es-ES_tradnl"/>
        </w:rPr>
        <w:footnoteReference w:id="27"/>
      </w:r>
      <w:r w:rsidRPr="002F1FB1">
        <w:rPr>
          <w:rFonts w:ascii="Arial" w:eastAsia="Calibri" w:hAnsi="Arial" w:cs="Arial"/>
          <w:color w:val="000000" w:themeColor="text1"/>
          <w:sz w:val="22"/>
          <w:szCs w:val="22"/>
          <w:lang w:val="es-ES_tradnl"/>
        </w:rPr>
        <w:t>.</w:t>
      </w:r>
    </w:p>
    <w:p w14:paraId="5B112450" w14:textId="0A3F1D0A" w:rsidR="00E3403E" w:rsidRPr="002F1FB1" w:rsidRDefault="00E3403E" w:rsidP="007F590A">
      <w:pPr>
        <w:spacing w:after="120" w:line="276" w:lineRule="auto"/>
        <w:ind w:firstLine="709"/>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3C87780" w14:textId="6107EC09" w:rsidR="001E7DEA" w:rsidRPr="002F1FB1" w:rsidRDefault="00AA074D" w:rsidP="007F590A">
      <w:pPr>
        <w:spacing w:after="120" w:line="276" w:lineRule="auto"/>
        <w:ind w:firstLine="709"/>
        <w:jc w:val="both"/>
        <w:rPr>
          <w:rFonts w:ascii="Arial" w:eastAsia="Calibri" w:hAnsi="Arial" w:cs="Arial"/>
          <w:color w:val="000000" w:themeColor="text1"/>
          <w:sz w:val="22"/>
          <w:szCs w:val="22"/>
          <w:lang w:val="es-ES_tradnl"/>
        </w:rPr>
      </w:pPr>
      <w:r w:rsidRPr="002F1FB1">
        <w:rPr>
          <w:rFonts w:ascii="Arial" w:eastAsia="Calibri" w:hAnsi="Arial" w:cs="Arial"/>
          <w:color w:val="000000" w:themeColor="text1"/>
          <w:sz w:val="22"/>
          <w:szCs w:val="22"/>
          <w:lang w:val="es-ES_tradnl"/>
        </w:rPr>
        <w:t>Teniendo en cuenta el presupuesto anterior, d</w:t>
      </w:r>
      <w:r w:rsidR="0063130E" w:rsidRPr="002F1FB1">
        <w:rPr>
          <w:rFonts w:ascii="Arial" w:eastAsia="Calibri" w:hAnsi="Arial" w:cs="Arial"/>
          <w:color w:val="000000" w:themeColor="text1"/>
          <w:sz w:val="22"/>
          <w:szCs w:val="22"/>
          <w:lang w:val="es-ES_tradnl"/>
        </w:rPr>
        <w:t>e</w:t>
      </w:r>
      <w:r w:rsidR="007C3849" w:rsidRPr="002F1FB1">
        <w:rPr>
          <w:rFonts w:ascii="Arial" w:eastAsia="Calibri" w:hAnsi="Arial" w:cs="Arial"/>
          <w:color w:val="000000" w:themeColor="text1"/>
          <w:sz w:val="22"/>
          <w:szCs w:val="22"/>
          <w:lang w:val="es-ES_tradnl"/>
        </w:rPr>
        <w:t xml:space="preserve"> acuerdo con las consideraciones de este concepto, e</w:t>
      </w:r>
      <w:r w:rsidR="001E7DEA" w:rsidRPr="002F1FB1">
        <w:rPr>
          <w:rFonts w:ascii="Arial" w:eastAsia="Calibri" w:hAnsi="Arial" w:cs="Arial"/>
          <w:color w:val="000000" w:themeColor="text1"/>
          <w:sz w:val="22"/>
          <w:szCs w:val="22"/>
          <w:lang w:val="es-ES_tradnl"/>
        </w:rPr>
        <w:t>l artículo 33 de la Ley 996 de 2005 establece una restricción en atención a la cual,</w:t>
      </w:r>
      <w:r w:rsidR="001E7DEA" w:rsidRPr="002F1FB1">
        <w:rPr>
          <w:rFonts w:ascii="Arial" w:eastAsia="Calibri" w:hAnsi="Arial" w:cs="Arial"/>
          <w:color w:val="000000" w:themeColor="text1"/>
          <w:sz w:val="22"/>
          <w:szCs w:val="22"/>
          <w:shd w:val="clear" w:color="auto" w:fill="FFFFFF"/>
          <w:lang w:val="es-ES_tradnl"/>
        </w:rPr>
        <w:t xml:space="preserve"> </w:t>
      </w:r>
      <w:r w:rsidR="001E7DEA" w:rsidRPr="002F1FB1">
        <w:rPr>
          <w:rFonts w:ascii="Arial" w:eastAsia="Calibri" w:hAnsi="Arial" w:cs="Arial"/>
          <w:color w:val="000000" w:themeColor="text1"/>
          <w:sz w:val="22"/>
          <w:szCs w:val="22"/>
          <w:lang w:val="es-ES_tradnl"/>
        </w:rPr>
        <w:t>durante los cuatro meses anteriores a la elección presidencial y hasta la realización de la elección en la segunda vuelta, si fuere el caso, está prohibida la contratación directa por parte de todos los entes del Estado. Esto implica que la celebración de contratos, cuya selección del contratista se realice de manera directa está prohibida durante el período de aplicación de esta restricción, en los términos explicados en las consideraciones.</w:t>
      </w:r>
    </w:p>
    <w:p w14:paraId="6C9D553F" w14:textId="24230E14" w:rsidR="001E7DEA" w:rsidRPr="002F1FB1" w:rsidRDefault="001E7DEA" w:rsidP="001E7DEA">
      <w:pPr>
        <w:spacing w:after="120" w:line="276" w:lineRule="auto"/>
        <w:ind w:firstLine="708"/>
        <w:jc w:val="both"/>
        <w:rPr>
          <w:rFonts w:ascii="Arial" w:hAnsi="Arial" w:cs="Arial"/>
          <w:bCs/>
          <w:color w:val="000000" w:themeColor="text1"/>
          <w:sz w:val="22"/>
          <w:szCs w:val="22"/>
          <w:lang w:val="es-ES_tradnl" w:eastAsia="es-CO"/>
        </w:rPr>
      </w:pPr>
      <w:r w:rsidRPr="002F1FB1">
        <w:rPr>
          <w:rFonts w:ascii="Arial" w:hAnsi="Arial" w:cs="Arial"/>
          <w:bCs/>
          <w:color w:val="000000" w:themeColor="text1"/>
          <w:sz w:val="22"/>
          <w:szCs w:val="22"/>
          <w:lang w:val="es-ES_tradnl" w:eastAsia="x-none"/>
        </w:rPr>
        <w:t xml:space="preserve">De otro lado, las excepciones a la restricción prevista en la Ley de Garantías, con fundamento en las cuales las entidades públicas </w:t>
      </w:r>
      <w:r w:rsidR="00F27B9A" w:rsidRPr="002F1FB1">
        <w:rPr>
          <w:rFonts w:ascii="Arial" w:hAnsi="Arial" w:cs="Arial"/>
          <w:bCs/>
          <w:color w:val="000000" w:themeColor="text1"/>
          <w:sz w:val="22"/>
          <w:szCs w:val="22"/>
          <w:lang w:val="es-ES_tradnl" w:eastAsia="x-none"/>
        </w:rPr>
        <w:t xml:space="preserve">podrán </w:t>
      </w:r>
      <w:r w:rsidRPr="002F1FB1">
        <w:rPr>
          <w:rFonts w:ascii="Arial" w:hAnsi="Arial" w:cs="Arial"/>
          <w:bCs/>
          <w:color w:val="000000" w:themeColor="text1"/>
          <w:sz w:val="22"/>
          <w:szCs w:val="22"/>
          <w:lang w:val="es-ES_tradnl" w:eastAsia="x-none"/>
        </w:rPr>
        <w:t>adelantar procedimientos de selección directa en períodos previos a la contienda electoral por la Presidencia, se encuentran consagradas en el inciso final del citado artículo 33 de la Ley 996 de 2005.</w:t>
      </w:r>
      <w:r w:rsidRPr="002F1FB1">
        <w:rPr>
          <w:rFonts w:ascii="Arial" w:hAnsi="Arial" w:cs="Arial"/>
          <w:bCs/>
          <w:color w:val="000000" w:themeColor="text1"/>
          <w:sz w:val="22"/>
          <w:szCs w:val="22"/>
          <w:lang w:val="es-ES_tradnl" w:eastAsia="es-CO"/>
        </w:rPr>
        <w:t xml:space="preserve"> Por ello,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ED22FB" w:rsidRPr="002F1FB1">
        <w:rPr>
          <w:rFonts w:ascii="Arial" w:hAnsi="Arial" w:cs="Arial"/>
          <w:bCs/>
          <w:color w:val="000000" w:themeColor="text1"/>
          <w:sz w:val="22"/>
          <w:szCs w:val="22"/>
          <w:lang w:val="es-ES_tradnl" w:eastAsia="es-CO"/>
        </w:rPr>
        <w:t xml:space="preserve"> </w:t>
      </w:r>
    </w:p>
    <w:p w14:paraId="6ADC3384" w14:textId="30123C3E" w:rsidR="001E7DEA" w:rsidRPr="002F1FB1" w:rsidRDefault="001E7DEA" w:rsidP="001E7DEA">
      <w:pPr>
        <w:spacing w:after="120" w:line="276" w:lineRule="auto"/>
        <w:ind w:firstLine="708"/>
        <w:jc w:val="both"/>
        <w:rPr>
          <w:rFonts w:ascii="Arial" w:hAnsi="Arial" w:cs="Arial"/>
          <w:bCs/>
          <w:color w:val="000000" w:themeColor="text1"/>
          <w:sz w:val="22"/>
          <w:szCs w:val="22"/>
          <w:lang w:val="es-ES_tradnl" w:eastAsia="x-none"/>
        </w:rPr>
      </w:pPr>
      <w:r w:rsidRPr="002F1FB1">
        <w:rPr>
          <w:rFonts w:ascii="Arial" w:hAnsi="Arial" w:cs="Arial"/>
          <w:bCs/>
          <w:color w:val="000000" w:themeColor="text1"/>
          <w:sz w:val="22"/>
          <w:szCs w:val="22"/>
          <w:lang w:val="es-ES_tradnl" w:eastAsia="x-none"/>
        </w:rPr>
        <w:t xml:space="preserve">Por otra parte, el artículo 33 de la Ley 996 de 2005 señala expresamente a los destinatarios de la prohibición, en el sentido de que son «todos los entes del Estado». Esto, de conformidad con lo expuesto, involucra a todas las entidades del Estado, sin distinción del régimen jurídico, forma de organización o naturaleza, su pertenencia a una u otra rama del poder público o su autonomía, e incluso si las entidades estatales tienen régimen </w:t>
      </w:r>
      <w:r w:rsidRPr="002F1FB1">
        <w:rPr>
          <w:rFonts w:ascii="Arial" w:hAnsi="Arial" w:cs="Arial"/>
          <w:bCs/>
          <w:color w:val="000000" w:themeColor="text1"/>
          <w:sz w:val="22"/>
          <w:szCs w:val="22"/>
          <w:lang w:val="es-ES_tradnl" w:eastAsia="x-none"/>
        </w:rPr>
        <w:lastRenderedPageBreak/>
        <w:t>especial de contratación y están exceptuadas del ámbito de aplicación del Estatuto General de Contratación de la Administración Pública y se rigen por el derecho privado.</w:t>
      </w:r>
    </w:p>
    <w:p w14:paraId="4B7D6B24" w14:textId="27404E6E" w:rsidR="00E2713B" w:rsidRPr="002F1FB1" w:rsidRDefault="00E2713B" w:rsidP="00E2713B">
      <w:pPr>
        <w:spacing w:after="120" w:line="276" w:lineRule="auto"/>
        <w:ind w:firstLine="709"/>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x-none"/>
        </w:rPr>
        <w:t xml:space="preserve">En tal sentido, atendiendo al desarrollo realizado de la prohibición establecida en el artículo 33 de la Ley de Garantías Electorales y señalados en las consideraciones algunos pronunciamientos relevantes en la materia, le compete a cada entidad estatal que considera celebrar un contrato específico, definir si este se enmarca en la prohibición establecida en el artículo 33 que restringe la contratación directa en el periodo preelectoral a las elecciones presidenciales. Lo anterior, adicionalmente, teniendo en cuenta las excepciones a la prohibición establecidas en el inciso segundo del mismo artículo 33. Además, se reitera que la restricción aplica frente a la contratación directa, entendida como cualquier sistema de selección o procedimiento de contratación utilizado por las entidades estatales que no incluya la convocatoria pública en alguna de sus etapas, ni permita la participación de una pluralidad de oferentes; por lo que las entidades que se rigen por el derecho privado podrán celebrar contratos de acuerdo con los procedimientos contractuales desarrollados en sus manuales de contratación, bajo el entendido que estos permitan la participación de una pluralidad de oferentes. </w:t>
      </w:r>
    </w:p>
    <w:p w14:paraId="6ADE6C8E" w14:textId="3CAC9164" w:rsidR="00EB5500" w:rsidRPr="002F1FB1" w:rsidRDefault="00F37253" w:rsidP="00EB5500">
      <w:pPr>
        <w:spacing w:after="120" w:line="276" w:lineRule="auto"/>
        <w:ind w:firstLine="709"/>
        <w:jc w:val="both"/>
        <w:rPr>
          <w:rFonts w:ascii="Arial" w:hAnsi="Arial" w:cs="Arial"/>
          <w:bCs/>
          <w:color w:val="000000" w:themeColor="text1"/>
          <w:sz w:val="22"/>
          <w:szCs w:val="22"/>
          <w:lang w:val="es-MX" w:eastAsia="es-CO"/>
        </w:rPr>
      </w:pPr>
      <w:r w:rsidRPr="002F1FB1">
        <w:rPr>
          <w:rFonts w:ascii="Arial" w:hAnsi="Arial" w:cs="Arial"/>
          <w:bCs/>
          <w:color w:val="000000" w:themeColor="text1"/>
          <w:sz w:val="22"/>
          <w:szCs w:val="22"/>
          <w:lang w:val="es-MX" w:eastAsia="es-CO"/>
        </w:rPr>
        <w:t>Así las cosas</w:t>
      </w:r>
      <w:r w:rsidR="006637AA" w:rsidRPr="002F1FB1">
        <w:rPr>
          <w:rFonts w:ascii="Arial" w:hAnsi="Arial" w:cs="Arial"/>
          <w:bCs/>
          <w:color w:val="000000" w:themeColor="text1"/>
          <w:sz w:val="22"/>
          <w:szCs w:val="22"/>
          <w:lang w:val="es-MX" w:eastAsia="es-CO"/>
        </w:rPr>
        <w:t xml:space="preserve">, </w:t>
      </w:r>
      <w:r w:rsidRPr="002F1FB1">
        <w:rPr>
          <w:rFonts w:ascii="Arial" w:hAnsi="Arial" w:cs="Arial"/>
          <w:bCs/>
          <w:color w:val="000000" w:themeColor="text1"/>
          <w:sz w:val="22"/>
          <w:szCs w:val="22"/>
          <w:lang w:val="es-MX" w:eastAsia="es-CO"/>
        </w:rPr>
        <w:t>la prohibición establecida</w:t>
      </w:r>
      <w:r w:rsidR="00AA4247" w:rsidRPr="002F1FB1">
        <w:rPr>
          <w:rFonts w:ascii="Arial" w:hAnsi="Arial" w:cs="Arial"/>
          <w:bCs/>
          <w:color w:val="000000" w:themeColor="text1"/>
          <w:sz w:val="22"/>
          <w:szCs w:val="22"/>
          <w:lang w:val="es-MX" w:eastAsia="es-CO"/>
        </w:rPr>
        <w:t xml:space="preserve"> en el artículo 33 de la Ley de Garantías Electorales </w:t>
      </w:r>
      <w:r w:rsidRPr="002F1FB1">
        <w:rPr>
          <w:rFonts w:ascii="Arial" w:hAnsi="Arial" w:cs="Arial"/>
          <w:bCs/>
          <w:color w:val="000000" w:themeColor="text1"/>
          <w:sz w:val="22"/>
          <w:szCs w:val="22"/>
          <w:lang w:val="es-MX" w:eastAsia="es-CO"/>
        </w:rPr>
        <w:t>es aplicable</w:t>
      </w:r>
      <w:r w:rsidR="00AA4247" w:rsidRPr="002F1FB1">
        <w:rPr>
          <w:rFonts w:ascii="Arial" w:hAnsi="Arial" w:cs="Arial"/>
          <w:bCs/>
          <w:color w:val="000000" w:themeColor="text1"/>
          <w:sz w:val="22"/>
          <w:szCs w:val="22"/>
          <w:lang w:val="es-MX" w:eastAsia="es-CO"/>
        </w:rPr>
        <w:t xml:space="preserve"> a tod</w:t>
      </w:r>
      <w:r w:rsidRPr="002F1FB1">
        <w:rPr>
          <w:rFonts w:ascii="Arial" w:hAnsi="Arial" w:cs="Arial"/>
          <w:bCs/>
          <w:color w:val="000000" w:themeColor="text1"/>
          <w:sz w:val="22"/>
          <w:szCs w:val="22"/>
          <w:lang w:val="es-MX" w:eastAsia="es-CO"/>
        </w:rPr>
        <w:t>os</w:t>
      </w:r>
      <w:r w:rsidR="00AA4247" w:rsidRPr="002F1FB1">
        <w:rPr>
          <w:rFonts w:ascii="Arial" w:hAnsi="Arial" w:cs="Arial"/>
          <w:bCs/>
          <w:color w:val="000000" w:themeColor="text1"/>
          <w:sz w:val="22"/>
          <w:szCs w:val="22"/>
          <w:lang w:val="es-MX" w:eastAsia="es-CO"/>
        </w:rPr>
        <w:t xml:space="preserve"> los procesos de selección de contratistas en los que no haya pluralidad de oferentes, indistintamente del régimen jurídico aplicable a </w:t>
      </w:r>
      <w:r w:rsidRPr="002F1FB1">
        <w:rPr>
          <w:rFonts w:ascii="Arial" w:hAnsi="Arial" w:cs="Arial"/>
          <w:bCs/>
          <w:color w:val="000000" w:themeColor="text1"/>
          <w:sz w:val="22"/>
          <w:szCs w:val="22"/>
          <w:lang w:val="es-MX" w:eastAsia="es-CO"/>
        </w:rPr>
        <w:t xml:space="preserve">la entidad correspondiente, y en relación con las excepciones establecidas en la misma disposición normativa, el alcance de las mismas esta dado por la </w:t>
      </w:r>
      <w:r w:rsidR="00AA074D" w:rsidRPr="002F1FB1">
        <w:rPr>
          <w:rFonts w:ascii="Arial" w:hAnsi="Arial" w:cs="Arial"/>
          <w:bCs/>
          <w:color w:val="000000" w:themeColor="text1"/>
          <w:sz w:val="22"/>
          <w:szCs w:val="22"/>
          <w:lang w:val="es-MX" w:eastAsia="es-CO"/>
        </w:rPr>
        <w:t xml:space="preserve">misma </w:t>
      </w:r>
      <w:r w:rsidRPr="002F1FB1">
        <w:rPr>
          <w:rFonts w:ascii="Arial" w:hAnsi="Arial" w:cs="Arial"/>
          <w:bCs/>
          <w:color w:val="000000" w:themeColor="text1"/>
          <w:sz w:val="22"/>
          <w:szCs w:val="22"/>
          <w:lang w:val="es-MX" w:eastAsia="es-CO"/>
        </w:rPr>
        <w:t>Ley</w:t>
      </w:r>
      <w:r w:rsidR="00AA074D" w:rsidRPr="002F1FB1">
        <w:rPr>
          <w:rFonts w:ascii="Arial" w:hAnsi="Arial" w:cs="Arial"/>
          <w:bCs/>
          <w:color w:val="000000" w:themeColor="text1"/>
          <w:sz w:val="22"/>
          <w:szCs w:val="22"/>
          <w:lang w:val="es-MX" w:eastAsia="es-CO"/>
        </w:rPr>
        <w:t>, sin perjuicio que se tengan en consideración</w:t>
      </w:r>
      <w:r w:rsidRPr="002F1FB1">
        <w:rPr>
          <w:rFonts w:ascii="Arial" w:hAnsi="Arial" w:cs="Arial"/>
          <w:bCs/>
          <w:color w:val="000000" w:themeColor="text1"/>
          <w:sz w:val="22"/>
          <w:szCs w:val="22"/>
          <w:lang w:val="es-MX" w:eastAsia="es-CO"/>
        </w:rPr>
        <w:t xml:space="preserve"> los distintos pronunciamientos que sobre la materia ha hecho el Consejo de Estado</w:t>
      </w:r>
      <w:r w:rsidR="00AA4247" w:rsidRPr="002F1FB1">
        <w:rPr>
          <w:rFonts w:ascii="Arial" w:hAnsi="Arial" w:cs="Arial"/>
          <w:bCs/>
          <w:color w:val="000000" w:themeColor="text1"/>
          <w:sz w:val="22"/>
          <w:szCs w:val="22"/>
          <w:lang w:val="es-MX" w:eastAsia="es-CO"/>
        </w:rPr>
        <w:t>.</w:t>
      </w:r>
      <w:r w:rsidRPr="002F1FB1">
        <w:rPr>
          <w:rFonts w:ascii="Arial" w:hAnsi="Arial" w:cs="Arial"/>
          <w:bCs/>
          <w:color w:val="000000" w:themeColor="text1"/>
          <w:sz w:val="22"/>
          <w:szCs w:val="22"/>
          <w:lang w:val="es-MX" w:eastAsia="es-CO"/>
        </w:rPr>
        <w:t xml:space="preserve"> </w:t>
      </w:r>
      <w:r w:rsidR="00866165" w:rsidRPr="002F1FB1">
        <w:rPr>
          <w:rFonts w:ascii="Arial" w:hAnsi="Arial" w:cs="Arial"/>
          <w:bCs/>
          <w:color w:val="000000" w:themeColor="text1"/>
          <w:sz w:val="22"/>
          <w:szCs w:val="22"/>
          <w:lang w:val="es-MX" w:eastAsia="es-CO"/>
        </w:rPr>
        <w:t>De modo que, los límites y alcances a la prohibición no pueden ser decantados por esta Agencia en un sentido distinto al dado por la Ley.</w:t>
      </w:r>
      <w:r w:rsidR="00EB5500" w:rsidRPr="002F1FB1">
        <w:rPr>
          <w:rFonts w:ascii="Arial" w:hAnsi="Arial" w:cs="Arial"/>
          <w:bCs/>
          <w:color w:val="000000" w:themeColor="text1"/>
          <w:sz w:val="22"/>
          <w:szCs w:val="22"/>
          <w:lang w:val="es-MX" w:eastAsia="es-CO"/>
        </w:rPr>
        <w:t xml:space="preserve"> Igualmente, la entidad carece de competencia para pronunciarse sobre casos concretos y particulares, por lo cual, corresponderá a las entidades públicas, en cada caso, analizar si </w:t>
      </w:r>
      <w:r w:rsidR="00F27B9A" w:rsidRPr="002F1FB1">
        <w:rPr>
          <w:rFonts w:ascii="Arial" w:hAnsi="Arial" w:cs="Arial"/>
          <w:bCs/>
          <w:color w:val="000000" w:themeColor="text1"/>
          <w:sz w:val="22"/>
          <w:szCs w:val="22"/>
          <w:lang w:val="es-MX" w:eastAsia="es-CO"/>
        </w:rPr>
        <w:t>el contrato que pretenden celebrar</w:t>
      </w:r>
      <w:r w:rsidR="00EB5500" w:rsidRPr="002F1FB1">
        <w:rPr>
          <w:rFonts w:ascii="Arial" w:hAnsi="Arial" w:cs="Arial"/>
          <w:bCs/>
          <w:color w:val="000000" w:themeColor="text1"/>
          <w:sz w:val="22"/>
          <w:szCs w:val="22"/>
          <w:lang w:val="es-MX" w:eastAsia="es-CO"/>
        </w:rPr>
        <w:t xml:space="preserve"> se adec</w:t>
      </w:r>
      <w:r w:rsidR="00AA074D" w:rsidRPr="002F1FB1">
        <w:rPr>
          <w:rFonts w:ascii="Arial" w:hAnsi="Arial" w:cs="Arial"/>
          <w:bCs/>
          <w:color w:val="000000" w:themeColor="text1"/>
          <w:sz w:val="22"/>
          <w:szCs w:val="22"/>
          <w:lang w:val="es-MX" w:eastAsia="es-CO"/>
        </w:rPr>
        <w:t>ú</w:t>
      </w:r>
      <w:r w:rsidR="00EB5500" w:rsidRPr="002F1FB1">
        <w:rPr>
          <w:rFonts w:ascii="Arial" w:hAnsi="Arial" w:cs="Arial"/>
          <w:bCs/>
          <w:color w:val="000000" w:themeColor="text1"/>
          <w:sz w:val="22"/>
          <w:szCs w:val="22"/>
          <w:lang w:val="es-MX" w:eastAsia="es-CO"/>
        </w:rPr>
        <w:t xml:space="preserve">a a los supuestos establecidos en el artículo 33 </w:t>
      </w:r>
      <w:r w:rsidR="00F27B9A" w:rsidRPr="002F1FB1">
        <w:rPr>
          <w:rFonts w:ascii="Arial" w:hAnsi="Arial" w:cs="Arial"/>
          <w:bCs/>
          <w:color w:val="000000" w:themeColor="text1"/>
          <w:sz w:val="22"/>
          <w:szCs w:val="22"/>
          <w:lang w:val="es-MX" w:eastAsia="es-CO"/>
        </w:rPr>
        <w:t>de la Ley 996 de 2005 o sus excepciones</w:t>
      </w:r>
      <w:r w:rsidR="00EB5500" w:rsidRPr="002F1FB1">
        <w:rPr>
          <w:rFonts w:ascii="Arial" w:hAnsi="Arial" w:cs="Arial"/>
          <w:bCs/>
          <w:color w:val="000000" w:themeColor="text1"/>
          <w:sz w:val="22"/>
          <w:szCs w:val="22"/>
          <w:lang w:val="es-MX" w:eastAsia="es-CO"/>
        </w:rPr>
        <w:t xml:space="preserve">. </w:t>
      </w:r>
    </w:p>
    <w:p w14:paraId="45B4536E" w14:textId="77777777" w:rsidR="00236E1A" w:rsidRPr="002F1FB1" w:rsidRDefault="00236E1A" w:rsidP="00E2713B">
      <w:pPr>
        <w:spacing w:line="276" w:lineRule="auto"/>
        <w:jc w:val="both"/>
        <w:rPr>
          <w:rFonts w:ascii="Arial" w:hAnsi="Arial" w:cs="Arial"/>
          <w:color w:val="000000" w:themeColor="text1"/>
          <w:sz w:val="22"/>
          <w:szCs w:val="22"/>
        </w:rPr>
      </w:pPr>
    </w:p>
    <w:p w14:paraId="7B2C921D" w14:textId="0F779FF9" w:rsidR="00DD5B04" w:rsidRPr="002F1FB1" w:rsidRDefault="00DD5B04" w:rsidP="00861F5C">
      <w:pPr>
        <w:spacing w:line="276" w:lineRule="auto"/>
        <w:jc w:val="both"/>
        <w:rPr>
          <w:rFonts w:ascii="Arial" w:hAnsi="Arial" w:cs="Arial"/>
          <w:color w:val="000000" w:themeColor="text1"/>
          <w:sz w:val="22"/>
          <w:lang w:val="es-ES_tradnl"/>
        </w:rPr>
      </w:pPr>
      <w:r w:rsidRPr="002F1FB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2F1FB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3DCC54E" w14:textId="6A92FA3A" w:rsidR="00C245C5" w:rsidRPr="002F1FB1" w:rsidRDefault="00DD5B04" w:rsidP="00236E1A">
      <w:pPr>
        <w:pStyle w:val="NormalWeb"/>
        <w:spacing w:before="0" w:beforeAutospacing="0" w:after="0" w:afterAutospacing="0" w:line="276" w:lineRule="auto"/>
        <w:jc w:val="both"/>
        <w:rPr>
          <w:color w:val="000000" w:themeColor="text1"/>
          <w:lang w:val="es-ES_tradnl"/>
        </w:rPr>
      </w:pPr>
      <w:r w:rsidRPr="002F1FB1">
        <w:rPr>
          <w:rFonts w:ascii="Arial" w:hAnsi="Arial" w:cs="Arial"/>
          <w:color w:val="000000" w:themeColor="text1"/>
          <w:sz w:val="22"/>
          <w:szCs w:val="22"/>
          <w:lang w:val="es-ES_tradnl"/>
        </w:rPr>
        <w:t>Atentamente,</w:t>
      </w:r>
      <w:bookmarkEnd w:id="10"/>
    </w:p>
    <w:p w14:paraId="0C6CB04E" w14:textId="36E3ABA3" w:rsidR="00880830" w:rsidRPr="002F1FB1" w:rsidRDefault="002F1FB1" w:rsidP="00880830">
      <w:pPr>
        <w:jc w:val="center"/>
        <w:rPr>
          <w:rFonts w:ascii="Arial" w:hAnsi="Arial" w:cs="Arial"/>
          <w:color w:val="000000" w:themeColor="text1"/>
          <w:sz w:val="18"/>
          <w:szCs w:val="20"/>
          <w:lang w:val="es-ES_tradnl" w:eastAsia="es-CO"/>
        </w:rPr>
      </w:pPr>
      <w:r w:rsidRPr="002F1FB1">
        <w:rPr>
          <w:noProof/>
        </w:rPr>
        <w:lastRenderedPageBreak/>
        <w:drawing>
          <wp:inline distT="0" distB="0" distL="0" distR="0" wp14:anchorId="573C6D65" wp14:editId="443DAC15">
            <wp:extent cx="2743200" cy="1217396"/>
            <wp:effectExtent l="0" t="0" r="0" b="0"/>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p w14:paraId="40B4675E" w14:textId="77777777" w:rsidR="00880830" w:rsidRPr="002F1FB1" w:rsidRDefault="00880830" w:rsidP="00880830">
      <w:pPr>
        <w:jc w:val="center"/>
        <w:rPr>
          <w:rFonts w:ascii="Arial" w:hAnsi="Arial" w:cs="Arial"/>
          <w:color w:val="000000" w:themeColor="text1"/>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B4A97" w:rsidRPr="002F1FB1" w14:paraId="2540FED2" w14:textId="77777777" w:rsidTr="00A009CD">
        <w:trPr>
          <w:trHeight w:val="315"/>
        </w:trPr>
        <w:tc>
          <w:tcPr>
            <w:tcW w:w="812" w:type="dxa"/>
            <w:vAlign w:val="center"/>
            <w:hideMark/>
          </w:tcPr>
          <w:p w14:paraId="63EE627A" w14:textId="77777777"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6FCAA67" w14:textId="50416D69" w:rsidR="0063130E" w:rsidRPr="002F1FB1" w:rsidRDefault="0063130E"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 xml:space="preserve">Nina María Padrón Ballestas </w:t>
            </w:r>
          </w:p>
          <w:p w14:paraId="2C6B2396" w14:textId="4718A19C"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Contratista de la Subdirección de Gestión Contractual</w:t>
            </w:r>
          </w:p>
        </w:tc>
      </w:tr>
      <w:tr w:rsidR="00BB4A97" w:rsidRPr="002F1FB1" w14:paraId="70314378" w14:textId="77777777" w:rsidTr="00A009CD">
        <w:trPr>
          <w:trHeight w:val="330"/>
        </w:trPr>
        <w:tc>
          <w:tcPr>
            <w:tcW w:w="812" w:type="dxa"/>
            <w:vAlign w:val="center"/>
            <w:hideMark/>
          </w:tcPr>
          <w:p w14:paraId="497C8326" w14:textId="77777777"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C01FDF" w14:textId="77777777"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Sebastián Ramírez Grisales</w:t>
            </w:r>
          </w:p>
          <w:p w14:paraId="0D938A67" w14:textId="790F24CA"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Contratista de la Subdirección de Gestión Contractual</w:t>
            </w:r>
          </w:p>
        </w:tc>
      </w:tr>
      <w:tr w:rsidR="00880830" w:rsidRPr="00BB4A97" w14:paraId="02BC1EB0" w14:textId="77777777" w:rsidTr="00A009CD">
        <w:trPr>
          <w:trHeight w:val="300"/>
        </w:trPr>
        <w:tc>
          <w:tcPr>
            <w:tcW w:w="812" w:type="dxa"/>
            <w:vAlign w:val="center"/>
            <w:hideMark/>
          </w:tcPr>
          <w:p w14:paraId="2CF63952" w14:textId="77777777"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01D9D3" w14:textId="77777777" w:rsidR="00880830" w:rsidRPr="002F1FB1"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Jorge Augusto Tirado Navarro</w:t>
            </w:r>
          </w:p>
          <w:p w14:paraId="4B0E6817" w14:textId="77777777" w:rsidR="00880830" w:rsidRPr="00BB4A97" w:rsidRDefault="00880830" w:rsidP="00A009CD">
            <w:pPr>
              <w:rPr>
                <w:rFonts w:ascii="Arial" w:hAnsi="Arial" w:cs="Arial"/>
                <w:color w:val="000000" w:themeColor="text1"/>
                <w:sz w:val="16"/>
                <w:szCs w:val="16"/>
                <w:lang w:val="es-ES_tradnl" w:eastAsia="es-ES"/>
              </w:rPr>
            </w:pPr>
            <w:r w:rsidRPr="002F1FB1">
              <w:rPr>
                <w:rFonts w:ascii="Arial" w:hAnsi="Arial" w:cs="Arial"/>
                <w:color w:val="000000" w:themeColor="text1"/>
                <w:sz w:val="16"/>
                <w:szCs w:val="16"/>
                <w:lang w:val="es-ES_tradnl" w:eastAsia="es-ES"/>
              </w:rPr>
              <w:t>Subdirector de Gestión Contractual ANCP – CCE</w:t>
            </w:r>
          </w:p>
        </w:tc>
      </w:tr>
    </w:tbl>
    <w:p w14:paraId="10A3ED4F" w14:textId="77777777" w:rsidR="00880830" w:rsidRPr="00BB4A97" w:rsidRDefault="00880830" w:rsidP="00236E1A">
      <w:pPr>
        <w:spacing w:line="276" w:lineRule="auto"/>
        <w:jc w:val="both"/>
        <w:rPr>
          <w:rFonts w:ascii="Arial" w:hAnsi="Arial" w:cs="Arial"/>
          <w:color w:val="000000" w:themeColor="text1"/>
        </w:rPr>
      </w:pPr>
    </w:p>
    <w:sectPr w:rsidR="00880830" w:rsidRPr="00BB4A9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CE67" w14:textId="77777777" w:rsidR="00906871" w:rsidRDefault="00906871">
      <w:r>
        <w:separator/>
      </w:r>
    </w:p>
  </w:endnote>
  <w:endnote w:type="continuationSeparator" w:id="0">
    <w:p w14:paraId="414016D2" w14:textId="77777777" w:rsidR="00906871" w:rsidRDefault="00906871">
      <w:r>
        <w:continuationSeparator/>
      </w:r>
    </w:p>
  </w:endnote>
  <w:endnote w:type="continuationNotice" w:id="1">
    <w:p w14:paraId="05AFDF1A" w14:textId="77777777" w:rsidR="00906871" w:rsidRDefault="0090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D43F10A"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044A1">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044A1">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832F" w14:textId="77777777" w:rsidR="00906871" w:rsidRDefault="00906871">
      <w:r>
        <w:separator/>
      </w:r>
    </w:p>
  </w:footnote>
  <w:footnote w:type="continuationSeparator" w:id="0">
    <w:p w14:paraId="6E35E481" w14:textId="77777777" w:rsidR="00906871" w:rsidRDefault="00906871">
      <w:r>
        <w:continuationSeparator/>
      </w:r>
    </w:p>
  </w:footnote>
  <w:footnote w:type="continuationNotice" w:id="1">
    <w:p w14:paraId="2B7E577C" w14:textId="77777777" w:rsidR="00906871" w:rsidRDefault="00906871"/>
  </w:footnote>
  <w:footnote w:id="2">
    <w:p w14:paraId="361646BF" w14:textId="77777777" w:rsidR="001E7DEA" w:rsidRPr="007F590A" w:rsidRDefault="001E7DEA" w:rsidP="001E7DEA">
      <w:pPr>
        <w:pStyle w:val="Textonotapie"/>
        <w:ind w:firstLine="708"/>
        <w:jc w:val="both"/>
        <w:rPr>
          <w:rFonts w:ascii="Arial" w:hAnsi="Arial" w:cs="Arial"/>
          <w:color w:val="000000" w:themeColor="text1"/>
          <w:sz w:val="19"/>
          <w:szCs w:val="19"/>
        </w:rPr>
      </w:pPr>
      <w:r w:rsidRPr="007F590A">
        <w:rPr>
          <w:rStyle w:val="Refdenotaalpie"/>
          <w:color w:val="000000" w:themeColor="text1"/>
        </w:rPr>
        <w:footnoteRef/>
      </w:r>
      <w:r w:rsidRPr="007F590A">
        <w:rPr>
          <w:color w:val="000000" w:themeColor="text1"/>
        </w:rPr>
        <w:t xml:space="preserve"> </w:t>
      </w:r>
      <w:r w:rsidRPr="007F590A">
        <w:rPr>
          <w:rFonts w:ascii="Arial" w:hAnsi="Arial" w:cs="Arial"/>
          <w:color w:val="000000" w:themeColor="text1"/>
          <w:sz w:val="19"/>
          <w:szCs w:val="19"/>
        </w:rPr>
        <w:t xml:space="preserve">«Artículo 3°. Funciones. La Agencia Nacional de Contratación Pública –Colombia Compra Eficiente– ejercerá las siguientes funciones: </w:t>
      </w:r>
    </w:p>
    <w:p w14:paraId="0FA4D732" w14:textId="77777777" w:rsidR="001E7DEA" w:rsidRPr="007F590A" w:rsidRDefault="001E7DEA" w:rsidP="001E7DEA">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546D66CF" w14:textId="24938C48" w:rsidR="001E7DEA" w:rsidRPr="007F590A" w:rsidRDefault="001E7DEA" w:rsidP="001E7DEA">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»5. Absolver consultas sobre la aplicación de normas de carácter general y expedir circulares externas en materia de compras y contratación pública».</w:t>
      </w:r>
    </w:p>
    <w:p w14:paraId="040E0458" w14:textId="40A0C869" w:rsidR="001E7DEA" w:rsidRPr="007F590A" w:rsidRDefault="001E7DEA" w:rsidP="001E7DEA">
      <w:pPr>
        <w:pStyle w:val="Textonotapie"/>
        <w:ind w:firstLine="709"/>
        <w:jc w:val="both"/>
        <w:rPr>
          <w:rFonts w:ascii="Arial" w:hAnsi="Arial" w:cs="Arial"/>
          <w:color w:val="000000" w:themeColor="text1"/>
          <w:sz w:val="19"/>
          <w:szCs w:val="19"/>
          <w:lang w:val="es-ES"/>
        </w:rPr>
      </w:pPr>
      <w:r w:rsidRPr="007F590A">
        <w:rPr>
          <w:rFonts w:ascii="Arial" w:eastAsia="Times New Roman" w:hAnsi="Arial" w:cs="Arial"/>
          <w:color w:val="000000" w:themeColor="text1"/>
          <w:sz w:val="19"/>
          <w:szCs w:val="19"/>
          <w:lang w:val="es-CO" w:eastAsia="es-ES_tradnl"/>
        </w:rPr>
        <w:t>«</w:t>
      </w:r>
      <w:r w:rsidRPr="007F590A">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28C96216" w14:textId="77777777" w:rsidR="001E7DEA" w:rsidRPr="007F590A" w:rsidRDefault="001E7DEA" w:rsidP="001E7DEA">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16904D04" w14:textId="50C4AFB9" w:rsidR="001E7DEA" w:rsidRPr="007F590A" w:rsidRDefault="001E7DEA" w:rsidP="00AE2188">
      <w:pPr>
        <w:pStyle w:val="Textonotapie"/>
        <w:ind w:firstLine="708"/>
        <w:rPr>
          <w:color w:val="000000" w:themeColor="text1"/>
        </w:rPr>
      </w:pPr>
      <w:r w:rsidRPr="007F590A">
        <w:rPr>
          <w:rFonts w:ascii="Arial" w:eastAsia="Times New Roman" w:hAnsi="Arial" w:cs="Arial"/>
          <w:color w:val="000000" w:themeColor="text1"/>
          <w:sz w:val="19"/>
          <w:szCs w:val="19"/>
          <w:lang w:val="es-CO" w:eastAsia="es-ES_tradnl"/>
        </w:rPr>
        <w:t>»</w:t>
      </w:r>
      <w:r w:rsidRPr="007F590A">
        <w:rPr>
          <w:rFonts w:ascii="Arial" w:hAnsi="Arial" w:cs="Arial"/>
          <w:color w:val="000000" w:themeColor="text1"/>
          <w:sz w:val="19"/>
          <w:szCs w:val="19"/>
          <w:lang w:val="es-ES"/>
        </w:rPr>
        <w:t>8. Absolver consultas sobre la aplicación de normas de carácter general».</w:t>
      </w:r>
    </w:p>
  </w:footnote>
  <w:footnote w:id="3">
    <w:p w14:paraId="2C70334A" w14:textId="77777777"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76C5853" w14:textId="77777777" w:rsidR="003C408D" w:rsidRPr="007F590A" w:rsidRDefault="003C408D" w:rsidP="00043614">
      <w:pPr>
        <w:pStyle w:val="Textonotapie"/>
        <w:ind w:firstLine="709"/>
        <w:jc w:val="both"/>
        <w:rPr>
          <w:rFonts w:ascii="Arial" w:hAnsi="Arial" w:cs="Arial"/>
          <w:color w:val="000000" w:themeColor="text1"/>
          <w:sz w:val="19"/>
          <w:szCs w:val="19"/>
        </w:rPr>
      </w:pPr>
      <w:proofErr w:type="gramStart"/>
      <w:r w:rsidRPr="007F590A">
        <w:rPr>
          <w:rFonts w:ascii="Arial" w:hAnsi="Arial" w:cs="Arial"/>
          <w:color w:val="000000" w:themeColor="text1"/>
          <w:sz w:val="19"/>
          <w:szCs w:val="19"/>
        </w:rPr>
        <w:t>»A</w:t>
      </w:r>
      <w:proofErr w:type="gramEnd"/>
      <w:r w:rsidRPr="007F590A">
        <w:rPr>
          <w:rFonts w:ascii="Arial" w:hAnsi="Arial" w:cs="Arial"/>
          <w:color w:val="000000" w:themeColor="text1"/>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2855C11" w14:textId="77777777" w:rsidR="003C408D" w:rsidRPr="007F590A" w:rsidRDefault="003C408D" w:rsidP="00043614">
      <w:pPr>
        <w:pStyle w:val="Textonotapie"/>
        <w:ind w:firstLine="709"/>
        <w:jc w:val="both"/>
        <w:rPr>
          <w:rFonts w:ascii="Arial" w:hAnsi="Arial" w:cs="Arial"/>
          <w:color w:val="000000" w:themeColor="text1"/>
          <w:sz w:val="19"/>
          <w:szCs w:val="19"/>
        </w:rPr>
      </w:pPr>
    </w:p>
  </w:footnote>
  <w:footnote w:id="4">
    <w:p w14:paraId="0C67D542" w14:textId="20A54F7F"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Gaceta del Congreso de la República No. 71 del 2005.</w:t>
      </w:r>
    </w:p>
  </w:footnote>
  <w:footnote w:id="5">
    <w:p w14:paraId="066CFC21" w14:textId="77777777"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Corte Constitucional, Sentencia C- 1153 de 2005, M.P. Marco Gerardo Monroy Cabra.</w:t>
      </w:r>
    </w:p>
  </w:footnote>
  <w:footnote w:id="6">
    <w:p w14:paraId="12D78899" w14:textId="6465AF8F"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248B0A7C" w14:textId="2C0CFF6E" w:rsidR="003C408D" w:rsidRPr="007F590A" w:rsidRDefault="003C408D" w:rsidP="00043614">
      <w:pPr>
        <w:pStyle w:val="Textonotapie"/>
        <w:ind w:firstLine="709"/>
        <w:jc w:val="both"/>
        <w:rPr>
          <w:rFonts w:ascii="Arial" w:hAnsi="Arial" w:cs="Arial"/>
          <w:color w:val="000000" w:themeColor="text1"/>
          <w:sz w:val="19"/>
          <w:szCs w:val="19"/>
          <w:lang w:val="es-CO"/>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69925324" w14:textId="745F8622"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de fecha 24 de julio de 2013, radicado 2166, </w:t>
      </w:r>
      <w:proofErr w:type="gramStart"/>
      <w:r w:rsidRPr="007F590A">
        <w:rPr>
          <w:rFonts w:ascii="Arial" w:hAnsi="Arial" w:cs="Arial"/>
          <w:color w:val="000000" w:themeColor="text1"/>
          <w:sz w:val="19"/>
          <w:szCs w:val="19"/>
        </w:rPr>
        <w:t>Consejero</w:t>
      </w:r>
      <w:proofErr w:type="gramEnd"/>
      <w:r w:rsidRPr="007F590A">
        <w:rPr>
          <w:rFonts w:ascii="Arial" w:hAnsi="Arial" w:cs="Arial"/>
          <w:color w:val="000000" w:themeColor="text1"/>
          <w:sz w:val="19"/>
          <w:szCs w:val="19"/>
        </w:rPr>
        <w:t xml:space="preserve"> Ponente: Álvaro </w:t>
      </w:r>
      <w:proofErr w:type="spellStart"/>
      <w:r w:rsidRPr="007F590A">
        <w:rPr>
          <w:rFonts w:ascii="Arial" w:hAnsi="Arial" w:cs="Arial"/>
          <w:color w:val="000000" w:themeColor="text1"/>
          <w:sz w:val="19"/>
          <w:szCs w:val="19"/>
        </w:rPr>
        <w:t>Namén</w:t>
      </w:r>
      <w:proofErr w:type="spellEnd"/>
      <w:r w:rsidRPr="007F590A">
        <w:rPr>
          <w:rFonts w:ascii="Arial" w:hAnsi="Arial" w:cs="Arial"/>
          <w:color w:val="000000" w:themeColor="text1"/>
          <w:sz w:val="19"/>
          <w:szCs w:val="19"/>
        </w:rPr>
        <w:t xml:space="preserve"> Vargas.  </w:t>
      </w:r>
    </w:p>
  </w:footnote>
  <w:footnote w:id="9">
    <w:p w14:paraId="2D8C7428" w14:textId="77777777" w:rsidR="003C408D" w:rsidRPr="007F590A" w:rsidRDefault="003C408D" w:rsidP="00043614">
      <w:pPr>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9E6A89D" w14:textId="09AFE9D1" w:rsidR="003C408D" w:rsidRPr="007F590A" w:rsidRDefault="003C408D" w:rsidP="00043614">
      <w:pPr>
        <w:ind w:firstLine="709"/>
        <w:jc w:val="both"/>
        <w:rPr>
          <w:rFonts w:ascii="Arial" w:hAnsi="Arial" w:cs="Arial"/>
          <w:color w:val="000000" w:themeColor="text1"/>
          <w:sz w:val="19"/>
          <w:szCs w:val="19"/>
        </w:rPr>
      </w:pP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rPr>
        <w:t>.</w:t>
      </w:r>
    </w:p>
  </w:footnote>
  <w:footnote w:id="10">
    <w:p w14:paraId="60DF57B7" w14:textId="77777777" w:rsidR="003C408D" w:rsidRPr="007F590A" w:rsidRDefault="003C408D" w:rsidP="00043614">
      <w:pPr>
        <w:pStyle w:val="NormalWeb"/>
        <w:spacing w:before="0" w:beforeAutospacing="0" w:after="0" w:afterAutospacing="0"/>
        <w:ind w:firstLine="709"/>
        <w:jc w:val="both"/>
        <w:rPr>
          <w:rFonts w:ascii="Arial" w:hAnsi="Arial" w:cs="Arial"/>
          <w:color w:val="000000" w:themeColor="text1"/>
          <w:sz w:val="19"/>
          <w:szCs w:val="19"/>
          <w:lang w:val="es-MX"/>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lang w:val="es-MX"/>
        </w:rPr>
        <w:t>Artículo 38. Prohibiciones para los servidores públicos. A los empleados del Estado les está prohibido:</w:t>
      </w:r>
    </w:p>
    <w:p w14:paraId="7334F70C" w14:textId="77777777" w:rsidR="003C408D" w:rsidRPr="007F590A" w:rsidRDefault="003C408D" w:rsidP="00043614">
      <w:pPr>
        <w:pStyle w:val="NormalWeb"/>
        <w:spacing w:before="0" w:beforeAutospacing="0" w:after="0" w:afterAutospacing="0"/>
        <w:ind w:firstLine="709"/>
        <w:jc w:val="both"/>
        <w:rPr>
          <w:rFonts w:ascii="Arial" w:hAnsi="Arial" w:cs="Arial"/>
          <w:color w:val="000000" w:themeColor="text1"/>
          <w:sz w:val="19"/>
          <w:szCs w:val="19"/>
          <w:lang w:val="es-MX"/>
        </w:rPr>
      </w:pP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lang w:val="es-MX"/>
        </w:rPr>
        <w:t xml:space="preserve"> […]</w:t>
      </w:r>
    </w:p>
    <w:p w14:paraId="76A4F48C" w14:textId="3CA9BC03" w:rsidR="003C408D" w:rsidRPr="007F590A" w:rsidRDefault="003C408D" w:rsidP="00043614">
      <w:pPr>
        <w:ind w:firstLine="709"/>
        <w:jc w:val="both"/>
        <w:rPr>
          <w:rFonts w:ascii="Arial" w:hAnsi="Arial" w:cs="Arial"/>
          <w:color w:val="000000" w:themeColor="text1"/>
          <w:sz w:val="19"/>
          <w:szCs w:val="19"/>
          <w:lang w:val="es-MX"/>
        </w:rPr>
      </w:pPr>
      <w:r w:rsidRPr="007F590A">
        <w:rPr>
          <w:rFonts w:ascii="Arial" w:eastAsia="Calibri" w:hAnsi="Arial" w:cs="Arial"/>
          <w:bCs/>
          <w:color w:val="000000" w:themeColor="text1"/>
          <w:sz w:val="19"/>
          <w:szCs w:val="19"/>
        </w:rPr>
        <w:t>»</w:t>
      </w:r>
      <w:r w:rsidRPr="007F590A">
        <w:rPr>
          <w:rStyle w:val="baj"/>
          <w:rFonts w:ascii="Arial" w:hAnsi="Arial" w:cs="Arial"/>
          <w:color w:val="000000" w:themeColor="text1"/>
          <w:sz w:val="19"/>
          <w:szCs w:val="19"/>
          <w:lang w:val="es-MX"/>
        </w:rPr>
        <w:t xml:space="preserve"> Parágrafo.</w:t>
      </w:r>
      <w:r w:rsidRPr="007F590A">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F590A">
        <w:rPr>
          <w:rFonts w:ascii="Arial" w:eastAsia="Calibri" w:hAnsi="Arial" w:cs="Arial"/>
          <w:bCs/>
          <w:color w:val="000000" w:themeColor="text1"/>
          <w:sz w:val="19"/>
          <w:szCs w:val="19"/>
        </w:rPr>
        <w:t>»</w:t>
      </w:r>
      <w:r w:rsidRPr="007F590A">
        <w:rPr>
          <w:rFonts w:ascii="Arial" w:hAnsi="Arial" w:cs="Arial"/>
          <w:color w:val="000000" w:themeColor="text1"/>
          <w:sz w:val="19"/>
          <w:szCs w:val="19"/>
          <w:lang w:val="es-MX"/>
        </w:rPr>
        <w:t>.</w:t>
      </w:r>
    </w:p>
  </w:footnote>
  <w:footnote w:id="11">
    <w:p w14:paraId="31468D01" w14:textId="77777777" w:rsidR="003C408D" w:rsidRPr="007F590A" w:rsidRDefault="003C408D" w:rsidP="00043614">
      <w:pPr>
        <w:ind w:left="100" w:right="244" w:firstLine="709"/>
        <w:jc w:val="both"/>
        <w:rPr>
          <w:rFonts w:ascii="Arial" w:hAnsi="Arial" w:cs="Arial"/>
          <w:color w:val="000000" w:themeColor="text1"/>
          <w:sz w:val="19"/>
          <w:szCs w:val="19"/>
          <w:lang w:val="es-ES"/>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del 17 de febrero de 2015. C.P. William Zambrano Cetina. Radicación No. 11001-03-06-000-2015-00164-00(2269).</w:t>
      </w:r>
    </w:p>
  </w:footnote>
  <w:footnote w:id="12">
    <w:p w14:paraId="56625087" w14:textId="569E84B2" w:rsidR="003C408D" w:rsidRPr="007F590A" w:rsidRDefault="003C408D" w:rsidP="00043614">
      <w:pPr>
        <w:pStyle w:val="Textonotapie"/>
        <w:ind w:right="51"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hAnsi="Arial" w:cs="Arial"/>
          <w:color w:val="000000" w:themeColor="text1"/>
          <w:sz w:val="19"/>
          <w:szCs w:val="19"/>
          <w:lang w:val="es-ES"/>
        </w:rPr>
        <w:t xml:space="preserve">[25] </w:t>
      </w:r>
      <w:r w:rsidRPr="007F590A">
        <w:rPr>
          <w:rFonts w:ascii="Arial" w:hAnsi="Arial" w:cs="Arial"/>
          <w:color w:val="000000" w:themeColor="text1"/>
          <w:sz w:val="19"/>
          <w:szCs w:val="19"/>
        </w:rPr>
        <w:t>Cfr. Consejo de Estado. Sección Tercera. Sentencia de 3 de diciembre de 2007. Radicados: 24.715, 25.206, 25.409, 24.524, 27.834, 25.410, 26.105, 28.244, 31.447 -acumulados-».</w:t>
      </w:r>
    </w:p>
  </w:footnote>
  <w:footnote w:id="13">
    <w:p w14:paraId="782F3AFA" w14:textId="1A55970E" w:rsidR="003C408D" w:rsidRPr="007F590A" w:rsidRDefault="003C408D" w:rsidP="00043614">
      <w:pPr>
        <w:pStyle w:val="Textonotapie"/>
        <w:ind w:right="51"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hAnsi="Arial" w:cs="Arial"/>
          <w:color w:val="000000" w:themeColor="text1"/>
          <w:sz w:val="19"/>
          <w:szCs w:val="19"/>
          <w:lang w:val="es-ES"/>
        </w:rPr>
        <w:t xml:space="preserve">[26] </w:t>
      </w:r>
      <w:r w:rsidRPr="007F590A">
        <w:rPr>
          <w:rFonts w:ascii="Arial" w:hAnsi="Arial" w:cs="Arial"/>
          <w:color w:val="000000" w:themeColor="text1"/>
          <w:sz w:val="19"/>
          <w:szCs w:val="19"/>
        </w:rPr>
        <w:t>Al respecto ver el concepto 1712 de 2 de febrero de 2006. Consejo de Estado Sala de Consulta y Servicio Civil».</w:t>
      </w:r>
    </w:p>
  </w:footnote>
  <w:footnote w:id="14">
    <w:p w14:paraId="7921D1E0" w14:textId="6090A743"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w:t>
      </w:r>
      <w:proofErr w:type="spellStart"/>
      <w:r w:rsidRPr="007F590A">
        <w:rPr>
          <w:rFonts w:ascii="Arial" w:hAnsi="Arial" w:cs="Arial"/>
          <w:color w:val="000000" w:themeColor="text1"/>
          <w:sz w:val="19"/>
          <w:szCs w:val="19"/>
        </w:rPr>
        <w:t>Namén</w:t>
      </w:r>
      <w:proofErr w:type="spellEnd"/>
      <w:r w:rsidRPr="007F590A">
        <w:rPr>
          <w:rFonts w:ascii="Arial" w:hAnsi="Arial" w:cs="Arial"/>
          <w:color w:val="000000" w:themeColor="text1"/>
          <w:sz w:val="19"/>
          <w:szCs w:val="19"/>
        </w:rPr>
        <w:t xml:space="preserve"> Vargas.</w:t>
      </w:r>
    </w:p>
  </w:footnote>
  <w:footnote w:id="15">
    <w:p w14:paraId="63F841C2" w14:textId="286D9181" w:rsidR="003C408D" w:rsidRPr="007F590A" w:rsidRDefault="003C408D" w:rsidP="00043614">
      <w:pPr>
        <w:pStyle w:val="Textonotapie"/>
        <w:ind w:firstLine="709"/>
        <w:jc w:val="both"/>
        <w:rPr>
          <w:rFonts w:ascii="Arial" w:hAnsi="Arial" w:cs="Arial"/>
          <w:color w:val="000000" w:themeColor="text1"/>
          <w:sz w:val="19"/>
          <w:szCs w:val="19"/>
          <w:lang w:val="es-ES"/>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hAnsi="Arial" w:cs="Arial"/>
          <w:color w:val="000000" w:themeColor="text1"/>
          <w:sz w:val="19"/>
          <w:szCs w:val="19"/>
          <w:lang w:val="es-ES"/>
        </w:rPr>
        <w:t xml:space="preserve">Artículo 2. </w:t>
      </w:r>
    </w:p>
  </w:footnote>
  <w:footnote w:id="16">
    <w:p w14:paraId="45FF9D06" w14:textId="77777777" w:rsidR="003C408D" w:rsidRPr="007F590A" w:rsidRDefault="003C408D" w:rsidP="00043614">
      <w:pPr>
        <w:pStyle w:val="Textonotapie"/>
        <w:ind w:firstLine="709"/>
        <w:jc w:val="both"/>
        <w:rPr>
          <w:rFonts w:ascii="Arial" w:hAnsi="Arial" w:cs="Arial"/>
          <w:color w:val="000000" w:themeColor="text1"/>
          <w:sz w:val="19"/>
          <w:szCs w:val="19"/>
          <w:lang w:val="es-ES"/>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w:t>
      </w:r>
      <w:r w:rsidRPr="007F590A">
        <w:rPr>
          <w:rFonts w:ascii="Arial" w:hAnsi="Arial" w:cs="Arial"/>
          <w:i/>
          <w:color w:val="000000" w:themeColor="text1"/>
          <w:sz w:val="19"/>
          <w:szCs w:val="19"/>
          <w:lang w:val="es-ES"/>
        </w:rPr>
        <w:t>Ídem</w:t>
      </w:r>
      <w:r w:rsidRPr="007F590A">
        <w:rPr>
          <w:rFonts w:ascii="Arial" w:hAnsi="Arial" w:cs="Arial"/>
          <w:color w:val="000000" w:themeColor="text1"/>
          <w:sz w:val="19"/>
          <w:szCs w:val="19"/>
          <w:lang w:val="es-ES"/>
        </w:rPr>
        <w:t>.</w:t>
      </w:r>
    </w:p>
  </w:footnote>
  <w:footnote w:id="17">
    <w:p w14:paraId="469DF3B7" w14:textId="0E73C561" w:rsidR="003C408D" w:rsidRPr="007F590A" w:rsidRDefault="003C408D" w:rsidP="00043614">
      <w:pPr>
        <w:pStyle w:val="Textonotapie"/>
        <w:ind w:firstLine="709"/>
        <w:jc w:val="both"/>
        <w:rPr>
          <w:rFonts w:ascii="Arial" w:hAnsi="Arial" w:cs="Arial"/>
          <w:color w:val="000000" w:themeColor="text1"/>
          <w:sz w:val="19"/>
          <w:szCs w:val="19"/>
          <w:lang w:val="es-ES"/>
        </w:rPr>
      </w:pPr>
      <w:r w:rsidRPr="007F590A">
        <w:rPr>
          <w:rStyle w:val="Refdenotaalpie"/>
          <w:rFonts w:ascii="Arial" w:hAnsi="Arial" w:cs="Arial"/>
          <w:color w:val="000000" w:themeColor="text1"/>
          <w:sz w:val="19"/>
          <w:szCs w:val="19"/>
        </w:rPr>
        <w:footnoteRef/>
      </w:r>
      <w:r w:rsidRPr="007F590A">
        <w:rPr>
          <w:rStyle w:val="Refdenotaalpie"/>
          <w:rFonts w:ascii="Arial" w:hAnsi="Arial" w:cs="Arial"/>
          <w:color w:val="000000" w:themeColor="text1"/>
          <w:sz w:val="19"/>
          <w:szCs w:val="19"/>
        </w:rPr>
        <w:t xml:space="preserve"> </w:t>
      </w:r>
      <w:r w:rsidRPr="007F590A">
        <w:rPr>
          <w:rFonts w:ascii="Arial" w:hAnsi="Arial" w:cs="Arial"/>
          <w:color w:val="000000" w:themeColor="text1"/>
          <w:sz w:val="19"/>
          <w:szCs w:val="19"/>
          <w:lang w:val="es-ES"/>
        </w:rPr>
        <w:t xml:space="preserve">«[…] A este respecto, cabe recordar que el artículo 860 del Código de Comercio regula la licitación en el derecho privado». </w:t>
      </w:r>
    </w:p>
  </w:footnote>
  <w:footnote w:id="18">
    <w:p w14:paraId="501042DF" w14:textId="0A67C09B" w:rsidR="003C408D" w:rsidRPr="007F590A" w:rsidRDefault="003C408D" w:rsidP="00043614">
      <w:pPr>
        <w:shd w:val="clear" w:color="auto" w:fill="FFFFFF"/>
        <w:ind w:firstLine="709"/>
        <w:jc w:val="both"/>
        <w:rPr>
          <w:rFonts w:ascii="Arial" w:hAnsi="Arial" w:cs="Arial"/>
          <w:color w:val="000000" w:themeColor="text1"/>
          <w:sz w:val="19"/>
          <w:szCs w:val="19"/>
          <w:lang w:val="es-ES"/>
        </w:rPr>
      </w:pPr>
      <w:r w:rsidRPr="007F590A">
        <w:rPr>
          <w:rStyle w:val="Refdenotaalpie"/>
          <w:rFonts w:ascii="Arial" w:hAnsi="Arial" w:cs="Arial"/>
          <w:color w:val="000000" w:themeColor="text1"/>
          <w:sz w:val="19"/>
          <w:szCs w:val="19"/>
        </w:rPr>
        <w:footnoteRef/>
      </w:r>
      <w:r w:rsidRPr="007F590A">
        <w:rPr>
          <w:rStyle w:val="Refdenotaalpie"/>
          <w:rFonts w:ascii="Arial" w:hAnsi="Arial" w:cs="Arial"/>
          <w:color w:val="000000" w:themeColor="text1"/>
          <w:sz w:val="19"/>
          <w:szCs w:val="19"/>
        </w:rPr>
        <w:t xml:space="preserve"> </w:t>
      </w:r>
      <w:r w:rsidRPr="007F590A">
        <w:rPr>
          <w:rFonts w:ascii="Arial" w:hAnsi="Arial" w:cs="Arial"/>
          <w:color w:val="000000" w:themeColor="text1"/>
          <w:sz w:val="19"/>
          <w:szCs w:val="19"/>
          <w:lang w:val="es-ES"/>
        </w:rPr>
        <w:t xml:space="preserve">Consejo de Estado. Sala de Consulta y Servicio Civil, Concepto de 8 de mayo de 2018. Radicación Número: 11001-03-06-000-2018-00095-00(2382). Consejero Ponente: Álvaro </w:t>
      </w:r>
      <w:proofErr w:type="spellStart"/>
      <w:r w:rsidRPr="007F590A">
        <w:rPr>
          <w:rFonts w:ascii="Arial" w:hAnsi="Arial" w:cs="Arial"/>
          <w:color w:val="000000" w:themeColor="text1"/>
          <w:sz w:val="19"/>
          <w:szCs w:val="19"/>
          <w:lang w:val="es-ES"/>
        </w:rPr>
        <w:t>Namén</w:t>
      </w:r>
      <w:proofErr w:type="spellEnd"/>
      <w:r w:rsidRPr="007F590A">
        <w:rPr>
          <w:rFonts w:ascii="Arial" w:hAnsi="Arial" w:cs="Arial"/>
          <w:color w:val="000000" w:themeColor="text1"/>
          <w:sz w:val="19"/>
          <w:szCs w:val="19"/>
          <w:lang w:val="es-ES"/>
        </w:rPr>
        <w:t xml:space="preserve"> Vargas.</w:t>
      </w:r>
    </w:p>
  </w:footnote>
  <w:footnote w:id="19">
    <w:p w14:paraId="1AE24D64" w14:textId="77777777"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del 08 de mayo de 2018. </w:t>
      </w:r>
      <w:proofErr w:type="spellStart"/>
      <w:r w:rsidRPr="007F590A">
        <w:rPr>
          <w:rFonts w:ascii="Arial" w:hAnsi="Arial" w:cs="Arial"/>
          <w:color w:val="000000" w:themeColor="text1"/>
          <w:sz w:val="19"/>
          <w:szCs w:val="19"/>
        </w:rPr>
        <w:t>Exp</w:t>
      </w:r>
      <w:proofErr w:type="spellEnd"/>
      <w:r w:rsidRPr="007F590A">
        <w:rPr>
          <w:rFonts w:ascii="Arial" w:hAnsi="Arial" w:cs="Arial"/>
          <w:color w:val="000000" w:themeColor="text1"/>
          <w:sz w:val="19"/>
          <w:szCs w:val="19"/>
        </w:rPr>
        <w:t xml:space="preserve">. 2.382. C.P. Álvaro </w:t>
      </w:r>
      <w:proofErr w:type="spellStart"/>
      <w:r w:rsidRPr="007F590A">
        <w:rPr>
          <w:rFonts w:ascii="Arial" w:hAnsi="Arial" w:cs="Arial"/>
          <w:color w:val="000000" w:themeColor="text1"/>
          <w:sz w:val="19"/>
          <w:szCs w:val="19"/>
        </w:rPr>
        <w:t>Namén</w:t>
      </w:r>
      <w:proofErr w:type="spellEnd"/>
      <w:r w:rsidRPr="007F590A">
        <w:rPr>
          <w:rFonts w:ascii="Arial" w:hAnsi="Arial" w:cs="Arial"/>
          <w:color w:val="000000" w:themeColor="text1"/>
          <w:sz w:val="19"/>
          <w:szCs w:val="19"/>
        </w:rPr>
        <w:t xml:space="preserve"> Vargas.</w:t>
      </w:r>
    </w:p>
  </w:footnote>
  <w:footnote w:id="20">
    <w:p w14:paraId="70738B4F" w14:textId="181B1316" w:rsidR="00043614" w:rsidRPr="007F590A" w:rsidRDefault="00043614" w:rsidP="00AE2188">
      <w:pPr>
        <w:pStyle w:val="Textonotapie"/>
        <w:ind w:firstLine="708"/>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COLOMBIA COMRPA EFICIENTE. Circular Externa Única. Numeral 15.5.</w:t>
      </w:r>
    </w:p>
  </w:footnote>
  <w:footnote w:id="21">
    <w:p w14:paraId="76BFA9C6" w14:textId="77777777" w:rsidR="003C408D" w:rsidRPr="007F590A" w:rsidRDefault="003C408D" w:rsidP="00043614">
      <w:pPr>
        <w:pStyle w:val="Textonotapie"/>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7F590A">
        <w:rPr>
          <w:rFonts w:ascii="Arial" w:hAnsi="Arial" w:cs="Arial"/>
          <w:color w:val="000000" w:themeColor="text1"/>
          <w:sz w:val="19"/>
          <w:szCs w:val="19"/>
        </w:rPr>
        <w:t>N°</w:t>
      </w:r>
      <w:proofErr w:type="spellEnd"/>
      <w:r w:rsidRPr="007F590A">
        <w:rPr>
          <w:rFonts w:ascii="Arial" w:hAnsi="Arial" w:cs="Arial"/>
          <w:color w:val="000000" w:themeColor="text1"/>
          <w:sz w:val="19"/>
          <w:szCs w:val="19"/>
        </w:rPr>
        <w:t xml:space="preserve"> 216/05 Senado, </w:t>
      </w:r>
      <w:proofErr w:type="spellStart"/>
      <w:r w:rsidRPr="007F590A">
        <w:rPr>
          <w:rFonts w:ascii="Arial" w:hAnsi="Arial" w:cs="Arial"/>
          <w:color w:val="000000" w:themeColor="text1"/>
          <w:sz w:val="19"/>
          <w:szCs w:val="19"/>
        </w:rPr>
        <w:t>N°</w:t>
      </w:r>
      <w:proofErr w:type="spellEnd"/>
      <w:r w:rsidRPr="007F590A">
        <w:rPr>
          <w:rFonts w:ascii="Arial" w:hAnsi="Arial" w:cs="Arial"/>
          <w:color w:val="000000" w:themeColor="text1"/>
          <w:sz w:val="19"/>
          <w:szCs w:val="19"/>
        </w:rPr>
        <w:t xml:space="preserve"> 235-Cámara que dio lugar a la Ley de Garantías Electorales.</w:t>
      </w:r>
    </w:p>
  </w:footnote>
  <w:footnote w:id="22">
    <w:p w14:paraId="23358D46" w14:textId="2AAF53E5" w:rsidR="003C408D" w:rsidRPr="007F590A" w:rsidRDefault="003C408D" w:rsidP="00043614">
      <w:pPr>
        <w:ind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 20 de febrero de 2006. Radicación Número: 11001-03-06-000-2006-00026-00</w:t>
      </w:r>
      <w:r w:rsidR="00A6659C" w:rsidRPr="007F590A">
        <w:rPr>
          <w:rFonts w:ascii="Arial" w:hAnsi="Arial" w:cs="Arial"/>
          <w:color w:val="000000" w:themeColor="text1"/>
          <w:sz w:val="19"/>
          <w:szCs w:val="19"/>
        </w:rPr>
        <w:t xml:space="preserve"> </w:t>
      </w:r>
      <w:r w:rsidRPr="007F590A">
        <w:rPr>
          <w:rFonts w:ascii="Arial" w:hAnsi="Arial" w:cs="Arial"/>
          <w:color w:val="000000" w:themeColor="text1"/>
          <w:sz w:val="19"/>
          <w:szCs w:val="19"/>
        </w:rPr>
        <w:t>(1727).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58796A21" w14:textId="37A1E5D0" w:rsidR="003C408D" w:rsidRPr="007F590A" w:rsidRDefault="003C408D" w:rsidP="00043614">
      <w:pPr>
        <w:pStyle w:val="Textonotapie"/>
        <w:ind w:right="51"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 6 de abril de 2006. Radicación Número: 11001-03-06-000-2006-00038-00</w:t>
      </w:r>
      <w:r w:rsidR="00A6659C" w:rsidRPr="007F590A">
        <w:rPr>
          <w:rFonts w:ascii="Arial" w:hAnsi="Arial" w:cs="Arial"/>
          <w:color w:val="000000" w:themeColor="text1"/>
          <w:sz w:val="19"/>
          <w:szCs w:val="19"/>
        </w:rPr>
        <w:t xml:space="preserve"> </w:t>
      </w:r>
      <w:r w:rsidRPr="007F590A">
        <w:rPr>
          <w:rFonts w:ascii="Arial" w:hAnsi="Arial" w:cs="Arial"/>
          <w:color w:val="000000" w:themeColor="text1"/>
          <w:sz w:val="19"/>
          <w:szCs w:val="19"/>
        </w:rPr>
        <w:t>(1738). Consejero Ponente: Enrique José Arboleda Perdomo:</w:t>
      </w:r>
      <w:r w:rsidRPr="007F590A">
        <w:rPr>
          <w:rFonts w:ascii="Arial" w:eastAsia="Times New Roman" w:hAnsi="Arial" w:cs="Arial"/>
          <w:bCs/>
          <w:color w:val="000000" w:themeColor="text1"/>
          <w:sz w:val="19"/>
          <w:szCs w:val="19"/>
          <w:lang w:eastAsia="x-none"/>
        </w:rPr>
        <w:t xml:space="preserve"> «</w:t>
      </w:r>
      <w:bookmarkStart w:id="11" w:name="_Hlk97890572"/>
      <w:r w:rsidRPr="007F590A">
        <w:rPr>
          <w:rFonts w:ascii="Arial" w:hAnsi="Arial" w:cs="Arial"/>
          <w:color w:val="000000" w:themeColor="text1"/>
          <w:sz w:val="19"/>
          <w:szCs w:val="19"/>
        </w:rPr>
        <w:t xml:space="preserve">Si bien en el tema del concepto del que se extractaron </w:t>
      </w:r>
      <w:bookmarkEnd w:id="11"/>
      <w:r w:rsidRPr="007F590A">
        <w:rPr>
          <w:rFonts w:ascii="Arial" w:hAnsi="Arial" w:cs="Arial"/>
          <w:color w:val="000000" w:themeColor="text1"/>
          <w:sz w:val="19"/>
          <w:szCs w:val="19"/>
        </w:rPr>
        <w:t>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7F590A">
        <w:rPr>
          <w:rFonts w:ascii="Arial" w:eastAsia="Times New Roman" w:hAnsi="Arial" w:cs="Arial"/>
          <w:bCs/>
          <w:color w:val="000000" w:themeColor="text1"/>
          <w:sz w:val="19"/>
          <w:szCs w:val="19"/>
          <w:lang w:eastAsia="x-none"/>
        </w:rPr>
        <w:t>».</w:t>
      </w:r>
    </w:p>
  </w:footnote>
  <w:footnote w:id="24">
    <w:p w14:paraId="474439B4" w14:textId="509BC9B1" w:rsidR="003C408D" w:rsidRPr="007F590A" w:rsidRDefault="003C408D" w:rsidP="00043614">
      <w:pPr>
        <w:ind w:firstLine="708"/>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Concepto de 6 de abril de 2006. Radicación Número: 11001-03-06-000-2006-00038-00(1738). Consejero Ponente: Enrique José Arboleda Perdomo.</w:t>
      </w:r>
      <w:r w:rsidR="005F3CBB" w:rsidRPr="007F590A">
        <w:rPr>
          <w:rFonts w:ascii="Arial" w:hAnsi="Arial" w:cs="Arial"/>
          <w:color w:val="000000" w:themeColor="text1"/>
          <w:sz w:val="19"/>
          <w:szCs w:val="19"/>
        </w:rPr>
        <w:t xml:space="preserve"> </w:t>
      </w:r>
    </w:p>
  </w:footnote>
  <w:footnote w:id="25">
    <w:p w14:paraId="1F667DBE" w14:textId="77777777" w:rsidR="003C408D" w:rsidRPr="007F590A" w:rsidRDefault="003C408D" w:rsidP="00043614">
      <w:pPr>
        <w:pStyle w:val="Textonotapie"/>
        <w:ind w:right="51" w:firstLine="709"/>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Consejo de Estado. Sala de Consulta y Servicio Civil, ídem.</w:t>
      </w:r>
    </w:p>
  </w:footnote>
  <w:footnote w:id="26">
    <w:p w14:paraId="6AE62069" w14:textId="5953B489" w:rsidR="001C4D24" w:rsidRPr="007F590A" w:rsidRDefault="001C4D24" w:rsidP="00043614">
      <w:pPr>
        <w:pStyle w:val="Textonotapie"/>
        <w:ind w:firstLine="708"/>
        <w:jc w:val="both"/>
        <w:rPr>
          <w:rFonts w:ascii="Arial" w:hAnsi="Arial" w:cs="Arial"/>
          <w:color w:val="000000" w:themeColor="text1"/>
          <w:sz w:val="19"/>
          <w:szCs w:val="19"/>
        </w:rPr>
      </w:pPr>
      <w:r w:rsidRPr="007F590A">
        <w:rPr>
          <w:rStyle w:val="Refdenotaalpie"/>
          <w:rFonts w:ascii="Arial" w:hAnsi="Arial" w:cs="Arial"/>
          <w:color w:val="000000" w:themeColor="text1"/>
          <w:sz w:val="19"/>
          <w:szCs w:val="19"/>
        </w:rPr>
        <w:footnoteRef/>
      </w:r>
      <w:r w:rsidRPr="007F590A">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19764F76" w14:textId="77777777" w:rsidR="001C4D24" w:rsidRPr="007F590A" w:rsidRDefault="001C4D24" w:rsidP="00043614">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420B7E6E" w14:textId="02F64D23" w:rsidR="001C4D24" w:rsidRPr="007F590A" w:rsidRDefault="001C4D24" w:rsidP="00043614">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»5. Absolver consultas sobre la aplicación de normas de carácter general y expedir circulares externas en materia de compras y contratación pública».</w:t>
      </w:r>
    </w:p>
    <w:p w14:paraId="4DFE1881" w14:textId="77777777" w:rsidR="001C4D24" w:rsidRPr="007F590A" w:rsidRDefault="001C4D24" w:rsidP="00043614">
      <w:pPr>
        <w:pStyle w:val="Textonotapie"/>
        <w:ind w:firstLine="709"/>
        <w:jc w:val="both"/>
        <w:rPr>
          <w:rFonts w:ascii="Arial" w:hAnsi="Arial" w:cs="Arial"/>
          <w:color w:val="000000" w:themeColor="text1"/>
          <w:sz w:val="19"/>
          <w:szCs w:val="19"/>
          <w:lang w:val="es-ES"/>
        </w:rPr>
      </w:pPr>
      <w:r w:rsidRPr="007F590A">
        <w:rPr>
          <w:rFonts w:ascii="Arial" w:eastAsia="Times New Roman" w:hAnsi="Arial" w:cs="Arial"/>
          <w:color w:val="000000" w:themeColor="text1"/>
          <w:sz w:val="19"/>
          <w:szCs w:val="19"/>
          <w:lang w:val="es-CO" w:eastAsia="es-ES_tradnl"/>
        </w:rPr>
        <w:t xml:space="preserve">» </w:t>
      </w:r>
      <w:r w:rsidRPr="007F590A">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27FEDED6" w14:textId="77777777" w:rsidR="001C4D24" w:rsidRPr="007F590A" w:rsidRDefault="001C4D24" w:rsidP="00043614">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77B786A3" w14:textId="77777777" w:rsidR="001C4D24" w:rsidRPr="007F590A" w:rsidRDefault="001C4D24" w:rsidP="00043614">
      <w:pPr>
        <w:pStyle w:val="Textonotapie"/>
        <w:ind w:firstLine="709"/>
        <w:jc w:val="both"/>
        <w:rPr>
          <w:rFonts w:ascii="Arial" w:hAnsi="Arial" w:cs="Arial"/>
          <w:color w:val="000000" w:themeColor="text1"/>
          <w:sz w:val="19"/>
          <w:szCs w:val="19"/>
          <w:lang w:val="es-ES"/>
        </w:rPr>
      </w:pPr>
      <w:r w:rsidRPr="007F590A">
        <w:rPr>
          <w:rFonts w:ascii="Arial" w:eastAsia="Times New Roman" w:hAnsi="Arial" w:cs="Arial"/>
          <w:color w:val="000000" w:themeColor="text1"/>
          <w:sz w:val="19"/>
          <w:szCs w:val="19"/>
          <w:lang w:val="es-CO" w:eastAsia="es-ES_tradnl"/>
        </w:rPr>
        <w:t>»</w:t>
      </w:r>
      <w:r w:rsidRPr="007F590A">
        <w:rPr>
          <w:rFonts w:ascii="Arial" w:hAnsi="Arial" w:cs="Arial"/>
          <w:color w:val="000000" w:themeColor="text1"/>
          <w:sz w:val="19"/>
          <w:szCs w:val="19"/>
          <w:lang w:val="es-ES"/>
        </w:rPr>
        <w:t xml:space="preserve">8. Absolver consultas sobre la aplicación de normas de carácter general». </w:t>
      </w:r>
    </w:p>
  </w:footnote>
  <w:footnote w:id="27">
    <w:p w14:paraId="2C78C217" w14:textId="77777777" w:rsidR="00E3403E" w:rsidRPr="007F590A" w:rsidRDefault="00E3403E" w:rsidP="00E3403E">
      <w:pPr>
        <w:pStyle w:val="Textonotapie"/>
        <w:ind w:firstLine="708"/>
        <w:jc w:val="both"/>
        <w:rPr>
          <w:rFonts w:ascii="Arial" w:hAnsi="Arial" w:cs="Arial"/>
          <w:color w:val="000000" w:themeColor="text1"/>
          <w:sz w:val="19"/>
          <w:szCs w:val="19"/>
        </w:rPr>
      </w:pPr>
      <w:r w:rsidRPr="007F590A">
        <w:rPr>
          <w:rStyle w:val="Refdenotaalpie"/>
          <w:color w:val="000000" w:themeColor="text1"/>
        </w:rPr>
        <w:footnoteRef/>
      </w:r>
      <w:r w:rsidRPr="007F590A">
        <w:rPr>
          <w:color w:val="000000" w:themeColor="text1"/>
        </w:rPr>
        <w:t xml:space="preserve"> </w:t>
      </w:r>
      <w:r w:rsidRPr="007F590A">
        <w:rPr>
          <w:rFonts w:ascii="Arial" w:hAnsi="Arial" w:cs="Arial"/>
          <w:color w:val="000000" w:themeColor="text1"/>
          <w:sz w:val="19"/>
          <w:szCs w:val="19"/>
        </w:rPr>
        <w:t xml:space="preserve">«Artículo 3°. Funciones. La Agencia Nacional de Contratación Pública –Colombia Compra Eficiente– ejercerá las siguientes funciones: </w:t>
      </w:r>
    </w:p>
    <w:p w14:paraId="2FBAC226" w14:textId="77777777" w:rsidR="00E3403E" w:rsidRPr="007F590A" w:rsidRDefault="00E3403E" w:rsidP="00E3403E">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2AB704D2" w14:textId="77777777" w:rsidR="00E3403E" w:rsidRPr="007F590A" w:rsidRDefault="00E3403E" w:rsidP="00E3403E">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»5. Absolver consultas sobre la aplicación de normas de carácter general y expedir circulares externas en materia de compras y contratación pública».</w:t>
      </w:r>
    </w:p>
    <w:p w14:paraId="4A40BE09" w14:textId="77777777" w:rsidR="00E3403E" w:rsidRPr="007F590A" w:rsidRDefault="00E3403E" w:rsidP="00E3403E">
      <w:pPr>
        <w:pStyle w:val="Textonotapie"/>
        <w:ind w:firstLine="709"/>
        <w:jc w:val="both"/>
        <w:rPr>
          <w:rFonts w:ascii="Arial" w:hAnsi="Arial" w:cs="Arial"/>
          <w:color w:val="000000" w:themeColor="text1"/>
          <w:sz w:val="19"/>
          <w:szCs w:val="19"/>
          <w:lang w:val="es-ES"/>
        </w:rPr>
      </w:pPr>
      <w:r w:rsidRPr="007F590A">
        <w:rPr>
          <w:rFonts w:ascii="Arial" w:eastAsia="Times New Roman" w:hAnsi="Arial" w:cs="Arial"/>
          <w:color w:val="000000" w:themeColor="text1"/>
          <w:sz w:val="19"/>
          <w:szCs w:val="19"/>
          <w:lang w:val="es-CO" w:eastAsia="es-ES_tradnl"/>
        </w:rPr>
        <w:t>«</w:t>
      </w:r>
      <w:r w:rsidRPr="007F590A">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30C73FA1" w14:textId="77777777" w:rsidR="00E3403E" w:rsidRPr="007F590A" w:rsidRDefault="00E3403E" w:rsidP="00E3403E">
      <w:pPr>
        <w:pStyle w:val="Textonotapie"/>
        <w:ind w:firstLine="709"/>
        <w:jc w:val="both"/>
        <w:rPr>
          <w:rFonts w:ascii="Arial" w:hAnsi="Arial" w:cs="Arial"/>
          <w:color w:val="000000" w:themeColor="text1"/>
          <w:sz w:val="19"/>
          <w:szCs w:val="19"/>
          <w:lang w:val="es-ES"/>
        </w:rPr>
      </w:pPr>
      <w:r w:rsidRPr="007F590A">
        <w:rPr>
          <w:rFonts w:ascii="Arial" w:hAnsi="Arial" w:cs="Arial"/>
          <w:color w:val="000000" w:themeColor="text1"/>
          <w:sz w:val="19"/>
          <w:szCs w:val="19"/>
          <w:lang w:val="es-ES"/>
        </w:rPr>
        <w:t xml:space="preserve">»[...] </w:t>
      </w:r>
    </w:p>
    <w:p w14:paraId="66E0CD97" w14:textId="77777777" w:rsidR="00E3403E" w:rsidRPr="007F590A" w:rsidRDefault="00E3403E" w:rsidP="00E3403E">
      <w:pPr>
        <w:pStyle w:val="Textonotapie"/>
        <w:ind w:firstLine="708"/>
        <w:rPr>
          <w:color w:val="000000" w:themeColor="text1"/>
        </w:rPr>
      </w:pPr>
      <w:r w:rsidRPr="007F590A">
        <w:rPr>
          <w:rFonts w:ascii="Arial" w:eastAsia="Times New Roman" w:hAnsi="Arial" w:cs="Arial"/>
          <w:color w:val="000000" w:themeColor="text1"/>
          <w:sz w:val="19"/>
          <w:szCs w:val="19"/>
          <w:lang w:val="es-CO" w:eastAsia="es-ES_tradnl"/>
        </w:rPr>
        <w:t>»</w:t>
      </w:r>
      <w:r w:rsidRPr="007F590A">
        <w:rPr>
          <w:rFonts w:ascii="Arial" w:hAnsi="Arial" w:cs="Arial"/>
          <w:color w:val="000000" w:themeColor="text1"/>
          <w:sz w:val="19"/>
          <w:szCs w:val="19"/>
          <w:lang w:val="es-ES"/>
        </w:rPr>
        <w:t>8. Absolver consultas sobre la aplicación de normas de carácter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
  </w:num>
  <w:num w:numId="20">
    <w:abstractNumId w:val="25"/>
  </w:num>
  <w:num w:numId="21">
    <w:abstractNumId w:val="17"/>
  </w:num>
  <w:num w:numId="22">
    <w:abstractNumId w:val="6"/>
  </w:num>
  <w:num w:numId="23">
    <w:abstractNumId w:val="5"/>
  </w:num>
  <w:num w:numId="24">
    <w:abstractNumId w:val="23"/>
  </w:num>
  <w:num w:numId="25">
    <w:abstractNumId w:val="19"/>
  </w:num>
  <w:num w:numId="26">
    <w:abstractNumId w:val="3"/>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A49"/>
    <w:rsid w:val="00020F8F"/>
    <w:rsid w:val="00021A95"/>
    <w:rsid w:val="0002256F"/>
    <w:rsid w:val="00023DAE"/>
    <w:rsid w:val="00024855"/>
    <w:rsid w:val="00024896"/>
    <w:rsid w:val="000254DD"/>
    <w:rsid w:val="00025D0A"/>
    <w:rsid w:val="000263F0"/>
    <w:rsid w:val="00026407"/>
    <w:rsid w:val="00026608"/>
    <w:rsid w:val="0002767E"/>
    <w:rsid w:val="00027787"/>
    <w:rsid w:val="000278D2"/>
    <w:rsid w:val="0002797C"/>
    <w:rsid w:val="00031364"/>
    <w:rsid w:val="000315E1"/>
    <w:rsid w:val="0003236E"/>
    <w:rsid w:val="00032FEB"/>
    <w:rsid w:val="0003339A"/>
    <w:rsid w:val="000341F2"/>
    <w:rsid w:val="00035046"/>
    <w:rsid w:val="000351F2"/>
    <w:rsid w:val="000368A6"/>
    <w:rsid w:val="00036DD0"/>
    <w:rsid w:val="00036E03"/>
    <w:rsid w:val="00037AD5"/>
    <w:rsid w:val="000406DB"/>
    <w:rsid w:val="00040838"/>
    <w:rsid w:val="0004094D"/>
    <w:rsid w:val="00041029"/>
    <w:rsid w:val="00041357"/>
    <w:rsid w:val="0004149B"/>
    <w:rsid w:val="000416C5"/>
    <w:rsid w:val="00041FC6"/>
    <w:rsid w:val="00042961"/>
    <w:rsid w:val="00042C25"/>
    <w:rsid w:val="00042D03"/>
    <w:rsid w:val="00043086"/>
    <w:rsid w:val="000430A0"/>
    <w:rsid w:val="00043614"/>
    <w:rsid w:val="00043D3B"/>
    <w:rsid w:val="0004418C"/>
    <w:rsid w:val="00044204"/>
    <w:rsid w:val="000449D4"/>
    <w:rsid w:val="00045BF5"/>
    <w:rsid w:val="000463B5"/>
    <w:rsid w:val="00046717"/>
    <w:rsid w:val="00046A63"/>
    <w:rsid w:val="00046C09"/>
    <w:rsid w:val="0004716A"/>
    <w:rsid w:val="00047385"/>
    <w:rsid w:val="000473E8"/>
    <w:rsid w:val="000504DE"/>
    <w:rsid w:val="00050F9F"/>
    <w:rsid w:val="00051074"/>
    <w:rsid w:val="00051302"/>
    <w:rsid w:val="00051DC3"/>
    <w:rsid w:val="000526F0"/>
    <w:rsid w:val="0005273D"/>
    <w:rsid w:val="00052B79"/>
    <w:rsid w:val="00052E4B"/>
    <w:rsid w:val="00052EA0"/>
    <w:rsid w:val="000536A7"/>
    <w:rsid w:val="000536E3"/>
    <w:rsid w:val="00053896"/>
    <w:rsid w:val="00053A00"/>
    <w:rsid w:val="00053BD4"/>
    <w:rsid w:val="0005474D"/>
    <w:rsid w:val="00054D74"/>
    <w:rsid w:val="00055612"/>
    <w:rsid w:val="00055CB9"/>
    <w:rsid w:val="0005602F"/>
    <w:rsid w:val="00056565"/>
    <w:rsid w:val="00056F66"/>
    <w:rsid w:val="0005702F"/>
    <w:rsid w:val="00057930"/>
    <w:rsid w:val="00057DF1"/>
    <w:rsid w:val="000606AC"/>
    <w:rsid w:val="00061010"/>
    <w:rsid w:val="00061470"/>
    <w:rsid w:val="00061C5D"/>
    <w:rsid w:val="00061D06"/>
    <w:rsid w:val="00062BDF"/>
    <w:rsid w:val="00062CDD"/>
    <w:rsid w:val="00063AD6"/>
    <w:rsid w:val="00063F0C"/>
    <w:rsid w:val="000640AF"/>
    <w:rsid w:val="00064940"/>
    <w:rsid w:val="00064CAE"/>
    <w:rsid w:val="00064D2E"/>
    <w:rsid w:val="00064DB7"/>
    <w:rsid w:val="00064FA7"/>
    <w:rsid w:val="00065195"/>
    <w:rsid w:val="0006536C"/>
    <w:rsid w:val="00065D20"/>
    <w:rsid w:val="0006626E"/>
    <w:rsid w:val="00066FA4"/>
    <w:rsid w:val="000701A0"/>
    <w:rsid w:val="00070AF1"/>
    <w:rsid w:val="000714DE"/>
    <w:rsid w:val="000720D0"/>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0CCA"/>
    <w:rsid w:val="000811ED"/>
    <w:rsid w:val="0008139C"/>
    <w:rsid w:val="00081D62"/>
    <w:rsid w:val="000827E6"/>
    <w:rsid w:val="00082B74"/>
    <w:rsid w:val="00083099"/>
    <w:rsid w:val="00083EDC"/>
    <w:rsid w:val="0008457F"/>
    <w:rsid w:val="00084B97"/>
    <w:rsid w:val="00084BD2"/>
    <w:rsid w:val="0008510E"/>
    <w:rsid w:val="000853D5"/>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31B"/>
    <w:rsid w:val="000936F7"/>
    <w:rsid w:val="00093CA0"/>
    <w:rsid w:val="00093ECD"/>
    <w:rsid w:val="000942EB"/>
    <w:rsid w:val="000954FA"/>
    <w:rsid w:val="00095607"/>
    <w:rsid w:val="00095B70"/>
    <w:rsid w:val="00095E38"/>
    <w:rsid w:val="0009617E"/>
    <w:rsid w:val="0009628D"/>
    <w:rsid w:val="0009670F"/>
    <w:rsid w:val="00097022"/>
    <w:rsid w:val="000979CF"/>
    <w:rsid w:val="000979FC"/>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5FB"/>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71E"/>
    <w:rsid w:val="00121A9B"/>
    <w:rsid w:val="00121BAB"/>
    <w:rsid w:val="00121E3C"/>
    <w:rsid w:val="00122B23"/>
    <w:rsid w:val="00122B7E"/>
    <w:rsid w:val="0012395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0C4B"/>
    <w:rsid w:val="00131B5A"/>
    <w:rsid w:val="00132C30"/>
    <w:rsid w:val="00132EFD"/>
    <w:rsid w:val="00133AED"/>
    <w:rsid w:val="001340F5"/>
    <w:rsid w:val="001345AE"/>
    <w:rsid w:val="00134BCD"/>
    <w:rsid w:val="00134E09"/>
    <w:rsid w:val="001350AB"/>
    <w:rsid w:val="00135DB9"/>
    <w:rsid w:val="0013695C"/>
    <w:rsid w:val="00136BF7"/>
    <w:rsid w:val="00136C78"/>
    <w:rsid w:val="0013740D"/>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6B0E"/>
    <w:rsid w:val="00146D4D"/>
    <w:rsid w:val="001471AB"/>
    <w:rsid w:val="001474D7"/>
    <w:rsid w:val="00147F35"/>
    <w:rsid w:val="00150005"/>
    <w:rsid w:val="001500B0"/>
    <w:rsid w:val="00151AEB"/>
    <w:rsid w:val="00151B99"/>
    <w:rsid w:val="001521B2"/>
    <w:rsid w:val="00152EDD"/>
    <w:rsid w:val="00153491"/>
    <w:rsid w:val="0015361C"/>
    <w:rsid w:val="00153656"/>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1C5"/>
    <w:rsid w:val="00162552"/>
    <w:rsid w:val="00163786"/>
    <w:rsid w:val="00163C03"/>
    <w:rsid w:val="00163D7A"/>
    <w:rsid w:val="00164281"/>
    <w:rsid w:val="00165703"/>
    <w:rsid w:val="00165BD5"/>
    <w:rsid w:val="00166204"/>
    <w:rsid w:val="0016622D"/>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5AA"/>
    <w:rsid w:val="001817E9"/>
    <w:rsid w:val="001829CD"/>
    <w:rsid w:val="00182F01"/>
    <w:rsid w:val="001833C2"/>
    <w:rsid w:val="001841E2"/>
    <w:rsid w:val="00184219"/>
    <w:rsid w:val="00184F27"/>
    <w:rsid w:val="0018519B"/>
    <w:rsid w:val="00185966"/>
    <w:rsid w:val="00185A2D"/>
    <w:rsid w:val="00185AFE"/>
    <w:rsid w:val="00185E78"/>
    <w:rsid w:val="00185F7F"/>
    <w:rsid w:val="00186AF3"/>
    <w:rsid w:val="001870F4"/>
    <w:rsid w:val="00187177"/>
    <w:rsid w:val="00187ABD"/>
    <w:rsid w:val="001904E3"/>
    <w:rsid w:val="0019087A"/>
    <w:rsid w:val="001915F1"/>
    <w:rsid w:val="00191742"/>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959"/>
    <w:rsid w:val="001A0AF8"/>
    <w:rsid w:val="001A147D"/>
    <w:rsid w:val="001A1490"/>
    <w:rsid w:val="001A18D5"/>
    <w:rsid w:val="001A1A38"/>
    <w:rsid w:val="001A1BE0"/>
    <w:rsid w:val="001A1D4A"/>
    <w:rsid w:val="001A254E"/>
    <w:rsid w:val="001A25D3"/>
    <w:rsid w:val="001A3011"/>
    <w:rsid w:val="001A3284"/>
    <w:rsid w:val="001A4A9B"/>
    <w:rsid w:val="001A4DAF"/>
    <w:rsid w:val="001A54CD"/>
    <w:rsid w:val="001A66DF"/>
    <w:rsid w:val="001A67D0"/>
    <w:rsid w:val="001A6863"/>
    <w:rsid w:val="001A6AD4"/>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67DD"/>
    <w:rsid w:val="001B71E8"/>
    <w:rsid w:val="001C07C6"/>
    <w:rsid w:val="001C15C9"/>
    <w:rsid w:val="001C19CD"/>
    <w:rsid w:val="001C22D5"/>
    <w:rsid w:val="001C2515"/>
    <w:rsid w:val="001C26FB"/>
    <w:rsid w:val="001C2D24"/>
    <w:rsid w:val="001C2F5C"/>
    <w:rsid w:val="001C33C1"/>
    <w:rsid w:val="001C3801"/>
    <w:rsid w:val="001C3E30"/>
    <w:rsid w:val="001C3E5C"/>
    <w:rsid w:val="001C4D24"/>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23E"/>
    <w:rsid w:val="001E28A0"/>
    <w:rsid w:val="001E320D"/>
    <w:rsid w:val="001E3FFE"/>
    <w:rsid w:val="001E4258"/>
    <w:rsid w:val="001E5140"/>
    <w:rsid w:val="001E53F1"/>
    <w:rsid w:val="001E5D6A"/>
    <w:rsid w:val="001E600E"/>
    <w:rsid w:val="001E6A94"/>
    <w:rsid w:val="001E70FB"/>
    <w:rsid w:val="001E7193"/>
    <w:rsid w:val="001E780A"/>
    <w:rsid w:val="001E7DE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395"/>
    <w:rsid w:val="002037AA"/>
    <w:rsid w:val="00203FE3"/>
    <w:rsid w:val="002042D8"/>
    <w:rsid w:val="00204515"/>
    <w:rsid w:val="00204660"/>
    <w:rsid w:val="00204BF5"/>
    <w:rsid w:val="00204E6B"/>
    <w:rsid w:val="002053EF"/>
    <w:rsid w:val="002058D4"/>
    <w:rsid w:val="0020632A"/>
    <w:rsid w:val="0020697F"/>
    <w:rsid w:val="00207262"/>
    <w:rsid w:val="0020726E"/>
    <w:rsid w:val="00207F7B"/>
    <w:rsid w:val="00210656"/>
    <w:rsid w:val="002110EB"/>
    <w:rsid w:val="00211338"/>
    <w:rsid w:val="00211388"/>
    <w:rsid w:val="0021148C"/>
    <w:rsid w:val="00211694"/>
    <w:rsid w:val="00211D19"/>
    <w:rsid w:val="0021201A"/>
    <w:rsid w:val="002138FE"/>
    <w:rsid w:val="00213954"/>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292"/>
    <w:rsid w:val="002345B6"/>
    <w:rsid w:val="002347A6"/>
    <w:rsid w:val="00234B84"/>
    <w:rsid w:val="00236016"/>
    <w:rsid w:val="00236E1A"/>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1F82"/>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0BF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23A"/>
    <w:rsid w:val="002679AB"/>
    <w:rsid w:val="002711A4"/>
    <w:rsid w:val="00271230"/>
    <w:rsid w:val="00271F13"/>
    <w:rsid w:val="002725C3"/>
    <w:rsid w:val="00272945"/>
    <w:rsid w:val="0027482E"/>
    <w:rsid w:val="00274DB5"/>
    <w:rsid w:val="00275BB1"/>
    <w:rsid w:val="0027628D"/>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B98"/>
    <w:rsid w:val="00286CEC"/>
    <w:rsid w:val="002870F9"/>
    <w:rsid w:val="002871A9"/>
    <w:rsid w:val="00287505"/>
    <w:rsid w:val="002879EB"/>
    <w:rsid w:val="00287BDB"/>
    <w:rsid w:val="0029031D"/>
    <w:rsid w:val="00290781"/>
    <w:rsid w:val="00290798"/>
    <w:rsid w:val="00291454"/>
    <w:rsid w:val="00291470"/>
    <w:rsid w:val="00291784"/>
    <w:rsid w:val="00291CF4"/>
    <w:rsid w:val="002920DF"/>
    <w:rsid w:val="002929BB"/>
    <w:rsid w:val="00294238"/>
    <w:rsid w:val="0029434D"/>
    <w:rsid w:val="00294368"/>
    <w:rsid w:val="00294B78"/>
    <w:rsid w:val="00295416"/>
    <w:rsid w:val="002956FB"/>
    <w:rsid w:val="00295949"/>
    <w:rsid w:val="00295D7C"/>
    <w:rsid w:val="0029624A"/>
    <w:rsid w:val="00296922"/>
    <w:rsid w:val="00297098"/>
    <w:rsid w:val="002977A3"/>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75D"/>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5A1F"/>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1FB1"/>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77B82"/>
    <w:rsid w:val="00380272"/>
    <w:rsid w:val="003805DB"/>
    <w:rsid w:val="0038152A"/>
    <w:rsid w:val="00382BAD"/>
    <w:rsid w:val="003835FD"/>
    <w:rsid w:val="00384DF1"/>
    <w:rsid w:val="00384EAF"/>
    <w:rsid w:val="00384FF3"/>
    <w:rsid w:val="00385C29"/>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45F"/>
    <w:rsid w:val="003A493F"/>
    <w:rsid w:val="003A4A8E"/>
    <w:rsid w:val="003A563C"/>
    <w:rsid w:val="003A581E"/>
    <w:rsid w:val="003A6160"/>
    <w:rsid w:val="003A65A5"/>
    <w:rsid w:val="003A72F5"/>
    <w:rsid w:val="003A78E5"/>
    <w:rsid w:val="003B0341"/>
    <w:rsid w:val="003B1961"/>
    <w:rsid w:val="003B1E57"/>
    <w:rsid w:val="003B2EF3"/>
    <w:rsid w:val="003B3014"/>
    <w:rsid w:val="003B534F"/>
    <w:rsid w:val="003B5391"/>
    <w:rsid w:val="003B58CE"/>
    <w:rsid w:val="003B65D7"/>
    <w:rsid w:val="003B65E0"/>
    <w:rsid w:val="003B6BD4"/>
    <w:rsid w:val="003B6F4D"/>
    <w:rsid w:val="003B6FE7"/>
    <w:rsid w:val="003B70CE"/>
    <w:rsid w:val="003B72DF"/>
    <w:rsid w:val="003C0C0F"/>
    <w:rsid w:val="003C0D1F"/>
    <w:rsid w:val="003C116A"/>
    <w:rsid w:val="003C1AF4"/>
    <w:rsid w:val="003C1CB8"/>
    <w:rsid w:val="003C22DA"/>
    <w:rsid w:val="003C2550"/>
    <w:rsid w:val="003C287F"/>
    <w:rsid w:val="003C3146"/>
    <w:rsid w:val="003C3251"/>
    <w:rsid w:val="003C3339"/>
    <w:rsid w:val="003C375A"/>
    <w:rsid w:val="003C408D"/>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52F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523"/>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159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2C5"/>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0D"/>
    <w:rsid w:val="004529C6"/>
    <w:rsid w:val="00452EAD"/>
    <w:rsid w:val="004533D1"/>
    <w:rsid w:val="004534D1"/>
    <w:rsid w:val="00453D1E"/>
    <w:rsid w:val="00454548"/>
    <w:rsid w:val="00454717"/>
    <w:rsid w:val="00455004"/>
    <w:rsid w:val="00455047"/>
    <w:rsid w:val="00455354"/>
    <w:rsid w:val="0045558D"/>
    <w:rsid w:val="0045580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79B"/>
    <w:rsid w:val="00466616"/>
    <w:rsid w:val="00466A0C"/>
    <w:rsid w:val="00466A53"/>
    <w:rsid w:val="004707BB"/>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14D"/>
    <w:rsid w:val="0049029D"/>
    <w:rsid w:val="0049030C"/>
    <w:rsid w:val="004903C0"/>
    <w:rsid w:val="00490A7F"/>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A11"/>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D11"/>
    <w:rsid w:val="004B07B2"/>
    <w:rsid w:val="004B0A44"/>
    <w:rsid w:val="004B0F0B"/>
    <w:rsid w:val="004B2197"/>
    <w:rsid w:val="004B298A"/>
    <w:rsid w:val="004B2B70"/>
    <w:rsid w:val="004B4BB6"/>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8E5"/>
    <w:rsid w:val="004D0AEA"/>
    <w:rsid w:val="004D0F95"/>
    <w:rsid w:val="004D106A"/>
    <w:rsid w:val="004D19D4"/>
    <w:rsid w:val="004D1C7E"/>
    <w:rsid w:val="004D1FB0"/>
    <w:rsid w:val="004D245A"/>
    <w:rsid w:val="004D2571"/>
    <w:rsid w:val="004D25EB"/>
    <w:rsid w:val="004D2F83"/>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4F7D79"/>
    <w:rsid w:val="0050039C"/>
    <w:rsid w:val="0050062F"/>
    <w:rsid w:val="00500E74"/>
    <w:rsid w:val="0050160F"/>
    <w:rsid w:val="0050273B"/>
    <w:rsid w:val="0050284E"/>
    <w:rsid w:val="00502911"/>
    <w:rsid w:val="0050306F"/>
    <w:rsid w:val="00503EC8"/>
    <w:rsid w:val="00505494"/>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ED7"/>
    <w:rsid w:val="00517F85"/>
    <w:rsid w:val="00520235"/>
    <w:rsid w:val="00520899"/>
    <w:rsid w:val="00520922"/>
    <w:rsid w:val="005209FC"/>
    <w:rsid w:val="00520C09"/>
    <w:rsid w:val="00521482"/>
    <w:rsid w:val="00521A30"/>
    <w:rsid w:val="005224E5"/>
    <w:rsid w:val="00523903"/>
    <w:rsid w:val="005239B6"/>
    <w:rsid w:val="00523AB9"/>
    <w:rsid w:val="00523C45"/>
    <w:rsid w:val="00523EE1"/>
    <w:rsid w:val="00523F41"/>
    <w:rsid w:val="00524165"/>
    <w:rsid w:val="005246E7"/>
    <w:rsid w:val="00524B08"/>
    <w:rsid w:val="00524C38"/>
    <w:rsid w:val="00524FD2"/>
    <w:rsid w:val="00525621"/>
    <w:rsid w:val="00525B4D"/>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69E"/>
    <w:rsid w:val="00531E9A"/>
    <w:rsid w:val="00531F26"/>
    <w:rsid w:val="0053277C"/>
    <w:rsid w:val="005327C0"/>
    <w:rsid w:val="00532B61"/>
    <w:rsid w:val="00533101"/>
    <w:rsid w:val="00533CA9"/>
    <w:rsid w:val="005346AD"/>
    <w:rsid w:val="00534A10"/>
    <w:rsid w:val="00534EFB"/>
    <w:rsid w:val="00534F60"/>
    <w:rsid w:val="005357F1"/>
    <w:rsid w:val="00535BAD"/>
    <w:rsid w:val="00535D15"/>
    <w:rsid w:val="00536053"/>
    <w:rsid w:val="005369E6"/>
    <w:rsid w:val="005371AC"/>
    <w:rsid w:val="00537672"/>
    <w:rsid w:val="0053772F"/>
    <w:rsid w:val="00537A70"/>
    <w:rsid w:val="00537B64"/>
    <w:rsid w:val="00537B77"/>
    <w:rsid w:val="00540C4C"/>
    <w:rsid w:val="00540E53"/>
    <w:rsid w:val="00541469"/>
    <w:rsid w:val="00541571"/>
    <w:rsid w:val="00541B1F"/>
    <w:rsid w:val="0054275A"/>
    <w:rsid w:val="005428B8"/>
    <w:rsid w:val="005428BE"/>
    <w:rsid w:val="00542BD7"/>
    <w:rsid w:val="00543084"/>
    <w:rsid w:val="00543463"/>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481"/>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7F1"/>
    <w:rsid w:val="00571872"/>
    <w:rsid w:val="00571993"/>
    <w:rsid w:val="0057221F"/>
    <w:rsid w:val="00572421"/>
    <w:rsid w:val="00572539"/>
    <w:rsid w:val="00573355"/>
    <w:rsid w:val="0057337D"/>
    <w:rsid w:val="00573504"/>
    <w:rsid w:val="00573BA3"/>
    <w:rsid w:val="005746B2"/>
    <w:rsid w:val="00574708"/>
    <w:rsid w:val="00574C1A"/>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2F50"/>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3FE"/>
    <w:rsid w:val="005A5608"/>
    <w:rsid w:val="005A5A3D"/>
    <w:rsid w:val="005A5CED"/>
    <w:rsid w:val="005A6035"/>
    <w:rsid w:val="005A6B75"/>
    <w:rsid w:val="005A6E00"/>
    <w:rsid w:val="005A718A"/>
    <w:rsid w:val="005A7885"/>
    <w:rsid w:val="005B12B2"/>
    <w:rsid w:val="005B143B"/>
    <w:rsid w:val="005B19BD"/>
    <w:rsid w:val="005B1E45"/>
    <w:rsid w:val="005B1F33"/>
    <w:rsid w:val="005B21C4"/>
    <w:rsid w:val="005B2206"/>
    <w:rsid w:val="005B24E7"/>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8DE"/>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3CBB"/>
    <w:rsid w:val="005F4481"/>
    <w:rsid w:val="005F47AC"/>
    <w:rsid w:val="005F49AF"/>
    <w:rsid w:val="005F4A58"/>
    <w:rsid w:val="005F54DF"/>
    <w:rsid w:val="005F5514"/>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BFE"/>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1F22"/>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5E"/>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30E"/>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484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4C3A"/>
    <w:rsid w:val="00655301"/>
    <w:rsid w:val="00655371"/>
    <w:rsid w:val="00655507"/>
    <w:rsid w:val="00656855"/>
    <w:rsid w:val="006569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7AA"/>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AE8"/>
    <w:rsid w:val="00673DD7"/>
    <w:rsid w:val="00673ECF"/>
    <w:rsid w:val="0067426B"/>
    <w:rsid w:val="00674A1B"/>
    <w:rsid w:val="00674F1C"/>
    <w:rsid w:val="006754F8"/>
    <w:rsid w:val="00676127"/>
    <w:rsid w:val="00676AED"/>
    <w:rsid w:val="006771DA"/>
    <w:rsid w:val="00677212"/>
    <w:rsid w:val="00677B26"/>
    <w:rsid w:val="00677C67"/>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5CE"/>
    <w:rsid w:val="00691DE9"/>
    <w:rsid w:val="00691EAA"/>
    <w:rsid w:val="00692245"/>
    <w:rsid w:val="00692745"/>
    <w:rsid w:val="00692FCD"/>
    <w:rsid w:val="00692FFA"/>
    <w:rsid w:val="00693772"/>
    <w:rsid w:val="00693984"/>
    <w:rsid w:val="00693B77"/>
    <w:rsid w:val="00694160"/>
    <w:rsid w:val="006943F5"/>
    <w:rsid w:val="006959A5"/>
    <w:rsid w:val="00695C0C"/>
    <w:rsid w:val="00696736"/>
    <w:rsid w:val="00696A05"/>
    <w:rsid w:val="00697665"/>
    <w:rsid w:val="006978E1"/>
    <w:rsid w:val="00697C9A"/>
    <w:rsid w:val="00697E68"/>
    <w:rsid w:val="00697FC1"/>
    <w:rsid w:val="006A0274"/>
    <w:rsid w:val="006A06F3"/>
    <w:rsid w:val="006A112B"/>
    <w:rsid w:val="006A1F1F"/>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48C1"/>
    <w:rsid w:val="006B50C4"/>
    <w:rsid w:val="006B53AE"/>
    <w:rsid w:val="006B58B4"/>
    <w:rsid w:val="006B67AC"/>
    <w:rsid w:val="006B786A"/>
    <w:rsid w:val="006B7E4E"/>
    <w:rsid w:val="006C003A"/>
    <w:rsid w:val="006C0630"/>
    <w:rsid w:val="006C0AB9"/>
    <w:rsid w:val="006C107C"/>
    <w:rsid w:val="006C128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0CE4"/>
    <w:rsid w:val="006D10F6"/>
    <w:rsid w:val="006D1544"/>
    <w:rsid w:val="006D1688"/>
    <w:rsid w:val="006D17AA"/>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34E"/>
    <w:rsid w:val="006E2C34"/>
    <w:rsid w:val="006E359B"/>
    <w:rsid w:val="006E39D1"/>
    <w:rsid w:val="006E3B05"/>
    <w:rsid w:val="006E437F"/>
    <w:rsid w:val="006E4D5B"/>
    <w:rsid w:val="006E5EA6"/>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51F"/>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6B15"/>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5DB3"/>
    <w:rsid w:val="00726603"/>
    <w:rsid w:val="007266AC"/>
    <w:rsid w:val="00727B1D"/>
    <w:rsid w:val="00727DDC"/>
    <w:rsid w:val="00730CD6"/>
    <w:rsid w:val="00730D3A"/>
    <w:rsid w:val="00730F74"/>
    <w:rsid w:val="0073114B"/>
    <w:rsid w:val="0073122E"/>
    <w:rsid w:val="00731380"/>
    <w:rsid w:val="00732029"/>
    <w:rsid w:val="00732151"/>
    <w:rsid w:val="007341D8"/>
    <w:rsid w:val="00734952"/>
    <w:rsid w:val="00734990"/>
    <w:rsid w:val="00734FF5"/>
    <w:rsid w:val="00735B78"/>
    <w:rsid w:val="00735DA7"/>
    <w:rsid w:val="00736700"/>
    <w:rsid w:val="007368B4"/>
    <w:rsid w:val="00737229"/>
    <w:rsid w:val="007378E0"/>
    <w:rsid w:val="00737FB7"/>
    <w:rsid w:val="00740529"/>
    <w:rsid w:val="00740876"/>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3"/>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9EE"/>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7B8"/>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849"/>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CE5"/>
    <w:rsid w:val="007D4ED0"/>
    <w:rsid w:val="007D5648"/>
    <w:rsid w:val="007D58C5"/>
    <w:rsid w:val="007D5DE8"/>
    <w:rsid w:val="007D7A62"/>
    <w:rsid w:val="007D7B1C"/>
    <w:rsid w:val="007D7CFC"/>
    <w:rsid w:val="007E0812"/>
    <w:rsid w:val="007E18DF"/>
    <w:rsid w:val="007E1A10"/>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90A"/>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A7B"/>
    <w:rsid w:val="00807C35"/>
    <w:rsid w:val="00807F35"/>
    <w:rsid w:val="00807F69"/>
    <w:rsid w:val="008100F7"/>
    <w:rsid w:val="00810206"/>
    <w:rsid w:val="0081022B"/>
    <w:rsid w:val="00811898"/>
    <w:rsid w:val="00811CDC"/>
    <w:rsid w:val="008124D8"/>
    <w:rsid w:val="00813A41"/>
    <w:rsid w:val="00813A7B"/>
    <w:rsid w:val="00813F04"/>
    <w:rsid w:val="0081513E"/>
    <w:rsid w:val="00815D4C"/>
    <w:rsid w:val="00815DA5"/>
    <w:rsid w:val="00816221"/>
    <w:rsid w:val="008174E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44D"/>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165"/>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30"/>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0820"/>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A2E"/>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973"/>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26A"/>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756"/>
    <w:rsid w:val="008E38B4"/>
    <w:rsid w:val="008E3BA4"/>
    <w:rsid w:val="008E3CC4"/>
    <w:rsid w:val="008E44AB"/>
    <w:rsid w:val="008E4CAE"/>
    <w:rsid w:val="008E5179"/>
    <w:rsid w:val="008E57FE"/>
    <w:rsid w:val="008E6598"/>
    <w:rsid w:val="008E7214"/>
    <w:rsid w:val="008E7497"/>
    <w:rsid w:val="008E7884"/>
    <w:rsid w:val="008E795C"/>
    <w:rsid w:val="008E7C7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794"/>
    <w:rsid w:val="00900A23"/>
    <w:rsid w:val="00901F1D"/>
    <w:rsid w:val="009028E8"/>
    <w:rsid w:val="00902E5C"/>
    <w:rsid w:val="0090363E"/>
    <w:rsid w:val="00903E0D"/>
    <w:rsid w:val="009046E5"/>
    <w:rsid w:val="009047C5"/>
    <w:rsid w:val="00905CE5"/>
    <w:rsid w:val="00906871"/>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2CF"/>
    <w:rsid w:val="00922379"/>
    <w:rsid w:val="0092257D"/>
    <w:rsid w:val="00922B4A"/>
    <w:rsid w:val="00923396"/>
    <w:rsid w:val="00923F56"/>
    <w:rsid w:val="00924770"/>
    <w:rsid w:val="00925346"/>
    <w:rsid w:val="00925743"/>
    <w:rsid w:val="0092579F"/>
    <w:rsid w:val="00926068"/>
    <w:rsid w:val="00927DD3"/>
    <w:rsid w:val="00927E8D"/>
    <w:rsid w:val="00927F23"/>
    <w:rsid w:val="00930521"/>
    <w:rsid w:val="009307CD"/>
    <w:rsid w:val="00931123"/>
    <w:rsid w:val="00931364"/>
    <w:rsid w:val="00931365"/>
    <w:rsid w:val="00931451"/>
    <w:rsid w:val="009314FA"/>
    <w:rsid w:val="0093194F"/>
    <w:rsid w:val="00931BF3"/>
    <w:rsid w:val="00931C55"/>
    <w:rsid w:val="00932014"/>
    <w:rsid w:val="00933333"/>
    <w:rsid w:val="00933390"/>
    <w:rsid w:val="0093349A"/>
    <w:rsid w:val="0093352B"/>
    <w:rsid w:val="009337FD"/>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0C7B"/>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590C"/>
    <w:rsid w:val="009761ED"/>
    <w:rsid w:val="0098022F"/>
    <w:rsid w:val="009810DE"/>
    <w:rsid w:val="00981B91"/>
    <w:rsid w:val="009822D7"/>
    <w:rsid w:val="009827E6"/>
    <w:rsid w:val="00982F84"/>
    <w:rsid w:val="009831C3"/>
    <w:rsid w:val="00983FFC"/>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1F8"/>
    <w:rsid w:val="009B231D"/>
    <w:rsid w:val="009B2374"/>
    <w:rsid w:val="009B2E29"/>
    <w:rsid w:val="009B3163"/>
    <w:rsid w:val="009B35AE"/>
    <w:rsid w:val="009B422F"/>
    <w:rsid w:val="009B46BC"/>
    <w:rsid w:val="009B4D1A"/>
    <w:rsid w:val="009B519D"/>
    <w:rsid w:val="009B558B"/>
    <w:rsid w:val="009B5981"/>
    <w:rsid w:val="009B6D21"/>
    <w:rsid w:val="009B78ED"/>
    <w:rsid w:val="009B7AB0"/>
    <w:rsid w:val="009C045A"/>
    <w:rsid w:val="009C0D57"/>
    <w:rsid w:val="009C181C"/>
    <w:rsid w:val="009C181E"/>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F2E"/>
    <w:rsid w:val="009E020C"/>
    <w:rsid w:val="009E02D2"/>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261E"/>
    <w:rsid w:val="009F369D"/>
    <w:rsid w:val="009F36FE"/>
    <w:rsid w:val="009F3D92"/>
    <w:rsid w:val="009F4990"/>
    <w:rsid w:val="009F4F25"/>
    <w:rsid w:val="009F59C2"/>
    <w:rsid w:val="009F5A2A"/>
    <w:rsid w:val="009F5ABB"/>
    <w:rsid w:val="009F6797"/>
    <w:rsid w:val="009F7263"/>
    <w:rsid w:val="009F76EA"/>
    <w:rsid w:val="009F78C0"/>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263"/>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599"/>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39C3"/>
    <w:rsid w:val="00A24560"/>
    <w:rsid w:val="00A24835"/>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5D85"/>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6E1D"/>
    <w:rsid w:val="00A57EB2"/>
    <w:rsid w:val="00A6009E"/>
    <w:rsid w:val="00A60265"/>
    <w:rsid w:val="00A60540"/>
    <w:rsid w:val="00A60B1F"/>
    <w:rsid w:val="00A6109E"/>
    <w:rsid w:val="00A61C60"/>
    <w:rsid w:val="00A61F2A"/>
    <w:rsid w:val="00A62589"/>
    <w:rsid w:val="00A62AD0"/>
    <w:rsid w:val="00A62C3A"/>
    <w:rsid w:val="00A6319C"/>
    <w:rsid w:val="00A63812"/>
    <w:rsid w:val="00A63DF7"/>
    <w:rsid w:val="00A6454D"/>
    <w:rsid w:val="00A64F2F"/>
    <w:rsid w:val="00A65DBF"/>
    <w:rsid w:val="00A6611E"/>
    <w:rsid w:val="00A6659C"/>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54F"/>
    <w:rsid w:val="00A8575D"/>
    <w:rsid w:val="00A85D9F"/>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74D"/>
    <w:rsid w:val="00AA08E7"/>
    <w:rsid w:val="00AA0A06"/>
    <w:rsid w:val="00AA1351"/>
    <w:rsid w:val="00AA184C"/>
    <w:rsid w:val="00AA1AF4"/>
    <w:rsid w:val="00AA1C84"/>
    <w:rsid w:val="00AA2767"/>
    <w:rsid w:val="00AA3036"/>
    <w:rsid w:val="00AA3565"/>
    <w:rsid w:val="00AA3D7B"/>
    <w:rsid w:val="00AA4247"/>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991"/>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1BF7"/>
    <w:rsid w:val="00AE2188"/>
    <w:rsid w:val="00AE25E8"/>
    <w:rsid w:val="00AE2A46"/>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3EC0"/>
    <w:rsid w:val="00AF4402"/>
    <w:rsid w:val="00AF4639"/>
    <w:rsid w:val="00AF4E92"/>
    <w:rsid w:val="00AF554B"/>
    <w:rsid w:val="00AF55C5"/>
    <w:rsid w:val="00AF5C9B"/>
    <w:rsid w:val="00AF5D53"/>
    <w:rsid w:val="00AF5E2D"/>
    <w:rsid w:val="00AF644B"/>
    <w:rsid w:val="00AF69C8"/>
    <w:rsid w:val="00AF69EB"/>
    <w:rsid w:val="00AF6CA6"/>
    <w:rsid w:val="00AF6EB6"/>
    <w:rsid w:val="00AF775B"/>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6CBB"/>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40"/>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0F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69F"/>
    <w:rsid w:val="00B657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8E6"/>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1FCF"/>
    <w:rsid w:val="00B920AD"/>
    <w:rsid w:val="00B92531"/>
    <w:rsid w:val="00B92618"/>
    <w:rsid w:val="00B92751"/>
    <w:rsid w:val="00B92B69"/>
    <w:rsid w:val="00B92CC6"/>
    <w:rsid w:val="00B935C9"/>
    <w:rsid w:val="00B93E3D"/>
    <w:rsid w:val="00B94A1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534"/>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A97"/>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4FE1"/>
    <w:rsid w:val="00BC5A25"/>
    <w:rsid w:val="00BC5FDD"/>
    <w:rsid w:val="00BC68B4"/>
    <w:rsid w:val="00BC6CBE"/>
    <w:rsid w:val="00BC7277"/>
    <w:rsid w:val="00BD0140"/>
    <w:rsid w:val="00BD02CC"/>
    <w:rsid w:val="00BD061A"/>
    <w:rsid w:val="00BD088E"/>
    <w:rsid w:val="00BD0F18"/>
    <w:rsid w:val="00BD182E"/>
    <w:rsid w:val="00BD1BAB"/>
    <w:rsid w:val="00BD1E94"/>
    <w:rsid w:val="00BD2063"/>
    <w:rsid w:val="00BD2950"/>
    <w:rsid w:val="00BD337A"/>
    <w:rsid w:val="00BD33D9"/>
    <w:rsid w:val="00BD38C5"/>
    <w:rsid w:val="00BD3AF1"/>
    <w:rsid w:val="00BD3DEA"/>
    <w:rsid w:val="00BD3E97"/>
    <w:rsid w:val="00BD3E9F"/>
    <w:rsid w:val="00BD40E4"/>
    <w:rsid w:val="00BD5232"/>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655"/>
    <w:rsid w:val="00BE6D73"/>
    <w:rsid w:val="00BE7257"/>
    <w:rsid w:val="00BF020D"/>
    <w:rsid w:val="00BF0609"/>
    <w:rsid w:val="00BF0D6A"/>
    <w:rsid w:val="00BF0EE8"/>
    <w:rsid w:val="00BF0F4A"/>
    <w:rsid w:val="00BF10ED"/>
    <w:rsid w:val="00BF1DD2"/>
    <w:rsid w:val="00BF23A3"/>
    <w:rsid w:val="00BF2A7E"/>
    <w:rsid w:val="00BF303C"/>
    <w:rsid w:val="00BF3331"/>
    <w:rsid w:val="00BF3A45"/>
    <w:rsid w:val="00BF436F"/>
    <w:rsid w:val="00BF5C05"/>
    <w:rsid w:val="00BF6FC6"/>
    <w:rsid w:val="00BF7C52"/>
    <w:rsid w:val="00BF7F99"/>
    <w:rsid w:val="00C00713"/>
    <w:rsid w:val="00C009A0"/>
    <w:rsid w:val="00C01557"/>
    <w:rsid w:val="00C01F74"/>
    <w:rsid w:val="00C02067"/>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C5"/>
    <w:rsid w:val="00C245EE"/>
    <w:rsid w:val="00C24850"/>
    <w:rsid w:val="00C24AAC"/>
    <w:rsid w:val="00C24AE1"/>
    <w:rsid w:val="00C24B8D"/>
    <w:rsid w:val="00C24BD7"/>
    <w:rsid w:val="00C24BF1"/>
    <w:rsid w:val="00C24D71"/>
    <w:rsid w:val="00C24ECC"/>
    <w:rsid w:val="00C25813"/>
    <w:rsid w:val="00C27143"/>
    <w:rsid w:val="00C27490"/>
    <w:rsid w:val="00C27D37"/>
    <w:rsid w:val="00C27D9F"/>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9D"/>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00A"/>
    <w:rsid w:val="00C55340"/>
    <w:rsid w:val="00C55C32"/>
    <w:rsid w:val="00C56A67"/>
    <w:rsid w:val="00C56CC2"/>
    <w:rsid w:val="00C56D8D"/>
    <w:rsid w:val="00C57498"/>
    <w:rsid w:val="00C5763C"/>
    <w:rsid w:val="00C5780C"/>
    <w:rsid w:val="00C5796B"/>
    <w:rsid w:val="00C57C64"/>
    <w:rsid w:val="00C60CE0"/>
    <w:rsid w:val="00C610BB"/>
    <w:rsid w:val="00C612C4"/>
    <w:rsid w:val="00C619A1"/>
    <w:rsid w:val="00C61BC3"/>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0CC7"/>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02EF"/>
    <w:rsid w:val="00CB1881"/>
    <w:rsid w:val="00CB1969"/>
    <w:rsid w:val="00CB19E3"/>
    <w:rsid w:val="00CB2C3A"/>
    <w:rsid w:val="00CB2D38"/>
    <w:rsid w:val="00CB2E56"/>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1"/>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23"/>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4A1"/>
    <w:rsid w:val="00D047D5"/>
    <w:rsid w:val="00D047E0"/>
    <w:rsid w:val="00D04B9F"/>
    <w:rsid w:val="00D04D43"/>
    <w:rsid w:val="00D04FFB"/>
    <w:rsid w:val="00D055FE"/>
    <w:rsid w:val="00D058E9"/>
    <w:rsid w:val="00D0612A"/>
    <w:rsid w:val="00D068CD"/>
    <w:rsid w:val="00D07BF6"/>
    <w:rsid w:val="00D101BB"/>
    <w:rsid w:val="00D1060D"/>
    <w:rsid w:val="00D10D14"/>
    <w:rsid w:val="00D10E7C"/>
    <w:rsid w:val="00D11182"/>
    <w:rsid w:val="00D1137B"/>
    <w:rsid w:val="00D11807"/>
    <w:rsid w:val="00D11DB3"/>
    <w:rsid w:val="00D126C8"/>
    <w:rsid w:val="00D12B63"/>
    <w:rsid w:val="00D12D82"/>
    <w:rsid w:val="00D12F77"/>
    <w:rsid w:val="00D1306E"/>
    <w:rsid w:val="00D130B7"/>
    <w:rsid w:val="00D134CD"/>
    <w:rsid w:val="00D13CC8"/>
    <w:rsid w:val="00D14B5F"/>
    <w:rsid w:val="00D14E13"/>
    <w:rsid w:val="00D14F23"/>
    <w:rsid w:val="00D160F6"/>
    <w:rsid w:val="00D16740"/>
    <w:rsid w:val="00D16A8B"/>
    <w:rsid w:val="00D16B96"/>
    <w:rsid w:val="00D16E39"/>
    <w:rsid w:val="00D16EA2"/>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DA4"/>
    <w:rsid w:val="00D33FA4"/>
    <w:rsid w:val="00D34B25"/>
    <w:rsid w:val="00D34C7F"/>
    <w:rsid w:val="00D34F4E"/>
    <w:rsid w:val="00D35264"/>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703"/>
    <w:rsid w:val="00D56C96"/>
    <w:rsid w:val="00D57940"/>
    <w:rsid w:val="00D60327"/>
    <w:rsid w:val="00D606B0"/>
    <w:rsid w:val="00D608CC"/>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8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3A"/>
    <w:rsid w:val="00DA4C97"/>
    <w:rsid w:val="00DA530A"/>
    <w:rsid w:val="00DA5989"/>
    <w:rsid w:val="00DA5AB1"/>
    <w:rsid w:val="00DA5F9D"/>
    <w:rsid w:val="00DA69B2"/>
    <w:rsid w:val="00DA6A57"/>
    <w:rsid w:val="00DA7462"/>
    <w:rsid w:val="00DA7AD0"/>
    <w:rsid w:val="00DB02D7"/>
    <w:rsid w:val="00DB03CC"/>
    <w:rsid w:val="00DB050C"/>
    <w:rsid w:val="00DB12D4"/>
    <w:rsid w:val="00DB14D1"/>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5DE7"/>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8B"/>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2"/>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5964"/>
    <w:rsid w:val="00DF5D49"/>
    <w:rsid w:val="00DF651F"/>
    <w:rsid w:val="00DF6F43"/>
    <w:rsid w:val="00DF71EA"/>
    <w:rsid w:val="00DF752F"/>
    <w:rsid w:val="00DF76A2"/>
    <w:rsid w:val="00E00B7A"/>
    <w:rsid w:val="00E02186"/>
    <w:rsid w:val="00E025C2"/>
    <w:rsid w:val="00E026BB"/>
    <w:rsid w:val="00E027C5"/>
    <w:rsid w:val="00E02F4A"/>
    <w:rsid w:val="00E03124"/>
    <w:rsid w:val="00E031C3"/>
    <w:rsid w:val="00E03951"/>
    <w:rsid w:val="00E03DB8"/>
    <w:rsid w:val="00E03F17"/>
    <w:rsid w:val="00E0420C"/>
    <w:rsid w:val="00E047D5"/>
    <w:rsid w:val="00E04DD3"/>
    <w:rsid w:val="00E04EDD"/>
    <w:rsid w:val="00E05AA3"/>
    <w:rsid w:val="00E05E70"/>
    <w:rsid w:val="00E064BC"/>
    <w:rsid w:val="00E06687"/>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3B"/>
    <w:rsid w:val="00E27165"/>
    <w:rsid w:val="00E275D9"/>
    <w:rsid w:val="00E30444"/>
    <w:rsid w:val="00E3044A"/>
    <w:rsid w:val="00E30E49"/>
    <w:rsid w:val="00E31A4A"/>
    <w:rsid w:val="00E3344A"/>
    <w:rsid w:val="00E33B29"/>
    <w:rsid w:val="00E33B62"/>
    <w:rsid w:val="00E33F67"/>
    <w:rsid w:val="00E3403D"/>
    <w:rsid w:val="00E3403E"/>
    <w:rsid w:val="00E344BD"/>
    <w:rsid w:val="00E34E6C"/>
    <w:rsid w:val="00E353E2"/>
    <w:rsid w:val="00E36345"/>
    <w:rsid w:val="00E36C86"/>
    <w:rsid w:val="00E36CEB"/>
    <w:rsid w:val="00E37A28"/>
    <w:rsid w:val="00E40430"/>
    <w:rsid w:val="00E40690"/>
    <w:rsid w:val="00E40AEB"/>
    <w:rsid w:val="00E40C28"/>
    <w:rsid w:val="00E40E82"/>
    <w:rsid w:val="00E41141"/>
    <w:rsid w:val="00E4143A"/>
    <w:rsid w:val="00E4159B"/>
    <w:rsid w:val="00E4186F"/>
    <w:rsid w:val="00E41D0D"/>
    <w:rsid w:val="00E424C8"/>
    <w:rsid w:val="00E4251D"/>
    <w:rsid w:val="00E426C9"/>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9C1"/>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661"/>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1BAA"/>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6137"/>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33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345F"/>
    <w:rsid w:val="00EB45AE"/>
    <w:rsid w:val="00EB4AE1"/>
    <w:rsid w:val="00EB52F4"/>
    <w:rsid w:val="00EB5500"/>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2FB"/>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619"/>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0E6"/>
    <w:rsid w:val="00EF0209"/>
    <w:rsid w:val="00EF0EA4"/>
    <w:rsid w:val="00EF1972"/>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4ED"/>
    <w:rsid w:val="00F20ECE"/>
    <w:rsid w:val="00F2121A"/>
    <w:rsid w:val="00F213A0"/>
    <w:rsid w:val="00F21D54"/>
    <w:rsid w:val="00F21EF4"/>
    <w:rsid w:val="00F22AE7"/>
    <w:rsid w:val="00F23113"/>
    <w:rsid w:val="00F23255"/>
    <w:rsid w:val="00F23393"/>
    <w:rsid w:val="00F23759"/>
    <w:rsid w:val="00F24644"/>
    <w:rsid w:val="00F25947"/>
    <w:rsid w:val="00F25DE0"/>
    <w:rsid w:val="00F25F9F"/>
    <w:rsid w:val="00F262D6"/>
    <w:rsid w:val="00F26F33"/>
    <w:rsid w:val="00F2748A"/>
    <w:rsid w:val="00F27B9A"/>
    <w:rsid w:val="00F300A8"/>
    <w:rsid w:val="00F302C6"/>
    <w:rsid w:val="00F30400"/>
    <w:rsid w:val="00F3079E"/>
    <w:rsid w:val="00F3399B"/>
    <w:rsid w:val="00F33F4B"/>
    <w:rsid w:val="00F346ED"/>
    <w:rsid w:val="00F34945"/>
    <w:rsid w:val="00F34E1E"/>
    <w:rsid w:val="00F3570C"/>
    <w:rsid w:val="00F360DB"/>
    <w:rsid w:val="00F363A4"/>
    <w:rsid w:val="00F36613"/>
    <w:rsid w:val="00F36765"/>
    <w:rsid w:val="00F368FF"/>
    <w:rsid w:val="00F37068"/>
    <w:rsid w:val="00F37253"/>
    <w:rsid w:val="00F37F3F"/>
    <w:rsid w:val="00F40992"/>
    <w:rsid w:val="00F409C4"/>
    <w:rsid w:val="00F409C6"/>
    <w:rsid w:val="00F40C84"/>
    <w:rsid w:val="00F40F72"/>
    <w:rsid w:val="00F41596"/>
    <w:rsid w:val="00F41B60"/>
    <w:rsid w:val="00F41D8B"/>
    <w:rsid w:val="00F42121"/>
    <w:rsid w:val="00F424B3"/>
    <w:rsid w:val="00F428B1"/>
    <w:rsid w:val="00F428B4"/>
    <w:rsid w:val="00F42B1B"/>
    <w:rsid w:val="00F433CB"/>
    <w:rsid w:val="00F4345D"/>
    <w:rsid w:val="00F4387B"/>
    <w:rsid w:val="00F45921"/>
    <w:rsid w:val="00F45B91"/>
    <w:rsid w:val="00F46639"/>
    <w:rsid w:val="00F472B3"/>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F46"/>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2F76"/>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55B"/>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6DC3"/>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90B"/>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5B24E7"/>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D548B"/>
    <w:pPr>
      <w:jc w:val="both"/>
    </w:pPr>
    <w:rPr>
      <w:rFonts w:ascii="Calibri" w:eastAsia="Calibri" w:hAnsi="Calibri" w:cs="Calibri"/>
      <w:sz w:val="22"/>
      <w:szCs w:val="22"/>
      <w:vertAlign w:val="superscript"/>
      <w:lang w:eastAsia="es-CO"/>
    </w:rPr>
  </w:style>
  <w:style w:type="table" w:customStyle="1" w:styleId="Tablaconcuadrcula2">
    <w:name w:val="Tabla con cuadrícula2"/>
    <w:basedOn w:val="Tablanormal"/>
    <w:next w:val="Tablaconcuadrcula"/>
    <w:uiPriority w:val="39"/>
    <w:rsid w:val="0088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754988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1181621">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86332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889">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3875227">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3226">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720781">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6B322-B46E-4325-A029-7E06BDDEEDAF}">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7212</Words>
  <Characters>39671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3</cp:revision>
  <cp:lastPrinted>2021-08-27T20:19:00Z</cp:lastPrinted>
  <dcterms:created xsi:type="dcterms:W3CDTF">2022-04-01T15:03:00Z</dcterms:created>
  <dcterms:modified xsi:type="dcterms:W3CDTF">2022-04-01T15:04:00Z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