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6BC2" w14:textId="77777777" w:rsidR="009E3AC0" w:rsidRPr="00885D10" w:rsidRDefault="002B7867">
      <w:pPr>
        <w:rPr>
          <w:rFonts w:ascii="Arial" w:eastAsia="Arial" w:hAnsi="Arial" w:cs="Arial"/>
          <w:b/>
          <w:color w:val="000000" w:themeColor="text1"/>
          <w:sz w:val="22"/>
          <w:szCs w:val="22"/>
        </w:rPr>
      </w:pPr>
      <w:bookmarkStart w:id="0" w:name="_gjdgxs" w:colFirst="0" w:colLast="0"/>
      <w:bookmarkEnd w:id="0"/>
      <w:r w:rsidRPr="00885D10">
        <w:rPr>
          <w:rFonts w:ascii="Arial" w:eastAsia="Arial" w:hAnsi="Arial" w:cs="Arial"/>
          <w:b/>
          <w:color w:val="000000" w:themeColor="text1"/>
          <w:sz w:val="22"/>
          <w:szCs w:val="22"/>
        </w:rPr>
        <w:t>LEY DE GARANTÍAS ELECTORALES – Finalidad</w:t>
      </w:r>
    </w:p>
    <w:p w14:paraId="193957DA" w14:textId="77777777" w:rsidR="009E3AC0" w:rsidRPr="00885D10" w:rsidRDefault="002B7867">
      <w:pPr>
        <w:tabs>
          <w:tab w:val="left" w:pos="426"/>
        </w:tabs>
        <w:spacing w:after="0" w:line="240" w:lineRule="auto"/>
        <w:rPr>
          <w:rFonts w:ascii="Arial" w:eastAsia="Arial" w:hAnsi="Arial" w:cs="Arial"/>
          <w:color w:val="000000" w:themeColor="text1"/>
          <w:sz w:val="20"/>
          <w:szCs w:val="20"/>
        </w:rPr>
      </w:pPr>
      <w:bookmarkStart w:id="1" w:name="_30j0zll" w:colFirst="0" w:colLast="0"/>
      <w:bookmarkEnd w:id="1"/>
      <w:r w:rsidRPr="00885D10">
        <w:rPr>
          <w:rFonts w:ascii="Arial" w:eastAsia="Arial" w:hAnsi="Arial" w:cs="Arial"/>
          <w:color w:val="000000" w:themeColor="text1"/>
          <w:sz w:val="20"/>
          <w:szCs w:val="20"/>
        </w:rPr>
        <w:t>[L]a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 […] 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w:t>
      </w:r>
    </w:p>
    <w:p w14:paraId="47EBFDA4" w14:textId="77777777" w:rsidR="009E3AC0" w:rsidRPr="00885D10" w:rsidRDefault="009E3AC0">
      <w:pPr>
        <w:tabs>
          <w:tab w:val="left" w:pos="426"/>
        </w:tabs>
        <w:spacing w:after="0" w:line="240" w:lineRule="auto"/>
        <w:rPr>
          <w:rFonts w:ascii="Arial" w:eastAsia="Arial" w:hAnsi="Arial" w:cs="Arial"/>
          <w:color w:val="000000" w:themeColor="text1"/>
          <w:sz w:val="20"/>
          <w:szCs w:val="20"/>
        </w:rPr>
      </w:pPr>
      <w:bookmarkStart w:id="2" w:name="_1fob9te" w:colFirst="0" w:colLast="0"/>
      <w:bookmarkEnd w:id="2"/>
    </w:p>
    <w:p w14:paraId="436E664D" w14:textId="77777777" w:rsidR="009E3AC0" w:rsidRPr="00885D10" w:rsidRDefault="002B7867">
      <w:pPr>
        <w:tabs>
          <w:tab w:val="left" w:pos="426"/>
        </w:tabs>
        <w:spacing w:after="0" w:line="240" w:lineRule="auto"/>
        <w:rPr>
          <w:rFonts w:ascii="Arial" w:eastAsia="Arial" w:hAnsi="Arial" w:cs="Arial"/>
          <w:b/>
          <w:color w:val="000000" w:themeColor="text1"/>
          <w:sz w:val="20"/>
          <w:szCs w:val="20"/>
        </w:rPr>
      </w:pPr>
      <w:bookmarkStart w:id="3" w:name="_3znysh7" w:colFirst="0" w:colLast="0"/>
      <w:bookmarkEnd w:id="3"/>
      <w:r w:rsidRPr="00885D10">
        <w:rPr>
          <w:rFonts w:ascii="Arial" w:eastAsia="Arial" w:hAnsi="Arial" w:cs="Arial"/>
          <w:b/>
          <w:color w:val="000000" w:themeColor="text1"/>
          <w:sz w:val="20"/>
          <w:szCs w:val="20"/>
        </w:rPr>
        <w:t xml:space="preserve">LEY DE GARANTÍAS ELECTORALES ‒ Tipos de restricciones ‒ Ámbito temporal </w:t>
      </w:r>
    </w:p>
    <w:p w14:paraId="7D577D1F" w14:textId="77777777" w:rsidR="009E3AC0" w:rsidRPr="00885D10" w:rsidRDefault="009E3AC0">
      <w:pPr>
        <w:tabs>
          <w:tab w:val="left" w:pos="426"/>
        </w:tabs>
        <w:spacing w:after="0" w:line="240" w:lineRule="auto"/>
        <w:rPr>
          <w:rFonts w:ascii="Arial" w:eastAsia="Arial" w:hAnsi="Arial" w:cs="Arial"/>
          <w:b/>
          <w:color w:val="000000" w:themeColor="text1"/>
          <w:sz w:val="20"/>
          <w:szCs w:val="20"/>
        </w:rPr>
      </w:pPr>
    </w:p>
    <w:p w14:paraId="206816B5" w14:textId="77777777" w:rsidR="009E3AC0" w:rsidRPr="00885D10" w:rsidRDefault="002B7867">
      <w:pPr>
        <w:tabs>
          <w:tab w:val="left" w:pos="426"/>
        </w:tabs>
        <w:spacing w:after="0" w:line="240" w:lineRule="auto"/>
        <w:rPr>
          <w:rFonts w:ascii="Arial" w:eastAsia="Arial" w:hAnsi="Arial" w:cs="Arial"/>
          <w:color w:val="000000" w:themeColor="text1"/>
          <w:sz w:val="20"/>
          <w:szCs w:val="20"/>
        </w:rPr>
      </w:pPr>
      <w:r w:rsidRPr="00885D10">
        <w:rPr>
          <w:rFonts w:ascii="Arial" w:eastAsia="Arial" w:hAnsi="Arial" w:cs="Arial"/>
          <w:color w:val="000000" w:themeColor="text1"/>
          <w:sz w:val="20"/>
          <w:szCs w:val="20"/>
        </w:rPr>
        <w:t>[…] la Ley 996 de 2005 establece dos (2) tipos de restricciones en materia de contratación, las cuales coinciden parcialmente. En primer lugar,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En segundo lugar,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543BEEC0" w14:textId="77777777" w:rsidR="009E3AC0" w:rsidRPr="00885D10" w:rsidRDefault="009E3AC0">
      <w:pPr>
        <w:tabs>
          <w:tab w:val="left" w:pos="426"/>
        </w:tabs>
        <w:spacing w:after="0" w:line="240" w:lineRule="auto"/>
        <w:rPr>
          <w:rFonts w:ascii="Arial" w:eastAsia="Arial" w:hAnsi="Arial" w:cs="Arial"/>
          <w:color w:val="000000" w:themeColor="text1"/>
          <w:sz w:val="20"/>
          <w:szCs w:val="20"/>
        </w:rPr>
      </w:pPr>
    </w:p>
    <w:p w14:paraId="1A432327" w14:textId="77777777" w:rsidR="009E3AC0" w:rsidRPr="00885D10" w:rsidRDefault="002B7867">
      <w:pPr>
        <w:tabs>
          <w:tab w:val="left" w:pos="426"/>
        </w:tabs>
        <w:spacing w:after="0" w:line="240" w:lineRule="auto"/>
        <w:rPr>
          <w:rFonts w:ascii="Arial" w:eastAsia="Arial" w:hAnsi="Arial" w:cs="Arial"/>
          <w:b/>
          <w:color w:val="000000" w:themeColor="text1"/>
          <w:sz w:val="20"/>
          <w:szCs w:val="20"/>
        </w:rPr>
      </w:pPr>
      <w:bookmarkStart w:id="4" w:name="_2et92p0" w:colFirst="0" w:colLast="0"/>
      <w:bookmarkEnd w:id="4"/>
      <w:r w:rsidRPr="00885D10">
        <w:rPr>
          <w:rFonts w:ascii="Arial" w:eastAsia="Arial" w:hAnsi="Arial" w:cs="Arial"/>
          <w:b/>
          <w:color w:val="000000" w:themeColor="text1"/>
          <w:sz w:val="20"/>
          <w:szCs w:val="20"/>
        </w:rPr>
        <w:t xml:space="preserve">LEY DE GARANTÍAS ELECTORALES ─ Prohibición ‒ Contratación directa ‒ Alcance </w:t>
      </w:r>
    </w:p>
    <w:p w14:paraId="1CA85C1F" w14:textId="77777777" w:rsidR="009E3AC0" w:rsidRPr="00885D10" w:rsidRDefault="009E3AC0">
      <w:pPr>
        <w:tabs>
          <w:tab w:val="left" w:pos="426"/>
        </w:tabs>
        <w:spacing w:after="0" w:line="240" w:lineRule="auto"/>
        <w:rPr>
          <w:rFonts w:ascii="Arial" w:eastAsia="Arial" w:hAnsi="Arial" w:cs="Arial"/>
          <w:color w:val="000000" w:themeColor="text1"/>
          <w:sz w:val="20"/>
          <w:szCs w:val="20"/>
        </w:rPr>
      </w:pPr>
    </w:p>
    <w:p w14:paraId="01E2D9A6" w14:textId="77777777" w:rsidR="009E3AC0" w:rsidRPr="00885D10" w:rsidRDefault="002B7867">
      <w:pPr>
        <w:tabs>
          <w:tab w:val="left" w:pos="426"/>
        </w:tabs>
        <w:spacing w:after="0" w:line="240" w:lineRule="auto"/>
        <w:rPr>
          <w:rFonts w:ascii="Arial" w:eastAsia="Arial" w:hAnsi="Arial" w:cs="Arial"/>
          <w:color w:val="000000" w:themeColor="text1"/>
          <w:sz w:val="20"/>
          <w:szCs w:val="20"/>
        </w:rPr>
      </w:pPr>
      <w:r w:rsidRPr="00885D10">
        <w:rPr>
          <w:rFonts w:ascii="Arial" w:eastAsia="Arial" w:hAnsi="Arial" w:cs="Arial"/>
          <w:color w:val="000000" w:themeColor="text1"/>
          <w:sz w:val="20"/>
          <w:szCs w:val="20"/>
        </w:rPr>
        <w:t>[…] la prohibición del artículo 33 de la Ley de Garantías Electorales se refiere a «cualquier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w:t>
      </w:r>
    </w:p>
    <w:p w14:paraId="76C4543F" w14:textId="77777777" w:rsidR="009E3AC0" w:rsidRPr="00885D10" w:rsidRDefault="002B7867">
      <w:pPr>
        <w:tabs>
          <w:tab w:val="left" w:pos="426"/>
        </w:tabs>
        <w:spacing w:after="0" w:line="240" w:lineRule="auto"/>
        <w:rPr>
          <w:rFonts w:ascii="Arial" w:eastAsia="Arial" w:hAnsi="Arial" w:cs="Arial"/>
          <w:color w:val="000000" w:themeColor="text1"/>
          <w:sz w:val="20"/>
          <w:szCs w:val="20"/>
        </w:rPr>
      </w:pPr>
      <w:r w:rsidRPr="00885D10">
        <w:rPr>
          <w:rFonts w:ascii="Arial" w:eastAsia="Arial" w:hAnsi="Arial" w:cs="Arial"/>
          <w:color w:val="000000" w:themeColor="text1"/>
          <w:sz w:val="20"/>
          <w:szCs w:val="20"/>
        </w:rPr>
        <w:t xml:space="preserve">  </w:t>
      </w:r>
    </w:p>
    <w:p w14:paraId="64E0F5C4" w14:textId="6930E10F" w:rsidR="009E3AC0" w:rsidRPr="00885D10" w:rsidRDefault="002B7867">
      <w:pPr>
        <w:shd w:val="clear" w:color="auto" w:fill="FFFFFF"/>
        <w:spacing w:after="0" w:line="240" w:lineRule="auto"/>
        <w:rPr>
          <w:rFonts w:ascii="Arial" w:eastAsia="Arial" w:hAnsi="Arial" w:cs="Arial"/>
          <w:color w:val="000000" w:themeColor="text1"/>
          <w:sz w:val="20"/>
          <w:szCs w:val="20"/>
        </w:rPr>
      </w:pPr>
      <w:bookmarkStart w:id="5" w:name="_tyjcwt" w:colFirst="0" w:colLast="0"/>
      <w:bookmarkEnd w:id="5"/>
      <w:r w:rsidRPr="00885D10">
        <w:rPr>
          <w:rFonts w:ascii="Arial" w:eastAsia="Arial" w:hAnsi="Arial" w:cs="Arial"/>
          <w:b/>
          <w:color w:val="000000" w:themeColor="text1"/>
          <w:sz w:val="20"/>
          <w:szCs w:val="20"/>
        </w:rPr>
        <w:t>LEY DE GARANTÍAS ELECTORALES ‒ Excepciones</w:t>
      </w:r>
      <w:r w:rsidRPr="00885D10">
        <w:rPr>
          <w:rFonts w:ascii="Arial" w:eastAsia="Arial" w:hAnsi="Arial" w:cs="Arial"/>
          <w:color w:val="000000" w:themeColor="text1"/>
          <w:sz w:val="20"/>
          <w:szCs w:val="20"/>
        </w:rPr>
        <w:t xml:space="preserve"> </w:t>
      </w:r>
    </w:p>
    <w:p w14:paraId="1336EC8C" w14:textId="77777777" w:rsidR="00A3555F" w:rsidRPr="00885D10" w:rsidRDefault="00A3555F">
      <w:pPr>
        <w:shd w:val="clear" w:color="auto" w:fill="FFFFFF"/>
        <w:spacing w:after="0" w:line="240" w:lineRule="auto"/>
        <w:rPr>
          <w:rFonts w:ascii="Arial" w:eastAsia="Arial" w:hAnsi="Arial" w:cs="Arial"/>
          <w:color w:val="000000" w:themeColor="text1"/>
          <w:sz w:val="20"/>
          <w:szCs w:val="20"/>
        </w:rPr>
      </w:pPr>
    </w:p>
    <w:p w14:paraId="25413AF1" w14:textId="77777777" w:rsidR="009E3AC0" w:rsidRPr="00885D10" w:rsidRDefault="002B7867">
      <w:pPr>
        <w:tabs>
          <w:tab w:val="left" w:pos="426"/>
        </w:tabs>
        <w:spacing w:after="0" w:line="240" w:lineRule="auto"/>
        <w:rPr>
          <w:rFonts w:ascii="Arial" w:eastAsia="Arial" w:hAnsi="Arial" w:cs="Arial"/>
          <w:color w:val="000000" w:themeColor="text1"/>
          <w:sz w:val="20"/>
          <w:szCs w:val="20"/>
        </w:rPr>
      </w:pPr>
      <w:r w:rsidRPr="00885D10">
        <w:rPr>
          <w:rFonts w:ascii="Arial" w:eastAsia="Arial" w:hAnsi="Arial" w:cs="Arial"/>
          <w:color w:val="000000" w:themeColor="text1"/>
          <w:sz w:val="20"/>
          <w:szCs w:val="20"/>
        </w:rPr>
        <w:t xml:space="preserve">[…] las excepciones a la restricción prevista en la Ley de Garantías, con fundamento en las cuales podrán las entidades públicas adelantar procedimientos de selección directa en períodos previos a la contienda electoral por la Presidencia, se encuentran consagradas de manera taxativa en el inciso final del citado artículo 33 de la Ley 996 de 2005 en lo referente a i) la defensa y seguridad del Estado; </w:t>
      </w:r>
      <w:proofErr w:type="spellStart"/>
      <w:r w:rsidRPr="00885D10">
        <w:rPr>
          <w:rFonts w:ascii="Arial" w:eastAsia="Arial" w:hAnsi="Arial" w:cs="Arial"/>
          <w:color w:val="000000" w:themeColor="text1"/>
          <w:sz w:val="20"/>
          <w:szCs w:val="20"/>
        </w:rPr>
        <w:t>ii</w:t>
      </w:r>
      <w:proofErr w:type="spellEnd"/>
      <w:r w:rsidRPr="00885D10">
        <w:rPr>
          <w:rFonts w:ascii="Arial" w:eastAsia="Arial" w:hAnsi="Arial" w:cs="Arial"/>
          <w:color w:val="000000" w:themeColor="text1"/>
          <w:sz w:val="20"/>
          <w:szCs w:val="20"/>
        </w:rPr>
        <w:t xml:space="preserve">) los contratos de crédito público; </w:t>
      </w:r>
      <w:proofErr w:type="spellStart"/>
      <w:r w:rsidRPr="00885D10">
        <w:rPr>
          <w:rFonts w:ascii="Arial" w:eastAsia="Arial" w:hAnsi="Arial" w:cs="Arial"/>
          <w:color w:val="000000" w:themeColor="text1"/>
          <w:sz w:val="20"/>
          <w:szCs w:val="20"/>
        </w:rPr>
        <w:t>iii</w:t>
      </w:r>
      <w:proofErr w:type="spellEnd"/>
      <w:r w:rsidRPr="00885D10">
        <w:rPr>
          <w:rFonts w:ascii="Arial" w:eastAsia="Arial" w:hAnsi="Arial" w:cs="Arial"/>
          <w:color w:val="000000" w:themeColor="text1"/>
          <w:sz w:val="20"/>
          <w:szCs w:val="20"/>
        </w:rPr>
        <w:t xml:space="preserve">) los requeridos para cubrir las emergencias educativas, sanitarias y desastres; </w:t>
      </w:r>
      <w:proofErr w:type="spellStart"/>
      <w:r w:rsidRPr="00885D10">
        <w:rPr>
          <w:rFonts w:ascii="Arial" w:eastAsia="Arial" w:hAnsi="Arial" w:cs="Arial"/>
          <w:color w:val="000000" w:themeColor="text1"/>
          <w:sz w:val="20"/>
          <w:szCs w:val="20"/>
        </w:rPr>
        <w:t>iv</w:t>
      </w:r>
      <w:proofErr w:type="spellEnd"/>
      <w:r w:rsidRPr="00885D10">
        <w:rPr>
          <w:rFonts w:ascii="Arial" w:eastAsia="Arial" w:hAnsi="Arial" w:cs="Arial"/>
          <w:color w:val="000000" w:themeColor="text1"/>
          <w:sz w:val="20"/>
          <w:szCs w:val="20"/>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w:t>
      </w:r>
    </w:p>
    <w:p w14:paraId="64A3E810" w14:textId="77777777" w:rsidR="009E3AC0" w:rsidRPr="00885D10" w:rsidRDefault="009E3AC0">
      <w:pPr>
        <w:tabs>
          <w:tab w:val="left" w:pos="426"/>
        </w:tabs>
        <w:spacing w:after="0" w:line="240" w:lineRule="auto"/>
        <w:rPr>
          <w:rFonts w:ascii="Arial" w:eastAsia="Arial" w:hAnsi="Arial" w:cs="Arial"/>
          <w:color w:val="000000" w:themeColor="text1"/>
          <w:sz w:val="20"/>
          <w:szCs w:val="20"/>
        </w:rPr>
      </w:pPr>
      <w:bookmarkStart w:id="6" w:name="_3dy6vkm" w:colFirst="0" w:colLast="0"/>
      <w:bookmarkEnd w:id="6"/>
    </w:p>
    <w:p w14:paraId="7F0AA52B" w14:textId="77777777" w:rsidR="009E3AC0" w:rsidRPr="00885D10" w:rsidRDefault="002B7867">
      <w:pPr>
        <w:tabs>
          <w:tab w:val="left" w:pos="426"/>
        </w:tabs>
        <w:spacing w:after="0" w:line="240" w:lineRule="auto"/>
        <w:rPr>
          <w:rFonts w:ascii="Arial" w:eastAsia="Arial" w:hAnsi="Arial" w:cs="Arial"/>
          <w:b/>
          <w:color w:val="000000" w:themeColor="text1"/>
          <w:sz w:val="20"/>
          <w:szCs w:val="20"/>
        </w:rPr>
      </w:pPr>
      <w:r w:rsidRPr="00885D10">
        <w:rPr>
          <w:rFonts w:ascii="Arial" w:eastAsia="Arial" w:hAnsi="Arial" w:cs="Arial"/>
          <w:b/>
          <w:color w:val="000000" w:themeColor="text1"/>
          <w:sz w:val="20"/>
          <w:szCs w:val="20"/>
        </w:rPr>
        <w:t>LEY DE GARANTÍAS ELECTORALES ‒ Prohibición comicios cargos de elección popular – Convenios y contratos interadministrativos</w:t>
      </w:r>
    </w:p>
    <w:p w14:paraId="566F7062" w14:textId="77777777" w:rsidR="009E3AC0" w:rsidRPr="00885D10" w:rsidRDefault="009E3AC0">
      <w:pPr>
        <w:tabs>
          <w:tab w:val="left" w:pos="426"/>
        </w:tabs>
        <w:spacing w:after="0" w:line="240" w:lineRule="auto"/>
        <w:rPr>
          <w:rFonts w:ascii="Arial" w:eastAsia="Arial" w:hAnsi="Arial" w:cs="Arial"/>
          <w:color w:val="000000" w:themeColor="text1"/>
          <w:sz w:val="20"/>
          <w:szCs w:val="20"/>
        </w:rPr>
      </w:pPr>
    </w:p>
    <w:p w14:paraId="0C3752EB" w14:textId="77777777" w:rsidR="009E3AC0" w:rsidRPr="00885D10" w:rsidRDefault="002B7867">
      <w:pPr>
        <w:tabs>
          <w:tab w:val="left" w:pos="426"/>
        </w:tabs>
        <w:spacing w:after="0" w:line="240" w:lineRule="auto"/>
        <w:rPr>
          <w:rFonts w:ascii="Arial" w:eastAsia="Arial" w:hAnsi="Arial" w:cs="Arial"/>
          <w:color w:val="000000" w:themeColor="text1"/>
          <w:sz w:val="20"/>
          <w:szCs w:val="20"/>
        </w:rPr>
      </w:pPr>
      <w:r w:rsidRPr="00885D10">
        <w:rPr>
          <w:rFonts w:ascii="Arial" w:eastAsia="Arial" w:hAnsi="Arial" w:cs="Arial"/>
          <w:color w:val="000000" w:themeColor="text1"/>
          <w:sz w:val="20"/>
          <w:szCs w:val="20"/>
        </w:rPr>
        <w:lastRenderedPageBreak/>
        <w:t>Los convenios o contratos interadministrativos que se restringen en el parágrafo del artículo 38 de la Ley 996 de 2005, son únicamente aquellos en que se dispone la ejecución de recursos públicos, para evitar que mediante la suscripción de estos se comprometa el erario con fines políticos o partidistas.</w:t>
      </w:r>
    </w:p>
    <w:p w14:paraId="4174C9C1" w14:textId="77777777" w:rsidR="009E3AC0" w:rsidRPr="00885D10" w:rsidRDefault="009E3AC0">
      <w:pPr>
        <w:spacing w:after="0" w:line="240" w:lineRule="auto"/>
        <w:rPr>
          <w:rFonts w:ascii="Arial" w:eastAsia="Arial" w:hAnsi="Arial" w:cs="Arial"/>
          <w:b/>
          <w:color w:val="000000" w:themeColor="text1"/>
          <w:sz w:val="20"/>
          <w:szCs w:val="20"/>
        </w:rPr>
      </w:pPr>
    </w:p>
    <w:p w14:paraId="386CB66C" w14:textId="77777777" w:rsidR="009E3AC0" w:rsidRPr="00885D10" w:rsidRDefault="002B7867">
      <w:pPr>
        <w:spacing w:after="0" w:line="240" w:lineRule="auto"/>
        <w:rPr>
          <w:rFonts w:ascii="Arial" w:eastAsia="Arial" w:hAnsi="Arial" w:cs="Arial"/>
          <w:b/>
          <w:color w:val="000000" w:themeColor="text1"/>
          <w:sz w:val="20"/>
          <w:szCs w:val="20"/>
        </w:rPr>
      </w:pPr>
      <w:r w:rsidRPr="00885D10">
        <w:rPr>
          <w:rFonts w:ascii="Arial" w:eastAsia="Arial" w:hAnsi="Arial" w:cs="Arial"/>
          <w:b/>
          <w:color w:val="000000" w:themeColor="text1"/>
          <w:sz w:val="20"/>
          <w:szCs w:val="20"/>
        </w:rPr>
        <w:t xml:space="preserve">CONTRATOS Y CONVENIOS INTERADMINISTRATIVOS – Definición – Criterio orgánico </w:t>
      </w:r>
    </w:p>
    <w:p w14:paraId="3D9F27C0" w14:textId="77777777" w:rsidR="009E3AC0" w:rsidRPr="00885D10" w:rsidRDefault="009E3AC0">
      <w:pPr>
        <w:spacing w:after="0" w:line="240" w:lineRule="auto"/>
        <w:rPr>
          <w:rFonts w:ascii="Arial" w:eastAsia="Arial" w:hAnsi="Arial" w:cs="Arial"/>
          <w:color w:val="000000" w:themeColor="text1"/>
          <w:sz w:val="20"/>
          <w:szCs w:val="20"/>
        </w:rPr>
      </w:pPr>
    </w:p>
    <w:p w14:paraId="1DC4B46A" w14:textId="77777777" w:rsidR="009E3AC0" w:rsidRPr="00885D10" w:rsidRDefault="002B7867">
      <w:pPr>
        <w:spacing w:after="0" w:line="240" w:lineRule="auto"/>
        <w:rPr>
          <w:rFonts w:ascii="Arial" w:eastAsia="Arial" w:hAnsi="Arial" w:cs="Arial"/>
          <w:color w:val="000000" w:themeColor="text1"/>
          <w:sz w:val="20"/>
          <w:szCs w:val="20"/>
        </w:rPr>
      </w:pPr>
      <w:r w:rsidRPr="00885D10">
        <w:rPr>
          <w:rFonts w:ascii="Arial" w:eastAsia="Arial" w:hAnsi="Arial" w:cs="Arial"/>
          <w:color w:val="000000" w:themeColor="text1"/>
          <w:sz w:val="20"/>
          <w:szCs w:val="20"/>
        </w:rPr>
        <w:t>[…]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44B70A7E" w14:textId="77777777" w:rsidR="009E3AC0" w:rsidRPr="00885D10" w:rsidRDefault="009E3AC0">
      <w:pPr>
        <w:spacing w:after="0" w:line="240" w:lineRule="auto"/>
        <w:rPr>
          <w:rFonts w:ascii="Arial" w:eastAsia="Arial" w:hAnsi="Arial" w:cs="Arial"/>
          <w:b/>
          <w:color w:val="000000" w:themeColor="text1"/>
          <w:sz w:val="20"/>
          <w:szCs w:val="20"/>
        </w:rPr>
      </w:pPr>
      <w:bookmarkStart w:id="7" w:name="_1t3h5sf" w:colFirst="0" w:colLast="0"/>
      <w:bookmarkEnd w:id="7"/>
    </w:p>
    <w:p w14:paraId="3D1A5346" w14:textId="77777777" w:rsidR="009E3AC0" w:rsidRPr="00885D10" w:rsidRDefault="002B7867">
      <w:pPr>
        <w:spacing w:after="0" w:line="240" w:lineRule="auto"/>
        <w:rPr>
          <w:rFonts w:ascii="Arial" w:eastAsia="Arial" w:hAnsi="Arial" w:cs="Arial"/>
          <w:b/>
          <w:color w:val="000000" w:themeColor="text1"/>
          <w:sz w:val="20"/>
          <w:szCs w:val="20"/>
        </w:rPr>
      </w:pPr>
      <w:r w:rsidRPr="00885D10">
        <w:rPr>
          <w:rFonts w:ascii="Arial" w:eastAsia="Arial" w:hAnsi="Arial" w:cs="Arial"/>
          <w:b/>
          <w:color w:val="000000" w:themeColor="text1"/>
          <w:sz w:val="20"/>
          <w:szCs w:val="20"/>
        </w:rPr>
        <w:t>CONTRATOS Y CONVENIOS INTERADMINISTRATIVOS – Modalidad de selección</w:t>
      </w:r>
    </w:p>
    <w:p w14:paraId="35F9738E" w14:textId="77777777" w:rsidR="009E3AC0" w:rsidRPr="00885D10" w:rsidRDefault="009E3AC0">
      <w:pPr>
        <w:spacing w:after="0" w:line="240" w:lineRule="auto"/>
        <w:rPr>
          <w:rFonts w:ascii="Arial" w:eastAsia="Arial" w:hAnsi="Arial" w:cs="Arial"/>
          <w:b/>
          <w:color w:val="000000" w:themeColor="text1"/>
          <w:sz w:val="20"/>
          <w:szCs w:val="20"/>
        </w:rPr>
      </w:pPr>
    </w:p>
    <w:p w14:paraId="3DD2E13B" w14:textId="77777777" w:rsidR="009E3AC0" w:rsidRPr="00885D10" w:rsidRDefault="002B7867">
      <w:pPr>
        <w:spacing w:after="0" w:line="240" w:lineRule="auto"/>
        <w:rPr>
          <w:rFonts w:ascii="Arial" w:eastAsia="Arial" w:hAnsi="Arial" w:cs="Arial"/>
          <w:color w:val="000000" w:themeColor="text1"/>
          <w:sz w:val="20"/>
          <w:szCs w:val="20"/>
        </w:rPr>
      </w:pPr>
      <w:r w:rsidRPr="00885D10">
        <w:rPr>
          <w:rFonts w:ascii="Arial" w:eastAsia="Arial" w:hAnsi="Arial" w:cs="Arial"/>
          <w:color w:val="000000" w:themeColor="text1"/>
          <w:sz w:val="20"/>
          <w:szCs w:val="20"/>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 Nótese que, en este caso, lo que cambia es la modalidad de selección y no la naturaleza de contrato interadministrativo.</w:t>
      </w:r>
    </w:p>
    <w:p w14:paraId="5E177BAF" w14:textId="77777777" w:rsidR="009E3AC0" w:rsidRPr="00885D10" w:rsidRDefault="009E3AC0">
      <w:pPr>
        <w:spacing w:after="0" w:line="240" w:lineRule="auto"/>
        <w:rPr>
          <w:rFonts w:ascii="Arial" w:eastAsia="Arial" w:hAnsi="Arial" w:cs="Arial"/>
          <w:color w:val="000000" w:themeColor="text1"/>
          <w:sz w:val="20"/>
          <w:szCs w:val="20"/>
        </w:rPr>
      </w:pPr>
    </w:p>
    <w:p w14:paraId="71747E5F" w14:textId="77777777" w:rsidR="00DB243F" w:rsidRPr="00885D10" w:rsidRDefault="002B7867" w:rsidP="00DB243F">
      <w:pPr>
        <w:spacing w:after="0" w:line="240" w:lineRule="auto"/>
        <w:rPr>
          <w:rFonts w:ascii="Arial" w:eastAsia="Arial" w:hAnsi="Arial" w:cs="Arial"/>
          <w:b/>
          <w:bCs/>
          <w:color w:val="000000" w:themeColor="text1"/>
          <w:sz w:val="20"/>
          <w:szCs w:val="20"/>
        </w:rPr>
      </w:pPr>
      <w:bookmarkStart w:id="8" w:name="_4d34og8" w:colFirst="0" w:colLast="0"/>
      <w:bookmarkEnd w:id="8"/>
      <w:r w:rsidRPr="00885D10">
        <w:rPr>
          <w:rFonts w:ascii="Arial" w:eastAsia="Arial" w:hAnsi="Arial" w:cs="Arial"/>
          <w:b/>
          <w:color w:val="000000" w:themeColor="text1"/>
          <w:sz w:val="20"/>
          <w:szCs w:val="20"/>
        </w:rPr>
        <w:t xml:space="preserve">LEY DE GARANTÍAS ELECTORALES – Prohibición – </w:t>
      </w:r>
      <w:r w:rsidR="00DB243F" w:rsidRPr="00885D10">
        <w:rPr>
          <w:rFonts w:ascii="Arial" w:eastAsia="Arial" w:hAnsi="Arial" w:cs="Arial"/>
          <w:b/>
          <w:bCs/>
          <w:color w:val="000000" w:themeColor="text1"/>
          <w:sz w:val="20"/>
          <w:szCs w:val="20"/>
        </w:rPr>
        <w:t xml:space="preserve">Prohibición – Parágrafo del artículo 38 – Contrato de </w:t>
      </w:r>
      <w:r w:rsidR="00DB243F">
        <w:rPr>
          <w:rFonts w:ascii="Arial" w:eastAsia="Arial" w:hAnsi="Arial" w:cs="Arial"/>
          <w:b/>
          <w:bCs/>
          <w:color w:val="000000" w:themeColor="text1"/>
          <w:sz w:val="20"/>
          <w:szCs w:val="20"/>
        </w:rPr>
        <w:t>usufructo</w:t>
      </w:r>
    </w:p>
    <w:p w14:paraId="45F0CDF4" w14:textId="1D20F814" w:rsidR="009E3AC0" w:rsidRPr="00885D10" w:rsidRDefault="009E3AC0">
      <w:pPr>
        <w:tabs>
          <w:tab w:val="left" w:pos="426"/>
        </w:tabs>
        <w:spacing w:after="0" w:line="240" w:lineRule="auto"/>
        <w:rPr>
          <w:rFonts w:ascii="Arial" w:eastAsia="Arial" w:hAnsi="Arial" w:cs="Arial"/>
          <w:b/>
          <w:color w:val="000000" w:themeColor="text1"/>
          <w:sz w:val="20"/>
          <w:szCs w:val="20"/>
        </w:rPr>
      </w:pPr>
    </w:p>
    <w:p w14:paraId="4219DA43" w14:textId="77777777" w:rsidR="009E3AC0" w:rsidRPr="00885D10" w:rsidRDefault="009E3AC0">
      <w:pPr>
        <w:spacing w:after="0" w:line="240" w:lineRule="auto"/>
        <w:rPr>
          <w:rFonts w:ascii="Arial" w:eastAsia="Arial" w:hAnsi="Arial" w:cs="Arial"/>
          <w:color w:val="000000" w:themeColor="text1"/>
          <w:sz w:val="20"/>
          <w:szCs w:val="20"/>
        </w:rPr>
      </w:pPr>
    </w:p>
    <w:p w14:paraId="74D72742" w14:textId="0E1C3251" w:rsidR="009E3AC0" w:rsidRPr="00885D10" w:rsidRDefault="002B7867">
      <w:pPr>
        <w:spacing w:after="0" w:line="240" w:lineRule="auto"/>
        <w:rPr>
          <w:rFonts w:ascii="Arial" w:eastAsia="Arial" w:hAnsi="Arial" w:cs="Arial"/>
          <w:color w:val="000000" w:themeColor="text1"/>
          <w:sz w:val="20"/>
          <w:szCs w:val="20"/>
        </w:rPr>
      </w:pPr>
      <w:r w:rsidRPr="00885D10">
        <w:rPr>
          <w:rFonts w:ascii="Arial" w:eastAsia="Arial" w:hAnsi="Arial" w:cs="Arial"/>
          <w:color w:val="000000" w:themeColor="text1"/>
          <w:sz w:val="20"/>
          <w:szCs w:val="20"/>
        </w:rPr>
        <w:t xml:space="preserve">[…] 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que tienen los ciudadanos al acceso y oportuna administración de justicia. </w:t>
      </w:r>
    </w:p>
    <w:p w14:paraId="6AC30FBC" w14:textId="583F95FB" w:rsidR="000605B5" w:rsidRPr="00885D10" w:rsidRDefault="000605B5">
      <w:pPr>
        <w:spacing w:after="0" w:line="240" w:lineRule="auto"/>
        <w:rPr>
          <w:rFonts w:ascii="Arial" w:eastAsia="Arial" w:hAnsi="Arial" w:cs="Arial"/>
          <w:color w:val="000000" w:themeColor="text1"/>
          <w:sz w:val="20"/>
          <w:szCs w:val="20"/>
        </w:rPr>
      </w:pPr>
    </w:p>
    <w:p w14:paraId="1A69B399" w14:textId="2558B9DD" w:rsidR="000605B5" w:rsidRPr="00885D10" w:rsidRDefault="000605B5">
      <w:pPr>
        <w:spacing w:after="0" w:line="240" w:lineRule="auto"/>
        <w:rPr>
          <w:rFonts w:ascii="Arial" w:eastAsia="Arial" w:hAnsi="Arial" w:cs="Arial"/>
          <w:b/>
          <w:bCs/>
          <w:color w:val="000000" w:themeColor="text1"/>
          <w:sz w:val="20"/>
          <w:szCs w:val="20"/>
        </w:rPr>
      </w:pPr>
      <w:r w:rsidRPr="00885D10">
        <w:rPr>
          <w:rFonts w:ascii="Arial" w:eastAsia="Arial" w:hAnsi="Arial" w:cs="Arial"/>
          <w:b/>
          <w:bCs/>
          <w:color w:val="000000" w:themeColor="text1"/>
          <w:sz w:val="20"/>
          <w:szCs w:val="20"/>
        </w:rPr>
        <w:t>LEY DE GARANTÍAS ELECTORALES – Prohibición</w:t>
      </w:r>
      <w:r w:rsidR="00120B13" w:rsidRPr="00885D10">
        <w:rPr>
          <w:rFonts w:ascii="Arial" w:eastAsia="Arial" w:hAnsi="Arial" w:cs="Arial"/>
          <w:b/>
          <w:bCs/>
          <w:color w:val="000000" w:themeColor="text1"/>
          <w:sz w:val="20"/>
          <w:szCs w:val="20"/>
        </w:rPr>
        <w:t xml:space="preserve"> – </w:t>
      </w:r>
      <w:r w:rsidRPr="00885D10">
        <w:rPr>
          <w:rFonts w:ascii="Arial" w:eastAsia="Arial" w:hAnsi="Arial" w:cs="Arial"/>
          <w:b/>
          <w:bCs/>
          <w:color w:val="000000" w:themeColor="text1"/>
          <w:sz w:val="20"/>
          <w:szCs w:val="20"/>
        </w:rPr>
        <w:t xml:space="preserve">Parágrafo del artículo 38 – Contrato de </w:t>
      </w:r>
      <w:r w:rsidR="00885D10">
        <w:rPr>
          <w:rFonts w:ascii="Arial" w:eastAsia="Arial" w:hAnsi="Arial" w:cs="Arial"/>
          <w:b/>
          <w:bCs/>
          <w:color w:val="000000" w:themeColor="text1"/>
          <w:sz w:val="20"/>
          <w:szCs w:val="20"/>
        </w:rPr>
        <w:t>usufructo</w:t>
      </w:r>
    </w:p>
    <w:p w14:paraId="05A2581C" w14:textId="401ADDCC" w:rsidR="000605B5" w:rsidRPr="00885D10" w:rsidRDefault="000605B5" w:rsidP="000605B5">
      <w:pPr>
        <w:spacing w:after="0" w:line="240" w:lineRule="auto"/>
        <w:rPr>
          <w:rFonts w:ascii="Arial" w:eastAsia="Arial" w:hAnsi="Arial" w:cs="Arial"/>
          <w:color w:val="000000" w:themeColor="text1"/>
          <w:sz w:val="20"/>
          <w:szCs w:val="20"/>
        </w:rPr>
      </w:pPr>
    </w:p>
    <w:p w14:paraId="7D0A16E5" w14:textId="6B49F24E" w:rsidR="009E3AC0" w:rsidRPr="00885D10" w:rsidRDefault="000605B5" w:rsidP="00885D10">
      <w:pPr>
        <w:pBdr>
          <w:top w:val="nil"/>
          <w:left w:val="nil"/>
          <w:bottom w:val="nil"/>
          <w:right w:val="nil"/>
          <w:between w:val="nil"/>
        </w:pBdr>
        <w:spacing w:after="0" w:line="240" w:lineRule="auto"/>
        <w:ind w:right="102"/>
        <w:rPr>
          <w:rFonts w:ascii="Arial" w:eastAsia="Arial" w:hAnsi="Arial" w:cs="Arial"/>
          <w:color w:val="000000" w:themeColor="text1"/>
          <w:sz w:val="20"/>
          <w:szCs w:val="20"/>
        </w:rPr>
      </w:pPr>
      <w:r w:rsidRPr="00885D10">
        <w:rPr>
          <w:rFonts w:ascii="Arial" w:eastAsia="Arial" w:hAnsi="Arial" w:cs="Arial"/>
          <w:color w:val="000000" w:themeColor="text1"/>
          <w:sz w:val="20"/>
          <w:szCs w:val="20"/>
        </w:rPr>
        <w:t xml:space="preserve">[…] </w:t>
      </w:r>
      <w:r w:rsidR="00885D10" w:rsidRPr="00885D10">
        <w:rPr>
          <w:rFonts w:ascii="Arial" w:eastAsia="Arial" w:hAnsi="Arial" w:cs="Arial"/>
          <w:color w:val="000000" w:themeColor="text1"/>
          <w:sz w:val="20"/>
          <w:szCs w:val="20"/>
        </w:rPr>
        <w:t xml:space="preserve">las entidades pueden afectar sus bienes inmuebles mediante la celebración de un contrato dirigido a la constitución del derecho real de usufructo, pero en la forma establecida en la norma, y de esta forma harían parte del concepto de ejecución de recursos públicos de que trata el parágrafo del artículo 38 de la Ley 996 de 2005. En los términos anteriores, atendiendo a la pregunta del peticionario, siempre que se cumplan con los presupuestos de la prohibición del parágrafo del artículo 38, independientemente del objeto contractual que se celebre, sea que se dirija a celebrar un contrato para la constitución de un derecho real de usufructo de un inmueble del Estado se incurrirá en la prohibición, bajo el entendimiento de que en dichos contratos también se podrían ejecutar recursos públicos. Lo anterior siempre que se trate de un contrato o convenio interadministrativo, que sea celebrado entre entidades públicas y cuando alguna de ellas sea de las </w:t>
      </w:r>
      <w:r w:rsidR="00885D10" w:rsidRPr="00885D10">
        <w:rPr>
          <w:rFonts w:ascii="Arial" w:eastAsia="Arial" w:hAnsi="Arial" w:cs="Arial"/>
          <w:color w:val="000000" w:themeColor="text1"/>
          <w:sz w:val="20"/>
          <w:szCs w:val="20"/>
        </w:rPr>
        <w:lastRenderedPageBreak/>
        <w:t>enlistadas en el parágrafo del artículo 38, aspectos que se desarrollaron de forma precisa anteriormente.</w:t>
      </w:r>
    </w:p>
    <w:p w14:paraId="2DFBE68F" w14:textId="30E2FCBD" w:rsidR="009E3AC0" w:rsidRDefault="009E3AC0">
      <w:pPr>
        <w:shd w:val="clear" w:color="auto" w:fill="FFFFFF"/>
        <w:spacing w:after="0" w:line="240" w:lineRule="auto"/>
        <w:rPr>
          <w:rFonts w:ascii="Arial" w:eastAsia="Arial" w:hAnsi="Arial" w:cs="Arial"/>
          <w:b/>
          <w:color w:val="000000" w:themeColor="text1"/>
          <w:sz w:val="20"/>
          <w:szCs w:val="20"/>
        </w:rPr>
      </w:pPr>
    </w:p>
    <w:p w14:paraId="0F06AFD0" w14:textId="77777777" w:rsidR="00885D10" w:rsidRPr="00885D10" w:rsidRDefault="00885D10">
      <w:pPr>
        <w:shd w:val="clear" w:color="auto" w:fill="FFFFFF"/>
        <w:spacing w:after="0" w:line="240" w:lineRule="auto"/>
        <w:rPr>
          <w:rFonts w:ascii="Arial" w:eastAsia="Arial" w:hAnsi="Arial" w:cs="Arial"/>
          <w:color w:val="000000" w:themeColor="text1"/>
          <w:sz w:val="20"/>
          <w:szCs w:val="20"/>
        </w:rPr>
      </w:pPr>
    </w:p>
    <w:p w14:paraId="31BAA0A6" w14:textId="77777777" w:rsidR="009E3AC0" w:rsidRPr="00885D10" w:rsidRDefault="009E3AC0">
      <w:pPr>
        <w:shd w:val="clear" w:color="auto" w:fill="FFFFFF"/>
        <w:spacing w:after="0"/>
        <w:rPr>
          <w:rFonts w:ascii="Arial" w:eastAsia="Arial" w:hAnsi="Arial" w:cs="Arial"/>
          <w:b/>
          <w:color w:val="000000" w:themeColor="text1"/>
          <w:sz w:val="22"/>
          <w:szCs w:val="22"/>
        </w:rPr>
      </w:pPr>
    </w:p>
    <w:p w14:paraId="5FB1D127" w14:textId="77777777" w:rsidR="009E3AC0" w:rsidRPr="00885D10" w:rsidRDefault="002B7867">
      <w:pPr>
        <w:rPr>
          <w:rFonts w:ascii="Arial" w:eastAsia="Arial" w:hAnsi="Arial" w:cs="Arial"/>
          <w:b/>
          <w:color w:val="000000" w:themeColor="text1"/>
          <w:sz w:val="22"/>
          <w:szCs w:val="22"/>
        </w:rPr>
      </w:pPr>
      <w:r w:rsidRPr="00885D10">
        <w:rPr>
          <w:color w:val="000000" w:themeColor="text1"/>
        </w:rPr>
        <w:br w:type="page"/>
      </w:r>
    </w:p>
    <w:p w14:paraId="43B19EA2" w14:textId="7DB41B08" w:rsidR="009E3AC0" w:rsidRPr="00885D10" w:rsidRDefault="00885D10" w:rsidP="00885D10">
      <w:pPr>
        <w:spacing w:after="0"/>
        <w:jc w:val="right"/>
        <w:rPr>
          <w:rFonts w:ascii="Arial" w:eastAsia="Arial" w:hAnsi="Arial" w:cs="Arial"/>
          <w:b/>
          <w:color w:val="000000" w:themeColor="text1"/>
          <w:sz w:val="22"/>
          <w:szCs w:val="22"/>
        </w:rPr>
      </w:pPr>
      <w:r w:rsidRPr="00885D10">
        <w:rPr>
          <w:noProof/>
        </w:rPr>
        <w:lastRenderedPageBreak/>
        <w:drawing>
          <wp:inline distT="0" distB="0" distL="0" distR="0" wp14:anchorId="017DED83" wp14:editId="570D587C">
            <wp:extent cx="2438400" cy="657225"/>
            <wp:effectExtent l="0" t="0" r="0" b="9525"/>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pic:nvPicPr>
                  <pic:blipFill>
                    <a:blip r:embed="rId7"/>
                    <a:stretch>
                      <a:fillRect/>
                    </a:stretch>
                  </pic:blipFill>
                  <pic:spPr>
                    <a:xfrm>
                      <a:off x="0" y="0"/>
                      <a:ext cx="2438400" cy="657225"/>
                    </a:xfrm>
                    <a:prstGeom prst="rect">
                      <a:avLst/>
                    </a:prstGeom>
                  </pic:spPr>
                </pic:pic>
              </a:graphicData>
            </a:graphic>
          </wp:inline>
        </w:drawing>
      </w:r>
    </w:p>
    <w:p w14:paraId="101F820C" w14:textId="77777777" w:rsidR="009E3AC0" w:rsidRPr="00885D10" w:rsidRDefault="002B7867">
      <w:pPr>
        <w:spacing w:after="0"/>
        <w:jc w:val="right"/>
        <w:rPr>
          <w:rFonts w:ascii="Arial" w:eastAsia="Arial" w:hAnsi="Arial" w:cs="Arial"/>
          <w:b/>
          <w:color w:val="000000" w:themeColor="text1"/>
          <w:sz w:val="20"/>
          <w:szCs w:val="20"/>
        </w:rPr>
      </w:pPr>
      <w:bookmarkStart w:id="9" w:name="_2s8eyo1" w:colFirst="0" w:colLast="0"/>
      <w:bookmarkEnd w:id="9"/>
      <w:r w:rsidRPr="00885D10">
        <w:rPr>
          <w:rFonts w:ascii="Arial" w:eastAsia="Arial" w:hAnsi="Arial" w:cs="Arial"/>
          <w:b/>
          <w:color w:val="000000" w:themeColor="text1"/>
          <w:sz w:val="20"/>
          <w:szCs w:val="20"/>
        </w:rPr>
        <w:t>CCE-DES-FM-17</w:t>
      </w:r>
    </w:p>
    <w:p w14:paraId="23CCCDFE" w14:textId="77777777" w:rsidR="009E3AC0" w:rsidRPr="00885D10" w:rsidRDefault="009E3AC0">
      <w:pPr>
        <w:tabs>
          <w:tab w:val="left" w:pos="3374"/>
        </w:tabs>
        <w:spacing w:after="0"/>
        <w:rPr>
          <w:rFonts w:ascii="Arial" w:eastAsia="Arial" w:hAnsi="Arial" w:cs="Arial"/>
          <w:color w:val="000000" w:themeColor="text1"/>
          <w:sz w:val="22"/>
          <w:szCs w:val="22"/>
        </w:rPr>
      </w:pPr>
    </w:p>
    <w:p w14:paraId="4B6CB87C" w14:textId="0C6B1C02" w:rsidR="009E3AC0" w:rsidRPr="00885D10" w:rsidRDefault="002B7867">
      <w:pPr>
        <w:tabs>
          <w:tab w:val="left" w:pos="3374"/>
        </w:tabs>
        <w:spacing w:after="0"/>
        <w:rPr>
          <w:rFonts w:ascii="Arial" w:eastAsia="Arial" w:hAnsi="Arial" w:cs="Arial"/>
          <w:color w:val="000000" w:themeColor="text1"/>
          <w:sz w:val="22"/>
          <w:szCs w:val="22"/>
        </w:rPr>
      </w:pPr>
      <w:r w:rsidRPr="00885D10">
        <w:rPr>
          <w:rFonts w:ascii="Arial" w:eastAsia="Arial" w:hAnsi="Arial" w:cs="Arial"/>
          <w:color w:val="000000" w:themeColor="text1"/>
          <w:sz w:val="22"/>
          <w:szCs w:val="22"/>
        </w:rPr>
        <w:t xml:space="preserve">Bogotá D.C., </w:t>
      </w:r>
      <w:r w:rsidR="00885D10" w:rsidRPr="00885D10">
        <w:rPr>
          <w:rFonts w:ascii="Arial" w:eastAsia="Arial" w:hAnsi="Arial" w:cs="Arial"/>
          <w:color w:val="000000" w:themeColor="text1"/>
          <w:sz w:val="22"/>
          <w:szCs w:val="22"/>
        </w:rPr>
        <w:t>4 Marzo 2022</w:t>
      </w:r>
    </w:p>
    <w:p w14:paraId="24EE5354" w14:textId="77777777" w:rsidR="009E3AC0" w:rsidRPr="00885D10" w:rsidRDefault="009E3AC0">
      <w:pPr>
        <w:spacing w:after="0"/>
        <w:rPr>
          <w:rFonts w:ascii="Arial" w:eastAsia="Arial" w:hAnsi="Arial" w:cs="Arial"/>
          <w:color w:val="000000" w:themeColor="text1"/>
          <w:sz w:val="22"/>
          <w:szCs w:val="22"/>
        </w:rPr>
      </w:pPr>
    </w:p>
    <w:p w14:paraId="65FF85AB" w14:textId="77777777" w:rsidR="009E3AC0" w:rsidRPr="00885D10" w:rsidRDefault="009E3AC0">
      <w:pPr>
        <w:spacing w:after="0"/>
        <w:rPr>
          <w:rFonts w:ascii="Arial" w:eastAsia="Arial" w:hAnsi="Arial" w:cs="Arial"/>
          <w:color w:val="000000" w:themeColor="text1"/>
          <w:sz w:val="22"/>
          <w:szCs w:val="22"/>
        </w:rPr>
      </w:pPr>
    </w:p>
    <w:p w14:paraId="16B7EE41" w14:textId="0328AB56" w:rsidR="009E3AC0" w:rsidRPr="00885D10" w:rsidRDefault="002B7867">
      <w:pPr>
        <w:spacing w:after="0"/>
        <w:rPr>
          <w:rFonts w:ascii="Arial" w:eastAsia="Arial" w:hAnsi="Arial" w:cs="Arial"/>
          <w:color w:val="000000" w:themeColor="text1"/>
          <w:sz w:val="22"/>
          <w:szCs w:val="22"/>
        </w:rPr>
      </w:pPr>
      <w:r w:rsidRPr="00885D10">
        <w:rPr>
          <w:rFonts w:ascii="Arial" w:eastAsia="Arial" w:hAnsi="Arial" w:cs="Arial"/>
          <w:color w:val="000000" w:themeColor="text1"/>
          <w:sz w:val="22"/>
          <w:szCs w:val="22"/>
        </w:rPr>
        <w:t>Señor</w:t>
      </w:r>
    </w:p>
    <w:p w14:paraId="187426AD" w14:textId="73E1D328" w:rsidR="0047385A" w:rsidRPr="00885D10" w:rsidRDefault="0047385A">
      <w:pPr>
        <w:spacing w:after="0"/>
        <w:rPr>
          <w:rFonts w:ascii="Arial" w:eastAsia="Arial" w:hAnsi="Arial" w:cs="Arial"/>
          <w:b/>
          <w:color w:val="000000" w:themeColor="text1"/>
          <w:sz w:val="22"/>
          <w:szCs w:val="22"/>
        </w:rPr>
      </w:pPr>
      <w:r w:rsidRPr="00885D10">
        <w:rPr>
          <w:rFonts w:ascii="Arial" w:eastAsia="Arial" w:hAnsi="Arial" w:cs="Arial"/>
          <w:b/>
          <w:color w:val="000000" w:themeColor="text1"/>
          <w:sz w:val="22"/>
          <w:szCs w:val="22"/>
        </w:rPr>
        <w:t>David Andrés Ospina Saldarriaga</w:t>
      </w:r>
    </w:p>
    <w:p w14:paraId="7C115885" w14:textId="1A486B52" w:rsidR="009E3AC0" w:rsidRPr="00885D10" w:rsidRDefault="0047385A">
      <w:pPr>
        <w:spacing w:after="0"/>
        <w:rPr>
          <w:rFonts w:ascii="Arial" w:eastAsia="Arial" w:hAnsi="Arial" w:cs="Arial"/>
          <w:color w:val="000000" w:themeColor="text1"/>
          <w:sz w:val="22"/>
          <w:szCs w:val="22"/>
        </w:rPr>
      </w:pPr>
      <w:r w:rsidRPr="00885D10">
        <w:rPr>
          <w:rFonts w:ascii="Arial" w:eastAsia="Arial" w:hAnsi="Arial" w:cs="Arial"/>
          <w:color w:val="000000" w:themeColor="text1"/>
          <w:sz w:val="22"/>
          <w:szCs w:val="22"/>
        </w:rPr>
        <w:t xml:space="preserve">Medellín, Antioquia </w:t>
      </w:r>
    </w:p>
    <w:p w14:paraId="407DF1E8" w14:textId="77777777" w:rsidR="009E3AC0" w:rsidRPr="00885D10" w:rsidRDefault="009E3AC0">
      <w:pPr>
        <w:spacing w:after="0"/>
        <w:rPr>
          <w:rFonts w:ascii="Arial" w:eastAsia="Arial" w:hAnsi="Arial" w:cs="Arial"/>
          <w:color w:val="000000" w:themeColor="text1"/>
          <w:sz w:val="22"/>
          <w:szCs w:val="22"/>
        </w:rPr>
      </w:pPr>
    </w:p>
    <w:p w14:paraId="3AB63A68" w14:textId="77777777" w:rsidR="009E3AC0" w:rsidRPr="00885D10" w:rsidRDefault="009E3AC0">
      <w:pPr>
        <w:spacing w:after="0"/>
        <w:rPr>
          <w:rFonts w:ascii="Arial" w:eastAsia="Arial" w:hAnsi="Arial" w:cs="Arial"/>
          <w:color w:val="000000" w:themeColor="text1"/>
          <w:sz w:val="22"/>
          <w:szCs w:val="22"/>
        </w:rPr>
      </w:pPr>
    </w:p>
    <w:p w14:paraId="7BEB7B8C" w14:textId="3BD9D106" w:rsidR="009E3AC0" w:rsidRPr="00885D10" w:rsidRDefault="002B7867">
      <w:pPr>
        <w:spacing w:after="0"/>
        <w:rPr>
          <w:rFonts w:ascii="Arial" w:eastAsia="Arial" w:hAnsi="Arial" w:cs="Arial"/>
          <w:color w:val="000000" w:themeColor="text1"/>
          <w:sz w:val="22"/>
          <w:szCs w:val="22"/>
        </w:rPr>
      </w:pPr>
      <w:r w:rsidRPr="00885D10">
        <w:rPr>
          <w:rFonts w:ascii="Arial" w:eastAsia="Arial" w:hAnsi="Arial" w:cs="Arial"/>
          <w:color w:val="000000" w:themeColor="text1"/>
          <w:sz w:val="22"/>
          <w:szCs w:val="22"/>
        </w:rPr>
        <w:t xml:space="preserve">                                            </w:t>
      </w:r>
      <w:r w:rsidRPr="00885D10">
        <w:rPr>
          <w:rFonts w:ascii="Arial" w:eastAsia="Arial" w:hAnsi="Arial" w:cs="Arial"/>
          <w:b/>
          <w:color w:val="000000" w:themeColor="text1"/>
          <w:sz w:val="22"/>
          <w:szCs w:val="22"/>
        </w:rPr>
        <w:t>Concepto C –</w:t>
      </w:r>
      <w:r w:rsidR="00015E0F" w:rsidRPr="00885D10">
        <w:rPr>
          <w:rFonts w:ascii="Arial" w:eastAsia="Arial" w:hAnsi="Arial" w:cs="Arial"/>
          <w:b/>
          <w:color w:val="000000" w:themeColor="text1"/>
          <w:sz w:val="22"/>
          <w:szCs w:val="22"/>
        </w:rPr>
        <w:t xml:space="preserve"> </w:t>
      </w:r>
      <w:r w:rsidR="0047385A" w:rsidRPr="00885D10">
        <w:rPr>
          <w:rFonts w:ascii="Arial" w:eastAsia="Arial" w:hAnsi="Arial" w:cs="Arial"/>
          <w:b/>
          <w:color w:val="000000" w:themeColor="text1"/>
          <w:sz w:val="22"/>
          <w:szCs w:val="22"/>
        </w:rPr>
        <w:t>042</w:t>
      </w:r>
      <w:r w:rsidRPr="00885D10">
        <w:rPr>
          <w:rFonts w:ascii="Arial" w:eastAsia="Arial" w:hAnsi="Arial" w:cs="Arial"/>
          <w:b/>
          <w:color w:val="000000" w:themeColor="text1"/>
          <w:sz w:val="22"/>
          <w:szCs w:val="22"/>
        </w:rPr>
        <w:t xml:space="preserve"> de 2022</w:t>
      </w:r>
      <w:r w:rsidRPr="00885D10">
        <w:rPr>
          <w:rFonts w:ascii="Arial" w:eastAsia="Arial" w:hAnsi="Arial" w:cs="Arial"/>
          <w:color w:val="000000" w:themeColor="text1"/>
          <w:sz w:val="22"/>
          <w:szCs w:val="22"/>
        </w:rPr>
        <w:t xml:space="preserve"> </w:t>
      </w:r>
    </w:p>
    <w:p w14:paraId="13EFACE9" w14:textId="77777777" w:rsidR="009E3AC0" w:rsidRPr="00885D10" w:rsidRDefault="009E3AC0">
      <w:pPr>
        <w:spacing w:after="0"/>
        <w:rPr>
          <w:rFonts w:ascii="Arial" w:eastAsia="Arial" w:hAnsi="Arial" w:cs="Arial"/>
          <w:b/>
          <w:color w:val="000000" w:themeColor="text1"/>
          <w:sz w:val="22"/>
          <w:szCs w:val="22"/>
        </w:rPr>
      </w:pPr>
    </w:p>
    <w:tbl>
      <w:tblPr>
        <w:tblStyle w:val="a"/>
        <w:tblW w:w="892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89"/>
        <w:gridCol w:w="6237"/>
      </w:tblGrid>
      <w:tr w:rsidR="000605B5" w:rsidRPr="00885D10" w14:paraId="2CC8CC28" w14:textId="77777777">
        <w:trPr>
          <w:trHeight w:val="1038"/>
        </w:trPr>
        <w:tc>
          <w:tcPr>
            <w:tcW w:w="2689" w:type="dxa"/>
          </w:tcPr>
          <w:p w14:paraId="6CC934A4" w14:textId="77777777" w:rsidR="009E3AC0" w:rsidRPr="00885D10" w:rsidRDefault="002B7867">
            <w:pPr>
              <w:spacing w:line="276" w:lineRule="auto"/>
              <w:rPr>
                <w:rFonts w:ascii="Arial" w:eastAsia="Arial" w:hAnsi="Arial" w:cs="Arial"/>
                <w:color w:val="000000" w:themeColor="text1"/>
              </w:rPr>
            </w:pPr>
            <w:r w:rsidRPr="00885D10">
              <w:rPr>
                <w:rFonts w:ascii="Arial" w:eastAsia="Arial" w:hAnsi="Arial" w:cs="Arial"/>
                <w:b/>
                <w:color w:val="000000" w:themeColor="text1"/>
              </w:rPr>
              <w:t>Temas:</w:t>
            </w:r>
            <w:r w:rsidRPr="00885D10">
              <w:rPr>
                <w:rFonts w:ascii="Arial" w:eastAsia="Arial" w:hAnsi="Arial" w:cs="Arial"/>
                <w:color w:val="000000" w:themeColor="text1"/>
              </w:rPr>
              <w:t xml:space="preserve">        </w:t>
            </w:r>
          </w:p>
        </w:tc>
        <w:tc>
          <w:tcPr>
            <w:tcW w:w="6237" w:type="dxa"/>
          </w:tcPr>
          <w:p w14:paraId="6E78D679" w14:textId="7CEAFC57" w:rsidR="009E3AC0" w:rsidRPr="00885D10" w:rsidRDefault="002B7867" w:rsidP="00885D10">
            <w:pPr>
              <w:rPr>
                <w:rFonts w:ascii="Arial" w:eastAsia="Arial" w:hAnsi="Arial" w:cs="Arial"/>
                <w:b/>
                <w:bCs/>
                <w:color w:val="000000" w:themeColor="text1"/>
                <w:sz w:val="20"/>
                <w:szCs w:val="20"/>
              </w:rPr>
            </w:pPr>
            <w:r w:rsidRPr="00885D10">
              <w:rPr>
                <w:rFonts w:ascii="Arial" w:eastAsia="Arial" w:hAnsi="Arial" w:cs="Arial"/>
                <w:color w:val="000000" w:themeColor="text1"/>
                <w:sz w:val="22"/>
                <w:szCs w:val="22"/>
              </w:rPr>
              <w:t xml:space="preserve">LEY DE GARANTÍAS ELECTORALES – Finalidad / LEY DE GARANTÍAS ELECTORALES ‒ Tipos de restricciones ‒ Ámbito temporal / LEY DE GARANTÍAS ELECTORALES ─ Prohibición ‒ Contratación directa ‒ Alcance / LEY DE GARANTÍAS ELECTORALES ‒ Excepciones  LEY DE GARANTÍAS ELECTORALES ‒ Prohibición comicios cargos de elección popular – Convenios y contratos interadministrativos / CONTRATOS Y CONVENIOS INTERADMINISTRATIVOS – Definición – Criterio orgánico / CONTRATOS Y CONVENIOS INTERADMINISTRATIVOS – Entidades con régimen especial de contratación – Procedencia / CONTRATOS Y CONVENIOS INTERADMINISTRATIVOS – Modalidad de selección / LEY DE GARANTÍAS ELECTORALES – Prohibición – Celebración convenios o contratos interadministrativos – Orden judicial </w:t>
            </w:r>
            <w:r w:rsidR="00885D10" w:rsidRPr="00885D10">
              <w:rPr>
                <w:rFonts w:ascii="Arial" w:eastAsia="Arial" w:hAnsi="Arial" w:cs="Arial"/>
                <w:color w:val="000000" w:themeColor="text1"/>
                <w:sz w:val="22"/>
                <w:szCs w:val="22"/>
              </w:rPr>
              <w:t>/</w:t>
            </w:r>
            <w:r w:rsidR="00885D10" w:rsidRPr="00885D10">
              <w:rPr>
                <w:rFonts w:ascii="Arial" w:eastAsia="Arial" w:hAnsi="Arial" w:cs="Arial"/>
                <w:color w:val="000000" w:themeColor="text1"/>
                <w:sz w:val="20"/>
                <w:szCs w:val="20"/>
              </w:rPr>
              <w:t xml:space="preserve"> </w:t>
            </w:r>
            <w:r w:rsidR="00885D10" w:rsidRPr="00885D10">
              <w:rPr>
                <w:rFonts w:ascii="Arial" w:eastAsia="Arial" w:hAnsi="Arial" w:cs="Arial"/>
                <w:color w:val="000000" w:themeColor="text1"/>
                <w:sz w:val="20"/>
                <w:szCs w:val="20"/>
              </w:rPr>
              <w:t>LEY DE GARANTÍAS ELECTORALES – Prohibición – Parágrafo del artículo 38 – Contrato de usufructo</w:t>
            </w:r>
            <w:r w:rsidR="00885D10" w:rsidRPr="00885D10">
              <w:rPr>
                <w:rFonts w:ascii="Arial" w:eastAsia="Arial" w:hAnsi="Arial" w:cs="Arial"/>
                <w:color w:val="000000" w:themeColor="text1"/>
                <w:sz w:val="20"/>
                <w:szCs w:val="20"/>
              </w:rPr>
              <w:t>/</w:t>
            </w:r>
          </w:p>
        </w:tc>
      </w:tr>
      <w:tr w:rsidR="000605B5" w:rsidRPr="00885D10" w14:paraId="626CFE43" w14:textId="77777777">
        <w:tc>
          <w:tcPr>
            <w:tcW w:w="2689" w:type="dxa"/>
          </w:tcPr>
          <w:p w14:paraId="2E4CD919" w14:textId="77777777" w:rsidR="009E3AC0" w:rsidRPr="00885D10" w:rsidRDefault="002B7867">
            <w:pPr>
              <w:spacing w:line="276" w:lineRule="auto"/>
              <w:rPr>
                <w:rFonts w:ascii="Arial" w:eastAsia="Arial" w:hAnsi="Arial" w:cs="Arial"/>
                <w:b/>
                <w:color w:val="000000" w:themeColor="text1"/>
                <w:sz w:val="22"/>
                <w:szCs w:val="22"/>
              </w:rPr>
            </w:pPr>
            <w:r w:rsidRPr="00885D10">
              <w:rPr>
                <w:rFonts w:ascii="Arial" w:eastAsia="Arial" w:hAnsi="Arial" w:cs="Arial"/>
                <w:b/>
                <w:color w:val="000000" w:themeColor="text1"/>
                <w:sz w:val="22"/>
                <w:szCs w:val="22"/>
              </w:rPr>
              <w:t>Radicación:</w:t>
            </w:r>
            <w:r w:rsidRPr="00885D10">
              <w:rPr>
                <w:rFonts w:ascii="Arial" w:eastAsia="Arial" w:hAnsi="Arial" w:cs="Arial"/>
                <w:color w:val="000000" w:themeColor="text1"/>
                <w:sz w:val="22"/>
                <w:szCs w:val="22"/>
              </w:rPr>
              <w:t xml:space="preserve">                              </w:t>
            </w:r>
          </w:p>
        </w:tc>
        <w:tc>
          <w:tcPr>
            <w:tcW w:w="6237" w:type="dxa"/>
          </w:tcPr>
          <w:p w14:paraId="55316142" w14:textId="74D5D414" w:rsidR="009E3AC0" w:rsidRPr="00885D10" w:rsidRDefault="002B7867">
            <w:pPr>
              <w:spacing w:line="276" w:lineRule="auto"/>
              <w:jc w:val="both"/>
              <w:rPr>
                <w:rFonts w:ascii="Arial" w:eastAsia="Arial" w:hAnsi="Arial" w:cs="Arial"/>
                <w:color w:val="000000" w:themeColor="text1"/>
                <w:sz w:val="22"/>
                <w:szCs w:val="22"/>
              </w:rPr>
            </w:pPr>
            <w:r w:rsidRPr="00885D10">
              <w:rPr>
                <w:rFonts w:ascii="Arial" w:eastAsia="Arial" w:hAnsi="Arial" w:cs="Arial"/>
                <w:color w:val="000000" w:themeColor="text1"/>
                <w:sz w:val="22"/>
                <w:szCs w:val="22"/>
              </w:rPr>
              <w:t xml:space="preserve">Respuesta a consulta </w:t>
            </w:r>
            <w:r w:rsidR="00036243" w:rsidRPr="00885D10">
              <w:rPr>
                <w:rFonts w:ascii="Arial" w:eastAsia="Arial" w:hAnsi="Arial" w:cs="Arial"/>
                <w:color w:val="000000" w:themeColor="text1"/>
                <w:sz w:val="22"/>
                <w:szCs w:val="22"/>
              </w:rPr>
              <w:t>P20220120000431</w:t>
            </w:r>
          </w:p>
        </w:tc>
      </w:tr>
    </w:tbl>
    <w:p w14:paraId="19393A15" w14:textId="0C99CBB6" w:rsidR="004C5A89" w:rsidRPr="00885D10" w:rsidRDefault="004C5A89" w:rsidP="004C5A89">
      <w:pPr>
        <w:spacing w:after="0" w:line="240" w:lineRule="auto"/>
        <w:rPr>
          <w:rFonts w:eastAsia="Times New Roman"/>
          <w:color w:val="000000" w:themeColor="text1"/>
          <w:sz w:val="22"/>
          <w:szCs w:val="22"/>
          <w:lang w:val="es-CO"/>
        </w:rPr>
      </w:pPr>
    </w:p>
    <w:p w14:paraId="1A27CEF2" w14:textId="77777777" w:rsidR="009E3AC0" w:rsidRPr="00885D10" w:rsidRDefault="009E3AC0">
      <w:pPr>
        <w:spacing w:after="0"/>
        <w:rPr>
          <w:rFonts w:ascii="Arial" w:eastAsia="Arial" w:hAnsi="Arial" w:cs="Arial"/>
          <w:color w:val="000000" w:themeColor="text1"/>
          <w:sz w:val="22"/>
          <w:szCs w:val="22"/>
        </w:rPr>
      </w:pPr>
    </w:p>
    <w:p w14:paraId="043AD303" w14:textId="258EB8BA" w:rsidR="009E3AC0" w:rsidRPr="00885D10" w:rsidRDefault="002B7867">
      <w:pPr>
        <w:spacing w:after="0"/>
        <w:rPr>
          <w:rFonts w:ascii="Arial" w:eastAsia="Arial" w:hAnsi="Arial" w:cs="Arial"/>
          <w:color w:val="000000" w:themeColor="text1"/>
          <w:sz w:val="22"/>
          <w:szCs w:val="22"/>
        </w:rPr>
      </w:pPr>
      <w:r w:rsidRPr="00885D10">
        <w:rPr>
          <w:rFonts w:ascii="Arial" w:eastAsia="Arial" w:hAnsi="Arial" w:cs="Arial"/>
          <w:color w:val="000000" w:themeColor="text1"/>
          <w:sz w:val="22"/>
          <w:szCs w:val="22"/>
        </w:rPr>
        <w:t>Estimad</w:t>
      </w:r>
      <w:r w:rsidR="004C5A89" w:rsidRPr="00885D10">
        <w:rPr>
          <w:rFonts w:ascii="Arial" w:eastAsia="Arial" w:hAnsi="Arial" w:cs="Arial"/>
          <w:color w:val="000000" w:themeColor="text1"/>
          <w:sz w:val="22"/>
          <w:szCs w:val="22"/>
        </w:rPr>
        <w:t>o</w:t>
      </w:r>
      <w:r w:rsidRPr="00885D10">
        <w:rPr>
          <w:rFonts w:ascii="Arial" w:eastAsia="Arial" w:hAnsi="Arial" w:cs="Arial"/>
          <w:color w:val="000000" w:themeColor="text1"/>
          <w:sz w:val="22"/>
          <w:szCs w:val="22"/>
        </w:rPr>
        <w:t xml:space="preserve"> señor </w:t>
      </w:r>
      <w:r w:rsidR="00036243" w:rsidRPr="00885D10">
        <w:rPr>
          <w:rFonts w:ascii="Arial" w:eastAsia="Arial" w:hAnsi="Arial" w:cs="Arial"/>
          <w:color w:val="000000" w:themeColor="text1"/>
          <w:sz w:val="22"/>
          <w:szCs w:val="22"/>
        </w:rPr>
        <w:t>Ospina</w:t>
      </w:r>
      <w:r w:rsidRPr="00885D10">
        <w:rPr>
          <w:rFonts w:ascii="Arial" w:eastAsia="Arial" w:hAnsi="Arial" w:cs="Arial"/>
          <w:color w:val="000000" w:themeColor="text1"/>
          <w:sz w:val="22"/>
          <w:szCs w:val="22"/>
        </w:rPr>
        <w:t>:</w:t>
      </w:r>
    </w:p>
    <w:p w14:paraId="5FBDDD4D" w14:textId="77777777" w:rsidR="009E3AC0" w:rsidRPr="00885D10" w:rsidRDefault="009E3AC0">
      <w:pPr>
        <w:spacing w:after="0"/>
        <w:ind w:firstLine="709"/>
        <w:rPr>
          <w:rFonts w:ascii="Arial" w:eastAsia="Arial" w:hAnsi="Arial" w:cs="Arial"/>
          <w:color w:val="000000" w:themeColor="text1"/>
          <w:sz w:val="22"/>
          <w:szCs w:val="22"/>
        </w:rPr>
      </w:pPr>
    </w:p>
    <w:p w14:paraId="11DFAA31" w14:textId="771AFC6D" w:rsidR="009E3AC0" w:rsidRPr="00885D10" w:rsidRDefault="002B7867">
      <w:pPr>
        <w:spacing w:after="0"/>
        <w:ind w:right="51"/>
        <w:rPr>
          <w:rFonts w:ascii="Arial" w:eastAsia="Arial" w:hAnsi="Arial" w:cs="Arial"/>
          <w:color w:val="000000" w:themeColor="text1"/>
          <w:sz w:val="22"/>
          <w:szCs w:val="22"/>
        </w:rPr>
      </w:pPr>
      <w:r w:rsidRPr="00885D10">
        <w:rPr>
          <w:rFonts w:ascii="Arial" w:eastAsia="Arial" w:hAnsi="Arial" w:cs="Arial"/>
          <w:color w:val="000000" w:themeColor="text1"/>
          <w:sz w:val="22"/>
          <w:szCs w:val="22"/>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A70AC8" w:rsidRPr="00885D10">
        <w:rPr>
          <w:rFonts w:ascii="Arial" w:eastAsia="Arial" w:hAnsi="Arial" w:cs="Arial"/>
          <w:color w:val="000000" w:themeColor="text1"/>
          <w:sz w:val="22"/>
          <w:szCs w:val="22"/>
        </w:rPr>
        <w:t>20 de enero de 2022</w:t>
      </w:r>
      <w:r w:rsidRPr="00885D10">
        <w:rPr>
          <w:rFonts w:ascii="Arial" w:eastAsia="Arial" w:hAnsi="Arial" w:cs="Arial"/>
          <w:color w:val="000000" w:themeColor="text1"/>
          <w:sz w:val="22"/>
          <w:szCs w:val="22"/>
        </w:rPr>
        <w:t xml:space="preserve">. </w:t>
      </w:r>
    </w:p>
    <w:p w14:paraId="4C90DDC3" w14:textId="77777777" w:rsidR="009E3AC0" w:rsidRPr="00885D10" w:rsidRDefault="009E3AC0">
      <w:pPr>
        <w:spacing w:after="0"/>
        <w:rPr>
          <w:rFonts w:ascii="Arial" w:eastAsia="Arial" w:hAnsi="Arial" w:cs="Arial"/>
          <w:color w:val="000000" w:themeColor="text1"/>
          <w:sz w:val="22"/>
          <w:szCs w:val="22"/>
        </w:rPr>
      </w:pPr>
    </w:p>
    <w:p w14:paraId="6C985203" w14:textId="77777777" w:rsidR="009E3AC0" w:rsidRPr="00885D10" w:rsidRDefault="002B7867">
      <w:pPr>
        <w:tabs>
          <w:tab w:val="left" w:pos="284"/>
        </w:tabs>
        <w:spacing w:after="0"/>
        <w:rPr>
          <w:rFonts w:ascii="Arial" w:eastAsia="Arial" w:hAnsi="Arial" w:cs="Arial"/>
          <w:b/>
          <w:color w:val="000000" w:themeColor="text1"/>
          <w:sz w:val="22"/>
          <w:szCs w:val="22"/>
        </w:rPr>
      </w:pPr>
      <w:r w:rsidRPr="00885D10">
        <w:rPr>
          <w:rFonts w:ascii="Arial" w:eastAsia="Arial" w:hAnsi="Arial" w:cs="Arial"/>
          <w:b/>
          <w:color w:val="000000" w:themeColor="text1"/>
          <w:sz w:val="22"/>
          <w:szCs w:val="22"/>
        </w:rPr>
        <w:t xml:space="preserve">1. Problema planteado </w:t>
      </w:r>
    </w:p>
    <w:p w14:paraId="2A8F2491" w14:textId="19CD14C5" w:rsidR="009E3AC0" w:rsidRPr="00885D10" w:rsidRDefault="002B7867" w:rsidP="00D26379">
      <w:pPr>
        <w:pStyle w:val="NormalWeb"/>
        <w:spacing w:line="276" w:lineRule="auto"/>
        <w:jc w:val="both"/>
        <w:rPr>
          <w:color w:val="000000" w:themeColor="text1"/>
        </w:rPr>
      </w:pPr>
      <w:bookmarkStart w:id="10" w:name="_17dp8vu" w:colFirst="0" w:colLast="0"/>
      <w:bookmarkEnd w:id="10"/>
      <w:r w:rsidRPr="00885D10">
        <w:rPr>
          <w:rFonts w:ascii="Arial" w:eastAsia="Arial" w:hAnsi="Arial" w:cs="Arial"/>
          <w:color w:val="000000" w:themeColor="text1"/>
          <w:sz w:val="22"/>
          <w:szCs w:val="22"/>
        </w:rPr>
        <w:lastRenderedPageBreak/>
        <w:t>Usted</w:t>
      </w:r>
      <w:r w:rsidR="0052120E" w:rsidRPr="00885D10">
        <w:rPr>
          <w:rFonts w:ascii="Arial" w:eastAsia="Arial" w:hAnsi="Arial" w:cs="Arial"/>
          <w:color w:val="000000" w:themeColor="text1"/>
          <w:sz w:val="22"/>
          <w:szCs w:val="22"/>
        </w:rPr>
        <w:t xml:space="preserve"> formula la siguiente pregunta</w:t>
      </w:r>
      <w:r w:rsidR="00851C0A" w:rsidRPr="00885D10">
        <w:rPr>
          <w:rFonts w:ascii="Arial" w:eastAsia="Arial" w:hAnsi="Arial" w:cs="Arial"/>
          <w:color w:val="000000" w:themeColor="text1"/>
          <w:sz w:val="22"/>
          <w:szCs w:val="22"/>
        </w:rPr>
        <w:t>, en relación con la restricción del parágrafo del artículo 38 de la Ley de Garantías Electorales</w:t>
      </w:r>
      <w:r w:rsidR="0052120E" w:rsidRPr="00885D10">
        <w:rPr>
          <w:rFonts w:ascii="Arial" w:eastAsia="Arial" w:hAnsi="Arial" w:cs="Arial"/>
          <w:color w:val="000000" w:themeColor="text1"/>
          <w:sz w:val="22"/>
          <w:szCs w:val="22"/>
        </w:rPr>
        <w:t xml:space="preserve">: </w:t>
      </w:r>
      <w:r w:rsidR="004C5A89" w:rsidRPr="00885D10">
        <w:rPr>
          <w:rFonts w:ascii="Arial" w:eastAsia="Arial" w:hAnsi="Arial" w:cs="Arial"/>
          <w:color w:val="000000" w:themeColor="text1"/>
          <w:sz w:val="22"/>
          <w:szCs w:val="22"/>
        </w:rPr>
        <w:t>«</w:t>
      </w:r>
      <w:r w:rsidR="004C5A89" w:rsidRPr="00885D10">
        <w:rPr>
          <w:rFonts w:ascii="Arial" w:hAnsi="Arial" w:cs="Arial"/>
          <w:color w:val="000000" w:themeColor="text1"/>
          <w:sz w:val="22"/>
          <w:szCs w:val="22"/>
        </w:rPr>
        <w:t>[…]</w:t>
      </w:r>
      <w:r w:rsidR="00924649" w:rsidRPr="00885D10">
        <w:rPr>
          <w:rFonts w:ascii="Arial" w:hAnsi="Arial" w:cs="Arial"/>
          <w:color w:val="000000" w:themeColor="text1"/>
          <w:sz w:val="22"/>
          <w:szCs w:val="22"/>
        </w:rPr>
        <w:t>¿exist</w:t>
      </w:r>
      <w:r w:rsidR="00711E5B" w:rsidRPr="00885D10">
        <w:rPr>
          <w:rFonts w:ascii="Arial" w:hAnsi="Arial" w:cs="Arial"/>
          <w:color w:val="000000" w:themeColor="text1"/>
          <w:sz w:val="22"/>
          <w:szCs w:val="22"/>
        </w:rPr>
        <w:t xml:space="preserve">e alguna limitación o restricción para que entre dos entidades de naturaleza pública, encontrándose en vigencia las restricciones de la Ley 996 de 2005, se suscriba escritura pública para el otorgamiento de un contrato de usufructo sobre bienes inmuebles propiedad de una de ellas </w:t>
      </w:r>
      <w:r w:rsidR="004C5A89" w:rsidRPr="00885D10">
        <w:rPr>
          <w:rFonts w:ascii="Arial" w:hAnsi="Arial" w:cs="Arial"/>
          <w:color w:val="000000" w:themeColor="text1"/>
          <w:sz w:val="22"/>
          <w:szCs w:val="22"/>
        </w:rPr>
        <w:t>[…]».</w:t>
      </w:r>
      <w:r w:rsidR="004C5A89" w:rsidRPr="00885D10">
        <w:rPr>
          <w:rFonts w:ascii="Helvetica" w:hAnsi="Helvetica"/>
          <w:b/>
          <w:bCs/>
          <w:color w:val="000000" w:themeColor="text1"/>
          <w:sz w:val="20"/>
          <w:szCs w:val="20"/>
        </w:rPr>
        <w:t xml:space="preserve"> </w:t>
      </w:r>
    </w:p>
    <w:p w14:paraId="507AA2AB" w14:textId="77777777" w:rsidR="009E3AC0" w:rsidRPr="00885D10" w:rsidRDefault="002B7867">
      <w:pPr>
        <w:tabs>
          <w:tab w:val="left" w:pos="284"/>
        </w:tabs>
        <w:spacing w:after="0"/>
        <w:rPr>
          <w:rFonts w:ascii="Arial" w:eastAsia="Arial" w:hAnsi="Arial" w:cs="Arial"/>
          <w:b/>
          <w:color w:val="000000" w:themeColor="text1"/>
          <w:sz w:val="22"/>
          <w:szCs w:val="22"/>
        </w:rPr>
      </w:pPr>
      <w:r w:rsidRPr="00885D10">
        <w:rPr>
          <w:rFonts w:ascii="Arial" w:eastAsia="Arial" w:hAnsi="Arial" w:cs="Arial"/>
          <w:b/>
          <w:color w:val="000000" w:themeColor="text1"/>
          <w:sz w:val="22"/>
          <w:szCs w:val="22"/>
        </w:rPr>
        <w:t>2. Consideraciones</w:t>
      </w:r>
    </w:p>
    <w:p w14:paraId="0BBF6BB7" w14:textId="77777777" w:rsidR="009E3AC0" w:rsidRPr="00885D10" w:rsidRDefault="009E3AC0">
      <w:pPr>
        <w:tabs>
          <w:tab w:val="left" w:pos="426"/>
        </w:tabs>
        <w:spacing w:after="0"/>
        <w:ind w:firstLine="709"/>
        <w:rPr>
          <w:rFonts w:ascii="Arial" w:eastAsia="Arial" w:hAnsi="Arial" w:cs="Arial"/>
          <w:color w:val="000000" w:themeColor="text1"/>
          <w:sz w:val="22"/>
          <w:szCs w:val="22"/>
        </w:rPr>
      </w:pPr>
    </w:p>
    <w:p w14:paraId="49940D0B" w14:textId="77777777" w:rsidR="009E3AC0" w:rsidRPr="00885D10" w:rsidRDefault="002B7867">
      <w:pPr>
        <w:spacing w:after="120"/>
        <w:rPr>
          <w:rFonts w:ascii="Arial" w:eastAsia="Arial" w:hAnsi="Arial" w:cs="Arial"/>
          <w:color w:val="000000" w:themeColor="text1"/>
          <w:sz w:val="22"/>
          <w:szCs w:val="22"/>
        </w:rPr>
      </w:pPr>
      <w:r w:rsidRPr="00885D10">
        <w:rPr>
          <w:rFonts w:ascii="Arial" w:eastAsia="Arial" w:hAnsi="Arial" w:cs="Arial"/>
          <w:color w:val="000000" w:themeColor="text1"/>
          <w:sz w:val="22"/>
          <w:szCs w:val="22"/>
        </w:rPr>
        <w:t>En ejercicio de las competencias establecidas en los artículos 3.5 y 11.8 del Decreto 4170 de 2011, la Agencia Nacional de Contratación Pública – Colombia Compra Eficiente resuelve las consultas sobre los asuntos de su competencia, esto es, sobre las temáticas de la contratación estatal y compras públicas relacionadas en los artículos citados</w:t>
      </w:r>
      <w:r w:rsidRPr="00885D10">
        <w:rPr>
          <w:rFonts w:ascii="Arial" w:eastAsia="Arial" w:hAnsi="Arial" w:cs="Arial"/>
          <w:color w:val="000000" w:themeColor="text1"/>
          <w:sz w:val="22"/>
          <w:szCs w:val="22"/>
          <w:vertAlign w:val="superscript"/>
        </w:rPr>
        <w:footnoteReference w:id="1"/>
      </w:r>
      <w:r w:rsidRPr="00885D10">
        <w:rPr>
          <w:rFonts w:ascii="Arial" w:eastAsia="Arial" w:hAnsi="Arial" w:cs="Arial"/>
          <w:color w:val="000000" w:themeColor="text1"/>
          <w:sz w:val="22"/>
          <w:szCs w:val="22"/>
        </w:rPr>
        <w:t>.</w:t>
      </w:r>
    </w:p>
    <w:p w14:paraId="4FC5365D" w14:textId="33FBB933" w:rsidR="009E3AC0" w:rsidRPr="00885D10" w:rsidRDefault="002B7867">
      <w:pPr>
        <w:tabs>
          <w:tab w:val="left" w:pos="426"/>
        </w:tabs>
        <w:spacing w:after="120"/>
        <w:rPr>
          <w:rFonts w:ascii="Arial" w:eastAsia="Arial" w:hAnsi="Arial" w:cs="Arial"/>
          <w:color w:val="000000" w:themeColor="text1"/>
          <w:sz w:val="22"/>
          <w:szCs w:val="22"/>
        </w:rPr>
      </w:pPr>
      <w:bookmarkStart w:id="11" w:name="_3rdcrjn" w:colFirst="0" w:colLast="0"/>
      <w:bookmarkEnd w:id="11"/>
      <w:r w:rsidRPr="00885D10">
        <w:rPr>
          <w:rFonts w:ascii="Arial" w:eastAsia="Arial" w:hAnsi="Arial" w:cs="Arial"/>
          <w:color w:val="000000" w:themeColor="text1"/>
          <w:sz w:val="22"/>
          <w:szCs w:val="22"/>
        </w:rPr>
        <w:tab/>
      </w:r>
      <w:r w:rsidRPr="00885D10">
        <w:rPr>
          <w:rFonts w:ascii="Arial" w:eastAsia="Arial" w:hAnsi="Arial" w:cs="Arial"/>
          <w:color w:val="000000" w:themeColor="text1"/>
          <w:sz w:val="22"/>
          <w:szCs w:val="22"/>
        </w:rPr>
        <w:tab/>
        <w:t>Por ello, esta Subdirección –dentro de los límites de sus atribuciones</w:t>
      </w:r>
      <w:r w:rsidRPr="00885D10">
        <w:rPr>
          <w:rFonts w:ascii="Arial" w:eastAsia="Arial" w:hAnsi="Arial" w:cs="Arial"/>
          <w:color w:val="000000" w:themeColor="text1"/>
          <w:sz w:val="22"/>
          <w:szCs w:val="22"/>
          <w:vertAlign w:val="superscript"/>
        </w:rPr>
        <w:footnoteReference w:id="2"/>
      </w:r>
      <w:r w:rsidRPr="00885D10">
        <w:rPr>
          <w:rFonts w:ascii="Arial" w:eastAsia="Arial" w:hAnsi="Arial" w:cs="Arial"/>
          <w:color w:val="000000" w:themeColor="text1"/>
          <w:sz w:val="22"/>
          <w:szCs w:val="22"/>
        </w:rPr>
        <w:t>– resolverá la consulta conforme a las normas generales en materia de contratación estatal. Con este objetivo se analizarán los siguientes temas: i) definición y finalidad de la Ley de Garantías Electorales</w:t>
      </w:r>
      <w:r w:rsidR="004136F0" w:rsidRPr="00885D10">
        <w:rPr>
          <w:rFonts w:ascii="Arial" w:eastAsia="Arial" w:hAnsi="Arial" w:cs="Arial"/>
          <w:color w:val="000000" w:themeColor="text1"/>
          <w:sz w:val="22"/>
          <w:szCs w:val="22"/>
        </w:rPr>
        <w:t>,</w:t>
      </w:r>
      <w:r w:rsidRPr="00885D10">
        <w:rPr>
          <w:rFonts w:ascii="Arial" w:eastAsia="Arial" w:hAnsi="Arial" w:cs="Arial"/>
          <w:color w:val="000000" w:themeColor="text1"/>
          <w:sz w:val="22"/>
          <w:szCs w:val="22"/>
        </w:rPr>
        <w:t xml:space="preserve"> </w:t>
      </w:r>
      <w:proofErr w:type="spellStart"/>
      <w:r w:rsidRPr="00885D10">
        <w:rPr>
          <w:rFonts w:ascii="Arial" w:eastAsia="Arial" w:hAnsi="Arial" w:cs="Arial"/>
          <w:color w:val="000000" w:themeColor="text1"/>
          <w:sz w:val="22"/>
          <w:szCs w:val="22"/>
        </w:rPr>
        <w:t>ii</w:t>
      </w:r>
      <w:proofErr w:type="spellEnd"/>
      <w:r w:rsidRPr="00885D10">
        <w:rPr>
          <w:rFonts w:ascii="Arial" w:eastAsia="Arial" w:hAnsi="Arial" w:cs="Arial"/>
          <w:color w:val="000000" w:themeColor="text1"/>
          <w:sz w:val="22"/>
          <w:szCs w:val="22"/>
        </w:rPr>
        <w:t xml:space="preserve">) </w:t>
      </w:r>
      <w:r w:rsidR="004136F0" w:rsidRPr="00885D10">
        <w:rPr>
          <w:rFonts w:ascii="Arial" w:eastAsia="Arial" w:hAnsi="Arial" w:cs="Arial"/>
          <w:color w:val="000000" w:themeColor="text1"/>
          <w:sz w:val="22"/>
          <w:szCs w:val="22"/>
        </w:rPr>
        <w:t xml:space="preserve">las restricciones en elecciones presidenciales: prohibición del artículo 33 de la Ley 996 de 2005; </w:t>
      </w:r>
      <w:proofErr w:type="spellStart"/>
      <w:r w:rsidR="004136F0" w:rsidRPr="00885D10">
        <w:rPr>
          <w:rFonts w:ascii="Arial" w:eastAsia="Arial" w:hAnsi="Arial" w:cs="Arial"/>
          <w:color w:val="000000" w:themeColor="text1"/>
          <w:sz w:val="22"/>
          <w:szCs w:val="22"/>
        </w:rPr>
        <w:t>iii</w:t>
      </w:r>
      <w:proofErr w:type="spellEnd"/>
      <w:r w:rsidR="004136F0" w:rsidRPr="00885D10">
        <w:rPr>
          <w:rFonts w:ascii="Arial" w:eastAsia="Arial" w:hAnsi="Arial" w:cs="Arial"/>
          <w:color w:val="000000" w:themeColor="text1"/>
          <w:sz w:val="22"/>
          <w:szCs w:val="22"/>
        </w:rPr>
        <w:t xml:space="preserve">) los destinatarios de la restricción del artículo 33 de la Ley 996 de 2005; y </w:t>
      </w:r>
      <w:proofErr w:type="spellStart"/>
      <w:r w:rsidR="004136F0" w:rsidRPr="00885D10">
        <w:rPr>
          <w:rFonts w:ascii="Arial" w:eastAsia="Arial" w:hAnsi="Arial" w:cs="Arial"/>
          <w:color w:val="000000" w:themeColor="text1"/>
          <w:sz w:val="22"/>
          <w:szCs w:val="22"/>
        </w:rPr>
        <w:t>iv</w:t>
      </w:r>
      <w:proofErr w:type="spellEnd"/>
      <w:r w:rsidR="004136F0" w:rsidRPr="00885D10">
        <w:rPr>
          <w:rFonts w:ascii="Arial" w:eastAsia="Arial" w:hAnsi="Arial" w:cs="Arial"/>
          <w:color w:val="000000" w:themeColor="text1"/>
          <w:sz w:val="22"/>
          <w:szCs w:val="22"/>
        </w:rPr>
        <w:t xml:space="preserve">) las </w:t>
      </w:r>
      <w:r w:rsidR="00DC12C8" w:rsidRPr="00885D10">
        <w:rPr>
          <w:rFonts w:ascii="Arial" w:eastAsia="Arial" w:hAnsi="Arial" w:cs="Arial"/>
          <w:sz w:val="22"/>
          <w:szCs w:val="22"/>
        </w:rPr>
        <w:t>restricciones para la celebración de contratos y convenios interadministrativos en los comicios para cargos de elección popular</w:t>
      </w:r>
      <w:r w:rsidR="004136F0" w:rsidRPr="00885D10">
        <w:rPr>
          <w:rFonts w:ascii="Arial" w:eastAsia="Arial" w:hAnsi="Arial" w:cs="Arial"/>
          <w:sz w:val="22"/>
          <w:szCs w:val="22"/>
        </w:rPr>
        <w:t xml:space="preserve">: prohibición del parágrafo del artículo 38 de la Ley 996 de 2005. </w:t>
      </w:r>
    </w:p>
    <w:p w14:paraId="5BC35FAE" w14:textId="5BF31876" w:rsidR="009E3AC0" w:rsidRPr="00885D10" w:rsidRDefault="002B7867">
      <w:pPr>
        <w:tabs>
          <w:tab w:val="left" w:pos="426"/>
        </w:tabs>
        <w:spacing w:after="0"/>
        <w:ind w:firstLine="709"/>
        <w:rPr>
          <w:rFonts w:ascii="Arial" w:eastAsia="Arial" w:hAnsi="Arial" w:cs="Arial"/>
          <w:color w:val="000000" w:themeColor="text1"/>
          <w:sz w:val="22"/>
          <w:szCs w:val="22"/>
        </w:rPr>
      </w:pPr>
      <w:r w:rsidRPr="00885D10">
        <w:rPr>
          <w:rFonts w:ascii="Arial" w:eastAsia="Arial" w:hAnsi="Arial" w:cs="Arial"/>
          <w:color w:val="000000" w:themeColor="text1"/>
          <w:sz w:val="22"/>
          <w:szCs w:val="22"/>
        </w:rPr>
        <w:t xml:space="preserve">La Agencia Nacional de Contratación Pública – Colombia Compra Eficiente ha impartido lineamientos sobre la aplicación de la Ley 996 de 2005 y también se ha pronunciado al respecto, entre otros, en los Conceptos 4201912000004632 del 6 de agosto de 2019, 2201913000005655 del 8 de agosto de 2019, 2201913000006283 del 27 de agosto de 2019, 2201913000006521 del 3 de septiembre de 2019, 2201913000006634 del 6 de septiembre de 2019, 2201913000006639 del 9 de septiembre de 2019, 2201913000007430 del 7 de octubre de 2019, 2201913000007565 del 10 de octubre de </w:t>
      </w:r>
      <w:r w:rsidRPr="00885D10">
        <w:rPr>
          <w:rFonts w:ascii="Arial" w:eastAsia="Arial" w:hAnsi="Arial" w:cs="Arial"/>
          <w:color w:val="000000" w:themeColor="text1"/>
          <w:sz w:val="22"/>
          <w:szCs w:val="22"/>
        </w:rPr>
        <w:lastRenderedPageBreak/>
        <w:t>2019, 2201913000008259 del 6 de noviembre de 2019, C-227 de 2021 del 5 de mayo de 2021, C-296 del 22 de junio de 2021</w:t>
      </w:r>
      <w:r w:rsidRPr="00885D10">
        <w:rPr>
          <w:color w:val="000000" w:themeColor="text1"/>
        </w:rPr>
        <w:t xml:space="preserve"> </w:t>
      </w:r>
      <w:r w:rsidRPr="00885D10">
        <w:rPr>
          <w:rFonts w:ascii="Arial" w:eastAsia="Arial" w:hAnsi="Arial" w:cs="Arial"/>
          <w:color w:val="000000" w:themeColor="text1"/>
          <w:sz w:val="22"/>
          <w:szCs w:val="22"/>
        </w:rPr>
        <w:t xml:space="preserve">y C-381 del 02 de julio de 2021. Por otro lado, la Agencia se ha referido a los alcances de las modificaciones realizadas por la Ley 2159 de 2021, entre otros, </w:t>
      </w:r>
      <w:r w:rsidR="00F54E4D" w:rsidRPr="00885D10">
        <w:rPr>
          <w:rFonts w:ascii="Arial" w:eastAsia="Arial" w:hAnsi="Arial" w:cs="Arial"/>
          <w:color w:val="000000" w:themeColor="text1"/>
          <w:sz w:val="22"/>
          <w:szCs w:val="22"/>
        </w:rPr>
        <w:t>mediante</w:t>
      </w:r>
      <w:r w:rsidRPr="00885D10">
        <w:rPr>
          <w:rFonts w:ascii="Arial" w:eastAsia="Arial" w:hAnsi="Arial" w:cs="Arial"/>
          <w:color w:val="000000" w:themeColor="text1"/>
          <w:sz w:val="22"/>
          <w:szCs w:val="22"/>
        </w:rPr>
        <w:t xml:space="preserve"> de los conceptos C-674 de 2021, C-723 del 28 de diciembre de 2021, C-693 del 9 de diciembre de 2021</w:t>
      </w:r>
      <w:r w:rsidR="004306FD" w:rsidRPr="00885D10">
        <w:rPr>
          <w:rFonts w:ascii="Arial" w:eastAsia="Arial" w:hAnsi="Arial" w:cs="Arial"/>
          <w:color w:val="000000" w:themeColor="text1"/>
          <w:sz w:val="22"/>
          <w:szCs w:val="22"/>
        </w:rPr>
        <w:t xml:space="preserve">, </w:t>
      </w:r>
      <w:r w:rsidRPr="00885D10">
        <w:rPr>
          <w:rFonts w:ascii="Arial" w:eastAsia="Arial" w:hAnsi="Arial" w:cs="Arial"/>
          <w:color w:val="000000" w:themeColor="text1"/>
          <w:sz w:val="22"/>
          <w:szCs w:val="22"/>
        </w:rPr>
        <w:t>C-726 del 24 de enero de 2022</w:t>
      </w:r>
      <w:r w:rsidR="00EC70DD" w:rsidRPr="00885D10">
        <w:rPr>
          <w:rFonts w:ascii="Arial" w:eastAsia="Arial" w:hAnsi="Arial" w:cs="Arial"/>
          <w:color w:val="000000" w:themeColor="text1"/>
          <w:sz w:val="22"/>
          <w:szCs w:val="22"/>
        </w:rPr>
        <w:t xml:space="preserve">, C-715 de </w:t>
      </w:r>
      <w:r w:rsidR="00662266" w:rsidRPr="00885D10">
        <w:rPr>
          <w:rFonts w:ascii="Arial" w:eastAsia="Arial" w:hAnsi="Arial" w:cs="Arial"/>
          <w:color w:val="000000" w:themeColor="text1"/>
          <w:sz w:val="22"/>
          <w:szCs w:val="22"/>
        </w:rPr>
        <w:t>21 de enero de 2022 y C-746 de 2 de febrero de 2022</w:t>
      </w:r>
      <w:r w:rsidRPr="00885D10">
        <w:rPr>
          <w:rFonts w:ascii="Arial" w:eastAsia="Arial" w:hAnsi="Arial" w:cs="Arial"/>
          <w:color w:val="000000" w:themeColor="text1"/>
          <w:sz w:val="22"/>
          <w:szCs w:val="22"/>
        </w:rPr>
        <w:t>. Las tesis desarrolladas en estos conceptos se reiteran y complementan a continuación:</w:t>
      </w:r>
    </w:p>
    <w:p w14:paraId="713A8481" w14:textId="77777777" w:rsidR="009E3AC0" w:rsidRPr="00885D10" w:rsidRDefault="009E3AC0">
      <w:pPr>
        <w:tabs>
          <w:tab w:val="left" w:pos="426"/>
        </w:tabs>
        <w:spacing w:after="0"/>
        <w:ind w:firstLine="709"/>
        <w:rPr>
          <w:rFonts w:ascii="Arial" w:eastAsia="Arial" w:hAnsi="Arial" w:cs="Arial"/>
          <w:b/>
          <w:color w:val="000000" w:themeColor="text1"/>
          <w:sz w:val="22"/>
          <w:szCs w:val="22"/>
        </w:rPr>
      </w:pPr>
    </w:p>
    <w:p w14:paraId="6CFA3116" w14:textId="77777777" w:rsidR="009E3AC0" w:rsidRPr="00885D10" w:rsidRDefault="002B7867">
      <w:pPr>
        <w:tabs>
          <w:tab w:val="left" w:pos="426"/>
        </w:tabs>
        <w:spacing w:after="0"/>
        <w:rPr>
          <w:rFonts w:ascii="Arial" w:eastAsia="Arial" w:hAnsi="Arial" w:cs="Arial"/>
          <w:b/>
          <w:color w:val="000000" w:themeColor="text1"/>
          <w:sz w:val="22"/>
          <w:szCs w:val="22"/>
        </w:rPr>
      </w:pPr>
      <w:r w:rsidRPr="00885D10">
        <w:rPr>
          <w:rFonts w:ascii="Arial" w:eastAsia="Arial" w:hAnsi="Arial" w:cs="Arial"/>
          <w:b/>
          <w:color w:val="000000" w:themeColor="text1"/>
          <w:sz w:val="22"/>
          <w:szCs w:val="22"/>
        </w:rPr>
        <w:t>2.1. Definición y finalidad de la Ley de Garantías Electorales: alcance de las restricciones</w:t>
      </w:r>
    </w:p>
    <w:p w14:paraId="553A0C4E" w14:textId="77777777" w:rsidR="009E3AC0" w:rsidRPr="00885D10" w:rsidRDefault="009E3AC0">
      <w:pPr>
        <w:tabs>
          <w:tab w:val="left" w:pos="426"/>
        </w:tabs>
        <w:spacing w:after="0"/>
        <w:ind w:firstLine="709"/>
        <w:rPr>
          <w:rFonts w:ascii="Arial" w:eastAsia="Arial" w:hAnsi="Arial" w:cs="Arial"/>
          <w:color w:val="000000" w:themeColor="text1"/>
          <w:sz w:val="22"/>
          <w:szCs w:val="22"/>
        </w:rPr>
      </w:pPr>
    </w:p>
    <w:p w14:paraId="2EF6FB28" w14:textId="77777777" w:rsidR="009E3AC0" w:rsidRPr="00885D10" w:rsidRDefault="002B7867">
      <w:pPr>
        <w:tabs>
          <w:tab w:val="left" w:pos="426"/>
        </w:tabs>
        <w:spacing w:after="120"/>
        <w:rPr>
          <w:rFonts w:ascii="Arial" w:eastAsia="Arial" w:hAnsi="Arial" w:cs="Arial"/>
          <w:color w:val="000000" w:themeColor="text1"/>
          <w:sz w:val="22"/>
          <w:szCs w:val="22"/>
        </w:rPr>
      </w:pPr>
      <w:r w:rsidRPr="00885D10">
        <w:rPr>
          <w:rFonts w:ascii="Arial" w:eastAsia="Arial" w:hAnsi="Arial" w:cs="Arial"/>
          <w:color w:val="000000" w:themeColor="text1"/>
          <w:sz w:val="22"/>
          <w:szCs w:val="22"/>
        </w:rPr>
        <w:t>El ordenamiento jurídico colombiano contempla previsiones claras para evitar la obtención de beneficios personales en asuntos propios de la administración pública</w:t>
      </w:r>
      <w:r w:rsidRPr="00885D10">
        <w:rPr>
          <w:rFonts w:ascii="Arial" w:eastAsia="Arial" w:hAnsi="Arial" w:cs="Arial"/>
          <w:i/>
          <w:color w:val="000000" w:themeColor="text1"/>
          <w:sz w:val="22"/>
          <w:szCs w:val="22"/>
        </w:rPr>
        <w:t xml:space="preserve">. </w:t>
      </w:r>
      <w:r w:rsidRPr="00885D10">
        <w:rPr>
          <w:rFonts w:ascii="Arial" w:eastAsia="Arial" w:hAnsi="Arial" w:cs="Arial"/>
          <w:color w:val="000000" w:themeColor="text1"/>
          <w:sz w:val="22"/>
          <w:szCs w:val="22"/>
        </w:rPr>
        <w:t>Por ejemplo, el artículo 127 de la Constitución Política establece una prohibición contractual a los servidores públicos y en cuanto a aspectos políticos establece restricciones a ciertos empleados del Estado, incluso en época no electoral</w:t>
      </w:r>
      <w:r w:rsidRPr="00885D10">
        <w:rPr>
          <w:rFonts w:ascii="Arial" w:eastAsia="Arial" w:hAnsi="Arial" w:cs="Arial"/>
          <w:color w:val="000000" w:themeColor="text1"/>
          <w:sz w:val="22"/>
          <w:szCs w:val="22"/>
          <w:vertAlign w:val="superscript"/>
        </w:rPr>
        <w:footnoteReference w:id="3"/>
      </w:r>
      <w:r w:rsidRPr="00885D10">
        <w:rPr>
          <w:rFonts w:ascii="Arial" w:eastAsia="Arial" w:hAnsi="Arial" w:cs="Arial"/>
          <w:color w:val="000000" w:themeColor="text1"/>
          <w:sz w:val="22"/>
          <w:szCs w:val="22"/>
        </w:rPr>
        <w:t xml:space="preserve">. </w:t>
      </w:r>
    </w:p>
    <w:p w14:paraId="540DF9CF" w14:textId="77777777" w:rsidR="009E3AC0" w:rsidRPr="00885D10" w:rsidRDefault="002B7867">
      <w:pPr>
        <w:tabs>
          <w:tab w:val="left" w:pos="426"/>
        </w:tabs>
        <w:spacing w:after="0"/>
        <w:ind w:firstLine="709"/>
        <w:rPr>
          <w:rFonts w:ascii="Arial" w:eastAsia="Arial" w:hAnsi="Arial" w:cs="Arial"/>
          <w:color w:val="000000" w:themeColor="text1"/>
          <w:sz w:val="22"/>
          <w:szCs w:val="22"/>
        </w:rPr>
      </w:pPr>
      <w:r w:rsidRPr="00885D10">
        <w:rPr>
          <w:rFonts w:ascii="Arial" w:eastAsia="Arial" w:hAnsi="Arial" w:cs="Arial"/>
          <w:color w:val="000000" w:themeColor="text1"/>
          <w:sz w:val="22"/>
          <w:szCs w:val="22"/>
        </w:rPr>
        <w:t>En el mismo sentido, la Ley 996 de 2005, conocida como «Ley de Garantías Electorales», se suma al andamiaje de orden constitucional y legal que se ha ocupado de evitar la injerencia inadecuada de intereses particulares en el ejercicio de la función pública. Esta ley tiene como propósito evitar cualquier tipo de arbitrariedad, de ventaja injustificada, de uso irregular de los recursos del Estado en las campañas o falta de garantías en la elección presidencial</w:t>
      </w:r>
      <w:r w:rsidRPr="00885D10">
        <w:rPr>
          <w:rFonts w:ascii="Arial" w:eastAsia="Arial" w:hAnsi="Arial" w:cs="Arial"/>
          <w:color w:val="000000" w:themeColor="text1"/>
          <w:sz w:val="22"/>
          <w:szCs w:val="22"/>
          <w:vertAlign w:val="superscript"/>
        </w:rPr>
        <w:footnoteReference w:id="4"/>
      </w:r>
      <w:r w:rsidRPr="00885D10">
        <w:rPr>
          <w:rFonts w:ascii="Arial" w:eastAsia="Arial" w:hAnsi="Arial" w:cs="Arial"/>
          <w:color w:val="000000" w:themeColor="text1"/>
          <w:sz w:val="22"/>
          <w:szCs w:val="22"/>
        </w:rPr>
        <w:t>. En esta medida, introduce limitaciones para realizar nombramientos, postulaciones, contrataciones o cualquier otro tipo de actividad que implique destinación de recursos públicos bajo el devenir propio de las entidades estatales. En armonía con lo anterior, la Corte Constitucional ha abordado la definición de la Ley de Garantías Electorales. De esta manera, explica que tiene como propósito:</w:t>
      </w:r>
    </w:p>
    <w:p w14:paraId="37355098" w14:textId="77777777" w:rsidR="009E3AC0" w:rsidRPr="00885D10" w:rsidRDefault="009E3AC0">
      <w:pPr>
        <w:spacing w:after="0"/>
        <w:ind w:right="709"/>
        <w:rPr>
          <w:rFonts w:ascii="Arial" w:eastAsia="Arial" w:hAnsi="Arial" w:cs="Arial"/>
          <w:color w:val="000000" w:themeColor="text1"/>
          <w:sz w:val="21"/>
          <w:szCs w:val="21"/>
        </w:rPr>
      </w:pPr>
    </w:p>
    <w:p w14:paraId="13619B42" w14:textId="77777777" w:rsidR="009E3AC0" w:rsidRPr="00885D10" w:rsidRDefault="002B7867">
      <w:pPr>
        <w:spacing w:after="0" w:line="240" w:lineRule="auto"/>
        <w:ind w:left="709" w:right="709"/>
        <w:rPr>
          <w:rFonts w:ascii="Arial" w:eastAsia="Arial" w:hAnsi="Arial" w:cs="Arial"/>
          <w:color w:val="000000" w:themeColor="text1"/>
          <w:sz w:val="21"/>
          <w:szCs w:val="21"/>
        </w:rPr>
      </w:pPr>
      <w:r w:rsidRPr="00885D10">
        <w:rPr>
          <w:rFonts w:ascii="Arial" w:eastAsia="Arial" w:hAnsi="Arial" w:cs="Arial"/>
          <w:color w:val="000000" w:themeColor="text1"/>
          <w:sz w:val="21"/>
          <w:szCs w:val="21"/>
        </w:rPr>
        <w:t>[…] la definición de reglas claras que permitan acceder a los canales de expresión democrática de manera efectiva e igualitaria. El objetivo de una ley de garantías es definir esas reglas.</w:t>
      </w:r>
    </w:p>
    <w:p w14:paraId="228DE3C2" w14:textId="77777777" w:rsidR="009E3AC0" w:rsidRPr="00885D10" w:rsidRDefault="002B7867">
      <w:pPr>
        <w:spacing w:before="120" w:after="0" w:line="240" w:lineRule="auto"/>
        <w:ind w:left="709" w:right="709"/>
        <w:rPr>
          <w:rFonts w:ascii="Arial" w:eastAsia="Arial" w:hAnsi="Arial" w:cs="Arial"/>
          <w:color w:val="000000" w:themeColor="text1"/>
          <w:sz w:val="21"/>
          <w:szCs w:val="21"/>
        </w:rPr>
      </w:pPr>
      <w:r w:rsidRPr="00885D10">
        <w:rPr>
          <w:rFonts w:ascii="Arial" w:eastAsia="Arial" w:hAnsi="Arial" w:cs="Arial"/>
          <w:color w:val="000000" w:themeColor="text1"/>
          <w:sz w:val="21"/>
          <w:szCs w:val="21"/>
        </w:rPr>
        <w:t xml:space="preserve">[…] </w:t>
      </w:r>
    </w:p>
    <w:p w14:paraId="38674678" w14:textId="7ED855F3" w:rsidR="009E3AC0" w:rsidRPr="00885D10" w:rsidRDefault="002B7867">
      <w:pPr>
        <w:spacing w:before="120" w:after="0" w:line="240" w:lineRule="auto"/>
        <w:ind w:left="709" w:right="709"/>
        <w:rPr>
          <w:rFonts w:ascii="Arial" w:eastAsia="Arial" w:hAnsi="Arial" w:cs="Arial"/>
          <w:color w:val="000000" w:themeColor="text1"/>
          <w:sz w:val="21"/>
          <w:szCs w:val="21"/>
        </w:rPr>
      </w:pPr>
      <w:r w:rsidRPr="00885D10">
        <w:rPr>
          <w:rFonts w:ascii="Arial" w:eastAsia="Arial" w:hAnsi="Arial" w:cs="Arial"/>
          <w:color w:val="000000" w:themeColor="text1"/>
          <w:sz w:val="21"/>
          <w:szCs w:val="21"/>
        </w:rPr>
        <w:lastRenderedPageBreak/>
        <w:t>Una ley de garantías electorales es una guía para el ejercicio equitativo y transparente de la democracia representativa. Un estatuto diseñado para asegurar que la contienda democrática se cumpla en condiciones igualitarias y transparentes para a los electores. Una ley de garantías busca afianzar la neutralidad de los servidores públicos que organizan y supervisan las disputas electorales, e intenta garantizar el acceso igualitario a los canales de comunicación de los candidatos. Igualmente, una ley de garantías debe permitir que, en el debate democrático, sean las ideas y las propuestas las que definan el ascenso al poder, y no el músculo económico de los que se lo disputan</w:t>
      </w:r>
      <w:r w:rsidRPr="00885D10">
        <w:rPr>
          <w:rFonts w:ascii="Arial" w:eastAsia="Arial" w:hAnsi="Arial" w:cs="Arial"/>
          <w:color w:val="000000" w:themeColor="text1"/>
          <w:sz w:val="20"/>
          <w:szCs w:val="20"/>
          <w:vertAlign w:val="superscript"/>
        </w:rPr>
        <w:footnoteReference w:id="5"/>
      </w:r>
      <w:r w:rsidRPr="00885D10">
        <w:rPr>
          <w:rFonts w:ascii="Arial" w:eastAsia="Arial" w:hAnsi="Arial" w:cs="Arial"/>
          <w:color w:val="000000" w:themeColor="text1"/>
          <w:sz w:val="21"/>
          <w:szCs w:val="21"/>
        </w:rPr>
        <w:t>.</w:t>
      </w:r>
    </w:p>
    <w:p w14:paraId="6D073DE3" w14:textId="77777777" w:rsidR="009E3AC0" w:rsidRPr="00885D10" w:rsidRDefault="009E3AC0">
      <w:pPr>
        <w:spacing w:after="0"/>
        <w:ind w:left="709" w:right="709"/>
        <w:rPr>
          <w:rFonts w:ascii="Arial" w:eastAsia="Arial" w:hAnsi="Arial" w:cs="Arial"/>
          <w:color w:val="000000" w:themeColor="text1"/>
          <w:sz w:val="21"/>
          <w:szCs w:val="21"/>
        </w:rPr>
      </w:pPr>
    </w:p>
    <w:p w14:paraId="49DE1491" w14:textId="77777777" w:rsidR="009E3AC0" w:rsidRPr="00885D10" w:rsidRDefault="002B7867">
      <w:pPr>
        <w:spacing w:after="0"/>
        <w:ind w:firstLine="709"/>
        <w:rPr>
          <w:rFonts w:ascii="Arial" w:eastAsia="Arial" w:hAnsi="Arial" w:cs="Arial"/>
          <w:color w:val="000000" w:themeColor="text1"/>
          <w:sz w:val="22"/>
          <w:szCs w:val="22"/>
        </w:rPr>
      </w:pPr>
      <w:bookmarkStart w:id="12" w:name="_26in1rg" w:colFirst="0" w:colLast="0"/>
      <w:bookmarkEnd w:id="12"/>
      <w:r w:rsidRPr="00885D10">
        <w:rPr>
          <w:rFonts w:ascii="Arial" w:eastAsia="Arial" w:hAnsi="Arial" w:cs="Arial"/>
          <w:color w:val="000000" w:themeColor="text1"/>
          <w:sz w:val="22"/>
          <w:szCs w:val="22"/>
        </w:rPr>
        <w:t>En este contexto, la Ley de Garantías Electorales establece el marco jurídico para el desarrollo de las elecciones, procurando condiciones de igualdad y transparencia para los aspirantes y paralelamente se incluyen restricciones en el actuar de los servidores públicos, evitando interferencias en la contienda electoral, así como la posible desviación de recursos públicos en aspiraciones electorales. Por ello, varias de las disposiciones de la Ley 996 de 2005, al contener normas prohibitivas, no admiten una interpretación amplia, sino que deben interpretarse restrictivamente. En efecto, la Sala de Consulta y Servicio Civil del Consejo de Estado al analizar la referida ley, precisó lo siguiente:</w:t>
      </w:r>
    </w:p>
    <w:p w14:paraId="67C7D61D" w14:textId="77777777" w:rsidR="009E3AC0" w:rsidRPr="00885D10" w:rsidRDefault="009E3AC0">
      <w:pPr>
        <w:spacing w:after="0"/>
        <w:ind w:firstLine="709"/>
        <w:rPr>
          <w:rFonts w:ascii="Arial" w:eastAsia="Arial" w:hAnsi="Arial" w:cs="Arial"/>
          <w:color w:val="000000" w:themeColor="text1"/>
          <w:sz w:val="22"/>
          <w:szCs w:val="22"/>
        </w:rPr>
      </w:pPr>
    </w:p>
    <w:p w14:paraId="786E15C3" w14:textId="77777777" w:rsidR="009E3AC0" w:rsidRPr="00885D10" w:rsidRDefault="002B7867">
      <w:pPr>
        <w:spacing w:after="120" w:line="240" w:lineRule="auto"/>
        <w:ind w:left="709" w:right="709"/>
        <w:rPr>
          <w:rFonts w:ascii="Arial" w:eastAsia="Arial" w:hAnsi="Arial" w:cs="Arial"/>
          <w:color w:val="000000" w:themeColor="text1"/>
          <w:sz w:val="21"/>
          <w:szCs w:val="21"/>
        </w:rPr>
      </w:pPr>
      <w:r w:rsidRPr="00885D10">
        <w:rPr>
          <w:rFonts w:ascii="Arial" w:eastAsia="Arial" w:hAnsi="Arial" w:cs="Arial"/>
          <w:color w:val="000000" w:themeColor="text1"/>
          <w:sz w:val="21"/>
          <w:szCs w:val="21"/>
        </w:rPr>
        <w:t xml:space="preserve">No está de más recordar que las prohibiciones, en tanto limitan la libertad y los derechos de las personas, son de origen constitucional y legal; la tipificación de sus causas, vigencia, naturaleza y efectos es rígida y taxativa; y su aplicación es restrictiva, de manera que excluye la analogía </w:t>
      </w:r>
      <w:proofErr w:type="spellStart"/>
      <w:r w:rsidRPr="00885D10">
        <w:rPr>
          <w:rFonts w:ascii="Arial" w:eastAsia="Arial" w:hAnsi="Arial" w:cs="Arial"/>
          <w:color w:val="000000" w:themeColor="text1"/>
          <w:sz w:val="21"/>
          <w:szCs w:val="21"/>
        </w:rPr>
        <w:t>legis</w:t>
      </w:r>
      <w:proofErr w:type="spellEnd"/>
      <w:r w:rsidRPr="00885D10">
        <w:rPr>
          <w:rFonts w:ascii="Arial" w:eastAsia="Arial" w:hAnsi="Arial" w:cs="Arial"/>
          <w:color w:val="000000" w:themeColor="text1"/>
          <w:sz w:val="21"/>
          <w:szCs w:val="21"/>
        </w:rPr>
        <w:t xml:space="preserve"> o iuris y la interpretación extensiva. Las normas legales de contenido prohibitivo hacen parte de un conjunto de disposiciones que integran un régimen jurídico imperativo y de orden público, razón por la cual no son disponibles ni pueden ser derogadas, modificadas, ampliadas o adicionadas por acuerdo o convenio o acto unilateral.</w:t>
      </w:r>
    </w:p>
    <w:p w14:paraId="3245C404" w14:textId="77777777" w:rsidR="009E3AC0" w:rsidRPr="00885D10" w:rsidRDefault="002B7867">
      <w:pPr>
        <w:spacing w:after="0" w:line="240" w:lineRule="auto"/>
        <w:ind w:left="709" w:right="709"/>
        <w:rPr>
          <w:rFonts w:ascii="Arial" w:eastAsia="Arial" w:hAnsi="Arial" w:cs="Arial"/>
          <w:color w:val="000000" w:themeColor="text1"/>
          <w:sz w:val="21"/>
          <w:szCs w:val="21"/>
        </w:rPr>
      </w:pPr>
      <w:r w:rsidRPr="00885D10">
        <w:rPr>
          <w:rFonts w:ascii="Arial" w:eastAsia="Arial" w:hAnsi="Arial" w:cs="Arial"/>
          <w:color w:val="000000" w:themeColor="text1"/>
          <w:sz w:val="21"/>
          <w:szCs w:val="21"/>
        </w:rPr>
        <w:t>La jurisprudencia de la Corte Constitucional</w:t>
      </w:r>
      <w:r w:rsidRPr="00885D10">
        <w:rPr>
          <w:rFonts w:ascii="Arial" w:eastAsia="Arial" w:hAnsi="Arial" w:cs="Arial"/>
          <w:color w:val="000000" w:themeColor="text1"/>
          <w:sz w:val="21"/>
          <w:szCs w:val="21"/>
          <w:vertAlign w:val="superscript"/>
        </w:rPr>
        <w:footnoteReference w:id="6"/>
      </w:r>
      <w:r w:rsidRPr="00885D10">
        <w:rPr>
          <w:rFonts w:ascii="Arial" w:eastAsia="Arial" w:hAnsi="Arial" w:cs="Arial"/>
          <w:color w:val="000000" w:themeColor="text1"/>
          <w:sz w:val="21"/>
          <w:szCs w:val="21"/>
        </w:rPr>
        <w:t> y del Consejo de Estado</w:t>
      </w:r>
      <w:r w:rsidRPr="00885D10">
        <w:rPr>
          <w:rFonts w:ascii="Arial" w:eastAsia="Arial" w:hAnsi="Arial" w:cs="Arial"/>
          <w:color w:val="000000" w:themeColor="text1"/>
          <w:sz w:val="21"/>
          <w:szCs w:val="21"/>
          <w:vertAlign w:val="superscript"/>
        </w:rPr>
        <w:footnoteReference w:id="7"/>
      </w:r>
      <w:r w:rsidRPr="00885D10">
        <w:rPr>
          <w:rFonts w:ascii="Arial" w:eastAsia="Arial" w:hAnsi="Arial" w:cs="Arial"/>
          <w:color w:val="000000" w:themeColor="text1"/>
          <w:sz w:val="21"/>
          <w:szCs w:val="21"/>
        </w:rPr>
        <w:t xml:space="preserve">, coinciden en que las normas que establecen prohibiciones deben estar de manera explícita en la Constitución o en la ley y no podrán ser excesivas ni desproporcionadas. No pueden interpretarse extensivamente sino siempre en forma restrictiva o estricta; es decir, en la aplicación de las normas prohibitivas, el intérprete solamente habrá de tener en cuenta lo que en ellas expresamente se menciona y, por tanto, no le es permitido ampliar el natural y obvio alcance de los supuestos </w:t>
      </w:r>
      <w:r w:rsidRPr="00885D10">
        <w:rPr>
          <w:rFonts w:ascii="Arial" w:eastAsia="Arial" w:hAnsi="Arial" w:cs="Arial"/>
          <w:color w:val="000000" w:themeColor="text1"/>
          <w:sz w:val="21"/>
          <w:szCs w:val="21"/>
        </w:rPr>
        <w:lastRenderedPageBreak/>
        <w:t>que contemplan, pues como entrañan una limitación -así fuere justificada- a la libertad de actuar o capacidad de obrar, sobrepasar sus precisos términos comporta el desconocimiento de la voluntad del legislador</w:t>
      </w:r>
      <w:r w:rsidRPr="00885D10">
        <w:rPr>
          <w:rFonts w:ascii="Arial" w:eastAsia="Arial" w:hAnsi="Arial" w:cs="Arial"/>
          <w:color w:val="000000" w:themeColor="text1"/>
          <w:sz w:val="22"/>
          <w:szCs w:val="22"/>
          <w:vertAlign w:val="superscript"/>
        </w:rPr>
        <w:footnoteReference w:id="8"/>
      </w:r>
      <w:r w:rsidRPr="00885D10">
        <w:rPr>
          <w:rFonts w:ascii="Arial" w:eastAsia="Arial" w:hAnsi="Arial" w:cs="Arial"/>
          <w:color w:val="000000" w:themeColor="text1"/>
          <w:sz w:val="21"/>
          <w:szCs w:val="21"/>
        </w:rPr>
        <w:t>.</w:t>
      </w:r>
    </w:p>
    <w:p w14:paraId="397D8FC4" w14:textId="77777777" w:rsidR="009E3AC0" w:rsidRPr="00885D10" w:rsidRDefault="009E3AC0">
      <w:pPr>
        <w:spacing w:after="0"/>
        <w:ind w:right="709"/>
        <w:rPr>
          <w:rFonts w:ascii="Arial" w:eastAsia="Arial" w:hAnsi="Arial" w:cs="Arial"/>
          <w:color w:val="000000" w:themeColor="text1"/>
          <w:sz w:val="21"/>
          <w:szCs w:val="21"/>
        </w:rPr>
      </w:pPr>
    </w:p>
    <w:p w14:paraId="21012287" w14:textId="77777777" w:rsidR="009E3AC0" w:rsidRPr="00885D10" w:rsidRDefault="002B7867">
      <w:pPr>
        <w:spacing w:after="120"/>
        <w:rPr>
          <w:rFonts w:ascii="Arial" w:eastAsia="Arial" w:hAnsi="Arial" w:cs="Arial"/>
          <w:color w:val="000000" w:themeColor="text1"/>
          <w:sz w:val="22"/>
          <w:szCs w:val="22"/>
        </w:rPr>
      </w:pPr>
      <w:bookmarkStart w:id="13" w:name="_lnxbz9" w:colFirst="0" w:colLast="0"/>
      <w:bookmarkEnd w:id="13"/>
      <w:r w:rsidRPr="00885D10">
        <w:rPr>
          <w:rFonts w:ascii="Arial" w:eastAsia="Arial" w:hAnsi="Arial" w:cs="Arial"/>
          <w:color w:val="000000" w:themeColor="text1"/>
          <w:sz w:val="22"/>
          <w:szCs w:val="22"/>
        </w:rPr>
        <w:tab/>
        <w:t>De conformidad con lo anterior, la Ley de Garantías Electorales fijó una serie de regulaciones y prohibiciones dirigidas a los servidores públicos. Así, con la finalidad de preservar la igualdad entre los candidatos en las elecciones, aumentó las garantías en materia de contratación, de forma que no exista siquiera sospecha de que, por ese medio, en los periodos previos a la contienda electoral, se altere las condiciones de igualdad entre los candidatos. Específicamente, las restricciones consagradas en la citada ley se dirigen a dos (2) tipos de campañas electorales claramente diferenciadas: las presidenciales y las demás que se adelanten para la elección de los demás cargos de elección popular, tanto a nivel nacional como a nivel territorial.</w:t>
      </w:r>
    </w:p>
    <w:p w14:paraId="43966418" w14:textId="77777777" w:rsidR="009E3AC0" w:rsidRPr="00885D10" w:rsidRDefault="002B7867">
      <w:pPr>
        <w:spacing w:after="120"/>
        <w:ind w:firstLine="708"/>
        <w:rPr>
          <w:rFonts w:ascii="Arial" w:eastAsia="Arial" w:hAnsi="Arial" w:cs="Arial"/>
          <w:color w:val="000000" w:themeColor="text1"/>
          <w:sz w:val="22"/>
          <w:szCs w:val="22"/>
        </w:rPr>
      </w:pPr>
      <w:r w:rsidRPr="00885D10">
        <w:rPr>
          <w:rFonts w:ascii="Arial" w:eastAsia="Arial" w:hAnsi="Arial" w:cs="Arial"/>
          <w:color w:val="000000" w:themeColor="text1"/>
          <w:sz w:val="22"/>
          <w:szCs w:val="22"/>
        </w:rPr>
        <w:t>Por un lado, el artículo 33 de la Ley 996 de 2005 prohíbe «[…] la contratación directa por parte de todos los entes del Estado» durante los cuatro (4) meses anteriores a las elecciones presidenciales, salvo «[…]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r w:rsidRPr="00885D10">
        <w:rPr>
          <w:rFonts w:ascii="Arial" w:eastAsia="Arial" w:hAnsi="Arial" w:cs="Arial"/>
          <w:color w:val="000000" w:themeColor="text1"/>
          <w:sz w:val="22"/>
          <w:szCs w:val="22"/>
          <w:vertAlign w:val="superscript"/>
        </w:rPr>
        <w:footnoteReference w:id="9"/>
      </w:r>
      <w:r w:rsidRPr="00885D10">
        <w:rPr>
          <w:rFonts w:ascii="Arial" w:eastAsia="Arial" w:hAnsi="Arial" w:cs="Arial"/>
          <w:color w:val="000000" w:themeColor="text1"/>
          <w:sz w:val="22"/>
          <w:szCs w:val="22"/>
        </w:rPr>
        <w:t>.</w:t>
      </w:r>
    </w:p>
    <w:p w14:paraId="7B8AB865" w14:textId="77777777" w:rsidR="009E3AC0" w:rsidRPr="00885D10" w:rsidRDefault="002B7867">
      <w:pPr>
        <w:widowControl w:val="0"/>
        <w:spacing w:after="0"/>
        <w:ind w:right="113" w:firstLine="708"/>
        <w:rPr>
          <w:rFonts w:ascii="Arial" w:eastAsia="Arial" w:hAnsi="Arial" w:cs="Arial"/>
          <w:color w:val="000000" w:themeColor="text1"/>
          <w:sz w:val="22"/>
          <w:szCs w:val="22"/>
        </w:rPr>
      </w:pPr>
      <w:r w:rsidRPr="00885D10">
        <w:rPr>
          <w:rFonts w:ascii="Arial" w:eastAsia="Arial" w:hAnsi="Arial" w:cs="Arial"/>
          <w:color w:val="000000" w:themeColor="text1"/>
          <w:sz w:val="22"/>
          <w:szCs w:val="22"/>
        </w:rPr>
        <w:t>Por otro lado, el parágrafo del artículo 38 de la Ley 996 de 2005 prevé una restricción, aplicable respecto de cualquier tipo de contienda electoral, que prohíbe a los gobernadores, alcaldes municipales o distritales, secretarios, gerentes y directores de entidades descentralizadas del orden municipal, departamental o distrital «[…]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r w:rsidRPr="00885D10">
        <w:rPr>
          <w:rFonts w:ascii="Arial" w:eastAsia="Arial" w:hAnsi="Arial" w:cs="Arial"/>
          <w:color w:val="000000" w:themeColor="text1"/>
          <w:sz w:val="19"/>
          <w:szCs w:val="19"/>
        </w:rPr>
        <w:t>»</w:t>
      </w:r>
      <w:r w:rsidRPr="00885D10">
        <w:rPr>
          <w:rFonts w:ascii="Arial" w:eastAsia="Arial" w:hAnsi="Arial" w:cs="Arial"/>
          <w:color w:val="000000" w:themeColor="text1"/>
          <w:sz w:val="19"/>
          <w:szCs w:val="19"/>
          <w:vertAlign w:val="superscript"/>
        </w:rPr>
        <w:footnoteReference w:id="10"/>
      </w:r>
      <w:r w:rsidRPr="00885D10">
        <w:rPr>
          <w:rFonts w:ascii="Arial" w:eastAsia="Arial" w:hAnsi="Arial" w:cs="Arial"/>
          <w:color w:val="000000" w:themeColor="text1"/>
          <w:sz w:val="22"/>
          <w:szCs w:val="22"/>
        </w:rPr>
        <w:t xml:space="preserve">. La Sala de Consulta y Servicio Civil del Consejo de Estado ha aclarado la </w:t>
      </w:r>
      <w:r w:rsidRPr="00885D10">
        <w:rPr>
          <w:rFonts w:ascii="Arial" w:eastAsia="Arial" w:hAnsi="Arial" w:cs="Arial"/>
          <w:color w:val="000000" w:themeColor="text1"/>
          <w:sz w:val="22"/>
          <w:szCs w:val="22"/>
        </w:rPr>
        <w:lastRenderedPageBreak/>
        <w:t>distinción en la aplicación de las prohibiciones de la Ley 996 de 2005, dependiendo del tipo de elección que se trate. Al respecto, considera que:</w:t>
      </w:r>
    </w:p>
    <w:p w14:paraId="13D0E611" w14:textId="77777777" w:rsidR="009E3AC0" w:rsidRPr="00885D10" w:rsidRDefault="009E3AC0">
      <w:pPr>
        <w:widowControl w:val="0"/>
        <w:spacing w:after="0"/>
        <w:ind w:left="805" w:right="812"/>
        <w:rPr>
          <w:rFonts w:ascii="Arial" w:eastAsia="Arial" w:hAnsi="Arial" w:cs="Arial"/>
          <w:color w:val="000000" w:themeColor="text1"/>
          <w:sz w:val="22"/>
          <w:szCs w:val="22"/>
        </w:rPr>
      </w:pPr>
    </w:p>
    <w:p w14:paraId="5016D8E4" w14:textId="77777777" w:rsidR="009E3AC0" w:rsidRPr="00885D10" w:rsidRDefault="002B7867">
      <w:pPr>
        <w:widowControl w:val="0"/>
        <w:spacing w:after="0" w:line="240" w:lineRule="auto"/>
        <w:ind w:left="709" w:right="709"/>
        <w:rPr>
          <w:rFonts w:ascii="Arial" w:eastAsia="Arial" w:hAnsi="Arial" w:cs="Arial"/>
          <w:color w:val="000000" w:themeColor="text1"/>
          <w:sz w:val="21"/>
          <w:szCs w:val="21"/>
        </w:rPr>
      </w:pPr>
      <w:bookmarkStart w:id="16" w:name="_35nkun2" w:colFirst="0" w:colLast="0"/>
      <w:bookmarkEnd w:id="16"/>
      <w:r w:rsidRPr="00885D10">
        <w:rPr>
          <w:rFonts w:ascii="Arial" w:eastAsia="Arial" w:hAnsi="Arial" w:cs="Arial"/>
          <w:color w:val="000000" w:themeColor="text1"/>
          <w:sz w:val="21"/>
          <w:szCs w:val="21"/>
        </w:rPr>
        <w:t>La interpretación sistemática de las disposiciones consagradas en los artículos 32, 33 y el parágrafo del artículo 38 de la ley 996 de 2.005 lleva a concluir que dichas normas contienen restricciones y prohibiciones para periodos preelectorales diferentes; las dos primeras, de manera específica para los cuatro meses anteriores a la elección presidencial; el último, de manera más genérica para los cuatro meses anteriores a las elecciones  para cualquier cargo de elección popular a que se refiere la ley –incluido el de Presidente de la República-; de manera que dichas restricciones no se excluyen sino que se integran parcialmente, lo que permite concluir que en periodo preelectoral para elección de Presidente de la República, a todos los entes del Estado, incluidos los territoriales, se aplican las restricciones de los artículos 32 y 33 con sus excepciones, así como las del parágrafo del artículo 38. En cambio, para elecciones en general, excluyendo las correspondientes a Presidente de la República, a las autoridades territoriales allí mencionadas sólo se aplican las restricciones contenidas en el parágrafo del artículo 38.</w:t>
      </w:r>
      <w:r w:rsidRPr="00885D10">
        <w:rPr>
          <w:rFonts w:ascii="Arial" w:eastAsia="Arial" w:hAnsi="Arial" w:cs="Arial"/>
          <w:color w:val="000000" w:themeColor="text1"/>
          <w:sz w:val="21"/>
          <w:szCs w:val="21"/>
          <w:vertAlign w:val="superscript"/>
        </w:rPr>
        <w:footnoteReference w:id="11"/>
      </w:r>
    </w:p>
    <w:p w14:paraId="178B7DF2" w14:textId="77777777" w:rsidR="009E3AC0" w:rsidRPr="00885D10" w:rsidRDefault="009E3AC0">
      <w:pPr>
        <w:widowControl w:val="0"/>
        <w:spacing w:before="8" w:after="0"/>
        <w:jc w:val="left"/>
        <w:rPr>
          <w:rFonts w:ascii="Arial" w:eastAsia="Arial" w:hAnsi="Arial" w:cs="Arial"/>
          <w:color w:val="000000" w:themeColor="text1"/>
          <w:sz w:val="26"/>
          <w:szCs w:val="26"/>
        </w:rPr>
      </w:pPr>
    </w:p>
    <w:p w14:paraId="5D6B5B98" w14:textId="16C25027" w:rsidR="009E3AC0" w:rsidRPr="00885D10" w:rsidRDefault="002B7867">
      <w:pPr>
        <w:spacing w:after="120"/>
        <w:ind w:firstLine="709"/>
        <w:rPr>
          <w:rFonts w:ascii="Arial" w:eastAsia="Arial" w:hAnsi="Arial" w:cs="Arial"/>
          <w:color w:val="000000" w:themeColor="text1"/>
          <w:sz w:val="22"/>
          <w:szCs w:val="22"/>
        </w:rPr>
      </w:pPr>
      <w:bookmarkStart w:id="17" w:name="_1ksv4uv" w:colFirst="0" w:colLast="0"/>
      <w:bookmarkEnd w:id="17"/>
      <w:r w:rsidRPr="00885D10">
        <w:rPr>
          <w:rFonts w:ascii="Arial" w:eastAsia="Arial" w:hAnsi="Arial" w:cs="Arial"/>
          <w:color w:val="000000" w:themeColor="text1"/>
          <w:sz w:val="22"/>
          <w:szCs w:val="22"/>
        </w:rPr>
        <w:t xml:space="preserve">De conformidad con lo anterior, la Ley 996 de 2005 establece dos (2) tipos de restricciones en materia de contratación, las cuales coinciden parcialmente. </w:t>
      </w:r>
      <w:r w:rsidRPr="00885D10">
        <w:rPr>
          <w:rFonts w:ascii="Arial" w:eastAsia="Arial" w:hAnsi="Arial" w:cs="Arial"/>
          <w:i/>
          <w:color w:val="000000" w:themeColor="text1"/>
          <w:sz w:val="22"/>
          <w:szCs w:val="22"/>
        </w:rPr>
        <w:t>En primer lugar</w:t>
      </w:r>
      <w:r w:rsidRPr="00885D10">
        <w:rPr>
          <w:rFonts w:ascii="Arial" w:eastAsia="Arial" w:hAnsi="Arial" w:cs="Arial"/>
          <w:color w:val="000000" w:themeColor="text1"/>
          <w:sz w:val="22"/>
          <w:szCs w:val="22"/>
        </w:rPr>
        <w:t xml:space="preserve">, la del artículo 33 que opera solo respecto de las elecciones presidenciales, en virtud de la cual queda proscrita la contratación directa dentro de los cuatro (4) meses anteriores a la celebración de los comicios, salvo las citadas excepciones. Sin embargo, si ningún candidato obtiene la mitad más uno de los votos que, de manera secreta y directa, depositen los ciudadanos, se celebrará una nueva votación que tendrá lugar tres semanas más tarde, en la que sólo participarán los dos candidatos que hubieren obtenido las votaciones más altas, de conformidad con el artículo 190 de la Constitución Política. Para estos efectos, la restricción se extenderá hasta la fecha en la que se realice la segunda vuelta. </w:t>
      </w:r>
      <w:r w:rsidRPr="00885D10">
        <w:rPr>
          <w:rFonts w:ascii="Arial" w:eastAsia="Arial" w:hAnsi="Arial" w:cs="Arial"/>
          <w:i/>
          <w:color w:val="000000" w:themeColor="text1"/>
          <w:sz w:val="22"/>
          <w:szCs w:val="22"/>
        </w:rPr>
        <w:t>En segundo lugar</w:t>
      </w:r>
      <w:r w:rsidRPr="00885D10">
        <w:rPr>
          <w:rFonts w:ascii="Arial" w:eastAsia="Arial" w:hAnsi="Arial" w:cs="Arial"/>
          <w:color w:val="000000" w:themeColor="text1"/>
          <w:sz w:val="22"/>
          <w:szCs w:val="22"/>
        </w:rPr>
        <w:t>, también se encuentra la prohibición del parágrafo del artículo 38, el cual debe aplicarse respecto de cualquier tipo de contienda electoral, y que prohíbe la celebración de convenios interadministrativos que impliquen la ejecución de recursos públicos dentro de los cuatro (4) meses anteriores a la respectiva jornada de votaciones.</w:t>
      </w:r>
    </w:p>
    <w:p w14:paraId="7AA5B646" w14:textId="77777777" w:rsidR="009E3AC0" w:rsidRPr="00885D10" w:rsidRDefault="002B7867">
      <w:pPr>
        <w:spacing w:after="120"/>
        <w:ind w:firstLine="709"/>
        <w:rPr>
          <w:rFonts w:ascii="Arial" w:eastAsia="Arial" w:hAnsi="Arial" w:cs="Arial"/>
          <w:color w:val="000000" w:themeColor="text1"/>
          <w:sz w:val="22"/>
          <w:szCs w:val="22"/>
        </w:rPr>
      </w:pPr>
      <w:r w:rsidRPr="00885D10">
        <w:rPr>
          <w:rFonts w:ascii="Arial" w:eastAsia="Arial" w:hAnsi="Arial" w:cs="Arial"/>
          <w:color w:val="000000" w:themeColor="text1"/>
          <w:sz w:val="22"/>
          <w:szCs w:val="22"/>
        </w:rPr>
        <w:lastRenderedPageBreak/>
        <w:t>Ambas restricciones no son excluyentes, lo que permite concluir que en el período preelectoral para elección de Presidente de la República, a todos los entes del Estado, incluidos los territoriales, aplican las restricciones del artículo 33 con sus excepciones, así como las del parágrafo del artículo 38. En cambio, tratándose de elecciones en general, excluyendo las correspondientes al Presidente de la República, las autoridades allí mencionadas sólo deben aplicar las restricciones contenidas en el parágrafo del artículo 38.</w:t>
      </w:r>
    </w:p>
    <w:p w14:paraId="424E9663" w14:textId="03D92CB0" w:rsidR="009E3AC0" w:rsidRPr="00885D10" w:rsidRDefault="002B7867">
      <w:pPr>
        <w:spacing w:after="0"/>
        <w:ind w:firstLine="708"/>
        <w:rPr>
          <w:rFonts w:ascii="Arial" w:eastAsia="Arial" w:hAnsi="Arial" w:cs="Arial"/>
          <w:color w:val="000000" w:themeColor="text1"/>
          <w:sz w:val="22"/>
          <w:szCs w:val="22"/>
        </w:rPr>
      </w:pPr>
      <w:r w:rsidRPr="00885D10">
        <w:rPr>
          <w:rFonts w:ascii="Arial" w:eastAsia="Arial" w:hAnsi="Arial" w:cs="Arial"/>
          <w:color w:val="000000" w:themeColor="text1"/>
          <w:sz w:val="22"/>
          <w:szCs w:val="22"/>
        </w:rPr>
        <w:t xml:space="preserve">La Corte Constitucional, en la Sentencia C-1153 del 11 de noviembre de 2005, señaló que, para que la garantía sea plena, era necesario que la prohibición se aplicara para el Presidente o el Vicepresidente desde que estos –estando en ejercicio de su cargo– manifiesten el interés de ser candidato presidencial, lo cual debe ocurrir seis meses antes de la elección en primera vuelta, de acuerdo con el artículo 9 de la Ley 996 de 2005. Sin embargo, el condicionamiento impuesto por la Corte Constitucional, relacionado con el momento en que estas restricciones empiezan a regir para el Presidente y el Vicepresidente de la República, ha perdido vigencia ante la prohibición de la reelección presidencial, restablecida por el Acto Legislativo 2 de 2015, excepto para el Vicepresidente que no haya ejercido la presidencia o que la haya ejercido por un tiempo inferior a tres (3) meses durante el respectivo cuatrienio, en forma continua o discontinua, conforme al artículo 197 de la Constitución Política.  </w:t>
      </w:r>
    </w:p>
    <w:p w14:paraId="3D940E5D" w14:textId="3C300A27" w:rsidR="002405CC" w:rsidRPr="00885D10" w:rsidRDefault="002405CC">
      <w:pPr>
        <w:spacing w:after="0"/>
        <w:ind w:firstLine="708"/>
        <w:rPr>
          <w:rFonts w:ascii="Arial" w:eastAsia="Arial" w:hAnsi="Arial" w:cs="Arial"/>
          <w:color w:val="000000" w:themeColor="text1"/>
          <w:sz w:val="22"/>
          <w:szCs w:val="22"/>
        </w:rPr>
      </w:pPr>
    </w:p>
    <w:p w14:paraId="4B1CF8D6" w14:textId="77777777" w:rsidR="002405CC" w:rsidRPr="00885D10" w:rsidRDefault="002405CC" w:rsidP="002405CC">
      <w:pPr>
        <w:spacing w:after="0"/>
        <w:rPr>
          <w:rFonts w:ascii="Arial" w:eastAsia="Arial" w:hAnsi="Arial" w:cs="Arial"/>
          <w:b/>
          <w:color w:val="000000" w:themeColor="text1"/>
          <w:sz w:val="22"/>
          <w:szCs w:val="22"/>
        </w:rPr>
      </w:pPr>
      <w:r w:rsidRPr="00885D10">
        <w:rPr>
          <w:rFonts w:ascii="Arial" w:eastAsia="Arial" w:hAnsi="Arial" w:cs="Arial"/>
          <w:b/>
          <w:color w:val="000000" w:themeColor="text1"/>
          <w:sz w:val="22"/>
          <w:szCs w:val="22"/>
        </w:rPr>
        <w:t>2.2. Restricciones en elecciones presidenciales: prohibición del artículo 33 de la Ley 996 de 2005</w:t>
      </w:r>
    </w:p>
    <w:p w14:paraId="318314E4" w14:textId="77777777" w:rsidR="002405CC" w:rsidRPr="00885D10" w:rsidRDefault="002405CC" w:rsidP="002405CC">
      <w:pPr>
        <w:spacing w:after="0"/>
        <w:rPr>
          <w:rFonts w:ascii="Arial" w:eastAsia="Arial" w:hAnsi="Arial" w:cs="Arial"/>
          <w:color w:val="000000" w:themeColor="text1"/>
          <w:sz w:val="22"/>
          <w:szCs w:val="22"/>
        </w:rPr>
      </w:pPr>
    </w:p>
    <w:p w14:paraId="0CC53EEE" w14:textId="77777777" w:rsidR="002405CC" w:rsidRPr="00885D10" w:rsidRDefault="002405CC" w:rsidP="002405CC">
      <w:pPr>
        <w:spacing w:after="0"/>
        <w:rPr>
          <w:rFonts w:ascii="Arial" w:eastAsia="Arial" w:hAnsi="Arial" w:cs="Arial"/>
          <w:color w:val="000000" w:themeColor="text1"/>
          <w:sz w:val="22"/>
          <w:szCs w:val="22"/>
        </w:rPr>
      </w:pPr>
      <w:r w:rsidRPr="00885D10">
        <w:rPr>
          <w:rFonts w:ascii="Arial" w:eastAsia="Arial" w:hAnsi="Arial" w:cs="Arial"/>
          <w:color w:val="000000" w:themeColor="text1"/>
          <w:sz w:val="22"/>
          <w:szCs w:val="22"/>
        </w:rPr>
        <w:t xml:space="preserve">El ámbito material de la prohibición contenida en el artículo 33 de la ley 996 de 2005 está delimitado por la expresión </w:t>
      </w:r>
      <w:r w:rsidRPr="00885D10">
        <w:rPr>
          <w:rFonts w:ascii="Arial" w:eastAsia="Arial" w:hAnsi="Arial" w:cs="Arial"/>
          <w:color w:val="000000" w:themeColor="text1"/>
          <w:sz w:val="20"/>
          <w:szCs w:val="20"/>
        </w:rPr>
        <w:t>«</w:t>
      </w:r>
      <w:r w:rsidRPr="00885D10">
        <w:rPr>
          <w:rFonts w:ascii="Arial" w:eastAsia="Arial" w:hAnsi="Arial" w:cs="Arial"/>
          <w:color w:val="000000" w:themeColor="text1"/>
          <w:sz w:val="22"/>
          <w:szCs w:val="22"/>
        </w:rPr>
        <w:t>queda prohibida la contratación directa</w:t>
      </w:r>
      <w:r w:rsidRPr="00885D10">
        <w:rPr>
          <w:rFonts w:ascii="Arial" w:eastAsia="Arial" w:hAnsi="Arial" w:cs="Arial"/>
          <w:color w:val="000000" w:themeColor="text1"/>
          <w:sz w:val="20"/>
          <w:szCs w:val="20"/>
        </w:rPr>
        <w:t>»</w:t>
      </w:r>
      <w:r w:rsidRPr="00885D10">
        <w:rPr>
          <w:rFonts w:ascii="Arial" w:eastAsia="Arial" w:hAnsi="Arial" w:cs="Arial"/>
          <w:color w:val="000000" w:themeColor="text1"/>
          <w:sz w:val="22"/>
          <w:szCs w:val="22"/>
        </w:rPr>
        <w:t>.  A propósito de esta restricción de la Ley de Garantías Electorales, la Sala de Consulta y Servicio Civil del Consejo de Estado ha considerado que:</w:t>
      </w:r>
    </w:p>
    <w:p w14:paraId="060BEA9C" w14:textId="77777777" w:rsidR="002405CC" w:rsidRPr="00885D10" w:rsidRDefault="002405CC" w:rsidP="002405CC">
      <w:pPr>
        <w:spacing w:after="0"/>
        <w:ind w:left="708" w:right="709"/>
        <w:rPr>
          <w:rFonts w:ascii="Arial" w:eastAsia="Arial" w:hAnsi="Arial" w:cs="Arial"/>
          <w:color w:val="000000" w:themeColor="text1"/>
          <w:sz w:val="21"/>
          <w:szCs w:val="21"/>
        </w:rPr>
      </w:pPr>
    </w:p>
    <w:p w14:paraId="1234145A" w14:textId="77777777" w:rsidR="002405CC" w:rsidRPr="00885D10" w:rsidRDefault="002405CC" w:rsidP="002405CC">
      <w:pPr>
        <w:spacing w:after="120" w:line="240" w:lineRule="auto"/>
        <w:ind w:left="709" w:right="709"/>
        <w:rPr>
          <w:rFonts w:ascii="Arial" w:eastAsia="Arial" w:hAnsi="Arial" w:cs="Arial"/>
          <w:color w:val="000000" w:themeColor="text1"/>
          <w:sz w:val="21"/>
          <w:szCs w:val="21"/>
        </w:rPr>
      </w:pPr>
      <w:r w:rsidRPr="00885D10">
        <w:rPr>
          <w:rFonts w:ascii="Arial" w:eastAsia="Arial" w:hAnsi="Arial" w:cs="Arial"/>
          <w:color w:val="000000" w:themeColor="text1"/>
          <w:sz w:val="21"/>
          <w:szCs w:val="21"/>
        </w:rPr>
        <w:t>La contratación directa es un mecanismo de selección de carácter excepcional, en virtud del cual las entidades públicas pueden contratar mediante un trámite simplificado, ágil y expedito sin necesidad de realizar previamente un proceso de licitación pública o concurso, únicamente en los casos en que expresa y taxativamente señale la ley (numeral 4, artículo 2, ley 1150 de 2007), y cumpliendo siempre los principios que rigen la contratación pública</w:t>
      </w:r>
      <w:r w:rsidRPr="00885D10">
        <w:rPr>
          <w:rFonts w:ascii="Arial" w:eastAsia="Arial" w:hAnsi="Arial" w:cs="Arial"/>
          <w:color w:val="000000" w:themeColor="text1"/>
          <w:sz w:val="22"/>
          <w:szCs w:val="22"/>
          <w:vertAlign w:val="superscript"/>
        </w:rPr>
        <w:footnoteReference w:id="12"/>
      </w:r>
      <w:r w:rsidRPr="00885D10">
        <w:rPr>
          <w:rFonts w:ascii="Arial" w:eastAsia="Arial" w:hAnsi="Arial" w:cs="Arial"/>
          <w:color w:val="000000" w:themeColor="text1"/>
          <w:sz w:val="21"/>
          <w:szCs w:val="21"/>
        </w:rPr>
        <w:t>.</w:t>
      </w:r>
    </w:p>
    <w:p w14:paraId="72FD8494" w14:textId="77777777" w:rsidR="002405CC" w:rsidRPr="00885D10" w:rsidRDefault="002405CC" w:rsidP="002405CC">
      <w:pPr>
        <w:spacing w:after="0" w:line="240" w:lineRule="auto"/>
        <w:ind w:left="708" w:right="709"/>
        <w:rPr>
          <w:rFonts w:ascii="Arial" w:eastAsia="Arial" w:hAnsi="Arial" w:cs="Arial"/>
          <w:color w:val="000000" w:themeColor="text1"/>
          <w:sz w:val="21"/>
          <w:szCs w:val="21"/>
        </w:rPr>
      </w:pPr>
      <w:bookmarkStart w:id="18" w:name="_2jxsxqh" w:colFirst="0" w:colLast="0"/>
      <w:bookmarkEnd w:id="18"/>
      <w:r w:rsidRPr="00885D10">
        <w:rPr>
          <w:rFonts w:ascii="Arial" w:eastAsia="Arial" w:hAnsi="Arial" w:cs="Arial"/>
          <w:color w:val="000000" w:themeColor="text1"/>
          <w:sz w:val="21"/>
          <w:szCs w:val="21"/>
        </w:rPr>
        <w:t xml:space="preserve">Esta Sala ha entendido que para los efectos de la ley de garantías, y dada su finalidad, el enunciado ´contratación directa´ es sinónimo de cualquier sistema que no implique convocatoria pública y posibilidad de pluralidad de oferentes, y que, además, no necesariamente hace referencia al procedimiento especial regulado por la ley de contratación estatal, sino a cualquier otro que prescinda </w:t>
      </w:r>
      <w:r w:rsidRPr="00885D10">
        <w:rPr>
          <w:rFonts w:ascii="Arial" w:eastAsia="Arial" w:hAnsi="Arial" w:cs="Arial"/>
          <w:color w:val="000000" w:themeColor="text1"/>
          <w:sz w:val="21"/>
          <w:szCs w:val="21"/>
        </w:rPr>
        <w:lastRenderedPageBreak/>
        <w:t>de un proceso de licitación pública o concurso</w:t>
      </w:r>
      <w:r w:rsidRPr="00885D10">
        <w:rPr>
          <w:rFonts w:ascii="Arial" w:eastAsia="Arial" w:hAnsi="Arial" w:cs="Arial"/>
          <w:color w:val="000000" w:themeColor="text1"/>
          <w:sz w:val="21"/>
          <w:szCs w:val="21"/>
          <w:vertAlign w:val="superscript"/>
        </w:rPr>
        <w:footnoteReference w:id="13"/>
      </w:r>
      <w:r w:rsidRPr="00885D10">
        <w:rPr>
          <w:rFonts w:ascii="Arial" w:eastAsia="Arial" w:hAnsi="Arial" w:cs="Arial"/>
          <w:color w:val="000000" w:themeColor="text1"/>
          <w:sz w:val="21"/>
          <w:szCs w:val="21"/>
          <w:vertAlign w:val="superscript"/>
        </w:rPr>
        <w:t>.</w:t>
      </w:r>
      <w:r w:rsidRPr="00885D10">
        <w:rPr>
          <w:rFonts w:ascii="Arial" w:eastAsia="Arial" w:hAnsi="Arial" w:cs="Arial"/>
          <w:color w:val="000000" w:themeColor="text1"/>
          <w:sz w:val="21"/>
          <w:szCs w:val="21"/>
        </w:rPr>
        <w:t xml:space="preserve"> Por tanto, no son materia de la prohibición las demás modalidades de selección previstas en la ley 1150 de 2007, siendo estas, la licitación pública, el concurso de méritos y la selección abreviada, razón por la cual en ese periodo preelectoral de que trata la disposición pueden las entidades públicas seguir contratando bajo estos sistemas. [...]</w:t>
      </w:r>
      <w:r w:rsidRPr="00885D10">
        <w:rPr>
          <w:rFonts w:ascii="Arial" w:eastAsia="Arial" w:hAnsi="Arial" w:cs="Arial"/>
          <w:color w:val="000000" w:themeColor="text1"/>
          <w:sz w:val="22"/>
          <w:szCs w:val="22"/>
          <w:vertAlign w:val="superscript"/>
        </w:rPr>
        <w:footnoteReference w:id="14"/>
      </w:r>
      <w:r w:rsidRPr="00885D10">
        <w:rPr>
          <w:rFonts w:ascii="Arial" w:eastAsia="Arial" w:hAnsi="Arial" w:cs="Arial"/>
          <w:color w:val="000000" w:themeColor="text1"/>
          <w:sz w:val="21"/>
          <w:szCs w:val="21"/>
        </w:rPr>
        <w:t xml:space="preserve"> .</w:t>
      </w:r>
    </w:p>
    <w:p w14:paraId="02D41157" w14:textId="77777777" w:rsidR="002405CC" w:rsidRPr="00885D10" w:rsidRDefault="002405CC" w:rsidP="002405CC">
      <w:pPr>
        <w:shd w:val="clear" w:color="auto" w:fill="FFFFFF"/>
        <w:spacing w:after="0"/>
        <w:ind w:firstLine="709"/>
        <w:rPr>
          <w:rFonts w:ascii="Arial" w:eastAsia="Arial" w:hAnsi="Arial" w:cs="Arial"/>
          <w:color w:val="000000" w:themeColor="text1"/>
          <w:sz w:val="22"/>
          <w:szCs w:val="22"/>
        </w:rPr>
      </w:pPr>
    </w:p>
    <w:p w14:paraId="1CA9D58E" w14:textId="77777777" w:rsidR="002405CC" w:rsidRPr="00885D10" w:rsidRDefault="002405CC" w:rsidP="002405CC">
      <w:pPr>
        <w:spacing w:after="120"/>
        <w:ind w:firstLine="708"/>
        <w:rPr>
          <w:rFonts w:ascii="Arial" w:eastAsia="Arial" w:hAnsi="Arial" w:cs="Arial"/>
          <w:color w:val="000000" w:themeColor="text1"/>
          <w:sz w:val="22"/>
          <w:szCs w:val="22"/>
        </w:rPr>
      </w:pPr>
      <w:bookmarkStart w:id="19" w:name="_z337ya" w:colFirst="0" w:colLast="0"/>
      <w:bookmarkEnd w:id="19"/>
      <w:r w:rsidRPr="00885D10">
        <w:rPr>
          <w:rFonts w:ascii="Arial" w:eastAsia="Arial" w:hAnsi="Arial" w:cs="Arial"/>
          <w:color w:val="000000" w:themeColor="text1"/>
          <w:sz w:val="22"/>
          <w:szCs w:val="22"/>
        </w:rPr>
        <w:t xml:space="preserve">De conformidad con el citado concepto, la prohibición del artículo 33 de la Ley de Garantías Electorales se refiere a </w:t>
      </w:r>
      <w:r w:rsidRPr="00885D10">
        <w:rPr>
          <w:rFonts w:ascii="Arial" w:eastAsia="Arial" w:hAnsi="Arial" w:cs="Arial"/>
          <w:color w:val="000000" w:themeColor="text1"/>
          <w:sz w:val="19"/>
          <w:szCs w:val="19"/>
        </w:rPr>
        <w:t>«</w:t>
      </w:r>
      <w:r w:rsidRPr="00885D10">
        <w:rPr>
          <w:rFonts w:ascii="Arial" w:eastAsia="Arial" w:hAnsi="Arial" w:cs="Arial"/>
          <w:color w:val="000000" w:themeColor="text1"/>
          <w:sz w:val="22"/>
          <w:szCs w:val="22"/>
        </w:rPr>
        <w:t>cualquier sistema que no implique convocatoria pública y posibilidad de pluralidad de oferentes», por lo que excluye las demás modalidades de contratación previstas en la Ley 1150 de 2007, es decir, la licitación pública, la selección abreviada y el concurso de méritos u otros previstos en normas especiales. Esta posición es congruente con la expedición de la Ley 1150 de 2007 que, entre otras reformas, introdujo la selección abreviada, rediseñó el concurso de méritos</w:t>
      </w:r>
      <w:r w:rsidRPr="00885D10">
        <w:rPr>
          <w:rFonts w:ascii="Arial" w:eastAsia="Arial" w:hAnsi="Arial" w:cs="Arial"/>
          <w:color w:val="000000" w:themeColor="text1"/>
          <w:sz w:val="22"/>
          <w:szCs w:val="22"/>
          <w:vertAlign w:val="superscript"/>
        </w:rPr>
        <w:footnoteReference w:id="15"/>
      </w:r>
      <w:r w:rsidRPr="00885D10">
        <w:rPr>
          <w:rFonts w:ascii="Arial" w:eastAsia="Arial" w:hAnsi="Arial" w:cs="Arial"/>
          <w:color w:val="000000" w:themeColor="text1"/>
          <w:sz w:val="22"/>
          <w:szCs w:val="22"/>
        </w:rPr>
        <w:t xml:space="preserve"> y sistematizó las causales de contratación directa</w:t>
      </w:r>
      <w:r w:rsidRPr="00885D10">
        <w:rPr>
          <w:rFonts w:ascii="Arial" w:eastAsia="Arial" w:hAnsi="Arial" w:cs="Arial"/>
          <w:color w:val="000000" w:themeColor="text1"/>
          <w:sz w:val="22"/>
          <w:szCs w:val="22"/>
          <w:vertAlign w:val="superscript"/>
        </w:rPr>
        <w:footnoteReference w:id="16"/>
      </w:r>
      <w:r w:rsidRPr="00885D10">
        <w:rPr>
          <w:rFonts w:ascii="Arial" w:eastAsia="Arial" w:hAnsi="Arial" w:cs="Arial"/>
          <w:color w:val="000000" w:themeColor="text1"/>
          <w:sz w:val="22"/>
          <w:szCs w:val="22"/>
        </w:rPr>
        <w:t xml:space="preserve">, además lo es con la posterior creación de la modalidad de mínima cuantía establecida actualmente en el numeral 5 del artículo 2 de la Ley 1150 de 2007, de acuerdo con las modificaciones realizadas por leyes posteriores. </w:t>
      </w:r>
    </w:p>
    <w:p w14:paraId="3A725CBD" w14:textId="77777777" w:rsidR="002405CC" w:rsidRPr="00885D10" w:rsidRDefault="002405CC" w:rsidP="002405CC">
      <w:pPr>
        <w:spacing w:after="120"/>
        <w:ind w:firstLine="708"/>
        <w:rPr>
          <w:rFonts w:ascii="Arial" w:eastAsia="Arial" w:hAnsi="Arial" w:cs="Arial"/>
          <w:color w:val="000000" w:themeColor="text1"/>
          <w:sz w:val="22"/>
          <w:szCs w:val="22"/>
        </w:rPr>
      </w:pPr>
      <w:r w:rsidRPr="00885D10">
        <w:rPr>
          <w:rFonts w:ascii="Arial" w:eastAsia="Arial" w:hAnsi="Arial" w:cs="Arial"/>
          <w:color w:val="000000" w:themeColor="text1"/>
          <w:sz w:val="22"/>
          <w:szCs w:val="22"/>
        </w:rPr>
        <w:t xml:space="preserve">De esta forma, con fundamento en la evolución normativa de la contratación pública, se ha depurado la noción de </w:t>
      </w:r>
      <w:r w:rsidRPr="00885D10">
        <w:rPr>
          <w:rFonts w:ascii="Arial" w:eastAsia="Arial" w:hAnsi="Arial" w:cs="Arial"/>
          <w:color w:val="000000" w:themeColor="text1"/>
          <w:sz w:val="19"/>
          <w:szCs w:val="19"/>
        </w:rPr>
        <w:t>«</w:t>
      </w:r>
      <w:r w:rsidRPr="00885D10">
        <w:rPr>
          <w:rFonts w:ascii="Arial" w:eastAsia="Arial" w:hAnsi="Arial" w:cs="Arial"/>
          <w:color w:val="000000" w:themeColor="text1"/>
          <w:sz w:val="22"/>
          <w:szCs w:val="22"/>
        </w:rPr>
        <w:t>contratación directa», precisando el Consejo de Estado –en el concepto citado– que, «aun cuando no coincide única y exactamente con la regulación que de dicho sistema de selección hace el artículo 2º de la Ley 1150 de 2007, tampoco puede afirmarse que sea cualquier procedimiento de contratación distinto de la licitación pública, pues esto sería tanto como desconocer que el legislador, no solo en el Estatuto General de la Contratación de la Administración Pública, sino también en leyes especiales e, incluso, en el derecho privado</w:t>
      </w:r>
      <w:r w:rsidRPr="00885D10">
        <w:rPr>
          <w:rFonts w:ascii="Arial" w:eastAsia="Arial" w:hAnsi="Arial" w:cs="Arial"/>
          <w:color w:val="000000" w:themeColor="text1"/>
          <w:sz w:val="22"/>
          <w:szCs w:val="22"/>
          <w:vertAlign w:val="superscript"/>
        </w:rPr>
        <w:footnoteReference w:id="17"/>
      </w:r>
      <w:r w:rsidRPr="00885D10">
        <w:rPr>
          <w:rFonts w:ascii="Arial" w:eastAsia="Arial" w:hAnsi="Arial" w:cs="Arial"/>
          <w:color w:val="000000" w:themeColor="text1"/>
          <w:sz w:val="22"/>
          <w:szCs w:val="22"/>
        </w:rPr>
        <w:t xml:space="preserve">, han establecido sistemas de contratación que implican convocatoria pública y participación de varios oferentes». </w:t>
      </w:r>
    </w:p>
    <w:p w14:paraId="505C9953" w14:textId="77777777" w:rsidR="002405CC" w:rsidRPr="00885D10" w:rsidRDefault="002405CC" w:rsidP="002405CC">
      <w:pPr>
        <w:spacing w:after="120"/>
        <w:ind w:firstLine="708"/>
        <w:rPr>
          <w:rFonts w:ascii="Arial" w:eastAsia="Arial" w:hAnsi="Arial" w:cs="Arial"/>
          <w:color w:val="000000" w:themeColor="text1"/>
          <w:sz w:val="22"/>
          <w:szCs w:val="22"/>
        </w:rPr>
      </w:pPr>
      <w:bookmarkStart w:id="20" w:name="_3j2qqm3" w:colFirst="0" w:colLast="0"/>
      <w:bookmarkEnd w:id="20"/>
      <w:r w:rsidRPr="00885D10">
        <w:rPr>
          <w:rFonts w:ascii="Arial" w:eastAsia="Arial" w:hAnsi="Arial" w:cs="Arial"/>
          <w:color w:val="000000" w:themeColor="text1"/>
          <w:sz w:val="22"/>
          <w:szCs w:val="22"/>
        </w:rPr>
        <w:t xml:space="preserve">En efecto, vale la pena mencionar que, en algunos sistemas de contratación, utilizados por entidades públicas con regímenes especiales, o sujetas al derecho privado, la convocatoria o invitación para contratar puede limitarse a aquellas personas que </w:t>
      </w:r>
      <w:r w:rsidRPr="00885D10">
        <w:rPr>
          <w:rFonts w:ascii="Arial" w:eastAsia="Arial" w:hAnsi="Arial" w:cs="Arial"/>
          <w:color w:val="000000" w:themeColor="text1"/>
          <w:sz w:val="22"/>
          <w:szCs w:val="22"/>
        </w:rPr>
        <w:lastRenderedPageBreak/>
        <w:t>previamente se hayan inscrito en una lista de precalificados o de simples interesados, o en un determinado registro o banco de datos de proveedores. En estos casos, lo determinante para considerar que dicho sistema no constituye «contratación directa», es que la convocatoria para inscribirse en forma previa se haga de manera pública, y que se permita la participación de una pluralidad de oferentes</w:t>
      </w:r>
      <w:r w:rsidRPr="00885D10">
        <w:rPr>
          <w:rFonts w:ascii="Arial" w:eastAsia="Arial" w:hAnsi="Arial" w:cs="Arial"/>
          <w:color w:val="000000" w:themeColor="text1"/>
          <w:sz w:val="22"/>
          <w:szCs w:val="22"/>
          <w:vertAlign w:val="superscript"/>
        </w:rPr>
        <w:footnoteReference w:id="18"/>
      </w:r>
      <w:r w:rsidRPr="00885D10">
        <w:rPr>
          <w:rFonts w:ascii="Arial" w:eastAsia="Arial" w:hAnsi="Arial" w:cs="Arial"/>
          <w:color w:val="000000" w:themeColor="text1"/>
          <w:sz w:val="22"/>
          <w:szCs w:val="22"/>
        </w:rPr>
        <w:t xml:space="preserve">. </w:t>
      </w:r>
    </w:p>
    <w:p w14:paraId="0B72D6C1" w14:textId="77777777" w:rsidR="002405CC" w:rsidRPr="00885D10" w:rsidRDefault="002405CC" w:rsidP="002405CC">
      <w:pPr>
        <w:spacing w:after="120"/>
        <w:ind w:firstLine="708"/>
        <w:rPr>
          <w:rFonts w:ascii="Arial" w:eastAsia="Arial" w:hAnsi="Arial" w:cs="Arial"/>
          <w:color w:val="000000" w:themeColor="text1"/>
          <w:sz w:val="22"/>
          <w:szCs w:val="22"/>
        </w:rPr>
      </w:pPr>
      <w:r w:rsidRPr="00885D10">
        <w:rPr>
          <w:rFonts w:ascii="Arial" w:eastAsia="Arial" w:hAnsi="Arial" w:cs="Arial"/>
          <w:color w:val="000000" w:themeColor="text1"/>
          <w:sz w:val="22"/>
          <w:szCs w:val="22"/>
        </w:rPr>
        <w:t>Como se advierte de lo anterior, el Consejo de Estado realiza una interpretación amplia de la contratación directa, para efectos de aplicar las restricciones establecidas en la Ley de Garantías, al señalar que no solo aplica frente a las entidades sometidas al Estatuto general de Contratación de la Administración Pública, sino también frente a las entidades que tengan un régimen especial de contratación. No obstante, también se observa que luego de la expedición de Ley 1150 de 2007, el Consejo de Estado comenzó a delimitar con mayor precisión el término «contratación directa».</w:t>
      </w:r>
    </w:p>
    <w:p w14:paraId="4FA5562C" w14:textId="77777777" w:rsidR="002405CC" w:rsidRPr="00885D10" w:rsidRDefault="002405CC" w:rsidP="002405CC">
      <w:pPr>
        <w:spacing w:after="120"/>
        <w:ind w:firstLine="708"/>
        <w:rPr>
          <w:rFonts w:ascii="Arial" w:eastAsia="Arial" w:hAnsi="Arial" w:cs="Arial"/>
          <w:color w:val="000000" w:themeColor="text1"/>
          <w:sz w:val="22"/>
          <w:szCs w:val="22"/>
        </w:rPr>
      </w:pPr>
      <w:bookmarkStart w:id="21" w:name="_1y810tw" w:colFirst="0" w:colLast="0"/>
      <w:bookmarkEnd w:id="21"/>
      <w:r w:rsidRPr="00885D10">
        <w:rPr>
          <w:rFonts w:ascii="Arial" w:eastAsia="Arial" w:hAnsi="Arial" w:cs="Arial"/>
          <w:color w:val="000000" w:themeColor="text1"/>
          <w:sz w:val="22"/>
          <w:szCs w:val="22"/>
        </w:rPr>
        <w:t xml:space="preserve"> Así las cosas, ha de entenderse que, para efectos de la Ley de Garantías Electorales y, en particular, para la prohibición o restricción temporal contenida en su artículo 33, «contratación directa» es cualquier sistema de selección o procedimiento de contratación utilizado por las entidades estatales que no incluya la convocatoria pública en alguna de sus etapas, ni permita la participación de una pluralidad de oferentes</w:t>
      </w:r>
      <w:r w:rsidRPr="00885D10">
        <w:rPr>
          <w:rFonts w:ascii="Arial" w:eastAsia="Arial" w:hAnsi="Arial" w:cs="Arial"/>
          <w:color w:val="000000" w:themeColor="text1"/>
          <w:sz w:val="22"/>
          <w:szCs w:val="22"/>
          <w:vertAlign w:val="superscript"/>
        </w:rPr>
        <w:footnoteReference w:id="19"/>
      </w:r>
      <w:r w:rsidRPr="00885D10">
        <w:rPr>
          <w:rFonts w:ascii="Arial" w:eastAsia="Arial" w:hAnsi="Arial" w:cs="Arial"/>
          <w:color w:val="000000" w:themeColor="text1"/>
          <w:sz w:val="22"/>
          <w:szCs w:val="22"/>
        </w:rPr>
        <w:t>.</w:t>
      </w:r>
      <w:r w:rsidRPr="00885D10">
        <w:rPr>
          <w:rFonts w:ascii="Arial" w:eastAsia="Arial" w:hAnsi="Arial" w:cs="Arial"/>
          <w:color w:val="000000" w:themeColor="text1"/>
          <w:sz w:val="22"/>
          <w:szCs w:val="22"/>
          <w:vertAlign w:val="superscript"/>
        </w:rPr>
        <w:t xml:space="preserve"> </w:t>
      </w:r>
    </w:p>
    <w:p w14:paraId="14E7A855" w14:textId="77777777" w:rsidR="002405CC" w:rsidRPr="00885D10" w:rsidRDefault="002405CC" w:rsidP="002405CC">
      <w:pPr>
        <w:spacing w:after="120"/>
        <w:ind w:firstLine="708"/>
        <w:rPr>
          <w:rFonts w:ascii="Arial" w:eastAsia="Arial" w:hAnsi="Arial" w:cs="Arial"/>
          <w:color w:val="000000" w:themeColor="text1"/>
          <w:sz w:val="22"/>
          <w:szCs w:val="22"/>
        </w:rPr>
      </w:pPr>
      <w:r w:rsidRPr="00885D10">
        <w:rPr>
          <w:rFonts w:ascii="Arial" w:eastAsia="Arial" w:hAnsi="Arial" w:cs="Arial"/>
          <w:color w:val="000000" w:themeColor="text1"/>
          <w:sz w:val="22"/>
          <w:szCs w:val="22"/>
        </w:rPr>
        <w:t>De lo anterior se desprende que la restricción aplica, sin perjuicio de las excepciones establecidas en la misma ley, para celebrar cualquier contrato de forma directa, esto es, sin que exista un proceso abierto y competitivo. Por tanto, no son materia de la prohibición las demás modalidades de selección previstas en la Ley 1150 de 2007, es decir, la licitación pública, el concurso de méritos y la selección abreviada, razón por la cual en ese período preelectoral de que trata la disposición pueden las entidades públicas seguir contratando bajo estas modalidades.</w:t>
      </w:r>
    </w:p>
    <w:p w14:paraId="16319042" w14:textId="77777777" w:rsidR="002405CC" w:rsidRPr="00885D10" w:rsidRDefault="002405CC" w:rsidP="002405CC">
      <w:pPr>
        <w:spacing w:after="120"/>
        <w:ind w:firstLine="708"/>
        <w:rPr>
          <w:rFonts w:ascii="Arial" w:eastAsia="Arial" w:hAnsi="Arial" w:cs="Arial"/>
          <w:color w:val="000000" w:themeColor="text1"/>
          <w:sz w:val="22"/>
          <w:szCs w:val="22"/>
        </w:rPr>
      </w:pPr>
      <w:bookmarkStart w:id="22" w:name="_4i7ojhp" w:colFirst="0" w:colLast="0"/>
      <w:bookmarkEnd w:id="22"/>
      <w:r w:rsidRPr="00885D10">
        <w:rPr>
          <w:rFonts w:ascii="Arial" w:eastAsia="Arial" w:hAnsi="Arial" w:cs="Arial"/>
          <w:color w:val="000000" w:themeColor="text1"/>
          <w:sz w:val="22"/>
          <w:szCs w:val="22"/>
        </w:rPr>
        <w:t>Como en otras oportunidades lo ha manifestado esta Agencia, las prórrogas, modificaciones o adiciones de los contratos suscritos antes de la entrada en vigencia de las prohibiciones anotadas, así como la cesión de los mismos, pueden tener lugar en el período de aplicación de la Ley de Garantías, sin que ello haga nugatoria la restricción de la contratación directa y siempre que cumplan los principios de planeación, transparencia y responsabilidad.</w:t>
      </w:r>
    </w:p>
    <w:p w14:paraId="0678037B" w14:textId="77777777" w:rsidR="002405CC" w:rsidRPr="00885D10" w:rsidRDefault="002405CC" w:rsidP="002405CC">
      <w:pPr>
        <w:spacing w:after="120"/>
        <w:ind w:firstLine="708"/>
        <w:rPr>
          <w:rFonts w:ascii="Arial" w:eastAsia="Arial" w:hAnsi="Arial" w:cs="Arial"/>
          <w:color w:val="000000" w:themeColor="text1"/>
          <w:sz w:val="22"/>
          <w:szCs w:val="22"/>
        </w:rPr>
      </w:pPr>
      <w:r w:rsidRPr="00885D10">
        <w:rPr>
          <w:rFonts w:ascii="Arial" w:eastAsia="Arial" w:hAnsi="Arial" w:cs="Arial"/>
          <w:color w:val="000000" w:themeColor="text1"/>
          <w:sz w:val="22"/>
          <w:szCs w:val="22"/>
        </w:rPr>
        <w:t xml:space="preserve">De otro lado, las excepciones a la restricción prevista en la Ley de Garantías, con fundamento en las cuales podrán las entidades públicas adelantar procedimientos de selección directa en períodos previos a la contienda electoral por la Presidencia, se </w:t>
      </w:r>
      <w:r w:rsidRPr="00885D10">
        <w:rPr>
          <w:rFonts w:ascii="Arial" w:eastAsia="Arial" w:hAnsi="Arial" w:cs="Arial"/>
          <w:color w:val="000000" w:themeColor="text1"/>
          <w:sz w:val="22"/>
          <w:szCs w:val="22"/>
        </w:rPr>
        <w:lastRenderedPageBreak/>
        <w:t xml:space="preserve">encuentran consagradas en el inciso final del citado artículo 33 de la Ley 996 de 2005, en lo referente a: i) la defensa y seguridad del Estado; </w:t>
      </w:r>
      <w:proofErr w:type="spellStart"/>
      <w:r w:rsidRPr="00885D10">
        <w:rPr>
          <w:rFonts w:ascii="Arial" w:eastAsia="Arial" w:hAnsi="Arial" w:cs="Arial"/>
          <w:color w:val="000000" w:themeColor="text1"/>
          <w:sz w:val="22"/>
          <w:szCs w:val="22"/>
        </w:rPr>
        <w:t>ii</w:t>
      </w:r>
      <w:proofErr w:type="spellEnd"/>
      <w:r w:rsidRPr="00885D10">
        <w:rPr>
          <w:rFonts w:ascii="Arial" w:eastAsia="Arial" w:hAnsi="Arial" w:cs="Arial"/>
          <w:color w:val="000000" w:themeColor="text1"/>
          <w:sz w:val="22"/>
          <w:szCs w:val="22"/>
        </w:rPr>
        <w:t xml:space="preserve">) los contratos de crédito público; </w:t>
      </w:r>
      <w:proofErr w:type="spellStart"/>
      <w:r w:rsidRPr="00885D10">
        <w:rPr>
          <w:rFonts w:ascii="Arial" w:eastAsia="Arial" w:hAnsi="Arial" w:cs="Arial"/>
          <w:color w:val="000000" w:themeColor="text1"/>
          <w:sz w:val="22"/>
          <w:szCs w:val="22"/>
        </w:rPr>
        <w:t>iii</w:t>
      </w:r>
      <w:proofErr w:type="spellEnd"/>
      <w:r w:rsidRPr="00885D10">
        <w:rPr>
          <w:rFonts w:ascii="Arial" w:eastAsia="Arial" w:hAnsi="Arial" w:cs="Arial"/>
          <w:color w:val="000000" w:themeColor="text1"/>
          <w:sz w:val="22"/>
          <w:szCs w:val="22"/>
        </w:rPr>
        <w:t xml:space="preserve">) los requeridos para cubrir las emergencias educativas, sanitarias y desastres; </w:t>
      </w:r>
      <w:proofErr w:type="spellStart"/>
      <w:r w:rsidRPr="00885D10">
        <w:rPr>
          <w:rFonts w:ascii="Arial" w:eastAsia="Arial" w:hAnsi="Arial" w:cs="Arial"/>
          <w:color w:val="000000" w:themeColor="text1"/>
          <w:sz w:val="22"/>
          <w:szCs w:val="22"/>
        </w:rPr>
        <w:t>iv</w:t>
      </w:r>
      <w:proofErr w:type="spellEnd"/>
      <w:r w:rsidRPr="00885D10">
        <w:rPr>
          <w:rFonts w:ascii="Arial" w:eastAsia="Arial" w:hAnsi="Arial" w:cs="Arial"/>
          <w:color w:val="000000" w:themeColor="text1"/>
          <w:sz w:val="22"/>
          <w:szCs w:val="22"/>
        </w:rPr>
        <w:t>) los utilizados para la reconstrucción de vías, puentes, carreteras, infraestructura energética y de comunicaciones, en caso de que hayan sido objeto de atentados, acciones terroristas, desastres naturales o casos de fuerza mayor; y, v) los que deban realizar las entidades sanitarias y hospitalarias. Es responsabilidad del respectivo ente del Estado, examinar en cada caso la naturaleza de las actividades que adelanta y determinar si las mismas se enmarcan en alguna de las mencionadas excepciones, de manera que se le permita realizar la contratación que necesite en forma directa.</w:t>
      </w:r>
    </w:p>
    <w:p w14:paraId="452A2E72" w14:textId="77777777" w:rsidR="002405CC" w:rsidRPr="00885D10" w:rsidRDefault="002405CC" w:rsidP="002405CC">
      <w:pPr>
        <w:spacing w:after="120"/>
        <w:ind w:firstLine="709"/>
        <w:rPr>
          <w:color w:val="000000" w:themeColor="text1"/>
        </w:rPr>
      </w:pPr>
      <w:r w:rsidRPr="00885D10">
        <w:rPr>
          <w:rFonts w:ascii="Arial" w:eastAsia="Arial" w:hAnsi="Arial" w:cs="Arial"/>
          <w:color w:val="000000" w:themeColor="text1"/>
          <w:sz w:val="22"/>
          <w:szCs w:val="22"/>
        </w:rPr>
        <w:t>En esta labor es importante tener en cuenta, como lo anotó la Corte Constitucional, en Sentencia C-1153 de noviembre 11 de 2005</w:t>
      </w:r>
      <w:r w:rsidRPr="00885D10">
        <w:rPr>
          <w:color w:val="000000" w:themeColor="text1"/>
          <w:vertAlign w:val="superscript"/>
        </w:rPr>
        <w:t>,</w:t>
      </w:r>
      <w:r w:rsidRPr="00885D10">
        <w:rPr>
          <w:rFonts w:ascii="Arial" w:eastAsia="Arial" w:hAnsi="Arial" w:cs="Arial"/>
          <w:color w:val="000000" w:themeColor="text1"/>
          <w:sz w:val="22"/>
          <w:szCs w:val="22"/>
        </w:rPr>
        <w:t xml:space="preserve"> que «si bien la limitación garantiza la igualdad de condiciones, también es necesario que tal limitación que pretende la igualdad no termine yendo en detrimento de intereses públicos, cuya garantía está en cabeza del ejecutivo, como son los inmersos en las excepciones para la prohibición de contratación»</w:t>
      </w:r>
      <w:r w:rsidRPr="00885D10">
        <w:rPr>
          <w:rFonts w:ascii="Arial" w:eastAsia="Arial" w:hAnsi="Arial" w:cs="Arial"/>
          <w:color w:val="000000" w:themeColor="text1"/>
          <w:sz w:val="22"/>
          <w:szCs w:val="22"/>
          <w:vertAlign w:val="superscript"/>
        </w:rPr>
        <w:footnoteReference w:id="20"/>
      </w:r>
      <w:r w:rsidRPr="00885D10">
        <w:rPr>
          <w:rFonts w:ascii="Arial" w:eastAsia="Arial" w:hAnsi="Arial" w:cs="Arial"/>
          <w:color w:val="000000" w:themeColor="text1"/>
          <w:sz w:val="22"/>
          <w:szCs w:val="22"/>
        </w:rPr>
        <w:t>. De ahí que la Corte hizo hincapié en que las excepciones a la restricción protegen diversos tipos de urgencias de defensa, salud, educación, infraestructura vial y de servicios públicos y ecológicas, que tienden a no limitar desproporcionadamente la acción del Estado en el cumplimiento de sus fines, en procura de la igualdad entre los candidatos como garantía electoral.</w:t>
      </w:r>
      <w:bookmarkStart w:id="23" w:name="_2xcytpi" w:colFirst="0" w:colLast="0"/>
      <w:bookmarkEnd w:id="23"/>
    </w:p>
    <w:p w14:paraId="7E449E0E" w14:textId="77777777" w:rsidR="002405CC" w:rsidRPr="00885D10" w:rsidRDefault="002405CC" w:rsidP="002405CC">
      <w:pPr>
        <w:spacing w:after="0"/>
        <w:ind w:firstLine="708"/>
        <w:rPr>
          <w:rFonts w:ascii="Arial" w:eastAsia="Arial" w:hAnsi="Arial" w:cs="Arial"/>
          <w:color w:val="000000" w:themeColor="text1"/>
          <w:sz w:val="22"/>
          <w:szCs w:val="22"/>
        </w:rPr>
      </w:pPr>
      <w:r w:rsidRPr="00885D10">
        <w:rPr>
          <w:rFonts w:ascii="Arial" w:eastAsia="Arial" w:hAnsi="Arial" w:cs="Arial"/>
          <w:color w:val="000000" w:themeColor="text1"/>
          <w:sz w:val="22"/>
          <w:szCs w:val="22"/>
        </w:rPr>
        <w:t>De conformidad con lo expuesto, se concluye que durante los cuatro (4) meses anteriores a la elección presidencial y hasta la realización de la elección en la segunda vuelta, queda prohibida la contratación directa por parte de todos los entes del Estado, entendido el término contratación directa como cualquier sistema de selección o procedimiento de contratación utilizado por las entidades estatales que no incluya la convocatoria pública en alguna de sus etapas, ni permita la participación de una pluralidad de oferentes. Lo anterior, sin perjuicio de las excepciones contempladas en el ordenamiento jurídico.</w:t>
      </w:r>
    </w:p>
    <w:p w14:paraId="29708CB4" w14:textId="77777777" w:rsidR="002405CC" w:rsidRPr="00885D10" w:rsidRDefault="002405CC" w:rsidP="002405CC">
      <w:pPr>
        <w:spacing w:after="0"/>
        <w:ind w:firstLine="708"/>
        <w:rPr>
          <w:rFonts w:ascii="Arial" w:eastAsia="Arial" w:hAnsi="Arial" w:cs="Arial"/>
          <w:color w:val="000000" w:themeColor="text1"/>
          <w:sz w:val="22"/>
          <w:szCs w:val="22"/>
        </w:rPr>
      </w:pPr>
    </w:p>
    <w:p w14:paraId="5DD2948E" w14:textId="77777777" w:rsidR="002405CC" w:rsidRPr="00885D10" w:rsidRDefault="002405CC" w:rsidP="002405CC">
      <w:pPr>
        <w:spacing w:after="0"/>
        <w:rPr>
          <w:rFonts w:ascii="Arial" w:eastAsia="Arial" w:hAnsi="Arial" w:cs="Arial"/>
          <w:b/>
          <w:color w:val="000000" w:themeColor="text1"/>
          <w:sz w:val="22"/>
          <w:szCs w:val="22"/>
        </w:rPr>
      </w:pPr>
      <w:r w:rsidRPr="00885D10">
        <w:rPr>
          <w:rFonts w:ascii="Arial" w:eastAsia="Arial" w:hAnsi="Arial" w:cs="Arial"/>
          <w:b/>
          <w:color w:val="000000" w:themeColor="text1"/>
          <w:sz w:val="22"/>
          <w:szCs w:val="22"/>
        </w:rPr>
        <w:t>2.3.  Destinatarios de la restricción del artículo 33 de la Ley 996 de 2005</w:t>
      </w:r>
    </w:p>
    <w:p w14:paraId="7299EA25" w14:textId="77777777" w:rsidR="002405CC" w:rsidRPr="00885D10" w:rsidRDefault="002405CC" w:rsidP="002405CC">
      <w:pPr>
        <w:spacing w:after="0"/>
        <w:rPr>
          <w:rFonts w:ascii="Arial" w:eastAsia="Arial" w:hAnsi="Arial" w:cs="Arial"/>
          <w:color w:val="000000" w:themeColor="text1"/>
          <w:sz w:val="22"/>
          <w:szCs w:val="22"/>
        </w:rPr>
      </w:pPr>
    </w:p>
    <w:p w14:paraId="15B87020" w14:textId="77777777" w:rsidR="002405CC" w:rsidRPr="00885D10" w:rsidRDefault="002405CC" w:rsidP="002405CC">
      <w:pPr>
        <w:spacing w:after="0"/>
        <w:rPr>
          <w:rFonts w:ascii="Arial" w:eastAsia="Arial" w:hAnsi="Arial" w:cs="Arial"/>
          <w:color w:val="000000" w:themeColor="text1"/>
          <w:sz w:val="22"/>
          <w:szCs w:val="22"/>
        </w:rPr>
      </w:pPr>
      <w:bookmarkStart w:id="24" w:name="_1ci93xb" w:colFirst="0" w:colLast="0"/>
      <w:bookmarkEnd w:id="24"/>
      <w:r w:rsidRPr="00885D10">
        <w:rPr>
          <w:rFonts w:ascii="Arial" w:eastAsia="Arial" w:hAnsi="Arial" w:cs="Arial"/>
          <w:color w:val="000000" w:themeColor="text1"/>
          <w:sz w:val="22"/>
          <w:szCs w:val="22"/>
        </w:rPr>
        <w:t>El artículo 33 de la Ley 996 de 2005 señala expresamente a los destinatarios de la prohibición, en el sentido de que son «todos los entes del Estado», expresión que contempla a los diferentes organismos o entidades autorizadas por la ley para suscribir contratos.</w:t>
      </w:r>
      <w:r w:rsidRPr="00885D10">
        <w:rPr>
          <w:color w:val="000000" w:themeColor="text1"/>
        </w:rPr>
        <w:t xml:space="preserve"> </w:t>
      </w:r>
      <w:r w:rsidRPr="00885D10">
        <w:rPr>
          <w:rFonts w:ascii="Arial" w:eastAsia="Arial" w:hAnsi="Arial" w:cs="Arial"/>
          <w:color w:val="000000" w:themeColor="text1"/>
          <w:sz w:val="22"/>
          <w:szCs w:val="22"/>
        </w:rPr>
        <w:t>En efecto, tal como lo ha sostenido el Consejo de Estado, el vocablo «todos» utilizado por el legislador comprende</w:t>
      </w:r>
      <w:r w:rsidRPr="00885D10">
        <w:rPr>
          <w:color w:val="000000" w:themeColor="text1"/>
        </w:rPr>
        <w:t xml:space="preserve"> </w:t>
      </w:r>
      <w:r w:rsidRPr="00885D10">
        <w:rPr>
          <w:rFonts w:ascii="Arial" w:eastAsia="Arial" w:hAnsi="Arial" w:cs="Arial"/>
          <w:color w:val="000000" w:themeColor="text1"/>
          <w:sz w:val="22"/>
          <w:szCs w:val="22"/>
        </w:rPr>
        <w:t xml:space="preserve">a la totalidad de los entes del Estado, sin distinción del régimen </w:t>
      </w:r>
      <w:r w:rsidRPr="00885D10">
        <w:rPr>
          <w:rFonts w:ascii="Arial" w:eastAsia="Arial" w:hAnsi="Arial" w:cs="Arial"/>
          <w:color w:val="000000" w:themeColor="text1"/>
          <w:sz w:val="22"/>
          <w:szCs w:val="22"/>
        </w:rPr>
        <w:lastRenderedPageBreak/>
        <w:t xml:space="preserve">jurídico, forma de organización o naturaleza, su pertenencia a una u otra rama del poder público o su autonomía, e incluso si las entidades estatales tienen régimen especial de contratación y están exceptuadas del ámbito de aplicación del Estatuto General de Contratación de la Administración Pública. El Consejo de Estado, en Concepto con radicado 1727 de fecha 20 de febrero de 2006, consideró que: </w:t>
      </w:r>
    </w:p>
    <w:p w14:paraId="5FB237A4" w14:textId="77777777" w:rsidR="002405CC" w:rsidRPr="00885D10" w:rsidRDefault="002405CC" w:rsidP="002405CC">
      <w:pPr>
        <w:spacing w:after="0"/>
        <w:ind w:firstLine="708"/>
        <w:rPr>
          <w:rFonts w:ascii="Arial" w:eastAsia="Arial" w:hAnsi="Arial" w:cs="Arial"/>
          <w:color w:val="000000" w:themeColor="text1"/>
          <w:sz w:val="22"/>
          <w:szCs w:val="22"/>
        </w:rPr>
      </w:pPr>
    </w:p>
    <w:p w14:paraId="530D7B60" w14:textId="77777777" w:rsidR="002405CC" w:rsidRPr="00885D10" w:rsidRDefault="002405CC" w:rsidP="002405CC">
      <w:pPr>
        <w:spacing w:after="0" w:line="240" w:lineRule="auto"/>
        <w:ind w:left="708" w:right="709"/>
        <w:rPr>
          <w:rFonts w:ascii="Arial" w:eastAsia="Arial" w:hAnsi="Arial" w:cs="Arial"/>
          <w:color w:val="000000" w:themeColor="text1"/>
          <w:sz w:val="21"/>
          <w:szCs w:val="21"/>
        </w:rPr>
      </w:pPr>
      <w:bookmarkStart w:id="25" w:name="_3whwml4" w:colFirst="0" w:colLast="0"/>
      <w:bookmarkEnd w:id="25"/>
      <w:r w:rsidRPr="00885D10">
        <w:rPr>
          <w:rFonts w:ascii="Arial" w:eastAsia="Arial" w:hAnsi="Arial" w:cs="Arial"/>
          <w:color w:val="000000" w:themeColor="text1"/>
          <w:sz w:val="21"/>
          <w:szCs w:val="21"/>
        </w:rPr>
        <w:t>El artículo 33 de la ley 996 de 2005, efectivamente se aplica incluso a las entidades estatales con régimen especial de contratación y que están exceptuadas del ámbito de aplicación del Estatuto General de Contratación de la Administración Pública, como por ejemplo los prestadores de servicios públicos domiciliarios (empresas de servicios públicos oficiales y empresas industriales y comerciales del Estado) y a los municipios prestadores directos, incluyendo las excepciones contenidas en el segundo inciso de esta norma</w:t>
      </w:r>
      <w:r w:rsidRPr="00885D10">
        <w:rPr>
          <w:rFonts w:ascii="Arial" w:eastAsia="Arial" w:hAnsi="Arial" w:cs="Arial"/>
          <w:color w:val="000000" w:themeColor="text1"/>
          <w:sz w:val="21"/>
          <w:szCs w:val="21"/>
          <w:vertAlign w:val="superscript"/>
        </w:rPr>
        <w:footnoteReference w:id="21"/>
      </w:r>
      <w:r w:rsidRPr="00885D10">
        <w:rPr>
          <w:rFonts w:ascii="Arial" w:eastAsia="Arial" w:hAnsi="Arial" w:cs="Arial"/>
          <w:color w:val="000000" w:themeColor="text1"/>
          <w:sz w:val="21"/>
          <w:szCs w:val="21"/>
        </w:rPr>
        <w:t xml:space="preserve">. </w:t>
      </w:r>
    </w:p>
    <w:p w14:paraId="4742E1D3" w14:textId="77777777" w:rsidR="002405CC" w:rsidRPr="00885D10" w:rsidRDefault="002405CC" w:rsidP="002405CC">
      <w:pPr>
        <w:spacing w:after="0"/>
        <w:ind w:firstLine="708"/>
        <w:rPr>
          <w:rFonts w:ascii="Arial" w:eastAsia="Arial" w:hAnsi="Arial" w:cs="Arial"/>
          <w:color w:val="000000" w:themeColor="text1"/>
          <w:sz w:val="22"/>
          <w:szCs w:val="22"/>
        </w:rPr>
      </w:pPr>
    </w:p>
    <w:p w14:paraId="6BDE2E39" w14:textId="77777777" w:rsidR="002405CC" w:rsidRPr="00885D10" w:rsidRDefault="002405CC" w:rsidP="002405CC">
      <w:pPr>
        <w:spacing w:after="0"/>
        <w:ind w:firstLine="708"/>
        <w:rPr>
          <w:rFonts w:ascii="Arial" w:eastAsia="Arial" w:hAnsi="Arial" w:cs="Arial"/>
          <w:color w:val="000000" w:themeColor="text1"/>
          <w:sz w:val="22"/>
          <w:szCs w:val="22"/>
        </w:rPr>
      </w:pPr>
      <w:bookmarkStart w:id="26" w:name="_2bn6wsx" w:colFirst="0" w:colLast="0"/>
      <w:bookmarkEnd w:id="26"/>
      <w:r w:rsidRPr="00885D10">
        <w:rPr>
          <w:rFonts w:ascii="Arial" w:eastAsia="Arial" w:hAnsi="Arial" w:cs="Arial"/>
          <w:color w:val="000000" w:themeColor="text1"/>
          <w:sz w:val="22"/>
          <w:szCs w:val="22"/>
        </w:rPr>
        <w:t>De igual forma, en Concepto con radicado 1738 de 6 de abril de 2006, esa misma Corporación manifestó que «Las restricciones de la Ley de Garantías en materia de contratación directa y celebración de convenios interadministrativos, se aplican a las empresas industriales y comerciales del Estado y a las Sociedades de Economía Mixta, salvo cuando la celebración de un convenio interadministrativo sea ordenada, para ambas partes, por el Legislador»</w:t>
      </w:r>
      <w:r w:rsidRPr="00885D10">
        <w:rPr>
          <w:rFonts w:ascii="Arial" w:eastAsia="Arial" w:hAnsi="Arial" w:cs="Arial"/>
          <w:color w:val="000000" w:themeColor="text1"/>
          <w:vertAlign w:val="superscript"/>
        </w:rPr>
        <w:footnoteReference w:id="22"/>
      </w:r>
      <w:r w:rsidRPr="00885D10">
        <w:rPr>
          <w:rFonts w:ascii="Arial" w:eastAsia="Arial" w:hAnsi="Arial" w:cs="Arial"/>
          <w:color w:val="000000" w:themeColor="text1"/>
          <w:sz w:val="22"/>
          <w:szCs w:val="22"/>
        </w:rPr>
        <w:t>. Sin embargo, debe precisarse el siguiente aspecto que distinguió la Sala de Consulta y Servicio Civil:</w:t>
      </w:r>
    </w:p>
    <w:p w14:paraId="45A020FD" w14:textId="77777777" w:rsidR="002405CC" w:rsidRPr="00885D10" w:rsidRDefault="002405CC" w:rsidP="002405CC">
      <w:pPr>
        <w:spacing w:after="0"/>
        <w:rPr>
          <w:rFonts w:ascii="Arial" w:eastAsia="Arial" w:hAnsi="Arial" w:cs="Arial"/>
          <w:color w:val="000000" w:themeColor="text1"/>
          <w:sz w:val="22"/>
          <w:szCs w:val="22"/>
        </w:rPr>
      </w:pPr>
    </w:p>
    <w:p w14:paraId="2B1E737C" w14:textId="77777777" w:rsidR="002405CC" w:rsidRPr="00885D10" w:rsidRDefault="002405CC" w:rsidP="002405CC">
      <w:pPr>
        <w:spacing w:after="0" w:line="240" w:lineRule="auto"/>
        <w:ind w:left="708" w:right="709"/>
        <w:rPr>
          <w:rFonts w:ascii="Arial" w:eastAsia="Arial" w:hAnsi="Arial" w:cs="Arial"/>
          <w:color w:val="000000" w:themeColor="text1"/>
          <w:sz w:val="21"/>
          <w:szCs w:val="21"/>
        </w:rPr>
      </w:pPr>
      <w:bookmarkStart w:id="27" w:name="_qsh70q" w:colFirst="0" w:colLast="0"/>
      <w:bookmarkEnd w:id="27"/>
      <w:r w:rsidRPr="00885D10">
        <w:rPr>
          <w:rFonts w:ascii="Arial" w:eastAsia="Arial" w:hAnsi="Arial" w:cs="Arial"/>
          <w:color w:val="000000" w:themeColor="text1"/>
          <w:sz w:val="21"/>
          <w:szCs w:val="21"/>
        </w:rPr>
        <w:t xml:space="preserve">En el concepto No. 1727 de fecha 20 de febrero de 2006, ésta Sala distinguió dos clases de contratos en relación con las empresas de servicios públicos domiciliarios: unos, en los que la posición de la empresa es la de consumidora de las prestaciones objeto del contrato, que utiliza para la prestación de los servicios a su cargo, y los otros, en los que la empresa entrega esos servicios a los usuarios, conforme a unas reglas uniformes para todos ellos y sin que haya privilegios o tratos desiguales. En los primeros contratos, es claro que la </w:t>
      </w:r>
      <w:r w:rsidRPr="00885D10">
        <w:rPr>
          <w:rFonts w:ascii="Arial" w:eastAsia="Arial" w:hAnsi="Arial" w:cs="Arial"/>
          <w:color w:val="000000" w:themeColor="text1"/>
          <w:sz w:val="21"/>
          <w:szCs w:val="21"/>
        </w:rPr>
        <w:lastRenderedPageBreak/>
        <w:t>empresa debe adquirir esos bienes previa licitación pública, según se expuso anteriormente, pero en el segundo caso, las empresas no pueden dejar de entregar los servicios públicos a su cargo a nuevas personas, ni dejar de renovar los contratos existentes, pues significaría la parálisis de una actividad propia de la administración, que incluso podría desconocer los derechos fundamentales</w:t>
      </w:r>
      <w:r w:rsidRPr="00885D10">
        <w:rPr>
          <w:rFonts w:ascii="Arial" w:eastAsia="Arial" w:hAnsi="Arial" w:cs="Arial"/>
          <w:color w:val="000000" w:themeColor="text1"/>
          <w:vertAlign w:val="superscript"/>
        </w:rPr>
        <w:footnoteReference w:id="23"/>
      </w:r>
      <w:r w:rsidRPr="00885D10">
        <w:rPr>
          <w:rFonts w:ascii="Arial" w:eastAsia="Arial" w:hAnsi="Arial" w:cs="Arial"/>
          <w:color w:val="000000" w:themeColor="text1"/>
          <w:sz w:val="22"/>
          <w:szCs w:val="22"/>
        </w:rPr>
        <w:t>.</w:t>
      </w:r>
    </w:p>
    <w:p w14:paraId="4A413343" w14:textId="77777777" w:rsidR="002405CC" w:rsidRPr="00885D10" w:rsidRDefault="002405CC" w:rsidP="002405CC">
      <w:pPr>
        <w:spacing w:after="0"/>
        <w:rPr>
          <w:rFonts w:ascii="Arial" w:eastAsia="Arial" w:hAnsi="Arial" w:cs="Arial"/>
          <w:color w:val="000000" w:themeColor="text1"/>
          <w:sz w:val="22"/>
          <w:szCs w:val="22"/>
        </w:rPr>
      </w:pPr>
    </w:p>
    <w:p w14:paraId="42587BAA" w14:textId="77777777" w:rsidR="002405CC" w:rsidRPr="00885D10" w:rsidRDefault="002405CC" w:rsidP="002405CC">
      <w:pPr>
        <w:spacing w:after="120"/>
        <w:ind w:firstLine="709"/>
        <w:rPr>
          <w:rFonts w:ascii="Arial" w:eastAsia="Arial" w:hAnsi="Arial" w:cs="Arial"/>
          <w:color w:val="000000" w:themeColor="text1"/>
          <w:sz w:val="22"/>
          <w:szCs w:val="22"/>
        </w:rPr>
      </w:pPr>
      <w:bookmarkStart w:id="28" w:name="_3as4poj" w:colFirst="0" w:colLast="0"/>
      <w:bookmarkEnd w:id="28"/>
      <w:r w:rsidRPr="00885D10">
        <w:rPr>
          <w:rFonts w:ascii="Arial" w:eastAsia="Arial" w:hAnsi="Arial" w:cs="Arial"/>
          <w:color w:val="000000" w:themeColor="text1"/>
          <w:sz w:val="22"/>
          <w:szCs w:val="22"/>
        </w:rPr>
        <w:t>Aplicando este razonamiento, se tiene que las empresas industriales y comerciales del Estado y a las empresas de servicios públicos oficiales y mixtas no pueden adquirir los suministros de bienes y servicios necesarios para la realización de su actividad por contratación directa sino por mecanismos competitivos que impliquen convocatoria pública y la posibilidad de pluralidad de oferentes, pero «es obvio que si una de estas entidades va a prestar un servicio a un particular, lo puede hacer, pues estos se ofrecen a toda la comunidad en condiciones de igualdad. Si se supusiera que está prohibida su contratación directa, significaría la parálisis de tal actividad de interés público, lo que de ninguna manera es lo querido por la ley 996 de 2005»</w:t>
      </w:r>
      <w:r w:rsidRPr="00885D10">
        <w:rPr>
          <w:rFonts w:ascii="Arial" w:eastAsia="Arial" w:hAnsi="Arial" w:cs="Arial"/>
          <w:color w:val="000000" w:themeColor="text1"/>
          <w:vertAlign w:val="superscript"/>
        </w:rPr>
        <w:t xml:space="preserve"> </w:t>
      </w:r>
      <w:r w:rsidRPr="00885D10">
        <w:rPr>
          <w:rFonts w:ascii="Arial" w:eastAsia="Arial" w:hAnsi="Arial" w:cs="Arial"/>
          <w:color w:val="000000" w:themeColor="text1"/>
          <w:sz w:val="22"/>
          <w:szCs w:val="22"/>
          <w:vertAlign w:val="superscript"/>
        </w:rPr>
        <w:footnoteReference w:id="24"/>
      </w:r>
      <w:r w:rsidRPr="00885D10">
        <w:rPr>
          <w:rFonts w:ascii="Arial" w:eastAsia="Arial" w:hAnsi="Arial" w:cs="Arial"/>
          <w:color w:val="000000" w:themeColor="text1"/>
          <w:sz w:val="22"/>
          <w:szCs w:val="22"/>
        </w:rPr>
        <w:t>.</w:t>
      </w:r>
    </w:p>
    <w:p w14:paraId="578CF8EE" w14:textId="77777777" w:rsidR="002405CC" w:rsidRPr="00885D10" w:rsidRDefault="002405CC" w:rsidP="002405CC">
      <w:pPr>
        <w:spacing w:after="0"/>
        <w:ind w:firstLine="708"/>
        <w:rPr>
          <w:rFonts w:ascii="Arial" w:eastAsia="Arial" w:hAnsi="Arial" w:cs="Arial"/>
          <w:color w:val="000000" w:themeColor="text1"/>
          <w:sz w:val="22"/>
          <w:szCs w:val="22"/>
        </w:rPr>
      </w:pPr>
      <w:bookmarkStart w:id="29" w:name="_1pxezwc" w:colFirst="0" w:colLast="0"/>
      <w:bookmarkEnd w:id="29"/>
      <w:r w:rsidRPr="00885D10">
        <w:rPr>
          <w:rFonts w:ascii="Arial" w:eastAsia="Arial" w:hAnsi="Arial" w:cs="Arial"/>
          <w:color w:val="000000" w:themeColor="text1"/>
          <w:sz w:val="22"/>
          <w:szCs w:val="22"/>
        </w:rPr>
        <w:t>Por lo tanto, la restricción prevista en la Ley 996 de 2005, teniendo en cuenta la finalidad de la ley de garantías electorales, cobija a cualquier ente público que pueda a través de la contratación directa romper el equilibrio entre los partidos y los candidatos en las elecciones presidenciales. Tampoco existe un supuesto de exoneración a la prohibición por tener un régimen especial de los actos o contratos, pues, la posibilidad de que los entes del Estado utilicen la contratación con fines políticos, esto es, con la intención de influir a los electores y alterar la voluntad popular en las contiendas electorales, se puede presentar tanto en la contratación regulada por la Ley 80 de 1993 como en la regida por el Derecho Privado.</w:t>
      </w:r>
    </w:p>
    <w:p w14:paraId="2D5FD19D" w14:textId="77777777" w:rsidR="002405CC" w:rsidRPr="00885D10" w:rsidRDefault="002405CC">
      <w:pPr>
        <w:spacing w:after="0"/>
        <w:rPr>
          <w:rFonts w:ascii="Arial" w:eastAsia="Arial" w:hAnsi="Arial" w:cs="Arial"/>
          <w:b/>
          <w:sz w:val="22"/>
          <w:szCs w:val="22"/>
        </w:rPr>
      </w:pPr>
    </w:p>
    <w:p w14:paraId="713B5175" w14:textId="5AFCABCC" w:rsidR="009E3AC0" w:rsidRPr="00885D10" w:rsidRDefault="00DC12C8">
      <w:pPr>
        <w:spacing w:after="0"/>
        <w:rPr>
          <w:rFonts w:ascii="Arial" w:eastAsia="Arial" w:hAnsi="Arial" w:cs="Arial"/>
        </w:rPr>
      </w:pPr>
      <w:r w:rsidRPr="00885D10">
        <w:rPr>
          <w:rFonts w:ascii="Arial" w:eastAsia="Arial" w:hAnsi="Arial" w:cs="Arial"/>
          <w:b/>
          <w:sz w:val="22"/>
          <w:szCs w:val="22"/>
        </w:rPr>
        <w:t>2.</w:t>
      </w:r>
      <w:r w:rsidR="00C85B66" w:rsidRPr="00885D10">
        <w:rPr>
          <w:rFonts w:ascii="Arial" w:eastAsia="Arial" w:hAnsi="Arial" w:cs="Arial"/>
          <w:b/>
          <w:sz w:val="22"/>
          <w:szCs w:val="22"/>
        </w:rPr>
        <w:t>4</w:t>
      </w:r>
      <w:r w:rsidRPr="00885D10">
        <w:rPr>
          <w:rFonts w:ascii="Arial" w:eastAsia="Arial" w:hAnsi="Arial" w:cs="Arial"/>
          <w:b/>
          <w:sz w:val="22"/>
          <w:szCs w:val="22"/>
        </w:rPr>
        <w:t>. Restricciones para la celebración de contratos y convenios interadministrativos en los comicios para cargos de elección popular</w:t>
      </w:r>
      <w:r w:rsidR="00E06C27" w:rsidRPr="00885D10">
        <w:rPr>
          <w:rFonts w:ascii="Arial" w:eastAsia="Arial" w:hAnsi="Arial" w:cs="Arial"/>
          <w:b/>
          <w:sz w:val="22"/>
          <w:szCs w:val="22"/>
        </w:rPr>
        <w:t>: prohibición del parágrafo del artículo 38 de la Ley 996 de 2005</w:t>
      </w:r>
    </w:p>
    <w:p w14:paraId="35987F23" w14:textId="77777777" w:rsidR="009E3AC0" w:rsidRPr="00885D10" w:rsidRDefault="009E3AC0">
      <w:pPr>
        <w:spacing w:after="0"/>
        <w:ind w:firstLine="708"/>
        <w:rPr>
          <w:rFonts w:ascii="Arial" w:eastAsia="Arial" w:hAnsi="Arial" w:cs="Arial"/>
          <w:color w:val="000000" w:themeColor="text1"/>
          <w:sz w:val="22"/>
          <w:szCs w:val="22"/>
        </w:rPr>
      </w:pPr>
      <w:bookmarkStart w:id="30" w:name="_44sinio" w:colFirst="0" w:colLast="0"/>
      <w:bookmarkEnd w:id="30"/>
    </w:p>
    <w:p w14:paraId="5A9D10A1" w14:textId="77777777" w:rsidR="009E3AC0" w:rsidRPr="00885D10" w:rsidRDefault="002B7867">
      <w:pPr>
        <w:tabs>
          <w:tab w:val="left" w:pos="426"/>
        </w:tabs>
        <w:spacing w:after="120"/>
        <w:rPr>
          <w:rFonts w:ascii="Arial" w:eastAsia="Arial" w:hAnsi="Arial" w:cs="Arial"/>
          <w:color w:val="000000" w:themeColor="text1"/>
          <w:sz w:val="22"/>
          <w:szCs w:val="22"/>
        </w:rPr>
      </w:pPr>
      <w:r w:rsidRPr="00885D10">
        <w:rPr>
          <w:rFonts w:ascii="Arial" w:eastAsia="Arial" w:hAnsi="Arial" w:cs="Arial"/>
          <w:color w:val="000000" w:themeColor="text1"/>
          <w:sz w:val="22"/>
          <w:szCs w:val="22"/>
        </w:rPr>
        <w:t xml:space="preserve">El parágrafo del artículo 38 de la Ley 996 de 2005 dispone que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Los convenios o contratos interadministrativos que se restringen en el parágrafo del artículo 38 de la Ley 996 de 2005, son únicamente aquellos </w:t>
      </w:r>
      <w:r w:rsidRPr="00885D10">
        <w:rPr>
          <w:rFonts w:ascii="Arial" w:eastAsia="Arial" w:hAnsi="Arial" w:cs="Arial"/>
          <w:color w:val="000000" w:themeColor="text1"/>
          <w:sz w:val="22"/>
          <w:szCs w:val="22"/>
        </w:rPr>
        <w:lastRenderedPageBreak/>
        <w:t>en que se dispone la ejecución de recursos públicos, para evitar que mediante la suscripción de estos se comprometa el erario con fines políticos o partidistas</w:t>
      </w:r>
      <w:r w:rsidRPr="00885D10">
        <w:rPr>
          <w:rFonts w:ascii="Arial" w:eastAsia="Arial" w:hAnsi="Arial" w:cs="Arial"/>
          <w:color w:val="000000" w:themeColor="text1"/>
          <w:sz w:val="22"/>
          <w:szCs w:val="22"/>
          <w:vertAlign w:val="superscript"/>
        </w:rPr>
        <w:footnoteReference w:id="25"/>
      </w:r>
      <w:r w:rsidRPr="00885D10">
        <w:rPr>
          <w:rFonts w:ascii="Arial" w:eastAsia="Arial" w:hAnsi="Arial" w:cs="Arial"/>
          <w:color w:val="000000" w:themeColor="text1"/>
          <w:sz w:val="22"/>
          <w:szCs w:val="22"/>
        </w:rPr>
        <w:t>.</w:t>
      </w:r>
      <w:r w:rsidRPr="00885D10">
        <w:rPr>
          <w:rFonts w:ascii="Arial" w:eastAsia="Arial" w:hAnsi="Arial" w:cs="Arial"/>
          <w:color w:val="000000" w:themeColor="text1"/>
        </w:rPr>
        <w:t xml:space="preserve"> </w:t>
      </w:r>
    </w:p>
    <w:p w14:paraId="5693CA67" w14:textId="77777777" w:rsidR="009E3AC0" w:rsidRPr="00885D10" w:rsidRDefault="002B7867">
      <w:pPr>
        <w:widowControl w:val="0"/>
        <w:pBdr>
          <w:top w:val="nil"/>
          <w:left w:val="nil"/>
          <w:bottom w:val="nil"/>
          <w:right w:val="nil"/>
          <w:between w:val="nil"/>
        </w:pBdr>
        <w:spacing w:after="120"/>
        <w:ind w:firstLine="707"/>
        <w:rPr>
          <w:rFonts w:ascii="Arial" w:eastAsia="Arial" w:hAnsi="Arial" w:cs="Arial"/>
          <w:color w:val="000000" w:themeColor="text1"/>
          <w:sz w:val="22"/>
          <w:szCs w:val="22"/>
        </w:rPr>
      </w:pPr>
      <w:bookmarkStart w:id="31" w:name="_2p2csry" w:colFirst="0" w:colLast="0"/>
      <w:bookmarkEnd w:id="31"/>
      <w:r w:rsidRPr="00885D10">
        <w:rPr>
          <w:rFonts w:ascii="Arial" w:eastAsia="Arial" w:hAnsi="Arial" w:cs="Arial"/>
          <w:color w:val="000000" w:themeColor="text1"/>
          <w:sz w:val="22"/>
          <w:szCs w:val="22"/>
        </w:rPr>
        <w:t>Ahora bien, para determinar el alcance de la prohibición consagrada por la Ley de Garantías Electorales, conviene precisar la tipología de convenios o contratos interadministrativos. Aunque la ley no la definió ni desarrolló, el Decreto 1082 de 2015 califica a los convenios o contratos interadministrativos como aquella contratación entre entidades estatales</w:t>
      </w:r>
      <w:r w:rsidRPr="00885D10">
        <w:rPr>
          <w:rFonts w:ascii="Arial" w:eastAsia="Arial" w:hAnsi="Arial" w:cs="Arial"/>
          <w:color w:val="000000" w:themeColor="text1"/>
          <w:sz w:val="22"/>
          <w:szCs w:val="22"/>
          <w:vertAlign w:val="superscript"/>
        </w:rPr>
        <w:footnoteReference w:id="26"/>
      </w:r>
      <w:r w:rsidRPr="00885D10">
        <w:rPr>
          <w:rFonts w:ascii="Arial" w:eastAsia="Arial" w:hAnsi="Arial" w:cs="Arial"/>
          <w:color w:val="000000" w:themeColor="text1"/>
          <w:sz w:val="22"/>
          <w:szCs w:val="22"/>
        </w:rPr>
        <w:t>. De acuerdo con lo anterior, el contrato o el convenio interadministrativo es el acuerdo donde concurre la voluntad de dos o más personas jurídicas de derecho público con la finalidad de cumplir, en el marco de sus objetivos misionales y sus competencias, con los fines del Estado. Es decir, los contratos o convenios interadministrativos están determinados por un criterio orgánico, pues es necesario que los extremos de la relación contractual sean entidades estatales.</w:t>
      </w:r>
    </w:p>
    <w:p w14:paraId="7EC8AA0E" w14:textId="77777777" w:rsidR="009E3AC0" w:rsidRPr="00885D10" w:rsidRDefault="002B7867">
      <w:pPr>
        <w:widowControl w:val="0"/>
        <w:pBdr>
          <w:top w:val="nil"/>
          <w:left w:val="nil"/>
          <w:bottom w:val="nil"/>
          <w:right w:val="nil"/>
          <w:between w:val="nil"/>
        </w:pBdr>
        <w:spacing w:before="117" w:after="120"/>
        <w:ind w:firstLine="707"/>
        <w:rPr>
          <w:rFonts w:ascii="Arial" w:eastAsia="Arial" w:hAnsi="Arial" w:cs="Arial"/>
          <w:color w:val="000000" w:themeColor="text1"/>
          <w:sz w:val="22"/>
          <w:szCs w:val="22"/>
        </w:rPr>
      </w:pPr>
      <w:bookmarkStart w:id="32" w:name="_147n2zr" w:colFirst="0" w:colLast="0"/>
      <w:bookmarkEnd w:id="32"/>
      <w:r w:rsidRPr="00885D10">
        <w:rPr>
          <w:rFonts w:ascii="Arial" w:eastAsia="Arial" w:hAnsi="Arial" w:cs="Arial"/>
          <w:color w:val="000000" w:themeColor="text1"/>
          <w:sz w:val="22"/>
          <w:szCs w:val="22"/>
        </w:rPr>
        <w:t>Si bien los contratos o convenios interadministrativos están previstos en la Ley 80 de 1993, en la Ley 1150 de 2007 y en el Decreto en el 1082 de 2015, no quiere decir que solo puedan celebrarse entre entidades estatales que apliquen el régimen de contratación allí previsto, pues bien puede una entidad estatal sometida a la Ley 80 de 1993 celebrar esta clase de convenios con una entidad estatal de régimen especial y no por ello dejará de ser un contrato o convenio interadministrativo.</w:t>
      </w:r>
    </w:p>
    <w:p w14:paraId="7330D6B7" w14:textId="77777777" w:rsidR="009E3AC0" w:rsidRPr="00885D10" w:rsidRDefault="002B7867">
      <w:pPr>
        <w:widowControl w:val="0"/>
        <w:pBdr>
          <w:top w:val="nil"/>
          <w:left w:val="nil"/>
          <w:bottom w:val="nil"/>
          <w:right w:val="nil"/>
          <w:between w:val="nil"/>
        </w:pBdr>
        <w:spacing w:before="121" w:after="120"/>
        <w:ind w:firstLine="707"/>
        <w:rPr>
          <w:rFonts w:ascii="Arial" w:eastAsia="Arial" w:hAnsi="Arial" w:cs="Arial"/>
          <w:color w:val="000000" w:themeColor="text1"/>
          <w:sz w:val="22"/>
          <w:szCs w:val="22"/>
        </w:rPr>
      </w:pPr>
      <w:r w:rsidRPr="00885D10">
        <w:rPr>
          <w:rFonts w:ascii="Arial" w:eastAsia="Arial" w:hAnsi="Arial" w:cs="Arial"/>
          <w:color w:val="000000" w:themeColor="text1"/>
          <w:sz w:val="22"/>
          <w:szCs w:val="22"/>
        </w:rPr>
        <w:t>Un contrato o convenio interadministrativo no está determinado por la modalidad de selección utilizada para celebrarlo. La Ley 1150 de 2007 establece que pueden celebrarse directamente, siempre que las obligaciones derivadas del mismo tengan relación directa con el objeto de la entidad ejecutora, señalado en la ley o en sus reglamentos, a menos que, según las excepciones previstas en dicha ley, deba adelantarse un procedimiento con pluralidad de oferentes</w:t>
      </w:r>
      <w:r w:rsidRPr="00885D10">
        <w:rPr>
          <w:rFonts w:ascii="Arial" w:eastAsia="Arial" w:hAnsi="Arial" w:cs="Arial"/>
          <w:color w:val="000000" w:themeColor="text1"/>
          <w:sz w:val="22"/>
          <w:szCs w:val="22"/>
          <w:vertAlign w:val="superscript"/>
        </w:rPr>
        <w:footnoteReference w:id="27"/>
      </w:r>
      <w:r w:rsidRPr="00885D10">
        <w:rPr>
          <w:rFonts w:ascii="Arial" w:eastAsia="Arial" w:hAnsi="Arial" w:cs="Arial"/>
          <w:color w:val="000000" w:themeColor="text1"/>
          <w:sz w:val="22"/>
          <w:szCs w:val="22"/>
        </w:rPr>
        <w:t xml:space="preserve">. Nótese que, en este caso, lo que cambia es la modalidad de </w:t>
      </w:r>
      <w:r w:rsidRPr="00885D10">
        <w:rPr>
          <w:rFonts w:ascii="Arial" w:eastAsia="Arial" w:hAnsi="Arial" w:cs="Arial"/>
          <w:color w:val="000000" w:themeColor="text1"/>
          <w:sz w:val="22"/>
          <w:szCs w:val="22"/>
        </w:rPr>
        <w:lastRenderedPageBreak/>
        <w:t>selección y no la naturaleza de contrato interadministrativo.</w:t>
      </w:r>
    </w:p>
    <w:p w14:paraId="33AA1F98" w14:textId="77777777" w:rsidR="009E3AC0" w:rsidRPr="00885D10" w:rsidRDefault="002B7867">
      <w:pPr>
        <w:widowControl w:val="0"/>
        <w:pBdr>
          <w:top w:val="nil"/>
          <w:left w:val="nil"/>
          <w:bottom w:val="nil"/>
          <w:right w:val="nil"/>
          <w:between w:val="nil"/>
        </w:pBdr>
        <w:spacing w:before="114" w:after="0"/>
        <w:ind w:firstLine="707"/>
        <w:rPr>
          <w:rFonts w:ascii="Arial" w:eastAsia="Arial" w:hAnsi="Arial" w:cs="Arial"/>
          <w:color w:val="000000" w:themeColor="text1"/>
          <w:sz w:val="22"/>
          <w:szCs w:val="22"/>
        </w:rPr>
      </w:pPr>
      <w:r w:rsidRPr="00885D10">
        <w:rPr>
          <w:rFonts w:ascii="Arial" w:eastAsia="Arial" w:hAnsi="Arial" w:cs="Arial"/>
          <w:color w:val="000000" w:themeColor="text1"/>
          <w:sz w:val="22"/>
          <w:szCs w:val="22"/>
        </w:rPr>
        <w:t>La Corte Constitucional expresó en la Sentencia C–671 de 2015 que «Lo que hace interadministrativo a un contrato o convenio no es el procedimiento de selección aplicable, sino la calidad de los sujetos contratantes, esto es que las dos partes de la relación jurídica contractual formen parte de la administración pública». Así las cosas, esta clase de acuerdos de voluntades se definen por un criterio orgánico, por lo que uno de sus elementos esenciales es que en los extremos de la relación jurídico negocial concurran personas de derecho público. Adicionalmente, el Consejo de Estado ha indicado, frente al convenio interadministrativo y sus características, que:</w:t>
      </w:r>
    </w:p>
    <w:p w14:paraId="208AE077" w14:textId="77777777" w:rsidR="009E3AC0" w:rsidRPr="00885D10" w:rsidRDefault="009E3AC0">
      <w:pPr>
        <w:widowControl w:val="0"/>
        <w:pBdr>
          <w:top w:val="nil"/>
          <w:left w:val="nil"/>
          <w:bottom w:val="nil"/>
          <w:right w:val="nil"/>
          <w:between w:val="nil"/>
        </w:pBdr>
        <w:spacing w:after="0"/>
        <w:ind w:firstLine="707"/>
        <w:rPr>
          <w:rFonts w:ascii="Arial" w:eastAsia="Arial" w:hAnsi="Arial" w:cs="Arial"/>
          <w:color w:val="000000" w:themeColor="text1"/>
          <w:sz w:val="22"/>
          <w:szCs w:val="22"/>
        </w:rPr>
      </w:pPr>
    </w:p>
    <w:p w14:paraId="0AD1EB55" w14:textId="77777777" w:rsidR="009E3AC0" w:rsidRPr="00885D10" w:rsidRDefault="002B7867">
      <w:pPr>
        <w:spacing w:after="0" w:line="240" w:lineRule="auto"/>
        <w:ind w:left="709" w:right="709"/>
        <w:rPr>
          <w:rFonts w:ascii="Arial" w:eastAsia="Arial" w:hAnsi="Arial" w:cs="Arial"/>
          <w:color w:val="000000" w:themeColor="text1"/>
          <w:sz w:val="21"/>
          <w:szCs w:val="21"/>
        </w:rPr>
      </w:pPr>
      <w:r w:rsidRPr="00885D10">
        <w:rPr>
          <w:rFonts w:ascii="Arial" w:eastAsia="Arial" w:hAnsi="Arial" w:cs="Arial"/>
          <w:color w:val="000000" w:themeColor="text1"/>
          <w:sz w:val="21"/>
          <w:szCs w:val="21"/>
        </w:rPr>
        <w:t>[…] se puede señalar que los convenios o contratos interadministrativos tienen como características principales las siguientes: (i) constituyen verdaderos contratos en los términos del Código de Comercio cuando su objeto lo constituyen obligaciones patrimoniales; (</w:t>
      </w:r>
      <w:proofErr w:type="spellStart"/>
      <w:r w:rsidRPr="00885D10">
        <w:rPr>
          <w:rFonts w:ascii="Arial" w:eastAsia="Arial" w:hAnsi="Arial" w:cs="Arial"/>
          <w:color w:val="000000" w:themeColor="text1"/>
          <w:sz w:val="21"/>
          <w:szCs w:val="21"/>
        </w:rPr>
        <w:t>ii</w:t>
      </w:r>
      <w:proofErr w:type="spellEnd"/>
      <w:r w:rsidRPr="00885D10">
        <w:rPr>
          <w:rFonts w:ascii="Arial" w:eastAsia="Arial" w:hAnsi="Arial" w:cs="Arial"/>
          <w:color w:val="000000" w:themeColor="text1"/>
          <w:sz w:val="21"/>
          <w:szCs w:val="21"/>
        </w:rPr>
        <w:t>) tienen como fuente la autonomía contractual; (</w:t>
      </w:r>
      <w:proofErr w:type="spellStart"/>
      <w:r w:rsidRPr="00885D10">
        <w:rPr>
          <w:rFonts w:ascii="Arial" w:eastAsia="Arial" w:hAnsi="Arial" w:cs="Arial"/>
          <w:color w:val="000000" w:themeColor="text1"/>
          <w:sz w:val="21"/>
          <w:szCs w:val="21"/>
        </w:rPr>
        <w:t>iii</w:t>
      </w:r>
      <w:proofErr w:type="spellEnd"/>
      <w:r w:rsidRPr="00885D10">
        <w:rPr>
          <w:rFonts w:ascii="Arial" w:eastAsia="Arial" w:hAnsi="Arial" w:cs="Arial"/>
          <w:color w:val="000000" w:themeColor="text1"/>
          <w:sz w:val="21"/>
          <w:szCs w:val="21"/>
        </w:rPr>
        <w:t>) son contratos nominados puesto que están mencionados en la ley; (</w:t>
      </w:r>
      <w:proofErr w:type="spellStart"/>
      <w:r w:rsidRPr="00885D10">
        <w:rPr>
          <w:rFonts w:ascii="Arial" w:eastAsia="Arial" w:hAnsi="Arial" w:cs="Arial"/>
          <w:color w:val="000000" w:themeColor="text1"/>
          <w:sz w:val="21"/>
          <w:szCs w:val="21"/>
        </w:rPr>
        <w:t>iv</w:t>
      </w:r>
      <w:proofErr w:type="spellEnd"/>
      <w:r w:rsidRPr="00885D10">
        <w:rPr>
          <w:rFonts w:ascii="Arial" w:eastAsia="Arial" w:hAnsi="Arial" w:cs="Arial"/>
          <w:color w:val="000000" w:themeColor="text1"/>
          <w:sz w:val="21"/>
          <w:szCs w:val="21"/>
        </w:rPr>
        <w:t>) son contratos atípicos desde la perspectiva legal dado que se advierte la ausencia de unas normas que de manera detallada los disciplinen, los expliquen y los desarrollen, como sí las tienen los contratos típicos, por ejemplo compra venta, arrendamiento, mandato, etc. (v) la normatividad a la cual se encuentran sujetos en principio es la del Estatuto General de Contratación, en atención a que las partes que los celebran son entidades estatales y, por consiguiente, también se obligan a las disposiciones que resulten pertinentes del Código Civil y del Código de Comercio; (vi) dan lugar a la creación de obligaciones jurídicamente exigibles; (</w:t>
      </w:r>
      <w:proofErr w:type="spellStart"/>
      <w:r w:rsidRPr="00885D10">
        <w:rPr>
          <w:rFonts w:ascii="Arial" w:eastAsia="Arial" w:hAnsi="Arial" w:cs="Arial"/>
          <w:color w:val="000000" w:themeColor="text1"/>
          <w:sz w:val="21"/>
          <w:szCs w:val="21"/>
        </w:rPr>
        <w:t>vii</w:t>
      </w:r>
      <w:proofErr w:type="spellEnd"/>
      <w:r w:rsidRPr="00885D10">
        <w:rPr>
          <w:rFonts w:ascii="Arial" w:eastAsia="Arial" w:hAnsi="Arial" w:cs="Arial"/>
          <w:color w:val="000000" w:themeColor="text1"/>
          <w:sz w:val="21"/>
          <w:szCs w:val="21"/>
        </w:rPr>
        <w:t>) persiguen  una finalidad común a través de la realización de intereses compartidos entre las entidades vinculadas; (</w:t>
      </w:r>
      <w:proofErr w:type="spellStart"/>
      <w:r w:rsidRPr="00885D10">
        <w:rPr>
          <w:rFonts w:ascii="Arial" w:eastAsia="Arial" w:hAnsi="Arial" w:cs="Arial"/>
          <w:color w:val="000000" w:themeColor="text1"/>
          <w:sz w:val="21"/>
          <w:szCs w:val="21"/>
        </w:rPr>
        <w:t>viii</w:t>
      </w:r>
      <w:proofErr w:type="spellEnd"/>
      <w:r w:rsidRPr="00885D10">
        <w:rPr>
          <w:rFonts w:ascii="Arial" w:eastAsia="Arial" w:hAnsi="Arial" w:cs="Arial"/>
          <w:color w:val="000000" w:themeColor="text1"/>
          <w:sz w:val="21"/>
          <w:szCs w:val="21"/>
        </w:rPr>
        <w:t>) la acción mediante la cual se deben ventilar las diferencias que sobre el particular surjan es la de controversias contractuales</w:t>
      </w:r>
      <w:r w:rsidRPr="00885D10">
        <w:rPr>
          <w:rFonts w:ascii="Arial" w:eastAsia="Arial" w:hAnsi="Arial" w:cs="Arial"/>
          <w:color w:val="000000" w:themeColor="text1"/>
          <w:sz w:val="21"/>
          <w:szCs w:val="21"/>
          <w:vertAlign w:val="superscript"/>
        </w:rPr>
        <w:footnoteReference w:id="28"/>
      </w:r>
      <w:r w:rsidRPr="00885D10">
        <w:rPr>
          <w:rFonts w:ascii="Arial" w:eastAsia="Arial" w:hAnsi="Arial" w:cs="Arial"/>
          <w:color w:val="000000" w:themeColor="text1"/>
          <w:sz w:val="21"/>
          <w:szCs w:val="21"/>
        </w:rPr>
        <w:t>.</w:t>
      </w:r>
    </w:p>
    <w:p w14:paraId="323DD4E7" w14:textId="77777777" w:rsidR="009E3AC0" w:rsidRPr="00885D10" w:rsidRDefault="009E3AC0">
      <w:pPr>
        <w:spacing w:after="0"/>
        <w:ind w:left="709" w:right="709"/>
        <w:rPr>
          <w:color w:val="000000" w:themeColor="text1"/>
          <w:sz w:val="22"/>
          <w:szCs w:val="22"/>
        </w:rPr>
      </w:pPr>
    </w:p>
    <w:p w14:paraId="091D5E2A" w14:textId="77777777" w:rsidR="009E3AC0" w:rsidRPr="00885D10" w:rsidRDefault="002B7867">
      <w:pPr>
        <w:widowControl w:val="0"/>
        <w:pBdr>
          <w:top w:val="nil"/>
          <w:left w:val="nil"/>
          <w:bottom w:val="nil"/>
          <w:right w:val="nil"/>
          <w:between w:val="nil"/>
        </w:pBdr>
        <w:spacing w:after="120"/>
        <w:ind w:firstLine="707"/>
        <w:rPr>
          <w:rFonts w:ascii="Arial" w:eastAsia="Arial" w:hAnsi="Arial" w:cs="Arial"/>
          <w:color w:val="000000" w:themeColor="text1"/>
          <w:sz w:val="22"/>
          <w:szCs w:val="22"/>
        </w:rPr>
      </w:pPr>
      <w:r w:rsidRPr="00885D10">
        <w:rPr>
          <w:rFonts w:ascii="Arial" w:eastAsia="Arial" w:hAnsi="Arial" w:cs="Arial"/>
          <w:color w:val="000000" w:themeColor="text1"/>
          <w:sz w:val="22"/>
          <w:szCs w:val="22"/>
        </w:rPr>
        <w:t>En ese sentido, los convenios interadministrativos se caracterizan por los sujetos que intervienen y por la modalidad de selección que la ley permite aplicar para su celebración, pues comporta un grado de excepcionalidad frente a las demás tipologías contractuales, donde los sujetos no están restringidos a una cualificación particular y aplican otras modalidades de selección. El Estatuto General de Contratación de la Administración Pública establece la contratación directa como la modalidad de selección aplicable, por regla general, a la celebración de los contratos interadministrativos.</w:t>
      </w:r>
    </w:p>
    <w:p w14:paraId="46B2263B" w14:textId="77777777" w:rsidR="009E3AC0" w:rsidRPr="00885D10" w:rsidRDefault="002B7867">
      <w:pPr>
        <w:widowControl w:val="0"/>
        <w:pBdr>
          <w:top w:val="nil"/>
          <w:left w:val="nil"/>
          <w:bottom w:val="nil"/>
          <w:right w:val="nil"/>
          <w:between w:val="nil"/>
        </w:pBdr>
        <w:spacing w:before="119" w:after="120"/>
        <w:ind w:firstLine="707"/>
        <w:rPr>
          <w:rFonts w:ascii="Arial" w:eastAsia="Arial" w:hAnsi="Arial" w:cs="Arial"/>
          <w:color w:val="000000" w:themeColor="text1"/>
          <w:sz w:val="22"/>
          <w:szCs w:val="22"/>
        </w:rPr>
      </w:pPr>
      <w:r w:rsidRPr="00885D10">
        <w:rPr>
          <w:rFonts w:ascii="Arial" w:eastAsia="Arial" w:hAnsi="Arial" w:cs="Arial"/>
          <w:color w:val="000000" w:themeColor="text1"/>
          <w:sz w:val="22"/>
          <w:szCs w:val="22"/>
        </w:rPr>
        <w:t xml:space="preserve">Así las cosas, la ley no limitó la celebración de contratos interadministrativos a la modalidad de selección de contratación directa, pues solo estableció, excepcionalmente, su celebración de manera directa cuando dos o más entidades del Estado, con el fin de </w:t>
      </w:r>
      <w:r w:rsidRPr="00885D10">
        <w:rPr>
          <w:rFonts w:ascii="Arial" w:eastAsia="Arial" w:hAnsi="Arial" w:cs="Arial"/>
          <w:color w:val="000000" w:themeColor="text1"/>
          <w:sz w:val="22"/>
          <w:szCs w:val="22"/>
        </w:rPr>
        <w:lastRenderedPageBreak/>
        <w:t>materializar funciones administrativas de interés común para ambas partes, celebran un negocio jurídico. No obstante, es posible que se celebren contratos interadministrativos en el marco de un proceso donde sea posible la participación de los interesados en ofertar, es decir, a través de las otras modalidades de selección previstas en la Ley 1150 de 2007 diferentes a la de contratación directa, pues, como se indicó, la existencia de un contrato interadministrativo no está determinada por la modalidad de selección sino, entre otras cosas, de la calidad de las partes que lo suscriben, es decir, debe tratarse de entidades estatales.</w:t>
      </w:r>
    </w:p>
    <w:p w14:paraId="3B718F62" w14:textId="77777777" w:rsidR="009E3AC0" w:rsidRPr="00885D10" w:rsidRDefault="002B7867">
      <w:pPr>
        <w:widowControl w:val="0"/>
        <w:pBdr>
          <w:top w:val="nil"/>
          <w:left w:val="nil"/>
          <w:bottom w:val="nil"/>
          <w:right w:val="nil"/>
          <w:between w:val="nil"/>
        </w:pBdr>
        <w:spacing w:before="120"/>
        <w:ind w:firstLine="709"/>
        <w:rPr>
          <w:rFonts w:ascii="Arial" w:eastAsia="Arial" w:hAnsi="Arial" w:cs="Arial"/>
          <w:color w:val="000000" w:themeColor="text1"/>
          <w:sz w:val="22"/>
          <w:szCs w:val="22"/>
        </w:rPr>
      </w:pPr>
      <w:r w:rsidRPr="00885D10">
        <w:rPr>
          <w:rFonts w:ascii="Arial" w:eastAsia="Arial" w:hAnsi="Arial" w:cs="Arial"/>
          <w:color w:val="000000" w:themeColor="text1"/>
          <w:sz w:val="22"/>
          <w:szCs w:val="22"/>
        </w:rPr>
        <w:t>Además, es necesario tener en cuenta que para que un contrato o convenio interadministrativo exista, debe cumplir con los siguientes elementos: acuerdo sobre el objeto y la contraprestación, y que se eleve a escrito. Por otra parte, si bien actualmente el EGCAP hace referencia de manera expresa al contrato interadministrativo o en términos generales a los interadministrativos y no al convenio, no por esto puede concluirse que se trate de figuras totalmente diferentes, pues las entidades del Estado, en el marco de la Ley 80 de 1993, pueden acordar entre sí diferentes tipos de obligaciones, siempre que su objeto de creación les permita cumplirlas, con el objetivo común de materializar los fines del Estado. Por este motivo, cuando la Ley 80 de 1993 se refiere a contratos interadministrativos de la misma forma lo hace frente a los convenios, entre otras razones, porque este cuerpo normativo faculta a las entidades públicas a celebrar los demás acuerdos que permitan la autonomía de la voluntad y requieran el cumplimiento de los fines estatales.</w:t>
      </w:r>
    </w:p>
    <w:p w14:paraId="0E96764D" w14:textId="77777777" w:rsidR="009E3AC0" w:rsidRPr="00885D10" w:rsidRDefault="002B7867">
      <w:pPr>
        <w:widowControl w:val="0"/>
        <w:pBdr>
          <w:top w:val="nil"/>
          <w:left w:val="nil"/>
          <w:bottom w:val="nil"/>
          <w:right w:val="nil"/>
          <w:between w:val="nil"/>
        </w:pBdr>
        <w:spacing w:before="122" w:after="120"/>
        <w:ind w:firstLine="708"/>
        <w:rPr>
          <w:rFonts w:ascii="Arial" w:eastAsia="Arial" w:hAnsi="Arial" w:cs="Arial"/>
          <w:color w:val="000000" w:themeColor="text1"/>
          <w:sz w:val="22"/>
          <w:szCs w:val="22"/>
        </w:rPr>
      </w:pPr>
      <w:r w:rsidRPr="00885D10">
        <w:rPr>
          <w:rFonts w:ascii="Arial" w:eastAsia="Arial" w:hAnsi="Arial" w:cs="Arial"/>
          <w:color w:val="000000" w:themeColor="text1"/>
          <w:sz w:val="22"/>
          <w:szCs w:val="22"/>
        </w:rPr>
        <w:t>Es bueno destacar que el Decreto 1082 de 2015 dispone que los convenios o contratos interadministrativos, así denominados en su artículo 2.2.1.2.1.4.4, se contratan directamente, por lo que no hay lugar a dudas que representan lo mismo en la medida en que concurran entidades estatales en el acuerdo de voluntades. De este modo, es posible concluir que en la contratación estatal no existen mayores diferencias entre convenio y contrato y, dando aplicación al derecho privado y a la definición contenida en el Código Civil, puede afirmarse que se trata de figuras equivalentes.</w:t>
      </w:r>
    </w:p>
    <w:p w14:paraId="3D451754" w14:textId="77777777" w:rsidR="009E3AC0" w:rsidRPr="00885D10" w:rsidRDefault="002B7867">
      <w:pPr>
        <w:widowControl w:val="0"/>
        <w:pBdr>
          <w:top w:val="nil"/>
          <w:left w:val="nil"/>
          <w:bottom w:val="nil"/>
          <w:right w:val="nil"/>
          <w:between w:val="nil"/>
        </w:pBdr>
        <w:spacing w:after="0"/>
        <w:ind w:firstLine="708"/>
        <w:rPr>
          <w:rFonts w:ascii="Arial" w:eastAsia="Arial" w:hAnsi="Arial" w:cs="Arial"/>
          <w:color w:val="000000" w:themeColor="text1"/>
          <w:sz w:val="22"/>
          <w:szCs w:val="22"/>
        </w:rPr>
      </w:pPr>
      <w:bookmarkStart w:id="33" w:name="_3o7alnk" w:colFirst="0" w:colLast="0"/>
      <w:bookmarkEnd w:id="33"/>
      <w:r w:rsidRPr="00885D10">
        <w:rPr>
          <w:rFonts w:ascii="Arial" w:eastAsia="Arial" w:hAnsi="Arial" w:cs="Arial"/>
          <w:color w:val="000000" w:themeColor="text1"/>
          <w:sz w:val="22"/>
          <w:szCs w:val="22"/>
        </w:rPr>
        <w:t xml:space="preserve">Por tanto, aunque el artículo 95 de la Ley 489 de 1998 dispone que «Las entidades públicas podrán asociarse con el fin de cooperar en el cumplimiento de funciones administrativas o de prestar conjuntamente servicios que se hallen a su cargo, mediante la celebración de convenios interadministrativos […]», esto no significa que dichos acuerdos estén exceptuados del Estatuto General de Contratación de la Administración Pública por no tener carácter contractual. Por ello, la jurisprudencia considera que «Estos convenios cuentan con las características propias de los contratos, cuando su objeto lo constituyen obligaciones patrimoniales, y las entidades estatales que los conforman están sujetas tanto </w:t>
      </w:r>
      <w:r w:rsidRPr="00885D10">
        <w:rPr>
          <w:rFonts w:ascii="Arial" w:eastAsia="Arial" w:hAnsi="Arial" w:cs="Arial"/>
          <w:color w:val="000000" w:themeColor="text1"/>
          <w:sz w:val="22"/>
          <w:szCs w:val="22"/>
        </w:rPr>
        <w:lastRenderedPageBreak/>
        <w:t>a la normativa contractual pública, como a las normas del derecho civil […]»</w:t>
      </w:r>
      <w:r w:rsidRPr="00885D10">
        <w:rPr>
          <w:rFonts w:ascii="Arial" w:eastAsia="Arial" w:hAnsi="Arial" w:cs="Arial"/>
          <w:color w:val="000000" w:themeColor="text1"/>
          <w:sz w:val="22"/>
          <w:szCs w:val="22"/>
          <w:vertAlign w:val="superscript"/>
        </w:rPr>
        <w:footnoteReference w:id="29"/>
      </w:r>
      <w:r w:rsidRPr="00885D10">
        <w:rPr>
          <w:rFonts w:ascii="Arial" w:eastAsia="Arial" w:hAnsi="Arial" w:cs="Arial"/>
          <w:color w:val="000000" w:themeColor="text1"/>
          <w:sz w:val="22"/>
          <w:szCs w:val="22"/>
        </w:rPr>
        <w:t>.</w:t>
      </w:r>
    </w:p>
    <w:p w14:paraId="1E9CC391" w14:textId="12CADDC8" w:rsidR="009E3AC0" w:rsidRPr="00885D10" w:rsidRDefault="002B7867">
      <w:pPr>
        <w:widowControl w:val="0"/>
        <w:pBdr>
          <w:top w:val="nil"/>
          <w:left w:val="nil"/>
          <w:bottom w:val="nil"/>
          <w:right w:val="nil"/>
          <w:between w:val="nil"/>
        </w:pBdr>
        <w:spacing w:before="122"/>
        <w:ind w:firstLine="709"/>
        <w:rPr>
          <w:rFonts w:ascii="Arial" w:eastAsia="Arial" w:hAnsi="Arial" w:cs="Arial"/>
          <w:color w:val="000000" w:themeColor="text1"/>
          <w:sz w:val="22"/>
          <w:szCs w:val="22"/>
        </w:rPr>
      </w:pPr>
      <w:r w:rsidRPr="00885D10">
        <w:rPr>
          <w:rFonts w:ascii="Arial" w:eastAsia="Arial" w:hAnsi="Arial" w:cs="Arial"/>
          <w:color w:val="000000" w:themeColor="text1"/>
          <w:sz w:val="22"/>
          <w:szCs w:val="22"/>
        </w:rPr>
        <w:t>Sin perjuicio de lo anterior, vale la pena tener en cuenta que un sector de la doctrina y la jurisprudencia ha establecido algunas diferencias o caracterización de los contratos interadministrativos frente a los convenios interadministrativos de que trata el artículo 95 de la Ley 489 de 1998. Por ejemplo, el Consejo de Estado, en sentencia del 14 de junio de 2019 expresó:</w:t>
      </w:r>
    </w:p>
    <w:p w14:paraId="7F07412D" w14:textId="77777777" w:rsidR="009E3AC0" w:rsidRPr="00885D10" w:rsidRDefault="002B7867">
      <w:pPr>
        <w:spacing w:after="0" w:line="240" w:lineRule="auto"/>
        <w:ind w:left="709" w:right="709"/>
        <w:rPr>
          <w:rFonts w:ascii="Arial" w:eastAsia="Arial" w:hAnsi="Arial" w:cs="Arial"/>
          <w:color w:val="000000" w:themeColor="text1"/>
          <w:sz w:val="21"/>
          <w:szCs w:val="21"/>
        </w:rPr>
      </w:pPr>
      <w:r w:rsidRPr="00885D10">
        <w:rPr>
          <w:rFonts w:ascii="Arial" w:eastAsia="Arial" w:hAnsi="Arial" w:cs="Arial"/>
          <w:color w:val="000000" w:themeColor="text1"/>
          <w:sz w:val="21"/>
          <w:szCs w:val="21"/>
        </w:rPr>
        <w:t>La Sala de Consulta y Servicio Civil</w:t>
      </w:r>
      <w:r w:rsidRPr="00885D10">
        <w:rPr>
          <w:rFonts w:ascii="Arial" w:eastAsia="Arial" w:hAnsi="Arial" w:cs="Arial"/>
          <w:color w:val="000000" w:themeColor="text1"/>
          <w:sz w:val="21"/>
          <w:szCs w:val="21"/>
          <w:vertAlign w:val="superscript"/>
        </w:rPr>
        <w:footnoteReference w:id="30"/>
      </w:r>
      <w:r w:rsidRPr="00885D10">
        <w:rPr>
          <w:rFonts w:ascii="Arial" w:eastAsia="Arial" w:hAnsi="Arial" w:cs="Arial"/>
          <w:color w:val="000000" w:themeColor="text1"/>
          <w:sz w:val="21"/>
          <w:szCs w:val="21"/>
        </w:rPr>
        <w:t xml:space="preserve"> de esta Corporación se ha referido a los </w:t>
      </w:r>
      <w:r w:rsidRPr="00885D10">
        <w:rPr>
          <w:rFonts w:ascii="Arial" w:eastAsia="Arial" w:hAnsi="Arial" w:cs="Arial"/>
          <w:i/>
          <w:color w:val="000000" w:themeColor="text1"/>
          <w:sz w:val="21"/>
          <w:szCs w:val="21"/>
        </w:rPr>
        <w:t>“convenios interadministrativos”</w:t>
      </w:r>
      <w:r w:rsidRPr="00885D10">
        <w:rPr>
          <w:rFonts w:ascii="Arial" w:eastAsia="Arial" w:hAnsi="Arial" w:cs="Arial"/>
          <w:color w:val="000000" w:themeColor="text1"/>
          <w:sz w:val="21"/>
          <w:szCs w:val="21"/>
        </w:rPr>
        <w:t xml:space="preserve"> a los cuales alude el artículo 95 de la Ley 489 de 1998, calificándolos de </w:t>
      </w:r>
      <w:r w:rsidRPr="00885D10">
        <w:rPr>
          <w:rFonts w:ascii="Arial" w:eastAsia="Arial" w:hAnsi="Arial" w:cs="Arial"/>
          <w:i/>
          <w:color w:val="000000" w:themeColor="text1"/>
          <w:sz w:val="21"/>
          <w:szCs w:val="21"/>
        </w:rPr>
        <w:t xml:space="preserve">“puros” </w:t>
      </w:r>
      <w:r w:rsidRPr="00885D10">
        <w:rPr>
          <w:rFonts w:ascii="Arial" w:eastAsia="Arial" w:hAnsi="Arial" w:cs="Arial"/>
          <w:color w:val="000000" w:themeColor="text1"/>
          <w:sz w:val="21"/>
          <w:szCs w:val="21"/>
        </w:rPr>
        <w:t xml:space="preserve">y entendiendo que estos, además de perseguir la finalidad de cooperación antes indicada, no implican intereses contrapuestos ni tampoco se circunscriben a un </w:t>
      </w:r>
      <w:r w:rsidRPr="00885D10">
        <w:rPr>
          <w:rFonts w:ascii="Arial" w:eastAsia="Arial" w:hAnsi="Arial" w:cs="Arial"/>
          <w:i/>
          <w:color w:val="000000" w:themeColor="text1"/>
          <w:sz w:val="21"/>
          <w:szCs w:val="21"/>
        </w:rPr>
        <w:t>“intercambio patrimonial”</w:t>
      </w:r>
      <w:r w:rsidRPr="00885D10">
        <w:rPr>
          <w:rFonts w:ascii="Arial" w:eastAsia="Arial" w:hAnsi="Arial" w:cs="Arial"/>
          <w:color w:val="000000" w:themeColor="text1"/>
          <w:sz w:val="21"/>
          <w:szCs w:val="21"/>
        </w:rPr>
        <w:t>. Sin perjuicio de lo anterior, en otra oportunidad, la misma Sala</w:t>
      </w:r>
      <w:r w:rsidRPr="00885D10">
        <w:rPr>
          <w:rFonts w:ascii="Arial" w:eastAsia="Arial" w:hAnsi="Arial" w:cs="Arial"/>
          <w:color w:val="000000" w:themeColor="text1"/>
          <w:sz w:val="21"/>
          <w:szCs w:val="21"/>
          <w:vertAlign w:val="superscript"/>
        </w:rPr>
        <w:footnoteReference w:id="31"/>
      </w:r>
      <w:r w:rsidRPr="00885D10">
        <w:rPr>
          <w:rFonts w:ascii="Arial" w:eastAsia="Arial" w:hAnsi="Arial" w:cs="Arial"/>
          <w:color w:val="000000" w:themeColor="text1"/>
          <w:sz w:val="21"/>
          <w:szCs w:val="21"/>
        </w:rPr>
        <w:t xml:space="preserve"> había indicado que, si bien en dichos convenios no se daba un </w:t>
      </w:r>
      <w:r w:rsidRPr="00885D10">
        <w:rPr>
          <w:rFonts w:ascii="Arial" w:eastAsia="Arial" w:hAnsi="Arial" w:cs="Arial"/>
          <w:i/>
          <w:color w:val="000000" w:themeColor="text1"/>
          <w:sz w:val="21"/>
          <w:szCs w:val="21"/>
        </w:rPr>
        <w:t>“verdadero intercambio de bienes o servicios (contrato conmutativo)”</w:t>
      </w:r>
      <w:r w:rsidRPr="00885D10">
        <w:rPr>
          <w:rFonts w:ascii="Arial" w:eastAsia="Arial" w:hAnsi="Arial" w:cs="Arial"/>
          <w:color w:val="000000" w:themeColor="text1"/>
          <w:sz w:val="21"/>
          <w:szCs w:val="21"/>
        </w:rPr>
        <w:t>, ello no impedía que se conviniera una remuneración a cargo de alguna(s) entidad(es).</w:t>
      </w:r>
    </w:p>
    <w:p w14:paraId="545C61B1" w14:textId="77777777" w:rsidR="009E3AC0" w:rsidRPr="00885D10" w:rsidRDefault="009E3AC0">
      <w:pPr>
        <w:spacing w:after="0" w:line="240" w:lineRule="auto"/>
        <w:ind w:left="709" w:right="709"/>
        <w:rPr>
          <w:rFonts w:ascii="Arial" w:eastAsia="Arial" w:hAnsi="Arial" w:cs="Arial"/>
          <w:color w:val="000000" w:themeColor="text1"/>
          <w:sz w:val="21"/>
          <w:szCs w:val="21"/>
        </w:rPr>
      </w:pPr>
    </w:p>
    <w:p w14:paraId="771CB75D" w14:textId="77777777" w:rsidR="009E3AC0" w:rsidRPr="00885D10" w:rsidRDefault="002B7867">
      <w:pPr>
        <w:widowControl w:val="0"/>
        <w:pBdr>
          <w:top w:val="nil"/>
          <w:left w:val="nil"/>
          <w:bottom w:val="nil"/>
          <w:right w:val="nil"/>
          <w:between w:val="nil"/>
        </w:pBdr>
        <w:spacing w:after="0" w:line="240" w:lineRule="auto"/>
        <w:ind w:left="709" w:right="709"/>
        <w:rPr>
          <w:rFonts w:ascii="Arial" w:eastAsia="Arial" w:hAnsi="Arial" w:cs="Arial"/>
          <w:color w:val="000000" w:themeColor="text1"/>
          <w:sz w:val="21"/>
          <w:szCs w:val="21"/>
        </w:rPr>
      </w:pPr>
      <w:r w:rsidRPr="00885D10">
        <w:rPr>
          <w:rFonts w:ascii="Arial" w:eastAsia="Arial" w:hAnsi="Arial" w:cs="Arial"/>
          <w:color w:val="000000" w:themeColor="text1"/>
          <w:sz w:val="21"/>
          <w:szCs w:val="21"/>
        </w:rPr>
        <w:t xml:space="preserve">Lo expuesto evidencia que, en general, las interpretaciones en torno a los </w:t>
      </w:r>
      <w:r w:rsidRPr="00885D10">
        <w:rPr>
          <w:rFonts w:ascii="Arial" w:eastAsia="Arial" w:hAnsi="Arial" w:cs="Arial"/>
          <w:i/>
          <w:color w:val="000000" w:themeColor="text1"/>
          <w:sz w:val="21"/>
          <w:szCs w:val="21"/>
        </w:rPr>
        <w:t>“convenios interadministrativos”</w:t>
      </w:r>
      <w:r w:rsidRPr="00885D10">
        <w:rPr>
          <w:rFonts w:ascii="Arial" w:eastAsia="Arial" w:hAnsi="Arial" w:cs="Arial"/>
          <w:color w:val="000000" w:themeColor="text1"/>
          <w:sz w:val="21"/>
          <w:szCs w:val="21"/>
        </w:rPr>
        <w:t xml:space="preserve"> previstos en el artículo 95 de la Ley 489 de 1998, en el propósito de encasillarlos dentro de una categoría normativa delimitada en su estructura, elementos y régimen jurídico, han sido dubitativas al vincular o no las obligaciones propias de dichos convenios con las de los contratos estatales sometidos al EGCAP, las cuales tienen por objeto prestaciones patrimoniales</w:t>
      </w:r>
      <w:r w:rsidRPr="00885D10">
        <w:rPr>
          <w:rFonts w:ascii="Arial" w:eastAsia="Arial" w:hAnsi="Arial" w:cs="Arial"/>
          <w:color w:val="000000" w:themeColor="text1"/>
          <w:sz w:val="21"/>
          <w:szCs w:val="21"/>
          <w:vertAlign w:val="superscript"/>
        </w:rPr>
        <w:footnoteReference w:id="32"/>
      </w:r>
      <w:r w:rsidRPr="00885D10">
        <w:rPr>
          <w:rFonts w:ascii="Arial" w:eastAsia="Arial" w:hAnsi="Arial" w:cs="Arial"/>
          <w:color w:val="000000" w:themeColor="text1"/>
          <w:sz w:val="21"/>
          <w:szCs w:val="21"/>
          <w:vertAlign w:val="superscript"/>
        </w:rPr>
        <w:footnoteReference w:id="33"/>
      </w:r>
      <w:r w:rsidRPr="00885D10">
        <w:rPr>
          <w:rFonts w:ascii="Arial" w:eastAsia="Arial" w:hAnsi="Arial" w:cs="Arial"/>
          <w:color w:val="000000" w:themeColor="text1"/>
          <w:sz w:val="21"/>
          <w:szCs w:val="21"/>
        </w:rPr>
        <w:t>.</w:t>
      </w:r>
    </w:p>
    <w:p w14:paraId="23B3527D" w14:textId="77777777" w:rsidR="009E3AC0" w:rsidRPr="00885D10" w:rsidRDefault="009E3AC0">
      <w:pPr>
        <w:widowControl w:val="0"/>
        <w:pBdr>
          <w:top w:val="nil"/>
          <w:left w:val="nil"/>
          <w:bottom w:val="nil"/>
          <w:right w:val="nil"/>
          <w:between w:val="nil"/>
        </w:pBdr>
        <w:spacing w:after="0" w:line="240" w:lineRule="auto"/>
        <w:rPr>
          <w:rFonts w:ascii="Arial" w:eastAsia="Arial" w:hAnsi="Arial" w:cs="Arial"/>
          <w:color w:val="000000" w:themeColor="text1"/>
          <w:sz w:val="22"/>
          <w:szCs w:val="22"/>
        </w:rPr>
      </w:pPr>
    </w:p>
    <w:p w14:paraId="317047DF" w14:textId="56DBB10A" w:rsidR="009E3AC0" w:rsidRPr="00885D10" w:rsidRDefault="002B7867">
      <w:pPr>
        <w:widowControl w:val="0"/>
        <w:pBdr>
          <w:top w:val="nil"/>
          <w:left w:val="nil"/>
          <w:bottom w:val="nil"/>
          <w:right w:val="nil"/>
          <w:between w:val="nil"/>
        </w:pBdr>
        <w:spacing w:after="120"/>
        <w:rPr>
          <w:rFonts w:ascii="Arial" w:eastAsia="Arial" w:hAnsi="Arial" w:cs="Arial"/>
          <w:color w:val="000000" w:themeColor="text1"/>
          <w:sz w:val="22"/>
          <w:szCs w:val="22"/>
        </w:rPr>
      </w:pPr>
      <w:r w:rsidRPr="00885D10">
        <w:rPr>
          <w:rFonts w:ascii="Arial" w:eastAsia="Arial" w:hAnsi="Arial" w:cs="Arial"/>
          <w:color w:val="000000" w:themeColor="text1"/>
          <w:sz w:val="22"/>
          <w:szCs w:val="22"/>
        </w:rPr>
        <w:tab/>
        <w:t xml:space="preserve">Sin perjuicio de lo indicado, debe reiterarse que el ordenamiento jurídico, en distintas </w:t>
      </w:r>
      <w:r w:rsidR="00F54E4D" w:rsidRPr="00885D10">
        <w:rPr>
          <w:rFonts w:ascii="Arial" w:eastAsia="Arial" w:hAnsi="Arial" w:cs="Arial"/>
          <w:color w:val="000000" w:themeColor="text1"/>
          <w:sz w:val="22"/>
          <w:szCs w:val="22"/>
        </w:rPr>
        <w:t>disposiciones</w:t>
      </w:r>
      <w:r w:rsidRPr="00885D10">
        <w:rPr>
          <w:rFonts w:ascii="Arial" w:eastAsia="Arial" w:hAnsi="Arial" w:cs="Arial"/>
          <w:color w:val="000000" w:themeColor="text1"/>
          <w:sz w:val="22"/>
          <w:szCs w:val="22"/>
        </w:rPr>
        <w:t>, utiliza de forma indistinta los conceptos de contrato o convenio para referirse a la misma institución jurídica</w:t>
      </w:r>
      <w:r w:rsidRPr="00885D10">
        <w:rPr>
          <w:rFonts w:ascii="Arial" w:eastAsia="Arial" w:hAnsi="Arial" w:cs="Arial"/>
          <w:color w:val="000000" w:themeColor="text1"/>
          <w:sz w:val="22"/>
          <w:szCs w:val="22"/>
          <w:vertAlign w:val="superscript"/>
        </w:rPr>
        <w:footnoteReference w:id="34"/>
      </w:r>
      <w:r w:rsidRPr="00885D10">
        <w:rPr>
          <w:rFonts w:ascii="Arial" w:eastAsia="Arial" w:hAnsi="Arial" w:cs="Arial"/>
          <w:color w:val="000000" w:themeColor="text1"/>
          <w:sz w:val="22"/>
          <w:szCs w:val="22"/>
        </w:rPr>
        <w:t>. Incluso vale la pena tener en cuenta cómo la Corte Constitucional fundamenta la posibilidad de celebrar convenios interadministrativos de forma directa, con fundamento en la causal establecida en la Ley 1150 de 2007 respecto a los contratos interadministrativos</w:t>
      </w:r>
      <w:r w:rsidRPr="00885D10">
        <w:rPr>
          <w:rFonts w:ascii="Arial" w:eastAsia="Arial" w:hAnsi="Arial" w:cs="Arial"/>
          <w:color w:val="000000" w:themeColor="text1"/>
          <w:sz w:val="22"/>
          <w:szCs w:val="22"/>
          <w:vertAlign w:val="superscript"/>
        </w:rPr>
        <w:footnoteReference w:id="35"/>
      </w:r>
      <w:r w:rsidRPr="00885D10">
        <w:rPr>
          <w:rFonts w:ascii="Arial" w:eastAsia="Arial" w:hAnsi="Arial" w:cs="Arial"/>
          <w:color w:val="000000" w:themeColor="text1"/>
          <w:sz w:val="22"/>
          <w:szCs w:val="22"/>
        </w:rPr>
        <w:t>.</w:t>
      </w:r>
    </w:p>
    <w:p w14:paraId="3B821446" w14:textId="22DAD66B" w:rsidR="009E3AC0" w:rsidRPr="00885D10" w:rsidRDefault="002B7867">
      <w:pPr>
        <w:widowControl w:val="0"/>
        <w:pBdr>
          <w:top w:val="nil"/>
          <w:left w:val="nil"/>
          <w:bottom w:val="nil"/>
          <w:right w:val="nil"/>
          <w:between w:val="nil"/>
        </w:pBdr>
        <w:spacing w:after="0"/>
        <w:rPr>
          <w:rFonts w:ascii="Arial" w:eastAsia="Arial" w:hAnsi="Arial" w:cs="Arial"/>
          <w:color w:val="000000" w:themeColor="text1"/>
          <w:sz w:val="22"/>
          <w:szCs w:val="22"/>
        </w:rPr>
      </w:pPr>
      <w:r w:rsidRPr="00885D10">
        <w:rPr>
          <w:rFonts w:ascii="Arial" w:eastAsia="Arial" w:hAnsi="Arial" w:cs="Arial"/>
          <w:color w:val="000000" w:themeColor="text1"/>
          <w:sz w:val="22"/>
          <w:szCs w:val="22"/>
        </w:rPr>
        <w:tab/>
        <w:t>En desarrollo de lo anterior, es importante destacar que la Circular Externa Única de Colombia Compra Eficiente, pese a reconocer que se han realizado algunas distinciones jurisprudenciales en torno a los contratos y convenios interadministrativos, relacionados con el alcance de las obligaciones que los caracterizan, señala que no existe una definición legal que diferencie los conceptos de convenio o de contrato. En tal sentido, de acuerdo con las consideraciones expuestas en este numeral los asimila para efectos de aplicar las disposiciones que tangencialmente se refieren a uno u otro vocablo, por ejemplo, lo que resulta bastante relevante para este concepto, para la aplicación de la Ley de Garantías. En este sentido, la Circular, refiriéndose al parágrafo del artículo 38 de la Ley 996 de 2005, expresa:</w:t>
      </w:r>
    </w:p>
    <w:p w14:paraId="0850883E" w14:textId="77777777" w:rsidR="009E3AC0" w:rsidRPr="00885D10" w:rsidRDefault="009E3AC0">
      <w:pPr>
        <w:widowControl w:val="0"/>
        <w:pBdr>
          <w:top w:val="nil"/>
          <w:left w:val="nil"/>
          <w:bottom w:val="nil"/>
          <w:right w:val="nil"/>
          <w:between w:val="nil"/>
        </w:pBdr>
        <w:spacing w:after="0"/>
        <w:rPr>
          <w:rFonts w:ascii="Arial" w:eastAsia="Arial" w:hAnsi="Arial" w:cs="Arial"/>
          <w:color w:val="000000" w:themeColor="text1"/>
          <w:sz w:val="22"/>
          <w:szCs w:val="22"/>
        </w:rPr>
      </w:pPr>
    </w:p>
    <w:p w14:paraId="14875897" w14:textId="77777777" w:rsidR="009E3AC0" w:rsidRPr="00885D10" w:rsidRDefault="002B7867">
      <w:pPr>
        <w:spacing w:after="0" w:line="240" w:lineRule="auto"/>
        <w:ind w:left="709" w:right="709"/>
        <w:rPr>
          <w:rFonts w:ascii="Arial" w:eastAsia="Arial" w:hAnsi="Arial" w:cs="Arial"/>
          <w:color w:val="000000" w:themeColor="text1"/>
          <w:sz w:val="21"/>
          <w:szCs w:val="21"/>
        </w:rPr>
      </w:pPr>
      <w:r w:rsidRPr="00885D10">
        <w:rPr>
          <w:rFonts w:ascii="Arial" w:eastAsia="Arial" w:hAnsi="Arial" w:cs="Arial"/>
          <w:color w:val="000000" w:themeColor="text1"/>
          <w:sz w:val="21"/>
          <w:szCs w:val="21"/>
        </w:rPr>
        <w:t xml:space="preserve">Esta restricción es aplicable tanto a los convenios como a los contratos interadministrativos. Toda vez que, al no existir definición legal que diferencie el concepto de convenio del concepto de contrato, la denominación prevista por la Ley 80 de 1993 y la Ley 1150 de 2007 para tal fin, se entenderán en el mismo sentido. Es así como el Decreto 1082 de 2015 trata indistintamente a los convenios y contratos interadministrativos, al establecer la contratación directa como la modalidad de selección para la contratación entre entidades públicas a través de estas dos figuras jurídicas. </w:t>
      </w:r>
    </w:p>
    <w:p w14:paraId="275E56D3" w14:textId="77777777" w:rsidR="009E3AC0" w:rsidRPr="00885D10" w:rsidRDefault="009E3AC0">
      <w:pPr>
        <w:spacing w:after="0" w:line="240" w:lineRule="auto"/>
        <w:ind w:left="709" w:right="709"/>
        <w:rPr>
          <w:rFonts w:ascii="Arial" w:eastAsia="Arial" w:hAnsi="Arial" w:cs="Arial"/>
          <w:color w:val="000000" w:themeColor="text1"/>
          <w:sz w:val="21"/>
          <w:szCs w:val="21"/>
        </w:rPr>
      </w:pPr>
    </w:p>
    <w:p w14:paraId="69359871" w14:textId="77777777" w:rsidR="009E3AC0" w:rsidRPr="00885D10" w:rsidRDefault="002B7867">
      <w:pPr>
        <w:spacing w:after="0" w:line="240" w:lineRule="auto"/>
        <w:ind w:left="709" w:right="709"/>
        <w:rPr>
          <w:rFonts w:ascii="Arial" w:eastAsia="Arial" w:hAnsi="Arial" w:cs="Arial"/>
          <w:color w:val="000000" w:themeColor="text1"/>
          <w:sz w:val="21"/>
          <w:szCs w:val="21"/>
        </w:rPr>
      </w:pPr>
      <w:r w:rsidRPr="00885D10">
        <w:rPr>
          <w:rFonts w:ascii="Arial" w:eastAsia="Arial" w:hAnsi="Arial" w:cs="Arial"/>
          <w:color w:val="000000" w:themeColor="text1"/>
          <w:sz w:val="21"/>
          <w:szCs w:val="21"/>
        </w:rPr>
        <w:t xml:space="preserve">No obstante, por vía jurisprudencial se ha establecido que en los contratos interadministrativos existe una contraprestación directa a favor de la entidad que ha entregado el bien o prestado el servicio a la Entidad contratante, habilitado para ello por su objeto legal como entidad ejecutora, como quiera que las obligaciones asignadas legalmente a aquella entidad pública están directamente relacionadas con el objeto contractual. Por su parte, en los convenios </w:t>
      </w:r>
      <w:r w:rsidRPr="00885D10">
        <w:rPr>
          <w:rFonts w:ascii="Arial" w:eastAsia="Arial" w:hAnsi="Arial" w:cs="Arial"/>
          <w:color w:val="000000" w:themeColor="text1"/>
          <w:sz w:val="21"/>
          <w:szCs w:val="21"/>
        </w:rPr>
        <w:lastRenderedPageBreak/>
        <w:t>interadministrativos las entidades se asocian con el fin de cooperar en el cumplimiento de funciones administrativas o de prestar conjuntamente servicios que se hallen a su cargo, sin que exista una contraprestación para ninguna de las entidades ni la prestación de un servicio a cargo de alguna de ellas y en favor de la otra parte del convenio.</w:t>
      </w:r>
    </w:p>
    <w:p w14:paraId="4826254E" w14:textId="77777777" w:rsidR="009E3AC0" w:rsidRPr="00885D10" w:rsidRDefault="009E3AC0">
      <w:pPr>
        <w:spacing w:after="0" w:line="240" w:lineRule="auto"/>
        <w:ind w:left="709" w:right="709"/>
        <w:rPr>
          <w:rFonts w:ascii="Arial" w:eastAsia="Arial" w:hAnsi="Arial" w:cs="Arial"/>
          <w:color w:val="000000" w:themeColor="text1"/>
          <w:sz w:val="21"/>
          <w:szCs w:val="21"/>
        </w:rPr>
      </w:pPr>
    </w:p>
    <w:p w14:paraId="7A71FDA5" w14:textId="77777777" w:rsidR="009E3AC0" w:rsidRPr="00885D10" w:rsidRDefault="002B7867">
      <w:pPr>
        <w:spacing w:after="0" w:line="240" w:lineRule="auto"/>
        <w:ind w:left="709" w:right="709"/>
        <w:rPr>
          <w:color w:val="000000" w:themeColor="text1"/>
        </w:rPr>
      </w:pPr>
      <w:r w:rsidRPr="00885D10">
        <w:rPr>
          <w:rFonts w:ascii="Arial" w:eastAsia="Arial" w:hAnsi="Arial" w:cs="Arial"/>
          <w:color w:val="000000" w:themeColor="text1"/>
          <w:sz w:val="21"/>
          <w:szCs w:val="21"/>
        </w:rPr>
        <w:t>En el contexto de la Ley de Garantías, las restricciones además de propender por la igualdad de los candidatos están encaminadas a evitar que por medio de la contratación se altere la voluntad popular, lo cual se puede lograr a través de contratos o convenios. En este sentido, la prohibición que establece el parágrafo del artículo 38 de la Ley de Garantías consiste en evitar que los recursos del Estado se ejecuten para lograr apoyos indebidos mediante la suscripción de contratos y/o convenios, que para efectos de la Ley de Garantías tienen la misma connotación y propósito.</w:t>
      </w:r>
    </w:p>
    <w:p w14:paraId="021C9AC1" w14:textId="77777777" w:rsidR="009E3AC0" w:rsidRPr="00885D10" w:rsidRDefault="009E3AC0">
      <w:pPr>
        <w:widowControl w:val="0"/>
        <w:pBdr>
          <w:top w:val="nil"/>
          <w:left w:val="nil"/>
          <w:bottom w:val="nil"/>
          <w:right w:val="nil"/>
          <w:between w:val="nil"/>
        </w:pBdr>
        <w:spacing w:before="3" w:after="0" w:line="240" w:lineRule="auto"/>
        <w:rPr>
          <w:rFonts w:ascii="Arial" w:eastAsia="Arial" w:hAnsi="Arial" w:cs="Arial"/>
          <w:color w:val="000000" w:themeColor="text1"/>
          <w:sz w:val="25"/>
          <w:szCs w:val="25"/>
        </w:rPr>
      </w:pPr>
    </w:p>
    <w:p w14:paraId="1E69A2AD" w14:textId="77777777" w:rsidR="009E3AC0" w:rsidRPr="00885D10" w:rsidRDefault="002B7867">
      <w:pPr>
        <w:widowControl w:val="0"/>
        <w:pBdr>
          <w:top w:val="nil"/>
          <w:left w:val="nil"/>
          <w:bottom w:val="nil"/>
          <w:right w:val="nil"/>
          <w:between w:val="nil"/>
        </w:pBdr>
        <w:spacing w:after="120"/>
        <w:rPr>
          <w:rFonts w:ascii="Arial" w:eastAsia="Arial" w:hAnsi="Arial" w:cs="Arial"/>
          <w:color w:val="000000" w:themeColor="text1"/>
          <w:sz w:val="22"/>
          <w:szCs w:val="22"/>
        </w:rPr>
      </w:pPr>
      <w:r w:rsidRPr="00885D10">
        <w:rPr>
          <w:rFonts w:ascii="Arial" w:eastAsia="Arial" w:hAnsi="Arial" w:cs="Arial"/>
          <w:color w:val="000000" w:themeColor="text1"/>
          <w:sz w:val="25"/>
          <w:szCs w:val="25"/>
        </w:rPr>
        <w:tab/>
      </w:r>
      <w:r w:rsidRPr="00885D10">
        <w:rPr>
          <w:rFonts w:ascii="Arial" w:eastAsia="Arial" w:hAnsi="Arial" w:cs="Arial"/>
          <w:color w:val="000000" w:themeColor="text1"/>
          <w:sz w:val="22"/>
          <w:szCs w:val="22"/>
        </w:rPr>
        <w:t>Teniendo en cuenta lo anterior, se reitera la conclusión en el sentido de que lo que define los contratos o convenios interadministrativos es la naturaleza de las partes, de manera que están determinados por un criterio orgánico, en el sentido de que lo serán aquellos celebrados entre entidades estatales. Además, como se indicó en la Circular citada, no existe una definición legal que diferencie los conceptos de contrato y convenio, por lo que se partió de su asimilación para la aplicación de la Ley de Garantías. En tal sentido, las referencias realizadas por el legislador a estos términos deben asimilarse, salvo que de su contenido se logre inferir que se le quiere otorgar un contenido en particular, pues como se expresó, el legislador utiliza estos conceptos de forma indistinta.</w:t>
      </w:r>
    </w:p>
    <w:p w14:paraId="0A6EA979" w14:textId="23DF700F" w:rsidR="009E3AC0" w:rsidRPr="00885D10" w:rsidRDefault="002B7867" w:rsidP="00885D10">
      <w:pPr>
        <w:widowControl w:val="0"/>
        <w:pBdr>
          <w:top w:val="nil"/>
          <w:left w:val="nil"/>
          <w:bottom w:val="nil"/>
          <w:right w:val="nil"/>
          <w:between w:val="nil"/>
        </w:pBdr>
        <w:spacing w:after="120"/>
        <w:ind w:firstLine="709"/>
        <w:rPr>
          <w:rFonts w:ascii="Arial" w:eastAsia="Arial" w:hAnsi="Arial" w:cs="Arial"/>
          <w:color w:val="000000" w:themeColor="text1"/>
          <w:sz w:val="22"/>
          <w:szCs w:val="22"/>
        </w:rPr>
      </w:pPr>
      <w:r w:rsidRPr="00885D10">
        <w:rPr>
          <w:rFonts w:ascii="Arial" w:eastAsia="Arial" w:hAnsi="Arial" w:cs="Arial"/>
          <w:color w:val="000000" w:themeColor="text1"/>
          <w:sz w:val="22"/>
          <w:szCs w:val="22"/>
        </w:rPr>
        <w:t xml:space="preserve">Se observa entonces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En este sentido, si una o ambas partes de la relación contractual es una entidad de aquellas descritas en el parágrafo </w:t>
      </w:r>
      <w:r w:rsidRPr="00885D10">
        <w:rPr>
          <w:rFonts w:ascii="Arial" w:eastAsia="Arial" w:hAnsi="Arial" w:cs="Arial"/>
          <w:i/>
          <w:color w:val="000000" w:themeColor="text1"/>
          <w:sz w:val="22"/>
          <w:szCs w:val="22"/>
        </w:rPr>
        <w:t>ibidem</w:t>
      </w:r>
      <w:r w:rsidRPr="00885D10">
        <w:rPr>
          <w:rFonts w:ascii="Arial" w:eastAsia="Arial" w:hAnsi="Arial" w:cs="Arial"/>
          <w:color w:val="000000" w:themeColor="text1"/>
          <w:sz w:val="22"/>
          <w:szCs w:val="22"/>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p>
    <w:p w14:paraId="5268332A" w14:textId="629D2278" w:rsidR="009E3AC0" w:rsidRPr="00885D10" w:rsidRDefault="002B7867" w:rsidP="00D26379">
      <w:pPr>
        <w:widowControl w:val="0"/>
        <w:pBdr>
          <w:top w:val="nil"/>
          <w:left w:val="nil"/>
          <w:bottom w:val="nil"/>
          <w:right w:val="nil"/>
          <w:between w:val="nil"/>
        </w:pBdr>
        <w:spacing w:after="120"/>
        <w:ind w:firstLine="709"/>
        <w:rPr>
          <w:rFonts w:ascii="Arial" w:eastAsia="Arial" w:hAnsi="Arial" w:cs="Arial"/>
          <w:color w:val="000000" w:themeColor="text1"/>
          <w:sz w:val="22"/>
          <w:szCs w:val="22"/>
        </w:rPr>
      </w:pPr>
      <w:bookmarkStart w:id="34" w:name="_23ckvvd" w:colFirst="0" w:colLast="0"/>
      <w:bookmarkEnd w:id="34"/>
      <w:r w:rsidRPr="00885D10">
        <w:rPr>
          <w:rFonts w:ascii="Arial" w:eastAsia="Arial" w:hAnsi="Arial" w:cs="Arial"/>
          <w:color w:val="000000" w:themeColor="text1"/>
          <w:sz w:val="22"/>
          <w:szCs w:val="22"/>
        </w:rPr>
        <w:t xml:space="preserve">En todo caso, es importante resaltar que la Sala de Consulta y Servicio Civil del Consejo de Estado se ha pronunciado en el sentido de que no se les aplica la restricción de la Ley de Garantías a los convenios o contratos interadministrativos que deben celebrarse en virtud de un fallo judicial. Esto en la medida que la obligatoriedad y la fuerza vinculante de las sentencias ejecutoriadas proferidas por los funcionarios investidos del poder judicial emanan de la autonomía conferida a estos por la Constitución y del derecho </w:t>
      </w:r>
      <w:r w:rsidRPr="00885D10">
        <w:rPr>
          <w:rFonts w:ascii="Arial" w:eastAsia="Arial" w:hAnsi="Arial" w:cs="Arial"/>
          <w:color w:val="000000" w:themeColor="text1"/>
          <w:sz w:val="22"/>
          <w:szCs w:val="22"/>
        </w:rPr>
        <w:lastRenderedPageBreak/>
        <w:t>que tienen los ciudadanos al acceso y oportuna administración de justicia</w:t>
      </w:r>
      <w:r w:rsidRPr="00885D10">
        <w:rPr>
          <w:rFonts w:ascii="Arial" w:eastAsia="Arial" w:hAnsi="Arial" w:cs="Arial"/>
          <w:color w:val="000000" w:themeColor="text1"/>
          <w:sz w:val="22"/>
          <w:szCs w:val="22"/>
          <w:vertAlign w:val="superscript"/>
        </w:rPr>
        <w:footnoteReference w:id="36"/>
      </w:r>
      <w:r w:rsidRPr="00885D10">
        <w:rPr>
          <w:rFonts w:ascii="Arial" w:eastAsia="Arial" w:hAnsi="Arial" w:cs="Arial"/>
          <w:color w:val="000000" w:themeColor="text1"/>
          <w:sz w:val="22"/>
          <w:szCs w:val="22"/>
        </w:rPr>
        <w:t>.</w:t>
      </w:r>
    </w:p>
    <w:p w14:paraId="5F7B9833" w14:textId="43039B9C" w:rsidR="00DD2D6F" w:rsidRPr="00885D10" w:rsidRDefault="00DD2D6F" w:rsidP="00DD2D6F">
      <w:pPr>
        <w:widowControl w:val="0"/>
        <w:pBdr>
          <w:top w:val="nil"/>
          <w:left w:val="nil"/>
          <w:bottom w:val="nil"/>
          <w:right w:val="nil"/>
          <w:between w:val="nil"/>
        </w:pBdr>
        <w:spacing w:after="120"/>
        <w:ind w:firstLine="709"/>
        <w:rPr>
          <w:rFonts w:ascii="Arial" w:eastAsia="Arial" w:hAnsi="Arial" w:cs="Arial"/>
          <w:color w:val="000000" w:themeColor="text1"/>
          <w:sz w:val="22"/>
          <w:szCs w:val="22"/>
        </w:rPr>
      </w:pPr>
      <w:r w:rsidRPr="00885D10">
        <w:rPr>
          <w:rFonts w:ascii="Arial" w:eastAsia="Arial" w:hAnsi="Arial" w:cs="Arial"/>
          <w:color w:val="000000" w:themeColor="text1"/>
          <w:sz w:val="22"/>
          <w:szCs w:val="22"/>
        </w:rPr>
        <w:t xml:space="preserve">Ahora bien, habiendo precisado el alcance de la prohibición del parágrafo del artículo 38, y teniendo en cuenta la pregunta del peticionario, en relación con la cobertura de la Ley de Garantías frente a la constitución de usufructos de bienes inmuebles del Estado, es importante profundizar en un aspecto de la prohibición, toda vez que el parágrafo alude a la ejecución de recursos públicos, como uno de los elementos para la aplicación de la prohibición. Esto es así, por cuanto el peticionario pregunta si es posible </w:t>
      </w:r>
      <w:r w:rsidR="00BA79FF" w:rsidRPr="00885D10">
        <w:rPr>
          <w:rFonts w:ascii="Arial" w:eastAsia="Arial" w:hAnsi="Arial" w:cs="Arial"/>
          <w:color w:val="000000" w:themeColor="text1"/>
          <w:sz w:val="22"/>
          <w:szCs w:val="22"/>
        </w:rPr>
        <w:t>que se «</w:t>
      </w:r>
      <w:r w:rsidR="00BA79FF" w:rsidRPr="00885D10">
        <w:rPr>
          <w:rFonts w:ascii="Arial" w:hAnsi="Arial" w:cs="Arial"/>
          <w:color w:val="000000" w:themeColor="text1"/>
          <w:sz w:val="22"/>
          <w:szCs w:val="22"/>
        </w:rPr>
        <w:t xml:space="preserve">suscriba escritura pública para el otorgamiento de un contrato de usufructo sobre bienes inmuebles propiedad de una de ellas», partiendo del supuesto de que esto se realice entre dos entidades públicas, </w:t>
      </w:r>
      <w:r w:rsidRPr="00885D10">
        <w:rPr>
          <w:rFonts w:ascii="Arial" w:eastAsia="Arial" w:hAnsi="Arial" w:cs="Arial"/>
          <w:color w:val="000000" w:themeColor="text1"/>
          <w:sz w:val="22"/>
          <w:szCs w:val="22"/>
        </w:rPr>
        <w:t xml:space="preserve">en los que sean parte entidades estatales de aquellas incluidas en la prohibición del parágrafo del artículo 38, presupuesto bajo el cual se realizarán las siguientes consideraciones. </w:t>
      </w:r>
    </w:p>
    <w:p w14:paraId="238AD5EA" w14:textId="2A579BE2" w:rsidR="00DD2D6F" w:rsidRPr="00885D10" w:rsidRDefault="00DD2D6F" w:rsidP="00885D10">
      <w:pPr>
        <w:widowControl w:val="0"/>
        <w:spacing w:after="120"/>
        <w:ind w:firstLine="709"/>
        <w:rPr>
          <w:color w:val="000000" w:themeColor="text1"/>
        </w:rPr>
      </w:pPr>
      <w:r w:rsidRPr="00885D10">
        <w:rPr>
          <w:rFonts w:ascii="Arial" w:eastAsia="Arial" w:hAnsi="Arial" w:cs="Arial"/>
          <w:color w:val="000000" w:themeColor="text1"/>
          <w:sz w:val="22"/>
          <w:szCs w:val="22"/>
        </w:rPr>
        <w:t xml:space="preserve">En relación con este asunto, es importante señalar que </w:t>
      </w:r>
      <w:r w:rsidR="00BA79FF" w:rsidRPr="00885D10">
        <w:rPr>
          <w:rFonts w:ascii="Arial" w:eastAsia="Arial" w:hAnsi="Arial" w:cs="Arial"/>
          <w:color w:val="000000" w:themeColor="text1"/>
          <w:sz w:val="22"/>
          <w:szCs w:val="22"/>
        </w:rPr>
        <w:t>temas similares al presente</w:t>
      </w:r>
      <w:r w:rsidRPr="00885D10">
        <w:rPr>
          <w:rFonts w:ascii="Arial" w:eastAsia="Arial" w:hAnsi="Arial" w:cs="Arial"/>
          <w:color w:val="000000" w:themeColor="text1"/>
          <w:sz w:val="22"/>
          <w:szCs w:val="22"/>
        </w:rPr>
        <w:t xml:space="preserve"> fueron objeto de análisis por parte de esta Agencia, por lo que a continuación se reiterará la postura adoptada en los conceptos 420191300004738  del 28 de agosto de 2019 –radicado de salida 2201913000006306–; 4201913000005789 del 7 de octubre de 2019 –radicado de salida 2201913000007428; 4201913000006036 del 17 de octubre de 2019 –radicado de salida 2201913000007760–; 4201912000006293 del 6 de noviembre de 2019 –radicado de salida 2201913000008259–; y C-715 del 21 de enero de 2022</w:t>
      </w:r>
      <w:r w:rsidRPr="00885D10">
        <w:rPr>
          <w:rFonts w:ascii="Arial" w:eastAsia="Arial" w:hAnsi="Arial" w:cs="Arial"/>
          <w:color w:val="000000" w:themeColor="text1"/>
          <w:sz w:val="22"/>
          <w:szCs w:val="22"/>
          <w:vertAlign w:val="superscript"/>
        </w:rPr>
        <w:footnoteReference w:id="37"/>
      </w:r>
      <w:r w:rsidRPr="00885D10">
        <w:rPr>
          <w:rFonts w:ascii="Arial" w:eastAsia="Arial" w:hAnsi="Arial" w:cs="Arial"/>
          <w:color w:val="000000" w:themeColor="text1"/>
          <w:sz w:val="22"/>
          <w:szCs w:val="22"/>
        </w:rPr>
        <w:t xml:space="preserve">. </w:t>
      </w:r>
    </w:p>
    <w:p w14:paraId="203D2F60" w14:textId="77777777" w:rsidR="00DD2D6F" w:rsidRPr="00885D10" w:rsidRDefault="00DD2D6F" w:rsidP="00DD2D6F">
      <w:pPr>
        <w:widowControl w:val="0"/>
        <w:spacing w:after="120"/>
        <w:ind w:firstLine="709"/>
        <w:rPr>
          <w:color w:val="000000" w:themeColor="text1"/>
        </w:rPr>
      </w:pPr>
      <w:r w:rsidRPr="00885D10">
        <w:rPr>
          <w:rFonts w:ascii="Arial" w:eastAsia="Arial" w:hAnsi="Arial" w:cs="Arial"/>
          <w:color w:val="000000" w:themeColor="text1"/>
          <w:sz w:val="22"/>
          <w:szCs w:val="22"/>
        </w:rPr>
        <w:t>Como se indicó en los conceptos citados, en el ordenamiento jurídico no hay norma que defina el alcance de la expresión «recursos públicos», es decir, la disposición analizada no define de forma precisa si se refiere exclusivamente a la ejecución de recursos públicos en dinero o también se refiere a la entrega de bienes muebles o inmuebles a título gratuito, que pertenezcan al Estado, los cuales serían recursos públicos.</w:t>
      </w:r>
    </w:p>
    <w:p w14:paraId="664F46A5" w14:textId="77777777" w:rsidR="00DD2D6F" w:rsidRPr="00885D10" w:rsidRDefault="00DD2D6F" w:rsidP="00DD2D6F">
      <w:pPr>
        <w:widowControl w:val="0"/>
        <w:spacing w:after="120"/>
        <w:ind w:firstLine="709"/>
        <w:rPr>
          <w:color w:val="000000" w:themeColor="text1"/>
        </w:rPr>
      </w:pPr>
      <w:r w:rsidRPr="00885D10">
        <w:rPr>
          <w:rFonts w:ascii="Arial" w:eastAsia="Arial" w:hAnsi="Arial" w:cs="Arial"/>
          <w:color w:val="000000" w:themeColor="text1"/>
          <w:sz w:val="22"/>
          <w:szCs w:val="22"/>
        </w:rPr>
        <w:t>La Corte Constitucional y el Consejo de Estado se han pronunciado sobre la situación en la cual en el ordenamiento jurídico se encuentran normas cuyo alcance no está determinado con exactitud en la ley. Refiriéndose a los conceptos jurídicos indeterminados, la doctrina explica que deben ser interpretados por el destinatario de la norma, quien debe precisarlo, de acuerdo con las circunstancias concretas que pesan sobre él</w:t>
      </w:r>
      <w:r w:rsidRPr="00885D10">
        <w:rPr>
          <w:rFonts w:ascii="Arial" w:eastAsia="Arial" w:hAnsi="Arial" w:cs="Arial"/>
          <w:color w:val="000000" w:themeColor="text1"/>
          <w:sz w:val="22"/>
          <w:szCs w:val="22"/>
          <w:vertAlign w:val="superscript"/>
        </w:rPr>
        <w:footnoteReference w:id="38"/>
      </w:r>
      <w:r w:rsidRPr="00885D10">
        <w:rPr>
          <w:rFonts w:ascii="Arial" w:eastAsia="Arial" w:hAnsi="Arial" w:cs="Arial"/>
          <w:color w:val="000000" w:themeColor="text1"/>
          <w:sz w:val="22"/>
          <w:szCs w:val="22"/>
        </w:rPr>
        <w:t xml:space="preserve">. Por lo tanto, </w:t>
      </w:r>
      <w:r w:rsidRPr="00885D10">
        <w:rPr>
          <w:rFonts w:ascii="Arial" w:eastAsia="Arial" w:hAnsi="Arial" w:cs="Arial"/>
          <w:color w:val="000000" w:themeColor="text1"/>
          <w:sz w:val="22"/>
          <w:szCs w:val="22"/>
        </w:rPr>
        <w:lastRenderedPageBreak/>
        <w:t>ante la</w:t>
      </w:r>
      <w:r w:rsidRPr="00885D10">
        <w:rPr>
          <w:rFonts w:ascii="Arial" w:eastAsia="Arial" w:hAnsi="Arial" w:cs="Arial"/>
          <w:color w:val="000000" w:themeColor="text1"/>
          <w:sz w:val="20"/>
          <w:szCs w:val="20"/>
        </w:rPr>
        <w:t xml:space="preserve"> </w:t>
      </w:r>
      <w:r w:rsidRPr="00885D10">
        <w:rPr>
          <w:rFonts w:ascii="Arial" w:eastAsia="Arial" w:hAnsi="Arial" w:cs="Arial"/>
          <w:color w:val="000000" w:themeColor="text1"/>
          <w:sz w:val="22"/>
          <w:szCs w:val="22"/>
        </w:rPr>
        <w:t>existencia de conceptos jurídicos indeterminados el intérprete determinará el alcance del concepto de acuerdo con las circunstancias específicas de cada caso</w:t>
      </w:r>
      <w:r w:rsidRPr="00885D10">
        <w:rPr>
          <w:rFonts w:ascii="Arial" w:eastAsia="Arial" w:hAnsi="Arial" w:cs="Arial"/>
          <w:color w:val="000000" w:themeColor="text1"/>
          <w:sz w:val="22"/>
          <w:szCs w:val="22"/>
          <w:vertAlign w:val="superscript"/>
        </w:rPr>
        <w:footnoteReference w:id="39"/>
      </w:r>
      <w:r w:rsidRPr="00885D10">
        <w:rPr>
          <w:rFonts w:ascii="Arial" w:eastAsia="Arial" w:hAnsi="Arial" w:cs="Arial"/>
          <w:color w:val="000000" w:themeColor="text1"/>
          <w:sz w:val="22"/>
          <w:szCs w:val="22"/>
        </w:rPr>
        <w:t>.</w:t>
      </w:r>
    </w:p>
    <w:p w14:paraId="0A5620CE" w14:textId="77777777" w:rsidR="00DD2D6F" w:rsidRPr="00885D10" w:rsidRDefault="00DD2D6F" w:rsidP="00DD2D6F">
      <w:pPr>
        <w:widowControl w:val="0"/>
        <w:spacing w:after="120"/>
        <w:ind w:firstLine="709"/>
        <w:rPr>
          <w:color w:val="000000" w:themeColor="text1"/>
        </w:rPr>
      </w:pPr>
      <w:r w:rsidRPr="00885D10">
        <w:rPr>
          <w:rFonts w:ascii="Arial" w:eastAsia="Arial" w:hAnsi="Arial" w:cs="Arial"/>
          <w:color w:val="000000" w:themeColor="text1"/>
          <w:sz w:val="22"/>
          <w:szCs w:val="22"/>
        </w:rPr>
        <w:t>Conforme a lo anterior, para dotar de contenido la expresión «recursos públicos» y determinar si es posible celebrar un contrato de comodato durante la vigencia de la Ley de Garantías, concretamente, frente a la prohibición del parágrafo del artículo 38, se acudirá a la exposición de motivos de la Ley para determinar si la entrega de un bien a título gratuito se enmarca en la ejecución de «recursos públicos».</w:t>
      </w:r>
    </w:p>
    <w:p w14:paraId="253531CA" w14:textId="7E0400B8" w:rsidR="00DD2D6F" w:rsidRPr="00885D10" w:rsidRDefault="00DD2D6F" w:rsidP="00DD2D6F">
      <w:pPr>
        <w:widowControl w:val="0"/>
        <w:spacing w:after="120"/>
        <w:ind w:firstLine="709"/>
        <w:rPr>
          <w:color w:val="000000" w:themeColor="text1"/>
        </w:rPr>
      </w:pPr>
      <w:r w:rsidRPr="00885D10">
        <w:rPr>
          <w:rFonts w:ascii="Arial" w:eastAsia="Arial" w:hAnsi="Arial" w:cs="Arial"/>
          <w:color w:val="000000" w:themeColor="text1"/>
          <w:sz w:val="22"/>
          <w:szCs w:val="22"/>
        </w:rPr>
        <w:t>La Ley 996 de 2005, de acuerdo con la Gaceta No. 71 del 2005</w:t>
      </w:r>
      <w:r w:rsidRPr="00885D10">
        <w:rPr>
          <w:rFonts w:ascii="Arial" w:eastAsia="Arial" w:hAnsi="Arial" w:cs="Arial"/>
          <w:color w:val="000000" w:themeColor="text1"/>
          <w:sz w:val="22"/>
          <w:szCs w:val="22"/>
          <w:vertAlign w:val="superscript"/>
        </w:rPr>
        <w:footnoteReference w:id="40"/>
      </w:r>
      <w:r w:rsidRPr="00885D10">
        <w:rPr>
          <w:rFonts w:ascii="Arial" w:eastAsia="Arial" w:hAnsi="Arial" w:cs="Arial"/>
          <w:color w:val="000000" w:themeColor="text1"/>
          <w:sz w:val="22"/>
          <w:szCs w:val="22"/>
        </w:rPr>
        <w:t xml:space="preserve">, tiene como propósito evitar cualquier tipo de arbitrariedad, de ventaja injustificada, de uso irregular de los recursos del Estado en las campañas o falta de garantías en la elección presidencial. Ahora, en las Gacetas del Congreso de la República No. 71, 231, 312 y 362 del año 2005, si bien se fijaron prohibiciones a los servidores públicos, no se incluyó la prohibición de celebrar convenios o contratos interadministrativos cuatro meses antes </w:t>
      </w:r>
      <w:r w:rsidR="00D85E6F" w:rsidRPr="00885D10">
        <w:rPr>
          <w:rFonts w:ascii="Arial" w:eastAsia="Arial" w:hAnsi="Arial" w:cs="Arial"/>
          <w:color w:val="000000" w:themeColor="text1"/>
          <w:sz w:val="22"/>
          <w:szCs w:val="22"/>
        </w:rPr>
        <w:t>de</w:t>
      </w:r>
      <w:r w:rsidRPr="00885D10">
        <w:rPr>
          <w:rFonts w:ascii="Arial" w:eastAsia="Arial" w:hAnsi="Arial" w:cs="Arial"/>
          <w:color w:val="000000" w:themeColor="text1"/>
          <w:sz w:val="22"/>
          <w:szCs w:val="22"/>
        </w:rPr>
        <w:t xml:space="preserve"> cualquier elección. En efecto, esta prohibición se incorporó en la Gaceta No. 35 de 2006, en la cual se publicó la Ley 996 de 2005, sin embargo, no se explicó el alcance de la expresión «ejecución de recursos públicos». Por su parte, la Gaceta No. 71 del 2 de marzo de 2005 señalaba que este proyecto de ley buscaba impedir que el cargo de una persona se utilizara para promover una candidatura o ejercer presión sobre los subordinados para determinar su voluntad de elección.</w:t>
      </w:r>
    </w:p>
    <w:p w14:paraId="04C3D9A5" w14:textId="77777777" w:rsidR="00DD2D6F" w:rsidRPr="00885D10" w:rsidRDefault="00DD2D6F" w:rsidP="00DD2D6F">
      <w:pPr>
        <w:widowControl w:val="0"/>
        <w:spacing w:after="120"/>
        <w:ind w:firstLine="709"/>
        <w:rPr>
          <w:color w:val="000000" w:themeColor="text1"/>
        </w:rPr>
      </w:pPr>
      <w:r w:rsidRPr="00885D10">
        <w:rPr>
          <w:rFonts w:ascii="Arial" w:eastAsia="Arial" w:hAnsi="Arial" w:cs="Arial"/>
          <w:color w:val="000000" w:themeColor="text1"/>
          <w:sz w:val="22"/>
          <w:szCs w:val="22"/>
        </w:rPr>
        <w:t xml:space="preserve">Por estas consideraciones, como se explicó anteriormente, el proyecto de ley estatutaria aborda la participación de los servidores públicos en política estableciendo unas prohibiciones aplicables a los servidores públicos no considerados en el inciso segundo del </w:t>
      </w:r>
      <w:r w:rsidRPr="00885D10">
        <w:rPr>
          <w:rFonts w:ascii="Arial" w:eastAsia="Arial" w:hAnsi="Arial" w:cs="Arial"/>
          <w:color w:val="000000" w:themeColor="text1"/>
          <w:sz w:val="22"/>
          <w:szCs w:val="22"/>
        </w:rPr>
        <w:lastRenderedPageBreak/>
        <w:t xml:space="preserve">artículo 127 de nuestra Constitución. De esta forma, se busca impedir que el cargo que se ostente sea utilizado para promover una candidatura o ejercer presión sobre los subordinados para determinar su voluntad de elección. </w:t>
      </w:r>
    </w:p>
    <w:p w14:paraId="68813873" w14:textId="77777777" w:rsidR="00DD2D6F" w:rsidRPr="00885D10" w:rsidRDefault="00DD2D6F" w:rsidP="00DD2D6F">
      <w:pPr>
        <w:widowControl w:val="0"/>
        <w:spacing w:after="120"/>
        <w:ind w:firstLine="709"/>
        <w:rPr>
          <w:color w:val="000000" w:themeColor="text1"/>
        </w:rPr>
      </w:pPr>
      <w:r w:rsidRPr="00885D10">
        <w:rPr>
          <w:rFonts w:ascii="Arial" w:eastAsia="Arial" w:hAnsi="Arial" w:cs="Arial"/>
          <w:color w:val="000000" w:themeColor="text1"/>
          <w:sz w:val="22"/>
          <w:szCs w:val="22"/>
        </w:rPr>
        <w:t>En este sentido, el objetivo de la Ley 996 de 2005 es evitar que un funcionario público que se encuentra en campaña electoral o apoyando alguna candidatura, haga uso de su cargo para influenciar a terceros para que voten de una determinada forma, es decir, que afecte la intención de voto.</w:t>
      </w:r>
    </w:p>
    <w:p w14:paraId="405F85BE" w14:textId="77777777" w:rsidR="00DD2D6F" w:rsidRPr="00885D10" w:rsidRDefault="00DD2D6F" w:rsidP="00DD2D6F">
      <w:pPr>
        <w:widowControl w:val="0"/>
        <w:spacing w:after="120"/>
        <w:ind w:firstLine="709"/>
        <w:rPr>
          <w:color w:val="000000" w:themeColor="text1"/>
        </w:rPr>
      </w:pPr>
      <w:r w:rsidRPr="00885D10">
        <w:rPr>
          <w:rFonts w:ascii="Arial" w:eastAsia="Arial" w:hAnsi="Arial" w:cs="Arial"/>
          <w:color w:val="000000" w:themeColor="text1"/>
          <w:sz w:val="22"/>
          <w:szCs w:val="22"/>
        </w:rPr>
        <w:t xml:space="preserve">De acuerdo con el debate legislativo, se afecta el voto de una persona no solo con la entrega de dinero público sino con la entrega de bienes del Estado. Es así como el artículo 3 del Proyecto de Ley Estatutaria Número 216 de 2005 prohibió al presidente, en la campaña presidencial, «entregar personalmente subsidios del Estado o cualquier otro dinero del Estado o producto de donaciones de terceros al Gobierno Nacional». Sin embargo, posteriormente, la Gaceta del Congreso No. 231 del 5 de mayo de 2005 cambió el sentido de la prohibición, incluyendo que el presidente no podrá: «Entregar personalmente recursos </w:t>
      </w:r>
      <w:r w:rsidRPr="00885D10">
        <w:rPr>
          <w:rFonts w:ascii="Arial" w:eastAsia="Arial" w:hAnsi="Arial" w:cs="Arial"/>
          <w:i/>
          <w:color w:val="000000" w:themeColor="text1"/>
          <w:sz w:val="22"/>
          <w:szCs w:val="22"/>
        </w:rPr>
        <w:t xml:space="preserve">o bienes estatales </w:t>
      </w:r>
      <w:r w:rsidRPr="00885D10">
        <w:rPr>
          <w:rFonts w:ascii="Arial" w:eastAsia="Arial" w:hAnsi="Arial" w:cs="Arial"/>
          <w:color w:val="000000" w:themeColor="text1"/>
          <w:sz w:val="22"/>
          <w:szCs w:val="22"/>
        </w:rPr>
        <w:t>o cualquier otra suma de dinero proveniente del erario o producto de donaciones de terceros al Gobierno Nacional». En este sentido, si el presidente se encuentra en campaña presidencial no podrá entregar personalmente recursos o bienes estatales o cualquier otra suma de dinero proveniente del erario porque este tipo de conductas afectan la voluntad de elección de terceros.</w:t>
      </w:r>
    </w:p>
    <w:p w14:paraId="2B9AAE6E" w14:textId="77777777" w:rsidR="00DD2D6F" w:rsidRPr="00885D10" w:rsidRDefault="00DD2D6F" w:rsidP="00DD2D6F">
      <w:pPr>
        <w:widowControl w:val="0"/>
        <w:spacing w:after="120"/>
        <w:ind w:firstLine="709"/>
        <w:rPr>
          <w:color w:val="000000" w:themeColor="text1"/>
        </w:rPr>
      </w:pPr>
      <w:r w:rsidRPr="00885D10">
        <w:rPr>
          <w:rFonts w:ascii="Arial" w:eastAsia="Arial" w:hAnsi="Arial" w:cs="Arial"/>
          <w:color w:val="000000" w:themeColor="text1"/>
          <w:sz w:val="22"/>
          <w:szCs w:val="22"/>
        </w:rPr>
        <w:t>Siguiendo la consideración anterior, si el parágrafo del artículo 38 de la Ley 996 de 2005 prohíbe a los gobernadores, alcaldes municipales y/o distritales, secretarios, gerentes y directores de entidades descentralizadas del orden municipal, departamental o distrital celebrar contratos o convenios interadministrativos para la ejecución de recursos públicos, se debe entender por «ejecución de recursos públicos», de acuerdo con el propósito de la norma, evitar que un funcionario use su cargo para influir en la intención de voto de un tercero, y por lo tanto la ejecución de recursos públicos no se debe entender de forma restringida a la entrega de dineros públicos, sino también la entrega de bienes del Estado para su uso.</w:t>
      </w:r>
    </w:p>
    <w:p w14:paraId="682274B8" w14:textId="77777777" w:rsidR="00DD2D6F" w:rsidRPr="00885D10" w:rsidRDefault="00DD2D6F" w:rsidP="00DD2D6F">
      <w:pPr>
        <w:widowControl w:val="0"/>
        <w:spacing w:after="120"/>
        <w:ind w:firstLine="709"/>
        <w:rPr>
          <w:color w:val="000000" w:themeColor="text1"/>
        </w:rPr>
      </w:pPr>
      <w:r w:rsidRPr="00885D10">
        <w:rPr>
          <w:rFonts w:ascii="Arial" w:eastAsia="Arial" w:hAnsi="Arial" w:cs="Arial"/>
          <w:color w:val="000000" w:themeColor="text1"/>
          <w:sz w:val="22"/>
          <w:szCs w:val="22"/>
        </w:rPr>
        <w:t>De esta manera, explicado que el término «ejecución de recursos públicos» incluye no solo la entrega de recursos que hacen parte del ciclo presupuestal de la entidad, sino también la entrega de bienes de dominio público, surge el siguiente interrogante: ¿cuáles son los bienes que se pueden entregar o disponer de ellos por parte de los funcionarios públicos?</w:t>
      </w:r>
    </w:p>
    <w:p w14:paraId="0CE4B0FB" w14:textId="77777777" w:rsidR="00DD2D6F" w:rsidRPr="00885D10" w:rsidRDefault="00DD2D6F" w:rsidP="00DD2D6F">
      <w:pPr>
        <w:widowControl w:val="0"/>
        <w:spacing w:after="120"/>
        <w:ind w:firstLine="709"/>
        <w:rPr>
          <w:color w:val="000000" w:themeColor="text1"/>
        </w:rPr>
      </w:pPr>
      <w:r w:rsidRPr="00885D10">
        <w:rPr>
          <w:rFonts w:ascii="Arial" w:eastAsia="Arial" w:hAnsi="Arial" w:cs="Arial"/>
          <w:color w:val="000000" w:themeColor="text1"/>
          <w:sz w:val="22"/>
          <w:szCs w:val="22"/>
        </w:rPr>
        <w:t>Los bienes de dominio público, de acuerdo con la Corte Constitucional, en la sentencia C-183 de 2003, son «el conjunto de bienes que la administración afecta al uso directo de la comunidad o que lo utiliza para servir a la sociedad». Dentro de esta categoría se encuentran los bienes fiscales y los bienes de uso público.</w:t>
      </w:r>
    </w:p>
    <w:p w14:paraId="3C664382" w14:textId="7A9C87F4" w:rsidR="00DD2D6F" w:rsidRPr="00885D10" w:rsidRDefault="00DD2D6F" w:rsidP="00DD2D6F">
      <w:pPr>
        <w:widowControl w:val="0"/>
        <w:spacing w:after="120"/>
        <w:ind w:firstLine="709"/>
        <w:rPr>
          <w:color w:val="000000" w:themeColor="text1"/>
        </w:rPr>
      </w:pPr>
      <w:r w:rsidRPr="00885D10">
        <w:rPr>
          <w:rFonts w:ascii="Arial" w:eastAsia="Arial" w:hAnsi="Arial" w:cs="Arial"/>
          <w:color w:val="000000" w:themeColor="text1"/>
          <w:sz w:val="22"/>
          <w:szCs w:val="22"/>
        </w:rPr>
        <w:lastRenderedPageBreak/>
        <w:t>Los bienes fiscales, de acuerdo con el Alto Tribunal Constitucional, en la sentencia C-183 de 2003</w:t>
      </w:r>
      <w:r w:rsidRPr="00885D10">
        <w:rPr>
          <w:rFonts w:ascii="Arial" w:eastAsia="Arial" w:hAnsi="Arial" w:cs="Arial"/>
          <w:color w:val="000000" w:themeColor="text1"/>
          <w:sz w:val="22"/>
          <w:szCs w:val="22"/>
          <w:vertAlign w:val="superscript"/>
        </w:rPr>
        <w:footnoteReference w:id="41"/>
      </w:r>
      <w:r w:rsidRPr="00885D10">
        <w:rPr>
          <w:rFonts w:ascii="Arial" w:eastAsia="Arial" w:hAnsi="Arial" w:cs="Arial"/>
          <w:color w:val="000000" w:themeColor="text1"/>
          <w:sz w:val="22"/>
          <w:szCs w:val="22"/>
        </w:rPr>
        <w:t>, están destinados a la prestación de servicios públicos que la Administración utiliza de forma inmediata, como los edificios donde funcionan las oficinas públicas. A su vez, el Consejo de Estado, Sección Tercera –radicado 21.699–</w:t>
      </w:r>
      <w:r w:rsidRPr="00885D10">
        <w:rPr>
          <w:rFonts w:ascii="Arial" w:eastAsia="Arial" w:hAnsi="Arial" w:cs="Arial"/>
          <w:color w:val="000000" w:themeColor="text1"/>
          <w:sz w:val="22"/>
          <w:szCs w:val="22"/>
          <w:vertAlign w:val="superscript"/>
        </w:rPr>
        <w:footnoteReference w:id="42"/>
      </w:r>
      <w:r w:rsidRPr="00885D10">
        <w:rPr>
          <w:rFonts w:ascii="Arial" w:eastAsia="Arial" w:hAnsi="Arial" w:cs="Arial"/>
          <w:color w:val="000000" w:themeColor="text1"/>
          <w:sz w:val="22"/>
          <w:szCs w:val="22"/>
        </w:rPr>
        <w:t xml:space="preserve">, los define como aquellos que pertenecen a sujetos de derecho público pero su uso no pertenece generalmente a los habitantes, de tal forma que el Estado los posee y los administra de forma similar a como lo hacen los particulares con los bienes de su propiedad. De esta </w:t>
      </w:r>
      <w:r w:rsidR="00875FAE" w:rsidRPr="00885D10">
        <w:rPr>
          <w:rFonts w:ascii="Arial" w:eastAsia="Arial" w:hAnsi="Arial" w:cs="Arial"/>
          <w:color w:val="000000" w:themeColor="text1"/>
          <w:sz w:val="22"/>
          <w:szCs w:val="22"/>
        </w:rPr>
        <w:t>manera</w:t>
      </w:r>
      <w:r w:rsidRPr="00885D10">
        <w:rPr>
          <w:rFonts w:ascii="Arial" w:eastAsia="Arial" w:hAnsi="Arial" w:cs="Arial"/>
          <w:color w:val="000000" w:themeColor="text1"/>
          <w:sz w:val="22"/>
          <w:szCs w:val="22"/>
        </w:rPr>
        <w:t>, sobre los bienes fiscales, a pesar de estar destinados a la prestación de servicios públicos, las entidades estatales tienen la facultad de disponer de ellos a través de un acto jurídico como la compraventa, la donación, el arriendo, entre otros.</w:t>
      </w:r>
    </w:p>
    <w:p w14:paraId="3A38A027" w14:textId="77777777" w:rsidR="00DD2D6F" w:rsidRPr="00885D10" w:rsidRDefault="00DD2D6F" w:rsidP="00DD2D6F">
      <w:pPr>
        <w:widowControl w:val="0"/>
        <w:spacing w:after="120"/>
        <w:ind w:firstLine="709"/>
        <w:rPr>
          <w:color w:val="000000" w:themeColor="text1"/>
        </w:rPr>
      </w:pPr>
      <w:r w:rsidRPr="00885D10">
        <w:rPr>
          <w:rFonts w:ascii="Arial" w:eastAsia="Arial" w:hAnsi="Arial" w:cs="Arial"/>
          <w:color w:val="000000" w:themeColor="text1"/>
          <w:sz w:val="22"/>
          <w:szCs w:val="22"/>
        </w:rPr>
        <w:t>Ahora, el artículo 674 del Código Civil define los bienes de dominio público como aquellos que «(…) pertenece a todos los habitantes de un Territorio, como el de calles, plazas, puentes y caminos, se llaman bienes de la Unión o de uso público o bienes públicos del Territorio». De acuerdo con la Corte Constitucional –sentencia C-183 de 2003–</w:t>
      </w:r>
      <w:r w:rsidRPr="00885D10">
        <w:rPr>
          <w:rFonts w:ascii="Arial" w:eastAsia="Arial" w:hAnsi="Arial" w:cs="Arial"/>
          <w:color w:val="000000" w:themeColor="text1"/>
          <w:sz w:val="22"/>
          <w:szCs w:val="22"/>
          <w:vertAlign w:val="superscript"/>
        </w:rPr>
        <w:footnoteReference w:id="43"/>
      </w:r>
      <w:r w:rsidRPr="00885D10">
        <w:rPr>
          <w:rFonts w:ascii="Arial" w:eastAsia="Arial" w:hAnsi="Arial" w:cs="Arial"/>
          <w:color w:val="000000" w:themeColor="text1"/>
          <w:sz w:val="22"/>
          <w:szCs w:val="22"/>
        </w:rPr>
        <w:t>, son bienes que pertenecen al Estado, destinados al uso común de todos los habitantes, y se encuentran por fuera del comercio. Por su parte, el Consejo de Estado</w:t>
      </w:r>
      <w:r w:rsidRPr="00885D10">
        <w:rPr>
          <w:rFonts w:ascii="Arial" w:eastAsia="Arial" w:hAnsi="Arial" w:cs="Arial"/>
          <w:color w:val="000000" w:themeColor="text1"/>
          <w:sz w:val="22"/>
          <w:szCs w:val="22"/>
          <w:vertAlign w:val="superscript"/>
        </w:rPr>
        <w:footnoteReference w:id="44"/>
      </w:r>
      <w:r w:rsidRPr="00885D10">
        <w:rPr>
          <w:rFonts w:ascii="Arial" w:eastAsia="Arial" w:hAnsi="Arial" w:cs="Arial"/>
          <w:color w:val="000000" w:themeColor="text1"/>
          <w:sz w:val="22"/>
          <w:szCs w:val="22"/>
        </w:rPr>
        <w:t xml:space="preserve">, Sección Tercera </w:t>
      </w:r>
      <w:r w:rsidRPr="00885D10">
        <w:rPr>
          <w:rFonts w:ascii="Arial" w:eastAsia="Arial" w:hAnsi="Arial" w:cs="Arial"/>
          <w:color w:val="000000" w:themeColor="text1"/>
          <w:sz w:val="22"/>
          <w:szCs w:val="22"/>
        </w:rPr>
        <w:lastRenderedPageBreak/>
        <w:t>–</w:t>
      </w:r>
      <w:proofErr w:type="spellStart"/>
      <w:r w:rsidRPr="00885D10">
        <w:rPr>
          <w:rFonts w:ascii="Arial" w:eastAsia="Arial" w:hAnsi="Arial" w:cs="Arial"/>
          <w:color w:val="000000" w:themeColor="text1"/>
          <w:sz w:val="22"/>
          <w:szCs w:val="22"/>
        </w:rPr>
        <w:t>Exp</w:t>
      </w:r>
      <w:proofErr w:type="spellEnd"/>
      <w:r w:rsidRPr="00885D10">
        <w:rPr>
          <w:rFonts w:ascii="Arial" w:eastAsia="Arial" w:hAnsi="Arial" w:cs="Arial"/>
          <w:color w:val="000000" w:themeColor="text1"/>
          <w:sz w:val="22"/>
          <w:szCs w:val="22"/>
        </w:rPr>
        <w:t>. 36.711–, define estos bienes como los que pertenecen al Estado y están destinados al uso, goce y disfrute de todos los habitantes del territorio. Por lo tanto, como los bienes de uso público están destinados al uso de los habitantes de un territorio el Estado, no puede disponer de ellos por encontrarse fuera del comercio.</w:t>
      </w:r>
    </w:p>
    <w:p w14:paraId="2964CE6A" w14:textId="77777777" w:rsidR="00DD2D6F" w:rsidRPr="00885D10" w:rsidRDefault="00DD2D6F" w:rsidP="00DD2D6F">
      <w:pPr>
        <w:widowControl w:val="0"/>
        <w:spacing w:after="120"/>
        <w:ind w:firstLine="709"/>
        <w:rPr>
          <w:color w:val="000000" w:themeColor="text1"/>
        </w:rPr>
      </w:pPr>
      <w:r w:rsidRPr="00885D10">
        <w:rPr>
          <w:rFonts w:ascii="Arial" w:eastAsia="Arial" w:hAnsi="Arial" w:cs="Arial"/>
          <w:color w:val="000000" w:themeColor="text1"/>
          <w:sz w:val="22"/>
          <w:szCs w:val="22"/>
        </w:rPr>
        <w:t>En conclusión, los bienes del Estado se dividen en bienes fiscales y de uso público. Los bienes de uso público se encuentran fuera del comercio y las entidades estatales no pueden disponer de ellos; por su parte, los fiscales son susceptibles de disposición por parte de las entidades estatales. En este sentido, las entidades pueden disponer de los bienes fiscales, por ejemplo, a través de contratos de comodato, y de esta forma harían parte del concepto de ejecución de recursos públicos de que trata el parágrafo del artículo 38 de la Ley 996 de 2005.</w:t>
      </w:r>
    </w:p>
    <w:p w14:paraId="61E729C3" w14:textId="572C6696" w:rsidR="003E6587" w:rsidRPr="00885D10" w:rsidRDefault="00F64801" w:rsidP="003B4389">
      <w:pPr>
        <w:widowControl w:val="0"/>
        <w:spacing w:after="120"/>
        <w:ind w:firstLine="709"/>
        <w:rPr>
          <w:color w:val="000000" w:themeColor="text1"/>
        </w:rPr>
      </w:pPr>
      <w:r w:rsidRPr="00885D10">
        <w:rPr>
          <w:rFonts w:ascii="Arial" w:eastAsia="Arial" w:hAnsi="Arial" w:cs="Arial"/>
          <w:color w:val="000000" w:themeColor="text1"/>
          <w:sz w:val="22"/>
          <w:szCs w:val="22"/>
        </w:rPr>
        <w:t xml:space="preserve">Ahora bien, </w:t>
      </w:r>
      <w:r w:rsidR="002405CC" w:rsidRPr="00885D10">
        <w:rPr>
          <w:rFonts w:ascii="Arial" w:eastAsia="Arial" w:hAnsi="Arial" w:cs="Arial"/>
          <w:color w:val="000000" w:themeColor="text1"/>
          <w:sz w:val="22"/>
          <w:szCs w:val="22"/>
        </w:rPr>
        <w:t>d</w:t>
      </w:r>
      <w:r w:rsidR="003B4389" w:rsidRPr="00885D10">
        <w:rPr>
          <w:rFonts w:ascii="Arial" w:eastAsia="Arial" w:hAnsi="Arial" w:cs="Arial"/>
          <w:color w:val="000000" w:themeColor="text1"/>
          <w:sz w:val="22"/>
          <w:szCs w:val="22"/>
        </w:rPr>
        <w:t xml:space="preserve">ado que el objeto de su consulta hace referencia a la aplicación de la restricción del parágrafo del artículo 38 de la Ley 996 de 2005 frente a la constitución de usufructos de bienes inmuebles del Estado, a continuación se expondrán las consideraciones de la Agencia Nacional de Contratación Pública frente a </w:t>
      </w:r>
      <w:r w:rsidR="00BA79FF" w:rsidRPr="00885D10">
        <w:rPr>
          <w:rFonts w:ascii="Arial" w:eastAsia="Arial" w:hAnsi="Arial" w:cs="Arial"/>
          <w:color w:val="000000" w:themeColor="text1"/>
          <w:sz w:val="22"/>
          <w:szCs w:val="22"/>
        </w:rPr>
        <w:t>este tipo de</w:t>
      </w:r>
      <w:r w:rsidR="003B4389" w:rsidRPr="00885D10">
        <w:rPr>
          <w:rFonts w:ascii="Arial" w:eastAsia="Arial" w:hAnsi="Arial" w:cs="Arial"/>
          <w:color w:val="000000" w:themeColor="text1"/>
          <w:sz w:val="22"/>
          <w:szCs w:val="22"/>
        </w:rPr>
        <w:t xml:space="preserve"> </w:t>
      </w:r>
      <w:r w:rsidR="00BA79FF" w:rsidRPr="00885D10">
        <w:rPr>
          <w:rFonts w:ascii="Arial" w:eastAsia="Arial" w:hAnsi="Arial" w:cs="Arial"/>
          <w:color w:val="000000" w:themeColor="text1"/>
          <w:sz w:val="22"/>
          <w:szCs w:val="22"/>
        </w:rPr>
        <w:t>contratos</w:t>
      </w:r>
      <w:r w:rsidR="003B4389" w:rsidRPr="00885D10">
        <w:rPr>
          <w:rFonts w:ascii="Arial" w:eastAsia="Arial" w:hAnsi="Arial" w:cs="Arial"/>
          <w:color w:val="000000" w:themeColor="text1"/>
          <w:sz w:val="22"/>
          <w:szCs w:val="22"/>
        </w:rPr>
        <w:t>.</w:t>
      </w:r>
    </w:p>
    <w:p w14:paraId="40BD524F" w14:textId="6235271E" w:rsidR="00F51BC9" w:rsidRPr="00885D10" w:rsidRDefault="0077426C" w:rsidP="003B4389">
      <w:pPr>
        <w:widowControl w:val="0"/>
        <w:pBdr>
          <w:top w:val="nil"/>
          <w:left w:val="nil"/>
          <w:bottom w:val="nil"/>
          <w:right w:val="nil"/>
          <w:between w:val="nil"/>
        </w:pBdr>
        <w:spacing w:after="120"/>
        <w:ind w:firstLine="709"/>
        <w:rPr>
          <w:rFonts w:ascii="Arial" w:eastAsia="Arial" w:hAnsi="Arial" w:cs="Arial"/>
          <w:color w:val="000000" w:themeColor="text1"/>
          <w:sz w:val="22"/>
          <w:szCs w:val="22"/>
        </w:rPr>
      </w:pPr>
      <w:r w:rsidRPr="00885D10">
        <w:rPr>
          <w:rFonts w:ascii="Arial" w:eastAsia="Arial" w:hAnsi="Arial" w:cs="Arial"/>
          <w:color w:val="000000" w:themeColor="text1"/>
          <w:sz w:val="22"/>
          <w:szCs w:val="22"/>
        </w:rPr>
        <w:t xml:space="preserve">El artículo </w:t>
      </w:r>
      <w:r w:rsidR="00512BA8" w:rsidRPr="00885D10">
        <w:rPr>
          <w:rFonts w:ascii="Arial" w:eastAsia="Arial" w:hAnsi="Arial" w:cs="Arial"/>
          <w:color w:val="000000" w:themeColor="text1"/>
          <w:sz w:val="22"/>
          <w:szCs w:val="22"/>
        </w:rPr>
        <w:t xml:space="preserve">823 del Código Civil define al usufructo </w:t>
      </w:r>
      <w:r w:rsidR="002058C6" w:rsidRPr="00885D10">
        <w:rPr>
          <w:rFonts w:ascii="Arial" w:eastAsia="Arial" w:hAnsi="Arial" w:cs="Arial"/>
          <w:color w:val="000000" w:themeColor="text1"/>
          <w:sz w:val="22"/>
          <w:szCs w:val="22"/>
        </w:rPr>
        <w:t>«</w:t>
      </w:r>
      <w:r w:rsidR="00512BA8" w:rsidRPr="00885D10">
        <w:rPr>
          <w:rFonts w:ascii="Arial" w:eastAsia="Arial" w:hAnsi="Arial" w:cs="Arial"/>
          <w:color w:val="000000" w:themeColor="text1"/>
          <w:sz w:val="22"/>
          <w:szCs w:val="22"/>
        </w:rPr>
        <w:t xml:space="preserve">como </w:t>
      </w:r>
      <w:r w:rsidR="00F17B1D" w:rsidRPr="00885D10">
        <w:rPr>
          <w:rFonts w:ascii="Arial" w:eastAsia="Arial" w:hAnsi="Arial" w:cs="Arial"/>
          <w:color w:val="000000" w:themeColor="text1"/>
          <w:sz w:val="22"/>
          <w:szCs w:val="22"/>
        </w:rPr>
        <w:t xml:space="preserve">un derecho real </w:t>
      </w:r>
      <w:r w:rsidR="0090500E" w:rsidRPr="00885D10">
        <w:rPr>
          <w:rFonts w:ascii="Arial" w:eastAsia="Arial" w:hAnsi="Arial" w:cs="Arial"/>
          <w:color w:val="000000" w:themeColor="text1"/>
          <w:sz w:val="22"/>
          <w:szCs w:val="22"/>
        </w:rPr>
        <w:t>que consiste en la facultad de gozar de una cosa con cargo de conservar su forma y sustancia, y de restituir a su dueño, si la cosa no es fungible</w:t>
      </w:r>
      <w:r w:rsidR="005C35C7" w:rsidRPr="00885D10">
        <w:rPr>
          <w:rFonts w:ascii="Arial" w:eastAsia="Arial" w:hAnsi="Arial" w:cs="Arial"/>
          <w:color w:val="000000" w:themeColor="text1"/>
          <w:sz w:val="22"/>
          <w:szCs w:val="22"/>
        </w:rPr>
        <w:t>; o con cargo de volver igual cantidad y calidad del mismo género, o de pagar su valor si la cosa es fungible</w:t>
      </w:r>
      <w:r w:rsidR="002058C6" w:rsidRPr="00885D10">
        <w:rPr>
          <w:rFonts w:ascii="Arial" w:eastAsia="Arial" w:hAnsi="Arial" w:cs="Arial"/>
          <w:color w:val="000000" w:themeColor="text1"/>
          <w:sz w:val="22"/>
          <w:szCs w:val="22"/>
        </w:rPr>
        <w:t>»</w:t>
      </w:r>
      <w:r w:rsidR="005C35C7" w:rsidRPr="00885D10">
        <w:rPr>
          <w:rFonts w:ascii="Arial" w:eastAsia="Arial" w:hAnsi="Arial" w:cs="Arial"/>
          <w:color w:val="000000" w:themeColor="text1"/>
          <w:sz w:val="22"/>
          <w:szCs w:val="22"/>
        </w:rPr>
        <w:t xml:space="preserve">. </w:t>
      </w:r>
      <w:r w:rsidR="009A2A26" w:rsidRPr="00885D10">
        <w:rPr>
          <w:rFonts w:ascii="Arial" w:eastAsia="Arial" w:hAnsi="Arial" w:cs="Arial"/>
          <w:color w:val="000000" w:themeColor="text1"/>
          <w:sz w:val="22"/>
          <w:szCs w:val="22"/>
        </w:rPr>
        <w:t xml:space="preserve">Este derecho, tal como lo establece el artículo 824 de la misma codificación, supone la </w:t>
      </w:r>
      <w:r w:rsidR="006D7C30" w:rsidRPr="00885D10">
        <w:rPr>
          <w:rFonts w:ascii="Arial" w:eastAsia="Arial" w:hAnsi="Arial" w:cs="Arial"/>
          <w:color w:val="000000" w:themeColor="text1"/>
          <w:sz w:val="22"/>
          <w:szCs w:val="22"/>
        </w:rPr>
        <w:t xml:space="preserve">coexistencia de dos derechos: el del nudo propietario, que es quien conserva la titularidad del derecho de dominio; y el del usufructuario. </w:t>
      </w:r>
      <w:r w:rsidR="00F51BC9" w:rsidRPr="00885D10">
        <w:rPr>
          <w:rFonts w:ascii="Arial" w:eastAsia="Arial" w:hAnsi="Arial" w:cs="Arial"/>
          <w:color w:val="000000" w:themeColor="text1"/>
          <w:sz w:val="22"/>
          <w:szCs w:val="22"/>
        </w:rPr>
        <w:t>Sobre el particular, la Corte Constitucional señaló</w:t>
      </w:r>
      <w:r w:rsidR="00BE31DF" w:rsidRPr="00885D10">
        <w:rPr>
          <w:rFonts w:ascii="Arial" w:eastAsia="Arial" w:hAnsi="Arial" w:cs="Arial"/>
          <w:color w:val="000000" w:themeColor="text1"/>
          <w:sz w:val="22"/>
          <w:szCs w:val="22"/>
        </w:rPr>
        <w:t xml:space="preserve"> </w:t>
      </w:r>
      <w:r w:rsidR="00BA0C43" w:rsidRPr="00885D10">
        <w:rPr>
          <w:rFonts w:ascii="Arial" w:eastAsia="Arial" w:hAnsi="Arial" w:cs="Arial"/>
          <w:color w:val="000000" w:themeColor="text1"/>
          <w:sz w:val="22"/>
          <w:szCs w:val="22"/>
        </w:rPr>
        <w:t>lo siguiente</w:t>
      </w:r>
      <w:r w:rsidR="00F51BC9" w:rsidRPr="00885D10">
        <w:rPr>
          <w:rFonts w:ascii="Arial" w:eastAsia="Arial" w:hAnsi="Arial" w:cs="Arial"/>
          <w:color w:val="000000" w:themeColor="text1"/>
          <w:sz w:val="22"/>
          <w:szCs w:val="22"/>
        </w:rPr>
        <w:t xml:space="preserve">: </w:t>
      </w:r>
    </w:p>
    <w:p w14:paraId="34E984E9" w14:textId="32783E9D" w:rsidR="00BE31DF" w:rsidRPr="00885D10" w:rsidRDefault="00BE31DF" w:rsidP="00BE31DF">
      <w:pPr>
        <w:spacing w:line="240" w:lineRule="auto"/>
        <w:ind w:left="709" w:right="709"/>
        <w:rPr>
          <w:rFonts w:ascii="Arial" w:hAnsi="Arial" w:cs="Arial"/>
          <w:color w:val="000000" w:themeColor="text1"/>
          <w:sz w:val="21"/>
          <w:szCs w:val="21"/>
          <w:lang w:val="es-ES_tradnl"/>
        </w:rPr>
      </w:pPr>
      <w:r w:rsidRPr="00885D10">
        <w:rPr>
          <w:rFonts w:ascii="Arial" w:hAnsi="Arial" w:cs="Arial"/>
          <w:color w:val="000000" w:themeColor="text1"/>
          <w:sz w:val="21"/>
          <w:szCs w:val="21"/>
          <w:lang w:val="es-ES_tradnl"/>
        </w:rPr>
        <w:t>Es un derecho real que consiste en la facultad de gozar de una cosa con cargo de conservar su forma y sustancia, y que supone necesariamente dos derechos coexistentes: el del nudo propietario y el del usufructuario</w:t>
      </w:r>
      <w:r w:rsidRPr="00885D10">
        <w:rPr>
          <w:rStyle w:val="Refdenotaalpie"/>
          <w:rFonts w:ascii="Arial" w:hAnsi="Arial" w:cs="Arial"/>
          <w:color w:val="000000" w:themeColor="text1"/>
          <w:sz w:val="21"/>
          <w:szCs w:val="21"/>
          <w:lang w:val="es-ES_tradnl"/>
        </w:rPr>
        <w:footnoteReference w:id="45"/>
      </w:r>
      <w:r w:rsidRPr="00885D10">
        <w:rPr>
          <w:rFonts w:ascii="Arial" w:hAnsi="Arial" w:cs="Arial"/>
          <w:color w:val="000000" w:themeColor="text1"/>
          <w:sz w:val="21"/>
          <w:szCs w:val="21"/>
          <w:lang w:val="es-ES_tradnl"/>
        </w:rPr>
        <w:t>. Es por ello que se ha considerado que este derecho real es una desmembración de la propiedad, dado que el nudo propietario, de los tres atributos clásicos del dominio (</w:t>
      </w:r>
      <w:proofErr w:type="spellStart"/>
      <w:r w:rsidRPr="00885D10">
        <w:rPr>
          <w:rFonts w:ascii="Arial" w:hAnsi="Arial" w:cs="Arial"/>
          <w:i/>
          <w:iCs/>
          <w:color w:val="000000" w:themeColor="text1"/>
          <w:sz w:val="21"/>
          <w:szCs w:val="21"/>
          <w:lang w:val="es-ES_tradnl"/>
        </w:rPr>
        <w:t>utendi</w:t>
      </w:r>
      <w:proofErr w:type="spellEnd"/>
      <w:r w:rsidRPr="00885D10">
        <w:rPr>
          <w:rFonts w:ascii="Arial" w:hAnsi="Arial" w:cs="Arial"/>
          <w:i/>
          <w:iCs/>
          <w:color w:val="000000" w:themeColor="text1"/>
          <w:sz w:val="21"/>
          <w:szCs w:val="21"/>
          <w:lang w:val="es-ES_tradnl"/>
        </w:rPr>
        <w:t xml:space="preserve">, </w:t>
      </w:r>
      <w:proofErr w:type="spellStart"/>
      <w:r w:rsidRPr="00885D10">
        <w:rPr>
          <w:rFonts w:ascii="Arial" w:hAnsi="Arial" w:cs="Arial"/>
          <w:i/>
          <w:iCs/>
          <w:color w:val="000000" w:themeColor="text1"/>
          <w:sz w:val="21"/>
          <w:szCs w:val="21"/>
          <w:lang w:val="es-ES_tradnl"/>
        </w:rPr>
        <w:t>fruendi</w:t>
      </w:r>
      <w:proofErr w:type="spellEnd"/>
      <w:r w:rsidRPr="00885D10">
        <w:rPr>
          <w:rFonts w:ascii="Arial" w:hAnsi="Arial" w:cs="Arial"/>
          <w:i/>
          <w:iCs/>
          <w:color w:val="000000" w:themeColor="text1"/>
          <w:sz w:val="21"/>
          <w:szCs w:val="21"/>
          <w:lang w:val="es-ES_tradnl"/>
        </w:rPr>
        <w:t xml:space="preserve"> y </w:t>
      </w:r>
      <w:proofErr w:type="spellStart"/>
      <w:r w:rsidRPr="00885D10">
        <w:rPr>
          <w:rFonts w:ascii="Arial" w:hAnsi="Arial" w:cs="Arial"/>
          <w:i/>
          <w:iCs/>
          <w:color w:val="000000" w:themeColor="text1"/>
          <w:sz w:val="21"/>
          <w:szCs w:val="21"/>
          <w:lang w:val="es-ES_tradnl"/>
        </w:rPr>
        <w:t>abutendi</w:t>
      </w:r>
      <w:proofErr w:type="spellEnd"/>
      <w:r w:rsidRPr="00885D10">
        <w:rPr>
          <w:rFonts w:ascii="Arial" w:hAnsi="Arial" w:cs="Arial"/>
          <w:i/>
          <w:iCs/>
          <w:color w:val="000000" w:themeColor="text1"/>
          <w:sz w:val="21"/>
          <w:szCs w:val="21"/>
          <w:lang w:val="es-ES_tradnl"/>
        </w:rPr>
        <w:t>)</w:t>
      </w:r>
      <w:r w:rsidRPr="00885D10">
        <w:rPr>
          <w:rFonts w:ascii="Arial" w:hAnsi="Arial" w:cs="Arial"/>
          <w:color w:val="000000" w:themeColor="text1"/>
          <w:sz w:val="21"/>
          <w:szCs w:val="21"/>
          <w:lang w:val="es-ES_tradnl"/>
        </w:rPr>
        <w:t>, sólo conserva el de disposición (</w:t>
      </w:r>
      <w:proofErr w:type="spellStart"/>
      <w:r w:rsidRPr="00885D10">
        <w:rPr>
          <w:rFonts w:ascii="Arial" w:hAnsi="Arial" w:cs="Arial"/>
          <w:i/>
          <w:iCs/>
          <w:color w:val="000000" w:themeColor="text1"/>
          <w:sz w:val="21"/>
          <w:szCs w:val="21"/>
          <w:lang w:val="es-ES_tradnl"/>
        </w:rPr>
        <w:t>abutendi</w:t>
      </w:r>
      <w:proofErr w:type="spellEnd"/>
      <w:r w:rsidRPr="00885D10">
        <w:rPr>
          <w:rFonts w:ascii="Arial" w:hAnsi="Arial" w:cs="Arial"/>
          <w:color w:val="000000" w:themeColor="text1"/>
          <w:sz w:val="21"/>
          <w:szCs w:val="21"/>
          <w:lang w:val="es-ES_tradnl"/>
        </w:rPr>
        <w:t>); mientras que el usufructuario detenta los  de uso de la cosa (</w:t>
      </w:r>
      <w:proofErr w:type="spellStart"/>
      <w:r w:rsidRPr="00885D10">
        <w:rPr>
          <w:rFonts w:ascii="Arial" w:hAnsi="Arial" w:cs="Arial"/>
          <w:i/>
          <w:iCs/>
          <w:color w:val="000000" w:themeColor="text1"/>
          <w:sz w:val="21"/>
          <w:szCs w:val="21"/>
          <w:lang w:val="es-ES_tradnl"/>
        </w:rPr>
        <w:t>usus</w:t>
      </w:r>
      <w:proofErr w:type="spellEnd"/>
      <w:r w:rsidRPr="00885D10">
        <w:rPr>
          <w:rFonts w:ascii="Arial" w:hAnsi="Arial" w:cs="Arial"/>
          <w:color w:val="000000" w:themeColor="text1"/>
          <w:sz w:val="21"/>
          <w:szCs w:val="21"/>
          <w:lang w:val="es-ES_tradnl"/>
        </w:rPr>
        <w:t>) y de adquisición de los frutos (</w:t>
      </w:r>
      <w:proofErr w:type="spellStart"/>
      <w:r w:rsidRPr="00885D10">
        <w:rPr>
          <w:rFonts w:ascii="Arial" w:hAnsi="Arial" w:cs="Arial"/>
          <w:i/>
          <w:iCs/>
          <w:color w:val="000000" w:themeColor="text1"/>
          <w:sz w:val="21"/>
          <w:szCs w:val="21"/>
          <w:lang w:val="es-ES_tradnl"/>
        </w:rPr>
        <w:t>fruendi</w:t>
      </w:r>
      <w:proofErr w:type="spellEnd"/>
      <w:r w:rsidRPr="00885D10">
        <w:rPr>
          <w:rFonts w:ascii="Arial" w:hAnsi="Arial" w:cs="Arial"/>
          <w:color w:val="000000" w:themeColor="text1"/>
          <w:sz w:val="21"/>
          <w:szCs w:val="21"/>
          <w:lang w:val="es-ES_tradnl"/>
        </w:rPr>
        <w:t>).</w:t>
      </w:r>
    </w:p>
    <w:p w14:paraId="653AD3DF" w14:textId="07AFD4F9" w:rsidR="00F51BC9" w:rsidRPr="00885D10" w:rsidRDefault="00BA0C43" w:rsidP="00DC48DA">
      <w:pPr>
        <w:widowControl w:val="0"/>
        <w:pBdr>
          <w:top w:val="nil"/>
          <w:left w:val="nil"/>
          <w:bottom w:val="nil"/>
          <w:right w:val="nil"/>
          <w:between w:val="nil"/>
        </w:pBdr>
        <w:spacing w:after="120"/>
        <w:ind w:firstLine="709"/>
        <w:rPr>
          <w:rFonts w:ascii="Arial" w:eastAsia="Arial" w:hAnsi="Arial" w:cs="Arial"/>
          <w:color w:val="000000" w:themeColor="text1"/>
          <w:sz w:val="22"/>
          <w:szCs w:val="22"/>
        </w:rPr>
      </w:pPr>
      <w:r w:rsidRPr="00885D10">
        <w:rPr>
          <w:rFonts w:ascii="Arial" w:eastAsia="Arial" w:hAnsi="Arial" w:cs="Arial"/>
          <w:color w:val="000000" w:themeColor="text1"/>
          <w:sz w:val="22"/>
          <w:szCs w:val="22"/>
        </w:rPr>
        <w:t>Así, en el derecho real de usufructo los atributos de la propiedad se esc</w:t>
      </w:r>
      <w:r w:rsidR="00C8251C" w:rsidRPr="00885D10">
        <w:rPr>
          <w:rFonts w:ascii="Arial" w:eastAsia="Arial" w:hAnsi="Arial" w:cs="Arial"/>
          <w:color w:val="000000" w:themeColor="text1"/>
          <w:sz w:val="22"/>
          <w:szCs w:val="22"/>
        </w:rPr>
        <w:t xml:space="preserve">inden en dos sujetos principalmente, el nudo propietario, que conserva la disposición </w:t>
      </w:r>
      <w:r w:rsidR="0092247B" w:rsidRPr="00885D10">
        <w:rPr>
          <w:rFonts w:ascii="Arial" w:eastAsia="Arial" w:hAnsi="Arial" w:cs="Arial"/>
          <w:color w:val="000000" w:themeColor="text1"/>
          <w:sz w:val="22"/>
          <w:szCs w:val="22"/>
        </w:rPr>
        <w:t>(</w:t>
      </w:r>
      <w:proofErr w:type="spellStart"/>
      <w:r w:rsidR="00C8251C" w:rsidRPr="00885D10">
        <w:rPr>
          <w:rFonts w:ascii="Arial" w:eastAsia="Arial" w:hAnsi="Arial" w:cs="Arial"/>
          <w:i/>
          <w:iCs/>
          <w:color w:val="000000" w:themeColor="text1"/>
          <w:sz w:val="22"/>
          <w:szCs w:val="22"/>
        </w:rPr>
        <w:t>abutendi</w:t>
      </w:r>
      <w:proofErr w:type="spellEnd"/>
      <w:r w:rsidR="0092247B" w:rsidRPr="00885D10">
        <w:rPr>
          <w:rFonts w:ascii="Arial" w:eastAsia="Arial" w:hAnsi="Arial" w:cs="Arial"/>
          <w:i/>
          <w:iCs/>
          <w:color w:val="000000" w:themeColor="text1"/>
          <w:sz w:val="22"/>
          <w:szCs w:val="22"/>
        </w:rPr>
        <w:t>)</w:t>
      </w:r>
      <w:r w:rsidR="00C8251C" w:rsidRPr="00885D10">
        <w:rPr>
          <w:rFonts w:ascii="Arial" w:eastAsia="Arial" w:hAnsi="Arial" w:cs="Arial"/>
          <w:i/>
          <w:iCs/>
          <w:color w:val="000000" w:themeColor="text1"/>
          <w:sz w:val="22"/>
          <w:szCs w:val="22"/>
        </w:rPr>
        <w:t xml:space="preserve">, </w:t>
      </w:r>
      <w:r w:rsidR="00C8251C" w:rsidRPr="00885D10">
        <w:rPr>
          <w:rFonts w:ascii="Arial" w:eastAsia="Arial" w:hAnsi="Arial" w:cs="Arial"/>
          <w:color w:val="000000" w:themeColor="text1"/>
          <w:sz w:val="22"/>
          <w:szCs w:val="22"/>
        </w:rPr>
        <w:t xml:space="preserve">y el </w:t>
      </w:r>
      <w:r w:rsidR="0092247B" w:rsidRPr="00885D10">
        <w:rPr>
          <w:rFonts w:ascii="Arial" w:eastAsia="Arial" w:hAnsi="Arial" w:cs="Arial"/>
          <w:color w:val="000000" w:themeColor="text1"/>
          <w:sz w:val="22"/>
          <w:szCs w:val="22"/>
        </w:rPr>
        <w:t>usufructuario, quien conserva el uso de la cosa (</w:t>
      </w:r>
      <w:proofErr w:type="spellStart"/>
      <w:r w:rsidR="0092247B" w:rsidRPr="00885D10">
        <w:rPr>
          <w:rFonts w:ascii="Arial" w:eastAsia="Arial" w:hAnsi="Arial" w:cs="Arial"/>
          <w:i/>
          <w:iCs/>
          <w:color w:val="000000" w:themeColor="text1"/>
          <w:sz w:val="22"/>
          <w:szCs w:val="22"/>
        </w:rPr>
        <w:t>usus</w:t>
      </w:r>
      <w:proofErr w:type="spellEnd"/>
      <w:r w:rsidR="0092247B" w:rsidRPr="00885D10">
        <w:rPr>
          <w:rFonts w:ascii="Arial" w:eastAsia="Arial" w:hAnsi="Arial" w:cs="Arial"/>
          <w:i/>
          <w:iCs/>
          <w:color w:val="000000" w:themeColor="text1"/>
          <w:sz w:val="22"/>
          <w:szCs w:val="22"/>
        </w:rPr>
        <w:t xml:space="preserve">) </w:t>
      </w:r>
      <w:r w:rsidR="0092247B" w:rsidRPr="00885D10">
        <w:rPr>
          <w:rFonts w:ascii="Arial" w:eastAsia="Arial" w:hAnsi="Arial" w:cs="Arial"/>
          <w:color w:val="000000" w:themeColor="text1"/>
          <w:sz w:val="22"/>
          <w:szCs w:val="22"/>
        </w:rPr>
        <w:t>y la adquisición de los frutos (</w:t>
      </w:r>
      <w:proofErr w:type="spellStart"/>
      <w:r w:rsidR="0092247B" w:rsidRPr="00885D10">
        <w:rPr>
          <w:rFonts w:ascii="Arial" w:eastAsia="Arial" w:hAnsi="Arial" w:cs="Arial"/>
          <w:color w:val="000000" w:themeColor="text1"/>
          <w:sz w:val="22"/>
          <w:szCs w:val="22"/>
        </w:rPr>
        <w:t>fruendi</w:t>
      </w:r>
      <w:proofErr w:type="spellEnd"/>
      <w:r w:rsidR="0092247B" w:rsidRPr="00885D10">
        <w:rPr>
          <w:rFonts w:ascii="Arial" w:eastAsia="Arial" w:hAnsi="Arial" w:cs="Arial"/>
          <w:color w:val="000000" w:themeColor="text1"/>
          <w:sz w:val="22"/>
          <w:szCs w:val="22"/>
        </w:rPr>
        <w:t xml:space="preserve">). Del mismo modo, el artículo </w:t>
      </w:r>
      <w:r w:rsidR="00710B58" w:rsidRPr="00885D10">
        <w:rPr>
          <w:rFonts w:ascii="Arial" w:eastAsia="Arial" w:hAnsi="Arial" w:cs="Arial"/>
          <w:color w:val="000000" w:themeColor="text1"/>
          <w:sz w:val="22"/>
          <w:szCs w:val="22"/>
        </w:rPr>
        <w:t xml:space="preserve">825 estableció </w:t>
      </w:r>
      <w:r w:rsidR="004205F6" w:rsidRPr="00885D10">
        <w:rPr>
          <w:rFonts w:ascii="Arial" w:eastAsia="Arial" w:hAnsi="Arial" w:cs="Arial"/>
          <w:color w:val="000000" w:themeColor="text1"/>
          <w:sz w:val="22"/>
          <w:szCs w:val="22"/>
        </w:rPr>
        <w:t xml:space="preserve">como modo de constitución de este derecho </w:t>
      </w:r>
      <w:r w:rsidR="004205F6" w:rsidRPr="00885D10">
        <w:rPr>
          <w:rFonts w:ascii="Arial" w:eastAsia="Arial" w:hAnsi="Arial" w:cs="Arial"/>
          <w:color w:val="000000" w:themeColor="text1"/>
          <w:sz w:val="22"/>
          <w:szCs w:val="22"/>
        </w:rPr>
        <w:lastRenderedPageBreak/>
        <w:t>real</w:t>
      </w:r>
      <w:r w:rsidR="00D67454" w:rsidRPr="00885D10">
        <w:rPr>
          <w:rFonts w:ascii="Arial" w:eastAsia="Arial" w:hAnsi="Arial" w:cs="Arial"/>
          <w:color w:val="000000" w:themeColor="text1"/>
          <w:sz w:val="22"/>
          <w:szCs w:val="22"/>
        </w:rPr>
        <w:t>, resultando relevante el tercer supuesto:</w:t>
      </w:r>
      <w:r w:rsidR="00EC0FBF" w:rsidRPr="00885D10">
        <w:rPr>
          <w:rFonts w:ascii="Arial" w:eastAsia="Arial" w:hAnsi="Arial" w:cs="Arial"/>
          <w:color w:val="000000" w:themeColor="text1"/>
          <w:sz w:val="22"/>
          <w:szCs w:val="22"/>
        </w:rPr>
        <w:t xml:space="preserve"> i) la ley; </w:t>
      </w:r>
      <w:proofErr w:type="spellStart"/>
      <w:r w:rsidR="00EC0FBF" w:rsidRPr="00885D10">
        <w:rPr>
          <w:rFonts w:ascii="Arial" w:eastAsia="Arial" w:hAnsi="Arial" w:cs="Arial"/>
          <w:color w:val="000000" w:themeColor="text1"/>
          <w:sz w:val="22"/>
          <w:szCs w:val="22"/>
        </w:rPr>
        <w:t>ii</w:t>
      </w:r>
      <w:proofErr w:type="spellEnd"/>
      <w:r w:rsidR="00EC0FBF" w:rsidRPr="00885D10">
        <w:rPr>
          <w:rFonts w:ascii="Arial" w:eastAsia="Arial" w:hAnsi="Arial" w:cs="Arial"/>
          <w:color w:val="000000" w:themeColor="text1"/>
          <w:sz w:val="22"/>
          <w:szCs w:val="22"/>
        </w:rPr>
        <w:t xml:space="preserve">) </w:t>
      </w:r>
      <w:r w:rsidR="00747FFD" w:rsidRPr="00885D10">
        <w:rPr>
          <w:rFonts w:ascii="Arial" w:eastAsia="Arial" w:hAnsi="Arial" w:cs="Arial"/>
          <w:color w:val="000000" w:themeColor="text1"/>
          <w:sz w:val="22"/>
          <w:szCs w:val="22"/>
        </w:rPr>
        <w:t xml:space="preserve">el testamento; </w:t>
      </w:r>
      <w:proofErr w:type="spellStart"/>
      <w:r w:rsidR="00747FFD" w:rsidRPr="00885D10">
        <w:rPr>
          <w:rFonts w:ascii="Arial" w:eastAsia="Arial" w:hAnsi="Arial" w:cs="Arial"/>
          <w:color w:val="000000" w:themeColor="text1"/>
          <w:sz w:val="22"/>
          <w:szCs w:val="22"/>
        </w:rPr>
        <w:t>iii</w:t>
      </w:r>
      <w:proofErr w:type="spellEnd"/>
      <w:r w:rsidR="00747FFD" w:rsidRPr="00885D10">
        <w:rPr>
          <w:rFonts w:ascii="Arial" w:eastAsia="Arial" w:hAnsi="Arial" w:cs="Arial"/>
          <w:color w:val="000000" w:themeColor="text1"/>
          <w:sz w:val="22"/>
          <w:szCs w:val="22"/>
        </w:rPr>
        <w:t xml:space="preserve">) donación, venta o cualquier acto entre vivos; y </w:t>
      </w:r>
      <w:proofErr w:type="spellStart"/>
      <w:r w:rsidR="00747FFD" w:rsidRPr="00885D10">
        <w:rPr>
          <w:rFonts w:ascii="Arial" w:eastAsia="Arial" w:hAnsi="Arial" w:cs="Arial"/>
          <w:color w:val="000000" w:themeColor="text1"/>
          <w:sz w:val="22"/>
          <w:szCs w:val="22"/>
        </w:rPr>
        <w:t>iv</w:t>
      </w:r>
      <w:proofErr w:type="spellEnd"/>
      <w:r w:rsidR="00747FFD" w:rsidRPr="00885D10">
        <w:rPr>
          <w:rFonts w:ascii="Arial" w:eastAsia="Arial" w:hAnsi="Arial" w:cs="Arial"/>
          <w:color w:val="000000" w:themeColor="text1"/>
          <w:sz w:val="22"/>
          <w:szCs w:val="22"/>
        </w:rPr>
        <w:t xml:space="preserve">) </w:t>
      </w:r>
      <w:r w:rsidR="0057676B" w:rsidRPr="00885D10">
        <w:rPr>
          <w:rFonts w:ascii="Arial" w:eastAsia="Arial" w:hAnsi="Arial" w:cs="Arial"/>
          <w:color w:val="000000" w:themeColor="text1"/>
          <w:sz w:val="22"/>
          <w:szCs w:val="22"/>
        </w:rPr>
        <w:t xml:space="preserve">prescripción. </w:t>
      </w:r>
    </w:p>
    <w:p w14:paraId="00F89CCF" w14:textId="09436089" w:rsidR="009C7EA2" w:rsidRPr="00885D10" w:rsidRDefault="0057676B" w:rsidP="00E53F04">
      <w:pPr>
        <w:widowControl w:val="0"/>
        <w:pBdr>
          <w:top w:val="nil"/>
          <w:left w:val="nil"/>
          <w:bottom w:val="nil"/>
          <w:right w:val="nil"/>
          <w:between w:val="nil"/>
        </w:pBdr>
        <w:spacing w:after="120"/>
        <w:ind w:firstLine="709"/>
        <w:rPr>
          <w:rFonts w:ascii="Arial" w:eastAsia="Arial" w:hAnsi="Arial" w:cs="Arial"/>
          <w:color w:val="000000" w:themeColor="text1"/>
          <w:sz w:val="22"/>
          <w:szCs w:val="22"/>
        </w:rPr>
      </w:pPr>
      <w:r w:rsidRPr="00885D10">
        <w:rPr>
          <w:rFonts w:ascii="Arial" w:eastAsia="Arial" w:hAnsi="Arial" w:cs="Arial"/>
          <w:color w:val="000000" w:themeColor="text1"/>
          <w:sz w:val="22"/>
          <w:szCs w:val="22"/>
        </w:rPr>
        <w:t xml:space="preserve">El </w:t>
      </w:r>
      <w:r w:rsidR="007D373E" w:rsidRPr="00885D10">
        <w:rPr>
          <w:rFonts w:ascii="Arial" w:eastAsia="Arial" w:hAnsi="Arial" w:cs="Arial"/>
          <w:color w:val="000000" w:themeColor="text1"/>
          <w:sz w:val="22"/>
          <w:szCs w:val="22"/>
        </w:rPr>
        <w:t>a</w:t>
      </w:r>
      <w:r w:rsidRPr="00885D10">
        <w:rPr>
          <w:rFonts w:ascii="Arial" w:eastAsia="Arial" w:hAnsi="Arial" w:cs="Arial"/>
          <w:color w:val="000000" w:themeColor="text1"/>
          <w:sz w:val="22"/>
          <w:szCs w:val="22"/>
        </w:rPr>
        <w:t>rtículo 826 de</w:t>
      </w:r>
      <w:r w:rsidR="0040123B" w:rsidRPr="00885D10">
        <w:rPr>
          <w:rFonts w:ascii="Arial" w:eastAsia="Arial" w:hAnsi="Arial" w:cs="Arial"/>
          <w:color w:val="000000" w:themeColor="text1"/>
          <w:sz w:val="22"/>
          <w:szCs w:val="22"/>
        </w:rPr>
        <w:t>l Código Civil estable</w:t>
      </w:r>
      <w:r w:rsidR="0085358B" w:rsidRPr="00885D10">
        <w:rPr>
          <w:rFonts w:ascii="Arial" w:eastAsia="Arial" w:hAnsi="Arial" w:cs="Arial"/>
          <w:color w:val="000000" w:themeColor="text1"/>
          <w:sz w:val="22"/>
          <w:szCs w:val="22"/>
        </w:rPr>
        <w:t>ció</w:t>
      </w:r>
      <w:r w:rsidR="0040123B" w:rsidRPr="00885D10">
        <w:rPr>
          <w:rFonts w:ascii="Arial" w:eastAsia="Arial" w:hAnsi="Arial" w:cs="Arial"/>
          <w:color w:val="000000" w:themeColor="text1"/>
          <w:sz w:val="22"/>
          <w:szCs w:val="22"/>
        </w:rPr>
        <w:t xml:space="preserve"> </w:t>
      </w:r>
      <w:r w:rsidR="007464F7" w:rsidRPr="00885D10">
        <w:rPr>
          <w:rFonts w:ascii="Arial" w:eastAsia="Arial" w:hAnsi="Arial" w:cs="Arial"/>
          <w:color w:val="000000" w:themeColor="text1"/>
          <w:sz w:val="22"/>
          <w:szCs w:val="22"/>
        </w:rPr>
        <w:t xml:space="preserve">lo siguiente: </w:t>
      </w:r>
      <w:r w:rsidR="00FD77F4" w:rsidRPr="00885D10">
        <w:rPr>
          <w:rFonts w:ascii="Arial" w:eastAsia="Arial" w:hAnsi="Arial" w:cs="Arial"/>
          <w:color w:val="000000" w:themeColor="text1"/>
          <w:sz w:val="22"/>
          <w:szCs w:val="22"/>
        </w:rPr>
        <w:t>«e</w:t>
      </w:r>
      <w:r w:rsidR="0035212E" w:rsidRPr="00885D10">
        <w:rPr>
          <w:rFonts w:ascii="Arial" w:eastAsia="Arial" w:hAnsi="Arial" w:cs="Arial"/>
          <w:color w:val="000000" w:themeColor="text1"/>
          <w:sz w:val="22"/>
          <w:szCs w:val="22"/>
        </w:rPr>
        <w:t>l usufructo que haya de recaer sobre inmuebles por acto entre vivos, no valdrá si no se otorgare por instrumento público inscrito</w:t>
      </w:r>
      <w:r w:rsidR="00FD77F4" w:rsidRPr="00885D10">
        <w:rPr>
          <w:rFonts w:ascii="Arial" w:eastAsia="Arial" w:hAnsi="Arial" w:cs="Arial"/>
          <w:color w:val="000000" w:themeColor="text1"/>
          <w:sz w:val="22"/>
          <w:szCs w:val="22"/>
        </w:rPr>
        <w:t>»</w:t>
      </w:r>
      <w:r w:rsidR="00FD77F4" w:rsidRPr="00885D10">
        <w:rPr>
          <w:rFonts w:ascii="Open Sans" w:hAnsi="Open Sans" w:cs="Open Sans"/>
          <w:color w:val="000000" w:themeColor="text1"/>
          <w:sz w:val="18"/>
          <w:szCs w:val="18"/>
        </w:rPr>
        <w:t>.</w:t>
      </w:r>
      <w:r w:rsidR="007D373E" w:rsidRPr="00885D10">
        <w:rPr>
          <w:rFonts w:ascii="Open Sans" w:hAnsi="Open Sans" w:cs="Open Sans"/>
          <w:color w:val="000000" w:themeColor="text1"/>
          <w:sz w:val="18"/>
          <w:szCs w:val="18"/>
        </w:rPr>
        <w:t xml:space="preserve"> </w:t>
      </w:r>
      <w:r w:rsidR="00FD77F4" w:rsidRPr="00885D10">
        <w:rPr>
          <w:rFonts w:ascii="Arial" w:eastAsia="Arial" w:hAnsi="Arial" w:cs="Arial"/>
          <w:color w:val="000000" w:themeColor="text1"/>
          <w:sz w:val="22"/>
          <w:szCs w:val="22"/>
        </w:rPr>
        <w:t>El legislador fij</w:t>
      </w:r>
      <w:r w:rsidR="003134F2" w:rsidRPr="00885D10">
        <w:rPr>
          <w:rFonts w:ascii="Arial" w:eastAsia="Arial" w:hAnsi="Arial" w:cs="Arial"/>
          <w:color w:val="000000" w:themeColor="text1"/>
          <w:sz w:val="22"/>
          <w:szCs w:val="22"/>
        </w:rPr>
        <w:t xml:space="preserve">ó un </w:t>
      </w:r>
      <w:r w:rsidR="0040123B" w:rsidRPr="00885D10">
        <w:rPr>
          <w:rFonts w:ascii="Arial" w:eastAsia="Arial" w:hAnsi="Arial" w:cs="Arial"/>
          <w:color w:val="000000" w:themeColor="text1"/>
          <w:sz w:val="22"/>
          <w:szCs w:val="22"/>
        </w:rPr>
        <w:t>requisito</w:t>
      </w:r>
      <w:r w:rsidR="00C92C99" w:rsidRPr="00885D10">
        <w:rPr>
          <w:rFonts w:ascii="Arial" w:eastAsia="Arial" w:hAnsi="Arial" w:cs="Arial"/>
          <w:color w:val="000000" w:themeColor="text1"/>
          <w:sz w:val="22"/>
          <w:szCs w:val="22"/>
        </w:rPr>
        <w:t xml:space="preserve"> </w:t>
      </w:r>
      <w:r w:rsidR="00A50954" w:rsidRPr="00885D10">
        <w:rPr>
          <w:rFonts w:ascii="Arial" w:eastAsia="Arial" w:hAnsi="Arial" w:cs="Arial"/>
          <w:i/>
          <w:iCs/>
          <w:color w:val="000000" w:themeColor="text1"/>
          <w:sz w:val="22"/>
          <w:szCs w:val="22"/>
        </w:rPr>
        <w:t xml:space="preserve">ad </w:t>
      </w:r>
      <w:proofErr w:type="spellStart"/>
      <w:r w:rsidR="00A50954" w:rsidRPr="00885D10">
        <w:rPr>
          <w:rFonts w:ascii="Arial" w:eastAsia="Arial" w:hAnsi="Arial" w:cs="Arial"/>
          <w:i/>
          <w:iCs/>
          <w:color w:val="000000" w:themeColor="text1"/>
          <w:sz w:val="22"/>
          <w:szCs w:val="22"/>
        </w:rPr>
        <w:t>sustantian</w:t>
      </w:r>
      <w:proofErr w:type="spellEnd"/>
      <w:r w:rsidR="00A50954" w:rsidRPr="00885D10">
        <w:rPr>
          <w:rFonts w:ascii="Arial" w:eastAsia="Arial" w:hAnsi="Arial" w:cs="Arial"/>
          <w:i/>
          <w:iCs/>
          <w:color w:val="000000" w:themeColor="text1"/>
          <w:sz w:val="22"/>
          <w:szCs w:val="22"/>
        </w:rPr>
        <w:t xml:space="preserve"> </w:t>
      </w:r>
      <w:proofErr w:type="spellStart"/>
      <w:r w:rsidR="00A50954" w:rsidRPr="00885D10">
        <w:rPr>
          <w:rFonts w:ascii="Arial" w:eastAsia="Arial" w:hAnsi="Arial" w:cs="Arial"/>
          <w:i/>
          <w:iCs/>
          <w:color w:val="000000" w:themeColor="text1"/>
          <w:sz w:val="22"/>
          <w:szCs w:val="22"/>
        </w:rPr>
        <w:t>actus</w:t>
      </w:r>
      <w:proofErr w:type="spellEnd"/>
      <w:r w:rsidR="00C92C99" w:rsidRPr="00885D10">
        <w:rPr>
          <w:rFonts w:ascii="Arial" w:eastAsia="Arial" w:hAnsi="Arial" w:cs="Arial"/>
          <w:color w:val="000000" w:themeColor="text1"/>
          <w:sz w:val="22"/>
          <w:szCs w:val="22"/>
        </w:rPr>
        <w:t xml:space="preserve"> </w:t>
      </w:r>
      <w:r w:rsidR="003134F2" w:rsidRPr="00885D10">
        <w:rPr>
          <w:rFonts w:ascii="Arial" w:eastAsia="Arial" w:hAnsi="Arial" w:cs="Arial"/>
          <w:color w:val="000000" w:themeColor="text1"/>
          <w:sz w:val="22"/>
          <w:szCs w:val="22"/>
        </w:rPr>
        <w:t>para la constitución del</w:t>
      </w:r>
      <w:r w:rsidR="00C92C99" w:rsidRPr="00885D10">
        <w:rPr>
          <w:rFonts w:ascii="Arial" w:eastAsia="Arial" w:hAnsi="Arial" w:cs="Arial"/>
          <w:color w:val="000000" w:themeColor="text1"/>
          <w:sz w:val="22"/>
          <w:szCs w:val="22"/>
        </w:rPr>
        <w:t xml:space="preserve"> usufructo </w:t>
      </w:r>
      <w:r w:rsidR="00C4120A" w:rsidRPr="00885D10">
        <w:rPr>
          <w:rFonts w:ascii="Arial" w:eastAsia="Arial" w:hAnsi="Arial" w:cs="Arial"/>
          <w:color w:val="000000" w:themeColor="text1"/>
          <w:sz w:val="22"/>
          <w:szCs w:val="22"/>
        </w:rPr>
        <w:t>sobre inmuebles,</w:t>
      </w:r>
      <w:r w:rsidR="003A51E9" w:rsidRPr="00885D10">
        <w:rPr>
          <w:rFonts w:ascii="Arial" w:eastAsia="Arial" w:hAnsi="Arial" w:cs="Arial"/>
          <w:color w:val="000000" w:themeColor="text1"/>
          <w:sz w:val="22"/>
          <w:szCs w:val="22"/>
        </w:rPr>
        <w:t xml:space="preserve"> </w:t>
      </w:r>
      <w:r w:rsidR="00212DAE" w:rsidRPr="00885D10">
        <w:rPr>
          <w:rFonts w:ascii="Arial" w:eastAsia="Arial" w:hAnsi="Arial" w:cs="Arial"/>
          <w:color w:val="000000" w:themeColor="text1"/>
          <w:sz w:val="22"/>
          <w:szCs w:val="22"/>
        </w:rPr>
        <w:t>esto es,</w:t>
      </w:r>
      <w:r w:rsidR="006B5B3B" w:rsidRPr="00885D10">
        <w:rPr>
          <w:rFonts w:ascii="Arial" w:eastAsia="Arial" w:hAnsi="Arial" w:cs="Arial"/>
          <w:color w:val="000000" w:themeColor="text1"/>
          <w:sz w:val="22"/>
          <w:szCs w:val="22"/>
        </w:rPr>
        <w:t xml:space="preserve"> requiere que </w:t>
      </w:r>
      <w:r w:rsidR="004F7A23" w:rsidRPr="00885D10">
        <w:rPr>
          <w:rFonts w:ascii="Arial" w:eastAsia="Arial" w:hAnsi="Arial" w:cs="Arial"/>
          <w:color w:val="000000" w:themeColor="text1"/>
          <w:sz w:val="22"/>
          <w:szCs w:val="22"/>
        </w:rPr>
        <w:t xml:space="preserve">la constitución de este derecho real </w:t>
      </w:r>
      <w:r w:rsidR="006B5B3B" w:rsidRPr="00885D10">
        <w:rPr>
          <w:rFonts w:ascii="Arial" w:eastAsia="Arial" w:hAnsi="Arial" w:cs="Arial"/>
          <w:color w:val="000000" w:themeColor="text1"/>
          <w:sz w:val="22"/>
          <w:szCs w:val="22"/>
        </w:rPr>
        <w:t>se eleve a escritura pública</w:t>
      </w:r>
      <w:r w:rsidR="00F15040" w:rsidRPr="00885D10">
        <w:rPr>
          <w:rFonts w:ascii="Arial" w:eastAsia="Arial" w:hAnsi="Arial" w:cs="Arial"/>
          <w:color w:val="000000" w:themeColor="text1"/>
          <w:sz w:val="22"/>
          <w:szCs w:val="22"/>
        </w:rPr>
        <w:t>,</w:t>
      </w:r>
      <w:r w:rsidR="006B5B3B" w:rsidRPr="00885D10">
        <w:rPr>
          <w:rFonts w:ascii="Arial" w:eastAsia="Arial" w:hAnsi="Arial" w:cs="Arial"/>
          <w:color w:val="000000" w:themeColor="text1"/>
          <w:sz w:val="22"/>
          <w:szCs w:val="22"/>
        </w:rPr>
        <w:t xml:space="preserve"> que además debe ser inscrita en el registro de instrumentos públicos </w:t>
      </w:r>
      <w:r w:rsidR="00096B6A" w:rsidRPr="00885D10">
        <w:rPr>
          <w:rFonts w:ascii="Arial" w:eastAsia="Arial" w:hAnsi="Arial" w:cs="Arial"/>
          <w:color w:val="000000" w:themeColor="text1"/>
          <w:sz w:val="22"/>
          <w:szCs w:val="22"/>
        </w:rPr>
        <w:t>del correspondiente inmueble</w:t>
      </w:r>
      <w:r w:rsidR="00F15040" w:rsidRPr="00885D10">
        <w:rPr>
          <w:rFonts w:ascii="Arial" w:eastAsia="Arial" w:hAnsi="Arial" w:cs="Arial"/>
          <w:color w:val="000000" w:themeColor="text1"/>
          <w:sz w:val="22"/>
          <w:szCs w:val="22"/>
        </w:rPr>
        <w:t xml:space="preserve">. </w:t>
      </w:r>
      <w:r w:rsidR="009C7EA2" w:rsidRPr="00885D10">
        <w:rPr>
          <w:rFonts w:ascii="Arial" w:eastAsia="Arial" w:hAnsi="Arial" w:cs="Arial"/>
          <w:color w:val="000000" w:themeColor="text1"/>
          <w:sz w:val="22"/>
          <w:szCs w:val="22"/>
        </w:rPr>
        <w:t xml:space="preserve">Respecto a esta obligatoriedad </w:t>
      </w:r>
      <w:r w:rsidR="00B821EF" w:rsidRPr="00885D10">
        <w:rPr>
          <w:rFonts w:ascii="Arial" w:eastAsia="Arial" w:hAnsi="Arial" w:cs="Arial"/>
          <w:color w:val="000000" w:themeColor="text1"/>
          <w:sz w:val="22"/>
          <w:szCs w:val="22"/>
        </w:rPr>
        <w:t xml:space="preserve">de inscripción de este negocio jurídico en el registro de instrumento público correspondiente, </w:t>
      </w:r>
      <w:r w:rsidR="009C7EA2" w:rsidRPr="00885D10">
        <w:rPr>
          <w:rFonts w:ascii="Arial" w:eastAsia="Arial" w:hAnsi="Arial" w:cs="Arial"/>
          <w:color w:val="000000" w:themeColor="text1"/>
          <w:sz w:val="22"/>
          <w:szCs w:val="22"/>
        </w:rPr>
        <w:t xml:space="preserve">el artículo 4 del Estatuto de Registro de Instrumentos Públicos señaló lo siguiente: </w:t>
      </w:r>
    </w:p>
    <w:p w14:paraId="6C2ED619" w14:textId="77777777" w:rsidR="00092596" w:rsidRPr="00885D10" w:rsidRDefault="00092596" w:rsidP="00092596">
      <w:pPr>
        <w:shd w:val="clear" w:color="auto" w:fill="FFFFFF"/>
        <w:spacing w:after="100" w:afterAutospacing="1" w:line="240" w:lineRule="auto"/>
        <w:ind w:left="709" w:right="709"/>
        <w:rPr>
          <w:rFonts w:ascii="Arial" w:eastAsia="Times New Roman" w:hAnsi="Arial" w:cs="Arial"/>
          <w:color w:val="000000" w:themeColor="text1"/>
          <w:sz w:val="21"/>
          <w:szCs w:val="21"/>
          <w:lang w:val="es-CO" w:eastAsia="es-CO"/>
        </w:rPr>
      </w:pPr>
      <w:r w:rsidRPr="00885D10">
        <w:rPr>
          <w:rFonts w:ascii="Arial" w:eastAsia="Times New Roman" w:hAnsi="Arial" w:cs="Arial"/>
          <w:color w:val="000000" w:themeColor="text1"/>
          <w:sz w:val="21"/>
          <w:szCs w:val="21"/>
          <w:lang w:val="es-CO" w:eastAsia="es-CO"/>
        </w:rPr>
        <w:t>Artículo 4°. </w:t>
      </w:r>
      <w:r w:rsidRPr="00885D10">
        <w:rPr>
          <w:rFonts w:ascii="Arial" w:eastAsia="Times New Roman" w:hAnsi="Arial" w:cs="Arial"/>
          <w:i/>
          <w:iCs/>
          <w:color w:val="000000" w:themeColor="text1"/>
          <w:sz w:val="21"/>
          <w:szCs w:val="21"/>
          <w:lang w:val="es-CO" w:eastAsia="es-CO"/>
        </w:rPr>
        <w:t>Actos, títulos y documentos sujetos al registro. </w:t>
      </w:r>
      <w:r w:rsidRPr="00885D10">
        <w:rPr>
          <w:rFonts w:ascii="Arial" w:eastAsia="Times New Roman" w:hAnsi="Arial" w:cs="Arial"/>
          <w:color w:val="000000" w:themeColor="text1"/>
          <w:sz w:val="21"/>
          <w:szCs w:val="21"/>
          <w:lang w:val="es-CO" w:eastAsia="es-CO"/>
        </w:rPr>
        <w:t>Están sujetos a registro:</w:t>
      </w:r>
    </w:p>
    <w:p w14:paraId="5E445EBA" w14:textId="45320088" w:rsidR="009C7EA2" w:rsidRPr="00885D10" w:rsidRDefault="00092596" w:rsidP="00CA0F51">
      <w:pPr>
        <w:shd w:val="clear" w:color="auto" w:fill="FFFFFF"/>
        <w:spacing w:after="100" w:afterAutospacing="1" w:line="240" w:lineRule="auto"/>
        <w:ind w:left="709" w:right="709"/>
        <w:rPr>
          <w:rFonts w:ascii="Arial" w:eastAsia="Times New Roman" w:hAnsi="Arial" w:cs="Arial"/>
          <w:color w:val="000000" w:themeColor="text1"/>
          <w:sz w:val="21"/>
          <w:szCs w:val="21"/>
          <w:lang w:val="es-CO" w:eastAsia="es-CO"/>
        </w:rPr>
      </w:pPr>
      <w:r w:rsidRPr="00885D10">
        <w:rPr>
          <w:rFonts w:ascii="Arial" w:eastAsia="Times New Roman" w:hAnsi="Arial" w:cs="Arial"/>
          <w:color w:val="000000" w:themeColor="text1"/>
          <w:sz w:val="21"/>
          <w:szCs w:val="21"/>
          <w:lang w:val="es-CO" w:eastAsia="es-CO"/>
        </w:rPr>
        <w:t>a) Todo acto, contrato, decisión contenido en escritura pública, providencia judicial, administrativa o arbitral que implique constitución, declaración, aclaración, adjudicación, modificación, limitación, gravamen, medida cautelar, traslación o extinción del dominio u otro derecho real principal o accesorio sobre bienes inmuebles;</w:t>
      </w:r>
      <w:r w:rsidR="007D373E" w:rsidRPr="00885D10">
        <w:rPr>
          <w:rFonts w:ascii="Arial" w:eastAsia="Times New Roman" w:hAnsi="Arial" w:cs="Arial"/>
          <w:color w:val="000000" w:themeColor="text1"/>
          <w:sz w:val="21"/>
          <w:szCs w:val="21"/>
          <w:lang w:val="es-CO" w:eastAsia="es-CO"/>
        </w:rPr>
        <w:t xml:space="preserve"> </w:t>
      </w:r>
      <w:r w:rsidR="006935CB" w:rsidRPr="00885D10">
        <w:rPr>
          <w:rFonts w:ascii="Arial" w:eastAsia="Times New Roman" w:hAnsi="Arial" w:cs="Arial"/>
          <w:color w:val="000000" w:themeColor="text1"/>
          <w:sz w:val="21"/>
          <w:szCs w:val="21"/>
          <w:lang w:val="es-CO" w:eastAsia="es-CO"/>
        </w:rPr>
        <w:t>[…]</w:t>
      </w:r>
    </w:p>
    <w:p w14:paraId="56E64B41" w14:textId="0C83C11E" w:rsidR="009C7EA2" w:rsidRPr="00885D10" w:rsidRDefault="006935CB" w:rsidP="00433B1B">
      <w:pPr>
        <w:widowControl w:val="0"/>
        <w:pBdr>
          <w:top w:val="nil"/>
          <w:left w:val="nil"/>
          <w:bottom w:val="nil"/>
          <w:right w:val="nil"/>
          <w:between w:val="nil"/>
        </w:pBdr>
        <w:spacing w:after="120"/>
        <w:ind w:firstLine="709"/>
        <w:rPr>
          <w:rFonts w:ascii="Arial" w:eastAsia="Arial" w:hAnsi="Arial" w:cs="Arial"/>
          <w:color w:val="000000" w:themeColor="text1"/>
          <w:sz w:val="22"/>
          <w:szCs w:val="22"/>
        </w:rPr>
      </w:pPr>
      <w:r w:rsidRPr="00885D10">
        <w:rPr>
          <w:rFonts w:ascii="Arial" w:eastAsia="Arial" w:hAnsi="Arial" w:cs="Arial"/>
          <w:color w:val="000000" w:themeColor="text1"/>
          <w:sz w:val="22"/>
          <w:szCs w:val="22"/>
        </w:rPr>
        <w:t>Esta norma impone entonces la obligación de inscribir en el folio de matrícula del inmueble respectivo la escritura pública en virtud de la cual se</w:t>
      </w:r>
      <w:r w:rsidR="001D0C84" w:rsidRPr="00885D10">
        <w:rPr>
          <w:rFonts w:ascii="Arial" w:eastAsia="Arial" w:hAnsi="Arial" w:cs="Arial"/>
          <w:color w:val="000000" w:themeColor="text1"/>
          <w:sz w:val="22"/>
          <w:szCs w:val="22"/>
        </w:rPr>
        <w:t xml:space="preserve"> constituya un usufructo respecto del mismo. Es importante señala que, si el usufructo no se constituye en escritura pública y esta no se registra en </w:t>
      </w:r>
      <w:r w:rsidR="005A6CD5" w:rsidRPr="00885D10">
        <w:rPr>
          <w:rFonts w:ascii="Arial" w:eastAsia="Arial" w:hAnsi="Arial" w:cs="Arial"/>
          <w:color w:val="000000" w:themeColor="text1"/>
          <w:sz w:val="22"/>
          <w:szCs w:val="22"/>
        </w:rPr>
        <w:t>el folio de matrícula correspondiente jurídicamente se tiene por no</w:t>
      </w:r>
      <w:r w:rsidR="005C0E5F" w:rsidRPr="00885D10">
        <w:rPr>
          <w:rFonts w:ascii="Arial" w:eastAsia="Arial" w:hAnsi="Arial" w:cs="Arial"/>
          <w:color w:val="000000" w:themeColor="text1"/>
          <w:sz w:val="22"/>
          <w:szCs w:val="22"/>
        </w:rPr>
        <w:t xml:space="preserve"> constituido </w:t>
      </w:r>
      <w:r w:rsidR="00A94F27" w:rsidRPr="00885D10">
        <w:rPr>
          <w:rFonts w:ascii="Arial" w:eastAsia="Arial" w:hAnsi="Arial" w:cs="Arial"/>
          <w:color w:val="000000" w:themeColor="text1"/>
          <w:sz w:val="22"/>
          <w:szCs w:val="22"/>
        </w:rPr>
        <w:t>y</w:t>
      </w:r>
      <w:r w:rsidR="00212DAE" w:rsidRPr="00885D10">
        <w:rPr>
          <w:rFonts w:ascii="Arial" w:eastAsia="Arial" w:hAnsi="Arial" w:cs="Arial"/>
          <w:color w:val="000000" w:themeColor="text1"/>
          <w:sz w:val="22"/>
          <w:szCs w:val="22"/>
        </w:rPr>
        <w:t xml:space="preserve"> no cobrará</w:t>
      </w:r>
      <w:r w:rsidR="00A94F27" w:rsidRPr="00885D10">
        <w:rPr>
          <w:rFonts w:ascii="Arial" w:eastAsia="Arial" w:hAnsi="Arial" w:cs="Arial"/>
          <w:color w:val="000000" w:themeColor="text1"/>
          <w:sz w:val="22"/>
          <w:szCs w:val="22"/>
        </w:rPr>
        <w:t xml:space="preserve"> los efectos jurídicos </w:t>
      </w:r>
      <w:r w:rsidR="009C7A93" w:rsidRPr="00885D10">
        <w:rPr>
          <w:rFonts w:ascii="Arial" w:eastAsia="Arial" w:hAnsi="Arial" w:cs="Arial"/>
          <w:color w:val="000000" w:themeColor="text1"/>
          <w:sz w:val="22"/>
          <w:szCs w:val="22"/>
        </w:rPr>
        <w:t>pretendidos</w:t>
      </w:r>
      <w:r w:rsidR="00695BC4" w:rsidRPr="00885D10">
        <w:rPr>
          <w:rFonts w:ascii="Arial" w:eastAsia="Arial" w:hAnsi="Arial" w:cs="Arial"/>
          <w:color w:val="000000" w:themeColor="text1"/>
          <w:sz w:val="22"/>
          <w:szCs w:val="22"/>
        </w:rPr>
        <w:t xml:space="preserve"> por las partes. </w:t>
      </w:r>
    </w:p>
    <w:p w14:paraId="7C83C6A5" w14:textId="18A60FE8" w:rsidR="00F64801" w:rsidRPr="00885D10" w:rsidRDefault="00F64801" w:rsidP="00433B1B">
      <w:pPr>
        <w:widowControl w:val="0"/>
        <w:pBdr>
          <w:top w:val="nil"/>
          <w:left w:val="nil"/>
          <w:bottom w:val="nil"/>
          <w:right w:val="nil"/>
          <w:between w:val="nil"/>
        </w:pBdr>
        <w:spacing w:after="120"/>
        <w:ind w:firstLine="709"/>
        <w:rPr>
          <w:rFonts w:ascii="Arial" w:eastAsia="Arial" w:hAnsi="Arial" w:cs="Arial"/>
          <w:color w:val="000000" w:themeColor="text1"/>
          <w:sz w:val="22"/>
          <w:szCs w:val="22"/>
        </w:rPr>
      </w:pPr>
      <w:r w:rsidRPr="00885D10">
        <w:rPr>
          <w:rFonts w:ascii="Arial" w:eastAsia="Arial" w:hAnsi="Arial" w:cs="Arial"/>
          <w:color w:val="000000" w:themeColor="text1"/>
          <w:sz w:val="22"/>
          <w:szCs w:val="22"/>
        </w:rPr>
        <w:t xml:space="preserve">En este sentido, las entidades pueden </w:t>
      </w:r>
      <w:r w:rsidR="003B4389" w:rsidRPr="00885D10">
        <w:rPr>
          <w:rFonts w:ascii="Arial" w:eastAsia="Arial" w:hAnsi="Arial" w:cs="Arial"/>
          <w:color w:val="000000" w:themeColor="text1"/>
          <w:sz w:val="22"/>
          <w:szCs w:val="22"/>
        </w:rPr>
        <w:t xml:space="preserve">afectar sus bienes inmuebles </w:t>
      </w:r>
      <w:r w:rsidR="00C85B66" w:rsidRPr="00885D10">
        <w:rPr>
          <w:rFonts w:ascii="Arial" w:eastAsia="Arial" w:hAnsi="Arial" w:cs="Arial"/>
          <w:color w:val="000000" w:themeColor="text1"/>
          <w:sz w:val="22"/>
          <w:szCs w:val="22"/>
        </w:rPr>
        <w:t xml:space="preserve">mediante la celebración de un contrato dirigido a </w:t>
      </w:r>
      <w:r w:rsidR="00587EA0" w:rsidRPr="00885D10">
        <w:rPr>
          <w:rFonts w:ascii="Arial" w:eastAsia="Arial" w:hAnsi="Arial" w:cs="Arial"/>
          <w:color w:val="000000" w:themeColor="text1"/>
          <w:sz w:val="22"/>
          <w:szCs w:val="22"/>
        </w:rPr>
        <w:t>la constitución del derecho real de usufructo, pero en la forma establecida en la norma,</w:t>
      </w:r>
      <w:r w:rsidRPr="00885D10">
        <w:rPr>
          <w:rFonts w:ascii="Arial" w:eastAsia="Arial" w:hAnsi="Arial" w:cs="Arial"/>
          <w:color w:val="000000" w:themeColor="text1"/>
          <w:sz w:val="22"/>
          <w:szCs w:val="22"/>
        </w:rPr>
        <w:t xml:space="preserve"> y de esta forma harían parte del concepto de ejecución de recursos públicos de que trata el parágrafo del artículo 38 de la Ley 996 de 2005.</w:t>
      </w:r>
      <w:r w:rsidR="00433B1B" w:rsidRPr="00885D10">
        <w:rPr>
          <w:rFonts w:ascii="Arial" w:eastAsia="Arial" w:hAnsi="Arial" w:cs="Arial"/>
          <w:color w:val="000000" w:themeColor="text1"/>
          <w:sz w:val="22"/>
          <w:szCs w:val="22"/>
        </w:rPr>
        <w:t xml:space="preserve"> </w:t>
      </w:r>
      <w:r w:rsidRPr="00885D10">
        <w:rPr>
          <w:rFonts w:ascii="Arial" w:eastAsia="Arial" w:hAnsi="Arial" w:cs="Arial"/>
          <w:color w:val="000000" w:themeColor="text1"/>
          <w:sz w:val="22"/>
          <w:szCs w:val="22"/>
        </w:rPr>
        <w:t xml:space="preserve">En los términos anteriores, atendiendo a </w:t>
      </w:r>
      <w:r w:rsidR="00433B1B" w:rsidRPr="00885D10">
        <w:rPr>
          <w:rFonts w:ascii="Arial" w:eastAsia="Arial" w:hAnsi="Arial" w:cs="Arial"/>
          <w:color w:val="000000" w:themeColor="text1"/>
          <w:sz w:val="22"/>
          <w:szCs w:val="22"/>
        </w:rPr>
        <w:t>la pregunta</w:t>
      </w:r>
      <w:r w:rsidRPr="00885D10">
        <w:rPr>
          <w:rFonts w:ascii="Arial" w:eastAsia="Arial" w:hAnsi="Arial" w:cs="Arial"/>
          <w:color w:val="000000" w:themeColor="text1"/>
          <w:sz w:val="22"/>
          <w:szCs w:val="22"/>
        </w:rPr>
        <w:t xml:space="preserve"> de</w:t>
      </w:r>
      <w:r w:rsidR="003E6587" w:rsidRPr="00885D10">
        <w:rPr>
          <w:rFonts w:ascii="Arial" w:eastAsia="Arial" w:hAnsi="Arial" w:cs="Arial"/>
          <w:color w:val="000000" w:themeColor="text1"/>
          <w:sz w:val="22"/>
          <w:szCs w:val="22"/>
        </w:rPr>
        <w:t>l</w:t>
      </w:r>
      <w:r w:rsidRPr="00885D10">
        <w:rPr>
          <w:rFonts w:ascii="Arial" w:eastAsia="Arial" w:hAnsi="Arial" w:cs="Arial"/>
          <w:color w:val="000000" w:themeColor="text1"/>
          <w:sz w:val="22"/>
          <w:szCs w:val="22"/>
        </w:rPr>
        <w:t xml:space="preserve"> peticionari</w:t>
      </w:r>
      <w:r w:rsidR="003E6587" w:rsidRPr="00885D10">
        <w:rPr>
          <w:rFonts w:ascii="Arial" w:eastAsia="Arial" w:hAnsi="Arial" w:cs="Arial"/>
          <w:color w:val="000000" w:themeColor="text1"/>
          <w:sz w:val="22"/>
          <w:szCs w:val="22"/>
        </w:rPr>
        <w:t>o</w:t>
      </w:r>
      <w:r w:rsidRPr="00885D10">
        <w:rPr>
          <w:rFonts w:ascii="Arial" w:eastAsia="Arial" w:hAnsi="Arial" w:cs="Arial"/>
          <w:color w:val="000000" w:themeColor="text1"/>
          <w:sz w:val="22"/>
          <w:szCs w:val="22"/>
        </w:rPr>
        <w:t xml:space="preserve">, siempre que se cumplan con los presupuestos de la prohibición del parágrafo del artículo 38, independientemente del objeto contractual que se celebre, sea que </w:t>
      </w:r>
      <w:r w:rsidR="00D315AA" w:rsidRPr="00885D10">
        <w:rPr>
          <w:rFonts w:ascii="Arial" w:eastAsia="Arial" w:hAnsi="Arial" w:cs="Arial"/>
          <w:color w:val="000000" w:themeColor="text1"/>
          <w:sz w:val="22"/>
          <w:szCs w:val="22"/>
        </w:rPr>
        <w:t xml:space="preserve">se </w:t>
      </w:r>
      <w:r w:rsidR="001D7A5F" w:rsidRPr="00885D10">
        <w:rPr>
          <w:rFonts w:ascii="Arial" w:eastAsia="Arial" w:hAnsi="Arial" w:cs="Arial"/>
          <w:color w:val="000000" w:themeColor="text1"/>
          <w:sz w:val="22"/>
          <w:szCs w:val="22"/>
        </w:rPr>
        <w:t>dirija a celebrar un contrato para la</w:t>
      </w:r>
      <w:r w:rsidR="00CA0F51" w:rsidRPr="00885D10">
        <w:rPr>
          <w:rFonts w:ascii="Arial" w:eastAsia="Arial" w:hAnsi="Arial" w:cs="Arial"/>
          <w:color w:val="000000" w:themeColor="text1"/>
          <w:sz w:val="22"/>
          <w:szCs w:val="22"/>
        </w:rPr>
        <w:t xml:space="preserve"> constitución de un derecho real de usufructo de un inmueble</w:t>
      </w:r>
      <w:r w:rsidRPr="00885D10">
        <w:rPr>
          <w:rFonts w:ascii="Arial" w:eastAsia="Arial" w:hAnsi="Arial" w:cs="Arial"/>
          <w:color w:val="000000" w:themeColor="text1"/>
          <w:sz w:val="22"/>
          <w:szCs w:val="22"/>
        </w:rPr>
        <w:t xml:space="preserve"> del Estado se incurrirá en la prohibición, bajo el entendimiento de que en dichos contratos también se podrían ejecutar recursos públicos. Lo anterior siempre que se trate de un contrato o convenio interadministrativo, que sea celebrado entre entidades públicas y cuando alguna de ellas sea de las enlistadas en el parágrafo del artículo 38, aspectos que se desarrollaron de forma precisa anteriormente.</w:t>
      </w:r>
    </w:p>
    <w:p w14:paraId="759F0835" w14:textId="35BCFB18" w:rsidR="00C85B66" w:rsidRPr="00885D10" w:rsidRDefault="00F64801" w:rsidP="00885D10">
      <w:pPr>
        <w:pBdr>
          <w:top w:val="nil"/>
          <w:left w:val="nil"/>
          <w:bottom w:val="nil"/>
          <w:right w:val="nil"/>
          <w:between w:val="nil"/>
        </w:pBdr>
        <w:spacing w:after="120"/>
        <w:ind w:right="102" w:firstLine="709"/>
        <w:rPr>
          <w:rFonts w:ascii="Arial" w:eastAsia="Arial" w:hAnsi="Arial" w:cs="Arial"/>
          <w:color w:val="000000" w:themeColor="text1"/>
          <w:sz w:val="22"/>
          <w:szCs w:val="22"/>
        </w:rPr>
      </w:pPr>
      <w:r w:rsidRPr="00885D10">
        <w:rPr>
          <w:rFonts w:ascii="Arial" w:eastAsia="Arial" w:hAnsi="Arial" w:cs="Arial"/>
          <w:color w:val="000000" w:themeColor="text1"/>
          <w:sz w:val="22"/>
          <w:szCs w:val="22"/>
        </w:rPr>
        <w:t xml:space="preserve">De esta manera, se reitera la conclusión expuesta, en el entendido que el parágrafo del artículo 38 de la Ley 996 de 2005 prohíbe a los alcaldes, gobernadores, secretarios, </w:t>
      </w:r>
      <w:r w:rsidRPr="00885D10">
        <w:rPr>
          <w:rFonts w:ascii="Arial" w:eastAsia="Arial" w:hAnsi="Arial" w:cs="Arial"/>
          <w:color w:val="000000" w:themeColor="text1"/>
          <w:sz w:val="22"/>
          <w:szCs w:val="22"/>
        </w:rPr>
        <w:lastRenderedPageBreak/>
        <w:t xml:space="preserve">gerentes y directores de las entidades del orden municipal, departamental o distrital celebrar convenios y contratos interadministrativos para la ejecución de recursos públicos, dentro de los cuatro (4) meses anteriores a los comicios de cargos de elección popular. En este sentido, si una o ambas partes de la relación contractual es una entidad de aquellas descritas en el parágrafo </w:t>
      </w:r>
      <w:r w:rsidRPr="00885D10">
        <w:rPr>
          <w:rFonts w:ascii="Arial" w:eastAsia="Arial" w:hAnsi="Arial" w:cs="Arial"/>
          <w:i/>
          <w:color w:val="000000" w:themeColor="text1"/>
          <w:sz w:val="22"/>
          <w:szCs w:val="22"/>
        </w:rPr>
        <w:t>ibidem</w:t>
      </w:r>
      <w:r w:rsidRPr="00885D10">
        <w:rPr>
          <w:rFonts w:ascii="Arial" w:eastAsia="Arial" w:hAnsi="Arial" w:cs="Arial"/>
          <w:color w:val="000000" w:themeColor="text1"/>
          <w:sz w:val="22"/>
          <w:szCs w:val="22"/>
        </w:rPr>
        <w:t>,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w:t>
      </w:r>
      <w:r w:rsidR="00C85B66" w:rsidRPr="00885D10">
        <w:rPr>
          <w:rFonts w:ascii="Arial" w:eastAsia="Arial" w:hAnsi="Arial" w:cs="Arial"/>
          <w:color w:val="000000" w:themeColor="text1"/>
          <w:sz w:val="22"/>
          <w:szCs w:val="22"/>
        </w:rPr>
        <w:t xml:space="preserve"> Lo anterior, además, sin perjuicio de la aplicación de la prohibición establecida en el artículo 33 de la Ley 996 de 2005, que de forma más general prohíbe la contratación directa </w:t>
      </w:r>
      <w:r w:rsidR="00C85B66" w:rsidRPr="00885D10">
        <w:rPr>
          <w:rFonts w:ascii="Arial" w:hAnsi="Arial" w:cs="Arial"/>
          <w:bCs/>
          <w:sz w:val="22"/>
          <w:szCs w:val="22"/>
          <w:lang w:eastAsia="es-CO"/>
        </w:rPr>
        <w:t xml:space="preserve">dentro de los cuatro (4) meses anteriores a la elección presidencial –y hasta la realización de la elección en la segunda vuelta, si fuere el caso–, por parte de todos los entes del Estado, en los términos analizados en los numerales 2.2. </w:t>
      </w:r>
      <w:r w:rsidR="00F53495" w:rsidRPr="00885D10">
        <w:rPr>
          <w:rFonts w:ascii="Arial" w:hAnsi="Arial" w:cs="Arial"/>
          <w:bCs/>
          <w:sz w:val="22"/>
          <w:szCs w:val="22"/>
          <w:lang w:eastAsia="es-CO"/>
        </w:rPr>
        <w:t>y</w:t>
      </w:r>
      <w:r w:rsidR="00C85B66" w:rsidRPr="00885D10">
        <w:rPr>
          <w:rFonts w:ascii="Arial" w:hAnsi="Arial" w:cs="Arial"/>
          <w:bCs/>
          <w:sz w:val="22"/>
          <w:szCs w:val="22"/>
          <w:lang w:eastAsia="es-CO"/>
        </w:rPr>
        <w:t xml:space="preserve"> 2.3 de este concepto.</w:t>
      </w:r>
    </w:p>
    <w:p w14:paraId="384DC794" w14:textId="77777777" w:rsidR="00F64801" w:rsidRPr="00885D10" w:rsidRDefault="00F64801">
      <w:pPr>
        <w:widowControl w:val="0"/>
        <w:pBdr>
          <w:top w:val="nil"/>
          <w:left w:val="nil"/>
          <w:bottom w:val="nil"/>
          <w:right w:val="nil"/>
          <w:between w:val="nil"/>
        </w:pBdr>
        <w:spacing w:after="0"/>
        <w:rPr>
          <w:rFonts w:ascii="Arial" w:eastAsia="Arial" w:hAnsi="Arial" w:cs="Arial"/>
          <w:color w:val="000000" w:themeColor="text1"/>
          <w:sz w:val="22"/>
          <w:szCs w:val="22"/>
        </w:rPr>
      </w:pPr>
    </w:p>
    <w:p w14:paraId="267E0CCC" w14:textId="77777777" w:rsidR="009E3AC0" w:rsidRPr="00885D10" w:rsidRDefault="002B7867">
      <w:pPr>
        <w:tabs>
          <w:tab w:val="left" w:pos="284"/>
        </w:tabs>
        <w:spacing w:after="0"/>
        <w:rPr>
          <w:rFonts w:ascii="Arial" w:eastAsia="Arial" w:hAnsi="Arial" w:cs="Arial"/>
          <w:b/>
          <w:color w:val="000000" w:themeColor="text1"/>
          <w:sz w:val="22"/>
          <w:szCs w:val="22"/>
        </w:rPr>
      </w:pPr>
      <w:bookmarkStart w:id="35" w:name="_32hioqz" w:colFirst="0" w:colLast="0"/>
      <w:bookmarkStart w:id="36" w:name="_1hmsyys" w:colFirst="0" w:colLast="0"/>
      <w:bookmarkStart w:id="37" w:name="_41mghml" w:colFirst="0" w:colLast="0"/>
      <w:bookmarkEnd w:id="35"/>
      <w:bookmarkEnd w:id="36"/>
      <w:bookmarkEnd w:id="37"/>
      <w:r w:rsidRPr="00885D10">
        <w:rPr>
          <w:rFonts w:ascii="Arial" w:eastAsia="Arial" w:hAnsi="Arial" w:cs="Arial"/>
          <w:b/>
          <w:color w:val="000000" w:themeColor="text1"/>
          <w:sz w:val="22"/>
          <w:szCs w:val="22"/>
        </w:rPr>
        <w:t>4. Respuesta</w:t>
      </w:r>
    </w:p>
    <w:p w14:paraId="4CBDBB83" w14:textId="77777777" w:rsidR="009E3AC0" w:rsidRPr="00885D10" w:rsidRDefault="009E3AC0">
      <w:pPr>
        <w:tabs>
          <w:tab w:val="left" w:pos="284"/>
        </w:tabs>
        <w:spacing w:after="0"/>
        <w:rPr>
          <w:rFonts w:ascii="Arial" w:eastAsia="Arial" w:hAnsi="Arial" w:cs="Arial"/>
          <w:b/>
          <w:color w:val="000000" w:themeColor="text1"/>
          <w:sz w:val="22"/>
          <w:szCs w:val="22"/>
        </w:rPr>
      </w:pPr>
    </w:p>
    <w:p w14:paraId="519F158B" w14:textId="7C85CB96" w:rsidR="003E6587" w:rsidRPr="00885D10" w:rsidRDefault="0052120E" w:rsidP="0052120E">
      <w:pPr>
        <w:spacing w:after="0" w:line="240" w:lineRule="auto"/>
        <w:ind w:left="709" w:right="709"/>
        <w:rPr>
          <w:rFonts w:ascii="Arial" w:hAnsi="Arial" w:cs="Arial"/>
          <w:color w:val="000000" w:themeColor="text1"/>
          <w:sz w:val="22"/>
          <w:szCs w:val="22"/>
        </w:rPr>
      </w:pPr>
      <w:r w:rsidRPr="00885D10">
        <w:rPr>
          <w:rFonts w:ascii="Arial" w:eastAsia="Arial" w:hAnsi="Arial" w:cs="Arial"/>
          <w:color w:val="000000" w:themeColor="text1"/>
          <w:sz w:val="22"/>
          <w:szCs w:val="22"/>
        </w:rPr>
        <w:t>«</w:t>
      </w:r>
      <w:r w:rsidRPr="00885D10">
        <w:rPr>
          <w:rFonts w:ascii="Arial" w:hAnsi="Arial" w:cs="Arial"/>
          <w:color w:val="000000" w:themeColor="text1"/>
          <w:sz w:val="22"/>
          <w:szCs w:val="22"/>
        </w:rPr>
        <w:t>[…]¿existe alguna limitación o restricción para que entre dos entidades de naturaleza pública, encontrándose en vigencia las restricciones de la Ley 996 de 2005, se suscriba escritura pública para el otorgamiento de un contrato de usufructo sobre bienes inmuebles propiedad de una de ellas […]».</w:t>
      </w:r>
    </w:p>
    <w:p w14:paraId="33E0247E" w14:textId="77777777" w:rsidR="0052120E" w:rsidRPr="00885D10" w:rsidRDefault="0052120E" w:rsidP="0052120E">
      <w:pPr>
        <w:spacing w:after="0" w:line="240" w:lineRule="auto"/>
        <w:ind w:left="709" w:right="709"/>
        <w:rPr>
          <w:color w:val="000000" w:themeColor="text1"/>
        </w:rPr>
      </w:pPr>
    </w:p>
    <w:p w14:paraId="2BF21174" w14:textId="1A73A6F0" w:rsidR="009E3AC0" w:rsidRPr="00885D10" w:rsidRDefault="00DC5955" w:rsidP="00F52291">
      <w:pPr>
        <w:spacing w:after="120"/>
        <w:rPr>
          <w:rFonts w:ascii="Arial" w:eastAsia="Arial" w:hAnsi="Arial" w:cs="Arial"/>
          <w:color w:val="000000" w:themeColor="text1"/>
          <w:sz w:val="22"/>
          <w:szCs w:val="22"/>
        </w:rPr>
      </w:pPr>
      <w:r w:rsidRPr="00885D10">
        <w:rPr>
          <w:rFonts w:ascii="Arial" w:eastAsia="Arial" w:hAnsi="Arial" w:cs="Arial"/>
          <w:color w:val="000000" w:themeColor="text1"/>
          <w:sz w:val="22"/>
          <w:szCs w:val="22"/>
        </w:rPr>
        <w:t>En relación con su solicitud, precisamos que p</w:t>
      </w:r>
      <w:r w:rsidR="00F52291" w:rsidRPr="00885D10">
        <w:rPr>
          <w:rFonts w:ascii="Arial" w:eastAsia="Arial" w:hAnsi="Arial" w:cs="Arial"/>
          <w:color w:val="000000" w:themeColor="text1"/>
          <w:sz w:val="22"/>
          <w:szCs w:val="22"/>
        </w:rPr>
        <w:t>ara el año 2022 están programadas las elecciones para elegir miembros del Congreso de la República, así como las jornadas para la elección del Presidente y Vicepresidente de la República. Las primeras para el domingo 13 de marzo de 2022</w:t>
      </w:r>
      <w:r w:rsidR="00F52291" w:rsidRPr="00885D10">
        <w:rPr>
          <w:rFonts w:ascii="Arial" w:eastAsia="Arial" w:hAnsi="Arial" w:cs="Arial"/>
          <w:color w:val="000000" w:themeColor="text1"/>
          <w:sz w:val="22"/>
          <w:szCs w:val="22"/>
          <w:vertAlign w:val="superscript"/>
        </w:rPr>
        <w:footnoteReference w:id="46"/>
      </w:r>
      <w:r w:rsidR="00F52291" w:rsidRPr="00885D10">
        <w:rPr>
          <w:rFonts w:ascii="Arial" w:eastAsia="Arial" w:hAnsi="Arial" w:cs="Arial"/>
          <w:color w:val="000000" w:themeColor="text1"/>
          <w:sz w:val="22"/>
          <w:szCs w:val="22"/>
        </w:rPr>
        <w:t xml:space="preserve"> y las segundas para el 29 de mayo del mismo año</w:t>
      </w:r>
      <w:r w:rsidR="00F52291" w:rsidRPr="00885D10">
        <w:rPr>
          <w:rFonts w:ascii="Arial" w:eastAsia="Arial" w:hAnsi="Arial" w:cs="Arial"/>
          <w:color w:val="000000" w:themeColor="text1"/>
          <w:sz w:val="22"/>
          <w:szCs w:val="22"/>
          <w:vertAlign w:val="superscript"/>
        </w:rPr>
        <w:footnoteReference w:id="47"/>
      </w:r>
      <w:r w:rsidR="00F52291" w:rsidRPr="00885D10">
        <w:rPr>
          <w:rFonts w:ascii="Arial" w:eastAsia="Arial" w:hAnsi="Arial" w:cs="Arial"/>
          <w:color w:val="000000" w:themeColor="text1"/>
          <w:sz w:val="22"/>
          <w:szCs w:val="22"/>
        </w:rPr>
        <w:t>, respectivamente, de manera que resulta palmario que el periodo preelectoral de restricción de cuatro meses anteriores a la correspondiente elección de que tratan los artículos 33 y 38 de la Ley 996, coincidirán parcialmente. En este sentido, las prohibiciones para la contratación directa y para la celebración de convenios y contratos interadministrativos concurren durante la coincidencia de periodos preelectorales.</w:t>
      </w:r>
    </w:p>
    <w:p w14:paraId="2F7C1944" w14:textId="1D1A169C" w:rsidR="00D67454" w:rsidRPr="00885D10" w:rsidRDefault="00D67454" w:rsidP="00D67454">
      <w:pPr>
        <w:widowControl w:val="0"/>
        <w:pBdr>
          <w:top w:val="nil"/>
          <w:left w:val="nil"/>
          <w:bottom w:val="nil"/>
          <w:right w:val="nil"/>
          <w:between w:val="nil"/>
        </w:pBdr>
        <w:spacing w:after="120"/>
        <w:ind w:firstLine="709"/>
        <w:rPr>
          <w:rFonts w:ascii="Arial" w:eastAsia="Arial" w:hAnsi="Arial" w:cs="Arial"/>
          <w:color w:val="000000" w:themeColor="text1"/>
          <w:sz w:val="22"/>
          <w:szCs w:val="22"/>
        </w:rPr>
      </w:pPr>
      <w:r w:rsidRPr="00885D10">
        <w:rPr>
          <w:rFonts w:ascii="Arial" w:eastAsia="Arial" w:hAnsi="Arial" w:cs="Arial"/>
          <w:color w:val="000000" w:themeColor="text1"/>
          <w:sz w:val="22"/>
          <w:szCs w:val="22"/>
        </w:rPr>
        <w:t xml:space="preserve">En los términos anteriores expuestos en las consideraciones, atendiendo a la pregunta del peticionario, siempre que se cumplan con los presupuestos de la prohibición del parágrafo del artículo 38, independientemente del objeto contractual que se celebre, sea que dirija a celebrar un contrato para la constitución de un derecho real de usufructo de un inmueble del Estado se incurrirá en la prohibición, bajo el entendimiento de que en dichos </w:t>
      </w:r>
      <w:r w:rsidRPr="00885D10">
        <w:rPr>
          <w:rFonts w:ascii="Arial" w:eastAsia="Arial" w:hAnsi="Arial" w:cs="Arial"/>
          <w:color w:val="000000" w:themeColor="text1"/>
          <w:sz w:val="22"/>
          <w:szCs w:val="22"/>
        </w:rPr>
        <w:lastRenderedPageBreak/>
        <w:t>contratos también se podrían ejecutar recursos públicos. Lo anterior siempre que se trate de un contrato o convenio interadministrativo, que sea celebrado entre entidades públicas y cuando alguna de ellas sea de las enlistadas en el parágrafo del artículo 38, aspectos que se desarrollaron de forma precisa anteriormente.</w:t>
      </w:r>
    </w:p>
    <w:p w14:paraId="46E224B6" w14:textId="77777777" w:rsidR="00D67454" w:rsidRPr="00885D10" w:rsidRDefault="00D67454" w:rsidP="00D67454">
      <w:pPr>
        <w:pBdr>
          <w:top w:val="nil"/>
          <w:left w:val="nil"/>
          <w:bottom w:val="nil"/>
          <w:right w:val="nil"/>
          <w:between w:val="nil"/>
        </w:pBdr>
        <w:spacing w:after="120"/>
        <w:ind w:right="102" w:firstLine="709"/>
        <w:rPr>
          <w:rFonts w:ascii="Arial" w:eastAsia="Arial" w:hAnsi="Arial" w:cs="Arial"/>
          <w:color w:val="000000" w:themeColor="text1"/>
          <w:sz w:val="22"/>
          <w:szCs w:val="22"/>
        </w:rPr>
      </w:pPr>
      <w:r w:rsidRPr="00885D10">
        <w:rPr>
          <w:rFonts w:ascii="Arial" w:eastAsia="Arial" w:hAnsi="Arial" w:cs="Arial"/>
          <w:color w:val="000000" w:themeColor="text1"/>
          <w:sz w:val="22"/>
          <w:szCs w:val="22"/>
        </w:rPr>
        <w:t xml:space="preserve">De esta manera, se reitera la conclusión expuesta, en el entendido que el parágrafo del artículo 38 de la Ley 996 de 2005 prohíbe a los alcaldes, gobernadores, secretarios, gerentes y directores de las entidades del orden municipal, departamental o distrital celebrar convenios y contratos interadministrativos para la ejecución de recursos públicos, dentro de los cuatro (4) meses anteriores a los comicios de cargos de elección popular. En este sentido, si una o ambas partes de la relación contractual es una entidad de aquellas descritas en el parágrafo </w:t>
      </w:r>
      <w:r w:rsidRPr="00885D10">
        <w:rPr>
          <w:rFonts w:ascii="Arial" w:eastAsia="Arial" w:hAnsi="Arial" w:cs="Arial"/>
          <w:i/>
          <w:color w:val="000000" w:themeColor="text1"/>
          <w:sz w:val="22"/>
          <w:szCs w:val="22"/>
        </w:rPr>
        <w:t>ibidem</w:t>
      </w:r>
      <w:r w:rsidRPr="00885D10">
        <w:rPr>
          <w:rFonts w:ascii="Arial" w:eastAsia="Arial" w:hAnsi="Arial" w:cs="Arial"/>
          <w:color w:val="000000" w:themeColor="text1"/>
          <w:sz w:val="22"/>
          <w:szCs w:val="22"/>
        </w:rPr>
        <w:t xml:space="preserve">, no podrá celebrar tales convenios o contratos durante la aplicación de la ley de garantías, toda vez que la citada disposición hace referencia a dicha tipología contractual sin que el legislador hubiere contemplado excepción alguna frente a la modalidad de selección o naturaleza de su objeto. Lo anterior, además, sin perjuicio de la aplicación de la prohibición establecida en el artículo 33 de la Ley 996 de 2005, que de forma más general prohíbe la contratación directa </w:t>
      </w:r>
      <w:r w:rsidRPr="00885D10">
        <w:rPr>
          <w:rFonts w:ascii="Arial" w:hAnsi="Arial" w:cs="Arial"/>
          <w:bCs/>
          <w:sz w:val="22"/>
          <w:szCs w:val="22"/>
          <w:lang w:eastAsia="es-CO"/>
        </w:rPr>
        <w:t>dentro de los cuatro (4) meses anteriores a la elección presidencial –y hasta la realización de la elección en la segunda vuelta, si fuere el caso–, por parte de todos los entes del Estado, en los términos analizados en los numerales 2.2. y 2.3 de este concepto.</w:t>
      </w:r>
    </w:p>
    <w:p w14:paraId="7E4C7BEE" w14:textId="77777777" w:rsidR="00F52291" w:rsidRPr="00885D10" w:rsidRDefault="00F52291" w:rsidP="00F52291">
      <w:pPr>
        <w:spacing w:after="120"/>
        <w:rPr>
          <w:color w:val="000000" w:themeColor="text1"/>
        </w:rPr>
      </w:pPr>
    </w:p>
    <w:p w14:paraId="00944F82" w14:textId="77777777" w:rsidR="009E3AC0" w:rsidRPr="00885D10" w:rsidRDefault="002B7867">
      <w:pPr>
        <w:spacing w:after="120"/>
        <w:rPr>
          <w:rFonts w:ascii="Arial" w:eastAsia="Arial" w:hAnsi="Arial" w:cs="Arial"/>
          <w:color w:val="000000" w:themeColor="text1"/>
          <w:sz w:val="22"/>
          <w:szCs w:val="22"/>
        </w:rPr>
      </w:pPr>
      <w:bookmarkStart w:id="38" w:name="_2grqrue" w:colFirst="0" w:colLast="0"/>
      <w:bookmarkEnd w:id="38"/>
      <w:r w:rsidRPr="00885D10">
        <w:rPr>
          <w:rFonts w:ascii="Arial" w:eastAsia="Arial" w:hAnsi="Arial" w:cs="Arial"/>
          <w:color w:val="000000" w:themeColor="text1"/>
          <w:sz w:val="22"/>
          <w:szCs w:val="22"/>
        </w:rPr>
        <w:t>Este concepto tiene el alcance previsto en el artículo 28 del Código de Procedimiento Administrativo y de lo Contencioso Administrativo.</w:t>
      </w:r>
    </w:p>
    <w:p w14:paraId="54BAE2D3" w14:textId="157186FB" w:rsidR="009E3AC0" w:rsidRPr="00885D10" w:rsidRDefault="002B7867">
      <w:pPr>
        <w:spacing w:after="120"/>
        <w:rPr>
          <w:rFonts w:ascii="Arial" w:eastAsia="Arial" w:hAnsi="Arial" w:cs="Arial"/>
          <w:color w:val="000000" w:themeColor="text1"/>
          <w:sz w:val="22"/>
          <w:szCs w:val="22"/>
        </w:rPr>
      </w:pPr>
      <w:r w:rsidRPr="00885D10">
        <w:rPr>
          <w:noProof/>
          <w:color w:val="000000" w:themeColor="text1"/>
          <w:lang w:val="es-CO" w:eastAsia="es-CO"/>
        </w:rPr>
        <mc:AlternateContent>
          <mc:Choice Requires="wps">
            <w:drawing>
              <wp:anchor distT="4294967260" distB="4294967260" distL="114300" distR="114300" simplePos="0" relativeHeight="251658240" behindDoc="0" locked="0" layoutInCell="1" hidden="0" allowOverlap="1" wp14:anchorId="4601CB63" wp14:editId="4DE471CD">
                <wp:simplePos x="0" y="0"/>
                <wp:positionH relativeFrom="column">
                  <wp:posOffset>434340</wp:posOffset>
                </wp:positionH>
                <wp:positionV relativeFrom="paragraph">
                  <wp:posOffset>10205</wp:posOffset>
                </wp:positionV>
                <wp:extent cx="4686300" cy="0"/>
                <wp:effectExtent l="0" t="4763" r="0" b="4763"/>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86300" cy="0"/>
                        </a:xfrm>
                        <a:prstGeom prst="line">
                          <a:avLst/>
                        </a:prstGeom>
                        <a:noFill/>
                        <a:ln w="9525" cap="flat" cmpd="sng" algn="ctr">
                          <a:solidFill>
                            <a:srgbClr val="DBDBDB"/>
                          </a:solidFill>
                          <a:prstDash val="solid"/>
                        </a:ln>
                        <a:effectLst/>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60" distT="4294967260" distL="114300" distR="114300" hidden="0" layoutInCell="1" locked="0" relativeHeight="0" simplePos="0">
                <wp:simplePos x="0" y="0"/>
                <wp:positionH relativeFrom="column">
                  <wp:posOffset>434340</wp:posOffset>
                </wp:positionH>
                <wp:positionV relativeFrom="paragraph">
                  <wp:posOffset>10205</wp:posOffset>
                </wp:positionV>
                <wp:extent cx="4686300" cy="9526"/>
                <wp:effectExtent b="0" l="0" r="0" t="0"/>
                <wp:wrapNone/>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686300" cy="9526"/>
                        </a:xfrm>
                        <a:prstGeom prst="rect"/>
                        <a:ln/>
                      </pic:spPr>
                    </pic:pic>
                  </a:graphicData>
                </a:graphic>
              </wp:anchor>
            </w:drawing>
          </mc:Fallback>
        </mc:AlternateContent>
      </w:r>
    </w:p>
    <w:p w14:paraId="209CA620" w14:textId="77777777" w:rsidR="009E3AC0" w:rsidRPr="00885D10" w:rsidRDefault="002B7867">
      <w:pPr>
        <w:rPr>
          <w:rFonts w:ascii="Arial" w:eastAsia="Arial" w:hAnsi="Arial" w:cs="Arial"/>
          <w:color w:val="000000" w:themeColor="text1"/>
          <w:sz w:val="22"/>
          <w:szCs w:val="22"/>
        </w:rPr>
      </w:pPr>
      <w:r w:rsidRPr="00885D10">
        <w:rPr>
          <w:rFonts w:ascii="Arial" w:eastAsia="Arial" w:hAnsi="Arial" w:cs="Arial"/>
          <w:color w:val="000000" w:themeColor="text1"/>
          <w:sz w:val="22"/>
          <w:szCs w:val="22"/>
        </w:rPr>
        <w:t>Atentamente,</w:t>
      </w:r>
    </w:p>
    <w:p w14:paraId="349DE707" w14:textId="61F79D1E" w:rsidR="009E3AC0" w:rsidRPr="00885D10" w:rsidRDefault="00885D10">
      <w:pPr>
        <w:jc w:val="center"/>
        <w:rPr>
          <w:rFonts w:ascii="Arial" w:eastAsia="Arial" w:hAnsi="Arial" w:cs="Arial"/>
          <w:color w:val="000000" w:themeColor="text1"/>
          <w:sz w:val="18"/>
          <w:szCs w:val="18"/>
        </w:rPr>
      </w:pPr>
      <w:r>
        <w:rPr>
          <w:noProof/>
        </w:rPr>
        <w:drawing>
          <wp:inline distT="0" distB="0" distL="0" distR="0" wp14:anchorId="7353858D" wp14:editId="66376383">
            <wp:extent cx="2743200" cy="1217396"/>
            <wp:effectExtent l="0" t="0" r="0" b="0"/>
            <wp:docPr id="1640342964" name="Imagen 1640342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2743200" cy="1217396"/>
                    </a:xfrm>
                    <a:prstGeom prst="rect">
                      <a:avLst/>
                    </a:prstGeom>
                  </pic:spPr>
                </pic:pic>
              </a:graphicData>
            </a:graphic>
          </wp:inline>
        </w:drawing>
      </w:r>
    </w:p>
    <w:tbl>
      <w:tblPr>
        <w:tblStyle w:val="a0"/>
        <w:tblW w:w="522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2"/>
        <w:gridCol w:w="4413"/>
      </w:tblGrid>
      <w:tr w:rsidR="000605B5" w:rsidRPr="00885D10" w14:paraId="28514C99" w14:textId="77777777">
        <w:trPr>
          <w:trHeight w:val="315"/>
        </w:trPr>
        <w:tc>
          <w:tcPr>
            <w:tcW w:w="812" w:type="dxa"/>
            <w:vAlign w:val="center"/>
          </w:tcPr>
          <w:p w14:paraId="28B4C35F" w14:textId="77777777" w:rsidR="009E3AC0" w:rsidRPr="00885D10" w:rsidRDefault="002B7867" w:rsidP="00D26379">
            <w:pPr>
              <w:spacing w:before="0"/>
              <w:rPr>
                <w:rFonts w:ascii="Arial" w:eastAsia="Arial" w:hAnsi="Arial" w:cs="Arial"/>
                <w:color w:val="000000" w:themeColor="text1"/>
                <w:sz w:val="16"/>
                <w:szCs w:val="16"/>
              </w:rPr>
            </w:pPr>
            <w:r w:rsidRPr="00885D10">
              <w:rPr>
                <w:rFonts w:ascii="Arial" w:eastAsia="Arial" w:hAnsi="Arial" w:cs="Arial"/>
                <w:color w:val="000000" w:themeColor="text1"/>
                <w:sz w:val="16"/>
                <w:szCs w:val="16"/>
              </w:rPr>
              <w:t>Elaboró:</w:t>
            </w:r>
          </w:p>
        </w:tc>
        <w:tc>
          <w:tcPr>
            <w:tcW w:w="4413" w:type="dxa"/>
            <w:tcBorders>
              <w:top w:val="nil"/>
              <w:left w:val="nil"/>
              <w:bottom w:val="dotted" w:sz="4" w:space="0" w:color="7F7F7F"/>
              <w:right w:val="nil"/>
            </w:tcBorders>
            <w:vAlign w:val="center"/>
          </w:tcPr>
          <w:p w14:paraId="339BDFFB" w14:textId="77777777" w:rsidR="001D7A5F" w:rsidRPr="00885D10" w:rsidRDefault="001D7A5F" w:rsidP="001D7A5F">
            <w:pPr>
              <w:jc w:val="both"/>
              <w:rPr>
                <w:rFonts w:ascii="Arial" w:hAnsi="Arial" w:cs="Arial"/>
                <w:color w:val="000000" w:themeColor="text1"/>
                <w:sz w:val="16"/>
                <w:szCs w:val="16"/>
                <w:lang w:val="es-ES_tradnl" w:eastAsia="es-ES"/>
              </w:rPr>
            </w:pPr>
            <w:r w:rsidRPr="00885D10">
              <w:rPr>
                <w:rFonts w:ascii="Arial" w:hAnsi="Arial" w:cs="Arial"/>
                <w:color w:val="000000" w:themeColor="text1"/>
                <w:sz w:val="16"/>
                <w:szCs w:val="16"/>
                <w:lang w:val="es-ES_tradnl" w:eastAsia="es-ES"/>
              </w:rPr>
              <w:t xml:space="preserve">Nina María Padrón Ballestas </w:t>
            </w:r>
          </w:p>
          <w:p w14:paraId="5F10F343" w14:textId="77777777" w:rsidR="009E3AC0" w:rsidRPr="00885D10" w:rsidRDefault="002B7867" w:rsidP="00D26379">
            <w:pPr>
              <w:spacing w:before="0"/>
              <w:rPr>
                <w:rFonts w:ascii="Arial" w:eastAsia="Arial" w:hAnsi="Arial" w:cs="Arial"/>
                <w:color w:val="000000" w:themeColor="text1"/>
                <w:sz w:val="16"/>
                <w:szCs w:val="16"/>
              </w:rPr>
            </w:pPr>
            <w:r w:rsidRPr="00885D10">
              <w:rPr>
                <w:rFonts w:ascii="Arial" w:eastAsia="Arial" w:hAnsi="Arial" w:cs="Arial"/>
                <w:color w:val="000000" w:themeColor="text1"/>
                <w:sz w:val="16"/>
                <w:szCs w:val="16"/>
              </w:rPr>
              <w:t>Contratista de la Subdirección de Gestión Contractual</w:t>
            </w:r>
          </w:p>
        </w:tc>
      </w:tr>
      <w:tr w:rsidR="000605B5" w:rsidRPr="00885D10" w14:paraId="0BEF47D4" w14:textId="77777777">
        <w:trPr>
          <w:trHeight w:val="330"/>
        </w:trPr>
        <w:tc>
          <w:tcPr>
            <w:tcW w:w="812" w:type="dxa"/>
            <w:vAlign w:val="center"/>
          </w:tcPr>
          <w:p w14:paraId="51F45BB4" w14:textId="77777777" w:rsidR="009E3AC0" w:rsidRPr="00885D10" w:rsidRDefault="002B7867" w:rsidP="00D26379">
            <w:pPr>
              <w:spacing w:before="0"/>
              <w:rPr>
                <w:rFonts w:ascii="Arial" w:eastAsia="Arial" w:hAnsi="Arial" w:cs="Arial"/>
                <w:color w:val="000000" w:themeColor="text1"/>
                <w:sz w:val="16"/>
                <w:szCs w:val="16"/>
              </w:rPr>
            </w:pPr>
            <w:r w:rsidRPr="00885D10">
              <w:rPr>
                <w:rFonts w:ascii="Arial" w:eastAsia="Arial" w:hAnsi="Arial" w:cs="Arial"/>
                <w:color w:val="000000" w:themeColor="text1"/>
                <w:sz w:val="16"/>
                <w:szCs w:val="16"/>
              </w:rPr>
              <w:t>Revisó:</w:t>
            </w:r>
          </w:p>
        </w:tc>
        <w:tc>
          <w:tcPr>
            <w:tcW w:w="4413" w:type="dxa"/>
            <w:tcBorders>
              <w:top w:val="dotted" w:sz="4" w:space="0" w:color="7F7F7F"/>
              <w:left w:val="nil"/>
              <w:bottom w:val="dotted" w:sz="4" w:space="0" w:color="7F7F7F"/>
              <w:right w:val="nil"/>
            </w:tcBorders>
            <w:vAlign w:val="center"/>
          </w:tcPr>
          <w:p w14:paraId="266EE53B" w14:textId="77777777" w:rsidR="009E3AC0" w:rsidRPr="00885D10" w:rsidRDefault="002B7867" w:rsidP="00D26379">
            <w:pPr>
              <w:spacing w:before="0"/>
              <w:rPr>
                <w:rFonts w:ascii="Arial" w:eastAsia="Arial" w:hAnsi="Arial" w:cs="Arial"/>
                <w:color w:val="000000" w:themeColor="text1"/>
                <w:sz w:val="16"/>
                <w:szCs w:val="16"/>
              </w:rPr>
            </w:pPr>
            <w:r w:rsidRPr="00885D10">
              <w:rPr>
                <w:rFonts w:ascii="Arial" w:eastAsia="Arial" w:hAnsi="Arial" w:cs="Arial"/>
                <w:color w:val="000000" w:themeColor="text1"/>
                <w:sz w:val="16"/>
                <w:szCs w:val="16"/>
              </w:rPr>
              <w:t>Sebastián Ramírez Grisales</w:t>
            </w:r>
          </w:p>
          <w:p w14:paraId="075CBDF0" w14:textId="77777777" w:rsidR="009E3AC0" w:rsidRPr="00885D10" w:rsidRDefault="002B7867" w:rsidP="00D26379">
            <w:pPr>
              <w:spacing w:before="0"/>
              <w:rPr>
                <w:rFonts w:ascii="Arial" w:eastAsia="Arial" w:hAnsi="Arial" w:cs="Arial"/>
                <w:color w:val="000000" w:themeColor="text1"/>
                <w:sz w:val="16"/>
                <w:szCs w:val="16"/>
              </w:rPr>
            </w:pPr>
            <w:r w:rsidRPr="00885D10">
              <w:rPr>
                <w:rFonts w:ascii="Arial" w:eastAsia="Arial" w:hAnsi="Arial" w:cs="Arial"/>
                <w:color w:val="000000" w:themeColor="text1"/>
                <w:sz w:val="16"/>
                <w:szCs w:val="16"/>
              </w:rPr>
              <w:t>Contratista de la Subdirección de Gestión Contractual</w:t>
            </w:r>
          </w:p>
        </w:tc>
      </w:tr>
      <w:tr w:rsidR="000605B5" w:rsidRPr="000605B5" w14:paraId="4C5EF60E" w14:textId="77777777">
        <w:trPr>
          <w:trHeight w:val="300"/>
        </w:trPr>
        <w:tc>
          <w:tcPr>
            <w:tcW w:w="812" w:type="dxa"/>
            <w:vAlign w:val="center"/>
          </w:tcPr>
          <w:p w14:paraId="75A346DC" w14:textId="77777777" w:rsidR="009E3AC0" w:rsidRPr="00885D10" w:rsidRDefault="002B7867" w:rsidP="00D26379">
            <w:pPr>
              <w:spacing w:before="0"/>
              <w:rPr>
                <w:rFonts w:ascii="Arial" w:eastAsia="Arial" w:hAnsi="Arial" w:cs="Arial"/>
                <w:color w:val="000000" w:themeColor="text1"/>
                <w:sz w:val="16"/>
                <w:szCs w:val="16"/>
              </w:rPr>
            </w:pPr>
            <w:r w:rsidRPr="00885D10">
              <w:rPr>
                <w:rFonts w:ascii="Arial" w:eastAsia="Arial" w:hAnsi="Arial" w:cs="Arial"/>
                <w:color w:val="000000" w:themeColor="text1"/>
                <w:sz w:val="16"/>
                <w:szCs w:val="16"/>
              </w:rPr>
              <w:t>Aprobó:</w:t>
            </w:r>
          </w:p>
        </w:tc>
        <w:tc>
          <w:tcPr>
            <w:tcW w:w="4413" w:type="dxa"/>
            <w:tcBorders>
              <w:top w:val="dotted" w:sz="4" w:space="0" w:color="7F7F7F"/>
              <w:left w:val="nil"/>
              <w:bottom w:val="dotted" w:sz="4" w:space="0" w:color="7F7F7F"/>
              <w:right w:val="nil"/>
            </w:tcBorders>
            <w:vAlign w:val="center"/>
          </w:tcPr>
          <w:p w14:paraId="13E264A1" w14:textId="77777777" w:rsidR="009E3AC0" w:rsidRPr="00885D10" w:rsidRDefault="002B7867" w:rsidP="00D26379">
            <w:pPr>
              <w:spacing w:before="0"/>
              <w:rPr>
                <w:rFonts w:ascii="Arial" w:eastAsia="Arial" w:hAnsi="Arial" w:cs="Arial"/>
                <w:color w:val="000000" w:themeColor="text1"/>
                <w:sz w:val="16"/>
                <w:szCs w:val="16"/>
              </w:rPr>
            </w:pPr>
            <w:r w:rsidRPr="00885D10">
              <w:rPr>
                <w:rFonts w:ascii="Arial" w:eastAsia="Arial" w:hAnsi="Arial" w:cs="Arial"/>
                <w:color w:val="000000" w:themeColor="text1"/>
                <w:sz w:val="16"/>
                <w:szCs w:val="16"/>
              </w:rPr>
              <w:t>Jorge Augusto Tirado Navarro</w:t>
            </w:r>
          </w:p>
          <w:p w14:paraId="6F3B2DF5" w14:textId="77777777" w:rsidR="009E3AC0" w:rsidRPr="000605B5" w:rsidRDefault="002B7867" w:rsidP="00D26379">
            <w:pPr>
              <w:spacing w:before="0"/>
              <w:rPr>
                <w:rFonts w:ascii="Arial" w:eastAsia="Arial" w:hAnsi="Arial" w:cs="Arial"/>
                <w:color w:val="000000" w:themeColor="text1"/>
                <w:sz w:val="16"/>
                <w:szCs w:val="16"/>
              </w:rPr>
            </w:pPr>
            <w:r w:rsidRPr="00885D10">
              <w:rPr>
                <w:rFonts w:ascii="Arial" w:eastAsia="Arial" w:hAnsi="Arial" w:cs="Arial"/>
                <w:color w:val="000000" w:themeColor="text1"/>
                <w:sz w:val="16"/>
                <w:szCs w:val="16"/>
              </w:rPr>
              <w:t>Subdirector de Gestión Contractual ANCP – CCE</w:t>
            </w:r>
          </w:p>
        </w:tc>
      </w:tr>
    </w:tbl>
    <w:p w14:paraId="72126035" w14:textId="77777777" w:rsidR="009E3AC0" w:rsidRPr="000605B5" w:rsidRDefault="009E3AC0">
      <w:pPr>
        <w:spacing w:after="120"/>
        <w:rPr>
          <w:rFonts w:ascii="Arial" w:eastAsia="Arial" w:hAnsi="Arial" w:cs="Arial"/>
          <w:b/>
          <w:color w:val="000000" w:themeColor="text1"/>
          <w:sz w:val="20"/>
          <w:szCs w:val="20"/>
        </w:rPr>
      </w:pPr>
    </w:p>
    <w:sectPr w:rsidR="009E3AC0" w:rsidRPr="000605B5">
      <w:headerReference w:type="default" r:id="rId13"/>
      <w:footerReference w:type="default" r:id="rId14"/>
      <w:pgSz w:w="12240" w:h="15840"/>
      <w:pgMar w:top="408" w:right="1701" w:bottom="1276" w:left="1701" w:header="34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B245E" w14:textId="77777777" w:rsidR="000671B2" w:rsidRDefault="000671B2">
      <w:pPr>
        <w:spacing w:after="0" w:line="240" w:lineRule="auto"/>
      </w:pPr>
      <w:r>
        <w:separator/>
      </w:r>
    </w:p>
  </w:endnote>
  <w:endnote w:type="continuationSeparator" w:id="0">
    <w:p w14:paraId="7CB2E313" w14:textId="77777777" w:rsidR="000671B2" w:rsidRDefault="00067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F97E" w14:textId="77777777" w:rsidR="009E3AC0" w:rsidRDefault="009E3AC0">
    <w:pPr>
      <w:pBdr>
        <w:top w:val="nil"/>
        <w:left w:val="nil"/>
        <w:bottom w:val="nil"/>
        <w:right w:val="nil"/>
        <w:between w:val="nil"/>
      </w:pBdr>
      <w:spacing w:after="0" w:line="240" w:lineRule="auto"/>
      <w:rPr>
        <w:rFonts w:ascii="Arial" w:eastAsia="Arial" w:hAnsi="Arial" w:cs="Arial"/>
        <w:color w:val="000000"/>
        <w:sz w:val="18"/>
        <w:szCs w:val="18"/>
      </w:rPr>
    </w:pPr>
  </w:p>
  <w:p w14:paraId="5B2A21DA" w14:textId="77777777" w:rsidR="009E3AC0" w:rsidRDefault="002B7867">
    <w:pPr>
      <w:pBdr>
        <w:top w:val="nil"/>
        <w:left w:val="nil"/>
        <w:bottom w:val="nil"/>
        <w:right w:val="nil"/>
        <w:between w:val="nil"/>
      </w:pBdr>
      <w:tabs>
        <w:tab w:val="center" w:pos="4419"/>
        <w:tab w:val="right" w:pos="8838"/>
      </w:tabs>
      <w:jc w:val="right"/>
      <w:rPr>
        <w:rFonts w:ascii="Arial" w:eastAsia="Arial" w:hAnsi="Arial" w:cs="Arial"/>
        <w:color w:val="7F7F7F"/>
        <w:sz w:val="16"/>
        <w:szCs w:val="16"/>
      </w:rPr>
    </w:pPr>
    <w:r>
      <w:rPr>
        <w:rFonts w:ascii="Arial" w:eastAsia="Arial" w:hAnsi="Arial" w:cs="Arial"/>
        <w:color w:val="7F7F7F"/>
        <w:sz w:val="16"/>
        <w:szCs w:val="16"/>
      </w:rPr>
      <w:t xml:space="preserve">Página </w:t>
    </w:r>
    <w:r>
      <w:rPr>
        <w:rFonts w:ascii="Arial" w:eastAsia="Arial" w:hAnsi="Arial" w:cs="Arial"/>
        <w:b/>
        <w:color w:val="7F7F7F"/>
        <w:sz w:val="16"/>
        <w:szCs w:val="16"/>
      </w:rPr>
      <w:fldChar w:fldCharType="begin"/>
    </w:r>
    <w:r>
      <w:rPr>
        <w:rFonts w:ascii="Arial" w:eastAsia="Arial" w:hAnsi="Arial" w:cs="Arial"/>
        <w:b/>
        <w:color w:val="7F7F7F"/>
        <w:sz w:val="16"/>
        <w:szCs w:val="16"/>
      </w:rPr>
      <w:instrText>PAGE</w:instrText>
    </w:r>
    <w:r>
      <w:rPr>
        <w:rFonts w:ascii="Arial" w:eastAsia="Arial" w:hAnsi="Arial" w:cs="Arial"/>
        <w:b/>
        <w:color w:val="7F7F7F"/>
        <w:sz w:val="16"/>
        <w:szCs w:val="16"/>
      </w:rPr>
      <w:fldChar w:fldCharType="separate"/>
    </w:r>
    <w:r w:rsidR="0019440F">
      <w:rPr>
        <w:rFonts w:ascii="Arial" w:eastAsia="Arial" w:hAnsi="Arial" w:cs="Arial"/>
        <w:b/>
        <w:noProof/>
        <w:color w:val="7F7F7F"/>
        <w:sz w:val="16"/>
        <w:szCs w:val="16"/>
      </w:rPr>
      <w:t>18</w:t>
    </w:r>
    <w:r>
      <w:rPr>
        <w:rFonts w:ascii="Arial" w:eastAsia="Arial" w:hAnsi="Arial" w:cs="Arial"/>
        <w:b/>
        <w:color w:val="7F7F7F"/>
        <w:sz w:val="16"/>
        <w:szCs w:val="16"/>
      </w:rPr>
      <w:fldChar w:fldCharType="end"/>
    </w:r>
    <w:r>
      <w:rPr>
        <w:rFonts w:ascii="Arial" w:eastAsia="Arial" w:hAnsi="Arial" w:cs="Arial"/>
        <w:color w:val="7F7F7F"/>
        <w:sz w:val="16"/>
        <w:szCs w:val="16"/>
      </w:rPr>
      <w:t xml:space="preserve"> de </w:t>
    </w:r>
    <w:r>
      <w:rPr>
        <w:rFonts w:ascii="Arial" w:eastAsia="Arial" w:hAnsi="Arial" w:cs="Arial"/>
        <w:b/>
        <w:color w:val="7F7F7F"/>
        <w:sz w:val="16"/>
        <w:szCs w:val="16"/>
      </w:rPr>
      <w:fldChar w:fldCharType="begin"/>
    </w:r>
    <w:r>
      <w:rPr>
        <w:rFonts w:ascii="Arial" w:eastAsia="Arial" w:hAnsi="Arial" w:cs="Arial"/>
        <w:b/>
        <w:color w:val="7F7F7F"/>
        <w:sz w:val="16"/>
        <w:szCs w:val="16"/>
      </w:rPr>
      <w:instrText>NUMPAGES</w:instrText>
    </w:r>
    <w:r>
      <w:rPr>
        <w:rFonts w:ascii="Arial" w:eastAsia="Arial" w:hAnsi="Arial" w:cs="Arial"/>
        <w:b/>
        <w:color w:val="7F7F7F"/>
        <w:sz w:val="16"/>
        <w:szCs w:val="16"/>
      </w:rPr>
      <w:fldChar w:fldCharType="separate"/>
    </w:r>
    <w:r w:rsidR="0019440F">
      <w:rPr>
        <w:rFonts w:ascii="Arial" w:eastAsia="Arial" w:hAnsi="Arial" w:cs="Arial"/>
        <w:b/>
        <w:noProof/>
        <w:color w:val="7F7F7F"/>
        <w:sz w:val="16"/>
        <w:szCs w:val="16"/>
      </w:rPr>
      <w:t>41</w:t>
    </w:r>
    <w:r>
      <w:rPr>
        <w:rFonts w:ascii="Arial" w:eastAsia="Arial" w:hAnsi="Arial" w:cs="Arial"/>
        <w:b/>
        <w:color w:val="7F7F7F"/>
        <w:sz w:val="16"/>
        <w:szCs w:val="16"/>
      </w:rPr>
      <w:fldChar w:fldCharType="end"/>
    </w:r>
  </w:p>
  <w:p w14:paraId="7A61822E" w14:textId="77777777" w:rsidR="009E3AC0" w:rsidRDefault="002B7867">
    <w:pPr>
      <w:pBdr>
        <w:top w:val="nil"/>
        <w:left w:val="nil"/>
        <w:bottom w:val="nil"/>
        <w:right w:val="nil"/>
        <w:between w:val="nil"/>
      </w:pBdr>
      <w:tabs>
        <w:tab w:val="center" w:pos="4419"/>
        <w:tab w:val="right" w:pos="8838"/>
      </w:tabs>
      <w:jc w:val="center"/>
      <w:rPr>
        <w:color w:val="000000"/>
      </w:rPr>
    </w:pPr>
    <w:r>
      <w:rPr>
        <w:noProof/>
        <w:color w:val="000000"/>
        <w:lang w:val="es-CO" w:eastAsia="es-CO"/>
      </w:rPr>
      <w:drawing>
        <wp:inline distT="0" distB="0" distL="0" distR="0" wp14:anchorId="66635F5D" wp14:editId="0D4E5924">
          <wp:extent cx="4241994" cy="59516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4241994" cy="595165"/>
                  </a:xfrm>
                  <a:prstGeom prst="rect">
                    <a:avLst/>
                  </a:prstGeom>
                  <a:ln/>
                </pic:spPr>
              </pic:pic>
            </a:graphicData>
          </a:graphic>
        </wp:inline>
      </w:drawing>
    </w:r>
  </w:p>
  <w:p w14:paraId="09CC24B0" w14:textId="77777777" w:rsidR="009E3AC0" w:rsidRDefault="009E3AC0">
    <w:pPr>
      <w:pBdr>
        <w:top w:val="nil"/>
        <w:left w:val="nil"/>
        <w:bottom w:val="nil"/>
        <w:right w:val="nil"/>
        <w:between w:val="nil"/>
      </w:pBdr>
      <w:tabs>
        <w:tab w:val="center" w:pos="4419"/>
        <w:tab w:val="right" w:pos="8838"/>
      </w:tabs>
      <w:spacing w:line="12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0D4AA" w14:textId="77777777" w:rsidR="000671B2" w:rsidRDefault="000671B2">
      <w:pPr>
        <w:spacing w:after="0" w:line="240" w:lineRule="auto"/>
      </w:pPr>
      <w:r>
        <w:separator/>
      </w:r>
    </w:p>
  </w:footnote>
  <w:footnote w:type="continuationSeparator" w:id="0">
    <w:p w14:paraId="0BD430F3" w14:textId="77777777" w:rsidR="000671B2" w:rsidRDefault="000671B2">
      <w:pPr>
        <w:spacing w:after="0" w:line="240" w:lineRule="auto"/>
      </w:pPr>
      <w:r>
        <w:continuationSeparator/>
      </w:r>
    </w:p>
  </w:footnote>
  <w:footnote w:id="1">
    <w:p w14:paraId="11BE7DAB" w14:textId="77777777" w:rsidR="009E3AC0" w:rsidRPr="00F53495" w:rsidRDefault="002B7867"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La Agencia Nacional de Contratación Pública ‒ Colombia Compra Eficiente fue creada por el Decreto Ley 4170 de 2011. Su objetivo es servir como ente rector de la política de compras y contratación del Estado. Para tales fines, como órgano técnico especializado, le corresponde formular políticas públicas y normas y unificar los procesos de contratación estatal, con el fin de lograr una mayor eficiencia, transparencia y optimización de los recursos del Estado. El artículo 3 </w:t>
      </w:r>
      <w:r w:rsidRPr="00F53495">
        <w:rPr>
          <w:rFonts w:ascii="Arial" w:eastAsia="Arial" w:hAnsi="Arial" w:cs="Arial"/>
          <w:i/>
          <w:color w:val="000000" w:themeColor="text1"/>
          <w:sz w:val="19"/>
          <w:szCs w:val="19"/>
        </w:rPr>
        <w:t xml:space="preserve">ibidem </w:t>
      </w:r>
      <w:r w:rsidRPr="00F53495">
        <w:rPr>
          <w:rFonts w:ascii="Arial" w:eastAsia="Arial" w:hAnsi="Arial" w:cs="Arial"/>
          <w:color w:val="000000" w:themeColor="text1"/>
          <w:sz w:val="19"/>
          <w:szCs w:val="19"/>
        </w:rPr>
        <w:t>señala, de manera precisa, las funciones de Colombia Compra Eficiente. Concretamente, el numeral 5º de este artículo establece que le corresponde a esta entidad: «[a]</w:t>
      </w:r>
      <w:proofErr w:type="spellStart"/>
      <w:r w:rsidRPr="00F53495">
        <w:rPr>
          <w:rFonts w:ascii="Arial" w:eastAsia="Arial" w:hAnsi="Arial" w:cs="Arial"/>
          <w:color w:val="000000" w:themeColor="text1"/>
          <w:sz w:val="19"/>
          <w:szCs w:val="19"/>
        </w:rPr>
        <w:t>bsolver</w:t>
      </w:r>
      <w:proofErr w:type="spellEnd"/>
      <w:r w:rsidRPr="00F53495">
        <w:rPr>
          <w:rFonts w:ascii="Arial" w:eastAsia="Arial" w:hAnsi="Arial" w:cs="Arial"/>
          <w:color w:val="000000" w:themeColor="text1"/>
          <w:sz w:val="19"/>
          <w:szCs w:val="19"/>
        </w:rPr>
        <w:t xml:space="preserve"> consultas sobre la aplicación de normas de carácter general y expedir circulares externas en materia de compras y contratación pública». Esta se fija con límites claros, con el objeto de evitar que la Agencia actúe como una instancia de validación de las actuaciones de las entidades sujetas a la Ley 80 de 1993 o de los demás participantes de la contratación pública.</w:t>
      </w:r>
    </w:p>
  </w:footnote>
  <w:footnote w:id="2">
    <w:p w14:paraId="53E7B674" w14:textId="77777777" w:rsidR="009E3AC0" w:rsidRPr="00F53495" w:rsidRDefault="002B7867"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Seguidamente, el numeral 8º del artículo 11 Decreto Ley 4170 de 2011 señala que es función de la Subdirección de Gestión Contractual: «[a]</w:t>
      </w:r>
      <w:proofErr w:type="spellStart"/>
      <w:r w:rsidRPr="00F53495">
        <w:rPr>
          <w:rFonts w:ascii="Arial" w:eastAsia="Arial" w:hAnsi="Arial" w:cs="Arial"/>
          <w:color w:val="000000" w:themeColor="text1"/>
          <w:sz w:val="19"/>
          <w:szCs w:val="19"/>
        </w:rPr>
        <w:t>bsolver</w:t>
      </w:r>
      <w:proofErr w:type="spellEnd"/>
      <w:r w:rsidRPr="00F53495">
        <w:rPr>
          <w:rFonts w:ascii="Arial" w:eastAsia="Arial" w:hAnsi="Arial" w:cs="Arial"/>
          <w:color w:val="000000" w:themeColor="text1"/>
          <w:sz w:val="19"/>
          <w:szCs w:val="19"/>
        </w:rPr>
        <w:t xml:space="preserve"> consultas sobre la aplicación de normas de carácter general». Es necesario tener en cuenta que esta entidad solo tiene competencia para responder solicitudes sobre la aplicación de normas de carácter general en materia de compras y contratación pública.</w:t>
      </w:r>
    </w:p>
  </w:footnote>
  <w:footnote w:id="3">
    <w:p w14:paraId="7B4F55DB" w14:textId="77777777" w:rsidR="009E3AC0" w:rsidRPr="00F53495" w:rsidRDefault="002B7867"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El artículo 127 de la Constitución Política señala: «Los servidores públicos no podrán celebrar, por si o por interpuesta persona, o en representación de otro, contrato alguno con entidades públicas o con personas privadas que manejen o administren recursos públicos, salvo las excepciones legales. </w:t>
      </w:r>
    </w:p>
    <w:p w14:paraId="2D9DAAF8" w14:textId="77777777" w:rsidR="009E3AC0" w:rsidRPr="00F53495" w:rsidRDefault="002B7867"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eastAsia="Arial" w:hAnsi="Arial" w:cs="Arial"/>
          <w:color w:val="000000" w:themeColor="text1"/>
          <w:sz w:val="19"/>
          <w:szCs w:val="19"/>
        </w:rPr>
        <w:t>»A los empleados del Estado que se desempeñen en la Rama Judicial, en los órganos electorales, de control y de seguridad les está prohibido tomar parte en las actividades de los partidos y movimientos y en las controversias políticas, sin perjuicio de ejercer libremente el derecho al sufragio. A los miembros de la Fuerza Pública en servicio activo se les aplican las limitaciones contempladas en el artículo 219 de la Constitución. Los empleados no contemplados en esta prohibición solo podrán participar en dichas actividades y controversias en las condiciones que señale la Ley Estatutaria».</w:t>
      </w:r>
    </w:p>
  </w:footnote>
  <w:footnote w:id="4">
    <w:p w14:paraId="14B4C20A" w14:textId="77777777" w:rsidR="009E3AC0" w:rsidRPr="00F53495" w:rsidRDefault="002B7867"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Gaceta del Congreso de la República No. 71 del 2005.</w:t>
      </w:r>
    </w:p>
  </w:footnote>
  <w:footnote w:id="5">
    <w:p w14:paraId="7584BA38" w14:textId="77777777" w:rsidR="009E3AC0" w:rsidRPr="00F53495" w:rsidRDefault="002B7867"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Corte Constitucional, Sentencia C- 1153 de 2005, M.P. Marco Gerardo Monroy Cabra.</w:t>
      </w:r>
    </w:p>
  </w:footnote>
  <w:footnote w:id="6">
    <w:p w14:paraId="7FE8E635" w14:textId="77777777" w:rsidR="009E3AC0" w:rsidRPr="00F53495" w:rsidRDefault="002B7867"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Corte Constitucional. Sentencias: C-233 de 4 de abril de 2002, expediente: D-3704; C-551 de 9 de julio de 2003, expediente: CRF-001 de 9 de julio de 2003; C-652 de 5 de agosto de 2003, expediente: D-4330; C-353 de 20 de mayo de 2009, expediente: D-7518, C-541 de 30 de junio de 2010, expediente: DD7966; entre otras.</w:t>
      </w:r>
    </w:p>
    <w:p w14:paraId="24D486CD" w14:textId="77777777" w:rsidR="009E3AC0" w:rsidRPr="00F53495" w:rsidRDefault="009E3AC0"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p>
  </w:footnote>
  <w:footnote w:id="7">
    <w:p w14:paraId="08443095" w14:textId="77777777" w:rsidR="009E3AC0" w:rsidRPr="00F53495" w:rsidRDefault="002B7867"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Consejo de Estado, Sala de lo Contencioso Administrativo, Sección Primera. Sentencia de 3 de marzo de 2005, expediente número 2004-00823-01(PI). Ver también, de la Sección Tercera. Sentencia de 22 de enero de 2002, expediente número 2001-0148-01 y, Sección Tercera. Sentencia de 20 de noviembre de 2001, expediente número 2001-0130-01(PI), entre otras.</w:t>
      </w:r>
    </w:p>
    <w:p w14:paraId="3B0869E5" w14:textId="77777777" w:rsidR="009E3AC0" w:rsidRPr="00F53495" w:rsidRDefault="009E3AC0"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p>
  </w:footnote>
  <w:footnote w:id="8">
    <w:p w14:paraId="4CD33EA6" w14:textId="77777777" w:rsidR="009E3AC0" w:rsidRPr="00F53495" w:rsidRDefault="002B7867"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Consejo de Estado, Sala de Consulta y Servicio Civil de fecha 24 de julio de 2013, radicado 2166, Consejero Ponente: Álvaro </w:t>
      </w:r>
      <w:proofErr w:type="spellStart"/>
      <w:r w:rsidRPr="00F53495">
        <w:rPr>
          <w:rFonts w:ascii="Arial" w:eastAsia="Arial" w:hAnsi="Arial" w:cs="Arial"/>
          <w:color w:val="000000" w:themeColor="text1"/>
          <w:sz w:val="19"/>
          <w:szCs w:val="19"/>
        </w:rPr>
        <w:t>Namén</w:t>
      </w:r>
      <w:proofErr w:type="spellEnd"/>
      <w:r w:rsidRPr="00F53495">
        <w:rPr>
          <w:rFonts w:ascii="Arial" w:eastAsia="Arial" w:hAnsi="Arial" w:cs="Arial"/>
          <w:color w:val="000000" w:themeColor="text1"/>
          <w:sz w:val="19"/>
          <w:szCs w:val="19"/>
        </w:rPr>
        <w:t xml:space="preserve"> Vargas.  </w:t>
      </w:r>
    </w:p>
  </w:footnote>
  <w:footnote w:id="9">
    <w:p w14:paraId="5F173295" w14:textId="77777777" w:rsidR="009E3AC0" w:rsidRPr="00F53495" w:rsidRDefault="002B7867" w:rsidP="00F53495">
      <w:pP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w:t>
      </w:r>
      <w:bookmarkStart w:id="14" w:name="3fwokq0" w:colFirst="0" w:colLast="0"/>
      <w:bookmarkEnd w:id="14"/>
      <w:r w:rsidRPr="00F53495">
        <w:rPr>
          <w:rFonts w:ascii="Arial" w:eastAsia="Arial" w:hAnsi="Arial" w:cs="Arial"/>
          <w:color w:val="000000" w:themeColor="text1"/>
          <w:sz w:val="19"/>
          <w:szCs w:val="19"/>
        </w:rPr>
        <w:t>«Artículo 33. Restricciones a la contratación pública. Durante los cuatro (4) meses anteriores a la elección presidencial y hasta la realización de la elección en la segunda vuelta, si fuere el caso, queda prohibida la contratación directa por parte de todos los entes del Estado.</w:t>
      </w:r>
    </w:p>
    <w:p w14:paraId="17FC5486" w14:textId="77777777" w:rsidR="009E3AC0" w:rsidRPr="00F53495" w:rsidRDefault="002B7867" w:rsidP="00F53495">
      <w:pPr>
        <w:spacing w:after="0" w:line="240" w:lineRule="auto"/>
        <w:ind w:firstLine="709"/>
        <w:rPr>
          <w:rFonts w:ascii="Arial" w:eastAsia="Arial" w:hAnsi="Arial" w:cs="Arial"/>
          <w:color w:val="000000" w:themeColor="text1"/>
          <w:sz w:val="19"/>
          <w:szCs w:val="19"/>
        </w:rPr>
      </w:pPr>
      <w:r w:rsidRPr="00F53495">
        <w:rPr>
          <w:rFonts w:ascii="Arial" w:eastAsia="Arial" w:hAnsi="Arial" w:cs="Arial"/>
          <w:color w:val="000000" w:themeColor="text1"/>
          <w:sz w:val="19"/>
          <w:szCs w:val="19"/>
        </w:rPr>
        <w:t>» Queda exceptuado lo referente a la defensa y seguridad del Estado, los contratos de crédito público, los requeridos para cubrir las emergencias educativas, sanitarias y desastres, así como también los utilizados para la reconstrucción de vías, puentes, carreteras, infraestructura energética y de comunicaciones, en caso de que hayan sido objeto de atentados, acciones terroristas, desastres naturales o casos de fuerza mayor, y los que deban realizar las entidades sanitarias y hospitalarias».</w:t>
      </w:r>
    </w:p>
  </w:footnote>
  <w:footnote w:id="10">
    <w:p w14:paraId="46435CB7" w14:textId="77777777" w:rsidR="009E3AC0" w:rsidRPr="00F53495" w:rsidRDefault="002B7867"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w:t>
      </w:r>
      <w:bookmarkStart w:id="15" w:name="1v1yuxt" w:colFirst="0" w:colLast="0"/>
      <w:bookmarkEnd w:id="15"/>
      <w:r w:rsidRPr="00F53495">
        <w:rPr>
          <w:rFonts w:ascii="Arial" w:eastAsia="Arial" w:hAnsi="Arial" w:cs="Arial"/>
          <w:color w:val="000000" w:themeColor="text1"/>
          <w:sz w:val="19"/>
          <w:szCs w:val="19"/>
        </w:rPr>
        <w:t>«Artículo 38. Prohibiciones para los servidores públicos. A los empleados del Estado les está prohibido:</w:t>
      </w:r>
    </w:p>
    <w:p w14:paraId="2148AFA0" w14:textId="77777777" w:rsidR="009E3AC0" w:rsidRPr="00F53495" w:rsidRDefault="002B7867"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eastAsia="Arial" w:hAnsi="Arial" w:cs="Arial"/>
          <w:color w:val="000000" w:themeColor="text1"/>
          <w:sz w:val="19"/>
          <w:szCs w:val="19"/>
        </w:rPr>
        <w:t>» […]</w:t>
      </w:r>
    </w:p>
    <w:p w14:paraId="7C864A1D" w14:textId="77777777" w:rsidR="009E3AC0" w:rsidRPr="00F53495" w:rsidRDefault="002B7867"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eastAsia="Arial" w:hAnsi="Arial" w:cs="Arial"/>
          <w:color w:val="000000" w:themeColor="text1"/>
          <w:sz w:val="19"/>
          <w:szCs w:val="19"/>
        </w:rPr>
        <w:t>» Parágrafo. Los gobernadores, alcaldes municipales y/o distritales, secretarios, gerentes y directores de entidades descentralizadas del orden municipal, departamental o distrital, dentro de los cuatro (4) meses anteriores a las elecciones, no podrán celebrar convenios interadministrativos para la ejecución de recursos públicos, ni participar, promover y destinar recursos públicos de las entidades a su cargo, como tampoco de las que participen como miembros de sus juntas directivas, en o para reuniones de carácter proselitista».</w:t>
      </w:r>
    </w:p>
    <w:p w14:paraId="46D63531" w14:textId="77777777" w:rsidR="009E3AC0" w:rsidRPr="00F53495" w:rsidRDefault="009E3AC0"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p>
  </w:footnote>
  <w:footnote w:id="11">
    <w:p w14:paraId="22C37FFB" w14:textId="77777777" w:rsidR="009E3AC0" w:rsidRPr="00F53495" w:rsidRDefault="002B7867" w:rsidP="00F53495">
      <w:pPr>
        <w:spacing w:after="0" w:line="240" w:lineRule="auto"/>
        <w:ind w:firstLine="709"/>
        <w:rPr>
          <w:rFonts w:ascii="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Consejo de Estado. Sala de Consulta y Servicio Civil. Concepto del 17 de febrero de 2015. C.P. William Zambrano Cetina. Radicación No. 11001-03-06-000-2015-00164-00(2269).</w:t>
      </w:r>
    </w:p>
    <w:p w14:paraId="4111783B" w14:textId="77777777" w:rsidR="009E3AC0" w:rsidRPr="00F53495" w:rsidRDefault="009E3AC0"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p>
  </w:footnote>
  <w:footnote w:id="12">
    <w:p w14:paraId="5636A9F0" w14:textId="77777777" w:rsidR="002405CC" w:rsidRPr="00F53495" w:rsidRDefault="002405CC" w:rsidP="00F53495">
      <w:pPr>
        <w:pBdr>
          <w:top w:val="nil"/>
          <w:left w:val="nil"/>
          <w:bottom w:val="nil"/>
          <w:right w:val="nil"/>
          <w:between w:val="nil"/>
        </w:pBdr>
        <w:spacing w:after="0" w:line="240" w:lineRule="auto"/>
        <w:ind w:firstLine="709"/>
        <w:rPr>
          <w:rFonts w:ascii="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«[25] Cfr. Consejo de Estado. Sección Tercera. Sentencia de 3 de diciembre de 2007. Radicados: 24.715, 25.206, 25.409, 24.524, 27.834, 25.410, 26.105, 28.244, 31.447 -acumulados-».</w:t>
      </w:r>
    </w:p>
    <w:p w14:paraId="0A22301C" w14:textId="77777777" w:rsidR="002405CC" w:rsidRPr="00F53495" w:rsidRDefault="002405CC" w:rsidP="00F53495">
      <w:pPr>
        <w:pBdr>
          <w:top w:val="nil"/>
          <w:left w:val="nil"/>
          <w:bottom w:val="nil"/>
          <w:right w:val="nil"/>
          <w:between w:val="nil"/>
        </w:pBdr>
        <w:spacing w:after="0" w:line="240" w:lineRule="auto"/>
        <w:ind w:firstLine="709"/>
        <w:rPr>
          <w:rFonts w:ascii="Arial" w:hAnsi="Arial" w:cs="Arial"/>
          <w:color w:val="000000" w:themeColor="text1"/>
          <w:sz w:val="19"/>
          <w:szCs w:val="19"/>
        </w:rPr>
      </w:pPr>
    </w:p>
  </w:footnote>
  <w:footnote w:id="13">
    <w:p w14:paraId="5C9C666E" w14:textId="77777777" w:rsidR="002405CC" w:rsidRPr="00F53495" w:rsidRDefault="002405CC" w:rsidP="00F53495">
      <w:pPr>
        <w:pBdr>
          <w:top w:val="nil"/>
          <w:left w:val="nil"/>
          <w:bottom w:val="nil"/>
          <w:right w:val="nil"/>
          <w:between w:val="nil"/>
        </w:pBdr>
        <w:spacing w:after="0" w:line="240" w:lineRule="auto"/>
        <w:ind w:firstLine="709"/>
        <w:rPr>
          <w:rFonts w:ascii="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«[26] Al respecto ver el concepto 1712 de 2 de febrero de 2006. Consejo de Estado Sala de Consulta y Servicio Civil».</w:t>
      </w:r>
    </w:p>
    <w:p w14:paraId="77127601" w14:textId="77777777" w:rsidR="002405CC" w:rsidRPr="00F53495" w:rsidRDefault="002405CC" w:rsidP="00F53495">
      <w:pPr>
        <w:pBdr>
          <w:top w:val="nil"/>
          <w:left w:val="nil"/>
          <w:bottom w:val="nil"/>
          <w:right w:val="nil"/>
          <w:between w:val="nil"/>
        </w:pBdr>
        <w:spacing w:after="0" w:line="240" w:lineRule="auto"/>
        <w:ind w:firstLine="709"/>
        <w:rPr>
          <w:rFonts w:ascii="Arial" w:hAnsi="Arial" w:cs="Arial"/>
          <w:color w:val="000000" w:themeColor="text1"/>
          <w:sz w:val="19"/>
          <w:szCs w:val="19"/>
        </w:rPr>
      </w:pPr>
    </w:p>
  </w:footnote>
  <w:footnote w:id="14">
    <w:p w14:paraId="1A4601B9" w14:textId="77777777" w:rsidR="002405CC" w:rsidRPr="00F53495" w:rsidRDefault="002405CC"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Consejo de Estado. Sala de Consulta y Servicio Civil. Concepto del 2 de septiembre de 2013. Radicación número: 11001-03-06-000-2013-00412-00 (2168). Consejero Ponente: Álvaro </w:t>
      </w:r>
      <w:proofErr w:type="spellStart"/>
      <w:r w:rsidRPr="00F53495">
        <w:rPr>
          <w:rFonts w:ascii="Arial" w:eastAsia="Arial" w:hAnsi="Arial" w:cs="Arial"/>
          <w:color w:val="000000" w:themeColor="text1"/>
          <w:sz w:val="19"/>
          <w:szCs w:val="19"/>
        </w:rPr>
        <w:t>Namén</w:t>
      </w:r>
      <w:proofErr w:type="spellEnd"/>
      <w:r w:rsidRPr="00F53495">
        <w:rPr>
          <w:rFonts w:ascii="Arial" w:eastAsia="Arial" w:hAnsi="Arial" w:cs="Arial"/>
          <w:color w:val="000000" w:themeColor="text1"/>
          <w:sz w:val="19"/>
          <w:szCs w:val="19"/>
        </w:rPr>
        <w:t xml:space="preserve"> Vargas.</w:t>
      </w:r>
    </w:p>
  </w:footnote>
  <w:footnote w:id="15">
    <w:p w14:paraId="0ABCC557" w14:textId="77777777" w:rsidR="002405CC" w:rsidRPr="00F53495" w:rsidRDefault="002405CC"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p>
    <w:p w14:paraId="06EB57C0" w14:textId="77777777" w:rsidR="002405CC" w:rsidRPr="00F53495" w:rsidRDefault="002405CC"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eastAsia="Arial" w:hAnsi="Arial" w:cs="Arial"/>
          <w:color w:val="000000" w:themeColor="text1"/>
          <w:sz w:val="19"/>
          <w:szCs w:val="19"/>
        </w:rPr>
        <w:t xml:space="preserve"> Artículo 2. </w:t>
      </w:r>
    </w:p>
    <w:p w14:paraId="0D921C9F" w14:textId="77777777" w:rsidR="002405CC" w:rsidRPr="00F53495" w:rsidRDefault="002405CC"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p>
  </w:footnote>
  <w:footnote w:id="16">
    <w:p w14:paraId="3960B842" w14:textId="77777777" w:rsidR="002405CC" w:rsidRPr="00F53495" w:rsidRDefault="002405CC"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w:t>
      </w:r>
      <w:r w:rsidRPr="00F53495">
        <w:rPr>
          <w:rFonts w:ascii="Arial" w:eastAsia="Arial" w:hAnsi="Arial" w:cs="Arial"/>
          <w:i/>
          <w:color w:val="000000" w:themeColor="text1"/>
          <w:sz w:val="19"/>
          <w:szCs w:val="19"/>
        </w:rPr>
        <w:t>Ídem</w:t>
      </w:r>
      <w:r w:rsidRPr="00F53495">
        <w:rPr>
          <w:rFonts w:ascii="Arial" w:eastAsia="Arial" w:hAnsi="Arial" w:cs="Arial"/>
          <w:color w:val="000000" w:themeColor="text1"/>
          <w:sz w:val="19"/>
          <w:szCs w:val="19"/>
        </w:rPr>
        <w:t>.</w:t>
      </w:r>
    </w:p>
    <w:p w14:paraId="4E89942B" w14:textId="77777777" w:rsidR="002405CC" w:rsidRPr="00F53495" w:rsidRDefault="002405CC"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p>
  </w:footnote>
  <w:footnote w:id="17">
    <w:p w14:paraId="0F060772" w14:textId="77777777" w:rsidR="002405CC" w:rsidRPr="00F53495" w:rsidRDefault="002405CC"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 A este respecto, cabe recordar que el artículo 860 del Código de Comercio regula la licitación en el derecho privado». </w:t>
      </w:r>
    </w:p>
    <w:p w14:paraId="75586160" w14:textId="77777777" w:rsidR="002405CC" w:rsidRPr="00F53495" w:rsidRDefault="002405CC"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p>
  </w:footnote>
  <w:footnote w:id="18">
    <w:p w14:paraId="5A9C8C38" w14:textId="77777777" w:rsidR="002405CC" w:rsidRPr="00F53495" w:rsidRDefault="002405CC" w:rsidP="00F53495">
      <w:pPr>
        <w:shd w:val="clear" w:color="auto" w:fill="FFFFFF"/>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Consejo de Estado. Sala de Consulta y Servicio Civil, Concepto de 8 de mayo de 2018. Radicación Número: 11001-03-06-000-2018-00095-00(2382). Consejero Ponente: Álvaro </w:t>
      </w:r>
      <w:proofErr w:type="spellStart"/>
      <w:r w:rsidRPr="00F53495">
        <w:rPr>
          <w:rFonts w:ascii="Arial" w:eastAsia="Arial" w:hAnsi="Arial" w:cs="Arial"/>
          <w:color w:val="000000" w:themeColor="text1"/>
          <w:sz w:val="19"/>
          <w:szCs w:val="19"/>
        </w:rPr>
        <w:t>Namén</w:t>
      </w:r>
      <w:proofErr w:type="spellEnd"/>
      <w:r w:rsidRPr="00F53495">
        <w:rPr>
          <w:rFonts w:ascii="Arial" w:eastAsia="Arial" w:hAnsi="Arial" w:cs="Arial"/>
          <w:color w:val="000000" w:themeColor="text1"/>
          <w:sz w:val="19"/>
          <w:szCs w:val="19"/>
        </w:rPr>
        <w:t xml:space="preserve"> Vargas.</w:t>
      </w:r>
    </w:p>
    <w:p w14:paraId="42BC335C" w14:textId="77777777" w:rsidR="002405CC" w:rsidRPr="00F53495" w:rsidRDefault="002405CC" w:rsidP="00F53495">
      <w:pPr>
        <w:shd w:val="clear" w:color="auto" w:fill="FFFFFF"/>
        <w:spacing w:after="0" w:line="240" w:lineRule="auto"/>
        <w:ind w:firstLine="709"/>
        <w:rPr>
          <w:rFonts w:ascii="Arial" w:eastAsia="Arial" w:hAnsi="Arial" w:cs="Arial"/>
          <w:color w:val="000000" w:themeColor="text1"/>
          <w:sz w:val="19"/>
          <w:szCs w:val="19"/>
        </w:rPr>
      </w:pPr>
    </w:p>
  </w:footnote>
  <w:footnote w:id="19">
    <w:p w14:paraId="490B234B" w14:textId="77777777" w:rsidR="002405CC" w:rsidRPr="00F53495" w:rsidRDefault="002405CC"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Consejo de Estado. Sala de Consulta y Servicio Civil. Concepto del 08 de mayo de 2018. </w:t>
      </w:r>
      <w:proofErr w:type="spellStart"/>
      <w:r w:rsidRPr="00F53495">
        <w:rPr>
          <w:rFonts w:ascii="Arial" w:eastAsia="Arial" w:hAnsi="Arial" w:cs="Arial"/>
          <w:color w:val="000000" w:themeColor="text1"/>
          <w:sz w:val="19"/>
          <w:szCs w:val="19"/>
        </w:rPr>
        <w:t>Exp</w:t>
      </w:r>
      <w:proofErr w:type="spellEnd"/>
      <w:r w:rsidRPr="00F53495">
        <w:rPr>
          <w:rFonts w:ascii="Arial" w:eastAsia="Arial" w:hAnsi="Arial" w:cs="Arial"/>
          <w:color w:val="000000" w:themeColor="text1"/>
          <w:sz w:val="19"/>
          <w:szCs w:val="19"/>
        </w:rPr>
        <w:t xml:space="preserve">. 2.382. C.P. Álvaro </w:t>
      </w:r>
      <w:proofErr w:type="spellStart"/>
      <w:r w:rsidRPr="00F53495">
        <w:rPr>
          <w:rFonts w:ascii="Arial" w:eastAsia="Arial" w:hAnsi="Arial" w:cs="Arial"/>
          <w:color w:val="000000" w:themeColor="text1"/>
          <w:sz w:val="19"/>
          <w:szCs w:val="19"/>
        </w:rPr>
        <w:t>Namén</w:t>
      </w:r>
      <w:proofErr w:type="spellEnd"/>
      <w:r w:rsidRPr="00F53495">
        <w:rPr>
          <w:rFonts w:ascii="Arial" w:eastAsia="Arial" w:hAnsi="Arial" w:cs="Arial"/>
          <w:color w:val="000000" w:themeColor="text1"/>
          <w:sz w:val="19"/>
          <w:szCs w:val="19"/>
        </w:rPr>
        <w:t xml:space="preserve"> Vargas.</w:t>
      </w:r>
    </w:p>
  </w:footnote>
  <w:footnote w:id="20">
    <w:p w14:paraId="4B55CA0A" w14:textId="77777777" w:rsidR="002405CC" w:rsidRPr="00F53495" w:rsidRDefault="002405CC"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La Corte Constitucional mediante Sentencia C-1153-05 de 11 de noviembre de 2005, Magistrado Ponente Marco Gerardo Monroy Cabra, efectuó el Control constitucional al Proyecto de Ley Estatutaria </w:t>
      </w:r>
      <w:proofErr w:type="spellStart"/>
      <w:r w:rsidRPr="00F53495">
        <w:rPr>
          <w:rFonts w:ascii="Arial" w:eastAsia="Arial" w:hAnsi="Arial" w:cs="Arial"/>
          <w:color w:val="000000" w:themeColor="text1"/>
          <w:sz w:val="19"/>
          <w:szCs w:val="19"/>
        </w:rPr>
        <w:t>N°</w:t>
      </w:r>
      <w:proofErr w:type="spellEnd"/>
      <w:r w:rsidRPr="00F53495">
        <w:rPr>
          <w:rFonts w:ascii="Arial" w:eastAsia="Arial" w:hAnsi="Arial" w:cs="Arial"/>
          <w:color w:val="000000" w:themeColor="text1"/>
          <w:sz w:val="19"/>
          <w:szCs w:val="19"/>
        </w:rPr>
        <w:t xml:space="preserve"> 216/05 Senado, </w:t>
      </w:r>
      <w:proofErr w:type="spellStart"/>
      <w:r w:rsidRPr="00F53495">
        <w:rPr>
          <w:rFonts w:ascii="Arial" w:eastAsia="Arial" w:hAnsi="Arial" w:cs="Arial"/>
          <w:color w:val="000000" w:themeColor="text1"/>
          <w:sz w:val="19"/>
          <w:szCs w:val="19"/>
        </w:rPr>
        <w:t>N°</w:t>
      </w:r>
      <w:proofErr w:type="spellEnd"/>
      <w:r w:rsidRPr="00F53495">
        <w:rPr>
          <w:rFonts w:ascii="Arial" w:eastAsia="Arial" w:hAnsi="Arial" w:cs="Arial"/>
          <w:color w:val="000000" w:themeColor="text1"/>
          <w:sz w:val="19"/>
          <w:szCs w:val="19"/>
        </w:rPr>
        <w:t xml:space="preserve"> 235-Cámara que dio lugar a la Ley de Garantías Electorales.</w:t>
      </w:r>
    </w:p>
  </w:footnote>
  <w:footnote w:id="21">
    <w:p w14:paraId="3534BAA6" w14:textId="77777777" w:rsidR="002405CC" w:rsidRPr="00F53495" w:rsidRDefault="002405CC" w:rsidP="00F53495">
      <w:pP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Consejo de Estado. Sala de Consulta y Servicio Civil. Concepto de 20 de febrero de 2006. Radicación Número: 11001-03-06-000-2006-00026-00(1727). Consejero Ponente: Enrique José Arboleda Perdomo. Conceptuó que para las entidades que contratan por el derecho privado, estaba prohibida la contratación diferente de la licitación pública regulada por el código de comercio, criterio que luego se extendió para aquellos procesos que, en algunos sistemas de contratación utilizados por entidades públicas con regímenes especiales y establecidos en sus manuales de contratación, utilicen convocatoria de manera pública y se permita la participación de una pluralidad de oferentes.</w:t>
      </w:r>
    </w:p>
    <w:p w14:paraId="42E9440D" w14:textId="77777777" w:rsidR="002405CC" w:rsidRPr="00F53495" w:rsidRDefault="002405CC" w:rsidP="00F53495">
      <w:pPr>
        <w:spacing w:after="0" w:line="240" w:lineRule="auto"/>
        <w:ind w:firstLine="709"/>
        <w:rPr>
          <w:rFonts w:ascii="Arial" w:eastAsia="Arial" w:hAnsi="Arial" w:cs="Arial"/>
          <w:color w:val="000000" w:themeColor="text1"/>
          <w:sz w:val="19"/>
          <w:szCs w:val="19"/>
        </w:rPr>
      </w:pPr>
    </w:p>
  </w:footnote>
  <w:footnote w:id="22">
    <w:p w14:paraId="09E48716" w14:textId="77777777" w:rsidR="002405CC" w:rsidRPr="00F53495" w:rsidRDefault="002405CC" w:rsidP="00F53495">
      <w:pPr>
        <w:pBdr>
          <w:top w:val="nil"/>
          <w:left w:val="nil"/>
          <w:bottom w:val="nil"/>
          <w:right w:val="nil"/>
          <w:between w:val="nil"/>
        </w:pBdr>
        <w:spacing w:after="0" w:line="240" w:lineRule="auto"/>
        <w:ind w:firstLine="709"/>
        <w:rPr>
          <w:rFonts w:ascii="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Consejo de Estado. Sala de Consulta y Servicio Civil. Concepto de 6 de abril de 2006. Radicación Número: 11001-03-06-000-2006-00038-00(1738). Consejero Ponente: Enrique José Arboleda Perdomo: «Si bien en el tema del concepto del que se extractaron los párrafos transcritos, se hacía referencia a las empresas de servicios públicos domiciliarios mixtas, la explicación dada cobija también a las empresas industriales y comerciales del estado y a las de crédito, pues todas ellas hacen parte de la definición de administración pública de la ley 489 de 1998, y además encajan dentro de la noción de todos los entes del Estado que trae la ley 996 de 2005 en el artículo 33, de manera que no es lógico pretender exonerarse de ésta prohibición alegando un régimen especial de los actos o contratos».</w:t>
      </w:r>
    </w:p>
  </w:footnote>
  <w:footnote w:id="23">
    <w:p w14:paraId="1F1EFABC" w14:textId="77777777" w:rsidR="002405CC" w:rsidRPr="00F53495" w:rsidRDefault="002405CC" w:rsidP="00F53495">
      <w:pPr>
        <w:pBdr>
          <w:top w:val="nil"/>
          <w:left w:val="nil"/>
          <w:bottom w:val="nil"/>
          <w:right w:val="nil"/>
          <w:between w:val="nil"/>
        </w:pBdr>
        <w:spacing w:after="0" w:line="240" w:lineRule="auto"/>
        <w:ind w:firstLine="709"/>
        <w:rPr>
          <w:rFonts w:ascii="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Consejo de Estado. Sala de Consulta y Servicio Civil. Concepto de 6 de abril de 2006. Radicación Número: 11001-03-06-000-2006-00038-00(1738). Consejero Ponente: Enrique José Arboleda Perdomo.</w:t>
      </w:r>
    </w:p>
    <w:p w14:paraId="0285CA6E" w14:textId="77777777" w:rsidR="002405CC" w:rsidRPr="00F53495" w:rsidRDefault="002405CC" w:rsidP="00F53495">
      <w:pPr>
        <w:pBdr>
          <w:top w:val="nil"/>
          <w:left w:val="nil"/>
          <w:bottom w:val="nil"/>
          <w:right w:val="nil"/>
          <w:between w:val="nil"/>
        </w:pBdr>
        <w:spacing w:after="0" w:line="240" w:lineRule="auto"/>
        <w:ind w:firstLine="709"/>
        <w:rPr>
          <w:rFonts w:ascii="Arial" w:hAnsi="Arial" w:cs="Arial"/>
          <w:color w:val="000000" w:themeColor="text1"/>
          <w:sz w:val="19"/>
          <w:szCs w:val="19"/>
        </w:rPr>
      </w:pPr>
    </w:p>
  </w:footnote>
  <w:footnote w:id="24">
    <w:p w14:paraId="61B3800D" w14:textId="77777777" w:rsidR="002405CC" w:rsidRPr="00F53495" w:rsidRDefault="002405CC" w:rsidP="00F53495">
      <w:pPr>
        <w:pBdr>
          <w:top w:val="nil"/>
          <w:left w:val="nil"/>
          <w:bottom w:val="nil"/>
          <w:right w:val="nil"/>
          <w:between w:val="nil"/>
        </w:pBdr>
        <w:spacing w:after="0" w:line="240" w:lineRule="auto"/>
        <w:ind w:firstLine="709"/>
        <w:rPr>
          <w:rFonts w:ascii="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Consejo de Estado. Sala de Consulta y Servicio Civil, ídem.</w:t>
      </w:r>
    </w:p>
  </w:footnote>
  <w:footnote w:id="25">
    <w:p w14:paraId="1A91BDE0" w14:textId="77777777" w:rsidR="009E3AC0" w:rsidRPr="00F53495" w:rsidRDefault="002B7867"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Consejo de Estado. Sala de Consulta y Servicio Civil. Concepto de 20 de febrero de2006. Radicación 11001-03-06-000-2006-00023-00(1724). Consejero Ponente: Flavio Augusto Rodríguez Arce.</w:t>
      </w:r>
    </w:p>
    <w:p w14:paraId="642DF7F7" w14:textId="77777777" w:rsidR="009E3AC0" w:rsidRPr="00F53495" w:rsidRDefault="009E3AC0"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p>
  </w:footnote>
  <w:footnote w:id="26">
    <w:p w14:paraId="528EA468" w14:textId="77777777" w:rsidR="009E3AC0" w:rsidRPr="00F53495" w:rsidRDefault="002B7867" w:rsidP="00F53495">
      <w:pP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Decreto 1082 de 2015: «Artículo 2.2.1.2.1.4.4. Convenios o contratos interadministrativos. La modalidad de selección para la contratación entre Entidades Estatales es la contratación directa; y en consecuencia, le es aplicable lo establecido en el artículo 2.2.1.2.1.4.1 del presente decreto.</w:t>
      </w:r>
    </w:p>
    <w:p w14:paraId="45461647" w14:textId="77777777" w:rsidR="009E3AC0" w:rsidRPr="00F53495" w:rsidRDefault="002B7867" w:rsidP="00F53495">
      <w:pPr>
        <w:spacing w:after="0" w:line="240" w:lineRule="auto"/>
        <w:ind w:firstLine="709"/>
        <w:rPr>
          <w:rFonts w:ascii="Arial" w:eastAsia="Arial" w:hAnsi="Arial" w:cs="Arial"/>
          <w:color w:val="000000" w:themeColor="text1"/>
          <w:sz w:val="19"/>
          <w:szCs w:val="19"/>
        </w:rPr>
      </w:pPr>
      <w:r w:rsidRPr="00F53495">
        <w:rPr>
          <w:rFonts w:ascii="Arial" w:eastAsia="Arial" w:hAnsi="Arial" w:cs="Arial"/>
          <w:color w:val="000000" w:themeColor="text1"/>
          <w:sz w:val="19"/>
          <w:szCs w:val="19"/>
        </w:rPr>
        <w:t>»Cuando la totalidad del presupuesto de una Entidad Estatal hace parte del presupuesto de otra con ocasión de un convenio o contrato interadministrativo, el monto del presupuesto de la primera deberá deducirse del presupuesto de la segunda para determinar la capacidad contractual de las Entidades Estatales».</w:t>
      </w:r>
    </w:p>
  </w:footnote>
  <w:footnote w:id="27">
    <w:p w14:paraId="2CD17C3C" w14:textId="77777777" w:rsidR="009E3AC0" w:rsidRPr="00F53495" w:rsidRDefault="002B7867" w:rsidP="00F53495">
      <w:pP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Ley 1150 de 2007: «Artículo 2, numeral 4, literal c. […] Se exceptúan los contratos de obra, suministro, prestación de servicios de evaluación de conformidad respecto de las normas o reglamentos técnicos, encargos fiduciarios y fiducia pública cuando las instituciones de educación superior públicas o las Sociedades de Economía Mixta con participación mayoritaria del Estado, o las personas jurídicas sin ánimo de lucro conformadas por la asociación de entidades públicas, o las federaciones de entidades territoriales sean las ejecutoras. Estos contratos podrán ser ejecutados por las mismas, siempre que participen en procesos de licitación pública o contratación abreviada de acuerdo con lo dispuesto por los numerales 1 y 2 del presente artículo».</w:t>
      </w:r>
    </w:p>
    <w:p w14:paraId="7B97C67C" w14:textId="77777777" w:rsidR="009E3AC0" w:rsidRPr="00F53495" w:rsidRDefault="009E3AC0" w:rsidP="00F53495">
      <w:pPr>
        <w:spacing w:after="0" w:line="240" w:lineRule="auto"/>
        <w:ind w:firstLine="709"/>
        <w:rPr>
          <w:rFonts w:ascii="Arial" w:eastAsia="Arial" w:hAnsi="Arial" w:cs="Arial"/>
          <w:color w:val="000000" w:themeColor="text1"/>
          <w:sz w:val="19"/>
          <w:szCs w:val="19"/>
        </w:rPr>
      </w:pPr>
    </w:p>
  </w:footnote>
  <w:footnote w:id="28">
    <w:p w14:paraId="08A68833" w14:textId="77777777" w:rsidR="009E3AC0" w:rsidRPr="00F53495" w:rsidRDefault="002B7867" w:rsidP="00F53495">
      <w:pPr>
        <w:spacing w:after="0" w:line="240" w:lineRule="auto"/>
        <w:ind w:firstLine="709"/>
        <w:rPr>
          <w:rFonts w:ascii="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vertAlign w:val="superscript"/>
        </w:rPr>
        <w:t xml:space="preserve"> </w:t>
      </w:r>
      <w:r w:rsidRPr="00F53495">
        <w:rPr>
          <w:rFonts w:ascii="Arial" w:eastAsia="Arial" w:hAnsi="Arial" w:cs="Arial"/>
          <w:color w:val="000000" w:themeColor="text1"/>
          <w:sz w:val="19"/>
          <w:szCs w:val="19"/>
        </w:rPr>
        <w:t>Consejo de Estado. Sección Tercera. Sentencia del 23 de junio de 2010. Radicación No. 66001-23-31-000-1998-00261-01(17.860). Consejero Ponente: Mauricio Fajardo Gómez.</w:t>
      </w:r>
    </w:p>
    <w:p w14:paraId="77C3B775" w14:textId="77777777" w:rsidR="009E3AC0" w:rsidRPr="00F53495" w:rsidRDefault="009E3AC0"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p>
  </w:footnote>
  <w:footnote w:id="29">
    <w:p w14:paraId="2A6206C8" w14:textId="77777777" w:rsidR="009E3AC0" w:rsidRPr="00F53495" w:rsidRDefault="002B7867" w:rsidP="00F53495">
      <w:pP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Consejo de Estado. Sección Tercera. Subsección C. Sentencia del 11 de diciembre de 2019. </w:t>
      </w:r>
      <w:proofErr w:type="spellStart"/>
      <w:r w:rsidRPr="00F53495">
        <w:rPr>
          <w:rFonts w:ascii="Arial" w:eastAsia="Arial" w:hAnsi="Arial" w:cs="Arial"/>
          <w:color w:val="000000" w:themeColor="text1"/>
          <w:sz w:val="19"/>
          <w:szCs w:val="19"/>
        </w:rPr>
        <w:t>Exp</w:t>
      </w:r>
      <w:proofErr w:type="spellEnd"/>
      <w:r w:rsidRPr="00F53495">
        <w:rPr>
          <w:rFonts w:ascii="Arial" w:eastAsia="Arial" w:hAnsi="Arial" w:cs="Arial"/>
          <w:color w:val="000000" w:themeColor="text1"/>
          <w:sz w:val="19"/>
          <w:szCs w:val="19"/>
        </w:rPr>
        <w:t>. 46.986. C.P. Jaime Enrique Rodríguez Navas.</w:t>
      </w:r>
    </w:p>
  </w:footnote>
  <w:footnote w:id="30">
    <w:p w14:paraId="0DAAE320" w14:textId="77777777" w:rsidR="009E3AC0" w:rsidRPr="00F53495" w:rsidRDefault="002B7867"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[Referencia propia de la cita] «CE. SCSC. Concepto de 1 de noviembre de 2016 [Rad. 11001-03-06-000-2016-00125-00(2305)]. MP. Germán Alberto Bula Escobar».</w:t>
      </w:r>
    </w:p>
  </w:footnote>
  <w:footnote w:id="31">
    <w:p w14:paraId="6FD80C80" w14:textId="77777777" w:rsidR="009E3AC0" w:rsidRPr="00F53495" w:rsidRDefault="002B7867"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[Referencia propia de la cita] «CE. SCSC. Concepto de 30 de abril de 2008 [Rad. 11001-03-06-000-2008-00013-00(1881)]. MP. Enrique José Arboleda Perdomo. En esta oportunidad, la Sala indicó que el contenido </w:t>
      </w:r>
      <w:r w:rsidRPr="00F53495">
        <w:rPr>
          <w:rFonts w:ascii="Arial" w:eastAsia="Arial" w:hAnsi="Arial" w:cs="Arial"/>
          <w:i/>
          <w:color w:val="000000" w:themeColor="text1"/>
          <w:sz w:val="19"/>
          <w:szCs w:val="19"/>
        </w:rPr>
        <w:t>“obligacional”</w:t>
      </w:r>
      <w:r w:rsidRPr="00F53495">
        <w:rPr>
          <w:rFonts w:ascii="Arial" w:eastAsia="Arial" w:hAnsi="Arial" w:cs="Arial"/>
          <w:color w:val="000000" w:themeColor="text1"/>
          <w:sz w:val="19"/>
          <w:szCs w:val="19"/>
        </w:rPr>
        <w:t xml:space="preserve"> de los convenios se estructura definiendo el resultado querido por las partes y los medios que cada entidad despliega para la obtención del respectivo objeto».</w:t>
      </w:r>
    </w:p>
  </w:footnote>
  <w:footnote w:id="32">
    <w:p w14:paraId="4E648E73" w14:textId="77777777" w:rsidR="009E3AC0" w:rsidRPr="00F53495" w:rsidRDefault="002B7867"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[Referencia propia de la cita] «La normativa vigente del EGCAP </w:t>
      </w:r>
      <w:r w:rsidRPr="00F53495">
        <w:rPr>
          <w:rFonts w:ascii="Arial" w:eastAsia="Arial" w:hAnsi="Arial" w:cs="Arial"/>
          <w:i/>
          <w:color w:val="000000" w:themeColor="text1"/>
          <w:sz w:val="19"/>
          <w:szCs w:val="19"/>
        </w:rPr>
        <w:t>[literal c) del numeral 4. del artículo 2 de la Ley 1150/07]</w:t>
      </w:r>
      <w:r w:rsidRPr="00F53495">
        <w:rPr>
          <w:rFonts w:ascii="Arial" w:eastAsia="Arial" w:hAnsi="Arial" w:cs="Arial"/>
          <w:color w:val="000000" w:themeColor="text1"/>
          <w:sz w:val="19"/>
          <w:szCs w:val="19"/>
        </w:rPr>
        <w:t xml:space="preserve"> se refiere a </w:t>
      </w:r>
      <w:r w:rsidRPr="00F53495">
        <w:rPr>
          <w:rFonts w:ascii="Arial" w:eastAsia="Arial" w:hAnsi="Arial" w:cs="Arial"/>
          <w:i/>
          <w:color w:val="000000" w:themeColor="text1"/>
          <w:sz w:val="19"/>
          <w:szCs w:val="19"/>
        </w:rPr>
        <w:t>“contratos interadministrativos”</w:t>
      </w:r>
      <w:r w:rsidRPr="00F53495">
        <w:rPr>
          <w:rFonts w:ascii="Arial" w:eastAsia="Arial" w:hAnsi="Arial" w:cs="Arial"/>
          <w:color w:val="000000" w:themeColor="text1"/>
          <w:sz w:val="19"/>
          <w:szCs w:val="19"/>
        </w:rPr>
        <w:t xml:space="preserve"> en los que sí existe dicha contraposición de intereses, lo cual obedece a que las relaciones obligatorias que estos plantean, a diferencia de los regulados por el artículo 95 de la Ley 489/98, carecen de la finalidad asociativa, en la medida en que persiguen preponderantemente la satisfacción de necesidades contractuales de las entidades estatales, sin perjuicio de los fines que motivan la contratación en los términos del artículo 3 de la Ley 80/93».</w:t>
      </w:r>
    </w:p>
  </w:footnote>
  <w:footnote w:id="33">
    <w:p w14:paraId="02B9A6AD" w14:textId="77777777" w:rsidR="009E3AC0" w:rsidRPr="00F53495" w:rsidRDefault="002B7867"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En línea con lo anterior, la Sala de Consulta y Servicio Civil del Consejo de Estado expresó lo siguiente: «La noción convenio interadministrativo es diferente a la de contrato interadministrativo. Los contratos interadministrativos se distinguen de los convenios interadministrativos en que en los primeros existe entre las entidades estatales partes intereses opuestos y se persigue una contraprestación o precio por la adquisición de bienes o la prestación de servicios o la realización de una obra, mientras que en los segundos las entidades partes se encuentran en pie de igualdad, tienen intereses comunes para lograr una finalidad estatal impuesta por la Constitución o la ley a las mismas, sin que tengan un interés puramente económico (es decir, destinados a obtener una ganancia)». (Consejo de Estado. Sala de Consulta y Servicio Civil. Concepto 26 de julio de 2016. </w:t>
      </w:r>
      <w:proofErr w:type="spellStart"/>
      <w:r w:rsidRPr="00F53495">
        <w:rPr>
          <w:rFonts w:ascii="Arial" w:eastAsia="Arial" w:hAnsi="Arial" w:cs="Arial"/>
          <w:color w:val="000000" w:themeColor="text1"/>
          <w:sz w:val="19"/>
          <w:szCs w:val="19"/>
        </w:rPr>
        <w:t>Exp</w:t>
      </w:r>
      <w:proofErr w:type="spellEnd"/>
      <w:r w:rsidRPr="00F53495">
        <w:rPr>
          <w:rFonts w:ascii="Arial" w:eastAsia="Arial" w:hAnsi="Arial" w:cs="Arial"/>
          <w:color w:val="000000" w:themeColor="text1"/>
          <w:sz w:val="19"/>
          <w:szCs w:val="19"/>
        </w:rPr>
        <w:t xml:space="preserve">. 2.257. M.P. Álvaro </w:t>
      </w:r>
      <w:proofErr w:type="spellStart"/>
      <w:r w:rsidRPr="00F53495">
        <w:rPr>
          <w:rFonts w:ascii="Arial" w:eastAsia="Arial" w:hAnsi="Arial" w:cs="Arial"/>
          <w:color w:val="000000" w:themeColor="text1"/>
          <w:sz w:val="19"/>
          <w:szCs w:val="19"/>
        </w:rPr>
        <w:t>Namén</w:t>
      </w:r>
      <w:proofErr w:type="spellEnd"/>
      <w:r w:rsidRPr="00F53495">
        <w:rPr>
          <w:rFonts w:ascii="Arial" w:eastAsia="Arial" w:hAnsi="Arial" w:cs="Arial"/>
          <w:color w:val="000000" w:themeColor="text1"/>
          <w:sz w:val="19"/>
          <w:szCs w:val="19"/>
        </w:rPr>
        <w:t xml:space="preserve"> Vargas).</w:t>
      </w:r>
    </w:p>
    <w:p w14:paraId="273BE69C" w14:textId="77777777" w:rsidR="009E3AC0" w:rsidRPr="00F53495" w:rsidRDefault="009E3AC0"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p>
  </w:footnote>
  <w:footnote w:id="34">
    <w:p w14:paraId="400AA526" w14:textId="77777777" w:rsidR="009E3AC0" w:rsidRPr="00F53495" w:rsidRDefault="002B7867"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Es lo que sucede, por ejemplo, con el Decreto 092 de 2017, que en su desarrollo hace referencia tanto a los «contratos» como a los «convenios». </w:t>
      </w:r>
    </w:p>
    <w:p w14:paraId="736E6F4E" w14:textId="77777777" w:rsidR="009E3AC0" w:rsidRPr="00F53495" w:rsidRDefault="009E3AC0"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p>
  </w:footnote>
  <w:footnote w:id="35">
    <w:p w14:paraId="6EB0EEA1" w14:textId="77777777" w:rsidR="009E3AC0" w:rsidRPr="00F53495" w:rsidRDefault="002B7867"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A pesar de que la norma se refiere únicamente a los contratos interadministrativos, esto no implica que la excepción a la licitación pública sólo se aplique a éstos y no a los convenios interadministrativos, puesto que ello conduciría a una interpretación irrazonable según la cual esta modalidad contractual, cuyo objeto y finalidad sólo interesa a la administración, deba ser celebrado siguiendo el procedimiento de selección objetiva y en la cual únicamente será proponente aquélla. En tal sentido, la causal de contratación directa es aplicable a los convenios y a los contratos interadministrativos». (Corte Constitucional. Sentencia C-671 de 2015. M.P. Alberto Rojas Ríos).</w:t>
      </w:r>
    </w:p>
  </w:footnote>
  <w:footnote w:id="36">
    <w:p w14:paraId="67DDDB16" w14:textId="77777777" w:rsidR="009E3AC0" w:rsidRPr="00F53495" w:rsidRDefault="002B7867"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Consejo de Estado. Sala de Consulta y Servicio Civil. Concepto del 15 de noviembre de 2007. Expediente número 1863. Consejero Ponente: Luis Fernando Álvarez Jaramillo.</w:t>
      </w:r>
    </w:p>
    <w:p w14:paraId="452ABCEC" w14:textId="77777777" w:rsidR="009E3AC0" w:rsidRPr="00F53495" w:rsidRDefault="009E3AC0"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p>
  </w:footnote>
  <w:footnote w:id="37">
    <w:p w14:paraId="1B4F6E9C" w14:textId="77777777" w:rsidR="00DD2D6F" w:rsidRPr="00F53495" w:rsidRDefault="00DD2D6F" w:rsidP="00F53495">
      <w:pPr>
        <w:pBdr>
          <w:top w:val="nil"/>
          <w:left w:val="nil"/>
          <w:bottom w:val="nil"/>
          <w:right w:val="nil"/>
          <w:between w:val="nil"/>
        </w:pBdr>
        <w:spacing w:after="0" w:line="240" w:lineRule="auto"/>
        <w:ind w:firstLine="707"/>
        <w:rPr>
          <w:rFonts w:ascii="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hAnsi="Arial" w:cs="Arial"/>
          <w:color w:val="000000" w:themeColor="text1"/>
          <w:sz w:val="19"/>
          <w:szCs w:val="19"/>
        </w:rPr>
        <w:t xml:space="preserve"> Para mayor claridad se remite al peticionario a los conceptos indicados, los cuales se pueden descargan en la relatoría de los concepto de la Agencia Nacional de Contratación Pública – Colombia Compra Eficiente, disponibles en el siguiente enlace: </w:t>
      </w:r>
      <w:hyperlink r:id="rId1" w:history="1">
        <w:r w:rsidRPr="00F53495">
          <w:rPr>
            <w:rFonts w:ascii="Arial" w:hAnsi="Arial" w:cs="Arial"/>
            <w:color w:val="000000" w:themeColor="text1"/>
            <w:sz w:val="19"/>
            <w:szCs w:val="19"/>
          </w:rPr>
          <w:t>https://relatoria.colombiacompra.gov.co/busqueda/conceptos</w:t>
        </w:r>
      </w:hyperlink>
      <w:r w:rsidRPr="00F53495">
        <w:rPr>
          <w:rFonts w:ascii="Arial" w:hAnsi="Arial" w:cs="Arial"/>
          <w:color w:val="000000" w:themeColor="text1"/>
          <w:sz w:val="19"/>
          <w:szCs w:val="19"/>
        </w:rPr>
        <w:t xml:space="preserve"> </w:t>
      </w:r>
    </w:p>
    <w:p w14:paraId="51530FB1" w14:textId="77777777" w:rsidR="00DD2D6F" w:rsidRPr="00F53495" w:rsidRDefault="00DD2D6F" w:rsidP="00F53495">
      <w:pPr>
        <w:pBdr>
          <w:top w:val="nil"/>
          <w:left w:val="nil"/>
          <w:bottom w:val="nil"/>
          <w:right w:val="nil"/>
          <w:between w:val="nil"/>
        </w:pBdr>
        <w:spacing w:after="0" w:line="240" w:lineRule="auto"/>
        <w:rPr>
          <w:rFonts w:ascii="Arial" w:hAnsi="Arial" w:cs="Arial"/>
          <w:color w:val="000000" w:themeColor="text1"/>
          <w:sz w:val="19"/>
          <w:szCs w:val="19"/>
        </w:rPr>
      </w:pPr>
    </w:p>
  </w:footnote>
  <w:footnote w:id="38">
    <w:p w14:paraId="7A8DDBE7" w14:textId="77777777" w:rsidR="00DD2D6F" w:rsidRPr="00F53495" w:rsidRDefault="00DD2D6F" w:rsidP="00885D10">
      <w:pPr>
        <w:spacing w:after="0" w:line="244" w:lineRule="auto"/>
        <w:ind w:firstLine="707"/>
        <w:rPr>
          <w:rFonts w:ascii="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hAnsi="Arial" w:cs="Arial"/>
          <w:color w:val="000000" w:themeColor="text1"/>
          <w:sz w:val="19"/>
          <w:szCs w:val="19"/>
        </w:rPr>
        <w:t xml:space="preserve"> Ara Pinilla, I., Presupuestos y posibilidades de la doctrina de los conceptos jurídicos indeterminados</w:t>
      </w:r>
      <w:r w:rsidRPr="00F53495">
        <w:rPr>
          <w:rFonts w:ascii="Arial" w:eastAsia="Arial" w:hAnsi="Arial" w:cs="Arial"/>
          <w:color w:val="000000" w:themeColor="text1"/>
          <w:sz w:val="19"/>
          <w:szCs w:val="19"/>
        </w:rPr>
        <w:t>.</w:t>
      </w:r>
      <w:r w:rsidRPr="00F53495">
        <w:rPr>
          <w:rFonts w:ascii="Arial" w:hAnsi="Arial" w:cs="Arial"/>
          <w:color w:val="000000" w:themeColor="text1"/>
          <w:sz w:val="19"/>
          <w:szCs w:val="19"/>
        </w:rPr>
        <w:t xml:space="preserve"> Revista crítica de derecho administrativo, 90/2014, p. 112. </w:t>
      </w:r>
      <w:r w:rsidRPr="00F53495">
        <w:rPr>
          <w:rFonts w:ascii="Arial" w:eastAsia="Arial" w:hAnsi="Arial" w:cs="Arial"/>
          <w:color w:val="000000" w:themeColor="text1"/>
          <w:sz w:val="19"/>
          <w:szCs w:val="19"/>
        </w:rPr>
        <w:t>«L</w:t>
      </w:r>
      <w:r w:rsidRPr="00F53495">
        <w:rPr>
          <w:rFonts w:ascii="Arial" w:hAnsi="Arial" w:cs="Arial"/>
          <w:color w:val="000000" w:themeColor="text1"/>
          <w:sz w:val="19"/>
          <w:szCs w:val="19"/>
        </w:rPr>
        <w:t>os conceptos jurídicos indeterminados no son sino términos jurídicos abiertos que han de ser precisados en los actos de aplicación del derecho que los contiene y, por consiguiente, perfilados por un operador jurídico que es distinto al de su creación</w:t>
      </w:r>
      <w:r w:rsidRPr="00F53495">
        <w:rPr>
          <w:rFonts w:ascii="Arial" w:eastAsia="Arial" w:hAnsi="Arial" w:cs="Arial"/>
          <w:color w:val="000000" w:themeColor="text1"/>
          <w:sz w:val="19"/>
          <w:szCs w:val="19"/>
        </w:rPr>
        <w:t>»</w:t>
      </w:r>
      <w:r w:rsidRPr="00F53495">
        <w:rPr>
          <w:rFonts w:ascii="Arial" w:hAnsi="Arial" w:cs="Arial"/>
          <w:color w:val="000000" w:themeColor="text1"/>
          <w:sz w:val="19"/>
          <w:szCs w:val="19"/>
        </w:rPr>
        <w:t>.</w:t>
      </w:r>
    </w:p>
  </w:footnote>
  <w:footnote w:id="39">
    <w:p w14:paraId="2F3A2E9F" w14:textId="77777777" w:rsidR="00DD2D6F" w:rsidRPr="00F53495" w:rsidRDefault="00DD2D6F" w:rsidP="00885D10">
      <w:pPr>
        <w:pBdr>
          <w:top w:val="nil"/>
          <w:left w:val="nil"/>
          <w:bottom w:val="nil"/>
          <w:right w:val="nil"/>
          <w:between w:val="nil"/>
        </w:pBdr>
        <w:spacing w:after="0" w:line="240" w:lineRule="auto"/>
        <w:ind w:firstLine="707"/>
        <w:rPr>
          <w:rFonts w:ascii="Arial" w:eastAsia="Cambria"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Cambria" w:hAnsi="Arial" w:cs="Arial"/>
          <w:color w:val="000000" w:themeColor="text1"/>
          <w:sz w:val="19"/>
          <w:szCs w:val="19"/>
        </w:rPr>
        <w:t xml:space="preserve"> Corte Constitucional. Sala Plena. Magistrado Ponente: Mauricio González Cuervo. Sentencia C-435 de 10 de julio de 2010.</w:t>
      </w:r>
      <w:r w:rsidRPr="00F53495">
        <w:rPr>
          <w:rFonts w:ascii="Arial" w:eastAsia="Arial" w:hAnsi="Arial" w:cs="Arial"/>
          <w:color w:val="000000" w:themeColor="text1"/>
          <w:sz w:val="19"/>
          <w:szCs w:val="19"/>
        </w:rPr>
        <w:t xml:space="preserve"> </w:t>
      </w:r>
      <w:r w:rsidRPr="00F53495">
        <w:rPr>
          <w:rFonts w:ascii="Arial" w:eastAsia="Cambria" w:hAnsi="Arial" w:cs="Arial"/>
          <w:color w:val="000000" w:themeColor="text1"/>
          <w:sz w:val="19"/>
          <w:szCs w:val="19"/>
        </w:rPr>
        <w:t>Dichos conceptos son aquellos en los que el sentido para la aplicación de la norma, no se encuentra determinado con exactitud en la ley.</w:t>
      </w:r>
      <w:r w:rsidRPr="00F53495">
        <w:rPr>
          <w:rFonts w:ascii="Arial" w:eastAsia="Arial" w:hAnsi="Arial" w:cs="Arial"/>
          <w:color w:val="000000" w:themeColor="text1"/>
          <w:sz w:val="19"/>
          <w:szCs w:val="19"/>
        </w:rPr>
        <w:t xml:space="preserve"> </w:t>
      </w:r>
      <w:r w:rsidRPr="00F53495">
        <w:rPr>
          <w:rFonts w:ascii="Arial" w:hAnsi="Arial" w:cs="Arial"/>
          <w:color w:val="000000" w:themeColor="text1"/>
          <w:sz w:val="19"/>
          <w:szCs w:val="19"/>
        </w:rPr>
        <w:t>Consejo de Estado. Sala de lo Contencioso Administrativo. Sección Segunda. Subsección A. Consejero Ponente: William Hernández Gómez. Bogotá, D.C., 10 de mayo de 2018. Radicación número: 11001-03-25- 000-2011-00502-00(1.938-11).</w:t>
      </w:r>
      <w:r w:rsidRPr="00F53495">
        <w:rPr>
          <w:rFonts w:ascii="Arial" w:eastAsia="Arial" w:hAnsi="Arial" w:cs="Arial"/>
          <w:color w:val="000000" w:themeColor="text1"/>
          <w:sz w:val="19"/>
          <w:szCs w:val="19"/>
        </w:rPr>
        <w:t xml:space="preserve"> «[…] </w:t>
      </w:r>
      <w:r w:rsidRPr="00F53495">
        <w:rPr>
          <w:rFonts w:ascii="Arial" w:hAnsi="Arial" w:cs="Arial"/>
          <w:color w:val="000000" w:themeColor="text1"/>
          <w:sz w:val="19"/>
          <w:szCs w:val="19"/>
        </w:rPr>
        <w:t>Conviene aclarar que los conceptos jurídicos indeterminados, entendidos como aquellos conceptos de valor o de experiencia utilizados por el legislador, que limitan o restringen el alcance de los derechos y de las obligaciones que asumen los particulares o las autoridades públicas</w:t>
      </w:r>
      <w:r w:rsidRPr="00F53495">
        <w:rPr>
          <w:rFonts w:ascii="Arial" w:eastAsia="Arial" w:hAnsi="Arial" w:cs="Arial"/>
          <w:color w:val="000000" w:themeColor="text1"/>
          <w:sz w:val="19"/>
          <w:szCs w:val="19"/>
        </w:rPr>
        <w:t>»</w:t>
      </w:r>
      <w:r w:rsidRPr="00F53495">
        <w:rPr>
          <w:rFonts w:ascii="Arial" w:hAnsi="Arial" w:cs="Arial"/>
          <w:color w:val="000000" w:themeColor="text1"/>
          <w:sz w:val="19"/>
          <w:szCs w:val="19"/>
        </w:rPr>
        <w:t>.</w:t>
      </w:r>
    </w:p>
    <w:p w14:paraId="661B4D6C" w14:textId="77777777" w:rsidR="00DD2D6F" w:rsidRPr="00F53495" w:rsidRDefault="00DD2D6F" w:rsidP="00F53495">
      <w:pPr>
        <w:pBdr>
          <w:top w:val="nil"/>
          <w:left w:val="nil"/>
          <w:bottom w:val="nil"/>
          <w:right w:val="nil"/>
          <w:between w:val="nil"/>
        </w:pBdr>
        <w:spacing w:after="0" w:line="240" w:lineRule="auto"/>
        <w:rPr>
          <w:rFonts w:ascii="Arial" w:hAnsi="Arial" w:cs="Arial"/>
          <w:color w:val="000000" w:themeColor="text1"/>
          <w:sz w:val="19"/>
          <w:szCs w:val="19"/>
        </w:rPr>
      </w:pPr>
    </w:p>
  </w:footnote>
  <w:footnote w:id="40">
    <w:p w14:paraId="407602E6" w14:textId="77777777" w:rsidR="00DD2D6F" w:rsidRPr="00F53495" w:rsidRDefault="00DD2D6F" w:rsidP="00F53495">
      <w:pPr>
        <w:pBdr>
          <w:top w:val="nil"/>
          <w:left w:val="nil"/>
          <w:bottom w:val="nil"/>
          <w:right w:val="nil"/>
          <w:between w:val="nil"/>
        </w:pBdr>
        <w:spacing w:after="0" w:line="240" w:lineRule="auto"/>
        <w:ind w:firstLine="720"/>
        <w:rPr>
          <w:rFonts w:ascii="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hAnsi="Arial" w:cs="Arial"/>
          <w:color w:val="000000" w:themeColor="text1"/>
          <w:sz w:val="19"/>
          <w:szCs w:val="19"/>
        </w:rPr>
        <w:t xml:space="preserve"> Gaceta 71 de 2005. Proyecto de Ley Número 216 de 2005, </w:t>
      </w:r>
      <w:r w:rsidRPr="00F53495">
        <w:rPr>
          <w:rFonts w:ascii="Arial" w:eastAsia="Arial" w:hAnsi="Arial" w:cs="Arial"/>
          <w:color w:val="000000" w:themeColor="text1"/>
          <w:sz w:val="19"/>
          <w:szCs w:val="19"/>
        </w:rPr>
        <w:t>«</w:t>
      </w:r>
      <w:r w:rsidRPr="00F53495">
        <w:rPr>
          <w:rFonts w:ascii="Arial" w:hAnsi="Arial" w:cs="Arial"/>
          <w:color w:val="000000" w:themeColor="text1"/>
          <w:sz w:val="19"/>
          <w:szCs w:val="19"/>
        </w:rPr>
        <w:t>por medio del cual se regula la igualdad entre los candidatos a la Presidencia de la República y las demás materias que establece el Acto Legislativo No. 02 de 2004</w:t>
      </w:r>
      <w:r w:rsidRPr="00F53495">
        <w:rPr>
          <w:rFonts w:ascii="Arial" w:eastAsia="Arial" w:hAnsi="Arial" w:cs="Arial"/>
          <w:color w:val="000000" w:themeColor="text1"/>
          <w:sz w:val="19"/>
          <w:szCs w:val="19"/>
        </w:rPr>
        <w:t>»</w:t>
      </w:r>
      <w:r w:rsidRPr="00F53495">
        <w:rPr>
          <w:rFonts w:ascii="Arial" w:hAnsi="Arial" w:cs="Arial"/>
          <w:color w:val="000000" w:themeColor="text1"/>
          <w:sz w:val="19"/>
          <w:szCs w:val="19"/>
        </w:rPr>
        <w:t xml:space="preserve">. Exposición de motivos: </w:t>
      </w:r>
      <w:r w:rsidRPr="00F53495">
        <w:rPr>
          <w:rFonts w:ascii="Arial" w:eastAsia="Arial" w:hAnsi="Arial" w:cs="Arial"/>
          <w:color w:val="000000" w:themeColor="text1"/>
          <w:sz w:val="19"/>
          <w:szCs w:val="19"/>
        </w:rPr>
        <w:t>«</w:t>
      </w:r>
      <w:r w:rsidRPr="00F53495">
        <w:rPr>
          <w:rFonts w:ascii="Arial" w:hAnsi="Arial" w:cs="Arial"/>
          <w:color w:val="000000" w:themeColor="text1"/>
          <w:sz w:val="19"/>
          <w:szCs w:val="19"/>
        </w:rPr>
        <w:t>Es claro que en una campaña electoral en la cual el Presidente en ejercicio aparezca como candidato, deben ofrecerse todas las garantías de igualdad posibles entre candidatos, y por ello la figura de la reelección presidencial debe ir acompañada de previsiones suficientes que eviten cualquier tipo de arbitrariedad, de ventaja injustificada, de uso irregular de los recursos del Estado en las campañas o falta de garantías en la elección. Y así lo contempla este proyecto de ley estatutaria el cual esperamos sirva de punto de partida para una discusión que deberá buscar el máximo consenso posible entre las fuerzas políticas representadas en el Congreso de la República</w:t>
      </w:r>
      <w:r w:rsidRPr="00F53495">
        <w:rPr>
          <w:rFonts w:ascii="Arial" w:eastAsia="Arial" w:hAnsi="Arial" w:cs="Arial"/>
          <w:color w:val="000000" w:themeColor="text1"/>
          <w:sz w:val="19"/>
          <w:szCs w:val="19"/>
        </w:rPr>
        <w:t>»</w:t>
      </w:r>
      <w:r w:rsidRPr="00F53495">
        <w:rPr>
          <w:rFonts w:ascii="Arial" w:hAnsi="Arial" w:cs="Arial"/>
          <w:color w:val="000000" w:themeColor="text1"/>
          <w:sz w:val="19"/>
          <w:szCs w:val="19"/>
        </w:rPr>
        <w:t>.</w:t>
      </w:r>
    </w:p>
  </w:footnote>
  <w:footnote w:id="41">
    <w:p w14:paraId="0A5A0328" w14:textId="77777777" w:rsidR="00DD2D6F" w:rsidRPr="00F53495" w:rsidRDefault="00DD2D6F" w:rsidP="00885D10">
      <w:pPr>
        <w:spacing w:after="0"/>
        <w:ind w:firstLine="720"/>
        <w:rPr>
          <w:rFonts w:ascii="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hAnsi="Arial" w:cs="Arial"/>
          <w:color w:val="000000" w:themeColor="text1"/>
          <w:sz w:val="19"/>
          <w:szCs w:val="19"/>
        </w:rPr>
        <w:t xml:space="preserve"> Corte Constitucional. Sala Plena. Magistrado Ponente: Alfredo Beltrán Sierra. Sentencia C-183 de 2003. </w:t>
      </w:r>
      <w:r w:rsidRPr="00F53495">
        <w:rPr>
          <w:rFonts w:ascii="Arial" w:eastAsia="Arial" w:hAnsi="Arial" w:cs="Arial"/>
          <w:color w:val="000000" w:themeColor="text1"/>
          <w:sz w:val="19"/>
          <w:szCs w:val="19"/>
        </w:rPr>
        <w:t>«[</w:t>
      </w:r>
      <w:r w:rsidRPr="00F53495">
        <w:rPr>
          <w:rFonts w:ascii="Arial" w:hAnsi="Arial" w:cs="Arial"/>
          <w:color w:val="000000" w:themeColor="text1"/>
          <w:sz w:val="19"/>
          <w:szCs w:val="19"/>
        </w:rPr>
        <w:t>…</w:t>
      </w:r>
      <w:r w:rsidRPr="00F53495">
        <w:rPr>
          <w:rFonts w:ascii="Arial" w:eastAsia="Arial" w:hAnsi="Arial" w:cs="Arial"/>
          <w:color w:val="000000" w:themeColor="text1"/>
          <w:sz w:val="19"/>
          <w:szCs w:val="19"/>
        </w:rPr>
        <w:t xml:space="preserve">] </w:t>
      </w:r>
      <w:r w:rsidRPr="00F53495">
        <w:rPr>
          <w:rFonts w:ascii="Arial" w:hAnsi="Arial" w:cs="Arial"/>
          <w:color w:val="000000" w:themeColor="text1"/>
          <w:sz w:val="19"/>
          <w:szCs w:val="19"/>
        </w:rPr>
        <w:t>Los bienes fiscales o patrimoniales se encuentran destinados a la prestación de servicios públicos que la administración utiliza de forma inmediata, como por ejemplo los edificios en que funcionan las oficinas públicas. Dentro de esta clase de bienes, también se encuentra lo que se denomina bienes fiscales adjudicables, que son aquellos que la Nación puede traspasar a los particulares que cumplan con las exigencias establecidas en la ley, como es el caso de los bienes baldíos</w:t>
      </w:r>
      <w:r w:rsidRPr="00F53495">
        <w:rPr>
          <w:rFonts w:ascii="Arial" w:eastAsia="Arial" w:hAnsi="Arial" w:cs="Arial"/>
          <w:color w:val="000000" w:themeColor="text1"/>
          <w:sz w:val="19"/>
          <w:szCs w:val="19"/>
        </w:rPr>
        <w:t>»</w:t>
      </w:r>
      <w:r w:rsidRPr="00F53495">
        <w:rPr>
          <w:rFonts w:ascii="Arial" w:hAnsi="Arial" w:cs="Arial"/>
          <w:color w:val="000000" w:themeColor="text1"/>
          <w:sz w:val="19"/>
          <w:szCs w:val="19"/>
        </w:rPr>
        <w:t>.</w:t>
      </w:r>
    </w:p>
  </w:footnote>
  <w:footnote w:id="42">
    <w:p w14:paraId="3A37C197" w14:textId="77777777" w:rsidR="00DD2D6F" w:rsidRPr="00F53495" w:rsidRDefault="00DD2D6F" w:rsidP="00885D10">
      <w:pPr>
        <w:spacing w:after="0" w:line="242" w:lineRule="auto"/>
        <w:ind w:firstLine="350"/>
        <w:rPr>
          <w:rFonts w:ascii="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hAnsi="Arial" w:cs="Arial"/>
          <w:color w:val="000000" w:themeColor="text1"/>
          <w:sz w:val="19"/>
          <w:szCs w:val="19"/>
        </w:rPr>
        <w:t xml:space="preserve"> Consejo de Estado. Sección Tercera. </w:t>
      </w:r>
      <w:r w:rsidRPr="00F53495">
        <w:rPr>
          <w:rFonts w:ascii="Arial" w:eastAsia="Arial" w:hAnsi="Arial" w:cs="Arial"/>
          <w:color w:val="000000" w:themeColor="text1"/>
          <w:sz w:val="19"/>
          <w:szCs w:val="19"/>
        </w:rPr>
        <w:t xml:space="preserve">Providencia del 30 de abril de 2012. </w:t>
      </w:r>
      <w:r w:rsidRPr="00F53495">
        <w:rPr>
          <w:rFonts w:ascii="Arial" w:hAnsi="Arial" w:cs="Arial"/>
          <w:color w:val="000000" w:themeColor="text1"/>
          <w:sz w:val="19"/>
          <w:szCs w:val="19"/>
        </w:rPr>
        <w:t xml:space="preserve">Radicación número: 25000-23-26-000-1995-00704-00(21.699). </w:t>
      </w:r>
      <w:r w:rsidRPr="00F53495">
        <w:rPr>
          <w:rFonts w:ascii="Arial" w:eastAsia="Arial" w:hAnsi="Arial" w:cs="Arial"/>
          <w:color w:val="000000" w:themeColor="text1"/>
          <w:sz w:val="19"/>
          <w:szCs w:val="19"/>
        </w:rPr>
        <w:t>M.P. Ruth Stella Correa Palacio. «</w:t>
      </w:r>
      <w:r w:rsidRPr="00F53495">
        <w:rPr>
          <w:rFonts w:ascii="Arial" w:hAnsi="Arial" w:cs="Arial"/>
          <w:color w:val="000000" w:themeColor="text1"/>
          <w:sz w:val="19"/>
          <w:szCs w:val="19"/>
        </w:rPr>
        <w:t>Los bienes fiscales o patrimoniales, son aquellos que pertenecen a sujetos de derecho público de cualquier naturaleza u orden y que, por lo general, están destinados al cumplimiento de las funciones públicas o servicios públicos, tales como los terrenos, edificios, fincas, granjas, equipos, enseres, acciones, rentas y bienes del presupuesto, etc., es decir, afectos al desarrollo de su misión y utilizados para sus actividades, o pueden constituir una reserva patrimonial para fines de utilidad común. Su dominio corresponde a la República, pero su uso no pertenece generalmente a los habitantes, de manera que el Estado los posee y los administra en forma similar a como lo hacen los particulares con los bienes de su propiedad</w:t>
      </w:r>
      <w:r w:rsidRPr="00F53495">
        <w:rPr>
          <w:rFonts w:ascii="Arial" w:eastAsia="Arial" w:hAnsi="Arial" w:cs="Arial"/>
          <w:color w:val="000000" w:themeColor="text1"/>
          <w:sz w:val="19"/>
          <w:szCs w:val="19"/>
        </w:rPr>
        <w:t>»</w:t>
      </w:r>
      <w:r w:rsidRPr="00F53495">
        <w:rPr>
          <w:rFonts w:ascii="Arial" w:hAnsi="Arial" w:cs="Arial"/>
          <w:color w:val="000000" w:themeColor="text1"/>
          <w:sz w:val="19"/>
          <w:szCs w:val="19"/>
        </w:rPr>
        <w:t>.</w:t>
      </w:r>
    </w:p>
    <w:p w14:paraId="080A9035" w14:textId="77777777" w:rsidR="00DD2D6F" w:rsidRPr="00F53495" w:rsidRDefault="00DD2D6F" w:rsidP="00F53495">
      <w:pPr>
        <w:pBdr>
          <w:top w:val="nil"/>
          <w:left w:val="nil"/>
          <w:bottom w:val="nil"/>
          <w:right w:val="nil"/>
          <w:between w:val="nil"/>
        </w:pBdr>
        <w:spacing w:after="0" w:line="240" w:lineRule="auto"/>
        <w:rPr>
          <w:rFonts w:ascii="Arial" w:hAnsi="Arial" w:cs="Arial"/>
          <w:color w:val="000000" w:themeColor="text1"/>
          <w:sz w:val="19"/>
          <w:szCs w:val="19"/>
        </w:rPr>
      </w:pPr>
    </w:p>
  </w:footnote>
  <w:footnote w:id="43">
    <w:p w14:paraId="184AE645" w14:textId="77777777" w:rsidR="00DD2D6F" w:rsidRPr="00F53495" w:rsidRDefault="00DD2D6F" w:rsidP="00F53495">
      <w:pPr>
        <w:pBdr>
          <w:top w:val="nil"/>
          <w:left w:val="nil"/>
          <w:bottom w:val="nil"/>
          <w:right w:val="nil"/>
          <w:between w:val="nil"/>
        </w:pBdr>
        <w:spacing w:after="0" w:line="240" w:lineRule="auto"/>
        <w:ind w:firstLine="707"/>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hAnsi="Arial" w:cs="Arial"/>
          <w:color w:val="000000" w:themeColor="text1"/>
          <w:sz w:val="19"/>
          <w:szCs w:val="19"/>
        </w:rPr>
        <w:t xml:space="preserve"> Corte Constitucional, sentencia C-183 de 2003: </w:t>
      </w:r>
      <w:r w:rsidRPr="00F53495">
        <w:rPr>
          <w:rFonts w:ascii="Arial" w:eastAsia="Arial" w:hAnsi="Arial" w:cs="Arial"/>
          <w:color w:val="000000" w:themeColor="text1"/>
          <w:sz w:val="19"/>
          <w:szCs w:val="19"/>
        </w:rPr>
        <w:t>«</w:t>
      </w:r>
      <w:r w:rsidRPr="00F53495">
        <w:rPr>
          <w:rFonts w:ascii="Arial" w:hAnsi="Arial" w:cs="Arial"/>
          <w:color w:val="000000" w:themeColor="text1"/>
          <w:sz w:val="19"/>
          <w:szCs w:val="19"/>
        </w:rPr>
        <w:t>Ahora, los bienes de uso público propiamente dicho, que pueden ser por naturaleza o por el destino jurídico, se caracterizan por pertenecer al Estado o a otros entes estatales, estar destinados al uso común de todos los habitantes, y por encontrarse fuera del comercio, ser imprescriptibles e inembargables. Están definidos en la ley como aquellos que “su uso pertenece a todos los habitantes de un Territorio, como el de calles, plazas, puentes y caminos, se llaman bienes de la Unión o de uso público o bienes públicos del Territorio” (art. 674 C.C.)</w:t>
      </w:r>
      <w:r w:rsidRPr="00F53495">
        <w:rPr>
          <w:rFonts w:ascii="Arial" w:eastAsia="Arial" w:hAnsi="Arial" w:cs="Arial"/>
          <w:color w:val="000000" w:themeColor="text1"/>
          <w:sz w:val="19"/>
          <w:szCs w:val="19"/>
        </w:rPr>
        <w:t>»</w:t>
      </w:r>
      <w:r w:rsidRPr="00F53495">
        <w:rPr>
          <w:rFonts w:ascii="Arial" w:hAnsi="Arial" w:cs="Arial"/>
          <w:color w:val="000000" w:themeColor="text1"/>
          <w:sz w:val="19"/>
          <w:szCs w:val="19"/>
        </w:rPr>
        <w:t>.</w:t>
      </w:r>
    </w:p>
    <w:p w14:paraId="0C70B492" w14:textId="77777777" w:rsidR="00DD2D6F" w:rsidRPr="00F53495" w:rsidRDefault="00DD2D6F" w:rsidP="00F53495">
      <w:pPr>
        <w:pBdr>
          <w:top w:val="nil"/>
          <w:left w:val="nil"/>
          <w:bottom w:val="nil"/>
          <w:right w:val="nil"/>
          <w:between w:val="nil"/>
        </w:pBdr>
        <w:spacing w:after="0" w:line="240" w:lineRule="auto"/>
        <w:rPr>
          <w:rFonts w:ascii="Arial" w:hAnsi="Arial" w:cs="Arial"/>
          <w:color w:val="000000" w:themeColor="text1"/>
          <w:sz w:val="19"/>
          <w:szCs w:val="19"/>
        </w:rPr>
      </w:pPr>
    </w:p>
  </w:footnote>
  <w:footnote w:id="44">
    <w:p w14:paraId="5ACBEDCC" w14:textId="77777777" w:rsidR="00DD2D6F" w:rsidRPr="00F53495" w:rsidRDefault="00DD2D6F" w:rsidP="00F53495">
      <w:pPr>
        <w:spacing w:after="0" w:line="242" w:lineRule="auto"/>
        <w:ind w:firstLine="707"/>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hAnsi="Arial" w:cs="Arial"/>
          <w:color w:val="000000" w:themeColor="text1"/>
          <w:sz w:val="19"/>
          <w:szCs w:val="19"/>
        </w:rPr>
        <w:t xml:space="preserve"> Consejo de Estado. Sección Tercera. Subsección A. </w:t>
      </w:r>
      <w:r w:rsidRPr="00F53495">
        <w:rPr>
          <w:rFonts w:ascii="Arial" w:eastAsia="Arial" w:hAnsi="Arial" w:cs="Arial"/>
          <w:color w:val="000000" w:themeColor="text1"/>
          <w:sz w:val="19"/>
          <w:szCs w:val="19"/>
        </w:rPr>
        <w:t xml:space="preserve">Providencia del 19 de julio de 2018. </w:t>
      </w:r>
      <w:r w:rsidRPr="00F53495">
        <w:rPr>
          <w:rFonts w:ascii="Arial" w:hAnsi="Arial" w:cs="Arial"/>
          <w:color w:val="000000" w:themeColor="text1"/>
          <w:sz w:val="19"/>
          <w:szCs w:val="19"/>
        </w:rPr>
        <w:t>C</w:t>
      </w:r>
      <w:r w:rsidRPr="00F53495">
        <w:rPr>
          <w:rFonts w:ascii="Arial" w:eastAsia="Arial" w:hAnsi="Arial" w:cs="Arial"/>
          <w:color w:val="000000" w:themeColor="text1"/>
          <w:sz w:val="19"/>
          <w:szCs w:val="19"/>
        </w:rPr>
        <w:t>.</w:t>
      </w:r>
      <w:r w:rsidRPr="00F53495">
        <w:rPr>
          <w:rFonts w:ascii="Arial" w:hAnsi="Arial" w:cs="Arial"/>
          <w:color w:val="000000" w:themeColor="text1"/>
          <w:sz w:val="19"/>
          <w:szCs w:val="19"/>
        </w:rPr>
        <w:t>P</w:t>
      </w:r>
      <w:r w:rsidRPr="00F53495">
        <w:rPr>
          <w:rFonts w:ascii="Arial" w:eastAsia="Arial" w:hAnsi="Arial" w:cs="Arial"/>
          <w:color w:val="000000" w:themeColor="text1"/>
          <w:sz w:val="19"/>
          <w:szCs w:val="19"/>
        </w:rPr>
        <w:t>.</w:t>
      </w:r>
      <w:r w:rsidRPr="00F53495">
        <w:rPr>
          <w:rFonts w:ascii="Arial" w:hAnsi="Arial" w:cs="Arial"/>
          <w:color w:val="000000" w:themeColor="text1"/>
          <w:sz w:val="19"/>
          <w:szCs w:val="19"/>
        </w:rPr>
        <w:t xml:space="preserve"> </w:t>
      </w:r>
      <w:r w:rsidRPr="00F53495">
        <w:rPr>
          <w:rFonts w:ascii="Arial" w:eastAsia="Arial" w:hAnsi="Arial" w:cs="Arial"/>
          <w:color w:val="000000" w:themeColor="text1"/>
          <w:sz w:val="19"/>
          <w:szCs w:val="19"/>
        </w:rPr>
        <w:t xml:space="preserve">Radicación número: 25000-23-26-000-00821- 01(36.711). </w:t>
      </w:r>
      <w:r w:rsidRPr="00F53495">
        <w:rPr>
          <w:rFonts w:ascii="Arial" w:hAnsi="Arial" w:cs="Arial"/>
          <w:color w:val="000000" w:themeColor="text1"/>
          <w:sz w:val="19"/>
          <w:szCs w:val="19"/>
        </w:rPr>
        <w:t xml:space="preserve">Carlos Alberto Zambrano Barrera. </w:t>
      </w:r>
      <w:r w:rsidRPr="00F53495">
        <w:rPr>
          <w:rFonts w:ascii="Arial" w:eastAsia="Arial" w:hAnsi="Arial" w:cs="Arial"/>
          <w:color w:val="000000" w:themeColor="text1"/>
          <w:sz w:val="19"/>
          <w:szCs w:val="19"/>
        </w:rPr>
        <w:t>«</w:t>
      </w:r>
      <w:r w:rsidRPr="00F53495">
        <w:rPr>
          <w:rFonts w:ascii="Arial" w:hAnsi="Arial" w:cs="Arial"/>
          <w:color w:val="000000" w:themeColor="text1"/>
          <w:sz w:val="19"/>
          <w:szCs w:val="19"/>
        </w:rPr>
        <w:t>En este orden de ideas, se ha señalado que los bienes de uso público son aquellos cuya titularidad pertenece al Estado y se hallan destinados al uso, goce y disfrute de todos los habitantes del territorio, están sometidos al régimen de derecho público y sobre ellos el Estado ejerce derechos de administración y de policía, con miras a garantizar y proteger su uso y goce común, por motivos de interés general</w:t>
      </w:r>
      <w:r w:rsidRPr="00F53495">
        <w:rPr>
          <w:rFonts w:ascii="Arial" w:eastAsia="Arial" w:hAnsi="Arial" w:cs="Arial"/>
          <w:color w:val="000000" w:themeColor="text1"/>
          <w:sz w:val="19"/>
          <w:szCs w:val="19"/>
        </w:rPr>
        <w:t>»</w:t>
      </w:r>
      <w:r w:rsidRPr="00F53495">
        <w:rPr>
          <w:rFonts w:ascii="Arial" w:hAnsi="Arial" w:cs="Arial"/>
          <w:color w:val="000000" w:themeColor="text1"/>
          <w:sz w:val="19"/>
          <w:szCs w:val="19"/>
        </w:rPr>
        <w:t>.</w:t>
      </w:r>
    </w:p>
    <w:p w14:paraId="5C6EA41E" w14:textId="77777777" w:rsidR="00DD2D6F" w:rsidRPr="00F53495" w:rsidRDefault="00DD2D6F" w:rsidP="00885D10">
      <w:pPr>
        <w:spacing w:after="0" w:line="242" w:lineRule="auto"/>
        <w:ind w:firstLine="707"/>
        <w:rPr>
          <w:rFonts w:ascii="Arial" w:hAnsi="Arial" w:cs="Arial"/>
          <w:color w:val="000000" w:themeColor="text1"/>
          <w:sz w:val="19"/>
          <w:szCs w:val="19"/>
        </w:rPr>
      </w:pPr>
    </w:p>
  </w:footnote>
  <w:footnote w:id="45">
    <w:p w14:paraId="7D9CBC14" w14:textId="77777777" w:rsidR="00BE31DF" w:rsidRPr="00885D10" w:rsidRDefault="00BE31DF" w:rsidP="00885D10">
      <w:pPr>
        <w:pStyle w:val="Textonotapie"/>
        <w:ind w:firstLine="707"/>
        <w:rPr>
          <w:rFonts w:ascii="Arial" w:hAnsi="Arial" w:cs="Arial"/>
          <w:sz w:val="19"/>
          <w:szCs w:val="19"/>
        </w:rPr>
      </w:pPr>
      <w:r w:rsidRPr="00885D10">
        <w:rPr>
          <w:rStyle w:val="Refdenotaalpie"/>
          <w:rFonts w:ascii="Arial" w:hAnsi="Arial" w:cs="Arial"/>
          <w:sz w:val="19"/>
          <w:szCs w:val="19"/>
        </w:rPr>
        <w:footnoteRef/>
      </w:r>
      <w:r w:rsidRPr="00885D10">
        <w:rPr>
          <w:rFonts w:ascii="Arial" w:hAnsi="Arial" w:cs="Arial"/>
          <w:sz w:val="19"/>
          <w:szCs w:val="19"/>
        </w:rPr>
        <w:t xml:space="preserve"> Arts. 823 y 824 del Código Civil.</w:t>
      </w:r>
    </w:p>
  </w:footnote>
  <w:footnote w:id="46">
    <w:p w14:paraId="339BF20D" w14:textId="77777777" w:rsidR="00F52291" w:rsidRPr="00F53495" w:rsidRDefault="00F52291"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Pr="00F53495">
        <w:rPr>
          <w:rFonts w:ascii="Arial" w:eastAsia="Arial" w:hAnsi="Arial" w:cs="Arial"/>
          <w:color w:val="000000" w:themeColor="text1"/>
          <w:sz w:val="19"/>
          <w:szCs w:val="19"/>
        </w:rPr>
        <w:t xml:space="preserve"> Registraduría Nacional del Estado Civil, Resolución 2098 del 12 de marzo de 2021, mediante la cual «se fija el calendario electoral del Congreso de la República que se realizarán el 13 de marzo». </w:t>
      </w:r>
    </w:p>
  </w:footnote>
  <w:footnote w:id="47">
    <w:p w14:paraId="5544B6BC" w14:textId="6D468DBB" w:rsidR="00F52291" w:rsidRPr="00F53495" w:rsidRDefault="00F52291" w:rsidP="00F53495">
      <w:pPr>
        <w:pBdr>
          <w:top w:val="nil"/>
          <w:left w:val="nil"/>
          <w:bottom w:val="nil"/>
          <w:right w:val="nil"/>
          <w:between w:val="nil"/>
        </w:pBdr>
        <w:spacing w:after="0" w:line="240" w:lineRule="auto"/>
        <w:ind w:firstLine="709"/>
        <w:rPr>
          <w:rFonts w:ascii="Arial" w:eastAsia="Arial" w:hAnsi="Arial" w:cs="Arial"/>
          <w:color w:val="000000" w:themeColor="text1"/>
          <w:sz w:val="19"/>
          <w:szCs w:val="19"/>
        </w:rPr>
      </w:pPr>
      <w:r w:rsidRPr="00F53495">
        <w:rPr>
          <w:rFonts w:ascii="Arial" w:hAnsi="Arial" w:cs="Arial"/>
          <w:color w:val="000000" w:themeColor="text1"/>
          <w:sz w:val="19"/>
          <w:szCs w:val="19"/>
          <w:vertAlign w:val="superscript"/>
        </w:rPr>
        <w:footnoteRef/>
      </w:r>
      <w:r w:rsidR="00DC5955" w:rsidRPr="00F53495">
        <w:rPr>
          <w:rFonts w:ascii="Arial" w:eastAsia="Arial" w:hAnsi="Arial" w:cs="Arial"/>
          <w:color w:val="000000" w:themeColor="text1"/>
          <w:sz w:val="19"/>
          <w:szCs w:val="19"/>
        </w:rPr>
        <w:t xml:space="preserve"> </w:t>
      </w:r>
      <w:r w:rsidRPr="00F53495">
        <w:rPr>
          <w:rFonts w:ascii="Arial" w:eastAsia="Arial" w:hAnsi="Arial" w:cs="Arial"/>
          <w:color w:val="000000" w:themeColor="text1"/>
          <w:sz w:val="19"/>
          <w:szCs w:val="19"/>
        </w:rPr>
        <w:t>Registraduría Nacional del Estado Civil, Resolución 4371 del 18 de mayo de 2021, «por la cual se fija el calendario electoral para las elecciones de Presidente y Vicepresidente de la República (primera vuelta) para el periodo constitucional 2022-2026.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3D7F4" w14:textId="77777777" w:rsidR="009E3AC0" w:rsidRDefault="002B7867">
    <w:pPr>
      <w:pBdr>
        <w:top w:val="nil"/>
        <w:left w:val="nil"/>
        <w:bottom w:val="nil"/>
        <w:right w:val="nil"/>
        <w:between w:val="nil"/>
      </w:pBdr>
      <w:tabs>
        <w:tab w:val="center" w:pos="4252"/>
        <w:tab w:val="right" w:pos="8504"/>
      </w:tabs>
      <w:rPr>
        <w:color w:val="000000"/>
      </w:rPr>
    </w:pPr>
    <w:r>
      <w:rPr>
        <w:noProof/>
        <w:lang w:val="es-CO" w:eastAsia="es-CO"/>
      </w:rPr>
      <w:drawing>
        <wp:anchor distT="0" distB="0" distL="114300" distR="114300" simplePos="0" relativeHeight="251658240" behindDoc="0" locked="0" layoutInCell="1" hidden="0" allowOverlap="1" wp14:anchorId="7022C5EE" wp14:editId="011038E5">
          <wp:simplePos x="0" y="0"/>
          <wp:positionH relativeFrom="column">
            <wp:posOffset>4458335</wp:posOffset>
          </wp:positionH>
          <wp:positionV relativeFrom="paragraph">
            <wp:posOffset>171450</wp:posOffset>
          </wp:positionV>
          <wp:extent cx="1257300" cy="516255"/>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7300" cy="516255"/>
                  </a:xfrm>
                  <a:prstGeom prst="rect">
                    <a:avLst/>
                  </a:prstGeom>
                  <a:ln/>
                </pic:spPr>
              </pic:pic>
            </a:graphicData>
          </a:graphic>
        </wp:anchor>
      </w:drawing>
    </w:r>
  </w:p>
  <w:p w14:paraId="4D10779E" w14:textId="77777777" w:rsidR="009E3AC0" w:rsidRDefault="009E3AC0">
    <w:pPr>
      <w:pBdr>
        <w:top w:val="nil"/>
        <w:left w:val="nil"/>
        <w:bottom w:val="nil"/>
        <w:right w:val="nil"/>
        <w:between w:val="nil"/>
      </w:pBdr>
      <w:tabs>
        <w:tab w:val="center" w:pos="4252"/>
        <w:tab w:val="right" w:pos="8504"/>
      </w:tabs>
      <w:spacing w:after="0"/>
      <w:rPr>
        <w:color w:val="000000"/>
      </w:rPr>
    </w:pPr>
  </w:p>
  <w:p w14:paraId="0BC9C949" w14:textId="77777777" w:rsidR="009E3AC0" w:rsidRDefault="009E3AC0">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C0"/>
    <w:rsid w:val="00015E0F"/>
    <w:rsid w:val="00036243"/>
    <w:rsid w:val="000605B5"/>
    <w:rsid w:val="000671B2"/>
    <w:rsid w:val="00084778"/>
    <w:rsid w:val="00092596"/>
    <w:rsid w:val="00096B6A"/>
    <w:rsid w:val="00120B13"/>
    <w:rsid w:val="0015044C"/>
    <w:rsid w:val="00153551"/>
    <w:rsid w:val="0019440F"/>
    <w:rsid w:val="00195648"/>
    <w:rsid w:val="001A4BED"/>
    <w:rsid w:val="001C42FB"/>
    <w:rsid w:val="001D0C84"/>
    <w:rsid w:val="001D7A5F"/>
    <w:rsid w:val="001F7EE2"/>
    <w:rsid w:val="002058C6"/>
    <w:rsid w:val="00212DAE"/>
    <w:rsid w:val="002405CC"/>
    <w:rsid w:val="00260C93"/>
    <w:rsid w:val="002948AB"/>
    <w:rsid w:val="002B7867"/>
    <w:rsid w:val="002D4B91"/>
    <w:rsid w:val="00301DEB"/>
    <w:rsid w:val="003134F2"/>
    <w:rsid w:val="003476DC"/>
    <w:rsid w:val="0035212E"/>
    <w:rsid w:val="0039578C"/>
    <w:rsid w:val="003A51E9"/>
    <w:rsid w:val="003B3E07"/>
    <w:rsid w:val="003B4389"/>
    <w:rsid w:val="003C7331"/>
    <w:rsid w:val="003E6587"/>
    <w:rsid w:val="0040123B"/>
    <w:rsid w:val="004021A7"/>
    <w:rsid w:val="004136F0"/>
    <w:rsid w:val="004205F6"/>
    <w:rsid w:val="004271AE"/>
    <w:rsid w:val="004306FD"/>
    <w:rsid w:val="00433B1B"/>
    <w:rsid w:val="0045093A"/>
    <w:rsid w:val="0047385A"/>
    <w:rsid w:val="004851AC"/>
    <w:rsid w:val="004C5A89"/>
    <w:rsid w:val="004D3A5B"/>
    <w:rsid w:val="004F5515"/>
    <w:rsid w:val="004F7A23"/>
    <w:rsid w:val="00512BA8"/>
    <w:rsid w:val="0052120E"/>
    <w:rsid w:val="00555E3A"/>
    <w:rsid w:val="005630CB"/>
    <w:rsid w:val="0057676B"/>
    <w:rsid w:val="00587EA0"/>
    <w:rsid w:val="005A6CD5"/>
    <w:rsid w:val="005C0E5F"/>
    <w:rsid w:val="005C35C7"/>
    <w:rsid w:val="005C3D92"/>
    <w:rsid w:val="006111BA"/>
    <w:rsid w:val="00662266"/>
    <w:rsid w:val="006836AA"/>
    <w:rsid w:val="006935CB"/>
    <w:rsid w:val="00695BC4"/>
    <w:rsid w:val="006B5B3B"/>
    <w:rsid w:val="006D7C30"/>
    <w:rsid w:val="00710B58"/>
    <w:rsid w:val="00711E5B"/>
    <w:rsid w:val="007464F7"/>
    <w:rsid w:val="00747FFD"/>
    <w:rsid w:val="0077426C"/>
    <w:rsid w:val="007809FB"/>
    <w:rsid w:val="007D373E"/>
    <w:rsid w:val="008046BF"/>
    <w:rsid w:val="00837124"/>
    <w:rsid w:val="00851C0A"/>
    <w:rsid w:val="0085358B"/>
    <w:rsid w:val="00875FAE"/>
    <w:rsid w:val="00885D10"/>
    <w:rsid w:val="0090500E"/>
    <w:rsid w:val="0092247B"/>
    <w:rsid w:val="00924649"/>
    <w:rsid w:val="009571CC"/>
    <w:rsid w:val="009638EC"/>
    <w:rsid w:val="00981DF7"/>
    <w:rsid w:val="009A2A26"/>
    <w:rsid w:val="009C7A93"/>
    <w:rsid w:val="009C7EA2"/>
    <w:rsid w:val="009E3AC0"/>
    <w:rsid w:val="00A26C54"/>
    <w:rsid w:val="00A3555F"/>
    <w:rsid w:val="00A50954"/>
    <w:rsid w:val="00A5537E"/>
    <w:rsid w:val="00A70AC8"/>
    <w:rsid w:val="00A94F27"/>
    <w:rsid w:val="00AB1B35"/>
    <w:rsid w:val="00AD3906"/>
    <w:rsid w:val="00AE762C"/>
    <w:rsid w:val="00B136EC"/>
    <w:rsid w:val="00B821EF"/>
    <w:rsid w:val="00BA0C43"/>
    <w:rsid w:val="00BA79FF"/>
    <w:rsid w:val="00BE31DF"/>
    <w:rsid w:val="00C4120A"/>
    <w:rsid w:val="00C8251C"/>
    <w:rsid w:val="00C85B66"/>
    <w:rsid w:val="00C92C99"/>
    <w:rsid w:val="00CA0F51"/>
    <w:rsid w:val="00CD6001"/>
    <w:rsid w:val="00CE2EBF"/>
    <w:rsid w:val="00D26379"/>
    <w:rsid w:val="00D315AA"/>
    <w:rsid w:val="00D53D7A"/>
    <w:rsid w:val="00D67454"/>
    <w:rsid w:val="00D85E6F"/>
    <w:rsid w:val="00DB243F"/>
    <w:rsid w:val="00DC12C8"/>
    <w:rsid w:val="00DC48DA"/>
    <w:rsid w:val="00DC5955"/>
    <w:rsid w:val="00DD2D6F"/>
    <w:rsid w:val="00DD6E5D"/>
    <w:rsid w:val="00E06C27"/>
    <w:rsid w:val="00E2761D"/>
    <w:rsid w:val="00E53F04"/>
    <w:rsid w:val="00E56E2F"/>
    <w:rsid w:val="00E64794"/>
    <w:rsid w:val="00E64AD2"/>
    <w:rsid w:val="00E6645F"/>
    <w:rsid w:val="00E755F2"/>
    <w:rsid w:val="00EC0FBF"/>
    <w:rsid w:val="00EC70DD"/>
    <w:rsid w:val="00ED2727"/>
    <w:rsid w:val="00EE70AD"/>
    <w:rsid w:val="00F15040"/>
    <w:rsid w:val="00F17B1D"/>
    <w:rsid w:val="00F316E8"/>
    <w:rsid w:val="00F51BC9"/>
    <w:rsid w:val="00F52291"/>
    <w:rsid w:val="00F53495"/>
    <w:rsid w:val="00F54E4D"/>
    <w:rsid w:val="00F64801"/>
    <w:rsid w:val="00FD77F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A88D0"/>
  <w15:docId w15:val="{E6845EB0-BC12-5C44-B6C7-E6EE3F93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43F"/>
  </w:style>
  <w:style w:type="paragraph" w:styleId="Ttulo1">
    <w:name w:val="heading 1"/>
    <w:basedOn w:val="Normal"/>
    <w:next w:val="Normal"/>
    <w:uiPriority w:val="9"/>
    <w:qFormat/>
    <w:pPr>
      <w:keepNext/>
      <w:spacing w:before="240" w:after="60" w:line="240" w:lineRule="auto"/>
      <w:jc w:val="left"/>
      <w:outlineLvl w:val="0"/>
    </w:pPr>
    <w:rPr>
      <w:rFonts w:ascii="Arial" w:eastAsia="Arial" w:hAnsi="Arial" w:cs="Arial"/>
      <w:b/>
      <w:sz w:val="32"/>
      <w:szCs w:val="32"/>
    </w:rPr>
  </w:style>
  <w:style w:type="paragraph" w:styleId="Ttulo2">
    <w:name w:val="heading 2"/>
    <w:basedOn w:val="Normal"/>
    <w:next w:val="Normal"/>
    <w:uiPriority w:val="9"/>
    <w:semiHidden/>
    <w:unhideWhenUsed/>
    <w:qFormat/>
    <w:pPr>
      <w:keepNext/>
      <w:spacing w:before="240" w:after="60" w:line="240" w:lineRule="auto"/>
      <w:ind w:left="720"/>
      <w:jc w:val="left"/>
      <w:outlineLvl w:val="1"/>
    </w:pPr>
    <w:rPr>
      <w:rFonts w:ascii="Arial" w:eastAsia="Arial" w:hAnsi="Arial" w:cs="Arial"/>
      <w:b/>
      <w:i/>
      <w:sz w:val="28"/>
      <w:szCs w:val="28"/>
    </w:rPr>
  </w:style>
  <w:style w:type="paragraph" w:styleId="Ttulo3">
    <w:name w:val="heading 3"/>
    <w:basedOn w:val="Normal"/>
    <w:next w:val="Normal"/>
    <w:uiPriority w:val="9"/>
    <w:semiHidden/>
    <w:unhideWhenUsed/>
    <w:qFormat/>
    <w:pPr>
      <w:keepNext/>
      <w:spacing w:before="240" w:after="60" w:line="240" w:lineRule="auto"/>
      <w:ind w:left="1440"/>
      <w:jc w:val="left"/>
      <w:outlineLvl w:val="2"/>
    </w:pPr>
    <w:rPr>
      <w:rFonts w:ascii="Arial" w:eastAsia="Arial" w:hAnsi="Arial" w:cs="Arial"/>
      <w:b/>
      <w:sz w:val="26"/>
      <w:szCs w:val="26"/>
    </w:rPr>
  </w:style>
  <w:style w:type="paragraph" w:styleId="Ttulo4">
    <w:name w:val="heading 4"/>
    <w:basedOn w:val="Normal"/>
    <w:next w:val="Normal"/>
    <w:uiPriority w:val="9"/>
    <w:semiHidden/>
    <w:unhideWhenUsed/>
    <w:qFormat/>
    <w:pPr>
      <w:keepNext/>
      <w:spacing w:before="240" w:after="60" w:line="240" w:lineRule="auto"/>
      <w:ind w:left="2160"/>
      <w:jc w:val="left"/>
      <w:outlineLvl w:val="3"/>
    </w:pPr>
    <w:rPr>
      <w:rFonts w:ascii="Times New Roman" w:eastAsia="Times New Roman" w:hAnsi="Times New Roman" w:cs="Times New Roman"/>
      <w:b/>
      <w:sz w:val="28"/>
      <w:szCs w:val="28"/>
    </w:rPr>
  </w:style>
  <w:style w:type="paragraph" w:styleId="Ttulo5">
    <w:name w:val="heading 5"/>
    <w:basedOn w:val="Normal"/>
    <w:next w:val="Normal"/>
    <w:uiPriority w:val="9"/>
    <w:semiHidden/>
    <w:unhideWhenUsed/>
    <w:qFormat/>
    <w:pPr>
      <w:spacing w:before="240" w:after="60" w:line="240" w:lineRule="auto"/>
      <w:ind w:left="2880"/>
      <w:jc w:val="left"/>
      <w:outlineLvl w:val="4"/>
    </w:pPr>
    <w:rPr>
      <w:rFonts w:ascii="Times New Roman" w:eastAsia="Times New Roman" w:hAnsi="Times New Roman" w:cs="Times New Roman"/>
      <w:b/>
      <w:i/>
      <w:sz w:val="26"/>
      <w:szCs w:val="26"/>
    </w:rPr>
  </w:style>
  <w:style w:type="paragraph" w:styleId="Ttulo6">
    <w:name w:val="heading 6"/>
    <w:basedOn w:val="Normal"/>
    <w:next w:val="Normal"/>
    <w:uiPriority w:val="9"/>
    <w:semiHidden/>
    <w:unhideWhenUsed/>
    <w:qFormat/>
    <w:pPr>
      <w:spacing w:before="240" w:after="60" w:line="240" w:lineRule="auto"/>
      <w:ind w:left="3600"/>
      <w:jc w:val="left"/>
      <w:outlineLvl w:val="5"/>
    </w:pPr>
    <w:rPr>
      <w:rFonts w:ascii="Times New Roman" w:eastAsia="Times New Roman" w:hAnsi="Times New Roman" w:cs="Times New Roman"/>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120" w:after="0" w:line="240" w:lineRule="auto"/>
      <w:jc w:val="left"/>
    </w:pPr>
    <w:tblPr>
      <w:tblStyleRowBandSize w:val="1"/>
      <w:tblStyleColBandSize w:val="1"/>
    </w:tblPr>
  </w:style>
  <w:style w:type="table" w:customStyle="1" w:styleId="a0">
    <w:basedOn w:val="TableNormal"/>
    <w:pPr>
      <w:spacing w:before="120" w:after="0" w:line="240" w:lineRule="auto"/>
      <w:jc w:val="left"/>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NormalWeb">
    <w:name w:val="Normal (Web)"/>
    <w:basedOn w:val="Normal"/>
    <w:uiPriority w:val="99"/>
    <w:unhideWhenUsed/>
    <w:rsid w:val="004C5A89"/>
    <w:pPr>
      <w:spacing w:before="100" w:beforeAutospacing="1" w:after="100" w:afterAutospacing="1" w:line="240" w:lineRule="auto"/>
      <w:jc w:val="left"/>
    </w:pPr>
    <w:rPr>
      <w:rFonts w:ascii="Times New Roman" w:eastAsia="Times New Roman" w:hAnsi="Times New Roman" w:cs="Times New Roman"/>
      <w:lang w:val="es-CO"/>
    </w:rPr>
  </w:style>
  <w:style w:type="paragraph" w:styleId="Revisin">
    <w:name w:val="Revision"/>
    <w:hidden/>
    <w:uiPriority w:val="99"/>
    <w:semiHidden/>
    <w:rsid w:val="00195648"/>
    <w:pPr>
      <w:spacing w:after="0" w:line="240" w:lineRule="auto"/>
      <w:jc w:val="left"/>
    </w:pPr>
  </w:style>
  <w:style w:type="paragraph" w:styleId="Asuntodelcomentario">
    <w:name w:val="annotation subject"/>
    <w:basedOn w:val="Textocomentario"/>
    <w:next w:val="Textocomentario"/>
    <w:link w:val="AsuntodelcomentarioCar"/>
    <w:uiPriority w:val="99"/>
    <w:semiHidden/>
    <w:unhideWhenUsed/>
    <w:rsid w:val="00981DF7"/>
    <w:rPr>
      <w:b/>
      <w:bCs/>
    </w:rPr>
  </w:style>
  <w:style w:type="character" w:customStyle="1" w:styleId="AsuntodelcomentarioCar">
    <w:name w:val="Asunto del comentario Car"/>
    <w:basedOn w:val="TextocomentarioCar"/>
    <w:link w:val="Asuntodelcomentario"/>
    <w:uiPriority w:val="99"/>
    <w:semiHidden/>
    <w:rsid w:val="00981DF7"/>
    <w:rPr>
      <w:b/>
      <w:bCs/>
      <w:sz w:val="20"/>
      <w:szCs w:val="20"/>
    </w:rPr>
  </w:style>
  <w:style w:type="paragraph" w:customStyle="1" w:styleId="gmail-msonospacing">
    <w:name w:val="gmail-msonospacing"/>
    <w:basedOn w:val="Normal"/>
    <w:rsid w:val="001F7EE2"/>
    <w:pPr>
      <w:spacing w:before="100" w:beforeAutospacing="1" w:after="100" w:afterAutospacing="1" w:line="240" w:lineRule="auto"/>
      <w:jc w:val="left"/>
    </w:pPr>
    <w:rPr>
      <w:rFonts w:ascii="Times New Roman" w:eastAsia="Times New Roman" w:hAnsi="Times New Roman" w:cs="Times New Roman"/>
      <w:lang w:val="es-CO" w:eastAsia="es-CO"/>
    </w:rPr>
  </w:style>
  <w:style w:type="paragraph" w:styleId="Textonotapie">
    <w:name w:val="footnote text"/>
    <w:basedOn w:val="Normal"/>
    <w:link w:val="TextonotapieCar"/>
    <w:uiPriority w:val="99"/>
    <w:semiHidden/>
    <w:rsid w:val="00BE31DF"/>
    <w:pPr>
      <w:overflowPunct w:val="0"/>
      <w:autoSpaceDE w:val="0"/>
      <w:autoSpaceDN w:val="0"/>
      <w:adjustRightInd w:val="0"/>
      <w:spacing w:after="0" w:line="240" w:lineRule="auto"/>
      <w:jc w:val="left"/>
      <w:textAlignment w:val="baseline"/>
    </w:pPr>
    <w:rPr>
      <w:rFonts w:ascii="Times New Roman" w:eastAsia="Times New Roman" w:hAnsi="Times New Roman" w:cs="Times New Roman"/>
      <w:sz w:val="20"/>
      <w:szCs w:val="20"/>
      <w:lang w:val="es-CO" w:eastAsia="es-ES"/>
    </w:rPr>
  </w:style>
  <w:style w:type="character" w:customStyle="1" w:styleId="TextonotapieCar">
    <w:name w:val="Texto nota pie Car"/>
    <w:basedOn w:val="Fuentedeprrafopredeter"/>
    <w:link w:val="Textonotapie"/>
    <w:uiPriority w:val="99"/>
    <w:semiHidden/>
    <w:rsid w:val="00BE31DF"/>
    <w:rPr>
      <w:rFonts w:ascii="Times New Roman" w:eastAsia="Times New Roman" w:hAnsi="Times New Roman" w:cs="Times New Roman"/>
      <w:sz w:val="20"/>
      <w:szCs w:val="20"/>
      <w:lang w:val="es-CO" w:eastAsia="es-ES"/>
    </w:rPr>
  </w:style>
  <w:style w:type="character" w:styleId="Refdenotaalpie">
    <w:name w:val="footnote reference"/>
    <w:basedOn w:val="Fuentedeprrafopredeter"/>
    <w:uiPriority w:val="99"/>
    <w:semiHidden/>
    <w:rsid w:val="00BE31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4382">
      <w:bodyDiv w:val="1"/>
      <w:marLeft w:val="0"/>
      <w:marRight w:val="0"/>
      <w:marTop w:val="0"/>
      <w:marBottom w:val="0"/>
      <w:divBdr>
        <w:top w:val="none" w:sz="0" w:space="0" w:color="auto"/>
        <w:left w:val="none" w:sz="0" w:space="0" w:color="auto"/>
        <w:bottom w:val="none" w:sz="0" w:space="0" w:color="auto"/>
        <w:right w:val="none" w:sz="0" w:space="0" w:color="auto"/>
      </w:divBdr>
    </w:div>
    <w:div w:id="565263659">
      <w:bodyDiv w:val="1"/>
      <w:marLeft w:val="0"/>
      <w:marRight w:val="0"/>
      <w:marTop w:val="0"/>
      <w:marBottom w:val="0"/>
      <w:divBdr>
        <w:top w:val="none" w:sz="0" w:space="0" w:color="auto"/>
        <w:left w:val="none" w:sz="0" w:space="0" w:color="auto"/>
        <w:bottom w:val="none" w:sz="0" w:space="0" w:color="auto"/>
        <w:right w:val="none" w:sz="0" w:space="0" w:color="auto"/>
      </w:divBdr>
      <w:divsChild>
        <w:div w:id="1484422167">
          <w:marLeft w:val="0"/>
          <w:marRight w:val="0"/>
          <w:marTop w:val="0"/>
          <w:marBottom w:val="0"/>
          <w:divBdr>
            <w:top w:val="none" w:sz="0" w:space="0" w:color="auto"/>
            <w:left w:val="none" w:sz="0" w:space="0" w:color="auto"/>
            <w:bottom w:val="none" w:sz="0" w:space="0" w:color="auto"/>
            <w:right w:val="none" w:sz="0" w:space="0" w:color="auto"/>
          </w:divBdr>
          <w:divsChild>
            <w:div w:id="308246986">
              <w:marLeft w:val="0"/>
              <w:marRight w:val="0"/>
              <w:marTop w:val="0"/>
              <w:marBottom w:val="0"/>
              <w:divBdr>
                <w:top w:val="none" w:sz="0" w:space="0" w:color="auto"/>
                <w:left w:val="none" w:sz="0" w:space="0" w:color="auto"/>
                <w:bottom w:val="none" w:sz="0" w:space="0" w:color="auto"/>
                <w:right w:val="none" w:sz="0" w:space="0" w:color="auto"/>
              </w:divBdr>
              <w:divsChild>
                <w:div w:id="15306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52358">
      <w:bodyDiv w:val="1"/>
      <w:marLeft w:val="0"/>
      <w:marRight w:val="0"/>
      <w:marTop w:val="0"/>
      <w:marBottom w:val="0"/>
      <w:divBdr>
        <w:top w:val="none" w:sz="0" w:space="0" w:color="auto"/>
        <w:left w:val="none" w:sz="0" w:space="0" w:color="auto"/>
        <w:bottom w:val="none" w:sz="0" w:space="0" w:color="auto"/>
        <w:right w:val="none" w:sz="0" w:space="0" w:color="auto"/>
      </w:divBdr>
    </w:div>
    <w:div w:id="1218928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fontTable" Target="fontTable.xml"/><Relationship Id="rId19" Type="http://schemas.openxmlformats.org/officeDocument/2006/relationships/customXml" Target="../customXml/item4.xml"/><Relationship Id="rId4"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5C4BE9C9-6B9A-4843-A8DD-B17CF1907713}">
  <ds:schemaRefs>
    <ds:schemaRef ds:uri="http://schemas.openxmlformats.org/officeDocument/2006/bibliography"/>
  </ds:schemaRefs>
</ds:datastoreItem>
</file>

<file path=customXml/itemProps2.xml><?xml version="1.0" encoding="utf-8"?>
<ds:datastoreItem xmlns:ds="http://schemas.openxmlformats.org/officeDocument/2006/customXml" ds:itemID="{868D7B39-A4F9-4775-AA5D-08473FD6EFD4}"/>
</file>

<file path=customXml/itemProps3.xml><?xml version="1.0" encoding="utf-8"?>
<ds:datastoreItem xmlns:ds="http://schemas.openxmlformats.org/officeDocument/2006/customXml" ds:itemID="{E26DB507-BD83-4700-A35F-FB2E52DD7ECC}"/>
</file>

<file path=customXml/itemProps4.xml><?xml version="1.0" encoding="utf-8"?>
<ds:datastoreItem xmlns:ds="http://schemas.openxmlformats.org/officeDocument/2006/customXml" ds:itemID="{E14DEAD1-EF57-45C0-8DDA-6F8BF6BD2174}"/>
</file>

<file path=docProps/app.xml><?xml version="1.0" encoding="utf-8"?>
<Properties xmlns="http://schemas.openxmlformats.org/officeDocument/2006/extended-properties" xmlns:vt="http://schemas.openxmlformats.org/officeDocument/2006/docPropsVTypes">
  <Template>Normal</Template>
  <TotalTime>6</TotalTime>
  <Pages>29</Pages>
  <Words>10666</Words>
  <Characters>58665</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MORALES</dc:creator>
  <cp:lastModifiedBy>Nina María Padrón</cp:lastModifiedBy>
  <cp:revision>3</cp:revision>
  <dcterms:created xsi:type="dcterms:W3CDTF">2022-04-01T15:13:00Z</dcterms:created>
  <dcterms:modified xsi:type="dcterms:W3CDTF">2022-04-01T15:14:00Z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