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810BE" w:rsidR="0034177C" w:rsidP="00BA58F0" w:rsidRDefault="009F59C2" w14:paraId="182E957B" w14:textId="768D39FC">
      <w:pPr>
        <w:jc w:val="right"/>
        <w:rPr>
          <w:rFonts w:ascii="Arial" w:hAnsi="Arial" w:cs="Arial"/>
          <w:b/>
          <w:sz w:val="16"/>
          <w:szCs w:val="16"/>
          <w:lang w:eastAsia="es-ES"/>
        </w:rPr>
      </w:pPr>
      <w:bookmarkStart w:name="_Hlk28946138" w:id="0"/>
      <w:bookmarkStart w:name="_Hlk29548183" w:id="1"/>
      <w:bookmarkStart w:name="_Hlk70520488" w:id="2"/>
      <w:r w:rsidRPr="00312813">
        <w:rPr>
          <w:rFonts w:ascii="Arial" w:hAnsi="Arial" w:cs="Arial"/>
          <w:b/>
          <w:sz w:val="16"/>
          <w:szCs w:val="16"/>
          <w:lang w:eastAsia="es-ES"/>
        </w:rPr>
        <w:tab/>
      </w:r>
      <w:r w:rsidRPr="00E810BE" w:rsidR="0034177C">
        <w:rPr>
          <w:rFonts w:ascii="Arial" w:hAnsi="Arial" w:cs="Arial"/>
          <w:b/>
          <w:sz w:val="16"/>
          <w:szCs w:val="16"/>
          <w:lang w:eastAsia="es-ES"/>
        </w:rPr>
        <w:t>CCE-DES-FM-17</w:t>
      </w:r>
    </w:p>
    <w:p w:rsidRPr="00E810BE" w:rsidR="00056AFD" w:rsidP="00BA58F0" w:rsidRDefault="00056AFD" w14:paraId="721AC8FB" w14:textId="01985E14">
      <w:pPr>
        <w:jc w:val="both"/>
        <w:rPr>
          <w:rFonts w:ascii="Arial" w:hAnsi="Arial" w:eastAsia="Calibri" w:cs="Arial"/>
          <w:sz w:val="20"/>
          <w:szCs w:val="20"/>
          <w:lang w:val="es-ES_tradnl"/>
        </w:rPr>
      </w:pPr>
    </w:p>
    <w:p w:rsidRPr="00E810BE" w:rsidR="008E3709" w:rsidP="00BA58F0" w:rsidRDefault="008E3709" w14:paraId="61094E48" w14:textId="77777777">
      <w:pPr>
        <w:jc w:val="both"/>
        <w:rPr>
          <w:rFonts w:ascii="Arial" w:hAnsi="Arial" w:eastAsia="Calibri" w:cs="Arial"/>
          <w:sz w:val="22"/>
          <w:lang w:val="es-ES_tradnl"/>
        </w:rPr>
      </w:pPr>
      <w:r w:rsidRPr="00E810BE">
        <w:rPr>
          <w:rFonts w:ascii="Arial" w:hAnsi="Arial" w:eastAsia="Calibri" w:cs="Arial"/>
          <w:b/>
          <w:bCs/>
          <w:sz w:val="22"/>
          <w:lang w:val="es-ES_tradnl"/>
        </w:rPr>
        <w:t xml:space="preserve">INHABILIDADES E INCOMPATIBILIDADES – Carácter sancionatorio – Restricción </w:t>
      </w:r>
    </w:p>
    <w:p w:rsidRPr="00E810BE" w:rsidR="00312813" w:rsidP="00BA58F0" w:rsidRDefault="00312813" w14:paraId="3B48A234" w14:textId="77777777">
      <w:pPr>
        <w:jc w:val="both"/>
        <w:rPr>
          <w:rFonts w:ascii="Arial" w:hAnsi="Arial" w:eastAsia="Calibri" w:cs="Arial"/>
          <w:sz w:val="20"/>
          <w:szCs w:val="20"/>
          <w:lang w:val="es-ES_tradnl"/>
        </w:rPr>
      </w:pPr>
    </w:p>
    <w:p w:rsidR="008E3709" w:rsidP="00BA58F0" w:rsidRDefault="008E3709" w14:paraId="71EDAE6D" w14:textId="77777777">
      <w:pPr>
        <w:jc w:val="both"/>
        <w:rPr>
          <w:rFonts w:ascii="Arial" w:hAnsi="Arial" w:eastAsia="Calibri" w:cs="Arial"/>
          <w:sz w:val="20"/>
          <w:szCs w:val="20"/>
          <w:lang w:val="es-ES_tradnl"/>
        </w:rPr>
      </w:pPr>
      <w:r w:rsidRPr="008E3709">
        <w:rPr>
          <w:rFonts w:ascii="Arial" w:hAnsi="Arial" w:eastAsia="Calibri" w:cs="Arial"/>
          <w:sz w:val="20"/>
          <w:szCs w:val="20"/>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w:t>
      </w:r>
      <w:proofErr w:type="spellStart"/>
      <w:r w:rsidRPr="008E3709">
        <w:rPr>
          <w:rFonts w:ascii="Arial" w:hAnsi="Arial" w:eastAsia="Calibri" w:cs="Arial"/>
          <w:sz w:val="20"/>
          <w:szCs w:val="20"/>
          <w:lang w:val="es-ES_tradnl"/>
        </w:rPr>
        <w:t>neopunitivo</w:t>
      </w:r>
      <w:proofErr w:type="spellEnd"/>
      <w:proofErr w:type="gramStart"/>
      <w:r w:rsidRPr="008E3709">
        <w:rPr>
          <w:rFonts w:ascii="Arial" w:hAnsi="Arial" w:eastAsia="Calibri" w:cs="Arial"/>
          <w:sz w:val="20"/>
          <w:szCs w:val="20"/>
          <w:lang w:val="es-ES_tradnl"/>
        </w:rPr>
        <w:t>» .</w:t>
      </w:r>
      <w:proofErr w:type="gramEnd"/>
      <w:r w:rsidRPr="008E3709">
        <w:rPr>
          <w:rFonts w:ascii="Arial" w:hAnsi="Arial" w:eastAsia="Calibri" w:cs="Arial"/>
          <w:sz w:val="20"/>
          <w:szCs w:val="20"/>
          <w:lang w:val="es-ES_tradnl"/>
        </w:rPr>
        <w:t xml:space="preserve">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r>
        <w:rPr>
          <w:rFonts w:ascii="Arial" w:hAnsi="Arial" w:eastAsia="Calibri" w:cs="Arial"/>
          <w:sz w:val="20"/>
          <w:szCs w:val="20"/>
          <w:lang w:val="es-ES_tradnl"/>
        </w:rPr>
        <w:t>.</w:t>
      </w:r>
    </w:p>
    <w:p w:rsidR="008E3709" w:rsidP="00BA58F0" w:rsidRDefault="008E3709" w14:paraId="0AD073E7" w14:textId="77777777">
      <w:pPr>
        <w:jc w:val="both"/>
        <w:rPr>
          <w:rFonts w:ascii="Arial" w:hAnsi="Arial" w:eastAsia="Calibri" w:cs="Arial"/>
          <w:sz w:val="20"/>
          <w:szCs w:val="20"/>
          <w:lang w:val="es-ES_tradnl"/>
        </w:rPr>
      </w:pPr>
    </w:p>
    <w:p w:rsidRPr="00E810BE" w:rsidR="00056AFD" w:rsidP="00BA58F0" w:rsidRDefault="00312813" w14:paraId="4D5DDFC9" w14:textId="46497313">
      <w:pPr>
        <w:jc w:val="both"/>
        <w:rPr>
          <w:rFonts w:ascii="Arial" w:hAnsi="Arial" w:eastAsia="Calibri" w:cs="Arial"/>
          <w:sz w:val="22"/>
          <w:lang w:val="es-ES_tradnl"/>
        </w:rPr>
      </w:pPr>
      <w:r w:rsidRPr="00E810BE">
        <w:rPr>
          <w:rFonts w:ascii="Arial" w:hAnsi="Arial" w:eastAsia="Calibri" w:cs="Arial"/>
          <w:b/>
          <w:bCs/>
          <w:sz w:val="22"/>
          <w:lang w:val="es-ES_tradnl"/>
        </w:rPr>
        <w:t>INHABILIDADES E INCOMPATIBILIDADES – Principio de legalidad – Interpretación restrictiva</w:t>
      </w:r>
    </w:p>
    <w:p w:rsidRPr="00E810BE" w:rsidR="00312813" w:rsidP="00BA58F0" w:rsidRDefault="00312813" w14:paraId="4DC4E846" w14:textId="77777777">
      <w:pPr>
        <w:jc w:val="both"/>
        <w:rPr>
          <w:rFonts w:ascii="Arial" w:hAnsi="Arial" w:eastAsia="Calibri" w:cs="Arial"/>
          <w:sz w:val="20"/>
          <w:szCs w:val="20"/>
          <w:lang w:val="es-ES_tradnl"/>
        </w:rPr>
      </w:pPr>
    </w:p>
    <w:p w:rsidRPr="00E810BE" w:rsidR="00244069" w:rsidP="00BA58F0" w:rsidRDefault="00244069" w14:paraId="0E092756" w14:textId="495E938E">
      <w:pPr>
        <w:spacing w:after="120"/>
        <w:jc w:val="both"/>
        <w:rPr>
          <w:rFonts w:ascii="Arial" w:hAnsi="Arial" w:eastAsia="Calibri" w:cs="Arial"/>
          <w:sz w:val="20"/>
          <w:szCs w:val="20"/>
          <w:lang w:val="es-ES_tradnl"/>
        </w:rPr>
      </w:pPr>
      <w:r w:rsidRPr="00E810BE">
        <w:rPr>
          <w:rFonts w:ascii="Arial" w:hAnsi="Arial" w:eastAsia="Calibri" w:cs="Arial"/>
          <w:sz w:val="20"/>
          <w:szCs w:val="20"/>
          <w:lang w:val="es-ES_tradnl"/>
        </w:rPr>
        <w:t xml:space="preserve">[..]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proofErr w:type="gramStart"/>
      <w:r w:rsidRPr="00E810BE">
        <w:rPr>
          <w:rFonts w:ascii="Arial" w:hAnsi="Arial" w:eastAsia="Calibri" w:cs="Arial"/>
          <w:sz w:val="20"/>
          <w:szCs w:val="20"/>
          <w:lang w:val="es-ES_tradnl"/>
        </w:rPr>
        <w:t>restrictiva  y</w:t>
      </w:r>
      <w:proofErr w:type="gramEnd"/>
      <w:r w:rsidRPr="00E810BE">
        <w:rPr>
          <w:rFonts w:ascii="Arial" w:hAnsi="Arial" w:eastAsia="Calibri" w:cs="Arial"/>
          <w:sz w:val="20"/>
          <w:szCs w:val="20"/>
          <w:lang w:val="es-ES_tradnl"/>
        </w:rPr>
        <w:t xml:space="preserve"> apegada al texto normativo.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w:t>
      </w:r>
    </w:p>
    <w:p w:rsidRPr="00E810BE" w:rsidR="00244069" w:rsidP="00BA58F0" w:rsidRDefault="00244069" w14:paraId="614334D4" w14:textId="77777777">
      <w:pPr>
        <w:jc w:val="both"/>
        <w:rPr>
          <w:rFonts w:ascii="Arial" w:hAnsi="Arial" w:eastAsia="Calibri" w:cs="Arial"/>
          <w:sz w:val="20"/>
          <w:szCs w:val="20"/>
          <w:lang w:val="es-ES_tradnl"/>
        </w:rPr>
      </w:pPr>
      <w:r w:rsidRPr="00E810BE">
        <w:rPr>
          <w:rFonts w:ascii="Arial" w:hAnsi="Arial" w:eastAsia="Calibri" w:cs="Arial"/>
          <w:sz w:val="20"/>
          <w:szCs w:val="20"/>
          <w:lang w:val="es-ES_tradnl"/>
        </w:rPr>
        <w:t xml:space="preserve">[…]el principio pro </w:t>
      </w:r>
      <w:proofErr w:type="spellStart"/>
      <w:r w:rsidRPr="00E810BE">
        <w:rPr>
          <w:rFonts w:ascii="Arial" w:hAnsi="Arial" w:eastAsia="Calibri" w:cs="Arial"/>
          <w:sz w:val="20"/>
          <w:szCs w:val="20"/>
          <w:lang w:val="es-ES_tradnl"/>
        </w:rPr>
        <w:t>libertate</w:t>
      </w:r>
      <w:proofErr w:type="spellEnd"/>
      <w:r w:rsidRPr="00E810BE">
        <w:rPr>
          <w:rFonts w:ascii="Arial" w:hAnsi="Arial" w:eastAsia="Calibri" w:cs="Arial"/>
          <w:sz w:val="20"/>
          <w:szCs w:val="20"/>
          <w:lang w:val="es-ES_tradnl"/>
        </w:rPr>
        <w:t xml:space="preserve"> es el que debe dirigir la interpretación de las disposiciones normativas que consagran restricciones de derechos, como sucede con las causales de inhabilidad e incompatibilidad en la contratación estatal. En conclusión, el régimen de inhabilidades e incompatibilidades está concebido como un conjunto de restricciones a la capacidad para presentar ofertas y contratar con el Estado, por lo que ninguna persona natural o jurídica que se encuentre incurso en alguna causal estará en la posibilidad de suscribir contratos con alguna entidad estatal. No obstante, al estar estas causales sometidas a interpretación y aplicación restrictiva, deberá analizarse en el caso concreto si efectivamente la respectiva persona se encuentra incursa en el supuesto de hecho que da lugar a la configuración de la inhabilidad o incompatibilidad, en virtud de la que opera la restricción a la capacidad para contratar.</w:t>
      </w:r>
    </w:p>
    <w:p w:rsidRPr="00E810BE" w:rsidR="00244069" w:rsidP="00BA58F0" w:rsidRDefault="00244069" w14:paraId="632F6403" w14:textId="77777777">
      <w:pPr>
        <w:jc w:val="both"/>
        <w:rPr>
          <w:rFonts w:ascii="Arial" w:hAnsi="Arial" w:eastAsia="Calibri" w:cs="Arial"/>
          <w:sz w:val="20"/>
          <w:szCs w:val="20"/>
          <w:lang w:val="es-ES_tradnl"/>
        </w:rPr>
      </w:pPr>
    </w:p>
    <w:p w:rsidRPr="00E810BE" w:rsidR="00312813" w:rsidP="00BA58F0" w:rsidRDefault="00312813" w14:paraId="57D29A38" w14:textId="22BAD9D8">
      <w:pPr>
        <w:jc w:val="both"/>
        <w:rPr>
          <w:rFonts w:ascii="Arial" w:hAnsi="Arial" w:eastAsia="Calibri" w:cs="Arial"/>
          <w:sz w:val="20"/>
          <w:szCs w:val="20"/>
          <w:lang w:val="es-ES_tradnl"/>
        </w:rPr>
      </w:pPr>
      <w:r w:rsidRPr="00E810BE">
        <w:rPr>
          <w:rFonts w:ascii="Arial" w:hAnsi="Arial" w:eastAsia="Calibri" w:cs="Arial"/>
          <w:sz w:val="20"/>
          <w:szCs w:val="20"/>
          <w:lang w:val="es-ES_tradnl"/>
        </w:rPr>
        <w:t>Conforme a lo anterior, el conflicto sobre la aplicación de una ley se presenta cuando en vigencia de la ley anterior nace un hecho allí previsto, sin que se consolide situación jurídica alguna, pero los efectos se producen bajo la vigencia de la ley posterior, o cuando se realiza un hecho jurídico bajo la ley anterior pero la ley posterior contempla nuevas condiciones para el reconocimiento de sus efectos; es decir, en vigencia de la ley anterior solo se presentaron situaciones que generaron una simple expectativa</w:t>
      </w:r>
    </w:p>
    <w:p w:rsidRPr="00E810BE" w:rsidR="00312813" w:rsidP="00BA58F0" w:rsidRDefault="00312813" w14:paraId="0F3E0934" w14:textId="77777777">
      <w:pPr>
        <w:jc w:val="both"/>
        <w:rPr>
          <w:rFonts w:ascii="Arial" w:hAnsi="Arial" w:eastAsia="Calibri" w:cs="Arial"/>
          <w:b/>
          <w:bCs/>
          <w:sz w:val="22"/>
          <w:lang w:val="es-ES_tradnl"/>
        </w:rPr>
      </w:pPr>
    </w:p>
    <w:p w:rsidRPr="00E810BE" w:rsidR="00312813" w:rsidP="00BA58F0" w:rsidRDefault="00312813" w14:paraId="2C8C3EA5" w14:textId="1C7352D9">
      <w:pPr>
        <w:jc w:val="both"/>
        <w:rPr>
          <w:rFonts w:ascii="Arial" w:hAnsi="Arial" w:eastAsia="Calibri" w:cs="Arial"/>
          <w:sz w:val="22"/>
          <w:lang w:val="es-ES_tradnl"/>
        </w:rPr>
      </w:pPr>
      <w:r w:rsidRPr="00E810BE">
        <w:rPr>
          <w:rFonts w:ascii="Arial" w:hAnsi="Arial" w:eastAsia="Calibri" w:cs="Arial"/>
          <w:b/>
          <w:bCs/>
          <w:sz w:val="22"/>
          <w:lang w:val="es-ES_tradnl"/>
        </w:rPr>
        <w:t>INHABILIDADES E INCOMPATIBILIDADES – Incumplimiento reiterado – Modificación – Ley 1955 de 2019 – Aplicación – Irretroactividad</w:t>
      </w:r>
    </w:p>
    <w:p w:rsidRPr="00E810BE" w:rsidR="00312813" w:rsidP="00BA58F0" w:rsidRDefault="00312813" w14:paraId="63F441C6" w14:textId="77777777">
      <w:pPr>
        <w:jc w:val="both"/>
        <w:rPr>
          <w:rFonts w:ascii="Arial" w:hAnsi="Arial" w:eastAsia="Calibri" w:cs="Arial"/>
          <w:sz w:val="20"/>
          <w:szCs w:val="20"/>
          <w:lang w:val="es-ES_tradnl"/>
        </w:rPr>
      </w:pPr>
    </w:p>
    <w:p w:rsidRPr="00E810BE" w:rsidR="00244069" w:rsidP="00BA58F0" w:rsidRDefault="00244069" w14:paraId="15CDEEE7" w14:textId="77777777">
      <w:pPr>
        <w:spacing w:after="120"/>
        <w:jc w:val="both"/>
        <w:rPr>
          <w:rFonts w:ascii="Arial" w:hAnsi="Arial" w:eastAsia="Calibri" w:cs="Arial"/>
          <w:sz w:val="20"/>
          <w:szCs w:val="20"/>
          <w:lang w:val="es-ES_tradnl"/>
        </w:rPr>
      </w:pPr>
      <w:r w:rsidRPr="00E810BE">
        <w:rPr>
          <w:rFonts w:ascii="Arial" w:hAnsi="Arial" w:eastAsia="Calibri" w:cs="Arial"/>
          <w:sz w:val="20"/>
          <w:szCs w:val="20"/>
          <w:lang w:val="es-ES_tradnl"/>
        </w:rPr>
        <w:t xml:space="preserve">El artículo 43 de la Ley 1955 de 2019, que modificó el artículo 90 de la Ley 1474 de 2011, rige a partir de su expedición, lo que implica que las sanciones anteriores al 25 de mayo de 2019 no se deben acumular para configurar la inhabilidad por incumplimiento reiterado, a menos que durante la </w:t>
      </w:r>
      <w:r w:rsidRPr="00E810BE">
        <w:rPr>
          <w:rFonts w:ascii="Arial" w:hAnsi="Arial" w:eastAsia="Calibri" w:cs="Arial"/>
          <w:sz w:val="20"/>
          <w:szCs w:val="20"/>
          <w:lang w:val="es-ES_tradnl"/>
        </w:rPr>
        <w:lastRenderedPageBreak/>
        <w:t>vigencia del artículo 90 de la Ley 1474 de 2011 -original- se haya consolidado la respectiva situación jurídica, dando lugar a la configuración de la inhabilidad. En este sentido, las sanciones impuestas y declaratorias de incumplimiento consolidadas con anterioridad a dicha fecha no deben tenerse en cuenta para determinar la configuración de la inhabilidad bajo el artículo 43 de la Ley 1955 de 2019.</w:t>
      </w:r>
    </w:p>
    <w:p w:rsidR="001058E7" w:rsidP="00BA58F0" w:rsidRDefault="00244069" w14:paraId="1A7FB2ED" w14:textId="4C8CAF95">
      <w:pPr>
        <w:jc w:val="both"/>
        <w:rPr>
          <w:rFonts w:ascii="Arial" w:hAnsi="Arial" w:eastAsia="Calibri" w:cs="Arial"/>
          <w:sz w:val="20"/>
          <w:szCs w:val="20"/>
          <w:lang w:val="es-ES_tradnl"/>
        </w:rPr>
      </w:pPr>
      <w:r w:rsidRPr="00E810BE">
        <w:rPr>
          <w:rFonts w:ascii="Arial" w:hAnsi="Arial" w:eastAsia="Calibri" w:cs="Arial"/>
          <w:sz w:val="20"/>
          <w:szCs w:val="20"/>
          <w:lang w:val="es-ES_tradnl"/>
        </w:rPr>
        <w:t xml:space="preserve">En este orden, la inhabilidad por incumplimiento reiterado, prescrita en el artículo 90 de la Ley 1474 de 2011, modificado por el artículo 43 de la Ley 1955 de 2019, de conformidad con la posición hermenéutica explicada por e la Agencia Nacional de Contratación Pública, aplica frente a incumplimientos y sanciones impuestas con posterioridad al 25 de mayo de 2019, fecha de </w:t>
      </w:r>
      <w:proofErr w:type="gramStart"/>
      <w:r w:rsidRPr="00E810BE">
        <w:rPr>
          <w:rFonts w:ascii="Arial" w:hAnsi="Arial" w:eastAsia="Calibri" w:cs="Arial"/>
          <w:sz w:val="20"/>
          <w:szCs w:val="20"/>
          <w:lang w:val="es-ES_tradnl"/>
        </w:rPr>
        <w:t>entrada en vigencia</w:t>
      </w:r>
      <w:proofErr w:type="gramEnd"/>
      <w:r w:rsidRPr="00E810BE">
        <w:rPr>
          <w:rFonts w:ascii="Arial" w:hAnsi="Arial" w:eastAsia="Calibri" w:cs="Arial"/>
          <w:sz w:val="20"/>
          <w:szCs w:val="20"/>
          <w:lang w:val="es-ES_tradnl"/>
        </w:rPr>
        <w:t xml:space="preserve"> de la Ley 1955 de 2019.</w:t>
      </w:r>
    </w:p>
    <w:p w:rsidRPr="009733E0" w:rsidR="009733E0" w:rsidP="00BA58F0" w:rsidRDefault="009733E0" w14:paraId="4C38CB9B" w14:textId="39E7E967">
      <w:pPr>
        <w:jc w:val="both"/>
        <w:rPr>
          <w:rFonts w:ascii="Arial" w:hAnsi="Arial" w:eastAsia="Calibri" w:cs="Arial"/>
          <w:b/>
          <w:sz w:val="20"/>
          <w:szCs w:val="20"/>
          <w:lang w:val="es-ES_tradnl"/>
        </w:rPr>
      </w:pPr>
    </w:p>
    <w:p w:rsidRPr="009733E0" w:rsidR="009733E0" w:rsidP="00BA58F0" w:rsidRDefault="009733E0" w14:paraId="10F1E412" w14:textId="11DFD496">
      <w:pPr>
        <w:jc w:val="both"/>
        <w:rPr>
          <w:rFonts w:ascii="Arial" w:hAnsi="Arial" w:eastAsia="Calibri" w:cs="Arial"/>
          <w:b/>
          <w:sz w:val="20"/>
          <w:szCs w:val="20"/>
          <w:lang w:val="es-ES_tradnl"/>
        </w:rPr>
      </w:pPr>
      <w:r w:rsidRPr="009733E0">
        <w:rPr>
          <w:rFonts w:ascii="Arial" w:hAnsi="Arial" w:eastAsia="Calibri" w:cs="Arial"/>
          <w:b/>
          <w:sz w:val="22"/>
          <w:lang w:val="es-ES_tradnl"/>
        </w:rPr>
        <w:t>CLÁUSULA PENAL PECUNIARIA – Registro único de proponentes – Publicidad – Permanencia</w:t>
      </w:r>
      <w:r w:rsidR="00BA58F0">
        <w:rPr>
          <w:rFonts w:ascii="Arial" w:hAnsi="Arial" w:eastAsia="Calibri" w:cs="Arial"/>
          <w:b/>
          <w:sz w:val="22"/>
          <w:lang w:val="es-ES_tradnl"/>
        </w:rPr>
        <w:t xml:space="preserve"> – Término de tres (3) años </w:t>
      </w:r>
    </w:p>
    <w:p w:rsidRPr="00BA58F0" w:rsidR="00BA58F0" w:rsidP="00BA58F0" w:rsidRDefault="00BA58F0" w14:paraId="59AF8110" w14:textId="77777777">
      <w:pPr>
        <w:spacing w:after="120"/>
        <w:jc w:val="both"/>
        <w:rPr>
          <w:rFonts w:ascii="Arial" w:hAnsi="Arial" w:cs="Arial"/>
          <w:sz w:val="20"/>
          <w:szCs w:val="20"/>
        </w:rPr>
      </w:pPr>
    </w:p>
    <w:p w:rsidRPr="00BA58F0" w:rsidR="00BA58F0" w:rsidP="00BA58F0" w:rsidRDefault="00BA58F0" w14:paraId="69FD88E9" w14:textId="6FFCC57E">
      <w:pPr>
        <w:spacing w:after="120"/>
        <w:jc w:val="both"/>
        <w:rPr>
          <w:rFonts w:ascii="Arial" w:hAnsi="Arial" w:eastAsia="Calibri" w:cs="Arial"/>
          <w:iCs/>
          <w:sz w:val="20"/>
          <w:szCs w:val="20"/>
        </w:rPr>
      </w:pPr>
      <w:r w:rsidRPr="00BA58F0">
        <w:rPr>
          <w:rFonts w:ascii="Arial" w:hAnsi="Arial" w:cs="Arial"/>
          <w:sz w:val="20"/>
          <w:szCs w:val="20"/>
        </w:rPr>
        <w:t>Es</w:t>
      </w:r>
      <w:r w:rsidRPr="00BA58F0" w:rsidR="009733E0">
        <w:rPr>
          <w:rFonts w:ascii="Arial" w:hAnsi="Arial" w:cs="Arial"/>
          <w:sz w:val="20"/>
          <w:szCs w:val="20"/>
        </w:rPr>
        <w:t xml:space="preserve"> necesario integrar el artículo </w:t>
      </w:r>
      <w:r w:rsidRPr="00BA58F0" w:rsidR="009733E0">
        <w:rPr>
          <w:rFonts w:ascii="Arial" w:hAnsi="Arial" w:cs="Arial"/>
          <w:iCs/>
          <w:sz w:val="20"/>
          <w:szCs w:val="20"/>
        </w:rPr>
        <w:t xml:space="preserve">2.2.1.1.1.5.7 del Decreto 1082 de 2015 con </w:t>
      </w:r>
      <w:r w:rsidRPr="00BA58F0" w:rsidR="009733E0">
        <w:rPr>
          <w:rFonts w:ascii="Arial" w:hAnsi="Arial" w:cs="Arial"/>
          <w:sz w:val="20"/>
          <w:szCs w:val="20"/>
        </w:rPr>
        <w:t>el artículo 90 de la Ley 1474 de 2020</w:t>
      </w:r>
      <w:r w:rsidRPr="00BA58F0" w:rsidR="009733E0">
        <w:rPr>
          <w:rFonts w:ascii="Arial" w:hAnsi="Arial" w:cs="Arial"/>
          <w:iCs/>
          <w:sz w:val="20"/>
          <w:szCs w:val="20"/>
        </w:rPr>
        <w:t xml:space="preserve">. Al respecto, este último dispone que la inhabilidad por incumplimiento reiterado se extenderá por un término de tres (3) años, contados a partir de la publicación del acto administrativo que impone la inscripción de la última multa o incumplimiento en el Registro Único de Proponentes, de acuerdo con la información remitida por las entidades públicas. Dado que el artículo 17 de la Ley 1150 de 2007 dispone que las entidades estatales podrán declarar el incumplimiento con el propósito de hacer efectiva la cláusula penal, esta es una de las sanciones contractuales que deben </w:t>
      </w:r>
      <w:r w:rsidRPr="00BA58F0" w:rsidR="009733E0">
        <w:rPr>
          <w:rFonts w:ascii="Arial" w:hAnsi="Arial" w:cs="Arial"/>
          <w:i/>
          <w:sz w:val="20"/>
          <w:szCs w:val="20"/>
        </w:rPr>
        <w:t>reportarse</w:t>
      </w:r>
      <w:r w:rsidRPr="00BA58F0" w:rsidR="009733E0">
        <w:rPr>
          <w:rFonts w:ascii="Arial" w:hAnsi="Arial" w:cs="Arial"/>
          <w:iCs/>
          <w:sz w:val="20"/>
          <w:szCs w:val="20"/>
        </w:rPr>
        <w:t xml:space="preserve"> a la cámara de comercio e </w:t>
      </w:r>
      <w:r w:rsidRPr="00BA58F0" w:rsidR="009733E0">
        <w:rPr>
          <w:rFonts w:ascii="Arial" w:hAnsi="Arial" w:cs="Arial"/>
          <w:i/>
          <w:sz w:val="20"/>
          <w:szCs w:val="20"/>
        </w:rPr>
        <w:t>inscribirse</w:t>
      </w:r>
      <w:r w:rsidRPr="00BA58F0" w:rsidR="009733E0">
        <w:rPr>
          <w:rFonts w:ascii="Arial" w:hAnsi="Arial" w:cs="Arial"/>
          <w:iCs/>
          <w:sz w:val="20"/>
          <w:szCs w:val="20"/>
        </w:rPr>
        <w:t xml:space="preserve"> en RUP de acuerdo con el artículo 2.2.1.1.1.5.7 del Decreto 1082 de 2015. Ahora bien, considerando que el reglamento guardó silencio sobre </w:t>
      </w:r>
      <w:r w:rsidRPr="00BA58F0" w:rsidR="009733E0">
        <w:rPr>
          <w:rFonts w:ascii="Arial" w:hAnsi="Arial" w:eastAsia="Calibri" w:cs="Arial"/>
          <w:iCs/>
          <w:sz w:val="20"/>
          <w:szCs w:val="20"/>
        </w:rPr>
        <w:t xml:space="preserve">el </w:t>
      </w:r>
      <w:r w:rsidRPr="00BA58F0" w:rsidR="009733E0">
        <w:rPr>
          <w:rFonts w:ascii="Arial" w:hAnsi="Arial" w:eastAsia="Calibri" w:cs="Arial"/>
          <w:i/>
          <w:sz w:val="20"/>
          <w:szCs w:val="20"/>
        </w:rPr>
        <w:t>término de permanencia</w:t>
      </w:r>
      <w:r w:rsidRPr="00BA58F0" w:rsidR="009733E0">
        <w:rPr>
          <w:rFonts w:ascii="Arial" w:hAnsi="Arial" w:eastAsia="Calibri" w:cs="Arial"/>
          <w:iCs/>
          <w:sz w:val="20"/>
          <w:szCs w:val="20"/>
        </w:rPr>
        <w:t xml:space="preserve"> de la anotación de la cláusula penal pecuniaria, la Agencia estima que esta deberá constar en el registro por un término de tres (3) años contados a partir de la publicación de </w:t>
      </w:r>
      <w:proofErr w:type="gramStart"/>
      <w:r w:rsidRPr="00BA58F0" w:rsidR="009733E0">
        <w:rPr>
          <w:rFonts w:ascii="Arial" w:hAnsi="Arial" w:eastAsia="Calibri" w:cs="Arial"/>
          <w:iCs/>
          <w:sz w:val="20"/>
          <w:szCs w:val="20"/>
        </w:rPr>
        <w:t>la misma</w:t>
      </w:r>
      <w:proofErr w:type="gramEnd"/>
      <w:r w:rsidRPr="00BA58F0" w:rsidR="009733E0">
        <w:rPr>
          <w:rFonts w:ascii="Arial" w:hAnsi="Arial" w:eastAsia="Calibri" w:cs="Arial"/>
          <w:iCs/>
          <w:sz w:val="20"/>
          <w:szCs w:val="20"/>
        </w:rPr>
        <w:t xml:space="preserve">. </w:t>
      </w:r>
    </w:p>
    <w:p w:rsidRPr="00BA58F0" w:rsidR="009733E0" w:rsidP="00BA58F0" w:rsidRDefault="009733E0" w14:paraId="6081F665" w14:textId="67C27CF5">
      <w:pPr>
        <w:spacing w:after="120"/>
        <w:jc w:val="both"/>
        <w:rPr>
          <w:rFonts w:ascii="Arial" w:hAnsi="Arial" w:eastAsia="Calibri" w:cs="Arial"/>
          <w:iCs/>
          <w:sz w:val="20"/>
          <w:szCs w:val="20"/>
        </w:rPr>
      </w:pPr>
      <w:r w:rsidRPr="00BA58F0">
        <w:rPr>
          <w:rFonts w:ascii="Arial" w:hAnsi="Arial" w:eastAsia="Calibri" w:cs="Arial"/>
          <w:iCs/>
          <w:sz w:val="20"/>
          <w:szCs w:val="20"/>
        </w:rPr>
        <w:t xml:space="preserve">Esta postura permite armonizar el Decreto Único Reglamentario del Sector de Planeación Nacional con el Estatuto Anticorrupción –incluyendo sus modificaciones posteriores–, ya que –conforme a lo explicado </w:t>
      </w:r>
      <w:r w:rsidRPr="00BA58F0">
        <w:rPr>
          <w:rFonts w:ascii="Arial" w:hAnsi="Arial" w:eastAsia="Calibri" w:cs="Arial"/>
          <w:i/>
          <w:sz w:val="20"/>
          <w:szCs w:val="20"/>
        </w:rPr>
        <w:t>ut supra</w:t>
      </w:r>
      <w:r w:rsidRPr="00BA58F0">
        <w:rPr>
          <w:rFonts w:ascii="Arial" w:hAnsi="Arial" w:eastAsia="Calibri" w:cs="Arial"/>
          <w:iCs/>
          <w:sz w:val="20"/>
          <w:szCs w:val="20"/>
        </w:rPr>
        <w:t>– es necesaria la publicidad de las sanciones contractuales, especialmente, cuando el incumplimiento reiterado genera una inhabilidad para contratar con el Estado en los términos del artículo 90 de la Ley 1474 de 2011 –modificado por el artículo 43 de la Ley 1955 de 2019–. Esta forma de integrar el ordenamiento también es congruente con el artículo 30 del Código Civil, pues mediante este parámetro hermenéutico la norma –equivalente en la codificación chilena de 1855– pretendió que «Las expresiones equívocas u oscuras deben interpretarse por medio de los términos claros y precisos que con relación a la materia de que se trata ha empleado el autor en otras partes del mismo escrito, o en otra ocasión semejante». Incluso, con esta pauta también se explicó que «Debe ser tal la interpretación, que entre todas las cláusulas del razonamiento haya la mayor consonancia; salvo que aparezca que en las últimas se ha querido modificar las primeras. Otro tanto se aplica a los diferentes tratados que se refieren a un mismo asunto».</w:t>
      </w:r>
    </w:p>
    <w:p w:rsidRPr="00E810BE" w:rsidR="009733E0" w:rsidP="00244069" w:rsidRDefault="009733E0" w14:paraId="38851791" w14:textId="77777777">
      <w:pPr>
        <w:jc w:val="both"/>
        <w:rPr>
          <w:rFonts w:ascii="Arial" w:hAnsi="Arial" w:eastAsia="Calibri" w:cs="Arial"/>
          <w:sz w:val="20"/>
          <w:szCs w:val="20"/>
          <w:lang w:val="es-ES_tradnl"/>
        </w:rPr>
      </w:pPr>
    </w:p>
    <w:p w:rsidRPr="00E810BE" w:rsidR="001058E7" w:rsidRDefault="001058E7" w14:paraId="26B2A318" w14:textId="77777777">
      <w:pPr>
        <w:spacing w:after="200" w:line="276" w:lineRule="auto"/>
        <w:rPr>
          <w:rFonts w:ascii="Arial" w:hAnsi="Arial" w:eastAsia="Calibri" w:cs="Arial"/>
          <w:sz w:val="20"/>
          <w:szCs w:val="20"/>
          <w:lang w:val="es-ES_tradnl"/>
        </w:rPr>
      </w:pPr>
      <w:r w:rsidRPr="3667D875">
        <w:rPr>
          <w:rFonts w:ascii="Arial" w:hAnsi="Arial" w:eastAsia="Calibri" w:cs="Arial"/>
          <w:sz w:val="20"/>
          <w:szCs w:val="20"/>
          <w:lang w:val="es-ES"/>
        </w:rPr>
        <w:br w:type="page"/>
      </w:r>
    </w:p>
    <w:p w:rsidRPr="00E810BE" w:rsidR="00907404" w:rsidP="3667D875" w:rsidRDefault="00907404" w14:paraId="25B4823B" w14:textId="38DC556C">
      <w:pPr>
        <w:pStyle w:val="Normal"/>
        <w:autoSpaceDE w:val="0"/>
        <w:autoSpaceDN w:val="0"/>
        <w:adjustRightInd w:val="0"/>
        <w:ind w:left="6372"/>
        <w:rPr>
          <w:sz w:val="24"/>
          <w:szCs w:val="24"/>
          <w:lang w:val="es-CO"/>
        </w:rPr>
      </w:pPr>
      <w:r w:rsidR="3667D875">
        <w:drawing>
          <wp:inline wp14:editId="4B595AE8" wp14:anchorId="3DFF49A8">
            <wp:extent cx="1790700" cy="495300"/>
            <wp:effectExtent l="0" t="0" r="0" b="0"/>
            <wp:docPr id="696961743" name="" title=""/>
            <wp:cNvGraphicFramePr>
              <a:graphicFrameLocks noChangeAspect="1"/>
            </wp:cNvGraphicFramePr>
            <a:graphic>
              <a:graphicData uri="http://schemas.openxmlformats.org/drawingml/2006/picture">
                <pic:pic>
                  <pic:nvPicPr>
                    <pic:cNvPr id="0" name=""/>
                    <pic:cNvPicPr/>
                  </pic:nvPicPr>
                  <pic:blipFill>
                    <a:blip r:embed="R8d7a306afd6b4bc5">
                      <a:extLst>
                        <a:ext xmlns:a="http://schemas.openxmlformats.org/drawingml/2006/main" uri="{28A0092B-C50C-407E-A947-70E740481C1C}">
                          <a14:useLocalDpi val="0"/>
                        </a:ext>
                      </a:extLst>
                    </a:blip>
                    <a:stretch>
                      <a:fillRect/>
                    </a:stretch>
                  </pic:blipFill>
                  <pic:spPr>
                    <a:xfrm>
                      <a:off x="0" y="0"/>
                      <a:ext cx="1790700" cy="495300"/>
                    </a:xfrm>
                    <a:prstGeom prst="rect">
                      <a:avLst/>
                    </a:prstGeom>
                  </pic:spPr>
                </pic:pic>
              </a:graphicData>
            </a:graphic>
          </wp:inline>
        </w:drawing>
      </w:r>
      <w:bookmarkStart w:name="_Hlk58263829" w:id="3"/>
    </w:p>
    <w:p w:rsidRPr="00E810BE" w:rsidR="001A663E" w:rsidP="00907404" w:rsidRDefault="001A663E" w14:paraId="1C1FA376" w14:textId="77777777">
      <w:pPr>
        <w:autoSpaceDE w:val="0"/>
        <w:autoSpaceDN w:val="0"/>
        <w:adjustRightInd w:val="0"/>
        <w:rPr>
          <w:rFonts w:ascii="Arial" w:hAnsi="Arial" w:cs="Arial"/>
          <w:color w:val="000000"/>
          <w:sz w:val="22"/>
          <w:lang w:val="es-CO"/>
        </w:rPr>
      </w:pPr>
    </w:p>
    <w:p w:rsidRPr="00E810BE" w:rsidR="00E8497D" w:rsidP="3667D875" w:rsidRDefault="00E8497D" w14:paraId="42BF74A5" w14:textId="1AA58CDA">
      <w:pPr>
        <w:pStyle w:val="Normal"/>
        <w:spacing w:line="276" w:lineRule="auto"/>
      </w:pPr>
      <w:r w:rsidRPr="3667D875" w:rsidR="00E8497D">
        <w:rPr>
          <w:rFonts w:ascii="Arial" w:hAnsi="Arial" w:cs="Arial"/>
          <w:sz w:val="22"/>
          <w:szCs w:val="22"/>
          <w:lang w:val="es-CO"/>
        </w:rPr>
        <w:t xml:space="preserve">Bogotá D.C.,  25 Marzo 2022                                                          </w:t>
      </w:r>
    </w:p>
    <w:p w:rsidRPr="00E810BE" w:rsidR="00D30BDC" w:rsidP="00E8497D" w:rsidRDefault="00D30BDC" w14:paraId="3BD155D9" w14:textId="77777777">
      <w:pPr>
        <w:spacing w:line="276" w:lineRule="auto"/>
        <w:rPr>
          <w:rFonts w:ascii="Arial" w:hAnsi="Arial" w:cs="Arial"/>
          <w:sz w:val="22"/>
          <w:lang w:val="es-CO"/>
        </w:rPr>
      </w:pPr>
    </w:p>
    <w:p w:rsidRPr="00E810BE" w:rsidR="00354681" w:rsidP="00D1044A" w:rsidRDefault="00354681" w14:paraId="22A456AE" w14:textId="77777777">
      <w:pPr>
        <w:rPr>
          <w:rFonts w:ascii="Arial" w:hAnsi="Arial" w:eastAsia="Calibri" w:cs="Arial"/>
          <w:sz w:val="22"/>
          <w:lang w:val="pt-BR"/>
        </w:rPr>
      </w:pPr>
    </w:p>
    <w:p w:rsidRPr="00E810BE" w:rsidR="00D30BDC" w:rsidP="00D30BDC" w:rsidRDefault="00D30BDC" w14:paraId="78F6CE6A" w14:textId="77777777">
      <w:pPr>
        <w:jc w:val="both"/>
        <w:rPr>
          <w:rFonts w:ascii="Arial" w:hAnsi="Arial" w:eastAsia="Calibri" w:cs="Arial"/>
          <w:color w:val="000000" w:themeColor="text1"/>
          <w:sz w:val="22"/>
          <w:lang w:val="es-ES_tradnl"/>
        </w:rPr>
      </w:pPr>
      <w:bookmarkStart w:name="_Hlk70522007" w:id="4"/>
      <w:r w:rsidRPr="00E810BE">
        <w:rPr>
          <w:rFonts w:ascii="Arial" w:hAnsi="Arial" w:eastAsia="Calibri" w:cs="Arial"/>
          <w:color w:val="000000" w:themeColor="text1"/>
          <w:sz w:val="22"/>
          <w:lang w:val="es-ES_tradnl"/>
        </w:rPr>
        <w:t>Señora</w:t>
      </w:r>
    </w:p>
    <w:p w:rsidRPr="00E810BE" w:rsidR="00D30BDC" w:rsidP="00D30BDC" w:rsidRDefault="00D30BDC" w14:paraId="2F59AAB3" w14:textId="77777777">
      <w:pPr>
        <w:jc w:val="both"/>
        <w:rPr>
          <w:rFonts w:ascii="Arial" w:hAnsi="Arial" w:eastAsia="Calibri" w:cs="Arial"/>
          <w:b/>
          <w:bCs/>
          <w:color w:val="000000" w:themeColor="text1"/>
          <w:sz w:val="22"/>
          <w:lang w:val="es-ES_tradnl"/>
        </w:rPr>
      </w:pPr>
      <w:r w:rsidRPr="00E810BE">
        <w:rPr>
          <w:rFonts w:ascii="Arial" w:hAnsi="Arial" w:eastAsia="Calibri" w:cs="Arial"/>
          <w:b/>
          <w:bCs/>
          <w:color w:val="000000" w:themeColor="text1"/>
          <w:sz w:val="22"/>
          <w:lang w:val="es-ES_tradnl"/>
        </w:rPr>
        <w:t>Lucy Adriana Cely Ramos</w:t>
      </w:r>
    </w:p>
    <w:p w:rsidRPr="00E810BE" w:rsidR="00D30BDC" w:rsidP="00D30BDC" w:rsidRDefault="00D30BDC" w14:paraId="1DF667FA" w14:textId="77777777">
      <w:pPr>
        <w:jc w:val="both"/>
        <w:rPr>
          <w:rFonts w:ascii="Arial" w:hAnsi="Arial" w:eastAsia="Calibri" w:cs="Arial"/>
          <w:color w:val="000000" w:themeColor="text1"/>
          <w:sz w:val="22"/>
          <w:lang w:val="es-ES_tradnl"/>
        </w:rPr>
      </w:pPr>
      <w:r w:rsidRPr="00E810BE">
        <w:rPr>
          <w:rFonts w:ascii="Arial" w:hAnsi="Arial" w:eastAsia="Calibri" w:cs="Arial"/>
          <w:color w:val="000000" w:themeColor="text1"/>
          <w:sz w:val="22"/>
          <w:lang w:val="es-ES_tradnl"/>
        </w:rPr>
        <w:t>Bogotá D.C.</w:t>
      </w:r>
    </w:p>
    <w:p w:rsidRPr="00E810BE" w:rsidR="00D30BDC" w:rsidP="00D30BDC" w:rsidRDefault="00D30BDC" w14:paraId="10FF9839" w14:textId="77777777">
      <w:pPr>
        <w:jc w:val="both"/>
        <w:rPr>
          <w:rFonts w:ascii="Arial" w:hAnsi="Arial" w:eastAsia="Calibri" w:cs="Arial"/>
          <w:color w:val="000000" w:themeColor="text1"/>
          <w:sz w:val="22"/>
          <w:lang w:val="es-ES_tradnl"/>
        </w:rPr>
      </w:pPr>
    </w:p>
    <w:p w:rsidRPr="00E810BE" w:rsidR="00D30BDC" w:rsidP="00D30BDC" w:rsidRDefault="00D30BDC" w14:paraId="387F713D" w14:textId="77777777">
      <w:pPr>
        <w:jc w:val="both"/>
        <w:rPr>
          <w:rFonts w:ascii="Arial" w:hAnsi="Arial" w:eastAsia="Calibri" w:cs="Arial"/>
          <w:color w:val="000000" w:themeColor="text1"/>
          <w:sz w:val="22"/>
          <w:lang w:val="es-ES_tradnl"/>
        </w:rPr>
      </w:pPr>
    </w:p>
    <w:p w:rsidRPr="00E810BE" w:rsidR="00D30BDC" w:rsidP="00D30BDC" w:rsidRDefault="00D30BDC" w14:paraId="0C280349" w14:textId="77777777">
      <w:pPr>
        <w:rPr>
          <w:rFonts w:ascii="Arial" w:hAnsi="Arial" w:eastAsia="Calibri" w:cs="Arial"/>
          <w:b/>
          <w:bCs/>
          <w:color w:val="000000" w:themeColor="text1"/>
          <w:sz w:val="22"/>
          <w:lang w:val="es-ES_tradnl"/>
        </w:rPr>
      </w:pPr>
      <w:r w:rsidRPr="00E810BE">
        <w:rPr>
          <w:rFonts w:ascii="Arial" w:hAnsi="Arial" w:eastAsia="Calibri" w:cs="Arial"/>
          <w:b/>
          <w:bCs/>
          <w:color w:val="000000" w:themeColor="text1"/>
          <w:sz w:val="22"/>
          <w:lang w:val="es-ES_tradnl"/>
        </w:rPr>
        <w:t xml:space="preserve">                                            Concepto C ‒ 128 de 2022</w:t>
      </w:r>
    </w:p>
    <w:p w:rsidRPr="00E810BE" w:rsidR="00D30BDC" w:rsidP="00D30BDC" w:rsidRDefault="00D30BDC" w14:paraId="7612BDFD"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810BE" w:rsidR="00D30BDC" w:rsidTr="00466181" w14:paraId="5EC1626E" w14:textId="77777777">
        <w:tc>
          <w:tcPr>
            <w:tcW w:w="2689" w:type="dxa"/>
          </w:tcPr>
          <w:p w:rsidRPr="00E810BE" w:rsidR="00D30BDC" w:rsidP="00466181" w:rsidRDefault="00D30BDC" w14:paraId="480F9523" w14:textId="77777777">
            <w:pPr>
              <w:jc w:val="both"/>
              <w:rPr>
                <w:rFonts w:ascii="Arial" w:hAnsi="Arial" w:eastAsia="Calibri" w:cs="Arial"/>
                <w:color w:val="000000" w:themeColor="text1"/>
                <w:sz w:val="22"/>
                <w:lang w:val="es-ES_tradnl"/>
              </w:rPr>
            </w:pPr>
            <w:r w:rsidRPr="00E810BE">
              <w:rPr>
                <w:rFonts w:ascii="Arial" w:hAnsi="Arial" w:eastAsia="Calibri" w:cs="Arial"/>
                <w:b/>
                <w:color w:val="000000" w:themeColor="text1"/>
                <w:sz w:val="22"/>
                <w:lang w:val="es-ES_tradnl"/>
              </w:rPr>
              <w:t>Temas:</w:t>
            </w:r>
            <w:r w:rsidRPr="00E810BE">
              <w:rPr>
                <w:rFonts w:ascii="Arial" w:hAnsi="Arial" w:eastAsia="Calibri" w:cs="Arial"/>
                <w:color w:val="000000" w:themeColor="text1"/>
                <w:sz w:val="22"/>
                <w:lang w:val="es-ES_tradnl"/>
              </w:rPr>
              <w:t xml:space="preserve">                                      </w:t>
            </w:r>
          </w:p>
        </w:tc>
        <w:tc>
          <w:tcPr>
            <w:tcW w:w="6237" w:type="dxa"/>
          </w:tcPr>
          <w:p w:rsidRPr="00BA58F0" w:rsidR="009733E0" w:rsidP="009733E0" w:rsidRDefault="008E3709" w14:paraId="46C67332" w14:textId="547D3EF9">
            <w:pPr>
              <w:jc w:val="both"/>
              <w:rPr>
                <w:rFonts w:ascii="Arial" w:hAnsi="Arial" w:eastAsia="Calibri" w:cs="Arial"/>
                <w:sz w:val="22"/>
                <w:lang w:val="es-ES_tradnl"/>
              </w:rPr>
            </w:pPr>
            <w:r w:rsidRPr="00BA58F0">
              <w:rPr>
                <w:rFonts w:ascii="Arial" w:hAnsi="Arial" w:eastAsia="Calibri" w:cs="Arial"/>
                <w:sz w:val="22"/>
                <w:lang w:val="es-ES_tradnl"/>
              </w:rPr>
              <w:t xml:space="preserve">INHABILIDADES E INCOMPATIBILIDADES – Carácter sancionatorio – Restricción / </w:t>
            </w:r>
            <w:r w:rsidRPr="00BA58F0" w:rsidR="00C113D4">
              <w:rPr>
                <w:rFonts w:ascii="Arial" w:hAnsi="Arial" w:eastAsia="Calibri" w:cs="Arial"/>
                <w:sz w:val="22"/>
                <w:lang w:val="es-ES_tradnl"/>
              </w:rPr>
              <w:t xml:space="preserve">INHABILIDADES E INCOMPATIBILIDADES – Principio de legalidad – Interpretación restrictiva / </w:t>
            </w:r>
            <w:r w:rsidRPr="00BA58F0" w:rsidR="009733E0">
              <w:rPr>
                <w:rFonts w:ascii="Arial" w:hAnsi="Arial" w:eastAsia="Calibri" w:cs="Arial"/>
                <w:sz w:val="22"/>
                <w:lang w:val="es-ES_tradnl"/>
              </w:rPr>
              <w:t xml:space="preserve">INHABILIDADES E INCOMPATIBILIDADES – Incumplimiento reiterado – Modificación – Ley 1955 de 2019 – Aplicación – Irretroactividad / </w:t>
            </w:r>
          </w:p>
          <w:p w:rsidRPr="00BA58F0" w:rsidR="00D30BDC" w:rsidP="00466181" w:rsidRDefault="00E810BE" w14:paraId="18D92DDE" w14:textId="038AD5A5">
            <w:pPr>
              <w:jc w:val="both"/>
              <w:rPr>
                <w:rFonts w:ascii="Arial" w:hAnsi="Arial" w:eastAsia="Calibri" w:cs="Arial"/>
                <w:sz w:val="20"/>
                <w:szCs w:val="20"/>
                <w:lang w:val="es-ES_tradnl"/>
              </w:rPr>
            </w:pPr>
            <w:r w:rsidRPr="00BA58F0">
              <w:rPr>
                <w:rFonts w:ascii="Arial" w:hAnsi="Arial" w:eastAsia="Calibri" w:cs="Arial"/>
                <w:sz w:val="22"/>
                <w:lang w:val="es-ES_tradnl"/>
              </w:rPr>
              <w:t>CLÁUSULA PENAL PECUNIARIA – Registro único de proponentes – Publicidad – Sanción – Permanencia</w:t>
            </w:r>
            <w:r w:rsidRPr="00BA58F0" w:rsidR="00BA58F0">
              <w:rPr>
                <w:rFonts w:ascii="Arial" w:hAnsi="Arial" w:eastAsia="Calibri" w:cs="Arial"/>
                <w:sz w:val="22"/>
                <w:lang w:val="es-ES_tradnl"/>
              </w:rPr>
              <w:t xml:space="preserve"> – Término de tres (3) años </w:t>
            </w:r>
            <w:r w:rsidRPr="00BA58F0">
              <w:rPr>
                <w:rFonts w:ascii="Arial" w:hAnsi="Arial" w:eastAsia="Calibri" w:cs="Arial"/>
                <w:sz w:val="22"/>
                <w:lang w:val="es-ES_tradnl"/>
              </w:rPr>
              <w:t>/</w:t>
            </w:r>
            <w:r w:rsidRPr="00BA58F0" w:rsidR="00D30BDC">
              <w:rPr>
                <w:rFonts w:ascii="Arial" w:hAnsi="Arial" w:eastAsia="Calibri" w:cs="Arial"/>
                <w:sz w:val="22"/>
                <w:lang w:val="es-ES_tradnl"/>
              </w:rPr>
              <w:t xml:space="preserve"> </w:t>
            </w:r>
          </w:p>
        </w:tc>
      </w:tr>
      <w:tr w:rsidRPr="00E810BE" w:rsidR="00D30BDC" w:rsidTr="00466181" w14:paraId="0E913011" w14:textId="77777777">
        <w:tc>
          <w:tcPr>
            <w:tcW w:w="2689" w:type="dxa"/>
          </w:tcPr>
          <w:p w:rsidRPr="00E810BE" w:rsidR="00D30BDC" w:rsidP="00466181" w:rsidRDefault="00D30BDC" w14:paraId="3BEA0C6C" w14:textId="77777777">
            <w:pPr>
              <w:spacing w:before="120"/>
              <w:jc w:val="both"/>
              <w:rPr>
                <w:rFonts w:ascii="Arial" w:hAnsi="Arial" w:eastAsia="Calibri" w:cs="Arial"/>
                <w:b/>
                <w:color w:val="000000" w:themeColor="text1"/>
                <w:sz w:val="22"/>
                <w:lang w:val="es-ES_tradnl"/>
              </w:rPr>
            </w:pPr>
            <w:r w:rsidRPr="00E810BE">
              <w:rPr>
                <w:rFonts w:ascii="Arial" w:hAnsi="Arial" w:eastAsia="Calibri" w:cs="Arial"/>
                <w:b/>
                <w:color w:val="000000" w:themeColor="text1"/>
                <w:sz w:val="22"/>
                <w:lang w:val="es-ES_tradnl"/>
              </w:rPr>
              <w:t>Radicación:</w:t>
            </w:r>
            <w:r w:rsidRPr="00E810BE">
              <w:rPr>
                <w:rFonts w:ascii="Arial" w:hAnsi="Arial" w:eastAsia="Calibri" w:cs="Arial"/>
                <w:color w:val="000000" w:themeColor="text1"/>
                <w:sz w:val="22"/>
                <w:lang w:val="es-ES_tradnl"/>
              </w:rPr>
              <w:t xml:space="preserve">                              </w:t>
            </w:r>
          </w:p>
        </w:tc>
        <w:tc>
          <w:tcPr>
            <w:tcW w:w="6237" w:type="dxa"/>
          </w:tcPr>
          <w:p w:rsidRPr="00E810BE" w:rsidR="00D30BDC" w:rsidP="00466181" w:rsidRDefault="00D30BDC" w14:paraId="1CEB6BBF" w14:textId="77777777">
            <w:pPr>
              <w:spacing w:before="120"/>
              <w:jc w:val="both"/>
              <w:rPr>
                <w:rFonts w:ascii="Arial" w:hAnsi="Arial" w:eastAsia="Calibri" w:cs="Arial"/>
                <w:color w:val="000000" w:themeColor="text1"/>
                <w:sz w:val="22"/>
                <w:lang w:val="es-ES_tradnl"/>
              </w:rPr>
            </w:pPr>
            <w:r w:rsidRPr="00E810BE">
              <w:rPr>
                <w:rFonts w:ascii="Arial" w:hAnsi="Arial" w:eastAsia="Calibri" w:cs="Arial"/>
                <w:color w:val="000000" w:themeColor="text1"/>
                <w:sz w:val="22"/>
                <w:lang w:val="es-ES_tradnl"/>
              </w:rPr>
              <w:t>Respuesta a consulta # P20220211001365</w:t>
            </w:r>
          </w:p>
        </w:tc>
      </w:tr>
    </w:tbl>
    <w:p w:rsidRPr="00E810BE" w:rsidR="00D30BDC" w:rsidP="00D30BDC" w:rsidRDefault="00D30BDC" w14:paraId="72EDC00F" w14:textId="77777777">
      <w:pPr>
        <w:jc w:val="both"/>
        <w:rPr>
          <w:rFonts w:ascii="Arial" w:hAnsi="Arial" w:eastAsia="Calibri" w:cs="Arial"/>
          <w:color w:val="000000" w:themeColor="text1"/>
          <w:sz w:val="22"/>
          <w:lang w:val="es-ES_tradnl"/>
        </w:rPr>
      </w:pPr>
    </w:p>
    <w:p w:rsidRPr="00E810BE" w:rsidR="00D30BDC" w:rsidP="00D30BDC" w:rsidRDefault="00D30BDC" w14:paraId="25EDEF05" w14:textId="77777777">
      <w:pPr>
        <w:jc w:val="both"/>
        <w:rPr>
          <w:rFonts w:ascii="Arial" w:hAnsi="Arial" w:eastAsia="Calibri" w:cs="Arial"/>
          <w:color w:val="000000" w:themeColor="text1"/>
          <w:sz w:val="22"/>
          <w:lang w:val="es-ES_tradnl"/>
        </w:rPr>
      </w:pPr>
    </w:p>
    <w:p w:rsidRPr="00E810BE" w:rsidR="00D30BDC" w:rsidP="00D30BDC" w:rsidRDefault="00D30BDC" w14:paraId="33F75820" w14:textId="2E40D29F">
      <w:pPr>
        <w:jc w:val="both"/>
        <w:rPr>
          <w:rFonts w:ascii="Arial" w:hAnsi="Arial" w:eastAsia="Calibri" w:cs="Arial"/>
          <w:color w:val="000000" w:themeColor="text1"/>
          <w:sz w:val="22"/>
          <w:lang w:val="es-ES_tradnl"/>
        </w:rPr>
      </w:pPr>
      <w:r w:rsidRPr="00E810BE">
        <w:rPr>
          <w:rFonts w:ascii="Arial" w:hAnsi="Arial" w:eastAsia="Calibri" w:cs="Arial"/>
          <w:color w:val="000000" w:themeColor="text1"/>
          <w:sz w:val="22"/>
          <w:lang w:val="es-ES_tradnl"/>
        </w:rPr>
        <w:t>Estimada señora Cely:</w:t>
      </w:r>
    </w:p>
    <w:p w:rsidRPr="00E810BE" w:rsidR="00D30BDC" w:rsidP="00D30BDC" w:rsidRDefault="00D30BDC" w14:paraId="32FC9E24" w14:textId="77777777">
      <w:pPr>
        <w:jc w:val="both"/>
        <w:rPr>
          <w:rFonts w:ascii="Arial" w:hAnsi="Arial" w:eastAsia="Calibri" w:cs="Arial"/>
          <w:color w:val="000000" w:themeColor="text1"/>
          <w:sz w:val="22"/>
          <w:lang w:val="es-ES_tradnl"/>
        </w:rPr>
      </w:pPr>
    </w:p>
    <w:p w:rsidRPr="00E810BE" w:rsidR="00D30BDC" w:rsidP="00D30BDC" w:rsidRDefault="00D30BDC" w14:paraId="204B8EBE" w14:textId="77777777">
      <w:pPr>
        <w:spacing w:line="276" w:lineRule="auto"/>
        <w:jc w:val="both"/>
        <w:rPr>
          <w:rFonts w:ascii="Arial" w:hAnsi="Arial" w:eastAsia="Calibri" w:cs="Arial"/>
          <w:color w:val="000000" w:themeColor="text1"/>
          <w:sz w:val="22"/>
          <w:lang w:val="es-ES_tradnl"/>
        </w:rPr>
      </w:pPr>
      <w:r w:rsidRPr="00E810BE">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10 de febrero de 2022. </w:t>
      </w:r>
    </w:p>
    <w:p w:rsidRPr="00E810BE" w:rsidR="00D30BDC" w:rsidP="00D30BDC" w:rsidRDefault="00D30BDC" w14:paraId="0DAFC354" w14:textId="77777777">
      <w:pPr>
        <w:spacing w:line="276" w:lineRule="auto"/>
        <w:jc w:val="both"/>
        <w:rPr>
          <w:rFonts w:ascii="Arial" w:hAnsi="Arial" w:eastAsia="Calibri" w:cs="Arial"/>
          <w:b/>
          <w:color w:val="000000" w:themeColor="text1"/>
          <w:sz w:val="22"/>
          <w:lang w:val="es-ES_tradnl"/>
        </w:rPr>
      </w:pPr>
    </w:p>
    <w:p w:rsidRPr="00E810BE" w:rsidR="00D30BDC" w:rsidP="00D30BDC" w:rsidRDefault="00D30BDC" w14:paraId="2AE518C0" w14:textId="77777777">
      <w:pPr>
        <w:pStyle w:val="Prrafodelista"/>
        <w:numPr>
          <w:ilvl w:val="0"/>
          <w:numId w:val="10"/>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E810BE">
        <w:rPr>
          <w:rFonts w:ascii="Arial" w:hAnsi="Arial" w:eastAsia="Calibri" w:cs="Arial"/>
          <w:b/>
          <w:color w:val="000000" w:themeColor="text1"/>
          <w:sz w:val="22"/>
          <w:lang w:val="es-ES_tradnl"/>
        </w:rPr>
        <w:t xml:space="preserve">Problema planteado </w:t>
      </w:r>
    </w:p>
    <w:p w:rsidRPr="00E810BE" w:rsidR="00D30BDC" w:rsidP="00D30BDC" w:rsidRDefault="00D30BDC" w14:paraId="31F3502C" w14:textId="77777777">
      <w:pPr>
        <w:tabs>
          <w:tab w:val="left" w:pos="426"/>
        </w:tabs>
        <w:spacing w:line="276" w:lineRule="auto"/>
        <w:jc w:val="both"/>
        <w:rPr>
          <w:rFonts w:ascii="Arial" w:hAnsi="Arial" w:eastAsia="Calibri" w:cs="Arial"/>
          <w:b/>
          <w:color w:val="000000" w:themeColor="text1"/>
          <w:sz w:val="22"/>
          <w:lang w:val="es-ES_tradnl"/>
        </w:rPr>
      </w:pPr>
    </w:p>
    <w:p w:rsidRPr="00E810BE" w:rsidR="00D30BDC" w:rsidP="00D30BDC" w:rsidRDefault="00A027F5" w14:paraId="5E577A54" w14:textId="0730C1A0">
      <w:pPr>
        <w:spacing w:line="276" w:lineRule="auto"/>
        <w:jc w:val="both"/>
        <w:rPr>
          <w:rFonts w:ascii="Arial" w:hAnsi="Arial" w:cs="Arial"/>
          <w:color w:val="000000" w:themeColor="text1"/>
          <w:sz w:val="22"/>
          <w:lang w:val="es-ES_tradnl"/>
        </w:rPr>
      </w:pPr>
      <w:r w:rsidRPr="00E810BE">
        <w:rPr>
          <w:rFonts w:ascii="Arial" w:hAnsi="Arial" w:cs="Arial"/>
          <w:color w:val="000000" w:themeColor="text1"/>
          <w:sz w:val="22"/>
          <w:lang w:val="es-ES_tradnl"/>
        </w:rPr>
        <w:t>E</w:t>
      </w:r>
      <w:r w:rsidRPr="00E810BE" w:rsidR="00D30BDC">
        <w:rPr>
          <w:rFonts w:ascii="Arial" w:hAnsi="Arial" w:cs="Arial"/>
          <w:color w:val="000000" w:themeColor="text1"/>
          <w:sz w:val="22"/>
          <w:lang w:val="es-ES_tradnl"/>
        </w:rPr>
        <w:t>n relación con la publicidad de incumplimientos derivados de la imposición de cláusula penal pecuniaria en el Registro Único de Proponentes</w:t>
      </w:r>
      <w:r w:rsidRPr="00E810BE">
        <w:rPr>
          <w:rFonts w:ascii="Arial" w:hAnsi="Arial" w:cs="Arial"/>
          <w:color w:val="000000" w:themeColor="text1"/>
          <w:sz w:val="22"/>
          <w:lang w:val="es-ES_tradnl"/>
        </w:rPr>
        <w:t>, usted realiza la siguiente pregunta</w:t>
      </w:r>
      <w:r w:rsidRPr="00E810BE" w:rsidR="00D30BDC">
        <w:rPr>
          <w:rFonts w:ascii="Arial" w:hAnsi="Arial" w:cs="Arial"/>
          <w:color w:val="000000" w:themeColor="text1"/>
          <w:sz w:val="22"/>
          <w:lang w:val="es-ES_tradnl"/>
        </w:rPr>
        <w:t xml:space="preserve">: </w:t>
      </w:r>
    </w:p>
    <w:p w:rsidRPr="00E810BE" w:rsidR="00D30BDC" w:rsidP="00D30BDC" w:rsidRDefault="00D30BDC" w14:paraId="5CFCDA41" w14:textId="77777777">
      <w:pPr>
        <w:ind w:left="709" w:right="709"/>
        <w:jc w:val="both"/>
        <w:rPr>
          <w:rFonts w:ascii="Arial" w:hAnsi="Arial" w:cs="Arial"/>
          <w:color w:val="000000" w:themeColor="text1"/>
          <w:sz w:val="22"/>
          <w:lang w:val="es-ES_tradnl"/>
        </w:rPr>
      </w:pPr>
    </w:p>
    <w:p w:rsidRPr="00E810BE" w:rsidR="00A027F5" w:rsidP="00BF4B3C" w:rsidRDefault="00D30BDC" w14:paraId="3BAAF4A9" w14:textId="65DA3734">
      <w:pPr>
        <w:spacing w:after="120"/>
        <w:ind w:left="709" w:right="709"/>
        <w:jc w:val="both"/>
        <w:rPr>
          <w:rFonts w:ascii="Arial" w:hAnsi="Arial" w:eastAsia="Calibri" w:cs="Arial"/>
          <w:color w:val="000000" w:themeColor="text1"/>
          <w:sz w:val="21"/>
          <w:szCs w:val="21"/>
          <w:lang w:val="es-ES_tradnl"/>
        </w:rPr>
      </w:pPr>
      <w:r w:rsidRPr="00E810BE">
        <w:rPr>
          <w:rFonts w:ascii="Arial" w:hAnsi="Arial" w:cs="Arial"/>
          <w:color w:val="000000" w:themeColor="text1"/>
          <w:sz w:val="21"/>
          <w:szCs w:val="21"/>
          <w:lang w:val="es-ES_tradnl"/>
        </w:rPr>
        <w:t>«</w:t>
      </w:r>
      <w:r w:rsidRPr="00E810BE">
        <w:rPr>
          <w:rFonts w:ascii="Arial" w:hAnsi="Arial" w:eastAsia="Calibri" w:cs="Arial"/>
          <w:color w:val="000000" w:themeColor="text1"/>
          <w:sz w:val="21"/>
          <w:szCs w:val="21"/>
          <w:lang w:val="es-ES_tradnl"/>
        </w:rPr>
        <w:t>Establece el</w:t>
      </w:r>
      <w:r w:rsidRPr="00E810BE" w:rsidR="00A027F5">
        <w:rPr>
          <w:rFonts w:ascii="Arial" w:hAnsi="Arial" w:eastAsia="Calibri" w:cs="Arial"/>
          <w:color w:val="000000" w:themeColor="text1"/>
          <w:sz w:val="21"/>
          <w:szCs w:val="21"/>
          <w:lang w:val="es-ES_tradnl"/>
        </w:rPr>
        <w:t xml:space="preserve"> </w:t>
      </w:r>
      <w:r w:rsidRPr="00E810BE">
        <w:rPr>
          <w:rFonts w:ascii="Arial" w:hAnsi="Arial" w:eastAsia="Calibri" w:cs="Arial"/>
          <w:color w:val="000000" w:themeColor="text1"/>
          <w:sz w:val="21"/>
          <w:szCs w:val="21"/>
          <w:lang w:val="es-ES_tradnl"/>
        </w:rPr>
        <w:t>Artículo</w:t>
      </w:r>
      <w:r w:rsidRPr="00E810BE" w:rsidR="00A027F5">
        <w:rPr>
          <w:rFonts w:ascii="Arial" w:hAnsi="Arial" w:eastAsia="Calibri" w:cs="Arial"/>
          <w:color w:val="000000" w:themeColor="text1"/>
          <w:sz w:val="21"/>
          <w:szCs w:val="21"/>
          <w:lang w:val="es-ES_tradnl"/>
        </w:rPr>
        <w:t xml:space="preserve"> </w:t>
      </w:r>
      <w:r w:rsidRPr="00E810BE">
        <w:rPr>
          <w:rFonts w:ascii="Arial" w:hAnsi="Arial" w:eastAsia="Calibri" w:cs="Arial"/>
          <w:color w:val="000000" w:themeColor="text1"/>
          <w:sz w:val="21"/>
          <w:szCs w:val="21"/>
          <w:lang w:val="es-ES_tradnl"/>
        </w:rPr>
        <w:t>2.2.1.1.1.5.7.</w:t>
      </w:r>
      <w:r w:rsidRPr="00E810BE" w:rsidR="00A027F5">
        <w:rPr>
          <w:rFonts w:ascii="Arial" w:hAnsi="Arial" w:eastAsia="Calibri" w:cs="Arial"/>
          <w:color w:val="000000" w:themeColor="text1"/>
          <w:sz w:val="21"/>
          <w:szCs w:val="21"/>
          <w:lang w:val="es-ES_tradnl"/>
        </w:rPr>
        <w:t xml:space="preserve"> </w:t>
      </w:r>
      <w:r w:rsidRPr="00E810BE">
        <w:rPr>
          <w:rFonts w:ascii="Arial" w:hAnsi="Arial" w:eastAsia="Calibri" w:cs="Arial"/>
          <w:color w:val="000000" w:themeColor="text1"/>
          <w:sz w:val="21"/>
          <w:szCs w:val="21"/>
          <w:lang w:val="es-ES_tradnl"/>
        </w:rPr>
        <w:t>Información de multas, sanciones, inhabilidades y actividad contractual del Decreto 1082 de 2015, que (...)"El registro de las sanciones e inhabilidades debe permanecer en el certificado del RUP por el término de la sanción o de la inhabilidad. La información relativa a multas debe permanecer en el certificado del RUP por un año, contado a partir de la publicación de la misma"</w:t>
      </w:r>
      <w:proofErr w:type="gramStart"/>
      <w:r w:rsidRPr="00E810BE">
        <w:rPr>
          <w:rFonts w:ascii="Arial" w:hAnsi="Arial" w:eastAsia="Calibri" w:cs="Arial"/>
          <w:color w:val="000000" w:themeColor="text1"/>
          <w:sz w:val="21"/>
          <w:szCs w:val="21"/>
          <w:lang w:val="es-ES_tradnl"/>
        </w:rPr>
        <w:t>(....</w:t>
      </w:r>
      <w:proofErr w:type="gramEnd"/>
      <w:r w:rsidRPr="00E810BE">
        <w:rPr>
          <w:rFonts w:ascii="Arial" w:hAnsi="Arial" w:eastAsia="Calibri" w:cs="Arial"/>
          <w:color w:val="000000" w:themeColor="text1"/>
          <w:sz w:val="21"/>
          <w:szCs w:val="21"/>
          <w:lang w:val="es-ES_tradnl"/>
        </w:rPr>
        <w:t xml:space="preserve">) sin embargo la norma no establece </w:t>
      </w:r>
      <w:proofErr w:type="spellStart"/>
      <w:r w:rsidRPr="00E810BE">
        <w:rPr>
          <w:rFonts w:ascii="Arial" w:hAnsi="Arial" w:eastAsia="Calibri" w:cs="Arial"/>
          <w:color w:val="000000" w:themeColor="text1"/>
          <w:sz w:val="21"/>
          <w:szCs w:val="21"/>
          <w:lang w:val="es-ES_tradnl"/>
        </w:rPr>
        <w:t>cúal</w:t>
      </w:r>
      <w:proofErr w:type="spellEnd"/>
      <w:r w:rsidRPr="00E810BE">
        <w:rPr>
          <w:rFonts w:ascii="Arial" w:hAnsi="Arial" w:eastAsia="Calibri" w:cs="Arial"/>
          <w:color w:val="000000" w:themeColor="text1"/>
          <w:sz w:val="21"/>
          <w:szCs w:val="21"/>
          <w:lang w:val="es-ES_tradnl"/>
        </w:rPr>
        <w:t xml:space="preserve"> sería el término de publicación en el RUP para el caso de imposición de cláusula penal por incumplimiento.</w:t>
      </w:r>
    </w:p>
    <w:p w:rsidRPr="00E810BE" w:rsidR="00A027F5" w:rsidP="00BF4B3C" w:rsidRDefault="00D30BDC" w14:paraId="3CCF0A2E" w14:textId="7F84C5CA">
      <w:pPr>
        <w:spacing w:after="120"/>
        <w:ind w:left="709" w:right="709"/>
        <w:jc w:val="both"/>
        <w:rPr>
          <w:rFonts w:ascii="Arial" w:hAnsi="Arial" w:eastAsia="Calibri" w:cs="Arial"/>
          <w:color w:val="000000" w:themeColor="text1"/>
          <w:sz w:val="21"/>
          <w:szCs w:val="21"/>
          <w:lang w:val="es-ES_tradnl"/>
        </w:rPr>
      </w:pPr>
      <w:r w:rsidRPr="00E810BE">
        <w:rPr>
          <w:rFonts w:ascii="Arial" w:hAnsi="Arial" w:eastAsia="Calibri" w:cs="Arial"/>
          <w:color w:val="000000" w:themeColor="text1"/>
          <w:sz w:val="21"/>
          <w:szCs w:val="21"/>
          <w:lang w:val="es-ES_tradnl"/>
        </w:rPr>
        <w:lastRenderedPageBreak/>
        <w:t xml:space="preserve">Si bien es cierto que la norma en comento indica que el registro de la sanción en el RUP del contratista deberá ser por el término de </w:t>
      </w:r>
      <w:proofErr w:type="gramStart"/>
      <w:r w:rsidRPr="00E810BE">
        <w:rPr>
          <w:rFonts w:ascii="Arial" w:hAnsi="Arial" w:eastAsia="Calibri" w:cs="Arial"/>
          <w:color w:val="000000" w:themeColor="text1"/>
          <w:sz w:val="21"/>
          <w:szCs w:val="21"/>
          <w:lang w:val="es-ES_tradnl"/>
        </w:rPr>
        <w:t>la misma</w:t>
      </w:r>
      <w:proofErr w:type="gramEnd"/>
      <w:r w:rsidRPr="00E810BE">
        <w:rPr>
          <w:rFonts w:ascii="Arial" w:hAnsi="Arial" w:eastAsia="Calibri" w:cs="Arial"/>
          <w:color w:val="000000" w:themeColor="text1"/>
          <w:sz w:val="21"/>
          <w:szCs w:val="21"/>
          <w:lang w:val="es-ES_tradnl"/>
        </w:rPr>
        <w:t>, no existe disposición legal en la cláusula penal por incumplimiento que permita establecerlo desde el acto administrativo y siendo un tema de sanciones no existe una pretendida liberalidad para establecerla por parte de la entidad estatal, máxime cuando no existe</w:t>
      </w:r>
      <w:r w:rsidRPr="00E810BE" w:rsidR="00A027F5">
        <w:rPr>
          <w:rFonts w:ascii="Arial" w:hAnsi="Arial" w:eastAsia="Calibri" w:cs="Arial"/>
          <w:color w:val="000000" w:themeColor="text1"/>
          <w:sz w:val="21"/>
          <w:szCs w:val="21"/>
          <w:lang w:val="es-ES_tradnl"/>
        </w:rPr>
        <w:t xml:space="preserve"> </w:t>
      </w:r>
      <w:r w:rsidRPr="00E810BE">
        <w:rPr>
          <w:rFonts w:ascii="Arial" w:hAnsi="Arial" w:eastAsia="Calibri" w:cs="Arial"/>
          <w:color w:val="000000" w:themeColor="text1"/>
          <w:sz w:val="21"/>
          <w:szCs w:val="21"/>
          <w:lang w:val="es-ES_tradnl"/>
        </w:rPr>
        <w:t xml:space="preserve">disposición normativa que establezca unos márgenes para el operador que la fija. </w:t>
      </w:r>
    </w:p>
    <w:p w:rsidRPr="00E810BE" w:rsidR="00D30BDC" w:rsidRDefault="00D30BDC" w14:paraId="6B4DE579" w14:textId="23A4D8E9">
      <w:pPr>
        <w:ind w:left="709" w:right="709"/>
        <w:jc w:val="both"/>
        <w:rPr>
          <w:rFonts w:ascii="Arial" w:hAnsi="Arial" w:cs="Arial"/>
          <w:color w:val="000000" w:themeColor="text1"/>
          <w:sz w:val="21"/>
          <w:szCs w:val="21"/>
          <w:lang w:val="es-ES_tradnl"/>
        </w:rPr>
      </w:pPr>
      <w:r w:rsidRPr="00E810BE">
        <w:rPr>
          <w:rFonts w:ascii="Arial" w:hAnsi="Arial" w:eastAsia="Calibri" w:cs="Arial"/>
          <w:color w:val="000000" w:themeColor="text1"/>
          <w:sz w:val="21"/>
          <w:szCs w:val="21"/>
          <w:lang w:val="es-ES_tradnl"/>
        </w:rPr>
        <w:t>Poder definir el término de duración del registro de la sanción por cláusula penal</w:t>
      </w:r>
      <w:r w:rsidRPr="00E810BE" w:rsidR="00A027F5">
        <w:rPr>
          <w:rFonts w:ascii="Arial" w:hAnsi="Arial" w:eastAsia="Calibri" w:cs="Arial"/>
          <w:color w:val="000000" w:themeColor="text1"/>
          <w:sz w:val="21"/>
          <w:szCs w:val="21"/>
          <w:lang w:val="es-ES_tradnl"/>
        </w:rPr>
        <w:t xml:space="preserve"> </w:t>
      </w:r>
      <w:r w:rsidRPr="00E810BE">
        <w:rPr>
          <w:rFonts w:ascii="Arial" w:hAnsi="Arial" w:eastAsia="Calibri" w:cs="Arial"/>
          <w:color w:val="000000" w:themeColor="text1"/>
          <w:sz w:val="21"/>
          <w:szCs w:val="21"/>
          <w:lang w:val="es-ES_tradnl"/>
        </w:rPr>
        <w:t>en el RUP, resulta de capital importancia por los efectos que tiene el mencionado registro en la determinación de las futuras inhabilidades a las que podría estar sujeto el contratista conforme lo establece el artículo 90 de la ley 1474 de 2011 que fue modificado por el artículo. 43, Ley 1955 de 2019</w:t>
      </w:r>
      <w:r w:rsidRPr="00E810BE">
        <w:rPr>
          <w:rFonts w:ascii="Arial" w:hAnsi="Arial" w:cs="Arial"/>
          <w:color w:val="000000" w:themeColor="text1"/>
          <w:sz w:val="21"/>
          <w:szCs w:val="21"/>
          <w:lang w:val="es-ES_tradnl"/>
        </w:rPr>
        <w:t>».</w:t>
      </w:r>
    </w:p>
    <w:p w:rsidRPr="00E810BE" w:rsidR="00A37FB6" w:rsidP="00F23E3A" w:rsidRDefault="00A37FB6" w14:paraId="6A982790" w14:textId="77777777">
      <w:pPr>
        <w:tabs>
          <w:tab w:val="left" w:pos="426"/>
        </w:tabs>
        <w:spacing w:line="276" w:lineRule="auto"/>
        <w:jc w:val="both"/>
        <w:rPr>
          <w:rFonts w:ascii="Arial" w:hAnsi="Arial" w:eastAsia="Calibri" w:cs="Arial"/>
          <w:sz w:val="22"/>
        </w:rPr>
      </w:pPr>
    </w:p>
    <w:p w:rsidRPr="00E810BE" w:rsidR="00A37FB6" w:rsidP="002277B9" w:rsidRDefault="002277B9" w14:paraId="6A32A1B1" w14:textId="6D84C886">
      <w:pPr>
        <w:tabs>
          <w:tab w:val="left" w:pos="426"/>
        </w:tabs>
        <w:spacing w:line="276" w:lineRule="auto"/>
        <w:jc w:val="both"/>
        <w:rPr>
          <w:rFonts w:ascii="Arial" w:hAnsi="Arial" w:eastAsia="Calibri" w:cs="Arial"/>
          <w:b/>
          <w:sz w:val="22"/>
        </w:rPr>
      </w:pPr>
      <w:r w:rsidRPr="00E810BE">
        <w:rPr>
          <w:rFonts w:ascii="Arial" w:hAnsi="Arial" w:eastAsia="Calibri" w:cs="Arial"/>
          <w:b/>
          <w:sz w:val="22"/>
        </w:rPr>
        <w:t xml:space="preserve">2. </w:t>
      </w:r>
      <w:r w:rsidRPr="00E810BE" w:rsidR="00A37FB6">
        <w:rPr>
          <w:rFonts w:ascii="Arial" w:hAnsi="Arial" w:eastAsia="Calibri" w:cs="Arial"/>
          <w:b/>
          <w:sz w:val="22"/>
        </w:rPr>
        <w:t>Consideraciones</w:t>
      </w:r>
    </w:p>
    <w:bookmarkEnd w:id="0"/>
    <w:bookmarkEnd w:id="1"/>
    <w:p w:rsidRPr="00E810BE" w:rsidR="00D94962" w:rsidP="006E3288" w:rsidRDefault="00D94962" w14:paraId="5D8BAB86" w14:textId="77777777">
      <w:pPr>
        <w:jc w:val="both"/>
        <w:rPr>
          <w:rFonts w:ascii="Arial" w:hAnsi="Arial" w:cs="Arial"/>
          <w:sz w:val="22"/>
          <w:lang w:val="es-ES_tradnl"/>
        </w:rPr>
      </w:pPr>
    </w:p>
    <w:p w:rsidRPr="00E810BE" w:rsidR="00503206" w:rsidP="00BF4B3C" w:rsidRDefault="006D10B1" w14:paraId="5C186F40" w14:textId="4CBD5D41">
      <w:pPr>
        <w:spacing w:line="276" w:lineRule="auto"/>
        <w:jc w:val="both"/>
        <w:rPr>
          <w:rFonts w:ascii="Arial" w:hAnsi="Arial" w:eastAsia="Calibri" w:cs="Arial"/>
          <w:sz w:val="22"/>
        </w:rPr>
      </w:pPr>
      <w:r w:rsidRPr="00E810BE">
        <w:rPr>
          <w:rFonts w:ascii="Arial" w:hAnsi="Arial" w:cs="Arial"/>
          <w:sz w:val="22"/>
        </w:rPr>
        <w:t xml:space="preserve">La </w:t>
      </w:r>
      <w:r w:rsidRPr="00E810BE">
        <w:rPr>
          <w:rFonts w:ascii="Arial" w:hAnsi="Arial" w:eastAsia="Calibri" w:cs="Arial"/>
          <w:sz w:val="22"/>
        </w:rPr>
        <w:t xml:space="preserve">Agencia Nacional de Contratación Pública </w:t>
      </w:r>
      <w:r w:rsidRPr="00E810BE" w:rsidR="009B6C85">
        <w:rPr>
          <w:rFonts w:ascii="Arial" w:hAnsi="Arial" w:eastAsia="Calibri" w:cs="Arial"/>
          <w:sz w:val="22"/>
        </w:rPr>
        <w:t>–</w:t>
      </w:r>
      <w:r w:rsidRPr="00E810BE">
        <w:rPr>
          <w:rFonts w:ascii="Arial" w:hAnsi="Arial" w:eastAsia="Calibri" w:cs="Arial"/>
          <w:sz w:val="22"/>
        </w:rPr>
        <w:t xml:space="preserve"> Colombia Compra Eficiente se ha pronunciado</w:t>
      </w:r>
      <w:r w:rsidRPr="00E810BE" w:rsidR="00070501">
        <w:rPr>
          <w:rFonts w:ascii="Arial" w:hAnsi="Arial" w:eastAsia="Calibri" w:cs="Arial"/>
          <w:sz w:val="22"/>
        </w:rPr>
        <w:t xml:space="preserve"> sobre</w:t>
      </w:r>
      <w:r w:rsidRPr="00E810BE">
        <w:rPr>
          <w:rFonts w:ascii="Arial" w:hAnsi="Arial" w:eastAsia="Calibri" w:cs="Arial"/>
          <w:sz w:val="22"/>
        </w:rPr>
        <w:t xml:space="preserve"> </w:t>
      </w:r>
      <w:r w:rsidRPr="00E810BE" w:rsidR="00503206">
        <w:rPr>
          <w:rFonts w:ascii="Arial" w:hAnsi="Arial" w:eastAsia="Calibri" w:cs="Arial"/>
          <w:sz w:val="22"/>
        </w:rPr>
        <w:t>el régimen de inhabilidades e incompatibilidades</w:t>
      </w:r>
      <w:r w:rsidRPr="00E810BE">
        <w:rPr>
          <w:rFonts w:ascii="Arial" w:hAnsi="Arial" w:eastAsia="Calibri" w:cs="Arial"/>
          <w:sz w:val="22"/>
        </w:rPr>
        <w:t xml:space="preserve"> </w:t>
      </w:r>
      <w:r w:rsidRPr="00E810BE" w:rsidR="00503206">
        <w:rPr>
          <w:rFonts w:ascii="Arial" w:hAnsi="Arial" w:eastAsia="Calibri" w:cs="Arial"/>
          <w:sz w:val="22"/>
        </w:rPr>
        <w:t>en</w:t>
      </w:r>
      <w:r w:rsidRPr="00E810BE">
        <w:rPr>
          <w:rFonts w:ascii="Arial" w:hAnsi="Arial" w:eastAsia="Calibri" w:cs="Arial"/>
          <w:sz w:val="22"/>
        </w:rPr>
        <w:t xml:space="preserve"> los contratos estatales, en los </w:t>
      </w:r>
      <w:r w:rsidRPr="00E810BE" w:rsidR="00583188">
        <w:rPr>
          <w:rFonts w:ascii="Arial" w:hAnsi="Arial" w:eastAsia="Calibri" w:cs="Arial"/>
          <w:sz w:val="22"/>
        </w:rPr>
        <w:t>C</w:t>
      </w:r>
      <w:r w:rsidRPr="00E810BE">
        <w:rPr>
          <w:rFonts w:ascii="Arial" w:hAnsi="Arial" w:eastAsia="Calibri" w:cs="Arial"/>
          <w:sz w:val="22"/>
        </w:rPr>
        <w:t xml:space="preserve">onceptos </w:t>
      </w:r>
      <w:r w:rsidRPr="00E810BE" w:rsidR="00503206">
        <w:rPr>
          <w:rFonts w:ascii="Arial" w:hAnsi="Arial" w:eastAsia="Calibri" w:cs="Arial"/>
          <w:sz w:val="22"/>
        </w:rPr>
        <w:t>con radicados Nos.</w:t>
      </w:r>
      <w:r w:rsidRPr="00E810BE" w:rsidR="00070501">
        <w:rPr>
          <w:rFonts w:ascii="Arial" w:hAnsi="Arial" w:eastAsia="Calibri" w:cs="Arial"/>
          <w:sz w:val="22"/>
        </w:rPr>
        <w:t xml:space="preserve"> 4201912000003368 del 21 de mayo de 2019,</w:t>
      </w:r>
      <w:r w:rsidRPr="00E810BE" w:rsidR="00503206">
        <w:rPr>
          <w:rFonts w:ascii="Arial" w:hAnsi="Arial" w:eastAsia="Calibri" w:cs="Arial"/>
          <w:sz w:val="22"/>
        </w:rPr>
        <w:t xml:space="preserve"> 4201912000003592 del 28 de agosto de 2019, 4201913000005649 del 17 de septiembre de 2019,</w:t>
      </w:r>
      <w:r w:rsidRPr="00E810BE" w:rsidR="00070501">
        <w:rPr>
          <w:rFonts w:ascii="Arial" w:hAnsi="Arial" w:eastAsia="Calibri" w:cs="Arial"/>
          <w:sz w:val="22"/>
        </w:rPr>
        <w:t xml:space="preserve"> 4201913000006917 del 7 de octubre de 2019, </w:t>
      </w:r>
      <w:r w:rsidRPr="00E810BE" w:rsidR="00503206">
        <w:rPr>
          <w:rFonts w:ascii="Arial" w:hAnsi="Arial" w:eastAsia="Calibri" w:cs="Arial"/>
          <w:sz w:val="22"/>
        </w:rPr>
        <w:t>4201912000006692 del 12 de noviembre de 2019</w:t>
      </w:r>
      <w:r w:rsidRPr="00E810BE" w:rsidR="00D536D4">
        <w:rPr>
          <w:rFonts w:ascii="Arial" w:hAnsi="Arial" w:eastAsia="Calibri" w:cs="Arial"/>
          <w:sz w:val="22"/>
        </w:rPr>
        <w:t>. De igual forma</w:t>
      </w:r>
      <w:r w:rsidRPr="00E810BE" w:rsidR="001A09AC">
        <w:rPr>
          <w:rFonts w:ascii="Arial" w:hAnsi="Arial" w:eastAsia="Calibri" w:cs="Arial"/>
          <w:sz w:val="22"/>
        </w:rPr>
        <w:t>,</w:t>
      </w:r>
      <w:r w:rsidRPr="00E810BE" w:rsidR="00070501">
        <w:rPr>
          <w:rFonts w:ascii="Arial" w:hAnsi="Arial" w:eastAsia="Calibri" w:cs="Arial"/>
          <w:sz w:val="22"/>
        </w:rPr>
        <w:t xml:space="preserve"> en los </w:t>
      </w:r>
      <w:r w:rsidRPr="00E810BE" w:rsidR="009B6C85">
        <w:rPr>
          <w:rFonts w:ascii="Arial" w:hAnsi="Arial" w:eastAsia="Calibri" w:cs="Arial"/>
          <w:sz w:val="22"/>
        </w:rPr>
        <w:t>C</w:t>
      </w:r>
      <w:r w:rsidRPr="00E810BE" w:rsidR="00070501">
        <w:rPr>
          <w:rFonts w:ascii="Arial" w:hAnsi="Arial" w:eastAsia="Calibri" w:cs="Arial"/>
          <w:sz w:val="22"/>
        </w:rPr>
        <w:t>onceptos</w:t>
      </w:r>
      <w:r w:rsidRPr="00E810BE" w:rsidR="00B35A63">
        <w:rPr>
          <w:rFonts w:ascii="Arial" w:hAnsi="Arial" w:eastAsia="Calibri" w:cs="Arial"/>
          <w:sz w:val="22"/>
        </w:rPr>
        <w:t xml:space="preserve"> C-</w:t>
      </w:r>
      <w:r w:rsidRPr="00E810BE" w:rsidR="009B6C85">
        <w:rPr>
          <w:rFonts w:ascii="Arial" w:hAnsi="Arial" w:eastAsia="Calibri" w:cs="Arial"/>
          <w:sz w:val="22"/>
        </w:rPr>
        <w:t>0</w:t>
      </w:r>
      <w:r w:rsidRPr="00E810BE" w:rsidR="00B35A63">
        <w:rPr>
          <w:rFonts w:ascii="Arial" w:hAnsi="Arial" w:eastAsia="Calibri" w:cs="Arial"/>
          <w:sz w:val="22"/>
        </w:rPr>
        <w:t>90 del 24 de febrero de 2020, C-125 del 3 de marzo de 2020,</w:t>
      </w:r>
      <w:r w:rsidRPr="00E810BE" w:rsidR="00070501">
        <w:rPr>
          <w:rFonts w:ascii="Arial" w:hAnsi="Arial" w:eastAsia="Calibri" w:cs="Arial"/>
          <w:sz w:val="22"/>
        </w:rPr>
        <w:t xml:space="preserve"> C-085 de</w:t>
      </w:r>
      <w:r w:rsidRPr="00E810BE" w:rsidR="00B35A63">
        <w:rPr>
          <w:rFonts w:ascii="Arial" w:hAnsi="Arial" w:eastAsia="Calibri" w:cs="Arial"/>
          <w:sz w:val="22"/>
        </w:rPr>
        <w:t>l 4 de marzo de</w:t>
      </w:r>
      <w:r w:rsidRPr="00E810BE" w:rsidR="00070501">
        <w:rPr>
          <w:rFonts w:ascii="Arial" w:hAnsi="Arial" w:eastAsia="Calibri" w:cs="Arial"/>
          <w:sz w:val="22"/>
        </w:rPr>
        <w:t xml:space="preserve"> 2020,</w:t>
      </w:r>
      <w:r w:rsidRPr="00E810BE" w:rsidR="00B35A63">
        <w:rPr>
          <w:rFonts w:ascii="Arial" w:hAnsi="Arial" w:eastAsia="Calibri" w:cs="Arial"/>
          <w:sz w:val="22"/>
        </w:rPr>
        <w:t xml:space="preserve"> C-246 del 3 de abril de 2020, C-273 del 21 de mayo de 2020, C-402 de 22 de junio de 2020, C-585</w:t>
      </w:r>
      <w:r w:rsidRPr="00E810BE" w:rsidR="00583188">
        <w:rPr>
          <w:rFonts w:ascii="Arial" w:hAnsi="Arial" w:eastAsia="Calibri" w:cs="Arial"/>
          <w:sz w:val="22"/>
        </w:rPr>
        <w:t xml:space="preserve">, </w:t>
      </w:r>
      <w:r w:rsidRPr="00E810BE" w:rsidR="00B35A63">
        <w:rPr>
          <w:rFonts w:ascii="Arial" w:hAnsi="Arial" w:eastAsia="Calibri" w:cs="Arial"/>
          <w:sz w:val="22"/>
        </w:rPr>
        <w:t>C-592 del 14 de septiembre de 2020 y C</w:t>
      </w:r>
      <w:r w:rsidRPr="00E810BE" w:rsidR="00583188">
        <w:rPr>
          <w:rFonts w:ascii="Arial" w:hAnsi="Arial" w:eastAsia="Calibri" w:cs="Arial"/>
          <w:sz w:val="22"/>
        </w:rPr>
        <w:t>-</w:t>
      </w:r>
      <w:r w:rsidRPr="00E810BE" w:rsidR="00B35A63">
        <w:rPr>
          <w:rFonts w:ascii="Arial" w:hAnsi="Arial" w:eastAsia="Calibri" w:cs="Arial"/>
          <w:sz w:val="22"/>
        </w:rPr>
        <w:t xml:space="preserve">580 del 21 de septiembre de 2020, entre otros. </w:t>
      </w:r>
      <w:r w:rsidRPr="00E810BE" w:rsidR="009B6C85">
        <w:rPr>
          <w:rFonts w:ascii="Arial" w:hAnsi="Arial" w:eastAsia="Calibri" w:cs="Arial"/>
          <w:sz w:val="22"/>
        </w:rPr>
        <w:t>Además</w:t>
      </w:r>
      <w:r w:rsidRPr="00E810BE" w:rsidR="001D7C8A">
        <w:rPr>
          <w:rFonts w:ascii="Arial" w:hAnsi="Arial" w:eastAsia="Calibri" w:cs="Arial"/>
          <w:sz w:val="22"/>
        </w:rPr>
        <w:t>,</w:t>
      </w:r>
      <w:r w:rsidRPr="00E810BE" w:rsidR="00B35A63">
        <w:rPr>
          <w:rFonts w:ascii="Arial" w:hAnsi="Arial" w:eastAsia="Calibri" w:cs="Arial"/>
          <w:sz w:val="22"/>
        </w:rPr>
        <w:t xml:space="preserve"> en los </w:t>
      </w:r>
      <w:r w:rsidRPr="00E810BE" w:rsidR="00583188">
        <w:rPr>
          <w:rFonts w:ascii="Arial" w:hAnsi="Arial" w:eastAsia="Calibri" w:cs="Arial"/>
          <w:sz w:val="22"/>
        </w:rPr>
        <w:t>C</w:t>
      </w:r>
      <w:r w:rsidRPr="00E810BE" w:rsidR="00B35A63">
        <w:rPr>
          <w:rFonts w:ascii="Arial" w:hAnsi="Arial" w:eastAsia="Calibri" w:cs="Arial"/>
          <w:sz w:val="22"/>
        </w:rPr>
        <w:t>onceptos con radicados</w:t>
      </w:r>
      <w:r w:rsidRPr="00E810BE" w:rsidR="009E3277">
        <w:rPr>
          <w:rFonts w:ascii="Arial" w:hAnsi="Arial" w:eastAsia="Calibri" w:cs="Arial"/>
          <w:sz w:val="22"/>
        </w:rPr>
        <w:t xml:space="preserve"> Nos.</w:t>
      </w:r>
      <w:r w:rsidRPr="00E810BE" w:rsidR="00B35A63">
        <w:rPr>
          <w:rFonts w:ascii="Arial" w:hAnsi="Arial" w:eastAsia="Calibri" w:cs="Arial"/>
          <w:sz w:val="22"/>
        </w:rPr>
        <w:t xml:space="preserve"> 4201913000005694 del 3 de octubre de 2019, 4201912000006259 del 13 de noviembre de 2019</w:t>
      </w:r>
      <w:r w:rsidRPr="00E810BE" w:rsidR="009E3277">
        <w:rPr>
          <w:rFonts w:ascii="Arial" w:hAnsi="Arial" w:eastAsia="Calibri" w:cs="Arial"/>
          <w:sz w:val="22"/>
        </w:rPr>
        <w:t xml:space="preserve">, </w:t>
      </w:r>
      <w:r w:rsidRPr="00E810BE" w:rsidR="00B35A63">
        <w:rPr>
          <w:rFonts w:ascii="Arial" w:hAnsi="Arial" w:eastAsia="Calibri" w:cs="Arial"/>
          <w:sz w:val="22"/>
        </w:rPr>
        <w:t>4201912000007281 del 5 de diciembre de 2019</w:t>
      </w:r>
      <w:r w:rsidRPr="00E810BE" w:rsidR="00D30BDC">
        <w:rPr>
          <w:rFonts w:ascii="Arial" w:hAnsi="Arial" w:eastAsia="Calibri" w:cs="Arial"/>
          <w:sz w:val="22"/>
        </w:rPr>
        <w:t xml:space="preserve">, </w:t>
      </w:r>
      <w:r w:rsidRPr="00E810BE" w:rsidR="00B35A63">
        <w:rPr>
          <w:rFonts w:ascii="Arial" w:hAnsi="Arial" w:eastAsia="Calibri" w:cs="Arial"/>
          <w:sz w:val="22"/>
        </w:rPr>
        <w:t>4201912000007060 del 11 de diciembre de 2019</w:t>
      </w:r>
      <w:r w:rsidRPr="00E810BE" w:rsidR="00D30BDC">
        <w:rPr>
          <w:rFonts w:ascii="Arial" w:hAnsi="Arial" w:eastAsia="Calibri" w:cs="Arial"/>
          <w:sz w:val="22"/>
        </w:rPr>
        <w:t xml:space="preserve"> y C</w:t>
      </w:r>
      <w:r w:rsidRPr="00E810BE" w:rsidR="00583188">
        <w:rPr>
          <w:rFonts w:ascii="Arial" w:hAnsi="Arial" w:eastAsia="Calibri" w:cs="Arial"/>
          <w:sz w:val="22"/>
        </w:rPr>
        <w:t>-</w:t>
      </w:r>
      <w:r w:rsidRPr="00E810BE" w:rsidR="00D30BDC">
        <w:rPr>
          <w:rFonts w:ascii="Arial" w:hAnsi="Arial" w:eastAsia="Calibri" w:cs="Arial"/>
          <w:sz w:val="22"/>
        </w:rPr>
        <w:t>178 de 26 de abril de 2021</w:t>
      </w:r>
      <w:r w:rsidRPr="00E810BE" w:rsidR="00B35A63">
        <w:rPr>
          <w:rFonts w:ascii="Arial" w:hAnsi="Arial" w:eastAsia="Calibri" w:cs="Arial"/>
          <w:sz w:val="22"/>
        </w:rPr>
        <w:t>,</w:t>
      </w:r>
      <w:r w:rsidRPr="00E810BE" w:rsidR="009E3277">
        <w:rPr>
          <w:rFonts w:ascii="Arial" w:hAnsi="Arial" w:eastAsia="Calibri" w:cs="Arial"/>
          <w:sz w:val="22"/>
        </w:rPr>
        <w:t xml:space="preserve"> se </w:t>
      </w:r>
      <w:r w:rsidRPr="00E810BE" w:rsidR="006978FD">
        <w:rPr>
          <w:rFonts w:ascii="Arial" w:hAnsi="Arial" w:eastAsia="Calibri" w:cs="Arial"/>
          <w:sz w:val="22"/>
        </w:rPr>
        <w:t>analizó</w:t>
      </w:r>
      <w:r w:rsidRPr="00E810BE" w:rsidR="009E3277">
        <w:rPr>
          <w:rFonts w:ascii="Arial" w:hAnsi="Arial" w:eastAsia="Calibri" w:cs="Arial"/>
          <w:sz w:val="22"/>
        </w:rPr>
        <w:t xml:space="preserve"> la aplicación de la inhabilidad por incumplimiento reiterado consagrada en el artículo 90 de la Ley 1474 de 2011, </w:t>
      </w:r>
      <w:r w:rsidRPr="00E810BE" w:rsidR="009B6C85">
        <w:rPr>
          <w:rFonts w:ascii="Arial" w:hAnsi="Arial" w:eastAsia="Calibri" w:cs="Arial"/>
          <w:sz w:val="22"/>
        </w:rPr>
        <w:t>modificado</w:t>
      </w:r>
      <w:r w:rsidRPr="00E810BE" w:rsidR="009E3277">
        <w:rPr>
          <w:rFonts w:ascii="Arial" w:hAnsi="Arial" w:eastAsia="Calibri" w:cs="Arial"/>
          <w:sz w:val="22"/>
        </w:rPr>
        <w:t xml:space="preserve"> por la Ley 1955 de 2019</w:t>
      </w:r>
      <w:r w:rsidRPr="00E810BE" w:rsidR="00070501">
        <w:rPr>
          <w:rFonts w:ascii="Arial" w:hAnsi="Arial" w:eastAsia="Calibri" w:cs="Arial"/>
          <w:sz w:val="22"/>
        </w:rPr>
        <w:t xml:space="preserve">. </w:t>
      </w:r>
      <w:r w:rsidRPr="00E810BE" w:rsidR="001D7C8A">
        <w:rPr>
          <w:rFonts w:ascii="Arial" w:hAnsi="Arial" w:eastAsia="Calibri" w:cs="Arial"/>
          <w:sz w:val="22"/>
        </w:rPr>
        <w:t>Algunos de los argumentos entonces expuesto</w:t>
      </w:r>
      <w:r w:rsidRPr="00E810BE" w:rsidR="00064065">
        <w:rPr>
          <w:rFonts w:ascii="Arial" w:hAnsi="Arial" w:eastAsia="Calibri" w:cs="Arial"/>
          <w:sz w:val="22"/>
        </w:rPr>
        <w:t>s</w:t>
      </w:r>
      <w:r w:rsidRPr="00E810BE" w:rsidR="001D7C8A">
        <w:rPr>
          <w:rFonts w:ascii="Arial" w:hAnsi="Arial" w:eastAsia="Calibri" w:cs="Arial"/>
          <w:sz w:val="22"/>
        </w:rPr>
        <w:t xml:space="preserve"> se reiteran a continuación</w:t>
      </w:r>
      <w:r w:rsidRPr="00E810BE" w:rsidR="00583188">
        <w:rPr>
          <w:rFonts w:ascii="Arial" w:hAnsi="Arial" w:eastAsia="Calibri" w:cs="Arial"/>
          <w:sz w:val="22"/>
        </w:rPr>
        <w:t>:</w:t>
      </w:r>
    </w:p>
    <w:p w:rsidRPr="00E810BE" w:rsidR="001D7C8A" w:rsidP="001D7C8A" w:rsidRDefault="001D7C8A" w14:paraId="3BBB72CD" w14:textId="77777777">
      <w:pPr>
        <w:spacing w:line="276" w:lineRule="auto"/>
        <w:jc w:val="both"/>
        <w:rPr>
          <w:rFonts w:ascii="Arial" w:hAnsi="Arial" w:cs="Arial"/>
          <w:b/>
          <w:bCs/>
          <w:sz w:val="22"/>
        </w:rPr>
      </w:pPr>
    </w:p>
    <w:p w:rsidRPr="00E810BE" w:rsidR="001D7C8A" w:rsidP="00244069" w:rsidRDefault="001D7C8A" w14:paraId="5A2BD6F4" w14:textId="32B73552">
      <w:pPr>
        <w:spacing w:line="276" w:lineRule="auto"/>
        <w:jc w:val="both"/>
        <w:rPr>
          <w:rFonts w:ascii="Arial" w:hAnsi="Arial" w:cs="Arial"/>
          <w:b/>
          <w:bCs/>
          <w:sz w:val="22"/>
        </w:rPr>
      </w:pPr>
      <w:r w:rsidRPr="00E810BE">
        <w:rPr>
          <w:rFonts w:ascii="Arial" w:hAnsi="Arial" w:cs="Arial"/>
          <w:b/>
          <w:bCs/>
          <w:sz w:val="22"/>
        </w:rPr>
        <w:t>2.1. El régimen de inhabilidades e incompatibilidades en la contratación estatal</w:t>
      </w:r>
    </w:p>
    <w:p w:rsidRPr="00E810BE" w:rsidR="006978FD" w:rsidP="00244069" w:rsidRDefault="006978FD" w14:paraId="39856C6C" w14:textId="77777777">
      <w:pPr>
        <w:spacing w:line="276" w:lineRule="auto"/>
        <w:jc w:val="both"/>
        <w:rPr>
          <w:rFonts w:ascii="Arial" w:hAnsi="Arial" w:cs="Arial"/>
          <w:b/>
          <w:bCs/>
          <w:sz w:val="22"/>
        </w:rPr>
      </w:pPr>
    </w:p>
    <w:p w:rsidRPr="00E810BE" w:rsidR="0096318D" w:rsidP="00244069" w:rsidRDefault="0096318D" w14:paraId="1A8179DD" w14:textId="594F8957">
      <w:pPr>
        <w:spacing w:after="120" w:line="276" w:lineRule="auto"/>
        <w:jc w:val="both"/>
        <w:rPr>
          <w:rFonts w:ascii="Arial" w:hAnsi="Arial" w:eastAsia="Calibri" w:cs="Arial"/>
          <w:sz w:val="22"/>
          <w:lang w:val="es-ES_tradnl"/>
        </w:rPr>
      </w:pPr>
      <w:r w:rsidRPr="00E810BE">
        <w:rPr>
          <w:rFonts w:ascii="Arial" w:hAnsi="Arial" w:eastAsia="Calibri" w:cs="Arial"/>
          <w:sz w:val="22"/>
        </w:rPr>
        <w:t xml:space="preserve">En la contratación estatal, la capacidad también es un requisito de validez de los contratos, tanto en el régimen de las entidades sujetas al Estatuto General de Contratación de la </w:t>
      </w:r>
      <w:r w:rsidRPr="00E810BE">
        <w:rPr>
          <w:rFonts w:ascii="Arial" w:hAnsi="Arial" w:eastAsia="Calibri" w:cs="Arial"/>
          <w:sz w:val="22"/>
        </w:rPr>
        <w:lastRenderedPageBreak/>
        <w:t>Administración Pública</w:t>
      </w:r>
      <w:r w:rsidRPr="00E810BE">
        <w:rPr>
          <w:rFonts w:ascii="Arial" w:hAnsi="Arial" w:eastAsia="Calibri" w:cs="Arial"/>
          <w:sz w:val="22"/>
          <w:vertAlign w:val="superscript"/>
        </w:rPr>
        <w:footnoteReference w:id="1"/>
      </w:r>
      <w:r w:rsidRPr="00E810BE">
        <w:rPr>
          <w:rFonts w:ascii="Arial" w:hAnsi="Arial" w:eastAsia="Calibri" w:cs="Arial"/>
          <w:sz w:val="22"/>
        </w:rPr>
        <w:t xml:space="preserve"> como en el de las exceptuadas de aquel</w:t>
      </w:r>
      <w:r w:rsidRPr="00E810BE">
        <w:rPr>
          <w:rFonts w:ascii="Arial" w:hAnsi="Arial" w:eastAsia="Calibri" w:cs="Arial"/>
          <w:sz w:val="22"/>
          <w:vertAlign w:val="superscript"/>
        </w:rPr>
        <w:footnoteReference w:id="2"/>
      </w:r>
      <w:r w:rsidRPr="00E810BE">
        <w:rPr>
          <w:rFonts w:ascii="Arial" w:hAnsi="Arial" w:eastAsia="Calibri" w:cs="Arial"/>
          <w:sz w:val="22"/>
        </w:rPr>
        <w:t xml:space="preserve">. </w:t>
      </w:r>
      <w:r w:rsidRPr="00E810BE" w:rsidR="00ED7C47">
        <w:rPr>
          <w:rFonts w:ascii="Arial" w:hAnsi="Arial" w:eastAsia="Calibri" w:cs="Arial"/>
          <w:sz w:val="22"/>
        </w:rPr>
        <w:t>En relación con la capacidad jurídica</w:t>
      </w:r>
      <w:r w:rsidRPr="00E810BE">
        <w:rPr>
          <w:rFonts w:ascii="Arial" w:hAnsi="Arial" w:eastAsia="Calibri" w:cs="Arial"/>
          <w:sz w:val="22"/>
        </w:rPr>
        <w:t xml:space="preserve">, se destaca el régimen de inhabilidades e incompatibilidades como un conjunto de normas que imponen restricciones </w:t>
      </w:r>
      <w:r w:rsidRPr="00E810BE" w:rsidR="0033505E">
        <w:rPr>
          <w:rFonts w:ascii="Arial" w:hAnsi="Arial" w:eastAsia="Calibri" w:cs="Arial"/>
          <w:sz w:val="22"/>
        </w:rPr>
        <w:t>a</w:t>
      </w:r>
      <w:r w:rsidRPr="00E810BE">
        <w:rPr>
          <w:rFonts w:ascii="Arial" w:hAnsi="Arial" w:eastAsia="Calibri" w:cs="Arial"/>
          <w:sz w:val="22"/>
        </w:rPr>
        <w:t xml:space="preserve"> los sujetos que, eventualmente, pretendan</w:t>
      </w:r>
      <w:r w:rsidRPr="00E810BE">
        <w:rPr>
          <w:rFonts w:ascii="Arial" w:hAnsi="Arial" w:eastAsia="Calibri" w:cs="Arial"/>
          <w:sz w:val="22"/>
          <w:lang w:val="es-ES_tradnl"/>
        </w:rPr>
        <w:t xml:space="preserve"> participar en los procedimientos de selección o celebrar contratos con las entidades estatales</w:t>
      </w:r>
      <w:r w:rsidRPr="00E810BE">
        <w:rPr>
          <w:rFonts w:ascii="Arial" w:hAnsi="Arial" w:eastAsia="Calibri" w:cs="Arial"/>
          <w:sz w:val="22"/>
          <w:vertAlign w:val="superscript"/>
          <w:lang w:val="es-ES_tradnl"/>
        </w:rPr>
        <w:footnoteReference w:id="3"/>
      </w:r>
      <w:r w:rsidRPr="00E810BE">
        <w:rPr>
          <w:rFonts w:ascii="Arial" w:hAnsi="Arial" w:eastAsia="Calibri" w:cs="Arial"/>
          <w:sz w:val="22"/>
          <w:lang w:val="es-ES_tradnl"/>
        </w:rPr>
        <w:t>.</w:t>
      </w:r>
    </w:p>
    <w:p w:rsidRPr="00E810BE" w:rsidR="0096318D" w:rsidP="00B75B2B" w:rsidRDefault="0096318D" w14:paraId="7630A8BB" w14:textId="507BA80C">
      <w:pPr>
        <w:spacing w:before="120" w:after="120" w:line="276" w:lineRule="auto"/>
        <w:ind w:firstLine="709"/>
        <w:jc w:val="both"/>
        <w:rPr>
          <w:rFonts w:ascii="Arial" w:hAnsi="Arial" w:eastAsia="Calibri" w:cs="Arial"/>
          <w:sz w:val="22"/>
          <w:lang w:val="es-ES_tradnl"/>
        </w:rPr>
      </w:pPr>
      <w:bookmarkStart w:name="_Hlk99350228" w:id="5"/>
      <w:r w:rsidRPr="00E810BE">
        <w:rPr>
          <w:rFonts w:ascii="Arial" w:hAnsi="Arial" w:eastAsia="Calibri" w:cs="Arial"/>
          <w:sz w:val="22"/>
          <w:lang w:val="es-ES_tradnl"/>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w:t>
      </w:r>
      <w:proofErr w:type="gramStart"/>
      <w:r w:rsidRPr="00E810BE">
        <w:rPr>
          <w:rFonts w:ascii="Arial" w:hAnsi="Arial" w:eastAsia="Calibri" w:cs="Arial"/>
          <w:sz w:val="22"/>
          <w:lang w:val="es-ES_tradnl"/>
        </w:rPr>
        <w:t>que</w:t>
      </w:r>
      <w:proofErr w:type="gramEnd"/>
      <w:r w:rsidRPr="00E810BE">
        <w:rPr>
          <w:rFonts w:ascii="Arial" w:hAnsi="Arial" w:eastAsia="Calibri" w:cs="Arial"/>
          <w:sz w:val="22"/>
          <w:lang w:val="es-ES_tradnl"/>
        </w:rPr>
        <w:t>, como lo ha destacado la doctrina, las inhabilidades e incompatibilidades se han convertido en herramientas en la lucha contra la corrupción, adoptando paulatinamente un cariz sancionatorio o «</w:t>
      </w:r>
      <w:proofErr w:type="spellStart"/>
      <w:r w:rsidRPr="00E810BE">
        <w:rPr>
          <w:rFonts w:ascii="Arial" w:hAnsi="Arial" w:eastAsia="Calibri" w:cs="Arial"/>
          <w:sz w:val="22"/>
          <w:lang w:val="es-ES_tradnl"/>
        </w:rPr>
        <w:t>neopunitivo</w:t>
      </w:r>
      <w:proofErr w:type="spellEnd"/>
      <w:r w:rsidRPr="00E810BE">
        <w:rPr>
          <w:rFonts w:ascii="Arial" w:hAnsi="Arial" w:eastAsia="Calibri" w:cs="Arial"/>
          <w:sz w:val="22"/>
          <w:lang w:val="es-ES_tradnl"/>
        </w:rPr>
        <w:t>»</w:t>
      </w:r>
      <w:r w:rsidRPr="00E810BE">
        <w:rPr>
          <w:rFonts w:ascii="Arial" w:hAnsi="Arial" w:eastAsia="Calibri" w:cs="Arial"/>
          <w:sz w:val="22"/>
          <w:vertAlign w:val="superscript"/>
          <w:lang w:val="es-ES_tradnl"/>
        </w:rPr>
        <w:footnoteReference w:id="4"/>
      </w:r>
      <w:r w:rsidRPr="00E810BE">
        <w:rPr>
          <w:rFonts w:ascii="Arial" w:hAnsi="Arial" w:eastAsia="Calibri" w:cs="Arial"/>
          <w:sz w:val="22"/>
          <w:lang w:val="es-ES_tradnl"/>
        </w:rPr>
        <w:t>.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bookmarkEnd w:id="5"/>
    <w:p w:rsidRPr="00E810BE" w:rsidR="0096318D" w:rsidP="00B75B2B" w:rsidRDefault="0096318D" w14:paraId="43C609A4" w14:textId="37E1EB64">
      <w:pPr>
        <w:spacing w:before="120" w:after="120" w:line="276" w:lineRule="auto"/>
        <w:ind w:firstLine="709"/>
        <w:jc w:val="both"/>
        <w:rPr>
          <w:rFonts w:ascii="Arial" w:hAnsi="Arial" w:eastAsia="Calibri" w:cs="Arial"/>
          <w:sz w:val="22"/>
          <w:lang w:val="es-ES_tradnl"/>
        </w:rPr>
      </w:pPr>
      <w:r w:rsidRPr="00E810BE">
        <w:rPr>
          <w:rFonts w:ascii="Arial" w:hAnsi="Arial" w:eastAsia="Calibri" w:cs="Arial"/>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E810BE">
        <w:rPr>
          <w:rFonts w:ascii="Arial" w:hAnsi="Arial" w:eastAsia="Calibri" w:cs="Arial"/>
          <w:i/>
          <w:iCs/>
          <w:sz w:val="22"/>
          <w:lang w:val="es-ES_tradnl"/>
        </w:rPr>
        <w:t>restrictiva</w:t>
      </w:r>
      <w:r w:rsidRPr="00E810BE">
        <w:rPr>
          <w:rFonts w:ascii="Arial" w:hAnsi="Arial" w:eastAsia="Calibri" w:cs="Arial"/>
          <w:sz w:val="22"/>
          <w:vertAlign w:val="superscript"/>
          <w:lang w:val="es-ES_tradnl"/>
        </w:rPr>
        <w:footnoteReference w:id="5"/>
      </w:r>
      <w:r w:rsidRPr="00E810BE" w:rsidR="00876480">
        <w:rPr>
          <w:rFonts w:ascii="Arial" w:hAnsi="Arial" w:eastAsia="Calibri" w:cs="Arial"/>
          <w:i/>
          <w:iCs/>
          <w:sz w:val="22"/>
          <w:lang w:val="es-ES_tradnl"/>
        </w:rPr>
        <w:t xml:space="preserve"> </w:t>
      </w:r>
      <w:r w:rsidRPr="00E810BE" w:rsidR="00876480">
        <w:rPr>
          <w:rFonts w:ascii="Arial" w:hAnsi="Arial" w:eastAsia="Calibri" w:cs="Arial"/>
          <w:sz w:val="22"/>
          <w:lang w:val="es-ES_tradnl"/>
        </w:rPr>
        <w:t xml:space="preserve">y </w:t>
      </w:r>
      <w:r w:rsidRPr="00E810BE" w:rsidR="00105467">
        <w:rPr>
          <w:rFonts w:ascii="Arial" w:hAnsi="Arial" w:eastAsia="Calibri" w:cs="Arial"/>
          <w:sz w:val="22"/>
          <w:lang w:val="es-ES_tradnl"/>
        </w:rPr>
        <w:t>apegada al texto normativo.</w:t>
      </w:r>
      <w:r w:rsidRPr="00E810BE">
        <w:rPr>
          <w:rFonts w:ascii="Arial" w:hAnsi="Arial" w:eastAsia="Calibri" w:cs="Arial"/>
          <w:sz w:val="22"/>
          <w:lang w:val="es-ES_tradnl"/>
        </w:rPr>
        <w:t xml:space="preserve"> </w:t>
      </w:r>
      <w:r w:rsidRPr="00E810BE" w:rsidR="00105467">
        <w:rPr>
          <w:rFonts w:ascii="Arial" w:hAnsi="Arial" w:eastAsia="Calibri" w:cs="Arial"/>
          <w:sz w:val="22"/>
          <w:lang w:val="es-ES_tradnl"/>
        </w:rPr>
        <w:t>S</w:t>
      </w:r>
      <w:r w:rsidRPr="00E810BE">
        <w:rPr>
          <w:rFonts w:ascii="Arial" w:hAnsi="Arial" w:eastAsia="Calibri" w:cs="Arial"/>
          <w:sz w:val="22"/>
          <w:lang w:val="es-ES_tradnl"/>
        </w:rPr>
        <w:t xml:space="preserve">i se admitiera una interpretación amplia, extensiva o finalista de las mismas, tales enunciados normativos </w:t>
      </w:r>
      <w:r w:rsidRPr="00E810BE">
        <w:rPr>
          <w:rFonts w:ascii="Arial" w:hAnsi="Arial" w:eastAsia="Calibri" w:cs="Arial"/>
          <w:sz w:val="22"/>
          <w:lang w:val="es-ES_tradnl"/>
        </w:rPr>
        <w:lastRenderedPageBreak/>
        <w:t>podrían contemplar múltiples supuestos indeterminados, según el parecer o el sentido común de los operadores jurídicos, poniendo en riesgo principios como la igualdad, el debido proceso, la libre concurrencia y el ejercicio de la profesión u oficio. Tal ha sido la postura jurisprudencia</w:t>
      </w:r>
      <w:r w:rsidRPr="00E810BE" w:rsidR="00032B71">
        <w:rPr>
          <w:rFonts w:ascii="Arial" w:hAnsi="Arial" w:eastAsia="Calibri" w:cs="Arial"/>
          <w:sz w:val="22"/>
          <w:lang w:val="es-ES_tradnl"/>
        </w:rPr>
        <w:t>l</w:t>
      </w:r>
      <w:r w:rsidRPr="00E810BE">
        <w:rPr>
          <w:rFonts w:ascii="Arial" w:hAnsi="Arial" w:eastAsia="Calibri" w:cs="Arial"/>
          <w:sz w:val="22"/>
          <w:lang w:val="es-ES_tradnl"/>
        </w:rPr>
        <w:t xml:space="preserve">, tanto de la Corte Constitucional como de la Sección Tercera del Consejo de Estado. </w:t>
      </w:r>
    </w:p>
    <w:p w:rsidRPr="00E810BE" w:rsidR="0096318D" w:rsidP="00B75B2B" w:rsidRDefault="0096318D" w14:paraId="1F6CAE39" w14:textId="5B54B914">
      <w:pPr>
        <w:spacing w:before="120" w:line="276" w:lineRule="auto"/>
        <w:ind w:firstLine="709"/>
        <w:jc w:val="both"/>
        <w:rPr>
          <w:rFonts w:ascii="Arial" w:hAnsi="Arial" w:eastAsia="Calibri" w:cs="Arial"/>
          <w:sz w:val="22"/>
          <w:lang w:val="es-ES_tradnl"/>
        </w:rPr>
      </w:pPr>
      <w:r w:rsidRPr="00E810BE">
        <w:rPr>
          <w:rFonts w:ascii="Arial" w:hAnsi="Arial" w:eastAsia="Calibri" w:cs="Arial"/>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E810BE">
        <w:rPr>
          <w:rFonts w:ascii="Arial" w:hAnsi="Arial" w:eastAsia="Calibri" w:cs="Arial"/>
          <w:sz w:val="22"/>
          <w:vertAlign w:val="superscript"/>
          <w:lang w:val="es-ES_tradnl"/>
        </w:rPr>
        <w:footnoteReference w:id="6"/>
      </w:r>
      <w:r w:rsidRPr="00E810BE">
        <w:rPr>
          <w:rFonts w:ascii="Arial" w:hAnsi="Arial" w:eastAsia="Calibri" w:cs="Arial"/>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E810BE">
        <w:rPr>
          <w:rFonts w:ascii="Arial" w:hAnsi="Arial" w:eastAsia="Calibri" w:cs="Arial"/>
          <w:sz w:val="22"/>
          <w:vertAlign w:val="superscript"/>
          <w:lang w:val="es-ES_tradnl"/>
        </w:rPr>
        <w:footnoteReference w:id="7"/>
      </w:r>
      <w:r w:rsidRPr="00E810BE">
        <w:rPr>
          <w:rFonts w:ascii="Arial" w:hAnsi="Arial" w:eastAsia="Calibri" w:cs="Arial"/>
          <w:sz w:val="22"/>
          <w:lang w:val="es-ES_tradnl"/>
        </w:rPr>
        <w:t xml:space="preserve">. En tal sentido, la Sección Tercera ha señalado </w:t>
      </w:r>
      <w:r w:rsidRPr="00E810BE" w:rsidR="00093B65">
        <w:rPr>
          <w:rFonts w:ascii="Arial" w:hAnsi="Arial" w:eastAsia="Calibri" w:cs="Arial"/>
          <w:sz w:val="22"/>
          <w:lang w:val="es-ES_tradnl"/>
        </w:rPr>
        <w:t>lo siguiente</w:t>
      </w:r>
      <w:r w:rsidRPr="00E810BE">
        <w:rPr>
          <w:rFonts w:ascii="Arial" w:hAnsi="Arial" w:eastAsia="Calibri" w:cs="Arial"/>
          <w:sz w:val="22"/>
          <w:lang w:val="es-ES_tradnl"/>
        </w:rPr>
        <w:t>:</w:t>
      </w:r>
    </w:p>
    <w:p w:rsidRPr="00E810BE" w:rsidR="0096318D" w:rsidP="00F23E3A" w:rsidRDefault="0096318D" w14:paraId="27648BC9" w14:textId="77777777">
      <w:pPr>
        <w:spacing w:line="276" w:lineRule="auto"/>
        <w:ind w:firstLine="709"/>
        <w:jc w:val="both"/>
        <w:rPr>
          <w:rFonts w:ascii="Arial" w:hAnsi="Arial" w:eastAsia="Calibri" w:cs="Arial"/>
          <w:sz w:val="22"/>
          <w:lang w:val="es-ES_tradnl"/>
        </w:rPr>
      </w:pPr>
    </w:p>
    <w:p w:rsidRPr="00E810BE" w:rsidR="0096318D" w:rsidP="00150BAE" w:rsidRDefault="0096318D" w14:paraId="382FC456" w14:textId="3FEE3D83">
      <w:pPr>
        <w:ind w:left="709" w:right="709"/>
        <w:jc w:val="both"/>
        <w:rPr>
          <w:rFonts w:ascii="Arial" w:hAnsi="Arial" w:cs="Arial"/>
          <w:sz w:val="21"/>
          <w:szCs w:val="21"/>
          <w:lang w:val="es-ES_tradnl"/>
        </w:rPr>
      </w:pPr>
      <w:r w:rsidRPr="00E810BE">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E810BE">
        <w:rPr>
          <w:rFonts w:ascii="Arial" w:hAnsi="Arial" w:cs="Arial"/>
          <w:sz w:val="21"/>
          <w:szCs w:val="21"/>
          <w:vertAlign w:val="superscript"/>
          <w:lang w:val="es-ES_tradnl"/>
        </w:rPr>
        <w:footnoteReference w:id="8"/>
      </w:r>
      <w:r w:rsidRPr="00E810BE">
        <w:rPr>
          <w:rFonts w:ascii="Arial" w:hAnsi="Arial" w:cs="Arial"/>
          <w:sz w:val="21"/>
          <w:szCs w:val="21"/>
          <w:lang w:val="es-ES_tradnl"/>
        </w:rPr>
        <w:t>.</w:t>
      </w:r>
    </w:p>
    <w:p w:rsidRPr="00E810BE" w:rsidR="00F23E3A" w:rsidP="00150BAE" w:rsidRDefault="00F23E3A" w14:paraId="31BAA1A8" w14:textId="77777777">
      <w:pPr>
        <w:ind w:left="709" w:right="709"/>
        <w:jc w:val="both"/>
        <w:rPr>
          <w:rFonts w:ascii="Arial" w:hAnsi="Arial" w:cs="Arial"/>
          <w:bCs/>
          <w:sz w:val="21"/>
          <w:szCs w:val="21"/>
          <w:lang w:val="es-ES_tradnl"/>
        </w:rPr>
      </w:pPr>
    </w:p>
    <w:p w:rsidRPr="00E810BE" w:rsidR="0096318D" w:rsidP="00150BAE" w:rsidRDefault="0096318D" w14:paraId="615F134D" w14:textId="13C6CC1D">
      <w:pPr>
        <w:spacing w:line="276" w:lineRule="auto"/>
        <w:ind w:firstLine="709"/>
        <w:jc w:val="both"/>
        <w:rPr>
          <w:rFonts w:ascii="Arial" w:hAnsi="Arial" w:eastAsia="Calibri" w:cs="Arial"/>
          <w:sz w:val="22"/>
          <w:lang w:val="es-ES_tradnl"/>
        </w:rPr>
      </w:pPr>
      <w:r w:rsidRPr="00E810BE">
        <w:rPr>
          <w:rFonts w:ascii="Arial" w:hAnsi="Arial" w:eastAsia="Calibri" w:cs="Arial"/>
          <w:sz w:val="22"/>
          <w:lang w:val="es-ES_tradnl"/>
        </w:rPr>
        <w:t xml:space="preserve">También </w:t>
      </w:r>
      <w:r w:rsidRPr="00E810BE" w:rsidR="003D1614">
        <w:rPr>
          <w:rFonts w:ascii="Arial" w:hAnsi="Arial" w:eastAsia="Calibri" w:cs="Arial"/>
          <w:sz w:val="22"/>
          <w:lang w:val="es-ES_tradnl"/>
        </w:rPr>
        <w:t xml:space="preserve">explicó </w:t>
      </w:r>
      <w:r w:rsidRPr="00E810BE" w:rsidR="00093B65">
        <w:rPr>
          <w:rFonts w:ascii="Arial" w:hAnsi="Arial" w:eastAsia="Calibri" w:cs="Arial"/>
          <w:sz w:val="22"/>
          <w:lang w:val="es-ES_tradnl"/>
        </w:rPr>
        <w:t>que</w:t>
      </w:r>
      <w:r w:rsidRPr="00E810BE">
        <w:rPr>
          <w:rFonts w:ascii="Arial" w:hAnsi="Arial" w:eastAsia="Calibri" w:cs="Arial"/>
          <w:sz w:val="22"/>
          <w:lang w:val="es-ES_tradnl"/>
        </w:rPr>
        <w:t>:</w:t>
      </w:r>
    </w:p>
    <w:p w:rsidRPr="00E810BE" w:rsidR="00F23E3A" w:rsidP="00150BAE" w:rsidRDefault="00F23E3A" w14:paraId="10A98F4A" w14:textId="77777777">
      <w:pPr>
        <w:ind w:firstLine="709"/>
        <w:jc w:val="both"/>
        <w:rPr>
          <w:rFonts w:ascii="Arial" w:hAnsi="Arial" w:eastAsia="Calibri" w:cs="Arial"/>
          <w:sz w:val="21"/>
          <w:szCs w:val="21"/>
          <w:lang w:val="es-ES_tradnl"/>
        </w:rPr>
      </w:pPr>
    </w:p>
    <w:p w:rsidRPr="00E810BE" w:rsidR="0096318D" w:rsidP="00150BAE" w:rsidRDefault="0096318D" w14:paraId="65FC017D" w14:textId="53EACA3F">
      <w:pPr>
        <w:ind w:left="709" w:right="709"/>
        <w:jc w:val="both"/>
        <w:rPr>
          <w:rFonts w:ascii="Arial" w:hAnsi="Arial" w:cs="Arial"/>
          <w:sz w:val="21"/>
          <w:szCs w:val="21"/>
          <w:lang w:val="es-ES_tradnl"/>
        </w:rPr>
      </w:pPr>
      <w:r w:rsidRPr="00E810BE">
        <w:rPr>
          <w:rFonts w:ascii="Arial" w:hAnsi="Arial" w:cs="Arial"/>
          <w:sz w:val="21"/>
          <w:szCs w:val="21"/>
          <w:lang w:val="es-ES_tradnl"/>
        </w:rPr>
        <w:t xml:space="preserve">[…] la aplicación de estos preceptos exige una interpretación restrictiva, dado que según el principio </w:t>
      </w:r>
      <w:bookmarkStart w:name="_Hlk36113778" w:id="6"/>
      <w:r w:rsidRPr="00E810BE">
        <w:rPr>
          <w:rFonts w:ascii="Arial" w:hAnsi="Arial" w:cs="Arial"/>
          <w:sz w:val="21"/>
          <w:szCs w:val="21"/>
          <w:lang w:val="es-ES_tradnl"/>
        </w:rPr>
        <w:t xml:space="preserve">hermenéutico </w:t>
      </w:r>
      <w:r w:rsidRPr="00E810BE">
        <w:rPr>
          <w:rFonts w:ascii="Arial" w:hAnsi="Arial" w:cs="Arial"/>
          <w:i/>
          <w:iCs/>
          <w:sz w:val="21"/>
          <w:szCs w:val="21"/>
          <w:lang w:val="es-ES_tradnl"/>
        </w:rPr>
        <w:t xml:space="preserve">pro </w:t>
      </w:r>
      <w:proofErr w:type="spellStart"/>
      <w:r w:rsidRPr="00E810BE">
        <w:rPr>
          <w:rFonts w:ascii="Arial" w:hAnsi="Arial" w:cs="Arial"/>
          <w:i/>
          <w:iCs/>
          <w:sz w:val="21"/>
          <w:szCs w:val="21"/>
          <w:lang w:val="es-ES_tradnl"/>
        </w:rPr>
        <w:t>libertate</w:t>
      </w:r>
      <w:proofErr w:type="spellEnd"/>
      <w:r w:rsidRPr="00E810BE">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w:t>
      </w:r>
      <w:bookmarkEnd w:id="6"/>
      <w:r w:rsidRPr="00E810BE">
        <w:rPr>
          <w:rFonts w:ascii="Arial" w:hAnsi="Arial" w:cs="Arial"/>
          <w:sz w:val="21"/>
          <w:szCs w:val="21"/>
          <w:lang w:val="es-ES_tradnl"/>
        </w:rPr>
        <w:t xml:space="preserve">, toda vez que las palabras de la ley son la frontera que no se puede traspasar en el ejercicio hermenéutico de las mismas, pues de hacerlo se </w:t>
      </w:r>
      <w:r w:rsidRPr="00E810BE">
        <w:rPr>
          <w:rFonts w:ascii="Arial" w:hAnsi="Arial" w:cs="Arial"/>
          <w:sz w:val="21"/>
          <w:szCs w:val="21"/>
          <w:lang w:val="es-ES_tradnl"/>
        </w:rPr>
        <w:lastRenderedPageBreak/>
        <w:t>vulnerarían los derechos fundamentales al debido proceso (art. 29 CN) y a la igualdad (art. 13 Ibid.); […]</w:t>
      </w:r>
      <w:r w:rsidRPr="00E810BE">
        <w:rPr>
          <w:rFonts w:ascii="Arial" w:hAnsi="Arial" w:cs="Arial"/>
          <w:sz w:val="21"/>
          <w:szCs w:val="21"/>
          <w:vertAlign w:val="superscript"/>
          <w:lang w:val="es-ES_tradnl"/>
        </w:rPr>
        <w:footnoteReference w:id="9"/>
      </w:r>
      <w:r w:rsidRPr="00E810BE">
        <w:rPr>
          <w:rFonts w:ascii="Arial" w:hAnsi="Arial" w:cs="Arial"/>
          <w:sz w:val="21"/>
          <w:szCs w:val="21"/>
          <w:lang w:val="es-ES_tradnl"/>
        </w:rPr>
        <w:t>.</w:t>
      </w:r>
    </w:p>
    <w:p w:rsidRPr="00E810BE" w:rsidR="00F23E3A" w:rsidP="00F23E3A" w:rsidRDefault="00F23E3A" w14:paraId="715DADD9" w14:textId="77777777">
      <w:pPr>
        <w:spacing w:line="276" w:lineRule="auto"/>
        <w:ind w:left="709" w:right="709"/>
        <w:jc w:val="both"/>
        <w:rPr>
          <w:rFonts w:ascii="Arial" w:hAnsi="Arial" w:cs="Arial"/>
          <w:sz w:val="21"/>
          <w:szCs w:val="21"/>
          <w:lang w:val="es-ES_tradnl"/>
        </w:rPr>
      </w:pPr>
    </w:p>
    <w:p w:rsidRPr="00E810BE" w:rsidR="00064065" w:rsidP="00016FC3" w:rsidRDefault="00172581" w14:paraId="57CB424E" w14:textId="17AF6ADF">
      <w:pPr>
        <w:spacing w:after="240" w:line="276" w:lineRule="auto"/>
        <w:jc w:val="both"/>
        <w:rPr>
          <w:rFonts w:ascii="Arial" w:hAnsi="Arial" w:eastAsia="Calibri" w:cs="Arial"/>
          <w:b/>
          <w:bCs/>
          <w:sz w:val="22"/>
          <w:lang w:val="es-ES_tradnl"/>
        </w:rPr>
      </w:pPr>
      <w:r w:rsidRPr="00E810BE">
        <w:rPr>
          <w:rFonts w:ascii="Arial" w:hAnsi="Arial" w:eastAsia="Calibri" w:cs="Arial"/>
          <w:sz w:val="22"/>
          <w:lang w:val="es-ES_tradnl"/>
        </w:rPr>
        <w:tab/>
      </w:r>
      <w:r w:rsidRPr="00E810BE">
        <w:rPr>
          <w:rFonts w:ascii="Arial" w:hAnsi="Arial" w:eastAsia="Calibri" w:cs="Arial"/>
          <w:sz w:val="22"/>
          <w:lang w:val="es-ES_tradnl"/>
        </w:rPr>
        <w:t xml:space="preserve">En </w:t>
      </w:r>
      <w:r w:rsidRPr="00E810BE" w:rsidR="007E0383">
        <w:rPr>
          <w:rFonts w:ascii="Arial" w:hAnsi="Arial" w:eastAsia="Calibri" w:cs="Arial"/>
          <w:sz w:val="22"/>
          <w:lang w:val="es-ES_tradnl"/>
        </w:rPr>
        <w:t>conclusión</w:t>
      </w:r>
      <w:r w:rsidRPr="00E810BE">
        <w:rPr>
          <w:rFonts w:ascii="Arial" w:hAnsi="Arial" w:eastAsia="Calibri" w:cs="Arial"/>
          <w:sz w:val="22"/>
          <w:lang w:val="es-ES_tradnl"/>
        </w:rPr>
        <w:t>, el régimen de inhabilidades e incompatibilidades está concebido como un conjunto de restricciones a la capacidad para presentar ofertas y contratar con el Estado, por lo que ninguna persona natural o jurídica que se encuentre incurs</w:t>
      </w:r>
      <w:r w:rsidRPr="00E810BE" w:rsidR="004333D6">
        <w:rPr>
          <w:rFonts w:ascii="Arial" w:hAnsi="Arial" w:eastAsia="Calibri" w:cs="Arial"/>
          <w:sz w:val="22"/>
          <w:lang w:val="es-ES_tradnl"/>
        </w:rPr>
        <w:t>a</w:t>
      </w:r>
      <w:r w:rsidRPr="00E810BE">
        <w:rPr>
          <w:rFonts w:ascii="Arial" w:hAnsi="Arial" w:eastAsia="Calibri" w:cs="Arial"/>
          <w:sz w:val="22"/>
          <w:lang w:val="es-ES_tradnl"/>
        </w:rPr>
        <w:t xml:space="preserve"> en alguna causal </w:t>
      </w:r>
      <w:r w:rsidRPr="00E810BE" w:rsidR="007E0383">
        <w:rPr>
          <w:rFonts w:ascii="Arial" w:hAnsi="Arial" w:eastAsia="Calibri" w:cs="Arial"/>
          <w:sz w:val="22"/>
          <w:lang w:val="es-ES_tradnl"/>
        </w:rPr>
        <w:t>estará en la posibilidad de suscribir contratos con alguna entidad estatal. No obstante, al estar estas causales sometidas a interpretación y aplicación restrictiva, deberá analizarse en el caso concreto si efectivamente la respectiva persona se encuentra incursa en el supuesto de hecho que da lugar a la configuración de la inhabilidad o incompatibilidad, en virtud de la que opera la restricción a la capacidad para contratar.</w:t>
      </w:r>
    </w:p>
    <w:p w:rsidRPr="00E810BE" w:rsidR="00064065" w:rsidP="00064065" w:rsidRDefault="00064065" w14:paraId="33A5A793" w14:textId="26E91B5B">
      <w:pPr>
        <w:spacing w:line="276" w:lineRule="auto"/>
        <w:jc w:val="both"/>
        <w:rPr>
          <w:rFonts w:ascii="Arial" w:hAnsi="Arial" w:eastAsia="Calibri" w:cs="Arial"/>
          <w:b/>
          <w:bCs/>
          <w:sz w:val="22"/>
          <w:lang w:val="es-ES_tradnl"/>
        </w:rPr>
      </w:pPr>
      <w:r w:rsidRPr="00E810BE">
        <w:rPr>
          <w:rFonts w:ascii="Arial" w:hAnsi="Arial" w:eastAsia="Calibri" w:cs="Arial"/>
          <w:b/>
          <w:bCs/>
          <w:sz w:val="22"/>
          <w:lang w:val="es-ES_tradnl"/>
        </w:rPr>
        <w:t>2.2. Aplicación de la inhabilidad por incumplimiento reiterado tras la modificación introducida por la Ley 1955 de 2019</w:t>
      </w:r>
    </w:p>
    <w:p w:rsidRPr="00E810BE" w:rsidR="0063147A" w:rsidP="00EF5645" w:rsidRDefault="0063147A" w14:paraId="010CFF36" w14:textId="77777777">
      <w:pPr>
        <w:widowControl w:val="0"/>
        <w:autoSpaceDE w:val="0"/>
        <w:autoSpaceDN w:val="0"/>
        <w:ind w:right="105"/>
        <w:jc w:val="both"/>
        <w:rPr>
          <w:rFonts w:ascii="Arial" w:hAnsi="Arial" w:eastAsia="Arial" w:cs="Arial"/>
          <w:sz w:val="22"/>
          <w:lang w:val="es-ES"/>
        </w:rPr>
      </w:pPr>
    </w:p>
    <w:p w:rsidRPr="00E810BE" w:rsidR="0063147A" w:rsidP="007C3E51" w:rsidRDefault="0063147A" w14:paraId="6BC940DA" w14:textId="3FA3A1D6">
      <w:pPr>
        <w:widowControl w:val="0"/>
        <w:autoSpaceDE w:val="0"/>
        <w:autoSpaceDN w:val="0"/>
        <w:spacing w:after="120" w:line="276" w:lineRule="auto"/>
        <w:ind w:right="49"/>
        <w:jc w:val="both"/>
        <w:rPr>
          <w:rFonts w:ascii="Arial" w:hAnsi="Arial" w:eastAsia="Arial" w:cs="Arial"/>
          <w:sz w:val="22"/>
          <w:lang w:val="es-ES"/>
        </w:rPr>
      </w:pPr>
      <w:r w:rsidRPr="00E810BE">
        <w:rPr>
          <w:rFonts w:ascii="Arial" w:hAnsi="Arial" w:eastAsia="Arial" w:cs="Arial"/>
          <w:sz w:val="22"/>
          <w:lang w:val="es-ES"/>
        </w:rPr>
        <w:t>Las multas y la declaratoria de incumplimiento son sanciones administrativas impuestas por la entidad en cada contrato, frente al incumplimiento, parcial o definitivo, de las obligaciones pactadas. En principio, las consecuencias de estas sanciones no se proyectan</w:t>
      </w:r>
      <w:r w:rsidRPr="00E810BE">
        <w:rPr>
          <w:rFonts w:ascii="Arial" w:hAnsi="Arial" w:eastAsia="Arial" w:cs="Arial"/>
          <w:spacing w:val="34"/>
          <w:sz w:val="22"/>
          <w:lang w:val="es-ES"/>
        </w:rPr>
        <w:t xml:space="preserve"> </w:t>
      </w:r>
      <w:r w:rsidRPr="00E810BE">
        <w:rPr>
          <w:rFonts w:ascii="Arial" w:hAnsi="Arial" w:eastAsia="Arial" w:cs="Arial"/>
          <w:sz w:val="22"/>
          <w:lang w:val="es-ES"/>
        </w:rPr>
        <w:t>más</w:t>
      </w:r>
      <w:r w:rsidRPr="00E810BE">
        <w:rPr>
          <w:rFonts w:ascii="Arial" w:hAnsi="Arial" w:eastAsia="Arial" w:cs="Arial"/>
          <w:spacing w:val="35"/>
          <w:sz w:val="22"/>
          <w:lang w:val="es-ES"/>
        </w:rPr>
        <w:t xml:space="preserve"> </w:t>
      </w:r>
      <w:r w:rsidRPr="00E810BE">
        <w:rPr>
          <w:rFonts w:ascii="Arial" w:hAnsi="Arial" w:eastAsia="Arial" w:cs="Arial"/>
          <w:sz w:val="22"/>
          <w:lang w:val="es-ES"/>
        </w:rPr>
        <w:t>allá</w:t>
      </w:r>
      <w:r w:rsidRPr="00E810BE">
        <w:rPr>
          <w:rFonts w:ascii="Arial" w:hAnsi="Arial" w:eastAsia="Arial" w:cs="Arial"/>
          <w:spacing w:val="33"/>
          <w:sz w:val="22"/>
          <w:lang w:val="es-ES"/>
        </w:rPr>
        <w:t xml:space="preserve"> </w:t>
      </w:r>
      <w:r w:rsidRPr="00E810BE">
        <w:rPr>
          <w:rFonts w:ascii="Arial" w:hAnsi="Arial" w:eastAsia="Arial" w:cs="Arial"/>
          <w:sz w:val="22"/>
          <w:lang w:val="es-ES"/>
        </w:rPr>
        <w:t>del</w:t>
      </w:r>
      <w:r w:rsidRPr="00E810BE">
        <w:rPr>
          <w:rFonts w:ascii="Arial" w:hAnsi="Arial" w:eastAsia="Arial" w:cs="Arial"/>
          <w:spacing w:val="32"/>
          <w:sz w:val="22"/>
          <w:lang w:val="es-ES"/>
        </w:rPr>
        <w:t xml:space="preserve"> </w:t>
      </w:r>
      <w:r w:rsidRPr="00E810BE">
        <w:rPr>
          <w:rFonts w:ascii="Arial" w:hAnsi="Arial" w:eastAsia="Arial" w:cs="Arial"/>
          <w:sz w:val="22"/>
          <w:lang w:val="es-ES"/>
        </w:rPr>
        <w:t>marco</w:t>
      </w:r>
      <w:r w:rsidRPr="00E810BE">
        <w:rPr>
          <w:rFonts w:ascii="Arial" w:hAnsi="Arial" w:eastAsia="Arial" w:cs="Arial"/>
          <w:spacing w:val="35"/>
          <w:sz w:val="22"/>
          <w:lang w:val="es-ES"/>
        </w:rPr>
        <w:t xml:space="preserve"> </w:t>
      </w:r>
      <w:r w:rsidRPr="00E810BE">
        <w:rPr>
          <w:rFonts w:ascii="Arial" w:hAnsi="Arial" w:eastAsia="Arial" w:cs="Arial"/>
          <w:sz w:val="22"/>
          <w:lang w:val="es-ES"/>
        </w:rPr>
        <w:t>del</w:t>
      </w:r>
      <w:r w:rsidRPr="00E810BE">
        <w:rPr>
          <w:rFonts w:ascii="Arial" w:hAnsi="Arial" w:eastAsia="Arial" w:cs="Arial"/>
          <w:spacing w:val="34"/>
          <w:sz w:val="22"/>
          <w:lang w:val="es-ES"/>
        </w:rPr>
        <w:t xml:space="preserve"> </w:t>
      </w:r>
      <w:r w:rsidRPr="00E810BE">
        <w:rPr>
          <w:rFonts w:ascii="Arial" w:hAnsi="Arial" w:eastAsia="Arial" w:cs="Arial"/>
          <w:sz w:val="22"/>
          <w:lang w:val="es-ES"/>
        </w:rPr>
        <w:t>contrato</w:t>
      </w:r>
      <w:r w:rsidRPr="00E810BE">
        <w:rPr>
          <w:rFonts w:ascii="Arial" w:hAnsi="Arial" w:eastAsia="Arial" w:cs="Arial"/>
          <w:spacing w:val="35"/>
          <w:sz w:val="22"/>
          <w:lang w:val="es-ES"/>
        </w:rPr>
        <w:t xml:space="preserve"> </w:t>
      </w:r>
      <w:r w:rsidRPr="00E810BE">
        <w:rPr>
          <w:rFonts w:ascii="Arial" w:hAnsi="Arial" w:eastAsia="Arial" w:cs="Arial"/>
          <w:sz w:val="22"/>
          <w:lang w:val="es-ES"/>
        </w:rPr>
        <w:t>en</w:t>
      </w:r>
      <w:r w:rsidRPr="00E810BE">
        <w:rPr>
          <w:rFonts w:ascii="Arial" w:hAnsi="Arial" w:eastAsia="Arial" w:cs="Arial"/>
          <w:spacing w:val="35"/>
          <w:sz w:val="22"/>
          <w:lang w:val="es-ES"/>
        </w:rPr>
        <w:t xml:space="preserve"> </w:t>
      </w:r>
      <w:r w:rsidRPr="00E810BE">
        <w:rPr>
          <w:rFonts w:ascii="Arial" w:hAnsi="Arial" w:eastAsia="Arial" w:cs="Arial"/>
          <w:sz w:val="22"/>
          <w:lang w:val="es-ES"/>
        </w:rPr>
        <w:t>el</w:t>
      </w:r>
      <w:r w:rsidRPr="00E810BE">
        <w:rPr>
          <w:rFonts w:ascii="Arial" w:hAnsi="Arial" w:eastAsia="Arial" w:cs="Arial"/>
          <w:spacing w:val="34"/>
          <w:sz w:val="22"/>
          <w:lang w:val="es-ES"/>
        </w:rPr>
        <w:t xml:space="preserve"> </w:t>
      </w:r>
      <w:r w:rsidRPr="00E810BE">
        <w:rPr>
          <w:rFonts w:ascii="Arial" w:hAnsi="Arial" w:eastAsia="Arial" w:cs="Arial"/>
          <w:sz w:val="22"/>
          <w:lang w:val="es-ES"/>
        </w:rPr>
        <w:t>que</w:t>
      </w:r>
      <w:r w:rsidRPr="00E810BE">
        <w:rPr>
          <w:rFonts w:ascii="Arial" w:hAnsi="Arial" w:eastAsia="Arial" w:cs="Arial"/>
          <w:spacing w:val="33"/>
          <w:sz w:val="22"/>
          <w:lang w:val="es-ES"/>
        </w:rPr>
        <w:t xml:space="preserve"> </w:t>
      </w:r>
      <w:r w:rsidRPr="00E810BE">
        <w:rPr>
          <w:rFonts w:ascii="Arial" w:hAnsi="Arial" w:eastAsia="Arial" w:cs="Arial"/>
          <w:sz w:val="22"/>
          <w:lang w:val="es-ES"/>
        </w:rPr>
        <w:t>fueron</w:t>
      </w:r>
      <w:r w:rsidRPr="00E810BE">
        <w:rPr>
          <w:rFonts w:ascii="Arial" w:hAnsi="Arial" w:eastAsia="Arial" w:cs="Arial"/>
          <w:spacing w:val="35"/>
          <w:sz w:val="22"/>
          <w:lang w:val="es-ES"/>
        </w:rPr>
        <w:t xml:space="preserve"> </w:t>
      </w:r>
      <w:r w:rsidRPr="00E810BE">
        <w:rPr>
          <w:rFonts w:ascii="Arial" w:hAnsi="Arial" w:eastAsia="Arial" w:cs="Arial"/>
          <w:sz w:val="22"/>
          <w:lang w:val="es-ES"/>
        </w:rPr>
        <w:t>impuestas.</w:t>
      </w:r>
      <w:r w:rsidRPr="00E810BE">
        <w:rPr>
          <w:rFonts w:ascii="Arial" w:hAnsi="Arial" w:eastAsia="Arial" w:cs="Arial"/>
          <w:spacing w:val="31"/>
          <w:sz w:val="22"/>
          <w:lang w:val="es-ES"/>
        </w:rPr>
        <w:t xml:space="preserve"> </w:t>
      </w:r>
      <w:r w:rsidRPr="00E810BE">
        <w:rPr>
          <w:rFonts w:ascii="Arial" w:hAnsi="Arial" w:eastAsia="Arial" w:cs="Arial"/>
          <w:sz w:val="22"/>
          <w:lang w:val="es-ES"/>
        </w:rPr>
        <w:t>No</w:t>
      </w:r>
      <w:r w:rsidRPr="00E810BE">
        <w:rPr>
          <w:rFonts w:ascii="Arial" w:hAnsi="Arial" w:eastAsia="Arial" w:cs="Arial"/>
          <w:spacing w:val="35"/>
          <w:sz w:val="22"/>
          <w:lang w:val="es-ES"/>
        </w:rPr>
        <w:t xml:space="preserve"> </w:t>
      </w:r>
      <w:r w:rsidRPr="00E810BE">
        <w:rPr>
          <w:rFonts w:ascii="Arial" w:hAnsi="Arial" w:eastAsia="Arial" w:cs="Arial"/>
          <w:sz w:val="22"/>
          <w:lang w:val="es-ES"/>
        </w:rPr>
        <w:t xml:space="preserve">obstante, </w:t>
      </w:r>
      <w:r w:rsidRPr="00E810BE" w:rsidR="003D1614">
        <w:rPr>
          <w:rFonts w:ascii="Arial" w:hAnsi="Arial" w:eastAsia="Arial" w:cs="Arial"/>
          <w:sz w:val="22"/>
          <w:lang w:val="es-ES"/>
        </w:rPr>
        <w:t xml:space="preserve">conforme a </w:t>
      </w:r>
      <w:r w:rsidRPr="00E810BE">
        <w:rPr>
          <w:rFonts w:ascii="Arial" w:hAnsi="Arial" w:eastAsia="Arial" w:cs="Arial"/>
          <w:sz w:val="22"/>
          <w:lang w:val="es-ES"/>
        </w:rPr>
        <w:t>los</w:t>
      </w:r>
      <w:r w:rsidRPr="00E810BE" w:rsidR="003D1614">
        <w:rPr>
          <w:rFonts w:ascii="Arial" w:hAnsi="Arial" w:eastAsia="Arial" w:cs="Arial"/>
          <w:sz w:val="22"/>
          <w:lang w:val="es-ES"/>
        </w:rPr>
        <w:t xml:space="preserve"> </w:t>
      </w:r>
      <w:r w:rsidRPr="00E810BE">
        <w:rPr>
          <w:rFonts w:ascii="Arial" w:hAnsi="Arial" w:eastAsia="Arial" w:cs="Arial"/>
          <w:sz w:val="22"/>
          <w:lang w:val="es-ES"/>
        </w:rPr>
        <w:t xml:space="preserve">principios </w:t>
      </w:r>
      <w:r w:rsidRPr="00E810BE" w:rsidR="00FF65DB">
        <w:rPr>
          <w:rFonts w:ascii="Arial" w:hAnsi="Arial" w:eastAsia="Arial" w:cs="Arial"/>
          <w:sz w:val="22"/>
          <w:lang w:val="es-ES"/>
        </w:rPr>
        <w:t xml:space="preserve">de </w:t>
      </w:r>
      <w:r w:rsidRPr="00E810BE">
        <w:rPr>
          <w:rFonts w:ascii="Arial" w:hAnsi="Arial" w:eastAsia="Arial" w:cs="Arial"/>
          <w:sz w:val="22"/>
          <w:lang w:val="es-ES"/>
        </w:rPr>
        <w:t>probidad, transparencia y eficiencia, el legislador determinó que la declaratoria reiterada de estas sanciones, bien sea por la misma entidad o por varias, en uno o varios contratos, tuviera consecuencias negativas para el contratista más allá de lo</w:t>
      </w:r>
      <w:r w:rsidRPr="00E810BE" w:rsidR="002C5EA2">
        <w:rPr>
          <w:rFonts w:ascii="Arial" w:hAnsi="Arial" w:eastAsia="Arial" w:cs="Arial"/>
          <w:sz w:val="22"/>
          <w:lang w:val="es-ES"/>
        </w:rPr>
        <w:t>s</w:t>
      </w:r>
      <w:r w:rsidRPr="00E810BE">
        <w:rPr>
          <w:rFonts w:ascii="Arial" w:hAnsi="Arial" w:eastAsia="Arial" w:cs="Arial"/>
          <w:sz w:val="22"/>
          <w:lang w:val="es-ES"/>
        </w:rPr>
        <w:t xml:space="preserve"> </w:t>
      </w:r>
      <w:r w:rsidRPr="00E810BE" w:rsidR="002C5EA2">
        <w:rPr>
          <w:rFonts w:ascii="Arial" w:hAnsi="Arial" w:eastAsia="Arial" w:cs="Arial"/>
          <w:sz w:val="22"/>
          <w:lang w:val="es-ES"/>
        </w:rPr>
        <w:t xml:space="preserve">incumplimientos </w:t>
      </w:r>
      <w:r w:rsidRPr="00E810BE">
        <w:rPr>
          <w:rFonts w:ascii="Arial" w:hAnsi="Arial" w:eastAsia="Arial" w:cs="Arial"/>
          <w:sz w:val="22"/>
          <w:lang w:val="es-ES"/>
        </w:rPr>
        <w:t>contra</w:t>
      </w:r>
      <w:r w:rsidRPr="00E810BE" w:rsidR="00AE3988">
        <w:rPr>
          <w:rFonts w:ascii="Arial" w:hAnsi="Arial" w:eastAsia="Arial" w:cs="Arial"/>
          <w:sz w:val="22"/>
          <w:lang w:val="es-ES"/>
        </w:rPr>
        <w:t>c</w:t>
      </w:r>
      <w:r w:rsidRPr="00E810BE">
        <w:rPr>
          <w:rFonts w:ascii="Arial" w:hAnsi="Arial" w:eastAsia="Arial" w:cs="Arial"/>
          <w:sz w:val="22"/>
          <w:lang w:val="es-ES"/>
        </w:rPr>
        <w:t>t</w:t>
      </w:r>
      <w:r w:rsidRPr="00E810BE" w:rsidR="00AE3988">
        <w:rPr>
          <w:rFonts w:ascii="Arial" w:hAnsi="Arial" w:eastAsia="Arial" w:cs="Arial"/>
          <w:sz w:val="22"/>
          <w:lang w:val="es-ES"/>
        </w:rPr>
        <w:t>uale</w:t>
      </w:r>
      <w:r w:rsidRPr="00E810BE">
        <w:rPr>
          <w:rFonts w:ascii="Arial" w:hAnsi="Arial" w:eastAsia="Arial" w:cs="Arial"/>
          <w:sz w:val="22"/>
          <w:lang w:val="es-ES"/>
        </w:rPr>
        <w:t xml:space="preserve">s que las generaron. </w:t>
      </w:r>
    </w:p>
    <w:p w:rsidRPr="00E810BE" w:rsidR="0063147A" w:rsidP="007C3E51" w:rsidRDefault="0063147A" w14:paraId="660AFF7A" w14:textId="40AF687E">
      <w:pPr>
        <w:widowControl w:val="0"/>
        <w:autoSpaceDE w:val="0"/>
        <w:autoSpaceDN w:val="0"/>
        <w:spacing w:line="276" w:lineRule="auto"/>
        <w:ind w:right="49" w:firstLine="708"/>
        <w:jc w:val="both"/>
        <w:rPr>
          <w:rFonts w:ascii="Arial" w:hAnsi="Arial" w:eastAsia="Arial" w:cs="Arial"/>
          <w:sz w:val="22"/>
          <w:lang w:val="es-ES"/>
        </w:rPr>
      </w:pPr>
      <w:r w:rsidRPr="00E810BE">
        <w:rPr>
          <w:rFonts w:ascii="Arial" w:hAnsi="Arial" w:eastAsia="Arial" w:cs="Arial"/>
          <w:sz w:val="22"/>
          <w:lang w:val="es-ES"/>
        </w:rPr>
        <w:t>En ese sentido, dentro del conjunto de medidas administrativas, fiscales y penales adoptadas por la Ley 1474 de 2011, conocida como Estatuto Anticorrupción,</w:t>
      </w:r>
      <w:r w:rsidRPr="00E810BE" w:rsidR="007C3E51">
        <w:rPr>
          <w:rFonts w:ascii="Arial" w:hAnsi="Arial" w:eastAsia="Arial" w:cs="Arial"/>
          <w:sz w:val="22"/>
          <w:lang w:val="es-ES"/>
        </w:rPr>
        <w:t xml:space="preserve"> se incluyó la creación de</w:t>
      </w:r>
      <w:r w:rsidRPr="00E810BE">
        <w:rPr>
          <w:rFonts w:ascii="Arial" w:hAnsi="Arial" w:eastAsia="Arial" w:cs="Arial"/>
          <w:sz w:val="22"/>
          <w:lang w:val="es-ES"/>
        </w:rPr>
        <w:t xml:space="preserve"> un</w:t>
      </w:r>
      <w:r w:rsidRPr="00E810BE" w:rsidR="007C3E51">
        <w:rPr>
          <w:rFonts w:ascii="Arial" w:hAnsi="Arial" w:eastAsia="Arial" w:cs="Arial"/>
          <w:sz w:val="22"/>
          <w:lang w:val="es-ES"/>
        </w:rPr>
        <w:t>a</w:t>
      </w:r>
      <w:r w:rsidRPr="00E810BE">
        <w:rPr>
          <w:rFonts w:ascii="Arial" w:hAnsi="Arial" w:eastAsia="Arial" w:cs="Arial"/>
          <w:sz w:val="22"/>
          <w:lang w:val="es-ES"/>
        </w:rPr>
        <w:t xml:space="preserve"> inhabilidad para contratar </w:t>
      </w:r>
      <w:proofErr w:type="gramStart"/>
      <w:r w:rsidRPr="00E810BE">
        <w:rPr>
          <w:rFonts w:ascii="Arial" w:hAnsi="Arial" w:eastAsia="Arial" w:cs="Arial"/>
          <w:sz w:val="22"/>
          <w:lang w:val="es-ES"/>
        </w:rPr>
        <w:t>en razón del</w:t>
      </w:r>
      <w:proofErr w:type="gramEnd"/>
      <w:r w:rsidRPr="00E810BE">
        <w:rPr>
          <w:rFonts w:ascii="Arial" w:hAnsi="Arial" w:eastAsia="Arial" w:cs="Arial"/>
          <w:sz w:val="22"/>
          <w:lang w:val="es-ES"/>
        </w:rPr>
        <w:t xml:space="preserve"> incumplimiento reiterado de los oferentes en la ejecución de otros contratos estatales.</w:t>
      </w:r>
      <w:r w:rsidRPr="00E810BE" w:rsidR="007C3E51">
        <w:rPr>
          <w:rFonts w:ascii="Arial" w:hAnsi="Arial" w:eastAsia="Arial" w:cs="Arial"/>
          <w:sz w:val="22"/>
          <w:lang w:val="es-ES"/>
        </w:rPr>
        <w:t xml:space="preserve"> </w:t>
      </w:r>
      <w:r w:rsidRPr="00E810BE" w:rsidR="003D1614">
        <w:rPr>
          <w:rFonts w:ascii="Arial" w:hAnsi="Arial" w:eastAsia="Arial" w:cs="Arial"/>
          <w:sz w:val="22"/>
          <w:lang w:val="es-ES"/>
        </w:rPr>
        <w:t>Para estos efectos</w:t>
      </w:r>
      <w:r w:rsidRPr="00E810BE" w:rsidR="007C3E51">
        <w:rPr>
          <w:rFonts w:ascii="Arial" w:hAnsi="Arial" w:eastAsia="Arial" w:cs="Arial"/>
          <w:sz w:val="22"/>
          <w:lang w:val="es-ES"/>
        </w:rPr>
        <w:t>, el</w:t>
      </w:r>
      <w:r w:rsidRPr="00E810BE">
        <w:rPr>
          <w:rFonts w:ascii="Arial" w:hAnsi="Arial" w:eastAsia="Arial" w:cs="Arial"/>
          <w:sz w:val="22"/>
          <w:lang w:val="es-ES"/>
        </w:rPr>
        <w:t xml:space="preserve"> artículo 90 de la Ley 1474 de 2011 </w:t>
      </w:r>
      <w:r w:rsidRPr="00E810BE" w:rsidR="003D1614">
        <w:rPr>
          <w:rFonts w:ascii="Arial" w:hAnsi="Arial" w:eastAsia="Arial" w:cs="Arial"/>
          <w:sz w:val="22"/>
          <w:lang w:val="es-ES"/>
        </w:rPr>
        <w:t>dispuso un</w:t>
      </w:r>
      <w:r w:rsidRPr="00E810BE">
        <w:rPr>
          <w:rFonts w:ascii="Arial" w:hAnsi="Arial" w:eastAsia="Arial" w:cs="Arial"/>
          <w:sz w:val="22"/>
          <w:lang w:val="es-ES"/>
        </w:rPr>
        <w:t xml:space="preserve">a inhabilidad de </w:t>
      </w:r>
      <w:r w:rsidRPr="00E810BE" w:rsidR="003D1614">
        <w:rPr>
          <w:rFonts w:ascii="Arial" w:hAnsi="Arial" w:eastAsia="Arial" w:cs="Arial"/>
          <w:sz w:val="22"/>
          <w:lang w:val="es-ES"/>
        </w:rPr>
        <w:t>tres (</w:t>
      </w:r>
      <w:r w:rsidRPr="00E810BE">
        <w:rPr>
          <w:rFonts w:ascii="Arial" w:hAnsi="Arial" w:eastAsia="Arial" w:cs="Arial"/>
          <w:sz w:val="22"/>
          <w:lang w:val="es-ES"/>
        </w:rPr>
        <w:t>3</w:t>
      </w:r>
      <w:r w:rsidRPr="00E810BE" w:rsidR="003D1614">
        <w:rPr>
          <w:rFonts w:ascii="Arial" w:hAnsi="Arial" w:eastAsia="Arial" w:cs="Arial"/>
          <w:sz w:val="22"/>
          <w:lang w:val="es-ES"/>
        </w:rPr>
        <w:t>)</w:t>
      </w:r>
      <w:r w:rsidRPr="00E810BE">
        <w:rPr>
          <w:rFonts w:ascii="Arial" w:hAnsi="Arial" w:eastAsia="Arial" w:cs="Arial"/>
          <w:sz w:val="22"/>
          <w:lang w:val="es-ES"/>
        </w:rPr>
        <w:t xml:space="preserve"> años, que se configura bajo las siguientes causales:</w:t>
      </w:r>
    </w:p>
    <w:p w:rsidRPr="00E810BE" w:rsidR="007C3E51" w:rsidP="007C3E51" w:rsidRDefault="007C3E51" w14:paraId="30956C15" w14:textId="6F603579">
      <w:pPr>
        <w:widowControl w:val="0"/>
        <w:autoSpaceDE w:val="0"/>
        <w:autoSpaceDN w:val="0"/>
        <w:spacing w:line="276" w:lineRule="auto"/>
        <w:ind w:right="105" w:firstLine="708"/>
        <w:jc w:val="both"/>
        <w:rPr>
          <w:rFonts w:ascii="Arial" w:hAnsi="Arial" w:eastAsia="Arial" w:cs="Arial"/>
          <w:sz w:val="22"/>
          <w:lang w:val="es-ES"/>
        </w:rPr>
      </w:pPr>
    </w:p>
    <w:p w:rsidRPr="00E810BE" w:rsidR="0063147A" w:rsidP="00016FC3" w:rsidRDefault="007C3E51" w14:paraId="4EF7CB74" w14:textId="24488E2E">
      <w:pPr>
        <w:widowControl w:val="0"/>
        <w:autoSpaceDE w:val="0"/>
        <w:autoSpaceDN w:val="0"/>
        <w:spacing w:after="120"/>
        <w:ind w:left="709" w:right="709"/>
        <w:jc w:val="both"/>
        <w:rPr>
          <w:rFonts w:ascii="Arial" w:hAnsi="Arial" w:eastAsia="Arial" w:cs="Arial"/>
          <w:sz w:val="21"/>
          <w:szCs w:val="21"/>
          <w:lang w:val="es-ES"/>
        </w:rPr>
      </w:pPr>
      <w:r w:rsidRPr="00E810BE">
        <w:rPr>
          <w:rFonts w:ascii="Arial" w:hAnsi="Arial" w:eastAsia="Arial" w:cs="Arial"/>
          <w:sz w:val="21"/>
          <w:szCs w:val="21"/>
          <w:lang w:val="es-ES"/>
        </w:rPr>
        <w:t xml:space="preserve">Artículo 90. Inhabilidad por incumplimiento reiterado. Quedará inhabilitado el contratista que incurra en alguna de las siguientes conductas:  </w:t>
      </w:r>
    </w:p>
    <w:p w:rsidRPr="00E810BE" w:rsidR="0063147A" w:rsidP="00016FC3" w:rsidRDefault="0063147A" w14:paraId="1344FCB5" w14:textId="77777777">
      <w:pPr>
        <w:widowControl w:val="0"/>
        <w:numPr>
          <w:ilvl w:val="2"/>
          <w:numId w:val="8"/>
        </w:numPr>
        <w:tabs>
          <w:tab w:val="left" w:pos="1078"/>
        </w:tabs>
        <w:autoSpaceDE w:val="0"/>
        <w:autoSpaceDN w:val="0"/>
        <w:spacing w:after="120"/>
        <w:ind w:left="709" w:right="709" w:firstLine="0"/>
        <w:jc w:val="both"/>
        <w:rPr>
          <w:rFonts w:ascii="Arial" w:hAnsi="Arial" w:eastAsia="Arial" w:cs="Arial"/>
          <w:sz w:val="21"/>
          <w:szCs w:val="21"/>
          <w:lang w:val="es-ES"/>
        </w:rPr>
      </w:pPr>
      <w:r w:rsidRPr="00E810BE">
        <w:rPr>
          <w:rFonts w:ascii="Arial" w:hAnsi="Arial" w:eastAsia="Arial" w:cs="Arial"/>
          <w:sz w:val="21"/>
          <w:szCs w:val="21"/>
          <w:lang w:val="es-ES"/>
        </w:rPr>
        <w:t>Haber sido objeto de imposición de cinco (5) o más multas durante la ejecución de uno o varios contratos, durante una misma vigencia fiscal con una o varias entidades</w:t>
      </w:r>
      <w:r w:rsidRPr="00E810BE">
        <w:rPr>
          <w:rFonts w:ascii="Arial" w:hAnsi="Arial" w:eastAsia="Arial" w:cs="Arial"/>
          <w:spacing w:val="-3"/>
          <w:sz w:val="21"/>
          <w:szCs w:val="21"/>
          <w:lang w:val="es-ES"/>
        </w:rPr>
        <w:t xml:space="preserve"> </w:t>
      </w:r>
      <w:r w:rsidRPr="00E810BE">
        <w:rPr>
          <w:rFonts w:ascii="Arial" w:hAnsi="Arial" w:eastAsia="Arial" w:cs="Arial"/>
          <w:sz w:val="21"/>
          <w:szCs w:val="21"/>
          <w:lang w:val="es-ES"/>
        </w:rPr>
        <w:t>estatales;</w:t>
      </w:r>
    </w:p>
    <w:p w:rsidRPr="00E810BE" w:rsidR="0063147A" w:rsidP="00016FC3" w:rsidRDefault="0063147A" w14:paraId="74E16E6E" w14:textId="77777777">
      <w:pPr>
        <w:widowControl w:val="0"/>
        <w:numPr>
          <w:ilvl w:val="2"/>
          <w:numId w:val="8"/>
        </w:numPr>
        <w:tabs>
          <w:tab w:val="left" w:pos="1118"/>
        </w:tabs>
        <w:autoSpaceDE w:val="0"/>
        <w:autoSpaceDN w:val="0"/>
        <w:spacing w:after="120"/>
        <w:ind w:left="709" w:right="709" w:firstLine="0"/>
        <w:jc w:val="both"/>
        <w:rPr>
          <w:rFonts w:ascii="Arial" w:hAnsi="Arial" w:eastAsia="Arial" w:cs="Arial"/>
          <w:sz w:val="21"/>
          <w:szCs w:val="21"/>
          <w:lang w:val="es-ES"/>
        </w:rPr>
      </w:pPr>
      <w:r w:rsidRPr="00E810BE">
        <w:rPr>
          <w:rFonts w:ascii="Arial" w:hAnsi="Arial" w:eastAsia="Arial" w:cs="Arial"/>
          <w:sz w:val="21"/>
          <w:szCs w:val="21"/>
          <w:lang w:val="es-ES"/>
        </w:rPr>
        <w:t>Haber sido objeto de declaratorias de incumplimiento contractual en por los menos dos (2) contratos durante una misma vigencia fiscal, con una o varias entidades</w:t>
      </w:r>
      <w:r w:rsidRPr="00E810BE">
        <w:rPr>
          <w:rFonts w:ascii="Arial" w:hAnsi="Arial" w:eastAsia="Arial" w:cs="Arial"/>
          <w:spacing w:val="-3"/>
          <w:sz w:val="21"/>
          <w:szCs w:val="21"/>
          <w:lang w:val="es-ES"/>
        </w:rPr>
        <w:t xml:space="preserve"> </w:t>
      </w:r>
      <w:r w:rsidRPr="00E810BE">
        <w:rPr>
          <w:rFonts w:ascii="Arial" w:hAnsi="Arial" w:eastAsia="Arial" w:cs="Arial"/>
          <w:sz w:val="21"/>
          <w:szCs w:val="21"/>
          <w:lang w:val="es-ES"/>
        </w:rPr>
        <w:t>estatales;</w:t>
      </w:r>
    </w:p>
    <w:p w:rsidRPr="00E810BE" w:rsidR="0063147A" w:rsidP="00016FC3" w:rsidRDefault="0063147A" w14:paraId="19F38C2E" w14:textId="77777777">
      <w:pPr>
        <w:widowControl w:val="0"/>
        <w:numPr>
          <w:ilvl w:val="2"/>
          <w:numId w:val="8"/>
        </w:numPr>
        <w:tabs>
          <w:tab w:val="left" w:pos="1108"/>
        </w:tabs>
        <w:autoSpaceDE w:val="0"/>
        <w:autoSpaceDN w:val="0"/>
        <w:spacing w:before="1" w:after="120"/>
        <w:ind w:left="709" w:right="709" w:firstLine="0"/>
        <w:jc w:val="both"/>
        <w:rPr>
          <w:rFonts w:ascii="Arial" w:hAnsi="Arial" w:eastAsia="Arial" w:cs="Arial"/>
          <w:sz w:val="21"/>
          <w:szCs w:val="21"/>
          <w:lang w:val="es-ES"/>
        </w:rPr>
      </w:pPr>
      <w:r w:rsidRPr="00E810BE">
        <w:rPr>
          <w:rFonts w:ascii="Arial" w:hAnsi="Arial" w:eastAsia="Arial" w:cs="Arial"/>
          <w:sz w:val="21"/>
          <w:szCs w:val="21"/>
          <w:lang w:val="es-ES"/>
        </w:rPr>
        <w:lastRenderedPageBreak/>
        <w:t>Haber sido objeto de imposición de dos (2) multas y un (1) incumplimiento durante una misma vigencia fiscal, con una o varias entidades</w:t>
      </w:r>
      <w:r w:rsidRPr="00E810BE">
        <w:rPr>
          <w:rFonts w:ascii="Arial" w:hAnsi="Arial" w:eastAsia="Arial" w:cs="Arial"/>
          <w:spacing w:val="-24"/>
          <w:sz w:val="21"/>
          <w:szCs w:val="21"/>
          <w:lang w:val="es-ES"/>
        </w:rPr>
        <w:t xml:space="preserve"> </w:t>
      </w:r>
      <w:r w:rsidRPr="00E810BE">
        <w:rPr>
          <w:rFonts w:ascii="Arial" w:hAnsi="Arial" w:eastAsia="Arial" w:cs="Arial"/>
          <w:sz w:val="21"/>
          <w:szCs w:val="21"/>
          <w:lang w:val="es-ES"/>
        </w:rPr>
        <w:t>estatales.</w:t>
      </w:r>
    </w:p>
    <w:p w:rsidRPr="00E810BE" w:rsidR="0063147A" w:rsidP="00016FC3" w:rsidRDefault="0063147A" w14:paraId="7F062832" w14:textId="77777777">
      <w:pPr>
        <w:widowControl w:val="0"/>
        <w:autoSpaceDE w:val="0"/>
        <w:autoSpaceDN w:val="0"/>
        <w:spacing w:before="1" w:after="120"/>
        <w:ind w:left="709" w:right="709"/>
        <w:jc w:val="both"/>
        <w:rPr>
          <w:rFonts w:ascii="Arial" w:hAnsi="Arial" w:eastAsia="Arial" w:cs="Arial"/>
          <w:sz w:val="21"/>
          <w:szCs w:val="21"/>
          <w:lang w:val="es-ES"/>
        </w:rPr>
      </w:pPr>
      <w:r w:rsidRPr="00E810BE">
        <w:rPr>
          <w:rFonts w:ascii="Arial" w:hAnsi="Arial" w:eastAsia="Arial" w:cs="Arial"/>
          <w:sz w:val="21"/>
          <w:szCs w:val="21"/>
          <w:lang w:val="es-ES"/>
        </w:rPr>
        <w:t>La inhabilidad se extenderá por un término de tres (3) años, contados a partir de la inscripción de la última multa o incumplimiento en el Registro Único de Proponentes, de acuerdo con la información remitida por las entidades públicas. La inhabilidad pertinente se hará explícita en el texto del respectivo</w:t>
      </w:r>
      <w:r w:rsidRPr="00E810BE">
        <w:rPr>
          <w:rFonts w:ascii="Arial" w:hAnsi="Arial" w:eastAsia="Arial" w:cs="Arial"/>
          <w:spacing w:val="-25"/>
          <w:sz w:val="21"/>
          <w:szCs w:val="21"/>
          <w:lang w:val="es-ES"/>
        </w:rPr>
        <w:t xml:space="preserve"> </w:t>
      </w:r>
      <w:r w:rsidRPr="00E810BE">
        <w:rPr>
          <w:rFonts w:ascii="Arial" w:hAnsi="Arial" w:eastAsia="Arial" w:cs="Arial"/>
          <w:sz w:val="21"/>
          <w:szCs w:val="21"/>
          <w:lang w:val="es-ES"/>
        </w:rPr>
        <w:t>certificado.</w:t>
      </w:r>
    </w:p>
    <w:p w:rsidRPr="00E810BE" w:rsidR="0063147A" w:rsidP="004C758D" w:rsidRDefault="0063147A" w14:paraId="1D6CE100" w14:textId="51EF18FA">
      <w:pPr>
        <w:widowControl w:val="0"/>
        <w:autoSpaceDE w:val="0"/>
        <w:autoSpaceDN w:val="0"/>
        <w:ind w:left="709" w:right="709"/>
        <w:jc w:val="both"/>
        <w:rPr>
          <w:rFonts w:ascii="Arial" w:hAnsi="Arial" w:eastAsia="Arial" w:cs="Arial"/>
          <w:sz w:val="21"/>
          <w:szCs w:val="21"/>
          <w:lang w:val="es-ES"/>
        </w:rPr>
      </w:pPr>
      <w:r w:rsidRPr="00E810BE">
        <w:rPr>
          <w:rFonts w:ascii="Arial" w:hAnsi="Arial" w:eastAsia="Arial" w:cs="Arial"/>
          <w:sz w:val="21"/>
          <w:szCs w:val="21"/>
          <w:lang w:val="es-ES"/>
        </w:rPr>
        <w:t>Parágrafo. La inhabilidad a que se refiere el presente artículo se extenderá a los socios de sociedades de personas a las cuales se haya declarado esta inhabilidad, así como las sociedades de personas de las que aquellos formen parte con posterioridad a dicha declaratoria.</w:t>
      </w:r>
    </w:p>
    <w:p w:rsidRPr="00E810BE" w:rsidR="004C758D" w:rsidP="004C758D" w:rsidRDefault="004C758D" w14:paraId="0132B24A" w14:textId="77777777">
      <w:pPr>
        <w:widowControl w:val="0"/>
        <w:autoSpaceDE w:val="0"/>
        <w:autoSpaceDN w:val="0"/>
        <w:spacing w:line="276" w:lineRule="auto"/>
        <w:ind w:left="100" w:right="108" w:firstLine="608"/>
        <w:jc w:val="both"/>
        <w:rPr>
          <w:rFonts w:ascii="Arial" w:hAnsi="Arial" w:eastAsia="Arial" w:cs="Arial"/>
          <w:sz w:val="22"/>
          <w:lang w:val="es-ES"/>
        </w:rPr>
      </w:pPr>
    </w:p>
    <w:p w:rsidRPr="00E810BE" w:rsidR="004C758D" w:rsidP="004E73BB" w:rsidRDefault="004C758D" w14:paraId="706E38A8" w14:textId="59D9A241">
      <w:pPr>
        <w:widowControl w:val="0"/>
        <w:autoSpaceDE w:val="0"/>
        <w:autoSpaceDN w:val="0"/>
        <w:spacing w:after="120" w:line="276" w:lineRule="auto"/>
        <w:ind w:left="102" w:right="108" w:firstLine="607"/>
        <w:jc w:val="both"/>
        <w:rPr>
          <w:rFonts w:ascii="Arial" w:hAnsi="Arial" w:eastAsia="Arial" w:cs="Arial"/>
          <w:sz w:val="22"/>
          <w:lang w:val="es-ES"/>
        </w:rPr>
      </w:pPr>
      <w:r w:rsidRPr="00E810BE">
        <w:rPr>
          <w:rFonts w:ascii="Arial" w:hAnsi="Arial" w:eastAsia="Arial" w:cs="Arial"/>
          <w:sz w:val="22"/>
          <w:lang w:val="es-ES"/>
        </w:rPr>
        <w:t xml:space="preserve">Como se aprecia, el texto original de la Ley 1474 de 2011 contempla tres </w:t>
      </w:r>
      <w:r w:rsidRPr="00E810BE" w:rsidR="00FD56EF">
        <w:rPr>
          <w:rFonts w:ascii="Arial" w:hAnsi="Arial" w:eastAsia="Arial" w:cs="Arial"/>
          <w:sz w:val="22"/>
          <w:lang w:val="es-ES"/>
        </w:rPr>
        <w:t>su</w:t>
      </w:r>
      <w:r w:rsidRPr="00E810BE">
        <w:rPr>
          <w:rFonts w:ascii="Arial" w:hAnsi="Arial" w:eastAsia="Arial" w:cs="Arial"/>
          <w:sz w:val="22"/>
          <w:lang w:val="es-ES"/>
        </w:rPr>
        <w:t>puestos de hecho que dan lugar a la configuración de la inhabilidad: a) el primero relativo a</w:t>
      </w:r>
      <w:r w:rsidRPr="00E810BE" w:rsidR="004E73BB">
        <w:rPr>
          <w:rFonts w:ascii="Arial" w:hAnsi="Arial" w:eastAsia="Arial" w:cs="Arial"/>
          <w:sz w:val="22"/>
          <w:lang w:val="es-ES"/>
        </w:rPr>
        <w:t xml:space="preserve"> imposición de cinco (5) multas por incumplimiento –parcial– durante una misma vigencia fiscal, con una o varias entidades estatales;</w:t>
      </w:r>
      <w:r w:rsidRPr="00E810BE">
        <w:rPr>
          <w:rFonts w:ascii="Arial" w:hAnsi="Arial" w:eastAsia="Arial" w:cs="Arial"/>
          <w:sz w:val="22"/>
          <w:lang w:val="es-ES"/>
        </w:rPr>
        <w:t xml:space="preserve"> b) un segundo supuesto que consiste en la </w:t>
      </w:r>
      <w:r w:rsidRPr="00E810BE" w:rsidR="004E73BB">
        <w:rPr>
          <w:rFonts w:ascii="Arial" w:hAnsi="Arial" w:eastAsia="Arial" w:cs="Arial"/>
          <w:sz w:val="22"/>
          <w:lang w:val="es-ES"/>
        </w:rPr>
        <w:t>concurrencia de dos (2) declaratorias de incumplimiento –definitivo</w:t>
      </w:r>
      <w:r w:rsidRPr="00E810BE" w:rsidR="004E73BB">
        <w:rPr>
          <w:rFonts w:ascii="Arial" w:hAnsi="Arial" w:eastAsia="Arial" w:cs="Arial"/>
          <w:sz w:val="22"/>
          <w:lang w:val="es-ES"/>
        </w:rPr>
        <w:softHyphen/>
        <w:t>– de contratos durante una misma vigencia fiscal, con una o varias vigencias fiscales; y c) un tercer supuesto alusivo a la imposición de dos (2) multas y una (1) declaratoria de incumplimiento</w:t>
      </w:r>
      <w:r w:rsidRPr="00E810BE" w:rsidR="003D1614">
        <w:rPr>
          <w:rFonts w:ascii="Arial" w:hAnsi="Arial" w:eastAsia="Arial" w:cs="Arial"/>
          <w:sz w:val="22"/>
          <w:lang w:val="es-ES"/>
        </w:rPr>
        <w:t xml:space="preserve"> </w:t>
      </w:r>
      <w:r w:rsidRPr="00E810BE" w:rsidR="004E73BB">
        <w:rPr>
          <w:rFonts w:ascii="Arial" w:hAnsi="Arial" w:eastAsia="Arial" w:cs="Arial"/>
          <w:sz w:val="22"/>
          <w:lang w:val="es-ES"/>
        </w:rPr>
        <w:t>–definitivo–, durante una misma vigencia fiscal con una o varias entidades estatales</w:t>
      </w:r>
      <w:r w:rsidRPr="00E810BE" w:rsidR="004E73BB">
        <w:rPr>
          <w:rStyle w:val="Refdenotaalpie"/>
          <w:rFonts w:ascii="Arial" w:hAnsi="Arial" w:eastAsia="Arial" w:cs="Arial"/>
          <w:sz w:val="22"/>
          <w:lang w:val="es-ES"/>
        </w:rPr>
        <w:footnoteReference w:id="10"/>
      </w:r>
      <w:r w:rsidRPr="00E810BE" w:rsidR="004E73BB">
        <w:rPr>
          <w:rFonts w:ascii="Arial" w:hAnsi="Arial" w:eastAsia="Arial" w:cs="Arial"/>
          <w:sz w:val="22"/>
          <w:lang w:val="es-ES"/>
        </w:rPr>
        <w:t xml:space="preserve">. </w:t>
      </w:r>
      <w:r w:rsidRPr="00E810BE" w:rsidR="00EF5645">
        <w:rPr>
          <w:rFonts w:ascii="Arial" w:hAnsi="Arial" w:eastAsia="Arial" w:cs="Arial"/>
          <w:sz w:val="22"/>
          <w:lang w:val="es-ES"/>
        </w:rPr>
        <w:t xml:space="preserve">Ante la configuración de cualquiera </w:t>
      </w:r>
      <w:r w:rsidRPr="00E810BE" w:rsidR="00BE1EBE">
        <w:rPr>
          <w:rFonts w:ascii="Arial" w:hAnsi="Arial" w:eastAsia="Arial" w:cs="Arial"/>
          <w:sz w:val="22"/>
          <w:lang w:val="es-ES"/>
        </w:rPr>
        <w:t xml:space="preserve">de </w:t>
      </w:r>
      <w:r w:rsidRPr="00E810BE" w:rsidR="003D1614">
        <w:rPr>
          <w:rFonts w:ascii="Arial" w:hAnsi="Arial" w:eastAsia="Arial" w:cs="Arial"/>
          <w:sz w:val="22"/>
          <w:lang w:val="es-ES"/>
        </w:rPr>
        <w:t>estos</w:t>
      </w:r>
      <w:r w:rsidRPr="00E810BE" w:rsidR="00EF5645">
        <w:rPr>
          <w:rFonts w:ascii="Arial" w:hAnsi="Arial" w:eastAsia="Arial" w:cs="Arial"/>
          <w:sz w:val="22"/>
          <w:lang w:val="es-ES"/>
        </w:rPr>
        <w:t xml:space="preserve"> supuestos, la persona quedar</w:t>
      </w:r>
      <w:r w:rsidRPr="00E810BE" w:rsidR="007346AD">
        <w:rPr>
          <w:rFonts w:ascii="Arial" w:hAnsi="Arial" w:eastAsia="Arial" w:cs="Arial"/>
          <w:sz w:val="22"/>
          <w:lang w:val="es-ES"/>
        </w:rPr>
        <w:t>ía</w:t>
      </w:r>
      <w:r w:rsidRPr="00E810BE" w:rsidR="00EF5645">
        <w:rPr>
          <w:rFonts w:ascii="Arial" w:hAnsi="Arial" w:eastAsia="Arial" w:cs="Arial"/>
          <w:sz w:val="22"/>
          <w:lang w:val="es-ES"/>
        </w:rPr>
        <w:t xml:space="preserve"> inhabilitada por un periodo de tres (3) años contados a partir de la fecha de inscripción en el RUP de la última multa o declaratoria de incumplimiento.</w:t>
      </w:r>
    </w:p>
    <w:p w:rsidRPr="00E810BE" w:rsidR="0063147A" w:rsidP="004C758D" w:rsidRDefault="006A2AF8" w14:paraId="30E43C15" w14:textId="68D6485B">
      <w:pPr>
        <w:widowControl w:val="0"/>
        <w:autoSpaceDE w:val="0"/>
        <w:autoSpaceDN w:val="0"/>
        <w:spacing w:line="276" w:lineRule="auto"/>
        <w:ind w:left="100" w:right="108" w:firstLine="608"/>
        <w:jc w:val="both"/>
        <w:rPr>
          <w:rFonts w:ascii="Arial" w:hAnsi="Arial" w:eastAsia="Arial" w:cs="Arial"/>
          <w:sz w:val="22"/>
          <w:lang w:val="es-ES"/>
        </w:rPr>
      </w:pPr>
      <w:r w:rsidRPr="00E810BE">
        <w:rPr>
          <w:rFonts w:ascii="Arial" w:hAnsi="Arial" w:eastAsia="Arial" w:cs="Arial"/>
          <w:sz w:val="22"/>
          <w:lang w:val="es-ES"/>
        </w:rPr>
        <w:t>R</w:t>
      </w:r>
      <w:r w:rsidRPr="00E810BE" w:rsidR="0063147A">
        <w:rPr>
          <w:rFonts w:ascii="Arial" w:hAnsi="Arial" w:eastAsia="Arial" w:cs="Arial"/>
          <w:sz w:val="22"/>
          <w:lang w:val="es-ES"/>
        </w:rPr>
        <w:t>ecientemente, los literales a) y b) fueron modificados por el artículo 43 de la Ley 1955 de 2019,</w:t>
      </w:r>
      <w:r w:rsidRPr="00E810BE" w:rsidR="004E73BB">
        <w:rPr>
          <w:rFonts w:ascii="Arial" w:hAnsi="Arial" w:eastAsia="Arial" w:cs="Arial"/>
          <w:sz w:val="22"/>
          <w:lang w:val="es-ES"/>
        </w:rPr>
        <w:t xml:space="preserve"> </w:t>
      </w:r>
      <w:r w:rsidRPr="00E810BE" w:rsidR="00EF5645">
        <w:rPr>
          <w:rFonts w:ascii="Arial" w:hAnsi="Arial" w:eastAsia="Arial" w:cs="Arial"/>
          <w:sz w:val="22"/>
          <w:lang w:val="es-ES"/>
        </w:rPr>
        <w:t xml:space="preserve">en </w:t>
      </w:r>
      <w:r w:rsidRPr="00E810BE" w:rsidR="000824C9">
        <w:rPr>
          <w:rFonts w:ascii="Arial" w:hAnsi="Arial" w:eastAsia="Arial" w:cs="Arial"/>
          <w:sz w:val="22"/>
          <w:lang w:val="es-ES"/>
        </w:rPr>
        <w:t>lo que respecta al periodo</w:t>
      </w:r>
      <w:r w:rsidRPr="00E810BE" w:rsidR="00EF5645">
        <w:rPr>
          <w:rFonts w:ascii="Arial" w:hAnsi="Arial" w:eastAsia="Arial" w:cs="Arial"/>
          <w:sz w:val="22"/>
          <w:lang w:val="es-ES"/>
        </w:rPr>
        <w:t xml:space="preserve"> dentro del que se deben presentar las multas y declaratorias de incumplimiento para que se configure los dos primeros supuestos que dan lugar a la configuración de la inhabilidad por incumplimiento reiterado. Lo</w:t>
      </w:r>
      <w:r w:rsidRPr="00E810BE" w:rsidR="003470D1">
        <w:rPr>
          <w:rFonts w:ascii="Arial" w:hAnsi="Arial" w:eastAsia="Arial" w:cs="Arial"/>
          <w:sz w:val="22"/>
          <w:lang w:val="es-ES"/>
        </w:rPr>
        <w:t>s</w:t>
      </w:r>
      <w:r w:rsidRPr="00E810BE" w:rsidR="00EF5645">
        <w:rPr>
          <w:rFonts w:ascii="Arial" w:hAnsi="Arial" w:eastAsia="Arial" w:cs="Arial"/>
          <w:sz w:val="22"/>
          <w:lang w:val="es-ES"/>
        </w:rPr>
        <w:t xml:space="preserve"> literales a) y b) quedaron </w:t>
      </w:r>
      <w:r w:rsidRPr="00E810BE" w:rsidR="000824C9">
        <w:rPr>
          <w:rFonts w:ascii="Arial" w:hAnsi="Arial" w:eastAsia="Arial" w:cs="Arial"/>
          <w:sz w:val="22"/>
          <w:lang w:val="es-ES"/>
        </w:rPr>
        <w:t>de la siguiente manera</w:t>
      </w:r>
      <w:r w:rsidRPr="00E810BE" w:rsidR="0063147A">
        <w:rPr>
          <w:rFonts w:ascii="Arial" w:hAnsi="Arial" w:eastAsia="Arial" w:cs="Arial"/>
          <w:sz w:val="22"/>
          <w:lang w:val="es-ES"/>
        </w:rPr>
        <w:t>:</w:t>
      </w:r>
    </w:p>
    <w:p w:rsidRPr="00E810BE" w:rsidR="0063147A" w:rsidP="0063147A" w:rsidRDefault="0063147A" w14:paraId="3EE1C5EC" w14:textId="77777777">
      <w:pPr>
        <w:widowControl w:val="0"/>
        <w:autoSpaceDE w:val="0"/>
        <w:autoSpaceDN w:val="0"/>
        <w:spacing w:before="3"/>
        <w:rPr>
          <w:rFonts w:ascii="Arial" w:hAnsi="Arial" w:eastAsia="Arial" w:cs="Arial"/>
          <w:sz w:val="25"/>
          <w:lang w:val="es-ES"/>
        </w:rPr>
      </w:pPr>
    </w:p>
    <w:p w:rsidRPr="00E810BE" w:rsidR="0063147A" w:rsidP="00016FC3" w:rsidRDefault="0063147A" w14:paraId="7672D5D5" w14:textId="77777777">
      <w:pPr>
        <w:widowControl w:val="0"/>
        <w:numPr>
          <w:ilvl w:val="0"/>
          <w:numId w:val="9"/>
        </w:numPr>
        <w:tabs>
          <w:tab w:val="left" w:pos="1078"/>
        </w:tabs>
        <w:autoSpaceDE w:val="0"/>
        <w:autoSpaceDN w:val="0"/>
        <w:spacing w:after="120"/>
        <w:ind w:left="709" w:right="709" w:firstLine="0"/>
        <w:jc w:val="both"/>
        <w:rPr>
          <w:rFonts w:ascii="Arial" w:hAnsi="Arial" w:eastAsia="Arial" w:cs="Arial"/>
          <w:sz w:val="21"/>
          <w:szCs w:val="21"/>
          <w:lang w:val="es-ES"/>
        </w:rPr>
      </w:pPr>
      <w:r w:rsidRPr="00E810BE">
        <w:rPr>
          <w:rFonts w:ascii="Arial" w:hAnsi="Arial" w:eastAsia="Arial" w:cs="Arial"/>
          <w:sz w:val="21"/>
          <w:szCs w:val="21"/>
          <w:lang w:val="es-ES"/>
        </w:rPr>
        <w:t xml:space="preserve">Haber sido objeto de imposición de cinco (5) o más multas durante la ejecución de uno o varios contratos, con una o varias entidades estatales, </w:t>
      </w:r>
      <w:r w:rsidRPr="00E810BE">
        <w:rPr>
          <w:rFonts w:ascii="Arial" w:hAnsi="Arial" w:eastAsia="Arial" w:cs="Arial"/>
          <w:i/>
          <w:sz w:val="21"/>
          <w:szCs w:val="21"/>
          <w:lang w:val="es-ES"/>
        </w:rPr>
        <w:t>durante los últimos tres (3)</w:t>
      </w:r>
      <w:r w:rsidRPr="00E810BE">
        <w:rPr>
          <w:rFonts w:ascii="Arial" w:hAnsi="Arial" w:eastAsia="Arial" w:cs="Arial"/>
          <w:i/>
          <w:spacing w:val="-4"/>
          <w:sz w:val="21"/>
          <w:szCs w:val="21"/>
          <w:lang w:val="es-ES"/>
        </w:rPr>
        <w:t xml:space="preserve"> </w:t>
      </w:r>
      <w:r w:rsidRPr="00E810BE">
        <w:rPr>
          <w:rFonts w:ascii="Arial" w:hAnsi="Arial" w:eastAsia="Arial" w:cs="Arial"/>
          <w:i/>
          <w:sz w:val="21"/>
          <w:szCs w:val="21"/>
          <w:lang w:val="es-ES"/>
        </w:rPr>
        <w:t>años</w:t>
      </w:r>
      <w:r w:rsidRPr="00E810BE">
        <w:rPr>
          <w:rFonts w:ascii="Arial" w:hAnsi="Arial" w:eastAsia="Arial" w:cs="Arial"/>
          <w:sz w:val="21"/>
          <w:szCs w:val="21"/>
          <w:lang w:val="es-ES"/>
        </w:rPr>
        <w:t>;</w:t>
      </w:r>
    </w:p>
    <w:p w:rsidRPr="00E810BE" w:rsidR="0063147A" w:rsidP="00EF5645" w:rsidRDefault="0063147A" w14:paraId="5764C603" w14:textId="03846AC2">
      <w:pPr>
        <w:widowControl w:val="0"/>
        <w:numPr>
          <w:ilvl w:val="0"/>
          <w:numId w:val="9"/>
        </w:numPr>
        <w:tabs>
          <w:tab w:val="left" w:pos="1063"/>
        </w:tabs>
        <w:autoSpaceDE w:val="0"/>
        <w:autoSpaceDN w:val="0"/>
        <w:spacing w:before="1"/>
        <w:ind w:left="709" w:right="709" w:firstLine="0"/>
        <w:jc w:val="both"/>
        <w:rPr>
          <w:rFonts w:ascii="Arial" w:hAnsi="Arial" w:eastAsia="Arial" w:cs="Arial"/>
          <w:sz w:val="21"/>
          <w:szCs w:val="21"/>
          <w:lang w:val="es-ES"/>
        </w:rPr>
      </w:pPr>
      <w:r w:rsidRPr="00E810BE">
        <w:rPr>
          <w:rFonts w:ascii="Arial" w:hAnsi="Arial" w:eastAsia="Arial" w:cs="Arial"/>
          <w:sz w:val="21"/>
          <w:szCs w:val="21"/>
          <w:lang w:val="es-ES"/>
        </w:rPr>
        <w:t xml:space="preserve">Haber sido objeto de declaratorias de incumplimiento contractual en por lo menos dos (2) contratos, con una o varias entidades estatales, </w:t>
      </w:r>
      <w:r w:rsidRPr="00E810BE">
        <w:rPr>
          <w:rFonts w:ascii="Arial" w:hAnsi="Arial" w:eastAsia="Arial" w:cs="Arial"/>
          <w:i/>
          <w:sz w:val="21"/>
          <w:szCs w:val="21"/>
          <w:lang w:val="es-ES"/>
        </w:rPr>
        <w:t xml:space="preserve">durante los últimos tres (3) años </w:t>
      </w:r>
      <w:r w:rsidRPr="00E810BE" w:rsidR="00D45539">
        <w:rPr>
          <w:rFonts w:ascii="Arial" w:hAnsi="Arial" w:eastAsia="Arial" w:cs="Arial"/>
          <w:sz w:val="21"/>
          <w:szCs w:val="21"/>
          <w:lang w:val="es-ES"/>
        </w:rPr>
        <w:t>[</w:t>
      </w:r>
      <w:r w:rsidRPr="00E810BE">
        <w:rPr>
          <w:rFonts w:ascii="Arial" w:hAnsi="Arial" w:eastAsia="Arial" w:cs="Arial"/>
          <w:sz w:val="21"/>
          <w:szCs w:val="21"/>
          <w:lang w:val="es-ES"/>
        </w:rPr>
        <w:t>…</w:t>
      </w:r>
      <w:r w:rsidRPr="00E810BE" w:rsidR="00D45539">
        <w:rPr>
          <w:rFonts w:ascii="Arial" w:hAnsi="Arial" w:eastAsia="Arial" w:cs="Arial"/>
          <w:sz w:val="21"/>
          <w:szCs w:val="21"/>
          <w:lang w:val="es-ES"/>
        </w:rPr>
        <w:t>]</w:t>
      </w:r>
      <w:r w:rsidRPr="00E810BE">
        <w:rPr>
          <w:rFonts w:ascii="Arial" w:hAnsi="Arial" w:eastAsia="Arial" w:cs="Arial"/>
          <w:sz w:val="21"/>
          <w:szCs w:val="21"/>
          <w:lang w:val="es-ES"/>
        </w:rPr>
        <w:t>. (Cursivas fuera de</w:t>
      </w:r>
      <w:r w:rsidRPr="00E810BE">
        <w:rPr>
          <w:rFonts w:ascii="Arial" w:hAnsi="Arial" w:eastAsia="Arial" w:cs="Arial"/>
          <w:spacing w:val="-6"/>
          <w:sz w:val="21"/>
          <w:szCs w:val="21"/>
          <w:lang w:val="es-ES"/>
        </w:rPr>
        <w:t xml:space="preserve"> </w:t>
      </w:r>
      <w:r w:rsidRPr="00E810BE">
        <w:rPr>
          <w:rFonts w:ascii="Arial" w:hAnsi="Arial" w:eastAsia="Arial" w:cs="Arial"/>
          <w:sz w:val="21"/>
          <w:szCs w:val="21"/>
          <w:lang w:val="es-ES"/>
        </w:rPr>
        <w:t>texto)</w:t>
      </w:r>
    </w:p>
    <w:p w:rsidRPr="00E810BE" w:rsidR="0063147A" w:rsidP="00016FC3" w:rsidRDefault="0063147A" w14:paraId="500D523B" w14:textId="77777777">
      <w:pPr>
        <w:widowControl w:val="0"/>
        <w:autoSpaceDE w:val="0"/>
        <w:autoSpaceDN w:val="0"/>
        <w:spacing w:line="276" w:lineRule="auto"/>
        <w:rPr>
          <w:rFonts w:ascii="Arial" w:hAnsi="Arial" w:eastAsia="Arial" w:cs="Arial"/>
          <w:sz w:val="22"/>
          <w:lang w:val="es-ES"/>
        </w:rPr>
      </w:pPr>
    </w:p>
    <w:p w:rsidRPr="00E810BE" w:rsidR="0063147A" w:rsidP="006A2AF8" w:rsidRDefault="00EF5645" w14:paraId="2A1885EA" w14:textId="5BA57632">
      <w:pPr>
        <w:widowControl w:val="0"/>
        <w:autoSpaceDE w:val="0"/>
        <w:autoSpaceDN w:val="0"/>
        <w:spacing w:line="276" w:lineRule="auto"/>
        <w:ind w:right="114" w:firstLine="708"/>
        <w:jc w:val="both"/>
        <w:rPr>
          <w:rFonts w:ascii="Arial" w:hAnsi="Arial" w:eastAsia="Arial" w:cs="Arial"/>
          <w:sz w:val="22"/>
          <w:lang w:val="es-ES"/>
        </w:rPr>
      </w:pPr>
      <w:r w:rsidRPr="00E810BE">
        <w:rPr>
          <w:rFonts w:ascii="Arial" w:hAnsi="Arial" w:eastAsia="Arial" w:cs="Arial"/>
          <w:sz w:val="22"/>
          <w:lang w:val="es-ES"/>
        </w:rPr>
        <w:t>En ese orden, a la luz del texto original</w:t>
      </w:r>
      <w:r w:rsidRPr="00E810BE" w:rsidR="0063147A">
        <w:rPr>
          <w:rFonts w:ascii="Arial" w:hAnsi="Arial" w:eastAsia="Arial" w:cs="Arial"/>
          <w:sz w:val="22"/>
          <w:lang w:val="es-ES"/>
        </w:rPr>
        <w:t xml:space="preserve"> de la Ley 1474 de 2011, para que se configurara la inhabilidad era necesario que las cinco multas </w:t>
      </w:r>
      <w:r w:rsidRPr="00E810BE" w:rsidR="004C597C">
        <w:rPr>
          <w:rFonts w:ascii="Arial" w:hAnsi="Arial" w:eastAsia="Arial" w:cs="Arial"/>
          <w:sz w:val="22"/>
          <w:lang w:val="es-ES"/>
        </w:rPr>
        <w:t>–</w:t>
      </w:r>
      <w:r w:rsidRPr="00E810BE" w:rsidR="0063147A">
        <w:rPr>
          <w:rFonts w:ascii="Arial" w:hAnsi="Arial" w:eastAsia="Arial" w:cs="Arial"/>
          <w:sz w:val="22"/>
          <w:lang w:val="es-ES"/>
        </w:rPr>
        <w:t>literal a)</w:t>
      </w:r>
      <w:r w:rsidRPr="00E810BE" w:rsidR="004C597C">
        <w:rPr>
          <w:rFonts w:ascii="Arial" w:hAnsi="Arial" w:eastAsia="Arial" w:cs="Arial"/>
          <w:sz w:val="22"/>
          <w:lang w:val="es-ES"/>
        </w:rPr>
        <w:t>–</w:t>
      </w:r>
      <w:r w:rsidRPr="00E810BE" w:rsidR="0063147A">
        <w:rPr>
          <w:rFonts w:ascii="Arial" w:hAnsi="Arial" w:eastAsia="Arial" w:cs="Arial"/>
          <w:sz w:val="22"/>
          <w:lang w:val="es-ES"/>
        </w:rPr>
        <w:t xml:space="preserve"> o los dos incumplimientos </w:t>
      </w:r>
      <w:r w:rsidRPr="00E810BE" w:rsidR="004C597C">
        <w:rPr>
          <w:rFonts w:ascii="Arial" w:hAnsi="Arial" w:eastAsia="Arial" w:cs="Arial"/>
          <w:sz w:val="22"/>
          <w:lang w:val="es-ES"/>
        </w:rPr>
        <w:t>–</w:t>
      </w:r>
      <w:r w:rsidRPr="00E810BE" w:rsidR="0063147A">
        <w:rPr>
          <w:rFonts w:ascii="Arial" w:hAnsi="Arial" w:eastAsia="Arial" w:cs="Arial"/>
          <w:sz w:val="22"/>
          <w:lang w:val="es-ES"/>
        </w:rPr>
        <w:t>literal b)</w:t>
      </w:r>
      <w:r w:rsidRPr="00E810BE" w:rsidR="004C597C">
        <w:rPr>
          <w:rFonts w:ascii="Arial" w:hAnsi="Arial" w:eastAsia="Arial" w:cs="Arial"/>
          <w:sz w:val="22"/>
          <w:lang w:val="es-ES"/>
        </w:rPr>
        <w:t>–</w:t>
      </w:r>
      <w:r w:rsidRPr="00E810BE" w:rsidR="0063147A">
        <w:rPr>
          <w:rFonts w:ascii="Arial" w:hAnsi="Arial" w:eastAsia="Arial" w:cs="Arial"/>
          <w:sz w:val="22"/>
          <w:lang w:val="es-ES"/>
        </w:rPr>
        <w:t xml:space="preserve"> fueran </w:t>
      </w:r>
      <w:r w:rsidRPr="00E810BE" w:rsidR="004C597C">
        <w:rPr>
          <w:rFonts w:ascii="Arial" w:hAnsi="Arial" w:eastAsia="Arial" w:cs="Arial"/>
          <w:sz w:val="22"/>
          <w:lang w:val="es-ES"/>
        </w:rPr>
        <w:t xml:space="preserve">declarados </w:t>
      </w:r>
      <w:r w:rsidRPr="00E810BE" w:rsidR="0063147A">
        <w:rPr>
          <w:rFonts w:ascii="Arial" w:hAnsi="Arial" w:eastAsia="Arial" w:cs="Arial"/>
          <w:sz w:val="22"/>
          <w:lang w:val="es-ES"/>
        </w:rPr>
        <w:t xml:space="preserve">en la misma vigencia fiscal, esto es, en el </w:t>
      </w:r>
      <w:r w:rsidRPr="00E810BE" w:rsidR="0063147A">
        <w:rPr>
          <w:rFonts w:ascii="Arial" w:hAnsi="Arial" w:eastAsia="Arial" w:cs="Arial"/>
          <w:sz w:val="22"/>
          <w:lang w:val="es-ES"/>
        </w:rPr>
        <w:lastRenderedPageBreak/>
        <w:t xml:space="preserve">mismo año. </w:t>
      </w:r>
      <w:r w:rsidRPr="00E810BE" w:rsidR="006C014E">
        <w:rPr>
          <w:rFonts w:ascii="Arial" w:hAnsi="Arial" w:eastAsia="Arial" w:cs="Arial"/>
          <w:sz w:val="22"/>
          <w:lang w:val="es-ES"/>
        </w:rPr>
        <w:t>Después</w:t>
      </w:r>
      <w:r w:rsidRPr="00E810BE" w:rsidR="00353C4C">
        <w:rPr>
          <w:rFonts w:ascii="Arial" w:hAnsi="Arial" w:eastAsia="Arial" w:cs="Arial"/>
          <w:sz w:val="22"/>
          <w:lang w:val="es-ES"/>
        </w:rPr>
        <w:t xml:space="preserve"> de</w:t>
      </w:r>
      <w:r w:rsidRPr="00E810BE">
        <w:rPr>
          <w:rFonts w:ascii="Arial" w:hAnsi="Arial" w:eastAsia="Arial" w:cs="Arial"/>
          <w:sz w:val="22"/>
          <w:lang w:val="es-ES"/>
        </w:rPr>
        <w:t xml:space="preserve"> la modificación introducida por</w:t>
      </w:r>
      <w:r w:rsidRPr="00E810BE" w:rsidR="0063147A">
        <w:rPr>
          <w:rFonts w:ascii="Arial" w:hAnsi="Arial" w:eastAsia="Arial" w:cs="Arial"/>
          <w:sz w:val="22"/>
          <w:lang w:val="es-ES"/>
        </w:rPr>
        <w:t xml:space="preserve"> la Ley 1955 de 2019, basta que las dos declaratorias de incumplimiento o las cinco multas se hayan impuesto dentro de los últimos tres años.</w:t>
      </w:r>
    </w:p>
    <w:p w:rsidRPr="00E810BE" w:rsidR="00D37E9B" w:rsidP="00BF4B3C" w:rsidRDefault="006A2AF8" w14:paraId="5537DE22" w14:textId="4EB3B9C7">
      <w:pPr>
        <w:spacing w:before="120" w:after="120" w:line="276" w:lineRule="auto"/>
        <w:jc w:val="both"/>
        <w:rPr>
          <w:rFonts w:ascii="Arial" w:hAnsi="Arial" w:cs="Arial"/>
          <w:sz w:val="22"/>
        </w:rPr>
      </w:pPr>
      <w:r w:rsidRPr="00E810BE">
        <w:rPr>
          <w:rFonts w:ascii="Arial" w:hAnsi="Arial" w:eastAsia="Calibri" w:cs="Arial"/>
          <w:sz w:val="22"/>
          <w:lang w:val="es-ES_tradnl"/>
        </w:rPr>
        <w:tab/>
      </w:r>
      <w:r w:rsidRPr="00E810BE">
        <w:rPr>
          <w:rFonts w:ascii="Arial" w:hAnsi="Arial" w:eastAsia="Calibri" w:cs="Arial"/>
          <w:sz w:val="22"/>
          <w:lang w:val="es-ES_tradnl"/>
        </w:rPr>
        <w:t>Ahora bien,</w:t>
      </w:r>
      <w:r w:rsidRPr="00E810BE" w:rsidR="00D37E9B">
        <w:rPr>
          <w:rFonts w:ascii="Arial" w:hAnsi="Arial" w:eastAsia="Calibri" w:cs="Arial"/>
          <w:sz w:val="22"/>
          <w:lang w:val="es-ES_tradnl"/>
        </w:rPr>
        <w:t xml:space="preserve"> </w:t>
      </w:r>
      <w:r w:rsidRPr="00E810BE" w:rsidR="003F094C">
        <w:rPr>
          <w:rFonts w:ascii="Arial" w:hAnsi="Arial" w:eastAsia="Calibri" w:cs="Arial"/>
          <w:sz w:val="22"/>
          <w:lang w:val="es-ES_tradnl"/>
        </w:rPr>
        <w:t>esta</w:t>
      </w:r>
      <w:r w:rsidRPr="00E810BE" w:rsidR="00D37E9B">
        <w:rPr>
          <w:rFonts w:ascii="Arial" w:hAnsi="Arial" w:eastAsia="Calibri" w:cs="Arial"/>
          <w:sz w:val="22"/>
          <w:lang w:val="es-ES_tradnl"/>
        </w:rPr>
        <w:t xml:space="preserve"> modificación conlleva</w:t>
      </w:r>
      <w:r w:rsidRPr="00E810BE" w:rsidR="003F094C">
        <w:rPr>
          <w:rFonts w:ascii="Arial" w:hAnsi="Arial" w:eastAsia="Calibri" w:cs="Arial"/>
          <w:sz w:val="22"/>
          <w:lang w:val="es-ES_tradnl"/>
        </w:rPr>
        <w:t xml:space="preserve"> </w:t>
      </w:r>
      <w:r w:rsidRPr="00E810BE" w:rsidR="00D37E9B">
        <w:rPr>
          <w:rFonts w:ascii="Arial" w:hAnsi="Arial" w:eastAsia="Calibri" w:cs="Arial"/>
          <w:sz w:val="22"/>
          <w:lang w:val="es-ES_tradnl"/>
        </w:rPr>
        <w:t>un problema hermenéutico relativo a la aplicación de la ley en el tiempo. Al respecto</w:t>
      </w:r>
      <w:r w:rsidRPr="00E810BE" w:rsidR="003F094C">
        <w:rPr>
          <w:rFonts w:ascii="Arial" w:hAnsi="Arial" w:eastAsia="Calibri" w:cs="Arial"/>
          <w:sz w:val="22"/>
          <w:lang w:val="es-ES_tradnl"/>
        </w:rPr>
        <w:t>,</w:t>
      </w:r>
      <w:r w:rsidRPr="00E810BE" w:rsidR="00D37E9B">
        <w:rPr>
          <w:rFonts w:ascii="Arial" w:hAnsi="Arial" w:eastAsia="Calibri" w:cs="Arial"/>
          <w:sz w:val="22"/>
          <w:lang w:val="es-ES_tradnl"/>
        </w:rPr>
        <w:t xml:space="preserve"> conviene recordar que </w:t>
      </w:r>
      <w:r w:rsidRPr="00E810BE" w:rsidR="00D37E9B">
        <w:rPr>
          <w:rFonts w:ascii="Arial" w:hAnsi="Arial" w:cs="Arial"/>
          <w:sz w:val="22"/>
        </w:rPr>
        <w:t>los efectos de una ley se producen a partir de su vigencia, lo que quiere decir que</w:t>
      </w:r>
      <w:r w:rsidRPr="00E810BE" w:rsidR="004C597C">
        <w:rPr>
          <w:rFonts w:ascii="Arial" w:hAnsi="Arial" w:cs="Arial"/>
          <w:sz w:val="22"/>
        </w:rPr>
        <w:t>,</w:t>
      </w:r>
      <w:r w:rsidRPr="00E810BE" w:rsidR="00D37E9B">
        <w:rPr>
          <w:rFonts w:ascii="Arial" w:hAnsi="Arial" w:cs="Arial"/>
          <w:sz w:val="22"/>
        </w:rPr>
        <w:t xml:space="preserve"> por regla general</w:t>
      </w:r>
      <w:r w:rsidRPr="00E810BE" w:rsidR="004C597C">
        <w:rPr>
          <w:rFonts w:ascii="Arial" w:hAnsi="Arial" w:cs="Arial"/>
          <w:sz w:val="22"/>
        </w:rPr>
        <w:t xml:space="preserve">, </w:t>
      </w:r>
      <w:r w:rsidRPr="00E810BE" w:rsidR="00D37E9B">
        <w:rPr>
          <w:rFonts w:ascii="Arial" w:hAnsi="Arial" w:cs="Arial"/>
          <w:sz w:val="22"/>
        </w:rPr>
        <w:t xml:space="preserve">en </w:t>
      </w:r>
      <w:r w:rsidRPr="00E810BE" w:rsidR="004717A0">
        <w:rPr>
          <w:rFonts w:ascii="Arial" w:hAnsi="Arial" w:cs="Arial"/>
          <w:sz w:val="22"/>
        </w:rPr>
        <w:t>el ordenamiento jurídico</w:t>
      </w:r>
      <w:r w:rsidRPr="00E810BE" w:rsidR="00D37E9B">
        <w:rPr>
          <w:rFonts w:ascii="Arial" w:hAnsi="Arial" w:cs="Arial"/>
          <w:sz w:val="22"/>
        </w:rPr>
        <w:t xml:space="preserve"> opera la irretroactividad. Así se desprende de la Ley 153 de 1887, que dispuso que la ley posterior prevalece sobre la ley anterior y en el evento en que existan discrepancias entre las mismas se debe aplicar la ley posterior</w:t>
      </w:r>
      <w:r w:rsidRPr="00E810BE" w:rsidR="00D37E9B">
        <w:rPr>
          <w:rStyle w:val="Refdenotaalpie"/>
          <w:rFonts w:ascii="Arial" w:hAnsi="Arial" w:cs="Arial"/>
          <w:sz w:val="22"/>
        </w:rPr>
        <w:footnoteReference w:id="11"/>
      </w:r>
      <w:r w:rsidRPr="00E810BE" w:rsidR="00D37E9B">
        <w:rPr>
          <w:rFonts w:ascii="Arial" w:hAnsi="Arial" w:cs="Arial"/>
          <w:sz w:val="22"/>
        </w:rPr>
        <w:t>. No obstante, si en vigencia de la anterior ley se consolidó una situación jurídica no deberá aplicarse la ley posterior, pues de acuerdo con la Constitución Política los derechos adquiridos no pueden ser desconocidos ni vulnerados por leyes posteriores, a menos que se trate de leyes penales que beneficien al reo –principio de favorabilidad– o que comprometan el interés público o social</w:t>
      </w:r>
      <w:r w:rsidRPr="00E810BE" w:rsidR="00D37E9B">
        <w:rPr>
          <w:rStyle w:val="Refdenotaalpie"/>
          <w:rFonts w:ascii="Arial" w:hAnsi="Arial" w:cs="Arial"/>
          <w:sz w:val="22"/>
        </w:rPr>
        <w:footnoteReference w:id="12"/>
      </w:r>
      <w:r w:rsidRPr="00E810BE" w:rsidR="00D37E9B">
        <w:rPr>
          <w:rFonts w:ascii="Arial" w:hAnsi="Arial" w:cs="Arial"/>
          <w:sz w:val="22"/>
        </w:rPr>
        <w:t>.</w:t>
      </w:r>
    </w:p>
    <w:p w:rsidRPr="00E810BE" w:rsidR="00D37E9B" w:rsidP="00D37E9B" w:rsidRDefault="00D37E9B" w14:paraId="5AAD317E" w14:textId="045D7249">
      <w:pPr>
        <w:pStyle w:val="Textoindependiente"/>
        <w:spacing w:after="120" w:line="274" w:lineRule="auto"/>
        <w:ind w:right="51" w:firstLine="709"/>
        <w:jc w:val="both"/>
      </w:pPr>
      <w:r w:rsidRPr="00E810BE">
        <w:t>Conforme a lo anterior, el conflicto sobre la aplicación de una ley se presenta cuando en vigencia de la ley anterior nace un hecho allí previsto, sin que se consolide situación jurídica alguna, pero los efectos se producen bajo la vigencia de la ley posterior</w:t>
      </w:r>
      <w:r w:rsidRPr="00E810BE" w:rsidR="007F0724">
        <w:t>. De igual forma,</w:t>
      </w:r>
      <w:r w:rsidRPr="00E810BE">
        <w:t xml:space="preserve"> cuando se realiza un hecho jurídico bajo la ley anterior pero la ley posterior contempla nuevas condiciones para el reconocimiento de sus efectos</w:t>
      </w:r>
      <w:r w:rsidRPr="00E810BE" w:rsidR="005C157D">
        <w:t>,</w:t>
      </w:r>
      <w:r w:rsidRPr="00E810BE">
        <w:t xml:space="preserve"> es decir, en vigencia de la ley anterior solo se presentaron situaciones que generaron una simple expectativa</w:t>
      </w:r>
      <w:r w:rsidRPr="00E810BE">
        <w:rPr>
          <w:rStyle w:val="Refdenotaalpie"/>
        </w:rPr>
        <w:footnoteReference w:id="13"/>
      </w:r>
      <w:r w:rsidRPr="00E810BE">
        <w:t>.</w:t>
      </w:r>
    </w:p>
    <w:p w:rsidRPr="00E810BE" w:rsidR="00D37E9B" w:rsidP="00E64541" w:rsidRDefault="00D37E9B" w14:paraId="4592AC2F" w14:textId="2859538D">
      <w:pPr>
        <w:pStyle w:val="Textoindependiente"/>
        <w:spacing w:line="276" w:lineRule="auto"/>
        <w:ind w:right="49" w:firstLine="708"/>
        <w:jc w:val="both"/>
      </w:pPr>
      <w:r w:rsidRPr="00E810BE">
        <w:lastRenderedPageBreak/>
        <w:t>En ese sentido,</w:t>
      </w:r>
      <w:r w:rsidRPr="00E810BE" w:rsidR="00E64541">
        <w:t xml:space="preserve"> </w:t>
      </w:r>
      <w:r w:rsidRPr="00E810BE" w:rsidR="00B42BC8">
        <w:t>es necesario</w:t>
      </w:r>
      <w:r w:rsidRPr="00E810BE" w:rsidR="00E64541">
        <w:t xml:space="preserve"> determinar c</w:t>
      </w:r>
      <w:r w:rsidRPr="00E810BE" w:rsidR="004C597C">
        <w:t>ó</w:t>
      </w:r>
      <w:r w:rsidRPr="00E810BE" w:rsidR="00E64541">
        <w:t xml:space="preserve">mo debe resolverse el conflicto de la aplicación de la ley en el tiempo en lo relativo </w:t>
      </w:r>
      <w:r w:rsidRPr="00E810BE" w:rsidR="003337A1">
        <w:t>al</w:t>
      </w:r>
      <w:r w:rsidRPr="00E810BE" w:rsidR="00E64541">
        <w:t xml:space="preserve"> supuesto de hecho del literal b</w:t>
      </w:r>
      <w:r w:rsidRPr="00E810BE" w:rsidR="004C597C">
        <w:t>)</w:t>
      </w:r>
      <w:r w:rsidRPr="00E810BE" w:rsidR="00E64541">
        <w:t xml:space="preserve"> del artículo 90 de la Ley 1474 de 2011, </w:t>
      </w:r>
      <w:r w:rsidRPr="00E810BE" w:rsidR="00EB5913">
        <w:t>una vez</w:t>
      </w:r>
      <w:r w:rsidRPr="00E810BE" w:rsidR="00E64541">
        <w:t xml:space="preserve"> su modificación por cuenta del artículo 43 de la Ley 1955 de 2019</w:t>
      </w:r>
      <w:r w:rsidRPr="00E810BE" w:rsidR="001D3CC4">
        <w:t>. Lo anterior</w:t>
      </w:r>
      <w:r w:rsidRPr="00E810BE" w:rsidR="00F126A2">
        <w:t xml:space="preserve"> </w:t>
      </w:r>
      <w:r w:rsidRPr="00E810BE" w:rsidR="001564FC">
        <w:t>implica</w:t>
      </w:r>
      <w:r w:rsidRPr="00E810BE" w:rsidR="00E64541">
        <w:t xml:space="preserve"> determinar a partir de cu</w:t>
      </w:r>
      <w:r w:rsidRPr="00E810BE" w:rsidR="009151A1">
        <w:t>á</w:t>
      </w:r>
      <w:r w:rsidRPr="00E810BE" w:rsidR="00E64541">
        <w:t>ndo debe contarse el t</w:t>
      </w:r>
      <w:r w:rsidRPr="00E810BE" w:rsidR="004C597C">
        <w:t>é</w:t>
      </w:r>
      <w:r w:rsidRPr="00E810BE" w:rsidR="00E64541">
        <w:t>rmino de tres (3)</w:t>
      </w:r>
      <w:r w:rsidRPr="00E810BE" w:rsidR="003337A1">
        <w:t xml:space="preserve"> años</w:t>
      </w:r>
      <w:r w:rsidRPr="00E810BE" w:rsidR="00E64541">
        <w:t>, o si para la configuración de la inhabilidad</w:t>
      </w:r>
      <w:r w:rsidRPr="00E810BE" w:rsidR="003337A1">
        <w:t xml:space="preserve"> resulta v</w:t>
      </w:r>
      <w:r w:rsidRPr="00E810BE" w:rsidR="004C597C">
        <w:t>á</w:t>
      </w:r>
      <w:r w:rsidRPr="00E810BE" w:rsidR="003337A1">
        <w:t xml:space="preserve">lido tener en cuenta declaratorias de incumplimiento consolidadas antes de la </w:t>
      </w:r>
      <w:proofErr w:type="gramStart"/>
      <w:r w:rsidRPr="00E810BE" w:rsidR="003337A1">
        <w:t>entrada en vigencia</w:t>
      </w:r>
      <w:proofErr w:type="gramEnd"/>
      <w:r w:rsidRPr="00E810BE" w:rsidR="003337A1">
        <w:t xml:space="preserve"> de la Ley 1955 de 2019. Sobre </w:t>
      </w:r>
      <w:r w:rsidRPr="00E810BE" w:rsidR="005E1B38">
        <w:t>ello</w:t>
      </w:r>
      <w:r w:rsidRPr="00E810BE" w:rsidR="003337A1">
        <w:t xml:space="preserve"> esta </w:t>
      </w:r>
      <w:proofErr w:type="gramStart"/>
      <w:r w:rsidRPr="00E810BE" w:rsidR="003337A1">
        <w:t>Agencia ,</w:t>
      </w:r>
      <w:proofErr w:type="gramEnd"/>
      <w:r w:rsidRPr="00E810BE" w:rsidR="003337A1">
        <w:t xml:space="preserve"> en </w:t>
      </w:r>
      <w:r w:rsidRPr="00E810BE" w:rsidR="00B42BC8">
        <w:t>C</w:t>
      </w:r>
      <w:r w:rsidRPr="00E810BE" w:rsidR="003337A1">
        <w:t>oncepto de 3 de octubre de 2019, manifestó lo siguiente:</w:t>
      </w:r>
    </w:p>
    <w:p w:rsidRPr="00E810BE" w:rsidR="003337A1" w:rsidP="00E64541" w:rsidRDefault="003337A1" w14:paraId="2D4C4AA6" w14:textId="62D8A06A">
      <w:pPr>
        <w:pStyle w:val="Textoindependiente"/>
        <w:spacing w:line="276" w:lineRule="auto"/>
        <w:ind w:right="49" w:firstLine="708"/>
        <w:jc w:val="both"/>
      </w:pPr>
    </w:p>
    <w:p w:rsidRPr="00E810BE" w:rsidR="003337A1" w:rsidP="00244069" w:rsidRDefault="003337A1" w14:paraId="66B6291F" w14:textId="77777777">
      <w:pPr>
        <w:pStyle w:val="Textoindependiente"/>
        <w:spacing w:after="120"/>
        <w:ind w:left="709" w:right="709"/>
        <w:jc w:val="both"/>
        <w:rPr>
          <w:sz w:val="21"/>
          <w:szCs w:val="21"/>
        </w:rPr>
      </w:pPr>
      <w:r w:rsidRPr="00E810BE">
        <w:rPr>
          <w:sz w:val="21"/>
          <w:szCs w:val="21"/>
        </w:rPr>
        <w:t>El 25 de mayo del presente año entró a regir la Ley 1955 de 2019, la cual modificó lo dispuesto en el artículo 90 de la Ley 1474 de 2011, ampliando el plazo durante el cual se deben declarar las sanciones a un contratista para que se configure la inhabilidad por incumplimiento reiterado.</w:t>
      </w:r>
    </w:p>
    <w:p w:rsidRPr="00E810BE" w:rsidR="003337A1" w:rsidP="00244069" w:rsidRDefault="003337A1" w14:paraId="4742698C" w14:textId="77777777">
      <w:pPr>
        <w:pStyle w:val="Textoindependiente"/>
        <w:spacing w:after="120"/>
        <w:ind w:left="709" w:right="709"/>
        <w:jc w:val="both"/>
        <w:rPr>
          <w:sz w:val="21"/>
          <w:szCs w:val="21"/>
        </w:rPr>
      </w:pPr>
      <w:r w:rsidRPr="00E810BE">
        <w:rPr>
          <w:sz w:val="21"/>
          <w:szCs w:val="21"/>
        </w:rPr>
        <w:t>El legislador no contemplo excepción frente a la aplicación retroactiva de la Ley 1955 de 2019, y si bien la inhabilidad del artículo 43 es de carácter sancionatorio, por tratarse de la potestad punitiva del Estado, el principio de favorabilidad es aplicable al proceso sancionatorio administrativo en virtud de lo establecido en el artículo 29 de la Constitución Política y en la Ley 1437 de 2011.</w:t>
      </w:r>
    </w:p>
    <w:p w:rsidRPr="00E810BE" w:rsidR="003337A1" w:rsidP="00244069" w:rsidRDefault="003337A1" w14:paraId="509B36C8" w14:textId="77777777">
      <w:pPr>
        <w:pStyle w:val="Textoindependiente"/>
        <w:spacing w:after="120"/>
        <w:ind w:left="709" w:right="709"/>
        <w:jc w:val="both"/>
        <w:rPr>
          <w:sz w:val="21"/>
          <w:szCs w:val="21"/>
        </w:rPr>
      </w:pPr>
      <w:r w:rsidRPr="00E810BE">
        <w:rPr>
          <w:sz w:val="21"/>
          <w:szCs w:val="21"/>
        </w:rPr>
        <w:t xml:space="preserve">Ahora, la Ley en mención tampoco contempló su aplicación retrospectiva a las situaciones de hecho que tuvieron lugar antes de su </w:t>
      </w:r>
      <w:proofErr w:type="gramStart"/>
      <w:r w:rsidRPr="00E810BE">
        <w:rPr>
          <w:sz w:val="21"/>
          <w:szCs w:val="21"/>
        </w:rPr>
        <w:t>entrada en vigencia</w:t>
      </w:r>
      <w:proofErr w:type="gramEnd"/>
      <w:r w:rsidRPr="00E810BE">
        <w:rPr>
          <w:sz w:val="21"/>
          <w:szCs w:val="21"/>
        </w:rPr>
        <w:t xml:space="preserve">, porque sencillamente si dichas situaciones se hubiesen presentado en vigencia del artículo 90 de la Ley 1474 de 2011 se hubiera configurado la inhabilidad; en este sentido sus efectos tampoco serían </w:t>
      </w:r>
      <w:proofErr w:type="spellStart"/>
      <w:r w:rsidRPr="00E810BE">
        <w:rPr>
          <w:sz w:val="21"/>
          <w:szCs w:val="21"/>
        </w:rPr>
        <w:t>ultraactivos</w:t>
      </w:r>
      <w:proofErr w:type="spellEnd"/>
      <w:r w:rsidRPr="00E810BE">
        <w:rPr>
          <w:sz w:val="21"/>
          <w:szCs w:val="21"/>
        </w:rPr>
        <w:t>.</w:t>
      </w:r>
    </w:p>
    <w:p w:rsidRPr="00E810BE" w:rsidR="00056AFD" w:rsidP="00244069" w:rsidRDefault="003337A1" w14:paraId="2696F222" w14:textId="036EC5A5">
      <w:pPr>
        <w:pStyle w:val="Textoindependiente"/>
        <w:spacing w:after="120"/>
        <w:ind w:left="709" w:right="709"/>
        <w:jc w:val="both"/>
        <w:rPr>
          <w:sz w:val="21"/>
          <w:szCs w:val="21"/>
        </w:rPr>
      </w:pPr>
      <w:r w:rsidRPr="00E810BE">
        <w:rPr>
          <w:sz w:val="21"/>
          <w:szCs w:val="21"/>
        </w:rPr>
        <w:t>Así las cosas, los efectos del artículo 43 de la Ley 1955 de 2019 se producen hacia el futuro, y en este sentido no se podrán tener en cuenta las sanciones impuestas antes del 25 de mayo de 2019, ya que la Ley 1955 de 2019 derogó todas las disposiciones contrarias. Entonces, como quiera que desde el 25 de mayo de 2019 entró a regir una nueva disposición normativa para la inhabilidad por incumplimiento reiterado, a partir de esta fecha se deberá contabilizar los tres (3) años durante los cuales al contratista le han sido impuestas cinco (5) o más multas, o declaratorias de incumplimiento contractual en por lo menos dos (2) contratos. Esto quiere decir que no es posible acumular las sanciones anteriores ni tampoco los años durante los cuales aquellas fueron impuestas</w:t>
      </w:r>
      <w:r w:rsidRPr="00E810BE" w:rsidR="009E2240">
        <w:rPr>
          <w:sz w:val="21"/>
          <w:szCs w:val="21"/>
        </w:rPr>
        <w:t>.</w:t>
      </w:r>
    </w:p>
    <w:p w:rsidRPr="00E810BE" w:rsidR="003337A1" w:rsidP="00056AFD" w:rsidRDefault="00056AFD" w14:paraId="2B8EE1BE" w14:textId="2C0AB61F">
      <w:pPr>
        <w:pStyle w:val="Textoindependiente"/>
        <w:ind w:left="709" w:right="709"/>
        <w:jc w:val="both"/>
        <w:rPr>
          <w:sz w:val="21"/>
          <w:szCs w:val="21"/>
        </w:rPr>
      </w:pPr>
      <w:r w:rsidRPr="00E810BE">
        <w:rPr>
          <w:sz w:val="21"/>
          <w:szCs w:val="21"/>
        </w:rPr>
        <w:t>[…] la Constitución Política dispone en materia del derecho al debido proceso, que nadie podrá ser juzgado sino conforme a leyes preexistentes al acto que se le imputa,</w:t>
      </w:r>
      <w:r w:rsidRPr="00E810BE" w:rsidR="00B022A4">
        <w:rPr>
          <w:sz w:val="21"/>
          <w:szCs w:val="21"/>
        </w:rPr>
        <w:t xml:space="preserve"> </w:t>
      </w:r>
      <w:r w:rsidRPr="00E810BE">
        <w:rPr>
          <w:sz w:val="21"/>
          <w:szCs w:val="21"/>
        </w:rPr>
        <w:t xml:space="preserve">lo cual aplica para el caso de las inhabilidades de naturaleza sancionatoria, pues como se anotó en precedencia, estas limitan derechos subjetivos. Por lo anterior, la inhabilidad por incumplimiento reiterado después </w:t>
      </w:r>
      <w:r w:rsidRPr="00E810BE">
        <w:rPr>
          <w:sz w:val="21"/>
          <w:szCs w:val="21"/>
        </w:rPr>
        <w:lastRenderedPageBreak/>
        <w:t xml:space="preserve">del 25 de mayo de 2019 se debe configurar según lo indicado en el artículo 43 de la Ley 1955 de 2019, a menos que antes de su </w:t>
      </w:r>
      <w:proofErr w:type="gramStart"/>
      <w:r w:rsidRPr="00E810BE">
        <w:rPr>
          <w:sz w:val="21"/>
          <w:szCs w:val="21"/>
        </w:rPr>
        <w:t>entrada en vigencia</w:t>
      </w:r>
      <w:proofErr w:type="gramEnd"/>
      <w:r w:rsidRPr="00E810BE">
        <w:rPr>
          <w:sz w:val="21"/>
          <w:szCs w:val="21"/>
        </w:rPr>
        <w:t xml:space="preserve"> se hubiese consolidado la situación jurídica prevista en el artículo 90 de la Ley 1474 de 2011</w:t>
      </w:r>
      <w:r w:rsidRPr="00E810BE" w:rsidR="003337A1">
        <w:rPr>
          <w:rStyle w:val="Refdenotaalpie"/>
          <w:sz w:val="21"/>
          <w:szCs w:val="21"/>
        </w:rPr>
        <w:footnoteReference w:id="14"/>
      </w:r>
      <w:r w:rsidRPr="00E810BE" w:rsidR="003337A1">
        <w:rPr>
          <w:sz w:val="21"/>
          <w:szCs w:val="21"/>
        </w:rPr>
        <w:t>.</w:t>
      </w:r>
    </w:p>
    <w:p w:rsidRPr="00E810BE" w:rsidR="002277B9" w:rsidP="002277B9" w:rsidRDefault="002277B9" w14:paraId="3CA100C5" w14:textId="77777777">
      <w:pPr>
        <w:pStyle w:val="Textoindependiente"/>
        <w:spacing w:line="276" w:lineRule="auto"/>
        <w:ind w:left="708" w:right="49" w:firstLine="708"/>
        <w:jc w:val="both"/>
      </w:pPr>
    </w:p>
    <w:p w:rsidRPr="009733E0" w:rsidR="006D26D0" w:rsidP="00BF4B3C" w:rsidRDefault="00280F7C" w14:paraId="4CB19099" w14:textId="49E9524C">
      <w:pPr>
        <w:pStyle w:val="Textoindependiente"/>
        <w:spacing w:after="120" w:line="276" w:lineRule="auto"/>
        <w:ind w:right="51" w:firstLine="709"/>
        <w:jc w:val="both"/>
        <w:rPr>
          <w:highlight w:val="cyan"/>
        </w:rPr>
      </w:pPr>
      <w:r w:rsidRPr="009733E0">
        <w:rPr>
          <w:highlight w:val="cyan"/>
        </w:rPr>
        <w:t xml:space="preserve">De acuerdo con </w:t>
      </w:r>
      <w:r w:rsidRPr="009733E0" w:rsidR="00972DD7">
        <w:rPr>
          <w:highlight w:val="cyan"/>
        </w:rPr>
        <w:t xml:space="preserve">las </w:t>
      </w:r>
      <w:r w:rsidRPr="009733E0">
        <w:rPr>
          <w:highlight w:val="cyan"/>
        </w:rPr>
        <w:t>consideraciones</w:t>
      </w:r>
      <w:r w:rsidRPr="009733E0" w:rsidR="00972DD7">
        <w:rPr>
          <w:highlight w:val="cyan"/>
        </w:rPr>
        <w:t xml:space="preserve"> anteriores</w:t>
      </w:r>
      <w:r w:rsidRPr="009733E0">
        <w:rPr>
          <w:highlight w:val="cyan"/>
        </w:rPr>
        <w:t xml:space="preserve">, </w:t>
      </w:r>
      <w:r w:rsidRPr="009733E0" w:rsidR="00972DD7">
        <w:rPr>
          <w:highlight w:val="cyan"/>
        </w:rPr>
        <w:t xml:space="preserve">dado </w:t>
      </w:r>
      <w:r w:rsidRPr="009733E0">
        <w:rPr>
          <w:highlight w:val="cyan"/>
        </w:rPr>
        <w:t>que los efectos del artículo 43 de la Ley 1955 de 2019 se producen hacia al futuro</w:t>
      </w:r>
      <w:r w:rsidRPr="009733E0" w:rsidR="00F2371B">
        <w:rPr>
          <w:highlight w:val="cyan"/>
        </w:rPr>
        <w:t>,</w:t>
      </w:r>
      <w:r w:rsidRPr="009733E0">
        <w:rPr>
          <w:highlight w:val="cyan"/>
        </w:rPr>
        <w:t xml:space="preserve"> y al haberse derogado el texto original de los literales a y b del artículo 90 de la Ley 1474 de 2011</w:t>
      </w:r>
      <w:r w:rsidRPr="009733E0" w:rsidR="004C597C">
        <w:rPr>
          <w:highlight w:val="cyan"/>
        </w:rPr>
        <w:t xml:space="preserve"> </w:t>
      </w:r>
      <w:r w:rsidRPr="009733E0" w:rsidR="00972DD7">
        <w:rPr>
          <w:highlight w:val="cyan"/>
        </w:rPr>
        <w:t>sin</w:t>
      </w:r>
      <w:r w:rsidRPr="009733E0" w:rsidR="006D26D0">
        <w:rPr>
          <w:highlight w:val="cyan"/>
        </w:rPr>
        <w:t xml:space="preserve"> efectos </w:t>
      </w:r>
      <w:proofErr w:type="spellStart"/>
      <w:r w:rsidRPr="009733E0" w:rsidR="006D26D0">
        <w:rPr>
          <w:highlight w:val="cyan"/>
        </w:rPr>
        <w:t>ultractivos</w:t>
      </w:r>
      <w:proofErr w:type="spellEnd"/>
      <w:r w:rsidRPr="009733E0">
        <w:rPr>
          <w:highlight w:val="cyan"/>
        </w:rPr>
        <w:t>, para que se configure la causal de inhabilidad aludida es necesario que las declaratorias de incumplimiento se hayan consolidado con posterioridad a la entrada en vigencia de la Ley 1955 de 2019, esto es, del 25 de mayo de 2019 en adelante</w:t>
      </w:r>
      <w:r w:rsidRPr="009733E0" w:rsidR="006D26D0">
        <w:rPr>
          <w:highlight w:val="cyan"/>
        </w:rPr>
        <w:t>.</w:t>
      </w:r>
    </w:p>
    <w:p w:rsidRPr="009733E0" w:rsidR="00D37E9B" w:rsidP="00BF4B3C" w:rsidRDefault="00402C55" w14:paraId="17EF8425" w14:textId="07A7609C">
      <w:pPr>
        <w:pStyle w:val="Textoindependiente"/>
        <w:spacing w:after="120" w:line="276" w:lineRule="auto"/>
        <w:ind w:right="51" w:firstLine="709"/>
        <w:jc w:val="both"/>
        <w:rPr>
          <w:highlight w:val="cyan"/>
        </w:rPr>
      </w:pPr>
      <w:r w:rsidRPr="009733E0">
        <w:rPr>
          <w:highlight w:val="cyan"/>
        </w:rPr>
        <w:t>Además, t</w:t>
      </w:r>
      <w:r w:rsidRPr="009733E0" w:rsidR="006D26D0">
        <w:rPr>
          <w:highlight w:val="cyan"/>
        </w:rPr>
        <w:t>al interpretación se impone con ocasión del carácter sancionador o punitivo</w:t>
      </w:r>
      <w:r w:rsidRPr="009733E0" w:rsidR="008751F1">
        <w:rPr>
          <w:highlight w:val="cyan"/>
          <w:vertAlign w:val="superscript"/>
        </w:rPr>
        <w:footnoteReference w:id="15"/>
      </w:r>
      <w:r w:rsidRPr="009733E0" w:rsidR="006D26D0">
        <w:rPr>
          <w:highlight w:val="cyan"/>
        </w:rPr>
        <w:t xml:space="preserve"> de la inhabilidad por incumplimiento reiterado, que implica que su aplicación deba ser respetuosa del</w:t>
      </w:r>
      <w:r w:rsidRPr="009733E0" w:rsidR="008751F1">
        <w:rPr>
          <w:highlight w:val="cyan"/>
        </w:rPr>
        <w:t xml:space="preserve"> debido proceso</w:t>
      </w:r>
      <w:r w:rsidRPr="009733E0" w:rsidR="008751F1">
        <w:rPr>
          <w:highlight w:val="cyan"/>
          <w:vertAlign w:val="superscript"/>
        </w:rPr>
        <w:footnoteReference w:id="16"/>
      </w:r>
      <w:r w:rsidRPr="009733E0" w:rsidR="008751F1">
        <w:rPr>
          <w:highlight w:val="cyan"/>
        </w:rPr>
        <w:t xml:space="preserve"> y el</w:t>
      </w:r>
      <w:r w:rsidRPr="009733E0" w:rsidR="006D26D0">
        <w:rPr>
          <w:highlight w:val="cyan"/>
        </w:rPr>
        <w:t xml:space="preserve"> principio de legalidad de las faltas y de las sanciones</w:t>
      </w:r>
      <w:r w:rsidRPr="009733E0" w:rsidR="009F0642">
        <w:rPr>
          <w:highlight w:val="cyan"/>
          <w:vertAlign w:val="superscript"/>
        </w:rPr>
        <w:footnoteReference w:id="17"/>
      </w:r>
      <w:r w:rsidRPr="009733E0" w:rsidR="006D26D0">
        <w:rPr>
          <w:highlight w:val="cyan"/>
        </w:rPr>
        <w:t xml:space="preserve">, por lo que circunstancias consolidadas con anterioridad a la entrada en vigencia de la Ley 1955 de 2019 no pueden </w:t>
      </w:r>
      <w:r w:rsidRPr="009733E0" w:rsidR="009D07B7">
        <w:rPr>
          <w:highlight w:val="cyan"/>
        </w:rPr>
        <w:t>tenerse</w:t>
      </w:r>
      <w:r w:rsidRPr="009733E0" w:rsidR="006D26D0">
        <w:rPr>
          <w:highlight w:val="cyan"/>
        </w:rPr>
        <w:t xml:space="preserve"> en cuenta a efectos de configurar la referida inhabilidad, en la medida que el contenido del supuesto de hecho de la falta </w:t>
      </w:r>
      <w:r w:rsidRPr="009733E0" w:rsidR="006D26D0">
        <w:rPr>
          <w:highlight w:val="cyan"/>
        </w:rPr>
        <w:lastRenderedPageBreak/>
        <w:t xml:space="preserve">sancionada con la inhabilidad cambió </w:t>
      </w:r>
      <w:r w:rsidRPr="009733E0" w:rsidR="008C283B">
        <w:rPr>
          <w:highlight w:val="cyan"/>
        </w:rPr>
        <w:t>con la entrada en vigencia de la Ley 1955 de 2019</w:t>
      </w:r>
      <w:r w:rsidRPr="009733E0" w:rsidR="000170F8">
        <w:rPr>
          <w:highlight w:val="cyan"/>
        </w:rPr>
        <w:t>. En tal sentido,</w:t>
      </w:r>
      <w:r w:rsidRPr="009733E0" w:rsidR="006837FC">
        <w:rPr>
          <w:highlight w:val="cyan"/>
        </w:rPr>
        <w:t xml:space="preserve"> admitir la configuración de la inhabilidad conforme al supuesto de hecho vigente respecto de circunstancias anteriores a su entrada en vigor, no solo constituiría una aplicación retroactiva de la ley, sino también una vulneración al principio de legalidad y los postulados del derecho al debido proceso.</w:t>
      </w:r>
      <w:r w:rsidRPr="009733E0" w:rsidR="008C283B">
        <w:rPr>
          <w:highlight w:val="cyan"/>
        </w:rPr>
        <w:t xml:space="preserve"> </w:t>
      </w:r>
    </w:p>
    <w:p w:rsidRPr="009733E0" w:rsidR="008C283B" w:rsidP="00BF4B3C" w:rsidRDefault="000170F8" w14:paraId="5A1B147E" w14:textId="1F3635AD">
      <w:pPr>
        <w:pStyle w:val="Textoindependiente"/>
        <w:spacing w:after="120" w:line="276" w:lineRule="auto"/>
        <w:ind w:right="51" w:firstLine="709"/>
        <w:jc w:val="both"/>
        <w:rPr>
          <w:highlight w:val="cyan"/>
        </w:rPr>
      </w:pPr>
      <w:r w:rsidRPr="009733E0">
        <w:rPr>
          <w:rFonts w:eastAsia="Calibri"/>
          <w:highlight w:val="cyan"/>
          <w:lang w:val="es-ES_tradnl"/>
        </w:rPr>
        <w:t xml:space="preserve">La postura </w:t>
      </w:r>
      <w:r w:rsidRPr="009733E0">
        <w:rPr>
          <w:highlight w:val="cyan"/>
        </w:rPr>
        <w:t>anterior</w:t>
      </w:r>
      <w:r w:rsidRPr="009733E0" w:rsidR="008C283B">
        <w:rPr>
          <w:highlight w:val="cyan"/>
        </w:rPr>
        <w:t xml:space="preserve"> además se encuentra de acuerdo con el principio </w:t>
      </w:r>
      <w:r w:rsidRPr="009733E0" w:rsidR="008C283B">
        <w:rPr>
          <w:i/>
          <w:iCs/>
          <w:highlight w:val="cyan"/>
        </w:rPr>
        <w:t xml:space="preserve">pro </w:t>
      </w:r>
      <w:proofErr w:type="spellStart"/>
      <w:r w:rsidRPr="009733E0" w:rsidR="008C283B">
        <w:rPr>
          <w:i/>
          <w:iCs/>
          <w:highlight w:val="cyan"/>
        </w:rPr>
        <w:t>libertate</w:t>
      </w:r>
      <w:proofErr w:type="spellEnd"/>
      <w:r w:rsidRPr="009733E0" w:rsidR="008C283B">
        <w:rPr>
          <w:highlight w:val="cyan"/>
        </w:rPr>
        <w:t xml:space="preserve"> que debe dirigir la interpretación de las disposiciones normativas que consagran restricciones de derechos, como son las inhabilidades. Esto en la medida que </w:t>
      </w:r>
      <w:r w:rsidRPr="009733E0" w:rsidR="009F0642">
        <w:rPr>
          <w:highlight w:val="cyan"/>
        </w:rPr>
        <w:t>asumir</w:t>
      </w:r>
      <w:r w:rsidRPr="009733E0" w:rsidR="008C283B">
        <w:rPr>
          <w:highlight w:val="cyan"/>
        </w:rPr>
        <w:t xml:space="preserve"> la interpretación contraria a la </w:t>
      </w:r>
      <w:r w:rsidRPr="009733E0" w:rsidR="009D07B7">
        <w:rPr>
          <w:highlight w:val="cyan"/>
        </w:rPr>
        <w:t>explicada</w:t>
      </w:r>
      <w:r w:rsidRPr="009733E0" w:rsidR="008C283B">
        <w:rPr>
          <w:highlight w:val="cyan"/>
        </w:rPr>
        <w:t>, esto es, la que indicaría que para la configuración de</w:t>
      </w:r>
      <w:r w:rsidRPr="009733E0" w:rsidR="009F0642">
        <w:rPr>
          <w:highlight w:val="cyan"/>
        </w:rPr>
        <w:t xml:space="preserve"> la causal de inhabilidad en comento resultaría v</w:t>
      </w:r>
      <w:r w:rsidRPr="009733E0">
        <w:rPr>
          <w:highlight w:val="cyan"/>
        </w:rPr>
        <w:t>á</w:t>
      </w:r>
      <w:r w:rsidRPr="009733E0" w:rsidR="009F0642">
        <w:rPr>
          <w:highlight w:val="cyan"/>
        </w:rPr>
        <w:t>lido considerar hechos ocurridos –en un intervalo de 3 años–, antes de la entrada en vigencia de la Ley 1955 de 2019, implicaría un</w:t>
      </w:r>
      <w:r w:rsidRPr="009733E0" w:rsidR="006837FC">
        <w:rPr>
          <w:highlight w:val="cyan"/>
        </w:rPr>
        <w:t>a</w:t>
      </w:r>
      <w:r w:rsidRPr="009733E0" w:rsidR="009F0642">
        <w:rPr>
          <w:highlight w:val="cyan"/>
        </w:rPr>
        <w:t xml:space="preserve"> mayor restricción de derechos, </w:t>
      </w:r>
      <w:r w:rsidRPr="009733E0" w:rsidR="00931CA1">
        <w:rPr>
          <w:highlight w:val="cyan"/>
        </w:rPr>
        <w:t>pues</w:t>
      </w:r>
      <w:r w:rsidRPr="009733E0" w:rsidR="009F0642">
        <w:rPr>
          <w:highlight w:val="cyan"/>
        </w:rPr>
        <w:t xml:space="preserve"> se extenderían los efectos de la norma a un mayor </w:t>
      </w:r>
      <w:r w:rsidRPr="009733E0" w:rsidR="006837FC">
        <w:rPr>
          <w:highlight w:val="cyan"/>
        </w:rPr>
        <w:t>número</w:t>
      </w:r>
      <w:r w:rsidRPr="009733E0" w:rsidR="009F0642">
        <w:rPr>
          <w:highlight w:val="cyan"/>
        </w:rPr>
        <w:t xml:space="preserve"> de </w:t>
      </w:r>
      <w:r w:rsidRPr="009733E0" w:rsidR="006837FC">
        <w:rPr>
          <w:highlight w:val="cyan"/>
        </w:rPr>
        <w:t>casos particulares</w:t>
      </w:r>
      <w:r w:rsidRPr="009733E0" w:rsidR="009F0642">
        <w:rPr>
          <w:highlight w:val="cyan"/>
        </w:rPr>
        <w:t>, lo cual resultaría contrario a la interpretación restrictiva que amerita la norma bajo estudio.</w:t>
      </w:r>
      <w:r w:rsidRPr="009733E0" w:rsidR="008C283B">
        <w:rPr>
          <w:highlight w:val="cyan"/>
        </w:rPr>
        <w:t xml:space="preserve"> </w:t>
      </w:r>
    </w:p>
    <w:p w:rsidRPr="00E810BE" w:rsidR="006837FC" w:rsidP="00BF4B3C" w:rsidRDefault="00B84425" w14:paraId="67D83F99" w14:textId="2A43BFC4">
      <w:pPr>
        <w:pStyle w:val="Textoindependiente"/>
        <w:spacing w:after="120" w:line="276" w:lineRule="auto"/>
        <w:ind w:right="51" w:firstLine="709"/>
        <w:jc w:val="both"/>
      </w:pPr>
      <w:r w:rsidRPr="009733E0">
        <w:rPr>
          <w:highlight w:val="cyan"/>
        </w:rPr>
        <w:t xml:space="preserve">De otra parte, conviene recordar que de conformidad con el inciso anterior al parágrafo del </w:t>
      </w:r>
      <w:r w:rsidRPr="009733E0" w:rsidR="006837FC">
        <w:rPr>
          <w:highlight w:val="cyan"/>
        </w:rPr>
        <w:t>artículo 90 de la Ley 1474 de 2011</w:t>
      </w:r>
      <w:r w:rsidRPr="009733E0">
        <w:rPr>
          <w:highlight w:val="cyan"/>
        </w:rPr>
        <w:t>,</w:t>
      </w:r>
      <w:r w:rsidRPr="009733E0" w:rsidR="006837FC">
        <w:rPr>
          <w:highlight w:val="cyan"/>
        </w:rPr>
        <w:t xml:space="preserve"> la inhabilidad por incumplimiento reiterado </w:t>
      </w:r>
      <w:r w:rsidRPr="009733E0">
        <w:rPr>
          <w:highlight w:val="cyan"/>
        </w:rPr>
        <w:t>se configura a partir de la inscripción en el R</w:t>
      </w:r>
      <w:r w:rsidRPr="009733E0" w:rsidR="00DA208F">
        <w:rPr>
          <w:highlight w:val="cyan"/>
        </w:rPr>
        <w:t xml:space="preserve">egistro Único de </w:t>
      </w:r>
      <w:r w:rsidRPr="009733E0">
        <w:rPr>
          <w:highlight w:val="cyan"/>
        </w:rPr>
        <w:t>P</w:t>
      </w:r>
      <w:r w:rsidRPr="009733E0" w:rsidR="00DA208F">
        <w:rPr>
          <w:highlight w:val="cyan"/>
        </w:rPr>
        <w:t>roponentes</w:t>
      </w:r>
      <w:r w:rsidRPr="009733E0">
        <w:rPr>
          <w:highlight w:val="cyan"/>
        </w:rPr>
        <w:t xml:space="preserve"> de la última multa o decl</w:t>
      </w:r>
      <w:r w:rsidRPr="009733E0" w:rsidR="000170F8">
        <w:rPr>
          <w:highlight w:val="cyan"/>
        </w:rPr>
        <w:t>ar</w:t>
      </w:r>
      <w:r w:rsidRPr="009733E0">
        <w:rPr>
          <w:highlight w:val="cyan"/>
        </w:rPr>
        <w:t>ator</w:t>
      </w:r>
      <w:r w:rsidRPr="009733E0" w:rsidR="000170F8">
        <w:rPr>
          <w:highlight w:val="cyan"/>
        </w:rPr>
        <w:t>i</w:t>
      </w:r>
      <w:r w:rsidRPr="009733E0">
        <w:rPr>
          <w:highlight w:val="cyan"/>
        </w:rPr>
        <w:t>a de incumplimiento requerida para su configuración</w:t>
      </w:r>
      <w:r w:rsidRPr="009733E0" w:rsidR="006837FC">
        <w:rPr>
          <w:highlight w:val="cyan"/>
        </w:rPr>
        <w:t xml:space="preserve">. Por lo tanto, no se podrá extender la inhabilidad desde que se declaró la sanción por parte de la entidad, </w:t>
      </w:r>
      <w:r w:rsidRPr="009733E0" w:rsidR="00C76E54">
        <w:rPr>
          <w:highlight w:val="cyan"/>
        </w:rPr>
        <w:t>pues</w:t>
      </w:r>
      <w:r w:rsidRPr="009733E0" w:rsidR="006837FC">
        <w:rPr>
          <w:highlight w:val="cyan"/>
        </w:rPr>
        <w:t xml:space="preserve"> esto implicar</w:t>
      </w:r>
      <w:r w:rsidRPr="009733E0" w:rsidR="00C76E54">
        <w:rPr>
          <w:highlight w:val="cyan"/>
        </w:rPr>
        <w:t>ía</w:t>
      </w:r>
      <w:r w:rsidRPr="009733E0" w:rsidR="006837FC">
        <w:rPr>
          <w:highlight w:val="cyan"/>
        </w:rPr>
        <w:t xml:space="preserve"> afectar la interpretación restrictiva que rige en el régimen de inhabilidad</w:t>
      </w:r>
      <w:r w:rsidRPr="009733E0" w:rsidR="000170F8">
        <w:rPr>
          <w:highlight w:val="cyan"/>
        </w:rPr>
        <w:t>es</w:t>
      </w:r>
      <w:r w:rsidRPr="009733E0" w:rsidR="006837FC">
        <w:rPr>
          <w:highlight w:val="cyan"/>
        </w:rPr>
        <w:t xml:space="preserve"> e incompatibilidad</w:t>
      </w:r>
      <w:r w:rsidRPr="009733E0" w:rsidR="000170F8">
        <w:rPr>
          <w:highlight w:val="cyan"/>
        </w:rPr>
        <w:t>es</w:t>
      </w:r>
      <w:r w:rsidRPr="009733E0" w:rsidR="006837FC">
        <w:rPr>
          <w:highlight w:val="cyan"/>
        </w:rPr>
        <w:t>.</w:t>
      </w:r>
    </w:p>
    <w:p w:rsidRPr="00E810BE" w:rsidR="006837FC" w:rsidP="00DA208F" w:rsidRDefault="00B84425" w14:paraId="5B78E298" w14:textId="7DB5FA32">
      <w:pPr>
        <w:pStyle w:val="Textoindependiente"/>
        <w:spacing w:after="120" w:line="274" w:lineRule="auto"/>
        <w:ind w:right="51" w:firstLine="709"/>
        <w:jc w:val="both"/>
      </w:pPr>
      <w:r w:rsidRPr="00E810BE">
        <w:t xml:space="preserve"> </w:t>
      </w:r>
      <w:r w:rsidRPr="00E810BE" w:rsidR="00DA208F">
        <w:t>R</w:t>
      </w:r>
      <w:r w:rsidRPr="00E810BE">
        <w:t>esulta relevante</w:t>
      </w:r>
      <w:r w:rsidRPr="00E810BE" w:rsidR="00DA208F">
        <w:t xml:space="preserve"> poner esto de presente</w:t>
      </w:r>
      <w:r w:rsidRPr="00E810BE">
        <w:t xml:space="preserve"> ya que </w:t>
      </w:r>
      <w:r w:rsidRPr="00E810BE" w:rsidR="006837FC">
        <w:t>frente otras causales de inhabilidad e incompatibilidad,</w:t>
      </w:r>
      <w:r w:rsidRPr="00E810BE">
        <w:t xml:space="preserve"> el legislador</w:t>
      </w:r>
      <w:r w:rsidRPr="00E810BE" w:rsidR="006837FC">
        <w:t xml:space="preserve"> sí previó que la inhabilidad se cuente desde el momento </w:t>
      </w:r>
      <w:r w:rsidRPr="00E810BE">
        <w:t>en que se materializa</w:t>
      </w:r>
      <w:r w:rsidRPr="00E810BE" w:rsidR="00DA208F">
        <w:t xml:space="preserve"> en un acto administrativo ejecutoriado</w:t>
      </w:r>
      <w:r w:rsidRPr="00E810BE">
        <w:t xml:space="preserve"> el hecho sancionado con la inhabilidad, como en los casos de</w:t>
      </w:r>
      <w:r w:rsidRPr="00E810BE" w:rsidR="006837FC">
        <w:t xml:space="preserve"> la declaratoria de la caducidad del contrato o cuando se declara el incumplimiento del interventor</w:t>
      </w:r>
      <w:r w:rsidRPr="00E810BE">
        <w:t xml:space="preserve">. </w:t>
      </w:r>
      <w:r w:rsidRPr="00E810BE" w:rsidR="006837FC">
        <w:t>Es así como el literal c) del numeral 1, del artículo 8 de la Ley 80 de 1993, referido a la declaratoria de caducidad, señala que la inhabilidad de cinco (5) años empezará a contar a partir de la ejecutoria del acto administrativo que declara la caducidad del contrato</w:t>
      </w:r>
      <w:r w:rsidRPr="00E810BE">
        <w:rPr>
          <w:rStyle w:val="Refdenotaalpie"/>
        </w:rPr>
        <w:footnoteReference w:id="18"/>
      </w:r>
      <w:r w:rsidRPr="00E810BE" w:rsidR="006837FC">
        <w:t xml:space="preserve">; y el literal k) establece que la inhabilidad se extenderá por cinco (5) años, contados a partir de la ejecutoria del acto </w:t>
      </w:r>
      <w:r w:rsidRPr="00E810BE" w:rsidR="006837FC">
        <w:lastRenderedPageBreak/>
        <w:t>administrativo que declare el incumplimiento por parte del interventor al deber de entregar información a la entidad contratante</w:t>
      </w:r>
      <w:r w:rsidRPr="00E810BE" w:rsidR="00DA208F">
        <w:rPr>
          <w:rStyle w:val="Refdenotaalpie"/>
        </w:rPr>
        <w:footnoteReference w:id="19"/>
      </w:r>
      <w:r w:rsidRPr="00E810BE" w:rsidR="006837FC">
        <w:t>.</w:t>
      </w:r>
      <w:r w:rsidRPr="00E810BE" w:rsidR="00DA208F">
        <w:t xml:space="preserve"> Conforme a esto,</w:t>
      </w:r>
      <w:r w:rsidRPr="00E810BE" w:rsidR="006837FC">
        <w:t xml:space="preserve"> no fue accidental que el legislador, en el artículo 90 de la Ley 1474 de 2011, </w:t>
      </w:r>
      <w:r w:rsidRPr="00E810BE" w:rsidR="000170F8">
        <w:t>dispusiera</w:t>
      </w:r>
      <w:r w:rsidRPr="00E810BE" w:rsidR="006837FC">
        <w:t xml:space="preserve"> que la inhabilidad se configura con la </w:t>
      </w:r>
      <w:r w:rsidRPr="00E810BE" w:rsidR="006837FC">
        <w:rPr>
          <w:i/>
          <w:iCs/>
        </w:rPr>
        <w:t>publicación</w:t>
      </w:r>
      <w:r w:rsidRPr="00E810BE" w:rsidR="006837FC">
        <w:t xml:space="preserve"> del acto administrativo que impone la inscripción de la última multa o incumplimiento en el Registro Único de Proponentes</w:t>
      </w:r>
      <w:r w:rsidRPr="00E810BE" w:rsidR="009D07B7">
        <w:t xml:space="preserve">, </w:t>
      </w:r>
      <w:r w:rsidRPr="00E810BE" w:rsidR="00001BD3">
        <w:t xml:space="preserve">y </w:t>
      </w:r>
      <w:r w:rsidRPr="00E810BE" w:rsidR="006837FC">
        <w:t xml:space="preserve">no cuando la entidad lo declara </w:t>
      </w:r>
      <w:r w:rsidRPr="00E810BE" w:rsidR="000170F8">
        <w:t>en el</w:t>
      </w:r>
      <w:r w:rsidRPr="00E810BE" w:rsidR="006837FC">
        <w:t xml:space="preserve"> acto administrativo.</w:t>
      </w:r>
    </w:p>
    <w:p w:rsidRPr="00E810BE" w:rsidR="00BF6D5B" w:rsidP="00BF4B3C" w:rsidRDefault="006837FC" w14:paraId="6357B70C" w14:textId="64B10589">
      <w:pPr>
        <w:pStyle w:val="Textoindependiente"/>
        <w:spacing w:line="278" w:lineRule="auto"/>
        <w:ind w:right="49" w:firstLine="708"/>
        <w:jc w:val="both"/>
      </w:pPr>
      <w:r w:rsidRPr="00E810BE">
        <w:t>En este orden, la inhabilidad por incumplimiento reiterado</w:t>
      </w:r>
      <w:r w:rsidRPr="00E810BE" w:rsidR="009D07B7">
        <w:t xml:space="preserve"> de</w:t>
      </w:r>
      <w:r w:rsidRPr="00E810BE">
        <w:t xml:space="preserve"> la Ley 1474 de 2011</w:t>
      </w:r>
      <w:r w:rsidRPr="00E810BE" w:rsidR="009D07B7">
        <w:t xml:space="preserve"> </w:t>
      </w:r>
      <w:r w:rsidRPr="00E810BE">
        <w:t xml:space="preserve">se configura una vez se cumplan los supuestos del artículo 90 </w:t>
      </w:r>
      <w:r w:rsidRPr="00E810BE">
        <w:rPr>
          <w:i/>
        </w:rPr>
        <w:t>ibidem</w:t>
      </w:r>
      <w:r w:rsidRPr="00E810BE">
        <w:t>, modificado por el artículo 43 de la Ley 1955 de 2019, es decir, que la persona haya sido objeto de declaratoria de incumplimiento contractual en por lo menos dos</w:t>
      </w:r>
      <w:r w:rsidRPr="00E810BE">
        <w:rPr>
          <w:spacing w:val="5"/>
        </w:rPr>
        <w:t xml:space="preserve"> </w:t>
      </w:r>
      <w:r w:rsidRPr="00E810BE">
        <w:t>(2)</w:t>
      </w:r>
      <w:r w:rsidRPr="00E810BE">
        <w:rPr>
          <w:spacing w:val="6"/>
        </w:rPr>
        <w:t xml:space="preserve"> </w:t>
      </w:r>
      <w:r w:rsidRPr="00E810BE">
        <w:t>contratos,</w:t>
      </w:r>
      <w:r w:rsidRPr="00E810BE">
        <w:rPr>
          <w:spacing w:val="5"/>
        </w:rPr>
        <w:t xml:space="preserve"> </w:t>
      </w:r>
      <w:r w:rsidRPr="00E810BE">
        <w:t>con</w:t>
      </w:r>
      <w:r w:rsidRPr="00E810BE">
        <w:rPr>
          <w:spacing w:val="8"/>
        </w:rPr>
        <w:t xml:space="preserve"> </w:t>
      </w:r>
      <w:r w:rsidRPr="00E810BE">
        <w:t>una</w:t>
      </w:r>
      <w:r w:rsidRPr="00E810BE">
        <w:rPr>
          <w:spacing w:val="6"/>
        </w:rPr>
        <w:t xml:space="preserve"> </w:t>
      </w:r>
      <w:r w:rsidRPr="00E810BE">
        <w:t>o</w:t>
      </w:r>
      <w:r w:rsidRPr="00E810BE">
        <w:rPr>
          <w:spacing w:val="9"/>
        </w:rPr>
        <w:t xml:space="preserve"> </w:t>
      </w:r>
      <w:r w:rsidRPr="00E810BE">
        <w:t>varias</w:t>
      </w:r>
      <w:r w:rsidRPr="00E810BE">
        <w:rPr>
          <w:spacing w:val="6"/>
        </w:rPr>
        <w:t xml:space="preserve"> </w:t>
      </w:r>
      <w:r w:rsidRPr="00E810BE">
        <w:t>entidades</w:t>
      </w:r>
      <w:r w:rsidRPr="00E810BE">
        <w:rPr>
          <w:spacing w:val="5"/>
        </w:rPr>
        <w:t xml:space="preserve"> </w:t>
      </w:r>
      <w:r w:rsidRPr="00E810BE">
        <w:t>estatales,</w:t>
      </w:r>
      <w:r w:rsidRPr="00E810BE">
        <w:rPr>
          <w:spacing w:val="5"/>
        </w:rPr>
        <w:t xml:space="preserve"> </w:t>
      </w:r>
      <w:r w:rsidRPr="00E810BE">
        <w:t>durante</w:t>
      </w:r>
      <w:r w:rsidRPr="00E810BE">
        <w:rPr>
          <w:spacing w:val="6"/>
        </w:rPr>
        <w:t xml:space="preserve"> </w:t>
      </w:r>
      <w:r w:rsidRPr="00E810BE">
        <w:t>los</w:t>
      </w:r>
      <w:r w:rsidRPr="00E810BE">
        <w:rPr>
          <w:spacing w:val="6"/>
        </w:rPr>
        <w:t xml:space="preserve"> </w:t>
      </w:r>
      <w:r w:rsidRPr="00E810BE">
        <w:t>últimos</w:t>
      </w:r>
      <w:r w:rsidRPr="00E810BE">
        <w:rPr>
          <w:spacing w:val="5"/>
        </w:rPr>
        <w:t xml:space="preserve"> </w:t>
      </w:r>
      <w:r w:rsidRPr="00E810BE">
        <w:t>tres</w:t>
      </w:r>
      <w:r w:rsidRPr="00E810BE">
        <w:rPr>
          <w:spacing w:val="15"/>
        </w:rPr>
        <w:t xml:space="preserve"> </w:t>
      </w:r>
      <w:r w:rsidRPr="00E810BE">
        <w:t>(3)</w:t>
      </w:r>
      <w:r w:rsidRPr="00E810BE">
        <w:rPr>
          <w:spacing w:val="8"/>
        </w:rPr>
        <w:t xml:space="preserve"> </w:t>
      </w:r>
      <w:r w:rsidRPr="00E810BE">
        <w:t>años</w:t>
      </w:r>
      <w:r w:rsidRPr="00E810BE" w:rsidR="000170F8">
        <w:t>;</w:t>
      </w:r>
      <w:r w:rsidRPr="00E810BE">
        <w:rPr>
          <w:spacing w:val="9"/>
        </w:rPr>
        <w:t xml:space="preserve"> </w:t>
      </w:r>
      <w:r w:rsidRPr="00E810BE">
        <w:t xml:space="preserve">y que el acto administrativo que la impone haya sido publicado en el Registro </w:t>
      </w:r>
      <w:r w:rsidRPr="00E810BE" w:rsidR="00BF6D5B">
        <w:t>Ú</w:t>
      </w:r>
      <w:r w:rsidRPr="00E810BE">
        <w:t>nico de Proponentes</w:t>
      </w:r>
      <w:r w:rsidRPr="00E810BE" w:rsidR="00E35B91">
        <w:t xml:space="preserve">. Tales incumplimientos, de conformidad con la posición hermenéutica explicada y adoptada por el la Agencia Nacional de Contratación Pública, deberán ser posteriores al 25 de mayo de 2019, fecha de </w:t>
      </w:r>
      <w:proofErr w:type="gramStart"/>
      <w:r w:rsidRPr="00E810BE" w:rsidR="00E35B91">
        <w:t>entrada en vigencia</w:t>
      </w:r>
      <w:proofErr w:type="gramEnd"/>
      <w:r w:rsidRPr="00E810BE" w:rsidR="00E35B91">
        <w:t xml:space="preserve"> de la Ley 1955 de 2019. </w:t>
      </w:r>
    </w:p>
    <w:p w:rsidRPr="00E810BE" w:rsidR="00AB7CF1" w:rsidP="00BF4B3C" w:rsidRDefault="00AB7CF1" w14:paraId="762E456A" w14:textId="77777777">
      <w:pPr>
        <w:pStyle w:val="Textoindependiente"/>
        <w:spacing w:line="278" w:lineRule="auto"/>
        <w:ind w:right="49" w:firstLine="708"/>
        <w:jc w:val="both"/>
      </w:pPr>
    </w:p>
    <w:p w:rsidRPr="00E810BE" w:rsidR="00AB7CF1" w:rsidRDefault="00AB7CF1" w14:paraId="5FEE1A7F" w14:textId="554B1064">
      <w:pPr>
        <w:pStyle w:val="Textoindependiente"/>
        <w:spacing w:line="278" w:lineRule="auto"/>
        <w:ind w:right="49"/>
        <w:jc w:val="both"/>
        <w:rPr>
          <w:b/>
          <w:bCs/>
        </w:rPr>
      </w:pPr>
      <w:r w:rsidRPr="00E810BE">
        <w:rPr>
          <w:b/>
          <w:bCs/>
        </w:rPr>
        <w:t>2.3.</w:t>
      </w:r>
      <w:r w:rsidRPr="00E810BE" w:rsidR="009526DD">
        <w:rPr>
          <w:b/>
          <w:bCs/>
        </w:rPr>
        <w:t xml:space="preserve"> Reporte,</w:t>
      </w:r>
      <w:r w:rsidRPr="00E810BE">
        <w:rPr>
          <w:b/>
          <w:bCs/>
        </w:rPr>
        <w:t xml:space="preserve"> </w:t>
      </w:r>
      <w:r w:rsidRPr="00E810BE" w:rsidR="009526DD">
        <w:rPr>
          <w:b/>
          <w:bCs/>
        </w:rPr>
        <w:t>r</w:t>
      </w:r>
      <w:r w:rsidRPr="00E810BE" w:rsidR="00DF3757">
        <w:rPr>
          <w:b/>
          <w:bCs/>
        </w:rPr>
        <w:t xml:space="preserve">egistro y publicación de sanciones por cláusula penal pecuniaria </w:t>
      </w:r>
      <w:r w:rsidRPr="00E810BE" w:rsidR="009526DD">
        <w:rPr>
          <w:b/>
          <w:bCs/>
        </w:rPr>
        <w:t>en el Registro Único de Proponentes</w:t>
      </w:r>
    </w:p>
    <w:p w:rsidRPr="00E810BE" w:rsidR="00950775" w:rsidP="00BF4B3C" w:rsidRDefault="00950775" w14:paraId="3BC0A305" w14:textId="77777777">
      <w:pPr>
        <w:pStyle w:val="Textoindependiente"/>
        <w:spacing w:line="278" w:lineRule="auto"/>
        <w:ind w:right="49"/>
        <w:jc w:val="both"/>
        <w:rPr>
          <w:b/>
          <w:bCs/>
        </w:rPr>
      </w:pPr>
    </w:p>
    <w:p w:rsidRPr="00E810BE" w:rsidR="00863622" w:rsidP="00BF4B3C" w:rsidRDefault="00863622" w14:paraId="1452D16F" w14:textId="796C39DA">
      <w:pPr>
        <w:spacing w:after="120" w:line="276" w:lineRule="auto"/>
        <w:jc w:val="both"/>
        <w:rPr>
          <w:rFonts w:ascii="Arial" w:hAnsi="Arial" w:cs="Arial"/>
          <w:sz w:val="22"/>
        </w:rPr>
      </w:pPr>
      <w:r w:rsidRPr="00E810BE">
        <w:rPr>
          <w:rFonts w:ascii="Arial" w:hAnsi="Arial" w:eastAsia="Calibri" w:cs="Arial"/>
          <w:sz w:val="22"/>
        </w:rPr>
        <w:t xml:space="preserve">El </w:t>
      </w:r>
      <w:r w:rsidRPr="00E810BE" w:rsidR="00950775">
        <w:rPr>
          <w:rFonts w:ascii="Arial" w:hAnsi="Arial" w:eastAsia="Calibri" w:cs="Arial"/>
          <w:sz w:val="22"/>
        </w:rPr>
        <w:t xml:space="preserve">artículo </w:t>
      </w:r>
      <w:r w:rsidRPr="00E810BE">
        <w:rPr>
          <w:rFonts w:ascii="Arial" w:hAnsi="Arial" w:eastAsia="Calibri" w:cs="Arial"/>
          <w:sz w:val="22"/>
        </w:rPr>
        <w:t xml:space="preserve">6.2 de la Ley 1150 de 2007 obliga a las entidades públicas </w:t>
      </w:r>
      <w:r w:rsidRPr="00E810BE" w:rsidR="00226B51">
        <w:rPr>
          <w:rFonts w:ascii="Arial" w:hAnsi="Arial" w:eastAsia="Calibri" w:cs="Arial"/>
          <w:sz w:val="22"/>
        </w:rPr>
        <w:t>a</w:t>
      </w:r>
      <w:r w:rsidRPr="00E810BE">
        <w:rPr>
          <w:rFonts w:ascii="Arial" w:hAnsi="Arial" w:eastAsia="Calibri" w:cs="Arial"/>
          <w:sz w:val="22"/>
        </w:rPr>
        <w:t xml:space="preserve"> reportar a la Cámara de Comercio correspondiente la información sobre contratos, multas y sanciones</w:t>
      </w:r>
      <w:r w:rsidRPr="00E810BE" w:rsidR="00184F87">
        <w:rPr>
          <w:rStyle w:val="Refdenotaalpie"/>
          <w:rFonts w:ascii="Arial" w:hAnsi="Arial" w:cs="Arial"/>
          <w:sz w:val="22"/>
        </w:rPr>
        <w:footnoteReference w:id="20"/>
      </w:r>
      <w:r w:rsidRPr="00E810BE">
        <w:rPr>
          <w:rFonts w:ascii="Arial" w:hAnsi="Arial" w:eastAsia="Calibri" w:cs="Arial"/>
          <w:sz w:val="22"/>
        </w:rPr>
        <w:t xml:space="preserve">. </w:t>
      </w:r>
      <w:r w:rsidRPr="00E810BE" w:rsidR="00184F87">
        <w:rPr>
          <w:rFonts w:ascii="Arial" w:hAnsi="Arial" w:eastAsia="Calibri" w:cs="Arial"/>
          <w:sz w:val="22"/>
        </w:rPr>
        <w:t>Esta norma</w:t>
      </w:r>
      <w:r w:rsidRPr="00E810BE">
        <w:rPr>
          <w:rFonts w:ascii="Arial" w:hAnsi="Arial" w:cs="Arial"/>
          <w:sz w:val="22"/>
        </w:rPr>
        <w:t xml:space="preserve"> pretende poner en conocimiento de todos los participantes </w:t>
      </w:r>
      <w:r w:rsidRPr="00E810BE" w:rsidR="009A7034">
        <w:rPr>
          <w:rFonts w:ascii="Arial" w:hAnsi="Arial" w:cs="Arial"/>
          <w:sz w:val="22"/>
        </w:rPr>
        <w:t>d</w:t>
      </w:r>
      <w:r w:rsidRPr="00E810BE">
        <w:rPr>
          <w:rFonts w:ascii="Arial" w:hAnsi="Arial" w:cs="Arial"/>
          <w:sz w:val="22"/>
        </w:rPr>
        <w:t xml:space="preserve">el sistema de compras públicas la información de sanciones y multas impuestas a los inscritos en el RUP, como una forma de ejercer control a la ejecución de los contratos suscritos por las entidades estatales. </w:t>
      </w:r>
      <w:r w:rsidRPr="00E810BE" w:rsidR="00184F87">
        <w:rPr>
          <w:rFonts w:ascii="Arial" w:hAnsi="Arial" w:cs="Arial"/>
          <w:sz w:val="22"/>
        </w:rPr>
        <w:t xml:space="preserve">Dicha </w:t>
      </w:r>
      <w:r w:rsidRPr="00E810BE">
        <w:rPr>
          <w:rFonts w:ascii="Arial" w:hAnsi="Arial" w:cs="Arial"/>
          <w:sz w:val="22"/>
        </w:rPr>
        <w:t xml:space="preserve">obligación </w:t>
      </w:r>
      <w:r w:rsidRPr="00E810BE" w:rsidR="00184F87">
        <w:rPr>
          <w:rFonts w:ascii="Arial" w:hAnsi="Arial" w:cs="Arial"/>
          <w:sz w:val="22"/>
        </w:rPr>
        <w:t>también es congruente</w:t>
      </w:r>
      <w:r w:rsidRPr="00E810BE">
        <w:rPr>
          <w:rFonts w:ascii="Arial" w:hAnsi="Arial" w:cs="Arial"/>
          <w:sz w:val="22"/>
        </w:rPr>
        <w:t xml:space="preserve"> con el artículo 31 de la Ley 80 de 1993, modificado por el artículo 218 del Decreto 19 de 2012, que estableció los deberes de </w:t>
      </w:r>
      <w:r w:rsidRPr="00E810BE">
        <w:rPr>
          <w:rFonts w:ascii="Arial" w:hAnsi="Arial" w:cs="Arial"/>
          <w:sz w:val="22"/>
        </w:rPr>
        <w:lastRenderedPageBreak/>
        <w:t>publicar en el SECOP y de comunicar a las Cámaras de Comercio, la parte resolutiva, de los actos que impongan multas y sanciones, entre otras decisiones</w:t>
      </w:r>
      <w:r w:rsidRPr="00E810BE" w:rsidR="00184F87">
        <w:rPr>
          <w:rStyle w:val="Refdenotaalpie"/>
          <w:rFonts w:ascii="Arial" w:hAnsi="Arial" w:cs="Arial"/>
          <w:sz w:val="22"/>
        </w:rPr>
        <w:footnoteReference w:id="21"/>
      </w:r>
      <w:r w:rsidRPr="00E810BE">
        <w:rPr>
          <w:rFonts w:ascii="Arial" w:hAnsi="Arial" w:cs="Arial"/>
          <w:sz w:val="22"/>
        </w:rPr>
        <w:t xml:space="preserve">. </w:t>
      </w:r>
    </w:p>
    <w:p w:rsidRPr="00E810BE" w:rsidR="00863622" w:rsidP="00863622" w:rsidRDefault="00226B51" w14:paraId="48393A2F" w14:textId="5CCC2989">
      <w:pPr>
        <w:spacing w:after="120" w:line="276" w:lineRule="auto"/>
        <w:ind w:firstLine="708"/>
        <w:jc w:val="both"/>
        <w:rPr>
          <w:rFonts w:ascii="Arial" w:hAnsi="Arial" w:cs="Arial"/>
          <w:sz w:val="22"/>
        </w:rPr>
      </w:pPr>
      <w:r w:rsidRPr="00E810BE">
        <w:rPr>
          <w:rFonts w:ascii="Arial" w:hAnsi="Arial" w:cs="Arial"/>
          <w:sz w:val="22"/>
        </w:rPr>
        <w:t>En</w:t>
      </w:r>
      <w:r w:rsidRPr="00E810BE" w:rsidR="00863622">
        <w:rPr>
          <w:rFonts w:ascii="Arial" w:hAnsi="Arial" w:cs="Arial"/>
          <w:sz w:val="22"/>
        </w:rPr>
        <w:t xml:space="preserve"> la Ley 80 de 1993 se observa la voluntad del legislador </w:t>
      </w:r>
      <w:r w:rsidRPr="00E810BE" w:rsidR="00002F47">
        <w:rPr>
          <w:rFonts w:ascii="Arial" w:hAnsi="Arial" w:cs="Arial"/>
          <w:sz w:val="22"/>
        </w:rPr>
        <w:t xml:space="preserve">de </w:t>
      </w:r>
      <w:r w:rsidRPr="00E810BE" w:rsidR="00863622">
        <w:rPr>
          <w:rFonts w:ascii="Arial" w:hAnsi="Arial" w:cs="Arial"/>
          <w:sz w:val="22"/>
        </w:rPr>
        <w:t xml:space="preserve">divulgar el comportamiento contractual de los participantes en el sistema de compras públicas. </w:t>
      </w:r>
      <w:r w:rsidRPr="00E810BE" w:rsidR="00080897">
        <w:rPr>
          <w:rFonts w:ascii="Arial" w:hAnsi="Arial" w:cs="Arial"/>
          <w:sz w:val="22"/>
        </w:rPr>
        <w:t>En este contexto</w:t>
      </w:r>
      <w:r w:rsidRPr="00E810BE" w:rsidR="00863622">
        <w:rPr>
          <w:rFonts w:ascii="Arial" w:hAnsi="Arial" w:cs="Arial"/>
          <w:sz w:val="22"/>
        </w:rPr>
        <w:t xml:space="preserve">, el </w:t>
      </w:r>
      <w:r w:rsidRPr="00E810BE" w:rsidR="00080897">
        <w:rPr>
          <w:rFonts w:ascii="Arial" w:hAnsi="Arial" w:cs="Arial"/>
          <w:sz w:val="22"/>
        </w:rPr>
        <w:t xml:space="preserve">artículo </w:t>
      </w:r>
      <w:r w:rsidRPr="00E810BE" w:rsidR="00863622">
        <w:rPr>
          <w:rFonts w:ascii="Arial" w:hAnsi="Arial" w:cs="Arial"/>
          <w:sz w:val="22"/>
        </w:rPr>
        <w:t>6.2</w:t>
      </w:r>
      <w:r w:rsidRPr="00E810BE" w:rsidR="00080897">
        <w:rPr>
          <w:rFonts w:ascii="Arial" w:hAnsi="Arial" w:cs="Arial"/>
          <w:sz w:val="22"/>
        </w:rPr>
        <w:t xml:space="preserve"> de la Ley 1150 de 2007</w:t>
      </w:r>
      <w:r w:rsidRPr="00E810BE" w:rsidR="00863622">
        <w:rPr>
          <w:rFonts w:ascii="Arial" w:hAnsi="Arial" w:cs="Arial"/>
          <w:sz w:val="22"/>
        </w:rPr>
        <w:t xml:space="preserve"> constituye un desarrollo material </w:t>
      </w:r>
      <w:r w:rsidRPr="00E810BE" w:rsidR="00863622">
        <w:rPr>
          <w:rFonts w:ascii="Arial" w:hAnsi="Arial" w:eastAsia="Calibri" w:cs="Arial"/>
          <w:sz w:val="22"/>
        </w:rPr>
        <w:t xml:space="preserve">de los principios aplicables a las actuaciones contractuales </w:t>
      </w:r>
      <w:r w:rsidRPr="00E810BE" w:rsidR="00080897">
        <w:rPr>
          <w:rFonts w:ascii="Arial" w:hAnsi="Arial" w:eastAsia="Calibri" w:cs="Arial"/>
          <w:sz w:val="22"/>
        </w:rPr>
        <w:t>en los términos</w:t>
      </w:r>
      <w:r w:rsidRPr="00E810BE" w:rsidR="00863622">
        <w:rPr>
          <w:rFonts w:ascii="Arial" w:hAnsi="Arial" w:eastAsia="Calibri" w:cs="Arial"/>
          <w:sz w:val="22"/>
        </w:rPr>
        <w:t xml:space="preserve"> </w:t>
      </w:r>
      <w:r w:rsidRPr="00E810BE" w:rsidR="00080897">
        <w:rPr>
          <w:rFonts w:ascii="Arial" w:hAnsi="Arial" w:eastAsia="Calibri" w:cs="Arial"/>
          <w:sz w:val="22"/>
        </w:rPr>
        <w:t>d</w:t>
      </w:r>
      <w:r w:rsidRPr="00E810BE" w:rsidR="00863622">
        <w:rPr>
          <w:rFonts w:ascii="Arial" w:hAnsi="Arial" w:eastAsia="Calibri" w:cs="Arial"/>
          <w:sz w:val="22"/>
        </w:rPr>
        <w:t>el artículo 23 de</w:t>
      </w:r>
      <w:r w:rsidRPr="00E810BE" w:rsidR="00080897">
        <w:rPr>
          <w:rFonts w:ascii="Arial" w:hAnsi="Arial" w:eastAsia="Calibri" w:cs="Arial"/>
          <w:sz w:val="22"/>
        </w:rPr>
        <w:t>l Estatuto General de Contratación de la Administración Pública</w:t>
      </w:r>
      <w:r w:rsidRPr="00E810BE" w:rsidR="00863622">
        <w:rPr>
          <w:rStyle w:val="Refdenotaalpie"/>
          <w:rFonts w:ascii="Arial" w:hAnsi="Arial" w:eastAsia="Calibri" w:cs="Arial"/>
          <w:sz w:val="22"/>
        </w:rPr>
        <w:footnoteReference w:id="22"/>
      </w:r>
      <w:r w:rsidRPr="00E810BE" w:rsidR="00080897">
        <w:rPr>
          <w:rFonts w:ascii="Arial" w:hAnsi="Arial" w:eastAsia="Calibri" w:cs="Arial"/>
          <w:sz w:val="22"/>
        </w:rPr>
        <w:t>.</w:t>
      </w:r>
      <w:r w:rsidRPr="00E810BE" w:rsidR="00863622">
        <w:rPr>
          <w:rFonts w:ascii="Arial" w:hAnsi="Arial" w:eastAsia="Calibri" w:cs="Arial"/>
          <w:sz w:val="22"/>
        </w:rPr>
        <w:t xml:space="preserve"> </w:t>
      </w:r>
      <w:r w:rsidRPr="00E810BE" w:rsidR="00080897">
        <w:rPr>
          <w:rFonts w:ascii="Arial" w:hAnsi="Arial" w:eastAsia="Calibri" w:cs="Arial"/>
          <w:sz w:val="22"/>
        </w:rPr>
        <w:t>E</w:t>
      </w:r>
      <w:r w:rsidRPr="00E810BE" w:rsidR="00863622">
        <w:rPr>
          <w:rFonts w:ascii="Arial" w:hAnsi="Arial" w:eastAsia="Calibri" w:cs="Arial"/>
          <w:sz w:val="22"/>
        </w:rPr>
        <w:t>ntre otros,</w:t>
      </w:r>
      <w:r w:rsidRPr="00E810BE" w:rsidR="00080897">
        <w:rPr>
          <w:rFonts w:ascii="Arial" w:hAnsi="Arial" w:eastAsia="Calibri" w:cs="Arial"/>
          <w:sz w:val="22"/>
        </w:rPr>
        <w:t xml:space="preserve"> la Ley 80 de 1993 concreta</w:t>
      </w:r>
      <w:r w:rsidRPr="00E810BE" w:rsidR="00863622">
        <w:rPr>
          <w:rFonts w:ascii="Arial" w:hAnsi="Arial" w:eastAsia="Calibri" w:cs="Arial"/>
          <w:sz w:val="22"/>
        </w:rPr>
        <w:t xml:space="preserve"> el principio de transparencia de la actividad contractual, objeto de regulación expresa en el artículo 24 </w:t>
      </w:r>
      <w:r w:rsidRPr="00E810BE" w:rsidR="00080897">
        <w:rPr>
          <w:rFonts w:ascii="Arial" w:hAnsi="Arial" w:eastAsia="Calibri" w:cs="Arial"/>
          <w:i/>
          <w:iCs/>
          <w:sz w:val="22"/>
        </w:rPr>
        <w:t>ibidem</w:t>
      </w:r>
      <w:r w:rsidRPr="00E810BE" w:rsidR="00863622">
        <w:rPr>
          <w:rFonts w:ascii="Arial" w:hAnsi="Arial" w:eastAsia="Calibri" w:cs="Arial"/>
          <w:sz w:val="22"/>
        </w:rPr>
        <w:t>, que guarda estrecha relación con el de publicidad, el cual rige el ejercicio de la función administrativa</w:t>
      </w:r>
      <w:r w:rsidRPr="00E810BE" w:rsidR="0073233A">
        <w:rPr>
          <w:rFonts w:ascii="Arial" w:hAnsi="Arial" w:eastAsia="Calibri" w:cs="Arial"/>
          <w:sz w:val="22"/>
        </w:rPr>
        <w:t>,</w:t>
      </w:r>
      <w:r w:rsidRPr="00E810BE" w:rsidR="00863622">
        <w:rPr>
          <w:rFonts w:ascii="Arial" w:hAnsi="Arial" w:eastAsia="Calibri" w:cs="Arial"/>
          <w:sz w:val="22"/>
        </w:rPr>
        <w:t xml:space="preserve"> según el artículo 209 </w:t>
      </w:r>
      <w:r w:rsidRPr="00E810BE" w:rsidR="00080897">
        <w:rPr>
          <w:rFonts w:ascii="Arial" w:hAnsi="Arial" w:eastAsia="Calibri" w:cs="Arial"/>
          <w:sz w:val="22"/>
        </w:rPr>
        <w:t>de la C</w:t>
      </w:r>
      <w:r w:rsidRPr="00E810BE" w:rsidR="00863622">
        <w:rPr>
          <w:rFonts w:ascii="Arial" w:hAnsi="Arial" w:eastAsia="Calibri" w:cs="Arial"/>
          <w:sz w:val="22"/>
        </w:rPr>
        <w:t>onstituci</w:t>
      </w:r>
      <w:r w:rsidRPr="00E810BE" w:rsidR="00080897">
        <w:rPr>
          <w:rFonts w:ascii="Arial" w:hAnsi="Arial" w:eastAsia="Calibri" w:cs="Arial"/>
          <w:sz w:val="22"/>
        </w:rPr>
        <w:t>ón Política</w:t>
      </w:r>
      <w:r w:rsidRPr="00E810BE" w:rsidR="00863622">
        <w:rPr>
          <w:rFonts w:ascii="Arial" w:hAnsi="Arial" w:eastAsia="Calibri" w:cs="Arial"/>
          <w:sz w:val="22"/>
        </w:rPr>
        <w:t xml:space="preserve">.  </w:t>
      </w:r>
    </w:p>
    <w:p w:rsidRPr="00E810BE" w:rsidR="00543D89" w:rsidRDefault="00863622" w14:paraId="3DD366F3" w14:textId="3126F37A">
      <w:pPr>
        <w:spacing w:after="120" w:line="276" w:lineRule="auto"/>
        <w:ind w:firstLine="708"/>
        <w:jc w:val="both"/>
        <w:rPr>
          <w:rFonts w:ascii="Arial" w:hAnsi="Arial" w:cs="Arial"/>
          <w:sz w:val="22"/>
        </w:rPr>
      </w:pPr>
      <w:r w:rsidRPr="00E810BE">
        <w:rPr>
          <w:rFonts w:ascii="Arial" w:hAnsi="Arial" w:cs="Arial"/>
          <w:sz w:val="22"/>
        </w:rPr>
        <w:t>Ahora</w:t>
      </w:r>
      <w:r w:rsidRPr="00E810BE" w:rsidR="00773509">
        <w:rPr>
          <w:rFonts w:ascii="Arial" w:hAnsi="Arial" w:cs="Arial"/>
          <w:sz w:val="22"/>
        </w:rPr>
        <w:t xml:space="preserve"> bien</w:t>
      </w:r>
      <w:r w:rsidRPr="00E810BE">
        <w:rPr>
          <w:rFonts w:ascii="Arial" w:hAnsi="Arial" w:cs="Arial"/>
          <w:sz w:val="22"/>
        </w:rPr>
        <w:t xml:space="preserve">, el numeral 6.2. de la Ley 1150 de 2007 estableció la información que deberá registrarse en el Registro Único de Proponentes, </w:t>
      </w:r>
      <w:r w:rsidRPr="00E810BE" w:rsidR="00543D89">
        <w:rPr>
          <w:rFonts w:ascii="Arial" w:hAnsi="Arial" w:cs="Arial"/>
          <w:sz w:val="22"/>
        </w:rPr>
        <w:t>precisando que «</w:t>
      </w:r>
      <w:r w:rsidRPr="00E810BE" w:rsidR="00543D89">
        <w:rPr>
          <w:rFonts w:ascii="Arial" w:hAnsi="Arial" w:cs="Arial"/>
          <w:sz w:val="22"/>
          <w:lang w:val="es-CO"/>
        </w:rPr>
        <w:t xml:space="preserve">Las entidades estatales enviarán mensualmente a la Cámara de Comercio de su domicilio, la información concerniente a los contratos, su cuantía, cumplimiento, </w:t>
      </w:r>
      <w:r w:rsidRPr="00E810BE" w:rsidR="00543D89">
        <w:rPr>
          <w:rFonts w:ascii="Arial" w:hAnsi="Arial" w:cs="Arial"/>
          <w:i/>
          <w:iCs/>
          <w:sz w:val="22"/>
          <w:lang w:val="es-CO"/>
        </w:rPr>
        <w:t>multas y sanciones</w:t>
      </w:r>
      <w:r w:rsidRPr="00E810BE" w:rsidR="00543D89">
        <w:rPr>
          <w:rFonts w:ascii="Arial" w:hAnsi="Arial" w:cs="Arial"/>
          <w:sz w:val="22"/>
          <w:lang w:val="es-CO"/>
        </w:rPr>
        <w:t xml:space="preserve"> relacionadas con los contratos que hayan sido adjudicados, los que se encuentren en ejecución y los ejecutados» (Énfasis fuera de texto)</w:t>
      </w:r>
      <w:r w:rsidRPr="00E810BE">
        <w:rPr>
          <w:rFonts w:ascii="Arial" w:hAnsi="Arial" w:cs="Arial"/>
          <w:sz w:val="22"/>
        </w:rPr>
        <w:t>.</w:t>
      </w:r>
      <w:r w:rsidRPr="00E810BE" w:rsidR="00543D89">
        <w:rPr>
          <w:rFonts w:ascii="Arial" w:hAnsi="Arial" w:cs="Arial"/>
          <w:sz w:val="22"/>
        </w:rPr>
        <w:t xml:space="preserve"> </w:t>
      </w:r>
      <w:r w:rsidRPr="00E810BE" w:rsidR="006F69B7">
        <w:rPr>
          <w:rFonts w:ascii="Arial" w:hAnsi="Arial" w:cs="Arial"/>
          <w:sz w:val="22"/>
        </w:rPr>
        <w:t>Así las cosas,</w:t>
      </w:r>
      <w:r w:rsidRPr="00E810BE" w:rsidR="00543D89">
        <w:rPr>
          <w:rFonts w:ascii="Arial" w:hAnsi="Arial" w:cs="Arial"/>
          <w:sz w:val="22"/>
        </w:rPr>
        <w:t xml:space="preserve"> teniendo en cuenta el objeto de la consulta,</w:t>
      </w:r>
      <w:r w:rsidRPr="00E810BE">
        <w:rPr>
          <w:rFonts w:ascii="Arial" w:hAnsi="Arial" w:cs="Arial"/>
          <w:sz w:val="22"/>
        </w:rPr>
        <w:t xml:space="preserve"> corresponde determinar si la cláusula penal pecuniaria está comprendida dentro de la expresión «multas y sanciones»</w:t>
      </w:r>
      <w:r w:rsidRPr="00E810BE" w:rsidR="009A7034">
        <w:rPr>
          <w:rFonts w:ascii="Arial" w:hAnsi="Arial" w:cs="Arial"/>
          <w:sz w:val="22"/>
        </w:rPr>
        <w:t xml:space="preserve"> contenida en </w:t>
      </w:r>
      <w:r w:rsidRPr="00E810BE" w:rsidR="00543D89">
        <w:rPr>
          <w:rFonts w:ascii="Arial" w:hAnsi="Arial" w:cs="Arial"/>
          <w:sz w:val="22"/>
        </w:rPr>
        <w:t>la norma anteriormente citada</w:t>
      </w:r>
      <w:r w:rsidRPr="00E810BE">
        <w:rPr>
          <w:rFonts w:ascii="Arial" w:hAnsi="Arial" w:cs="Arial"/>
          <w:sz w:val="22"/>
        </w:rPr>
        <w:t xml:space="preserve">. </w:t>
      </w:r>
    </w:p>
    <w:p w:rsidRPr="00E810BE" w:rsidR="00863622" w:rsidP="00674D2F" w:rsidRDefault="00863622" w14:paraId="1F6CC768" w14:textId="1731D384">
      <w:pPr>
        <w:spacing w:after="120" w:line="276" w:lineRule="auto"/>
        <w:ind w:firstLine="708"/>
        <w:jc w:val="both"/>
        <w:rPr>
          <w:rFonts w:ascii="Arial" w:hAnsi="Arial" w:eastAsia="Calibri" w:cs="Arial"/>
          <w:iCs/>
          <w:sz w:val="22"/>
        </w:rPr>
      </w:pPr>
      <w:r w:rsidRPr="00E810BE">
        <w:rPr>
          <w:rFonts w:ascii="Arial" w:hAnsi="Arial" w:cs="Arial"/>
          <w:sz w:val="22"/>
        </w:rPr>
        <w:t>Para resp</w:t>
      </w:r>
      <w:r w:rsidRPr="00E810BE" w:rsidR="00543D89">
        <w:rPr>
          <w:rFonts w:ascii="Arial" w:hAnsi="Arial" w:cs="Arial"/>
          <w:sz w:val="22"/>
        </w:rPr>
        <w:t>onder</w:t>
      </w:r>
      <w:r w:rsidRPr="00E810BE">
        <w:rPr>
          <w:rFonts w:ascii="Arial" w:hAnsi="Arial" w:cs="Arial"/>
          <w:sz w:val="22"/>
        </w:rPr>
        <w:t xml:space="preserve"> este interrogante </w:t>
      </w:r>
      <w:r w:rsidRPr="00E810BE" w:rsidR="00543D89">
        <w:rPr>
          <w:rFonts w:ascii="Arial" w:hAnsi="Arial" w:cs="Arial"/>
          <w:sz w:val="22"/>
        </w:rPr>
        <w:t>debe</w:t>
      </w:r>
      <w:r w:rsidRPr="00E810BE">
        <w:rPr>
          <w:rFonts w:ascii="Arial" w:hAnsi="Arial" w:cs="Arial"/>
          <w:sz w:val="22"/>
        </w:rPr>
        <w:t xml:space="preserve"> precisar</w:t>
      </w:r>
      <w:r w:rsidRPr="00E810BE" w:rsidR="00543D89">
        <w:rPr>
          <w:rFonts w:ascii="Arial" w:hAnsi="Arial" w:cs="Arial"/>
          <w:sz w:val="22"/>
        </w:rPr>
        <w:t>se</w:t>
      </w:r>
      <w:r w:rsidRPr="00E810BE">
        <w:rPr>
          <w:rFonts w:ascii="Arial" w:hAnsi="Arial" w:cs="Arial"/>
          <w:sz w:val="22"/>
        </w:rPr>
        <w:t xml:space="preserve"> que </w:t>
      </w:r>
      <w:r w:rsidRPr="00E810BE">
        <w:rPr>
          <w:rFonts w:ascii="Arial" w:hAnsi="Arial" w:eastAsia="Calibri" w:cs="Arial"/>
          <w:iCs/>
          <w:sz w:val="22"/>
        </w:rPr>
        <w:t>el artículo 17 de la Ley 1150 de 2007</w:t>
      </w:r>
      <w:r w:rsidRPr="00E810BE" w:rsidR="0079338B">
        <w:rPr>
          <w:rFonts w:ascii="Arial" w:hAnsi="Arial" w:eastAsia="Calibri" w:cs="Arial"/>
          <w:iCs/>
          <w:sz w:val="22"/>
        </w:rPr>
        <w:t xml:space="preserve"> se refiere al debido proceso como un principio rector en materia sancionatoria de las actuaciones contractuales. Esta norma,</w:t>
      </w:r>
      <w:r w:rsidRPr="00E810BE">
        <w:rPr>
          <w:rFonts w:ascii="Arial" w:hAnsi="Arial" w:eastAsia="Calibri" w:cs="Arial"/>
          <w:iCs/>
          <w:sz w:val="22"/>
        </w:rPr>
        <w:t xml:space="preserve"> además de autorizar la imposición unilateral de multas, también </w:t>
      </w:r>
      <w:r w:rsidRPr="00E810BE" w:rsidR="00543D89">
        <w:rPr>
          <w:rFonts w:ascii="Arial" w:hAnsi="Arial" w:eastAsia="Calibri" w:cs="Arial"/>
          <w:iCs/>
          <w:sz w:val="22"/>
        </w:rPr>
        <w:t>dispone</w:t>
      </w:r>
      <w:r w:rsidRPr="00E810BE" w:rsidR="00674D2F">
        <w:rPr>
          <w:rFonts w:ascii="Arial" w:hAnsi="Arial" w:eastAsia="Calibri" w:cs="Arial"/>
          <w:iCs/>
          <w:sz w:val="22"/>
        </w:rPr>
        <w:t xml:space="preserve"> </w:t>
      </w:r>
      <w:r w:rsidRPr="00E810BE" w:rsidR="00C86771">
        <w:rPr>
          <w:rFonts w:ascii="Arial" w:hAnsi="Arial" w:eastAsia="Calibri" w:cs="Arial"/>
          <w:iCs/>
          <w:sz w:val="22"/>
        </w:rPr>
        <w:t xml:space="preserve">que </w:t>
      </w:r>
      <w:r w:rsidRPr="00E810BE" w:rsidR="00674D2F">
        <w:rPr>
          <w:rFonts w:ascii="Arial" w:hAnsi="Arial" w:eastAsia="Calibri" w:cs="Arial"/>
          <w:iCs/>
          <w:sz w:val="22"/>
        </w:rPr>
        <w:t>las entidades «[…]</w:t>
      </w:r>
      <w:r w:rsidRPr="00E810BE" w:rsidR="00543D89">
        <w:rPr>
          <w:rFonts w:ascii="Arial" w:hAnsi="Arial" w:eastAsia="Calibri" w:cs="Arial"/>
          <w:iCs/>
          <w:sz w:val="22"/>
        </w:rPr>
        <w:t xml:space="preserve"> </w:t>
      </w:r>
      <w:r w:rsidRPr="00E810BE" w:rsidR="00674D2F">
        <w:rPr>
          <w:rFonts w:ascii="Arial" w:hAnsi="Arial" w:eastAsia="Calibri" w:cs="Arial"/>
          <w:iCs/>
          <w:sz w:val="22"/>
        </w:rPr>
        <w:t>podrán declarar el incumplimiento con el propósito de hacer efectiva la cláusula penal pecuniaria incluida en el contrato</w:t>
      </w:r>
      <w:r w:rsidRPr="00E810BE" w:rsidR="008B14AF">
        <w:rPr>
          <w:rFonts w:ascii="Arial" w:hAnsi="Arial" w:eastAsia="Calibri" w:cs="Arial"/>
          <w:iCs/>
          <w:sz w:val="22"/>
        </w:rPr>
        <w:t>»</w:t>
      </w:r>
      <w:r w:rsidRPr="00E810BE">
        <w:rPr>
          <w:rFonts w:ascii="Arial" w:hAnsi="Arial" w:eastAsia="Calibri" w:cs="Arial"/>
          <w:iCs/>
          <w:sz w:val="22"/>
        </w:rPr>
        <w:t>. En este punto, conviene resaltar lo dicho por la Sección Tercera del Consejo de Estado</w:t>
      </w:r>
      <w:r w:rsidRPr="00E810BE">
        <w:rPr>
          <w:rFonts w:ascii="Arial" w:hAnsi="Arial" w:eastAsia="Calibri" w:cs="Arial"/>
          <w:sz w:val="22"/>
          <w:vertAlign w:val="superscript"/>
        </w:rPr>
        <w:footnoteReference w:id="23"/>
      </w:r>
      <w:r w:rsidRPr="00E810BE">
        <w:rPr>
          <w:rFonts w:ascii="Arial" w:hAnsi="Arial" w:eastAsia="Calibri" w:cs="Arial"/>
          <w:iCs/>
          <w:sz w:val="22"/>
        </w:rPr>
        <w:t xml:space="preserve"> en relación con las diferencias entre las multas y la cláusula penal, </w:t>
      </w:r>
      <w:r w:rsidRPr="00E810BE" w:rsidR="00543D89">
        <w:rPr>
          <w:rFonts w:ascii="Arial" w:hAnsi="Arial" w:eastAsia="Calibri" w:cs="Arial"/>
          <w:iCs/>
          <w:sz w:val="22"/>
        </w:rPr>
        <w:t xml:space="preserve">pues </w:t>
      </w:r>
      <w:r w:rsidRPr="00E810BE">
        <w:rPr>
          <w:rFonts w:ascii="Arial" w:hAnsi="Arial" w:eastAsia="Calibri" w:cs="Arial"/>
          <w:iCs/>
          <w:sz w:val="22"/>
        </w:rPr>
        <w:t>«[a]</w:t>
      </w:r>
      <w:proofErr w:type="spellStart"/>
      <w:r w:rsidRPr="00E810BE">
        <w:rPr>
          <w:rFonts w:ascii="Arial" w:hAnsi="Arial" w:eastAsia="Calibri" w:cs="Arial"/>
          <w:iCs/>
          <w:sz w:val="22"/>
        </w:rPr>
        <w:t>unque</w:t>
      </w:r>
      <w:proofErr w:type="spellEnd"/>
      <w:r w:rsidRPr="00E810BE">
        <w:rPr>
          <w:rFonts w:ascii="Arial" w:hAnsi="Arial" w:eastAsia="Calibri" w:cs="Arial"/>
          <w:iCs/>
          <w:sz w:val="22"/>
        </w:rPr>
        <w:t xml:space="preserve"> </w:t>
      </w:r>
      <w:r w:rsidRPr="00E810BE" w:rsidR="00543D89">
        <w:rPr>
          <w:rFonts w:ascii="Arial" w:hAnsi="Arial" w:eastAsia="Calibri" w:cs="Arial"/>
          <w:iCs/>
          <w:sz w:val="22"/>
        </w:rPr>
        <w:t>[…]</w:t>
      </w:r>
      <w:r w:rsidRPr="00E810BE">
        <w:rPr>
          <w:rFonts w:ascii="Arial" w:hAnsi="Arial" w:eastAsia="Calibri" w:cs="Arial"/>
          <w:iCs/>
          <w:sz w:val="22"/>
        </w:rPr>
        <w:t xml:space="preserve"> tienen una finalidad común –en lo sustancial–, que se concreta en el logro de los objetivos propuestos en el contrato; se diferencian en que la multa por regla general es conminatoria del cumplimiento de las obligaciones en razón al acaecimiento de incumplimientos parciales; la </w:t>
      </w:r>
      <w:r w:rsidRPr="00E810BE">
        <w:rPr>
          <w:rFonts w:ascii="Arial" w:hAnsi="Arial" w:eastAsia="Calibri" w:cs="Arial"/>
          <w:iCs/>
          <w:sz w:val="22"/>
        </w:rPr>
        <w:lastRenderedPageBreak/>
        <w:t>cláusula penal constituye en principio una tasación anticipada de perjuicios, a raíz de la declaratoria de caducidad o del incumplimiento definitivo del contrato».</w:t>
      </w:r>
    </w:p>
    <w:p w:rsidRPr="00E810BE" w:rsidR="00C14692" w:rsidP="004A02A7" w:rsidRDefault="00863622" w14:paraId="2911350A" w14:textId="0355FEF4">
      <w:pPr>
        <w:spacing w:after="120" w:line="276" w:lineRule="auto"/>
        <w:ind w:firstLine="708"/>
        <w:jc w:val="both"/>
        <w:rPr>
          <w:rFonts w:ascii="Arial" w:hAnsi="Arial" w:eastAsia="Calibri" w:cs="Arial"/>
          <w:iCs/>
          <w:sz w:val="22"/>
        </w:rPr>
      </w:pPr>
      <w:r w:rsidRPr="00E810BE">
        <w:rPr>
          <w:rFonts w:ascii="Arial" w:hAnsi="Arial" w:eastAsia="Calibri" w:cs="Arial"/>
          <w:iCs/>
          <w:sz w:val="22"/>
        </w:rPr>
        <w:t xml:space="preserve">De la cita </w:t>
      </w:r>
      <w:r w:rsidRPr="00E810BE" w:rsidR="00674D2F">
        <w:rPr>
          <w:rFonts w:ascii="Arial" w:hAnsi="Arial" w:eastAsia="Calibri" w:cs="Arial"/>
          <w:iCs/>
          <w:sz w:val="22"/>
        </w:rPr>
        <w:t>debe</w:t>
      </w:r>
      <w:r w:rsidRPr="00E810BE">
        <w:rPr>
          <w:rFonts w:ascii="Arial" w:hAnsi="Arial" w:eastAsia="Calibri" w:cs="Arial"/>
          <w:iCs/>
          <w:sz w:val="22"/>
        </w:rPr>
        <w:t xml:space="preserve"> concluir</w:t>
      </w:r>
      <w:r w:rsidRPr="00E810BE" w:rsidR="00674D2F">
        <w:rPr>
          <w:rFonts w:ascii="Arial" w:hAnsi="Arial" w:eastAsia="Calibri" w:cs="Arial"/>
          <w:iCs/>
          <w:sz w:val="22"/>
        </w:rPr>
        <w:t>se</w:t>
      </w:r>
      <w:r w:rsidRPr="00E810BE">
        <w:rPr>
          <w:rFonts w:ascii="Arial" w:hAnsi="Arial" w:eastAsia="Calibri" w:cs="Arial"/>
          <w:iCs/>
          <w:sz w:val="22"/>
        </w:rPr>
        <w:t xml:space="preserve"> que la cláusula penal pecuniaria </w:t>
      </w:r>
      <w:r w:rsidRPr="00E810BE" w:rsidR="00674D2F">
        <w:rPr>
          <w:rFonts w:ascii="Arial" w:hAnsi="Arial" w:eastAsia="Calibri" w:cs="Arial"/>
          <w:iCs/>
          <w:sz w:val="22"/>
        </w:rPr>
        <w:t>tiene carácter sancionatorio,</w:t>
      </w:r>
      <w:r w:rsidRPr="00E810BE">
        <w:rPr>
          <w:rFonts w:ascii="Arial" w:hAnsi="Arial" w:eastAsia="Calibri" w:cs="Arial"/>
          <w:iCs/>
          <w:sz w:val="22"/>
        </w:rPr>
        <w:t xml:space="preserve"> pues del artículo 17 de la Ley 1150 de 2007 se infiere </w:t>
      </w:r>
      <w:r w:rsidRPr="00E810BE" w:rsidR="00BC15DF">
        <w:rPr>
          <w:rFonts w:ascii="Arial" w:hAnsi="Arial" w:eastAsia="Calibri" w:cs="Arial"/>
          <w:iCs/>
          <w:sz w:val="22"/>
        </w:rPr>
        <w:t xml:space="preserve">dicha naturaleza, </w:t>
      </w:r>
      <w:r w:rsidRPr="00E810BE">
        <w:rPr>
          <w:rFonts w:ascii="Arial" w:hAnsi="Arial" w:eastAsia="Calibri" w:cs="Arial"/>
          <w:iCs/>
          <w:sz w:val="22"/>
        </w:rPr>
        <w:t xml:space="preserve">dado que </w:t>
      </w:r>
      <w:r w:rsidRPr="00E810BE" w:rsidR="00BC15DF">
        <w:rPr>
          <w:rFonts w:ascii="Arial" w:hAnsi="Arial" w:eastAsia="Calibri" w:cs="Arial"/>
          <w:iCs/>
          <w:sz w:val="22"/>
        </w:rPr>
        <w:t xml:space="preserve">constituye </w:t>
      </w:r>
      <w:r w:rsidRPr="00E810BE">
        <w:rPr>
          <w:rFonts w:ascii="Arial" w:hAnsi="Arial" w:eastAsia="Calibri" w:cs="Arial"/>
          <w:iCs/>
          <w:sz w:val="22"/>
        </w:rPr>
        <w:t xml:space="preserve">la consecuencia jurídica de la declaratoria de incumplimiento del contrato. Es claro que con ella se penaliza el incumplimiento definitivo del contrato a partir de una estimación anticipada de los perjuicios que </w:t>
      </w:r>
      <w:r w:rsidRPr="00E810BE" w:rsidR="00BC15DF">
        <w:rPr>
          <w:rFonts w:ascii="Arial" w:hAnsi="Arial" w:eastAsia="Calibri" w:cs="Arial"/>
          <w:iCs/>
          <w:sz w:val="22"/>
        </w:rPr>
        <w:t>se ocasionen a</w:t>
      </w:r>
      <w:r w:rsidRPr="00E810BE" w:rsidR="00674D2F">
        <w:rPr>
          <w:rFonts w:ascii="Arial" w:hAnsi="Arial" w:eastAsia="Calibri" w:cs="Arial"/>
          <w:iCs/>
          <w:sz w:val="22"/>
        </w:rPr>
        <w:t xml:space="preserve"> </w:t>
      </w:r>
      <w:r w:rsidRPr="00E810BE" w:rsidR="00BC15DF">
        <w:rPr>
          <w:rFonts w:ascii="Arial" w:hAnsi="Arial" w:eastAsia="Calibri" w:cs="Arial"/>
          <w:iCs/>
          <w:sz w:val="22"/>
        </w:rPr>
        <w:t>l</w:t>
      </w:r>
      <w:r w:rsidRPr="00E810BE" w:rsidR="00674D2F">
        <w:rPr>
          <w:rFonts w:ascii="Arial" w:hAnsi="Arial" w:eastAsia="Calibri" w:cs="Arial"/>
          <w:iCs/>
          <w:sz w:val="22"/>
        </w:rPr>
        <w:t>a entidad</w:t>
      </w:r>
      <w:r w:rsidRPr="00E810BE">
        <w:rPr>
          <w:rFonts w:ascii="Arial" w:hAnsi="Arial" w:eastAsia="Calibri" w:cs="Arial"/>
          <w:iCs/>
          <w:sz w:val="22"/>
        </w:rPr>
        <w:t xml:space="preserve"> contratante. </w:t>
      </w:r>
      <w:r w:rsidRPr="00E810BE" w:rsidR="0079338B">
        <w:rPr>
          <w:rFonts w:ascii="Arial" w:hAnsi="Arial" w:eastAsia="Calibri" w:cs="Arial"/>
          <w:iCs/>
          <w:sz w:val="22"/>
        </w:rPr>
        <w:t>Por ello,</w:t>
      </w:r>
      <w:r w:rsidRPr="00E810BE" w:rsidR="00B041D2">
        <w:rPr>
          <w:rFonts w:ascii="Arial" w:hAnsi="Arial" w:eastAsia="Calibri" w:cs="Arial"/>
          <w:iCs/>
          <w:sz w:val="22"/>
        </w:rPr>
        <w:t xml:space="preserve"> conforme a lo previsto en el artículo 1599 del Código Civil,</w:t>
      </w:r>
      <w:r w:rsidRPr="00E810BE" w:rsidR="0079338B">
        <w:rPr>
          <w:rFonts w:ascii="Arial" w:hAnsi="Arial" w:eastAsia="Calibri" w:cs="Arial"/>
          <w:iCs/>
          <w:sz w:val="22"/>
        </w:rPr>
        <w:t xml:space="preserve"> la </w:t>
      </w:r>
      <w:r w:rsidRPr="00E810BE" w:rsidR="00B041D2">
        <w:rPr>
          <w:rFonts w:ascii="Arial" w:hAnsi="Arial" w:eastAsia="Calibri" w:cs="Arial"/>
          <w:iCs/>
          <w:sz w:val="22"/>
        </w:rPr>
        <w:t>doctrina también sostiene que «[…] Igualmente, aun en el caso de constituir una estimación anticipada de los perjuicios, en la medida que el acreedor se releva de la obligación de demostrar los perjuicios que le fueron causados, también se vislumbra su carácter sancionatorio»</w:t>
      </w:r>
      <w:r w:rsidRPr="00E810BE" w:rsidR="00B041D2">
        <w:rPr>
          <w:rStyle w:val="Refdenotaalpie"/>
          <w:rFonts w:ascii="Arial" w:hAnsi="Arial" w:eastAsia="Calibri" w:cs="Arial"/>
          <w:iCs/>
          <w:sz w:val="22"/>
        </w:rPr>
        <w:footnoteReference w:id="24"/>
      </w:r>
      <w:r w:rsidRPr="00E810BE" w:rsidR="00B041D2">
        <w:rPr>
          <w:rFonts w:ascii="Arial" w:hAnsi="Arial" w:eastAsia="Calibri" w:cs="Arial"/>
          <w:iCs/>
          <w:sz w:val="22"/>
        </w:rPr>
        <w:t>.</w:t>
      </w:r>
    </w:p>
    <w:p w:rsidRPr="00E810BE" w:rsidR="004A02A7" w:rsidP="00773509" w:rsidRDefault="00C14692" w14:paraId="202D3307" w14:textId="79F334F0">
      <w:pPr>
        <w:spacing w:after="120" w:line="276" w:lineRule="auto"/>
        <w:ind w:firstLine="708"/>
        <w:jc w:val="both"/>
        <w:rPr>
          <w:rFonts w:ascii="Arial" w:hAnsi="Arial" w:eastAsia="Calibri" w:cs="Arial"/>
          <w:iCs/>
          <w:sz w:val="22"/>
        </w:rPr>
      </w:pPr>
      <w:r w:rsidRPr="00E810BE">
        <w:rPr>
          <w:rFonts w:ascii="Arial" w:hAnsi="Arial" w:eastAsia="Calibri" w:cs="Arial"/>
          <w:iCs/>
          <w:sz w:val="22"/>
        </w:rPr>
        <w:t>Esta naturaleza se infiere del artículo 86 de la Ley 1474 de 2011</w:t>
      </w:r>
      <w:r w:rsidRPr="00E810BE" w:rsidR="00773509">
        <w:rPr>
          <w:rFonts w:ascii="Arial" w:hAnsi="Arial" w:eastAsia="Calibri" w:cs="Arial"/>
          <w:iCs/>
          <w:sz w:val="22"/>
        </w:rPr>
        <w:t xml:space="preserve">, pues dispone que «Las entidades sometidas al Estatuto General de Contratación de la Administración Pública podrán declarar el incumplimiento, cuantificando los perjuicios </w:t>
      </w:r>
      <w:proofErr w:type="gramStart"/>
      <w:r w:rsidRPr="00E810BE" w:rsidR="00773509">
        <w:rPr>
          <w:rFonts w:ascii="Arial" w:hAnsi="Arial" w:eastAsia="Calibri" w:cs="Arial"/>
          <w:iCs/>
          <w:sz w:val="22"/>
        </w:rPr>
        <w:t>del mismo</w:t>
      </w:r>
      <w:proofErr w:type="gramEnd"/>
      <w:r w:rsidRPr="00E810BE" w:rsidR="00773509">
        <w:rPr>
          <w:rFonts w:ascii="Arial" w:hAnsi="Arial" w:eastAsia="Calibri" w:cs="Arial"/>
          <w:iCs/>
          <w:sz w:val="22"/>
        </w:rPr>
        <w:t>, imponer las multas y sanciones pactadas en el contrato, y hacer efectiva la cláusula penal […]»</w:t>
      </w:r>
      <w:r w:rsidRPr="00E810BE" w:rsidR="00356146">
        <w:rPr>
          <w:rFonts w:ascii="Arial" w:hAnsi="Arial" w:eastAsia="Calibri" w:cs="Arial"/>
          <w:iCs/>
          <w:sz w:val="22"/>
        </w:rPr>
        <w:t xml:space="preserve">, la cual se desprende </w:t>
      </w:r>
      <w:r w:rsidRPr="00E810BE" w:rsidR="00F01BA0">
        <w:rPr>
          <w:rFonts w:ascii="Arial" w:hAnsi="Arial" w:eastAsia="Calibri" w:cs="Arial"/>
          <w:iCs/>
          <w:sz w:val="22"/>
        </w:rPr>
        <w:t xml:space="preserve">también </w:t>
      </w:r>
      <w:r w:rsidRPr="00E810BE" w:rsidR="00356146">
        <w:rPr>
          <w:rFonts w:ascii="Arial" w:hAnsi="Arial" w:eastAsia="Calibri" w:cs="Arial"/>
          <w:iCs/>
          <w:sz w:val="22"/>
        </w:rPr>
        <w:t xml:space="preserve">del artículo 90 </w:t>
      </w:r>
      <w:r w:rsidRPr="00E810BE" w:rsidR="00356146">
        <w:rPr>
          <w:rFonts w:ascii="Arial" w:hAnsi="Arial" w:eastAsia="Calibri" w:cs="Arial"/>
          <w:i/>
          <w:sz w:val="22"/>
        </w:rPr>
        <w:t>ibidem</w:t>
      </w:r>
      <w:r w:rsidRPr="00E810BE" w:rsidR="00356146">
        <w:rPr>
          <w:rFonts w:ascii="Arial" w:hAnsi="Arial" w:eastAsia="Calibri" w:cs="Arial"/>
          <w:iCs/>
          <w:sz w:val="22"/>
        </w:rPr>
        <w:t xml:space="preserve"> cuando el incumplimiento reiterado se asocia a una inhabilidad para celebrar contratos</w:t>
      </w:r>
      <w:r w:rsidRPr="00E810BE" w:rsidR="00773509">
        <w:rPr>
          <w:rFonts w:ascii="Arial" w:hAnsi="Arial" w:eastAsia="Calibri" w:cs="Arial"/>
          <w:iCs/>
          <w:sz w:val="22"/>
        </w:rPr>
        <w:t xml:space="preserve">. </w:t>
      </w:r>
      <w:r w:rsidRPr="00E810BE" w:rsidR="00674D2F">
        <w:rPr>
          <w:rFonts w:ascii="Arial" w:hAnsi="Arial" w:eastAsia="Calibri" w:cs="Arial"/>
          <w:iCs/>
          <w:sz w:val="22"/>
        </w:rPr>
        <w:t>Por tanto</w:t>
      </w:r>
      <w:r w:rsidRPr="00E810BE" w:rsidR="00863622">
        <w:rPr>
          <w:rFonts w:ascii="Arial" w:hAnsi="Arial" w:eastAsia="Calibri" w:cs="Arial"/>
          <w:iCs/>
          <w:sz w:val="22"/>
        </w:rPr>
        <w:t xml:space="preserve">, conforme </w:t>
      </w:r>
      <w:r w:rsidRPr="00E810BE" w:rsidR="00674D2F">
        <w:rPr>
          <w:rFonts w:ascii="Arial" w:hAnsi="Arial" w:eastAsia="Calibri" w:cs="Arial"/>
          <w:iCs/>
          <w:sz w:val="22"/>
        </w:rPr>
        <w:t>a</w:t>
      </w:r>
      <w:r w:rsidRPr="00E810BE" w:rsidR="00863622">
        <w:rPr>
          <w:rFonts w:ascii="Arial" w:hAnsi="Arial" w:eastAsia="Calibri" w:cs="Arial"/>
          <w:iCs/>
          <w:sz w:val="22"/>
        </w:rPr>
        <w:t xml:space="preserve">l artículo 17 de la Ley 1150 de 2007 y la jurisprudencia del Consejo de Estado, </w:t>
      </w:r>
      <w:r w:rsidRPr="00E810BE" w:rsidR="00674D2F">
        <w:rPr>
          <w:rFonts w:ascii="Arial" w:hAnsi="Arial" w:eastAsia="Calibri" w:cs="Arial"/>
          <w:iCs/>
          <w:sz w:val="22"/>
        </w:rPr>
        <w:t>dado que la imposición unilateral de la cláusula penal pecuniaria tiene carácter sancionador</w:t>
      </w:r>
      <w:r w:rsidRPr="00E810BE">
        <w:rPr>
          <w:rFonts w:ascii="Arial" w:hAnsi="Arial" w:eastAsia="Calibri" w:cs="Arial"/>
          <w:iCs/>
          <w:sz w:val="22"/>
        </w:rPr>
        <w:t>,</w:t>
      </w:r>
      <w:r w:rsidRPr="00E810BE" w:rsidR="00863622">
        <w:rPr>
          <w:rFonts w:ascii="Arial" w:hAnsi="Arial" w:eastAsia="Calibri" w:cs="Arial"/>
          <w:iCs/>
          <w:sz w:val="22"/>
        </w:rPr>
        <w:t xml:space="preserve"> el </w:t>
      </w:r>
      <w:r w:rsidRPr="00E810BE">
        <w:rPr>
          <w:rFonts w:ascii="Arial" w:hAnsi="Arial" w:eastAsia="Calibri" w:cs="Arial"/>
          <w:iCs/>
          <w:sz w:val="22"/>
        </w:rPr>
        <w:t>acto administrativo que la declara también debe reportarse a la cámara de comercio de acuerdo con</w:t>
      </w:r>
      <w:r w:rsidRPr="00E810BE" w:rsidR="00863622">
        <w:rPr>
          <w:rFonts w:ascii="Arial" w:hAnsi="Arial" w:eastAsia="Calibri" w:cs="Arial"/>
          <w:iCs/>
          <w:sz w:val="22"/>
        </w:rPr>
        <w:t xml:space="preserve"> el </w:t>
      </w:r>
      <w:r w:rsidRPr="00E810BE">
        <w:rPr>
          <w:rFonts w:ascii="Arial" w:hAnsi="Arial" w:eastAsia="Calibri" w:cs="Arial"/>
          <w:iCs/>
          <w:sz w:val="22"/>
        </w:rPr>
        <w:t xml:space="preserve">artículo </w:t>
      </w:r>
      <w:r w:rsidRPr="00E810BE" w:rsidR="00863622">
        <w:rPr>
          <w:rFonts w:ascii="Arial" w:hAnsi="Arial" w:eastAsia="Calibri" w:cs="Arial"/>
          <w:iCs/>
          <w:sz w:val="22"/>
        </w:rPr>
        <w:t xml:space="preserve">6.2 de la Ley 1150 de 2007. </w:t>
      </w:r>
    </w:p>
    <w:p w:rsidRPr="00E810BE" w:rsidR="00167E06" w:rsidP="00221AB6" w:rsidRDefault="00643E95" w14:paraId="6A8E6A46" w14:textId="095ED2C7">
      <w:pPr>
        <w:spacing w:line="276" w:lineRule="auto"/>
        <w:ind w:firstLine="708"/>
        <w:jc w:val="both"/>
        <w:rPr>
          <w:rFonts w:ascii="Arial" w:hAnsi="Arial" w:eastAsia="Calibri" w:cs="Arial"/>
          <w:iCs/>
          <w:sz w:val="22"/>
        </w:rPr>
      </w:pPr>
      <w:r w:rsidRPr="00E810BE">
        <w:rPr>
          <w:rFonts w:ascii="Arial" w:hAnsi="Arial" w:eastAsia="Calibri" w:cs="Arial"/>
          <w:iCs/>
          <w:sz w:val="22"/>
        </w:rPr>
        <w:t xml:space="preserve">En </w:t>
      </w:r>
      <w:r w:rsidRPr="00E810BE" w:rsidR="00C900EE">
        <w:rPr>
          <w:rFonts w:ascii="Arial" w:hAnsi="Arial" w:eastAsia="Calibri" w:cs="Arial"/>
          <w:iCs/>
          <w:sz w:val="22"/>
        </w:rPr>
        <w:t>este punto</w:t>
      </w:r>
      <w:r w:rsidRPr="00E810BE" w:rsidR="00E10363">
        <w:rPr>
          <w:rFonts w:ascii="Arial" w:hAnsi="Arial" w:eastAsia="Calibri" w:cs="Arial"/>
          <w:iCs/>
          <w:sz w:val="22"/>
        </w:rPr>
        <w:t xml:space="preserve">, se estima pertinente </w:t>
      </w:r>
      <w:r w:rsidRPr="00E810BE" w:rsidR="00C900EE">
        <w:rPr>
          <w:rFonts w:ascii="Arial" w:hAnsi="Arial" w:eastAsia="Calibri" w:cs="Arial"/>
          <w:iCs/>
          <w:sz w:val="22"/>
        </w:rPr>
        <w:t xml:space="preserve">indicar que la norma anteriormente citada </w:t>
      </w:r>
      <w:r w:rsidRPr="00E810BE" w:rsidR="00C45685">
        <w:rPr>
          <w:rFonts w:ascii="Arial" w:hAnsi="Arial" w:eastAsia="Calibri" w:cs="Arial"/>
          <w:iCs/>
          <w:sz w:val="22"/>
        </w:rPr>
        <w:t xml:space="preserve">consagró </w:t>
      </w:r>
      <w:r w:rsidRPr="00E810BE" w:rsidR="00221AB6">
        <w:rPr>
          <w:rFonts w:ascii="Arial" w:hAnsi="Arial" w:eastAsia="Calibri" w:cs="Arial"/>
          <w:iCs/>
          <w:sz w:val="22"/>
        </w:rPr>
        <w:t>una</w:t>
      </w:r>
      <w:r w:rsidRPr="00E810BE" w:rsidR="00C45685">
        <w:rPr>
          <w:rFonts w:ascii="Arial" w:hAnsi="Arial" w:eastAsia="Calibri" w:cs="Arial"/>
          <w:iCs/>
          <w:sz w:val="22"/>
        </w:rPr>
        <w:t xml:space="preserve"> atribución reglamentaria</w:t>
      </w:r>
      <w:r w:rsidRPr="00E810BE" w:rsidR="00221AB6">
        <w:rPr>
          <w:rFonts w:ascii="Arial" w:hAnsi="Arial" w:eastAsia="Calibri" w:cs="Arial"/>
          <w:iCs/>
          <w:sz w:val="22"/>
        </w:rPr>
        <w:t xml:space="preserve"> sobre el tema</w:t>
      </w:r>
      <w:r w:rsidRPr="00E810BE" w:rsidR="00C900EE">
        <w:rPr>
          <w:rFonts w:ascii="Arial" w:hAnsi="Arial" w:eastAsia="Calibri" w:cs="Arial"/>
          <w:iCs/>
          <w:sz w:val="22"/>
        </w:rPr>
        <w:t>. Para</w:t>
      </w:r>
      <w:r w:rsidRPr="00E810BE" w:rsidR="00221AB6">
        <w:rPr>
          <w:rFonts w:ascii="Arial" w:hAnsi="Arial" w:eastAsia="Calibri" w:cs="Arial"/>
          <w:iCs/>
          <w:sz w:val="22"/>
        </w:rPr>
        <w:t xml:space="preserve"> estos</w:t>
      </w:r>
      <w:r w:rsidRPr="00E810BE" w:rsidR="00C900EE">
        <w:rPr>
          <w:rFonts w:ascii="Arial" w:hAnsi="Arial" w:eastAsia="Calibri" w:cs="Arial"/>
          <w:iCs/>
          <w:sz w:val="22"/>
        </w:rPr>
        <w:t xml:space="preserve"> efectos dispuso que</w:t>
      </w:r>
      <w:r w:rsidRPr="00E810BE" w:rsidR="00221AB6">
        <w:rPr>
          <w:rFonts w:ascii="Arial" w:hAnsi="Arial" w:eastAsia="Calibri" w:cs="Arial"/>
          <w:iCs/>
          <w:sz w:val="22"/>
        </w:rPr>
        <w:t xml:space="preserve"> «Las condiciones de remisión de la información y los plazos de permanencia de </w:t>
      </w:r>
      <w:proofErr w:type="gramStart"/>
      <w:r w:rsidRPr="00E810BE" w:rsidR="00221AB6">
        <w:rPr>
          <w:rFonts w:ascii="Arial" w:hAnsi="Arial" w:eastAsia="Calibri" w:cs="Arial"/>
          <w:iCs/>
          <w:sz w:val="22"/>
        </w:rPr>
        <w:t>la misma</w:t>
      </w:r>
      <w:proofErr w:type="gramEnd"/>
      <w:r w:rsidRPr="00E810BE" w:rsidR="00221AB6">
        <w:rPr>
          <w:rFonts w:ascii="Arial" w:hAnsi="Arial" w:eastAsia="Calibri" w:cs="Arial"/>
          <w:iCs/>
          <w:sz w:val="22"/>
        </w:rPr>
        <w:t xml:space="preserve"> en el registro serán señalados por el Gobierno Nacional».</w:t>
      </w:r>
      <w:r w:rsidRPr="00E810BE" w:rsidR="00B61CA3">
        <w:rPr>
          <w:rFonts w:ascii="Arial" w:hAnsi="Arial" w:eastAsia="Calibri" w:cs="Arial"/>
          <w:iCs/>
          <w:sz w:val="22"/>
        </w:rPr>
        <w:t xml:space="preserve"> </w:t>
      </w:r>
      <w:r w:rsidRPr="00E810BE" w:rsidR="00221AB6">
        <w:rPr>
          <w:rFonts w:ascii="Arial" w:hAnsi="Arial" w:eastAsia="Calibri" w:cs="Arial"/>
          <w:iCs/>
          <w:sz w:val="22"/>
        </w:rPr>
        <w:t>Actualmente, este mandato se desarrolla en e</w:t>
      </w:r>
      <w:r w:rsidRPr="00E810BE" w:rsidR="008606A0">
        <w:rPr>
          <w:rFonts w:ascii="Arial" w:hAnsi="Arial" w:eastAsia="Calibri" w:cs="Arial"/>
          <w:iCs/>
          <w:sz w:val="22"/>
        </w:rPr>
        <w:t>l</w:t>
      </w:r>
      <w:r w:rsidRPr="00E810BE" w:rsidR="00221AB6">
        <w:rPr>
          <w:rFonts w:ascii="Arial" w:hAnsi="Arial" w:eastAsia="Calibri" w:cs="Arial"/>
          <w:iCs/>
          <w:sz w:val="22"/>
        </w:rPr>
        <w:t xml:space="preserve"> artículo 14 del</w:t>
      </w:r>
      <w:r w:rsidRPr="00E810BE" w:rsidR="008606A0">
        <w:rPr>
          <w:rFonts w:ascii="Arial" w:hAnsi="Arial" w:eastAsia="Calibri" w:cs="Arial"/>
          <w:iCs/>
          <w:sz w:val="22"/>
        </w:rPr>
        <w:t xml:space="preserve"> Decreto 1510 de </w:t>
      </w:r>
      <w:r w:rsidRPr="00E810BE" w:rsidR="006B1716">
        <w:rPr>
          <w:rFonts w:ascii="Arial" w:hAnsi="Arial" w:eastAsia="Calibri" w:cs="Arial"/>
          <w:iCs/>
          <w:sz w:val="22"/>
        </w:rPr>
        <w:t>17 de julio de 2013</w:t>
      </w:r>
      <w:r w:rsidRPr="00E810BE" w:rsidR="00B91D14">
        <w:rPr>
          <w:rFonts w:ascii="Arial" w:hAnsi="Arial" w:eastAsia="Calibri" w:cs="Arial"/>
          <w:iCs/>
          <w:sz w:val="22"/>
        </w:rPr>
        <w:t xml:space="preserve">, </w:t>
      </w:r>
      <w:r w:rsidRPr="00E810BE" w:rsidR="00221AB6">
        <w:rPr>
          <w:rFonts w:ascii="Arial" w:hAnsi="Arial" w:eastAsia="Calibri" w:cs="Arial"/>
          <w:iCs/>
          <w:sz w:val="22"/>
        </w:rPr>
        <w:t>compilado posteriormente</w:t>
      </w:r>
      <w:r w:rsidRPr="00E810BE" w:rsidR="00167E06">
        <w:rPr>
          <w:rFonts w:ascii="Arial" w:hAnsi="Arial" w:eastAsia="Calibri" w:cs="Arial"/>
          <w:iCs/>
          <w:sz w:val="22"/>
        </w:rPr>
        <w:t xml:space="preserve"> en el artículo 2.2.1.1.1.5.7 del </w:t>
      </w:r>
      <w:r w:rsidRPr="00E810BE" w:rsidR="00845DBE">
        <w:rPr>
          <w:rFonts w:ascii="Arial" w:hAnsi="Arial" w:eastAsia="Calibri" w:cs="Arial"/>
          <w:iCs/>
          <w:sz w:val="22"/>
        </w:rPr>
        <w:t xml:space="preserve">Decreto </w:t>
      </w:r>
      <w:r w:rsidRPr="00E810BE" w:rsidR="00221AB6">
        <w:rPr>
          <w:rFonts w:ascii="Arial" w:hAnsi="Arial" w:eastAsia="Calibri" w:cs="Arial"/>
          <w:iCs/>
          <w:sz w:val="22"/>
        </w:rPr>
        <w:t>1082 de 2015. Este dispone</w:t>
      </w:r>
      <w:r w:rsidRPr="00E810BE" w:rsidR="002B648F">
        <w:rPr>
          <w:rFonts w:ascii="Arial" w:hAnsi="Arial" w:eastAsia="Calibri" w:cs="Arial"/>
          <w:iCs/>
          <w:sz w:val="22"/>
        </w:rPr>
        <w:t xml:space="preserve"> lo siguiente: </w:t>
      </w:r>
    </w:p>
    <w:p w:rsidRPr="00E810BE" w:rsidR="00221AB6" w:rsidP="00BF4B3C" w:rsidRDefault="00221AB6" w14:paraId="2044FB63" w14:textId="77777777">
      <w:pPr>
        <w:spacing w:line="276" w:lineRule="auto"/>
        <w:ind w:firstLine="708"/>
        <w:jc w:val="both"/>
        <w:rPr>
          <w:rFonts w:ascii="Arial" w:hAnsi="Arial" w:eastAsia="Calibri" w:cs="Arial"/>
          <w:iCs/>
          <w:sz w:val="22"/>
        </w:rPr>
      </w:pPr>
    </w:p>
    <w:p w:rsidRPr="00E810BE" w:rsidR="00446A06" w:rsidP="00BF4B3C" w:rsidRDefault="00446A06" w14:paraId="4229962B" w14:textId="15C8E1E7">
      <w:pPr>
        <w:spacing w:after="120"/>
        <w:ind w:left="709" w:right="709"/>
        <w:jc w:val="both"/>
        <w:rPr>
          <w:rFonts w:ascii="Arial" w:hAnsi="Arial" w:cs="Arial"/>
          <w:sz w:val="21"/>
          <w:szCs w:val="21"/>
        </w:rPr>
      </w:pPr>
      <w:r w:rsidRPr="00E810BE">
        <w:rPr>
          <w:rFonts w:ascii="Arial" w:hAnsi="Arial" w:cs="Arial"/>
          <w:sz w:val="21"/>
          <w:szCs w:val="21"/>
        </w:rPr>
        <w:t xml:space="preserve">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Procesos de Contratación en los términos del artículo 6 de la Ley 1150 de 2007. Para el efecto las cámaras de comercio pueden establecer mecanismos electrónicos para recibir la información mencionada. El registro de las sanciones e inhabilidades debe permanecer en el certificado del RUP por el término de la sanción o de la </w:t>
      </w:r>
      <w:r w:rsidRPr="00E810BE">
        <w:rPr>
          <w:rFonts w:ascii="Arial" w:hAnsi="Arial" w:cs="Arial"/>
          <w:sz w:val="21"/>
          <w:szCs w:val="21"/>
        </w:rPr>
        <w:lastRenderedPageBreak/>
        <w:t xml:space="preserve">inhabilidad. La información relativa a multas debe permanecer en el certificado del RUP por un año, contado a partir de la publicación de </w:t>
      </w:r>
      <w:proofErr w:type="gramStart"/>
      <w:r w:rsidRPr="00E810BE">
        <w:rPr>
          <w:rFonts w:ascii="Arial" w:hAnsi="Arial" w:cs="Arial"/>
          <w:sz w:val="21"/>
          <w:szCs w:val="21"/>
        </w:rPr>
        <w:t>la misma</w:t>
      </w:r>
      <w:proofErr w:type="gramEnd"/>
      <w:r w:rsidRPr="00E810BE">
        <w:rPr>
          <w:rFonts w:ascii="Arial" w:hAnsi="Arial" w:cs="Arial"/>
          <w:sz w:val="21"/>
          <w:szCs w:val="21"/>
        </w:rPr>
        <w:t>.</w:t>
      </w:r>
    </w:p>
    <w:p w:rsidRPr="00E810BE" w:rsidR="007C284B" w:rsidP="00446A06" w:rsidRDefault="00446A06" w14:paraId="12086858" w14:textId="4D2BAF6D">
      <w:pPr>
        <w:ind w:left="709" w:right="709"/>
        <w:jc w:val="both"/>
        <w:rPr>
          <w:rFonts w:ascii="Arial" w:hAnsi="Arial" w:cs="Arial"/>
          <w:sz w:val="21"/>
          <w:szCs w:val="21"/>
        </w:rPr>
      </w:pPr>
      <w:r w:rsidRPr="00E810BE">
        <w:rPr>
          <w:rFonts w:ascii="Arial" w:hAnsi="Arial" w:cs="Arial"/>
          <w:sz w:val="21"/>
          <w:szCs w:val="21"/>
        </w:rPr>
        <w:t>Las cámaras de comercio deben tener un mecanismo de interoperabilidad con el SECOP para el registro de la información de que trata el presente artículo.</w:t>
      </w:r>
    </w:p>
    <w:p w:rsidRPr="00E810BE" w:rsidR="002B648F" w:rsidP="00BF4B3C" w:rsidRDefault="002B648F" w14:paraId="25AAFC8C" w14:textId="77777777">
      <w:pPr>
        <w:spacing w:line="276" w:lineRule="auto"/>
        <w:ind w:firstLine="708"/>
        <w:jc w:val="both"/>
        <w:rPr>
          <w:rFonts w:ascii="Arial" w:hAnsi="Arial" w:eastAsia="Calibri" w:cs="Arial"/>
          <w:iCs/>
          <w:sz w:val="22"/>
        </w:rPr>
      </w:pPr>
    </w:p>
    <w:p w:rsidRPr="00E810BE" w:rsidR="00641353" w:rsidP="00641353" w:rsidRDefault="007B7048" w14:paraId="03A771D1" w14:textId="73687316">
      <w:pPr>
        <w:spacing w:after="120" w:line="276" w:lineRule="auto"/>
        <w:ind w:firstLine="708"/>
        <w:jc w:val="both"/>
        <w:rPr>
          <w:rFonts w:ascii="Arial" w:hAnsi="Arial" w:eastAsia="Calibri" w:cs="Arial"/>
          <w:iCs/>
          <w:sz w:val="22"/>
        </w:rPr>
      </w:pPr>
      <w:r w:rsidRPr="00E810BE">
        <w:rPr>
          <w:rFonts w:ascii="Arial" w:hAnsi="Arial" w:eastAsia="Calibri" w:cs="Arial"/>
          <w:iCs/>
          <w:sz w:val="22"/>
        </w:rPr>
        <w:t>La norma</w:t>
      </w:r>
      <w:r w:rsidRPr="00E810BE" w:rsidR="00D10BD9">
        <w:rPr>
          <w:rFonts w:ascii="Arial" w:hAnsi="Arial" w:eastAsia="Calibri" w:cs="Arial"/>
          <w:iCs/>
          <w:sz w:val="22"/>
        </w:rPr>
        <w:t xml:space="preserve"> </w:t>
      </w:r>
      <w:r w:rsidRPr="00E810BE" w:rsidR="007A05D3">
        <w:rPr>
          <w:rFonts w:ascii="Arial" w:hAnsi="Arial" w:eastAsia="Calibri" w:cs="Arial"/>
          <w:iCs/>
          <w:sz w:val="22"/>
        </w:rPr>
        <w:t>precisa los</w:t>
      </w:r>
      <w:r w:rsidRPr="00E810BE" w:rsidR="00D10BD9">
        <w:rPr>
          <w:rFonts w:ascii="Arial" w:hAnsi="Arial" w:eastAsia="Calibri" w:cs="Arial"/>
          <w:iCs/>
          <w:sz w:val="22"/>
        </w:rPr>
        <w:t xml:space="preserve"> elementos</w:t>
      </w:r>
      <w:r w:rsidRPr="00E810BE" w:rsidR="00E7305A">
        <w:rPr>
          <w:rFonts w:ascii="Arial" w:hAnsi="Arial" w:eastAsia="Calibri" w:cs="Arial"/>
          <w:iCs/>
          <w:sz w:val="22"/>
        </w:rPr>
        <w:t xml:space="preserve"> </w:t>
      </w:r>
      <w:r w:rsidRPr="00E810BE" w:rsidR="00D10BD9">
        <w:rPr>
          <w:rFonts w:ascii="Arial" w:hAnsi="Arial" w:eastAsia="Calibri" w:cs="Arial"/>
          <w:iCs/>
          <w:sz w:val="22"/>
        </w:rPr>
        <w:t xml:space="preserve">para </w:t>
      </w:r>
      <w:r w:rsidRPr="00E810BE" w:rsidR="00D70B72">
        <w:rPr>
          <w:rFonts w:ascii="Arial" w:hAnsi="Arial" w:eastAsia="Calibri" w:cs="Arial"/>
          <w:iCs/>
          <w:sz w:val="22"/>
        </w:rPr>
        <w:t>cumpli</w:t>
      </w:r>
      <w:r w:rsidRPr="00E810BE" w:rsidR="007A05D3">
        <w:rPr>
          <w:rFonts w:ascii="Arial" w:hAnsi="Arial" w:eastAsia="Calibri" w:cs="Arial"/>
          <w:iCs/>
          <w:sz w:val="22"/>
        </w:rPr>
        <w:t>r</w:t>
      </w:r>
      <w:r w:rsidRPr="00E810BE" w:rsidR="00D70B72">
        <w:rPr>
          <w:rFonts w:ascii="Arial" w:hAnsi="Arial" w:eastAsia="Calibri" w:cs="Arial"/>
          <w:iCs/>
          <w:sz w:val="22"/>
        </w:rPr>
        <w:t xml:space="preserve"> </w:t>
      </w:r>
      <w:r w:rsidRPr="00E810BE" w:rsidR="007A05D3">
        <w:rPr>
          <w:rFonts w:ascii="Arial" w:hAnsi="Arial" w:eastAsia="Calibri" w:cs="Arial"/>
          <w:iCs/>
          <w:sz w:val="22"/>
        </w:rPr>
        <w:t xml:space="preserve">con </w:t>
      </w:r>
      <w:r w:rsidRPr="00E810BE" w:rsidR="00D70B72">
        <w:rPr>
          <w:rFonts w:ascii="Arial" w:hAnsi="Arial" w:eastAsia="Calibri" w:cs="Arial"/>
          <w:iCs/>
          <w:sz w:val="22"/>
        </w:rPr>
        <w:t>el artículo 6.2. de la Ley 1150 de 2007</w:t>
      </w:r>
      <w:r w:rsidRPr="00E810BE" w:rsidR="009B025D">
        <w:rPr>
          <w:rFonts w:ascii="Arial" w:hAnsi="Arial" w:eastAsia="Calibri" w:cs="Arial"/>
          <w:iCs/>
          <w:sz w:val="22"/>
        </w:rPr>
        <w:t>,</w:t>
      </w:r>
      <w:r w:rsidRPr="00E810BE" w:rsidR="00D70B72">
        <w:rPr>
          <w:rFonts w:ascii="Arial" w:hAnsi="Arial" w:eastAsia="Calibri" w:cs="Arial"/>
          <w:iCs/>
          <w:sz w:val="22"/>
        </w:rPr>
        <w:t xml:space="preserve"> </w:t>
      </w:r>
      <w:r w:rsidRPr="00E810BE" w:rsidR="007A05D3">
        <w:rPr>
          <w:rFonts w:ascii="Arial" w:hAnsi="Arial" w:eastAsia="Calibri" w:cs="Arial"/>
          <w:iCs/>
          <w:sz w:val="22"/>
        </w:rPr>
        <w:t>los cuales se concretan en los siguientes tres (3) puntos</w:t>
      </w:r>
      <w:r w:rsidRPr="00E810BE" w:rsidR="00D70B72">
        <w:rPr>
          <w:rFonts w:ascii="Arial" w:hAnsi="Arial" w:eastAsia="Calibri" w:cs="Arial"/>
          <w:iCs/>
          <w:sz w:val="22"/>
        </w:rPr>
        <w:t xml:space="preserve">: i) </w:t>
      </w:r>
      <w:r w:rsidRPr="00E810BE" w:rsidR="00C90B50">
        <w:rPr>
          <w:rFonts w:ascii="Arial" w:hAnsi="Arial" w:eastAsia="Calibri" w:cs="Arial"/>
          <w:i/>
          <w:sz w:val="22"/>
        </w:rPr>
        <w:t>reporte</w:t>
      </w:r>
      <w:r w:rsidRPr="00E810BE" w:rsidR="00C90B50">
        <w:rPr>
          <w:rFonts w:ascii="Arial" w:hAnsi="Arial" w:eastAsia="Calibri" w:cs="Arial"/>
          <w:iCs/>
          <w:sz w:val="22"/>
        </w:rPr>
        <w:t xml:space="preserve"> de las multas y sanciones por parte de la</w:t>
      </w:r>
      <w:r w:rsidRPr="00E810BE" w:rsidR="00E7305A">
        <w:rPr>
          <w:rFonts w:ascii="Arial" w:hAnsi="Arial" w:eastAsia="Calibri" w:cs="Arial"/>
          <w:iCs/>
          <w:sz w:val="22"/>
        </w:rPr>
        <w:t xml:space="preserve">s </w:t>
      </w:r>
      <w:r w:rsidRPr="00E810BE" w:rsidR="007A05D3">
        <w:rPr>
          <w:rFonts w:ascii="Arial" w:hAnsi="Arial" w:eastAsia="Calibri" w:cs="Arial"/>
          <w:iCs/>
          <w:sz w:val="22"/>
        </w:rPr>
        <w:t>entidades estatales,</w:t>
      </w:r>
      <w:r w:rsidRPr="00E810BE" w:rsidR="00E7305A">
        <w:rPr>
          <w:rFonts w:ascii="Arial" w:hAnsi="Arial" w:eastAsia="Calibri" w:cs="Arial"/>
          <w:iCs/>
          <w:sz w:val="22"/>
        </w:rPr>
        <w:t xml:space="preserve"> </w:t>
      </w:r>
      <w:proofErr w:type="spellStart"/>
      <w:r w:rsidRPr="00E810BE" w:rsidR="00E7305A">
        <w:rPr>
          <w:rFonts w:ascii="Arial" w:hAnsi="Arial" w:eastAsia="Calibri" w:cs="Arial"/>
          <w:iCs/>
          <w:sz w:val="22"/>
        </w:rPr>
        <w:t>ii</w:t>
      </w:r>
      <w:proofErr w:type="spellEnd"/>
      <w:r w:rsidRPr="00E810BE" w:rsidR="00E7305A">
        <w:rPr>
          <w:rFonts w:ascii="Arial" w:hAnsi="Arial" w:eastAsia="Calibri" w:cs="Arial"/>
          <w:iCs/>
          <w:sz w:val="22"/>
        </w:rPr>
        <w:t xml:space="preserve">) </w:t>
      </w:r>
      <w:r w:rsidRPr="00E810BE" w:rsidR="00E7305A">
        <w:rPr>
          <w:rFonts w:ascii="Arial" w:hAnsi="Arial" w:eastAsia="Calibri" w:cs="Arial"/>
          <w:i/>
          <w:sz w:val="22"/>
        </w:rPr>
        <w:t>registro</w:t>
      </w:r>
      <w:r w:rsidRPr="00E810BE" w:rsidR="00E7305A">
        <w:rPr>
          <w:rFonts w:ascii="Arial" w:hAnsi="Arial" w:eastAsia="Calibri" w:cs="Arial"/>
          <w:iCs/>
          <w:sz w:val="22"/>
        </w:rPr>
        <w:t xml:space="preserve"> de las multas y sanciones</w:t>
      </w:r>
      <w:r w:rsidRPr="00E810BE" w:rsidR="009B025D">
        <w:rPr>
          <w:rFonts w:ascii="Arial" w:hAnsi="Arial" w:eastAsia="Calibri" w:cs="Arial"/>
          <w:iCs/>
          <w:sz w:val="22"/>
        </w:rPr>
        <w:t xml:space="preserve"> en el RUP</w:t>
      </w:r>
      <w:r w:rsidRPr="00E810BE" w:rsidR="00E7305A">
        <w:rPr>
          <w:rFonts w:ascii="Arial" w:hAnsi="Arial" w:eastAsia="Calibri" w:cs="Arial"/>
          <w:iCs/>
          <w:sz w:val="22"/>
        </w:rPr>
        <w:t xml:space="preserve"> por parte de las Cámaras de Comercio</w:t>
      </w:r>
      <w:r w:rsidRPr="00E810BE" w:rsidR="007A05D3">
        <w:rPr>
          <w:rFonts w:ascii="Arial" w:hAnsi="Arial" w:eastAsia="Calibri" w:cs="Arial"/>
          <w:iCs/>
          <w:sz w:val="22"/>
        </w:rPr>
        <w:t xml:space="preserve"> y</w:t>
      </w:r>
      <w:r w:rsidRPr="00E810BE" w:rsidR="00E7305A">
        <w:rPr>
          <w:rFonts w:ascii="Arial" w:hAnsi="Arial" w:eastAsia="Calibri" w:cs="Arial"/>
          <w:iCs/>
          <w:sz w:val="22"/>
        </w:rPr>
        <w:t xml:space="preserve"> </w:t>
      </w:r>
      <w:proofErr w:type="spellStart"/>
      <w:r w:rsidRPr="00E810BE" w:rsidR="009B025D">
        <w:rPr>
          <w:rFonts w:ascii="Arial" w:hAnsi="Arial" w:eastAsia="Calibri" w:cs="Arial"/>
          <w:iCs/>
          <w:sz w:val="22"/>
        </w:rPr>
        <w:t>iii</w:t>
      </w:r>
      <w:proofErr w:type="spellEnd"/>
      <w:r w:rsidRPr="00E810BE" w:rsidR="009B025D">
        <w:rPr>
          <w:rFonts w:ascii="Arial" w:hAnsi="Arial" w:eastAsia="Calibri" w:cs="Arial"/>
          <w:iCs/>
          <w:sz w:val="22"/>
        </w:rPr>
        <w:t xml:space="preserve">) </w:t>
      </w:r>
      <w:r w:rsidRPr="00E810BE" w:rsidR="0008187E">
        <w:rPr>
          <w:rFonts w:ascii="Arial" w:hAnsi="Arial" w:eastAsia="Calibri" w:cs="Arial"/>
          <w:i/>
          <w:sz w:val="22"/>
        </w:rPr>
        <w:t>término de</w:t>
      </w:r>
      <w:r w:rsidRPr="00E810BE" w:rsidR="00ED3AB5">
        <w:rPr>
          <w:rFonts w:ascii="Arial" w:hAnsi="Arial" w:eastAsia="Calibri" w:cs="Arial"/>
          <w:i/>
          <w:sz w:val="22"/>
        </w:rPr>
        <w:t xml:space="preserve"> permanencia</w:t>
      </w:r>
      <w:r w:rsidRPr="00E810BE" w:rsidR="0008187E">
        <w:rPr>
          <w:rFonts w:ascii="Arial" w:hAnsi="Arial" w:eastAsia="Calibri" w:cs="Arial"/>
          <w:i/>
          <w:sz w:val="22"/>
        </w:rPr>
        <w:t xml:space="preserve"> </w:t>
      </w:r>
      <w:r w:rsidRPr="00E810BE" w:rsidR="009A1173">
        <w:rPr>
          <w:rFonts w:ascii="Arial" w:hAnsi="Arial" w:eastAsia="Calibri" w:cs="Arial"/>
          <w:iCs/>
          <w:sz w:val="22"/>
        </w:rPr>
        <w:t xml:space="preserve">de las anotaciones en el </w:t>
      </w:r>
      <w:r w:rsidRPr="00E810BE" w:rsidR="0008187E">
        <w:rPr>
          <w:rFonts w:ascii="Arial" w:hAnsi="Arial" w:eastAsia="Calibri" w:cs="Arial"/>
          <w:iCs/>
          <w:sz w:val="22"/>
        </w:rPr>
        <w:t xml:space="preserve">registro. En relación con el </w:t>
      </w:r>
      <w:r w:rsidRPr="00E810BE" w:rsidR="0008187E">
        <w:rPr>
          <w:rFonts w:ascii="Arial" w:hAnsi="Arial" w:eastAsia="Calibri" w:cs="Arial"/>
          <w:i/>
          <w:sz w:val="22"/>
        </w:rPr>
        <w:t>r</w:t>
      </w:r>
      <w:r w:rsidRPr="00E810BE" w:rsidR="00641353">
        <w:rPr>
          <w:rFonts w:ascii="Arial" w:hAnsi="Arial" w:eastAsia="Calibri" w:cs="Arial"/>
          <w:i/>
          <w:sz w:val="22"/>
        </w:rPr>
        <w:t>eporte</w:t>
      </w:r>
      <w:r w:rsidRPr="00E810BE" w:rsidR="0008187E">
        <w:rPr>
          <w:rFonts w:ascii="Arial" w:hAnsi="Arial" w:eastAsia="Calibri" w:cs="Arial"/>
          <w:iCs/>
          <w:sz w:val="22"/>
        </w:rPr>
        <w:t xml:space="preserve">, la norma </w:t>
      </w:r>
      <w:r w:rsidRPr="00E810BE" w:rsidR="00720FED">
        <w:rPr>
          <w:rFonts w:ascii="Arial" w:hAnsi="Arial" w:eastAsia="Calibri" w:cs="Arial"/>
          <w:iCs/>
          <w:sz w:val="22"/>
        </w:rPr>
        <w:t xml:space="preserve">impone la obligación a las entidades </w:t>
      </w:r>
      <w:r w:rsidRPr="00E810BE" w:rsidR="00641353">
        <w:rPr>
          <w:rFonts w:ascii="Arial" w:hAnsi="Arial" w:eastAsia="Calibri" w:cs="Arial"/>
          <w:iCs/>
          <w:sz w:val="22"/>
        </w:rPr>
        <w:t>estatales</w:t>
      </w:r>
      <w:r w:rsidRPr="00E810BE" w:rsidR="00720FED">
        <w:rPr>
          <w:rFonts w:ascii="Arial" w:hAnsi="Arial" w:eastAsia="Calibri" w:cs="Arial"/>
          <w:iCs/>
          <w:sz w:val="22"/>
        </w:rPr>
        <w:t xml:space="preserve"> </w:t>
      </w:r>
      <w:r w:rsidRPr="00E810BE" w:rsidR="007B5FDE">
        <w:rPr>
          <w:rFonts w:ascii="Arial" w:hAnsi="Arial" w:eastAsia="Calibri" w:cs="Arial"/>
          <w:iCs/>
          <w:sz w:val="22"/>
        </w:rPr>
        <w:t xml:space="preserve">de enviar mensualmente a las cámaras de comercio del lugar de su domicilio, copia de los actos administrativos en firme que impusieron </w:t>
      </w:r>
      <w:r w:rsidRPr="00E810BE" w:rsidR="001C1D16">
        <w:rPr>
          <w:rFonts w:ascii="Arial" w:hAnsi="Arial" w:eastAsia="Calibri" w:cs="Arial"/>
          <w:iCs/>
          <w:sz w:val="22"/>
        </w:rPr>
        <w:t>m</w:t>
      </w:r>
      <w:r w:rsidRPr="00E810BE" w:rsidR="007B5FDE">
        <w:rPr>
          <w:rFonts w:ascii="Arial" w:hAnsi="Arial" w:eastAsia="Calibri" w:cs="Arial"/>
          <w:iCs/>
          <w:sz w:val="22"/>
        </w:rPr>
        <w:t>ultas y sanciones y de las inhabilidades que deriven de los contratos suscritos</w:t>
      </w:r>
      <w:r w:rsidRPr="00E810BE" w:rsidR="0022675F">
        <w:rPr>
          <w:rFonts w:ascii="Arial" w:hAnsi="Arial" w:eastAsia="Calibri" w:cs="Arial"/>
          <w:iCs/>
          <w:sz w:val="22"/>
        </w:rPr>
        <w:t>, a través de</w:t>
      </w:r>
      <w:r w:rsidRPr="00E810BE" w:rsidR="00AF1736">
        <w:rPr>
          <w:rFonts w:ascii="Arial" w:hAnsi="Arial" w:eastAsia="Calibri" w:cs="Arial"/>
          <w:iCs/>
          <w:sz w:val="22"/>
        </w:rPr>
        <w:t xml:space="preserve"> los </w:t>
      </w:r>
      <w:r w:rsidRPr="00E810BE" w:rsidR="0022675F">
        <w:rPr>
          <w:rFonts w:ascii="Arial" w:hAnsi="Arial" w:eastAsia="Calibri" w:cs="Arial"/>
          <w:iCs/>
          <w:sz w:val="22"/>
        </w:rPr>
        <w:t>mecanismo</w:t>
      </w:r>
      <w:r w:rsidRPr="00E810BE" w:rsidR="00AF1736">
        <w:rPr>
          <w:rFonts w:ascii="Arial" w:hAnsi="Arial" w:eastAsia="Calibri" w:cs="Arial"/>
          <w:iCs/>
          <w:sz w:val="22"/>
        </w:rPr>
        <w:t>s</w:t>
      </w:r>
      <w:r w:rsidRPr="00E810BE" w:rsidR="0022675F">
        <w:rPr>
          <w:rFonts w:ascii="Arial" w:hAnsi="Arial" w:eastAsia="Calibri" w:cs="Arial"/>
          <w:iCs/>
          <w:sz w:val="22"/>
        </w:rPr>
        <w:t xml:space="preserve"> que </w:t>
      </w:r>
      <w:r w:rsidRPr="00E810BE" w:rsidR="00AF1736">
        <w:rPr>
          <w:rFonts w:ascii="Arial" w:hAnsi="Arial" w:eastAsia="Calibri" w:cs="Arial"/>
          <w:iCs/>
          <w:sz w:val="22"/>
        </w:rPr>
        <w:t>para el efecto d</w:t>
      </w:r>
      <w:r w:rsidRPr="00E810BE" w:rsidR="0022675F">
        <w:rPr>
          <w:rFonts w:ascii="Arial" w:hAnsi="Arial" w:eastAsia="Calibri" w:cs="Arial"/>
          <w:iCs/>
          <w:sz w:val="22"/>
        </w:rPr>
        <w:t>isp</w:t>
      </w:r>
      <w:r w:rsidRPr="00E810BE" w:rsidR="00AF1736">
        <w:rPr>
          <w:rFonts w:ascii="Arial" w:hAnsi="Arial" w:eastAsia="Calibri" w:cs="Arial"/>
          <w:iCs/>
          <w:sz w:val="22"/>
        </w:rPr>
        <w:t>onga</w:t>
      </w:r>
      <w:r w:rsidRPr="00E810BE" w:rsidR="0022675F">
        <w:rPr>
          <w:rFonts w:ascii="Arial" w:hAnsi="Arial" w:eastAsia="Calibri" w:cs="Arial"/>
          <w:iCs/>
          <w:sz w:val="22"/>
        </w:rPr>
        <w:t xml:space="preserve"> la cámara respectiva. </w:t>
      </w:r>
    </w:p>
    <w:p w:rsidRPr="00E810BE" w:rsidR="00737488" w:rsidP="00641353" w:rsidRDefault="00641353" w14:paraId="46C483C1" w14:textId="73759CFC">
      <w:pPr>
        <w:spacing w:after="120" w:line="276" w:lineRule="auto"/>
        <w:ind w:firstLine="708"/>
        <w:jc w:val="both"/>
        <w:rPr>
          <w:rFonts w:ascii="Arial" w:hAnsi="Arial" w:eastAsia="Calibri" w:cs="Arial"/>
          <w:iCs/>
          <w:sz w:val="22"/>
        </w:rPr>
      </w:pPr>
      <w:r w:rsidRPr="00E810BE">
        <w:rPr>
          <w:rFonts w:ascii="Arial" w:hAnsi="Arial" w:eastAsia="Calibri" w:cs="Arial"/>
          <w:iCs/>
          <w:sz w:val="22"/>
        </w:rPr>
        <w:t xml:space="preserve">Respecto al </w:t>
      </w:r>
      <w:r w:rsidRPr="00E810BE" w:rsidR="001A7FA3">
        <w:rPr>
          <w:rFonts w:ascii="Arial" w:hAnsi="Arial" w:eastAsia="Calibri" w:cs="Arial"/>
          <w:i/>
          <w:sz w:val="22"/>
        </w:rPr>
        <w:t>registro</w:t>
      </w:r>
      <w:r w:rsidRPr="00E810BE" w:rsidR="001A7FA3">
        <w:rPr>
          <w:rFonts w:ascii="Arial" w:hAnsi="Arial" w:eastAsia="Calibri" w:cs="Arial"/>
          <w:iCs/>
          <w:sz w:val="22"/>
        </w:rPr>
        <w:t>¸ la disposición</w:t>
      </w:r>
      <w:r w:rsidRPr="00E810BE" w:rsidR="00727392">
        <w:rPr>
          <w:rFonts w:ascii="Arial" w:hAnsi="Arial" w:eastAsia="Calibri" w:cs="Arial"/>
          <w:iCs/>
          <w:sz w:val="22"/>
        </w:rPr>
        <w:t xml:space="preserve"> </w:t>
      </w:r>
      <w:r w:rsidRPr="00E810BE" w:rsidR="001A7FA3">
        <w:rPr>
          <w:rFonts w:ascii="Arial" w:hAnsi="Arial" w:eastAsia="Calibri" w:cs="Arial"/>
          <w:iCs/>
          <w:sz w:val="22"/>
        </w:rPr>
        <w:t xml:space="preserve">estableció la obligación </w:t>
      </w:r>
      <w:r w:rsidRPr="00E810BE" w:rsidR="00D11423">
        <w:rPr>
          <w:rFonts w:ascii="Arial" w:hAnsi="Arial" w:eastAsia="Calibri" w:cs="Arial"/>
          <w:iCs/>
          <w:sz w:val="22"/>
        </w:rPr>
        <w:t xml:space="preserve">a </w:t>
      </w:r>
      <w:r w:rsidRPr="00E810BE" w:rsidR="000E33E7">
        <w:rPr>
          <w:rFonts w:ascii="Arial" w:hAnsi="Arial" w:eastAsia="Calibri" w:cs="Arial"/>
          <w:iCs/>
          <w:sz w:val="22"/>
        </w:rPr>
        <w:t xml:space="preserve">las cámaras de comercio </w:t>
      </w:r>
      <w:r w:rsidRPr="00E810BE" w:rsidR="00BA2795">
        <w:rPr>
          <w:rFonts w:ascii="Arial" w:hAnsi="Arial" w:eastAsia="Calibri" w:cs="Arial"/>
          <w:iCs/>
          <w:sz w:val="22"/>
        </w:rPr>
        <w:t xml:space="preserve">de registrar </w:t>
      </w:r>
      <w:r w:rsidRPr="00E810BE" w:rsidR="003A5502">
        <w:rPr>
          <w:rFonts w:ascii="Arial" w:hAnsi="Arial" w:eastAsia="Calibri" w:cs="Arial"/>
          <w:iCs/>
          <w:sz w:val="22"/>
        </w:rPr>
        <w:t>las sanciones e inhabilidades</w:t>
      </w:r>
      <w:r w:rsidRPr="00E810BE" w:rsidR="00BA2795">
        <w:rPr>
          <w:rFonts w:ascii="Arial" w:hAnsi="Arial" w:eastAsia="Calibri" w:cs="Arial"/>
          <w:iCs/>
          <w:sz w:val="22"/>
        </w:rPr>
        <w:t xml:space="preserve"> remitida</w:t>
      </w:r>
      <w:r w:rsidRPr="00E810BE" w:rsidR="00D11423">
        <w:rPr>
          <w:rFonts w:ascii="Arial" w:hAnsi="Arial" w:eastAsia="Calibri" w:cs="Arial"/>
          <w:iCs/>
          <w:sz w:val="22"/>
        </w:rPr>
        <w:t>s</w:t>
      </w:r>
      <w:r w:rsidRPr="00E810BE" w:rsidR="00BA2795">
        <w:rPr>
          <w:rFonts w:ascii="Arial" w:hAnsi="Arial" w:eastAsia="Calibri" w:cs="Arial"/>
          <w:iCs/>
          <w:sz w:val="22"/>
        </w:rPr>
        <w:t xml:space="preserve"> por </w:t>
      </w:r>
      <w:r w:rsidRPr="00E810BE" w:rsidR="0049341C">
        <w:rPr>
          <w:rFonts w:ascii="Arial" w:hAnsi="Arial" w:eastAsia="Calibri" w:cs="Arial"/>
          <w:iCs/>
          <w:sz w:val="22"/>
        </w:rPr>
        <w:t>las entidades estatales</w:t>
      </w:r>
      <w:r w:rsidRPr="00E810BE" w:rsidR="003A5502">
        <w:rPr>
          <w:rFonts w:ascii="Arial" w:hAnsi="Arial" w:eastAsia="Calibri" w:cs="Arial"/>
          <w:iCs/>
          <w:sz w:val="22"/>
        </w:rPr>
        <w:t xml:space="preserve"> en el </w:t>
      </w:r>
      <w:r w:rsidRPr="00E810BE">
        <w:rPr>
          <w:rFonts w:ascii="Arial" w:hAnsi="Arial" w:eastAsia="Calibri" w:cs="Arial"/>
          <w:iCs/>
          <w:sz w:val="22"/>
        </w:rPr>
        <w:t>RUP</w:t>
      </w:r>
      <w:r w:rsidRPr="00E810BE" w:rsidR="00B41FD5">
        <w:rPr>
          <w:rFonts w:ascii="Arial" w:hAnsi="Arial" w:eastAsia="Calibri" w:cs="Arial"/>
          <w:iCs/>
          <w:sz w:val="22"/>
        </w:rPr>
        <w:t xml:space="preserve">, </w:t>
      </w:r>
      <w:r w:rsidRPr="00E810BE" w:rsidR="00737488">
        <w:rPr>
          <w:rFonts w:ascii="Arial" w:hAnsi="Arial" w:eastAsia="Calibri" w:cs="Arial"/>
          <w:iCs/>
          <w:sz w:val="22"/>
        </w:rPr>
        <w:t>con el propósito</w:t>
      </w:r>
      <w:r w:rsidRPr="00E810BE">
        <w:rPr>
          <w:rFonts w:ascii="Arial" w:hAnsi="Arial" w:eastAsia="Calibri" w:cs="Arial"/>
          <w:iCs/>
          <w:sz w:val="22"/>
        </w:rPr>
        <w:t xml:space="preserve"> de concretar aspectos de</w:t>
      </w:r>
      <w:r w:rsidRPr="00E810BE" w:rsidR="00B41FD5">
        <w:rPr>
          <w:rFonts w:ascii="Arial" w:hAnsi="Arial" w:eastAsia="Calibri" w:cs="Arial"/>
          <w:iCs/>
          <w:sz w:val="22"/>
        </w:rPr>
        <w:t xml:space="preserve"> publicidad y transparencia </w:t>
      </w:r>
      <w:r w:rsidRPr="00E810BE">
        <w:rPr>
          <w:rFonts w:ascii="Arial" w:hAnsi="Arial" w:eastAsia="Calibri" w:cs="Arial"/>
          <w:iCs/>
          <w:sz w:val="22"/>
        </w:rPr>
        <w:t>en</w:t>
      </w:r>
      <w:r w:rsidRPr="00E810BE" w:rsidR="001642DC">
        <w:rPr>
          <w:rFonts w:ascii="Arial" w:hAnsi="Arial" w:eastAsia="Calibri" w:cs="Arial"/>
          <w:iCs/>
          <w:sz w:val="22"/>
        </w:rPr>
        <w:t xml:space="preserve"> la actividad contractual. </w:t>
      </w:r>
      <w:r w:rsidRPr="00E810BE">
        <w:rPr>
          <w:rFonts w:ascii="Arial" w:hAnsi="Arial" w:eastAsia="Calibri" w:cs="Arial"/>
          <w:iCs/>
          <w:sz w:val="22"/>
        </w:rPr>
        <w:t>Finalmente</w:t>
      </w:r>
      <w:r w:rsidRPr="00E810BE" w:rsidR="003A5502">
        <w:rPr>
          <w:rFonts w:ascii="Arial" w:hAnsi="Arial" w:eastAsia="Calibri" w:cs="Arial"/>
          <w:iCs/>
          <w:sz w:val="22"/>
        </w:rPr>
        <w:t xml:space="preserve">, </w:t>
      </w:r>
      <w:r w:rsidRPr="00E810BE">
        <w:rPr>
          <w:rFonts w:ascii="Arial" w:hAnsi="Arial" w:eastAsia="Calibri" w:cs="Arial"/>
          <w:iCs/>
          <w:sz w:val="22"/>
        </w:rPr>
        <w:t xml:space="preserve">en relación con el </w:t>
      </w:r>
      <w:r w:rsidRPr="00E810BE" w:rsidR="00ED3AB5">
        <w:rPr>
          <w:rFonts w:ascii="Arial" w:hAnsi="Arial" w:eastAsia="Calibri" w:cs="Arial"/>
          <w:i/>
          <w:sz w:val="22"/>
        </w:rPr>
        <w:t xml:space="preserve">término, </w:t>
      </w:r>
      <w:r w:rsidRPr="00E810BE" w:rsidR="008C7B64">
        <w:rPr>
          <w:rFonts w:ascii="Arial" w:hAnsi="Arial" w:eastAsia="Calibri" w:cs="Arial"/>
          <w:iCs/>
          <w:sz w:val="22"/>
        </w:rPr>
        <w:t>es decir</w:t>
      </w:r>
      <w:r w:rsidRPr="00E810BE" w:rsidR="00D11423">
        <w:rPr>
          <w:rFonts w:ascii="Arial" w:hAnsi="Arial" w:eastAsia="Calibri" w:cs="Arial"/>
          <w:iCs/>
          <w:sz w:val="22"/>
        </w:rPr>
        <w:t>,</w:t>
      </w:r>
      <w:r w:rsidRPr="00E810BE" w:rsidR="008C7B64">
        <w:rPr>
          <w:rFonts w:ascii="Arial" w:hAnsi="Arial" w:eastAsia="Calibri" w:cs="Arial"/>
          <w:iCs/>
          <w:sz w:val="22"/>
        </w:rPr>
        <w:t xml:space="preserve"> el periodo en que debe </w:t>
      </w:r>
      <w:r w:rsidRPr="00E810BE" w:rsidR="00737488">
        <w:rPr>
          <w:rFonts w:ascii="Arial" w:hAnsi="Arial" w:eastAsia="Calibri" w:cs="Arial"/>
          <w:iCs/>
          <w:sz w:val="22"/>
        </w:rPr>
        <w:t xml:space="preserve">constar </w:t>
      </w:r>
      <w:r w:rsidRPr="00E810BE" w:rsidR="008C7B64">
        <w:rPr>
          <w:rFonts w:ascii="Arial" w:hAnsi="Arial" w:eastAsia="Calibri" w:cs="Arial"/>
          <w:iCs/>
          <w:sz w:val="22"/>
        </w:rPr>
        <w:t>la anotación correspondiente</w:t>
      </w:r>
      <w:r w:rsidRPr="00E810BE">
        <w:rPr>
          <w:rFonts w:ascii="Arial" w:hAnsi="Arial" w:eastAsia="Calibri" w:cs="Arial"/>
          <w:iCs/>
          <w:sz w:val="22"/>
        </w:rPr>
        <w:t>, l</w:t>
      </w:r>
      <w:r w:rsidRPr="00E810BE" w:rsidR="009A2D11">
        <w:rPr>
          <w:rFonts w:ascii="Arial" w:hAnsi="Arial" w:eastAsia="Calibri" w:cs="Arial"/>
          <w:iCs/>
          <w:sz w:val="22"/>
        </w:rPr>
        <w:t>a</w:t>
      </w:r>
      <w:r w:rsidRPr="00E810BE" w:rsidR="00ED3AB5">
        <w:rPr>
          <w:rFonts w:ascii="Arial" w:hAnsi="Arial" w:eastAsia="Calibri" w:cs="Arial"/>
          <w:iCs/>
          <w:sz w:val="22"/>
        </w:rPr>
        <w:t xml:space="preserve"> norma estableció que </w:t>
      </w:r>
      <w:r w:rsidRPr="00E810BE" w:rsidR="008C7B64">
        <w:rPr>
          <w:rFonts w:ascii="Arial" w:hAnsi="Arial" w:eastAsia="Calibri" w:cs="Arial"/>
          <w:iCs/>
          <w:sz w:val="22"/>
        </w:rPr>
        <w:t xml:space="preserve">las sanciones e inhabilidades </w:t>
      </w:r>
      <w:r w:rsidRPr="00E810BE" w:rsidR="00046D2B">
        <w:rPr>
          <w:rFonts w:ascii="Arial" w:hAnsi="Arial" w:eastAsia="Calibri" w:cs="Arial"/>
          <w:iCs/>
          <w:sz w:val="22"/>
        </w:rPr>
        <w:t>permanecer</w:t>
      </w:r>
      <w:r w:rsidRPr="00E810BE" w:rsidR="00737488">
        <w:rPr>
          <w:rFonts w:ascii="Arial" w:hAnsi="Arial" w:eastAsia="Calibri" w:cs="Arial"/>
          <w:iCs/>
          <w:sz w:val="22"/>
        </w:rPr>
        <w:t>án</w:t>
      </w:r>
      <w:r w:rsidRPr="00E810BE" w:rsidR="00046D2B">
        <w:rPr>
          <w:rFonts w:ascii="Arial" w:hAnsi="Arial" w:eastAsia="Calibri" w:cs="Arial"/>
          <w:iCs/>
          <w:sz w:val="22"/>
        </w:rPr>
        <w:t xml:space="preserve"> en el </w:t>
      </w:r>
      <w:r w:rsidRPr="00E810BE" w:rsidR="00737488">
        <w:rPr>
          <w:rFonts w:ascii="Arial" w:hAnsi="Arial" w:eastAsia="Calibri" w:cs="Arial"/>
          <w:iCs/>
          <w:sz w:val="22"/>
        </w:rPr>
        <w:t>r</w:t>
      </w:r>
      <w:r w:rsidRPr="00E810BE" w:rsidR="00046D2B">
        <w:rPr>
          <w:rFonts w:ascii="Arial" w:hAnsi="Arial" w:eastAsia="Calibri" w:cs="Arial"/>
          <w:iCs/>
          <w:sz w:val="22"/>
        </w:rPr>
        <w:t xml:space="preserve">egistro por el término de la sanción o inhabilidad, según el caso. </w:t>
      </w:r>
      <w:r w:rsidRPr="00E810BE" w:rsidR="00737488">
        <w:rPr>
          <w:rFonts w:ascii="Arial" w:hAnsi="Arial" w:eastAsia="Calibri" w:cs="Arial"/>
          <w:iCs/>
          <w:sz w:val="22"/>
        </w:rPr>
        <w:t>Igualmente</w:t>
      </w:r>
      <w:r w:rsidRPr="00E810BE" w:rsidR="00046D2B">
        <w:rPr>
          <w:rFonts w:ascii="Arial" w:hAnsi="Arial" w:eastAsia="Calibri" w:cs="Arial"/>
          <w:iCs/>
          <w:sz w:val="22"/>
        </w:rPr>
        <w:t xml:space="preserve">, estableció </w:t>
      </w:r>
      <w:proofErr w:type="gramStart"/>
      <w:r w:rsidRPr="00E810BE" w:rsidR="00046D2B">
        <w:rPr>
          <w:rFonts w:ascii="Arial" w:hAnsi="Arial" w:eastAsia="Calibri" w:cs="Arial"/>
          <w:iCs/>
          <w:sz w:val="22"/>
        </w:rPr>
        <w:t>que</w:t>
      </w:r>
      <w:proofErr w:type="gramEnd"/>
      <w:r w:rsidRPr="00E810BE" w:rsidR="00046D2B">
        <w:rPr>
          <w:rFonts w:ascii="Arial" w:hAnsi="Arial" w:eastAsia="Calibri" w:cs="Arial"/>
          <w:iCs/>
          <w:sz w:val="22"/>
        </w:rPr>
        <w:t xml:space="preserve"> </w:t>
      </w:r>
      <w:r w:rsidRPr="00E810BE" w:rsidR="00951A28">
        <w:rPr>
          <w:rFonts w:ascii="Arial" w:hAnsi="Arial" w:eastAsia="Calibri" w:cs="Arial"/>
          <w:iCs/>
          <w:sz w:val="22"/>
        </w:rPr>
        <w:t>en el caso de las multas</w:t>
      </w:r>
      <w:r w:rsidRPr="00E810BE" w:rsidR="00F56CE3">
        <w:rPr>
          <w:rFonts w:ascii="Arial" w:hAnsi="Arial" w:eastAsia="Calibri" w:cs="Arial"/>
          <w:iCs/>
          <w:sz w:val="22"/>
        </w:rPr>
        <w:t>, deberán permanecer publicadas por el término de un año, contado a partir de la publicación de la misma.</w:t>
      </w:r>
    </w:p>
    <w:p w:rsidRPr="00E810BE" w:rsidR="00EA2CA5" w:rsidP="00955071" w:rsidRDefault="00737488" w14:paraId="48E47F6E" w14:textId="2B752FE8">
      <w:pPr>
        <w:spacing w:line="276" w:lineRule="auto"/>
        <w:ind w:firstLine="708"/>
        <w:jc w:val="both"/>
        <w:rPr>
          <w:rFonts w:ascii="Arial" w:hAnsi="Arial" w:eastAsia="Calibri" w:cs="Arial"/>
          <w:iCs/>
          <w:sz w:val="22"/>
        </w:rPr>
      </w:pPr>
      <w:r w:rsidRPr="00E810BE">
        <w:rPr>
          <w:rFonts w:ascii="Arial" w:hAnsi="Arial" w:eastAsia="Calibri" w:cs="Arial"/>
          <w:iCs/>
          <w:sz w:val="22"/>
        </w:rPr>
        <w:t>P</w:t>
      </w:r>
      <w:r w:rsidRPr="00E810BE" w:rsidR="00700CFE">
        <w:rPr>
          <w:rFonts w:ascii="Arial" w:hAnsi="Arial" w:eastAsia="Calibri" w:cs="Arial"/>
          <w:iCs/>
          <w:sz w:val="22"/>
        </w:rPr>
        <w:t>ara efectos de la</w:t>
      </w:r>
      <w:r w:rsidRPr="00E810BE" w:rsidR="00B70839">
        <w:rPr>
          <w:rFonts w:ascii="Arial" w:hAnsi="Arial" w:eastAsia="Calibri" w:cs="Arial"/>
          <w:iCs/>
          <w:sz w:val="22"/>
        </w:rPr>
        <w:t xml:space="preserve"> </w:t>
      </w:r>
      <w:r w:rsidRPr="00E810BE" w:rsidR="006608A1">
        <w:rPr>
          <w:rFonts w:ascii="Arial" w:hAnsi="Arial" w:eastAsia="Calibri" w:cs="Arial"/>
          <w:iCs/>
          <w:sz w:val="22"/>
        </w:rPr>
        <w:t xml:space="preserve">publicidad </w:t>
      </w:r>
      <w:r w:rsidRPr="00E810BE" w:rsidR="00B70839">
        <w:rPr>
          <w:rFonts w:ascii="Arial" w:hAnsi="Arial" w:eastAsia="Calibri" w:cs="Arial"/>
          <w:iCs/>
          <w:sz w:val="22"/>
        </w:rPr>
        <w:t xml:space="preserve">de </w:t>
      </w:r>
      <w:r w:rsidRPr="00E810BE" w:rsidR="006608A1">
        <w:rPr>
          <w:rFonts w:ascii="Arial" w:hAnsi="Arial" w:eastAsia="Calibri" w:cs="Arial"/>
          <w:iCs/>
          <w:sz w:val="22"/>
        </w:rPr>
        <w:t>las sanciones establecidas en el artículo 90 de la Ley 1474 de 2011,</w:t>
      </w:r>
      <w:r w:rsidRPr="00E810BE" w:rsidR="00B70839">
        <w:rPr>
          <w:rFonts w:ascii="Arial" w:hAnsi="Arial" w:eastAsia="Calibri" w:cs="Arial"/>
          <w:iCs/>
          <w:sz w:val="22"/>
        </w:rPr>
        <w:t xml:space="preserve"> </w:t>
      </w:r>
      <w:r w:rsidRPr="00E810BE">
        <w:rPr>
          <w:rFonts w:ascii="Arial" w:hAnsi="Arial" w:eastAsia="Calibri" w:cs="Arial"/>
          <w:iCs/>
          <w:sz w:val="22"/>
        </w:rPr>
        <w:t xml:space="preserve">el artículo 2.2.1.1.1.5.7 del </w:t>
      </w:r>
      <w:r w:rsidRPr="00E810BE" w:rsidR="00EA2CA5">
        <w:rPr>
          <w:rFonts w:ascii="Arial" w:hAnsi="Arial" w:eastAsia="Calibri" w:cs="Arial"/>
          <w:iCs/>
          <w:sz w:val="22"/>
        </w:rPr>
        <w:t xml:space="preserve">Decreto 1082 de 2015 </w:t>
      </w:r>
      <w:r w:rsidRPr="00E810BE" w:rsidR="00B70839">
        <w:rPr>
          <w:rFonts w:ascii="Arial" w:hAnsi="Arial" w:eastAsia="Calibri" w:cs="Arial"/>
          <w:iCs/>
          <w:sz w:val="22"/>
        </w:rPr>
        <w:t xml:space="preserve">reguló </w:t>
      </w:r>
      <w:r w:rsidRPr="00E810BE" w:rsidR="007E3BBD">
        <w:rPr>
          <w:rFonts w:ascii="Arial" w:hAnsi="Arial" w:eastAsia="Calibri" w:cs="Arial"/>
          <w:iCs/>
          <w:sz w:val="22"/>
        </w:rPr>
        <w:t xml:space="preserve">únicamente el término de publicidad </w:t>
      </w:r>
      <w:r w:rsidRPr="00E810BE" w:rsidR="00F20A9D">
        <w:rPr>
          <w:rFonts w:ascii="Arial" w:hAnsi="Arial" w:eastAsia="Calibri" w:cs="Arial"/>
          <w:iCs/>
          <w:sz w:val="22"/>
        </w:rPr>
        <w:t>de las multas</w:t>
      </w:r>
      <w:r w:rsidRPr="00E810BE" w:rsidR="0043064E">
        <w:rPr>
          <w:rFonts w:ascii="Arial" w:hAnsi="Arial" w:eastAsia="Calibri" w:cs="Arial"/>
          <w:iCs/>
          <w:sz w:val="22"/>
        </w:rPr>
        <w:t>.</w:t>
      </w:r>
      <w:r w:rsidRPr="00E810BE" w:rsidR="00EA2CA5">
        <w:rPr>
          <w:rFonts w:ascii="Arial" w:hAnsi="Arial" w:eastAsia="Calibri" w:cs="Arial"/>
          <w:iCs/>
          <w:sz w:val="22"/>
        </w:rPr>
        <w:t xml:space="preserve"> </w:t>
      </w:r>
      <w:r w:rsidRPr="00E810BE" w:rsidR="00727392">
        <w:rPr>
          <w:rFonts w:ascii="Arial" w:hAnsi="Arial" w:eastAsia="Calibri" w:cs="Arial"/>
          <w:iCs/>
          <w:sz w:val="22"/>
        </w:rPr>
        <w:t>En este contexto</w:t>
      </w:r>
      <w:r w:rsidRPr="00E810BE" w:rsidR="004E78C1">
        <w:rPr>
          <w:rFonts w:ascii="Arial" w:hAnsi="Arial" w:eastAsia="Calibri" w:cs="Arial"/>
          <w:iCs/>
          <w:sz w:val="22"/>
        </w:rPr>
        <w:t xml:space="preserve">, </w:t>
      </w:r>
      <w:r w:rsidRPr="00E810BE" w:rsidR="00EA2CA5">
        <w:rPr>
          <w:rFonts w:ascii="Arial" w:hAnsi="Arial" w:eastAsia="Calibri" w:cs="Arial"/>
          <w:iCs/>
          <w:sz w:val="22"/>
        </w:rPr>
        <w:t>¿</w:t>
      </w:r>
      <w:r w:rsidRPr="00E810BE" w:rsidR="004E78C1">
        <w:rPr>
          <w:rFonts w:ascii="Arial" w:hAnsi="Arial" w:eastAsia="Calibri" w:cs="Arial"/>
          <w:iCs/>
          <w:sz w:val="22"/>
        </w:rPr>
        <w:t xml:space="preserve">qué información sancionatoria debe aparecer en el RUP? </w:t>
      </w:r>
      <w:r w:rsidRPr="00E810BE" w:rsidR="00727392">
        <w:rPr>
          <w:rFonts w:ascii="Arial" w:hAnsi="Arial" w:eastAsia="Calibri" w:cs="Arial"/>
          <w:iCs/>
          <w:sz w:val="22"/>
        </w:rPr>
        <w:t>Al respecto</w:t>
      </w:r>
      <w:r w:rsidRPr="00E810BE" w:rsidR="004E78C1">
        <w:rPr>
          <w:rFonts w:ascii="Arial" w:hAnsi="Arial" w:eastAsia="Calibri" w:cs="Arial"/>
          <w:iCs/>
          <w:sz w:val="22"/>
        </w:rPr>
        <w:t xml:space="preserve">, </w:t>
      </w:r>
      <w:r w:rsidRPr="00E810BE" w:rsidR="00EA2CA5">
        <w:rPr>
          <w:rFonts w:ascii="Arial" w:hAnsi="Arial" w:eastAsia="Calibri" w:cs="Arial"/>
          <w:iCs/>
          <w:sz w:val="22"/>
        </w:rPr>
        <w:t>es necesario tener en cuenta que</w:t>
      </w:r>
      <w:r w:rsidRPr="00E810BE" w:rsidR="004E78C1">
        <w:rPr>
          <w:rFonts w:ascii="Arial" w:hAnsi="Arial" w:eastAsia="Calibri" w:cs="Arial"/>
          <w:iCs/>
          <w:sz w:val="22"/>
        </w:rPr>
        <w:t xml:space="preserve"> el artículo </w:t>
      </w:r>
      <w:bookmarkStart w:name="_Hlk99006866" w:id="8"/>
      <w:r w:rsidRPr="00E810BE" w:rsidR="004E78C1">
        <w:rPr>
          <w:rFonts w:ascii="Arial" w:hAnsi="Arial" w:eastAsia="Calibri" w:cs="Arial"/>
          <w:iCs/>
          <w:sz w:val="22"/>
        </w:rPr>
        <w:t xml:space="preserve">2.2.1.1.1.5.6 </w:t>
      </w:r>
      <w:bookmarkEnd w:id="8"/>
      <w:r w:rsidRPr="00E810BE" w:rsidR="004E78C1">
        <w:rPr>
          <w:rFonts w:ascii="Arial" w:hAnsi="Arial" w:eastAsia="Calibri" w:cs="Arial"/>
          <w:iCs/>
          <w:sz w:val="22"/>
        </w:rPr>
        <w:t xml:space="preserve">del Decreto 1082 de 2015 </w:t>
      </w:r>
      <w:r w:rsidRPr="00E810BE" w:rsidR="00EA2CA5">
        <w:rPr>
          <w:rFonts w:ascii="Arial" w:hAnsi="Arial" w:eastAsia="Calibri" w:cs="Arial"/>
          <w:iCs/>
          <w:sz w:val="22"/>
        </w:rPr>
        <w:t>dispone que</w:t>
      </w:r>
      <w:r w:rsidRPr="00E810BE" w:rsidR="004E78C1">
        <w:rPr>
          <w:rFonts w:ascii="Arial" w:hAnsi="Arial" w:eastAsia="Calibri" w:cs="Arial"/>
          <w:iCs/>
          <w:sz w:val="22"/>
        </w:rPr>
        <w:t>:</w:t>
      </w:r>
    </w:p>
    <w:p w:rsidRPr="00E810BE" w:rsidR="00C70449" w:rsidP="00BF4B3C" w:rsidRDefault="00C70449" w14:paraId="6E8F4A08" w14:textId="49BBAC2D">
      <w:pPr>
        <w:spacing w:line="276" w:lineRule="auto"/>
        <w:ind w:firstLine="708"/>
        <w:jc w:val="both"/>
        <w:rPr>
          <w:rFonts w:ascii="Arial" w:hAnsi="Arial" w:eastAsia="Calibri" w:cs="Arial"/>
          <w:iCs/>
          <w:sz w:val="22"/>
        </w:rPr>
      </w:pPr>
    </w:p>
    <w:p w:rsidRPr="00E810BE" w:rsidR="004E78C1" w:rsidP="00CE6F9A" w:rsidRDefault="00CE6F9A" w14:paraId="247BACEC" w14:textId="1EF0346F">
      <w:pPr>
        <w:ind w:left="709" w:right="709"/>
        <w:jc w:val="both"/>
        <w:rPr>
          <w:rFonts w:ascii="Arial" w:hAnsi="Arial" w:cs="Arial"/>
          <w:sz w:val="21"/>
          <w:szCs w:val="21"/>
        </w:rPr>
      </w:pPr>
      <w:r w:rsidRPr="00E810BE">
        <w:rPr>
          <w:rFonts w:ascii="Arial" w:hAnsi="Arial" w:cs="Arial"/>
          <w:sz w:val="21"/>
          <w:szCs w:val="21"/>
        </w:rPr>
        <w:t>El certificado del RUP debe contener: (a) los bienes, obras y servicios para los cuales está inscrito el proponente de acuerdo con el Clasificador de Bienes y Servicios; (b) los requisitos e indicadores a los que se refiere el artículo 2.2.1.1.1.5.3</w:t>
      </w:r>
      <w:r w:rsidRPr="00E810BE">
        <w:rPr>
          <w:rFonts w:ascii="Arial" w:hAnsi="Arial" w:cs="Arial"/>
          <w:b/>
          <w:bCs/>
          <w:sz w:val="21"/>
          <w:szCs w:val="21"/>
        </w:rPr>
        <w:t> </w:t>
      </w:r>
      <w:r w:rsidRPr="00E810BE">
        <w:rPr>
          <w:rFonts w:ascii="Arial" w:hAnsi="Arial" w:cs="Arial"/>
          <w:sz w:val="21"/>
          <w:szCs w:val="21"/>
        </w:rPr>
        <w:t>del presente decreto; (c) la información relativa a contratos, multas, sanciones e inhabilidades; y (d) la información histórica de experiencia que el proponente ha inscrito en el RUP. Las cámaras de comercio expedirán el certificado del RUP por solicitud de cualquier interesado. Las Entidades Estatales podrán acceder en línea y de forma gratuita a la información inscrita en el RUP.</w:t>
      </w:r>
    </w:p>
    <w:p w:rsidRPr="00E810BE" w:rsidR="00520B6B" w:rsidP="00CE6F9A" w:rsidRDefault="00520B6B" w14:paraId="705772F5" w14:textId="09FA2734">
      <w:pPr>
        <w:ind w:left="709" w:right="709"/>
        <w:jc w:val="both"/>
        <w:rPr>
          <w:rFonts w:ascii="Arial" w:hAnsi="Arial" w:cs="Arial"/>
          <w:sz w:val="21"/>
          <w:szCs w:val="21"/>
        </w:rPr>
      </w:pPr>
      <w:r w:rsidRPr="00E810BE">
        <w:rPr>
          <w:rFonts w:ascii="Arial" w:hAnsi="Arial" w:cs="Arial"/>
          <w:sz w:val="21"/>
          <w:szCs w:val="21"/>
        </w:rPr>
        <w:t>[…]</w:t>
      </w:r>
    </w:p>
    <w:p w:rsidRPr="00E810BE" w:rsidR="003A5502" w:rsidP="00BF4B3C" w:rsidRDefault="003A5502" w14:paraId="2B8A12BD" w14:textId="00183BD4">
      <w:pPr>
        <w:spacing w:line="276" w:lineRule="auto"/>
        <w:ind w:left="709" w:right="709"/>
        <w:jc w:val="both"/>
        <w:rPr>
          <w:rFonts w:ascii="Arial" w:hAnsi="Arial" w:cs="Arial"/>
          <w:sz w:val="22"/>
        </w:rPr>
      </w:pPr>
    </w:p>
    <w:p w:rsidRPr="00E810BE" w:rsidR="00723034" w:rsidP="00C03F48" w:rsidRDefault="008309F0" w14:paraId="5BD8AEB7" w14:textId="00E330F9">
      <w:pPr>
        <w:spacing w:after="120" w:line="276" w:lineRule="auto"/>
        <w:ind w:firstLine="708"/>
        <w:jc w:val="both"/>
        <w:rPr>
          <w:rFonts w:ascii="Arial" w:hAnsi="Arial" w:eastAsia="Calibri" w:cs="Arial"/>
          <w:iCs/>
          <w:sz w:val="22"/>
        </w:rPr>
      </w:pPr>
      <w:r w:rsidRPr="00E810BE">
        <w:rPr>
          <w:rFonts w:ascii="Arial" w:hAnsi="Arial" w:eastAsia="Calibri" w:cs="Arial"/>
          <w:iCs/>
          <w:sz w:val="22"/>
        </w:rPr>
        <w:t>La norma trascrita determinó que</w:t>
      </w:r>
      <w:r w:rsidRPr="00E810BE" w:rsidR="00F80385">
        <w:rPr>
          <w:rFonts w:ascii="Arial" w:hAnsi="Arial" w:eastAsia="Calibri" w:cs="Arial"/>
          <w:iCs/>
          <w:sz w:val="22"/>
        </w:rPr>
        <w:t xml:space="preserve"> en el </w:t>
      </w:r>
      <w:r w:rsidRPr="00E810BE" w:rsidR="00D11423">
        <w:rPr>
          <w:rFonts w:ascii="Arial" w:hAnsi="Arial" w:eastAsia="Calibri" w:cs="Arial"/>
          <w:iCs/>
          <w:sz w:val="22"/>
        </w:rPr>
        <w:t>R</w:t>
      </w:r>
      <w:r w:rsidRPr="00E810BE" w:rsidR="00F80385">
        <w:rPr>
          <w:rFonts w:ascii="Arial" w:hAnsi="Arial" w:eastAsia="Calibri" w:cs="Arial"/>
          <w:iCs/>
          <w:sz w:val="22"/>
        </w:rPr>
        <w:t xml:space="preserve">egistro </w:t>
      </w:r>
      <w:r w:rsidRPr="00E810BE" w:rsidR="00D11423">
        <w:rPr>
          <w:rFonts w:ascii="Arial" w:hAnsi="Arial" w:eastAsia="Calibri" w:cs="Arial"/>
          <w:iCs/>
          <w:sz w:val="22"/>
        </w:rPr>
        <w:t>Ú</w:t>
      </w:r>
      <w:r w:rsidRPr="00E810BE" w:rsidR="001D3404">
        <w:rPr>
          <w:rFonts w:ascii="Arial" w:hAnsi="Arial" w:eastAsia="Calibri" w:cs="Arial"/>
          <w:iCs/>
          <w:sz w:val="22"/>
        </w:rPr>
        <w:t xml:space="preserve">nico de </w:t>
      </w:r>
      <w:r w:rsidRPr="00E810BE" w:rsidR="00D11423">
        <w:rPr>
          <w:rFonts w:ascii="Arial" w:hAnsi="Arial" w:eastAsia="Calibri" w:cs="Arial"/>
          <w:iCs/>
          <w:sz w:val="22"/>
        </w:rPr>
        <w:t>P</w:t>
      </w:r>
      <w:r w:rsidRPr="00E810BE" w:rsidR="001D3404">
        <w:rPr>
          <w:rFonts w:ascii="Arial" w:hAnsi="Arial" w:eastAsia="Calibri" w:cs="Arial"/>
          <w:iCs/>
          <w:sz w:val="22"/>
        </w:rPr>
        <w:t xml:space="preserve">roponentes deben </w:t>
      </w:r>
      <w:r w:rsidRPr="00E810BE" w:rsidR="00592630">
        <w:rPr>
          <w:rFonts w:ascii="Arial" w:hAnsi="Arial" w:eastAsia="Calibri" w:cs="Arial"/>
          <w:iCs/>
          <w:sz w:val="22"/>
        </w:rPr>
        <w:t>inscribirse</w:t>
      </w:r>
      <w:r w:rsidRPr="00E810BE" w:rsidR="001D3404">
        <w:rPr>
          <w:rFonts w:ascii="Arial" w:hAnsi="Arial" w:eastAsia="Calibri" w:cs="Arial"/>
          <w:iCs/>
          <w:sz w:val="22"/>
        </w:rPr>
        <w:t>, entre otras, las multas, sanciones e inhabilidades</w:t>
      </w:r>
      <w:r w:rsidRPr="00E810BE" w:rsidR="00727392">
        <w:rPr>
          <w:rFonts w:ascii="Arial" w:hAnsi="Arial" w:eastAsia="Calibri" w:cs="Arial"/>
          <w:iCs/>
          <w:sz w:val="22"/>
        </w:rPr>
        <w:t>. C</w:t>
      </w:r>
      <w:r w:rsidRPr="00E810BE" w:rsidR="001D3404">
        <w:rPr>
          <w:rFonts w:ascii="Arial" w:hAnsi="Arial" w:eastAsia="Calibri" w:cs="Arial"/>
          <w:iCs/>
          <w:sz w:val="22"/>
        </w:rPr>
        <w:t xml:space="preserve">onforme a lo </w:t>
      </w:r>
      <w:r w:rsidRPr="00E810BE" w:rsidR="00727392">
        <w:rPr>
          <w:rFonts w:ascii="Arial" w:hAnsi="Arial" w:eastAsia="Calibri" w:cs="Arial"/>
          <w:iCs/>
          <w:sz w:val="22"/>
        </w:rPr>
        <w:t xml:space="preserve">explicado </w:t>
      </w:r>
      <w:r w:rsidRPr="00E810BE" w:rsidR="00727392">
        <w:rPr>
          <w:rFonts w:ascii="Arial" w:hAnsi="Arial" w:eastAsia="Calibri" w:cs="Arial"/>
          <w:i/>
          <w:sz w:val="22"/>
        </w:rPr>
        <w:t xml:space="preserve">ut </w:t>
      </w:r>
      <w:r w:rsidRPr="00E810BE" w:rsidR="00727392">
        <w:rPr>
          <w:rFonts w:ascii="Arial" w:hAnsi="Arial" w:eastAsia="Calibri" w:cs="Arial"/>
          <w:i/>
          <w:sz w:val="22"/>
        </w:rPr>
        <w:lastRenderedPageBreak/>
        <w:t>supra</w:t>
      </w:r>
      <w:r w:rsidRPr="00E810BE" w:rsidR="001D3404">
        <w:rPr>
          <w:rFonts w:ascii="Arial" w:hAnsi="Arial" w:eastAsia="Calibri" w:cs="Arial"/>
          <w:iCs/>
          <w:sz w:val="22"/>
        </w:rPr>
        <w:t xml:space="preserve">, la cláusula penal pecuniaria </w:t>
      </w:r>
      <w:r w:rsidRPr="00E810BE" w:rsidR="00775D3B">
        <w:rPr>
          <w:rFonts w:ascii="Arial" w:hAnsi="Arial" w:eastAsia="Calibri" w:cs="Arial"/>
          <w:iCs/>
          <w:sz w:val="22"/>
        </w:rPr>
        <w:t>constituye una sanción, por lo que</w:t>
      </w:r>
      <w:r w:rsidRPr="00E810BE" w:rsidR="008315A8">
        <w:rPr>
          <w:rFonts w:ascii="Arial" w:hAnsi="Arial" w:eastAsia="Calibri" w:cs="Arial"/>
          <w:iCs/>
          <w:sz w:val="22"/>
        </w:rPr>
        <w:t xml:space="preserve">, previo </w:t>
      </w:r>
      <w:r w:rsidRPr="00E810BE" w:rsidR="008315A8">
        <w:rPr>
          <w:rFonts w:ascii="Arial" w:hAnsi="Arial" w:eastAsia="Calibri" w:cs="Arial"/>
          <w:i/>
          <w:sz w:val="22"/>
        </w:rPr>
        <w:t>reporte</w:t>
      </w:r>
      <w:r w:rsidRPr="00E810BE" w:rsidR="008315A8">
        <w:rPr>
          <w:rFonts w:ascii="Arial" w:hAnsi="Arial" w:eastAsia="Calibri" w:cs="Arial"/>
          <w:iCs/>
          <w:sz w:val="22"/>
        </w:rPr>
        <w:t xml:space="preserve"> de las entidades estatales,</w:t>
      </w:r>
      <w:r w:rsidRPr="00E810BE" w:rsidR="00775D3B">
        <w:rPr>
          <w:rFonts w:ascii="Arial" w:hAnsi="Arial" w:eastAsia="Calibri" w:cs="Arial"/>
          <w:iCs/>
          <w:sz w:val="22"/>
        </w:rPr>
        <w:t xml:space="preserve"> </w:t>
      </w:r>
      <w:r w:rsidRPr="00E810BE" w:rsidR="0096087E">
        <w:rPr>
          <w:rFonts w:ascii="Arial" w:hAnsi="Arial" w:eastAsia="Calibri" w:cs="Arial"/>
          <w:iCs/>
          <w:sz w:val="22"/>
        </w:rPr>
        <w:t>las Cámaras de Comercio de</w:t>
      </w:r>
      <w:r w:rsidRPr="00E810BE" w:rsidR="008315A8">
        <w:rPr>
          <w:rFonts w:ascii="Arial" w:hAnsi="Arial" w:eastAsia="Calibri" w:cs="Arial"/>
          <w:iCs/>
          <w:sz w:val="22"/>
        </w:rPr>
        <w:t>ben</w:t>
      </w:r>
      <w:r w:rsidRPr="00E810BE" w:rsidR="0096087E">
        <w:rPr>
          <w:rFonts w:ascii="Arial" w:hAnsi="Arial" w:eastAsia="Calibri" w:cs="Arial"/>
          <w:iCs/>
          <w:sz w:val="22"/>
        </w:rPr>
        <w:t xml:space="preserve"> </w:t>
      </w:r>
      <w:r w:rsidRPr="00E810BE" w:rsidR="0096087E">
        <w:rPr>
          <w:rFonts w:ascii="Arial" w:hAnsi="Arial" w:eastAsia="Calibri" w:cs="Arial"/>
          <w:i/>
          <w:sz w:val="22"/>
        </w:rPr>
        <w:t>registrarlas</w:t>
      </w:r>
      <w:r w:rsidRPr="00E810BE" w:rsidR="0096087E">
        <w:rPr>
          <w:rFonts w:ascii="Arial" w:hAnsi="Arial" w:eastAsia="Calibri" w:cs="Arial"/>
          <w:iCs/>
          <w:sz w:val="22"/>
        </w:rPr>
        <w:t xml:space="preserve"> en el RUP</w:t>
      </w:r>
      <w:r w:rsidRPr="00E810BE" w:rsidR="00775D3B">
        <w:rPr>
          <w:rFonts w:ascii="Arial" w:hAnsi="Arial" w:eastAsia="Calibri" w:cs="Arial"/>
          <w:iCs/>
          <w:sz w:val="22"/>
        </w:rPr>
        <w:t>.</w:t>
      </w:r>
      <w:r w:rsidRPr="00E810BE" w:rsidR="00DF79F3">
        <w:rPr>
          <w:rFonts w:ascii="Arial" w:hAnsi="Arial" w:eastAsia="Calibri" w:cs="Arial"/>
          <w:iCs/>
          <w:sz w:val="22"/>
        </w:rPr>
        <w:t xml:space="preserve"> </w:t>
      </w:r>
      <w:r w:rsidRPr="00E810BE" w:rsidR="00727392">
        <w:rPr>
          <w:rFonts w:ascii="Arial" w:hAnsi="Arial" w:eastAsia="Calibri" w:cs="Arial"/>
          <w:iCs/>
          <w:sz w:val="22"/>
        </w:rPr>
        <w:t xml:space="preserve">Sin embargo, esta </w:t>
      </w:r>
      <w:r w:rsidRPr="00E810BE" w:rsidR="00606E32">
        <w:rPr>
          <w:rFonts w:ascii="Arial" w:hAnsi="Arial" w:eastAsia="Calibri" w:cs="Arial"/>
          <w:iCs/>
          <w:sz w:val="22"/>
        </w:rPr>
        <w:t>conclusión plantea un</w:t>
      </w:r>
      <w:r w:rsidRPr="00E810BE" w:rsidR="008315A8">
        <w:rPr>
          <w:rFonts w:ascii="Arial" w:hAnsi="Arial" w:eastAsia="Calibri" w:cs="Arial"/>
          <w:iCs/>
          <w:sz w:val="22"/>
        </w:rPr>
        <w:t>a</w:t>
      </w:r>
      <w:r w:rsidRPr="00E810BE" w:rsidR="00606E32">
        <w:rPr>
          <w:rFonts w:ascii="Arial" w:hAnsi="Arial" w:eastAsia="Calibri" w:cs="Arial"/>
          <w:iCs/>
          <w:sz w:val="22"/>
        </w:rPr>
        <w:t xml:space="preserve"> nuev</w:t>
      </w:r>
      <w:r w:rsidRPr="00E810BE" w:rsidR="008315A8">
        <w:rPr>
          <w:rFonts w:ascii="Arial" w:hAnsi="Arial" w:eastAsia="Calibri" w:cs="Arial"/>
          <w:iCs/>
          <w:sz w:val="22"/>
        </w:rPr>
        <w:t>a</w:t>
      </w:r>
      <w:r w:rsidRPr="00E810BE" w:rsidR="00606E32">
        <w:rPr>
          <w:rFonts w:ascii="Arial" w:hAnsi="Arial" w:eastAsia="Calibri" w:cs="Arial"/>
          <w:iCs/>
          <w:sz w:val="22"/>
        </w:rPr>
        <w:t xml:space="preserve"> i</w:t>
      </w:r>
      <w:r w:rsidRPr="00E810BE" w:rsidR="008315A8">
        <w:rPr>
          <w:rFonts w:ascii="Arial" w:hAnsi="Arial" w:eastAsia="Calibri" w:cs="Arial"/>
          <w:iCs/>
          <w:sz w:val="22"/>
        </w:rPr>
        <w:t>nquietud</w:t>
      </w:r>
      <w:r w:rsidRPr="00E810BE" w:rsidR="00727392">
        <w:rPr>
          <w:rFonts w:ascii="Arial" w:hAnsi="Arial" w:eastAsia="Calibri" w:cs="Arial"/>
          <w:iCs/>
          <w:sz w:val="22"/>
        </w:rPr>
        <w:t xml:space="preserve"> sobre</w:t>
      </w:r>
      <w:r w:rsidRPr="00E810BE" w:rsidR="00606E32">
        <w:rPr>
          <w:rFonts w:ascii="Arial" w:hAnsi="Arial" w:eastAsia="Calibri" w:cs="Arial"/>
          <w:iCs/>
          <w:sz w:val="22"/>
        </w:rPr>
        <w:t xml:space="preserve"> el </w:t>
      </w:r>
      <w:r w:rsidRPr="00E810BE" w:rsidR="00606E32">
        <w:rPr>
          <w:rFonts w:ascii="Arial" w:hAnsi="Arial" w:eastAsia="Calibri" w:cs="Arial"/>
          <w:i/>
          <w:sz w:val="22"/>
        </w:rPr>
        <w:t>término de permanencia</w:t>
      </w:r>
      <w:r w:rsidRPr="00E810BE" w:rsidR="00606E32">
        <w:rPr>
          <w:rFonts w:ascii="Arial" w:hAnsi="Arial" w:eastAsia="Calibri" w:cs="Arial"/>
          <w:iCs/>
          <w:sz w:val="22"/>
        </w:rPr>
        <w:t xml:space="preserve"> de la anotación de la cláusula penal pecuniaria en el </w:t>
      </w:r>
      <w:r w:rsidRPr="00E810BE" w:rsidR="00D11423">
        <w:rPr>
          <w:rFonts w:ascii="Arial" w:hAnsi="Arial" w:eastAsia="Calibri" w:cs="Arial"/>
          <w:iCs/>
          <w:sz w:val="22"/>
        </w:rPr>
        <w:t>R</w:t>
      </w:r>
      <w:r w:rsidRPr="00E810BE" w:rsidR="00606E32">
        <w:rPr>
          <w:rFonts w:ascii="Arial" w:hAnsi="Arial" w:eastAsia="Calibri" w:cs="Arial"/>
          <w:iCs/>
          <w:sz w:val="22"/>
        </w:rPr>
        <w:t xml:space="preserve">egistro </w:t>
      </w:r>
      <w:r w:rsidRPr="00E810BE" w:rsidR="00D11423">
        <w:rPr>
          <w:rFonts w:ascii="Arial" w:hAnsi="Arial" w:eastAsia="Calibri" w:cs="Arial"/>
          <w:iCs/>
          <w:sz w:val="22"/>
        </w:rPr>
        <w:t>Ú</w:t>
      </w:r>
      <w:r w:rsidRPr="00E810BE" w:rsidR="00723034">
        <w:rPr>
          <w:rFonts w:ascii="Arial" w:hAnsi="Arial" w:eastAsia="Calibri" w:cs="Arial"/>
          <w:iCs/>
          <w:sz w:val="22"/>
        </w:rPr>
        <w:t xml:space="preserve">nico de </w:t>
      </w:r>
      <w:r w:rsidRPr="00E810BE" w:rsidR="00D11423">
        <w:rPr>
          <w:rFonts w:ascii="Arial" w:hAnsi="Arial" w:eastAsia="Calibri" w:cs="Arial"/>
          <w:iCs/>
          <w:sz w:val="22"/>
        </w:rPr>
        <w:t>P</w:t>
      </w:r>
      <w:r w:rsidRPr="00E810BE" w:rsidR="00723034">
        <w:rPr>
          <w:rFonts w:ascii="Arial" w:hAnsi="Arial" w:eastAsia="Calibri" w:cs="Arial"/>
          <w:iCs/>
          <w:sz w:val="22"/>
        </w:rPr>
        <w:t xml:space="preserve">roponentes. </w:t>
      </w:r>
      <w:r w:rsidRPr="00E810BE" w:rsidR="008315A8">
        <w:rPr>
          <w:rFonts w:ascii="Arial" w:hAnsi="Arial" w:eastAsia="Calibri" w:cs="Arial"/>
          <w:iCs/>
          <w:sz w:val="22"/>
        </w:rPr>
        <w:t>Lo anterior</w:t>
      </w:r>
      <w:r w:rsidRPr="00E810BE" w:rsidR="00D11423">
        <w:rPr>
          <w:rFonts w:ascii="Arial" w:hAnsi="Arial" w:eastAsia="Calibri" w:cs="Arial"/>
          <w:iCs/>
          <w:sz w:val="22"/>
        </w:rPr>
        <w:t>,</w:t>
      </w:r>
      <w:r w:rsidRPr="00E810BE" w:rsidR="008315A8">
        <w:rPr>
          <w:rFonts w:ascii="Arial" w:hAnsi="Arial" w:eastAsia="Calibri" w:cs="Arial"/>
          <w:iCs/>
          <w:sz w:val="22"/>
        </w:rPr>
        <w:t xml:space="preserve"> considerando</w:t>
      </w:r>
      <w:r w:rsidRPr="00E810BE" w:rsidR="00723034">
        <w:rPr>
          <w:rFonts w:ascii="Arial" w:hAnsi="Arial" w:eastAsia="Calibri" w:cs="Arial"/>
          <w:iCs/>
          <w:sz w:val="22"/>
        </w:rPr>
        <w:t xml:space="preserve"> que el reglamento </w:t>
      </w:r>
      <w:r w:rsidRPr="00E810BE" w:rsidR="00D11423">
        <w:rPr>
          <w:rFonts w:ascii="Arial" w:hAnsi="Arial" w:eastAsia="Calibri" w:cs="Arial"/>
          <w:iCs/>
          <w:sz w:val="22"/>
        </w:rPr>
        <w:t>omitió señalar</w:t>
      </w:r>
      <w:r w:rsidRPr="00E810BE" w:rsidR="00592630">
        <w:rPr>
          <w:rFonts w:ascii="Arial" w:hAnsi="Arial" w:eastAsia="Calibri" w:cs="Arial"/>
          <w:iCs/>
          <w:sz w:val="22"/>
        </w:rPr>
        <w:t xml:space="preserve"> el</w:t>
      </w:r>
      <w:r w:rsidRPr="00E810BE" w:rsidR="00723034">
        <w:rPr>
          <w:rFonts w:ascii="Arial" w:hAnsi="Arial" w:eastAsia="Calibri" w:cs="Arial"/>
          <w:iCs/>
          <w:sz w:val="22"/>
        </w:rPr>
        <w:t xml:space="preserve"> tiempo </w:t>
      </w:r>
      <w:r w:rsidRPr="00E810BE" w:rsidR="00D11423">
        <w:rPr>
          <w:rFonts w:ascii="Arial" w:hAnsi="Arial" w:eastAsia="Calibri" w:cs="Arial"/>
          <w:iCs/>
          <w:sz w:val="22"/>
        </w:rPr>
        <w:t xml:space="preserve">que </w:t>
      </w:r>
      <w:r w:rsidRPr="00E810BE" w:rsidR="00723034">
        <w:rPr>
          <w:rFonts w:ascii="Arial" w:hAnsi="Arial" w:eastAsia="Calibri" w:cs="Arial"/>
          <w:iCs/>
          <w:sz w:val="22"/>
        </w:rPr>
        <w:t xml:space="preserve">debe permanecer </w:t>
      </w:r>
      <w:r w:rsidRPr="00E810BE" w:rsidR="008315A8">
        <w:rPr>
          <w:rFonts w:ascii="Arial" w:hAnsi="Arial" w:eastAsia="Calibri" w:cs="Arial"/>
          <w:iCs/>
          <w:sz w:val="22"/>
        </w:rPr>
        <w:t>la anotación</w:t>
      </w:r>
      <w:r w:rsidRPr="00E810BE" w:rsidR="00723034">
        <w:rPr>
          <w:rFonts w:ascii="Arial" w:hAnsi="Arial" w:eastAsia="Calibri" w:cs="Arial"/>
          <w:iCs/>
          <w:sz w:val="22"/>
        </w:rPr>
        <w:t xml:space="preserve"> de la cláusula penal pecuniaria en el RUP. </w:t>
      </w:r>
      <w:r w:rsidRPr="00E810BE" w:rsidR="008315A8">
        <w:rPr>
          <w:rFonts w:ascii="Arial" w:hAnsi="Arial" w:eastAsia="Calibri" w:cs="Arial"/>
          <w:iCs/>
          <w:sz w:val="22"/>
        </w:rPr>
        <w:t xml:space="preserve">La respuesta a este interrogante plantea por los menos tres (3) escenarios de posibles </w:t>
      </w:r>
      <w:r w:rsidRPr="00E810BE" w:rsidR="00592630">
        <w:rPr>
          <w:rFonts w:ascii="Arial" w:hAnsi="Arial" w:eastAsia="Calibri" w:cs="Arial"/>
          <w:iCs/>
          <w:sz w:val="22"/>
        </w:rPr>
        <w:t>soluciones</w:t>
      </w:r>
      <w:r w:rsidRPr="00E810BE" w:rsidR="00DB07E1">
        <w:rPr>
          <w:rFonts w:ascii="Arial" w:hAnsi="Arial" w:eastAsia="Calibri" w:cs="Arial"/>
          <w:iCs/>
          <w:sz w:val="22"/>
        </w:rPr>
        <w:t xml:space="preserve">: </w:t>
      </w:r>
    </w:p>
    <w:p w:rsidRPr="00E810BE" w:rsidR="007664B0" w:rsidP="007664B0" w:rsidRDefault="00592630" w14:paraId="27FEE4CD" w14:textId="48EBE022">
      <w:pPr>
        <w:spacing w:after="120" w:line="276" w:lineRule="auto"/>
        <w:ind w:firstLine="708"/>
        <w:jc w:val="both"/>
        <w:rPr>
          <w:rFonts w:ascii="Arial" w:hAnsi="Arial" w:eastAsia="Calibri" w:cs="Arial"/>
          <w:iCs/>
          <w:sz w:val="22"/>
        </w:rPr>
      </w:pPr>
      <w:r w:rsidRPr="00E810BE">
        <w:rPr>
          <w:rFonts w:ascii="Arial" w:hAnsi="Arial" w:eastAsia="Calibri" w:cs="Arial"/>
          <w:iCs/>
          <w:sz w:val="22"/>
        </w:rPr>
        <w:t xml:space="preserve">La </w:t>
      </w:r>
      <w:r w:rsidRPr="00E810BE">
        <w:rPr>
          <w:rFonts w:ascii="Arial" w:hAnsi="Arial" w:eastAsia="Calibri" w:cs="Arial"/>
          <w:i/>
          <w:sz w:val="22"/>
        </w:rPr>
        <w:t>primera respuesta</w:t>
      </w:r>
      <w:r w:rsidRPr="00E810BE" w:rsidR="00841778">
        <w:rPr>
          <w:rFonts w:ascii="Arial" w:hAnsi="Arial" w:eastAsia="Calibri" w:cs="Arial"/>
          <w:iCs/>
          <w:sz w:val="22"/>
        </w:rPr>
        <w:t xml:space="preserve"> consiste en</w:t>
      </w:r>
      <w:r w:rsidRPr="00E810BE" w:rsidR="004C5D70">
        <w:rPr>
          <w:rFonts w:ascii="Arial" w:hAnsi="Arial" w:eastAsia="Calibri" w:cs="Arial"/>
          <w:iCs/>
          <w:sz w:val="22"/>
        </w:rPr>
        <w:t xml:space="preserve"> aplica</w:t>
      </w:r>
      <w:r w:rsidRPr="00E810BE">
        <w:rPr>
          <w:rFonts w:ascii="Arial" w:hAnsi="Arial" w:eastAsia="Calibri" w:cs="Arial"/>
          <w:iCs/>
          <w:sz w:val="22"/>
        </w:rPr>
        <w:t>r</w:t>
      </w:r>
      <w:r w:rsidRPr="00E810BE" w:rsidR="004C5D70">
        <w:rPr>
          <w:rFonts w:ascii="Arial" w:hAnsi="Arial" w:eastAsia="Calibri" w:cs="Arial"/>
          <w:iCs/>
          <w:sz w:val="22"/>
        </w:rPr>
        <w:t xml:space="preserve"> por analogía </w:t>
      </w:r>
      <w:r w:rsidRPr="00E810BE">
        <w:rPr>
          <w:rFonts w:ascii="Arial" w:hAnsi="Arial" w:eastAsia="Calibri" w:cs="Arial"/>
          <w:iCs/>
          <w:sz w:val="22"/>
        </w:rPr>
        <w:t>el</w:t>
      </w:r>
      <w:r w:rsidRPr="00E810BE" w:rsidR="00E649F2">
        <w:rPr>
          <w:rFonts w:ascii="Arial" w:hAnsi="Arial" w:eastAsia="Calibri" w:cs="Arial"/>
          <w:iCs/>
          <w:sz w:val="22"/>
        </w:rPr>
        <w:t xml:space="preserve"> término de </w:t>
      </w:r>
      <w:r w:rsidRPr="00E810BE" w:rsidR="002F0186">
        <w:rPr>
          <w:rFonts w:ascii="Arial" w:hAnsi="Arial" w:eastAsia="Calibri" w:cs="Arial"/>
          <w:iCs/>
          <w:sz w:val="22"/>
        </w:rPr>
        <w:t xml:space="preserve">publicación </w:t>
      </w:r>
      <w:r w:rsidRPr="00E810BE" w:rsidR="00CF29E6">
        <w:rPr>
          <w:rFonts w:ascii="Arial" w:hAnsi="Arial" w:eastAsia="Calibri" w:cs="Arial"/>
          <w:iCs/>
          <w:sz w:val="22"/>
        </w:rPr>
        <w:t xml:space="preserve">previsto </w:t>
      </w:r>
      <w:r w:rsidRPr="00E810BE" w:rsidR="002F0186">
        <w:rPr>
          <w:rFonts w:ascii="Arial" w:hAnsi="Arial" w:eastAsia="Calibri" w:cs="Arial"/>
          <w:iCs/>
          <w:sz w:val="22"/>
        </w:rPr>
        <w:t xml:space="preserve">para la multa </w:t>
      </w:r>
      <w:r w:rsidRPr="00E810BE" w:rsidR="00391F79">
        <w:rPr>
          <w:rFonts w:ascii="Arial" w:hAnsi="Arial" w:eastAsia="Calibri" w:cs="Arial"/>
          <w:iCs/>
          <w:sz w:val="22"/>
        </w:rPr>
        <w:t>en el artículo 2.2.1.1.1.5.7 del Decreto 1082 de 2015</w:t>
      </w:r>
      <w:r w:rsidRPr="00E810BE" w:rsidR="002F0186">
        <w:rPr>
          <w:rFonts w:ascii="Arial" w:hAnsi="Arial" w:eastAsia="Calibri" w:cs="Arial"/>
          <w:iCs/>
          <w:sz w:val="22"/>
        </w:rPr>
        <w:t xml:space="preserve">. </w:t>
      </w:r>
      <w:r w:rsidRPr="00E810BE" w:rsidR="00253ED0">
        <w:rPr>
          <w:rFonts w:ascii="Arial" w:hAnsi="Arial" w:eastAsia="Calibri" w:cs="Arial"/>
          <w:iCs/>
          <w:sz w:val="22"/>
        </w:rPr>
        <w:t xml:space="preserve">Para </w:t>
      </w:r>
      <w:r w:rsidRPr="00E810BE" w:rsidR="00391F79">
        <w:rPr>
          <w:rFonts w:ascii="Arial" w:hAnsi="Arial" w:eastAsia="Calibri" w:cs="Arial"/>
          <w:iCs/>
          <w:sz w:val="22"/>
        </w:rPr>
        <w:t xml:space="preserve">la </w:t>
      </w:r>
      <w:r w:rsidRPr="00E810BE" w:rsidR="00253ED0">
        <w:rPr>
          <w:rFonts w:ascii="Arial" w:hAnsi="Arial" w:eastAsia="Calibri" w:cs="Arial"/>
          <w:iCs/>
          <w:sz w:val="22"/>
        </w:rPr>
        <w:t xml:space="preserve">Agencia </w:t>
      </w:r>
      <w:r w:rsidRPr="00E810BE" w:rsidR="00574072">
        <w:rPr>
          <w:rFonts w:ascii="Arial" w:hAnsi="Arial" w:eastAsia="Calibri" w:cs="Arial"/>
          <w:iCs/>
          <w:sz w:val="22"/>
        </w:rPr>
        <w:t>esta tesis no resulta conveniente</w:t>
      </w:r>
      <w:r w:rsidRPr="00E810BE" w:rsidR="003B07BE">
        <w:rPr>
          <w:rFonts w:ascii="Arial" w:hAnsi="Arial" w:eastAsia="Calibri" w:cs="Arial"/>
          <w:iCs/>
          <w:sz w:val="22"/>
        </w:rPr>
        <w:t>,</w:t>
      </w:r>
      <w:r w:rsidRPr="00E810BE" w:rsidR="00574072">
        <w:rPr>
          <w:rFonts w:ascii="Arial" w:hAnsi="Arial" w:eastAsia="Calibri" w:cs="Arial"/>
          <w:iCs/>
          <w:sz w:val="22"/>
        </w:rPr>
        <w:t xml:space="preserve"> </w:t>
      </w:r>
      <w:r w:rsidRPr="00E810BE" w:rsidR="00393E78">
        <w:rPr>
          <w:rFonts w:ascii="Arial" w:hAnsi="Arial" w:eastAsia="Calibri" w:cs="Arial"/>
          <w:iCs/>
          <w:sz w:val="22"/>
        </w:rPr>
        <w:t xml:space="preserve">pues </w:t>
      </w:r>
      <w:r w:rsidRPr="00E810BE" w:rsidR="00574072">
        <w:rPr>
          <w:rFonts w:ascii="Arial" w:hAnsi="Arial" w:eastAsia="Calibri" w:cs="Arial"/>
          <w:iCs/>
          <w:sz w:val="22"/>
        </w:rPr>
        <w:t xml:space="preserve">a pesar </w:t>
      </w:r>
      <w:r w:rsidRPr="00E810BE" w:rsidR="003B07BE">
        <w:rPr>
          <w:rFonts w:ascii="Arial" w:hAnsi="Arial" w:eastAsia="Calibri" w:cs="Arial"/>
          <w:iCs/>
          <w:sz w:val="22"/>
        </w:rPr>
        <w:t xml:space="preserve">de </w:t>
      </w:r>
      <w:r w:rsidRPr="00E810BE" w:rsidR="00D11423">
        <w:rPr>
          <w:rFonts w:ascii="Arial" w:hAnsi="Arial" w:eastAsia="Calibri" w:cs="Arial"/>
          <w:iCs/>
          <w:sz w:val="22"/>
        </w:rPr>
        <w:t xml:space="preserve">que </w:t>
      </w:r>
      <w:r w:rsidRPr="00E810BE" w:rsidR="006A41FC">
        <w:rPr>
          <w:rFonts w:ascii="Arial" w:hAnsi="Arial" w:eastAsia="Calibri" w:cs="Arial"/>
          <w:iCs/>
          <w:sz w:val="22"/>
        </w:rPr>
        <w:t>tanto la multa como la cláusula penal pecuniaria son manifestaciones del ejercicio de la potestad sancionatoria de las entidades públicas</w:t>
      </w:r>
      <w:r w:rsidRPr="00E810BE" w:rsidR="00C82037">
        <w:rPr>
          <w:rFonts w:ascii="Arial" w:hAnsi="Arial" w:eastAsia="Calibri" w:cs="Arial"/>
          <w:iCs/>
          <w:sz w:val="22"/>
        </w:rPr>
        <w:t xml:space="preserve">, </w:t>
      </w:r>
      <w:r w:rsidRPr="00E810BE" w:rsidR="00391F79">
        <w:rPr>
          <w:rFonts w:ascii="Arial" w:hAnsi="Arial" w:eastAsia="Calibri" w:cs="Arial"/>
          <w:iCs/>
          <w:sz w:val="22"/>
        </w:rPr>
        <w:t>estas</w:t>
      </w:r>
      <w:r w:rsidRPr="00E810BE" w:rsidR="00C94AD5">
        <w:rPr>
          <w:rFonts w:ascii="Arial" w:hAnsi="Arial" w:eastAsia="Calibri" w:cs="Arial"/>
          <w:iCs/>
          <w:sz w:val="22"/>
        </w:rPr>
        <w:t xml:space="preserve"> no comparten </w:t>
      </w:r>
      <w:r w:rsidRPr="00E810BE" w:rsidR="00391F79">
        <w:rPr>
          <w:rFonts w:ascii="Arial" w:hAnsi="Arial" w:eastAsia="Calibri" w:cs="Arial"/>
          <w:iCs/>
          <w:sz w:val="22"/>
        </w:rPr>
        <w:t>la misma</w:t>
      </w:r>
      <w:r w:rsidRPr="00E810BE" w:rsidR="00D37E49">
        <w:rPr>
          <w:rFonts w:ascii="Arial" w:hAnsi="Arial" w:eastAsia="Calibri" w:cs="Arial"/>
          <w:iCs/>
          <w:sz w:val="22"/>
        </w:rPr>
        <w:t xml:space="preserve"> naturaleza jurídica</w:t>
      </w:r>
      <w:r w:rsidRPr="00E810BE" w:rsidR="00391F79">
        <w:rPr>
          <w:rFonts w:ascii="Arial" w:hAnsi="Arial" w:eastAsia="Calibri" w:cs="Arial"/>
          <w:iCs/>
          <w:sz w:val="22"/>
        </w:rPr>
        <w:t>. En efecto,</w:t>
      </w:r>
      <w:r w:rsidRPr="00E810BE" w:rsidR="00D37E49">
        <w:rPr>
          <w:rFonts w:ascii="Arial" w:hAnsi="Arial" w:eastAsia="Calibri" w:cs="Arial"/>
          <w:iCs/>
          <w:sz w:val="22"/>
        </w:rPr>
        <w:t xml:space="preserve"> la multa es de carácter conminatorio, mientras que la cláusula penal pecuniaria es de naturaleza compensatoria, pues con ella se pretende estimar anticipadamente el valor de los perjuicios causados al contratante </w:t>
      </w:r>
      <w:r w:rsidRPr="00E810BE" w:rsidR="003B07BE">
        <w:rPr>
          <w:rFonts w:ascii="Arial" w:hAnsi="Arial" w:eastAsia="Calibri" w:cs="Arial"/>
          <w:iCs/>
          <w:sz w:val="22"/>
        </w:rPr>
        <w:t>frente al</w:t>
      </w:r>
      <w:r w:rsidRPr="00E810BE" w:rsidR="00CC5149">
        <w:rPr>
          <w:rFonts w:ascii="Arial" w:hAnsi="Arial" w:eastAsia="Calibri" w:cs="Arial"/>
          <w:iCs/>
          <w:sz w:val="22"/>
        </w:rPr>
        <w:t xml:space="preserve"> incumplimiento del contrato.</w:t>
      </w:r>
      <w:r w:rsidRPr="00E810BE" w:rsidR="00B56A20">
        <w:rPr>
          <w:rFonts w:ascii="Arial" w:hAnsi="Arial" w:eastAsia="Calibri" w:cs="Arial"/>
          <w:iCs/>
          <w:sz w:val="22"/>
        </w:rPr>
        <w:t xml:space="preserve"> </w:t>
      </w:r>
      <w:r w:rsidRPr="00E810BE" w:rsidR="003B07BE">
        <w:rPr>
          <w:rFonts w:ascii="Arial" w:hAnsi="Arial" w:eastAsia="Calibri" w:cs="Arial"/>
          <w:iCs/>
          <w:sz w:val="22"/>
        </w:rPr>
        <w:t>En efecto, se tratan de figuras distintas de acuerdo con la regulación establecida en el artículo 17 de la Ley 1150 de 2007.</w:t>
      </w:r>
    </w:p>
    <w:p w:rsidRPr="00E810BE" w:rsidR="00CC5149" w:rsidP="007664B0" w:rsidRDefault="00B56A20" w14:paraId="142A7526" w14:textId="0C902C87">
      <w:pPr>
        <w:spacing w:after="120" w:line="276" w:lineRule="auto"/>
        <w:ind w:firstLine="708"/>
        <w:jc w:val="both"/>
        <w:rPr>
          <w:rFonts w:ascii="Arial" w:hAnsi="Arial" w:eastAsia="Calibri" w:cs="Arial"/>
          <w:iCs/>
          <w:sz w:val="22"/>
        </w:rPr>
      </w:pPr>
      <w:r w:rsidRPr="00E810BE">
        <w:rPr>
          <w:rFonts w:ascii="Arial" w:hAnsi="Arial" w:eastAsia="Calibri" w:cs="Arial"/>
          <w:iCs/>
          <w:sz w:val="22"/>
        </w:rPr>
        <w:t>Por lo demás</w:t>
      </w:r>
      <w:r w:rsidRPr="00E810BE" w:rsidR="003C3B4A">
        <w:rPr>
          <w:rFonts w:ascii="Arial" w:hAnsi="Arial" w:eastAsia="Calibri" w:cs="Arial"/>
          <w:iCs/>
          <w:sz w:val="22"/>
        </w:rPr>
        <w:t xml:space="preserve">, </w:t>
      </w:r>
      <w:r w:rsidRPr="00E810BE">
        <w:rPr>
          <w:rFonts w:ascii="Arial" w:hAnsi="Arial" w:eastAsia="Calibri" w:cs="Arial"/>
          <w:iCs/>
          <w:sz w:val="22"/>
        </w:rPr>
        <w:t>considerando que –conforme a</w:t>
      </w:r>
      <w:r w:rsidRPr="00E810BE" w:rsidR="003C3B4A">
        <w:rPr>
          <w:rFonts w:ascii="Arial" w:hAnsi="Arial" w:eastAsia="Calibri" w:cs="Arial"/>
          <w:iCs/>
          <w:sz w:val="22"/>
        </w:rPr>
        <w:t>l artículo 27 del Código C</w:t>
      </w:r>
      <w:r w:rsidRPr="00E810BE" w:rsidR="00FE257C">
        <w:rPr>
          <w:rFonts w:ascii="Arial" w:hAnsi="Arial" w:eastAsia="Calibri" w:cs="Arial"/>
          <w:iCs/>
          <w:sz w:val="22"/>
        </w:rPr>
        <w:t>ivil</w:t>
      </w:r>
      <w:r w:rsidRPr="00E810BE" w:rsidR="00BA6142">
        <w:rPr>
          <w:rFonts w:ascii="Arial" w:hAnsi="Arial" w:eastAsia="Calibri" w:cs="Arial"/>
          <w:iCs/>
          <w:sz w:val="22"/>
        </w:rPr>
        <w:t xml:space="preserve">– </w:t>
      </w:r>
      <w:r w:rsidRPr="00E810BE" w:rsidR="00800C4B">
        <w:rPr>
          <w:rFonts w:ascii="Arial" w:hAnsi="Arial" w:cs="Arial"/>
          <w:sz w:val="21"/>
          <w:szCs w:val="21"/>
        </w:rPr>
        <w:t>«</w:t>
      </w:r>
      <w:r w:rsidRPr="00E810BE" w:rsidR="00FE257C">
        <w:rPr>
          <w:rFonts w:ascii="Arial" w:hAnsi="Arial" w:eastAsia="Calibri" w:cs="Arial"/>
          <w:iCs/>
          <w:sz w:val="22"/>
        </w:rPr>
        <w:t xml:space="preserve">cuando el sentido de la ley sea claro, no se desatenderá a su tenor literal a pretexto </w:t>
      </w:r>
      <w:r w:rsidRPr="00E810BE" w:rsidR="001C0252">
        <w:rPr>
          <w:rFonts w:ascii="Arial" w:hAnsi="Arial" w:eastAsia="Calibri" w:cs="Arial"/>
          <w:iCs/>
          <w:sz w:val="22"/>
        </w:rPr>
        <w:t>de consulta</w:t>
      </w:r>
      <w:r w:rsidRPr="00E810BE" w:rsidR="00D53524">
        <w:rPr>
          <w:rFonts w:ascii="Arial" w:hAnsi="Arial" w:eastAsia="Calibri" w:cs="Arial"/>
          <w:iCs/>
          <w:sz w:val="22"/>
        </w:rPr>
        <w:t>r</w:t>
      </w:r>
      <w:r w:rsidRPr="00E810BE" w:rsidR="001C0252">
        <w:rPr>
          <w:rFonts w:ascii="Arial" w:hAnsi="Arial" w:eastAsia="Calibri" w:cs="Arial"/>
          <w:iCs/>
          <w:sz w:val="22"/>
        </w:rPr>
        <w:t xml:space="preserve"> su espíritu</w:t>
      </w:r>
      <w:r w:rsidRPr="00E810BE" w:rsidR="00D53524">
        <w:rPr>
          <w:rFonts w:ascii="Arial" w:hAnsi="Arial" w:cs="Arial"/>
          <w:sz w:val="21"/>
          <w:szCs w:val="21"/>
        </w:rPr>
        <w:t>»</w:t>
      </w:r>
      <w:r w:rsidRPr="00E810BE" w:rsidR="001C0252">
        <w:rPr>
          <w:rFonts w:ascii="Arial" w:hAnsi="Arial" w:eastAsia="Calibri" w:cs="Arial"/>
          <w:iCs/>
          <w:sz w:val="22"/>
        </w:rPr>
        <w:t xml:space="preserve">, </w:t>
      </w:r>
      <w:r w:rsidRPr="00E810BE" w:rsidR="00BA6142">
        <w:rPr>
          <w:rFonts w:ascii="Arial" w:hAnsi="Arial" w:eastAsia="Calibri" w:cs="Arial"/>
          <w:iCs/>
          <w:sz w:val="22"/>
        </w:rPr>
        <w:t xml:space="preserve">no </w:t>
      </w:r>
      <w:r w:rsidRPr="00E810BE" w:rsidR="001C0252">
        <w:rPr>
          <w:rFonts w:ascii="Arial" w:hAnsi="Arial" w:eastAsia="Calibri" w:cs="Arial"/>
          <w:iCs/>
          <w:sz w:val="22"/>
        </w:rPr>
        <w:t>es procedente extender el término establecido para las multas</w:t>
      </w:r>
      <w:r w:rsidRPr="00E810BE" w:rsidR="00BA6142">
        <w:rPr>
          <w:rFonts w:ascii="Arial" w:hAnsi="Arial" w:eastAsia="Calibri" w:cs="Arial"/>
          <w:iCs/>
          <w:sz w:val="22"/>
        </w:rPr>
        <w:t xml:space="preserve"> a la cláusula penal. Esto en la medida que el artículo 2.2.1.1.1.5.7 del Decreto 1082 de 2015</w:t>
      </w:r>
      <w:r w:rsidRPr="00E810BE" w:rsidR="00B16431">
        <w:rPr>
          <w:rFonts w:ascii="Arial" w:hAnsi="Arial" w:eastAsia="Calibri" w:cs="Arial"/>
          <w:iCs/>
          <w:sz w:val="22"/>
        </w:rPr>
        <w:t xml:space="preserve"> determinó la regla aplicable en materia de publicidad para las multas, excluyendo otra</w:t>
      </w:r>
      <w:r w:rsidRPr="00E810BE" w:rsidR="00BA6142">
        <w:rPr>
          <w:rFonts w:ascii="Arial" w:hAnsi="Arial" w:eastAsia="Calibri" w:cs="Arial"/>
          <w:iCs/>
          <w:sz w:val="22"/>
        </w:rPr>
        <w:t xml:space="preserve"> clase de</w:t>
      </w:r>
      <w:r w:rsidRPr="00E810BE" w:rsidR="00B16431">
        <w:rPr>
          <w:rFonts w:ascii="Arial" w:hAnsi="Arial" w:eastAsia="Calibri" w:cs="Arial"/>
          <w:iCs/>
          <w:sz w:val="22"/>
        </w:rPr>
        <w:t xml:space="preserve"> sanciones</w:t>
      </w:r>
      <w:r w:rsidRPr="00E810BE" w:rsidR="007664B0">
        <w:rPr>
          <w:rFonts w:ascii="Arial" w:hAnsi="Arial" w:eastAsia="Calibri" w:cs="Arial"/>
          <w:iCs/>
          <w:sz w:val="22"/>
        </w:rPr>
        <w:t xml:space="preserve"> pues, en caso contrario, no tendría efecto útil la dis</w:t>
      </w:r>
      <w:r w:rsidRPr="00E810BE" w:rsidR="00E322A0">
        <w:rPr>
          <w:rFonts w:ascii="Arial" w:hAnsi="Arial" w:eastAsia="Calibri" w:cs="Arial"/>
          <w:iCs/>
          <w:sz w:val="22"/>
        </w:rPr>
        <w:t xml:space="preserve">criminación </w:t>
      </w:r>
      <w:r w:rsidRPr="00E810BE" w:rsidR="00BA6142">
        <w:rPr>
          <w:rFonts w:ascii="Arial" w:hAnsi="Arial" w:eastAsia="Calibri" w:cs="Arial"/>
          <w:iCs/>
          <w:sz w:val="22"/>
        </w:rPr>
        <w:t>prevista en el reglamento</w:t>
      </w:r>
      <w:r w:rsidRPr="00E810BE" w:rsidR="00E322A0">
        <w:rPr>
          <w:rFonts w:ascii="Arial" w:hAnsi="Arial" w:eastAsia="Calibri" w:cs="Arial"/>
          <w:iCs/>
          <w:sz w:val="22"/>
        </w:rPr>
        <w:t xml:space="preserve">. </w:t>
      </w:r>
    </w:p>
    <w:p w:rsidRPr="00E810BE" w:rsidR="00D53524" w:rsidRDefault="00CC5149" w14:paraId="4098F600" w14:textId="0C630C19">
      <w:pPr>
        <w:spacing w:after="120" w:line="276" w:lineRule="auto"/>
        <w:ind w:firstLine="708"/>
        <w:jc w:val="both"/>
        <w:rPr>
          <w:rFonts w:ascii="Arial" w:hAnsi="Arial" w:eastAsia="Calibri" w:cs="Arial"/>
          <w:iCs/>
          <w:sz w:val="22"/>
        </w:rPr>
      </w:pPr>
      <w:r w:rsidRPr="00E810BE">
        <w:rPr>
          <w:rFonts w:ascii="Arial" w:hAnsi="Arial" w:eastAsia="Calibri" w:cs="Arial"/>
          <w:iCs/>
          <w:sz w:val="22"/>
        </w:rPr>
        <w:t xml:space="preserve">La </w:t>
      </w:r>
      <w:r w:rsidRPr="00E810BE">
        <w:rPr>
          <w:rFonts w:ascii="Arial" w:hAnsi="Arial" w:eastAsia="Calibri" w:cs="Arial"/>
          <w:i/>
          <w:sz w:val="22"/>
        </w:rPr>
        <w:t xml:space="preserve">segunda </w:t>
      </w:r>
      <w:r w:rsidRPr="00E810BE" w:rsidR="00BA6142">
        <w:rPr>
          <w:rFonts w:ascii="Arial" w:hAnsi="Arial" w:eastAsia="Calibri" w:cs="Arial"/>
          <w:i/>
          <w:sz w:val="22"/>
        </w:rPr>
        <w:t>respuesta</w:t>
      </w:r>
      <w:r w:rsidRPr="00E810BE">
        <w:rPr>
          <w:rFonts w:ascii="Arial" w:hAnsi="Arial" w:eastAsia="Calibri" w:cs="Arial"/>
          <w:iCs/>
          <w:sz w:val="22"/>
        </w:rPr>
        <w:t xml:space="preserve"> </w:t>
      </w:r>
      <w:r w:rsidRPr="00E810BE" w:rsidR="00BA6142">
        <w:rPr>
          <w:rFonts w:ascii="Arial" w:hAnsi="Arial" w:eastAsia="Calibri" w:cs="Arial"/>
          <w:iCs/>
          <w:sz w:val="22"/>
        </w:rPr>
        <w:t>se relaciona con</w:t>
      </w:r>
      <w:r w:rsidRPr="00E810BE" w:rsidR="007B02DC">
        <w:rPr>
          <w:rFonts w:ascii="Arial" w:hAnsi="Arial" w:eastAsia="Calibri" w:cs="Arial"/>
          <w:iCs/>
          <w:sz w:val="22"/>
        </w:rPr>
        <w:t xml:space="preserve"> la</w:t>
      </w:r>
      <w:r w:rsidRPr="00E810BE" w:rsidR="00F06ECC">
        <w:rPr>
          <w:rFonts w:ascii="Arial" w:hAnsi="Arial" w:eastAsia="Calibri" w:cs="Arial"/>
          <w:iCs/>
          <w:sz w:val="22"/>
        </w:rPr>
        <w:t xml:space="preserve"> publicidad </w:t>
      </w:r>
      <w:r w:rsidRPr="00E810BE" w:rsidR="00263DB9">
        <w:rPr>
          <w:rFonts w:ascii="Arial" w:hAnsi="Arial" w:eastAsia="Calibri" w:cs="Arial"/>
          <w:iCs/>
          <w:sz w:val="22"/>
        </w:rPr>
        <w:t xml:space="preserve">ilimitada </w:t>
      </w:r>
      <w:r w:rsidRPr="00E810BE" w:rsidR="00A34E0E">
        <w:rPr>
          <w:rFonts w:ascii="Arial" w:hAnsi="Arial" w:eastAsia="Calibri" w:cs="Arial"/>
          <w:iCs/>
          <w:sz w:val="22"/>
        </w:rPr>
        <w:t>de</w:t>
      </w:r>
      <w:r w:rsidRPr="00E810BE" w:rsidR="00263DB9">
        <w:rPr>
          <w:rFonts w:ascii="Arial" w:hAnsi="Arial" w:eastAsia="Calibri" w:cs="Arial"/>
          <w:iCs/>
          <w:sz w:val="22"/>
        </w:rPr>
        <w:t xml:space="preserve"> la</w:t>
      </w:r>
      <w:r w:rsidRPr="00E810BE" w:rsidR="00A34E0E">
        <w:rPr>
          <w:rFonts w:ascii="Arial" w:hAnsi="Arial" w:eastAsia="Calibri" w:cs="Arial"/>
          <w:iCs/>
          <w:sz w:val="22"/>
        </w:rPr>
        <w:t xml:space="preserve"> cláusula penal pecuniaria, esto es, que se certifique indefinidamente en el </w:t>
      </w:r>
      <w:r w:rsidRPr="00E810BE" w:rsidR="003B07BE">
        <w:rPr>
          <w:rFonts w:ascii="Arial" w:hAnsi="Arial" w:eastAsia="Calibri" w:cs="Arial"/>
          <w:iCs/>
          <w:sz w:val="22"/>
        </w:rPr>
        <w:t>R</w:t>
      </w:r>
      <w:r w:rsidRPr="00E810BE" w:rsidR="00A34E0E">
        <w:rPr>
          <w:rFonts w:ascii="Arial" w:hAnsi="Arial" w:eastAsia="Calibri" w:cs="Arial"/>
          <w:iCs/>
          <w:sz w:val="22"/>
        </w:rPr>
        <w:t xml:space="preserve">egistro </w:t>
      </w:r>
      <w:r w:rsidRPr="00E810BE" w:rsidR="003B07BE">
        <w:rPr>
          <w:rFonts w:ascii="Arial" w:hAnsi="Arial" w:eastAsia="Calibri" w:cs="Arial"/>
          <w:iCs/>
          <w:sz w:val="22"/>
        </w:rPr>
        <w:t>Ú</w:t>
      </w:r>
      <w:r w:rsidRPr="00E810BE" w:rsidR="00A34E0E">
        <w:rPr>
          <w:rFonts w:ascii="Arial" w:hAnsi="Arial" w:eastAsia="Calibri" w:cs="Arial"/>
          <w:iCs/>
          <w:sz w:val="22"/>
        </w:rPr>
        <w:t xml:space="preserve">nico de </w:t>
      </w:r>
      <w:r w:rsidRPr="00E810BE" w:rsidR="003B07BE">
        <w:rPr>
          <w:rFonts w:ascii="Arial" w:hAnsi="Arial" w:eastAsia="Calibri" w:cs="Arial"/>
          <w:iCs/>
          <w:sz w:val="22"/>
        </w:rPr>
        <w:t>P</w:t>
      </w:r>
      <w:r w:rsidRPr="00E810BE" w:rsidR="00A34E0E">
        <w:rPr>
          <w:rFonts w:ascii="Arial" w:hAnsi="Arial" w:eastAsia="Calibri" w:cs="Arial"/>
          <w:iCs/>
          <w:sz w:val="22"/>
        </w:rPr>
        <w:t>roponentes</w:t>
      </w:r>
      <w:r w:rsidRPr="00E810BE" w:rsidR="00364DED">
        <w:rPr>
          <w:rFonts w:ascii="Arial" w:hAnsi="Arial" w:eastAsia="Calibri" w:cs="Arial"/>
          <w:iCs/>
          <w:sz w:val="22"/>
        </w:rPr>
        <w:t xml:space="preserve"> la nota de la sanción impuesta</w:t>
      </w:r>
      <w:r w:rsidRPr="00E810BE" w:rsidR="00A34E0E">
        <w:rPr>
          <w:rFonts w:ascii="Arial" w:hAnsi="Arial" w:eastAsia="Calibri" w:cs="Arial"/>
          <w:iCs/>
          <w:sz w:val="22"/>
        </w:rPr>
        <w:t xml:space="preserve">. A juicio de </w:t>
      </w:r>
      <w:r w:rsidRPr="00E810BE" w:rsidR="00263DB9">
        <w:rPr>
          <w:rFonts w:ascii="Arial" w:hAnsi="Arial" w:eastAsia="Calibri" w:cs="Arial"/>
          <w:iCs/>
          <w:sz w:val="22"/>
        </w:rPr>
        <w:t>l</w:t>
      </w:r>
      <w:r w:rsidRPr="00E810BE" w:rsidR="00A34E0E">
        <w:rPr>
          <w:rFonts w:ascii="Arial" w:hAnsi="Arial" w:eastAsia="Calibri" w:cs="Arial"/>
          <w:iCs/>
          <w:sz w:val="22"/>
        </w:rPr>
        <w:t xml:space="preserve">a Agencia, </w:t>
      </w:r>
      <w:r w:rsidRPr="00E810BE" w:rsidR="00364DED">
        <w:rPr>
          <w:rFonts w:ascii="Arial" w:hAnsi="Arial" w:eastAsia="Calibri" w:cs="Arial"/>
          <w:iCs/>
          <w:sz w:val="22"/>
        </w:rPr>
        <w:t xml:space="preserve">dicha </w:t>
      </w:r>
      <w:r w:rsidRPr="00E810BE" w:rsidR="00A34E0E">
        <w:rPr>
          <w:rFonts w:ascii="Arial" w:hAnsi="Arial" w:eastAsia="Calibri" w:cs="Arial"/>
          <w:iCs/>
          <w:sz w:val="22"/>
        </w:rPr>
        <w:t xml:space="preserve">postura </w:t>
      </w:r>
      <w:r w:rsidRPr="00E810BE" w:rsidR="00C03F48">
        <w:rPr>
          <w:rFonts w:ascii="Arial" w:hAnsi="Arial" w:eastAsia="Calibri" w:cs="Arial"/>
          <w:iCs/>
          <w:sz w:val="22"/>
        </w:rPr>
        <w:t xml:space="preserve">tampoco </w:t>
      </w:r>
      <w:r w:rsidRPr="00E810BE" w:rsidR="0029238C">
        <w:rPr>
          <w:rFonts w:ascii="Arial" w:hAnsi="Arial" w:eastAsia="Calibri" w:cs="Arial"/>
          <w:iCs/>
          <w:sz w:val="22"/>
        </w:rPr>
        <w:t>es</w:t>
      </w:r>
      <w:r w:rsidRPr="00E810BE" w:rsidR="00364DED">
        <w:rPr>
          <w:rFonts w:ascii="Arial" w:hAnsi="Arial" w:eastAsia="Calibri" w:cs="Arial"/>
          <w:iCs/>
          <w:sz w:val="22"/>
        </w:rPr>
        <w:t xml:space="preserve"> adecuada</w:t>
      </w:r>
      <w:r w:rsidRPr="00E810BE" w:rsidR="00C03F48">
        <w:rPr>
          <w:rFonts w:ascii="Arial" w:hAnsi="Arial" w:eastAsia="Calibri" w:cs="Arial"/>
          <w:iCs/>
          <w:sz w:val="22"/>
        </w:rPr>
        <w:t xml:space="preserve"> en tanto que</w:t>
      </w:r>
      <w:r w:rsidRPr="00E810BE" w:rsidR="00263DB9">
        <w:rPr>
          <w:rFonts w:ascii="Arial" w:hAnsi="Arial" w:eastAsia="Calibri" w:cs="Arial"/>
          <w:iCs/>
          <w:sz w:val="22"/>
        </w:rPr>
        <w:t xml:space="preserve"> </w:t>
      </w:r>
      <w:r w:rsidRPr="00E810BE" w:rsidR="0027449C">
        <w:rPr>
          <w:rFonts w:ascii="Arial" w:hAnsi="Arial" w:eastAsia="Calibri" w:cs="Arial"/>
          <w:iCs/>
          <w:sz w:val="22"/>
        </w:rPr>
        <w:t>la publicidad</w:t>
      </w:r>
      <w:r w:rsidRPr="00E810BE" w:rsidR="007B16B5">
        <w:rPr>
          <w:rFonts w:ascii="Arial" w:hAnsi="Arial" w:eastAsia="Calibri" w:cs="Arial"/>
          <w:iCs/>
          <w:sz w:val="22"/>
        </w:rPr>
        <w:t xml:space="preserve"> de </w:t>
      </w:r>
      <w:r w:rsidRPr="00E810BE" w:rsidR="00364DED">
        <w:rPr>
          <w:rFonts w:ascii="Arial" w:hAnsi="Arial" w:eastAsia="Calibri" w:cs="Arial"/>
          <w:iCs/>
          <w:sz w:val="22"/>
        </w:rPr>
        <w:t xml:space="preserve">las </w:t>
      </w:r>
      <w:r w:rsidRPr="00E810BE" w:rsidR="007B16B5">
        <w:rPr>
          <w:rFonts w:ascii="Arial" w:hAnsi="Arial" w:eastAsia="Calibri" w:cs="Arial"/>
          <w:iCs/>
          <w:sz w:val="22"/>
        </w:rPr>
        <w:t>anotaciones</w:t>
      </w:r>
      <w:r w:rsidRPr="00E810BE" w:rsidR="0027449C">
        <w:rPr>
          <w:rFonts w:ascii="Arial" w:hAnsi="Arial" w:eastAsia="Calibri" w:cs="Arial"/>
          <w:iCs/>
          <w:sz w:val="22"/>
        </w:rPr>
        <w:t xml:space="preserve"> en </w:t>
      </w:r>
      <w:r w:rsidRPr="00E810BE" w:rsidR="00364DED">
        <w:rPr>
          <w:rFonts w:ascii="Arial" w:hAnsi="Arial" w:eastAsia="Calibri" w:cs="Arial"/>
          <w:iCs/>
          <w:sz w:val="22"/>
        </w:rPr>
        <w:t>el registro</w:t>
      </w:r>
      <w:r w:rsidRPr="00E810BE" w:rsidR="007B16B5">
        <w:rPr>
          <w:rFonts w:ascii="Arial" w:hAnsi="Arial" w:eastAsia="Calibri" w:cs="Arial"/>
          <w:iCs/>
          <w:sz w:val="22"/>
        </w:rPr>
        <w:t xml:space="preserve"> </w:t>
      </w:r>
      <w:r w:rsidRPr="00E810BE" w:rsidR="0027449C">
        <w:rPr>
          <w:rFonts w:ascii="Arial" w:hAnsi="Arial" w:eastAsia="Calibri" w:cs="Arial"/>
          <w:iCs/>
          <w:sz w:val="22"/>
        </w:rPr>
        <w:t xml:space="preserve">debe </w:t>
      </w:r>
      <w:r w:rsidRPr="00E810BE" w:rsidR="00263DB9">
        <w:rPr>
          <w:rFonts w:ascii="Arial" w:hAnsi="Arial" w:eastAsia="Calibri" w:cs="Arial"/>
          <w:iCs/>
          <w:sz w:val="22"/>
        </w:rPr>
        <w:t xml:space="preserve">tener </w:t>
      </w:r>
      <w:r w:rsidRPr="00E810BE" w:rsidR="009B145D">
        <w:rPr>
          <w:rFonts w:ascii="Arial" w:hAnsi="Arial" w:eastAsia="Calibri" w:cs="Arial"/>
          <w:iCs/>
          <w:sz w:val="22"/>
        </w:rPr>
        <w:t>un límite temporal</w:t>
      </w:r>
      <w:r w:rsidRPr="00E810BE" w:rsidR="00263DB9">
        <w:rPr>
          <w:rFonts w:ascii="Arial" w:hAnsi="Arial" w:eastAsia="Calibri" w:cs="Arial"/>
          <w:iCs/>
          <w:sz w:val="22"/>
        </w:rPr>
        <w:t>. Esta es la orientación general de</w:t>
      </w:r>
      <w:r w:rsidRPr="00E810BE" w:rsidR="003B07BE">
        <w:rPr>
          <w:rFonts w:ascii="Arial" w:hAnsi="Arial" w:eastAsia="Calibri" w:cs="Arial"/>
          <w:iCs/>
          <w:sz w:val="22"/>
        </w:rPr>
        <w:t>l</w:t>
      </w:r>
      <w:r w:rsidRPr="00E810BE" w:rsidR="00263DB9">
        <w:rPr>
          <w:rFonts w:ascii="Arial" w:hAnsi="Arial" w:eastAsia="Calibri" w:cs="Arial"/>
          <w:iCs/>
          <w:sz w:val="22"/>
        </w:rPr>
        <w:t xml:space="preserve"> inciso segundo del artículo </w:t>
      </w:r>
      <w:r w:rsidRPr="00E810BE" w:rsidR="00364DED">
        <w:rPr>
          <w:rFonts w:ascii="Arial" w:hAnsi="Arial" w:eastAsia="Calibri" w:cs="Arial"/>
          <w:iCs/>
          <w:sz w:val="22"/>
        </w:rPr>
        <w:t>6.2 de la Ley 1150 de 2007</w:t>
      </w:r>
      <w:r w:rsidRPr="00E810BE" w:rsidR="003B07BE">
        <w:rPr>
          <w:rFonts w:ascii="Arial" w:hAnsi="Arial" w:eastAsia="Calibri" w:cs="Arial"/>
          <w:iCs/>
          <w:sz w:val="22"/>
        </w:rPr>
        <w:t>,</w:t>
      </w:r>
      <w:r w:rsidRPr="00E810BE" w:rsidR="00364DED">
        <w:rPr>
          <w:rFonts w:ascii="Arial" w:hAnsi="Arial" w:eastAsia="Calibri" w:cs="Arial"/>
          <w:iCs/>
          <w:sz w:val="22"/>
        </w:rPr>
        <w:t xml:space="preserve"> al disponer que </w:t>
      </w:r>
      <w:r w:rsidRPr="00E810BE" w:rsidR="00364DED">
        <w:rPr>
          <w:rFonts w:ascii="Arial" w:hAnsi="Arial" w:eastAsia="Calibri" w:cs="Arial"/>
          <w:iCs/>
          <w:sz w:val="22"/>
          <w:lang w:val="es-CO"/>
        </w:rPr>
        <w:t>los plazos de permanencia de la información en el registro serán señalados por el Gobierno Nacional</w:t>
      </w:r>
      <w:r w:rsidRPr="00E810BE" w:rsidR="007274C9">
        <w:rPr>
          <w:rFonts w:ascii="Arial" w:hAnsi="Arial" w:eastAsia="Calibri" w:cs="Arial"/>
          <w:iCs/>
          <w:sz w:val="22"/>
        </w:rPr>
        <w:t>.</w:t>
      </w:r>
      <w:r w:rsidRPr="00E810BE" w:rsidR="0029238C">
        <w:rPr>
          <w:rFonts w:ascii="Arial" w:hAnsi="Arial" w:eastAsia="Calibri" w:cs="Arial"/>
          <w:iCs/>
          <w:sz w:val="22"/>
        </w:rPr>
        <w:t xml:space="preserve"> Por lo demás, </w:t>
      </w:r>
      <w:r w:rsidRPr="00E810BE" w:rsidR="0029238C">
        <w:rPr>
          <w:rFonts w:ascii="Arial" w:hAnsi="Arial" w:eastAsia="Calibri" w:cs="Arial"/>
          <w:iCs/>
          <w:sz w:val="22"/>
          <w:lang w:val="es-CO"/>
        </w:rPr>
        <w:t xml:space="preserve">si bien el artículo 3.1, inciso segundo, de la Ley 1437 de 2011 dispone que «En materia administrativa sancionatoria, se observarán adicionalmente los principios de legalidad de las faltas y de las sanciones, de presunción de inocencia, de </w:t>
      </w:r>
      <w:r w:rsidRPr="00E810BE" w:rsidR="0029238C">
        <w:rPr>
          <w:rFonts w:ascii="Arial" w:hAnsi="Arial" w:eastAsia="Calibri" w:cs="Arial"/>
          <w:i/>
          <w:iCs/>
          <w:sz w:val="22"/>
          <w:lang w:val="es-CO"/>
        </w:rPr>
        <w:t>no reformatio in pejus</w:t>
      </w:r>
      <w:r w:rsidRPr="00E810BE" w:rsidR="0029238C">
        <w:rPr>
          <w:rFonts w:ascii="Arial" w:hAnsi="Arial" w:eastAsia="Calibri" w:cs="Arial"/>
          <w:iCs/>
          <w:sz w:val="22"/>
          <w:lang w:val="es-CO"/>
        </w:rPr>
        <w:t xml:space="preserve"> y </w:t>
      </w:r>
      <w:r w:rsidRPr="00E810BE" w:rsidR="0029238C">
        <w:rPr>
          <w:rFonts w:ascii="Arial" w:hAnsi="Arial" w:eastAsia="Calibri" w:cs="Arial"/>
          <w:i/>
          <w:iCs/>
          <w:sz w:val="22"/>
          <w:lang w:val="es-CO"/>
        </w:rPr>
        <w:t xml:space="preserve">non bis in </w:t>
      </w:r>
      <w:proofErr w:type="spellStart"/>
      <w:r w:rsidRPr="00E810BE" w:rsidR="0029238C">
        <w:rPr>
          <w:rFonts w:ascii="Arial" w:hAnsi="Arial" w:eastAsia="Calibri" w:cs="Arial"/>
          <w:i/>
          <w:iCs/>
          <w:sz w:val="22"/>
          <w:lang w:val="es-CO"/>
        </w:rPr>
        <w:t>idem</w:t>
      </w:r>
      <w:proofErr w:type="spellEnd"/>
      <w:r w:rsidRPr="00E810BE" w:rsidR="0029238C">
        <w:rPr>
          <w:rFonts w:ascii="Arial" w:hAnsi="Arial" w:eastAsia="Calibri" w:cs="Arial"/>
          <w:iCs/>
          <w:sz w:val="22"/>
          <w:lang w:val="es-CO"/>
        </w:rPr>
        <w:t xml:space="preserve">», la Constitución Política prohíbe la existencia de penas y medidas de seguridad imprescriptibles –art. 28, inciso final–, lo que también impediría que las anotaciones </w:t>
      </w:r>
      <w:r w:rsidRPr="00E810BE" w:rsidR="00677409">
        <w:rPr>
          <w:rFonts w:ascii="Arial" w:hAnsi="Arial" w:eastAsia="Calibri" w:cs="Arial"/>
          <w:iCs/>
          <w:sz w:val="22"/>
          <w:lang w:val="es-CO"/>
        </w:rPr>
        <w:t xml:space="preserve">se </w:t>
      </w:r>
      <w:proofErr w:type="gramStart"/>
      <w:r w:rsidRPr="00E810BE" w:rsidR="00677409">
        <w:rPr>
          <w:rFonts w:ascii="Arial" w:hAnsi="Arial" w:eastAsia="Calibri" w:cs="Arial"/>
          <w:iCs/>
          <w:sz w:val="22"/>
          <w:lang w:val="es-CO"/>
        </w:rPr>
        <w:t>certificaran</w:t>
      </w:r>
      <w:proofErr w:type="gramEnd"/>
      <w:r w:rsidRPr="00E810BE" w:rsidR="00677409">
        <w:rPr>
          <w:rFonts w:ascii="Arial" w:hAnsi="Arial" w:eastAsia="Calibri" w:cs="Arial"/>
          <w:iCs/>
          <w:sz w:val="22"/>
          <w:lang w:val="es-CO"/>
        </w:rPr>
        <w:t xml:space="preserve"> indefinidamente</w:t>
      </w:r>
      <w:r w:rsidRPr="00E810BE" w:rsidR="00A82182">
        <w:rPr>
          <w:rStyle w:val="Refdenotaalpie"/>
          <w:rFonts w:ascii="Arial" w:hAnsi="Arial" w:eastAsia="Calibri" w:cs="Arial"/>
          <w:iCs/>
          <w:sz w:val="22"/>
          <w:lang w:val="es-CO"/>
        </w:rPr>
        <w:footnoteReference w:id="25"/>
      </w:r>
      <w:r w:rsidRPr="00E810BE" w:rsidR="0029238C">
        <w:rPr>
          <w:rFonts w:ascii="Arial" w:hAnsi="Arial" w:eastAsia="Calibri" w:cs="Arial"/>
          <w:iCs/>
          <w:sz w:val="22"/>
          <w:lang w:val="es-CO"/>
        </w:rPr>
        <w:t>.</w:t>
      </w:r>
    </w:p>
    <w:p w:rsidRPr="00E810BE" w:rsidR="00B501F3" w:rsidP="00B501F3" w:rsidRDefault="003A46BE" w14:paraId="7B294758" w14:textId="5B45ABCC">
      <w:pPr>
        <w:spacing w:after="120" w:line="276" w:lineRule="auto"/>
        <w:ind w:firstLine="708"/>
        <w:jc w:val="both"/>
        <w:rPr>
          <w:rFonts w:ascii="Arial" w:hAnsi="Arial" w:cs="Arial"/>
          <w:sz w:val="22"/>
        </w:rPr>
      </w:pPr>
      <w:r w:rsidRPr="00E810BE">
        <w:rPr>
          <w:rFonts w:ascii="Arial" w:hAnsi="Arial" w:eastAsia="Calibri" w:cs="Arial"/>
          <w:iCs/>
          <w:sz w:val="22"/>
        </w:rPr>
        <w:lastRenderedPageBreak/>
        <w:t>Por último</w:t>
      </w:r>
      <w:r w:rsidRPr="00E810BE" w:rsidR="00C3176C">
        <w:rPr>
          <w:rFonts w:ascii="Arial" w:hAnsi="Arial" w:eastAsia="Calibri" w:cs="Arial"/>
          <w:iCs/>
          <w:sz w:val="22"/>
        </w:rPr>
        <w:t xml:space="preserve">, la Agencia Nacional de Contratación Pública – Colombia Compra Eficiente encuentra una </w:t>
      </w:r>
      <w:r w:rsidRPr="00E810BE" w:rsidR="00C3176C">
        <w:rPr>
          <w:rFonts w:ascii="Arial" w:hAnsi="Arial" w:eastAsia="Calibri" w:cs="Arial"/>
          <w:i/>
          <w:sz w:val="22"/>
        </w:rPr>
        <w:t xml:space="preserve">tercera </w:t>
      </w:r>
      <w:r w:rsidRPr="00E810BE" w:rsidR="00677409">
        <w:rPr>
          <w:rFonts w:ascii="Arial" w:hAnsi="Arial" w:eastAsia="Calibri" w:cs="Arial"/>
          <w:i/>
          <w:sz w:val="22"/>
        </w:rPr>
        <w:t>re</w:t>
      </w:r>
      <w:r w:rsidRPr="00E810BE" w:rsidR="004C0693">
        <w:rPr>
          <w:rFonts w:ascii="Arial" w:hAnsi="Arial" w:eastAsia="Calibri" w:cs="Arial"/>
          <w:i/>
          <w:sz w:val="22"/>
        </w:rPr>
        <w:t>s</w:t>
      </w:r>
      <w:r w:rsidRPr="00E810BE" w:rsidR="00677409">
        <w:rPr>
          <w:rFonts w:ascii="Arial" w:hAnsi="Arial" w:eastAsia="Calibri" w:cs="Arial"/>
          <w:i/>
          <w:sz w:val="22"/>
        </w:rPr>
        <w:t>puesta</w:t>
      </w:r>
      <w:r w:rsidRPr="00E810BE" w:rsidR="00C3176C">
        <w:rPr>
          <w:rFonts w:ascii="Arial" w:hAnsi="Arial" w:eastAsia="Calibri" w:cs="Arial"/>
          <w:iCs/>
          <w:sz w:val="22"/>
        </w:rPr>
        <w:t xml:space="preserve"> </w:t>
      </w:r>
      <w:r w:rsidRPr="00E810BE" w:rsidR="00500974">
        <w:rPr>
          <w:rFonts w:ascii="Arial" w:hAnsi="Arial" w:eastAsia="Calibri" w:cs="Arial"/>
          <w:iCs/>
          <w:sz w:val="22"/>
        </w:rPr>
        <w:t>a partir</w:t>
      </w:r>
      <w:r w:rsidRPr="00E810BE" w:rsidR="00C3176C">
        <w:rPr>
          <w:rFonts w:ascii="Arial" w:hAnsi="Arial" w:eastAsia="Calibri" w:cs="Arial"/>
          <w:iCs/>
          <w:sz w:val="22"/>
        </w:rPr>
        <w:t xml:space="preserve"> del criterio de interpretación </w:t>
      </w:r>
      <w:r w:rsidRPr="00E810BE" w:rsidR="00677409">
        <w:rPr>
          <w:rFonts w:ascii="Arial" w:hAnsi="Arial" w:eastAsia="Calibri" w:cs="Arial"/>
          <w:iCs/>
          <w:sz w:val="22"/>
        </w:rPr>
        <w:t>previsto</w:t>
      </w:r>
      <w:r w:rsidRPr="00E810BE" w:rsidR="00C3176C">
        <w:rPr>
          <w:rFonts w:ascii="Arial" w:hAnsi="Arial" w:eastAsia="Calibri" w:cs="Arial"/>
          <w:iCs/>
          <w:sz w:val="22"/>
        </w:rPr>
        <w:t xml:space="preserve"> en el artículo 30 del Código Civil</w:t>
      </w:r>
      <w:r w:rsidRPr="00E810BE" w:rsidR="00677409">
        <w:rPr>
          <w:rFonts w:ascii="Arial" w:hAnsi="Arial" w:eastAsia="Calibri" w:cs="Arial"/>
          <w:iCs/>
          <w:sz w:val="22"/>
        </w:rPr>
        <w:t xml:space="preserve">. Esta norma dispone que </w:t>
      </w:r>
      <w:r w:rsidRPr="00E810BE" w:rsidR="00800C4B">
        <w:rPr>
          <w:rFonts w:ascii="Arial" w:hAnsi="Arial" w:cs="Arial"/>
          <w:sz w:val="21"/>
          <w:szCs w:val="21"/>
        </w:rPr>
        <w:t>«</w:t>
      </w:r>
      <w:r w:rsidRPr="00E810BE">
        <w:rPr>
          <w:rFonts w:ascii="Arial" w:hAnsi="Arial" w:eastAsia="Calibri" w:cs="Arial"/>
          <w:iCs/>
          <w:sz w:val="22"/>
        </w:rPr>
        <w:t>E</w:t>
      </w:r>
      <w:r w:rsidRPr="00E810BE" w:rsidR="00C3176C">
        <w:rPr>
          <w:rFonts w:ascii="Arial" w:hAnsi="Arial" w:eastAsia="Calibri" w:cs="Arial"/>
          <w:iCs/>
          <w:sz w:val="22"/>
        </w:rPr>
        <w:t xml:space="preserve">l contexto de la ley servirá para ilustrar el sentido de cada una de sus partes, de manera que </w:t>
      </w:r>
      <w:r w:rsidRPr="00E810BE" w:rsidR="00B309E2">
        <w:rPr>
          <w:rFonts w:ascii="Arial" w:hAnsi="Arial" w:eastAsia="Calibri" w:cs="Arial"/>
          <w:iCs/>
          <w:sz w:val="22"/>
        </w:rPr>
        <w:t>haya entre todas ellas la debida correspondencia y armonía</w:t>
      </w:r>
      <w:r w:rsidRPr="00E810BE">
        <w:rPr>
          <w:rFonts w:ascii="Arial" w:hAnsi="Arial" w:eastAsia="Calibri" w:cs="Arial"/>
          <w:iCs/>
          <w:sz w:val="22"/>
        </w:rPr>
        <w:t>» y que</w:t>
      </w:r>
      <w:r w:rsidRPr="00E810BE" w:rsidR="00800C4B">
        <w:rPr>
          <w:rFonts w:ascii="Arial" w:hAnsi="Arial" w:eastAsia="Calibri" w:cs="Arial"/>
          <w:iCs/>
          <w:sz w:val="22"/>
        </w:rPr>
        <w:t xml:space="preserve"> </w:t>
      </w:r>
      <w:r w:rsidRPr="00E810BE">
        <w:rPr>
          <w:rFonts w:ascii="Arial" w:hAnsi="Arial" w:eastAsia="Calibri" w:cs="Arial"/>
          <w:iCs/>
          <w:sz w:val="22"/>
        </w:rPr>
        <w:t>«</w:t>
      </w:r>
      <w:r w:rsidRPr="00E810BE" w:rsidR="00800C4B">
        <w:rPr>
          <w:rFonts w:ascii="Arial" w:hAnsi="Arial" w:eastAsia="Calibri" w:cs="Arial"/>
          <w:iCs/>
          <w:sz w:val="22"/>
        </w:rPr>
        <w:t>Los pasajes oscuros de la Ley pueden ser ilustrados por medio de otras leyes, particularmente si versan sobre el mismo asunto</w:t>
      </w:r>
      <w:r w:rsidRPr="00E810BE" w:rsidR="00800C4B">
        <w:rPr>
          <w:rFonts w:ascii="Arial" w:hAnsi="Arial" w:cs="Arial"/>
          <w:sz w:val="22"/>
        </w:rPr>
        <w:t>»</w:t>
      </w:r>
      <w:r w:rsidRPr="00E810BE" w:rsidR="00955071">
        <w:rPr>
          <w:rFonts w:ascii="Arial" w:hAnsi="Arial" w:cs="Arial"/>
          <w:sz w:val="22"/>
        </w:rPr>
        <w:t>.</w:t>
      </w:r>
    </w:p>
    <w:p w:rsidRPr="00E810BE" w:rsidR="00D639D4" w:rsidP="00216318" w:rsidRDefault="00955071" w14:paraId="210C5A51" w14:textId="0F91FD73">
      <w:pPr>
        <w:spacing w:after="120" w:line="276" w:lineRule="auto"/>
        <w:ind w:firstLine="708"/>
        <w:jc w:val="both"/>
        <w:rPr>
          <w:rFonts w:ascii="Arial" w:hAnsi="Arial" w:eastAsia="Calibri" w:cs="Arial"/>
          <w:iCs/>
          <w:sz w:val="22"/>
        </w:rPr>
      </w:pPr>
      <w:r w:rsidRPr="00E810BE">
        <w:rPr>
          <w:rFonts w:ascii="Arial" w:hAnsi="Arial" w:cs="Arial"/>
          <w:sz w:val="22"/>
        </w:rPr>
        <w:t xml:space="preserve">Particularmente, </w:t>
      </w:r>
      <w:r w:rsidRPr="00E810BE" w:rsidR="00320FDA">
        <w:rPr>
          <w:rFonts w:ascii="Arial" w:hAnsi="Arial" w:cs="Arial"/>
          <w:sz w:val="22"/>
        </w:rPr>
        <w:t>el artículo</w:t>
      </w:r>
      <w:r w:rsidRPr="00E810BE">
        <w:rPr>
          <w:rFonts w:ascii="Arial" w:hAnsi="Arial" w:cs="Arial"/>
          <w:iCs/>
          <w:sz w:val="22"/>
        </w:rPr>
        <w:t xml:space="preserve"> 2.2.1.1.1.5.7 del Decreto 1082 de 2015 regula el deber de </w:t>
      </w:r>
      <w:r w:rsidRPr="00E810BE">
        <w:rPr>
          <w:rFonts w:ascii="Arial" w:hAnsi="Arial" w:cs="Arial"/>
          <w:i/>
          <w:sz w:val="22"/>
        </w:rPr>
        <w:t>reportar</w:t>
      </w:r>
      <w:r w:rsidRPr="00E810BE">
        <w:rPr>
          <w:rFonts w:ascii="Arial" w:hAnsi="Arial" w:cs="Arial"/>
          <w:iCs/>
          <w:sz w:val="22"/>
        </w:rPr>
        <w:t xml:space="preserve"> las </w:t>
      </w:r>
      <w:r w:rsidRPr="00E810BE">
        <w:rPr>
          <w:rFonts w:ascii="Arial" w:hAnsi="Arial" w:cs="Arial"/>
          <w:i/>
          <w:sz w:val="22"/>
        </w:rPr>
        <w:t>sanciones</w:t>
      </w:r>
      <w:r w:rsidRPr="00E810BE">
        <w:rPr>
          <w:rFonts w:ascii="Arial" w:hAnsi="Arial" w:cs="Arial"/>
          <w:iCs/>
          <w:sz w:val="22"/>
        </w:rPr>
        <w:t xml:space="preserve"> a la cámara de comercio</w:t>
      </w:r>
      <w:r w:rsidRPr="00E810BE" w:rsidR="00320FDA">
        <w:rPr>
          <w:rFonts w:ascii="Arial" w:hAnsi="Arial" w:cs="Arial"/>
          <w:iCs/>
          <w:sz w:val="22"/>
        </w:rPr>
        <w:t xml:space="preserve">, </w:t>
      </w:r>
      <w:r w:rsidRPr="00E810BE" w:rsidR="00EB1305">
        <w:rPr>
          <w:rFonts w:ascii="Arial" w:hAnsi="Arial" w:cs="Arial"/>
          <w:iCs/>
          <w:sz w:val="22"/>
        </w:rPr>
        <w:t>e</w:t>
      </w:r>
      <w:r w:rsidRPr="00E810BE" w:rsidR="00320FDA">
        <w:rPr>
          <w:rFonts w:ascii="Arial" w:hAnsi="Arial" w:cs="Arial"/>
          <w:iCs/>
          <w:sz w:val="22"/>
        </w:rPr>
        <w:t xml:space="preserve">l cual se complementa con el </w:t>
      </w:r>
      <w:r w:rsidRPr="00E810BE" w:rsidR="00320FDA">
        <w:rPr>
          <w:rFonts w:ascii="Arial" w:hAnsi="Arial" w:cs="Arial"/>
          <w:sz w:val="22"/>
        </w:rPr>
        <w:t>artículo</w:t>
      </w:r>
      <w:r w:rsidRPr="00E810BE" w:rsidR="00320FDA">
        <w:rPr>
          <w:rFonts w:ascii="Arial" w:hAnsi="Arial" w:cs="Arial"/>
          <w:iCs/>
          <w:sz w:val="22"/>
        </w:rPr>
        <w:t xml:space="preserve"> 2.2.1.1.1.5.7 </w:t>
      </w:r>
      <w:r w:rsidRPr="00E810BE" w:rsidR="00320FDA">
        <w:rPr>
          <w:rFonts w:ascii="Arial" w:hAnsi="Arial" w:cs="Arial"/>
          <w:i/>
          <w:sz w:val="22"/>
        </w:rPr>
        <w:t>ibidem</w:t>
      </w:r>
      <w:r w:rsidRPr="00E810BE" w:rsidR="00320FDA">
        <w:rPr>
          <w:rFonts w:ascii="Arial" w:hAnsi="Arial" w:cs="Arial"/>
          <w:iCs/>
          <w:sz w:val="22"/>
        </w:rPr>
        <w:t xml:space="preserve"> sobre </w:t>
      </w:r>
      <w:r w:rsidRPr="00E810BE">
        <w:rPr>
          <w:rFonts w:ascii="Arial" w:hAnsi="Arial" w:cs="Arial"/>
          <w:iCs/>
          <w:sz w:val="22"/>
        </w:rPr>
        <w:t xml:space="preserve">la obligación de </w:t>
      </w:r>
      <w:r w:rsidRPr="00E810BE">
        <w:rPr>
          <w:rFonts w:ascii="Arial" w:hAnsi="Arial" w:cs="Arial"/>
          <w:i/>
          <w:sz w:val="22"/>
        </w:rPr>
        <w:t>inscribirlas</w:t>
      </w:r>
      <w:r w:rsidRPr="00E810BE">
        <w:rPr>
          <w:rFonts w:ascii="Arial" w:hAnsi="Arial" w:cs="Arial"/>
          <w:iCs/>
          <w:sz w:val="22"/>
        </w:rPr>
        <w:t xml:space="preserve"> en el RUP</w:t>
      </w:r>
      <w:r w:rsidRPr="00E810BE" w:rsidR="00F234A3">
        <w:rPr>
          <w:rFonts w:ascii="Arial" w:hAnsi="Arial" w:cs="Arial"/>
          <w:iCs/>
          <w:sz w:val="22"/>
        </w:rPr>
        <w:t xml:space="preserve">. Aunque el reglamento guarda silencio sobre el </w:t>
      </w:r>
      <w:r w:rsidRPr="00E810BE" w:rsidR="00F234A3">
        <w:rPr>
          <w:rFonts w:ascii="Arial" w:hAnsi="Arial" w:eastAsia="Calibri" w:cs="Arial"/>
          <w:i/>
          <w:sz w:val="22"/>
        </w:rPr>
        <w:t xml:space="preserve">término de permanencia </w:t>
      </w:r>
      <w:r w:rsidRPr="00E810BE" w:rsidR="00F234A3">
        <w:rPr>
          <w:rFonts w:ascii="Arial" w:hAnsi="Arial" w:eastAsia="Calibri" w:cs="Arial"/>
          <w:iCs/>
          <w:sz w:val="22"/>
        </w:rPr>
        <w:t>de las anotaciones en el registro</w:t>
      </w:r>
      <w:r w:rsidRPr="00E810BE" w:rsidR="00297663">
        <w:rPr>
          <w:rFonts w:ascii="Arial" w:hAnsi="Arial" w:eastAsia="Calibri" w:cs="Arial"/>
          <w:iCs/>
          <w:sz w:val="22"/>
        </w:rPr>
        <w:t xml:space="preserve"> respecto </w:t>
      </w:r>
      <w:r w:rsidRPr="00E810BE" w:rsidR="003B07BE">
        <w:rPr>
          <w:rFonts w:ascii="Arial" w:hAnsi="Arial" w:eastAsia="Calibri" w:cs="Arial"/>
          <w:iCs/>
          <w:sz w:val="22"/>
        </w:rPr>
        <w:t>de</w:t>
      </w:r>
      <w:r w:rsidRPr="00E810BE" w:rsidR="00297663">
        <w:rPr>
          <w:rFonts w:ascii="Arial" w:hAnsi="Arial" w:eastAsia="Calibri" w:cs="Arial"/>
          <w:iCs/>
          <w:sz w:val="22"/>
        </w:rPr>
        <w:t xml:space="preserve"> las cláusulas penales</w:t>
      </w:r>
      <w:r w:rsidRPr="00E810BE" w:rsidR="00F234A3">
        <w:rPr>
          <w:rFonts w:ascii="Arial" w:hAnsi="Arial" w:eastAsia="Calibri" w:cs="Arial"/>
          <w:iCs/>
          <w:sz w:val="22"/>
        </w:rPr>
        <w:t xml:space="preserve">, es necesario integrar el ordenamiento jurídico, ya que no es posible adoptar decisiones inhibitorias </w:t>
      </w:r>
      <w:r w:rsidRPr="00E810BE" w:rsidR="00E57AA4">
        <w:rPr>
          <w:rFonts w:ascii="Arial" w:hAnsi="Arial" w:eastAsia="Calibri" w:cs="Arial"/>
          <w:iCs/>
          <w:sz w:val="22"/>
        </w:rPr>
        <w:t xml:space="preserve">sobre la base del silencio, oscuridad o insuficiencia </w:t>
      </w:r>
      <w:r w:rsidRPr="00E810BE" w:rsidR="00623EE3">
        <w:rPr>
          <w:rFonts w:ascii="Arial" w:hAnsi="Arial" w:eastAsia="Calibri" w:cs="Arial"/>
          <w:iCs/>
          <w:sz w:val="22"/>
        </w:rPr>
        <w:t>de las normas</w:t>
      </w:r>
      <w:r w:rsidRPr="00E810BE" w:rsidR="00E57AA4">
        <w:rPr>
          <w:rFonts w:ascii="Arial" w:hAnsi="Arial" w:eastAsia="Calibri" w:cs="Arial"/>
          <w:iCs/>
          <w:sz w:val="22"/>
        </w:rPr>
        <w:t xml:space="preserve"> –art. 48 de la Ley 153 de 1887</w:t>
      </w:r>
      <w:r w:rsidRPr="00E810BE" w:rsidR="00675865">
        <w:rPr>
          <w:rFonts w:ascii="Arial" w:hAnsi="Arial" w:eastAsia="Calibri" w:cs="Arial"/>
          <w:iCs/>
          <w:sz w:val="22"/>
        </w:rPr>
        <w:t xml:space="preserve"> </w:t>
      </w:r>
      <w:r w:rsidRPr="00E810BE" w:rsidR="003B07BE">
        <w:rPr>
          <w:rFonts w:ascii="Arial" w:hAnsi="Arial" w:eastAsia="Calibri" w:cs="Arial"/>
          <w:iCs/>
          <w:sz w:val="22"/>
        </w:rPr>
        <w:t>(</w:t>
      </w:r>
      <w:r w:rsidRPr="00E810BE" w:rsidR="00675865">
        <w:rPr>
          <w:rFonts w:ascii="Arial" w:hAnsi="Arial" w:eastAsia="Calibri" w:cs="Arial"/>
          <w:iCs/>
          <w:sz w:val="22"/>
        </w:rPr>
        <w:t>equivalente al art</w:t>
      </w:r>
      <w:r w:rsidRPr="00E810BE" w:rsidR="00511DBB">
        <w:rPr>
          <w:rFonts w:ascii="Arial" w:hAnsi="Arial" w:eastAsia="Calibri" w:cs="Arial"/>
          <w:iCs/>
          <w:sz w:val="22"/>
        </w:rPr>
        <w:t>.</w:t>
      </w:r>
      <w:r w:rsidRPr="00E810BE" w:rsidR="00675865">
        <w:rPr>
          <w:rFonts w:ascii="Arial" w:hAnsi="Arial" w:eastAsia="Calibri" w:cs="Arial"/>
          <w:iCs/>
          <w:sz w:val="22"/>
        </w:rPr>
        <w:t xml:space="preserve"> 4 del Código de Napoleón</w:t>
      </w:r>
      <w:r w:rsidRPr="00E810BE" w:rsidR="003B07BE">
        <w:rPr>
          <w:rFonts w:ascii="Arial" w:hAnsi="Arial" w:eastAsia="Calibri" w:cs="Arial"/>
          <w:iCs/>
          <w:sz w:val="22"/>
        </w:rPr>
        <w:t>)</w:t>
      </w:r>
      <w:r w:rsidRPr="00E810BE" w:rsidR="00FA6142">
        <w:rPr>
          <w:rFonts w:ascii="Arial" w:hAnsi="Arial" w:eastAsia="Calibri" w:cs="Arial"/>
          <w:iCs/>
          <w:sz w:val="22"/>
        </w:rPr>
        <w:t xml:space="preserve">. </w:t>
      </w:r>
    </w:p>
    <w:p w:rsidRPr="00E810BE" w:rsidR="00955071" w:rsidP="00511DBB" w:rsidRDefault="00FA6142" w14:paraId="7E243270" w14:textId="745593B2">
      <w:pPr>
        <w:spacing w:after="120" w:line="276" w:lineRule="auto"/>
        <w:ind w:firstLine="708"/>
        <w:jc w:val="both"/>
        <w:rPr>
          <w:rFonts w:ascii="Arial" w:hAnsi="Arial" w:eastAsia="Calibri" w:cs="Arial"/>
          <w:iCs/>
          <w:sz w:val="22"/>
        </w:rPr>
      </w:pPr>
      <w:r w:rsidRPr="00E810BE">
        <w:rPr>
          <w:rFonts w:ascii="Arial" w:hAnsi="Arial" w:eastAsia="Calibri" w:cs="Arial"/>
          <w:iCs/>
          <w:sz w:val="22"/>
        </w:rPr>
        <w:t xml:space="preserve">Por ello, </w:t>
      </w:r>
      <w:r w:rsidRPr="00E810BE" w:rsidR="00683716">
        <w:rPr>
          <w:rFonts w:ascii="Arial" w:hAnsi="Arial" w:eastAsia="Calibri" w:cs="Arial"/>
          <w:iCs/>
          <w:sz w:val="22"/>
          <w:lang w:val="es-CO"/>
        </w:rPr>
        <w:t xml:space="preserve">cuando el </w:t>
      </w:r>
      <w:r w:rsidRPr="00E810BE" w:rsidR="00511DBB">
        <w:rPr>
          <w:rFonts w:ascii="Arial" w:hAnsi="Arial" w:eastAsia="Calibri" w:cs="Arial"/>
          <w:iCs/>
          <w:sz w:val="22"/>
          <w:lang w:val="es-CO"/>
        </w:rPr>
        <w:t xml:space="preserve">ordenamiento </w:t>
      </w:r>
      <w:r w:rsidRPr="00E810BE" w:rsidR="00511DBB">
        <w:rPr>
          <w:rFonts w:ascii="Arial" w:hAnsi="Arial" w:eastAsia="Calibri" w:cs="Arial"/>
          <w:iCs/>
          <w:sz w:val="22"/>
        </w:rPr>
        <w:t>no resuelve completamente un caso, dejando sin considerar algún elemento,</w:t>
      </w:r>
      <w:r w:rsidRPr="00E810BE">
        <w:rPr>
          <w:rFonts w:ascii="Arial" w:hAnsi="Arial" w:eastAsia="Calibri" w:cs="Arial"/>
          <w:iCs/>
          <w:sz w:val="22"/>
          <w:lang w:val="es-CO"/>
        </w:rPr>
        <w:t xml:space="preserve"> corresponde al operador jurídico </w:t>
      </w:r>
      <w:r w:rsidRPr="00E810BE" w:rsidR="00511DBB">
        <w:rPr>
          <w:rFonts w:ascii="Arial" w:hAnsi="Arial" w:eastAsia="Calibri" w:cs="Arial"/>
          <w:i/>
          <w:sz w:val="22"/>
          <w:lang w:val="es-CO"/>
        </w:rPr>
        <w:t xml:space="preserve">completar </w:t>
      </w:r>
      <w:r w:rsidRPr="00E810BE" w:rsidR="00511DBB">
        <w:rPr>
          <w:rFonts w:ascii="Arial" w:hAnsi="Arial" w:eastAsia="Calibri" w:cs="Arial"/>
          <w:iCs/>
          <w:sz w:val="22"/>
          <w:lang w:val="es-CO"/>
        </w:rPr>
        <w:t>el precepto</w:t>
      </w:r>
      <w:r w:rsidRPr="00E810BE" w:rsidR="00216318">
        <w:rPr>
          <w:rFonts w:ascii="Arial" w:hAnsi="Arial" w:eastAsia="Calibri" w:cs="Arial"/>
          <w:iCs/>
          <w:sz w:val="22"/>
          <w:lang w:val="es-CO"/>
        </w:rPr>
        <w:t xml:space="preserve">, obteniendo de algún modo la </w:t>
      </w:r>
      <w:proofErr w:type="spellStart"/>
      <w:r w:rsidRPr="00E810BE" w:rsidR="00216318">
        <w:rPr>
          <w:rFonts w:ascii="Arial" w:hAnsi="Arial" w:eastAsia="Calibri" w:cs="Arial"/>
          <w:iCs/>
          <w:sz w:val="22"/>
          <w:lang w:val="es-CO"/>
        </w:rPr>
        <w:t>regIa</w:t>
      </w:r>
      <w:proofErr w:type="spellEnd"/>
      <w:r w:rsidRPr="00E810BE" w:rsidR="00216318">
        <w:rPr>
          <w:rFonts w:ascii="Arial" w:hAnsi="Arial" w:eastAsia="Calibri" w:cs="Arial"/>
          <w:iCs/>
          <w:sz w:val="22"/>
          <w:lang w:val="es-CO"/>
        </w:rPr>
        <w:t xml:space="preserve"> para resolver la controversia</w:t>
      </w:r>
      <w:r w:rsidRPr="00E810BE" w:rsidR="00216318">
        <w:rPr>
          <w:rFonts w:ascii="Arial" w:hAnsi="Arial" w:eastAsia="Calibri" w:cs="Arial"/>
          <w:iCs/>
          <w:sz w:val="22"/>
        </w:rPr>
        <w:t xml:space="preserve"> </w:t>
      </w:r>
      <w:r w:rsidRPr="00E810BE" w:rsidR="003B07BE">
        <w:rPr>
          <w:rFonts w:ascii="Arial" w:hAnsi="Arial" w:eastAsia="Calibri" w:cs="Arial"/>
          <w:iCs/>
          <w:sz w:val="22"/>
        </w:rPr>
        <w:t>bajo</w:t>
      </w:r>
      <w:r w:rsidRPr="00E810BE" w:rsidR="00216318">
        <w:rPr>
          <w:rFonts w:ascii="Arial" w:hAnsi="Arial" w:eastAsia="Calibri" w:cs="Arial"/>
          <w:iCs/>
          <w:sz w:val="22"/>
        </w:rPr>
        <w:t xml:space="preserve"> examen.</w:t>
      </w:r>
      <w:r w:rsidRPr="00E810BE" w:rsidR="00675865">
        <w:rPr>
          <w:rFonts w:ascii="Arial" w:hAnsi="Arial" w:eastAsia="Calibri" w:cs="Arial"/>
          <w:iCs/>
          <w:sz w:val="22"/>
        </w:rPr>
        <w:t xml:space="preserve"> </w:t>
      </w:r>
      <w:r w:rsidRPr="00E810BE" w:rsidR="00277E2B">
        <w:rPr>
          <w:rFonts w:ascii="Arial" w:hAnsi="Arial" w:eastAsia="Calibri" w:cs="Arial"/>
          <w:iCs/>
          <w:sz w:val="22"/>
        </w:rPr>
        <w:t>Por ello,</w:t>
      </w:r>
      <w:r w:rsidRPr="00E810BE" w:rsidR="00675865">
        <w:rPr>
          <w:rFonts w:ascii="Arial" w:hAnsi="Arial" w:eastAsia="Calibri" w:cs="Arial"/>
          <w:iCs/>
          <w:sz w:val="22"/>
        </w:rPr>
        <w:t xml:space="preserve"> la doctrina foránea explica</w:t>
      </w:r>
      <w:r w:rsidRPr="00E810BE" w:rsidR="00D639D4">
        <w:rPr>
          <w:rFonts w:ascii="Arial" w:hAnsi="Arial" w:eastAsia="Calibri" w:cs="Arial"/>
          <w:iCs/>
          <w:sz w:val="22"/>
        </w:rPr>
        <w:t xml:space="preserve"> que</w:t>
      </w:r>
      <w:r w:rsidRPr="00E810BE" w:rsidR="00675865">
        <w:rPr>
          <w:rFonts w:ascii="Arial" w:hAnsi="Arial" w:eastAsia="Calibri" w:cs="Arial"/>
          <w:iCs/>
          <w:sz w:val="22"/>
        </w:rPr>
        <w:t xml:space="preserve"> </w:t>
      </w:r>
      <w:r w:rsidRPr="00E810BE" w:rsidR="00D639D4">
        <w:rPr>
          <w:rFonts w:ascii="Arial" w:hAnsi="Arial" w:eastAsia="Calibri" w:cs="Arial"/>
          <w:iCs/>
          <w:sz w:val="22"/>
        </w:rPr>
        <w:t xml:space="preserve">«Cuando la ley es clara, hay que seguirla; cuando es oscura, se han que examinar detalladamente sus disposiciones. </w:t>
      </w:r>
      <w:r w:rsidRPr="00E810BE" w:rsidR="00D639D4">
        <w:rPr>
          <w:rFonts w:ascii="Arial" w:hAnsi="Arial" w:eastAsia="Calibri" w:cs="Arial"/>
          <w:i/>
          <w:sz w:val="22"/>
        </w:rPr>
        <w:t>A falta de ley, hay que tener en cuenta la costumbre o la equidad. La equidad es el retorno a la ley natural ante el silencio, la contradicción o la oscuridad de las leyes positivas</w:t>
      </w:r>
      <w:r w:rsidRPr="00E810BE" w:rsidR="00D639D4">
        <w:rPr>
          <w:rFonts w:ascii="Arial" w:hAnsi="Arial" w:eastAsia="Calibri" w:cs="Arial"/>
          <w:iCs/>
          <w:sz w:val="22"/>
        </w:rPr>
        <w:t>»</w:t>
      </w:r>
      <w:r w:rsidRPr="00E810BE" w:rsidR="00D639D4">
        <w:rPr>
          <w:rStyle w:val="Refdenotaalpie"/>
          <w:rFonts w:ascii="Arial" w:hAnsi="Arial" w:eastAsia="Calibri" w:cs="Arial"/>
          <w:iCs/>
          <w:sz w:val="22"/>
        </w:rPr>
        <w:footnoteReference w:id="26"/>
      </w:r>
      <w:r w:rsidRPr="00E810BE" w:rsidR="00D639D4">
        <w:rPr>
          <w:rFonts w:ascii="Arial" w:hAnsi="Arial" w:eastAsia="Calibri" w:cs="Arial"/>
          <w:iCs/>
          <w:sz w:val="22"/>
        </w:rPr>
        <w:t xml:space="preserve"> (Énfasis fuera de texto)</w:t>
      </w:r>
      <w:r w:rsidRPr="00E810BE" w:rsidR="006F4065">
        <w:rPr>
          <w:rFonts w:ascii="Arial" w:hAnsi="Arial" w:eastAsia="Calibri" w:cs="Arial"/>
          <w:iCs/>
          <w:sz w:val="22"/>
        </w:rPr>
        <w:t>. Esto también es congruente con</w:t>
      </w:r>
      <w:r w:rsidRPr="00E810BE" w:rsidR="0079338B">
        <w:rPr>
          <w:rFonts w:ascii="Arial" w:hAnsi="Arial" w:eastAsia="Calibri" w:cs="Arial"/>
          <w:iCs/>
          <w:sz w:val="22"/>
        </w:rPr>
        <w:t xml:space="preserve"> el artículo 230 de la Constitución Política de 1991 que consagra la equidad como un criterio auxiliar, así como con</w:t>
      </w:r>
      <w:r w:rsidRPr="00E810BE" w:rsidR="006F4065">
        <w:rPr>
          <w:rFonts w:ascii="Arial" w:hAnsi="Arial" w:eastAsia="Calibri" w:cs="Arial"/>
          <w:iCs/>
          <w:sz w:val="22"/>
        </w:rPr>
        <w:t xml:space="preserve"> el artículo 32 del Código Civil en la medida que «[…] </w:t>
      </w:r>
      <w:r w:rsidRPr="00E810BE" w:rsidR="00511DBB">
        <w:rPr>
          <w:rFonts w:ascii="Arial" w:hAnsi="Arial" w:eastAsia="Calibri" w:cs="Arial"/>
          <w:iCs/>
          <w:sz w:val="22"/>
        </w:rPr>
        <w:t xml:space="preserve">se interpretarán </w:t>
      </w:r>
      <w:r w:rsidRPr="00E810BE" w:rsidR="006F4065">
        <w:rPr>
          <w:rFonts w:ascii="Arial" w:hAnsi="Arial" w:eastAsia="Calibri" w:cs="Arial"/>
          <w:iCs/>
          <w:sz w:val="22"/>
        </w:rPr>
        <w:t>los pasajes oscuros o contradictorios del modo que más conforme parezca al espíritu general de la legislación y a la equidad natural»</w:t>
      </w:r>
      <w:r w:rsidRPr="00E810BE" w:rsidR="00D639D4">
        <w:rPr>
          <w:rFonts w:ascii="Arial" w:hAnsi="Arial" w:eastAsia="Calibri" w:cs="Arial"/>
          <w:iCs/>
          <w:sz w:val="22"/>
        </w:rPr>
        <w:t>.</w:t>
      </w:r>
    </w:p>
    <w:p w:rsidRPr="00E810BE" w:rsidR="000D41BD" w:rsidP="00511DBB" w:rsidRDefault="00623EE3" w14:paraId="695DBD87" w14:textId="12100436">
      <w:pPr>
        <w:spacing w:after="120" w:line="276" w:lineRule="auto"/>
        <w:ind w:firstLine="708"/>
        <w:jc w:val="both"/>
        <w:rPr>
          <w:rFonts w:ascii="Arial" w:hAnsi="Arial" w:eastAsia="Calibri" w:cs="Arial"/>
          <w:iCs/>
          <w:sz w:val="22"/>
        </w:rPr>
      </w:pPr>
      <w:r w:rsidRPr="00E810BE">
        <w:rPr>
          <w:rFonts w:ascii="Arial" w:hAnsi="Arial" w:eastAsia="Calibri" w:cs="Arial"/>
          <w:iCs/>
          <w:sz w:val="22"/>
        </w:rPr>
        <w:t>Esta referencia «al espíritu general de la legislación y a la equidad natural» descarta la posibilidad de</w:t>
      </w:r>
      <w:r w:rsidRPr="00E810BE" w:rsidR="00DF4D6F">
        <w:rPr>
          <w:rFonts w:ascii="Arial" w:hAnsi="Arial" w:eastAsia="Calibri" w:cs="Arial"/>
          <w:iCs/>
          <w:sz w:val="22"/>
        </w:rPr>
        <w:t xml:space="preserve"> que</w:t>
      </w:r>
      <w:r w:rsidRPr="00E810BE">
        <w:rPr>
          <w:rFonts w:ascii="Arial" w:hAnsi="Arial" w:eastAsia="Calibri" w:cs="Arial"/>
          <w:iCs/>
          <w:sz w:val="22"/>
        </w:rPr>
        <w:t xml:space="preserve"> la anotación de la cláusula penal se realice en el registro de forma indefinida, pues si el reglamento consagró un plazo limitado para las multas, no se encuentra una justificación razonable para el tratamiento diferenciado </w:t>
      </w:r>
      <w:r w:rsidRPr="00E810BE" w:rsidR="000D41BD">
        <w:rPr>
          <w:rFonts w:ascii="Arial" w:hAnsi="Arial" w:eastAsia="Calibri" w:cs="Arial"/>
          <w:iCs/>
          <w:sz w:val="22"/>
        </w:rPr>
        <w:t>respecto a</w:t>
      </w:r>
      <w:r w:rsidRPr="00E810BE" w:rsidR="008F7B43">
        <w:rPr>
          <w:rFonts w:ascii="Arial" w:hAnsi="Arial" w:eastAsia="Calibri" w:cs="Arial"/>
          <w:iCs/>
          <w:sz w:val="22"/>
        </w:rPr>
        <w:t xml:space="preserve">l cobro unilateral de los perjuicios compensatorios estimados anticipadamente. Por lo demás, en la </w:t>
      </w:r>
      <w:r w:rsidRPr="00E810BE" w:rsidR="008F7B43">
        <w:rPr>
          <w:rFonts w:ascii="Arial" w:hAnsi="Arial" w:eastAsia="Calibri" w:cs="Arial"/>
          <w:iCs/>
          <w:sz w:val="22"/>
        </w:rPr>
        <w:lastRenderedPageBreak/>
        <w:t>medida que las multas y la cláusula penal pecuniaria tienen una naturaleza jurídica distinta, tampoco existe una base razonable para aplicar el artículo 8 de la Ley 153 de 1887</w:t>
      </w:r>
      <w:r w:rsidRPr="00E810BE" w:rsidR="008F7B43">
        <w:rPr>
          <w:rStyle w:val="Refdenotaalpie"/>
          <w:rFonts w:ascii="Arial" w:hAnsi="Arial" w:eastAsia="Calibri" w:cs="Arial"/>
          <w:iCs/>
          <w:sz w:val="22"/>
        </w:rPr>
        <w:footnoteReference w:id="27"/>
      </w:r>
      <w:r w:rsidRPr="00E810BE" w:rsidR="008F7B43">
        <w:rPr>
          <w:rFonts w:ascii="Arial" w:hAnsi="Arial" w:eastAsia="Calibri" w:cs="Arial"/>
          <w:iCs/>
          <w:sz w:val="22"/>
        </w:rPr>
        <w:t xml:space="preserve">. </w:t>
      </w:r>
    </w:p>
    <w:p w:rsidRPr="00E810BE" w:rsidR="000C58A3" w:rsidP="003C201F" w:rsidRDefault="000D41BD" w14:paraId="5139E808" w14:textId="7BD5129F">
      <w:pPr>
        <w:spacing w:after="120" w:line="276" w:lineRule="auto"/>
        <w:ind w:firstLine="708"/>
        <w:jc w:val="both"/>
        <w:rPr>
          <w:rFonts w:ascii="Arial" w:hAnsi="Arial" w:eastAsia="Calibri" w:cs="Arial"/>
          <w:iCs/>
          <w:sz w:val="22"/>
        </w:rPr>
      </w:pPr>
      <w:r w:rsidRPr="00E810BE">
        <w:rPr>
          <w:rFonts w:ascii="Arial" w:hAnsi="Arial" w:cs="Arial"/>
          <w:sz w:val="22"/>
        </w:rPr>
        <w:t xml:space="preserve">En este punto, es necesario integrar </w:t>
      </w:r>
      <w:r w:rsidRPr="00E810BE" w:rsidR="00320FDA">
        <w:rPr>
          <w:rFonts w:ascii="Arial" w:hAnsi="Arial" w:cs="Arial"/>
          <w:sz w:val="22"/>
        </w:rPr>
        <w:t xml:space="preserve">el </w:t>
      </w:r>
      <w:r w:rsidRPr="00E810BE">
        <w:rPr>
          <w:rFonts w:ascii="Arial" w:hAnsi="Arial" w:cs="Arial"/>
          <w:sz w:val="22"/>
        </w:rPr>
        <w:t xml:space="preserve">artículo </w:t>
      </w:r>
      <w:r w:rsidRPr="00E810BE">
        <w:rPr>
          <w:rFonts w:ascii="Arial" w:hAnsi="Arial" w:cs="Arial"/>
          <w:iCs/>
          <w:sz w:val="22"/>
        </w:rPr>
        <w:t>2.2.1.1.1.5.7 del Decreto 1082 de 2015</w:t>
      </w:r>
      <w:r w:rsidRPr="00E810BE" w:rsidR="00FC2E17">
        <w:rPr>
          <w:rFonts w:ascii="Arial" w:hAnsi="Arial" w:cs="Arial"/>
          <w:iCs/>
          <w:sz w:val="22"/>
        </w:rPr>
        <w:t xml:space="preserve"> con </w:t>
      </w:r>
      <w:r w:rsidRPr="00E810BE" w:rsidR="00FC2E17">
        <w:rPr>
          <w:rFonts w:ascii="Arial" w:hAnsi="Arial" w:cs="Arial"/>
          <w:sz w:val="22"/>
        </w:rPr>
        <w:t>el artículo 90 de la Ley 1474 de 2020</w:t>
      </w:r>
      <w:r w:rsidRPr="00E810BE">
        <w:rPr>
          <w:rFonts w:ascii="Arial" w:hAnsi="Arial" w:cs="Arial"/>
          <w:iCs/>
          <w:sz w:val="22"/>
        </w:rPr>
        <w:t xml:space="preserve">. </w:t>
      </w:r>
      <w:r w:rsidRPr="00E810BE" w:rsidR="008F2CFE">
        <w:rPr>
          <w:rFonts w:ascii="Arial" w:hAnsi="Arial" w:cs="Arial"/>
          <w:iCs/>
          <w:sz w:val="22"/>
        </w:rPr>
        <w:t xml:space="preserve">Al respecto, </w:t>
      </w:r>
      <w:r w:rsidRPr="00E810BE" w:rsidR="00FC2E17">
        <w:rPr>
          <w:rFonts w:ascii="Arial" w:hAnsi="Arial" w:cs="Arial"/>
          <w:iCs/>
          <w:sz w:val="22"/>
        </w:rPr>
        <w:t>este último</w:t>
      </w:r>
      <w:r w:rsidRPr="00E810BE" w:rsidR="008F2CFE">
        <w:rPr>
          <w:rFonts w:ascii="Arial" w:hAnsi="Arial" w:cs="Arial"/>
          <w:iCs/>
          <w:sz w:val="22"/>
        </w:rPr>
        <w:t xml:space="preserve"> dispone que </w:t>
      </w:r>
      <w:r w:rsidRPr="00E810BE" w:rsidR="00320FDA">
        <w:rPr>
          <w:rFonts w:ascii="Arial" w:hAnsi="Arial" w:cs="Arial"/>
          <w:iCs/>
          <w:sz w:val="22"/>
        </w:rPr>
        <w:t>la inhabilidad por incumplimiento reiterado se extenderá por un término de tres (3) años, contados a partir de la publicación del acto administrativo que impone la inscripción de la última multa o incumplimiento en el Registro Único de Proponentes, de acuerdo con la información remitida por las entidades públicas</w:t>
      </w:r>
      <w:r w:rsidRPr="00E810BE" w:rsidR="00297663">
        <w:rPr>
          <w:rFonts w:ascii="Arial" w:hAnsi="Arial" w:cs="Arial"/>
          <w:iCs/>
          <w:sz w:val="22"/>
        </w:rPr>
        <w:t xml:space="preserve">. Dado que el artículo 17 de la Ley 1150 de 2007 dispone que las entidades estatales podrán declarar el incumplimiento con el propósito de hacer efectiva la cláusula penal, esta es una de las sanciones contractuales </w:t>
      </w:r>
      <w:r w:rsidRPr="00E810BE" w:rsidR="00981D39">
        <w:rPr>
          <w:rFonts w:ascii="Arial" w:hAnsi="Arial" w:cs="Arial"/>
          <w:iCs/>
          <w:sz w:val="22"/>
        </w:rPr>
        <w:t xml:space="preserve">que deben </w:t>
      </w:r>
      <w:r w:rsidRPr="00E810BE" w:rsidR="00981D39">
        <w:rPr>
          <w:rFonts w:ascii="Arial" w:hAnsi="Arial" w:cs="Arial"/>
          <w:i/>
          <w:sz w:val="22"/>
        </w:rPr>
        <w:t>reportarse</w:t>
      </w:r>
      <w:r w:rsidRPr="00E810BE" w:rsidR="00981D39">
        <w:rPr>
          <w:rFonts w:ascii="Arial" w:hAnsi="Arial" w:cs="Arial"/>
          <w:iCs/>
          <w:sz w:val="22"/>
        </w:rPr>
        <w:t xml:space="preserve"> a la cámara de comercio e </w:t>
      </w:r>
      <w:r w:rsidRPr="00E810BE" w:rsidR="00981D39">
        <w:rPr>
          <w:rFonts w:ascii="Arial" w:hAnsi="Arial" w:cs="Arial"/>
          <w:i/>
          <w:sz w:val="22"/>
        </w:rPr>
        <w:t>inscribirse</w:t>
      </w:r>
      <w:r w:rsidRPr="00E810BE" w:rsidR="00981D39">
        <w:rPr>
          <w:rFonts w:ascii="Arial" w:hAnsi="Arial" w:cs="Arial"/>
          <w:iCs/>
          <w:sz w:val="22"/>
        </w:rPr>
        <w:t xml:space="preserve"> en RUP de acuerdo con el artículo 2.2.1.1.1.5.7 del Decreto 1082 de 2015</w:t>
      </w:r>
      <w:r w:rsidRPr="00E810BE" w:rsidR="00622CE1">
        <w:rPr>
          <w:rFonts w:ascii="Arial" w:hAnsi="Arial" w:cs="Arial"/>
          <w:iCs/>
          <w:sz w:val="22"/>
        </w:rPr>
        <w:t>.</w:t>
      </w:r>
      <w:r w:rsidRPr="00E810BE" w:rsidR="00671E92">
        <w:rPr>
          <w:rFonts w:ascii="Arial" w:hAnsi="Arial" w:cs="Arial"/>
          <w:iCs/>
          <w:sz w:val="22"/>
        </w:rPr>
        <w:t xml:space="preserve"> </w:t>
      </w:r>
      <w:r w:rsidRPr="00E810BE" w:rsidR="003C201F">
        <w:rPr>
          <w:rFonts w:ascii="Arial" w:hAnsi="Arial" w:cs="Arial"/>
          <w:iCs/>
          <w:sz w:val="22"/>
        </w:rPr>
        <w:t>Ahora bien, considerando</w:t>
      </w:r>
      <w:r w:rsidRPr="00E810BE" w:rsidR="00671E92">
        <w:rPr>
          <w:rFonts w:ascii="Arial" w:hAnsi="Arial" w:cs="Arial"/>
          <w:iCs/>
          <w:sz w:val="22"/>
        </w:rPr>
        <w:t xml:space="preserve"> que el reglamento guardó silencio </w:t>
      </w:r>
      <w:r w:rsidRPr="00E810BE" w:rsidR="00FC2E17">
        <w:rPr>
          <w:rFonts w:ascii="Arial" w:hAnsi="Arial" w:cs="Arial"/>
          <w:iCs/>
          <w:sz w:val="22"/>
        </w:rPr>
        <w:t xml:space="preserve">sobre </w:t>
      </w:r>
      <w:r w:rsidRPr="00E810BE" w:rsidR="00671E92">
        <w:rPr>
          <w:rFonts w:ascii="Arial" w:hAnsi="Arial" w:eastAsia="Calibri" w:cs="Arial"/>
          <w:iCs/>
          <w:sz w:val="22"/>
        </w:rPr>
        <w:t xml:space="preserve">el </w:t>
      </w:r>
      <w:r w:rsidRPr="00E810BE" w:rsidR="00671E92">
        <w:rPr>
          <w:rFonts w:ascii="Arial" w:hAnsi="Arial" w:eastAsia="Calibri" w:cs="Arial"/>
          <w:i/>
          <w:sz w:val="22"/>
        </w:rPr>
        <w:t>término de permanencia</w:t>
      </w:r>
      <w:r w:rsidRPr="00E810BE" w:rsidR="00671E92">
        <w:rPr>
          <w:rFonts w:ascii="Arial" w:hAnsi="Arial" w:eastAsia="Calibri" w:cs="Arial"/>
          <w:iCs/>
          <w:sz w:val="22"/>
        </w:rPr>
        <w:t xml:space="preserve"> de la anotación de la cláusula penal pecuniaria, la Agencia estima que esta deberá constar en el registro por un término de tres (3)</w:t>
      </w:r>
      <w:r w:rsidRPr="00E810BE" w:rsidR="00FC2E17">
        <w:rPr>
          <w:rFonts w:ascii="Arial" w:hAnsi="Arial" w:eastAsia="Calibri" w:cs="Arial"/>
          <w:iCs/>
          <w:sz w:val="22"/>
        </w:rPr>
        <w:t xml:space="preserve"> años contados a partir de la publicación de </w:t>
      </w:r>
      <w:proofErr w:type="gramStart"/>
      <w:r w:rsidRPr="00E810BE" w:rsidR="00FC2E17">
        <w:rPr>
          <w:rFonts w:ascii="Arial" w:hAnsi="Arial" w:eastAsia="Calibri" w:cs="Arial"/>
          <w:iCs/>
          <w:sz w:val="22"/>
        </w:rPr>
        <w:t>la misma</w:t>
      </w:r>
      <w:proofErr w:type="gramEnd"/>
      <w:r w:rsidRPr="00E810BE" w:rsidR="003C201F">
        <w:rPr>
          <w:rFonts w:ascii="Arial" w:hAnsi="Arial" w:eastAsia="Calibri" w:cs="Arial"/>
          <w:iCs/>
          <w:sz w:val="22"/>
        </w:rPr>
        <w:t>.</w:t>
      </w:r>
      <w:r w:rsidRPr="00E810BE" w:rsidR="000C58A3">
        <w:rPr>
          <w:rFonts w:ascii="Arial" w:hAnsi="Arial" w:eastAsia="Calibri" w:cs="Arial"/>
          <w:iCs/>
          <w:sz w:val="22"/>
        </w:rPr>
        <w:t xml:space="preserve"> </w:t>
      </w:r>
    </w:p>
    <w:p w:rsidRPr="00E810BE" w:rsidR="00420ABA" w:rsidP="00BC7ED1" w:rsidRDefault="00735ED7" w14:paraId="0098296A" w14:textId="044A58C6">
      <w:pPr>
        <w:spacing w:after="120" w:line="276" w:lineRule="auto"/>
        <w:ind w:firstLine="708"/>
        <w:jc w:val="both"/>
        <w:rPr>
          <w:rFonts w:ascii="Arial" w:hAnsi="Arial" w:eastAsia="Calibri" w:cs="Arial"/>
          <w:iCs/>
          <w:sz w:val="22"/>
        </w:rPr>
      </w:pPr>
      <w:r w:rsidRPr="00E810BE">
        <w:rPr>
          <w:rFonts w:ascii="Arial" w:hAnsi="Arial" w:eastAsia="Calibri" w:cs="Arial"/>
          <w:iCs/>
          <w:sz w:val="22"/>
        </w:rPr>
        <w:t>E</w:t>
      </w:r>
      <w:r w:rsidRPr="00E810BE" w:rsidR="000C58A3">
        <w:rPr>
          <w:rFonts w:ascii="Arial" w:hAnsi="Arial" w:eastAsia="Calibri" w:cs="Arial"/>
          <w:iCs/>
          <w:sz w:val="22"/>
        </w:rPr>
        <w:t>sta postura permite armonizar el Decreto Único Reglamentario del Sector de Planeación Nacional con el Estatuto Anticorrupción</w:t>
      </w:r>
      <w:r w:rsidRPr="00E810BE" w:rsidR="00F63BF5">
        <w:rPr>
          <w:rFonts w:ascii="Arial" w:hAnsi="Arial" w:eastAsia="Calibri" w:cs="Arial"/>
          <w:iCs/>
          <w:sz w:val="22"/>
        </w:rPr>
        <w:t xml:space="preserve"> –incluyendo sus modificaciones posteriores–</w:t>
      </w:r>
      <w:r w:rsidRPr="00E810BE">
        <w:rPr>
          <w:rFonts w:ascii="Arial" w:hAnsi="Arial" w:eastAsia="Calibri" w:cs="Arial"/>
          <w:iCs/>
          <w:sz w:val="22"/>
        </w:rPr>
        <w:t xml:space="preserve">, ya </w:t>
      </w:r>
      <w:r w:rsidRPr="00E810BE" w:rsidR="000C58A3">
        <w:rPr>
          <w:rFonts w:ascii="Arial" w:hAnsi="Arial" w:eastAsia="Calibri" w:cs="Arial"/>
          <w:iCs/>
          <w:sz w:val="22"/>
        </w:rPr>
        <w:t xml:space="preserve">que </w:t>
      </w:r>
      <w:r w:rsidRPr="00E810BE">
        <w:rPr>
          <w:rFonts w:ascii="Arial" w:hAnsi="Arial" w:eastAsia="Calibri" w:cs="Arial"/>
          <w:iCs/>
          <w:sz w:val="22"/>
        </w:rPr>
        <w:t>–</w:t>
      </w:r>
      <w:r w:rsidRPr="00E810BE" w:rsidR="000C58A3">
        <w:rPr>
          <w:rFonts w:ascii="Arial" w:hAnsi="Arial" w:eastAsia="Calibri" w:cs="Arial"/>
          <w:iCs/>
          <w:sz w:val="22"/>
        </w:rPr>
        <w:t xml:space="preserve">conforme a lo explicado </w:t>
      </w:r>
      <w:r w:rsidRPr="00E810BE" w:rsidR="000C58A3">
        <w:rPr>
          <w:rFonts w:ascii="Arial" w:hAnsi="Arial" w:eastAsia="Calibri" w:cs="Arial"/>
          <w:i/>
          <w:sz w:val="22"/>
        </w:rPr>
        <w:t>ut supra</w:t>
      </w:r>
      <w:r w:rsidRPr="00E810BE">
        <w:rPr>
          <w:rFonts w:ascii="Arial" w:hAnsi="Arial" w:eastAsia="Calibri" w:cs="Arial"/>
          <w:iCs/>
          <w:sz w:val="22"/>
        </w:rPr>
        <w:t>–</w:t>
      </w:r>
      <w:r w:rsidRPr="00E810BE" w:rsidR="000C58A3">
        <w:rPr>
          <w:rFonts w:ascii="Arial" w:hAnsi="Arial" w:eastAsia="Calibri" w:cs="Arial"/>
          <w:iCs/>
          <w:sz w:val="22"/>
        </w:rPr>
        <w:t xml:space="preserve"> es necesaria la publicidad de las sanciones contractuales, especialmente, cuando el incumplimiento reiterado genera una inhabilidad para contratar con </w:t>
      </w:r>
      <w:r w:rsidRPr="00E810BE" w:rsidR="00540DCF">
        <w:rPr>
          <w:rFonts w:ascii="Arial" w:hAnsi="Arial" w:eastAsia="Calibri" w:cs="Arial"/>
          <w:iCs/>
          <w:sz w:val="22"/>
        </w:rPr>
        <w:t xml:space="preserve">el </w:t>
      </w:r>
      <w:r w:rsidRPr="00E810BE" w:rsidR="000C58A3">
        <w:rPr>
          <w:rFonts w:ascii="Arial" w:hAnsi="Arial" w:eastAsia="Calibri" w:cs="Arial"/>
          <w:iCs/>
          <w:sz w:val="22"/>
        </w:rPr>
        <w:t>Estado en los términos del artículo 90 de la Ley 1474 de 2011</w:t>
      </w:r>
      <w:r w:rsidRPr="00E810BE" w:rsidR="00F63BF5">
        <w:rPr>
          <w:rFonts w:ascii="Arial" w:hAnsi="Arial" w:eastAsia="Calibri" w:cs="Arial"/>
          <w:iCs/>
          <w:sz w:val="22"/>
        </w:rPr>
        <w:t xml:space="preserve"> –modificado por el artículo 43 de la Ley 1955 de 2019–</w:t>
      </w:r>
      <w:r w:rsidRPr="00E810BE">
        <w:rPr>
          <w:rFonts w:ascii="Arial" w:hAnsi="Arial" w:eastAsia="Calibri" w:cs="Arial"/>
          <w:iCs/>
          <w:sz w:val="22"/>
        </w:rPr>
        <w:t xml:space="preserve">. Esta forma de integrar el ordenamiento también es congruente con el artículo 30 del Código Civil, pues </w:t>
      </w:r>
      <w:r w:rsidRPr="00E810BE" w:rsidR="00F63BF5">
        <w:rPr>
          <w:rFonts w:ascii="Arial" w:hAnsi="Arial" w:eastAsia="Calibri" w:cs="Arial"/>
          <w:iCs/>
          <w:sz w:val="22"/>
        </w:rPr>
        <w:t>mediante</w:t>
      </w:r>
      <w:r w:rsidRPr="00E810BE">
        <w:rPr>
          <w:rFonts w:ascii="Arial" w:hAnsi="Arial" w:eastAsia="Calibri" w:cs="Arial"/>
          <w:iCs/>
          <w:sz w:val="22"/>
        </w:rPr>
        <w:t xml:space="preserve"> este parámetro hermenéutico la norma </w:t>
      </w:r>
      <w:r w:rsidRPr="00E810BE" w:rsidR="00F63BF5">
        <w:rPr>
          <w:rFonts w:ascii="Arial" w:hAnsi="Arial" w:eastAsia="Calibri" w:cs="Arial"/>
          <w:iCs/>
          <w:sz w:val="22"/>
        </w:rPr>
        <w:t>–</w:t>
      </w:r>
      <w:r w:rsidRPr="00E810BE">
        <w:rPr>
          <w:rFonts w:ascii="Arial" w:hAnsi="Arial" w:eastAsia="Calibri" w:cs="Arial"/>
          <w:iCs/>
          <w:sz w:val="22"/>
        </w:rPr>
        <w:t>equivalente en la codificación chilena de 1855</w:t>
      </w:r>
      <w:r w:rsidRPr="00E810BE" w:rsidR="00F63BF5">
        <w:rPr>
          <w:rFonts w:ascii="Arial" w:hAnsi="Arial" w:eastAsia="Calibri" w:cs="Arial"/>
          <w:iCs/>
          <w:sz w:val="22"/>
        </w:rPr>
        <w:t>–</w:t>
      </w:r>
      <w:r w:rsidRPr="00E810BE">
        <w:rPr>
          <w:rFonts w:ascii="Arial" w:hAnsi="Arial" w:eastAsia="Calibri" w:cs="Arial"/>
          <w:iCs/>
          <w:sz w:val="22"/>
        </w:rPr>
        <w:t xml:space="preserve"> </w:t>
      </w:r>
      <w:r w:rsidRPr="00E810BE" w:rsidR="00F757ED">
        <w:rPr>
          <w:rFonts w:ascii="Arial" w:hAnsi="Arial" w:eastAsia="Calibri" w:cs="Arial"/>
          <w:iCs/>
          <w:sz w:val="22"/>
        </w:rPr>
        <w:t>pretendió que «Las expresiones equívocas u oscuras deben interpretarse por medio de los términos claros y precisos que con relación a la materia de que se trata ha empleado el autor en otras partes del mismo escrito, o en otra ocasión semejante»</w:t>
      </w:r>
      <w:r w:rsidRPr="00E810BE" w:rsidR="00056DA1">
        <w:rPr>
          <w:rStyle w:val="Refdenotaalpie"/>
          <w:rFonts w:ascii="Arial" w:hAnsi="Arial" w:eastAsia="Calibri" w:cs="Arial"/>
          <w:iCs/>
          <w:sz w:val="22"/>
        </w:rPr>
        <w:footnoteReference w:id="28"/>
      </w:r>
      <w:r w:rsidRPr="00E810BE" w:rsidR="00F757ED">
        <w:rPr>
          <w:rFonts w:ascii="Arial" w:hAnsi="Arial" w:eastAsia="Calibri" w:cs="Arial"/>
          <w:iCs/>
          <w:sz w:val="22"/>
        </w:rPr>
        <w:t xml:space="preserve">. Incluso, con esta pauta también se </w:t>
      </w:r>
      <w:r w:rsidRPr="00E810BE" w:rsidR="00056DA1">
        <w:rPr>
          <w:rFonts w:ascii="Arial" w:hAnsi="Arial" w:eastAsia="Calibri" w:cs="Arial"/>
          <w:iCs/>
          <w:sz w:val="22"/>
        </w:rPr>
        <w:t>explicó</w:t>
      </w:r>
      <w:r w:rsidRPr="00E810BE" w:rsidR="00F757ED">
        <w:rPr>
          <w:rFonts w:ascii="Arial" w:hAnsi="Arial" w:eastAsia="Calibri" w:cs="Arial"/>
          <w:iCs/>
          <w:sz w:val="22"/>
        </w:rPr>
        <w:t xml:space="preserve"> que «</w:t>
      </w:r>
      <w:r w:rsidRPr="00E810BE" w:rsidR="00BC7ED1">
        <w:rPr>
          <w:rFonts w:ascii="Arial" w:hAnsi="Arial" w:eastAsia="Calibri" w:cs="Arial"/>
          <w:iCs/>
          <w:sz w:val="22"/>
        </w:rPr>
        <w:t>Debe ser tal la interpretación, que entre todas las cláusulas del razonamiento haya la mayor consonancia; salvo que aparezca que en las últimas se ha querido modificar las primeras. Otro tanto se aplica a los diferentes tratados que se refieren a un mismo asunto»</w:t>
      </w:r>
      <w:r w:rsidRPr="00E810BE" w:rsidR="00115958">
        <w:rPr>
          <w:rStyle w:val="Refdenotaalpie"/>
          <w:rFonts w:ascii="Arial" w:hAnsi="Arial" w:eastAsia="Calibri" w:cs="Arial"/>
          <w:iCs/>
          <w:sz w:val="22"/>
        </w:rPr>
        <w:footnoteReference w:id="29"/>
      </w:r>
      <w:r w:rsidRPr="00E810BE" w:rsidR="00BC7ED1">
        <w:rPr>
          <w:rFonts w:ascii="Arial" w:hAnsi="Arial" w:eastAsia="Calibri" w:cs="Arial"/>
          <w:iCs/>
          <w:sz w:val="22"/>
        </w:rPr>
        <w:t>.</w:t>
      </w:r>
    </w:p>
    <w:p w:rsidRPr="00E810BE" w:rsidR="00362B0C" w:rsidRDefault="00420ABA" w14:paraId="5CBA22D9" w14:textId="2F7BA53A">
      <w:pPr>
        <w:spacing w:after="120" w:line="276" w:lineRule="auto"/>
        <w:ind w:firstLine="708"/>
        <w:jc w:val="both"/>
        <w:rPr>
          <w:rFonts w:ascii="Arial" w:hAnsi="Arial" w:cs="Arial"/>
          <w:iCs/>
          <w:sz w:val="22"/>
        </w:rPr>
      </w:pPr>
      <w:r w:rsidRPr="00E810BE">
        <w:rPr>
          <w:rFonts w:ascii="Arial" w:hAnsi="Arial" w:eastAsia="Calibri" w:cs="Arial"/>
          <w:iCs/>
          <w:sz w:val="22"/>
        </w:rPr>
        <w:t xml:space="preserve">Partiendo de la falta de regulación </w:t>
      </w:r>
      <w:r w:rsidRPr="00E810BE">
        <w:rPr>
          <w:rFonts w:ascii="Arial" w:hAnsi="Arial" w:cs="Arial"/>
          <w:iCs/>
          <w:sz w:val="22"/>
        </w:rPr>
        <w:t xml:space="preserve">sobre </w:t>
      </w:r>
      <w:r w:rsidRPr="00E810BE">
        <w:rPr>
          <w:rFonts w:ascii="Arial" w:hAnsi="Arial" w:eastAsia="Calibri" w:cs="Arial"/>
          <w:iCs/>
          <w:sz w:val="22"/>
        </w:rPr>
        <w:t xml:space="preserve">el </w:t>
      </w:r>
      <w:r w:rsidRPr="00E810BE">
        <w:rPr>
          <w:rFonts w:ascii="Arial" w:hAnsi="Arial" w:eastAsia="Calibri" w:cs="Arial"/>
          <w:i/>
          <w:sz w:val="22"/>
        </w:rPr>
        <w:t>término de permanencia</w:t>
      </w:r>
      <w:r w:rsidRPr="00E810BE">
        <w:rPr>
          <w:rFonts w:ascii="Arial" w:hAnsi="Arial" w:eastAsia="Calibri" w:cs="Arial"/>
          <w:iCs/>
          <w:sz w:val="22"/>
        </w:rPr>
        <w:t xml:space="preserve"> de la anotación de la cláusula penal pecuniaria en el </w:t>
      </w:r>
      <w:r w:rsidRPr="00E810BE">
        <w:rPr>
          <w:rFonts w:ascii="Arial" w:hAnsi="Arial" w:cs="Arial"/>
          <w:iCs/>
          <w:sz w:val="22"/>
        </w:rPr>
        <w:t>artículo 2.2.1.1.1.5.7 del Decreto 1082 de 2015</w:t>
      </w:r>
      <w:r w:rsidRPr="00E810BE" w:rsidR="00165ED8">
        <w:rPr>
          <w:rFonts w:ascii="Arial" w:hAnsi="Arial" w:cs="Arial"/>
          <w:iCs/>
          <w:sz w:val="22"/>
        </w:rPr>
        <w:t xml:space="preserve"> </w:t>
      </w:r>
      <w:r w:rsidRPr="00E810BE">
        <w:rPr>
          <w:rFonts w:ascii="Arial" w:hAnsi="Arial" w:cs="Arial"/>
          <w:iCs/>
          <w:sz w:val="22"/>
        </w:rPr>
        <w:t>este</w:t>
      </w:r>
      <w:r w:rsidRPr="00E810BE" w:rsidR="00F61C0B">
        <w:rPr>
          <w:rFonts w:ascii="Arial" w:hAnsi="Arial" w:cs="Arial"/>
          <w:iCs/>
          <w:sz w:val="22"/>
        </w:rPr>
        <w:t xml:space="preserve"> </w:t>
      </w:r>
      <w:r w:rsidRPr="00E810BE" w:rsidR="00F61C0B">
        <w:rPr>
          <w:rFonts w:ascii="Arial" w:hAnsi="Arial" w:cs="Arial"/>
          <w:iCs/>
          <w:sz w:val="22"/>
        </w:rPr>
        <w:lastRenderedPageBreak/>
        <w:t>es</w:t>
      </w:r>
      <w:r w:rsidRPr="00E810BE">
        <w:rPr>
          <w:rFonts w:ascii="Arial" w:hAnsi="Arial" w:cs="Arial"/>
          <w:iCs/>
          <w:sz w:val="22"/>
        </w:rPr>
        <w:t xml:space="preserve"> el criterio que la Agencia</w:t>
      </w:r>
      <w:r w:rsidRPr="00E810BE" w:rsidR="001B088E">
        <w:rPr>
          <w:rFonts w:ascii="Arial" w:hAnsi="Arial" w:cs="Arial"/>
          <w:iCs/>
          <w:sz w:val="22"/>
        </w:rPr>
        <w:t>, en ejercicio de la función consultiva,</w:t>
      </w:r>
      <w:r w:rsidRPr="00E810BE">
        <w:rPr>
          <w:rFonts w:ascii="Arial" w:hAnsi="Arial" w:cs="Arial"/>
          <w:iCs/>
          <w:sz w:val="22"/>
        </w:rPr>
        <w:t xml:space="preserve"> </w:t>
      </w:r>
      <w:proofErr w:type="gramStart"/>
      <w:r w:rsidRPr="00E810BE" w:rsidR="00F61C0B">
        <w:rPr>
          <w:rFonts w:ascii="Arial" w:hAnsi="Arial" w:cs="Arial"/>
          <w:iCs/>
          <w:sz w:val="22"/>
        </w:rPr>
        <w:t>estima adecuado</w:t>
      </w:r>
      <w:proofErr w:type="gramEnd"/>
      <w:r w:rsidRPr="00E810BE" w:rsidR="00F61C0B">
        <w:rPr>
          <w:rFonts w:ascii="Arial" w:hAnsi="Arial" w:cs="Arial"/>
          <w:iCs/>
          <w:sz w:val="22"/>
        </w:rPr>
        <w:t xml:space="preserve"> para llenar el vacío </w:t>
      </w:r>
      <w:r w:rsidRPr="00E810BE" w:rsidR="001B088E">
        <w:rPr>
          <w:rFonts w:ascii="Arial" w:hAnsi="Arial" w:cs="Arial"/>
          <w:iCs/>
          <w:sz w:val="22"/>
        </w:rPr>
        <w:t>reglamentario</w:t>
      </w:r>
      <w:r w:rsidRPr="00E810BE" w:rsidR="00F61C0B">
        <w:rPr>
          <w:rFonts w:ascii="Arial" w:hAnsi="Arial" w:cs="Arial"/>
          <w:iCs/>
          <w:sz w:val="22"/>
        </w:rPr>
        <w:t>. Lo anterior sin desco</w:t>
      </w:r>
      <w:r w:rsidRPr="00E810BE" w:rsidR="00520B6B">
        <w:rPr>
          <w:rFonts w:ascii="Arial" w:hAnsi="Arial" w:cs="Arial"/>
          <w:iCs/>
          <w:sz w:val="22"/>
        </w:rPr>
        <w:t>no</w:t>
      </w:r>
      <w:r w:rsidRPr="00E810BE" w:rsidR="00F61C0B">
        <w:rPr>
          <w:rFonts w:ascii="Arial" w:hAnsi="Arial" w:cs="Arial"/>
          <w:iCs/>
          <w:sz w:val="22"/>
        </w:rPr>
        <w:t xml:space="preserve">cer la posibilidad de </w:t>
      </w:r>
      <w:r w:rsidRPr="00E810BE" w:rsidR="00520B6B">
        <w:rPr>
          <w:rFonts w:ascii="Arial" w:hAnsi="Arial" w:cs="Arial"/>
          <w:iCs/>
          <w:sz w:val="22"/>
        </w:rPr>
        <w:t>otras posturas</w:t>
      </w:r>
      <w:r w:rsidRPr="00E810BE" w:rsidR="00F61C0B">
        <w:rPr>
          <w:rFonts w:ascii="Arial" w:hAnsi="Arial" w:cs="Arial"/>
          <w:iCs/>
          <w:sz w:val="22"/>
        </w:rPr>
        <w:t xml:space="preserve"> igualmente persuasivas, y sin perder de vista que –en ejercicio de la competencia prevista en el artículo 189.11 superior– el </w:t>
      </w:r>
      <w:r w:rsidRPr="00E810BE" w:rsidR="00F63BF5">
        <w:rPr>
          <w:rFonts w:ascii="Arial" w:hAnsi="Arial" w:cs="Arial"/>
          <w:iCs/>
          <w:sz w:val="22"/>
        </w:rPr>
        <w:t>G</w:t>
      </w:r>
      <w:r w:rsidRPr="00E810BE" w:rsidR="00F61C0B">
        <w:rPr>
          <w:rFonts w:ascii="Arial" w:hAnsi="Arial" w:cs="Arial"/>
          <w:iCs/>
          <w:sz w:val="22"/>
        </w:rPr>
        <w:t xml:space="preserve">obierno nacional podría establecer un plazo </w:t>
      </w:r>
      <w:r w:rsidRPr="00E810BE" w:rsidR="00165ED8">
        <w:rPr>
          <w:rFonts w:ascii="Arial" w:hAnsi="Arial" w:cs="Arial"/>
          <w:iCs/>
          <w:sz w:val="22"/>
        </w:rPr>
        <w:t>distinto</w:t>
      </w:r>
      <w:r w:rsidRPr="00E810BE" w:rsidR="00F61C0B">
        <w:rPr>
          <w:rFonts w:ascii="Arial" w:hAnsi="Arial" w:cs="Arial"/>
          <w:iCs/>
          <w:sz w:val="22"/>
        </w:rPr>
        <w:t>.</w:t>
      </w:r>
      <w:r w:rsidRPr="00E810BE">
        <w:rPr>
          <w:rFonts w:ascii="Arial" w:hAnsi="Arial" w:eastAsia="Calibri" w:cs="Arial"/>
          <w:iCs/>
          <w:sz w:val="22"/>
        </w:rPr>
        <w:t xml:space="preserve"> </w:t>
      </w:r>
      <w:r w:rsidRPr="00E810BE" w:rsidR="00362B0C">
        <w:rPr>
          <w:rFonts w:ascii="Arial" w:hAnsi="Arial" w:eastAsia="Calibri" w:cs="Arial"/>
          <w:iCs/>
          <w:sz w:val="22"/>
        </w:rPr>
        <w:t>En todo caso, la inhabilidad prevista en el artículo 90 de la Ley 1474 de 2011 se hará explícita en el Registro Único de Proponentes cuando a ello haya lugar.</w:t>
      </w:r>
    </w:p>
    <w:p w:rsidRPr="00E810BE" w:rsidR="00863622" w:rsidP="00362B0C" w:rsidRDefault="00B501F3" w14:paraId="1ED393A1" w14:textId="5451BF02">
      <w:pPr>
        <w:spacing w:after="120" w:line="276" w:lineRule="auto"/>
        <w:ind w:firstLine="708"/>
        <w:jc w:val="both"/>
        <w:rPr>
          <w:rFonts w:ascii="Arial" w:hAnsi="Arial" w:cs="Arial"/>
          <w:sz w:val="22"/>
        </w:rPr>
      </w:pPr>
      <w:r w:rsidRPr="00E810BE">
        <w:rPr>
          <w:rFonts w:ascii="Arial" w:hAnsi="Arial" w:cs="Arial"/>
          <w:sz w:val="22"/>
        </w:rPr>
        <w:t>Sin embargo,</w:t>
      </w:r>
      <w:r w:rsidRPr="00E810BE" w:rsidR="00520B6B">
        <w:rPr>
          <w:rFonts w:ascii="Arial" w:hAnsi="Arial" w:cs="Arial"/>
          <w:sz w:val="22"/>
        </w:rPr>
        <w:t xml:space="preserve"> conforme al artículo 2.2.1.1.1.5.5</w:t>
      </w:r>
      <w:r w:rsidRPr="00E810BE">
        <w:rPr>
          <w:rFonts w:ascii="Arial" w:hAnsi="Arial" w:cs="Arial"/>
          <w:sz w:val="22"/>
        </w:rPr>
        <w:t xml:space="preserve"> </w:t>
      </w:r>
      <w:r w:rsidRPr="00E810BE" w:rsidR="00520B6B">
        <w:rPr>
          <w:rFonts w:ascii="Arial" w:hAnsi="Arial" w:cs="Arial"/>
          <w:sz w:val="22"/>
        </w:rPr>
        <w:t>del Decreto 1082 de 2015, es necesario tener en cuenta que «</w:t>
      </w:r>
      <w:r w:rsidRPr="00E810BE" w:rsidR="00520B6B">
        <w:rPr>
          <w:rFonts w:ascii="Arial" w:hAnsi="Arial" w:cs="Arial"/>
          <w:i/>
          <w:iCs/>
          <w:sz w:val="22"/>
        </w:rPr>
        <w:t>La Superintendencia de Industria y Comercio autorizará</w:t>
      </w:r>
      <w:r w:rsidRPr="00E810BE" w:rsidR="00520B6B">
        <w:rPr>
          <w:rFonts w:ascii="Arial" w:hAnsi="Arial" w:cs="Arial"/>
          <w:sz w:val="22"/>
        </w:rPr>
        <w:t xml:space="preserve"> el formulario de solicitud de registro en el RUP y </w:t>
      </w:r>
      <w:r w:rsidRPr="00E810BE" w:rsidR="00520B6B">
        <w:rPr>
          <w:rFonts w:ascii="Arial" w:hAnsi="Arial" w:cs="Arial"/>
          <w:i/>
          <w:iCs/>
          <w:sz w:val="22"/>
        </w:rPr>
        <w:t>el esquema gráfico del certificado que para el efecto le presenten las cámaras de comercio</w:t>
      </w:r>
      <w:r w:rsidRPr="00E810BE" w:rsidR="00520B6B">
        <w:rPr>
          <w:rFonts w:ascii="Arial" w:hAnsi="Arial" w:cs="Arial"/>
          <w:sz w:val="22"/>
        </w:rPr>
        <w:t>»</w:t>
      </w:r>
      <w:r w:rsidRPr="00E810BE" w:rsidR="00165ED8">
        <w:rPr>
          <w:rFonts w:ascii="Arial" w:hAnsi="Arial" w:cs="Arial"/>
          <w:sz w:val="22"/>
        </w:rPr>
        <w:t xml:space="preserve"> (Énfasis fuera de texto). Por tanto, también se exhorta al peticionario a que plantee esta inquietud a la SIC, ya que es el órgano que tiene la competencia para estandarizar</w:t>
      </w:r>
      <w:r w:rsidRPr="00E810BE" w:rsidR="00054787">
        <w:rPr>
          <w:rFonts w:ascii="Arial" w:hAnsi="Arial" w:cs="Arial"/>
          <w:sz w:val="22"/>
        </w:rPr>
        <w:t xml:space="preserve"> el esquema gráfico</w:t>
      </w:r>
      <w:r w:rsidRPr="00E810BE" w:rsidR="00165ED8">
        <w:rPr>
          <w:rFonts w:ascii="Arial" w:hAnsi="Arial" w:cs="Arial"/>
          <w:sz w:val="22"/>
        </w:rPr>
        <w:t xml:space="preserve"> </w:t>
      </w:r>
      <w:r w:rsidRPr="00E810BE" w:rsidR="00054787">
        <w:rPr>
          <w:rFonts w:ascii="Arial" w:hAnsi="Arial" w:cs="Arial"/>
          <w:sz w:val="22"/>
        </w:rPr>
        <w:t>d</w:t>
      </w:r>
      <w:r w:rsidRPr="00E810BE" w:rsidR="00165ED8">
        <w:rPr>
          <w:rFonts w:ascii="Arial" w:hAnsi="Arial" w:cs="Arial"/>
          <w:sz w:val="22"/>
        </w:rPr>
        <w:t xml:space="preserve">el </w:t>
      </w:r>
      <w:r w:rsidRPr="00E810BE" w:rsidR="00F63BF5">
        <w:rPr>
          <w:rFonts w:ascii="Arial" w:hAnsi="Arial" w:cs="Arial"/>
          <w:sz w:val="22"/>
        </w:rPr>
        <w:t>R</w:t>
      </w:r>
      <w:r w:rsidRPr="00E810BE" w:rsidR="00165ED8">
        <w:rPr>
          <w:rFonts w:ascii="Arial" w:hAnsi="Arial" w:cs="Arial"/>
          <w:sz w:val="22"/>
        </w:rPr>
        <w:t xml:space="preserve">egistro </w:t>
      </w:r>
      <w:r w:rsidRPr="00E810BE" w:rsidR="00F63BF5">
        <w:rPr>
          <w:rFonts w:ascii="Arial" w:hAnsi="Arial" w:cs="Arial"/>
          <w:sz w:val="22"/>
        </w:rPr>
        <w:t>Ú</w:t>
      </w:r>
      <w:r w:rsidRPr="00E810BE" w:rsidR="00165ED8">
        <w:rPr>
          <w:rFonts w:ascii="Arial" w:hAnsi="Arial" w:cs="Arial"/>
          <w:sz w:val="22"/>
        </w:rPr>
        <w:t xml:space="preserve">nico de </w:t>
      </w:r>
      <w:r w:rsidRPr="00E810BE" w:rsidR="00F63BF5">
        <w:rPr>
          <w:rFonts w:ascii="Arial" w:hAnsi="Arial" w:cs="Arial"/>
          <w:sz w:val="22"/>
        </w:rPr>
        <w:t>P</w:t>
      </w:r>
      <w:r w:rsidRPr="00E810BE" w:rsidR="00165ED8">
        <w:rPr>
          <w:rFonts w:ascii="Arial" w:hAnsi="Arial" w:cs="Arial"/>
          <w:sz w:val="22"/>
        </w:rPr>
        <w:t>roponentes</w:t>
      </w:r>
      <w:r w:rsidRPr="00E810BE" w:rsidR="00520B6B">
        <w:rPr>
          <w:rFonts w:ascii="Arial" w:hAnsi="Arial" w:cs="Arial"/>
          <w:sz w:val="22"/>
        </w:rPr>
        <w:t>.</w:t>
      </w:r>
    </w:p>
    <w:p w:rsidRPr="00E810BE" w:rsidR="00B75B2B" w:rsidP="00FE0EA6" w:rsidRDefault="00B75B2B" w14:paraId="4C38EB51" w14:textId="376AAF2A">
      <w:pPr>
        <w:pStyle w:val="Textoindependiente"/>
        <w:spacing w:line="278" w:lineRule="auto"/>
        <w:ind w:right="49"/>
        <w:jc w:val="both"/>
        <w:rPr>
          <w:rFonts w:eastAsia="Calibri"/>
          <w:lang w:val="es-ES_tradnl"/>
        </w:rPr>
      </w:pPr>
    </w:p>
    <w:p w:rsidRPr="00E810BE" w:rsidR="00A37FB6" w:rsidP="002277B9" w:rsidRDefault="002277B9" w14:paraId="687CB649" w14:textId="652E60D7">
      <w:pPr>
        <w:pStyle w:val="Prrafodelista"/>
        <w:tabs>
          <w:tab w:val="left" w:pos="284"/>
        </w:tabs>
        <w:spacing w:line="276" w:lineRule="auto"/>
        <w:ind w:left="0"/>
        <w:jc w:val="both"/>
        <w:rPr>
          <w:rFonts w:ascii="Arial" w:hAnsi="Arial" w:eastAsia="Calibri" w:cs="Arial"/>
          <w:sz w:val="22"/>
        </w:rPr>
      </w:pPr>
      <w:r w:rsidRPr="00E810BE">
        <w:rPr>
          <w:rFonts w:ascii="Arial" w:hAnsi="Arial" w:eastAsia="Calibri" w:cs="Arial"/>
          <w:b/>
          <w:sz w:val="22"/>
        </w:rPr>
        <w:t xml:space="preserve">3. </w:t>
      </w:r>
      <w:r w:rsidRPr="00E810BE" w:rsidR="00A37FB6">
        <w:rPr>
          <w:rFonts w:ascii="Arial" w:hAnsi="Arial" w:eastAsia="Calibri" w:cs="Arial"/>
          <w:b/>
          <w:sz w:val="22"/>
        </w:rPr>
        <w:t>Respuestas</w:t>
      </w:r>
    </w:p>
    <w:p w:rsidRPr="00E810BE" w:rsidR="00A37FB6" w:rsidP="00E35B91" w:rsidRDefault="00A37FB6" w14:paraId="1369FD7E" w14:textId="77777777">
      <w:pPr>
        <w:ind w:left="709" w:right="709"/>
        <w:jc w:val="both"/>
        <w:rPr>
          <w:rFonts w:ascii="Arial" w:hAnsi="Arial" w:eastAsia="Calibri" w:cs="Arial"/>
          <w:iCs/>
          <w:sz w:val="22"/>
        </w:rPr>
      </w:pPr>
    </w:p>
    <w:p w:rsidRPr="00E810BE" w:rsidR="00A53632" w:rsidP="00A53632" w:rsidRDefault="0069063F" w14:paraId="1726BB80" w14:textId="0AC40F79">
      <w:pPr>
        <w:spacing w:after="120"/>
        <w:ind w:left="709" w:right="709"/>
        <w:jc w:val="both"/>
        <w:rPr>
          <w:rFonts w:ascii="Arial" w:hAnsi="Arial" w:eastAsia="Calibri" w:cs="Arial"/>
          <w:color w:val="000000" w:themeColor="text1"/>
          <w:sz w:val="21"/>
          <w:szCs w:val="21"/>
          <w:lang w:val="es-ES_tradnl"/>
        </w:rPr>
      </w:pPr>
      <w:r w:rsidRPr="00E810BE">
        <w:rPr>
          <w:rFonts w:ascii="Arial" w:hAnsi="Arial" w:cs="Arial"/>
          <w:color w:val="000000" w:themeColor="text1"/>
          <w:sz w:val="21"/>
          <w:szCs w:val="21"/>
          <w:lang w:val="es-ES_tradnl"/>
        </w:rPr>
        <w:t>«</w:t>
      </w:r>
      <w:r w:rsidRPr="00E810BE" w:rsidR="00A53632">
        <w:rPr>
          <w:rFonts w:ascii="Arial" w:hAnsi="Arial" w:eastAsia="Calibri" w:cs="Arial"/>
          <w:color w:val="000000" w:themeColor="text1"/>
          <w:sz w:val="21"/>
          <w:szCs w:val="21"/>
          <w:lang w:val="es-ES_tradnl"/>
        </w:rPr>
        <w:t>Establece el Artículo 2.2.1.1.1.5.7. Información de multas, sanciones, inhabilidades y actividad contractual del Decreto 1082 de 2015, que (...)"El registro de las sanciones e inhabilidades debe permanecer en el certificado del RUP por el término de la sanción o de la inhabilidad. La información relativa a multas debe permanecer en el certificado del RUP por un año, contado a partir de la publicación de la misma"</w:t>
      </w:r>
      <w:proofErr w:type="gramStart"/>
      <w:r w:rsidRPr="00E810BE" w:rsidR="00A53632">
        <w:rPr>
          <w:rFonts w:ascii="Arial" w:hAnsi="Arial" w:eastAsia="Calibri" w:cs="Arial"/>
          <w:color w:val="000000" w:themeColor="text1"/>
          <w:sz w:val="21"/>
          <w:szCs w:val="21"/>
          <w:lang w:val="es-ES_tradnl"/>
        </w:rPr>
        <w:t>(....</w:t>
      </w:r>
      <w:proofErr w:type="gramEnd"/>
      <w:r w:rsidRPr="00E810BE" w:rsidR="00A53632">
        <w:rPr>
          <w:rFonts w:ascii="Arial" w:hAnsi="Arial" w:eastAsia="Calibri" w:cs="Arial"/>
          <w:color w:val="000000" w:themeColor="text1"/>
          <w:sz w:val="21"/>
          <w:szCs w:val="21"/>
          <w:lang w:val="es-ES_tradnl"/>
        </w:rPr>
        <w:t xml:space="preserve">) sin embargo la norma no establece </w:t>
      </w:r>
      <w:proofErr w:type="spellStart"/>
      <w:r w:rsidRPr="00E810BE" w:rsidR="00A53632">
        <w:rPr>
          <w:rFonts w:ascii="Arial" w:hAnsi="Arial" w:eastAsia="Calibri" w:cs="Arial"/>
          <w:color w:val="000000" w:themeColor="text1"/>
          <w:sz w:val="21"/>
          <w:szCs w:val="21"/>
          <w:lang w:val="es-ES_tradnl"/>
        </w:rPr>
        <w:t>cúal</w:t>
      </w:r>
      <w:proofErr w:type="spellEnd"/>
      <w:r w:rsidRPr="00E810BE" w:rsidR="00A53632">
        <w:rPr>
          <w:rFonts w:ascii="Arial" w:hAnsi="Arial" w:eastAsia="Calibri" w:cs="Arial"/>
          <w:color w:val="000000" w:themeColor="text1"/>
          <w:sz w:val="21"/>
          <w:szCs w:val="21"/>
          <w:lang w:val="es-ES_tradnl"/>
        </w:rPr>
        <w:t xml:space="preserve"> sería el término de publicación en el RUP para el caso de imposición de cláusula penal por incumplimiento.</w:t>
      </w:r>
    </w:p>
    <w:p w:rsidRPr="00E810BE" w:rsidR="00A53632" w:rsidP="00A53632" w:rsidRDefault="00A53632" w14:paraId="43F3D09A" w14:textId="77777777">
      <w:pPr>
        <w:spacing w:after="120"/>
        <w:ind w:left="709" w:right="709"/>
        <w:jc w:val="both"/>
        <w:rPr>
          <w:rFonts w:ascii="Arial" w:hAnsi="Arial" w:eastAsia="Calibri" w:cs="Arial"/>
          <w:color w:val="000000" w:themeColor="text1"/>
          <w:sz w:val="21"/>
          <w:szCs w:val="21"/>
          <w:lang w:val="es-ES_tradnl"/>
        </w:rPr>
      </w:pPr>
      <w:r w:rsidRPr="00E810BE">
        <w:rPr>
          <w:rFonts w:ascii="Arial" w:hAnsi="Arial" w:eastAsia="Calibri" w:cs="Arial"/>
          <w:color w:val="000000" w:themeColor="text1"/>
          <w:sz w:val="21"/>
          <w:szCs w:val="21"/>
          <w:lang w:val="es-ES_tradnl"/>
        </w:rPr>
        <w:t xml:space="preserve">Si bien es cierto que la norma en comento indica que el registro de la sanción en el RUP del contratista deberá ser por el término de </w:t>
      </w:r>
      <w:proofErr w:type="gramStart"/>
      <w:r w:rsidRPr="00E810BE">
        <w:rPr>
          <w:rFonts w:ascii="Arial" w:hAnsi="Arial" w:eastAsia="Calibri" w:cs="Arial"/>
          <w:color w:val="000000" w:themeColor="text1"/>
          <w:sz w:val="21"/>
          <w:szCs w:val="21"/>
          <w:lang w:val="es-ES_tradnl"/>
        </w:rPr>
        <w:t>la misma</w:t>
      </w:r>
      <w:proofErr w:type="gramEnd"/>
      <w:r w:rsidRPr="00E810BE">
        <w:rPr>
          <w:rFonts w:ascii="Arial" w:hAnsi="Arial" w:eastAsia="Calibri" w:cs="Arial"/>
          <w:color w:val="000000" w:themeColor="text1"/>
          <w:sz w:val="21"/>
          <w:szCs w:val="21"/>
          <w:lang w:val="es-ES_tradnl"/>
        </w:rPr>
        <w:t xml:space="preserve">, no existe disposición legal en la cláusula penal por incumplimiento que permita establecerlo desde el acto administrativo y siendo un tema de sanciones no existe una pretendida liberalidad para establecerla por parte de la entidad estatal, máxime cuando no existe disposición normativa que establezca unos márgenes para el operador que la fija. </w:t>
      </w:r>
    </w:p>
    <w:p w:rsidRPr="00E810BE" w:rsidR="000E4197" w:rsidP="00A53632" w:rsidRDefault="00A53632" w14:paraId="65AEE993" w14:textId="7A3AA586">
      <w:pPr>
        <w:pStyle w:val="Default"/>
        <w:ind w:left="709" w:right="709"/>
        <w:jc w:val="both"/>
        <w:rPr>
          <w:rFonts w:ascii="Arial" w:hAnsi="Arial" w:eastAsia="Calibri" w:cs="Arial"/>
          <w:color w:val="auto"/>
          <w:sz w:val="21"/>
          <w:szCs w:val="21"/>
        </w:rPr>
      </w:pPr>
      <w:r w:rsidRPr="00E810BE">
        <w:rPr>
          <w:rFonts w:ascii="Arial" w:hAnsi="Arial" w:eastAsia="Calibri" w:cs="Arial"/>
          <w:color w:val="000000" w:themeColor="text1"/>
          <w:sz w:val="21"/>
          <w:szCs w:val="21"/>
          <w:lang w:val="es-ES_tradnl"/>
        </w:rPr>
        <w:t>Poder definir el término de duración del registro de la sanción por cláusula penal en el RUP, resulta de capital importancia por los efectos que tiene el mencionado registro en la determinación de las futuras inhabilidades a las que podría estar sujeto el contratista conforme lo establece el artículo 90 de la ley 1474 de 2011 que fue modificado por el artículo. 43, Ley 1955 de 2019</w:t>
      </w:r>
      <w:r w:rsidRPr="00E810BE" w:rsidR="0069063F">
        <w:rPr>
          <w:rFonts w:ascii="Arial" w:hAnsi="Arial" w:cs="Arial"/>
          <w:color w:val="000000" w:themeColor="text1"/>
          <w:sz w:val="21"/>
          <w:szCs w:val="21"/>
          <w:lang w:val="es-ES_tradnl"/>
        </w:rPr>
        <w:t>»</w:t>
      </w:r>
      <w:r w:rsidRPr="00E810BE">
        <w:rPr>
          <w:rFonts w:ascii="Arial" w:hAnsi="Arial" w:cs="Arial"/>
          <w:color w:val="000000" w:themeColor="text1"/>
          <w:sz w:val="21"/>
          <w:szCs w:val="21"/>
          <w:lang w:val="es-ES_tradnl"/>
        </w:rPr>
        <w:t>.</w:t>
      </w:r>
    </w:p>
    <w:p w:rsidRPr="00E810BE" w:rsidR="00957264" w:rsidP="00016FC3" w:rsidRDefault="00957264" w14:paraId="141D9FD2" w14:textId="4F89071E">
      <w:pPr>
        <w:pStyle w:val="Default"/>
        <w:spacing w:line="276" w:lineRule="auto"/>
        <w:ind w:right="709"/>
        <w:jc w:val="both"/>
        <w:rPr>
          <w:rFonts w:ascii="Arial" w:hAnsi="Arial" w:eastAsia="Calibri" w:cs="Arial"/>
          <w:color w:val="auto"/>
          <w:sz w:val="22"/>
          <w:szCs w:val="22"/>
        </w:rPr>
      </w:pPr>
    </w:p>
    <w:p w:rsidRPr="00E810BE" w:rsidR="00DF4D6F" w:rsidP="00016FC3" w:rsidRDefault="00A53632" w14:paraId="7D2428C4" w14:textId="37AC6974">
      <w:pPr>
        <w:spacing w:after="120" w:line="276" w:lineRule="auto"/>
        <w:jc w:val="both"/>
        <w:rPr>
          <w:rFonts w:ascii="Arial" w:hAnsi="Arial" w:eastAsia="Calibri" w:cs="Arial"/>
          <w:iCs/>
          <w:sz w:val="22"/>
        </w:rPr>
      </w:pPr>
      <w:r w:rsidRPr="00E810BE">
        <w:rPr>
          <w:rFonts w:ascii="Arial" w:hAnsi="Arial" w:eastAsia="Calibri" w:cs="Arial"/>
          <w:iCs/>
          <w:sz w:val="22"/>
        </w:rPr>
        <w:t xml:space="preserve">De acuerdo con el razonamiento precedente, </w:t>
      </w:r>
      <w:r w:rsidRPr="00E810BE">
        <w:rPr>
          <w:rFonts w:ascii="Arial" w:hAnsi="Arial" w:cs="Arial"/>
          <w:sz w:val="22"/>
        </w:rPr>
        <w:t>el artículo</w:t>
      </w:r>
      <w:r w:rsidRPr="00E810BE">
        <w:rPr>
          <w:rFonts w:ascii="Arial" w:hAnsi="Arial" w:cs="Arial"/>
          <w:iCs/>
          <w:sz w:val="22"/>
        </w:rPr>
        <w:t xml:space="preserve"> 2.2.1.1.1.5.7 del Decreto 1082 de 2015 regula el deber de </w:t>
      </w:r>
      <w:r w:rsidRPr="00E810BE">
        <w:rPr>
          <w:rFonts w:ascii="Arial" w:hAnsi="Arial" w:cs="Arial"/>
          <w:i/>
          <w:sz w:val="22"/>
        </w:rPr>
        <w:t>reportar</w:t>
      </w:r>
      <w:r w:rsidRPr="00E810BE">
        <w:rPr>
          <w:rFonts w:ascii="Arial" w:hAnsi="Arial" w:cs="Arial"/>
          <w:iCs/>
          <w:sz w:val="22"/>
        </w:rPr>
        <w:t xml:space="preserve"> las </w:t>
      </w:r>
      <w:r w:rsidRPr="00E810BE">
        <w:rPr>
          <w:rFonts w:ascii="Arial" w:hAnsi="Arial" w:cs="Arial"/>
          <w:i/>
          <w:sz w:val="22"/>
        </w:rPr>
        <w:t>sanciones</w:t>
      </w:r>
      <w:r w:rsidRPr="00E810BE">
        <w:rPr>
          <w:rFonts w:ascii="Arial" w:hAnsi="Arial" w:cs="Arial"/>
          <w:iCs/>
          <w:sz w:val="22"/>
        </w:rPr>
        <w:t xml:space="preserve"> a la cámara de comercio, </w:t>
      </w:r>
      <w:r w:rsidRPr="00E810BE" w:rsidR="00EB1305">
        <w:rPr>
          <w:rFonts w:ascii="Arial" w:hAnsi="Arial" w:cs="Arial"/>
          <w:iCs/>
          <w:sz w:val="22"/>
        </w:rPr>
        <w:t>el</w:t>
      </w:r>
      <w:r w:rsidRPr="00E810BE">
        <w:rPr>
          <w:rFonts w:ascii="Arial" w:hAnsi="Arial" w:cs="Arial"/>
          <w:iCs/>
          <w:sz w:val="22"/>
        </w:rPr>
        <w:t xml:space="preserve"> cual se complementa con el </w:t>
      </w:r>
      <w:r w:rsidRPr="00E810BE">
        <w:rPr>
          <w:rFonts w:ascii="Arial" w:hAnsi="Arial" w:cs="Arial"/>
          <w:sz w:val="22"/>
        </w:rPr>
        <w:t>artículo</w:t>
      </w:r>
      <w:r w:rsidRPr="00E810BE">
        <w:rPr>
          <w:rFonts w:ascii="Arial" w:hAnsi="Arial" w:cs="Arial"/>
          <w:iCs/>
          <w:sz w:val="22"/>
        </w:rPr>
        <w:t xml:space="preserve"> 2.2.1.1.1.5.7 </w:t>
      </w:r>
      <w:r w:rsidRPr="00E810BE">
        <w:rPr>
          <w:rFonts w:ascii="Arial" w:hAnsi="Arial" w:cs="Arial"/>
          <w:i/>
          <w:sz w:val="22"/>
        </w:rPr>
        <w:t>ibidem</w:t>
      </w:r>
      <w:r w:rsidRPr="00E810BE">
        <w:rPr>
          <w:rFonts w:ascii="Arial" w:hAnsi="Arial" w:cs="Arial"/>
          <w:iCs/>
          <w:sz w:val="22"/>
        </w:rPr>
        <w:t xml:space="preserve"> sobre la obligación de </w:t>
      </w:r>
      <w:r w:rsidRPr="00E810BE">
        <w:rPr>
          <w:rFonts w:ascii="Arial" w:hAnsi="Arial" w:cs="Arial"/>
          <w:i/>
          <w:sz w:val="22"/>
        </w:rPr>
        <w:t>inscribirlas</w:t>
      </w:r>
      <w:r w:rsidRPr="00E810BE">
        <w:rPr>
          <w:rFonts w:ascii="Arial" w:hAnsi="Arial" w:cs="Arial"/>
          <w:iCs/>
          <w:sz w:val="22"/>
        </w:rPr>
        <w:t xml:space="preserve"> en el RUP. Aunque el reglamento guarda silencio sobre el </w:t>
      </w:r>
      <w:r w:rsidRPr="00E810BE">
        <w:rPr>
          <w:rFonts w:ascii="Arial" w:hAnsi="Arial" w:eastAsia="Calibri" w:cs="Arial"/>
          <w:i/>
          <w:sz w:val="22"/>
        </w:rPr>
        <w:t xml:space="preserve">término de permanencia </w:t>
      </w:r>
      <w:r w:rsidRPr="00E810BE">
        <w:rPr>
          <w:rFonts w:ascii="Arial" w:hAnsi="Arial" w:eastAsia="Calibri" w:cs="Arial"/>
          <w:iCs/>
          <w:sz w:val="22"/>
        </w:rPr>
        <w:t xml:space="preserve">de las anotaciones en el registro respecto a las cláusulas penales, es necesario integrar el </w:t>
      </w:r>
      <w:r w:rsidRPr="00E810BE">
        <w:rPr>
          <w:rFonts w:ascii="Arial" w:hAnsi="Arial" w:eastAsia="Calibri" w:cs="Arial"/>
          <w:iCs/>
          <w:sz w:val="22"/>
        </w:rPr>
        <w:lastRenderedPageBreak/>
        <w:t>ordenamiento jurídico, ya que no es posible adoptar decisiones inhibitorias sobre la base del silencio, oscuridad o insuficiencia de las normas –art. 48 de la Ley 153 de 1887</w:t>
      </w:r>
      <w:r w:rsidRPr="00E810BE" w:rsidR="009D387D">
        <w:rPr>
          <w:rFonts w:ascii="Arial" w:hAnsi="Arial" w:eastAsia="Calibri" w:cs="Arial"/>
          <w:iCs/>
          <w:sz w:val="22"/>
        </w:rPr>
        <w:t xml:space="preserve"> </w:t>
      </w:r>
      <w:proofErr w:type="gramStart"/>
      <w:r w:rsidRPr="00E810BE" w:rsidR="009D387D">
        <w:rPr>
          <w:rFonts w:ascii="Arial" w:hAnsi="Arial" w:eastAsia="Calibri" w:cs="Arial"/>
          <w:iCs/>
          <w:sz w:val="22"/>
        </w:rPr>
        <w:t>(</w:t>
      </w:r>
      <w:r w:rsidRPr="00E810BE">
        <w:rPr>
          <w:rFonts w:ascii="Arial" w:hAnsi="Arial" w:eastAsia="Calibri" w:cs="Arial"/>
          <w:iCs/>
          <w:sz w:val="22"/>
        </w:rPr>
        <w:t xml:space="preserve"> equivalente</w:t>
      </w:r>
      <w:proofErr w:type="gramEnd"/>
      <w:r w:rsidRPr="00E810BE">
        <w:rPr>
          <w:rFonts w:ascii="Arial" w:hAnsi="Arial" w:eastAsia="Calibri" w:cs="Arial"/>
          <w:iCs/>
          <w:sz w:val="22"/>
        </w:rPr>
        <w:t xml:space="preserve"> al art. 4 del Código de Napoleón</w:t>
      </w:r>
      <w:r w:rsidRPr="00E810BE" w:rsidR="009D387D">
        <w:rPr>
          <w:rFonts w:ascii="Arial" w:hAnsi="Arial" w:eastAsia="Calibri" w:cs="Arial"/>
          <w:iCs/>
          <w:sz w:val="22"/>
        </w:rPr>
        <w:t>)</w:t>
      </w:r>
      <w:r w:rsidRPr="00E810BE">
        <w:rPr>
          <w:rFonts w:ascii="Arial" w:hAnsi="Arial" w:eastAsia="Calibri" w:cs="Arial"/>
          <w:iCs/>
          <w:sz w:val="22"/>
        </w:rPr>
        <w:t xml:space="preserve">–. Por ello, </w:t>
      </w:r>
      <w:r w:rsidRPr="00E810BE">
        <w:rPr>
          <w:rFonts w:ascii="Arial" w:hAnsi="Arial" w:eastAsia="Calibri" w:cs="Arial"/>
          <w:iCs/>
          <w:sz w:val="22"/>
          <w:lang w:val="es-CO"/>
        </w:rPr>
        <w:t xml:space="preserve">cuando el ordenamiento </w:t>
      </w:r>
      <w:r w:rsidRPr="00E810BE">
        <w:rPr>
          <w:rFonts w:ascii="Arial" w:hAnsi="Arial" w:eastAsia="Calibri" w:cs="Arial"/>
          <w:iCs/>
          <w:sz w:val="22"/>
        </w:rPr>
        <w:t>no resuelve completamente un caso, dejando sin considerar algún elemento,</w:t>
      </w:r>
      <w:r w:rsidRPr="00E810BE">
        <w:rPr>
          <w:rFonts w:ascii="Arial" w:hAnsi="Arial" w:eastAsia="Calibri" w:cs="Arial"/>
          <w:iCs/>
          <w:sz w:val="22"/>
          <w:lang w:val="es-CO"/>
        </w:rPr>
        <w:t xml:space="preserve"> corresponde al operador jurídico </w:t>
      </w:r>
      <w:r w:rsidRPr="00E810BE">
        <w:rPr>
          <w:rFonts w:ascii="Arial" w:hAnsi="Arial" w:eastAsia="Calibri" w:cs="Arial"/>
          <w:i/>
          <w:sz w:val="22"/>
          <w:lang w:val="es-CO"/>
        </w:rPr>
        <w:t xml:space="preserve">completar </w:t>
      </w:r>
      <w:r w:rsidRPr="00E810BE">
        <w:rPr>
          <w:rFonts w:ascii="Arial" w:hAnsi="Arial" w:eastAsia="Calibri" w:cs="Arial"/>
          <w:iCs/>
          <w:sz w:val="22"/>
          <w:lang w:val="es-CO"/>
        </w:rPr>
        <w:t xml:space="preserve">el precepto, obteniendo de algún modo la </w:t>
      </w:r>
      <w:proofErr w:type="spellStart"/>
      <w:r w:rsidRPr="00E810BE">
        <w:rPr>
          <w:rFonts w:ascii="Arial" w:hAnsi="Arial" w:eastAsia="Calibri" w:cs="Arial"/>
          <w:iCs/>
          <w:sz w:val="22"/>
          <w:lang w:val="es-CO"/>
        </w:rPr>
        <w:t>regIa</w:t>
      </w:r>
      <w:proofErr w:type="spellEnd"/>
      <w:r w:rsidRPr="00E810BE">
        <w:rPr>
          <w:rFonts w:ascii="Arial" w:hAnsi="Arial" w:eastAsia="Calibri" w:cs="Arial"/>
          <w:iCs/>
          <w:sz w:val="22"/>
          <w:lang w:val="es-CO"/>
        </w:rPr>
        <w:t xml:space="preserve"> para resolver la controversia</w:t>
      </w:r>
      <w:r w:rsidRPr="00E810BE">
        <w:rPr>
          <w:rFonts w:ascii="Arial" w:hAnsi="Arial" w:eastAsia="Calibri" w:cs="Arial"/>
          <w:iCs/>
          <w:sz w:val="22"/>
        </w:rPr>
        <w:t xml:space="preserve"> </w:t>
      </w:r>
      <w:r w:rsidRPr="00E810BE" w:rsidR="009D387D">
        <w:rPr>
          <w:rFonts w:ascii="Arial" w:hAnsi="Arial" w:eastAsia="Calibri" w:cs="Arial"/>
          <w:iCs/>
          <w:sz w:val="22"/>
        </w:rPr>
        <w:t>bajo</w:t>
      </w:r>
      <w:r w:rsidRPr="00E810BE">
        <w:rPr>
          <w:rFonts w:ascii="Arial" w:hAnsi="Arial" w:eastAsia="Calibri" w:cs="Arial"/>
          <w:iCs/>
          <w:sz w:val="22"/>
        </w:rPr>
        <w:t xml:space="preserve"> examen</w:t>
      </w:r>
      <w:r w:rsidRPr="00E810BE" w:rsidR="00DF4D6F">
        <w:rPr>
          <w:rFonts w:ascii="Arial" w:hAnsi="Arial" w:eastAsia="Calibri" w:cs="Arial"/>
          <w:iCs/>
          <w:sz w:val="22"/>
        </w:rPr>
        <w:t>.</w:t>
      </w:r>
    </w:p>
    <w:p w:rsidRPr="00E810BE" w:rsidR="00DF4D6F" w:rsidP="00016FC3" w:rsidRDefault="00DF4D6F" w14:paraId="44F64D97" w14:textId="775FEFA1">
      <w:pPr>
        <w:spacing w:after="120" w:line="276" w:lineRule="auto"/>
        <w:jc w:val="both"/>
        <w:rPr>
          <w:rFonts w:ascii="Arial" w:hAnsi="Arial" w:eastAsia="Calibri" w:cs="Arial"/>
          <w:iCs/>
          <w:sz w:val="22"/>
        </w:rPr>
      </w:pPr>
      <w:r w:rsidRPr="00E810BE">
        <w:rPr>
          <w:rFonts w:ascii="Arial" w:hAnsi="Arial" w:eastAsia="Calibri" w:cs="Arial"/>
          <w:iCs/>
          <w:sz w:val="22"/>
        </w:rPr>
        <w:tab/>
      </w:r>
      <w:r w:rsidRPr="00E810BE">
        <w:rPr>
          <w:rFonts w:ascii="Arial" w:hAnsi="Arial" w:eastAsia="Calibri" w:cs="Arial"/>
          <w:iCs/>
          <w:sz w:val="22"/>
        </w:rPr>
        <w:t xml:space="preserve">Para estos efectos, se descarta la posibilidad de que la anotación de la cláusula penal se realice en el registro de forma indefinida, pues si el reglamento consagró un plazo limitado para las multas, no se encuentra una justificación razonable para el tratamiento diferenciado respecto al cobro unilateral de los perjuicios compensatorios estimados anticipadamente. </w:t>
      </w:r>
      <w:r w:rsidRPr="00E810BE" w:rsidR="0062031D">
        <w:rPr>
          <w:rFonts w:ascii="Arial" w:hAnsi="Arial" w:eastAsia="Calibri" w:cs="Arial"/>
          <w:iCs/>
          <w:sz w:val="22"/>
        </w:rPr>
        <w:t xml:space="preserve">Lo anterior, además se fundamenta en que el numeral 6.2 de la Ley 1150 de 2007, refiriéndose, entre otros, a la información sobre «multas y sanciones» señaló que «las condiciones de remisión de la información </w:t>
      </w:r>
      <w:r w:rsidRPr="00E810BE" w:rsidR="0062031D">
        <w:rPr>
          <w:rFonts w:ascii="Arial" w:hAnsi="Arial" w:eastAsia="Calibri" w:cs="Arial"/>
          <w:i/>
          <w:sz w:val="22"/>
        </w:rPr>
        <w:t>y los plazos de permanencia de la misma</w:t>
      </w:r>
      <w:r w:rsidRPr="00E810BE" w:rsidR="0062031D">
        <w:rPr>
          <w:rFonts w:ascii="Arial" w:hAnsi="Arial" w:eastAsia="Calibri" w:cs="Arial"/>
          <w:iCs/>
          <w:sz w:val="22"/>
        </w:rPr>
        <w:t xml:space="preserve"> en el registro serán señalados por el Gobierno Nacional» (Cursiva fuera del original). </w:t>
      </w:r>
      <w:r w:rsidRPr="00E810BE">
        <w:rPr>
          <w:rFonts w:ascii="Arial" w:hAnsi="Arial" w:eastAsia="Calibri" w:cs="Arial"/>
          <w:iCs/>
          <w:sz w:val="22"/>
        </w:rPr>
        <w:t>Por lo demás, en la medida que las multas y la cláusula penal pecuniaria tienen una naturaleza jurídica distinta, tampoco existe una base razonable para aplicar el artículo 8 de la Ley 153 de 1887</w:t>
      </w:r>
      <w:r w:rsidRPr="00E810BE" w:rsidR="00817D2D">
        <w:rPr>
          <w:rFonts w:ascii="Arial" w:hAnsi="Arial" w:eastAsia="Calibri" w:cs="Arial"/>
          <w:iCs/>
          <w:sz w:val="22"/>
        </w:rPr>
        <w:t>.</w:t>
      </w:r>
    </w:p>
    <w:p w:rsidRPr="00E810BE" w:rsidR="00817D2D" w:rsidP="00817D2D" w:rsidRDefault="00817D2D" w14:paraId="0602AD04" w14:textId="6C565D28">
      <w:pPr>
        <w:spacing w:after="120" w:line="276" w:lineRule="auto"/>
        <w:ind w:firstLine="708"/>
        <w:jc w:val="both"/>
        <w:rPr>
          <w:rFonts w:ascii="Arial" w:hAnsi="Arial" w:eastAsia="Calibri" w:cs="Arial"/>
          <w:iCs/>
          <w:sz w:val="22"/>
        </w:rPr>
      </w:pPr>
      <w:r w:rsidRPr="00E810BE">
        <w:rPr>
          <w:rFonts w:ascii="Arial" w:hAnsi="Arial" w:cs="Arial"/>
          <w:sz w:val="22"/>
        </w:rPr>
        <w:t xml:space="preserve">En este punto, es necesario integrar el artículo </w:t>
      </w:r>
      <w:r w:rsidRPr="00E810BE">
        <w:rPr>
          <w:rFonts w:ascii="Arial" w:hAnsi="Arial" w:cs="Arial"/>
          <w:iCs/>
          <w:sz w:val="22"/>
        </w:rPr>
        <w:t xml:space="preserve">2.2.1.1.1.5.7 del Decreto 1082 de 2015 con </w:t>
      </w:r>
      <w:r w:rsidRPr="00E810BE">
        <w:rPr>
          <w:rFonts w:ascii="Arial" w:hAnsi="Arial" w:cs="Arial"/>
          <w:sz w:val="22"/>
        </w:rPr>
        <w:t>el artículo 90 de la Ley 1474 de 20</w:t>
      </w:r>
      <w:r w:rsidRPr="00E810BE" w:rsidR="0062031D">
        <w:rPr>
          <w:rFonts w:ascii="Arial" w:hAnsi="Arial" w:cs="Arial"/>
          <w:sz w:val="22"/>
        </w:rPr>
        <w:t>11 –modificado por el artículo 43 de la ley 1955 de 2019–</w:t>
      </w:r>
      <w:r w:rsidRPr="00E810BE">
        <w:rPr>
          <w:rFonts w:ascii="Arial" w:hAnsi="Arial" w:cs="Arial"/>
          <w:iCs/>
          <w:sz w:val="22"/>
        </w:rPr>
        <w:t xml:space="preserve">. Al respecto, este último dispone que la inhabilidad por incumplimiento reiterado se extenderá por un término de tres (3) años, contados a partir de la publicación del acto administrativo que impone la inscripción de la última multa o incumplimiento en el Registro Único de Proponentes, de acuerdo con la información remitida por las entidades públicas. Dado que el artículo 17 de la Ley 1150 de 2007 dispone que las entidades estatales podrán declarar el incumplimiento con el propósito de hacer efectiva la cláusula penal, esta es una de las sanciones contractuales que deben </w:t>
      </w:r>
      <w:r w:rsidRPr="00E810BE">
        <w:rPr>
          <w:rFonts w:ascii="Arial" w:hAnsi="Arial" w:cs="Arial"/>
          <w:i/>
          <w:sz w:val="22"/>
        </w:rPr>
        <w:t>reportarse</w:t>
      </w:r>
      <w:r w:rsidRPr="00E810BE">
        <w:rPr>
          <w:rFonts w:ascii="Arial" w:hAnsi="Arial" w:cs="Arial"/>
          <w:iCs/>
          <w:sz w:val="22"/>
        </w:rPr>
        <w:t xml:space="preserve"> a la cámara de comercio e </w:t>
      </w:r>
      <w:r w:rsidRPr="00E810BE">
        <w:rPr>
          <w:rFonts w:ascii="Arial" w:hAnsi="Arial" w:cs="Arial"/>
          <w:i/>
          <w:sz w:val="22"/>
        </w:rPr>
        <w:t>inscribirse</w:t>
      </w:r>
      <w:r w:rsidRPr="00E810BE">
        <w:rPr>
          <w:rFonts w:ascii="Arial" w:hAnsi="Arial" w:cs="Arial"/>
          <w:iCs/>
          <w:sz w:val="22"/>
        </w:rPr>
        <w:t xml:space="preserve"> en RUP de acuerdo con el artículo 2.2.1.1.1.5.7 del Decreto 1082 de 2015. Ahora bien, considerando que el reglamento guardó silencio sobre </w:t>
      </w:r>
      <w:r w:rsidRPr="00E810BE">
        <w:rPr>
          <w:rFonts w:ascii="Arial" w:hAnsi="Arial" w:eastAsia="Calibri" w:cs="Arial"/>
          <w:iCs/>
          <w:sz w:val="22"/>
        </w:rPr>
        <w:t xml:space="preserve">el </w:t>
      </w:r>
      <w:r w:rsidRPr="00E810BE">
        <w:rPr>
          <w:rFonts w:ascii="Arial" w:hAnsi="Arial" w:eastAsia="Calibri" w:cs="Arial"/>
          <w:i/>
          <w:sz w:val="22"/>
        </w:rPr>
        <w:t>término de permanencia</w:t>
      </w:r>
      <w:r w:rsidRPr="00E810BE">
        <w:rPr>
          <w:rFonts w:ascii="Arial" w:hAnsi="Arial" w:eastAsia="Calibri" w:cs="Arial"/>
          <w:iCs/>
          <w:sz w:val="22"/>
        </w:rPr>
        <w:t xml:space="preserve"> de la anotación de la cláusula penal pecuniaria, la Agencia estima que –de acuerdo a la pauta hermenéutica del artículo 30 del Código Civil– esta deberá constar en el registro por un término de tres (3) años contados a partir de la publicación de la misma. </w:t>
      </w:r>
    </w:p>
    <w:p w:rsidRPr="00E810BE" w:rsidR="00817D2D" w:rsidP="00817D2D" w:rsidRDefault="008E4DFB" w14:paraId="72FE43ED" w14:textId="12FB1BA3">
      <w:pPr>
        <w:spacing w:after="120" w:line="276" w:lineRule="auto"/>
        <w:ind w:firstLine="708"/>
        <w:jc w:val="both"/>
        <w:rPr>
          <w:rFonts w:ascii="Arial" w:hAnsi="Arial" w:eastAsia="Calibri" w:cs="Arial"/>
          <w:iCs/>
          <w:sz w:val="22"/>
        </w:rPr>
      </w:pPr>
      <w:r w:rsidRPr="00E810BE">
        <w:rPr>
          <w:rFonts w:ascii="Arial" w:hAnsi="Arial" w:eastAsia="Calibri" w:cs="Arial"/>
          <w:iCs/>
          <w:sz w:val="22"/>
        </w:rPr>
        <w:t xml:space="preserve">Esta postura permite armonizar el Decreto Único Reglamentario del Sector de Planeación Nacional con el Estatuto Anticorrupción –incluyendo sus modificaciones posteriores–, ya que –conforme a lo explicado </w:t>
      </w:r>
      <w:r w:rsidRPr="00E810BE">
        <w:rPr>
          <w:rFonts w:ascii="Arial" w:hAnsi="Arial" w:eastAsia="Calibri" w:cs="Arial"/>
          <w:i/>
          <w:sz w:val="22"/>
        </w:rPr>
        <w:t>ut supra</w:t>
      </w:r>
      <w:r w:rsidRPr="00E810BE">
        <w:rPr>
          <w:rFonts w:ascii="Arial" w:hAnsi="Arial" w:eastAsia="Calibri" w:cs="Arial"/>
          <w:iCs/>
          <w:sz w:val="22"/>
        </w:rPr>
        <w:t>– es necesaria la publicidad de las sanciones contractuales, especialmente, cuando el incumplimiento reiterado genera una inhabilidad para contratar con Estado en los términos del artículo 90 de la Ley 1474 de 2011 –modificado por el artículo 43 de la Ley 1955 de 2019–</w:t>
      </w:r>
      <w:r w:rsidRPr="00E810BE" w:rsidR="00817D2D">
        <w:rPr>
          <w:rFonts w:ascii="Arial" w:hAnsi="Arial" w:eastAsia="Calibri" w:cs="Arial"/>
          <w:iCs/>
          <w:sz w:val="22"/>
        </w:rPr>
        <w:t xml:space="preserve">. En este contexto, </w:t>
      </w:r>
      <w:r w:rsidRPr="00E810BE">
        <w:rPr>
          <w:rFonts w:ascii="Arial" w:hAnsi="Arial" w:eastAsia="Calibri" w:cs="Arial"/>
          <w:iCs/>
          <w:sz w:val="22"/>
        </w:rPr>
        <w:t xml:space="preserve">partiendo de la falta de regulación </w:t>
      </w:r>
      <w:r w:rsidRPr="00E810BE">
        <w:rPr>
          <w:rFonts w:ascii="Arial" w:hAnsi="Arial" w:cs="Arial"/>
          <w:iCs/>
          <w:sz w:val="22"/>
        </w:rPr>
        <w:t xml:space="preserve">sobre </w:t>
      </w:r>
      <w:r w:rsidRPr="00E810BE">
        <w:rPr>
          <w:rFonts w:ascii="Arial" w:hAnsi="Arial" w:eastAsia="Calibri" w:cs="Arial"/>
          <w:iCs/>
          <w:sz w:val="22"/>
        </w:rPr>
        <w:t xml:space="preserve">el </w:t>
      </w:r>
      <w:r w:rsidRPr="00E810BE">
        <w:rPr>
          <w:rFonts w:ascii="Arial" w:hAnsi="Arial" w:eastAsia="Calibri" w:cs="Arial"/>
          <w:i/>
          <w:sz w:val="22"/>
        </w:rPr>
        <w:t>término de permanencia</w:t>
      </w:r>
      <w:r w:rsidRPr="00E810BE">
        <w:rPr>
          <w:rFonts w:ascii="Arial" w:hAnsi="Arial" w:eastAsia="Calibri" w:cs="Arial"/>
          <w:iCs/>
          <w:sz w:val="22"/>
        </w:rPr>
        <w:t xml:space="preserve"> de la anotación de la cláusula penal pecuniaria en el </w:t>
      </w:r>
      <w:r w:rsidRPr="00E810BE">
        <w:rPr>
          <w:rFonts w:ascii="Arial" w:hAnsi="Arial" w:cs="Arial"/>
          <w:iCs/>
          <w:sz w:val="22"/>
        </w:rPr>
        <w:t xml:space="preserve">artículo 2.2.1.1.1.5.7 del Decreto 1082 de 2015 este es el criterio que la </w:t>
      </w:r>
      <w:r w:rsidRPr="00E810BE">
        <w:rPr>
          <w:rFonts w:ascii="Arial" w:hAnsi="Arial" w:cs="Arial"/>
          <w:iCs/>
          <w:sz w:val="22"/>
        </w:rPr>
        <w:lastRenderedPageBreak/>
        <w:t>Agencia, en ejercicio de la función consultiva, estima adecuado para llenar el vacío reglamentario. Lo anterior sin desconocer la posibilidad de otras posturas igualmente persuasivas, y sin perder de vista que –en ejercicio de la competencia prevista e</w:t>
      </w:r>
      <w:r w:rsidRPr="00E810BE" w:rsidR="00BF4B3C">
        <w:rPr>
          <w:rFonts w:ascii="Arial" w:hAnsi="Arial" w:cs="Arial"/>
          <w:iCs/>
          <w:sz w:val="22"/>
        </w:rPr>
        <w:t>/ /</w:t>
      </w:r>
      <w:r w:rsidRPr="00E810BE">
        <w:rPr>
          <w:rFonts w:ascii="Arial" w:hAnsi="Arial" w:cs="Arial"/>
          <w:iCs/>
          <w:sz w:val="22"/>
        </w:rPr>
        <w:t>n el artículo 189.11 superior– el Gobierno nacional podría establecer un plazo distinto.</w:t>
      </w:r>
      <w:r w:rsidRPr="00E810BE">
        <w:rPr>
          <w:rFonts w:ascii="Arial" w:hAnsi="Arial" w:eastAsia="Calibri" w:cs="Arial"/>
          <w:iCs/>
          <w:sz w:val="22"/>
        </w:rPr>
        <w:t xml:space="preserve"> En todo caso, la inhabilidad prevista en el artículo 90 de la Ley 1474 de 2011 se hará explícita en el Registro Único de Proponentes cuando a ello haya lugar</w:t>
      </w:r>
      <w:r w:rsidRPr="00E810BE" w:rsidR="00EB1305">
        <w:rPr>
          <w:rFonts w:ascii="Arial" w:hAnsi="Arial" w:eastAsia="Calibri" w:cs="Arial"/>
          <w:iCs/>
          <w:sz w:val="22"/>
        </w:rPr>
        <w:t>.</w:t>
      </w:r>
    </w:p>
    <w:p w:rsidRPr="00E810BE" w:rsidR="00EB1305" w:rsidP="00BF4B3C" w:rsidRDefault="00EB1305" w14:paraId="0829E150" w14:textId="7A511E07">
      <w:pPr>
        <w:spacing w:line="276" w:lineRule="auto"/>
        <w:ind w:firstLine="708"/>
        <w:jc w:val="both"/>
        <w:rPr>
          <w:rFonts w:ascii="Arial" w:hAnsi="Arial" w:cs="Arial"/>
          <w:sz w:val="22"/>
        </w:rPr>
      </w:pPr>
      <w:r w:rsidRPr="00E810BE">
        <w:rPr>
          <w:rFonts w:ascii="Arial" w:hAnsi="Arial" w:cs="Arial"/>
          <w:sz w:val="22"/>
        </w:rPr>
        <w:t>Sin embargo, conforme al artículo 2.2.1.1.1.5.5 del Decreto 1082 de 2015, es necesario tener en cuenta que «</w:t>
      </w:r>
      <w:r w:rsidRPr="00E810BE">
        <w:rPr>
          <w:rFonts w:ascii="Arial" w:hAnsi="Arial" w:cs="Arial"/>
          <w:i/>
          <w:iCs/>
          <w:sz w:val="22"/>
        </w:rPr>
        <w:t>La Superintendencia de Industria y Comercio autorizará</w:t>
      </w:r>
      <w:r w:rsidRPr="00E810BE">
        <w:rPr>
          <w:rFonts w:ascii="Arial" w:hAnsi="Arial" w:cs="Arial"/>
          <w:sz w:val="22"/>
        </w:rPr>
        <w:t xml:space="preserve"> el formulario de solicitud de registro en el RUP y </w:t>
      </w:r>
      <w:r w:rsidRPr="00E810BE">
        <w:rPr>
          <w:rFonts w:ascii="Arial" w:hAnsi="Arial" w:cs="Arial"/>
          <w:i/>
          <w:iCs/>
          <w:sz w:val="22"/>
        </w:rPr>
        <w:t>el esquema gráfico del certificado que para el efecto le presenten las cámaras de comercio</w:t>
      </w:r>
      <w:r w:rsidRPr="00E810BE">
        <w:rPr>
          <w:rFonts w:ascii="Arial" w:hAnsi="Arial" w:cs="Arial"/>
          <w:sz w:val="22"/>
        </w:rPr>
        <w:t xml:space="preserve">» (Énfasis fuera de texto). Por tanto, también se exhorta al peticionario a que plantee esta inquietud a la SIC, ya que es el órgano que tiene la competencia para estandarizar el esquema gráfico del </w:t>
      </w:r>
      <w:r w:rsidRPr="00E810BE" w:rsidR="001B59C3">
        <w:rPr>
          <w:rFonts w:ascii="Arial" w:hAnsi="Arial" w:cs="Arial"/>
          <w:sz w:val="22"/>
        </w:rPr>
        <w:t>R</w:t>
      </w:r>
      <w:r w:rsidRPr="00E810BE">
        <w:rPr>
          <w:rFonts w:ascii="Arial" w:hAnsi="Arial" w:cs="Arial"/>
          <w:sz w:val="22"/>
        </w:rPr>
        <w:t xml:space="preserve">egistro </w:t>
      </w:r>
      <w:r w:rsidRPr="00E810BE" w:rsidR="001B59C3">
        <w:rPr>
          <w:rFonts w:ascii="Arial" w:hAnsi="Arial" w:cs="Arial"/>
          <w:sz w:val="22"/>
        </w:rPr>
        <w:t>Ú</w:t>
      </w:r>
      <w:r w:rsidRPr="00E810BE">
        <w:rPr>
          <w:rFonts w:ascii="Arial" w:hAnsi="Arial" w:cs="Arial"/>
          <w:sz w:val="22"/>
        </w:rPr>
        <w:t xml:space="preserve">nico de </w:t>
      </w:r>
      <w:r w:rsidRPr="00E810BE" w:rsidR="001B59C3">
        <w:rPr>
          <w:rFonts w:ascii="Arial" w:hAnsi="Arial" w:cs="Arial"/>
          <w:sz w:val="22"/>
        </w:rPr>
        <w:t>P</w:t>
      </w:r>
      <w:r w:rsidRPr="00E810BE">
        <w:rPr>
          <w:rFonts w:ascii="Arial" w:hAnsi="Arial" w:cs="Arial"/>
          <w:sz w:val="22"/>
        </w:rPr>
        <w:t>roponentes.</w:t>
      </w:r>
    </w:p>
    <w:p w:rsidRPr="00E810BE" w:rsidR="00BF6D5B" w:rsidRDefault="00BF6D5B" w14:paraId="4F54478B" w14:textId="77777777">
      <w:pPr>
        <w:spacing w:after="120" w:line="276" w:lineRule="auto"/>
        <w:jc w:val="both"/>
        <w:rPr>
          <w:rFonts w:ascii="Arial" w:hAnsi="Arial" w:eastAsia="Calibri" w:cs="Arial"/>
          <w:sz w:val="22"/>
        </w:rPr>
      </w:pPr>
    </w:p>
    <w:p w:rsidRPr="00E810BE" w:rsidR="00056AFD" w:rsidP="00056AFD" w:rsidRDefault="00A37FB6" w14:paraId="5F0897B9" w14:textId="39B77D72">
      <w:pPr>
        <w:spacing w:line="276" w:lineRule="auto"/>
        <w:jc w:val="both"/>
        <w:rPr>
          <w:rFonts w:ascii="Arial" w:hAnsi="Arial" w:eastAsia="Arial" w:cs="Arial"/>
          <w:sz w:val="22"/>
          <w:lang w:val="es-ES" w:eastAsia="es-ES" w:bidi="es-ES"/>
        </w:rPr>
      </w:pPr>
      <w:r w:rsidRPr="00E810BE">
        <w:rPr>
          <w:rFonts w:ascii="Arial" w:hAnsi="Arial" w:eastAsia="Calibri" w:cs="Arial"/>
          <w:sz w:val="22"/>
        </w:rPr>
        <w:t>Este concepto tiene el alcance previsto en el artículo 28 del Código de Procedimiento Administrativo y de lo Contencioso Administrativo.</w:t>
      </w:r>
    </w:p>
    <w:p w:rsidRPr="00E810BE" w:rsidR="00056AFD" w:rsidP="00056AFD" w:rsidRDefault="00056AFD" w14:paraId="67B1844C" w14:textId="5C8EC12C">
      <w:pPr>
        <w:widowControl w:val="0"/>
        <w:autoSpaceDE w:val="0"/>
        <w:autoSpaceDN w:val="0"/>
        <w:spacing w:line="276" w:lineRule="auto"/>
        <w:rPr>
          <w:rFonts w:ascii="Arial" w:hAnsi="Arial" w:eastAsia="Arial" w:cs="Arial"/>
          <w:sz w:val="22"/>
          <w:lang w:val="es-ES" w:eastAsia="es-ES" w:bidi="es-ES"/>
        </w:rPr>
      </w:pPr>
    </w:p>
    <w:p w:rsidRPr="00E810BE" w:rsidR="00056AFD" w:rsidP="00D112B4" w:rsidRDefault="00056AFD" w14:paraId="0507A9D4" w14:textId="1417F2B6">
      <w:pPr>
        <w:widowControl w:val="0"/>
        <w:autoSpaceDE w:val="0"/>
        <w:autoSpaceDN w:val="0"/>
        <w:spacing w:line="276" w:lineRule="auto"/>
        <w:jc w:val="both"/>
        <w:rPr>
          <w:rFonts w:ascii="Arial" w:hAnsi="Arial" w:eastAsia="Arial" w:cs="Arial"/>
          <w:sz w:val="22"/>
          <w:lang w:val="es-ES" w:eastAsia="es-CO" w:bidi="es-ES"/>
        </w:rPr>
      </w:pPr>
      <w:bookmarkStart w:name="_Hlk50370367" w:id="9"/>
      <w:r w:rsidRPr="00E810BE">
        <w:rPr>
          <w:rFonts w:ascii="Arial" w:hAnsi="Arial" w:eastAsia="Arial" w:cs="Arial"/>
          <w:sz w:val="22"/>
          <w:lang w:val="es-ES" w:eastAsia="es-CO" w:bidi="es-ES"/>
        </w:rPr>
        <w:t>Atentamente,</w:t>
      </w:r>
      <w:bookmarkEnd w:id="9"/>
    </w:p>
    <w:p w:rsidRPr="00E810BE" w:rsidR="00056AFD" w:rsidP="00056AFD" w:rsidRDefault="00056AFD" w14:paraId="120ACE0F" w14:textId="77777777">
      <w:pPr>
        <w:widowControl w:val="0"/>
        <w:autoSpaceDE w:val="0"/>
        <w:autoSpaceDN w:val="0"/>
        <w:spacing w:after="18"/>
        <w:jc w:val="center"/>
        <w:rPr>
          <w:rFonts w:ascii="Arial" w:hAnsi="Arial" w:eastAsia="Arial" w:cs="Arial"/>
          <w:sz w:val="22"/>
          <w:lang w:val="es-ES" w:eastAsia="es-CO" w:bidi="es-ES"/>
        </w:rPr>
      </w:pPr>
    </w:p>
    <w:p w:rsidRPr="00E810BE" w:rsidR="00056AFD" w:rsidP="00056AFD" w:rsidRDefault="00320647" w14:paraId="438FD716" w14:textId="4276D776">
      <w:pPr>
        <w:widowControl w:val="0"/>
        <w:autoSpaceDE w:val="0"/>
        <w:autoSpaceDN w:val="0"/>
        <w:spacing w:after="18"/>
        <w:jc w:val="center"/>
        <w:rPr>
          <w:rFonts w:ascii="Arial" w:hAnsi="Arial" w:eastAsia="Arial" w:cs="Arial"/>
          <w:sz w:val="22"/>
          <w:lang w:val="es-ES" w:eastAsia="es-CO" w:bidi="es-ES"/>
        </w:rPr>
      </w:pPr>
      <w:r>
        <w:rPr>
          <w:noProof/>
        </w:rPr>
        <w:drawing>
          <wp:inline distT="0" distB="0" distL="0" distR="0" wp14:anchorId="64349F6F" wp14:editId="51D54FCC">
            <wp:extent cx="2743200" cy="1217396"/>
            <wp:effectExtent l="0" t="0" r="0" b="0"/>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43200" cy="1217396"/>
                    </a:xfrm>
                    <a:prstGeom prst="rect">
                      <a:avLst/>
                    </a:prstGeom>
                  </pic:spPr>
                </pic:pic>
              </a:graphicData>
            </a:graphic>
          </wp:inline>
        </w:drawing>
      </w:r>
    </w:p>
    <w:p w:rsidRPr="00E810BE" w:rsidR="00056AFD" w:rsidP="00056AFD" w:rsidRDefault="00056AFD" w14:paraId="536DC263" w14:textId="77777777">
      <w:pPr>
        <w:widowControl w:val="0"/>
        <w:autoSpaceDE w:val="0"/>
        <w:autoSpaceDN w:val="0"/>
        <w:spacing w:after="18"/>
        <w:jc w:val="center"/>
        <w:rPr>
          <w:rFonts w:ascii="Arial" w:hAnsi="Arial" w:eastAsia="Arial" w:cs="Arial"/>
          <w:sz w:val="22"/>
          <w:lang w:val="es-ES" w:eastAsia="es-CO" w:bidi="es-ES"/>
        </w:rPr>
      </w:pPr>
    </w:p>
    <w:tbl>
      <w:tblPr>
        <w:tblStyle w:val="Tablaconcuadrcula11"/>
        <w:tblpPr w:leftFromText="141" w:rightFromText="141" w:vertAnchor="text" w:horzAnchor="margin" w:tblpY="2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003"/>
      </w:tblGrid>
      <w:tr w:rsidRPr="00E810BE" w:rsidR="00312813" w:rsidTr="001A2C62" w14:paraId="463D1F7B" w14:textId="77777777">
        <w:trPr>
          <w:trHeight w:val="286"/>
        </w:trPr>
        <w:tc>
          <w:tcPr>
            <w:tcW w:w="817" w:type="dxa"/>
            <w:vAlign w:val="center"/>
            <w:hideMark/>
          </w:tcPr>
          <w:p w:rsidRPr="00E810BE" w:rsidR="00056AFD" w:rsidP="00056AFD" w:rsidRDefault="00056AFD" w14:paraId="34C730C6" w14:textId="77777777">
            <w:pPr>
              <w:rPr>
                <w:rFonts w:ascii="Arial" w:hAnsi="Arial" w:eastAsia="Arial" w:cs="Arial"/>
                <w:sz w:val="14"/>
                <w:szCs w:val="14"/>
                <w:lang w:val="es-ES" w:eastAsia="es-ES" w:bidi="es-ES"/>
              </w:rPr>
            </w:pPr>
            <w:bookmarkStart w:name="_Hlk70523608" w:id="10"/>
            <w:r w:rsidRPr="00E810BE">
              <w:rPr>
                <w:rFonts w:ascii="Arial" w:hAnsi="Arial" w:eastAsia="Arial" w:cs="Arial"/>
                <w:sz w:val="14"/>
                <w:szCs w:val="14"/>
                <w:lang w:val="es-ES" w:eastAsia="es-ES" w:bidi="es-ES"/>
              </w:rPr>
              <w:t>Elaboró:</w:t>
            </w:r>
          </w:p>
        </w:tc>
        <w:tc>
          <w:tcPr>
            <w:tcW w:w="4003" w:type="dxa"/>
            <w:tcBorders>
              <w:top w:val="nil"/>
              <w:left w:val="nil"/>
              <w:bottom w:val="dotted" w:color="7F7F7F" w:sz="4" w:space="0"/>
              <w:right w:val="nil"/>
            </w:tcBorders>
            <w:vAlign w:val="center"/>
            <w:hideMark/>
          </w:tcPr>
          <w:p w:rsidRPr="00E810BE" w:rsidR="0030664E" w:rsidP="0030664E" w:rsidRDefault="0030664E" w14:paraId="6D04372D" w14:textId="4031C800">
            <w:pPr>
              <w:rPr>
                <w:rFonts w:ascii="Arial" w:hAnsi="Arial" w:eastAsia="Arial" w:cs="Arial"/>
                <w:sz w:val="14"/>
                <w:szCs w:val="14"/>
                <w:lang w:val="es-ES" w:eastAsia="es-ES" w:bidi="es-ES"/>
              </w:rPr>
            </w:pPr>
            <w:r w:rsidRPr="00E810BE">
              <w:rPr>
                <w:rFonts w:ascii="Arial" w:hAnsi="Arial" w:eastAsia="Arial" w:cs="Arial"/>
                <w:sz w:val="14"/>
                <w:szCs w:val="14"/>
                <w:lang w:eastAsia="es-ES" w:bidi="es-ES"/>
              </w:rPr>
              <w:t>Nina María Padrón Ballestas</w:t>
            </w:r>
          </w:p>
          <w:p w:rsidRPr="00E810BE" w:rsidR="00056AFD" w:rsidP="0030664E" w:rsidRDefault="006731F1" w14:paraId="1657ED73" w14:textId="6AE1253C">
            <w:pPr>
              <w:rPr>
                <w:rFonts w:ascii="Arial" w:hAnsi="Arial" w:eastAsia="Arial" w:cs="Arial"/>
                <w:sz w:val="14"/>
                <w:szCs w:val="14"/>
                <w:lang w:val="es-ES" w:eastAsia="es-ES" w:bidi="es-ES"/>
              </w:rPr>
            </w:pPr>
            <w:r w:rsidRPr="00E810BE">
              <w:rPr>
                <w:rFonts w:ascii="Arial" w:hAnsi="Arial" w:eastAsia="Arial" w:cs="Arial"/>
                <w:sz w:val="14"/>
                <w:szCs w:val="14"/>
                <w:lang w:val="es-ES" w:eastAsia="es-ES" w:bidi="es-ES"/>
              </w:rPr>
              <w:t>Contratista de la Subdirección de Gestión Contractual</w:t>
            </w:r>
          </w:p>
        </w:tc>
      </w:tr>
      <w:tr w:rsidRPr="00E810BE" w:rsidR="00312813" w:rsidTr="001A2C62" w14:paraId="4DDEFF27" w14:textId="77777777">
        <w:trPr>
          <w:trHeight w:val="299"/>
        </w:trPr>
        <w:tc>
          <w:tcPr>
            <w:tcW w:w="817" w:type="dxa"/>
            <w:vAlign w:val="center"/>
            <w:hideMark/>
          </w:tcPr>
          <w:p w:rsidRPr="00E810BE" w:rsidR="00056AFD" w:rsidP="00056AFD" w:rsidRDefault="00056AFD" w14:paraId="31ED8F32" w14:textId="77777777">
            <w:pPr>
              <w:rPr>
                <w:rFonts w:ascii="Arial" w:hAnsi="Arial" w:eastAsia="Arial" w:cs="Arial"/>
                <w:sz w:val="14"/>
                <w:szCs w:val="14"/>
                <w:lang w:val="es-ES" w:eastAsia="es-ES" w:bidi="es-ES"/>
              </w:rPr>
            </w:pPr>
            <w:r w:rsidRPr="00E810BE">
              <w:rPr>
                <w:rFonts w:ascii="Arial" w:hAnsi="Arial" w:eastAsia="Arial" w:cs="Arial"/>
                <w:sz w:val="14"/>
                <w:szCs w:val="14"/>
                <w:lang w:val="es-ES" w:eastAsia="es-ES" w:bidi="es-ES"/>
              </w:rPr>
              <w:t>Revisó:</w:t>
            </w:r>
          </w:p>
        </w:tc>
        <w:tc>
          <w:tcPr>
            <w:tcW w:w="4003" w:type="dxa"/>
            <w:tcBorders>
              <w:top w:val="dotted" w:color="7F7F7F" w:sz="4" w:space="0"/>
              <w:left w:val="nil"/>
              <w:bottom w:val="dotted" w:color="7F7F7F" w:sz="4" w:space="0"/>
              <w:right w:val="nil"/>
            </w:tcBorders>
            <w:vAlign w:val="center"/>
            <w:hideMark/>
          </w:tcPr>
          <w:p w:rsidRPr="00E810BE" w:rsidR="00056AFD" w:rsidP="00056AFD" w:rsidRDefault="00360210" w14:paraId="019B3F05" w14:textId="5A5E57C5">
            <w:pPr>
              <w:rPr>
                <w:rFonts w:ascii="Arial" w:hAnsi="Arial" w:eastAsia="Arial" w:cs="Arial"/>
                <w:sz w:val="14"/>
                <w:szCs w:val="14"/>
                <w:lang w:val="es-ES" w:eastAsia="es-ES" w:bidi="es-ES"/>
              </w:rPr>
            </w:pPr>
            <w:r w:rsidRPr="00E810BE">
              <w:rPr>
                <w:rFonts w:ascii="Arial" w:hAnsi="Arial" w:eastAsia="Arial" w:cs="Arial"/>
                <w:sz w:val="14"/>
                <w:szCs w:val="14"/>
                <w:lang w:val="es-ES" w:eastAsia="es-ES" w:bidi="es-ES"/>
              </w:rPr>
              <w:t xml:space="preserve">Juan David Montoya Penagos </w:t>
            </w:r>
          </w:p>
          <w:p w:rsidRPr="00E810BE" w:rsidR="00056AFD" w:rsidP="00056AFD" w:rsidRDefault="00056AFD" w14:paraId="3BCD4BBA" w14:textId="77777777">
            <w:pPr>
              <w:rPr>
                <w:rFonts w:ascii="Arial" w:hAnsi="Arial" w:eastAsia="Arial" w:cs="Arial"/>
                <w:sz w:val="14"/>
                <w:szCs w:val="14"/>
                <w:lang w:val="es-ES" w:eastAsia="es-ES" w:bidi="es-ES"/>
              </w:rPr>
            </w:pPr>
            <w:r w:rsidRPr="00E810BE">
              <w:rPr>
                <w:rFonts w:ascii="Arial" w:hAnsi="Arial" w:eastAsia="Arial" w:cs="Arial"/>
                <w:sz w:val="14"/>
                <w:szCs w:val="14"/>
                <w:lang w:val="es-ES" w:eastAsia="es-ES" w:bidi="es-ES"/>
              </w:rPr>
              <w:t xml:space="preserve">Gestor T1-15 de la Subdirección de Gestión Contractual  </w:t>
            </w:r>
          </w:p>
        </w:tc>
      </w:tr>
      <w:tr w:rsidRPr="00056AFD" w:rsidR="00312813" w:rsidTr="001A2C62" w14:paraId="501701A7" w14:textId="77777777">
        <w:trPr>
          <w:trHeight w:val="272"/>
        </w:trPr>
        <w:tc>
          <w:tcPr>
            <w:tcW w:w="817" w:type="dxa"/>
            <w:vAlign w:val="center"/>
            <w:hideMark/>
          </w:tcPr>
          <w:p w:rsidRPr="00E810BE" w:rsidR="00056AFD" w:rsidP="00056AFD" w:rsidRDefault="00056AFD" w14:paraId="7EEF65A3" w14:textId="77777777">
            <w:pPr>
              <w:rPr>
                <w:rFonts w:ascii="Arial" w:hAnsi="Arial" w:eastAsia="Arial" w:cs="Arial"/>
                <w:sz w:val="14"/>
                <w:szCs w:val="14"/>
                <w:lang w:val="es-ES" w:eastAsia="es-ES" w:bidi="es-ES"/>
              </w:rPr>
            </w:pPr>
            <w:r w:rsidRPr="00E810BE">
              <w:rPr>
                <w:rFonts w:ascii="Arial" w:hAnsi="Arial" w:eastAsia="Arial" w:cs="Arial"/>
                <w:sz w:val="14"/>
                <w:szCs w:val="14"/>
                <w:lang w:val="es-ES" w:eastAsia="es-ES" w:bidi="es-ES"/>
              </w:rPr>
              <w:t>Aprobó:</w:t>
            </w:r>
          </w:p>
        </w:tc>
        <w:tc>
          <w:tcPr>
            <w:tcW w:w="4003" w:type="dxa"/>
            <w:tcBorders>
              <w:top w:val="dotted" w:color="7F7F7F" w:sz="4" w:space="0"/>
              <w:left w:val="nil"/>
              <w:bottom w:val="dotted" w:color="7F7F7F" w:sz="4" w:space="0"/>
              <w:right w:val="nil"/>
            </w:tcBorders>
            <w:vAlign w:val="center"/>
            <w:hideMark/>
          </w:tcPr>
          <w:p w:rsidRPr="00E810BE" w:rsidR="00056AFD" w:rsidP="00056AFD" w:rsidRDefault="00056AFD" w14:paraId="411B22B0" w14:textId="77777777">
            <w:pPr>
              <w:rPr>
                <w:rFonts w:ascii="Arial" w:hAnsi="Arial" w:eastAsia="Arial" w:cs="Arial"/>
                <w:sz w:val="14"/>
                <w:szCs w:val="14"/>
                <w:lang w:val="es-ES" w:eastAsia="es-ES" w:bidi="es-ES"/>
              </w:rPr>
            </w:pPr>
            <w:r w:rsidRPr="00E810BE">
              <w:rPr>
                <w:rFonts w:ascii="Arial" w:hAnsi="Arial" w:eastAsia="Arial" w:cs="Arial"/>
                <w:sz w:val="14"/>
                <w:szCs w:val="14"/>
                <w:lang w:val="es-ES" w:eastAsia="es-ES" w:bidi="es-ES"/>
              </w:rPr>
              <w:t>Jorge Augusto Tirado Navarro</w:t>
            </w:r>
          </w:p>
          <w:p w:rsidRPr="00056AFD" w:rsidR="00056AFD" w:rsidP="00056AFD" w:rsidRDefault="00056AFD" w14:paraId="490E992C" w14:textId="5AE216B9">
            <w:pPr>
              <w:rPr>
                <w:rFonts w:ascii="Arial" w:hAnsi="Arial" w:eastAsia="Arial" w:cs="Arial"/>
                <w:sz w:val="14"/>
                <w:szCs w:val="14"/>
                <w:lang w:val="es-ES" w:eastAsia="es-ES" w:bidi="es-ES"/>
              </w:rPr>
            </w:pPr>
            <w:r w:rsidRPr="00E810BE">
              <w:rPr>
                <w:rFonts w:ascii="Arial" w:hAnsi="Arial" w:eastAsia="Arial" w:cs="Arial"/>
                <w:sz w:val="14"/>
                <w:szCs w:val="14"/>
                <w:lang w:val="es-ES" w:eastAsia="es-ES" w:bidi="es-ES"/>
              </w:rPr>
              <w:t>Subdirector de Gestión Contractual</w:t>
            </w:r>
            <w:r w:rsidRPr="00E810BE" w:rsidR="00360210">
              <w:rPr>
                <w:rFonts w:ascii="Arial" w:hAnsi="Arial" w:eastAsia="Arial" w:cs="Arial"/>
                <w:sz w:val="14"/>
                <w:szCs w:val="14"/>
                <w:lang w:val="es-ES" w:eastAsia="es-ES" w:bidi="es-ES"/>
              </w:rPr>
              <w:t xml:space="preserve"> ANCP – CCE</w:t>
            </w:r>
            <w:r w:rsidR="00E810BE">
              <w:rPr>
                <w:rFonts w:ascii="Arial" w:hAnsi="Arial" w:eastAsia="Arial" w:cs="Arial"/>
                <w:sz w:val="14"/>
                <w:szCs w:val="14"/>
                <w:lang w:val="es-ES" w:eastAsia="es-ES" w:bidi="es-ES"/>
              </w:rPr>
              <w:t xml:space="preserve">/ </w:t>
            </w:r>
          </w:p>
        </w:tc>
      </w:tr>
      <w:bookmarkEnd w:id="10"/>
    </w:tbl>
    <w:p w:rsidRPr="00056AFD" w:rsidR="00056AFD" w:rsidP="00056AFD" w:rsidRDefault="00056AFD" w14:paraId="1DA74740" w14:textId="77777777">
      <w:pPr>
        <w:widowControl w:val="0"/>
        <w:autoSpaceDE w:val="0"/>
        <w:autoSpaceDN w:val="0"/>
        <w:spacing w:after="18"/>
        <w:jc w:val="center"/>
        <w:rPr>
          <w:rFonts w:ascii="Arial" w:hAnsi="Arial" w:eastAsia="Arial" w:cs="Arial"/>
          <w:sz w:val="22"/>
          <w:lang w:val="es-ES" w:eastAsia="es-CO" w:bidi="es-ES"/>
        </w:rPr>
      </w:pPr>
    </w:p>
    <w:p w:rsidRPr="00056AFD" w:rsidR="00056AFD" w:rsidP="00056AFD" w:rsidRDefault="00056AFD" w14:paraId="35652516" w14:textId="77777777">
      <w:pPr>
        <w:widowControl w:val="0"/>
        <w:autoSpaceDE w:val="0"/>
        <w:autoSpaceDN w:val="0"/>
        <w:rPr>
          <w:rFonts w:ascii="Arial" w:hAnsi="Arial" w:eastAsia="Arial" w:cs="Arial"/>
          <w:sz w:val="22"/>
          <w:lang w:val="es-ES" w:eastAsia="es-ES" w:bidi="es-ES"/>
        </w:rPr>
      </w:pPr>
    </w:p>
    <w:p w:rsidRPr="00056AFD" w:rsidR="00056AFD" w:rsidP="00056AFD" w:rsidRDefault="00056AFD" w14:paraId="044C97BC" w14:textId="77777777">
      <w:pPr>
        <w:widowControl w:val="0"/>
        <w:autoSpaceDE w:val="0"/>
        <w:autoSpaceDN w:val="0"/>
        <w:rPr>
          <w:rFonts w:ascii="Arial" w:hAnsi="Arial" w:eastAsia="Arial" w:cs="Arial"/>
          <w:sz w:val="22"/>
          <w:lang w:val="es-ES" w:eastAsia="es-ES" w:bidi="es-ES"/>
        </w:rPr>
      </w:pPr>
    </w:p>
    <w:p w:rsidRPr="00056AFD" w:rsidR="00056AFD" w:rsidP="00056AFD" w:rsidRDefault="00056AFD" w14:paraId="0965B981" w14:textId="77777777">
      <w:pPr>
        <w:widowControl w:val="0"/>
        <w:autoSpaceDE w:val="0"/>
        <w:autoSpaceDN w:val="0"/>
        <w:spacing w:line="276" w:lineRule="auto"/>
        <w:jc w:val="both"/>
        <w:rPr>
          <w:rFonts w:ascii="Arial" w:hAnsi="Arial" w:eastAsia="Times New Roman" w:cs="Arial"/>
          <w:sz w:val="18"/>
          <w:szCs w:val="18"/>
          <w:lang w:val="es-ES_tradnl" w:eastAsia="es-CO" w:bidi="es-ES"/>
        </w:rPr>
      </w:pPr>
    </w:p>
    <w:p w:rsidRPr="00056AFD" w:rsidR="00056AFD" w:rsidP="00056AFD" w:rsidRDefault="00056AFD" w14:paraId="1E8A31CD" w14:textId="77777777">
      <w:pPr>
        <w:widowControl w:val="0"/>
        <w:autoSpaceDE w:val="0"/>
        <w:autoSpaceDN w:val="0"/>
        <w:spacing w:line="276" w:lineRule="auto"/>
        <w:jc w:val="both"/>
        <w:rPr>
          <w:rFonts w:ascii="Arial" w:hAnsi="Arial" w:eastAsia="Times New Roman" w:cs="Arial"/>
          <w:sz w:val="18"/>
          <w:szCs w:val="18"/>
          <w:lang w:val="es-ES_tradnl" w:eastAsia="es-CO" w:bidi="es-ES"/>
        </w:rPr>
      </w:pPr>
    </w:p>
    <w:bookmarkEnd w:id="2"/>
    <w:bookmarkEnd w:id="3"/>
    <w:bookmarkEnd w:id="4"/>
    <w:p w:rsidRPr="00312813" w:rsidR="00746E08" w:rsidP="00056AFD" w:rsidRDefault="00746E08" w14:paraId="35B56F46" w14:textId="36A55832">
      <w:pPr>
        <w:spacing w:line="276" w:lineRule="auto"/>
        <w:jc w:val="both"/>
        <w:rPr>
          <w:rFonts w:ascii="Arial" w:hAnsi="Arial" w:eastAsia="Times New Roman" w:cs="Arial"/>
          <w:sz w:val="16"/>
          <w:szCs w:val="16"/>
          <w:lang w:eastAsia="es-ES"/>
        </w:rPr>
      </w:pPr>
    </w:p>
    <w:sectPr w:rsidRPr="00312813"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D9A" w:rsidRDefault="00B14D9A" w14:paraId="7B82167E" w14:textId="77777777">
      <w:r>
        <w:separator/>
      </w:r>
    </w:p>
  </w:endnote>
  <w:endnote w:type="continuationSeparator" w:id="0">
    <w:p w:rsidR="00B14D9A" w:rsidRDefault="00B14D9A" w14:paraId="1D40DA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51F1" w:rsidP="00322937" w:rsidRDefault="008751F1" w14:paraId="62F02A34" w14:textId="77777777">
    <w:pPr>
      <w:pStyle w:val="Sinespaciado"/>
      <w:jc w:val="right"/>
      <w:rPr>
        <w:rFonts w:ascii="Arial" w:hAnsi="Arial" w:cs="Arial"/>
        <w:sz w:val="18"/>
        <w:szCs w:val="18"/>
      </w:rPr>
    </w:pPr>
  </w:p>
  <w:p w:rsidRPr="008217B7" w:rsidR="008751F1" w:rsidP="00FE42ED" w:rsidRDefault="008751F1"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8751F1" w:rsidP="00322937" w:rsidRDefault="008751F1" w14:paraId="48FC6A04" w14:textId="5FD1A7C9">
    <w:pPr>
      <w:pStyle w:val="Piedepgina"/>
      <w:jc w:val="center"/>
      <w:rPr>
        <w:lang w:val="es-ES"/>
      </w:rPr>
    </w:pPr>
    <w:r>
      <w:rPr>
        <w:noProof/>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8751F1" w:rsidP="007B0854" w:rsidRDefault="008751F1" w14:paraId="5D0E988C" w14:textId="77777777">
    <w:pPr>
      <w:pStyle w:val="Piedepgina"/>
      <w:jc w:val="center"/>
      <w:rPr>
        <w:lang w:val="es-ES"/>
      </w:rPr>
    </w:pPr>
  </w:p>
  <w:p w:rsidRPr="007B0854" w:rsidR="008751F1" w:rsidP="007B0854" w:rsidRDefault="008751F1"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D9A" w:rsidRDefault="00B14D9A" w14:paraId="5201BC7D" w14:textId="77777777">
      <w:r>
        <w:separator/>
      </w:r>
    </w:p>
  </w:footnote>
  <w:footnote w:type="continuationSeparator" w:id="0">
    <w:p w:rsidR="00B14D9A" w:rsidRDefault="00B14D9A" w14:paraId="14352D2B" w14:textId="77777777">
      <w:r>
        <w:continuationSeparator/>
      </w:r>
    </w:p>
  </w:footnote>
  <w:footnote w:id="1">
    <w:p w:rsidRPr="00F13C27" w:rsidR="008751F1" w:rsidP="0030664E" w:rsidRDefault="008751F1" w14:paraId="05E5404E" w14:textId="77777777">
      <w:pPr>
        <w:pStyle w:val="Textonotapie"/>
        <w:ind w:firstLine="709"/>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rsidRPr="00F13C27" w:rsidR="008751F1" w:rsidP="0030664E" w:rsidRDefault="008751F1" w14:paraId="3036140D" w14:textId="1DF24F21">
      <w:pPr>
        <w:pStyle w:val="Textonotapie"/>
        <w:ind w:firstLine="709"/>
        <w:jc w:val="both"/>
        <w:rPr>
          <w:rFonts w:ascii="Arial" w:hAnsi="Arial" w:cs="Arial"/>
          <w:sz w:val="19"/>
          <w:szCs w:val="19"/>
        </w:rPr>
      </w:pPr>
      <w:r w:rsidRPr="00F13C27">
        <w:rPr>
          <w:rFonts w:ascii="Arial" w:hAnsi="Arial" w:cs="Arial"/>
          <w:sz w:val="19"/>
          <w:szCs w:val="19"/>
        </w:rPr>
        <w:t>»Las personas jurídicas nacionales y extranjeras deberán acreditar que su duración no será inferior a la del plazo del contrato y un año más».</w:t>
      </w:r>
    </w:p>
  </w:footnote>
  <w:footnote w:id="2">
    <w:p w:rsidRPr="00F13C27" w:rsidR="008751F1" w:rsidP="0030664E" w:rsidRDefault="008751F1" w14:paraId="25ABFA16" w14:textId="77777777">
      <w:pPr>
        <w:pStyle w:val="Textonotapie"/>
        <w:ind w:firstLine="709"/>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rsidRPr="00F13C27" w:rsidR="008751F1" w:rsidP="0030664E" w:rsidRDefault="008751F1" w14:paraId="51A5DCC8" w14:textId="77777777">
      <w:pPr>
        <w:pStyle w:val="Textonotapie"/>
        <w:ind w:firstLine="709"/>
        <w:jc w:val="both"/>
        <w:rPr>
          <w:rFonts w:ascii="Arial" w:hAnsi="Arial" w:cs="Arial"/>
          <w:sz w:val="19"/>
          <w:szCs w:val="19"/>
        </w:rPr>
      </w:pPr>
      <w:r w:rsidRPr="00F13C27">
        <w:rPr>
          <w:rFonts w:ascii="Arial" w:hAnsi="Arial" w:cs="Arial"/>
          <w:sz w:val="19"/>
          <w:szCs w:val="19"/>
        </w:rPr>
        <w:t>»1o.) que sea legalmente capaz.</w:t>
      </w:r>
    </w:p>
    <w:p w:rsidRPr="00F13C27" w:rsidR="008751F1" w:rsidP="0030664E" w:rsidRDefault="008751F1" w14:paraId="6313C6BC" w14:textId="77777777">
      <w:pPr>
        <w:pStyle w:val="Textonotapie"/>
        <w:ind w:firstLine="709"/>
        <w:jc w:val="both"/>
        <w:rPr>
          <w:rFonts w:ascii="Arial" w:hAnsi="Arial" w:cs="Arial"/>
          <w:sz w:val="19"/>
          <w:szCs w:val="19"/>
        </w:rPr>
      </w:pPr>
      <w:r w:rsidRPr="00F13C27">
        <w:rPr>
          <w:rFonts w:ascii="Arial" w:hAnsi="Arial" w:cs="Arial"/>
          <w:sz w:val="19"/>
          <w:szCs w:val="19"/>
        </w:rPr>
        <w:t>[…]</w:t>
      </w:r>
    </w:p>
    <w:p w:rsidRPr="00F13C27" w:rsidR="008751F1" w:rsidP="0030664E" w:rsidRDefault="008751F1" w14:paraId="31FB6190" w14:textId="73D262BA">
      <w:pPr>
        <w:pStyle w:val="Textonotapie"/>
        <w:ind w:firstLine="709"/>
        <w:jc w:val="both"/>
        <w:rPr>
          <w:rFonts w:ascii="Arial" w:hAnsi="Arial" w:cs="Arial"/>
          <w:sz w:val="19"/>
          <w:szCs w:val="19"/>
        </w:rPr>
      </w:pPr>
      <w:r w:rsidRPr="00F13C27">
        <w:rPr>
          <w:rFonts w:ascii="Arial" w:hAnsi="Arial" w:cs="Arial"/>
          <w:sz w:val="19"/>
          <w:szCs w:val="19"/>
        </w:rPr>
        <w:t>»La capacidad legal de una persona consiste en poderse obligar por sí misma, sin el ministerio o la autorización de otra».</w:t>
      </w:r>
    </w:p>
  </w:footnote>
  <w:footnote w:id="3">
    <w:p w:rsidRPr="00F13C27" w:rsidR="008751F1" w:rsidP="0030664E" w:rsidRDefault="008751F1" w14:paraId="69944C70" w14:textId="69226D2F">
      <w:pPr>
        <w:pStyle w:val="Textonotapie"/>
        <w:ind w:firstLine="709"/>
        <w:jc w:val="both"/>
        <w:rPr>
          <w:rFonts w:ascii="Arial" w:hAnsi="Arial" w:cs="Arial"/>
          <w:sz w:val="19"/>
          <w:szCs w:val="19"/>
          <w:lang w:val="es-ES"/>
        </w:rPr>
      </w:pPr>
      <w:r w:rsidRPr="00F13C27">
        <w:rPr>
          <w:rStyle w:val="Refdenotaalpie"/>
          <w:rFonts w:ascii="Arial" w:hAnsi="Arial" w:cs="Arial"/>
          <w:sz w:val="19"/>
          <w:szCs w:val="19"/>
        </w:rPr>
        <w:footnoteRef/>
      </w:r>
      <w:r w:rsidRPr="00F13C27">
        <w:rPr>
          <w:rFonts w:ascii="Arial" w:hAnsi="Arial" w:cs="Arial"/>
          <w:sz w:val="19"/>
          <w:szCs w:val="19"/>
        </w:rPr>
        <w:t xml:space="preserve"> </w:t>
      </w:r>
      <w:r w:rsidRPr="00F13C27">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F13C27">
        <w:rPr>
          <w:rFonts w:ascii="Arial" w:hAnsi="Arial" w:cs="Arial"/>
          <w:i/>
          <w:iCs/>
          <w:sz w:val="19"/>
          <w:szCs w:val="19"/>
          <w:lang w:val="es-ES"/>
        </w:rPr>
        <w:t>el régimen de inhabilidades e incompatibilidades</w:t>
      </w:r>
      <w:r w:rsidRPr="00F13C27">
        <w:rPr>
          <w:rFonts w:ascii="Arial" w:hAnsi="Arial" w:cs="Arial"/>
          <w:sz w:val="19"/>
          <w:szCs w:val="19"/>
          <w:lang w:val="es-ES"/>
        </w:rPr>
        <w:t xml:space="preserve"> (1) y la obligación de ciertos proponentes de inscribirse en el </w:t>
      </w:r>
      <w:r w:rsidRPr="00F13C27">
        <w:rPr>
          <w:rFonts w:ascii="Arial" w:hAnsi="Arial" w:cs="Arial"/>
          <w:i/>
          <w:iCs/>
          <w:sz w:val="19"/>
          <w:szCs w:val="19"/>
          <w:lang w:val="es-ES"/>
        </w:rPr>
        <w:t>registro único</w:t>
      </w:r>
      <w:r w:rsidRPr="00F13C27">
        <w:rPr>
          <w:rFonts w:ascii="Arial" w:hAnsi="Arial" w:cs="Arial"/>
          <w:sz w:val="19"/>
          <w:szCs w:val="19"/>
          <w:lang w:val="es-ES"/>
        </w:rPr>
        <w:t xml:space="preserve"> (2)» (BENAVIDES, José Luis. El contrato estatal. Entre el Derecho público y el Derecho privado. 2ª ed. Bogotá: Universidad Externado de Colombia, 2004. p. 278). </w:t>
      </w:r>
    </w:p>
  </w:footnote>
  <w:footnote w:id="4">
    <w:p w:rsidRPr="00F13C27" w:rsidR="008751F1" w:rsidP="0030664E" w:rsidRDefault="008751F1" w14:paraId="1FA0F325" w14:textId="68C38867">
      <w:pPr>
        <w:pStyle w:val="Textonotapie"/>
        <w:ind w:firstLine="709"/>
        <w:jc w:val="both"/>
        <w:rPr>
          <w:rFonts w:ascii="Arial" w:hAnsi="Arial" w:cs="Arial"/>
          <w:sz w:val="19"/>
          <w:szCs w:val="19"/>
          <w:lang w:val="es-ES"/>
        </w:rPr>
      </w:pPr>
      <w:r w:rsidRPr="00F13C27">
        <w:rPr>
          <w:rStyle w:val="Refdenotaalpie"/>
          <w:rFonts w:ascii="Arial" w:hAnsi="Arial" w:cs="Arial"/>
          <w:sz w:val="19"/>
          <w:szCs w:val="19"/>
        </w:rPr>
        <w:footnoteRef/>
      </w:r>
      <w:r w:rsidRPr="00F13C27">
        <w:rPr>
          <w:rFonts w:ascii="Arial" w:hAnsi="Arial" w:cs="Arial"/>
          <w:sz w:val="19"/>
          <w:szCs w:val="19"/>
        </w:rPr>
        <w:t xml:space="preserve"> </w:t>
      </w:r>
      <w:r w:rsidRPr="00F13C27">
        <w:rPr>
          <w:rFonts w:ascii="Arial" w:hAnsi="Arial" w:cs="Arial"/>
          <w:sz w:val="19"/>
          <w:szCs w:val="19"/>
          <w:lang w:val="es-ES"/>
        </w:rPr>
        <w:t xml:space="preserve">BARRETO ROZO, Antonio Alejandro. Inhabilidades de la contratación estatal, efectos y </w:t>
      </w:r>
      <w:proofErr w:type="spellStart"/>
      <w:r w:rsidRPr="00F13C27">
        <w:rPr>
          <w:rFonts w:ascii="Arial" w:hAnsi="Arial" w:cs="Arial"/>
          <w:sz w:val="19"/>
          <w:szCs w:val="19"/>
          <w:lang w:val="es-ES"/>
        </w:rPr>
        <w:t>neopunitivismo</w:t>
      </w:r>
      <w:proofErr w:type="spellEnd"/>
      <w:r w:rsidRPr="00F13C27">
        <w:rPr>
          <w:rFonts w:ascii="Arial" w:hAnsi="Arial" w:cs="Arial"/>
          <w:sz w:val="19"/>
          <w:szCs w:val="19"/>
          <w:lang w:val="es-ES"/>
        </w:rPr>
        <w:t xml:space="preserve"> en el Estatuto Anticorrupción. En: ALVIAR GARCÍA, Helena (Coordinadora). Nuevas tendencias del Derecho administrativo. Bogotá: Universidad de los Andes; Temis, 2016. pp. 63-99.</w:t>
      </w:r>
    </w:p>
  </w:footnote>
  <w:footnote w:id="5">
    <w:p w:rsidRPr="00F13C27" w:rsidR="008751F1" w:rsidP="0030664E" w:rsidRDefault="008751F1" w14:paraId="1B7F9D68" w14:textId="3054B993">
      <w:pPr>
        <w:pStyle w:val="Textonotapie"/>
        <w:ind w:firstLine="709"/>
        <w:jc w:val="both"/>
        <w:rPr>
          <w:rFonts w:ascii="Arial" w:hAnsi="Arial" w:cs="Arial"/>
          <w:sz w:val="19"/>
          <w:szCs w:val="19"/>
          <w:lang w:val="es-ES"/>
        </w:rPr>
      </w:pPr>
      <w:r w:rsidRPr="00F13C27">
        <w:rPr>
          <w:rStyle w:val="Refdenotaalpie"/>
          <w:rFonts w:ascii="Arial" w:hAnsi="Arial" w:cs="Arial"/>
          <w:sz w:val="19"/>
          <w:szCs w:val="19"/>
        </w:rPr>
        <w:footnoteRef/>
      </w:r>
      <w:r w:rsidRPr="00F13C27">
        <w:rPr>
          <w:rFonts w:ascii="Arial" w:hAnsi="Arial" w:cs="Arial"/>
          <w:sz w:val="19"/>
          <w:szCs w:val="19"/>
        </w:rPr>
        <w:t xml:space="preserve"> </w:t>
      </w:r>
      <w:r w:rsidRPr="00F13C27">
        <w:rPr>
          <w:rFonts w:ascii="Arial" w:hAnsi="Arial" w:cs="Arial"/>
          <w:sz w:val="19"/>
          <w:szCs w:val="19"/>
          <w:lang w:val="es-ES"/>
        </w:rPr>
        <w:t>Ibíd., p. 69.</w:t>
      </w:r>
    </w:p>
  </w:footnote>
  <w:footnote w:id="6">
    <w:p w:rsidRPr="00F13C27" w:rsidR="008751F1" w:rsidP="0030664E" w:rsidRDefault="008751F1" w14:paraId="1CCC4BEC" w14:textId="3D60144B">
      <w:pPr>
        <w:pStyle w:val="Textonotapie"/>
        <w:ind w:firstLine="709"/>
        <w:jc w:val="both"/>
        <w:rPr>
          <w:rFonts w:ascii="Arial" w:hAnsi="Arial" w:cs="Arial"/>
          <w:sz w:val="19"/>
          <w:szCs w:val="19"/>
          <w:lang w:val="es-ES"/>
        </w:rPr>
      </w:pPr>
      <w:r w:rsidRPr="00F13C27">
        <w:rPr>
          <w:rStyle w:val="Refdenotaalpie"/>
          <w:rFonts w:ascii="Arial" w:hAnsi="Arial" w:cs="Arial"/>
          <w:sz w:val="19"/>
          <w:szCs w:val="19"/>
        </w:rPr>
        <w:footnoteRef/>
      </w:r>
      <w:r w:rsidRPr="00F13C27">
        <w:rPr>
          <w:rFonts w:ascii="Arial" w:hAnsi="Arial" w:cs="Arial"/>
          <w:sz w:val="19"/>
          <w:szCs w:val="19"/>
        </w:rPr>
        <w:t xml:space="preserve"> </w:t>
      </w:r>
      <w:r w:rsidRPr="00F13C27">
        <w:rPr>
          <w:rFonts w:ascii="Arial" w:hAnsi="Arial" w:cs="Arial"/>
          <w:sz w:val="19"/>
          <w:szCs w:val="19"/>
          <w:lang w:val="es-ES"/>
        </w:rPr>
        <w:t xml:space="preserve">CORTE CONSTITUCIONAL. Sentencia T-1039 de 2006. M.P. Humberto Sierra Porto. La Corte ha mantenido este criterio en las sentencias: C-903 de 2008. M.P. Jaime Araujo Rentería; C-101 de 2018. M. P. Gloria Stella Ortiz Delgado; entre otras. </w:t>
      </w:r>
    </w:p>
  </w:footnote>
  <w:footnote w:id="7">
    <w:p w:rsidRPr="00F13C27" w:rsidR="008751F1" w:rsidP="0030664E" w:rsidRDefault="008751F1" w14:paraId="02F3B800" w14:textId="29F75D8F">
      <w:pPr>
        <w:pStyle w:val="Textonotapie"/>
        <w:ind w:firstLine="709"/>
        <w:jc w:val="both"/>
        <w:rPr>
          <w:rFonts w:ascii="Arial" w:hAnsi="Arial" w:cs="Arial"/>
          <w:sz w:val="19"/>
          <w:szCs w:val="19"/>
          <w:lang w:val="es-ES"/>
        </w:rPr>
      </w:pPr>
      <w:r w:rsidRPr="00F13C27">
        <w:rPr>
          <w:rStyle w:val="Refdenotaalpie"/>
          <w:rFonts w:ascii="Arial" w:hAnsi="Arial" w:cs="Arial"/>
          <w:sz w:val="19"/>
          <w:szCs w:val="19"/>
        </w:rPr>
        <w:footnoteRef/>
      </w:r>
      <w:r w:rsidRPr="00F13C27">
        <w:rPr>
          <w:rFonts w:ascii="Arial" w:hAnsi="Arial" w:cs="Arial"/>
          <w:sz w:val="19"/>
          <w:szCs w:val="19"/>
        </w:rPr>
        <w:t xml:space="preserve"> </w:t>
      </w:r>
      <w:r w:rsidRPr="00F13C27">
        <w:rPr>
          <w:rFonts w:ascii="Arial" w:hAnsi="Arial" w:cs="Arial"/>
          <w:sz w:val="19"/>
          <w:szCs w:val="19"/>
          <w:lang w:val="es-ES"/>
        </w:rPr>
        <w:t xml:space="preserve">CONSEJO DE ESTADO. Sala de Consulta y Servicio Civil. Concepto del 30 de abril de 2015. Expediente: 2251. Consejero Ponente: Álvaro </w:t>
      </w:r>
      <w:proofErr w:type="spellStart"/>
      <w:r w:rsidRPr="00F13C27">
        <w:rPr>
          <w:rFonts w:ascii="Arial" w:hAnsi="Arial" w:cs="Arial"/>
          <w:sz w:val="19"/>
          <w:szCs w:val="19"/>
          <w:lang w:val="es-ES"/>
        </w:rPr>
        <w:t>Namén</w:t>
      </w:r>
      <w:proofErr w:type="spellEnd"/>
      <w:r w:rsidRPr="00F13C27">
        <w:rPr>
          <w:rFonts w:ascii="Arial" w:hAnsi="Arial" w:cs="Arial"/>
          <w:sz w:val="19"/>
          <w:szCs w:val="19"/>
          <w:lang w:val="es-ES"/>
        </w:rPr>
        <w:t xml:space="preserve"> Vargas.</w:t>
      </w:r>
    </w:p>
  </w:footnote>
  <w:footnote w:id="8">
    <w:p w:rsidRPr="00F13C27" w:rsidR="008751F1" w:rsidP="0030664E" w:rsidRDefault="008751F1" w14:paraId="59031EAF" w14:textId="11CD0866">
      <w:pPr>
        <w:pStyle w:val="Textonotapie"/>
        <w:ind w:firstLine="709"/>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CONSEJO DE ESTADO. Sección Tercera. Subsección A. Sentencia del 24 de junio de 2015. Exp. 40.635. Consejero Ponente: Hernán Andrade Rincón (E).</w:t>
      </w:r>
    </w:p>
  </w:footnote>
  <w:footnote w:id="9">
    <w:p w:rsidRPr="00F13C27" w:rsidR="008751F1" w:rsidP="0030664E" w:rsidRDefault="008751F1" w14:paraId="5987F45B" w14:textId="01C7F58B">
      <w:pPr>
        <w:pStyle w:val="Textonotapie"/>
        <w:ind w:firstLine="709"/>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CONSEJO DE ESTADO. Sección Tercera. Subsección C. Sentencia del 22 de mayo de 2013. Exp. 24.057. C.P. Olga Melida Valle De De La Hoz.</w:t>
      </w:r>
    </w:p>
  </w:footnote>
  <w:footnote w:id="10">
    <w:p w:rsidRPr="00F13C27" w:rsidR="00312813" w:rsidP="0030664E" w:rsidRDefault="008751F1" w14:paraId="5ABD8400" w14:textId="6F2389B8">
      <w:pPr>
        <w:pStyle w:val="Textonotapie"/>
        <w:ind w:firstLine="708"/>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AGENCIA NACIONAL DE CONTRATACIÓN PÚBLICA, Concepto de 11 de diciembre de 2019. Radicado de entrada No. 4201912000007060, Radicado de salida No. 2201913000009165. </w:t>
      </w:r>
    </w:p>
  </w:footnote>
  <w:footnote w:id="11">
    <w:p w:rsidRPr="00F13C27" w:rsidR="008751F1" w:rsidP="0030664E" w:rsidRDefault="008751F1" w14:paraId="5B51A54D" w14:textId="52CE994A">
      <w:pPr>
        <w:pStyle w:val="Textonotapie"/>
        <w:ind w:firstLine="720"/>
        <w:jc w:val="both"/>
        <w:rPr>
          <w:rFonts w:ascii="Arial" w:hAnsi="Arial" w:cs="Arial"/>
          <w:sz w:val="19"/>
          <w:szCs w:val="19"/>
          <w:lang w:val="es-CO"/>
        </w:rPr>
      </w:pPr>
      <w:r w:rsidRPr="00F13C27">
        <w:rPr>
          <w:rStyle w:val="Refdenotaalpie"/>
          <w:rFonts w:ascii="Arial" w:hAnsi="Arial" w:cs="Arial"/>
          <w:sz w:val="19"/>
          <w:szCs w:val="19"/>
        </w:rPr>
        <w:footnoteRef/>
      </w:r>
      <w:r w:rsidRPr="00F13C27">
        <w:rPr>
          <w:rFonts w:ascii="Arial" w:hAnsi="Arial" w:cs="Arial"/>
          <w:sz w:val="19"/>
          <w:szCs w:val="19"/>
        </w:rPr>
        <w:t xml:space="preserve"> Ley 153 de 1887 «Artículo 2. La ley posterior prevalece sobre la ley anterior. En caso de que una ley posterior sea contraria a otra anterior, y ambas preexistentes al hecho que se juzga, se aplicará la ley posterior».</w:t>
      </w:r>
    </w:p>
  </w:footnote>
  <w:footnote w:id="12">
    <w:p w:rsidRPr="00F13C27" w:rsidR="008751F1" w:rsidP="0030664E" w:rsidRDefault="008751F1" w14:paraId="663F6AD7" w14:textId="24224064">
      <w:pPr>
        <w:ind w:firstLine="600"/>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Constitución Política de Colombia «Artículo 29. El debido proceso se aplicará a toda clase de actuaciones judiciales y administrativas.</w:t>
      </w:r>
    </w:p>
    <w:p w:rsidRPr="00F13C27" w:rsidR="008751F1" w:rsidP="0030664E" w:rsidRDefault="008751F1" w14:paraId="1F1FF00A" w14:textId="77777777">
      <w:pPr>
        <w:ind w:left="600" w:firstLine="408"/>
        <w:jc w:val="both"/>
        <w:rPr>
          <w:rFonts w:ascii="Arial" w:hAnsi="Arial" w:cs="Arial"/>
          <w:sz w:val="19"/>
          <w:szCs w:val="19"/>
        </w:rPr>
      </w:pPr>
      <w:r w:rsidRPr="00F13C27">
        <w:rPr>
          <w:rFonts w:ascii="Arial" w:hAnsi="Arial" w:cs="Arial"/>
          <w:sz w:val="19"/>
          <w:szCs w:val="19"/>
        </w:rPr>
        <w:t>[…]</w:t>
      </w:r>
    </w:p>
    <w:p w:rsidRPr="00F13C27" w:rsidR="008751F1" w:rsidP="0030664E" w:rsidRDefault="008751F1" w14:paraId="40C07F47" w14:textId="2748638D">
      <w:pPr>
        <w:ind w:firstLine="600"/>
        <w:jc w:val="both"/>
        <w:rPr>
          <w:rFonts w:ascii="Arial" w:hAnsi="Arial" w:cs="Arial"/>
          <w:sz w:val="19"/>
          <w:szCs w:val="19"/>
        </w:rPr>
      </w:pPr>
      <w:r w:rsidRPr="00F13C27">
        <w:rPr>
          <w:rFonts w:ascii="Arial" w:hAnsi="Arial" w:cs="Arial"/>
          <w:sz w:val="19"/>
          <w:szCs w:val="19"/>
        </w:rPr>
        <w:t>»Nadie podrá ser juzgado sino conforme a leyes preexistentes al acto que se le imputa, ante juez o tribunal competente y con observancia de la plenitud de las formas propias de cada juicio».</w:t>
      </w:r>
    </w:p>
    <w:p w:rsidRPr="00F13C27" w:rsidR="008751F1" w:rsidP="0030664E" w:rsidRDefault="008751F1" w14:paraId="23171010" w14:textId="709D9BAA">
      <w:pPr>
        <w:ind w:left="300" w:firstLine="300"/>
        <w:jc w:val="both"/>
        <w:rPr>
          <w:rFonts w:ascii="Arial" w:hAnsi="Arial" w:cs="Arial"/>
          <w:sz w:val="19"/>
          <w:szCs w:val="19"/>
        </w:rPr>
      </w:pPr>
      <w:r w:rsidRPr="00F13C27">
        <w:rPr>
          <w:rFonts w:ascii="Arial" w:hAnsi="Arial" w:cs="Arial"/>
          <w:sz w:val="19"/>
          <w:szCs w:val="19"/>
        </w:rPr>
        <w:t>»En materia penal, la ley permisiva o favorable, aun cuando sea posterior, se aplicará de preferencia a la restrictiva o desfavorable.</w:t>
      </w:r>
    </w:p>
    <w:p w:rsidRPr="00F13C27" w:rsidR="008751F1" w:rsidP="0030664E" w:rsidRDefault="008751F1" w14:paraId="46CFFDF8" w14:textId="799DAFA6">
      <w:pPr>
        <w:pStyle w:val="Textoindependiente"/>
        <w:ind w:left="708"/>
        <w:jc w:val="both"/>
        <w:rPr>
          <w:sz w:val="19"/>
          <w:szCs w:val="19"/>
        </w:rPr>
      </w:pPr>
      <w:r w:rsidRPr="00F13C27">
        <w:rPr>
          <w:sz w:val="19"/>
          <w:szCs w:val="19"/>
        </w:rPr>
        <w:t xml:space="preserve">      […]</w:t>
      </w:r>
    </w:p>
    <w:p w:rsidRPr="00F13C27" w:rsidR="008751F1" w:rsidP="0030664E" w:rsidRDefault="008751F1" w14:paraId="112B7B7B" w14:textId="416748D7">
      <w:pPr>
        <w:ind w:firstLine="600"/>
        <w:jc w:val="both"/>
        <w:rPr>
          <w:rFonts w:ascii="Arial" w:hAnsi="Arial" w:cs="Arial"/>
          <w:sz w:val="19"/>
          <w:szCs w:val="19"/>
        </w:rPr>
      </w:pPr>
      <w:r w:rsidRPr="00F13C27">
        <w:rPr>
          <w:rFonts w:ascii="Arial" w:hAnsi="Arial" w:cs="Arial"/>
          <w:sz w:val="19"/>
          <w:szCs w:val="19"/>
        </w:rPr>
        <w:t>»Artículo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footnote>
  <w:footnote w:id="13">
    <w:p w:rsidRPr="00F13C27" w:rsidR="008751F1" w:rsidP="0030664E" w:rsidRDefault="008751F1" w14:paraId="41509580" w14:textId="036D8C8D">
      <w:pPr>
        <w:ind w:right="49" w:firstLine="708"/>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CORTE CONSTITUCIONAL, Sentencia C -619 de 2001, M.P. Marco Gerardo Monroy Cabra: «La noción de derecho adquirido se contrapone a la de mera expectativa. Por derecho adquirido ha entendido la doctrina y la jurisprudencia aquel derecho que ha entrado al patrimonio de una persona natural o jurídica y que hace parte de</w:t>
      </w:r>
      <w:r w:rsidRPr="00F13C27">
        <w:rPr>
          <w:rFonts w:ascii="Arial" w:hAnsi="Arial" w:cs="Arial"/>
          <w:spacing w:val="-4"/>
          <w:sz w:val="19"/>
          <w:szCs w:val="19"/>
        </w:rPr>
        <w:t xml:space="preserve"> </w:t>
      </w:r>
      <w:r w:rsidRPr="00F13C27">
        <w:rPr>
          <w:rFonts w:ascii="Arial" w:hAnsi="Arial" w:cs="Arial"/>
          <w:sz w:val="19"/>
          <w:szCs w:val="19"/>
        </w:rPr>
        <w:t>él,</w:t>
      </w:r>
      <w:r w:rsidRPr="00F13C27">
        <w:rPr>
          <w:rFonts w:ascii="Arial" w:hAnsi="Arial" w:cs="Arial"/>
          <w:spacing w:val="-3"/>
          <w:sz w:val="19"/>
          <w:szCs w:val="19"/>
        </w:rPr>
        <w:t xml:space="preserve"> </w:t>
      </w:r>
      <w:r w:rsidRPr="00F13C27">
        <w:rPr>
          <w:rFonts w:ascii="Arial" w:hAnsi="Arial" w:cs="Arial"/>
          <w:sz w:val="19"/>
          <w:szCs w:val="19"/>
        </w:rPr>
        <w:t>y</w:t>
      </w:r>
      <w:r w:rsidRPr="00F13C27">
        <w:rPr>
          <w:rFonts w:ascii="Arial" w:hAnsi="Arial" w:cs="Arial"/>
          <w:spacing w:val="-6"/>
          <w:sz w:val="19"/>
          <w:szCs w:val="19"/>
        </w:rPr>
        <w:t xml:space="preserve"> </w:t>
      </w:r>
      <w:r w:rsidRPr="00F13C27">
        <w:rPr>
          <w:rFonts w:ascii="Arial" w:hAnsi="Arial" w:cs="Arial"/>
          <w:sz w:val="19"/>
          <w:szCs w:val="19"/>
        </w:rPr>
        <w:t>que</w:t>
      </w:r>
      <w:r w:rsidRPr="00F13C27">
        <w:rPr>
          <w:rFonts w:ascii="Arial" w:hAnsi="Arial" w:cs="Arial"/>
          <w:spacing w:val="-3"/>
          <w:sz w:val="19"/>
          <w:szCs w:val="19"/>
        </w:rPr>
        <w:t xml:space="preserve"> </w:t>
      </w:r>
      <w:r w:rsidRPr="00F13C27">
        <w:rPr>
          <w:rFonts w:ascii="Arial" w:hAnsi="Arial" w:cs="Arial"/>
          <w:sz w:val="19"/>
          <w:szCs w:val="19"/>
        </w:rPr>
        <w:t>por</w:t>
      </w:r>
      <w:r w:rsidRPr="00F13C27">
        <w:rPr>
          <w:rFonts w:ascii="Arial" w:hAnsi="Arial" w:cs="Arial"/>
          <w:spacing w:val="-3"/>
          <w:sz w:val="19"/>
          <w:szCs w:val="19"/>
        </w:rPr>
        <w:t xml:space="preserve"> </w:t>
      </w:r>
      <w:r w:rsidRPr="00F13C27">
        <w:rPr>
          <w:rFonts w:ascii="Arial" w:hAnsi="Arial" w:cs="Arial"/>
          <w:sz w:val="19"/>
          <w:szCs w:val="19"/>
        </w:rPr>
        <w:t>lo</w:t>
      </w:r>
      <w:r w:rsidRPr="00F13C27">
        <w:rPr>
          <w:rFonts w:ascii="Arial" w:hAnsi="Arial" w:cs="Arial"/>
          <w:spacing w:val="-1"/>
          <w:sz w:val="19"/>
          <w:szCs w:val="19"/>
        </w:rPr>
        <w:t xml:space="preserve"> </w:t>
      </w:r>
      <w:r w:rsidRPr="00F13C27">
        <w:rPr>
          <w:rFonts w:ascii="Arial" w:hAnsi="Arial" w:cs="Arial"/>
          <w:sz w:val="19"/>
          <w:szCs w:val="19"/>
        </w:rPr>
        <w:t>mismo,</w:t>
      </w:r>
      <w:r w:rsidRPr="00F13C27">
        <w:rPr>
          <w:rFonts w:ascii="Arial" w:hAnsi="Arial" w:cs="Arial"/>
          <w:spacing w:val="-3"/>
          <w:sz w:val="19"/>
          <w:szCs w:val="19"/>
        </w:rPr>
        <w:t xml:space="preserve"> </w:t>
      </w:r>
      <w:r w:rsidRPr="00F13C27">
        <w:rPr>
          <w:rFonts w:ascii="Arial" w:hAnsi="Arial" w:cs="Arial"/>
          <w:sz w:val="19"/>
          <w:szCs w:val="19"/>
        </w:rPr>
        <w:t>no</w:t>
      </w:r>
      <w:r w:rsidRPr="00F13C27">
        <w:rPr>
          <w:rFonts w:ascii="Arial" w:hAnsi="Arial" w:cs="Arial"/>
          <w:spacing w:val="-1"/>
          <w:sz w:val="19"/>
          <w:szCs w:val="19"/>
        </w:rPr>
        <w:t xml:space="preserve"> </w:t>
      </w:r>
      <w:r w:rsidRPr="00F13C27">
        <w:rPr>
          <w:rFonts w:ascii="Arial" w:hAnsi="Arial" w:cs="Arial"/>
          <w:sz w:val="19"/>
          <w:szCs w:val="19"/>
        </w:rPr>
        <w:t>puede</w:t>
      </w:r>
      <w:r w:rsidRPr="00F13C27">
        <w:rPr>
          <w:rFonts w:ascii="Arial" w:hAnsi="Arial" w:cs="Arial"/>
          <w:spacing w:val="-3"/>
          <w:sz w:val="19"/>
          <w:szCs w:val="19"/>
        </w:rPr>
        <w:t xml:space="preserve"> </w:t>
      </w:r>
      <w:r w:rsidRPr="00F13C27">
        <w:rPr>
          <w:rFonts w:ascii="Arial" w:hAnsi="Arial" w:cs="Arial"/>
          <w:sz w:val="19"/>
          <w:szCs w:val="19"/>
        </w:rPr>
        <w:t>ser</w:t>
      </w:r>
      <w:r w:rsidRPr="00F13C27">
        <w:rPr>
          <w:rFonts w:ascii="Arial" w:hAnsi="Arial" w:cs="Arial"/>
          <w:spacing w:val="-4"/>
          <w:sz w:val="19"/>
          <w:szCs w:val="19"/>
        </w:rPr>
        <w:t xml:space="preserve"> </w:t>
      </w:r>
      <w:r w:rsidRPr="00F13C27">
        <w:rPr>
          <w:rFonts w:ascii="Arial" w:hAnsi="Arial" w:cs="Arial"/>
          <w:sz w:val="19"/>
          <w:szCs w:val="19"/>
        </w:rPr>
        <w:t>arrebatado</w:t>
      </w:r>
      <w:r w:rsidRPr="00F13C27">
        <w:rPr>
          <w:rFonts w:ascii="Arial" w:hAnsi="Arial" w:cs="Arial"/>
          <w:spacing w:val="-3"/>
          <w:sz w:val="19"/>
          <w:szCs w:val="19"/>
        </w:rPr>
        <w:t xml:space="preserve"> </w:t>
      </w:r>
      <w:r w:rsidRPr="00F13C27">
        <w:rPr>
          <w:rFonts w:ascii="Arial" w:hAnsi="Arial" w:cs="Arial"/>
          <w:sz w:val="19"/>
          <w:szCs w:val="19"/>
        </w:rPr>
        <w:t>o</w:t>
      </w:r>
      <w:r w:rsidRPr="00F13C27">
        <w:rPr>
          <w:rFonts w:ascii="Arial" w:hAnsi="Arial" w:cs="Arial"/>
          <w:spacing w:val="-3"/>
          <w:sz w:val="19"/>
          <w:szCs w:val="19"/>
        </w:rPr>
        <w:t xml:space="preserve"> </w:t>
      </w:r>
      <w:r w:rsidRPr="00F13C27">
        <w:rPr>
          <w:rFonts w:ascii="Arial" w:hAnsi="Arial" w:cs="Arial"/>
          <w:sz w:val="19"/>
          <w:szCs w:val="19"/>
        </w:rPr>
        <w:t>vulnerado</w:t>
      </w:r>
      <w:r w:rsidRPr="00F13C27">
        <w:rPr>
          <w:rFonts w:ascii="Arial" w:hAnsi="Arial" w:cs="Arial"/>
          <w:spacing w:val="-4"/>
          <w:sz w:val="19"/>
          <w:szCs w:val="19"/>
        </w:rPr>
        <w:t xml:space="preserve"> </w:t>
      </w:r>
      <w:r w:rsidRPr="00F13C27">
        <w:rPr>
          <w:rFonts w:ascii="Arial" w:hAnsi="Arial" w:cs="Arial"/>
          <w:sz w:val="19"/>
          <w:szCs w:val="19"/>
        </w:rPr>
        <w:t>por</w:t>
      </w:r>
      <w:r w:rsidRPr="00F13C27">
        <w:rPr>
          <w:rFonts w:ascii="Arial" w:hAnsi="Arial" w:cs="Arial"/>
          <w:spacing w:val="-3"/>
          <w:sz w:val="19"/>
          <w:szCs w:val="19"/>
        </w:rPr>
        <w:t xml:space="preserve"> </w:t>
      </w:r>
      <w:r w:rsidRPr="00F13C27">
        <w:rPr>
          <w:rFonts w:ascii="Arial" w:hAnsi="Arial" w:cs="Arial"/>
          <w:sz w:val="19"/>
          <w:szCs w:val="19"/>
        </w:rPr>
        <w:t>quien</w:t>
      </w:r>
      <w:r w:rsidRPr="00F13C27">
        <w:rPr>
          <w:rFonts w:ascii="Arial" w:hAnsi="Arial" w:cs="Arial"/>
          <w:spacing w:val="-3"/>
          <w:sz w:val="19"/>
          <w:szCs w:val="19"/>
        </w:rPr>
        <w:t xml:space="preserve"> </w:t>
      </w:r>
      <w:r w:rsidRPr="00F13C27">
        <w:rPr>
          <w:rFonts w:ascii="Arial" w:hAnsi="Arial" w:cs="Arial"/>
          <w:sz w:val="19"/>
          <w:szCs w:val="19"/>
        </w:rPr>
        <w:t>lo</w:t>
      </w:r>
      <w:r w:rsidRPr="00F13C27">
        <w:rPr>
          <w:rFonts w:ascii="Arial" w:hAnsi="Arial" w:cs="Arial"/>
          <w:spacing w:val="-4"/>
          <w:sz w:val="19"/>
          <w:szCs w:val="19"/>
        </w:rPr>
        <w:t xml:space="preserve"> </w:t>
      </w:r>
      <w:r w:rsidRPr="00F13C27">
        <w:rPr>
          <w:rFonts w:ascii="Arial" w:hAnsi="Arial" w:cs="Arial"/>
          <w:sz w:val="19"/>
          <w:szCs w:val="19"/>
        </w:rPr>
        <w:t>creó</w:t>
      </w:r>
      <w:r w:rsidRPr="00F13C27">
        <w:rPr>
          <w:rFonts w:ascii="Arial" w:hAnsi="Arial" w:cs="Arial"/>
          <w:spacing w:val="-3"/>
          <w:sz w:val="19"/>
          <w:szCs w:val="19"/>
        </w:rPr>
        <w:t xml:space="preserve"> </w:t>
      </w:r>
      <w:r w:rsidRPr="00F13C27">
        <w:rPr>
          <w:rFonts w:ascii="Arial" w:hAnsi="Arial" w:cs="Arial"/>
          <w:sz w:val="19"/>
          <w:szCs w:val="19"/>
        </w:rPr>
        <w:t>o</w:t>
      </w:r>
      <w:r w:rsidRPr="00F13C27">
        <w:rPr>
          <w:rFonts w:ascii="Arial" w:hAnsi="Arial" w:cs="Arial"/>
          <w:spacing w:val="-4"/>
          <w:sz w:val="19"/>
          <w:szCs w:val="19"/>
        </w:rPr>
        <w:t xml:space="preserve"> </w:t>
      </w:r>
      <w:r w:rsidRPr="00F13C27">
        <w:rPr>
          <w:rFonts w:ascii="Arial" w:hAnsi="Arial" w:cs="Arial"/>
          <w:sz w:val="19"/>
          <w:szCs w:val="19"/>
        </w:rPr>
        <w:t>reconoció legítimamente.</w:t>
      </w:r>
    </w:p>
    <w:p w:rsidRPr="00F13C27" w:rsidR="008751F1" w:rsidP="0030664E" w:rsidRDefault="008751F1" w14:paraId="285DDE57" w14:textId="00F81853">
      <w:pPr>
        <w:ind w:right="49" w:firstLine="708"/>
        <w:jc w:val="both"/>
        <w:rPr>
          <w:rFonts w:ascii="Arial" w:hAnsi="Arial" w:cs="Arial"/>
          <w:sz w:val="19"/>
          <w:szCs w:val="19"/>
        </w:rPr>
      </w:pPr>
      <w:r w:rsidRPr="00F13C27">
        <w:rPr>
          <w:rFonts w:ascii="Arial" w:hAnsi="Arial" w:cs="Arial"/>
          <w:sz w:val="19"/>
          <w:szCs w:val="19"/>
        </w:rPr>
        <w:t>»Lo anterior conduce a afirmar que el derecho adquirido es la ventaja o el beneficio cuya conservación o integridad, está garantizada, en favor del titular del derecho, por una acción o por una excepción.</w:t>
      </w:r>
    </w:p>
    <w:p w:rsidRPr="00F13C27" w:rsidR="008751F1" w:rsidP="0030664E" w:rsidRDefault="008751F1" w14:paraId="55A8AE42" w14:textId="3262275D">
      <w:pPr>
        <w:ind w:right="49" w:firstLine="708"/>
        <w:jc w:val="both"/>
        <w:rPr>
          <w:rFonts w:ascii="Arial" w:hAnsi="Arial" w:cs="Arial"/>
          <w:sz w:val="19"/>
          <w:szCs w:val="19"/>
        </w:rPr>
      </w:pPr>
      <w:r w:rsidRPr="00F13C27">
        <w:rPr>
          <w:rFonts w:ascii="Arial" w:hAnsi="Arial" w:cs="Arial"/>
          <w:sz w:val="19"/>
          <w:szCs w:val="19"/>
        </w:rPr>
        <w:t>»Ajusta mejor con la técnica denominar 'situación jurídica concreta o subjetiva', al derecho adquirido o constituido de que trata la Constitución en sus artículos 30 y 202; y 'situación jurídica abstracta u objetiva', a la mera expectativa de derecho. Se está en presencia de la primera cuando el texto legal que la crea ha jugado ya, jurídicamente, su papel en favor o en contra de una persona en el momento en que ha entrado a regir una ley nueva. A la inversa, se está frente a la segunda, cuando el texto legal que ha creado esa situación aún no ha jugado su papel jurídico en favor o en contra de una persona».</w:t>
      </w:r>
    </w:p>
  </w:footnote>
  <w:footnote w:id="14">
    <w:p w:rsidRPr="00F13C27" w:rsidR="008751F1" w:rsidP="0030664E" w:rsidRDefault="008751F1" w14:paraId="32DACAB5" w14:textId="07F8E5B2">
      <w:pPr>
        <w:pStyle w:val="Textonotapie"/>
        <w:ind w:firstLine="708"/>
        <w:jc w:val="both"/>
        <w:rPr>
          <w:rFonts w:ascii="Arial" w:hAnsi="Arial" w:cs="Arial"/>
          <w:sz w:val="19"/>
          <w:szCs w:val="19"/>
          <w:lang w:val="es-CO"/>
        </w:rPr>
      </w:pPr>
      <w:r w:rsidRPr="00F13C27">
        <w:rPr>
          <w:rStyle w:val="Refdenotaalpie"/>
          <w:rFonts w:ascii="Arial" w:hAnsi="Arial" w:cs="Arial"/>
          <w:sz w:val="19"/>
          <w:szCs w:val="19"/>
        </w:rPr>
        <w:footnoteRef/>
      </w:r>
      <w:r w:rsidRPr="00F13C27">
        <w:rPr>
          <w:rFonts w:ascii="Arial" w:hAnsi="Arial" w:cs="Arial"/>
          <w:sz w:val="19"/>
          <w:szCs w:val="19"/>
        </w:rPr>
        <w:t xml:space="preserve"> </w:t>
      </w:r>
      <w:r w:rsidRPr="00F13C27">
        <w:rPr>
          <w:rFonts w:ascii="Arial" w:hAnsi="Arial" w:cs="Arial"/>
          <w:sz w:val="19"/>
          <w:szCs w:val="19"/>
          <w:lang w:val="es-CO"/>
        </w:rPr>
        <w:t xml:space="preserve">AGENCIA NACIONAL DE CONTRATACIÓN PÚBLICA, Concepto de 3 de octubre de 2019, Radicado de entrada No. </w:t>
      </w:r>
      <w:r w:rsidRPr="00F13C27">
        <w:rPr>
          <w:rFonts w:ascii="Arial" w:hAnsi="Arial" w:cs="Arial"/>
          <w:sz w:val="19"/>
          <w:szCs w:val="19"/>
        </w:rPr>
        <w:t>4201913000005694, Radicado de salida No. 2201913000007385.</w:t>
      </w:r>
    </w:p>
  </w:footnote>
  <w:footnote w:id="15">
    <w:p w:rsidRPr="00F13C27" w:rsidR="008751F1" w:rsidP="0030664E" w:rsidRDefault="008751F1" w14:paraId="208B12F3" w14:textId="30D2F502">
      <w:pPr>
        <w:pStyle w:val="Textonotapie"/>
        <w:ind w:firstLine="708"/>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Dicha naturaleza sancionatoria de la inhabilidad por incumplimiento reiterado, la hace asimilable a una pena en los términos del artículo 38 de la Ley 153 de 1887, que dispone que para efectos de determinar la pena procedente la infracción correspondiente deberá ser castigada con arreglo a la ley bajo la cual se hubiere cometido. Este artículo señala que: «En todo contrato se entenderán incorporadas las leyes vigentes al tiempo de su celebración. </w:t>
      </w:r>
    </w:p>
    <w:p w:rsidRPr="00F13C27" w:rsidR="008751F1" w:rsidP="0030664E" w:rsidRDefault="008751F1" w14:paraId="1262B552" w14:textId="77777777">
      <w:pPr>
        <w:pStyle w:val="Textonotapie"/>
        <w:ind w:firstLine="708"/>
        <w:jc w:val="both"/>
        <w:rPr>
          <w:rFonts w:ascii="Arial" w:hAnsi="Arial" w:cs="Arial"/>
          <w:sz w:val="19"/>
          <w:szCs w:val="19"/>
        </w:rPr>
      </w:pPr>
      <w:r w:rsidRPr="00F13C27">
        <w:rPr>
          <w:rFonts w:ascii="Arial" w:hAnsi="Arial" w:cs="Arial"/>
          <w:sz w:val="19"/>
          <w:szCs w:val="19"/>
        </w:rPr>
        <w:t xml:space="preserve">»Exceptúanse de esta disposición: </w:t>
      </w:r>
    </w:p>
    <w:p w:rsidRPr="00F13C27" w:rsidR="008751F1" w:rsidP="0030664E" w:rsidRDefault="008751F1" w14:paraId="6FD2BFC3" w14:textId="77777777">
      <w:pPr>
        <w:pStyle w:val="Textonotapie"/>
        <w:ind w:firstLine="708"/>
        <w:jc w:val="both"/>
        <w:rPr>
          <w:rFonts w:ascii="Arial" w:hAnsi="Arial" w:cs="Arial"/>
          <w:sz w:val="19"/>
          <w:szCs w:val="19"/>
        </w:rPr>
      </w:pPr>
      <w:r w:rsidRPr="00F13C27">
        <w:rPr>
          <w:rFonts w:ascii="Arial" w:hAnsi="Arial" w:cs="Arial"/>
          <w:sz w:val="19"/>
          <w:szCs w:val="19"/>
        </w:rPr>
        <w:t xml:space="preserve">»1. Las leyes concernientes al modo de reclamar en juicio los derechos que resultaren del contrato, y </w:t>
      </w:r>
    </w:p>
    <w:p w:rsidRPr="00F13C27" w:rsidR="008751F1" w:rsidP="0030664E" w:rsidRDefault="008751F1" w14:paraId="031385CB" w14:textId="77777777">
      <w:pPr>
        <w:pStyle w:val="Textonotapie"/>
        <w:ind w:firstLine="708"/>
        <w:jc w:val="both"/>
        <w:rPr>
          <w:rFonts w:ascii="Arial" w:hAnsi="Arial" w:cs="Arial"/>
          <w:sz w:val="19"/>
          <w:szCs w:val="19"/>
          <w:lang w:val="es-CO"/>
        </w:rPr>
      </w:pPr>
      <w:r w:rsidRPr="00F13C27">
        <w:rPr>
          <w:rFonts w:ascii="Arial" w:hAnsi="Arial" w:cs="Arial"/>
          <w:sz w:val="19"/>
          <w:szCs w:val="19"/>
        </w:rPr>
        <w:t>»2. Las que señalan penas para el caso de infracción de lo estipulado; la cual infracción será castigada con arreglo á la ley bajo la cual se hubiere cometido».</w:t>
      </w:r>
    </w:p>
  </w:footnote>
  <w:footnote w:id="16">
    <w:p w:rsidRPr="00F13C27" w:rsidR="008751F1" w:rsidP="0030664E" w:rsidRDefault="008751F1" w14:paraId="08DBB7CE" w14:textId="2B97304C">
      <w:pPr>
        <w:pStyle w:val="Textonotapie"/>
        <w:ind w:firstLine="708"/>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Constitución Política de Colombia «Artículo 29. El debido proceso se aplicará a toda clase de actuaciones judiciales y administrativas.   </w:t>
      </w:r>
    </w:p>
    <w:p w:rsidRPr="00F13C27" w:rsidR="008751F1" w:rsidP="0030664E" w:rsidRDefault="008751F1" w14:paraId="28360535" w14:textId="1E9E0FEA">
      <w:pPr>
        <w:pStyle w:val="Textonotapie"/>
        <w:ind w:firstLine="708"/>
        <w:jc w:val="both"/>
        <w:rPr>
          <w:rFonts w:ascii="Arial" w:hAnsi="Arial" w:cs="Arial"/>
          <w:sz w:val="19"/>
          <w:szCs w:val="19"/>
        </w:rPr>
      </w:pPr>
      <w:r w:rsidRPr="00F13C27">
        <w:rPr>
          <w:rFonts w:ascii="Arial" w:hAnsi="Arial" w:cs="Arial"/>
          <w:sz w:val="19"/>
          <w:szCs w:val="19"/>
        </w:rPr>
        <w:t xml:space="preserve">»Nadie podrá ser juzgado sino conforme a leyes preexistentes al acto que se le imputa, ante juez o tribunal competente y con observancia de la plenitud de las formas propias de cada juicio. </w:t>
      </w:r>
    </w:p>
    <w:p w:rsidRPr="00F13C27" w:rsidR="008751F1" w:rsidP="0030664E" w:rsidRDefault="008751F1" w14:paraId="17E3611A" w14:textId="4182625A">
      <w:pPr>
        <w:pStyle w:val="Textonotapie"/>
        <w:ind w:firstLine="708"/>
        <w:jc w:val="both"/>
        <w:rPr>
          <w:rFonts w:ascii="Arial" w:hAnsi="Arial" w:cs="Arial"/>
          <w:sz w:val="19"/>
          <w:szCs w:val="19"/>
          <w:lang w:val="es-CO"/>
        </w:rPr>
      </w:pPr>
      <w:r w:rsidRPr="00F13C27">
        <w:rPr>
          <w:rFonts w:ascii="Arial" w:hAnsi="Arial" w:cs="Arial"/>
          <w:sz w:val="19"/>
          <w:szCs w:val="19"/>
        </w:rPr>
        <w:t xml:space="preserve">»En materia penal, la ley permisiva o favorable, aun cuando sea posterior, se aplicará de preferencia a la restrictiva o desfavorable […]».  </w:t>
      </w:r>
    </w:p>
  </w:footnote>
  <w:footnote w:id="17">
    <w:p w:rsidRPr="00F13C27" w:rsidR="008751F1" w:rsidP="0030664E" w:rsidRDefault="008751F1" w14:paraId="2FA2B446" w14:textId="296C737C">
      <w:pPr>
        <w:pStyle w:val="Textonotapie"/>
        <w:ind w:firstLine="708"/>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Ley 1437 de 2011 «Artículo 3°. Principios. Todas las autoridades deberán interpretar y aplicar las disposiciones que regulan las actuaciones y procedimientos administrativos a la luz de los principios consagrados en la Constitución Política, en la Parte Primera de este Código y en las leyes especiales. </w:t>
      </w:r>
    </w:p>
    <w:p w:rsidRPr="00F13C27" w:rsidR="008751F1" w:rsidP="0030664E" w:rsidRDefault="008751F1" w14:paraId="0D9D739A" w14:textId="3DA362BC">
      <w:pPr>
        <w:pStyle w:val="Textonotapie"/>
        <w:ind w:firstLine="708"/>
        <w:jc w:val="both"/>
        <w:rPr>
          <w:rFonts w:ascii="Arial" w:hAnsi="Arial" w:cs="Arial"/>
          <w:sz w:val="19"/>
          <w:szCs w:val="19"/>
        </w:rPr>
      </w:pPr>
      <w:r w:rsidRPr="00F13C27">
        <w:rPr>
          <w:rFonts w:ascii="Arial" w:hAnsi="Arial" w:cs="Arial"/>
          <w:sz w:val="19"/>
          <w:szCs w:val="19"/>
        </w:rPr>
        <w:t xml:space="preserve">»Las actuaciones administrativas se desarrollarán, especialmente, con arreglo a los principios del debido proceso, igualdad, imparcialidad, buena fe, moralidad, participación, responsabilidad, transparencia, publicidad, coordinación, eficacia, economía y celeridad. </w:t>
      </w:r>
    </w:p>
    <w:p w:rsidRPr="00F13C27" w:rsidR="008751F1" w:rsidP="0030664E" w:rsidRDefault="008751F1" w14:paraId="7198B992" w14:textId="33C9F067">
      <w:pPr>
        <w:pStyle w:val="Textonotapie"/>
        <w:ind w:firstLine="708"/>
        <w:jc w:val="both"/>
        <w:rPr>
          <w:rFonts w:ascii="Arial" w:hAnsi="Arial" w:cs="Arial"/>
          <w:sz w:val="19"/>
          <w:szCs w:val="19"/>
        </w:rPr>
      </w:pPr>
      <w:r w:rsidRPr="00F13C27">
        <w:rPr>
          <w:rFonts w:ascii="Arial" w:hAnsi="Arial" w:cs="Arial"/>
          <w:sz w:val="19"/>
          <w:szCs w:val="19"/>
        </w:rPr>
        <w:t xml:space="preserve">»1. En virtud del principio del debido proceso, las actuaciones administrativas se adelantarán de conformidad con las normas de procedimiento y competencia establecidas en la Constitución y la ley, con plena garantía de los derechos de representación, defensa y contradicción. </w:t>
      </w:r>
    </w:p>
    <w:p w:rsidRPr="00F13C27" w:rsidR="008751F1" w:rsidP="0030664E" w:rsidRDefault="008751F1" w14:paraId="2EE063FF" w14:textId="6B640DBE">
      <w:pPr>
        <w:pStyle w:val="Textonotapie"/>
        <w:ind w:firstLine="708"/>
        <w:jc w:val="both"/>
        <w:rPr>
          <w:rFonts w:ascii="Arial" w:hAnsi="Arial" w:cs="Arial"/>
          <w:sz w:val="19"/>
          <w:szCs w:val="19"/>
          <w:lang w:val="es-CO"/>
        </w:rPr>
      </w:pPr>
      <w:r w:rsidRPr="00F13C27">
        <w:rPr>
          <w:rFonts w:ascii="Arial" w:hAnsi="Arial" w:cs="Arial"/>
          <w:sz w:val="19"/>
          <w:szCs w:val="19"/>
        </w:rPr>
        <w:t xml:space="preserve">»En materia administrativa sancionatoria, se observarán adicionalmente los principios de legalidad de las faltas y de las sanciones, de presunción de inocencia, de no reformatio in pejus y non bis in idem […]».  </w:t>
      </w:r>
    </w:p>
  </w:footnote>
  <w:footnote w:id="18">
    <w:p w:rsidRPr="00F13C27" w:rsidR="00DA208F" w:rsidP="0030664E" w:rsidRDefault="00B84425" w14:paraId="09DF99ED" w14:textId="654D3025">
      <w:pPr>
        <w:ind w:right="49" w:firstLine="708"/>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Ley 80 de 1993: </w:t>
      </w:r>
      <w:r w:rsidRPr="00F13C27" w:rsidR="00DA208F">
        <w:rPr>
          <w:rFonts w:ascii="Arial" w:hAnsi="Arial" w:cs="Arial"/>
          <w:sz w:val="19"/>
          <w:szCs w:val="19"/>
        </w:rPr>
        <w:t>«</w:t>
      </w:r>
      <w:r w:rsidRPr="00F13C27">
        <w:rPr>
          <w:rFonts w:ascii="Arial" w:hAnsi="Arial" w:cs="Arial"/>
          <w:sz w:val="19"/>
          <w:szCs w:val="19"/>
        </w:rPr>
        <w:t>Artículo 8 De las inhabilidades e incompatibilidades para contratar</w:t>
      </w:r>
      <w:r w:rsidRPr="00F13C27" w:rsidR="00DA208F">
        <w:rPr>
          <w:rFonts w:ascii="Arial" w:hAnsi="Arial" w:cs="Arial"/>
          <w:sz w:val="19"/>
          <w:szCs w:val="19"/>
        </w:rPr>
        <w:t>:</w:t>
      </w:r>
    </w:p>
    <w:p w:rsidRPr="00F13C27" w:rsidR="00DA208F" w:rsidP="0030664E" w:rsidRDefault="00DA208F" w14:paraId="5D3CEA42" w14:textId="792A70AB">
      <w:pPr>
        <w:ind w:right="49" w:firstLine="708"/>
        <w:jc w:val="both"/>
        <w:rPr>
          <w:rFonts w:ascii="Arial" w:hAnsi="Arial" w:cs="Arial"/>
          <w:sz w:val="19"/>
          <w:szCs w:val="19"/>
        </w:rPr>
      </w:pPr>
      <w:r w:rsidRPr="00F13C27">
        <w:rPr>
          <w:rFonts w:ascii="Arial" w:hAnsi="Arial" w:cs="Arial"/>
          <w:sz w:val="19"/>
          <w:szCs w:val="19"/>
        </w:rPr>
        <w:t>[…]</w:t>
      </w:r>
    </w:p>
    <w:p w:rsidRPr="00F13C27" w:rsidR="00B84425" w:rsidP="0030664E" w:rsidRDefault="00DA208F" w14:paraId="7EFCA377" w14:textId="56705D32">
      <w:pPr>
        <w:ind w:right="49" w:firstLine="708"/>
        <w:jc w:val="both"/>
        <w:rPr>
          <w:rFonts w:ascii="Arial" w:hAnsi="Arial" w:cs="Arial"/>
          <w:sz w:val="19"/>
          <w:szCs w:val="19"/>
        </w:rPr>
      </w:pPr>
      <w:r w:rsidRPr="00F13C27">
        <w:rPr>
          <w:rFonts w:ascii="Arial" w:hAnsi="Arial" w:cs="Arial"/>
          <w:sz w:val="19"/>
          <w:szCs w:val="19"/>
        </w:rPr>
        <w:t>»</w:t>
      </w:r>
      <w:r w:rsidRPr="00F13C27" w:rsidR="00B84425">
        <w:rPr>
          <w:rFonts w:ascii="Arial" w:hAnsi="Arial" w:cs="Arial"/>
          <w:sz w:val="19"/>
          <w:szCs w:val="19"/>
        </w:rPr>
        <w:t>c) Quienes dieron lugar a la declaratoria de caducidad.</w:t>
      </w:r>
    </w:p>
    <w:p w:rsidRPr="00F13C27" w:rsidR="00B84425" w:rsidP="0030664E" w:rsidRDefault="00B84425" w14:paraId="5F52E1FE" w14:textId="6D045AE3">
      <w:pPr>
        <w:pStyle w:val="Textonotapie"/>
        <w:ind w:right="49" w:firstLine="708"/>
        <w:jc w:val="both"/>
        <w:rPr>
          <w:rFonts w:ascii="Arial" w:hAnsi="Arial" w:cs="Arial"/>
          <w:sz w:val="19"/>
          <w:szCs w:val="19"/>
          <w:lang w:val="es-CO"/>
        </w:rPr>
      </w:pPr>
      <w:r w:rsidRPr="00F13C27">
        <w:rPr>
          <w:rFonts w:ascii="Arial" w:hAnsi="Arial" w:cs="Arial"/>
          <w:sz w:val="19"/>
          <w:szCs w:val="19"/>
          <w:lang w:val="es-CO"/>
        </w:rPr>
        <w:t>[…]</w:t>
      </w:r>
    </w:p>
    <w:p w:rsidRPr="00F13C27" w:rsidR="00B84425" w:rsidP="0030664E" w:rsidRDefault="00DA208F" w14:paraId="5B1FAD60" w14:textId="1FFE3F54">
      <w:pPr>
        <w:ind w:right="49" w:firstLine="708"/>
        <w:jc w:val="both"/>
        <w:rPr>
          <w:rFonts w:ascii="Arial" w:hAnsi="Arial" w:cs="Arial"/>
          <w:sz w:val="19"/>
          <w:szCs w:val="19"/>
          <w:lang w:val="es-CO"/>
        </w:rPr>
      </w:pPr>
      <w:r w:rsidRPr="00F13C27">
        <w:rPr>
          <w:rFonts w:ascii="Arial" w:hAnsi="Arial" w:cs="Arial"/>
          <w:sz w:val="19"/>
          <w:szCs w:val="19"/>
        </w:rPr>
        <w:t>»</w:t>
      </w:r>
      <w:r w:rsidRPr="00F13C27" w:rsidR="00B84425">
        <w:rPr>
          <w:rFonts w:ascii="Arial" w:hAnsi="Arial" w:cs="Arial"/>
          <w:sz w:val="19"/>
          <w:szCs w:val="19"/>
        </w:rPr>
        <w:t>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de la de celebración del contrato, o de la de expiración del plazo para su</w:t>
      </w:r>
      <w:r w:rsidRPr="00F13C27" w:rsidR="00B84425">
        <w:rPr>
          <w:rFonts w:ascii="Arial" w:hAnsi="Arial" w:cs="Arial"/>
          <w:spacing w:val="-19"/>
          <w:sz w:val="19"/>
          <w:szCs w:val="19"/>
        </w:rPr>
        <w:t xml:space="preserve"> </w:t>
      </w:r>
      <w:r w:rsidRPr="00F13C27" w:rsidR="00B84425">
        <w:rPr>
          <w:rFonts w:ascii="Arial" w:hAnsi="Arial" w:cs="Arial"/>
          <w:sz w:val="19"/>
          <w:szCs w:val="19"/>
        </w:rPr>
        <w:t>firma</w:t>
      </w:r>
      <w:r w:rsidRPr="00F13C27">
        <w:rPr>
          <w:rFonts w:ascii="Arial" w:hAnsi="Arial" w:cs="Arial"/>
          <w:sz w:val="19"/>
          <w:szCs w:val="19"/>
        </w:rPr>
        <w:t>»</w:t>
      </w:r>
      <w:r w:rsidRPr="00F13C27" w:rsidR="00B84425">
        <w:rPr>
          <w:rFonts w:ascii="Arial" w:hAnsi="Arial" w:cs="Arial"/>
          <w:sz w:val="19"/>
          <w:szCs w:val="19"/>
        </w:rPr>
        <w:t>.</w:t>
      </w:r>
    </w:p>
  </w:footnote>
  <w:footnote w:id="19">
    <w:p w:rsidRPr="00F13C27" w:rsidR="00DA208F" w:rsidP="0030664E" w:rsidRDefault="00DA208F" w14:paraId="50BC8CDB" w14:textId="59197643">
      <w:pPr>
        <w:ind w:right="49" w:firstLine="708"/>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Ley 80 de 1993: »Artículo 8 De las inhabilidades e incompatibilidades para contratar</w:t>
      </w:r>
    </w:p>
    <w:p w:rsidRPr="00F13C27" w:rsidR="00DA208F" w:rsidP="0030664E" w:rsidRDefault="00DA208F" w14:paraId="4BA0E8B4" w14:textId="6B2A9DEA">
      <w:pPr>
        <w:ind w:right="49" w:firstLine="708"/>
        <w:jc w:val="both"/>
        <w:rPr>
          <w:rFonts w:ascii="Arial" w:hAnsi="Arial" w:cs="Arial"/>
          <w:sz w:val="19"/>
          <w:szCs w:val="19"/>
        </w:rPr>
      </w:pPr>
      <w:r w:rsidRPr="00F13C27">
        <w:rPr>
          <w:rFonts w:ascii="Arial" w:hAnsi="Arial" w:cs="Arial"/>
          <w:sz w:val="19"/>
          <w:szCs w:val="19"/>
        </w:rPr>
        <w:t>»k)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rsidRPr="00F13C27" w:rsidR="00DA208F" w:rsidP="0030664E" w:rsidRDefault="00DA208F" w14:paraId="41580834" w14:textId="206B7AC7">
      <w:pPr>
        <w:ind w:right="49" w:firstLine="708"/>
        <w:jc w:val="both"/>
        <w:rPr>
          <w:rFonts w:ascii="Arial" w:hAnsi="Arial" w:cs="Arial"/>
          <w:sz w:val="19"/>
          <w:szCs w:val="19"/>
        </w:rPr>
      </w:pPr>
      <w:r w:rsidRPr="00F13C27">
        <w:rPr>
          <w:rFonts w:ascii="Arial" w:hAnsi="Arial" w:cs="Arial"/>
          <w:sz w:val="19"/>
          <w:szCs w:val="19"/>
        </w:rPr>
        <w:t>»Esta inhabilidad se extenderá por un término de cinco (5) años, contados a partir de la ejecutoria del acto administrativo que así lo declare, previa la actuación administrativa correspondiente».</w:t>
      </w:r>
    </w:p>
  </w:footnote>
  <w:footnote w:id="20">
    <w:p w:rsidRPr="00F13C27" w:rsidR="00184F87" w:rsidP="00BF4B3C" w:rsidRDefault="00184F87" w14:paraId="60C1B332" w14:textId="77777777">
      <w:pPr>
        <w:pStyle w:val="Textonotapie"/>
        <w:ind w:firstLine="708"/>
        <w:jc w:val="both"/>
        <w:rPr>
          <w:rFonts w:ascii="Arial" w:hAnsi="Arial" w:cs="Arial"/>
          <w:sz w:val="19"/>
          <w:szCs w:val="19"/>
          <w:lang w:val="es-CO"/>
        </w:rPr>
      </w:pPr>
      <w:r w:rsidRPr="00BF4B3C">
        <w:rPr>
          <w:rStyle w:val="Refdenotaalpie"/>
          <w:rFonts w:ascii="Arial" w:hAnsi="Arial" w:cs="Arial"/>
          <w:sz w:val="19"/>
          <w:szCs w:val="19"/>
        </w:rPr>
        <w:footnoteRef/>
      </w:r>
      <w:r w:rsidRPr="00BF4B3C">
        <w:rPr>
          <w:rFonts w:ascii="Arial" w:hAnsi="Arial" w:cs="Arial"/>
          <w:sz w:val="19"/>
          <w:szCs w:val="19"/>
        </w:rPr>
        <w:t xml:space="preserve"> </w:t>
      </w:r>
      <w:r w:rsidRPr="00F13C27">
        <w:rPr>
          <w:rFonts w:ascii="Arial" w:hAnsi="Arial" w:cs="Arial"/>
          <w:sz w:val="19"/>
          <w:szCs w:val="19"/>
        </w:rPr>
        <w:t>En lo pertinente, la norma dispone que «</w:t>
      </w:r>
      <w:bookmarkStart w:name="_Hlk98942284" w:id="7"/>
      <w:r w:rsidRPr="0073233A">
        <w:rPr>
          <w:rFonts w:ascii="Arial" w:hAnsi="Arial" w:cs="Arial"/>
          <w:sz w:val="19"/>
          <w:szCs w:val="19"/>
          <w:lang w:val="es-CO"/>
        </w:rPr>
        <w:t>Las entidades estatales enviarán mensualmente a la</w:t>
      </w:r>
      <w:r w:rsidRPr="00F13C27">
        <w:rPr>
          <w:rFonts w:ascii="Arial" w:hAnsi="Arial" w:cs="Arial"/>
          <w:sz w:val="19"/>
          <w:szCs w:val="19"/>
          <w:lang w:val="es-CO"/>
        </w:rPr>
        <w:t xml:space="preserve"> Cámara de Comercio de su domicilio, la información concerniente a los contratos, su cuantía, cumplimiento, multas y sanciones relacionadas con los contratos que hayan sido adjudicados, los que se encuentren en ejecución y los ejecutados</w:t>
      </w:r>
      <w:bookmarkEnd w:id="7"/>
      <w:r w:rsidRPr="00F13C27">
        <w:rPr>
          <w:rFonts w:ascii="Arial" w:hAnsi="Arial" w:cs="Arial"/>
          <w:sz w:val="19"/>
          <w:szCs w:val="19"/>
          <w:lang w:val="es-CO"/>
        </w:rPr>
        <w:t>.</w:t>
      </w:r>
    </w:p>
    <w:p w:rsidRPr="00F13C27" w:rsidR="00184F87" w:rsidP="00BF4B3C" w:rsidRDefault="00184F87" w14:paraId="02046B98" w14:textId="5BDC827F">
      <w:pPr>
        <w:pStyle w:val="Textonotapie"/>
        <w:ind w:firstLine="708"/>
        <w:jc w:val="both"/>
        <w:rPr>
          <w:rFonts w:ascii="Arial" w:hAnsi="Arial" w:cs="Arial"/>
          <w:sz w:val="19"/>
          <w:szCs w:val="19"/>
          <w:lang w:val="es-CO"/>
        </w:rPr>
      </w:pPr>
      <w:r w:rsidRPr="00F13C27">
        <w:rPr>
          <w:rFonts w:ascii="Arial" w:hAnsi="Arial" w:cs="Arial"/>
          <w:sz w:val="19"/>
          <w:szCs w:val="19"/>
          <w:lang w:val="es-CO"/>
        </w:rPr>
        <w:t>»Las condiciones de remisión de la información y los plazos de permanencia de la misma en el registro serán señalados por el Gobierno Nacional.</w:t>
      </w:r>
    </w:p>
    <w:p w:rsidRPr="00BF4B3C" w:rsidR="00184F87" w:rsidP="00BF4B3C" w:rsidRDefault="00184F87" w14:paraId="38A884AC" w14:textId="1C518B99">
      <w:pPr>
        <w:pStyle w:val="Textonotapie"/>
        <w:ind w:firstLine="708"/>
        <w:jc w:val="both"/>
        <w:rPr>
          <w:rFonts w:ascii="Arial" w:hAnsi="Arial" w:cs="Arial"/>
          <w:sz w:val="19"/>
          <w:szCs w:val="19"/>
          <w:lang w:val="es-CO"/>
        </w:rPr>
      </w:pPr>
      <w:r w:rsidRPr="00F13C27">
        <w:rPr>
          <w:rFonts w:ascii="Arial" w:hAnsi="Arial" w:cs="Arial"/>
          <w:sz w:val="19"/>
          <w:szCs w:val="19"/>
          <w:lang w:val="es-CO"/>
        </w:rPr>
        <w:t>»El servidor público encargado de remitir la información, que incumpla esta obligación incurrirá en causal de mala conducta».</w:t>
      </w:r>
    </w:p>
  </w:footnote>
  <w:footnote w:id="21">
    <w:p w:rsidRPr="00BF4B3C" w:rsidR="00184F87" w:rsidP="00184F87" w:rsidRDefault="00184F87" w14:paraId="1402EC57" w14:textId="77777777">
      <w:pPr>
        <w:pStyle w:val="Textonotapie"/>
        <w:ind w:firstLine="708"/>
        <w:jc w:val="both"/>
        <w:rPr>
          <w:rFonts w:ascii="Arial" w:hAnsi="Arial" w:cs="Arial"/>
          <w:sz w:val="19"/>
          <w:szCs w:val="19"/>
        </w:rPr>
      </w:pPr>
      <w:r w:rsidRPr="00BF4B3C">
        <w:rPr>
          <w:rStyle w:val="Refdenotaalpie"/>
          <w:rFonts w:ascii="Arial" w:hAnsi="Arial" w:cs="Arial"/>
          <w:sz w:val="19"/>
          <w:szCs w:val="19"/>
        </w:rPr>
        <w:footnoteRef/>
      </w:r>
      <w:r w:rsidRPr="00BF4B3C">
        <w:rPr>
          <w:rFonts w:ascii="Arial" w:hAnsi="Arial" w:cs="Arial"/>
          <w:sz w:val="19"/>
          <w:szCs w:val="19"/>
        </w:rPr>
        <w:t xml:space="preserve"> </w:t>
      </w:r>
      <w:r w:rsidRPr="00F13C27">
        <w:rPr>
          <w:rFonts w:ascii="Arial" w:hAnsi="Arial" w:cs="Arial"/>
          <w:sz w:val="19"/>
          <w:szCs w:val="19"/>
        </w:rPr>
        <w:t xml:space="preserve">  Ley 80 de 1993: «Artículo 31. De la publicación de los actos y sentencias sancionatorias. &lt;Artículo modificado por el artículo </w:t>
      </w:r>
      <w:hyperlink w:history="1" w:anchor="218" r:id="rId1">
        <w:r w:rsidRPr="00F13C27">
          <w:rPr>
            <w:rFonts w:ascii="Arial" w:hAnsi="Arial" w:cs="Arial"/>
            <w:sz w:val="19"/>
            <w:szCs w:val="19"/>
          </w:rPr>
          <w:t>218</w:t>
        </w:r>
      </w:hyperlink>
      <w:r w:rsidRPr="00F13C27">
        <w:rPr>
          <w:rFonts w:ascii="Arial" w:hAnsi="Arial" w:cs="Arial"/>
          <w:sz w:val="19"/>
          <w:szCs w:val="19"/>
        </w:rPr>
        <w:t> del Decreto 19 de 2</w:t>
      </w:r>
      <w:r w:rsidRPr="0073233A">
        <w:rPr>
          <w:rFonts w:ascii="Arial" w:hAnsi="Arial" w:cs="Arial"/>
          <w:sz w:val="19"/>
          <w:szCs w:val="19"/>
        </w:rPr>
        <w:t>012. El nuevo texto es el siguiente:&gt; La parte resolutiva de los actos que declaren Ia caducidad, impongan multas, sanciones o declaren el incumplimiento, una vez ejecutoriados, se publicarán en el SECOP y se comunicarán a Ia cámara de comercio en que se e</w:t>
      </w:r>
      <w:r w:rsidRPr="00F13C27">
        <w:rPr>
          <w:rFonts w:ascii="Arial" w:hAnsi="Arial" w:cs="Arial"/>
          <w:sz w:val="19"/>
          <w:szCs w:val="19"/>
        </w:rPr>
        <w:t>ncuentre inscrito el contratista respectivo. También se comunicarán a Ia Procuraduría General de Ia Nación».</w:t>
      </w:r>
    </w:p>
  </w:footnote>
  <w:footnote w:id="22">
    <w:p w:rsidRPr="00F13C27" w:rsidR="00863622" w:rsidP="0030664E" w:rsidRDefault="00863622" w14:paraId="3996F49D" w14:textId="77777777">
      <w:pPr>
        <w:pStyle w:val="Textonotapie"/>
        <w:ind w:firstLine="709"/>
        <w:jc w:val="both"/>
        <w:rPr>
          <w:rFonts w:ascii="Arial" w:hAnsi="Arial" w:cs="Arial"/>
          <w:sz w:val="19"/>
          <w:szCs w:val="19"/>
          <w:lang w:val="es-CO"/>
        </w:rPr>
      </w:pPr>
      <w:r w:rsidRPr="00F13C27">
        <w:rPr>
          <w:rStyle w:val="Refdenotaalpie"/>
          <w:rFonts w:ascii="Arial" w:hAnsi="Arial" w:cs="Arial"/>
          <w:sz w:val="19"/>
          <w:szCs w:val="19"/>
        </w:rPr>
        <w:footnoteRef/>
      </w:r>
      <w:r w:rsidRPr="00F13C27">
        <w:rPr>
          <w:rFonts w:ascii="Arial" w:hAnsi="Arial" w:cs="Arial"/>
          <w:sz w:val="19"/>
          <w:szCs w:val="19"/>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23">
    <w:p w:rsidRPr="00F13C27" w:rsidR="00863622" w:rsidP="0030664E" w:rsidRDefault="00863622" w14:paraId="6F32FF1A" w14:textId="77777777">
      <w:pPr>
        <w:pStyle w:val="Textonotapie"/>
        <w:ind w:firstLine="709"/>
        <w:jc w:val="both"/>
        <w:rPr>
          <w:rFonts w:ascii="Arial" w:hAnsi="Arial" w:cs="Arial"/>
          <w:color w:val="000000" w:themeColor="text1"/>
          <w:sz w:val="19"/>
          <w:szCs w:val="19"/>
          <w:lang w:val="es-CO"/>
        </w:rPr>
      </w:pPr>
      <w:r w:rsidRPr="00F13C27">
        <w:rPr>
          <w:rFonts w:ascii="Arial" w:hAnsi="Arial" w:cs="Arial"/>
          <w:color w:val="000000" w:themeColor="text1"/>
          <w:sz w:val="19"/>
          <w:szCs w:val="19"/>
          <w:vertAlign w:val="superscript"/>
          <w:lang w:val="es-CO"/>
        </w:rPr>
        <w:footnoteRef/>
      </w:r>
      <w:r w:rsidRPr="00F13C27">
        <w:rPr>
          <w:rFonts w:ascii="Arial" w:hAnsi="Arial" w:cs="Arial"/>
          <w:color w:val="000000" w:themeColor="text1"/>
          <w:sz w:val="19"/>
          <w:szCs w:val="19"/>
          <w:vertAlign w:val="superscript"/>
          <w:lang w:val="es-CO"/>
        </w:rPr>
        <w:t xml:space="preserve"> </w:t>
      </w:r>
      <w:r w:rsidRPr="0073233A">
        <w:rPr>
          <w:rFonts w:ascii="Arial" w:hAnsi="Arial" w:cs="Arial"/>
          <w:color w:val="000000" w:themeColor="text1"/>
          <w:sz w:val="19"/>
          <w:szCs w:val="19"/>
          <w:lang w:val="es-CO"/>
        </w:rPr>
        <w:t xml:space="preserve">Sentencia del 13 de noviembre de 2008, expediente 17.009, C.P. Enrique Gil </w:t>
      </w:r>
      <w:r w:rsidRPr="00F13C27">
        <w:rPr>
          <w:rFonts w:ascii="Arial" w:hAnsi="Arial" w:cs="Arial"/>
          <w:color w:val="000000" w:themeColor="text1"/>
          <w:sz w:val="19"/>
          <w:szCs w:val="19"/>
          <w:lang w:val="es-CO"/>
        </w:rPr>
        <w:t>Botero.</w:t>
      </w:r>
    </w:p>
  </w:footnote>
  <w:footnote w:id="24">
    <w:p w:rsidRPr="00BF4B3C" w:rsidR="00B041D2" w:rsidP="00BF4B3C" w:rsidRDefault="00B041D2" w14:paraId="40CA435D" w14:textId="7BF6B927">
      <w:pPr>
        <w:pStyle w:val="Textonotapie"/>
        <w:ind w:firstLine="708"/>
        <w:jc w:val="both"/>
        <w:rPr>
          <w:rFonts w:ascii="Arial" w:hAnsi="Arial" w:cs="Arial"/>
          <w:sz w:val="19"/>
          <w:szCs w:val="19"/>
        </w:rPr>
      </w:pPr>
      <w:r w:rsidRPr="00BF4B3C">
        <w:rPr>
          <w:rStyle w:val="Refdenotaalpie"/>
          <w:rFonts w:ascii="Arial" w:hAnsi="Arial" w:cs="Arial"/>
          <w:sz w:val="19"/>
          <w:szCs w:val="19"/>
        </w:rPr>
        <w:footnoteRef/>
      </w:r>
      <w:r w:rsidRPr="00BF4B3C">
        <w:rPr>
          <w:rFonts w:ascii="Arial" w:hAnsi="Arial" w:cs="Arial"/>
          <w:sz w:val="19"/>
          <w:szCs w:val="19"/>
        </w:rPr>
        <w:t xml:space="preserve"> </w:t>
      </w:r>
      <w:r w:rsidRPr="00F13C27" w:rsidR="004455B2">
        <w:rPr>
          <w:rFonts w:ascii="Arial" w:hAnsi="Arial" w:cs="Arial"/>
          <w:sz w:val="19"/>
          <w:szCs w:val="19"/>
        </w:rPr>
        <w:t>VELÁSQUEZ GOMÉZ, Hernán Darío. Estudio sobre las obligaciones. Bogotá: Temis, 2010. p. 917.</w:t>
      </w:r>
    </w:p>
  </w:footnote>
  <w:footnote w:id="25">
    <w:p w:rsidRPr="00BF4B3C" w:rsidR="00A82182" w:rsidP="00BF4B3C" w:rsidRDefault="00A82182" w14:paraId="10DD1690" w14:textId="34490699">
      <w:pPr>
        <w:pStyle w:val="Textonotapie"/>
        <w:ind w:firstLine="709"/>
        <w:jc w:val="both"/>
        <w:rPr>
          <w:rFonts w:ascii="Arial" w:hAnsi="Arial" w:cs="Arial"/>
          <w:sz w:val="19"/>
          <w:szCs w:val="19"/>
        </w:rPr>
      </w:pPr>
      <w:r w:rsidRPr="00BF4B3C">
        <w:rPr>
          <w:rStyle w:val="Refdenotaalpie"/>
          <w:rFonts w:ascii="Arial" w:hAnsi="Arial" w:cs="Arial"/>
          <w:sz w:val="19"/>
          <w:szCs w:val="19"/>
        </w:rPr>
        <w:footnoteRef/>
      </w:r>
      <w:r w:rsidRPr="00BF4B3C">
        <w:rPr>
          <w:rFonts w:ascii="Arial" w:hAnsi="Arial" w:cs="Arial"/>
          <w:sz w:val="19"/>
          <w:szCs w:val="19"/>
        </w:rPr>
        <w:t xml:space="preserve"> </w:t>
      </w:r>
      <w:r w:rsidRPr="00F13C27">
        <w:rPr>
          <w:rFonts w:ascii="Arial" w:hAnsi="Arial" w:cs="Arial"/>
          <w:sz w:val="19"/>
          <w:szCs w:val="19"/>
        </w:rPr>
        <w:t>Para la Corte Constitucional, de acuerdo con lo explicado en l</w:t>
      </w:r>
      <w:r w:rsidRPr="00EB7C92">
        <w:rPr>
          <w:rFonts w:ascii="Arial" w:hAnsi="Arial" w:cs="Arial"/>
          <w:sz w:val="19"/>
          <w:szCs w:val="19"/>
        </w:rPr>
        <w:t xml:space="preserve">a Sentencia C-407 de 2020, la prohibición del inciso final del artículo 28 superior </w:t>
      </w:r>
      <w:r w:rsidRPr="00F13C27" w:rsidR="003A46BE">
        <w:rPr>
          <w:rFonts w:ascii="Arial" w:hAnsi="Arial" w:cs="Arial"/>
          <w:sz w:val="19"/>
          <w:szCs w:val="19"/>
        </w:rPr>
        <w:t xml:space="preserve">«[…] tiene por objeto eliminar las penas y medidas de seguridad que no tengan un término final. Es un mandato constitucional que erradica cualquier posibilidad de penas y medidas de seguridad que no cesen en el tiempo. Esta idea es un corolario de la dignidad de la persona […]». Esta prohibición también </w:t>
      </w:r>
      <w:r w:rsidRPr="00F13C27" w:rsidR="00393E78">
        <w:rPr>
          <w:rFonts w:ascii="Arial" w:hAnsi="Arial" w:cs="Arial"/>
          <w:sz w:val="19"/>
          <w:szCs w:val="19"/>
        </w:rPr>
        <w:t>regiría</w:t>
      </w:r>
      <w:r w:rsidRPr="00F13C27" w:rsidR="003A46BE">
        <w:rPr>
          <w:rFonts w:ascii="Arial" w:hAnsi="Arial" w:cs="Arial"/>
          <w:sz w:val="19"/>
          <w:szCs w:val="19"/>
        </w:rPr>
        <w:t xml:space="preserve"> en materia contractual, ya que el artículo 29 de la Constitución Política de 1991 dispone que «El debido proceso se aplicara a toda clase de actuaciones judiciales y administrativas».</w:t>
      </w:r>
    </w:p>
  </w:footnote>
  <w:footnote w:id="26">
    <w:p w:rsidRPr="00BF4B3C" w:rsidR="00D639D4" w:rsidP="00BF4B3C" w:rsidRDefault="00D639D4" w14:paraId="4D2035B5" w14:textId="413CB37F">
      <w:pPr>
        <w:pStyle w:val="Textonotapie"/>
        <w:ind w:firstLine="708"/>
        <w:jc w:val="both"/>
        <w:rPr>
          <w:rFonts w:ascii="Arial" w:hAnsi="Arial" w:cs="Arial"/>
          <w:sz w:val="19"/>
          <w:szCs w:val="19"/>
        </w:rPr>
      </w:pPr>
      <w:r w:rsidRPr="00BF4B3C">
        <w:rPr>
          <w:rStyle w:val="Refdenotaalpie"/>
          <w:rFonts w:ascii="Arial" w:hAnsi="Arial" w:cs="Arial"/>
          <w:sz w:val="19"/>
          <w:szCs w:val="19"/>
        </w:rPr>
        <w:footnoteRef/>
      </w:r>
      <w:r w:rsidRPr="00BF4B3C">
        <w:rPr>
          <w:rFonts w:ascii="Arial" w:hAnsi="Arial" w:cs="Arial"/>
          <w:sz w:val="19"/>
          <w:szCs w:val="19"/>
        </w:rPr>
        <w:t xml:space="preserve"> </w:t>
      </w:r>
      <w:r w:rsidRPr="00BF4B3C" w:rsidR="004502D6">
        <w:rPr>
          <w:rFonts w:ascii="Arial" w:hAnsi="Arial" w:cs="Arial"/>
          <w:sz w:val="19"/>
          <w:szCs w:val="19"/>
        </w:rPr>
        <w:t xml:space="preserve">PORTALIS, Jean-Étienne. </w:t>
      </w:r>
      <w:r w:rsidRPr="00F13C27" w:rsidR="004502D6">
        <w:rPr>
          <w:rFonts w:ascii="Arial" w:hAnsi="Arial" w:cs="Arial"/>
          <w:sz w:val="19"/>
          <w:szCs w:val="19"/>
        </w:rPr>
        <w:t xml:space="preserve">Discurso preliminar sobre el proyecto de Código Civil. Consultado el 24 de marzo de 2022 en la página </w:t>
      </w:r>
      <w:hyperlink w:history="1" r:id="rId2">
        <w:r w:rsidRPr="00BF4B3C" w:rsidR="004502D6">
          <w:rPr>
            <w:rStyle w:val="Hipervnculo"/>
            <w:rFonts w:ascii="Arial" w:hAnsi="Arial" w:cs="Arial"/>
            <w:color w:val="0E63A8" w:themeColor="text2"/>
            <w:sz w:val="19"/>
            <w:szCs w:val="19"/>
          </w:rPr>
          <w:t>https://e-archivo.uc3m.es/bitstream/handle/10016/19797/discurso_portalis_hd31_2014.pdf</w:t>
        </w:r>
      </w:hyperlink>
      <w:r w:rsidRPr="00F13C27" w:rsidR="004502D6">
        <w:rPr>
          <w:rFonts w:ascii="Arial" w:hAnsi="Arial" w:cs="Arial"/>
          <w:sz w:val="19"/>
          <w:szCs w:val="19"/>
        </w:rPr>
        <w:t xml:space="preserve">.  </w:t>
      </w:r>
    </w:p>
  </w:footnote>
  <w:footnote w:id="27">
    <w:p w:rsidRPr="00F13C27" w:rsidR="008F7B43" w:rsidP="008F7B43" w:rsidRDefault="008F7B43" w14:paraId="1D7392F4" w14:textId="77777777">
      <w:pPr>
        <w:pStyle w:val="Textonotapie"/>
        <w:ind w:firstLine="708"/>
        <w:jc w:val="both"/>
        <w:rPr>
          <w:rFonts w:ascii="Arial" w:hAnsi="Arial" w:cs="Arial"/>
          <w:sz w:val="19"/>
          <w:szCs w:val="19"/>
        </w:rPr>
      </w:pPr>
      <w:r w:rsidRPr="00F13C27">
        <w:rPr>
          <w:rStyle w:val="Refdenotaalpie"/>
          <w:rFonts w:ascii="Arial" w:hAnsi="Arial" w:cs="Arial"/>
          <w:sz w:val="19"/>
          <w:szCs w:val="19"/>
        </w:rPr>
        <w:footnoteRef/>
      </w:r>
      <w:r w:rsidRPr="00F13C27">
        <w:rPr>
          <w:rFonts w:ascii="Arial" w:hAnsi="Arial" w:cs="Arial"/>
          <w:sz w:val="19"/>
          <w:szCs w:val="19"/>
        </w:rPr>
        <w:t xml:space="preserve"> Esta norma dispone que «Cuando no hay ley exactamente aplicable al caso controvertido, se aplicarán las leyes que regulen casos o materias semejantes, y en su defecto, la doctrina constitucional y las reglas generales de derecho».</w:t>
      </w:r>
    </w:p>
  </w:footnote>
  <w:footnote w:id="28">
    <w:p w:rsidRPr="00BF4B3C" w:rsidR="00056DA1" w:rsidP="00BF4B3C" w:rsidRDefault="00056DA1" w14:paraId="29650479" w14:textId="6205315B">
      <w:pPr>
        <w:pStyle w:val="Textonotapie"/>
        <w:ind w:firstLine="708"/>
        <w:rPr>
          <w:rFonts w:ascii="Arial" w:hAnsi="Arial" w:cs="Arial"/>
          <w:sz w:val="19"/>
          <w:szCs w:val="19"/>
        </w:rPr>
      </w:pPr>
      <w:r w:rsidRPr="00BF4B3C">
        <w:rPr>
          <w:rStyle w:val="Refdenotaalpie"/>
          <w:rFonts w:ascii="Arial" w:hAnsi="Arial" w:cs="Arial"/>
          <w:sz w:val="19"/>
          <w:szCs w:val="19"/>
        </w:rPr>
        <w:footnoteRef/>
      </w:r>
      <w:r w:rsidRPr="00BF4B3C">
        <w:rPr>
          <w:rFonts w:ascii="Arial" w:hAnsi="Arial" w:cs="Arial"/>
          <w:sz w:val="19"/>
          <w:szCs w:val="19"/>
        </w:rPr>
        <w:t xml:space="preserve"> </w:t>
      </w:r>
      <w:r w:rsidRPr="00F13C27" w:rsidR="00115958">
        <w:rPr>
          <w:rFonts w:ascii="Arial" w:hAnsi="Arial" w:cs="Arial"/>
          <w:sz w:val="19"/>
          <w:szCs w:val="19"/>
        </w:rPr>
        <w:t xml:space="preserve">BELLO, Andrés. Principios de Derecho Internacional. Consultado el 24 de marzo de 2022 en la página web </w:t>
      </w:r>
      <w:hyperlink w:history="1" w:anchor="I_19" r:id="rId3">
        <w:r w:rsidRPr="00BF4B3C" w:rsidR="00115958">
          <w:rPr>
            <w:rStyle w:val="Hipervnculo"/>
            <w:rFonts w:ascii="Arial" w:hAnsi="Arial" w:cs="Arial"/>
            <w:color w:val="0E63A8" w:themeColor="text2"/>
            <w:sz w:val="19"/>
            <w:szCs w:val="19"/>
          </w:rPr>
          <w:t>https://www.cervantesvirtual.com/obra-visor/principios-de-derecho-internacional-volumen-iv--0/html/ff25acaa-82b1-11df-acc7-002185ce6064_76.html#I_19</w:t>
        </w:r>
      </w:hyperlink>
      <w:r w:rsidRPr="00F13C27" w:rsidR="00115958">
        <w:rPr>
          <w:rFonts w:ascii="Arial" w:hAnsi="Arial" w:cs="Arial"/>
          <w:sz w:val="19"/>
          <w:szCs w:val="19"/>
        </w:rPr>
        <w:t>. _</w:t>
      </w:r>
    </w:p>
  </w:footnote>
  <w:footnote w:id="29">
    <w:p w:rsidRPr="00BF4B3C" w:rsidR="00115958" w:rsidP="00BF4B3C" w:rsidRDefault="00115958" w14:paraId="090A78D7" w14:textId="4E8D8421">
      <w:pPr>
        <w:pStyle w:val="Textonotapie"/>
        <w:ind w:firstLine="708"/>
        <w:rPr>
          <w:rFonts w:ascii="Arial" w:hAnsi="Arial" w:cs="Arial"/>
          <w:sz w:val="19"/>
          <w:szCs w:val="19"/>
        </w:rPr>
      </w:pPr>
      <w:r w:rsidRPr="00BF4B3C">
        <w:rPr>
          <w:rStyle w:val="Refdenotaalpie"/>
          <w:rFonts w:ascii="Arial" w:hAnsi="Arial" w:cs="Arial"/>
          <w:sz w:val="19"/>
          <w:szCs w:val="19"/>
        </w:rPr>
        <w:footnoteRef/>
      </w:r>
      <w:r w:rsidRPr="00BF4B3C">
        <w:rPr>
          <w:rFonts w:ascii="Arial" w:hAnsi="Arial" w:cs="Arial"/>
          <w:sz w:val="19"/>
          <w:szCs w:val="19"/>
        </w:rPr>
        <w:t xml:space="preserve"> </w:t>
      </w:r>
      <w:r w:rsidRPr="00BF4B3C">
        <w:rPr>
          <w:rFonts w:ascii="Arial" w:hAnsi="Arial" w:cs="Arial"/>
          <w:i/>
          <w:iCs/>
          <w:sz w:val="19"/>
          <w:szCs w:val="19"/>
        </w:rPr>
        <w:t>Ibidem</w:t>
      </w:r>
      <w:r w:rsidRPr="00F13C27">
        <w:rPr>
          <w:rFonts w:ascii="Arial" w:hAnsi="Arial" w:cs="Arial"/>
          <w:i/>
          <w:iCs/>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51F1" w:rsidRDefault="008751F1" w14:paraId="6520770B" w14:textId="1A2BB94C">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FA0030B"/>
    <w:multiLevelType w:val="multilevel"/>
    <w:tmpl w:val="1C567DE4"/>
    <w:lvl w:ilvl="0">
      <w:start w:val="1"/>
      <w:numFmt w:val="decimal"/>
      <w:lvlText w:val="%1."/>
      <w:lvlJc w:val="left"/>
      <w:pPr>
        <w:ind w:left="4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525" w:hanging="425"/>
      </w:pPr>
      <w:rPr>
        <w:rFonts w:hint="default" w:ascii="Arial" w:hAnsi="Arial" w:eastAsia="Arial" w:cs="Arial"/>
        <w:b/>
        <w:bCs/>
        <w:color w:val="000000" w:themeColor="text1"/>
        <w:spacing w:val="-1"/>
        <w:w w:val="100"/>
        <w:sz w:val="22"/>
        <w:szCs w:val="22"/>
        <w:lang w:val="es-ES" w:eastAsia="en-US" w:bidi="ar-SA"/>
      </w:rPr>
    </w:lvl>
    <w:lvl w:ilvl="2">
      <w:start w:val="1"/>
      <w:numFmt w:val="lowerLetter"/>
      <w:lvlText w:val="%3)"/>
      <w:lvlJc w:val="left"/>
      <w:pPr>
        <w:ind w:left="805" w:hanging="273"/>
      </w:pPr>
      <w:rPr>
        <w:rFonts w:hint="default" w:ascii="Arial" w:hAnsi="Arial" w:eastAsia="Arial" w:cs="Arial"/>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F063043"/>
    <w:multiLevelType w:val="hybridMultilevel"/>
    <w:tmpl w:val="CD8CEEF4"/>
    <w:lvl w:ilvl="0" w:tplc="94F86670">
      <w:start w:val="1"/>
      <w:numFmt w:val="lowerLetter"/>
      <w:lvlText w:val="%1)"/>
      <w:lvlJc w:val="left"/>
      <w:pPr>
        <w:ind w:left="805" w:hanging="273"/>
      </w:pPr>
      <w:rPr>
        <w:rFonts w:hint="default" w:ascii="Arial" w:hAnsi="Arial" w:eastAsia="Arial" w:cs="Arial"/>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2"/>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BD3"/>
    <w:rsid w:val="00002F47"/>
    <w:rsid w:val="00006AF8"/>
    <w:rsid w:val="00010B55"/>
    <w:rsid w:val="00010D84"/>
    <w:rsid w:val="000152BC"/>
    <w:rsid w:val="00016FC3"/>
    <w:rsid w:val="000170F8"/>
    <w:rsid w:val="00027C8A"/>
    <w:rsid w:val="00032B71"/>
    <w:rsid w:val="000362FF"/>
    <w:rsid w:val="00046D2B"/>
    <w:rsid w:val="00051107"/>
    <w:rsid w:val="00052E6D"/>
    <w:rsid w:val="00054787"/>
    <w:rsid w:val="00056AFD"/>
    <w:rsid w:val="00056DA1"/>
    <w:rsid w:val="00062363"/>
    <w:rsid w:val="00064065"/>
    <w:rsid w:val="00070501"/>
    <w:rsid w:val="000729E2"/>
    <w:rsid w:val="00080897"/>
    <w:rsid w:val="0008187E"/>
    <w:rsid w:val="000824C9"/>
    <w:rsid w:val="00083BF8"/>
    <w:rsid w:val="00084AA0"/>
    <w:rsid w:val="00084B97"/>
    <w:rsid w:val="00085147"/>
    <w:rsid w:val="000921C6"/>
    <w:rsid w:val="00093B65"/>
    <w:rsid w:val="000942EB"/>
    <w:rsid w:val="00096709"/>
    <w:rsid w:val="00096EE0"/>
    <w:rsid w:val="000A500C"/>
    <w:rsid w:val="000A5E74"/>
    <w:rsid w:val="000B103F"/>
    <w:rsid w:val="000B6F0F"/>
    <w:rsid w:val="000B71E4"/>
    <w:rsid w:val="000C0D40"/>
    <w:rsid w:val="000C58A3"/>
    <w:rsid w:val="000D1B87"/>
    <w:rsid w:val="000D41BD"/>
    <w:rsid w:val="000D69CB"/>
    <w:rsid w:val="000E3038"/>
    <w:rsid w:val="000E33E7"/>
    <w:rsid w:val="000E3936"/>
    <w:rsid w:val="000E4197"/>
    <w:rsid w:val="000F14E8"/>
    <w:rsid w:val="000F2057"/>
    <w:rsid w:val="00103915"/>
    <w:rsid w:val="00105467"/>
    <w:rsid w:val="001058E7"/>
    <w:rsid w:val="00115958"/>
    <w:rsid w:val="00122B23"/>
    <w:rsid w:val="00135EC1"/>
    <w:rsid w:val="00137126"/>
    <w:rsid w:val="00137FFA"/>
    <w:rsid w:val="00150BAE"/>
    <w:rsid w:val="00155152"/>
    <w:rsid w:val="001564FC"/>
    <w:rsid w:val="00157A04"/>
    <w:rsid w:val="001642DC"/>
    <w:rsid w:val="001659D9"/>
    <w:rsid w:val="00165ED8"/>
    <w:rsid w:val="00167E06"/>
    <w:rsid w:val="001704FF"/>
    <w:rsid w:val="00170956"/>
    <w:rsid w:val="00172581"/>
    <w:rsid w:val="00172D04"/>
    <w:rsid w:val="00181317"/>
    <w:rsid w:val="00183832"/>
    <w:rsid w:val="00184F87"/>
    <w:rsid w:val="001858BE"/>
    <w:rsid w:val="00191592"/>
    <w:rsid w:val="001A09AC"/>
    <w:rsid w:val="001A663E"/>
    <w:rsid w:val="001A7081"/>
    <w:rsid w:val="001A7A90"/>
    <w:rsid w:val="001A7FA3"/>
    <w:rsid w:val="001B0444"/>
    <w:rsid w:val="001B088E"/>
    <w:rsid w:val="001B2051"/>
    <w:rsid w:val="001B59C3"/>
    <w:rsid w:val="001B62A9"/>
    <w:rsid w:val="001B6FB2"/>
    <w:rsid w:val="001C0252"/>
    <w:rsid w:val="001C1D16"/>
    <w:rsid w:val="001C30EE"/>
    <w:rsid w:val="001D3404"/>
    <w:rsid w:val="001D3CC4"/>
    <w:rsid w:val="001D7C8A"/>
    <w:rsid w:val="001E31E8"/>
    <w:rsid w:val="001E60CB"/>
    <w:rsid w:val="001F34D4"/>
    <w:rsid w:val="001F7D57"/>
    <w:rsid w:val="0020632A"/>
    <w:rsid w:val="00206845"/>
    <w:rsid w:val="002110EB"/>
    <w:rsid w:val="00211338"/>
    <w:rsid w:val="00216318"/>
    <w:rsid w:val="00216E96"/>
    <w:rsid w:val="00217E84"/>
    <w:rsid w:val="00220A00"/>
    <w:rsid w:val="00221AB6"/>
    <w:rsid w:val="002233B1"/>
    <w:rsid w:val="002252E2"/>
    <w:rsid w:val="0022675F"/>
    <w:rsid w:val="00226B51"/>
    <w:rsid w:val="002277B9"/>
    <w:rsid w:val="00234B84"/>
    <w:rsid w:val="00244069"/>
    <w:rsid w:val="00253ED0"/>
    <w:rsid w:val="00260F08"/>
    <w:rsid w:val="00263A8B"/>
    <w:rsid w:val="00263DB9"/>
    <w:rsid w:val="00266139"/>
    <w:rsid w:val="00272459"/>
    <w:rsid w:val="0027449C"/>
    <w:rsid w:val="00275B63"/>
    <w:rsid w:val="00277E2B"/>
    <w:rsid w:val="00280F7C"/>
    <w:rsid w:val="00283671"/>
    <w:rsid w:val="0029238C"/>
    <w:rsid w:val="002927C5"/>
    <w:rsid w:val="00297663"/>
    <w:rsid w:val="002A11F2"/>
    <w:rsid w:val="002A2BD7"/>
    <w:rsid w:val="002B5724"/>
    <w:rsid w:val="002B648F"/>
    <w:rsid w:val="002C4C0C"/>
    <w:rsid w:val="002C5EA2"/>
    <w:rsid w:val="002C6274"/>
    <w:rsid w:val="002C76DA"/>
    <w:rsid w:val="002C7F9C"/>
    <w:rsid w:val="002D5691"/>
    <w:rsid w:val="002D5D05"/>
    <w:rsid w:val="002D6C6B"/>
    <w:rsid w:val="002F0186"/>
    <w:rsid w:val="002F01BF"/>
    <w:rsid w:val="002F0EFC"/>
    <w:rsid w:val="002F1A14"/>
    <w:rsid w:val="002F454C"/>
    <w:rsid w:val="00301184"/>
    <w:rsid w:val="003033BA"/>
    <w:rsid w:val="0030664E"/>
    <w:rsid w:val="003074AE"/>
    <w:rsid w:val="00310F13"/>
    <w:rsid w:val="00312813"/>
    <w:rsid w:val="00320647"/>
    <w:rsid w:val="00320FDA"/>
    <w:rsid w:val="00322937"/>
    <w:rsid w:val="00325E6F"/>
    <w:rsid w:val="00330911"/>
    <w:rsid w:val="003337A1"/>
    <w:rsid w:val="0033505E"/>
    <w:rsid w:val="00336972"/>
    <w:rsid w:val="0034177C"/>
    <w:rsid w:val="0034677C"/>
    <w:rsid w:val="0034680A"/>
    <w:rsid w:val="003470D1"/>
    <w:rsid w:val="003471B0"/>
    <w:rsid w:val="00347C19"/>
    <w:rsid w:val="00353C4C"/>
    <w:rsid w:val="00353DD5"/>
    <w:rsid w:val="00354681"/>
    <w:rsid w:val="00356146"/>
    <w:rsid w:val="00360210"/>
    <w:rsid w:val="00362B0C"/>
    <w:rsid w:val="00364DED"/>
    <w:rsid w:val="0036593D"/>
    <w:rsid w:val="00370449"/>
    <w:rsid w:val="00382076"/>
    <w:rsid w:val="00386456"/>
    <w:rsid w:val="00391F79"/>
    <w:rsid w:val="00393E78"/>
    <w:rsid w:val="00396FE0"/>
    <w:rsid w:val="003A0878"/>
    <w:rsid w:val="003A2753"/>
    <w:rsid w:val="003A4560"/>
    <w:rsid w:val="003A46BE"/>
    <w:rsid w:val="003A46FC"/>
    <w:rsid w:val="003A5502"/>
    <w:rsid w:val="003A581E"/>
    <w:rsid w:val="003B07BE"/>
    <w:rsid w:val="003C201F"/>
    <w:rsid w:val="003C3B4A"/>
    <w:rsid w:val="003C63A9"/>
    <w:rsid w:val="003D000D"/>
    <w:rsid w:val="003D1614"/>
    <w:rsid w:val="003D2E2C"/>
    <w:rsid w:val="003D495D"/>
    <w:rsid w:val="003E63DC"/>
    <w:rsid w:val="003E68E0"/>
    <w:rsid w:val="003F094C"/>
    <w:rsid w:val="00402C55"/>
    <w:rsid w:val="004042CB"/>
    <w:rsid w:val="004075A7"/>
    <w:rsid w:val="00412C63"/>
    <w:rsid w:val="00420ABA"/>
    <w:rsid w:val="00423F9F"/>
    <w:rsid w:val="00427331"/>
    <w:rsid w:val="0043064E"/>
    <w:rsid w:val="004333D6"/>
    <w:rsid w:val="00435B6D"/>
    <w:rsid w:val="004422D6"/>
    <w:rsid w:val="004455B2"/>
    <w:rsid w:val="00446A06"/>
    <w:rsid w:val="004502D6"/>
    <w:rsid w:val="004510F8"/>
    <w:rsid w:val="004569DB"/>
    <w:rsid w:val="0046281F"/>
    <w:rsid w:val="004644A2"/>
    <w:rsid w:val="00464C20"/>
    <w:rsid w:val="004717A0"/>
    <w:rsid w:val="00473979"/>
    <w:rsid w:val="0048136F"/>
    <w:rsid w:val="0049094E"/>
    <w:rsid w:val="0049241A"/>
    <w:rsid w:val="0049341C"/>
    <w:rsid w:val="004A02A7"/>
    <w:rsid w:val="004A1A5E"/>
    <w:rsid w:val="004A34D2"/>
    <w:rsid w:val="004C0693"/>
    <w:rsid w:val="004C597C"/>
    <w:rsid w:val="004C5D70"/>
    <w:rsid w:val="004C758D"/>
    <w:rsid w:val="004D48DD"/>
    <w:rsid w:val="004E0E0D"/>
    <w:rsid w:val="004E1F12"/>
    <w:rsid w:val="004E381D"/>
    <w:rsid w:val="004E5EAC"/>
    <w:rsid w:val="004E73BB"/>
    <w:rsid w:val="004E78C1"/>
    <w:rsid w:val="00500974"/>
    <w:rsid w:val="00501411"/>
    <w:rsid w:val="00503206"/>
    <w:rsid w:val="005050F1"/>
    <w:rsid w:val="00507BEF"/>
    <w:rsid w:val="0051074C"/>
    <w:rsid w:val="00511DBB"/>
    <w:rsid w:val="00513AF2"/>
    <w:rsid w:val="005178B0"/>
    <w:rsid w:val="00520B6B"/>
    <w:rsid w:val="00540DCF"/>
    <w:rsid w:val="00543D89"/>
    <w:rsid w:val="0054413A"/>
    <w:rsid w:val="00552845"/>
    <w:rsid w:val="005564CA"/>
    <w:rsid w:val="0056182B"/>
    <w:rsid w:val="00574072"/>
    <w:rsid w:val="005756AA"/>
    <w:rsid w:val="00577B05"/>
    <w:rsid w:val="00583188"/>
    <w:rsid w:val="00592630"/>
    <w:rsid w:val="00596405"/>
    <w:rsid w:val="005964C2"/>
    <w:rsid w:val="005B28EF"/>
    <w:rsid w:val="005B4FDD"/>
    <w:rsid w:val="005C029F"/>
    <w:rsid w:val="005C0573"/>
    <w:rsid w:val="005C157D"/>
    <w:rsid w:val="005D0F03"/>
    <w:rsid w:val="005D3341"/>
    <w:rsid w:val="005D51FA"/>
    <w:rsid w:val="005D791B"/>
    <w:rsid w:val="005E1B38"/>
    <w:rsid w:val="005F2818"/>
    <w:rsid w:val="005F418B"/>
    <w:rsid w:val="005F5A50"/>
    <w:rsid w:val="006010F7"/>
    <w:rsid w:val="0060337C"/>
    <w:rsid w:val="00606840"/>
    <w:rsid w:val="00606E32"/>
    <w:rsid w:val="00611B77"/>
    <w:rsid w:val="0061335A"/>
    <w:rsid w:val="00614817"/>
    <w:rsid w:val="00616710"/>
    <w:rsid w:val="00617024"/>
    <w:rsid w:val="00617FF2"/>
    <w:rsid w:val="0062031D"/>
    <w:rsid w:val="00622CE1"/>
    <w:rsid w:val="00623EE3"/>
    <w:rsid w:val="0063147A"/>
    <w:rsid w:val="00633DBF"/>
    <w:rsid w:val="006344B7"/>
    <w:rsid w:val="00640AEF"/>
    <w:rsid w:val="00641353"/>
    <w:rsid w:val="00641ED1"/>
    <w:rsid w:val="006426BC"/>
    <w:rsid w:val="00643E95"/>
    <w:rsid w:val="00644C0A"/>
    <w:rsid w:val="00652B61"/>
    <w:rsid w:val="00655371"/>
    <w:rsid w:val="006608A1"/>
    <w:rsid w:val="00660B1A"/>
    <w:rsid w:val="00661D24"/>
    <w:rsid w:val="006636B5"/>
    <w:rsid w:val="00665AA7"/>
    <w:rsid w:val="00671E92"/>
    <w:rsid w:val="006731F1"/>
    <w:rsid w:val="0067348A"/>
    <w:rsid w:val="00674D2F"/>
    <w:rsid w:val="00675865"/>
    <w:rsid w:val="00677409"/>
    <w:rsid w:val="00683716"/>
    <w:rsid w:val="006837FC"/>
    <w:rsid w:val="0069063F"/>
    <w:rsid w:val="006911AD"/>
    <w:rsid w:val="006967F3"/>
    <w:rsid w:val="00697665"/>
    <w:rsid w:val="006978FD"/>
    <w:rsid w:val="006A26E2"/>
    <w:rsid w:val="006A2AF8"/>
    <w:rsid w:val="006A33BF"/>
    <w:rsid w:val="006A41FC"/>
    <w:rsid w:val="006A7CB5"/>
    <w:rsid w:val="006A7FD0"/>
    <w:rsid w:val="006B1716"/>
    <w:rsid w:val="006B60C8"/>
    <w:rsid w:val="006C014E"/>
    <w:rsid w:val="006C1C9E"/>
    <w:rsid w:val="006D10B1"/>
    <w:rsid w:val="006D22FB"/>
    <w:rsid w:val="006D26D0"/>
    <w:rsid w:val="006D687F"/>
    <w:rsid w:val="006D7687"/>
    <w:rsid w:val="006E0572"/>
    <w:rsid w:val="006E096A"/>
    <w:rsid w:val="006E3288"/>
    <w:rsid w:val="006F2A69"/>
    <w:rsid w:val="006F4065"/>
    <w:rsid w:val="006F69B7"/>
    <w:rsid w:val="00700CFE"/>
    <w:rsid w:val="00705631"/>
    <w:rsid w:val="007056C1"/>
    <w:rsid w:val="00713899"/>
    <w:rsid w:val="00713C1F"/>
    <w:rsid w:val="00715EAA"/>
    <w:rsid w:val="00720FED"/>
    <w:rsid w:val="0072288F"/>
    <w:rsid w:val="00723034"/>
    <w:rsid w:val="00727392"/>
    <w:rsid w:val="007274C9"/>
    <w:rsid w:val="0073233A"/>
    <w:rsid w:val="007346AD"/>
    <w:rsid w:val="00735ED7"/>
    <w:rsid w:val="00737488"/>
    <w:rsid w:val="00742DD2"/>
    <w:rsid w:val="00746E08"/>
    <w:rsid w:val="00747C96"/>
    <w:rsid w:val="00747EB2"/>
    <w:rsid w:val="0075094E"/>
    <w:rsid w:val="00751504"/>
    <w:rsid w:val="007522E8"/>
    <w:rsid w:val="0075647A"/>
    <w:rsid w:val="007634AD"/>
    <w:rsid w:val="007664B0"/>
    <w:rsid w:val="00773509"/>
    <w:rsid w:val="00775D3B"/>
    <w:rsid w:val="0078122E"/>
    <w:rsid w:val="00790122"/>
    <w:rsid w:val="007925D9"/>
    <w:rsid w:val="0079338B"/>
    <w:rsid w:val="00795647"/>
    <w:rsid w:val="007A05D3"/>
    <w:rsid w:val="007A4609"/>
    <w:rsid w:val="007A5F3E"/>
    <w:rsid w:val="007A6D3E"/>
    <w:rsid w:val="007A7B24"/>
    <w:rsid w:val="007B02DC"/>
    <w:rsid w:val="007B0854"/>
    <w:rsid w:val="007B16B5"/>
    <w:rsid w:val="007B5FDE"/>
    <w:rsid w:val="007B6F1D"/>
    <w:rsid w:val="007B7048"/>
    <w:rsid w:val="007C1E43"/>
    <w:rsid w:val="007C284B"/>
    <w:rsid w:val="007C3E51"/>
    <w:rsid w:val="007D7BD9"/>
    <w:rsid w:val="007E0383"/>
    <w:rsid w:val="007E3BBD"/>
    <w:rsid w:val="007F0724"/>
    <w:rsid w:val="007F4562"/>
    <w:rsid w:val="007F6B46"/>
    <w:rsid w:val="007F72CB"/>
    <w:rsid w:val="00800C4B"/>
    <w:rsid w:val="0080726E"/>
    <w:rsid w:val="00811CB5"/>
    <w:rsid w:val="0081537B"/>
    <w:rsid w:val="00817D2D"/>
    <w:rsid w:val="00821775"/>
    <w:rsid w:val="008217B7"/>
    <w:rsid w:val="008238E5"/>
    <w:rsid w:val="008309F0"/>
    <w:rsid w:val="0083119B"/>
    <w:rsid w:val="008315A8"/>
    <w:rsid w:val="00836EAB"/>
    <w:rsid w:val="00841778"/>
    <w:rsid w:val="00845DBE"/>
    <w:rsid w:val="0085092D"/>
    <w:rsid w:val="00850F79"/>
    <w:rsid w:val="0085243E"/>
    <w:rsid w:val="00854CFC"/>
    <w:rsid w:val="008562A5"/>
    <w:rsid w:val="008606A0"/>
    <w:rsid w:val="00860C53"/>
    <w:rsid w:val="00863622"/>
    <w:rsid w:val="00870F20"/>
    <w:rsid w:val="00871FD2"/>
    <w:rsid w:val="008751F1"/>
    <w:rsid w:val="00876480"/>
    <w:rsid w:val="00883DF5"/>
    <w:rsid w:val="0089774F"/>
    <w:rsid w:val="008A0ED7"/>
    <w:rsid w:val="008A55BC"/>
    <w:rsid w:val="008B14AF"/>
    <w:rsid w:val="008B5B04"/>
    <w:rsid w:val="008C283B"/>
    <w:rsid w:val="008C6F27"/>
    <w:rsid w:val="008C7B64"/>
    <w:rsid w:val="008D13DB"/>
    <w:rsid w:val="008D56A7"/>
    <w:rsid w:val="008D6DE0"/>
    <w:rsid w:val="008E1C15"/>
    <w:rsid w:val="008E1ED9"/>
    <w:rsid w:val="008E2E09"/>
    <w:rsid w:val="008E35DE"/>
    <w:rsid w:val="008E3709"/>
    <w:rsid w:val="008E4DFB"/>
    <w:rsid w:val="008E5A6D"/>
    <w:rsid w:val="008E7B50"/>
    <w:rsid w:val="008F2CFE"/>
    <w:rsid w:val="008F538E"/>
    <w:rsid w:val="008F6999"/>
    <w:rsid w:val="008F7B43"/>
    <w:rsid w:val="008F7D0D"/>
    <w:rsid w:val="00901AFF"/>
    <w:rsid w:val="009047C5"/>
    <w:rsid w:val="009058E3"/>
    <w:rsid w:val="00907404"/>
    <w:rsid w:val="009151A1"/>
    <w:rsid w:val="00917BB0"/>
    <w:rsid w:val="00921961"/>
    <w:rsid w:val="00923BCA"/>
    <w:rsid w:val="009250B2"/>
    <w:rsid w:val="009256D5"/>
    <w:rsid w:val="009314A3"/>
    <w:rsid w:val="00931CA1"/>
    <w:rsid w:val="00931D6E"/>
    <w:rsid w:val="0094362D"/>
    <w:rsid w:val="00950775"/>
    <w:rsid w:val="00950BD9"/>
    <w:rsid w:val="00951A28"/>
    <w:rsid w:val="009526DD"/>
    <w:rsid w:val="0095385A"/>
    <w:rsid w:val="00953E0F"/>
    <w:rsid w:val="00954412"/>
    <w:rsid w:val="00955071"/>
    <w:rsid w:val="00957264"/>
    <w:rsid w:val="0096087E"/>
    <w:rsid w:val="00960D5C"/>
    <w:rsid w:val="00962E23"/>
    <w:rsid w:val="0096318D"/>
    <w:rsid w:val="00972DD7"/>
    <w:rsid w:val="009733E0"/>
    <w:rsid w:val="00981D39"/>
    <w:rsid w:val="00985051"/>
    <w:rsid w:val="00985EFB"/>
    <w:rsid w:val="0099575F"/>
    <w:rsid w:val="009A0C65"/>
    <w:rsid w:val="009A1173"/>
    <w:rsid w:val="009A2D11"/>
    <w:rsid w:val="009A3306"/>
    <w:rsid w:val="009A7034"/>
    <w:rsid w:val="009A7824"/>
    <w:rsid w:val="009B025D"/>
    <w:rsid w:val="009B145D"/>
    <w:rsid w:val="009B2EE5"/>
    <w:rsid w:val="009B6C85"/>
    <w:rsid w:val="009D07B7"/>
    <w:rsid w:val="009D0BBF"/>
    <w:rsid w:val="009D387D"/>
    <w:rsid w:val="009E1BE1"/>
    <w:rsid w:val="009E2240"/>
    <w:rsid w:val="009E3277"/>
    <w:rsid w:val="009E485A"/>
    <w:rsid w:val="009F0642"/>
    <w:rsid w:val="009F0BB6"/>
    <w:rsid w:val="009F5081"/>
    <w:rsid w:val="009F59C2"/>
    <w:rsid w:val="009F5D34"/>
    <w:rsid w:val="009F5F31"/>
    <w:rsid w:val="009F7F06"/>
    <w:rsid w:val="00A000E0"/>
    <w:rsid w:val="00A027F5"/>
    <w:rsid w:val="00A1097B"/>
    <w:rsid w:val="00A114A5"/>
    <w:rsid w:val="00A114CB"/>
    <w:rsid w:val="00A24560"/>
    <w:rsid w:val="00A278BD"/>
    <w:rsid w:val="00A34004"/>
    <w:rsid w:val="00A34538"/>
    <w:rsid w:val="00A346CD"/>
    <w:rsid w:val="00A34E0E"/>
    <w:rsid w:val="00A37FB6"/>
    <w:rsid w:val="00A47591"/>
    <w:rsid w:val="00A476B6"/>
    <w:rsid w:val="00A47A82"/>
    <w:rsid w:val="00A53632"/>
    <w:rsid w:val="00A55766"/>
    <w:rsid w:val="00A579BB"/>
    <w:rsid w:val="00A754E3"/>
    <w:rsid w:val="00A82182"/>
    <w:rsid w:val="00A83BED"/>
    <w:rsid w:val="00A87553"/>
    <w:rsid w:val="00A910CB"/>
    <w:rsid w:val="00A97D21"/>
    <w:rsid w:val="00AA08E7"/>
    <w:rsid w:val="00AA23B2"/>
    <w:rsid w:val="00AA2792"/>
    <w:rsid w:val="00AA442B"/>
    <w:rsid w:val="00AA669D"/>
    <w:rsid w:val="00AB47CB"/>
    <w:rsid w:val="00AB54B0"/>
    <w:rsid w:val="00AB7CF1"/>
    <w:rsid w:val="00AC7720"/>
    <w:rsid w:val="00AC7F59"/>
    <w:rsid w:val="00AD666C"/>
    <w:rsid w:val="00AE3988"/>
    <w:rsid w:val="00AE3C27"/>
    <w:rsid w:val="00AE6036"/>
    <w:rsid w:val="00AE70B1"/>
    <w:rsid w:val="00AF1736"/>
    <w:rsid w:val="00AF6DAE"/>
    <w:rsid w:val="00B022A4"/>
    <w:rsid w:val="00B030B1"/>
    <w:rsid w:val="00B041D2"/>
    <w:rsid w:val="00B05A55"/>
    <w:rsid w:val="00B05E3A"/>
    <w:rsid w:val="00B073F3"/>
    <w:rsid w:val="00B13EC0"/>
    <w:rsid w:val="00B14D9A"/>
    <w:rsid w:val="00B16431"/>
    <w:rsid w:val="00B210EB"/>
    <w:rsid w:val="00B22024"/>
    <w:rsid w:val="00B22E22"/>
    <w:rsid w:val="00B23041"/>
    <w:rsid w:val="00B25ADA"/>
    <w:rsid w:val="00B25B2B"/>
    <w:rsid w:val="00B309E2"/>
    <w:rsid w:val="00B31BA6"/>
    <w:rsid w:val="00B354B4"/>
    <w:rsid w:val="00B35A63"/>
    <w:rsid w:val="00B40DDE"/>
    <w:rsid w:val="00B41FD5"/>
    <w:rsid w:val="00B42BC8"/>
    <w:rsid w:val="00B460E5"/>
    <w:rsid w:val="00B501F3"/>
    <w:rsid w:val="00B525CB"/>
    <w:rsid w:val="00B56A20"/>
    <w:rsid w:val="00B6189A"/>
    <w:rsid w:val="00B61CA3"/>
    <w:rsid w:val="00B62A2E"/>
    <w:rsid w:val="00B63872"/>
    <w:rsid w:val="00B63CB2"/>
    <w:rsid w:val="00B64EDB"/>
    <w:rsid w:val="00B70839"/>
    <w:rsid w:val="00B7315F"/>
    <w:rsid w:val="00B75A9B"/>
    <w:rsid w:val="00B75B2B"/>
    <w:rsid w:val="00B84425"/>
    <w:rsid w:val="00B91B8E"/>
    <w:rsid w:val="00B91D14"/>
    <w:rsid w:val="00B92156"/>
    <w:rsid w:val="00B933A4"/>
    <w:rsid w:val="00BA1266"/>
    <w:rsid w:val="00BA2795"/>
    <w:rsid w:val="00BA58F0"/>
    <w:rsid w:val="00BA6142"/>
    <w:rsid w:val="00BC15DF"/>
    <w:rsid w:val="00BC6FEA"/>
    <w:rsid w:val="00BC7ED1"/>
    <w:rsid w:val="00BD2DDD"/>
    <w:rsid w:val="00BD3394"/>
    <w:rsid w:val="00BD3D51"/>
    <w:rsid w:val="00BD78FE"/>
    <w:rsid w:val="00BD7ABD"/>
    <w:rsid w:val="00BE194E"/>
    <w:rsid w:val="00BE1EBE"/>
    <w:rsid w:val="00BE33E3"/>
    <w:rsid w:val="00BE5842"/>
    <w:rsid w:val="00BF4B3C"/>
    <w:rsid w:val="00BF4D87"/>
    <w:rsid w:val="00BF6B43"/>
    <w:rsid w:val="00BF6D5B"/>
    <w:rsid w:val="00C00793"/>
    <w:rsid w:val="00C03F48"/>
    <w:rsid w:val="00C04029"/>
    <w:rsid w:val="00C113D4"/>
    <w:rsid w:val="00C11942"/>
    <w:rsid w:val="00C14692"/>
    <w:rsid w:val="00C16250"/>
    <w:rsid w:val="00C22A83"/>
    <w:rsid w:val="00C30516"/>
    <w:rsid w:val="00C3176C"/>
    <w:rsid w:val="00C40E3E"/>
    <w:rsid w:val="00C410B5"/>
    <w:rsid w:val="00C45685"/>
    <w:rsid w:val="00C46188"/>
    <w:rsid w:val="00C60414"/>
    <w:rsid w:val="00C61D16"/>
    <w:rsid w:val="00C634EA"/>
    <w:rsid w:val="00C653AC"/>
    <w:rsid w:val="00C70449"/>
    <w:rsid w:val="00C707CB"/>
    <w:rsid w:val="00C76E54"/>
    <w:rsid w:val="00C82037"/>
    <w:rsid w:val="00C86771"/>
    <w:rsid w:val="00C900EE"/>
    <w:rsid w:val="00C90B50"/>
    <w:rsid w:val="00C90FBB"/>
    <w:rsid w:val="00C91FB2"/>
    <w:rsid w:val="00C93443"/>
    <w:rsid w:val="00C94AD5"/>
    <w:rsid w:val="00CA3543"/>
    <w:rsid w:val="00CA65BF"/>
    <w:rsid w:val="00CC00CD"/>
    <w:rsid w:val="00CC5149"/>
    <w:rsid w:val="00CD078A"/>
    <w:rsid w:val="00CE0853"/>
    <w:rsid w:val="00CE6F9A"/>
    <w:rsid w:val="00CF29E6"/>
    <w:rsid w:val="00D01760"/>
    <w:rsid w:val="00D06B2C"/>
    <w:rsid w:val="00D1044A"/>
    <w:rsid w:val="00D10BD9"/>
    <w:rsid w:val="00D112B4"/>
    <w:rsid w:val="00D11423"/>
    <w:rsid w:val="00D16E39"/>
    <w:rsid w:val="00D16FA8"/>
    <w:rsid w:val="00D20AD0"/>
    <w:rsid w:val="00D223B6"/>
    <w:rsid w:val="00D26A74"/>
    <w:rsid w:val="00D27FCD"/>
    <w:rsid w:val="00D30BDC"/>
    <w:rsid w:val="00D35756"/>
    <w:rsid w:val="00D361BF"/>
    <w:rsid w:val="00D37E49"/>
    <w:rsid w:val="00D37E9B"/>
    <w:rsid w:val="00D45539"/>
    <w:rsid w:val="00D4557E"/>
    <w:rsid w:val="00D53524"/>
    <w:rsid w:val="00D536D4"/>
    <w:rsid w:val="00D53CEA"/>
    <w:rsid w:val="00D60327"/>
    <w:rsid w:val="00D622AF"/>
    <w:rsid w:val="00D639D4"/>
    <w:rsid w:val="00D66CC3"/>
    <w:rsid w:val="00D70B72"/>
    <w:rsid w:val="00D71042"/>
    <w:rsid w:val="00D720AF"/>
    <w:rsid w:val="00D72E9D"/>
    <w:rsid w:val="00D7428F"/>
    <w:rsid w:val="00D746FD"/>
    <w:rsid w:val="00D76E0D"/>
    <w:rsid w:val="00D778EC"/>
    <w:rsid w:val="00D82CE5"/>
    <w:rsid w:val="00D879AB"/>
    <w:rsid w:val="00D91951"/>
    <w:rsid w:val="00D94852"/>
    <w:rsid w:val="00D94962"/>
    <w:rsid w:val="00DA208F"/>
    <w:rsid w:val="00DA5AB1"/>
    <w:rsid w:val="00DA5D76"/>
    <w:rsid w:val="00DB04D4"/>
    <w:rsid w:val="00DB07E1"/>
    <w:rsid w:val="00DB6388"/>
    <w:rsid w:val="00DB63C0"/>
    <w:rsid w:val="00DB6633"/>
    <w:rsid w:val="00DC06A6"/>
    <w:rsid w:val="00DC290A"/>
    <w:rsid w:val="00DC62E5"/>
    <w:rsid w:val="00DC6DF2"/>
    <w:rsid w:val="00DD6ABE"/>
    <w:rsid w:val="00DD735D"/>
    <w:rsid w:val="00DD7859"/>
    <w:rsid w:val="00DE3119"/>
    <w:rsid w:val="00DE5B33"/>
    <w:rsid w:val="00DE6E0C"/>
    <w:rsid w:val="00DE74A8"/>
    <w:rsid w:val="00DF236B"/>
    <w:rsid w:val="00DF3757"/>
    <w:rsid w:val="00DF40DF"/>
    <w:rsid w:val="00DF4D6F"/>
    <w:rsid w:val="00DF79F3"/>
    <w:rsid w:val="00E018A8"/>
    <w:rsid w:val="00E04179"/>
    <w:rsid w:val="00E10363"/>
    <w:rsid w:val="00E10A7E"/>
    <w:rsid w:val="00E11C35"/>
    <w:rsid w:val="00E13AB8"/>
    <w:rsid w:val="00E13F34"/>
    <w:rsid w:val="00E161A5"/>
    <w:rsid w:val="00E22816"/>
    <w:rsid w:val="00E25CB3"/>
    <w:rsid w:val="00E322A0"/>
    <w:rsid w:val="00E33B62"/>
    <w:rsid w:val="00E35B91"/>
    <w:rsid w:val="00E4143A"/>
    <w:rsid w:val="00E439DB"/>
    <w:rsid w:val="00E45327"/>
    <w:rsid w:val="00E52208"/>
    <w:rsid w:val="00E536EF"/>
    <w:rsid w:val="00E55F24"/>
    <w:rsid w:val="00E57AA4"/>
    <w:rsid w:val="00E6039E"/>
    <w:rsid w:val="00E605C4"/>
    <w:rsid w:val="00E61AEE"/>
    <w:rsid w:val="00E64541"/>
    <w:rsid w:val="00E649F2"/>
    <w:rsid w:val="00E7305A"/>
    <w:rsid w:val="00E810BE"/>
    <w:rsid w:val="00E8497D"/>
    <w:rsid w:val="00E9391E"/>
    <w:rsid w:val="00EA0B3F"/>
    <w:rsid w:val="00EA1D2F"/>
    <w:rsid w:val="00EA2CA5"/>
    <w:rsid w:val="00EA7DFC"/>
    <w:rsid w:val="00EB1305"/>
    <w:rsid w:val="00EB2DD4"/>
    <w:rsid w:val="00EB5913"/>
    <w:rsid w:val="00EB7C92"/>
    <w:rsid w:val="00EC187C"/>
    <w:rsid w:val="00EC6C6C"/>
    <w:rsid w:val="00ED069A"/>
    <w:rsid w:val="00ED3AB5"/>
    <w:rsid w:val="00ED7C47"/>
    <w:rsid w:val="00EE4051"/>
    <w:rsid w:val="00EE59B5"/>
    <w:rsid w:val="00EE79F8"/>
    <w:rsid w:val="00EF5645"/>
    <w:rsid w:val="00F01BA0"/>
    <w:rsid w:val="00F03D62"/>
    <w:rsid w:val="00F06ECC"/>
    <w:rsid w:val="00F126A2"/>
    <w:rsid w:val="00F132C2"/>
    <w:rsid w:val="00F13C27"/>
    <w:rsid w:val="00F16A2E"/>
    <w:rsid w:val="00F20A9D"/>
    <w:rsid w:val="00F234A3"/>
    <w:rsid w:val="00F2371B"/>
    <w:rsid w:val="00F23E3A"/>
    <w:rsid w:val="00F25F38"/>
    <w:rsid w:val="00F31A6E"/>
    <w:rsid w:val="00F41437"/>
    <w:rsid w:val="00F431BE"/>
    <w:rsid w:val="00F50587"/>
    <w:rsid w:val="00F5291B"/>
    <w:rsid w:val="00F56CE3"/>
    <w:rsid w:val="00F603CC"/>
    <w:rsid w:val="00F61C0B"/>
    <w:rsid w:val="00F63BF5"/>
    <w:rsid w:val="00F665E0"/>
    <w:rsid w:val="00F72043"/>
    <w:rsid w:val="00F757ED"/>
    <w:rsid w:val="00F80385"/>
    <w:rsid w:val="00F84899"/>
    <w:rsid w:val="00F859F0"/>
    <w:rsid w:val="00FA039C"/>
    <w:rsid w:val="00FA19FB"/>
    <w:rsid w:val="00FA6142"/>
    <w:rsid w:val="00FB1417"/>
    <w:rsid w:val="00FB7FA5"/>
    <w:rsid w:val="00FC1D2E"/>
    <w:rsid w:val="00FC2E17"/>
    <w:rsid w:val="00FC53F2"/>
    <w:rsid w:val="00FD171F"/>
    <w:rsid w:val="00FD56EF"/>
    <w:rsid w:val="00FD6D2E"/>
    <w:rsid w:val="00FD74A6"/>
    <w:rsid w:val="00FE0EA6"/>
    <w:rsid w:val="00FE141E"/>
    <w:rsid w:val="00FE180D"/>
    <w:rsid w:val="00FE257C"/>
    <w:rsid w:val="00FE36B6"/>
    <w:rsid w:val="00FE42ED"/>
    <w:rsid w:val="00FE5201"/>
    <w:rsid w:val="00FF0706"/>
    <w:rsid w:val="00FF65DB"/>
    <w:rsid w:val="3667D875"/>
    <w:rsid w:val="4A55593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F72043"/>
  </w:style>
  <w:style w:type="character" w:styleId="iaj" w:customStyle="1">
    <w:name w:val="i_aj"/>
    <w:basedOn w:val="Fuentedeprrafopredeter"/>
    <w:rsid w:val="00F72043"/>
  </w:style>
  <w:style w:type="paragraph" w:styleId="Default" w:customStyle="1">
    <w:name w:val="Default"/>
    <w:rsid w:val="00263A8B"/>
    <w:pPr>
      <w:autoSpaceDE w:val="0"/>
      <w:autoSpaceDN w:val="0"/>
      <w:adjustRightInd w:val="0"/>
      <w:spacing w:after="0" w:line="240" w:lineRule="auto"/>
    </w:pPr>
    <w:rPr>
      <w:rFonts w:ascii="Cambria" w:hAnsi="Cambria" w:cs="Cambria"/>
      <w:color w:val="000000"/>
      <w:sz w:val="24"/>
      <w:szCs w:val="24"/>
    </w:rPr>
  </w:style>
  <w:style w:type="character" w:styleId="Hipervnculovisitado">
    <w:name w:val="FollowedHyperlink"/>
    <w:basedOn w:val="Fuentedeprrafopredeter"/>
    <w:uiPriority w:val="99"/>
    <w:semiHidden/>
    <w:unhideWhenUsed/>
    <w:rsid w:val="00B35A63"/>
    <w:rPr>
      <w:color w:val="F2F2F2" w:themeColor="followedHyperlink"/>
      <w:u w:val="single"/>
    </w:rPr>
  </w:style>
  <w:style w:type="paragraph" w:styleId="Textoindependiente">
    <w:name w:val="Body Text"/>
    <w:basedOn w:val="Normal"/>
    <w:link w:val="TextoindependienteCar"/>
    <w:uiPriority w:val="1"/>
    <w:qFormat/>
    <w:rsid w:val="00D37E9B"/>
    <w:pPr>
      <w:widowControl w:val="0"/>
      <w:autoSpaceDE w:val="0"/>
      <w:autoSpaceDN w:val="0"/>
    </w:pPr>
    <w:rPr>
      <w:rFonts w:ascii="Arial" w:hAnsi="Arial" w:eastAsia="Arial" w:cs="Arial"/>
      <w:sz w:val="22"/>
      <w:lang w:val="es-ES" w:eastAsia="es-ES" w:bidi="es-ES"/>
    </w:rPr>
  </w:style>
  <w:style w:type="character" w:styleId="TextoindependienteCar" w:customStyle="1">
    <w:name w:val="Texto independiente Car"/>
    <w:basedOn w:val="Fuentedeprrafopredeter"/>
    <w:link w:val="Textoindependiente"/>
    <w:uiPriority w:val="1"/>
    <w:rsid w:val="00D37E9B"/>
    <w:rPr>
      <w:rFonts w:ascii="Arial" w:hAnsi="Arial" w:eastAsia="Arial" w:cs="Arial"/>
      <w:lang w:val="es-ES" w:eastAsia="es-ES" w:bidi="es-ES"/>
    </w:rPr>
  </w:style>
  <w:style w:type="table" w:styleId="Tablaconcuadrcula11" w:customStyle="1">
    <w:name w:val="Tabla con cuadrícula11"/>
    <w:basedOn w:val="Tablanormal"/>
    <w:next w:val="Tablaconcuadrcula"/>
    <w:uiPriority w:val="59"/>
    <w:rsid w:val="00056AFD"/>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E161A5"/>
    <w:pPr>
      <w:spacing w:after="160" w:line="240" w:lineRule="exact"/>
    </w:pPr>
    <w:rPr>
      <w:sz w:val="22"/>
      <w:vertAlign w:val="superscript"/>
      <w:lang w:val="es-CO"/>
    </w:rPr>
  </w:style>
  <w:style w:type="character" w:styleId="Textoennegrita">
    <w:name w:val="Strong"/>
    <w:basedOn w:val="Fuentedeprrafopredeter"/>
    <w:uiPriority w:val="22"/>
    <w:qFormat/>
    <w:rsid w:val="00CE6F9A"/>
    <w:rPr>
      <w:b/>
      <w:bCs/>
    </w:rPr>
  </w:style>
  <w:style w:type="character" w:styleId="nfasis">
    <w:name w:val="Emphasis"/>
    <w:basedOn w:val="Fuentedeprrafopredeter"/>
    <w:uiPriority w:val="20"/>
    <w:qFormat/>
    <w:rsid w:val="00CE6F9A"/>
    <w:rPr>
      <w:i/>
      <w:iCs/>
    </w:rPr>
  </w:style>
  <w:style w:type="character" w:styleId="Mencinsinresolver">
    <w:name w:val="Unresolved Mention"/>
    <w:basedOn w:val="Fuentedeprrafopredeter"/>
    <w:uiPriority w:val="99"/>
    <w:semiHidden/>
    <w:unhideWhenUsed/>
    <w:rsid w:val="004502D6"/>
    <w:rPr>
      <w:color w:val="605E5C"/>
      <w:shd w:val="clear" w:color="auto" w:fill="E1DFDD"/>
    </w:rPr>
  </w:style>
  <w:style w:type="paragraph" w:styleId="Revisin">
    <w:name w:val="Revision"/>
    <w:hidden/>
    <w:uiPriority w:val="99"/>
    <w:semiHidden/>
    <w:rsid w:val="00E018A8"/>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6387979">
      <w:bodyDiv w:val="1"/>
      <w:marLeft w:val="0"/>
      <w:marRight w:val="0"/>
      <w:marTop w:val="0"/>
      <w:marBottom w:val="0"/>
      <w:divBdr>
        <w:top w:val="none" w:sz="0" w:space="0" w:color="auto"/>
        <w:left w:val="none" w:sz="0" w:space="0" w:color="auto"/>
        <w:bottom w:val="none" w:sz="0" w:space="0" w:color="auto"/>
        <w:right w:val="none" w:sz="0" w:space="0" w:color="auto"/>
      </w:divBdr>
    </w:div>
    <w:div w:id="701637801">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91293391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2706228">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85089887">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030910316">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8d7a306afd6b4bc5"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ervantesvirtual.com/obra-visor/principios-de-derecho-internacional-volumen-iv--0/html/ff25acaa-82b1-11df-acc7-002185ce6064_76.html" TargetMode="External"/><Relationship Id="rId2" Type="http://schemas.openxmlformats.org/officeDocument/2006/relationships/hyperlink" Target="https://e-archivo.uc3m.es/bitstream/handle/10016/19797/discurso_portalis_hd31_2014.pdf" TargetMode="External"/><Relationship Id="rId1" Type="http://schemas.openxmlformats.org/officeDocument/2006/relationships/hyperlink" Target="http://www.secretariasenado.gov.co/senado/basedoc/decreto_0019_2012_pr00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4F40F8E-6F7E-474D-8CAB-F00EB40DFF63}">
  <ds:schemaRefs>
    <ds:schemaRef ds:uri="http://schemas.openxmlformats.org/officeDocument/2006/bibliography"/>
  </ds:schemaRefs>
</ds:datastoreItem>
</file>

<file path=customXml/itemProps3.xml><?xml version="1.0" encoding="utf-8"?>
<ds:datastoreItem xmlns:ds="http://schemas.openxmlformats.org/officeDocument/2006/customXml" ds:itemID="{8B655760-4F8F-46AA-94C3-A2CC0F8B219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45C1ECC-1E32-41D0-A66C-D4A3EDAD8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4</revision>
  <lastPrinted>2020-01-30T15:05:00.0000000Z</lastPrinted>
  <dcterms:created xsi:type="dcterms:W3CDTF">2022-03-28T14:26:00.0000000Z</dcterms:created>
  <dcterms:modified xsi:type="dcterms:W3CDTF">2022-04-01T14:46:22.2680510Z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