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26BB0" w14:textId="77777777" w:rsidR="009F0A44" w:rsidRPr="009F5860" w:rsidRDefault="003C7067" w:rsidP="009F0A44">
      <w:pPr>
        <w:jc w:val="right"/>
        <w:rPr>
          <w:rFonts w:ascii="Arial" w:hAnsi="Arial" w:cs="Arial"/>
          <w:b/>
          <w:sz w:val="16"/>
          <w:szCs w:val="16"/>
          <w:lang w:val="es-ES" w:eastAsia="es-ES"/>
        </w:rPr>
      </w:pPr>
      <w:r w:rsidRPr="009F5860">
        <w:rPr>
          <w:rFonts w:ascii="Arial" w:hAnsi="Arial" w:cs="Arial"/>
          <w:b/>
          <w:sz w:val="16"/>
          <w:szCs w:val="16"/>
          <w:lang w:val="es-ES" w:eastAsia="es-ES"/>
        </w:rPr>
        <w:t>CCE-DES-FM-17</w:t>
      </w:r>
    </w:p>
    <w:p w14:paraId="271901EF" w14:textId="77777777" w:rsidR="00E073F4" w:rsidRPr="00FC76EE" w:rsidRDefault="00E073F4" w:rsidP="009F0A44">
      <w:pPr>
        <w:rPr>
          <w:rFonts w:ascii="Arial" w:hAnsi="Arial" w:cs="Arial"/>
          <w:b/>
          <w:lang w:val="es-ES" w:eastAsia="es-ES"/>
        </w:rPr>
      </w:pPr>
    </w:p>
    <w:p w14:paraId="3DAE820A" w14:textId="458C50F5" w:rsidR="000E6606" w:rsidRPr="0083524B" w:rsidRDefault="000E6606" w:rsidP="000E6606">
      <w:pPr>
        <w:jc w:val="both"/>
        <w:rPr>
          <w:rFonts w:ascii="Arial" w:eastAsia="Calibri" w:hAnsi="Arial" w:cs="Arial"/>
          <w:b/>
          <w:sz w:val="20"/>
          <w:szCs w:val="20"/>
          <w:lang w:val="es-ES_tradnl"/>
        </w:rPr>
      </w:pPr>
      <w:r w:rsidRPr="0083524B">
        <w:rPr>
          <w:rFonts w:ascii="Arial" w:eastAsia="Calibri" w:hAnsi="Arial" w:cs="Arial"/>
          <w:b/>
          <w:sz w:val="20"/>
          <w:szCs w:val="20"/>
          <w:lang w:val="es-ES_tradnl"/>
        </w:rPr>
        <w:t xml:space="preserve">CONTRATO DE PRESTACIÓN DE SERVICIOS </w:t>
      </w:r>
      <w:r w:rsidRPr="0083524B">
        <w:rPr>
          <w:rFonts w:ascii="Arial" w:eastAsia="Calibri" w:hAnsi="Arial" w:cs="Arial"/>
          <w:b/>
          <w:color w:val="000000" w:themeColor="text1"/>
          <w:sz w:val="20"/>
          <w:szCs w:val="20"/>
          <w:lang w:val="es-ES_tradnl"/>
        </w:rPr>
        <w:t>–</w:t>
      </w:r>
      <w:r w:rsidRPr="0083524B">
        <w:rPr>
          <w:rFonts w:ascii="Arial" w:eastAsia="Calibri" w:hAnsi="Arial" w:cs="Arial"/>
          <w:b/>
          <w:sz w:val="20"/>
          <w:szCs w:val="20"/>
          <w:lang w:val="es-ES_tradnl"/>
        </w:rPr>
        <w:t xml:space="preserve"> Concepto –</w:t>
      </w:r>
      <w:r w:rsidRPr="0083524B">
        <w:rPr>
          <w:rFonts w:ascii="Arial" w:eastAsia="Calibri" w:hAnsi="Arial" w:cs="Arial"/>
          <w:b/>
          <w:color w:val="000000" w:themeColor="text1"/>
          <w:sz w:val="20"/>
          <w:szCs w:val="20"/>
          <w:lang w:val="es-ES_tradnl"/>
        </w:rPr>
        <w:t xml:space="preserve"> Objeto</w:t>
      </w:r>
    </w:p>
    <w:p w14:paraId="7112763E" w14:textId="4D32D120" w:rsidR="00385A96" w:rsidRPr="0083524B" w:rsidRDefault="00385A96" w:rsidP="003C7067">
      <w:pPr>
        <w:tabs>
          <w:tab w:val="left" w:pos="0"/>
        </w:tabs>
        <w:spacing w:line="276" w:lineRule="auto"/>
        <w:jc w:val="both"/>
        <w:rPr>
          <w:rFonts w:ascii="Arial" w:hAnsi="Arial" w:cs="Arial"/>
          <w:b/>
          <w:sz w:val="20"/>
          <w:szCs w:val="20"/>
          <w:lang w:val="es-ES" w:eastAsia="es-ES"/>
        </w:rPr>
      </w:pPr>
    </w:p>
    <w:p w14:paraId="3DA32EDF" w14:textId="2DE594BE" w:rsidR="000E6606" w:rsidRPr="0083524B" w:rsidRDefault="000E6606" w:rsidP="000E6606">
      <w:pPr>
        <w:jc w:val="both"/>
        <w:rPr>
          <w:rFonts w:ascii="Arial" w:hAnsi="Arial" w:cs="Arial"/>
          <w:color w:val="000000" w:themeColor="text1"/>
          <w:sz w:val="20"/>
          <w:szCs w:val="20"/>
          <w:lang w:val="es-ES_tradnl"/>
        </w:rPr>
      </w:pPr>
      <w:r w:rsidRPr="0083524B">
        <w:rPr>
          <w:rFonts w:ascii="Arial" w:hAnsi="Arial" w:cs="Arial"/>
          <w:color w:val="000000" w:themeColor="text1"/>
          <w:sz w:val="20"/>
          <w:szCs w:val="20"/>
          <w:lang w:val="es-ES_tradnl"/>
        </w:rPr>
        <w:t>El contrato de prestación de servicios profesionales es uno de los tipos contractuales consagrados en el Estatuto General de Contratación de la Administración Pública, que pueden celebrar las entidades estatales. Se trata de un contrato típico, ya que se encuentra definido en la ley.</w:t>
      </w:r>
      <w:r w:rsidRPr="0083524B">
        <w:rPr>
          <w:rFonts w:ascii="Arial" w:hAnsi="Arial" w:cs="Arial"/>
          <w:b/>
          <w:sz w:val="20"/>
          <w:szCs w:val="20"/>
          <w:lang w:val="es-ES" w:eastAsia="es-ES"/>
        </w:rPr>
        <w:t xml:space="preserve"> </w:t>
      </w:r>
      <w:r w:rsidRPr="0083524B">
        <w:rPr>
          <w:rFonts w:ascii="Arial" w:hAnsi="Arial" w:cs="Arial"/>
          <w:color w:val="000000" w:themeColor="text1"/>
          <w:sz w:val="20"/>
          <w:szCs w:val="20"/>
          <w:lang w:val="es-ES_tradnl"/>
        </w:rPr>
        <w:t xml:space="preserve">Concretamente, el artículo 32, numeral 3º, de la Ley 80 de 1993, establece: </w:t>
      </w:r>
      <w:r w:rsidRPr="0083524B">
        <w:rPr>
          <w:rFonts w:ascii="Arial" w:eastAsia="Calibri" w:hAnsi="Arial" w:cs="Arial"/>
          <w:color w:val="000000" w:themeColor="text1"/>
          <w:sz w:val="20"/>
          <w:szCs w:val="20"/>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r w:rsidRPr="0083524B">
        <w:rPr>
          <w:rFonts w:ascii="Arial" w:hAnsi="Arial" w:cs="Arial"/>
          <w:color w:val="000000" w:themeColor="text1"/>
          <w:sz w:val="20"/>
          <w:szCs w:val="20"/>
          <w:lang w:val="es-ES_tradnl"/>
        </w:rPr>
        <w:t xml:space="preserve"> </w:t>
      </w:r>
      <w:r w:rsidRPr="0083524B">
        <w:rPr>
          <w:rFonts w:ascii="Arial" w:eastAsia="Calibri" w:hAnsi="Arial" w:cs="Arial"/>
          <w:color w:val="000000" w:themeColor="text1"/>
          <w:sz w:val="20"/>
          <w:szCs w:val="20"/>
          <w:lang w:val="es-ES_tradnl"/>
        </w:rPr>
        <w:t>En ningún caso estos contratos generan relación laboral ni prestaciones sociales y se celebrarán por el término estrictamente indispensable.»</w:t>
      </w:r>
    </w:p>
    <w:p w14:paraId="3FCD49AE" w14:textId="07F89C94" w:rsidR="000E6606" w:rsidRPr="0083524B" w:rsidRDefault="000E6606" w:rsidP="003C7067">
      <w:pPr>
        <w:tabs>
          <w:tab w:val="left" w:pos="0"/>
        </w:tabs>
        <w:spacing w:line="276" w:lineRule="auto"/>
        <w:jc w:val="both"/>
        <w:rPr>
          <w:rFonts w:ascii="Arial" w:hAnsi="Arial" w:cs="Arial"/>
          <w:b/>
          <w:sz w:val="20"/>
          <w:szCs w:val="20"/>
          <w:lang w:val="es-ES" w:eastAsia="es-ES"/>
        </w:rPr>
      </w:pPr>
    </w:p>
    <w:p w14:paraId="5B5D8673" w14:textId="1063B718" w:rsidR="000E6606" w:rsidRPr="0083524B" w:rsidRDefault="00975452" w:rsidP="003C7067">
      <w:pPr>
        <w:tabs>
          <w:tab w:val="left" w:pos="0"/>
        </w:tabs>
        <w:spacing w:line="276" w:lineRule="auto"/>
        <w:jc w:val="both"/>
        <w:rPr>
          <w:rFonts w:ascii="Arial" w:hAnsi="Arial" w:cs="Arial"/>
          <w:b/>
          <w:sz w:val="20"/>
          <w:szCs w:val="20"/>
          <w:lang w:val="es-ES" w:eastAsia="es-ES"/>
        </w:rPr>
      </w:pPr>
      <w:r w:rsidRPr="0083524B">
        <w:rPr>
          <w:rFonts w:ascii="Arial" w:eastAsia="Calibri" w:hAnsi="Arial" w:cs="Arial"/>
          <w:b/>
          <w:sz w:val="20"/>
          <w:szCs w:val="20"/>
          <w:lang w:val="es-ES_tradnl"/>
        </w:rPr>
        <w:t xml:space="preserve">CONTRATO DE PRESTACIÓN DE SERVICIOS </w:t>
      </w:r>
      <w:r>
        <w:rPr>
          <w:rFonts w:ascii="Arial" w:eastAsia="Calibri" w:hAnsi="Arial" w:cs="Arial"/>
          <w:b/>
          <w:sz w:val="20"/>
          <w:szCs w:val="20"/>
          <w:lang w:val="es-ES_tradnl"/>
        </w:rPr>
        <w:t xml:space="preserve">- </w:t>
      </w:r>
      <w:r w:rsidRPr="0083524B">
        <w:rPr>
          <w:rFonts w:ascii="Arial" w:hAnsi="Arial" w:cs="Arial"/>
          <w:b/>
          <w:sz w:val="20"/>
          <w:szCs w:val="20"/>
          <w:lang w:val="es-ES" w:eastAsia="es-ES"/>
        </w:rPr>
        <w:t>impedimentos o inhabilidades</w:t>
      </w:r>
    </w:p>
    <w:p w14:paraId="30B4341B" w14:textId="19C9C6C3" w:rsidR="00FC76EE" w:rsidRPr="0083524B" w:rsidRDefault="00FC76EE" w:rsidP="003C7067">
      <w:pPr>
        <w:tabs>
          <w:tab w:val="left" w:pos="0"/>
        </w:tabs>
        <w:spacing w:line="276" w:lineRule="auto"/>
        <w:jc w:val="both"/>
        <w:rPr>
          <w:rFonts w:ascii="Arial" w:hAnsi="Arial" w:cs="Arial"/>
          <w:b/>
          <w:sz w:val="20"/>
          <w:szCs w:val="20"/>
          <w:lang w:val="es-ES" w:eastAsia="es-ES"/>
        </w:rPr>
      </w:pPr>
    </w:p>
    <w:p w14:paraId="5916C0A5" w14:textId="77777777" w:rsidR="00FA6BCA" w:rsidRPr="00FA6BCA" w:rsidRDefault="00FA6BCA" w:rsidP="00FA6BCA">
      <w:pPr>
        <w:tabs>
          <w:tab w:val="left" w:pos="0"/>
        </w:tabs>
        <w:jc w:val="both"/>
        <w:rPr>
          <w:rFonts w:ascii="Arial" w:eastAsia="Calibri" w:hAnsi="Arial" w:cs="Arial"/>
          <w:color w:val="000000" w:themeColor="text1"/>
          <w:sz w:val="20"/>
          <w:szCs w:val="20"/>
          <w:lang w:val="es-ES_tradnl"/>
        </w:rPr>
      </w:pPr>
      <w:r w:rsidRPr="00FA6BCA">
        <w:rPr>
          <w:rFonts w:ascii="Arial" w:eastAsia="Calibri" w:hAnsi="Arial" w:cs="Arial"/>
          <w:color w:val="000000" w:themeColor="text1"/>
          <w:sz w:val="20"/>
          <w:szCs w:val="20"/>
          <w:lang w:val="es-ES_tradnl"/>
        </w:rPr>
        <w:t>Tratándose de contratistas de entidades públicas, la Agencia –a través de los Conceptos C-047 del 18 de enero de 2020, C-090 del 24 de febrero de 2020 y C-106 del 7 de abril de 2021– explica que no existe prohibición para celebrar varios contratos de prestación de servicios con las autoridades del Estado. Por tanto, si el contratista no está en causal de inhabilidad o incompatibilidad con las entidades públicas en las condiciones explicadas, mucho menos vulnera estas restricciones cuando suscribe contratos de prestación de servicios con particulares.</w:t>
      </w:r>
    </w:p>
    <w:p w14:paraId="77F94658" w14:textId="77777777" w:rsidR="00FA6BCA" w:rsidRDefault="00FA6BCA" w:rsidP="00FA6BCA">
      <w:pPr>
        <w:tabs>
          <w:tab w:val="left" w:pos="0"/>
        </w:tabs>
        <w:jc w:val="both"/>
        <w:rPr>
          <w:rFonts w:ascii="Arial" w:eastAsia="Calibri" w:hAnsi="Arial" w:cs="Arial"/>
          <w:color w:val="000000" w:themeColor="text1"/>
          <w:sz w:val="20"/>
          <w:szCs w:val="20"/>
          <w:lang w:val="es-ES_tradnl"/>
        </w:rPr>
      </w:pPr>
    </w:p>
    <w:p w14:paraId="58E97233" w14:textId="3355A720" w:rsidR="00FA6BCA" w:rsidRPr="00FA6BCA" w:rsidRDefault="00FA6BCA" w:rsidP="00FA6BCA">
      <w:pPr>
        <w:tabs>
          <w:tab w:val="left" w:pos="0"/>
        </w:tabs>
        <w:jc w:val="both"/>
        <w:rPr>
          <w:rFonts w:ascii="Arial" w:eastAsia="Calibri" w:hAnsi="Arial" w:cs="Arial"/>
          <w:color w:val="000000" w:themeColor="text1"/>
          <w:sz w:val="20"/>
          <w:szCs w:val="20"/>
          <w:lang w:val="es-ES_tradnl"/>
        </w:rPr>
      </w:pPr>
      <w:r w:rsidRPr="00FA6BCA">
        <w:rPr>
          <w:rFonts w:ascii="Arial" w:eastAsia="Calibri" w:hAnsi="Arial" w:cs="Arial"/>
          <w:color w:val="000000" w:themeColor="text1"/>
          <w:sz w:val="20"/>
          <w:szCs w:val="20"/>
          <w:lang w:val="es-ES_tradnl"/>
        </w:rPr>
        <w:t>En estos casos es necesario tener en cuenta lo siguiente. En primer lugar, el contrato de prestación de servicios con la entidad estatal puede contener –como elemento accidental– una cláusula de exclusividad. En virtud de este acuerdo, una de las partes de un contrato se obliga respecto a la otra a realizar, de manera exclusiva, las prestaciones objeto de este. En este sentido, si por ejemplo en un contrato de prestación de servicios se pacta una cláusula de exclusividad a favor de la entidad, el contratista se estaría obligando –so pena de incumplimiento– a no celebrar contratos de la misma naturaleza con otras personas de derecho público o privado.</w:t>
      </w:r>
    </w:p>
    <w:p w14:paraId="4DA3BE24" w14:textId="77777777" w:rsidR="00FA6BCA" w:rsidRDefault="00FA6BCA" w:rsidP="00FA6BCA">
      <w:pPr>
        <w:tabs>
          <w:tab w:val="left" w:pos="0"/>
        </w:tabs>
        <w:jc w:val="both"/>
        <w:rPr>
          <w:rFonts w:ascii="Arial" w:eastAsia="Calibri" w:hAnsi="Arial" w:cs="Arial"/>
          <w:color w:val="000000" w:themeColor="text1"/>
          <w:sz w:val="20"/>
          <w:szCs w:val="20"/>
          <w:lang w:val="es-ES_tradnl"/>
        </w:rPr>
      </w:pPr>
    </w:p>
    <w:p w14:paraId="6CDAE6C0" w14:textId="4383DF02" w:rsidR="00FC76EE" w:rsidRPr="00FA6BCA" w:rsidRDefault="00FA6BCA" w:rsidP="00FA6BCA">
      <w:pPr>
        <w:tabs>
          <w:tab w:val="left" w:pos="0"/>
        </w:tabs>
        <w:jc w:val="both"/>
        <w:rPr>
          <w:rFonts w:ascii="Arial" w:eastAsia="Calibri" w:hAnsi="Arial" w:cs="Arial"/>
          <w:color w:val="000000" w:themeColor="text1"/>
          <w:sz w:val="20"/>
          <w:szCs w:val="20"/>
          <w:lang w:val="es-ES_tradnl"/>
        </w:rPr>
      </w:pPr>
      <w:r w:rsidRPr="00FA6BCA">
        <w:rPr>
          <w:rFonts w:ascii="Arial" w:eastAsia="Calibri" w:hAnsi="Arial" w:cs="Arial"/>
          <w:color w:val="000000" w:themeColor="text1"/>
          <w:sz w:val="20"/>
          <w:szCs w:val="20"/>
          <w:lang w:val="es-ES_tradnl"/>
        </w:rPr>
        <w:t>Por otra parte, aunque el contrato suscrito con la entidad contenga o no la cláusula mencionada en el párrafo anterior, es necesario considerar que –de acuerdo a las remisiones de los artículos 13, 32 y 40 de la Ley 80 de 1993– el artículo 1603 del Código Civil dispone que «Los contratos deben ejecutarse de buena fe, y por consiguiente obligan no solo a lo que en ellos se expresa, sino a todas las cosas que emanan precisamente de la naturaleza de la obligación, o que por ley pertenecen a ella». Dado que la buena fe supone evitar conflictos de interés que perjudiquen a la entidad contratante, la violación de este principio también implica un incumplimiento contractual</w:t>
      </w:r>
      <w:r>
        <w:rPr>
          <w:rFonts w:ascii="Arial" w:eastAsia="Calibri" w:hAnsi="Arial" w:cs="Arial"/>
          <w:color w:val="000000" w:themeColor="text1"/>
          <w:sz w:val="20"/>
          <w:szCs w:val="20"/>
          <w:lang w:val="es-ES_tradnl"/>
        </w:rPr>
        <w:t>.</w:t>
      </w:r>
    </w:p>
    <w:p w14:paraId="02286505" w14:textId="77777777" w:rsidR="00FC76EE" w:rsidRPr="0083524B" w:rsidRDefault="00FC76EE" w:rsidP="003C7067">
      <w:pPr>
        <w:tabs>
          <w:tab w:val="left" w:pos="0"/>
        </w:tabs>
        <w:spacing w:line="276" w:lineRule="auto"/>
        <w:jc w:val="both"/>
        <w:rPr>
          <w:rFonts w:ascii="Arial" w:hAnsi="Arial" w:cs="Arial"/>
          <w:b/>
          <w:sz w:val="20"/>
          <w:szCs w:val="20"/>
          <w:lang w:val="es-ES" w:eastAsia="es-ES"/>
        </w:rPr>
      </w:pPr>
    </w:p>
    <w:p w14:paraId="5748CA18" w14:textId="636233D4" w:rsidR="00996366" w:rsidRPr="00EF19AD" w:rsidRDefault="00996366" w:rsidP="003C7067">
      <w:pPr>
        <w:tabs>
          <w:tab w:val="left" w:pos="0"/>
        </w:tabs>
        <w:spacing w:line="276" w:lineRule="auto"/>
        <w:jc w:val="both"/>
        <w:rPr>
          <w:rFonts w:ascii="Arial" w:hAnsi="Arial" w:cs="Arial"/>
          <w:b/>
          <w:sz w:val="22"/>
          <w:szCs w:val="22"/>
          <w:lang w:val="es-ES" w:eastAsia="es-ES"/>
        </w:rPr>
      </w:pPr>
      <w:r w:rsidRPr="00EF19AD">
        <w:rPr>
          <w:rFonts w:ascii="Arial" w:hAnsi="Arial" w:cs="Arial"/>
          <w:b/>
          <w:sz w:val="22"/>
          <w:szCs w:val="22"/>
          <w:lang w:val="es-ES" w:eastAsia="es-ES"/>
        </w:rPr>
        <w:t xml:space="preserve">CONTRATOS DE PRESTACIÓN – </w:t>
      </w:r>
      <w:r w:rsidR="00EF19AD" w:rsidRPr="00EF19AD">
        <w:rPr>
          <w:rFonts w:ascii="Arial" w:hAnsi="Arial" w:cs="Arial"/>
          <w:b/>
          <w:sz w:val="22"/>
          <w:szCs w:val="22"/>
          <w:lang w:val="es-ES" w:eastAsia="es-ES"/>
        </w:rPr>
        <w:t xml:space="preserve">Prohibición de doble asignación presupuestal </w:t>
      </w:r>
    </w:p>
    <w:p w14:paraId="496B3BE2" w14:textId="47913EEE" w:rsidR="00EF19AD" w:rsidRPr="00EF19AD" w:rsidRDefault="00EF19AD" w:rsidP="00EF19AD">
      <w:pPr>
        <w:tabs>
          <w:tab w:val="left" w:pos="0"/>
        </w:tabs>
        <w:jc w:val="both"/>
        <w:rPr>
          <w:rFonts w:ascii="Arial" w:hAnsi="Arial" w:cs="Arial"/>
          <w:b/>
          <w:sz w:val="20"/>
          <w:szCs w:val="20"/>
          <w:lang w:val="es-ES" w:eastAsia="es-ES"/>
        </w:rPr>
      </w:pPr>
    </w:p>
    <w:p w14:paraId="2A2815FE" w14:textId="06DA6030" w:rsidR="00EF19AD" w:rsidRPr="00EF19AD" w:rsidRDefault="00EF19AD" w:rsidP="00EF19AD">
      <w:pPr>
        <w:tabs>
          <w:tab w:val="left" w:pos="0"/>
        </w:tabs>
        <w:jc w:val="both"/>
        <w:rPr>
          <w:rFonts w:ascii="Arial" w:hAnsi="Arial" w:cs="Arial"/>
          <w:b/>
          <w:sz w:val="20"/>
          <w:szCs w:val="20"/>
          <w:lang w:val="es-ES" w:eastAsia="es-ES"/>
        </w:rPr>
      </w:pPr>
      <w:r w:rsidRPr="00EF19AD">
        <w:rPr>
          <w:rFonts w:ascii="Arial" w:hAnsi="Arial" w:cs="Arial"/>
          <w:bCs/>
          <w:sz w:val="20"/>
          <w:szCs w:val="20"/>
          <w:lang w:val="es-ES" w:eastAsia="es-ES"/>
        </w:rPr>
        <w:t>[…]</w:t>
      </w:r>
      <w:r w:rsidRPr="00EF19AD">
        <w:rPr>
          <w:rFonts w:ascii="Arial" w:hAnsi="Arial" w:cs="Arial"/>
          <w:bCs/>
          <w:color w:val="000000" w:themeColor="text1"/>
          <w:sz w:val="20"/>
          <w:szCs w:val="20"/>
          <w:lang w:val="es-ES_tradnl"/>
        </w:rPr>
        <w:t xml:space="preserve"> no</w:t>
      </w:r>
      <w:r w:rsidRPr="00EF19AD">
        <w:rPr>
          <w:rFonts w:ascii="Arial" w:hAnsi="Arial" w:cs="Arial"/>
          <w:color w:val="000000" w:themeColor="text1"/>
          <w:sz w:val="20"/>
          <w:szCs w:val="20"/>
          <w:lang w:val="es-ES_tradnl"/>
        </w:rPr>
        <w:t xml:space="preserve"> se advierte una disposición que limite el numero de contratos de prestación de servicios que puede suscribir o ejecutar una persona de manera simultánea. No obstante, se debe advertir que, en el ordenamiento jurídico colombiano, </w:t>
      </w:r>
      <w:r w:rsidRPr="00EF19AD">
        <w:rPr>
          <w:rFonts w:ascii="Arial" w:hAnsi="Arial" w:cs="Arial"/>
          <w:color w:val="000000" w:themeColor="text1"/>
          <w:sz w:val="20"/>
          <w:szCs w:val="20"/>
        </w:rPr>
        <w:t>históricamente se ha prohibido que una misma persona reciba doble salario proveniente del tesoro público,  tal como en su momento lo señalaron el artículo 1 de la Ley 78 de 1931 y el 23 del Acto Legislativo No. 1 de 1936, donde se prohibió la acumulación de cargos remunerados en un solo funcionario oficial y se reiteró la prohibición de que una misma persona devengara simultáneamente dos o más asignaciones de la nación, los departamentos y los municipios.</w:t>
      </w:r>
    </w:p>
    <w:p w14:paraId="24E974C4" w14:textId="77777777" w:rsidR="00EF19AD" w:rsidRPr="00EF19AD" w:rsidRDefault="00EF19AD" w:rsidP="003C7067">
      <w:pPr>
        <w:tabs>
          <w:tab w:val="left" w:pos="0"/>
        </w:tabs>
        <w:spacing w:line="276" w:lineRule="auto"/>
        <w:jc w:val="both"/>
        <w:rPr>
          <w:rFonts w:ascii="Arial" w:hAnsi="Arial" w:cs="Arial"/>
          <w:b/>
          <w:sz w:val="22"/>
          <w:szCs w:val="22"/>
          <w:lang w:val="es-ES" w:eastAsia="es-ES"/>
        </w:rPr>
      </w:pPr>
    </w:p>
    <w:p w14:paraId="683EDF3B" w14:textId="5A389888" w:rsidR="00EF19AD" w:rsidRDefault="00EF19AD" w:rsidP="003C7067">
      <w:pPr>
        <w:tabs>
          <w:tab w:val="left" w:pos="0"/>
        </w:tabs>
        <w:spacing w:line="276" w:lineRule="auto"/>
        <w:jc w:val="both"/>
        <w:rPr>
          <w:rFonts w:ascii="Arial" w:eastAsia="Calibri" w:hAnsi="Arial" w:cs="Arial"/>
          <w:b/>
          <w:sz w:val="22"/>
          <w:szCs w:val="22"/>
          <w:lang w:val="es-ES"/>
        </w:rPr>
      </w:pPr>
      <w:r w:rsidRPr="00EF19AD">
        <w:rPr>
          <w:rFonts w:ascii="Arial" w:hAnsi="Arial" w:cs="Arial"/>
          <w:b/>
          <w:sz w:val="22"/>
          <w:szCs w:val="22"/>
          <w:lang w:val="es-ES" w:eastAsia="es-ES"/>
        </w:rPr>
        <w:t>CONTRATOS DE PRESTACIÓN DE SERVICIOS – Simultáneos</w:t>
      </w:r>
    </w:p>
    <w:p w14:paraId="4840774B" w14:textId="6C2D4293" w:rsidR="00EF19AD" w:rsidRPr="00EF19AD" w:rsidRDefault="00EF19AD" w:rsidP="00EF19AD">
      <w:pPr>
        <w:tabs>
          <w:tab w:val="left" w:pos="0"/>
        </w:tabs>
        <w:jc w:val="both"/>
        <w:rPr>
          <w:rFonts w:ascii="Arial" w:eastAsia="Calibri" w:hAnsi="Arial" w:cs="Arial"/>
          <w:bCs/>
          <w:sz w:val="20"/>
          <w:szCs w:val="20"/>
          <w:lang w:val="es-ES"/>
        </w:rPr>
      </w:pPr>
    </w:p>
    <w:p w14:paraId="51407BAC" w14:textId="77777777" w:rsidR="00EF19AD" w:rsidRPr="00EF19AD" w:rsidRDefault="00EF19AD" w:rsidP="00EF19AD">
      <w:pPr>
        <w:pStyle w:val="Textoindependiente"/>
        <w:spacing w:after="120"/>
        <w:jc w:val="both"/>
        <w:rPr>
          <w:rFonts w:eastAsia="Calibri"/>
          <w:bCs/>
        </w:rPr>
      </w:pPr>
      <w:r w:rsidRPr="00EF19AD">
        <w:rPr>
          <w:rFonts w:eastAsia="Calibri"/>
          <w:bCs/>
        </w:rPr>
        <w:t xml:space="preserve">[…] </w:t>
      </w:r>
      <w:r w:rsidRPr="00EF19AD">
        <w:rPr>
          <w:bCs/>
          <w:color w:val="000000" w:themeColor="text1"/>
        </w:rPr>
        <w:t xml:space="preserve">los contratistas de prestación de servicios se encuentran por fuera del ámbito de aplicación el artículo 128 de la Constitución, al no ser titulares de un empleo público, lo que supone que es perfectamente válido que una persona suscriba varios contratos de prestación de servicios con el Estado, no existiendo una disposición que así lo prohíba.  </w:t>
      </w:r>
      <w:r w:rsidRPr="00EF19AD">
        <w:rPr>
          <w:rFonts w:eastAsia="Calibri"/>
          <w:bCs/>
        </w:rPr>
        <w:t>Esto por supuesto dependerá de que, el contratista no se encuentre incurso en alguna otra causal de inhabilidad o incompatibilidad con las entidades públicas, en las condiciones explicadas.</w:t>
      </w:r>
    </w:p>
    <w:p w14:paraId="31D56128" w14:textId="77777777" w:rsidR="00EF19AD" w:rsidRPr="00EF19AD" w:rsidRDefault="00EF19AD" w:rsidP="00EF19AD">
      <w:pPr>
        <w:spacing w:after="120"/>
        <w:jc w:val="both"/>
        <w:rPr>
          <w:rFonts w:ascii="Arial" w:eastAsia="Calibri" w:hAnsi="Arial" w:cs="Arial"/>
          <w:bCs/>
          <w:sz w:val="20"/>
          <w:szCs w:val="20"/>
        </w:rPr>
      </w:pPr>
      <w:r w:rsidRPr="00EF19AD">
        <w:rPr>
          <w:rFonts w:ascii="Arial" w:eastAsia="Calibri" w:hAnsi="Arial" w:cs="Arial"/>
          <w:bCs/>
          <w:sz w:val="20"/>
          <w:szCs w:val="20"/>
        </w:rPr>
        <w:t>Sin perjuicio de lo anterior, en eventos como que es materia de consulta, es necesario tener en cuenta, dos aspectos adicionales. Por un lado, en el marco de un contrato de prestación de servicios con una entidad estatal podría pactarse una cláusula de exclusividad. Si bien este compromiso vendría a ser un elemento accidental del contrato, en virtud de este acuerdo, una de las partes de un contrato se obliga respecto a la otra a realizar, de manera exclusiva, las prestaciones objeto de este.  En este sentido, si, por ejemplo, en un contrato de prestación de servicios se pacta una cláusula de exclusividad a favor de la entidad contratante, el contratista se estaría obligando, so pena de incumplimiento, a no celebrar contratos de la misma naturaleza con otras personas de derecho público o privado, dependiendo del alcance la cláusula.</w:t>
      </w:r>
    </w:p>
    <w:p w14:paraId="1F5FE270" w14:textId="61FD160B" w:rsidR="00EF19AD" w:rsidRPr="00EF19AD" w:rsidRDefault="00EF19AD" w:rsidP="003C7067">
      <w:pPr>
        <w:tabs>
          <w:tab w:val="left" w:pos="0"/>
        </w:tabs>
        <w:spacing w:line="276" w:lineRule="auto"/>
        <w:jc w:val="both"/>
        <w:rPr>
          <w:rFonts w:ascii="Arial" w:eastAsia="Calibri" w:hAnsi="Arial" w:cs="Arial"/>
          <w:b/>
          <w:sz w:val="22"/>
          <w:szCs w:val="22"/>
          <w:lang w:val="es-ES"/>
        </w:rPr>
      </w:pPr>
    </w:p>
    <w:p w14:paraId="397D8562" w14:textId="1F72C829" w:rsidR="00385A96" w:rsidRPr="0083524B" w:rsidRDefault="00385A96" w:rsidP="003C7067">
      <w:pPr>
        <w:tabs>
          <w:tab w:val="left" w:pos="0"/>
        </w:tabs>
        <w:spacing w:line="276" w:lineRule="auto"/>
        <w:jc w:val="both"/>
        <w:rPr>
          <w:rFonts w:ascii="Arial" w:eastAsia="Calibri" w:hAnsi="Arial" w:cs="Arial"/>
          <w:b/>
          <w:sz w:val="20"/>
          <w:szCs w:val="20"/>
          <w:lang w:val="es-ES"/>
        </w:rPr>
      </w:pPr>
    </w:p>
    <w:p w14:paraId="11759248" w14:textId="66798F46" w:rsidR="00385A96" w:rsidRPr="0083524B" w:rsidRDefault="00385A96" w:rsidP="003C7067">
      <w:pPr>
        <w:tabs>
          <w:tab w:val="left" w:pos="0"/>
        </w:tabs>
        <w:spacing w:line="276" w:lineRule="auto"/>
        <w:jc w:val="both"/>
        <w:rPr>
          <w:rFonts w:ascii="Arial" w:eastAsia="Calibri" w:hAnsi="Arial" w:cs="Arial"/>
          <w:b/>
          <w:sz w:val="20"/>
          <w:szCs w:val="20"/>
          <w:lang w:val="es-ES"/>
        </w:rPr>
      </w:pPr>
    </w:p>
    <w:p w14:paraId="607A5655" w14:textId="504ED5EB" w:rsidR="00385A96" w:rsidRPr="0083524B" w:rsidRDefault="00385A96" w:rsidP="003C7067">
      <w:pPr>
        <w:tabs>
          <w:tab w:val="left" w:pos="0"/>
        </w:tabs>
        <w:spacing w:line="276" w:lineRule="auto"/>
        <w:jc w:val="both"/>
        <w:rPr>
          <w:rFonts w:ascii="Arial" w:eastAsia="Calibri" w:hAnsi="Arial" w:cs="Arial"/>
          <w:b/>
          <w:sz w:val="20"/>
          <w:szCs w:val="20"/>
          <w:lang w:val="es-ES"/>
        </w:rPr>
      </w:pPr>
    </w:p>
    <w:p w14:paraId="7B716671" w14:textId="48740798" w:rsidR="00385A96" w:rsidRDefault="00385A96" w:rsidP="003C7067">
      <w:pPr>
        <w:tabs>
          <w:tab w:val="left" w:pos="0"/>
        </w:tabs>
        <w:spacing w:line="276" w:lineRule="auto"/>
        <w:jc w:val="both"/>
        <w:rPr>
          <w:rFonts w:ascii="Arial" w:eastAsia="Calibri" w:hAnsi="Arial" w:cs="Arial"/>
          <w:b/>
          <w:sz w:val="22"/>
          <w:lang w:val="es-ES"/>
        </w:rPr>
      </w:pPr>
    </w:p>
    <w:p w14:paraId="26542684" w14:textId="055656B2" w:rsidR="00385A96" w:rsidRDefault="00385A96" w:rsidP="003C7067">
      <w:pPr>
        <w:tabs>
          <w:tab w:val="left" w:pos="0"/>
        </w:tabs>
        <w:spacing w:line="276" w:lineRule="auto"/>
        <w:jc w:val="both"/>
        <w:rPr>
          <w:rFonts w:ascii="Arial" w:eastAsia="Calibri" w:hAnsi="Arial" w:cs="Arial"/>
          <w:b/>
          <w:sz w:val="22"/>
          <w:lang w:val="es-ES"/>
        </w:rPr>
      </w:pPr>
    </w:p>
    <w:p w14:paraId="5C489BBE" w14:textId="45438E05" w:rsidR="00385A96" w:rsidRDefault="00385A96" w:rsidP="003C7067">
      <w:pPr>
        <w:tabs>
          <w:tab w:val="left" w:pos="0"/>
        </w:tabs>
        <w:spacing w:line="276" w:lineRule="auto"/>
        <w:jc w:val="both"/>
        <w:rPr>
          <w:rFonts w:ascii="Arial" w:eastAsia="Calibri" w:hAnsi="Arial" w:cs="Arial"/>
          <w:b/>
          <w:sz w:val="22"/>
          <w:lang w:val="es-ES"/>
        </w:rPr>
      </w:pPr>
    </w:p>
    <w:p w14:paraId="4BAC307B" w14:textId="50CEDB3E" w:rsidR="00EF19AD" w:rsidRDefault="00EF19AD" w:rsidP="003C7067">
      <w:pPr>
        <w:tabs>
          <w:tab w:val="left" w:pos="0"/>
        </w:tabs>
        <w:spacing w:line="276" w:lineRule="auto"/>
        <w:jc w:val="both"/>
        <w:rPr>
          <w:rFonts w:ascii="Arial" w:eastAsia="Calibri" w:hAnsi="Arial" w:cs="Arial"/>
          <w:b/>
          <w:sz w:val="22"/>
          <w:lang w:val="es-ES"/>
        </w:rPr>
      </w:pPr>
    </w:p>
    <w:p w14:paraId="2ABDB80C" w14:textId="4B4A7056" w:rsidR="00EF19AD" w:rsidRDefault="00EF19AD" w:rsidP="003C7067">
      <w:pPr>
        <w:tabs>
          <w:tab w:val="left" w:pos="0"/>
        </w:tabs>
        <w:spacing w:line="276" w:lineRule="auto"/>
        <w:jc w:val="both"/>
        <w:rPr>
          <w:rFonts w:ascii="Arial" w:eastAsia="Calibri" w:hAnsi="Arial" w:cs="Arial"/>
          <w:b/>
          <w:sz w:val="22"/>
          <w:lang w:val="es-ES"/>
        </w:rPr>
      </w:pPr>
    </w:p>
    <w:p w14:paraId="01C47421" w14:textId="68A7C424" w:rsidR="00EF19AD" w:rsidRDefault="00EF19AD" w:rsidP="003C7067">
      <w:pPr>
        <w:tabs>
          <w:tab w:val="left" w:pos="0"/>
        </w:tabs>
        <w:spacing w:line="276" w:lineRule="auto"/>
        <w:jc w:val="both"/>
        <w:rPr>
          <w:rFonts w:ascii="Arial" w:eastAsia="Calibri" w:hAnsi="Arial" w:cs="Arial"/>
          <w:b/>
          <w:sz w:val="22"/>
          <w:lang w:val="es-ES"/>
        </w:rPr>
      </w:pPr>
    </w:p>
    <w:p w14:paraId="071C9517" w14:textId="6E904F12" w:rsidR="00EF19AD" w:rsidRDefault="00EF19AD" w:rsidP="003C7067">
      <w:pPr>
        <w:tabs>
          <w:tab w:val="left" w:pos="0"/>
        </w:tabs>
        <w:spacing w:line="276" w:lineRule="auto"/>
        <w:jc w:val="both"/>
        <w:rPr>
          <w:rFonts w:ascii="Arial" w:eastAsia="Calibri" w:hAnsi="Arial" w:cs="Arial"/>
          <w:b/>
          <w:sz w:val="22"/>
          <w:lang w:val="es-ES"/>
        </w:rPr>
      </w:pPr>
    </w:p>
    <w:p w14:paraId="31365CD3" w14:textId="0D93EB17" w:rsidR="00EF19AD" w:rsidRDefault="00EF19AD" w:rsidP="003C7067">
      <w:pPr>
        <w:tabs>
          <w:tab w:val="left" w:pos="0"/>
        </w:tabs>
        <w:spacing w:line="276" w:lineRule="auto"/>
        <w:jc w:val="both"/>
        <w:rPr>
          <w:rFonts w:ascii="Arial" w:eastAsia="Calibri" w:hAnsi="Arial" w:cs="Arial"/>
          <w:b/>
          <w:sz w:val="22"/>
          <w:lang w:val="es-ES"/>
        </w:rPr>
      </w:pPr>
    </w:p>
    <w:p w14:paraId="7EAE7C10" w14:textId="17948280" w:rsidR="00EF19AD" w:rsidRDefault="00EF19AD" w:rsidP="003C7067">
      <w:pPr>
        <w:tabs>
          <w:tab w:val="left" w:pos="0"/>
        </w:tabs>
        <w:spacing w:line="276" w:lineRule="auto"/>
        <w:jc w:val="both"/>
        <w:rPr>
          <w:rFonts w:ascii="Arial" w:eastAsia="Calibri" w:hAnsi="Arial" w:cs="Arial"/>
          <w:b/>
          <w:sz w:val="22"/>
          <w:lang w:val="es-ES"/>
        </w:rPr>
      </w:pPr>
    </w:p>
    <w:p w14:paraId="375F287D" w14:textId="58A121E5" w:rsidR="0087674C" w:rsidRDefault="0087674C" w:rsidP="003C7067">
      <w:pPr>
        <w:tabs>
          <w:tab w:val="left" w:pos="0"/>
        </w:tabs>
        <w:spacing w:line="276" w:lineRule="auto"/>
        <w:jc w:val="both"/>
        <w:rPr>
          <w:rFonts w:ascii="Arial" w:eastAsia="Calibri" w:hAnsi="Arial" w:cs="Arial"/>
          <w:b/>
          <w:sz w:val="22"/>
          <w:lang w:val="es-ES"/>
        </w:rPr>
      </w:pPr>
    </w:p>
    <w:p w14:paraId="389E29E8" w14:textId="26BA6959" w:rsidR="0087674C" w:rsidRDefault="0087674C" w:rsidP="003C7067">
      <w:pPr>
        <w:tabs>
          <w:tab w:val="left" w:pos="0"/>
        </w:tabs>
        <w:spacing w:line="276" w:lineRule="auto"/>
        <w:jc w:val="both"/>
        <w:rPr>
          <w:rFonts w:ascii="Arial" w:eastAsia="Calibri" w:hAnsi="Arial" w:cs="Arial"/>
          <w:b/>
          <w:sz w:val="22"/>
          <w:lang w:val="es-ES"/>
        </w:rPr>
      </w:pPr>
    </w:p>
    <w:p w14:paraId="58683A6C" w14:textId="319618D4" w:rsidR="0087674C" w:rsidRDefault="0087674C" w:rsidP="003C7067">
      <w:pPr>
        <w:tabs>
          <w:tab w:val="left" w:pos="0"/>
        </w:tabs>
        <w:spacing w:line="276" w:lineRule="auto"/>
        <w:jc w:val="both"/>
        <w:rPr>
          <w:rFonts w:ascii="Arial" w:eastAsia="Calibri" w:hAnsi="Arial" w:cs="Arial"/>
          <w:b/>
          <w:sz w:val="22"/>
          <w:lang w:val="es-ES"/>
        </w:rPr>
      </w:pPr>
    </w:p>
    <w:p w14:paraId="66433D74" w14:textId="3C996D13" w:rsidR="0087674C" w:rsidRDefault="0087674C" w:rsidP="003C7067">
      <w:pPr>
        <w:tabs>
          <w:tab w:val="left" w:pos="0"/>
        </w:tabs>
        <w:spacing w:line="276" w:lineRule="auto"/>
        <w:jc w:val="both"/>
        <w:rPr>
          <w:rFonts w:ascii="Arial" w:eastAsia="Calibri" w:hAnsi="Arial" w:cs="Arial"/>
          <w:b/>
          <w:sz w:val="22"/>
          <w:lang w:val="es-ES"/>
        </w:rPr>
      </w:pPr>
    </w:p>
    <w:p w14:paraId="64FA34E3" w14:textId="6DCBD123" w:rsidR="0087674C" w:rsidRDefault="0087674C" w:rsidP="003C7067">
      <w:pPr>
        <w:tabs>
          <w:tab w:val="left" w:pos="0"/>
        </w:tabs>
        <w:spacing w:line="276" w:lineRule="auto"/>
        <w:jc w:val="both"/>
        <w:rPr>
          <w:rFonts w:ascii="Arial" w:eastAsia="Calibri" w:hAnsi="Arial" w:cs="Arial"/>
          <w:b/>
          <w:sz w:val="22"/>
          <w:lang w:val="es-ES"/>
        </w:rPr>
      </w:pPr>
    </w:p>
    <w:p w14:paraId="3F232267" w14:textId="41EB9878" w:rsidR="0087674C" w:rsidRDefault="0087674C" w:rsidP="003C7067">
      <w:pPr>
        <w:tabs>
          <w:tab w:val="left" w:pos="0"/>
        </w:tabs>
        <w:spacing w:line="276" w:lineRule="auto"/>
        <w:jc w:val="both"/>
        <w:rPr>
          <w:rFonts w:ascii="Arial" w:eastAsia="Calibri" w:hAnsi="Arial" w:cs="Arial"/>
          <w:b/>
          <w:sz w:val="22"/>
          <w:lang w:val="es-ES"/>
        </w:rPr>
      </w:pPr>
    </w:p>
    <w:p w14:paraId="0644FF46" w14:textId="77777777" w:rsidR="0087674C" w:rsidRDefault="0087674C" w:rsidP="003C7067">
      <w:pPr>
        <w:tabs>
          <w:tab w:val="left" w:pos="0"/>
        </w:tabs>
        <w:spacing w:line="276" w:lineRule="auto"/>
        <w:jc w:val="both"/>
        <w:rPr>
          <w:rFonts w:ascii="Arial" w:eastAsia="Calibri" w:hAnsi="Arial" w:cs="Arial"/>
          <w:b/>
          <w:sz w:val="22"/>
          <w:lang w:val="es-ES"/>
        </w:rPr>
      </w:pPr>
    </w:p>
    <w:p w14:paraId="72938C93" w14:textId="08EA78E8" w:rsidR="00EF19AD" w:rsidRDefault="00EF19AD" w:rsidP="003C7067">
      <w:pPr>
        <w:tabs>
          <w:tab w:val="left" w:pos="0"/>
        </w:tabs>
        <w:spacing w:line="276" w:lineRule="auto"/>
        <w:jc w:val="both"/>
        <w:rPr>
          <w:rFonts w:ascii="Arial" w:eastAsia="Calibri" w:hAnsi="Arial" w:cs="Arial"/>
          <w:b/>
          <w:sz w:val="22"/>
          <w:lang w:val="es-ES"/>
        </w:rPr>
      </w:pPr>
    </w:p>
    <w:p w14:paraId="262D147B" w14:textId="2A776F01" w:rsidR="00D4411E" w:rsidRDefault="00D4411E" w:rsidP="003C7067">
      <w:pPr>
        <w:tabs>
          <w:tab w:val="left" w:pos="0"/>
        </w:tabs>
        <w:spacing w:line="276" w:lineRule="auto"/>
        <w:jc w:val="both"/>
        <w:rPr>
          <w:rFonts w:ascii="Arial" w:eastAsia="Calibri" w:hAnsi="Arial" w:cs="Arial"/>
          <w:b/>
          <w:sz w:val="22"/>
          <w:lang w:val="es-ES"/>
        </w:rPr>
      </w:pPr>
    </w:p>
    <w:p w14:paraId="42EA354E" w14:textId="2E0BD72A" w:rsidR="00D4411E" w:rsidRDefault="00D4411E" w:rsidP="003C7067">
      <w:pPr>
        <w:tabs>
          <w:tab w:val="left" w:pos="0"/>
        </w:tabs>
        <w:spacing w:line="276" w:lineRule="auto"/>
        <w:jc w:val="both"/>
        <w:rPr>
          <w:rFonts w:ascii="Arial" w:eastAsia="Calibri" w:hAnsi="Arial" w:cs="Arial"/>
          <w:b/>
          <w:sz w:val="22"/>
          <w:lang w:val="es-ES"/>
        </w:rPr>
      </w:pPr>
    </w:p>
    <w:p w14:paraId="174A3A55" w14:textId="77777777" w:rsidR="00D4411E" w:rsidRDefault="00D4411E" w:rsidP="003C7067">
      <w:pPr>
        <w:tabs>
          <w:tab w:val="left" w:pos="0"/>
        </w:tabs>
        <w:spacing w:line="276" w:lineRule="auto"/>
        <w:jc w:val="both"/>
        <w:rPr>
          <w:rFonts w:ascii="Arial" w:eastAsia="Calibri" w:hAnsi="Arial" w:cs="Arial"/>
          <w:b/>
          <w:sz w:val="22"/>
          <w:lang w:val="es-ES"/>
        </w:rPr>
      </w:pPr>
    </w:p>
    <w:p w14:paraId="00FD0FFE" w14:textId="77777777" w:rsidR="00EF19AD" w:rsidRDefault="00EF19AD" w:rsidP="003C7067">
      <w:pPr>
        <w:tabs>
          <w:tab w:val="left" w:pos="0"/>
        </w:tabs>
        <w:spacing w:line="276" w:lineRule="auto"/>
        <w:jc w:val="both"/>
        <w:rPr>
          <w:rFonts w:ascii="Arial" w:eastAsia="Calibri" w:hAnsi="Arial" w:cs="Arial"/>
          <w:b/>
          <w:sz w:val="22"/>
          <w:lang w:val="es-ES"/>
        </w:rPr>
      </w:pPr>
    </w:p>
    <w:p w14:paraId="11A49579" w14:textId="23D8779B" w:rsidR="006D43D6" w:rsidRDefault="006D43D6" w:rsidP="003C7067">
      <w:pPr>
        <w:tabs>
          <w:tab w:val="left" w:pos="0"/>
        </w:tabs>
        <w:spacing w:line="276" w:lineRule="auto"/>
        <w:jc w:val="both"/>
        <w:rPr>
          <w:rFonts w:ascii="Arial" w:eastAsia="Calibri" w:hAnsi="Arial" w:cs="Arial"/>
          <w:b/>
          <w:sz w:val="22"/>
          <w:lang w:val="es-ES"/>
        </w:rPr>
      </w:pPr>
    </w:p>
    <w:p w14:paraId="3BF4F30F" w14:textId="3EFB0B6B" w:rsidR="00D4411E" w:rsidRDefault="00D4411E" w:rsidP="00D4411E">
      <w:pPr>
        <w:jc w:val="right"/>
      </w:pPr>
      <w:r>
        <w:fldChar w:fldCharType="begin"/>
      </w:r>
      <w:r w:rsidR="00784512">
        <w:instrText xml:space="preserve"> INCLUDEPICTURE "C:\\var\\folders\\tb\\0fmk9b510f57pz5rwhv8lnpw0000gp\\T\\com.microsoft.Word\\WebArchiveCopyPasteTempFiles\\page1image2622334912" \* MERGEFORMAT </w:instrText>
      </w:r>
      <w:r>
        <w:fldChar w:fldCharType="separate"/>
      </w:r>
      <w:r>
        <w:rPr>
          <w:noProof/>
        </w:rPr>
        <w:drawing>
          <wp:inline distT="0" distB="0" distL="0" distR="0" wp14:anchorId="5130107A" wp14:editId="21E6999A">
            <wp:extent cx="2397125" cy="605790"/>
            <wp:effectExtent l="0" t="0" r="3175" b="3810"/>
            <wp:docPr id="1" name="Imagen 1" descr="page1image262233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223349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7125" cy="605790"/>
                    </a:xfrm>
                    <a:prstGeom prst="rect">
                      <a:avLst/>
                    </a:prstGeom>
                    <a:noFill/>
                    <a:ln>
                      <a:noFill/>
                    </a:ln>
                  </pic:spPr>
                </pic:pic>
              </a:graphicData>
            </a:graphic>
          </wp:inline>
        </w:drawing>
      </w:r>
      <w:r>
        <w:fldChar w:fldCharType="end"/>
      </w:r>
    </w:p>
    <w:p w14:paraId="4271487B" w14:textId="77777777" w:rsidR="00D4411E" w:rsidRDefault="00D4411E" w:rsidP="003C7067">
      <w:pPr>
        <w:tabs>
          <w:tab w:val="left" w:pos="0"/>
        </w:tabs>
        <w:spacing w:line="276" w:lineRule="auto"/>
        <w:jc w:val="both"/>
        <w:rPr>
          <w:rFonts w:ascii="Arial" w:eastAsia="Calibri" w:hAnsi="Arial" w:cs="Arial"/>
          <w:b/>
          <w:sz w:val="22"/>
          <w:lang w:val="es-ES"/>
        </w:rPr>
      </w:pPr>
    </w:p>
    <w:p w14:paraId="4354A10B" w14:textId="77777777" w:rsidR="006D43D6" w:rsidRDefault="006D43D6" w:rsidP="003C7067">
      <w:pPr>
        <w:tabs>
          <w:tab w:val="left" w:pos="0"/>
        </w:tabs>
        <w:spacing w:line="276" w:lineRule="auto"/>
        <w:jc w:val="both"/>
        <w:rPr>
          <w:rFonts w:ascii="Arial" w:eastAsia="Calibri" w:hAnsi="Arial" w:cs="Arial"/>
          <w:b/>
          <w:sz w:val="22"/>
          <w:lang w:val="es-ES"/>
        </w:rPr>
      </w:pPr>
    </w:p>
    <w:p w14:paraId="2EB81414" w14:textId="4DA8B871" w:rsidR="003C7067" w:rsidRPr="009F5860" w:rsidRDefault="003C7067" w:rsidP="003C7067">
      <w:pPr>
        <w:rPr>
          <w:rFonts w:ascii="Arial" w:eastAsia="Calibri" w:hAnsi="Arial" w:cs="Arial"/>
          <w:sz w:val="22"/>
          <w:szCs w:val="22"/>
          <w:lang w:val="es-ES"/>
        </w:rPr>
      </w:pPr>
      <w:r w:rsidRPr="009F5860">
        <w:rPr>
          <w:rFonts w:ascii="Arial" w:eastAsia="Calibri" w:hAnsi="Arial" w:cs="Arial"/>
          <w:sz w:val="22"/>
          <w:szCs w:val="22"/>
          <w:lang w:val="es-ES"/>
        </w:rPr>
        <w:t>Señor</w:t>
      </w:r>
      <w:r w:rsidR="008443B3">
        <w:rPr>
          <w:rFonts w:ascii="Arial" w:eastAsia="Calibri" w:hAnsi="Arial" w:cs="Arial"/>
          <w:sz w:val="22"/>
          <w:szCs w:val="22"/>
          <w:lang w:val="es-ES"/>
        </w:rPr>
        <w:t>a</w:t>
      </w:r>
    </w:p>
    <w:p w14:paraId="197C6852" w14:textId="033BDF25" w:rsidR="00B036EA" w:rsidRPr="009F5860" w:rsidRDefault="008443B3" w:rsidP="003C7067">
      <w:pPr>
        <w:rPr>
          <w:rFonts w:ascii="Arial" w:eastAsia="Calibri" w:hAnsi="Arial" w:cs="Arial"/>
          <w:b/>
          <w:bCs/>
          <w:sz w:val="22"/>
          <w:szCs w:val="22"/>
          <w:lang w:val="es-ES"/>
        </w:rPr>
      </w:pPr>
      <w:r>
        <w:rPr>
          <w:rFonts w:ascii="Arial" w:eastAsia="Calibri" w:hAnsi="Arial" w:cs="Arial"/>
          <w:b/>
          <w:bCs/>
          <w:sz w:val="22"/>
          <w:szCs w:val="22"/>
          <w:lang w:val="es-ES"/>
        </w:rPr>
        <w:t xml:space="preserve">Ivon Nathalia Corredor </w:t>
      </w:r>
    </w:p>
    <w:p w14:paraId="10837C8F" w14:textId="090DBFA0" w:rsidR="003C7067" w:rsidRPr="00E74412" w:rsidRDefault="008443B3" w:rsidP="003C7067">
      <w:pPr>
        <w:rPr>
          <w:rFonts w:ascii="Arial" w:eastAsia="Calibri" w:hAnsi="Arial" w:cs="Arial"/>
          <w:bCs/>
          <w:sz w:val="22"/>
          <w:szCs w:val="22"/>
          <w:lang w:val="es-ES"/>
        </w:rPr>
      </w:pPr>
      <w:r>
        <w:rPr>
          <w:rFonts w:ascii="Arial" w:eastAsia="Calibri" w:hAnsi="Arial" w:cs="Arial"/>
          <w:bCs/>
          <w:sz w:val="22"/>
          <w:szCs w:val="22"/>
          <w:lang w:val="es-ES"/>
        </w:rPr>
        <w:t>Tunja, Boyacá</w:t>
      </w:r>
    </w:p>
    <w:p w14:paraId="15C6E9E5" w14:textId="77777777" w:rsidR="0004470C" w:rsidRPr="009F5860" w:rsidRDefault="0004470C" w:rsidP="003C7067">
      <w:pPr>
        <w:rPr>
          <w:rFonts w:ascii="Arial" w:eastAsia="Calibri" w:hAnsi="Arial" w:cs="Arial"/>
          <w:b/>
          <w:sz w:val="22"/>
          <w:szCs w:val="22"/>
          <w:lang w:val="es-ES"/>
        </w:rPr>
      </w:pPr>
    </w:p>
    <w:p w14:paraId="1F4E36CB" w14:textId="79C24FB5" w:rsidR="003C7067" w:rsidRPr="009F5860" w:rsidRDefault="003C7067" w:rsidP="003C7067">
      <w:pPr>
        <w:rPr>
          <w:rFonts w:ascii="Arial" w:eastAsia="Calibri" w:hAnsi="Arial" w:cs="Arial"/>
          <w:b/>
          <w:sz w:val="22"/>
          <w:szCs w:val="22"/>
          <w:lang w:val="es-ES"/>
        </w:rPr>
      </w:pPr>
      <w:r w:rsidRPr="009F5860">
        <w:rPr>
          <w:rFonts w:ascii="Arial" w:eastAsia="Calibri" w:hAnsi="Arial" w:cs="Arial"/>
          <w:b/>
          <w:sz w:val="22"/>
          <w:szCs w:val="22"/>
          <w:lang w:val="es-ES"/>
        </w:rPr>
        <w:t xml:space="preserve">                                       Concepto C – </w:t>
      </w:r>
      <w:r w:rsidR="003104CB">
        <w:rPr>
          <w:rFonts w:ascii="Arial" w:eastAsia="Calibri" w:hAnsi="Arial" w:cs="Arial"/>
          <w:b/>
          <w:sz w:val="22"/>
          <w:szCs w:val="22"/>
          <w:lang w:val="es-ES"/>
        </w:rPr>
        <w:t>024</w:t>
      </w:r>
      <w:r w:rsidRPr="009F5860">
        <w:rPr>
          <w:rFonts w:ascii="Arial" w:eastAsia="Calibri" w:hAnsi="Arial" w:cs="Arial"/>
          <w:b/>
          <w:sz w:val="22"/>
          <w:szCs w:val="22"/>
          <w:lang w:val="es-ES"/>
        </w:rPr>
        <w:t xml:space="preserve"> de 202</w:t>
      </w:r>
      <w:r w:rsidR="003104CB">
        <w:rPr>
          <w:rFonts w:ascii="Arial" w:eastAsia="Calibri" w:hAnsi="Arial" w:cs="Arial"/>
          <w:b/>
          <w:sz w:val="22"/>
          <w:szCs w:val="22"/>
          <w:lang w:val="es-ES"/>
        </w:rPr>
        <w:t>2</w:t>
      </w:r>
      <w:r w:rsidRPr="009F5860">
        <w:rPr>
          <w:rFonts w:ascii="Arial" w:eastAsia="Calibri" w:hAnsi="Arial" w:cs="Arial"/>
          <w:b/>
          <w:sz w:val="22"/>
          <w:szCs w:val="22"/>
          <w:lang w:val="es-ES"/>
        </w:rPr>
        <w:t xml:space="preserve"> </w:t>
      </w:r>
    </w:p>
    <w:p w14:paraId="1698D01B" w14:textId="77777777" w:rsidR="003C7067" w:rsidRPr="009F5860" w:rsidRDefault="003C7067" w:rsidP="003C7067">
      <w:pPr>
        <w:rPr>
          <w:rFonts w:ascii="Arial" w:eastAsia="Calibri" w:hAnsi="Arial" w:cs="Arial"/>
          <w:b/>
          <w:sz w:val="22"/>
          <w:szCs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3C7067" w:rsidRPr="009F5860" w14:paraId="7C1768E2" w14:textId="77777777" w:rsidTr="00E74412">
        <w:trPr>
          <w:trHeight w:val="823"/>
        </w:trPr>
        <w:tc>
          <w:tcPr>
            <w:tcW w:w="2410" w:type="dxa"/>
          </w:tcPr>
          <w:p w14:paraId="7F7464C9" w14:textId="77777777" w:rsidR="003C7067" w:rsidRPr="009916A6" w:rsidRDefault="003C7067" w:rsidP="00D81E5B">
            <w:pPr>
              <w:rPr>
                <w:rFonts w:ascii="Arial" w:eastAsia="Calibri" w:hAnsi="Arial" w:cs="Arial"/>
                <w:lang w:val="es-ES"/>
              </w:rPr>
            </w:pPr>
            <w:r w:rsidRPr="009916A6">
              <w:rPr>
                <w:rFonts w:ascii="Arial" w:eastAsia="Calibri" w:hAnsi="Arial" w:cs="Arial" w:hint="cs"/>
                <w:b/>
                <w:lang w:val="es-ES"/>
              </w:rPr>
              <w:t>Temas:</w:t>
            </w:r>
            <w:r w:rsidRPr="009916A6">
              <w:rPr>
                <w:rFonts w:ascii="Arial" w:eastAsia="Calibri" w:hAnsi="Arial" w:cs="Arial" w:hint="cs"/>
                <w:lang w:val="es-ES"/>
              </w:rPr>
              <w:t xml:space="preserve">                                      </w:t>
            </w:r>
          </w:p>
        </w:tc>
        <w:tc>
          <w:tcPr>
            <w:tcW w:w="6516" w:type="dxa"/>
          </w:tcPr>
          <w:p w14:paraId="6483E54B" w14:textId="17216AFC" w:rsidR="001048AE" w:rsidRDefault="000E6606" w:rsidP="0083524B">
            <w:pPr>
              <w:tabs>
                <w:tab w:val="left" w:pos="0"/>
              </w:tabs>
              <w:spacing w:line="276" w:lineRule="auto"/>
              <w:jc w:val="both"/>
              <w:rPr>
                <w:rFonts w:ascii="Arial" w:hAnsi="Arial" w:cs="Arial"/>
                <w:bCs/>
                <w:lang w:val="es-ES" w:eastAsia="es-ES"/>
              </w:rPr>
            </w:pPr>
            <w:r w:rsidRPr="000E6606">
              <w:rPr>
                <w:rFonts w:ascii="Arial" w:eastAsia="Calibri" w:hAnsi="Arial" w:cs="Arial"/>
                <w:bCs/>
                <w:lang w:val="es-ES_tradnl"/>
              </w:rPr>
              <w:t xml:space="preserve">CONTRATO DE PRESTACIÓN DE SERVICIOS </w:t>
            </w:r>
            <w:r w:rsidRPr="000E6606">
              <w:rPr>
                <w:rFonts w:ascii="Arial" w:eastAsia="Calibri" w:hAnsi="Arial" w:cs="Arial"/>
                <w:bCs/>
                <w:color w:val="000000" w:themeColor="text1"/>
                <w:lang w:val="es-ES_tradnl"/>
              </w:rPr>
              <w:t>–</w:t>
            </w:r>
            <w:r w:rsidRPr="000E6606">
              <w:rPr>
                <w:rFonts w:ascii="Arial" w:eastAsia="Calibri" w:hAnsi="Arial" w:cs="Arial"/>
                <w:bCs/>
                <w:lang w:val="es-ES_tradnl"/>
              </w:rPr>
              <w:t xml:space="preserve"> Concepto –</w:t>
            </w:r>
            <w:r w:rsidRPr="000E6606">
              <w:rPr>
                <w:rFonts w:ascii="Arial" w:eastAsia="Calibri" w:hAnsi="Arial" w:cs="Arial"/>
                <w:bCs/>
                <w:color w:val="000000" w:themeColor="text1"/>
                <w:lang w:val="es-ES_tradnl"/>
              </w:rPr>
              <w:t xml:space="preserve"> Objeto</w:t>
            </w:r>
            <w:r>
              <w:rPr>
                <w:rFonts w:ascii="Arial" w:eastAsia="Calibri" w:hAnsi="Arial" w:cs="Arial"/>
                <w:bCs/>
                <w:color w:val="000000" w:themeColor="text1"/>
                <w:lang w:val="es-ES_tradnl"/>
              </w:rPr>
              <w:t xml:space="preserve"> / </w:t>
            </w:r>
            <w:r w:rsidR="00FA6BCA" w:rsidRPr="000E6606">
              <w:rPr>
                <w:rFonts w:ascii="Arial" w:eastAsia="Calibri" w:hAnsi="Arial" w:cs="Arial"/>
                <w:bCs/>
                <w:lang w:val="es-ES_tradnl"/>
              </w:rPr>
              <w:t xml:space="preserve">CONTRATO DE PRESTACIÓN DE SERVICIOS </w:t>
            </w:r>
            <w:r w:rsidR="00FA6BCA">
              <w:rPr>
                <w:rFonts w:ascii="Arial" w:eastAsia="Calibri" w:hAnsi="Arial" w:cs="Arial"/>
                <w:bCs/>
                <w:lang w:val="es-ES_tradnl"/>
              </w:rPr>
              <w:t xml:space="preserve">- </w:t>
            </w:r>
            <w:r w:rsidR="00FA6BCA" w:rsidRPr="00FC76EE">
              <w:rPr>
                <w:rFonts w:ascii="Arial" w:hAnsi="Arial" w:cs="Arial"/>
                <w:bCs/>
                <w:lang w:val="es-ES" w:eastAsia="es-ES"/>
              </w:rPr>
              <w:t>impedimentos o inhabilidades</w:t>
            </w:r>
            <w:r w:rsidR="00996366">
              <w:rPr>
                <w:rFonts w:ascii="Arial" w:hAnsi="Arial" w:cs="Arial"/>
                <w:bCs/>
                <w:lang w:val="es-ES" w:eastAsia="es-ES"/>
              </w:rPr>
              <w:t xml:space="preserve"> / CONTRATOS DE PRESTACIÓN DE SERVICIOS – </w:t>
            </w:r>
            <w:r w:rsidR="00EF19AD">
              <w:rPr>
                <w:rFonts w:ascii="Arial" w:hAnsi="Arial" w:cs="Arial"/>
                <w:bCs/>
                <w:lang w:val="es-ES" w:eastAsia="es-ES"/>
              </w:rPr>
              <w:t xml:space="preserve">Prohibición de doble asignación presupuestal / CONTRATOS DE PRESTACIÓN DE SERVICIOS – Simultáneos. </w:t>
            </w:r>
          </w:p>
          <w:p w14:paraId="2F4B7014" w14:textId="17D1BE72" w:rsidR="00996366" w:rsidRPr="000E6606" w:rsidRDefault="00996366" w:rsidP="0083524B">
            <w:pPr>
              <w:tabs>
                <w:tab w:val="left" w:pos="0"/>
              </w:tabs>
              <w:spacing w:line="276" w:lineRule="auto"/>
              <w:jc w:val="both"/>
              <w:rPr>
                <w:rFonts w:ascii="Arial" w:eastAsia="Calibri" w:hAnsi="Arial" w:cs="Arial"/>
                <w:bCs/>
                <w:lang w:val="es-ES"/>
              </w:rPr>
            </w:pPr>
          </w:p>
        </w:tc>
      </w:tr>
      <w:tr w:rsidR="003C7067" w:rsidRPr="009F5860" w14:paraId="60D249F0" w14:textId="77777777" w:rsidTr="00E74412">
        <w:tc>
          <w:tcPr>
            <w:tcW w:w="2410" w:type="dxa"/>
          </w:tcPr>
          <w:p w14:paraId="291F9A18" w14:textId="77777777" w:rsidR="003C7067" w:rsidRPr="009F5860" w:rsidRDefault="003C7067" w:rsidP="00D81E5B">
            <w:pPr>
              <w:rPr>
                <w:rFonts w:ascii="Arial" w:eastAsia="Calibri" w:hAnsi="Arial" w:cs="Arial"/>
                <w:lang w:val="es-ES"/>
              </w:rPr>
            </w:pPr>
            <w:r w:rsidRPr="009F5860">
              <w:rPr>
                <w:rFonts w:ascii="Arial" w:eastAsia="Calibri" w:hAnsi="Arial" w:cs="Arial"/>
                <w:b/>
                <w:lang w:val="es-ES"/>
              </w:rPr>
              <w:t>Radicación:</w:t>
            </w:r>
            <w:r w:rsidRPr="009F5860">
              <w:rPr>
                <w:rFonts w:ascii="Arial" w:eastAsia="Calibri" w:hAnsi="Arial" w:cs="Arial"/>
                <w:lang w:val="es-ES"/>
              </w:rPr>
              <w:t xml:space="preserve">                              </w:t>
            </w:r>
          </w:p>
        </w:tc>
        <w:tc>
          <w:tcPr>
            <w:tcW w:w="6516" w:type="dxa"/>
          </w:tcPr>
          <w:p w14:paraId="3C674517" w14:textId="79BC7385" w:rsidR="003C7067" w:rsidRPr="009F5860" w:rsidRDefault="003C7067" w:rsidP="00D81E5B">
            <w:pPr>
              <w:rPr>
                <w:rFonts w:ascii="Arial" w:hAnsi="Arial" w:cs="Arial"/>
              </w:rPr>
            </w:pPr>
            <w:r w:rsidRPr="009F5860">
              <w:rPr>
                <w:rFonts w:ascii="Arial" w:eastAsia="Calibri" w:hAnsi="Arial" w:cs="Arial"/>
                <w:lang w:val="es-ES"/>
              </w:rPr>
              <w:t>Respuesta a consulta</w:t>
            </w:r>
            <w:r w:rsidRPr="006B040D">
              <w:rPr>
                <w:rFonts w:ascii="Arial" w:eastAsia="Calibri" w:hAnsi="Arial" w:cs="Arial"/>
                <w:lang w:val="es-ES"/>
              </w:rPr>
              <w:t xml:space="preserve"> </w:t>
            </w:r>
            <w:r w:rsidR="006B040D" w:rsidRPr="006B040D">
              <w:rPr>
                <w:rFonts w:ascii="Arial" w:hAnsi="Arial" w:cs="Arial"/>
              </w:rPr>
              <w:t>P202</w:t>
            </w:r>
            <w:r w:rsidR="008443B3">
              <w:rPr>
                <w:rFonts w:ascii="Arial" w:hAnsi="Arial" w:cs="Arial"/>
              </w:rPr>
              <w:t>20124000520</w:t>
            </w:r>
          </w:p>
        </w:tc>
      </w:tr>
    </w:tbl>
    <w:p w14:paraId="776B553A" w14:textId="1E5ECA65" w:rsidR="003C7067" w:rsidRDefault="003C7067" w:rsidP="003C7067">
      <w:pPr>
        <w:spacing w:line="276" w:lineRule="auto"/>
        <w:rPr>
          <w:rFonts w:ascii="Arial" w:eastAsia="Calibri" w:hAnsi="Arial" w:cs="Arial"/>
          <w:sz w:val="22"/>
          <w:szCs w:val="22"/>
          <w:lang w:val="es-ES"/>
        </w:rPr>
      </w:pPr>
    </w:p>
    <w:p w14:paraId="35873A1E" w14:textId="77777777" w:rsidR="007374F5" w:rsidRPr="009F5860" w:rsidRDefault="007374F5" w:rsidP="003C7067">
      <w:pPr>
        <w:spacing w:line="276" w:lineRule="auto"/>
        <w:rPr>
          <w:rFonts w:ascii="Arial" w:eastAsia="Calibri" w:hAnsi="Arial" w:cs="Arial"/>
          <w:sz w:val="22"/>
          <w:szCs w:val="22"/>
          <w:lang w:val="es-ES"/>
        </w:rPr>
      </w:pPr>
    </w:p>
    <w:p w14:paraId="6BB19977" w14:textId="06C56A57" w:rsidR="003C7067" w:rsidRPr="009F5860" w:rsidRDefault="003C7067" w:rsidP="003C7067">
      <w:pPr>
        <w:tabs>
          <w:tab w:val="left" w:pos="3736"/>
        </w:tabs>
        <w:spacing w:line="276" w:lineRule="auto"/>
        <w:rPr>
          <w:rFonts w:ascii="Arial" w:eastAsia="Calibri" w:hAnsi="Arial" w:cs="Arial"/>
          <w:sz w:val="22"/>
          <w:szCs w:val="22"/>
          <w:lang w:val="es-ES"/>
        </w:rPr>
      </w:pPr>
      <w:r w:rsidRPr="009F5860">
        <w:rPr>
          <w:rFonts w:ascii="Arial" w:eastAsia="Calibri" w:hAnsi="Arial" w:cs="Arial"/>
          <w:sz w:val="22"/>
          <w:szCs w:val="22"/>
          <w:lang w:val="es-ES"/>
        </w:rPr>
        <w:t>Estimad</w:t>
      </w:r>
      <w:r w:rsidR="008443B3">
        <w:rPr>
          <w:rFonts w:ascii="Arial" w:eastAsia="Calibri" w:hAnsi="Arial" w:cs="Arial"/>
          <w:sz w:val="22"/>
          <w:szCs w:val="22"/>
          <w:lang w:val="es-ES"/>
        </w:rPr>
        <w:t>a</w:t>
      </w:r>
      <w:r w:rsidR="007A5F2D">
        <w:rPr>
          <w:rFonts w:ascii="Arial" w:eastAsia="Calibri" w:hAnsi="Arial" w:cs="Arial"/>
          <w:sz w:val="22"/>
          <w:szCs w:val="22"/>
          <w:lang w:val="es-ES"/>
        </w:rPr>
        <w:t xml:space="preserve"> </w:t>
      </w:r>
      <w:r w:rsidRPr="009F5860">
        <w:rPr>
          <w:rFonts w:ascii="Arial" w:eastAsia="Calibri" w:hAnsi="Arial" w:cs="Arial"/>
          <w:sz w:val="22"/>
          <w:szCs w:val="22"/>
          <w:lang w:val="es-ES"/>
        </w:rPr>
        <w:t>señor</w:t>
      </w:r>
      <w:r w:rsidR="008443B3">
        <w:rPr>
          <w:rFonts w:ascii="Arial" w:eastAsia="Calibri" w:hAnsi="Arial" w:cs="Arial"/>
          <w:sz w:val="22"/>
          <w:szCs w:val="22"/>
          <w:lang w:val="es-ES"/>
        </w:rPr>
        <w:t>a</w:t>
      </w:r>
      <w:r w:rsidR="00DA07F3" w:rsidRPr="009F5860">
        <w:rPr>
          <w:rFonts w:ascii="Arial" w:eastAsia="Calibri" w:hAnsi="Arial" w:cs="Arial"/>
          <w:sz w:val="22"/>
          <w:szCs w:val="22"/>
          <w:lang w:val="es-ES"/>
        </w:rPr>
        <w:t xml:space="preserve"> </w:t>
      </w:r>
      <w:r w:rsidR="008443B3">
        <w:rPr>
          <w:rFonts w:ascii="Arial" w:eastAsia="Calibri" w:hAnsi="Arial" w:cs="Arial"/>
          <w:sz w:val="22"/>
          <w:szCs w:val="22"/>
          <w:lang w:val="es-ES"/>
        </w:rPr>
        <w:t>Corredor</w:t>
      </w:r>
      <w:r w:rsidR="0083524B">
        <w:rPr>
          <w:rFonts w:ascii="Arial" w:eastAsia="Calibri" w:hAnsi="Arial" w:cs="Arial"/>
          <w:sz w:val="22"/>
          <w:szCs w:val="22"/>
          <w:lang w:val="es-ES"/>
        </w:rPr>
        <w:t>:</w:t>
      </w:r>
    </w:p>
    <w:p w14:paraId="17594CC4" w14:textId="77777777" w:rsidR="003C7067" w:rsidRPr="009F5860" w:rsidRDefault="003C7067" w:rsidP="003C7067">
      <w:pPr>
        <w:spacing w:line="276" w:lineRule="auto"/>
        <w:rPr>
          <w:rFonts w:ascii="Arial" w:eastAsia="Calibri" w:hAnsi="Arial" w:cs="Arial"/>
          <w:sz w:val="22"/>
          <w:szCs w:val="22"/>
          <w:lang w:val="es-ES"/>
        </w:rPr>
      </w:pPr>
    </w:p>
    <w:p w14:paraId="2E5BE0B4" w14:textId="5BCA17D7" w:rsidR="002F339A" w:rsidRDefault="003C7067" w:rsidP="003C7067">
      <w:pPr>
        <w:spacing w:line="276" w:lineRule="auto"/>
        <w:jc w:val="both"/>
        <w:rPr>
          <w:rFonts w:ascii="Arial" w:eastAsia="Calibri" w:hAnsi="Arial" w:cs="Arial"/>
          <w:sz w:val="22"/>
          <w:szCs w:val="22"/>
          <w:lang w:val="es-ES"/>
        </w:rPr>
      </w:pPr>
      <w:r w:rsidRPr="009F5860">
        <w:rPr>
          <w:rFonts w:ascii="Arial" w:eastAsia="Calibri" w:hAnsi="Arial" w:cs="Arial"/>
          <w:sz w:val="22"/>
          <w:szCs w:val="22"/>
          <w:lang w:val="es-ES"/>
        </w:rPr>
        <w:t>La Agencia Nacional de Contratación Pública – Colombia Compra Eficiente</w:t>
      </w:r>
      <w:r w:rsidR="00C15870">
        <w:rPr>
          <w:rFonts w:ascii="Arial" w:eastAsia="Calibri" w:hAnsi="Arial" w:cs="Arial"/>
          <w:sz w:val="22"/>
          <w:szCs w:val="22"/>
          <w:lang w:val="es-ES"/>
        </w:rPr>
        <w:t xml:space="preserve">, </w:t>
      </w:r>
      <w:r w:rsidR="00C15870" w:rsidRPr="009F5860">
        <w:rPr>
          <w:rFonts w:ascii="Arial" w:eastAsia="Calibri" w:hAnsi="Arial" w:cs="Arial"/>
          <w:sz w:val="22"/>
          <w:szCs w:val="22"/>
          <w:lang w:val="es-ES"/>
        </w:rPr>
        <w:t>en ejercicio de la competencia otorgada por el numeral 8 del artículo 11 y el numeral 5 del artículo 3 del Decreto Ley 4170 de 2011</w:t>
      </w:r>
      <w:r w:rsidR="00C15870">
        <w:rPr>
          <w:rFonts w:ascii="Arial" w:eastAsia="Calibri" w:hAnsi="Arial" w:cs="Arial"/>
          <w:sz w:val="22"/>
          <w:szCs w:val="22"/>
          <w:lang w:val="es-ES"/>
        </w:rPr>
        <w:t>,</w:t>
      </w:r>
      <w:r w:rsidRPr="009F5860">
        <w:rPr>
          <w:rFonts w:ascii="Arial" w:eastAsia="Calibri" w:hAnsi="Arial" w:cs="Arial"/>
          <w:sz w:val="22"/>
          <w:szCs w:val="22"/>
          <w:lang w:val="es-ES"/>
        </w:rPr>
        <w:t xml:space="preserve"> responde su consulta </w:t>
      </w:r>
      <w:r w:rsidR="00337918">
        <w:rPr>
          <w:rFonts w:ascii="Arial" w:eastAsia="Calibri" w:hAnsi="Arial" w:cs="Arial"/>
          <w:sz w:val="22"/>
          <w:szCs w:val="22"/>
          <w:lang w:val="es-ES"/>
        </w:rPr>
        <w:t>remitida el 21 de enero de 2022 por el Departamento Ad</w:t>
      </w:r>
      <w:r w:rsidR="00BD7B31">
        <w:rPr>
          <w:rFonts w:ascii="Arial" w:eastAsia="Calibri" w:hAnsi="Arial" w:cs="Arial"/>
          <w:sz w:val="22"/>
          <w:szCs w:val="22"/>
          <w:lang w:val="es-ES"/>
        </w:rPr>
        <w:t>ministrativo de la Función Pública</w:t>
      </w:r>
      <w:r w:rsidR="00C15870">
        <w:rPr>
          <w:rFonts w:ascii="Arial" w:eastAsia="Calibri" w:hAnsi="Arial" w:cs="Arial"/>
          <w:sz w:val="22"/>
          <w:szCs w:val="22"/>
          <w:lang w:val="es-ES"/>
        </w:rPr>
        <w:t>.</w:t>
      </w:r>
    </w:p>
    <w:p w14:paraId="2D852432" w14:textId="2FF22211" w:rsidR="003C7067" w:rsidRDefault="003C7067" w:rsidP="003C7067">
      <w:pPr>
        <w:pStyle w:val="Prrafodelista"/>
        <w:spacing w:line="276" w:lineRule="auto"/>
        <w:ind w:left="0"/>
        <w:rPr>
          <w:rFonts w:ascii="Arial" w:eastAsia="Calibri" w:hAnsi="Arial" w:cs="Arial"/>
          <w:sz w:val="22"/>
          <w:lang w:val="es-ES"/>
        </w:rPr>
      </w:pPr>
    </w:p>
    <w:p w14:paraId="67CA615C" w14:textId="77777777" w:rsidR="003C7067" w:rsidRPr="009F5860" w:rsidRDefault="003C7067" w:rsidP="003C7067">
      <w:pPr>
        <w:tabs>
          <w:tab w:val="left" w:pos="0"/>
        </w:tabs>
        <w:spacing w:line="276" w:lineRule="auto"/>
        <w:jc w:val="both"/>
        <w:rPr>
          <w:rFonts w:ascii="Arial" w:eastAsia="Calibri" w:hAnsi="Arial" w:cs="Arial"/>
          <w:b/>
          <w:sz w:val="22"/>
          <w:szCs w:val="22"/>
          <w:lang w:val="es-ES"/>
        </w:rPr>
      </w:pPr>
      <w:r w:rsidRPr="009F5860">
        <w:rPr>
          <w:rFonts w:ascii="Arial" w:eastAsia="Calibri" w:hAnsi="Arial" w:cs="Arial"/>
          <w:b/>
          <w:sz w:val="22"/>
          <w:szCs w:val="22"/>
          <w:lang w:val="es-ES"/>
        </w:rPr>
        <w:t>1. Problema planteado</w:t>
      </w:r>
    </w:p>
    <w:p w14:paraId="5A060666" w14:textId="77777777" w:rsidR="003C7067" w:rsidRPr="009F5860" w:rsidRDefault="003C7067" w:rsidP="003C7067">
      <w:pPr>
        <w:rPr>
          <w:rFonts w:ascii="Arial" w:eastAsia="Calibri" w:hAnsi="Arial" w:cs="Arial"/>
          <w:sz w:val="22"/>
          <w:szCs w:val="22"/>
          <w:lang w:val="es-ES"/>
        </w:rPr>
      </w:pPr>
    </w:p>
    <w:p w14:paraId="23B326CB" w14:textId="333AC140" w:rsidR="007374F5" w:rsidRPr="00996366" w:rsidRDefault="003C7067" w:rsidP="00996366">
      <w:pPr>
        <w:spacing w:line="276" w:lineRule="auto"/>
        <w:jc w:val="both"/>
        <w:rPr>
          <w:rFonts w:ascii="Arial" w:eastAsiaTheme="minorHAnsi" w:hAnsi="Arial" w:cs="Arial"/>
          <w:sz w:val="22"/>
          <w:szCs w:val="22"/>
          <w:lang w:val="es-ES_tradnl" w:eastAsia="en-US"/>
        </w:rPr>
      </w:pPr>
      <w:r w:rsidRPr="003B76F3">
        <w:rPr>
          <w:rFonts w:ascii="Arial" w:eastAsia="Calibri" w:hAnsi="Arial" w:cs="Arial"/>
          <w:sz w:val="22"/>
          <w:szCs w:val="22"/>
          <w:lang w:val="es-ES"/>
        </w:rPr>
        <w:t>Usted realiza la</w:t>
      </w:r>
      <w:r w:rsidR="006B040D" w:rsidRPr="003B76F3">
        <w:rPr>
          <w:rFonts w:ascii="Arial" w:eastAsia="Calibri" w:hAnsi="Arial" w:cs="Arial"/>
          <w:sz w:val="22"/>
          <w:szCs w:val="22"/>
          <w:lang w:val="es-ES"/>
        </w:rPr>
        <w:t>s</w:t>
      </w:r>
      <w:r w:rsidRPr="003B76F3">
        <w:rPr>
          <w:rFonts w:ascii="Arial" w:eastAsia="Calibri" w:hAnsi="Arial" w:cs="Arial"/>
          <w:sz w:val="22"/>
          <w:szCs w:val="22"/>
          <w:lang w:val="es-ES"/>
        </w:rPr>
        <w:t xml:space="preserve"> siguiente</w:t>
      </w:r>
      <w:r w:rsidR="003B76F3" w:rsidRPr="003B76F3">
        <w:rPr>
          <w:rFonts w:ascii="Arial" w:eastAsia="Calibri" w:hAnsi="Arial" w:cs="Arial"/>
          <w:sz w:val="22"/>
          <w:szCs w:val="22"/>
          <w:lang w:val="es-ES"/>
        </w:rPr>
        <w:t>s</w:t>
      </w:r>
      <w:r w:rsidRPr="003B76F3">
        <w:rPr>
          <w:rFonts w:ascii="Arial" w:eastAsia="Calibri" w:hAnsi="Arial" w:cs="Arial"/>
          <w:sz w:val="22"/>
          <w:szCs w:val="22"/>
          <w:lang w:val="es-ES"/>
        </w:rPr>
        <w:t xml:space="preserve"> pregunta</w:t>
      </w:r>
      <w:r w:rsidR="006B040D" w:rsidRPr="003B76F3">
        <w:rPr>
          <w:rFonts w:ascii="Arial" w:eastAsia="Calibri" w:hAnsi="Arial" w:cs="Arial"/>
          <w:sz w:val="22"/>
          <w:szCs w:val="22"/>
          <w:lang w:val="es-ES"/>
        </w:rPr>
        <w:t>s</w:t>
      </w:r>
      <w:r w:rsidRPr="003B76F3">
        <w:rPr>
          <w:rFonts w:ascii="Arial" w:eastAsia="Calibri" w:hAnsi="Arial" w:cs="Arial"/>
          <w:sz w:val="22"/>
          <w:szCs w:val="22"/>
          <w:lang w:val="es-ES"/>
        </w:rPr>
        <w:t xml:space="preserve">: </w:t>
      </w:r>
      <w:bookmarkStart w:id="0" w:name="_Hlk94532157"/>
      <w:r w:rsidR="003104CB" w:rsidRPr="00996366">
        <w:rPr>
          <w:rFonts w:ascii="Arial" w:eastAsiaTheme="minorHAnsi" w:hAnsi="Arial" w:cs="Arial"/>
          <w:sz w:val="22"/>
          <w:szCs w:val="22"/>
          <w:lang w:val="es-ES_tradnl" w:eastAsia="en-US"/>
        </w:rPr>
        <w:t>«</w:t>
      </w:r>
      <w:bookmarkEnd w:id="0"/>
      <w:r w:rsidR="003104CB" w:rsidRPr="00996366">
        <w:rPr>
          <w:rFonts w:ascii="Arial" w:eastAsiaTheme="minorHAnsi" w:hAnsi="Arial" w:cs="Arial"/>
          <w:sz w:val="22"/>
          <w:szCs w:val="22"/>
          <w:lang w:val="es-ES_tradnl" w:eastAsia="en-US"/>
        </w:rPr>
        <w:t>¿Cuántos contratos de prestación de servicios puede tener una persona?</w:t>
      </w:r>
      <w:r w:rsidR="00FF5495" w:rsidRPr="00996366">
        <w:rPr>
          <w:rFonts w:ascii="Arial" w:eastAsiaTheme="minorHAnsi" w:hAnsi="Arial" w:cs="Arial"/>
          <w:sz w:val="22"/>
          <w:szCs w:val="22"/>
          <w:lang w:val="es-ES_tradnl" w:eastAsia="en-US"/>
        </w:rPr>
        <w:t xml:space="preserve"> </w:t>
      </w:r>
      <w:r w:rsidR="003104CB" w:rsidRPr="00996366">
        <w:rPr>
          <w:rFonts w:ascii="Arial" w:eastAsiaTheme="minorHAnsi" w:hAnsi="Arial" w:cs="Arial"/>
          <w:sz w:val="22"/>
          <w:szCs w:val="22"/>
          <w:lang w:val="es-ES_tradnl" w:eastAsia="en-US"/>
        </w:rPr>
        <w:t>¿Es posible tener 3 y hasta 12 contratos al mismo tiempo?»</w:t>
      </w:r>
      <w:r w:rsidR="00841BDF" w:rsidRPr="00996366">
        <w:rPr>
          <w:rStyle w:val="Refdenotaalpie"/>
          <w:rFonts w:ascii="Arial" w:eastAsiaTheme="minorHAnsi" w:hAnsi="Arial" w:cs="Arial"/>
          <w:color w:val="000000" w:themeColor="text1"/>
          <w:sz w:val="22"/>
          <w:szCs w:val="22"/>
          <w:lang w:val="es-ES_tradnl" w:eastAsia="en-US"/>
        </w:rPr>
        <w:footnoteReference w:id="1"/>
      </w:r>
      <w:r w:rsidR="004C4C02">
        <w:rPr>
          <w:rFonts w:ascii="Arial" w:eastAsiaTheme="minorHAnsi" w:hAnsi="Arial" w:cs="Arial"/>
          <w:sz w:val="22"/>
          <w:szCs w:val="22"/>
          <w:lang w:val="es-ES_tradnl" w:eastAsia="en-US"/>
        </w:rPr>
        <w:t>.</w:t>
      </w:r>
    </w:p>
    <w:p w14:paraId="2B1AFEB6" w14:textId="77777777" w:rsidR="006D43D6" w:rsidRDefault="006D43D6" w:rsidP="00FF5495">
      <w:pPr>
        <w:pStyle w:val="NormalWeb"/>
        <w:ind w:left="709" w:right="900"/>
        <w:contextualSpacing/>
        <w:jc w:val="both"/>
        <w:rPr>
          <w:rFonts w:ascii="Arial" w:eastAsiaTheme="minorHAnsi" w:hAnsi="Arial" w:cs="Arial"/>
          <w:color w:val="000000" w:themeColor="text1"/>
          <w:sz w:val="21"/>
          <w:szCs w:val="21"/>
          <w:lang w:val="es-ES_tradnl" w:eastAsia="en-US"/>
        </w:rPr>
      </w:pPr>
    </w:p>
    <w:p w14:paraId="25DC51CC" w14:textId="50F4EBD3" w:rsidR="0016321F" w:rsidRPr="009F5860" w:rsidRDefault="003C7067" w:rsidP="00996366">
      <w:pPr>
        <w:pStyle w:val="NormalWeb"/>
        <w:spacing w:before="120" w:beforeAutospacing="0" w:after="120" w:afterAutospacing="0" w:line="276" w:lineRule="auto"/>
        <w:ind w:right="51"/>
        <w:contextualSpacing/>
        <w:jc w:val="both"/>
        <w:rPr>
          <w:rFonts w:ascii="Arial" w:eastAsia="Calibri" w:hAnsi="Arial" w:cs="Arial"/>
          <w:b/>
          <w:sz w:val="22"/>
          <w:szCs w:val="22"/>
          <w:lang w:val="es-ES"/>
        </w:rPr>
      </w:pPr>
      <w:r w:rsidRPr="009F5860">
        <w:rPr>
          <w:rFonts w:ascii="Arial" w:eastAsia="Calibri" w:hAnsi="Arial" w:cs="Arial"/>
          <w:b/>
          <w:sz w:val="22"/>
          <w:szCs w:val="22"/>
          <w:lang w:val="es-ES"/>
        </w:rPr>
        <w:lastRenderedPageBreak/>
        <w:t>2. Consideraciones</w:t>
      </w:r>
    </w:p>
    <w:p w14:paraId="4116185C" w14:textId="4CB53C3B" w:rsidR="00B325AF" w:rsidRDefault="00B325AF" w:rsidP="00996366">
      <w:pPr>
        <w:spacing w:before="120" w:line="276" w:lineRule="auto"/>
        <w:jc w:val="both"/>
        <w:rPr>
          <w:rFonts w:ascii="Arial" w:eastAsia="Calibri" w:hAnsi="Arial" w:cs="Arial"/>
          <w:sz w:val="22"/>
          <w:szCs w:val="22"/>
          <w:lang w:val="es-ES"/>
        </w:rPr>
      </w:pPr>
      <w:r w:rsidRPr="00C00312">
        <w:rPr>
          <w:rFonts w:ascii="Arial" w:eastAsia="Calibri" w:hAnsi="Arial" w:cs="Arial"/>
          <w:sz w:val="22"/>
          <w:szCs w:val="22"/>
          <w:lang w:val="es-ES"/>
        </w:rPr>
        <w:t>Esta Agencia</w:t>
      </w:r>
      <w:r>
        <w:rPr>
          <w:rFonts w:ascii="Arial" w:eastAsia="Calibri" w:hAnsi="Arial" w:cs="Arial"/>
          <w:sz w:val="22"/>
          <w:szCs w:val="22"/>
          <w:lang w:val="es-ES"/>
        </w:rPr>
        <w:t xml:space="preserve">, </w:t>
      </w:r>
      <w:r w:rsidRPr="00C00312">
        <w:rPr>
          <w:rFonts w:ascii="Arial" w:eastAsia="Calibri" w:hAnsi="Arial" w:cs="Arial"/>
          <w:sz w:val="22"/>
          <w:szCs w:val="22"/>
          <w:lang w:val="es-ES"/>
        </w:rPr>
        <w:t>dentro de los límites de sus atribuciones</w:t>
      </w:r>
      <w:r>
        <w:rPr>
          <w:rFonts w:ascii="Arial" w:eastAsia="Calibri" w:hAnsi="Arial" w:cs="Arial"/>
          <w:sz w:val="22"/>
          <w:szCs w:val="22"/>
          <w:lang w:val="es-ES"/>
        </w:rPr>
        <w:t>,</w:t>
      </w:r>
      <w:r w:rsidRPr="00C00312">
        <w:rPr>
          <w:rFonts w:ascii="Arial" w:eastAsia="Calibri" w:hAnsi="Arial" w:cs="Arial"/>
          <w:sz w:val="22"/>
          <w:szCs w:val="22"/>
          <w:lang w:val="es-ES"/>
        </w:rPr>
        <w:t xml:space="preserve"> resolverá la consulta conforme a las normas generales en materia de contratación estatal.</w:t>
      </w:r>
      <w:r>
        <w:rPr>
          <w:rFonts w:ascii="Arial" w:eastAsia="Calibri" w:hAnsi="Arial" w:cs="Arial"/>
          <w:sz w:val="22"/>
          <w:szCs w:val="22"/>
          <w:lang w:val="es-ES"/>
        </w:rPr>
        <w:t xml:space="preserve"> </w:t>
      </w:r>
      <w:r w:rsidRPr="00C00312">
        <w:rPr>
          <w:rFonts w:ascii="Arial" w:eastAsia="Calibri" w:hAnsi="Arial" w:cs="Arial"/>
          <w:sz w:val="22"/>
          <w:szCs w:val="22"/>
          <w:lang w:val="es-ES"/>
        </w:rPr>
        <w:t xml:space="preserve">Con este objetivo se analizarán los siguientes temas: </w:t>
      </w:r>
      <w:r w:rsidRPr="009F5860">
        <w:rPr>
          <w:rFonts w:ascii="Arial" w:eastAsia="Calibri" w:hAnsi="Arial" w:cs="Arial"/>
          <w:sz w:val="22"/>
          <w:szCs w:val="22"/>
          <w:lang w:val="es-ES"/>
        </w:rPr>
        <w:t xml:space="preserve">i) </w:t>
      </w:r>
      <w:r>
        <w:rPr>
          <w:rFonts w:ascii="Arial" w:eastAsia="Calibri" w:hAnsi="Arial" w:cs="Arial"/>
          <w:sz w:val="22"/>
          <w:szCs w:val="22"/>
          <w:lang w:val="es-ES"/>
        </w:rPr>
        <w:t>contrato de prestación de servicios profesionales. Requisitos y límites para su celebración, ii) r</w:t>
      </w:r>
      <w:r w:rsidRPr="007F1DEE">
        <w:rPr>
          <w:rFonts w:ascii="Arial" w:eastAsia="Calibri" w:hAnsi="Arial" w:cs="Arial"/>
          <w:sz w:val="22"/>
          <w:szCs w:val="22"/>
          <w:lang w:val="es-ES"/>
        </w:rPr>
        <w:t>égimen de inhabilidades e incompatibilidades en la contratación pública</w:t>
      </w:r>
      <w:r>
        <w:rPr>
          <w:rFonts w:ascii="Arial" w:eastAsia="Calibri" w:hAnsi="Arial" w:cs="Arial"/>
          <w:sz w:val="22"/>
          <w:szCs w:val="22"/>
          <w:lang w:val="es-ES"/>
        </w:rPr>
        <w:t>; y iii)</w:t>
      </w:r>
      <w:r w:rsidRPr="007F1DEE">
        <w:rPr>
          <w:rFonts w:ascii="Arial" w:eastAsia="Calibri" w:hAnsi="Arial" w:cs="Arial"/>
          <w:sz w:val="22"/>
          <w:szCs w:val="22"/>
          <w:lang w:val="es-ES"/>
        </w:rPr>
        <w:t xml:space="preserve"> </w:t>
      </w:r>
      <w:r>
        <w:rPr>
          <w:rFonts w:ascii="Arial" w:eastAsia="Calibri" w:hAnsi="Arial" w:cs="Arial"/>
          <w:sz w:val="22"/>
          <w:szCs w:val="22"/>
          <w:lang w:val="es-ES"/>
        </w:rPr>
        <w:t>p</w:t>
      </w:r>
      <w:r w:rsidRPr="00B325AF">
        <w:rPr>
          <w:rFonts w:ascii="Arial" w:eastAsia="Calibri" w:hAnsi="Arial" w:cs="Arial"/>
          <w:sz w:val="22"/>
          <w:szCs w:val="22"/>
          <w:lang w:val="es-ES"/>
        </w:rPr>
        <w:t>rohibición de percibir doble asignación presupuestal y posibilidad de celebrar contratos de prestación de servicios de manera simultánea</w:t>
      </w:r>
      <w:r>
        <w:rPr>
          <w:rFonts w:ascii="Arial" w:eastAsia="Calibri" w:hAnsi="Arial" w:cs="Arial"/>
          <w:sz w:val="22"/>
          <w:szCs w:val="22"/>
          <w:lang w:val="es-ES"/>
        </w:rPr>
        <w:t>.</w:t>
      </w:r>
    </w:p>
    <w:p w14:paraId="3A93AA8B" w14:textId="77777777" w:rsidR="000E6606" w:rsidRDefault="000E6606" w:rsidP="000E6606">
      <w:pPr>
        <w:spacing w:line="276" w:lineRule="auto"/>
        <w:jc w:val="both"/>
        <w:rPr>
          <w:rFonts w:ascii="Arial" w:eastAsia="Calibri" w:hAnsi="Arial" w:cs="Arial"/>
          <w:color w:val="000000" w:themeColor="text1"/>
          <w:sz w:val="22"/>
          <w:szCs w:val="22"/>
          <w:lang w:val="es-ES_tradnl"/>
        </w:rPr>
      </w:pPr>
    </w:p>
    <w:p w14:paraId="27E8B7E6" w14:textId="1B6B228B" w:rsidR="00D62647" w:rsidRDefault="00B325AF" w:rsidP="00996366">
      <w:pPr>
        <w:spacing w:after="120" w:line="276" w:lineRule="auto"/>
        <w:ind w:firstLine="708"/>
        <w:jc w:val="both"/>
        <w:rPr>
          <w:rFonts w:ascii="Arial" w:hAnsi="Arial" w:cs="Arial"/>
          <w:noProof/>
          <w:sz w:val="22"/>
          <w:lang w:val="es-ES_tradnl"/>
        </w:rPr>
      </w:pPr>
      <w:r>
        <w:rPr>
          <w:rFonts w:ascii="Arial" w:eastAsia="Calibri" w:hAnsi="Arial" w:cs="Arial"/>
          <w:color w:val="000000" w:themeColor="text1"/>
          <w:sz w:val="22"/>
          <w:szCs w:val="22"/>
          <w:lang w:val="es-ES_tradnl"/>
        </w:rPr>
        <w:t>L</w:t>
      </w:r>
      <w:r w:rsidR="007374F5" w:rsidRPr="00C00312">
        <w:rPr>
          <w:rFonts w:ascii="Arial" w:eastAsia="Calibri" w:hAnsi="Arial" w:cs="Arial"/>
          <w:color w:val="000000" w:themeColor="text1"/>
          <w:sz w:val="22"/>
          <w:szCs w:val="22"/>
          <w:lang w:val="es-ES_tradnl"/>
        </w:rPr>
        <w:t>a Agencia Nacional de Contratación Pública – Colombia Compra Eficiente</w:t>
      </w:r>
      <w:r w:rsidR="006A2383" w:rsidRPr="008A2673">
        <w:rPr>
          <w:rFonts w:ascii="Arial" w:hAnsi="Arial" w:cs="Arial"/>
          <w:color w:val="000000" w:themeColor="text1"/>
          <w:sz w:val="22"/>
        </w:rPr>
        <w:t xml:space="preserve"> </w:t>
      </w:r>
      <w:r w:rsidR="006A2383" w:rsidRPr="008B070E">
        <w:rPr>
          <w:rFonts w:ascii="Arial" w:eastAsia="Calibri" w:hAnsi="Arial" w:cs="Arial"/>
          <w:color w:val="000000" w:themeColor="text1"/>
          <w:sz w:val="22"/>
        </w:rPr>
        <w:t>se pronunció en relación con los contratos de prestación de servicios</w:t>
      </w:r>
      <w:r w:rsidR="006A2383">
        <w:rPr>
          <w:rFonts w:ascii="Arial" w:eastAsia="Calibri" w:hAnsi="Arial" w:cs="Arial"/>
          <w:color w:val="000000" w:themeColor="text1"/>
          <w:sz w:val="22"/>
        </w:rPr>
        <w:t xml:space="preserve"> profesionales </w:t>
      </w:r>
      <w:r w:rsidR="006A2383" w:rsidRPr="008B070E">
        <w:rPr>
          <w:rFonts w:ascii="Arial" w:eastAsia="Calibri" w:hAnsi="Arial" w:cs="Arial"/>
          <w:color w:val="000000" w:themeColor="text1"/>
          <w:sz w:val="22"/>
        </w:rPr>
        <w:t xml:space="preserve">en los conceptos </w:t>
      </w:r>
      <w:r w:rsidR="006A2383">
        <w:rPr>
          <w:rFonts w:ascii="Arial" w:eastAsia="Calibri" w:hAnsi="Arial" w:cs="Arial"/>
          <w:color w:val="000000" w:themeColor="text1"/>
          <w:sz w:val="22"/>
        </w:rPr>
        <w:t>C–047 del 18 de febrero de 2020</w:t>
      </w:r>
      <w:r w:rsidR="006A2383">
        <w:rPr>
          <w:rFonts w:ascii="Arial" w:hAnsi="Arial" w:cs="Arial"/>
          <w:noProof/>
          <w:sz w:val="22"/>
          <w:lang w:val="es-ES_tradnl"/>
        </w:rPr>
        <w:t xml:space="preserve">, </w:t>
      </w:r>
      <w:r w:rsidR="006A2383" w:rsidRPr="008B070E">
        <w:rPr>
          <w:rFonts w:ascii="Arial" w:eastAsia="Calibri" w:hAnsi="Arial" w:cs="Arial"/>
          <w:color w:val="000000" w:themeColor="text1"/>
          <w:sz w:val="22"/>
        </w:rPr>
        <w:t>C</w:t>
      </w:r>
      <w:r w:rsidR="006A2383">
        <w:rPr>
          <w:rFonts w:ascii="Arial" w:eastAsia="Calibri" w:hAnsi="Arial" w:cs="Arial"/>
          <w:color w:val="000000" w:themeColor="text1"/>
          <w:sz w:val="22"/>
        </w:rPr>
        <w:t>–</w:t>
      </w:r>
      <w:r w:rsidR="006A2383" w:rsidRPr="008B070E">
        <w:rPr>
          <w:rFonts w:ascii="Arial" w:eastAsia="Calibri" w:hAnsi="Arial" w:cs="Arial"/>
          <w:color w:val="000000" w:themeColor="text1"/>
          <w:sz w:val="22"/>
        </w:rPr>
        <w:t>071 del 4 de marzo de 2020</w:t>
      </w:r>
      <w:r w:rsidR="006A2383">
        <w:rPr>
          <w:rFonts w:ascii="Arial" w:eastAsia="Calibri" w:hAnsi="Arial" w:cs="Arial"/>
          <w:color w:val="000000" w:themeColor="text1"/>
          <w:sz w:val="22"/>
        </w:rPr>
        <w:t>,</w:t>
      </w:r>
      <w:r w:rsidR="006A2383">
        <w:rPr>
          <w:rFonts w:ascii="Arial" w:hAnsi="Arial" w:cs="Arial"/>
          <w:noProof/>
          <w:sz w:val="22"/>
          <w:lang w:val="es-ES_tradnl"/>
        </w:rPr>
        <w:t xml:space="preserve"> </w:t>
      </w:r>
      <w:r w:rsidR="006A2383">
        <w:rPr>
          <w:rFonts w:ascii="Arial" w:eastAsia="Calibri" w:hAnsi="Arial" w:cs="Arial"/>
          <w:color w:val="000000" w:themeColor="text1"/>
          <w:sz w:val="22"/>
        </w:rPr>
        <w:t xml:space="preserve">C–188 del 13 de abril de 2020, C–005, 006, 018 y 138 del 11 de mayo de 2020, </w:t>
      </w:r>
      <w:r w:rsidR="006A2383" w:rsidRPr="00373E13">
        <w:rPr>
          <w:rFonts w:ascii="Arial" w:hAnsi="Arial" w:cs="Arial"/>
          <w:noProof/>
          <w:sz w:val="22"/>
          <w:lang w:val="es-ES_tradnl"/>
        </w:rPr>
        <w:t>C</w:t>
      </w:r>
      <w:r w:rsidR="006A2383">
        <w:rPr>
          <w:rFonts w:ascii="Arial" w:eastAsia="Calibri" w:hAnsi="Arial" w:cs="Arial"/>
          <w:color w:val="000000" w:themeColor="text1"/>
          <w:sz w:val="22"/>
        </w:rPr>
        <w:t>–</w:t>
      </w:r>
      <w:r w:rsidR="006A2383" w:rsidRPr="00373E13">
        <w:rPr>
          <w:rFonts w:ascii="Arial" w:hAnsi="Arial" w:cs="Arial"/>
          <w:noProof/>
          <w:sz w:val="22"/>
          <w:lang w:val="es-ES_tradnl"/>
        </w:rPr>
        <w:t>053,</w:t>
      </w:r>
      <w:r w:rsidR="006A2383">
        <w:rPr>
          <w:rFonts w:ascii="Arial" w:hAnsi="Arial" w:cs="Arial"/>
          <w:noProof/>
          <w:sz w:val="22"/>
          <w:lang w:val="es-ES_tradnl"/>
        </w:rPr>
        <w:t xml:space="preserve"> 175, </w:t>
      </w:r>
      <w:r w:rsidR="006A2383" w:rsidRPr="00373E13">
        <w:rPr>
          <w:rFonts w:ascii="Arial" w:hAnsi="Arial" w:cs="Arial"/>
          <w:noProof/>
          <w:sz w:val="22"/>
          <w:lang w:val="es-ES_tradnl"/>
        </w:rPr>
        <w:t>255, 282</w:t>
      </w:r>
      <w:r w:rsidR="006A2383">
        <w:rPr>
          <w:rFonts w:ascii="Arial" w:hAnsi="Arial" w:cs="Arial"/>
          <w:noProof/>
          <w:sz w:val="22"/>
          <w:lang w:val="es-ES_tradnl"/>
        </w:rPr>
        <w:t>,</w:t>
      </w:r>
      <w:r w:rsidR="006A2383" w:rsidRPr="00373E13">
        <w:rPr>
          <w:rFonts w:ascii="Arial" w:hAnsi="Arial" w:cs="Arial"/>
          <w:noProof/>
          <w:sz w:val="22"/>
          <w:lang w:val="es-ES_tradnl"/>
        </w:rPr>
        <w:t xml:space="preserve"> 293</w:t>
      </w:r>
      <w:r w:rsidR="006A2383">
        <w:rPr>
          <w:rFonts w:ascii="Arial" w:hAnsi="Arial" w:cs="Arial"/>
          <w:noProof/>
          <w:sz w:val="22"/>
          <w:lang w:val="es-ES_tradnl"/>
        </w:rPr>
        <w:t xml:space="preserve"> y 320</w:t>
      </w:r>
      <w:r w:rsidR="006A2383" w:rsidRPr="00373E13">
        <w:rPr>
          <w:rFonts w:ascii="Arial" w:hAnsi="Arial" w:cs="Arial"/>
          <w:noProof/>
          <w:sz w:val="22"/>
          <w:lang w:val="es-ES_tradnl"/>
        </w:rPr>
        <w:t xml:space="preserve"> del 12 de mayo de 2020</w:t>
      </w:r>
      <w:r w:rsidR="006A2383">
        <w:rPr>
          <w:rFonts w:ascii="Arial" w:hAnsi="Arial" w:cs="Arial"/>
          <w:noProof/>
          <w:sz w:val="22"/>
          <w:lang w:val="es-ES_tradnl"/>
        </w:rPr>
        <w:t xml:space="preserve">, </w:t>
      </w:r>
      <w:r w:rsidR="006A2383" w:rsidRPr="00373E13">
        <w:rPr>
          <w:rFonts w:ascii="Arial" w:hAnsi="Arial" w:cs="Arial"/>
          <w:noProof/>
          <w:sz w:val="22"/>
          <w:lang w:val="es-ES_tradnl"/>
        </w:rPr>
        <w:t>C</w:t>
      </w:r>
      <w:r w:rsidR="006A2383">
        <w:rPr>
          <w:rFonts w:ascii="Arial" w:eastAsia="Calibri" w:hAnsi="Arial" w:cs="Arial"/>
          <w:color w:val="000000" w:themeColor="text1"/>
          <w:sz w:val="22"/>
        </w:rPr>
        <w:t>–</w:t>
      </w:r>
      <w:r w:rsidR="006A2383" w:rsidRPr="00373E13">
        <w:rPr>
          <w:rFonts w:ascii="Arial" w:hAnsi="Arial" w:cs="Arial"/>
          <w:noProof/>
          <w:sz w:val="22"/>
          <w:lang w:val="es-ES_tradnl"/>
        </w:rPr>
        <w:t>288 del 27 de mayo de 2020</w:t>
      </w:r>
      <w:r w:rsidR="006A2383">
        <w:rPr>
          <w:rFonts w:ascii="Arial" w:hAnsi="Arial" w:cs="Arial"/>
          <w:noProof/>
          <w:sz w:val="22"/>
          <w:lang w:val="es-ES_tradnl"/>
        </w:rPr>
        <w:t xml:space="preserve">, </w:t>
      </w:r>
      <w:r w:rsidR="006A2383" w:rsidRPr="00373E13">
        <w:rPr>
          <w:rFonts w:ascii="Arial" w:hAnsi="Arial" w:cs="Arial"/>
          <w:noProof/>
          <w:sz w:val="22"/>
          <w:lang w:val="es-ES_tradnl"/>
        </w:rPr>
        <w:t>C</w:t>
      </w:r>
      <w:r w:rsidR="006A2383">
        <w:rPr>
          <w:rFonts w:ascii="Arial" w:eastAsia="Calibri" w:hAnsi="Arial" w:cs="Arial"/>
          <w:color w:val="000000" w:themeColor="text1"/>
          <w:sz w:val="22"/>
        </w:rPr>
        <w:t>–</w:t>
      </w:r>
      <w:r w:rsidR="006A2383" w:rsidRPr="00373E13">
        <w:rPr>
          <w:rFonts w:ascii="Arial" w:hAnsi="Arial" w:cs="Arial"/>
          <w:noProof/>
          <w:sz w:val="22"/>
          <w:lang w:val="es-ES_tradnl"/>
        </w:rPr>
        <w:t xml:space="preserve">345 del </w:t>
      </w:r>
      <w:r w:rsidR="006A2383">
        <w:rPr>
          <w:rFonts w:ascii="Arial" w:hAnsi="Arial" w:cs="Arial"/>
          <w:noProof/>
          <w:sz w:val="22"/>
          <w:lang w:val="es-ES_tradnl"/>
        </w:rPr>
        <w:t>23 de junio</w:t>
      </w:r>
      <w:r w:rsidR="006A2383" w:rsidRPr="00373E13">
        <w:rPr>
          <w:rFonts w:ascii="Arial" w:hAnsi="Arial" w:cs="Arial"/>
          <w:noProof/>
          <w:sz w:val="22"/>
          <w:lang w:val="es-ES_tradnl"/>
        </w:rPr>
        <w:t xml:space="preserve"> de 2020</w:t>
      </w:r>
      <w:r w:rsidR="006A2383">
        <w:rPr>
          <w:rFonts w:ascii="Arial" w:hAnsi="Arial" w:cs="Arial"/>
          <w:noProof/>
          <w:sz w:val="22"/>
          <w:lang w:val="es-ES_tradnl"/>
        </w:rPr>
        <w:t>,</w:t>
      </w:r>
      <w:r w:rsidR="006A2383" w:rsidRPr="005976DF">
        <w:rPr>
          <w:rFonts w:ascii="Arial" w:hAnsi="Arial" w:cs="Arial"/>
          <w:noProof/>
          <w:sz w:val="22"/>
          <w:lang w:val="es-ES_tradnl"/>
        </w:rPr>
        <w:t xml:space="preserve"> </w:t>
      </w:r>
      <w:r w:rsidR="006A2383" w:rsidRPr="00373E13">
        <w:rPr>
          <w:rFonts w:ascii="Arial" w:hAnsi="Arial" w:cs="Arial"/>
          <w:noProof/>
          <w:sz w:val="22"/>
          <w:lang w:val="es-ES_tradnl"/>
        </w:rPr>
        <w:t>C</w:t>
      </w:r>
      <w:r w:rsidR="006A2383">
        <w:rPr>
          <w:rFonts w:ascii="Arial" w:eastAsia="Calibri" w:hAnsi="Arial" w:cs="Arial"/>
          <w:color w:val="000000" w:themeColor="text1"/>
          <w:sz w:val="22"/>
        </w:rPr>
        <w:t>–</w:t>
      </w:r>
      <w:r w:rsidR="006A2383" w:rsidRPr="00373E13">
        <w:rPr>
          <w:rFonts w:ascii="Arial" w:hAnsi="Arial" w:cs="Arial"/>
          <w:noProof/>
          <w:sz w:val="22"/>
          <w:lang w:val="es-ES_tradnl"/>
        </w:rPr>
        <w:t>484 del 6 de agosto de 2020</w:t>
      </w:r>
      <w:r w:rsidR="006A2383">
        <w:rPr>
          <w:rFonts w:ascii="Arial" w:hAnsi="Arial" w:cs="Arial"/>
          <w:noProof/>
          <w:sz w:val="22"/>
          <w:lang w:val="es-ES_tradnl"/>
        </w:rPr>
        <w:t xml:space="preserve"> y </w:t>
      </w:r>
      <w:r w:rsidR="006A2383" w:rsidRPr="00373E13">
        <w:rPr>
          <w:rFonts w:ascii="Arial" w:hAnsi="Arial" w:cs="Arial"/>
          <w:noProof/>
          <w:sz w:val="22"/>
          <w:lang w:val="es-ES_tradnl"/>
        </w:rPr>
        <w:t>C</w:t>
      </w:r>
      <w:r w:rsidR="006A2383">
        <w:rPr>
          <w:rFonts w:ascii="Arial" w:eastAsia="Calibri" w:hAnsi="Arial" w:cs="Arial"/>
          <w:color w:val="000000" w:themeColor="text1"/>
          <w:sz w:val="22"/>
        </w:rPr>
        <w:t>–</w:t>
      </w:r>
      <w:r w:rsidR="006A2383" w:rsidRPr="00373E13">
        <w:rPr>
          <w:rFonts w:ascii="Arial" w:hAnsi="Arial" w:cs="Arial"/>
          <w:noProof/>
          <w:sz w:val="22"/>
          <w:lang w:val="es-ES_tradnl"/>
        </w:rPr>
        <w:t>608 del 1 de octubre de 2020</w:t>
      </w:r>
      <w:r w:rsidR="000E6606">
        <w:rPr>
          <w:rFonts w:ascii="Arial" w:hAnsi="Arial" w:cs="Arial"/>
          <w:noProof/>
          <w:sz w:val="22"/>
          <w:lang w:val="es-ES_tradnl"/>
        </w:rPr>
        <w:t xml:space="preserve">. </w:t>
      </w:r>
      <w:r w:rsidR="00B213A1">
        <w:rPr>
          <w:rFonts w:ascii="Arial" w:hAnsi="Arial" w:cs="Arial"/>
          <w:noProof/>
          <w:sz w:val="22"/>
          <w:lang w:val="es-ES_tradnl"/>
        </w:rPr>
        <w:t xml:space="preserve">Por otro lado, en los conceptos </w:t>
      </w:r>
      <w:r w:rsidR="00B213A1" w:rsidRPr="00B213A1">
        <w:rPr>
          <w:rFonts w:ascii="Arial" w:hAnsi="Arial" w:cs="Arial"/>
          <w:noProof/>
          <w:sz w:val="22"/>
          <w:lang w:val="es-ES_tradnl"/>
        </w:rPr>
        <w:t>4201912000005478 del 25</w:t>
      </w:r>
      <w:r w:rsidR="00B213A1">
        <w:rPr>
          <w:rFonts w:ascii="Arial" w:hAnsi="Arial" w:cs="Arial"/>
          <w:noProof/>
          <w:sz w:val="22"/>
          <w:lang w:val="es-ES_tradnl"/>
        </w:rPr>
        <w:t xml:space="preserve"> de septiembre de </w:t>
      </w:r>
      <w:r w:rsidR="00B213A1" w:rsidRPr="00B213A1">
        <w:rPr>
          <w:rFonts w:ascii="Arial" w:hAnsi="Arial" w:cs="Arial"/>
          <w:noProof/>
          <w:sz w:val="22"/>
          <w:lang w:val="es-ES_tradnl"/>
        </w:rPr>
        <w:t>2019</w:t>
      </w:r>
      <w:r w:rsidR="007F1DEE">
        <w:rPr>
          <w:rFonts w:ascii="Arial" w:hAnsi="Arial" w:cs="Arial"/>
          <w:noProof/>
          <w:sz w:val="22"/>
          <w:lang w:val="es-ES_tradnl"/>
        </w:rPr>
        <w:t>,</w:t>
      </w:r>
      <w:r w:rsidR="00B213A1">
        <w:rPr>
          <w:rFonts w:ascii="Arial" w:hAnsi="Arial" w:cs="Arial"/>
          <w:noProof/>
          <w:sz w:val="22"/>
          <w:lang w:val="es-ES_tradnl"/>
        </w:rPr>
        <w:t xml:space="preserve"> </w:t>
      </w:r>
      <w:r w:rsidR="00B213A1" w:rsidRPr="00B213A1">
        <w:rPr>
          <w:rFonts w:ascii="Arial" w:hAnsi="Arial" w:cs="Arial"/>
          <w:noProof/>
          <w:sz w:val="22"/>
          <w:lang w:val="es-ES_tradnl"/>
        </w:rPr>
        <w:t>4201912000006692 del 12</w:t>
      </w:r>
      <w:r w:rsidR="00B213A1">
        <w:rPr>
          <w:rFonts w:ascii="Arial" w:hAnsi="Arial" w:cs="Arial"/>
          <w:noProof/>
          <w:sz w:val="22"/>
          <w:lang w:val="es-ES_tradnl"/>
        </w:rPr>
        <w:t xml:space="preserve"> de noviembre de </w:t>
      </w:r>
      <w:r w:rsidR="00B213A1" w:rsidRPr="00B213A1">
        <w:rPr>
          <w:rFonts w:ascii="Arial" w:hAnsi="Arial" w:cs="Arial"/>
          <w:noProof/>
          <w:sz w:val="22"/>
          <w:lang w:val="es-ES_tradnl"/>
        </w:rPr>
        <w:t>2019</w:t>
      </w:r>
      <w:r w:rsidR="007F1DEE">
        <w:rPr>
          <w:rFonts w:ascii="Arial" w:hAnsi="Arial" w:cs="Arial"/>
          <w:noProof/>
          <w:sz w:val="22"/>
          <w:lang w:val="es-ES_tradnl"/>
        </w:rPr>
        <w:t xml:space="preserve"> y</w:t>
      </w:r>
      <w:r w:rsidR="00B213A1" w:rsidRPr="00B213A1">
        <w:rPr>
          <w:rFonts w:ascii="Arial" w:hAnsi="Arial" w:cs="Arial"/>
          <w:noProof/>
          <w:sz w:val="22"/>
          <w:lang w:val="es-ES_tradnl"/>
        </w:rPr>
        <w:t xml:space="preserve"> C-185 del 29</w:t>
      </w:r>
      <w:r w:rsidR="007F1DEE">
        <w:rPr>
          <w:rFonts w:ascii="Arial" w:hAnsi="Arial" w:cs="Arial"/>
          <w:noProof/>
          <w:sz w:val="22"/>
          <w:lang w:val="es-ES_tradnl"/>
        </w:rPr>
        <w:t xml:space="preserve"> de abril de </w:t>
      </w:r>
      <w:r w:rsidR="00B213A1" w:rsidRPr="00B213A1">
        <w:rPr>
          <w:rFonts w:ascii="Arial" w:hAnsi="Arial" w:cs="Arial"/>
          <w:noProof/>
          <w:sz w:val="22"/>
          <w:lang w:val="es-ES_tradnl"/>
        </w:rPr>
        <w:t>2021</w:t>
      </w:r>
      <w:r w:rsidR="007F1DEE">
        <w:rPr>
          <w:rFonts w:ascii="Arial" w:hAnsi="Arial" w:cs="Arial"/>
          <w:noProof/>
          <w:sz w:val="22"/>
          <w:lang w:val="es-ES_tradnl"/>
        </w:rPr>
        <w:t xml:space="preserve"> se estudió el alcance de la prohición constitucional establecida en el artículo 128 superior.</w:t>
      </w:r>
    </w:p>
    <w:p w14:paraId="2202AB43" w14:textId="28EC5D68" w:rsidR="006A2383" w:rsidRPr="000E6606" w:rsidRDefault="006A2383" w:rsidP="00996366">
      <w:pPr>
        <w:spacing w:line="276" w:lineRule="auto"/>
        <w:ind w:firstLine="708"/>
        <w:jc w:val="both"/>
        <w:rPr>
          <w:rFonts w:ascii="Arial" w:eastAsia="Calibri" w:hAnsi="Arial" w:cs="Arial"/>
          <w:sz w:val="22"/>
          <w:szCs w:val="22"/>
          <w:lang w:val="es-MX" w:eastAsia="en-US"/>
        </w:rPr>
      </w:pPr>
      <w:r>
        <w:rPr>
          <w:rFonts w:ascii="Arial" w:hAnsi="Arial" w:cs="Arial"/>
          <w:color w:val="000000" w:themeColor="text1"/>
          <w:sz w:val="22"/>
          <w:lang w:val="es-ES"/>
        </w:rPr>
        <w:t xml:space="preserve">De </w:t>
      </w:r>
      <w:r w:rsidR="00962D13">
        <w:rPr>
          <w:rFonts w:ascii="Arial" w:hAnsi="Arial" w:cs="Arial"/>
          <w:color w:val="000000" w:themeColor="text1"/>
          <w:sz w:val="22"/>
          <w:lang w:val="es-ES"/>
        </w:rPr>
        <w:t>otra parte</w:t>
      </w:r>
      <w:r w:rsidR="000E6606" w:rsidRPr="000E6606">
        <w:rPr>
          <w:rFonts w:ascii="Arial" w:eastAsia="Calibri" w:hAnsi="Arial" w:cs="Arial"/>
          <w:sz w:val="22"/>
          <w:szCs w:val="22"/>
          <w:lang w:val="es-MX" w:eastAsia="en-US"/>
        </w:rPr>
        <w:t>,</w:t>
      </w:r>
      <w:r w:rsidR="00D62647">
        <w:rPr>
          <w:rFonts w:ascii="Arial" w:eastAsia="Calibri" w:hAnsi="Arial" w:cs="Arial"/>
          <w:sz w:val="22"/>
          <w:szCs w:val="22"/>
          <w:lang w:val="es-MX" w:eastAsia="en-US"/>
        </w:rPr>
        <w:t xml:space="preserve"> la Agencia</w:t>
      </w:r>
      <w:r w:rsidR="000E6606" w:rsidRPr="000E6606">
        <w:rPr>
          <w:rFonts w:ascii="Arial" w:eastAsia="Calibri" w:hAnsi="Arial" w:cs="Arial"/>
          <w:sz w:val="22"/>
          <w:szCs w:val="22"/>
          <w:lang w:val="es-MX" w:eastAsia="en-US"/>
        </w:rPr>
        <w:t xml:space="preserve"> ha estudiado la naturaleza jurídica del régimen de inhabilidades e incompatibilidades para contratar con el Estado, señalando que constituyen un límite a la capacidad contractual; además de ello, ha profundizado en la forma de interpretación de estas restricciones. Dicho estudio se puede apreciar en los conceptos con radicados No. 4201912000004765 de 29 de agosto de 2019, 4201913000005694 del 3 de octubre de 2019, 4201912000006288 del 7 de septiembre de 2019, 4201912000006259 del 13 de noviembre de 2019, 4201913000006917 del 21 de noviembre de 2019, 4201912000006978 del 25 de noviembre de 2019, 4201912000007291 del 3 de diciembre de 2019, 4201912000007281 del 5 de diciembre de 2019, 4201912000007060 del 11 de diciembre de 2019, 4201912000007512 del 16  diciembre de 2019, 4201912000008460 del 14 de febrero de 2020, C−032 del 19 de febrero de 2020,  C−402 del 26 de junio de 2020, C−365 del 30 de junio de 2020, C−386 del 24 de julio de 2020, C-585 del 14 de septiembre de 2020, C–592 del 14 de septiembre de 2020, C−551 de 24 de septiembre de 2020, C−709 del 7 de diciembre de 2020, C–721 de 14 de diciembre de 2020, C–004 del 12 de febrero de 2021, C</w:t>
      </w:r>
      <w:r w:rsidR="006B5BAD">
        <w:rPr>
          <w:rFonts w:ascii="Arial" w:eastAsia="Calibri" w:hAnsi="Arial" w:cs="Arial"/>
          <w:sz w:val="22"/>
          <w:szCs w:val="22"/>
          <w:lang w:val="es-MX" w:eastAsia="en-US"/>
        </w:rPr>
        <w:t>-</w:t>
      </w:r>
      <w:r w:rsidR="000E6606" w:rsidRPr="000E6606">
        <w:rPr>
          <w:rFonts w:ascii="Arial" w:eastAsia="Calibri" w:hAnsi="Arial" w:cs="Arial"/>
          <w:sz w:val="22"/>
          <w:szCs w:val="22"/>
          <w:lang w:val="es-MX" w:eastAsia="en-US"/>
        </w:rPr>
        <w:t>815 del 18 de febrero de 2021, C</w:t>
      </w:r>
      <w:r w:rsidR="006B5BAD">
        <w:rPr>
          <w:rFonts w:ascii="Arial" w:eastAsia="Calibri" w:hAnsi="Arial" w:cs="Arial"/>
          <w:sz w:val="22"/>
          <w:szCs w:val="22"/>
          <w:lang w:val="es-MX" w:eastAsia="en-US"/>
        </w:rPr>
        <w:t>-</w:t>
      </w:r>
      <w:r w:rsidR="000E6606" w:rsidRPr="000E6606">
        <w:rPr>
          <w:rFonts w:ascii="Arial" w:eastAsia="Calibri" w:hAnsi="Arial" w:cs="Arial"/>
          <w:sz w:val="22"/>
          <w:szCs w:val="22"/>
          <w:lang w:val="es-MX" w:eastAsia="en-US"/>
        </w:rPr>
        <w:t>047 del 8 de marzo de 2021, C</w:t>
      </w:r>
      <w:r w:rsidR="006B5BAD">
        <w:rPr>
          <w:rFonts w:ascii="Arial" w:eastAsia="Calibri" w:hAnsi="Arial" w:cs="Arial"/>
          <w:sz w:val="22"/>
          <w:szCs w:val="22"/>
          <w:lang w:val="es-MX" w:eastAsia="en-US"/>
        </w:rPr>
        <w:t>-</w:t>
      </w:r>
      <w:r w:rsidR="000E6606" w:rsidRPr="000E6606">
        <w:rPr>
          <w:rFonts w:ascii="Arial" w:eastAsia="Calibri" w:hAnsi="Arial" w:cs="Arial"/>
          <w:sz w:val="22"/>
          <w:szCs w:val="22"/>
          <w:lang w:val="es-MX" w:eastAsia="en-US"/>
        </w:rPr>
        <w:t xml:space="preserve">113 del 30 de marzo de 2021, C–122 del 30 de marzo de 2021, C–178 del 28 de abril de 2021, entre otros. Algunos de los argumentos expuestos en estos conceptos se retoman a continuación: </w:t>
      </w:r>
    </w:p>
    <w:p w14:paraId="01ECE188" w14:textId="77777777" w:rsidR="006A2383" w:rsidRPr="006A2383" w:rsidRDefault="006A2383" w:rsidP="006A2383">
      <w:pPr>
        <w:spacing w:line="276" w:lineRule="auto"/>
        <w:ind w:firstLine="708"/>
        <w:jc w:val="both"/>
        <w:rPr>
          <w:rFonts w:ascii="Arial" w:eastAsia="Calibri" w:hAnsi="Arial" w:cs="Arial"/>
          <w:sz w:val="22"/>
          <w:szCs w:val="22"/>
          <w:lang w:val="es-ES"/>
        </w:rPr>
      </w:pPr>
    </w:p>
    <w:p w14:paraId="3659B21D" w14:textId="754B7A76" w:rsidR="003104CB" w:rsidRPr="00810952" w:rsidRDefault="006A2383" w:rsidP="003104CB">
      <w:pPr>
        <w:spacing w:line="276" w:lineRule="auto"/>
        <w:jc w:val="both"/>
        <w:rPr>
          <w:rFonts w:ascii="Arial" w:eastAsia="Calibri" w:hAnsi="Arial" w:cs="Arial"/>
          <w:b/>
          <w:bCs/>
          <w:color w:val="000000" w:themeColor="text1"/>
          <w:sz w:val="22"/>
          <w:lang w:val="es-ES_tradnl"/>
        </w:rPr>
      </w:pPr>
      <w:bookmarkStart w:id="1" w:name="_Hlk84855017"/>
      <w:r>
        <w:rPr>
          <w:rFonts w:ascii="Arial" w:eastAsia="Calibri" w:hAnsi="Arial" w:cs="Arial"/>
          <w:b/>
          <w:bCs/>
          <w:color w:val="000000" w:themeColor="text1"/>
          <w:sz w:val="22"/>
          <w:lang w:val="es-ES_tradnl"/>
        </w:rPr>
        <w:t>2.</w:t>
      </w:r>
      <w:r w:rsidR="003104CB" w:rsidRPr="00810952">
        <w:rPr>
          <w:rFonts w:ascii="Arial" w:eastAsia="Calibri" w:hAnsi="Arial" w:cs="Arial"/>
          <w:b/>
          <w:bCs/>
          <w:color w:val="000000" w:themeColor="text1"/>
          <w:sz w:val="22"/>
          <w:lang w:val="es-ES_tradnl"/>
        </w:rPr>
        <w:t>1. Contrato de prestación de servicios profesionales. Requisitos y límites para su celebración</w:t>
      </w:r>
    </w:p>
    <w:p w14:paraId="2A12CED0" w14:textId="77777777" w:rsidR="003104CB" w:rsidRPr="00810952" w:rsidRDefault="003104CB" w:rsidP="003104CB">
      <w:pPr>
        <w:spacing w:line="276" w:lineRule="auto"/>
        <w:jc w:val="both"/>
        <w:rPr>
          <w:rFonts w:ascii="Arial" w:eastAsia="Calibri" w:hAnsi="Arial" w:cs="Arial"/>
          <w:color w:val="000000" w:themeColor="text1"/>
          <w:sz w:val="22"/>
          <w:lang w:val="es-ES_tradnl"/>
        </w:rPr>
      </w:pPr>
    </w:p>
    <w:p w14:paraId="2E94D7F5" w14:textId="77777777" w:rsidR="003104CB" w:rsidRPr="00810952" w:rsidRDefault="003104CB" w:rsidP="003104CB">
      <w:pPr>
        <w:spacing w:line="276" w:lineRule="auto"/>
        <w:jc w:val="both"/>
        <w:rPr>
          <w:rFonts w:ascii="Arial" w:hAnsi="Arial" w:cs="Arial"/>
          <w:color w:val="000000" w:themeColor="text1"/>
          <w:sz w:val="22"/>
          <w:lang w:val="es-ES_tradnl"/>
        </w:rPr>
      </w:pPr>
      <w:r w:rsidRPr="00810952">
        <w:rPr>
          <w:rFonts w:ascii="Arial" w:hAnsi="Arial" w:cs="Arial"/>
          <w:color w:val="000000" w:themeColor="text1"/>
          <w:sz w:val="22"/>
          <w:lang w:val="es-ES_tradnl"/>
        </w:rPr>
        <w:lastRenderedPageBreak/>
        <w:t>El contrato de prestación de servicios profesionales es uno de los tipos contractuales consagrados en el Estatuto General de Contratación de la Administración Pública, que pueden celebrar las entidades estatales. Se trata de un contrato típico, ya que se encuentra definido en la ley. Concretamente, el artículo 32, numeral 3º, de la Ley 80 de 1993, establece:</w:t>
      </w:r>
    </w:p>
    <w:p w14:paraId="1F2D960B" w14:textId="77777777" w:rsidR="003104CB" w:rsidRPr="00810952" w:rsidRDefault="003104CB" w:rsidP="003104CB">
      <w:pPr>
        <w:spacing w:line="276" w:lineRule="auto"/>
        <w:jc w:val="both"/>
        <w:rPr>
          <w:rFonts w:ascii="Arial" w:hAnsi="Arial" w:cs="Arial"/>
          <w:color w:val="000000" w:themeColor="text1"/>
          <w:sz w:val="22"/>
          <w:lang w:val="es-ES_tradnl"/>
        </w:rPr>
      </w:pPr>
    </w:p>
    <w:p w14:paraId="32E1D4C7" w14:textId="77777777" w:rsidR="003104CB" w:rsidRPr="00810952" w:rsidRDefault="003104CB" w:rsidP="003104CB">
      <w:pPr>
        <w:ind w:left="709" w:right="709"/>
        <w:jc w:val="both"/>
        <w:rPr>
          <w:rFonts w:ascii="Arial" w:eastAsia="Calibri" w:hAnsi="Arial" w:cs="Arial"/>
          <w:color w:val="000000" w:themeColor="text1"/>
          <w:sz w:val="21"/>
          <w:szCs w:val="21"/>
          <w:lang w:val="es-ES_tradnl"/>
        </w:rPr>
      </w:pPr>
      <w:r w:rsidRPr="00AD1A2A">
        <w:rPr>
          <w:rFonts w:ascii="Arial" w:eastAsia="Calibri" w:hAnsi="Arial" w:cs="Arial"/>
          <w:color w:val="000000" w:themeColor="text1"/>
          <w:sz w:val="21"/>
          <w:szCs w:val="21"/>
          <w:lang w:val="es-ES_tradnl"/>
        </w:rPr>
        <w:t>«</w:t>
      </w:r>
      <w:r w:rsidRPr="00810952">
        <w:rPr>
          <w:rFonts w:ascii="Arial" w:eastAsia="Calibri" w:hAnsi="Arial" w:cs="Arial"/>
          <w:color w:val="000000" w:themeColor="text1"/>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1CAC9349" w14:textId="77777777" w:rsidR="003104CB" w:rsidRPr="00810952" w:rsidRDefault="003104CB" w:rsidP="003104CB">
      <w:pPr>
        <w:ind w:left="709" w:right="709"/>
        <w:jc w:val="both"/>
        <w:rPr>
          <w:rFonts w:ascii="Arial" w:eastAsia="Calibri" w:hAnsi="Arial" w:cs="Arial"/>
          <w:color w:val="000000" w:themeColor="text1"/>
          <w:sz w:val="21"/>
          <w:szCs w:val="21"/>
          <w:lang w:val="es-ES_tradnl"/>
        </w:rPr>
      </w:pPr>
    </w:p>
    <w:p w14:paraId="239B2BD1" w14:textId="77777777" w:rsidR="003104CB" w:rsidRPr="00810952" w:rsidRDefault="003104CB" w:rsidP="003104CB">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En ningún caso estos contratos generan relación laboral ni prestaciones sociales y se celebrarán por el término estrictamente indispensable.</w:t>
      </w:r>
      <w:r w:rsidRPr="00AD1A2A">
        <w:rPr>
          <w:rFonts w:ascii="Arial" w:eastAsia="Calibri" w:hAnsi="Arial" w:cs="Arial"/>
          <w:color w:val="000000" w:themeColor="text1"/>
          <w:sz w:val="21"/>
          <w:szCs w:val="21"/>
          <w:lang w:val="es-ES_tradnl"/>
        </w:rPr>
        <w:t>»</w:t>
      </w:r>
    </w:p>
    <w:p w14:paraId="12ECB1AB" w14:textId="77777777" w:rsidR="003104CB" w:rsidRPr="00810952" w:rsidRDefault="003104CB" w:rsidP="003104CB">
      <w:pPr>
        <w:pStyle w:val="Prrafodelista"/>
        <w:tabs>
          <w:tab w:val="left" w:pos="284"/>
        </w:tabs>
        <w:spacing w:line="276" w:lineRule="auto"/>
        <w:ind w:left="0"/>
        <w:jc w:val="both"/>
        <w:rPr>
          <w:rFonts w:ascii="Arial" w:eastAsia="Calibri" w:hAnsi="Arial" w:cs="Arial"/>
          <w:b/>
          <w:color w:val="000000" w:themeColor="text1"/>
          <w:sz w:val="22"/>
          <w:lang w:val="es-ES_tradnl"/>
        </w:rPr>
      </w:pPr>
    </w:p>
    <w:p w14:paraId="1D689E34"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De otro lado, la celebración de dicho contrato se debe efectuar a través de la modalidad de la contratación directa. Así lo prevé el artículo 2, numeral 4º, literal h) de la Ley 1150 de 2007, que dispone:</w:t>
      </w:r>
    </w:p>
    <w:p w14:paraId="5189E364"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p>
    <w:p w14:paraId="31E55D81" w14:textId="77777777" w:rsidR="003104CB" w:rsidRPr="00810952" w:rsidRDefault="003104CB" w:rsidP="003104CB">
      <w:pPr>
        <w:ind w:left="709" w:right="709"/>
        <w:jc w:val="both"/>
        <w:rPr>
          <w:rFonts w:ascii="Arial" w:eastAsia="Calibri" w:hAnsi="Arial" w:cs="Arial"/>
          <w:color w:val="000000" w:themeColor="text1"/>
          <w:sz w:val="21"/>
          <w:szCs w:val="21"/>
          <w:lang w:val="es-ES_tradnl"/>
        </w:rPr>
      </w:pPr>
      <w:r w:rsidRPr="00AD1A2A">
        <w:rPr>
          <w:rFonts w:ascii="Arial" w:eastAsia="Calibri" w:hAnsi="Arial" w:cs="Arial"/>
          <w:color w:val="000000" w:themeColor="text1"/>
          <w:sz w:val="21"/>
          <w:szCs w:val="21"/>
          <w:lang w:val="es-ES_tradnl"/>
        </w:rPr>
        <w:t>«</w:t>
      </w:r>
      <w:r w:rsidRPr="00810952">
        <w:rPr>
          <w:rFonts w:ascii="Arial" w:eastAsia="Calibri" w:hAnsi="Arial" w:cs="Arial"/>
          <w:color w:val="000000" w:themeColor="text1"/>
          <w:sz w:val="21"/>
          <w:szCs w:val="21"/>
          <w:lang w:val="es-ES_tradnl"/>
        </w:rPr>
        <w:t>[…]</w:t>
      </w:r>
    </w:p>
    <w:p w14:paraId="4740E01A" w14:textId="77777777" w:rsidR="003104CB" w:rsidRPr="00810952" w:rsidRDefault="003104CB" w:rsidP="003104CB">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Contratación directa. La modalidad de selección de contratación directa, solamente procederá en los siguientes casos:</w:t>
      </w:r>
    </w:p>
    <w:p w14:paraId="1EE20ECD" w14:textId="77777777" w:rsidR="003104CB" w:rsidRPr="00810952" w:rsidRDefault="003104CB" w:rsidP="003104CB">
      <w:pPr>
        <w:ind w:left="709" w:right="709"/>
        <w:jc w:val="both"/>
        <w:rPr>
          <w:rFonts w:ascii="Arial" w:eastAsia="Calibri" w:hAnsi="Arial" w:cs="Arial"/>
          <w:color w:val="000000" w:themeColor="text1"/>
          <w:sz w:val="21"/>
          <w:szCs w:val="21"/>
          <w:lang w:val="es-ES_tradnl"/>
        </w:rPr>
      </w:pPr>
    </w:p>
    <w:p w14:paraId="615EA1A4" w14:textId="77777777" w:rsidR="003104CB" w:rsidRDefault="003104CB" w:rsidP="003104CB">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w:t>
      </w:r>
    </w:p>
    <w:p w14:paraId="5F3E90F3" w14:textId="77777777" w:rsidR="009F532D" w:rsidRPr="00810952" w:rsidRDefault="009F532D" w:rsidP="003104CB">
      <w:pPr>
        <w:ind w:left="709" w:right="709"/>
        <w:jc w:val="both"/>
        <w:rPr>
          <w:rFonts w:ascii="Arial" w:eastAsia="Calibri" w:hAnsi="Arial" w:cs="Arial"/>
          <w:color w:val="000000" w:themeColor="text1"/>
          <w:sz w:val="21"/>
          <w:szCs w:val="21"/>
          <w:lang w:val="es-ES_tradnl"/>
        </w:rPr>
      </w:pPr>
    </w:p>
    <w:p w14:paraId="066C0240" w14:textId="77777777" w:rsidR="003104CB" w:rsidRPr="00810952" w:rsidRDefault="003104CB" w:rsidP="003104CB">
      <w:pPr>
        <w:ind w:left="709" w:right="709"/>
        <w:jc w:val="both"/>
        <w:rPr>
          <w:rFonts w:ascii="Arial" w:eastAsia="Calibri" w:hAnsi="Arial" w:cs="Arial"/>
          <w:color w:val="000000" w:themeColor="text1"/>
          <w:sz w:val="21"/>
          <w:szCs w:val="21"/>
          <w:lang w:val="es-ES_tradnl"/>
        </w:rPr>
      </w:pPr>
      <w:r w:rsidRPr="00810952">
        <w:rPr>
          <w:rFonts w:ascii="Arial" w:eastAsia="Calibri" w:hAnsi="Arial" w:cs="Arial"/>
          <w:color w:val="000000" w:themeColor="text1"/>
          <w:sz w:val="21"/>
          <w:szCs w:val="21"/>
          <w:lang w:val="es-ES_tradnl"/>
        </w:rPr>
        <w:t>h) Para la prestación de servicios profesionales y de apoyo a la gestión, o para la ejecución de trabajos artísticos que sólo puedan encomendarse a determinadas personas naturales;</w:t>
      </w:r>
      <w:r w:rsidRPr="00AD1A2A">
        <w:rPr>
          <w:rFonts w:ascii="Arial" w:eastAsia="Calibri" w:hAnsi="Arial" w:cs="Arial"/>
          <w:color w:val="000000" w:themeColor="text1"/>
          <w:sz w:val="21"/>
          <w:szCs w:val="21"/>
          <w:lang w:val="es-ES_tradnl"/>
        </w:rPr>
        <w:t>»</w:t>
      </w:r>
    </w:p>
    <w:p w14:paraId="789EF36A" w14:textId="77777777" w:rsidR="003104CB" w:rsidRPr="00810952" w:rsidRDefault="003104CB" w:rsidP="003104CB">
      <w:pPr>
        <w:ind w:right="709"/>
        <w:jc w:val="both"/>
        <w:rPr>
          <w:rFonts w:ascii="Arial" w:eastAsia="Calibri" w:hAnsi="Arial" w:cs="Arial"/>
          <w:color w:val="000000" w:themeColor="text1"/>
          <w:sz w:val="22"/>
          <w:lang w:val="es-ES_tradnl"/>
        </w:rPr>
      </w:pPr>
    </w:p>
    <w:p w14:paraId="04ED231F"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A partir de estos enunciados normativos de carácter legal y reglamentario, que complementan su regulación, y de los pronunciamientos judiciales más destacados sobre el tema, es posible señalar las siguientes características del contrato de prestación de servicios profesionales:</w:t>
      </w:r>
    </w:p>
    <w:p w14:paraId="1869083F" w14:textId="77777777" w:rsidR="003104CB" w:rsidRPr="00810952" w:rsidRDefault="003104CB" w:rsidP="003104CB">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106E2445" w14:textId="77777777" w:rsidR="003104CB" w:rsidRPr="00810952" w:rsidRDefault="003104CB" w:rsidP="003104CB">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Esto puede suceder en varios eventos, como, por ejemplo, que, efectivamente, no exista el personal de planta para encargarse de dichas labores; que </w:t>
      </w:r>
      <w:r w:rsidRPr="00810952">
        <w:rPr>
          <w:rFonts w:ascii="Arial" w:hAnsi="Arial" w:cs="Arial"/>
          <w:color w:val="000000" w:themeColor="text1"/>
          <w:sz w:val="22"/>
          <w:lang w:val="es-ES_tradnl"/>
        </w:rPr>
        <w:lastRenderedPageBreak/>
        <w:t>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6C721433" w14:textId="77777777" w:rsidR="003104CB" w:rsidRPr="00810952" w:rsidRDefault="003104CB" w:rsidP="003104CB">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iii) Si bien se celebran para obtener la prestación personal de un servicio, se diferencian del contrato de trabajo</w:t>
      </w:r>
      <w:r w:rsidRPr="00810952">
        <w:rPr>
          <w:rStyle w:val="Refdenotaalpie"/>
          <w:rFonts w:ascii="Arial" w:hAnsi="Arial" w:cs="Arial"/>
          <w:color w:val="000000" w:themeColor="text1"/>
          <w:sz w:val="22"/>
          <w:lang w:val="es-ES_tradnl"/>
        </w:rPr>
        <w:footnoteReference w:id="2"/>
      </w:r>
      <w:r w:rsidRPr="00810952">
        <w:rPr>
          <w:rFonts w:ascii="Arial" w:hAnsi="Arial" w:cs="Arial"/>
          <w:color w:val="000000" w:themeColor="text1"/>
          <w:sz w:val="22"/>
          <w:lang w:val="es-ES_tradnl"/>
        </w:rPr>
        <w:t xml:space="preserve"> en que quien celebra el contrato de prestación de servicios profesionales debe mantener autonomía e independencia en la ejecución de la labor, lo que significa que no puede existir la </w:t>
      </w:r>
      <w:r w:rsidRPr="00810952">
        <w:rPr>
          <w:rFonts w:ascii="Arial" w:hAnsi="Arial" w:cs="Arial"/>
          <w:i/>
          <w:color w:val="000000" w:themeColor="text1"/>
          <w:sz w:val="22"/>
          <w:lang w:val="es-ES_tradnl"/>
        </w:rPr>
        <w:t>subordinación y dependencia</w:t>
      </w:r>
      <w:r w:rsidRPr="00810952">
        <w:rPr>
          <w:rFonts w:ascii="Arial" w:hAnsi="Arial" w:cs="Arial"/>
          <w:iCs/>
          <w:color w:val="000000" w:themeColor="text1"/>
          <w:sz w:val="22"/>
          <w:lang w:val="es-ES_tradnl"/>
        </w:rPr>
        <w:t>,</w:t>
      </w:r>
      <w:r w:rsidRPr="00810952">
        <w:rPr>
          <w:rFonts w:ascii="Arial" w:hAnsi="Arial" w:cs="Arial"/>
          <w:color w:val="000000" w:themeColor="text1"/>
          <w:sz w:val="22"/>
          <w:lang w:val="es-ES_tradnl"/>
        </w:rPr>
        <w:t xml:space="preserve"> que es uno de los elementos constitutivos del vínculo laboral. Por ello 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810952">
        <w:rPr>
          <w:rFonts w:ascii="Arial" w:hAnsi="Arial" w:cs="Arial"/>
          <w:i/>
          <w:color w:val="000000" w:themeColor="text1"/>
          <w:sz w:val="22"/>
          <w:lang w:val="es-ES_tradnl"/>
        </w:rPr>
        <w:t>no pueden</w:t>
      </w:r>
      <w:r w:rsidRPr="00810952">
        <w:rPr>
          <w:rFonts w:ascii="Arial" w:hAnsi="Arial" w:cs="Arial"/>
          <w:color w:val="000000" w:themeColor="text1"/>
          <w:sz w:val="22"/>
          <w:lang w:val="es-ES_tradnl"/>
        </w:rPr>
        <w:t xml:space="preserve"> generar relación laboral, ni dar lugar a que las entidades estatales paguen por su cuenta los aportes al Sistema de Seguridad Social Integral del contratista. Ello por cuanto, según se indicó, en dichos contratos no puede existir subordinación y dependencia; entonces, la relación laboral está proscrita y es el contratista quien, como «trabajador independiente» –como lo califican las normas en materia de seguridad social– debe cotizar por su cuenta y riesgo al Sistema de Seguridad Social Integral</w:t>
      </w:r>
      <w:r w:rsidRPr="00810952">
        <w:rPr>
          <w:rStyle w:val="Refdenotaalpie"/>
          <w:rFonts w:ascii="Arial" w:hAnsi="Arial" w:cs="Arial"/>
          <w:color w:val="000000" w:themeColor="text1"/>
          <w:sz w:val="22"/>
          <w:lang w:val="es-ES_tradnl"/>
        </w:rPr>
        <w:footnoteReference w:id="3"/>
      </w:r>
      <w:r w:rsidRPr="00810952">
        <w:rPr>
          <w:rFonts w:ascii="Arial" w:hAnsi="Arial" w:cs="Arial"/>
          <w:color w:val="000000" w:themeColor="text1"/>
          <w:sz w:val="22"/>
          <w:lang w:val="es-ES_tradnl"/>
        </w:rPr>
        <w:t xml:space="preserve">. Pero es posible que, a pesar de este mandato deontológico, en la práctica surja la relación laboral, pues, como se sabe, el contrato de trabajo es un </w:t>
      </w:r>
      <w:r w:rsidRPr="00810952">
        <w:rPr>
          <w:rFonts w:ascii="Arial" w:hAnsi="Arial" w:cs="Arial"/>
          <w:i/>
          <w:color w:val="000000" w:themeColor="text1"/>
          <w:sz w:val="22"/>
          <w:lang w:val="es-ES_tradnl"/>
        </w:rPr>
        <w:t>contrato realidad</w:t>
      </w:r>
      <w:r w:rsidRPr="00810952">
        <w:rPr>
          <w:rFonts w:ascii="Arial" w:hAnsi="Arial" w:cs="Arial"/>
          <w:color w:val="000000" w:themeColor="text1"/>
          <w:sz w:val="22"/>
          <w:lang w:val="es-ES_tradnl"/>
        </w:rPr>
        <w:t xml:space="preserve">, ya que para su perfeccionamiento rige el principio de la prevalencia de la realidad sobre las formalidades. Por ello, la Corte Constitucional declaró la constitucionalidad condicionada del segundo inciso del numeral 3º del artículo 32, indicando que «las expresiones acusadas </w:t>
      </w:r>
      <w:r w:rsidRPr="00810952">
        <w:rPr>
          <w:rFonts w:ascii="Arial" w:hAnsi="Arial" w:cs="Arial"/>
          <w:color w:val="000000" w:themeColor="text1"/>
          <w:sz w:val="22"/>
          <w:lang w:val="es-ES_tradnl"/>
        </w:rPr>
        <w:lastRenderedPageBreak/>
        <w:t>del numeral 3o. del artículo 32 de la Ley 80 de 1993, no vulneran los preceptos constitucionales, razón por la cual deberán ser declaradas exequibles, salvo que se acredite por parte del contratista la existencia de una relación laboral subordinada»</w:t>
      </w:r>
      <w:r w:rsidRPr="00810952">
        <w:rPr>
          <w:rStyle w:val="Refdenotaalpie"/>
          <w:rFonts w:ascii="Arial" w:hAnsi="Arial" w:cs="Arial"/>
          <w:color w:val="000000" w:themeColor="text1"/>
          <w:sz w:val="22"/>
          <w:lang w:val="es-ES_tradnl"/>
        </w:rPr>
        <w:footnoteReference w:id="4"/>
      </w:r>
      <w:r w:rsidRPr="00810952">
        <w:rPr>
          <w:rFonts w:ascii="Arial" w:hAnsi="Arial" w:cs="Arial"/>
          <w:color w:val="000000" w:themeColor="text1"/>
          <w:sz w:val="22"/>
          <w:lang w:val="es-ES_tradnl"/>
        </w:rPr>
        <w:t>.</w:t>
      </w:r>
    </w:p>
    <w:p w14:paraId="6F7DDE03"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iv) Deben ser temporales. Así lo señaló la Corte Constitucional en la misma providencia a la que se aludió previamente, expresando que:</w:t>
      </w:r>
    </w:p>
    <w:p w14:paraId="4ABB1219"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p>
    <w:p w14:paraId="05B23069" w14:textId="77777777" w:rsidR="003104CB" w:rsidRPr="00810952" w:rsidRDefault="003104CB" w:rsidP="003104CB">
      <w:pPr>
        <w:ind w:left="709" w:right="709"/>
        <w:jc w:val="both"/>
        <w:rPr>
          <w:rFonts w:ascii="Arial" w:hAnsi="Arial" w:cs="Arial"/>
          <w:color w:val="000000" w:themeColor="text1"/>
          <w:sz w:val="21"/>
          <w:szCs w:val="21"/>
          <w:lang w:val="es-ES_tradnl"/>
        </w:rPr>
      </w:pPr>
      <w:r w:rsidRPr="00AD1A2A">
        <w:rPr>
          <w:rFonts w:ascii="Arial" w:eastAsia="Calibri" w:hAnsi="Arial" w:cs="Arial"/>
          <w:color w:val="000000" w:themeColor="text1"/>
          <w:sz w:val="21"/>
          <w:szCs w:val="21"/>
          <w:lang w:val="es-ES_tradnl"/>
        </w:rPr>
        <w:t>«</w:t>
      </w:r>
      <w:r w:rsidRPr="00810952">
        <w:rPr>
          <w:rFonts w:ascii="Arial" w:hAnsi="Arial" w:cs="Arial"/>
          <w:color w:val="000000" w:themeColor="text1"/>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Pr>
          <w:rFonts w:ascii="Arial" w:hAnsi="Arial" w:cs="Arial"/>
          <w:color w:val="000000" w:themeColor="text1"/>
          <w:sz w:val="21"/>
          <w:szCs w:val="21"/>
          <w:lang w:val="es-ES_tradnl"/>
        </w:rPr>
        <w:t>.</w:t>
      </w:r>
      <w:r w:rsidRPr="00AD1A2A">
        <w:rPr>
          <w:rFonts w:ascii="Arial" w:eastAsia="Calibri" w:hAnsi="Arial" w:cs="Arial"/>
          <w:color w:val="000000" w:themeColor="text1"/>
          <w:sz w:val="21"/>
          <w:szCs w:val="21"/>
          <w:lang w:val="es-ES_tradnl"/>
        </w:rPr>
        <w:t>»</w:t>
      </w:r>
      <w:r w:rsidRPr="00810952">
        <w:rPr>
          <w:rStyle w:val="Refdenotaalpie"/>
          <w:rFonts w:ascii="Arial" w:hAnsi="Arial" w:cs="Arial"/>
          <w:color w:val="000000" w:themeColor="text1"/>
          <w:sz w:val="21"/>
          <w:szCs w:val="21"/>
          <w:lang w:val="es-ES_tradnl"/>
        </w:rPr>
        <w:footnoteReference w:id="5"/>
      </w:r>
    </w:p>
    <w:p w14:paraId="1FF7F221"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p>
    <w:p w14:paraId="0610A87E"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 xml:space="preserve">v) Los contratos de prestación de servicios profesionales hacen parte del género denominado </w:t>
      </w:r>
      <w:r w:rsidRPr="00810952">
        <w:rPr>
          <w:rFonts w:ascii="Arial" w:hAnsi="Arial" w:cs="Arial"/>
          <w:i/>
          <w:color w:val="000000" w:themeColor="text1"/>
          <w:sz w:val="22"/>
          <w:lang w:val="es-ES_tradnl"/>
        </w:rPr>
        <w:t>contratos de prestación de servicios</w:t>
      </w:r>
      <w:r w:rsidRPr="00810952">
        <w:rPr>
          <w:rFonts w:ascii="Arial" w:hAnsi="Arial" w:cs="Arial"/>
          <w:color w:val="000000" w:themeColor="text1"/>
          <w:sz w:val="22"/>
          <w:lang w:val="es-ES_tradnl"/>
        </w:rPr>
        <w:t>, dentro del cual también se ubican, como especies, los contratos de prestación de servicios de apoyo a la gestión y los contratos de prestación de servicios artísticos que solo pueden encomendarse a determinadas personas naturales</w:t>
      </w:r>
      <w:r w:rsidRPr="00810952">
        <w:rPr>
          <w:rStyle w:val="Refdenotaalpie"/>
          <w:rFonts w:ascii="Arial" w:hAnsi="Arial" w:cs="Arial"/>
          <w:color w:val="000000" w:themeColor="text1"/>
          <w:sz w:val="22"/>
          <w:lang w:val="es-ES_tradnl"/>
        </w:rPr>
        <w:footnoteReference w:id="6"/>
      </w:r>
      <w:r w:rsidRPr="00810952">
        <w:rPr>
          <w:rFonts w:ascii="Arial" w:hAnsi="Arial" w:cs="Arial"/>
          <w:color w:val="000000" w:themeColor="text1"/>
          <w:sz w:val="22"/>
          <w:lang w:val="es-ES_tradnl"/>
        </w:rPr>
        <w:t xml:space="preserve">. La diferencia entre el contrato de prestación de servicios </w:t>
      </w:r>
      <w:r w:rsidRPr="00810952">
        <w:rPr>
          <w:rFonts w:ascii="Arial" w:hAnsi="Arial" w:cs="Arial"/>
          <w:i/>
          <w:color w:val="000000" w:themeColor="text1"/>
          <w:sz w:val="22"/>
          <w:lang w:val="es-ES_tradnl"/>
        </w:rPr>
        <w:t>profesionales</w:t>
      </w:r>
      <w:r w:rsidRPr="00810952">
        <w:rPr>
          <w:rFonts w:ascii="Arial" w:hAnsi="Arial" w:cs="Arial"/>
          <w:color w:val="000000" w:themeColor="text1"/>
          <w:sz w:val="22"/>
          <w:lang w:val="es-ES_tradnl"/>
        </w:rPr>
        <w:t xml:space="preserve"> con las otras dos especies del género en el cual se ubican radica en su contenido intelectual intangible y, al mismo tiempo, en la formación profesional que se exige para desempeñar la labor. Así lo consideró el Consejo de Estado en sentencia de unificación jurisprudencial </w:t>
      </w:r>
      <w:r w:rsidRPr="00810952">
        <w:rPr>
          <w:rFonts w:ascii="Arial" w:hAnsi="Arial" w:cs="Arial"/>
          <w:color w:val="000000" w:themeColor="text1"/>
          <w:sz w:val="22"/>
          <w:lang w:val="es-ES_tradnl"/>
        </w:rPr>
        <w:lastRenderedPageBreak/>
        <w:t>del 2 de diciembre de 2013, al indicar, respecto del contrato de prestación de servicios profesionales, que:</w:t>
      </w:r>
    </w:p>
    <w:p w14:paraId="481CAEB5"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p>
    <w:p w14:paraId="0F6733CB" w14:textId="77777777" w:rsidR="003104CB" w:rsidRPr="00810952" w:rsidRDefault="003104CB" w:rsidP="003104CB">
      <w:pPr>
        <w:ind w:left="709" w:right="709"/>
        <w:jc w:val="both"/>
        <w:rPr>
          <w:rFonts w:ascii="Arial" w:hAnsi="Arial" w:cs="Arial"/>
          <w:color w:val="000000" w:themeColor="text1"/>
          <w:sz w:val="21"/>
          <w:szCs w:val="21"/>
          <w:lang w:val="es-ES_tradnl"/>
        </w:rPr>
      </w:pPr>
      <w:r w:rsidRPr="00AD1A2A">
        <w:rPr>
          <w:rFonts w:ascii="Arial" w:eastAsia="Calibri" w:hAnsi="Arial" w:cs="Arial"/>
          <w:color w:val="000000" w:themeColor="text1"/>
          <w:sz w:val="21"/>
          <w:szCs w:val="21"/>
          <w:lang w:val="es-ES_tradnl"/>
        </w:rPr>
        <w:t>«</w:t>
      </w:r>
      <w:r w:rsidRPr="00810952">
        <w:rPr>
          <w:rFonts w:ascii="Arial" w:hAnsi="Arial" w:cs="Arial"/>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Pr>
          <w:rFonts w:ascii="Arial" w:hAnsi="Arial" w:cs="Arial"/>
          <w:color w:val="000000" w:themeColor="text1"/>
          <w:sz w:val="21"/>
          <w:szCs w:val="21"/>
          <w:lang w:val="es-ES_tradnl"/>
        </w:rPr>
        <w:t>.</w:t>
      </w:r>
      <w:r w:rsidRPr="00C34DC5">
        <w:rPr>
          <w:rFonts w:ascii="Arial" w:hAnsi="Arial" w:cs="Arial"/>
          <w:color w:val="000000" w:themeColor="text1"/>
          <w:sz w:val="21"/>
          <w:szCs w:val="21"/>
          <w:lang w:val="es-ES_tradnl"/>
        </w:rPr>
        <w:t>»</w:t>
      </w:r>
      <w:r w:rsidRPr="00810952">
        <w:rPr>
          <w:rStyle w:val="Refdenotaalpie"/>
          <w:rFonts w:ascii="Arial" w:hAnsi="Arial" w:cs="Arial"/>
          <w:color w:val="000000" w:themeColor="text1"/>
          <w:sz w:val="21"/>
          <w:szCs w:val="21"/>
          <w:lang w:val="es-ES_tradnl"/>
        </w:rPr>
        <w:footnoteReference w:id="7"/>
      </w:r>
    </w:p>
    <w:p w14:paraId="053AA4A7"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p>
    <w:p w14:paraId="35CB4D18"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El o</w:t>
      </w:r>
      <w:r w:rsidRPr="00810952">
        <w:rPr>
          <w:rFonts w:ascii="Arial" w:hAnsi="Arial" w:cs="Arial"/>
          <w:color w:val="000000" w:themeColor="text1"/>
          <w:sz w:val="22"/>
          <w:lang w:val="es-ES_tradnl"/>
        </w:rPr>
        <w:t xml:space="preserve">bjeto </w:t>
      </w:r>
      <w:r>
        <w:rPr>
          <w:rFonts w:ascii="Arial" w:hAnsi="Arial" w:cs="Arial"/>
          <w:color w:val="000000" w:themeColor="text1"/>
          <w:sz w:val="22"/>
          <w:lang w:val="es-ES_tradnl"/>
        </w:rPr>
        <w:t>del tipo contractual en comento</w:t>
      </w:r>
      <w:r w:rsidRPr="00810952">
        <w:rPr>
          <w:rFonts w:ascii="Arial" w:hAnsi="Arial" w:cs="Arial"/>
          <w:color w:val="000000" w:themeColor="text1"/>
          <w:sz w:val="22"/>
          <w:lang w:val="es-ES_tradnl"/>
        </w:rPr>
        <w:t>, según la sentencia que se cita, se diferencia del objeto del contrato de prestación de servicios de apoyo a la gestión, porque en este:</w:t>
      </w:r>
    </w:p>
    <w:p w14:paraId="535974EC"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p>
    <w:p w14:paraId="29E76E75" w14:textId="77777777" w:rsidR="003104CB" w:rsidRPr="00810952" w:rsidRDefault="003104CB" w:rsidP="003104CB">
      <w:pPr>
        <w:spacing w:after="120"/>
        <w:ind w:left="709" w:right="709"/>
        <w:jc w:val="both"/>
        <w:rPr>
          <w:rFonts w:ascii="Arial" w:hAnsi="Arial" w:cs="Arial"/>
          <w:color w:val="000000" w:themeColor="text1"/>
          <w:sz w:val="21"/>
          <w:szCs w:val="21"/>
          <w:lang w:val="es-ES_tradnl"/>
        </w:rPr>
      </w:pPr>
      <w:r w:rsidRPr="00AD1A2A">
        <w:rPr>
          <w:rFonts w:ascii="Arial" w:eastAsia="Calibri" w:hAnsi="Arial" w:cs="Arial"/>
          <w:color w:val="000000" w:themeColor="text1"/>
          <w:sz w:val="21"/>
          <w:szCs w:val="21"/>
          <w:lang w:val="es-ES_tradnl"/>
        </w:rPr>
        <w:t>«</w:t>
      </w:r>
      <w:r w:rsidRPr="00810952">
        <w:rPr>
          <w:rFonts w:ascii="Arial" w:hAnsi="Arial" w:cs="Arial"/>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2E85477C" w14:textId="77777777" w:rsidR="003104CB" w:rsidRPr="00810952" w:rsidRDefault="003104CB" w:rsidP="003104CB">
      <w:pPr>
        <w:spacing w:after="120"/>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Aunque también se caracteriza por el desempeño de actividad intelectiva, ésta se enmarca dentro de un saber propiamente técnico; igualmente involucra actividades en donde prima el esfuerzo físico o mecánico, en donde no se requiere de personal profesional.</w:t>
      </w:r>
    </w:p>
    <w:p w14:paraId="4A1436BD" w14:textId="77777777" w:rsidR="003104CB" w:rsidRPr="00810952" w:rsidRDefault="003104CB" w:rsidP="003104CB">
      <w:pPr>
        <w:spacing w:after="120"/>
        <w:ind w:left="709" w:right="709"/>
        <w:jc w:val="both"/>
        <w:rPr>
          <w:rFonts w:ascii="Arial" w:hAnsi="Arial" w:cs="Arial"/>
          <w:color w:val="000000" w:themeColor="text1"/>
          <w:sz w:val="21"/>
          <w:szCs w:val="21"/>
          <w:lang w:val="es-ES_tradnl"/>
        </w:rPr>
      </w:pPr>
      <w:r w:rsidRPr="00810952">
        <w:rPr>
          <w:rFonts w:ascii="Arial" w:hAnsi="Arial" w:cs="Arial"/>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Pr>
          <w:rFonts w:ascii="Arial" w:hAnsi="Arial" w:cs="Arial"/>
          <w:color w:val="000000" w:themeColor="text1"/>
          <w:sz w:val="21"/>
          <w:szCs w:val="21"/>
          <w:lang w:val="es-ES_tradnl"/>
        </w:rPr>
        <w:t>.</w:t>
      </w:r>
      <w:r w:rsidRPr="00AD1A2A">
        <w:rPr>
          <w:rFonts w:ascii="Arial" w:eastAsia="Calibri" w:hAnsi="Arial" w:cs="Arial"/>
          <w:color w:val="000000" w:themeColor="text1"/>
          <w:sz w:val="21"/>
          <w:szCs w:val="21"/>
          <w:lang w:val="es-ES_tradnl"/>
        </w:rPr>
        <w:t>»</w:t>
      </w:r>
      <w:r w:rsidRPr="00810952">
        <w:rPr>
          <w:rStyle w:val="Refdenotaalpie"/>
          <w:rFonts w:ascii="Arial" w:hAnsi="Arial" w:cs="Arial"/>
          <w:color w:val="000000" w:themeColor="text1"/>
          <w:sz w:val="21"/>
          <w:szCs w:val="21"/>
          <w:lang w:val="es-ES_tradnl"/>
        </w:rPr>
        <w:footnoteReference w:id="8"/>
      </w:r>
    </w:p>
    <w:p w14:paraId="0484D093" w14:textId="77777777" w:rsidR="003104CB" w:rsidRPr="00810952" w:rsidRDefault="003104CB" w:rsidP="003104CB">
      <w:pPr>
        <w:ind w:right="709"/>
        <w:jc w:val="both"/>
        <w:rPr>
          <w:rFonts w:ascii="Arial" w:hAnsi="Arial" w:cs="Arial"/>
          <w:color w:val="000000" w:themeColor="text1"/>
          <w:sz w:val="21"/>
          <w:szCs w:val="21"/>
          <w:lang w:val="es-ES_tradnl"/>
        </w:rPr>
      </w:pPr>
    </w:p>
    <w:p w14:paraId="764237B2" w14:textId="77777777" w:rsidR="003104CB" w:rsidRPr="00810952" w:rsidRDefault="003104CB" w:rsidP="003104CB">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vi) Su celebración debe realizarse a través de la modalidad de contratación directa, independientemente de la cuantía y del tipo de servicio profesional, siempre que este no ingrese dentro del objeto del contrato de consultoría, pues, como lo indicó el Consejo de Estado en la sentencia de unificación jurisprudencial a la que se hizo referencia, si bien en ambos existe un componente intelectual, profesional e intangible, el objeto del contrato de consultoría es especial y debe celebrarse, por regla general, precedido de un concurso de méritos</w:t>
      </w:r>
      <w:r w:rsidRPr="00810952">
        <w:rPr>
          <w:rStyle w:val="Refdenotaalpie"/>
          <w:rFonts w:ascii="Arial" w:hAnsi="Arial" w:cs="Arial"/>
          <w:color w:val="000000" w:themeColor="text1"/>
          <w:sz w:val="22"/>
          <w:lang w:val="es-ES_tradnl"/>
        </w:rPr>
        <w:footnoteReference w:id="9"/>
      </w:r>
      <w:r w:rsidRPr="00810952">
        <w:rPr>
          <w:rFonts w:ascii="Arial" w:hAnsi="Arial" w:cs="Arial"/>
          <w:color w:val="000000" w:themeColor="text1"/>
          <w:sz w:val="22"/>
          <w:lang w:val="es-ES_tradnl"/>
        </w:rPr>
        <w:t xml:space="preserve">. Pero, tampoco puede suscribirse un contrato de prestación de servicios </w:t>
      </w:r>
      <w:r w:rsidRPr="00810952">
        <w:rPr>
          <w:rFonts w:ascii="Arial" w:hAnsi="Arial" w:cs="Arial"/>
          <w:color w:val="000000" w:themeColor="text1"/>
          <w:sz w:val="22"/>
          <w:lang w:val="es-ES_tradnl"/>
        </w:rPr>
        <w:lastRenderedPageBreak/>
        <w:t>profesionales para que el contratista ejecute labores que se enmarcan en los otros contratos tipificados en el artículo 32 de la Ley 80 de 1993, como, por ejemplo, para que el contratista de prestación de servicios construya una obra.</w:t>
      </w:r>
    </w:p>
    <w:p w14:paraId="655F8C84" w14:textId="77777777" w:rsidR="003104CB" w:rsidRPr="00810952" w:rsidRDefault="003104CB" w:rsidP="003104CB">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vii) Para su celebración no se requiere la expedición del acto administrativo de justificación de la contratación directa</w:t>
      </w:r>
      <w:r w:rsidRPr="00810952">
        <w:rPr>
          <w:rStyle w:val="Refdenotaalpie"/>
          <w:rFonts w:ascii="Arial" w:hAnsi="Arial" w:cs="Arial"/>
          <w:color w:val="000000" w:themeColor="text1"/>
          <w:sz w:val="22"/>
          <w:lang w:val="es-ES_tradnl"/>
        </w:rPr>
        <w:footnoteReference w:id="10"/>
      </w:r>
      <w:r w:rsidRPr="00810952">
        <w:rPr>
          <w:rFonts w:ascii="Arial" w:hAnsi="Arial" w:cs="Arial"/>
          <w:color w:val="000000" w:themeColor="text1"/>
          <w:sz w:val="22"/>
          <w:lang w:val="es-ES_tradnl"/>
        </w:rPr>
        <w:t xml:space="preserve">. </w:t>
      </w:r>
    </w:p>
    <w:p w14:paraId="1D9E90AD" w14:textId="77777777" w:rsidR="003104CB" w:rsidRPr="00810952" w:rsidRDefault="003104CB" w:rsidP="003104CB">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viii) Admiten el pacto de cláusulas excepcionales. Es decir, en los contratos de prestación de servicios profesionales se puede estipular la caducidad, así como la modificación, interpretación o terminación unilaterales, como elementos accidentales, o sea que para que puedan ejercerse dichas exorbitancias han debido quedar incluidas expresamente en el contrato, ya que no se entienden pactadas por naturaleza. Así se infiere del artículo 14, numeral 2º, de la Ley 80 de 1993</w:t>
      </w:r>
      <w:r w:rsidRPr="00810952">
        <w:rPr>
          <w:rStyle w:val="Refdenotaalpie"/>
          <w:rFonts w:ascii="Arial" w:hAnsi="Arial" w:cs="Arial"/>
          <w:color w:val="000000" w:themeColor="text1"/>
          <w:sz w:val="22"/>
          <w:lang w:val="es-ES_tradnl"/>
        </w:rPr>
        <w:footnoteReference w:id="11"/>
      </w:r>
      <w:r w:rsidRPr="00810952">
        <w:rPr>
          <w:rFonts w:ascii="Arial" w:hAnsi="Arial" w:cs="Arial"/>
          <w:color w:val="000000" w:themeColor="text1"/>
          <w:sz w:val="22"/>
          <w:lang w:val="es-ES_tradnl"/>
        </w:rPr>
        <w:t>.</w:t>
      </w:r>
    </w:p>
    <w:p w14:paraId="672105D3" w14:textId="77777777" w:rsidR="003104CB" w:rsidRPr="00810952" w:rsidRDefault="003104CB" w:rsidP="003104CB">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lastRenderedPageBreak/>
        <w:t>ix) En ellos no es obligatoria la liquidación, pues así lo estableció el artículo 217 del Decreto 019 de 2012, que modificó el artículo 60 de la Ley 80 de 1993</w:t>
      </w:r>
      <w:r w:rsidRPr="00810952">
        <w:rPr>
          <w:rStyle w:val="Refdenotaalpie"/>
          <w:rFonts w:ascii="Arial" w:hAnsi="Arial" w:cs="Arial"/>
          <w:color w:val="000000" w:themeColor="text1"/>
          <w:sz w:val="22"/>
          <w:lang w:val="es-ES_tradnl"/>
        </w:rPr>
        <w:footnoteReference w:id="12"/>
      </w:r>
      <w:r w:rsidRPr="00810952">
        <w:rPr>
          <w:rFonts w:ascii="Arial" w:hAnsi="Arial" w:cs="Arial"/>
          <w:color w:val="000000" w:themeColor="text1"/>
          <w:sz w:val="22"/>
          <w:lang w:val="es-ES_tradnl"/>
        </w:rPr>
        <w:t>.</w:t>
      </w:r>
    </w:p>
    <w:p w14:paraId="78E96CB4" w14:textId="77777777" w:rsidR="003104CB" w:rsidRPr="00810952" w:rsidRDefault="003104CB" w:rsidP="003104CB">
      <w:pPr>
        <w:spacing w:before="120" w:after="120"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x) Para su celebración no se requiere inscripción en el Registro Único de Proponentes (RUP), según lo prevé el artículo 6 de la Ley 1150 de 2007</w:t>
      </w:r>
      <w:r w:rsidRPr="00810952">
        <w:rPr>
          <w:rStyle w:val="Refdenotaalpie"/>
          <w:rFonts w:ascii="Arial" w:hAnsi="Arial" w:cs="Arial"/>
          <w:color w:val="000000" w:themeColor="text1"/>
          <w:sz w:val="22"/>
          <w:lang w:val="es-ES_tradnl"/>
        </w:rPr>
        <w:footnoteReference w:id="13"/>
      </w:r>
      <w:r w:rsidRPr="00810952">
        <w:rPr>
          <w:rFonts w:ascii="Arial" w:hAnsi="Arial" w:cs="Arial"/>
          <w:color w:val="000000" w:themeColor="text1"/>
          <w:sz w:val="22"/>
          <w:lang w:val="es-ES_tradnl"/>
        </w:rPr>
        <w:t>.</w:t>
      </w:r>
    </w:p>
    <w:p w14:paraId="2DFC3BAA" w14:textId="77777777" w:rsidR="003104CB" w:rsidRDefault="003104CB" w:rsidP="003104CB">
      <w:pPr>
        <w:spacing w:line="276" w:lineRule="auto"/>
        <w:ind w:firstLine="709"/>
        <w:jc w:val="both"/>
        <w:rPr>
          <w:rFonts w:ascii="Arial" w:hAnsi="Arial" w:cs="Arial"/>
          <w:color w:val="000000" w:themeColor="text1"/>
          <w:sz w:val="22"/>
          <w:lang w:val="es-ES_tradnl"/>
        </w:rPr>
      </w:pPr>
      <w:r w:rsidRPr="00810952">
        <w:rPr>
          <w:rFonts w:ascii="Arial" w:hAnsi="Arial" w:cs="Arial"/>
          <w:color w:val="000000" w:themeColor="text1"/>
          <w:sz w:val="22"/>
          <w:lang w:val="es-ES_tradnl"/>
        </w:rPr>
        <w:t>xi) En ellos no son necesarias las garantías</w:t>
      </w:r>
      <w:r w:rsidRPr="00810952">
        <w:rPr>
          <w:rStyle w:val="Refdenotaalpie"/>
          <w:rFonts w:ascii="Arial" w:hAnsi="Arial" w:cs="Arial"/>
          <w:color w:val="000000" w:themeColor="text1"/>
          <w:sz w:val="22"/>
          <w:lang w:val="es-ES_tradnl"/>
        </w:rPr>
        <w:footnoteReference w:id="14"/>
      </w:r>
      <w:r w:rsidRPr="00810952">
        <w:rPr>
          <w:rFonts w:ascii="Arial" w:hAnsi="Arial" w:cs="Arial"/>
          <w:color w:val="000000" w:themeColor="text1"/>
          <w:sz w:val="22"/>
          <w:lang w:val="es-ES_tradnl"/>
        </w:rPr>
        <w:t>.</w:t>
      </w:r>
    </w:p>
    <w:p w14:paraId="4089AF6A" w14:textId="77777777" w:rsidR="003104CB" w:rsidRDefault="003104CB" w:rsidP="003104CB">
      <w:pPr>
        <w:spacing w:line="276" w:lineRule="auto"/>
        <w:jc w:val="both"/>
        <w:rPr>
          <w:rFonts w:ascii="Arial" w:eastAsia="Calibri" w:hAnsi="Arial" w:cs="Arial"/>
          <w:b/>
          <w:bCs/>
          <w:color w:val="000000" w:themeColor="text1"/>
          <w:sz w:val="22"/>
          <w:lang w:val="es-ES_tradnl"/>
        </w:rPr>
      </w:pPr>
    </w:p>
    <w:p w14:paraId="7D1B5A5C" w14:textId="6EC63E1D" w:rsidR="003104CB" w:rsidRDefault="006A2383" w:rsidP="003104CB">
      <w:pPr>
        <w:spacing w:line="276" w:lineRule="auto"/>
        <w:jc w:val="both"/>
        <w:rPr>
          <w:rFonts w:ascii="Helvetica" w:hAnsi="Helvetica"/>
          <w:b/>
          <w:bCs/>
          <w:sz w:val="20"/>
          <w:szCs w:val="20"/>
        </w:rPr>
      </w:pPr>
      <w:r>
        <w:rPr>
          <w:rFonts w:ascii="Arial" w:eastAsia="Calibri" w:hAnsi="Arial" w:cs="Arial"/>
          <w:b/>
          <w:bCs/>
          <w:color w:val="000000" w:themeColor="text1"/>
          <w:sz w:val="22"/>
          <w:lang w:val="es-ES_tradnl"/>
        </w:rPr>
        <w:t>2.</w:t>
      </w:r>
      <w:r w:rsidR="003104CB" w:rsidRPr="00E22D91">
        <w:rPr>
          <w:rFonts w:ascii="Arial" w:eastAsia="Calibri" w:hAnsi="Arial" w:cs="Arial"/>
          <w:b/>
          <w:bCs/>
          <w:color w:val="000000" w:themeColor="text1"/>
          <w:sz w:val="22"/>
          <w:lang w:val="es-ES_tradnl"/>
        </w:rPr>
        <w:t xml:space="preserve">2. </w:t>
      </w:r>
      <w:r w:rsidR="003E023D">
        <w:rPr>
          <w:rFonts w:ascii="Arial" w:eastAsia="Calibri" w:hAnsi="Arial" w:cs="Arial"/>
          <w:b/>
          <w:bCs/>
          <w:color w:val="000000" w:themeColor="text1"/>
          <w:sz w:val="22"/>
          <w:lang w:val="es-ES_tradnl"/>
        </w:rPr>
        <w:t xml:space="preserve">Régimen de </w:t>
      </w:r>
      <w:r w:rsidR="003104CB" w:rsidRPr="00E22D91">
        <w:rPr>
          <w:rFonts w:ascii="Arial" w:eastAsia="Calibri" w:hAnsi="Arial" w:cs="Arial"/>
          <w:b/>
          <w:bCs/>
          <w:color w:val="000000" w:themeColor="text1"/>
          <w:sz w:val="22"/>
          <w:lang w:val="es-ES_tradnl"/>
        </w:rPr>
        <w:t>inhabilidades</w:t>
      </w:r>
      <w:r w:rsidR="003E023D">
        <w:rPr>
          <w:rFonts w:ascii="Arial" w:eastAsia="Calibri" w:hAnsi="Arial" w:cs="Arial"/>
          <w:b/>
          <w:bCs/>
          <w:color w:val="000000" w:themeColor="text1"/>
          <w:sz w:val="22"/>
          <w:lang w:val="es-ES_tradnl"/>
        </w:rPr>
        <w:t xml:space="preserve"> e incompatibilidades</w:t>
      </w:r>
      <w:r w:rsidR="003104CB" w:rsidRPr="00E22D91">
        <w:rPr>
          <w:rFonts w:ascii="Arial" w:eastAsia="Calibri" w:hAnsi="Arial" w:cs="Arial"/>
          <w:b/>
          <w:bCs/>
          <w:color w:val="000000" w:themeColor="text1"/>
          <w:sz w:val="22"/>
          <w:lang w:val="es-ES_tradnl"/>
        </w:rPr>
        <w:t xml:space="preserve"> en la contratación </w:t>
      </w:r>
      <w:r w:rsidR="003E023D">
        <w:rPr>
          <w:rFonts w:ascii="Arial" w:eastAsia="Calibri" w:hAnsi="Arial" w:cs="Arial"/>
          <w:b/>
          <w:bCs/>
          <w:color w:val="000000" w:themeColor="text1"/>
          <w:sz w:val="22"/>
          <w:lang w:val="es-ES_tradnl"/>
        </w:rPr>
        <w:t>pública</w:t>
      </w:r>
      <w:r w:rsidR="003104CB" w:rsidRPr="00E22D91">
        <w:rPr>
          <w:rFonts w:ascii="Arial" w:eastAsia="Calibri" w:hAnsi="Arial" w:cs="Arial"/>
          <w:b/>
          <w:bCs/>
          <w:color w:val="000000" w:themeColor="text1"/>
          <w:sz w:val="22"/>
          <w:lang w:val="es-ES_tradnl"/>
        </w:rPr>
        <w:t xml:space="preserve"> </w:t>
      </w:r>
    </w:p>
    <w:p w14:paraId="1D6667FF" w14:textId="77777777" w:rsidR="003104CB" w:rsidRDefault="003104CB" w:rsidP="003104CB">
      <w:pPr>
        <w:pStyle w:val="Sinespaciado"/>
        <w:rPr>
          <w:lang w:val="es-ES_tradnl"/>
        </w:rPr>
      </w:pPr>
    </w:p>
    <w:p w14:paraId="7CB05CC0" w14:textId="77777777" w:rsidR="003104CB" w:rsidRPr="003953CA" w:rsidRDefault="003104CB" w:rsidP="003104CB">
      <w:pPr>
        <w:spacing w:after="120" w:line="276" w:lineRule="auto"/>
        <w:jc w:val="both"/>
        <w:rPr>
          <w:rFonts w:ascii="Arial" w:eastAsia="Calibri" w:hAnsi="Arial" w:cs="Arial"/>
          <w:sz w:val="22"/>
          <w:lang w:val="es-ES_tradnl"/>
        </w:rPr>
      </w:pPr>
      <w:r w:rsidRPr="003953CA">
        <w:rPr>
          <w:rFonts w:ascii="Arial" w:eastAsia="Calibri" w:hAnsi="Arial" w:cs="Arial"/>
          <w:sz w:val="22"/>
          <w:lang w:val="es-ES_tradnl"/>
        </w:rPr>
        <w:t xml:space="preserve">En la contratación estatal, la </w:t>
      </w:r>
      <w:r w:rsidRPr="003953CA">
        <w:rPr>
          <w:rFonts w:ascii="Arial" w:eastAsia="Calibri" w:hAnsi="Arial" w:cs="Arial"/>
          <w:i/>
          <w:iCs/>
          <w:sz w:val="22"/>
          <w:lang w:val="es-ES_tradnl"/>
        </w:rPr>
        <w:t>capacidad</w:t>
      </w:r>
      <w:r w:rsidRPr="003953CA">
        <w:rPr>
          <w:rFonts w:ascii="Arial" w:eastAsia="Calibri" w:hAnsi="Arial" w:cs="Arial"/>
          <w:sz w:val="22"/>
          <w:lang w:val="es-ES_tradnl"/>
        </w:rPr>
        <w:t xml:space="preserve"> también es un requisito de validez de los contratos, tanto en el régimen de las entidades sujetas al Estatuto General de Contratación de la Administración Pública</w:t>
      </w:r>
      <w:r w:rsidRPr="003953CA">
        <w:rPr>
          <w:rFonts w:ascii="Arial" w:eastAsia="Calibri" w:hAnsi="Arial" w:cs="Arial"/>
          <w:sz w:val="22"/>
          <w:vertAlign w:val="superscript"/>
          <w:lang w:val="es-ES_tradnl"/>
        </w:rPr>
        <w:footnoteReference w:id="15"/>
      </w:r>
      <w:r w:rsidRPr="003953CA">
        <w:rPr>
          <w:rFonts w:ascii="Arial" w:eastAsia="Calibri" w:hAnsi="Arial" w:cs="Arial"/>
          <w:sz w:val="22"/>
          <w:lang w:val="es-ES_tradnl"/>
        </w:rPr>
        <w:t xml:space="preserve"> como en el de las entidades exceptuadas de aquel</w:t>
      </w:r>
      <w:r w:rsidRPr="003953CA">
        <w:rPr>
          <w:rFonts w:ascii="Arial" w:eastAsia="Calibri" w:hAnsi="Arial" w:cs="Arial"/>
          <w:sz w:val="22"/>
          <w:vertAlign w:val="superscript"/>
          <w:lang w:val="es-ES_tradnl"/>
        </w:rPr>
        <w:footnoteReference w:id="16"/>
      </w:r>
      <w:r w:rsidRPr="003953CA">
        <w:rPr>
          <w:rFonts w:ascii="Arial" w:eastAsia="Calibri" w:hAnsi="Arial" w:cs="Arial"/>
          <w:sz w:val="22"/>
          <w:lang w:val="es-ES_tradnl"/>
        </w:rPr>
        <w:t xml:space="preserve">. </w:t>
      </w:r>
      <w:r>
        <w:rPr>
          <w:rFonts w:ascii="Arial" w:eastAsia="Calibri" w:hAnsi="Arial" w:cs="Arial"/>
          <w:sz w:val="22"/>
          <w:lang w:val="es-ES_tradnl"/>
        </w:rPr>
        <w:t>S</w:t>
      </w:r>
      <w:r w:rsidRPr="003953CA">
        <w:rPr>
          <w:rFonts w:ascii="Arial" w:eastAsia="Calibri" w:hAnsi="Arial" w:cs="Arial"/>
          <w:sz w:val="22"/>
          <w:lang w:val="es-ES_tradnl"/>
        </w:rPr>
        <w:t xml:space="preserve">e destaca el régimen de inhabilidades e incompatibilidades como un conjunto de normas que imponen </w:t>
      </w:r>
      <w:r w:rsidRPr="003953CA">
        <w:rPr>
          <w:rFonts w:ascii="Arial" w:eastAsia="Calibri" w:hAnsi="Arial" w:cs="Arial"/>
          <w:sz w:val="22"/>
          <w:lang w:val="es-ES_tradnl"/>
        </w:rPr>
        <w:lastRenderedPageBreak/>
        <w:t>restricciones para los sujetos que, eventualmente, pretendan participar en los procedimientos de selección o celebrar contratos con las entidades estatales</w:t>
      </w:r>
      <w:r w:rsidRPr="003953CA">
        <w:rPr>
          <w:rFonts w:ascii="Arial" w:eastAsia="Calibri" w:hAnsi="Arial" w:cs="Arial"/>
          <w:sz w:val="22"/>
          <w:vertAlign w:val="superscript"/>
          <w:lang w:val="es-ES_tradnl"/>
        </w:rPr>
        <w:footnoteReference w:id="17"/>
      </w:r>
      <w:r w:rsidRPr="003953CA">
        <w:rPr>
          <w:rFonts w:ascii="Arial" w:eastAsia="Calibri" w:hAnsi="Arial" w:cs="Arial"/>
          <w:sz w:val="22"/>
          <w:lang w:val="es-ES_tradnl"/>
        </w:rPr>
        <w:t>.</w:t>
      </w:r>
    </w:p>
    <w:p w14:paraId="14E33E05" w14:textId="77777777" w:rsidR="003104CB" w:rsidRPr="003953CA" w:rsidRDefault="003104CB" w:rsidP="003104CB">
      <w:pPr>
        <w:spacing w:before="120" w:after="120" w:line="276" w:lineRule="auto"/>
        <w:ind w:firstLine="709"/>
        <w:jc w:val="both"/>
        <w:rPr>
          <w:rFonts w:ascii="Arial" w:eastAsia="Calibri" w:hAnsi="Arial" w:cs="Arial"/>
          <w:sz w:val="22"/>
          <w:lang w:val="es-ES_tradnl"/>
        </w:rPr>
      </w:pPr>
      <w:r w:rsidRPr="003953CA">
        <w:rPr>
          <w:rFonts w:ascii="Arial" w:eastAsia="Calibri" w:hAnsi="Arial" w:cs="Arial"/>
          <w:sz w:val="22"/>
          <w:lang w:val="es-ES_tradnl"/>
        </w:rPr>
        <w:t xml:space="preserve">Las inhabilidades son prohibiciones para concurrir a los procedimientos de selección y para contratar con el Estado, que se derivan: i) de la existencia de comportamientos reprochables o de sanciones anteriormente impuestas, ii) de vínculos personales relativos al parentesco o al estado civil o iii) de una actividad u oficio que se desempeñó en el pasado. De otro lado, las incompatibilidades son prohibiciones para participar en los procedimientos de selección y para celebrar contratos estatales, fundadas en la presencia de una calidad que ostenta el sujeto interesado en realizar alguna de dichas actividades, que no puede coexistir con su calidad de proponente o contratista del Estado. </w:t>
      </w:r>
      <w:r>
        <w:rPr>
          <w:rFonts w:ascii="Arial" w:eastAsia="Calibri" w:hAnsi="Arial" w:cs="Arial"/>
          <w:sz w:val="22"/>
          <w:lang w:val="es-ES_tradnl"/>
        </w:rPr>
        <w:t>En todo caso, a pesar de la existencia de distintos criterios para diferenciar las inhabilidades de las incompatibilidades, de la presencia de ellas se derivan las mismas consecuencias jurídicas, esto es, la limitación de la capacidad contractual, como se desarrolló en el numeral 2.1. de este concepto. De manera que la presencia de ellas impide que se puedan celebrar contratos con el Estado o participar en procedimientos de selección de las entidades estatales, por lo que de cualquiera de ellas se derivan los mismos efectos jurídicos</w:t>
      </w:r>
      <w:r>
        <w:rPr>
          <w:rStyle w:val="Refdenotaalpie"/>
          <w:rFonts w:ascii="Arial" w:eastAsia="Calibri" w:hAnsi="Arial" w:cs="Arial"/>
          <w:sz w:val="22"/>
          <w:lang w:val="es-ES_tradnl"/>
        </w:rPr>
        <w:footnoteReference w:id="18"/>
      </w:r>
      <w:r>
        <w:rPr>
          <w:rFonts w:ascii="Arial" w:eastAsia="Calibri" w:hAnsi="Arial" w:cs="Arial"/>
          <w:sz w:val="22"/>
          <w:lang w:val="es-ES_tradnl"/>
        </w:rPr>
        <w:t>.</w:t>
      </w:r>
    </w:p>
    <w:p w14:paraId="6CCEFA7D" w14:textId="77777777" w:rsidR="003104CB" w:rsidRPr="00A57465" w:rsidRDefault="003104CB" w:rsidP="003104CB">
      <w:pPr>
        <w:spacing w:before="120" w:after="120" w:line="276" w:lineRule="auto"/>
        <w:ind w:firstLine="709"/>
        <w:jc w:val="both"/>
        <w:rPr>
          <w:rFonts w:ascii="Arial" w:eastAsia="Calibri" w:hAnsi="Arial" w:cs="Arial"/>
          <w:sz w:val="22"/>
          <w:szCs w:val="22"/>
          <w:lang w:val="es-ES_tradnl"/>
        </w:rPr>
      </w:pPr>
      <w:r>
        <w:rPr>
          <w:rFonts w:ascii="Arial" w:eastAsia="Calibri" w:hAnsi="Arial" w:cs="Arial"/>
          <w:sz w:val="22"/>
          <w:lang w:val="es-ES_tradnl"/>
        </w:rPr>
        <w:t>De otro lado, e</w:t>
      </w:r>
      <w:r w:rsidRPr="003953CA">
        <w:rPr>
          <w:rFonts w:ascii="Arial" w:eastAsia="Calibri" w:hAnsi="Arial" w:cs="Arial"/>
          <w:sz w:val="22"/>
          <w:lang w:val="es-ES_tradnl"/>
        </w:rPr>
        <w:t>l régimen de inhabilidades e incompatibilidades en la contratación pública responde a la tendencia, vigente desde hace varias décadas en nuestro país, pero que se ha reforzado en los últimos años, de asegurar que la actividad de provisión de los bienes</w:t>
      </w:r>
      <w:r>
        <w:rPr>
          <w:rFonts w:ascii="Arial" w:eastAsia="Calibri" w:hAnsi="Arial" w:cs="Arial"/>
          <w:sz w:val="22"/>
          <w:lang w:val="es-ES_tradnl"/>
        </w:rPr>
        <w:t>, obras y</w:t>
      </w:r>
      <w:r w:rsidRPr="003953CA">
        <w:rPr>
          <w:rFonts w:ascii="Arial" w:eastAsia="Calibri" w:hAnsi="Arial" w:cs="Arial"/>
          <w:sz w:val="22"/>
          <w:lang w:val="es-ES_tradnl"/>
        </w:rPr>
        <w:t xml:space="preserve"> servicios por parte de las entidades estatales se efectúe cumpliendo con los principios de la función administrativa y de la gestión fiscal, especialmente con probidad y transparencia. Por ello, como destaca la doctrina, las inhabilidades e incompatibilidades son herramientas en la lucha contra la corrupción, adoptando paulatinamente una </w:t>
      </w:r>
      <w:r w:rsidRPr="003953CA">
        <w:rPr>
          <w:rFonts w:ascii="Arial" w:eastAsia="Calibri" w:hAnsi="Arial" w:cs="Arial"/>
          <w:sz w:val="22"/>
          <w:lang w:val="es-ES_tradnl"/>
        </w:rPr>
        <w:lastRenderedPageBreak/>
        <w:t>naturaleza sancionatoria o «neopunitiv</w:t>
      </w:r>
      <w:r>
        <w:rPr>
          <w:rFonts w:ascii="Arial" w:eastAsia="Calibri" w:hAnsi="Arial" w:cs="Arial"/>
          <w:sz w:val="22"/>
          <w:lang w:val="es-ES_tradnl"/>
        </w:rPr>
        <w:t>a</w:t>
      </w:r>
      <w:r w:rsidRPr="003953CA">
        <w:rPr>
          <w:rFonts w:ascii="Arial" w:eastAsia="Calibri" w:hAnsi="Arial" w:cs="Arial"/>
          <w:sz w:val="22"/>
          <w:lang w:val="es-ES_tradnl"/>
        </w:rPr>
        <w:t>»</w:t>
      </w:r>
      <w:r w:rsidRPr="003953CA">
        <w:rPr>
          <w:rFonts w:ascii="Arial" w:eastAsia="Calibri" w:hAnsi="Arial" w:cs="Arial"/>
          <w:sz w:val="22"/>
          <w:vertAlign w:val="superscript"/>
          <w:lang w:val="es-ES_tradnl"/>
        </w:rPr>
        <w:footnoteReference w:id="19"/>
      </w:r>
      <w:r w:rsidRPr="003953CA">
        <w:rPr>
          <w:rFonts w:ascii="Arial" w:eastAsia="Calibri" w:hAnsi="Arial" w:cs="Arial"/>
          <w:sz w:val="22"/>
          <w:lang w:val="es-ES_tradnl"/>
        </w:rPr>
        <w:t>. Si bien no todas las causales de inhabilidad y de inc</w:t>
      </w:r>
      <w:r w:rsidRPr="00A57465">
        <w:rPr>
          <w:rFonts w:ascii="Arial" w:eastAsia="Calibri" w:hAnsi="Arial" w:cs="Arial"/>
          <w:sz w:val="22"/>
          <w:szCs w:val="22"/>
          <w:lang w:val="es-ES_tradnl"/>
        </w:rPr>
        <w:t>ompatibilidad son consecuencia de una medida de reproche ni de una sanción previa, como ya se explicó, es indiscutible que en los años más recientes los lamentables hechos de corrupción han generado, como respuesta del legislador, un incremento de las restricciones a la capacidad contractual, dirigidas a prevenir este tipo de situaciones o a sancionar tales conductas.</w:t>
      </w:r>
    </w:p>
    <w:p w14:paraId="7988127A" w14:textId="77777777" w:rsidR="003D24F8" w:rsidRPr="00F95886" w:rsidRDefault="003104CB" w:rsidP="00996366">
      <w:pPr>
        <w:spacing w:after="120" w:line="276" w:lineRule="auto"/>
        <w:ind w:firstLine="709"/>
        <w:jc w:val="both"/>
        <w:rPr>
          <w:rFonts w:ascii="Arial" w:eastAsia="Calibri" w:hAnsi="Arial" w:cs="Arial"/>
          <w:color w:val="000000" w:themeColor="text1"/>
          <w:sz w:val="22"/>
          <w:lang w:val="es-ES_tradnl"/>
        </w:rPr>
      </w:pPr>
      <w:r w:rsidRPr="00A57465">
        <w:rPr>
          <w:rFonts w:ascii="Arial" w:eastAsia="Calibri" w:hAnsi="Arial" w:cs="Arial"/>
          <w:sz w:val="22"/>
          <w:szCs w:val="22"/>
          <w:lang w:val="es-ES_tradnl"/>
        </w:rPr>
        <w:t xml:space="preserve">Ahora bien, las inhabilidades e incompatibilidades al ser restricciones o límites especiales a la capacidad para presentar ofertas y celebrar contratos estatales, solo pueden tipificarse en la ley o la Constitución –o sea, deben satisfacer el principio de legalidad– y su interpretación debe ser </w:t>
      </w:r>
      <w:r w:rsidRPr="00A57465">
        <w:rPr>
          <w:rFonts w:ascii="Arial" w:eastAsia="Calibri" w:hAnsi="Arial" w:cs="Arial"/>
          <w:i/>
          <w:iCs/>
          <w:sz w:val="22"/>
          <w:szCs w:val="22"/>
          <w:lang w:val="es-ES_tradnl"/>
        </w:rPr>
        <w:t>restrictiva</w:t>
      </w:r>
      <w:r w:rsidRPr="00A57465">
        <w:rPr>
          <w:rFonts w:ascii="Arial" w:eastAsia="Calibri" w:hAnsi="Arial" w:cs="Arial"/>
          <w:sz w:val="22"/>
          <w:szCs w:val="22"/>
          <w:vertAlign w:val="superscript"/>
          <w:lang w:val="es-ES_tradnl"/>
        </w:rPr>
        <w:footnoteReference w:id="20"/>
      </w:r>
      <w:r w:rsidRPr="00A57465">
        <w:rPr>
          <w:rFonts w:ascii="Arial" w:eastAsia="Calibri" w:hAnsi="Arial" w:cs="Arial"/>
          <w:sz w:val="22"/>
          <w:szCs w:val="22"/>
          <w:lang w:val="es-ES_tradnl"/>
        </w:rPr>
        <w:t xml:space="preserve">, pues si se admitiera una interpretación amplia, extensiva o finalista de las mismas, tales enunciados normativos contemplarían múltiples supuestos indeterminados, según el parecer o el sentido común de los operadores jurídicos, poniendo en riesgo principios como la igualdad, el debido proceso, la seguridad jurídica, la libre concurrencia y el ejercicio de la profesión u oficio. </w:t>
      </w:r>
      <w:r w:rsidR="003D24F8" w:rsidRPr="00F95886">
        <w:rPr>
          <w:rFonts w:ascii="Arial" w:eastAsia="Calibri" w:hAnsi="Arial" w:cs="Arial"/>
          <w:color w:val="000000" w:themeColor="text1"/>
          <w:sz w:val="22"/>
          <w:lang w:val="es-ES_tradnl"/>
        </w:rPr>
        <w:t xml:space="preserve">. Tal ha sido la postura al interior de la jurisprudencia, tanto de la Corte Constitucional como de la Sección Tercera del Consejo de Estado. </w:t>
      </w:r>
    </w:p>
    <w:p w14:paraId="7439C4A8" w14:textId="77777777" w:rsidR="003D24F8" w:rsidRPr="00F95886" w:rsidRDefault="003D24F8" w:rsidP="003D24F8">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En efecto, el máximo tribunal constitucional ha indicado que, al tratar de precisar el sentido de este tipo de normas, «[…] el intérprete de las disposiciones legislativas en la materia ha de ceñirse en la mayor medida posible al tenor literal y gramatical de los enunciados normativos, sin que pueda acudir prima facie a criterios interpretativos tales como la analogía, la interpretación extensiva para ampliar el alcance de las causales legalmente fijadas»</w:t>
      </w:r>
      <w:r w:rsidRPr="00F95886">
        <w:rPr>
          <w:rFonts w:ascii="Arial" w:eastAsia="Calibri" w:hAnsi="Arial" w:cs="Arial"/>
          <w:color w:val="000000" w:themeColor="text1"/>
          <w:sz w:val="22"/>
          <w:vertAlign w:val="superscript"/>
          <w:lang w:val="es-ES_tradnl"/>
        </w:rPr>
        <w:footnoteReference w:id="21"/>
      </w:r>
      <w:r w:rsidRPr="00F95886">
        <w:rPr>
          <w:rFonts w:ascii="Arial" w:eastAsia="Calibri" w:hAnsi="Arial" w:cs="Arial"/>
          <w:color w:val="000000" w:themeColor="text1"/>
          <w:sz w:val="22"/>
          <w:lang w:val="es-ES_tradnl"/>
        </w:rPr>
        <w:t>. Por su parte, el Consejo de Estado ha acogido también este criterio, considerando –como expresa la Sala de Consulta y Servicio Civil–, que «La interpretación restrictiva de las normas que establecen inhabilidades constituye una aplicación del principio del Estado de Derecho previsto en el artículo 6º de la Constitución, según el cual “Los particulares sólo son responsables ante las autoridades por infringir la Constitución y las leyes” lo que se traduce en que pueden hacer todo aquello que no les esté expresamente prohibido»</w:t>
      </w:r>
      <w:r w:rsidRPr="00F95886">
        <w:rPr>
          <w:rFonts w:ascii="Arial" w:eastAsia="Calibri" w:hAnsi="Arial" w:cs="Arial"/>
          <w:color w:val="000000" w:themeColor="text1"/>
          <w:sz w:val="22"/>
          <w:vertAlign w:val="superscript"/>
          <w:lang w:val="es-ES_tradnl"/>
        </w:rPr>
        <w:footnoteReference w:id="22"/>
      </w:r>
      <w:r w:rsidRPr="00F95886">
        <w:rPr>
          <w:rFonts w:ascii="Arial" w:eastAsia="Calibri" w:hAnsi="Arial" w:cs="Arial"/>
          <w:color w:val="000000" w:themeColor="text1"/>
          <w:sz w:val="22"/>
          <w:lang w:val="es-ES_tradnl"/>
        </w:rPr>
        <w:t>. En tal sentido, la Sección Tercera ha señalado que:</w:t>
      </w:r>
    </w:p>
    <w:p w14:paraId="673A686D" w14:textId="77777777" w:rsidR="003D24F8" w:rsidRPr="00F95886" w:rsidRDefault="003D24F8" w:rsidP="003D24F8">
      <w:pPr>
        <w:spacing w:line="276" w:lineRule="auto"/>
        <w:ind w:firstLine="709"/>
        <w:jc w:val="both"/>
        <w:rPr>
          <w:rFonts w:ascii="Arial" w:eastAsia="Calibri" w:hAnsi="Arial" w:cs="Arial"/>
          <w:color w:val="000000" w:themeColor="text1"/>
          <w:sz w:val="22"/>
          <w:lang w:val="es-ES_tradnl"/>
        </w:rPr>
      </w:pPr>
    </w:p>
    <w:p w14:paraId="46C50021" w14:textId="77777777" w:rsidR="003D24F8" w:rsidRPr="00F95886" w:rsidRDefault="003D24F8" w:rsidP="003D24F8">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lastRenderedPageBreak/>
        <w:t>[…] de conformidad con la jurisprudencia uniforme y reiterada de esta Corporación, la aplicación de las normas que contemplan inhabilidades e incompatibilidades, como en general de todas aquellas que comportan prohibiciones o limitaciones, deben responder a una interpretación restrictiva que no permite su extensión, por vía de la figura de la analogía, a supuestos no contemplados por el ordenamiento</w:t>
      </w:r>
      <w:r w:rsidRPr="00F95886">
        <w:rPr>
          <w:rFonts w:ascii="Arial" w:hAnsi="Arial" w:cs="Arial"/>
          <w:color w:val="000000" w:themeColor="text1"/>
          <w:sz w:val="21"/>
          <w:szCs w:val="21"/>
          <w:vertAlign w:val="superscript"/>
          <w:lang w:val="es-ES_tradnl"/>
        </w:rPr>
        <w:footnoteReference w:id="23"/>
      </w:r>
      <w:r w:rsidRPr="00F95886">
        <w:rPr>
          <w:rFonts w:ascii="Arial" w:hAnsi="Arial" w:cs="Arial"/>
          <w:color w:val="000000" w:themeColor="text1"/>
          <w:sz w:val="21"/>
          <w:szCs w:val="21"/>
          <w:lang w:val="es-ES_tradnl"/>
        </w:rPr>
        <w:t>.</w:t>
      </w:r>
    </w:p>
    <w:p w14:paraId="0EA2C65C" w14:textId="77777777" w:rsidR="003D24F8" w:rsidRPr="00F95886" w:rsidRDefault="003D24F8" w:rsidP="003D24F8">
      <w:pPr>
        <w:ind w:left="709" w:right="709"/>
        <w:jc w:val="both"/>
        <w:rPr>
          <w:rFonts w:ascii="Arial" w:hAnsi="Arial" w:cs="Arial"/>
          <w:bCs/>
          <w:color w:val="000000" w:themeColor="text1"/>
          <w:sz w:val="21"/>
          <w:szCs w:val="21"/>
          <w:lang w:val="es-ES_tradnl"/>
        </w:rPr>
      </w:pPr>
    </w:p>
    <w:p w14:paraId="15A07F22" w14:textId="77777777" w:rsidR="003D24F8" w:rsidRPr="00F95886" w:rsidRDefault="003D24F8" w:rsidP="003D24F8">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También ha dicho que:</w:t>
      </w:r>
    </w:p>
    <w:p w14:paraId="4939E84F" w14:textId="77777777" w:rsidR="003D24F8" w:rsidRPr="00F95886" w:rsidRDefault="003D24F8" w:rsidP="003D24F8">
      <w:pPr>
        <w:ind w:firstLine="709"/>
        <w:jc w:val="both"/>
        <w:rPr>
          <w:rFonts w:ascii="Arial" w:eastAsia="Calibri" w:hAnsi="Arial" w:cs="Arial"/>
          <w:color w:val="000000" w:themeColor="text1"/>
          <w:sz w:val="21"/>
          <w:szCs w:val="21"/>
          <w:lang w:val="es-ES_tradnl"/>
        </w:rPr>
      </w:pPr>
    </w:p>
    <w:p w14:paraId="4D91F7F0" w14:textId="77777777" w:rsidR="003D24F8" w:rsidRPr="00F95886" w:rsidRDefault="003D24F8" w:rsidP="003D24F8">
      <w:pPr>
        <w:ind w:left="709" w:right="709"/>
        <w:jc w:val="both"/>
        <w:rPr>
          <w:rFonts w:ascii="Arial" w:hAnsi="Arial" w:cs="Arial"/>
          <w:color w:val="000000" w:themeColor="text1"/>
          <w:sz w:val="21"/>
          <w:szCs w:val="21"/>
          <w:lang w:val="es-ES_tradnl"/>
        </w:rPr>
      </w:pPr>
      <w:r w:rsidRPr="00F95886">
        <w:rPr>
          <w:rFonts w:ascii="Arial" w:hAnsi="Arial" w:cs="Arial"/>
          <w:color w:val="000000" w:themeColor="text1"/>
          <w:sz w:val="21"/>
          <w:szCs w:val="21"/>
          <w:lang w:val="es-ES_tradnl"/>
        </w:rPr>
        <w:t xml:space="preserve">[…] la aplicación de estos preceptos exige una interpretación restrictiva, dado que según el principio hermenéutico </w:t>
      </w:r>
      <w:r w:rsidRPr="00F95886">
        <w:rPr>
          <w:rFonts w:ascii="Arial" w:hAnsi="Arial" w:cs="Arial"/>
          <w:i/>
          <w:iCs/>
          <w:color w:val="000000" w:themeColor="text1"/>
          <w:sz w:val="21"/>
          <w:szCs w:val="21"/>
          <w:lang w:val="es-ES_tradnl"/>
        </w:rPr>
        <w:t>pro libertate</w:t>
      </w:r>
      <w:r w:rsidRPr="00F95886">
        <w:rPr>
          <w:rFonts w:ascii="Arial" w:hAnsi="Arial" w:cs="Arial"/>
          <w:color w:val="000000" w:themeColor="text1"/>
          <w:sz w:val="21"/>
          <w:szCs w:val="21"/>
          <w:lang w:val="es-ES_tradnl"/>
        </w:rPr>
        <w:t>,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F95886">
        <w:rPr>
          <w:rFonts w:ascii="Arial" w:hAnsi="Arial" w:cs="Arial"/>
          <w:color w:val="000000" w:themeColor="text1"/>
          <w:sz w:val="21"/>
          <w:szCs w:val="21"/>
          <w:vertAlign w:val="superscript"/>
          <w:lang w:val="es-ES_tradnl"/>
        </w:rPr>
        <w:footnoteReference w:id="24"/>
      </w:r>
      <w:r w:rsidRPr="00F95886">
        <w:rPr>
          <w:rFonts w:ascii="Arial" w:hAnsi="Arial" w:cs="Arial"/>
          <w:color w:val="000000" w:themeColor="text1"/>
          <w:sz w:val="21"/>
          <w:szCs w:val="21"/>
          <w:lang w:val="es-ES_tradnl"/>
        </w:rPr>
        <w:t>.</w:t>
      </w:r>
    </w:p>
    <w:p w14:paraId="73E198D6" w14:textId="77777777" w:rsidR="003D24F8" w:rsidRPr="00F95886" w:rsidRDefault="003D24F8" w:rsidP="003D24F8">
      <w:pPr>
        <w:spacing w:line="276" w:lineRule="auto"/>
        <w:ind w:left="709" w:right="709"/>
        <w:jc w:val="both"/>
        <w:rPr>
          <w:rFonts w:ascii="Arial" w:hAnsi="Arial" w:cs="Arial"/>
          <w:color w:val="000000" w:themeColor="text1"/>
          <w:sz w:val="21"/>
          <w:szCs w:val="21"/>
          <w:lang w:val="es-ES_tradnl"/>
        </w:rPr>
      </w:pPr>
    </w:p>
    <w:p w14:paraId="018BF421" w14:textId="3B9930C3" w:rsidR="00AF2BAE" w:rsidRDefault="003D24F8" w:rsidP="006D43D6">
      <w:pPr>
        <w:spacing w:line="276" w:lineRule="auto"/>
        <w:ind w:firstLine="709"/>
        <w:jc w:val="both"/>
        <w:rPr>
          <w:rFonts w:ascii="Arial" w:eastAsia="Calibri" w:hAnsi="Arial" w:cs="Arial"/>
          <w:color w:val="000000" w:themeColor="text1"/>
          <w:sz w:val="22"/>
          <w:lang w:val="es-ES_tradnl"/>
        </w:rPr>
      </w:pPr>
      <w:r w:rsidRPr="00F95886">
        <w:rPr>
          <w:rFonts w:ascii="Arial" w:eastAsia="Calibri" w:hAnsi="Arial" w:cs="Arial"/>
          <w:color w:val="000000" w:themeColor="text1"/>
          <w:sz w:val="22"/>
          <w:lang w:val="es-ES_tradnl"/>
        </w:rPr>
        <w:t xml:space="preserve">Como se aprecia, el principio </w:t>
      </w:r>
      <w:r w:rsidRPr="00F95886">
        <w:rPr>
          <w:rFonts w:ascii="Arial" w:eastAsia="Calibri" w:hAnsi="Arial" w:cs="Arial"/>
          <w:i/>
          <w:iCs/>
          <w:color w:val="000000" w:themeColor="text1"/>
          <w:sz w:val="22"/>
          <w:lang w:val="es-ES_tradnl"/>
        </w:rPr>
        <w:t>pro libertate</w:t>
      </w:r>
      <w:r w:rsidRPr="00F95886">
        <w:rPr>
          <w:rFonts w:ascii="Arial" w:eastAsia="Calibri" w:hAnsi="Arial" w:cs="Arial"/>
          <w:color w:val="000000" w:themeColor="text1"/>
          <w:sz w:val="22"/>
          <w:lang w:val="es-ES_tradnl"/>
        </w:rPr>
        <w:t xml:space="preserve"> es el que debe dirigir la interpretación de las disposiciones normativas que consagran restricciones de derechos, como sucede con las causales de inhabilidad e incompatibilidad en la contratación estatal.</w:t>
      </w:r>
      <w:r w:rsidR="00817CCE">
        <w:rPr>
          <w:rFonts w:ascii="Arial" w:eastAsia="Calibri" w:hAnsi="Arial" w:cs="Arial"/>
          <w:color w:val="000000" w:themeColor="text1"/>
          <w:sz w:val="22"/>
          <w:lang w:val="es-ES_tradnl"/>
        </w:rPr>
        <w:t xml:space="preserve"> En ese sentido, </w:t>
      </w:r>
      <w:r w:rsidR="009F5A81">
        <w:rPr>
          <w:rFonts w:ascii="Arial" w:eastAsia="Calibri" w:hAnsi="Arial" w:cs="Arial"/>
          <w:color w:val="000000" w:themeColor="text1"/>
          <w:sz w:val="22"/>
          <w:lang w:val="es-ES_tradnl"/>
        </w:rPr>
        <w:t xml:space="preserve">las disposiciones </w:t>
      </w:r>
      <w:r w:rsidR="00EC5476">
        <w:rPr>
          <w:rFonts w:ascii="Arial" w:eastAsia="Calibri" w:hAnsi="Arial" w:cs="Arial"/>
          <w:color w:val="000000" w:themeColor="text1"/>
          <w:sz w:val="22"/>
          <w:lang w:val="es-ES_tradnl"/>
        </w:rPr>
        <w:t xml:space="preserve">que integran el régimen de inhabilidades e incompatibilidades exigen una interpretación </w:t>
      </w:r>
      <w:r w:rsidR="00EE1EA1">
        <w:rPr>
          <w:rFonts w:ascii="Arial" w:eastAsia="Calibri" w:hAnsi="Arial" w:cs="Arial"/>
          <w:color w:val="000000" w:themeColor="text1"/>
          <w:sz w:val="22"/>
          <w:lang w:val="es-ES_tradnl"/>
        </w:rPr>
        <w:t xml:space="preserve">que garantice el referido principio, lo que significa </w:t>
      </w:r>
      <w:r w:rsidR="00AF2BAE">
        <w:rPr>
          <w:rFonts w:ascii="Arial" w:eastAsia="Calibri" w:hAnsi="Arial" w:cs="Arial"/>
          <w:color w:val="000000" w:themeColor="text1"/>
          <w:sz w:val="22"/>
          <w:lang w:val="es-ES_tradnl"/>
        </w:rPr>
        <w:t xml:space="preserve">una aplicación sintonizada con lo expresamente </w:t>
      </w:r>
      <w:r w:rsidR="003E023D">
        <w:rPr>
          <w:rFonts w:ascii="Arial" w:eastAsia="Calibri" w:hAnsi="Arial" w:cs="Arial"/>
          <w:color w:val="000000" w:themeColor="text1"/>
          <w:sz w:val="22"/>
          <w:lang w:val="es-ES_tradnl"/>
        </w:rPr>
        <w:t>señalado</w:t>
      </w:r>
      <w:r w:rsidR="00AF2BAE">
        <w:rPr>
          <w:rFonts w:ascii="Arial" w:eastAsia="Calibri" w:hAnsi="Arial" w:cs="Arial"/>
          <w:color w:val="000000" w:themeColor="text1"/>
          <w:sz w:val="22"/>
          <w:lang w:val="es-ES_tradnl"/>
        </w:rPr>
        <w:t xml:space="preserve"> en la norma.</w:t>
      </w:r>
    </w:p>
    <w:p w14:paraId="21F0F965" w14:textId="77777777" w:rsidR="00F128A6" w:rsidRDefault="00F128A6" w:rsidP="00E5054B">
      <w:pPr>
        <w:pStyle w:val="Textoindependiente"/>
        <w:spacing w:line="276" w:lineRule="auto"/>
        <w:jc w:val="both"/>
        <w:rPr>
          <w:rFonts w:eastAsia="Calibri"/>
          <w:color w:val="000000" w:themeColor="text1"/>
          <w:sz w:val="22"/>
          <w:szCs w:val="22"/>
          <w:lang w:val="es-ES_tradnl"/>
        </w:rPr>
      </w:pPr>
    </w:p>
    <w:p w14:paraId="06BFAD7A" w14:textId="783BD351" w:rsidR="00F128A6" w:rsidRPr="00AF2B93" w:rsidRDefault="00F128A6" w:rsidP="00996366">
      <w:pPr>
        <w:pStyle w:val="Ttulo1"/>
        <w:tabs>
          <w:tab w:val="left" w:pos="726"/>
        </w:tabs>
        <w:spacing w:line="276" w:lineRule="auto"/>
        <w:ind w:left="0" w:right="310"/>
        <w:jc w:val="both"/>
        <w:rPr>
          <w:color w:val="000000" w:themeColor="text1"/>
        </w:rPr>
      </w:pPr>
      <w:r>
        <w:rPr>
          <w:color w:val="000000" w:themeColor="text1"/>
        </w:rPr>
        <w:t xml:space="preserve">2.3. </w:t>
      </w:r>
      <w:r w:rsidRPr="00AF2B93">
        <w:rPr>
          <w:color w:val="000000" w:themeColor="text1"/>
        </w:rPr>
        <w:t xml:space="preserve">Prohibición de percibir doble asignación presupuestal y </w:t>
      </w:r>
      <w:r>
        <w:rPr>
          <w:color w:val="000000" w:themeColor="text1"/>
        </w:rPr>
        <w:t>posibilidad de celebrar</w:t>
      </w:r>
      <w:r w:rsidRPr="00AF2B93">
        <w:rPr>
          <w:color w:val="000000" w:themeColor="text1"/>
        </w:rPr>
        <w:t xml:space="preserve"> contratos de prestación de</w:t>
      </w:r>
      <w:r w:rsidRPr="00AF2B93">
        <w:rPr>
          <w:color w:val="000000" w:themeColor="text1"/>
          <w:spacing w:val="-4"/>
        </w:rPr>
        <w:t xml:space="preserve"> </w:t>
      </w:r>
      <w:r w:rsidRPr="00AF2B93">
        <w:rPr>
          <w:color w:val="000000" w:themeColor="text1"/>
        </w:rPr>
        <w:t>servicios</w:t>
      </w:r>
      <w:r>
        <w:rPr>
          <w:color w:val="000000" w:themeColor="text1"/>
        </w:rPr>
        <w:t xml:space="preserve"> de manera simultanea</w:t>
      </w:r>
    </w:p>
    <w:p w14:paraId="2EF9C710" w14:textId="77777777" w:rsidR="00F128A6" w:rsidRDefault="00F128A6" w:rsidP="00E5054B">
      <w:pPr>
        <w:pStyle w:val="Textoindependiente"/>
        <w:spacing w:line="276" w:lineRule="auto"/>
        <w:jc w:val="both"/>
        <w:rPr>
          <w:rFonts w:eastAsia="Calibri"/>
          <w:color w:val="000000" w:themeColor="text1"/>
          <w:sz w:val="22"/>
          <w:szCs w:val="22"/>
          <w:lang w:val="es-ES_tradnl"/>
        </w:rPr>
      </w:pPr>
    </w:p>
    <w:p w14:paraId="02F41747" w14:textId="7B335449" w:rsidR="002650A2" w:rsidRPr="00996366" w:rsidRDefault="00B93A8D" w:rsidP="00996366">
      <w:pPr>
        <w:pStyle w:val="Textoindependiente"/>
        <w:spacing w:line="276" w:lineRule="auto"/>
        <w:jc w:val="both"/>
        <w:rPr>
          <w:color w:val="000000" w:themeColor="text1"/>
          <w:sz w:val="22"/>
          <w:szCs w:val="22"/>
        </w:rPr>
      </w:pPr>
      <w:r w:rsidRPr="00B93A8D">
        <w:rPr>
          <w:color w:val="000000" w:themeColor="text1"/>
          <w:sz w:val="22"/>
          <w:szCs w:val="22"/>
          <w:lang w:val="es-ES_tradnl"/>
        </w:rPr>
        <w:t>A</w:t>
      </w:r>
      <w:r w:rsidR="00BA187E" w:rsidRPr="00B93A8D">
        <w:rPr>
          <w:color w:val="000000" w:themeColor="text1"/>
          <w:sz w:val="22"/>
          <w:szCs w:val="22"/>
          <w:lang w:val="es-ES_tradnl"/>
        </w:rPr>
        <w:t xml:space="preserve">nalizado el conjunto de disposiciones que integran el régimen de inhabilidades e incompatibilidades para la contratación estatal, así como los requisitos y límites de los contratos de prestación de servicios profesionales, no se advierte una disposición que limite el numero de contratos de prestación de servicios que puede suscribir </w:t>
      </w:r>
      <w:r w:rsidR="0043465F" w:rsidRPr="00B93A8D">
        <w:rPr>
          <w:color w:val="000000" w:themeColor="text1"/>
          <w:sz w:val="22"/>
          <w:szCs w:val="22"/>
          <w:lang w:val="es-ES_tradnl"/>
        </w:rPr>
        <w:t xml:space="preserve">o ejecutar una persona de manera simultánea. </w:t>
      </w:r>
      <w:r w:rsidR="00DF5BB0" w:rsidRPr="00B93A8D">
        <w:rPr>
          <w:color w:val="000000" w:themeColor="text1"/>
          <w:sz w:val="22"/>
          <w:szCs w:val="22"/>
          <w:lang w:val="es-ES_tradnl"/>
        </w:rPr>
        <w:t>No obstante,</w:t>
      </w:r>
      <w:r w:rsidR="000D17CE" w:rsidRPr="00B93A8D">
        <w:rPr>
          <w:color w:val="000000" w:themeColor="text1"/>
          <w:sz w:val="22"/>
          <w:szCs w:val="22"/>
          <w:lang w:val="es-ES_tradnl"/>
        </w:rPr>
        <w:t xml:space="preserve"> </w:t>
      </w:r>
      <w:r w:rsidR="006169DA">
        <w:rPr>
          <w:color w:val="000000" w:themeColor="text1"/>
          <w:sz w:val="22"/>
          <w:szCs w:val="22"/>
          <w:lang w:val="es-ES_tradnl"/>
        </w:rPr>
        <w:t>se debe</w:t>
      </w:r>
      <w:r w:rsidR="000D17CE" w:rsidRPr="00B93A8D">
        <w:rPr>
          <w:color w:val="000000" w:themeColor="text1"/>
          <w:sz w:val="22"/>
          <w:szCs w:val="22"/>
          <w:lang w:val="es-ES_tradnl"/>
        </w:rPr>
        <w:t xml:space="preserve"> advertir que, en el ordenamiento jurídico </w:t>
      </w:r>
      <w:r w:rsidR="0019286E" w:rsidRPr="00B93A8D">
        <w:rPr>
          <w:color w:val="000000" w:themeColor="text1"/>
          <w:sz w:val="22"/>
          <w:szCs w:val="22"/>
          <w:lang w:val="es-ES_tradnl"/>
        </w:rPr>
        <w:t xml:space="preserve">colombiano, </w:t>
      </w:r>
      <w:r w:rsidR="002650A2" w:rsidRPr="00B93A8D">
        <w:rPr>
          <w:color w:val="000000" w:themeColor="text1"/>
          <w:sz w:val="22"/>
          <w:szCs w:val="22"/>
        </w:rPr>
        <w:t>h</w:t>
      </w:r>
      <w:r w:rsidR="002650A2" w:rsidRPr="00996366">
        <w:rPr>
          <w:color w:val="000000" w:themeColor="text1"/>
          <w:sz w:val="22"/>
          <w:szCs w:val="22"/>
        </w:rPr>
        <w:t>istóricamente se ha prohibido que una misma persona reciba doble salario proveniente del tesoro público</w:t>
      </w:r>
      <w:r w:rsidR="002650A2" w:rsidRPr="00996366">
        <w:rPr>
          <w:rStyle w:val="Refdenotaalpie"/>
          <w:color w:val="000000" w:themeColor="text1"/>
          <w:sz w:val="22"/>
          <w:szCs w:val="22"/>
        </w:rPr>
        <w:footnoteReference w:id="25"/>
      </w:r>
      <w:r w:rsidR="002650A2" w:rsidRPr="00996366">
        <w:rPr>
          <w:color w:val="000000" w:themeColor="text1"/>
          <w:sz w:val="22"/>
          <w:szCs w:val="22"/>
        </w:rPr>
        <w:t xml:space="preserve">, </w:t>
      </w:r>
      <w:r w:rsidR="0019286E" w:rsidRPr="00B93A8D">
        <w:rPr>
          <w:color w:val="000000" w:themeColor="text1"/>
          <w:sz w:val="22"/>
          <w:szCs w:val="22"/>
        </w:rPr>
        <w:t xml:space="preserve"> tal como en su momento</w:t>
      </w:r>
      <w:r w:rsidR="002650A2" w:rsidRPr="00996366">
        <w:rPr>
          <w:color w:val="000000" w:themeColor="text1"/>
          <w:sz w:val="22"/>
          <w:szCs w:val="22"/>
        </w:rPr>
        <w:t xml:space="preserve"> lo señal</w:t>
      </w:r>
      <w:r w:rsidR="0019286E" w:rsidRPr="00B93A8D">
        <w:rPr>
          <w:color w:val="000000" w:themeColor="text1"/>
          <w:sz w:val="22"/>
          <w:szCs w:val="22"/>
        </w:rPr>
        <w:t>aron</w:t>
      </w:r>
      <w:r w:rsidR="002650A2" w:rsidRPr="00996366">
        <w:rPr>
          <w:color w:val="000000" w:themeColor="text1"/>
          <w:sz w:val="22"/>
          <w:szCs w:val="22"/>
        </w:rPr>
        <w:t xml:space="preserve"> el artículo 1 </w:t>
      </w:r>
      <w:r w:rsidR="002650A2" w:rsidRPr="00996366">
        <w:rPr>
          <w:color w:val="000000" w:themeColor="text1"/>
          <w:sz w:val="22"/>
          <w:szCs w:val="22"/>
        </w:rPr>
        <w:lastRenderedPageBreak/>
        <w:t>de la Ley 78 de 1931</w:t>
      </w:r>
      <w:r w:rsidR="002650A2" w:rsidRPr="00996366">
        <w:rPr>
          <w:rStyle w:val="Refdenotaalpie"/>
          <w:color w:val="000000" w:themeColor="text1"/>
          <w:sz w:val="22"/>
          <w:szCs w:val="22"/>
        </w:rPr>
        <w:footnoteReference w:id="26"/>
      </w:r>
      <w:r w:rsidR="002650A2" w:rsidRPr="00996366">
        <w:rPr>
          <w:color w:val="000000" w:themeColor="text1"/>
          <w:sz w:val="22"/>
          <w:szCs w:val="22"/>
        </w:rPr>
        <w:t xml:space="preserve"> y el</w:t>
      </w:r>
      <w:r w:rsidR="0019286E" w:rsidRPr="00B93A8D">
        <w:rPr>
          <w:color w:val="000000" w:themeColor="text1"/>
          <w:sz w:val="22"/>
          <w:szCs w:val="22"/>
        </w:rPr>
        <w:t xml:space="preserve"> </w:t>
      </w:r>
      <w:r w:rsidR="002650A2" w:rsidRPr="00996366">
        <w:rPr>
          <w:color w:val="000000" w:themeColor="text1"/>
          <w:sz w:val="22"/>
          <w:szCs w:val="22"/>
        </w:rPr>
        <w:t>23 del Acto Legislativo No. 1 de 1936</w:t>
      </w:r>
      <w:r w:rsidR="002650A2" w:rsidRPr="00996366">
        <w:rPr>
          <w:rStyle w:val="Refdenotaalpie"/>
          <w:color w:val="000000" w:themeColor="text1"/>
          <w:sz w:val="22"/>
          <w:szCs w:val="22"/>
        </w:rPr>
        <w:footnoteReference w:id="27"/>
      </w:r>
      <w:r w:rsidR="002650A2" w:rsidRPr="00996366">
        <w:rPr>
          <w:color w:val="000000" w:themeColor="text1"/>
          <w:sz w:val="22"/>
          <w:szCs w:val="22"/>
        </w:rPr>
        <w:t>, donde se prohibió la acumulación de cargos remunerados en un solo funcionario oficial y se reiteró la prohibición de que una misma persona dev</w:t>
      </w:r>
      <w:r w:rsidR="00A1657C" w:rsidRPr="00B93A8D">
        <w:rPr>
          <w:color w:val="000000" w:themeColor="text1"/>
          <w:sz w:val="22"/>
          <w:szCs w:val="22"/>
        </w:rPr>
        <w:t>engara</w:t>
      </w:r>
      <w:r w:rsidR="002650A2" w:rsidRPr="00996366">
        <w:rPr>
          <w:color w:val="000000" w:themeColor="text1"/>
          <w:sz w:val="22"/>
          <w:szCs w:val="22"/>
        </w:rPr>
        <w:t xml:space="preserve"> simultáneamente dos o más </w:t>
      </w:r>
      <w:r w:rsidR="00A1657C" w:rsidRPr="00B93A8D">
        <w:rPr>
          <w:color w:val="000000" w:themeColor="text1"/>
          <w:sz w:val="22"/>
          <w:szCs w:val="22"/>
        </w:rPr>
        <w:t>asignaciones</w:t>
      </w:r>
      <w:r w:rsidR="002650A2" w:rsidRPr="00996366">
        <w:rPr>
          <w:color w:val="000000" w:themeColor="text1"/>
          <w:sz w:val="22"/>
          <w:szCs w:val="22"/>
        </w:rPr>
        <w:t xml:space="preserve"> de la nación, los departamentos y los municipios.</w:t>
      </w:r>
      <w:r w:rsidRPr="00B93A8D">
        <w:rPr>
          <w:color w:val="000000" w:themeColor="text1"/>
          <w:sz w:val="22"/>
          <w:szCs w:val="22"/>
        </w:rPr>
        <w:t xml:space="preserve"> </w:t>
      </w:r>
      <w:r w:rsidR="002650A2" w:rsidRPr="00996366">
        <w:rPr>
          <w:color w:val="000000" w:themeColor="text1"/>
          <w:sz w:val="22"/>
          <w:szCs w:val="22"/>
        </w:rPr>
        <w:t>La Constitución Política de Colombia de 1991, en el artículo 128, incluye, de igual forma, la prohibición de recibir más de una asignación que provenga del tesoro público</w:t>
      </w:r>
      <w:r w:rsidRPr="00996366">
        <w:rPr>
          <w:color w:val="000000" w:themeColor="text1"/>
          <w:sz w:val="22"/>
          <w:szCs w:val="22"/>
        </w:rPr>
        <w:t xml:space="preserve">, en los siguientes términos: </w:t>
      </w:r>
    </w:p>
    <w:p w14:paraId="1606564F" w14:textId="77777777" w:rsidR="002650A2" w:rsidRPr="00996366" w:rsidRDefault="002650A2" w:rsidP="002650A2">
      <w:pPr>
        <w:spacing w:before="94"/>
        <w:ind w:left="1008" w:right="732"/>
        <w:jc w:val="both"/>
        <w:rPr>
          <w:rFonts w:ascii="Arial" w:hAnsi="Arial" w:cs="Arial"/>
          <w:color w:val="000000" w:themeColor="text1"/>
          <w:sz w:val="21"/>
        </w:rPr>
      </w:pPr>
      <w:r w:rsidRPr="00996366">
        <w:rPr>
          <w:rFonts w:ascii="Arial" w:hAnsi="Arial" w:cs="Arial"/>
          <w:color w:val="000000" w:themeColor="text1"/>
          <w:sz w:val="21"/>
        </w:rPr>
        <w:t>Artículo 128. 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C29CD20" w14:textId="77777777" w:rsidR="002650A2" w:rsidRPr="00B93A8D" w:rsidRDefault="002650A2" w:rsidP="002650A2">
      <w:pPr>
        <w:pStyle w:val="Textoindependiente"/>
        <w:rPr>
          <w:color w:val="000000" w:themeColor="text1"/>
          <w:sz w:val="21"/>
        </w:rPr>
      </w:pPr>
    </w:p>
    <w:p w14:paraId="3AAEEF7C" w14:textId="77777777" w:rsidR="002650A2" w:rsidRPr="00996366" w:rsidRDefault="002650A2" w:rsidP="002650A2">
      <w:pPr>
        <w:ind w:left="1008" w:right="740"/>
        <w:jc w:val="both"/>
        <w:rPr>
          <w:rFonts w:ascii="Arial" w:hAnsi="Arial" w:cs="Arial"/>
          <w:color w:val="000000" w:themeColor="text1"/>
          <w:sz w:val="21"/>
        </w:rPr>
      </w:pPr>
      <w:r w:rsidRPr="00996366">
        <w:rPr>
          <w:rFonts w:ascii="Arial" w:hAnsi="Arial" w:cs="Arial"/>
          <w:color w:val="000000" w:themeColor="text1"/>
          <w:sz w:val="21"/>
        </w:rPr>
        <w:t>Entiéndese por tesoro público el de la Nación, el de las entidades territoriales y el de las descentralizadas</w:t>
      </w:r>
    </w:p>
    <w:p w14:paraId="64263DFD" w14:textId="77777777" w:rsidR="002650A2" w:rsidRPr="00AF2B93" w:rsidRDefault="002650A2" w:rsidP="002650A2">
      <w:pPr>
        <w:pStyle w:val="Textoindependiente"/>
        <w:spacing w:before="5"/>
        <w:rPr>
          <w:color w:val="000000" w:themeColor="text1"/>
          <w:sz w:val="25"/>
        </w:rPr>
      </w:pPr>
    </w:p>
    <w:p w14:paraId="1BF1AC51" w14:textId="5C1258EA" w:rsidR="00B204B3" w:rsidRDefault="002650A2" w:rsidP="009418A5">
      <w:pPr>
        <w:pStyle w:val="Textoindependiente"/>
        <w:spacing w:line="276" w:lineRule="auto"/>
        <w:ind w:firstLine="709"/>
        <w:jc w:val="both"/>
        <w:rPr>
          <w:color w:val="000000" w:themeColor="text1"/>
          <w:sz w:val="22"/>
          <w:szCs w:val="22"/>
        </w:rPr>
      </w:pPr>
      <w:r w:rsidRPr="00996366">
        <w:rPr>
          <w:color w:val="000000" w:themeColor="text1"/>
          <w:sz w:val="22"/>
          <w:szCs w:val="22"/>
        </w:rPr>
        <w:t>Esta norma se desarrolló a través del artículo 19 de la Ley 4 de 1992</w:t>
      </w:r>
      <w:r w:rsidRPr="00996366">
        <w:rPr>
          <w:rStyle w:val="Refdenotaalpie"/>
          <w:color w:val="000000" w:themeColor="text1"/>
          <w:sz w:val="22"/>
          <w:szCs w:val="22"/>
        </w:rPr>
        <w:footnoteReference w:id="28"/>
      </w:r>
      <w:r w:rsidRPr="00996366">
        <w:rPr>
          <w:color w:val="000000" w:themeColor="text1"/>
          <w:sz w:val="22"/>
          <w:szCs w:val="22"/>
        </w:rPr>
        <w:t>, precisando la prohibición del artículo 128</w:t>
      </w:r>
      <w:r w:rsidR="007A13A0" w:rsidRPr="005B384E">
        <w:rPr>
          <w:color w:val="000000" w:themeColor="text1"/>
          <w:sz w:val="22"/>
          <w:szCs w:val="22"/>
        </w:rPr>
        <w:t>, y</w:t>
      </w:r>
      <w:r w:rsidR="007533F2" w:rsidRPr="005B384E">
        <w:rPr>
          <w:color w:val="000000" w:themeColor="text1"/>
          <w:sz w:val="22"/>
          <w:szCs w:val="22"/>
        </w:rPr>
        <w:t>,</w:t>
      </w:r>
      <w:r w:rsidR="007A13A0" w:rsidRPr="005B384E">
        <w:rPr>
          <w:color w:val="000000" w:themeColor="text1"/>
          <w:sz w:val="22"/>
          <w:szCs w:val="22"/>
        </w:rPr>
        <w:t xml:space="preserve"> </w:t>
      </w:r>
      <w:r w:rsidRPr="00996366">
        <w:rPr>
          <w:color w:val="000000" w:themeColor="text1"/>
          <w:sz w:val="22"/>
          <w:szCs w:val="22"/>
        </w:rPr>
        <w:t xml:space="preserve">señalando </w:t>
      </w:r>
      <w:r w:rsidR="007533F2" w:rsidRPr="005B384E">
        <w:rPr>
          <w:color w:val="000000" w:themeColor="text1"/>
          <w:sz w:val="22"/>
          <w:szCs w:val="22"/>
        </w:rPr>
        <w:t>unas</w:t>
      </w:r>
      <w:r w:rsidRPr="00996366">
        <w:rPr>
          <w:color w:val="000000" w:themeColor="text1"/>
          <w:sz w:val="22"/>
          <w:szCs w:val="22"/>
        </w:rPr>
        <w:t xml:space="preserve"> </w:t>
      </w:r>
      <w:r w:rsidR="007533F2" w:rsidRPr="005B384E">
        <w:rPr>
          <w:color w:val="000000" w:themeColor="text1"/>
          <w:sz w:val="22"/>
          <w:szCs w:val="22"/>
        </w:rPr>
        <w:t xml:space="preserve">situaciones </w:t>
      </w:r>
      <w:r w:rsidRPr="00996366">
        <w:rPr>
          <w:color w:val="000000" w:themeColor="text1"/>
          <w:sz w:val="22"/>
          <w:szCs w:val="22"/>
        </w:rPr>
        <w:t>exceptuad</w:t>
      </w:r>
      <w:r w:rsidR="007533F2" w:rsidRPr="005B384E">
        <w:rPr>
          <w:color w:val="000000" w:themeColor="text1"/>
          <w:sz w:val="22"/>
          <w:szCs w:val="22"/>
        </w:rPr>
        <w:t>as</w:t>
      </w:r>
      <w:r w:rsidRPr="00996366">
        <w:rPr>
          <w:color w:val="000000" w:themeColor="text1"/>
          <w:sz w:val="22"/>
          <w:szCs w:val="22"/>
        </w:rPr>
        <w:t xml:space="preserve"> en los que una misma persona puede recibir simultáneamente doble asignación presupuestal. </w:t>
      </w:r>
      <w:r w:rsidR="009418A5" w:rsidRPr="005B384E">
        <w:rPr>
          <w:color w:val="000000" w:themeColor="text1"/>
          <w:sz w:val="22"/>
          <w:szCs w:val="22"/>
        </w:rPr>
        <w:t>No obstante, sobre esta prohibición es posible afirmar que</w:t>
      </w:r>
      <w:r w:rsidR="007533F2" w:rsidRPr="005B384E">
        <w:rPr>
          <w:color w:val="000000" w:themeColor="text1"/>
          <w:sz w:val="22"/>
          <w:szCs w:val="22"/>
        </w:rPr>
        <w:t>,</w:t>
      </w:r>
      <w:r w:rsidR="009418A5" w:rsidRPr="005B384E">
        <w:rPr>
          <w:color w:val="000000" w:themeColor="text1"/>
          <w:sz w:val="22"/>
          <w:szCs w:val="22"/>
        </w:rPr>
        <w:t xml:space="preserve"> la misma </w:t>
      </w:r>
      <w:r w:rsidR="00B204B3" w:rsidRPr="005B384E">
        <w:rPr>
          <w:color w:val="000000" w:themeColor="text1"/>
          <w:sz w:val="22"/>
          <w:szCs w:val="22"/>
        </w:rPr>
        <w:t>tiene por destinatarias a</w:t>
      </w:r>
      <w:r w:rsidR="009418A5" w:rsidRPr="005B384E">
        <w:rPr>
          <w:color w:val="000000" w:themeColor="text1"/>
          <w:sz w:val="22"/>
          <w:szCs w:val="22"/>
        </w:rPr>
        <w:t xml:space="preserve"> </w:t>
      </w:r>
      <w:r w:rsidRPr="00996366">
        <w:rPr>
          <w:color w:val="000000" w:themeColor="text1"/>
          <w:sz w:val="22"/>
          <w:szCs w:val="22"/>
        </w:rPr>
        <w:t xml:space="preserve">las personas que ejercen empleos públicos. Al respecto, </w:t>
      </w:r>
      <w:r w:rsidR="00B204B3" w:rsidRPr="00996366">
        <w:rPr>
          <w:color w:val="000000" w:themeColor="text1"/>
          <w:sz w:val="22"/>
          <w:szCs w:val="22"/>
        </w:rPr>
        <w:t xml:space="preserve">ha tenido la oportunidad de pronunciarse </w:t>
      </w:r>
      <w:r w:rsidRPr="00996366">
        <w:rPr>
          <w:color w:val="000000" w:themeColor="text1"/>
          <w:sz w:val="22"/>
          <w:szCs w:val="22"/>
        </w:rPr>
        <w:t xml:space="preserve">la Sala de Consulta y Servicio Civil del Consejo de Estado, </w:t>
      </w:r>
      <w:r w:rsidR="00B204B3" w:rsidRPr="00996366">
        <w:rPr>
          <w:color w:val="000000" w:themeColor="text1"/>
          <w:sz w:val="22"/>
          <w:szCs w:val="22"/>
        </w:rPr>
        <w:t>quien en</w:t>
      </w:r>
      <w:r w:rsidRPr="00996366">
        <w:rPr>
          <w:color w:val="000000" w:themeColor="text1"/>
          <w:sz w:val="22"/>
          <w:szCs w:val="22"/>
        </w:rPr>
        <w:t xml:space="preserve"> concepto </w:t>
      </w:r>
      <w:r w:rsidRPr="00996366">
        <w:rPr>
          <w:color w:val="000000" w:themeColor="text1"/>
          <w:sz w:val="22"/>
          <w:szCs w:val="22"/>
        </w:rPr>
        <w:lastRenderedPageBreak/>
        <w:t xml:space="preserve">No 1.344, del 10 de mayo de 2001, </w:t>
      </w:r>
      <w:r w:rsidR="005B384E" w:rsidRPr="00996366">
        <w:rPr>
          <w:color w:val="000000" w:themeColor="text1"/>
          <w:sz w:val="22"/>
          <w:szCs w:val="22"/>
        </w:rPr>
        <w:t>señalo lo siguiente:</w:t>
      </w:r>
    </w:p>
    <w:p w14:paraId="18D84503" w14:textId="77777777" w:rsidR="00F33EBD" w:rsidRPr="00996366" w:rsidRDefault="00F33EBD" w:rsidP="009418A5">
      <w:pPr>
        <w:pStyle w:val="Textoindependiente"/>
        <w:spacing w:line="276" w:lineRule="auto"/>
        <w:ind w:firstLine="709"/>
        <w:jc w:val="both"/>
        <w:rPr>
          <w:color w:val="000000" w:themeColor="text1"/>
          <w:sz w:val="22"/>
          <w:szCs w:val="22"/>
        </w:rPr>
      </w:pPr>
    </w:p>
    <w:p w14:paraId="364888F8" w14:textId="455B6942" w:rsidR="005B384E" w:rsidRPr="00996366" w:rsidRDefault="00896007" w:rsidP="00996366">
      <w:pPr>
        <w:ind w:left="709" w:right="709"/>
        <w:jc w:val="both"/>
        <w:rPr>
          <w:rFonts w:ascii="Arial" w:hAnsi="Arial"/>
          <w:sz w:val="21"/>
          <w:szCs w:val="21"/>
        </w:rPr>
      </w:pPr>
      <w:r>
        <w:rPr>
          <w:rFonts w:ascii="Arial" w:hAnsi="Arial"/>
          <w:sz w:val="21"/>
          <w:szCs w:val="21"/>
        </w:rPr>
        <w:t>«</w:t>
      </w:r>
      <w:r w:rsidR="005B384E" w:rsidRPr="00996366">
        <w:rPr>
          <w:rFonts w:ascii="Arial" w:hAnsi="Arial"/>
          <w:sz w:val="21"/>
          <w:szCs w:val="21"/>
        </w:rPr>
        <w:t>De los presupuestos de la definición legal y de los elementos analizados, se concluye que particulares que colaboran con el Estado mediante un contrato de prestación de servicios o cualquier otro, tipificado en la ley 80 de l993 o producto de la autonomía de la voluntad, no  están subsumidos en el contexto de la función pública, ni son, por tanto, servidores públicos y, por lo mismo, no reciben “asignación” en los términos establecidos, lo que hace imposible aplicarles el régimen de estos. Estas consideraciones y las expuestas en los puntos anteriores, permiten concluir que los artículos 128 de la Constitución Política y 19 de la ley 4ª de 1992, no son aplicables al particular que celebra contratos con una entidad estatal. No sobra advertir, que no existe norma que establezca incompatibilidad al respecto por lo que, conforme al artículo 6° constitucional, al particular contratista sólo le es exigible responsabilidad ante las autoridades por infringir la Constitución y la ley, en los términos que ellas señalen, circunstancia que impide, por lo demás, toda aplicación analógica o extensiva de las prohibiciones establecidas para los servidores públicos. Por lo demás, el artículo 8° ibídem regula lo relativo a las inhabilidades e incompatibilidades para participar en licitaciones o concursos y para celebrar contratos con las entidades estatales. Estas mismas razones explican la inexistencia de incompatibilidad para que una misma persona natural celebre más de un contrato de prestación de servicios</w:t>
      </w:r>
      <w:r w:rsidR="005B384E">
        <w:rPr>
          <w:rFonts w:ascii="Arial" w:hAnsi="Arial"/>
          <w:sz w:val="21"/>
          <w:szCs w:val="21"/>
        </w:rPr>
        <w:t>»</w:t>
      </w:r>
      <w:r w:rsidR="005B384E">
        <w:rPr>
          <w:rStyle w:val="Refdenotaalpie"/>
          <w:rFonts w:ascii="Arial" w:hAnsi="Arial"/>
          <w:sz w:val="21"/>
          <w:szCs w:val="21"/>
        </w:rPr>
        <w:footnoteReference w:id="29"/>
      </w:r>
      <w:r w:rsidR="005B384E" w:rsidRPr="00996366">
        <w:rPr>
          <w:rFonts w:ascii="Arial" w:hAnsi="Arial"/>
          <w:sz w:val="21"/>
          <w:szCs w:val="21"/>
        </w:rPr>
        <w:t>.</w:t>
      </w:r>
    </w:p>
    <w:p w14:paraId="0BB53087" w14:textId="77777777" w:rsidR="005B384E" w:rsidRDefault="005B384E" w:rsidP="009418A5">
      <w:pPr>
        <w:pStyle w:val="Textoindependiente"/>
        <w:spacing w:line="276" w:lineRule="auto"/>
        <w:ind w:firstLine="709"/>
        <w:jc w:val="both"/>
        <w:rPr>
          <w:color w:val="000000" w:themeColor="text1"/>
        </w:rPr>
      </w:pPr>
    </w:p>
    <w:p w14:paraId="3133581D" w14:textId="36A5ADBB" w:rsidR="00E94A99" w:rsidRPr="00996366" w:rsidRDefault="002650A2" w:rsidP="00996366">
      <w:pPr>
        <w:pStyle w:val="Textoindependiente"/>
        <w:spacing w:after="120" w:line="276" w:lineRule="auto"/>
        <w:ind w:firstLine="408"/>
        <w:jc w:val="both"/>
        <w:rPr>
          <w:color w:val="000000" w:themeColor="text1"/>
          <w:sz w:val="22"/>
          <w:szCs w:val="22"/>
        </w:rPr>
      </w:pPr>
      <w:r w:rsidRPr="00996366">
        <w:rPr>
          <w:color w:val="000000" w:themeColor="text1"/>
          <w:sz w:val="22"/>
          <w:szCs w:val="22"/>
        </w:rPr>
        <w:t xml:space="preserve">De conformidad con lo </w:t>
      </w:r>
      <w:r w:rsidR="00C81076" w:rsidRPr="00400B3F">
        <w:rPr>
          <w:color w:val="000000" w:themeColor="text1"/>
          <w:sz w:val="22"/>
          <w:szCs w:val="22"/>
        </w:rPr>
        <w:t>anterior, teniendo</w:t>
      </w:r>
      <w:r w:rsidR="006D42CA" w:rsidRPr="00996366">
        <w:rPr>
          <w:color w:val="000000" w:themeColor="text1"/>
          <w:sz w:val="22"/>
          <w:szCs w:val="22"/>
        </w:rPr>
        <w:t xml:space="preserve"> el parámetro interpretativo antes </w:t>
      </w:r>
      <w:r w:rsidR="00400B3F" w:rsidRPr="00400B3F">
        <w:rPr>
          <w:color w:val="000000" w:themeColor="text1"/>
          <w:sz w:val="22"/>
          <w:szCs w:val="22"/>
        </w:rPr>
        <w:t>explicado, y</w:t>
      </w:r>
      <w:r w:rsidRPr="00996366">
        <w:rPr>
          <w:color w:val="000000" w:themeColor="text1"/>
          <w:sz w:val="22"/>
          <w:szCs w:val="22"/>
        </w:rPr>
        <w:t xml:space="preserve"> la naturaleza jurídica del contrato de prestación de servicios, </w:t>
      </w:r>
      <w:r w:rsidR="00F2691F" w:rsidRPr="00996366">
        <w:rPr>
          <w:color w:val="000000" w:themeColor="text1"/>
          <w:sz w:val="22"/>
          <w:szCs w:val="22"/>
        </w:rPr>
        <w:t xml:space="preserve">es forzoso concluir que </w:t>
      </w:r>
      <w:r w:rsidRPr="00996366">
        <w:rPr>
          <w:color w:val="000000" w:themeColor="text1"/>
          <w:sz w:val="22"/>
          <w:szCs w:val="22"/>
        </w:rPr>
        <w:t>la prohibición de percibir doble asignación no es aplicable</w:t>
      </w:r>
      <w:r w:rsidR="00F2691F" w:rsidRPr="00996366">
        <w:rPr>
          <w:color w:val="000000" w:themeColor="text1"/>
          <w:sz w:val="22"/>
          <w:szCs w:val="22"/>
        </w:rPr>
        <w:t xml:space="preserve"> al supuesto de la consulta</w:t>
      </w:r>
      <w:r w:rsidR="00C81076" w:rsidRPr="00400B3F">
        <w:rPr>
          <w:color w:val="000000" w:themeColor="text1"/>
          <w:sz w:val="22"/>
          <w:szCs w:val="22"/>
        </w:rPr>
        <w:t>. Esto</w:t>
      </w:r>
      <w:r w:rsidRPr="00996366">
        <w:rPr>
          <w:color w:val="000000" w:themeColor="text1"/>
          <w:sz w:val="22"/>
          <w:szCs w:val="22"/>
        </w:rPr>
        <w:t xml:space="preserve"> </w:t>
      </w:r>
      <w:r w:rsidR="00F2691F" w:rsidRPr="00996366">
        <w:rPr>
          <w:color w:val="000000" w:themeColor="text1"/>
          <w:sz w:val="22"/>
          <w:szCs w:val="22"/>
        </w:rPr>
        <w:t>puesto que,</w:t>
      </w:r>
      <w:r w:rsidRPr="00996366">
        <w:rPr>
          <w:color w:val="000000" w:themeColor="text1"/>
          <w:sz w:val="22"/>
          <w:szCs w:val="22"/>
        </w:rPr>
        <w:t xml:space="preserve"> en virtud del artículo 32 de la Ley 80 de 1993, </w:t>
      </w:r>
      <w:r w:rsidR="00F2691F" w:rsidRPr="00996366">
        <w:rPr>
          <w:color w:val="000000" w:themeColor="text1"/>
          <w:sz w:val="22"/>
          <w:szCs w:val="22"/>
        </w:rPr>
        <w:t xml:space="preserve">estos contratos </w:t>
      </w:r>
      <w:r w:rsidRPr="00996366">
        <w:rPr>
          <w:color w:val="000000" w:themeColor="text1"/>
          <w:sz w:val="22"/>
          <w:szCs w:val="22"/>
        </w:rPr>
        <w:t xml:space="preserve">no comportan una relación laboral, sino que son fruto de la libre autonomía de la voluntad de los contratantes, por </w:t>
      </w:r>
      <w:r w:rsidR="00C81076" w:rsidRPr="00400B3F">
        <w:rPr>
          <w:color w:val="000000" w:themeColor="text1"/>
          <w:sz w:val="22"/>
          <w:szCs w:val="22"/>
        </w:rPr>
        <w:t>consiguiente,</w:t>
      </w:r>
      <w:r w:rsidRPr="00996366">
        <w:rPr>
          <w:color w:val="000000" w:themeColor="text1"/>
          <w:sz w:val="22"/>
          <w:szCs w:val="22"/>
        </w:rPr>
        <w:t xml:space="preserve"> el contratista no es considerado un servidor público, al no tener un vínculo de subordinación con el Estado, elemento propio de un contrato laboral. </w:t>
      </w:r>
    </w:p>
    <w:p w14:paraId="0A26C424" w14:textId="4EB3C375" w:rsidR="003104CB" w:rsidRPr="00400B3F" w:rsidRDefault="002650A2" w:rsidP="00996366">
      <w:pPr>
        <w:pStyle w:val="Textoindependiente"/>
        <w:spacing w:after="120" w:line="276" w:lineRule="auto"/>
        <w:ind w:firstLine="708"/>
        <w:jc w:val="both"/>
        <w:rPr>
          <w:rFonts w:eastAsia="Calibri"/>
          <w:sz w:val="22"/>
          <w:szCs w:val="22"/>
        </w:rPr>
      </w:pPr>
      <w:r w:rsidRPr="00996366">
        <w:rPr>
          <w:color w:val="000000" w:themeColor="text1"/>
          <w:sz w:val="22"/>
          <w:szCs w:val="22"/>
        </w:rPr>
        <w:t xml:space="preserve">En este contexto, los contratistas de prestación de servicios </w:t>
      </w:r>
      <w:r w:rsidR="00766606" w:rsidRPr="00996366">
        <w:rPr>
          <w:color w:val="000000" w:themeColor="text1"/>
          <w:sz w:val="22"/>
          <w:szCs w:val="22"/>
        </w:rPr>
        <w:t>se enc</w:t>
      </w:r>
      <w:r w:rsidR="00C81076" w:rsidRPr="00400B3F">
        <w:rPr>
          <w:color w:val="000000" w:themeColor="text1"/>
          <w:sz w:val="22"/>
          <w:szCs w:val="22"/>
        </w:rPr>
        <w:t>uentran</w:t>
      </w:r>
      <w:r w:rsidR="00766606" w:rsidRPr="00996366">
        <w:rPr>
          <w:color w:val="000000" w:themeColor="text1"/>
          <w:sz w:val="22"/>
          <w:szCs w:val="22"/>
        </w:rPr>
        <w:t xml:space="preserve"> por fuera del ámbito de aplicación </w:t>
      </w:r>
      <w:r w:rsidRPr="00996366">
        <w:rPr>
          <w:color w:val="000000" w:themeColor="text1"/>
          <w:sz w:val="22"/>
          <w:szCs w:val="22"/>
        </w:rPr>
        <w:t>el artículo 128 de la Constitución</w:t>
      </w:r>
      <w:r w:rsidR="00341302" w:rsidRPr="00996366">
        <w:rPr>
          <w:color w:val="000000" w:themeColor="text1"/>
          <w:sz w:val="22"/>
          <w:szCs w:val="22"/>
        </w:rPr>
        <w:t>, al no ser titulares de un empleo público, lo que supone que es perfectamente válido que una persona suscriba varios contratos de prestación de servicios con el Estado, no e</w:t>
      </w:r>
      <w:r w:rsidR="004665D9" w:rsidRPr="00996366">
        <w:rPr>
          <w:color w:val="000000" w:themeColor="text1"/>
          <w:sz w:val="22"/>
          <w:szCs w:val="22"/>
        </w:rPr>
        <w:t xml:space="preserve">xistiendo una disposición que así lo prohíba. </w:t>
      </w:r>
      <w:r w:rsidR="00400B3F" w:rsidRPr="00400B3F">
        <w:rPr>
          <w:color w:val="000000" w:themeColor="text1"/>
          <w:sz w:val="22"/>
          <w:szCs w:val="22"/>
        </w:rPr>
        <w:t xml:space="preserve"> </w:t>
      </w:r>
      <w:bookmarkStart w:id="2" w:name="OLE_LINK103"/>
      <w:bookmarkStart w:id="3" w:name="OLE_LINK104"/>
      <w:bookmarkStart w:id="4" w:name="_Hlk75804655"/>
      <w:bookmarkStart w:id="5" w:name="_Hlk94689439"/>
      <w:bookmarkEnd w:id="2"/>
      <w:bookmarkEnd w:id="3"/>
      <w:r w:rsidR="00400B3F">
        <w:rPr>
          <w:rFonts w:eastAsia="Calibri"/>
          <w:sz w:val="22"/>
          <w:szCs w:val="22"/>
        </w:rPr>
        <w:t>Esto por supuesto dependerá de que</w:t>
      </w:r>
      <w:r w:rsidR="003104CB" w:rsidRPr="00400B3F">
        <w:rPr>
          <w:rFonts w:eastAsia="Calibri"/>
          <w:sz w:val="22"/>
          <w:szCs w:val="22"/>
        </w:rPr>
        <w:t xml:space="preserve">, el contratista no </w:t>
      </w:r>
      <w:r w:rsidR="00400B3F">
        <w:rPr>
          <w:rFonts w:eastAsia="Calibri"/>
          <w:sz w:val="22"/>
          <w:szCs w:val="22"/>
        </w:rPr>
        <w:t>se encuentre incurso</w:t>
      </w:r>
      <w:r w:rsidR="003104CB" w:rsidRPr="00400B3F">
        <w:rPr>
          <w:rFonts w:eastAsia="Calibri"/>
          <w:sz w:val="22"/>
          <w:szCs w:val="22"/>
        </w:rPr>
        <w:t xml:space="preserve"> en</w:t>
      </w:r>
      <w:r w:rsidR="00400B3F">
        <w:rPr>
          <w:rFonts w:eastAsia="Calibri"/>
          <w:sz w:val="22"/>
          <w:szCs w:val="22"/>
        </w:rPr>
        <w:t xml:space="preserve"> alguna</w:t>
      </w:r>
      <w:r w:rsidR="003104CB" w:rsidRPr="00400B3F">
        <w:rPr>
          <w:rFonts w:eastAsia="Calibri"/>
          <w:sz w:val="22"/>
          <w:szCs w:val="22"/>
        </w:rPr>
        <w:t xml:space="preserve"> </w:t>
      </w:r>
      <w:r w:rsidR="00DF02C5">
        <w:rPr>
          <w:rFonts w:eastAsia="Calibri"/>
          <w:sz w:val="22"/>
          <w:szCs w:val="22"/>
        </w:rPr>
        <w:t xml:space="preserve">otra </w:t>
      </w:r>
      <w:r w:rsidR="003104CB" w:rsidRPr="00400B3F">
        <w:rPr>
          <w:rFonts w:eastAsia="Calibri"/>
          <w:sz w:val="22"/>
          <w:szCs w:val="22"/>
        </w:rPr>
        <w:t>causal de inhabilidad o incompatibilidad con las entidades públicas</w:t>
      </w:r>
      <w:r w:rsidR="00DF02C5">
        <w:rPr>
          <w:rFonts w:eastAsia="Calibri"/>
          <w:sz w:val="22"/>
          <w:szCs w:val="22"/>
        </w:rPr>
        <w:t>,</w:t>
      </w:r>
      <w:r w:rsidR="003104CB" w:rsidRPr="00400B3F">
        <w:rPr>
          <w:rFonts w:eastAsia="Calibri"/>
          <w:sz w:val="22"/>
          <w:szCs w:val="22"/>
        </w:rPr>
        <w:t xml:space="preserve"> en las condiciones explicadas</w:t>
      </w:r>
      <w:r w:rsidR="00DF02C5">
        <w:rPr>
          <w:rFonts w:eastAsia="Calibri"/>
          <w:sz w:val="22"/>
          <w:szCs w:val="22"/>
        </w:rPr>
        <w:t>.</w:t>
      </w:r>
      <w:bookmarkEnd w:id="4"/>
    </w:p>
    <w:p w14:paraId="0C3F60B7" w14:textId="23D07804" w:rsidR="003104CB" w:rsidRPr="00A57465" w:rsidRDefault="00DF02C5" w:rsidP="003104CB">
      <w:pPr>
        <w:spacing w:after="120" w:line="276" w:lineRule="auto"/>
        <w:ind w:firstLine="708"/>
        <w:jc w:val="both"/>
        <w:rPr>
          <w:rFonts w:ascii="Arial" w:eastAsia="Calibri" w:hAnsi="Arial" w:cs="Arial"/>
          <w:sz w:val="22"/>
          <w:szCs w:val="22"/>
        </w:rPr>
      </w:pPr>
      <w:r>
        <w:rPr>
          <w:rFonts w:ascii="Arial" w:eastAsia="Calibri" w:hAnsi="Arial" w:cs="Arial"/>
          <w:sz w:val="22"/>
          <w:szCs w:val="22"/>
        </w:rPr>
        <w:t>Sin perjuicio de lo anterior, en eventos como</w:t>
      </w:r>
      <w:r w:rsidR="003104CB" w:rsidRPr="00A57465">
        <w:rPr>
          <w:rFonts w:ascii="Arial" w:eastAsia="Calibri" w:hAnsi="Arial" w:cs="Arial"/>
          <w:sz w:val="22"/>
          <w:szCs w:val="22"/>
        </w:rPr>
        <w:t xml:space="preserve"> </w:t>
      </w:r>
      <w:r w:rsidR="003610F4">
        <w:rPr>
          <w:rFonts w:ascii="Arial" w:eastAsia="Calibri" w:hAnsi="Arial" w:cs="Arial"/>
          <w:sz w:val="22"/>
          <w:szCs w:val="22"/>
        </w:rPr>
        <w:t xml:space="preserve">que es materia de consulta, </w:t>
      </w:r>
      <w:r w:rsidR="003104CB" w:rsidRPr="00A57465">
        <w:rPr>
          <w:rFonts w:ascii="Arial" w:eastAsia="Calibri" w:hAnsi="Arial" w:cs="Arial"/>
          <w:sz w:val="22"/>
          <w:szCs w:val="22"/>
        </w:rPr>
        <w:t>es necesario tener en cuenta</w:t>
      </w:r>
      <w:r w:rsidR="00860639">
        <w:rPr>
          <w:rFonts w:ascii="Arial" w:eastAsia="Calibri" w:hAnsi="Arial" w:cs="Arial"/>
          <w:sz w:val="22"/>
          <w:szCs w:val="22"/>
        </w:rPr>
        <w:t>, dos aspectos adicionales</w:t>
      </w:r>
      <w:r w:rsidR="003104CB" w:rsidRPr="00A57465">
        <w:rPr>
          <w:rFonts w:ascii="Arial" w:eastAsia="Calibri" w:hAnsi="Arial" w:cs="Arial"/>
          <w:sz w:val="22"/>
          <w:szCs w:val="22"/>
        </w:rPr>
        <w:t xml:space="preserve">. </w:t>
      </w:r>
      <w:r w:rsidR="00860639">
        <w:rPr>
          <w:rFonts w:ascii="Arial" w:eastAsia="Calibri" w:hAnsi="Arial" w:cs="Arial"/>
          <w:sz w:val="22"/>
          <w:szCs w:val="22"/>
        </w:rPr>
        <w:t>Por un lado</w:t>
      </w:r>
      <w:r w:rsidR="003104CB" w:rsidRPr="00A57465">
        <w:rPr>
          <w:rFonts w:ascii="Arial" w:eastAsia="Calibri" w:hAnsi="Arial" w:cs="Arial"/>
          <w:sz w:val="22"/>
          <w:szCs w:val="22"/>
        </w:rPr>
        <w:t>,</w:t>
      </w:r>
      <w:r w:rsidR="003A7C69">
        <w:rPr>
          <w:rFonts w:ascii="Arial" w:eastAsia="Calibri" w:hAnsi="Arial" w:cs="Arial"/>
          <w:sz w:val="22"/>
          <w:szCs w:val="22"/>
        </w:rPr>
        <w:t xml:space="preserve"> en </w:t>
      </w:r>
      <w:r w:rsidR="003104CB" w:rsidRPr="00A57465">
        <w:rPr>
          <w:rFonts w:ascii="Arial" w:eastAsia="Calibri" w:hAnsi="Arial" w:cs="Arial"/>
          <w:sz w:val="22"/>
          <w:szCs w:val="22"/>
        </w:rPr>
        <w:t xml:space="preserve">el </w:t>
      </w:r>
      <w:r w:rsidR="003A7C69">
        <w:rPr>
          <w:rFonts w:ascii="Arial" w:eastAsia="Calibri" w:hAnsi="Arial" w:cs="Arial"/>
          <w:sz w:val="22"/>
          <w:szCs w:val="22"/>
        </w:rPr>
        <w:t xml:space="preserve">marco de un </w:t>
      </w:r>
      <w:r w:rsidR="003104CB" w:rsidRPr="00A57465">
        <w:rPr>
          <w:rFonts w:ascii="Arial" w:eastAsia="Calibri" w:hAnsi="Arial" w:cs="Arial"/>
          <w:sz w:val="22"/>
          <w:szCs w:val="22"/>
        </w:rPr>
        <w:t>contrato de prestación de servicios co</w:t>
      </w:r>
      <w:r w:rsidR="003A7C69">
        <w:rPr>
          <w:rFonts w:ascii="Arial" w:eastAsia="Calibri" w:hAnsi="Arial" w:cs="Arial"/>
          <w:sz w:val="22"/>
          <w:szCs w:val="22"/>
        </w:rPr>
        <w:t>n una</w:t>
      </w:r>
      <w:r w:rsidR="003104CB" w:rsidRPr="00A57465">
        <w:rPr>
          <w:rFonts w:ascii="Arial" w:eastAsia="Calibri" w:hAnsi="Arial" w:cs="Arial"/>
          <w:sz w:val="22"/>
          <w:szCs w:val="22"/>
        </w:rPr>
        <w:t xml:space="preserve"> entidad estatal </w:t>
      </w:r>
      <w:r w:rsidR="004514C3">
        <w:rPr>
          <w:rFonts w:ascii="Arial" w:eastAsia="Calibri" w:hAnsi="Arial" w:cs="Arial"/>
          <w:sz w:val="22"/>
          <w:szCs w:val="22"/>
        </w:rPr>
        <w:t>podría</w:t>
      </w:r>
      <w:r w:rsidR="004514C3" w:rsidRPr="00A57465">
        <w:rPr>
          <w:rFonts w:ascii="Arial" w:eastAsia="Calibri" w:hAnsi="Arial" w:cs="Arial"/>
          <w:sz w:val="22"/>
          <w:szCs w:val="22"/>
        </w:rPr>
        <w:t xml:space="preserve"> </w:t>
      </w:r>
      <w:r w:rsidR="004514C3">
        <w:rPr>
          <w:rFonts w:ascii="Arial" w:eastAsia="Calibri" w:hAnsi="Arial" w:cs="Arial"/>
          <w:sz w:val="22"/>
          <w:szCs w:val="22"/>
        </w:rPr>
        <w:t xml:space="preserve">pactarse </w:t>
      </w:r>
      <w:r w:rsidR="003104CB" w:rsidRPr="00A57465">
        <w:rPr>
          <w:rFonts w:ascii="Arial" w:eastAsia="Calibri" w:hAnsi="Arial" w:cs="Arial"/>
          <w:sz w:val="22"/>
          <w:szCs w:val="22"/>
        </w:rPr>
        <w:t xml:space="preserve">una cláusula de </w:t>
      </w:r>
      <w:r w:rsidR="003104CB" w:rsidRPr="00A57465">
        <w:rPr>
          <w:rFonts w:ascii="Arial" w:eastAsia="Calibri" w:hAnsi="Arial" w:cs="Arial"/>
          <w:sz w:val="22"/>
          <w:szCs w:val="22"/>
        </w:rPr>
        <w:lastRenderedPageBreak/>
        <w:t xml:space="preserve">exclusividad. </w:t>
      </w:r>
      <w:r w:rsidR="001E00A3">
        <w:rPr>
          <w:rFonts w:ascii="Arial" w:eastAsia="Calibri" w:hAnsi="Arial" w:cs="Arial"/>
          <w:sz w:val="22"/>
          <w:szCs w:val="22"/>
        </w:rPr>
        <w:t>Si bien est</w:t>
      </w:r>
      <w:r w:rsidR="008A2F7B">
        <w:rPr>
          <w:rFonts w:ascii="Arial" w:eastAsia="Calibri" w:hAnsi="Arial" w:cs="Arial"/>
          <w:sz w:val="22"/>
          <w:szCs w:val="22"/>
        </w:rPr>
        <w:t>e compromiso vendría a ser un elemento accidental del contrato, e</w:t>
      </w:r>
      <w:r w:rsidR="003104CB" w:rsidRPr="00A57465">
        <w:rPr>
          <w:rFonts w:ascii="Arial" w:eastAsia="Calibri" w:hAnsi="Arial" w:cs="Arial"/>
          <w:sz w:val="22"/>
          <w:szCs w:val="22"/>
        </w:rPr>
        <w:t>n virtud de este acuerdo, una de las partes de un contrato se obliga respecto a la otra a realizar, de manera exclusiva, las prestaciones objeto de este</w:t>
      </w:r>
      <w:r w:rsidR="008A2F7B">
        <w:rPr>
          <w:rFonts w:ascii="Arial" w:eastAsia="Calibri" w:hAnsi="Arial" w:cs="Arial"/>
          <w:sz w:val="22"/>
          <w:szCs w:val="22"/>
        </w:rPr>
        <w:t xml:space="preserve">. </w:t>
      </w:r>
      <w:r w:rsidR="003104CB" w:rsidRPr="00A57465">
        <w:rPr>
          <w:rFonts w:ascii="Arial" w:eastAsia="Calibri" w:hAnsi="Arial" w:cs="Arial"/>
          <w:sz w:val="22"/>
          <w:szCs w:val="22"/>
        </w:rPr>
        <w:t xml:space="preserve"> En este sentido, si</w:t>
      </w:r>
      <w:r w:rsidR="008A2F7B">
        <w:rPr>
          <w:rFonts w:ascii="Arial" w:eastAsia="Calibri" w:hAnsi="Arial" w:cs="Arial"/>
          <w:sz w:val="22"/>
          <w:szCs w:val="22"/>
        </w:rPr>
        <w:t>,</w:t>
      </w:r>
      <w:r w:rsidR="003104CB" w:rsidRPr="00A57465">
        <w:rPr>
          <w:rFonts w:ascii="Arial" w:eastAsia="Calibri" w:hAnsi="Arial" w:cs="Arial"/>
          <w:sz w:val="22"/>
          <w:szCs w:val="22"/>
        </w:rPr>
        <w:t xml:space="preserve"> por ejemplo</w:t>
      </w:r>
      <w:r w:rsidR="008A2F7B">
        <w:rPr>
          <w:rFonts w:ascii="Arial" w:eastAsia="Calibri" w:hAnsi="Arial" w:cs="Arial"/>
          <w:sz w:val="22"/>
          <w:szCs w:val="22"/>
        </w:rPr>
        <w:t>,</w:t>
      </w:r>
      <w:r w:rsidR="003104CB" w:rsidRPr="00A57465">
        <w:rPr>
          <w:rFonts w:ascii="Arial" w:eastAsia="Calibri" w:hAnsi="Arial" w:cs="Arial"/>
          <w:sz w:val="22"/>
          <w:szCs w:val="22"/>
        </w:rPr>
        <w:t xml:space="preserve"> en un contrato de prestación de servicios se pacta una cláusula de exclusividad a favor de la entidad</w:t>
      </w:r>
      <w:r w:rsidR="008A2F7B">
        <w:rPr>
          <w:rFonts w:ascii="Arial" w:eastAsia="Calibri" w:hAnsi="Arial" w:cs="Arial"/>
          <w:sz w:val="22"/>
          <w:szCs w:val="22"/>
        </w:rPr>
        <w:t xml:space="preserve"> contratante</w:t>
      </w:r>
      <w:r w:rsidR="003104CB" w:rsidRPr="00A57465">
        <w:rPr>
          <w:rFonts w:ascii="Arial" w:eastAsia="Calibri" w:hAnsi="Arial" w:cs="Arial"/>
          <w:sz w:val="22"/>
          <w:szCs w:val="22"/>
        </w:rPr>
        <w:t>, el contratista se estaría obligando</w:t>
      </w:r>
      <w:r w:rsidR="008A2F7B">
        <w:rPr>
          <w:rFonts w:ascii="Arial" w:eastAsia="Calibri" w:hAnsi="Arial" w:cs="Arial"/>
          <w:sz w:val="22"/>
          <w:szCs w:val="22"/>
        </w:rPr>
        <w:t xml:space="preserve">, </w:t>
      </w:r>
      <w:r w:rsidR="003104CB" w:rsidRPr="00A57465">
        <w:rPr>
          <w:rFonts w:ascii="Arial" w:eastAsia="Calibri" w:hAnsi="Arial" w:cs="Arial"/>
          <w:sz w:val="22"/>
          <w:szCs w:val="22"/>
        </w:rPr>
        <w:t>so pena de incumplimiento</w:t>
      </w:r>
      <w:r w:rsidR="008A2F7B">
        <w:rPr>
          <w:rFonts w:ascii="Arial" w:eastAsia="Calibri" w:hAnsi="Arial" w:cs="Arial"/>
          <w:sz w:val="22"/>
          <w:szCs w:val="22"/>
        </w:rPr>
        <w:t>,</w:t>
      </w:r>
      <w:r w:rsidR="003104CB" w:rsidRPr="00A57465">
        <w:rPr>
          <w:rFonts w:ascii="Arial" w:eastAsia="Calibri" w:hAnsi="Arial" w:cs="Arial"/>
          <w:sz w:val="22"/>
          <w:szCs w:val="22"/>
        </w:rPr>
        <w:t xml:space="preserve"> a no celebrar contratos de la misma naturaleza con otras personas de derecho público o privado</w:t>
      </w:r>
      <w:r w:rsidR="008A2F7B">
        <w:rPr>
          <w:rFonts w:ascii="Arial" w:eastAsia="Calibri" w:hAnsi="Arial" w:cs="Arial"/>
          <w:sz w:val="22"/>
          <w:szCs w:val="22"/>
        </w:rPr>
        <w:t>, dependiendo del alcance la cláusula.</w:t>
      </w:r>
    </w:p>
    <w:p w14:paraId="766DF277" w14:textId="14D83DF5" w:rsidR="003104CB" w:rsidRDefault="008A2F7B" w:rsidP="00996366">
      <w:pPr>
        <w:spacing w:after="120" w:line="276" w:lineRule="auto"/>
        <w:ind w:firstLine="709"/>
        <w:jc w:val="both"/>
        <w:rPr>
          <w:rFonts w:ascii="Arial" w:eastAsia="Calibri" w:hAnsi="Arial" w:cs="Arial"/>
          <w:sz w:val="22"/>
          <w:szCs w:val="22"/>
        </w:rPr>
      </w:pPr>
      <w:r>
        <w:rPr>
          <w:rFonts w:ascii="Arial" w:eastAsia="Calibri" w:hAnsi="Arial" w:cs="Arial"/>
          <w:sz w:val="22"/>
          <w:szCs w:val="22"/>
        </w:rPr>
        <w:t>De otro lado</w:t>
      </w:r>
      <w:r w:rsidR="003104CB" w:rsidRPr="00A57465">
        <w:rPr>
          <w:rFonts w:ascii="Arial" w:eastAsia="Calibri" w:hAnsi="Arial" w:cs="Arial"/>
          <w:sz w:val="22"/>
          <w:szCs w:val="22"/>
        </w:rPr>
        <w:t xml:space="preserve">, aunque el contrato suscrito con la entidad contenga o no la cláusula mencionada en el párrafo </w:t>
      </w:r>
      <w:r w:rsidR="003104CB">
        <w:rPr>
          <w:rFonts w:ascii="Arial" w:eastAsia="Calibri" w:hAnsi="Arial" w:cs="Arial"/>
          <w:sz w:val="22"/>
          <w:szCs w:val="22"/>
        </w:rPr>
        <w:t>anterior</w:t>
      </w:r>
      <w:r w:rsidR="003104CB" w:rsidRPr="00A57465">
        <w:rPr>
          <w:rFonts w:ascii="Arial" w:eastAsia="Calibri" w:hAnsi="Arial" w:cs="Arial"/>
          <w:sz w:val="22"/>
          <w:szCs w:val="22"/>
        </w:rPr>
        <w:t>, es necesario considerar que</w:t>
      </w:r>
      <w:r>
        <w:rPr>
          <w:rFonts w:ascii="Arial" w:eastAsia="Calibri" w:hAnsi="Arial" w:cs="Arial"/>
          <w:sz w:val="22"/>
          <w:szCs w:val="22"/>
        </w:rPr>
        <w:t>,</w:t>
      </w:r>
      <w:r w:rsidR="003104CB" w:rsidRPr="00A57465">
        <w:rPr>
          <w:rFonts w:ascii="Arial" w:eastAsia="Calibri" w:hAnsi="Arial" w:cs="Arial"/>
          <w:sz w:val="22"/>
          <w:szCs w:val="22"/>
        </w:rPr>
        <w:t xml:space="preserve"> el artículo 1603 del Código Civil dispone que «Los contratos deben ejecutarse de buena fe, y por consiguiente obligan no solo a lo que en ellos se expresa, sino a todas las cosas que emanan precisamente de la naturaleza de la obligación, o que por ley pertenecen a ella». </w:t>
      </w:r>
      <w:r w:rsidR="008D6FD8">
        <w:rPr>
          <w:rFonts w:ascii="Arial" w:eastAsia="Calibri" w:hAnsi="Arial" w:cs="Arial"/>
          <w:sz w:val="22"/>
          <w:szCs w:val="22"/>
        </w:rPr>
        <w:t>Esto resulta relevante debido a que</w:t>
      </w:r>
      <w:r w:rsidR="00064617">
        <w:rPr>
          <w:rFonts w:ascii="Arial" w:eastAsia="Calibri" w:hAnsi="Arial" w:cs="Arial"/>
          <w:sz w:val="22"/>
          <w:szCs w:val="22"/>
        </w:rPr>
        <w:t>, en el evento objeto de consulta,</w:t>
      </w:r>
      <w:r w:rsidR="008D6FD8">
        <w:rPr>
          <w:rFonts w:ascii="Arial" w:eastAsia="Calibri" w:hAnsi="Arial" w:cs="Arial"/>
          <w:sz w:val="22"/>
          <w:szCs w:val="22"/>
        </w:rPr>
        <w:t xml:space="preserve"> el postulado </w:t>
      </w:r>
      <w:r w:rsidR="00064617">
        <w:rPr>
          <w:rFonts w:ascii="Arial" w:eastAsia="Calibri" w:hAnsi="Arial" w:cs="Arial"/>
          <w:sz w:val="22"/>
          <w:szCs w:val="22"/>
        </w:rPr>
        <w:t xml:space="preserve">de </w:t>
      </w:r>
      <w:r w:rsidR="003104CB" w:rsidRPr="00A57465">
        <w:rPr>
          <w:rFonts w:ascii="Arial" w:eastAsia="Calibri" w:hAnsi="Arial" w:cs="Arial"/>
          <w:sz w:val="22"/>
          <w:szCs w:val="22"/>
        </w:rPr>
        <w:t xml:space="preserve">la buena fe supone </w:t>
      </w:r>
      <w:r w:rsidR="00064617">
        <w:rPr>
          <w:rFonts w:ascii="Arial" w:eastAsia="Calibri" w:hAnsi="Arial" w:cs="Arial"/>
          <w:sz w:val="22"/>
          <w:szCs w:val="22"/>
        </w:rPr>
        <w:t xml:space="preserve">se ve representado en el deber de </w:t>
      </w:r>
      <w:r w:rsidR="003104CB" w:rsidRPr="00A57465">
        <w:rPr>
          <w:rFonts w:ascii="Arial" w:eastAsia="Calibri" w:hAnsi="Arial" w:cs="Arial"/>
          <w:sz w:val="22"/>
          <w:szCs w:val="22"/>
        </w:rPr>
        <w:t>evitar conflictos de interés que perjudiquen a la</w:t>
      </w:r>
      <w:r w:rsidR="00332D6E">
        <w:rPr>
          <w:rFonts w:ascii="Arial" w:eastAsia="Calibri" w:hAnsi="Arial" w:cs="Arial"/>
          <w:sz w:val="22"/>
          <w:szCs w:val="22"/>
        </w:rPr>
        <w:t>s o la</w:t>
      </w:r>
      <w:r w:rsidR="003104CB" w:rsidRPr="00A57465">
        <w:rPr>
          <w:rFonts w:ascii="Arial" w:eastAsia="Calibri" w:hAnsi="Arial" w:cs="Arial"/>
          <w:sz w:val="22"/>
          <w:szCs w:val="22"/>
        </w:rPr>
        <w:t xml:space="preserve"> entidad contratante, </w:t>
      </w:r>
      <w:r w:rsidR="00332D6E">
        <w:rPr>
          <w:rFonts w:ascii="Arial" w:eastAsia="Calibri" w:hAnsi="Arial" w:cs="Arial"/>
          <w:sz w:val="22"/>
          <w:szCs w:val="22"/>
        </w:rPr>
        <w:t xml:space="preserve">toda vez que </w:t>
      </w:r>
      <w:r w:rsidR="003104CB" w:rsidRPr="00A57465">
        <w:rPr>
          <w:rFonts w:ascii="Arial" w:eastAsia="Calibri" w:hAnsi="Arial" w:cs="Arial"/>
          <w:sz w:val="22"/>
          <w:szCs w:val="22"/>
        </w:rPr>
        <w:t xml:space="preserve">la violación de este principio </w:t>
      </w:r>
      <w:r w:rsidR="00332D6E">
        <w:rPr>
          <w:rFonts w:ascii="Arial" w:eastAsia="Calibri" w:hAnsi="Arial" w:cs="Arial"/>
          <w:sz w:val="22"/>
          <w:szCs w:val="22"/>
        </w:rPr>
        <w:t xml:space="preserve">podría </w:t>
      </w:r>
      <w:r w:rsidR="00E667D8">
        <w:rPr>
          <w:rFonts w:ascii="Arial" w:eastAsia="Calibri" w:hAnsi="Arial" w:cs="Arial"/>
          <w:sz w:val="22"/>
          <w:szCs w:val="22"/>
        </w:rPr>
        <w:t>devenir en</w:t>
      </w:r>
      <w:r w:rsidR="00332D6E" w:rsidRPr="00A57465">
        <w:rPr>
          <w:rFonts w:ascii="Arial" w:eastAsia="Calibri" w:hAnsi="Arial" w:cs="Arial"/>
          <w:sz w:val="22"/>
          <w:szCs w:val="22"/>
        </w:rPr>
        <w:t xml:space="preserve"> </w:t>
      </w:r>
      <w:r w:rsidR="003104CB" w:rsidRPr="00A57465">
        <w:rPr>
          <w:rFonts w:ascii="Arial" w:eastAsia="Calibri" w:hAnsi="Arial" w:cs="Arial"/>
          <w:sz w:val="22"/>
          <w:szCs w:val="22"/>
        </w:rPr>
        <w:t>un incumplimiento contractual</w:t>
      </w:r>
      <w:bookmarkEnd w:id="5"/>
      <w:r w:rsidR="003104CB" w:rsidRPr="00A57465">
        <w:rPr>
          <w:rStyle w:val="Refdenotaalpie"/>
          <w:rFonts w:ascii="Arial" w:eastAsia="Calibri" w:hAnsi="Arial" w:cs="Arial"/>
          <w:sz w:val="22"/>
          <w:szCs w:val="22"/>
        </w:rPr>
        <w:footnoteReference w:id="30"/>
      </w:r>
      <w:r w:rsidR="003104CB" w:rsidRPr="00A57465">
        <w:rPr>
          <w:rFonts w:ascii="Arial" w:eastAsia="Calibri" w:hAnsi="Arial" w:cs="Arial"/>
          <w:sz w:val="22"/>
          <w:szCs w:val="22"/>
        </w:rPr>
        <w:t xml:space="preserve">.  </w:t>
      </w:r>
    </w:p>
    <w:p w14:paraId="4E8F74CC" w14:textId="1688FB1D" w:rsidR="0019577D" w:rsidRDefault="0019577D" w:rsidP="00996366">
      <w:pPr>
        <w:spacing w:line="276" w:lineRule="auto"/>
        <w:jc w:val="both"/>
        <w:rPr>
          <w:rFonts w:ascii="Arial" w:eastAsia="Calibri" w:hAnsi="Arial" w:cs="Arial"/>
          <w:sz w:val="22"/>
          <w:szCs w:val="22"/>
        </w:rPr>
      </w:pPr>
      <w:r>
        <w:rPr>
          <w:rFonts w:ascii="Arial" w:eastAsia="Calibri" w:hAnsi="Arial" w:cs="Arial"/>
          <w:sz w:val="22"/>
          <w:szCs w:val="22"/>
        </w:rPr>
        <w:tab/>
        <w:t>Por último, con relación al tema objeto de consulta, es importante anotar la reciente expedición de la Directiva Presidencial No. 1 del 17 de enero de 2022, a través de la cual, en el propósito de garantizar la transparencia, integridad y legalidad de la gestión pública en lo relacionado con la contratación estatal, se expidieron unos lineamientos sobre la celebración de contratos de prestación de servicios profesionales y de apoyo a la gestión</w:t>
      </w:r>
      <w:r w:rsidR="00DA318B">
        <w:rPr>
          <w:rStyle w:val="Refdenotaalpie"/>
          <w:rFonts w:ascii="Arial" w:eastAsia="Calibri" w:hAnsi="Arial" w:cs="Arial"/>
          <w:sz w:val="22"/>
          <w:szCs w:val="22"/>
        </w:rPr>
        <w:footnoteReference w:id="31"/>
      </w:r>
      <w:r>
        <w:rPr>
          <w:rFonts w:ascii="Arial" w:eastAsia="Calibri" w:hAnsi="Arial" w:cs="Arial"/>
          <w:sz w:val="22"/>
          <w:szCs w:val="22"/>
        </w:rPr>
        <w:t xml:space="preserve">. </w:t>
      </w:r>
      <w:r>
        <w:rPr>
          <w:rFonts w:ascii="Arial" w:eastAsia="Calibri" w:hAnsi="Arial" w:cs="Arial"/>
          <w:sz w:val="22"/>
          <w:szCs w:val="22"/>
        </w:rPr>
        <w:lastRenderedPageBreak/>
        <w:t>Entre las diferentes medidas que introduce la directiva destaca el deber de las entidades estatales de verificar, antes de suscribir estos tipos de contratos,</w:t>
      </w:r>
      <w:r w:rsidR="00DA318B">
        <w:rPr>
          <w:rFonts w:ascii="Arial" w:eastAsia="Calibri" w:hAnsi="Arial" w:cs="Arial"/>
          <w:sz w:val="22"/>
          <w:szCs w:val="22"/>
        </w:rPr>
        <w:t xml:space="preserve"> si la persona natural o jurídica tiene vigentes contratos de la misma naturaleza con otras entidades del Estado. Esto con la finalidad de verificar la capacidad e idoneidad del contratista para ejecutar múltiples contratos.</w:t>
      </w:r>
      <w:r>
        <w:rPr>
          <w:rFonts w:ascii="Arial" w:eastAsia="Calibri" w:hAnsi="Arial" w:cs="Arial"/>
          <w:sz w:val="22"/>
          <w:szCs w:val="22"/>
        </w:rPr>
        <w:t xml:space="preserve"> </w:t>
      </w:r>
    </w:p>
    <w:p w14:paraId="390861FF" w14:textId="77777777" w:rsidR="007D648E" w:rsidRPr="00A57465" w:rsidRDefault="007D648E" w:rsidP="00996366">
      <w:pPr>
        <w:spacing w:line="276" w:lineRule="auto"/>
        <w:ind w:firstLine="708"/>
        <w:jc w:val="both"/>
        <w:rPr>
          <w:rFonts w:ascii="Arial" w:eastAsia="Calibri" w:hAnsi="Arial" w:cs="Arial"/>
          <w:sz w:val="22"/>
          <w:szCs w:val="22"/>
        </w:rPr>
      </w:pPr>
    </w:p>
    <w:bookmarkEnd w:id="1"/>
    <w:p w14:paraId="1C1BEAFF" w14:textId="2D89738F" w:rsidR="003C7067" w:rsidRPr="00987861" w:rsidRDefault="003C7067" w:rsidP="003C7067">
      <w:pPr>
        <w:tabs>
          <w:tab w:val="left" w:pos="709"/>
        </w:tabs>
        <w:spacing w:line="276" w:lineRule="auto"/>
        <w:jc w:val="both"/>
        <w:rPr>
          <w:rFonts w:ascii="Arial" w:eastAsia="Calibri" w:hAnsi="Arial" w:cs="Arial"/>
          <w:b/>
          <w:sz w:val="22"/>
          <w:szCs w:val="22"/>
          <w:lang w:val="es-ES"/>
        </w:rPr>
      </w:pPr>
      <w:r w:rsidRPr="00987861">
        <w:rPr>
          <w:rFonts w:ascii="Arial" w:eastAsia="Calibri" w:hAnsi="Arial" w:cs="Arial"/>
          <w:b/>
          <w:sz w:val="22"/>
          <w:szCs w:val="22"/>
          <w:lang w:val="es-ES"/>
        </w:rPr>
        <w:t>3. Respuesta</w:t>
      </w:r>
    </w:p>
    <w:p w14:paraId="6C22C671" w14:textId="64DEB3F6" w:rsidR="006B040D" w:rsidRDefault="000E6606" w:rsidP="000A1A65">
      <w:pPr>
        <w:pStyle w:val="NormalWeb"/>
        <w:ind w:left="709" w:right="709"/>
        <w:contextualSpacing/>
        <w:jc w:val="both"/>
        <w:rPr>
          <w:rFonts w:ascii="Arial" w:eastAsiaTheme="minorHAnsi" w:hAnsi="Arial" w:cs="Arial"/>
          <w:color w:val="000000" w:themeColor="text1"/>
          <w:sz w:val="21"/>
          <w:szCs w:val="21"/>
          <w:lang w:val="es-ES_tradnl" w:eastAsia="en-US"/>
        </w:rPr>
      </w:pPr>
      <w:r w:rsidRPr="003104CB">
        <w:rPr>
          <w:rFonts w:ascii="Arial" w:eastAsiaTheme="minorHAnsi" w:hAnsi="Arial" w:cs="Arial"/>
          <w:color w:val="000000" w:themeColor="text1"/>
          <w:sz w:val="21"/>
          <w:szCs w:val="21"/>
          <w:lang w:val="es-ES_tradnl" w:eastAsia="en-US"/>
        </w:rPr>
        <w:t>1.«¿Cuántos contratos de prestación de servicios puede tener una persona?</w:t>
      </w:r>
      <w:r w:rsidR="000A1A65">
        <w:rPr>
          <w:rFonts w:ascii="Arial" w:eastAsiaTheme="minorHAnsi" w:hAnsi="Arial" w:cs="Arial"/>
          <w:color w:val="000000" w:themeColor="text1"/>
          <w:sz w:val="21"/>
          <w:szCs w:val="21"/>
          <w:lang w:val="es-ES_tradnl" w:eastAsia="en-US"/>
        </w:rPr>
        <w:t xml:space="preserve"> </w:t>
      </w:r>
      <w:r w:rsidRPr="003104CB">
        <w:rPr>
          <w:rFonts w:ascii="Arial" w:eastAsiaTheme="minorHAnsi" w:hAnsi="Arial" w:cs="Arial"/>
          <w:color w:val="000000" w:themeColor="text1"/>
          <w:sz w:val="21"/>
          <w:szCs w:val="21"/>
          <w:lang w:val="es-ES_tradnl" w:eastAsia="en-US"/>
        </w:rPr>
        <w:t>¿Es posible tener 3 y hasta 12 contratos al mismo tiempo?»</w:t>
      </w:r>
    </w:p>
    <w:p w14:paraId="5B175E3C" w14:textId="77777777" w:rsidR="000E6606" w:rsidRPr="000E6606" w:rsidRDefault="000E6606" w:rsidP="000E6606">
      <w:pPr>
        <w:pStyle w:val="NormalWeb"/>
        <w:ind w:left="709" w:right="709"/>
        <w:contextualSpacing/>
        <w:jc w:val="both"/>
        <w:rPr>
          <w:rFonts w:ascii="Arial" w:eastAsiaTheme="minorHAnsi" w:hAnsi="Arial" w:cs="Arial"/>
          <w:color w:val="000000" w:themeColor="text1"/>
          <w:sz w:val="21"/>
          <w:szCs w:val="21"/>
          <w:lang w:val="es-ES_tradnl" w:eastAsia="en-US"/>
        </w:rPr>
      </w:pPr>
    </w:p>
    <w:p w14:paraId="7257B75A" w14:textId="344D15AE" w:rsidR="001D014E" w:rsidRDefault="005B39BF" w:rsidP="005B39BF">
      <w:pPr>
        <w:pStyle w:val="NormalWeb"/>
        <w:spacing w:before="120" w:beforeAutospacing="0" w:after="120" w:afterAutospacing="0" w:line="276" w:lineRule="auto"/>
        <w:jc w:val="both"/>
        <w:rPr>
          <w:rFonts w:ascii="Arial" w:hAnsi="Arial" w:cs="Arial"/>
          <w:sz w:val="22"/>
          <w:szCs w:val="22"/>
        </w:rPr>
      </w:pPr>
      <w:r>
        <w:rPr>
          <w:rFonts w:ascii="Arial" w:hAnsi="Arial" w:cs="Arial"/>
          <w:sz w:val="22"/>
          <w:szCs w:val="22"/>
        </w:rPr>
        <w:t>Con</w:t>
      </w:r>
      <w:r w:rsidR="00F90F70">
        <w:rPr>
          <w:rFonts w:ascii="Arial" w:hAnsi="Arial" w:cs="Arial"/>
          <w:sz w:val="22"/>
          <w:szCs w:val="22"/>
        </w:rPr>
        <w:t>forme a lo expuesto</w:t>
      </w:r>
      <w:r>
        <w:rPr>
          <w:rFonts w:ascii="Arial" w:hAnsi="Arial" w:cs="Arial"/>
          <w:sz w:val="22"/>
          <w:szCs w:val="22"/>
        </w:rPr>
        <w:t xml:space="preserve">, es posible </w:t>
      </w:r>
      <w:r w:rsidR="00F90F70">
        <w:rPr>
          <w:rFonts w:ascii="Arial" w:hAnsi="Arial" w:cs="Arial"/>
          <w:sz w:val="22"/>
          <w:szCs w:val="22"/>
        </w:rPr>
        <w:t xml:space="preserve"> afirmar </w:t>
      </w:r>
      <w:r>
        <w:rPr>
          <w:rFonts w:ascii="Arial" w:hAnsi="Arial" w:cs="Arial"/>
          <w:sz w:val="22"/>
          <w:szCs w:val="22"/>
        </w:rPr>
        <w:t xml:space="preserve">que </w:t>
      </w:r>
      <w:r w:rsidRPr="002438A9">
        <w:rPr>
          <w:rFonts w:ascii="Arial" w:hAnsi="Arial" w:cs="Arial"/>
          <w:sz w:val="22"/>
          <w:szCs w:val="22"/>
        </w:rPr>
        <w:t xml:space="preserve">no existe prohibición legal o constitucional </w:t>
      </w:r>
      <w:r w:rsidR="001D014E">
        <w:rPr>
          <w:rFonts w:ascii="Arial" w:hAnsi="Arial" w:cs="Arial"/>
          <w:sz w:val="22"/>
          <w:szCs w:val="22"/>
        </w:rPr>
        <w:t xml:space="preserve">que limite el número de contratos de prestación de servicios que una persona puede </w:t>
      </w:r>
      <w:r w:rsidR="000C176A">
        <w:rPr>
          <w:rFonts w:ascii="Arial" w:hAnsi="Arial" w:cs="Arial"/>
          <w:sz w:val="22"/>
          <w:szCs w:val="22"/>
        </w:rPr>
        <w:t>celebrar o ejecutar de manera simultánea.</w:t>
      </w:r>
      <w:r w:rsidR="00E006F1">
        <w:rPr>
          <w:rFonts w:ascii="Arial" w:hAnsi="Arial" w:cs="Arial"/>
          <w:sz w:val="22"/>
          <w:szCs w:val="22"/>
        </w:rPr>
        <w:t xml:space="preserve"> En ese sentido, no existiendo ninguna limitación al respecto</w:t>
      </w:r>
      <w:r w:rsidR="000A6950">
        <w:rPr>
          <w:rFonts w:ascii="Arial" w:hAnsi="Arial" w:cs="Arial"/>
          <w:sz w:val="22"/>
          <w:szCs w:val="22"/>
        </w:rPr>
        <w:t xml:space="preserve">, una persona puede celebrar y ejecutar tantos contratos de prestación de servicios como </w:t>
      </w:r>
      <w:r w:rsidR="00292A75" w:rsidRPr="002438A9">
        <w:rPr>
          <w:rFonts w:ascii="Arial" w:hAnsi="Arial" w:cs="Arial"/>
          <w:sz w:val="22"/>
          <w:szCs w:val="22"/>
        </w:rPr>
        <w:t>le sea posible ejecutar y cumplir a cabalidad</w:t>
      </w:r>
      <w:r w:rsidR="00B46CB5">
        <w:rPr>
          <w:rFonts w:ascii="Arial" w:hAnsi="Arial" w:cs="Arial"/>
          <w:sz w:val="22"/>
          <w:szCs w:val="22"/>
        </w:rPr>
        <w:t>, lo que</w:t>
      </w:r>
      <w:r w:rsidR="00267994">
        <w:rPr>
          <w:rFonts w:ascii="Arial" w:hAnsi="Arial" w:cs="Arial"/>
          <w:sz w:val="22"/>
          <w:szCs w:val="22"/>
        </w:rPr>
        <w:t xml:space="preserve"> además tiene como presupuesto</w:t>
      </w:r>
      <w:r w:rsidR="00B46CB5">
        <w:rPr>
          <w:rFonts w:ascii="Arial" w:hAnsi="Arial" w:cs="Arial"/>
          <w:sz w:val="22"/>
          <w:szCs w:val="22"/>
        </w:rPr>
        <w:t xml:space="preserve"> no estar incursa en ninguna causal de inhabilidad </w:t>
      </w:r>
      <w:r w:rsidR="00DB16A5">
        <w:rPr>
          <w:rFonts w:ascii="Arial" w:hAnsi="Arial" w:cs="Arial"/>
          <w:sz w:val="22"/>
          <w:szCs w:val="22"/>
        </w:rPr>
        <w:t xml:space="preserve">o incompatibilidad en el marco de </w:t>
      </w:r>
      <w:r w:rsidR="00267994">
        <w:rPr>
          <w:rFonts w:ascii="Arial" w:hAnsi="Arial" w:cs="Arial"/>
          <w:sz w:val="22"/>
          <w:szCs w:val="22"/>
        </w:rPr>
        <w:t>las</w:t>
      </w:r>
      <w:r w:rsidR="00DB16A5">
        <w:rPr>
          <w:rFonts w:ascii="Arial" w:hAnsi="Arial" w:cs="Arial"/>
          <w:sz w:val="22"/>
          <w:szCs w:val="22"/>
        </w:rPr>
        <w:t xml:space="preserve"> eventuales relaciones contractuales. </w:t>
      </w:r>
      <w:r w:rsidR="000C176A">
        <w:rPr>
          <w:rFonts w:ascii="Arial" w:hAnsi="Arial" w:cs="Arial"/>
          <w:sz w:val="22"/>
          <w:szCs w:val="22"/>
        </w:rPr>
        <w:t xml:space="preserve"> </w:t>
      </w:r>
    </w:p>
    <w:p w14:paraId="4D6403DF" w14:textId="1746F6F3" w:rsidR="004C4C02" w:rsidRDefault="004C4C02" w:rsidP="004C4C02">
      <w:pPr>
        <w:pStyle w:val="NormalWeb"/>
        <w:spacing w:before="120" w:beforeAutospacing="0" w:after="120" w:afterAutospacing="0" w:line="276" w:lineRule="auto"/>
        <w:ind w:firstLine="708"/>
        <w:jc w:val="both"/>
        <w:rPr>
          <w:rFonts w:ascii="Arial" w:hAnsi="Arial" w:cs="Arial"/>
          <w:sz w:val="22"/>
          <w:szCs w:val="22"/>
        </w:rPr>
      </w:pPr>
      <w:r>
        <w:rPr>
          <w:rFonts w:ascii="Arial" w:hAnsi="Arial" w:cs="Arial"/>
          <w:sz w:val="22"/>
          <w:szCs w:val="22"/>
        </w:rPr>
        <w:t xml:space="preserve">No obstante, </w:t>
      </w:r>
      <w:r w:rsidR="006169DA">
        <w:rPr>
          <w:rFonts w:ascii="Arial" w:hAnsi="Arial" w:cs="Arial"/>
          <w:sz w:val="22"/>
          <w:szCs w:val="22"/>
        </w:rPr>
        <w:t>se debe</w:t>
      </w:r>
      <w:r>
        <w:rPr>
          <w:rFonts w:ascii="Arial" w:hAnsi="Arial" w:cs="Arial"/>
          <w:sz w:val="22"/>
          <w:szCs w:val="22"/>
        </w:rPr>
        <w:t xml:space="preserve"> recordar que, en todas las modalidades contractuales, incluida la prestación de servicios, se debe garantizar la selección objetiva, de forma tal que las entidades estatales deben configurar requisitos habilitantes adecuados y proporcionales a la naturaleza del contrato. Esto de tal manera que, el cumplimiento de estos requisitos garantice que el contratista tenga la aptitud para cumplir oportuna y cabalmente el objeto del contrato. </w:t>
      </w:r>
    </w:p>
    <w:p w14:paraId="38B60EB7" w14:textId="54AAF434" w:rsidR="00E56A40" w:rsidRDefault="00DB16A5" w:rsidP="00E56A40">
      <w:pPr>
        <w:pStyle w:val="NormalWeb"/>
        <w:spacing w:before="120" w:beforeAutospacing="0" w:after="120" w:afterAutospacing="0" w:line="276" w:lineRule="auto"/>
        <w:jc w:val="both"/>
        <w:rPr>
          <w:rFonts w:ascii="Arial" w:hAnsi="Arial" w:cs="Arial"/>
          <w:sz w:val="22"/>
          <w:szCs w:val="22"/>
        </w:rPr>
      </w:pPr>
      <w:r>
        <w:rPr>
          <w:rFonts w:ascii="Arial" w:hAnsi="Arial" w:cs="Arial"/>
          <w:sz w:val="22"/>
          <w:szCs w:val="22"/>
        </w:rPr>
        <w:tab/>
      </w:r>
      <w:r w:rsidR="0017361B">
        <w:rPr>
          <w:rFonts w:ascii="Arial" w:hAnsi="Arial" w:cs="Arial"/>
          <w:sz w:val="22"/>
          <w:szCs w:val="22"/>
        </w:rPr>
        <w:t xml:space="preserve">En todo caso, según lo considerado </w:t>
      </w:r>
      <w:r w:rsidR="0017361B" w:rsidRPr="00996366">
        <w:rPr>
          <w:rFonts w:ascii="Arial" w:hAnsi="Arial" w:cs="Arial"/>
          <w:i/>
          <w:iCs/>
          <w:sz w:val="22"/>
          <w:szCs w:val="22"/>
        </w:rPr>
        <w:t>supra</w:t>
      </w:r>
      <w:r w:rsidR="0017361B">
        <w:rPr>
          <w:rFonts w:ascii="Arial" w:hAnsi="Arial" w:cs="Arial"/>
          <w:sz w:val="22"/>
          <w:szCs w:val="22"/>
        </w:rPr>
        <w:t xml:space="preserve">, se reitera que, la celebración </w:t>
      </w:r>
      <w:r w:rsidR="00B05ACC">
        <w:rPr>
          <w:rFonts w:ascii="Arial" w:hAnsi="Arial" w:cs="Arial"/>
          <w:sz w:val="22"/>
          <w:szCs w:val="22"/>
        </w:rPr>
        <w:t>simultánea</w:t>
      </w:r>
      <w:r w:rsidR="0017361B">
        <w:rPr>
          <w:rFonts w:ascii="Arial" w:hAnsi="Arial" w:cs="Arial"/>
          <w:sz w:val="22"/>
          <w:szCs w:val="22"/>
        </w:rPr>
        <w:t xml:space="preserve"> de contratos de prestación de servicios </w:t>
      </w:r>
      <w:r w:rsidR="003A279E">
        <w:rPr>
          <w:rFonts w:ascii="Arial" w:hAnsi="Arial" w:cs="Arial"/>
          <w:sz w:val="22"/>
          <w:szCs w:val="22"/>
        </w:rPr>
        <w:t xml:space="preserve">por parte de una misma persona, con una o varias entidades estatales, </w:t>
      </w:r>
      <w:r w:rsidR="004530DC">
        <w:rPr>
          <w:rFonts w:ascii="Arial" w:hAnsi="Arial" w:cs="Arial"/>
          <w:sz w:val="22"/>
          <w:szCs w:val="22"/>
        </w:rPr>
        <w:t>no</w:t>
      </w:r>
      <w:r w:rsidR="005B39BF" w:rsidRPr="00BA7F67">
        <w:rPr>
          <w:rFonts w:ascii="Arial" w:hAnsi="Arial" w:cs="Arial"/>
          <w:sz w:val="22"/>
          <w:szCs w:val="22"/>
        </w:rPr>
        <w:t xml:space="preserve"> </w:t>
      </w:r>
      <w:r w:rsidR="005B39BF">
        <w:rPr>
          <w:rFonts w:ascii="Arial" w:hAnsi="Arial" w:cs="Arial"/>
          <w:sz w:val="22"/>
          <w:szCs w:val="22"/>
        </w:rPr>
        <w:t>configura</w:t>
      </w:r>
      <w:r w:rsidR="003A279E">
        <w:rPr>
          <w:rFonts w:ascii="Arial" w:hAnsi="Arial" w:cs="Arial"/>
          <w:sz w:val="22"/>
          <w:szCs w:val="22"/>
        </w:rPr>
        <w:t xml:space="preserve"> una</w:t>
      </w:r>
      <w:r w:rsidR="005B39BF">
        <w:rPr>
          <w:rFonts w:ascii="Arial" w:hAnsi="Arial" w:cs="Arial"/>
          <w:sz w:val="22"/>
          <w:szCs w:val="22"/>
        </w:rPr>
        <w:t xml:space="preserve"> </w:t>
      </w:r>
      <w:r w:rsidR="005B39BF" w:rsidRPr="00BA7F67">
        <w:rPr>
          <w:rFonts w:ascii="Arial" w:hAnsi="Arial" w:cs="Arial"/>
          <w:sz w:val="22"/>
          <w:szCs w:val="22"/>
        </w:rPr>
        <w:t>vulneración</w:t>
      </w:r>
      <w:r w:rsidR="004530DC">
        <w:rPr>
          <w:rFonts w:ascii="Arial" w:hAnsi="Arial" w:cs="Arial"/>
          <w:sz w:val="22"/>
          <w:szCs w:val="22"/>
        </w:rPr>
        <w:t xml:space="preserve"> </w:t>
      </w:r>
      <w:r w:rsidR="005B39BF">
        <w:rPr>
          <w:rFonts w:ascii="Arial" w:hAnsi="Arial" w:cs="Arial"/>
          <w:sz w:val="22"/>
          <w:szCs w:val="22"/>
        </w:rPr>
        <w:t>a</w:t>
      </w:r>
      <w:r w:rsidR="003A279E">
        <w:rPr>
          <w:rFonts w:ascii="Arial" w:hAnsi="Arial" w:cs="Arial"/>
          <w:sz w:val="22"/>
          <w:szCs w:val="22"/>
        </w:rPr>
        <w:t xml:space="preserve"> la prohibición del</w:t>
      </w:r>
      <w:r w:rsidR="005B39BF" w:rsidRPr="00BA7F67">
        <w:rPr>
          <w:rFonts w:ascii="Arial" w:hAnsi="Arial" w:cs="Arial"/>
          <w:sz w:val="22"/>
          <w:szCs w:val="22"/>
        </w:rPr>
        <w:t xml:space="preserve"> artículo 128 de la Constitución Política, pues</w:t>
      </w:r>
      <w:r w:rsidR="008F10C7">
        <w:rPr>
          <w:rFonts w:ascii="Arial" w:hAnsi="Arial" w:cs="Arial"/>
          <w:sz w:val="22"/>
          <w:szCs w:val="22"/>
        </w:rPr>
        <w:t xml:space="preserve"> en</w:t>
      </w:r>
      <w:r w:rsidR="005B39BF" w:rsidRPr="00BA7F67">
        <w:rPr>
          <w:rFonts w:ascii="Arial" w:hAnsi="Arial" w:cs="Arial"/>
          <w:sz w:val="22"/>
          <w:szCs w:val="22"/>
        </w:rPr>
        <w:t xml:space="preserve"> </w:t>
      </w:r>
      <w:r w:rsidR="005B39BF">
        <w:rPr>
          <w:rFonts w:ascii="Arial" w:hAnsi="Arial" w:cs="Arial"/>
          <w:sz w:val="22"/>
          <w:szCs w:val="22"/>
        </w:rPr>
        <w:t>es</w:t>
      </w:r>
      <w:r w:rsidR="0023114E">
        <w:rPr>
          <w:rFonts w:ascii="Arial" w:hAnsi="Arial" w:cs="Arial"/>
          <w:sz w:val="22"/>
          <w:szCs w:val="22"/>
        </w:rPr>
        <w:t xml:space="preserve">ta se refiere a </w:t>
      </w:r>
      <w:r w:rsidR="00F33EBD">
        <w:rPr>
          <w:rFonts w:ascii="Arial" w:hAnsi="Arial" w:cs="Arial"/>
          <w:sz w:val="22"/>
          <w:szCs w:val="22"/>
        </w:rPr>
        <w:t xml:space="preserve">imposibilidad de recibir más de </w:t>
      </w:r>
      <w:r w:rsidR="00452B6D">
        <w:rPr>
          <w:rFonts w:ascii="Arial" w:hAnsi="Arial" w:cs="Arial"/>
          <w:sz w:val="22"/>
          <w:szCs w:val="22"/>
        </w:rPr>
        <w:t>una asignación o desempeñar m</w:t>
      </w:r>
      <w:r w:rsidR="004E587A">
        <w:rPr>
          <w:rFonts w:ascii="Arial" w:hAnsi="Arial" w:cs="Arial"/>
          <w:sz w:val="22"/>
          <w:szCs w:val="22"/>
        </w:rPr>
        <w:t>ás de un empleo público. En ese sentido, comoquiera que el contrato de prestación de servicios no comporta relación laboral</w:t>
      </w:r>
      <w:r w:rsidR="00E56A40">
        <w:rPr>
          <w:rFonts w:ascii="Arial" w:hAnsi="Arial" w:cs="Arial"/>
          <w:sz w:val="22"/>
          <w:szCs w:val="22"/>
        </w:rPr>
        <w:t>, ni constituye ejercicio de la función pública, cuando</w:t>
      </w:r>
      <w:r w:rsidR="004530DC">
        <w:rPr>
          <w:rFonts w:ascii="Arial" w:hAnsi="Arial" w:cs="Arial"/>
          <w:sz w:val="22"/>
          <w:szCs w:val="22"/>
        </w:rPr>
        <w:t xml:space="preserve"> una persona tiene más de un contrato de prestación de servicios,</w:t>
      </w:r>
      <w:r w:rsidR="005B39BF" w:rsidRPr="00BA7F67">
        <w:rPr>
          <w:rFonts w:ascii="Arial" w:hAnsi="Arial" w:cs="Arial"/>
          <w:sz w:val="22"/>
          <w:szCs w:val="22"/>
        </w:rPr>
        <w:t xml:space="preserve"> no</w:t>
      </w:r>
      <w:r w:rsidR="008F10C7">
        <w:rPr>
          <w:rFonts w:ascii="Arial" w:hAnsi="Arial" w:cs="Arial"/>
          <w:sz w:val="22"/>
          <w:szCs w:val="22"/>
        </w:rPr>
        <w:t xml:space="preserve"> se configura </w:t>
      </w:r>
      <w:r w:rsidR="005B39BF" w:rsidRPr="00BA7F67">
        <w:rPr>
          <w:rFonts w:ascii="Arial" w:hAnsi="Arial" w:cs="Arial"/>
          <w:sz w:val="22"/>
          <w:szCs w:val="22"/>
        </w:rPr>
        <w:t>una doble asignación del erario</w:t>
      </w:r>
      <w:r w:rsidR="00E56A40">
        <w:rPr>
          <w:rFonts w:ascii="Arial" w:hAnsi="Arial" w:cs="Arial"/>
          <w:sz w:val="22"/>
          <w:szCs w:val="22"/>
        </w:rPr>
        <w:t>.</w:t>
      </w:r>
      <w:r w:rsidR="005B39BF">
        <w:rPr>
          <w:rFonts w:ascii="Arial" w:hAnsi="Arial" w:cs="Arial"/>
          <w:sz w:val="22"/>
          <w:szCs w:val="22"/>
        </w:rPr>
        <w:t xml:space="preserve"> </w:t>
      </w:r>
    </w:p>
    <w:p w14:paraId="40B15364" w14:textId="10947426" w:rsidR="00B05ACC" w:rsidRDefault="00B05ACC" w:rsidP="00996366">
      <w:pPr>
        <w:pStyle w:val="NormalWeb"/>
        <w:spacing w:before="120" w:beforeAutospacing="0" w:after="0" w:afterAutospacing="0" w:line="276" w:lineRule="auto"/>
        <w:jc w:val="both"/>
        <w:rPr>
          <w:rFonts w:ascii="Arial" w:hAnsi="Arial" w:cs="Arial"/>
          <w:sz w:val="22"/>
          <w:szCs w:val="22"/>
        </w:rPr>
      </w:pPr>
      <w:r>
        <w:rPr>
          <w:rFonts w:ascii="Arial" w:hAnsi="Arial" w:cs="Arial"/>
          <w:sz w:val="22"/>
          <w:szCs w:val="22"/>
        </w:rPr>
        <w:tab/>
      </w:r>
      <w:r w:rsidR="002546FB">
        <w:rPr>
          <w:rFonts w:ascii="Arial" w:hAnsi="Arial" w:cs="Arial"/>
          <w:sz w:val="22"/>
          <w:szCs w:val="22"/>
        </w:rPr>
        <w:t>Sin perjuicio de lo anterior, es preciso anotar que los contratos de prestación de servicio, como todo acuerdo de voluntades, deben ejecutarse de buena fe, lo que supone</w:t>
      </w:r>
      <w:r w:rsidR="003870E4">
        <w:rPr>
          <w:rFonts w:ascii="Arial" w:hAnsi="Arial" w:cs="Arial"/>
          <w:sz w:val="22"/>
          <w:szCs w:val="22"/>
        </w:rPr>
        <w:t xml:space="preserve"> </w:t>
      </w:r>
      <w:r w:rsidR="003870E4">
        <w:rPr>
          <w:rFonts w:ascii="Arial" w:eastAsia="Calibri" w:hAnsi="Arial" w:cs="Arial"/>
          <w:sz w:val="22"/>
          <w:szCs w:val="22"/>
        </w:rPr>
        <w:t xml:space="preserve">el deber de </w:t>
      </w:r>
      <w:r w:rsidR="003870E4" w:rsidRPr="00A57465">
        <w:rPr>
          <w:rFonts w:ascii="Arial" w:eastAsia="Calibri" w:hAnsi="Arial" w:cs="Arial"/>
          <w:sz w:val="22"/>
          <w:szCs w:val="22"/>
        </w:rPr>
        <w:t>evitar conflictos de interés que</w:t>
      </w:r>
      <w:r w:rsidR="00652125">
        <w:rPr>
          <w:rFonts w:ascii="Arial" w:eastAsia="Calibri" w:hAnsi="Arial" w:cs="Arial"/>
          <w:sz w:val="22"/>
          <w:szCs w:val="22"/>
        </w:rPr>
        <w:t xml:space="preserve"> pudiesen</w:t>
      </w:r>
      <w:r w:rsidR="003870E4" w:rsidRPr="00A57465">
        <w:rPr>
          <w:rFonts w:ascii="Arial" w:eastAsia="Calibri" w:hAnsi="Arial" w:cs="Arial"/>
          <w:sz w:val="22"/>
          <w:szCs w:val="22"/>
        </w:rPr>
        <w:t xml:space="preserve"> perjudi</w:t>
      </w:r>
      <w:r w:rsidR="00652125">
        <w:rPr>
          <w:rFonts w:ascii="Arial" w:eastAsia="Calibri" w:hAnsi="Arial" w:cs="Arial"/>
          <w:sz w:val="22"/>
          <w:szCs w:val="22"/>
        </w:rPr>
        <w:t>car</w:t>
      </w:r>
      <w:r w:rsidR="003870E4" w:rsidRPr="00A57465">
        <w:rPr>
          <w:rFonts w:ascii="Arial" w:eastAsia="Calibri" w:hAnsi="Arial" w:cs="Arial"/>
          <w:sz w:val="22"/>
          <w:szCs w:val="22"/>
        </w:rPr>
        <w:t xml:space="preserve"> a </w:t>
      </w:r>
      <w:r w:rsidR="003870E4">
        <w:rPr>
          <w:rFonts w:ascii="Arial" w:eastAsia="Calibri" w:hAnsi="Arial" w:cs="Arial"/>
          <w:sz w:val="22"/>
          <w:szCs w:val="22"/>
        </w:rPr>
        <w:t>la o</w:t>
      </w:r>
      <w:r w:rsidR="003870E4" w:rsidRPr="00A57465">
        <w:rPr>
          <w:rFonts w:ascii="Arial" w:eastAsia="Calibri" w:hAnsi="Arial" w:cs="Arial"/>
          <w:sz w:val="22"/>
          <w:szCs w:val="22"/>
        </w:rPr>
        <w:t xml:space="preserve"> </w:t>
      </w:r>
      <w:r w:rsidR="003870E4">
        <w:rPr>
          <w:rFonts w:ascii="Arial" w:eastAsia="Calibri" w:hAnsi="Arial" w:cs="Arial"/>
          <w:sz w:val="22"/>
          <w:szCs w:val="22"/>
        </w:rPr>
        <w:t xml:space="preserve">las </w:t>
      </w:r>
      <w:r w:rsidR="003870E4" w:rsidRPr="00A57465">
        <w:rPr>
          <w:rFonts w:ascii="Arial" w:eastAsia="Calibri" w:hAnsi="Arial" w:cs="Arial"/>
          <w:sz w:val="22"/>
          <w:szCs w:val="22"/>
        </w:rPr>
        <w:t>entidad</w:t>
      </w:r>
      <w:r w:rsidR="003870E4">
        <w:rPr>
          <w:rFonts w:ascii="Arial" w:eastAsia="Calibri" w:hAnsi="Arial" w:cs="Arial"/>
          <w:sz w:val="22"/>
          <w:szCs w:val="22"/>
        </w:rPr>
        <w:t>es</w:t>
      </w:r>
      <w:r w:rsidR="003870E4" w:rsidRPr="00A57465">
        <w:rPr>
          <w:rFonts w:ascii="Arial" w:eastAsia="Calibri" w:hAnsi="Arial" w:cs="Arial"/>
          <w:sz w:val="22"/>
          <w:szCs w:val="22"/>
        </w:rPr>
        <w:t xml:space="preserve"> contratante</w:t>
      </w:r>
      <w:r w:rsidR="003870E4">
        <w:rPr>
          <w:rFonts w:ascii="Arial" w:eastAsia="Calibri" w:hAnsi="Arial" w:cs="Arial"/>
          <w:sz w:val="22"/>
          <w:szCs w:val="22"/>
        </w:rPr>
        <w:t>s.</w:t>
      </w:r>
      <w:r w:rsidR="003870E4" w:rsidRPr="00A57465">
        <w:rPr>
          <w:rFonts w:ascii="Arial" w:eastAsia="Calibri" w:hAnsi="Arial" w:cs="Arial"/>
          <w:sz w:val="22"/>
          <w:szCs w:val="22"/>
        </w:rPr>
        <w:t xml:space="preserve"> </w:t>
      </w:r>
      <w:r w:rsidR="002546FB">
        <w:rPr>
          <w:rFonts w:ascii="Arial" w:hAnsi="Arial" w:cs="Arial"/>
          <w:sz w:val="22"/>
          <w:szCs w:val="22"/>
        </w:rPr>
        <w:t xml:space="preserve"> </w:t>
      </w:r>
      <w:r w:rsidR="003870E4">
        <w:rPr>
          <w:rFonts w:ascii="Arial" w:hAnsi="Arial" w:cs="Arial"/>
          <w:sz w:val="22"/>
          <w:szCs w:val="22"/>
        </w:rPr>
        <w:t>Del mismo mod</w:t>
      </w:r>
      <w:r w:rsidR="00385B3E">
        <w:rPr>
          <w:rFonts w:ascii="Arial" w:hAnsi="Arial" w:cs="Arial"/>
          <w:sz w:val="22"/>
          <w:szCs w:val="22"/>
        </w:rPr>
        <w:t>o</w:t>
      </w:r>
      <w:r w:rsidR="00393B89">
        <w:rPr>
          <w:rFonts w:ascii="Arial" w:hAnsi="Arial" w:cs="Arial"/>
          <w:sz w:val="22"/>
          <w:szCs w:val="22"/>
        </w:rPr>
        <w:t xml:space="preserve"> se advierte que</w:t>
      </w:r>
      <w:r w:rsidR="00385B3E">
        <w:rPr>
          <w:rFonts w:ascii="Arial" w:hAnsi="Arial" w:cs="Arial"/>
          <w:sz w:val="22"/>
          <w:szCs w:val="22"/>
        </w:rPr>
        <w:t>, en el marco de estos acuerdo</w:t>
      </w:r>
      <w:r w:rsidR="00652125">
        <w:rPr>
          <w:rFonts w:ascii="Arial" w:hAnsi="Arial" w:cs="Arial"/>
          <w:sz w:val="22"/>
          <w:szCs w:val="22"/>
        </w:rPr>
        <w:t>s</w:t>
      </w:r>
      <w:r w:rsidR="00385B3E">
        <w:rPr>
          <w:rFonts w:ascii="Arial" w:hAnsi="Arial" w:cs="Arial"/>
          <w:sz w:val="22"/>
          <w:szCs w:val="22"/>
        </w:rPr>
        <w:t xml:space="preserve"> </w:t>
      </w:r>
      <w:r w:rsidR="00652125">
        <w:rPr>
          <w:rFonts w:ascii="Arial" w:hAnsi="Arial" w:cs="Arial"/>
          <w:sz w:val="22"/>
          <w:szCs w:val="22"/>
        </w:rPr>
        <w:t>pu</w:t>
      </w:r>
      <w:r w:rsidR="00393B89">
        <w:rPr>
          <w:rFonts w:ascii="Arial" w:hAnsi="Arial" w:cs="Arial"/>
          <w:sz w:val="22"/>
          <w:szCs w:val="22"/>
        </w:rPr>
        <w:t>eden</w:t>
      </w:r>
      <w:r w:rsidR="00385B3E">
        <w:rPr>
          <w:rFonts w:ascii="Arial" w:hAnsi="Arial" w:cs="Arial"/>
          <w:sz w:val="22"/>
          <w:szCs w:val="22"/>
        </w:rPr>
        <w:t xml:space="preserve"> </w:t>
      </w:r>
      <w:r w:rsidR="00385B3E">
        <w:rPr>
          <w:rFonts w:ascii="Arial" w:hAnsi="Arial" w:cs="Arial"/>
          <w:sz w:val="22"/>
          <w:szCs w:val="22"/>
        </w:rPr>
        <w:lastRenderedPageBreak/>
        <w:t xml:space="preserve">pactarse cláusulas de exclusividad, </w:t>
      </w:r>
      <w:r w:rsidR="00393B89">
        <w:rPr>
          <w:rFonts w:ascii="Arial" w:hAnsi="Arial" w:cs="Arial"/>
          <w:sz w:val="22"/>
          <w:szCs w:val="22"/>
        </w:rPr>
        <w:t xml:space="preserve">lo que podría </w:t>
      </w:r>
      <w:r w:rsidR="00657CB5">
        <w:rPr>
          <w:rFonts w:ascii="Arial" w:hAnsi="Arial" w:cs="Arial"/>
          <w:sz w:val="22"/>
          <w:szCs w:val="22"/>
        </w:rPr>
        <w:t xml:space="preserve">limitar la suscripción de más contratos por parte del contratista, so pena de incumplimiento. </w:t>
      </w:r>
    </w:p>
    <w:p w14:paraId="0D9EFF70" w14:textId="77777777" w:rsidR="00DA318B" w:rsidRDefault="00DA318B" w:rsidP="00996366">
      <w:pPr>
        <w:pStyle w:val="NormalWeb"/>
        <w:spacing w:before="120" w:beforeAutospacing="0" w:after="120" w:afterAutospacing="0" w:line="276" w:lineRule="auto"/>
        <w:ind w:firstLine="708"/>
        <w:jc w:val="both"/>
        <w:rPr>
          <w:rFonts w:ascii="Arial" w:hAnsi="Arial" w:cs="Arial"/>
          <w:sz w:val="22"/>
          <w:szCs w:val="22"/>
        </w:rPr>
      </w:pPr>
    </w:p>
    <w:p w14:paraId="31DA7007" w14:textId="5008ED23" w:rsidR="003C7067" w:rsidRPr="00987861" w:rsidRDefault="003C7067" w:rsidP="00996366">
      <w:pPr>
        <w:pStyle w:val="NormalWeb"/>
        <w:spacing w:before="120" w:beforeAutospacing="0" w:after="120" w:afterAutospacing="0" w:line="276" w:lineRule="auto"/>
        <w:jc w:val="both"/>
        <w:rPr>
          <w:rFonts w:ascii="Arial" w:eastAsia="Calibri" w:hAnsi="Arial" w:cs="Arial"/>
          <w:sz w:val="22"/>
          <w:szCs w:val="22"/>
          <w:lang w:val="es-ES"/>
        </w:rPr>
      </w:pPr>
      <w:r w:rsidRPr="00987861">
        <w:rPr>
          <w:rFonts w:ascii="Arial" w:eastAsia="Calibri" w:hAnsi="Arial" w:cs="Arial"/>
          <w:sz w:val="22"/>
          <w:szCs w:val="22"/>
          <w:lang w:val="es-ES"/>
        </w:rPr>
        <w:t xml:space="preserve">Este concepto tiene el alcance previsto en el artículo 28 del Código de Procedimiento Administrativo y de lo Contencioso </w:t>
      </w:r>
      <w:r w:rsidR="007566AD" w:rsidRPr="00987861">
        <w:rPr>
          <w:rFonts w:ascii="Arial" w:eastAsia="Calibri" w:hAnsi="Arial" w:cs="Arial"/>
          <w:sz w:val="22"/>
          <w:szCs w:val="22"/>
          <w:lang w:val="es-ES"/>
        </w:rPr>
        <w:t>Administrativo</w:t>
      </w:r>
      <w:r w:rsidRPr="00987861">
        <w:rPr>
          <w:rFonts w:ascii="Arial" w:eastAsia="Calibri" w:hAnsi="Arial" w:cs="Arial"/>
          <w:sz w:val="22"/>
          <w:szCs w:val="22"/>
          <w:lang w:val="es-ES"/>
        </w:rPr>
        <w:t>.</w:t>
      </w:r>
    </w:p>
    <w:p w14:paraId="67911ECF" w14:textId="77777777" w:rsidR="00DA13D9" w:rsidRPr="00987861" w:rsidRDefault="00DA13D9" w:rsidP="003C7067">
      <w:pPr>
        <w:jc w:val="both"/>
        <w:rPr>
          <w:rFonts w:ascii="Arial" w:eastAsia="Calibri" w:hAnsi="Arial" w:cs="Arial"/>
          <w:sz w:val="22"/>
          <w:szCs w:val="22"/>
          <w:lang w:val="es-ES"/>
        </w:rPr>
      </w:pPr>
    </w:p>
    <w:p w14:paraId="740312DF" w14:textId="551FF746" w:rsidR="003C7067" w:rsidRDefault="003C7067" w:rsidP="003C7067">
      <w:pPr>
        <w:jc w:val="both"/>
        <w:rPr>
          <w:rFonts w:ascii="Arial" w:hAnsi="Arial" w:cs="Arial"/>
          <w:sz w:val="22"/>
          <w:szCs w:val="22"/>
          <w:lang w:val="es-ES" w:eastAsia="es-CO"/>
        </w:rPr>
      </w:pPr>
      <w:r w:rsidRPr="00987861">
        <w:rPr>
          <w:rFonts w:ascii="Arial" w:hAnsi="Arial" w:cs="Arial"/>
          <w:sz w:val="22"/>
          <w:szCs w:val="22"/>
          <w:lang w:val="es-ES" w:eastAsia="es-CO"/>
        </w:rPr>
        <w:t>Atentamente,</w:t>
      </w:r>
    </w:p>
    <w:p w14:paraId="465E18CA" w14:textId="114DB3BF" w:rsidR="000815BD" w:rsidRPr="009F5860" w:rsidRDefault="00784512" w:rsidP="00784512">
      <w:pPr>
        <w:jc w:val="center"/>
        <w:rPr>
          <w:rFonts w:ascii="Arial" w:hAnsi="Arial" w:cs="Arial"/>
          <w:sz w:val="22"/>
          <w:szCs w:val="22"/>
          <w:lang w:val="es-ES" w:eastAsia="es-CO"/>
        </w:rPr>
      </w:pPr>
      <w:r>
        <w:rPr>
          <w:noProof/>
        </w:rPr>
        <w:drawing>
          <wp:inline distT="0" distB="0" distL="0" distR="0" wp14:anchorId="6CF56C84" wp14:editId="1E5104C2">
            <wp:extent cx="2752725" cy="1217930"/>
            <wp:effectExtent l="0" t="0" r="9525" b="127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217930"/>
                    </a:xfrm>
                    <a:prstGeom prst="rect">
                      <a:avLst/>
                    </a:prstGeom>
                    <a:noFill/>
                    <a:ln>
                      <a:noFill/>
                    </a:ln>
                  </pic:spPr>
                </pic:pic>
              </a:graphicData>
            </a:graphic>
          </wp:inline>
        </w:drawing>
      </w:r>
    </w:p>
    <w:p w14:paraId="34F7EF72" w14:textId="7C3F90D0" w:rsidR="003C7067" w:rsidRPr="009F5860" w:rsidRDefault="003C7067" w:rsidP="003C7067">
      <w:pPr>
        <w:jc w:val="center"/>
        <w:rPr>
          <w:rFonts w:ascii="Arial" w:hAnsi="Arial" w:cs="Arial"/>
          <w:sz w:val="18"/>
          <w:szCs w:val="20"/>
          <w:lang w:val="es-ES" w:eastAsia="es-CO"/>
        </w:rPr>
      </w:pPr>
    </w:p>
    <w:p w14:paraId="26A9BAC3" w14:textId="77777777" w:rsidR="003C7067" w:rsidRDefault="003C7067" w:rsidP="003C7067">
      <w:pPr>
        <w:jc w:val="center"/>
        <w:rPr>
          <w:rFonts w:ascii="Arial" w:hAnsi="Arial" w:cs="Arial"/>
          <w:sz w:val="18"/>
          <w:szCs w:val="20"/>
          <w:lang w:val="es-ES" w:eastAsia="es-CO"/>
        </w:rPr>
      </w:pPr>
    </w:p>
    <w:p w14:paraId="06568C06" w14:textId="77777777" w:rsidR="00DA13D9" w:rsidRPr="009F5860" w:rsidRDefault="00DA13D9" w:rsidP="003C7067">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A318B" w:rsidRPr="009F5860" w14:paraId="67DFEBDD" w14:textId="77777777" w:rsidTr="00D81E5B">
        <w:trPr>
          <w:trHeight w:val="315"/>
        </w:trPr>
        <w:tc>
          <w:tcPr>
            <w:tcW w:w="812" w:type="dxa"/>
            <w:vAlign w:val="center"/>
            <w:hideMark/>
          </w:tcPr>
          <w:p w14:paraId="586E9637" w14:textId="0AA69C50"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2585B1D8" w14:textId="6AC9B662"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 xml:space="preserve">Camilo Perdomo Villamil </w:t>
            </w:r>
          </w:p>
          <w:p w14:paraId="15047A99"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Contratista de la Subdirección de Gestión Contractual</w:t>
            </w:r>
          </w:p>
        </w:tc>
      </w:tr>
      <w:tr w:rsidR="00DA318B" w:rsidRPr="009F5860" w14:paraId="5E040385" w14:textId="77777777" w:rsidTr="00D81E5B">
        <w:trPr>
          <w:trHeight w:val="330"/>
        </w:trPr>
        <w:tc>
          <w:tcPr>
            <w:tcW w:w="812" w:type="dxa"/>
            <w:vAlign w:val="center"/>
            <w:hideMark/>
          </w:tcPr>
          <w:p w14:paraId="1468648A"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E5C127" w14:textId="34364BA2" w:rsidR="003C7067" w:rsidRDefault="005B39BF" w:rsidP="00D81E5B">
            <w:pPr>
              <w:rPr>
                <w:rFonts w:ascii="Arial" w:hAnsi="Arial" w:cs="Arial"/>
                <w:sz w:val="16"/>
                <w:szCs w:val="16"/>
                <w:lang w:val="es-ES" w:eastAsia="es-ES"/>
              </w:rPr>
            </w:pPr>
            <w:r>
              <w:rPr>
                <w:rFonts w:ascii="Arial" w:hAnsi="Arial" w:cs="Arial"/>
                <w:sz w:val="16"/>
                <w:szCs w:val="16"/>
                <w:lang w:val="es-ES" w:eastAsia="es-ES"/>
              </w:rPr>
              <w:t>Alejandro Sarmiento</w:t>
            </w:r>
            <w:r w:rsidR="004C4C02">
              <w:rPr>
                <w:rFonts w:ascii="Arial" w:hAnsi="Arial" w:cs="Arial"/>
                <w:sz w:val="16"/>
                <w:szCs w:val="16"/>
                <w:lang w:val="es-ES" w:eastAsia="es-ES"/>
              </w:rPr>
              <w:t xml:space="preserve"> Cantillo</w:t>
            </w:r>
          </w:p>
          <w:p w14:paraId="1A90EAD2" w14:textId="56002145" w:rsidR="008F10C7" w:rsidRPr="009F5860" w:rsidRDefault="000815BD" w:rsidP="00D81E5B">
            <w:pPr>
              <w:rPr>
                <w:rFonts w:ascii="Arial" w:hAnsi="Arial" w:cs="Arial"/>
                <w:sz w:val="16"/>
                <w:szCs w:val="16"/>
                <w:lang w:val="es-ES" w:eastAsia="es-ES"/>
              </w:rPr>
            </w:pPr>
            <w:r w:rsidRPr="009F5860">
              <w:rPr>
                <w:rFonts w:ascii="Arial" w:hAnsi="Arial" w:cs="Arial"/>
                <w:sz w:val="16"/>
                <w:szCs w:val="16"/>
                <w:lang w:val="es-ES" w:eastAsia="es-ES"/>
              </w:rPr>
              <w:t>Gestor T1-1</w:t>
            </w:r>
            <w:r w:rsidR="004C4C02">
              <w:rPr>
                <w:rFonts w:ascii="Arial" w:hAnsi="Arial" w:cs="Arial"/>
                <w:sz w:val="16"/>
                <w:szCs w:val="16"/>
                <w:lang w:val="es-ES" w:eastAsia="es-ES"/>
              </w:rPr>
              <w:t xml:space="preserve">5 </w:t>
            </w:r>
            <w:r w:rsidRPr="009F5860">
              <w:rPr>
                <w:rFonts w:ascii="Arial" w:hAnsi="Arial" w:cs="Arial"/>
                <w:sz w:val="16"/>
                <w:szCs w:val="16"/>
                <w:lang w:val="es-ES" w:eastAsia="es-ES"/>
              </w:rPr>
              <w:t xml:space="preserve"> de la Subdirección de Gestión Contractual</w:t>
            </w:r>
          </w:p>
          <w:p w14:paraId="202F9F6E" w14:textId="2A87183D" w:rsidR="003C7067" w:rsidRPr="009F5860" w:rsidRDefault="003C7067" w:rsidP="00D81E5B">
            <w:pPr>
              <w:rPr>
                <w:rFonts w:ascii="Arial" w:hAnsi="Arial" w:cs="Arial"/>
                <w:sz w:val="16"/>
                <w:szCs w:val="16"/>
                <w:lang w:val="es-ES" w:eastAsia="es-ES"/>
              </w:rPr>
            </w:pPr>
          </w:p>
        </w:tc>
      </w:tr>
      <w:tr w:rsidR="00DA318B" w:rsidRPr="0008465D" w14:paraId="65581C44" w14:textId="77777777" w:rsidTr="00D81E5B">
        <w:trPr>
          <w:trHeight w:val="300"/>
        </w:trPr>
        <w:tc>
          <w:tcPr>
            <w:tcW w:w="812" w:type="dxa"/>
            <w:vAlign w:val="center"/>
            <w:hideMark/>
          </w:tcPr>
          <w:p w14:paraId="5B07E6DF"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930E5E2" w14:textId="77777777" w:rsidR="003C7067" w:rsidRPr="009F5860" w:rsidRDefault="003C7067" w:rsidP="00D81E5B">
            <w:pPr>
              <w:rPr>
                <w:rFonts w:ascii="Arial" w:hAnsi="Arial" w:cs="Arial"/>
                <w:sz w:val="16"/>
                <w:szCs w:val="16"/>
                <w:lang w:val="es-ES" w:eastAsia="es-ES"/>
              </w:rPr>
            </w:pPr>
            <w:r w:rsidRPr="009F5860">
              <w:rPr>
                <w:rFonts w:ascii="Arial" w:hAnsi="Arial" w:cs="Arial"/>
                <w:sz w:val="16"/>
                <w:szCs w:val="16"/>
                <w:lang w:val="es-ES" w:eastAsia="es-ES"/>
              </w:rPr>
              <w:t>Jorge Augusto Tirado Navarro</w:t>
            </w:r>
          </w:p>
          <w:p w14:paraId="43EFE605" w14:textId="77777777" w:rsidR="003C7067" w:rsidRPr="0008465D" w:rsidRDefault="003C7067" w:rsidP="00D81E5B">
            <w:pPr>
              <w:rPr>
                <w:rFonts w:ascii="Arial" w:hAnsi="Arial" w:cs="Arial"/>
                <w:sz w:val="16"/>
                <w:szCs w:val="16"/>
                <w:lang w:val="es-ES" w:eastAsia="es-ES"/>
              </w:rPr>
            </w:pPr>
            <w:r w:rsidRPr="009F5860">
              <w:rPr>
                <w:rFonts w:ascii="Arial" w:hAnsi="Arial" w:cs="Arial"/>
                <w:sz w:val="16"/>
                <w:szCs w:val="16"/>
                <w:lang w:val="es-ES" w:eastAsia="es-ES"/>
              </w:rPr>
              <w:t>Subdirector de Gestión Contractual ANCP – CCE</w:t>
            </w:r>
          </w:p>
        </w:tc>
      </w:tr>
    </w:tbl>
    <w:p w14:paraId="019B7BEC" w14:textId="77777777" w:rsidR="003C7067" w:rsidRDefault="003C7067"/>
    <w:sectPr w:rsidR="003C7067" w:rsidSect="00D81E5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7F70" w14:textId="77777777" w:rsidR="006F190F" w:rsidRDefault="006F190F" w:rsidP="003C7067">
      <w:r>
        <w:separator/>
      </w:r>
    </w:p>
  </w:endnote>
  <w:endnote w:type="continuationSeparator" w:id="0">
    <w:p w14:paraId="07610C89" w14:textId="77777777" w:rsidR="006F190F" w:rsidRDefault="006F190F" w:rsidP="003C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F19D" w14:textId="77777777" w:rsidR="00D81E5B" w:rsidRDefault="00D81E5B" w:rsidP="00D81E5B">
    <w:pPr>
      <w:pStyle w:val="Sinespaciado"/>
      <w:jc w:val="right"/>
      <w:rPr>
        <w:rFonts w:ascii="Arial" w:hAnsi="Arial" w:cs="Arial"/>
        <w:sz w:val="18"/>
        <w:szCs w:val="18"/>
      </w:rPr>
    </w:pPr>
  </w:p>
  <w:p w14:paraId="7EE0D30C" w14:textId="77777777" w:rsidR="00D81E5B" w:rsidRDefault="00D81E5B" w:rsidP="00D81E5B">
    <w:pPr>
      <w:pStyle w:val="Sinespaciado"/>
      <w:jc w:val="right"/>
      <w:rPr>
        <w:rFonts w:ascii="Arial" w:hAnsi="Arial" w:cs="Arial"/>
        <w:sz w:val="18"/>
        <w:szCs w:val="18"/>
      </w:rPr>
    </w:pPr>
  </w:p>
  <w:p w14:paraId="120D6A59" w14:textId="77777777" w:rsidR="00D81E5B" w:rsidRPr="008217B7" w:rsidRDefault="000965D3" w:rsidP="00D81E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14:paraId="27B59CE5" w14:textId="77777777" w:rsidR="00D81E5B" w:rsidRDefault="000965D3" w:rsidP="00D81E5B">
    <w:pPr>
      <w:pStyle w:val="Piedepgina"/>
      <w:jc w:val="center"/>
      <w:rPr>
        <w:lang w:val="es-ES"/>
      </w:rPr>
    </w:pPr>
    <w:r>
      <w:rPr>
        <w:noProof/>
      </w:rPr>
      <w:drawing>
        <wp:inline distT="0" distB="0" distL="0" distR="0" wp14:anchorId="467852E1" wp14:editId="1110606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7D50B862" w14:textId="77777777" w:rsidR="00D81E5B" w:rsidRPr="00E756AC" w:rsidRDefault="00D81E5B" w:rsidP="00D81E5B">
    <w:pPr>
      <w:pStyle w:val="Piedepgina"/>
      <w:jc w:val="center"/>
      <w:rPr>
        <w:sz w:val="18"/>
        <w:szCs w:val="18"/>
        <w:lang w:val="es-ES"/>
      </w:rPr>
    </w:pPr>
  </w:p>
  <w:p w14:paraId="1CBE747A" w14:textId="77777777" w:rsidR="00D81E5B" w:rsidRPr="00E756AC" w:rsidRDefault="00D81E5B" w:rsidP="00D81E5B">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EFF2" w14:textId="77777777" w:rsidR="006F190F" w:rsidRDefault="006F190F" w:rsidP="003C7067">
      <w:r>
        <w:separator/>
      </w:r>
    </w:p>
  </w:footnote>
  <w:footnote w:type="continuationSeparator" w:id="0">
    <w:p w14:paraId="18BD0376" w14:textId="77777777" w:rsidR="006F190F" w:rsidRDefault="006F190F" w:rsidP="003C7067">
      <w:r>
        <w:continuationSeparator/>
      </w:r>
    </w:p>
  </w:footnote>
  <w:footnote w:id="1">
    <w:p w14:paraId="671361D1" w14:textId="1EAAE9DC" w:rsidR="003B76F3" w:rsidRPr="00996366" w:rsidRDefault="00841BDF" w:rsidP="00996366">
      <w:pPr>
        <w:pStyle w:val="Textonotapie"/>
        <w:ind w:firstLine="709"/>
        <w:jc w:val="both"/>
        <w:rPr>
          <w:rFonts w:ascii="Arial" w:hAnsi="Arial" w:cs="Arial"/>
          <w:sz w:val="19"/>
          <w:szCs w:val="19"/>
        </w:rPr>
      </w:pPr>
      <w:r w:rsidRPr="00996366">
        <w:rPr>
          <w:rStyle w:val="Refdenotaalpie"/>
          <w:rFonts w:ascii="Arial" w:hAnsi="Arial" w:cs="Arial"/>
          <w:sz w:val="19"/>
          <w:szCs w:val="19"/>
        </w:rPr>
        <w:footnoteRef/>
      </w:r>
      <w:r w:rsidRPr="00996366">
        <w:rPr>
          <w:rFonts w:ascii="Arial" w:hAnsi="Arial" w:cs="Arial"/>
          <w:sz w:val="19"/>
          <w:szCs w:val="19"/>
        </w:rPr>
        <w:t xml:space="preserve"> En la petición originalmente presentada por la peticionaria</w:t>
      </w:r>
      <w:r w:rsidR="003B76F3" w:rsidRPr="00996366">
        <w:rPr>
          <w:rFonts w:ascii="Arial" w:hAnsi="Arial" w:cs="Arial"/>
          <w:sz w:val="19"/>
          <w:szCs w:val="19"/>
        </w:rPr>
        <w:t xml:space="preserve"> ante el Departamento Administrativo de la Función Pública también se formuló la pregunta: «¿Un funcionario en provisionalidad o de planta, puede contratar al mismo tiempo un contrato de prestación de servicios con la misma entidad?».</w:t>
      </w:r>
      <w:r w:rsidR="003B76F3" w:rsidRPr="004C4C02">
        <w:rPr>
          <w:rFonts w:ascii="Arial" w:hAnsi="Arial" w:cs="Arial"/>
          <w:sz w:val="19"/>
          <w:szCs w:val="19"/>
        </w:rPr>
        <w:t xml:space="preserve"> </w:t>
      </w:r>
      <w:r w:rsidR="003B76F3" w:rsidRPr="00996366">
        <w:rPr>
          <w:rFonts w:ascii="Arial" w:hAnsi="Arial" w:cs="Arial"/>
          <w:sz w:val="19"/>
          <w:szCs w:val="19"/>
        </w:rPr>
        <w:t xml:space="preserve">No obstante, </w:t>
      </w:r>
      <w:r w:rsidR="003B76F3" w:rsidRPr="00996366">
        <w:rPr>
          <w:rFonts w:ascii="Arial" w:eastAsia="Calibri" w:hAnsi="Arial" w:cs="Arial"/>
          <w:color w:val="000000" w:themeColor="text1"/>
          <w:sz w:val="19"/>
          <w:szCs w:val="19"/>
        </w:rPr>
        <w:t xml:space="preserve">con relación a esta pregunta, el Departamento Administrativo de la Función Pública, en el oficio con radicado No. 20222040029981, mediante el que se remitió su petición a esta entidad, manifestó haber enviado </w:t>
      </w:r>
      <w:r w:rsidR="003B76F3" w:rsidRPr="00996366">
        <w:rPr>
          <w:rFonts w:ascii="Arial" w:eastAsia="Calibri" w:hAnsi="Arial" w:cs="Arial"/>
          <w:color w:val="000000" w:themeColor="text1"/>
          <w:sz w:val="19"/>
          <w:szCs w:val="19"/>
          <w:lang w:val="es-ES_tradnl"/>
        </w:rPr>
        <w:t>«[…] concepto jurídico emitido por la Dirección Jurídica No 20206000069071 a la peticionaria». En consideración a esto, el presente concepto concepto se ocupará sólo de la primera pregunta.</w:t>
      </w:r>
    </w:p>
  </w:footnote>
  <w:footnote w:id="2">
    <w:p w14:paraId="72FBC2F4"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3F72F111"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3796FEB4"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footnote>
  <w:footnote w:id="3">
    <w:p w14:paraId="36B61DF3"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03A7D5F6"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7D9AA51C" w14:textId="24DC04CB"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»El Gobierno nacional reglamentará el mecanismo para realizar la mensualización de que trata el presente artículo.[…]».</w:t>
      </w:r>
    </w:p>
  </w:footnote>
  <w:footnote w:id="4">
    <w:p w14:paraId="30BD1BBC"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Corte Constitucional. Sentencia C-154 de 1997. Magistrado Ponente: Hernando Herrera Vergara.</w:t>
      </w:r>
    </w:p>
    <w:p w14:paraId="61DDB8D0"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footnote>
  <w:footnote w:id="5">
    <w:p w14:paraId="1207E246"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Ibíd.</w:t>
      </w:r>
    </w:p>
    <w:p w14:paraId="538061AF"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footnote>
  <w:footnote w:id="6">
    <w:p w14:paraId="7F3050A2"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7B9263CA"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p w14:paraId="3A0B2FD9"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1B8C6B1C" w14:textId="27B0B863"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7">
    <w:p w14:paraId="74F5C1F3"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131E6AA3"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footnote>
  <w:footnote w:id="8">
    <w:p w14:paraId="10ED9D4D"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Ibíd.</w:t>
      </w:r>
    </w:p>
    <w:p w14:paraId="06B83B4A"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footnote>
  <w:footnote w:id="9">
    <w:p w14:paraId="64C72EB8"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48582275"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782EC5A2"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 xml:space="preserve">»Ninguna orden del interventor de una obra podrá darse verbalmente. Es obligatorio para el interventor entregar por escrito sus órdenes o sugerencias y ellas deben enmarcarse dentro de los términos del respectivo contrato». </w:t>
      </w:r>
    </w:p>
    <w:p w14:paraId="3560BD9B"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footnote>
  <w:footnote w:id="10">
    <w:p w14:paraId="5B56B08F"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Así lo prevé el artículo 2.2.1.2.1.4.1. del Decreto 1082 de 2015: «La Entidad Estatal debe señalar en un acto administrativo la justificación para contratar bajo la modalidad de contratación directa, el cual debe contener:</w:t>
      </w:r>
    </w:p>
    <w:p w14:paraId="27C04234"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»1. La causal que invoca para contratar directamente.</w:t>
      </w:r>
    </w:p>
    <w:p w14:paraId="15B8A015"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»2. El objeto del contrato.</w:t>
      </w:r>
    </w:p>
    <w:p w14:paraId="66E1FB47"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»3. El presupuesto para la contratación y las condiciones que exigirá al contratista.</w:t>
      </w:r>
    </w:p>
    <w:p w14:paraId="0671AEBC"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»4. El lugar en el cual los interesados pueden consultar los estudios y documentos previos.</w:t>
      </w:r>
    </w:p>
    <w:p w14:paraId="524910E7"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p w14:paraId="581A4702"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footnote>
  <w:footnote w:id="11">
    <w:p w14:paraId="0322F072"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Esta norma expresa: «</w:t>
      </w:r>
      <w:r w:rsidRPr="004C4C02">
        <w:rPr>
          <w:rFonts w:ascii="Arial" w:hAnsi="Arial" w:cs="Arial"/>
          <w:color w:val="000000" w:themeColor="text1"/>
          <w:sz w:val="19"/>
          <w:szCs w:val="19"/>
        </w:rPr>
        <w:t>P</w:t>
      </w:r>
      <w:r w:rsidRPr="004C4C02">
        <w:rPr>
          <w:rFonts w:ascii="Arial" w:hAnsi="Arial" w:cs="Arial"/>
          <w:color w:val="000000" w:themeColor="text1"/>
          <w:sz w:val="19"/>
          <w:szCs w:val="19"/>
          <w:lang w:val="es-ES"/>
        </w:rPr>
        <w:t>ara el cumplimiento de los fines de la contratación, las entidades estatales al celebrar un contrato:</w:t>
      </w:r>
    </w:p>
    <w:p w14:paraId="6E6EFB49"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w:t>
      </w:r>
    </w:p>
    <w:p w14:paraId="32AB105D"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B596B5" w14:textId="419E833C"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Fonts w:ascii="Arial" w:hAnsi="Arial" w:cs="Arial"/>
          <w:color w:val="000000" w:themeColor="text1"/>
          <w:sz w:val="19"/>
          <w:szCs w:val="19"/>
          <w:lang w:val="es-ES"/>
        </w:rPr>
        <w:t>»Las entidades estatales podrán pactar estas cláusulas en los contratos de suministro y de prestación de servicios.[…]».</w:t>
      </w:r>
    </w:p>
    <w:p w14:paraId="5E638EF8"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footnote>
  <w:footnote w:id="12">
    <w:p w14:paraId="06738B20" w14:textId="791D6365" w:rsidR="007D648E"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797498F9"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footnote>
  <w:footnote w:id="13">
    <w:p w14:paraId="091D7ABA" w14:textId="77777777" w:rsidR="003104CB" w:rsidRPr="004C4C02" w:rsidRDefault="003104CB" w:rsidP="007D648E">
      <w:pPr>
        <w:pStyle w:val="Textonotapie"/>
        <w:ind w:firstLine="709"/>
        <w:jc w:val="both"/>
        <w:rPr>
          <w:rFonts w:ascii="Arial" w:hAnsi="Arial" w:cs="Arial"/>
          <w:color w:val="000000" w:themeColor="text1"/>
          <w:sz w:val="19"/>
          <w:szCs w:val="19"/>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Según dicho artículo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AF9E532" w14:textId="77777777" w:rsidR="003104CB" w:rsidRPr="004C4C02" w:rsidRDefault="003104CB" w:rsidP="007D648E">
      <w:pPr>
        <w:pStyle w:val="Textonotapie"/>
        <w:ind w:firstLine="709"/>
        <w:jc w:val="both"/>
        <w:rPr>
          <w:rFonts w:ascii="Arial" w:hAnsi="Arial" w:cs="Arial"/>
          <w:color w:val="000000" w:themeColor="text1"/>
          <w:sz w:val="19"/>
          <w:szCs w:val="19"/>
        </w:rPr>
      </w:pPr>
      <w:r w:rsidRPr="004C4C02">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6FDA8EC5" w14:textId="77777777" w:rsidR="003104CB" w:rsidRPr="004C4C02" w:rsidRDefault="003104CB" w:rsidP="007D648E">
      <w:pPr>
        <w:pStyle w:val="Textonotapie"/>
        <w:ind w:firstLine="709"/>
        <w:jc w:val="both"/>
        <w:rPr>
          <w:rFonts w:ascii="Arial" w:hAnsi="Arial" w:cs="Arial"/>
          <w:color w:val="000000" w:themeColor="text1"/>
          <w:sz w:val="19"/>
          <w:szCs w:val="19"/>
        </w:rPr>
      </w:pPr>
      <w:r w:rsidRPr="004C4C02">
        <w:rPr>
          <w:rFonts w:ascii="Arial" w:hAnsi="Arial" w:cs="Arial"/>
          <w:color w:val="000000" w:themeColor="text1"/>
          <w:sz w:val="19"/>
          <w:szCs w:val="19"/>
        </w:rPr>
        <w:t>[…]».</w:t>
      </w:r>
    </w:p>
    <w:p w14:paraId="2EA41314"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footnote>
  <w:footnote w:id="14">
    <w:p w14:paraId="677CB550"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Es esto lo que establece el Decreto 1082 de 2015: «Artículo 2.2.1.2.1.4.5. No obligatoriedad de garantías. En la contratación directa la exigencia de garantías establecidas en la Sección 3, que comprende los artículos 2.2.1.2.3.1.1 al 2.2.1.2.3.5.1.del presente decreto no es obligatoria y la justificación para exigirlas o no debe estar en los estudios y documentos previos».</w:t>
      </w:r>
    </w:p>
    <w:p w14:paraId="3644B01B" w14:textId="77777777" w:rsidR="003104CB" w:rsidRPr="004C4C02" w:rsidRDefault="003104CB" w:rsidP="007D648E">
      <w:pPr>
        <w:pStyle w:val="Textonotapie"/>
        <w:ind w:firstLine="709"/>
        <w:jc w:val="both"/>
        <w:rPr>
          <w:rFonts w:ascii="Arial" w:hAnsi="Arial" w:cs="Arial"/>
          <w:color w:val="000000" w:themeColor="text1"/>
          <w:sz w:val="19"/>
          <w:szCs w:val="19"/>
          <w:lang w:val="es-ES"/>
        </w:rPr>
      </w:pPr>
    </w:p>
  </w:footnote>
  <w:footnote w:id="15">
    <w:p w14:paraId="0424C0D2" w14:textId="77777777" w:rsidR="003104CB" w:rsidRPr="004C4C02" w:rsidRDefault="003104CB" w:rsidP="007D648E">
      <w:pPr>
        <w:pStyle w:val="Textonotapie"/>
        <w:ind w:firstLine="709"/>
        <w:jc w:val="both"/>
        <w:rPr>
          <w:rFonts w:ascii="Arial" w:hAnsi="Arial" w:cs="Arial"/>
          <w:sz w:val="19"/>
          <w:szCs w:val="19"/>
        </w:rPr>
      </w:pPr>
      <w:r w:rsidRPr="004C4C02">
        <w:rPr>
          <w:rStyle w:val="Refdenotaalpie"/>
          <w:rFonts w:ascii="Arial" w:hAnsi="Arial" w:cs="Arial"/>
          <w:sz w:val="19"/>
          <w:szCs w:val="19"/>
        </w:rPr>
        <w:footnoteRef/>
      </w:r>
      <w:r w:rsidRPr="004C4C02">
        <w:rPr>
          <w:rFonts w:ascii="Arial" w:hAnsi="Arial" w:cs="Arial"/>
          <w:sz w:val="19"/>
          <w:szCs w:val="19"/>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1105F6EF" w14:textId="77777777" w:rsidR="003104CB" w:rsidRPr="004C4C02" w:rsidRDefault="003104CB" w:rsidP="007D648E">
      <w:pPr>
        <w:pStyle w:val="Textonotapie"/>
        <w:ind w:firstLine="709"/>
        <w:jc w:val="both"/>
        <w:rPr>
          <w:rFonts w:ascii="Arial" w:hAnsi="Arial" w:cs="Arial"/>
          <w:sz w:val="19"/>
          <w:szCs w:val="19"/>
        </w:rPr>
      </w:pPr>
      <w:r w:rsidRPr="004C4C02">
        <w:rPr>
          <w:rFonts w:ascii="Arial" w:hAnsi="Arial" w:cs="Arial"/>
          <w:sz w:val="19"/>
          <w:szCs w:val="19"/>
        </w:rPr>
        <w:t>»Las personas jurídicas nacionales y extranjeras deberán acreditar que su duración no será inferior a la del plazo del contrato y un año más».</w:t>
      </w:r>
    </w:p>
    <w:p w14:paraId="2CDEDC9B" w14:textId="77777777" w:rsidR="003104CB" w:rsidRPr="004C4C02" w:rsidRDefault="003104CB" w:rsidP="007D648E">
      <w:pPr>
        <w:pStyle w:val="Textonotapie"/>
        <w:ind w:firstLine="709"/>
        <w:jc w:val="both"/>
        <w:rPr>
          <w:rFonts w:ascii="Arial" w:hAnsi="Arial" w:cs="Arial"/>
          <w:sz w:val="19"/>
          <w:szCs w:val="19"/>
        </w:rPr>
      </w:pPr>
    </w:p>
  </w:footnote>
  <w:footnote w:id="16">
    <w:p w14:paraId="7CC1FF78" w14:textId="77777777" w:rsidR="003104CB" w:rsidRPr="004C4C02" w:rsidRDefault="003104CB" w:rsidP="007D648E">
      <w:pPr>
        <w:pStyle w:val="Textonotapie"/>
        <w:ind w:firstLine="709"/>
        <w:jc w:val="both"/>
        <w:rPr>
          <w:rFonts w:ascii="Arial" w:hAnsi="Arial" w:cs="Arial"/>
          <w:sz w:val="19"/>
          <w:szCs w:val="19"/>
        </w:rPr>
      </w:pPr>
      <w:r w:rsidRPr="004C4C02">
        <w:rPr>
          <w:rStyle w:val="Refdenotaalpie"/>
          <w:rFonts w:ascii="Arial" w:hAnsi="Arial" w:cs="Arial"/>
          <w:sz w:val="19"/>
          <w:szCs w:val="19"/>
        </w:rPr>
        <w:footnoteRef/>
      </w:r>
      <w:r w:rsidRPr="004C4C02">
        <w:rPr>
          <w:rFonts w:ascii="Arial" w:hAnsi="Arial" w:cs="Arial"/>
          <w:sz w:val="19"/>
          <w:szCs w:val="19"/>
        </w:rPr>
        <w:t xml:space="preserve"> Código Civil: «Artículo 1502. Requisitos para obligarse. Para que una persona se obligue a otra por un acto o declaración de voluntad, es necesario:</w:t>
      </w:r>
    </w:p>
    <w:p w14:paraId="3972A4A4" w14:textId="77777777" w:rsidR="003104CB" w:rsidRPr="004C4C02" w:rsidRDefault="003104CB" w:rsidP="007D648E">
      <w:pPr>
        <w:pStyle w:val="Textonotapie"/>
        <w:ind w:firstLine="709"/>
        <w:jc w:val="both"/>
        <w:rPr>
          <w:rFonts w:ascii="Arial" w:hAnsi="Arial" w:cs="Arial"/>
          <w:sz w:val="19"/>
          <w:szCs w:val="19"/>
        </w:rPr>
      </w:pPr>
      <w:r w:rsidRPr="004C4C02">
        <w:rPr>
          <w:rFonts w:ascii="Arial" w:hAnsi="Arial" w:cs="Arial"/>
          <w:sz w:val="19"/>
          <w:szCs w:val="19"/>
        </w:rPr>
        <w:t>»1o.) que sea legalmente capaz.</w:t>
      </w:r>
    </w:p>
    <w:p w14:paraId="7E22FFC4" w14:textId="77777777" w:rsidR="003104CB" w:rsidRPr="004C4C02" w:rsidRDefault="003104CB" w:rsidP="007D648E">
      <w:pPr>
        <w:pStyle w:val="Textonotapie"/>
        <w:ind w:firstLine="709"/>
        <w:jc w:val="both"/>
        <w:rPr>
          <w:rFonts w:ascii="Arial" w:hAnsi="Arial" w:cs="Arial"/>
          <w:sz w:val="19"/>
          <w:szCs w:val="19"/>
        </w:rPr>
      </w:pPr>
      <w:r w:rsidRPr="004C4C02">
        <w:rPr>
          <w:rFonts w:ascii="Arial" w:hAnsi="Arial" w:cs="Arial"/>
          <w:sz w:val="19"/>
          <w:szCs w:val="19"/>
        </w:rPr>
        <w:t>[…]</w:t>
      </w:r>
    </w:p>
    <w:p w14:paraId="63248F4A" w14:textId="777B0848" w:rsidR="003104CB" w:rsidRPr="004C4C02" w:rsidRDefault="003104CB" w:rsidP="007D648E">
      <w:pPr>
        <w:pStyle w:val="Textonotapie"/>
        <w:ind w:firstLine="709"/>
        <w:jc w:val="both"/>
        <w:rPr>
          <w:rFonts w:ascii="Arial" w:hAnsi="Arial" w:cs="Arial"/>
          <w:sz w:val="19"/>
          <w:szCs w:val="19"/>
        </w:rPr>
      </w:pPr>
      <w:r w:rsidRPr="004C4C02">
        <w:rPr>
          <w:rFonts w:ascii="Arial" w:hAnsi="Arial" w:cs="Arial"/>
          <w:sz w:val="19"/>
          <w:szCs w:val="19"/>
        </w:rPr>
        <w:t>»La capacidad legal de una persona consiste en poderse obligar por sí misma, sin el ministerio o la autorización de otra».</w:t>
      </w:r>
    </w:p>
  </w:footnote>
  <w:footnote w:id="17">
    <w:p w14:paraId="0C99F63C" w14:textId="77777777" w:rsidR="003104CB" w:rsidRPr="004C4C02" w:rsidRDefault="003104CB" w:rsidP="007D648E">
      <w:pPr>
        <w:pStyle w:val="Textonotapie"/>
        <w:ind w:firstLine="709"/>
        <w:jc w:val="both"/>
        <w:rPr>
          <w:rFonts w:ascii="Arial" w:hAnsi="Arial" w:cs="Arial"/>
          <w:sz w:val="19"/>
          <w:szCs w:val="19"/>
          <w:lang w:val="es-ES"/>
        </w:rPr>
      </w:pPr>
      <w:r w:rsidRPr="004C4C02">
        <w:rPr>
          <w:rStyle w:val="Refdenotaalpie"/>
          <w:rFonts w:ascii="Arial" w:hAnsi="Arial" w:cs="Arial"/>
          <w:sz w:val="19"/>
          <w:szCs w:val="19"/>
        </w:rPr>
        <w:footnoteRef/>
      </w:r>
      <w:r w:rsidRPr="004C4C02">
        <w:rPr>
          <w:rFonts w:ascii="Arial" w:hAnsi="Arial" w:cs="Arial"/>
          <w:sz w:val="19"/>
          <w:szCs w:val="19"/>
        </w:rPr>
        <w:t xml:space="preserve"> </w:t>
      </w:r>
      <w:r w:rsidRPr="004C4C02">
        <w:rPr>
          <w:rFonts w:ascii="Arial" w:hAnsi="Arial" w:cs="Arial"/>
          <w:sz w:val="19"/>
          <w:szCs w:val="19"/>
          <w:lang w:val="es-ES"/>
        </w:rPr>
        <w:t xml:space="preserve">En tal sentido, José Luis Benavides comenta que «Aunque la mayoría de las reglas limitativas de la responsabilidad contractual se aplican a la administración, existen también algunas restricciones importantes a la capacidad de los contratistas: </w:t>
      </w:r>
      <w:r w:rsidRPr="004C4C02">
        <w:rPr>
          <w:rFonts w:ascii="Arial" w:hAnsi="Arial" w:cs="Arial"/>
          <w:i/>
          <w:iCs/>
          <w:sz w:val="19"/>
          <w:szCs w:val="19"/>
          <w:lang w:val="es-ES"/>
        </w:rPr>
        <w:t>el régimen de inhabilidades e incompatibilidades</w:t>
      </w:r>
      <w:r w:rsidRPr="004C4C02">
        <w:rPr>
          <w:rFonts w:ascii="Arial" w:hAnsi="Arial" w:cs="Arial"/>
          <w:sz w:val="19"/>
          <w:szCs w:val="19"/>
          <w:lang w:val="es-ES"/>
        </w:rPr>
        <w:t xml:space="preserve"> (1) y la obligación de ciertos proponentes de inscribirse en el </w:t>
      </w:r>
      <w:r w:rsidRPr="004C4C02">
        <w:rPr>
          <w:rFonts w:ascii="Arial" w:hAnsi="Arial" w:cs="Arial"/>
          <w:i/>
          <w:iCs/>
          <w:sz w:val="19"/>
          <w:szCs w:val="19"/>
          <w:lang w:val="es-ES"/>
        </w:rPr>
        <w:t>registro único</w:t>
      </w:r>
      <w:r w:rsidRPr="004C4C02">
        <w:rPr>
          <w:rFonts w:ascii="Arial" w:hAnsi="Arial" w:cs="Arial"/>
          <w:sz w:val="19"/>
          <w:szCs w:val="19"/>
          <w:lang w:val="es-ES"/>
        </w:rPr>
        <w:t xml:space="preserve"> (2)» (BENAVIDES, José Luis. El contrato estatal. Entre el Derecho público y el Derecho privado. 2ª ed. Bogotá: Universidad Externado de Colombia, 2004. p. 278). </w:t>
      </w:r>
    </w:p>
    <w:p w14:paraId="098801F0" w14:textId="77777777" w:rsidR="003104CB" w:rsidRPr="004C4C02" w:rsidRDefault="003104CB" w:rsidP="007D648E">
      <w:pPr>
        <w:pStyle w:val="Textonotapie"/>
        <w:ind w:firstLine="709"/>
        <w:jc w:val="both"/>
        <w:rPr>
          <w:rFonts w:ascii="Arial" w:hAnsi="Arial" w:cs="Arial"/>
          <w:sz w:val="19"/>
          <w:szCs w:val="19"/>
          <w:lang w:val="es-ES"/>
        </w:rPr>
      </w:pPr>
    </w:p>
  </w:footnote>
  <w:footnote w:id="18">
    <w:p w14:paraId="5B33984C" w14:textId="45F9B641" w:rsidR="003104CB" w:rsidRPr="004C4C02" w:rsidRDefault="003104CB" w:rsidP="007D648E">
      <w:pPr>
        <w:pStyle w:val="Textonotapie"/>
        <w:ind w:firstLine="708"/>
        <w:jc w:val="both"/>
        <w:rPr>
          <w:rFonts w:ascii="Arial" w:hAnsi="Arial" w:cs="Arial"/>
          <w:sz w:val="19"/>
          <w:szCs w:val="19"/>
        </w:rPr>
      </w:pPr>
      <w:r w:rsidRPr="004C4C02">
        <w:rPr>
          <w:rStyle w:val="Refdenotaalpie"/>
          <w:rFonts w:ascii="Arial" w:hAnsi="Arial" w:cs="Arial"/>
          <w:sz w:val="19"/>
          <w:szCs w:val="19"/>
        </w:rPr>
        <w:footnoteRef/>
      </w:r>
      <w:r w:rsidRPr="004C4C02">
        <w:rPr>
          <w:rFonts w:ascii="Arial" w:hAnsi="Arial" w:cs="Arial"/>
          <w:sz w:val="19"/>
          <w:szCs w:val="19"/>
        </w:rPr>
        <w:t xml:space="preserve"> En esta línea Dávila Vinueza Expresa: «El legislador para calificar estas prohibiciones emplea dos vocablos: Inhabilidades o incompatibilidades, los cuales en un examen desprevenido podrían sugerir ideas diferentes y en consecuencia, efectos también distintos. Sin embargo, se trata de conceptos que no producen distinciones más allá de las puramente semánticas. En nada afecta el calificar una causal con denominación diferente a la empleada en el texto legal, cuando mucho se criticará la falta de precisión. Ello es así por cuanto los efectos jurídicos que se general para una y otra son exactamente los mismos. Incluso se podría afirmar que ante la semejanza de las figuras, conviene emplear un único vocablo, con lo cual serían innecesarias los intentos y las elucubraciones y explicaciones, algunas novedosas que podrían ensayarse. (DÁVILA VINUEZA, Luis Guillermo. Régimen jurídico de la contratación estatal. 3ª ed. Bogotá: Legis, 2016. p. 148).</w:t>
      </w:r>
    </w:p>
  </w:footnote>
  <w:footnote w:id="19">
    <w:p w14:paraId="656673DF" w14:textId="77777777" w:rsidR="003104CB" w:rsidRPr="004C4C02" w:rsidRDefault="003104CB" w:rsidP="007D648E">
      <w:pPr>
        <w:pStyle w:val="Textonotapie"/>
        <w:ind w:firstLine="709"/>
        <w:jc w:val="both"/>
        <w:rPr>
          <w:rFonts w:ascii="Arial" w:hAnsi="Arial" w:cs="Arial"/>
          <w:sz w:val="19"/>
          <w:szCs w:val="19"/>
          <w:lang w:val="es-ES"/>
        </w:rPr>
      </w:pPr>
      <w:r w:rsidRPr="004C4C02">
        <w:rPr>
          <w:rStyle w:val="Refdenotaalpie"/>
          <w:rFonts w:ascii="Arial" w:hAnsi="Arial" w:cs="Arial"/>
          <w:sz w:val="19"/>
          <w:szCs w:val="19"/>
        </w:rPr>
        <w:footnoteRef/>
      </w:r>
      <w:r w:rsidRPr="004C4C02">
        <w:rPr>
          <w:rFonts w:ascii="Arial" w:hAnsi="Arial" w:cs="Arial"/>
          <w:sz w:val="19"/>
          <w:szCs w:val="19"/>
        </w:rPr>
        <w:t xml:space="preserve"> </w:t>
      </w:r>
      <w:r w:rsidRPr="004C4C02">
        <w:rPr>
          <w:rFonts w:ascii="Arial" w:hAnsi="Arial" w:cs="Arial"/>
          <w:sz w:val="19"/>
          <w:szCs w:val="19"/>
          <w:lang w:val="es-ES"/>
        </w:rPr>
        <w:t>BARRETO ROZO, Antonio Alejandro. Inhabilidades de la contratación estatal, efectos y neopunitivismo en el Estatuto Anticorrupción. En: ALVIAR GARCÍA, Helena (Coordinadora). Nuevas tendencias del Derecho administrativo. Bogotá: Universidad de los Andes; Temis, 2016. pp. 63-99.</w:t>
      </w:r>
    </w:p>
    <w:p w14:paraId="2678312B" w14:textId="77777777" w:rsidR="003104CB" w:rsidRPr="004C4C02" w:rsidRDefault="003104CB" w:rsidP="007D648E">
      <w:pPr>
        <w:pStyle w:val="Textonotapie"/>
        <w:ind w:firstLine="709"/>
        <w:jc w:val="both"/>
        <w:rPr>
          <w:rFonts w:ascii="Arial" w:hAnsi="Arial" w:cs="Arial"/>
          <w:sz w:val="19"/>
          <w:szCs w:val="19"/>
          <w:lang w:val="es-ES"/>
        </w:rPr>
      </w:pPr>
    </w:p>
  </w:footnote>
  <w:footnote w:id="20">
    <w:p w14:paraId="6C02FB76" w14:textId="77777777" w:rsidR="003104CB" w:rsidRPr="004C4C02" w:rsidRDefault="003104CB" w:rsidP="007D648E">
      <w:pPr>
        <w:pStyle w:val="Textonotapie"/>
        <w:ind w:firstLine="709"/>
        <w:jc w:val="both"/>
        <w:rPr>
          <w:rFonts w:ascii="Arial" w:hAnsi="Arial" w:cs="Arial"/>
          <w:sz w:val="19"/>
          <w:szCs w:val="19"/>
          <w:lang w:val="es-ES"/>
        </w:rPr>
      </w:pPr>
      <w:r w:rsidRPr="004C4C02">
        <w:rPr>
          <w:rStyle w:val="Refdenotaalpie"/>
          <w:rFonts w:ascii="Arial" w:hAnsi="Arial" w:cs="Arial"/>
          <w:sz w:val="19"/>
          <w:szCs w:val="19"/>
        </w:rPr>
        <w:footnoteRef/>
      </w:r>
      <w:r w:rsidRPr="004C4C02">
        <w:rPr>
          <w:rFonts w:ascii="Arial" w:hAnsi="Arial" w:cs="Arial"/>
          <w:sz w:val="19"/>
          <w:szCs w:val="19"/>
        </w:rPr>
        <w:t xml:space="preserve"> </w:t>
      </w:r>
      <w:r w:rsidRPr="004C4C02">
        <w:rPr>
          <w:rFonts w:ascii="Arial" w:hAnsi="Arial" w:cs="Arial"/>
          <w:sz w:val="19"/>
          <w:szCs w:val="19"/>
          <w:lang w:val="es-ES"/>
        </w:rPr>
        <w:t>Ibídem. p. 69.</w:t>
      </w:r>
    </w:p>
    <w:p w14:paraId="5E9C15DA" w14:textId="77777777" w:rsidR="00274FF8" w:rsidRPr="004C4C02" w:rsidRDefault="00274FF8" w:rsidP="007D648E">
      <w:pPr>
        <w:pStyle w:val="Textonotapie"/>
        <w:ind w:firstLine="709"/>
        <w:jc w:val="both"/>
        <w:rPr>
          <w:rFonts w:ascii="Arial" w:hAnsi="Arial" w:cs="Arial"/>
          <w:sz w:val="19"/>
          <w:szCs w:val="19"/>
          <w:lang w:val="es-ES"/>
        </w:rPr>
      </w:pPr>
    </w:p>
  </w:footnote>
  <w:footnote w:id="21">
    <w:p w14:paraId="40BBE248" w14:textId="77777777" w:rsidR="003D24F8" w:rsidRPr="004C4C02" w:rsidRDefault="003D24F8"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 xml:space="preserve">Corte Constitucional. Sentencia T-1039 de 2006. Magistrado Ponente: Humberto Sierra Porto. La Corte ha mantenido este criterio en las sentencias: C-903 de 2008. Magistrado Ponente: Jaime Araujo Rentería; C-101 de 2018. Magistrada Ponente Gloria Stella Ortiz Delgado; entre otras. </w:t>
      </w:r>
    </w:p>
    <w:p w14:paraId="02E4B768" w14:textId="77777777" w:rsidR="003D24F8" w:rsidRPr="004C4C02" w:rsidRDefault="003D24F8" w:rsidP="007D648E">
      <w:pPr>
        <w:pStyle w:val="Textonotapie"/>
        <w:ind w:firstLine="709"/>
        <w:jc w:val="both"/>
        <w:rPr>
          <w:rFonts w:ascii="Arial" w:hAnsi="Arial" w:cs="Arial"/>
          <w:color w:val="000000" w:themeColor="text1"/>
          <w:sz w:val="19"/>
          <w:szCs w:val="19"/>
          <w:lang w:val="es-ES"/>
        </w:rPr>
      </w:pPr>
    </w:p>
  </w:footnote>
  <w:footnote w:id="22">
    <w:p w14:paraId="4FBF96B6" w14:textId="7F29B48F" w:rsidR="003D24F8" w:rsidRPr="004C4C02" w:rsidRDefault="003D24F8" w:rsidP="007D648E">
      <w:pPr>
        <w:pStyle w:val="Textonotapie"/>
        <w:ind w:firstLine="709"/>
        <w:jc w:val="both"/>
        <w:rPr>
          <w:rFonts w:ascii="Arial" w:hAnsi="Arial" w:cs="Arial"/>
          <w:color w:val="000000" w:themeColor="text1"/>
          <w:sz w:val="19"/>
          <w:szCs w:val="19"/>
          <w:lang w:val="es-ES"/>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w:t>
      </w:r>
      <w:r w:rsidRPr="004C4C02">
        <w:rPr>
          <w:rFonts w:ascii="Arial" w:hAnsi="Arial" w:cs="Arial"/>
          <w:color w:val="000000" w:themeColor="text1"/>
          <w:sz w:val="19"/>
          <w:szCs w:val="19"/>
          <w:lang w:val="es-ES"/>
        </w:rPr>
        <w:t>Consejo de Estado. Sala de Consulta y Servicio Civil. Concepto del 30 de abril de 2015. Expediente: 2251. Consejero Ponente: Álvaro Namén Vargas.</w:t>
      </w:r>
    </w:p>
  </w:footnote>
  <w:footnote w:id="23">
    <w:p w14:paraId="0405AEBE" w14:textId="77777777" w:rsidR="003D24F8" w:rsidRPr="004C4C02" w:rsidRDefault="003D24F8" w:rsidP="007D648E">
      <w:pPr>
        <w:pStyle w:val="Textonotapie"/>
        <w:ind w:firstLine="709"/>
        <w:jc w:val="both"/>
        <w:rPr>
          <w:rFonts w:ascii="Arial" w:hAnsi="Arial" w:cs="Arial"/>
          <w:color w:val="000000" w:themeColor="text1"/>
          <w:sz w:val="19"/>
          <w:szCs w:val="19"/>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Consejo de Estado. Sección Tercera. Subsección A. Sentencia del 24 de junio de 2015. Exp. 40.635. Consejero Ponente: Hernán Andrade Rincón (E).</w:t>
      </w:r>
    </w:p>
    <w:p w14:paraId="690D74B4" w14:textId="77777777" w:rsidR="003D24F8" w:rsidRPr="004C4C02" w:rsidRDefault="003D24F8" w:rsidP="007D648E">
      <w:pPr>
        <w:pStyle w:val="Textonotapie"/>
        <w:ind w:firstLine="709"/>
        <w:jc w:val="both"/>
        <w:rPr>
          <w:rFonts w:ascii="Arial" w:hAnsi="Arial" w:cs="Arial"/>
          <w:color w:val="000000" w:themeColor="text1"/>
          <w:sz w:val="19"/>
          <w:szCs w:val="19"/>
          <w:lang w:val="es-ES"/>
        </w:rPr>
      </w:pPr>
    </w:p>
  </w:footnote>
  <w:footnote w:id="24">
    <w:p w14:paraId="5D65E6CE" w14:textId="20700252" w:rsidR="003D24F8" w:rsidRDefault="003D24F8" w:rsidP="007D648E">
      <w:pPr>
        <w:pStyle w:val="Textonotapie"/>
        <w:ind w:firstLine="708"/>
        <w:jc w:val="both"/>
        <w:rPr>
          <w:rFonts w:ascii="Arial" w:hAnsi="Arial" w:cs="Arial"/>
          <w:color w:val="000000" w:themeColor="text1"/>
          <w:sz w:val="19"/>
          <w:szCs w:val="19"/>
        </w:rPr>
      </w:pPr>
      <w:r w:rsidRPr="004C4C02">
        <w:rPr>
          <w:rStyle w:val="Refdenotaalpie"/>
          <w:rFonts w:ascii="Arial" w:hAnsi="Arial" w:cs="Arial"/>
          <w:color w:val="000000" w:themeColor="text1"/>
          <w:sz w:val="19"/>
          <w:szCs w:val="19"/>
        </w:rPr>
        <w:footnoteRef/>
      </w:r>
      <w:r w:rsidRPr="004C4C02">
        <w:rPr>
          <w:rFonts w:ascii="Arial" w:hAnsi="Arial" w:cs="Arial"/>
          <w:color w:val="000000" w:themeColor="text1"/>
          <w:sz w:val="19"/>
          <w:szCs w:val="19"/>
        </w:rPr>
        <w:t xml:space="preserve"> Consejo de Estado. Sección Tercera. Subsección C. Sentencia del 22 de mayo de 2013. Exp. 24.057. Consejera Ponente: Olga Melida Valle De De La Hoz.</w:t>
      </w:r>
    </w:p>
    <w:p w14:paraId="105031C1" w14:textId="77777777" w:rsidR="00DA13D9" w:rsidRPr="004C4C02" w:rsidRDefault="00DA13D9" w:rsidP="00996366">
      <w:pPr>
        <w:pStyle w:val="Textonotapie"/>
        <w:ind w:firstLine="708"/>
        <w:jc w:val="both"/>
        <w:rPr>
          <w:rFonts w:ascii="Arial" w:hAnsi="Arial" w:cs="Arial"/>
          <w:color w:val="000000" w:themeColor="text1"/>
          <w:sz w:val="19"/>
          <w:szCs w:val="19"/>
          <w:lang w:val="es-ES"/>
        </w:rPr>
      </w:pPr>
    </w:p>
  </w:footnote>
  <w:footnote w:id="25">
    <w:p w14:paraId="323094FE" w14:textId="4B3A708D" w:rsidR="002650A2" w:rsidRPr="004C4C02" w:rsidRDefault="002650A2" w:rsidP="007D648E">
      <w:pPr>
        <w:pStyle w:val="Textonotapie"/>
        <w:ind w:firstLine="708"/>
        <w:jc w:val="both"/>
        <w:rPr>
          <w:rFonts w:ascii="Arial" w:hAnsi="Arial" w:cs="Arial"/>
          <w:color w:val="000000" w:themeColor="text1"/>
          <w:sz w:val="19"/>
          <w:szCs w:val="19"/>
        </w:rPr>
      </w:pPr>
      <w:r w:rsidRPr="00996366">
        <w:rPr>
          <w:rFonts w:ascii="Arial" w:hAnsi="Arial" w:cs="Arial"/>
          <w:color w:val="000000" w:themeColor="text1"/>
          <w:sz w:val="19"/>
          <w:szCs w:val="19"/>
          <w:vertAlign w:val="superscript"/>
        </w:rPr>
        <w:footnoteRef/>
      </w:r>
      <w:r w:rsidRPr="00996366">
        <w:rPr>
          <w:rFonts w:ascii="Arial" w:hAnsi="Arial" w:cs="Arial"/>
          <w:color w:val="000000" w:themeColor="text1"/>
          <w:sz w:val="19"/>
          <w:szCs w:val="19"/>
        </w:rPr>
        <w:t xml:space="preserve"> Constitución Política de 1886: </w:t>
      </w:r>
      <w:r w:rsidR="00F128A6" w:rsidRPr="004C4C02">
        <w:rPr>
          <w:rFonts w:ascii="Arial" w:hAnsi="Arial" w:cs="Arial"/>
          <w:color w:val="000000" w:themeColor="text1"/>
          <w:sz w:val="19"/>
          <w:szCs w:val="19"/>
        </w:rPr>
        <w:t>«</w:t>
      </w:r>
      <w:r w:rsidRPr="00996366">
        <w:rPr>
          <w:rFonts w:ascii="Arial" w:hAnsi="Arial" w:cs="Arial"/>
          <w:color w:val="000000" w:themeColor="text1"/>
          <w:sz w:val="19"/>
          <w:szCs w:val="19"/>
        </w:rPr>
        <w:t>Artículo 64.- Nadie podrá recibir dos sueldos del Tesoro público, salvo lo que para casos especiales determinen las leyes</w:t>
      </w:r>
      <w:r w:rsidR="00F128A6" w:rsidRPr="004C4C02">
        <w:rPr>
          <w:rFonts w:ascii="Arial" w:hAnsi="Arial" w:cs="Arial"/>
          <w:color w:val="000000" w:themeColor="text1"/>
          <w:sz w:val="19"/>
          <w:szCs w:val="19"/>
        </w:rPr>
        <w:t>»</w:t>
      </w:r>
      <w:r w:rsidRPr="00996366">
        <w:rPr>
          <w:rFonts w:ascii="Arial" w:hAnsi="Arial" w:cs="Arial"/>
          <w:color w:val="000000" w:themeColor="text1"/>
          <w:sz w:val="19"/>
          <w:szCs w:val="19"/>
        </w:rPr>
        <w:t>.</w:t>
      </w:r>
    </w:p>
    <w:p w14:paraId="422B0C3C" w14:textId="77777777" w:rsidR="00F128A6" w:rsidRPr="00996366" w:rsidRDefault="00F128A6" w:rsidP="00996366">
      <w:pPr>
        <w:pStyle w:val="Textonotapie"/>
        <w:ind w:firstLine="708"/>
        <w:jc w:val="both"/>
        <w:rPr>
          <w:rFonts w:ascii="Arial" w:hAnsi="Arial" w:cs="Arial"/>
          <w:color w:val="000000" w:themeColor="text1"/>
          <w:sz w:val="19"/>
          <w:szCs w:val="19"/>
          <w:lang w:val="es-CO"/>
        </w:rPr>
      </w:pPr>
    </w:p>
  </w:footnote>
  <w:footnote w:id="26">
    <w:p w14:paraId="0CD0A054" w14:textId="77777777" w:rsidR="002650A2" w:rsidRPr="00996366" w:rsidRDefault="002650A2" w:rsidP="007D648E">
      <w:pPr>
        <w:spacing w:before="1" w:line="254" w:lineRule="auto"/>
        <w:ind w:left="300" w:right="434" w:firstLine="720"/>
        <w:jc w:val="both"/>
        <w:rPr>
          <w:rFonts w:ascii="Arial" w:hAnsi="Arial" w:cs="Arial"/>
          <w:color w:val="000000" w:themeColor="text1"/>
          <w:sz w:val="19"/>
          <w:szCs w:val="19"/>
        </w:rPr>
      </w:pPr>
      <w:r w:rsidRPr="00996366">
        <w:rPr>
          <w:rStyle w:val="Refdenotaalpie"/>
          <w:rFonts w:ascii="Arial" w:hAnsi="Arial" w:cs="Arial"/>
          <w:color w:val="000000" w:themeColor="text1"/>
          <w:sz w:val="19"/>
          <w:szCs w:val="19"/>
        </w:rPr>
        <w:footnoteRef/>
      </w:r>
      <w:r w:rsidRPr="00996366">
        <w:rPr>
          <w:rFonts w:ascii="Arial" w:hAnsi="Arial" w:cs="Arial"/>
          <w:color w:val="000000" w:themeColor="text1"/>
          <w:sz w:val="19"/>
          <w:szCs w:val="19"/>
        </w:rPr>
        <w:t xml:space="preserve"> Ley 78 de 1931: “Artículo 1°: Entiéndese por tesoro público el dinero que, a cualquier título, ingrese a las oficinas públicas, sean nacionales, departamentales o municipales.</w:t>
      </w:r>
    </w:p>
    <w:p w14:paraId="3AA37801" w14:textId="77777777" w:rsidR="002650A2" w:rsidRPr="00996366" w:rsidRDefault="002650A2" w:rsidP="007D648E">
      <w:pPr>
        <w:pStyle w:val="Textoindependiente"/>
        <w:ind w:left="300"/>
        <w:jc w:val="both"/>
        <w:rPr>
          <w:color w:val="000000" w:themeColor="text1"/>
          <w:sz w:val="19"/>
          <w:szCs w:val="19"/>
        </w:rPr>
      </w:pPr>
    </w:p>
    <w:p w14:paraId="2C3F8EC3" w14:textId="77777777" w:rsidR="002650A2" w:rsidRPr="00996366" w:rsidRDefault="002650A2" w:rsidP="007D648E">
      <w:pPr>
        <w:ind w:left="300" w:right="474"/>
        <w:jc w:val="both"/>
        <w:rPr>
          <w:rFonts w:ascii="Arial" w:hAnsi="Arial" w:cs="Arial"/>
          <w:color w:val="000000" w:themeColor="text1"/>
          <w:sz w:val="19"/>
          <w:szCs w:val="19"/>
        </w:rPr>
      </w:pPr>
      <w:r w:rsidRPr="00996366">
        <w:rPr>
          <w:rFonts w:ascii="Arial" w:hAnsi="Arial" w:cs="Arial"/>
          <w:color w:val="000000" w:themeColor="text1"/>
          <w:sz w:val="19"/>
          <w:szCs w:val="19"/>
        </w:rPr>
        <w:t>“En consecuencia, la prohibición de que trata el artículo 64 de la Constitución comprende a los individuos que devengan simultáneamente sueldos de la nación, del departamento o del municipio”.</w:t>
      </w:r>
    </w:p>
    <w:p w14:paraId="1D54A4DC" w14:textId="77777777" w:rsidR="002650A2" w:rsidRPr="00996366" w:rsidRDefault="002650A2" w:rsidP="007D648E">
      <w:pPr>
        <w:pStyle w:val="Textonotapie"/>
        <w:ind w:left="300"/>
        <w:jc w:val="both"/>
        <w:rPr>
          <w:rFonts w:ascii="Arial" w:hAnsi="Arial" w:cs="Arial"/>
          <w:color w:val="000000" w:themeColor="text1"/>
          <w:sz w:val="19"/>
          <w:szCs w:val="19"/>
          <w:lang w:val="es-CO"/>
        </w:rPr>
      </w:pPr>
    </w:p>
  </w:footnote>
  <w:footnote w:id="27">
    <w:p w14:paraId="5345537A" w14:textId="04A273A3" w:rsidR="002650A2" w:rsidRPr="00996366" w:rsidRDefault="002650A2" w:rsidP="00996366">
      <w:pPr>
        <w:ind w:firstLine="708"/>
        <w:jc w:val="both"/>
        <w:rPr>
          <w:rStyle w:val="Refdenotaalpie"/>
          <w:rFonts w:ascii="Arial" w:hAnsi="Arial" w:cs="Arial"/>
          <w:sz w:val="19"/>
          <w:szCs w:val="19"/>
          <w:vertAlign w:val="baseline"/>
        </w:rPr>
      </w:pPr>
      <w:r w:rsidRPr="00996366">
        <w:rPr>
          <w:rStyle w:val="Refdenotaalpie"/>
          <w:rFonts w:ascii="Arial" w:hAnsi="Arial" w:cs="Arial"/>
          <w:color w:val="000000" w:themeColor="text1"/>
          <w:sz w:val="19"/>
          <w:szCs w:val="19"/>
        </w:rPr>
        <w:footnoteRef/>
      </w:r>
      <w:r w:rsidRPr="00996366">
        <w:rPr>
          <w:rStyle w:val="Refdenotaalpie"/>
          <w:rFonts w:ascii="Arial" w:hAnsi="Arial" w:cs="Arial"/>
          <w:sz w:val="19"/>
          <w:szCs w:val="19"/>
          <w:vertAlign w:val="baseline"/>
        </w:rPr>
        <w:t xml:space="preserve"> Acto legislativo No. 1 de 1936: </w:t>
      </w:r>
      <w:r w:rsidR="009F7627" w:rsidRPr="00996366">
        <w:rPr>
          <w:rStyle w:val="Refdenotaalpie"/>
          <w:vertAlign w:val="baseline"/>
        </w:rPr>
        <w:t>«</w:t>
      </w:r>
      <w:r w:rsidRPr="00996366">
        <w:rPr>
          <w:rStyle w:val="Refdenotaalpie"/>
          <w:rFonts w:ascii="Arial" w:hAnsi="Arial" w:cs="Arial"/>
          <w:sz w:val="19"/>
          <w:szCs w:val="19"/>
          <w:vertAlign w:val="baseline"/>
        </w:rPr>
        <w:t>Artículo 23: Nadie podrá recibir más de una asignación que provenga del Tesoro Público o de empresas o instituciones en que tenga parte principal el Estado, salvo lo que para casos especiales determinen las leyes. Entiéndese por Tesoro Público el de la Nación, los Departamentos y los Municipios</w:t>
      </w:r>
      <w:r w:rsidR="009F7627" w:rsidRPr="00996366">
        <w:rPr>
          <w:rStyle w:val="Refdenotaalpie"/>
          <w:vertAlign w:val="baseline"/>
        </w:rPr>
        <w:t>»</w:t>
      </w:r>
      <w:r w:rsidRPr="00996366">
        <w:rPr>
          <w:rStyle w:val="Refdenotaalpie"/>
          <w:rFonts w:ascii="Arial" w:hAnsi="Arial" w:cs="Arial"/>
          <w:sz w:val="19"/>
          <w:szCs w:val="19"/>
          <w:vertAlign w:val="baseline"/>
        </w:rPr>
        <w:t>.</w:t>
      </w:r>
    </w:p>
    <w:p w14:paraId="25A05B12" w14:textId="77777777" w:rsidR="002650A2" w:rsidRPr="00996366" w:rsidRDefault="002650A2" w:rsidP="007D648E">
      <w:pPr>
        <w:pStyle w:val="Textonotapie"/>
        <w:ind w:left="300"/>
        <w:jc w:val="both"/>
        <w:rPr>
          <w:rFonts w:ascii="Arial" w:hAnsi="Arial" w:cs="Arial"/>
          <w:color w:val="000000" w:themeColor="text1"/>
          <w:sz w:val="19"/>
          <w:szCs w:val="19"/>
          <w:lang w:val="es-CO"/>
        </w:rPr>
      </w:pPr>
    </w:p>
  </w:footnote>
  <w:footnote w:id="28">
    <w:p w14:paraId="75424B3C" w14:textId="66C29D32" w:rsidR="007D648E" w:rsidRDefault="002650A2" w:rsidP="00996366">
      <w:pPr>
        <w:ind w:firstLine="708"/>
        <w:jc w:val="both"/>
        <w:rPr>
          <w:rFonts w:ascii="Arial" w:hAnsi="Arial" w:cs="Arial"/>
          <w:color w:val="000000" w:themeColor="text1"/>
          <w:sz w:val="19"/>
          <w:szCs w:val="19"/>
        </w:rPr>
      </w:pPr>
      <w:r w:rsidRPr="00996366">
        <w:rPr>
          <w:rStyle w:val="Refdenotaalpie"/>
          <w:rFonts w:ascii="Arial" w:hAnsi="Arial" w:cs="Arial"/>
          <w:color w:val="000000" w:themeColor="text1"/>
          <w:sz w:val="19"/>
          <w:szCs w:val="19"/>
        </w:rPr>
        <w:footnoteRef/>
      </w:r>
      <w:r w:rsidRPr="00996366">
        <w:rPr>
          <w:rFonts w:ascii="Arial" w:hAnsi="Arial" w:cs="Arial"/>
          <w:color w:val="000000" w:themeColor="text1"/>
          <w:sz w:val="19"/>
          <w:szCs w:val="19"/>
        </w:rPr>
        <w:t xml:space="preserve"> </w:t>
      </w:r>
      <w:r w:rsidR="0074401A" w:rsidRPr="00996366">
        <w:rPr>
          <w:rFonts w:ascii="Arial" w:hAnsi="Arial" w:cs="Arial"/>
          <w:color w:val="000000" w:themeColor="text1"/>
          <w:sz w:val="19"/>
          <w:szCs w:val="19"/>
        </w:rPr>
        <w:t>«Artículo 19. Nadie podrá desempeñar simultáneamente más de un empleo público, ni recibir más de una asignación que provenga del Tesoro Público, o de empresas o de instituciones en las que tenga parte mayoritaria el Estado. Exceptúense las siguientes</w:t>
      </w:r>
      <w:r w:rsidR="0074401A" w:rsidRPr="00996366">
        <w:rPr>
          <w:rFonts w:ascii="Arial" w:hAnsi="Arial" w:cs="Arial"/>
          <w:color w:val="000000" w:themeColor="text1"/>
          <w:spacing w:val="-2"/>
          <w:sz w:val="19"/>
          <w:szCs w:val="19"/>
        </w:rPr>
        <w:t xml:space="preserve"> </w:t>
      </w:r>
      <w:r w:rsidR="0074401A" w:rsidRPr="00996366">
        <w:rPr>
          <w:rFonts w:ascii="Arial" w:hAnsi="Arial" w:cs="Arial"/>
          <w:color w:val="000000" w:themeColor="text1"/>
          <w:sz w:val="19"/>
          <w:szCs w:val="19"/>
        </w:rPr>
        <w:t>asignaciones:</w:t>
      </w:r>
      <w:r w:rsidR="007D648E">
        <w:rPr>
          <w:rFonts w:ascii="Arial" w:hAnsi="Arial" w:cs="Arial"/>
          <w:color w:val="000000" w:themeColor="text1"/>
          <w:sz w:val="19"/>
          <w:szCs w:val="19"/>
        </w:rPr>
        <w:t xml:space="preserve"> </w:t>
      </w:r>
      <w:r w:rsidR="0074401A" w:rsidRPr="00996366">
        <w:rPr>
          <w:rFonts w:ascii="Arial" w:hAnsi="Arial" w:cs="Arial"/>
          <w:color w:val="000000" w:themeColor="text1"/>
          <w:sz w:val="19"/>
          <w:szCs w:val="19"/>
        </w:rPr>
        <w:t>a) Las que reciban los profesores universitarios que se desempeñen como asesores de la Rama</w:t>
      </w:r>
      <w:r w:rsidR="0074401A" w:rsidRPr="00996366">
        <w:rPr>
          <w:rFonts w:ascii="Arial" w:hAnsi="Arial" w:cs="Arial"/>
          <w:color w:val="000000" w:themeColor="text1"/>
          <w:spacing w:val="-5"/>
          <w:sz w:val="19"/>
          <w:szCs w:val="19"/>
        </w:rPr>
        <w:t xml:space="preserve"> </w:t>
      </w:r>
      <w:r w:rsidR="0074401A" w:rsidRPr="00996366">
        <w:rPr>
          <w:rFonts w:ascii="Arial" w:hAnsi="Arial" w:cs="Arial"/>
          <w:color w:val="000000" w:themeColor="text1"/>
          <w:sz w:val="19"/>
          <w:szCs w:val="19"/>
        </w:rPr>
        <w:t>Legislativa;</w:t>
      </w:r>
      <w:r w:rsidR="007D648E">
        <w:rPr>
          <w:rFonts w:ascii="Arial" w:hAnsi="Arial" w:cs="Arial"/>
          <w:color w:val="000000" w:themeColor="text1"/>
          <w:sz w:val="19"/>
          <w:szCs w:val="19"/>
        </w:rPr>
        <w:t xml:space="preserve"> </w:t>
      </w:r>
      <w:r w:rsidR="0074401A" w:rsidRPr="00996366">
        <w:rPr>
          <w:rFonts w:ascii="Arial" w:hAnsi="Arial" w:cs="Arial"/>
          <w:color w:val="000000" w:themeColor="text1"/>
          <w:sz w:val="19"/>
          <w:szCs w:val="19"/>
        </w:rPr>
        <w:t>b)Las percibidas por el personal con asignación de retiro o pensión militar o policial de la Fuerza</w:t>
      </w:r>
      <w:r w:rsidR="0074401A" w:rsidRPr="00996366">
        <w:rPr>
          <w:rFonts w:ascii="Arial" w:hAnsi="Arial" w:cs="Arial"/>
          <w:color w:val="000000" w:themeColor="text1"/>
          <w:spacing w:val="-5"/>
          <w:sz w:val="19"/>
          <w:szCs w:val="19"/>
        </w:rPr>
        <w:t xml:space="preserve"> </w:t>
      </w:r>
      <w:r w:rsidR="0074401A" w:rsidRPr="00996366">
        <w:rPr>
          <w:rFonts w:ascii="Arial" w:hAnsi="Arial" w:cs="Arial"/>
          <w:color w:val="000000" w:themeColor="text1"/>
          <w:sz w:val="19"/>
          <w:szCs w:val="19"/>
        </w:rPr>
        <w:t>Pública;</w:t>
      </w:r>
      <w:r w:rsidR="007D648E">
        <w:rPr>
          <w:rFonts w:ascii="Arial" w:hAnsi="Arial" w:cs="Arial"/>
          <w:color w:val="000000" w:themeColor="text1"/>
          <w:sz w:val="19"/>
          <w:szCs w:val="19"/>
        </w:rPr>
        <w:t xml:space="preserve"> </w:t>
      </w:r>
      <w:r w:rsidR="007101DE" w:rsidRPr="00996366">
        <w:rPr>
          <w:rFonts w:ascii="Arial" w:hAnsi="Arial" w:cs="Arial"/>
          <w:color w:val="000000" w:themeColor="text1"/>
          <w:sz w:val="19"/>
          <w:szCs w:val="19"/>
        </w:rPr>
        <w:t xml:space="preserve">c) </w:t>
      </w:r>
      <w:r w:rsidR="0074401A" w:rsidRPr="00996366">
        <w:rPr>
          <w:rFonts w:ascii="Arial" w:hAnsi="Arial" w:cs="Arial"/>
          <w:color w:val="000000" w:themeColor="text1"/>
          <w:sz w:val="19"/>
          <w:szCs w:val="19"/>
        </w:rPr>
        <w:t>Las percibidas por concepto de sustitución</w:t>
      </w:r>
      <w:r w:rsidR="0074401A" w:rsidRPr="00996366">
        <w:rPr>
          <w:rFonts w:ascii="Arial" w:hAnsi="Arial" w:cs="Arial"/>
          <w:color w:val="000000" w:themeColor="text1"/>
          <w:spacing w:val="-8"/>
          <w:sz w:val="19"/>
          <w:szCs w:val="19"/>
        </w:rPr>
        <w:t xml:space="preserve"> </w:t>
      </w:r>
      <w:r w:rsidR="0074401A" w:rsidRPr="00996366">
        <w:rPr>
          <w:rFonts w:ascii="Arial" w:hAnsi="Arial" w:cs="Arial"/>
          <w:color w:val="000000" w:themeColor="text1"/>
          <w:sz w:val="19"/>
          <w:szCs w:val="19"/>
        </w:rPr>
        <w:t>pensional;</w:t>
      </w:r>
      <w:r w:rsidR="007D648E">
        <w:rPr>
          <w:rFonts w:ascii="Arial" w:hAnsi="Arial" w:cs="Arial"/>
          <w:color w:val="000000" w:themeColor="text1"/>
          <w:sz w:val="19"/>
          <w:szCs w:val="19"/>
        </w:rPr>
        <w:t xml:space="preserve"> </w:t>
      </w:r>
      <w:r w:rsidR="007101DE" w:rsidRPr="00996366">
        <w:rPr>
          <w:rFonts w:ascii="Arial" w:hAnsi="Arial" w:cs="Arial"/>
          <w:color w:val="000000" w:themeColor="text1"/>
          <w:sz w:val="19"/>
          <w:szCs w:val="19"/>
        </w:rPr>
        <w:t xml:space="preserve">d) </w:t>
      </w:r>
      <w:r w:rsidR="0074401A" w:rsidRPr="00996366">
        <w:rPr>
          <w:rFonts w:ascii="Arial" w:hAnsi="Arial" w:cs="Arial"/>
          <w:color w:val="000000" w:themeColor="text1"/>
          <w:sz w:val="19"/>
          <w:szCs w:val="19"/>
        </w:rPr>
        <w:t>Los honorarios percibidos por concepto de</w:t>
      </w:r>
      <w:r w:rsidR="0074401A" w:rsidRPr="00996366">
        <w:rPr>
          <w:rFonts w:ascii="Arial" w:hAnsi="Arial" w:cs="Arial"/>
          <w:color w:val="000000" w:themeColor="text1"/>
          <w:spacing w:val="-8"/>
          <w:sz w:val="19"/>
          <w:szCs w:val="19"/>
        </w:rPr>
        <w:t xml:space="preserve"> </w:t>
      </w:r>
      <w:r w:rsidR="0074401A" w:rsidRPr="00996366">
        <w:rPr>
          <w:rFonts w:ascii="Arial" w:hAnsi="Arial" w:cs="Arial"/>
          <w:color w:val="000000" w:themeColor="text1"/>
          <w:sz w:val="19"/>
          <w:szCs w:val="19"/>
        </w:rPr>
        <w:t>hora-cátedra;</w:t>
      </w:r>
      <w:r w:rsidR="007D648E">
        <w:rPr>
          <w:rFonts w:ascii="Arial" w:hAnsi="Arial" w:cs="Arial"/>
          <w:color w:val="000000" w:themeColor="text1"/>
          <w:sz w:val="19"/>
          <w:szCs w:val="19"/>
        </w:rPr>
        <w:t xml:space="preserve"> </w:t>
      </w:r>
      <w:r w:rsidR="007101DE" w:rsidRPr="00996366">
        <w:rPr>
          <w:rFonts w:ascii="Arial" w:hAnsi="Arial" w:cs="Arial"/>
          <w:color w:val="000000" w:themeColor="text1"/>
          <w:sz w:val="19"/>
          <w:szCs w:val="19"/>
        </w:rPr>
        <w:t>e)</w:t>
      </w:r>
      <w:r w:rsidR="0074401A" w:rsidRPr="00996366">
        <w:rPr>
          <w:rFonts w:ascii="Arial" w:hAnsi="Arial" w:cs="Arial"/>
          <w:color w:val="000000" w:themeColor="text1"/>
          <w:sz w:val="19"/>
          <w:szCs w:val="19"/>
        </w:rPr>
        <w:t>Los honorarios percibidos por concepto de servicios profesionales de</w:t>
      </w:r>
      <w:r w:rsidR="0074401A" w:rsidRPr="00996366">
        <w:rPr>
          <w:rFonts w:ascii="Arial" w:hAnsi="Arial" w:cs="Arial"/>
          <w:color w:val="000000" w:themeColor="text1"/>
          <w:spacing w:val="-18"/>
          <w:sz w:val="19"/>
          <w:szCs w:val="19"/>
        </w:rPr>
        <w:t xml:space="preserve"> </w:t>
      </w:r>
      <w:r w:rsidR="0074401A" w:rsidRPr="00996366">
        <w:rPr>
          <w:rFonts w:ascii="Arial" w:hAnsi="Arial" w:cs="Arial"/>
          <w:color w:val="000000" w:themeColor="text1"/>
          <w:sz w:val="19"/>
          <w:szCs w:val="19"/>
        </w:rPr>
        <w:t>salud;</w:t>
      </w:r>
      <w:r w:rsidR="007D648E">
        <w:rPr>
          <w:rFonts w:ascii="Arial" w:hAnsi="Arial" w:cs="Arial"/>
          <w:color w:val="000000" w:themeColor="text1"/>
          <w:sz w:val="19"/>
          <w:szCs w:val="19"/>
        </w:rPr>
        <w:t xml:space="preserve"> </w:t>
      </w:r>
      <w:r w:rsidR="00307D38" w:rsidRPr="00996366">
        <w:rPr>
          <w:rFonts w:ascii="Arial" w:hAnsi="Arial" w:cs="Arial"/>
          <w:color w:val="000000" w:themeColor="text1"/>
          <w:sz w:val="19"/>
          <w:szCs w:val="19"/>
        </w:rPr>
        <w:t>f)</w:t>
      </w:r>
      <w:r w:rsidR="0074401A" w:rsidRPr="00996366">
        <w:rPr>
          <w:rFonts w:ascii="Arial" w:hAnsi="Arial" w:cs="Arial"/>
          <w:color w:val="000000" w:themeColor="text1"/>
          <w:sz w:val="19"/>
          <w:szCs w:val="19"/>
        </w:rPr>
        <w:t>Los honorarios percibidos por los miembros de las Juntas Directivas, en razón de su asistencia a las mismas, siempre que no se trate de más de dos</w:t>
      </w:r>
      <w:r w:rsidR="0074401A" w:rsidRPr="00996366">
        <w:rPr>
          <w:rFonts w:ascii="Arial" w:hAnsi="Arial" w:cs="Arial"/>
          <w:color w:val="000000" w:themeColor="text1"/>
          <w:spacing w:val="-21"/>
          <w:sz w:val="19"/>
          <w:szCs w:val="19"/>
        </w:rPr>
        <w:t xml:space="preserve"> </w:t>
      </w:r>
      <w:r w:rsidR="0074401A" w:rsidRPr="00996366">
        <w:rPr>
          <w:rFonts w:ascii="Arial" w:hAnsi="Arial" w:cs="Arial"/>
          <w:color w:val="000000" w:themeColor="text1"/>
          <w:sz w:val="19"/>
          <w:szCs w:val="19"/>
        </w:rPr>
        <w:t>juntas;</w:t>
      </w:r>
      <w:r w:rsidR="007D648E">
        <w:rPr>
          <w:rFonts w:ascii="Arial" w:hAnsi="Arial" w:cs="Arial"/>
          <w:color w:val="000000" w:themeColor="text1"/>
          <w:sz w:val="19"/>
          <w:szCs w:val="19"/>
        </w:rPr>
        <w:t xml:space="preserve"> </w:t>
      </w:r>
      <w:r w:rsidR="00307D38" w:rsidRPr="00996366">
        <w:rPr>
          <w:rFonts w:ascii="Arial" w:hAnsi="Arial" w:cs="Arial"/>
          <w:color w:val="000000" w:themeColor="text1"/>
          <w:sz w:val="19"/>
          <w:szCs w:val="19"/>
        </w:rPr>
        <w:t xml:space="preserve">g) </w:t>
      </w:r>
      <w:r w:rsidR="0074401A" w:rsidRPr="00996366">
        <w:rPr>
          <w:rFonts w:ascii="Arial" w:hAnsi="Arial" w:cs="Arial"/>
          <w:color w:val="000000" w:themeColor="text1"/>
          <w:sz w:val="19"/>
          <w:szCs w:val="19"/>
        </w:rPr>
        <w:t>Las que a la fecha de entrar en vigencia la presente Ley beneficien a los servidores oficiales docentes</w:t>
      </w:r>
      <w:r w:rsidR="0074401A" w:rsidRPr="00996366">
        <w:rPr>
          <w:rFonts w:ascii="Arial" w:hAnsi="Arial" w:cs="Arial"/>
          <w:color w:val="000000" w:themeColor="text1"/>
          <w:spacing w:val="-4"/>
          <w:sz w:val="19"/>
          <w:szCs w:val="19"/>
        </w:rPr>
        <w:t xml:space="preserve"> </w:t>
      </w:r>
      <w:r w:rsidR="0074401A" w:rsidRPr="00996366">
        <w:rPr>
          <w:rFonts w:ascii="Arial" w:hAnsi="Arial" w:cs="Arial"/>
          <w:color w:val="000000" w:themeColor="text1"/>
          <w:sz w:val="19"/>
          <w:szCs w:val="19"/>
        </w:rPr>
        <w:t>pensionados.</w:t>
      </w:r>
    </w:p>
    <w:p w14:paraId="6166F626" w14:textId="7D0BF58C" w:rsidR="00E6723D" w:rsidRPr="00996366" w:rsidRDefault="00307D38" w:rsidP="00996366">
      <w:pPr>
        <w:pStyle w:val="Prrafodelista"/>
        <w:widowControl w:val="0"/>
        <w:tabs>
          <w:tab w:val="left" w:pos="1308"/>
        </w:tabs>
        <w:autoSpaceDE w:val="0"/>
        <w:autoSpaceDN w:val="0"/>
        <w:ind w:left="0" w:firstLine="709"/>
        <w:contextualSpacing w:val="0"/>
        <w:jc w:val="both"/>
        <w:rPr>
          <w:rFonts w:ascii="Arial" w:hAnsi="Arial" w:cs="Arial"/>
          <w:color w:val="000000" w:themeColor="text1"/>
          <w:sz w:val="19"/>
          <w:szCs w:val="19"/>
        </w:rPr>
      </w:pPr>
      <w:r w:rsidRPr="00996366">
        <w:rPr>
          <w:rFonts w:ascii="Arial" w:hAnsi="Arial" w:cs="Arial"/>
          <w:color w:val="000000" w:themeColor="text1"/>
          <w:sz w:val="19"/>
          <w:szCs w:val="19"/>
        </w:rPr>
        <w:t>»</w:t>
      </w:r>
      <w:r w:rsidR="0074401A" w:rsidRPr="00996366">
        <w:rPr>
          <w:rFonts w:ascii="Arial" w:hAnsi="Arial" w:cs="Arial"/>
          <w:color w:val="000000" w:themeColor="text1"/>
          <w:sz w:val="19"/>
          <w:szCs w:val="19"/>
        </w:rPr>
        <w:t>Parágrafo. No se podrán recibir honorarios que sumados correspondan a más de ocho (8) horas diarias de trabajo a varias entidades».</w:t>
      </w:r>
    </w:p>
  </w:footnote>
  <w:footnote w:id="29">
    <w:p w14:paraId="16B90959" w14:textId="1CC4B901" w:rsidR="005B384E" w:rsidRPr="00996366" w:rsidRDefault="005B384E" w:rsidP="00996366">
      <w:pPr>
        <w:pStyle w:val="Textonotapie"/>
        <w:ind w:firstLine="708"/>
        <w:jc w:val="both"/>
        <w:rPr>
          <w:rFonts w:ascii="Arial" w:hAnsi="Arial" w:cs="Arial"/>
          <w:sz w:val="19"/>
          <w:szCs w:val="19"/>
        </w:rPr>
      </w:pPr>
      <w:r w:rsidRPr="00996366">
        <w:rPr>
          <w:rStyle w:val="Refdenotaalpie"/>
          <w:rFonts w:ascii="Arial" w:hAnsi="Arial" w:cs="Arial"/>
          <w:sz w:val="19"/>
          <w:szCs w:val="19"/>
        </w:rPr>
        <w:footnoteRef/>
      </w:r>
      <w:r w:rsidRPr="00996366">
        <w:rPr>
          <w:rFonts w:ascii="Arial" w:hAnsi="Arial" w:cs="Arial"/>
          <w:sz w:val="19"/>
          <w:szCs w:val="19"/>
        </w:rPr>
        <w:t xml:space="preserve"> Consejo de Estado. Sala de Consulta y Servicio Civil. Concepto del 10 de mayo de 2001. Exp. No. </w:t>
      </w:r>
      <w:r w:rsidR="00F7482E" w:rsidRPr="00996366">
        <w:rPr>
          <w:rFonts w:ascii="Arial" w:hAnsi="Arial" w:cs="Arial"/>
          <w:sz w:val="19"/>
          <w:szCs w:val="19"/>
        </w:rPr>
        <w:t>1344. C.P. Flavio Augusto Rodríguez Arce.</w:t>
      </w:r>
    </w:p>
  </w:footnote>
  <w:footnote w:id="30">
    <w:p w14:paraId="49196DA8" w14:textId="77777777" w:rsidR="003104CB" w:rsidRPr="004C4C02" w:rsidRDefault="003104CB" w:rsidP="007D648E">
      <w:pPr>
        <w:pStyle w:val="Textonotapie"/>
        <w:ind w:firstLine="708"/>
        <w:jc w:val="both"/>
        <w:rPr>
          <w:rFonts w:ascii="Arial" w:hAnsi="Arial" w:cs="Arial"/>
          <w:sz w:val="19"/>
          <w:szCs w:val="19"/>
        </w:rPr>
      </w:pPr>
      <w:r w:rsidRPr="004C4C02">
        <w:rPr>
          <w:rStyle w:val="Refdenotaalpie"/>
          <w:rFonts w:ascii="Arial" w:hAnsi="Arial" w:cs="Arial"/>
          <w:sz w:val="19"/>
          <w:szCs w:val="19"/>
        </w:rPr>
        <w:footnoteRef/>
      </w:r>
      <w:r w:rsidRPr="004C4C02">
        <w:rPr>
          <w:rFonts w:ascii="Arial" w:hAnsi="Arial" w:cs="Arial"/>
          <w:sz w:val="19"/>
          <w:szCs w:val="19"/>
        </w:rPr>
        <w:t xml:space="preserve"> Para la jurisprudencia, «La expresión "buena fé" (bona fides) indica que las personas deben celebrar sus negocios, cumplir sus obligaciones y, en general, emplear con los demás una conducta leal. La lealtad en el derecho se desdobla en dos direcciones: primeramente, cada persona tiene el deber de emplear para con los demás una conducta leal, una conducta ajustada a las exigencias del decoro social; en segundo término, cada cual tiene el derecho de esperar de los demás esa misma lealtad. Trátase de una lealtad (o buena fé) activa, si consideramos la manera de obrar para con los demás, y de una lealtad pasiva, si consideramos el derecho que cada cual tiene de confiar en que los demás obren con nosotros decorosamente». Por el contrario, «[…] obra de mala fé quien pretende obtener ventajas o beneficios sin una suficiente dosis de probidad o pulcritud; vale decir, si se pretende obtener algo no autorizado por la buena costumbre. Desde luego, toda persona trata de obtener ventajas en sus transacciones. Pero quien pretende obtener tales ventajas obrando en sentido contrario a la buena costumbre, actúa de mala fé. El hombre de buena fé trata del obtener ventajas, pero éstas se encuentran autorizadas por la buena costumbre» (Cfr. CORTE SUPREMA DE JUSTICIA. Sala de Casación Civil. Sentencia del 23 de junio de 1958. M.P. Arturo Valencia Zea. Publicada en la Gaceta Judicial Nº LXXXVIII. p. 233).</w:t>
      </w:r>
    </w:p>
  </w:footnote>
  <w:footnote w:id="31">
    <w:p w14:paraId="72C3DDA3" w14:textId="77777777" w:rsidR="00DA318B" w:rsidRDefault="00DA318B">
      <w:pPr>
        <w:pStyle w:val="Textonotapie"/>
      </w:pPr>
    </w:p>
    <w:p w14:paraId="20165264" w14:textId="4889C060" w:rsidR="00DA318B" w:rsidRPr="00996366" w:rsidRDefault="00DA318B" w:rsidP="00996366">
      <w:pPr>
        <w:pStyle w:val="Textonotapie"/>
        <w:ind w:firstLine="708"/>
        <w:jc w:val="both"/>
        <w:rPr>
          <w:rFonts w:ascii="Arial" w:hAnsi="Arial" w:cs="Arial"/>
          <w:sz w:val="19"/>
          <w:szCs w:val="19"/>
        </w:rPr>
      </w:pPr>
      <w:r w:rsidRPr="00996366">
        <w:rPr>
          <w:rStyle w:val="Refdenotaalpie"/>
          <w:rFonts w:ascii="Arial" w:hAnsi="Arial" w:cs="Arial"/>
          <w:sz w:val="19"/>
          <w:szCs w:val="19"/>
        </w:rPr>
        <w:footnoteRef/>
      </w:r>
      <w:r w:rsidRPr="00996366">
        <w:rPr>
          <w:rFonts w:ascii="Arial" w:hAnsi="Arial" w:cs="Arial"/>
          <w:sz w:val="19"/>
          <w:szCs w:val="19"/>
        </w:rPr>
        <w:t xml:space="preserve"> Establece el numeral 1 de la Directiva No 01 del 17 de enero de 2022: «[…] 1. Antes de la suscripción de cualquier contrato de prestación de servicios profesionales ,o de apoyo a la gestión, se deberá verificar si el contratista, esto es, la persona natural o jurídica, tiene suscrito con cualquier entidad del Estado algún otro u otros contratos de la misma naturaleza, para lo cual deberá apoyarse en las plataformas tecnológicas del Estado disponibles, tales como, el Sistema Electrónico para la Contratación Pública -SECOP</w:t>
      </w:r>
      <w:r w:rsidRPr="00996366">
        <w:rPr>
          <w:rFonts w:ascii="Arial" w:hAnsi="Arial" w:cs="Arial"/>
          <w:sz w:val="19"/>
          <w:szCs w:val="19"/>
        </w:rPr>
        <w:softHyphen/>
        <w:t xml:space="preserve"> . (https:/Icolombiacompra.gov.co/secop/secop) y el Portal Anticorrupción de Colombia - PACO (https://portal.paco.gov.co/). Lo anterior con la finalidad de verificar la capacidad e idoneidad del contratista para ejecutar múltiples contratos de prestación de servicios profesionales o de apoyo a la gestión».  Consultado el 01 de marzo de 2022 en: </w:t>
      </w:r>
      <w:hyperlink r:id="rId1" w:history="1">
        <w:r w:rsidRPr="00996366">
          <w:rPr>
            <w:rStyle w:val="Hipervnculo"/>
            <w:rFonts w:ascii="Arial" w:hAnsi="Arial" w:cs="Arial"/>
            <w:sz w:val="19"/>
            <w:szCs w:val="19"/>
          </w:rPr>
          <w:t>https://dapre.presidencia.gov.co/normativa/normativa/DIRECTIVA%20PRESIDENCIAL%2001%20DEL%2017%20DE%20ENERO%20DE%202022.pdf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AC93" w14:textId="77777777" w:rsidR="00D81E5B" w:rsidRDefault="000965D3">
    <w:pPr>
      <w:pStyle w:val="Encabezado"/>
    </w:pPr>
    <w:r>
      <w:rPr>
        <w:noProof/>
        <w:lang w:val="es-CO" w:eastAsia="es-CO"/>
      </w:rPr>
      <w:drawing>
        <wp:anchor distT="0" distB="0" distL="114300" distR="114300" simplePos="0" relativeHeight="251659264" behindDoc="1" locked="0" layoutInCell="1" allowOverlap="1" wp14:anchorId="476E6BB2" wp14:editId="72266833">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92630"/>
    <w:multiLevelType w:val="hybridMultilevel"/>
    <w:tmpl w:val="7A7411D8"/>
    <w:lvl w:ilvl="0" w:tplc="0A1C59BA">
      <w:start w:val="1"/>
      <w:numFmt w:val="lowerLetter"/>
      <w:lvlText w:val="%1)"/>
      <w:lvlJc w:val="left"/>
      <w:pPr>
        <w:ind w:left="1008" w:hanging="330"/>
        <w:jc w:val="left"/>
      </w:pPr>
      <w:rPr>
        <w:rFonts w:ascii="Arial" w:eastAsia="Arial" w:hAnsi="Arial" w:cs="Arial" w:hint="default"/>
        <w:color w:val="4E4D4D"/>
        <w:spacing w:val="-3"/>
        <w:w w:val="100"/>
        <w:sz w:val="21"/>
        <w:szCs w:val="21"/>
        <w:lang w:val="es-ES" w:eastAsia="en-US" w:bidi="ar-SA"/>
      </w:rPr>
    </w:lvl>
    <w:lvl w:ilvl="1" w:tplc="C76AB28E">
      <w:numFmt w:val="bullet"/>
      <w:lvlText w:val="•"/>
      <w:lvlJc w:val="left"/>
      <w:pPr>
        <w:ind w:left="1854" w:hanging="330"/>
      </w:pPr>
      <w:rPr>
        <w:rFonts w:hint="default"/>
        <w:lang w:val="es-ES" w:eastAsia="en-US" w:bidi="ar-SA"/>
      </w:rPr>
    </w:lvl>
    <w:lvl w:ilvl="2" w:tplc="9E525040">
      <w:numFmt w:val="bullet"/>
      <w:lvlText w:val="•"/>
      <w:lvlJc w:val="left"/>
      <w:pPr>
        <w:ind w:left="2708" w:hanging="330"/>
      </w:pPr>
      <w:rPr>
        <w:rFonts w:hint="default"/>
        <w:lang w:val="es-ES" w:eastAsia="en-US" w:bidi="ar-SA"/>
      </w:rPr>
    </w:lvl>
    <w:lvl w:ilvl="3" w:tplc="157487EA">
      <w:numFmt w:val="bullet"/>
      <w:lvlText w:val="•"/>
      <w:lvlJc w:val="left"/>
      <w:pPr>
        <w:ind w:left="3562" w:hanging="330"/>
      </w:pPr>
      <w:rPr>
        <w:rFonts w:hint="default"/>
        <w:lang w:val="es-ES" w:eastAsia="en-US" w:bidi="ar-SA"/>
      </w:rPr>
    </w:lvl>
    <w:lvl w:ilvl="4" w:tplc="9C92261A">
      <w:numFmt w:val="bullet"/>
      <w:lvlText w:val="•"/>
      <w:lvlJc w:val="left"/>
      <w:pPr>
        <w:ind w:left="4416" w:hanging="330"/>
      </w:pPr>
      <w:rPr>
        <w:rFonts w:hint="default"/>
        <w:lang w:val="es-ES" w:eastAsia="en-US" w:bidi="ar-SA"/>
      </w:rPr>
    </w:lvl>
    <w:lvl w:ilvl="5" w:tplc="F6FEF14A">
      <w:numFmt w:val="bullet"/>
      <w:lvlText w:val="•"/>
      <w:lvlJc w:val="left"/>
      <w:pPr>
        <w:ind w:left="5270" w:hanging="330"/>
      </w:pPr>
      <w:rPr>
        <w:rFonts w:hint="default"/>
        <w:lang w:val="es-ES" w:eastAsia="en-US" w:bidi="ar-SA"/>
      </w:rPr>
    </w:lvl>
    <w:lvl w:ilvl="6" w:tplc="48D0A250">
      <w:numFmt w:val="bullet"/>
      <w:lvlText w:val="•"/>
      <w:lvlJc w:val="left"/>
      <w:pPr>
        <w:ind w:left="6124" w:hanging="330"/>
      </w:pPr>
      <w:rPr>
        <w:rFonts w:hint="default"/>
        <w:lang w:val="es-ES" w:eastAsia="en-US" w:bidi="ar-SA"/>
      </w:rPr>
    </w:lvl>
    <w:lvl w:ilvl="7" w:tplc="87100EE6">
      <w:numFmt w:val="bullet"/>
      <w:lvlText w:val="•"/>
      <w:lvlJc w:val="left"/>
      <w:pPr>
        <w:ind w:left="6978" w:hanging="330"/>
      </w:pPr>
      <w:rPr>
        <w:rFonts w:hint="default"/>
        <w:lang w:val="es-ES" w:eastAsia="en-US" w:bidi="ar-SA"/>
      </w:rPr>
    </w:lvl>
    <w:lvl w:ilvl="8" w:tplc="D2849722">
      <w:numFmt w:val="bullet"/>
      <w:lvlText w:val="•"/>
      <w:lvlJc w:val="left"/>
      <w:pPr>
        <w:ind w:left="7832" w:hanging="330"/>
      </w:pPr>
      <w:rPr>
        <w:rFonts w:hint="default"/>
        <w:lang w:val="es-ES" w:eastAsia="en-US" w:bidi="ar-SA"/>
      </w:rPr>
    </w:lvl>
  </w:abstractNum>
  <w:abstractNum w:abstractNumId="1" w15:restartNumberingAfterBreak="0">
    <w:nsid w:val="2D1546DC"/>
    <w:multiLevelType w:val="multilevel"/>
    <w:tmpl w:val="AB72A7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491D27D0"/>
    <w:multiLevelType w:val="multilevel"/>
    <w:tmpl w:val="D47AE904"/>
    <w:lvl w:ilvl="0">
      <w:start w:val="1"/>
      <w:numFmt w:val="decimal"/>
      <w:lvlText w:val="%1"/>
      <w:lvlJc w:val="left"/>
      <w:pPr>
        <w:ind w:left="725" w:hanging="425"/>
        <w:jc w:val="left"/>
      </w:pPr>
      <w:rPr>
        <w:rFonts w:hint="default"/>
        <w:lang w:val="es-ES" w:eastAsia="en-US" w:bidi="ar-SA"/>
      </w:rPr>
    </w:lvl>
    <w:lvl w:ilvl="1">
      <w:start w:val="1"/>
      <w:numFmt w:val="decimal"/>
      <w:lvlText w:val="%1.%2."/>
      <w:lvlJc w:val="left"/>
      <w:pPr>
        <w:ind w:left="725" w:hanging="425"/>
        <w:jc w:val="left"/>
      </w:pPr>
      <w:rPr>
        <w:rFonts w:ascii="Arial" w:eastAsia="Arial" w:hAnsi="Arial" w:cs="Arial" w:hint="default"/>
        <w:b/>
        <w:bCs/>
        <w:color w:val="000000" w:themeColor="text1"/>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abstractNum w:abstractNumId="3"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371464841">
    <w:abstractNumId w:val="1"/>
  </w:num>
  <w:num w:numId="2" w16cid:durableId="501631485">
    <w:abstractNumId w:val="3"/>
  </w:num>
  <w:num w:numId="3" w16cid:durableId="110324235">
    <w:abstractNumId w:val="0"/>
  </w:num>
  <w:num w:numId="4" w16cid:durableId="241530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67"/>
    <w:rsid w:val="0000246D"/>
    <w:rsid w:val="000027AC"/>
    <w:rsid w:val="0000290E"/>
    <w:rsid w:val="00013A32"/>
    <w:rsid w:val="00027E00"/>
    <w:rsid w:val="00034765"/>
    <w:rsid w:val="0004470C"/>
    <w:rsid w:val="00047939"/>
    <w:rsid w:val="00051DF9"/>
    <w:rsid w:val="00063E22"/>
    <w:rsid w:val="00064617"/>
    <w:rsid w:val="000770A6"/>
    <w:rsid w:val="000815BD"/>
    <w:rsid w:val="00093ECC"/>
    <w:rsid w:val="000965D3"/>
    <w:rsid w:val="000A1A65"/>
    <w:rsid w:val="000A22E0"/>
    <w:rsid w:val="000A6950"/>
    <w:rsid w:val="000A71F8"/>
    <w:rsid w:val="000B322A"/>
    <w:rsid w:val="000B6B23"/>
    <w:rsid w:val="000B7A2F"/>
    <w:rsid w:val="000C0C5A"/>
    <w:rsid w:val="000C176A"/>
    <w:rsid w:val="000C41FF"/>
    <w:rsid w:val="000D17CE"/>
    <w:rsid w:val="000D31AF"/>
    <w:rsid w:val="000E4BCC"/>
    <w:rsid w:val="000E6606"/>
    <w:rsid w:val="000F16C3"/>
    <w:rsid w:val="000F20D6"/>
    <w:rsid w:val="0010115C"/>
    <w:rsid w:val="001048AE"/>
    <w:rsid w:val="00110547"/>
    <w:rsid w:val="001221E5"/>
    <w:rsid w:val="00122D5C"/>
    <w:rsid w:val="0014294A"/>
    <w:rsid w:val="00145CEA"/>
    <w:rsid w:val="001542F1"/>
    <w:rsid w:val="00155176"/>
    <w:rsid w:val="00155A6A"/>
    <w:rsid w:val="00156332"/>
    <w:rsid w:val="00156426"/>
    <w:rsid w:val="00160EA4"/>
    <w:rsid w:val="0016321F"/>
    <w:rsid w:val="00166895"/>
    <w:rsid w:val="00172E23"/>
    <w:rsid w:val="0017361B"/>
    <w:rsid w:val="0019286E"/>
    <w:rsid w:val="0019347C"/>
    <w:rsid w:val="0019577D"/>
    <w:rsid w:val="00196387"/>
    <w:rsid w:val="001973D3"/>
    <w:rsid w:val="001A1FE0"/>
    <w:rsid w:val="001A7515"/>
    <w:rsid w:val="001B1ED3"/>
    <w:rsid w:val="001B5043"/>
    <w:rsid w:val="001D014E"/>
    <w:rsid w:val="001D169F"/>
    <w:rsid w:val="001D579D"/>
    <w:rsid w:val="001E00A3"/>
    <w:rsid w:val="001E51C7"/>
    <w:rsid w:val="001F0BA1"/>
    <w:rsid w:val="001F1036"/>
    <w:rsid w:val="001F2FE7"/>
    <w:rsid w:val="001F4A87"/>
    <w:rsid w:val="0020666F"/>
    <w:rsid w:val="0022027A"/>
    <w:rsid w:val="002203D9"/>
    <w:rsid w:val="00222FE7"/>
    <w:rsid w:val="0023114E"/>
    <w:rsid w:val="00234C96"/>
    <w:rsid w:val="00236169"/>
    <w:rsid w:val="002370E0"/>
    <w:rsid w:val="002410B7"/>
    <w:rsid w:val="00244285"/>
    <w:rsid w:val="002546FB"/>
    <w:rsid w:val="0025667C"/>
    <w:rsid w:val="002650A2"/>
    <w:rsid w:val="00266469"/>
    <w:rsid w:val="00267994"/>
    <w:rsid w:val="00273DB1"/>
    <w:rsid w:val="00274FF8"/>
    <w:rsid w:val="00276E87"/>
    <w:rsid w:val="00276F1D"/>
    <w:rsid w:val="0027789E"/>
    <w:rsid w:val="00290872"/>
    <w:rsid w:val="00292A75"/>
    <w:rsid w:val="00294A56"/>
    <w:rsid w:val="002A092A"/>
    <w:rsid w:val="002B2085"/>
    <w:rsid w:val="002B5D94"/>
    <w:rsid w:val="002B6EDD"/>
    <w:rsid w:val="002C3DC8"/>
    <w:rsid w:val="002D55E0"/>
    <w:rsid w:val="002D6662"/>
    <w:rsid w:val="002E0539"/>
    <w:rsid w:val="002E4878"/>
    <w:rsid w:val="002F339A"/>
    <w:rsid w:val="002F3B48"/>
    <w:rsid w:val="00305DDD"/>
    <w:rsid w:val="00307D38"/>
    <w:rsid w:val="003104CB"/>
    <w:rsid w:val="00311E48"/>
    <w:rsid w:val="00313EFB"/>
    <w:rsid w:val="003142AF"/>
    <w:rsid w:val="00316157"/>
    <w:rsid w:val="003210B5"/>
    <w:rsid w:val="003258E3"/>
    <w:rsid w:val="00332D6E"/>
    <w:rsid w:val="00333088"/>
    <w:rsid w:val="00334B19"/>
    <w:rsid w:val="00337918"/>
    <w:rsid w:val="00341302"/>
    <w:rsid w:val="0035529C"/>
    <w:rsid w:val="00355937"/>
    <w:rsid w:val="003610F4"/>
    <w:rsid w:val="003702AD"/>
    <w:rsid w:val="0037154B"/>
    <w:rsid w:val="00372146"/>
    <w:rsid w:val="00375947"/>
    <w:rsid w:val="00377837"/>
    <w:rsid w:val="0038422A"/>
    <w:rsid w:val="00385A96"/>
    <w:rsid w:val="00385B3E"/>
    <w:rsid w:val="003870E4"/>
    <w:rsid w:val="00391B62"/>
    <w:rsid w:val="00393B89"/>
    <w:rsid w:val="00395260"/>
    <w:rsid w:val="003953A4"/>
    <w:rsid w:val="003A235D"/>
    <w:rsid w:val="003A279E"/>
    <w:rsid w:val="003A7C69"/>
    <w:rsid w:val="003B42A6"/>
    <w:rsid w:val="003B76F3"/>
    <w:rsid w:val="003C0050"/>
    <w:rsid w:val="003C1B39"/>
    <w:rsid w:val="003C6B38"/>
    <w:rsid w:val="003C7067"/>
    <w:rsid w:val="003D24F8"/>
    <w:rsid w:val="003E023D"/>
    <w:rsid w:val="003E060B"/>
    <w:rsid w:val="003F2CA6"/>
    <w:rsid w:val="00400B3F"/>
    <w:rsid w:val="00427639"/>
    <w:rsid w:val="0043199D"/>
    <w:rsid w:val="0043465F"/>
    <w:rsid w:val="00450F52"/>
    <w:rsid w:val="004514C3"/>
    <w:rsid w:val="00452B6D"/>
    <w:rsid w:val="00452C65"/>
    <w:rsid w:val="004530B5"/>
    <w:rsid w:val="004530DC"/>
    <w:rsid w:val="004541BB"/>
    <w:rsid w:val="00461578"/>
    <w:rsid w:val="004662C1"/>
    <w:rsid w:val="004665D9"/>
    <w:rsid w:val="004708A3"/>
    <w:rsid w:val="00472517"/>
    <w:rsid w:val="004963B0"/>
    <w:rsid w:val="004A0C2B"/>
    <w:rsid w:val="004A2FA1"/>
    <w:rsid w:val="004A6DF7"/>
    <w:rsid w:val="004B2DEB"/>
    <w:rsid w:val="004B3476"/>
    <w:rsid w:val="004B569C"/>
    <w:rsid w:val="004C1C33"/>
    <w:rsid w:val="004C4C02"/>
    <w:rsid w:val="004D4519"/>
    <w:rsid w:val="004D76E8"/>
    <w:rsid w:val="004E3799"/>
    <w:rsid w:val="004E5663"/>
    <w:rsid w:val="004E587A"/>
    <w:rsid w:val="004E76CB"/>
    <w:rsid w:val="004F1086"/>
    <w:rsid w:val="004F654F"/>
    <w:rsid w:val="005058EF"/>
    <w:rsid w:val="0051003B"/>
    <w:rsid w:val="00521AC0"/>
    <w:rsid w:val="005278E3"/>
    <w:rsid w:val="0053012B"/>
    <w:rsid w:val="005313ED"/>
    <w:rsid w:val="00543797"/>
    <w:rsid w:val="00545362"/>
    <w:rsid w:val="005463B4"/>
    <w:rsid w:val="00546A01"/>
    <w:rsid w:val="00546BD3"/>
    <w:rsid w:val="005537BE"/>
    <w:rsid w:val="00554FCF"/>
    <w:rsid w:val="00573E27"/>
    <w:rsid w:val="005752B3"/>
    <w:rsid w:val="00584231"/>
    <w:rsid w:val="005867C9"/>
    <w:rsid w:val="00594698"/>
    <w:rsid w:val="005B384E"/>
    <w:rsid w:val="005B39BF"/>
    <w:rsid w:val="005E57D6"/>
    <w:rsid w:val="00607049"/>
    <w:rsid w:val="00611C84"/>
    <w:rsid w:val="0061555F"/>
    <w:rsid w:val="006169DA"/>
    <w:rsid w:val="00626DC2"/>
    <w:rsid w:val="00645FB0"/>
    <w:rsid w:val="00646C99"/>
    <w:rsid w:val="00652125"/>
    <w:rsid w:val="006534EE"/>
    <w:rsid w:val="00657CB5"/>
    <w:rsid w:val="00660C19"/>
    <w:rsid w:val="006610BD"/>
    <w:rsid w:val="00664E56"/>
    <w:rsid w:val="00676C2D"/>
    <w:rsid w:val="006908AF"/>
    <w:rsid w:val="00696C59"/>
    <w:rsid w:val="0069743E"/>
    <w:rsid w:val="00697780"/>
    <w:rsid w:val="006A2383"/>
    <w:rsid w:val="006B040D"/>
    <w:rsid w:val="006B205F"/>
    <w:rsid w:val="006B5BAD"/>
    <w:rsid w:val="006C25DE"/>
    <w:rsid w:val="006C67CE"/>
    <w:rsid w:val="006C730C"/>
    <w:rsid w:val="006D1233"/>
    <w:rsid w:val="006D1DF5"/>
    <w:rsid w:val="006D42CA"/>
    <w:rsid w:val="006D43D6"/>
    <w:rsid w:val="006D66D3"/>
    <w:rsid w:val="006D7111"/>
    <w:rsid w:val="006E01E2"/>
    <w:rsid w:val="006E280E"/>
    <w:rsid w:val="006E2E59"/>
    <w:rsid w:val="006E3684"/>
    <w:rsid w:val="006F190F"/>
    <w:rsid w:val="006F628A"/>
    <w:rsid w:val="006F6C29"/>
    <w:rsid w:val="007007D0"/>
    <w:rsid w:val="0070319B"/>
    <w:rsid w:val="00703305"/>
    <w:rsid w:val="007101DE"/>
    <w:rsid w:val="0071057D"/>
    <w:rsid w:val="007135B5"/>
    <w:rsid w:val="00714D49"/>
    <w:rsid w:val="0071587F"/>
    <w:rsid w:val="007301A5"/>
    <w:rsid w:val="007374F5"/>
    <w:rsid w:val="0074401A"/>
    <w:rsid w:val="007444BB"/>
    <w:rsid w:val="007477FE"/>
    <w:rsid w:val="007533F2"/>
    <w:rsid w:val="007566AD"/>
    <w:rsid w:val="00763584"/>
    <w:rsid w:val="00766606"/>
    <w:rsid w:val="007704C1"/>
    <w:rsid w:val="00771994"/>
    <w:rsid w:val="00774EA0"/>
    <w:rsid w:val="00780EF8"/>
    <w:rsid w:val="00781A67"/>
    <w:rsid w:val="00784512"/>
    <w:rsid w:val="007A09E8"/>
    <w:rsid w:val="007A13A0"/>
    <w:rsid w:val="007A48A1"/>
    <w:rsid w:val="007A52B4"/>
    <w:rsid w:val="007A5F2D"/>
    <w:rsid w:val="007A6F08"/>
    <w:rsid w:val="007B0517"/>
    <w:rsid w:val="007B4AAC"/>
    <w:rsid w:val="007B4CC3"/>
    <w:rsid w:val="007C14A7"/>
    <w:rsid w:val="007C18F9"/>
    <w:rsid w:val="007D648E"/>
    <w:rsid w:val="007E48AE"/>
    <w:rsid w:val="007F1DEE"/>
    <w:rsid w:val="007F4036"/>
    <w:rsid w:val="007F55F8"/>
    <w:rsid w:val="007F6F80"/>
    <w:rsid w:val="007F737A"/>
    <w:rsid w:val="00812BB2"/>
    <w:rsid w:val="00817CCE"/>
    <w:rsid w:val="00826A17"/>
    <w:rsid w:val="0082778E"/>
    <w:rsid w:val="0083524B"/>
    <w:rsid w:val="008402CD"/>
    <w:rsid w:val="00841BDF"/>
    <w:rsid w:val="008443B3"/>
    <w:rsid w:val="00847A78"/>
    <w:rsid w:val="00854A55"/>
    <w:rsid w:val="00860639"/>
    <w:rsid w:val="00863607"/>
    <w:rsid w:val="008702BA"/>
    <w:rsid w:val="008708B7"/>
    <w:rsid w:val="0087674C"/>
    <w:rsid w:val="00876B78"/>
    <w:rsid w:val="00890D5F"/>
    <w:rsid w:val="00893807"/>
    <w:rsid w:val="008951CE"/>
    <w:rsid w:val="008958AC"/>
    <w:rsid w:val="00896007"/>
    <w:rsid w:val="008A2F7B"/>
    <w:rsid w:val="008A6295"/>
    <w:rsid w:val="008C1D44"/>
    <w:rsid w:val="008C368A"/>
    <w:rsid w:val="008D2933"/>
    <w:rsid w:val="008D35A4"/>
    <w:rsid w:val="008D6FD8"/>
    <w:rsid w:val="008E33F5"/>
    <w:rsid w:val="008E518E"/>
    <w:rsid w:val="008F10C7"/>
    <w:rsid w:val="008F6E0C"/>
    <w:rsid w:val="0090501B"/>
    <w:rsid w:val="0090557C"/>
    <w:rsid w:val="00913406"/>
    <w:rsid w:val="00920086"/>
    <w:rsid w:val="0092073B"/>
    <w:rsid w:val="0092111A"/>
    <w:rsid w:val="009212E1"/>
    <w:rsid w:val="00924576"/>
    <w:rsid w:val="009346BA"/>
    <w:rsid w:val="009418A5"/>
    <w:rsid w:val="0094506A"/>
    <w:rsid w:val="009527E4"/>
    <w:rsid w:val="009540D3"/>
    <w:rsid w:val="00961511"/>
    <w:rsid w:val="00962D13"/>
    <w:rsid w:val="00975452"/>
    <w:rsid w:val="00977BC1"/>
    <w:rsid w:val="00984D8B"/>
    <w:rsid w:val="00987493"/>
    <w:rsid w:val="00987861"/>
    <w:rsid w:val="009916A6"/>
    <w:rsid w:val="0099278D"/>
    <w:rsid w:val="0099407E"/>
    <w:rsid w:val="00994D39"/>
    <w:rsid w:val="00996366"/>
    <w:rsid w:val="0099787B"/>
    <w:rsid w:val="009A246D"/>
    <w:rsid w:val="009B5641"/>
    <w:rsid w:val="009B5F97"/>
    <w:rsid w:val="009B6276"/>
    <w:rsid w:val="009C16B3"/>
    <w:rsid w:val="009C5E1C"/>
    <w:rsid w:val="009C5E76"/>
    <w:rsid w:val="009C7BBC"/>
    <w:rsid w:val="009D66B9"/>
    <w:rsid w:val="009D6BD7"/>
    <w:rsid w:val="009F0A44"/>
    <w:rsid w:val="009F4002"/>
    <w:rsid w:val="009F532D"/>
    <w:rsid w:val="009F5860"/>
    <w:rsid w:val="009F5A81"/>
    <w:rsid w:val="009F7627"/>
    <w:rsid w:val="00A0046D"/>
    <w:rsid w:val="00A009D4"/>
    <w:rsid w:val="00A04819"/>
    <w:rsid w:val="00A1657C"/>
    <w:rsid w:val="00A16F59"/>
    <w:rsid w:val="00A201B3"/>
    <w:rsid w:val="00A21241"/>
    <w:rsid w:val="00A2369A"/>
    <w:rsid w:val="00A23905"/>
    <w:rsid w:val="00A412E5"/>
    <w:rsid w:val="00A55358"/>
    <w:rsid w:val="00A55366"/>
    <w:rsid w:val="00A57E21"/>
    <w:rsid w:val="00A63DA3"/>
    <w:rsid w:val="00A844C4"/>
    <w:rsid w:val="00A86314"/>
    <w:rsid w:val="00A94591"/>
    <w:rsid w:val="00A977C8"/>
    <w:rsid w:val="00AB36B6"/>
    <w:rsid w:val="00AC4FE9"/>
    <w:rsid w:val="00AC5A39"/>
    <w:rsid w:val="00AD027E"/>
    <w:rsid w:val="00AD17DB"/>
    <w:rsid w:val="00AE3552"/>
    <w:rsid w:val="00AF2BAE"/>
    <w:rsid w:val="00B0338C"/>
    <w:rsid w:val="00B036EA"/>
    <w:rsid w:val="00B05ACC"/>
    <w:rsid w:val="00B204B3"/>
    <w:rsid w:val="00B213A1"/>
    <w:rsid w:val="00B24B11"/>
    <w:rsid w:val="00B325AF"/>
    <w:rsid w:val="00B41C7A"/>
    <w:rsid w:val="00B46CB5"/>
    <w:rsid w:val="00B71F0A"/>
    <w:rsid w:val="00B742C2"/>
    <w:rsid w:val="00B74E3B"/>
    <w:rsid w:val="00B82D1D"/>
    <w:rsid w:val="00B93A8D"/>
    <w:rsid w:val="00B97CE2"/>
    <w:rsid w:val="00BA0AE4"/>
    <w:rsid w:val="00BA187E"/>
    <w:rsid w:val="00BA6AA2"/>
    <w:rsid w:val="00BC51F1"/>
    <w:rsid w:val="00BD5A6F"/>
    <w:rsid w:val="00BD5ED5"/>
    <w:rsid w:val="00BD7B31"/>
    <w:rsid w:val="00BE065B"/>
    <w:rsid w:val="00BF4336"/>
    <w:rsid w:val="00C1122A"/>
    <w:rsid w:val="00C12608"/>
    <w:rsid w:val="00C15870"/>
    <w:rsid w:val="00C21998"/>
    <w:rsid w:val="00C24E6D"/>
    <w:rsid w:val="00C30F2F"/>
    <w:rsid w:val="00C43F7C"/>
    <w:rsid w:val="00C45EFF"/>
    <w:rsid w:val="00C46B18"/>
    <w:rsid w:val="00C52F53"/>
    <w:rsid w:val="00C55E13"/>
    <w:rsid w:val="00C667F5"/>
    <w:rsid w:val="00C71F83"/>
    <w:rsid w:val="00C76716"/>
    <w:rsid w:val="00C807B0"/>
    <w:rsid w:val="00C81076"/>
    <w:rsid w:val="00C95355"/>
    <w:rsid w:val="00C967B4"/>
    <w:rsid w:val="00CB0C0E"/>
    <w:rsid w:val="00CC747F"/>
    <w:rsid w:val="00CD1FFB"/>
    <w:rsid w:val="00CD23C7"/>
    <w:rsid w:val="00CF21BD"/>
    <w:rsid w:val="00CF4D94"/>
    <w:rsid w:val="00D06B51"/>
    <w:rsid w:val="00D13E49"/>
    <w:rsid w:val="00D14CB4"/>
    <w:rsid w:val="00D20437"/>
    <w:rsid w:val="00D2190E"/>
    <w:rsid w:val="00D354FA"/>
    <w:rsid w:val="00D371F4"/>
    <w:rsid w:val="00D43237"/>
    <w:rsid w:val="00D4411E"/>
    <w:rsid w:val="00D5574A"/>
    <w:rsid w:val="00D56CA2"/>
    <w:rsid w:val="00D62647"/>
    <w:rsid w:val="00D62C94"/>
    <w:rsid w:val="00D74DB3"/>
    <w:rsid w:val="00D81E5B"/>
    <w:rsid w:val="00D95F6B"/>
    <w:rsid w:val="00D97105"/>
    <w:rsid w:val="00DA07F3"/>
    <w:rsid w:val="00DA13D9"/>
    <w:rsid w:val="00DA318B"/>
    <w:rsid w:val="00DB16A5"/>
    <w:rsid w:val="00DB587E"/>
    <w:rsid w:val="00DC7CC6"/>
    <w:rsid w:val="00DD50DE"/>
    <w:rsid w:val="00DE6D2B"/>
    <w:rsid w:val="00DE7249"/>
    <w:rsid w:val="00DF02C5"/>
    <w:rsid w:val="00DF5BB0"/>
    <w:rsid w:val="00E006F1"/>
    <w:rsid w:val="00E06A3D"/>
    <w:rsid w:val="00E073F4"/>
    <w:rsid w:val="00E1744A"/>
    <w:rsid w:val="00E17DD1"/>
    <w:rsid w:val="00E2370B"/>
    <w:rsid w:val="00E36420"/>
    <w:rsid w:val="00E457BB"/>
    <w:rsid w:val="00E5054B"/>
    <w:rsid w:val="00E55AA2"/>
    <w:rsid w:val="00E56A40"/>
    <w:rsid w:val="00E60868"/>
    <w:rsid w:val="00E63B8B"/>
    <w:rsid w:val="00E667D8"/>
    <w:rsid w:val="00E6723D"/>
    <w:rsid w:val="00E74412"/>
    <w:rsid w:val="00E84094"/>
    <w:rsid w:val="00E93DD3"/>
    <w:rsid w:val="00E94A99"/>
    <w:rsid w:val="00E9754D"/>
    <w:rsid w:val="00EB1DBF"/>
    <w:rsid w:val="00EB2411"/>
    <w:rsid w:val="00EB32BF"/>
    <w:rsid w:val="00EB66C4"/>
    <w:rsid w:val="00EC5476"/>
    <w:rsid w:val="00ED55F2"/>
    <w:rsid w:val="00EE1EA1"/>
    <w:rsid w:val="00EF19AD"/>
    <w:rsid w:val="00F00588"/>
    <w:rsid w:val="00F05314"/>
    <w:rsid w:val="00F06CDD"/>
    <w:rsid w:val="00F128A6"/>
    <w:rsid w:val="00F13E1E"/>
    <w:rsid w:val="00F14E3E"/>
    <w:rsid w:val="00F16C48"/>
    <w:rsid w:val="00F17E55"/>
    <w:rsid w:val="00F2234C"/>
    <w:rsid w:val="00F2691F"/>
    <w:rsid w:val="00F30C0A"/>
    <w:rsid w:val="00F33EBD"/>
    <w:rsid w:val="00F37E69"/>
    <w:rsid w:val="00F37FFA"/>
    <w:rsid w:val="00F40435"/>
    <w:rsid w:val="00F4282D"/>
    <w:rsid w:val="00F44EDE"/>
    <w:rsid w:val="00F4666D"/>
    <w:rsid w:val="00F537D7"/>
    <w:rsid w:val="00F646A8"/>
    <w:rsid w:val="00F71872"/>
    <w:rsid w:val="00F7482E"/>
    <w:rsid w:val="00F90F70"/>
    <w:rsid w:val="00F967CA"/>
    <w:rsid w:val="00FA1DEA"/>
    <w:rsid w:val="00FA4397"/>
    <w:rsid w:val="00FA6BCA"/>
    <w:rsid w:val="00FB2D69"/>
    <w:rsid w:val="00FB4302"/>
    <w:rsid w:val="00FB59B1"/>
    <w:rsid w:val="00FB5F56"/>
    <w:rsid w:val="00FC0382"/>
    <w:rsid w:val="00FC0CA5"/>
    <w:rsid w:val="00FC460F"/>
    <w:rsid w:val="00FC53A0"/>
    <w:rsid w:val="00FC76EE"/>
    <w:rsid w:val="00FD2E94"/>
    <w:rsid w:val="00FD300E"/>
    <w:rsid w:val="00FE1E54"/>
    <w:rsid w:val="00FF2096"/>
    <w:rsid w:val="00FF54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49E1"/>
  <w15:docId w15:val="{354CF7AC-156D-484E-9A1E-F0FA0D7F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11E"/>
    <w:rPr>
      <w:rFonts w:ascii="Times New Roman" w:eastAsia="Times New Roman" w:hAnsi="Times New Roman" w:cs="Times New Roman"/>
      <w:lang w:eastAsia="es-MX"/>
    </w:rPr>
  </w:style>
  <w:style w:type="paragraph" w:styleId="Ttulo1">
    <w:name w:val="heading 1"/>
    <w:basedOn w:val="Normal"/>
    <w:link w:val="Ttulo1Car"/>
    <w:uiPriority w:val="9"/>
    <w:qFormat/>
    <w:rsid w:val="00F128A6"/>
    <w:pPr>
      <w:widowControl w:val="0"/>
      <w:autoSpaceDE w:val="0"/>
      <w:autoSpaceDN w:val="0"/>
      <w:ind w:left="543"/>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7067"/>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3C7067"/>
    <w:rPr>
      <w:szCs w:val="22"/>
      <w:lang w:val="es-MX"/>
    </w:rPr>
  </w:style>
  <w:style w:type="paragraph" w:styleId="Encabezado">
    <w:name w:val="header"/>
    <w:basedOn w:val="Normal"/>
    <w:link w:val="EncabezadoCar"/>
    <w:uiPriority w:val="99"/>
    <w:unhideWhenUsed/>
    <w:rsid w:val="003C7067"/>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3C7067"/>
    <w:rPr>
      <w:szCs w:val="22"/>
      <w:lang w:val="es-MX"/>
    </w:rPr>
  </w:style>
  <w:style w:type="table" w:styleId="Tablaconcuadrcula">
    <w:name w:val="Table Grid"/>
    <w:basedOn w:val="Tablanormal"/>
    <w:uiPriority w:val="39"/>
    <w:qFormat/>
    <w:rsid w:val="003C70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3C7067"/>
    <w:pPr>
      <w:ind w:left="720"/>
      <w:contextualSpacing/>
    </w:pPr>
    <w:rPr>
      <w:rFonts w:asciiTheme="minorHAnsi" w:eastAsiaTheme="minorHAnsi" w:hAnsiTheme="minorHAnsi" w:cstheme="minorBidi"/>
      <w:szCs w:val="22"/>
      <w:lang w:val="es-MX" w:eastAsia="en-US"/>
    </w:rPr>
  </w:style>
  <w:style w:type="paragraph" w:styleId="Sinespaciado">
    <w:name w:val="No Spacing"/>
    <w:aliases w:val="No Indent"/>
    <w:uiPriority w:val="1"/>
    <w:qFormat/>
    <w:rsid w:val="003C7067"/>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3C7067"/>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3C7067"/>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har Char Char Car,Footnote Text Cha Car,Footnote Text Char Char Char Car,FA Fußnotentext Car,FA Fuﬂnotentext Car"/>
    <w:basedOn w:val="Fuentedeprrafopredeter"/>
    <w:qFormat/>
    <w:rsid w:val="003C7067"/>
    <w:rPr>
      <w:rFonts w:ascii="Times New Roman" w:eastAsia="Times New Roman" w:hAnsi="Times New Roman" w:cs="Times New Roman"/>
      <w:sz w:val="20"/>
      <w:szCs w:val="20"/>
      <w:lang w:eastAsia="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3C7067"/>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3C7067"/>
    <w:rPr>
      <w:vertAlign w:val="superscript"/>
    </w:rPr>
  </w:style>
  <w:style w:type="paragraph" w:styleId="Textoindependiente">
    <w:name w:val="Body Text"/>
    <w:basedOn w:val="Normal"/>
    <w:link w:val="TextoindependienteCar"/>
    <w:uiPriority w:val="1"/>
    <w:qFormat/>
    <w:rsid w:val="003C7067"/>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3C7067"/>
    <w:rPr>
      <w:rFonts w:ascii="Arial" w:eastAsia="Arial" w:hAnsi="Arial" w:cs="Arial"/>
      <w:sz w:val="20"/>
      <w:szCs w:val="20"/>
      <w:lang w:val="es-ES"/>
    </w:rPr>
  </w:style>
  <w:style w:type="paragraph" w:customStyle="1" w:styleId="Appelnotedebasde">
    <w:name w:val="Appel note de bas de..."/>
    <w:basedOn w:val="Normal"/>
    <w:link w:val="Refdenotaalpie"/>
    <w:uiPriority w:val="99"/>
    <w:rsid w:val="003C7067"/>
    <w:pPr>
      <w:spacing w:after="160" w:line="240" w:lineRule="exact"/>
    </w:pPr>
    <w:rPr>
      <w:rFonts w:asciiTheme="minorHAnsi" w:eastAsiaTheme="minorHAnsi" w:hAnsiTheme="minorHAnsi" w:cstheme="minorBidi"/>
      <w:vertAlign w:val="superscript"/>
      <w:lang w:eastAsia="en-US"/>
    </w:rPr>
  </w:style>
  <w:style w:type="paragraph" w:styleId="Textocomentario">
    <w:name w:val="annotation text"/>
    <w:basedOn w:val="Normal"/>
    <w:link w:val="TextocomentarioCar"/>
    <w:uiPriority w:val="99"/>
    <w:unhideWhenUsed/>
    <w:rsid w:val="003C7067"/>
    <w:rPr>
      <w:sz w:val="20"/>
      <w:szCs w:val="20"/>
    </w:rPr>
  </w:style>
  <w:style w:type="character" w:customStyle="1" w:styleId="TextocomentarioCar">
    <w:name w:val="Texto comentario Car"/>
    <w:basedOn w:val="Fuentedeprrafopredeter"/>
    <w:link w:val="Textocomentario"/>
    <w:uiPriority w:val="99"/>
    <w:rsid w:val="003C7067"/>
    <w:rPr>
      <w:rFonts w:ascii="Times New Roman" w:eastAsia="Times New Roman" w:hAnsi="Times New Roman" w:cs="Times New Roman"/>
      <w:sz w:val="20"/>
      <w:szCs w:val="20"/>
      <w:lang w:eastAsia="es-MX"/>
    </w:rPr>
  </w:style>
  <w:style w:type="character" w:customStyle="1" w:styleId="normaltextrun">
    <w:name w:val="normaltextrun"/>
    <w:basedOn w:val="Fuentedeprrafopredeter"/>
    <w:rsid w:val="003C7067"/>
  </w:style>
  <w:style w:type="character" w:customStyle="1" w:styleId="eop">
    <w:name w:val="eop"/>
    <w:basedOn w:val="Fuentedeprrafopredeter"/>
    <w:rsid w:val="003C7067"/>
  </w:style>
  <w:style w:type="paragraph" w:customStyle="1" w:styleId="ql-align-justify">
    <w:name w:val="ql-align-justify"/>
    <w:basedOn w:val="Normal"/>
    <w:rsid w:val="003E060B"/>
    <w:pPr>
      <w:spacing w:before="100" w:beforeAutospacing="1" w:after="100" w:afterAutospacing="1"/>
    </w:pPr>
  </w:style>
  <w:style w:type="character" w:customStyle="1" w:styleId="apple-converted-space">
    <w:name w:val="apple-converted-space"/>
    <w:basedOn w:val="Fuentedeprrafopredeter"/>
    <w:rsid w:val="003E060B"/>
  </w:style>
  <w:style w:type="character" w:styleId="Refdecomentario">
    <w:name w:val="annotation reference"/>
    <w:basedOn w:val="Fuentedeprrafopredeter"/>
    <w:uiPriority w:val="99"/>
    <w:semiHidden/>
    <w:unhideWhenUsed/>
    <w:rsid w:val="0016321F"/>
    <w:rPr>
      <w:sz w:val="16"/>
      <w:szCs w:val="16"/>
    </w:rPr>
  </w:style>
  <w:style w:type="paragraph" w:styleId="Asuntodelcomentario">
    <w:name w:val="annotation subject"/>
    <w:basedOn w:val="Textocomentario"/>
    <w:next w:val="Textocomentario"/>
    <w:link w:val="AsuntodelcomentarioCar"/>
    <w:uiPriority w:val="99"/>
    <w:semiHidden/>
    <w:unhideWhenUsed/>
    <w:rsid w:val="0016321F"/>
    <w:rPr>
      <w:b/>
      <w:bCs/>
    </w:rPr>
  </w:style>
  <w:style w:type="character" w:customStyle="1" w:styleId="AsuntodelcomentarioCar">
    <w:name w:val="Asunto del comentario Car"/>
    <w:basedOn w:val="TextocomentarioCar"/>
    <w:link w:val="Asuntodelcomentario"/>
    <w:uiPriority w:val="99"/>
    <w:semiHidden/>
    <w:rsid w:val="0016321F"/>
    <w:rPr>
      <w:rFonts w:ascii="Times New Roman" w:eastAsia="Times New Roman" w:hAnsi="Times New Roman" w:cs="Times New Roman"/>
      <w:b/>
      <w:bCs/>
      <w:sz w:val="20"/>
      <w:szCs w:val="20"/>
      <w:lang w:eastAsia="es-MX"/>
    </w:rPr>
  </w:style>
  <w:style w:type="paragraph" w:styleId="Revisin">
    <w:name w:val="Revision"/>
    <w:hidden/>
    <w:uiPriority w:val="99"/>
    <w:semiHidden/>
    <w:rsid w:val="001B1ED3"/>
    <w:rPr>
      <w:rFonts w:ascii="Times New Roman" w:eastAsia="Times New Roman" w:hAnsi="Times New Roman" w:cs="Times New Roman"/>
      <w:lang w:eastAsia="es-MX"/>
    </w:rPr>
  </w:style>
  <w:style w:type="paragraph" w:customStyle="1" w:styleId="Normal11pt">
    <w:name w:val="Normal + 11 pt"/>
    <w:aliases w:val="Negro,Justificado,Izquierda:  -0,95 cm,Derecha:  0,04 cm"/>
    <w:basedOn w:val="Normal"/>
    <w:uiPriority w:val="99"/>
    <w:rsid w:val="00236169"/>
    <w:pPr>
      <w:ind w:left="-540"/>
      <w:jc w:val="both"/>
    </w:pPr>
    <w:rPr>
      <w:rFonts w:ascii="Arial" w:hAnsi="Arial" w:cs="Arial"/>
      <w:color w:val="000000"/>
      <w:sz w:val="22"/>
      <w:szCs w:val="22"/>
      <w:lang w:val="es-ES_tradnl" w:eastAsia="es-ES"/>
    </w:rPr>
  </w:style>
  <w:style w:type="character" w:styleId="Hipervnculo">
    <w:name w:val="Hyperlink"/>
    <w:basedOn w:val="Fuentedeprrafopredeter"/>
    <w:uiPriority w:val="99"/>
    <w:unhideWhenUsed/>
    <w:rsid w:val="009D6BD7"/>
    <w:rPr>
      <w:color w:val="0000FF"/>
      <w:u w:val="single"/>
    </w:rPr>
  </w:style>
  <w:style w:type="paragraph" w:styleId="NormalWeb">
    <w:name w:val="Normal (Web)"/>
    <w:basedOn w:val="Normal"/>
    <w:link w:val="NormalWebCar"/>
    <w:uiPriority w:val="99"/>
    <w:unhideWhenUsed/>
    <w:rsid w:val="004963B0"/>
    <w:pPr>
      <w:spacing w:before="100" w:beforeAutospacing="1" w:after="100" w:afterAutospacing="1"/>
    </w:pPr>
  </w:style>
  <w:style w:type="character" w:styleId="Textoennegrita">
    <w:name w:val="Strong"/>
    <w:basedOn w:val="Fuentedeprrafopredeter"/>
    <w:uiPriority w:val="22"/>
    <w:qFormat/>
    <w:rsid w:val="004963B0"/>
    <w:rPr>
      <w:b/>
      <w:bCs/>
    </w:rPr>
  </w:style>
  <w:style w:type="character" w:styleId="nfasis">
    <w:name w:val="Emphasis"/>
    <w:basedOn w:val="Fuentedeprrafopredeter"/>
    <w:uiPriority w:val="20"/>
    <w:qFormat/>
    <w:rsid w:val="004963B0"/>
    <w:rPr>
      <w:i/>
      <w:iCs/>
    </w:rPr>
  </w:style>
  <w:style w:type="character" w:styleId="Mencinsinresolver">
    <w:name w:val="Unresolved Mention"/>
    <w:basedOn w:val="Fuentedeprrafopredeter"/>
    <w:uiPriority w:val="99"/>
    <w:semiHidden/>
    <w:unhideWhenUsed/>
    <w:rsid w:val="001F0BA1"/>
    <w:rPr>
      <w:color w:val="605E5C"/>
      <w:shd w:val="clear" w:color="auto" w:fill="E1DFDD"/>
    </w:rPr>
  </w:style>
  <w:style w:type="table" w:customStyle="1" w:styleId="Tablaconcuadrcula2">
    <w:name w:val="Tabla con cuadrícula2"/>
    <w:basedOn w:val="Tablanormal"/>
    <w:next w:val="Tablaconcuadrcula"/>
    <w:uiPriority w:val="39"/>
    <w:rsid w:val="00826A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uiPriority w:val="99"/>
    <w:rsid w:val="00826A17"/>
    <w:rPr>
      <w:rFonts w:ascii="Times New Roman" w:eastAsia="Times New Roman" w:hAnsi="Times New Roman" w:cs="Times New Roman"/>
      <w:lang w:eastAsia="es-MX"/>
    </w:rPr>
  </w:style>
  <w:style w:type="character" w:customStyle="1" w:styleId="Ttulo1Car">
    <w:name w:val="Título 1 Car"/>
    <w:basedOn w:val="Fuentedeprrafopredeter"/>
    <w:link w:val="Ttulo1"/>
    <w:uiPriority w:val="9"/>
    <w:rsid w:val="00F128A6"/>
    <w:rPr>
      <w:rFonts w:ascii="Arial" w:eastAsia="Arial" w:hAnsi="Arial" w:cs="Arial"/>
      <w:b/>
      <w:b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968">
      <w:bodyDiv w:val="1"/>
      <w:marLeft w:val="0"/>
      <w:marRight w:val="0"/>
      <w:marTop w:val="0"/>
      <w:marBottom w:val="0"/>
      <w:divBdr>
        <w:top w:val="none" w:sz="0" w:space="0" w:color="auto"/>
        <w:left w:val="none" w:sz="0" w:space="0" w:color="auto"/>
        <w:bottom w:val="none" w:sz="0" w:space="0" w:color="auto"/>
        <w:right w:val="none" w:sz="0" w:space="0" w:color="auto"/>
      </w:divBdr>
      <w:divsChild>
        <w:div w:id="1018432453">
          <w:marLeft w:val="0"/>
          <w:marRight w:val="0"/>
          <w:marTop w:val="0"/>
          <w:marBottom w:val="0"/>
          <w:divBdr>
            <w:top w:val="none" w:sz="0" w:space="0" w:color="auto"/>
            <w:left w:val="none" w:sz="0" w:space="0" w:color="auto"/>
            <w:bottom w:val="none" w:sz="0" w:space="0" w:color="auto"/>
            <w:right w:val="none" w:sz="0" w:space="0" w:color="auto"/>
          </w:divBdr>
        </w:div>
      </w:divsChild>
    </w:div>
    <w:div w:id="232280027">
      <w:bodyDiv w:val="1"/>
      <w:marLeft w:val="0"/>
      <w:marRight w:val="0"/>
      <w:marTop w:val="0"/>
      <w:marBottom w:val="0"/>
      <w:divBdr>
        <w:top w:val="none" w:sz="0" w:space="0" w:color="auto"/>
        <w:left w:val="none" w:sz="0" w:space="0" w:color="auto"/>
        <w:bottom w:val="none" w:sz="0" w:space="0" w:color="auto"/>
        <w:right w:val="none" w:sz="0" w:space="0" w:color="auto"/>
      </w:divBdr>
      <w:divsChild>
        <w:div w:id="399133508">
          <w:marLeft w:val="0"/>
          <w:marRight w:val="0"/>
          <w:marTop w:val="0"/>
          <w:marBottom w:val="0"/>
          <w:divBdr>
            <w:top w:val="none" w:sz="0" w:space="0" w:color="auto"/>
            <w:left w:val="none" w:sz="0" w:space="0" w:color="auto"/>
            <w:bottom w:val="none" w:sz="0" w:space="0" w:color="auto"/>
            <w:right w:val="none" w:sz="0" w:space="0" w:color="auto"/>
          </w:divBdr>
          <w:divsChild>
            <w:div w:id="110511755">
              <w:marLeft w:val="0"/>
              <w:marRight w:val="0"/>
              <w:marTop w:val="0"/>
              <w:marBottom w:val="0"/>
              <w:divBdr>
                <w:top w:val="none" w:sz="0" w:space="0" w:color="auto"/>
                <w:left w:val="none" w:sz="0" w:space="0" w:color="auto"/>
                <w:bottom w:val="none" w:sz="0" w:space="0" w:color="auto"/>
                <w:right w:val="none" w:sz="0" w:space="0" w:color="auto"/>
              </w:divBdr>
            </w:div>
            <w:div w:id="173619910">
              <w:marLeft w:val="0"/>
              <w:marRight w:val="0"/>
              <w:marTop w:val="0"/>
              <w:marBottom w:val="0"/>
              <w:divBdr>
                <w:top w:val="none" w:sz="0" w:space="0" w:color="auto"/>
                <w:left w:val="none" w:sz="0" w:space="0" w:color="auto"/>
                <w:bottom w:val="none" w:sz="0" w:space="0" w:color="auto"/>
                <w:right w:val="none" w:sz="0" w:space="0" w:color="auto"/>
              </w:divBdr>
            </w:div>
            <w:div w:id="579483539">
              <w:marLeft w:val="0"/>
              <w:marRight w:val="0"/>
              <w:marTop w:val="0"/>
              <w:marBottom w:val="0"/>
              <w:divBdr>
                <w:top w:val="none" w:sz="0" w:space="0" w:color="auto"/>
                <w:left w:val="none" w:sz="0" w:space="0" w:color="auto"/>
                <w:bottom w:val="none" w:sz="0" w:space="0" w:color="auto"/>
                <w:right w:val="none" w:sz="0" w:space="0" w:color="auto"/>
              </w:divBdr>
            </w:div>
            <w:div w:id="792556381">
              <w:marLeft w:val="0"/>
              <w:marRight w:val="0"/>
              <w:marTop w:val="0"/>
              <w:marBottom w:val="0"/>
              <w:divBdr>
                <w:top w:val="none" w:sz="0" w:space="0" w:color="auto"/>
                <w:left w:val="none" w:sz="0" w:space="0" w:color="auto"/>
                <w:bottom w:val="none" w:sz="0" w:space="0" w:color="auto"/>
                <w:right w:val="none" w:sz="0" w:space="0" w:color="auto"/>
              </w:divBdr>
            </w:div>
            <w:div w:id="806319965">
              <w:marLeft w:val="0"/>
              <w:marRight w:val="0"/>
              <w:marTop w:val="0"/>
              <w:marBottom w:val="0"/>
              <w:divBdr>
                <w:top w:val="none" w:sz="0" w:space="0" w:color="auto"/>
                <w:left w:val="none" w:sz="0" w:space="0" w:color="auto"/>
                <w:bottom w:val="none" w:sz="0" w:space="0" w:color="auto"/>
                <w:right w:val="none" w:sz="0" w:space="0" w:color="auto"/>
              </w:divBdr>
            </w:div>
            <w:div w:id="1027372752">
              <w:marLeft w:val="0"/>
              <w:marRight w:val="0"/>
              <w:marTop w:val="0"/>
              <w:marBottom w:val="0"/>
              <w:divBdr>
                <w:top w:val="none" w:sz="0" w:space="0" w:color="auto"/>
                <w:left w:val="none" w:sz="0" w:space="0" w:color="auto"/>
                <w:bottom w:val="none" w:sz="0" w:space="0" w:color="auto"/>
                <w:right w:val="none" w:sz="0" w:space="0" w:color="auto"/>
              </w:divBdr>
            </w:div>
            <w:div w:id="1208839404">
              <w:marLeft w:val="0"/>
              <w:marRight w:val="0"/>
              <w:marTop w:val="0"/>
              <w:marBottom w:val="0"/>
              <w:divBdr>
                <w:top w:val="none" w:sz="0" w:space="0" w:color="auto"/>
                <w:left w:val="none" w:sz="0" w:space="0" w:color="auto"/>
                <w:bottom w:val="none" w:sz="0" w:space="0" w:color="auto"/>
                <w:right w:val="none" w:sz="0" w:space="0" w:color="auto"/>
              </w:divBdr>
            </w:div>
            <w:div w:id="1229070665">
              <w:marLeft w:val="0"/>
              <w:marRight w:val="0"/>
              <w:marTop w:val="0"/>
              <w:marBottom w:val="0"/>
              <w:divBdr>
                <w:top w:val="none" w:sz="0" w:space="0" w:color="auto"/>
                <w:left w:val="none" w:sz="0" w:space="0" w:color="auto"/>
                <w:bottom w:val="none" w:sz="0" w:space="0" w:color="auto"/>
                <w:right w:val="none" w:sz="0" w:space="0" w:color="auto"/>
              </w:divBdr>
            </w:div>
            <w:div w:id="1411733568">
              <w:marLeft w:val="0"/>
              <w:marRight w:val="0"/>
              <w:marTop w:val="0"/>
              <w:marBottom w:val="0"/>
              <w:divBdr>
                <w:top w:val="none" w:sz="0" w:space="0" w:color="auto"/>
                <w:left w:val="none" w:sz="0" w:space="0" w:color="auto"/>
                <w:bottom w:val="none" w:sz="0" w:space="0" w:color="auto"/>
                <w:right w:val="none" w:sz="0" w:space="0" w:color="auto"/>
              </w:divBdr>
            </w:div>
            <w:div w:id="1499230849">
              <w:marLeft w:val="0"/>
              <w:marRight w:val="0"/>
              <w:marTop w:val="0"/>
              <w:marBottom w:val="0"/>
              <w:divBdr>
                <w:top w:val="none" w:sz="0" w:space="0" w:color="auto"/>
                <w:left w:val="none" w:sz="0" w:space="0" w:color="auto"/>
                <w:bottom w:val="none" w:sz="0" w:space="0" w:color="auto"/>
                <w:right w:val="none" w:sz="0" w:space="0" w:color="auto"/>
              </w:divBdr>
            </w:div>
            <w:div w:id="1549955371">
              <w:marLeft w:val="0"/>
              <w:marRight w:val="0"/>
              <w:marTop w:val="0"/>
              <w:marBottom w:val="0"/>
              <w:divBdr>
                <w:top w:val="none" w:sz="0" w:space="0" w:color="auto"/>
                <w:left w:val="none" w:sz="0" w:space="0" w:color="auto"/>
                <w:bottom w:val="none" w:sz="0" w:space="0" w:color="auto"/>
                <w:right w:val="none" w:sz="0" w:space="0" w:color="auto"/>
              </w:divBdr>
            </w:div>
            <w:div w:id="1630018027">
              <w:marLeft w:val="0"/>
              <w:marRight w:val="0"/>
              <w:marTop w:val="0"/>
              <w:marBottom w:val="0"/>
              <w:divBdr>
                <w:top w:val="none" w:sz="0" w:space="0" w:color="auto"/>
                <w:left w:val="none" w:sz="0" w:space="0" w:color="auto"/>
                <w:bottom w:val="none" w:sz="0" w:space="0" w:color="auto"/>
                <w:right w:val="none" w:sz="0" w:space="0" w:color="auto"/>
              </w:divBdr>
            </w:div>
            <w:div w:id="1639648031">
              <w:marLeft w:val="0"/>
              <w:marRight w:val="0"/>
              <w:marTop w:val="0"/>
              <w:marBottom w:val="0"/>
              <w:divBdr>
                <w:top w:val="none" w:sz="0" w:space="0" w:color="auto"/>
                <w:left w:val="none" w:sz="0" w:space="0" w:color="auto"/>
                <w:bottom w:val="none" w:sz="0" w:space="0" w:color="auto"/>
                <w:right w:val="none" w:sz="0" w:space="0" w:color="auto"/>
              </w:divBdr>
            </w:div>
            <w:div w:id="1720202991">
              <w:marLeft w:val="0"/>
              <w:marRight w:val="0"/>
              <w:marTop w:val="0"/>
              <w:marBottom w:val="0"/>
              <w:divBdr>
                <w:top w:val="none" w:sz="0" w:space="0" w:color="auto"/>
                <w:left w:val="none" w:sz="0" w:space="0" w:color="auto"/>
                <w:bottom w:val="none" w:sz="0" w:space="0" w:color="auto"/>
                <w:right w:val="none" w:sz="0" w:space="0" w:color="auto"/>
              </w:divBdr>
            </w:div>
            <w:div w:id="2006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424">
      <w:bodyDiv w:val="1"/>
      <w:marLeft w:val="0"/>
      <w:marRight w:val="0"/>
      <w:marTop w:val="0"/>
      <w:marBottom w:val="0"/>
      <w:divBdr>
        <w:top w:val="none" w:sz="0" w:space="0" w:color="auto"/>
        <w:left w:val="none" w:sz="0" w:space="0" w:color="auto"/>
        <w:bottom w:val="none" w:sz="0" w:space="0" w:color="auto"/>
        <w:right w:val="none" w:sz="0" w:space="0" w:color="auto"/>
      </w:divBdr>
    </w:div>
    <w:div w:id="371344272">
      <w:bodyDiv w:val="1"/>
      <w:marLeft w:val="0"/>
      <w:marRight w:val="0"/>
      <w:marTop w:val="0"/>
      <w:marBottom w:val="0"/>
      <w:divBdr>
        <w:top w:val="none" w:sz="0" w:space="0" w:color="auto"/>
        <w:left w:val="none" w:sz="0" w:space="0" w:color="auto"/>
        <w:bottom w:val="none" w:sz="0" w:space="0" w:color="auto"/>
        <w:right w:val="none" w:sz="0" w:space="0" w:color="auto"/>
      </w:divBdr>
    </w:div>
    <w:div w:id="377316997">
      <w:bodyDiv w:val="1"/>
      <w:marLeft w:val="0"/>
      <w:marRight w:val="0"/>
      <w:marTop w:val="0"/>
      <w:marBottom w:val="0"/>
      <w:divBdr>
        <w:top w:val="none" w:sz="0" w:space="0" w:color="auto"/>
        <w:left w:val="none" w:sz="0" w:space="0" w:color="auto"/>
        <w:bottom w:val="none" w:sz="0" w:space="0" w:color="auto"/>
        <w:right w:val="none" w:sz="0" w:space="0" w:color="auto"/>
      </w:divBdr>
    </w:div>
    <w:div w:id="582421877">
      <w:bodyDiv w:val="1"/>
      <w:marLeft w:val="0"/>
      <w:marRight w:val="0"/>
      <w:marTop w:val="0"/>
      <w:marBottom w:val="0"/>
      <w:divBdr>
        <w:top w:val="none" w:sz="0" w:space="0" w:color="auto"/>
        <w:left w:val="none" w:sz="0" w:space="0" w:color="auto"/>
        <w:bottom w:val="none" w:sz="0" w:space="0" w:color="auto"/>
        <w:right w:val="none" w:sz="0" w:space="0" w:color="auto"/>
      </w:divBdr>
    </w:div>
    <w:div w:id="729768611">
      <w:bodyDiv w:val="1"/>
      <w:marLeft w:val="0"/>
      <w:marRight w:val="0"/>
      <w:marTop w:val="0"/>
      <w:marBottom w:val="0"/>
      <w:divBdr>
        <w:top w:val="none" w:sz="0" w:space="0" w:color="auto"/>
        <w:left w:val="none" w:sz="0" w:space="0" w:color="auto"/>
        <w:bottom w:val="none" w:sz="0" w:space="0" w:color="auto"/>
        <w:right w:val="none" w:sz="0" w:space="0" w:color="auto"/>
      </w:divBdr>
    </w:div>
    <w:div w:id="1403792217">
      <w:bodyDiv w:val="1"/>
      <w:marLeft w:val="0"/>
      <w:marRight w:val="0"/>
      <w:marTop w:val="0"/>
      <w:marBottom w:val="0"/>
      <w:divBdr>
        <w:top w:val="none" w:sz="0" w:space="0" w:color="auto"/>
        <w:left w:val="none" w:sz="0" w:space="0" w:color="auto"/>
        <w:bottom w:val="none" w:sz="0" w:space="0" w:color="auto"/>
        <w:right w:val="none" w:sz="0" w:space="0" w:color="auto"/>
      </w:divBdr>
      <w:divsChild>
        <w:div w:id="1821799566">
          <w:marLeft w:val="0"/>
          <w:marRight w:val="0"/>
          <w:marTop w:val="15"/>
          <w:marBottom w:val="0"/>
          <w:divBdr>
            <w:top w:val="single" w:sz="48" w:space="0" w:color="auto"/>
            <w:left w:val="single" w:sz="48" w:space="0" w:color="auto"/>
            <w:bottom w:val="single" w:sz="48" w:space="0" w:color="auto"/>
            <w:right w:val="single" w:sz="48" w:space="0" w:color="auto"/>
          </w:divBdr>
          <w:divsChild>
            <w:div w:id="161535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5866">
      <w:bodyDiv w:val="1"/>
      <w:marLeft w:val="0"/>
      <w:marRight w:val="0"/>
      <w:marTop w:val="0"/>
      <w:marBottom w:val="0"/>
      <w:divBdr>
        <w:top w:val="none" w:sz="0" w:space="0" w:color="auto"/>
        <w:left w:val="none" w:sz="0" w:space="0" w:color="auto"/>
        <w:bottom w:val="none" w:sz="0" w:space="0" w:color="auto"/>
        <w:right w:val="none" w:sz="0" w:space="0" w:color="auto"/>
      </w:divBdr>
      <w:divsChild>
        <w:div w:id="117649283">
          <w:marLeft w:val="0"/>
          <w:marRight w:val="0"/>
          <w:marTop w:val="0"/>
          <w:marBottom w:val="0"/>
          <w:divBdr>
            <w:top w:val="none" w:sz="0" w:space="0" w:color="auto"/>
            <w:left w:val="none" w:sz="0" w:space="0" w:color="auto"/>
            <w:bottom w:val="none" w:sz="0" w:space="0" w:color="auto"/>
            <w:right w:val="none" w:sz="0" w:space="0" w:color="auto"/>
          </w:divBdr>
        </w:div>
      </w:divsChild>
    </w:div>
    <w:div w:id="1606425548">
      <w:bodyDiv w:val="1"/>
      <w:marLeft w:val="0"/>
      <w:marRight w:val="0"/>
      <w:marTop w:val="0"/>
      <w:marBottom w:val="0"/>
      <w:divBdr>
        <w:top w:val="none" w:sz="0" w:space="0" w:color="auto"/>
        <w:left w:val="none" w:sz="0" w:space="0" w:color="auto"/>
        <w:bottom w:val="none" w:sz="0" w:space="0" w:color="auto"/>
        <w:right w:val="none" w:sz="0" w:space="0" w:color="auto"/>
      </w:divBdr>
    </w:div>
    <w:div w:id="1768768690">
      <w:bodyDiv w:val="1"/>
      <w:marLeft w:val="0"/>
      <w:marRight w:val="0"/>
      <w:marTop w:val="0"/>
      <w:marBottom w:val="0"/>
      <w:divBdr>
        <w:top w:val="none" w:sz="0" w:space="0" w:color="auto"/>
        <w:left w:val="none" w:sz="0" w:space="0" w:color="auto"/>
        <w:bottom w:val="none" w:sz="0" w:space="0" w:color="auto"/>
        <w:right w:val="none" w:sz="0" w:space="0" w:color="auto"/>
      </w:divBdr>
    </w:div>
    <w:div w:id="2050033785">
      <w:bodyDiv w:val="1"/>
      <w:marLeft w:val="0"/>
      <w:marRight w:val="0"/>
      <w:marTop w:val="0"/>
      <w:marBottom w:val="0"/>
      <w:divBdr>
        <w:top w:val="none" w:sz="0" w:space="0" w:color="auto"/>
        <w:left w:val="none" w:sz="0" w:space="0" w:color="auto"/>
        <w:bottom w:val="none" w:sz="0" w:space="0" w:color="auto"/>
        <w:right w:val="none" w:sz="0" w:space="0" w:color="auto"/>
      </w:divBdr>
    </w:div>
    <w:div w:id="2089690658">
      <w:bodyDiv w:val="1"/>
      <w:marLeft w:val="0"/>
      <w:marRight w:val="0"/>
      <w:marTop w:val="0"/>
      <w:marBottom w:val="0"/>
      <w:divBdr>
        <w:top w:val="none" w:sz="0" w:space="0" w:color="auto"/>
        <w:left w:val="none" w:sz="0" w:space="0" w:color="auto"/>
        <w:bottom w:val="none" w:sz="0" w:space="0" w:color="auto"/>
        <w:right w:val="none" w:sz="0" w:space="0" w:color="auto"/>
      </w:divBdr>
      <w:divsChild>
        <w:div w:id="135414708">
          <w:marLeft w:val="0"/>
          <w:marRight w:val="0"/>
          <w:marTop w:val="0"/>
          <w:marBottom w:val="0"/>
          <w:divBdr>
            <w:top w:val="none" w:sz="0" w:space="0" w:color="auto"/>
            <w:left w:val="none" w:sz="0" w:space="0" w:color="auto"/>
            <w:bottom w:val="none" w:sz="0" w:space="0" w:color="auto"/>
            <w:right w:val="none" w:sz="0" w:space="0" w:color="auto"/>
          </w:divBdr>
          <w:divsChild>
            <w:div w:id="196892328">
              <w:marLeft w:val="0"/>
              <w:marRight w:val="0"/>
              <w:marTop w:val="0"/>
              <w:marBottom w:val="0"/>
              <w:divBdr>
                <w:top w:val="none" w:sz="0" w:space="0" w:color="auto"/>
                <w:left w:val="none" w:sz="0" w:space="0" w:color="auto"/>
                <w:bottom w:val="none" w:sz="0" w:space="0" w:color="auto"/>
                <w:right w:val="none" w:sz="0" w:space="0" w:color="auto"/>
              </w:divBdr>
              <w:divsChild>
                <w:div w:id="13381731">
                  <w:marLeft w:val="0"/>
                  <w:marRight w:val="0"/>
                  <w:marTop w:val="0"/>
                  <w:marBottom w:val="0"/>
                  <w:divBdr>
                    <w:top w:val="none" w:sz="0" w:space="0" w:color="auto"/>
                    <w:left w:val="none" w:sz="0" w:space="0" w:color="auto"/>
                    <w:bottom w:val="none" w:sz="0" w:space="0" w:color="auto"/>
                    <w:right w:val="none" w:sz="0" w:space="0" w:color="auto"/>
                  </w:divBdr>
                </w:div>
                <w:div w:id="133526210">
                  <w:marLeft w:val="0"/>
                  <w:marRight w:val="0"/>
                  <w:marTop w:val="0"/>
                  <w:marBottom w:val="0"/>
                  <w:divBdr>
                    <w:top w:val="none" w:sz="0" w:space="0" w:color="auto"/>
                    <w:left w:val="none" w:sz="0" w:space="0" w:color="auto"/>
                    <w:bottom w:val="none" w:sz="0" w:space="0" w:color="auto"/>
                    <w:right w:val="none" w:sz="0" w:space="0" w:color="auto"/>
                  </w:divBdr>
                </w:div>
                <w:div w:id="164825959">
                  <w:marLeft w:val="0"/>
                  <w:marRight w:val="0"/>
                  <w:marTop w:val="0"/>
                  <w:marBottom w:val="0"/>
                  <w:divBdr>
                    <w:top w:val="none" w:sz="0" w:space="0" w:color="auto"/>
                    <w:left w:val="none" w:sz="0" w:space="0" w:color="auto"/>
                    <w:bottom w:val="none" w:sz="0" w:space="0" w:color="auto"/>
                    <w:right w:val="none" w:sz="0" w:space="0" w:color="auto"/>
                  </w:divBdr>
                </w:div>
                <w:div w:id="681275181">
                  <w:marLeft w:val="0"/>
                  <w:marRight w:val="0"/>
                  <w:marTop w:val="0"/>
                  <w:marBottom w:val="0"/>
                  <w:divBdr>
                    <w:top w:val="none" w:sz="0" w:space="0" w:color="auto"/>
                    <w:left w:val="none" w:sz="0" w:space="0" w:color="auto"/>
                    <w:bottom w:val="none" w:sz="0" w:space="0" w:color="auto"/>
                    <w:right w:val="none" w:sz="0" w:space="0" w:color="auto"/>
                  </w:divBdr>
                </w:div>
                <w:div w:id="723455002">
                  <w:marLeft w:val="0"/>
                  <w:marRight w:val="0"/>
                  <w:marTop w:val="0"/>
                  <w:marBottom w:val="0"/>
                  <w:divBdr>
                    <w:top w:val="none" w:sz="0" w:space="0" w:color="auto"/>
                    <w:left w:val="none" w:sz="0" w:space="0" w:color="auto"/>
                    <w:bottom w:val="none" w:sz="0" w:space="0" w:color="auto"/>
                    <w:right w:val="none" w:sz="0" w:space="0" w:color="auto"/>
                  </w:divBdr>
                </w:div>
                <w:div w:id="815923830">
                  <w:marLeft w:val="0"/>
                  <w:marRight w:val="0"/>
                  <w:marTop w:val="0"/>
                  <w:marBottom w:val="0"/>
                  <w:divBdr>
                    <w:top w:val="none" w:sz="0" w:space="0" w:color="auto"/>
                    <w:left w:val="none" w:sz="0" w:space="0" w:color="auto"/>
                    <w:bottom w:val="none" w:sz="0" w:space="0" w:color="auto"/>
                    <w:right w:val="none" w:sz="0" w:space="0" w:color="auto"/>
                  </w:divBdr>
                </w:div>
                <w:div w:id="819418525">
                  <w:marLeft w:val="0"/>
                  <w:marRight w:val="0"/>
                  <w:marTop w:val="0"/>
                  <w:marBottom w:val="0"/>
                  <w:divBdr>
                    <w:top w:val="none" w:sz="0" w:space="0" w:color="auto"/>
                    <w:left w:val="none" w:sz="0" w:space="0" w:color="auto"/>
                    <w:bottom w:val="none" w:sz="0" w:space="0" w:color="auto"/>
                    <w:right w:val="none" w:sz="0" w:space="0" w:color="auto"/>
                  </w:divBdr>
                </w:div>
                <w:div w:id="1060593502">
                  <w:marLeft w:val="0"/>
                  <w:marRight w:val="0"/>
                  <w:marTop w:val="0"/>
                  <w:marBottom w:val="0"/>
                  <w:divBdr>
                    <w:top w:val="none" w:sz="0" w:space="0" w:color="auto"/>
                    <w:left w:val="none" w:sz="0" w:space="0" w:color="auto"/>
                    <w:bottom w:val="none" w:sz="0" w:space="0" w:color="auto"/>
                    <w:right w:val="none" w:sz="0" w:space="0" w:color="auto"/>
                  </w:divBdr>
                </w:div>
                <w:div w:id="1087651719">
                  <w:marLeft w:val="0"/>
                  <w:marRight w:val="0"/>
                  <w:marTop w:val="0"/>
                  <w:marBottom w:val="0"/>
                  <w:divBdr>
                    <w:top w:val="none" w:sz="0" w:space="0" w:color="auto"/>
                    <w:left w:val="none" w:sz="0" w:space="0" w:color="auto"/>
                    <w:bottom w:val="none" w:sz="0" w:space="0" w:color="auto"/>
                    <w:right w:val="none" w:sz="0" w:space="0" w:color="auto"/>
                  </w:divBdr>
                </w:div>
                <w:div w:id="1153333282">
                  <w:marLeft w:val="0"/>
                  <w:marRight w:val="0"/>
                  <w:marTop w:val="0"/>
                  <w:marBottom w:val="0"/>
                  <w:divBdr>
                    <w:top w:val="none" w:sz="0" w:space="0" w:color="auto"/>
                    <w:left w:val="none" w:sz="0" w:space="0" w:color="auto"/>
                    <w:bottom w:val="none" w:sz="0" w:space="0" w:color="auto"/>
                    <w:right w:val="none" w:sz="0" w:space="0" w:color="auto"/>
                  </w:divBdr>
                </w:div>
                <w:div w:id="1357582108">
                  <w:marLeft w:val="0"/>
                  <w:marRight w:val="0"/>
                  <w:marTop w:val="0"/>
                  <w:marBottom w:val="0"/>
                  <w:divBdr>
                    <w:top w:val="none" w:sz="0" w:space="0" w:color="auto"/>
                    <w:left w:val="none" w:sz="0" w:space="0" w:color="auto"/>
                    <w:bottom w:val="none" w:sz="0" w:space="0" w:color="auto"/>
                    <w:right w:val="none" w:sz="0" w:space="0" w:color="auto"/>
                  </w:divBdr>
                </w:div>
                <w:div w:id="1510556059">
                  <w:marLeft w:val="0"/>
                  <w:marRight w:val="0"/>
                  <w:marTop w:val="0"/>
                  <w:marBottom w:val="0"/>
                  <w:divBdr>
                    <w:top w:val="none" w:sz="0" w:space="0" w:color="auto"/>
                    <w:left w:val="none" w:sz="0" w:space="0" w:color="auto"/>
                    <w:bottom w:val="none" w:sz="0" w:space="0" w:color="auto"/>
                    <w:right w:val="none" w:sz="0" w:space="0" w:color="auto"/>
                  </w:divBdr>
                </w:div>
                <w:div w:id="1685205253">
                  <w:marLeft w:val="0"/>
                  <w:marRight w:val="0"/>
                  <w:marTop w:val="0"/>
                  <w:marBottom w:val="0"/>
                  <w:divBdr>
                    <w:top w:val="none" w:sz="0" w:space="0" w:color="auto"/>
                    <w:left w:val="none" w:sz="0" w:space="0" w:color="auto"/>
                    <w:bottom w:val="none" w:sz="0" w:space="0" w:color="auto"/>
                    <w:right w:val="none" w:sz="0" w:space="0" w:color="auto"/>
                  </w:divBdr>
                </w:div>
                <w:div w:id="1698384643">
                  <w:marLeft w:val="0"/>
                  <w:marRight w:val="0"/>
                  <w:marTop w:val="0"/>
                  <w:marBottom w:val="0"/>
                  <w:divBdr>
                    <w:top w:val="none" w:sz="0" w:space="0" w:color="auto"/>
                    <w:left w:val="none" w:sz="0" w:space="0" w:color="auto"/>
                    <w:bottom w:val="none" w:sz="0" w:space="0" w:color="auto"/>
                    <w:right w:val="none" w:sz="0" w:space="0" w:color="auto"/>
                  </w:divBdr>
                </w:div>
                <w:div w:id="20005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89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apre.presidencia.gov.co/normativa/normativa/DIRECTIVA%20PRESIDENCIAL%2001%20DEL%2017%20DE%20ENERO%20DE%20202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223CF-EDA1-41D6-BA50-B9F72D61A52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4D261E8-4D55-8F4E-97C5-84C381B4DA87}">
  <ds:schemaRefs>
    <ds:schemaRef ds:uri="http://schemas.openxmlformats.org/officeDocument/2006/bibliography"/>
  </ds:schemaRefs>
</ds:datastoreItem>
</file>

<file path=customXml/itemProps3.xml><?xml version="1.0" encoding="utf-8"?>
<ds:datastoreItem xmlns:ds="http://schemas.openxmlformats.org/officeDocument/2006/customXml" ds:itemID="{519BCF60-BEC1-4CD2-B144-9E3E07213EA0}">
  <ds:schemaRefs>
    <ds:schemaRef ds:uri="http://schemas.microsoft.com/sharepoint/v3/contenttype/forms"/>
  </ds:schemaRefs>
</ds:datastoreItem>
</file>

<file path=customXml/itemProps4.xml><?xml version="1.0" encoding="utf-8"?>
<ds:datastoreItem xmlns:ds="http://schemas.openxmlformats.org/officeDocument/2006/customXml" ds:itemID="{395BCB43-0A76-4F19-898F-86497EF41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5421</Words>
  <Characters>29820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 saenz camargo</dc:creator>
  <cp:keywords/>
  <dc:description/>
  <cp:lastModifiedBy>Martin Rojas Mejia</cp:lastModifiedBy>
  <cp:revision>2</cp:revision>
  <dcterms:created xsi:type="dcterms:W3CDTF">2022-04-13T15:08:00Z</dcterms:created>
  <dcterms:modified xsi:type="dcterms:W3CDTF">2022-04-13T15:08:00Z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