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6A6B87"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5873AF" w:rsidRDefault="00B55C69" w:rsidP="0030575F">
      <w:pPr>
        <w:jc w:val="right"/>
        <w:rPr>
          <w:rFonts w:ascii="Arial" w:eastAsia="Calibri" w:hAnsi="Arial" w:cs="Arial"/>
          <w:b/>
          <w:color w:val="000000" w:themeColor="text1"/>
          <w:sz w:val="20"/>
          <w:szCs w:val="20"/>
          <w:lang w:val="es-ES_tradnl"/>
        </w:rPr>
      </w:pPr>
      <w:r w:rsidRPr="005873AF">
        <w:rPr>
          <w:rFonts w:ascii="Arial" w:hAnsi="Arial" w:cs="Arial"/>
          <w:bCs/>
          <w:color w:val="000000" w:themeColor="text1"/>
          <w:sz w:val="20"/>
          <w:szCs w:val="20"/>
          <w:lang w:val="es-ES_tradnl" w:eastAsia="es-ES"/>
        </w:rPr>
        <w:t>CCE-DES-FM-17</w:t>
      </w:r>
      <w:bookmarkEnd w:id="0"/>
      <w:bookmarkEnd w:id="1"/>
    </w:p>
    <w:p w14:paraId="1DAD8B54" w14:textId="77777777" w:rsidR="005873AF" w:rsidRDefault="005873AF" w:rsidP="002652C1">
      <w:pPr>
        <w:contextualSpacing/>
        <w:jc w:val="both"/>
        <w:rPr>
          <w:rFonts w:ascii="Arial" w:eastAsia="Calibri" w:hAnsi="Arial" w:cs="Arial"/>
          <w:b/>
          <w:bCs/>
          <w:color w:val="000000" w:themeColor="text1"/>
          <w:sz w:val="22"/>
          <w:szCs w:val="22"/>
          <w:lang w:val="es-MX" w:eastAsia="en-US"/>
        </w:rPr>
      </w:pPr>
      <w:bookmarkStart w:id="2" w:name="_Hlk79765235"/>
    </w:p>
    <w:p w14:paraId="0CF85C70" w14:textId="31A794F1" w:rsidR="005873AF" w:rsidRDefault="005873AF" w:rsidP="002652C1">
      <w:pPr>
        <w:contextualSpacing/>
        <w:jc w:val="both"/>
        <w:rPr>
          <w:rFonts w:ascii="Arial" w:eastAsia="Calibri" w:hAnsi="Arial" w:cs="Arial"/>
          <w:b/>
          <w:bCs/>
          <w:color w:val="000000" w:themeColor="text1"/>
          <w:sz w:val="22"/>
          <w:szCs w:val="22"/>
          <w:lang w:val="es-MX" w:eastAsia="en-US"/>
        </w:rPr>
      </w:pPr>
      <w:r>
        <w:rPr>
          <w:rFonts w:ascii="Arial" w:eastAsia="Calibri" w:hAnsi="Arial" w:cs="Arial"/>
          <w:b/>
          <w:bCs/>
          <w:color w:val="000000" w:themeColor="text1"/>
          <w:sz w:val="22"/>
          <w:szCs w:val="22"/>
          <w:lang w:val="es-MX" w:eastAsia="en-US"/>
        </w:rPr>
        <w:t xml:space="preserve">PLAN DE SALUD PÚBLICA DE INTERVENCIONES COLECTIVAS – PIC – Definición – contratación </w:t>
      </w:r>
    </w:p>
    <w:p w14:paraId="07868561" w14:textId="77777777" w:rsidR="005873AF" w:rsidRDefault="005873AF" w:rsidP="002652C1">
      <w:pPr>
        <w:contextualSpacing/>
        <w:jc w:val="both"/>
        <w:rPr>
          <w:rFonts w:ascii="Arial" w:eastAsia="Calibri" w:hAnsi="Arial" w:cs="Arial"/>
          <w:b/>
          <w:bCs/>
          <w:color w:val="000000" w:themeColor="text1"/>
          <w:sz w:val="22"/>
          <w:szCs w:val="22"/>
          <w:lang w:val="es-MX" w:eastAsia="en-US"/>
        </w:rPr>
      </w:pPr>
    </w:p>
    <w:p w14:paraId="4AA84CA9" w14:textId="55441753" w:rsidR="005873AF" w:rsidRPr="00713B6C" w:rsidRDefault="005873AF" w:rsidP="00713B6C">
      <w:pPr>
        <w:jc w:val="both"/>
        <w:rPr>
          <w:rFonts w:ascii="Arial" w:hAnsi="Arial" w:cs="Arial"/>
          <w:color w:val="000000" w:themeColor="text1"/>
          <w:sz w:val="20"/>
          <w:szCs w:val="20"/>
        </w:rPr>
      </w:pPr>
      <w:r w:rsidRPr="00713B6C">
        <w:rPr>
          <w:rFonts w:ascii="Arial" w:eastAsia="Arial" w:hAnsi="Arial" w:cs="Arial"/>
          <w:color w:val="000000" w:themeColor="text1"/>
          <w:sz w:val="20"/>
          <w:szCs w:val="20"/>
          <w:lang w:val="es-MX"/>
        </w:rPr>
        <w:t>[…] e</w:t>
      </w:r>
      <w:r w:rsidRPr="00713B6C">
        <w:rPr>
          <w:rFonts w:ascii="Arial" w:hAnsi="Arial" w:cs="Arial"/>
          <w:color w:val="000000" w:themeColor="text1"/>
          <w:sz w:val="20"/>
          <w:szCs w:val="20"/>
        </w:rPr>
        <w:t xml:space="preserve">l artículo 8 de la Resolución 518 de 2015, «Por la cual se dictan disposiciones en relación con la Gestión de la Salud Pública y se establecen directrices para la ejecución, seguimiento y evaluación del Plan de Salud Pública de Intervenciones Colectivas –PIC» define a los PIC así: </w:t>
      </w:r>
      <w:r w:rsidRPr="00713B6C">
        <w:rPr>
          <w:rFonts w:ascii="Arial" w:hAnsi="Arial" w:cs="Arial"/>
          <w:bCs/>
          <w:color w:val="000000" w:themeColor="text1"/>
          <w:sz w:val="20"/>
          <w:szCs w:val="20"/>
          <w:lang w:eastAsia="es-CO"/>
        </w:rPr>
        <w:t>«</w:t>
      </w:r>
      <w:r w:rsidRPr="00713B6C">
        <w:rPr>
          <w:rFonts w:ascii="Arial" w:hAnsi="Arial" w:cs="Arial"/>
          <w:color w:val="000000" w:themeColor="text1"/>
          <w:sz w:val="20"/>
          <w:szCs w:val="20"/>
        </w:rPr>
        <w:t>Es un plan complementario al Plan Obligatorio de Salud - POS y otros beneficios, dirigido a impactar positivamente los determinantes sociales de la salud e incidir en los resultados en salud, a través de la ejecución de intervenciones colectivas o individuales de alta externalidad en salud definidas en la presente resolución, desarrolladas a lo largo del curso de vida, en el marco del derecho a la salud y de lo definido en el Plan Decenal de Salud Pública PDSP</w:t>
      </w:r>
      <w:r w:rsidRPr="00713B6C">
        <w:rPr>
          <w:rFonts w:ascii="Arial" w:hAnsi="Arial" w:cs="Arial"/>
          <w:bCs/>
          <w:color w:val="000000" w:themeColor="text1"/>
          <w:sz w:val="20"/>
          <w:szCs w:val="20"/>
          <w:lang w:eastAsia="es-CO"/>
        </w:rPr>
        <w:t>»</w:t>
      </w:r>
      <w:r w:rsidRPr="00713B6C">
        <w:rPr>
          <w:rFonts w:ascii="Arial" w:hAnsi="Arial" w:cs="Arial"/>
          <w:color w:val="000000" w:themeColor="text1"/>
          <w:sz w:val="20"/>
          <w:szCs w:val="20"/>
        </w:rPr>
        <w:t>.</w:t>
      </w:r>
    </w:p>
    <w:p w14:paraId="08412229" w14:textId="28F7EF69" w:rsidR="005873AF" w:rsidRPr="00713B6C" w:rsidRDefault="005873AF" w:rsidP="00713B6C">
      <w:pPr>
        <w:jc w:val="both"/>
        <w:rPr>
          <w:rFonts w:ascii="Arial" w:hAnsi="Arial" w:cs="Arial"/>
          <w:color w:val="000000" w:themeColor="text1"/>
          <w:sz w:val="20"/>
          <w:szCs w:val="20"/>
        </w:rPr>
      </w:pPr>
      <w:r w:rsidRPr="00713B6C">
        <w:rPr>
          <w:rFonts w:ascii="Arial" w:hAnsi="Arial" w:cs="Arial"/>
          <w:color w:val="000000" w:themeColor="text1"/>
          <w:sz w:val="20"/>
          <w:szCs w:val="20"/>
        </w:rPr>
        <w:t xml:space="preserve"> </w:t>
      </w:r>
    </w:p>
    <w:p w14:paraId="67AD0F8F" w14:textId="25919427" w:rsidR="005873AF" w:rsidRPr="00713B6C" w:rsidRDefault="005873AF" w:rsidP="00713B6C">
      <w:pPr>
        <w:jc w:val="both"/>
        <w:rPr>
          <w:rFonts w:ascii="Arial" w:hAnsi="Arial" w:cs="Arial"/>
          <w:color w:val="000000" w:themeColor="text1"/>
          <w:sz w:val="20"/>
          <w:szCs w:val="20"/>
        </w:rPr>
      </w:pPr>
      <w:r w:rsidRPr="00713B6C">
        <w:rPr>
          <w:rFonts w:ascii="Arial" w:hAnsi="Arial" w:cs="Arial"/>
          <w:color w:val="000000" w:themeColor="text1"/>
          <w:sz w:val="20"/>
          <w:szCs w:val="20"/>
        </w:rPr>
        <w:t xml:space="preserve">Posteriormente, el artículo 14 de la Resolución 518 de 2015 dispone que las intervenciones colectivas se contratarán con las instituciones que tengan capacidad técnica y operativa, de acuerdo con los criterios establecidos en el artículo 15 de dicha resolución y cumpliendo con la normatividad vigente en materia de contratación estatal, para lo cual se tendrá en cuenta lo siguiente: en primer lugar, la entidad territorial contratará prioritariamente con las Empresas Sociales del Estado ubicadas en el territorio (incluye las IPS indígenas), las acciones del PIC para las cuales tenga capacidad técnica y operativa. En segundo lugar, cuando la IPS pública ubicada en el territorio no esté en capacidad de ejecutar algunas acciones del PIC, la entidad territorial podrá contratarlas con Empresas Sociales del Estado de municipios vecinos. Del mismo modo, podrá contratarlas cuando por su ubicación geográfica, estas IPS estén en mejor capacidad de garantizar el acceso de la población a dichas intervenciones. En tercer lugar, en el evento de que las IPS públicas no cuenten con la capacidad técnica y operativa, la entidad territorial podrá contratar las acciones del PIC con instituciones prestadoras de salud privadas ubicadas en el municipio, organizaciones no gubernamentales (ONG), universidades y otras entidades privadas cuyo objeto social esté relacionado con la prestación de las acciones que se contraten, siempre y cuando cumplan los criterios definidos en el artículo 15 de dicha resolución. En estos eventos se acudirá a los parámetros de selección previstos en la normativa vigente sobre la materia. </w:t>
      </w:r>
    </w:p>
    <w:p w14:paraId="5D2C2DAD" w14:textId="39C03EE8" w:rsidR="005873AF" w:rsidRPr="00713B6C" w:rsidRDefault="00F56DF8" w:rsidP="00713B6C">
      <w:pPr>
        <w:contextualSpacing/>
        <w:jc w:val="both"/>
        <w:rPr>
          <w:rFonts w:ascii="Arial" w:eastAsia="Calibri" w:hAnsi="Arial" w:cs="Arial"/>
          <w:bCs/>
          <w:color w:val="000000" w:themeColor="text1"/>
          <w:sz w:val="20"/>
          <w:szCs w:val="20"/>
          <w:lang w:eastAsia="en-US"/>
        </w:rPr>
      </w:pPr>
      <w:r w:rsidRPr="00713B6C">
        <w:rPr>
          <w:rFonts w:ascii="Arial" w:eastAsia="Calibri" w:hAnsi="Arial" w:cs="Arial"/>
          <w:bCs/>
          <w:color w:val="000000" w:themeColor="text1"/>
          <w:sz w:val="20"/>
          <w:szCs w:val="20"/>
          <w:lang w:eastAsia="en-US"/>
        </w:rPr>
        <w:t xml:space="preserve">[…] </w:t>
      </w:r>
    </w:p>
    <w:p w14:paraId="1709A921" w14:textId="77777777" w:rsidR="00F56DF8" w:rsidRPr="00713B6C" w:rsidRDefault="00F56DF8" w:rsidP="00713B6C">
      <w:pPr>
        <w:spacing w:after="120"/>
        <w:jc w:val="both"/>
        <w:rPr>
          <w:rFonts w:ascii="Arial" w:hAnsi="Arial" w:cs="Arial"/>
          <w:color w:val="000000" w:themeColor="text1"/>
          <w:sz w:val="20"/>
          <w:szCs w:val="20"/>
        </w:rPr>
      </w:pPr>
      <w:r w:rsidRPr="00713B6C">
        <w:rPr>
          <w:rFonts w:ascii="Arial" w:hAnsi="Arial" w:cs="Arial"/>
          <w:color w:val="000000" w:themeColor="text1"/>
          <w:sz w:val="20"/>
          <w:szCs w:val="20"/>
        </w:rPr>
        <w:t xml:space="preserve">En esa misma línea, el artículo 15 de la Resolución 518 de 2015 establece que para la contratación de las acciones del PIC, la entidad territorial debe verificar que la institución a contratar cumpla con los siguientes criterios: i) tener mínimo dos (2) años de experiencia relacionada con la ejecución de las acciones que se pretendan contratar; ii) disponer de un coordinador para la ejecución de las acciones del PIC que se pretenda contratar, respecto del cual se debe acreditar que cuenta con el perfil establecido por la entidad territorial; iii) tener una evaluación satisfactoria en la ejecución técnica y financiera del último contrato suscrito con una entidad territorial; la evaluación deberá estar soportada y documentada frente a los lineamientos técnicos pactados; y iv) deberá cumplirse con lo establecido por el Sistema Único de Habilitación, cuando la acción del PIC a contratar lo requiera –manejo de biológicos, medicamentos, dispositivos, tamizajes o insumos médicos–. </w:t>
      </w:r>
    </w:p>
    <w:p w14:paraId="04AF1951" w14:textId="77777777" w:rsidR="005873AF" w:rsidRPr="00713B6C" w:rsidRDefault="005873AF" w:rsidP="002652C1">
      <w:pPr>
        <w:contextualSpacing/>
        <w:jc w:val="both"/>
        <w:rPr>
          <w:rFonts w:ascii="Arial" w:eastAsia="Calibri" w:hAnsi="Arial" w:cs="Arial"/>
          <w:b/>
          <w:bCs/>
          <w:color w:val="000000" w:themeColor="text1"/>
          <w:sz w:val="22"/>
          <w:szCs w:val="22"/>
          <w:lang w:eastAsia="en-US"/>
        </w:rPr>
      </w:pPr>
    </w:p>
    <w:p w14:paraId="2E56D937" w14:textId="4C6CCADB" w:rsidR="0030575F" w:rsidRPr="005873AF" w:rsidRDefault="0030575F" w:rsidP="002652C1">
      <w:pPr>
        <w:contextualSpacing/>
        <w:jc w:val="both"/>
        <w:rPr>
          <w:rFonts w:ascii="Arial" w:eastAsia="Calibri" w:hAnsi="Arial" w:cs="Arial"/>
          <w:b/>
          <w:bCs/>
          <w:color w:val="000000" w:themeColor="text1"/>
          <w:sz w:val="22"/>
          <w:szCs w:val="22"/>
          <w:lang w:val="es-MX" w:eastAsia="en-US"/>
        </w:rPr>
      </w:pPr>
      <w:r w:rsidRPr="005873AF">
        <w:rPr>
          <w:rFonts w:ascii="Arial" w:eastAsia="Calibri" w:hAnsi="Arial" w:cs="Arial"/>
          <w:b/>
          <w:bCs/>
          <w:color w:val="000000" w:themeColor="text1"/>
          <w:sz w:val="22"/>
          <w:szCs w:val="22"/>
          <w:lang w:val="es-MX" w:eastAsia="en-US"/>
        </w:rPr>
        <w:t>LEY DE GARANTÍAS ELECTORALES – Finalidad</w:t>
      </w:r>
    </w:p>
    <w:p w14:paraId="54D7EA45" w14:textId="77777777" w:rsidR="0030575F" w:rsidRPr="005873AF" w:rsidRDefault="0030575F" w:rsidP="002652C1">
      <w:pPr>
        <w:contextualSpacing/>
        <w:jc w:val="both"/>
        <w:rPr>
          <w:rFonts w:ascii="Arial" w:eastAsia="Calibri" w:hAnsi="Arial" w:cs="Arial"/>
          <w:color w:val="000000" w:themeColor="text1"/>
          <w:sz w:val="20"/>
          <w:szCs w:val="20"/>
          <w:lang w:val="es-MX" w:eastAsia="en-US"/>
        </w:rPr>
      </w:pPr>
    </w:p>
    <w:p w14:paraId="7A434A5B" w14:textId="2557170C" w:rsidR="0030575F" w:rsidRPr="005873AF" w:rsidRDefault="00861F5C" w:rsidP="002652C1">
      <w:pPr>
        <w:tabs>
          <w:tab w:val="left" w:pos="426"/>
        </w:tabs>
        <w:jc w:val="both"/>
        <w:rPr>
          <w:rFonts w:ascii="Arial" w:eastAsia="Calibri" w:hAnsi="Arial" w:cs="Arial"/>
          <w:bCs/>
          <w:color w:val="000000" w:themeColor="text1"/>
          <w:sz w:val="20"/>
          <w:szCs w:val="20"/>
        </w:rPr>
      </w:pPr>
      <w:r w:rsidRPr="005873AF">
        <w:rPr>
          <w:rFonts w:ascii="Arial" w:hAnsi="Arial" w:cs="Arial"/>
          <w:bCs/>
          <w:color w:val="000000" w:themeColor="text1"/>
          <w:sz w:val="20"/>
          <w:szCs w:val="20"/>
          <w:lang w:eastAsia="es-CO"/>
        </w:rPr>
        <w:t xml:space="preserve">[…] la Ley 996 de 2005 </w:t>
      </w:r>
      <w:r w:rsidRPr="005873AF">
        <w:rPr>
          <w:rFonts w:ascii="Arial" w:eastAsia="Calibri" w:hAnsi="Arial" w:cs="Arial"/>
          <w:color w:val="000000" w:themeColor="text1"/>
          <w:sz w:val="20"/>
          <w:szCs w:val="20"/>
          <w:lang w:eastAsia="en-US"/>
        </w:rPr>
        <w:t>«</w:t>
      </w:r>
      <w:r w:rsidRPr="005873AF">
        <w:rPr>
          <w:rStyle w:val="Textoennegrita"/>
          <w:rFonts w:ascii="Arial" w:hAnsi="Arial" w:cs="Arial"/>
          <w:b w:val="0"/>
          <w:color w:val="000000" w:themeColor="text1"/>
          <w:sz w:val="20"/>
          <w:szCs w:val="20"/>
          <w:shd w:val="clear" w:color="auto" w:fill="FFFFFF"/>
        </w:rPr>
        <w:t>Por medio de la cual se reglamenta la elección de Presidente de la República, de conformidad con el artículo 152 literal f) de la Constitución Política de Colombia, y de acuerdo con lo establecido en el Acto Legislativo 02 de 2004, y se dictan otras disposiciones</w:t>
      </w:r>
      <w:r w:rsidRPr="005873AF">
        <w:rPr>
          <w:rFonts w:ascii="Arial" w:eastAsia="Calibri" w:hAnsi="Arial" w:cs="Arial"/>
          <w:bCs/>
          <w:color w:val="000000" w:themeColor="text1"/>
          <w:sz w:val="20"/>
          <w:szCs w:val="20"/>
          <w:lang w:eastAsia="en-US"/>
        </w:rPr>
        <w:t>»,</w:t>
      </w:r>
      <w:r w:rsidRPr="005873AF">
        <w:rPr>
          <w:rStyle w:val="Textoennegrita"/>
          <w:rFonts w:ascii="Arial" w:hAnsi="Arial" w:cs="Arial"/>
          <w:color w:val="000000" w:themeColor="text1"/>
          <w:sz w:val="20"/>
          <w:szCs w:val="20"/>
          <w:shd w:val="clear" w:color="auto" w:fill="FFFFFF"/>
        </w:rPr>
        <w:t xml:space="preserve"> </w:t>
      </w:r>
      <w:r w:rsidRPr="005873AF">
        <w:rPr>
          <w:rFonts w:ascii="Arial" w:hAnsi="Arial" w:cs="Arial"/>
          <w:bCs/>
          <w:color w:val="000000" w:themeColor="text1"/>
          <w:sz w:val="20"/>
          <w:szCs w:val="20"/>
          <w:lang w:eastAsia="es-CO"/>
        </w:rPr>
        <w:t xml:space="preserve">se suma al andamiaje de orden constitucional y legal que se ocupa de evitar la injerencia de intereses </w:t>
      </w:r>
      <w:r w:rsidRPr="005873AF">
        <w:rPr>
          <w:rFonts w:ascii="Arial" w:hAnsi="Arial" w:cs="Arial"/>
          <w:bCs/>
          <w:color w:val="000000" w:themeColor="text1"/>
          <w:sz w:val="20"/>
          <w:szCs w:val="20"/>
          <w:lang w:eastAsia="es-CO"/>
        </w:rPr>
        <w:lastRenderedPageBreak/>
        <w:t>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5873AF" w:rsidRDefault="0030575F" w:rsidP="002652C1">
      <w:pPr>
        <w:tabs>
          <w:tab w:val="left" w:pos="426"/>
        </w:tabs>
        <w:jc w:val="both"/>
        <w:rPr>
          <w:rFonts w:ascii="Arial" w:eastAsia="Calibri" w:hAnsi="Arial" w:cs="Arial"/>
          <w:bCs/>
          <w:color w:val="000000" w:themeColor="text1"/>
          <w:sz w:val="20"/>
          <w:szCs w:val="20"/>
          <w:lang w:val="es-MX" w:eastAsia="en-US"/>
        </w:rPr>
      </w:pPr>
    </w:p>
    <w:p w14:paraId="485C44E2" w14:textId="77777777" w:rsidR="0030575F" w:rsidRPr="005873AF" w:rsidRDefault="0030575F" w:rsidP="002652C1">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5873AF">
        <w:rPr>
          <w:rFonts w:ascii="Arial" w:eastAsia="Calibri" w:hAnsi="Arial" w:cs="Arial"/>
          <w:b/>
          <w:bCs/>
          <w:color w:val="000000" w:themeColor="text1"/>
          <w:sz w:val="22"/>
          <w:szCs w:val="22"/>
          <w:lang w:val="es-MX" w:eastAsia="en-US"/>
        </w:rPr>
        <w:t>LEY DE GARANTÍAS ELECTORALES ‒</w:t>
      </w:r>
      <w:bookmarkEnd w:id="3"/>
      <w:r w:rsidRPr="005873AF">
        <w:rPr>
          <w:rFonts w:ascii="Arial" w:eastAsia="Calibri" w:hAnsi="Arial" w:cs="Arial"/>
          <w:b/>
          <w:bCs/>
          <w:color w:val="000000" w:themeColor="text1"/>
          <w:sz w:val="22"/>
          <w:szCs w:val="22"/>
          <w:lang w:val="es-MX" w:eastAsia="en-US"/>
        </w:rPr>
        <w:t xml:space="preserve"> Restricciones </w:t>
      </w:r>
      <w:bookmarkStart w:id="5" w:name="_Hlk77157034"/>
      <w:r w:rsidRPr="005873AF">
        <w:rPr>
          <w:rFonts w:ascii="Arial" w:eastAsia="Calibri" w:hAnsi="Arial" w:cs="Arial"/>
          <w:b/>
          <w:bCs/>
          <w:color w:val="000000" w:themeColor="text1"/>
          <w:sz w:val="22"/>
          <w:szCs w:val="22"/>
          <w:lang w:val="es-MX" w:eastAsia="en-US"/>
        </w:rPr>
        <w:t xml:space="preserve">‒ </w:t>
      </w:r>
      <w:bookmarkEnd w:id="5"/>
      <w:r w:rsidRPr="005873AF">
        <w:rPr>
          <w:rFonts w:ascii="Arial" w:eastAsia="Calibri" w:hAnsi="Arial" w:cs="Arial"/>
          <w:b/>
          <w:bCs/>
          <w:color w:val="000000" w:themeColor="text1"/>
          <w:sz w:val="22"/>
          <w:szCs w:val="22"/>
          <w:lang w:val="es-MX" w:eastAsia="en-US"/>
        </w:rPr>
        <w:t>Contratación</w:t>
      </w:r>
      <w:bookmarkStart w:id="6" w:name="_Hlk77153098"/>
      <w:r w:rsidRPr="005873AF">
        <w:rPr>
          <w:rFonts w:ascii="Arial" w:eastAsia="Calibri" w:hAnsi="Arial" w:cs="Arial"/>
          <w:b/>
          <w:bCs/>
          <w:color w:val="000000" w:themeColor="text1"/>
          <w:sz w:val="22"/>
          <w:szCs w:val="22"/>
          <w:lang w:val="es-MX" w:eastAsia="en-US"/>
        </w:rPr>
        <w:t xml:space="preserve"> ‒ Tipos de elección</w:t>
      </w:r>
      <w:bookmarkEnd w:id="6"/>
      <w:r w:rsidRPr="005873AF">
        <w:rPr>
          <w:rFonts w:ascii="Arial" w:eastAsia="Calibri" w:hAnsi="Arial" w:cs="Arial"/>
          <w:b/>
          <w:bCs/>
          <w:color w:val="000000" w:themeColor="text1"/>
          <w:sz w:val="22"/>
          <w:szCs w:val="22"/>
          <w:lang w:val="es-MX" w:eastAsia="en-US"/>
        </w:rPr>
        <w:t xml:space="preserve"> </w:t>
      </w:r>
    </w:p>
    <w:p w14:paraId="16CB6979" w14:textId="77777777" w:rsidR="0030575F" w:rsidRPr="005873AF" w:rsidRDefault="0030575F" w:rsidP="002652C1">
      <w:pPr>
        <w:tabs>
          <w:tab w:val="left" w:pos="426"/>
        </w:tabs>
        <w:jc w:val="both"/>
        <w:rPr>
          <w:rFonts w:ascii="Arial" w:eastAsia="Calibri" w:hAnsi="Arial" w:cs="Arial"/>
          <w:b/>
          <w:bCs/>
          <w:color w:val="000000" w:themeColor="text1"/>
          <w:sz w:val="20"/>
          <w:szCs w:val="20"/>
          <w:lang w:val="es-MX" w:eastAsia="en-US"/>
        </w:rPr>
      </w:pPr>
    </w:p>
    <w:p w14:paraId="538A9434" w14:textId="77777777" w:rsidR="00F56DF8" w:rsidRDefault="00861F5C" w:rsidP="002652C1">
      <w:pPr>
        <w:jc w:val="both"/>
        <w:rPr>
          <w:rFonts w:ascii="Arial" w:eastAsia="Calibri" w:hAnsi="Arial" w:cs="Arial"/>
          <w:noProof/>
          <w:color w:val="000000" w:themeColor="text1"/>
          <w:sz w:val="20"/>
          <w:szCs w:val="20"/>
          <w:lang w:val="es-ES_tradnl" w:eastAsia="en-US"/>
        </w:rPr>
      </w:pPr>
      <w:r w:rsidRPr="005873AF">
        <w:rPr>
          <w:rFonts w:ascii="Arial" w:hAnsi="Arial" w:cs="Arial"/>
          <w:bCs/>
          <w:color w:val="000000" w:themeColor="text1"/>
          <w:sz w:val="20"/>
          <w:szCs w:val="20"/>
          <w:lang w:val="es-MX" w:eastAsia="es-CO"/>
        </w:rPr>
        <w:t xml:space="preserve">La </w:t>
      </w:r>
      <w:r w:rsidRPr="005873AF">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5873AF">
        <w:rPr>
          <w:rFonts w:ascii="Arial" w:eastAsia="Calibri" w:hAnsi="Arial" w:cs="Arial"/>
          <w:color w:val="000000" w:themeColor="text1"/>
          <w:sz w:val="20"/>
          <w:szCs w:val="20"/>
          <w:lang w:eastAsia="en-US"/>
        </w:rPr>
        <w:t xml:space="preserve">Por una parte, el artículo 33 de la Ley 996 de 2005 establece una prohibición que impide </w:t>
      </w:r>
      <w:r w:rsidRPr="005873AF">
        <w:rPr>
          <w:rFonts w:ascii="Arial" w:eastAsia="Calibri" w:hAnsi="Arial" w:cs="Arial"/>
          <w:bCs/>
          <w:color w:val="000000" w:themeColor="text1"/>
          <w:sz w:val="20"/>
          <w:szCs w:val="20"/>
          <w:lang w:eastAsia="en-US"/>
        </w:rPr>
        <w:t xml:space="preserve">«[…] </w:t>
      </w:r>
      <w:r w:rsidRPr="005873AF">
        <w:rPr>
          <w:rFonts w:ascii="Arial" w:eastAsia="Calibri" w:hAnsi="Arial" w:cs="Arial"/>
          <w:color w:val="000000" w:themeColor="text1"/>
          <w:sz w:val="20"/>
          <w:szCs w:val="20"/>
          <w:lang w:eastAsia="en-US"/>
        </w:rPr>
        <w:t>la contratación directa por parte de todos los entes del Estado</w:t>
      </w:r>
      <w:r w:rsidRPr="005873AF">
        <w:rPr>
          <w:rFonts w:ascii="Arial" w:eastAsia="Calibri" w:hAnsi="Arial" w:cs="Arial"/>
          <w:bCs/>
          <w:color w:val="000000" w:themeColor="text1"/>
          <w:sz w:val="20"/>
          <w:szCs w:val="20"/>
          <w:lang w:eastAsia="en-US"/>
        </w:rPr>
        <w:t>»</w:t>
      </w:r>
      <w:r w:rsidRPr="005873AF">
        <w:rPr>
          <w:rFonts w:ascii="Arial" w:eastAsia="Calibri" w:hAnsi="Arial" w:cs="Arial"/>
          <w:color w:val="000000" w:themeColor="text1"/>
          <w:sz w:val="20"/>
          <w:szCs w:val="20"/>
          <w:lang w:eastAsia="en-US"/>
        </w:rPr>
        <w:t xml:space="preserve"> durante los cuatro (4) meses anteriores a las elecciones presidenciales, salvo </w:t>
      </w:r>
      <w:r w:rsidRPr="005873AF">
        <w:rPr>
          <w:rFonts w:ascii="Arial" w:eastAsia="Calibri" w:hAnsi="Arial" w:cs="Arial"/>
          <w:bCs/>
          <w:color w:val="000000" w:themeColor="text1"/>
          <w:sz w:val="20"/>
          <w:szCs w:val="20"/>
          <w:lang w:eastAsia="en-US"/>
        </w:rPr>
        <w:t xml:space="preserve">«[…] </w:t>
      </w:r>
      <w:r w:rsidRPr="005873AF">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873AF">
        <w:rPr>
          <w:rFonts w:ascii="Arial" w:eastAsia="Calibri" w:hAnsi="Arial" w:cs="Arial"/>
          <w:bCs/>
          <w:color w:val="000000" w:themeColor="text1"/>
          <w:sz w:val="20"/>
          <w:szCs w:val="20"/>
          <w:lang w:eastAsia="en-US"/>
        </w:rPr>
        <w:t>»</w:t>
      </w:r>
      <w:r w:rsidRPr="005873AF">
        <w:rPr>
          <w:rFonts w:ascii="Arial" w:eastAsia="Calibri" w:hAnsi="Arial" w:cs="Arial"/>
          <w:color w:val="000000" w:themeColor="text1"/>
          <w:sz w:val="20"/>
          <w:szCs w:val="20"/>
          <w:lang w:eastAsia="en-US"/>
        </w:rPr>
        <w:t>.</w:t>
      </w:r>
      <w:r w:rsidR="00E17122" w:rsidRPr="005873AF">
        <w:rPr>
          <w:rFonts w:ascii="Arial" w:eastAsia="Calibri" w:hAnsi="Arial" w:cs="Arial"/>
          <w:color w:val="000000" w:themeColor="text1"/>
          <w:sz w:val="20"/>
          <w:szCs w:val="20"/>
          <w:lang w:eastAsia="en-US"/>
        </w:rPr>
        <w:t xml:space="preserve"> </w:t>
      </w:r>
      <w:r w:rsidRPr="005873AF">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5873AF">
        <w:rPr>
          <w:rFonts w:ascii="Arial" w:eastAsia="Calibri" w:hAnsi="Arial" w:cs="Arial"/>
          <w:bCs/>
          <w:color w:val="000000" w:themeColor="text1"/>
          <w:sz w:val="20"/>
          <w:szCs w:val="20"/>
          <w:lang w:eastAsia="en-US"/>
        </w:rPr>
        <w:t xml:space="preserve">«[…] </w:t>
      </w:r>
      <w:r w:rsidRPr="005873AF">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873AF">
        <w:rPr>
          <w:rFonts w:ascii="Arial" w:eastAsia="Calibri" w:hAnsi="Arial" w:cs="Arial"/>
          <w:bCs/>
          <w:color w:val="000000" w:themeColor="text1"/>
          <w:sz w:val="20"/>
          <w:szCs w:val="20"/>
          <w:lang w:eastAsia="en-US"/>
        </w:rPr>
        <w:t>»</w:t>
      </w:r>
      <w:r w:rsidRPr="005873AF">
        <w:rPr>
          <w:rFonts w:ascii="Arial" w:eastAsia="Calibri" w:hAnsi="Arial" w:cs="Arial"/>
          <w:color w:val="000000" w:themeColor="text1"/>
          <w:sz w:val="20"/>
          <w:szCs w:val="20"/>
          <w:lang w:val="es-MX" w:eastAsia="en-US"/>
        </w:rPr>
        <w:t>.</w:t>
      </w:r>
    </w:p>
    <w:p w14:paraId="4B9D6431" w14:textId="77777777" w:rsidR="00F56DF8" w:rsidRDefault="00F56DF8" w:rsidP="002652C1">
      <w:pPr>
        <w:jc w:val="both"/>
        <w:rPr>
          <w:rFonts w:ascii="Arial" w:eastAsia="Calibri" w:hAnsi="Arial" w:cs="Arial"/>
          <w:noProof/>
          <w:color w:val="000000" w:themeColor="text1"/>
          <w:sz w:val="20"/>
          <w:szCs w:val="20"/>
          <w:lang w:val="es-ES_tradnl" w:eastAsia="en-US"/>
        </w:rPr>
      </w:pPr>
    </w:p>
    <w:p w14:paraId="68664926" w14:textId="7DD78ABA" w:rsidR="00F56DF8" w:rsidRPr="00713B6C" w:rsidRDefault="00F56DF8" w:rsidP="002652C1">
      <w:pPr>
        <w:jc w:val="both"/>
        <w:rPr>
          <w:rFonts w:ascii="Arial" w:eastAsia="Calibri" w:hAnsi="Arial" w:cs="Arial"/>
          <w:b/>
          <w:noProof/>
          <w:color w:val="000000" w:themeColor="text1"/>
          <w:sz w:val="22"/>
          <w:szCs w:val="22"/>
          <w:lang w:val="es-ES_tradnl" w:eastAsia="en-US"/>
        </w:rPr>
      </w:pPr>
      <w:r w:rsidRPr="00713B6C">
        <w:rPr>
          <w:rFonts w:ascii="Arial" w:eastAsia="Calibri" w:hAnsi="Arial" w:cs="Arial"/>
          <w:b/>
          <w:noProof/>
          <w:color w:val="000000" w:themeColor="text1"/>
          <w:sz w:val="22"/>
          <w:szCs w:val="22"/>
          <w:lang w:val="es-ES_tradnl" w:eastAsia="en-US"/>
        </w:rPr>
        <w:t xml:space="preserve">LEY DE GARANTÍAS ELECTORALES – Contratos y convenios interadministrativos – restricción – parágrafo del artículo 38 </w:t>
      </w:r>
    </w:p>
    <w:p w14:paraId="3832B4B4" w14:textId="77777777" w:rsidR="00F56DF8" w:rsidRDefault="00F56DF8" w:rsidP="002652C1">
      <w:pPr>
        <w:jc w:val="both"/>
        <w:rPr>
          <w:rFonts w:ascii="Arial" w:eastAsia="Calibri" w:hAnsi="Arial" w:cs="Arial"/>
          <w:noProof/>
          <w:color w:val="000000" w:themeColor="text1"/>
          <w:sz w:val="20"/>
          <w:szCs w:val="20"/>
          <w:lang w:val="es-ES_tradnl" w:eastAsia="en-US"/>
        </w:rPr>
      </w:pPr>
    </w:p>
    <w:p w14:paraId="1C9CF18F" w14:textId="5D4B30AE" w:rsidR="00F56DF8" w:rsidRPr="00713B6C" w:rsidRDefault="00F56DF8" w:rsidP="00713B6C">
      <w:pPr>
        <w:tabs>
          <w:tab w:val="left" w:pos="426"/>
        </w:tabs>
        <w:jc w:val="both"/>
        <w:rPr>
          <w:rFonts w:ascii="Arial" w:eastAsia="Calibri" w:hAnsi="Arial" w:cs="Arial"/>
          <w:bCs/>
          <w:color w:val="000000" w:themeColor="text1"/>
          <w:sz w:val="20"/>
          <w:szCs w:val="20"/>
          <w:lang w:eastAsia="en-US"/>
        </w:rPr>
      </w:pPr>
      <w:r w:rsidRPr="00713B6C">
        <w:rPr>
          <w:rFonts w:ascii="Arial" w:eastAsia="Calibri" w:hAnsi="Arial" w:cs="Arial"/>
          <w:bCs/>
          <w:color w:val="000000" w:themeColor="text1"/>
          <w:sz w:val="20"/>
          <w:szCs w:val="20"/>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713B6C">
        <w:rPr>
          <w:rFonts w:ascii="Arial" w:hAnsi="Arial" w:cs="Arial"/>
          <w:bCs/>
          <w:iCs/>
          <w:color w:val="000000" w:themeColor="text1"/>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713B6C">
        <w:rPr>
          <w:rFonts w:ascii="Arial" w:eastAsiaTheme="minorHAnsi" w:hAnsi="Arial" w:cs="Arial"/>
          <w:color w:val="000000" w:themeColor="text1"/>
          <w:sz w:val="20"/>
          <w:szCs w:val="20"/>
          <w:lang w:val="es-MX" w:eastAsia="en-US"/>
        </w:rPr>
        <w:t xml:space="preserve"> </w:t>
      </w:r>
    </w:p>
    <w:p w14:paraId="458BE2C0" w14:textId="77777777" w:rsidR="00F56DF8" w:rsidRDefault="00F56DF8" w:rsidP="00713B6C">
      <w:pPr>
        <w:widowControl w:val="0"/>
        <w:autoSpaceDE w:val="0"/>
        <w:autoSpaceDN w:val="0"/>
        <w:jc w:val="both"/>
        <w:rPr>
          <w:rFonts w:ascii="Arial" w:eastAsia="Calibri" w:hAnsi="Arial" w:cs="Arial"/>
          <w:bCs/>
          <w:color w:val="000000" w:themeColor="text1"/>
          <w:sz w:val="20"/>
          <w:szCs w:val="20"/>
          <w:lang w:eastAsia="es-ES" w:bidi="es-ES"/>
        </w:rPr>
      </w:pPr>
    </w:p>
    <w:p w14:paraId="4BEBB0BF" w14:textId="5D788403" w:rsidR="00F56DF8" w:rsidRPr="00713B6C" w:rsidRDefault="00F56DF8" w:rsidP="00713B6C">
      <w:pPr>
        <w:widowControl w:val="0"/>
        <w:autoSpaceDE w:val="0"/>
        <w:autoSpaceDN w:val="0"/>
        <w:jc w:val="both"/>
        <w:rPr>
          <w:rFonts w:ascii="Arial" w:eastAsia="Arial" w:hAnsi="Arial" w:cs="Arial"/>
          <w:color w:val="000000" w:themeColor="text1"/>
          <w:sz w:val="20"/>
          <w:szCs w:val="20"/>
          <w:lang w:val="es-ES" w:eastAsia="es-ES" w:bidi="es-ES"/>
        </w:rPr>
      </w:pPr>
      <w:r w:rsidRPr="00713B6C">
        <w:rPr>
          <w:rFonts w:ascii="Arial" w:eastAsia="Calibri" w:hAnsi="Arial" w:cs="Arial"/>
          <w:bCs/>
          <w:color w:val="000000" w:themeColor="text1"/>
          <w:sz w:val="20"/>
          <w:szCs w:val="20"/>
          <w:lang w:eastAsia="es-ES" w:bidi="es-ES"/>
        </w:rPr>
        <w:t xml:space="preserve">Ahora bien, para determinar el alcance de la prohibición consagrada por la Ley de Garantías Electorales, conviene precisar la tipología de convenios o contratos interadministrativos. </w:t>
      </w:r>
      <w:r w:rsidRPr="00713B6C">
        <w:rPr>
          <w:rFonts w:ascii="Arial" w:eastAsia="Arial" w:hAnsi="Arial" w:cs="Arial"/>
          <w:color w:val="000000" w:themeColor="text1"/>
          <w:sz w:val="20"/>
          <w:szCs w:val="20"/>
          <w:lang w:val="es-ES" w:eastAsia="es-ES" w:bidi="es-ES"/>
        </w:rPr>
        <w:t xml:space="preserve">Aunque la ley no la definió ni desarrolló, el Decreto 1082 de 2015 califica a los convenios o contratos </w:t>
      </w:r>
      <w:r w:rsidRPr="00713B6C">
        <w:rPr>
          <w:rFonts w:ascii="Arial" w:eastAsia="Arial" w:hAnsi="Arial" w:cs="Arial"/>
          <w:color w:val="000000" w:themeColor="text1"/>
          <w:sz w:val="20"/>
          <w:szCs w:val="20"/>
          <w:lang w:val="es-ES" w:eastAsia="es-ES" w:bidi="es-ES"/>
        </w:rPr>
        <w:lastRenderedPageBreak/>
        <w:t>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713B6C">
        <w:rPr>
          <w:rFonts w:ascii="Arial" w:eastAsia="Arial" w:hAnsi="Arial" w:cs="Arial"/>
          <w:color w:val="000000" w:themeColor="text1"/>
          <w:spacing w:val="-6"/>
          <w:sz w:val="20"/>
          <w:szCs w:val="20"/>
          <w:lang w:val="es-ES" w:eastAsia="es-ES" w:bidi="es-ES"/>
        </w:rPr>
        <w:t xml:space="preserve"> </w:t>
      </w:r>
      <w:r w:rsidRPr="00713B6C">
        <w:rPr>
          <w:rFonts w:ascii="Arial" w:eastAsia="Arial" w:hAnsi="Arial" w:cs="Arial"/>
          <w:color w:val="000000" w:themeColor="text1"/>
          <w:sz w:val="20"/>
          <w:szCs w:val="20"/>
          <w:lang w:val="es-ES" w:eastAsia="es-ES" w:bidi="es-ES"/>
        </w:rPr>
        <w:t>estatales.</w:t>
      </w:r>
    </w:p>
    <w:p w14:paraId="6F65CF02" w14:textId="77777777" w:rsidR="00F56DF8" w:rsidRDefault="00F56DF8" w:rsidP="00713B6C">
      <w:pPr>
        <w:widowControl w:val="0"/>
        <w:autoSpaceDE w:val="0"/>
        <w:autoSpaceDN w:val="0"/>
        <w:jc w:val="both"/>
        <w:rPr>
          <w:rFonts w:ascii="Arial" w:eastAsia="Arial" w:hAnsi="Arial" w:cs="Arial"/>
          <w:color w:val="000000" w:themeColor="text1"/>
          <w:sz w:val="20"/>
          <w:szCs w:val="20"/>
          <w:lang w:val="es-ES" w:eastAsia="es-ES" w:bidi="es-ES"/>
        </w:rPr>
      </w:pPr>
    </w:p>
    <w:p w14:paraId="2BE87943" w14:textId="6A558F42" w:rsidR="00F56DF8" w:rsidRPr="00713B6C" w:rsidRDefault="00F56DF8" w:rsidP="00713B6C">
      <w:pPr>
        <w:widowControl w:val="0"/>
        <w:autoSpaceDE w:val="0"/>
        <w:autoSpaceDN w:val="0"/>
        <w:jc w:val="both"/>
        <w:rPr>
          <w:rFonts w:ascii="Arial" w:eastAsia="Arial" w:hAnsi="Arial" w:cs="Arial"/>
          <w:color w:val="000000" w:themeColor="text1"/>
          <w:sz w:val="20"/>
          <w:szCs w:val="20"/>
          <w:lang w:val="es-ES" w:eastAsia="es-ES" w:bidi="es-ES"/>
        </w:rPr>
      </w:pPr>
      <w:r w:rsidRPr="00713B6C">
        <w:rPr>
          <w:rFonts w:ascii="Arial" w:eastAsia="Arial" w:hAnsi="Arial" w:cs="Arial"/>
          <w:color w:val="000000" w:themeColor="text1"/>
          <w:sz w:val="20"/>
          <w:szCs w:val="20"/>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4"/>
    <w:p w14:paraId="213A2A29" w14:textId="45C5865E" w:rsidR="00AB5DF8" w:rsidRPr="005873AF" w:rsidRDefault="00AB5DF8" w:rsidP="002652C1">
      <w:pPr>
        <w:jc w:val="both"/>
        <w:rPr>
          <w:rFonts w:ascii="Arial" w:eastAsia="Arial" w:hAnsi="Arial" w:cs="Arial"/>
          <w:color w:val="000000" w:themeColor="text1"/>
          <w:sz w:val="20"/>
          <w:szCs w:val="20"/>
          <w:lang w:val="es-ES" w:eastAsia="es-ES" w:bidi="es-ES"/>
        </w:rPr>
      </w:pPr>
    </w:p>
    <w:p w14:paraId="137EF084" w14:textId="77777777" w:rsidR="00AB5DF8" w:rsidRPr="005873AF" w:rsidRDefault="00AB5DF8" w:rsidP="002652C1">
      <w:pPr>
        <w:tabs>
          <w:tab w:val="left" w:pos="426"/>
        </w:tabs>
        <w:jc w:val="both"/>
        <w:rPr>
          <w:rFonts w:ascii="Arial" w:eastAsia="Calibri" w:hAnsi="Arial" w:cs="Arial"/>
          <w:b/>
          <w:bCs/>
          <w:color w:val="000000" w:themeColor="text1"/>
          <w:sz w:val="22"/>
          <w:szCs w:val="22"/>
          <w:lang w:val="es-MX" w:eastAsia="en-US"/>
        </w:rPr>
      </w:pPr>
      <w:bookmarkStart w:id="7" w:name="_Hlk77165666"/>
      <w:r w:rsidRPr="005873AF">
        <w:rPr>
          <w:rFonts w:ascii="Arial" w:eastAsia="Calibri" w:hAnsi="Arial" w:cs="Arial"/>
          <w:b/>
          <w:bCs/>
          <w:color w:val="000000" w:themeColor="text1"/>
          <w:sz w:val="22"/>
          <w:szCs w:val="22"/>
          <w:lang w:val="es-MX" w:eastAsia="en-US"/>
        </w:rPr>
        <w:t xml:space="preserve">LEY DE GARANTÍAS ELECTORALES ─ Prohibición artículo 33 ‒ </w:t>
      </w:r>
      <w:bookmarkEnd w:id="7"/>
      <w:r w:rsidRPr="005873AF">
        <w:rPr>
          <w:rFonts w:ascii="Arial" w:eastAsia="Calibri" w:hAnsi="Arial" w:cs="Arial"/>
          <w:b/>
          <w:bCs/>
          <w:color w:val="000000" w:themeColor="text1"/>
          <w:sz w:val="22"/>
          <w:szCs w:val="22"/>
          <w:lang w:val="es-MX" w:eastAsia="en-US"/>
        </w:rPr>
        <w:t xml:space="preserve">Contratación directa ‒ Alcance </w:t>
      </w:r>
    </w:p>
    <w:p w14:paraId="07DDB2B3" w14:textId="77777777" w:rsidR="00AB5DF8" w:rsidRPr="005873AF" w:rsidRDefault="00AB5DF8" w:rsidP="002652C1">
      <w:pPr>
        <w:tabs>
          <w:tab w:val="left" w:pos="426"/>
        </w:tabs>
        <w:jc w:val="both"/>
        <w:rPr>
          <w:rFonts w:ascii="Arial" w:eastAsia="Calibri" w:hAnsi="Arial" w:cs="Arial"/>
          <w:noProof/>
          <w:color w:val="000000" w:themeColor="text1"/>
          <w:sz w:val="20"/>
          <w:szCs w:val="20"/>
          <w:lang w:val="es-MX" w:eastAsia="en-US"/>
        </w:rPr>
      </w:pPr>
    </w:p>
    <w:p w14:paraId="5F1D4016" w14:textId="1FC55EDF" w:rsidR="00AB5DF8" w:rsidRPr="00713B6C" w:rsidRDefault="00AB5DF8" w:rsidP="00713B6C">
      <w:pPr>
        <w:ind w:right="49"/>
        <w:jc w:val="both"/>
        <w:rPr>
          <w:rFonts w:ascii="Arial" w:hAnsi="Arial" w:cs="Arial"/>
          <w:bCs/>
          <w:color w:val="000000" w:themeColor="text1"/>
          <w:sz w:val="20"/>
          <w:szCs w:val="20"/>
          <w:lang w:eastAsia="x-none"/>
        </w:rPr>
      </w:pPr>
      <w:r w:rsidRPr="00713B6C">
        <w:rPr>
          <w:rFonts w:ascii="Arial" w:eastAsia="Calibri" w:hAnsi="Arial" w:cs="Arial"/>
          <w:noProof/>
          <w:color w:val="000000" w:themeColor="text1"/>
          <w:sz w:val="20"/>
          <w:szCs w:val="20"/>
          <w:lang w:val="es-MX" w:eastAsia="en-US"/>
        </w:rPr>
        <w:t xml:space="preserve">[…] </w:t>
      </w:r>
      <w:r w:rsidR="00F56DF8" w:rsidRPr="00713B6C">
        <w:rPr>
          <w:rFonts w:ascii="Arial" w:hAnsi="Arial" w:cs="Arial"/>
          <w:color w:val="000000" w:themeColor="text1"/>
          <w:sz w:val="20"/>
          <w:szCs w:val="20"/>
          <w:lang w:eastAsia="x-none"/>
        </w:rPr>
        <w:t xml:space="preserve">la prohibición del artículo 33 de la Ley de Garantías Electorales se refiere a </w:t>
      </w:r>
      <w:r w:rsidR="00F56DF8" w:rsidRPr="00713B6C">
        <w:rPr>
          <w:rFonts w:ascii="Arial" w:hAnsi="Arial" w:cs="Arial"/>
          <w:color w:val="000000" w:themeColor="text1"/>
          <w:sz w:val="20"/>
          <w:szCs w:val="20"/>
          <w:lang w:eastAsia="en-GB"/>
        </w:rPr>
        <w:t>«</w:t>
      </w:r>
      <w:r w:rsidR="00F56DF8" w:rsidRPr="00713B6C">
        <w:rPr>
          <w:rFonts w:ascii="Arial" w:hAnsi="Arial" w:cs="Arial"/>
          <w:color w:val="000000" w:themeColor="text1"/>
          <w:sz w:val="20"/>
          <w:szCs w:val="20"/>
          <w:lang w:eastAsia="x-none"/>
        </w:rPr>
        <w:t>cualquier sistema que no implique convocatoria pública y posibilidad de pluralidad de oferentes</w:t>
      </w:r>
      <w:r w:rsidR="00F56DF8" w:rsidRPr="00713B6C">
        <w:rPr>
          <w:rFonts w:ascii="Arial" w:hAnsi="Arial" w:cs="Arial"/>
          <w:color w:val="000000" w:themeColor="text1"/>
          <w:sz w:val="20"/>
          <w:szCs w:val="20"/>
          <w:lang w:eastAsia="en-GB"/>
        </w:rPr>
        <w:t>»</w:t>
      </w:r>
      <w:r w:rsidR="00F56DF8" w:rsidRPr="00713B6C">
        <w:rPr>
          <w:rFonts w:ascii="Arial" w:hAnsi="Arial" w:cs="Arial"/>
          <w:color w:val="000000" w:themeColor="text1"/>
          <w:sz w:val="20"/>
          <w:szCs w:val="20"/>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007954AF" w:rsidRPr="00713B6C">
        <w:rPr>
          <w:rFonts w:ascii="Arial" w:hAnsi="Arial" w:cs="Arial"/>
          <w:color w:val="000000" w:themeColor="text1"/>
          <w:sz w:val="20"/>
          <w:szCs w:val="20"/>
          <w:vertAlign w:val="superscript"/>
          <w:lang w:val="es-ES" w:eastAsia="x-none"/>
        </w:rPr>
        <w:t xml:space="preserve"> </w:t>
      </w:r>
      <w:r w:rsidR="00F56DF8" w:rsidRPr="00713B6C">
        <w:rPr>
          <w:rFonts w:ascii="Arial" w:hAnsi="Arial" w:cs="Arial"/>
          <w:color w:val="000000" w:themeColor="text1"/>
          <w:sz w:val="20"/>
          <w:szCs w:val="20"/>
          <w:lang w:eastAsia="x-none"/>
        </w:rPr>
        <w:t xml:space="preserve">y sistematizó las causales de contratación directa. De esta forma, con fundamento en la evolución de la normativa sobre la contratación pública, se ha depurado la noción de </w:t>
      </w:r>
      <w:r w:rsidR="00F56DF8" w:rsidRPr="00713B6C">
        <w:rPr>
          <w:rFonts w:ascii="Arial" w:hAnsi="Arial" w:cs="Arial"/>
          <w:color w:val="000000" w:themeColor="text1"/>
          <w:sz w:val="20"/>
          <w:szCs w:val="20"/>
          <w:lang w:eastAsia="en-GB"/>
        </w:rPr>
        <w:t>«</w:t>
      </w:r>
      <w:r w:rsidR="00F56DF8" w:rsidRPr="00713B6C">
        <w:rPr>
          <w:rFonts w:ascii="Arial" w:hAnsi="Arial" w:cs="Arial"/>
          <w:color w:val="000000" w:themeColor="text1"/>
          <w:sz w:val="20"/>
          <w:szCs w:val="20"/>
          <w:lang w:eastAsia="x-none"/>
        </w:rPr>
        <w:t>contratación directa</w:t>
      </w:r>
      <w:r w:rsidR="00F56DF8" w:rsidRPr="00713B6C">
        <w:rPr>
          <w:rFonts w:ascii="Arial" w:hAnsi="Arial" w:cs="Arial"/>
          <w:color w:val="000000" w:themeColor="text1"/>
          <w:sz w:val="20"/>
          <w:szCs w:val="20"/>
          <w:lang w:eastAsia="en-GB"/>
        </w:rPr>
        <w:t>»</w:t>
      </w:r>
      <w:r w:rsidR="00F56DF8" w:rsidRPr="00713B6C">
        <w:rPr>
          <w:rFonts w:ascii="Arial" w:hAnsi="Arial" w:cs="Arial"/>
          <w:color w:val="000000" w:themeColor="text1"/>
          <w:sz w:val="20"/>
          <w:szCs w:val="20"/>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 han establecido sistemas de contratación que implican convocatoria pública y participación de varios oferentes</w:t>
      </w:r>
      <w:r w:rsidR="00F56DF8" w:rsidRPr="00713B6C">
        <w:rPr>
          <w:rFonts w:ascii="Arial" w:hAnsi="Arial" w:cs="Arial"/>
          <w:color w:val="000000" w:themeColor="text1"/>
          <w:sz w:val="20"/>
          <w:szCs w:val="20"/>
          <w:lang w:eastAsia="en-GB"/>
        </w:rPr>
        <w:t>»</w:t>
      </w:r>
      <w:r w:rsidR="00F56DF8" w:rsidRPr="00713B6C">
        <w:rPr>
          <w:rFonts w:ascii="Arial" w:hAnsi="Arial" w:cs="Arial"/>
          <w:color w:val="000000" w:themeColor="text1"/>
          <w:sz w:val="20"/>
          <w:szCs w:val="20"/>
          <w:lang w:eastAsia="x-none"/>
        </w:rPr>
        <w:t>.</w:t>
      </w:r>
    </w:p>
    <w:bookmarkEnd w:id="2"/>
    <w:p w14:paraId="6662A6AF" w14:textId="062EF9A4" w:rsidR="00A1108C" w:rsidRPr="005873AF" w:rsidRDefault="00A1108C" w:rsidP="000340B3">
      <w:pPr>
        <w:jc w:val="both"/>
        <w:rPr>
          <w:rFonts w:ascii="Arial" w:eastAsia="Arial" w:hAnsi="Arial" w:cs="Arial"/>
          <w:bCs/>
          <w:color w:val="000000" w:themeColor="text1"/>
          <w:sz w:val="22"/>
          <w:szCs w:val="22"/>
        </w:rPr>
      </w:pPr>
    </w:p>
    <w:p w14:paraId="532BB815" w14:textId="512372C7" w:rsidR="00A1108C" w:rsidRPr="005873AF" w:rsidRDefault="00A1108C" w:rsidP="000340B3">
      <w:pPr>
        <w:jc w:val="both"/>
        <w:rPr>
          <w:rFonts w:ascii="Arial" w:eastAsia="Arial" w:hAnsi="Arial" w:cs="Arial"/>
          <w:b/>
          <w:bCs/>
          <w:color w:val="000000" w:themeColor="text1"/>
          <w:sz w:val="22"/>
          <w:szCs w:val="22"/>
        </w:rPr>
      </w:pPr>
      <w:r w:rsidRPr="005873AF">
        <w:rPr>
          <w:rFonts w:ascii="Arial" w:eastAsia="Arial" w:hAnsi="Arial" w:cs="Arial"/>
          <w:b/>
          <w:bCs/>
          <w:color w:val="000000" w:themeColor="text1"/>
          <w:sz w:val="22"/>
          <w:szCs w:val="22"/>
        </w:rPr>
        <w:t xml:space="preserve">LEY DE GARANTÍAS ELECTORALES – Excepciones – artículo 33 </w:t>
      </w:r>
    </w:p>
    <w:p w14:paraId="57F71A07" w14:textId="77777777" w:rsidR="00A1108C" w:rsidRPr="005873AF" w:rsidRDefault="00A1108C" w:rsidP="000340B3">
      <w:pPr>
        <w:jc w:val="both"/>
        <w:rPr>
          <w:rFonts w:ascii="Arial" w:eastAsia="Arial" w:hAnsi="Arial" w:cs="Arial"/>
          <w:bCs/>
          <w:color w:val="000000" w:themeColor="text1"/>
          <w:sz w:val="20"/>
          <w:szCs w:val="20"/>
        </w:rPr>
      </w:pPr>
    </w:p>
    <w:p w14:paraId="709D0F8E" w14:textId="7485AE3C" w:rsidR="007954AF" w:rsidRDefault="00713B6C" w:rsidP="00713B6C">
      <w:pPr>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 </w:t>
      </w:r>
      <w:r w:rsidR="007954AF" w:rsidRPr="00713B6C">
        <w:rPr>
          <w:rFonts w:ascii="Arial" w:eastAsia="Arial" w:hAnsi="Arial" w:cs="Arial"/>
          <w:color w:val="000000" w:themeColor="text1"/>
          <w:sz w:val="20"/>
          <w:szCs w:val="20"/>
        </w:rPr>
        <w:t>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 o normas especiales.</w:t>
      </w:r>
    </w:p>
    <w:p w14:paraId="03924449" w14:textId="77777777" w:rsidR="00713B6C" w:rsidRDefault="00713B6C" w:rsidP="00713B6C">
      <w:pPr>
        <w:jc w:val="both"/>
        <w:rPr>
          <w:rFonts w:ascii="Arial" w:eastAsia="Arial" w:hAnsi="Arial" w:cs="Arial"/>
          <w:bCs/>
          <w:color w:val="000000" w:themeColor="text1"/>
          <w:sz w:val="20"/>
          <w:szCs w:val="20"/>
        </w:rPr>
      </w:pPr>
    </w:p>
    <w:p w14:paraId="546AA848" w14:textId="369B6C30" w:rsidR="007954AF" w:rsidRPr="00713B6C" w:rsidRDefault="007954AF" w:rsidP="00713B6C">
      <w:pPr>
        <w:jc w:val="both"/>
        <w:rPr>
          <w:rFonts w:ascii="Arial" w:hAnsi="Arial" w:cs="Arial"/>
          <w:bCs/>
          <w:color w:val="000000" w:themeColor="text1"/>
          <w:sz w:val="20"/>
          <w:szCs w:val="20"/>
          <w:lang w:val="es-ES_tradnl"/>
        </w:rPr>
      </w:pPr>
      <w:r w:rsidRPr="00713B6C">
        <w:rPr>
          <w:rFonts w:ascii="Arial" w:eastAsia="Arial" w:hAnsi="Arial" w:cs="Arial"/>
          <w:bCs/>
          <w:color w:val="000000" w:themeColor="text1"/>
          <w:sz w:val="20"/>
          <w:szCs w:val="20"/>
        </w:rPr>
        <w:t xml:space="preserve">En este punto, debe tenerse en cuenta que, en principio, todos los entes del Estado están cobijados por la prohibición para contratar directamente establecida en el artículo 33 de la Ley de Garantías Electorales. Sin embargo, es importante reiterar que </w:t>
      </w:r>
      <w:r w:rsidRPr="00713B6C">
        <w:rPr>
          <w:rFonts w:ascii="Arial" w:hAnsi="Arial" w:cs="Arial"/>
          <w:bCs/>
          <w:color w:val="000000" w:themeColor="text1"/>
          <w:sz w:val="20"/>
          <w:szCs w:val="20"/>
          <w:lang w:val="es-ES_tradnl"/>
        </w:rPr>
        <w:t>el segundo inciso de la misma disposición consagró las excepciones aplicables a la prohibición de contratación directa establecida en el mismo artículo. Como se indicó, las excepciones a la prohibición del artículo 33 de la norma mencionada son las siguientes:</w:t>
      </w:r>
    </w:p>
    <w:p w14:paraId="1AC6A900"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tab/>
        <w:t>i) La contratación referente a la defensa y seguridad del Estado;</w:t>
      </w:r>
    </w:p>
    <w:p w14:paraId="524E2C7B"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lastRenderedPageBreak/>
        <w:tab/>
        <w:t>ii) Los contratos de crédito público;</w:t>
      </w:r>
    </w:p>
    <w:p w14:paraId="1C0D4F77"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tab/>
        <w:t xml:space="preserve">iii) Los contratos requeridos para cubrir las emergencias educativas, sanitarias y desastres; </w:t>
      </w:r>
    </w:p>
    <w:p w14:paraId="45AE4778"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tab/>
        <w:t>iv) La contratación para la reconstrucción de vías, puentes, carreteras, infraestructura energética y de comunicaciones, en caso de que hayan sido objeto de atentados, acciones terroristas, desastres naturales o casos de fuerza mayor y;</w:t>
      </w:r>
    </w:p>
    <w:p w14:paraId="49F8AC1F" w14:textId="77777777" w:rsidR="007954AF" w:rsidRPr="00713B6C" w:rsidRDefault="007954AF" w:rsidP="00713B6C">
      <w:pPr>
        <w:tabs>
          <w:tab w:val="left" w:pos="709"/>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lang w:val="es-ES_tradnl"/>
        </w:rPr>
        <w:tab/>
        <w:t xml:space="preserve">v) La contratación que deban realizar las entidades sanitarias y hospitalarias. </w:t>
      </w:r>
    </w:p>
    <w:p w14:paraId="09B8E758" w14:textId="77777777" w:rsidR="00C128B2" w:rsidRPr="005873AF" w:rsidRDefault="00C128B2" w:rsidP="003E718C">
      <w:pPr>
        <w:rPr>
          <w:rFonts w:ascii="Arial" w:hAnsi="Arial" w:cs="Arial"/>
          <w:color w:val="000000" w:themeColor="text1"/>
          <w:sz w:val="20"/>
          <w:szCs w:val="20"/>
          <w:lang w:val="es-ES_tradnl"/>
        </w:rPr>
      </w:pPr>
    </w:p>
    <w:p w14:paraId="4A290EFD" w14:textId="48A88CDD" w:rsidR="00C128B2" w:rsidRPr="005873AF" w:rsidRDefault="003E718C" w:rsidP="000340B3">
      <w:pPr>
        <w:jc w:val="both"/>
        <w:rPr>
          <w:rFonts w:ascii="Arial" w:hAnsi="Arial" w:cs="Arial"/>
          <w:b/>
          <w:color w:val="000000" w:themeColor="text1"/>
          <w:sz w:val="22"/>
          <w:szCs w:val="22"/>
        </w:rPr>
      </w:pPr>
      <w:r w:rsidRPr="005873AF">
        <w:rPr>
          <w:rFonts w:ascii="Arial" w:hAnsi="Arial" w:cs="Arial"/>
          <w:b/>
          <w:color w:val="000000" w:themeColor="text1"/>
          <w:sz w:val="22"/>
          <w:szCs w:val="22"/>
        </w:rPr>
        <w:t xml:space="preserve">LEY DE GARANTÍAS ELECTORALES – Excepciones – </w:t>
      </w:r>
      <w:r w:rsidR="00F56DF8">
        <w:rPr>
          <w:rFonts w:ascii="Arial" w:hAnsi="Arial" w:cs="Arial"/>
          <w:b/>
          <w:color w:val="000000" w:themeColor="text1"/>
          <w:sz w:val="22"/>
          <w:szCs w:val="22"/>
        </w:rPr>
        <w:t xml:space="preserve">Destinatarios - </w:t>
      </w:r>
      <w:r w:rsidRPr="005873AF">
        <w:rPr>
          <w:rFonts w:ascii="Arial" w:hAnsi="Arial" w:cs="Arial"/>
          <w:b/>
          <w:color w:val="000000" w:themeColor="text1"/>
          <w:sz w:val="22"/>
          <w:szCs w:val="22"/>
        </w:rPr>
        <w:t>Entidades sanitarias y hospitalarias</w:t>
      </w:r>
    </w:p>
    <w:p w14:paraId="7B4395D4" w14:textId="1D16123F" w:rsidR="003E718C" w:rsidRPr="005873AF" w:rsidRDefault="003E718C" w:rsidP="000340B3">
      <w:pPr>
        <w:rPr>
          <w:rFonts w:ascii="Arial" w:hAnsi="Arial" w:cs="Arial"/>
          <w:color w:val="000000" w:themeColor="text1"/>
          <w:sz w:val="20"/>
          <w:szCs w:val="20"/>
        </w:rPr>
      </w:pPr>
    </w:p>
    <w:p w14:paraId="5C16DC0B" w14:textId="52A277FB" w:rsidR="00F56DF8" w:rsidRDefault="00F56DF8" w:rsidP="00713B6C">
      <w:pPr>
        <w:tabs>
          <w:tab w:val="left" w:pos="426"/>
        </w:tabs>
        <w:jc w:val="both"/>
        <w:rPr>
          <w:rFonts w:ascii="Arial" w:hAnsi="Arial" w:cs="Arial"/>
          <w:bCs/>
          <w:color w:val="000000" w:themeColor="text1"/>
          <w:sz w:val="20"/>
          <w:szCs w:val="20"/>
          <w:lang w:val="es-ES_tradnl"/>
        </w:rPr>
      </w:pPr>
      <w:r w:rsidRPr="00713B6C">
        <w:rPr>
          <w:rFonts w:ascii="Arial" w:hAnsi="Arial" w:cs="Arial"/>
          <w:bCs/>
          <w:color w:val="000000" w:themeColor="text1"/>
          <w:sz w:val="20"/>
          <w:szCs w:val="20"/>
        </w:rPr>
        <w:t xml:space="preserve">[…] </w:t>
      </w:r>
      <w:r w:rsidRPr="00713B6C">
        <w:rPr>
          <w:rFonts w:ascii="Arial" w:hAnsi="Arial" w:cs="Arial"/>
          <w:bCs/>
          <w:color w:val="000000" w:themeColor="text1"/>
          <w:sz w:val="20"/>
          <w:szCs w:val="20"/>
          <w:lang w:val="es-ES_tradnl"/>
        </w:rPr>
        <w:t xml:space="preserve">las Empresas Sociales del Estado podrían suscribir contratos bajo la modalidad de contratación directa, porque el inciso segundo del artículo 33 de la Ley 996 de 2005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 </w:t>
      </w:r>
    </w:p>
    <w:p w14:paraId="3DE1B4DF" w14:textId="77777777" w:rsidR="00F56DF8" w:rsidRPr="00713B6C" w:rsidRDefault="00F56DF8" w:rsidP="00713B6C">
      <w:pPr>
        <w:tabs>
          <w:tab w:val="left" w:pos="426"/>
        </w:tabs>
        <w:jc w:val="both"/>
        <w:rPr>
          <w:rFonts w:ascii="Arial" w:hAnsi="Arial" w:cs="Arial"/>
          <w:bCs/>
          <w:color w:val="000000" w:themeColor="text1"/>
          <w:sz w:val="20"/>
          <w:szCs w:val="20"/>
          <w:lang w:val="es-ES_tradnl"/>
        </w:rPr>
      </w:pPr>
    </w:p>
    <w:p w14:paraId="60AA84CD" w14:textId="6A33B0E9" w:rsidR="00F56DF8" w:rsidRPr="00713B6C" w:rsidRDefault="00F56DF8" w:rsidP="00713B6C">
      <w:pPr>
        <w:tabs>
          <w:tab w:val="left" w:pos="426"/>
        </w:tabs>
        <w:jc w:val="both"/>
        <w:rPr>
          <w:rFonts w:ascii="Arial" w:hAnsi="Arial" w:cs="Arial"/>
          <w:bCs/>
          <w:color w:val="000000" w:themeColor="text1"/>
          <w:sz w:val="20"/>
          <w:szCs w:val="20"/>
          <w:lang w:val="es-ES_tradnl"/>
        </w:rPr>
      </w:pPr>
      <w:r w:rsidRPr="00713B6C">
        <w:rPr>
          <w:rFonts w:ascii="Arial" w:eastAsia="Arial" w:hAnsi="Arial" w:cs="Arial"/>
          <w:bCs/>
          <w:color w:val="000000" w:themeColor="text1"/>
          <w:sz w:val="20"/>
          <w:szCs w:val="20"/>
        </w:rPr>
        <w:t xml:space="preserve">De otro lado, en relación con las entidades sanitarias, conviene diferenciar los conceptos de entidad sanitaria y autoridad sanitara. En efecto, el artículo 2.8.8.1.1.3 del Decreto 780 de 2016, «Por medio del cual se expide el Decreto Único Reglamentario del Sector Salud y Protección Social», define las </w:t>
      </w:r>
      <w:r w:rsidRPr="00713B6C">
        <w:rPr>
          <w:rFonts w:ascii="Arial" w:eastAsia="Arial" w:hAnsi="Arial" w:cs="Arial"/>
          <w:bCs/>
          <w:i/>
          <w:iCs/>
          <w:color w:val="000000" w:themeColor="text1"/>
          <w:sz w:val="20"/>
          <w:szCs w:val="20"/>
        </w:rPr>
        <w:t>entidades sanitarias</w:t>
      </w:r>
      <w:r w:rsidRPr="00713B6C">
        <w:rPr>
          <w:rFonts w:ascii="Arial" w:eastAsia="Arial" w:hAnsi="Arial" w:cs="Arial"/>
          <w:bCs/>
          <w:color w:val="000000" w:themeColor="text1"/>
          <w:sz w:val="20"/>
          <w:szCs w:val="20"/>
        </w:rPr>
        <w:t xml:space="preserve"> como «Entidades del Estado que prestan servicios sanitarios o de sanidad con el propósito de preservar la salud humana y la salud pública». Así mismo, el artículo citado también define las </w:t>
      </w:r>
      <w:r w:rsidRPr="00713B6C">
        <w:rPr>
          <w:rFonts w:ascii="Arial" w:eastAsia="Arial" w:hAnsi="Arial" w:cs="Arial"/>
          <w:bCs/>
          <w:i/>
          <w:iCs/>
          <w:color w:val="000000" w:themeColor="text1"/>
          <w:sz w:val="20"/>
          <w:szCs w:val="20"/>
        </w:rPr>
        <w:t>autoridades sanitarias</w:t>
      </w:r>
      <w:r w:rsidRPr="00713B6C">
        <w:rPr>
          <w:rFonts w:ascii="Arial" w:eastAsia="Arial" w:hAnsi="Arial" w:cs="Arial"/>
          <w:bCs/>
          <w:color w:val="000000" w:themeColor="text1"/>
          <w:sz w:val="20"/>
          <w:szCs w:val="20"/>
        </w:rPr>
        <w:t xml:space="preserve"> como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 Sin embargo, es necesario tener en cuenta que la excepción del artículo 33 de la Ley de Garantías solo aplica a las </w:t>
      </w:r>
      <w:r w:rsidRPr="00713B6C">
        <w:rPr>
          <w:rFonts w:ascii="Arial" w:eastAsia="Arial" w:hAnsi="Arial" w:cs="Arial"/>
          <w:bCs/>
          <w:i/>
          <w:iCs/>
          <w:color w:val="000000" w:themeColor="text1"/>
          <w:sz w:val="20"/>
          <w:szCs w:val="20"/>
        </w:rPr>
        <w:t>entidades sanitarias</w:t>
      </w:r>
      <w:r w:rsidRPr="00713B6C">
        <w:rPr>
          <w:rFonts w:ascii="Arial" w:eastAsia="Arial" w:hAnsi="Arial" w:cs="Arial"/>
          <w:bCs/>
          <w:color w:val="000000" w:themeColor="text1"/>
          <w:sz w:val="20"/>
          <w:szCs w:val="20"/>
        </w:rPr>
        <w:t xml:space="preserve">, no a las </w:t>
      </w:r>
      <w:r w:rsidRPr="00713B6C">
        <w:rPr>
          <w:rFonts w:ascii="Arial" w:eastAsia="Arial" w:hAnsi="Arial" w:cs="Arial"/>
          <w:bCs/>
          <w:i/>
          <w:iCs/>
          <w:color w:val="000000" w:themeColor="text1"/>
          <w:sz w:val="20"/>
          <w:szCs w:val="20"/>
        </w:rPr>
        <w:t>autoridades sanitarias</w:t>
      </w:r>
      <w:r w:rsidRPr="00713B6C">
        <w:rPr>
          <w:rFonts w:ascii="Arial" w:eastAsia="Arial" w:hAnsi="Arial" w:cs="Arial"/>
          <w:bCs/>
          <w:color w:val="000000" w:themeColor="text1"/>
          <w:sz w:val="20"/>
          <w:szCs w:val="20"/>
        </w:rPr>
        <w:t xml:space="preserve">. </w:t>
      </w:r>
      <w:r w:rsidRPr="00713B6C">
        <w:rPr>
          <w:rFonts w:ascii="Arial" w:eastAsia="Arial" w:hAnsi="Arial" w:cs="Arial"/>
          <w:bCs/>
          <w:color w:val="000000" w:themeColor="text1"/>
          <w:sz w:val="20"/>
          <w:szCs w:val="20"/>
          <w:lang w:val="es-ES_tradnl"/>
        </w:rPr>
        <w:t xml:space="preserve">Así las cosas, para efectos de la excepción del artículo 33 es indiferente que la entidad estatal tenga funciones de </w:t>
      </w:r>
      <w:r w:rsidRPr="00713B6C">
        <w:rPr>
          <w:rFonts w:ascii="Arial" w:eastAsia="Arial" w:hAnsi="Arial" w:cs="Arial"/>
          <w:bCs/>
          <w:i/>
          <w:iCs/>
          <w:color w:val="000000" w:themeColor="text1"/>
          <w:sz w:val="20"/>
          <w:szCs w:val="20"/>
          <w:lang w:val="es-ES_tradnl"/>
        </w:rPr>
        <w:t>autoridad sanitaria</w:t>
      </w:r>
      <w:r w:rsidRPr="00713B6C">
        <w:rPr>
          <w:rFonts w:ascii="Arial" w:eastAsia="Arial" w:hAnsi="Arial" w:cs="Arial"/>
          <w:bCs/>
          <w:color w:val="000000" w:themeColor="text1"/>
          <w:sz w:val="20"/>
          <w:szCs w:val="20"/>
          <w:lang w:val="es-ES_tradnl"/>
        </w:rPr>
        <w:t xml:space="preserve">, pues lo relevante para determinar si la contratación está exceptuada de la prohibición general no es el carácter de autoridad sanitaria, sino que se trate de una </w:t>
      </w:r>
      <w:r w:rsidRPr="00713B6C">
        <w:rPr>
          <w:rFonts w:ascii="Arial" w:eastAsia="Arial" w:hAnsi="Arial" w:cs="Arial"/>
          <w:bCs/>
          <w:i/>
          <w:iCs/>
          <w:color w:val="000000" w:themeColor="text1"/>
          <w:sz w:val="20"/>
          <w:szCs w:val="20"/>
          <w:lang w:val="es-ES_tradnl"/>
        </w:rPr>
        <w:t>entidad sanitaria</w:t>
      </w:r>
      <w:r w:rsidRPr="00713B6C">
        <w:rPr>
          <w:rFonts w:ascii="Arial" w:eastAsia="Arial" w:hAnsi="Arial" w:cs="Arial"/>
          <w:bCs/>
          <w:color w:val="000000" w:themeColor="text1"/>
          <w:sz w:val="20"/>
          <w:szCs w:val="20"/>
          <w:lang w:val="es-ES_tradnl"/>
        </w:rPr>
        <w:t xml:space="preserve">. </w:t>
      </w:r>
    </w:p>
    <w:p w14:paraId="16352EB4" w14:textId="63C99904" w:rsidR="00DE104F" w:rsidRPr="005873AF" w:rsidRDefault="00F56DF8" w:rsidP="00713B6C">
      <w:pPr>
        <w:rPr>
          <w:rFonts w:ascii="Arial" w:hAnsi="Arial" w:cs="Arial"/>
          <w:color w:val="000000" w:themeColor="text1"/>
          <w:sz w:val="22"/>
        </w:rPr>
      </w:pPr>
      <w:r w:rsidRPr="00713B6C" w:rsidDel="00F56DF8">
        <w:rPr>
          <w:rFonts w:ascii="Arial" w:hAnsi="Arial" w:cs="Arial"/>
          <w:bCs/>
          <w:color w:val="000000" w:themeColor="text1"/>
          <w:sz w:val="20"/>
          <w:szCs w:val="20"/>
        </w:rPr>
        <w:t xml:space="preserve"> </w:t>
      </w:r>
    </w:p>
    <w:p w14:paraId="7A4E8D31"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3C3CD04D"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7F7E5E95"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6BB4BC8E"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61B659C2"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45EDA3D0"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3C5B61C4"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14B04D59"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3C59902E"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5E0FBD0B" w14:textId="77777777"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246A2A59" w14:textId="29448DB0" w:rsidR="001A3C58" w:rsidRDefault="001A3C5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r w:rsidRPr="005873AF">
        <w:rPr>
          <w:rFonts w:ascii="Arial" w:eastAsia="Arial MT" w:hAnsi="Arial MT" w:cs="Arial MT"/>
          <w:b/>
          <w:color w:val="000000" w:themeColor="text1"/>
          <w:sz w:val="18"/>
          <w:szCs w:val="22"/>
          <w:lang w:val="es-ES" w:eastAsia="en-US"/>
        </w:rPr>
        <w:t xml:space="preserve">                  </w:t>
      </w:r>
    </w:p>
    <w:p w14:paraId="45FC6D28" w14:textId="522878B4"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75AB6994" w14:textId="7DF558DA"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4E600E55" w14:textId="1CEB94C9" w:rsidR="00F56DF8" w:rsidRDefault="00F56DF8"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14B79B5E" w14:textId="1139FB8D" w:rsidR="00713B6C" w:rsidRDefault="00713B6C"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p>
    <w:p w14:paraId="78740B7D" w14:textId="60F00C77" w:rsidR="00713B6C" w:rsidRDefault="00E47C87" w:rsidP="00300726">
      <w:pPr>
        <w:widowControl w:val="0"/>
        <w:autoSpaceDE w:val="0"/>
        <w:autoSpaceDN w:val="0"/>
        <w:spacing w:before="94"/>
        <w:ind w:right="533"/>
        <w:jc w:val="right"/>
        <w:rPr>
          <w:rFonts w:ascii="Arial" w:eastAsia="Arial MT" w:hAnsi="Arial MT" w:cs="Arial MT"/>
          <w:b/>
          <w:color w:val="000000" w:themeColor="text1"/>
          <w:sz w:val="18"/>
          <w:szCs w:val="22"/>
          <w:lang w:val="es-ES" w:eastAsia="en-US"/>
        </w:rPr>
      </w:pPr>
      <w:r>
        <w:rPr>
          <w:rFonts w:eastAsia="Arial MT" w:hAnsi="Arial MT" w:cs="Arial MT"/>
          <w:noProof/>
          <w:sz w:val="20"/>
          <w:szCs w:val="22"/>
          <w:lang w:val="en-US" w:eastAsia="en-US"/>
        </w:rPr>
        <w:lastRenderedPageBreak/>
        <w:drawing>
          <wp:anchor distT="0" distB="0" distL="114300" distR="114300" simplePos="0" relativeHeight="251660288" behindDoc="0" locked="0" layoutInCell="1" allowOverlap="1" wp14:anchorId="770AAD9E" wp14:editId="6D027999">
            <wp:simplePos x="0" y="0"/>
            <wp:positionH relativeFrom="column">
              <wp:posOffset>3168015</wp:posOffset>
            </wp:positionH>
            <wp:positionV relativeFrom="paragraph">
              <wp:posOffset>0</wp:posOffset>
            </wp:positionV>
            <wp:extent cx="2400300" cy="61595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5950"/>
                    </a:xfrm>
                    <a:prstGeom prst="rect">
                      <a:avLst/>
                    </a:prstGeom>
                    <a:noFill/>
                    <a:ln>
                      <a:noFill/>
                    </a:ln>
                  </pic:spPr>
                </pic:pic>
              </a:graphicData>
            </a:graphic>
          </wp:anchor>
        </w:drawing>
      </w:r>
    </w:p>
    <w:p w14:paraId="552E64EF" w14:textId="5123AEA7" w:rsidR="00E47C87" w:rsidRPr="00E47C87" w:rsidRDefault="00E47C87" w:rsidP="00E47C87">
      <w:pPr>
        <w:widowControl w:val="0"/>
        <w:autoSpaceDE w:val="0"/>
        <w:autoSpaceDN w:val="0"/>
        <w:ind w:left="3812"/>
        <w:rPr>
          <w:rFonts w:eastAsia="Arial MT" w:hAnsi="Arial MT" w:cs="Arial MT"/>
          <w:sz w:val="20"/>
          <w:szCs w:val="22"/>
          <w:lang w:val="es-ES" w:eastAsia="en-US"/>
        </w:rPr>
      </w:pPr>
    </w:p>
    <w:p w14:paraId="6FE31238" w14:textId="77777777" w:rsidR="00E47C87" w:rsidRPr="00E47C87" w:rsidRDefault="00E47C87" w:rsidP="00E47C87">
      <w:pPr>
        <w:widowControl w:val="0"/>
        <w:autoSpaceDE w:val="0"/>
        <w:autoSpaceDN w:val="0"/>
        <w:spacing w:before="1"/>
        <w:rPr>
          <w:rFonts w:eastAsia="Arial MT" w:hAnsi="Arial MT" w:cs="Arial MT"/>
          <w:sz w:val="21"/>
          <w:szCs w:val="22"/>
          <w:lang w:val="es-ES" w:eastAsia="en-US"/>
        </w:rPr>
      </w:pPr>
    </w:p>
    <w:p w14:paraId="3DBA01E4" w14:textId="77777777" w:rsidR="00E47C87" w:rsidRDefault="00E47C87" w:rsidP="00E47C87">
      <w:pPr>
        <w:widowControl w:val="0"/>
        <w:autoSpaceDE w:val="0"/>
        <w:autoSpaceDN w:val="0"/>
        <w:spacing w:before="94"/>
        <w:ind w:right="533"/>
        <w:jc w:val="right"/>
        <w:rPr>
          <w:rFonts w:ascii="Arial" w:eastAsia="Arial MT" w:hAnsi="Arial MT" w:cs="Arial MT"/>
          <w:b/>
          <w:color w:val="585858"/>
          <w:sz w:val="18"/>
          <w:szCs w:val="22"/>
          <w:lang w:val="es-ES" w:eastAsia="en-US"/>
        </w:rPr>
      </w:pPr>
    </w:p>
    <w:p w14:paraId="753ECFAC" w14:textId="5EF024A0" w:rsidR="00E47C87" w:rsidRPr="00E47C87" w:rsidRDefault="00E47C87" w:rsidP="00E47C87">
      <w:pPr>
        <w:widowControl w:val="0"/>
        <w:autoSpaceDE w:val="0"/>
        <w:autoSpaceDN w:val="0"/>
        <w:spacing w:before="94"/>
        <w:ind w:right="533"/>
        <w:jc w:val="right"/>
        <w:rPr>
          <w:rFonts w:ascii="Arial" w:eastAsia="Arial MT" w:hAnsi="Arial MT" w:cs="Arial MT"/>
          <w:b/>
          <w:sz w:val="18"/>
          <w:szCs w:val="22"/>
          <w:lang w:val="es-ES" w:eastAsia="en-US"/>
        </w:rPr>
      </w:pPr>
      <w:r w:rsidRPr="00E47C87">
        <w:rPr>
          <w:rFonts w:ascii="Arial" w:eastAsia="Arial MT" w:hAnsi="Arial MT" w:cs="Arial MT"/>
          <w:b/>
          <w:color w:val="585858"/>
          <w:sz w:val="18"/>
          <w:szCs w:val="22"/>
          <w:lang w:val="es-ES" w:eastAsia="en-US"/>
        </w:rPr>
        <w:t>CCE-DES-FM-17</w:t>
      </w:r>
    </w:p>
    <w:p w14:paraId="42F1D0CC" w14:textId="1F91F072" w:rsidR="00300726" w:rsidRPr="005873AF" w:rsidRDefault="00300726" w:rsidP="00300726">
      <w:pPr>
        <w:widowControl w:val="0"/>
        <w:autoSpaceDE w:val="0"/>
        <w:autoSpaceDN w:val="0"/>
        <w:rPr>
          <w:rFonts w:ascii="Arial" w:eastAsia="Arial MT" w:hAnsi="Arial MT" w:cs="Arial MT"/>
          <w:b/>
          <w:color w:val="000000" w:themeColor="text1"/>
          <w:sz w:val="20"/>
          <w:szCs w:val="22"/>
          <w:lang w:val="es-ES" w:eastAsia="en-US"/>
        </w:rPr>
      </w:pPr>
    </w:p>
    <w:p w14:paraId="3CC1FF42" w14:textId="77777777" w:rsidR="001A3C58" w:rsidRPr="005873AF" w:rsidRDefault="001A3C58" w:rsidP="00300726">
      <w:pPr>
        <w:widowControl w:val="0"/>
        <w:autoSpaceDE w:val="0"/>
        <w:autoSpaceDN w:val="0"/>
        <w:rPr>
          <w:rFonts w:ascii="Arial" w:eastAsia="Arial MT" w:hAnsi="Arial MT" w:cs="Arial MT"/>
          <w:b/>
          <w:color w:val="000000" w:themeColor="text1"/>
          <w:sz w:val="20"/>
          <w:szCs w:val="22"/>
          <w:lang w:val="es-ES" w:eastAsia="en-US"/>
        </w:rPr>
      </w:pPr>
    </w:p>
    <w:p w14:paraId="51E40876" w14:textId="0ACFABDB" w:rsidR="00300726" w:rsidRPr="005873AF" w:rsidRDefault="00300726" w:rsidP="00481870">
      <w:pPr>
        <w:widowControl w:val="0"/>
        <w:autoSpaceDE w:val="0"/>
        <w:autoSpaceDN w:val="0"/>
        <w:rPr>
          <w:rFonts w:ascii="Arial" w:eastAsia="Arial MT" w:hAnsi="Arial" w:cs="Arial"/>
          <w:color w:val="000000" w:themeColor="text1"/>
          <w:sz w:val="22"/>
          <w:szCs w:val="22"/>
          <w:lang w:val="es-ES" w:eastAsia="en-US"/>
        </w:rPr>
      </w:pPr>
      <w:r w:rsidRPr="005873AF">
        <w:rPr>
          <w:rFonts w:ascii="Arial" w:eastAsia="Arial MT" w:hAnsi="Arial" w:cs="Arial"/>
          <w:color w:val="000000" w:themeColor="text1"/>
          <w:sz w:val="22"/>
          <w:szCs w:val="22"/>
          <w:lang w:val="es-ES" w:eastAsia="en-US"/>
        </w:rPr>
        <w:t>Bogotá,</w:t>
      </w:r>
      <w:r w:rsidRPr="005873AF">
        <w:rPr>
          <w:rFonts w:ascii="Arial" w:eastAsia="Arial MT" w:hAnsi="Arial" w:cs="Arial"/>
          <w:color w:val="000000" w:themeColor="text1"/>
          <w:spacing w:val="-2"/>
          <w:sz w:val="22"/>
          <w:szCs w:val="22"/>
          <w:lang w:val="es-ES" w:eastAsia="en-US"/>
        </w:rPr>
        <w:t xml:space="preserve"> </w:t>
      </w:r>
      <w:r w:rsidR="00E47C87">
        <w:rPr>
          <w:rFonts w:ascii="Arial" w:eastAsia="Arial MT" w:hAnsi="Arial" w:cs="Arial"/>
          <w:color w:val="000000" w:themeColor="text1"/>
          <w:spacing w:val="-2"/>
          <w:sz w:val="22"/>
          <w:szCs w:val="22"/>
          <w:lang w:val="es-ES" w:eastAsia="en-US"/>
        </w:rPr>
        <w:t>04 de marzo de 2022</w:t>
      </w:r>
    </w:p>
    <w:p w14:paraId="176395FC" w14:textId="29CCCF72" w:rsidR="002F3E4E" w:rsidRPr="005873AF" w:rsidRDefault="002F3E4E" w:rsidP="00B95C30">
      <w:pPr>
        <w:jc w:val="both"/>
        <w:rPr>
          <w:rFonts w:ascii="Arial" w:hAnsi="Arial" w:cs="Arial"/>
          <w:bCs/>
          <w:color w:val="000000" w:themeColor="text1"/>
          <w:sz w:val="22"/>
          <w:szCs w:val="22"/>
          <w:lang w:val="es-ES_tradnl"/>
        </w:rPr>
      </w:pPr>
    </w:p>
    <w:p w14:paraId="313F1E48" w14:textId="77777777" w:rsidR="00700BDE" w:rsidRPr="005873AF" w:rsidRDefault="00700BDE" w:rsidP="00B95C30">
      <w:pPr>
        <w:jc w:val="both"/>
        <w:rPr>
          <w:rFonts w:ascii="Arial" w:hAnsi="Arial" w:cs="Arial"/>
          <w:bCs/>
          <w:color w:val="000000" w:themeColor="text1"/>
          <w:sz w:val="22"/>
          <w:szCs w:val="22"/>
          <w:lang w:val="es-ES_tradnl"/>
        </w:rPr>
      </w:pPr>
    </w:p>
    <w:p w14:paraId="5F5AE9EF" w14:textId="3D083150" w:rsidR="00B95C30" w:rsidRPr="005873AF" w:rsidRDefault="00BE4FBF" w:rsidP="00B95C30">
      <w:pPr>
        <w:jc w:val="both"/>
        <w:rPr>
          <w:rFonts w:ascii="Arial" w:eastAsia="Calibri" w:hAnsi="Arial" w:cs="Arial"/>
          <w:color w:val="000000" w:themeColor="text1"/>
          <w:sz w:val="22"/>
          <w:szCs w:val="22"/>
        </w:rPr>
      </w:pPr>
      <w:bookmarkStart w:id="8" w:name="_Hlk80951783"/>
      <w:r w:rsidRPr="005873AF">
        <w:rPr>
          <w:rFonts w:ascii="Arial" w:eastAsia="Calibri" w:hAnsi="Arial" w:cs="Arial"/>
          <w:color w:val="000000" w:themeColor="text1"/>
          <w:sz w:val="22"/>
          <w:szCs w:val="22"/>
        </w:rPr>
        <w:t>Señor</w:t>
      </w:r>
      <w:r w:rsidR="00093B01" w:rsidRPr="005873AF">
        <w:rPr>
          <w:rFonts w:ascii="Arial" w:eastAsia="Calibri" w:hAnsi="Arial" w:cs="Arial"/>
          <w:color w:val="000000" w:themeColor="text1"/>
          <w:sz w:val="22"/>
          <w:szCs w:val="22"/>
        </w:rPr>
        <w:t>a</w:t>
      </w:r>
    </w:p>
    <w:p w14:paraId="34BF62D2" w14:textId="67DFC986" w:rsidR="00A56E1D" w:rsidRPr="005873AF" w:rsidRDefault="00093B01" w:rsidP="00B95C30">
      <w:pPr>
        <w:jc w:val="both"/>
        <w:rPr>
          <w:rFonts w:ascii="Arial" w:eastAsia="Calibri" w:hAnsi="Arial" w:cs="Arial"/>
          <w:b/>
          <w:color w:val="000000" w:themeColor="text1"/>
          <w:sz w:val="22"/>
          <w:szCs w:val="22"/>
        </w:rPr>
      </w:pPr>
      <w:r w:rsidRPr="005873AF">
        <w:rPr>
          <w:rFonts w:ascii="Arial" w:eastAsia="Calibri" w:hAnsi="Arial" w:cs="Arial"/>
          <w:b/>
          <w:color w:val="000000" w:themeColor="text1"/>
          <w:sz w:val="22"/>
          <w:szCs w:val="22"/>
        </w:rPr>
        <w:t>Olga Lucía Zuluaga</w:t>
      </w:r>
    </w:p>
    <w:p w14:paraId="34293C12" w14:textId="0CD867D7" w:rsidR="008164D9" w:rsidRPr="005873AF" w:rsidRDefault="00093B01" w:rsidP="00B95C30">
      <w:pPr>
        <w:jc w:val="both"/>
        <w:rPr>
          <w:rFonts w:ascii="Arial" w:hAnsi="Arial" w:cs="Arial"/>
          <w:color w:val="000000" w:themeColor="text1"/>
          <w:sz w:val="22"/>
          <w:szCs w:val="22"/>
        </w:rPr>
      </w:pPr>
      <w:r w:rsidRPr="005873AF">
        <w:rPr>
          <w:rFonts w:ascii="Arial" w:hAnsi="Arial" w:cs="Arial"/>
          <w:color w:val="000000" w:themeColor="text1"/>
          <w:sz w:val="22"/>
          <w:szCs w:val="22"/>
        </w:rPr>
        <w:t>Bogotá-Colombia</w:t>
      </w:r>
    </w:p>
    <w:p w14:paraId="6514542E" w14:textId="77777777" w:rsidR="00093B01" w:rsidRPr="005873AF" w:rsidRDefault="00093B01" w:rsidP="00B95C30">
      <w:pPr>
        <w:jc w:val="both"/>
        <w:rPr>
          <w:rFonts w:ascii="Arial" w:eastAsia="Calibri" w:hAnsi="Arial" w:cs="Arial"/>
          <w:color w:val="000000" w:themeColor="text1"/>
          <w:sz w:val="22"/>
          <w:szCs w:val="22"/>
        </w:rPr>
      </w:pPr>
    </w:p>
    <w:p w14:paraId="0942E2A4" w14:textId="77777777" w:rsidR="000254DD" w:rsidRPr="005873AF" w:rsidRDefault="000254DD" w:rsidP="00B95C30">
      <w:pPr>
        <w:jc w:val="both"/>
        <w:rPr>
          <w:rFonts w:ascii="Arial" w:eastAsia="Calibri" w:hAnsi="Arial" w:cs="Arial"/>
          <w:color w:val="000000" w:themeColor="text1"/>
          <w:sz w:val="22"/>
          <w:szCs w:val="22"/>
        </w:rPr>
      </w:pPr>
    </w:p>
    <w:p w14:paraId="12E66182" w14:textId="0A9830A0" w:rsidR="00B95C30" w:rsidRPr="005873AF" w:rsidRDefault="00A25F2F" w:rsidP="004004C2">
      <w:pPr>
        <w:rPr>
          <w:rFonts w:ascii="Arial" w:eastAsia="Calibri" w:hAnsi="Arial" w:cs="Arial"/>
          <w:b/>
          <w:bCs/>
          <w:color w:val="000000" w:themeColor="text1"/>
          <w:sz w:val="22"/>
          <w:szCs w:val="22"/>
          <w:lang w:val="es-ES_tradnl"/>
        </w:rPr>
      </w:pPr>
      <w:r w:rsidRPr="005873AF">
        <w:rPr>
          <w:rFonts w:ascii="Arial" w:eastAsia="Calibri" w:hAnsi="Arial" w:cs="Arial"/>
          <w:b/>
          <w:bCs/>
          <w:color w:val="000000" w:themeColor="text1"/>
          <w:sz w:val="22"/>
          <w:szCs w:val="22"/>
        </w:rPr>
        <w:t xml:space="preserve">                                            </w:t>
      </w:r>
      <w:r w:rsidR="00B95C30" w:rsidRPr="005873AF">
        <w:rPr>
          <w:rFonts w:ascii="Arial" w:eastAsia="Calibri" w:hAnsi="Arial" w:cs="Arial"/>
          <w:b/>
          <w:bCs/>
          <w:color w:val="000000" w:themeColor="text1"/>
          <w:sz w:val="22"/>
          <w:szCs w:val="22"/>
          <w:lang w:val="es-ES_tradnl"/>
        </w:rPr>
        <w:t>Concepto C ‒</w:t>
      </w:r>
      <w:r w:rsidR="00856F87" w:rsidRPr="005873AF">
        <w:rPr>
          <w:rFonts w:ascii="Arial" w:eastAsia="Calibri" w:hAnsi="Arial" w:cs="Arial"/>
          <w:b/>
          <w:bCs/>
          <w:color w:val="000000" w:themeColor="text1"/>
          <w:sz w:val="22"/>
          <w:szCs w:val="22"/>
          <w:lang w:val="es-ES_tradnl"/>
        </w:rPr>
        <w:t xml:space="preserve"> </w:t>
      </w:r>
      <w:r w:rsidR="004505D4" w:rsidRPr="005873AF">
        <w:rPr>
          <w:rFonts w:ascii="Arial" w:eastAsia="Calibri" w:hAnsi="Arial" w:cs="Arial"/>
          <w:b/>
          <w:bCs/>
          <w:color w:val="000000" w:themeColor="text1"/>
          <w:sz w:val="22"/>
          <w:szCs w:val="22"/>
          <w:lang w:val="es-ES_tradnl"/>
        </w:rPr>
        <w:t>044</w:t>
      </w:r>
      <w:r w:rsidR="005E3AF3" w:rsidRPr="005873AF">
        <w:rPr>
          <w:rFonts w:ascii="Arial" w:eastAsia="Calibri" w:hAnsi="Arial" w:cs="Arial"/>
          <w:b/>
          <w:bCs/>
          <w:color w:val="000000" w:themeColor="text1"/>
          <w:sz w:val="22"/>
          <w:szCs w:val="22"/>
          <w:lang w:val="es-ES_tradnl"/>
        </w:rPr>
        <w:t xml:space="preserve"> de 2022</w:t>
      </w:r>
    </w:p>
    <w:p w14:paraId="20200123" w14:textId="461A4C5D" w:rsidR="0096347F" w:rsidRPr="005873AF" w:rsidRDefault="0096347F" w:rsidP="00B95C30">
      <w:pPr>
        <w:jc w:val="both"/>
        <w:rPr>
          <w:rFonts w:ascii="Arial" w:eastAsia="Calibri" w:hAnsi="Arial" w:cs="Arial"/>
          <w:color w:val="000000" w:themeColor="text1"/>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A6B87" w:rsidRPr="005873AF" w14:paraId="19DFC051" w14:textId="77777777" w:rsidTr="008F4163">
        <w:tc>
          <w:tcPr>
            <w:tcW w:w="2689" w:type="dxa"/>
          </w:tcPr>
          <w:p w14:paraId="6BC0D1AC" w14:textId="77777777" w:rsidR="00B95C30" w:rsidRPr="005873AF" w:rsidRDefault="00B95C30" w:rsidP="008F4163">
            <w:pPr>
              <w:jc w:val="both"/>
              <w:rPr>
                <w:rFonts w:ascii="Arial" w:eastAsia="Calibri" w:hAnsi="Arial" w:cs="Arial"/>
                <w:b/>
                <w:color w:val="000000" w:themeColor="text1"/>
                <w:sz w:val="22"/>
                <w:szCs w:val="22"/>
                <w:lang w:val="es-ES_tradnl"/>
              </w:rPr>
            </w:pPr>
            <w:r w:rsidRPr="005873AF">
              <w:rPr>
                <w:rFonts w:ascii="Arial" w:eastAsia="Calibri" w:hAnsi="Arial" w:cs="Arial"/>
                <w:b/>
                <w:color w:val="000000" w:themeColor="text1"/>
                <w:sz w:val="22"/>
                <w:szCs w:val="22"/>
                <w:lang w:val="es-ES_tradnl"/>
              </w:rPr>
              <w:t xml:space="preserve">Temas:                                      </w:t>
            </w:r>
          </w:p>
        </w:tc>
        <w:tc>
          <w:tcPr>
            <w:tcW w:w="6237" w:type="dxa"/>
          </w:tcPr>
          <w:p w14:paraId="46808AFE" w14:textId="77777777" w:rsidR="00713B6C" w:rsidRPr="00713B6C" w:rsidRDefault="00713B6C" w:rsidP="00713B6C">
            <w:pPr>
              <w:jc w:val="both"/>
              <w:rPr>
                <w:rFonts w:ascii="Arial" w:hAnsi="Arial" w:cs="Arial"/>
                <w:color w:val="000000" w:themeColor="text1"/>
                <w:sz w:val="22"/>
                <w:szCs w:val="22"/>
              </w:rPr>
            </w:pPr>
            <w:r w:rsidRPr="00713B6C">
              <w:rPr>
                <w:rFonts w:ascii="Arial" w:eastAsia="Calibri" w:hAnsi="Arial" w:cs="Arial"/>
                <w:bCs/>
                <w:color w:val="000000" w:themeColor="text1"/>
                <w:sz w:val="22"/>
                <w:szCs w:val="22"/>
                <w:lang w:val="es-MX" w:eastAsia="en-US"/>
              </w:rPr>
              <w:t xml:space="preserve">PLAN DE SALUD PÚBLICA DE INTERVENCIONES COLECTIVAS – PIC – Definición – contratación / </w:t>
            </w:r>
            <w:r w:rsidR="00D353F8" w:rsidRPr="00713B6C">
              <w:rPr>
                <w:rFonts w:ascii="Arial" w:eastAsia="Calibri" w:hAnsi="Arial" w:cs="Arial"/>
                <w:bCs/>
                <w:color w:val="000000" w:themeColor="text1"/>
                <w:sz w:val="22"/>
                <w:szCs w:val="22"/>
                <w:lang w:val="es-MX" w:eastAsia="en-US"/>
              </w:rPr>
              <w:t xml:space="preserve">LEY DE GARANTÍAS ELECTORALES – Finalidad / LEY DE GARANTÍAS ELECTORALES ‒ Restricciones ‒ Contratación ‒ Tipos de elección / </w:t>
            </w:r>
            <w:r w:rsidRPr="00713B6C">
              <w:rPr>
                <w:rFonts w:ascii="Arial" w:eastAsia="Calibri" w:hAnsi="Arial" w:cs="Arial"/>
                <w:noProof/>
                <w:color w:val="000000" w:themeColor="text1"/>
                <w:sz w:val="22"/>
                <w:szCs w:val="22"/>
                <w:lang w:val="es-ES_tradnl" w:eastAsia="en-US"/>
              </w:rPr>
              <w:t xml:space="preserve">LEY DE GARANTÍAS ELECTORALES – Contratos y convenios interadministrativos – restricción – parágrafo del artículo 38 / </w:t>
            </w:r>
            <w:r w:rsidRPr="00713B6C">
              <w:rPr>
                <w:rFonts w:ascii="Arial" w:eastAsia="Calibri" w:hAnsi="Arial" w:cs="Arial"/>
                <w:bCs/>
                <w:color w:val="000000" w:themeColor="text1"/>
                <w:sz w:val="22"/>
                <w:szCs w:val="22"/>
                <w:lang w:val="es-MX" w:eastAsia="en-US"/>
              </w:rPr>
              <w:t xml:space="preserve">LEY DE GARANTÍAS ELECTORALES ─ Prohibición artículo 33 ‒ Contratación directa ‒ Alcance / </w:t>
            </w:r>
            <w:r w:rsidRPr="00713B6C">
              <w:rPr>
                <w:rFonts w:ascii="Arial" w:eastAsia="Arial" w:hAnsi="Arial" w:cs="Arial"/>
                <w:bCs/>
                <w:color w:val="000000" w:themeColor="text1"/>
                <w:sz w:val="22"/>
                <w:szCs w:val="22"/>
              </w:rPr>
              <w:t xml:space="preserve">LEY DE GARANTÍAS ELECTORALES – Excepciones – artículo 33 / </w:t>
            </w:r>
            <w:r w:rsidRPr="00713B6C">
              <w:rPr>
                <w:rFonts w:ascii="Arial" w:hAnsi="Arial" w:cs="Arial"/>
                <w:color w:val="000000" w:themeColor="text1"/>
                <w:sz w:val="22"/>
                <w:szCs w:val="22"/>
              </w:rPr>
              <w:t>LEY DE GARANTÍAS ELECTORALES – Excepciones – Destinatarios - Entidades sanitarias y hospitalarias</w:t>
            </w:r>
          </w:p>
          <w:p w14:paraId="38A7B783" w14:textId="7BB9D630" w:rsidR="00713B6C" w:rsidRPr="00713B6C" w:rsidRDefault="00713B6C" w:rsidP="00713B6C">
            <w:pPr>
              <w:jc w:val="both"/>
              <w:rPr>
                <w:rFonts w:ascii="Arial" w:eastAsia="Arial" w:hAnsi="Arial" w:cs="Arial"/>
                <w:bCs/>
                <w:color w:val="000000" w:themeColor="text1"/>
                <w:sz w:val="22"/>
                <w:szCs w:val="22"/>
              </w:rPr>
            </w:pPr>
          </w:p>
          <w:p w14:paraId="5F389CAF" w14:textId="75228E71" w:rsidR="009A773A" w:rsidRPr="00713B6C" w:rsidRDefault="009A773A" w:rsidP="00713B6C">
            <w:pPr>
              <w:contextualSpacing/>
              <w:jc w:val="both"/>
              <w:rPr>
                <w:rFonts w:ascii="Arial" w:eastAsia="Calibri" w:hAnsi="Arial" w:cs="Arial"/>
                <w:color w:val="000000" w:themeColor="text1"/>
                <w:sz w:val="22"/>
                <w:szCs w:val="22"/>
                <w:lang w:val="es-ES"/>
              </w:rPr>
            </w:pPr>
          </w:p>
        </w:tc>
      </w:tr>
      <w:tr w:rsidR="00B95C30" w:rsidRPr="005873AF" w14:paraId="27CD52AB" w14:textId="77777777" w:rsidTr="0096347F">
        <w:trPr>
          <w:trHeight w:val="391"/>
        </w:trPr>
        <w:tc>
          <w:tcPr>
            <w:tcW w:w="2689" w:type="dxa"/>
          </w:tcPr>
          <w:p w14:paraId="37E195A1" w14:textId="1BA218D5" w:rsidR="00B95C30" w:rsidRPr="005873AF" w:rsidRDefault="00B95C30" w:rsidP="008F4163">
            <w:pPr>
              <w:spacing w:before="120"/>
              <w:jc w:val="both"/>
              <w:rPr>
                <w:rFonts w:ascii="Arial" w:eastAsia="Calibri" w:hAnsi="Arial" w:cs="Arial"/>
                <w:color w:val="000000" w:themeColor="text1"/>
                <w:sz w:val="22"/>
                <w:szCs w:val="22"/>
                <w:lang w:val="es-ES_tradnl"/>
              </w:rPr>
            </w:pPr>
            <w:r w:rsidRPr="005873AF">
              <w:rPr>
                <w:rFonts w:ascii="Arial" w:eastAsia="Calibri" w:hAnsi="Arial" w:cs="Arial"/>
                <w:b/>
                <w:color w:val="000000" w:themeColor="text1"/>
                <w:sz w:val="22"/>
                <w:szCs w:val="22"/>
                <w:lang w:val="es-ES_tradnl"/>
              </w:rPr>
              <w:t>Radicación</w:t>
            </w:r>
            <w:r w:rsidRPr="005873AF">
              <w:rPr>
                <w:rFonts w:ascii="Arial" w:eastAsia="Calibri" w:hAnsi="Arial" w:cs="Arial"/>
                <w:color w:val="000000" w:themeColor="text1"/>
                <w:sz w:val="22"/>
                <w:szCs w:val="22"/>
                <w:lang w:val="es-ES_tradnl"/>
              </w:rPr>
              <w:t xml:space="preserve">:                              </w:t>
            </w:r>
          </w:p>
        </w:tc>
        <w:tc>
          <w:tcPr>
            <w:tcW w:w="6237" w:type="dxa"/>
          </w:tcPr>
          <w:p w14:paraId="2A197767" w14:textId="2DA93CC0" w:rsidR="004505D4" w:rsidRPr="005873AF" w:rsidRDefault="00B95C30" w:rsidP="004505D4">
            <w:pPr>
              <w:spacing w:before="120"/>
              <w:jc w:val="both"/>
              <w:rPr>
                <w:rFonts w:ascii="Arial" w:eastAsia="Calibri" w:hAnsi="Arial" w:cs="Arial"/>
                <w:color w:val="000000" w:themeColor="text1"/>
                <w:sz w:val="22"/>
                <w:szCs w:val="22"/>
                <w:lang w:val="es-ES_tradnl"/>
              </w:rPr>
            </w:pPr>
            <w:r w:rsidRPr="005873AF">
              <w:rPr>
                <w:rFonts w:ascii="Arial" w:eastAsia="Calibri" w:hAnsi="Arial" w:cs="Arial"/>
                <w:color w:val="000000" w:themeColor="text1"/>
                <w:sz w:val="22"/>
                <w:szCs w:val="22"/>
                <w:lang w:val="es-ES_tradnl"/>
              </w:rPr>
              <w:t xml:space="preserve">Respuesta a consulta </w:t>
            </w:r>
            <w:r w:rsidR="00700BDE" w:rsidRPr="005873AF">
              <w:rPr>
                <w:rFonts w:ascii="Arial" w:eastAsia="Calibri" w:hAnsi="Arial" w:cs="Arial"/>
                <w:color w:val="000000" w:themeColor="text1"/>
                <w:sz w:val="22"/>
                <w:szCs w:val="22"/>
                <w:lang w:val="es-ES_tradnl"/>
              </w:rPr>
              <w:t xml:space="preserve"># </w:t>
            </w:r>
            <w:r w:rsidR="004505D4" w:rsidRPr="005873AF">
              <w:rPr>
                <w:rFonts w:ascii="Arial" w:hAnsi="Arial" w:cs="Arial"/>
                <w:color w:val="000000" w:themeColor="text1"/>
                <w:sz w:val="22"/>
                <w:szCs w:val="22"/>
                <w:lang w:val="en-US" w:eastAsia="en-US"/>
              </w:rPr>
              <w:t>P20220121000453</w:t>
            </w:r>
          </w:p>
          <w:p w14:paraId="09088B1B" w14:textId="3E8F4345" w:rsidR="00B95C30" w:rsidRPr="005873AF" w:rsidRDefault="00B95C30" w:rsidP="004505D4">
            <w:pPr>
              <w:spacing w:before="120"/>
              <w:jc w:val="both"/>
              <w:rPr>
                <w:rFonts w:ascii="Arial" w:eastAsia="Calibri" w:hAnsi="Arial" w:cs="Arial"/>
                <w:color w:val="000000" w:themeColor="text1"/>
                <w:sz w:val="22"/>
                <w:szCs w:val="22"/>
                <w:lang w:val="es-ES_tradnl"/>
              </w:rPr>
            </w:pPr>
          </w:p>
        </w:tc>
      </w:tr>
    </w:tbl>
    <w:p w14:paraId="019E1DF8" w14:textId="534BD368" w:rsidR="00493CDA" w:rsidRPr="005873AF" w:rsidRDefault="00493CDA" w:rsidP="003C3339">
      <w:pPr>
        <w:jc w:val="both"/>
        <w:rPr>
          <w:rFonts w:ascii="Arial" w:eastAsia="Calibri" w:hAnsi="Arial" w:cs="Arial"/>
          <w:color w:val="000000" w:themeColor="text1"/>
          <w:sz w:val="22"/>
          <w:lang w:val="es-ES_tradnl"/>
        </w:rPr>
      </w:pPr>
    </w:p>
    <w:p w14:paraId="1CF4AEA0" w14:textId="14C02836" w:rsidR="003C3339" w:rsidRPr="005873AF" w:rsidRDefault="003C3339" w:rsidP="003C3339">
      <w:pPr>
        <w:jc w:val="both"/>
        <w:rPr>
          <w:rFonts w:ascii="Arial" w:eastAsia="Calibri" w:hAnsi="Arial" w:cs="Arial"/>
          <w:color w:val="000000" w:themeColor="text1"/>
          <w:sz w:val="22"/>
          <w:lang w:val="es-ES_tradnl"/>
        </w:rPr>
      </w:pPr>
      <w:r w:rsidRPr="005873AF">
        <w:rPr>
          <w:rFonts w:ascii="Arial" w:eastAsia="Calibri" w:hAnsi="Arial" w:cs="Arial"/>
          <w:color w:val="000000" w:themeColor="text1"/>
          <w:sz w:val="22"/>
          <w:lang w:val="es-ES_tradnl"/>
        </w:rPr>
        <w:t>Estimad</w:t>
      </w:r>
      <w:r w:rsidR="00796CD4" w:rsidRPr="005873AF">
        <w:rPr>
          <w:rFonts w:ascii="Arial" w:eastAsia="Calibri" w:hAnsi="Arial" w:cs="Arial"/>
          <w:color w:val="000000" w:themeColor="text1"/>
          <w:sz w:val="22"/>
          <w:lang w:val="es-ES_tradnl"/>
        </w:rPr>
        <w:t>a</w:t>
      </w:r>
      <w:r w:rsidR="008164D9" w:rsidRPr="005873AF">
        <w:rPr>
          <w:rFonts w:ascii="Arial" w:eastAsia="Calibri" w:hAnsi="Arial" w:cs="Arial"/>
          <w:color w:val="000000" w:themeColor="text1"/>
          <w:sz w:val="22"/>
          <w:lang w:val="es-ES_tradnl"/>
        </w:rPr>
        <w:t xml:space="preserve"> Señor</w:t>
      </w:r>
      <w:r w:rsidR="00796CD4" w:rsidRPr="005873AF">
        <w:rPr>
          <w:rFonts w:ascii="Arial" w:eastAsia="Calibri" w:hAnsi="Arial" w:cs="Arial"/>
          <w:color w:val="000000" w:themeColor="text1"/>
          <w:sz w:val="22"/>
          <w:lang w:val="es-ES_tradnl"/>
        </w:rPr>
        <w:t>a</w:t>
      </w:r>
      <w:r w:rsidR="00713B6C">
        <w:rPr>
          <w:rFonts w:ascii="Arial" w:eastAsia="Calibri" w:hAnsi="Arial" w:cs="Arial"/>
          <w:color w:val="000000" w:themeColor="text1"/>
          <w:sz w:val="22"/>
          <w:lang w:val="es-ES_tradnl"/>
        </w:rPr>
        <w:t xml:space="preserve"> Olga</w:t>
      </w:r>
      <w:r w:rsidR="00E746A6" w:rsidRPr="005873AF">
        <w:rPr>
          <w:rFonts w:ascii="Arial" w:eastAsia="Calibri" w:hAnsi="Arial" w:cs="Arial"/>
          <w:color w:val="000000" w:themeColor="text1"/>
          <w:sz w:val="22"/>
          <w:lang w:val="es-ES_tradnl"/>
        </w:rPr>
        <w:t xml:space="preserve">: </w:t>
      </w:r>
    </w:p>
    <w:p w14:paraId="1EAE5543" w14:textId="77777777" w:rsidR="00DD5B04" w:rsidRPr="005873AF" w:rsidRDefault="00DD5B04" w:rsidP="00DF76A2">
      <w:pPr>
        <w:jc w:val="both"/>
        <w:rPr>
          <w:rFonts w:ascii="Arial" w:eastAsia="Calibri" w:hAnsi="Arial" w:cs="Arial"/>
          <w:color w:val="000000" w:themeColor="text1"/>
          <w:sz w:val="22"/>
          <w:lang w:val="es-ES_tradnl"/>
        </w:rPr>
      </w:pPr>
    </w:p>
    <w:p w14:paraId="2109B2D3" w14:textId="72FE02FF" w:rsidR="00DD5B04" w:rsidRPr="005873AF" w:rsidRDefault="00DD5B04" w:rsidP="00DF76A2">
      <w:pPr>
        <w:spacing w:line="276" w:lineRule="auto"/>
        <w:jc w:val="both"/>
        <w:rPr>
          <w:rFonts w:ascii="Arial" w:eastAsia="Calibri" w:hAnsi="Arial" w:cs="Arial"/>
          <w:color w:val="000000" w:themeColor="text1"/>
          <w:sz w:val="22"/>
          <w:lang w:val="es-ES_tradnl"/>
        </w:rPr>
      </w:pPr>
      <w:r w:rsidRPr="005873A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5873AF">
        <w:rPr>
          <w:rFonts w:ascii="Arial" w:eastAsia="Calibri" w:hAnsi="Arial" w:cs="Arial"/>
          <w:color w:val="000000" w:themeColor="text1"/>
          <w:sz w:val="22"/>
          <w:lang w:val="es-ES_tradnl"/>
        </w:rPr>
        <w:t>–</w:t>
      </w:r>
      <w:r w:rsidRPr="005873AF">
        <w:rPr>
          <w:rFonts w:ascii="Arial" w:eastAsia="Calibri" w:hAnsi="Arial" w:cs="Arial"/>
          <w:color w:val="000000" w:themeColor="text1"/>
          <w:sz w:val="22"/>
          <w:lang w:val="es-ES_tradnl"/>
        </w:rPr>
        <w:t xml:space="preserve"> Colombia Compra Eficiente</w:t>
      </w:r>
      <w:r w:rsidR="008C3C57" w:rsidRPr="005873AF">
        <w:rPr>
          <w:rFonts w:ascii="Arial" w:eastAsia="Calibri" w:hAnsi="Arial" w:cs="Arial"/>
          <w:color w:val="000000" w:themeColor="text1"/>
          <w:sz w:val="22"/>
          <w:lang w:val="es-ES_tradnl"/>
        </w:rPr>
        <w:t xml:space="preserve"> </w:t>
      </w:r>
      <w:r w:rsidR="00436B3F" w:rsidRPr="005873AF">
        <w:rPr>
          <w:rFonts w:ascii="Arial" w:eastAsia="Calibri" w:hAnsi="Arial" w:cs="Arial"/>
          <w:color w:val="000000" w:themeColor="text1"/>
          <w:sz w:val="22"/>
          <w:lang w:val="es-ES_tradnl"/>
        </w:rPr>
        <w:t xml:space="preserve">responde a su consulta del </w:t>
      </w:r>
      <w:r w:rsidR="005A5564" w:rsidRPr="005873AF">
        <w:rPr>
          <w:rFonts w:ascii="Arial" w:eastAsia="Calibri" w:hAnsi="Arial" w:cs="Arial"/>
          <w:color w:val="000000" w:themeColor="text1"/>
          <w:sz w:val="22"/>
          <w:lang w:val="es-ES_tradnl"/>
        </w:rPr>
        <w:t xml:space="preserve">21 de enero de 2022. </w:t>
      </w:r>
    </w:p>
    <w:p w14:paraId="2FA4B1AA" w14:textId="52055B2D" w:rsidR="001A3C58" w:rsidRPr="005873AF" w:rsidRDefault="001A3C58" w:rsidP="00DF76A2">
      <w:pPr>
        <w:spacing w:line="276" w:lineRule="auto"/>
        <w:jc w:val="both"/>
        <w:rPr>
          <w:rFonts w:ascii="Arial" w:eastAsia="Calibri" w:hAnsi="Arial" w:cs="Arial"/>
          <w:b/>
          <w:color w:val="000000" w:themeColor="text1"/>
          <w:sz w:val="22"/>
          <w:lang w:val="es-ES_tradnl"/>
        </w:rPr>
      </w:pPr>
    </w:p>
    <w:p w14:paraId="7701FCC7" w14:textId="77777777" w:rsidR="00DD5B04" w:rsidRPr="005873A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 xml:space="preserve">Problema planteado </w:t>
      </w:r>
    </w:p>
    <w:p w14:paraId="224B43D3" w14:textId="77777777" w:rsidR="00DD5B04" w:rsidRPr="005873A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FC4A233" w14:textId="594F9FF4" w:rsidR="00913A0F" w:rsidRPr="005873AF" w:rsidRDefault="00913A0F" w:rsidP="00481870">
      <w:pPr>
        <w:autoSpaceDE w:val="0"/>
        <w:autoSpaceDN w:val="0"/>
        <w:adjustRightInd w:val="0"/>
        <w:spacing w:line="276" w:lineRule="auto"/>
        <w:jc w:val="both"/>
        <w:rPr>
          <w:rFonts w:ascii="Arial" w:eastAsia="Arial" w:hAnsi="Arial" w:cs="Arial"/>
          <w:color w:val="000000" w:themeColor="text1"/>
          <w:sz w:val="22"/>
          <w:szCs w:val="22"/>
          <w:lang w:val="es-MX"/>
        </w:rPr>
      </w:pPr>
      <w:r w:rsidRPr="005873AF">
        <w:rPr>
          <w:rFonts w:ascii="Arial" w:eastAsia="Arial" w:hAnsi="Arial" w:cs="Arial"/>
          <w:color w:val="000000" w:themeColor="text1"/>
          <w:sz w:val="22"/>
          <w:szCs w:val="22"/>
          <w:lang w:val="es-MX"/>
        </w:rPr>
        <w:t>Bajo el contexto de la</w:t>
      </w:r>
      <w:r w:rsidR="00157B5C" w:rsidRPr="005873AF">
        <w:rPr>
          <w:rFonts w:ascii="Arial" w:eastAsia="Arial" w:hAnsi="Arial" w:cs="Arial"/>
          <w:color w:val="000000" w:themeColor="text1"/>
          <w:sz w:val="22"/>
          <w:szCs w:val="22"/>
          <w:lang w:val="es-MX"/>
        </w:rPr>
        <w:t>s</w:t>
      </w:r>
      <w:r w:rsidRPr="005873AF">
        <w:rPr>
          <w:rFonts w:ascii="Arial" w:eastAsia="Arial" w:hAnsi="Arial" w:cs="Arial"/>
          <w:color w:val="000000" w:themeColor="text1"/>
          <w:sz w:val="22"/>
          <w:szCs w:val="22"/>
          <w:lang w:val="es-MX"/>
        </w:rPr>
        <w:t xml:space="preserve"> prohibici</w:t>
      </w:r>
      <w:r w:rsidR="00157B5C" w:rsidRPr="005873AF">
        <w:rPr>
          <w:rFonts w:ascii="Arial" w:eastAsia="Arial" w:hAnsi="Arial" w:cs="Arial"/>
          <w:color w:val="000000" w:themeColor="text1"/>
          <w:sz w:val="22"/>
          <w:szCs w:val="22"/>
          <w:lang w:val="es-MX"/>
        </w:rPr>
        <w:t>o</w:t>
      </w:r>
      <w:r w:rsidRPr="005873AF">
        <w:rPr>
          <w:rFonts w:ascii="Arial" w:eastAsia="Arial" w:hAnsi="Arial" w:cs="Arial"/>
          <w:color w:val="000000" w:themeColor="text1"/>
          <w:sz w:val="22"/>
          <w:szCs w:val="22"/>
          <w:lang w:val="es-MX"/>
        </w:rPr>
        <w:t>n</w:t>
      </w:r>
      <w:r w:rsidR="00157B5C" w:rsidRPr="005873AF">
        <w:rPr>
          <w:rFonts w:ascii="Arial" w:eastAsia="Arial" w:hAnsi="Arial" w:cs="Arial"/>
          <w:color w:val="000000" w:themeColor="text1"/>
          <w:sz w:val="22"/>
          <w:szCs w:val="22"/>
          <w:lang w:val="es-MX"/>
        </w:rPr>
        <w:t>es en materia contractual</w:t>
      </w:r>
      <w:r w:rsidRPr="005873AF">
        <w:rPr>
          <w:rFonts w:ascii="Arial" w:eastAsia="Arial" w:hAnsi="Arial" w:cs="Arial"/>
          <w:color w:val="000000" w:themeColor="text1"/>
          <w:sz w:val="22"/>
          <w:szCs w:val="22"/>
          <w:lang w:val="es-MX"/>
        </w:rPr>
        <w:t xml:space="preserve"> </w:t>
      </w:r>
      <w:r w:rsidR="00157B5C" w:rsidRPr="005873AF">
        <w:rPr>
          <w:rFonts w:ascii="Arial" w:eastAsia="Arial" w:hAnsi="Arial" w:cs="Arial"/>
          <w:color w:val="000000" w:themeColor="text1"/>
          <w:sz w:val="22"/>
          <w:szCs w:val="22"/>
          <w:lang w:val="es-MX"/>
        </w:rPr>
        <w:t xml:space="preserve">establecidas en </w:t>
      </w:r>
      <w:r w:rsidRPr="005873AF">
        <w:rPr>
          <w:rFonts w:ascii="Arial" w:eastAsia="Arial" w:hAnsi="Arial" w:cs="Arial"/>
          <w:color w:val="000000" w:themeColor="text1"/>
          <w:sz w:val="22"/>
          <w:szCs w:val="22"/>
          <w:lang w:val="es-MX"/>
        </w:rPr>
        <w:t>la Ley 996 de 2005</w:t>
      </w:r>
      <w:r w:rsidR="00157B5C" w:rsidRPr="005873AF">
        <w:rPr>
          <w:rFonts w:ascii="Arial" w:eastAsia="Arial" w:hAnsi="Arial" w:cs="Arial"/>
          <w:color w:val="000000" w:themeColor="text1"/>
          <w:sz w:val="22"/>
          <w:szCs w:val="22"/>
          <w:lang w:val="es-MX"/>
        </w:rPr>
        <w:t xml:space="preserve"> –Ley de Garantías Electorales–</w:t>
      </w:r>
      <w:r w:rsidRPr="005873AF">
        <w:rPr>
          <w:rFonts w:ascii="Arial" w:eastAsia="Arial" w:hAnsi="Arial" w:cs="Arial"/>
          <w:color w:val="000000" w:themeColor="text1"/>
          <w:sz w:val="22"/>
          <w:szCs w:val="22"/>
          <w:lang w:val="es-MX"/>
        </w:rPr>
        <w:t xml:space="preserve">, y teniendo en cuenta </w:t>
      </w:r>
      <w:r w:rsidR="00157B5C" w:rsidRPr="005873AF">
        <w:rPr>
          <w:rFonts w:ascii="Arial" w:eastAsia="Arial" w:hAnsi="Arial" w:cs="Arial"/>
          <w:color w:val="000000" w:themeColor="text1"/>
          <w:sz w:val="22"/>
          <w:szCs w:val="22"/>
          <w:lang w:val="es-MX"/>
        </w:rPr>
        <w:t xml:space="preserve">las excepciones </w:t>
      </w:r>
      <w:r w:rsidR="00A24E1D" w:rsidRPr="005873AF">
        <w:rPr>
          <w:rFonts w:ascii="Arial" w:eastAsia="Arial" w:hAnsi="Arial" w:cs="Arial"/>
          <w:color w:val="000000" w:themeColor="text1"/>
          <w:sz w:val="22"/>
          <w:szCs w:val="22"/>
          <w:lang w:val="es-MX"/>
        </w:rPr>
        <w:t>a dichas restricciones</w:t>
      </w:r>
      <w:r w:rsidR="009433D1" w:rsidRPr="005873AF">
        <w:rPr>
          <w:rFonts w:ascii="Arial" w:eastAsia="Arial" w:hAnsi="Arial" w:cs="Arial"/>
          <w:color w:val="000000" w:themeColor="text1"/>
          <w:sz w:val="22"/>
          <w:szCs w:val="22"/>
          <w:lang w:val="es-MX"/>
        </w:rPr>
        <w:t xml:space="preserve">, </w:t>
      </w:r>
      <w:r w:rsidR="00A24E1D" w:rsidRPr="005873AF">
        <w:rPr>
          <w:rFonts w:ascii="Arial" w:eastAsia="Arial" w:hAnsi="Arial" w:cs="Arial"/>
          <w:color w:val="000000" w:themeColor="text1"/>
          <w:sz w:val="22"/>
          <w:szCs w:val="22"/>
          <w:lang w:val="es-MX"/>
        </w:rPr>
        <w:t xml:space="preserve">la peticionaria </w:t>
      </w:r>
      <w:r w:rsidR="009433D1" w:rsidRPr="005873AF">
        <w:rPr>
          <w:rFonts w:ascii="Arial" w:eastAsia="Arial" w:hAnsi="Arial" w:cs="Arial"/>
          <w:color w:val="000000" w:themeColor="text1"/>
          <w:sz w:val="22"/>
          <w:szCs w:val="22"/>
          <w:lang w:val="es-MX"/>
        </w:rPr>
        <w:t xml:space="preserve">consulta sobre su aplicación </w:t>
      </w:r>
      <w:r w:rsidR="00A24E1D" w:rsidRPr="005873AF">
        <w:rPr>
          <w:rFonts w:ascii="Arial" w:eastAsia="Arial" w:hAnsi="Arial" w:cs="Arial"/>
          <w:color w:val="000000" w:themeColor="text1"/>
          <w:sz w:val="22"/>
          <w:szCs w:val="22"/>
          <w:lang w:val="es-MX"/>
        </w:rPr>
        <w:t xml:space="preserve">en relación con </w:t>
      </w:r>
      <w:r w:rsidR="009433D1" w:rsidRPr="005873AF">
        <w:rPr>
          <w:rFonts w:ascii="Arial" w:eastAsia="Arial" w:hAnsi="Arial" w:cs="Arial"/>
          <w:color w:val="000000" w:themeColor="text1"/>
          <w:sz w:val="22"/>
          <w:szCs w:val="22"/>
          <w:lang w:val="es-MX"/>
        </w:rPr>
        <w:t xml:space="preserve">el Plan de Salud </w:t>
      </w:r>
      <w:r w:rsidR="00A24E1D" w:rsidRPr="005873AF">
        <w:rPr>
          <w:rFonts w:ascii="Arial" w:eastAsia="Arial" w:hAnsi="Arial" w:cs="Arial"/>
          <w:color w:val="000000" w:themeColor="text1"/>
          <w:sz w:val="22"/>
          <w:szCs w:val="22"/>
          <w:lang w:val="es-MX"/>
        </w:rPr>
        <w:lastRenderedPageBreak/>
        <w:t xml:space="preserve">Pública </w:t>
      </w:r>
      <w:r w:rsidR="009433D1" w:rsidRPr="005873AF">
        <w:rPr>
          <w:rFonts w:ascii="Arial" w:eastAsia="Arial" w:hAnsi="Arial" w:cs="Arial"/>
          <w:color w:val="000000" w:themeColor="text1"/>
          <w:sz w:val="22"/>
          <w:szCs w:val="22"/>
          <w:lang w:val="es-MX"/>
        </w:rPr>
        <w:t>de Intervenciones Colectivas –PIC–.</w:t>
      </w:r>
      <w:r w:rsidR="00781CAE" w:rsidRPr="005873AF">
        <w:rPr>
          <w:rFonts w:ascii="Arial" w:eastAsia="Arial" w:hAnsi="Arial" w:cs="Arial"/>
          <w:color w:val="000000" w:themeColor="text1"/>
          <w:sz w:val="22"/>
          <w:szCs w:val="22"/>
          <w:lang w:val="es-MX"/>
        </w:rPr>
        <w:t xml:space="preserve"> En este sentido, </w:t>
      </w:r>
      <w:r w:rsidR="006161BE" w:rsidRPr="005873AF">
        <w:rPr>
          <w:rFonts w:ascii="Arial" w:eastAsia="Arial" w:hAnsi="Arial" w:cs="Arial"/>
          <w:color w:val="000000" w:themeColor="text1"/>
          <w:sz w:val="22"/>
          <w:szCs w:val="22"/>
          <w:lang w:val="es-MX"/>
        </w:rPr>
        <w:t xml:space="preserve">en </w:t>
      </w:r>
      <w:r w:rsidR="00781CAE" w:rsidRPr="005873AF">
        <w:rPr>
          <w:rFonts w:ascii="Arial" w:eastAsia="Arial" w:hAnsi="Arial" w:cs="Arial"/>
          <w:color w:val="000000" w:themeColor="text1"/>
          <w:sz w:val="22"/>
          <w:szCs w:val="22"/>
          <w:lang w:val="es-MX"/>
        </w:rPr>
        <w:t xml:space="preserve">la solicitud de </w:t>
      </w:r>
      <w:r w:rsidR="006161BE" w:rsidRPr="005873AF">
        <w:rPr>
          <w:rFonts w:ascii="Arial" w:eastAsia="Arial" w:hAnsi="Arial" w:cs="Arial"/>
          <w:color w:val="000000" w:themeColor="text1"/>
          <w:sz w:val="22"/>
          <w:szCs w:val="22"/>
          <w:lang w:val="es-MX"/>
        </w:rPr>
        <w:t xml:space="preserve">concepto </w:t>
      </w:r>
      <w:r w:rsidR="00781CAE" w:rsidRPr="005873AF">
        <w:rPr>
          <w:rFonts w:ascii="Arial" w:eastAsia="Arial" w:hAnsi="Arial" w:cs="Arial"/>
          <w:color w:val="000000" w:themeColor="text1"/>
          <w:sz w:val="22"/>
          <w:szCs w:val="22"/>
          <w:lang w:val="es-MX"/>
        </w:rPr>
        <w:t>se expresa:</w:t>
      </w:r>
      <w:r w:rsidR="009433D1" w:rsidRPr="005873AF">
        <w:rPr>
          <w:rFonts w:ascii="Arial" w:eastAsia="Arial" w:hAnsi="Arial" w:cs="Arial"/>
          <w:color w:val="000000" w:themeColor="text1"/>
          <w:sz w:val="22"/>
          <w:szCs w:val="22"/>
          <w:lang w:val="es-MX"/>
        </w:rPr>
        <w:t xml:space="preserve">  </w:t>
      </w:r>
    </w:p>
    <w:p w14:paraId="0DF6BBB3" w14:textId="77777777" w:rsidR="00913A0F" w:rsidRPr="005873AF" w:rsidRDefault="00913A0F" w:rsidP="00481870">
      <w:pPr>
        <w:autoSpaceDE w:val="0"/>
        <w:autoSpaceDN w:val="0"/>
        <w:adjustRightInd w:val="0"/>
        <w:spacing w:line="276" w:lineRule="auto"/>
        <w:jc w:val="both"/>
        <w:rPr>
          <w:rFonts w:ascii="Arial" w:eastAsia="Arial" w:hAnsi="Arial" w:cs="Arial"/>
          <w:color w:val="000000" w:themeColor="text1"/>
          <w:sz w:val="22"/>
          <w:szCs w:val="22"/>
          <w:lang w:val="es-MX"/>
        </w:rPr>
      </w:pPr>
    </w:p>
    <w:p w14:paraId="4BD1A156" w14:textId="2C636878" w:rsidR="00436B3F" w:rsidRPr="005873AF" w:rsidRDefault="00323534" w:rsidP="005873AF">
      <w:pPr>
        <w:autoSpaceDE w:val="0"/>
        <w:autoSpaceDN w:val="0"/>
        <w:adjustRightInd w:val="0"/>
        <w:ind w:left="709" w:right="709"/>
        <w:jc w:val="both"/>
        <w:rPr>
          <w:rFonts w:ascii="Arial" w:eastAsiaTheme="minorHAnsi" w:hAnsi="Arial" w:cs="Arial"/>
          <w:color w:val="000000" w:themeColor="text1"/>
          <w:sz w:val="21"/>
          <w:szCs w:val="21"/>
          <w:lang w:val="es-ES" w:eastAsia="en-US"/>
        </w:rPr>
      </w:pPr>
      <w:r w:rsidRPr="005873AF">
        <w:rPr>
          <w:rFonts w:ascii="Arial" w:hAnsi="Arial" w:cs="Arial"/>
          <w:bCs/>
          <w:color w:val="000000" w:themeColor="text1"/>
          <w:sz w:val="22"/>
          <w:lang w:eastAsia="es-CO"/>
        </w:rPr>
        <w:t>«</w:t>
      </w:r>
      <w:r w:rsidR="00781CAE" w:rsidRPr="005873AF">
        <w:rPr>
          <w:rFonts w:ascii="Arial" w:hAnsi="Arial" w:cs="Arial"/>
          <w:color w:val="000000" w:themeColor="text1"/>
          <w:sz w:val="21"/>
          <w:szCs w:val="21"/>
        </w:rPr>
        <w:t>Expuesto lo anterior, recurrimos a ustedes como ente rector de la contratación en Colombia para que, antes de hacer un pronunciamiento meramente normativo, se avoque el conocimiento desde lo más profundo para brindar una directriz u orientación en forma holística que se enmarque desde lo normativo, pero también tengo su origen practico y de ejecución de la norma aplicable con respecto a los actores</w:t>
      </w:r>
      <w:r w:rsidR="00974B94" w:rsidRPr="005873AF">
        <w:rPr>
          <w:rFonts w:ascii="Arial" w:hAnsi="Arial" w:cs="Arial"/>
          <w:color w:val="000000" w:themeColor="text1"/>
          <w:sz w:val="21"/>
          <w:szCs w:val="21"/>
          <w:lang w:val="es-ES_tradnl"/>
        </w:rPr>
        <w:t>»</w:t>
      </w:r>
      <w:r w:rsidR="00436B3F" w:rsidRPr="005873AF">
        <w:rPr>
          <w:rFonts w:ascii="Arial" w:hAnsi="Arial" w:cs="Arial"/>
          <w:color w:val="000000" w:themeColor="text1"/>
          <w:sz w:val="21"/>
          <w:szCs w:val="21"/>
          <w:bdr w:val="none" w:sz="0" w:space="0" w:color="auto" w:frame="1"/>
        </w:rPr>
        <w:t>.</w:t>
      </w:r>
    </w:p>
    <w:p w14:paraId="037E7D68" w14:textId="67363858" w:rsidR="007446F6" w:rsidRPr="005873AF" w:rsidRDefault="007446F6" w:rsidP="005873AF">
      <w:pPr>
        <w:ind w:left="709" w:right="709"/>
        <w:jc w:val="both"/>
        <w:rPr>
          <w:rFonts w:ascii="Arial" w:hAnsi="Arial" w:cs="Arial"/>
          <w:color w:val="000000" w:themeColor="text1"/>
          <w:sz w:val="21"/>
          <w:szCs w:val="21"/>
          <w:lang w:val="es-ES_tradnl"/>
        </w:rPr>
      </w:pPr>
    </w:p>
    <w:p w14:paraId="261C62DC" w14:textId="2D256096" w:rsidR="00781CAE" w:rsidRPr="005873AF" w:rsidRDefault="00323534" w:rsidP="005873AF">
      <w:pPr>
        <w:ind w:left="709" w:right="709"/>
        <w:jc w:val="both"/>
        <w:rPr>
          <w:rFonts w:ascii="Arial" w:hAnsi="Arial" w:cs="Arial"/>
          <w:color w:val="000000" w:themeColor="text1"/>
          <w:sz w:val="21"/>
          <w:szCs w:val="21"/>
          <w:lang w:val="es-ES_tradnl"/>
        </w:rPr>
      </w:pPr>
      <w:proofErr w:type="gramStart"/>
      <w:r w:rsidRPr="005873AF">
        <w:rPr>
          <w:rFonts w:ascii="Arial" w:hAnsi="Arial" w:cs="Arial"/>
          <w:bCs/>
          <w:color w:val="000000" w:themeColor="text1"/>
          <w:sz w:val="22"/>
          <w:lang w:eastAsia="es-CO"/>
        </w:rPr>
        <w:t>»</w:t>
      </w:r>
      <w:r w:rsidR="00781CAE" w:rsidRPr="005873AF">
        <w:rPr>
          <w:rFonts w:ascii="Arial" w:hAnsi="Arial" w:cs="Arial"/>
          <w:color w:val="000000" w:themeColor="text1"/>
          <w:sz w:val="21"/>
          <w:szCs w:val="21"/>
        </w:rPr>
        <w:t>Es</w:t>
      </w:r>
      <w:proofErr w:type="gramEnd"/>
      <w:r w:rsidR="00781CAE" w:rsidRPr="005873AF">
        <w:rPr>
          <w:rFonts w:ascii="Arial" w:hAnsi="Arial" w:cs="Arial"/>
          <w:color w:val="000000" w:themeColor="text1"/>
          <w:sz w:val="21"/>
          <w:szCs w:val="21"/>
        </w:rPr>
        <w:t xml:space="preserve"> evidente que la contratación del PIC por parte de los Entes Territoriales no es un contrato que nació en la presente vigencia, y tampoco que sus actividades tienen una orientación personal o de cualquier otra índole, pues como ya se </w:t>
      </w:r>
      <w:proofErr w:type="spellStart"/>
      <w:r w:rsidR="00781CAE" w:rsidRPr="005873AF">
        <w:rPr>
          <w:rFonts w:ascii="Arial" w:hAnsi="Arial" w:cs="Arial"/>
          <w:color w:val="000000" w:themeColor="text1"/>
          <w:sz w:val="21"/>
          <w:szCs w:val="21"/>
        </w:rPr>
        <w:t>dejo</w:t>
      </w:r>
      <w:proofErr w:type="spellEnd"/>
      <w:r w:rsidR="00781CAE" w:rsidRPr="005873AF">
        <w:rPr>
          <w:rFonts w:ascii="Arial" w:hAnsi="Arial" w:cs="Arial"/>
          <w:color w:val="000000" w:themeColor="text1"/>
          <w:sz w:val="21"/>
          <w:szCs w:val="21"/>
        </w:rPr>
        <w:t xml:space="preserve"> evidenciado todo el proceso está ampliamente normado</w:t>
      </w:r>
      <w:r w:rsidRPr="005873AF">
        <w:rPr>
          <w:rFonts w:ascii="Arial" w:hAnsi="Arial" w:cs="Arial"/>
          <w:bCs/>
          <w:color w:val="000000" w:themeColor="text1"/>
          <w:sz w:val="22"/>
          <w:lang w:eastAsia="es-CO"/>
        </w:rPr>
        <w:t>»</w:t>
      </w:r>
      <w:r w:rsidR="00781CAE" w:rsidRPr="005873AF">
        <w:rPr>
          <w:rFonts w:ascii="Arial" w:hAnsi="Arial" w:cs="Arial"/>
          <w:color w:val="000000" w:themeColor="text1"/>
          <w:sz w:val="21"/>
          <w:szCs w:val="21"/>
        </w:rPr>
        <w:t>.</w:t>
      </w:r>
    </w:p>
    <w:p w14:paraId="58DFA722" w14:textId="77777777" w:rsidR="00781CAE" w:rsidRPr="005873AF" w:rsidRDefault="00781CAE" w:rsidP="006B3EB4">
      <w:pPr>
        <w:spacing w:line="276" w:lineRule="auto"/>
        <w:jc w:val="both"/>
        <w:rPr>
          <w:rFonts w:ascii="Arial" w:hAnsi="Arial" w:cs="Arial"/>
          <w:color w:val="000000" w:themeColor="text1"/>
          <w:sz w:val="22"/>
          <w:szCs w:val="22"/>
          <w:lang w:val="es-ES_tradnl"/>
        </w:rPr>
      </w:pPr>
    </w:p>
    <w:p w14:paraId="124D2DCA" w14:textId="77777777" w:rsidR="00DD5B04" w:rsidRPr="005873A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873AF">
        <w:rPr>
          <w:rFonts w:ascii="Arial" w:eastAsia="Calibri" w:hAnsi="Arial" w:cs="Arial"/>
          <w:b/>
          <w:color w:val="000000" w:themeColor="text1"/>
          <w:sz w:val="22"/>
          <w:lang w:val="es-ES_tradnl"/>
        </w:rPr>
        <w:t>Consideraciones</w:t>
      </w:r>
    </w:p>
    <w:p w14:paraId="104EB7CA" w14:textId="77777777" w:rsidR="00913A0F" w:rsidRPr="005873AF" w:rsidRDefault="00913A0F" w:rsidP="00481870">
      <w:pPr>
        <w:spacing w:after="120" w:line="276" w:lineRule="auto"/>
        <w:jc w:val="both"/>
        <w:rPr>
          <w:rFonts w:ascii="Arial" w:eastAsia="Calibri" w:hAnsi="Arial" w:cs="Arial"/>
          <w:color w:val="000000" w:themeColor="text1"/>
          <w:sz w:val="22"/>
          <w:szCs w:val="22"/>
          <w:lang w:val="es-ES_tradnl"/>
        </w:rPr>
      </w:pPr>
    </w:p>
    <w:p w14:paraId="75899EA6" w14:textId="5CA7A4CF" w:rsidR="007233F6" w:rsidRPr="005873AF" w:rsidRDefault="009E0444" w:rsidP="005873AF">
      <w:pPr>
        <w:spacing w:after="120" w:line="276" w:lineRule="auto"/>
        <w:jc w:val="both"/>
        <w:rPr>
          <w:rFonts w:ascii="Arial" w:hAnsi="Arial" w:cs="Arial"/>
          <w:bCs/>
          <w:color w:val="000000" w:themeColor="text1"/>
          <w:sz w:val="22"/>
        </w:rPr>
      </w:pPr>
      <w:r w:rsidRPr="005873AF">
        <w:rPr>
          <w:rFonts w:ascii="Arial" w:hAnsi="Arial" w:cs="Arial"/>
          <w:bCs/>
          <w:color w:val="000000" w:themeColor="text1"/>
          <w:sz w:val="22"/>
        </w:rPr>
        <w:t>E</w:t>
      </w:r>
      <w:r w:rsidR="007233F6" w:rsidRPr="005873AF">
        <w:rPr>
          <w:rFonts w:ascii="Arial" w:hAnsi="Arial" w:cs="Arial"/>
          <w:bCs/>
          <w:color w:val="000000" w:themeColor="text1"/>
          <w:sz w:val="22"/>
        </w:rPr>
        <w:t>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9" w:name="_Hlk61701014"/>
      <w:bookmarkStart w:id="10" w:name="_Hlk62136649"/>
      <w:r w:rsidR="007233F6" w:rsidRPr="005873AF">
        <w:rPr>
          <w:rFonts w:ascii="Arial" w:hAnsi="Arial" w:cs="Arial"/>
          <w:bCs/>
          <w:color w:val="000000" w:themeColor="text1"/>
          <w:sz w:val="22"/>
        </w:rPr>
        <w:t xml:space="preserve"> </w:t>
      </w:r>
      <w:r w:rsidR="007233F6" w:rsidRPr="005873AF">
        <w:rPr>
          <w:rFonts w:ascii="Arial" w:hAnsi="Arial" w:cs="Arial"/>
          <w:color w:val="000000" w:themeColor="text1"/>
          <w:sz w:val="22"/>
          <w:lang w:val="es-ES"/>
        </w:rPr>
        <w:t xml:space="preserve">Es necesario tener en cuenta que </w:t>
      </w:r>
      <w:bookmarkStart w:id="11" w:name="_Hlk61026958"/>
      <w:r w:rsidR="007233F6" w:rsidRPr="005873AF">
        <w:rPr>
          <w:rFonts w:ascii="Arial" w:hAnsi="Arial" w:cs="Arial"/>
          <w:color w:val="000000" w:themeColor="text1"/>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007233F6" w:rsidRPr="005873AF">
        <w:rPr>
          <w:rFonts w:ascii="Arial" w:hAnsi="Arial" w:cs="Arial"/>
          <w:bCs/>
          <w:color w:val="000000" w:themeColor="text1"/>
          <w:sz w:val="22"/>
        </w:rPr>
        <w:t xml:space="preserve"> de todos los partícipes de la contratación estatal.</w:t>
      </w:r>
    </w:p>
    <w:p w14:paraId="718A48D6" w14:textId="042A3EA1" w:rsidR="00F54C37" w:rsidRPr="005873AF" w:rsidRDefault="007233F6" w:rsidP="005873AF">
      <w:pPr>
        <w:spacing w:after="120" w:line="276" w:lineRule="auto"/>
        <w:ind w:firstLine="708"/>
        <w:jc w:val="both"/>
        <w:rPr>
          <w:rFonts w:ascii="Arial" w:eastAsia="Calibri" w:hAnsi="Arial" w:cs="Arial"/>
          <w:color w:val="000000" w:themeColor="text1"/>
          <w:sz w:val="22"/>
          <w:szCs w:val="22"/>
          <w:lang w:val="es-ES_tradnl"/>
        </w:rPr>
      </w:pPr>
      <w:r w:rsidRPr="005873AF">
        <w:rPr>
          <w:rFonts w:ascii="Arial" w:hAnsi="Arial" w:cs="Arial"/>
          <w:color w:val="000000" w:themeColor="text1"/>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873AF">
        <w:rPr>
          <w:rFonts w:ascii="Arial" w:hAnsi="Arial" w:cs="Arial"/>
          <w:color w:val="000000" w:themeColor="text1"/>
          <w:sz w:val="22"/>
          <w:vertAlign w:val="superscript"/>
          <w:lang w:val="es-ES"/>
        </w:rPr>
        <w:footnoteReference w:id="2"/>
      </w:r>
      <w:r w:rsidRPr="005873AF">
        <w:rPr>
          <w:rFonts w:ascii="Arial" w:hAnsi="Arial" w:cs="Arial"/>
          <w:color w:val="000000" w:themeColor="text1"/>
          <w:sz w:val="22"/>
          <w:lang w:val="es-ES"/>
        </w:rPr>
        <w:t>. Esta competencia de interpretación de normas generales, por definición, no puede extenderse a la resolución de controversias, ni a brindar asesorías sobre casos puntuales.</w:t>
      </w:r>
      <w:bookmarkEnd w:id="11"/>
      <w:r w:rsidRPr="005873AF">
        <w:rPr>
          <w:rFonts w:ascii="Arial" w:hAnsi="Arial" w:cs="Arial"/>
          <w:color w:val="000000" w:themeColor="text1"/>
          <w:sz w:val="22"/>
          <w:lang w:val="es-ES"/>
        </w:rPr>
        <w:t xml:space="preserve"> En este contexto, previo concepto de sus órganos asesores, la solución de estos temas </w:t>
      </w:r>
      <w:r w:rsidRPr="005873AF">
        <w:rPr>
          <w:rFonts w:ascii="Arial" w:hAnsi="Arial" w:cs="Arial"/>
          <w:color w:val="000000" w:themeColor="text1"/>
          <w:sz w:val="22"/>
          <w:lang w:val="es-ES"/>
        </w:rPr>
        <w:lastRenderedPageBreak/>
        <w:t xml:space="preserve">corresponde a la entidad que adelanta el procedimiento de selección y, en caso de conflicto, a las autoridades judiciales, fiscales y disciplinarias. </w:t>
      </w:r>
      <w:bookmarkEnd w:id="9"/>
      <w:bookmarkEnd w:id="10"/>
      <w:r w:rsidRPr="005873AF">
        <w:rPr>
          <w:rFonts w:ascii="Arial" w:eastAsia="Calibri" w:hAnsi="Arial" w:cs="Arial"/>
          <w:color w:val="000000" w:themeColor="text1"/>
          <w:sz w:val="22"/>
        </w:rPr>
        <w:t xml:space="preserve">Sin perjuicio de lo anterior, </w:t>
      </w:r>
      <w:r w:rsidRPr="005873AF">
        <w:rPr>
          <w:rFonts w:ascii="Arial" w:eastAsia="Calibri" w:hAnsi="Arial" w:cs="Arial"/>
          <w:color w:val="000000" w:themeColor="text1"/>
          <w:sz w:val="22"/>
          <w:lang w:val="es-ES"/>
        </w:rPr>
        <w:t>la Subdirección, dentro de los límites de sus atribuciones, resolverá la consulta conforme a las normas generales en materia de contratación estatal</w:t>
      </w:r>
      <w:r w:rsidR="009E0444" w:rsidRPr="005873AF">
        <w:rPr>
          <w:rFonts w:ascii="Arial" w:eastAsia="Calibri" w:hAnsi="Arial" w:cs="Arial"/>
          <w:color w:val="000000" w:themeColor="text1"/>
          <w:sz w:val="22"/>
          <w:lang w:val="es-ES"/>
        </w:rPr>
        <w:t>, para lo cual se analizarán</w:t>
      </w:r>
      <w:r w:rsidR="00E85CE0" w:rsidRPr="005873AF">
        <w:rPr>
          <w:rFonts w:ascii="Arial" w:eastAsia="Calibri" w:hAnsi="Arial" w:cs="Arial"/>
          <w:color w:val="000000" w:themeColor="text1"/>
          <w:sz w:val="22"/>
          <w:lang w:val="es-ES"/>
        </w:rPr>
        <w:t xml:space="preserve"> los siguientes temas:</w:t>
      </w:r>
      <w:r w:rsidR="00E85CE0" w:rsidRPr="005873AF">
        <w:rPr>
          <w:rFonts w:ascii="Arial" w:eastAsia="Calibri" w:hAnsi="Arial" w:cs="Arial"/>
          <w:bCs/>
          <w:color w:val="000000" w:themeColor="text1"/>
          <w:sz w:val="22"/>
        </w:rPr>
        <w:t xml:space="preserve"> i) </w:t>
      </w:r>
      <w:r w:rsidR="006161BE" w:rsidRPr="005873AF">
        <w:rPr>
          <w:rFonts w:ascii="Arial" w:eastAsia="Calibri" w:hAnsi="Arial" w:cs="Arial"/>
          <w:bCs/>
          <w:color w:val="000000" w:themeColor="text1"/>
          <w:sz w:val="22"/>
        </w:rPr>
        <w:t xml:space="preserve">el Plan de Salud Público de Intervención Colectiva –PIC–; ii) </w:t>
      </w:r>
      <w:r w:rsidR="00E85CE0" w:rsidRPr="005873AF">
        <w:rPr>
          <w:rFonts w:ascii="Arial" w:eastAsia="Calibri" w:hAnsi="Arial" w:cs="Arial"/>
          <w:bCs/>
          <w:color w:val="000000" w:themeColor="text1"/>
          <w:sz w:val="22"/>
        </w:rPr>
        <w:t>definición y finalidad de la Ley de Garantías Electorales, ii</w:t>
      </w:r>
      <w:r w:rsidR="006161BE" w:rsidRPr="005873AF">
        <w:rPr>
          <w:rFonts w:ascii="Arial" w:eastAsia="Calibri" w:hAnsi="Arial" w:cs="Arial"/>
          <w:bCs/>
          <w:color w:val="000000" w:themeColor="text1"/>
          <w:sz w:val="22"/>
        </w:rPr>
        <w:t>i</w:t>
      </w:r>
      <w:r w:rsidR="00E85CE0" w:rsidRPr="005873AF">
        <w:rPr>
          <w:rFonts w:ascii="Arial" w:eastAsia="Calibri" w:hAnsi="Arial" w:cs="Arial"/>
          <w:bCs/>
          <w:color w:val="000000" w:themeColor="text1"/>
          <w:sz w:val="22"/>
        </w:rPr>
        <w:t xml:space="preserve">) </w:t>
      </w:r>
      <w:r w:rsidR="006161BE" w:rsidRPr="005873AF">
        <w:rPr>
          <w:rFonts w:ascii="Arial" w:eastAsia="Calibri" w:hAnsi="Arial" w:cs="Arial"/>
          <w:bCs/>
          <w:color w:val="000000" w:themeColor="text1"/>
          <w:sz w:val="22"/>
        </w:rPr>
        <w:t xml:space="preserve">las restricciones para la celebración de contratos y convenios interadministrativos en los comicios de cargos de elección popular: prohibición del parágrafo del artículo 38 de la Ley 996 de 2005; iv) </w:t>
      </w:r>
      <w:r w:rsidR="003D2D38" w:rsidRPr="005873AF">
        <w:rPr>
          <w:rFonts w:ascii="Arial" w:eastAsia="Calibri" w:hAnsi="Arial" w:cs="Arial"/>
          <w:bCs/>
          <w:color w:val="000000" w:themeColor="text1"/>
          <w:sz w:val="22"/>
        </w:rPr>
        <w:t>las restricciones en elecciones presidenciales: prohibición del artículo 33 de la Ley 996 de 2005</w:t>
      </w:r>
      <w:r w:rsidR="00E85CE0" w:rsidRPr="005873AF">
        <w:rPr>
          <w:rFonts w:ascii="Arial" w:eastAsia="Calibri" w:hAnsi="Arial" w:cs="Arial"/>
          <w:bCs/>
          <w:color w:val="000000" w:themeColor="text1"/>
          <w:sz w:val="22"/>
        </w:rPr>
        <w:t>,</w:t>
      </w:r>
      <w:r w:rsidR="00323534" w:rsidRPr="005873AF">
        <w:rPr>
          <w:rFonts w:ascii="Arial" w:eastAsia="Calibri" w:hAnsi="Arial" w:cs="Arial"/>
          <w:bCs/>
          <w:color w:val="000000" w:themeColor="text1"/>
          <w:sz w:val="22"/>
        </w:rPr>
        <w:t xml:space="preserve"> y</w:t>
      </w:r>
      <w:r w:rsidR="00E85CE0" w:rsidRPr="005873AF">
        <w:rPr>
          <w:rFonts w:ascii="Arial" w:eastAsia="Calibri" w:hAnsi="Arial" w:cs="Arial"/>
          <w:bCs/>
          <w:color w:val="000000" w:themeColor="text1"/>
          <w:sz w:val="22"/>
        </w:rPr>
        <w:t xml:space="preserve"> </w:t>
      </w:r>
      <w:r w:rsidR="003D2D38" w:rsidRPr="005873AF">
        <w:rPr>
          <w:rFonts w:ascii="Arial" w:eastAsia="Calibri" w:hAnsi="Arial" w:cs="Arial"/>
          <w:bCs/>
          <w:color w:val="000000" w:themeColor="text1"/>
          <w:sz w:val="22"/>
        </w:rPr>
        <w:t>v</w:t>
      </w:r>
      <w:r w:rsidR="00E85CE0" w:rsidRPr="005873AF">
        <w:rPr>
          <w:rFonts w:ascii="Arial" w:eastAsia="Calibri" w:hAnsi="Arial" w:cs="Arial"/>
          <w:bCs/>
          <w:color w:val="000000" w:themeColor="text1"/>
          <w:sz w:val="22"/>
        </w:rPr>
        <w:t xml:space="preserve">) </w:t>
      </w:r>
      <w:r w:rsidR="003D2D38" w:rsidRPr="005873AF">
        <w:rPr>
          <w:rFonts w:ascii="Arial" w:eastAsia="Calibri" w:hAnsi="Arial" w:cs="Arial"/>
          <w:bCs/>
          <w:color w:val="000000" w:themeColor="text1"/>
          <w:sz w:val="22"/>
        </w:rPr>
        <w:t>los destinatarios de la restricción del artículo 33 de la Ley 996 de 2005 y las excepciones a la prohibición.</w:t>
      </w:r>
    </w:p>
    <w:p w14:paraId="3B82364D" w14:textId="63B1589D" w:rsidR="00AC7B4D" w:rsidRPr="005873AF" w:rsidRDefault="001459D2" w:rsidP="00481870">
      <w:pPr>
        <w:spacing w:line="276" w:lineRule="auto"/>
        <w:ind w:firstLine="708"/>
        <w:jc w:val="both"/>
        <w:rPr>
          <w:rFonts w:ascii="Arial" w:eastAsia="Calibri" w:hAnsi="Arial" w:cs="Arial"/>
          <w:color w:val="000000" w:themeColor="text1"/>
          <w:sz w:val="22"/>
        </w:rPr>
      </w:pPr>
      <w:r w:rsidRPr="005873AF">
        <w:rPr>
          <w:rFonts w:ascii="Arial" w:eastAsia="Calibri" w:hAnsi="Arial" w:cs="Arial"/>
          <w:color w:val="000000" w:themeColor="text1"/>
          <w:sz w:val="22"/>
        </w:rPr>
        <w:t>Esta Agencia</w:t>
      </w:r>
      <w:r w:rsidR="00E670DD" w:rsidRPr="005873AF">
        <w:rPr>
          <w:rFonts w:ascii="Arial" w:eastAsia="Calibri" w:hAnsi="Arial" w:cs="Arial"/>
          <w:color w:val="000000" w:themeColor="text1"/>
          <w:sz w:val="22"/>
        </w:rPr>
        <w:t xml:space="preserve"> se ha pronunciado en diferentes ocasiones sobre la Ley de Garantías</w:t>
      </w:r>
      <w:r w:rsidRPr="005873AF">
        <w:rPr>
          <w:rFonts w:ascii="Arial" w:eastAsia="Calibri" w:hAnsi="Arial" w:cs="Arial"/>
          <w:color w:val="000000" w:themeColor="text1"/>
          <w:sz w:val="22"/>
        </w:rPr>
        <w:t xml:space="preserve"> Electorales</w:t>
      </w:r>
      <w:r w:rsidR="00E670DD" w:rsidRPr="005873AF">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5873AF">
        <w:rPr>
          <w:rFonts w:ascii="Arial" w:eastAsia="Calibri" w:hAnsi="Arial" w:cs="Arial"/>
          <w:color w:val="000000" w:themeColor="text1"/>
          <w:sz w:val="22"/>
        </w:rPr>
        <w:t xml:space="preserve">, </w:t>
      </w:r>
      <w:r w:rsidR="00974B94" w:rsidRPr="005873AF">
        <w:rPr>
          <w:rFonts w:ascii="Arial" w:eastAsia="Calibri" w:hAnsi="Arial" w:cs="Arial"/>
          <w:color w:val="000000" w:themeColor="text1"/>
          <w:sz w:val="22"/>
        </w:rPr>
        <w:t xml:space="preserve"> C-227 del 24 de mayo de 2021</w:t>
      </w:r>
      <w:r w:rsidR="00E746A6" w:rsidRPr="005873AF">
        <w:rPr>
          <w:rFonts w:ascii="Arial" w:eastAsia="Calibri" w:hAnsi="Arial" w:cs="Arial"/>
          <w:color w:val="000000" w:themeColor="text1"/>
          <w:sz w:val="22"/>
        </w:rPr>
        <w:t xml:space="preserve"> y </w:t>
      </w:r>
      <w:r w:rsidR="0030575F" w:rsidRPr="005873AF">
        <w:rPr>
          <w:rFonts w:ascii="Arial" w:eastAsia="Calibri" w:hAnsi="Arial" w:cs="Arial"/>
          <w:color w:val="000000" w:themeColor="text1"/>
          <w:sz w:val="22"/>
        </w:rPr>
        <w:t>3</w:t>
      </w:r>
      <w:r w:rsidR="00E746A6" w:rsidRPr="005873AF">
        <w:rPr>
          <w:rFonts w:ascii="Arial" w:eastAsia="Calibri" w:hAnsi="Arial" w:cs="Arial"/>
          <w:color w:val="000000" w:themeColor="text1"/>
          <w:sz w:val="22"/>
        </w:rPr>
        <w:t>96 de</w:t>
      </w:r>
      <w:r w:rsidR="0030575F" w:rsidRPr="005873AF">
        <w:rPr>
          <w:rFonts w:ascii="Arial" w:eastAsia="Calibri" w:hAnsi="Arial" w:cs="Arial"/>
          <w:color w:val="000000" w:themeColor="text1"/>
          <w:sz w:val="22"/>
        </w:rPr>
        <w:t>l 13 de agosto de</w:t>
      </w:r>
      <w:r w:rsidR="00E746A6" w:rsidRPr="005873AF">
        <w:rPr>
          <w:rFonts w:ascii="Arial" w:eastAsia="Calibri" w:hAnsi="Arial" w:cs="Arial"/>
          <w:color w:val="000000" w:themeColor="text1"/>
          <w:sz w:val="22"/>
        </w:rPr>
        <w:t xml:space="preserve"> 2021</w:t>
      </w:r>
      <w:r w:rsidR="00E552DD" w:rsidRPr="005873AF">
        <w:rPr>
          <w:rFonts w:ascii="Arial" w:eastAsia="Calibri" w:hAnsi="Arial" w:cs="Arial"/>
          <w:color w:val="000000" w:themeColor="text1"/>
          <w:sz w:val="22"/>
        </w:rPr>
        <w:t>, C-429 del 27 de agosto de 2021</w:t>
      </w:r>
      <w:r w:rsidR="00A161D5" w:rsidRPr="005873AF">
        <w:rPr>
          <w:rFonts w:ascii="Arial" w:eastAsia="Calibri" w:hAnsi="Arial" w:cs="Arial"/>
          <w:color w:val="000000" w:themeColor="text1"/>
          <w:sz w:val="22"/>
        </w:rPr>
        <w:t xml:space="preserve">, C-456 del 3 de septiembre, C-481 del 9 de septiembre de 2021, </w:t>
      </w:r>
      <w:r w:rsidR="000A0A18" w:rsidRPr="005873AF">
        <w:rPr>
          <w:rFonts w:ascii="Arial" w:eastAsia="Calibri" w:hAnsi="Arial" w:cs="Arial"/>
          <w:color w:val="000000" w:themeColor="text1"/>
          <w:sz w:val="22"/>
        </w:rPr>
        <w:t>C- 528 del 27 de septiembre de 2021, C-550 del 5 de octubre de 2021</w:t>
      </w:r>
      <w:r w:rsidR="00E552DD" w:rsidRPr="005873AF">
        <w:rPr>
          <w:rFonts w:ascii="Arial" w:eastAsia="Calibri" w:hAnsi="Arial" w:cs="Arial"/>
          <w:color w:val="000000" w:themeColor="text1"/>
          <w:sz w:val="22"/>
        </w:rPr>
        <w:t xml:space="preserve"> y C-523 del </w:t>
      </w:r>
      <w:r w:rsidR="00E17CD1" w:rsidRPr="005873AF">
        <w:rPr>
          <w:rFonts w:ascii="Arial" w:eastAsia="Calibri" w:hAnsi="Arial" w:cs="Arial"/>
          <w:color w:val="000000" w:themeColor="text1"/>
          <w:sz w:val="22"/>
        </w:rPr>
        <w:t>10 de octubre de 2021</w:t>
      </w:r>
      <w:r w:rsidR="008D5CD5" w:rsidRPr="005873AF">
        <w:rPr>
          <w:rFonts w:ascii="Arial" w:eastAsia="Calibri" w:hAnsi="Arial" w:cs="Arial"/>
          <w:color w:val="000000" w:themeColor="text1"/>
          <w:sz w:val="22"/>
        </w:rPr>
        <w:t>, C-606 del 28 de octubre de 2021 y C-614 del 2 de noviembre de 2021, C-636 del 16 de noviembre de 2021, 681 del 7 de diciembre de 2021, C-686 del 21 de diciembre de 2021, C-697 del 3 de enero de 2022</w:t>
      </w:r>
      <w:r w:rsidR="00796CD4" w:rsidRPr="005873AF">
        <w:rPr>
          <w:rFonts w:ascii="Arial" w:eastAsia="Calibri" w:hAnsi="Arial" w:cs="Arial"/>
          <w:color w:val="000000" w:themeColor="text1"/>
          <w:sz w:val="22"/>
        </w:rPr>
        <w:t xml:space="preserve"> y</w:t>
      </w:r>
      <w:r w:rsidR="00913A0F" w:rsidRPr="005873AF">
        <w:rPr>
          <w:rFonts w:ascii="Arial" w:eastAsia="Calibri" w:hAnsi="Arial" w:cs="Arial"/>
          <w:color w:val="000000" w:themeColor="text1"/>
          <w:sz w:val="22"/>
        </w:rPr>
        <w:t xml:space="preserve"> C-002 del 15 de febrero de 2022, entre otros</w:t>
      </w:r>
      <w:r w:rsidR="00974B94" w:rsidRPr="005873AF">
        <w:rPr>
          <w:rFonts w:ascii="Arial" w:eastAsia="Calibri" w:hAnsi="Arial" w:cs="Arial"/>
          <w:color w:val="000000" w:themeColor="text1"/>
          <w:sz w:val="22"/>
        </w:rPr>
        <w:t>.</w:t>
      </w:r>
      <w:r w:rsidR="009A773A" w:rsidRPr="005873AF">
        <w:rPr>
          <w:rFonts w:ascii="Arial" w:eastAsia="Calibri" w:hAnsi="Arial" w:cs="Arial"/>
          <w:color w:val="000000" w:themeColor="text1"/>
          <w:sz w:val="22"/>
        </w:rPr>
        <w:t xml:space="preserve"> </w:t>
      </w:r>
      <w:r w:rsidR="00796CD4" w:rsidRPr="005873AF">
        <w:rPr>
          <w:rFonts w:ascii="Arial" w:eastAsia="Calibri" w:hAnsi="Arial" w:cs="Arial"/>
          <w:color w:val="000000" w:themeColor="text1"/>
          <w:sz w:val="22"/>
        </w:rPr>
        <w:t xml:space="preserve">En lo pertinente se reiterarán las </w:t>
      </w:r>
      <w:r w:rsidR="007A02C2" w:rsidRPr="005873AF">
        <w:rPr>
          <w:rFonts w:ascii="Arial" w:eastAsia="Calibri" w:hAnsi="Arial" w:cs="Arial"/>
          <w:color w:val="000000" w:themeColor="text1"/>
          <w:sz w:val="22"/>
        </w:rPr>
        <w:t>consideraciones señaladas en dichos conceptos.</w:t>
      </w:r>
    </w:p>
    <w:p w14:paraId="433DF896" w14:textId="3A75C27B" w:rsidR="003827B5" w:rsidRPr="005873AF" w:rsidRDefault="003827B5" w:rsidP="003827B5">
      <w:pPr>
        <w:spacing w:line="276" w:lineRule="auto"/>
        <w:jc w:val="both"/>
        <w:rPr>
          <w:rFonts w:ascii="Arial" w:eastAsia="Calibri" w:hAnsi="Arial" w:cs="Arial"/>
          <w:color w:val="000000" w:themeColor="text1"/>
          <w:sz w:val="22"/>
        </w:rPr>
      </w:pPr>
    </w:p>
    <w:p w14:paraId="52B2C7EB" w14:textId="25A16CBB" w:rsidR="003827B5" w:rsidRPr="005873AF" w:rsidRDefault="003827B5" w:rsidP="003827B5">
      <w:pPr>
        <w:spacing w:line="276" w:lineRule="auto"/>
        <w:jc w:val="both"/>
        <w:rPr>
          <w:rFonts w:ascii="Arial" w:eastAsia="Calibri" w:hAnsi="Arial" w:cs="Arial"/>
          <w:b/>
          <w:bCs/>
          <w:color w:val="000000" w:themeColor="text1"/>
          <w:sz w:val="22"/>
        </w:rPr>
      </w:pPr>
      <w:r w:rsidRPr="005873AF">
        <w:rPr>
          <w:rFonts w:ascii="Arial" w:eastAsia="Calibri" w:hAnsi="Arial" w:cs="Arial"/>
          <w:b/>
          <w:bCs/>
          <w:color w:val="000000" w:themeColor="text1"/>
          <w:sz w:val="22"/>
        </w:rPr>
        <w:t>2.1. Plan de Salud Público de Intervención Colectiva –PIC–</w:t>
      </w:r>
    </w:p>
    <w:p w14:paraId="71205760" w14:textId="6183E6E4" w:rsidR="003827B5" w:rsidRPr="005873AF" w:rsidRDefault="003827B5" w:rsidP="003827B5">
      <w:pPr>
        <w:spacing w:line="276" w:lineRule="auto"/>
        <w:jc w:val="both"/>
        <w:rPr>
          <w:rFonts w:ascii="Arial" w:eastAsia="Calibri" w:hAnsi="Arial" w:cs="Arial"/>
          <w:b/>
          <w:bCs/>
          <w:color w:val="000000" w:themeColor="text1"/>
          <w:sz w:val="22"/>
        </w:rPr>
      </w:pPr>
    </w:p>
    <w:p w14:paraId="318B68E0" w14:textId="079AB7BB" w:rsidR="003827B5" w:rsidRPr="005873AF" w:rsidRDefault="00781832" w:rsidP="003827B5">
      <w:pPr>
        <w:spacing w:after="120" w:line="276" w:lineRule="auto"/>
        <w:jc w:val="both"/>
        <w:rPr>
          <w:rFonts w:ascii="Arial" w:hAnsi="Arial" w:cs="Arial"/>
          <w:color w:val="000000" w:themeColor="text1"/>
          <w:sz w:val="22"/>
          <w:szCs w:val="22"/>
        </w:rPr>
      </w:pPr>
      <w:r w:rsidRPr="005873AF">
        <w:rPr>
          <w:rFonts w:ascii="Arial" w:eastAsia="Arial" w:hAnsi="Arial" w:cs="Arial"/>
          <w:color w:val="000000" w:themeColor="text1"/>
          <w:sz w:val="22"/>
          <w:szCs w:val="22"/>
          <w:lang w:val="es-MX"/>
        </w:rPr>
        <w:t xml:space="preserve">Teniendo en cuenta que las preguntas del peticionario se relacionan con el Plan de Salud Público de Intervención Colectiva –PIC–, desarrollado en la Resolución 518 de 2015, a </w:t>
      </w:r>
      <w:r w:rsidR="005873AF" w:rsidRPr="005873AF">
        <w:rPr>
          <w:rFonts w:ascii="Arial" w:eastAsia="Arial" w:hAnsi="Arial" w:cs="Arial"/>
          <w:color w:val="000000" w:themeColor="text1"/>
          <w:sz w:val="22"/>
          <w:szCs w:val="22"/>
          <w:lang w:val="es-MX"/>
        </w:rPr>
        <w:t>continuación,</w:t>
      </w:r>
      <w:r w:rsidRPr="005873AF">
        <w:rPr>
          <w:rFonts w:ascii="Arial" w:eastAsia="Arial" w:hAnsi="Arial" w:cs="Arial"/>
          <w:color w:val="000000" w:themeColor="text1"/>
          <w:sz w:val="22"/>
          <w:szCs w:val="22"/>
          <w:lang w:val="es-MX"/>
        </w:rPr>
        <w:t xml:space="preserve"> se realizarán algunas consideraciones en torno al mismo, atendiendo a los aspectos contractuales, para posteriormente analizar las prohibiciones establecidas en la Ley de Garantías Electorales. De esta manera, e</w:t>
      </w:r>
      <w:r w:rsidR="003827B5" w:rsidRPr="005873AF">
        <w:rPr>
          <w:rFonts w:ascii="Arial" w:hAnsi="Arial" w:cs="Arial"/>
          <w:color w:val="000000" w:themeColor="text1"/>
          <w:sz w:val="22"/>
          <w:szCs w:val="22"/>
        </w:rPr>
        <w:t xml:space="preserve">l artículo 8 de la Resolución 518 de 2015, </w:t>
      </w:r>
      <w:r w:rsidRPr="005873AF">
        <w:rPr>
          <w:rFonts w:ascii="Arial" w:hAnsi="Arial" w:cs="Arial"/>
          <w:color w:val="000000" w:themeColor="text1"/>
          <w:sz w:val="22"/>
          <w:szCs w:val="22"/>
        </w:rPr>
        <w:t>«</w:t>
      </w:r>
      <w:r w:rsidR="003827B5" w:rsidRPr="005873AF">
        <w:rPr>
          <w:rFonts w:ascii="Arial" w:hAnsi="Arial" w:cs="Arial"/>
          <w:color w:val="000000" w:themeColor="text1"/>
          <w:sz w:val="22"/>
          <w:szCs w:val="22"/>
        </w:rPr>
        <w:t>Por la cual se dictan disposiciones en relación con la Gestión de la Salud Pública y se establecen directrices para la ejecución, seguimiento y evaluación del Plan de Salud Pública de Intervenciones Colectivas –PIC</w:t>
      </w:r>
      <w:r w:rsidRPr="005873AF">
        <w:rPr>
          <w:rFonts w:ascii="Arial" w:hAnsi="Arial" w:cs="Arial"/>
          <w:color w:val="000000" w:themeColor="text1"/>
          <w:sz w:val="22"/>
          <w:szCs w:val="22"/>
        </w:rPr>
        <w:t>»</w:t>
      </w:r>
      <w:r w:rsidR="003827B5" w:rsidRPr="005873AF">
        <w:rPr>
          <w:rFonts w:ascii="Arial" w:hAnsi="Arial" w:cs="Arial"/>
          <w:color w:val="000000" w:themeColor="text1"/>
          <w:sz w:val="22"/>
          <w:szCs w:val="22"/>
        </w:rPr>
        <w:t xml:space="preserve"> define a los PIC así: </w:t>
      </w:r>
      <w:r w:rsidR="003827B5" w:rsidRPr="005873AF">
        <w:rPr>
          <w:rFonts w:ascii="Arial" w:hAnsi="Arial" w:cs="Arial"/>
          <w:bCs/>
          <w:color w:val="000000" w:themeColor="text1"/>
          <w:sz w:val="22"/>
          <w:szCs w:val="22"/>
          <w:lang w:eastAsia="es-CO"/>
        </w:rPr>
        <w:t>«</w:t>
      </w:r>
      <w:r w:rsidR="003827B5" w:rsidRPr="005873AF">
        <w:rPr>
          <w:rFonts w:ascii="Arial" w:hAnsi="Arial" w:cs="Arial"/>
          <w:color w:val="000000" w:themeColor="text1"/>
          <w:sz w:val="22"/>
          <w:szCs w:val="22"/>
        </w:rPr>
        <w:t>Es un plan complementario al Plan Obligatorio de Salud - POS</w:t>
      </w:r>
      <w:r w:rsidR="00A470A9" w:rsidRPr="005873AF">
        <w:rPr>
          <w:rFonts w:ascii="Arial" w:hAnsi="Arial" w:cs="Arial"/>
          <w:color w:val="000000" w:themeColor="text1"/>
          <w:sz w:val="22"/>
          <w:szCs w:val="22"/>
        </w:rPr>
        <w:t xml:space="preserve"> y</w:t>
      </w:r>
      <w:r w:rsidR="003827B5" w:rsidRPr="005873AF">
        <w:rPr>
          <w:rFonts w:ascii="Arial" w:hAnsi="Arial" w:cs="Arial"/>
          <w:color w:val="000000" w:themeColor="text1"/>
          <w:sz w:val="22"/>
          <w:szCs w:val="22"/>
        </w:rPr>
        <w:t xml:space="preserve"> otros beneficios, dirigido a impactar positivamente los determinantes sociales de la salud e incidir en los resultados en salud, a través de la ejecución de intervenciones colectivas o individuales de alta externalidad en salud definidas en la presente resolución, desarrolladas a lo largo del curso de vida, en el marco del derecho a la salud y de lo definido en el Plan Decenal de Salud Pública PDSP</w:t>
      </w:r>
      <w:r w:rsidR="003827B5" w:rsidRPr="005873AF">
        <w:rPr>
          <w:rFonts w:ascii="Arial" w:hAnsi="Arial" w:cs="Arial"/>
          <w:bCs/>
          <w:color w:val="000000" w:themeColor="text1"/>
          <w:sz w:val="22"/>
          <w:szCs w:val="22"/>
          <w:lang w:eastAsia="es-CO"/>
        </w:rPr>
        <w:t>»</w:t>
      </w:r>
      <w:r w:rsidR="003827B5" w:rsidRPr="005873AF">
        <w:rPr>
          <w:rFonts w:ascii="Arial" w:hAnsi="Arial" w:cs="Arial"/>
          <w:color w:val="000000" w:themeColor="text1"/>
          <w:sz w:val="22"/>
          <w:szCs w:val="22"/>
        </w:rPr>
        <w:t xml:space="preserve">. </w:t>
      </w:r>
    </w:p>
    <w:p w14:paraId="4C432CC5" w14:textId="68E8E2F6" w:rsidR="003827B5" w:rsidRPr="005873AF" w:rsidRDefault="003827B5" w:rsidP="003827B5">
      <w:pPr>
        <w:spacing w:after="120" w:line="276" w:lineRule="auto"/>
        <w:ind w:firstLine="708"/>
        <w:jc w:val="both"/>
        <w:rPr>
          <w:rFonts w:ascii="Arial" w:hAnsi="Arial" w:cs="Arial"/>
          <w:color w:val="000000" w:themeColor="text1"/>
          <w:sz w:val="22"/>
          <w:szCs w:val="22"/>
        </w:rPr>
      </w:pPr>
      <w:r w:rsidRPr="005873AF">
        <w:rPr>
          <w:rFonts w:ascii="Arial" w:hAnsi="Arial" w:cs="Arial"/>
          <w:color w:val="000000" w:themeColor="text1"/>
          <w:sz w:val="22"/>
          <w:szCs w:val="22"/>
        </w:rPr>
        <w:lastRenderedPageBreak/>
        <w:t xml:space="preserve">Posteriormente, el artículo 14 de la Resolución 518 de 2015 dispone que las intervenciones colectivas se contratarán con las instituciones que tengan capacidad técnica y operativa, de acuerdo con los criterios establecidos en el artículo 15 de dicha resolución y cumpliendo con la normatividad vigente en materia de contratación estatal, para lo cual </w:t>
      </w:r>
      <w:r w:rsidR="00781832" w:rsidRPr="005873AF">
        <w:rPr>
          <w:rFonts w:ascii="Arial" w:hAnsi="Arial" w:cs="Arial"/>
          <w:color w:val="000000" w:themeColor="text1"/>
          <w:sz w:val="22"/>
          <w:szCs w:val="22"/>
        </w:rPr>
        <w:t xml:space="preserve">se </w:t>
      </w:r>
      <w:r w:rsidRPr="005873AF">
        <w:rPr>
          <w:rFonts w:ascii="Arial" w:hAnsi="Arial" w:cs="Arial"/>
          <w:color w:val="000000" w:themeColor="text1"/>
          <w:sz w:val="22"/>
          <w:szCs w:val="22"/>
        </w:rPr>
        <w:t>tendrá en cuenta lo siguiente: en primer lugar, la entidad territorial contratará prioritariamente con las Empresas Sociales del Estado ubicadas en el territorio (incluye las IPS indígenas), las acciones del PIC para las cuales tenga capacidad técnica y operativa</w:t>
      </w:r>
      <w:r w:rsidR="006359EC" w:rsidRPr="005873AF">
        <w:rPr>
          <w:rFonts w:ascii="Arial" w:hAnsi="Arial" w:cs="Arial"/>
          <w:color w:val="000000" w:themeColor="text1"/>
          <w:sz w:val="22"/>
          <w:szCs w:val="22"/>
        </w:rPr>
        <w:t>.</w:t>
      </w:r>
      <w:r w:rsidRPr="005873AF">
        <w:rPr>
          <w:rFonts w:ascii="Arial" w:hAnsi="Arial" w:cs="Arial"/>
          <w:color w:val="000000" w:themeColor="text1"/>
          <w:sz w:val="22"/>
          <w:szCs w:val="22"/>
        </w:rPr>
        <w:t xml:space="preserve"> </w:t>
      </w:r>
      <w:r w:rsidR="006359EC" w:rsidRPr="005873AF">
        <w:rPr>
          <w:rFonts w:ascii="Arial" w:hAnsi="Arial" w:cs="Arial"/>
          <w:color w:val="000000" w:themeColor="text1"/>
          <w:sz w:val="22"/>
          <w:szCs w:val="22"/>
        </w:rPr>
        <w:t>E</w:t>
      </w:r>
      <w:r w:rsidRPr="005873AF">
        <w:rPr>
          <w:rFonts w:ascii="Arial" w:hAnsi="Arial" w:cs="Arial"/>
          <w:color w:val="000000" w:themeColor="text1"/>
          <w:sz w:val="22"/>
          <w:szCs w:val="22"/>
        </w:rPr>
        <w:t>n segundo lugar, cuando la IPS pública ubicada en el territorio no esté en capacidad de ejecutar algunas acciones del PIC, la entidad territorial podrá contratarlas con Empresas Sociales del Estado de municipios vecinos. Del mismo modo, podrá contratarlas cuando por su ubicación geográfica, estas IPS estén en mejor capacidad de garantizar el acceso de la población a dichas intervenciones</w:t>
      </w:r>
      <w:r w:rsidR="006359EC" w:rsidRPr="005873AF">
        <w:rPr>
          <w:rFonts w:ascii="Arial" w:hAnsi="Arial" w:cs="Arial"/>
          <w:color w:val="000000" w:themeColor="text1"/>
          <w:sz w:val="22"/>
          <w:szCs w:val="22"/>
        </w:rPr>
        <w:t>.</w:t>
      </w:r>
      <w:r w:rsidRPr="005873AF">
        <w:rPr>
          <w:rFonts w:ascii="Arial" w:hAnsi="Arial" w:cs="Arial"/>
          <w:color w:val="000000" w:themeColor="text1"/>
          <w:sz w:val="22"/>
          <w:szCs w:val="22"/>
        </w:rPr>
        <w:t xml:space="preserve"> </w:t>
      </w:r>
      <w:r w:rsidR="006359EC" w:rsidRPr="005873AF">
        <w:rPr>
          <w:rFonts w:ascii="Arial" w:hAnsi="Arial" w:cs="Arial"/>
          <w:color w:val="000000" w:themeColor="text1"/>
          <w:sz w:val="22"/>
          <w:szCs w:val="22"/>
        </w:rPr>
        <w:t>E</w:t>
      </w:r>
      <w:r w:rsidRPr="005873AF">
        <w:rPr>
          <w:rFonts w:ascii="Arial" w:hAnsi="Arial" w:cs="Arial"/>
          <w:color w:val="000000" w:themeColor="text1"/>
          <w:sz w:val="22"/>
          <w:szCs w:val="22"/>
        </w:rPr>
        <w:t xml:space="preserve">n tercer lugar, en el evento de que las IPS públicas no cuenten con la capacidad técnica y operativa, la entidad territorial podrá contratar las acciones del PIC con instituciones prestadoras de salud privadas ubicadas en el municipio, organizaciones no gubernamentales (ONG), universidades y otras entidades privadas cuyo objeto social esté relacionado con la prestación de las acciones que se contraten, siempre y cuando cumplan los criterios definidos en el artículo 15 de dicha resolución. En estos eventos se acudirá a los parámetros de selección previstos en la normativa vigente sobre la materia. </w:t>
      </w:r>
    </w:p>
    <w:p w14:paraId="481961C6" w14:textId="77777777" w:rsidR="003827B5" w:rsidRPr="005873AF" w:rsidRDefault="003827B5" w:rsidP="003827B5">
      <w:pPr>
        <w:spacing w:after="120" w:line="276" w:lineRule="auto"/>
        <w:ind w:firstLine="708"/>
        <w:jc w:val="both"/>
        <w:rPr>
          <w:rFonts w:ascii="Arial" w:hAnsi="Arial" w:cs="Arial"/>
          <w:color w:val="000000" w:themeColor="text1"/>
          <w:sz w:val="22"/>
          <w:szCs w:val="22"/>
        </w:rPr>
      </w:pPr>
      <w:r w:rsidRPr="005873AF">
        <w:rPr>
          <w:rFonts w:ascii="Arial" w:hAnsi="Arial" w:cs="Arial"/>
          <w:color w:val="000000" w:themeColor="text1"/>
          <w:sz w:val="22"/>
          <w:szCs w:val="22"/>
        </w:rPr>
        <w:t>En este sentido, se señala dentro de la Resolución 518 de 2015 que la institución que sea contratada para ejecutar las acciones PIC no podrá subcontratarlas. Sin embargo, podrá contratar las actividades de apoyo que permitan la ejecución de las intervenciones, procedimientos, actividades y adquisición de insumos, descritos en el Anexo Técnico que hace parte integral de la presente resolución. Así mismo, se señala que podrán realizarse alianzas entre dos o más municipios para la contratación de intervenciones colectivas en el marco de estrategias conjuntas de salud pública, que tengan un alcance regional o que permitan optimizar esfuerzos y recursos.</w:t>
      </w:r>
    </w:p>
    <w:p w14:paraId="10C8CB77" w14:textId="1700CB22" w:rsidR="003827B5" w:rsidRPr="005873AF" w:rsidRDefault="003827B5" w:rsidP="003827B5">
      <w:pPr>
        <w:spacing w:after="120" w:line="276" w:lineRule="auto"/>
        <w:ind w:firstLine="708"/>
        <w:jc w:val="both"/>
        <w:rPr>
          <w:rFonts w:ascii="Arial" w:hAnsi="Arial" w:cs="Arial"/>
          <w:color w:val="000000" w:themeColor="text1"/>
          <w:sz w:val="22"/>
          <w:szCs w:val="22"/>
        </w:rPr>
      </w:pPr>
      <w:r w:rsidRPr="005873AF">
        <w:rPr>
          <w:rFonts w:ascii="Arial" w:hAnsi="Arial" w:cs="Arial"/>
          <w:color w:val="000000" w:themeColor="text1"/>
          <w:sz w:val="22"/>
          <w:szCs w:val="22"/>
        </w:rPr>
        <w:t xml:space="preserve">En esa misma línea, el artículo 15 de la Resolución 518 de 2015 establece que para la contratación de las acciones del PIC, la entidad territorial debe verificar que la institución a contratar cumpla con los siguientes criterios: i) tener mínimo dos (2) años de experiencia relacionada con la ejecución de las acciones que se pretendan contratar; ii) disponer de un coordinador para la ejecución de las acciones del PIC que se pretenda contratar, respecto del cual se debe acreditar que cuenta con el perfil establecido por la entidad territorial; iii) tener una evaluación satisfactoria en la ejecución técnica y financiera del último contrato suscrito con una entidad territorial; la evaluación deberá estar soportada y documentada frente a los lineamientos técnicos pactados; </w:t>
      </w:r>
      <w:r w:rsidR="00581151" w:rsidRPr="005873AF">
        <w:rPr>
          <w:rFonts w:ascii="Arial" w:hAnsi="Arial" w:cs="Arial"/>
          <w:color w:val="000000" w:themeColor="text1"/>
          <w:sz w:val="22"/>
          <w:szCs w:val="22"/>
        </w:rPr>
        <w:t xml:space="preserve">y </w:t>
      </w:r>
      <w:r w:rsidRPr="005873AF">
        <w:rPr>
          <w:rFonts w:ascii="Arial" w:hAnsi="Arial" w:cs="Arial"/>
          <w:color w:val="000000" w:themeColor="text1"/>
          <w:sz w:val="22"/>
          <w:szCs w:val="22"/>
        </w:rPr>
        <w:t xml:space="preserve">iv) </w:t>
      </w:r>
      <w:r w:rsidR="00581151" w:rsidRPr="005873AF">
        <w:rPr>
          <w:rFonts w:ascii="Arial" w:hAnsi="Arial" w:cs="Arial"/>
          <w:color w:val="000000" w:themeColor="text1"/>
          <w:sz w:val="22"/>
          <w:szCs w:val="22"/>
        </w:rPr>
        <w:t>d</w:t>
      </w:r>
      <w:r w:rsidRPr="005873AF">
        <w:rPr>
          <w:rFonts w:ascii="Arial" w:hAnsi="Arial" w:cs="Arial"/>
          <w:color w:val="000000" w:themeColor="text1"/>
          <w:sz w:val="22"/>
          <w:szCs w:val="22"/>
        </w:rPr>
        <w:t xml:space="preserve">eberá cumplirse con lo establecido por el Sistema Único de Habilitación, cuando la acción del PIC a contratar lo requiera </w:t>
      </w:r>
      <w:r w:rsidR="006359EC" w:rsidRPr="005873AF">
        <w:rPr>
          <w:rFonts w:ascii="Arial" w:hAnsi="Arial" w:cs="Arial"/>
          <w:color w:val="000000" w:themeColor="text1"/>
          <w:sz w:val="22"/>
          <w:szCs w:val="22"/>
        </w:rPr>
        <w:t>–</w:t>
      </w:r>
      <w:r w:rsidRPr="005873AF">
        <w:rPr>
          <w:rFonts w:ascii="Arial" w:hAnsi="Arial" w:cs="Arial"/>
          <w:color w:val="000000" w:themeColor="text1"/>
          <w:sz w:val="22"/>
          <w:szCs w:val="22"/>
        </w:rPr>
        <w:t>manejo de biológicos, medicamentos, dispositivos, tamizajes o insumos médicos</w:t>
      </w:r>
      <w:r w:rsidR="006359EC" w:rsidRPr="005873AF">
        <w:rPr>
          <w:rFonts w:ascii="Arial" w:hAnsi="Arial" w:cs="Arial"/>
          <w:color w:val="000000" w:themeColor="text1"/>
          <w:sz w:val="22"/>
          <w:szCs w:val="22"/>
        </w:rPr>
        <w:t>–</w:t>
      </w:r>
      <w:r w:rsidRPr="005873AF">
        <w:rPr>
          <w:rFonts w:ascii="Arial" w:hAnsi="Arial" w:cs="Arial"/>
          <w:color w:val="000000" w:themeColor="text1"/>
          <w:sz w:val="22"/>
          <w:szCs w:val="22"/>
        </w:rPr>
        <w:t xml:space="preserve">. </w:t>
      </w:r>
    </w:p>
    <w:p w14:paraId="31B0E9DF" w14:textId="0AAA1FD1" w:rsidR="006359EC" w:rsidRPr="005873AF" w:rsidRDefault="006359EC" w:rsidP="003827B5">
      <w:pPr>
        <w:spacing w:after="120" w:line="276" w:lineRule="auto"/>
        <w:ind w:firstLine="708"/>
        <w:jc w:val="both"/>
        <w:rPr>
          <w:rFonts w:ascii="Arial" w:hAnsi="Arial" w:cs="Arial"/>
          <w:color w:val="000000" w:themeColor="text1"/>
          <w:sz w:val="22"/>
          <w:szCs w:val="22"/>
        </w:rPr>
      </w:pPr>
      <w:r w:rsidRPr="005873AF">
        <w:rPr>
          <w:rFonts w:ascii="Arial" w:hAnsi="Arial" w:cs="Arial"/>
          <w:color w:val="000000" w:themeColor="text1"/>
          <w:sz w:val="22"/>
          <w:szCs w:val="22"/>
        </w:rPr>
        <w:lastRenderedPageBreak/>
        <w:t>Expuesto lo anterior y teniendo en cuenta que las preguntas del peticionario están relacionadas con el alcance de las prohibiciones en materia contractual establecidas en la ley 996 de 2005 –Ley de Garantías Electorales–, a continuación</w:t>
      </w:r>
      <w:r w:rsidR="00F56DF8">
        <w:rPr>
          <w:rFonts w:ascii="Arial" w:hAnsi="Arial" w:cs="Arial"/>
          <w:color w:val="000000" w:themeColor="text1"/>
          <w:sz w:val="22"/>
          <w:szCs w:val="22"/>
        </w:rPr>
        <w:t>,</w:t>
      </w:r>
      <w:r w:rsidRPr="005873AF">
        <w:rPr>
          <w:rFonts w:ascii="Arial" w:hAnsi="Arial" w:cs="Arial"/>
          <w:color w:val="000000" w:themeColor="text1"/>
          <w:sz w:val="22"/>
          <w:szCs w:val="22"/>
        </w:rPr>
        <w:t xml:space="preserve"> se analizará el alcance de las restricciones establecidas en el artículo 33 y el parágrafo del artículo 38.</w:t>
      </w:r>
    </w:p>
    <w:p w14:paraId="76DD091D" w14:textId="7C870F21" w:rsidR="001D4D28" w:rsidRPr="005873AF" w:rsidRDefault="001D4D28" w:rsidP="001459D2">
      <w:pPr>
        <w:spacing w:line="276" w:lineRule="auto"/>
        <w:jc w:val="both"/>
        <w:rPr>
          <w:rFonts w:ascii="Arial" w:eastAsia="Calibri" w:hAnsi="Arial" w:cs="Arial"/>
          <w:color w:val="000000" w:themeColor="text1"/>
          <w:sz w:val="22"/>
        </w:rPr>
      </w:pPr>
    </w:p>
    <w:p w14:paraId="100D8D6E" w14:textId="147D9C97" w:rsidR="00A74046" w:rsidRPr="005873AF" w:rsidRDefault="00A74046" w:rsidP="00481870">
      <w:pPr>
        <w:tabs>
          <w:tab w:val="left" w:pos="426"/>
        </w:tabs>
        <w:jc w:val="both"/>
        <w:rPr>
          <w:rFonts w:ascii="Arial" w:eastAsia="Calibri" w:hAnsi="Arial" w:cs="Arial"/>
          <w:b/>
          <w:bCs/>
          <w:color w:val="000000" w:themeColor="text1"/>
          <w:sz w:val="22"/>
        </w:rPr>
      </w:pPr>
      <w:r w:rsidRPr="005873AF">
        <w:rPr>
          <w:rFonts w:ascii="Arial" w:eastAsia="Calibri" w:hAnsi="Arial" w:cs="Arial"/>
          <w:b/>
          <w:bCs/>
          <w:color w:val="000000" w:themeColor="text1"/>
          <w:sz w:val="22"/>
        </w:rPr>
        <w:t>2.</w:t>
      </w:r>
      <w:r w:rsidR="006359EC" w:rsidRPr="005873AF">
        <w:rPr>
          <w:rFonts w:ascii="Arial" w:eastAsia="Calibri" w:hAnsi="Arial" w:cs="Arial"/>
          <w:b/>
          <w:bCs/>
          <w:color w:val="000000" w:themeColor="text1"/>
          <w:sz w:val="22"/>
        </w:rPr>
        <w:t>2</w:t>
      </w:r>
      <w:r w:rsidRPr="005873AF">
        <w:rPr>
          <w:rFonts w:ascii="Arial" w:eastAsia="Calibri" w:hAnsi="Arial" w:cs="Arial"/>
          <w:b/>
          <w:bCs/>
          <w:color w:val="000000" w:themeColor="text1"/>
          <w:sz w:val="22"/>
        </w:rPr>
        <w:t>. Definición y finalidad de la Ley de Garantías Electorales: alcance de las restricciones</w:t>
      </w:r>
    </w:p>
    <w:p w14:paraId="72F77206" w14:textId="77777777" w:rsidR="00A74046" w:rsidRPr="005873AF" w:rsidRDefault="00A74046" w:rsidP="00A74046">
      <w:pPr>
        <w:tabs>
          <w:tab w:val="left" w:pos="426"/>
        </w:tabs>
        <w:ind w:firstLine="709"/>
        <w:rPr>
          <w:rFonts w:ascii="Arial" w:eastAsia="Calibri" w:hAnsi="Arial" w:cs="Arial"/>
          <w:bCs/>
          <w:color w:val="000000" w:themeColor="text1"/>
          <w:sz w:val="22"/>
        </w:rPr>
      </w:pPr>
    </w:p>
    <w:p w14:paraId="19DE51CF" w14:textId="77777777" w:rsidR="00A74046" w:rsidRPr="005873AF" w:rsidRDefault="00A74046" w:rsidP="00481870">
      <w:pPr>
        <w:tabs>
          <w:tab w:val="left" w:pos="426"/>
        </w:tabs>
        <w:spacing w:after="120" w:line="276" w:lineRule="auto"/>
        <w:jc w:val="both"/>
        <w:rPr>
          <w:rFonts w:ascii="Arial" w:hAnsi="Arial" w:cs="Arial"/>
          <w:bCs/>
          <w:color w:val="000000" w:themeColor="text1"/>
          <w:sz w:val="22"/>
          <w:lang w:eastAsia="es-CO"/>
        </w:rPr>
      </w:pPr>
      <w:r w:rsidRPr="005873AF">
        <w:rPr>
          <w:rFonts w:ascii="Arial" w:eastAsia="Calibri" w:hAnsi="Arial" w:cs="Arial"/>
          <w:bCs/>
          <w:color w:val="000000" w:themeColor="text1"/>
          <w:sz w:val="22"/>
        </w:rPr>
        <w:t>El ordenamiento jurídico colombiano contempla previsiones claras para evitar la obtención de beneficios personales en asuntos propios de la administración pública</w:t>
      </w:r>
      <w:r w:rsidRPr="005873AF">
        <w:rPr>
          <w:rFonts w:ascii="Arial" w:eastAsia="Calibri" w:hAnsi="Arial" w:cs="Arial"/>
          <w:bCs/>
          <w:i/>
          <w:iCs/>
          <w:color w:val="000000" w:themeColor="text1"/>
          <w:sz w:val="22"/>
        </w:rPr>
        <w:t xml:space="preserve">. </w:t>
      </w:r>
      <w:r w:rsidRPr="005873AF">
        <w:rPr>
          <w:rFonts w:ascii="Arial" w:eastAsia="Calibri" w:hAnsi="Arial" w:cs="Arial"/>
          <w:bCs/>
          <w:color w:val="000000" w:themeColor="text1"/>
          <w:sz w:val="22"/>
        </w:rPr>
        <w:t>Por ejemplo, el artículo 127 de la Constitución Política establece una prohibición contractual a los servidores públicos y en cuanto a aspectos políticos establece restricciones a ciertos empleados del Estado, incluso en época no electoral</w:t>
      </w:r>
      <w:r w:rsidRPr="005873AF">
        <w:rPr>
          <w:rStyle w:val="Refdenotaalpie"/>
          <w:rFonts w:ascii="Arial" w:eastAsia="Calibri" w:hAnsi="Arial" w:cs="Arial"/>
          <w:bCs/>
          <w:color w:val="000000" w:themeColor="text1"/>
          <w:sz w:val="22"/>
        </w:rPr>
        <w:footnoteReference w:id="3"/>
      </w:r>
      <w:r w:rsidRPr="005873AF">
        <w:rPr>
          <w:rFonts w:ascii="Arial" w:eastAsia="Calibri" w:hAnsi="Arial" w:cs="Arial"/>
          <w:bCs/>
          <w:color w:val="000000" w:themeColor="text1"/>
          <w:sz w:val="22"/>
        </w:rPr>
        <w:t xml:space="preserve">. </w:t>
      </w:r>
    </w:p>
    <w:p w14:paraId="00F52EF8" w14:textId="69C589CC" w:rsidR="00A74046" w:rsidRPr="005873AF" w:rsidRDefault="00A74046" w:rsidP="00481870">
      <w:pPr>
        <w:tabs>
          <w:tab w:val="left" w:pos="426"/>
        </w:tabs>
        <w:spacing w:line="276" w:lineRule="auto"/>
        <w:ind w:firstLine="709"/>
        <w:jc w:val="both"/>
        <w:rPr>
          <w:rFonts w:ascii="Arial" w:hAnsi="Arial" w:cs="Arial"/>
          <w:bCs/>
          <w:color w:val="000000" w:themeColor="text1"/>
          <w:sz w:val="22"/>
          <w:lang w:eastAsia="es-CO"/>
        </w:rPr>
      </w:pPr>
      <w:r w:rsidRPr="005873AF">
        <w:rPr>
          <w:rFonts w:ascii="Arial" w:hAnsi="Arial" w:cs="Arial"/>
          <w:bCs/>
          <w:color w:val="000000" w:themeColor="text1"/>
          <w:sz w:val="22"/>
          <w:lang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873AF">
        <w:rPr>
          <w:rStyle w:val="Refdenotaalpie"/>
          <w:rFonts w:ascii="Arial" w:hAnsi="Arial" w:cs="Arial"/>
          <w:bCs/>
          <w:color w:val="000000" w:themeColor="text1"/>
          <w:sz w:val="22"/>
          <w:lang w:eastAsia="es-CO"/>
        </w:rPr>
        <w:footnoteReference w:id="4"/>
      </w:r>
      <w:r w:rsidRPr="005873AF">
        <w:rPr>
          <w:rFonts w:ascii="Arial" w:hAnsi="Arial" w:cs="Arial"/>
          <w:bCs/>
          <w:color w:val="000000" w:themeColor="text1"/>
          <w:sz w:val="22"/>
          <w:lang w:eastAsia="es-CO"/>
        </w:rPr>
        <w:t>. En esta medida, introduce limitaciones para realizar nombramientos, postulaciones, contrataciones o cualquier otro tipo de actividad que implique destinación de recursos públicos bajo el devenir propio de las entidades estatales.</w:t>
      </w:r>
      <w:r w:rsidRPr="005873AF">
        <w:rPr>
          <w:rFonts w:ascii="Arial" w:eastAsia="Calibri" w:hAnsi="Arial" w:cs="Arial"/>
          <w:noProof/>
          <w:color w:val="000000" w:themeColor="text1"/>
          <w:sz w:val="22"/>
          <w:lang w:val="es-ES_tradnl"/>
        </w:rPr>
        <w:t xml:space="preserve"> </w:t>
      </w:r>
      <w:r w:rsidRPr="005873AF">
        <w:rPr>
          <w:rFonts w:ascii="Arial" w:hAnsi="Arial" w:cs="Arial"/>
          <w:bCs/>
          <w:color w:val="000000" w:themeColor="text1"/>
          <w:sz w:val="22"/>
          <w:lang w:eastAsia="es-CO"/>
        </w:rPr>
        <w:t>En armonía con lo anterior, la Corte Constitucional ha abordado la definición de la Ley de Garantías Electorales</w:t>
      </w:r>
      <w:r w:rsidR="001745FB" w:rsidRPr="005873AF">
        <w:rPr>
          <w:rFonts w:ascii="Arial" w:hAnsi="Arial" w:cs="Arial"/>
          <w:bCs/>
          <w:color w:val="000000" w:themeColor="text1"/>
          <w:sz w:val="22"/>
          <w:lang w:eastAsia="es-CO"/>
        </w:rPr>
        <w:t xml:space="preserve">, en los </w:t>
      </w:r>
      <w:r w:rsidR="00DC3B6B" w:rsidRPr="005873AF">
        <w:rPr>
          <w:rFonts w:ascii="Arial" w:hAnsi="Arial" w:cs="Arial"/>
          <w:bCs/>
          <w:color w:val="000000" w:themeColor="text1"/>
          <w:sz w:val="22"/>
          <w:lang w:eastAsia="es-CO"/>
        </w:rPr>
        <w:t>siguientes términos</w:t>
      </w:r>
      <w:r w:rsidRPr="005873AF">
        <w:rPr>
          <w:rFonts w:ascii="Arial" w:hAnsi="Arial" w:cs="Arial"/>
          <w:bCs/>
          <w:color w:val="000000" w:themeColor="text1"/>
          <w:sz w:val="22"/>
          <w:lang w:eastAsia="es-CO"/>
        </w:rPr>
        <w:t>:</w:t>
      </w:r>
    </w:p>
    <w:p w14:paraId="59179F7B" w14:textId="77777777" w:rsidR="00A74046" w:rsidRPr="005873AF" w:rsidRDefault="00A74046" w:rsidP="00A74046">
      <w:pPr>
        <w:ind w:right="709"/>
        <w:rPr>
          <w:rFonts w:ascii="Arial" w:hAnsi="Arial" w:cs="Arial"/>
          <w:color w:val="000000" w:themeColor="text1"/>
          <w:sz w:val="21"/>
          <w:szCs w:val="21"/>
          <w:lang w:val="es-ES" w:eastAsia="es-CO"/>
        </w:rPr>
      </w:pPr>
    </w:p>
    <w:p w14:paraId="7A4E2525" w14:textId="77777777" w:rsidR="00A74046" w:rsidRPr="005873AF" w:rsidRDefault="00A74046" w:rsidP="00481870">
      <w:pPr>
        <w:ind w:left="709" w:right="709"/>
        <w:jc w:val="both"/>
        <w:rPr>
          <w:rFonts w:ascii="Arial" w:hAnsi="Arial" w:cs="Arial"/>
          <w:bCs/>
          <w:color w:val="000000" w:themeColor="text1"/>
          <w:sz w:val="21"/>
          <w:szCs w:val="21"/>
          <w:lang w:eastAsia="es-CO"/>
        </w:rPr>
      </w:pPr>
      <w:r w:rsidRPr="005873AF">
        <w:rPr>
          <w:rFonts w:ascii="Arial" w:hAnsi="Arial" w:cs="Arial"/>
          <w:color w:val="000000" w:themeColor="text1"/>
          <w:sz w:val="21"/>
          <w:szCs w:val="21"/>
          <w:lang w:val="es-ES" w:eastAsia="es-CO"/>
        </w:rPr>
        <w:t xml:space="preserve">[…] </w:t>
      </w:r>
      <w:r w:rsidRPr="005873AF">
        <w:rPr>
          <w:rFonts w:ascii="Arial" w:hAnsi="Arial" w:cs="Arial"/>
          <w:bCs/>
          <w:color w:val="000000" w:themeColor="text1"/>
          <w:sz w:val="21"/>
          <w:szCs w:val="21"/>
          <w:lang w:eastAsia="es-CO"/>
        </w:rPr>
        <w:t>la definición de reglas claras que permitan acceder a los canales de expresión democrática de manera efectiva e igualitaria. El objetivo de una ley de garantías es definir esas reglas.</w:t>
      </w:r>
    </w:p>
    <w:p w14:paraId="22F40497" w14:textId="77777777" w:rsidR="00A74046" w:rsidRPr="005873AF" w:rsidRDefault="00A74046" w:rsidP="00481870">
      <w:pPr>
        <w:spacing w:after="120"/>
        <w:ind w:left="709" w:right="709"/>
        <w:jc w:val="both"/>
        <w:rPr>
          <w:rFonts w:ascii="Arial" w:hAnsi="Arial" w:cs="Arial"/>
          <w:bCs/>
          <w:color w:val="000000" w:themeColor="text1"/>
          <w:sz w:val="21"/>
          <w:szCs w:val="21"/>
          <w:lang w:eastAsia="es-CO"/>
        </w:rPr>
      </w:pPr>
      <w:r w:rsidRPr="005873AF">
        <w:rPr>
          <w:rFonts w:ascii="Arial" w:hAnsi="Arial" w:cs="Arial"/>
          <w:bCs/>
          <w:color w:val="000000" w:themeColor="text1"/>
          <w:sz w:val="21"/>
          <w:szCs w:val="21"/>
          <w:lang w:eastAsia="es-CO"/>
        </w:rPr>
        <w:t xml:space="preserve">[…] </w:t>
      </w:r>
    </w:p>
    <w:p w14:paraId="0660C9FC" w14:textId="77777777" w:rsidR="00A74046" w:rsidRPr="005873AF" w:rsidRDefault="00A74046" w:rsidP="00481870">
      <w:pPr>
        <w:ind w:left="709" w:right="709"/>
        <w:jc w:val="both"/>
        <w:rPr>
          <w:rFonts w:ascii="Arial" w:hAnsi="Arial" w:cs="Arial"/>
          <w:bCs/>
          <w:color w:val="000000" w:themeColor="text1"/>
          <w:sz w:val="21"/>
          <w:szCs w:val="21"/>
          <w:lang w:eastAsia="es-CO"/>
        </w:rPr>
      </w:pPr>
      <w:r w:rsidRPr="005873AF">
        <w:rPr>
          <w:rFonts w:ascii="Arial" w:hAnsi="Arial" w:cs="Arial"/>
          <w:bCs/>
          <w:color w:val="000000" w:themeColor="text1"/>
          <w:sz w:val="21"/>
          <w:szCs w:val="21"/>
          <w:lang w:eastAsia="es-CO"/>
        </w:rPr>
        <w:t xml:space="preserve">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w:t>
      </w:r>
      <w:r w:rsidRPr="005873AF">
        <w:rPr>
          <w:rFonts w:ascii="Arial" w:hAnsi="Arial" w:cs="Arial"/>
          <w:bCs/>
          <w:color w:val="000000" w:themeColor="text1"/>
          <w:sz w:val="21"/>
          <w:szCs w:val="21"/>
          <w:lang w:eastAsia="es-CO"/>
        </w:rPr>
        <w:lastRenderedPageBreak/>
        <w:t>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873AF">
        <w:rPr>
          <w:rStyle w:val="Refdenotaalpie"/>
          <w:rFonts w:ascii="Arial" w:hAnsi="Arial" w:cs="Arial"/>
          <w:color w:val="000000" w:themeColor="text1"/>
          <w:sz w:val="20"/>
          <w:szCs w:val="20"/>
        </w:rPr>
        <w:footnoteReference w:id="5"/>
      </w:r>
    </w:p>
    <w:p w14:paraId="4A3173B5" w14:textId="77777777" w:rsidR="00A74046" w:rsidRPr="005873AF" w:rsidRDefault="00A74046" w:rsidP="00A74046">
      <w:pPr>
        <w:ind w:left="709" w:right="709"/>
        <w:rPr>
          <w:rFonts w:ascii="Arial" w:hAnsi="Arial" w:cs="Arial"/>
          <w:bCs/>
          <w:color w:val="000000" w:themeColor="text1"/>
          <w:sz w:val="21"/>
          <w:szCs w:val="21"/>
          <w:lang w:eastAsia="es-CO"/>
        </w:rPr>
      </w:pPr>
    </w:p>
    <w:p w14:paraId="6630B234" w14:textId="38318D7B" w:rsidR="00A74046" w:rsidRPr="005873AF" w:rsidRDefault="00A74046" w:rsidP="00481870">
      <w:pPr>
        <w:spacing w:line="276" w:lineRule="auto"/>
        <w:ind w:firstLine="709"/>
        <w:jc w:val="both"/>
        <w:rPr>
          <w:rFonts w:ascii="Arial" w:hAnsi="Arial" w:cs="Arial"/>
          <w:bCs/>
          <w:color w:val="000000" w:themeColor="text1"/>
          <w:sz w:val="22"/>
          <w:lang w:eastAsia="es-CO"/>
        </w:rPr>
      </w:pPr>
      <w:bookmarkStart w:id="12" w:name="_Hlk78818186"/>
      <w:r w:rsidRPr="005873AF">
        <w:rPr>
          <w:rFonts w:ascii="Arial" w:hAnsi="Arial" w:cs="Arial"/>
          <w:bCs/>
          <w:color w:val="000000" w:themeColor="text1"/>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12"/>
      <w:r w:rsidRPr="005873AF">
        <w:rPr>
          <w:rFonts w:ascii="Arial" w:hAnsi="Arial" w:cs="Arial"/>
          <w:bCs/>
          <w:color w:val="000000" w:themeColor="text1"/>
          <w:sz w:val="22"/>
          <w:lang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753171B8" w14:textId="77777777" w:rsidR="00A74046" w:rsidRPr="005873AF" w:rsidRDefault="00A74046" w:rsidP="00A74046">
      <w:pPr>
        <w:ind w:firstLine="709"/>
        <w:rPr>
          <w:rFonts w:ascii="Arial" w:hAnsi="Arial" w:cs="Arial"/>
          <w:bCs/>
          <w:color w:val="000000" w:themeColor="text1"/>
          <w:sz w:val="22"/>
          <w:lang w:eastAsia="es-CO"/>
        </w:rPr>
      </w:pPr>
    </w:p>
    <w:p w14:paraId="04E49137" w14:textId="77777777" w:rsidR="00A74046" w:rsidRPr="005873AF" w:rsidRDefault="00A74046" w:rsidP="00481870">
      <w:pPr>
        <w:spacing w:after="120"/>
        <w:ind w:left="709" w:right="709"/>
        <w:jc w:val="both"/>
        <w:rPr>
          <w:rFonts w:ascii="Arial" w:hAnsi="Arial" w:cs="Arial"/>
          <w:bCs/>
          <w:color w:val="000000" w:themeColor="text1"/>
          <w:sz w:val="21"/>
          <w:szCs w:val="21"/>
          <w:lang w:eastAsia="es-CO"/>
        </w:rPr>
      </w:pPr>
      <w:r w:rsidRPr="005873AF">
        <w:rPr>
          <w:rFonts w:ascii="Arial" w:hAnsi="Arial" w:cs="Arial"/>
          <w:bCs/>
          <w:color w:val="000000" w:themeColor="text1"/>
          <w:sz w:val="21"/>
          <w:szCs w:val="21"/>
          <w:lang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5873AF">
        <w:rPr>
          <w:rFonts w:ascii="Arial" w:hAnsi="Arial" w:cs="Arial"/>
          <w:bCs/>
          <w:color w:val="000000" w:themeColor="text1"/>
          <w:sz w:val="21"/>
          <w:szCs w:val="21"/>
          <w:lang w:eastAsia="es-CO"/>
        </w:rPr>
        <w:t>legis</w:t>
      </w:r>
      <w:proofErr w:type="spellEnd"/>
      <w:r w:rsidRPr="005873AF">
        <w:rPr>
          <w:rFonts w:ascii="Arial" w:hAnsi="Arial" w:cs="Arial"/>
          <w:bCs/>
          <w:color w:val="000000" w:themeColor="text1"/>
          <w:sz w:val="21"/>
          <w:szCs w:val="21"/>
          <w:lang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FA397B6" w14:textId="77777777" w:rsidR="00A74046" w:rsidRPr="005873AF" w:rsidRDefault="00A74046" w:rsidP="00481870">
      <w:pPr>
        <w:ind w:left="709" w:right="709"/>
        <w:jc w:val="both"/>
        <w:rPr>
          <w:rFonts w:ascii="Arial" w:hAnsi="Arial" w:cs="Arial"/>
          <w:bCs/>
          <w:color w:val="000000" w:themeColor="text1"/>
          <w:sz w:val="21"/>
          <w:szCs w:val="21"/>
          <w:lang w:eastAsia="es-CO"/>
        </w:rPr>
      </w:pPr>
      <w:r w:rsidRPr="005873AF">
        <w:rPr>
          <w:rFonts w:ascii="Arial" w:hAnsi="Arial" w:cs="Arial"/>
          <w:bCs/>
          <w:color w:val="000000" w:themeColor="text1"/>
          <w:sz w:val="21"/>
          <w:szCs w:val="21"/>
          <w:lang w:eastAsia="es-CO"/>
        </w:rPr>
        <w:t>La jurisprudencia de la Corte Constitucional</w:t>
      </w:r>
      <w:r w:rsidRPr="005873AF">
        <w:rPr>
          <w:rStyle w:val="Refdenotaalpie"/>
          <w:rFonts w:ascii="Arial" w:hAnsi="Arial" w:cs="Arial"/>
          <w:bCs/>
          <w:color w:val="000000" w:themeColor="text1"/>
          <w:sz w:val="21"/>
          <w:szCs w:val="21"/>
          <w:lang w:eastAsia="es-CO"/>
        </w:rPr>
        <w:footnoteReference w:id="6"/>
      </w:r>
      <w:r w:rsidRPr="005873AF">
        <w:rPr>
          <w:rFonts w:ascii="Arial" w:hAnsi="Arial" w:cs="Arial"/>
          <w:bCs/>
          <w:color w:val="000000" w:themeColor="text1"/>
          <w:sz w:val="21"/>
          <w:szCs w:val="21"/>
          <w:lang w:eastAsia="es-CO"/>
        </w:rPr>
        <w:t> y del Consejo de Estado</w:t>
      </w:r>
      <w:r w:rsidRPr="005873AF">
        <w:rPr>
          <w:rStyle w:val="Refdenotaalpie"/>
          <w:rFonts w:ascii="Arial" w:hAnsi="Arial" w:cs="Arial"/>
          <w:bCs/>
          <w:color w:val="000000" w:themeColor="text1"/>
          <w:sz w:val="21"/>
          <w:szCs w:val="21"/>
          <w:lang w:eastAsia="es-CO"/>
        </w:rPr>
        <w:footnoteReference w:id="7"/>
      </w:r>
      <w:r w:rsidRPr="005873AF">
        <w:rPr>
          <w:rFonts w:ascii="Arial" w:hAnsi="Arial" w:cs="Arial"/>
          <w:bCs/>
          <w:color w:val="000000" w:themeColor="text1"/>
          <w:sz w:val="21"/>
          <w:szCs w:val="21"/>
          <w:lang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873AF">
        <w:rPr>
          <w:rStyle w:val="Refdenotaalpie"/>
          <w:rFonts w:ascii="Arial" w:hAnsi="Arial" w:cs="Arial"/>
          <w:bCs/>
          <w:color w:val="000000" w:themeColor="text1"/>
          <w:sz w:val="21"/>
          <w:szCs w:val="21"/>
          <w:lang w:eastAsia="es-CO"/>
        </w:rPr>
        <w:footnoteReference w:id="8"/>
      </w:r>
      <w:r w:rsidRPr="005873AF">
        <w:rPr>
          <w:rFonts w:ascii="Arial" w:hAnsi="Arial" w:cs="Arial"/>
          <w:bCs/>
          <w:color w:val="000000" w:themeColor="text1"/>
          <w:sz w:val="21"/>
          <w:szCs w:val="21"/>
          <w:lang w:eastAsia="es-CO"/>
        </w:rPr>
        <w:t>.</w:t>
      </w:r>
    </w:p>
    <w:p w14:paraId="52000BD0" w14:textId="77777777" w:rsidR="00A74046" w:rsidRPr="005873AF" w:rsidRDefault="00A74046" w:rsidP="00A74046">
      <w:pPr>
        <w:ind w:right="709"/>
        <w:rPr>
          <w:rFonts w:ascii="Arial" w:hAnsi="Arial" w:cs="Arial"/>
          <w:bCs/>
          <w:color w:val="000000" w:themeColor="text1"/>
          <w:sz w:val="21"/>
          <w:szCs w:val="21"/>
          <w:lang w:eastAsia="es-CO"/>
        </w:rPr>
      </w:pPr>
    </w:p>
    <w:p w14:paraId="66D21D93" w14:textId="77777777" w:rsidR="00A74046" w:rsidRPr="005873AF" w:rsidRDefault="00A74046" w:rsidP="00481870">
      <w:pPr>
        <w:spacing w:after="120" w:line="276" w:lineRule="auto"/>
        <w:jc w:val="both"/>
        <w:rPr>
          <w:rFonts w:ascii="Arial" w:eastAsia="Arial" w:hAnsi="Arial" w:cs="Arial"/>
          <w:color w:val="000000" w:themeColor="text1"/>
          <w:sz w:val="22"/>
          <w:lang w:val="es-ES" w:eastAsia="es-ES" w:bidi="es-ES"/>
        </w:rPr>
      </w:pPr>
      <w:r w:rsidRPr="005873AF">
        <w:rPr>
          <w:rFonts w:ascii="Arial" w:hAnsi="Arial" w:cs="Arial"/>
          <w:bCs/>
          <w:color w:val="000000" w:themeColor="text1"/>
          <w:sz w:val="22"/>
          <w:lang w:eastAsia="es-CO"/>
        </w:rPr>
        <w:tab/>
        <w:t>De</w:t>
      </w:r>
      <w:r w:rsidRPr="005873AF">
        <w:rPr>
          <w:rFonts w:ascii="Arial" w:eastAsia="Arial" w:hAnsi="Arial" w:cs="Arial"/>
          <w:color w:val="000000" w:themeColor="text1"/>
          <w:sz w:val="22"/>
          <w:lang w:val="es-ES" w:eastAsia="es-ES" w:bidi="es-ES"/>
        </w:rPr>
        <w:t xml:space="preserve"> conformidad con lo anterior, </w:t>
      </w:r>
      <w:bookmarkStart w:id="13" w:name="_Hlk77236098"/>
      <w:r w:rsidRPr="005873AF">
        <w:rPr>
          <w:rFonts w:ascii="Arial" w:eastAsia="Arial" w:hAnsi="Arial" w:cs="Arial"/>
          <w:color w:val="000000" w:themeColor="text1"/>
          <w:sz w:val="22"/>
          <w:lang w:val="es-ES" w:eastAsia="es-ES" w:bidi="es-ES"/>
        </w:rPr>
        <w:t xml:space="preserve">la Ley de Garantías Electorales fijó una serie de regulaciones y prohibiciones dirigidas a los servidores públicos. Así, con la finalidad de </w:t>
      </w:r>
      <w:r w:rsidRPr="005873AF">
        <w:rPr>
          <w:rFonts w:ascii="Arial" w:eastAsia="Arial" w:hAnsi="Arial" w:cs="Arial"/>
          <w:color w:val="000000" w:themeColor="text1"/>
          <w:sz w:val="22"/>
          <w:lang w:val="es-ES" w:eastAsia="es-ES" w:bidi="es-ES"/>
        </w:rPr>
        <w:lastRenderedPageBreak/>
        <w:t>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13"/>
    </w:p>
    <w:p w14:paraId="25C589A3" w14:textId="77777777" w:rsidR="00A74046" w:rsidRPr="005873AF" w:rsidRDefault="00A74046" w:rsidP="00481870">
      <w:pPr>
        <w:spacing w:after="120" w:line="276" w:lineRule="auto"/>
        <w:ind w:firstLine="708"/>
        <w:jc w:val="both"/>
        <w:rPr>
          <w:rFonts w:ascii="Arial" w:eastAsia="Calibri" w:hAnsi="Arial" w:cs="Arial"/>
          <w:color w:val="000000" w:themeColor="text1"/>
          <w:sz w:val="22"/>
        </w:rPr>
      </w:pPr>
      <w:r w:rsidRPr="005873AF">
        <w:rPr>
          <w:rFonts w:ascii="Arial" w:eastAsia="Calibri" w:hAnsi="Arial" w:cs="Arial"/>
          <w:color w:val="000000" w:themeColor="text1"/>
          <w:sz w:val="22"/>
        </w:rPr>
        <w:t xml:space="preserve">Por un lado, el artículo 33 de la Ley 996 de 2005 prohíbe </w:t>
      </w:r>
      <w:r w:rsidRPr="005873AF">
        <w:rPr>
          <w:rFonts w:ascii="Arial" w:eastAsia="Calibri" w:hAnsi="Arial" w:cs="Arial"/>
          <w:bCs/>
          <w:color w:val="000000" w:themeColor="text1"/>
          <w:sz w:val="22"/>
        </w:rPr>
        <w:t xml:space="preserve">«[…] </w:t>
      </w:r>
      <w:r w:rsidRPr="005873AF">
        <w:rPr>
          <w:rFonts w:ascii="Arial" w:eastAsia="Calibri" w:hAnsi="Arial" w:cs="Arial"/>
          <w:color w:val="000000" w:themeColor="text1"/>
          <w:sz w:val="22"/>
        </w:rPr>
        <w:t>la contratación directa por parte de todos los entes del Estado</w:t>
      </w:r>
      <w:r w:rsidRPr="005873AF">
        <w:rPr>
          <w:rFonts w:ascii="Arial" w:eastAsia="Calibri" w:hAnsi="Arial" w:cs="Arial"/>
          <w:bCs/>
          <w:color w:val="000000" w:themeColor="text1"/>
          <w:sz w:val="22"/>
        </w:rPr>
        <w:t>»</w:t>
      </w:r>
      <w:r w:rsidRPr="005873AF">
        <w:rPr>
          <w:rFonts w:ascii="Arial" w:eastAsia="Calibri" w:hAnsi="Arial" w:cs="Arial"/>
          <w:color w:val="000000" w:themeColor="text1"/>
          <w:sz w:val="22"/>
        </w:rPr>
        <w:t xml:space="preserve"> durante los cuatro (4) meses anteriores a las elecciones presidenciales, salvo </w:t>
      </w:r>
      <w:r w:rsidRPr="005873AF">
        <w:rPr>
          <w:rFonts w:ascii="Arial" w:eastAsia="Calibri" w:hAnsi="Arial" w:cs="Arial"/>
          <w:bCs/>
          <w:color w:val="000000" w:themeColor="text1"/>
          <w:sz w:val="22"/>
        </w:rPr>
        <w:t xml:space="preserve">«[…] </w:t>
      </w:r>
      <w:r w:rsidRPr="005873AF">
        <w:rPr>
          <w:rFonts w:ascii="Arial" w:eastAsia="Calibri" w:hAnsi="Arial" w:cs="Arial"/>
          <w:color w:val="000000" w:themeColor="text1"/>
          <w:sz w:val="22"/>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873AF">
        <w:rPr>
          <w:rFonts w:ascii="Arial" w:eastAsia="Calibri" w:hAnsi="Arial" w:cs="Arial"/>
          <w:bCs/>
          <w:color w:val="000000" w:themeColor="text1"/>
          <w:sz w:val="22"/>
        </w:rPr>
        <w:t>»</w:t>
      </w:r>
      <w:r w:rsidRPr="005873AF">
        <w:rPr>
          <w:rFonts w:ascii="Arial" w:eastAsia="Calibri" w:hAnsi="Arial" w:cs="Arial"/>
          <w:bCs/>
          <w:color w:val="000000" w:themeColor="text1"/>
          <w:sz w:val="22"/>
          <w:vertAlign w:val="superscript"/>
        </w:rPr>
        <w:footnoteReference w:id="9"/>
      </w:r>
      <w:r w:rsidRPr="005873AF">
        <w:rPr>
          <w:rFonts w:ascii="Arial" w:eastAsia="Calibri" w:hAnsi="Arial" w:cs="Arial"/>
          <w:color w:val="000000" w:themeColor="text1"/>
          <w:sz w:val="22"/>
        </w:rPr>
        <w:t>.</w:t>
      </w:r>
    </w:p>
    <w:p w14:paraId="263E0802" w14:textId="77777777" w:rsidR="00A74046" w:rsidRPr="005873AF" w:rsidRDefault="00A74046" w:rsidP="00481870">
      <w:pPr>
        <w:widowControl w:val="0"/>
        <w:autoSpaceDE w:val="0"/>
        <w:autoSpaceDN w:val="0"/>
        <w:spacing w:line="276" w:lineRule="auto"/>
        <w:ind w:right="113" w:firstLine="708"/>
        <w:jc w:val="both"/>
        <w:rPr>
          <w:rFonts w:ascii="Arial" w:eastAsia="Arial" w:hAnsi="Arial" w:cs="Arial"/>
          <w:color w:val="000000" w:themeColor="text1"/>
          <w:sz w:val="22"/>
          <w:lang w:val="es-ES" w:eastAsia="es-ES" w:bidi="es-ES"/>
        </w:rPr>
      </w:pPr>
      <w:r w:rsidRPr="005873AF">
        <w:rPr>
          <w:rFonts w:ascii="Arial" w:eastAsia="Calibri" w:hAnsi="Arial" w:cs="Arial"/>
          <w:color w:val="000000" w:themeColor="text1"/>
          <w:sz w:val="22"/>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873AF">
        <w:rPr>
          <w:rFonts w:ascii="Arial" w:eastAsia="Calibri" w:hAnsi="Arial" w:cs="Arial"/>
          <w:bCs/>
          <w:color w:val="000000" w:themeColor="text1"/>
          <w:sz w:val="22"/>
        </w:rPr>
        <w:t xml:space="preserve">«[…] </w:t>
      </w:r>
      <w:r w:rsidRPr="005873AF">
        <w:rPr>
          <w:rFonts w:ascii="Arial" w:eastAsia="Calibri" w:hAnsi="Arial" w:cs="Arial"/>
          <w:color w:val="000000" w:themeColor="text1"/>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873AF">
        <w:rPr>
          <w:rFonts w:ascii="Arial" w:eastAsia="Calibri" w:hAnsi="Arial" w:cs="Arial"/>
          <w:bCs/>
          <w:color w:val="000000" w:themeColor="text1"/>
          <w:sz w:val="19"/>
          <w:szCs w:val="19"/>
        </w:rPr>
        <w:t>»</w:t>
      </w:r>
      <w:r w:rsidRPr="005873AF">
        <w:rPr>
          <w:rFonts w:ascii="Arial" w:eastAsia="Calibri" w:hAnsi="Arial" w:cs="Arial"/>
          <w:bCs/>
          <w:color w:val="000000" w:themeColor="text1"/>
          <w:sz w:val="19"/>
          <w:szCs w:val="19"/>
          <w:vertAlign w:val="superscript"/>
        </w:rPr>
        <w:footnoteReference w:id="10"/>
      </w:r>
      <w:r w:rsidRPr="005873AF">
        <w:rPr>
          <w:rFonts w:ascii="Arial" w:eastAsia="Calibri" w:hAnsi="Arial" w:cs="Arial"/>
          <w:color w:val="000000" w:themeColor="text1"/>
          <w:sz w:val="22"/>
        </w:rPr>
        <w:t>.</w:t>
      </w:r>
      <w:r w:rsidRPr="005873AF">
        <w:rPr>
          <w:rFonts w:ascii="Arial" w:eastAsia="Arial" w:hAnsi="Arial" w:cs="Arial"/>
          <w:color w:val="000000" w:themeColor="text1"/>
          <w:sz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4C60DBE" w14:textId="77777777" w:rsidR="00A74046" w:rsidRPr="005873AF" w:rsidRDefault="00A74046" w:rsidP="00A74046">
      <w:pPr>
        <w:widowControl w:val="0"/>
        <w:autoSpaceDE w:val="0"/>
        <w:autoSpaceDN w:val="0"/>
        <w:ind w:left="805" w:right="812"/>
        <w:rPr>
          <w:rFonts w:ascii="Arial" w:eastAsia="Arial" w:hAnsi="Arial" w:cs="Arial"/>
          <w:color w:val="000000" w:themeColor="text1"/>
          <w:sz w:val="22"/>
          <w:lang w:val="es-ES" w:eastAsia="es-ES" w:bidi="es-ES"/>
        </w:rPr>
      </w:pPr>
    </w:p>
    <w:p w14:paraId="2D0A03C6" w14:textId="77777777" w:rsidR="00A74046" w:rsidRPr="005873AF" w:rsidRDefault="00A74046" w:rsidP="00481870">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5873AF">
        <w:rPr>
          <w:rFonts w:ascii="Arial" w:eastAsia="Arial" w:hAnsi="Arial" w:cs="Arial"/>
          <w:color w:val="000000" w:themeColor="text1"/>
          <w:sz w:val="21"/>
          <w:szCs w:val="21"/>
          <w:lang w:val="es-ES" w:eastAsia="es-ES" w:bidi="es-ES"/>
        </w:rPr>
        <w:t xml:space="preserve">La interpretación sistemática de las disposiciones consagradas en los artículos </w:t>
      </w:r>
      <w:r w:rsidRPr="005873AF">
        <w:rPr>
          <w:rFonts w:ascii="Arial" w:eastAsia="Arial" w:hAnsi="Arial" w:cs="Arial"/>
          <w:color w:val="000000" w:themeColor="text1"/>
          <w:sz w:val="21"/>
          <w:szCs w:val="21"/>
          <w:lang w:val="es-ES" w:eastAsia="es-ES" w:bidi="es-ES"/>
        </w:rPr>
        <w:lastRenderedPageBreak/>
        <w:t xml:space="preserve">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873AF">
        <w:rPr>
          <w:rFonts w:ascii="Arial" w:eastAsia="Arial" w:hAnsi="Arial" w:cs="Arial"/>
          <w:bCs/>
          <w:color w:val="000000" w:themeColor="text1"/>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5873AF">
        <w:rPr>
          <w:rFonts w:ascii="Arial" w:eastAsia="Arial" w:hAnsi="Arial" w:cs="Arial"/>
          <w:color w:val="000000" w:themeColor="text1"/>
          <w:sz w:val="21"/>
          <w:szCs w:val="21"/>
          <w:lang w:val="es-ES" w:eastAsia="es-ES" w:bidi="es-ES"/>
        </w:rPr>
        <w:t>.</w:t>
      </w:r>
      <w:r w:rsidRPr="005873AF">
        <w:rPr>
          <w:rFonts w:ascii="Arial" w:eastAsia="Arial" w:hAnsi="Arial" w:cs="Arial"/>
          <w:color w:val="000000" w:themeColor="text1"/>
          <w:sz w:val="21"/>
          <w:szCs w:val="21"/>
          <w:vertAlign w:val="superscript"/>
          <w:lang w:val="es-ES" w:eastAsia="es-ES" w:bidi="es-ES"/>
        </w:rPr>
        <w:footnoteReference w:id="11"/>
      </w:r>
    </w:p>
    <w:p w14:paraId="743F7CEC" w14:textId="77777777" w:rsidR="00A74046" w:rsidRPr="005873AF" w:rsidRDefault="00A74046" w:rsidP="00A74046">
      <w:pPr>
        <w:widowControl w:val="0"/>
        <w:autoSpaceDE w:val="0"/>
        <w:autoSpaceDN w:val="0"/>
        <w:spacing w:before="8"/>
        <w:rPr>
          <w:rFonts w:ascii="Arial" w:eastAsia="Arial" w:hAnsi="Arial" w:cs="Arial"/>
          <w:color w:val="000000" w:themeColor="text1"/>
          <w:sz w:val="22"/>
          <w:lang w:val="es-ES" w:eastAsia="es-ES" w:bidi="es-ES"/>
        </w:rPr>
      </w:pPr>
    </w:p>
    <w:p w14:paraId="42A85A34" w14:textId="5A445403" w:rsidR="00A74046" w:rsidRPr="005873AF" w:rsidRDefault="00A74046" w:rsidP="00481870">
      <w:pPr>
        <w:spacing w:after="120" w:line="276" w:lineRule="auto"/>
        <w:ind w:firstLine="709"/>
        <w:jc w:val="both"/>
        <w:rPr>
          <w:rFonts w:ascii="Arial" w:eastAsia="Arial" w:hAnsi="Arial" w:cs="Arial"/>
          <w:color w:val="000000" w:themeColor="text1"/>
          <w:sz w:val="22"/>
          <w:lang w:val="es-ES" w:eastAsia="es-ES" w:bidi="es-ES"/>
        </w:rPr>
      </w:pPr>
      <w:r w:rsidRPr="005873AF">
        <w:rPr>
          <w:rFonts w:ascii="Arial" w:eastAsia="Arial" w:hAnsi="Arial" w:cs="Arial"/>
          <w:color w:val="000000" w:themeColor="text1"/>
          <w:sz w:val="22"/>
          <w:lang w:val="es-ES" w:eastAsia="es-ES" w:bidi="es-ES"/>
        </w:rPr>
        <w:t xml:space="preserve">De </w:t>
      </w:r>
      <w:r w:rsidR="00B81D46" w:rsidRPr="005873AF">
        <w:rPr>
          <w:rFonts w:ascii="Arial" w:eastAsia="Arial" w:hAnsi="Arial" w:cs="Arial"/>
          <w:color w:val="000000" w:themeColor="text1"/>
          <w:sz w:val="22"/>
          <w:lang w:val="es-ES" w:eastAsia="es-ES" w:bidi="es-ES"/>
        </w:rPr>
        <w:t>lo anterior se desprende que</w:t>
      </w:r>
      <w:r w:rsidRPr="005873AF">
        <w:rPr>
          <w:rFonts w:ascii="Arial" w:eastAsia="Arial" w:hAnsi="Arial" w:cs="Arial"/>
          <w:color w:val="000000" w:themeColor="text1"/>
          <w:sz w:val="22"/>
          <w:lang w:val="es-ES" w:eastAsia="es-ES" w:bidi="es-ES"/>
        </w:rPr>
        <w:t xml:space="preserve"> </w:t>
      </w:r>
      <w:bookmarkStart w:id="15" w:name="_Hlk77236420"/>
      <w:bookmarkStart w:id="16" w:name="_Hlk78818435"/>
      <w:r w:rsidRPr="005873AF">
        <w:rPr>
          <w:rFonts w:ascii="Arial" w:eastAsia="Arial" w:hAnsi="Arial" w:cs="Arial"/>
          <w:color w:val="000000" w:themeColor="text1"/>
          <w:sz w:val="22"/>
          <w:lang w:val="es-ES" w:eastAsia="es-ES" w:bidi="es-ES"/>
        </w:rPr>
        <w:t xml:space="preserve">la Ley 996 de 2005 establece dos (2) tipos de restricciones en materia de contratación, las cuales coinciden parcialmente. </w:t>
      </w:r>
      <w:r w:rsidRPr="005873AF">
        <w:rPr>
          <w:rFonts w:ascii="Arial" w:eastAsia="Arial" w:hAnsi="Arial" w:cs="Arial"/>
          <w:i/>
          <w:iCs/>
          <w:color w:val="000000" w:themeColor="text1"/>
          <w:sz w:val="22"/>
          <w:lang w:val="es-ES" w:eastAsia="es-ES" w:bidi="es-ES"/>
        </w:rPr>
        <w:t>En primer lugar</w:t>
      </w:r>
      <w:r w:rsidRPr="005873AF">
        <w:rPr>
          <w:rFonts w:ascii="Arial" w:eastAsia="Arial" w:hAnsi="Arial" w:cs="Arial"/>
          <w:color w:val="000000" w:themeColor="text1"/>
          <w:sz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873AF">
        <w:rPr>
          <w:rFonts w:ascii="Arial" w:eastAsia="Arial" w:hAnsi="Arial" w:cs="Arial"/>
          <w:i/>
          <w:iCs/>
          <w:color w:val="000000" w:themeColor="text1"/>
          <w:sz w:val="22"/>
          <w:lang w:val="es-ES" w:eastAsia="es-ES" w:bidi="es-ES"/>
        </w:rPr>
        <w:t>En segundo lugar</w:t>
      </w:r>
      <w:r w:rsidRPr="005873AF">
        <w:rPr>
          <w:rFonts w:ascii="Arial" w:eastAsia="Arial" w:hAnsi="Arial" w:cs="Arial"/>
          <w:color w:val="000000" w:themeColor="text1"/>
          <w:sz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5"/>
    </w:p>
    <w:bookmarkEnd w:id="16"/>
    <w:p w14:paraId="4F994918" w14:textId="77777777" w:rsidR="00A74046" w:rsidRPr="005873AF" w:rsidRDefault="00A74046" w:rsidP="00481870">
      <w:pPr>
        <w:spacing w:after="120" w:line="276" w:lineRule="auto"/>
        <w:ind w:firstLine="709"/>
        <w:jc w:val="both"/>
        <w:rPr>
          <w:rFonts w:ascii="Arial" w:eastAsia="Arial" w:hAnsi="Arial" w:cs="Arial"/>
          <w:color w:val="000000" w:themeColor="text1"/>
          <w:sz w:val="22"/>
          <w:lang w:val="es-ES" w:eastAsia="es-ES" w:bidi="es-ES"/>
        </w:rPr>
      </w:pPr>
      <w:r w:rsidRPr="005873AF">
        <w:rPr>
          <w:rFonts w:ascii="Arial" w:eastAsia="Arial" w:hAnsi="Arial" w:cs="Arial"/>
          <w:color w:val="000000" w:themeColor="text1"/>
          <w:sz w:val="22"/>
          <w:lang w:val="es-ES" w:eastAsia="es-ES" w:bidi="es-ES"/>
        </w:rPr>
        <w:t xml:space="preserve">Ambas restricciones no son excluyentes, lo que permite concluir que en el período preelectoral para elección de </w:t>
      </w:r>
      <w:proofErr w:type="gramStart"/>
      <w:r w:rsidRPr="005873AF">
        <w:rPr>
          <w:rFonts w:ascii="Arial" w:eastAsia="Arial" w:hAnsi="Arial" w:cs="Arial"/>
          <w:color w:val="000000" w:themeColor="text1"/>
          <w:sz w:val="22"/>
          <w:lang w:val="es-ES" w:eastAsia="es-ES" w:bidi="es-ES"/>
        </w:rPr>
        <w:t>Presidente</w:t>
      </w:r>
      <w:proofErr w:type="gramEnd"/>
      <w:r w:rsidRPr="005873AF">
        <w:rPr>
          <w:rFonts w:ascii="Arial" w:eastAsia="Arial" w:hAnsi="Arial" w:cs="Arial"/>
          <w:color w:val="000000" w:themeColor="text1"/>
          <w:sz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4695ED25" w14:textId="4D9F4545" w:rsidR="00A74046" w:rsidRPr="005873AF" w:rsidRDefault="00A74046" w:rsidP="00481870">
      <w:pPr>
        <w:spacing w:line="276" w:lineRule="auto"/>
        <w:ind w:firstLine="708"/>
        <w:jc w:val="both"/>
        <w:rPr>
          <w:rFonts w:ascii="Arial" w:eastAsia="Arial" w:hAnsi="Arial" w:cs="Arial"/>
          <w:color w:val="000000" w:themeColor="text1"/>
          <w:sz w:val="22"/>
          <w:lang w:val="es-ES" w:eastAsia="es-ES" w:bidi="es-ES"/>
        </w:rPr>
      </w:pPr>
      <w:r w:rsidRPr="005873AF">
        <w:rPr>
          <w:rFonts w:ascii="Arial" w:eastAsia="Arial" w:hAnsi="Arial" w:cs="Arial"/>
          <w:color w:val="000000" w:themeColor="text1"/>
          <w:sz w:val="22"/>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w:t>
      </w:r>
      <w:r w:rsidRPr="005873AF">
        <w:rPr>
          <w:rFonts w:ascii="Arial" w:eastAsia="Arial" w:hAnsi="Arial" w:cs="Arial"/>
          <w:color w:val="000000" w:themeColor="text1"/>
          <w:sz w:val="22"/>
          <w:lang w:val="es-ES" w:eastAsia="es-ES" w:bidi="es-ES"/>
        </w:rPr>
        <w:lastRenderedPageBreak/>
        <w:t xml:space="preserve">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2314C3E" w14:textId="20FF98F3" w:rsidR="00E31C71" w:rsidRPr="005873AF" w:rsidRDefault="00E31C71" w:rsidP="00481870">
      <w:pPr>
        <w:spacing w:line="276" w:lineRule="auto"/>
        <w:ind w:firstLine="708"/>
        <w:jc w:val="both"/>
        <w:rPr>
          <w:rFonts w:ascii="Arial" w:eastAsia="Arial" w:hAnsi="Arial" w:cs="Arial"/>
          <w:color w:val="000000" w:themeColor="text1"/>
          <w:sz w:val="22"/>
          <w:lang w:val="es-ES" w:eastAsia="es-ES" w:bidi="es-ES"/>
        </w:rPr>
      </w:pPr>
    </w:p>
    <w:p w14:paraId="142F2801" w14:textId="2B5DAB6F" w:rsidR="00E31C71" w:rsidRPr="005873AF" w:rsidRDefault="00E31C71" w:rsidP="00E31C71">
      <w:pPr>
        <w:spacing w:line="276" w:lineRule="auto"/>
        <w:jc w:val="both"/>
        <w:rPr>
          <w:rFonts w:ascii="Arial" w:hAnsi="Arial" w:cs="Arial"/>
          <w:b/>
          <w:bCs/>
          <w:color w:val="000000" w:themeColor="text1"/>
          <w:sz w:val="22"/>
          <w:szCs w:val="22"/>
          <w:lang w:val="es-MX" w:eastAsia="es-CO"/>
        </w:rPr>
      </w:pPr>
      <w:bookmarkStart w:id="17" w:name="_Hlk75784645"/>
      <w:r w:rsidRPr="005873AF">
        <w:rPr>
          <w:rFonts w:ascii="Arial" w:eastAsiaTheme="minorHAnsi" w:hAnsi="Arial" w:cs="Arial"/>
          <w:b/>
          <w:bCs/>
          <w:color w:val="000000" w:themeColor="text1"/>
          <w:sz w:val="22"/>
          <w:szCs w:val="22"/>
          <w:lang w:val="es-MX" w:eastAsia="en-US"/>
        </w:rPr>
        <w:t>2.</w:t>
      </w:r>
      <w:r w:rsidR="006359EC" w:rsidRPr="005873AF">
        <w:rPr>
          <w:rFonts w:ascii="Arial" w:eastAsiaTheme="minorHAnsi" w:hAnsi="Arial" w:cs="Arial"/>
          <w:b/>
          <w:bCs/>
          <w:color w:val="000000" w:themeColor="text1"/>
          <w:sz w:val="22"/>
          <w:szCs w:val="22"/>
          <w:lang w:val="es-MX" w:eastAsia="en-US"/>
        </w:rPr>
        <w:t>3</w:t>
      </w:r>
      <w:r w:rsidRPr="005873AF">
        <w:rPr>
          <w:rFonts w:ascii="Arial" w:eastAsiaTheme="minorHAnsi" w:hAnsi="Arial" w:cs="Arial"/>
          <w:b/>
          <w:bCs/>
          <w:color w:val="000000" w:themeColor="text1"/>
          <w:sz w:val="22"/>
          <w:szCs w:val="22"/>
          <w:lang w:val="es-MX" w:eastAsia="en-US"/>
        </w:rPr>
        <w:t xml:space="preserve">. </w:t>
      </w:r>
      <w:r w:rsidRPr="005873AF">
        <w:rPr>
          <w:rFonts w:ascii="Arial" w:hAnsi="Arial" w:cs="Arial"/>
          <w:b/>
          <w:bCs/>
          <w:color w:val="000000" w:themeColor="text1"/>
          <w:sz w:val="22"/>
          <w:szCs w:val="22"/>
          <w:lang w:val="es-MX" w:eastAsia="es-CO"/>
        </w:rPr>
        <w:t>Restricciones para la celebración de contratos y convenios interadministrativos en los comicios de cargos de elección popular: prohibición del parágrafo del artículo 38 de la Ley 996 de 2005</w:t>
      </w:r>
    </w:p>
    <w:p w14:paraId="701E59F8" w14:textId="77777777" w:rsidR="00E31C71" w:rsidRPr="005873AF" w:rsidRDefault="00E31C71" w:rsidP="00E31C71">
      <w:pPr>
        <w:spacing w:line="276" w:lineRule="auto"/>
        <w:jc w:val="both"/>
        <w:rPr>
          <w:rFonts w:ascii="Arial" w:eastAsiaTheme="minorHAnsi" w:hAnsi="Arial" w:cs="Arial"/>
          <w:b/>
          <w:bCs/>
          <w:color w:val="000000" w:themeColor="text1"/>
          <w:sz w:val="22"/>
          <w:szCs w:val="22"/>
          <w:lang w:val="es-MX" w:eastAsia="en-US"/>
        </w:rPr>
      </w:pPr>
    </w:p>
    <w:p w14:paraId="576E745B" w14:textId="77777777" w:rsidR="00E31C71" w:rsidRPr="005873AF" w:rsidRDefault="00E31C71" w:rsidP="00E31C71">
      <w:pPr>
        <w:tabs>
          <w:tab w:val="left" w:pos="426"/>
        </w:tabs>
        <w:spacing w:after="120" w:line="276" w:lineRule="auto"/>
        <w:jc w:val="both"/>
        <w:rPr>
          <w:rFonts w:ascii="Arial" w:eastAsia="Calibri" w:hAnsi="Arial" w:cs="Arial"/>
          <w:bCs/>
          <w:color w:val="000000" w:themeColor="text1"/>
          <w:sz w:val="22"/>
          <w:szCs w:val="22"/>
          <w:lang w:eastAsia="en-US"/>
        </w:rPr>
      </w:pPr>
      <w:r w:rsidRPr="005873AF">
        <w:rPr>
          <w:rFonts w:ascii="Arial" w:eastAsia="Calibri" w:hAnsi="Arial" w:cs="Arial"/>
          <w:bCs/>
          <w:color w:val="000000" w:themeColor="text1"/>
          <w:sz w:val="22"/>
          <w:szCs w:val="22"/>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5873AF">
        <w:rPr>
          <w:rFonts w:ascii="Arial" w:hAnsi="Arial" w:cs="Arial"/>
          <w:bCs/>
          <w:iCs/>
          <w:color w:val="000000" w:themeColor="text1"/>
          <w:sz w:val="22"/>
          <w:szCs w:val="22"/>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5873AF">
        <w:rPr>
          <w:rFonts w:ascii="Arial" w:hAnsi="Arial" w:cs="Arial"/>
          <w:bCs/>
          <w:iCs/>
          <w:color w:val="000000" w:themeColor="text1"/>
          <w:sz w:val="22"/>
          <w:szCs w:val="22"/>
          <w:vertAlign w:val="superscript"/>
          <w:lang w:val="es-MX" w:eastAsia="x-none"/>
        </w:rPr>
        <w:footnoteReference w:id="12"/>
      </w:r>
      <w:r w:rsidRPr="005873AF">
        <w:rPr>
          <w:rFonts w:ascii="Arial" w:hAnsi="Arial" w:cs="Arial"/>
          <w:bCs/>
          <w:iCs/>
          <w:color w:val="000000" w:themeColor="text1"/>
          <w:sz w:val="22"/>
          <w:szCs w:val="22"/>
          <w:lang w:val="es-MX" w:eastAsia="x-none"/>
        </w:rPr>
        <w:t>.</w:t>
      </w:r>
      <w:r w:rsidRPr="005873AF">
        <w:rPr>
          <w:rFonts w:ascii="Arial" w:eastAsiaTheme="minorHAnsi" w:hAnsi="Arial" w:cs="Arial"/>
          <w:color w:val="000000" w:themeColor="text1"/>
          <w:szCs w:val="22"/>
          <w:lang w:val="es-MX" w:eastAsia="en-US"/>
        </w:rPr>
        <w:t xml:space="preserve"> </w:t>
      </w:r>
    </w:p>
    <w:p w14:paraId="4372AB3D" w14:textId="77777777" w:rsidR="00E31C71" w:rsidRPr="005873AF" w:rsidRDefault="00E31C71" w:rsidP="00E31C71">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5873AF">
        <w:rPr>
          <w:rFonts w:ascii="Arial" w:eastAsia="Calibri" w:hAnsi="Arial" w:cs="Arial"/>
          <w:bCs/>
          <w:color w:val="000000" w:themeColor="text1"/>
          <w:sz w:val="22"/>
          <w:szCs w:val="22"/>
          <w:lang w:eastAsia="es-ES" w:bidi="es-ES"/>
        </w:rPr>
        <w:t xml:space="preserve">Ahora bien, </w:t>
      </w:r>
      <w:bookmarkStart w:id="18" w:name="_Hlk78820161"/>
      <w:r w:rsidRPr="005873AF">
        <w:rPr>
          <w:rFonts w:ascii="Arial" w:eastAsia="Calibri" w:hAnsi="Arial" w:cs="Arial"/>
          <w:bCs/>
          <w:color w:val="000000" w:themeColor="text1"/>
          <w:sz w:val="22"/>
          <w:szCs w:val="22"/>
          <w:lang w:eastAsia="es-ES" w:bidi="es-ES"/>
        </w:rPr>
        <w:t xml:space="preserve">para determinar el alcance de la prohibición consagrada por la Ley de Garantías Electorales, conviene precisar la tipología de convenios o contratos interadministrativos. </w:t>
      </w:r>
      <w:r w:rsidRPr="005873AF">
        <w:rPr>
          <w:rFonts w:ascii="Arial" w:eastAsia="Arial" w:hAnsi="Arial" w:cs="Arial"/>
          <w:color w:val="000000" w:themeColor="text1"/>
          <w:sz w:val="22"/>
          <w:szCs w:val="22"/>
          <w:lang w:val="es-ES" w:eastAsia="es-ES" w:bidi="es-ES"/>
        </w:rPr>
        <w:t>Aunque la ley no la definió ni desarrolló, el Decreto 1082 de 2015 califica a los convenios o contratos interadministrativos como aquella contratación entre entidades estatales</w:t>
      </w:r>
      <w:r w:rsidRPr="005873AF">
        <w:rPr>
          <w:rFonts w:ascii="Arial" w:eastAsia="Arial" w:hAnsi="Arial" w:cs="Arial"/>
          <w:color w:val="000000" w:themeColor="text1"/>
          <w:sz w:val="22"/>
          <w:szCs w:val="22"/>
          <w:vertAlign w:val="superscript"/>
          <w:lang w:val="es-ES" w:eastAsia="es-ES" w:bidi="es-ES"/>
        </w:rPr>
        <w:footnoteReference w:id="13"/>
      </w:r>
      <w:r w:rsidRPr="005873AF">
        <w:rPr>
          <w:rFonts w:ascii="Arial" w:eastAsia="Arial" w:hAnsi="Arial" w:cs="Arial"/>
          <w:color w:val="000000" w:themeColor="text1"/>
          <w:sz w:val="22"/>
          <w:szCs w:val="22"/>
          <w:lang w:val="es-ES" w:eastAsia="es-ES" w:bidi="es-ES"/>
        </w:rPr>
        <w:t xml:space="preserve">.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w:t>
      </w:r>
      <w:r w:rsidRPr="005873AF">
        <w:rPr>
          <w:rFonts w:ascii="Arial" w:eastAsia="Arial" w:hAnsi="Arial" w:cs="Arial"/>
          <w:color w:val="000000" w:themeColor="text1"/>
          <w:sz w:val="22"/>
          <w:szCs w:val="22"/>
          <w:lang w:val="es-ES" w:eastAsia="es-ES" w:bidi="es-ES"/>
        </w:rPr>
        <w:lastRenderedPageBreak/>
        <w:t>extremos de la relación contractual sean entidades</w:t>
      </w:r>
      <w:r w:rsidRPr="005873AF">
        <w:rPr>
          <w:rFonts w:ascii="Arial" w:eastAsia="Arial" w:hAnsi="Arial" w:cs="Arial"/>
          <w:color w:val="000000" w:themeColor="text1"/>
          <w:spacing w:val="-6"/>
          <w:sz w:val="22"/>
          <w:szCs w:val="22"/>
          <w:lang w:val="es-ES" w:eastAsia="es-ES" w:bidi="es-ES"/>
        </w:rPr>
        <w:t xml:space="preserve"> </w:t>
      </w:r>
      <w:r w:rsidRPr="005873AF">
        <w:rPr>
          <w:rFonts w:ascii="Arial" w:eastAsia="Arial" w:hAnsi="Arial" w:cs="Arial"/>
          <w:color w:val="000000" w:themeColor="text1"/>
          <w:sz w:val="22"/>
          <w:szCs w:val="22"/>
          <w:lang w:val="es-ES" w:eastAsia="es-ES" w:bidi="es-ES"/>
        </w:rPr>
        <w:t>estatales.</w:t>
      </w:r>
    </w:p>
    <w:p w14:paraId="21201762" w14:textId="77777777" w:rsidR="00E31C71" w:rsidRPr="005873AF" w:rsidRDefault="00E31C71" w:rsidP="00E31C71">
      <w:pPr>
        <w:widowControl w:val="0"/>
        <w:autoSpaceDE w:val="0"/>
        <w:autoSpaceDN w:val="0"/>
        <w:spacing w:before="117" w:after="120" w:line="276" w:lineRule="auto"/>
        <w:ind w:firstLine="707"/>
        <w:jc w:val="both"/>
        <w:rPr>
          <w:rFonts w:ascii="Arial" w:eastAsia="Arial" w:hAnsi="Arial" w:cs="Arial"/>
          <w:color w:val="000000" w:themeColor="text1"/>
          <w:sz w:val="22"/>
          <w:szCs w:val="22"/>
          <w:lang w:val="es-ES" w:eastAsia="es-ES" w:bidi="es-ES"/>
        </w:rPr>
      </w:pPr>
      <w:bookmarkStart w:id="19" w:name="_Hlk78820654"/>
      <w:bookmarkEnd w:id="18"/>
      <w:r w:rsidRPr="005873AF">
        <w:rPr>
          <w:rFonts w:ascii="Arial" w:eastAsia="Arial" w:hAnsi="Arial" w:cs="Arial"/>
          <w:color w:val="000000" w:themeColor="text1"/>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9"/>
    <w:p w14:paraId="672DC45F" w14:textId="77777777" w:rsidR="00E31C71" w:rsidRPr="005873AF" w:rsidRDefault="00E31C71" w:rsidP="00E31C71">
      <w:pPr>
        <w:widowControl w:val="0"/>
        <w:autoSpaceDE w:val="0"/>
        <w:autoSpaceDN w:val="0"/>
        <w:spacing w:before="121" w:after="120" w:line="276" w:lineRule="auto"/>
        <w:ind w:firstLine="707"/>
        <w:jc w:val="both"/>
        <w:rPr>
          <w:rFonts w:ascii="Arial" w:eastAsia="Arial" w:hAnsi="Arial" w:cs="Arial"/>
          <w:color w:val="000000" w:themeColor="text1"/>
          <w:sz w:val="22"/>
          <w:szCs w:val="22"/>
          <w:lang w:val="es-ES" w:eastAsia="es-ES" w:bidi="es-ES"/>
        </w:rPr>
      </w:pPr>
      <w:r w:rsidRPr="005873AF">
        <w:rPr>
          <w:rFonts w:ascii="Arial" w:eastAsia="Arial" w:hAnsi="Arial" w:cs="Arial"/>
          <w:color w:val="000000" w:themeColor="text1"/>
          <w:sz w:val="22"/>
          <w:szCs w:val="22"/>
          <w:lang w:val="es-ES"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873AF">
        <w:rPr>
          <w:rFonts w:ascii="Arial" w:eastAsia="Arial" w:hAnsi="Arial" w:cs="Arial"/>
          <w:color w:val="000000" w:themeColor="text1"/>
          <w:sz w:val="22"/>
          <w:szCs w:val="22"/>
          <w:vertAlign w:val="superscript"/>
          <w:lang w:val="es-ES" w:eastAsia="es-ES" w:bidi="es-ES"/>
        </w:rPr>
        <w:footnoteReference w:id="14"/>
      </w:r>
      <w:r w:rsidRPr="005873AF">
        <w:rPr>
          <w:rFonts w:ascii="Arial" w:eastAsia="Arial" w:hAnsi="Arial" w:cs="Arial"/>
          <w:color w:val="000000" w:themeColor="text1"/>
          <w:sz w:val="22"/>
          <w:szCs w:val="22"/>
          <w:lang w:val="es-ES" w:eastAsia="es-ES" w:bidi="es-ES"/>
        </w:rPr>
        <w:t>. Nótese que, en este caso, lo que cambia es la modalidad de selección y no la naturaleza de contrato</w:t>
      </w:r>
      <w:r w:rsidRPr="005873AF">
        <w:rPr>
          <w:rFonts w:ascii="Arial" w:eastAsia="Arial" w:hAnsi="Arial" w:cs="Arial"/>
          <w:color w:val="000000" w:themeColor="text1"/>
          <w:spacing w:val="-18"/>
          <w:sz w:val="22"/>
          <w:szCs w:val="22"/>
          <w:lang w:val="es-ES" w:eastAsia="es-ES" w:bidi="es-ES"/>
        </w:rPr>
        <w:t xml:space="preserve"> </w:t>
      </w:r>
      <w:r w:rsidRPr="005873AF">
        <w:rPr>
          <w:rFonts w:ascii="Arial" w:eastAsia="Arial" w:hAnsi="Arial" w:cs="Arial"/>
          <w:color w:val="000000" w:themeColor="text1"/>
          <w:sz w:val="22"/>
          <w:szCs w:val="22"/>
          <w:lang w:val="es-ES" w:eastAsia="es-ES" w:bidi="es-ES"/>
        </w:rPr>
        <w:t>interadministrativo.</w:t>
      </w:r>
    </w:p>
    <w:p w14:paraId="61D34C13" w14:textId="77777777" w:rsidR="00E31C71" w:rsidRPr="005873AF" w:rsidRDefault="00E31C71" w:rsidP="00E31C71">
      <w:pPr>
        <w:widowControl w:val="0"/>
        <w:autoSpaceDE w:val="0"/>
        <w:autoSpaceDN w:val="0"/>
        <w:spacing w:before="114" w:line="276" w:lineRule="auto"/>
        <w:ind w:firstLine="707"/>
        <w:jc w:val="both"/>
        <w:rPr>
          <w:rFonts w:ascii="Arial" w:eastAsia="Arial" w:hAnsi="Arial" w:cs="Arial"/>
          <w:color w:val="000000" w:themeColor="text1"/>
          <w:sz w:val="22"/>
          <w:szCs w:val="22"/>
          <w:lang w:val="es-ES" w:eastAsia="es-ES" w:bidi="es-ES"/>
        </w:rPr>
      </w:pPr>
      <w:r w:rsidRPr="005873AF">
        <w:rPr>
          <w:rFonts w:ascii="Arial" w:eastAsia="Arial" w:hAnsi="Arial" w:cs="Arial"/>
          <w:color w:val="000000" w:themeColor="text1"/>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873AF">
        <w:rPr>
          <w:rFonts w:ascii="Arial" w:eastAsia="Arial" w:hAnsi="Arial" w:cs="Arial"/>
          <w:color w:val="000000" w:themeColor="text1"/>
          <w:spacing w:val="-13"/>
          <w:sz w:val="22"/>
          <w:szCs w:val="22"/>
          <w:lang w:val="es-ES" w:eastAsia="es-ES" w:bidi="es-ES"/>
        </w:rPr>
        <w:t xml:space="preserve"> </w:t>
      </w:r>
      <w:r w:rsidRPr="005873AF">
        <w:rPr>
          <w:rFonts w:ascii="Arial" w:eastAsia="Arial" w:hAnsi="Arial" w:cs="Arial"/>
          <w:color w:val="000000" w:themeColor="text1"/>
          <w:sz w:val="22"/>
          <w:szCs w:val="22"/>
          <w:lang w:val="es-ES" w:eastAsia="es-ES" w:bidi="es-ES"/>
        </w:rPr>
        <w:t>que:</w:t>
      </w:r>
    </w:p>
    <w:p w14:paraId="021A4D66" w14:textId="77777777" w:rsidR="00E31C71" w:rsidRPr="005873AF" w:rsidRDefault="00E31C71" w:rsidP="00E31C71">
      <w:pPr>
        <w:widowControl w:val="0"/>
        <w:autoSpaceDE w:val="0"/>
        <w:autoSpaceDN w:val="0"/>
        <w:spacing w:line="276" w:lineRule="auto"/>
        <w:ind w:firstLine="707"/>
        <w:jc w:val="both"/>
        <w:rPr>
          <w:rFonts w:ascii="Arial" w:eastAsia="Arial" w:hAnsi="Arial" w:cs="Arial"/>
          <w:color w:val="000000" w:themeColor="text1"/>
          <w:sz w:val="22"/>
          <w:szCs w:val="22"/>
          <w:lang w:val="es-ES" w:eastAsia="es-ES" w:bidi="es-ES"/>
        </w:rPr>
      </w:pPr>
    </w:p>
    <w:p w14:paraId="4617E306" w14:textId="77777777" w:rsidR="00E31C71" w:rsidRPr="005873AF" w:rsidRDefault="00E31C71" w:rsidP="00E31C71">
      <w:pPr>
        <w:ind w:left="709" w:right="709"/>
        <w:jc w:val="both"/>
        <w:rPr>
          <w:rFonts w:ascii="Arial" w:eastAsiaTheme="minorHAnsi" w:hAnsi="Arial" w:cs="Arial"/>
          <w:color w:val="000000" w:themeColor="text1"/>
          <w:sz w:val="21"/>
          <w:szCs w:val="22"/>
          <w:lang w:val="es-MX" w:eastAsia="en-US"/>
        </w:rPr>
      </w:pPr>
      <w:r w:rsidRPr="005873AF">
        <w:rPr>
          <w:rFonts w:ascii="Arial" w:eastAsiaTheme="minorHAnsi" w:hAnsi="Arial" w:cs="Arial"/>
          <w:color w:val="000000" w:themeColor="text1"/>
          <w:sz w:val="21"/>
          <w:szCs w:val="22"/>
          <w:lang w:val="es-MX" w:eastAsia="en-US"/>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w:t>
      </w:r>
      <w:r w:rsidRPr="005873AF">
        <w:rPr>
          <w:rFonts w:ascii="Arial" w:eastAsiaTheme="minorHAnsi" w:hAnsi="Arial" w:cs="Arial"/>
          <w:color w:val="000000" w:themeColor="text1"/>
          <w:sz w:val="21"/>
          <w:szCs w:val="22"/>
          <w:lang w:val="es-MX" w:eastAsia="en-US"/>
        </w:rPr>
        <w:lastRenderedPageBreak/>
        <w:t>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5873AF">
        <w:rPr>
          <w:rFonts w:ascii="Arial" w:eastAsiaTheme="minorHAnsi" w:hAnsi="Arial" w:cs="Arial"/>
          <w:color w:val="000000" w:themeColor="text1"/>
          <w:sz w:val="21"/>
          <w:szCs w:val="22"/>
          <w:vertAlign w:val="superscript"/>
          <w:lang w:val="es-MX" w:eastAsia="en-US"/>
        </w:rPr>
        <w:footnoteReference w:id="15"/>
      </w:r>
      <w:r w:rsidRPr="005873AF">
        <w:rPr>
          <w:rFonts w:ascii="Arial" w:eastAsiaTheme="minorHAnsi" w:hAnsi="Arial" w:cs="Arial"/>
          <w:color w:val="000000" w:themeColor="text1"/>
          <w:sz w:val="21"/>
          <w:szCs w:val="22"/>
          <w:lang w:val="es-MX" w:eastAsia="en-US"/>
        </w:rPr>
        <w:t>.</w:t>
      </w:r>
    </w:p>
    <w:p w14:paraId="1D6D3407" w14:textId="77777777" w:rsidR="00E31C71" w:rsidRPr="005873AF" w:rsidRDefault="00E31C71" w:rsidP="00E31C71">
      <w:pPr>
        <w:spacing w:line="276" w:lineRule="auto"/>
        <w:ind w:left="709" w:right="709"/>
        <w:jc w:val="both"/>
        <w:rPr>
          <w:rFonts w:ascii="Arial" w:eastAsiaTheme="minorHAnsi" w:hAnsi="Arial" w:cs="Arial"/>
          <w:color w:val="000000" w:themeColor="text1"/>
          <w:sz w:val="22"/>
          <w:szCs w:val="22"/>
          <w:lang w:val="es-MX" w:eastAsia="en-US"/>
        </w:rPr>
      </w:pPr>
    </w:p>
    <w:p w14:paraId="0171A8AB" w14:textId="77777777" w:rsidR="00E31C71" w:rsidRPr="005873AF" w:rsidRDefault="00E31C71" w:rsidP="00E31C71">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5873AF">
        <w:rPr>
          <w:rFonts w:ascii="Arial" w:eastAsia="Arial" w:hAnsi="Arial" w:cs="Arial"/>
          <w:color w:val="000000" w:themeColor="text1"/>
          <w:sz w:val="22"/>
          <w:szCs w:val="22"/>
          <w:lang w:val="es-ES"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0605D79" w14:textId="77777777" w:rsidR="00E31C71" w:rsidRPr="005873AF" w:rsidRDefault="00E31C71" w:rsidP="00E31C71">
      <w:pPr>
        <w:widowControl w:val="0"/>
        <w:autoSpaceDE w:val="0"/>
        <w:autoSpaceDN w:val="0"/>
        <w:spacing w:after="120" w:line="276" w:lineRule="auto"/>
        <w:ind w:firstLine="707"/>
        <w:jc w:val="both"/>
        <w:rPr>
          <w:rFonts w:ascii="Arial" w:eastAsia="Arial" w:hAnsi="Arial" w:cs="Arial"/>
          <w:color w:val="000000" w:themeColor="text1"/>
          <w:sz w:val="22"/>
          <w:szCs w:val="22"/>
          <w:lang w:val="es-ES" w:eastAsia="es-ES" w:bidi="es-ES"/>
        </w:rPr>
      </w:pPr>
      <w:r w:rsidRPr="005873AF">
        <w:rPr>
          <w:rFonts w:ascii="Arial" w:eastAsia="Arial" w:hAnsi="Arial" w:cs="Arial"/>
          <w:color w:val="000000" w:themeColor="text1"/>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5873AF">
        <w:rPr>
          <w:rFonts w:ascii="Arial" w:eastAsia="Arial" w:hAnsi="Arial" w:cs="Arial"/>
          <w:color w:val="000000" w:themeColor="text1"/>
          <w:spacing w:val="-3"/>
          <w:sz w:val="22"/>
          <w:szCs w:val="22"/>
          <w:lang w:val="es-ES" w:eastAsia="es-ES" w:bidi="es-ES"/>
        </w:rPr>
        <w:t xml:space="preserve"> </w:t>
      </w:r>
      <w:r w:rsidRPr="005873AF">
        <w:rPr>
          <w:rFonts w:ascii="Arial" w:eastAsia="Arial" w:hAnsi="Arial" w:cs="Arial"/>
          <w:color w:val="000000" w:themeColor="text1"/>
          <w:sz w:val="22"/>
          <w:szCs w:val="22"/>
          <w:lang w:val="es-ES" w:eastAsia="es-ES" w:bidi="es-ES"/>
        </w:rPr>
        <w:t>estatales.</w:t>
      </w:r>
    </w:p>
    <w:p w14:paraId="0BEEAB07" w14:textId="77777777" w:rsidR="00E31C71" w:rsidRPr="005873AF" w:rsidRDefault="00E31C71" w:rsidP="00E31C71">
      <w:pPr>
        <w:widowControl w:val="0"/>
        <w:autoSpaceDE w:val="0"/>
        <w:autoSpaceDN w:val="0"/>
        <w:spacing w:after="120" w:line="276" w:lineRule="auto"/>
        <w:ind w:firstLine="709"/>
        <w:jc w:val="both"/>
        <w:rPr>
          <w:rFonts w:ascii="Arial" w:eastAsia="Arial" w:hAnsi="Arial" w:cs="Arial"/>
          <w:color w:val="000000" w:themeColor="text1"/>
          <w:sz w:val="22"/>
          <w:szCs w:val="22"/>
          <w:lang w:val="es-ES" w:eastAsia="es-ES" w:bidi="es-ES"/>
        </w:rPr>
      </w:pPr>
      <w:r w:rsidRPr="005873AF">
        <w:rPr>
          <w:rFonts w:ascii="Arial" w:eastAsia="Arial" w:hAnsi="Arial" w:cs="Arial"/>
          <w:color w:val="000000" w:themeColor="text1"/>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873AF">
        <w:rPr>
          <w:rFonts w:ascii="Arial" w:eastAsia="Arial" w:hAnsi="Arial" w:cs="Arial"/>
          <w:color w:val="000000" w:themeColor="text1"/>
          <w:spacing w:val="-4"/>
          <w:sz w:val="22"/>
          <w:szCs w:val="22"/>
          <w:lang w:val="es-ES" w:eastAsia="es-ES" w:bidi="es-ES"/>
        </w:rPr>
        <w:t xml:space="preserve"> </w:t>
      </w:r>
      <w:r w:rsidRPr="005873AF">
        <w:rPr>
          <w:rFonts w:ascii="Arial" w:eastAsia="Arial" w:hAnsi="Arial" w:cs="Arial"/>
          <w:color w:val="000000" w:themeColor="text1"/>
          <w:sz w:val="22"/>
          <w:szCs w:val="22"/>
          <w:lang w:val="es-ES" w:eastAsia="es-ES" w:bidi="es-ES"/>
        </w:rPr>
        <w:lastRenderedPageBreak/>
        <w:t>estatales.</w:t>
      </w:r>
    </w:p>
    <w:p w14:paraId="5E23CFC4" w14:textId="77777777" w:rsidR="00E31C71" w:rsidRPr="005873AF" w:rsidRDefault="00E31C71" w:rsidP="00E31C71">
      <w:pPr>
        <w:widowControl w:val="0"/>
        <w:autoSpaceDE w:val="0"/>
        <w:autoSpaceDN w:val="0"/>
        <w:spacing w:after="120" w:line="276" w:lineRule="auto"/>
        <w:ind w:firstLine="708"/>
        <w:jc w:val="both"/>
        <w:rPr>
          <w:rFonts w:ascii="Arial" w:eastAsia="Arial" w:hAnsi="Arial" w:cs="Arial"/>
          <w:color w:val="000000" w:themeColor="text1"/>
          <w:sz w:val="22"/>
          <w:szCs w:val="22"/>
          <w:lang w:val="es-ES" w:eastAsia="es-ES" w:bidi="es-ES"/>
        </w:rPr>
      </w:pPr>
      <w:r w:rsidRPr="005873AF">
        <w:rPr>
          <w:rFonts w:ascii="Arial" w:eastAsia="Arial" w:hAnsi="Arial" w:cs="Arial"/>
          <w:color w:val="000000" w:themeColor="text1"/>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1EE68AB1" w14:textId="77777777" w:rsidR="00E31C71" w:rsidRPr="005873AF" w:rsidRDefault="00E31C71" w:rsidP="00E31C71">
      <w:pPr>
        <w:widowControl w:val="0"/>
        <w:autoSpaceDE w:val="0"/>
        <w:autoSpaceDN w:val="0"/>
        <w:spacing w:after="120" w:line="276" w:lineRule="auto"/>
        <w:ind w:firstLine="708"/>
        <w:jc w:val="both"/>
        <w:rPr>
          <w:rFonts w:ascii="Arial" w:eastAsia="Calibri" w:hAnsi="Arial" w:cs="Arial"/>
          <w:bCs/>
          <w:color w:val="000000" w:themeColor="text1"/>
          <w:sz w:val="22"/>
          <w:szCs w:val="22"/>
          <w:lang w:eastAsia="es-ES" w:bidi="es-ES"/>
        </w:rPr>
      </w:pPr>
      <w:r w:rsidRPr="005873AF">
        <w:rPr>
          <w:rFonts w:ascii="Arial" w:eastAsia="Arial" w:hAnsi="Arial" w:cs="Arial"/>
          <w:color w:val="000000" w:themeColor="text1"/>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5873AF">
        <w:rPr>
          <w:rFonts w:ascii="Arial" w:eastAsia="Arial" w:hAnsi="Arial" w:cs="Arial"/>
          <w:color w:val="000000" w:themeColor="text1"/>
          <w:spacing w:val="-4"/>
          <w:sz w:val="22"/>
          <w:szCs w:val="22"/>
          <w:lang w:val="es-ES" w:eastAsia="es-ES" w:bidi="es-ES"/>
        </w:rPr>
        <w:t xml:space="preserve"> </w:t>
      </w:r>
      <w:r w:rsidRPr="005873AF">
        <w:rPr>
          <w:rFonts w:ascii="Arial" w:eastAsia="Arial" w:hAnsi="Arial" w:cs="Arial"/>
          <w:color w:val="000000" w:themeColor="text1"/>
          <w:sz w:val="22"/>
          <w:szCs w:val="22"/>
          <w:lang w:val="es-ES" w:eastAsia="es-ES" w:bidi="es-ES"/>
        </w:rPr>
        <w:t>[…]»</w:t>
      </w:r>
      <w:r w:rsidRPr="005873AF">
        <w:rPr>
          <w:rFonts w:ascii="Arial" w:eastAsia="Arial" w:hAnsi="Arial" w:cs="Arial"/>
          <w:color w:val="000000" w:themeColor="text1"/>
          <w:sz w:val="22"/>
          <w:szCs w:val="22"/>
          <w:vertAlign w:val="superscript"/>
          <w:lang w:val="es-ES" w:eastAsia="es-ES" w:bidi="es-ES"/>
        </w:rPr>
        <w:footnoteReference w:id="16"/>
      </w:r>
      <w:r w:rsidRPr="005873AF">
        <w:rPr>
          <w:rFonts w:ascii="Arial" w:eastAsia="Arial" w:hAnsi="Arial" w:cs="Arial"/>
          <w:color w:val="000000" w:themeColor="text1"/>
          <w:sz w:val="22"/>
          <w:szCs w:val="22"/>
          <w:lang w:val="es-ES" w:eastAsia="es-ES" w:bidi="es-ES"/>
        </w:rPr>
        <w:t>.</w:t>
      </w:r>
      <w:bookmarkStart w:id="20" w:name="_Hlk77171241"/>
    </w:p>
    <w:p w14:paraId="0D635EC7" w14:textId="77777777" w:rsidR="00E31C71" w:rsidRPr="005873AF" w:rsidRDefault="00E31C71" w:rsidP="00E31C71">
      <w:pPr>
        <w:widowControl w:val="0"/>
        <w:autoSpaceDE w:val="0"/>
        <w:autoSpaceDN w:val="0"/>
        <w:spacing w:before="122" w:line="276" w:lineRule="auto"/>
        <w:ind w:firstLine="709"/>
        <w:jc w:val="both"/>
        <w:rPr>
          <w:rFonts w:ascii="Arial" w:eastAsia="Arial" w:hAnsi="Arial" w:cs="Arial"/>
          <w:color w:val="000000" w:themeColor="text1"/>
          <w:sz w:val="22"/>
          <w:szCs w:val="22"/>
          <w:lang w:val="es-ES" w:eastAsia="es-ES" w:bidi="es-ES"/>
        </w:rPr>
      </w:pPr>
      <w:r w:rsidRPr="005873AF">
        <w:rPr>
          <w:rFonts w:ascii="Arial" w:eastAsia="Arial" w:hAnsi="Arial" w:cs="Arial"/>
          <w:color w:val="000000" w:themeColor="text1"/>
          <w:sz w:val="22"/>
          <w:szCs w:val="22"/>
          <w:lang w:val="es-ES"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3837ADCB" w14:textId="77777777" w:rsidR="00E31C71" w:rsidRPr="005873AF" w:rsidRDefault="00E31C71" w:rsidP="00E31C71">
      <w:pPr>
        <w:widowControl w:val="0"/>
        <w:autoSpaceDE w:val="0"/>
        <w:autoSpaceDN w:val="0"/>
        <w:spacing w:line="276" w:lineRule="auto"/>
        <w:ind w:firstLine="709"/>
        <w:jc w:val="both"/>
        <w:rPr>
          <w:rFonts w:ascii="Arial" w:eastAsia="Arial" w:hAnsi="Arial" w:cs="Arial"/>
          <w:color w:val="000000" w:themeColor="text1"/>
          <w:sz w:val="22"/>
          <w:szCs w:val="22"/>
          <w:lang w:val="es-ES" w:eastAsia="es-ES" w:bidi="es-ES"/>
        </w:rPr>
      </w:pPr>
    </w:p>
    <w:p w14:paraId="4B1312BF" w14:textId="77777777" w:rsidR="00E31C71" w:rsidRPr="005873AF" w:rsidRDefault="00E31C71" w:rsidP="00E31C71">
      <w:pPr>
        <w:ind w:left="709" w:right="709"/>
        <w:jc w:val="both"/>
        <w:rPr>
          <w:rFonts w:ascii="Arial" w:eastAsiaTheme="minorHAnsi" w:hAnsi="Arial" w:cs="Arial"/>
          <w:color w:val="000000" w:themeColor="text1"/>
          <w:sz w:val="21"/>
          <w:szCs w:val="21"/>
          <w:lang w:val="es-ES_tradnl" w:eastAsia="en-US"/>
        </w:rPr>
      </w:pPr>
      <w:r w:rsidRPr="005873AF">
        <w:rPr>
          <w:rFonts w:ascii="Arial" w:eastAsiaTheme="minorHAnsi" w:hAnsi="Arial" w:cs="Arial"/>
          <w:color w:val="000000" w:themeColor="text1"/>
          <w:sz w:val="21"/>
          <w:szCs w:val="21"/>
          <w:lang w:val="es-ES_tradnl" w:eastAsia="en-US"/>
        </w:rPr>
        <w:t>La Sala de Consulta y Servicio Civil</w:t>
      </w:r>
      <w:r w:rsidRPr="005873AF">
        <w:rPr>
          <w:rFonts w:ascii="Arial" w:eastAsiaTheme="minorHAnsi" w:hAnsi="Arial" w:cs="Arial"/>
          <w:color w:val="000000" w:themeColor="text1"/>
          <w:sz w:val="21"/>
          <w:szCs w:val="21"/>
          <w:vertAlign w:val="superscript"/>
          <w:lang w:val="es-ES_tradnl" w:eastAsia="en-US"/>
        </w:rPr>
        <w:footnoteReference w:id="17"/>
      </w:r>
      <w:r w:rsidRPr="005873AF">
        <w:rPr>
          <w:rFonts w:ascii="Arial" w:eastAsiaTheme="minorHAnsi" w:hAnsi="Arial" w:cs="Arial"/>
          <w:color w:val="000000" w:themeColor="text1"/>
          <w:sz w:val="21"/>
          <w:szCs w:val="21"/>
          <w:lang w:val="es-ES_tradnl" w:eastAsia="en-US"/>
        </w:rPr>
        <w:t xml:space="preserve"> de esta Corporación se ha referido a los </w:t>
      </w:r>
      <w:r w:rsidRPr="005873AF">
        <w:rPr>
          <w:rFonts w:ascii="Arial" w:eastAsiaTheme="minorHAnsi" w:hAnsi="Arial" w:cs="Arial"/>
          <w:i/>
          <w:color w:val="000000" w:themeColor="text1"/>
          <w:sz w:val="21"/>
          <w:szCs w:val="21"/>
          <w:lang w:val="es-ES_tradnl" w:eastAsia="en-US"/>
        </w:rPr>
        <w:t>“convenios interadministrativos”</w:t>
      </w:r>
      <w:r w:rsidRPr="005873AF">
        <w:rPr>
          <w:rFonts w:ascii="Arial" w:eastAsiaTheme="minorHAnsi" w:hAnsi="Arial" w:cs="Arial"/>
          <w:color w:val="000000" w:themeColor="text1"/>
          <w:sz w:val="21"/>
          <w:szCs w:val="21"/>
          <w:lang w:val="es-ES_tradnl" w:eastAsia="en-US"/>
        </w:rPr>
        <w:t xml:space="preserve"> a los cuales alude el artículo 95 de la Ley 489 de 1998, calificándolos de </w:t>
      </w:r>
      <w:r w:rsidRPr="005873AF">
        <w:rPr>
          <w:rFonts w:ascii="Arial" w:eastAsiaTheme="minorHAnsi" w:hAnsi="Arial" w:cs="Arial"/>
          <w:i/>
          <w:color w:val="000000" w:themeColor="text1"/>
          <w:sz w:val="21"/>
          <w:szCs w:val="21"/>
          <w:lang w:val="es-ES_tradnl" w:eastAsia="en-US"/>
        </w:rPr>
        <w:t xml:space="preserve">“puros” </w:t>
      </w:r>
      <w:r w:rsidRPr="005873AF">
        <w:rPr>
          <w:rFonts w:ascii="Arial" w:eastAsiaTheme="minorHAnsi" w:hAnsi="Arial" w:cs="Arial"/>
          <w:color w:val="000000" w:themeColor="text1"/>
          <w:sz w:val="21"/>
          <w:szCs w:val="21"/>
          <w:lang w:val="es-ES_tradnl" w:eastAsia="en-US"/>
        </w:rPr>
        <w:t xml:space="preserve">y entendiendo que estos, además de perseguir la finalidad de cooperación antes indicada, no implican intereses contrapuestos ni tampoco se circunscriben a un </w:t>
      </w:r>
      <w:r w:rsidRPr="005873AF">
        <w:rPr>
          <w:rFonts w:ascii="Arial" w:eastAsiaTheme="minorHAnsi" w:hAnsi="Arial" w:cs="Arial"/>
          <w:i/>
          <w:color w:val="000000" w:themeColor="text1"/>
          <w:sz w:val="21"/>
          <w:szCs w:val="21"/>
          <w:lang w:val="es-ES_tradnl" w:eastAsia="en-US"/>
        </w:rPr>
        <w:t>“intercambio patrimonial”</w:t>
      </w:r>
      <w:r w:rsidRPr="005873AF">
        <w:rPr>
          <w:rFonts w:ascii="Arial" w:eastAsiaTheme="minorHAnsi" w:hAnsi="Arial" w:cs="Arial"/>
          <w:color w:val="000000" w:themeColor="text1"/>
          <w:sz w:val="21"/>
          <w:szCs w:val="21"/>
          <w:lang w:val="es-ES_tradnl" w:eastAsia="en-US"/>
        </w:rPr>
        <w:t>. Sin perjuicio de lo anterior, en otra oportunidad, la misma Sala</w:t>
      </w:r>
      <w:r w:rsidRPr="005873AF">
        <w:rPr>
          <w:rFonts w:ascii="Arial" w:eastAsiaTheme="minorHAnsi" w:hAnsi="Arial" w:cs="Arial"/>
          <w:color w:val="000000" w:themeColor="text1"/>
          <w:sz w:val="21"/>
          <w:szCs w:val="21"/>
          <w:vertAlign w:val="superscript"/>
          <w:lang w:val="es-ES_tradnl" w:eastAsia="en-US"/>
        </w:rPr>
        <w:footnoteReference w:id="18"/>
      </w:r>
      <w:r w:rsidRPr="005873AF">
        <w:rPr>
          <w:rFonts w:ascii="Arial" w:eastAsiaTheme="minorHAnsi" w:hAnsi="Arial" w:cs="Arial"/>
          <w:color w:val="000000" w:themeColor="text1"/>
          <w:sz w:val="21"/>
          <w:szCs w:val="21"/>
          <w:lang w:val="es-ES_tradnl" w:eastAsia="en-US"/>
        </w:rPr>
        <w:t xml:space="preserve"> había indicado que, si bien en dichos convenios no se daba un </w:t>
      </w:r>
      <w:r w:rsidRPr="005873AF">
        <w:rPr>
          <w:rFonts w:ascii="Arial" w:eastAsiaTheme="minorHAnsi" w:hAnsi="Arial" w:cs="Arial"/>
          <w:i/>
          <w:color w:val="000000" w:themeColor="text1"/>
          <w:sz w:val="21"/>
          <w:szCs w:val="21"/>
          <w:lang w:val="es-ES_tradnl" w:eastAsia="en-US"/>
        </w:rPr>
        <w:t>“verdadero intercambio de bienes o servicios (contrato conmutativo)”</w:t>
      </w:r>
      <w:r w:rsidRPr="005873AF">
        <w:rPr>
          <w:rFonts w:ascii="Arial" w:eastAsiaTheme="minorHAnsi" w:hAnsi="Arial" w:cs="Arial"/>
          <w:color w:val="000000" w:themeColor="text1"/>
          <w:sz w:val="21"/>
          <w:szCs w:val="21"/>
          <w:lang w:val="es-ES_tradnl" w:eastAsia="en-US"/>
        </w:rPr>
        <w:t>, ello no impedía que se conviniera una remuneración a cargo de alguna(s) entidad(es).</w:t>
      </w:r>
    </w:p>
    <w:p w14:paraId="35C30699" w14:textId="77777777" w:rsidR="00E31C71" w:rsidRPr="005873AF" w:rsidRDefault="00E31C71" w:rsidP="00E31C71">
      <w:pPr>
        <w:ind w:left="709" w:right="709"/>
        <w:jc w:val="both"/>
        <w:rPr>
          <w:rFonts w:ascii="Arial" w:eastAsiaTheme="minorHAnsi" w:hAnsi="Arial" w:cs="Arial"/>
          <w:color w:val="000000" w:themeColor="text1"/>
          <w:sz w:val="21"/>
          <w:szCs w:val="21"/>
          <w:lang w:val="es-ES_tradnl" w:eastAsia="en-US"/>
        </w:rPr>
      </w:pPr>
    </w:p>
    <w:p w14:paraId="15E0F3ED" w14:textId="77777777" w:rsidR="00E31C71" w:rsidRPr="005873AF" w:rsidRDefault="00E31C71" w:rsidP="00E31C71">
      <w:pPr>
        <w:widowControl w:val="0"/>
        <w:autoSpaceDE w:val="0"/>
        <w:autoSpaceDN w:val="0"/>
        <w:ind w:left="709" w:right="709"/>
        <w:jc w:val="both"/>
        <w:rPr>
          <w:rFonts w:ascii="Arial" w:eastAsia="Arial" w:hAnsi="Arial" w:cs="Arial"/>
          <w:color w:val="000000" w:themeColor="text1"/>
          <w:sz w:val="21"/>
          <w:szCs w:val="21"/>
          <w:lang w:val="es-ES" w:eastAsia="es-ES" w:bidi="es-ES"/>
        </w:rPr>
      </w:pPr>
      <w:r w:rsidRPr="005873AF">
        <w:rPr>
          <w:rFonts w:ascii="Arial" w:eastAsia="Arial" w:hAnsi="Arial" w:cs="Arial"/>
          <w:color w:val="000000" w:themeColor="text1"/>
          <w:sz w:val="21"/>
          <w:szCs w:val="21"/>
          <w:lang w:val="es-ES_tradnl" w:eastAsia="es-ES" w:bidi="es-ES"/>
        </w:rPr>
        <w:t xml:space="preserve">Lo expuesto evidencia que, en general, las interpretaciones en torno a los </w:t>
      </w:r>
      <w:r w:rsidRPr="005873AF">
        <w:rPr>
          <w:rFonts w:ascii="Arial" w:eastAsia="Arial" w:hAnsi="Arial" w:cs="Arial"/>
          <w:i/>
          <w:color w:val="000000" w:themeColor="text1"/>
          <w:sz w:val="21"/>
          <w:szCs w:val="21"/>
          <w:lang w:val="es-ES_tradnl" w:eastAsia="es-ES" w:bidi="es-ES"/>
        </w:rPr>
        <w:t>“convenios interadministrativos”</w:t>
      </w:r>
      <w:r w:rsidRPr="005873AF">
        <w:rPr>
          <w:rFonts w:ascii="Arial" w:eastAsia="Arial" w:hAnsi="Arial" w:cs="Arial"/>
          <w:color w:val="000000" w:themeColor="text1"/>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5873AF">
        <w:rPr>
          <w:rFonts w:ascii="Arial" w:eastAsia="Arial" w:hAnsi="Arial" w:cs="Arial"/>
          <w:color w:val="000000" w:themeColor="text1"/>
          <w:sz w:val="21"/>
          <w:szCs w:val="21"/>
          <w:vertAlign w:val="superscript"/>
          <w:lang w:val="es-ES_tradnl" w:eastAsia="es-ES" w:bidi="es-ES"/>
        </w:rPr>
        <w:footnoteReference w:id="19"/>
      </w:r>
      <w:r w:rsidRPr="005873AF">
        <w:rPr>
          <w:rFonts w:ascii="Arial" w:eastAsia="Arial" w:hAnsi="Arial" w:cs="Arial"/>
          <w:color w:val="000000" w:themeColor="text1"/>
          <w:sz w:val="21"/>
          <w:szCs w:val="21"/>
          <w:vertAlign w:val="superscript"/>
          <w:lang w:val="es-ES_tradnl" w:eastAsia="es-ES" w:bidi="es-ES"/>
        </w:rPr>
        <w:footnoteReference w:id="20"/>
      </w:r>
      <w:r w:rsidRPr="005873AF">
        <w:rPr>
          <w:rFonts w:ascii="Arial" w:eastAsia="Arial" w:hAnsi="Arial" w:cs="Arial"/>
          <w:color w:val="000000" w:themeColor="text1"/>
          <w:sz w:val="21"/>
          <w:szCs w:val="21"/>
          <w:lang w:val="es-ES_tradnl" w:eastAsia="es-ES" w:bidi="es-ES"/>
        </w:rPr>
        <w:t>.</w:t>
      </w:r>
    </w:p>
    <w:p w14:paraId="71FA847D" w14:textId="77777777" w:rsidR="00E31C71" w:rsidRPr="005873AF" w:rsidRDefault="00E31C71" w:rsidP="00E31C71">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32B9B4DC" w14:textId="77777777" w:rsidR="00E31C71" w:rsidRPr="005873AF" w:rsidRDefault="00E31C71" w:rsidP="00E31C71">
      <w:pPr>
        <w:widowControl w:val="0"/>
        <w:autoSpaceDE w:val="0"/>
        <w:autoSpaceDN w:val="0"/>
        <w:spacing w:after="120" w:line="276" w:lineRule="auto"/>
        <w:jc w:val="both"/>
        <w:rPr>
          <w:rFonts w:ascii="Arial" w:eastAsia="Arial" w:hAnsi="Arial" w:cs="Arial"/>
          <w:color w:val="000000" w:themeColor="text1"/>
          <w:sz w:val="22"/>
          <w:szCs w:val="22"/>
          <w:lang w:val="es-ES" w:eastAsia="es-ES" w:bidi="es-ES"/>
        </w:rPr>
      </w:pPr>
      <w:r w:rsidRPr="005873AF">
        <w:rPr>
          <w:rFonts w:ascii="Arial" w:eastAsia="Arial" w:hAnsi="Arial" w:cs="Arial"/>
          <w:color w:val="000000" w:themeColor="text1"/>
          <w:sz w:val="22"/>
          <w:szCs w:val="22"/>
          <w:lang w:val="es-ES" w:eastAsia="es-ES" w:bidi="es-ES"/>
        </w:rPr>
        <w:tab/>
        <w:t>En todo caso, debe reiterarse que el ordenamiento jurídico en distintas ocasiones utiliza de forma indistinta los conceptos de contrato o convenio para referirse a la misma institución jurídica</w:t>
      </w:r>
      <w:r w:rsidRPr="005873AF">
        <w:rPr>
          <w:rFonts w:ascii="Arial" w:eastAsia="Arial" w:hAnsi="Arial" w:cs="Arial"/>
          <w:color w:val="000000" w:themeColor="text1"/>
          <w:sz w:val="22"/>
          <w:szCs w:val="22"/>
          <w:vertAlign w:val="superscript"/>
          <w:lang w:val="es-ES" w:eastAsia="es-ES" w:bidi="es-ES"/>
        </w:rPr>
        <w:footnoteReference w:id="21"/>
      </w:r>
      <w:r w:rsidRPr="005873AF">
        <w:rPr>
          <w:rFonts w:ascii="Arial" w:eastAsia="Arial" w:hAnsi="Arial" w:cs="Arial"/>
          <w:color w:val="000000" w:themeColor="text1"/>
          <w:sz w:val="22"/>
          <w:szCs w:val="22"/>
          <w:lang w:val="es-ES" w:eastAsia="es-ES" w:bidi="es-ES"/>
        </w:rPr>
        <w:t>. Incluso la Corte Constitucional explica la posibilidad de celebrar convenios interadministrativos de forma directa, con fundamento en la causal establecida en la Ley 1150 de 2007 respecto a los contratos interadministrativos</w:t>
      </w:r>
      <w:r w:rsidRPr="005873AF">
        <w:rPr>
          <w:rFonts w:ascii="Arial" w:eastAsia="Arial" w:hAnsi="Arial" w:cs="Arial"/>
          <w:color w:val="000000" w:themeColor="text1"/>
          <w:sz w:val="22"/>
          <w:szCs w:val="22"/>
          <w:vertAlign w:val="superscript"/>
          <w:lang w:val="es-ES" w:eastAsia="es-ES" w:bidi="es-ES"/>
        </w:rPr>
        <w:footnoteReference w:id="22"/>
      </w:r>
      <w:r w:rsidRPr="005873AF">
        <w:rPr>
          <w:rFonts w:ascii="Arial" w:eastAsia="Arial" w:hAnsi="Arial" w:cs="Arial"/>
          <w:color w:val="000000" w:themeColor="text1"/>
          <w:sz w:val="22"/>
          <w:szCs w:val="22"/>
          <w:lang w:val="es-ES" w:eastAsia="es-ES" w:bidi="es-ES"/>
        </w:rPr>
        <w:t>.</w:t>
      </w:r>
    </w:p>
    <w:p w14:paraId="195C22BB" w14:textId="77777777" w:rsidR="00E31C71" w:rsidRPr="005873AF" w:rsidRDefault="00E31C71" w:rsidP="00E31C71">
      <w:pPr>
        <w:widowControl w:val="0"/>
        <w:autoSpaceDE w:val="0"/>
        <w:autoSpaceDN w:val="0"/>
        <w:spacing w:line="276" w:lineRule="auto"/>
        <w:jc w:val="both"/>
        <w:rPr>
          <w:rFonts w:ascii="Arial" w:eastAsia="Arial" w:hAnsi="Arial" w:cs="Arial"/>
          <w:color w:val="000000" w:themeColor="text1"/>
          <w:sz w:val="22"/>
          <w:szCs w:val="22"/>
          <w:lang w:val="es-ES" w:eastAsia="es-ES" w:bidi="es-ES"/>
        </w:rPr>
      </w:pPr>
      <w:r w:rsidRPr="005873AF">
        <w:rPr>
          <w:rFonts w:ascii="Arial" w:eastAsia="Arial" w:hAnsi="Arial" w:cs="Arial"/>
          <w:color w:val="000000" w:themeColor="text1"/>
          <w:sz w:val="22"/>
          <w:szCs w:val="22"/>
          <w:lang w:val="es-ES" w:eastAsia="es-ES" w:bidi="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w:t>
      </w:r>
      <w:r w:rsidRPr="005873AF">
        <w:rPr>
          <w:rFonts w:ascii="Arial" w:eastAsia="Arial" w:hAnsi="Arial" w:cs="Arial"/>
          <w:color w:val="000000" w:themeColor="text1"/>
          <w:sz w:val="22"/>
          <w:szCs w:val="22"/>
          <w:lang w:val="es-ES" w:eastAsia="es-ES" w:bidi="es-ES"/>
        </w:rPr>
        <w:lastRenderedPageBreak/>
        <w:t>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7EAD2C5B" w14:textId="77777777" w:rsidR="00E31C71" w:rsidRPr="005873AF" w:rsidRDefault="00E31C71" w:rsidP="00E31C71">
      <w:pPr>
        <w:widowControl w:val="0"/>
        <w:autoSpaceDE w:val="0"/>
        <w:autoSpaceDN w:val="0"/>
        <w:spacing w:line="276" w:lineRule="auto"/>
        <w:jc w:val="both"/>
        <w:rPr>
          <w:rFonts w:ascii="Arial" w:eastAsia="Arial" w:hAnsi="Arial" w:cs="Arial"/>
          <w:color w:val="000000" w:themeColor="text1"/>
          <w:sz w:val="22"/>
          <w:szCs w:val="22"/>
          <w:lang w:val="es-ES" w:eastAsia="es-ES" w:bidi="es-ES"/>
        </w:rPr>
      </w:pPr>
    </w:p>
    <w:p w14:paraId="548BA9C0" w14:textId="77777777" w:rsidR="00E31C71" w:rsidRPr="005873AF" w:rsidRDefault="00E31C71" w:rsidP="00E31C71">
      <w:pPr>
        <w:spacing w:after="120"/>
        <w:ind w:left="709" w:right="709"/>
        <w:jc w:val="both"/>
        <w:rPr>
          <w:rFonts w:ascii="Arial" w:eastAsiaTheme="minorHAnsi" w:hAnsi="Arial" w:cs="Arial"/>
          <w:color w:val="000000" w:themeColor="text1"/>
          <w:sz w:val="21"/>
          <w:szCs w:val="21"/>
          <w:lang w:val="es-MX" w:eastAsia="en-US"/>
        </w:rPr>
      </w:pPr>
      <w:r w:rsidRPr="005873AF">
        <w:rPr>
          <w:rFonts w:ascii="Arial" w:eastAsiaTheme="minorHAns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5873AF">
        <w:rPr>
          <w:rFonts w:ascii="Arial" w:eastAsiaTheme="minorHAnsi" w:hAnsi="Arial" w:cs="Arial"/>
          <w:color w:val="000000" w:themeColor="text1"/>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CFC0CFC" w14:textId="77777777" w:rsidR="00E31C71" w:rsidRPr="005873AF" w:rsidRDefault="00E31C71" w:rsidP="00E31C71">
      <w:pPr>
        <w:spacing w:after="120"/>
        <w:ind w:left="709" w:right="709"/>
        <w:jc w:val="both"/>
        <w:rPr>
          <w:rFonts w:ascii="Arial" w:eastAsiaTheme="minorHAnsi" w:hAnsi="Arial" w:cs="Arial"/>
          <w:color w:val="000000" w:themeColor="text1"/>
          <w:sz w:val="21"/>
          <w:szCs w:val="21"/>
          <w:lang w:val="es-MX" w:eastAsia="en-US"/>
        </w:rPr>
      </w:pPr>
      <w:r w:rsidRPr="005873AF">
        <w:rPr>
          <w:rFonts w:ascii="Arial" w:eastAsiaTheme="minorHAnsi" w:hAnsi="Arial" w:cs="Arial"/>
          <w:color w:val="000000" w:themeColor="text1"/>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3C8AD80B" w14:textId="77777777" w:rsidR="00E31C71" w:rsidRPr="005873AF" w:rsidRDefault="00E31C71" w:rsidP="00E31C71">
      <w:pPr>
        <w:ind w:left="709" w:right="709"/>
        <w:jc w:val="both"/>
        <w:rPr>
          <w:rFonts w:ascii="Arial" w:eastAsiaTheme="minorHAnsi" w:hAnsi="Arial" w:cs="Arial"/>
          <w:color w:val="000000" w:themeColor="text1"/>
          <w:szCs w:val="22"/>
          <w:lang w:val="es-MX" w:eastAsia="en-US"/>
        </w:rPr>
      </w:pPr>
      <w:r w:rsidRPr="005873AF">
        <w:rPr>
          <w:rFonts w:ascii="Arial" w:eastAsiaTheme="minorHAnsi" w:hAnsi="Arial" w:cs="Arial"/>
          <w:color w:val="000000" w:themeColor="text1"/>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358EF630" w14:textId="77777777" w:rsidR="00E31C71" w:rsidRPr="005873AF" w:rsidRDefault="00E31C71" w:rsidP="00E31C71">
      <w:pPr>
        <w:widowControl w:val="0"/>
        <w:autoSpaceDE w:val="0"/>
        <w:autoSpaceDN w:val="0"/>
        <w:spacing w:before="3" w:line="276" w:lineRule="auto"/>
        <w:jc w:val="both"/>
        <w:rPr>
          <w:rFonts w:ascii="Arial" w:eastAsia="Arial" w:hAnsi="Arial" w:cs="Arial"/>
          <w:color w:val="000000" w:themeColor="text1"/>
          <w:sz w:val="22"/>
          <w:szCs w:val="22"/>
          <w:lang w:val="es-ES" w:eastAsia="es-ES" w:bidi="es-ES"/>
        </w:rPr>
      </w:pPr>
    </w:p>
    <w:p w14:paraId="48876142" w14:textId="31ECFA0A" w:rsidR="00E31C71" w:rsidRPr="005873AF" w:rsidRDefault="00E31C71" w:rsidP="00E31C71">
      <w:pPr>
        <w:widowControl w:val="0"/>
        <w:autoSpaceDE w:val="0"/>
        <w:autoSpaceDN w:val="0"/>
        <w:spacing w:after="120" w:line="276" w:lineRule="auto"/>
        <w:jc w:val="both"/>
        <w:rPr>
          <w:rFonts w:ascii="Arial" w:eastAsia="Calibri" w:hAnsi="Arial" w:cs="Arial"/>
          <w:bCs/>
          <w:color w:val="000000" w:themeColor="text1"/>
          <w:sz w:val="22"/>
          <w:szCs w:val="22"/>
          <w:lang w:eastAsia="es-ES" w:bidi="es-ES"/>
        </w:rPr>
      </w:pPr>
      <w:r w:rsidRPr="005873AF">
        <w:rPr>
          <w:rFonts w:ascii="Arial" w:eastAsia="Arial" w:hAnsi="Arial" w:cs="Arial"/>
          <w:color w:val="000000" w:themeColor="text1"/>
          <w:sz w:val="25"/>
          <w:szCs w:val="22"/>
          <w:lang w:val="es-ES" w:eastAsia="es-ES" w:bidi="es-ES"/>
        </w:rPr>
        <w:tab/>
      </w:r>
      <w:r w:rsidR="004838FD" w:rsidRPr="005873AF">
        <w:rPr>
          <w:rFonts w:ascii="Arial" w:eastAsia="Arial" w:hAnsi="Arial" w:cs="Arial"/>
          <w:color w:val="000000" w:themeColor="text1"/>
          <w:sz w:val="22"/>
          <w:szCs w:val="22"/>
          <w:lang w:val="es-ES" w:eastAsia="es-ES" w:bidi="es-ES"/>
        </w:rPr>
        <w:t>Por tanto</w:t>
      </w:r>
      <w:r w:rsidRPr="005873AF">
        <w:rPr>
          <w:rFonts w:ascii="Arial" w:eastAsia="Arial" w:hAnsi="Arial" w:cs="Arial"/>
          <w:color w:val="000000" w:themeColor="text1"/>
          <w:sz w:val="22"/>
          <w:szCs w:val="22"/>
          <w:lang w:val="es-ES" w:eastAsia="es-ES" w:bidi="es-ES"/>
        </w:rPr>
        <w:t>,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0"/>
    </w:p>
    <w:p w14:paraId="0CAB084E" w14:textId="77777777" w:rsidR="00E31C71" w:rsidRPr="005873AF" w:rsidRDefault="00E31C71" w:rsidP="00E31C71">
      <w:pPr>
        <w:tabs>
          <w:tab w:val="left" w:pos="426"/>
        </w:tabs>
        <w:spacing w:after="120" w:line="276" w:lineRule="auto"/>
        <w:ind w:firstLine="709"/>
        <w:jc w:val="both"/>
        <w:rPr>
          <w:rFonts w:ascii="Arial" w:hAnsi="Arial" w:cs="Arial"/>
          <w:bCs/>
          <w:color w:val="000000" w:themeColor="text1"/>
          <w:sz w:val="22"/>
          <w:szCs w:val="22"/>
          <w:lang w:eastAsia="es-CO"/>
        </w:rPr>
      </w:pPr>
      <w:r w:rsidRPr="005873AF">
        <w:rPr>
          <w:rFonts w:ascii="Arial" w:hAnsi="Arial" w:cs="Arial"/>
          <w:bCs/>
          <w:color w:val="000000" w:themeColor="text1"/>
          <w:sz w:val="22"/>
          <w:szCs w:val="22"/>
          <w:lang w:eastAsia="es-CO"/>
        </w:rPr>
        <w:lastRenderedPageBreak/>
        <w:t xml:space="preserve">Se observa entonces que </w:t>
      </w:r>
      <w:r w:rsidRPr="005873AF">
        <w:rPr>
          <w:rFonts w:ascii="Arial" w:hAnsi="Arial" w:cs="Arial"/>
          <w:bCs/>
          <w:color w:val="000000" w:themeColor="text1"/>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5873AF">
        <w:rPr>
          <w:rFonts w:ascii="Arial" w:hAnsi="Arial" w:cs="Arial"/>
          <w:bCs/>
          <w:iCs/>
          <w:color w:val="000000" w:themeColor="text1"/>
          <w:sz w:val="22"/>
          <w:szCs w:val="22"/>
          <w:lang w:val="es-MX" w:eastAsia="es-CO"/>
        </w:rPr>
        <w:t>ibidem</w:t>
      </w:r>
      <w:r w:rsidRPr="005873AF">
        <w:rPr>
          <w:rFonts w:ascii="Arial" w:hAnsi="Arial" w:cs="Arial"/>
          <w:bCs/>
          <w:color w:val="000000" w:themeColor="text1"/>
          <w:sz w:val="22"/>
          <w:szCs w:val="22"/>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5873AF">
        <w:rPr>
          <w:rStyle w:val="Refdenotaalpie"/>
          <w:rFonts w:ascii="Arial" w:hAnsi="Arial" w:cs="Arial"/>
          <w:bCs/>
          <w:color w:val="000000" w:themeColor="text1"/>
          <w:sz w:val="22"/>
          <w:szCs w:val="22"/>
          <w:lang w:val="es-MX" w:eastAsia="es-CO"/>
        </w:rPr>
        <w:footnoteReference w:id="23"/>
      </w:r>
      <w:r w:rsidRPr="005873AF">
        <w:rPr>
          <w:rFonts w:ascii="Arial" w:hAnsi="Arial" w:cs="Arial"/>
          <w:bCs/>
          <w:color w:val="000000" w:themeColor="text1"/>
          <w:sz w:val="22"/>
          <w:szCs w:val="22"/>
          <w:lang w:val="es-MX" w:eastAsia="es-CO"/>
        </w:rPr>
        <w:t>. Así mismo, se resalta que este parágrafo fue modificado parcial y transitoriamente por el artículo 124 de la Ley 2159 de 2021</w:t>
      </w:r>
      <w:r w:rsidRPr="005873AF">
        <w:rPr>
          <w:rStyle w:val="Refdenotaalpie"/>
          <w:rFonts w:ascii="Arial" w:hAnsi="Arial" w:cs="Arial"/>
          <w:bCs/>
          <w:color w:val="000000" w:themeColor="text1"/>
          <w:sz w:val="22"/>
          <w:szCs w:val="22"/>
          <w:lang w:val="es-MX" w:eastAsia="es-CO"/>
        </w:rPr>
        <w:footnoteReference w:id="24"/>
      </w:r>
      <w:r w:rsidRPr="005873AF">
        <w:rPr>
          <w:rFonts w:ascii="Arial" w:hAnsi="Arial" w:cs="Arial"/>
          <w:bCs/>
          <w:color w:val="000000" w:themeColor="text1"/>
          <w:sz w:val="22"/>
          <w:szCs w:val="22"/>
          <w:lang w:val="es-MX" w:eastAsia="es-CO"/>
        </w:rPr>
        <w:t xml:space="preserve">, estableciendo una excepción a la prohibición, estableciendo que a partir de la publicación de dicha ley y durante la vigencia fiscal 2022, </w:t>
      </w:r>
      <w:r w:rsidRPr="005873AF">
        <w:rPr>
          <w:rFonts w:ascii="Arial" w:eastAsia="Calibri" w:hAnsi="Arial" w:cs="Arial"/>
          <w:color w:val="000000" w:themeColor="text1"/>
          <w:sz w:val="22"/>
          <w:szCs w:val="22"/>
          <w:lang w:eastAsia="en-US"/>
        </w:rPr>
        <w:t>la Nación podrá celebrar convenios interadministrativos con las entidades territoriales para ejecutar programas y proyectos correspondientes al Presupuesto General de la Nación</w:t>
      </w:r>
      <w:r w:rsidRPr="005873AF">
        <w:rPr>
          <w:rStyle w:val="Refdenotaalpie"/>
          <w:rFonts w:ascii="Arial" w:eastAsia="Calibri" w:hAnsi="Arial" w:cs="Arial"/>
          <w:color w:val="000000" w:themeColor="text1"/>
          <w:sz w:val="22"/>
          <w:szCs w:val="22"/>
          <w:lang w:eastAsia="en-US"/>
        </w:rPr>
        <w:footnoteReference w:id="25"/>
      </w:r>
      <w:r w:rsidRPr="005873AF">
        <w:rPr>
          <w:rFonts w:ascii="Arial" w:eastAsia="Calibri" w:hAnsi="Arial" w:cs="Arial"/>
          <w:color w:val="000000" w:themeColor="text1"/>
          <w:sz w:val="22"/>
          <w:szCs w:val="22"/>
          <w:lang w:eastAsia="en-US"/>
        </w:rPr>
        <w:t>.</w:t>
      </w:r>
    </w:p>
    <w:p w14:paraId="186A5E52" w14:textId="77777777" w:rsidR="00E31C71" w:rsidRPr="005873AF" w:rsidRDefault="00E31C71" w:rsidP="00E31C71">
      <w:pPr>
        <w:widowControl w:val="0"/>
        <w:autoSpaceDE w:val="0"/>
        <w:autoSpaceDN w:val="0"/>
        <w:spacing w:line="276" w:lineRule="auto"/>
        <w:ind w:firstLine="709"/>
        <w:jc w:val="both"/>
        <w:rPr>
          <w:rFonts w:ascii="Arial" w:hAnsi="Arial" w:cs="Arial"/>
          <w:bCs/>
          <w:iCs/>
          <w:color w:val="000000" w:themeColor="text1"/>
          <w:sz w:val="22"/>
          <w:szCs w:val="22"/>
          <w:lang w:eastAsia="x-none" w:bidi="es-ES"/>
        </w:rPr>
      </w:pPr>
      <w:r w:rsidRPr="005873AF">
        <w:rPr>
          <w:rFonts w:ascii="Arial" w:hAnsi="Arial" w:cs="Arial"/>
          <w:bCs/>
          <w:color w:val="000000" w:themeColor="text1"/>
          <w:sz w:val="22"/>
          <w:szCs w:val="22"/>
          <w:lang w:val="es-ES" w:eastAsia="es-CO" w:bidi="es-ES"/>
        </w:rPr>
        <w:t>En todo caso</w:t>
      </w:r>
      <w:bookmarkStart w:id="21" w:name="_Hlk77154098"/>
      <w:r w:rsidRPr="005873AF">
        <w:rPr>
          <w:rFonts w:ascii="Arial" w:eastAsia="Arial" w:hAnsi="Arial" w:cs="Arial"/>
          <w:color w:val="000000" w:themeColor="text1"/>
          <w:sz w:val="22"/>
          <w:szCs w:val="22"/>
          <w:lang w:val="es-ES" w:eastAsia="es-ES" w:bidi="es-ES"/>
        </w:rPr>
        <w:t xml:space="preserve">, es importante resaltar que la Sala de Consulta y Servicio Civil del Consejo de Estado se ha pronunciado en el sentido de que </w:t>
      </w:r>
      <w:bookmarkStart w:id="22" w:name="_Hlk78820889"/>
      <w:r w:rsidRPr="005873AF">
        <w:rPr>
          <w:rFonts w:ascii="Arial" w:eastAsia="Arial" w:hAnsi="Arial" w:cs="Arial"/>
          <w:color w:val="000000" w:themeColor="text1"/>
          <w:sz w:val="22"/>
          <w:szCs w:val="22"/>
          <w:lang w:val="es-ES"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2"/>
      <w:r w:rsidRPr="005873AF">
        <w:rPr>
          <w:rFonts w:ascii="Arial" w:eastAsia="Arial" w:hAnsi="Arial" w:cs="Arial"/>
          <w:color w:val="000000" w:themeColor="text1"/>
          <w:sz w:val="22"/>
          <w:szCs w:val="22"/>
          <w:vertAlign w:val="superscript"/>
          <w:lang w:val="es-ES" w:eastAsia="es-ES" w:bidi="es-ES"/>
        </w:rPr>
        <w:footnoteReference w:id="26"/>
      </w:r>
      <w:r w:rsidRPr="005873AF">
        <w:rPr>
          <w:rFonts w:ascii="Arial" w:eastAsia="Calibri" w:hAnsi="Arial" w:cs="Arial"/>
          <w:color w:val="000000" w:themeColor="text1"/>
          <w:sz w:val="22"/>
          <w:szCs w:val="22"/>
          <w:lang w:eastAsia="es-ES" w:bidi="es-ES"/>
        </w:rPr>
        <w:t>.</w:t>
      </w:r>
      <w:bookmarkEnd w:id="21"/>
    </w:p>
    <w:bookmarkEnd w:id="17"/>
    <w:p w14:paraId="49506920" w14:textId="77777777" w:rsidR="004500E8" w:rsidRPr="005873AF" w:rsidRDefault="004500E8" w:rsidP="00A74046">
      <w:pPr>
        <w:rPr>
          <w:rFonts w:ascii="Arial" w:hAnsi="Arial" w:cs="Arial"/>
          <w:bCs/>
          <w:color w:val="000000" w:themeColor="text1"/>
          <w:sz w:val="22"/>
          <w:lang w:val="es-ES" w:eastAsia="es-CO"/>
        </w:rPr>
      </w:pPr>
    </w:p>
    <w:p w14:paraId="5C2E6711" w14:textId="3B78D1CC" w:rsidR="004500E8" w:rsidRPr="005873AF" w:rsidRDefault="004500E8" w:rsidP="004500E8">
      <w:pPr>
        <w:spacing w:line="276" w:lineRule="auto"/>
        <w:ind w:right="49"/>
        <w:jc w:val="both"/>
        <w:rPr>
          <w:rFonts w:ascii="Arial" w:hAnsi="Arial" w:cs="Arial"/>
          <w:b/>
          <w:color w:val="000000" w:themeColor="text1"/>
          <w:sz w:val="22"/>
          <w:szCs w:val="22"/>
          <w:lang w:val="es-ES" w:eastAsia="es-CO"/>
        </w:rPr>
      </w:pPr>
      <w:r w:rsidRPr="005873AF">
        <w:rPr>
          <w:rFonts w:ascii="Arial" w:hAnsi="Arial" w:cs="Arial"/>
          <w:b/>
          <w:color w:val="000000" w:themeColor="text1"/>
          <w:sz w:val="22"/>
          <w:szCs w:val="22"/>
          <w:lang w:val="es-ES" w:eastAsia="es-CO"/>
        </w:rPr>
        <w:t>2.</w:t>
      </w:r>
      <w:r w:rsidR="006359EC" w:rsidRPr="005873AF">
        <w:rPr>
          <w:rFonts w:ascii="Arial" w:hAnsi="Arial" w:cs="Arial"/>
          <w:b/>
          <w:color w:val="000000" w:themeColor="text1"/>
          <w:sz w:val="22"/>
          <w:szCs w:val="22"/>
          <w:lang w:val="es-ES" w:eastAsia="es-CO"/>
        </w:rPr>
        <w:t>4</w:t>
      </w:r>
      <w:r w:rsidRPr="005873AF">
        <w:rPr>
          <w:rFonts w:ascii="Arial" w:hAnsi="Arial" w:cs="Arial"/>
          <w:b/>
          <w:color w:val="000000" w:themeColor="text1"/>
          <w:sz w:val="22"/>
          <w:szCs w:val="22"/>
          <w:lang w:val="es-ES" w:eastAsia="es-CO"/>
        </w:rPr>
        <w:t xml:space="preserve">. </w:t>
      </w:r>
      <w:r w:rsidRPr="005873AF">
        <w:rPr>
          <w:rFonts w:ascii="Arial" w:hAnsi="Arial" w:cs="Arial"/>
          <w:b/>
          <w:bCs/>
          <w:color w:val="000000" w:themeColor="text1"/>
          <w:sz w:val="22"/>
          <w:szCs w:val="22"/>
          <w:lang w:val="es-MX" w:eastAsia="es-CO"/>
        </w:rPr>
        <w:t>Restricciones en elecciones presidenciales</w:t>
      </w:r>
      <w:r w:rsidR="00CC7D38" w:rsidRPr="005873AF">
        <w:rPr>
          <w:rFonts w:ascii="Arial" w:hAnsi="Arial" w:cs="Arial"/>
          <w:b/>
          <w:bCs/>
          <w:color w:val="000000" w:themeColor="text1"/>
          <w:sz w:val="22"/>
          <w:szCs w:val="22"/>
          <w:lang w:val="es-MX" w:eastAsia="es-CO"/>
        </w:rPr>
        <w:t>: prohibición del artículo 33 de la Ley 996 de 2005</w:t>
      </w:r>
    </w:p>
    <w:p w14:paraId="7B34CE04" w14:textId="77777777" w:rsidR="004500E8" w:rsidRPr="005873AF" w:rsidRDefault="004500E8" w:rsidP="004500E8">
      <w:pPr>
        <w:spacing w:line="276" w:lineRule="auto"/>
        <w:ind w:right="49"/>
        <w:jc w:val="both"/>
        <w:rPr>
          <w:rFonts w:ascii="Arial" w:hAnsi="Arial" w:cs="Arial"/>
          <w:bCs/>
          <w:color w:val="000000" w:themeColor="text1"/>
          <w:sz w:val="22"/>
          <w:szCs w:val="22"/>
          <w:lang w:val="es-MX" w:eastAsia="x-none"/>
        </w:rPr>
      </w:pPr>
    </w:p>
    <w:p w14:paraId="33D05D4D" w14:textId="77777777" w:rsidR="004500E8" w:rsidRPr="005873AF" w:rsidRDefault="004500E8" w:rsidP="004500E8">
      <w:pPr>
        <w:spacing w:line="276" w:lineRule="auto"/>
        <w:ind w:right="49"/>
        <w:jc w:val="both"/>
        <w:rPr>
          <w:rFonts w:ascii="Arial" w:hAnsi="Arial" w:cs="Arial"/>
          <w:bCs/>
          <w:color w:val="000000" w:themeColor="text1"/>
          <w:sz w:val="22"/>
          <w:szCs w:val="22"/>
          <w:lang w:val="es-MX" w:eastAsia="es-CO"/>
        </w:rPr>
      </w:pPr>
      <w:r w:rsidRPr="005873AF">
        <w:rPr>
          <w:rFonts w:ascii="Arial" w:hAnsi="Arial" w:cs="Arial"/>
          <w:bCs/>
          <w:color w:val="000000" w:themeColor="text1"/>
          <w:sz w:val="22"/>
          <w:szCs w:val="22"/>
          <w:lang w:val="es-MX" w:eastAsia="x-none"/>
        </w:rPr>
        <w:t xml:space="preserve">El ámbito material de la prohibición contenida </w:t>
      </w:r>
      <w:bookmarkStart w:id="23" w:name="_Hlk75628761"/>
      <w:r w:rsidRPr="005873AF">
        <w:rPr>
          <w:rFonts w:ascii="Arial" w:hAnsi="Arial" w:cs="Arial"/>
          <w:bCs/>
          <w:color w:val="000000" w:themeColor="text1"/>
          <w:sz w:val="22"/>
          <w:szCs w:val="22"/>
          <w:lang w:val="es-MX" w:eastAsia="x-none"/>
        </w:rPr>
        <w:t xml:space="preserve">en el artículo 33 de la ley 996 de 2005 </w:t>
      </w:r>
      <w:bookmarkEnd w:id="23"/>
      <w:r w:rsidRPr="005873AF">
        <w:rPr>
          <w:rFonts w:ascii="Arial" w:hAnsi="Arial" w:cs="Arial"/>
          <w:bCs/>
          <w:color w:val="000000" w:themeColor="text1"/>
          <w:sz w:val="22"/>
          <w:szCs w:val="22"/>
          <w:lang w:val="es-MX" w:eastAsia="x-none"/>
        </w:rPr>
        <w:t xml:space="preserve">está delimitado por la expresión </w:t>
      </w:r>
      <w:r w:rsidRPr="005873AF">
        <w:rPr>
          <w:rFonts w:ascii="Arial" w:eastAsia="Calibri" w:hAnsi="Arial" w:cs="Arial"/>
          <w:bCs/>
          <w:color w:val="000000" w:themeColor="text1"/>
          <w:sz w:val="20"/>
          <w:szCs w:val="20"/>
          <w:lang w:val="es-MX" w:eastAsia="en-US"/>
        </w:rPr>
        <w:t>«</w:t>
      </w:r>
      <w:r w:rsidRPr="005873AF">
        <w:rPr>
          <w:rFonts w:ascii="Arial" w:hAnsi="Arial" w:cs="Arial"/>
          <w:bCs/>
          <w:color w:val="000000" w:themeColor="text1"/>
          <w:sz w:val="22"/>
          <w:szCs w:val="22"/>
          <w:lang w:val="es-MX" w:eastAsia="x-none"/>
        </w:rPr>
        <w:t>queda prohibida la contratación directa</w:t>
      </w:r>
      <w:r w:rsidRPr="005873AF">
        <w:rPr>
          <w:rFonts w:ascii="Arial" w:eastAsiaTheme="minorHAnsi" w:hAnsi="Arial" w:cs="Arial"/>
          <w:color w:val="000000" w:themeColor="text1"/>
          <w:sz w:val="20"/>
          <w:szCs w:val="20"/>
          <w:lang w:val="es-MX" w:eastAsia="en-US"/>
        </w:rPr>
        <w:t>»</w:t>
      </w:r>
      <w:r w:rsidRPr="005873AF">
        <w:rPr>
          <w:rFonts w:ascii="Arial" w:hAnsi="Arial" w:cs="Arial"/>
          <w:bCs/>
          <w:color w:val="000000" w:themeColor="text1"/>
          <w:sz w:val="22"/>
          <w:szCs w:val="22"/>
          <w:lang w:val="es-MX" w:eastAsia="x-none"/>
        </w:rPr>
        <w:t xml:space="preserve">. </w:t>
      </w:r>
      <w:r w:rsidRPr="005873AF">
        <w:rPr>
          <w:rFonts w:ascii="Arial" w:hAnsi="Arial" w:cs="Arial"/>
          <w:color w:val="000000" w:themeColor="text1"/>
          <w:sz w:val="22"/>
          <w:szCs w:val="22"/>
          <w:lang w:val="es-MX" w:eastAsia="es-CO"/>
        </w:rPr>
        <w:t xml:space="preserve">A propósito de </w:t>
      </w:r>
      <w:r w:rsidRPr="005873AF">
        <w:rPr>
          <w:rFonts w:ascii="Arial" w:hAnsi="Arial" w:cs="Arial"/>
          <w:color w:val="000000" w:themeColor="text1"/>
          <w:sz w:val="22"/>
          <w:szCs w:val="22"/>
          <w:lang w:eastAsia="es-CO"/>
        </w:rPr>
        <w:t xml:space="preserve">esta </w:t>
      </w:r>
      <w:r w:rsidRPr="005873AF">
        <w:rPr>
          <w:rFonts w:ascii="Arial" w:hAnsi="Arial" w:cs="Arial"/>
          <w:color w:val="000000" w:themeColor="text1"/>
          <w:sz w:val="22"/>
          <w:szCs w:val="22"/>
          <w:lang w:eastAsia="es-CO"/>
        </w:rPr>
        <w:lastRenderedPageBreak/>
        <w:t>restricción de la Ley de Garantías Electorales, la Sala de Consulta y Servicio Civil del Consejo de Estado ha considerado que:</w:t>
      </w:r>
    </w:p>
    <w:p w14:paraId="5B981189" w14:textId="77777777" w:rsidR="004500E8" w:rsidRPr="005873AF" w:rsidRDefault="004500E8" w:rsidP="004500E8">
      <w:pPr>
        <w:spacing w:line="276" w:lineRule="auto"/>
        <w:ind w:left="708" w:right="49"/>
        <w:jc w:val="both"/>
        <w:rPr>
          <w:rFonts w:ascii="Arial" w:eastAsiaTheme="minorHAnsi" w:hAnsi="Arial" w:cs="Arial"/>
          <w:color w:val="000000" w:themeColor="text1"/>
          <w:sz w:val="21"/>
          <w:szCs w:val="21"/>
          <w:lang w:val="es-MX" w:eastAsia="en-US"/>
        </w:rPr>
      </w:pPr>
    </w:p>
    <w:p w14:paraId="73E5A84E" w14:textId="77777777" w:rsidR="004500E8" w:rsidRPr="005873AF" w:rsidRDefault="004500E8" w:rsidP="004500E8">
      <w:pPr>
        <w:spacing w:after="120"/>
        <w:ind w:left="709" w:right="709"/>
        <w:jc w:val="both"/>
        <w:rPr>
          <w:rFonts w:ascii="Arial" w:hAnsi="Arial" w:cs="Arial"/>
          <w:color w:val="000000" w:themeColor="text1"/>
          <w:sz w:val="21"/>
          <w:szCs w:val="21"/>
          <w:lang w:val="es-ES" w:eastAsia="es-CO"/>
        </w:rPr>
      </w:pPr>
      <w:r w:rsidRPr="005873AF">
        <w:rPr>
          <w:rFonts w:ascii="Arial" w:hAnsi="Arial" w:cs="Arial"/>
          <w:color w:val="000000" w:themeColor="text1"/>
          <w:sz w:val="21"/>
          <w:szCs w:val="21"/>
          <w:lang w:val="es-ES" w:eastAsia="es-CO"/>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873AF">
        <w:rPr>
          <w:rFonts w:ascii="Arial" w:hAnsi="Arial" w:cs="Arial"/>
          <w:color w:val="000000" w:themeColor="text1"/>
          <w:sz w:val="21"/>
          <w:szCs w:val="21"/>
          <w:lang w:val="es-ES" w:eastAsia="es-CO"/>
        </w:rPr>
        <w:footnoteReference w:id="27"/>
      </w:r>
      <w:r w:rsidRPr="005873AF">
        <w:rPr>
          <w:rFonts w:ascii="Arial" w:hAnsi="Arial" w:cs="Arial"/>
          <w:color w:val="000000" w:themeColor="text1"/>
          <w:sz w:val="21"/>
          <w:szCs w:val="21"/>
          <w:lang w:val="es-ES" w:eastAsia="es-CO"/>
        </w:rPr>
        <w:t>.</w:t>
      </w:r>
    </w:p>
    <w:p w14:paraId="4C76BBFC" w14:textId="77777777" w:rsidR="004500E8" w:rsidRPr="005873AF" w:rsidRDefault="004500E8" w:rsidP="004500E8">
      <w:pPr>
        <w:ind w:left="708" w:right="709"/>
        <w:jc w:val="both"/>
        <w:rPr>
          <w:rFonts w:ascii="Arial" w:eastAsiaTheme="minorHAnsi" w:hAnsi="Arial" w:cs="Arial"/>
          <w:color w:val="000000" w:themeColor="text1"/>
          <w:sz w:val="21"/>
          <w:szCs w:val="21"/>
          <w:lang w:val="es-MX" w:eastAsia="en-US"/>
        </w:rPr>
      </w:pPr>
      <w:r w:rsidRPr="005873AF">
        <w:rPr>
          <w:rFonts w:ascii="Arial" w:hAnsi="Arial" w:cs="Arial"/>
          <w:color w:val="000000" w:themeColor="text1"/>
          <w:sz w:val="21"/>
          <w:szCs w:val="21"/>
          <w:lang w:val="es-ES" w:eastAsia="es-CO"/>
        </w:rPr>
        <w:t xml:space="preserve">Esta Sala ha entendido que para los efectos de la ley de garantías, y dada su finalidad, el enunciado ´contratación directa´ es sinónimo </w:t>
      </w:r>
      <w:bookmarkStart w:id="26" w:name="_Hlk75741738"/>
      <w:r w:rsidRPr="005873AF">
        <w:rPr>
          <w:rFonts w:ascii="Arial" w:hAnsi="Arial" w:cs="Arial"/>
          <w:color w:val="000000" w:themeColor="text1"/>
          <w:sz w:val="21"/>
          <w:szCs w:val="21"/>
          <w:lang w:val="es-ES" w:eastAsia="es-CO"/>
        </w:rPr>
        <w:t xml:space="preserve">de cualquier sistema que no implique convocatoria pública y posibilidad de pluralidad de oferentes, </w:t>
      </w:r>
      <w:bookmarkEnd w:id="26"/>
      <w:r w:rsidRPr="005873AF">
        <w:rPr>
          <w:rFonts w:ascii="Arial" w:hAnsi="Arial" w:cs="Arial"/>
          <w:color w:val="000000" w:themeColor="text1"/>
          <w:sz w:val="21"/>
          <w:szCs w:val="21"/>
          <w:lang w:val="es-ES" w:eastAsia="es-CO"/>
        </w:rPr>
        <w:t>y que, además, no necesariamente hace referencia al procedimiento especial regulado por la ley de contratación estatal, sino a cualquier otro que prescinda de un proceso de licitación pública o concurso</w:t>
      </w:r>
      <w:r w:rsidRPr="005873AF">
        <w:rPr>
          <w:rFonts w:ascii="Arial" w:hAnsi="Arial" w:cs="Arial"/>
          <w:color w:val="000000" w:themeColor="text1"/>
          <w:sz w:val="21"/>
          <w:szCs w:val="21"/>
          <w:vertAlign w:val="superscript"/>
          <w:lang w:val="es-ES" w:eastAsia="es-CO"/>
        </w:rPr>
        <w:footnoteReference w:id="28"/>
      </w:r>
      <w:r w:rsidRPr="005873AF">
        <w:rPr>
          <w:rFonts w:ascii="Arial" w:hAnsi="Arial" w:cs="Arial"/>
          <w:color w:val="000000" w:themeColor="text1"/>
          <w:sz w:val="21"/>
          <w:szCs w:val="21"/>
          <w:vertAlign w:val="superscript"/>
          <w:lang w:val="es-ES" w:eastAsia="es-CO"/>
        </w:rPr>
        <w:t>.</w:t>
      </w:r>
      <w:r w:rsidRPr="005873AF">
        <w:rPr>
          <w:rFonts w:ascii="Arial" w:hAnsi="Arial" w:cs="Arial"/>
          <w:color w:val="000000" w:themeColor="text1"/>
          <w:sz w:val="21"/>
          <w:szCs w:val="21"/>
          <w:lang w:val="es-ES" w:eastAsia="es-CO"/>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873AF">
        <w:rPr>
          <w:rFonts w:ascii="Arial" w:hAnsi="Arial" w:cs="Arial"/>
          <w:color w:val="000000" w:themeColor="text1"/>
          <w:sz w:val="22"/>
          <w:szCs w:val="22"/>
          <w:vertAlign w:val="superscript"/>
          <w:lang w:eastAsia="es-CO"/>
        </w:rPr>
        <w:footnoteReference w:id="29"/>
      </w:r>
      <w:r w:rsidRPr="005873AF">
        <w:rPr>
          <w:rFonts w:ascii="Arial" w:eastAsiaTheme="minorHAnsi" w:hAnsi="Arial" w:cs="Arial"/>
          <w:color w:val="000000" w:themeColor="text1"/>
          <w:sz w:val="21"/>
          <w:szCs w:val="21"/>
          <w:lang w:val="es-MX" w:eastAsia="en-US"/>
        </w:rPr>
        <w:t xml:space="preserve"> .</w:t>
      </w:r>
    </w:p>
    <w:p w14:paraId="021691EF" w14:textId="77777777" w:rsidR="004500E8" w:rsidRPr="005873AF" w:rsidRDefault="004500E8" w:rsidP="004500E8">
      <w:pPr>
        <w:shd w:val="clear" w:color="auto" w:fill="FFFFFF"/>
        <w:spacing w:line="276" w:lineRule="auto"/>
        <w:ind w:right="49" w:firstLine="709"/>
        <w:jc w:val="both"/>
        <w:rPr>
          <w:rFonts w:ascii="Arial" w:hAnsi="Arial" w:cs="Arial"/>
          <w:color w:val="000000" w:themeColor="text1"/>
          <w:sz w:val="22"/>
          <w:szCs w:val="22"/>
          <w:lang w:eastAsia="x-none"/>
        </w:rPr>
      </w:pPr>
    </w:p>
    <w:p w14:paraId="36E93A11" w14:textId="77777777" w:rsidR="004500E8" w:rsidRPr="005873AF" w:rsidRDefault="004500E8" w:rsidP="004500E8">
      <w:pPr>
        <w:spacing w:after="120" w:line="276" w:lineRule="auto"/>
        <w:ind w:right="49" w:firstLine="708"/>
        <w:jc w:val="both"/>
        <w:rPr>
          <w:rFonts w:ascii="Arial" w:hAnsi="Arial" w:cs="Arial"/>
          <w:bCs/>
          <w:color w:val="000000" w:themeColor="text1"/>
          <w:sz w:val="22"/>
          <w:szCs w:val="22"/>
          <w:lang w:eastAsia="x-none"/>
        </w:rPr>
      </w:pPr>
      <w:r w:rsidRPr="005873AF">
        <w:rPr>
          <w:rFonts w:ascii="Arial" w:hAnsi="Arial" w:cs="Arial"/>
          <w:color w:val="000000" w:themeColor="text1"/>
          <w:sz w:val="22"/>
          <w:szCs w:val="22"/>
          <w:lang w:eastAsia="x-none"/>
        </w:rPr>
        <w:t xml:space="preserve">De conformidad con el citado concepto, </w:t>
      </w:r>
      <w:bookmarkStart w:id="28" w:name="_Hlk78818702"/>
      <w:r w:rsidRPr="005873AF">
        <w:rPr>
          <w:rFonts w:ascii="Arial" w:hAnsi="Arial" w:cs="Arial"/>
          <w:color w:val="000000" w:themeColor="text1"/>
          <w:sz w:val="22"/>
          <w:szCs w:val="22"/>
          <w:lang w:eastAsia="x-none"/>
        </w:rPr>
        <w:t xml:space="preserve">la prohibición del artículo 33 de la Ley de Garantías Electorales se refiere a </w:t>
      </w:r>
      <w:bookmarkStart w:id="29" w:name="_Hlk74294635"/>
      <w:r w:rsidRPr="005873AF">
        <w:rPr>
          <w:rFonts w:ascii="Arial" w:hAnsi="Arial" w:cs="Arial"/>
          <w:color w:val="000000" w:themeColor="text1"/>
          <w:sz w:val="19"/>
          <w:szCs w:val="19"/>
          <w:lang w:eastAsia="en-GB"/>
        </w:rPr>
        <w:t>«</w:t>
      </w:r>
      <w:bookmarkEnd w:id="29"/>
      <w:r w:rsidRPr="005873AF">
        <w:rPr>
          <w:rFonts w:ascii="Arial" w:hAnsi="Arial" w:cs="Arial"/>
          <w:color w:val="000000" w:themeColor="text1"/>
          <w:sz w:val="22"/>
          <w:szCs w:val="22"/>
          <w:lang w:eastAsia="x-none"/>
        </w:rPr>
        <w:t>cualquier sistema que no implique convocatoria pública y posibilidad de pluralidad de oferentes</w:t>
      </w:r>
      <w:bookmarkStart w:id="30" w:name="_Hlk74404754"/>
      <w:r w:rsidRPr="005873AF">
        <w:rPr>
          <w:rFonts w:ascii="Arial" w:hAnsi="Arial" w:cs="Arial"/>
          <w:color w:val="000000" w:themeColor="text1"/>
          <w:sz w:val="22"/>
          <w:szCs w:val="22"/>
          <w:lang w:eastAsia="en-GB"/>
        </w:rPr>
        <w:t>»</w:t>
      </w:r>
      <w:bookmarkEnd w:id="30"/>
      <w:r w:rsidRPr="005873AF">
        <w:rPr>
          <w:rFonts w:ascii="Arial" w:hAnsi="Arial" w:cs="Arial"/>
          <w:color w:val="000000" w:themeColor="text1"/>
          <w:sz w:val="22"/>
          <w:szCs w:val="22"/>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28"/>
      <w:r w:rsidRPr="005873AF">
        <w:rPr>
          <w:rFonts w:ascii="Arial" w:hAnsi="Arial" w:cs="Arial"/>
          <w:color w:val="000000" w:themeColor="text1"/>
          <w:sz w:val="22"/>
          <w:szCs w:val="22"/>
          <w:lang w:eastAsia="x-none"/>
        </w:rPr>
        <w:t>Esta posición es congruente con la expedición de la Ley 1150 de 2007 que, entre otras reformas, introdujo la selección abreviada, rediseñó el concurso de méritos</w:t>
      </w:r>
      <w:r w:rsidRPr="005873AF">
        <w:rPr>
          <w:rFonts w:ascii="Arial" w:hAnsi="Arial" w:cs="Arial"/>
          <w:color w:val="000000" w:themeColor="text1"/>
          <w:sz w:val="22"/>
          <w:szCs w:val="22"/>
          <w:vertAlign w:val="superscript"/>
          <w:lang w:val="en-GB" w:eastAsia="x-none"/>
        </w:rPr>
        <w:footnoteReference w:id="30"/>
      </w:r>
      <w:r w:rsidRPr="005873AF">
        <w:rPr>
          <w:rFonts w:ascii="Arial" w:hAnsi="Arial" w:cs="Arial"/>
          <w:color w:val="000000" w:themeColor="text1"/>
          <w:sz w:val="22"/>
          <w:szCs w:val="22"/>
          <w:lang w:eastAsia="x-none"/>
        </w:rPr>
        <w:t xml:space="preserve"> y sistematizó las causales de contratación directa</w:t>
      </w:r>
      <w:r w:rsidRPr="005873AF">
        <w:rPr>
          <w:rFonts w:ascii="Arial" w:hAnsi="Arial" w:cs="Arial"/>
          <w:color w:val="000000" w:themeColor="text1"/>
          <w:sz w:val="22"/>
          <w:szCs w:val="22"/>
          <w:vertAlign w:val="superscript"/>
          <w:lang w:val="en-GB" w:eastAsia="x-none"/>
        </w:rPr>
        <w:footnoteReference w:id="31"/>
      </w:r>
      <w:r w:rsidRPr="005873AF">
        <w:rPr>
          <w:rFonts w:ascii="Arial" w:hAnsi="Arial" w:cs="Arial"/>
          <w:color w:val="000000" w:themeColor="text1"/>
          <w:sz w:val="22"/>
          <w:szCs w:val="22"/>
          <w:lang w:eastAsia="x-none"/>
        </w:rPr>
        <w:t xml:space="preserve">. </w:t>
      </w:r>
    </w:p>
    <w:p w14:paraId="2C657984" w14:textId="77777777" w:rsidR="004500E8" w:rsidRPr="005873AF" w:rsidRDefault="004500E8" w:rsidP="004500E8">
      <w:pPr>
        <w:spacing w:after="120" w:line="276" w:lineRule="auto"/>
        <w:ind w:right="49" w:firstLine="708"/>
        <w:jc w:val="both"/>
        <w:rPr>
          <w:rFonts w:ascii="Arial" w:hAnsi="Arial" w:cs="Arial"/>
          <w:color w:val="000000" w:themeColor="text1"/>
          <w:sz w:val="22"/>
          <w:szCs w:val="22"/>
          <w:lang w:val="es-MX" w:eastAsia="x-none"/>
        </w:rPr>
      </w:pPr>
      <w:r w:rsidRPr="005873AF">
        <w:rPr>
          <w:rFonts w:ascii="Arial" w:hAnsi="Arial" w:cs="Arial"/>
          <w:color w:val="000000" w:themeColor="text1"/>
          <w:sz w:val="22"/>
          <w:szCs w:val="22"/>
          <w:lang w:eastAsia="x-none"/>
        </w:rPr>
        <w:t xml:space="preserve">De esta forma, con fundamento en la evolución de la normativa sobre la contratación pública, se ha depurado la noción de </w:t>
      </w:r>
      <w:r w:rsidRPr="005873AF">
        <w:rPr>
          <w:rFonts w:ascii="Arial" w:hAnsi="Arial" w:cs="Arial"/>
          <w:color w:val="000000" w:themeColor="text1"/>
          <w:sz w:val="19"/>
          <w:szCs w:val="19"/>
          <w:lang w:eastAsia="en-GB"/>
        </w:rPr>
        <w:t>«</w:t>
      </w:r>
      <w:r w:rsidRPr="005873AF">
        <w:rPr>
          <w:rFonts w:ascii="Arial" w:hAnsi="Arial" w:cs="Arial"/>
          <w:color w:val="000000" w:themeColor="text1"/>
          <w:sz w:val="22"/>
          <w:szCs w:val="22"/>
          <w:lang w:eastAsia="x-none"/>
        </w:rPr>
        <w:t>contratación directa</w:t>
      </w:r>
      <w:r w:rsidRPr="005873AF">
        <w:rPr>
          <w:rFonts w:ascii="Arial" w:hAnsi="Arial" w:cs="Arial"/>
          <w:color w:val="000000" w:themeColor="text1"/>
          <w:sz w:val="22"/>
          <w:szCs w:val="22"/>
          <w:lang w:eastAsia="en-GB"/>
        </w:rPr>
        <w:t>»</w:t>
      </w:r>
      <w:r w:rsidRPr="005873AF">
        <w:rPr>
          <w:rFonts w:ascii="Arial" w:hAnsi="Arial" w:cs="Arial"/>
          <w:color w:val="000000" w:themeColor="text1"/>
          <w:sz w:val="22"/>
          <w:szCs w:val="22"/>
          <w:lang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w:t>
      </w:r>
      <w:r w:rsidRPr="005873AF">
        <w:rPr>
          <w:rFonts w:ascii="Arial" w:hAnsi="Arial" w:cs="Arial"/>
          <w:color w:val="000000" w:themeColor="text1"/>
          <w:sz w:val="22"/>
          <w:szCs w:val="22"/>
          <w:lang w:eastAsia="x-none"/>
        </w:rPr>
        <w:lastRenderedPageBreak/>
        <w:t>Estatuto General de la Contratación de la Administración Pública, sino también en leyes especiales e, incluso, en el derecho privado</w:t>
      </w:r>
      <w:r w:rsidRPr="005873AF">
        <w:rPr>
          <w:rFonts w:ascii="Arial" w:hAnsi="Arial" w:cs="Arial"/>
          <w:color w:val="000000" w:themeColor="text1"/>
          <w:sz w:val="22"/>
          <w:szCs w:val="22"/>
          <w:vertAlign w:val="superscript"/>
          <w:lang w:val="en-GB" w:eastAsia="x-none"/>
        </w:rPr>
        <w:footnoteReference w:id="32"/>
      </w:r>
      <w:r w:rsidRPr="005873AF">
        <w:rPr>
          <w:rFonts w:ascii="Arial" w:hAnsi="Arial" w:cs="Arial"/>
          <w:color w:val="000000" w:themeColor="text1"/>
          <w:sz w:val="22"/>
          <w:szCs w:val="22"/>
          <w:lang w:eastAsia="x-none"/>
        </w:rPr>
        <w:t>, han establecido sistemas de contratación que implican convocatoria pública y participación de varios oferentes</w:t>
      </w:r>
      <w:r w:rsidRPr="005873AF">
        <w:rPr>
          <w:rFonts w:ascii="Arial" w:hAnsi="Arial" w:cs="Arial"/>
          <w:color w:val="000000" w:themeColor="text1"/>
          <w:sz w:val="22"/>
          <w:szCs w:val="22"/>
          <w:lang w:eastAsia="en-GB"/>
        </w:rPr>
        <w:t>»</w:t>
      </w:r>
      <w:r w:rsidRPr="005873AF">
        <w:rPr>
          <w:rFonts w:ascii="Arial" w:hAnsi="Arial" w:cs="Arial"/>
          <w:color w:val="000000" w:themeColor="text1"/>
          <w:sz w:val="22"/>
          <w:szCs w:val="22"/>
          <w:lang w:eastAsia="x-none"/>
        </w:rPr>
        <w:t xml:space="preserve">. </w:t>
      </w:r>
    </w:p>
    <w:p w14:paraId="4BF3978B" w14:textId="77777777" w:rsidR="004500E8" w:rsidRPr="005873AF" w:rsidRDefault="004500E8" w:rsidP="004500E8">
      <w:pPr>
        <w:spacing w:after="120" w:line="276" w:lineRule="auto"/>
        <w:ind w:right="49" w:firstLine="708"/>
        <w:jc w:val="both"/>
        <w:rPr>
          <w:rFonts w:ascii="Arial" w:hAnsi="Arial" w:cs="Arial"/>
          <w:bCs/>
          <w:color w:val="000000" w:themeColor="text1"/>
          <w:sz w:val="22"/>
          <w:szCs w:val="22"/>
          <w:lang w:val="es-MX" w:eastAsia="es-CO"/>
        </w:rPr>
      </w:pPr>
      <w:r w:rsidRPr="005873AF">
        <w:rPr>
          <w:rFonts w:ascii="Arial" w:hAnsi="Arial" w:cs="Arial"/>
          <w:bCs/>
          <w:color w:val="000000" w:themeColor="text1"/>
          <w:sz w:val="22"/>
          <w:szCs w:val="22"/>
          <w:lang w:val="es-MX" w:eastAsia="x-none"/>
        </w:rPr>
        <w:t>E</w:t>
      </w:r>
      <w:r w:rsidRPr="005873AF">
        <w:rPr>
          <w:rFonts w:ascii="Arial" w:hAnsi="Arial" w:cs="Arial"/>
          <w:color w:val="000000" w:themeColor="text1"/>
          <w:sz w:val="22"/>
          <w:szCs w:val="22"/>
          <w:lang w:eastAsia="x-none"/>
        </w:rPr>
        <w:t xml:space="preserve">n efecto, vale la pena mencionar que, </w:t>
      </w:r>
      <w:bookmarkStart w:id="32" w:name="_Hlk75636073"/>
      <w:r w:rsidRPr="005873AF">
        <w:rPr>
          <w:rFonts w:ascii="Arial" w:hAnsi="Arial" w:cs="Arial"/>
          <w:color w:val="000000" w:themeColor="text1"/>
          <w:sz w:val="22"/>
          <w:szCs w:val="22"/>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32"/>
      <w:r w:rsidRPr="005873AF">
        <w:rPr>
          <w:rFonts w:ascii="Arial" w:hAnsi="Arial" w:cs="Arial"/>
          <w:color w:val="000000" w:themeColor="text1"/>
          <w:sz w:val="22"/>
          <w:szCs w:val="22"/>
          <w:vertAlign w:val="superscript"/>
          <w:lang w:eastAsia="x-none"/>
        </w:rPr>
        <w:footnoteReference w:id="33"/>
      </w:r>
      <w:r w:rsidRPr="005873AF">
        <w:rPr>
          <w:rFonts w:ascii="Arial" w:hAnsi="Arial" w:cs="Arial"/>
          <w:color w:val="000000" w:themeColor="text1"/>
          <w:sz w:val="22"/>
          <w:szCs w:val="22"/>
          <w:lang w:eastAsia="x-none"/>
        </w:rPr>
        <w:t xml:space="preserve">. </w:t>
      </w:r>
    </w:p>
    <w:p w14:paraId="5B097A20" w14:textId="77777777" w:rsidR="004500E8" w:rsidRPr="005873AF" w:rsidRDefault="004500E8" w:rsidP="004500E8">
      <w:pPr>
        <w:spacing w:after="120" w:line="276" w:lineRule="auto"/>
        <w:ind w:right="49" w:firstLine="708"/>
        <w:jc w:val="both"/>
        <w:rPr>
          <w:rFonts w:ascii="Arial" w:hAnsi="Arial" w:cs="Arial"/>
          <w:bCs/>
          <w:color w:val="000000" w:themeColor="text1"/>
          <w:sz w:val="22"/>
          <w:szCs w:val="22"/>
          <w:lang w:val="es-MX" w:eastAsia="es-CO"/>
        </w:rPr>
      </w:pPr>
      <w:r w:rsidRPr="005873AF">
        <w:rPr>
          <w:rFonts w:ascii="Arial" w:hAnsi="Arial" w:cs="Arial"/>
          <w:bCs/>
          <w:color w:val="000000" w:themeColor="text1"/>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59EF42C" w14:textId="77777777" w:rsidR="004500E8" w:rsidRPr="005873AF" w:rsidRDefault="004500E8" w:rsidP="004500E8">
      <w:pPr>
        <w:spacing w:after="120" w:line="276" w:lineRule="auto"/>
        <w:ind w:right="49" w:firstLine="708"/>
        <w:jc w:val="both"/>
        <w:rPr>
          <w:rFonts w:ascii="Arial" w:hAnsi="Arial" w:cs="Arial"/>
          <w:bCs/>
          <w:color w:val="000000" w:themeColor="text1"/>
          <w:sz w:val="22"/>
          <w:szCs w:val="22"/>
          <w:lang w:val="es-MX" w:eastAsia="x-none"/>
        </w:rPr>
      </w:pPr>
      <w:bookmarkStart w:id="33" w:name="_Hlk78818796"/>
      <w:r w:rsidRPr="005873AF">
        <w:rPr>
          <w:rFonts w:ascii="Arial" w:hAnsi="Arial" w:cs="Arial"/>
          <w:bCs/>
          <w:color w:val="000000" w:themeColor="text1"/>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5873AF">
        <w:rPr>
          <w:rFonts w:ascii="Arial" w:hAnsi="Arial" w:cs="Arial"/>
          <w:color w:val="000000" w:themeColor="text1"/>
          <w:sz w:val="22"/>
          <w:szCs w:val="22"/>
          <w:vertAlign w:val="superscript"/>
          <w:lang w:eastAsia="x-none"/>
        </w:rPr>
        <w:footnoteReference w:id="34"/>
      </w:r>
      <w:r w:rsidRPr="005873AF">
        <w:rPr>
          <w:rFonts w:ascii="Arial" w:hAnsi="Arial" w:cs="Arial"/>
          <w:bCs/>
          <w:color w:val="000000" w:themeColor="text1"/>
          <w:sz w:val="22"/>
          <w:szCs w:val="22"/>
          <w:lang w:val="es-MX" w:eastAsia="x-none"/>
        </w:rPr>
        <w:t>.</w:t>
      </w:r>
      <w:r w:rsidRPr="005873AF">
        <w:rPr>
          <w:rFonts w:ascii="Arial" w:hAnsi="Arial" w:cs="Arial"/>
          <w:color w:val="000000" w:themeColor="text1"/>
          <w:sz w:val="22"/>
          <w:szCs w:val="22"/>
          <w:vertAlign w:val="superscript"/>
          <w:lang w:eastAsia="x-none"/>
        </w:rPr>
        <w:t xml:space="preserve"> </w:t>
      </w:r>
    </w:p>
    <w:bookmarkEnd w:id="33"/>
    <w:p w14:paraId="0E09E799" w14:textId="24E363C7" w:rsidR="004500E8" w:rsidRPr="005873AF" w:rsidRDefault="004500E8" w:rsidP="004500E8">
      <w:pPr>
        <w:spacing w:after="120" w:line="276" w:lineRule="auto"/>
        <w:ind w:right="49" w:firstLine="708"/>
        <w:jc w:val="both"/>
        <w:rPr>
          <w:rFonts w:ascii="Arial" w:hAnsi="Arial" w:cs="Arial"/>
          <w:color w:val="000000" w:themeColor="text1"/>
          <w:sz w:val="22"/>
          <w:szCs w:val="22"/>
          <w:lang w:eastAsia="x-none"/>
        </w:rPr>
      </w:pPr>
      <w:r w:rsidRPr="005873AF">
        <w:rPr>
          <w:rFonts w:ascii="Arial" w:hAnsi="Arial" w:cs="Arial"/>
          <w:bCs/>
          <w:color w:val="000000" w:themeColor="text1"/>
          <w:sz w:val="22"/>
          <w:szCs w:val="22"/>
          <w:lang w:val="es-MX" w:eastAsia="x-none"/>
        </w:rPr>
        <w:t>De lo anterior se d</w:t>
      </w:r>
      <w:r w:rsidR="000340B3" w:rsidRPr="005873AF">
        <w:rPr>
          <w:rFonts w:ascii="Arial" w:hAnsi="Arial" w:cs="Arial"/>
          <w:bCs/>
          <w:color w:val="000000" w:themeColor="text1"/>
          <w:sz w:val="22"/>
          <w:szCs w:val="22"/>
          <w:lang w:val="es-MX" w:eastAsia="x-none"/>
        </w:rPr>
        <w:t>educe</w:t>
      </w:r>
      <w:r w:rsidRPr="005873AF">
        <w:rPr>
          <w:rFonts w:ascii="Arial" w:hAnsi="Arial" w:cs="Arial"/>
          <w:bCs/>
          <w:color w:val="000000" w:themeColor="text1"/>
          <w:sz w:val="22"/>
          <w:szCs w:val="22"/>
          <w:lang w:val="es-MX" w:eastAsia="x-none"/>
        </w:rPr>
        <w:t xml:space="preserve"> que la </w:t>
      </w:r>
      <w:r w:rsidR="00CC7D38" w:rsidRPr="005873AF">
        <w:rPr>
          <w:rFonts w:ascii="Arial" w:hAnsi="Arial" w:cs="Arial"/>
          <w:bCs/>
          <w:color w:val="000000" w:themeColor="text1"/>
          <w:sz w:val="22"/>
          <w:szCs w:val="22"/>
          <w:lang w:val="es-MX" w:eastAsia="x-none"/>
        </w:rPr>
        <w:t xml:space="preserve">prohibición </w:t>
      </w:r>
      <w:r w:rsidRPr="005873AF">
        <w:rPr>
          <w:rFonts w:ascii="Arial" w:hAnsi="Arial" w:cs="Arial"/>
          <w:bCs/>
          <w:color w:val="000000" w:themeColor="text1"/>
          <w:sz w:val="22"/>
          <w:szCs w:val="22"/>
          <w:lang w:val="es-MX" w:eastAsia="x-none"/>
        </w:rPr>
        <w:t>aplica, sin perjuicio de las excepciones establecidas en la misma ley, para celebrar cualquier contrato de forma directa, esto es, sin que exista un proceso abierto y competitivo.</w:t>
      </w:r>
      <w:r w:rsidRPr="005873AF">
        <w:rPr>
          <w:rFonts w:ascii="Arial" w:hAnsi="Arial" w:cs="Arial"/>
          <w:color w:val="000000" w:themeColor="text1"/>
          <w:sz w:val="22"/>
          <w:szCs w:val="22"/>
          <w:lang w:eastAsia="x-none"/>
        </w:rPr>
        <w:t xml:space="preserve"> Por tanto, no son materia de la prohibición las demás modalidades de selección previstas en la Ley 1150 de 2007, es decir, la licitación pública, el concurso de méritos</w:t>
      </w:r>
      <w:r w:rsidR="00CC7D38" w:rsidRPr="005873AF">
        <w:rPr>
          <w:rFonts w:ascii="Arial" w:hAnsi="Arial" w:cs="Arial"/>
          <w:color w:val="000000" w:themeColor="text1"/>
          <w:sz w:val="22"/>
          <w:szCs w:val="22"/>
          <w:lang w:eastAsia="x-none"/>
        </w:rPr>
        <w:t>,</w:t>
      </w:r>
      <w:r w:rsidRPr="005873AF">
        <w:rPr>
          <w:rFonts w:ascii="Arial" w:hAnsi="Arial" w:cs="Arial"/>
          <w:color w:val="000000" w:themeColor="text1"/>
          <w:sz w:val="22"/>
          <w:szCs w:val="22"/>
          <w:lang w:eastAsia="x-none"/>
        </w:rPr>
        <w:t xml:space="preserve"> la selección abreviada</w:t>
      </w:r>
      <w:r w:rsidR="00CC7D38" w:rsidRPr="005873AF">
        <w:rPr>
          <w:rFonts w:ascii="Arial" w:hAnsi="Arial" w:cs="Arial"/>
          <w:color w:val="000000" w:themeColor="text1"/>
          <w:sz w:val="22"/>
          <w:szCs w:val="22"/>
          <w:lang w:eastAsia="x-none"/>
        </w:rPr>
        <w:t xml:space="preserve"> y la mínima cuantía</w:t>
      </w:r>
      <w:r w:rsidRPr="005873AF">
        <w:rPr>
          <w:rFonts w:ascii="Arial" w:hAnsi="Arial" w:cs="Arial"/>
          <w:color w:val="000000" w:themeColor="text1"/>
          <w:sz w:val="22"/>
          <w:szCs w:val="22"/>
          <w:lang w:eastAsia="x-none"/>
        </w:rPr>
        <w:t>, razón por la cual en ese período preelectoral de que trata la disposición pueden las entidades públicas seguir contratando bajo est</w:t>
      </w:r>
      <w:r w:rsidR="00CC7D38" w:rsidRPr="005873AF">
        <w:rPr>
          <w:rFonts w:ascii="Arial" w:hAnsi="Arial" w:cs="Arial"/>
          <w:color w:val="000000" w:themeColor="text1"/>
          <w:sz w:val="22"/>
          <w:szCs w:val="22"/>
          <w:lang w:eastAsia="x-none"/>
        </w:rPr>
        <w:t>a</w:t>
      </w:r>
      <w:r w:rsidRPr="005873AF">
        <w:rPr>
          <w:rFonts w:ascii="Arial" w:hAnsi="Arial" w:cs="Arial"/>
          <w:color w:val="000000" w:themeColor="text1"/>
          <w:sz w:val="22"/>
          <w:szCs w:val="22"/>
          <w:lang w:eastAsia="x-none"/>
        </w:rPr>
        <w:t xml:space="preserve">s </w:t>
      </w:r>
      <w:r w:rsidR="00CC7D38" w:rsidRPr="005873AF">
        <w:rPr>
          <w:rFonts w:ascii="Arial" w:hAnsi="Arial" w:cs="Arial"/>
          <w:color w:val="000000" w:themeColor="text1"/>
          <w:sz w:val="22"/>
          <w:szCs w:val="22"/>
          <w:lang w:eastAsia="x-none"/>
        </w:rPr>
        <w:t>modalidades.</w:t>
      </w:r>
    </w:p>
    <w:p w14:paraId="2D06811F" w14:textId="04DD836D" w:rsidR="004500E8" w:rsidRPr="005873AF" w:rsidRDefault="004500E8" w:rsidP="004500E8">
      <w:pPr>
        <w:spacing w:after="120" w:line="276" w:lineRule="auto"/>
        <w:ind w:right="49" w:firstLine="708"/>
        <w:jc w:val="both"/>
        <w:rPr>
          <w:rFonts w:ascii="Arial" w:hAnsi="Arial" w:cs="Arial"/>
          <w:bCs/>
          <w:color w:val="000000" w:themeColor="text1"/>
          <w:sz w:val="22"/>
          <w:szCs w:val="22"/>
          <w:lang w:val="es-MX" w:eastAsia="x-none"/>
        </w:rPr>
      </w:pPr>
      <w:bookmarkStart w:id="34" w:name="_Hlk77237094"/>
      <w:r w:rsidRPr="005873AF">
        <w:rPr>
          <w:rFonts w:ascii="Arial" w:hAnsi="Arial" w:cs="Arial"/>
          <w:bCs/>
          <w:color w:val="000000" w:themeColor="text1"/>
          <w:sz w:val="22"/>
          <w:szCs w:val="22"/>
          <w:lang w:val="es-MX" w:eastAsia="es-CO"/>
        </w:rPr>
        <w:t xml:space="preserve">Como en otras oportunidades lo ha manifestado esta Agencia, las prórrogas, modificaciones o adiciones de los contratos suscritos antes de la entrada en vigencia de </w:t>
      </w:r>
      <w:r w:rsidRPr="005873AF">
        <w:rPr>
          <w:rFonts w:ascii="Arial" w:hAnsi="Arial" w:cs="Arial"/>
          <w:bCs/>
          <w:color w:val="000000" w:themeColor="text1"/>
          <w:sz w:val="22"/>
          <w:szCs w:val="22"/>
          <w:lang w:val="es-MX" w:eastAsia="es-CO"/>
        </w:rPr>
        <w:lastRenderedPageBreak/>
        <w:t>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r w:rsidR="00CC7D38" w:rsidRPr="005873AF">
        <w:rPr>
          <w:rStyle w:val="Refdenotaalpie"/>
          <w:rFonts w:ascii="Arial" w:hAnsi="Arial" w:cs="Arial"/>
          <w:bCs/>
          <w:color w:val="000000" w:themeColor="text1"/>
          <w:sz w:val="22"/>
          <w:szCs w:val="22"/>
          <w:lang w:val="es-MX" w:eastAsia="es-CO"/>
        </w:rPr>
        <w:footnoteReference w:id="35"/>
      </w:r>
      <w:r w:rsidR="00CC7D38" w:rsidRPr="005873AF">
        <w:rPr>
          <w:rFonts w:ascii="Arial" w:hAnsi="Arial" w:cs="Arial"/>
          <w:bCs/>
          <w:color w:val="000000" w:themeColor="text1"/>
          <w:sz w:val="22"/>
          <w:szCs w:val="22"/>
          <w:lang w:val="es-MX" w:eastAsia="es-CO"/>
        </w:rPr>
        <w:t>. Además, también es posible que contratos celebrados previamente se continúen ejecutando</w:t>
      </w:r>
      <w:r w:rsidRPr="005873AF">
        <w:rPr>
          <w:rFonts w:ascii="Arial" w:hAnsi="Arial" w:cs="Arial"/>
          <w:bCs/>
          <w:color w:val="000000" w:themeColor="text1"/>
          <w:sz w:val="22"/>
          <w:szCs w:val="22"/>
          <w:lang w:val="es-MX" w:eastAsia="es-CO"/>
        </w:rPr>
        <w:t>.</w:t>
      </w:r>
      <w:bookmarkEnd w:id="34"/>
    </w:p>
    <w:p w14:paraId="6D944000" w14:textId="42778935" w:rsidR="004500E8" w:rsidRPr="005873AF" w:rsidRDefault="004500E8" w:rsidP="004500E8">
      <w:pPr>
        <w:spacing w:line="276" w:lineRule="auto"/>
        <w:ind w:firstLine="708"/>
        <w:jc w:val="both"/>
        <w:rPr>
          <w:rFonts w:ascii="Arial" w:eastAsia="Arial" w:hAnsi="Arial" w:cs="Arial"/>
          <w:color w:val="000000" w:themeColor="text1"/>
          <w:sz w:val="22"/>
          <w:szCs w:val="22"/>
        </w:rPr>
      </w:pPr>
      <w:r w:rsidRPr="005873AF">
        <w:rPr>
          <w:rFonts w:ascii="Arial" w:eastAsia="Arial" w:hAnsi="Arial" w:cs="Arial"/>
          <w:color w:val="000000" w:themeColor="text1"/>
          <w:sz w:val="22"/>
          <w:szCs w:val="22"/>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w:t>
      </w:r>
      <w:r w:rsidR="004261AA" w:rsidRPr="005873AF">
        <w:rPr>
          <w:rFonts w:ascii="Arial" w:eastAsia="Arial" w:hAnsi="Arial" w:cs="Arial"/>
          <w:color w:val="000000" w:themeColor="text1"/>
          <w:sz w:val="22"/>
          <w:szCs w:val="22"/>
        </w:rPr>
        <w:t>:</w:t>
      </w:r>
      <w:r w:rsidRPr="005873AF">
        <w:rPr>
          <w:rFonts w:ascii="Arial" w:eastAsia="Arial" w:hAnsi="Arial" w:cs="Arial"/>
          <w:color w:val="000000" w:themeColor="text1"/>
          <w:sz w:val="22"/>
          <w:szCs w:val="22"/>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B68339D" w14:textId="77777777" w:rsidR="004500E8" w:rsidRPr="005873AF" w:rsidRDefault="004500E8" w:rsidP="004500E8">
      <w:pPr>
        <w:spacing w:before="120" w:line="276" w:lineRule="auto"/>
        <w:ind w:firstLine="709"/>
        <w:jc w:val="both"/>
        <w:rPr>
          <w:rFonts w:ascii="Arial" w:eastAsia="Arial" w:hAnsi="Arial" w:cs="Arial"/>
          <w:color w:val="000000" w:themeColor="text1"/>
          <w:sz w:val="22"/>
          <w:szCs w:val="22"/>
        </w:rPr>
      </w:pPr>
      <w:r w:rsidRPr="005873AF">
        <w:rPr>
          <w:rFonts w:ascii="Arial" w:eastAsia="Arial" w:hAnsi="Arial" w:cs="Arial"/>
          <w:color w:val="000000" w:themeColor="text1"/>
          <w:sz w:val="22"/>
          <w:szCs w:val="22"/>
        </w:rPr>
        <w:t>En esta labor es importante tener en cuenta, como lo anotó la Corte Constitucional, en Sentencia C-1153 de noviembre 11 de 2005</w:t>
      </w:r>
      <w:r w:rsidRPr="005873AF">
        <w:rPr>
          <w:color w:val="000000" w:themeColor="text1"/>
          <w:vertAlign w:val="superscript"/>
        </w:rPr>
        <w:t>,</w:t>
      </w:r>
      <w:r w:rsidRPr="005873AF">
        <w:rPr>
          <w:rFonts w:ascii="Arial" w:eastAsia="Arial" w:hAnsi="Arial" w:cs="Arial"/>
          <w:color w:val="000000" w:themeColor="text1"/>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5873AF">
        <w:rPr>
          <w:rFonts w:ascii="Arial" w:eastAsia="Arial" w:hAnsi="Arial" w:cs="Arial"/>
          <w:color w:val="000000" w:themeColor="text1"/>
          <w:sz w:val="22"/>
          <w:szCs w:val="22"/>
          <w:vertAlign w:val="superscript"/>
        </w:rPr>
        <w:footnoteReference w:id="36"/>
      </w:r>
      <w:r w:rsidRPr="005873AF">
        <w:rPr>
          <w:rFonts w:ascii="Arial" w:eastAsia="Arial" w:hAnsi="Arial" w:cs="Arial"/>
          <w:color w:val="000000" w:themeColor="text1"/>
          <w:sz w:val="22"/>
          <w:szCs w:val="22"/>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790F25E" w14:textId="10802BEE" w:rsidR="004500E8" w:rsidRPr="005873AF" w:rsidRDefault="004500E8" w:rsidP="004500E8">
      <w:pPr>
        <w:spacing w:before="120" w:line="276" w:lineRule="auto"/>
        <w:ind w:firstLine="709"/>
        <w:jc w:val="both"/>
        <w:rPr>
          <w:rFonts w:ascii="Arial" w:eastAsia="Arial" w:hAnsi="Arial" w:cs="Arial"/>
          <w:color w:val="000000" w:themeColor="text1"/>
          <w:sz w:val="22"/>
          <w:szCs w:val="22"/>
        </w:rPr>
      </w:pPr>
      <w:r w:rsidRPr="005873AF">
        <w:rPr>
          <w:rFonts w:ascii="Arial" w:eastAsia="Arial" w:hAnsi="Arial" w:cs="Arial"/>
          <w:color w:val="000000" w:themeColor="text1"/>
          <w:sz w:val="22"/>
          <w:szCs w:val="22"/>
        </w:rPr>
        <w:t xml:space="preserve">Como se puede apreciar, el inciso segundo del artículo 33 dispone de dos (2) grandes grupos de excepciones a la prohibición de contratar directamente en la época preelectoral. </w:t>
      </w:r>
      <w:r w:rsidRPr="005873AF">
        <w:rPr>
          <w:rFonts w:ascii="Arial" w:eastAsia="Arial" w:hAnsi="Arial" w:cs="Arial"/>
          <w:i/>
          <w:iCs/>
          <w:color w:val="000000" w:themeColor="text1"/>
          <w:sz w:val="22"/>
          <w:szCs w:val="22"/>
        </w:rPr>
        <w:t>Por un lado</w:t>
      </w:r>
      <w:r w:rsidRPr="005873AF">
        <w:rPr>
          <w:rFonts w:ascii="Arial" w:eastAsia="Arial" w:hAnsi="Arial" w:cs="Arial"/>
          <w:color w:val="000000" w:themeColor="text1"/>
          <w:sz w:val="22"/>
          <w:szCs w:val="22"/>
        </w:rPr>
        <w:t xml:space="preserve">, las que atienden el ejercicio de cierta función o la atención de determinada actividad particular y sin importar la calidad del ente que la cumpla o desarrolle. </w:t>
      </w:r>
      <w:r w:rsidRPr="005873AF">
        <w:rPr>
          <w:rFonts w:ascii="Arial" w:eastAsia="Arial" w:hAnsi="Arial" w:cs="Arial"/>
          <w:i/>
          <w:iCs/>
          <w:color w:val="000000" w:themeColor="text1"/>
          <w:sz w:val="22"/>
          <w:szCs w:val="22"/>
        </w:rPr>
        <w:t>Por otra parte</w:t>
      </w:r>
      <w:r w:rsidRPr="005873AF">
        <w:rPr>
          <w:rFonts w:ascii="Arial" w:eastAsia="Arial" w:hAnsi="Arial" w:cs="Arial"/>
          <w:color w:val="000000" w:themeColor="text1"/>
          <w:sz w:val="22"/>
          <w:szCs w:val="22"/>
        </w:rPr>
        <w:t>, las que aluden a las entidades sanitarias y hospitalarias acudiendo a un criterio eminentemente subjetivo</w:t>
      </w:r>
      <w:r w:rsidR="004261AA" w:rsidRPr="005873AF">
        <w:rPr>
          <w:rFonts w:ascii="Arial" w:eastAsia="Arial" w:hAnsi="Arial" w:cs="Arial"/>
          <w:color w:val="000000" w:themeColor="text1"/>
          <w:sz w:val="22"/>
          <w:szCs w:val="22"/>
        </w:rPr>
        <w:t xml:space="preserve"> –u orgánico–</w:t>
      </w:r>
      <w:r w:rsidRPr="005873AF">
        <w:rPr>
          <w:rFonts w:ascii="Arial" w:eastAsia="Arial" w:hAnsi="Arial" w:cs="Arial"/>
          <w:color w:val="000000" w:themeColor="text1"/>
          <w:sz w:val="22"/>
          <w:szCs w:val="22"/>
        </w:rPr>
        <w:t>, pese a que no limita la excepción a un tipo de entidad en particular, sino que ata su aplicación a la naturaleza del respectivo ente.</w:t>
      </w:r>
    </w:p>
    <w:p w14:paraId="1D39B534" w14:textId="77777777" w:rsidR="005873AF" w:rsidRDefault="004500E8" w:rsidP="005873AF">
      <w:pPr>
        <w:spacing w:before="120" w:after="120" w:line="276" w:lineRule="auto"/>
        <w:ind w:firstLine="709"/>
        <w:jc w:val="both"/>
        <w:rPr>
          <w:rFonts w:ascii="Arial" w:eastAsia="Arial" w:hAnsi="Arial" w:cs="Arial"/>
          <w:color w:val="000000" w:themeColor="text1"/>
          <w:sz w:val="22"/>
          <w:szCs w:val="22"/>
        </w:rPr>
      </w:pPr>
      <w:r w:rsidRPr="005873AF">
        <w:rPr>
          <w:rFonts w:ascii="Arial" w:eastAsia="Arial" w:hAnsi="Arial" w:cs="Arial"/>
          <w:color w:val="000000" w:themeColor="text1"/>
          <w:sz w:val="22"/>
          <w:szCs w:val="22"/>
        </w:rPr>
        <w:lastRenderedPageBreak/>
        <w:t xml:space="preserve">Así, para determinar si la contratación de una entidad pública está exceptuada de la prohibición general para la contratación directa, el intérprete deberá analizar el caso concreto para establecer </w:t>
      </w:r>
      <w:r w:rsidR="004261AA" w:rsidRPr="005873AF">
        <w:rPr>
          <w:rFonts w:ascii="Arial" w:eastAsia="Arial" w:hAnsi="Arial" w:cs="Arial"/>
          <w:color w:val="000000" w:themeColor="text1"/>
          <w:sz w:val="22"/>
          <w:szCs w:val="22"/>
        </w:rPr>
        <w:t xml:space="preserve">si </w:t>
      </w:r>
      <w:r w:rsidRPr="005873AF">
        <w:rPr>
          <w:rFonts w:ascii="Arial" w:eastAsia="Arial" w:hAnsi="Arial" w:cs="Arial"/>
          <w:color w:val="000000" w:themeColor="text1"/>
          <w:sz w:val="22"/>
          <w:szCs w:val="22"/>
        </w:rPr>
        <w:t xml:space="preserve">se trata de una actividad de las descritas en la norma o que se </w:t>
      </w:r>
      <w:r w:rsidR="004261AA" w:rsidRPr="005873AF">
        <w:rPr>
          <w:rFonts w:ascii="Arial" w:eastAsia="Arial" w:hAnsi="Arial" w:cs="Arial"/>
          <w:color w:val="000000" w:themeColor="text1"/>
          <w:sz w:val="22"/>
          <w:szCs w:val="22"/>
        </w:rPr>
        <w:t>trate de</w:t>
      </w:r>
      <w:r w:rsidRPr="005873AF">
        <w:rPr>
          <w:rFonts w:ascii="Arial" w:eastAsia="Arial" w:hAnsi="Arial" w:cs="Arial"/>
          <w:color w:val="000000" w:themeColor="text1"/>
          <w:sz w:val="22"/>
          <w:szCs w:val="22"/>
        </w:rPr>
        <w:t xml:space="preserve"> </w:t>
      </w:r>
      <w:r w:rsidR="008474CF" w:rsidRPr="005873AF">
        <w:rPr>
          <w:rFonts w:ascii="Arial" w:eastAsia="Arial" w:hAnsi="Arial" w:cs="Arial"/>
          <w:color w:val="000000" w:themeColor="text1"/>
          <w:sz w:val="22"/>
          <w:szCs w:val="22"/>
        </w:rPr>
        <w:t>los que deban realizar las</w:t>
      </w:r>
      <w:r w:rsidRPr="005873AF">
        <w:rPr>
          <w:rFonts w:ascii="Arial" w:eastAsia="Arial" w:hAnsi="Arial" w:cs="Arial"/>
          <w:color w:val="000000" w:themeColor="text1"/>
          <w:sz w:val="22"/>
          <w:szCs w:val="22"/>
        </w:rPr>
        <w:t xml:space="preserve"> entidad</w:t>
      </w:r>
      <w:r w:rsidR="008474CF" w:rsidRPr="005873AF">
        <w:rPr>
          <w:rFonts w:ascii="Arial" w:eastAsia="Arial" w:hAnsi="Arial" w:cs="Arial"/>
          <w:color w:val="000000" w:themeColor="text1"/>
          <w:sz w:val="22"/>
          <w:szCs w:val="22"/>
        </w:rPr>
        <w:t>es</w:t>
      </w:r>
      <w:r w:rsidRPr="005873AF">
        <w:rPr>
          <w:rFonts w:ascii="Arial" w:eastAsia="Arial" w:hAnsi="Arial" w:cs="Arial"/>
          <w:color w:val="000000" w:themeColor="text1"/>
          <w:sz w:val="22"/>
          <w:szCs w:val="22"/>
        </w:rPr>
        <w:t xml:space="preserve"> </w:t>
      </w:r>
      <w:r w:rsidR="004261AA" w:rsidRPr="005873AF">
        <w:rPr>
          <w:rFonts w:ascii="Arial" w:eastAsia="Arial" w:hAnsi="Arial" w:cs="Arial"/>
          <w:color w:val="000000" w:themeColor="text1"/>
          <w:sz w:val="22"/>
          <w:szCs w:val="22"/>
        </w:rPr>
        <w:t>sanitaria</w:t>
      </w:r>
      <w:r w:rsidR="008474CF" w:rsidRPr="005873AF">
        <w:rPr>
          <w:rFonts w:ascii="Arial" w:eastAsia="Arial" w:hAnsi="Arial" w:cs="Arial"/>
          <w:color w:val="000000" w:themeColor="text1"/>
          <w:sz w:val="22"/>
          <w:szCs w:val="22"/>
        </w:rPr>
        <w:t>s</w:t>
      </w:r>
      <w:r w:rsidRPr="005873AF">
        <w:rPr>
          <w:rFonts w:ascii="Arial" w:eastAsia="Arial" w:hAnsi="Arial" w:cs="Arial"/>
          <w:color w:val="000000" w:themeColor="text1"/>
          <w:sz w:val="22"/>
          <w:szCs w:val="22"/>
        </w:rPr>
        <w:t xml:space="preserve"> u hospitalaria</w:t>
      </w:r>
      <w:r w:rsidR="008474CF" w:rsidRPr="005873AF">
        <w:rPr>
          <w:rFonts w:ascii="Arial" w:eastAsia="Arial" w:hAnsi="Arial" w:cs="Arial"/>
          <w:color w:val="000000" w:themeColor="text1"/>
          <w:sz w:val="22"/>
          <w:szCs w:val="22"/>
        </w:rPr>
        <w:t>s</w:t>
      </w:r>
      <w:r w:rsidRPr="005873AF">
        <w:rPr>
          <w:rFonts w:ascii="Arial" w:eastAsia="Arial" w:hAnsi="Arial" w:cs="Arial"/>
          <w:color w:val="000000" w:themeColor="text1"/>
          <w:sz w:val="22"/>
          <w:szCs w:val="22"/>
        </w:rPr>
        <w:t>.</w:t>
      </w:r>
    </w:p>
    <w:p w14:paraId="2EAEBC04" w14:textId="3C6F8478" w:rsidR="004500E8" w:rsidRPr="005873AF" w:rsidRDefault="004500E8" w:rsidP="005873AF">
      <w:pPr>
        <w:spacing w:before="120" w:after="120" w:line="276" w:lineRule="auto"/>
        <w:ind w:firstLine="709"/>
        <w:jc w:val="both"/>
        <w:rPr>
          <w:rFonts w:ascii="Arial" w:eastAsia="Arial" w:hAnsi="Arial" w:cs="Arial"/>
          <w:color w:val="000000" w:themeColor="text1"/>
          <w:sz w:val="22"/>
          <w:szCs w:val="22"/>
        </w:rPr>
      </w:pPr>
      <w:r w:rsidRPr="005873AF">
        <w:rPr>
          <w:rFonts w:ascii="Arial" w:eastAsia="Arial" w:hAnsi="Arial" w:cs="Arial"/>
          <w:color w:val="000000" w:themeColor="text1"/>
          <w:sz w:val="22"/>
          <w:szCs w:val="22"/>
        </w:rPr>
        <w:t xml:space="preserve"> </w:t>
      </w:r>
    </w:p>
    <w:p w14:paraId="5ACB0940" w14:textId="4F892D2B" w:rsidR="004500E8" w:rsidRPr="005873AF" w:rsidRDefault="004500E8" w:rsidP="004500E8">
      <w:pPr>
        <w:spacing w:line="276" w:lineRule="auto"/>
        <w:ind w:right="49"/>
        <w:jc w:val="both"/>
        <w:rPr>
          <w:rFonts w:ascii="Arial" w:hAnsi="Arial" w:cs="Arial"/>
          <w:b/>
          <w:color w:val="000000" w:themeColor="text1"/>
          <w:sz w:val="22"/>
          <w:szCs w:val="22"/>
          <w:lang w:val="es-MX" w:eastAsia="x-none"/>
        </w:rPr>
      </w:pPr>
      <w:r w:rsidRPr="005873AF">
        <w:rPr>
          <w:rFonts w:ascii="Arial" w:hAnsi="Arial" w:cs="Arial"/>
          <w:b/>
          <w:color w:val="000000" w:themeColor="text1"/>
          <w:sz w:val="22"/>
          <w:szCs w:val="22"/>
          <w:lang w:val="es-MX" w:eastAsia="x-none"/>
        </w:rPr>
        <w:t>2.</w:t>
      </w:r>
      <w:r w:rsidR="006359EC" w:rsidRPr="005873AF">
        <w:rPr>
          <w:rFonts w:ascii="Arial" w:hAnsi="Arial" w:cs="Arial"/>
          <w:b/>
          <w:color w:val="000000" w:themeColor="text1"/>
          <w:sz w:val="22"/>
          <w:szCs w:val="22"/>
          <w:lang w:val="es-MX" w:eastAsia="x-none"/>
        </w:rPr>
        <w:t>5</w:t>
      </w:r>
      <w:r w:rsidRPr="005873AF">
        <w:rPr>
          <w:rFonts w:ascii="Arial" w:hAnsi="Arial" w:cs="Arial"/>
          <w:b/>
          <w:color w:val="000000" w:themeColor="text1"/>
          <w:sz w:val="22"/>
          <w:szCs w:val="22"/>
          <w:lang w:val="es-MX" w:eastAsia="x-none"/>
        </w:rPr>
        <w:t>. Destinatarios de la restricción del artículo 33 de la Ley 996 de 2005</w:t>
      </w:r>
      <w:r w:rsidR="006359EC" w:rsidRPr="005873AF">
        <w:rPr>
          <w:rFonts w:ascii="Arial" w:hAnsi="Arial" w:cs="Arial"/>
          <w:b/>
          <w:color w:val="000000" w:themeColor="text1"/>
          <w:sz w:val="22"/>
          <w:szCs w:val="22"/>
          <w:lang w:val="es-MX" w:eastAsia="x-none"/>
        </w:rPr>
        <w:t xml:space="preserve"> y las excepciones a la prohibición</w:t>
      </w:r>
    </w:p>
    <w:p w14:paraId="763D343F" w14:textId="77777777" w:rsidR="001B3C85" w:rsidRPr="005873AF" w:rsidRDefault="001B3C85" w:rsidP="004500E8">
      <w:pPr>
        <w:spacing w:line="276" w:lineRule="auto"/>
        <w:ind w:right="49"/>
        <w:jc w:val="both"/>
        <w:rPr>
          <w:rFonts w:ascii="Arial" w:hAnsi="Arial" w:cs="Arial"/>
          <w:b/>
          <w:color w:val="000000" w:themeColor="text1"/>
          <w:sz w:val="22"/>
          <w:szCs w:val="22"/>
          <w:lang w:val="es-MX" w:eastAsia="x-none"/>
        </w:rPr>
      </w:pPr>
    </w:p>
    <w:p w14:paraId="33509EFB" w14:textId="2967DA95" w:rsidR="004261AA" w:rsidRPr="005873AF" w:rsidRDefault="001B3C85" w:rsidP="004500E8">
      <w:pPr>
        <w:spacing w:line="276" w:lineRule="auto"/>
        <w:jc w:val="both"/>
        <w:rPr>
          <w:rFonts w:ascii="Arial" w:eastAsia="Arial" w:hAnsi="Arial" w:cs="Arial"/>
          <w:color w:val="000000" w:themeColor="text1"/>
          <w:sz w:val="22"/>
          <w:szCs w:val="22"/>
        </w:rPr>
      </w:pPr>
      <w:r w:rsidRPr="005873AF">
        <w:rPr>
          <w:rFonts w:ascii="Arial" w:eastAsia="Arial" w:hAnsi="Arial" w:cs="Arial"/>
          <w:color w:val="000000" w:themeColor="text1"/>
          <w:sz w:val="22"/>
          <w:szCs w:val="22"/>
        </w:rPr>
        <w:t>E</w:t>
      </w:r>
      <w:r w:rsidR="004500E8" w:rsidRPr="005873AF">
        <w:rPr>
          <w:rFonts w:ascii="Arial" w:eastAsia="Arial" w:hAnsi="Arial" w:cs="Arial"/>
          <w:color w:val="000000" w:themeColor="text1"/>
          <w:sz w:val="22"/>
          <w:szCs w:val="22"/>
        </w:rPr>
        <w:t>l artículo 33 de la Ley 996 de 2005 señala expresamente a los destinatarios de la prohibición, en el sentido de que son «todos los entes del Estado», expresión que contempla a los diferentes organismos o entidades autorizadas por la ley para suscribir contratos.</w:t>
      </w:r>
      <w:r w:rsidR="004500E8" w:rsidRPr="005873AF">
        <w:rPr>
          <w:color w:val="000000" w:themeColor="text1"/>
        </w:rPr>
        <w:t xml:space="preserve"> </w:t>
      </w:r>
      <w:r w:rsidR="004500E8" w:rsidRPr="005873AF">
        <w:rPr>
          <w:rFonts w:ascii="Arial" w:eastAsia="Arial" w:hAnsi="Arial" w:cs="Arial"/>
          <w:color w:val="000000" w:themeColor="text1"/>
          <w:sz w:val="22"/>
          <w:szCs w:val="22"/>
        </w:rPr>
        <w:t>En efecto, tal como lo ha sostenido el Consejo de Estado, el vocablo «todos» utilizado por el legislador comprende</w:t>
      </w:r>
      <w:r w:rsidR="004500E8" w:rsidRPr="005873AF">
        <w:rPr>
          <w:color w:val="000000" w:themeColor="text1"/>
        </w:rPr>
        <w:t xml:space="preserve"> </w:t>
      </w:r>
      <w:r w:rsidR="004500E8" w:rsidRPr="005873AF">
        <w:rPr>
          <w:rFonts w:ascii="Arial" w:eastAsia="Arial" w:hAnsi="Arial" w:cs="Arial"/>
          <w:color w:val="000000" w:themeColor="text1"/>
          <w:sz w:val="22"/>
          <w:szCs w:val="22"/>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w:t>
      </w:r>
      <w:r w:rsidR="004261AA" w:rsidRPr="005873AF">
        <w:rPr>
          <w:rFonts w:ascii="Arial" w:eastAsia="Arial" w:hAnsi="Arial" w:cs="Arial"/>
          <w:color w:val="000000" w:themeColor="text1"/>
          <w:sz w:val="22"/>
          <w:szCs w:val="22"/>
        </w:rPr>
        <w:t>La Sala de Consulta y Servicio Civil del Consejo de Estado, en Concepto 1727 de fecha 20 de febrero de 2006, consideró que:</w:t>
      </w:r>
    </w:p>
    <w:p w14:paraId="4636D1DD" w14:textId="77777777" w:rsidR="004500E8" w:rsidRPr="005873AF" w:rsidRDefault="004500E8" w:rsidP="004261AA">
      <w:pPr>
        <w:spacing w:line="276" w:lineRule="auto"/>
        <w:jc w:val="both"/>
        <w:rPr>
          <w:rFonts w:ascii="Arial" w:eastAsia="Arial" w:hAnsi="Arial" w:cs="Arial"/>
          <w:color w:val="000000" w:themeColor="text1"/>
          <w:sz w:val="22"/>
          <w:szCs w:val="22"/>
        </w:rPr>
      </w:pPr>
    </w:p>
    <w:p w14:paraId="401DED71" w14:textId="77777777" w:rsidR="004500E8" w:rsidRPr="005873AF" w:rsidRDefault="004500E8" w:rsidP="004500E8">
      <w:pPr>
        <w:ind w:left="709" w:right="709"/>
        <w:jc w:val="both"/>
        <w:rPr>
          <w:color w:val="000000" w:themeColor="text1"/>
        </w:rPr>
      </w:pPr>
      <w:r w:rsidRPr="005873AF">
        <w:rPr>
          <w:rFonts w:ascii="Arial" w:eastAsia="Arial" w:hAnsi="Arial" w:cs="Arial"/>
          <w:color w:val="000000" w:themeColor="text1"/>
          <w:sz w:val="21"/>
          <w:szCs w:val="21"/>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5873AF">
        <w:rPr>
          <w:rFonts w:ascii="Arial" w:eastAsia="Arial" w:hAnsi="Arial" w:cs="Arial"/>
          <w:color w:val="000000" w:themeColor="text1"/>
          <w:sz w:val="21"/>
          <w:szCs w:val="21"/>
          <w:vertAlign w:val="superscript"/>
        </w:rPr>
        <w:footnoteReference w:id="37"/>
      </w:r>
      <w:r w:rsidRPr="005873AF">
        <w:rPr>
          <w:rFonts w:ascii="Arial" w:eastAsia="Arial" w:hAnsi="Arial" w:cs="Arial"/>
          <w:color w:val="000000" w:themeColor="text1"/>
          <w:sz w:val="21"/>
          <w:szCs w:val="21"/>
        </w:rPr>
        <w:t xml:space="preserve">. </w:t>
      </w:r>
    </w:p>
    <w:p w14:paraId="572ADFF1" w14:textId="77777777" w:rsidR="004500E8" w:rsidRPr="005873AF" w:rsidRDefault="004500E8" w:rsidP="004500E8">
      <w:pPr>
        <w:spacing w:line="276" w:lineRule="auto"/>
        <w:jc w:val="both"/>
        <w:rPr>
          <w:rFonts w:ascii="Arial" w:eastAsia="Arial" w:hAnsi="Arial" w:cs="Arial"/>
          <w:color w:val="000000" w:themeColor="text1"/>
          <w:sz w:val="22"/>
          <w:szCs w:val="22"/>
        </w:rPr>
      </w:pPr>
    </w:p>
    <w:p w14:paraId="22DDFCDD" w14:textId="010A2277" w:rsidR="004500E8" w:rsidRPr="005873AF" w:rsidRDefault="004500E8" w:rsidP="004500E8">
      <w:pPr>
        <w:spacing w:line="276" w:lineRule="auto"/>
        <w:ind w:firstLine="709"/>
        <w:jc w:val="both"/>
        <w:rPr>
          <w:rFonts w:ascii="Arial" w:eastAsia="Arial" w:hAnsi="Arial" w:cs="Arial"/>
          <w:bCs/>
          <w:color w:val="000000" w:themeColor="text1"/>
          <w:sz w:val="22"/>
          <w:szCs w:val="22"/>
        </w:rPr>
      </w:pPr>
      <w:r w:rsidRPr="005873AF">
        <w:rPr>
          <w:rFonts w:ascii="Arial" w:eastAsia="Arial" w:hAnsi="Arial" w:cs="Arial"/>
          <w:color w:val="000000" w:themeColor="text1"/>
          <w:sz w:val="22"/>
          <w:szCs w:val="22"/>
        </w:rPr>
        <w:t xml:space="preserve">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w:t>
      </w:r>
      <w:r w:rsidRPr="005873AF">
        <w:rPr>
          <w:rFonts w:ascii="Arial" w:eastAsia="Arial" w:hAnsi="Arial" w:cs="Arial"/>
          <w:color w:val="000000" w:themeColor="text1"/>
          <w:sz w:val="22"/>
          <w:szCs w:val="22"/>
        </w:rPr>
        <w:lastRenderedPageBreak/>
        <w:t xml:space="preserve">los electores y alterar la voluntad popular en las contiendas electorales, se puede presentar tanto en la contratación regulada por la Ley 80 de 1993 como en la regida por el </w:t>
      </w:r>
      <w:r w:rsidR="004261AA" w:rsidRPr="005873AF">
        <w:rPr>
          <w:rFonts w:ascii="Arial" w:eastAsia="Arial" w:hAnsi="Arial" w:cs="Arial"/>
          <w:color w:val="000000" w:themeColor="text1"/>
          <w:sz w:val="22"/>
          <w:szCs w:val="22"/>
        </w:rPr>
        <w:t>d</w:t>
      </w:r>
      <w:r w:rsidRPr="005873AF">
        <w:rPr>
          <w:rFonts w:ascii="Arial" w:eastAsia="Arial" w:hAnsi="Arial" w:cs="Arial"/>
          <w:color w:val="000000" w:themeColor="text1"/>
          <w:sz w:val="22"/>
          <w:szCs w:val="22"/>
        </w:rPr>
        <w:t xml:space="preserve">erecho </w:t>
      </w:r>
      <w:r w:rsidR="004261AA" w:rsidRPr="005873AF">
        <w:rPr>
          <w:rFonts w:ascii="Arial" w:eastAsia="Arial" w:hAnsi="Arial" w:cs="Arial"/>
          <w:color w:val="000000" w:themeColor="text1"/>
          <w:sz w:val="22"/>
          <w:szCs w:val="22"/>
        </w:rPr>
        <w:t>p</w:t>
      </w:r>
      <w:r w:rsidRPr="005873AF">
        <w:rPr>
          <w:rFonts w:ascii="Arial" w:eastAsia="Arial" w:hAnsi="Arial" w:cs="Arial"/>
          <w:color w:val="000000" w:themeColor="text1"/>
          <w:sz w:val="22"/>
          <w:szCs w:val="22"/>
        </w:rPr>
        <w:t>rivado</w:t>
      </w:r>
      <w:r w:rsidR="00FA0850" w:rsidRPr="005873AF">
        <w:rPr>
          <w:rFonts w:ascii="Arial" w:eastAsia="Arial" w:hAnsi="Arial" w:cs="Arial"/>
          <w:color w:val="000000" w:themeColor="text1"/>
          <w:sz w:val="22"/>
          <w:szCs w:val="22"/>
        </w:rPr>
        <w:t xml:space="preserve"> o normas especiales</w:t>
      </w:r>
      <w:r w:rsidRPr="005873AF">
        <w:rPr>
          <w:rFonts w:ascii="Arial" w:eastAsia="Arial" w:hAnsi="Arial" w:cs="Arial"/>
          <w:color w:val="000000" w:themeColor="text1"/>
          <w:sz w:val="22"/>
          <w:szCs w:val="22"/>
        </w:rPr>
        <w:t>.</w:t>
      </w:r>
    </w:p>
    <w:p w14:paraId="13A99FC9" w14:textId="2917568A" w:rsidR="004500E8" w:rsidRPr="005873AF" w:rsidRDefault="004500E8" w:rsidP="005873AF">
      <w:pPr>
        <w:spacing w:before="120" w:line="276" w:lineRule="auto"/>
        <w:ind w:firstLine="709"/>
        <w:jc w:val="both"/>
        <w:rPr>
          <w:rFonts w:ascii="Arial" w:hAnsi="Arial" w:cs="Arial"/>
          <w:bCs/>
          <w:color w:val="000000" w:themeColor="text1"/>
          <w:sz w:val="22"/>
          <w:lang w:val="es-ES_tradnl"/>
        </w:rPr>
      </w:pPr>
      <w:r w:rsidRPr="005873AF">
        <w:rPr>
          <w:rFonts w:ascii="Arial" w:eastAsia="Arial" w:hAnsi="Arial" w:cs="Arial"/>
          <w:bCs/>
          <w:color w:val="000000" w:themeColor="text1"/>
          <w:sz w:val="22"/>
          <w:szCs w:val="22"/>
        </w:rPr>
        <w:t>En este punto, debe tenerse en cuenta que</w:t>
      </w:r>
      <w:r w:rsidR="009A4BBD" w:rsidRPr="005873AF">
        <w:rPr>
          <w:rFonts w:ascii="Arial" w:eastAsia="Arial" w:hAnsi="Arial" w:cs="Arial"/>
          <w:bCs/>
          <w:color w:val="000000" w:themeColor="text1"/>
          <w:sz w:val="22"/>
          <w:szCs w:val="22"/>
        </w:rPr>
        <w:t xml:space="preserve">, en principio, todos los entes del Estado </w:t>
      </w:r>
      <w:r w:rsidR="00FD10E4" w:rsidRPr="005873AF">
        <w:rPr>
          <w:rFonts w:ascii="Arial" w:eastAsia="Arial" w:hAnsi="Arial" w:cs="Arial"/>
          <w:bCs/>
          <w:color w:val="000000" w:themeColor="text1"/>
          <w:sz w:val="22"/>
          <w:szCs w:val="22"/>
        </w:rPr>
        <w:t>están</w:t>
      </w:r>
      <w:r w:rsidRPr="005873AF">
        <w:rPr>
          <w:rFonts w:ascii="Arial" w:eastAsia="Arial" w:hAnsi="Arial" w:cs="Arial"/>
          <w:bCs/>
          <w:color w:val="000000" w:themeColor="text1"/>
          <w:sz w:val="22"/>
          <w:szCs w:val="22"/>
        </w:rPr>
        <w:t xml:space="preserve"> </w:t>
      </w:r>
      <w:r w:rsidR="00FD10E4" w:rsidRPr="005873AF">
        <w:rPr>
          <w:rFonts w:ascii="Arial" w:eastAsia="Arial" w:hAnsi="Arial" w:cs="Arial"/>
          <w:bCs/>
          <w:color w:val="000000" w:themeColor="text1"/>
          <w:sz w:val="22"/>
          <w:szCs w:val="22"/>
        </w:rPr>
        <w:t>cobijad</w:t>
      </w:r>
      <w:r w:rsidR="009A4BBD" w:rsidRPr="005873AF">
        <w:rPr>
          <w:rFonts w:ascii="Arial" w:eastAsia="Arial" w:hAnsi="Arial" w:cs="Arial"/>
          <w:bCs/>
          <w:color w:val="000000" w:themeColor="text1"/>
          <w:sz w:val="22"/>
          <w:szCs w:val="22"/>
        </w:rPr>
        <w:t>o</w:t>
      </w:r>
      <w:r w:rsidR="00FD10E4" w:rsidRPr="005873AF">
        <w:rPr>
          <w:rFonts w:ascii="Arial" w:eastAsia="Arial" w:hAnsi="Arial" w:cs="Arial"/>
          <w:bCs/>
          <w:color w:val="000000" w:themeColor="text1"/>
          <w:sz w:val="22"/>
          <w:szCs w:val="22"/>
        </w:rPr>
        <w:t>s</w:t>
      </w:r>
      <w:r w:rsidRPr="005873AF">
        <w:rPr>
          <w:rFonts w:ascii="Arial" w:eastAsia="Arial" w:hAnsi="Arial" w:cs="Arial"/>
          <w:bCs/>
          <w:color w:val="000000" w:themeColor="text1"/>
          <w:sz w:val="22"/>
          <w:szCs w:val="22"/>
        </w:rPr>
        <w:t xml:space="preserve"> por la prohibición para contratar directamente establecida en el artículo 33 de la Ley de Garantías</w:t>
      </w:r>
      <w:r w:rsidR="009A4BBD" w:rsidRPr="005873AF">
        <w:rPr>
          <w:rFonts w:ascii="Arial" w:eastAsia="Arial" w:hAnsi="Arial" w:cs="Arial"/>
          <w:bCs/>
          <w:color w:val="000000" w:themeColor="text1"/>
          <w:sz w:val="22"/>
          <w:szCs w:val="22"/>
        </w:rPr>
        <w:t xml:space="preserve"> Electorales</w:t>
      </w:r>
      <w:r w:rsidRPr="005873AF">
        <w:rPr>
          <w:rFonts w:ascii="Arial" w:eastAsia="Arial" w:hAnsi="Arial" w:cs="Arial"/>
          <w:bCs/>
          <w:color w:val="000000" w:themeColor="text1"/>
          <w:sz w:val="22"/>
          <w:szCs w:val="22"/>
        </w:rPr>
        <w:t xml:space="preserve">. Sin embargo, es importante reiterar que </w:t>
      </w:r>
      <w:r w:rsidRPr="005873AF">
        <w:rPr>
          <w:rFonts w:ascii="Arial" w:hAnsi="Arial" w:cs="Arial"/>
          <w:bCs/>
          <w:color w:val="000000" w:themeColor="text1"/>
          <w:sz w:val="22"/>
          <w:lang w:val="es-ES_tradnl"/>
        </w:rPr>
        <w:t xml:space="preserve">el segundo inciso </w:t>
      </w:r>
      <w:r w:rsidR="00E42D0E" w:rsidRPr="005873AF">
        <w:rPr>
          <w:rFonts w:ascii="Arial" w:hAnsi="Arial" w:cs="Arial"/>
          <w:bCs/>
          <w:color w:val="000000" w:themeColor="text1"/>
          <w:sz w:val="22"/>
          <w:lang w:val="es-ES_tradnl"/>
        </w:rPr>
        <w:t>de la misma disposición</w:t>
      </w:r>
      <w:r w:rsidRPr="005873AF">
        <w:rPr>
          <w:rFonts w:ascii="Arial" w:hAnsi="Arial" w:cs="Arial"/>
          <w:bCs/>
          <w:color w:val="000000" w:themeColor="text1"/>
          <w:sz w:val="22"/>
          <w:lang w:val="es-ES_tradnl"/>
        </w:rPr>
        <w:t xml:space="preserve"> consagró las excepciones aplicables a la prohibición de contratación directa establecida en el mismo artículo. Como se indicó, las excepciones a la prohibición del artículo 33 de la norma mencionada son las siguientes:</w:t>
      </w:r>
    </w:p>
    <w:p w14:paraId="6D63963E" w14:textId="77777777" w:rsidR="004500E8" w:rsidRPr="005873AF" w:rsidRDefault="004500E8" w:rsidP="004500E8">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i) La contratación referente a la defensa y seguridad del Estado;</w:t>
      </w:r>
    </w:p>
    <w:p w14:paraId="2087B984" w14:textId="77777777" w:rsidR="004500E8" w:rsidRPr="005873AF" w:rsidRDefault="004500E8" w:rsidP="004500E8">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ii) Los contratos de crédito público;</w:t>
      </w:r>
    </w:p>
    <w:p w14:paraId="11E4D380" w14:textId="77777777" w:rsidR="004500E8" w:rsidRPr="005873AF" w:rsidRDefault="004500E8" w:rsidP="004500E8">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 xml:space="preserve">iii) Los contratos requeridos para cubrir las emergencias educativas, sanitarias y desastres; </w:t>
      </w:r>
    </w:p>
    <w:p w14:paraId="1292811D" w14:textId="77777777" w:rsidR="004500E8" w:rsidRPr="005873AF" w:rsidRDefault="004500E8" w:rsidP="004500E8">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iv) La contratación para la reconstrucción de vías, puentes, carreteras, infraestructura energética y de comunicaciones, en caso de que hayan sido objeto de atentados, acciones terroristas, desastres naturales o casos de fuerza mayor y;</w:t>
      </w:r>
    </w:p>
    <w:p w14:paraId="196FDE13" w14:textId="77777777" w:rsidR="004500E8" w:rsidRPr="005873AF" w:rsidRDefault="004500E8" w:rsidP="004500E8">
      <w:pPr>
        <w:tabs>
          <w:tab w:val="left" w:pos="709"/>
        </w:tabs>
        <w:spacing w:before="120" w:line="276" w:lineRule="auto"/>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ab/>
        <w:t xml:space="preserve">v) La contratación que deban realizar las entidades sanitarias y hospitalarias. </w:t>
      </w:r>
    </w:p>
    <w:p w14:paraId="73A73CA4" w14:textId="77777777" w:rsidR="004500E8" w:rsidRPr="005873AF" w:rsidRDefault="004500E8" w:rsidP="004500E8">
      <w:pPr>
        <w:tabs>
          <w:tab w:val="left" w:pos="426"/>
        </w:tabs>
        <w:spacing w:before="120" w:line="276" w:lineRule="auto"/>
        <w:ind w:firstLine="709"/>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 xml:space="preserve">La Sala de Consulta y Servicio Civil del Consejo de Estado, en concepto del 4 de febrero de 2010, se pronunció frente a las razones por las que el legislador consagró excepciones al artículo 33 de la Ley de Garantías Electorales: </w:t>
      </w:r>
    </w:p>
    <w:p w14:paraId="71CE5331" w14:textId="77777777" w:rsidR="004500E8" w:rsidRPr="005873AF" w:rsidRDefault="004500E8" w:rsidP="004500E8">
      <w:pPr>
        <w:tabs>
          <w:tab w:val="left" w:pos="426"/>
        </w:tabs>
        <w:ind w:firstLine="709"/>
        <w:jc w:val="both"/>
        <w:rPr>
          <w:rFonts w:ascii="Arial" w:hAnsi="Arial" w:cs="Arial"/>
          <w:bCs/>
          <w:color w:val="000000" w:themeColor="text1"/>
          <w:sz w:val="22"/>
          <w:lang w:val="es-ES_tradnl"/>
        </w:rPr>
      </w:pPr>
    </w:p>
    <w:p w14:paraId="135A6322" w14:textId="77777777" w:rsidR="004500E8" w:rsidRPr="005873AF" w:rsidRDefault="004500E8" w:rsidP="004500E8">
      <w:pPr>
        <w:shd w:val="clear" w:color="auto" w:fill="FFFFFF"/>
        <w:ind w:left="709" w:right="709"/>
        <w:jc w:val="both"/>
        <w:rPr>
          <w:rFonts w:ascii="Arial" w:hAnsi="Arial" w:cs="Arial"/>
          <w:color w:val="000000" w:themeColor="text1"/>
          <w:sz w:val="21"/>
          <w:szCs w:val="21"/>
          <w:lang w:val="es-ES_tradnl" w:eastAsia="es-CO"/>
        </w:rPr>
      </w:pPr>
      <w:r w:rsidRPr="005873AF">
        <w:rPr>
          <w:rFonts w:ascii="Arial" w:hAnsi="Arial" w:cs="Arial"/>
          <w:color w:val="000000" w:themeColor="text1"/>
          <w:sz w:val="21"/>
          <w:szCs w:val="21"/>
          <w:lang w:val="es-ES_tradnl" w:eastAsia="es-CO"/>
        </w:rPr>
        <w:t>[…] Las excepciones establecidas en los artículos 32 y 33 en comento, guardan relación, exclusivamente, con algunos servicios públicos que por su naturaleza no admiten postergaciones en la atención de sus necesidades de personal, bienes y servicios [...]</w:t>
      </w:r>
      <w:r w:rsidRPr="005873AF">
        <w:rPr>
          <w:rFonts w:ascii="Arial" w:hAnsi="Arial" w:cs="Arial"/>
          <w:color w:val="000000" w:themeColor="text1"/>
          <w:sz w:val="21"/>
          <w:szCs w:val="21"/>
          <w:vertAlign w:val="superscript"/>
          <w:lang w:val="es-ES_tradnl" w:eastAsia="es-CO"/>
        </w:rPr>
        <w:footnoteReference w:id="38"/>
      </w:r>
      <w:r w:rsidRPr="005873AF">
        <w:rPr>
          <w:rFonts w:ascii="Arial" w:hAnsi="Arial" w:cs="Arial"/>
          <w:color w:val="000000" w:themeColor="text1"/>
          <w:sz w:val="21"/>
          <w:szCs w:val="21"/>
          <w:lang w:val="es-ES_tradnl" w:eastAsia="es-CO"/>
        </w:rPr>
        <w:t xml:space="preserve">. </w:t>
      </w:r>
    </w:p>
    <w:p w14:paraId="0D99CB39" w14:textId="77777777" w:rsidR="004500E8" w:rsidRPr="005873AF" w:rsidRDefault="004500E8" w:rsidP="004500E8">
      <w:pPr>
        <w:shd w:val="clear" w:color="auto" w:fill="FFFFFF"/>
        <w:spacing w:line="276" w:lineRule="auto"/>
        <w:ind w:left="709" w:right="709"/>
        <w:jc w:val="both"/>
        <w:rPr>
          <w:rFonts w:ascii="Arial" w:hAnsi="Arial" w:cs="Arial"/>
          <w:color w:val="000000" w:themeColor="text1"/>
          <w:sz w:val="21"/>
          <w:szCs w:val="21"/>
          <w:lang w:val="es-ES_tradnl" w:eastAsia="es-CO"/>
        </w:rPr>
      </w:pPr>
    </w:p>
    <w:p w14:paraId="60160234" w14:textId="77777777" w:rsidR="004500E8" w:rsidRPr="005873AF" w:rsidRDefault="004500E8" w:rsidP="004500E8">
      <w:pPr>
        <w:shd w:val="clear" w:color="auto" w:fill="FFFFFF"/>
        <w:spacing w:line="276" w:lineRule="auto"/>
        <w:ind w:firstLine="709"/>
        <w:jc w:val="both"/>
        <w:rPr>
          <w:rFonts w:ascii="Arial" w:hAnsi="Arial" w:cs="Arial"/>
          <w:color w:val="000000" w:themeColor="text1"/>
          <w:sz w:val="22"/>
          <w:lang w:val="es-ES_tradnl" w:eastAsia="es-CO"/>
        </w:rPr>
      </w:pPr>
      <w:r w:rsidRPr="005873AF">
        <w:rPr>
          <w:rFonts w:ascii="Arial" w:hAnsi="Arial" w:cs="Arial"/>
          <w:color w:val="000000" w:themeColor="text1"/>
          <w:sz w:val="22"/>
          <w:lang w:val="es-ES_tradnl" w:eastAsia="es-CO"/>
        </w:rPr>
        <w:t xml:space="preserve">A su vez, la Corte Constitucional, al analizar la constitucionalidad de la Ley de Garantías Electorales, consideró que las prohibiciones consagradas en los artículos 32 y 33 de la ley mencionada no pueden ir en detrimento de intereses públicos. Por lo anterior, la Alta Corte consideró que las excepciones para la prohibición de contratación se encontraban justificadas, declarando su </w:t>
      </w:r>
      <w:proofErr w:type="spellStart"/>
      <w:r w:rsidRPr="005873AF">
        <w:rPr>
          <w:rFonts w:ascii="Arial" w:hAnsi="Arial" w:cs="Arial"/>
          <w:color w:val="000000" w:themeColor="text1"/>
          <w:sz w:val="22"/>
          <w:lang w:val="es-ES_tradnl" w:eastAsia="es-CO"/>
        </w:rPr>
        <w:t>exequibilidad</w:t>
      </w:r>
      <w:proofErr w:type="spellEnd"/>
      <w:r w:rsidRPr="005873AF">
        <w:rPr>
          <w:rFonts w:ascii="Arial" w:hAnsi="Arial" w:cs="Arial"/>
          <w:color w:val="000000" w:themeColor="text1"/>
          <w:sz w:val="22"/>
          <w:lang w:val="es-ES_tradnl" w:eastAsia="es-CO"/>
        </w:rPr>
        <w:t xml:space="preserve">. Así, por ejemplo, la Corte Constitucional explicó que «las excepciones de limitación protegen diversos tipos de urgencias de defensa, salud, educación, infraestructura vial y de servicios públicos y ecológicas tienden a no limitar desproporcionadamente la acción del Estado en el </w:t>
      </w:r>
      <w:r w:rsidRPr="005873AF">
        <w:rPr>
          <w:rFonts w:ascii="Arial" w:hAnsi="Arial" w:cs="Arial"/>
          <w:color w:val="000000" w:themeColor="text1"/>
          <w:sz w:val="22"/>
          <w:lang w:val="es-ES_tradnl" w:eastAsia="es-CO"/>
        </w:rPr>
        <w:lastRenderedPageBreak/>
        <w:t>cumplimiento de sus fines, en procura de la igualdad entre candidatos como garantía electoral»</w:t>
      </w:r>
      <w:r w:rsidRPr="005873AF">
        <w:rPr>
          <w:rFonts w:ascii="Arial" w:hAnsi="Arial" w:cs="Arial"/>
          <w:color w:val="000000" w:themeColor="text1"/>
          <w:sz w:val="22"/>
          <w:vertAlign w:val="superscript"/>
          <w:lang w:val="es-ES_tradnl" w:eastAsia="es-CO"/>
        </w:rPr>
        <w:footnoteReference w:id="39"/>
      </w:r>
      <w:r w:rsidRPr="005873AF">
        <w:rPr>
          <w:rFonts w:ascii="Arial" w:hAnsi="Arial" w:cs="Arial"/>
          <w:color w:val="000000" w:themeColor="text1"/>
          <w:sz w:val="22"/>
          <w:lang w:val="es-ES_tradnl" w:eastAsia="es-CO"/>
        </w:rPr>
        <w:t xml:space="preserve">. </w:t>
      </w:r>
    </w:p>
    <w:p w14:paraId="475F5D15" w14:textId="6F30B044" w:rsidR="004500E8" w:rsidRPr="005873AF" w:rsidRDefault="004500E8" w:rsidP="004500E8">
      <w:pPr>
        <w:tabs>
          <w:tab w:val="left" w:pos="426"/>
        </w:tabs>
        <w:spacing w:before="120" w:line="276" w:lineRule="auto"/>
        <w:ind w:firstLine="709"/>
        <w:jc w:val="both"/>
        <w:rPr>
          <w:rFonts w:ascii="Arial" w:hAnsi="Arial" w:cs="Arial"/>
          <w:color w:val="000000" w:themeColor="text1"/>
          <w:sz w:val="22"/>
          <w:lang w:val="es-ES_tradnl"/>
        </w:rPr>
      </w:pPr>
      <w:r w:rsidRPr="005873AF">
        <w:rPr>
          <w:rFonts w:ascii="Arial" w:hAnsi="Arial" w:cs="Arial"/>
          <w:bCs/>
          <w:color w:val="000000" w:themeColor="text1"/>
          <w:sz w:val="22"/>
          <w:lang w:val="es-ES_tradnl"/>
        </w:rPr>
        <w:t xml:space="preserve">Por tanto, las excepciones a la prohibición contenida en el inciso segundo de artículo 33 de la ley de garantías electorales tienen por finalidad garantizar la </w:t>
      </w:r>
      <w:r w:rsidR="009A4BBD" w:rsidRPr="005873AF">
        <w:rPr>
          <w:rFonts w:ascii="Arial" w:hAnsi="Arial" w:cs="Arial"/>
          <w:bCs/>
          <w:color w:val="000000" w:themeColor="text1"/>
          <w:sz w:val="22"/>
          <w:lang w:val="es-ES_tradnl"/>
        </w:rPr>
        <w:t>realización</w:t>
      </w:r>
      <w:r w:rsidRPr="005873AF">
        <w:rPr>
          <w:rFonts w:ascii="Arial" w:hAnsi="Arial" w:cs="Arial"/>
          <w:bCs/>
          <w:color w:val="000000" w:themeColor="text1"/>
          <w:sz w:val="22"/>
          <w:lang w:val="es-ES_tradnl"/>
        </w:rPr>
        <w:t xml:space="preserve"> ininterrumpida de </w:t>
      </w:r>
      <w:r w:rsidR="009A4BBD" w:rsidRPr="005873AF">
        <w:rPr>
          <w:rFonts w:ascii="Arial" w:hAnsi="Arial" w:cs="Arial"/>
          <w:bCs/>
          <w:color w:val="000000" w:themeColor="text1"/>
          <w:sz w:val="22"/>
          <w:lang w:val="es-ES_tradnl"/>
        </w:rPr>
        <w:t>ciertas actividades</w:t>
      </w:r>
      <w:r w:rsidRPr="005873AF">
        <w:rPr>
          <w:rFonts w:ascii="Arial" w:hAnsi="Arial" w:cs="Arial"/>
          <w:bCs/>
          <w:color w:val="000000" w:themeColor="text1"/>
          <w:sz w:val="22"/>
          <w:lang w:val="es-ES_tradnl"/>
        </w:rPr>
        <w:t xml:space="preserve"> que</w:t>
      </w:r>
      <w:r w:rsidR="009A4BBD" w:rsidRPr="005873AF">
        <w:rPr>
          <w:rFonts w:ascii="Arial" w:hAnsi="Arial" w:cs="Arial"/>
          <w:bCs/>
          <w:color w:val="000000" w:themeColor="text1"/>
          <w:sz w:val="22"/>
          <w:lang w:val="es-ES_tradnl"/>
        </w:rPr>
        <w:t>,</w:t>
      </w:r>
      <w:r w:rsidRPr="005873AF">
        <w:rPr>
          <w:rFonts w:ascii="Arial" w:hAnsi="Arial" w:cs="Arial"/>
          <w:bCs/>
          <w:color w:val="000000" w:themeColor="text1"/>
          <w:sz w:val="22"/>
          <w:lang w:val="es-ES_tradnl"/>
        </w:rPr>
        <w:t xml:space="preserve"> dada su importancia en el orden interno, se verían irrazonablemen</w:t>
      </w:r>
      <w:r w:rsidR="00FD10E4" w:rsidRPr="005873AF">
        <w:rPr>
          <w:rFonts w:ascii="Arial" w:hAnsi="Arial" w:cs="Arial"/>
          <w:bCs/>
          <w:color w:val="000000" w:themeColor="text1"/>
          <w:sz w:val="22"/>
          <w:lang w:val="es-ES_tradnl"/>
        </w:rPr>
        <w:t xml:space="preserve">te afectados por la restricción. </w:t>
      </w:r>
      <w:r w:rsidRPr="005873AF">
        <w:rPr>
          <w:rFonts w:ascii="Arial" w:hAnsi="Arial" w:cs="Arial"/>
          <w:bCs/>
          <w:color w:val="000000" w:themeColor="text1"/>
          <w:sz w:val="22"/>
          <w:lang w:val="es-ES_tradnl"/>
        </w:rPr>
        <w:t>De igual forma, la Sala de Consulta y Servicio Civil del Consejo de Estado, en concepto del 2 de septiembre de 2013</w:t>
      </w:r>
      <w:r w:rsidRPr="005873AF">
        <w:rPr>
          <w:rFonts w:ascii="Arial" w:hAnsi="Arial" w:cs="Arial"/>
          <w:color w:val="000000" w:themeColor="text1"/>
          <w:sz w:val="22"/>
          <w:lang w:val="es-ES_tradnl"/>
        </w:rPr>
        <w:t xml:space="preserve">, mencionó las excepciones a la prohibición del artículo 33 de la Ley de Garantías Electorales, resaltando el carácter taxativo de la regla de excepción referida, y señalando la independencia de los supuestos establecidos allí, así: </w:t>
      </w:r>
    </w:p>
    <w:p w14:paraId="3082C074" w14:textId="77777777" w:rsidR="004500E8" w:rsidRPr="005873AF" w:rsidRDefault="004500E8" w:rsidP="004500E8">
      <w:pPr>
        <w:tabs>
          <w:tab w:val="left" w:pos="426"/>
        </w:tabs>
        <w:spacing w:line="276" w:lineRule="auto"/>
        <w:ind w:firstLine="709"/>
        <w:jc w:val="both"/>
        <w:rPr>
          <w:rFonts w:ascii="Arial" w:hAnsi="Arial" w:cs="Arial"/>
          <w:bCs/>
          <w:color w:val="000000" w:themeColor="text1"/>
          <w:sz w:val="22"/>
          <w:lang w:val="es-ES_tradnl"/>
        </w:rPr>
      </w:pPr>
    </w:p>
    <w:p w14:paraId="231DE31B" w14:textId="77777777" w:rsidR="004500E8" w:rsidRPr="005873AF" w:rsidRDefault="004500E8" w:rsidP="004500E8">
      <w:pPr>
        <w:tabs>
          <w:tab w:val="left" w:pos="426"/>
        </w:tabs>
        <w:ind w:right="709"/>
        <w:jc w:val="both"/>
        <w:rPr>
          <w:rFonts w:ascii="Arial" w:hAnsi="Arial" w:cs="Arial"/>
          <w:color w:val="000000" w:themeColor="text1"/>
          <w:sz w:val="21"/>
          <w:szCs w:val="21"/>
          <w:lang w:val="es-ES_tradnl"/>
        </w:rPr>
      </w:pPr>
      <w:r w:rsidRPr="005873AF">
        <w:rPr>
          <w:rFonts w:ascii="Arial" w:hAnsi="Arial" w:cs="Arial"/>
          <w:color w:val="000000" w:themeColor="text1"/>
          <w:sz w:val="21"/>
          <w:szCs w:val="21"/>
          <w:lang w:val="es-ES_tradnl"/>
        </w:rPr>
        <w:tab/>
      </w:r>
      <w:r w:rsidRPr="005873AF">
        <w:rPr>
          <w:rFonts w:ascii="Arial" w:hAnsi="Arial" w:cs="Arial"/>
          <w:color w:val="000000" w:themeColor="text1"/>
          <w:sz w:val="21"/>
          <w:szCs w:val="21"/>
          <w:lang w:val="es-ES_tradnl"/>
        </w:rPr>
        <w:tab/>
        <w:t>[…]</w:t>
      </w:r>
    </w:p>
    <w:p w14:paraId="6F5B603F" w14:textId="77777777" w:rsidR="004500E8" w:rsidRPr="005873AF" w:rsidRDefault="004500E8" w:rsidP="004500E8">
      <w:pPr>
        <w:ind w:left="709" w:right="709"/>
        <w:jc w:val="both"/>
        <w:rPr>
          <w:rFonts w:ascii="Arial" w:hAnsi="Arial" w:cs="Arial"/>
          <w:i/>
          <w:color w:val="000000" w:themeColor="text1"/>
          <w:sz w:val="21"/>
          <w:szCs w:val="21"/>
          <w:lang w:val="es-ES_tradnl"/>
        </w:rPr>
      </w:pPr>
      <w:r w:rsidRPr="005873AF">
        <w:rPr>
          <w:rFonts w:ascii="Arial" w:hAnsi="Arial" w:cs="Arial"/>
          <w:i/>
          <w:color w:val="000000" w:themeColor="text1"/>
          <w:sz w:val="21"/>
          <w:szCs w:val="21"/>
          <w:lang w:val="es-ES_tradnl"/>
        </w:rPr>
        <w:t>Las excepciones aplicables a la restricción de contratación pública</w:t>
      </w:r>
    </w:p>
    <w:p w14:paraId="4879B51C" w14:textId="77777777" w:rsidR="004500E8" w:rsidRPr="005873AF" w:rsidRDefault="004500E8" w:rsidP="004500E8">
      <w:pPr>
        <w:ind w:left="709" w:right="709"/>
        <w:jc w:val="both"/>
        <w:rPr>
          <w:rFonts w:ascii="Arial" w:hAnsi="Arial" w:cs="Arial"/>
          <w:color w:val="000000" w:themeColor="text1"/>
          <w:sz w:val="21"/>
          <w:szCs w:val="21"/>
          <w:shd w:val="clear" w:color="auto" w:fill="FFFFFF"/>
          <w:lang w:val="es-ES_tradnl"/>
        </w:rPr>
      </w:pPr>
      <w:r w:rsidRPr="005873AF">
        <w:rPr>
          <w:rFonts w:ascii="Arial" w:hAnsi="Arial" w:cs="Arial"/>
          <w:color w:val="000000" w:themeColor="text1"/>
          <w:sz w:val="21"/>
          <w:szCs w:val="21"/>
          <w:shd w:val="clear" w:color="auto" w:fill="FFFFFF"/>
          <w:lang w:val="es-ES_tradnl"/>
        </w:rPr>
        <w:t>Ahora bien, las únicas excepciones a las disposiciones previstas en la Ley de Garantías se encuentran numeradas taxativamente en el último inciso del artículo 33 de la ley 996 de 2005, dentro de las que se encuentran:</w:t>
      </w:r>
    </w:p>
    <w:p w14:paraId="44FA607A" w14:textId="77777777" w:rsidR="004500E8" w:rsidRPr="005873AF" w:rsidRDefault="004500E8" w:rsidP="004500E8">
      <w:pPr>
        <w:ind w:left="709" w:right="709"/>
        <w:jc w:val="both"/>
        <w:rPr>
          <w:rFonts w:ascii="Arial" w:hAnsi="Arial" w:cs="Arial"/>
          <w:color w:val="000000" w:themeColor="text1"/>
          <w:sz w:val="21"/>
          <w:szCs w:val="21"/>
          <w:shd w:val="clear" w:color="auto" w:fill="FFFFFF"/>
          <w:lang w:val="es-ES_tradnl"/>
        </w:rPr>
      </w:pPr>
      <w:r w:rsidRPr="005873AF">
        <w:rPr>
          <w:rFonts w:ascii="Arial" w:hAnsi="Arial" w:cs="Arial"/>
          <w:color w:val="000000" w:themeColor="text1"/>
          <w:sz w:val="21"/>
          <w:szCs w:val="21"/>
          <w:shd w:val="clear" w:color="auto" w:fill="FFFFFF"/>
          <w:lang w:val="es-ES_tradnl"/>
        </w:rPr>
        <w:t xml:space="preserve">[…] </w:t>
      </w:r>
    </w:p>
    <w:p w14:paraId="374B0ECA" w14:textId="77777777" w:rsidR="004500E8" w:rsidRPr="005873AF" w:rsidRDefault="004500E8" w:rsidP="004500E8">
      <w:pPr>
        <w:ind w:left="709" w:right="709"/>
        <w:jc w:val="both"/>
        <w:rPr>
          <w:rFonts w:ascii="Arial" w:hAnsi="Arial" w:cs="Arial"/>
          <w:color w:val="000000" w:themeColor="text1"/>
          <w:sz w:val="21"/>
          <w:szCs w:val="21"/>
          <w:shd w:val="clear" w:color="auto" w:fill="FFFFFF"/>
          <w:lang w:val="es-ES_tradnl"/>
        </w:rPr>
      </w:pPr>
      <w:r w:rsidRPr="005873AF">
        <w:rPr>
          <w:rFonts w:ascii="Arial" w:hAnsi="Arial" w:cs="Arial"/>
          <w:color w:val="000000" w:themeColor="text1"/>
          <w:sz w:val="21"/>
          <w:szCs w:val="21"/>
          <w:shd w:val="clear" w:color="auto" w:fill="FFFFFF"/>
          <w:lang w:val="es-ES_tradnl"/>
        </w:rPr>
        <w:t>5. Los que deban realizar las entidades sanitarias y hospitalarias […]</w:t>
      </w:r>
      <w:r w:rsidRPr="005873AF">
        <w:rPr>
          <w:rFonts w:ascii="Arial" w:hAnsi="Arial" w:cs="Arial"/>
          <w:color w:val="000000" w:themeColor="text1"/>
          <w:sz w:val="21"/>
          <w:szCs w:val="21"/>
          <w:shd w:val="clear" w:color="auto" w:fill="FFFFFF"/>
          <w:vertAlign w:val="superscript"/>
          <w:lang w:val="es-ES_tradnl"/>
        </w:rPr>
        <w:footnoteReference w:id="40"/>
      </w:r>
      <w:r w:rsidRPr="005873AF">
        <w:rPr>
          <w:rFonts w:ascii="Arial" w:hAnsi="Arial" w:cs="Arial"/>
          <w:color w:val="000000" w:themeColor="text1"/>
          <w:sz w:val="21"/>
          <w:szCs w:val="21"/>
          <w:shd w:val="clear" w:color="auto" w:fill="FFFFFF"/>
          <w:lang w:val="es-ES_tradnl"/>
        </w:rPr>
        <w:t>.</w:t>
      </w:r>
    </w:p>
    <w:p w14:paraId="55831F91" w14:textId="77777777" w:rsidR="004500E8" w:rsidRPr="005873AF" w:rsidRDefault="004500E8" w:rsidP="004500E8">
      <w:pPr>
        <w:spacing w:line="276" w:lineRule="auto"/>
        <w:ind w:left="709" w:right="709"/>
        <w:jc w:val="both"/>
        <w:rPr>
          <w:rFonts w:ascii="Arial" w:hAnsi="Arial" w:cs="Arial"/>
          <w:color w:val="000000" w:themeColor="text1"/>
          <w:sz w:val="21"/>
          <w:szCs w:val="21"/>
          <w:shd w:val="clear" w:color="auto" w:fill="FFFFFF"/>
          <w:lang w:val="es-ES_tradnl"/>
        </w:rPr>
      </w:pPr>
    </w:p>
    <w:p w14:paraId="225EE2C2" w14:textId="7F5FA885" w:rsidR="004500E8" w:rsidRPr="005873AF" w:rsidRDefault="004500E8" w:rsidP="004500E8">
      <w:pPr>
        <w:tabs>
          <w:tab w:val="left" w:pos="426"/>
        </w:tabs>
        <w:spacing w:line="276" w:lineRule="auto"/>
        <w:ind w:firstLine="709"/>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 xml:space="preserve">Lo anterior implica que las excepciones al artículo 33 en comento deben interpretarse y aplicarse </w:t>
      </w:r>
      <w:r w:rsidR="00C10360" w:rsidRPr="005873AF">
        <w:rPr>
          <w:rFonts w:ascii="Arial" w:hAnsi="Arial" w:cs="Arial"/>
          <w:bCs/>
          <w:color w:val="000000" w:themeColor="text1"/>
          <w:sz w:val="22"/>
          <w:lang w:val="es-ES_tradnl"/>
        </w:rPr>
        <w:t xml:space="preserve">de </w:t>
      </w:r>
      <w:r w:rsidRPr="005873AF">
        <w:rPr>
          <w:rFonts w:ascii="Arial" w:hAnsi="Arial" w:cs="Arial"/>
          <w:bCs/>
          <w:color w:val="000000" w:themeColor="text1"/>
          <w:sz w:val="22"/>
          <w:lang w:val="es-ES_tradnl"/>
        </w:rPr>
        <w:t xml:space="preserve">manera </w:t>
      </w:r>
      <w:r w:rsidR="00C10360" w:rsidRPr="005873AF">
        <w:rPr>
          <w:rFonts w:ascii="Arial" w:hAnsi="Arial" w:cs="Arial"/>
          <w:bCs/>
          <w:color w:val="000000" w:themeColor="text1"/>
          <w:sz w:val="22"/>
          <w:lang w:val="es-ES_tradnl"/>
        </w:rPr>
        <w:t>estricta</w:t>
      </w:r>
      <w:r w:rsidRPr="005873AF">
        <w:rPr>
          <w:rFonts w:ascii="Arial" w:hAnsi="Arial" w:cs="Arial"/>
          <w:bCs/>
          <w:color w:val="000000" w:themeColor="text1"/>
          <w:sz w:val="22"/>
          <w:lang w:val="es-ES_tradnl"/>
        </w:rPr>
        <w:t>. En otras palabras, que no sería factible hacer interpretaciones extensivas</w:t>
      </w:r>
      <w:r w:rsidRPr="005873AF">
        <w:rPr>
          <w:rFonts w:ascii="Arial" w:hAnsi="Arial" w:cs="Arial"/>
          <w:bCs/>
          <w:i/>
          <w:iCs/>
          <w:color w:val="000000" w:themeColor="text1"/>
          <w:sz w:val="22"/>
          <w:lang w:val="es-ES_tradnl"/>
        </w:rPr>
        <w:t xml:space="preserve"> </w:t>
      </w:r>
      <w:r w:rsidRPr="005873AF">
        <w:rPr>
          <w:rFonts w:ascii="Arial" w:hAnsi="Arial" w:cs="Arial"/>
          <w:bCs/>
          <w:color w:val="000000" w:themeColor="text1"/>
          <w:sz w:val="22"/>
          <w:lang w:val="es-ES_tradnl"/>
        </w:rPr>
        <w:t xml:space="preserve">para incluir otros supuestos de hecho similares a las circunstancias previstas en dicho artículo, pues el carácter taxativo implica que solo en los eventos consagrados expresamente en la norma permiten que ciertas entidades estatales se vean exceptuadas de la prohibición. </w:t>
      </w:r>
    </w:p>
    <w:p w14:paraId="2D2DE13A" w14:textId="6DCD61A5" w:rsidR="004500E8" w:rsidRPr="005873AF" w:rsidRDefault="00B220D1" w:rsidP="004500E8">
      <w:pPr>
        <w:tabs>
          <w:tab w:val="left" w:pos="426"/>
        </w:tabs>
        <w:spacing w:before="120" w:line="276" w:lineRule="auto"/>
        <w:ind w:firstLine="709"/>
        <w:jc w:val="both"/>
        <w:rPr>
          <w:rFonts w:ascii="Arial" w:hAnsi="Arial" w:cs="Arial"/>
          <w:color w:val="000000" w:themeColor="text1"/>
          <w:sz w:val="22"/>
          <w:lang w:val="es-ES_tradnl"/>
        </w:rPr>
      </w:pPr>
      <w:r w:rsidRPr="005873AF">
        <w:rPr>
          <w:rFonts w:ascii="Arial" w:hAnsi="Arial" w:cs="Arial"/>
          <w:bCs/>
          <w:color w:val="000000" w:themeColor="text1"/>
          <w:sz w:val="22"/>
          <w:lang w:val="es-ES_tradnl"/>
        </w:rPr>
        <w:t>Así las cosas</w:t>
      </w:r>
      <w:r w:rsidR="00FD10E4" w:rsidRPr="005873AF">
        <w:rPr>
          <w:rFonts w:ascii="Arial" w:hAnsi="Arial" w:cs="Arial"/>
          <w:bCs/>
          <w:color w:val="000000" w:themeColor="text1"/>
          <w:sz w:val="22"/>
          <w:lang w:val="es-ES_tradnl"/>
        </w:rPr>
        <w:t xml:space="preserve">, es </w:t>
      </w:r>
      <w:r w:rsidR="004500E8" w:rsidRPr="005873AF">
        <w:rPr>
          <w:rFonts w:ascii="Arial" w:hAnsi="Arial" w:cs="Arial"/>
          <w:bCs/>
          <w:color w:val="000000" w:themeColor="text1"/>
          <w:sz w:val="22"/>
          <w:lang w:val="es-ES_tradnl"/>
        </w:rPr>
        <w:t>pertinente analizar el quinto evento</w:t>
      </w:r>
      <w:r w:rsidR="004500E8" w:rsidRPr="005873AF">
        <w:rPr>
          <w:rFonts w:ascii="Arial" w:hAnsi="Arial" w:cs="Arial"/>
          <w:bCs/>
          <w:i/>
          <w:color w:val="000000" w:themeColor="text1"/>
          <w:sz w:val="22"/>
          <w:lang w:val="es-ES_tradnl"/>
        </w:rPr>
        <w:t xml:space="preserve"> </w:t>
      </w:r>
      <w:r w:rsidR="004500E8" w:rsidRPr="005873AF">
        <w:rPr>
          <w:rFonts w:ascii="Arial" w:hAnsi="Arial" w:cs="Arial"/>
          <w:bCs/>
          <w:iCs/>
          <w:color w:val="000000" w:themeColor="text1"/>
          <w:sz w:val="22"/>
          <w:lang w:val="es-ES_tradnl"/>
        </w:rPr>
        <w:t xml:space="preserve">exceptuado de la prohibición, relacionado con la contratación por parte de las </w:t>
      </w:r>
      <w:r w:rsidR="004500E8" w:rsidRPr="005873AF">
        <w:rPr>
          <w:rFonts w:ascii="Arial" w:hAnsi="Arial" w:cs="Arial"/>
          <w:bCs/>
          <w:color w:val="000000" w:themeColor="text1"/>
          <w:sz w:val="22"/>
          <w:lang w:val="es-ES_tradnl"/>
        </w:rPr>
        <w:t xml:space="preserve">entidades sanitarias y hospitalarias. </w:t>
      </w:r>
      <w:r w:rsidR="00FD10E4" w:rsidRPr="005873AF">
        <w:rPr>
          <w:rFonts w:ascii="Arial" w:hAnsi="Arial" w:cs="Arial"/>
          <w:bCs/>
          <w:color w:val="000000" w:themeColor="text1"/>
          <w:sz w:val="22"/>
          <w:lang w:val="es-ES_tradnl"/>
        </w:rPr>
        <w:t xml:space="preserve">Para ello, debe tenerse en cuenta </w:t>
      </w:r>
      <w:r w:rsidR="004500E8" w:rsidRPr="005873AF">
        <w:rPr>
          <w:rFonts w:ascii="Arial" w:hAnsi="Arial" w:cs="Arial"/>
          <w:bCs/>
          <w:color w:val="000000" w:themeColor="text1"/>
          <w:sz w:val="22"/>
          <w:lang w:val="es-ES_tradnl"/>
        </w:rPr>
        <w:t>el artí</w:t>
      </w:r>
      <w:r w:rsidR="00FD10E4" w:rsidRPr="005873AF">
        <w:rPr>
          <w:rFonts w:ascii="Arial" w:hAnsi="Arial" w:cs="Arial"/>
          <w:bCs/>
          <w:color w:val="000000" w:themeColor="text1"/>
          <w:sz w:val="22"/>
          <w:lang w:val="es-ES_tradnl"/>
        </w:rPr>
        <w:t>culo 94 de la Ley 100 de 1993, que dispone</w:t>
      </w:r>
      <w:r w:rsidR="004500E8" w:rsidRPr="005873AF">
        <w:rPr>
          <w:rFonts w:ascii="Arial" w:hAnsi="Arial" w:cs="Arial"/>
          <w:bCs/>
          <w:color w:val="000000" w:themeColor="text1"/>
          <w:sz w:val="22"/>
          <w:lang w:val="es-ES_tradnl"/>
        </w:rPr>
        <w:t xml:space="preserve"> </w:t>
      </w:r>
      <w:r w:rsidR="004500E8" w:rsidRPr="005873AF">
        <w:rPr>
          <w:rFonts w:ascii="Arial" w:hAnsi="Arial" w:cs="Arial"/>
          <w:bCs/>
          <w:color w:val="000000" w:themeColor="text1"/>
          <w:sz w:val="22"/>
          <w:lang w:val="es-ES_tradnl" w:eastAsia="es-CO"/>
        </w:rPr>
        <w:t>«</w:t>
      </w:r>
      <w:r w:rsidR="004500E8" w:rsidRPr="005873AF">
        <w:rPr>
          <w:rFonts w:ascii="Arial" w:hAnsi="Arial" w:cs="Arial"/>
          <w:bCs/>
          <w:color w:val="000000" w:themeColor="text1"/>
          <w:sz w:val="22"/>
          <w:lang w:val="es-ES_tradnl"/>
        </w:rPr>
        <w:t>l</w:t>
      </w:r>
      <w:r w:rsidR="004500E8" w:rsidRPr="005873AF">
        <w:rPr>
          <w:rFonts w:ascii="Arial" w:hAnsi="Arial" w:cs="Arial"/>
          <w:color w:val="000000" w:themeColor="text1"/>
          <w:sz w:val="22"/>
          <w:lang w:val="es-ES_tradnl"/>
        </w:rPr>
        <w:t>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r w:rsidR="004500E8" w:rsidRPr="005873AF">
        <w:rPr>
          <w:rFonts w:ascii="Arial" w:hAnsi="Arial" w:cs="Arial"/>
          <w:bCs/>
          <w:color w:val="000000" w:themeColor="text1"/>
          <w:sz w:val="22"/>
          <w:lang w:val="es-ES_tradnl" w:eastAsia="es-CO"/>
        </w:rPr>
        <w:t>»</w:t>
      </w:r>
      <w:r w:rsidR="004500E8" w:rsidRPr="005873AF">
        <w:rPr>
          <w:rFonts w:ascii="Arial" w:hAnsi="Arial" w:cs="Arial"/>
          <w:color w:val="000000" w:themeColor="text1"/>
          <w:sz w:val="22"/>
          <w:lang w:val="es-ES_tradnl"/>
        </w:rPr>
        <w:t xml:space="preserve">. </w:t>
      </w:r>
    </w:p>
    <w:p w14:paraId="5426431D" w14:textId="77777777" w:rsidR="004500E8" w:rsidRPr="005873AF" w:rsidRDefault="004500E8" w:rsidP="004500E8">
      <w:pPr>
        <w:tabs>
          <w:tab w:val="left" w:pos="426"/>
        </w:tabs>
        <w:spacing w:before="120" w:line="276" w:lineRule="auto"/>
        <w:ind w:firstLine="709"/>
        <w:jc w:val="both"/>
        <w:rPr>
          <w:rFonts w:ascii="Arial" w:hAnsi="Arial" w:cs="Arial"/>
          <w:color w:val="000000" w:themeColor="text1"/>
          <w:sz w:val="22"/>
        </w:rPr>
      </w:pPr>
      <w:r w:rsidRPr="005873AF">
        <w:rPr>
          <w:rFonts w:ascii="Arial" w:hAnsi="Arial" w:cs="Arial"/>
          <w:color w:val="000000" w:themeColor="text1"/>
          <w:sz w:val="22"/>
          <w:lang w:val="es-ES_tradnl"/>
        </w:rPr>
        <w:t xml:space="preserve">Es decir que, a partir de la entrada en vigencia de la Ley 100 de 1993, las Empresas Sociales del Estado son las entidades públicas que tienen a su cargo la prestación de </w:t>
      </w:r>
      <w:r w:rsidRPr="005873AF">
        <w:rPr>
          <w:rFonts w:ascii="Arial" w:hAnsi="Arial" w:cs="Arial"/>
          <w:color w:val="000000" w:themeColor="text1"/>
          <w:sz w:val="22"/>
          <w:lang w:val="es-ES_tradnl"/>
        </w:rPr>
        <w:lastRenderedPageBreak/>
        <w:t>servicios de salud de manera directa. Igualmente, el artículo 197 de la misma disposición</w:t>
      </w:r>
      <w:r w:rsidRPr="005873AF">
        <w:rPr>
          <w:rFonts w:ascii="Arial" w:hAnsi="Arial" w:cs="Arial"/>
          <w:color w:val="000000" w:themeColor="text1"/>
          <w:sz w:val="22"/>
          <w:vertAlign w:val="superscript"/>
          <w:lang w:val="es-ES_tradnl"/>
        </w:rPr>
        <w:footnoteReference w:id="41"/>
      </w:r>
      <w:r w:rsidRPr="005873AF">
        <w:rPr>
          <w:rFonts w:ascii="Arial" w:hAnsi="Arial" w:cs="Arial"/>
          <w:color w:val="000000" w:themeColor="text1"/>
          <w:sz w:val="22"/>
          <w:lang w:val="es-ES_tradnl"/>
        </w:rPr>
        <w:t xml:space="preserve"> otorgó un término de 6 meses a las entidades territoriales prestadoras del servicio de salud para restructurarlas en Empresas Sociales del Estado. </w:t>
      </w:r>
    </w:p>
    <w:p w14:paraId="5AE98F98" w14:textId="586D8D00" w:rsidR="004500E8" w:rsidRPr="005873AF" w:rsidRDefault="004500E8" w:rsidP="004500E8">
      <w:pPr>
        <w:tabs>
          <w:tab w:val="left" w:pos="426"/>
        </w:tabs>
        <w:spacing w:before="120" w:line="276" w:lineRule="auto"/>
        <w:ind w:firstLine="709"/>
        <w:jc w:val="both"/>
        <w:rPr>
          <w:rFonts w:ascii="Arial" w:hAnsi="Arial" w:cs="Arial"/>
          <w:color w:val="000000" w:themeColor="text1"/>
          <w:sz w:val="22"/>
          <w:lang w:val="es-ES_tradnl"/>
        </w:rPr>
      </w:pPr>
      <w:r w:rsidRPr="005873AF">
        <w:rPr>
          <w:rFonts w:ascii="Arial" w:hAnsi="Arial" w:cs="Arial"/>
          <w:color w:val="000000" w:themeColor="text1"/>
          <w:sz w:val="22"/>
          <w:lang w:val="es-ES_tradnl"/>
        </w:rPr>
        <w:t xml:space="preserve">De lo anterior se desprende que, bajo la Ley 100 de 1993, dentro de la estructura de la administración pública las entidades encargadas de prestar el servicio de salud de manera directa son </w:t>
      </w:r>
      <w:r w:rsidR="00FD10E4" w:rsidRPr="005873AF">
        <w:rPr>
          <w:rFonts w:ascii="Arial" w:hAnsi="Arial" w:cs="Arial"/>
          <w:color w:val="000000" w:themeColor="text1"/>
          <w:sz w:val="22"/>
          <w:lang w:val="es-ES_tradnl"/>
        </w:rPr>
        <w:t>las Empresas Sociales del Estado.</w:t>
      </w:r>
      <w:r w:rsidRPr="005873AF">
        <w:rPr>
          <w:rFonts w:ascii="Arial" w:hAnsi="Arial" w:cs="Arial"/>
          <w:color w:val="000000" w:themeColor="text1"/>
          <w:sz w:val="22"/>
          <w:lang w:val="es-ES_tradnl"/>
        </w:rPr>
        <w:t xml:space="preserve"> Además, el mismo artículo 197 de la disposición referida estableció el deber de reestructurar y transformar en Empresas Sociales del Estado a las entidades descentralizadas que, al momento de entrada en vigor de la ley referida, prestaban directamente este servicio.  </w:t>
      </w:r>
    </w:p>
    <w:p w14:paraId="4D368ED0" w14:textId="77777777" w:rsidR="004500E8" w:rsidRPr="005873AF" w:rsidRDefault="004500E8" w:rsidP="004500E8">
      <w:pPr>
        <w:tabs>
          <w:tab w:val="left" w:pos="426"/>
        </w:tabs>
        <w:spacing w:before="120" w:line="276" w:lineRule="auto"/>
        <w:ind w:firstLine="709"/>
        <w:jc w:val="both"/>
        <w:rPr>
          <w:rFonts w:ascii="Arial" w:hAnsi="Arial" w:cs="Arial"/>
          <w:color w:val="000000" w:themeColor="text1"/>
          <w:sz w:val="22"/>
          <w:lang w:val="es-ES_tradnl"/>
        </w:rPr>
      </w:pPr>
      <w:r w:rsidRPr="005873AF">
        <w:rPr>
          <w:rFonts w:ascii="Arial" w:hAnsi="Arial" w:cs="Arial"/>
          <w:color w:val="000000" w:themeColor="text1"/>
          <w:sz w:val="22"/>
          <w:lang w:val="es-ES_tradnl"/>
        </w:rPr>
        <w:t xml:space="preserve">Así, se observa que la voluntad del legislador plasmada en la Ley 100 de 1993 fue homogeneizar o unificar la naturaleza jurídica de las entidades públicas descentralizadas prestadoras del servicio de salud, en Empresas Sociales del Estado. De ello da cuenta, no solo la creación de la institución jurídica referida sino además la imposición del mandato de reestructuración de aquellas entidades en ESE. </w:t>
      </w:r>
    </w:p>
    <w:p w14:paraId="41119E2D" w14:textId="77777777" w:rsidR="004500E8" w:rsidRPr="005873AF" w:rsidRDefault="004500E8" w:rsidP="004500E8">
      <w:pPr>
        <w:tabs>
          <w:tab w:val="left" w:pos="426"/>
        </w:tabs>
        <w:spacing w:before="120" w:line="276" w:lineRule="auto"/>
        <w:ind w:firstLine="709"/>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 xml:space="preserve">Este proceso de reestructuración, dada las implicaciones administrativas que suponen, no ha sido inmediato, según se observa de lo señalado por el Ministerio de la Protección Social como cabeza del sector salud del orden nacional. En este sentido, en concepto del 14 de marzo de 2006, identificado con radicación No. 38644, al pronunciarse sobre el alcance de la regla de excepción establecida en el inciso 2 del artículo 33 de la Ley de Garantías Electorales, frente a las entidades sanitarias y hospitalarias, puso de presente el retardo en el proceso de reestructuración mencionado en la Ley 100 de 1993, así: </w:t>
      </w:r>
    </w:p>
    <w:p w14:paraId="5BEDEB4E" w14:textId="77777777" w:rsidR="004500E8" w:rsidRPr="005873AF" w:rsidRDefault="004500E8" w:rsidP="004500E8">
      <w:pPr>
        <w:tabs>
          <w:tab w:val="left" w:pos="426"/>
        </w:tabs>
        <w:spacing w:line="276" w:lineRule="auto"/>
        <w:ind w:firstLine="709"/>
        <w:jc w:val="both"/>
        <w:rPr>
          <w:rFonts w:ascii="Arial" w:hAnsi="Arial" w:cs="Arial"/>
          <w:bCs/>
          <w:color w:val="000000" w:themeColor="text1"/>
          <w:sz w:val="22"/>
          <w:lang w:val="es-ES_tradnl"/>
        </w:rPr>
      </w:pPr>
    </w:p>
    <w:p w14:paraId="5168E9B3" w14:textId="77777777" w:rsidR="004500E8" w:rsidRPr="005873AF" w:rsidRDefault="004500E8" w:rsidP="004500E8">
      <w:pPr>
        <w:tabs>
          <w:tab w:val="left" w:pos="426"/>
        </w:tabs>
        <w:ind w:left="709" w:right="709"/>
        <w:jc w:val="both"/>
        <w:rPr>
          <w:rFonts w:ascii="Arial" w:hAnsi="Arial" w:cs="Arial"/>
          <w:color w:val="000000" w:themeColor="text1"/>
          <w:sz w:val="21"/>
          <w:szCs w:val="21"/>
          <w:shd w:val="clear" w:color="auto" w:fill="FFFFFF"/>
          <w:lang w:val="es-ES_tradnl"/>
        </w:rPr>
      </w:pPr>
      <w:r w:rsidRPr="005873AF">
        <w:rPr>
          <w:rFonts w:ascii="Arial" w:hAnsi="Arial" w:cs="Arial"/>
          <w:color w:val="000000" w:themeColor="text1"/>
          <w:sz w:val="21"/>
          <w:szCs w:val="21"/>
          <w:shd w:val="clear" w:color="auto" w:fill="FFFFFF"/>
          <w:lang w:val="es-ES_tradnl"/>
        </w:rPr>
        <w:t xml:space="preserve">[…] se encuentran cubiertos por la excepción contemplada en el inciso 2 del artículo 33 de la Ley de Garantías Electorales, las entidades hospitalarias que a la luz de las normas vigentes </w:t>
      </w:r>
      <w:r w:rsidRPr="005873AF">
        <w:rPr>
          <w:rFonts w:ascii="Arial" w:hAnsi="Arial" w:cs="Arial"/>
          <w:i/>
          <w:iCs/>
          <w:color w:val="000000" w:themeColor="text1"/>
          <w:sz w:val="21"/>
          <w:szCs w:val="21"/>
          <w:shd w:val="clear" w:color="auto" w:fill="FFFFFF"/>
          <w:lang w:val="es-ES_tradnl"/>
        </w:rPr>
        <w:t xml:space="preserve">no son otras distintas que las Empresas Sociales del estado y todas aquellas instituciones públicas </w:t>
      </w:r>
      <w:proofErr w:type="gramStart"/>
      <w:r w:rsidRPr="005873AF">
        <w:rPr>
          <w:rFonts w:ascii="Arial" w:hAnsi="Arial" w:cs="Arial"/>
          <w:i/>
          <w:iCs/>
          <w:color w:val="000000" w:themeColor="text1"/>
          <w:sz w:val="21"/>
          <w:szCs w:val="21"/>
          <w:shd w:val="clear" w:color="auto" w:fill="FFFFFF"/>
          <w:lang w:val="es-ES_tradnl"/>
        </w:rPr>
        <w:t>que</w:t>
      </w:r>
      <w:proofErr w:type="gramEnd"/>
      <w:r w:rsidRPr="005873AF">
        <w:rPr>
          <w:rFonts w:ascii="Arial" w:hAnsi="Arial" w:cs="Arial"/>
          <w:i/>
          <w:iCs/>
          <w:color w:val="000000" w:themeColor="text1"/>
          <w:sz w:val="21"/>
          <w:szCs w:val="21"/>
          <w:shd w:val="clear" w:color="auto" w:fill="FFFFFF"/>
          <w:lang w:val="es-ES_tradnl"/>
        </w:rPr>
        <w:t xml:space="preserve"> a pesar de no haberse transformado en Empresas Sociales del Estado, prestan un servicio de salud directo sobre el usuario en su carácter general de entidad hospitalaria</w:t>
      </w:r>
      <w:r w:rsidRPr="005873AF">
        <w:rPr>
          <w:rFonts w:ascii="Arial" w:hAnsi="Arial" w:cs="Arial"/>
          <w:color w:val="000000" w:themeColor="text1"/>
          <w:sz w:val="21"/>
          <w:szCs w:val="21"/>
          <w:shd w:val="clear" w:color="auto" w:fill="FFFFFF"/>
          <w:lang w:val="es-ES_tradnl"/>
        </w:rPr>
        <w:t xml:space="preserve"> […]. (Énfasis fuera de texto) </w:t>
      </w:r>
    </w:p>
    <w:p w14:paraId="40DA541D" w14:textId="77777777" w:rsidR="004500E8" w:rsidRPr="005873AF" w:rsidRDefault="004500E8" w:rsidP="004500E8">
      <w:pPr>
        <w:tabs>
          <w:tab w:val="left" w:pos="426"/>
        </w:tabs>
        <w:spacing w:line="276" w:lineRule="auto"/>
        <w:ind w:left="709" w:right="709"/>
        <w:jc w:val="both"/>
        <w:rPr>
          <w:rFonts w:ascii="Arial" w:hAnsi="Arial" w:cs="Arial"/>
          <w:bCs/>
          <w:color w:val="000000" w:themeColor="text1"/>
          <w:sz w:val="21"/>
          <w:szCs w:val="21"/>
          <w:lang w:val="es-ES_tradnl"/>
        </w:rPr>
      </w:pPr>
    </w:p>
    <w:p w14:paraId="12D9BF72" w14:textId="7B27E7DB" w:rsidR="004500E8" w:rsidRPr="005873AF" w:rsidRDefault="004500E8" w:rsidP="004500E8">
      <w:pPr>
        <w:tabs>
          <w:tab w:val="left" w:pos="426"/>
        </w:tabs>
        <w:spacing w:line="276" w:lineRule="auto"/>
        <w:ind w:firstLine="709"/>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 xml:space="preserve">Del aparte transcrito se </w:t>
      </w:r>
      <w:r w:rsidR="00140E9B" w:rsidRPr="005873AF">
        <w:rPr>
          <w:rFonts w:ascii="Arial" w:hAnsi="Arial" w:cs="Arial"/>
          <w:bCs/>
          <w:color w:val="000000" w:themeColor="text1"/>
          <w:sz w:val="22"/>
          <w:lang w:val="es-ES_tradnl"/>
        </w:rPr>
        <w:t>desprende</w:t>
      </w:r>
      <w:r w:rsidRPr="005873AF">
        <w:rPr>
          <w:rFonts w:ascii="Arial" w:hAnsi="Arial" w:cs="Arial"/>
          <w:bCs/>
          <w:color w:val="000000" w:themeColor="text1"/>
          <w:sz w:val="22"/>
          <w:lang w:val="es-ES_tradnl"/>
        </w:rPr>
        <w:t xml:space="preserve"> que, para la autoridad administrativa del sector salud, las Empresas Sociales del Estado son las entidades hospitalarias de que trata la excepción a la prohibición establecida en el artículo 33 de la ley de Garantías Electorales. De igual forma, incluyen también dentro de esta excepción a la prohibición, a aquellas instituciones públicas que, aunque no cumplieron con el deber de reestructuración </w:t>
      </w:r>
      <w:r w:rsidRPr="005873AF">
        <w:rPr>
          <w:rFonts w:ascii="Arial" w:hAnsi="Arial" w:cs="Arial"/>
          <w:bCs/>
          <w:color w:val="000000" w:themeColor="text1"/>
          <w:sz w:val="22"/>
          <w:lang w:val="es-ES_tradnl"/>
        </w:rPr>
        <w:lastRenderedPageBreak/>
        <w:t xml:space="preserve">establecido en el artículo 197 de la Ley 100 de 1993, prestan un servicio de salud directo como entidad hospitalaria. </w:t>
      </w:r>
    </w:p>
    <w:p w14:paraId="469222E6" w14:textId="6A935F05" w:rsidR="004500E8" w:rsidRPr="005873AF" w:rsidRDefault="004500E8" w:rsidP="004500E8">
      <w:pPr>
        <w:tabs>
          <w:tab w:val="left" w:pos="426"/>
        </w:tabs>
        <w:spacing w:before="120" w:line="276" w:lineRule="auto"/>
        <w:ind w:firstLine="709"/>
        <w:jc w:val="both"/>
        <w:rPr>
          <w:rFonts w:ascii="Arial" w:hAnsi="Arial" w:cs="Arial"/>
          <w:bCs/>
          <w:color w:val="000000" w:themeColor="text1"/>
          <w:sz w:val="22"/>
          <w:lang w:val="es-ES_tradnl"/>
        </w:rPr>
      </w:pPr>
      <w:r w:rsidRPr="005873AF">
        <w:rPr>
          <w:rFonts w:ascii="Arial" w:hAnsi="Arial" w:cs="Arial"/>
          <w:bCs/>
          <w:color w:val="000000" w:themeColor="text1"/>
          <w:sz w:val="22"/>
          <w:lang w:val="es-ES_tradnl"/>
        </w:rPr>
        <w:t xml:space="preserve">Por tanto, las Empresas Sociales del Estado podrían suscribir contratos bajo la modalidad de contratación directa, porque el inciso segundo del artículo 33 de la Ley 996 de 2005 exceptuó de la prohibición de contratación bajo la modalidad referida a las entidades hospitalarias, categoría dentro de las cuales se incluye a las Empresas Sociales del Estado y, en consecuencia, podrán suscribir sus contratos en la forma establecida en sus manuales de contratación, sin que les resulte aplicable la prohibición establecida en el artículo 33 de la Ley 996 de 2005. </w:t>
      </w:r>
    </w:p>
    <w:p w14:paraId="3A789ECC" w14:textId="07902EEA" w:rsidR="004500E8" w:rsidRPr="005873AF" w:rsidRDefault="009A4BBD" w:rsidP="00CA7F21">
      <w:pPr>
        <w:spacing w:before="120" w:after="120" w:line="276" w:lineRule="auto"/>
        <w:ind w:firstLine="709"/>
        <w:jc w:val="both"/>
        <w:rPr>
          <w:rFonts w:ascii="Arial" w:eastAsia="Arial" w:hAnsi="Arial" w:cs="Arial"/>
          <w:bCs/>
          <w:color w:val="000000" w:themeColor="text1"/>
          <w:sz w:val="22"/>
          <w:szCs w:val="22"/>
          <w:lang w:val="es-ES_tradnl"/>
        </w:rPr>
      </w:pPr>
      <w:r w:rsidRPr="005873AF">
        <w:rPr>
          <w:rFonts w:ascii="Arial" w:eastAsia="Arial" w:hAnsi="Arial" w:cs="Arial"/>
          <w:bCs/>
          <w:color w:val="000000" w:themeColor="text1"/>
          <w:sz w:val="22"/>
          <w:szCs w:val="22"/>
        </w:rPr>
        <w:t>De otro lado</w:t>
      </w:r>
      <w:r w:rsidR="004500E8" w:rsidRPr="005873AF">
        <w:rPr>
          <w:rFonts w:ascii="Arial" w:eastAsia="Arial" w:hAnsi="Arial" w:cs="Arial"/>
          <w:bCs/>
          <w:color w:val="000000" w:themeColor="text1"/>
          <w:sz w:val="22"/>
          <w:szCs w:val="22"/>
        </w:rPr>
        <w:t>,</w:t>
      </w:r>
      <w:r w:rsidRPr="005873AF">
        <w:rPr>
          <w:rFonts w:ascii="Arial" w:eastAsia="Arial" w:hAnsi="Arial" w:cs="Arial"/>
          <w:bCs/>
          <w:color w:val="000000" w:themeColor="text1"/>
          <w:sz w:val="22"/>
          <w:szCs w:val="22"/>
        </w:rPr>
        <w:t xml:space="preserve"> en relación con las entidades sanitarias,</w:t>
      </w:r>
      <w:r w:rsidR="004500E8" w:rsidRPr="005873AF">
        <w:rPr>
          <w:rFonts w:ascii="Arial" w:eastAsia="Arial" w:hAnsi="Arial" w:cs="Arial"/>
          <w:bCs/>
          <w:color w:val="000000" w:themeColor="text1"/>
          <w:sz w:val="22"/>
          <w:szCs w:val="22"/>
        </w:rPr>
        <w:t xml:space="preserve"> conviene diferenciar los conceptos de entidad sanitaria y autoridad sanitara. En efecto, el artículo 2.8.8.1.1.3 del Decreto 780 de 2016, «Por medio del cual se expide el Decreto Único Reglamentario del Sector Salud y Protección Social», define las </w:t>
      </w:r>
      <w:r w:rsidR="004500E8" w:rsidRPr="005873AF">
        <w:rPr>
          <w:rFonts w:ascii="Arial" w:eastAsia="Arial" w:hAnsi="Arial" w:cs="Arial"/>
          <w:bCs/>
          <w:i/>
          <w:iCs/>
          <w:color w:val="000000" w:themeColor="text1"/>
          <w:sz w:val="22"/>
          <w:szCs w:val="22"/>
        </w:rPr>
        <w:t>entidades sanitarias</w:t>
      </w:r>
      <w:r w:rsidR="004500E8" w:rsidRPr="005873AF">
        <w:rPr>
          <w:rFonts w:ascii="Arial" w:eastAsia="Arial" w:hAnsi="Arial" w:cs="Arial"/>
          <w:bCs/>
          <w:color w:val="000000" w:themeColor="text1"/>
          <w:sz w:val="22"/>
          <w:szCs w:val="22"/>
        </w:rPr>
        <w:t xml:space="preserve"> como </w:t>
      </w:r>
      <w:bookmarkStart w:id="35" w:name="_Hlk93744348"/>
      <w:r w:rsidR="004500E8" w:rsidRPr="005873AF">
        <w:rPr>
          <w:rFonts w:ascii="Arial" w:eastAsia="Arial" w:hAnsi="Arial" w:cs="Arial"/>
          <w:bCs/>
          <w:color w:val="000000" w:themeColor="text1"/>
          <w:sz w:val="22"/>
          <w:szCs w:val="22"/>
        </w:rPr>
        <w:t>«</w:t>
      </w:r>
      <w:bookmarkEnd w:id="35"/>
      <w:r w:rsidR="004500E8" w:rsidRPr="005873AF">
        <w:rPr>
          <w:rFonts w:ascii="Arial" w:eastAsia="Arial" w:hAnsi="Arial" w:cs="Arial"/>
          <w:bCs/>
          <w:color w:val="000000" w:themeColor="text1"/>
          <w:sz w:val="22"/>
          <w:szCs w:val="22"/>
        </w:rPr>
        <w:t>Entidades del Estado que prestan servicios sanitarios o de sanidad con el propósito de preservar la s</w:t>
      </w:r>
      <w:r w:rsidR="00FD10E4" w:rsidRPr="005873AF">
        <w:rPr>
          <w:rFonts w:ascii="Arial" w:eastAsia="Arial" w:hAnsi="Arial" w:cs="Arial"/>
          <w:bCs/>
          <w:color w:val="000000" w:themeColor="text1"/>
          <w:sz w:val="22"/>
          <w:szCs w:val="22"/>
        </w:rPr>
        <w:t>alud humana y la salud pública»</w:t>
      </w:r>
      <w:r w:rsidR="004500E8" w:rsidRPr="005873AF">
        <w:rPr>
          <w:rFonts w:ascii="Arial" w:eastAsia="Arial" w:hAnsi="Arial" w:cs="Arial"/>
          <w:bCs/>
          <w:color w:val="000000" w:themeColor="text1"/>
          <w:sz w:val="22"/>
          <w:szCs w:val="22"/>
        </w:rPr>
        <w:t>.</w:t>
      </w:r>
      <w:r w:rsidR="00FD10E4" w:rsidRPr="005873AF">
        <w:rPr>
          <w:rFonts w:ascii="Arial" w:eastAsia="Arial" w:hAnsi="Arial" w:cs="Arial"/>
          <w:bCs/>
          <w:color w:val="000000" w:themeColor="text1"/>
          <w:sz w:val="22"/>
          <w:szCs w:val="22"/>
        </w:rPr>
        <w:t xml:space="preserve"> Así mismo</w:t>
      </w:r>
      <w:r w:rsidR="004500E8" w:rsidRPr="005873AF">
        <w:rPr>
          <w:rFonts w:ascii="Arial" w:eastAsia="Arial" w:hAnsi="Arial" w:cs="Arial"/>
          <w:bCs/>
          <w:color w:val="000000" w:themeColor="text1"/>
          <w:sz w:val="22"/>
          <w:szCs w:val="22"/>
        </w:rPr>
        <w:t xml:space="preserve">, el artículo citado también define las </w:t>
      </w:r>
      <w:r w:rsidR="004500E8" w:rsidRPr="005873AF">
        <w:rPr>
          <w:rFonts w:ascii="Arial" w:eastAsia="Arial" w:hAnsi="Arial" w:cs="Arial"/>
          <w:bCs/>
          <w:i/>
          <w:iCs/>
          <w:color w:val="000000" w:themeColor="text1"/>
          <w:sz w:val="22"/>
          <w:szCs w:val="22"/>
        </w:rPr>
        <w:t>autoridades sanitarias</w:t>
      </w:r>
      <w:r w:rsidR="004500E8" w:rsidRPr="005873AF">
        <w:rPr>
          <w:rFonts w:ascii="Arial" w:eastAsia="Arial" w:hAnsi="Arial" w:cs="Arial"/>
          <w:bCs/>
          <w:color w:val="000000" w:themeColor="text1"/>
          <w:sz w:val="22"/>
          <w:szCs w:val="22"/>
        </w:rPr>
        <w:t xml:space="preserve"> como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r w:rsidR="004500E8" w:rsidRPr="005873AF">
        <w:rPr>
          <w:rFonts w:ascii="Arial" w:eastAsia="Arial" w:hAnsi="Arial" w:cs="Arial"/>
          <w:bCs/>
          <w:color w:val="000000" w:themeColor="text1"/>
          <w:sz w:val="22"/>
          <w:szCs w:val="22"/>
          <w:vertAlign w:val="superscript"/>
        </w:rPr>
        <w:footnoteReference w:id="42"/>
      </w:r>
      <w:r w:rsidR="004500E8" w:rsidRPr="005873AF">
        <w:rPr>
          <w:rFonts w:ascii="Arial" w:eastAsia="Arial" w:hAnsi="Arial" w:cs="Arial"/>
          <w:bCs/>
          <w:color w:val="000000" w:themeColor="text1"/>
          <w:sz w:val="22"/>
          <w:szCs w:val="22"/>
        </w:rPr>
        <w:t xml:space="preserve">. Sin embargo, es necesario tener en cuenta que la excepción del artículo 33 de la Ley de Garantías solo aplica a las </w:t>
      </w:r>
      <w:r w:rsidR="004500E8" w:rsidRPr="005873AF">
        <w:rPr>
          <w:rFonts w:ascii="Arial" w:eastAsia="Arial" w:hAnsi="Arial" w:cs="Arial"/>
          <w:bCs/>
          <w:i/>
          <w:iCs/>
          <w:color w:val="000000" w:themeColor="text1"/>
          <w:sz w:val="22"/>
          <w:szCs w:val="22"/>
        </w:rPr>
        <w:t>entidades sanitarias</w:t>
      </w:r>
      <w:r w:rsidR="004500E8" w:rsidRPr="005873AF">
        <w:rPr>
          <w:rFonts w:ascii="Arial" w:eastAsia="Arial" w:hAnsi="Arial" w:cs="Arial"/>
          <w:bCs/>
          <w:color w:val="000000" w:themeColor="text1"/>
          <w:sz w:val="22"/>
          <w:szCs w:val="22"/>
        </w:rPr>
        <w:t xml:space="preserve">, no a las </w:t>
      </w:r>
      <w:r w:rsidR="004500E8" w:rsidRPr="005873AF">
        <w:rPr>
          <w:rFonts w:ascii="Arial" w:eastAsia="Arial" w:hAnsi="Arial" w:cs="Arial"/>
          <w:bCs/>
          <w:i/>
          <w:iCs/>
          <w:color w:val="000000" w:themeColor="text1"/>
          <w:sz w:val="22"/>
          <w:szCs w:val="22"/>
        </w:rPr>
        <w:t>autoridades sanitarias</w:t>
      </w:r>
      <w:r w:rsidR="004500E8" w:rsidRPr="005873AF">
        <w:rPr>
          <w:rFonts w:ascii="Arial" w:eastAsia="Arial" w:hAnsi="Arial" w:cs="Arial"/>
          <w:bCs/>
          <w:color w:val="000000" w:themeColor="text1"/>
          <w:sz w:val="22"/>
          <w:szCs w:val="22"/>
        </w:rPr>
        <w:t xml:space="preserve">. </w:t>
      </w:r>
      <w:r w:rsidR="004500E8" w:rsidRPr="005873AF">
        <w:rPr>
          <w:rFonts w:ascii="Arial" w:eastAsia="Arial" w:hAnsi="Arial" w:cs="Arial"/>
          <w:bCs/>
          <w:color w:val="000000" w:themeColor="text1"/>
          <w:sz w:val="22"/>
          <w:szCs w:val="22"/>
          <w:lang w:val="es-ES_tradnl"/>
        </w:rPr>
        <w:t xml:space="preserve">Así las cosas, para efectos de la excepción del artículo 33 es indiferente que la entidad estatal tenga funciones de </w:t>
      </w:r>
      <w:r w:rsidR="004500E8" w:rsidRPr="005873AF">
        <w:rPr>
          <w:rFonts w:ascii="Arial" w:eastAsia="Arial" w:hAnsi="Arial" w:cs="Arial"/>
          <w:bCs/>
          <w:i/>
          <w:iCs/>
          <w:color w:val="000000" w:themeColor="text1"/>
          <w:sz w:val="22"/>
          <w:szCs w:val="22"/>
          <w:lang w:val="es-ES_tradnl"/>
        </w:rPr>
        <w:t>autoridad sanitaria</w:t>
      </w:r>
      <w:r w:rsidR="004500E8" w:rsidRPr="005873AF">
        <w:rPr>
          <w:rFonts w:ascii="Arial" w:eastAsia="Arial" w:hAnsi="Arial" w:cs="Arial"/>
          <w:bCs/>
          <w:color w:val="000000" w:themeColor="text1"/>
          <w:sz w:val="22"/>
          <w:szCs w:val="22"/>
          <w:lang w:val="es-ES_tradnl"/>
        </w:rPr>
        <w:t xml:space="preserve">, pues lo relevante para determinar si la contratación está exceptuada de la prohibición general no es el carácter de autoridad sanitaria, sino que se trate de una </w:t>
      </w:r>
      <w:r w:rsidR="004500E8" w:rsidRPr="005873AF">
        <w:rPr>
          <w:rFonts w:ascii="Arial" w:eastAsia="Arial" w:hAnsi="Arial" w:cs="Arial"/>
          <w:bCs/>
          <w:i/>
          <w:iCs/>
          <w:color w:val="000000" w:themeColor="text1"/>
          <w:sz w:val="22"/>
          <w:szCs w:val="22"/>
          <w:lang w:val="es-ES_tradnl"/>
        </w:rPr>
        <w:t>entidad sanitaria</w:t>
      </w:r>
      <w:r w:rsidR="004500E8" w:rsidRPr="005873AF">
        <w:rPr>
          <w:rFonts w:ascii="Arial" w:eastAsia="Arial" w:hAnsi="Arial" w:cs="Arial"/>
          <w:bCs/>
          <w:color w:val="000000" w:themeColor="text1"/>
          <w:sz w:val="22"/>
          <w:szCs w:val="22"/>
          <w:lang w:val="es-ES_tradnl"/>
        </w:rPr>
        <w:t xml:space="preserve">. </w:t>
      </w:r>
    </w:p>
    <w:p w14:paraId="416471CB" w14:textId="44F6B292" w:rsidR="00CA7F21" w:rsidRPr="005873AF" w:rsidRDefault="00CA7F21" w:rsidP="005873AF">
      <w:pPr>
        <w:spacing w:before="120" w:line="276" w:lineRule="auto"/>
        <w:ind w:firstLine="709"/>
        <w:jc w:val="both"/>
        <w:rPr>
          <w:rFonts w:ascii="Arial" w:eastAsia="Arial" w:hAnsi="Arial" w:cs="Arial"/>
          <w:bCs/>
          <w:color w:val="000000" w:themeColor="text1"/>
          <w:sz w:val="22"/>
          <w:szCs w:val="22"/>
          <w:lang w:val="es-ES_tradnl"/>
        </w:rPr>
      </w:pPr>
      <w:r w:rsidRPr="005873AF">
        <w:rPr>
          <w:rFonts w:ascii="Arial" w:eastAsia="Arial" w:hAnsi="Arial" w:cs="Arial"/>
          <w:bCs/>
          <w:color w:val="000000" w:themeColor="text1"/>
          <w:sz w:val="22"/>
          <w:szCs w:val="22"/>
          <w:lang w:val="es-ES_tradnl"/>
        </w:rPr>
        <w:t xml:space="preserve">Atendiendo </w:t>
      </w:r>
      <w:r w:rsidR="0036412A" w:rsidRPr="005873AF">
        <w:rPr>
          <w:rFonts w:ascii="Arial" w:eastAsia="Arial" w:hAnsi="Arial" w:cs="Arial"/>
          <w:bCs/>
          <w:color w:val="000000" w:themeColor="text1"/>
          <w:sz w:val="22"/>
          <w:szCs w:val="22"/>
          <w:lang w:val="es-ES_tradnl"/>
        </w:rPr>
        <w:t>e</w:t>
      </w:r>
      <w:r w:rsidRPr="005873AF">
        <w:rPr>
          <w:rFonts w:ascii="Arial" w:eastAsia="Arial" w:hAnsi="Arial" w:cs="Arial"/>
          <w:bCs/>
          <w:color w:val="000000" w:themeColor="text1"/>
          <w:sz w:val="22"/>
          <w:szCs w:val="22"/>
          <w:lang w:val="es-ES_tradnl"/>
        </w:rPr>
        <w:t>l marco jurídico analizado, corresponderá a cada entidad estatal, incluyendo a aquellas autorizadas para suscribir contratos en el marco de</w:t>
      </w:r>
      <w:r w:rsidR="00025D35" w:rsidRPr="005873AF">
        <w:rPr>
          <w:rFonts w:ascii="Arial" w:eastAsia="Arial" w:hAnsi="Arial" w:cs="Arial"/>
          <w:bCs/>
          <w:color w:val="000000" w:themeColor="text1"/>
          <w:sz w:val="22"/>
          <w:szCs w:val="22"/>
          <w:lang w:val="es-ES_tradnl"/>
        </w:rPr>
        <w:t xml:space="preserve"> </w:t>
      </w:r>
      <w:r w:rsidRPr="005873AF">
        <w:rPr>
          <w:rFonts w:ascii="Arial" w:eastAsia="Arial" w:hAnsi="Arial" w:cs="Arial"/>
          <w:bCs/>
          <w:color w:val="000000" w:themeColor="text1"/>
          <w:sz w:val="22"/>
          <w:szCs w:val="22"/>
          <w:lang w:val="es-ES_tradnl"/>
        </w:rPr>
        <w:t>l</w:t>
      </w:r>
      <w:r w:rsidR="00025D35" w:rsidRPr="005873AF">
        <w:rPr>
          <w:rFonts w:ascii="Arial" w:eastAsia="Arial" w:hAnsi="Arial" w:cs="Arial"/>
          <w:bCs/>
          <w:color w:val="000000" w:themeColor="text1"/>
          <w:sz w:val="22"/>
          <w:szCs w:val="22"/>
          <w:lang w:val="es-ES_tradnl"/>
        </w:rPr>
        <w:t>os</w:t>
      </w:r>
      <w:r w:rsidRPr="005873AF">
        <w:rPr>
          <w:rFonts w:ascii="Arial" w:eastAsia="Arial" w:hAnsi="Arial" w:cs="Arial"/>
          <w:bCs/>
          <w:color w:val="000000" w:themeColor="text1"/>
          <w:sz w:val="22"/>
          <w:szCs w:val="22"/>
          <w:lang w:val="es-ES_tradnl"/>
        </w:rPr>
        <w:t xml:space="preserve"> </w:t>
      </w:r>
      <w:r w:rsidRPr="005873AF">
        <w:rPr>
          <w:rFonts w:ascii="Arial" w:eastAsia="Arial" w:hAnsi="Arial" w:cs="Arial"/>
          <w:color w:val="000000" w:themeColor="text1"/>
          <w:sz w:val="22"/>
          <w:szCs w:val="22"/>
          <w:lang w:val="es-MX"/>
        </w:rPr>
        <w:t>Plan</w:t>
      </w:r>
      <w:r w:rsidR="00025D35" w:rsidRPr="005873AF">
        <w:rPr>
          <w:rFonts w:ascii="Arial" w:eastAsia="Arial" w:hAnsi="Arial" w:cs="Arial"/>
          <w:color w:val="000000" w:themeColor="text1"/>
          <w:sz w:val="22"/>
          <w:szCs w:val="22"/>
          <w:lang w:val="es-MX"/>
        </w:rPr>
        <w:t>es</w:t>
      </w:r>
      <w:r w:rsidRPr="005873AF">
        <w:rPr>
          <w:rFonts w:ascii="Arial" w:eastAsia="Arial" w:hAnsi="Arial" w:cs="Arial"/>
          <w:color w:val="000000" w:themeColor="text1"/>
          <w:sz w:val="22"/>
          <w:szCs w:val="22"/>
          <w:lang w:val="es-MX"/>
        </w:rPr>
        <w:t xml:space="preserve"> de Salud Pública de Intervenciones Colectivas –PIC–, la procedencia de celebrar un contrato estatal específico, para lo cual deberán tener en cuenta las prohibiciones establecidas en materia cont</w:t>
      </w:r>
      <w:r w:rsidR="006867B7" w:rsidRPr="005873AF">
        <w:rPr>
          <w:rFonts w:ascii="Arial" w:eastAsia="Arial" w:hAnsi="Arial" w:cs="Arial"/>
          <w:color w:val="000000" w:themeColor="text1"/>
          <w:sz w:val="22"/>
          <w:szCs w:val="22"/>
          <w:lang w:val="es-MX"/>
        </w:rPr>
        <w:t>ractual en la Ley de Garantías Electorales, de acuerdo con lo explicado en las consideraciones de este concepto.</w:t>
      </w:r>
      <w:r w:rsidR="00025D35" w:rsidRPr="005873AF">
        <w:rPr>
          <w:rFonts w:ascii="Arial" w:eastAsia="Arial" w:hAnsi="Arial" w:cs="Arial"/>
          <w:color w:val="000000" w:themeColor="text1"/>
          <w:sz w:val="22"/>
          <w:szCs w:val="22"/>
          <w:lang w:val="es-MX"/>
        </w:rPr>
        <w:t xml:space="preserve"> </w:t>
      </w:r>
    </w:p>
    <w:p w14:paraId="4D9DE52E" w14:textId="77777777" w:rsidR="00496039" w:rsidRPr="005873AF" w:rsidRDefault="00496039" w:rsidP="005873AF">
      <w:pPr>
        <w:spacing w:line="276" w:lineRule="auto"/>
        <w:ind w:firstLine="709"/>
        <w:jc w:val="both"/>
        <w:rPr>
          <w:rFonts w:ascii="Arial" w:eastAsia="Arial" w:hAnsi="Arial" w:cs="Arial"/>
          <w:bCs/>
          <w:color w:val="000000" w:themeColor="text1"/>
          <w:sz w:val="22"/>
          <w:szCs w:val="22"/>
        </w:rPr>
      </w:pPr>
    </w:p>
    <w:p w14:paraId="5071167E" w14:textId="4982EAFF" w:rsidR="008A6AA1" w:rsidRPr="005873AF" w:rsidRDefault="008A6AA1" w:rsidP="00496039">
      <w:pPr>
        <w:tabs>
          <w:tab w:val="left" w:pos="0"/>
        </w:tabs>
        <w:jc w:val="both"/>
        <w:rPr>
          <w:rFonts w:ascii="Arial" w:eastAsia="Calibri" w:hAnsi="Arial" w:cs="Arial"/>
          <w:b/>
          <w:color w:val="000000" w:themeColor="text1"/>
          <w:sz w:val="22"/>
          <w:lang w:val="es-ES_tradnl"/>
        </w:rPr>
      </w:pPr>
      <w:bookmarkStart w:id="36" w:name="_44sinio" w:colFirst="0" w:colLast="0"/>
      <w:bookmarkStart w:id="37" w:name="_2jxsxqh" w:colFirst="0" w:colLast="0"/>
      <w:bookmarkStart w:id="38" w:name="_z337ya" w:colFirst="0" w:colLast="0"/>
      <w:bookmarkStart w:id="39" w:name="_3j2qqm3" w:colFirst="0" w:colLast="0"/>
      <w:bookmarkStart w:id="40" w:name="_1y810tw" w:colFirst="0" w:colLast="0"/>
      <w:bookmarkStart w:id="41" w:name="_4i7ojhp" w:colFirst="0" w:colLast="0"/>
      <w:bookmarkStart w:id="42" w:name="_2xcytpi" w:colFirst="0" w:colLast="0"/>
      <w:bookmarkStart w:id="43" w:name="_1ci93xb" w:colFirst="0" w:colLast="0"/>
      <w:bookmarkStart w:id="44" w:name="_3whwml4" w:colFirst="0" w:colLast="0"/>
      <w:bookmarkStart w:id="45" w:name="_2bn6wsx" w:colFirst="0" w:colLast="0"/>
      <w:bookmarkStart w:id="46" w:name="_3as4poj" w:colFirst="0" w:colLast="0"/>
      <w:bookmarkStart w:id="47" w:name="_1pxezwc" w:colFirst="0" w:colLast="0"/>
      <w:bookmarkStart w:id="48" w:name="_49x2ik5" w:colFirst="0" w:colLast="0"/>
      <w:bookmarkEnd w:id="36"/>
      <w:bookmarkEnd w:id="37"/>
      <w:bookmarkEnd w:id="38"/>
      <w:bookmarkEnd w:id="39"/>
      <w:bookmarkEnd w:id="40"/>
      <w:bookmarkEnd w:id="41"/>
      <w:bookmarkEnd w:id="42"/>
      <w:bookmarkEnd w:id="43"/>
      <w:bookmarkEnd w:id="44"/>
      <w:bookmarkEnd w:id="45"/>
      <w:bookmarkEnd w:id="46"/>
      <w:bookmarkEnd w:id="47"/>
      <w:bookmarkEnd w:id="48"/>
      <w:r w:rsidRPr="005873AF">
        <w:rPr>
          <w:rFonts w:ascii="Arial" w:eastAsia="Calibri" w:hAnsi="Arial" w:cs="Arial"/>
          <w:b/>
          <w:color w:val="000000" w:themeColor="text1"/>
          <w:sz w:val="22"/>
          <w:lang w:val="es-ES_tradnl"/>
        </w:rPr>
        <w:t>3. Respuesta</w:t>
      </w:r>
    </w:p>
    <w:p w14:paraId="1D78D111" w14:textId="77777777" w:rsidR="008A6AA1" w:rsidRPr="005873AF" w:rsidRDefault="008A6AA1" w:rsidP="006618E4">
      <w:pPr>
        <w:tabs>
          <w:tab w:val="left" w:pos="0"/>
        </w:tabs>
        <w:jc w:val="both"/>
        <w:rPr>
          <w:rFonts w:ascii="Arial" w:eastAsia="Calibri" w:hAnsi="Arial" w:cs="Arial"/>
          <w:color w:val="000000" w:themeColor="text1"/>
          <w:sz w:val="21"/>
          <w:szCs w:val="21"/>
          <w:lang w:val="es-ES_tradnl"/>
        </w:rPr>
      </w:pPr>
    </w:p>
    <w:p w14:paraId="236E268F" w14:textId="32D44AFB" w:rsidR="00400F0C" w:rsidRPr="005873AF" w:rsidRDefault="00025D35" w:rsidP="00400F0C">
      <w:pPr>
        <w:spacing w:after="120" w:line="276" w:lineRule="auto"/>
        <w:jc w:val="both"/>
        <w:rPr>
          <w:rFonts w:ascii="Arial" w:eastAsia="Calibri" w:hAnsi="Arial" w:cs="Arial"/>
          <w:color w:val="000000" w:themeColor="text1"/>
          <w:sz w:val="22"/>
          <w:szCs w:val="22"/>
          <w:lang w:val="es-ES_tradnl" w:eastAsia="en-US"/>
        </w:rPr>
      </w:pPr>
      <w:r w:rsidRPr="005873AF">
        <w:rPr>
          <w:rFonts w:ascii="Arial" w:eastAsia="Calibri" w:hAnsi="Arial" w:cs="Arial"/>
          <w:color w:val="000000" w:themeColor="text1"/>
          <w:sz w:val="22"/>
          <w:szCs w:val="22"/>
          <w:lang w:val="es-ES_tradnl" w:eastAsia="en-US"/>
        </w:rPr>
        <w:lastRenderedPageBreak/>
        <w:t>De acuerdo con las competencias otorgadas a esta Agencia, en los términos señalados al inicio de las consideraciones, en relación con el alcance las prohibiciones establecidas en la Ley de Garantías Electorales, se tiene que e</w:t>
      </w:r>
      <w:r w:rsidR="00400F0C" w:rsidRPr="005873AF">
        <w:rPr>
          <w:rFonts w:ascii="Arial" w:eastAsia="Calibri" w:hAnsi="Arial" w:cs="Arial"/>
          <w:color w:val="000000" w:themeColor="text1"/>
          <w:sz w:val="22"/>
          <w:szCs w:val="22"/>
          <w:lang w:val="es-ES_tradnl" w:eastAsia="en-US"/>
        </w:rPr>
        <w:t>l artículo 33 de la Ley 996 de 2005 establece una restricción en atención a la cual,</w:t>
      </w:r>
      <w:r w:rsidR="00400F0C" w:rsidRPr="005873AF">
        <w:rPr>
          <w:rFonts w:ascii="Arial" w:eastAsia="Calibri" w:hAnsi="Arial" w:cs="Arial"/>
          <w:color w:val="000000" w:themeColor="text1"/>
          <w:sz w:val="25"/>
          <w:szCs w:val="25"/>
          <w:shd w:val="clear" w:color="auto" w:fill="FFFFFF"/>
          <w:lang w:val="es-ES_tradnl" w:eastAsia="en-US"/>
        </w:rPr>
        <w:t xml:space="preserve"> </w:t>
      </w:r>
      <w:r w:rsidR="00400F0C" w:rsidRPr="005873AF">
        <w:rPr>
          <w:rFonts w:ascii="Arial" w:eastAsia="Calibri" w:hAnsi="Arial" w:cs="Arial"/>
          <w:color w:val="000000" w:themeColor="text1"/>
          <w:sz w:val="22"/>
          <w:szCs w:val="22"/>
          <w:lang w:val="es-ES_tradnl" w:eastAsia="en-US"/>
        </w:rPr>
        <w:t>durante los cuatro meses anteriores a la elección presidencial y hasta la realización de la elección en la segunda vuelta, si fuere el caso, está prohibida la contratación directa por parte de todos los entes del Estado. Esto implica que la celebración de contratos, cuya selección del contratista se realice de manera directa está prohibida durante el período de aplicación de esta restricción, en los términos explicados en las consideraciones.</w:t>
      </w:r>
    </w:p>
    <w:p w14:paraId="53CA0A53" w14:textId="77777777" w:rsidR="00400F0C" w:rsidRPr="005873AF" w:rsidRDefault="00400F0C" w:rsidP="00400F0C">
      <w:pPr>
        <w:spacing w:after="120" w:line="276" w:lineRule="auto"/>
        <w:ind w:firstLine="708"/>
        <w:jc w:val="both"/>
        <w:rPr>
          <w:rFonts w:ascii="Arial" w:hAnsi="Arial" w:cs="Arial"/>
          <w:bCs/>
          <w:color w:val="000000" w:themeColor="text1"/>
          <w:sz w:val="22"/>
          <w:szCs w:val="22"/>
          <w:lang w:val="es-ES_tradnl" w:eastAsia="es-CO"/>
        </w:rPr>
      </w:pPr>
      <w:r w:rsidRPr="005873AF">
        <w:rPr>
          <w:rFonts w:ascii="Arial" w:hAnsi="Arial" w:cs="Arial"/>
          <w:bCs/>
          <w:color w:val="000000" w:themeColor="text1"/>
          <w:sz w:val="22"/>
          <w:szCs w:val="22"/>
          <w:lang w:val="es-ES_tradnl"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873AF">
        <w:rPr>
          <w:rFonts w:ascii="Arial" w:hAnsi="Arial" w:cs="Arial"/>
          <w:bCs/>
          <w:color w:val="000000" w:themeColor="text1"/>
          <w:sz w:val="22"/>
          <w:szCs w:val="22"/>
          <w:lang w:val="es-ES_tradnl" w:eastAsia="es-CO"/>
        </w:rPr>
        <w:t xml:space="preserve"> Por ello,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08FAEBD8" w14:textId="34B5A663" w:rsidR="00400F0C" w:rsidRPr="005873AF" w:rsidRDefault="00400F0C" w:rsidP="00400F0C">
      <w:pPr>
        <w:spacing w:after="120" w:line="276" w:lineRule="auto"/>
        <w:ind w:firstLine="708"/>
        <w:jc w:val="both"/>
        <w:rPr>
          <w:rFonts w:ascii="Arial" w:hAnsi="Arial" w:cs="Arial"/>
          <w:bCs/>
          <w:color w:val="000000" w:themeColor="text1"/>
          <w:sz w:val="22"/>
          <w:szCs w:val="22"/>
          <w:lang w:val="es-ES_tradnl" w:eastAsia="x-none"/>
        </w:rPr>
      </w:pPr>
      <w:r w:rsidRPr="005873AF">
        <w:rPr>
          <w:rFonts w:ascii="Arial" w:hAnsi="Arial" w:cs="Arial"/>
          <w:bCs/>
          <w:color w:val="000000" w:themeColor="text1"/>
          <w:sz w:val="22"/>
          <w:szCs w:val="22"/>
          <w:lang w:val="es-ES_tradnl" w:eastAsia="x-none"/>
        </w:rPr>
        <w:t>Por otra parte, el artículo 33 de la Ley 996 de 2005 señala expresamente a los destinatarios de la prohibición, en el sentido de que son «todos los entes del Estado». Esto, de conformidad con lo expuesto, involucra a todas las entidades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r w:rsidR="009D3E9B" w:rsidRPr="005873AF">
        <w:rPr>
          <w:rFonts w:ascii="Arial" w:hAnsi="Arial" w:cs="Arial"/>
          <w:bCs/>
          <w:color w:val="000000" w:themeColor="text1"/>
          <w:sz w:val="22"/>
          <w:szCs w:val="22"/>
          <w:lang w:val="es-ES_tradnl" w:eastAsia="x-none"/>
        </w:rPr>
        <w:t>, sin perjuicio de las excepciones establecidas en el inciso segundo del artículo 33.</w:t>
      </w:r>
    </w:p>
    <w:p w14:paraId="1D368135" w14:textId="2FD7B8E8" w:rsidR="00400F0C" w:rsidRPr="005873AF" w:rsidRDefault="00400F0C" w:rsidP="00644BFD">
      <w:pPr>
        <w:spacing w:after="120" w:line="276" w:lineRule="auto"/>
        <w:ind w:firstLine="708"/>
        <w:jc w:val="both"/>
        <w:rPr>
          <w:rFonts w:ascii="Arial" w:hAnsi="Arial" w:cs="Arial"/>
          <w:bCs/>
          <w:color w:val="000000" w:themeColor="text1"/>
          <w:sz w:val="22"/>
          <w:szCs w:val="22"/>
          <w:lang w:val="es-ES_tradnl" w:eastAsia="x-none"/>
        </w:rPr>
      </w:pPr>
      <w:r w:rsidRPr="005873AF">
        <w:rPr>
          <w:rFonts w:ascii="Arial" w:hAnsi="Arial" w:cs="Arial"/>
          <w:bCs/>
          <w:color w:val="000000" w:themeColor="text1"/>
          <w:sz w:val="22"/>
          <w:szCs w:val="22"/>
          <w:lang w:val="es-ES_tradnl" w:eastAsia="x-none"/>
        </w:rPr>
        <w:t xml:space="preserve">En consecuencia, las restricciones a la contratación contenidas en </w:t>
      </w:r>
      <w:r w:rsidR="009D3E9B" w:rsidRPr="005873AF">
        <w:rPr>
          <w:rFonts w:ascii="Arial" w:hAnsi="Arial" w:cs="Arial"/>
          <w:bCs/>
          <w:color w:val="000000" w:themeColor="text1"/>
          <w:sz w:val="22"/>
          <w:szCs w:val="22"/>
          <w:lang w:val="es-ES_tradnl" w:eastAsia="x-none"/>
        </w:rPr>
        <w:t>el artículo 33 de la</w:t>
      </w:r>
      <w:r w:rsidRPr="005873AF">
        <w:rPr>
          <w:rFonts w:ascii="Arial" w:hAnsi="Arial" w:cs="Arial"/>
          <w:bCs/>
          <w:color w:val="000000" w:themeColor="text1"/>
          <w:sz w:val="22"/>
          <w:szCs w:val="22"/>
          <w:lang w:val="es-ES_tradnl" w:eastAsia="x-none"/>
        </w:rPr>
        <w:t xml:space="preserve"> Ley de Garantías Electorales son aplicables a </w:t>
      </w:r>
      <w:r w:rsidR="009D3E9B" w:rsidRPr="005873AF">
        <w:rPr>
          <w:rFonts w:ascii="Arial" w:hAnsi="Arial" w:cs="Arial"/>
          <w:bCs/>
          <w:color w:val="000000" w:themeColor="text1"/>
          <w:sz w:val="22"/>
          <w:szCs w:val="22"/>
          <w:lang w:val="es-ES_tradnl" w:eastAsia="x-none"/>
        </w:rPr>
        <w:t>todos los Entes del Estado</w:t>
      </w:r>
      <w:r w:rsidRPr="005873AF">
        <w:rPr>
          <w:rFonts w:ascii="Arial" w:hAnsi="Arial" w:cs="Arial"/>
          <w:bCs/>
          <w:color w:val="000000" w:themeColor="text1"/>
          <w:sz w:val="22"/>
          <w:szCs w:val="22"/>
          <w:lang w:val="es-ES_tradnl" w:eastAsia="x-none"/>
        </w:rPr>
        <w:t>. Por lo tanto, la celebración de cualquier contrato de forma directa, esto es, sin que exista un proceso abierto y competitivo, también se encuentra restringida para este tipo de entidades, sin perjuicio de las excepciones expresamente previstas en el inciso final del artículo 33 de dicha norma.</w:t>
      </w:r>
    </w:p>
    <w:p w14:paraId="1326C0A2" w14:textId="77777777" w:rsidR="0064091A" w:rsidRPr="005873AF" w:rsidRDefault="00400F0C" w:rsidP="005873AF">
      <w:pPr>
        <w:autoSpaceDE w:val="0"/>
        <w:autoSpaceDN w:val="0"/>
        <w:adjustRightInd w:val="0"/>
        <w:spacing w:after="120" w:line="276" w:lineRule="auto"/>
        <w:ind w:firstLine="709"/>
        <w:jc w:val="both"/>
        <w:rPr>
          <w:rFonts w:ascii="Arial" w:eastAsia="Calibri" w:hAnsi="Arial" w:cs="Arial"/>
          <w:bCs/>
          <w:color w:val="000000" w:themeColor="text1"/>
          <w:sz w:val="22"/>
          <w:szCs w:val="22"/>
          <w:lang w:val="es-ES_tradnl" w:eastAsia="es-CO"/>
        </w:rPr>
      </w:pPr>
      <w:r w:rsidRPr="005873AF">
        <w:rPr>
          <w:rFonts w:ascii="Arial" w:hAnsi="Arial" w:cs="Arial"/>
          <w:bCs/>
          <w:color w:val="000000" w:themeColor="text1"/>
          <w:sz w:val="22"/>
          <w:szCs w:val="22"/>
          <w:lang w:val="es-ES_tradnl" w:eastAsia="x-none"/>
        </w:rPr>
        <w:t xml:space="preserve">Finalmente, es importante reiterar lo explicado en las consideraciones, en el sentido de que </w:t>
      </w:r>
      <w:r w:rsidRPr="005873AF">
        <w:rPr>
          <w:rFonts w:ascii="Arial" w:eastAsia="Calibri" w:hAnsi="Arial" w:cs="Arial"/>
          <w:bCs/>
          <w:color w:val="000000" w:themeColor="text1"/>
          <w:sz w:val="22"/>
          <w:szCs w:val="22"/>
          <w:lang w:val="es-ES_tradnl" w:eastAsia="es-CO"/>
        </w:rPr>
        <w:t xml:space="preserve">el parágrafo del artículo 38 de la Ley 996 de 2005 prohíbe a los alcaldes, </w:t>
      </w:r>
      <w:r w:rsidRPr="005873AF">
        <w:rPr>
          <w:rFonts w:ascii="Arial" w:eastAsia="Calibri" w:hAnsi="Arial" w:cs="Arial"/>
          <w:bCs/>
          <w:color w:val="000000" w:themeColor="text1"/>
          <w:sz w:val="22"/>
          <w:szCs w:val="22"/>
          <w:lang w:val="es-ES_tradnl" w:eastAsia="es-CO"/>
        </w:rPr>
        <w:lastRenderedPageBreak/>
        <w:t xml:space="preserve">gobernadores, secretarios, gerentes y directores de las entidades del orden municipal, departamental o distrital celebrar convenios y contratos interadministrativos para la ejecución de recursos públicos dentro de los cuatro (4) meses anteriores a las elecciones, lo que incluye las elecciones al Congreso de la República que se realizarán el próximo 13 de marzo de 2022. En este sentido, si una o ambas partes de la relación contractual es una entidad de aquellas descritas en el parágrafo </w:t>
      </w:r>
      <w:r w:rsidRPr="005873AF">
        <w:rPr>
          <w:rFonts w:ascii="Arial" w:eastAsia="Calibri" w:hAnsi="Arial" w:cs="Arial"/>
          <w:bCs/>
          <w:i/>
          <w:iCs/>
          <w:color w:val="000000" w:themeColor="text1"/>
          <w:sz w:val="22"/>
          <w:szCs w:val="22"/>
          <w:lang w:val="es-ES_tradnl" w:eastAsia="es-CO"/>
        </w:rPr>
        <w:t>ibidem</w:t>
      </w:r>
      <w:r w:rsidRPr="005873AF">
        <w:rPr>
          <w:rFonts w:ascii="Arial" w:eastAsia="Calibri" w:hAnsi="Arial" w:cs="Arial"/>
          <w:bCs/>
          <w:color w:val="000000" w:themeColor="text1"/>
          <w:sz w:val="22"/>
          <w:szCs w:val="22"/>
          <w:lang w:val="es-ES_tradnl" w:eastAsia="es-CO"/>
        </w:rPr>
        <w:t xml:space="preserve">, no podrá celebrar tales convenios o contratos interadministrativos durante el ámbito temporal de esta prohibición, toda vez que la citada disposición hace referencia a dicha tipología contractual sin que el legislador hubiere contemplado excepción alguna frente a la modalidad de selección o naturaleza de su objeto. </w:t>
      </w:r>
    </w:p>
    <w:p w14:paraId="3B65FA0C" w14:textId="40112516" w:rsidR="00400F0C" w:rsidRPr="005873AF" w:rsidRDefault="00400F0C" w:rsidP="005873AF">
      <w:pPr>
        <w:autoSpaceDE w:val="0"/>
        <w:autoSpaceDN w:val="0"/>
        <w:adjustRightInd w:val="0"/>
        <w:spacing w:line="276" w:lineRule="auto"/>
        <w:ind w:firstLine="708"/>
        <w:jc w:val="both"/>
        <w:rPr>
          <w:rFonts w:ascii="Arial" w:hAnsi="Arial" w:cs="Arial"/>
          <w:color w:val="000000" w:themeColor="text1"/>
          <w:sz w:val="22"/>
          <w:szCs w:val="22"/>
        </w:rPr>
      </w:pPr>
      <w:r w:rsidRPr="005873AF">
        <w:rPr>
          <w:rFonts w:ascii="Arial" w:eastAsia="Calibri" w:hAnsi="Arial" w:cs="Arial"/>
          <w:bCs/>
          <w:color w:val="000000" w:themeColor="text1"/>
          <w:sz w:val="22"/>
          <w:szCs w:val="22"/>
          <w:lang w:val="es-ES_tradnl" w:eastAsia="es-CO"/>
        </w:rPr>
        <w:t>En tal sentido, de acuerdo con el marco jurídico expuesto le corresponderá a cada entidad estatal</w:t>
      </w:r>
      <w:r w:rsidR="0064091A" w:rsidRPr="005873AF">
        <w:rPr>
          <w:rFonts w:ascii="Arial" w:eastAsia="Calibri" w:hAnsi="Arial" w:cs="Arial"/>
          <w:bCs/>
          <w:color w:val="000000" w:themeColor="text1"/>
          <w:sz w:val="22"/>
          <w:szCs w:val="22"/>
          <w:lang w:val="es-ES_tradnl" w:eastAsia="es-CO"/>
        </w:rPr>
        <w:t xml:space="preserve">, </w:t>
      </w:r>
      <w:r w:rsidR="0064091A" w:rsidRPr="005873AF">
        <w:rPr>
          <w:rFonts w:ascii="Arial" w:eastAsia="Arial" w:hAnsi="Arial" w:cs="Arial"/>
          <w:bCs/>
          <w:color w:val="000000" w:themeColor="text1"/>
          <w:sz w:val="22"/>
          <w:szCs w:val="22"/>
          <w:lang w:val="es-ES_tradnl"/>
        </w:rPr>
        <w:t xml:space="preserve">incluyendo a aquellas autorizadas para suscribir contratos en el marco de los </w:t>
      </w:r>
      <w:r w:rsidR="0064091A" w:rsidRPr="005873AF">
        <w:rPr>
          <w:rFonts w:ascii="Arial" w:eastAsia="Arial" w:hAnsi="Arial" w:cs="Arial"/>
          <w:color w:val="000000" w:themeColor="text1"/>
          <w:sz w:val="22"/>
          <w:szCs w:val="22"/>
          <w:lang w:val="es-MX"/>
        </w:rPr>
        <w:t>Planes de Salud Pública de Intervenciones Colectivas –PIC–,</w:t>
      </w:r>
      <w:r w:rsidRPr="005873AF">
        <w:rPr>
          <w:rFonts w:ascii="Arial" w:eastAsia="Calibri" w:hAnsi="Arial" w:cs="Arial"/>
          <w:bCs/>
          <w:color w:val="000000" w:themeColor="text1"/>
          <w:sz w:val="22"/>
          <w:szCs w:val="22"/>
          <w:lang w:val="es-ES_tradnl" w:eastAsia="es-CO"/>
        </w:rPr>
        <w:t xml:space="preserve"> definir la forma como adelanta</w:t>
      </w:r>
      <w:r w:rsidR="0064091A" w:rsidRPr="005873AF">
        <w:rPr>
          <w:rFonts w:ascii="Arial" w:eastAsia="Calibri" w:hAnsi="Arial" w:cs="Arial"/>
          <w:bCs/>
          <w:color w:val="000000" w:themeColor="text1"/>
          <w:sz w:val="22"/>
          <w:szCs w:val="22"/>
          <w:lang w:val="es-ES_tradnl" w:eastAsia="es-CO"/>
        </w:rPr>
        <w:t>n</w:t>
      </w:r>
      <w:r w:rsidRPr="005873AF">
        <w:rPr>
          <w:rFonts w:ascii="Arial" w:eastAsia="Calibri" w:hAnsi="Arial" w:cs="Arial"/>
          <w:bCs/>
          <w:color w:val="000000" w:themeColor="text1"/>
          <w:sz w:val="22"/>
          <w:szCs w:val="22"/>
          <w:lang w:val="es-ES_tradnl" w:eastAsia="es-CO"/>
        </w:rPr>
        <w:t xml:space="preserve"> su actividad contractual, de manera que resulte armónica con las prohibiciones establecidas en la Ley 996 de 2005</w:t>
      </w:r>
      <w:r w:rsidR="002778C9" w:rsidRPr="005873AF">
        <w:rPr>
          <w:rFonts w:ascii="Arial" w:eastAsia="Calibri" w:hAnsi="Arial" w:cs="Arial"/>
          <w:bCs/>
          <w:color w:val="000000" w:themeColor="text1"/>
          <w:sz w:val="22"/>
          <w:szCs w:val="22"/>
          <w:lang w:val="es-ES_tradnl" w:eastAsia="es-CO"/>
        </w:rPr>
        <w:t>.</w:t>
      </w:r>
    </w:p>
    <w:p w14:paraId="52684671" w14:textId="77777777" w:rsidR="00400F0C" w:rsidRPr="005873AF" w:rsidRDefault="00400F0C" w:rsidP="002652C1">
      <w:pPr>
        <w:autoSpaceDE w:val="0"/>
        <w:autoSpaceDN w:val="0"/>
        <w:adjustRightInd w:val="0"/>
        <w:ind w:left="709" w:right="709"/>
        <w:jc w:val="both"/>
        <w:rPr>
          <w:rFonts w:ascii="Arial" w:hAnsi="Arial" w:cs="Arial"/>
          <w:color w:val="000000" w:themeColor="text1"/>
          <w:sz w:val="22"/>
          <w:szCs w:val="22"/>
        </w:rPr>
      </w:pPr>
    </w:p>
    <w:p w14:paraId="7B2C921D" w14:textId="0F779FF9" w:rsidR="00DD5B04" w:rsidRPr="005873AF" w:rsidRDefault="00DD5B04" w:rsidP="00861F5C">
      <w:pPr>
        <w:spacing w:line="276" w:lineRule="auto"/>
        <w:jc w:val="both"/>
        <w:rPr>
          <w:rFonts w:ascii="Arial" w:hAnsi="Arial" w:cs="Arial"/>
          <w:color w:val="000000" w:themeColor="text1"/>
          <w:sz w:val="22"/>
          <w:lang w:val="es-ES_tradnl"/>
        </w:rPr>
      </w:pPr>
      <w:r w:rsidRPr="005873A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5873A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873AF">
        <w:rPr>
          <w:rFonts w:ascii="Arial" w:hAnsi="Arial" w:cs="Arial"/>
          <w:color w:val="000000" w:themeColor="text1"/>
          <w:sz w:val="22"/>
          <w:szCs w:val="22"/>
          <w:lang w:val="es-ES_tradnl"/>
        </w:rPr>
        <w:t>Atentamente,</w:t>
      </w:r>
    </w:p>
    <w:p w14:paraId="49730030" w14:textId="4FDDFBB0" w:rsidR="00DD5B04" w:rsidRDefault="002B5ED6" w:rsidP="002B5ED6">
      <w:pPr>
        <w:pStyle w:val="NormalWeb"/>
        <w:spacing w:before="0" w:beforeAutospacing="0" w:after="0" w:afterAutospacing="0" w:line="276" w:lineRule="auto"/>
        <w:jc w:val="center"/>
        <w:rPr>
          <w:color w:val="000000" w:themeColor="text1"/>
          <w:lang w:val="es-ES_tradnl"/>
        </w:rPr>
      </w:pPr>
      <w:r>
        <w:rPr>
          <w:noProof/>
        </w:rPr>
        <w:drawing>
          <wp:inline distT="0" distB="0" distL="0" distR="0" wp14:anchorId="76FE4538" wp14:editId="13B26AD6">
            <wp:extent cx="2752725" cy="1217930"/>
            <wp:effectExtent l="0" t="0" r="9525" b="127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217930"/>
                    </a:xfrm>
                    <a:prstGeom prst="rect">
                      <a:avLst/>
                    </a:prstGeom>
                    <a:noFill/>
                    <a:ln>
                      <a:noFill/>
                    </a:ln>
                  </pic:spPr>
                </pic:pic>
              </a:graphicData>
            </a:graphic>
          </wp:inline>
        </w:drawing>
      </w:r>
    </w:p>
    <w:p w14:paraId="120D6A94" w14:textId="77777777" w:rsidR="002B5ED6" w:rsidRPr="005873AF" w:rsidRDefault="002B5ED6" w:rsidP="002B5ED6">
      <w:pPr>
        <w:pStyle w:val="NormalWeb"/>
        <w:spacing w:before="0" w:beforeAutospacing="0" w:after="0" w:afterAutospacing="0" w:line="276" w:lineRule="auto"/>
        <w:jc w:val="center"/>
        <w:rPr>
          <w:color w:val="000000" w:themeColor="text1"/>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A6B87" w:rsidRPr="005873AF" w14:paraId="0C7DC5F7" w14:textId="77777777" w:rsidTr="008F4163">
        <w:trPr>
          <w:trHeight w:val="315"/>
        </w:trPr>
        <w:tc>
          <w:tcPr>
            <w:tcW w:w="812" w:type="dxa"/>
            <w:vAlign w:val="center"/>
            <w:hideMark/>
          </w:tcPr>
          <w:p w14:paraId="5BDB1AC9"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24E861" w:rsidR="00DD5B04" w:rsidRPr="005873AF" w:rsidRDefault="000254DD"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José Luis Sánchez Cardona</w:t>
            </w:r>
            <w:r w:rsidR="005E38E9" w:rsidRPr="005873AF">
              <w:rPr>
                <w:rFonts w:ascii="Arial" w:hAnsi="Arial" w:cs="Arial"/>
                <w:color w:val="000000" w:themeColor="text1"/>
                <w:sz w:val="16"/>
                <w:szCs w:val="16"/>
                <w:lang w:val="es-ES_tradnl" w:eastAsia="es-ES"/>
              </w:rPr>
              <w:t xml:space="preserve"> </w:t>
            </w:r>
          </w:p>
          <w:p w14:paraId="240C71FD" w14:textId="31312C95"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Contratista</w:t>
            </w:r>
            <w:r w:rsidR="00FF0050" w:rsidRPr="005873AF">
              <w:rPr>
                <w:rFonts w:ascii="Arial" w:hAnsi="Arial" w:cs="Arial"/>
                <w:color w:val="000000" w:themeColor="text1"/>
                <w:sz w:val="16"/>
                <w:szCs w:val="16"/>
                <w:lang w:val="es-ES_tradnl" w:eastAsia="es-ES"/>
              </w:rPr>
              <w:t xml:space="preserve"> de la </w:t>
            </w:r>
            <w:r w:rsidRPr="005873AF">
              <w:rPr>
                <w:rFonts w:ascii="Arial" w:hAnsi="Arial" w:cs="Arial"/>
                <w:color w:val="000000" w:themeColor="text1"/>
                <w:sz w:val="16"/>
                <w:szCs w:val="16"/>
                <w:lang w:val="es-ES_tradnl" w:eastAsia="es-ES"/>
              </w:rPr>
              <w:t>Subdirección de Gestión Contractual</w:t>
            </w:r>
          </w:p>
        </w:tc>
      </w:tr>
      <w:tr w:rsidR="006A6B87" w:rsidRPr="005873AF" w14:paraId="2F8FD650" w14:textId="77777777" w:rsidTr="008F4163">
        <w:trPr>
          <w:trHeight w:val="330"/>
        </w:trPr>
        <w:tc>
          <w:tcPr>
            <w:tcW w:w="812" w:type="dxa"/>
            <w:vAlign w:val="center"/>
            <w:hideMark/>
          </w:tcPr>
          <w:p w14:paraId="50203A0B" w14:textId="77777777"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E9293D" w14:textId="77777777" w:rsidR="00A1108C" w:rsidRPr="005873AF" w:rsidRDefault="00A1108C" w:rsidP="00C05A61">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Sebastián Ramírez Grisales</w:t>
            </w:r>
          </w:p>
          <w:p w14:paraId="130B3228" w14:textId="683CFD04" w:rsidR="002B08BA" w:rsidRPr="005873AF" w:rsidRDefault="00A1108C" w:rsidP="00C05A61">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 xml:space="preserve">Contratista de </w:t>
            </w:r>
            <w:r w:rsidR="00015642" w:rsidRPr="005873AF">
              <w:rPr>
                <w:rFonts w:ascii="Arial" w:hAnsi="Arial" w:cs="Arial"/>
                <w:color w:val="000000" w:themeColor="text1"/>
                <w:sz w:val="16"/>
                <w:szCs w:val="16"/>
                <w:lang w:val="es-ES_tradnl" w:eastAsia="es-ES"/>
              </w:rPr>
              <w:t xml:space="preserve">la </w:t>
            </w:r>
            <w:r w:rsidR="003D281F" w:rsidRPr="005873AF">
              <w:rPr>
                <w:rFonts w:ascii="Arial" w:hAnsi="Arial" w:cs="Arial"/>
                <w:color w:val="000000" w:themeColor="text1"/>
                <w:sz w:val="16"/>
                <w:szCs w:val="16"/>
                <w:lang w:val="es-ES_tradnl" w:eastAsia="es-ES"/>
              </w:rPr>
              <w:t xml:space="preserve">Subdirección de Gestión Contractual </w:t>
            </w:r>
            <w:r w:rsidR="00015642" w:rsidRPr="005873AF">
              <w:rPr>
                <w:rFonts w:ascii="Arial" w:hAnsi="Arial" w:cs="Arial"/>
                <w:color w:val="000000" w:themeColor="text1"/>
                <w:sz w:val="16"/>
                <w:szCs w:val="16"/>
                <w:lang w:val="es-ES_tradnl" w:eastAsia="es-ES"/>
              </w:rPr>
              <w:t xml:space="preserve"> </w:t>
            </w:r>
          </w:p>
        </w:tc>
      </w:tr>
      <w:tr w:rsidR="00DD5B04" w:rsidRPr="006A6B87" w14:paraId="0FCBCA4A" w14:textId="77777777" w:rsidTr="008F4163">
        <w:trPr>
          <w:trHeight w:val="300"/>
        </w:trPr>
        <w:tc>
          <w:tcPr>
            <w:tcW w:w="812" w:type="dxa"/>
            <w:vAlign w:val="center"/>
            <w:hideMark/>
          </w:tcPr>
          <w:p w14:paraId="3C1D943A" w14:textId="29B4D648" w:rsidR="00DD5B04" w:rsidRPr="005873AF"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873AF" w:rsidRDefault="00C05A61"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 xml:space="preserve">Jorge </w:t>
            </w:r>
            <w:r w:rsidR="00647A36" w:rsidRPr="005873AF">
              <w:rPr>
                <w:rFonts w:ascii="Arial" w:hAnsi="Arial" w:cs="Arial"/>
                <w:color w:val="000000" w:themeColor="text1"/>
                <w:sz w:val="16"/>
                <w:szCs w:val="16"/>
                <w:lang w:val="es-ES_tradnl" w:eastAsia="es-ES"/>
              </w:rPr>
              <w:t xml:space="preserve">Augusto </w:t>
            </w:r>
            <w:r w:rsidRPr="005873AF">
              <w:rPr>
                <w:rFonts w:ascii="Arial" w:hAnsi="Arial" w:cs="Arial"/>
                <w:color w:val="000000" w:themeColor="text1"/>
                <w:sz w:val="16"/>
                <w:szCs w:val="16"/>
                <w:lang w:val="es-ES_tradnl" w:eastAsia="es-ES"/>
              </w:rPr>
              <w:t>Tirado Navarro</w:t>
            </w:r>
          </w:p>
          <w:p w14:paraId="1ADC483B" w14:textId="384FAF72" w:rsidR="00DD5B04" w:rsidRPr="006A6B87" w:rsidRDefault="00DD5B04" w:rsidP="00DF76A2">
            <w:pPr>
              <w:jc w:val="both"/>
              <w:rPr>
                <w:rFonts w:ascii="Arial" w:hAnsi="Arial" w:cs="Arial"/>
                <w:color w:val="000000" w:themeColor="text1"/>
                <w:sz w:val="16"/>
                <w:szCs w:val="16"/>
                <w:lang w:val="es-ES_tradnl" w:eastAsia="es-ES"/>
              </w:rPr>
            </w:pPr>
            <w:r w:rsidRPr="005873AF">
              <w:rPr>
                <w:rFonts w:ascii="Arial" w:hAnsi="Arial" w:cs="Arial"/>
                <w:color w:val="000000" w:themeColor="text1"/>
                <w:sz w:val="16"/>
                <w:szCs w:val="16"/>
                <w:lang w:val="es-ES_tradnl" w:eastAsia="es-ES"/>
              </w:rPr>
              <w:t>Subdirector de Gestión Contractual</w:t>
            </w:r>
            <w:r w:rsidR="003D369D" w:rsidRPr="005873AF">
              <w:rPr>
                <w:rFonts w:ascii="Arial" w:hAnsi="Arial" w:cs="Arial"/>
                <w:color w:val="000000" w:themeColor="text1"/>
                <w:sz w:val="16"/>
                <w:szCs w:val="16"/>
                <w:lang w:val="es-ES_tradnl" w:eastAsia="es-ES"/>
              </w:rPr>
              <w:t xml:space="preserve"> ANCP – CCE</w:t>
            </w:r>
          </w:p>
        </w:tc>
      </w:tr>
      <w:bookmarkEnd w:id="8"/>
    </w:tbl>
    <w:p w14:paraId="75F18CB2" w14:textId="2AF73C9D" w:rsidR="00630845" w:rsidRPr="006A6B87" w:rsidRDefault="00630845" w:rsidP="00630845">
      <w:pPr>
        <w:rPr>
          <w:rFonts w:ascii="Arial" w:hAnsi="Arial" w:cs="Arial"/>
          <w:color w:val="000000" w:themeColor="text1"/>
          <w:lang w:val="es-ES_tradnl"/>
        </w:rPr>
      </w:pPr>
    </w:p>
    <w:p w14:paraId="5E9C37DB" w14:textId="5057876E" w:rsidR="00746E08" w:rsidRPr="006A6B87" w:rsidRDefault="00630845" w:rsidP="00322342">
      <w:pPr>
        <w:tabs>
          <w:tab w:val="left" w:pos="3795"/>
        </w:tabs>
        <w:rPr>
          <w:rFonts w:ascii="Arial" w:hAnsi="Arial" w:cs="Arial"/>
          <w:color w:val="000000" w:themeColor="text1"/>
          <w:lang w:val="es-ES_tradnl"/>
        </w:rPr>
      </w:pPr>
      <w:r w:rsidRPr="006A6B87">
        <w:rPr>
          <w:rFonts w:ascii="Arial" w:hAnsi="Arial" w:cs="Arial"/>
          <w:color w:val="000000" w:themeColor="text1"/>
          <w:lang w:val="es-ES_tradnl"/>
        </w:rPr>
        <w:tab/>
      </w:r>
    </w:p>
    <w:sectPr w:rsidR="00746E08" w:rsidRPr="006A6B8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C1E5" w14:textId="77777777" w:rsidR="00B302AC" w:rsidRDefault="00B302AC">
      <w:r>
        <w:separator/>
      </w:r>
    </w:p>
  </w:endnote>
  <w:endnote w:type="continuationSeparator" w:id="0">
    <w:p w14:paraId="0C2EDED1" w14:textId="77777777" w:rsidR="00B302AC" w:rsidRDefault="00B302AC">
      <w:r>
        <w:continuationSeparator/>
      </w:r>
    </w:p>
  </w:endnote>
  <w:endnote w:type="continuationNotice" w:id="1">
    <w:p w14:paraId="5050B72A" w14:textId="77777777" w:rsidR="00B302AC" w:rsidRDefault="00B30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0A6380" w:rsidRDefault="000A6380" w:rsidP="00322937">
    <w:pPr>
      <w:pStyle w:val="Sinespaciado"/>
      <w:jc w:val="right"/>
      <w:rPr>
        <w:rFonts w:ascii="Arial" w:hAnsi="Arial" w:cs="Arial"/>
        <w:sz w:val="18"/>
        <w:szCs w:val="18"/>
      </w:rPr>
    </w:pPr>
  </w:p>
  <w:p w14:paraId="7A3785F3" w14:textId="48928A4C" w:rsidR="000A6380" w:rsidRPr="008217B7" w:rsidRDefault="000A63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47C87">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47C87">
      <w:rPr>
        <w:rFonts w:ascii="Arial" w:hAnsi="Arial" w:cs="Arial"/>
        <w:b/>
        <w:bCs/>
        <w:noProof/>
        <w:color w:val="7F7F7F" w:themeColor="text1" w:themeTint="80"/>
        <w:sz w:val="16"/>
        <w:szCs w:val="16"/>
      </w:rPr>
      <w:t>29</w:t>
    </w:r>
    <w:r w:rsidRPr="00084B97">
      <w:rPr>
        <w:rFonts w:ascii="Arial" w:hAnsi="Arial" w:cs="Arial"/>
        <w:b/>
        <w:bCs/>
        <w:color w:val="7F7F7F" w:themeColor="text1" w:themeTint="80"/>
        <w:sz w:val="16"/>
        <w:szCs w:val="16"/>
      </w:rPr>
      <w:fldChar w:fldCharType="end"/>
    </w:r>
  </w:p>
  <w:p w14:paraId="48FC6A04" w14:textId="5FD1A7C9" w:rsidR="000A6380" w:rsidRDefault="000A6380"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A6380" w:rsidRDefault="000A6380" w:rsidP="007B0854">
    <w:pPr>
      <w:pStyle w:val="Piedepgina"/>
      <w:jc w:val="center"/>
      <w:rPr>
        <w:lang w:val="es-ES"/>
      </w:rPr>
    </w:pPr>
  </w:p>
  <w:p w14:paraId="6C0EFC49" w14:textId="77777777" w:rsidR="000A6380" w:rsidRPr="007B0854" w:rsidRDefault="000A638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277D" w14:textId="77777777" w:rsidR="00B302AC" w:rsidRDefault="00B302AC">
      <w:r>
        <w:separator/>
      </w:r>
    </w:p>
  </w:footnote>
  <w:footnote w:type="continuationSeparator" w:id="0">
    <w:p w14:paraId="739C369C" w14:textId="77777777" w:rsidR="00B302AC" w:rsidRDefault="00B302AC">
      <w:r>
        <w:continuationSeparator/>
      </w:r>
    </w:p>
  </w:footnote>
  <w:footnote w:type="continuationNotice" w:id="1">
    <w:p w14:paraId="414667D4" w14:textId="77777777" w:rsidR="00B302AC" w:rsidRDefault="00B302AC"/>
  </w:footnote>
  <w:footnote w:id="2">
    <w:p w14:paraId="4F3142D7" w14:textId="77777777" w:rsidR="007233F6" w:rsidRPr="009026AC" w:rsidRDefault="007233F6" w:rsidP="007233F6">
      <w:pPr>
        <w:pStyle w:val="Textonotapie"/>
        <w:ind w:firstLine="709"/>
        <w:jc w:val="both"/>
        <w:rPr>
          <w:rFonts w:ascii="Arial" w:hAnsi="Arial" w:cs="Arial"/>
          <w:color w:val="000000" w:themeColor="text1"/>
          <w:sz w:val="19"/>
          <w:szCs w:val="19"/>
          <w:lang w:val="es-ES"/>
        </w:rPr>
      </w:pPr>
      <w:r w:rsidRPr="009026AC">
        <w:rPr>
          <w:rStyle w:val="Refdenotaalpie"/>
          <w:rFonts w:ascii="Arial" w:hAnsi="Arial" w:cs="Arial"/>
          <w:color w:val="000000" w:themeColor="text1"/>
          <w:sz w:val="19"/>
          <w:szCs w:val="19"/>
        </w:rPr>
        <w:footnoteRef/>
      </w:r>
      <w:r w:rsidRPr="009026AC">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9026AC">
        <w:rPr>
          <w:rFonts w:ascii="Arial" w:hAnsi="Arial" w:cs="Arial"/>
          <w:i/>
          <w:iCs/>
          <w:color w:val="000000" w:themeColor="text1"/>
          <w:sz w:val="19"/>
          <w:szCs w:val="19"/>
        </w:rPr>
        <w:t xml:space="preserve">ibidem </w:t>
      </w:r>
      <w:r w:rsidRPr="009026AC">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9026AC">
        <w:rPr>
          <w:rFonts w:ascii="Arial" w:hAnsi="Arial" w:cs="Arial"/>
          <w:color w:val="000000" w:themeColor="text1"/>
          <w:sz w:val="19"/>
          <w:szCs w:val="19"/>
        </w:rPr>
        <w:t>bsolver</w:t>
      </w:r>
      <w:proofErr w:type="spellEnd"/>
      <w:r w:rsidRPr="009026AC">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9026AC">
        <w:rPr>
          <w:rFonts w:ascii="Arial" w:hAnsi="Arial" w:cs="Arial"/>
          <w:color w:val="000000" w:themeColor="text1"/>
          <w:sz w:val="19"/>
          <w:szCs w:val="19"/>
        </w:rPr>
        <w:t>bsolver</w:t>
      </w:r>
      <w:proofErr w:type="spellEnd"/>
      <w:r w:rsidRPr="009026AC">
        <w:rPr>
          <w:rFonts w:ascii="Arial" w:hAnsi="Arial" w:cs="Arial"/>
          <w:color w:val="000000" w:themeColor="text1"/>
          <w:sz w:val="19"/>
          <w:szCs w:val="19"/>
        </w:rPr>
        <w:t xml:space="preserve"> consultas sobre la aplicación de normas de carácter general».</w:t>
      </w:r>
    </w:p>
  </w:footnote>
  <w:footnote w:id="3">
    <w:p w14:paraId="02087CD2" w14:textId="77777777" w:rsidR="000A6380" w:rsidRPr="005873AF" w:rsidRDefault="000A6380" w:rsidP="00481870">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El artículo </w:t>
      </w:r>
      <w:r w:rsidRPr="005873AF">
        <w:rPr>
          <w:rFonts w:ascii="Arial" w:hAnsi="Arial" w:cs="Arial"/>
          <w:color w:val="000000" w:themeColor="text1"/>
          <w:sz w:val="18"/>
          <w:szCs w:val="18"/>
        </w:rPr>
        <w:t xml:space="preserve">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8BA7CB7" w14:textId="20098002" w:rsidR="000A6380" w:rsidRPr="005873AF" w:rsidRDefault="000A6380" w:rsidP="00481870">
      <w:pPr>
        <w:pStyle w:val="Textonotapie"/>
        <w:ind w:firstLine="709"/>
        <w:jc w:val="both"/>
        <w:rPr>
          <w:rFonts w:ascii="Arial" w:hAnsi="Arial" w:cs="Arial"/>
          <w:color w:val="000000" w:themeColor="text1"/>
          <w:sz w:val="18"/>
          <w:szCs w:val="18"/>
        </w:rPr>
      </w:pPr>
      <w:proofErr w:type="gramStart"/>
      <w:r w:rsidRPr="005873AF">
        <w:rPr>
          <w:rFonts w:ascii="Arial" w:hAnsi="Arial" w:cs="Arial"/>
          <w:color w:val="000000" w:themeColor="text1"/>
          <w:sz w:val="18"/>
          <w:szCs w:val="18"/>
        </w:rPr>
        <w:t>»A</w:t>
      </w:r>
      <w:proofErr w:type="gramEnd"/>
      <w:r w:rsidRPr="005873AF">
        <w:rPr>
          <w:rFonts w:ascii="Arial" w:hAnsi="Arial" w:cs="Arial"/>
          <w:color w:val="000000" w:themeColor="text1"/>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554F707A" w14:textId="77777777" w:rsidR="000A6380" w:rsidRPr="005873AF" w:rsidRDefault="000A6380" w:rsidP="00481870">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Gaceta del Congreso de la República No. 71 del 2005.</w:t>
      </w:r>
    </w:p>
  </w:footnote>
  <w:footnote w:id="5">
    <w:p w14:paraId="639AE15E" w14:textId="77777777" w:rsidR="000A6380" w:rsidRPr="005873AF" w:rsidRDefault="000A6380" w:rsidP="00493CDA">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Corte Constitucional, Sentencia C- 1153 de 2005, M.P. Marco Gerardo Monroy Cabra.</w:t>
      </w:r>
    </w:p>
  </w:footnote>
  <w:footnote w:id="6">
    <w:p w14:paraId="47C4C650" w14:textId="77777777" w:rsidR="000A6380" w:rsidRPr="005873AF" w:rsidRDefault="000A6380" w:rsidP="00493CDA">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62F8CBDE" w14:textId="77777777" w:rsidR="000A6380" w:rsidRPr="005873AF" w:rsidRDefault="000A6380" w:rsidP="00493CDA">
      <w:pPr>
        <w:pStyle w:val="Textonotapie"/>
        <w:ind w:firstLine="708"/>
        <w:jc w:val="both"/>
        <w:rPr>
          <w:rFonts w:ascii="Arial" w:hAnsi="Arial" w:cs="Arial"/>
          <w:color w:val="000000" w:themeColor="text1"/>
          <w:sz w:val="18"/>
          <w:szCs w:val="18"/>
          <w:lang w:val="es-CO"/>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7DB1F78F" w14:textId="77777777" w:rsidR="000A6380" w:rsidRPr="005873AF" w:rsidRDefault="000A6380" w:rsidP="00493CDA">
      <w:pPr>
        <w:pStyle w:val="Textonotapie"/>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Consejo de Estado, Sala de Consulta y Servicio Civil de fecha 24 de julio de 2013, radicado 2166, Consejero Ponente: Álvaro </w:t>
      </w:r>
      <w:proofErr w:type="spellStart"/>
      <w:r w:rsidRPr="005873AF">
        <w:rPr>
          <w:rFonts w:ascii="Arial" w:hAnsi="Arial" w:cs="Arial"/>
          <w:color w:val="000000" w:themeColor="text1"/>
          <w:sz w:val="18"/>
          <w:szCs w:val="18"/>
        </w:rPr>
        <w:t>Namén</w:t>
      </w:r>
      <w:proofErr w:type="spellEnd"/>
      <w:r w:rsidRPr="005873AF">
        <w:rPr>
          <w:rFonts w:ascii="Arial" w:hAnsi="Arial" w:cs="Arial"/>
          <w:color w:val="000000" w:themeColor="text1"/>
          <w:sz w:val="18"/>
          <w:szCs w:val="18"/>
        </w:rPr>
        <w:t xml:space="preserve"> Vargas.  </w:t>
      </w:r>
    </w:p>
  </w:footnote>
  <w:footnote w:id="9">
    <w:p w14:paraId="2F732914" w14:textId="77777777" w:rsidR="000A6380" w:rsidRPr="005873AF" w:rsidRDefault="000A6380" w:rsidP="00493CDA">
      <w:pPr>
        <w:ind w:firstLine="709"/>
        <w:jc w:val="both"/>
        <w:rPr>
          <w:rFonts w:ascii="Arial" w:hAnsi="Arial" w:cs="Arial"/>
          <w:color w:val="000000" w:themeColor="text1"/>
          <w:sz w:val="18"/>
          <w:szCs w:val="18"/>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w:t>
      </w: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6FFBAF1E" w14:textId="77777777" w:rsidR="000A6380" w:rsidRPr="005873AF" w:rsidRDefault="000A6380" w:rsidP="00493CDA">
      <w:pPr>
        <w:ind w:firstLine="709"/>
        <w:jc w:val="both"/>
        <w:rPr>
          <w:rFonts w:ascii="Arial" w:hAnsi="Arial" w:cs="Arial"/>
          <w:color w:val="000000" w:themeColor="text1"/>
          <w:sz w:val="18"/>
          <w:szCs w:val="18"/>
        </w:rPr>
      </w:pP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rPr>
        <w:t>.</w:t>
      </w:r>
    </w:p>
  </w:footnote>
  <w:footnote w:id="10">
    <w:p w14:paraId="2579FD59" w14:textId="77777777" w:rsidR="000A6380" w:rsidRPr="005873AF" w:rsidRDefault="000A6380" w:rsidP="00493CDA">
      <w:pPr>
        <w:pStyle w:val="NormalWeb"/>
        <w:spacing w:before="0" w:beforeAutospacing="0" w:after="0" w:afterAutospacing="0"/>
        <w:ind w:firstLine="709"/>
        <w:jc w:val="both"/>
        <w:rPr>
          <w:rFonts w:ascii="Arial" w:hAnsi="Arial" w:cs="Arial"/>
          <w:color w:val="000000" w:themeColor="text1"/>
          <w:sz w:val="18"/>
          <w:szCs w:val="18"/>
          <w:lang w:val="es-MX"/>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w:t>
      </w:r>
      <w:bookmarkStart w:id="14" w:name="38"/>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lang w:val="es-MX"/>
        </w:rPr>
        <w:t>Artículo 38. Prohibiciones para los servidores públicos. A los empleados del Estado les está prohibido:</w:t>
      </w:r>
      <w:bookmarkEnd w:id="14"/>
    </w:p>
    <w:p w14:paraId="53F90517" w14:textId="77777777" w:rsidR="000A6380" w:rsidRPr="005873AF" w:rsidRDefault="000A6380" w:rsidP="00493CDA">
      <w:pPr>
        <w:pStyle w:val="NormalWeb"/>
        <w:spacing w:before="0" w:beforeAutospacing="0" w:after="0" w:afterAutospacing="0"/>
        <w:ind w:firstLine="709"/>
        <w:jc w:val="both"/>
        <w:rPr>
          <w:rFonts w:ascii="Arial" w:hAnsi="Arial" w:cs="Arial"/>
          <w:color w:val="000000" w:themeColor="text1"/>
          <w:sz w:val="18"/>
          <w:szCs w:val="18"/>
          <w:lang w:val="es-MX"/>
        </w:rPr>
      </w:pP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lang w:val="es-MX"/>
        </w:rPr>
        <w:t xml:space="preserve"> […]</w:t>
      </w:r>
    </w:p>
    <w:p w14:paraId="13452152" w14:textId="77777777" w:rsidR="000A6380" w:rsidRPr="005873AF" w:rsidRDefault="000A6380" w:rsidP="00493CDA">
      <w:pPr>
        <w:pStyle w:val="NormalWeb"/>
        <w:spacing w:before="0" w:beforeAutospacing="0" w:after="0" w:afterAutospacing="0"/>
        <w:ind w:firstLine="709"/>
        <w:jc w:val="both"/>
        <w:rPr>
          <w:rFonts w:ascii="Arial" w:hAnsi="Arial" w:cs="Arial"/>
          <w:color w:val="000000" w:themeColor="text1"/>
          <w:sz w:val="18"/>
          <w:szCs w:val="18"/>
          <w:lang w:val="es-MX"/>
        </w:rPr>
      </w:pPr>
      <w:r w:rsidRPr="005873AF">
        <w:rPr>
          <w:rFonts w:ascii="Arial" w:eastAsia="Calibri" w:hAnsi="Arial" w:cs="Arial"/>
          <w:bCs/>
          <w:color w:val="000000" w:themeColor="text1"/>
          <w:sz w:val="18"/>
          <w:szCs w:val="18"/>
        </w:rPr>
        <w:t>»</w:t>
      </w:r>
      <w:r w:rsidRPr="005873AF">
        <w:rPr>
          <w:rStyle w:val="baj"/>
          <w:rFonts w:ascii="Arial" w:hAnsi="Arial" w:cs="Arial"/>
          <w:color w:val="000000" w:themeColor="text1"/>
          <w:sz w:val="18"/>
          <w:szCs w:val="18"/>
          <w:lang w:val="es-MX"/>
        </w:rPr>
        <w:t xml:space="preserve"> Parágrafo.</w:t>
      </w:r>
      <w:r w:rsidRPr="005873AF">
        <w:rPr>
          <w:rFonts w:ascii="Arial" w:hAnsi="Arial" w:cs="Arial"/>
          <w:color w:val="000000" w:themeColor="text1"/>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873AF">
        <w:rPr>
          <w:rFonts w:ascii="Arial" w:eastAsia="Calibri" w:hAnsi="Arial" w:cs="Arial"/>
          <w:bCs/>
          <w:color w:val="000000" w:themeColor="text1"/>
          <w:sz w:val="18"/>
          <w:szCs w:val="18"/>
        </w:rPr>
        <w:t>»</w:t>
      </w:r>
      <w:r w:rsidRPr="005873AF">
        <w:rPr>
          <w:rFonts w:ascii="Arial" w:hAnsi="Arial" w:cs="Arial"/>
          <w:color w:val="000000" w:themeColor="text1"/>
          <w:sz w:val="18"/>
          <w:szCs w:val="18"/>
          <w:lang w:val="es-MX"/>
        </w:rPr>
        <w:t>.</w:t>
      </w:r>
    </w:p>
  </w:footnote>
  <w:footnote w:id="11">
    <w:p w14:paraId="5E1BF1B9" w14:textId="77777777" w:rsidR="000A6380" w:rsidRPr="005873AF" w:rsidRDefault="000A6380" w:rsidP="00493CDA">
      <w:pPr>
        <w:ind w:left="100" w:right="244" w:firstLine="709"/>
        <w:jc w:val="both"/>
        <w:rPr>
          <w:rFonts w:ascii="Arial" w:hAnsi="Arial" w:cs="Arial"/>
          <w:color w:val="000000" w:themeColor="text1"/>
          <w:sz w:val="18"/>
          <w:szCs w:val="18"/>
          <w:lang w:val="es-ES"/>
        </w:rPr>
      </w:pPr>
      <w:r w:rsidRPr="005873AF">
        <w:rPr>
          <w:rStyle w:val="Refdenotaalpie"/>
          <w:rFonts w:ascii="Arial" w:hAnsi="Arial" w:cs="Arial"/>
          <w:color w:val="000000" w:themeColor="text1"/>
          <w:sz w:val="18"/>
          <w:szCs w:val="18"/>
        </w:rPr>
        <w:footnoteRef/>
      </w:r>
      <w:r w:rsidRPr="005873AF">
        <w:rPr>
          <w:rFonts w:ascii="Arial" w:hAnsi="Arial" w:cs="Arial"/>
          <w:color w:val="000000" w:themeColor="text1"/>
          <w:sz w:val="18"/>
          <w:szCs w:val="18"/>
        </w:rPr>
        <w:t xml:space="preserve"> Consejo de Estado. Sala de Consulta y Servicio Civil. Concepto del 17 de febrero de 2015. C.P. William Zambrano Cetina. Radicación No. 11001-03-06-000-2015-00164-00(2269).</w:t>
      </w:r>
    </w:p>
  </w:footnote>
  <w:footnote w:id="12">
    <w:p w14:paraId="43B13C4A" w14:textId="77777777" w:rsidR="00E31C71" w:rsidRPr="005873AF" w:rsidRDefault="00E31C71" w:rsidP="00E31C71">
      <w:pPr>
        <w:pStyle w:val="Textonotapie"/>
        <w:ind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 20 de febrero de2006. Radicación 11001-03-06-000-2006-00023-00(1724). Consejero Ponente: Flavio Augusto Rodríguez Arce.</w:t>
      </w:r>
    </w:p>
    <w:p w14:paraId="0162CE2F" w14:textId="77777777" w:rsidR="00E31C71" w:rsidRPr="005873AF" w:rsidRDefault="00E31C71" w:rsidP="00E31C71">
      <w:pPr>
        <w:pStyle w:val="Textonotapie"/>
        <w:ind w:firstLine="709"/>
        <w:jc w:val="both"/>
        <w:rPr>
          <w:rFonts w:ascii="Arial" w:hAnsi="Arial" w:cs="Arial"/>
          <w:color w:val="000000" w:themeColor="text1"/>
          <w:sz w:val="19"/>
          <w:szCs w:val="19"/>
        </w:rPr>
      </w:pPr>
    </w:p>
  </w:footnote>
  <w:footnote w:id="13">
    <w:p w14:paraId="468C98BF" w14:textId="77777777" w:rsidR="00E31C71" w:rsidRPr="005873AF" w:rsidRDefault="00E31C71" w:rsidP="00E31C71">
      <w:pPr>
        <w:spacing w:before="78"/>
        <w:ind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5873AF">
        <w:rPr>
          <w:rFonts w:ascii="Arial" w:hAnsi="Arial" w:cs="Arial"/>
          <w:color w:val="000000" w:themeColor="text1"/>
          <w:sz w:val="19"/>
          <w:szCs w:val="19"/>
        </w:rPr>
        <w:t>y</w:t>
      </w:r>
      <w:proofErr w:type="gramEnd"/>
      <w:r w:rsidRPr="005873AF">
        <w:rPr>
          <w:rFonts w:ascii="Arial" w:hAnsi="Arial" w:cs="Arial"/>
          <w:color w:val="000000" w:themeColor="text1"/>
          <w:sz w:val="19"/>
          <w:szCs w:val="19"/>
        </w:rPr>
        <w:t xml:space="preserve"> en consecuencia, le es aplicable lo establecido en el artículo 2.2.1.2.1.4.1 del presente decreto.</w:t>
      </w:r>
    </w:p>
    <w:p w14:paraId="1ACCAFA8" w14:textId="77777777" w:rsidR="00E31C71" w:rsidRPr="005873AF" w:rsidRDefault="00E31C71" w:rsidP="00E31C71">
      <w:pPr>
        <w:ind w:firstLine="709"/>
        <w:jc w:val="both"/>
        <w:rPr>
          <w:rFonts w:ascii="Arial" w:hAnsi="Arial" w:cs="Arial"/>
          <w:color w:val="000000" w:themeColor="text1"/>
          <w:sz w:val="19"/>
          <w:szCs w:val="19"/>
        </w:rPr>
      </w:pPr>
      <w:proofErr w:type="gramStart"/>
      <w:r w:rsidRPr="005873AF">
        <w:rPr>
          <w:rFonts w:ascii="Arial" w:hAnsi="Arial" w:cs="Arial"/>
          <w:color w:val="000000" w:themeColor="text1"/>
          <w:sz w:val="19"/>
          <w:szCs w:val="19"/>
        </w:rPr>
        <w:t>»Cuando</w:t>
      </w:r>
      <w:proofErr w:type="gramEnd"/>
      <w:r w:rsidRPr="005873AF">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5873AF">
        <w:rPr>
          <w:rFonts w:ascii="Arial" w:hAnsi="Arial" w:cs="Arial"/>
          <w:color w:val="000000" w:themeColor="text1"/>
          <w:spacing w:val="-1"/>
          <w:sz w:val="19"/>
          <w:szCs w:val="19"/>
        </w:rPr>
        <w:t xml:space="preserve"> </w:t>
      </w:r>
      <w:r w:rsidRPr="005873AF">
        <w:rPr>
          <w:rFonts w:ascii="Arial" w:hAnsi="Arial" w:cs="Arial"/>
          <w:color w:val="000000" w:themeColor="text1"/>
          <w:sz w:val="19"/>
          <w:szCs w:val="19"/>
        </w:rPr>
        <w:t>Estatales».</w:t>
      </w:r>
    </w:p>
    <w:p w14:paraId="397B7DEC" w14:textId="77777777" w:rsidR="00E31C71" w:rsidRPr="005873AF" w:rsidRDefault="00E31C71" w:rsidP="00E31C71">
      <w:pPr>
        <w:ind w:firstLine="709"/>
        <w:jc w:val="both"/>
        <w:rPr>
          <w:rFonts w:ascii="Arial" w:hAnsi="Arial" w:cs="Arial"/>
          <w:color w:val="000000" w:themeColor="text1"/>
          <w:sz w:val="19"/>
          <w:szCs w:val="19"/>
        </w:rPr>
      </w:pPr>
    </w:p>
  </w:footnote>
  <w:footnote w:id="14">
    <w:p w14:paraId="519AA1EC" w14:textId="77777777" w:rsidR="00E31C71" w:rsidRPr="005873AF" w:rsidRDefault="00E31C71" w:rsidP="00E31C71">
      <w:pPr>
        <w:ind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5873AF">
        <w:rPr>
          <w:rFonts w:ascii="Arial" w:hAnsi="Arial" w:cs="Arial"/>
          <w:color w:val="000000" w:themeColor="text1"/>
          <w:spacing w:val="-6"/>
          <w:sz w:val="19"/>
          <w:szCs w:val="19"/>
        </w:rPr>
        <w:t xml:space="preserve"> </w:t>
      </w:r>
      <w:r w:rsidRPr="005873AF">
        <w:rPr>
          <w:rFonts w:ascii="Arial" w:hAnsi="Arial" w:cs="Arial"/>
          <w:color w:val="000000" w:themeColor="text1"/>
          <w:sz w:val="19"/>
          <w:szCs w:val="19"/>
        </w:rPr>
        <w:t>artículo».</w:t>
      </w:r>
    </w:p>
    <w:p w14:paraId="3442B6BF" w14:textId="77777777" w:rsidR="00E31C71" w:rsidRPr="005873AF" w:rsidRDefault="00E31C71" w:rsidP="00E31C71">
      <w:pPr>
        <w:ind w:firstLine="709"/>
        <w:jc w:val="both"/>
        <w:rPr>
          <w:rFonts w:ascii="Arial" w:hAnsi="Arial" w:cs="Arial"/>
          <w:color w:val="000000" w:themeColor="text1"/>
          <w:sz w:val="19"/>
          <w:szCs w:val="19"/>
        </w:rPr>
      </w:pPr>
    </w:p>
  </w:footnote>
  <w:footnote w:id="15">
    <w:p w14:paraId="7E699952" w14:textId="77777777" w:rsidR="00E31C71" w:rsidRPr="005873AF" w:rsidRDefault="00E31C71" w:rsidP="00E31C71">
      <w:pPr>
        <w:ind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position w:val="7"/>
          <w:sz w:val="19"/>
          <w:szCs w:val="19"/>
        </w:rPr>
        <w:t xml:space="preserve"> </w:t>
      </w:r>
      <w:r w:rsidRPr="005873AF">
        <w:rPr>
          <w:rFonts w:ascii="Arial" w:hAnsi="Arial" w:cs="Arial"/>
          <w:color w:val="000000" w:themeColor="text1"/>
          <w:sz w:val="19"/>
          <w:szCs w:val="19"/>
        </w:rPr>
        <w:t>Consejo de Estado. Sección Tercera. Sentencia del 23 de junio de 2010. Radicación No. 66001-23-31-000-1998-00261-01(17.860). Consejero Ponente: Mauricio Fajardo Gómez.</w:t>
      </w:r>
    </w:p>
  </w:footnote>
  <w:footnote w:id="16">
    <w:p w14:paraId="342BDA1F" w14:textId="77777777" w:rsidR="00E31C71" w:rsidRPr="005873AF" w:rsidRDefault="00E31C71" w:rsidP="00E31C71">
      <w:pPr>
        <w:ind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Sección Tercera. Subsección C. Sentencia del 11 de diciembre de 2019. </w:t>
      </w:r>
      <w:proofErr w:type="spellStart"/>
      <w:r w:rsidRPr="005873AF">
        <w:rPr>
          <w:rFonts w:ascii="Arial" w:hAnsi="Arial" w:cs="Arial"/>
          <w:color w:val="000000" w:themeColor="text1"/>
          <w:sz w:val="19"/>
          <w:szCs w:val="19"/>
        </w:rPr>
        <w:t>Exp</w:t>
      </w:r>
      <w:proofErr w:type="spellEnd"/>
      <w:r w:rsidRPr="005873AF">
        <w:rPr>
          <w:rFonts w:ascii="Arial" w:hAnsi="Arial" w:cs="Arial"/>
          <w:color w:val="000000" w:themeColor="text1"/>
          <w:sz w:val="19"/>
          <w:szCs w:val="19"/>
        </w:rPr>
        <w:t>. 46.986. C.P. Jaime Enrique Rodríguez Navas.</w:t>
      </w:r>
    </w:p>
    <w:p w14:paraId="115BB081" w14:textId="77777777" w:rsidR="00E31C71" w:rsidRPr="005873AF" w:rsidRDefault="00E31C71" w:rsidP="00E31C71">
      <w:pPr>
        <w:ind w:firstLine="709"/>
        <w:jc w:val="both"/>
        <w:rPr>
          <w:rFonts w:ascii="Arial" w:hAnsi="Arial" w:cs="Arial"/>
          <w:color w:val="000000" w:themeColor="text1"/>
          <w:sz w:val="19"/>
          <w:szCs w:val="19"/>
        </w:rPr>
      </w:pPr>
    </w:p>
  </w:footnote>
  <w:footnote w:id="17">
    <w:p w14:paraId="058F0528" w14:textId="77777777" w:rsidR="00E31C71" w:rsidRPr="005873AF" w:rsidRDefault="00E31C71" w:rsidP="00E31C71">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[Referencia propia de la cita] «CE. SCSC. Concepto de 1 de noviembre de 2016 [Rad. 11001-03-06-000-2016-00125-00(2305)]. MP. Germán Alberto Bula Escobar».</w:t>
      </w:r>
    </w:p>
    <w:p w14:paraId="5AC57D29" w14:textId="77777777" w:rsidR="00E31C71" w:rsidRPr="005873AF" w:rsidRDefault="00E31C71" w:rsidP="00E31C71">
      <w:pPr>
        <w:pStyle w:val="Textonotapie"/>
        <w:ind w:firstLine="708"/>
        <w:jc w:val="both"/>
        <w:rPr>
          <w:rFonts w:ascii="Arial" w:hAnsi="Arial" w:cs="Arial"/>
          <w:color w:val="000000" w:themeColor="text1"/>
          <w:sz w:val="19"/>
          <w:szCs w:val="19"/>
        </w:rPr>
      </w:pPr>
    </w:p>
  </w:footnote>
  <w:footnote w:id="18">
    <w:p w14:paraId="655F7F7C" w14:textId="77777777" w:rsidR="00E31C71" w:rsidRPr="005873AF" w:rsidRDefault="00E31C71" w:rsidP="00E31C71">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[Referencia propia de la cita] «CE. SCSC. Concepto de 30 de abril de 2008 [Rad. 11001-03-06-000-2008-00013-00(1881)]. MP. Enrique José Arboleda Perdomo. En esta oportunidad, la Sala indicó que el contenido </w:t>
      </w:r>
      <w:r w:rsidRPr="005873AF">
        <w:rPr>
          <w:rFonts w:ascii="Arial" w:hAnsi="Arial" w:cs="Arial"/>
          <w:i/>
          <w:color w:val="000000" w:themeColor="text1"/>
          <w:sz w:val="19"/>
          <w:szCs w:val="19"/>
        </w:rPr>
        <w:t>“obligacional”</w:t>
      </w:r>
      <w:r w:rsidRPr="005873AF">
        <w:rPr>
          <w:rFonts w:ascii="Arial" w:hAnsi="Arial" w:cs="Arial"/>
          <w:color w:val="000000" w:themeColor="text1"/>
          <w:sz w:val="19"/>
          <w:szCs w:val="19"/>
        </w:rPr>
        <w:t xml:space="preserve"> de los convenios se estructura definiendo el resultado querido por las partes y los medios que cada entidad despliega para la obtención del respectivo objeto».</w:t>
      </w:r>
    </w:p>
  </w:footnote>
  <w:footnote w:id="19">
    <w:p w14:paraId="1BAA9FFA" w14:textId="77777777" w:rsidR="00E31C71" w:rsidRPr="005873AF" w:rsidRDefault="00E31C71" w:rsidP="00E31C71">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[Referencia propia de la cita] «La normativa vigente del EGCAP </w:t>
      </w:r>
      <w:r w:rsidRPr="005873AF">
        <w:rPr>
          <w:rFonts w:ascii="Arial" w:hAnsi="Arial" w:cs="Arial"/>
          <w:i/>
          <w:color w:val="000000" w:themeColor="text1"/>
          <w:sz w:val="19"/>
          <w:szCs w:val="19"/>
        </w:rPr>
        <w:t>[literal c) del numeral 4. del artículo 2 de la Ley 1150/07]</w:t>
      </w:r>
      <w:r w:rsidRPr="005873AF">
        <w:rPr>
          <w:rFonts w:ascii="Arial" w:hAnsi="Arial" w:cs="Arial"/>
          <w:color w:val="000000" w:themeColor="text1"/>
          <w:sz w:val="19"/>
          <w:szCs w:val="19"/>
        </w:rPr>
        <w:t xml:space="preserve"> se refiere a </w:t>
      </w:r>
      <w:r w:rsidRPr="005873AF">
        <w:rPr>
          <w:rFonts w:ascii="Arial" w:hAnsi="Arial" w:cs="Arial"/>
          <w:i/>
          <w:color w:val="000000" w:themeColor="text1"/>
          <w:sz w:val="19"/>
          <w:szCs w:val="19"/>
        </w:rPr>
        <w:t>“contratos interadministrativos”</w:t>
      </w:r>
      <w:r w:rsidRPr="005873AF">
        <w:rPr>
          <w:rFonts w:ascii="Arial" w:hAnsi="Arial" w:cs="Arial"/>
          <w:color w:val="000000" w:themeColor="text1"/>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7BC7EAD2" w14:textId="77777777" w:rsidR="00E31C71" w:rsidRPr="005873AF" w:rsidRDefault="00E31C71" w:rsidP="00E31C71">
      <w:pPr>
        <w:pStyle w:val="Textonotapie"/>
        <w:ind w:firstLine="708"/>
        <w:jc w:val="both"/>
        <w:rPr>
          <w:rFonts w:ascii="Arial" w:hAnsi="Arial" w:cs="Arial"/>
          <w:color w:val="000000" w:themeColor="text1"/>
          <w:sz w:val="19"/>
          <w:szCs w:val="19"/>
        </w:rPr>
      </w:pPr>
    </w:p>
  </w:footnote>
  <w:footnote w:id="20">
    <w:p w14:paraId="3F88728D" w14:textId="77777777" w:rsidR="00E31C71" w:rsidRPr="005873AF" w:rsidRDefault="00E31C71" w:rsidP="00E31C71">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5873AF">
        <w:rPr>
          <w:rFonts w:ascii="Arial" w:hAnsi="Arial" w:cs="Arial"/>
          <w:color w:val="000000" w:themeColor="text1"/>
          <w:sz w:val="19"/>
          <w:szCs w:val="19"/>
        </w:rPr>
        <w:t>Exp</w:t>
      </w:r>
      <w:proofErr w:type="spellEnd"/>
      <w:r w:rsidRPr="005873AF">
        <w:rPr>
          <w:rFonts w:ascii="Arial" w:hAnsi="Arial" w:cs="Arial"/>
          <w:color w:val="000000" w:themeColor="text1"/>
          <w:sz w:val="19"/>
          <w:szCs w:val="19"/>
        </w:rPr>
        <w:t xml:space="preserve">. 2.257. M.P. Álvaro </w:t>
      </w:r>
      <w:proofErr w:type="spellStart"/>
      <w:r w:rsidRPr="005873AF">
        <w:rPr>
          <w:rFonts w:ascii="Arial" w:hAnsi="Arial" w:cs="Arial"/>
          <w:color w:val="000000" w:themeColor="text1"/>
          <w:sz w:val="19"/>
          <w:szCs w:val="19"/>
        </w:rPr>
        <w:t>Namén</w:t>
      </w:r>
      <w:proofErr w:type="spellEnd"/>
      <w:r w:rsidRPr="005873AF">
        <w:rPr>
          <w:rFonts w:ascii="Arial" w:hAnsi="Arial" w:cs="Arial"/>
          <w:color w:val="000000" w:themeColor="text1"/>
          <w:sz w:val="19"/>
          <w:szCs w:val="19"/>
        </w:rPr>
        <w:t xml:space="preserve"> Vargas).</w:t>
      </w:r>
    </w:p>
    <w:p w14:paraId="709F533A" w14:textId="77777777" w:rsidR="00E31C71" w:rsidRPr="005873AF" w:rsidRDefault="00E31C71" w:rsidP="00E31C71">
      <w:pPr>
        <w:pStyle w:val="Textonotapie"/>
        <w:ind w:firstLine="708"/>
        <w:jc w:val="both"/>
        <w:rPr>
          <w:rFonts w:ascii="Arial" w:hAnsi="Arial" w:cs="Arial"/>
          <w:color w:val="000000" w:themeColor="text1"/>
          <w:sz w:val="19"/>
          <w:szCs w:val="19"/>
        </w:rPr>
      </w:pPr>
    </w:p>
  </w:footnote>
  <w:footnote w:id="21">
    <w:p w14:paraId="2B48C744" w14:textId="77777777" w:rsidR="00E31C71" w:rsidRPr="005873AF" w:rsidRDefault="00E31C71" w:rsidP="00E31C71">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Es lo que sucede, por ejemplo, con el Decreto 092 de 2017, que en su desarrollo hace referencia tanto a los «contratos» como a los «convenios». </w:t>
      </w:r>
    </w:p>
    <w:p w14:paraId="22114476" w14:textId="77777777" w:rsidR="00E31C71" w:rsidRPr="005873AF" w:rsidRDefault="00E31C71" w:rsidP="00E31C71">
      <w:pPr>
        <w:pStyle w:val="Textonotapie"/>
        <w:ind w:firstLine="708"/>
        <w:jc w:val="both"/>
        <w:rPr>
          <w:rFonts w:ascii="Arial" w:hAnsi="Arial" w:cs="Arial"/>
          <w:color w:val="000000" w:themeColor="text1"/>
          <w:sz w:val="19"/>
          <w:szCs w:val="19"/>
          <w:lang w:val="es-CO"/>
        </w:rPr>
      </w:pPr>
    </w:p>
  </w:footnote>
  <w:footnote w:id="22">
    <w:p w14:paraId="0B7C24A8" w14:textId="77777777" w:rsidR="00E31C71" w:rsidRPr="005873AF" w:rsidRDefault="00E31C71" w:rsidP="00E31C71">
      <w:pPr>
        <w:pStyle w:val="Textonotapie"/>
        <w:ind w:firstLine="708"/>
        <w:jc w:val="both"/>
        <w:rPr>
          <w:rFonts w:ascii="Arial" w:hAnsi="Arial" w:cs="Arial"/>
          <w:color w:val="000000" w:themeColor="text1"/>
          <w:sz w:val="19"/>
          <w:szCs w:val="19"/>
          <w:lang w:val="es-CO"/>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3">
    <w:p w14:paraId="349706F1" w14:textId="77777777" w:rsidR="00E31C71" w:rsidRPr="005873AF" w:rsidRDefault="00E31C71" w:rsidP="00E31C71">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24">
    <w:p w14:paraId="20F21116" w14:textId="77777777" w:rsidR="00E31C71" w:rsidRPr="005873AF" w:rsidRDefault="00E31C71" w:rsidP="00E31C71">
      <w:pPr>
        <w:ind w:firstLine="708"/>
        <w:jc w:val="both"/>
        <w:rPr>
          <w:rFonts w:ascii="Arial" w:eastAsia="Calibri" w:hAnsi="Arial" w:cs="Arial"/>
          <w:color w:val="000000" w:themeColor="text1"/>
          <w:sz w:val="19"/>
          <w:szCs w:val="19"/>
          <w:lang w:eastAsia="en-US"/>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r w:rsidRPr="005873AF">
        <w:rPr>
          <w:rFonts w:ascii="Arial" w:eastAsia="Calibri" w:hAnsi="Arial" w:cs="Arial"/>
          <w:color w:val="000000" w:themeColor="text1"/>
          <w:sz w:val="19"/>
          <w:szCs w:val="19"/>
          <w:lang w:eastAsia="en-US"/>
        </w:rPr>
        <w:t xml:space="preserve">«ARTÍCULO 124. Con el propósito de promover la reactivación económica y la generación de empleo en las regiones, a partir de la publicación de la presente ley y durante la vigencia fiscal 2022, </w:t>
      </w:r>
      <w:r w:rsidRPr="005873AF">
        <w:rPr>
          <w:rFonts w:ascii="Arial" w:eastAsia="Calibri" w:hAnsi="Arial" w:cs="Arial"/>
          <w:i/>
          <w:color w:val="000000" w:themeColor="text1"/>
          <w:sz w:val="19"/>
          <w:szCs w:val="19"/>
          <w:lang w:eastAsia="en-US"/>
        </w:rPr>
        <w:t>la Nación podrá celebrar convenios interadministrativos con las entidades territoriales para ejecutar programas y proyectos correspondientes al Presupuesto General de la Nación.</w:t>
      </w:r>
    </w:p>
    <w:p w14:paraId="0186420D" w14:textId="77777777" w:rsidR="00E31C71" w:rsidRPr="005873AF" w:rsidRDefault="00E31C71" w:rsidP="00E31C71">
      <w:pPr>
        <w:ind w:firstLine="708"/>
        <w:jc w:val="both"/>
        <w:rPr>
          <w:rFonts w:ascii="Arial" w:eastAsia="Calibri" w:hAnsi="Arial" w:cs="Arial"/>
          <w:color w:val="000000" w:themeColor="text1"/>
          <w:sz w:val="19"/>
          <w:szCs w:val="19"/>
          <w:lang w:eastAsia="en-US"/>
        </w:rPr>
      </w:pPr>
      <w:proofErr w:type="gramStart"/>
      <w:r w:rsidRPr="005873AF">
        <w:rPr>
          <w:rFonts w:ascii="Arial" w:eastAsia="Calibri" w:hAnsi="Arial" w:cs="Arial"/>
          <w:color w:val="000000" w:themeColor="text1"/>
          <w:sz w:val="19"/>
          <w:szCs w:val="19"/>
          <w:lang w:eastAsia="en-US"/>
        </w:rPr>
        <w:t>»La</w:t>
      </w:r>
      <w:proofErr w:type="gramEnd"/>
      <w:r w:rsidRPr="005873AF">
        <w:rPr>
          <w:rFonts w:ascii="Arial" w:eastAsia="Calibri" w:hAnsi="Arial" w:cs="Arial"/>
          <w:color w:val="000000" w:themeColor="text1"/>
          <w:sz w:val="19"/>
          <w:szCs w:val="19"/>
          <w:lang w:eastAsia="en-US"/>
        </w:rPr>
        <w:t xml:space="preserve"> presente disposición modifica únicamente en la parte pertinente el inciso primero del parágrafo del artículo 38 de la Ley 996 de 2005.</w:t>
      </w:r>
    </w:p>
    <w:p w14:paraId="16A0A406" w14:textId="77777777" w:rsidR="00E31C71" w:rsidRPr="005873AF" w:rsidRDefault="00E31C71" w:rsidP="00E31C71">
      <w:pPr>
        <w:pStyle w:val="Textonotapie"/>
        <w:ind w:firstLine="708"/>
        <w:jc w:val="both"/>
        <w:rPr>
          <w:rFonts w:ascii="Arial" w:hAnsi="Arial" w:cs="Arial"/>
          <w:color w:val="000000" w:themeColor="text1"/>
          <w:sz w:val="19"/>
          <w:szCs w:val="19"/>
          <w:lang w:val="es-ES"/>
        </w:rPr>
      </w:pPr>
      <w:proofErr w:type="gramStart"/>
      <w:r w:rsidRPr="005873AF">
        <w:rPr>
          <w:rFonts w:ascii="Arial" w:eastAsia="Calibri" w:hAnsi="Arial" w:cs="Arial"/>
          <w:color w:val="000000" w:themeColor="text1"/>
          <w:sz w:val="19"/>
          <w:szCs w:val="19"/>
        </w:rPr>
        <w:t>»PARÁGRAFO</w:t>
      </w:r>
      <w:proofErr w:type="gramEnd"/>
      <w:r w:rsidRPr="005873AF">
        <w:rPr>
          <w:rFonts w:ascii="Arial" w:eastAsia="Calibri" w:hAnsi="Arial" w:cs="Arial"/>
          <w:color w:val="000000" w:themeColor="text1"/>
          <w:sz w:val="19"/>
          <w:szCs w:val="19"/>
        </w:rPr>
        <w:t>.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 (</w:t>
      </w:r>
      <w:r w:rsidRPr="005873AF">
        <w:rPr>
          <w:rFonts w:ascii="Arial" w:eastAsia="Calibri" w:hAnsi="Arial" w:cs="Arial"/>
          <w:color w:val="000000" w:themeColor="text1"/>
          <w:sz w:val="19"/>
          <w:szCs w:val="19"/>
          <w:lang w:val="es-CO"/>
        </w:rPr>
        <w:t>Cursiva</w:t>
      </w:r>
      <w:r w:rsidRPr="005873AF">
        <w:rPr>
          <w:rFonts w:ascii="Arial" w:eastAsia="Calibri" w:hAnsi="Arial" w:cs="Arial"/>
          <w:color w:val="000000" w:themeColor="text1"/>
          <w:sz w:val="19"/>
          <w:szCs w:val="19"/>
        </w:rPr>
        <w:t xml:space="preserve"> fuera de texto).</w:t>
      </w:r>
    </w:p>
  </w:footnote>
  <w:footnote w:id="25">
    <w:p w14:paraId="2BC12F9B" w14:textId="77777777" w:rsidR="00E31C71" w:rsidRPr="005873AF" w:rsidRDefault="00E31C71" w:rsidP="00E31C71">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En relación con el alcance del artículo 124 de la Ley 2195 de 2022, se pueden consultar, entre otros, los conceptos C-736 del 31 de enero de 2022.</w:t>
      </w:r>
    </w:p>
  </w:footnote>
  <w:footnote w:id="26">
    <w:p w14:paraId="2D4C1FD8" w14:textId="77777777" w:rsidR="00E31C71" w:rsidRPr="005873AF" w:rsidRDefault="00E31C71" w:rsidP="00E31C71">
      <w:pPr>
        <w:pStyle w:val="Textonotapie"/>
        <w:ind w:firstLine="709"/>
        <w:jc w:val="both"/>
        <w:rPr>
          <w:rFonts w:ascii="Arial" w:hAnsi="Arial" w:cs="Arial"/>
          <w:color w:val="000000" w:themeColor="text1"/>
          <w:sz w:val="19"/>
          <w:szCs w:val="19"/>
          <w:lang w:val="es-CO"/>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del 15 de noviembre de 2007. Expediente número 1863. Consejero Ponente: Luis Fernando Álvarez Jaramillo.</w:t>
      </w:r>
    </w:p>
  </w:footnote>
  <w:footnote w:id="27">
    <w:p w14:paraId="4070CB6E" w14:textId="77777777" w:rsidR="000A6380" w:rsidRPr="005873AF" w:rsidRDefault="000A6380" w:rsidP="004500E8">
      <w:pPr>
        <w:pStyle w:val="Textonotapie"/>
        <w:ind w:right="51"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bookmarkStart w:id="24" w:name="_Hlk74272731"/>
      <w:r w:rsidRPr="005873AF">
        <w:rPr>
          <w:rFonts w:ascii="Arial" w:hAnsi="Arial" w:cs="Arial"/>
          <w:color w:val="000000" w:themeColor="text1"/>
          <w:sz w:val="19"/>
          <w:szCs w:val="19"/>
        </w:rPr>
        <w:t>«</w:t>
      </w:r>
      <w:bookmarkEnd w:id="24"/>
      <w:r w:rsidRPr="005873AF">
        <w:rPr>
          <w:rFonts w:ascii="Arial" w:hAnsi="Arial" w:cs="Arial"/>
          <w:color w:val="000000" w:themeColor="text1"/>
          <w:sz w:val="19"/>
          <w:szCs w:val="19"/>
          <w:lang w:val="es-ES"/>
        </w:rPr>
        <w:t xml:space="preserve">[25] </w:t>
      </w:r>
      <w:r w:rsidRPr="005873AF">
        <w:rPr>
          <w:rFonts w:ascii="Arial" w:hAnsi="Arial" w:cs="Arial"/>
          <w:color w:val="000000" w:themeColor="text1"/>
          <w:sz w:val="19"/>
          <w:szCs w:val="19"/>
        </w:rPr>
        <w:t>Cfr. Consejo de Estado. Sección Tercera. Sentencia de 3 de diciembre de 2007. Radicados: 24.715, 25.206, 25.409, 24.524, 27.834, 25.410, 26.105, 28.244, 31.447 -acumulados-</w:t>
      </w:r>
      <w:bookmarkStart w:id="25" w:name="_Hlk74271358"/>
      <w:r w:rsidRPr="005873AF">
        <w:rPr>
          <w:rFonts w:ascii="Arial" w:hAnsi="Arial" w:cs="Arial"/>
          <w:color w:val="000000" w:themeColor="text1"/>
          <w:sz w:val="19"/>
          <w:szCs w:val="19"/>
        </w:rPr>
        <w:t>»</w:t>
      </w:r>
      <w:bookmarkEnd w:id="25"/>
      <w:r w:rsidRPr="005873AF">
        <w:rPr>
          <w:rFonts w:ascii="Arial" w:hAnsi="Arial" w:cs="Arial"/>
          <w:color w:val="000000" w:themeColor="text1"/>
          <w:sz w:val="19"/>
          <w:szCs w:val="19"/>
        </w:rPr>
        <w:t>.</w:t>
      </w:r>
    </w:p>
  </w:footnote>
  <w:footnote w:id="28">
    <w:p w14:paraId="42391433" w14:textId="77777777" w:rsidR="000A6380" w:rsidRPr="005873AF" w:rsidRDefault="000A6380" w:rsidP="004500E8">
      <w:pPr>
        <w:pStyle w:val="Textonotapie"/>
        <w:ind w:right="51"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bookmarkStart w:id="27" w:name="_Hlk74294506"/>
      <w:r w:rsidRPr="005873AF">
        <w:rPr>
          <w:rFonts w:ascii="Arial" w:hAnsi="Arial" w:cs="Arial"/>
          <w:color w:val="000000" w:themeColor="text1"/>
          <w:sz w:val="19"/>
          <w:szCs w:val="19"/>
        </w:rPr>
        <w:t>«</w:t>
      </w:r>
      <w:r w:rsidRPr="005873AF">
        <w:rPr>
          <w:rFonts w:ascii="Arial" w:hAnsi="Arial" w:cs="Arial"/>
          <w:color w:val="000000" w:themeColor="text1"/>
          <w:sz w:val="19"/>
          <w:szCs w:val="19"/>
          <w:lang w:val="es-ES"/>
        </w:rPr>
        <w:t xml:space="preserve">[26] </w:t>
      </w:r>
      <w:bookmarkEnd w:id="27"/>
      <w:r w:rsidRPr="005873AF">
        <w:rPr>
          <w:rFonts w:ascii="Arial" w:hAnsi="Arial" w:cs="Arial"/>
          <w:color w:val="000000" w:themeColor="text1"/>
          <w:sz w:val="19"/>
          <w:szCs w:val="19"/>
        </w:rPr>
        <w:t>Al respecto ver el concepto 1712 de 2 de febrero de 2006. Consejo de Estado Sala de Consulta y Servicio Civil».</w:t>
      </w:r>
    </w:p>
  </w:footnote>
  <w:footnote w:id="29">
    <w:p w14:paraId="22C8CF2E" w14:textId="77777777" w:rsidR="000A6380" w:rsidRPr="005873AF" w:rsidRDefault="000A6380" w:rsidP="004500E8">
      <w:pPr>
        <w:pStyle w:val="Textonotapie"/>
        <w:ind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del 2 de septiembre de 2013. Radicación número: 11001-03-06-000-2013-00412-00 (2168). Consejero Ponente: Álvaro </w:t>
      </w:r>
      <w:proofErr w:type="spellStart"/>
      <w:r w:rsidRPr="005873AF">
        <w:rPr>
          <w:rFonts w:ascii="Arial" w:hAnsi="Arial" w:cs="Arial"/>
          <w:color w:val="000000" w:themeColor="text1"/>
          <w:sz w:val="19"/>
          <w:szCs w:val="19"/>
        </w:rPr>
        <w:t>Namén</w:t>
      </w:r>
      <w:proofErr w:type="spellEnd"/>
      <w:r w:rsidRPr="005873AF">
        <w:rPr>
          <w:rFonts w:ascii="Arial" w:hAnsi="Arial" w:cs="Arial"/>
          <w:color w:val="000000" w:themeColor="text1"/>
          <w:sz w:val="19"/>
          <w:szCs w:val="19"/>
        </w:rPr>
        <w:t xml:space="preserve"> Vargas.</w:t>
      </w:r>
    </w:p>
  </w:footnote>
  <w:footnote w:id="30">
    <w:p w14:paraId="0CC0EBB6" w14:textId="77777777" w:rsidR="000A6380" w:rsidRPr="005873AF" w:rsidRDefault="000A6380" w:rsidP="004500E8">
      <w:pPr>
        <w:pStyle w:val="Textonotapie"/>
        <w:ind w:firstLine="709"/>
        <w:jc w:val="both"/>
        <w:rPr>
          <w:rFonts w:ascii="Arial" w:hAnsi="Arial" w:cs="Arial"/>
          <w:color w:val="000000" w:themeColor="text1"/>
          <w:sz w:val="19"/>
          <w:szCs w:val="19"/>
          <w:lang w:val="es-ES"/>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r w:rsidRPr="005873AF">
        <w:rPr>
          <w:rFonts w:ascii="Arial" w:hAnsi="Arial" w:cs="Arial"/>
          <w:color w:val="000000" w:themeColor="text1"/>
          <w:sz w:val="19"/>
          <w:szCs w:val="19"/>
          <w:lang w:val="es-ES"/>
        </w:rPr>
        <w:t xml:space="preserve">Artículo 2. </w:t>
      </w:r>
    </w:p>
  </w:footnote>
  <w:footnote w:id="31">
    <w:p w14:paraId="601F49FB" w14:textId="77777777" w:rsidR="000A6380" w:rsidRPr="005873AF" w:rsidRDefault="000A6380" w:rsidP="004500E8">
      <w:pPr>
        <w:pStyle w:val="Textonotapie"/>
        <w:ind w:firstLine="709"/>
        <w:jc w:val="both"/>
        <w:rPr>
          <w:rFonts w:ascii="Arial" w:hAnsi="Arial" w:cs="Arial"/>
          <w:color w:val="000000" w:themeColor="text1"/>
          <w:sz w:val="19"/>
          <w:szCs w:val="19"/>
          <w:lang w:val="es-ES"/>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r w:rsidRPr="005873AF">
        <w:rPr>
          <w:rFonts w:ascii="Arial" w:hAnsi="Arial" w:cs="Arial"/>
          <w:i/>
          <w:color w:val="000000" w:themeColor="text1"/>
          <w:sz w:val="19"/>
          <w:szCs w:val="19"/>
          <w:lang w:val="es-ES"/>
        </w:rPr>
        <w:t>Ídem</w:t>
      </w:r>
      <w:r w:rsidRPr="005873AF">
        <w:rPr>
          <w:rFonts w:ascii="Arial" w:hAnsi="Arial" w:cs="Arial"/>
          <w:color w:val="000000" w:themeColor="text1"/>
          <w:sz w:val="19"/>
          <w:szCs w:val="19"/>
          <w:lang w:val="es-ES"/>
        </w:rPr>
        <w:t>.</w:t>
      </w:r>
    </w:p>
  </w:footnote>
  <w:footnote w:id="32">
    <w:p w14:paraId="2B660A1C" w14:textId="77777777" w:rsidR="000A6380" w:rsidRPr="005873AF" w:rsidRDefault="000A6380" w:rsidP="004500E8">
      <w:pPr>
        <w:pStyle w:val="Textonotapie"/>
        <w:ind w:firstLine="709"/>
        <w:jc w:val="both"/>
        <w:rPr>
          <w:rFonts w:ascii="Arial" w:hAnsi="Arial" w:cs="Arial"/>
          <w:color w:val="000000" w:themeColor="text1"/>
          <w:sz w:val="19"/>
          <w:szCs w:val="19"/>
          <w:lang w:val="es-ES"/>
        </w:rPr>
      </w:pPr>
      <w:r w:rsidRPr="005873AF">
        <w:rPr>
          <w:rStyle w:val="Refdenotaalpie"/>
          <w:rFonts w:ascii="Arial" w:hAnsi="Arial" w:cs="Arial"/>
          <w:color w:val="000000" w:themeColor="text1"/>
          <w:sz w:val="19"/>
          <w:szCs w:val="19"/>
        </w:rPr>
        <w:footnoteRef/>
      </w:r>
      <w:r w:rsidRPr="005873AF">
        <w:rPr>
          <w:rStyle w:val="Refdenotaalpie"/>
          <w:rFonts w:ascii="Arial" w:hAnsi="Arial" w:cs="Arial"/>
          <w:color w:val="000000" w:themeColor="text1"/>
          <w:sz w:val="19"/>
          <w:szCs w:val="19"/>
        </w:rPr>
        <w:t xml:space="preserve"> </w:t>
      </w:r>
      <w:bookmarkStart w:id="31" w:name="_Hlk74297130"/>
      <w:r w:rsidRPr="005873AF">
        <w:rPr>
          <w:rFonts w:ascii="Arial" w:hAnsi="Arial" w:cs="Arial"/>
          <w:color w:val="000000" w:themeColor="text1"/>
          <w:sz w:val="19"/>
          <w:szCs w:val="19"/>
          <w:lang w:val="es-ES"/>
        </w:rPr>
        <w:t>«</w:t>
      </w:r>
      <w:bookmarkEnd w:id="31"/>
      <w:r w:rsidRPr="005873AF">
        <w:rPr>
          <w:rFonts w:ascii="Arial" w:hAnsi="Arial" w:cs="Arial"/>
          <w:color w:val="000000" w:themeColor="text1"/>
          <w:sz w:val="19"/>
          <w:szCs w:val="19"/>
          <w:lang w:val="es-ES"/>
        </w:rPr>
        <w:t xml:space="preserve">[…] A este respecto, cabe recordar que el artículo 860 del Código de Comercio regula la licitación en el derecho privado». </w:t>
      </w:r>
    </w:p>
  </w:footnote>
  <w:footnote w:id="33">
    <w:p w14:paraId="049EAB8B" w14:textId="77777777" w:rsidR="000A6380" w:rsidRPr="005873AF" w:rsidRDefault="000A6380" w:rsidP="004500E8">
      <w:pPr>
        <w:shd w:val="clear" w:color="auto" w:fill="FFFFFF"/>
        <w:ind w:firstLine="709"/>
        <w:jc w:val="both"/>
        <w:rPr>
          <w:rFonts w:ascii="Arial" w:hAnsi="Arial" w:cs="Arial"/>
          <w:color w:val="000000" w:themeColor="text1"/>
          <w:sz w:val="19"/>
          <w:szCs w:val="19"/>
          <w:lang w:val="es-ES"/>
        </w:rPr>
      </w:pPr>
      <w:r w:rsidRPr="005873AF">
        <w:rPr>
          <w:rStyle w:val="Refdenotaalpie"/>
          <w:rFonts w:ascii="Arial" w:hAnsi="Arial" w:cs="Arial"/>
          <w:color w:val="000000" w:themeColor="text1"/>
          <w:sz w:val="19"/>
          <w:szCs w:val="19"/>
        </w:rPr>
        <w:footnoteRef/>
      </w:r>
      <w:r w:rsidRPr="005873AF">
        <w:rPr>
          <w:rStyle w:val="Refdenotaalpie"/>
          <w:rFonts w:ascii="Arial" w:hAnsi="Arial" w:cs="Arial"/>
          <w:color w:val="000000" w:themeColor="text1"/>
          <w:sz w:val="19"/>
          <w:szCs w:val="19"/>
        </w:rPr>
        <w:t xml:space="preserve"> </w:t>
      </w:r>
      <w:r w:rsidRPr="005873AF">
        <w:rPr>
          <w:rFonts w:ascii="Arial" w:hAnsi="Arial" w:cs="Arial"/>
          <w:color w:val="000000" w:themeColor="text1"/>
          <w:sz w:val="19"/>
          <w:szCs w:val="19"/>
          <w:lang w:val="es-ES"/>
        </w:rPr>
        <w:t xml:space="preserve">Consejo de Estado. Sala de Consulta y Servicio Civil, Concepto de 8 de mayo de 2018. Radicación Número: 11001-03-06-000-2018-00095-00(2382). Consejero Ponente: Álvaro </w:t>
      </w:r>
      <w:proofErr w:type="spellStart"/>
      <w:r w:rsidRPr="005873AF">
        <w:rPr>
          <w:rFonts w:ascii="Arial" w:hAnsi="Arial" w:cs="Arial"/>
          <w:color w:val="000000" w:themeColor="text1"/>
          <w:sz w:val="19"/>
          <w:szCs w:val="19"/>
          <w:lang w:val="es-ES"/>
        </w:rPr>
        <w:t>Namén</w:t>
      </w:r>
      <w:proofErr w:type="spellEnd"/>
      <w:r w:rsidRPr="005873AF">
        <w:rPr>
          <w:rFonts w:ascii="Arial" w:hAnsi="Arial" w:cs="Arial"/>
          <w:color w:val="000000" w:themeColor="text1"/>
          <w:sz w:val="19"/>
          <w:szCs w:val="19"/>
          <w:lang w:val="es-ES"/>
        </w:rPr>
        <w:t xml:space="preserve"> Vargas.</w:t>
      </w:r>
    </w:p>
  </w:footnote>
  <w:footnote w:id="34">
    <w:p w14:paraId="56279F07" w14:textId="77777777" w:rsidR="000A6380" w:rsidRPr="005873AF" w:rsidRDefault="000A6380" w:rsidP="004500E8">
      <w:pPr>
        <w:pStyle w:val="Textonotapie"/>
        <w:ind w:firstLine="709"/>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del 08 de mayo de 2018. </w:t>
      </w:r>
      <w:proofErr w:type="spellStart"/>
      <w:r w:rsidRPr="005873AF">
        <w:rPr>
          <w:rFonts w:ascii="Arial" w:hAnsi="Arial" w:cs="Arial"/>
          <w:color w:val="000000" w:themeColor="text1"/>
          <w:sz w:val="19"/>
          <w:szCs w:val="19"/>
        </w:rPr>
        <w:t>Exp</w:t>
      </w:r>
      <w:proofErr w:type="spellEnd"/>
      <w:r w:rsidRPr="005873AF">
        <w:rPr>
          <w:rFonts w:ascii="Arial" w:hAnsi="Arial" w:cs="Arial"/>
          <w:color w:val="000000" w:themeColor="text1"/>
          <w:sz w:val="19"/>
          <w:szCs w:val="19"/>
        </w:rPr>
        <w:t xml:space="preserve">. 2.382. C.P. Álvaro </w:t>
      </w:r>
      <w:proofErr w:type="spellStart"/>
      <w:r w:rsidRPr="005873AF">
        <w:rPr>
          <w:rFonts w:ascii="Arial" w:hAnsi="Arial" w:cs="Arial"/>
          <w:color w:val="000000" w:themeColor="text1"/>
          <w:sz w:val="19"/>
          <w:szCs w:val="19"/>
        </w:rPr>
        <w:t>Namén</w:t>
      </w:r>
      <w:proofErr w:type="spellEnd"/>
      <w:r w:rsidRPr="005873AF">
        <w:rPr>
          <w:rFonts w:ascii="Arial" w:hAnsi="Arial" w:cs="Arial"/>
          <w:color w:val="000000" w:themeColor="text1"/>
          <w:sz w:val="19"/>
          <w:szCs w:val="19"/>
        </w:rPr>
        <w:t xml:space="preserve"> Vargas.</w:t>
      </w:r>
    </w:p>
  </w:footnote>
  <w:footnote w:id="35">
    <w:p w14:paraId="03AFEC36" w14:textId="3967982D" w:rsidR="00CC7D38" w:rsidRPr="005873AF" w:rsidRDefault="00CC7D38" w:rsidP="00CC7D38">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COLOMBIA COMP</w:t>
      </w:r>
      <w:r w:rsidR="006A005E">
        <w:rPr>
          <w:rFonts w:ascii="Arial" w:hAnsi="Arial" w:cs="Arial"/>
          <w:color w:val="000000" w:themeColor="text1"/>
          <w:sz w:val="19"/>
          <w:szCs w:val="19"/>
        </w:rPr>
        <w:t>R</w:t>
      </w:r>
      <w:r w:rsidRPr="005873AF">
        <w:rPr>
          <w:rFonts w:ascii="Arial" w:hAnsi="Arial" w:cs="Arial"/>
          <w:color w:val="000000" w:themeColor="text1"/>
          <w:sz w:val="19"/>
          <w:szCs w:val="19"/>
        </w:rPr>
        <w:t>A EFICIENTE. Circular Externa Única. Numeral 15.5.</w:t>
      </w:r>
    </w:p>
  </w:footnote>
  <w:footnote w:id="36">
    <w:p w14:paraId="490CBDD6" w14:textId="77777777" w:rsidR="000A6380" w:rsidRPr="005873AF" w:rsidRDefault="000A6380" w:rsidP="004500E8">
      <w:pPr>
        <w:pBdr>
          <w:top w:val="nil"/>
          <w:left w:val="nil"/>
          <w:bottom w:val="nil"/>
          <w:right w:val="nil"/>
          <w:between w:val="nil"/>
        </w:pBdr>
        <w:ind w:firstLine="709"/>
        <w:jc w:val="both"/>
        <w:rPr>
          <w:rFonts w:ascii="Arial" w:eastAsia="Arial" w:hAnsi="Arial" w:cs="Arial"/>
          <w:color w:val="000000" w:themeColor="text1"/>
          <w:sz w:val="19"/>
          <w:szCs w:val="19"/>
        </w:rPr>
      </w:pPr>
      <w:r w:rsidRPr="005873AF">
        <w:rPr>
          <w:rFonts w:ascii="Arial" w:hAnsi="Arial" w:cs="Arial"/>
          <w:color w:val="000000" w:themeColor="text1"/>
          <w:sz w:val="19"/>
          <w:szCs w:val="19"/>
          <w:vertAlign w:val="superscript"/>
        </w:rPr>
        <w:footnoteRef/>
      </w:r>
      <w:r w:rsidRPr="005873AF">
        <w:rPr>
          <w:rFonts w:ascii="Arial" w:eastAsia="Arial" w:hAnsi="Arial" w:cs="Arial"/>
          <w:color w:val="000000" w:themeColor="text1"/>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37">
    <w:p w14:paraId="08DBA2F9" w14:textId="77777777" w:rsidR="000A6380" w:rsidRPr="005873AF" w:rsidRDefault="000A6380" w:rsidP="004500E8">
      <w:pPr>
        <w:ind w:firstLine="709"/>
        <w:jc w:val="both"/>
        <w:rPr>
          <w:rFonts w:ascii="Arial" w:eastAsia="Arial" w:hAnsi="Arial" w:cs="Arial"/>
          <w:color w:val="000000" w:themeColor="text1"/>
          <w:sz w:val="19"/>
          <w:szCs w:val="19"/>
        </w:rPr>
      </w:pPr>
      <w:r w:rsidRPr="005873AF">
        <w:rPr>
          <w:rFonts w:ascii="Arial" w:hAnsi="Arial" w:cs="Arial"/>
          <w:color w:val="000000" w:themeColor="text1"/>
          <w:sz w:val="19"/>
          <w:szCs w:val="19"/>
          <w:vertAlign w:val="superscript"/>
        </w:rPr>
        <w:footnoteRef/>
      </w:r>
      <w:r w:rsidRPr="005873AF">
        <w:rPr>
          <w:rFonts w:ascii="Arial" w:eastAsia="Arial" w:hAnsi="Arial" w:cs="Arial"/>
          <w:color w:val="000000" w:themeColor="text1"/>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6D07D0F8" w14:textId="77777777" w:rsidR="000A6380" w:rsidRPr="005873AF" w:rsidRDefault="000A6380" w:rsidP="004500E8">
      <w:pPr>
        <w:ind w:firstLine="709"/>
        <w:jc w:val="both"/>
        <w:rPr>
          <w:rFonts w:ascii="Arial" w:eastAsia="Arial" w:hAnsi="Arial" w:cs="Arial"/>
          <w:color w:val="000000" w:themeColor="text1"/>
          <w:sz w:val="19"/>
          <w:szCs w:val="19"/>
        </w:rPr>
      </w:pPr>
    </w:p>
  </w:footnote>
  <w:footnote w:id="38">
    <w:p w14:paraId="5FE8A1DE" w14:textId="77777777" w:rsidR="000A6380" w:rsidRPr="005873AF" w:rsidRDefault="000A6380" w:rsidP="004500E8">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del 18 de febrero 2010. Rad. 11001-03-06-000-2010-00006-00 (1985). C.P. Enrique José Arboleda Perdomo.</w:t>
      </w:r>
    </w:p>
    <w:p w14:paraId="7A96B183" w14:textId="77777777" w:rsidR="000A6380" w:rsidRPr="005873AF" w:rsidRDefault="000A6380" w:rsidP="004500E8">
      <w:pPr>
        <w:pStyle w:val="Textonotapie"/>
        <w:ind w:firstLine="708"/>
        <w:jc w:val="both"/>
        <w:rPr>
          <w:rFonts w:ascii="Arial" w:hAnsi="Arial" w:cs="Arial"/>
          <w:color w:val="000000" w:themeColor="text1"/>
          <w:sz w:val="19"/>
          <w:szCs w:val="19"/>
        </w:rPr>
      </w:pPr>
    </w:p>
  </w:footnote>
  <w:footnote w:id="39">
    <w:p w14:paraId="0224F610" w14:textId="77777777" w:rsidR="000A6380" w:rsidRPr="005873AF" w:rsidRDefault="000A6380" w:rsidP="004500E8">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Corte Constitucional. Sentencia C-1153 de 2005 M.P. Marco Gerardo Monroy Cabra. </w:t>
      </w:r>
    </w:p>
  </w:footnote>
  <w:footnote w:id="40">
    <w:p w14:paraId="5F0086DF" w14:textId="77777777" w:rsidR="000A6380" w:rsidRPr="005873AF" w:rsidRDefault="000A6380" w:rsidP="004500E8">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Consejo de Estado. Sala de Consulta y Servicio Civil. Concepto del 02 de septiembre de 2013. Rad. 11001-03-06-000-2013-00412-00 (2168). C.P. Álvaro </w:t>
      </w:r>
      <w:proofErr w:type="spellStart"/>
      <w:r w:rsidRPr="005873AF">
        <w:rPr>
          <w:rFonts w:ascii="Arial" w:hAnsi="Arial" w:cs="Arial"/>
          <w:color w:val="000000" w:themeColor="text1"/>
          <w:sz w:val="19"/>
          <w:szCs w:val="19"/>
        </w:rPr>
        <w:t>Namén</w:t>
      </w:r>
      <w:proofErr w:type="spellEnd"/>
      <w:r w:rsidRPr="005873AF">
        <w:rPr>
          <w:rFonts w:ascii="Arial" w:hAnsi="Arial" w:cs="Arial"/>
          <w:color w:val="000000" w:themeColor="text1"/>
          <w:sz w:val="19"/>
          <w:szCs w:val="19"/>
        </w:rPr>
        <w:t xml:space="preserve"> Vargas.</w:t>
      </w:r>
    </w:p>
    <w:p w14:paraId="324308A9" w14:textId="77777777" w:rsidR="000A6380" w:rsidRPr="005873AF" w:rsidRDefault="000A6380" w:rsidP="004500E8">
      <w:pPr>
        <w:pStyle w:val="Textonotapie"/>
        <w:jc w:val="both"/>
        <w:rPr>
          <w:rFonts w:ascii="Arial" w:hAnsi="Arial" w:cs="Arial"/>
          <w:color w:val="000000" w:themeColor="text1"/>
          <w:sz w:val="19"/>
          <w:szCs w:val="19"/>
        </w:rPr>
      </w:pPr>
    </w:p>
  </w:footnote>
  <w:footnote w:id="41">
    <w:p w14:paraId="50AFF83C" w14:textId="77777777" w:rsidR="000A6380" w:rsidRPr="005873AF" w:rsidRDefault="000A6380" w:rsidP="004500E8">
      <w:pPr>
        <w:pStyle w:val="Textonotapie"/>
        <w:ind w:firstLine="708"/>
        <w:jc w:val="both"/>
        <w:rPr>
          <w:rFonts w:ascii="Arial" w:hAnsi="Arial" w:cs="Arial"/>
          <w:color w:val="000000" w:themeColor="text1"/>
          <w:sz w:val="19"/>
          <w:szCs w:val="19"/>
          <w:lang w:val="es-ES"/>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w:t>
      </w:r>
      <w:r w:rsidRPr="005873AF">
        <w:rPr>
          <w:rFonts w:ascii="Arial" w:hAnsi="Arial" w:cs="Arial"/>
          <w:color w:val="000000" w:themeColor="text1"/>
          <w:sz w:val="19"/>
          <w:szCs w:val="19"/>
          <w:lang w:val="es-CO"/>
        </w:rPr>
        <w:t>«</w:t>
      </w:r>
      <w:r w:rsidRPr="005873AF">
        <w:rPr>
          <w:rFonts w:ascii="Arial" w:hAnsi="Arial" w:cs="Arial"/>
          <w:color w:val="000000" w:themeColor="text1"/>
          <w:sz w:val="19"/>
          <w:szCs w:val="19"/>
        </w:rPr>
        <w:t>Artículo 197. Empresas sociales de salud de carácter territorial.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p>
  </w:footnote>
  <w:footnote w:id="42">
    <w:p w14:paraId="09D30285" w14:textId="77777777" w:rsidR="000A6380" w:rsidRPr="005873AF" w:rsidRDefault="000A6380" w:rsidP="004500E8">
      <w:pPr>
        <w:pStyle w:val="Textonotapie"/>
        <w:ind w:firstLine="708"/>
        <w:jc w:val="both"/>
        <w:rPr>
          <w:rFonts w:ascii="Arial" w:hAnsi="Arial" w:cs="Arial"/>
          <w:color w:val="000000" w:themeColor="text1"/>
          <w:sz w:val="19"/>
          <w:szCs w:val="19"/>
        </w:rPr>
      </w:pPr>
      <w:r w:rsidRPr="005873AF">
        <w:rPr>
          <w:rStyle w:val="Refdenotaalpie"/>
          <w:rFonts w:ascii="Arial" w:hAnsi="Arial" w:cs="Arial"/>
          <w:color w:val="000000" w:themeColor="text1"/>
          <w:sz w:val="19"/>
          <w:szCs w:val="19"/>
        </w:rPr>
        <w:footnoteRef/>
      </w:r>
      <w:r w:rsidRPr="005873AF">
        <w:rPr>
          <w:rFonts w:ascii="Arial" w:hAnsi="Arial" w:cs="Arial"/>
          <w:color w:val="000000" w:themeColor="text1"/>
          <w:sz w:val="19"/>
          <w:szCs w:val="19"/>
        </w:rPr>
        <w:t xml:space="preserve"> El artículo 2.8.8.1.4.2 del Decreto 780 de 2016 dispone que «Para efectos de la aplicación del presente Capítulo, entiéndase por Autoridades Sanitarias del </w:t>
      </w:r>
      <w:proofErr w:type="spellStart"/>
      <w:r w:rsidRPr="005873AF">
        <w:rPr>
          <w:rFonts w:ascii="Arial" w:hAnsi="Arial" w:cs="Arial"/>
          <w:color w:val="000000" w:themeColor="text1"/>
          <w:sz w:val="19"/>
          <w:szCs w:val="19"/>
        </w:rPr>
        <w:t>Sivigila</w:t>
      </w:r>
      <w:proofErr w:type="spellEnd"/>
      <w:r w:rsidRPr="005873AF">
        <w:rPr>
          <w:rFonts w:ascii="Arial" w:hAnsi="Arial" w:cs="Arial"/>
          <w:color w:val="000000" w:themeColor="text1"/>
          <w:sz w:val="19"/>
          <w:szCs w:val="19"/>
        </w:rPr>
        <w:t xml:space="preserve">, el Ministerio de Salud y Protección Social; el Instituto Nacional de Salud (INS); el Instituto Nacional de Vigilancia de Medicamentos y Alimentos (Invima), las Direcciones Territoriales de Salud, </w:t>
      </w:r>
      <w:r w:rsidRPr="005873AF">
        <w:rPr>
          <w:rFonts w:ascii="Arial" w:hAnsi="Arial" w:cs="Arial"/>
          <w:i/>
          <w:iCs/>
          <w:color w:val="000000" w:themeColor="text1"/>
          <w:sz w:val="19"/>
          <w:szCs w:val="19"/>
        </w:rPr>
        <w:t>y todas aquellas entidades que de acuerdo con la ley ejerzan funciones de vigilancia y control sanitario</w:t>
      </w:r>
      <w:r w:rsidRPr="005873AF">
        <w:rPr>
          <w:rFonts w:ascii="Arial" w:hAnsi="Arial" w:cs="Arial"/>
          <w:color w:val="000000" w:themeColor="text1"/>
          <w:sz w:val="19"/>
          <w:szCs w:val="19"/>
        </w:rPr>
        <w:t xml:space="preserve">, las cuales deben adoptar medidas sanitarias que garanticen la protección de la salud pública y el cumplimiento de lo dispuesto en esta norma, así como adelantar los procedimientos y aplicar las sanciones a que hubiere lugar» (Énfasis fuera de texto).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0A6380" w:rsidRDefault="000A6380">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714618845">
    <w:abstractNumId w:val="10"/>
  </w:num>
  <w:num w:numId="2" w16cid:durableId="1909344201">
    <w:abstractNumId w:val="8"/>
  </w:num>
  <w:num w:numId="3" w16cid:durableId="1481384665">
    <w:abstractNumId w:val="14"/>
  </w:num>
  <w:num w:numId="4" w16cid:durableId="1582569470">
    <w:abstractNumId w:val="18"/>
  </w:num>
  <w:num w:numId="5" w16cid:durableId="356011034">
    <w:abstractNumId w:val="22"/>
  </w:num>
  <w:num w:numId="6" w16cid:durableId="191839482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166799">
    <w:abstractNumId w:val="20"/>
  </w:num>
  <w:num w:numId="8" w16cid:durableId="309600145">
    <w:abstractNumId w:val="0"/>
  </w:num>
  <w:num w:numId="9" w16cid:durableId="943734767">
    <w:abstractNumId w:val="4"/>
  </w:num>
  <w:num w:numId="10" w16cid:durableId="1675184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0874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5737996">
    <w:abstractNumId w:val="9"/>
  </w:num>
  <w:num w:numId="13" w16cid:durableId="1145467118">
    <w:abstractNumId w:val="12"/>
  </w:num>
  <w:num w:numId="14" w16cid:durableId="205529209">
    <w:abstractNumId w:val="7"/>
  </w:num>
  <w:num w:numId="15" w16cid:durableId="21093490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459474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4493252">
    <w:abstractNumId w:val="24"/>
  </w:num>
  <w:num w:numId="18" w16cid:durableId="1118796976">
    <w:abstractNumId w:val="15"/>
  </w:num>
  <w:num w:numId="19" w16cid:durableId="2140412205">
    <w:abstractNumId w:val="2"/>
  </w:num>
  <w:num w:numId="20" w16cid:durableId="439910222">
    <w:abstractNumId w:val="25"/>
  </w:num>
  <w:num w:numId="21" w16cid:durableId="1210265450">
    <w:abstractNumId w:val="17"/>
  </w:num>
  <w:num w:numId="22" w16cid:durableId="1773165784">
    <w:abstractNumId w:val="6"/>
  </w:num>
  <w:num w:numId="23" w16cid:durableId="714041656">
    <w:abstractNumId w:val="5"/>
  </w:num>
  <w:num w:numId="24" w16cid:durableId="1424959631">
    <w:abstractNumId w:val="23"/>
  </w:num>
  <w:num w:numId="25" w16cid:durableId="168639677">
    <w:abstractNumId w:val="19"/>
  </w:num>
  <w:num w:numId="26" w16cid:durableId="1954551945">
    <w:abstractNumId w:val="3"/>
  </w:num>
  <w:num w:numId="27" w16cid:durableId="1550454839">
    <w:abstractNumId w:val="16"/>
  </w:num>
  <w:num w:numId="28" w16cid:durableId="1497646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9355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0B1"/>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726"/>
    <w:rsid w:val="00025D0A"/>
    <w:rsid w:val="00025D35"/>
    <w:rsid w:val="00026203"/>
    <w:rsid w:val="000263F0"/>
    <w:rsid w:val="00026407"/>
    <w:rsid w:val="00026608"/>
    <w:rsid w:val="00027787"/>
    <w:rsid w:val="000278D2"/>
    <w:rsid w:val="0002797C"/>
    <w:rsid w:val="00031364"/>
    <w:rsid w:val="000315E1"/>
    <w:rsid w:val="0003236E"/>
    <w:rsid w:val="0003339A"/>
    <w:rsid w:val="00033BD8"/>
    <w:rsid w:val="000340B3"/>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2F"/>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40AF"/>
    <w:rsid w:val="00064940"/>
    <w:rsid w:val="00064CAE"/>
    <w:rsid w:val="00064D2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6F7"/>
    <w:rsid w:val="00093B01"/>
    <w:rsid w:val="00093CA0"/>
    <w:rsid w:val="00093ECD"/>
    <w:rsid w:val="000942EB"/>
    <w:rsid w:val="000954FA"/>
    <w:rsid w:val="00095607"/>
    <w:rsid w:val="00095B70"/>
    <w:rsid w:val="00095E38"/>
    <w:rsid w:val="0009617E"/>
    <w:rsid w:val="0009628D"/>
    <w:rsid w:val="0009670F"/>
    <w:rsid w:val="00097022"/>
    <w:rsid w:val="000979CF"/>
    <w:rsid w:val="00097CAD"/>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2E46"/>
    <w:rsid w:val="000A31FB"/>
    <w:rsid w:val="000A362F"/>
    <w:rsid w:val="000A3B49"/>
    <w:rsid w:val="000A464B"/>
    <w:rsid w:val="000A46FE"/>
    <w:rsid w:val="000A47E6"/>
    <w:rsid w:val="000A4810"/>
    <w:rsid w:val="000A52C0"/>
    <w:rsid w:val="000A5836"/>
    <w:rsid w:val="000A5AAF"/>
    <w:rsid w:val="000A5F97"/>
    <w:rsid w:val="000A600A"/>
    <w:rsid w:val="000A6380"/>
    <w:rsid w:val="000A648E"/>
    <w:rsid w:val="000A73BB"/>
    <w:rsid w:val="000A73E8"/>
    <w:rsid w:val="000A79C2"/>
    <w:rsid w:val="000A7C27"/>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AD9"/>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3A"/>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54CC"/>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5780"/>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D04"/>
    <w:rsid w:val="00114E9D"/>
    <w:rsid w:val="0011507B"/>
    <w:rsid w:val="00115819"/>
    <w:rsid w:val="00116328"/>
    <w:rsid w:val="001163CF"/>
    <w:rsid w:val="001166B1"/>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317"/>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0E9B"/>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57B5C"/>
    <w:rsid w:val="00160401"/>
    <w:rsid w:val="00160D4E"/>
    <w:rsid w:val="00161DDA"/>
    <w:rsid w:val="00161E62"/>
    <w:rsid w:val="00161F1C"/>
    <w:rsid w:val="0016200B"/>
    <w:rsid w:val="0016204B"/>
    <w:rsid w:val="00162552"/>
    <w:rsid w:val="00163786"/>
    <w:rsid w:val="00163C03"/>
    <w:rsid w:val="00163D7A"/>
    <w:rsid w:val="00164281"/>
    <w:rsid w:val="00164BA2"/>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45FB"/>
    <w:rsid w:val="001759ED"/>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70F4"/>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1E17"/>
    <w:rsid w:val="001A25D3"/>
    <w:rsid w:val="001A3011"/>
    <w:rsid w:val="001A3284"/>
    <w:rsid w:val="001A3C58"/>
    <w:rsid w:val="001A3E7D"/>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3C85"/>
    <w:rsid w:val="001B449C"/>
    <w:rsid w:val="001B4AA2"/>
    <w:rsid w:val="001B4ADE"/>
    <w:rsid w:val="001B5530"/>
    <w:rsid w:val="001B5EF8"/>
    <w:rsid w:val="001B5F4C"/>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131"/>
    <w:rsid w:val="001D2EEE"/>
    <w:rsid w:val="001D30F3"/>
    <w:rsid w:val="001D31A0"/>
    <w:rsid w:val="001D338E"/>
    <w:rsid w:val="001D4238"/>
    <w:rsid w:val="001D4D28"/>
    <w:rsid w:val="001D56E9"/>
    <w:rsid w:val="001D6006"/>
    <w:rsid w:val="001D646C"/>
    <w:rsid w:val="001D65AC"/>
    <w:rsid w:val="001D716B"/>
    <w:rsid w:val="001D796A"/>
    <w:rsid w:val="001D7A84"/>
    <w:rsid w:val="001D7C79"/>
    <w:rsid w:val="001E003B"/>
    <w:rsid w:val="001E1CC4"/>
    <w:rsid w:val="001E1D38"/>
    <w:rsid w:val="001E28A0"/>
    <w:rsid w:val="001E320D"/>
    <w:rsid w:val="001E3FFE"/>
    <w:rsid w:val="001E4258"/>
    <w:rsid w:val="001E47D6"/>
    <w:rsid w:val="001E5140"/>
    <w:rsid w:val="001E5D6A"/>
    <w:rsid w:val="001E600E"/>
    <w:rsid w:val="001E6A94"/>
    <w:rsid w:val="001E70FB"/>
    <w:rsid w:val="001E780A"/>
    <w:rsid w:val="001F08BB"/>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0FD8"/>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2D7C"/>
    <w:rsid w:val="00263101"/>
    <w:rsid w:val="002631D1"/>
    <w:rsid w:val="00263201"/>
    <w:rsid w:val="00263A37"/>
    <w:rsid w:val="00264266"/>
    <w:rsid w:val="0026471F"/>
    <w:rsid w:val="0026480D"/>
    <w:rsid w:val="002652C1"/>
    <w:rsid w:val="002653A6"/>
    <w:rsid w:val="00265EB4"/>
    <w:rsid w:val="002661F1"/>
    <w:rsid w:val="00266DB6"/>
    <w:rsid w:val="002679AB"/>
    <w:rsid w:val="002711A4"/>
    <w:rsid w:val="00271230"/>
    <w:rsid w:val="00271A92"/>
    <w:rsid w:val="00271F13"/>
    <w:rsid w:val="002725C3"/>
    <w:rsid w:val="00272945"/>
    <w:rsid w:val="0027482E"/>
    <w:rsid w:val="00274DB5"/>
    <w:rsid w:val="00275BB1"/>
    <w:rsid w:val="00276839"/>
    <w:rsid w:val="00276A51"/>
    <w:rsid w:val="0027770B"/>
    <w:rsid w:val="002778C9"/>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245"/>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697B"/>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2F69"/>
    <w:rsid w:val="002B330B"/>
    <w:rsid w:val="002B35A7"/>
    <w:rsid w:val="002B39BE"/>
    <w:rsid w:val="002B3F99"/>
    <w:rsid w:val="002B438C"/>
    <w:rsid w:val="002B48DB"/>
    <w:rsid w:val="002B4B34"/>
    <w:rsid w:val="002B541A"/>
    <w:rsid w:val="002B5A82"/>
    <w:rsid w:val="002B5EAB"/>
    <w:rsid w:val="002B5ED6"/>
    <w:rsid w:val="002B5F2E"/>
    <w:rsid w:val="002B6407"/>
    <w:rsid w:val="002B6416"/>
    <w:rsid w:val="002B6459"/>
    <w:rsid w:val="002B7014"/>
    <w:rsid w:val="002B73B0"/>
    <w:rsid w:val="002B7C20"/>
    <w:rsid w:val="002C24B4"/>
    <w:rsid w:val="002C2B3A"/>
    <w:rsid w:val="002C2B87"/>
    <w:rsid w:val="002C33C4"/>
    <w:rsid w:val="002C3CF4"/>
    <w:rsid w:val="002C441A"/>
    <w:rsid w:val="002C4A73"/>
    <w:rsid w:val="002C4B84"/>
    <w:rsid w:val="002C4C0C"/>
    <w:rsid w:val="002C5016"/>
    <w:rsid w:val="002C5C2F"/>
    <w:rsid w:val="002C5D0F"/>
    <w:rsid w:val="002C5F40"/>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6A1"/>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1AD"/>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534"/>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12A"/>
    <w:rsid w:val="00364E04"/>
    <w:rsid w:val="003650AA"/>
    <w:rsid w:val="00365457"/>
    <w:rsid w:val="00365D3A"/>
    <w:rsid w:val="003664FF"/>
    <w:rsid w:val="00366BD2"/>
    <w:rsid w:val="003670B8"/>
    <w:rsid w:val="003704A3"/>
    <w:rsid w:val="0037058F"/>
    <w:rsid w:val="003706F2"/>
    <w:rsid w:val="003707CB"/>
    <w:rsid w:val="0037124F"/>
    <w:rsid w:val="00373827"/>
    <w:rsid w:val="0037401C"/>
    <w:rsid w:val="0037507B"/>
    <w:rsid w:val="003754B0"/>
    <w:rsid w:val="00375C7C"/>
    <w:rsid w:val="00375DA0"/>
    <w:rsid w:val="00377027"/>
    <w:rsid w:val="00377135"/>
    <w:rsid w:val="00380272"/>
    <w:rsid w:val="003805DB"/>
    <w:rsid w:val="0038152A"/>
    <w:rsid w:val="003827B5"/>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4BD"/>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69AD"/>
    <w:rsid w:val="003A72F5"/>
    <w:rsid w:val="003A78E5"/>
    <w:rsid w:val="003B0341"/>
    <w:rsid w:val="003B1961"/>
    <w:rsid w:val="003B1E57"/>
    <w:rsid w:val="003B2EF3"/>
    <w:rsid w:val="003B534F"/>
    <w:rsid w:val="003B5391"/>
    <w:rsid w:val="003B54E3"/>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D38"/>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8C"/>
    <w:rsid w:val="003E71CD"/>
    <w:rsid w:val="003E78DA"/>
    <w:rsid w:val="003E7A8B"/>
    <w:rsid w:val="003F0567"/>
    <w:rsid w:val="003F060E"/>
    <w:rsid w:val="003F0F7F"/>
    <w:rsid w:val="003F115C"/>
    <w:rsid w:val="003F153A"/>
    <w:rsid w:val="003F1767"/>
    <w:rsid w:val="003F1C15"/>
    <w:rsid w:val="003F23D1"/>
    <w:rsid w:val="003F2789"/>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0F0C"/>
    <w:rsid w:val="004016A3"/>
    <w:rsid w:val="00401B31"/>
    <w:rsid w:val="00401BB8"/>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1AA"/>
    <w:rsid w:val="0042639C"/>
    <w:rsid w:val="00426FB4"/>
    <w:rsid w:val="004273FA"/>
    <w:rsid w:val="004275A7"/>
    <w:rsid w:val="00430186"/>
    <w:rsid w:val="00430F17"/>
    <w:rsid w:val="004313B9"/>
    <w:rsid w:val="0043269A"/>
    <w:rsid w:val="004333C2"/>
    <w:rsid w:val="00433415"/>
    <w:rsid w:val="00434787"/>
    <w:rsid w:val="00434C13"/>
    <w:rsid w:val="00435128"/>
    <w:rsid w:val="0043549E"/>
    <w:rsid w:val="00435703"/>
    <w:rsid w:val="00435AA2"/>
    <w:rsid w:val="00435BD5"/>
    <w:rsid w:val="00436323"/>
    <w:rsid w:val="0043683F"/>
    <w:rsid w:val="00436B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0E8"/>
    <w:rsid w:val="004505D4"/>
    <w:rsid w:val="00450846"/>
    <w:rsid w:val="00451847"/>
    <w:rsid w:val="00451A52"/>
    <w:rsid w:val="004521DA"/>
    <w:rsid w:val="00452361"/>
    <w:rsid w:val="0045271D"/>
    <w:rsid w:val="00452755"/>
    <w:rsid w:val="00452803"/>
    <w:rsid w:val="004529C6"/>
    <w:rsid w:val="00452EAD"/>
    <w:rsid w:val="004533D1"/>
    <w:rsid w:val="004534D1"/>
    <w:rsid w:val="00453E0E"/>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57882"/>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870"/>
    <w:rsid w:val="00481AC4"/>
    <w:rsid w:val="00481DC1"/>
    <w:rsid w:val="00482507"/>
    <w:rsid w:val="0048268A"/>
    <w:rsid w:val="004831B1"/>
    <w:rsid w:val="00483379"/>
    <w:rsid w:val="004835CA"/>
    <w:rsid w:val="004836F8"/>
    <w:rsid w:val="004836FE"/>
    <w:rsid w:val="004838FD"/>
    <w:rsid w:val="00484F0F"/>
    <w:rsid w:val="00484F40"/>
    <w:rsid w:val="0048540C"/>
    <w:rsid w:val="00485996"/>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CDA"/>
    <w:rsid w:val="00493E04"/>
    <w:rsid w:val="004940E3"/>
    <w:rsid w:val="00494515"/>
    <w:rsid w:val="0049530F"/>
    <w:rsid w:val="00496039"/>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6AC"/>
    <w:rsid w:val="004A4D93"/>
    <w:rsid w:val="004A5719"/>
    <w:rsid w:val="004A58EE"/>
    <w:rsid w:val="004A59B7"/>
    <w:rsid w:val="004A6051"/>
    <w:rsid w:val="004A623B"/>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F94"/>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6FA0"/>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57"/>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2D63"/>
    <w:rsid w:val="00533101"/>
    <w:rsid w:val="00533682"/>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75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BE8"/>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77D2E"/>
    <w:rsid w:val="005803E7"/>
    <w:rsid w:val="0058040C"/>
    <w:rsid w:val="00580D6D"/>
    <w:rsid w:val="00581151"/>
    <w:rsid w:val="005813DE"/>
    <w:rsid w:val="00581796"/>
    <w:rsid w:val="00581B45"/>
    <w:rsid w:val="00582480"/>
    <w:rsid w:val="00582805"/>
    <w:rsid w:val="0058290E"/>
    <w:rsid w:val="00582CAB"/>
    <w:rsid w:val="00582FA6"/>
    <w:rsid w:val="00582FBF"/>
    <w:rsid w:val="005836D5"/>
    <w:rsid w:val="0058375E"/>
    <w:rsid w:val="00584233"/>
    <w:rsid w:val="005842D0"/>
    <w:rsid w:val="005843E8"/>
    <w:rsid w:val="005845FB"/>
    <w:rsid w:val="005855AE"/>
    <w:rsid w:val="00585829"/>
    <w:rsid w:val="00585CA8"/>
    <w:rsid w:val="00586412"/>
    <w:rsid w:val="005864B9"/>
    <w:rsid w:val="005866C4"/>
    <w:rsid w:val="005873AF"/>
    <w:rsid w:val="00590F1A"/>
    <w:rsid w:val="0059114D"/>
    <w:rsid w:val="00591C03"/>
    <w:rsid w:val="00591E2A"/>
    <w:rsid w:val="00592181"/>
    <w:rsid w:val="005923C4"/>
    <w:rsid w:val="005938C3"/>
    <w:rsid w:val="00593EA2"/>
    <w:rsid w:val="00593F75"/>
    <w:rsid w:val="005940A0"/>
    <w:rsid w:val="0059429A"/>
    <w:rsid w:val="00594A54"/>
    <w:rsid w:val="00594BC9"/>
    <w:rsid w:val="00594CBE"/>
    <w:rsid w:val="00595AF6"/>
    <w:rsid w:val="00596AF7"/>
    <w:rsid w:val="00596CCE"/>
    <w:rsid w:val="005A1976"/>
    <w:rsid w:val="005A2120"/>
    <w:rsid w:val="005A2349"/>
    <w:rsid w:val="005A2501"/>
    <w:rsid w:val="005A2C80"/>
    <w:rsid w:val="005A3066"/>
    <w:rsid w:val="005A3B35"/>
    <w:rsid w:val="005A3C4B"/>
    <w:rsid w:val="005A3E5A"/>
    <w:rsid w:val="005A43F3"/>
    <w:rsid w:val="005A47B3"/>
    <w:rsid w:val="005A496F"/>
    <w:rsid w:val="005A4A56"/>
    <w:rsid w:val="005A4F69"/>
    <w:rsid w:val="005A5564"/>
    <w:rsid w:val="005A5608"/>
    <w:rsid w:val="005A5A3D"/>
    <w:rsid w:val="005A6035"/>
    <w:rsid w:val="005A6B75"/>
    <w:rsid w:val="005A6E00"/>
    <w:rsid w:val="005A718A"/>
    <w:rsid w:val="005A7885"/>
    <w:rsid w:val="005B12B2"/>
    <w:rsid w:val="005B143B"/>
    <w:rsid w:val="005B19BD"/>
    <w:rsid w:val="005B1E45"/>
    <w:rsid w:val="005B21C4"/>
    <w:rsid w:val="005B2206"/>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3AF3"/>
    <w:rsid w:val="005E4B72"/>
    <w:rsid w:val="005E52C9"/>
    <w:rsid w:val="005F02D8"/>
    <w:rsid w:val="005F1D88"/>
    <w:rsid w:val="005F24CC"/>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3E9"/>
    <w:rsid w:val="00600473"/>
    <w:rsid w:val="0060079A"/>
    <w:rsid w:val="0060083D"/>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BE"/>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78"/>
    <w:rsid w:val="006307FD"/>
    <w:rsid w:val="00630845"/>
    <w:rsid w:val="00631059"/>
    <w:rsid w:val="006310C3"/>
    <w:rsid w:val="00631245"/>
    <w:rsid w:val="006312E1"/>
    <w:rsid w:val="0063161E"/>
    <w:rsid w:val="00631BB5"/>
    <w:rsid w:val="00631DD0"/>
    <w:rsid w:val="00633DBF"/>
    <w:rsid w:val="00634122"/>
    <w:rsid w:val="0063444B"/>
    <w:rsid w:val="006359EC"/>
    <w:rsid w:val="00635E32"/>
    <w:rsid w:val="006360FC"/>
    <w:rsid w:val="006361C9"/>
    <w:rsid w:val="006365DE"/>
    <w:rsid w:val="00636BE4"/>
    <w:rsid w:val="00636F88"/>
    <w:rsid w:val="0063732C"/>
    <w:rsid w:val="00637802"/>
    <w:rsid w:val="00637836"/>
    <w:rsid w:val="00637C26"/>
    <w:rsid w:val="00637F44"/>
    <w:rsid w:val="0064091A"/>
    <w:rsid w:val="00641078"/>
    <w:rsid w:val="00641242"/>
    <w:rsid w:val="00642A32"/>
    <w:rsid w:val="00642D7A"/>
    <w:rsid w:val="006433D5"/>
    <w:rsid w:val="00643412"/>
    <w:rsid w:val="00644BFD"/>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5301"/>
    <w:rsid w:val="00655371"/>
    <w:rsid w:val="00655502"/>
    <w:rsid w:val="00655507"/>
    <w:rsid w:val="006568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DD7"/>
    <w:rsid w:val="00673ECF"/>
    <w:rsid w:val="0067426B"/>
    <w:rsid w:val="00674800"/>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7B7"/>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05E"/>
    <w:rsid w:val="006A0274"/>
    <w:rsid w:val="006A112B"/>
    <w:rsid w:val="006A1137"/>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87"/>
    <w:rsid w:val="006A6BF9"/>
    <w:rsid w:val="006A7CB5"/>
    <w:rsid w:val="006A7FD0"/>
    <w:rsid w:val="006B025C"/>
    <w:rsid w:val="006B08ED"/>
    <w:rsid w:val="006B2534"/>
    <w:rsid w:val="006B28DE"/>
    <w:rsid w:val="006B2CB2"/>
    <w:rsid w:val="006B347D"/>
    <w:rsid w:val="006B3E19"/>
    <w:rsid w:val="006B3EB4"/>
    <w:rsid w:val="006B4488"/>
    <w:rsid w:val="006B50C4"/>
    <w:rsid w:val="006B53AE"/>
    <w:rsid w:val="006B56FA"/>
    <w:rsid w:val="006B58B4"/>
    <w:rsid w:val="006B67AC"/>
    <w:rsid w:val="006B786A"/>
    <w:rsid w:val="006B7E4E"/>
    <w:rsid w:val="006C003A"/>
    <w:rsid w:val="006C0630"/>
    <w:rsid w:val="006C0AB9"/>
    <w:rsid w:val="006C107C"/>
    <w:rsid w:val="006C189C"/>
    <w:rsid w:val="006C1E1F"/>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BD0"/>
    <w:rsid w:val="006D4E32"/>
    <w:rsid w:val="006D5B5C"/>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3CB"/>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BDE"/>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B6C"/>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3F6"/>
    <w:rsid w:val="00723475"/>
    <w:rsid w:val="007236C4"/>
    <w:rsid w:val="00724635"/>
    <w:rsid w:val="00724F21"/>
    <w:rsid w:val="00725134"/>
    <w:rsid w:val="0072554B"/>
    <w:rsid w:val="00725AFD"/>
    <w:rsid w:val="00726603"/>
    <w:rsid w:val="007266AC"/>
    <w:rsid w:val="00726E89"/>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C34"/>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137"/>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832"/>
    <w:rsid w:val="00781939"/>
    <w:rsid w:val="00781CAE"/>
    <w:rsid w:val="00781D29"/>
    <w:rsid w:val="007821A7"/>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4AF"/>
    <w:rsid w:val="00795647"/>
    <w:rsid w:val="00795887"/>
    <w:rsid w:val="007963F6"/>
    <w:rsid w:val="00796CD4"/>
    <w:rsid w:val="00796DC8"/>
    <w:rsid w:val="00796E80"/>
    <w:rsid w:val="0079744F"/>
    <w:rsid w:val="0079776F"/>
    <w:rsid w:val="007979AD"/>
    <w:rsid w:val="00797A9C"/>
    <w:rsid w:val="007A02C2"/>
    <w:rsid w:val="007A0EAB"/>
    <w:rsid w:val="007A233D"/>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2D3D"/>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6B"/>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3A2"/>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A62"/>
    <w:rsid w:val="007D7B1C"/>
    <w:rsid w:val="007D7CFC"/>
    <w:rsid w:val="007E0812"/>
    <w:rsid w:val="007E18DF"/>
    <w:rsid w:val="007E2C36"/>
    <w:rsid w:val="007E3141"/>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7A"/>
    <w:rsid w:val="00803AB0"/>
    <w:rsid w:val="00803CEF"/>
    <w:rsid w:val="00803D9D"/>
    <w:rsid w:val="00805898"/>
    <w:rsid w:val="008059C6"/>
    <w:rsid w:val="00805AD7"/>
    <w:rsid w:val="00805BD6"/>
    <w:rsid w:val="00805CEF"/>
    <w:rsid w:val="00805DE3"/>
    <w:rsid w:val="00807C35"/>
    <w:rsid w:val="00807F35"/>
    <w:rsid w:val="00807F69"/>
    <w:rsid w:val="008100F7"/>
    <w:rsid w:val="00810206"/>
    <w:rsid w:val="0081022B"/>
    <w:rsid w:val="008107FA"/>
    <w:rsid w:val="00811898"/>
    <w:rsid w:val="00811CDC"/>
    <w:rsid w:val="008124D8"/>
    <w:rsid w:val="00813A41"/>
    <w:rsid w:val="00813A7B"/>
    <w:rsid w:val="00813F04"/>
    <w:rsid w:val="0081513E"/>
    <w:rsid w:val="00815DA5"/>
    <w:rsid w:val="00816221"/>
    <w:rsid w:val="008164D9"/>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0CB4"/>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4CF"/>
    <w:rsid w:val="00847535"/>
    <w:rsid w:val="00847B6D"/>
    <w:rsid w:val="00850542"/>
    <w:rsid w:val="0085092D"/>
    <w:rsid w:val="008509A5"/>
    <w:rsid w:val="00850C79"/>
    <w:rsid w:val="00850D82"/>
    <w:rsid w:val="00850EA3"/>
    <w:rsid w:val="00850F79"/>
    <w:rsid w:val="0085100B"/>
    <w:rsid w:val="008527D6"/>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3B0"/>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403B"/>
    <w:rsid w:val="008850EB"/>
    <w:rsid w:val="00885224"/>
    <w:rsid w:val="00885228"/>
    <w:rsid w:val="008857E3"/>
    <w:rsid w:val="0088662A"/>
    <w:rsid w:val="00886DF2"/>
    <w:rsid w:val="00886FB9"/>
    <w:rsid w:val="00887057"/>
    <w:rsid w:val="00887080"/>
    <w:rsid w:val="00887C79"/>
    <w:rsid w:val="0089016B"/>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A9F"/>
    <w:rsid w:val="008A1FB7"/>
    <w:rsid w:val="008A229A"/>
    <w:rsid w:val="008A2A23"/>
    <w:rsid w:val="008A2AF5"/>
    <w:rsid w:val="008A2B5A"/>
    <w:rsid w:val="008A3F9D"/>
    <w:rsid w:val="008A4769"/>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B36"/>
    <w:rsid w:val="008D3B85"/>
    <w:rsid w:val="008D462D"/>
    <w:rsid w:val="008D5CD5"/>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2FD2"/>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8B8"/>
    <w:rsid w:val="008F2E8D"/>
    <w:rsid w:val="008F361D"/>
    <w:rsid w:val="008F387B"/>
    <w:rsid w:val="008F3DD9"/>
    <w:rsid w:val="008F4163"/>
    <w:rsid w:val="008F4814"/>
    <w:rsid w:val="008F4B18"/>
    <w:rsid w:val="008F4DA6"/>
    <w:rsid w:val="008F538E"/>
    <w:rsid w:val="008F546F"/>
    <w:rsid w:val="008F58BE"/>
    <w:rsid w:val="008F5A20"/>
    <w:rsid w:val="008F5ABA"/>
    <w:rsid w:val="008F71AB"/>
    <w:rsid w:val="008F7905"/>
    <w:rsid w:val="008F7989"/>
    <w:rsid w:val="00900A23"/>
    <w:rsid w:val="00901F1D"/>
    <w:rsid w:val="009026AC"/>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3A0F"/>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3D2"/>
    <w:rsid w:val="00925743"/>
    <w:rsid w:val="0092579F"/>
    <w:rsid w:val="00926068"/>
    <w:rsid w:val="00927DD3"/>
    <w:rsid w:val="00927E8D"/>
    <w:rsid w:val="00927F23"/>
    <w:rsid w:val="00930521"/>
    <w:rsid w:val="009307CD"/>
    <w:rsid w:val="00931364"/>
    <w:rsid w:val="00931365"/>
    <w:rsid w:val="00931451"/>
    <w:rsid w:val="009314FA"/>
    <w:rsid w:val="00931901"/>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5CF"/>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3D1"/>
    <w:rsid w:val="009439B6"/>
    <w:rsid w:val="00943FCD"/>
    <w:rsid w:val="009444B4"/>
    <w:rsid w:val="00944644"/>
    <w:rsid w:val="009467DC"/>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1441"/>
    <w:rsid w:val="009715D4"/>
    <w:rsid w:val="0097179A"/>
    <w:rsid w:val="009731F4"/>
    <w:rsid w:val="009732A4"/>
    <w:rsid w:val="009739E6"/>
    <w:rsid w:val="00973C05"/>
    <w:rsid w:val="00973CFF"/>
    <w:rsid w:val="00973F3A"/>
    <w:rsid w:val="0097494E"/>
    <w:rsid w:val="00974999"/>
    <w:rsid w:val="00974B58"/>
    <w:rsid w:val="00974B94"/>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1F86"/>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BBD"/>
    <w:rsid w:val="009A4D63"/>
    <w:rsid w:val="009A5356"/>
    <w:rsid w:val="009A5468"/>
    <w:rsid w:val="009A5D99"/>
    <w:rsid w:val="009A608C"/>
    <w:rsid w:val="009A6FDF"/>
    <w:rsid w:val="009A715F"/>
    <w:rsid w:val="009A76D6"/>
    <w:rsid w:val="009A773A"/>
    <w:rsid w:val="009B0B1E"/>
    <w:rsid w:val="009B1AE9"/>
    <w:rsid w:val="009B231D"/>
    <w:rsid w:val="009B2374"/>
    <w:rsid w:val="009B2E29"/>
    <w:rsid w:val="009B3163"/>
    <w:rsid w:val="009B35AE"/>
    <w:rsid w:val="009B422F"/>
    <w:rsid w:val="009B46BC"/>
    <w:rsid w:val="009B4D01"/>
    <w:rsid w:val="009B4D1A"/>
    <w:rsid w:val="009B519D"/>
    <w:rsid w:val="009B558B"/>
    <w:rsid w:val="009B5981"/>
    <w:rsid w:val="009B6D21"/>
    <w:rsid w:val="009B78ED"/>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E9B"/>
    <w:rsid w:val="009D4529"/>
    <w:rsid w:val="009D604F"/>
    <w:rsid w:val="009D61BB"/>
    <w:rsid w:val="009D6410"/>
    <w:rsid w:val="009D68BB"/>
    <w:rsid w:val="009D6909"/>
    <w:rsid w:val="009D7049"/>
    <w:rsid w:val="009D70C2"/>
    <w:rsid w:val="009D7244"/>
    <w:rsid w:val="009D7ADB"/>
    <w:rsid w:val="009D7B33"/>
    <w:rsid w:val="009D7D06"/>
    <w:rsid w:val="009E020C"/>
    <w:rsid w:val="009E0444"/>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6797"/>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08C"/>
    <w:rsid w:val="00A11BB6"/>
    <w:rsid w:val="00A11E78"/>
    <w:rsid w:val="00A12355"/>
    <w:rsid w:val="00A12574"/>
    <w:rsid w:val="00A127D2"/>
    <w:rsid w:val="00A1284E"/>
    <w:rsid w:val="00A131F8"/>
    <w:rsid w:val="00A13CF5"/>
    <w:rsid w:val="00A143EC"/>
    <w:rsid w:val="00A149E8"/>
    <w:rsid w:val="00A14E6E"/>
    <w:rsid w:val="00A1500F"/>
    <w:rsid w:val="00A15343"/>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4E1D"/>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0A9"/>
    <w:rsid w:val="00A47849"/>
    <w:rsid w:val="00A500B1"/>
    <w:rsid w:val="00A52A53"/>
    <w:rsid w:val="00A52EE5"/>
    <w:rsid w:val="00A53037"/>
    <w:rsid w:val="00A532B9"/>
    <w:rsid w:val="00A5351D"/>
    <w:rsid w:val="00A53E79"/>
    <w:rsid w:val="00A54031"/>
    <w:rsid w:val="00A5426D"/>
    <w:rsid w:val="00A54E62"/>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046"/>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690"/>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9B8"/>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0CFD"/>
    <w:rsid w:val="00AB14E8"/>
    <w:rsid w:val="00AB1B1D"/>
    <w:rsid w:val="00AB2216"/>
    <w:rsid w:val="00AB2AEC"/>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C7B4D"/>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25E8"/>
    <w:rsid w:val="00AE28A2"/>
    <w:rsid w:val="00AE2AD4"/>
    <w:rsid w:val="00AE2CA7"/>
    <w:rsid w:val="00AE2F1D"/>
    <w:rsid w:val="00AE4C81"/>
    <w:rsid w:val="00AE50BD"/>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BAB"/>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35"/>
    <w:rsid w:val="00B17B91"/>
    <w:rsid w:val="00B20209"/>
    <w:rsid w:val="00B203C9"/>
    <w:rsid w:val="00B2088D"/>
    <w:rsid w:val="00B208FF"/>
    <w:rsid w:val="00B20A58"/>
    <w:rsid w:val="00B20E8F"/>
    <w:rsid w:val="00B220D1"/>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2AC"/>
    <w:rsid w:val="00B30884"/>
    <w:rsid w:val="00B30E11"/>
    <w:rsid w:val="00B30EAE"/>
    <w:rsid w:val="00B30EEB"/>
    <w:rsid w:val="00B31423"/>
    <w:rsid w:val="00B317AE"/>
    <w:rsid w:val="00B323E0"/>
    <w:rsid w:val="00B32DC0"/>
    <w:rsid w:val="00B32FA2"/>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714"/>
    <w:rsid w:val="00B40A36"/>
    <w:rsid w:val="00B40D1D"/>
    <w:rsid w:val="00B41BCA"/>
    <w:rsid w:val="00B41D39"/>
    <w:rsid w:val="00B41D66"/>
    <w:rsid w:val="00B422C0"/>
    <w:rsid w:val="00B426CA"/>
    <w:rsid w:val="00B426E1"/>
    <w:rsid w:val="00B428F5"/>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1DCA"/>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5E6C"/>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6FC"/>
    <w:rsid w:val="00B74D05"/>
    <w:rsid w:val="00B74EF8"/>
    <w:rsid w:val="00B75893"/>
    <w:rsid w:val="00B764C9"/>
    <w:rsid w:val="00B771F4"/>
    <w:rsid w:val="00B7762A"/>
    <w:rsid w:val="00B777FA"/>
    <w:rsid w:val="00B77850"/>
    <w:rsid w:val="00B7796B"/>
    <w:rsid w:val="00B80476"/>
    <w:rsid w:val="00B80C72"/>
    <w:rsid w:val="00B80D5D"/>
    <w:rsid w:val="00B81964"/>
    <w:rsid w:val="00B81D46"/>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4D3"/>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491"/>
    <w:rsid w:val="00BA778B"/>
    <w:rsid w:val="00BB0888"/>
    <w:rsid w:val="00BB0DF1"/>
    <w:rsid w:val="00BB0E9B"/>
    <w:rsid w:val="00BB2410"/>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360"/>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5D5"/>
    <w:rsid w:val="00C506C9"/>
    <w:rsid w:val="00C509F9"/>
    <w:rsid w:val="00C50A16"/>
    <w:rsid w:val="00C51C97"/>
    <w:rsid w:val="00C51C9A"/>
    <w:rsid w:val="00C52C68"/>
    <w:rsid w:val="00C52D98"/>
    <w:rsid w:val="00C52DA1"/>
    <w:rsid w:val="00C53D24"/>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1F62"/>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E5A"/>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61"/>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35DD"/>
    <w:rsid w:val="00CA41E7"/>
    <w:rsid w:val="00CA4A99"/>
    <w:rsid w:val="00CA4AD7"/>
    <w:rsid w:val="00CA4D7D"/>
    <w:rsid w:val="00CA5520"/>
    <w:rsid w:val="00CA5812"/>
    <w:rsid w:val="00CA5BD4"/>
    <w:rsid w:val="00CA5C14"/>
    <w:rsid w:val="00CA5CF3"/>
    <w:rsid w:val="00CA76FC"/>
    <w:rsid w:val="00CA7E7B"/>
    <w:rsid w:val="00CA7F21"/>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C7D38"/>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97B"/>
    <w:rsid w:val="00CF4AF7"/>
    <w:rsid w:val="00CF4D20"/>
    <w:rsid w:val="00CF5E78"/>
    <w:rsid w:val="00CF729B"/>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E9B"/>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3B6B"/>
    <w:rsid w:val="00DC478F"/>
    <w:rsid w:val="00DC4F6D"/>
    <w:rsid w:val="00DC62E5"/>
    <w:rsid w:val="00DC6D70"/>
    <w:rsid w:val="00DC6F33"/>
    <w:rsid w:val="00DC7349"/>
    <w:rsid w:val="00DD0EA9"/>
    <w:rsid w:val="00DD14D8"/>
    <w:rsid w:val="00DD1599"/>
    <w:rsid w:val="00DD16F1"/>
    <w:rsid w:val="00DD1B03"/>
    <w:rsid w:val="00DD1E43"/>
    <w:rsid w:val="00DD26BA"/>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4F"/>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2186"/>
    <w:rsid w:val="00E025C2"/>
    <w:rsid w:val="00E026BB"/>
    <w:rsid w:val="00E027C5"/>
    <w:rsid w:val="00E03124"/>
    <w:rsid w:val="00E031C3"/>
    <w:rsid w:val="00E03951"/>
    <w:rsid w:val="00E03DB8"/>
    <w:rsid w:val="00E03F17"/>
    <w:rsid w:val="00E0420C"/>
    <w:rsid w:val="00E047D5"/>
    <w:rsid w:val="00E04DD3"/>
    <w:rsid w:val="00E04EDD"/>
    <w:rsid w:val="00E05AA3"/>
    <w:rsid w:val="00E05E70"/>
    <w:rsid w:val="00E064BC"/>
    <w:rsid w:val="00E06803"/>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0E22"/>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1C71"/>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2D0E"/>
    <w:rsid w:val="00E436BF"/>
    <w:rsid w:val="00E43D00"/>
    <w:rsid w:val="00E443B4"/>
    <w:rsid w:val="00E445E4"/>
    <w:rsid w:val="00E457CB"/>
    <w:rsid w:val="00E45D47"/>
    <w:rsid w:val="00E45DE4"/>
    <w:rsid w:val="00E45E63"/>
    <w:rsid w:val="00E4759C"/>
    <w:rsid w:val="00E47C87"/>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0D71"/>
    <w:rsid w:val="00E71704"/>
    <w:rsid w:val="00E719F2"/>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5CE0"/>
    <w:rsid w:val="00E86556"/>
    <w:rsid w:val="00E86D35"/>
    <w:rsid w:val="00E86DC2"/>
    <w:rsid w:val="00E86E32"/>
    <w:rsid w:val="00E86F2E"/>
    <w:rsid w:val="00E8732E"/>
    <w:rsid w:val="00E9011F"/>
    <w:rsid w:val="00E906EB"/>
    <w:rsid w:val="00E90AEC"/>
    <w:rsid w:val="00E914C8"/>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4D92"/>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394"/>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CF1"/>
    <w:rsid w:val="00EE5FB7"/>
    <w:rsid w:val="00EE62AB"/>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40E"/>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0B5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4C37"/>
    <w:rsid w:val="00F55679"/>
    <w:rsid w:val="00F561DA"/>
    <w:rsid w:val="00F561E3"/>
    <w:rsid w:val="00F565E6"/>
    <w:rsid w:val="00F56AFA"/>
    <w:rsid w:val="00F56DF8"/>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0ED3"/>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850"/>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3BC"/>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B0B"/>
    <w:rsid w:val="00FC5CF4"/>
    <w:rsid w:val="00FC5D64"/>
    <w:rsid w:val="00FC6A39"/>
    <w:rsid w:val="00FC6DB9"/>
    <w:rsid w:val="00FC76A9"/>
    <w:rsid w:val="00FC79AB"/>
    <w:rsid w:val="00FC7BE7"/>
    <w:rsid w:val="00FC7DAC"/>
    <w:rsid w:val="00FD005D"/>
    <w:rsid w:val="00FD013F"/>
    <w:rsid w:val="00FD04AE"/>
    <w:rsid w:val="00FD0DFA"/>
    <w:rsid w:val="00FD10E4"/>
    <w:rsid w:val="00FD1854"/>
    <w:rsid w:val="00FD1890"/>
    <w:rsid w:val="00FD1994"/>
    <w:rsid w:val="00FD3508"/>
    <w:rsid w:val="00FD393C"/>
    <w:rsid w:val="00FD3AFF"/>
    <w:rsid w:val="00FD43BB"/>
    <w:rsid w:val="00FD47F6"/>
    <w:rsid w:val="00FD4AF3"/>
    <w:rsid w:val="00FD4B22"/>
    <w:rsid w:val="00FD72B1"/>
    <w:rsid w:val="00FD798D"/>
    <w:rsid w:val="00FE0EFF"/>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0490"/>
    <w:rsid w:val="00FF13CE"/>
    <w:rsid w:val="00FF13D4"/>
    <w:rsid w:val="00FF2053"/>
    <w:rsid w:val="00FF2E82"/>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7552A153-DFC2-41AB-99DE-0D9B090A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2B35A7"/>
    <w:pPr>
      <w:spacing w:after="0"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27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492648">
      <w:bodyDiv w:val="1"/>
      <w:marLeft w:val="0"/>
      <w:marRight w:val="0"/>
      <w:marTop w:val="0"/>
      <w:marBottom w:val="0"/>
      <w:divBdr>
        <w:top w:val="none" w:sz="0" w:space="0" w:color="auto"/>
        <w:left w:val="none" w:sz="0" w:space="0" w:color="auto"/>
        <w:bottom w:val="none" w:sz="0" w:space="0" w:color="auto"/>
        <w:right w:val="none" w:sz="0" w:space="0" w:color="auto"/>
      </w:divBdr>
      <w:divsChild>
        <w:div w:id="1802075241">
          <w:marLeft w:val="0"/>
          <w:marRight w:val="0"/>
          <w:marTop w:val="0"/>
          <w:marBottom w:val="0"/>
          <w:divBdr>
            <w:top w:val="none" w:sz="0" w:space="0" w:color="auto"/>
            <w:left w:val="none" w:sz="0" w:space="0" w:color="auto"/>
            <w:bottom w:val="none" w:sz="0" w:space="0" w:color="auto"/>
            <w:right w:val="none" w:sz="0" w:space="0" w:color="auto"/>
          </w:divBdr>
        </w:div>
        <w:div w:id="1661468700">
          <w:marLeft w:val="0"/>
          <w:marRight w:val="0"/>
          <w:marTop w:val="0"/>
          <w:marBottom w:val="0"/>
          <w:divBdr>
            <w:top w:val="none" w:sz="0" w:space="0" w:color="auto"/>
            <w:left w:val="none" w:sz="0" w:space="0" w:color="auto"/>
            <w:bottom w:val="none" w:sz="0" w:space="0" w:color="auto"/>
            <w:right w:val="none" w:sz="0" w:space="0" w:color="auto"/>
          </w:divBdr>
        </w:div>
      </w:divsChild>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1663742">
      <w:bodyDiv w:val="1"/>
      <w:marLeft w:val="0"/>
      <w:marRight w:val="0"/>
      <w:marTop w:val="0"/>
      <w:marBottom w:val="0"/>
      <w:divBdr>
        <w:top w:val="none" w:sz="0" w:space="0" w:color="auto"/>
        <w:left w:val="none" w:sz="0" w:space="0" w:color="auto"/>
        <w:bottom w:val="none" w:sz="0" w:space="0" w:color="auto"/>
        <w:right w:val="none" w:sz="0" w:space="0" w:color="auto"/>
      </w:divBdr>
      <w:divsChild>
        <w:div w:id="1567910524">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5AB55-29F2-4B89-9623-3DD722648306}">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29</Pages>
  <Words>11818</Words>
  <Characters>65005</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Martin Rojas Mejia</cp:lastModifiedBy>
  <cp:revision>2</cp:revision>
  <cp:lastPrinted>2021-08-27T20:19:00Z</cp:lastPrinted>
  <dcterms:created xsi:type="dcterms:W3CDTF">2022-04-13T15:06:00Z</dcterms:created>
  <dcterms:modified xsi:type="dcterms:W3CDTF">2022-04-13T15:06:00Z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