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1770" w14:textId="77777777" w:rsidR="000B2F93" w:rsidRPr="0008465D" w:rsidRDefault="000B2F93" w:rsidP="000B2F93">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51A43833" w14:textId="3B0EFB11" w:rsidR="008F1F27" w:rsidRPr="007D7C78" w:rsidRDefault="008F1F27" w:rsidP="008F1F27">
      <w:pPr>
        <w:jc w:val="both"/>
        <w:rPr>
          <w:rFonts w:ascii="Arial" w:eastAsia="Calibri" w:hAnsi="Arial" w:cs="Arial"/>
          <w:b/>
          <w:sz w:val="20"/>
          <w:szCs w:val="20"/>
          <w:lang w:val="es-MX"/>
        </w:rPr>
      </w:pPr>
      <w:r w:rsidRPr="007D7C78">
        <w:rPr>
          <w:rFonts w:ascii="Arial" w:eastAsia="Calibri" w:hAnsi="Arial" w:cs="Arial"/>
          <w:b/>
          <w:sz w:val="20"/>
          <w:szCs w:val="20"/>
          <w:lang w:val="es-MX"/>
        </w:rPr>
        <w:t xml:space="preserve">LEY DE GARANTÍAS ELECTORALES – </w:t>
      </w:r>
      <w:r w:rsidR="002D5147">
        <w:rPr>
          <w:rFonts w:ascii="Arial" w:eastAsia="Calibri" w:hAnsi="Arial" w:cs="Arial"/>
          <w:b/>
          <w:sz w:val="20"/>
          <w:szCs w:val="20"/>
          <w:lang w:val="es-MX"/>
        </w:rPr>
        <w:t>Finalidad</w:t>
      </w:r>
      <w:r w:rsidRPr="007D7C78">
        <w:rPr>
          <w:rFonts w:ascii="Arial" w:eastAsia="Calibri" w:hAnsi="Arial" w:cs="Arial"/>
          <w:b/>
          <w:sz w:val="20"/>
          <w:szCs w:val="20"/>
          <w:lang w:val="es-MX"/>
        </w:rPr>
        <w:t xml:space="preserve"> </w:t>
      </w:r>
    </w:p>
    <w:p w14:paraId="240CCC1A" w14:textId="77777777" w:rsidR="008F1F27" w:rsidRPr="007D7C78" w:rsidRDefault="008F1F27" w:rsidP="008F1F27">
      <w:pPr>
        <w:jc w:val="both"/>
        <w:rPr>
          <w:rFonts w:ascii="Arial" w:eastAsia="Calibri" w:hAnsi="Arial" w:cs="Arial"/>
          <w:b/>
          <w:sz w:val="20"/>
          <w:szCs w:val="20"/>
          <w:lang w:val="es-MX"/>
        </w:rPr>
      </w:pPr>
    </w:p>
    <w:p w14:paraId="19FED78A" w14:textId="77777777" w:rsidR="008F1F27" w:rsidRPr="007D7C78" w:rsidRDefault="008F1F27" w:rsidP="008F1F27">
      <w:pPr>
        <w:jc w:val="both"/>
        <w:rPr>
          <w:rFonts w:ascii="Arial" w:eastAsia="Calibri" w:hAnsi="Arial" w:cs="Arial"/>
          <w:b/>
          <w:sz w:val="20"/>
          <w:szCs w:val="20"/>
          <w:lang w:val="es-MX"/>
        </w:rPr>
      </w:pPr>
      <w:r>
        <w:rPr>
          <w:rFonts w:ascii="Arial" w:hAnsi="Arial" w:cs="Arial"/>
          <w:bCs/>
          <w:sz w:val="20"/>
          <w:szCs w:val="20"/>
          <w:lang w:val="es-MX" w:eastAsia="es-CO"/>
        </w:rPr>
        <w:t>L</w:t>
      </w:r>
      <w:r w:rsidRPr="007D7C78">
        <w:rPr>
          <w:rFonts w:ascii="Arial" w:hAnsi="Arial" w:cs="Arial"/>
          <w:bCs/>
          <w:sz w:val="20"/>
          <w:szCs w:val="20"/>
          <w:lang w:val="es-MX" w:eastAsia="es-CO"/>
        </w:rPr>
        <w:t>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609F97A8" w14:textId="77777777" w:rsidR="008F1F27" w:rsidRPr="007D7C78" w:rsidRDefault="008F1F27" w:rsidP="008F1F27">
      <w:pPr>
        <w:jc w:val="both"/>
        <w:rPr>
          <w:rFonts w:ascii="Arial" w:eastAsia="Calibri" w:hAnsi="Arial" w:cs="Arial"/>
          <w:b/>
          <w:sz w:val="20"/>
          <w:szCs w:val="20"/>
          <w:lang w:val="es-MX"/>
        </w:rPr>
      </w:pPr>
    </w:p>
    <w:p w14:paraId="6589EFA8" w14:textId="77777777" w:rsidR="008F1F27" w:rsidRPr="007D7C78" w:rsidRDefault="008F1F27" w:rsidP="008F1F27">
      <w:pPr>
        <w:jc w:val="both"/>
        <w:rPr>
          <w:rFonts w:ascii="Arial" w:eastAsia="Calibri" w:hAnsi="Arial" w:cs="Arial"/>
          <w:b/>
          <w:sz w:val="20"/>
          <w:szCs w:val="20"/>
          <w:lang w:val="es-MX"/>
        </w:rPr>
      </w:pPr>
      <w:r w:rsidRPr="007D7C78">
        <w:rPr>
          <w:rFonts w:ascii="Arial" w:eastAsia="Calibri" w:hAnsi="Arial" w:cs="Arial"/>
          <w:b/>
          <w:sz w:val="20"/>
          <w:szCs w:val="20"/>
          <w:lang w:val="es-MX"/>
        </w:rPr>
        <w:t xml:space="preserve">LEY DE GARANTÍAS ELECTORALES – Prohibiciones </w:t>
      </w:r>
    </w:p>
    <w:p w14:paraId="77BBE1E2" w14:textId="77777777" w:rsidR="008F1F27" w:rsidRPr="007D7C78" w:rsidRDefault="008F1F27" w:rsidP="008F1F27">
      <w:pPr>
        <w:jc w:val="both"/>
        <w:rPr>
          <w:rFonts w:ascii="Arial" w:eastAsia="Calibri" w:hAnsi="Arial" w:cs="Arial"/>
          <w:b/>
          <w:sz w:val="20"/>
          <w:szCs w:val="20"/>
          <w:lang w:val="es-MX"/>
        </w:rPr>
      </w:pPr>
    </w:p>
    <w:p w14:paraId="7DD5A3D8" w14:textId="77777777" w:rsidR="008F1F27" w:rsidRPr="007D7C78" w:rsidRDefault="008F1F27" w:rsidP="008F1F27">
      <w:pPr>
        <w:spacing w:after="120"/>
        <w:jc w:val="both"/>
        <w:rPr>
          <w:rFonts w:ascii="Arial" w:eastAsia="Arial" w:hAnsi="Arial" w:cs="Arial"/>
          <w:sz w:val="20"/>
          <w:szCs w:val="20"/>
          <w:lang w:val="es-ES" w:eastAsia="es-ES" w:bidi="es-ES"/>
        </w:rPr>
      </w:pPr>
      <w:r w:rsidRPr="007D7C78">
        <w:rPr>
          <w:rFonts w:ascii="Arial" w:hAnsi="Arial" w:cs="Arial"/>
          <w:bCs/>
          <w:sz w:val="20"/>
          <w:szCs w:val="20"/>
          <w:lang w:val="es-MX" w:eastAsia="es-CO"/>
        </w:rPr>
        <w:t>De</w:t>
      </w:r>
      <w:r w:rsidRPr="007D7C78">
        <w:rPr>
          <w:rFonts w:ascii="Arial" w:eastAsia="Arial" w:hAnsi="Arial" w:cs="Arial"/>
          <w:sz w:val="20"/>
          <w:szCs w:val="20"/>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7FB8258" w14:textId="77777777" w:rsidR="008F1F27" w:rsidRPr="007D7C78" w:rsidRDefault="008F1F27" w:rsidP="008F1F27">
      <w:pPr>
        <w:spacing w:after="120"/>
        <w:jc w:val="both"/>
        <w:rPr>
          <w:rFonts w:ascii="Arial" w:eastAsia="Calibri" w:hAnsi="Arial" w:cs="Arial"/>
          <w:sz w:val="20"/>
          <w:szCs w:val="20"/>
        </w:rPr>
      </w:pPr>
      <w:r w:rsidRPr="007D7C78">
        <w:rPr>
          <w:rFonts w:ascii="Arial" w:eastAsia="Calibri" w:hAnsi="Arial" w:cs="Arial"/>
          <w:sz w:val="20"/>
          <w:szCs w:val="20"/>
        </w:rPr>
        <w:t xml:space="preserve">Por un lado, el artículo 33 de la Ley 996 de 2005 prohíbe </w:t>
      </w:r>
      <w:r w:rsidRPr="007D7C78">
        <w:rPr>
          <w:rFonts w:ascii="Arial" w:eastAsia="Calibri" w:hAnsi="Arial" w:cs="Arial"/>
          <w:bCs/>
          <w:sz w:val="20"/>
          <w:szCs w:val="20"/>
        </w:rPr>
        <w:t xml:space="preserve">«[…] </w:t>
      </w:r>
      <w:r w:rsidRPr="007D7C78">
        <w:rPr>
          <w:rFonts w:ascii="Arial" w:eastAsia="Calibri" w:hAnsi="Arial" w:cs="Arial"/>
          <w:sz w:val="20"/>
          <w:szCs w:val="20"/>
        </w:rPr>
        <w:t>la contratación directa por parte de todos los entes del Estado</w:t>
      </w:r>
      <w:r w:rsidRPr="007D7C78">
        <w:rPr>
          <w:rFonts w:ascii="Arial" w:eastAsia="Calibri" w:hAnsi="Arial" w:cs="Arial"/>
          <w:bCs/>
          <w:sz w:val="20"/>
          <w:szCs w:val="20"/>
        </w:rPr>
        <w:t>»</w:t>
      </w:r>
      <w:r w:rsidRPr="007D7C78">
        <w:rPr>
          <w:rFonts w:ascii="Arial" w:eastAsia="Calibri" w:hAnsi="Arial" w:cs="Arial"/>
          <w:sz w:val="20"/>
          <w:szCs w:val="20"/>
        </w:rPr>
        <w:t xml:space="preserve"> durante los cuatro (4) meses anteriores a las elecciones presidenciales, salvo </w:t>
      </w:r>
      <w:r w:rsidRPr="007D7C78">
        <w:rPr>
          <w:rFonts w:ascii="Arial" w:eastAsia="Calibri" w:hAnsi="Arial" w:cs="Arial"/>
          <w:bCs/>
          <w:sz w:val="20"/>
          <w:szCs w:val="20"/>
        </w:rPr>
        <w:t xml:space="preserve">«[…] </w:t>
      </w:r>
      <w:r w:rsidRPr="007D7C78">
        <w:rPr>
          <w:rFonts w:ascii="Arial" w:eastAsia="Calibri" w:hAnsi="Arial" w:cs="Arial"/>
          <w:sz w:val="20"/>
          <w:szCs w:val="20"/>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D7C78">
        <w:rPr>
          <w:rFonts w:ascii="Arial" w:eastAsia="Calibri" w:hAnsi="Arial" w:cs="Arial"/>
          <w:bCs/>
          <w:sz w:val="20"/>
          <w:szCs w:val="20"/>
        </w:rPr>
        <w:t>»</w:t>
      </w:r>
      <w:r w:rsidRPr="007D7C78">
        <w:rPr>
          <w:rFonts w:ascii="Arial" w:eastAsia="Calibri" w:hAnsi="Arial" w:cs="Arial"/>
          <w:sz w:val="20"/>
          <w:szCs w:val="20"/>
        </w:rPr>
        <w:t>.</w:t>
      </w:r>
    </w:p>
    <w:p w14:paraId="56C41A99" w14:textId="77777777" w:rsidR="008F1F27" w:rsidRPr="007D7C78" w:rsidRDefault="008F1F27" w:rsidP="008F1F27">
      <w:pPr>
        <w:jc w:val="both"/>
        <w:rPr>
          <w:rFonts w:ascii="Arial" w:eastAsia="Calibri" w:hAnsi="Arial" w:cs="Arial"/>
          <w:b/>
          <w:sz w:val="20"/>
          <w:szCs w:val="20"/>
          <w:lang w:val="es-MX"/>
        </w:rPr>
      </w:pPr>
      <w:r w:rsidRPr="007D7C78">
        <w:rPr>
          <w:rFonts w:ascii="Arial" w:eastAsia="Calibri" w:hAnsi="Arial" w:cs="Arial"/>
          <w:sz w:val="20"/>
          <w:szCs w:val="20"/>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7D7C78">
        <w:rPr>
          <w:rFonts w:ascii="Arial" w:eastAsia="Calibri" w:hAnsi="Arial" w:cs="Arial"/>
          <w:bCs/>
          <w:sz w:val="20"/>
          <w:szCs w:val="20"/>
        </w:rPr>
        <w:t xml:space="preserve">«[…] </w:t>
      </w:r>
      <w:r w:rsidRPr="007D7C78">
        <w:rPr>
          <w:rFonts w:ascii="Arial" w:eastAsia="Calibri" w:hAnsi="Arial" w:cs="Arial"/>
          <w:sz w:val="20"/>
          <w:szCs w:val="20"/>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D7C78">
        <w:rPr>
          <w:rFonts w:ascii="Arial" w:eastAsia="Calibri" w:hAnsi="Arial" w:cs="Arial"/>
          <w:bCs/>
          <w:sz w:val="20"/>
          <w:szCs w:val="20"/>
        </w:rPr>
        <w:t>»</w:t>
      </w:r>
      <w:r w:rsidRPr="007D7C78">
        <w:rPr>
          <w:rFonts w:ascii="Arial" w:eastAsia="Calibri" w:hAnsi="Arial" w:cs="Arial"/>
          <w:sz w:val="20"/>
          <w:szCs w:val="20"/>
          <w:lang w:val="es-MX"/>
        </w:rPr>
        <w:t>.</w:t>
      </w:r>
    </w:p>
    <w:p w14:paraId="3C3D3500" w14:textId="77777777" w:rsidR="008F1F27" w:rsidRPr="007D7C78" w:rsidRDefault="008F1F27" w:rsidP="008F1F27">
      <w:pPr>
        <w:tabs>
          <w:tab w:val="left" w:pos="0"/>
        </w:tabs>
        <w:spacing w:line="276" w:lineRule="auto"/>
        <w:jc w:val="both"/>
        <w:rPr>
          <w:rFonts w:ascii="Arial" w:eastAsia="Calibri" w:hAnsi="Arial" w:cs="Arial"/>
          <w:b/>
          <w:sz w:val="20"/>
          <w:szCs w:val="20"/>
          <w:lang w:val="es-ES"/>
        </w:rPr>
      </w:pPr>
    </w:p>
    <w:p w14:paraId="1F0CA5E6" w14:textId="3EEA9CA8" w:rsidR="00EA2FEE" w:rsidRPr="00EA2FEE" w:rsidRDefault="00EA2FEE" w:rsidP="00EA2FEE">
      <w:pPr>
        <w:jc w:val="right"/>
      </w:pPr>
    </w:p>
    <w:p w14:paraId="2325DE8E" w14:textId="4988A35C" w:rsidR="00EA2FEE" w:rsidRDefault="00EA2FEE" w:rsidP="008F1F27">
      <w:pPr>
        <w:rPr>
          <w:rFonts w:ascii="Arial" w:eastAsia="Calibri" w:hAnsi="Arial" w:cs="Arial"/>
          <w:sz w:val="22"/>
          <w:szCs w:val="22"/>
          <w:lang w:val="es-ES"/>
        </w:rPr>
      </w:pPr>
    </w:p>
    <w:p w14:paraId="19EFE175" w14:textId="22A90199" w:rsidR="009A7542" w:rsidRDefault="009A7542" w:rsidP="008F1F27">
      <w:pPr>
        <w:rPr>
          <w:rFonts w:ascii="Arial" w:eastAsia="Calibri" w:hAnsi="Arial" w:cs="Arial"/>
          <w:sz w:val="22"/>
          <w:szCs w:val="22"/>
          <w:lang w:val="es-ES"/>
        </w:rPr>
      </w:pPr>
    </w:p>
    <w:p w14:paraId="48AF17FC" w14:textId="0037EA61" w:rsidR="009A7542" w:rsidRDefault="009A7542" w:rsidP="008F1F27">
      <w:pPr>
        <w:rPr>
          <w:rFonts w:ascii="Arial" w:eastAsia="Calibri" w:hAnsi="Arial" w:cs="Arial"/>
          <w:sz w:val="22"/>
          <w:szCs w:val="22"/>
          <w:lang w:val="es-ES"/>
        </w:rPr>
      </w:pPr>
    </w:p>
    <w:p w14:paraId="7C2737D1" w14:textId="0795500E" w:rsidR="009A7542" w:rsidRDefault="009A7542" w:rsidP="008F1F27">
      <w:pPr>
        <w:rPr>
          <w:rFonts w:ascii="Arial" w:eastAsia="Calibri" w:hAnsi="Arial" w:cs="Arial"/>
          <w:sz w:val="22"/>
          <w:szCs w:val="22"/>
          <w:lang w:val="es-ES"/>
        </w:rPr>
      </w:pPr>
    </w:p>
    <w:p w14:paraId="062CE602" w14:textId="038081B1" w:rsidR="009A7542" w:rsidRDefault="009A7542" w:rsidP="008F1F27">
      <w:pPr>
        <w:rPr>
          <w:rFonts w:ascii="Arial" w:eastAsia="Calibri" w:hAnsi="Arial" w:cs="Arial"/>
          <w:sz w:val="22"/>
          <w:szCs w:val="22"/>
          <w:lang w:val="es-ES"/>
        </w:rPr>
      </w:pPr>
    </w:p>
    <w:p w14:paraId="73FC2828" w14:textId="2B9D83F6" w:rsidR="009A7542" w:rsidRDefault="009A7542" w:rsidP="008F1F27">
      <w:pPr>
        <w:rPr>
          <w:rFonts w:ascii="Arial" w:eastAsia="Calibri" w:hAnsi="Arial" w:cs="Arial"/>
          <w:sz w:val="22"/>
          <w:szCs w:val="22"/>
          <w:lang w:val="es-ES"/>
        </w:rPr>
      </w:pPr>
    </w:p>
    <w:p w14:paraId="54DC50E7" w14:textId="23189446" w:rsidR="009A7542" w:rsidRDefault="009A7542" w:rsidP="008F1F27">
      <w:pPr>
        <w:rPr>
          <w:rFonts w:ascii="Arial" w:eastAsia="Calibri" w:hAnsi="Arial" w:cs="Arial"/>
          <w:sz w:val="22"/>
          <w:szCs w:val="22"/>
          <w:lang w:val="es-ES"/>
        </w:rPr>
      </w:pPr>
    </w:p>
    <w:p w14:paraId="00FCF98E" w14:textId="03FE71F0" w:rsidR="009A7542" w:rsidRDefault="009A7542" w:rsidP="008F1F27">
      <w:pPr>
        <w:rPr>
          <w:rFonts w:ascii="Arial" w:eastAsia="Calibri" w:hAnsi="Arial" w:cs="Arial"/>
          <w:sz w:val="22"/>
          <w:szCs w:val="22"/>
          <w:lang w:val="es-ES"/>
        </w:rPr>
      </w:pPr>
    </w:p>
    <w:p w14:paraId="5365C440" w14:textId="0226BC34" w:rsidR="009A7542" w:rsidRDefault="009A7542" w:rsidP="008F1F27">
      <w:pPr>
        <w:rPr>
          <w:rFonts w:ascii="Arial" w:eastAsia="Calibri" w:hAnsi="Arial" w:cs="Arial"/>
          <w:sz w:val="22"/>
          <w:szCs w:val="22"/>
          <w:lang w:val="es-ES"/>
        </w:rPr>
      </w:pPr>
    </w:p>
    <w:p w14:paraId="230ECF2A" w14:textId="0A2E418D" w:rsidR="009A7542" w:rsidRDefault="009A7542" w:rsidP="008F1F27">
      <w:pPr>
        <w:rPr>
          <w:rFonts w:ascii="Arial" w:eastAsia="Calibri" w:hAnsi="Arial" w:cs="Arial"/>
          <w:sz w:val="22"/>
          <w:szCs w:val="22"/>
          <w:lang w:val="es-ES"/>
        </w:rPr>
      </w:pPr>
    </w:p>
    <w:p w14:paraId="2B9566AF" w14:textId="77777777" w:rsidR="009A7542" w:rsidRDefault="009A7542" w:rsidP="008F1F27">
      <w:pPr>
        <w:rPr>
          <w:rFonts w:ascii="Arial" w:eastAsia="Calibri" w:hAnsi="Arial" w:cs="Arial"/>
          <w:sz w:val="22"/>
          <w:szCs w:val="22"/>
          <w:lang w:val="es-ES"/>
        </w:rPr>
      </w:pPr>
    </w:p>
    <w:p w14:paraId="58E6CF33" w14:textId="5A8DD6C0" w:rsidR="00F54681" w:rsidRDefault="00F54681" w:rsidP="00F54681">
      <w:pPr>
        <w:jc w:val="right"/>
      </w:pPr>
      <w:r>
        <w:lastRenderedPageBreak/>
        <w:fldChar w:fldCharType="begin"/>
      </w:r>
      <w:r>
        <w:instrText xml:space="preserve"> INCLUDEPICTURE "/var/folders/tb/0fmk9b510f57pz5rwhv8lnpw0000gp/T/com.microsoft.Word/WebArchiveCopyPasteTempFiles/page1image992539408" \* MERGEFORMATINET </w:instrText>
      </w:r>
      <w:r>
        <w:fldChar w:fldCharType="separate"/>
      </w:r>
      <w:r>
        <w:rPr>
          <w:noProof/>
        </w:rPr>
        <w:drawing>
          <wp:inline distT="0" distB="0" distL="0" distR="0" wp14:anchorId="1D1F6808" wp14:editId="09429654">
            <wp:extent cx="2406015" cy="613410"/>
            <wp:effectExtent l="0" t="0" r="0" b="0"/>
            <wp:docPr id="4" name="Imagen 4" descr="page1image99253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925394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6015" cy="613410"/>
                    </a:xfrm>
                    <a:prstGeom prst="rect">
                      <a:avLst/>
                    </a:prstGeom>
                    <a:noFill/>
                    <a:ln>
                      <a:noFill/>
                    </a:ln>
                  </pic:spPr>
                </pic:pic>
              </a:graphicData>
            </a:graphic>
          </wp:inline>
        </w:drawing>
      </w:r>
      <w:r>
        <w:fldChar w:fldCharType="end"/>
      </w:r>
    </w:p>
    <w:p w14:paraId="08596699" w14:textId="77777777" w:rsidR="00C65F25" w:rsidRDefault="00C65F25" w:rsidP="008F1F27">
      <w:pPr>
        <w:rPr>
          <w:rFonts w:ascii="Arial" w:eastAsia="Calibri" w:hAnsi="Arial" w:cs="Arial"/>
          <w:sz w:val="22"/>
          <w:szCs w:val="22"/>
          <w:lang w:val="es-ES"/>
        </w:rPr>
      </w:pPr>
    </w:p>
    <w:p w14:paraId="082B6DB4" w14:textId="3BD57E41" w:rsidR="008F1F27" w:rsidRPr="00924DEF" w:rsidRDefault="008F1F27" w:rsidP="008F1F27">
      <w:pPr>
        <w:rPr>
          <w:rFonts w:ascii="Arial" w:eastAsia="Calibri" w:hAnsi="Arial" w:cs="Arial"/>
          <w:sz w:val="22"/>
          <w:szCs w:val="22"/>
          <w:lang w:val="es-ES"/>
        </w:rPr>
      </w:pPr>
      <w:r w:rsidRPr="006244FD">
        <w:rPr>
          <w:rFonts w:ascii="Arial" w:eastAsia="Calibri" w:hAnsi="Arial" w:cs="Arial"/>
          <w:sz w:val="22"/>
          <w:szCs w:val="22"/>
          <w:lang w:val="es-ES"/>
        </w:rPr>
        <w:t>Señor</w:t>
      </w:r>
    </w:p>
    <w:p w14:paraId="051C590D" w14:textId="3B57E44F" w:rsidR="008F1F27" w:rsidRPr="00924DEF" w:rsidRDefault="006427D0" w:rsidP="008F1F27">
      <w:pPr>
        <w:rPr>
          <w:rFonts w:ascii="Arial" w:eastAsia="Calibri" w:hAnsi="Arial" w:cs="Arial"/>
          <w:b/>
          <w:bCs/>
          <w:sz w:val="22"/>
          <w:szCs w:val="22"/>
          <w:lang w:val="es-ES"/>
        </w:rPr>
      </w:pPr>
      <w:r>
        <w:rPr>
          <w:rFonts w:ascii="Arial" w:eastAsia="Calibri" w:hAnsi="Arial" w:cs="Arial"/>
          <w:b/>
          <w:bCs/>
          <w:sz w:val="22"/>
          <w:szCs w:val="22"/>
          <w:lang w:val="es-ES"/>
        </w:rPr>
        <w:t>Hernán David Rodríguez Riaño</w:t>
      </w:r>
    </w:p>
    <w:p w14:paraId="2B910637" w14:textId="3E8F397B" w:rsidR="008F1F27" w:rsidRPr="00924DEF" w:rsidRDefault="006427D0" w:rsidP="008F1F27">
      <w:pPr>
        <w:rPr>
          <w:rFonts w:ascii="Arial" w:eastAsia="Calibri" w:hAnsi="Arial" w:cs="Arial"/>
          <w:sz w:val="22"/>
          <w:szCs w:val="22"/>
          <w:lang w:val="es-ES"/>
        </w:rPr>
      </w:pPr>
      <w:r>
        <w:rPr>
          <w:rFonts w:ascii="Arial" w:eastAsia="Calibri" w:hAnsi="Arial" w:cs="Arial"/>
          <w:sz w:val="22"/>
          <w:szCs w:val="22"/>
          <w:lang w:val="es-ES"/>
        </w:rPr>
        <w:t xml:space="preserve">Funza, Cundinamarca </w:t>
      </w:r>
    </w:p>
    <w:p w14:paraId="75A8322F" w14:textId="77777777" w:rsidR="008F1F27" w:rsidRPr="00924DEF" w:rsidRDefault="008F1F27" w:rsidP="008F1F27">
      <w:pPr>
        <w:rPr>
          <w:rFonts w:ascii="Arial" w:eastAsia="Calibri" w:hAnsi="Arial" w:cs="Arial"/>
          <w:sz w:val="22"/>
          <w:szCs w:val="22"/>
          <w:lang w:val="es-ES"/>
        </w:rPr>
      </w:pPr>
    </w:p>
    <w:p w14:paraId="509A3CD8" w14:textId="77777777" w:rsidR="008F1F27" w:rsidRPr="00924DEF" w:rsidRDefault="008F1F27" w:rsidP="008F1F27">
      <w:pPr>
        <w:rPr>
          <w:rFonts w:ascii="Arial" w:eastAsia="Calibri" w:hAnsi="Arial" w:cs="Arial"/>
          <w:b/>
          <w:sz w:val="22"/>
          <w:szCs w:val="22"/>
          <w:lang w:val="es-ES"/>
        </w:rPr>
      </w:pPr>
    </w:p>
    <w:p w14:paraId="481D0967" w14:textId="216EF16F" w:rsidR="008F1F27" w:rsidRPr="00924DEF" w:rsidRDefault="008F1F27" w:rsidP="008F1F27">
      <w:pPr>
        <w:rPr>
          <w:rFonts w:ascii="Arial" w:eastAsia="Calibri" w:hAnsi="Arial" w:cs="Arial"/>
          <w:b/>
          <w:sz w:val="22"/>
          <w:szCs w:val="22"/>
          <w:lang w:val="es-ES"/>
        </w:rPr>
      </w:pPr>
      <w:r w:rsidRPr="00924DEF">
        <w:rPr>
          <w:rFonts w:ascii="Arial" w:eastAsia="Calibri" w:hAnsi="Arial" w:cs="Arial"/>
          <w:b/>
          <w:sz w:val="22"/>
          <w:szCs w:val="22"/>
          <w:lang w:val="es-ES"/>
        </w:rPr>
        <w:t xml:space="preserve">                                            Concepto C – </w:t>
      </w:r>
      <w:r w:rsidR="006427D0">
        <w:rPr>
          <w:rFonts w:ascii="Arial" w:eastAsia="Calibri" w:hAnsi="Arial" w:cs="Arial"/>
          <w:b/>
          <w:sz w:val="22"/>
          <w:szCs w:val="22"/>
          <w:lang w:val="es-ES"/>
        </w:rPr>
        <w:t>076</w:t>
      </w:r>
      <w:r>
        <w:rPr>
          <w:rFonts w:ascii="Arial" w:eastAsia="Calibri" w:hAnsi="Arial" w:cs="Arial"/>
          <w:b/>
          <w:sz w:val="22"/>
          <w:szCs w:val="22"/>
          <w:lang w:val="es-ES"/>
        </w:rPr>
        <w:t xml:space="preserve"> de 2022</w:t>
      </w:r>
    </w:p>
    <w:p w14:paraId="1CFE9394" w14:textId="77777777" w:rsidR="008F1F27" w:rsidRPr="00924DEF" w:rsidRDefault="008F1F27" w:rsidP="008F1F2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8F1F27" w:rsidRPr="00924DEF" w14:paraId="273EBBC8" w14:textId="77777777" w:rsidTr="00F54681">
        <w:trPr>
          <w:trHeight w:val="550"/>
        </w:trPr>
        <w:tc>
          <w:tcPr>
            <w:tcW w:w="2410" w:type="dxa"/>
          </w:tcPr>
          <w:p w14:paraId="6D706277" w14:textId="77777777" w:rsidR="008F1F27" w:rsidRPr="00924DEF" w:rsidRDefault="008F1F27" w:rsidP="00B10244">
            <w:pPr>
              <w:rPr>
                <w:rFonts w:ascii="Arial" w:eastAsia="Calibri" w:hAnsi="Arial" w:cs="Arial"/>
                <w:lang w:val="es-ES"/>
              </w:rPr>
            </w:pPr>
            <w:r w:rsidRPr="00924DEF">
              <w:rPr>
                <w:rFonts w:ascii="Arial" w:eastAsia="Calibri" w:hAnsi="Arial" w:cs="Arial"/>
                <w:b/>
                <w:lang w:val="es-ES"/>
              </w:rPr>
              <w:t>Temas:</w:t>
            </w:r>
            <w:r w:rsidRPr="00924DEF">
              <w:rPr>
                <w:rFonts w:ascii="Arial" w:eastAsia="Calibri" w:hAnsi="Arial" w:cs="Arial"/>
                <w:lang w:val="es-ES"/>
              </w:rPr>
              <w:t xml:space="preserve">                                      </w:t>
            </w:r>
          </w:p>
        </w:tc>
        <w:tc>
          <w:tcPr>
            <w:tcW w:w="6516" w:type="dxa"/>
          </w:tcPr>
          <w:p w14:paraId="0B7E56EF" w14:textId="77777777" w:rsidR="008F1F27" w:rsidRPr="006427D0" w:rsidRDefault="008F1F27" w:rsidP="00B10244">
            <w:pPr>
              <w:jc w:val="right"/>
              <w:rPr>
                <w:rFonts w:ascii="Arial" w:hAnsi="Arial" w:cs="Arial"/>
                <w:bCs/>
                <w:sz w:val="16"/>
                <w:szCs w:val="16"/>
                <w:lang w:val="es-ES" w:eastAsia="es-ES"/>
              </w:rPr>
            </w:pPr>
          </w:p>
          <w:p w14:paraId="646B3DB0" w14:textId="77777777" w:rsidR="009A7542" w:rsidRDefault="008F1F27" w:rsidP="009A7542">
            <w:pPr>
              <w:tabs>
                <w:tab w:val="left" w:pos="426"/>
              </w:tabs>
              <w:jc w:val="both"/>
              <w:rPr>
                <w:rFonts w:ascii="Arial" w:eastAsia="Calibri" w:hAnsi="Arial" w:cs="Arial"/>
                <w:bCs/>
                <w:lang w:val="es-MX"/>
              </w:rPr>
            </w:pPr>
            <w:r w:rsidRPr="006427D0">
              <w:rPr>
                <w:rFonts w:ascii="Arial" w:eastAsia="Calibri" w:hAnsi="Arial" w:cs="Arial"/>
                <w:bCs/>
                <w:lang w:val="es-MX"/>
              </w:rPr>
              <w:t xml:space="preserve">LEY DE GARANTÍAS ELECTORALES – </w:t>
            </w:r>
            <w:r w:rsidR="002D5147">
              <w:rPr>
                <w:rFonts w:ascii="Arial" w:eastAsia="Calibri" w:hAnsi="Arial" w:cs="Arial"/>
                <w:bCs/>
                <w:lang w:val="es-MX"/>
              </w:rPr>
              <w:t>Finalidad</w:t>
            </w:r>
            <w:r w:rsidRPr="006427D0">
              <w:rPr>
                <w:rFonts w:ascii="Arial" w:eastAsia="Calibri" w:hAnsi="Arial" w:cs="Arial"/>
                <w:bCs/>
                <w:lang w:val="es-MX"/>
              </w:rPr>
              <w:t xml:space="preserve"> / LEY DE GARANTÍAS ELECTORALES – Prohibiciones </w:t>
            </w:r>
          </w:p>
          <w:p w14:paraId="08D9D14A" w14:textId="3C17497E" w:rsidR="00C65F25" w:rsidRPr="002221BF" w:rsidRDefault="00C65F25" w:rsidP="009A7542">
            <w:pPr>
              <w:tabs>
                <w:tab w:val="left" w:pos="426"/>
              </w:tabs>
              <w:jc w:val="both"/>
              <w:rPr>
                <w:rFonts w:ascii="Arial" w:eastAsia="Calibri" w:hAnsi="Arial" w:cs="Arial"/>
                <w:bCs/>
                <w:lang w:val="es-MX"/>
              </w:rPr>
            </w:pPr>
          </w:p>
        </w:tc>
      </w:tr>
      <w:tr w:rsidR="008F1F27" w:rsidRPr="00924DEF" w14:paraId="4D112C5C" w14:textId="77777777" w:rsidTr="00F54681">
        <w:tc>
          <w:tcPr>
            <w:tcW w:w="2410" w:type="dxa"/>
          </w:tcPr>
          <w:p w14:paraId="2CB6AE77" w14:textId="77777777" w:rsidR="008F1F27" w:rsidRPr="00924DEF" w:rsidRDefault="008F1F27" w:rsidP="00B10244">
            <w:pPr>
              <w:rPr>
                <w:rFonts w:ascii="Arial" w:eastAsia="Calibri" w:hAnsi="Arial" w:cs="Arial"/>
                <w:lang w:val="es-ES"/>
              </w:rPr>
            </w:pPr>
            <w:r w:rsidRPr="00924DEF">
              <w:rPr>
                <w:rFonts w:ascii="Arial" w:eastAsia="Calibri" w:hAnsi="Arial" w:cs="Arial"/>
                <w:b/>
                <w:lang w:val="es-ES"/>
              </w:rPr>
              <w:t>Radicación:</w:t>
            </w:r>
            <w:r w:rsidRPr="00924DEF">
              <w:rPr>
                <w:rFonts w:ascii="Arial" w:eastAsia="Calibri" w:hAnsi="Arial" w:cs="Arial"/>
                <w:lang w:val="es-ES"/>
              </w:rPr>
              <w:t xml:space="preserve">                              </w:t>
            </w:r>
          </w:p>
        </w:tc>
        <w:tc>
          <w:tcPr>
            <w:tcW w:w="6516" w:type="dxa"/>
          </w:tcPr>
          <w:p w14:paraId="774FD7A7" w14:textId="49D81AAE" w:rsidR="008F1F27" w:rsidRPr="002221BF" w:rsidRDefault="008F1F27" w:rsidP="002221BF">
            <w:pPr>
              <w:rPr>
                <w:rFonts w:ascii="Arial" w:hAnsi="Arial" w:cs="Arial"/>
                <w:bCs/>
              </w:rPr>
            </w:pPr>
            <w:r w:rsidRPr="006427D0">
              <w:rPr>
                <w:rFonts w:ascii="Arial" w:eastAsia="Calibri" w:hAnsi="Arial" w:cs="Arial"/>
                <w:bCs/>
                <w:lang w:val="es-ES"/>
              </w:rPr>
              <w:t xml:space="preserve">Respuesta a consulta </w:t>
            </w:r>
            <w:r w:rsidR="006427D0" w:rsidRPr="006427D0">
              <w:rPr>
                <w:rFonts w:ascii="Arial" w:hAnsi="Arial" w:cs="Arial"/>
                <w:bCs/>
              </w:rPr>
              <w:t>P20220201000877</w:t>
            </w:r>
          </w:p>
        </w:tc>
      </w:tr>
    </w:tbl>
    <w:p w14:paraId="6D2F9086" w14:textId="77777777" w:rsidR="008F1F27" w:rsidRPr="00924DEF" w:rsidRDefault="008F1F27" w:rsidP="008F1F27">
      <w:pPr>
        <w:spacing w:line="276" w:lineRule="auto"/>
        <w:rPr>
          <w:rFonts w:ascii="Arial" w:eastAsia="Calibri" w:hAnsi="Arial" w:cs="Arial"/>
          <w:sz w:val="22"/>
          <w:szCs w:val="22"/>
          <w:lang w:val="es-ES"/>
        </w:rPr>
      </w:pPr>
    </w:p>
    <w:p w14:paraId="54C8633C" w14:textId="2ABB0D58" w:rsidR="008F1F27" w:rsidRPr="00924DEF" w:rsidRDefault="008F1F27" w:rsidP="008F1F27">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Estimad</w:t>
      </w:r>
      <w:r w:rsidR="002221BF">
        <w:rPr>
          <w:rFonts w:ascii="Arial" w:eastAsia="Calibri" w:hAnsi="Arial" w:cs="Arial"/>
          <w:sz w:val="22"/>
          <w:szCs w:val="22"/>
          <w:lang w:val="es-ES"/>
        </w:rPr>
        <w:t>o</w:t>
      </w:r>
      <w:r w:rsidRPr="00924DEF">
        <w:rPr>
          <w:rFonts w:ascii="Arial" w:eastAsia="Calibri" w:hAnsi="Arial" w:cs="Arial"/>
          <w:sz w:val="22"/>
          <w:szCs w:val="22"/>
          <w:lang w:val="es-ES"/>
        </w:rPr>
        <w:t xml:space="preserve"> señor </w:t>
      </w:r>
      <w:r w:rsidR="006427D0">
        <w:rPr>
          <w:rFonts w:ascii="Arial" w:eastAsia="Calibri" w:hAnsi="Arial" w:cs="Arial"/>
          <w:sz w:val="22"/>
          <w:szCs w:val="22"/>
          <w:lang w:val="es-ES"/>
        </w:rPr>
        <w:t>Rodríguez</w:t>
      </w:r>
      <w:r w:rsidRPr="00924DEF">
        <w:rPr>
          <w:rFonts w:ascii="Arial" w:eastAsia="Calibri" w:hAnsi="Arial" w:cs="Arial"/>
          <w:sz w:val="22"/>
          <w:szCs w:val="22"/>
          <w:lang w:val="es-ES"/>
        </w:rPr>
        <w:t>:</w:t>
      </w:r>
      <w:r w:rsidRPr="00924DEF">
        <w:rPr>
          <w:rFonts w:ascii="Arial" w:eastAsia="Calibri" w:hAnsi="Arial" w:cs="Arial"/>
          <w:sz w:val="22"/>
          <w:szCs w:val="22"/>
          <w:lang w:val="es-ES"/>
        </w:rPr>
        <w:tab/>
      </w:r>
    </w:p>
    <w:p w14:paraId="2693C6B2" w14:textId="77777777" w:rsidR="008F1F27" w:rsidRPr="00924DEF" w:rsidRDefault="008F1F27" w:rsidP="008F1F27">
      <w:pPr>
        <w:spacing w:line="276" w:lineRule="auto"/>
        <w:rPr>
          <w:rFonts w:ascii="Arial" w:eastAsia="Calibri" w:hAnsi="Arial" w:cs="Arial"/>
          <w:sz w:val="22"/>
          <w:szCs w:val="22"/>
          <w:lang w:val="es-ES"/>
        </w:rPr>
      </w:pPr>
    </w:p>
    <w:p w14:paraId="0E3A6299" w14:textId="6500AF38" w:rsidR="008F1F27" w:rsidRPr="00924DEF" w:rsidRDefault="008F1F27" w:rsidP="008F1F2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w:t>
      </w:r>
      <w:r w:rsidR="002221BF">
        <w:rPr>
          <w:rFonts w:ascii="Arial" w:eastAsia="Calibri" w:hAnsi="Arial" w:cs="Arial"/>
          <w:sz w:val="22"/>
          <w:szCs w:val="22"/>
          <w:lang w:val="es-ES"/>
        </w:rPr>
        <w:t>s</w:t>
      </w:r>
      <w:r w:rsidRPr="00924DEF">
        <w:rPr>
          <w:rFonts w:ascii="Arial" w:eastAsia="Calibri" w:hAnsi="Arial" w:cs="Arial"/>
          <w:sz w:val="22"/>
          <w:szCs w:val="22"/>
          <w:lang w:val="es-ES"/>
        </w:rPr>
        <w:t xml:space="preserve"> competencia</w:t>
      </w:r>
      <w:r w:rsidR="002221BF">
        <w:rPr>
          <w:rFonts w:ascii="Arial" w:eastAsia="Calibri" w:hAnsi="Arial" w:cs="Arial"/>
          <w:sz w:val="22"/>
          <w:szCs w:val="22"/>
          <w:lang w:val="es-ES"/>
        </w:rPr>
        <w:t>s</w:t>
      </w:r>
      <w:r w:rsidRPr="00924DEF">
        <w:rPr>
          <w:rFonts w:ascii="Arial" w:eastAsia="Calibri" w:hAnsi="Arial" w:cs="Arial"/>
          <w:sz w:val="22"/>
          <w:szCs w:val="22"/>
          <w:lang w:val="es-ES"/>
        </w:rPr>
        <w:t xml:space="preserve"> otorgada</w:t>
      </w:r>
      <w:r w:rsidR="002221BF">
        <w:rPr>
          <w:rFonts w:ascii="Arial" w:eastAsia="Calibri" w:hAnsi="Arial" w:cs="Arial"/>
          <w:sz w:val="22"/>
          <w:szCs w:val="22"/>
          <w:lang w:val="es-ES"/>
        </w:rPr>
        <w:t>s</w:t>
      </w:r>
      <w:r w:rsidRPr="00924DEF">
        <w:rPr>
          <w:rFonts w:ascii="Arial" w:eastAsia="Calibri" w:hAnsi="Arial" w:cs="Arial"/>
          <w:sz w:val="22"/>
          <w:szCs w:val="22"/>
          <w:lang w:val="es-ES"/>
        </w:rPr>
        <w:t xml:space="preserve">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sidR="00C65F25">
        <w:rPr>
          <w:rFonts w:ascii="Arial" w:eastAsia="Calibri" w:hAnsi="Arial" w:cs="Arial"/>
          <w:sz w:val="22"/>
          <w:szCs w:val="22"/>
          <w:lang w:val="es-ES"/>
        </w:rPr>
        <w:t>9</w:t>
      </w:r>
      <w:r>
        <w:rPr>
          <w:rFonts w:ascii="Arial" w:eastAsia="Calibri" w:hAnsi="Arial" w:cs="Arial"/>
          <w:sz w:val="22"/>
          <w:szCs w:val="22"/>
          <w:lang w:val="es-ES"/>
        </w:rPr>
        <w:t xml:space="preserve"> de febrero de 2022.</w:t>
      </w:r>
    </w:p>
    <w:p w14:paraId="70E54971" w14:textId="77777777" w:rsidR="008F1F27" w:rsidRPr="00924DEF" w:rsidRDefault="008F1F27" w:rsidP="008F1F27">
      <w:pPr>
        <w:pStyle w:val="Prrafodelista"/>
        <w:spacing w:line="276" w:lineRule="auto"/>
        <w:ind w:left="0"/>
        <w:rPr>
          <w:rFonts w:ascii="Arial" w:eastAsia="Calibri" w:hAnsi="Arial" w:cs="Arial"/>
          <w:sz w:val="22"/>
          <w:lang w:val="es-ES"/>
        </w:rPr>
      </w:pPr>
    </w:p>
    <w:p w14:paraId="273F674B" w14:textId="77777777" w:rsidR="008F1F27" w:rsidRPr="00924DEF" w:rsidRDefault="008F1F27" w:rsidP="008F1F27">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466A69CF" w14:textId="77777777" w:rsidR="008F1F27" w:rsidRPr="00924DEF" w:rsidRDefault="008F1F27" w:rsidP="008F1F27">
      <w:pPr>
        <w:rPr>
          <w:rFonts w:ascii="Arial" w:eastAsia="Calibri" w:hAnsi="Arial" w:cs="Arial"/>
          <w:sz w:val="22"/>
          <w:szCs w:val="22"/>
          <w:lang w:val="es-ES"/>
        </w:rPr>
      </w:pPr>
    </w:p>
    <w:p w14:paraId="2CCAE993" w14:textId="4B46308A" w:rsidR="008F1F27" w:rsidRDefault="008F1F27" w:rsidP="008F1F2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 xml:space="preserve">Usted </w:t>
      </w:r>
      <w:r>
        <w:rPr>
          <w:rFonts w:ascii="Arial" w:eastAsia="Calibri" w:hAnsi="Arial" w:cs="Arial"/>
          <w:sz w:val="22"/>
          <w:szCs w:val="22"/>
          <w:lang w:val="es-ES"/>
        </w:rPr>
        <w:t>realiza</w:t>
      </w:r>
      <w:r w:rsidRPr="00924DEF">
        <w:rPr>
          <w:rFonts w:ascii="Arial" w:eastAsia="Calibri" w:hAnsi="Arial" w:cs="Arial"/>
          <w:sz w:val="22"/>
          <w:szCs w:val="22"/>
          <w:lang w:val="es-ES"/>
        </w:rPr>
        <w:t xml:space="preserve"> la siguiente pregunta: </w:t>
      </w:r>
    </w:p>
    <w:p w14:paraId="71D1A8F9" w14:textId="010454E3" w:rsidR="008F1F27" w:rsidRPr="007A76CD" w:rsidRDefault="006427D0" w:rsidP="007A76CD">
      <w:pPr>
        <w:pStyle w:val="NormalWeb"/>
        <w:ind w:left="709" w:right="709"/>
        <w:jc w:val="both"/>
        <w:rPr>
          <w:rFonts w:ascii="Arial" w:hAnsi="Arial" w:cs="Arial"/>
          <w:sz w:val="21"/>
          <w:szCs w:val="21"/>
          <w:lang w:val="es-ES"/>
        </w:rPr>
      </w:pPr>
      <w:r w:rsidRPr="006427D0">
        <w:rPr>
          <w:rFonts w:ascii="Arial" w:hAnsi="Arial" w:cs="Arial"/>
          <w:sz w:val="21"/>
          <w:szCs w:val="21"/>
        </w:rPr>
        <w:t>«</w:t>
      </w:r>
      <w:r w:rsidR="002221BF">
        <w:rPr>
          <w:rFonts w:ascii="Arial" w:hAnsi="Arial" w:cs="Arial"/>
          <w:sz w:val="21"/>
          <w:szCs w:val="21"/>
        </w:rPr>
        <w:t xml:space="preserve">[…] </w:t>
      </w:r>
      <w:r w:rsidRPr="006427D0">
        <w:rPr>
          <w:rFonts w:ascii="Arial" w:hAnsi="Arial" w:cs="Arial"/>
          <w:sz w:val="21"/>
          <w:szCs w:val="21"/>
        </w:rPr>
        <w:t xml:space="preserve">les solicito </w:t>
      </w:r>
      <w:r w:rsidR="007A76CD" w:rsidRPr="006427D0">
        <w:rPr>
          <w:rFonts w:ascii="Arial" w:hAnsi="Arial" w:cs="Arial"/>
          <w:sz w:val="21"/>
          <w:szCs w:val="21"/>
        </w:rPr>
        <w:t>aclaración</w:t>
      </w:r>
      <w:r w:rsidRPr="006427D0">
        <w:rPr>
          <w:rFonts w:ascii="Arial" w:hAnsi="Arial" w:cs="Arial"/>
          <w:sz w:val="21"/>
          <w:szCs w:val="21"/>
        </w:rPr>
        <w:t xml:space="preserve"> si es posible que en ley de </w:t>
      </w:r>
      <w:r w:rsidR="007A76CD" w:rsidRPr="006427D0">
        <w:rPr>
          <w:rFonts w:ascii="Arial" w:hAnsi="Arial" w:cs="Arial"/>
          <w:sz w:val="21"/>
          <w:szCs w:val="21"/>
        </w:rPr>
        <w:t>garantías</w:t>
      </w:r>
      <w:r w:rsidRPr="006427D0">
        <w:rPr>
          <w:rFonts w:ascii="Arial" w:hAnsi="Arial" w:cs="Arial"/>
          <w:sz w:val="21"/>
          <w:szCs w:val="21"/>
        </w:rPr>
        <w:t xml:space="preserve"> un municipio reciba una </w:t>
      </w:r>
      <w:r w:rsidR="007A76CD" w:rsidRPr="006427D0">
        <w:rPr>
          <w:rFonts w:ascii="Arial" w:hAnsi="Arial" w:cs="Arial"/>
          <w:sz w:val="21"/>
          <w:szCs w:val="21"/>
        </w:rPr>
        <w:t>donación</w:t>
      </w:r>
      <w:r w:rsidRPr="006427D0">
        <w:rPr>
          <w:rFonts w:ascii="Arial" w:hAnsi="Arial" w:cs="Arial"/>
          <w:sz w:val="21"/>
          <w:szCs w:val="21"/>
        </w:rPr>
        <w:t xml:space="preserve"> por un particular o si </w:t>
      </w:r>
      <w:r w:rsidR="007A76CD" w:rsidRPr="006427D0">
        <w:rPr>
          <w:rFonts w:ascii="Arial" w:hAnsi="Arial" w:cs="Arial"/>
          <w:sz w:val="21"/>
          <w:szCs w:val="21"/>
        </w:rPr>
        <w:t>también</w:t>
      </w:r>
      <w:r w:rsidRPr="006427D0">
        <w:rPr>
          <w:rFonts w:ascii="Arial" w:hAnsi="Arial" w:cs="Arial"/>
          <w:sz w:val="21"/>
          <w:szCs w:val="21"/>
        </w:rPr>
        <w:t xml:space="preserve"> existe </w:t>
      </w:r>
      <w:r w:rsidR="007A76CD" w:rsidRPr="006427D0">
        <w:rPr>
          <w:rFonts w:ascii="Arial" w:hAnsi="Arial" w:cs="Arial"/>
          <w:sz w:val="21"/>
          <w:szCs w:val="21"/>
        </w:rPr>
        <w:t>restricción</w:t>
      </w:r>
      <w:r w:rsidRPr="006427D0">
        <w:rPr>
          <w:rFonts w:ascii="Arial" w:hAnsi="Arial" w:cs="Arial"/>
          <w:sz w:val="21"/>
          <w:szCs w:val="21"/>
          <w:lang w:val="es-ES"/>
        </w:rPr>
        <w:t xml:space="preserve">». </w:t>
      </w:r>
    </w:p>
    <w:p w14:paraId="134C4794" w14:textId="77777777" w:rsidR="008F1F27" w:rsidRPr="00924DEF" w:rsidRDefault="008F1F27" w:rsidP="008F1F27">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7062BAA0" w14:textId="77777777" w:rsidR="008F1F27" w:rsidRPr="00924DEF" w:rsidRDefault="008F1F27" w:rsidP="008F1F27">
      <w:pPr>
        <w:spacing w:line="276" w:lineRule="auto"/>
        <w:jc w:val="both"/>
        <w:rPr>
          <w:rFonts w:ascii="Arial" w:eastAsia="Calibri" w:hAnsi="Arial" w:cs="Arial"/>
          <w:b/>
          <w:sz w:val="22"/>
          <w:szCs w:val="22"/>
          <w:lang w:val="es-ES"/>
        </w:rPr>
      </w:pPr>
    </w:p>
    <w:p w14:paraId="169E7F5E" w14:textId="6D1AAA37" w:rsidR="008F1F27" w:rsidRPr="00703495" w:rsidRDefault="008F1F27" w:rsidP="008F1F27">
      <w:pPr>
        <w:spacing w:after="120" w:line="276" w:lineRule="auto"/>
        <w:jc w:val="both"/>
        <w:rPr>
          <w:rFonts w:ascii="Arial" w:hAnsi="Arial" w:cs="Arial"/>
          <w:sz w:val="22"/>
          <w:szCs w:val="22"/>
          <w:lang w:val="es-MX"/>
        </w:rPr>
      </w:pPr>
      <w:r>
        <w:rPr>
          <w:rFonts w:ascii="Arial" w:eastAsia="Calibri" w:hAnsi="Arial" w:cs="Arial"/>
          <w:sz w:val="22"/>
          <w:szCs w:val="22"/>
          <w:lang w:val="es-ES"/>
        </w:rPr>
        <w:t>Para resolver el interrogante planteado</w:t>
      </w:r>
      <w:r w:rsidRPr="00924DEF">
        <w:rPr>
          <w:rFonts w:ascii="Arial" w:eastAsia="Calibri" w:hAnsi="Arial" w:cs="Arial"/>
          <w:sz w:val="22"/>
          <w:szCs w:val="22"/>
          <w:lang w:val="es-ES"/>
        </w:rPr>
        <w:t xml:space="preserve"> se analizarán los siguientes temas: i) </w:t>
      </w:r>
      <w:r w:rsidR="007A76CD">
        <w:rPr>
          <w:rFonts w:ascii="Arial" w:eastAsia="Calibri" w:hAnsi="Arial" w:cs="Arial"/>
          <w:sz w:val="22"/>
          <w:szCs w:val="22"/>
          <w:lang w:val="es-ES"/>
        </w:rPr>
        <w:t xml:space="preserve">alcance de la competencia consultiva </w:t>
      </w:r>
      <w:r w:rsidR="00D00AE4">
        <w:rPr>
          <w:rFonts w:ascii="Arial" w:eastAsia="Calibri" w:hAnsi="Arial" w:cs="Arial"/>
          <w:sz w:val="22"/>
          <w:szCs w:val="22"/>
          <w:lang w:val="es-ES"/>
        </w:rPr>
        <w:t xml:space="preserve">y naturaleza jurídica de los conceptos expedidos por </w:t>
      </w:r>
      <w:r w:rsidR="007A76CD">
        <w:rPr>
          <w:rFonts w:ascii="Arial" w:eastAsia="Calibri" w:hAnsi="Arial" w:cs="Arial"/>
          <w:sz w:val="22"/>
          <w:szCs w:val="22"/>
          <w:lang w:val="es-ES"/>
        </w:rPr>
        <w:t xml:space="preserve">la agencia, ii) </w:t>
      </w:r>
      <w:r>
        <w:rPr>
          <w:rFonts w:ascii="Arial" w:eastAsia="Calibri" w:hAnsi="Arial" w:cs="Arial"/>
          <w:sz w:val="22"/>
          <w:szCs w:val="22"/>
          <w:lang w:val="es-ES"/>
        </w:rPr>
        <w:t>definición y finalidad de la Ley de Garantías Electorales: alcance de las restricciones, ii) restricciones para la suscripción de contratos de forma directa por parte de los entes del Estado –artículo 33 de la Ley 996 de 2005</w:t>
      </w:r>
      <w:r w:rsidR="007A76CD">
        <w:rPr>
          <w:rFonts w:ascii="Arial" w:eastAsia="Calibri" w:hAnsi="Arial" w:cs="Arial"/>
          <w:sz w:val="22"/>
          <w:szCs w:val="22"/>
          <w:lang w:val="es-ES"/>
        </w:rPr>
        <w:t xml:space="preserve">–. </w:t>
      </w:r>
    </w:p>
    <w:p w14:paraId="5988FAB6" w14:textId="0E1B0873" w:rsidR="008F1F27" w:rsidRDefault="008F1F27" w:rsidP="008F1F27">
      <w:pPr>
        <w:tabs>
          <w:tab w:val="left" w:pos="426"/>
        </w:tabs>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L</w:t>
      </w:r>
      <w:r w:rsidRPr="00C00312">
        <w:rPr>
          <w:rFonts w:ascii="Arial" w:eastAsia="Calibri" w:hAnsi="Arial" w:cs="Arial"/>
          <w:color w:val="000000" w:themeColor="text1"/>
          <w:sz w:val="22"/>
          <w:szCs w:val="22"/>
          <w:lang w:val="es-ES_tradnl"/>
        </w:rPr>
        <w:t>a Agencia Nacional de Contratación Pública – Colombia Compra Eficiente</w:t>
      </w:r>
      <w:r w:rsidRPr="006E050F">
        <w:rPr>
          <w:rFonts w:ascii="Arial" w:eastAsia="Calibri" w:hAnsi="Arial" w:cs="Arial"/>
          <w:color w:val="000000" w:themeColor="text1"/>
          <w:sz w:val="22"/>
          <w:szCs w:val="22"/>
          <w:lang w:val="es-ES_tradn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w:t>
      </w:r>
      <w:r w:rsidRPr="006E050F">
        <w:rPr>
          <w:rFonts w:ascii="Arial" w:eastAsia="Calibri" w:hAnsi="Arial" w:cs="Arial"/>
          <w:color w:val="000000" w:themeColor="text1"/>
          <w:sz w:val="22"/>
          <w:szCs w:val="22"/>
          <w:lang w:val="es-ES_tradnl"/>
        </w:rPr>
        <w:lastRenderedPageBreak/>
        <w:t>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w:t>
      </w:r>
      <w:r>
        <w:rPr>
          <w:rFonts w:ascii="Arial" w:eastAsia="Calibri" w:hAnsi="Arial" w:cs="Arial"/>
          <w:color w:val="000000" w:themeColor="text1"/>
          <w:sz w:val="22"/>
          <w:szCs w:val="22"/>
          <w:lang w:val="es-ES_tradnl"/>
        </w:rPr>
        <w:t xml:space="preserve">, </w:t>
      </w:r>
      <w:r w:rsidRPr="006E050F">
        <w:rPr>
          <w:rFonts w:ascii="Arial" w:eastAsia="Calibri" w:hAnsi="Arial" w:cs="Arial"/>
          <w:color w:val="000000" w:themeColor="text1"/>
          <w:sz w:val="22"/>
          <w:szCs w:val="22"/>
          <w:lang w:val="es-ES_tradnl"/>
        </w:rPr>
        <w:t>681 del 7 de diciembre de 2021</w:t>
      </w:r>
      <w:r>
        <w:rPr>
          <w:rFonts w:ascii="Arial" w:eastAsia="Calibri" w:hAnsi="Arial" w:cs="Arial"/>
          <w:color w:val="000000" w:themeColor="text1"/>
          <w:sz w:val="22"/>
          <w:szCs w:val="22"/>
          <w:lang w:val="es-ES_tradnl"/>
        </w:rPr>
        <w:t xml:space="preserve"> y C-718 de 24 de enero de 2022</w:t>
      </w:r>
      <w:r w:rsidRPr="006E050F">
        <w:rPr>
          <w:rFonts w:ascii="Arial" w:eastAsia="Calibri" w:hAnsi="Arial" w:cs="Arial"/>
          <w:color w:val="000000" w:themeColor="text1"/>
          <w:sz w:val="22"/>
          <w:szCs w:val="22"/>
          <w:lang w:val="es-ES_tradnl"/>
        </w:rPr>
        <w:t>. Teniendo en cuenta los conceptos anteriores y analizando la pregunta en cuestión, se realizan las siguientes consideraciones.</w:t>
      </w:r>
    </w:p>
    <w:p w14:paraId="5D7A0AB6" w14:textId="2DF9C40E" w:rsidR="007A76CD" w:rsidRDefault="007A76CD" w:rsidP="007A76CD">
      <w:pPr>
        <w:tabs>
          <w:tab w:val="left" w:pos="426"/>
        </w:tabs>
        <w:spacing w:line="276" w:lineRule="auto"/>
        <w:jc w:val="both"/>
        <w:rPr>
          <w:rFonts w:ascii="Arial" w:eastAsia="Calibri" w:hAnsi="Arial" w:cs="Arial"/>
          <w:color w:val="000000" w:themeColor="text1"/>
          <w:sz w:val="22"/>
          <w:szCs w:val="22"/>
          <w:lang w:val="es-ES_tradnl"/>
        </w:rPr>
      </w:pPr>
    </w:p>
    <w:p w14:paraId="285B5510" w14:textId="77777777" w:rsidR="00D00AE4" w:rsidRPr="002C21E2" w:rsidRDefault="00D00AE4" w:rsidP="00D00AE4">
      <w:pPr>
        <w:spacing w:line="276" w:lineRule="auto"/>
        <w:jc w:val="both"/>
        <w:rPr>
          <w:rFonts w:ascii="Arial" w:hAnsi="Arial" w:cs="Arial"/>
          <w:color w:val="000000"/>
        </w:rPr>
      </w:pPr>
      <w:r>
        <w:rPr>
          <w:rFonts w:ascii="Arial" w:eastAsiaTheme="minorHAnsi" w:hAnsi="Arial" w:cs="Arial"/>
          <w:b/>
          <w:sz w:val="22"/>
          <w:szCs w:val="22"/>
          <w:lang w:val="es-MX" w:eastAsia="en-US"/>
        </w:rPr>
        <w:t>2.</w:t>
      </w:r>
      <w:r w:rsidRPr="002C21E2">
        <w:rPr>
          <w:rFonts w:ascii="Arial" w:hAnsi="Arial" w:cs="Arial"/>
          <w:b/>
          <w:bCs/>
          <w:color w:val="000000"/>
          <w:sz w:val="22"/>
          <w:szCs w:val="22"/>
          <w:lang w:val="es-ES_tradnl"/>
        </w:rPr>
        <w:t>1. Alcance de la competencia consultiva y naturaleza jurídica de los conceptos expedidos por la Agencia</w:t>
      </w:r>
    </w:p>
    <w:p w14:paraId="52DB0288" w14:textId="77777777" w:rsidR="00D00AE4" w:rsidRPr="002C21E2" w:rsidRDefault="00D00AE4" w:rsidP="00D00AE4">
      <w:pPr>
        <w:spacing w:line="276" w:lineRule="auto"/>
        <w:jc w:val="both"/>
        <w:rPr>
          <w:rFonts w:ascii="Arial" w:hAnsi="Arial" w:cs="Arial"/>
          <w:color w:val="000000"/>
        </w:rPr>
      </w:pPr>
      <w:r w:rsidRPr="002C21E2">
        <w:rPr>
          <w:rFonts w:ascii="Arial" w:hAnsi="Arial" w:cs="Arial"/>
          <w:color w:val="000000"/>
          <w:sz w:val="22"/>
          <w:szCs w:val="22"/>
          <w:lang w:val="es-ES_tradnl"/>
        </w:rPr>
        <w:t> </w:t>
      </w:r>
    </w:p>
    <w:p w14:paraId="36FCEC54" w14:textId="77777777" w:rsidR="00D00AE4" w:rsidRPr="000A62D7" w:rsidRDefault="00D00AE4" w:rsidP="00D00AE4">
      <w:pPr>
        <w:spacing w:line="276" w:lineRule="auto"/>
        <w:jc w:val="both"/>
        <w:rPr>
          <w:rFonts w:ascii="Arial" w:hAnsi="Arial" w:cs="Arial"/>
          <w:color w:val="000000"/>
          <w:sz w:val="22"/>
        </w:rPr>
      </w:pPr>
      <w:r w:rsidRPr="000A62D7">
        <w:rPr>
          <w:rFonts w:ascii="Arial" w:hAnsi="Arial" w:cs="Arial"/>
          <w:color w:val="000000"/>
          <w:sz w:val="22"/>
          <w:shd w:val="clear" w:color="auto" w:fill="FFFFFF"/>
        </w:rPr>
        <w:t>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200332F3" w14:textId="0DE79D4E" w:rsidR="00D00AE4" w:rsidRPr="000A62D7" w:rsidRDefault="00D00AE4" w:rsidP="00D00AE4">
      <w:pPr>
        <w:spacing w:before="120" w:line="276" w:lineRule="auto"/>
        <w:ind w:firstLine="708"/>
        <w:jc w:val="both"/>
        <w:rPr>
          <w:rFonts w:ascii="Arial" w:hAnsi="Arial" w:cs="Arial"/>
          <w:color w:val="000000"/>
          <w:sz w:val="22"/>
        </w:rPr>
      </w:pPr>
      <w:r w:rsidRPr="000A62D7">
        <w:rPr>
          <w:rFonts w:ascii="Arial" w:hAnsi="Arial" w:cs="Arial"/>
          <w:color w:val="000000"/>
          <w:sz w:val="22"/>
        </w:rPr>
        <w:t>Al respecto, es necesario tener en cuenta que esta Agencia s</w:t>
      </w:r>
      <w:r w:rsidR="002D5147">
        <w:rPr>
          <w:rFonts w:ascii="Arial" w:hAnsi="Arial" w:cs="Arial"/>
          <w:color w:val="000000"/>
          <w:sz w:val="22"/>
        </w:rPr>
        <w:t>o</w:t>
      </w:r>
      <w:r w:rsidRPr="000A62D7">
        <w:rPr>
          <w:rFonts w:ascii="Arial" w:hAnsi="Arial" w:cs="Arial"/>
          <w:color w:val="000000"/>
          <w:sz w:val="22"/>
        </w:rPr>
        <w:t>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0A62D7">
        <w:rPr>
          <w:rFonts w:ascii="Arial" w:eastAsia="Calibri" w:hAnsi="Arial" w:cs="Arial"/>
          <w:color w:val="000000"/>
          <w:sz w:val="22"/>
        </w:rPr>
        <w:t xml:space="preserve"> </w:t>
      </w:r>
      <w:r w:rsidRPr="000A62D7">
        <w:rPr>
          <w:rFonts w:ascii="Arial" w:hAnsi="Arial" w:cs="Arial"/>
          <w:color w:val="000000"/>
          <w:sz w:val="22"/>
          <w:shd w:val="clear" w:color="auto" w:fill="FFFFFF"/>
        </w:rPr>
        <w:t> </w:t>
      </w:r>
    </w:p>
    <w:p w14:paraId="35C6655A" w14:textId="77777777" w:rsidR="00D00AE4" w:rsidRPr="000A62D7" w:rsidRDefault="00D00AE4" w:rsidP="00D00AE4">
      <w:pPr>
        <w:spacing w:before="120" w:line="276" w:lineRule="auto"/>
        <w:ind w:firstLine="708"/>
        <w:jc w:val="both"/>
        <w:rPr>
          <w:rFonts w:ascii="Arial" w:hAnsi="Arial" w:cs="Arial"/>
          <w:color w:val="000000"/>
          <w:sz w:val="22"/>
        </w:rPr>
      </w:pPr>
      <w:r w:rsidRPr="000A62D7">
        <w:rPr>
          <w:rFonts w:ascii="Arial" w:hAnsi="Arial" w:cs="Arial"/>
          <w:color w:val="000000"/>
          <w:sz w:val="22"/>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0A62D7">
        <w:rPr>
          <w:rFonts w:ascii="Arial" w:hAnsi="Arial" w:cs="Arial"/>
          <w:color w:val="000000"/>
          <w:sz w:val="22"/>
          <w:vertAlign w:val="superscript"/>
        </w:rPr>
        <w:footnoteReference w:id="1"/>
      </w:r>
      <w:r w:rsidRPr="000A62D7">
        <w:rPr>
          <w:rFonts w:ascii="Arial" w:hAnsi="Arial" w:cs="Arial"/>
          <w:color w:val="000000"/>
          <w:sz w:val="22"/>
        </w:rPr>
        <w:t xml:space="preserve">. Lo anterior, en la medida en que, para resolver una consulta de carácter particular, además de conocer un sinnúmero de detalles de la actuación administrativa, es necesario acceder al expediente y a los documentos del procedimiento contractual donde surge la inquietud; </w:t>
      </w:r>
      <w:r w:rsidRPr="000A62D7">
        <w:rPr>
          <w:rFonts w:ascii="Arial" w:hAnsi="Arial" w:cs="Arial"/>
          <w:color w:val="000000"/>
          <w:sz w:val="22"/>
        </w:rPr>
        <w:lastRenderedPageBreak/>
        <w:t>razón por la cual, al no ser un órgano judicial, ni una entidad de vigilancia, inspección o control en materia contractual, carece de la facultad para desempeñar estas funciones.</w:t>
      </w:r>
      <w:r w:rsidRPr="000A62D7">
        <w:rPr>
          <w:rFonts w:ascii="Arial" w:eastAsia="Calibri" w:hAnsi="Arial" w:cs="Arial"/>
          <w:color w:val="000000"/>
          <w:sz w:val="22"/>
        </w:rPr>
        <w:t> </w:t>
      </w:r>
    </w:p>
    <w:p w14:paraId="172AF5B4" w14:textId="77777777" w:rsidR="00D00AE4" w:rsidRPr="000A62D7" w:rsidRDefault="00D00AE4" w:rsidP="00D00AE4">
      <w:pPr>
        <w:tabs>
          <w:tab w:val="left" w:pos="426"/>
        </w:tabs>
        <w:spacing w:before="120" w:line="276" w:lineRule="auto"/>
        <w:jc w:val="both"/>
        <w:rPr>
          <w:rFonts w:ascii="Arial" w:hAnsi="Arial" w:cs="Arial"/>
          <w:color w:val="000000"/>
          <w:sz w:val="22"/>
        </w:rPr>
      </w:pPr>
      <w:r w:rsidRPr="000A62D7">
        <w:rPr>
          <w:rFonts w:ascii="Arial" w:hAnsi="Arial" w:cs="Arial"/>
          <w:color w:val="000000"/>
          <w:sz w:val="22"/>
        </w:rPr>
        <w:tab/>
      </w:r>
      <w:r w:rsidRPr="000A62D7">
        <w:rPr>
          <w:rFonts w:ascii="Arial" w:hAnsi="Arial" w:cs="Arial"/>
          <w:color w:val="000000"/>
          <w:sz w:val="22"/>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0A62D7">
        <w:rPr>
          <w:rFonts w:ascii="Arial" w:eastAsia="Calibri" w:hAnsi="Arial" w:cs="Arial"/>
          <w:bCs/>
          <w:color w:val="000000"/>
          <w:sz w:val="22"/>
        </w:rPr>
        <w:t> </w:t>
      </w:r>
    </w:p>
    <w:p w14:paraId="6620C338" w14:textId="77777777" w:rsidR="00D00AE4" w:rsidRPr="000A62D7" w:rsidRDefault="00D00AE4" w:rsidP="00D00AE4">
      <w:pPr>
        <w:tabs>
          <w:tab w:val="left" w:pos="426"/>
        </w:tabs>
        <w:spacing w:line="276" w:lineRule="auto"/>
        <w:jc w:val="both"/>
        <w:rPr>
          <w:rFonts w:ascii="Arial" w:hAnsi="Arial" w:cs="Arial"/>
          <w:color w:val="000000"/>
          <w:sz w:val="22"/>
        </w:rPr>
      </w:pPr>
      <w:r w:rsidRPr="000A62D7">
        <w:rPr>
          <w:rFonts w:ascii="Arial" w:eastAsia="Calibri" w:hAnsi="Arial" w:cs="Arial"/>
          <w:bCs/>
          <w:color w:val="000000"/>
          <w:sz w:val="22"/>
        </w:rPr>
        <w:t> </w:t>
      </w:r>
    </w:p>
    <w:p w14:paraId="11EE2A77" w14:textId="77777777" w:rsidR="00D00AE4" w:rsidRPr="000A62D7" w:rsidRDefault="00D00AE4" w:rsidP="00D00AE4">
      <w:pPr>
        <w:tabs>
          <w:tab w:val="left" w:pos="426"/>
        </w:tabs>
        <w:ind w:left="709" w:right="709"/>
        <w:jc w:val="both"/>
        <w:rPr>
          <w:rFonts w:ascii="Arial" w:hAnsi="Arial" w:cs="Arial"/>
          <w:color w:val="000000"/>
          <w:sz w:val="21"/>
          <w:szCs w:val="21"/>
        </w:rPr>
      </w:pPr>
      <w:r w:rsidRPr="000A62D7">
        <w:rPr>
          <w:rFonts w:ascii="Arial" w:hAnsi="Arial" w:cs="Arial"/>
          <w:color w:val="000000"/>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0A62D7">
        <w:rPr>
          <w:rFonts w:ascii="Arial" w:eastAsia="Calibri" w:hAnsi="Arial" w:cs="Arial"/>
          <w:bCs/>
          <w:color w:val="000000"/>
          <w:sz w:val="21"/>
          <w:szCs w:val="21"/>
        </w:rPr>
        <w:t>». </w:t>
      </w:r>
    </w:p>
    <w:p w14:paraId="78DFD904" w14:textId="77777777" w:rsidR="00D00AE4" w:rsidRPr="000A62D7" w:rsidRDefault="00D00AE4" w:rsidP="00D00AE4">
      <w:pPr>
        <w:tabs>
          <w:tab w:val="left" w:pos="426"/>
        </w:tabs>
        <w:spacing w:line="276" w:lineRule="auto"/>
        <w:jc w:val="both"/>
        <w:rPr>
          <w:rFonts w:ascii="Arial" w:hAnsi="Arial" w:cs="Arial"/>
          <w:color w:val="000000"/>
          <w:sz w:val="22"/>
        </w:rPr>
      </w:pPr>
      <w:r w:rsidRPr="000A62D7">
        <w:rPr>
          <w:rFonts w:ascii="Arial" w:eastAsia="Calibri" w:hAnsi="Arial" w:cs="Arial"/>
          <w:bCs/>
          <w:color w:val="000000"/>
          <w:sz w:val="22"/>
        </w:rPr>
        <w:t> </w:t>
      </w:r>
    </w:p>
    <w:p w14:paraId="3E955ABA" w14:textId="77777777" w:rsidR="00D00AE4" w:rsidRPr="000A62D7" w:rsidRDefault="00D00AE4" w:rsidP="00D00AE4">
      <w:pPr>
        <w:spacing w:line="276" w:lineRule="auto"/>
        <w:ind w:firstLine="708"/>
        <w:jc w:val="both"/>
        <w:rPr>
          <w:rFonts w:ascii="Arial" w:hAnsi="Arial" w:cs="Arial"/>
          <w:color w:val="000000"/>
          <w:sz w:val="22"/>
        </w:rPr>
      </w:pPr>
      <w:r w:rsidRPr="000A62D7">
        <w:rPr>
          <w:rFonts w:ascii="Arial" w:hAnsi="Arial" w:cs="Arial"/>
          <w:color w:val="000000"/>
          <w:sz w:val="22"/>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0A62D7">
        <w:rPr>
          <w:rFonts w:ascii="Arial" w:eastAsia="Calibri" w:hAnsi="Arial" w:cs="Arial"/>
          <w:bCs/>
          <w:color w:val="000000"/>
          <w:sz w:val="22"/>
        </w:rPr>
        <w:t> </w:t>
      </w:r>
    </w:p>
    <w:p w14:paraId="02C6572F" w14:textId="77777777" w:rsidR="00D00AE4" w:rsidRPr="000A62D7" w:rsidRDefault="00D00AE4" w:rsidP="00D00AE4">
      <w:pPr>
        <w:spacing w:before="120" w:line="276" w:lineRule="auto"/>
        <w:ind w:firstLine="708"/>
        <w:jc w:val="both"/>
        <w:rPr>
          <w:rFonts w:ascii="Arial" w:hAnsi="Arial" w:cs="Arial"/>
          <w:color w:val="000000"/>
          <w:sz w:val="22"/>
        </w:rPr>
      </w:pPr>
      <w:r w:rsidRPr="000A62D7">
        <w:rPr>
          <w:rFonts w:ascii="Arial" w:hAnsi="Arial" w:cs="Arial"/>
          <w:color w:val="000000"/>
          <w:sz w:val="22"/>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0A62D7">
        <w:rPr>
          <w:rFonts w:ascii="Arial" w:eastAsia="Calibri" w:hAnsi="Arial" w:cs="Arial"/>
          <w:bCs/>
          <w:color w:val="000000"/>
          <w:sz w:val="22"/>
        </w:rPr>
        <w:t> </w:t>
      </w:r>
    </w:p>
    <w:p w14:paraId="0E0B4FBD" w14:textId="77777777" w:rsidR="00D00AE4" w:rsidRPr="000A62D7" w:rsidRDefault="00D00AE4" w:rsidP="00D00AE4">
      <w:pPr>
        <w:tabs>
          <w:tab w:val="left" w:pos="709"/>
        </w:tabs>
        <w:spacing w:before="120" w:line="276" w:lineRule="auto"/>
        <w:jc w:val="both"/>
        <w:rPr>
          <w:rFonts w:ascii="Arial" w:hAnsi="Arial" w:cs="Arial"/>
          <w:color w:val="000000"/>
          <w:sz w:val="22"/>
        </w:rPr>
      </w:pPr>
      <w:r w:rsidRPr="000A62D7">
        <w:rPr>
          <w:rFonts w:ascii="Arial" w:hAnsi="Arial" w:cs="Arial"/>
          <w:color w:val="000000"/>
          <w:sz w:val="22"/>
          <w:shd w:val="clear" w:color="auto" w:fill="FFFFFF"/>
        </w:rPr>
        <w:tab/>
        <w:t>En concordancia con ello, es importante resaltar que e</w:t>
      </w:r>
      <w:r w:rsidRPr="000A62D7">
        <w:rPr>
          <w:rFonts w:ascii="Arial" w:hAnsi="Arial" w:cs="Arial"/>
          <w:color w:val="000000"/>
          <w:sz w:val="22"/>
        </w:rPr>
        <w:t>sta posición es compartida por varias entidades públicas que ejercen similar función. Por ejemplo, la Procuraduría General de la Nación</w:t>
      </w:r>
      <w:r w:rsidRPr="000A62D7">
        <w:rPr>
          <w:rFonts w:ascii="Arial" w:hAnsi="Arial" w:cs="Arial"/>
          <w:color w:val="000000"/>
          <w:sz w:val="22"/>
          <w:vertAlign w:val="superscript"/>
        </w:rPr>
        <w:footnoteReference w:id="2"/>
      </w:r>
      <w:r w:rsidRPr="000A62D7">
        <w:rPr>
          <w:rFonts w:ascii="Arial" w:hAnsi="Arial" w:cs="Arial"/>
          <w:color w:val="000000"/>
          <w:sz w:val="22"/>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0A62D7">
        <w:rPr>
          <w:rFonts w:ascii="Arial" w:hAnsi="Arial" w:cs="Arial"/>
          <w:color w:val="000000"/>
          <w:sz w:val="22"/>
          <w:vertAlign w:val="superscript"/>
        </w:rPr>
        <w:footnoteReference w:id="3"/>
      </w:r>
      <w:r w:rsidRPr="000A62D7">
        <w:rPr>
          <w:rFonts w:ascii="Arial" w:hAnsi="Arial" w:cs="Arial"/>
          <w:color w:val="000000"/>
          <w:sz w:val="22"/>
        </w:rPr>
        <w:t xml:space="preserve"> de la República precisó que los «[…] conceptos emitidos por la Oficina Jurídica de la Contraloría General de la </w:t>
      </w:r>
      <w:r w:rsidRPr="000A62D7">
        <w:rPr>
          <w:rFonts w:ascii="Arial" w:hAnsi="Arial" w:cs="Arial"/>
          <w:color w:val="000000"/>
          <w:sz w:val="22"/>
        </w:rPr>
        <w:lastRenderedPageBreak/>
        <w:t>República, son orientaciones de carácter general que […] no son de obligatorio cumplimiento o ejecución, ni tienen el carácter de fuente normativa y sólo pueden ser utilizados para facilitar la interpretación y aplicación de las normas jurídicas vigentes […]».</w:t>
      </w:r>
      <w:r w:rsidRPr="000A62D7">
        <w:rPr>
          <w:rFonts w:ascii="Arial" w:eastAsia="Calibri" w:hAnsi="Arial" w:cs="Arial"/>
          <w:bCs/>
          <w:color w:val="000000"/>
          <w:sz w:val="22"/>
        </w:rPr>
        <w:t> </w:t>
      </w:r>
    </w:p>
    <w:p w14:paraId="62FEB8D6" w14:textId="77777777" w:rsidR="00D00AE4" w:rsidRPr="000A62D7" w:rsidRDefault="00D00AE4" w:rsidP="00D00AE4">
      <w:pPr>
        <w:tabs>
          <w:tab w:val="left" w:pos="709"/>
        </w:tabs>
        <w:spacing w:before="120" w:line="276" w:lineRule="auto"/>
        <w:jc w:val="both"/>
        <w:rPr>
          <w:rFonts w:ascii="Arial" w:hAnsi="Arial" w:cs="Arial"/>
          <w:color w:val="000000"/>
          <w:sz w:val="22"/>
        </w:rPr>
      </w:pPr>
      <w:r w:rsidRPr="000A62D7">
        <w:rPr>
          <w:rFonts w:ascii="Arial" w:eastAsia="Calibri" w:hAnsi="Arial" w:cs="Arial"/>
          <w:bCs/>
          <w:color w:val="000000"/>
          <w:sz w:val="22"/>
        </w:rPr>
        <w:tab/>
      </w:r>
      <w:r w:rsidRPr="000A62D7">
        <w:rPr>
          <w:rFonts w:ascii="Arial" w:hAnsi="Arial" w:cs="Arial"/>
          <w:color w:val="000000"/>
          <w:sz w:val="22"/>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0A62D7">
        <w:rPr>
          <w:rFonts w:ascii="Arial" w:hAnsi="Arial" w:cs="Arial"/>
          <w:color w:val="000000"/>
          <w:sz w:val="22"/>
          <w:vertAlign w:val="superscript"/>
        </w:rPr>
        <w:footnoteReference w:id="4"/>
      </w:r>
      <w:r w:rsidRPr="000A62D7">
        <w:rPr>
          <w:rFonts w:ascii="Arial" w:hAnsi="Arial" w:cs="Arial"/>
          <w:color w:val="000000"/>
          <w:sz w:val="22"/>
        </w:rPr>
        <w:t xml:space="preserve">. </w:t>
      </w:r>
    </w:p>
    <w:p w14:paraId="6105DCE8" w14:textId="77777777" w:rsidR="00D00AE4" w:rsidRPr="000A62D7" w:rsidRDefault="00D00AE4" w:rsidP="00D00AE4">
      <w:pPr>
        <w:spacing w:before="120" w:after="120" w:line="276" w:lineRule="auto"/>
        <w:ind w:firstLine="709"/>
        <w:jc w:val="both"/>
        <w:rPr>
          <w:rFonts w:ascii="Arial" w:hAnsi="Arial" w:cs="Arial"/>
          <w:color w:val="000000"/>
          <w:sz w:val="22"/>
        </w:rPr>
      </w:pPr>
      <w:r w:rsidRPr="000A62D7">
        <w:rPr>
          <w:rFonts w:ascii="Arial" w:hAnsi="Arial" w:cs="Arial"/>
          <w:color w:val="000000"/>
          <w:sz w:val="22"/>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38F89117" w14:textId="77777777" w:rsidR="00D00AE4" w:rsidRPr="000A62D7" w:rsidRDefault="00D00AE4" w:rsidP="00D00AE4">
      <w:pPr>
        <w:spacing w:line="276" w:lineRule="auto"/>
        <w:ind w:firstLine="708"/>
        <w:jc w:val="both"/>
        <w:rPr>
          <w:rFonts w:ascii="Arial" w:hAnsi="Arial" w:cs="Arial"/>
          <w:color w:val="000000"/>
        </w:rPr>
      </w:pPr>
      <w:r w:rsidRPr="000A62D7">
        <w:rPr>
          <w:rFonts w:ascii="Arial" w:hAnsi="Arial" w:cs="Arial"/>
          <w:color w:val="000000"/>
          <w:sz w:val="22"/>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7706EF7B" w14:textId="77777777" w:rsidR="008F1F27" w:rsidRPr="00924DEF" w:rsidRDefault="008F1F27" w:rsidP="008F1F27">
      <w:pPr>
        <w:spacing w:line="276" w:lineRule="auto"/>
        <w:ind w:firstLine="708"/>
        <w:jc w:val="both"/>
        <w:rPr>
          <w:rFonts w:ascii="Arial" w:hAnsi="Arial" w:cs="Arial"/>
          <w:sz w:val="22"/>
          <w:szCs w:val="22"/>
          <w:lang w:val="es-MX"/>
        </w:rPr>
      </w:pPr>
    </w:p>
    <w:p w14:paraId="601E39F1" w14:textId="22AAD0DA" w:rsidR="008F1F27" w:rsidRPr="0051586B" w:rsidRDefault="008F1F27" w:rsidP="008F1F27">
      <w:pPr>
        <w:tabs>
          <w:tab w:val="left" w:pos="426"/>
        </w:tabs>
        <w:spacing w:line="276" w:lineRule="auto"/>
        <w:contextualSpacing/>
        <w:jc w:val="both"/>
        <w:rPr>
          <w:rFonts w:ascii="Arial" w:eastAsia="Calibri" w:hAnsi="Arial" w:cs="Arial"/>
          <w:b/>
          <w:bCs/>
          <w:sz w:val="22"/>
          <w:szCs w:val="22"/>
          <w:lang w:eastAsia="en-US"/>
        </w:rPr>
      </w:pPr>
      <w:r>
        <w:rPr>
          <w:rFonts w:ascii="Arial" w:eastAsia="Calibri" w:hAnsi="Arial" w:cs="Arial"/>
          <w:b/>
          <w:bCs/>
          <w:sz w:val="22"/>
          <w:szCs w:val="22"/>
          <w:lang w:eastAsia="en-US"/>
        </w:rPr>
        <w:t>2.</w:t>
      </w:r>
      <w:r w:rsidR="007A76CD">
        <w:rPr>
          <w:rFonts w:ascii="Arial" w:eastAsia="Calibri" w:hAnsi="Arial" w:cs="Arial"/>
          <w:b/>
          <w:bCs/>
          <w:sz w:val="22"/>
          <w:szCs w:val="22"/>
          <w:lang w:eastAsia="en-US"/>
        </w:rPr>
        <w:t>2</w:t>
      </w:r>
      <w:r>
        <w:rPr>
          <w:rFonts w:ascii="Arial" w:eastAsia="Calibri" w:hAnsi="Arial" w:cs="Arial"/>
          <w:b/>
          <w:bCs/>
          <w:sz w:val="22"/>
          <w:szCs w:val="22"/>
          <w:lang w:eastAsia="en-US"/>
        </w:rPr>
        <w:t xml:space="preserve">. </w:t>
      </w:r>
      <w:r w:rsidRPr="0051586B">
        <w:rPr>
          <w:rFonts w:ascii="Arial" w:eastAsia="Calibri" w:hAnsi="Arial" w:cs="Arial"/>
          <w:b/>
          <w:bCs/>
          <w:sz w:val="22"/>
          <w:szCs w:val="22"/>
          <w:lang w:eastAsia="en-US"/>
        </w:rPr>
        <w:t>Definición y finalidad de la Ley de Garantías Electorales: alcance de las restricciones</w:t>
      </w:r>
    </w:p>
    <w:p w14:paraId="02A1C0ED" w14:textId="77777777" w:rsidR="008F1F27" w:rsidRPr="0051586B" w:rsidRDefault="008F1F27" w:rsidP="008F1F27">
      <w:pPr>
        <w:tabs>
          <w:tab w:val="left" w:pos="426"/>
        </w:tabs>
        <w:spacing w:line="276" w:lineRule="auto"/>
        <w:ind w:firstLine="709"/>
        <w:jc w:val="both"/>
        <w:rPr>
          <w:rFonts w:ascii="Arial" w:eastAsia="Calibri" w:hAnsi="Arial" w:cs="Arial"/>
          <w:bCs/>
          <w:sz w:val="22"/>
          <w:szCs w:val="22"/>
          <w:lang w:eastAsia="en-US"/>
        </w:rPr>
      </w:pPr>
    </w:p>
    <w:p w14:paraId="1272E691" w14:textId="77777777" w:rsidR="008F1F27" w:rsidRPr="0051586B" w:rsidRDefault="008F1F27" w:rsidP="008F1F27">
      <w:pPr>
        <w:tabs>
          <w:tab w:val="left" w:pos="426"/>
        </w:tabs>
        <w:spacing w:after="120" w:line="276" w:lineRule="auto"/>
        <w:jc w:val="both"/>
        <w:rPr>
          <w:rFonts w:ascii="Arial" w:eastAsiaTheme="minorHAnsi" w:hAnsi="Arial" w:cs="Arial"/>
          <w:bCs/>
          <w:sz w:val="22"/>
          <w:szCs w:val="22"/>
          <w:lang w:eastAsia="es-CO"/>
        </w:rPr>
      </w:pPr>
      <w:r w:rsidRPr="0051586B">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51586B">
        <w:rPr>
          <w:rFonts w:ascii="Arial" w:eastAsia="Calibri" w:hAnsi="Arial" w:cs="Arial"/>
          <w:bCs/>
          <w:i/>
          <w:iCs/>
          <w:sz w:val="22"/>
          <w:szCs w:val="22"/>
          <w:lang w:eastAsia="en-US"/>
        </w:rPr>
        <w:t xml:space="preserve">. </w:t>
      </w:r>
      <w:r w:rsidRPr="0051586B">
        <w:rPr>
          <w:rFonts w:ascii="Arial" w:eastAsia="Calibri" w:hAnsi="Arial" w:cs="Arial"/>
          <w:bCs/>
          <w:sz w:val="22"/>
          <w:szCs w:val="22"/>
          <w:lang w:eastAsia="en-US"/>
        </w:rPr>
        <w:t xml:space="preserve">Por ejemplo, el artículo 127 de la Constitución Política establece una prohibición contractual a los </w:t>
      </w:r>
      <w:r w:rsidRPr="0051586B">
        <w:rPr>
          <w:rFonts w:ascii="Arial" w:eastAsia="Calibri" w:hAnsi="Arial" w:cs="Arial"/>
          <w:bCs/>
          <w:sz w:val="22"/>
          <w:szCs w:val="22"/>
          <w:lang w:eastAsia="en-US"/>
        </w:rPr>
        <w:lastRenderedPageBreak/>
        <w:t>servidores públicos y en cuanto a aspectos políticos establece restricciones a ciertos empleados del Estado, incluso en época no electoral</w:t>
      </w:r>
      <w:r w:rsidRPr="0051586B">
        <w:rPr>
          <w:rFonts w:ascii="Arial" w:eastAsia="Calibri" w:hAnsi="Arial" w:cs="Arial"/>
          <w:bCs/>
          <w:sz w:val="22"/>
          <w:szCs w:val="22"/>
          <w:vertAlign w:val="superscript"/>
          <w:lang w:eastAsia="en-US"/>
        </w:rPr>
        <w:footnoteReference w:id="5"/>
      </w:r>
      <w:r w:rsidRPr="0051586B">
        <w:rPr>
          <w:rFonts w:ascii="Arial" w:eastAsia="Calibri" w:hAnsi="Arial" w:cs="Arial"/>
          <w:bCs/>
          <w:sz w:val="22"/>
          <w:szCs w:val="22"/>
          <w:lang w:eastAsia="en-US"/>
        </w:rPr>
        <w:t xml:space="preserve">. </w:t>
      </w:r>
    </w:p>
    <w:p w14:paraId="5D04116F" w14:textId="77777777" w:rsidR="008F1F27" w:rsidRPr="0051586B" w:rsidRDefault="008F1F27" w:rsidP="008F1F27">
      <w:pPr>
        <w:tabs>
          <w:tab w:val="left" w:pos="426"/>
        </w:tabs>
        <w:spacing w:line="276" w:lineRule="auto"/>
        <w:ind w:firstLine="709"/>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eastAsia="es-CO"/>
        </w:rPr>
        <w:t>En el mismo sentido</w:t>
      </w:r>
      <w:r w:rsidRPr="0051586B">
        <w:rPr>
          <w:rFonts w:ascii="Arial" w:eastAsiaTheme="minorHAnsi"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1586B">
        <w:rPr>
          <w:rFonts w:ascii="Arial" w:eastAsiaTheme="minorHAnsi" w:hAnsi="Arial" w:cs="Arial"/>
          <w:bCs/>
          <w:sz w:val="22"/>
          <w:szCs w:val="22"/>
          <w:vertAlign w:val="superscript"/>
          <w:lang w:val="es-MX" w:eastAsia="es-CO"/>
        </w:rPr>
        <w:footnoteReference w:id="6"/>
      </w:r>
      <w:r w:rsidRPr="0051586B">
        <w:rPr>
          <w:rFonts w:ascii="Arial" w:eastAsiaTheme="minorHAnsi"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51586B">
        <w:rPr>
          <w:rFonts w:ascii="Arial" w:eastAsia="Calibri" w:hAnsi="Arial" w:cs="Arial"/>
          <w:noProof/>
          <w:sz w:val="22"/>
          <w:szCs w:val="22"/>
          <w:lang w:val="es-ES_tradnl" w:eastAsia="en-US"/>
        </w:rPr>
        <w:t xml:space="preserve"> </w:t>
      </w:r>
      <w:r w:rsidRPr="0051586B">
        <w:rPr>
          <w:rFonts w:ascii="Arial" w:eastAsiaTheme="minorHAnsi" w:hAnsi="Arial" w:cs="Arial"/>
          <w:bCs/>
          <w:sz w:val="22"/>
          <w:szCs w:val="22"/>
          <w:lang w:val="es-MX" w:eastAsia="es-CO"/>
        </w:rPr>
        <w:t>En armonía con lo anterior, la Corte Constitucional ha abordado la definición de la Ley de Garantías Electorales. De esta manera, explica que tiene como propósito:</w:t>
      </w:r>
    </w:p>
    <w:p w14:paraId="001DA81E" w14:textId="77777777" w:rsidR="008F1F27" w:rsidRPr="0051586B" w:rsidRDefault="008F1F27" w:rsidP="008F1F27">
      <w:pPr>
        <w:ind w:right="709"/>
        <w:jc w:val="both"/>
        <w:rPr>
          <w:rFonts w:ascii="Arial" w:eastAsiaTheme="minorHAnsi" w:hAnsi="Arial" w:cs="Arial"/>
          <w:sz w:val="21"/>
          <w:szCs w:val="21"/>
          <w:lang w:val="es-ES" w:eastAsia="es-CO"/>
        </w:rPr>
      </w:pPr>
    </w:p>
    <w:p w14:paraId="0CC743BE" w14:textId="77777777" w:rsidR="008F1F27" w:rsidRPr="0051586B" w:rsidRDefault="008F1F27" w:rsidP="008F1F27">
      <w:pPr>
        <w:ind w:left="709" w:right="709"/>
        <w:jc w:val="both"/>
        <w:rPr>
          <w:rFonts w:ascii="Arial" w:eastAsiaTheme="minorHAnsi" w:hAnsi="Arial" w:cs="Arial"/>
          <w:bCs/>
          <w:sz w:val="21"/>
          <w:szCs w:val="21"/>
          <w:lang w:val="es-MX" w:eastAsia="es-CO"/>
        </w:rPr>
      </w:pPr>
      <w:r w:rsidRPr="0051586B">
        <w:rPr>
          <w:rFonts w:ascii="Arial" w:eastAsia="Calibri" w:hAnsi="Arial" w:cs="Arial"/>
          <w:sz w:val="21"/>
          <w:szCs w:val="21"/>
          <w:lang w:val="es-ES" w:eastAsia="en-US"/>
        </w:rPr>
        <w:t>«</w:t>
      </w:r>
      <w:r w:rsidRPr="0051586B">
        <w:rPr>
          <w:rFonts w:ascii="Arial" w:eastAsiaTheme="minorHAnsi" w:hAnsi="Arial" w:cs="Arial"/>
          <w:sz w:val="21"/>
          <w:szCs w:val="21"/>
          <w:lang w:val="es-ES" w:eastAsia="es-CO"/>
        </w:rPr>
        <w:t xml:space="preserve">[…] </w:t>
      </w:r>
      <w:r w:rsidRPr="0051586B">
        <w:rPr>
          <w:rFonts w:ascii="Arial" w:eastAsiaTheme="minorHAnsi"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37E9662" w14:textId="77777777" w:rsidR="008F1F27" w:rsidRPr="0051586B" w:rsidRDefault="008F1F27" w:rsidP="008F1F27">
      <w:pPr>
        <w:spacing w:after="120"/>
        <w:ind w:left="709" w:right="709"/>
        <w:jc w:val="both"/>
        <w:rPr>
          <w:rFonts w:ascii="Arial" w:eastAsiaTheme="minorHAnsi" w:hAnsi="Arial" w:cs="Arial"/>
          <w:bCs/>
          <w:sz w:val="21"/>
          <w:szCs w:val="21"/>
          <w:lang w:val="es-MX" w:eastAsia="es-CO"/>
        </w:rPr>
      </w:pPr>
      <w:r w:rsidRPr="0051586B">
        <w:rPr>
          <w:rFonts w:ascii="Arial" w:eastAsiaTheme="minorHAnsi" w:hAnsi="Arial" w:cs="Arial"/>
          <w:bCs/>
          <w:sz w:val="21"/>
          <w:szCs w:val="21"/>
          <w:lang w:val="es-MX" w:eastAsia="es-CO"/>
        </w:rPr>
        <w:t xml:space="preserve">[…] </w:t>
      </w:r>
    </w:p>
    <w:p w14:paraId="3A5C04F6" w14:textId="77777777" w:rsidR="008F1F27" w:rsidRPr="0051586B" w:rsidRDefault="008F1F27" w:rsidP="008F1F27">
      <w:pPr>
        <w:ind w:left="709" w:right="709"/>
        <w:jc w:val="both"/>
        <w:rPr>
          <w:rFonts w:ascii="Arial" w:eastAsiaTheme="minorHAnsi" w:hAnsi="Arial" w:cs="Arial"/>
          <w:bCs/>
          <w:sz w:val="21"/>
          <w:szCs w:val="21"/>
          <w:lang w:val="es-MX" w:eastAsia="es-CO"/>
        </w:rPr>
      </w:pPr>
      <w:r w:rsidRPr="0051586B">
        <w:rPr>
          <w:rFonts w:ascii="Arial" w:eastAsiaTheme="minorHAnsi"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1586B">
        <w:rPr>
          <w:rFonts w:ascii="Arial" w:eastAsiaTheme="minorHAnsi" w:hAnsi="Arial" w:cs="Arial"/>
          <w:sz w:val="21"/>
          <w:szCs w:val="21"/>
          <w:lang w:val="es-ES" w:eastAsia="en-US"/>
        </w:rPr>
        <w:t>»</w:t>
      </w:r>
      <w:r w:rsidRPr="0051586B">
        <w:rPr>
          <w:rFonts w:ascii="Arial" w:eastAsiaTheme="minorHAnsi" w:hAnsi="Arial" w:cs="Arial"/>
          <w:sz w:val="20"/>
          <w:szCs w:val="20"/>
          <w:vertAlign w:val="superscript"/>
          <w:lang w:val="es-MX" w:eastAsia="en-US"/>
        </w:rPr>
        <w:footnoteReference w:id="7"/>
      </w:r>
    </w:p>
    <w:p w14:paraId="773713FA" w14:textId="77777777" w:rsidR="008F1F27" w:rsidRPr="0051586B" w:rsidRDefault="008F1F27" w:rsidP="008F1F27">
      <w:pPr>
        <w:spacing w:line="276" w:lineRule="auto"/>
        <w:ind w:left="709" w:right="709"/>
        <w:jc w:val="both"/>
        <w:rPr>
          <w:rFonts w:ascii="Arial" w:eastAsiaTheme="minorHAnsi" w:hAnsi="Arial" w:cs="Arial"/>
          <w:bCs/>
          <w:sz w:val="21"/>
          <w:szCs w:val="21"/>
          <w:lang w:val="es-MX" w:eastAsia="es-CO"/>
        </w:rPr>
      </w:pPr>
    </w:p>
    <w:p w14:paraId="17064A05" w14:textId="77777777" w:rsidR="008F1F27" w:rsidRPr="0051586B" w:rsidRDefault="008F1F27" w:rsidP="008F1F27">
      <w:pPr>
        <w:spacing w:line="276" w:lineRule="auto"/>
        <w:ind w:firstLine="709"/>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w:t>
      </w:r>
      <w:r w:rsidRPr="0051586B">
        <w:rPr>
          <w:rFonts w:ascii="Arial" w:eastAsiaTheme="minorHAnsi" w:hAnsi="Arial" w:cs="Arial"/>
          <w:bCs/>
          <w:sz w:val="22"/>
          <w:szCs w:val="22"/>
          <w:lang w:val="es-MX" w:eastAsia="es-CO"/>
        </w:rPr>
        <w:lastRenderedPageBreak/>
        <w:t>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67526061" w14:textId="77777777" w:rsidR="008F1F27" w:rsidRPr="0051586B" w:rsidRDefault="008F1F27" w:rsidP="008F1F27">
      <w:pPr>
        <w:spacing w:line="276" w:lineRule="auto"/>
        <w:ind w:firstLine="709"/>
        <w:jc w:val="both"/>
        <w:rPr>
          <w:rFonts w:ascii="Arial" w:eastAsiaTheme="minorHAnsi" w:hAnsi="Arial" w:cs="Arial"/>
          <w:bCs/>
          <w:sz w:val="22"/>
          <w:szCs w:val="22"/>
          <w:lang w:val="es-MX" w:eastAsia="es-CO"/>
        </w:rPr>
      </w:pPr>
    </w:p>
    <w:p w14:paraId="5E485CC7" w14:textId="77777777" w:rsidR="008F1F27" w:rsidRPr="0051586B" w:rsidRDefault="008F1F27" w:rsidP="008F1F27">
      <w:pPr>
        <w:spacing w:after="120"/>
        <w:ind w:left="709" w:right="709"/>
        <w:jc w:val="both"/>
        <w:rPr>
          <w:rFonts w:ascii="Arial" w:eastAsiaTheme="minorHAnsi" w:hAnsi="Arial" w:cs="Arial"/>
          <w:bCs/>
          <w:sz w:val="21"/>
          <w:szCs w:val="21"/>
          <w:lang w:val="es-MX" w:eastAsia="es-CO"/>
        </w:rPr>
      </w:pPr>
      <w:r w:rsidRPr="0051586B">
        <w:rPr>
          <w:rFonts w:ascii="Arial" w:eastAsia="Calibri" w:hAnsi="Arial" w:cs="Arial"/>
          <w:sz w:val="21"/>
          <w:szCs w:val="21"/>
          <w:lang w:val="es-ES" w:eastAsia="en-US"/>
        </w:rPr>
        <w:t>«</w:t>
      </w:r>
      <w:r w:rsidRPr="0051586B">
        <w:rPr>
          <w:rFonts w:ascii="Arial" w:eastAsiaTheme="minorHAnsi"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91C1B95" w14:textId="77777777" w:rsidR="008F1F27" w:rsidRPr="0051586B" w:rsidRDefault="008F1F27" w:rsidP="008F1F27">
      <w:pPr>
        <w:ind w:left="709" w:right="709"/>
        <w:jc w:val="both"/>
        <w:rPr>
          <w:rFonts w:ascii="Arial" w:eastAsiaTheme="minorHAnsi" w:hAnsi="Arial" w:cs="Arial"/>
          <w:bCs/>
          <w:sz w:val="21"/>
          <w:szCs w:val="21"/>
          <w:lang w:val="es-MX" w:eastAsia="es-CO"/>
        </w:rPr>
      </w:pPr>
      <w:r w:rsidRPr="0051586B">
        <w:rPr>
          <w:rFonts w:ascii="Arial" w:eastAsiaTheme="minorHAnsi" w:hAnsi="Arial" w:cs="Arial"/>
          <w:bCs/>
          <w:sz w:val="21"/>
          <w:szCs w:val="21"/>
          <w:lang w:val="es-MX" w:eastAsia="es-CO"/>
        </w:rPr>
        <w:t>La jurisprudencia de la Corte Constitucional</w:t>
      </w:r>
      <w:r w:rsidRPr="0051586B">
        <w:rPr>
          <w:rFonts w:ascii="Arial" w:eastAsiaTheme="minorHAnsi" w:hAnsi="Arial" w:cs="Arial"/>
          <w:bCs/>
          <w:sz w:val="21"/>
          <w:szCs w:val="21"/>
          <w:vertAlign w:val="superscript"/>
          <w:lang w:val="es-MX" w:eastAsia="es-CO"/>
        </w:rPr>
        <w:footnoteReference w:id="8"/>
      </w:r>
      <w:r w:rsidRPr="0051586B">
        <w:rPr>
          <w:rFonts w:ascii="Arial" w:eastAsiaTheme="minorHAnsi" w:hAnsi="Arial" w:cs="Arial"/>
          <w:bCs/>
          <w:sz w:val="21"/>
          <w:szCs w:val="21"/>
          <w:lang w:val="es-MX" w:eastAsia="es-CO"/>
        </w:rPr>
        <w:t> y del Consejo de Estado</w:t>
      </w:r>
      <w:r w:rsidRPr="0051586B">
        <w:rPr>
          <w:rFonts w:ascii="Arial" w:eastAsiaTheme="minorHAnsi" w:hAnsi="Arial" w:cs="Arial"/>
          <w:bCs/>
          <w:sz w:val="21"/>
          <w:szCs w:val="21"/>
          <w:vertAlign w:val="superscript"/>
          <w:lang w:val="es-MX" w:eastAsia="es-CO"/>
        </w:rPr>
        <w:footnoteReference w:id="9"/>
      </w:r>
      <w:r w:rsidRPr="0051586B">
        <w:rPr>
          <w:rFonts w:ascii="Arial" w:eastAsiaTheme="minorHAnsi"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1586B">
        <w:rPr>
          <w:rFonts w:ascii="Arial" w:eastAsiaTheme="minorHAnsi" w:hAnsi="Arial" w:cs="Arial"/>
          <w:sz w:val="21"/>
          <w:szCs w:val="21"/>
          <w:lang w:val="es-ES" w:eastAsia="en-US"/>
        </w:rPr>
        <w:t>»</w:t>
      </w:r>
      <w:r w:rsidRPr="0051586B">
        <w:rPr>
          <w:rFonts w:ascii="Arial" w:eastAsiaTheme="minorHAnsi" w:hAnsi="Arial" w:cs="Arial"/>
          <w:bCs/>
          <w:sz w:val="22"/>
          <w:szCs w:val="22"/>
          <w:vertAlign w:val="superscript"/>
          <w:lang w:val="es-MX" w:eastAsia="es-CO"/>
        </w:rPr>
        <w:footnoteReference w:id="10"/>
      </w:r>
    </w:p>
    <w:p w14:paraId="665ADC13" w14:textId="77777777" w:rsidR="008F1F27" w:rsidRPr="0051586B" w:rsidRDefault="008F1F27" w:rsidP="008F1F27">
      <w:pPr>
        <w:spacing w:line="276" w:lineRule="auto"/>
        <w:ind w:right="709"/>
        <w:jc w:val="both"/>
        <w:rPr>
          <w:rFonts w:ascii="Arial" w:eastAsiaTheme="minorHAnsi" w:hAnsi="Arial" w:cs="Arial"/>
          <w:bCs/>
          <w:sz w:val="22"/>
          <w:szCs w:val="22"/>
          <w:lang w:val="es-MX" w:eastAsia="es-CO"/>
        </w:rPr>
      </w:pPr>
    </w:p>
    <w:p w14:paraId="46B9A08A" w14:textId="7DA673B3" w:rsidR="008F1F27" w:rsidRPr="0051586B" w:rsidRDefault="008F1F27" w:rsidP="008F1F27">
      <w:pPr>
        <w:spacing w:after="120" w:line="276" w:lineRule="auto"/>
        <w:jc w:val="both"/>
        <w:rPr>
          <w:rFonts w:ascii="Arial" w:eastAsia="Arial" w:hAnsi="Arial" w:cs="Arial"/>
          <w:sz w:val="22"/>
          <w:szCs w:val="22"/>
          <w:lang w:val="es-ES" w:eastAsia="es-ES" w:bidi="es-ES"/>
        </w:rPr>
      </w:pPr>
      <w:r w:rsidRPr="0051586B">
        <w:rPr>
          <w:rFonts w:ascii="Arial" w:eastAsiaTheme="minorHAnsi" w:hAnsi="Arial" w:cs="Arial"/>
          <w:bCs/>
          <w:sz w:val="22"/>
          <w:szCs w:val="22"/>
          <w:lang w:val="es-MX" w:eastAsia="es-CO"/>
        </w:rPr>
        <w:tab/>
        <w:t>De</w:t>
      </w:r>
      <w:r w:rsidRPr="0051586B">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w:t>
      </w:r>
      <w:r w:rsidR="0089562B">
        <w:rPr>
          <w:rFonts w:ascii="Arial" w:eastAsia="Arial" w:hAnsi="Arial" w:cs="Arial"/>
          <w:sz w:val="22"/>
          <w:szCs w:val="22"/>
          <w:lang w:val="es-ES" w:eastAsia="es-ES" w:bidi="es-ES"/>
        </w:rPr>
        <w:t>n</w:t>
      </w:r>
      <w:r w:rsidRPr="0051586B">
        <w:rPr>
          <w:rFonts w:ascii="Arial" w:eastAsia="Arial" w:hAnsi="Arial" w:cs="Arial"/>
          <w:sz w:val="22"/>
          <w:szCs w:val="22"/>
          <w:lang w:val="es-ES" w:eastAsia="es-ES" w:bidi="es-ES"/>
        </w:rPr>
        <w:t xml:space="preserve"> las condiciones de igualdad entre los candidatos. Específicamente, las restricciones consagradas en la citada ley se dirigen a dos (2) tipos de campañas electorales claramente diferenciadas: las presidenciales y las </w:t>
      </w:r>
      <w:r w:rsidRPr="0051586B">
        <w:rPr>
          <w:rFonts w:ascii="Arial" w:eastAsia="Arial" w:hAnsi="Arial" w:cs="Arial"/>
          <w:sz w:val="22"/>
          <w:szCs w:val="22"/>
          <w:lang w:val="es-ES" w:eastAsia="es-ES" w:bidi="es-ES"/>
        </w:rPr>
        <w:lastRenderedPageBreak/>
        <w:t>demás que se adelanten para la elección de los demás cargos de elección popular, tanto a nivel nacional como a nivel territorial.</w:t>
      </w:r>
    </w:p>
    <w:p w14:paraId="5A50AD97" w14:textId="77777777" w:rsidR="008F1F27" w:rsidRPr="0051586B" w:rsidRDefault="008F1F27" w:rsidP="008F1F27">
      <w:pPr>
        <w:spacing w:after="120" w:line="276" w:lineRule="auto"/>
        <w:ind w:firstLine="708"/>
        <w:jc w:val="both"/>
        <w:rPr>
          <w:rFonts w:ascii="Arial" w:eastAsia="Calibri" w:hAnsi="Arial" w:cs="Arial"/>
          <w:sz w:val="22"/>
          <w:szCs w:val="22"/>
          <w:lang w:eastAsia="en-US"/>
        </w:rPr>
      </w:pPr>
      <w:r w:rsidRPr="0051586B">
        <w:rPr>
          <w:rFonts w:ascii="Arial" w:eastAsia="Calibri" w:hAnsi="Arial" w:cs="Arial"/>
          <w:sz w:val="22"/>
          <w:szCs w:val="22"/>
          <w:lang w:eastAsia="en-US"/>
        </w:rPr>
        <w:t xml:space="preserve">Por un lado, el artículo 33 de la Ley 996 de 2005 prohíbe </w:t>
      </w:r>
      <w:r w:rsidRPr="0051586B">
        <w:rPr>
          <w:rFonts w:ascii="Arial" w:eastAsia="Calibri" w:hAnsi="Arial" w:cs="Arial"/>
          <w:bCs/>
          <w:sz w:val="22"/>
          <w:szCs w:val="22"/>
          <w:lang w:eastAsia="en-US"/>
        </w:rPr>
        <w:t xml:space="preserve">«[…] </w:t>
      </w:r>
      <w:r w:rsidRPr="0051586B">
        <w:rPr>
          <w:rFonts w:ascii="Arial" w:eastAsia="Calibri" w:hAnsi="Arial" w:cs="Arial"/>
          <w:sz w:val="22"/>
          <w:szCs w:val="22"/>
          <w:lang w:eastAsia="en-US"/>
        </w:rPr>
        <w:t>la contratación directa por parte de todos los entes del Estado</w:t>
      </w:r>
      <w:r w:rsidRPr="0051586B">
        <w:rPr>
          <w:rFonts w:ascii="Arial" w:eastAsia="Calibri" w:hAnsi="Arial" w:cs="Arial"/>
          <w:bCs/>
          <w:sz w:val="22"/>
          <w:szCs w:val="22"/>
          <w:lang w:eastAsia="en-US"/>
        </w:rPr>
        <w:t>»</w:t>
      </w:r>
      <w:r w:rsidRPr="0051586B">
        <w:rPr>
          <w:rFonts w:ascii="Arial" w:eastAsia="Calibri" w:hAnsi="Arial" w:cs="Arial"/>
          <w:sz w:val="22"/>
          <w:szCs w:val="22"/>
          <w:lang w:eastAsia="en-US"/>
        </w:rPr>
        <w:t xml:space="preserve"> durante los cuatro (4) meses anteriores a las elecciones presidenciales, salvo </w:t>
      </w:r>
      <w:r w:rsidRPr="0051586B">
        <w:rPr>
          <w:rFonts w:ascii="Arial" w:eastAsia="Calibri" w:hAnsi="Arial" w:cs="Arial"/>
          <w:bCs/>
          <w:sz w:val="22"/>
          <w:szCs w:val="22"/>
          <w:lang w:eastAsia="en-US"/>
        </w:rPr>
        <w:t xml:space="preserve">«[…] </w:t>
      </w:r>
      <w:r w:rsidRPr="0051586B">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1586B">
        <w:rPr>
          <w:rFonts w:ascii="Arial" w:eastAsia="Calibri" w:hAnsi="Arial" w:cs="Arial"/>
          <w:bCs/>
          <w:sz w:val="22"/>
          <w:szCs w:val="22"/>
          <w:lang w:eastAsia="en-US"/>
        </w:rPr>
        <w:t>»</w:t>
      </w:r>
      <w:r w:rsidRPr="0051586B">
        <w:rPr>
          <w:rFonts w:ascii="Arial" w:eastAsia="Calibri" w:hAnsi="Arial" w:cs="Arial"/>
          <w:bCs/>
          <w:sz w:val="22"/>
          <w:szCs w:val="22"/>
          <w:vertAlign w:val="superscript"/>
          <w:lang w:eastAsia="en-US"/>
        </w:rPr>
        <w:footnoteReference w:id="11"/>
      </w:r>
      <w:r w:rsidRPr="0051586B">
        <w:rPr>
          <w:rFonts w:ascii="Arial" w:eastAsia="Calibri" w:hAnsi="Arial" w:cs="Arial"/>
          <w:sz w:val="22"/>
          <w:szCs w:val="22"/>
          <w:lang w:eastAsia="en-US"/>
        </w:rPr>
        <w:t>.</w:t>
      </w:r>
    </w:p>
    <w:p w14:paraId="6420636D" w14:textId="77777777" w:rsidR="008F1F27" w:rsidRPr="0051586B" w:rsidRDefault="008F1F27" w:rsidP="008F1F27">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51586B">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1586B">
        <w:rPr>
          <w:rFonts w:ascii="Arial" w:eastAsia="Calibri" w:hAnsi="Arial" w:cs="Arial"/>
          <w:bCs/>
          <w:sz w:val="22"/>
          <w:szCs w:val="22"/>
          <w:lang w:eastAsia="en-US"/>
        </w:rPr>
        <w:t xml:space="preserve">«[…] </w:t>
      </w:r>
      <w:r w:rsidRPr="0051586B">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1586B">
        <w:rPr>
          <w:rFonts w:ascii="Arial" w:eastAsia="Calibri" w:hAnsi="Arial" w:cs="Arial"/>
          <w:bCs/>
          <w:sz w:val="19"/>
          <w:szCs w:val="19"/>
          <w:lang w:eastAsia="en-US"/>
        </w:rPr>
        <w:t>»</w:t>
      </w:r>
      <w:r w:rsidRPr="0051586B">
        <w:rPr>
          <w:rFonts w:ascii="Arial" w:eastAsia="Calibri" w:hAnsi="Arial" w:cs="Arial"/>
          <w:bCs/>
          <w:sz w:val="19"/>
          <w:szCs w:val="19"/>
          <w:vertAlign w:val="superscript"/>
          <w:lang w:eastAsia="en-US"/>
        </w:rPr>
        <w:footnoteReference w:id="12"/>
      </w:r>
      <w:r w:rsidRPr="0051586B">
        <w:rPr>
          <w:rFonts w:ascii="Arial" w:eastAsia="Calibri" w:hAnsi="Arial" w:cs="Arial"/>
          <w:sz w:val="22"/>
          <w:szCs w:val="22"/>
          <w:lang w:val="es-MX" w:eastAsia="en-US"/>
        </w:rPr>
        <w:t>.</w:t>
      </w:r>
      <w:r w:rsidRPr="0051586B">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49934A2D" w14:textId="77777777" w:rsidR="008F1F27" w:rsidRPr="0051586B" w:rsidRDefault="008F1F27" w:rsidP="008F1F27">
      <w:pPr>
        <w:widowControl w:val="0"/>
        <w:autoSpaceDE w:val="0"/>
        <w:autoSpaceDN w:val="0"/>
        <w:ind w:left="805" w:right="812"/>
        <w:jc w:val="both"/>
        <w:rPr>
          <w:rFonts w:ascii="Arial" w:eastAsia="Arial" w:hAnsi="Arial" w:cs="Arial"/>
          <w:sz w:val="22"/>
          <w:szCs w:val="22"/>
          <w:lang w:val="es-ES" w:eastAsia="es-ES" w:bidi="es-ES"/>
        </w:rPr>
      </w:pPr>
    </w:p>
    <w:p w14:paraId="32918AAC" w14:textId="098A7E20" w:rsidR="008F1F27" w:rsidRPr="0051586B" w:rsidRDefault="008F1F27" w:rsidP="008F1F27">
      <w:pPr>
        <w:widowControl w:val="0"/>
        <w:autoSpaceDE w:val="0"/>
        <w:autoSpaceDN w:val="0"/>
        <w:ind w:left="709" w:right="709"/>
        <w:jc w:val="both"/>
        <w:rPr>
          <w:rFonts w:ascii="Arial" w:eastAsia="Arial" w:hAnsi="Arial" w:cs="Arial"/>
          <w:sz w:val="21"/>
          <w:szCs w:val="21"/>
          <w:lang w:val="es-ES" w:eastAsia="es-ES" w:bidi="es-ES"/>
        </w:rPr>
      </w:pPr>
      <w:r w:rsidRPr="0051586B">
        <w:rPr>
          <w:rFonts w:ascii="Arial" w:eastAsia="Calibri" w:hAnsi="Arial" w:cs="Arial"/>
          <w:sz w:val="21"/>
          <w:szCs w:val="21"/>
          <w:lang w:val="es-ES" w:eastAsia="en-US"/>
        </w:rPr>
        <w:t>«</w:t>
      </w:r>
      <w:r w:rsidRPr="0051586B">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w:t>
      </w:r>
      <w:r w:rsidRPr="0051586B">
        <w:rPr>
          <w:rFonts w:ascii="Arial" w:eastAsia="Arial" w:hAnsi="Arial" w:cs="Arial"/>
          <w:sz w:val="21"/>
          <w:szCs w:val="21"/>
          <w:lang w:val="es-ES" w:eastAsia="es-ES" w:bidi="es-ES"/>
        </w:rPr>
        <w:lastRenderedPageBreak/>
        <w:t xml:space="preserve">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1586B">
        <w:rPr>
          <w:rFonts w:ascii="Arial" w:eastAsia="Arial" w:hAnsi="Arial" w:cs="Arial"/>
          <w:bCs/>
          <w:sz w:val="21"/>
          <w:szCs w:val="21"/>
          <w:lang w:val="es-ES" w:eastAsia="es-ES" w:bidi="es-ES"/>
        </w:rPr>
        <w:t xml:space="preserve">En cambio, para elecciones en general, excluyendo las correspondientes a </w:t>
      </w:r>
      <w:proofErr w:type="gramStart"/>
      <w:r w:rsidRPr="0051586B">
        <w:rPr>
          <w:rFonts w:ascii="Arial" w:eastAsia="Arial" w:hAnsi="Arial" w:cs="Arial"/>
          <w:bCs/>
          <w:sz w:val="21"/>
          <w:szCs w:val="21"/>
          <w:lang w:val="es-ES" w:eastAsia="es-ES" w:bidi="es-ES"/>
        </w:rPr>
        <w:t>Presidente</w:t>
      </w:r>
      <w:proofErr w:type="gramEnd"/>
      <w:r w:rsidRPr="0051586B">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51586B">
        <w:rPr>
          <w:rFonts w:ascii="Arial" w:eastAsiaTheme="minorHAnsi" w:hAnsi="Arial" w:cs="Arial"/>
          <w:sz w:val="21"/>
          <w:szCs w:val="21"/>
          <w:lang w:val="es-ES" w:eastAsia="en-US"/>
        </w:rPr>
        <w:t>»</w:t>
      </w:r>
      <w:r w:rsidR="00F14E18">
        <w:rPr>
          <w:rFonts w:ascii="Arial" w:eastAsiaTheme="minorHAnsi" w:hAnsi="Arial" w:cs="Arial"/>
          <w:sz w:val="21"/>
          <w:szCs w:val="21"/>
          <w:lang w:val="es-ES" w:eastAsia="en-US"/>
        </w:rPr>
        <w:t>.</w:t>
      </w:r>
      <w:r w:rsidRPr="0051586B">
        <w:rPr>
          <w:rFonts w:ascii="Arial" w:eastAsia="Arial" w:hAnsi="Arial" w:cs="Arial"/>
          <w:sz w:val="21"/>
          <w:szCs w:val="21"/>
          <w:vertAlign w:val="superscript"/>
          <w:lang w:val="es-ES" w:eastAsia="es-ES" w:bidi="es-ES"/>
        </w:rPr>
        <w:footnoteReference w:id="13"/>
      </w:r>
    </w:p>
    <w:p w14:paraId="1481B8A9" w14:textId="77777777" w:rsidR="008F1F27" w:rsidRPr="0051586B" w:rsidRDefault="008F1F27" w:rsidP="008F1F27">
      <w:pPr>
        <w:widowControl w:val="0"/>
        <w:autoSpaceDE w:val="0"/>
        <w:autoSpaceDN w:val="0"/>
        <w:spacing w:before="8"/>
        <w:rPr>
          <w:rFonts w:ascii="Arial" w:eastAsia="Arial" w:hAnsi="Arial" w:cs="Arial"/>
          <w:sz w:val="26"/>
          <w:szCs w:val="22"/>
          <w:lang w:val="es-ES" w:eastAsia="es-ES" w:bidi="es-ES"/>
        </w:rPr>
      </w:pPr>
    </w:p>
    <w:p w14:paraId="4F95EC82" w14:textId="21153B5D" w:rsidR="008F1F27" w:rsidRPr="0051586B" w:rsidRDefault="008F1F27" w:rsidP="008F1F27">
      <w:pPr>
        <w:spacing w:after="120" w:line="276" w:lineRule="auto"/>
        <w:ind w:firstLine="709"/>
        <w:jc w:val="both"/>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 xml:space="preserve">De conformidad con lo anterior, la Ley 996 de 2005 establece dos (2) tipos de restricciones en materia de contratación, las cuales coinciden parcialmente. </w:t>
      </w:r>
      <w:r w:rsidRPr="0051586B">
        <w:rPr>
          <w:rFonts w:ascii="Arial" w:eastAsia="Arial" w:hAnsi="Arial" w:cs="Arial"/>
          <w:i/>
          <w:iCs/>
          <w:sz w:val="22"/>
          <w:szCs w:val="22"/>
          <w:lang w:val="es-ES" w:eastAsia="es-ES" w:bidi="es-ES"/>
        </w:rPr>
        <w:t>En primer lugar</w:t>
      </w:r>
      <w:r w:rsidRPr="0051586B">
        <w:rPr>
          <w:rFonts w:ascii="Arial" w:eastAsia="Arial" w:hAnsi="Arial" w:cs="Arial"/>
          <w:sz w:val="22"/>
          <w:szCs w:val="22"/>
          <w:lang w:val="es-ES" w:eastAsia="es-ES" w:bidi="es-ES"/>
        </w:rPr>
        <w:t>,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w:t>
      </w:r>
      <w:r w:rsidR="00242093">
        <w:rPr>
          <w:rFonts w:ascii="Arial" w:eastAsia="Arial" w:hAnsi="Arial" w:cs="Arial"/>
          <w:sz w:val="22"/>
          <w:szCs w:val="22"/>
          <w:lang w:val="es-ES" w:eastAsia="es-ES" w:bidi="es-ES"/>
        </w:rPr>
        <w:t>o</w:t>
      </w:r>
      <w:r w:rsidRPr="0051586B">
        <w:rPr>
          <w:rFonts w:ascii="Arial" w:eastAsia="Arial" w:hAnsi="Arial" w:cs="Arial"/>
          <w:sz w:val="22"/>
          <w:szCs w:val="22"/>
          <w:lang w:val="es-ES" w:eastAsia="es-ES" w:bidi="es-ES"/>
        </w:rPr>
        <w:t xml:space="preserve">lo participarán los dos candidatos que hubieren obtenido las votaciones más altas, de conformidad con el artículo 190 de la Constitución Política. Para estos efectos, la restricción se extenderá hasta la fecha en la que se realice la segunda vuelta. </w:t>
      </w:r>
      <w:r w:rsidRPr="0051586B">
        <w:rPr>
          <w:rFonts w:ascii="Arial" w:eastAsia="Arial" w:hAnsi="Arial" w:cs="Arial"/>
          <w:i/>
          <w:iCs/>
          <w:sz w:val="22"/>
          <w:szCs w:val="22"/>
          <w:lang w:val="es-ES" w:eastAsia="es-ES" w:bidi="es-ES"/>
        </w:rPr>
        <w:t>En segundo lugar</w:t>
      </w:r>
      <w:r w:rsidRPr="0051586B">
        <w:rPr>
          <w:rFonts w:ascii="Arial" w:eastAsia="Arial" w:hAnsi="Arial" w:cs="Arial"/>
          <w:sz w:val="22"/>
          <w:szCs w:val="22"/>
          <w:lang w:val="es-ES" w:eastAsia="es-ES" w:bidi="es-ES"/>
        </w:rPr>
        <w:t>, también se encuentra la prohibición del parágrafo del artículo 38, el cual debe aplicarse respecto de cualquier tipo de contienda electoral</w:t>
      </w:r>
      <w:r w:rsidR="00242093">
        <w:rPr>
          <w:rFonts w:ascii="Arial" w:eastAsia="Arial" w:hAnsi="Arial" w:cs="Arial"/>
          <w:sz w:val="22"/>
          <w:szCs w:val="22"/>
          <w:lang w:val="es-ES" w:eastAsia="es-ES" w:bidi="es-ES"/>
        </w:rPr>
        <w:t xml:space="preserve"> –incluidas las presidenciales–</w:t>
      </w:r>
      <w:r w:rsidRPr="0051586B">
        <w:rPr>
          <w:rFonts w:ascii="Arial" w:eastAsia="Arial" w:hAnsi="Arial" w:cs="Arial"/>
          <w:sz w:val="22"/>
          <w:szCs w:val="22"/>
          <w:lang w:val="es-ES" w:eastAsia="es-ES" w:bidi="es-ES"/>
        </w:rPr>
        <w:t xml:space="preserve">, y que prohíbe la celebración de convenios interadministrativos que impliquen la ejecución de recursos públicos dentro de los cuatro (4) meses anteriores a la respectiva jornada de votaciones. </w:t>
      </w:r>
    </w:p>
    <w:p w14:paraId="459F0B25" w14:textId="469318EE" w:rsidR="008F1F27" w:rsidRPr="0051586B" w:rsidRDefault="008F1F27" w:rsidP="008F1F27">
      <w:pPr>
        <w:spacing w:after="120" w:line="276" w:lineRule="auto"/>
        <w:ind w:firstLine="709"/>
        <w:jc w:val="both"/>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51586B">
        <w:rPr>
          <w:rFonts w:ascii="Arial" w:eastAsia="Arial" w:hAnsi="Arial" w:cs="Arial"/>
          <w:sz w:val="22"/>
          <w:szCs w:val="22"/>
          <w:lang w:val="es-ES" w:eastAsia="es-ES" w:bidi="es-ES"/>
        </w:rPr>
        <w:t>Presidente</w:t>
      </w:r>
      <w:proofErr w:type="gramEnd"/>
      <w:r w:rsidRPr="0051586B">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51586B">
        <w:rPr>
          <w:rFonts w:ascii="Arial" w:eastAsia="Arial" w:hAnsi="Arial" w:cs="Arial"/>
          <w:sz w:val="22"/>
          <w:szCs w:val="22"/>
          <w:lang w:val="es-ES" w:eastAsia="es-ES" w:bidi="es-ES"/>
        </w:rPr>
        <w:t>Presidente</w:t>
      </w:r>
      <w:proofErr w:type="gramEnd"/>
      <w:r w:rsidRPr="0051586B">
        <w:rPr>
          <w:rFonts w:ascii="Arial" w:eastAsia="Arial" w:hAnsi="Arial" w:cs="Arial"/>
          <w:sz w:val="22"/>
          <w:szCs w:val="22"/>
          <w:lang w:val="es-ES" w:eastAsia="es-ES" w:bidi="es-ES"/>
        </w:rPr>
        <w:t xml:space="preserve"> de la República, las autoridades allí mencionadas s</w:t>
      </w:r>
      <w:r w:rsidR="00242093">
        <w:rPr>
          <w:rFonts w:ascii="Arial" w:eastAsia="Arial" w:hAnsi="Arial" w:cs="Arial"/>
          <w:sz w:val="22"/>
          <w:szCs w:val="22"/>
          <w:lang w:val="es-ES" w:eastAsia="es-ES" w:bidi="es-ES"/>
        </w:rPr>
        <w:t>o</w:t>
      </w:r>
      <w:r w:rsidRPr="0051586B">
        <w:rPr>
          <w:rFonts w:ascii="Arial" w:eastAsia="Arial" w:hAnsi="Arial" w:cs="Arial"/>
          <w:sz w:val="22"/>
          <w:szCs w:val="22"/>
          <w:lang w:val="es-ES" w:eastAsia="es-ES" w:bidi="es-ES"/>
        </w:rPr>
        <w:t>lo deben aplicar las restricciones contenidas en el parágrafo del artículo 38.</w:t>
      </w:r>
    </w:p>
    <w:p w14:paraId="017B7512" w14:textId="77777777" w:rsidR="008F1F27" w:rsidRPr="0051586B" w:rsidRDefault="008F1F27" w:rsidP="008F1F27">
      <w:pPr>
        <w:spacing w:before="120" w:after="120" w:line="276" w:lineRule="auto"/>
        <w:ind w:firstLine="709"/>
        <w:jc w:val="both"/>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51586B">
        <w:rPr>
          <w:rFonts w:ascii="Arial" w:eastAsia="Arial" w:hAnsi="Arial" w:cs="Arial"/>
          <w:sz w:val="22"/>
          <w:szCs w:val="22"/>
          <w:lang w:val="es-ES" w:eastAsia="es-ES" w:bidi="es-ES"/>
        </w:rPr>
        <w:t>Presidente</w:t>
      </w:r>
      <w:proofErr w:type="gramEnd"/>
      <w:r w:rsidRPr="0051586B">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w:t>
      </w:r>
      <w:r w:rsidRPr="0051586B">
        <w:rPr>
          <w:rFonts w:ascii="Arial" w:eastAsia="Arial" w:hAnsi="Arial" w:cs="Arial"/>
          <w:sz w:val="22"/>
          <w:szCs w:val="22"/>
          <w:lang w:val="es-ES" w:eastAsia="es-ES" w:bidi="es-ES"/>
        </w:rPr>
        <w:lastRenderedPageBreak/>
        <w:t xml:space="preserve">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846D2DB" w14:textId="77777777" w:rsidR="008F1F27" w:rsidRPr="0051586B" w:rsidRDefault="008F1F27" w:rsidP="008F1F27">
      <w:pPr>
        <w:spacing w:before="120" w:after="120" w:line="276" w:lineRule="auto"/>
        <w:ind w:firstLine="709"/>
        <w:jc w:val="both"/>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Por último, es importante resaltar que el artículo 124 de la Ley 2159 de 2021, desde su expedición y durante la vigencia fiscal 2022, con el propósito de promover la reactivación económica y la generación de empleo en las regiones, introdujo una excepción parcial y temporal a la prohibición contenida en el inciso 1 del parágrafo del artículo 38 de la Ley 966 de 2005. En efecto, la citada disposición establece:</w:t>
      </w:r>
    </w:p>
    <w:p w14:paraId="501418EA" w14:textId="77777777" w:rsidR="008F1F27" w:rsidRPr="0051586B" w:rsidRDefault="008F1F27" w:rsidP="008F1F27">
      <w:pPr>
        <w:ind w:left="709" w:right="902"/>
        <w:jc w:val="both"/>
        <w:rPr>
          <w:rFonts w:ascii="Arial" w:eastAsia="Arial" w:hAnsi="Arial" w:cs="Arial"/>
          <w:sz w:val="21"/>
          <w:szCs w:val="21"/>
          <w:lang w:val="es-ES" w:eastAsia="es-ES" w:bidi="es-ES"/>
        </w:rPr>
      </w:pPr>
      <w:r w:rsidRPr="0051586B">
        <w:rPr>
          <w:rFonts w:ascii="Arial" w:eastAsia="Calibri" w:hAnsi="Arial" w:cs="Arial"/>
          <w:sz w:val="21"/>
          <w:szCs w:val="21"/>
          <w:lang w:val="es-ES" w:eastAsia="en-US"/>
        </w:rPr>
        <w:t>«</w:t>
      </w:r>
      <w:r w:rsidRPr="0051586B">
        <w:rPr>
          <w:rFonts w:ascii="Arial" w:eastAsia="Arial" w:hAnsi="Arial" w:cs="Arial"/>
          <w:sz w:val="21"/>
          <w:szCs w:val="21"/>
          <w:lang w:val="es-ES" w:eastAsia="es-ES" w:bidi="es-ES"/>
        </w:rPr>
        <w:t>Artículo 124.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2E0CAA0B" w14:textId="77777777" w:rsidR="008F1F27" w:rsidRPr="0051586B" w:rsidRDefault="008F1F27" w:rsidP="008F1F27">
      <w:pPr>
        <w:ind w:left="709" w:right="902"/>
        <w:jc w:val="both"/>
        <w:rPr>
          <w:rFonts w:ascii="Arial" w:eastAsia="Arial" w:hAnsi="Arial" w:cs="Arial"/>
          <w:sz w:val="21"/>
          <w:szCs w:val="21"/>
          <w:lang w:val="es-ES" w:eastAsia="es-ES" w:bidi="es-ES"/>
        </w:rPr>
      </w:pPr>
    </w:p>
    <w:p w14:paraId="36E42417" w14:textId="77777777" w:rsidR="008F1F27" w:rsidRPr="0051586B" w:rsidRDefault="008F1F27" w:rsidP="008F1F27">
      <w:pPr>
        <w:ind w:left="709" w:right="902"/>
        <w:jc w:val="both"/>
        <w:rPr>
          <w:rFonts w:ascii="Arial" w:eastAsia="Arial" w:hAnsi="Arial" w:cs="Arial"/>
          <w:sz w:val="21"/>
          <w:szCs w:val="21"/>
          <w:lang w:val="es-ES" w:eastAsia="es-ES" w:bidi="es-ES"/>
        </w:rPr>
      </w:pPr>
      <w:r w:rsidRPr="0051586B">
        <w:rPr>
          <w:rFonts w:ascii="Arial" w:eastAsia="Arial" w:hAnsi="Arial" w:cs="Arial"/>
          <w:sz w:val="21"/>
          <w:szCs w:val="21"/>
          <w:lang w:val="es-ES" w:eastAsia="es-ES" w:bidi="es-ES"/>
        </w:rPr>
        <w:t>La presente disposición modifica únicamente en la parte pertinente el inciso primero del parágrafo del artículo 38 de la Ley 996 de 2005.</w:t>
      </w:r>
    </w:p>
    <w:p w14:paraId="694953C1" w14:textId="77777777" w:rsidR="008F1F27" w:rsidRPr="0051586B" w:rsidRDefault="008F1F27" w:rsidP="008F1F27">
      <w:pPr>
        <w:ind w:left="709" w:right="902"/>
        <w:jc w:val="both"/>
        <w:rPr>
          <w:rFonts w:ascii="Arial" w:eastAsia="Arial" w:hAnsi="Arial" w:cs="Arial"/>
          <w:sz w:val="21"/>
          <w:szCs w:val="21"/>
          <w:lang w:val="es-ES" w:eastAsia="es-ES" w:bidi="es-ES"/>
        </w:rPr>
      </w:pPr>
    </w:p>
    <w:p w14:paraId="3D1F054E" w14:textId="77777777" w:rsidR="008F1F27" w:rsidRPr="0051586B" w:rsidRDefault="008F1F27" w:rsidP="008F1F27">
      <w:pPr>
        <w:ind w:left="709" w:right="902"/>
        <w:jc w:val="both"/>
        <w:rPr>
          <w:rFonts w:ascii="Arial" w:eastAsia="Arial" w:hAnsi="Arial" w:cs="Arial"/>
          <w:sz w:val="21"/>
          <w:szCs w:val="21"/>
          <w:lang w:val="es-ES" w:eastAsia="es-ES" w:bidi="es-ES"/>
        </w:rPr>
      </w:pPr>
      <w:r w:rsidRPr="0051586B">
        <w:rPr>
          <w:rFonts w:ascii="Arial" w:eastAsia="Arial" w:hAnsi="Arial" w:cs="Arial"/>
          <w:sz w:val="21"/>
          <w:szCs w:val="21"/>
          <w:lang w:val="es-ES" w:eastAsia="es-ES" w:bidi="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51586B">
        <w:rPr>
          <w:rFonts w:ascii="Arial" w:eastAsiaTheme="minorHAnsi" w:hAnsi="Arial" w:cs="Arial"/>
          <w:sz w:val="21"/>
          <w:szCs w:val="21"/>
          <w:lang w:val="es-ES" w:eastAsia="en-US"/>
        </w:rPr>
        <w:t>»</w:t>
      </w:r>
    </w:p>
    <w:p w14:paraId="6A1B5448" w14:textId="77777777" w:rsidR="008F1F27" w:rsidRPr="0051586B" w:rsidRDefault="008F1F27" w:rsidP="008F1F27">
      <w:pPr>
        <w:spacing w:before="120" w:line="276" w:lineRule="auto"/>
        <w:jc w:val="both"/>
        <w:rPr>
          <w:rFonts w:ascii="Arial" w:eastAsia="Arial" w:hAnsi="Arial" w:cs="Arial"/>
          <w:sz w:val="22"/>
          <w:szCs w:val="22"/>
          <w:lang w:val="es-ES" w:eastAsia="es-ES" w:bidi="es-ES"/>
        </w:rPr>
      </w:pPr>
      <w:r w:rsidRPr="0051586B">
        <w:rPr>
          <w:rFonts w:ascii="Arial" w:eastAsia="Arial" w:hAnsi="Arial" w:cs="Arial"/>
          <w:sz w:val="22"/>
          <w:szCs w:val="22"/>
          <w:lang w:val="es-ES" w:eastAsia="es-ES" w:bidi="es-ES"/>
        </w:rPr>
        <w:t>De este modo, desde la expedición de la citada ley y durante la vigencia fiscal 2022, se estableció una excepción parcial a la prohibición establecida en el inciso primero del parágrafo del artículo 38 de la Ley 996 de 2005, consistente en que la Nación podrá celebrar convenios interadministrativos con las entidades territoriales para ejecutar programas y proyectos correspondientes al Presupuesto General de la Nación. No obstante, la excepción solo opera cuando se cumplan dichos elementos, de manera que en principio se mantiene la prohibición general con esta excepción concreta.</w:t>
      </w:r>
    </w:p>
    <w:p w14:paraId="357D2AEB" w14:textId="77777777" w:rsidR="008F1F27" w:rsidRPr="0051586B" w:rsidRDefault="008F1F27" w:rsidP="008F1F27">
      <w:pPr>
        <w:spacing w:line="276" w:lineRule="auto"/>
        <w:jc w:val="both"/>
        <w:rPr>
          <w:rFonts w:ascii="Arial" w:eastAsia="Arial" w:hAnsi="Arial" w:cs="Arial"/>
          <w:sz w:val="22"/>
          <w:szCs w:val="22"/>
          <w:lang w:val="es-ES" w:eastAsia="es-ES" w:bidi="es-ES"/>
        </w:rPr>
      </w:pPr>
    </w:p>
    <w:p w14:paraId="1DE44E44" w14:textId="14303A81" w:rsidR="008F1F27" w:rsidRPr="0051586B" w:rsidRDefault="008F1F27" w:rsidP="008F1F27">
      <w:pPr>
        <w:spacing w:line="276" w:lineRule="auto"/>
        <w:contextualSpacing/>
        <w:jc w:val="both"/>
        <w:rPr>
          <w:rFonts w:ascii="Arial" w:eastAsiaTheme="minorHAnsi" w:hAnsi="Arial" w:cs="Arial"/>
          <w:b/>
          <w:sz w:val="22"/>
          <w:szCs w:val="22"/>
          <w:lang w:val="es-ES" w:eastAsia="es-CO"/>
        </w:rPr>
      </w:pPr>
      <w:r>
        <w:rPr>
          <w:rFonts w:ascii="Arial" w:eastAsiaTheme="minorHAnsi" w:hAnsi="Arial" w:cs="Arial"/>
          <w:b/>
          <w:color w:val="000000" w:themeColor="text1"/>
          <w:sz w:val="22"/>
          <w:lang w:eastAsia="en-US"/>
        </w:rPr>
        <w:t>2.</w:t>
      </w:r>
      <w:r w:rsidR="00D7626A">
        <w:rPr>
          <w:rFonts w:ascii="Arial" w:eastAsiaTheme="minorHAnsi" w:hAnsi="Arial" w:cs="Arial"/>
          <w:b/>
          <w:color w:val="000000" w:themeColor="text1"/>
          <w:sz w:val="22"/>
          <w:lang w:eastAsia="en-US"/>
        </w:rPr>
        <w:t>3</w:t>
      </w:r>
      <w:r>
        <w:rPr>
          <w:rFonts w:ascii="Arial" w:eastAsiaTheme="minorHAnsi" w:hAnsi="Arial" w:cs="Arial"/>
          <w:b/>
          <w:color w:val="000000" w:themeColor="text1"/>
          <w:sz w:val="22"/>
          <w:lang w:eastAsia="en-US"/>
        </w:rPr>
        <w:t xml:space="preserve">. </w:t>
      </w:r>
      <w:r w:rsidRPr="0051586B">
        <w:rPr>
          <w:rFonts w:ascii="Arial" w:eastAsiaTheme="minorHAnsi" w:hAnsi="Arial" w:cs="Arial"/>
          <w:b/>
          <w:color w:val="000000" w:themeColor="text1"/>
          <w:sz w:val="22"/>
          <w:lang w:eastAsia="en-US"/>
        </w:rPr>
        <w:t>Restricciones para la suscripción de contratos de forma directa por parte de los entes del Estado –artículo 33 de la Ley 996 de 2005–</w:t>
      </w:r>
      <w:r w:rsidRPr="0051586B">
        <w:rPr>
          <w:rFonts w:ascii="Arial" w:eastAsiaTheme="minorHAnsi" w:hAnsi="Arial" w:cs="Arial"/>
          <w:b/>
          <w:bCs/>
          <w:sz w:val="22"/>
          <w:szCs w:val="22"/>
          <w:lang w:val="es-MX" w:eastAsia="es-CO"/>
        </w:rPr>
        <w:t xml:space="preserve"> </w:t>
      </w:r>
    </w:p>
    <w:p w14:paraId="5A9B58D3" w14:textId="77777777" w:rsidR="008F1F27" w:rsidRPr="0051586B" w:rsidRDefault="008F1F27" w:rsidP="008F1F27">
      <w:pPr>
        <w:spacing w:line="276" w:lineRule="auto"/>
        <w:jc w:val="both"/>
        <w:rPr>
          <w:rFonts w:ascii="Arial" w:eastAsiaTheme="minorHAnsi" w:hAnsi="Arial" w:cs="Arial"/>
          <w:bCs/>
          <w:sz w:val="22"/>
          <w:szCs w:val="22"/>
          <w:lang w:val="es-MX" w:eastAsia="x-none"/>
        </w:rPr>
      </w:pPr>
    </w:p>
    <w:p w14:paraId="14AB737E" w14:textId="77777777" w:rsidR="008F1F27" w:rsidRPr="0051586B" w:rsidRDefault="008F1F27" w:rsidP="008F1F27">
      <w:pPr>
        <w:spacing w:line="276" w:lineRule="auto"/>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x-none"/>
        </w:rPr>
        <w:t xml:space="preserve">El ámbito material de la prohibición contenida en el artículo 33 de la ley 996 de 2005 está delimitado por la expresión </w:t>
      </w:r>
      <w:r w:rsidRPr="0051586B">
        <w:rPr>
          <w:rFonts w:ascii="Arial" w:eastAsia="Calibri" w:hAnsi="Arial" w:cs="Arial"/>
          <w:bCs/>
          <w:sz w:val="20"/>
          <w:szCs w:val="20"/>
          <w:lang w:val="es-MX" w:eastAsia="en-US"/>
        </w:rPr>
        <w:t>«</w:t>
      </w:r>
      <w:r w:rsidRPr="0051586B">
        <w:rPr>
          <w:rFonts w:ascii="Arial" w:eastAsiaTheme="minorHAnsi" w:hAnsi="Arial" w:cs="Arial"/>
          <w:bCs/>
          <w:sz w:val="22"/>
          <w:szCs w:val="22"/>
          <w:lang w:val="es-MX" w:eastAsia="x-none"/>
        </w:rPr>
        <w:t>queda prohibida la contratación directa</w:t>
      </w:r>
      <w:r w:rsidRPr="0051586B">
        <w:rPr>
          <w:rFonts w:ascii="Arial" w:eastAsiaTheme="minorHAnsi" w:hAnsi="Arial" w:cs="Arial"/>
          <w:sz w:val="20"/>
          <w:szCs w:val="20"/>
          <w:lang w:val="es-MX" w:eastAsia="en-US"/>
        </w:rPr>
        <w:t>»</w:t>
      </w:r>
      <w:r w:rsidRPr="0051586B">
        <w:rPr>
          <w:rFonts w:ascii="Arial" w:eastAsiaTheme="minorHAnsi" w:hAnsi="Arial" w:cs="Arial"/>
          <w:bCs/>
          <w:sz w:val="22"/>
          <w:szCs w:val="22"/>
          <w:lang w:val="es-MX" w:eastAsia="x-none"/>
        </w:rPr>
        <w:t xml:space="preserve">. </w:t>
      </w:r>
      <w:r w:rsidRPr="0051586B">
        <w:rPr>
          <w:rFonts w:ascii="Arial" w:eastAsiaTheme="minorHAnsi" w:hAnsi="Arial" w:cs="Arial"/>
          <w:sz w:val="22"/>
          <w:szCs w:val="22"/>
          <w:lang w:val="es-MX" w:eastAsia="es-CO"/>
        </w:rPr>
        <w:t xml:space="preserve"> A propósito de </w:t>
      </w:r>
      <w:r w:rsidRPr="0051586B">
        <w:rPr>
          <w:rFonts w:ascii="Arial" w:eastAsiaTheme="minorHAnsi" w:hAnsi="Arial" w:cs="Arial"/>
          <w:sz w:val="22"/>
          <w:szCs w:val="22"/>
          <w:lang w:eastAsia="es-CO"/>
        </w:rPr>
        <w:t>esta restricción de la Ley de Garantías Electorales, la Sala de Consulta y Servicio Civil del Consejo de Estado ha considerado que:</w:t>
      </w:r>
    </w:p>
    <w:p w14:paraId="107A5E47" w14:textId="77777777" w:rsidR="008F1F27" w:rsidRPr="0051586B" w:rsidRDefault="008F1F27" w:rsidP="008F1F27">
      <w:pPr>
        <w:ind w:left="708" w:right="709"/>
        <w:jc w:val="both"/>
        <w:rPr>
          <w:rFonts w:ascii="Arial" w:eastAsiaTheme="minorHAnsi" w:hAnsi="Arial" w:cs="Arial"/>
          <w:sz w:val="21"/>
          <w:szCs w:val="21"/>
          <w:lang w:val="es-MX" w:eastAsia="en-US"/>
        </w:rPr>
      </w:pPr>
    </w:p>
    <w:p w14:paraId="417F716E" w14:textId="77777777" w:rsidR="008F1F27" w:rsidRPr="0051586B" w:rsidRDefault="008F1F27" w:rsidP="008F1F27">
      <w:pPr>
        <w:spacing w:after="120"/>
        <w:ind w:left="709" w:right="709"/>
        <w:jc w:val="both"/>
        <w:rPr>
          <w:rFonts w:ascii="Arial" w:eastAsiaTheme="minorHAnsi" w:hAnsi="Arial" w:cs="Arial"/>
          <w:sz w:val="21"/>
          <w:szCs w:val="21"/>
          <w:lang w:val="es-MX" w:eastAsia="en-US"/>
        </w:rPr>
      </w:pPr>
      <w:r w:rsidRPr="0051586B">
        <w:rPr>
          <w:rFonts w:ascii="Arial" w:eastAsia="Calibri" w:hAnsi="Arial" w:cs="Arial"/>
          <w:sz w:val="21"/>
          <w:szCs w:val="21"/>
          <w:lang w:val="es-ES" w:eastAsia="en-US"/>
        </w:rPr>
        <w:t>«</w:t>
      </w:r>
      <w:r w:rsidRPr="0051586B">
        <w:rPr>
          <w:rFonts w:ascii="Arial" w:eastAsiaTheme="minorHAns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1586B">
        <w:rPr>
          <w:rFonts w:ascii="Arial" w:eastAsiaTheme="minorHAnsi" w:hAnsi="Arial" w:cs="Arial"/>
          <w:sz w:val="22"/>
          <w:szCs w:val="22"/>
          <w:vertAlign w:val="superscript"/>
          <w:lang w:eastAsia="es-CO"/>
        </w:rPr>
        <w:footnoteReference w:id="14"/>
      </w:r>
      <w:r w:rsidRPr="0051586B">
        <w:rPr>
          <w:rFonts w:ascii="Arial" w:eastAsiaTheme="minorHAnsi" w:hAnsi="Arial" w:cs="Arial"/>
          <w:sz w:val="21"/>
          <w:szCs w:val="21"/>
          <w:lang w:val="es-MX" w:eastAsia="en-US"/>
        </w:rPr>
        <w:t>.</w:t>
      </w:r>
    </w:p>
    <w:p w14:paraId="512F662C" w14:textId="77777777" w:rsidR="008F1F27" w:rsidRPr="0051586B" w:rsidRDefault="008F1F27" w:rsidP="008F1F27">
      <w:pPr>
        <w:ind w:left="708" w:right="709"/>
        <w:jc w:val="both"/>
        <w:rPr>
          <w:rFonts w:ascii="Arial" w:eastAsiaTheme="minorHAnsi" w:hAnsi="Arial" w:cs="Arial"/>
          <w:sz w:val="21"/>
          <w:szCs w:val="21"/>
          <w:lang w:val="es-MX" w:eastAsia="en-US"/>
        </w:rPr>
      </w:pPr>
      <w:r w:rsidRPr="0051586B">
        <w:rPr>
          <w:rFonts w:ascii="Arial" w:eastAsiaTheme="minorHAnsi" w:hAnsi="Arial" w:cs="Arial"/>
          <w:sz w:val="21"/>
          <w:szCs w:val="21"/>
          <w:lang w:val="es-MX"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51586B">
        <w:rPr>
          <w:rFonts w:ascii="Arial" w:eastAsiaTheme="minorHAnsi" w:hAnsi="Arial" w:cs="Arial"/>
          <w:sz w:val="21"/>
          <w:szCs w:val="21"/>
          <w:vertAlign w:val="superscript"/>
          <w:lang w:val="es-MX" w:eastAsia="en-US"/>
        </w:rPr>
        <w:footnoteReference w:id="15"/>
      </w:r>
      <w:r w:rsidRPr="0051586B">
        <w:rPr>
          <w:rFonts w:ascii="Arial" w:eastAsiaTheme="minorHAnsi" w:hAnsi="Arial" w:cs="Arial"/>
          <w:sz w:val="21"/>
          <w:szCs w:val="21"/>
          <w:vertAlign w:val="superscript"/>
          <w:lang w:val="es-MX" w:eastAsia="en-US"/>
        </w:rPr>
        <w:t>.</w:t>
      </w:r>
      <w:r w:rsidRPr="0051586B">
        <w:rPr>
          <w:rFonts w:ascii="Arial" w:eastAsiaTheme="minorHAns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1586B">
        <w:rPr>
          <w:rFonts w:ascii="Arial" w:eastAsiaTheme="minorHAnsi" w:hAnsi="Arial" w:cs="Arial"/>
          <w:sz w:val="21"/>
          <w:szCs w:val="21"/>
          <w:lang w:val="es-ES" w:eastAsia="en-US"/>
        </w:rPr>
        <w:t>»</w:t>
      </w:r>
      <w:r w:rsidRPr="0051586B">
        <w:rPr>
          <w:rFonts w:ascii="Arial" w:eastAsiaTheme="minorHAnsi" w:hAnsi="Arial" w:cs="Arial"/>
          <w:sz w:val="22"/>
          <w:szCs w:val="22"/>
          <w:vertAlign w:val="superscript"/>
          <w:lang w:eastAsia="es-CO"/>
        </w:rPr>
        <w:footnoteReference w:id="16"/>
      </w:r>
    </w:p>
    <w:p w14:paraId="226F7E54" w14:textId="77777777" w:rsidR="008F1F27" w:rsidRPr="0051586B" w:rsidRDefault="008F1F27" w:rsidP="008F1F27">
      <w:pPr>
        <w:shd w:val="clear" w:color="auto" w:fill="FFFFFF"/>
        <w:spacing w:line="276" w:lineRule="auto"/>
        <w:ind w:firstLine="709"/>
        <w:jc w:val="both"/>
        <w:rPr>
          <w:rFonts w:ascii="Arial" w:eastAsiaTheme="minorHAnsi" w:hAnsi="Arial" w:cs="Arial"/>
          <w:sz w:val="22"/>
          <w:szCs w:val="22"/>
          <w:lang w:eastAsia="x-none"/>
        </w:rPr>
      </w:pPr>
    </w:p>
    <w:p w14:paraId="2A4E15EA" w14:textId="77777777" w:rsidR="008F1F27" w:rsidRPr="0051586B" w:rsidRDefault="008F1F27" w:rsidP="008F1F27">
      <w:pPr>
        <w:spacing w:after="120" w:line="276" w:lineRule="auto"/>
        <w:ind w:firstLine="708"/>
        <w:jc w:val="both"/>
        <w:rPr>
          <w:rFonts w:ascii="Arial" w:eastAsiaTheme="minorHAnsi" w:hAnsi="Arial" w:cs="Arial"/>
          <w:bCs/>
          <w:sz w:val="22"/>
          <w:szCs w:val="22"/>
          <w:lang w:eastAsia="x-none"/>
        </w:rPr>
      </w:pPr>
      <w:r w:rsidRPr="0051586B">
        <w:rPr>
          <w:rFonts w:ascii="Arial" w:eastAsiaTheme="minorHAnsi" w:hAnsi="Arial" w:cs="Arial"/>
          <w:sz w:val="22"/>
          <w:szCs w:val="22"/>
          <w:lang w:eastAsia="x-none"/>
        </w:rPr>
        <w:t xml:space="preserve">De conformidad con el citado concepto, </w:t>
      </w:r>
      <w:bookmarkStart w:id="0" w:name="_Hlk95735188"/>
      <w:bookmarkStart w:id="1" w:name="_Hlk78818702"/>
      <w:r w:rsidRPr="0051586B">
        <w:rPr>
          <w:rFonts w:ascii="Arial" w:eastAsiaTheme="minorHAnsi" w:hAnsi="Arial" w:cs="Arial"/>
          <w:sz w:val="22"/>
          <w:szCs w:val="22"/>
          <w:lang w:eastAsia="x-none"/>
        </w:rPr>
        <w:t xml:space="preserve">la prohibición del artículo 33 de la Ley de Garantías Electorales se refiere a </w:t>
      </w:r>
      <w:bookmarkStart w:id="2" w:name="_Hlk74294635"/>
      <w:r w:rsidRPr="0051586B">
        <w:rPr>
          <w:rFonts w:ascii="Arial" w:eastAsiaTheme="minorHAnsi" w:hAnsi="Arial" w:cs="Arial"/>
          <w:sz w:val="19"/>
          <w:szCs w:val="19"/>
          <w:lang w:eastAsia="en-GB"/>
        </w:rPr>
        <w:t>«</w:t>
      </w:r>
      <w:bookmarkEnd w:id="2"/>
      <w:r w:rsidRPr="0051586B">
        <w:rPr>
          <w:rFonts w:ascii="Arial" w:eastAsiaTheme="minorHAnsi" w:hAnsi="Arial" w:cs="Arial"/>
          <w:sz w:val="22"/>
          <w:szCs w:val="22"/>
          <w:lang w:eastAsia="x-none"/>
        </w:rPr>
        <w:t>cualquier sistema que no implique convocatoria pública y posibilidad de pluralidad de oferentes</w:t>
      </w:r>
      <w:bookmarkStart w:id="3" w:name="_Hlk74404754"/>
      <w:r w:rsidRPr="0051586B">
        <w:rPr>
          <w:rFonts w:ascii="Arial" w:eastAsiaTheme="minorHAnsi" w:hAnsi="Arial" w:cs="Arial"/>
          <w:sz w:val="22"/>
          <w:szCs w:val="22"/>
          <w:lang w:eastAsia="en-GB"/>
        </w:rPr>
        <w:t>»</w:t>
      </w:r>
      <w:bookmarkEnd w:id="3"/>
      <w:r w:rsidRPr="0051586B">
        <w:rPr>
          <w:rFonts w:ascii="Arial" w:eastAsiaTheme="minorHAnsi" w:hAnsi="Arial" w:cs="Arial"/>
          <w:sz w:val="22"/>
          <w:szCs w:val="22"/>
          <w:lang w:eastAsia="x-none"/>
        </w:rPr>
        <w:t>, por lo que excluye las demás modalidades de contratación previstas en la Ley 1150 de 2007, es decir, la licitación pública, la selección abreviada, el concurso de méritos, la mínima cuantía u otros previstos en normas especiales.</w:t>
      </w:r>
      <w:bookmarkEnd w:id="0"/>
      <w:r w:rsidRPr="0051586B">
        <w:rPr>
          <w:rFonts w:ascii="Arial" w:eastAsiaTheme="minorHAnsi" w:hAnsi="Arial" w:cs="Arial"/>
          <w:sz w:val="22"/>
          <w:szCs w:val="22"/>
          <w:lang w:eastAsia="x-none"/>
        </w:rPr>
        <w:t xml:space="preserve"> </w:t>
      </w:r>
      <w:bookmarkEnd w:id="1"/>
      <w:r w:rsidRPr="0051586B">
        <w:rPr>
          <w:rFonts w:ascii="Arial" w:eastAsiaTheme="minorHAnsi" w:hAnsi="Arial" w:cs="Arial"/>
          <w:sz w:val="22"/>
          <w:szCs w:val="22"/>
          <w:lang w:eastAsia="x-none"/>
        </w:rPr>
        <w:t>Esta posición es congruente con la expedición de la Ley 1150 de 2007 que, entre otras reformas, introdujo la selección abreviada, rediseñó el concurso de méritos</w:t>
      </w:r>
      <w:r w:rsidRPr="0051586B">
        <w:rPr>
          <w:rFonts w:ascii="Arial" w:eastAsiaTheme="minorHAnsi" w:hAnsi="Arial" w:cs="Arial"/>
          <w:sz w:val="22"/>
          <w:szCs w:val="22"/>
          <w:vertAlign w:val="superscript"/>
          <w:lang w:val="en-GB" w:eastAsia="x-none"/>
        </w:rPr>
        <w:footnoteReference w:id="17"/>
      </w:r>
      <w:r w:rsidRPr="0051586B">
        <w:rPr>
          <w:rFonts w:ascii="Arial" w:eastAsiaTheme="minorHAnsi" w:hAnsi="Arial" w:cs="Arial"/>
          <w:sz w:val="22"/>
          <w:szCs w:val="22"/>
          <w:lang w:eastAsia="x-none"/>
        </w:rPr>
        <w:t xml:space="preserve"> y sistematizó las causales de contratación directa</w:t>
      </w:r>
      <w:r w:rsidRPr="0051586B">
        <w:rPr>
          <w:rFonts w:ascii="Arial" w:eastAsiaTheme="minorHAnsi" w:hAnsi="Arial" w:cs="Arial"/>
          <w:sz w:val="22"/>
          <w:szCs w:val="22"/>
          <w:vertAlign w:val="superscript"/>
          <w:lang w:val="en-GB" w:eastAsia="x-none"/>
        </w:rPr>
        <w:footnoteReference w:id="18"/>
      </w:r>
      <w:r w:rsidRPr="0051586B">
        <w:rPr>
          <w:rFonts w:ascii="Arial" w:eastAsiaTheme="minorHAnsi" w:hAnsi="Arial" w:cs="Arial"/>
          <w:sz w:val="22"/>
          <w:szCs w:val="22"/>
          <w:lang w:eastAsia="x-none"/>
        </w:rPr>
        <w:t xml:space="preserve">, </w:t>
      </w:r>
      <w:r w:rsidRPr="0051586B">
        <w:rPr>
          <w:rFonts w:ascii="Arial" w:eastAsiaTheme="minorHAnsi"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10AB6ABB" w14:textId="77777777" w:rsidR="008F1F27" w:rsidRPr="0051586B" w:rsidRDefault="008F1F27" w:rsidP="008F1F27">
      <w:pPr>
        <w:spacing w:after="120" w:line="276" w:lineRule="auto"/>
        <w:ind w:firstLine="708"/>
        <w:jc w:val="both"/>
        <w:rPr>
          <w:rFonts w:ascii="Arial" w:eastAsiaTheme="minorHAnsi" w:hAnsi="Arial" w:cs="Arial"/>
          <w:sz w:val="22"/>
          <w:szCs w:val="22"/>
          <w:lang w:val="es-MX" w:eastAsia="x-none"/>
        </w:rPr>
      </w:pPr>
      <w:r w:rsidRPr="0051586B">
        <w:rPr>
          <w:rFonts w:ascii="Arial" w:eastAsiaTheme="minorHAnsi" w:hAnsi="Arial" w:cs="Arial"/>
          <w:sz w:val="22"/>
          <w:szCs w:val="22"/>
          <w:lang w:eastAsia="x-none"/>
        </w:rPr>
        <w:t xml:space="preserve">De esta forma, con fundamento en la evolución de la normativa sobre la contratación pública, se ha depurado la noción de </w:t>
      </w:r>
      <w:r w:rsidRPr="0051586B">
        <w:rPr>
          <w:rFonts w:ascii="Arial" w:eastAsiaTheme="minorHAnsi" w:hAnsi="Arial" w:cs="Arial"/>
          <w:sz w:val="19"/>
          <w:szCs w:val="19"/>
          <w:lang w:eastAsia="en-GB"/>
        </w:rPr>
        <w:t>«</w:t>
      </w:r>
      <w:r w:rsidRPr="0051586B">
        <w:rPr>
          <w:rFonts w:ascii="Arial" w:eastAsiaTheme="minorHAnsi" w:hAnsi="Arial" w:cs="Arial"/>
          <w:sz w:val="22"/>
          <w:szCs w:val="22"/>
          <w:lang w:eastAsia="x-none"/>
        </w:rPr>
        <w:t>contratación directa</w:t>
      </w:r>
      <w:r w:rsidRPr="0051586B">
        <w:rPr>
          <w:rFonts w:ascii="Arial" w:eastAsiaTheme="minorHAnsi" w:hAnsi="Arial" w:cs="Arial"/>
          <w:sz w:val="22"/>
          <w:szCs w:val="22"/>
          <w:lang w:eastAsia="en-GB"/>
        </w:rPr>
        <w:t>»</w:t>
      </w:r>
      <w:r w:rsidRPr="0051586B">
        <w:rPr>
          <w:rFonts w:ascii="Arial" w:eastAsiaTheme="minorHAnsi" w:hAnsi="Arial" w:cs="Arial"/>
          <w:sz w:val="22"/>
          <w:szCs w:val="22"/>
          <w:lang w:eastAsia="x-none"/>
        </w:rPr>
        <w:t xml:space="preserve">, precisando el Consejo de Estado –en el concepto citado– que, «aun cuando no coincide única y exactamente con la </w:t>
      </w:r>
      <w:r w:rsidRPr="0051586B">
        <w:rPr>
          <w:rFonts w:ascii="Arial" w:eastAsiaTheme="minorHAnsi" w:hAnsi="Arial" w:cs="Arial"/>
          <w:sz w:val="22"/>
          <w:szCs w:val="22"/>
          <w:lang w:eastAsia="x-none"/>
        </w:rPr>
        <w:lastRenderedPageBreak/>
        <w:t>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1586B">
        <w:rPr>
          <w:rFonts w:ascii="Arial" w:eastAsiaTheme="minorHAnsi" w:hAnsi="Arial" w:cs="Arial"/>
          <w:sz w:val="22"/>
          <w:szCs w:val="22"/>
          <w:vertAlign w:val="superscript"/>
          <w:lang w:val="en-GB" w:eastAsia="x-none"/>
        </w:rPr>
        <w:footnoteReference w:id="19"/>
      </w:r>
      <w:r w:rsidRPr="0051586B">
        <w:rPr>
          <w:rFonts w:ascii="Arial" w:eastAsiaTheme="minorHAnsi" w:hAnsi="Arial" w:cs="Arial"/>
          <w:sz w:val="22"/>
          <w:szCs w:val="22"/>
          <w:lang w:eastAsia="x-none"/>
        </w:rPr>
        <w:t>, han establecido sistemas de contratación que implican convocatoria pública y participación de varios oferentes</w:t>
      </w:r>
      <w:r w:rsidRPr="0051586B">
        <w:rPr>
          <w:rFonts w:ascii="Arial" w:eastAsiaTheme="minorHAnsi" w:hAnsi="Arial" w:cs="Arial"/>
          <w:sz w:val="22"/>
          <w:szCs w:val="22"/>
          <w:lang w:eastAsia="en-GB"/>
        </w:rPr>
        <w:t>»</w:t>
      </w:r>
      <w:r w:rsidRPr="0051586B">
        <w:rPr>
          <w:rFonts w:ascii="Arial" w:eastAsiaTheme="minorHAnsi" w:hAnsi="Arial" w:cs="Arial"/>
          <w:sz w:val="22"/>
          <w:szCs w:val="22"/>
          <w:lang w:eastAsia="x-none"/>
        </w:rPr>
        <w:t xml:space="preserve">. </w:t>
      </w:r>
    </w:p>
    <w:p w14:paraId="1B2A4EAB" w14:textId="77777777" w:rsidR="008F1F27" w:rsidRPr="0051586B" w:rsidRDefault="008F1F27" w:rsidP="008F1F27">
      <w:pPr>
        <w:spacing w:after="120" w:line="276" w:lineRule="auto"/>
        <w:ind w:firstLine="708"/>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x-none"/>
        </w:rPr>
        <w:t>E</w:t>
      </w:r>
      <w:r w:rsidRPr="0051586B">
        <w:rPr>
          <w:rFonts w:ascii="Arial" w:eastAsiaTheme="minorHAnsi" w:hAnsi="Arial" w:cs="Arial"/>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51586B">
        <w:rPr>
          <w:rFonts w:ascii="Arial" w:eastAsiaTheme="minorHAnsi" w:hAnsi="Arial" w:cs="Arial"/>
          <w:sz w:val="22"/>
          <w:szCs w:val="22"/>
          <w:vertAlign w:val="superscript"/>
          <w:lang w:eastAsia="x-none"/>
        </w:rPr>
        <w:footnoteReference w:id="20"/>
      </w:r>
      <w:r w:rsidRPr="0051586B">
        <w:rPr>
          <w:rFonts w:ascii="Arial" w:eastAsiaTheme="minorHAnsi" w:hAnsi="Arial" w:cs="Arial"/>
          <w:sz w:val="22"/>
          <w:szCs w:val="22"/>
          <w:lang w:eastAsia="x-none"/>
        </w:rPr>
        <w:t xml:space="preserve">. </w:t>
      </w:r>
    </w:p>
    <w:p w14:paraId="4118BB94" w14:textId="19412AC0" w:rsidR="008F1F27" w:rsidRPr="0051586B" w:rsidRDefault="008F1F27" w:rsidP="008F1F27">
      <w:pPr>
        <w:spacing w:after="120" w:line="276" w:lineRule="auto"/>
        <w:ind w:firstLine="708"/>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242093">
        <w:rPr>
          <w:rFonts w:ascii="Arial" w:eastAsiaTheme="minorHAnsi" w:hAnsi="Arial" w:cs="Arial"/>
          <w:bCs/>
          <w:sz w:val="22"/>
          <w:szCs w:val="22"/>
          <w:lang w:val="es-MX" w:eastAsia="es-CO"/>
        </w:rPr>
        <w:t>G</w:t>
      </w:r>
      <w:r w:rsidRPr="0051586B">
        <w:rPr>
          <w:rFonts w:ascii="Arial" w:eastAsiaTheme="minorHAnsi" w:hAnsi="Arial" w:cs="Arial"/>
          <w:bCs/>
          <w:sz w:val="22"/>
          <w:szCs w:val="22"/>
          <w:lang w:val="es-MX"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6CE10537" w14:textId="77777777" w:rsidR="008F1F27" w:rsidRPr="0051586B" w:rsidRDefault="008F1F27" w:rsidP="008F1F27">
      <w:pPr>
        <w:spacing w:after="120" w:line="276" w:lineRule="auto"/>
        <w:ind w:firstLine="708"/>
        <w:jc w:val="both"/>
        <w:rPr>
          <w:rFonts w:ascii="Arial" w:eastAsiaTheme="minorHAnsi" w:hAnsi="Arial" w:cs="Arial"/>
          <w:bCs/>
          <w:sz w:val="22"/>
          <w:szCs w:val="22"/>
          <w:lang w:val="es-MX" w:eastAsia="x-none"/>
        </w:rPr>
      </w:pPr>
      <w:r w:rsidRPr="0051586B">
        <w:rPr>
          <w:rFonts w:ascii="Arial" w:eastAsiaTheme="minorHAnsi" w:hAnsi="Arial" w:cs="Arial"/>
          <w:bCs/>
          <w:sz w:val="22"/>
          <w:szCs w:val="22"/>
          <w:lang w:val="es-MX" w:eastAsia="x-none"/>
        </w:rPr>
        <w:t xml:space="preserve"> Así las cosas, </w:t>
      </w:r>
      <w:bookmarkStart w:id="4" w:name="_Hlk95735240"/>
      <w:r w:rsidRPr="0051586B">
        <w:rPr>
          <w:rFonts w:ascii="Arial" w:eastAsiaTheme="minorHAnsi" w:hAnsi="Arial" w:cs="Arial"/>
          <w:bCs/>
          <w:sz w:val="22"/>
          <w:szCs w:val="22"/>
          <w:lang w:val="es-MX" w:eastAsia="x-none"/>
        </w:rPr>
        <w:t>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bookmarkEnd w:id="4"/>
      <w:r w:rsidRPr="0051586B">
        <w:rPr>
          <w:rFonts w:ascii="Arial" w:eastAsiaTheme="minorHAnsi" w:hAnsi="Arial" w:cs="Arial"/>
          <w:sz w:val="22"/>
          <w:szCs w:val="22"/>
          <w:vertAlign w:val="superscript"/>
          <w:lang w:eastAsia="x-none"/>
        </w:rPr>
        <w:footnoteReference w:id="21"/>
      </w:r>
      <w:r w:rsidRPr="0051586B">
        <w:rPr>
          <w:rFonts w:ascii="Arial" w:eastAsiaTheme="minorHAnsi" w:hAnsi="Arial" w:cs="Arial"/>
          <w:bCs/>
          <w:sz w:val="22"/>
          <w:szCs w:val="22"/>
          <w:lang w:val="es-MX" w:eastAsia="x-none"/>
        </w:rPr>
        <w:t>.</w:t>
      </w:r>
      <w:r w:rsidRPr="0051586B">
        <w:rPr>
          <w:rFonts w:ascii="Arial" w:eastAsiaTheme="minorHAnsi" w:hAnsi="Arial" w:cs="Arial"/>
          <w:sz w:val="22"/>
          <w:szCs w:val="22"/>
          <w:vertAlign w:val="superscript"/>
          <w:lang w:eastAsia="x-none"/>
        </w:rPr>
        <w:t xml:space="preserve"> </w:t>
      </w:r>
    </w:p>
    <w:p w14:paraId="0F91F0C4" w14:textId="7411D0F4" w:rsidR="008F1F27" w:rsidRPr="0051586B" w:rsidRDefault="008F1F27" w:rsidP="008F1F27">
      <w:pPr>
        <w:spacing w:after="120" w:line="276" w:lineRule="auto"/>
        <w:ind w:firstLine="708"/>
        <w:jc w:val="both"/>
        <w:rPr>
          <w:rFonts w:ascii="Arial" w:eastAsiaTheme="minorHAnsi" w:hAnsi="Arial" w:cs="Arial"/>
          <w:sz w:val="22"/>
          <w:szCs w:val="22"/>
          <w:lang w:eastAsia="x-none"/>
        </w:rPr>
      </w:pPr>
      <w:bookmarkStart w:id="5" w:name="_Hlk95735299"/>
      <w:r w:rsidRPr="0051586B">
        <w:rPr>
          <w:rFonts w:ascii="Arial" w:eastAsiaTheme="minorHAnsi"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51586B">
        <w:rPr>
          <w:rFonts w:ascii="Arial" w:eastAsiaTheme="minorHAnsi" w:hAnsi="Arial" w:cs="Arial"/>
          <w:sz w:val="22"/>
          <w:szCs w:val="22"/>
          <w:lang w:eastAsia="x-none"/>
        </w:rPr>
        <w:t xml:space="preserve"> Por tanto, no son materia de la prohibición las demás modalidades de selección previstas en la Ley 1150 de 2007, es decir, la licitación </w:t>
      </w:r>
      <w:r w:rsidRPr="0051586B">
        <w:rPr>
          <w:rFonts w:ascii="Arial" w:eastAsiaTheme="minorHAnsi" w:hAnsi="Arial" w:cs="Arial"/>
          <w:sz w:val="22"/>
          <w:szCs w:val="22"/>
          <w:lang w:eastAsia="x-none"/>
        </w:rPr>
        <w:lastRenderedPageBreak/>
        <w:t>pública, el concurso de méritos</w:t>
      </w:r>
      <w:r w:rsidR="00242093">
        <w:rPr>
          <w:rFonts w:ascii="Arial" w:eastAsiaTheme="minorHAnsi" w:hAnsi="Arial" w:cs="Arial"/>
          <w:sz w:val="22"/>
          <w:szCs w:val="22"/>
          <w:lang w:eastAsia="x-none"/>
        </w:rPr>
        <w:t>,</w:t>
      </w:r>
      <w:r w:rsidRPr="0051586B">
        <w:rPr>
          <w:rFonts w:ascii="Arial" w:eastAsiaTheme="minorHAnsi" w:hAnsi="Arial" w:cs="Arial"/>
          <w:sz w:val="22"/>
          <w:szCs w:val="22"/>
          <w:lang w:eastAsia="x-none"/>
        </w:rPr>
        <w:t xml:space="preserve"> la selección abreviada</w:t>
      </w:r>
      <w:r w:rsidR="00242093">
        <w:rPr>
          <w:rFonts w:ascii="Arial" w:eastAsiaTheme="minorHAnsi" w:hAnsi="Arial" w:cs="Arial"/>
          <w:sz w:val="22"/>
          <w:szCs w:val="22"/>
          <w:lang w:eastAsia="x-none"/>
        </w:rPr>
        <w:t xml:space="preserve"> y la mínima cuantía</w:t>
      </w:r>
      <w:r w:rsidRPr="0051586B">
        <w:rPr>
          <w:rFonts w:ascii="Arial" w:eastAsiaTheme="minorHAnsi" w:hAnsi="Arial" w:cs="Arial"/>
          <w:sz w:val="22"/>
          <w:szCs w:val="22"/>
          <w:lang w:eastAsia="x-none"/>
        </w:rPr>
        <w:t>, razón por la cual en ese período preelectoral de que trata la disposición pueden las entidades públicas seguir contratando bajo estas modalidades.</w:t>
      </w:r>
      <w:bookmarkEnd w:id="5"/>
    </w:p>
    <w:p w14:paraId="6CCE4453" w14:textId="7727936B" w:rsidR="008F1F27" w:rsidRPr="0051586B" w:rsidRDefault="008F1F27" w:rsidP="008F1F27">
      <w:pPr>
        <w:spacing w:after="120" w:line="276" w:lineRule="auto"/>
        <w:ind w:firstLine="708"/>
        <w:jc w:val="both"/>
        <w:rPr>
          <w:rFonts w:ascii="Arial" w:eastAsiaTheme="minorHAnsi" w:hAnsi="Arial" w:cs="Arial"/>
          <w:bCs/>
          <w:sz w:val="22"/>
          <w:szCs w:val="22"/>
          <w:lang w:val="es-MX" w:eastAsia="x-none"/>
        </w:rPr>
      </w:pPr>
      <w:bookmarkStart w:id="6" w:name="_Hlk77237094"/>
      <w:r w:rsidRPr="0051586B">
        <w:rPr>
          <w:rFonts w:ascii="Arial" w:eastAsiaTheme="minorHAnsi" w:hAnsi="Arial" w:cs="Arial"/>
          <w:bCs/>
          <w:sz w:val="22"/>
          <w:szCs w:val="22"/>
          <w:lang w:val="es-MX" w:eastAsia="es-CO"/>
        </w:rPr>
        <w:t>Ahora bien, como en otras oportunidades lo ha manifestado esta Agencia, las prórrogas, modificaciones o adiciones de los contratos suscritos antes de la entrada en vigor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242093">
        <w:rPr>
          <w:rStyle w:val="Refdenotaalpie"/>
          <w:rFonts w:ascii="Arial" w:eastAsiaTheme="minorHAnsi" w:hAnsi="Arial" w:cs="Arial"/>
          <w:bCs/>
          <w:sz w:val="22"/>
          <w:szCs w:val="22"/>
          <w:lang w:val="es-MX" w:eastAsia="es-CO"/>
        </w:rPr>
        <w:footnoteReference w:id="22"/>
      </w:r>
      <w:r w:rsidRPr="0051586B">
        <w:rPr>
          <w:rFonts w:ascii="Arial" w:eastAsiaTheme="minorHAnsi" w:hAnsi="Arial" w:cs="Arial"/>
          <w:bCs/>
          <w:sz w:val="22"/>
          <w:szCs w:val="22"/>
          <w:lang w:val="es-MX" w:eastAsia="es-CO"/>
        </w:rPr>
        <w:t>.</w:t>
      </w:r>
      <w:bookmarkEnd w:id="6"/>
    </w:p>
    <w:p w14:paraId="40201C0A" w14:textId="309DB830" w:rsidR="008F1F27" w:rsidRPr="0051586B" w:rsidRDefault="008F1F27" w:rsidP="008F1F27">
      <w:pPr>
        <w:spacing w:after="120" w:line="276" w:lineRule="auto"/>
        <w:ind w:firstLine="708"/>
        <w:jc w:val="both"/>
        <w:rPr>
          <w:rFonts w:ascii="Arial" w:eastAsiaTheme="minorHAnsi" w:hAnsi="Arial" w:cs="Arial"/>
          <w:bCs/>
          <w:sz w:val="22"/>
          <w:szCs w:val="22"/>
          <w:lang w:val="es-MX" w:eastAsia="es-CO"/>
        </w:rPr>
      </w:pPr>
      <w:r w:rsidRPr="0051586B">
        <w:rPr>
          <w:rFonts w:ascii="Arial" w:eastAsiaTheme="minorHAnsi" w:hAnsi="Arial" w:cs="Arial"/>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w:t>
      </w:r>
      <w:r w:rsidR="00D7626A">
        <w:rPr>
          <w:rFonts w:ascii="Arial" w:eastAsiaTheme="minorHAnsi" w:hAnsi="Arial" w:cs="Arial"/>
          <w:bCs/>
          <w:sz w:val="22"/>
          <w:szCs w:val="22"/>
          <w:lang w:val="es-MX" w:eastAsia="x-none"/>
        </w:rPr>
        <w:t>,</w:t>
      </w:r>
      <w:r w:rsidRPr="0051586B">
        <w:rPr>
          <w:rFonts w:ascii="Arial" w:eastAsiaTheme="minorHAnsi" w:hAnsi="Arial" w:cs="Arial"/>
          <w:bCs/>
          <w:sz w:val="22"/>
          <w:szCs w:val="22"/>
          <w:lang w:val="es-MX" w:eastAsia="x-none"/>
        </w:rPr>
        <w:t xml:space="preserve"> en lo referente a</w:t>
      </w:r>
      <w:r w:rsidR="00D7626A">
        <w:rPr>
          <w:rFonts w:ascii="Arial" w:eastAsiaTheme="minorHAnsi" w:hAnsi="Arial" w:cs="Arial"/>
          <w:bCs/>
          <w:sz w:val="22"/>
          <w:szCs w:val="22"/>
          <w:lang w:val="es-MX" w:eastAsia="x-none"/>
        </w:rPr>
        <w:t>:</w:t>
      </w:r>
      <w:r w:rsidRPr="0051586B">
        <w:rPr>
          <w:rFonts w:ascii="Arial" w:eastAsiaTheme="minorHAnsi" w:hAnsi="Arial" w:cs="Arial"/>
          <w:bCs/>
          <w:sz w:val="22"/>
          <w:szCs w:val="22"/>
          <w:lang w:val="es-MX"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1586B">
        <w:rPr>
          <w:rFonts w:ascii="Arial" w:eastAsiaTheme="minorHAnsi" w:hAnsi="Arial" w:cs="Arial"/>
          <w:bCs/>
          <w:sz w:val="22"/>
          <w:szCs w:val="22"/>
          <w:lang w:val="es-MX" w:eastAsia="es-CO"/>
        </w:rPr>
        <w:t xml:space="preserve"> Por tanto,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AE07716" w14:textId="77777777" w:rsidR="008F1F27" w:rsidRPr="0051586B" w:rsidRDefault="008F1F27" w:rsidP="008F1F27">
      <w:pPr>
        <w:spacing w:after="120" w:line="276" w:lineRule="auto"/>
        <w:ind w:firstLine="709"/>
        <w:jc w:val="both"/>
        <w:rPr>
          <w:rFonts w:ascii="Arial" w:eastAsiaTheme="minorHAnsi" w:hAnsi="Arial" w:cs="Arial"/>
          <w:bCs/>
          <w:sz w:val="22"/>
          <w:szCs w:val="22"/>
          <w:lang w:val="es-MX" w:eastAsia="x-none"/>
        </w:rPr>
      </w:pPr>
      <w:r w:rsidRPr="0051586B">
        <w:rPr>
          <w:rFonts w:ascii="Arial" w:eastAsiaTheme="minorHAnsi" w:hAnsi="Arial" w:cs="Arial"/>
          <w:bCs/>
          <w:sz w:val="22"/>
          <w:szCs w:val="22"/>
          <w:lang w:val="es-MX"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1586B">
        <w:rPr>
          <w:rFonts w:ascii="Arial" w:eastAsia="Calibri" w:hAnsi="Arial" w:cs="Arial"/>
          <w:sz w:val="22"/>
          <w:szCs w:val="22"/>
          <w:vertAlign w:val="superscript"/>
          <w:lang w:val="es-MX" w:eastAsia="en-US"/>
        </w:rPr>
        <w:footnoteReference w:id="23"/>
      </w:r>
      <w:r w:rsidRPr="0051586B">
        <w:rPr>
          <w:rFonts w:ascii="Arial" w:eastAsiaTheme="minorHAnsi" w:hAnsi="Arial" w:cs="Arial"/>
          <w:bCs/>
          <w:sz w:val="22"/>
          <w:szCs w:val="22"/>
          <w:lang w:val="es-MX" w:eastAsia="x-none"/>
        </w:rPr>
        <w:t>. De ahí que la Corte hizo énfasis en que las excepciones a la restricción, establecidos en el inciso segundo del artículo 33,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7" w:name="_Hlk75783800"/>
    </w:p>
    <w:p w14:paraId="00455D77" w14:textId="7BF8558C" w:rsidR="008F1F27" w:rsidRDefault="008F1F27" w:rsidP="00C65F25">
      <w:pPr>
        <w:spacing w:after="120" w:line="276" w:lineRule="auto"/>
        <w:ind w:firstLine="709"/>
        <w:jc w:val="both"/>
        <w:rPr>
          <w:rFonts w:ascii="Arial" w:eastAsiaTheme="minorHAnsi" w:hAnsi="Arial" w:cs="Arial"/>
          <w:bCs/>
          <w:sz w:val="22"/>
          <w:szCs w:val="22"/>
          <w:lang w:val="es-MX" w:eastAsia="x-none"/>
        </w:rPr>
      </w:pPr>
      <w:bookmarkStart w:id="8" w:name="_Hlk95735408"/>
      <w:r w:rsidRPr="0051586B">
        <w:rPr>
          <w:rFonts w:ascii="Arial" w:eastAsiaTheme="minorHAnsi" w:hAnsi="Arial" w:cs="Arial"/>
          <w:bCs/>
          <w:sz w:val="22"/>
          <w:szCs w:val="22"/>
          <w:lang w:val="es-MX" w:eastAsia="x-none"/>
        </w:rPr>
        <w:lastRenderedPageBreak/>
        <w:t>De conformidad con lo expuesto, se concluye que durante los cuatro (4) meses anteriores a la elección presidencial y hasta la realización de la elección en la segunda vuelta, queda prohibida la contratación directa por parte de todos los entes del Estado. Lo anterior, entendiendo el término contratación directa como cualquier sistema de selección o procedimiento de contratación utilizado por las entidades estatales que no incluya la convocatoria pública en alguna de sus etapas, ni permita la participación de una pluralidad de oferentes, sin perjuicio de las excepciones contempladas en el ordenamiento jurídico</w:t>
      </w:r>
      <w:bookmarkEnd w:id="8"/>
      <w:r w:rsidRPr="0051586B">
        <w:rPr>
          <w:rFonts w:ascii="Arial" w:eastAsiaTheme="minorHAnsi" w:hAnsi="Arial" w:cs="Arial"/>
          <w:bCs/>
          <w:sz w:val="22"/>
          <w:szCs w:val="22"/>
          <w:lang w:val="es-MX" w:eastAsia="x-none"/>
        </w:rPr>
        <w:t>.</w:t>
      </w:r>
    </w:p>
    <w:p w14:paraId="49E5F406" w14:textId="7C3C4100" w:rsidR="00682EF1" w:rsidRPr="00C65F25" w:rsidRDefault="00D7626A" w:rsidP="00C65F25">
      <w:pPr>
        <w:spacing w:after="120" w:line="276" w:lineRule="auto"/>
        <w:ind w:firstLine="709"/>
        <w:jc w:val="both"/>
        <w:rPr>
          <w:rFonts w:ascii="Arial" w:eastAsiaTheme="minorHAnsi" w:hAnsi="Arial" w:cs="Arial"/>
          <w:bCs/>
          <w:sz w:val="22"/>
          <w:szCs w:val="22"/>
          <w:lang w:val="es-MX" w:eastAsia="x-none"/>
        </w:rPr>
      </w:pPr>
      <w:r w:rsidRPr="00C65F25">
        <w:rPr>
          <w:rFonts w:ascii="Arial" w:eastAsiaTheme="minorHAnsi" w:hAnsi="Arial" w:cs="Arial"/>
          <w:bCs/>
          <w:sz w:val="22"/>
          <w:szCs w:val="22"/>
          <w:lang w:val="es-MX" w:eastAsia="x-none"/>
        </w:rPr>
        <w:tab/>
      </w:r>
      <w:r w:rsidR="00682EF1" w:rsidRPr="0051586B">
        <w:rPr>
          <w:rFonts w:ascii="Arial" w:eastAsiaTheme="minorHAnsi"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00682EF1" w:rsidRPr="00C65F25">
        <w:rPr>
          <w:rFonts w:ascii="Arial" w:eastAsiaTheme="minorHAnsi" w:hAnsi="Arial" w:cs="Arial"/>
          <w:bCs/>
          <w:sz w:val="22"/>
          <w:szCs w:val="22"/>
          <w:lang w:val="es-MX" w:eastAsia="x-none"/>
        </w:rPr>
        <w:t xml:space="preserve"> </w:t>
      </w:r>
      <w:r w:rsidR="00682EF1" w:rsidRPr="0051586B">
        <w:rPr>
          <w:rFonts w:ascii="Arial" w:eastAsiaTheme="minorHAnsi" w:hAnsi="Arial" w:cs="Arial"/>
          <w:bCs/>
          <w:sz w:val="22"/>
          <w:szCs w:val="22"/>
          <w:lang w:val="es-MX" w:eastAsia="x-none"/>
        </w:rPr>
        <w:t>En efecto, tal como lo ha sostenido el Consejo de Estado, el vocablo «todos» utilizado por el legislador comprende</w:t>
      </w:r>
      <w:r w:rsidR="00682EF1" w:rsidRPr="00C65F25">
        <w:rPr>
          <w:rFonts w:ascii="Arial" w:eastAsiaTheme="minorHAnsi" w:hAnsi="Arial" w:cs="Arial"/>
          <w:bCs/>
          <w:sz w:val="22"/>
          <w:szCs w:val="22"/>
          <w:lang w:val="es-MX" w:eastAsia="x-none"/>
        </w:rPr>
        <w:t xml:space="preserve"> </w:t>
      </w:r>
      <w:r w:rsidR="00682EF1" w:rsidRPr="0051586B">
        <w:rPr>
          <w:rFonts w:ascii="Arial" w:eastAsiaTheme="minorHAnsi" w:hAnsi="Arial" w:cs="Arial"/>
          <w:bCs/>
          <w:sz w:val="22"/>
          <w:szCs w:val="22"/>
          <w:lang w:val="es-MX" w:eastAsia="x-none"/>
        </w:rPr>
        <w:t xml:space="preserve">a la totalidad de los entes del Estado, sin distinción del régimen jurídico, forma de organización o naturaleza, su pertenencia a una u otra rama del poder público o su autonomía, e incluso si las entidades estatales tienen régimen </w:t>
      </w:r>
      <w:r w:rsidR="00682EF1" w:rsidRPr="00C65F25">
        <w:rPr>
          <w:rFonts w:ascii="Arial" w:eastAsiaTheme="minorHAnsi" w:hAnsi="Arial" w:cs="Arial"/>
          <w:bCs/>
          <w:sz w:val="22"/>
          <w:szCs w:val="22"/>
          <w:lang w:val="es-MX" w:eastAsia="x-none"/>
        </w:rPr>
        <w:t>especial de contratación y están exceptuadas del ámbito de aplicación del Estatuto General de Contratación de la Administración Pública. El Consejo de Estado, en Concepto con radicado 1727 de fecha 20 de febrero de 2006, consideró que</w:t>
      </w:r>
      <w:r w:rsidRPr="00C65F25">
        <w:rPr>
          <w:rFonts w:ascii="Arial" w:eastAsiaTheme="minorHAnsi" w:hAnsi="Arial" w:cs="Arial"/>
          <w:bCs/>
          <w:sz w:val="22"/>
          <w:szCs w:val="22"/>
          <w:lang w:val="es-MX" w:eastAsia="x-none"/>
        </w:rPr>
        <w:t xml:space="preserve"> el artículo 33 de la ley 996 de 2005, efectivamente se aplica incluso a las entidades estatales con régimen especial de contratación y que están exceptuadas del ámbito de aplicación del Estatuto General de Contratación de la Administración Pública</w:t>
      </w:r>
      <w:bookmarkStart w:id="9" w:name="_Hlk75787147"/>
      <w:r w:rsidR="00682EF1" w:rsidRPr="00C65F25">
        <w:rPr>
          <w:rFonts w:ascii="Arial" w:eastAsiaTheme="minorHAnsi" w:hAnsi="Arial" w:cs="Arial"/>
          <w:bCs/>
          <w:sz w:val="22"/>
          <w:szCs w:val="22"/>
          <w:vertAlign w:val="superscript"/>
          <w:lang w:val="es-MX" w:eastAsia="x-none"/>
        </w:rPr>
        <w:footnoteReference w:id="24"/>
      </w:r>
      <w:r w:rsidRPr="00C65F25">
        <w:rPr>
          <w:rFonts w:ascii="Arial" w:eastAsiaTheme="minorHAnsi" w:hAnsi="Arial" w:cs="Arial"/>
          <w:bCs/>
          <w:sz w:val="22"/>
          <w:szCs w:val="22"/>
          <w:lang w:val="es-MX" w:eastAsia="x-none"/>
        </w:rPr>
        <w:t>.</w:t>
      </w:r>
    </w:p>
    <w:p w14:paraId="15CF799A" w14:textId="304BD18F" w:rsidR="00682EF1" w:rsidRPr="00C65F25" w:rsidRDefault="00682EF1" w:rsidP="00682EF1">
      <w:pPr>
        <w:spacing w:line="276" w:lineRule="auto"/>
        <w:ind w:firstLine="708"/>
        <w:jc w:val="both"/>
        <w:rPr>
          <w:rFonts w:ascii="Arial" w:eastAsiaTheme="minorHAnsi" w:hAnsi="Arial" w:cs="Arial"/>
          <w:sz w:val="22"/>
          <w:szCs w:val="22"/>
          <w:lang w:val="es-MX" w:eastAsia="en-US"/>
        </w:rPr>
      </w:pPr>
      <w:r w:rsidRPr="00C65F25">
        <w:rPr>
          <w:rFonts w:ascii="Arial" w:eastAsiaTheme="minorHAnsi" w:hAnsi="Arial" w:cs="Arial"/>
          <w:bCs/>
          <w:sz w:val="22"/>
          <w:szCs w:val="22"/>
          <w:lang w:val="es-MX" w:eastAsia="x-none"/>
        </w:rPr>
        <w:t>De igual forma, en Concepto con radicado 1</w:t>
      </w:r>
      <w:r w:rsidR="00045B0C" w:rsidRPr="00C65F25">
        <w:rPr>
          <w:rFonts w:ascii="Arial" w:eastAsiaTheme="minorHAnsi" w:hAnsi="Arial" w:cs="Arial"/>
          <w:bCs/>
          <w:sz w:val="22"/>
          <w:szCs w:val="22"/>
          <w:lang w:val="es-MX" w:eastAsia="x-none"/>
        </w:rPr>
        <w:t>.</w:t>
      </w:r>
      <w:r w:rsidRPr="00C65F25">
        <w:rPr>
          <w:rFonts w:ascii="Arial" w:eastAsiaTheme="minorHAnsi" w:hAnsi="Arial" w:cs="Arial"/>
          <w:bCs/>
          <w:sz w:val="22"/>
          <w:szCs w:val="22"/>
          <w:lang w:val="es-MX" w:eastAsia="x-none"/>
        </w:rPr>
        <w:t>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10" w:name="_Hlk75635823"/>
      <w:r w:rsidRPr="00C65F25">
        <w:rPr>
          <w:rFonts w:ascii="Arial" w:eastAsiaTheme="minorHAnsi" w:hAnsi="Arial" w:cs="Arial"/>
          <w:bCs/>
          <w:sz w:val="22"/>
          <w:szCs w:val="22"/>
          <w:lang w:val="es-MX" w:eastAsia="x-none"/>
        </w:rPr>
        <w:t>»</w:t>
      </w:r>
      <w:bookmarkStart w:id="11" w:name="_Hlk75758868"/>
      <w:bookmarkStart w:id="12" w:name="_Hlk75741220"/>
      <w:bookmarkEnd w:id="10"/>
      <w:r w:rsidRPr="00C65F25">
        <w:rPr>
          <w:rFonts w:ascii="Arial" w:eastAsiaTheme="minorHAnsi" w:hAnsi="Arial" w:cs="Arial"/>
          <w:szCs w:val="22"/>
          <w:vertAlign w:val="superscript"/>
          <w:lang w:val="es-MX" w:eastAsia="en-US"/>
        </w:rPr>
        <w:footnoteReference w:id="25"/>
      </w:r>
      <w:bookmarkEnd w:id="11"/>
      <w:bookmarkEnd w:id="12"/>
      <w:r w:rsidRPr="00C65F25">
        <w:rPr>
          <w:rFonts w:ascii="Arial" w:eastAsiaTheme="minorHAnsi" w:hAnsi="Arial" w:cs="Arial"/>
          <w:bCs/>
          <w:sz w:val="22"/>
          <w:szCs w:val="22"/>
          <w:lang w:val="es-MX" w:eastAsia="x-none"/>
        </w:rPr>
        <w:t>.</w:t>
      </w:r>
      <w:r w:rsidRPr="00C65F25">
        <w:rPr>
          <w:rFonts w:ascii="Arial" w:eastAsiaTheme="minorHAnsi" w:hAnsi="Arial" w:cs="Arial"/>
          <w:sz w:val="22"/>
          <w:szCs w:val="22"/>
          <w:lang w:val="es-MX" w:eastAsia="en-US"/>
        </w:rPr>
        <w:t xml:space="preserve"> Sin embargo, debe precisarse el siguiente aspecto que distinguió la Sala de Consulta y Servicio Civil:</w:t>
      </w:r>
    </w:p>
    <w:p w14:paraId="5378C03E" w14:textId="77777777" w:rsidR="00682EF1" w:rsidRPr="00C65F25" w:rsidRDefault="00682EF1" w:rsidP="00682EF1">
      <w:pPr>
        <w:spacing w:line="276" w:lineRule="auto"/>
        <w:jc w:val="both"/>
        <w:rPr>
          <w:rFonts w:ascii="Arial" w:eastAsiaTheme="minorHAnsi" w:hAnsi="Arial" w:cs="Arial"/>
          <w:sz w:val="22"/>
          <w:szCs w:val="22"/>
          <w:lang w:val="es-MX" w:eastAsia="en-US"/>
        </w:rPr>
      </w:pPr>
    </w:p>
    <w:p w14:paraId="5A73E64F" w14:textId="2E9691F7" w:rsidR="00682EF1" w:rsidRPr="00C65F25" w:rsidRDefault="00682EF1" w:rsidP="00682EF1">
      <w:pPr>
        <w:ind w:left="708" w:right="709"/>
        <w:jc w:val="both"/>
        <w:rPr>
          <w:rFonts w:ascii="Arial" w:eastAsiaTheme="minorHAnsi" w:hAnsi="Arial" w:cs="Arial"/>
          <w:sz w:val="21"/>
          <w:szCs w:val="21"/>
          <w:lang w:val="es-MX" w:eastAsia="en-US"/>
        </w:rPr>
      </w:pPr>
      <w:bookmarkStart w:id="14" w:name="_Hlk75811446"/>
      <w:r w:rsidRPr="00C65F25">
        <w:rPr>
          <w:rFonts w:ascii="Arial" w:eastAsia="Calibri" w:hAnsi="Arial" w:cs="Arial"/>
          <w:sz w:val="21"/>
          <w:szCs w:val="21"/>
          <w:lang w:val="es-ES" w:eastAsia="en-US"/>
        </w:rPr>
        <w:t>«</w:t>
      </w:r>
      <w:r w:rsidRPr="00C65F25">
        <w:rPr>
          <w:rFonts w:ascii="Arial" w:eastAsiaTheme="minorHAns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4"/>
      <w:r w:rsidRPr="00C65F25">
        <w:rPr>
          <w:rFonts w:ascii="Arial" w:eastAsiaTheme="minorHAnsi" w:hAnsi="Arial" w:cs="Arial"/>
          <w:sz w:val="21"/>
          <w:szCs w:val="21"/>
          <w:lang w:val="es-ES" w:eastAsia="en-US"/>
        </w:rPr>
        <w:t>»</w:t>
      </w:r>
      <w:r w:rsidRPr="00C65F25">
        <w:rPr>
          <w:rFonts w:ascii="Arial" w:eastAsiaTheme="minorHAnsi" w:hAnsi="Arial" w:cs="Arial"/>
          <w:szCs w:val="22"/>
          <w:vertAlign w:val="superscript"/>
          <w:lang w:val="es-MX" w:eastAsia="en-US"/>
        </w:rPr>
        <w:footnoteReference w:id="26"/>
      </w:r>
      <w:r w:rsidR="00045B0C" w:rsidRPr="00C65F25">
        <w:rPr>
          <w:rFonts w:ascii="Arial" w:eastAsiaTheme="minorHAnsi" w:hAnsi="Arial" w:cs="Arial"/>
          <w:sz w:val="21"/>
          <w:szCs w:val="21"/>
          <w:lang w:val="es-ES" w:eastAsia="en-US"/>
        </w:rPr>
        <w:t>.</w:t>
      </w:r>
      <w:r w:rsidRPr="00C65F25">
        <w:rPr>
          <w:rFonts w:ascii="Arial" w:eastAsiaTheme="minorHAnsi" w:hAnsi="Arial" w:cs="Arial"/>
          <w:sz w:val="21"/>
          <w:szCs w:val="21"/>
          <w:lang w:val="es-ES" w:eastAsia="en-US"/>
        </w:rPr>
        <w:t xml:space="preserve"> </w:t>
      </w:r>
    </w:p>
    <w:p w14:paraId="2B575219" w14:textId="77777777" w:rsidR="00682EF1" w:rsidRPr="00C65F25" w:rsidRDefault="00682EF1" w:rsidP="00682EF1">
      <w:pPr>
        <w:spacing w:line="276" w:lineRule="auto"/>
        <w:jc w:val="both"/>
        <w:rPr>
          <w:rFonts w:ascii="Arial" w:eastAsiaTheme="minorHAnsi" w:hAnsi="Arial" w:cs="Arial"/>
          <w:sz w:val="22"/>
          <w:szCs w:val="22"/>
          <w:lang w:val="es-MX" w:eastAsia="en-US"/>
        </w:rPr>
      </w:pPr>
    </w:p>
    <w:p w14:paraId="65E70D85" w14:textId="468BE87B" w:rsidR="00045B0C" w:rsidRPr="00C65F25" w:rsidRDefault="00045B0C" w:rsidP="00045B0C">
      <w:pPr>
        <w:spacing w:after="120" w:line="276" w:lineRule="auto"/>
        <w:ind w:firstLine="709"/>
        <w:jc w:val="both"/>
        <w:rPr>
          <w:rFonts w:ascii="Arial" w:eastAsia="Arial" w:hAnsi="Arial" w:cs="Arial"/>
          <w:sz w:val="22"/>
          <w:szCs w:val="22"/>
          <w:lang w:val="es-ES" w:eastAsia="es-ES" w:bidi="es-ES"/>
        </w:rPr>
      </w:pPr>
      <w:r w:rsidRPr="00C65F25">
        <w:rPr>
          <w:rFonts w:ascii="Arial" w:eastAsiaTheme="minorHAnsi" w:hAnsi="Arial" w:cs="Arial"/>
          <w:bCs/>
          <w:sz w:val="22"/>
          <w:szCs w:val="22"/>
          <w:lang w:val="es-MX" w:eastAsia="x-none"/>
        </w:rPr>
        <w:t xml:space="preserve">De acuerdo con estos pronunciamientos de la Sala de Consulta y Servicio Civil del Consejo de Estado, la prohibición de la contratación directa también aplica frente a las entidades exceptuadas de la aplicación del EGCAP y que se rigen en materia contractual por el derecho privado. </w:t>
      </w:r>
      <w:bookmarkEnd w:id="9"/>
      <w:r w:rsidR="00682EF1" w:rsidRPr="00C65F25">
        <w:rPr>
          <w:rFonts w:ascii="Arial" w:eastAsiaTheme="minorHAnsi" w:hAnsi="Arial" w:cs="Arial"/>
          <w:bCs/>
          <w:sz w:val="22"/>
          <w:szCs w:val="22"/>
          <w:lang w:val="es-MX" w:eastAsia="x-none"/>
        </w:rPr>
        <w:t xml:space="preserve">Por lo tanto, la restricción prevista en la Ley 996 de 2005, </w:t>
      </w:r>
      <w:bookmarkStart w:id="15" w:name="_Hlk95735475"/>
      <w:r w:rsidR="00682EF1" w:rsidRPr="00C65F25">
        <w:rPr>
          <w:rFonts w:ascii="Arial" w:eastAsiaTheme="minorHAnsi" w:hAnsi="Arial" w:cs="Arial"/>
          <w:bCs/>
          <w:sz w:val="22"/>
          <w:szCs w:val="22"/>
          <w:lang w:val="es-MX" w:eastAsia="x-none"/>
        </w:rPr>
        <w:t xml:space="preserve">teniendo en cuenta la finalidad de la ley de garantías electorales, cobija a cualquier ente público que pueda a través de la contratación directa romper el equilibrio entre los candidatos en desarrollo de las elecciones presidenciales. </w:t>
      </w:r>
      <w:bookmarkEnd w:id="15"/>
      <w:r w:rsidR="00682EF1" w:rsidRPr="00C65F25">
        <w:rPr>
          <w:rFonts w:ascii="Arial" w:eastAsiaTheme="minorHAnsi" w:hAnsi="Arial" w:cs="Arial"/>
          <w:bCs/>
          <w:sz w:val="22"/>
          <w:szCs w:val="22"/>
          <w:lang w:val="es-MX" w:eastAsia="x-none"/>
        </w:rPr>
        <w:t>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3DF3C18C" w14:textId="6FAD0FD4" w:rsidR="00F12E62" w:rsidRPr="00C65F25" w:rsidRDefault="008533B5" w:rsidP="00C65F25">
      <w:pPr>
        <w:spacing w:after="120" w:line="276" w:lineRule="auto"/>
        <w:ind w:firstLine="709"/>
        <w:jc w:val="both"/>
        <w:rPr>
          <w:rFonts w:ascii="Arial" w:eastAsia="Arial" w:hAnsi="Arial" w:cs="Arial"/>
          <w:sz w:val="22"/>
          <w:szCs w:val="22"/>
          <w:lang w:val="es-ES" w:eastAsia="es-ES" w:bidi="es-ES"/>
        </w:rPr>
      </w:pPr>
      <w:r w:rsidRPr="00C65F25">
        <w:rPr>
          <w:rFonts w:ascii="Arial" w:eastAsia="Arial" w:hAnsi="Arial" w:cs="Arial"/>
          <w:sz w:val="22"/>
          <w:szCs w:val="22"/>
          <w:lang w:val="es-ES" w:eastAsia="es-ES" w:bidi="es-ES"/>
        </w:rPr>
        <w:t>De acuerdo con lo anterior</w:t>
      </w:r>
      <w:r w:rsidR="00F12E62" w:rsidRPr="00C65F25">
        <w:rPr>
          <w:rFonts w:ascii="Arial" w:eastAsia="Arial" w:hAnsi="Arial" w:cs="Arial"/>
          <w:sz w:val="22"/>
          <w:szCs w:val="22"/>
          <w:lang w:val="es-ES" w:eastAsia="es-ES" w:bidi="es-ES"/>
        </w:rPr>
        <w:t xml:space="preserve">, y en relación con su </w:t>
      </w:r>
      <w:r w:rsidRPr="00C65F25">
        <w:rPr>
          <w:rFonts w:ascii="Arial" w:eastAsia="Arial" w:hAnsi="Arial" w:cs="Arial"/>
          <w:sz w:val="22"/>
          <w:szCs w:val="22"/>
          <w:lang w:val="es-ES" w:eastAsia="es-ES" w:bidi="es-ES"/>
        </w:rPr>
        <w:t>petición</w:t>
      </w:r>
      <w:r w:rsidR="00F12E62" w:rsidRPr="00C65F25">
        <w:rPr>
          <w:rFonts w:ascii="Arial" w:eastAsia="Arial" w:hAnsi="Arial" w:cs="Arial"/>
          <w:sz w:val="22"/>
          <w:szCs w:val="22"/>
          <w:lang w:val="es-ES" w:eastAsia="es-ES" w:bidi="es-ES"/>
        </w:rPr>
        <w:t xml:space="preserve">, se considera importante resaltar que </w:t>
      </w:r>
      <w:r w:rsidR="00E8316F" w:rsidRPr="00C65F25">
        <w:rPr>
          <w:rFonts w:ascii="Arial" w:eastAsia="Arial" w:hAnsi="Arial" w:cs="Arial"/>
          <w:sz w:val="22"/>
          <w:szCs w:val="22"/>
          <w:lang w:val="es-ES" w:eastAsia="es-ES" w:bidi="es-ES"/>
        </w:rPr>
        <w:t>la Sala de Consulta y Servicio Civil del</w:t>
      </w:r>
      <w:r w:rsidR="00F12E62" w:rsidRPr="00C65F25">
        <w:rPr>
          <w:rFonts w:ascii="Arial" w:eastAsia="Arial" w:hAnsi="Arial" w:cs="Arial"/>
          <w:sz w:val="22"/>
          <w:szCs w:val="22"/>
          <w:lang w:val="es-ES" w:eastAsia="es-ES" w:bidi="es-ES"/>
        </w:rPr>
        <w:t xml:space="preserve"> Consejo de Estado ha conceptuado en relación con la posibilidad de que las entidades públicas reciban donaciones y, al efecto, consideró que, con base en la prohibición contenida en el artículo 355 de la Constitución Política, </w:t>
      </w:r>
      <w:r w:rsidR="00AA4DF3" w:rsidRPr="00C65F25">
        <w:rPr>
          <w:rFonts w:ascii="Arial" w:eastAsia="Arial" w:hAnsi="Arial" w:cs="Arial"/>
          <w:sz w:val="22"/>
          <w:szCs w:val="22"/>
          <w:lang w:val="es-ES" w:eastAsia="es-ES" w:bidi="es-ES"/>
        </w:rPr>
        <w:t xml:space="preserve">en principio, </w:t>
      </w:r>
      <w:r w:rsidR="00F12E62" w:rsidRPr="00C65F25">
        <w:rPr>
          <w:rFonts w:ascii="Arial" w:eastAsia="Arial" w:hAnsi="Arial" w:cs="Arial"/>
          <w:sz w:val="22"/>
          <w:szCs w:val="22"/>
          <w:lang w:val="es-ES" w:eastAsia="es-ES" w:bidi="es-ES"/>
        </w:rPr>
        <w:t xml:space="preserve">no están prohibidas las donaciones </w:t>
      </w:r>
      <w:r w:rsidR="00E8316F" w:rsidRPr="00C65F25">
        <w:rPr>
          <w:rFonts w:ascii="Arial" w:eastAsia="Arial" w:hAnsi="Arial" w:cs="Arial"/>
          <w:sz w:val="22"/>
          <w:szCs w:val="22"/>
          <w:lang w:val="es-ES" w:eastAsia="es-ES" w:bidi="es-ES"/>
        </w:rPr>
        <w:t>en</w:t>
      </w:r>
      <w:r w:rsidR="00F12E62" w:rsidRPr="00C65F25">
        <w:rPr>
          <w:rFonts w:ascii="Arial" w:eastAsia="Arial" w:hAnsi="Arial" w:cs="Arial"/>
          <w:sz w:val="22"/>
          <w:szCs w:val="22"/>
          <w:lang w:val="es-ES" w:eastAsia="es-ES" w:bidi="es-ES"/>
        </w:rPr>
        <w:t xml:space="preserve"> favor de entidades pública</w:t>
      </w:r>
      <w:r w:rsidR="00E8316F" w:rsidRPr="00C65F25">
        <w:rPr>
          <w:rFonts w:ascii="Arial" w:eastAsia="Arial" w:hAnsi="Arial" w:cs="Arial"/>
          <w:sz w:val="22"/>
          <w:szCs w:val="22"/>
          <w:lang w:val="es-ES" w:eastAsia="es-ES" w:bidi="es-ES"/>
        </w:rPr>
        <w:t>s</w:t>
      </w:r>
      <w:r w:rsidR="00F12E62" w:rsidRPr="00C65F25">
        <w:rPr>
          <w:rFonts w:ascii="Arial" w:eastAsia="Arial" w:hAnsi="Arial" w:cs="Arial"/>
          <w:sz w:val="22"/>
          <w:szCs w:val="22"/>
          <w:lang w:val="es-ES" w:eastAsia="es-ES" w:bidi="es-ES"/>
        </w:rPr>
        <w:t>:</w:t>
      </w:r>
    </w:p>
    <w:p w14:paraId="4B54F36C" w14:textId="77777777" w:rsidR="00F12E62" w:rsidRPr="00C65F25" w:rsidRDefault="00F12E62" w:rsidP="00F12E62">
      <w:pPr>
        <w:ind w:left="708" w:right="616"/>
        <w:jc w:val="both"/>
        <w:rPr>
          <w:rFonts w:ascii="Arial" w:eastAsia="Arial" w:hAnsi="Arial" w:cs="Arial"/>
          <w:sz w:val="21"/>
          <w:szCs w:val="21"/>
          <w:lang w:val="es-ES" w:eastAsia="es-ES" w:bidi="es-ES"/>
        </w:rPr>
      </w:pPr>
    </w:p>
    <w:p w14:paraId="150B4EBA" w14:textId="6ECCD620" w:rsidR="00F12E62" w:rsidRPr="00C65F25" w:rsidRDefault="00F12E62" w:rsidP="00C65F25">
      <w:pPr>
        <w:ind w:left="709" w:right="709"/>
        <w:jc w:val="both"/>
        <w:rPr>
          <w:rFonts w:ascii="Arial" w:eastAsia="Arial" w:hAnsi="Arial" w:cs="Arial"/>
          <w:sz w:val="21"/>
          <w:szCs w:val="21"/>
          <w:lang w:val="es-ES" w:eastAsia="es-ES" w:bidi="es-ES"/>
        </w:rPr>
      </w:pPr>
      <w:r w:rsidRPr="00C65F25">
        <w:rPr>
          <w:rFonts w:ascii="Arial" w:eastAsia="Calibri" w:hAnsi="Arial" w:cs="Arial"/>
          <w:sz w:val="21"/>
          <w:szCs w:val="21"/>
          <w:lang w:val="es-ES"/>
        </w:rPr>
        <w:t>«</w:t>
      </w:r>
      <w:r w:rsidRPr="00C65F25">
        <w:rPr>
          <w:rFonts w:ascii="Arial" w:eastAsia="Arial" w:hAnsi="Arial" w:cs="Arial"/>
          <w:sz w:val="21"/>
          <w:szCs w:val="21"/>
          <w:lang w:val="es-ES" w:eastAsia="es-ES" w:bidi="es-ES"/>
        </w:rPr>
        <w:t xml:space="preserve">[…] si la prohibición es para donar, a favor de personas de derecho privado, </w:t>
      </w:r>
      <w:r w:rsidRPr="00C65F25">
        <w:rPr>
          <w:rFonts w:ascii="Arial" w:eastAsia="Arial" w:hAnsi="Arial" w:cs="Arial"/>
          <w:i/>
          <w:iCs/>
          <w:sz w:val="21"/>
          <w:szCs w:val="21"/>
          <w:lang w:val="es-ES" w:eastAsia="es-ES" w:bidi="es-ES"/>
        </w:rPr>
        <w:t>¿puede entenderse que no están prohibidas las donaciones a favor de entidades públicas?</w:t>
      </w:r>
      <w:r w:rsidRPr="00C65F25">
        <w:rPr>
          <w:rFonts w:ascii="Arial" w:eastAsia="Arial" w:hAnsi="Arial" w:cs="Arial"/>
          <w:sz w:val="21"/>
          <w:szCs w:val="21"/>
          <w:lang w:val="es-ES" w:eastAsia="es-ES" w:bidi="es-ES"/>
        </w:rPr>
        <w:t xml:space="preserve"> Y, también, si la prohibición indicada no pugna con las transferencias </w:t>
      </w:r>
      <w:r w:rsidRPr="00C65F25">
        <w:rPr>
          <w:rFonts w:ascii="Arial" w:eastAsia="Arial" w:hAnsi="Arial" w:cs="Arial"/>
          <w:sz w:val="21"/>
          <w:szCs w:val="21"/>
          <w:lang w:val="es-ES" w:eastAsia="es-ES" w:bidi="es-ES"/>
        </w:rPr>
        <w:lastRenderedPageBreak/>
        <w:t>que se hagan para el cumplimiento de deberes constitucionales expresos, ¿puede concluirse que son procedentes las transferencias entre las ramas u órganos del poder público para el cumplimiento de deberes constitucionales expresos?</w:t>
      </w:r>
    </w:p>
    <w:p w14:paraId="433F85C8" w14:textId="77777777" w:rsidR="00045B0C" w:rsidRPr="00C65F25" w:rsidRDefault="00045B0C" w:rsidP="00C65F25">
      <w:pPr>
        <w:ind w:left="709" w:right="709"/>
        <w:jc w:val="both"/>
        <w:rPr>
          <w:rFonts w:ascii="Arial" w:eastAsia="Arial" w:hAnsi="Arial" w:cs="Arial"/>
          <w:sz w:val="21"/>
          <w:szCs w:val="21"/>
          <w:lang w:val="es-ES" w:eastAsia="es-ES" w:bidi="es-ES"/>
        </w:rPr>
      </w:pPr>
    </w:p>
    <w:p w14:paraId="6DD7FCE6" w14:textId="5D451D04" w:rsidR="00F12E62" w:rsidRPr="00C65F25" w:rsidRDefault="00F12E62" w:rsidP="00C65F25">
      <w:pPr>
        <w:ind w:left="709" w:right="709"/>
        <w:jc w:val="both"/>
        <w:rPr>
          <w:rFonts w:ascii="Arial" w:eastAsia="Arial" w:hAnsi="Arial" w:cs="Arial"/>
          <w:sz w:val="21"/>
          <w:szCs w:val="21"/>
          <w:lang w:val="es-ES" w:eastAsia="es-ES" w:bidi="es-ES"/>
        </w:rPr>
      </w:pPr>
      <w:r w:rsidRPr="00C65F25">
        <w:rPr>
          <w:rFonts w:ascii="Arial" w:eastAsia="Arial" w:hAnsi="Arial" w:cs="Arial"/>
          <w:i/>
          <w:iCs/>
          <w:sz w:val="21"/>
          <w:szCs w:val="21"/>
          <w:lang w:val="es-ES" w:eastAsia="es-ES" w:bidi="es-ES"/>
        </w:rPr>
        <w:t>Respecto de la primera pregunta cabe responder que la Constitución Política no prohíbe expresamente las donaciones o auxilios a favor de entidades que integran las ramas u órganos del poder público, o por lo menos tal prohibición no puede deducirse de lo dispuesto en el artículo 355</w:t>
      </w:r>
      <w:r w:rsidRPr="00C65F25">
        <w:rPr>
          <w:rFonts w:ascii="Arial" w:eastAsia="Arial" w:hAnsi="Arial" w:cs="Arial"/>
          <w:sz w:val="21"/>
          <w:szCs w:val="21"/>
          <w:lang w:val="es-ES" w:eastAsia="es-ES" w:bidi="es-ES"/>
        </w:rPr>
        <w:t>. La respuesta a la segunda pregunta será que sí proceden esas transferencias entre las ramas u órganos del poder público para el cumplimiento de deberes constitucionales expresos»</w:t>
      </w:r>
      <w:r w:rsidRPr="00C65F25">
        <w:rPr>
          <w:rStyle w:val="Refdenotaalpie"/>
          <w:rFonts w:ascii="Arial" w:eastAsia="Arial" w:hAnsi="Arial" w:cs="Arial"/>
          <w:sz w:val="21"/>
          <w:szCs w:val="21"/>
          <w:lang w:val="es-ES" w:eastAsia="es-ES" w:bidi="es-ES"/>
        </w:rPr>
        <w:footnoteReference w:id="27"/>
      </w:r>
      <w:r w:rsidR="00045B0C" w:rsidRPr="00C65F25">
        <w:rPr>
          <w:rFonts w:ascii="Arial" w:eastAsia="Arial" w:hAnsi="Arial" w:cs="Arial"/>
          <w:sz w:val="21"/>
          <w:szCs w:val="21"/>
          <w:lang w:val="es-ES" w:eastAsia="es-ES" w:bidi="es-ES"/>
        </w:rPr>
        <w:t>.</w:t>
      </w:r>
    </w:p>
    <w:p w14:paraId="2ED3620F" w14:textId="06091774" w:rsidR="001475BD" w:rsidRPr="00C65F25" w:rsidRDefault="002F7680" w:rsidP="00C65F25">
      <w:pPr>
        <w:spacing w:before="120" w:after="120" w:line="276" w:lineRule="auto"/>
        <w:ind w:firstLine="708"/>
        <w:jc w:val="both"/>
        <w:rPr>
          <w:rFonts w:ascii="Arial" w:eastAsia="Arial" w:hAnsi="Arial" w:cs="Arial"/>
          <w:sz w:val="22"/>
          <w:szCs w:val="22"/>
          <w:shd w:val="clear" w:color="auto" w:fill="FFFFFF" w:themeFill="background1"/>
          <w:lang w:val="es-ES" w:eastAsia="es-ES" w:bidi="es-ES"/>
        </w:rPr>
      </w:pPr>
      <w:r w:rsidRPr="00C65F25">
        <w:rPr>
          <w:rFonts w:ascii="Arial" w:eastAsia="Arial" w:hAnsi="Arial" w:cs="Arial"/>
          <w:sz w:val="22"/>
          <w:szCs w:val="22"/>
          <w:lang w:val="es-ES" w:eastAsia="es-ES" w:bidi="es-ES"/>
        </w:rPr>
        <w:t>Teniendo en cuenta lo anterior y el desarrollo efectuado respecto al alcance de la prohibición establecida en el artículo 33 de la Ley de Garantía Electorales</w:t>
      </w:r>
      <w:r w:rsidR="007D46E5" w:rsidRPr="00C65F25">
        <w:rPr>
          <w:rFonts w:ascii="Arial" w:eastAsia="Arial" w:hAnsi="Arial" w:cs="Arial"/>
          <w:sz w:val="22"/>
          <w:szCs w:val="22"/>
          <w:shd w:val="clear" w:color="auto" w:fill="FFFFFF" w:themeFill="background1"/>
          <w:lang w:val="es-ES" w:eastAsia="es-ES" w:bidi="es-ES"/>
        </w:rPr>
        <w:t>,</w:t>
      </w:r>
      <w:r w:rsidR="00286D26" w:rsidRPr="00C65F25">
        <w:rPr>
          <w:rFonts w:ascii="Arial" w:eastAsia="Arial" w:hAnsi="Arial" w:cs="Arial"/>
          <w:sz w:val="22"/>
          <w:szCs w:val="22"/>
          <w:shd w:val="clear" w:color="auto" w:fill="FFFFFF" w:themeFill="background1"/>
          <w:lang w:val="es-ES" w:eastAsia="es-ES" w:bidi="es-ES"/>
        </w:rPr>
        <w:t xml:space="preserve"> en ejercicio de su discrecionalidad y autonomía contractual, cada entidad estatal deberá </w:t>
      </w:r>
      <w:r w:rsidR="00AA4DF3" w:rsidRPr="00C65F25">
        <w:rPr>
          <w:rFonts w:ascii="Arial" w:eastAsia="Arial" w:hAnsi="Arial" w:cs="Arial"/>
          <w:sz w:val="22"/>
          <w:szCs w:val="22"/>
          <w:shd w:val="clear" w:color="auto" w:fill="FFFFFF" w:themeFill="background1"/>
          <w:lang w:val="es-ES" w:eastAsia="es-ES" w:bidi="es-ES"/>
        </w:rPr>
        <w:t>analizar</w:t>
      </w:r>
      <w:r w:rsidR="00286D26" w:rsidRPr="00C65F25">
        <w:rPr>
          <w:rFonts w:ascii="Arial" w:eastAsia="Arial" w:hAnsi="Arial" w:cs="Arial"/>
          <w:sz w:val="22"/>
          <w:szCs w:val="22"/>
          <w:shd w:val="clear" w:color="auto" w:fill="FFFFFF" w:themeFill="background1"/>
          <w:lang w:val="es-ES" w:eastAsia="es-ES" w:bidi="es-ES"/>
        </w:rPr>
        <w:t>, en el caso concreto, si la celebración de un contrato de donación,</w:t>
      </w:r>
      <w:r w:rsidR="001475BD" w:rsidRPr="00C65F25">
        <w:rPr>
          <w:rFonts w:ascii="Arial" w:eastAsia="Arial" w:hAnsi="Arial" w:cs="Arial"/>
          <w:sz w:val="22"/>
          <w:szCs w:val="22"/>
          <w:shd w:val="clear" w:color="auto" w:fill="FFFFFF" w:themeFill="background1"/>
          <w:lang w:val="es-ES" w:eastAsia="es-ES" w:bidi="es-ES"/>
        </w:rPr>
        <w:t xml:space="preserve"> que no está prohibido </w:t>
      </w:r>
      <w:r w:rsidR="00E8316F" w:rsidRPr="00C65F25">
        <w:rPr>
          <w:rFonts w:ascii="Arial" w:eastAsia="Arial" w:hAnsi="Arial" w:cs="Arial"/>
          <w:sz w:val="22"/>
          <w:szCs w:val="22"/>
          <w:shd w:val="clear" w:color="auto" w:fill="FFFFFF" w:themeFill="background1"/>
          <w:lang w:val="es-ES" w:eastAsia="es-ES" w:bidi="es-ES"/>
        </w:rPr>
        <w:t xml:space="preserve">de forma general </w:t>
      </w:r>
      <w:r w:rsidR="001475BD" w:rsidRPr="00C65F25">
        <w:rPr>
          <w:rFonts w:ascii="Arial" w:eastAsia="Arial" w:hAnsi="Arial" w:cs="Arial"/>
          <w:sz w:val="22"/>
          <w:szCs w:val="22"/>
          <w:shd w:val="clear" w:color="auto" w:fill="FFFFFF" w:themeFill="background1"/>
          <w:lang w:val="es-ES" w:eastAsia="es-ES" w:bidi="es-ES"/>
        </w:rPr>
        <w:t>a nivel constitucional o legal</w:t>
      </w:r>
      <w:r w:rsidR="006942D5" w:rsidRPr="00C65F25">
        <w:rPr>
          <w:rFonts w:ascii="Arial" w:eastAsia="Arial" w:hAnsi="Arial" w:cs="Arial"/>
          <w:sz w:val="22"/>
          <w:szCs w:val="22"/>
          <w:shd w:val="clear" w:color="auto" w:fill="FFFFFF" w:themeFill="background1"/>
          <w:lang w:val="es-ES" w:eastAsia="es-ES" w:bidi="es-ES"/>
        </w:rPr>
        <w:t xml:space="preserve"> cuando la entidad funge como donataria</w:t>
      </w:r>
      <w:r w:rsidR="001475BD" w:rsidRPr="00C65F25">
        <w:rPr>
          <w:rFonts w:ascii="Arial" w:eastAsia="Arial" w:hAnsi="Arial" w:cs="Arial"/>
          <w:sz w:val="22"/>
          <w:szCs w:val="22"/>
          <w:shd w:val="clear" w:color="auto" w:fill="FFFFFF" w:themeFill="background1"/>
          <w:lang w:val="es-ES" w:eastAsia="es-ES" w:bidi="es-ES"/>
        </w:rPr>
        <w:t xml:space="preserve">, </w:t>
      </w:r>
      <w:r w:rsidR="00286D26" w:rsidRPr="00C65F25">
        <w:rPr>
          <w:rFonts w:ascii="Arial" w:eastAsia="Arial" w:hAnsi="Arial" w:cs="Arial"/>
          <w:sz w:val="22"/>
          <w:szCs w:val="22"/>
          <w:shd w:val="clear" w:color="auto" w:fill="FFFFFF" w:themeFill="background1"/>
          <w:lang w:val="es-ES" w:eastAsia="es-ES" w:bidi="es-ES"/>
        </w:rPr>
        <w:t>contraría la finalidad perseguida por la Ley de garantías</w:t>
      </w:r>
      <w:r w:rsidR="001475BD" w:rsidRPr="00C65F25">
        <w:rPr>
          <w:rFonts w:ascii="Arial" w:eastAsia="Arial" w:hAnsi="Arial" w:cs="Arial"/>
          <w:sz w:val="22"/>
          <w:szCs w:val="22"/>
          <w:shd w:val="clear" w:color="auto" w:fill="FFFFFF" w:themeFill="background1"/>
          <w:lang w:val="es-ES" w:eastAsia="es-ES" w:bidi="es-ES"/>
        </w:rPr>
        <w:t xml:space="preserve"> y las prohibiciones y restricciones contenidas</w:t>
      </w:r>
      <w:r w:rsidR="00854B53" w:rsidRPr="00C65F25">
        <w:rPr>
          <w:rFonts w:ascii="Arial" w:eastAsia="Arial" w:hAnsi="Arial" w:cs="Arial"/>
          <w:sz w:val="22"/>
          <w:szCs w:val="22"/>
          <w:shd w:val="clear" w:color="auto" w:fill="FFFFFF" w:themeFill="background1"/>
          <w:lang w:val="es-ES" w:eastAsia="es-ES" w:bidi="es-ES"/>
        </w:rPr>
        <w:t xml:space="preserve"> </w:t>
      </w:r>
      <w:r w:rsidR="006942D5" w:rsidRPr="00C65F25">
        <w:rPr>
          <w:rFonts w:ascii="Arial" w:eastAsia="Arial" w:hAnsi="Arial" w:cs="Arial"/>
          <w:sz w:val="22"/>
          <w:szCs w:val="22"/>
          <w:shd w:val="clear" w:color="auto" w:fill="FFFFFF" w:themeFill="background1"/>
          <w:lang w:val="es-ES" w:eastAsia="es-ES" w:bidi="es-ES"/>
        </w:rPr>
        <w:t xml:space="preserve">en ella </w:t>
      </w:r>
      <w:r w:rsidR="00854B53" w:rsidRPr="00C65F25">
        <w:rPr>
          <w:rFonts w:ascii="Arial" w:eastAsia="Arial" w:hAnsi="Arial" w:cs="Arial"/>
          <w:sz w:val="22"/>
          <w:szCs w:val="22"/>
          <w:shd w:val="clear" w:color="auto" w:fill="FFFFFF" w:themeFill="background1"/>
          <w:lang w:val="es-ES" w:eastAsia="es-ES" w:bidi="es-ES"/>
        </w:rPr>
        <w:t>y, por tanto, se trata de un contrato prohibido durante los cuatro (4) meses anteriores a la elección presidencial, es decir, desde el 29 de enero de 2022, de conformidad con la Resolución No. 4371 del 18 de mayo de 2021 de la Registraduría General del Estado Civil, y hasta la realización de la elección en la segunda vuelta, si fuere el caso.</w:t>
      </w:r>
    </w:p>
    <w:p w14:paraId="120E00C3" w14:textId="3C8F42B2" w:rsidR="00F12E62" w:rsidRPr="00C65F25" w:rsidRDefault="009D7FE7" w:rsidP="001475BD">
      <w:pPr>
        <w:spacing w:before="120" w:after="120" w:line="276" w:lineRule="auto"/>
        <w:ind w:firstLine="708"/>
        <w:jc w:val="both"/>
        <w:rPr>
          <w:rFonts w:ascii="Arial" w:hAnsi="Arial" w:cs="Arial"/>
          <w:sz w:val="22"/>
          <w:szCs w:val="22"/>
          <w:lang w:eastAsia="x-none"/>
        </w:rPr>
      </w:pPr>
      <w:r w:rsidRPr="00C65F25">
        <w:rPr>
          <w:rFonts w:ascii="Arial" w:eastAsia="Arial" w:hAnsi="Arial" w:cs="Arial"/>
          <w:sz w:val="22"/>
          <w:szCs w:val="22"/>
          <w:shd w:val="clear" w:color="auto" w:fill="FFFFFF" w:themeFill="background1"/>
          <w:lang w:val="es-ES" w:eastAsia="es-ES" w:bidi="es-ES"/>
        </w:rPr>
        <w:t>Lo anterior, particularmente en relación con la dimensión subjetiva y material de la prohibición contenida en el artículo 33 de la Ley 996 de 2005</w:t>
      </w:r>
      <w:r w:rsidR="00E8316F" w:rsidRPr="00C65F25">
        <w:rPr>
          <w:rFonts w:ascii="Arial" w:eastAsia="Arial" w:hAnsi="Arial" w:cs="Arial"/>
          <w:sz w:val="22"/>
          <w:szCs w:val="22"/>
          <w:shd w:val="clear" w:color="auto" w:fill="FFFFFF" w:themeFill="background1"/>
          <w:lang w:val="es-ES" w:eastAsia="es-ES" w:bidi="es-ES"/>
        </w:rPr>
        <w:t>, a los que se aludió anteriormente</w:t>
      </w:r>
      <w:r w:rsidRPr="00C65F25">
        <w:rPr>
          <w:rFonts w:ascii="Arial" w:eastAsia="Arial" w:hAnsi="Arial" w:cs="Arial"/>
          <w:sz w:val="22"/>
          <w:szCs w:val="22"/>
          <w:shd w:val="clear" w:color="auto" w:fill="FFFFFF" w:themeFill="background1"/>
          <w:lang w:val="es-ES" w:eastAsia="es-ES" w:bidi="es-ES"/>
        </w:rPr>
        <w:t>: por un lado, desde una perspectiva subjetiva, la prohibición está dirigida a «todos los entes del Estado», expresión que contempla a los diferentes organismos o entidades autorizadas por la ley para suscribir contratos</w:t>
      </w:r>
      <w:r w:rsidR="00E8316F" w:rsidRPr="00C65F25">
        <w:rPr>
          <w:rFonts w:ascii="Arial" w:eastAsia="Arial" w:hAnsi="Arial" w:cs="Arial"/>
          <w:sz w:val="22"/>
          <w:szCs w:val="22"/>
          <w:shd w:val="clear" w:color="auto" w:fill="FFFFFF" w:themeFill="background1"/>
          <w:lang w:val="es-ES" w:eastAsia="es-ES" w:bidi="es-ES"/>
        </w:rPr>
        <w:t>;</w:t>
      </w:r>
      <w:r w:rsidRPr="00C65F25">
        <w:rPr>
          <w:rFonts w:ascii="Arial" w:eastAsia="Arial" w:hAnsi="Arial" w:cs="Arial"/>
          <w:sz w:val="22"/>
          <w:szCs w:val="22"/>
          <w:shd w:val="clear" w:color="auto" w:fill="FFFFFF" w:themeFill="background1"/>
          <w:lang w:val="es-ES" w:eastAsia="es-ES" w:bidi="es-ES"/>
        </w:rPr>
        <w:t xml:space="preserve"> y, por el otro lado, desde una perspectiva material, dicha prohibición está delimitada por la expresión «queda prohibida la contratación directa»</w:t>
      </w:r>
      <w:r w:rsidR="003343F7" w:rsidRPr="00C65F25">
        <w:rPr>
          <w:rFonts w:ascii="Arial" w:eastAsia="Arial" w:hAnsi="Arial" w:cs="Arial"/>
          <w:sz w:val="22"/>
          <w:szCs w:val="22"/>
          <w:shd w:val="clear" w:color="auto" w:fill="FFFFFF" w:themeFill="background1"/>
          <w:lang w:val="es-ES" w:eastAsia="es-ES" w:bidi="es-ES"/>
        </w:rPr>
        <w:t>, la cual se refiere a cualquier sistema de selección que no implique convocatoria pública y posibilidad de pluralidad de oferentes</w:t>
      </w:r>
      <w:r w:rsidR="003D0C6E" w:rsidRPr="00C65F25">
        <w:rPr>
          <w:rFonts w:ascii="Arial" w:eastAsia="Arial" w:hAnsi="Arial" w:cs="Arial"/>
          <w:sz w:val="22"/>
          <w:szCs w:val="22"/>
          <w:shd w:val="clear" w:color="auto" w:fill="FFFFFF" w:themeFill="background1"/>
          <w:lang w:val="es-ES" w:eastAsia="es-ES" w:bidi="es-ES"/>
        </w:rPr>
        <w:t>, con independencia del objeto o tipología contractual</w:t>
      </w:r>
      <w:r w:rsidR="00516564" w:rsidRPr="00C65F25">
        <w:rPr>
          <w:rFonts w:ascii="Arial" w:eastAsia="Arial" w:hAnsi="Arial" w:cs="Arial"/>
          <w:sz w:val="22"/>
          <w:szCs w:val="22"/>
          <w:shd w:val="clear" w:color="auto" w:fill="FFFFFF" w:themeFill="background1"/>
          <w:lang w:val="es-ES" w:eastAsia="es-ES" w:bidi="es-ES"/>
        </w:rPr>
        <w:t>. Lo anterior,</w:t>
      </w:r>
      <w:r w:rsidR="003D0C6E" w:rsidRPr="00C65F25">
        <w:rPr>
          <w:rFonts w:ascii="Arial" w:eastAsia="Arial" w:hAnsi="Arial" w:cs="Arial"/>
          <w:sz w:val="22"/>
          <w:szCs w:val="22"/>
          <w:shd w:val="clear" w:color="auto" w:fill="FFFFFF" w:themeFill="background1"/>
          <w:lang w:val="es-ES" w:eastAsia="es-ES" w:bidi="es-ES"/>
        </w:rPr>
        <w:t xml:space="preserve"> salvo que se presente alguna de las excepciones establecidas en el inciso segundo del artículo 33 de la Ley de Garantías Electorales, precisando que no hay una excepción particular </w:t>
      </w:r>
      <w:r w:rsidR="002F7680" w:rsidRPr="00C65F25">
        <w:rPr>
          <w:rFonts w:ascii="Arial" w:eastAsia="Arial" w:hAnsi="Arial" w:cs="Arial"/>
          <w:sz w:val="22"/>
          <w:szCs w:val="22"/>
          <w:shd w:val="clear" w:color="auto" w:fill="FFFFFF" w:themeFill="background1"/>
          <w:lang w:val="es-ES" w:eastAsia="es-ES" w:bidi="es-ES"/>
        </w:rPr>
        <w:t xml:space="preserve">a la prohibición </w:t>
      </w:r>
      <w:r w:rsidR="003D0C6E" w:rsidRPr="00C65F25">
        <w:rPr>
          <w:rFonts w:ascii="Arial" w:eastAsia="Arial" w:hAnsi="Arial" w:cs="Arial"/>
          <w:sz w:val="22"/>
          <w:szCs w:val="22"/>
          <w:shd w:val="clear" w:color="auto" w:fill="FFFFFF" w:themeFill="background1"/>
          <w:lang w:val="es-ES" w:eastAsia="es-ES" w:bidi="es-ES"/>
        </w:rPr>
        <w:t>relacionada con los contratos de donación</w:t>
      </w:r>
      <w:r w:rsidR="00516564" w:rsidRPr="00C65F25">
        <w:rPr>
          <w:rFonts w:ascii="Arial" w:eastAsia="Arial" w:hAnsi="Arial" w:cs="Arial"/>
          <w:sz w:val="22"/>
          <w:szCs w:val="22"/>
          <w:shd w:val="clear" w:color="auto" w:fill="FFFFFF" w:themeFill="background1"/>
          <w:lang w:val="es-ES" w:eastAsia="es-ES" w:bidi="es-ES"/>
        </w:rPr>
        <w:t xml:space="preserve">; </w:t>
      </w:r>
      <w:r w:rsidR="00C763FB" w:rsidRPr="00C65F25">
        <w:rPr>
          <w:rFonts w:ascii="Arial" w:eastAsia="Arial" w:hAnsi="Arial" w:cs="Arial"/>
          <w:sz w:val="22"/>
          <w:szCs w:val="22"/>
          <w:shd w:val="clear" w:color="auto" w:fill="FFFFFF" w:themeFill="background1"/>
          <w:lang w:val="es-ES" w:eastAsia="es-ES" w:bidi="es-ES"/>
        </w:rPr>
        <w:t>sin embargo, sería posible que dicho contrato, atendiendo a las circunstancias particulares</w:t>
      </w:r>
      <w:r w:rsidR="00567737" w:rsidRPr="00C65F25">
        <w:rPr>
          <w:rFonts w:ascii="Arial" w:eastAsia="Arial" w:hAnsi="Arial" w:cs="Arial"/>
          <w:sz w:val="22"/>
          <w:szCs w:val="22"/>
          <w:shd w:val="clear" w:color="auto" w:fill="FFFFFF" w:themeFill="background1"/>
          <w:lang w:val="es-ES" w:eastAsia="es-ES" w:bidi="es-ES"/>
        </w:rPr>
        <w:t xml:space="preserve"> y a su objeto contractual</w:t>
      </w:r>
      <w:r w:rsidR="00C763FB" w:rsidRPr="00C65F25">
        <w:rPr>
          <w:rFonts w:ascii="Arial" w:eastAsia="Arial" w:hAnsi="Arial" w:cs="Arial"/>
          <w:sz w:val="22"/>
          <w:szCs w:val="22"/>
          <w:shd w:val="clear" w:color="auto" w:fill="FFFFFF" w:themeFill="background1"/>
          <w:lang w:val="es-ES" w:eastAsia="es-ES" w:bidi="es-ES"/>
        </w:rPr>
        <w:t>, se enmarcara en alguna de dichas excepciones, caso en que sería procedente su celebración de forma directa</w:t>
      </w:r>
      <w:r w:rsidR="00516564" w:rsidRPr="00C65F25">
        <w:rPr>
          <w:rFonts w:ascii="Arial" w:eastAsia="Arial" w:hAnsi="Arial" w:cs="Arial"/>
          <w:sz w:val="22"/>
          <w:szCs w:val="22"/>
          <w:shd w:val="clear" w:color="auto" w:fill="FFFFFF" w:themeFill="background1"/>
          <w:lang w:val="es-ES" w:eastAsia="es-ES" w:bidi="es-ES"/>
        </w:rPr>
        <w:t>.</w:t>
      </w:r>
      <w:r w:rsidR="001475BD" w:rsidRPr="00C65F25">
        <w:rPr>
          <w:rFonts w:ascii="Arial" w:hAnsi="Arial" w:cs="Arial"/>
          <w:bCs/>
          <w:sz w:val="22"/>
          <w:szCs w:val="22"/>
          <w:lang w:val="es-MX" w:eastAsia="x-none"/>
        </w:rPr>
        <w:t xml:space="preserve"> </w:t>
      </w:r>
    </w:p>
    <w:bookmarkEnd w:id="7"/>
    <w:p w14:paraId="6938A576" w14:textId="77777777" w:rsidR="008F1F27" w:rsidRPr="00C65F25" w:rsidRDefault="008F1F27" w:rsidP="008F1F27">
      <w:pPr>
        <w:tabs>
          <w:tab w:val="left" w:pos="709"/>
        </w:tabs>
        <w:spacing w:line="276" w:lineRule="auto"/>
        <w:jc w:val="both"/>
        <w:rPr>
          <w:rFonts w:ascii="Arial" w:eastAsia="Calibri" w:hAnsi="Arial" w:cs="Arial"/>
          <w:b/>
          <w:sz w:val="22"/>
          <w:szCs w:val="22"/>
          <w:lang w:val="es-ES"/>
        </w:rPr>
      </w:pPr>
    </w:p>
    <w:p w14:paraId="0B37DE35" w14:textId="17C5D206" w:rsidR="008F1F27" w:rsidRPr="00C65F25" w:rsidRDefault="008F1F27" w:rsidP="0011507F">
      <w:pPr>
        <w:tabs>
          <w:tab w:val="left" w:pos="709"/>
        </w:tabs>
        <w:spacing w:line="276" w:lineRule="auto"/>
        <w:jc w:val="both"/>
        <w:rPr>
          <w:rFonts w:ascii="Arial" w:eastAsia="Calibri" w:hAnsi="Arial" w:cs="Arial"/>
          <w:b/>
          <w:sz w:val="22"/>
          <w:szCs w:val="22"/>
          <w:lang w:val="es-ES"/>
        </w:rPr>
      </w:pPr>
      <w:r w:rsidRPr="00C65F25">
        <w:rPr>
          <w:rFonts w:ascii="Arial" w:eastAsia="Calibri" w:hAnsi="Arial" w:cs="Arial"/>
          <w:b/>
          <w:sz w:val="22"/>
          <w:szCs w:val="22"/>
          <w:lang w:val="es-ES"/>
        </w:rPr>
        <w:t>3. Respuesta</w:t>
      </w:r>
    </w:p>
    <w:p w14:paraId="07530A7B" w14:textId="5A675BD6" w:rsidR="0011507F" w:rsidRPr="00C65F25" w:rsidRDefault="0011507F" w:rsidP="0011507F">
      <w:pPr>
        <w:pStyle w:val="NormalWeb"/>
        <w:ind w:left="709" w:right="709"/>
        <w:jc w:val="both"/>
        <w:rPr>
          <w:rFonts w:ascii="Arial" w:hAnsi="Arial" w:cs="Arial"/>
          <w:sz w:val="21"/>
          <w:szCs w:val="21"/>
          <w:lang w:val="es-ES"/>
        </w:rPr>
      </w:pPr>
      <w:r w:rsidRPr="00C65F25">
        <w:rPr>
          <w:rFonts w:ascii="Arial" w:hAnsi="Arial" w:cs="Arial"/>
          <w:sz w:val="21"/>
          <w:szCs w:val="21"/>
        </w:rPr>
        <w:lastRenderedPageBreak/>
        <w:t>«Les solicito aclaración si es posible que en ley de garantías un municipio reciba una donación por un particular o si también existe restricción</w:t>
      </w:r>
      <w:r w:rsidRPr="00C65F25">
        <w:rPr>
          <w:rFonts w:ascii="Arial" w:hAnsi="Arial" w:cs="Arial"/>
          <w:sz w:val="21"/>
          <w:szCs w:val="21"/>
          <w:lang w:val="es-ES"/>
        </w:rPr>
        <w:t xml:space="preserve">». </w:t>
      </w:r>
    </w:p>
    <w:p w14:paraId="14C11B48" w14:textId="63F3ADC7" w:rsidR="00AA4DF3" w:rsidRPr="00C65F25" w:rsidRDefault="008F1F27" w:rsidP="00C65F25">
      <w:pPr>
        <w:spacing w:before="120" w:after="120" w:line="276" w:lineRule="auto"/>
        <w:jc w:val="both"/>
        <w:rPr>
          <w:rFonts w:ascii="Arial" w:eastAsia="Arial" w:hAnsi="Arial" w:cs="Arial"/>
          <w:sz w:val="22"/>
          <w:szCs w:val="22"/>
          <w:shd w:val="clear" w:color="auto" w:fill="FFFFFF" w:themeFill="background1"/>
          <w:lang w:val="es-ES" w:eastAsia="es-ES" w:bidi="es-ES"/>
        </w:rPr>
      </w:pPr>
      <w:r w:rsidRPr="00C65F25">
        <w:rPr>
          <w:rFonts w:ascii="Arial" w:hAnsi="Arial" w:cs="Arial"/>
          <w:sz w:val="22"/>
          <w:szCs w:val="22"/>
          <w:lang w:val="es-ES_tradnl" w:eastAsia="es-ES_tradnl"/>
        </w:rPr>
        <w:t xml:space="preserve">Con </w:t>
      </w:r>
      <w:r w:rsidR="002F7680" w:rsidRPr="00C65F25">
        <w:rPr>
          <w:rFonts w:ascii="Arial" w:hAnsi="Arial" w:cs="Arial"/>
          <w:sz w:val="22"/>
          <w:szCs w:val="22"/>
          <w:lang w:val="es-ES_tradnl" w:eastAsia="es-ES_tradnl"/>
        </w:rPr>
        <w:t xml:space="preserve">fundamento </w:t>
      </w:r>
      <w:r w:rsidRPr="00C65F25">
        <w:rPr>
          <w:rFonts w:ascii="Arial" w:hAnsi="Arial" w:cs="Arial"/>
          <w:sz w:val="22"/>
          <w:szCs w:val="22"/>
          <w:lang w:val="es-ES_tradnl" w:eastAsia="es-ES_tradnl"/>
        </w:rPr>
        <w:t xml:space="preserve">en las anteriores consideraciones, esta Agencia </w:t>
      </w:r>
      <w:r w:rsidR="002F7680" w:rsidRPr="00C65F25">
        <w:rPr>
          <w:rFonts w:ascii="Arial" w:hAnsi="Arial" w:cs="Arial"/>
          <w:sz w:val="22"/>
          <w:szCs w:val="22"/>
          <w:lang w:val="es-ES_tradnl" w:eastAsia="es-ES_tradnl"/>
        </w:rPr>
        <w:t xml:space="preserve">concluye </w:t>
      </w:r>
      <w:r w:rsidRPr="00C65F25">
        <w:rPr>
          <w:rFonts w:ascii="Arial" w:hAnsi="Arial" w:cs="Arial"/>
          <w:sz w:val="22"/>
          <w:szCs w:val="22"/>
          <w:lang w:val="es-ES_tradnl" w:eastAsia="es-ES_tradnl"/>
        </w:rPr>
        <w:t>que</w:t>
      </w:r>
      <w:r w:rsidR="001475BD" w:rsidRPr="00C65F25">
        <w:rPr>
          <w:rFonts w:ascii="Arial" w:hAnsi="Arial" w:cs="Arial"/>
          <w:sz w:val="22"/>
          <w:szCs w:val="22"/>
          <w:lang w:val="es-ES_tradnl" w:eastAsia="es-ES_tradnl"/>
        </w:rPr>
        <w:t>,</w:t>
      </w:r>
      <w:r w:rsidRPr="00C65F25">
        <w:rPr>
          <w:rFonts w:ascii="Arial" w:hAnsi="Arial" w:cs="Arial"/>
          <w:sz w:val="22"/>
          <w:szCs w:val="22"/>
          <w:lang w:val="es-ES_tradnl" w:eastAsia="es-ES_tradnl"/>
        </w:rPr>
        <w:t xml:space="preserve"> </w:t>
      </w:r>
      <w:r w:rsidR="00AA4DF3" w:rsidRPr="00C65F25">
        <w:rPr>
          <w:rFonts w:ascii="Arial" w:eastAsia="Arial" w:hAnsi="Arial" w:cs="Arial"/>
          <w:sz w:val="22"/>
          <w:szCs w:val="22"/>
          <w:shd w:val="clear" w:color="auto" w:fill="FFFFFF" w:themeFill="background1"/>
          <w:lang w:val="es-ES" w:eastAsia="es-ES" w:bidi="es-ES"/>
        </w:rPr>
        <w:t>en ejercicio de su discrecionalidad y autonomía contractual, cada entidad estatal deberá analizar, en el caso concreto, si la celebración de un contrato de donación, que no está prohibido de forma general a nivel constitucional o legal cuando la entidad funge como donataria, contraría la finalidad perseguida por la Ley de garantías y las prohibiciones y restricciones contenidas en ella y, por tanto, se trata de un contrato prohibido durante los cuatro (4) meses anteriores a la elección presidencial, es decir, desde el 29 de enero de 2022, de conformidad con la Resolución No. 4371 del 18 de mayo de 2021 de la Registraduría General del Estado Civil, y hasta la realización de la elección en la segunda vuelta, si fuere el caso.</w:t>
      </w:r>
    </w:p>
    <w:p w14:paraId="59C22969" w14:textId="39A50A07" w:rsidR="001475BD" w:rsidRPr="00612B90" w:rsidRDefault="00AA4DF3" w:rsidP="00612B90">
      <w:pPr>
        <w:spacing w:before="120" w:after="120" w:line="276" w:lineRule="auto"/>
        <w:ind w:firstLine="708"/>
        <w:jc w:val="both"/>
        <w:rPr>
          <w:rFonts w:ascii="Arial" w:eastAsia="Arial" w:hAnsi="Arial" w:cs="Arial"/>
          <w:sz w:val="22"/>
          <w:szCs w:val="22"/>
          <w:shd w:val="clear" w:color="auto" w:fill="FFFFFF" w:themeFill="background1"/>
          <w:lang w:val="es-ES" w:eastAsia="es-ES" w:bidi="es-ES"/>
        </w:rPr>
      </w:pPr>
      <w:r w:rsidRPr="00C65F25">
        <w:rPr>
          <w:rFonts w:ascii="Arial" w:eastAsia="Arial" w:hAnsi="Arial" w:cs="Arial"/>
          <w:sz w:val="22"/>
          <w:szCs w:val="22"/>
          <w:shd w:val="clear" w:color="auto" w:fill="FFFFFF" w:themeFill="background1"/>
          <w:lang w:val="es-ES" w:eastAsia="es-ES" w:bidi="es-ES"/>
        </w:rPr>
        <w:t>Lo anterior, particularmente en relación con la dimensión subjetiva y material de la prohibición contenida en el artículo 33 de la Ley 996 de 2005, a los que se aludió anteriormente: por un lado, desde una perspectiva subjetiva, la prohibición está dirigida a «todos los entes del Estado», expresión que contempla a los diferentes organismos o entidades autorizadas por la ley para suscribir contratos; y, por el otro lado, desde una perspectiva material, dicha prohibición está delimitada por la expresión «queda prohibida la contratación directa», la cual se refiere a cualquier sistema de selección que no implique convocatoria pública y posibilidad de pluralidad de oferentes, con independencia del objeto o tipología contractual</w:t>
      </w:r>
      <w:r w:rsidR="00516564" w:rsidRPr="00C65F25">
        <w:rPr>
          <w:rFonts w:ascii="Arial" w:eastAsia="Arial" w:hAnsi="Arial" w:cs="Arial"/>
          <w:sz w:val="22"/>
          <w:szCs w:val="22"/>
          <w:shd w:val="clear" w:color="auto" w:fill="FFFFFF" w:themeFill="background1"/>
          <w:lang w:val="es-ES" w:eastAsia="es-ES" w:bidi="es-ES"/>
        </w:rPr>
        <w:t>.</w:t>
      </w:r>
      <w:r w:rsidRPr="00C65F25">
        <w:rPr>
          <w:rFonts w:ascii="Arial" w:eastAsia="Arial" w:hAnsi="Arial" w:cs="Arial"/>
          <w:sz w:val="22"/>
          <w:szCs w:val="22"/>
          <w:shd w:val="clear" w:color="auto" w:fill="FFFFFF" w:themeFill="background1"/>
          <w:lang w:val="es-ES" w:eastAsia="es-ES" w:bidi="es-ES"/>
        </w:rPr>
        <w:t xml:space="preserve"> </w:t>
      </w:r>
      <w:r w:rsidR="00516564" w:rsidRPr="00C65F25">
        <w:rPr>
          <w:rFonts w:ascii="Arial" w:eastAsia="Arial" w:hAnsi="Arial" w:cs="Arial"/>
          <w:sz w:val="22"/>
          <w:szCs w:val="22"/>
          <w:shd w:val="clear" w:color="auto" w:fill="FFFFFF" w:themeFill="background1"/>
          <w:lang w:val="es-ES" w:eastAsia="es-ES" w:bidi="es-ES"/>
        </w:rPr>
        <w:t>Lo anterior, salvo que se presente alguna de las excepciones establecidas en el inciso segundo del artículo 33 de la Ley de Garantías Electorales, precisando que no hay una excepción particular a la prohibición relacionada con los contratos de donación; sin embargo, sería posible que dicho contrato, atendiendo a las circunstancias particulares</w:t>
      </w:r>
      <w:r w:rsidR="00567737" w:rsidRPr="00C65F25">
        <w:rPr>
          <w:rFonts w:ascii="Arial" w:eastAsia="Arial" w:hAnsi="Arial" w:cs="Arial"/>
          <w:sz w:val="22"/>
          <w:szCs w:val="22"/>
          <w:shd w:val="clear" w:color="auto" w:fill="FFFFFF" w:themeFill="background1"/>
          <w:lang w:val="es-ES" w:eastAsia="es-ES" w:bidi="es-ES"/>
        </w:rPr>
        <w:t xml:space="preserve"> y a su objeto contractual</w:t>
      </w:r>
      <w:r w:rsidR="00516564" w:rsidRPr="00C65F25">
        <w:rPr>
          <w:rFonts w:ascii="Arial" w:eastAsia="Arial" w:hAnsi="Arial" w:cs="Arial"/>
          <w:sz w:val="22"/>
          <w:szCs w:val="22"/>
          <w:shd w:val="clear" w:color="auto" w:fill="FFFFFF" w:themeFill="background1"/>
          <w:lang w:val="es-ES" w:eastAsia="es-ES" w:bidi="es-ES"/>
        </w:rPr>
        <w:t>, se enmarcara en alguna de dichas excepciones, caso en que sería procedente su celebración de forma directa.</w:t>
      </w:r>
      <w:r w:rsidR="00516564" w:rsidRPr="00C65F25">
        <w:rPr>
          <w:rFonts w:ascii="Arial" w:hAnsi="Arial" w:cs="Arial"/>
          <w:bCs/>
          <w:sz w:val="22"/>
          <w:szCs w:val="22"/>
          <w:lang w:val="es-MX" w:eastAsia="x-none"/>
        </w:rPr>
        <w:t xml:space="preserve"> </w:t>
      </w:r>
    </w:p>
    <w:p w14:paraId="5F50678A" w14:textId="77777777" w:rsidR="008F1F27" w:rsidRPr="00924DEF" w:rsidRDefault="008F1F27" w:rsidP="008F1F2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2AA109C0" w14:textId="77777777" w:rsidR="008F1F27" w:rsidRPr="00924DEF" w:rsidRDefault="008F1F27" w:rsidP="008F1F27">
      <w:pPr>
        <w:jc w:val="both"/>
        <w:rPr>
          <w:rFonts w:ascii="Arial" w:eastAsia="Calibri" w:hAnsi="Arial" w:cs="Arial"/>
          <w:sz w:val="22"/>
          <w:szCs w:val="22"/>
          <w:lang w:val="es-ES"/>
        </w:rPr>
      </w:pPr>
    </w:p>
    <w:p w14:paraId="7EFFE4CF" w14:textId="77777777" w:rsidR="008F1F27" w:rsidRPr="00924DEF" w:rsidRDefault="008F1F27" w:rsidP="008F1F27">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39F9E624" w14:textId="6D60E7AF" w:rsidR="008F1F27" w:rsidRPr="0008465D" w:rsidRDefault="00612B90" w:rsidP="008F1F27">
      <w:pPr>
        <w:jc w:val="center"/>
        <w:rPr>
          <w:rFonts w:ascii="Arial" w:hAnsi="Arial" w:cs="Arial"/>
          <w:sz w:val="18"/>
          <w:szCs w:val="20"/>
          <w:lang w:val="es-ES" w:eastAsia="es-CO"/>
        </w:rPr>
      </w:pPr>
      <w:r>
        <w:rPr>
          <w:noProof/>
        </w:rPr>
        <w:drawing>
          <wp:inline distT="0" distB="0" distL="0" distR="0" wp14:anchorId="7A474737" wp14:editId="1B83F029">
            <wp:extent cx="2000250" cy="886460"/>
            <wp:effectExtent l="0" t="0" r="0" b="889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886460"/>
                    </a:xfrm>
                    <a:prstGeom prst="rect">
                      <a:avLst/>
                    </a:prstGeom>
                    <a:noFill/>
                    <a:ln>
                      <a:noFill/>
                    </a:ln>
                  </pic:spPr>
                </pic:pic>
              </a:graphicData>
            </a:graphic>
          </wp:inline>
        </w:drawing>
      </w:r>
    </w:p>
    <w:p w14:paraId="42FEC02E" w14:textId="77777777" w:rsidR="008F1F27" w:rsidRPr="0008465D" w:rsidRDefault="008F1F27" w:rsidP="008F1F2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F1F27" w:rsidRPr="0008465D" w14:paraId="0ADD22D4" w14:textId="77777777" w:rsidTr="00B10244">
        <w:trPr>
          <w:trHeight w:val="315"/>
        </w:trPr>
        <w:tc>
          <w:tcPr>
            <w:tcW w:w="812" w:type="dxa"/>
            <w:vAlign w:val="center"/>
            <w:hideMark/>
          </w:tcPr>
          <w:p w14:paraId="421F7B07"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CBF9EF9"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6E4291B8"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8F1F27" w:rsidRPr="0008465D" w14:paraId="157EA2CB" w14:textId="77777777" w:rsidTr="00B10244">
        <w:trPr>
          <w:trHeight w:val="330"/>
        </w:trPr>
        <w:tc>
          <w:tcPr>
            <w:tcW w:w="812" w:type="dxa"/>
            <w:vAlign w:val="center"/>
            <w:hideMark/>
          </w:tcPr>
          <w:p w14:paraId="608DD08B"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8640CF" w14:textId="40C296B9" w:rsidR="008F1F27" w:rsidRDefault="0011507F" w:rsidP="00B10244">
            <w:pPr>
              <w:rPr>
                <w:rFonts w:ascii="Arial" w:hAnsi="Arial" w:cs="Arial"/>
                <w:sz w:val="16"/>
                <w:szCs w:val="16"/>
                <w:lang w:val="es-ES" w:eastAsia="es-ES"/>
              </w:rPr>
            </w:pPr>
            <w:r>
              <w:rPr>
                <w:rFonts w:ascii="Arial" w:hAnsi="Arial" w:cs="Arial"/>
                <w:sz w:val="16"/>
                <w:szCs w:val="16"/>
                <w:lang w:val="es-ES" w:eastAsia="es-ES"/>
              </w:rPr>
              <w:t xml:space="preserve">Sebastián Ramírez Grisales </w:t>
            </w:r>
          </w:p>
          <w:p w14:paraId="287116A6"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8F1F27" w:rsidRPr="0008465D" w14:paraId="56EFC3BD" w14:textId="77777777" w:rsidTr="00B10244">
        <w:trPr>
          <w:trHeight w:val="300"/>
        </w:trPr>
        <w:tc>
          <w:tcPr>
            <w:tcW w:w="812" w:type="dxa"/>
            <w:vAlign w:val="center"/>
            <w:hideMark/>
          </w:tcPr>
          <w:p w14:paraId="3637F9F9"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7D9017"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180D728A"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50A69111" w14:textId="77777777" w:rsidR="000B2F93" w:rsidRDefault="000B2F93" w:rsidP="00612B90">
      <w:pPr>
        <w:spacing w:line="276" w:lineRule="auto"/>
      </w:pPr>
    </w:p>
    <w:sectPr w:rsidR="000B2F93" w:rsidSect="007F1895">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84DC" w14:textId="77777777" w:rsidR="00291714" w:rsidRDefault="00291714" w:rsidP="000B2F93">
      <w:r>
        <w:separator/>
      </w:r>
    </w:p>
  </w:endnote>
  <w:endnote w:type="continuationSeparator" w:id="0">
    <w:p w14:paraId="7C7E530C" w14:textId="77777777" w:rsidR="00291714" w:rsidRDefault="00291714" w:rsidP="000B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7096" w14:textId="77777777" w:rsidR="00387886" w:rsidRDefault="00291714" w:rsidP="007F1895">
    <w:pPr>
      <w:pStyle w:val="Sinespaciado"/>
      <w:jc w:val="right"/>
      <w:rPr>
        <w:rFonts w:ascii="Arial" w:hAnsi="Arial" w:cs="Arial"/>
        <w:sz w:val="18"/>
        <w:szCs w:val="18"/>
      </w:rPr>
    </w:pPr>
  </w:p>
  <w:p w14:paraId="6B8912A4" w14:textId="77777777" w:rsidR="00387886" w:rsidRDefault="00291714" w:rsidP="007F1895">
    <w:pPr>
      <w:pStyle w:val="Sinespaciado"/>
      <w:jc w:val="right"/>
      <w:rPr>
        <w:rFonts w:ascii="Arial" w:hAnsi="Arial" w:cs="Arial"/>
        <w:sz w:val="18"/>
        <w:szCs w:val="18"/>
      </w:rPr>
    </w:pPr>
  </w:p>
  <w:p w14:paraId="049D09DA" w14:textId="77777777" w:rsidR="00387886" w:rsidRPr="008217B7" w:rsidRDefault="007C2EF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78FB5CE" w14:textId="77777777" w:rsidR="00387886" w:rsidRDefault="007C2EF0" w:rsidP="007F1895">
    <w:pPr>
      <w:pStyle w:val="Piedepgina"/>
      <w:jc w:val="center"/>
      <w:rPr>
        <w:lang w:val="es-ES"/>
      </w:rPr>
    </w:pPr>
    <w:r>
      <w:rPr>
        <w:noProof/>
      </w:rPr>
      <w:drawing>
        <wp:inline distT="0" distB="0" distL="0" distR="0" wp14:anchorId="231BB9A0" wp14:editId="79ACFD46">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F3E6FDB" w14:textId="77777777" w:rsidR="00387886" w:rsidRPr="00E756AC" w:rsidRDefault="00291714" w:rsidP="007F1895">
    <w:pPr>
      <w:pStyle w:val="Piedepgina"/>
      <w:jc w:val="center"/>
      <w:rPr>
        <w:sz w:val="18"/>
        <w:szCs w:val="18"/>
        <w:lang w:val="es-ES"/>
      </w:rPr>
    </w:pPr>
  </w:p>
  <w:p w14:paraId="19562477" w14:textId="77777777" w:rsidR="00387886" w:rsidRPr="00E756AC" w:rsidRDefault="00291714"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F57E" w14:textId="77777777" w:rsidR="00291714" w:rsidRDefault="00291714" w:rsidP="000B2F93">
      <w:r>
        <w:separator/>
      </w:r>
    </w:p>
  </w:footnote>
  <w:footnote w:type="continuationSeparator" w:id="0">
    <w:p w14:paraId="099A17B9" w14:textId="77777777" w:rsidR="00291714" w:rsidRDefault="00291714" w:rsidP="000B2F93">
      <w:r>
        <w:continuationSeparator/>
      </w:r>
    </w:p>
  </w:footnote>
  <w:footnote w:id="1">
    <w:p w14:paraId="32E2ECE8" w14:textId="77777777" w:rsidR="00D00AE4" w:rsidRPr="00242093" w:rsidRDefault="00D00AE4" w:rsidP="00242093">
      <w:pPr>
        <w:pStyle w:val="Textonotapie"/>
        <w:ind w:firstLine="708"/>
        <w:jc w:val="both"/>
        <w:rPr>
          <w:rFonts w:ascii="Arial" w:hAnsi="Arial" w:cs="Arial"/>
          <w:sz w:val="19"/>
          <w:szCs w:val="19"/>
          <w:lang w:val="es-ES"/>
        </w:rPr>
      </w:pPr>
      <w:r w:rsidRPr="00242093">
        <w:rPr>
          <w:rStyle w:val="Refdenotaalpie"/>
          <w:rFonts w:ascii="Arial" w:hAnsi="Arial" w:cs="Arial"/>
          <w:sz w:val="19"/>
          <w:szCs w:val="19"/>
        </w:rPr>
        <w:footnoteRef/>
      </w:r>
      <w:r w:rsidRPr="00242093">
        <w:rPr>
          <w:rFonts w:ascii="Arial" w:hAnsi="Arial" w:cs="Arial"/>
          <w:sz w:val="19"/>
          <w:szCs w:val="19"/>
        </w:rPr>
        <w:t xml:space="preserve"> </w:t>
      </w:r>
      <w:r w:rsidRPr="00242093">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6A75A0C" w14:textId="77777777" w:rsidR="00D00AE4" w:rsidRPr="00242093" w:rsidRDefault="00D00AE4" w:rsidP="00242093">
      <w:pPr>
        <w:pStyle w:val="Textonotapie"/>
        <w:ind w:firstLine="708"/>
        <w:jc w:val="both"/>
        <w:rPr>
          <w:rFonts w:ascii="Arial" w:hAnsi="Arial" w:cs="Arial"/>
          <w:color w:val="000000"/>
          <w:sz w:val="19"/>
          <w:szCs w:val="19"/>
        </w:rPr>
      </w:pPr>
      <w:r w:rsidRPr="00242093">
        <w:rPr>
          <w:rStyle w:val="Refdenotaalpie"/>
          <w:rFonts w:ascii="Arial" w:hAnsi="Arial" w:cs="Arial"/>
          <w:sz w:val="19"/>
          <w:szCs w:val="19"/>
        </w:rPr>
        <w:footnoteRef/>
      </w:r>
      <w:r w:rsidRPr="00242093">
        <w:rPr>
          <w:rFonts w:ascii="Arial" w:hAnsi="Arial" w:cs="Arial"/>
          <w:sz w:val="19"/>
          <w:szCs w:val="19"/>
        </w:rPr>
        <w:t xml:space="preserve"> </w:t>
      </w:r>
      <w:r w:rsidRPr="00242093">
        <w:rPr>
          <w:rFonts w:ascii="Arial" w:hAnsi="Arial" w:cs="Arial"/>
          <w:color w:val="000000"/>
          <w:sz w:val="19"/>
          <w:szCs w:val="19"/>
        </w:rPr>
        <w:t>Procuraduría General de la Nación. Concepto del 15 de octubre de 2014. Procuraduría Delegada para Asuntos Disciplinarios. Radicado PAD C-114-2014.</w:t>
      </w:r>
    </w:p>
    <w:p w14:paraId="1D364911" w14:textId="77777777" w:rsidR="00D00AE4" w:rsidRPr="00242093" w:rsidRDefault="00D00AE4" w:rsidP="00242093">
      <w:pPr>
        <w:pStyle w:val="Textonotapie"/>
        <w:ind w:firstLine="708"/>
        <w:jc w:val="both"/>
        <w:rPr>
          <w:rFonts w:ascii="Arial" w:hAnsi="Arial" w:cs="Arial"/>
          <w:sz w:val="19"/>
          <w:szCs w:val="19"/>
          <w:lang w:val="es-ES"/>
        </w:rPr>
      </w:pPr>
    </w:p>
  </w:footnote>
  <w:footnote w:id="3">
    <w:p w14:paraId="469DC853" w14:textId="77777777" w:rsidR="00D00AE4" w:rsidRPr="00242093" w:rsidRDefault="00D00AE4" w:rsidP="00242093">
      <w:pPr>
        <w:pStyle w:val="Textonotapie"/>
        <w:ind w:firstLine="708"/>
        <w:jc w:val="both"/>
        <w:rPr>
          <w:rFonts w:ascii="Arial" w:hAnsi="Arial" w:cs="Arial"/>
          <w:color w:val="000000"/>
          <w:sz w:val="19"/>
          <w:szCs w:val="19"/>
        </w:rPr>
      </w:pPr>
      <w:r w:rsidRPr="00242093">
        <w:rPr>
          <w:rStyle w:val="Refdenotaalpie"/>
          <w:rFonts w:ascii="Arial" w:hAnsi="Arial" w:cs="Arial"/>
          <w:sz w:val="19"/>
          <w:szCs w:val="19"/>
        </w:rPr>
        <w:footnoteRef/>
      </w:r>
      <w:r w:rsidRPr="00242093">
        <w:rPr>
          <w:rFonts w:ascii="Arial" w:hAnsi="Arial" w:cs="Arial"/>
          <w:sz w:val="19"/>
          <w:szCs w:val="19"/>
        </w:rPr>
        <w:t xml:space="preserve"> </w:t>
      </w:r>
      <w:r w:rsidRPr="00242093">
        <w:rPr>
          <w:rFonts w:ascii="Arial" w:hAnsi="Arial" w:cs="Arial"/>
          <w:color w:val="000000"/>
          <w:sz w:val="19"/>
          <w:szCs w:val="19"/>
        </w:rPr>
        <w:t>Contraloría General de la República. Oficina Jurídica. Concepto 80112-OJ-008 2017.</w:t>
      </w:r>
    </w:p>
    <w:p w14:paraId="2E1AE601" w14:textId="77777777" w:rsidR="00D00AE4" w:rsidRPr="00242093" w:rsidRDefault="00D00AE4" w:rsidP="00242093">
      <w:pPr>
        <w:pStyle w:val="Textonotapie"/>
        <w:ind w:firstLine="708"/>
        <w:jc w:val="both"/>
        <w:rPr>
          <w:rFonts w:ascii="Arial" w:hAnsi="Arial" w:cs="Arial"/>
          <w:sz w:val="19"/>
          <w:szCs w:val="19"/>
          <w:lang w:val="es-ES"/>
        </w:rPr>
      </w:pPr>
    </w:p>
  </w:footnote>
  <w:footnote w:id="4">
    <w:p w14:paraId="58F683A3" w14:textId="77777777" w:rsidR="00D00AE4" w:rsidRPr="00242093" w:rsidRDefault="00D00AE4" w:rsidP="00242093">
      <w:pPr>
        <w:pStyle w:val="Textonotapie"/>
        <w:ind w:firstLine="708"/>
        <w:jc w:val="both"/>
        <w:rPr>
          <w:rFonts w:ascii="Arial" w:hAnsi="Arial" w:cs="Arial"/>
          <w:sz w:val="19"/>
          <w:szCs w:val="19"/>
          <w:lang w:val="es-ES"/>
        </w:rPr>
      </w:pPr>
      <w:r w:rsidRPr="00242093">
        <w:rPr>
          <w:rStyle w:val="Refdenotaalpie"/>
          <w:rFonts w:ascii="Arial" w:hAnsi="Arial" w:cs="Arial"/>
          <w:sz w:val="19"/>
          <w:szCs w:val="19"/>
        </w:rPr>
        <w:footnoteRef/>
      </w:r>
      <w:r w:rsidRPr="00242093">
        <w:rPr>
          <w:rFonts w:ascii="Arial" w:hAnsi="Arial" w:cs="Arial"/>
          <w:sz w:val="19"/>
          <w:szCs w:val="19"/>
        </w:rPr>
        <w:t xml:space="preserve"> </w:t>
      </w:r>
      <w:r w:rsidRPr="00242093">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5">
    <w:p w14:paraId="548BBCEE" w14:textId="77777777" w:rsidR="00741ACB" w:rsidRPr="00C65F25" w:rsidRDefault="00741ACB" w:rsidP="00242093">
      <w:pPr>
        <w:pStyle w:val="Textonotapie"/>
        <w:ind w:firstLine="709"/>
        <w:jc w:val="both"/>
        <w:rPr>
          <w:rFonts w:ascii="Arial" w:hAnsi="Arial" w:cs="Arial"/>
          <w:sz w:val="19"/>
          <w:szCs w:val="19"/>
        </w:rPr>
      </w:pPr>
    </w:p>
    <w:p w14:paraId="3E8CF750" w14:textId="53A74EED" w:rsidR="008F1F27" w:rsidRPr="00C65F25" w:rsidRDefault="008F1F27" w:rsidP="00242093">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0F89340" w14:textId="77777777" w:rsidR="008F1F27" w:rsidRPr="00C65F25" w:rsidRDefault="008F1F27" w:rsidP="00242093">
      <w:pPr>
        <w:pStyle w:val="Textonotapie"/>
        <w:ind w:firstLine="709"/>
        <w:jc w:val="both"/>
        <w:rPr>
          <w:rFonts w:ascii="Arial" w:hAnsi="Arial" w:cs="Arial"/>
          <w:sz w:val="19"/>
          <w:szCs w:val="19"/>
        </w:rPr>
      </w:pPr>
      <w:r w:rsidRPr="00C65F25">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B35DA44" w14:textId="77777777" w:rsidR="008F1F27" w:rsidRPr="00C65F25" w:rsidRDefault="008F1F27" w:rsidP="00242093">
      <w:pPr>
        <w:pStyle w:val="Textonotapie"/>
        <w:ind w:firstLine="709"/>
        <w:jc w:val="both"/>
        <w:rPr>
          <w:rFonts w:ascii="Arial" w:hAnsi="Arial" w:cs="Arial"/>
          <w:sz w:val="19"/>
          <w:szCs w:val="19"/>
        </w:rPr>
      </w:pPr>
    </w:p>
  </w:footnote>
  <w:footnote w:id="6">
    <w:p w14:paraId="7C031846" w14:textId="77777777" w:rsidR="008F1F27" w:rsidRPr="00C65F25" w:rsidRDefault="008F1F27" w:rsidP="00242093">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Gaceta del Congreso de la República No. 71 del 2005.</w:t>
      </w:r>
    </w:p>
    <w:p w14:paraId="1DC730C4" w14:textId="77777777" w:rsidR="008F1F27" w:rsidRPr="00C65F25" w:rsidRDefault="008F1F27" w:rsidP="00242093">
      <w:pPr>
        <w:pStyle w:val="Textonotapie"/>
        <w:ind w:firstLine="709"/>
        <w:jc w:val="both"/>
        <w:rPr>
          <w:rFonts w:ascii="Arial" w:hAnsi="Arial" w:cs="Arial"/>
          <w:sz w:val="19"/>
          <w:szCs w:val="19"/>
          <w:lang w:val="es-CO"/>
        </w:rPr>
      </w:pPr>
    </w:p>
  </w:footnote>
  <w:footnote w:id="7">
    <w:p w14:paraId="7DA68213" w14:textId="77777777" w:rsidR="008F1F27" w:rsidRPr="00C65F25" w:rsidRDefault="008F1F27" w:rsidP="00242093">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Corte Constitucional, Sentencia C- 1153 de 2005, M.P. Marco Gerardo Monroy Cabra.</w:t>
      </w:r>
    </w:p>
  </w:footnote>
  <w:footnote w:id="8">
    <w:p w14:paraId="5FAA4E84" w14:textId="77777777" w:rsidR="008F1F27" w:rsidRPr="00C65F25" w:rsidRDefault="008F1F27" w:rsidP="00242093">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392F732" w14:textId="77777777" w:rsidR="008F1F27" w:rsidRPr="00C65F25" w:rsidRDefault="008F1F27" w:rsidP="00242093">
      <w:pPr>
        <w:pStyle w:val="Textonotapie"/>
        <w:ind w:firstLine="709"/>
        <w:jc w:val="both"/>
        <w:rPr>
          <w:rFonts w:ascii="Arial" w:hAnsi="Arial" w:cs="Arial"/>
          <w:sz w:val="19"/>
          <w:szCs w:val="19"/>
        </w:rPr>
      </w:pPr>
    </w:p>
  </w:footnote>
  <w:footnote w:id="9">
    <w:p w14:paraId="5821F974" w14:textId="77777777" w:rsidR="008F1F27" w:rsidRPr="00C65F25" w:rsidRDefault="008F1F27" w:rsidP="00242093">
      <w:pPr>
        <w:pStyle w:val="Textonotapie"/>
        <w:ind w:firstLine="709"/>
        <w:jc w:val="both"/>
        <w:rPr>
          <w:rFonts w:ascii="Arial" w:hAnsi="Arial" w:cs="Arial"/>
          <w:sz w:val="19"/>
          <w:szCs w:val="19"/>
          <w:lang w:val="es-CO"/>
        </w:rPr>
      </w:pPr>
      <w:r w:rsidRPr="00C65F25">
        <w:rPr>
          <w:rStyle w:val="Refdenotaalpie"/>
          <w:rFonts w:ascii="Arial" w:hAnsi="Arial" w:cs="Arial"/>
          <w:sz w:val="19"/>
          <w:szCs w:val="19"/>
        </w:rPr>
        <w:footnoteRef/>
      </w:r>
      <w:r w:rsidRPr="00C65F25">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A6BAB23" w14:textId="77777777" w:rsidR="008F1F27" w:rsidRPr="00C65F25" w:rsidRDefault="008F1F27" w:rsidP="00242093">
      <w:pPr>
        <w:pStyle w:val="Textonotapie"/>
        <w:ind w:firstLine="709"/>
        <w:jc w:val="both"/>
        <w:rPr>
          <w:rFonts w:ascii="Arial" w:hAnsi="Arial" w:cs="Arial"/>
          <w:sz w:val="19"/>
          <w:szCs w:val="19"/>
          <w:lang w:val="es-CO"/>
        </w:rPr>
      </w:pPr>
    </w:p>
  </w:footnote>
  <w:footnote w:id="10">
    <w:p w14:paraId="7F9128F0" w14:textId="77777777" w:rsidR="008F1F27" w:rsidRPr="00C65F25" w:rsidRDefault="008F1F27" w:rsidP="00242093">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Consejo de Estado, Sala de Consulta y Servicio Civil de fecha 24 de julio de 2013, radicado 2166, Consejero Ponente: Álvaro Namén Vargas.  </w:t>
      </w:r>
    </w:p>
  </w:footnote>
  <w:footnote w:id="11">
    <w:p w14:paraId="7EDC8D79" w14:textId="77777777" w:rsidR="008F1F27" w:rsidRPr="00C65F25" w:rsidRDefault="008F1F27" w:rsidP="00242093">
      <w:pPr>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w:t>
      </w:r>
      <w:r w:rsidRPr="00C65F25">
        <w:rPr>
          <w:rFonts w:ascii="Arial" w:eastAsia="Calibri" w:hAnsi="Arial" w:cs="Arial"/>
          <w:bCs/>
          <w:color w:val="000000"/>
          <w:sz w:val="19"/>
          <w:szCs w:val="19"/>
        </w:rPr>
        <w:t>«</w:t>
      </w:r>
      <w:r w:rsidRPr="00C65F25">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E2C58C2" w14:textId="77777777" w:rsidR="008F1F27" w:rsidRPr="00C65F25" w:rsidRDefault="008F1F27" w:rsidP="00242093">
      <w:pPr>
        <w:ind w:firstLine="709"/>
        <w:jc w:val="both"/>
        <w:rPr>
          <w:rFonts w:ascii="Arial" w:hAnsi="Arial" w:cs="Arial"/>
          <w:sz w:val="19"/>
          <w:szCs w:val="19"/>
        </w:rPr>
      </w:pPr>
      <w:r w:rsidRPr="00C65F25">
        <w:rPr>
          <w:rFonts w:ascii="Arial" w:eastAsia="Calibri" w:hAnsi="Arial" w:cs="Arial"/>
          <w:bCs/>
          <w:color w:val="000000"/>
          <w:sz w:val="19"/>
          <w:szCs w:val="19"/>
        </w:rPr>
        <w:t>»</w:t>
      </w:r>
      <w:r w:rsidRPr="00C65F25">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65F25">
        <w:rPr>
          <w:rFonts w:ascii="Arial" w:eastAsia="Calibri" w:hAnsi="Arial" w:cs="Arial"/>
          <w:bCs/>
          <w:color w:val="000000"/>
          <w:sz w:val="19"/>
          <w:szCs w:val="19"/>
        </w:rPr>
        <w:t>»</w:t>
      </w:r>
      <w:r w:rsidRPr="00C65F25">
        <w:rPr>
          <w:rFonts w:ascii="Arial" w:hAnsi="Arial" w:cs="Arial"/>
          <w:sz w:val="19"/>
          <w:szCs w:val="19"/>
        </w:rPr>
        <w:t>.</w:t>
      </w:r>
    </w:p>
  </w:footnote>
  <w:footnote w:id="12">
    <w:p w14:paraId="61B0E83D" w14:textId="77777777" w:rsidR="00741ACB" w:rsidRPr="00C65F25" w:rsidRDefault="00741ACB" w:rsidP="00242093">
      <w:pPr>
        <w:pStyle w:val="NormalWeb"/>
        <w:spacing w:before="0" w:beforeAutospacing="0" w:after="0" w:afterAutospacing="0"/>
        <w:ind w:firstLine="709"/>
        <w:jc w:val="both"/>
        <w:rPr>
          <w:rFonts w:ascii="Arial" w:hAnsi="Arial" w:cs="Arial"/>
          <w:sz w:val="19"/>
          <w:szCs w:val="19"/>
        </w:rPr>
      </w:pPr>
    </w:p>
    <w:p w14:paraId="365609C8" w14:textId="7A81D40D" w:rsidR="008F1F27" w:rsidRPr="00C65F25" w:rsidRDefault="008F1F27" w:rsidP="00242093">
      <w:pPr>
        <w:pStyle w:val="NormalWeb"/>
        <w:spacing w:before="0" w:beforeAutospacing="0" w:after="0" w:afterAutospacing="0"/>
        <w:ind w:firstLine="709"/>
        <w:jc w:val="both"/>
        <w:rPr>
          <w:rFonts w:ascii="Arial" w:hAnsi="Arial" w:cs="Arial"/>
          <w:sz w:val="19"/>
          <w:szCs w:val="19"/>
          <w:lang w:val="es-MX"/>
        </w:rPr>
      </w:pPr>
      <w:r w:rsidRPr="00C65F25">
        <w:rPr>
          <w:rStyle w:val="Refdenotaalpie"/>
          <w:rFonts w:ascii="Arial" w:hAnsi="Arial" w:cs="Arial"/>
          <w:sz w:val="19"/>
          <w:szCs w:val="19"/>
        </w:rPr>
        <w:footnoteRef/>
      </w:r>
      <w:r w:rsidRPr="00C65F25">
        <w:rPr>
          <w:rFonts w:ascii="Arial" w:hAnsi="Arial" w:cs="Arial"/>
          <w:sz w:val="19"/>
          <w:szCs w:val="19"/>
        </w:rPr>
        <w:t xml:space="preserve"> </w:t>
      </w:r>
      <w:r w:rsidRPr="00C65F25">
        <w:rPr>
          <w:rFonts w:ascii="Arial" w:eastAsia="Calibri" w:hAnsi="Arial" w:cs="Arial"/>
          <w:bCs/>
          <w:color w:val="000000"/>
          <w:sz w:val="19"/>
          <w:szCs w:val="19"/>
        </w:rPr>
        <w:t>«</w:t>
      </w:r>
      <w:r w:rsidRPr="00C65F25">
        <w:rPr>
          <w:rFonts w:ascii="Arial" w:hAnsi="Arial" w:cs="Arial"/>
          <w:sz w:val="19"/>
          <w:szCs w:val="19"/>
          <w:lang w:val="es-MX"/>
        </w:rPr>
        <w:t>Artículo 38. Prohibiciones para los servidores públicos. A los empleados del Estado les está prohibido:</w:t>
      </w:r>
    </w:p>
    <w:p w14:paraId="1DC20883" w14:textId="77777777" w:rsidR="008F1F27" w:rsidRPr="00C65F25" w:rsidRDefault="008F1F27" w:rsidP="00242093">
      <w:pPr>
        <w:pStyle w:val="NormalWeb"/>
        <w:spacing w:before="0" w:beforeAutospacing="0" w:after="0" w:afterAutospacing="0"/>
        <w:ind w:firstLine="709"/>
        <w:jc w:val="both"/>
        <w:rPr>
          <w:rFonts w:ascii="Arial" w:hAnsi="Arial" w:cs="Arial"/>
          <w:sz w:val="19"/>
          <w:szCs w:val="19"/>
          <w:lang w:val="es-MX"/>
        </w:rPr>
      </w:pPr>
      <w:r w:rsidRPr="00C65F25">
        <w:rPr>
          <w:rFonts w:ascii="Arial" w:eastAsia="Calibri" w:hAnsi="Arial" w:cs="Arial"/>
          <w:bCs/>
          <w:color w:val="000000"/>
          <w:sz w:val="19"/>
          <w:szCs w:val="19"/>
        </w:rPr>
        <w:t>»</w:t>
      </w:r>
      <w:r w:rsidRPr="00C65F25">
        <w:rPr>
          <w:rFonts w:ascii="Arial" w:hAnsi="Arial" w:cs="Arial"/>
          <w:sz w:val="19"/>
          <w:szCs w:val="19"/>
          <w:lang w:val="es-MX"/>
        </w:rPr>
        <w:t xml:space="preserve"> […]</w:t>
      </w:r>
    </w:p>
    <w:p w14:paraId="37CD4EAD" w14:textId="77777777" w:rsidR="008F1F27" w:rsidRPr="00C65F25" w:rsidRDefault="008F1F27" w:rsidP="00242093">
      <w:pPr>
        <w:ind w:firstLine="709"/>
        <w:jc w:val="both"/>
        <w:rPr>
          <w:rFonts w:ascii="Arial" w:hAnsi="Arial" w:cs="Arial"/>
          <w:sz w:val="19"/>
          <w:szCs w:val="19"/>
          <w:lang w:val="es-MX"/>
        </w:rPr>
      </w:pPr>
      <w:r w:rsidRPr="00C65F25">
        <w:rPr>
          <w:rFonts w:ascii="Arial" w:eastAsia="Calibri" w:hAnsi="Arial" w:cs="Arial"/>
          <w:bCs/>
          <w:color w:val="000000"/>
          <w:sz w:val="19"/>
          <w:szCs w:val="19"/>
        </w:rPr>
        <w:t>»</w:t>
      </w:r>
      <w:r w:rsidRPr="00C65F25">
        <w:rPr>
          <w:rStyle w:val="baj"/>
          <w:rFonts w:ascii="Arial" w:hAnsi="Arial" w:cs="Arial"/>
          <w:sz w:val="19"/>
          <w:szCs w:val="19"/>
        </w:rPr>
        <w:t xml:space="preserve"> Parágrafo.</w:t>
      </w:r>
      <w:r w:rsidRPr="00C65F25">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65F25">
        <w:rPr>
          <w:rFonts w:ascii="Arial" w:eastAsia="Calibri" w:hAnsi="Arial" w:cs="Arial"/>
          <w:bCs/>
          <w:color w:val="000000"/>
          <w:sz w:val="19"/>
          <w:szCs w:val="19"/>
        </w:rPr>
        <w:t>»</w:t>
      </w:r>
      <w:r w:rsidRPr="00C65F25">
        <w:rPr>
          <w:rFonts w:ascii="Arial" w:hAnsi="Arial" w:cs="Arial"/>
          <w:sz w:val="19"/>
          <w:szCs w:val="19"/>
          <w:lang w:val="es-MX"/>
        </w:rPr>
        <w:t>.</w:t>
      </w:r>
    </w:p>
  </w:footnote>
  <w:footnote w:id="13">
    <w:p w14:paraId="7FE11F7C" w14:textId="77777777" w:rsidR="00741ACB" w:rsidRPr="00C65F25" w:rsidRDefault="00741ACB" w:rsidP="00C65F25">
      <w:pPr>
        <w:ind w:firstLine="709"/>
        <w:jc w:val="both"/>
        <w:rPr>
          <w:rFonts w:ascii="Arial" w:hAnsi="Arial" w:cs="Arial"/>
          <w:sz w:val="19"/>
          <w:szCs w:val="19"/>
        </w:rPr>
      </w:pPr>
    </w:p>
    <w:p w14:paraId="5A500874" w14:textId="0FDBD759" w:rsidR="008F1F27" w:rsidRPr="00C65F25" w:rsidRDefault="008F1F27" w:rsidP="00C65F25">
      <w:pPr>
        <w:ind w:firstLine="709"/>
        <w:jc w:val="both"/>
        <w:rPr>
          <w:rFonts w:ascii="Arial" w:hAnsi="Arial" w:cs="Arial"/>
          <w:sz w:val="19"/>
          <w:szCs w:val="19"/>
          <w:lang w:val="es-ES"/>
        </w:rPr>
      </w:pPr>
      <w:r w:rsidRPr="00C65F25">
        <w:rPr>
          <w:rStyle w:val="Refdenotaalpie"/>
          <w:rFonts w:ascii="Arial" w:hAnsi="Arial" w:cs="Arial"/>
          <w:sz w:val="19"/>
          <w:szCs w:val="19"/>
        </w:rPr>
        <w:footnoteRef/>
      </w:r>
      <w:r w:rsidRPr="00C65F25">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4">
    <w:p w14:paraId="4B614087" w14:textId="77777777" w:rsidR="008F1F27" w:rsidRPr="00C65F25" w:rsidRDefault="008F1F27" w:rsidP="00C65F25">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w:t>
      </w:r>
      <w:r w:rsidRPr="00C65F25">
        <w:rPr>
          <w:rFonts w:ascii="Arial" w:hAnsi="Arial" w:cs="Arial"/>
          <w:sz w:val="19"/>
          <w:szCs w:val="19"/>
          <w:lang w:val="es-ES"/>
        </w:rPr>
        <w:t xml:space="preserve">[25] </w:t>
      </w:r>
      <w:r w:rsidRPr="00C65F25">
        <w:rPr>
          <w:rFonts w:ascii="Arial" w:hAnsi="Arial" w:cs="Arial"/>
          <w:sz w:val="19"/>
          <w:szCs w:val="19"/>
        </w:rPr>
        <w:t>Cfr. Consejo de Estado. Sección Tercera. Sentencia de 3 de diciembre de 2007. Radicados: 24.715, 25.206, 25.409, 24.524, 27.834, 25.410, 26.105, 28.244, 31.447 -acumulados-».</w:t>
      </w:r>
    </w:p>
    <w:p w14:paraId="6CF55494" w14:textId="77777777" w:rsidR="008F1F27" w:rsidRPr="00C65F25" w:rsidRDefault="008F1F27" w:rsidP="00C65F25">
      <w:pPr>
        <w:pStyle w:val="Textonotapie"/>
        <w:ind w:firstLine="709"/>
        <w:jc w:val="both"/>
        <w:rPr>
          <w:rFonts w:ascii="Arial" w:hAnsi="Arial" w:cs="Arial"/>
          <w:sz w:val="19"/>
          <w:szCs w:val="19"/>
        </w:rPr>
      </w:pPr>
    </w:p>
  </w:footnote>
  <w:footnote w:id="15">
    <w:p w14:paraId="1ABAB44B" w14:textId="77777777" w:rsidR="008F1F27" w:rsidRPr="00C65F25" w:rsidRDefault="008F1F27" w:rsidP="00C65F25">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w:t>
      </w:r>
      <w:r w:rsidRPr="00C65F25">
        <w:rPr>
          <w:rFonts w:ascii="Arial" w:hAnsi="Arial" w:cs="Arial"/>
          <w:sz w:val="19"/>
          <w:szCs w:val="19"/>
          <w:lang w:val="es-ES"/>
        </w:rPr>
        <w:t xml:space="preserve">[26] </w:t>
      </w:r>
      <w:r w:rsidRPr="00C65F25">
        <w:rPr>
          <w:rFonts w:ascii="Arial" w:hAnsi="Arial" w:cs="Arial"/>
          <w:sz w:val="19"/>
          <w:szCs w:val="19"/>
        </w:rPr>
        <w:t>Al respecto ver el concepto 1712 de 2 de febrero de 2006. Consejo de Estado Sala de Consulta y Servicio Civil».</w:t>
      </w:r>
    </w:p>
    <w:p w14:paraId="07A364E9" w14:textId="77777777" w:rsidR="008F1F27" w:rsidRPr="00C65F25" w:rsidRDefault="008F1F27" w:rsidP="00C65F25">
      <w:pPr>
        <w:pStyle w:val="Textonotapie"/>
        <w:ind w:firstLine="709"/>
        <w:jc w:val="both"/>
        <w:rPr>
          <w:rFonts w:ascii="Arial" w:hAnsi="Arial" w:cs="Arial"/>
          <w:sz w:val="19"/>
          <w:szCs w:val="19"/>
        </w:rPr>
      </w:pPr>
    </w:p>
  </w:footnote>
  <w:footnote w:id="16">
    <w:p w14:paraId="2262F2F2" w14:textId="77777777" w:rsidR="008F1F27" w:rsidRPr="00C65F25" w:rsidRDefault="008F1F27" w:rsidP="00242093">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7">
    <w:p w14:paraId="301F95DA" w14:textId="77777777" w:rsidR="00741ACB" w:rsidRPr="00C65F25" w:rsidRDefault="00741ACB" w:rsidP="00242093">
      <w:pPr>
        <w:pStyle w:val="Textonotapie"/>
        <w:ind w:firstLine="709"/>
        <w:jc w:val="both"/>
        <w:rPr>
          <w:rFonts w:ascii="Arial" w:hAnsi="Arial" w:cs="Arial"/>
          <w:sz w:val="19"/>
          <w:szCs w:val="19"/>
        </w:rPr>
      </w:pPr>
    </w:p>
    <w:p w14:paraId="490EFF83" w14:textId="15BDDEF8" w:rsidR="008F1F27" w:rsidRPr="00C65F25" w:rsidRDefault="008F1F27" w:rsidP="00242093">
      <w:pPr>
        <w:pStyle w:val="Textonotapie"/>
        <w:ind w:firstLine="709"/>
        <w:jc w:val="both"/>
        <w:rPr>
          <w:rFonts w:ascii="Arial" w:hAnsi="Arial" w:cs="Arial"/>
          <w:sz w:val="19"/>
          <w:szCs w:val="19"/>
          <w:lang w:val="es-ES"/>
        </w:rPr>
      </w:pPr>
      <w:r w:rsidRPr="00C65F25">
        <w:rPr>
          <w:rStyle w:val="Refdenotaalpie"/>
          <w:rFonts w:ascii="Arial" w:hAnsi="Arial" w:cs="Arial"/>
          <w:sz w:val="19"/>
          <w:szCs w:val="19"/>
        </w:rPr>
        <w:footnoteRef/>
      </w:r>
      <w:r w:rsidRPr="00C65F25">
        <w:rPr>
          <w:rFonts w:ascii="Arial" w:hAnsi="Arial" w:cs="Arial"/>
          <w:sz w:val="19"/>
          <w:szCs w:val="19"/>
        </w:rPr>
        <w:t xml:space="preserve"> </w:t>
      </w:r>
      <w:r w:rsidRPr="00C65F25">
        <w:rPr>
          <w:rFonts w:ascii="Arial" w:hAnsi="Arial" w:cs="Arial"/>
          <w:sz w:val="19"/>
          <w:szCs w:val="19"/>
          <w:lang w:val="es-ES"/>
        </w:rPr>
        <w:t xml:space="preserve">Artículo 2. </w:t>
      </w:r>
    </w:p>
  </w:footnote>
  <w:footnote w:id="18">
    <w:p w14:paraId="01C091D5" w14:textId="77777777" w:rsidR="00741ACB" w:rsidRPr="00C65F25" w:rsidRDefault="00741ACB" w:rsidP="00242093">
      <w:pPr>
        <w:pStyle w:val="Textonotapie"/>
        <w:ind w:firstLine="709"/>
        <w:jc w:val="both"/>
        <w:rPr>
          <w:rFonts w:ascii="Arial" w:hAnsi="Arial" w:cs="Arial"/>
          <w:sz w:val="19"/>
          <w:szCs w:val="19"/>
        </w:rPr>
      </w:pPr>
    </w:p>
    <w:p w14:paraId="5F6D1702" w14:textId="46C4AA28" w:rsidR="008F1F27" w:rsidRPr="00C65F25" w:rsidRDefault="008F1F27" w:rsidP="00242093">
      <w:pPr>
        <w:pStyle w:val="Textonotapie"/>
        <w:ind w:firstLine="709"/>
        <w:jc w:val="both"/>
        <w:rPr>
          <w:rFonts w:ascii="Arial" w:hAnsi="Arial" w:cs="Arial"/>
          <w:sz w:val="19"/>
          <w:szCs w:val="19"/>
          <w:lang w:val="es-ES"/>
        </w:rPr>
      </w:pPr>
      <w:r w:rsidRPr="00C65F25">
        <w:rPr>
          <w:rStyle w:val="Refdenotaalpie"/>
          <w:rFonts w:ascii="Arial" w:hAnsi="Arial" w:cs="Arial"/>
          <w:sz w:val="19"/>
          <w:szCs w:val="19"/>
        </w:rPr>
        <w:footnoteRef/>
      </w:r>
      <w:r w:rsidRPr="00C65F25">
        <w:rPr>
          <w:rFonts w:ascii="Arial" w:hAnsi="Arial" w:cs="Arial"/>
          <w:sz w:val="19"/>
          <w:szCs w:val="19"/>
        </w:rPr>
        <w:t xml:space="preserve"> </w:t>
      </w:r>
      <w:r w:rsidRPr="00C65F25">
        <w:rPr>
          <w:rFonts w:ascii="Arial" w:hAnsi="Arial" w:cs="Arial"/>
          <w:i/>
          <w:sz w:val="19"/>
          <w:szCs w:val="19"/>
          <w:lang w:val="es-ES"/>
        </w:rPr>
        <w:t>Ídem</w:t>
      </w:r>
      <w:r w:rsidRPr="00C65F25">
        <w:rPr>
          <w:rFonts w:ascii="Arial" w:hAnsi="Arial" w:cs="Arial"/>
          <w:sz w:val="19"/>
          <w:szCs w:val="19"/>
          <w:lang w:val="es-ES"/>
        </w:rPr>
        <w:t>.</w:t>
      </w:r>
    </w:p>
  </w:footnote>
  <w:footnote w:id="19">
    <w:p w14:paraId="1E003342" w14:textId="77777777" w:rsidR="00741ACB" w:rsidRPr="00C65F25" w:rsidRDefault="00741ACB" w:rsidP="00242093">
      <w:pPr>
        <w:pStyle w:val="Textonotapie"/>
        <w:ind w:firstLine="709"/>
        <w:jc w:val="both"/>
        <w:rPr>
          <w:rFonts w:ascii="Arial" w:hAnsi="Arial" w:cs="Arial"/>
          <w:sz w:val="19"/>
          <w:szCs w:val="19"/>
        </w:rPr>
      </w:pPr>
    </w:p>
    <w:p w14:paraId="7718A06F" w14:textId="5ACA4D31" w:rsidR="008F1F27" w:rsidRPr="00C65F25" w:rsidRDefault="008F1F27" w:rsidP="00242093">
      <w:pPr>
        <w:pStyle w:val="Textonotapie"/>
        <w:ind w:firstLine="709"/>
        <w:jc w:val="both"/>
        <w:rPr>
          <w:rFonts w:ascii="Arial" w:hAnsi="Arial" w:cs="Arial"/>
          <w:sz w:val="19"/>
          <w:szCs w:val="19"/>
          <w:lang w:val="es-ES"/>
        </w:rPr>
      </w:pPr>
      <w:r w:rsidRPr="00C65F25">
        <w:rPr>
          <w:rStyle w:val="Refdenotaalpie"/>
          <w:rFonts w:ascii="Arial" w:hAnsi="Arial" w:cs="Arial"/>
          <w:sz w:val="19"/>
          <w:szCs w:val="19"/>
        </w:rPr>
        <w:footnoteRef/>
      </w:r>
      <w:r w:rsidRPr="00C65F25">
        <w:rPr>
          <w:rStyle w:val="Refdenotaalpie"/>
          <w:rFonts w:ascii="Arial" w:hAnsi="Arial" w:cs="Arial"/>
          <w:sz w:val="19"/>
          <w:szCs w:val="19"/>
        </w:rPr>
        <w:t xml:space="preserve"> </w:t>
      </w:r>
      <w:r w:rsidRPr="00C65F25">
        <w:rPr>
          <w:rFonts w:ascii="Arial" w:hAnsi="Arial" w:cs="Arial"/>
          <w:sz w:val="19"/>
          <w:szCs w:val="19"/>
          <w:lang w:val="es-ES"/>
        </w:rPr>
        <w:t xml:space="preserve">«[…] A este respecto, cabe recordar que el artículo 860 del Código de Comercio regula la licitación en el derecho privado». </w:t>
      </w:r>
    </w:p>
    <w:p w14:paraId="06CFB412" w14:textId="77777777" w:rsidR="008F1F27" w:rsidRPr="00C65F25" w:rsidRDefault="008F1F27" w:rsidP="00242093">
      <w:pPr>
        <w:pStyle w:val="Textonotapie"/>
        <w:ind w:firstLine="709"/>
        <w:jc w:val="both"/>
        <w:rPr>
          <w:rFonts w:ascii="Arial" w:hAnsi="Arial" w:cs="Arial"/>
          <w:sz w:val="19"/>
          <w:szCs w:val="19"/>
          <w:lang w:val="es-ES"/>
        </w:rPr>
      </w:pPr>
    </w:p>
  </w:footnote>
  <w:footnote w:id="20">
    <w:p w14:paraId="693BBFD3" w14:textId="77777777" w:rsidR="008F1F27" w:rsidRPr="00C65F25" w:rsidRDefault="008F1F27" w:rsidP="00242093">
      <w:pPr>
        <w:shd w:val="clear" w:color="auto" w:fill="FFFFFF"/>
        <w:ind w:firstLine="709"/>
        <w:jc w:val="both"/>
        <w:rPr>
          <w:rFonts w:ascii="Arial" w:hAnsi="Arial" w:cs="Arial"/>
          <w:sz w:val="19"/>
          <w:szCs w:val="19"/>
          <w:lang w:val="es-ES"/>
        </w:rPr>
      </w:pPr>
      <w:r w:rsidRPr="00C65F25">
        <w:rPr>
          <w:rStyle w:val="Refdenotaalpie"/>
          <w:rFonts w:ascii="Arial" w:hAnsi="Arial" w:cs="Arial"/>
          <w:sz w:val="19"/>
          <w:szCs w:val="19"/>
        </w:rPr>
        <w:footnoteRef/>
      </w:r>
      <w:r w:rsidRPr="00C65F25">
        <w:rPr>
          <w:rStyle w:val="Refdenotaalpie"/>
          <w:rFonts w:ascii="Arial" w:hAnsi="Arial" w:cs="Arial"/>
          <w:sz w:val="19"/>
          <w:szCs w:val="19"/>
        </w:rPr>
        <w:t xml:space="preserve"> </w:t>
      </w:r>
      <w:r w:rsidRPr="00C65F25">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21">
    <w:p w14:paraId="343ADEB7" w14:textId="77777777" w:rsidR="008F1F27" w:rsidRPr="00C65F25" w:rsidRDefault="008F1F27" w:rsidP="00242093">
      <w:pPr>
        <w:pStyle w:val="Textonotapie"/>
        <w:ind w:firstLine="709"/>
        <w:jc w:val="both"/>
        <w:rPr>
          <w:rFonts w:ascii="Arial" w:hAnsi="Arial" w:cs="Arial"/>
          <w:sz w:val="19"/>
          <w:szCs w:val="19"/>
        </w:rPr>
      </w:pPr>
    </w:p>
    <w:p w14:paraId="517EDCE2" w14:textId="0B94E40E" w:rsidR="008F1F27" w:rsidRPr="00C65F25" w:rsidRDefault="008F1F27" w:rsidP="00242093">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Consejo de Estado. Sala de Consulta y Servicio Civil. Concepto del 08 de mayo de 2018. Exp. 2.382. C.P. Álvaro Namén Vargas.</w:t>
      </w:r>
    </w:p>
    <w:p w14:paraId="69FDB40A" w14:textId="77777777" w:rsidR="00242093" w:rsidRPr="00C65F25" w:rsidRDefault="00242093" w:rsidP="00242093">
      <w:pPr>
        <w:pStyle w:val="Textonotapie"/>
        <w:ind w:firstLine="709"/>
        <w:jc w:val="both"/>
        <w:rPr>
          <w:rFonts w:ascii="Arial" w:hAnsi="Arial" w:cs="Arial"/>
          <w:sz w:val="19"/>
          <w:szCs w:val="19"/>
        </w:rPr>
      </w:pPr>
    </w:p>
  </w:footnote>
  <w:footnote w:id="22">
    <w:p w14:paraId="444F716C" w14:textId="4CDA06D5" w:rsidR="00242093" w:rsidRDefault="00242093" w:rsidP="00242093">
      <w:pPr>
        <w:pStyle w:val="Textonotapie"/>
        <w:ind w:firstLine="708"/>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COLOMBIA COMPRA EFICIENTE. Circular Externa Única. Numeral 15.3.</w:t>
      </w:r>
    </w:p>
    <w:p w14:paraId="6344F012" w14:textId="77777777" w:rsidR="00D7626A" w:rsidRPr="00C65F25" w:rsidRDefault="00D7626A" w:rsidP="00C65F25">
      <w:pPr>
        <w:pStyle w:val="Textonotapie"/>
        <w:ind w:firstLine="708"/>
        <w:jc w:val="both"/>
        <w:rPr>
          <w:rFonts w:ascii="Arial" w:hAnsi="Arial" w:cs="Arial"/>
          <w:sz w:val="19"/>
          <w:szCs w:val="19"/>
        </w:rPr>
      </w:pPr>
    </w:p>
  </w:footnote>
  <w:footnote w:id="23">
    <w:p w14:paraId="0AECB21B" w14:textId="77777777" w:rsidR="008F1F27" w:rsidRPr="00C65F25" w:rsidRDefault="008F1F27" w:rsidP="00242093">
      <w:pPr>
        <w:pStyle w:val="Textonotapie"/>
        <w:ind w:firstLine="709"/>
        <w:jc w:val="both"/>
        <w:rPr>
          <w:rFonts w:ascii="Arial" w:hAnsi="Arial" w:cs="Arial"/>
          <w:sz w:val="19"/>
          <w:szCs w:val="19"/>
        </w:rPr>
      </w:pPr>
      <w:r w:rsidRPr="00C65F25">
        <w:rPr>
          <w:rStyle w:val="Refdenotaalpie"/>
          <w:rFonts w:ascii="Arial" w:hAnsi="Arial" w:cs="Arial"/>
          <w:sz w:val="19"/>
          <w:szCs w:val="19"/>
        </w:rPr>
        <w:footnoteRef/>
      </w:r>
      <w:r w:rsidRPr="00C65F25">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No. 235-Cámara que dio lugar a la Ley de Garantías Electorales.</w:t>
      </w:r>
    </w:p>
  </w:footnote>
  <w:footnote w:id="24">
    <w:p w14:paraId="38490938" w14:textId="77777777" w:rsidR="00682EF1" w:rsidRPr="00242093" w:rsidRDefault="00682EF1" w:rsidP="00242093">
      <w:pPr>
        <w:ind w:firstLine="709"/>
        <w:jc w:val="both"/>
        <w:rPr>
          <w:rFonts w:ascii="Arial" w:hAnsi="Arial" w:cs="Arial"/>
          <w:sz w:val="19"/>
          <w:szCs w:val="19"/>
        </w:rPr>
      </w:pPr>
      <w:r w:rsidRPr="00242093">
        <w:rPr>
          <w:rStyle w:val="Refdenotaalpie"/>
          <w:rFonts w:ascii="Arial" w:hAnsi="Arial" w:cs="Arial"/>
          <w:sz w:val="19"/>
          <w:szCs w:val="19"/>
        </w:rPr>
        <w:footnoteRef/>
      </w:r>
      <w:r w:rsidRPr="00242093">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5">
    <w:p w14:paraId="64F376AB" w14:textId="77777777" w:rsidR="00682EF1" w:rsidRPr="00242093" w:rsidRDefault="00682EF1" w:rsidP="00C65F25">
      <w:pPr>
        <w:pStyle w:val="Textonotapie"/>
        <w:ind w:firstLine="709"/>
        <w:jc w:val="both"/>
        <w:rPr>
          <w:rFonts w:ascii="Arial" w:hAnsi="Arial" w:cs="Arial"/>
          <w:sz w:val="19"/>
          <w:szCs w:val="19"/>
        </w:rPr>
      </w:pPr>
    </w:p>
    <w:p w14:paraId="6B1C6957" w14:textId="77777777" w:rsidR="00682EF1" w:rsidRPr="00242093" w:rsidRDefault="00682EF1" w:rsidP="00C65F25">
      <w:pPr>
        <w:pStyle w:val="Textonotapie"/>
        <w:ind w:firstLine="709"/>
        <w:jc w:val="both"/>
        <w:rPr>
          <w:rFonts w:ascii="Arial" w:hAnsi="Arial" w:cs="Arial"/>
          <w:sz w:val="19"/>
          <w:szCs w:val="19"/>
        </w:rPr>
      </w:pPr>
      <w:r w:rsidRPr="00242093">
        <w:rPr>
          <w:rStyle w:val="Refdenotaalpie"/>
          <w:rFonts w:ascii="Arial" w:hAnsi="Arial" w:cs="Arial"/>
          <w:sz w:val="19"/>
          <w:szCs w:val="19"/>
        </w:rPr>
        <w:footnoteRef/>
      </w:r>
      <w:r w:rsidRPr="00242093">
        <w:rPr>
          <w:rFonts w:ascii="Arial" w:hAnsi="Arial" w:cs="Arial"/>
          <w:sz w:val="19"/>
          <w:szCs w:val="19"/>
        </w:rPr>
        <w:t xml:space="preserve"> </w:t>
      </w:r>
      <w:bookmarkStart w:id="13" w:name="_Hlk75633115"/>
      <w:r w:rsidRPr="00242093">
        <w:rPr>
          <w:rFonts w:ascii="Arial" w:hAnsi="Arial" w:cs="Arial"/>
          <w:sz w:val="19"/>
          <w:szCs w:val="19"/>
        </w:rPr>
        <w:t xml:space="preserve">Consejo de Estado. Sala de Consulta y Servicio Civil. Concepto </w:t>
      </w:r>
      <w:bookmarkEnd w:id="13"/>
      <w:r w:rsidRPr="00242093">
        <w:rPr>
          <w:rFonts w:ascii="Arial" w:hAnsi="Arial" w:cs="Arial"/>
          <w:sz w:val="19"/>
          <w:szCs w:val="19"/>
        </w:rPr>
        <w:t>de 6 de abril de 2006. Radicación Número: 11001-03-06-000-2006-00038-00(1738). Consejero Ponente: Enrique José Arboleda Perdomo:</w:t>
      </w:r>
      <w:r w:rsidRPr="00242093">
        <w:rPr>
          <w:rFonts w:ascii="Arial" w:eastAsia="Times New Roman" w:hAnsi="Arial" w:cs="Arial"/>
          <w:bCs/>
          <w:sz w:val="19"/>
          <w:szCs w:val="19"/>
          <w:lang w:eastAsia="x-none"/>
        </w:rPr>
        <w:t xml:space="preserve"> «</w:t>
      </w:r>
      <w:r w:rsidRPr="00242093">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242093">
        <w:rPr>
          <w:rFonts w:ascii="Arial" w:eastAsia="Times New Roman" w:hAnsi="Arial" w:cs="Arial"/>
          <w:bCs/>
          <w:sz w:val="19"/>
          <w:szCs w:val="19"/>
          <w:lang w:eastAsia="x-none"/>
        </w:rPr>
        <w:t>».</w:t>
      </w:r>
    </w:p>
  </w:footnote>
  <w:footnote w:id="26">
    <w:p w14:paraId="3C022C09" w14:textId="77777777" w:rsidR="00682EF1" w:rsidRPr="00242093" w:rsidRDefault="00682EF1" w:rsidP="00C65F25">
      <w:pPr>
        <w:pStyle w:val="Textonotapie"/>
        <w:ind w:firstLine="709"/>
        <w:jc w:val="both"/>
        <w:rPr>
          <w:rFonts w:ascii="Arial" w:hAnsi="Arial" w:cs="Arial"/>
          <w:sz w:val="19"/>
          <w:szCs w:val="19"/>
        </w:rPr>
      </w:pPr>
      <w:r w:rsidRPr="00242093">
        <w:rPr>
          <w:rStyle w:val="Refdenotaalpie"/>
          <w:rFonts w:ascii="Arial" w:hAnsi="Arial" w:cs="Arial"/>
          <w:sz w:val="19"/>
          <w:szCs w:val="19"/>
        </w:rPr>
        <w:footnoteRef/>
      </w:r>
      <w:r w:rsidRPr="00242093">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3A6031CE" w14:textId="77777777" w:rsidR="00682EF1" w:rsidRPr="00242093" w:rsidRDefault="00682EF1" w:rsidP="00C65F25">
      <w:pPr>
        <w:pStyle w:val="Textonotapie"/>
        <w:ind w:firstLine="709"/>
        <w:jc w:val="both"/>
        <w:rPr>
          <w:rFonts w:ascii="Arial" w:hAnsi="Arial" w:cs="Arial"/>
          <w:sz w:val="19"/>
          <w:szCs w:val="19"/>
        </w:rPr>
      </w:pPr>
    </w:p>
  </w:footnote>
  <w:footnote w:id="27">
    <w:p w14:paraId="3E400066" w14:textId="77777777" w:rsidR="00F12E62" w:rsidRPr="00242093" w:rsidRDefault="00F12E62" w:rsidP="00242093">
      <w:pPr>
        <w:pStyle w:val="Textonotapie"/>
        <w:ind w:firstLine="708"/>
        <w:jc w:val="both"/>
        <w:rPr>
          <w:rFonts w:ascii="Arial" w:hAnsi="Arial" w:cs="Arial"/>
          <w:sz w:val="19"/>
          <w:szCs w:val="19"/>
          <w:lang w:val="es-CO"/>
        </w:rPr>
      </w:pPr>
      <w:r w:rsidRPr="00242093">
        <w:rPr>
          <w:rStyle w:val="Refdenotaalpie"/>
          <w:rFonts w:ascii="Arial" w:hAnsi="Arial" w:cs="Arial"/>
          <w:sz w:val="19"/>
          <w:szCs w:val="19"/>
        </w:rPr>
        <w:footnoteRef/>
      </w:r>
      <w:r w:rsidRPr="00242093">
        <w:rPr>
          <w:rFonts w:ascii="Arial" w:hAnsi="Arial" w:cs="Arial"/>
          <w:sz w:val="19"/>
          <w:szCs w:val="19"/>
        </w:rPr>
        <w:t xml:space="preserve"> Consejo de Estado, Sala de Consulta y Servicio Civil, Concepto del 4 de junio de 2003, radicado 1495. C.P.: César Hoyos Salazar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A9E4" w14:textId="77777777" w:rsidR="00387886" w:rsidRDefault="007C2EF0">
    <w:pPr>
      <w:pStyle w:val="Encabezado"/>
    </w:pPr>
    <w:r>
      <w:rPr>
        <w:noProof/>
        <w:lang w:val="es-CO" w:eastAsia="es-CO"/>
      </w:rPr>
      <w:drawing>
        <wp:anchor distT="0" distB="0" distL="114300" distR="114300" simplePos="0" relativeHeight="251659264" behindDoc="1" locked="0" layoutInCell="1" allowOverlap="1" wp14:anchorId="57019949" wp14:editId="7362747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93"/>
    <w:rsid w:val="00001212"/>
    <w:rsid w:val="00045B0C"/>
    <w:rsid w:val="000A5AEC"/>
    <w:rsid w:val="000B2F93"/>
    <w:rsid w:val="0011507F"/>
    <w:rsid w:val="001475BD"/>
    <w:rsid w:val="001556E0"/>
    <w:rsid w:val="002221BF"/>
    <w:rsid w:val="00242093"/>
    <w:rsid w:val="00280B7C"/>
    <w:rsid w:val="00286D26"/>
    <w:rsid w:val="00291714"/>
    <w:rsid w:val="002D5147"/>
    <w:rsid w:val="002F7680"/>
    <w:rsid w:val="003343F7"/>
    <w:rsid w:val="003D0C6E"/>
    <w:rsid w:val="00516564"/>
    <w:rsid w:val="00567737"/>
    <w:rsid w:val="00606D43"/>
    <w:rsid w:val="00612B90"/>
    <w:rsid w:val="006427D0"/>
    <w:rsid w:val="00644635"/>
    <w:rsid w:val="00682EF1"/>
    <w:rsid w:val="006942D5"/>
    <w:rsid w:val="00741ACB"/>
    <w:rsid w:val="00795589"/>
    <w:rsid w:val="007A76CD"/>
    <w:rsid w:val="007C2EF0"/>
    <w:rsid w:val="007D46E5"/>
    <w:rsid w:val="008533B5"/>
    <w:rsid w:val="00854B53"/>
    <w:rsid w:val="0089562B"/>
    <w:rsid w:val="008B3615"/>
    <w:rsid w:val="008E1838"/>
    <w:rsid w:val="008F1F27"/>
    <w:rsid w:val="009A7542"/>
    <w:rsid w:val="009D7FE7"/>
    <w:rsid w:val="00A719A4"/>
    <w:rsid w:val="00AA4DF3"/>
    <w:rsid w:val="00AB1845"/>
    <w:rsid w:val="00AF4692"/>
    <w:rsid w:val="00BF34F2"/>
    <w:rsid w:val="00C30FC7"/>
    <w:rsid w:val="00C65F25"/>
    <w:rsid w:val="00C763FB"/>
    <w:rsid w:val="00CF0ADF"/>
    <w:rsid w:val="00D00AE4"/>
    <w:rsid w:val="00D7626A"/>
    <w:rsid w:val="00D90A52"/>
    <w:rsid w:val="00E8316F"/>
    <w:rsid w:val="00EA2FEE"/>
    <w:rsid w:val="00F12E62"/>
    <w:rsid w:val="00F14E18"/>
    <w:rsid w:val="00F54681"/>
    <w:rsid w:val="00FA17C1"/>
    <w:rsid w:val="00FE34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394C"/>
  <w15:chartTrackingRefBased/>
  <w15:docId w15:val="{847351DB-D241-9A45-8995-A577B52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681"/>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B2F93"/>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B2F93"/>
    <w:rPr>
      <w:szCs w:val="22"/>
      <w:lang w:val="es-MX"/>
    </w:rPr>
  </w:style>
  <w:style w:type="paragraph" w:styleId="Encabezado">
    <w:name w:val="header"/>
    <w:basedOn w:val="Normal"/>
    <w:link w:val="EncabezadoCar"/>
    <w:uiPriority w:val="99"/>
    <w:unhideWhenUsed/>
    <w:rsid w:val="000B2F93"/>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B2F93"/>
    <w:rPr>
      <w:szCs w:val="22"/>
      <w:lang w:val="es-MX"/>
    </w:rPr>
  </w:style>
  <w:style w:type="table" w:styleId="Tablaconcuadrcula">
    <w:name w:val="Table Grid"/>
    <w:basedOn w:val="Tablanormal"/>
    <w:uiPriority w:val="39"/>
    <w:qFormat/>
    <w:rsid w:val="000B2F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B2F93"/>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0B2F93"/>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B2F9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B2F9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B2F93"/>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2F93"/>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B2F93"/>
    <w:rPr>
      <w:vertAlign w:val="superscript"/>
    </w:rPr>
  </w:style>
  <w:style w:type="paragraph" w:customStyle="1" w:styleId="Appelnotedebasde">
    <w:name w:val="Appel note de bas de..."/>
    <w:basedOn w:val="Normal"/>
    <w:link w:val="Refdenotaalpie"/>
    <w:uiPriority w:val="99"/>
    <w:rsid w:val="000B2F93"/>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0B2F93"/>
    <w:pPr>
      <w:spacing w:before="100" w:beforeAutospacing="1" w:after="100" w:afterAutospacing="1"/>
    </w:pPr>
  </w:style>
  <w:style w:type="character" w:customStyle="1" w:styleId="NormalWebCar">
    <w:name w:val="Normal (Web) Car"/>
    <w:link w:val="NormalWeb"/>
    <w:uiPriority w:val="99"/>
    <w:rsid w:val="000B2F93"/>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8F1F2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8F1F27"/>
    <w:rPr>
      <w:rFonts w:ascii="Arial" w:eastAsia="Arial" w:hAnsi="Arial" w:cs="Arial"/>
      <w:sz w:val="20"/>
      <w:szCs w:val="20"/>
      <w:lang w:val="es-ES"/>
    </w:rPr>
  </w:style>
  <w:style w:type="character" w:customStyle="1" w:styleId="baj">
    <w:name w:val="b_aj"/>
    <w:basedOn w:val="Fuentedeprrafopredeter"/>
    <w:rsid w:val="008F1F27"/>
  </w:style>
  <w:style w:type="paragraph" w:styleId="Revisin">
    <w:name w:val="Revision"/>
    <w:hidden/>
    <w:uiPriority w:val="99"/>
    <w:semiHidden/>
    <w:rsid w:val="002D5147"/>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FE34A6"/>
    <w:rPr>
      <w:sz w:val="16"/>
      <w:szCs w:val="16"/>
    </w:rPr>
  </w:style>
  <w:style w:type="paragraph" w:styleId="Textocomentario">
    <w:name w:val="annotation text"/>
    <w:basedOn w:val="Normal"/>
    <w:link w:val="TextocomentarioCar"/>
    <w:uiPriority w:val="99"/>
    <w:semiHidden/>
    <w:unhideWhenUsed/>
    <w:rsid w:val="00FE34A6"/>
    <w:rPr>
      <w:sz w:val="20"/>
      <w:szCs w:val="20"/>
    </w:rPr>
  </w:style>
  <w:style w:type="character" w:customStyle="1" w:styleId="TextocomentarioCar">
    <w:name w:val="Texto comentario Car"/>
    <w:basedOn w:val="Fuentedeprrafopredeter"/>
    <w:link w:val="Textocomentario"/>
    <w:uiPriority w:val="99"/>
    <w:semiHidden/>
    <w:rsid w:val="00FE34A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E34A6"/>
    <w:rPr>
      <w:b/>
      <w:bCs/>
    </w:rPr>
  </w:style>
  <w:style w:type="character" w:customStyle="1" w:styleId="AsuntodelcomentarioCar">
    <w:name w:val="Asunto del comentario Car"/>
    <w:basedOn w:val="TextocomentarioCar"/>
    <w:link w:val="Asuntodelcomentario"/>
    <w:uiPriority w:val="99"/>
    <w:semiHidden/>
    <w:rsid w:val="00FE34A6"/>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641">
      <w:bodyDiv w:val="1"/>
      <w:marLeft w:val="0"/>
      <w:marRight w:val="0"/>
      <w:marTop w:val="0"/>
      <w:marBottom w:val="0"/>
      <w:divBdr>
        <w:top w:val="none" w:sz="0" w:space="0" w:color="auto"/>
        <w:left w:val="none" w:sz="0" w:space="0" w:color="auto"/>
        <w:bottom w:val="none" w:sz="0" w:space="0" w:color="auto"/>
        <w:right w:val="none" w:sz="0" w:space="0" w:color="auto"/>
      </w:divBdr>
      <w:divsChild>
        <w:div w:id="1752896554">
          <w:marLeft w:val="0"/>
          <w:marRight w:val="0"/>
          <w:marTop w:val="0"/>
          <w:marBottom w:val="0"/>
          <w:divBdr>
            <w:top w:val="none" w:sz="0" w:space="0" w:color="auto"/>
            <w:left w:val="none" w:sz="0" w:space="0" w:color="auto"/>
            <w:bottom w:val="none" w:sz="0" w:space="0" w:color="auto"/>
            <w:right w:val="none" w:sz="0" w:space="0" w:color="auto"/>
          </w:divBdr>
        </w:div>
      </w:divsChild>
    </w:div>
    <w:div w:id="746345115">
      <w:bodyDiv w:val="1"/>
      <w:marLeft w:val="0"/>
      <w:marRight w:val="0"/>
      <w:marTop w:val="0"/>
      <w:marBottom w:val="0"/>
      <w:divBdr>
        <w:top w:val="none" w:sz="0" w:space="0" w:color="auto"/>
        <w:left w:val="none" w:sz="0" w:space="0" w:color="auto"/>
        <w:bottom w:val="none" w:sz="0" w:space="0" w:color="auto"/>
        <w:right w:val="none" w:sz="0" w:space="0" w:color="auto"/>
      </w:divBdr>
      <w:divsChild>
        <w:div w:id="192329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C0E27-D7CA-4806-BF6D-ECB1D67F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8B997-832B-436B-A340-517EA8BEDB58}">
  <ds:schemaRefs>
    <ds:schemaRef ds:uri="http://schemas.openxmlformats.org/officeDocument/2006/bibliography"/>
  </ds:schemaRefs>
</ds:datastoreItem>
</file>

<file path=customXml/itemProps3.xml><?xml version="1.0" encoding="utf-8"?>
<ds:datastoreItem xmlns:ds="http://schemas.openxmlformats.org/officeDocument/2006/customXml" ds:itemID="{FD4AF2D9-D84D-4A45-9DF7-1A347FF8A2A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1C0E2B4-263A-490C-9428-B11C48403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6589</Words>
  <Characters>36242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Manuela Mantilla Pacheco</cp:lastModifiedBy>
  <cp:revision>4</cp:revision>
  <dcterms:created xsi:type="dcterms:W3CDTF">2022-03-16T01:15:00Z</dcterms:created>
  <dcterms:modified xsi:type="dcterms:W3CDTF">2022-04-18T20:28:00Z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