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43356A" w:rsidRDefault="00E05AA3" w:rsidP="00CC1897">
      <w:pPr>
        <w:jc w:val="right"/>
        <w:rPr>
          <w:rFonts w:ascii="Arial" w:hAnsi="Arial" w:cs="Arial"/>
          <w:bCs/>
          <w:sz w:val="20"/>
          <w:szCs w:val="20"/>
          <w:lang w:val="es-ES_tradnl" w:eastAsia="es-ES"/>
        </w:rPr>
      </w:pPr>
      <w:bookmarkStart w:id="0" w:name="_Hlk28946138"/>
      <w:bookmarkStart w:id="1" w:name="_Hlk29548183"/>
    </w:p>
    <w:p w14:paraId="346AE9F5" w14:textId="4873E163" w:rsidR="0030575F" w:rsidRPr="0043356A" w:rsidRDefault="00B55C69" w:rsidP="0030575F">
      <w:pPr>
        <w:jc w:val="right"/>
        <w:rPr>
          <w:rFonts w:ascii="Arial" w:eastAsia="Calibri" w:hAnsi="Arial" w:cs="Arial"/>
          <w:b/>
          <w:sz w:val="16"/>
          <w:szCs w:val="16"/>
          <w:lang w:val="es-ES_tradnl"/>
        </w:rPr>
      </w:pPr>
      <w:r w:rsidRPr="0043356A">
        <w:rPr>
          <w:rFonts w:ascii="Arial" w:hAnsi="Arial" w:cs="Arial"/>
          <w:bCs/>
          <w:sz w:val="16"/>
          <w:szCs w:val="16"/>
          <w:lang w:val="es-ES_tradnl" w:eastAsia="es-ES"/>
        </w:rPr>
        <w:t>CCE-DES-FM-17</w:t>
      </w:r>
      <w:bookmarkEnd w:id="0"/>
      <w:bookmarkEnd w:id="1"/>
    </w:p>
    <w:p w14:paraId="5B5FA1A8" w14:textId="77777777" w:rsidR="005B24E7" w:rsidRPr="0043356A" w:rsidRDefault="005B24E7" w:rsidP="00C128B2">
      <w:pPr>
        <w:spacing w:after="120"/>
        <w:contextualSpacing/>
        <w:jc w:val="both"/>
        <w:rPr>
          <w:rFonts w:ascii="Arial" w:eastAsia="Calibri" w:hAnsi="Arial" w:cs="Arial"/>
          <w:b/>
          <w:bCs/>
          <w:sz w:val="22"/>
          <w:szCs w:val="22"/>
          <w:lang w:val="es-MX" w:eastAsia="en-US"/>
        </w:rPr>
      </w:pPr>
      <w:bookmarkStart w:id="2" w:name="_Hlk79765235"/>
    </w:p>
    <w:p w14:paraId="2E56D937" w14:textId="453D4A7E" w:rsidR="0030575F" w:rsidRPr="0043356A" w:rsidRDefault="0030575F" w:rsidP="00C128B2">
      <w:pPr>
        <w:spacing w:after="120"/>
        <w:contextualSpacing/>
        <w:jc w:val="both"/>
        <w:rPr>
          <w:rFonts w:ascii="Arial" w:eastAsia="Calibri" w:hAnsi="Arial" w:cs="Arial"/>
          <w:b/>
          <w:bCs/>
          <w:sz w:val="22"/>
          <w:szCs w:val="22"/>
          <w:lang w:val="es-MX" w:eastAsia="en-US"/>
        </w:rPr>
      </w:pPr>
      <w:r w:rsidRPr="0043356A">
        <w:rPr>
          <w:rFonts w:ascii="Arial" w:eastAsia="Calibri" w:hAnsi="Arial" w:cs="Arial"/>
          <w:b/>
          <w:bCs/>
          <w:sz w:val="22"/>
          <w:szCs w:val="22"/>
          <w:lang w:val="es-MX" w:eastAsia="en-US"/>
        </w:rPr>
        <w:t>LEY DE GARANTÍAS ELECTORALES – Finalidad</w:t>
      </w:r>
    </w:p>
    <w:p w14:paraId="54D7EA45" w14:textId="77777777" w:rsidR="0030575F" w:rsidRPr="0043356A" w:rsidRDefault="0030575F" w:rsidP="00C128B2">
      <w:pPr>
        <w:spacing w:after="120"/>
        <w:contextualSpacing/>
        <w:jc w:val="both"/>
        <w:rPr>
          <w:rFonts w:ascii="Arial" w:eastAsia="Calibri" w:hAnsi="Arial" w:cs="Arial"/>
          <w:sz w:val="20"/>
          <w:szCs w:val="20"/>
          <w:lang w:val="es-MX" w:eastAsia="en-US"/>
        </w:rPr>
      </w:pPr>
    </w:p>
    <w:p w14:paraId="7A434A5B" w14:textId="2557170C" w:rsidR="0030575F" w:rsidRPr="0043356A" w:rsidRDefault="00861F5C" w:rsidP="00C128B2">
      <w:pPr>
        <w:tabs>
          <w:tab w:val="left" w:pos="426"/>
        </w:tabs>
        <w:spacing w:after="120"/>
        <w:jc w:val="both"/>
        <w:rPr>
          <w:rFonts w:ascii="Arial" w:eastAsia="Calibri" w:hAnsi="Arial" w:cs="Arial"/>
          <w:bCs/>
          <w:sz w:val="20"/>
          <w:szCs w:val="20"/>
        </w:rPr>
      </w:pPr>
      <w:r w:rsidRPr="0043356A">
        <w:rPr>
          <w:rFonts w:ascii="Arial" w:hAnsi="Arial" w:cs="Arial"/>
          <w:bCs/>
          <w:sz w:val="20"/>
          <w:szCs w:val="20"/>
          <w:lang w:eastAsia="es-CO"/>
        </w:rPr>
        <w:t xml:space="preserve">[…] la Ley 996 de 2005 </w:t>
      </w:r>
      <w:r w:rsidRPr="0043356A">
        <w:rPr>
          <w:rFonts w:ascii="Arial" w:eastAsia="Calibri" w:hAnsi="Arial" w:cs="Arial"/>
          <w:sz w:val="20"/>
          <w:szCs w:val="20"/>
          <w:lang w:eastAsia="en-US"/>
        </w:rPr>
        <w:t>«</w:t>
      </w:r>
      <w:r w:rsidRPr="0043356A">
        <w:rPr>
          <w:rStyle w:val="Textoennegrita"/>
          <w:rFonts w:ascii="Arial" w:hAnsi="Arial" w:cs="Arial"/>
          <w:b w:val="0"/>
          <w:sz w:val="20"/>
          <w:szCs w:val="20"/>
          <w:shd w:val="clear" w:color="auto" w:fill="FFFFFF"/>
        </w:rPr>
        <w:t>Por medio de la cual se reglamenta la elección de Presidente de la República, de conformidad con el artículo 152 literal f) de la Constitución Política de Colombia, y de acuerdo con lo establecido en el Acto Legislativo 02 de 2004, y se dictan otras disposiciones</w:t>
      </w:r>
      <w:r w:rsidRPr="0043356A">
        <w:rPr>
          <w:rFonts w:ascii="Arial" w:eastAsia="Calibri" w:hAnsi="Arial" w:cs="Arial"/>
          <w:bCs/>
          <w:sz w:val="20"/>
          <w:szCs w:val="20"/>
          <w:lang w:eastAsia="en-US"/>
        </w:rPr>
        <w:t>»,</w:t>
      </w:r>
      <w:r w:rsidRPr="0043356A">
        <w:rPr>
          <w:rStyle w:val="Textoennegrita"/>
          <w:rFonts w:ascii="Arial" w:hAnsi="Arial" w:cs="Arial"/>
          <w:sz w:val="20"/>
          <w:szCs w:val="20"/>
          <w:shd w:val="clear" w:color="auto" w:fill="FFFFFF"/>
        </w:rPr>
        <w:t xml:space="preserve"> </w:t>
      </w:r>
      <w:r w:rsidRPr="0043356A">
        <w:rPr>
          <w:rFonts w:ascii="Arial" w:hAnsi="Arial" w:cs="Arial"/>
          <w:bCs/>
          <w:sz w:val="20"/>
          <w:szCs w:val="20"/>
          <w:lang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0288777A" w14:textId="77777777" w:rsidR="0030575F" w:rsidRPr="0043356A" w:rsidRDefault="0030575F" w:rsidP="00C128B2">
      <w:pPr>
        <w:tabs>
          <w:tab w:val="left" w:pos="426"/>
        </w:tabs>
        <w:jc w:val="both"/>
        <w:rPr>
          <w:rFonts w:ascii="Arial" w:eastAsia="Calibri" w:hAnsi="Arial" w:cs="Arial"/>
          <w:bCs/>
          <w:sz w:val="20"/>
          <w:szCs w:val="20"/>
          <w:lang w:val="es-MX" w:eastAsia="en-US"/>
        </w:rPr>
      </w:pPr>
    </w:p>
    <w:p w14:paraId="485C44E2" w14:textId="77777777" w:rsidR="0030575F" w:rsidRPr="0043356A" w:rsidRDefault="0030575F" w:rsidP="00C128B2">
      <w:pPr>
        <w:tabs>
          <w:tab w:val="left" w:pos="426"/>
        </w:tabs>
        <w:jc w:val="both"/>
        <w:rPr>
          <w:rFonts w:ascii="Arial" w:eastAsia="Calibri" w:hAnsi="Arial" w:cs="Arial"/>
          <w:b/>
          <w:bCs/>
          <w:sz w:val="22"/>
          <w:szCs w:val="22"/>
          <w:lang w:val="es-MX" w:eastAsia="en-US"/>
        </w:rPr>
      </w:pPr>
      <w:bookmarkStart w:id="3" w:name="_Hlk77152637"/>
      <w:bookmarkStart w:id="4" w:name="_Hlk77157066"/>
      <w:r w:rsidRPr="0043356A">
        <w:rPr>
          <w:rFonts w:ascii="Arial" w:eastAsia="Calibri" w:hAnsi="Arial" w:cs="Arial"/>
          <w:b/>
          <w:bCs/>
          <w:sz w:val="22"/>
          <w:szCs w:val="22"/>
          <w:lang w:val="es-MX" w:eastAsia="en-US"/>
        </w:rPr>
        <w:t>LEY DE GARANTÍAS ELECTORALES ‒</w:t>
      </w:r>
      <w:bookmarkEnd w:id="3"/>
      <w:r w:rsidRPr="0043356A">
        <w:rPr>
          <w:rFonts w:ascii="Arial" w:eastAsia="Calibri" w:hAnsi="Arial" w:cs="Arial"/>
          <w:b/>
          <w:bCs/>
          <w:sz w:val="22"/>
          <w:szCs w:val="22"/>
          <w:lang w:val="es-MX" w:eastAsia="en-US"/>
        </w:rPr>
        <w:t xml:space="preserve"> Restricciones </w:t>
      </w:r>
      <w:bookmarkStart w:id="5" w:name="_Hlk77157034"/>
      <w:r w:rsidRPr="0043356A">
        <w:rPr>
          <w:rFonts w:ascii="Arial" w:eastAsia="Calibri" w:hAnsi="Arial" w:cs="Arial"/>
          <w:b/>
          <w:bCs/>
          <w:sz w:val="22"/>
          <w:szCs w:val="22"/>
          <w:lang w:val="es-MX" w:eastAsia="en-US"/>
        </w:rPr>
        <w:t xml:space="preserve">‒ </w:t>
      </w:r>
      <w:bookmarkEnd w:id="5"/>
      <w:r w:rsidRPr="0043356A">
        <w:rPr>
          <w:rFonts w:ascii="Arial" w:eastAsia="Calibri" w:hAnsi="Arial" w:cs="Arial"/>
          <w:b/>
          <w:bCs/>
          <w:sz w:val="22"/>
          <w:szCs w:val="22"/>
          <w:lang w:val="es-MX" w:eastAsia="en-US"/>
        </w:rPr>
        <w:t>Contratación</w:t>
      </w:r>
      <w:bookmarkStart w:id="6" w:name="_Hlk77153098"/>
      <w:r w:rsidRPr="0043356A">
        <w:rPr>
          <w:rFonts w:ascii="Arial" w:eastAsia="Calibri" w:hAnsi="Arial" w:cs="Arial"/>
          <w:b/>
          <w:bCs/>
          <w:sz w:val="22"/>
          <w:szCs w:val="22"/>
          <w:lang w:val="es-MX" w:eastAsia="en-US"/>
        </w:rPr>
        <w:t xml:space="preserve"> ‒ Tipos de elección</w:t>
      </w:r>
      <w:bookmarkEnd w:id="6"/>
      <w:r w:rsidRPr="0043356A">
        <w:rPr>
          <w:rFonts w:ascii="Arial" w:eastAsia="Calibri" w:hAnsi="Arial" w:cs="Arial"/>
          <w:b/>
          <w:bCs/>
          <w:sz w:val="22"/>
          <w:szCs w:val="22"/>
          <w:lang w:val="es-MX" w:eastAsia="en-US"/>
        </w:rPr>
        <w:t xml:space="preserve"> </w:t>
      </w:r>
    </w:p>
    <w:p w14:paraId="16CB6979" w14:textId="77777777" w:rsidR="0030575F" w:rsidRPr="0043356A" w:rsidRDefault="0030575F" w:rsidP="00C128B2">
      <w:pPr>
        <w:tabs>
          <w:tab w:val="left" w:pos="426"/>
        </w:tabs>
        <w:jc w:val="both"/>
        <w:rPr>
          <w:rFonts w:ascii="Arial" w:eastAsia="Calibri" w:hAnsi="Arial" w:cs="Arial"/>
          <w:b/>
          <w:bCs/>
          <w:sz w:val="20"/>
          <w:szCs w:val="20"/>
          <w:lang w:val="es-MX" w:eastAsia="en-US"/>
        </w:rPr>
      </w:pPr>
    </w:p>
    <w:p w14:paraId="609FD4A0" w14:textId="77777777" w:rsidR="00EB345F" w:rsidRPr="0043356A" w:rsidRDefault="00861F5C" w:rsidP="00C128B2">
      <w:pPr>
        <w:spacing w:after="120"/>
        <w:jc w:val="both"/>
        <w:rPr>
          <w:rFonts w:ascii="Arial" w:eastAsia="Calibri" w:hAnsi="Arial" w:cs="Arial"/>
          <w:noProof/>
          <w:sz w:val="20"/>
          <w:szCs w:val="20"/>
          <w:lang w:val="es-ES_tradnl" w:eastAsia="en-US"/>
        </w:rPr>
      </w:pPr>
      <w:r w:rsidRPr="0043356A">
        <w:rPr>
          <w:rFonts w:ascii="Arial" w:hAnsi="Arial" w:cs="Arial"/>
          <w:bCs/>
          <w:sz w:val="20"/>
          <w:szCs w:val="20"/>
          <w:lang w:val="es-MX" w:eastAsia="es-CO"/>
        </w:rPr>
        <w:t xml:space="preserve">La </w:t>
      </w:r>
      <w:r w:rsidRPr="0043356A">
        <w:rPr>
          <w:rFonts w:ascii="Arial" w:eastAsia="Arial" w:hAnsi="Arial" w:cs="Arial"/>
          <w:sz w:val="20"/>
          <w:szCs w:val="20"/>
          <w:lang w:val="es-ES"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Pr="0043356A">
        <w:rPr>
          <w:rFonts w:ascii="Arial" w:eastAsia="Calibri" w:hAnsi="Arial" w:cs="Arial"/>
          <w:sz w:val="20"/>
          <w:szCs w:val="20"/>
          <w:lang w:eastAsia="en-US"/>
        </w:rPr>
        <w:t xml:space="preserve">Por una parte, el artículo 33 de la Ley 996 de 2005 establece una prohibición que impide </w:t>
      </w:r>
      <w:r w:rsidRPr="0043356A">
        <w:rPr>
          <w:rFonts w:ascii="Arial" w:eastAsia="Calibri" w:hAnsi="Arial" w:cs="Arial"/>
          <w:bCs/>
          <w:sz w:val="20"/>
          <w:szCs w:val="20"/>
          <w:lang w:eastAsia="en-US"/>
        </w:rPr>
        <w:t xml:space="preserve">«[…] </w:t>
      </w:r>
      <w:r w:rsidRPr="0043356A">
        <w:rPr>
          <w:rFonts w:ascii="Arial" w:eastAsia="Calibri" w:hAnsi="Arial" w:cs="Arial"/>
          <w:sz w:val="20"/>
          <w:szCs w:val="20"/>
          <w:lang w:eastAsia="en-US"/>
        </w:rPr>
        <w:t>la contratación directa por parte de todos los entes del Estado</w:t>
      </w:r>
      <w:r w:rsidRPr="0043356A">
        <w:rPr>
          <w:rFonts w:ascii="Arial" w:eastAsia="Calibri" w:hAnsi="Arial" w:cs="Arial"/>
          <w:bCs/>
          <w:sz w:val="20"/>
          <w:szCs w:val="20"/>
          <w:lang w:eastAsia="en-US"/>
        </w:rPr>
        <w:t>»</w:t>
      </w:r>
      <w:r w:rsidRPr="0043356A">
        <w:rPr>
          <w:rFonts w:ascii="Arial" w:eastAsia="Calibri" w:hAnsi="Arial" w:cs="Arial"/>
          <w:sz w:val="20"/>
          <w:szCs w:val="20"/>
          <w:lang w:eastAsia="en-US"/>
        </w:rPr>
        <w:t xml:space="preserve"> durante los cuatro (4) meses anteriores a las elecciones presidenciales, salvo </w:t>
      </w:r>
      <w:r w:rsidRPr="0043356A">
        <w:rPr>
          <w:rFonts w:ascii="Arial" w:eastAsia="Calibri" w:hAnsi="Arial" w:cs="Arial"/>
          <w:bCs/>
          <w:sz w:val="20"/>
          <w:szCs w:val="20"/>
          <w:lang w:eastAsia="en-US"/>
        </w:rPr>
        <w:t xml:space="preserve">«[…] </w:t>
      </w:r>
      <w:r w:rsidRPr="0043356A">
        <w:rPr>
          <w:rFonts w:ascii="Arial" w:eastAsia="Calibri" w:hAnsi="Arial" w:cs="Arial"/>
          <w:sz w:val="20"/>
          <w:szCs w:val="20"/>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3356A">
        <w:rPr>
          <w:rFonts w:ascii="Arial" w:eastAsia="Calibri" w:hAnsi="Arial" w:cs="Arial"/>
          <w:bCs/>
          <w:sz w:val="20"/>
          <w:szCs w:val="20"/>
          <w:lang w:eastAsia="en-US"/>
        </w:rPr>
        <w:t>»</w:t>
      </w:r>
      <w:r w:rsidRPr="0043356A">
        <w:rPr>
          <w:rFonts w:ascii="Arial" w:eastAsia="Calibri" w:hAnsi="Arial" w:cs="Arial"/>
          <w:sz w:val="20"/>
          <w:szCs w:val="20"/>
          <w:lang w:eastAsia="en-US"/>
        </w:rPr>
        <w:t>.</w:t>
      </w:r>
      <w:r w:rsidR="00E17122" w:rsidRPr="0043356A">
        <w:rPr>
          <w:rFonts w:ascii="Arial" w:eastAsia="Calibri" w:hAnsi="Arial" w:cs="Arial"/>
          <w:sz w:val="20"/>
          <w:szCs w:val="20"/>
          <w:lang w:eastAsia="en-US"/>
        </w:rPr>
        <w:t xml:space="preserve"> </w:t>
      </w:r>
      <w:r w:rsidRPr="0043356A">
        <w:rPr>
          <w:rFonts w:ascii="Arial" w:eastAsia="Calibri" w:hAnsi="Arial" w:cs="Arial"/>
          <w:sz w:val="20"/>
          <w:szCs w:val="20"/>
          <w:lang w:eastAsia="en-US"/>
        </w:rPr>
        <w:t xml:space="preserve">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43356A">
        <w:rPr>
          <w:rFonts w:ascii="Arial" w:eastAsia="Calibri" w:hAnsi="Arial" w:cs="Arial"/>
          <w:bCs/>
          <w:sz w:val="20"/>
          <w:szCs w:val="20"/>
          <w:lang w:eastAsia="en-US"/>
        </w:rPr>
        <w:t xml:space="preserve">«[…] </w:t>
      </w:r>
      <w:r w:rsidRPr="0043356A">
        <w:rPr>
          <w:rFonts w:ascii="Arial" w:eastAsia="Calibri" w:hAnsi="Arial" w:cs="Arial"/>
          <w:sz w:val="20"/>
          <w:szCs w:val="20"/>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3356A">
        <w:rPr>
          <w:rFonts w:ascii="Arial" w:eastAsia="Calibri" w:hAnsi="Arial" w:cs="Arial"/>
          <w:bCs/>
          <w:sz w:val="20"/>
          <w:szCs w:val="20"/>
          <w:lang w:eastAsia="en-US"/>
        </w:rPr>
        <w:t>»</w:t>
      </w:r>
      <w:r w:rsidRPr="0043356A">
        <w:rPr>
          <w:rFonts w:ascii="Arial" w:eastAsia="Calibri" w:hAnsi="Arial" w:cs="Arial"/>
          <w:sz w:val="20"/>
          <w:szCs w:val="20"/>
          <w:lang w:val="es-MX" w:eastAsia="en-US"/>
        </w:rPr>
        <w:t>.</w:t>
      </w:r>
    </w:p>
    <w:p w14:paraId="5E5A7646" w14:textId="7E7B994F" w:rsidR="00EB345F" w:rsidRPr="0043356A" w:rsidRDefault="00EB345F" w:rsidP="00640B22">
      <w:pPr>
        <w:jc w:val="both"/>
        <w:rPr>
          <w:rFonts w:ascii="Arial" w:eastAsia="Calibri" w:hAnsi="Arial" w:cs="Arial"/>
          <w:noProof/>
          <w:sz w:val="20"/>
          <w:szCs w:val="20"/>
          <w:lang w:val="es-ES_tradnl" w:eastAsia="en-US"/>
        </w:rPr>
      </w:pPr>
    </w:p>
    <w:p w14:paraId="66B56D06" w14:textId="60890545" w:rsidR="00EB345F" w:rsidRPr="0043356A" w:rsidRDefault="00EB345F" w:rsidP="00640B22">
      <w:pPr>
        <w:jc w:val="both"/>
        <w:rPr>
          <w:rFonts w:ascii="Arial" w:eastAsia="Calibri" w:hAnsi="Arial" w:cs="Arial"/>
          <w:b/>
          <w:noProof/>
          <w:sz w:val="22"/>
          <w:szCs w:val="22"/>
          <w:lang w:val="es-ES_tradnl" w:eastAsia="en-US"/>
        </w:rPr>
      </w:pPr>
      <w:r w:rsidRPr="0043356A">
        <w:rPr>
          <w:rFonts w:ascii="Arial" w:eastAsia="Calibri" w:hAnsi="Arial" w:cs="Arial"/>
          <w:b/>
          <w:noProof/>
          <w:sz w:val="22"/>
          <w:szCs w:val="22"/>
          <w:lang w:val="es-ES_tradnl" w:eastAsia="en-US"/>
        </w:rPr>
        <w:t>LEY DE GARANTÍAS ELECTORALES – Contratos y convenios interadministrativos – Criterio orgánico</w:t>
      </w:r>
    </w:p>
    <w:p w14:paraId="039C15D7" w14:textId="04046FB2" w:rsidR="00EB345F" w:rsidRPr="0043356A" w:rsidRDefault="00EB345F" w:rsidP="00640B22">
      <w:pPr>
        <w:jc w:val="both"/>
        <w:rPr>
          <w:rFonts w:ascii="Arial" w:eastAsia="Calibri" w:hAnsi="Arial" w:cs="Arial"/>
          <w:noProof/>
          <w:sz w:val="20"/>
          <w:szCs w:val="20"/>
          <w:lang w:val="es-ES_tradnl" w:eastAsia="en-US"/>
        </w:rPr>
      </w:pPr>
    </w:p>
    <w:p w14:paraId="40D259E4" w14:textId="4F0EE600" w:rsidR="00EB345F" w:rsidRPr="0043356A" w:rsidRDefault="00EB345F" w:rsidP="00640B22">
      <w:pPr>
        <w:tabs>
          <w:tab w:val="left" w:pos="426"/>
        </w:tabs>
        <w:jc w:val="both"/>
        <w:rPr>
          <w:rFonts w:ascii="Arial" w:eastAsia="Calibri" w:hAnsi="Arial" w:cs="Arial"/>
          <w:bCs/>
          <w:sz w:val="20"/>
          <w:szCs w:val="20"/>
          <w:lang w:eastAsia="en-US"/>
        </w:rPr>
      </w:pPr>
      <w:r w:rsidRPr="0043356A">
        <w:rPr>
          <w:rFonts w:ascii="Arial" w:eastAsia="Calibri" w:hAnsi="Arial" w:cs="Arial"/>
          <w:bCs/>
          <w:sz w:val="20"/>
          <w:szCs w:val="20"/>
          <w:lang w:eastAsia="en-US"/>
        </w:rPr>
        <w:lastRenderedPageBreak/>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3356A">
        <w:rPr>
          <w:rFonts w:ascii="Arial" w:hAnsi="Arial" w:cs="Arial"/>
          <w:bCs/>
          <w:iCs/>
          <w:sz w:val="20"/>
          <w:szCs w:val="20"/>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43356A">
        <w:rPr>
          <w:rFonts w:ascii="Arial" w:eastAsiaTheme="minorHAnsi" w:hAnsi="Arial" w:cs="Arial"/>
          <w:sz w:val="20"/>
          <w:szCs w:val="20"/>
          <w:lang w:val="es-MX" w:eastAsia="en-US"/>
        </w:rPr>
        <w:t xml:space="preserve"> </w:t>
      </w:r>
    </w:p>
    <w:p w14:paraId="69AA0797" w14:textId="77777777" w:rsidR="00EB345F" w:rsidRPr="0043356A" w:rsidRDefault="00EB345F" w:rsidP="00640B22">
      <w:pPr>
        <w:widowControl w:val="0"/>
        <w:autoSpaceDE w:val="0"/>
        <w:autoSpaceDN w:val="0"/>
        <w:jc w:val="both"/>
        <w:rPr>
          <w:rFonts w:ascii="Arial" w:eastAsia="Calibri" w:hAnsi="Arial" w:cs="Arial"/>
          <w:bCs/>
          <w:sz w:val="20"/>
          <w:szCs w:val="20"/>
          <w:lang w:eastAsia="es-ES" w:bidi="es-ES"/>
        </w:rPr>
      </w:pPr>
    </w:p>
    <w:p w14:paraId="60CF5D56" w14:textId="59B757A4" w:rsidR="00EB345F" w:rsidRPr="0043356A" w:rsidRDefault="00EB345F" w:rsidP="00640B22">
      <w:pPr>
        <w:widowControl w:val="0"/>
        <w:autoSpaceDE w:val="0"/>
        <w:autoSpaceDN w:val="0"/>
        <w:jc w:val="both"/>
        <w:rPr>
          <w:rFonts w:ascii="Arial" w:eastAsia="Arial" w:hAnsi="Arial" w:cs="Arial"/>
          <w:sz w:val="20"/>
          <w:szCs w:val="20"/>
          <w:lang w:val="es-ES" w:eastAsia="es-ES" w:bidi="es-ES"/>
        </w:rPr>
      </w:pPr>
      <w:r w:rsidRPr="0043356A">
        <w:rPr>
          <w:rFonts w:ascii="Arial" w:eastAsia="Calibri" w:hAnsi="Arial" w:cs="Arial"/>
          <w:bCs/>
          <w:sz w:val="20"/>
          <w:szCs w:val="20"/>
          <w:lang w:eastAsia="es-ES" w:bidi="es-ES"/>
        </w:rPr>
        <w:t xml:space="preserve">Ahora bien, para determinar el alcance de la prohibición consagrada por la Ley de Garantías Electorales, conviene precisar la tipología de convenios o contratos interadministrativos. </w:t>
      </w:r>
      <w:r w:rsidRPr="0043356A">
        <w:rPr>
          <w:rFonts w:ascii="Arial" w:eastAsia="Arial" w:hAnsi="Arial" w:cs="Arial"/>
          <w:sz w:val="20"/>
          <w:szCs w:val="20"/>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3356A">
        <w:rPr>
          <w:rFonts w:ascii="Arial" w:eastAsia="Arial" w:hAnsi="Arial" w:cs="Arial"/>
          <w:spacing w:val="-6"/>
          <w:sz w:val="20"/>
          <w:szCs w:val="20"/>
          <w:lang w:val="es-ES" w:eastAsia="es-ES" w:bidi="es-ES"/>
        </w:rPr>
        <w:t xml:space="preserve"> </w:t>
      </w:r>
      <w:r w:rsidRPr="0043356A">
        <w:rPr>
          <w:rFonts w:ascii="Arial" w:eastAsia="Arial" w:hAnsi="Arial" w:cs="Arial"/>
          <w:sz w:val="20"/>
          <w:szCs w:val="20"/>
          <w:lang w:val="es-ES" w:eastAsia="es-ES" w:bidi="es-ES"/>
        </w:rPr>
        <w:t>estatales.</w:t>
      </w:r>
    </w:p>
    <w:p w14:paraId="393DB6F6" w14:textId="77777777" w:rsidR="00EB345F" w:rsidRPr="0043356A" w:rsidRDefault="00EB345F" w:rsidP="00640B22">
      <w:pPr>
        <w:jc w:val="both"/>
        <w:rPr>
          <w:rFonts w:ascii="Arial" w:eastAsia="Calibri" w:hAnsi="Arial" w:cs="Arial"/>
          <w:noProof/>
          <w:sz w:val="20"/>
          <w:szCs w:val="20"/>
          <w:lang w:val="es-ES" w:eastAsia="en-US"/>
        </w:rPr>
      </w:pPr>
    </w:p>
    <w:p w14:paraId="08E40DE3" w14:textId="77777777" w:rsidR="00EB345F" w:rsidRPr="0043356A" w:rsidRDefault="00EB345F">
      <w:pPr>
        <w:jc w:val="both"/>
        <w:rPr>
          <w:rFonts w:ascii="Arial" w:eastAsia="Calibri" w:hAnsi="Arial" w:cs="Arial"/>
          <w:b/>
          <w:sz w:val="22"/>
          <w:szCs w:val="22"/>
          <w:lang w:val="es-MX" w:eastAsia="en-US"/>
        </w:rPr>
      </w:pPr>
      <w:r w:rsidRPr="0043356A">
        <w:rPr>
          <w:rFonts w:ascii="Arial" w:eastAsia="Calibri" w:hAnsi="Arial" w:cs="Arial"/>
          <w:b/>
          <w:sz w:val="22"/>
          <w:szCs w:val="22"/>
          <w:lang w:val="es-MX" w:eastAsia="en-US"/>
        </w:rPr>
        <w:t xml:space="preserve">CONTRATOS Y </w:t>
      </w:r>
      <w:r w:rsidRPr="0043356A">
        <w:rPr>
          <w:rFonts w:ascii="Arial" w:eastAsiaTheme="minorHAnsi" w:hAnsi="Arial" w:cs="Arial"/>
          <w:b/>
          <w:sz w:val="22"/>
          <w:szCs w:val="22"/>
          <w:lang w:val="es-MX" w:eastAsia="en-US"/>
        </w:rPr>
        <w:t xml:space="preserve">CONVENIOS INTERADMINISTRATIVOS </w:t>
      </w:r>
      <w:r w:rsidRPr="0043356A">
        <w:rPr>
          <w:rFonts w:ascii="Arial" w:eastAsia="Calibri" w:hAnsi="Arial" w:cs="Arial"/>
          <w:b/>
          <w:sz w:val="22"/>
          <w:szCs w:val="22"/>
          <w:lang w:val="es-MX" w:eastAsia="en-US"/>
        </w:rPr>
        <w:t xml:space="preserve">– Definición – Criterio orgánico </w:t>
      </w:r>
    </w:p>
    <w:p w14:paraId="2FF580D4" w14:textId="77777777" w:rsidR="00EB345F" w:rsidRPr="0043356A" w:rsidRDefault="00EB345F">
      <w:pPr>
        <w:jc w:val="both"/>
        <w:rPr>
          <w:rFonts w:ascii="Arial" w:eastAsia="Calibri" w:hAnsi="Arial" w:cs="Arial"/>
          <w:bCs/>
          <w:sz w:val="20"/>
          <w:szCs w:val="20"/>
          <w:lang w:val="es-MX" w:eastAsia="en-US"/>
        </w:rPr>
      </w:pPr>
    </w:p>
    <w:p w14:paraId="785C03CD" w14:textId="77777777" w:rsidR="00EB345F" w:rsidRPr="0043356A" w:rsidRDefault="00EB345F" w:rsidP="00640B22">
      <w:pPr>
        <w:widowControl w:val="0"/>
        <w:autoSpaceDE w:val="0"/>
        <w:autoSpaceDN w:val="0"/>
        <w:jc w:val="both"/>
        <w:rPr>
          <w:rFonts w:ascii="Arial" w:eastAsia="Arial" w:hAnsi="Arial" w:cs="Arial"/>
          <w:sz w:val="20"/>
          <w:szCs w:val="20"/>
          <w:lang w:val="es-ES" w:eastAsia="es-ES" w:bidi="es-ES"/>
        </w:rPr>
      </w:pPr>
      <w:r w:rsidRPr="0043356A">
        <w:rPr>
          <w:rFonts w:ascii="Arial" w:eastAsia="Arial" w:hAnsi="Arial" w:cs="Arial"/>
          <w:sz w:val="20"/>
          <w:szCs w:val="20"/>
          <w:lang w:val="es-ES" w:eastAsia="es-ES" w:bidi="es-ES"/>
        </w:rPr>
        <w:t>[…] la tipología de convenio interadministrativo fue creada en la Ley 80 de 1993. Aunque esta ley no lo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el propósito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sidRPr="0043356A">
        <w:rPr>
          <w:rFonts w:ascii="Arial" w:eastAsia="Arial" w:hAnsi="Arial" w:cs="Arial"/>
          <w:spacing w:val="-6"/>
          <w:sz w:val="20"/>
          <w:szCs w:val="20"/>
          <w:lang w:val="es-ES" w:eastAsia="es-ES" w:bidi="es-ES"/>
        </w:rPr>
        <w:t xml:space="preserve"> </w:t>
      </w:r>
      <w:r w:rsidRPr="0043356A">
        <w:rPr>
          <w:rFonts w:ascii="Arial" w:eastAsia="Arial" w:hAnsi="Arial" w:cs="Arial"/>
          <w:sz w:val="20"/>
          <w:szCs w:val="20"/>
          <w:lang w:val="es-ES" w:eastAsia="es-ES" w:bidi="es-ES"/>
        </w:rPr>
        <w:t>estatales.</w:t>
      </w:r>
    </w:p>
    <w:bookmarkEnd w:id="4"/>
    <w:p w14:paraId="213A2A29" w14:textId="45C5865E" w:rsidR="00AB5DF8" w:rsidRPr="0043356A" w:rsidRDefault="00AB5DF8" w:rsidP="00C128B2">
      <w:pPr>
        <w:spacing w:after="120"/>
        <w:jc w:val="both"/>
        <w:rPr>
          <w:rFonts w:ascii="Arial" w:eastAsia="Arial" w:hAnsi="Arial" w:cs="Arial"/>
          <w:sz w:val="20"/>
          <w:szCs w:val="20"/>
          <w:lang w:val="es-ES" w:eastAsia="es-ES" w:bidi="es-ES"/>
        </w:rPr>
      </w:pPr>
    </w:p>
    <w:p w14:paraId="137EF084" w14:textId="77777777" w:rsidR="00AB5DF8" w:rsidRPr="0043356A" w:rsidRDefault="00AB5DF8" w:rsidP="00AB5DF8">
      <w:pPr>
        <w:tabs>
          <w:tab w:val="left" w:pos="426"/>
        </w:tabs>
        <w:jc w:val="both"/>
        <w:rPr>
          <w:rFonts w:ascii="Arial" w:eastAsia="Calibri" w:hAnsi="Arial" w:cs="Arial"/>
          <w:b/>
          <w:bCs/>
          <w:sz w:val="22"/>
          <w:szCs w:val="22"/>
          <w:lang w:val="es-MX" w:eastAsia="en-US"/>
        </w:rPr>
      </w:pPr>
      <w:bookmarkStart w:id="7" w:name="_Hlk77165666"/>
      <w:r w:rsidRPr="0043356A">
        <w:rPr>
          <w:rFonts w:ascii="Arial" w:eastAsia="Calibri" w:hAnsi="Arial" w:cs="Arial"/>
          <w:b/>
          <w:bCs/>
          <w:sz w:val="22"/>
          <w:szCs w:val="22"/>
          <w:lang w:val="es-MX" w:eastAsia="en-US"/>
        </w:rPr>
        <w:t xml:space="preserve">LEY DE GARANTÍAS ELECTORALES ─ Prohibición artículo 33 ‒ </w:t>
      </w:r>
      <w:bookmarkEnd w:id="7"/>
      <w:r w:rsidRPr="0043356A">
        <w:rPr>
          <w:rFonts w:ascii="Arial" w:eastAsia="Calibri" w:hAnsi="Arial" w:cs="Arial"/>
          <w:b/>
          <w:bCs/>
          <w:sz w:val="22"/>
          <w:szCs w:val="22"/>
          <w:lang w:val="es-MX" w:eastAsia="en-US"/>
        </w:rPr>
        <w:t xml:space="preserve">Contratación directa ‒ Alcance </w:t>
      </w:r>
    </w:p>
    <w:p w14:paraId="07DDB2B3" w14:textId="77777777" w:rsidR="00AB5DF8" w:rsidRPr="0043356A" w:rsidRDefault="00AB5DF8" w:rsidP="00AB5DF8">
      <w:pPr>
        <w:tabs>
          <w:tab w:val="left" w:pos="426"/>
        </w:tabs>
        <w:jc w:val="both"/>
        <w:rPr>
          <w:rFonts w:ascii="Arial" w:eastAsia="Calibri" w:hAnsi="Arial" w:cs="Arial"/>
          <w:noProof/>
          <w:sz w:val="20"/>
          <w:szCs w:val="20"/>
          <w:lang w:val="es-MX" w:eastAsia="en-US"/>
        </w:rPr>
      </w:pPr>
    </w:p>
    <w:p w14:paraId="5F1D4016" w14:textId="77777777" w:rsidR="00AB5DF8" w:rsidRPr="0043356A" w:rsidRDefault="00AB5DF8" w:rsidP="00EE0619">
      <w:pPr>
        <w:jc w:val="both"/>
        <w:rPr>
          <w:rFonts w:ascii="Arial" w:hAnsi="Arial" w:cs="Arial"/>
          <w:bCs/>
          <w:sz w:val="20"/>
          <w:szCs w:val="20"/>
          <w:lang w:val="es-MX" w:eastAsia="x-none"/>
        </w:rPr>
      </w:pPr>
      <w:r w:rsidRPr="0043356A">
        <w:rPr>
          <w:rFonts w:ascii="Arial" w:eastAsia="Calibri" w:hAnsi="Arial" w:cs="Arial"/>
          <w:noProof/>
          <w:sz w:val="20"/>
          <w:szCs w:val="20"/>
          <w:lang w:val="es-MX" w:eastAsia="en-US"/>
        </w:rPr>
        <w:t xml:space="preserve">[…] </w:t>
      </w:r>
      <w:r w:rsidRPr="0043356A">
        <w:rPr>
          <w:rFonts w:ascii="Arial" w:hAnsi="Arial" w:cs="Arial"/>
          <w:bCs/>
          <w:sz w:val="20"/>
          <w:szCs w:val="20"/>
          <w:lang w:val="es-MX" w:eastAsia="x-none"/>
        </w:rPr>
        <w:t>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3356A">
        <w:rPr>
          <w:rFonts w:ascii="Arial" w:hAnsi="Arial" w:cs="Arial"/>
          <w:sz w:val="20"/>
          <w:szCs w:val="20"/>
          <w:vertAlign w:val="superscript"/>
          <w:lang w:eastAsia="x-none"/>
        </w:rPr>
        <w:t xml:space="preserve">. </w:t>
      </w:r>
      <w:r w:rsidRPr="0043356A">
        <w:rPr>
          <w:rFonts w:ascii="Arial" w:hAnsi="Arial" w:cs="Arial"/>
          <w:bCs/>
          <w:sz w:val="20"/>
          <w:szCs w:val="20"/>
          <w:lang w:val="es-MX" w:eastAsia="x-none"/>
        </w:rPr>
        <w:t>De lo anterior se desprende que la restricción aplica, sin perjuicio de las excepciones establecidas en la misma ley, para celebrar cualquier contrato de forma directa, esto es, sin que exista un proceso abierto y competitivo.</w:t>
      </w:r>
      <w:r w:rsidRPr="0043356A">
        <w:rPr>
          <w:rFonts w:ascii="Arial" w:hAnsi="Arial" w:cs="Arial"/>
          <w:sz w:val="20"/>
          <w:szCs w:val="20"/>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00307BA4" w14:textId="77777777" w:rsidR="00AB5DF8" w:rsidRPr="0043356A" w:rsidRDefault="00AB5DF8" w:rsidP="00EE0619">
      <w:pPr>
        <w:jc w:val="both"/>
        <w:rPr>
          <w:rFonts w:ascii="Arial" w:hAnsi="Arial" w:cs="Arial"/>
          <w:b/>
          <w:bCs/>
          <w:sz w:val="20"/>
          <w:szCs w:val="20"/>
          <w:lang w:val="es-MX" w:eastAsia="es-ES"/>
        </w:rPr>
      </w:pPr>
    </w:p>
    <w:p w14:paraId="5F03E86A" w14:textId="77777777" w:rsidR="00AB5DF8" w:rsidRPr="0043356A" w:rsidRDefault="00AB5DF8" w:rsidP="00EE0619">
      <w:pPr>
        <w:shd w:val="clear" w:color="auto" w:fill="FFFFFF"/>
        <w:jc w:val="both"/>
        <w:rPr>
          <w:rFonts w:ascii="Arial" w:hAnsi="Arial" w:cs="Arial"/>
          <w:b/>
          <w:bCs/>
          <w:sz w:val="22"/>
          <w:szCs w:val="22"/>
          <w:lang w:eastAsia="es-CO"/>
        </w:rPr>
      </w:pPr>
      <w:r w:rsidRPr="0043356A">
        <w:rPr>
          <w:rFonts w:ascii="Arial" w:hAnsi="Arial" w:cs="Arial"/>
          <w:b/>
          <w:bCs/>
          <w:sz w:val="22"/>
          <w:szCs w:val="22"/>
          <w:lang w:eastAsia="es-CO"/>
        </w:rPr>
        <w:t xml:space="preserve">LEY DE GARANTÍAS ELECTORALES </w:t>
      </w:r>
      <w:bookmarkStart w:id="8" w:name="_Hlk77022358"/>
      <w:r w:rsidRPr="0043356A">
        <w:rPr>
          <w:rFonts w:ascii="Arial" w:hAnsi="Arial" w:cs="Arial"/>
          <w:b/>
          <w:bCs/>
          <w:sz w:val="22"/>
          <w:szCs w:val="22"/>
          <w:lang w:eastAsia="es-CO"/>
        </w:rPr>
        <w:t>‒</w:t>
      </w:r>
      <w:bookmarkEnd w:id="8"/>
      <w:r w:rsidRPr="0043356A">
        <w:rPr>
          <w:rFonts w:ascii="Arial" w:hAnsi="Arial" w:cs="Arial"/>
          <w:b/>
          <w:bCs/>
          <w:sz w:val="22"/>
          <w:szCs w:val="22"/>
          <w:lang w:eastAsia="es-CO"/>
        </w:rPr>
        <w:t xml:space="preserve"> Excepciones</w:t>
      </w:r>
      <w:r w:rsidRPr="0043356A">
        <w:rPr>
          <w:rFonts w:ascii="Arial" w:hAnsi="Arial" w:cs="Arial"/>
          <w:b/>
          <w:sz w:val="22"/>
          <w:szCs w:val="22"/>
          <w:lang w:eastAsia="es-CO"/>
        </w:rPr>
        <w:t xml:space="preserve"> </w:t>
      </w:r>
    </w:p>
    <w:p w14:paraId="33F8204C" w14:textId="77777777" w:rsidR="00AB5DF8" w:rsidRPr="0043356A" w:rsidRDefault="00AB5DF8" w:rsidP="00EE0619">
      <w:pPr>
        <w:shd w:val="clear" w:color="auto" w:fill="FFFFFF"/>
        <w:jc w:val="both"/>
        <w:rPr>
          <w:rFonts w:ascii="Arial" w:hAnsi="Arial" w:cs="Arial"/>
          <w:b/>
          <w:sz w:val="22"/>
          <w:szCs w:val="22"/>
          <w:lang w:eastAsia="es-CO"/>
        </w:rPr>
      </w:pPr>
    </w:p>
    <w:p w14:paraId="50FBDA27" w14:textId="77777777" w:rsidR="00AB5DF8" w:rsidRPr="0043356A" w:rsidRDefault="00AB5DF8" w:rsidP="00EE0619">
      <w:pPr>
        <w:tabs>
          <w:tab w:val="left" w:pos="426"/>
        </w:tabs>
        <w:jc w:val="both"/>
        <w:rPr>
          <w:rFonts w:ascii="Arial" w:eastAsia="Calibri" w:hAnsi="Arial" w:cs="Arial"/>
          <w:sz w:val="20"/>
          <w:szCs w:val="20"/>
          <w:lang w:val="es-MX" w:eastAsia="en-US"/>
        </w:rPr>
      </w:pPr>
      <w:r w:rsidRPr="0043356A">
        <w:rPr>
          <w:rFonts w:ascii="Arial" w:hAnsi="Arial" w:cs="Arial"/>
          <w:sz w:val="20"/>
          <w:szCs w:val="20"/>
          <w:lang w:eastAsia="x-none"/>
        </w:rPr>
        <w:t xml:space="preserve">[…] </w:t>
      </w:r>
      <w:r w:rsidRPr="0043356A">
        <w:rPr>
          <w:rFonts w:ascii="Arial" w:hAnsi="Arial" w:cs="Arial"/>
          <w:bCs/>
          <w:sz w:val="20"/>
          <w:szCs w:val="20"/>
          <w:lang w:val="es-MX"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w:t>
      </w:r>
      <w:r w:rsidRPr="0043356A">
        <w:rPr>
          <w:rFonts w:ascii="Arial" w:hAnsi="Arial" w:cs="Arial"/>
          <w:bCs/>
          <w:sz w:val="20"/>
          <w:szCs w:val="20"/>
          <w:lang w:val="es-MX" w:eastAsia="x-none"/>
        </w:rPr>
        <w:lastRenderedPageBreak/>
        <w:t>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68ECDC23" w14:textId="77777777" w:rsidR="00AB5DF8" w:rsidRPr="0043356A" w:rsidRDefault="00AB5DF8" w:rsidP="00EE0619">
      <w:pPr>
        <w:tabs>
          <w:tab w:val="left" w:pos="426"/>
        </w:tabs>
        <w:jc w:val="both"/>
        <w:rPr>
          <w:rFonts w:ascii="Arial" w:eastAsia="Calibri" w:hAnsi="Arial" w:cs="Arial"/>
          <w:noProof/>
          <w:sz w:val="20"/>
          <w:szCs w:val="20"/>
          <w:lang w:eastAsia="en-US"/>
        </w:rPr>
      </w:pPr>
    </w:p>
    <w:p w14:paraId="61C61FFA" w14:textId="77777777" w:rsidR="00AB5DF8" w:rsidRPr="0043356A" w:rsidRDefault="00AB5DF8" w:rsidP="00EE0619">
      <w:pPr>
        <w:jc w:val="both"/>
        <w:rPr>
          <w:rFonts w:ascii="Arial" w:hAnsi="Arial" w:cs="Arial"/>
          <w:b/>
          <w:sz w:val="22"/>
          <w:szCs w:val="22"/>
          <w:lang w:val="es-ES" w:eastAsia="es-CO"/>
        </w:rPr>
      </w:pPr>
      <w:r w:rsidRPr="0043356A">
        <w:rPr>
          <w:rFonts w:ascii="Arial" w:hAnsi="Arial" w:cs="Arial"/>
          <w:b/>
          <w:bCs/>
          <w:sz w:val="22"/>
          <w:szCs w:val="22"/>
          <w:lang w:eastAsia="es-CO"/>
        </w:rPr>
        <w:t xml:space="preserve">LEY DE GARANTÍAS ELECTORALES </w:t>
      </w:r>
      <w:bookmarkStart w:id="9" w:name="_Hlk77166669"/>
      <w:r w:rsidRPr="0043356A">
        <w:rPr>
          <w:rFonts w:ascii="Arial" w:hAnsi="Arial" w:cs="Arial"/>
          <w:b/>
          <w:bCs/>
          <w:sz w:val="22"/>
          <w:szCs w:val="22"/>
          <w:lang w:eastAsia="es-CO"/>
        </w:rPr>
        <w:t>‒</w:t>
      </w:r>
      <w:bookmarkEnd w:id="9"/>
      <w:r w:rsidRPr="0043356A">
        <w:rPr>
          <w:rFonts w:ascii="Arial" w:hAnsi="Arial" w:cs="Arial"/>
          <w:b/>
          <w:bCs/>
          <w:sz w:val="22"/>
          <w:szCs w:val="22"/>
          <w:lang w:eastAsia="es-CO"/>
        </w:rPr>
        <w:t xml:space="preserve"> </w:t>
      </w:r>
      <w:r w:rsidRPr="0043356A">
        <w:rPr>
          <w:rFonts w:ascii="Arial" w:hAnsi="Arial" w:cs="Arial"/>
          <w:b/>
          <w:sz w:val="22"/>
          <w:szCs w:val="22"/>
          <w:lang w:val="es-ES" w:eastAsia="es-CO"/>
        </w:rPr>
        <w:t xml:space="preserve">Prohibición del artículo 33 </w:t>
      </w:r>
      <w:r w:rsidRPr="0043356A">
        <w:rPr>
          <w:rFonts w:ascii="Arial" w:hAnsi="Arial" w:cs="Arial"/>
          <w:b/>
          <w:bCs/>
          <w:sz w:val="22"/>
          <w:szCs w:val="22"/>
          <w:lang w:eastAsia="es-CO"/>
        </w:rPr>
        <w:t>‒ Destinatarios</w:t>
      </w:r>
    </w:p>
    <w:p w14:paraId="08C59DEE" w14:textId="77777777" w:rsidR="00AB5DF8" w:rsidRPr="0043356A" w:rsidRDefault="00AB5DF8" w:rsidP="00EE0619">
      <w:pPr>
        <w:tabs>
          <w:tab w:val="left" w:pos="426"/>
        </w:tabs>
        <w:jc w:val="both"/>
        <w:rPr>
          <w:rFonts w:ascii="Arial" w:eastAsia="Calibri" w:hAnsi="Arial" w:cs="Arial"/>
          <w:noProof/>
          <w:sz w:val="22"/>
          <w:szCs w:val="22"/>
          <w:lang w:val="es-ES" w:eastAsia="en-US"/>
        </w:rPr>
      </w:pPr>
    </w:p>
    <w:p w14:paraId="45C09CF0" w14:textId="2D8D4E11" w:rsidR="00AB5DF8" w:rsidRPr="0043356A" w:rsidRDefault="00AB5DF8" w:rsidP="00EE0619">
      <w:pPr>
        <w:tabs>
          <w:tab w:val="left" w:pos="426"/>
        </w:tabs>
        <w:jc w:val="both"/>
        <w:rPr>
          <w:rFonts w:ascii="Arial" w:hAnsi="Arial" w:cs="Arial"/>
          <w:bCs/>
          <w:sz w:val="20"/>
          <w:szCs w:val="20"/>
          <w:lang w:val="es-MX" w:eastAsia="x-none"/>
        </w:rPr>
      </w:pPr>
      <w:r w:rsidRPr="0043356A">
        <w:rPr>
          <w:rFonts w:ascii="Arial"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43356A">
        <w:rPr>
          <w:rFonts w:ascii="Calibri" w:eastAsia="Calibri" w:hAnsi="Calibri"/>
          <w:sz w:val="20"/>
          <w:szCs w:val="20"/>
          <w:lang w:val="es-MX" w:eastAsia="en-US"/>
        </w:rPr>
        <w:t xml:space="preserve"> </w:t>
      </w:r>
      <w:r w:rsidRPr="0043356A">
        <w:rPr>
          <w:rFonts w:ascii="Arial" w:hAnsi="Arial" w:cs="Arial"/>
          <w:bCs/>
          <w:sz w:val="20"/>
          <w:szCs w:val="20"/>
          <w:lang w:val="es-MX" w:eastAsia="x-none"/>
        </w:rPr>
        <w:t>En efecto, tal como lo ha sostenido el Consejo de Estado, el vocablo «todos» utilizado por el legislador comprende</w:t>
      </w:r>
      <w:r w:rsidRPr="0043356A">
        <w:rPr>
          <w:rFonts w:ascii="Calibri" w:eastAsia="Calibri" w:hAnsi="Calibri"/>
          <w:sz w:val="20"/>
          <w:szCs w:val="20"/>
          <w:lang w:val="es-MX" w:eastAsia="en-US"/>
        </w:rPr>
        <w:t xml:space="preserve"> </w:t>
      </w:r>
      <w:r w:rsidRPr="0043356A">
        <w:rPr>
          <w:rFonts w:ascii="Arial"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1F1BADBF" w14:textId="77777777" w:rsidR="0030575F" w:rsidRPr="0043356A" w:rsidRDefault="0030575F" w:rsidP="00EE0619">
      <w:pPr>
        <w:tabs>
          <w:tab w:val="left" w:pos="426"/>
        </w:tabs>
        <w:jc w:val="both"/>
        <w:rPr>
          <w:rFonts w:ascii="Arial" w:eastAsia="Calibri" w:hAnsi="Arial" w:cs="Arial"/>
          <w:sz w:val="20"/>
          <w:szCs w:val="20"/>
          <w:lang w:val="es-ES" w:eastAsia="en-US"/>
        </w:rPr>
      </w:pPr>
    </w:p>
    <w:bookmarkEnd w:id="2"/>
    <w:p w14:paraId="2A3652F9" w14:textId="580A0966" w:rsidR="00F472B3" w:rsidRPr="0043356A" w:rsidRDefault="009C045A" w:rsidP="004D08E5">
      <w:pPr>
        <w:jc w:val="both"/>
        <w:rPr>
          <w:rFonts w:ascii="Arial" w:eastAsia="Calibri" w:hAnsi="Arial" w:cs="Arial"/>
          <w:b/>
          <w:sz w:val="20"/>
          <w:szCs w:val="20"/>
          <w:lang w:val="es-MX" w:eastAsia="en-US"/>
        </w:rPr>
      </w:pPr>
      <w:r w:rsidRPr="0043356A">
        <w:rPr>
          <w:rFonts w:ascii="Arial" w:eastAsia="Calibri" w:hAnsi="Arial" w:cs="Arial"/>
          <w:b/>
          <w:sz w:val="22"/>
          <w:szCs w:val="22"/>
          <w:lang w:val="es-MX" w:eastAsia="en-US"/>
        </w:rPr>
        <w:t>LEY DE GARANT</w:t>
      </w:r>
      <w:r w:rsidR="00EE0619" w:rsidRPr="0043356A">
        <w:rPr>
          <w:rFonts w:ascii="Arial" w:eastAsia="Calibri" w:hAnsi="Arial" w:cs="Arial"/>
          <w:b/>
          <w:sz w:val="22"/>
          <w:szCs w:val="22"/>
          <w:lang w:val="es-MX" w:eastAsia="en-US"/>
        </w:rPr>
        <w:t xml:space="preserve">ÍAS ELECTORALES </w:t>
      </w:r>
      <w:r w:rsidR="00EE0619" w:rsidRPr="0043356A">
        <w:rPr>
          <w:rFonts w:ascii="Arial" w:hAnsi="Arial" w:cs="Arial"/>
          <w:b/>
          <w:bCs/>
          <w:sz w:val="22"/>
          <w:szCs w:val="22"/>
          <w:lang w:eastAsia="es-CO"/>
        </w:rPr>
        <w:t xml:space="preserve">‒ </w:t>
      </w:r>
      <w:r w:rsidR="00D35264" w:rsidRPr="0043356A">
        <w:rPr>
          <w:rFonts w:ascii="Arial" w:hAnsi="Arial" w:cs="Arial"/>
          <w:b/>
          <w:bCs/>
          <w:sz w:val="22"/>
          <w:szCs w:val="22"/>
          <w:lang w:eastAsia="es-CO"/>
        </w:rPr>
        <w:t>Sala de Consulta y Servicio Civil</w:t>
      </w:r>
      <w:r w:rsidR="00EE0619" w:rsidRPr="0043356A">
        <w:rPr>
          <w:rFonts w:ascii="Arial" w:hAnsi="Arial" w:cs="Arial"/>
          <w:b/>
          <w:bCs/>
          <w:sz w:val="22"/>
          <w:szCs w:val="22"/>
          <w:lang w:eastAsia="es-CO"/>
        </w:rPr>
        <w:t xml:space="preserve"> –</w:t>
      </w:r>
      <w:r w:rsidR="00DB050C" w:rsidRPr="0043356A">
        <w:rPr>
          <w:rFonts w:ascii="Arial" w:hAnsi="Arial" w:cs="Arial"/>
          <w:b/>
          <w:bCs/>
          <w:sz w:val="22"/>
          <w:szCs w:val="22"/>
          <w:lang w:eastAsia="es-CO"/>
        </w:rPr>
        <w:t xml:space="preserve"> </w:t>
      </w:r>
      <w:r w:rsidR="00B657DB" w:rsidRPr="0043356A">
        <w:rPr>
          <w:rFonts w:ascii="Arial" w:hAnsi="Arial" w:cs="Arial"/>
          <w:b/>
          <w:bCs/>
          <w:sz w:val="22"/>
          <w:szCs w:val="22"/>
          <w:lang w:eastAsia="es-CO"/>
        </w:rPr>
        <w:t>C</w:t>
      </w:r>
      <w:r w:rsidR="00DB050C" w:rsidRPr="0043356A">
        <w:rPr>
          <w:rFonts w:ascii="Arial" w:hAnsi="Arial" w:cs="Arial"/>
          <w:b/>
          <w:bCs/>
          <w:sz w:val="22"/>
          <w:szCs w:val="22"/>
          <w:lang w:eastAsia="es-CO"/>
        </w:rPr>
        <w:t xml:space="preserve">ondiciones de igualdad – </w:t>
      </w:r>
      <w:r w:rsidR="00B657DB" w:rsidRPr="0043356A">
        <w:rPr>
          <w:rFonts w:ascii="Arial" w:hAnsi="Arial" w:cs="Arial"/>
          <w:b/>
          <w:bCs/>
          <w:sz w:val="22"/>
          <w:szCs w:val="22"/>
          <w:lang w:eastAsia="es-CO"/>
        </w:rPr>
        <w:t>C</w:t>
      </w:r>
      <w:r w:rsidR="00DB050C" w:rsidRPr="0043356A">
        <w:rPr>
          <w:rFonts w:ascii="Arial" w:hAnsi="Arial" w:cs="Arial"/>
          <w:b/>
          <w:bCs/>
          <w:sz w:val="22"/>
          <w:szCs w:val="22"/>
          <w:lang w:eastAsia="es-CO"/>
        </w:rPr>
        <w:t>ontratación directa</w:t>
      </w:r>
    </w:p>
    <w:p w14:paraId="7779013D" w14:textId="650962B2" w:rsidR="00F472B3" w:rsidRPr="0043356A" w:rsidRDefault="00F472B3" w:rsidP="00640B22">
      <w:pPr>
        <w:rPr>
          <w:rFonts w:ascii="Arial" w:eastAsia="Calibri" w:hAnsi="Arial" w:cs="Arial"/>
          <w:b/>
          <w:sz w:val="20"/>
          <w:szCs w:val="20"/>
          <w:lang w:val="es-MX" w:eastAsia="en-US"/>
        </w:rPr>
      </w:pPr>
    </w:p>
    <w:p w14:paraId="45CE0B8B" w14:textId="3D5E27BB" w:rsidR="00640B22" w:rsidRPr="0043356A" w:rsidRDefault="004D08E5" w:rsidP="00DF3092">
      <w:pPr>
        <w:jc w:val="both"/>
        <w:rPr>
          <w:rFonts w:ascii="Arial" w:hAnsi="Arial" w:cs="Arial"/>
          <w:bCs/>
          <w:sz w:val="20"/>
          <w:szCs w:val="20"/>
          <w:lang w:val="es-MX" w:eastAsia="x-none"/>
        </w:rPr>
      </w:pPr>
      <w:r w:rsidRPr="0043356A">
        <w:rPr>
          <w:rFonts w:ascii="Arial" w:hAnsi="Arial" w:cs="Arial"/>
          <w:bCs/>
          <w:sz w:val="20"/>
          <w:szCs w:val="20"/>
          <w:lang w:val="es-MX" w:eastAsia="x-none"/>
        </w:rPr>
        <w:t xml:space="preserve">[…] </w:t>
      </w:r>
      <w:r w:rsidR="00640B22" w:rsidRPr="0043356A">
        <w:rPr>
          <w:rFonts w:ascii="Arial" w:hAnsi="Arial" w:cs="Arial"/>
          <w:bCs/>
          <w:sz w:val="20"/>
          <w:szCs w:val="20"/>
          <w:lang w:val="es-MX" w:eastAsia="x-none"/>
        </w:rPr>
        <w:t>en Concepto con radicado 1738 del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00640B22" w:rsidRPr="0043356A">
        <w:rPr>
          <w:rFonts w:ascii="Arial" w:eastAsiaTheme="minorHAnsi" w:hAnsi="Arial" w:cs="Arial"/>
          <w:sz w:val="20"/>
          <w:szCs w:val="20"/>
          <w:lang w:val="es-MX" w:eastAsia="en-US"/>
        </w:rPr>
        <w:t xml:space="preserve"> Además, la Sala de Consulta y Servicio Civil del Consejo de Estado realizó la siguiente distinción, retomando el pronunciamiento de la misma sala del 20 de febrero de 2006, citado anteriormente: </w:t>
      </w:r>
      <w:r w:rsidR="00640B22" w:rsidRPr="0043356A">
        <w:rPr>
          <w:rFonts w:ascii="Arial" w:hAnsi="Arial" w:cs="Arial"/>
          <w:bCs/>
          <w:sz w:val="20"/>
          <w:szCs w:val="20"/>
          <w:lang w:val="es-MX" w:eastAsia="x-none"/>
        </w:rPr>
        <w:t>«</w:t>
      </w:r>
      <w:r w:rsidR="00640B22" w:rsidRPr="0043356A">
        <w:rPr>
          <w:rFonts w:ascii="Arial" w:eastAsiaTheme="minorHAnsi" w:hAnsi="Arial" w:cs="Arial"/>
          <w:sz w:val="20"/>
          <w:szCs w:val="20"/>
          <w:lang w:val="es-MX" w:eastAsia="en-US"/>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 </w:t>
      </w:r>
      <w:r w:rsidR="00640B22" w:rsidRPr="0043356A">
        <w:rPr>
          <w:rFonts w:ascii="Arial" w:hAnsi="Arial" w:cs="Arial"/>
          <w:bCs/>
          <w:sz w:val="20"/>
          <w:szCs w:val="20"/>
          <w:lang w:val="es-MX" w:eastAsia="x-none"/>
        </w:rPr>
        <w:t>Aplicando este razonamiento a los establecimientos de crédito, a las sociedades de servicios financieros y a las entidades aseguradoras, encontramos que no pueden adquirir los suministros de bienes y servicios necesarios para la realización de su actividad por contratación directa sino por el mecanismo de la licitación pública, pero es obvio que si una de éstas entidades va a prestar un servicio financiero o de seguros a un particular, lo puede hacer, pues éstos se ofrecen a toda la comunidad en condiciones de igualdad. Si se supusiera que está prohibida su contratación directa, significaría la parálisis de tal actividad de interés público, lo que de ninguna manera es lo querido por la ley 996 de 2005».</w:t>
      </w:r>
    </w:p>
    <w:p w14:paraId="6026F3FE" w14:textId="77777777" w:rsidR="00640B22" w:rsidRPr="0043356A" w:rsidRDefault="00640B22" w:rsidP="00DF3092">
      <w:pPr>
        <w:jc w:val="both"/>
        <w:rPr>
          <w:rFonts w:ascii="Arial" w:eastAsiaTheme="minorHAnsi" w:hAnsi="Arial" w:cs="Arial"/>
          <w:sz w:val="20"/>
          <w:szCs w:val="20"/>
          <w:lang w:val="es-MX" w:eastAsia="en-US"/>
        </w:rPr>
      </w:pPr>
    </w:p>
    <w:p w14:paraId="177A14A4" w14:textId="68BA5B98" w:rsidR="00640B22" w:rsidRPr="0043356A" w:rsidRDefault="00640B22" w:rsidP="00DF3092">
      <w:pPr>
        <w:jc w:val="both"/>
        <w:rPr>
          <w:rFonts w:ascii="Arial" w:hAnsi="Arial" w:cs="Arial"/>
          <w:sz w:val="20"/>
          <w:szCs w:val="20"/>
          <w:lang w:eastAsia="es-CO"/>
        </w:rPr>
      </w:pPr>
      <w:r w:rsidRPr="0043356A">
        <w:rPr>
          <w:rFonts w:ascii="Arial" w:eastAsiaTheme="minorHAnsi" w:hAnsi="Arial" w:cs="Arial"/>
          <w:sz w:val="20"/>
          <w:szCs w:val="20"/>
          <w:lang w:val="es-MX" w:eastAsia="en-US"/>
        </w:rPr>
        <w:t xml:space="preserve">De acuerdo con estos pronunciamientos de la Sala de Consulta y Servicio Civil del Consejo de Estado, la prohibición de la contratación directa también aplica frente a las entidades exceptuadas de la aplicación del EGCAP y que se rigen en materia contractual por el derecho privado. Sin embargo, señaló que algunas de estas entidades, como sucede con las empresas de servicios públicos domiciliarios, los </w:t>
      </w:r>
      <w:r w:rsidRPr="0043356A">
        <w:rPr>
          <w:rFonts w:ascii="Arial" w:hAnsi="Arial" w:cs="Arial"/>
          <w:bCs/>
          <w:sz w:val="20"/>
          <w:szCs w:val="20"/>
          <w:lang w:val="es-MX" w:eastAsia="x-none"/>
        </w:rPr>
        <w:t xml:space="preserve">establecimientos de crédito, las sociedades de servicios financieros y las </w:t>
      </w:r>
      <w:r w:rsidRPr="0043356A">
        <w:rPr>
          <w:rFonts w:ascii="Arial" w:hAnsi="Arial" w:cs="Arial"/>
          <w:bCs/>
          <w:sz w:val="20"/>
          <w:szCs w:val="20"/>
          <w:lang w:val="es-MX" w:eastAsia="x-none"/>
        </w:rPr>
        <w:lastRenderedPageBreak/>
        <w:t>entidades aseguradoras</w:t>
      </w:r>
      <w:r w:rsidRPr="0043356A">
        <w:rPr>
          <w:rFonts w:ascii="Arial" w:eastAsiaTheme="minorHAnsi" w:hAnsi="Arial" w:cs="Arial"/>
          <w:sz w:val="20"/>
          <w:szCs w:val="20"/>
          <w:lang w:val="es-MX" w:eastAsia="en-US"/>
        </w:rPr>
        <w:t xml:space="preserve"> no pueden adquirir los suministros de bienes y servicios necesarios para la realización de su actividad por contratación directa, sino por mecanismos competitivos que impliquen convocatoria pública y la posibilidad de la existencia de pluralidad de oferentes, pero indicó que en estos casos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43356A">
        <w:rPr>
          <w:rFonts w:ascii="Arial" w:hAnsi="Arial" w:cs="Arial"/>
          <w:sz w:val="20"/>
          <w:szCs w:val="20"/>
          <w:lang w:eastAsia="es-CO"/>
        </w:rPr>
        <w:t xml:space="preserve"> </w:t>
      </w:r>
    </w:p>
    <w:p w14:paraId="5058B6CD" w14:textId="77777777" w:rsidR="00640B22" w:rsidRPr="0043356A" w:rsidRDefault="00640B22" w:rsidP="00DF3092">
      <w:pPr>
        <w:jc w:val="both"/>
        <w:rPr>
          <w:rFonts w:ascii="Arial" w:hAnsi="Arial" w:cs="Arial"/>
          <w:sz w:val="20"/>
          <w:szCs w:val="20"/>
          <w:lang w:eastAsia="es-CO"/>
        </w:rPr>
      </w:pPr>
    </w:p>
    <w:p w14:paraId="4176A115" w14:textId="77777777" w:rsidR="00640B22" w:rsidRPr="0043356A" w:rsidRDefault="00640B22" w:rsidP="00DF3092">
      <w:pPr>
        <w:jc w:val="both"/>
        <w:rPr>
          <w:rFonts w:ascii="Arial" w:hAnsi="Arial" w:cs="Arial"/>
          <w:bCs/>
          <w:sz w:val="20"/>
          <w:szCs w:val="20"/>
          <w:lang w:val="es-MX" w:eastAsia="x-none"/>
        </w:rPr>
      </w:pPr>
      <w:r w:rsidRPr="0043356A">
        <w:rPr>
          <w:rFonts w:ascii="Arial" w:hAnsi="Arial" w:cs="Arial"/>
          <w:sz w:val="20"/>
          <w:szCs w:val="20"/>
          <w:lang w:eastAsia="es-CO"/>
        </w:rPr>
        <w:t>Sin perjuicio de estos pronunciamientos de la Sala de Consulta y Servicio Civil</w:t>
      </w:r>
      <w:r w:rsidRPr="0043356A">
        <w:rPr>
          <w:rFonts w:ascii="Arial" w:eastAsiaTheme="minorHAnsi" w:hAnsi="Arial" w:cs="Arial"/>
          <w:sz w:val="20"/>
          <w:szCs w:val="20"/>
          <w:lang w:val="es-MX" w:eastAsia="en-US"/>
        </w:rPr>
        <w:t xml:space="preserve">, como la ha señalado esa misma Corporación, la restricción prevista en la Ley 996 de 2005 </w:t>
      </w:r>
      <w:r w:rsidRPr="0043356A">
        <w:rPr>
          <w:rFonts w:ascii="Arial" w:hAnsi="Arial" w:cs="Arial"/>
          <w:bCs/>
          <w:sz w:val="20"/>
          <w:szCs w:val="20"/>
          <w:lang w:val="es-MX" w:eastAsia="x-none"/>
        </w:rPr>
        <w:t xml:space="preserve">cobija a cualquier entidad pública independiente del régimen jurídico, que pueda mediante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puede presentarse tanto en la contratación regulada por la Ley 80 de 1993 como en la regida por normas especiales. </w:t>
      </w:r>
    </w:p>
    <w:p w14:paraId="341C424C" w14:textId="259DA5B9" w:rsidR="00F472B3" w:rsidRPr="0043356A" w:rsidRDefault="00F472B3" w:rsidP="004D08E5">
      <w:pPr>
        <w:jc w:val="both"/>
        <w:rPr>
          <w:rFonts w:ascii="Arial" w:eastAsiaTheme="minorHAnsi" w:hAnsi="Arial" w:cs="Arial"/>
          <w:sz w:val="20"/>
          <w:szCs w:val="20"/>
          <w:lang w:val="es-MX" w:eastAsia="en-US"/>
        </w:rPr>
      </w:pPr>
    </w:p>
    <w:p w14:paraId="616BA5BC" w14:textId="77777777" w:rsidR="00640B22" w:rsidRPr="0043356A" w:rsidRDefault="00640B22" w:rsidP="004D08E5">
      <w:pPr>
        <w:rPr>
          <w:rFonts w:ascii="Arial" w:eastAsia="Calibri" w:hAnsi="Arial" w:cs="Arial"/>
          <w:b/>
          <w:sz w:val="20"/>
          <w:szCs w:val="20"/>
          <w:lang w:val="es-MX" w:eastAsia="en-US"/>
        </w:rPr>
      </w:pPr>
    </w:p>
    <w:p w14:paraId="6FCB4211" w14:textId="77777777" w:rsidR="00640B22" w:rsidRPr="0043356A" w:rsidRDefault="00640B22" w:rsidP="004D08E5">
      <w:pPr>
        <w:rPr>
          <w:rFonts w:ascii="Arial" w:eastAsia="Calibri" w:hAnsi="Arial" w:cs="Arial"/>
          <w:b/>
          <w:sz w:val="20"/>
          <w:szCs w:val="20"/>
          <w:lang w:val="es-MX" w:eastAsia="en-US"/>
        </w:rPr>
      </w:pPr>
    </w:p>
    <w:p w14:paraId="51CF6445" w14:textId="77777777" w:rsidR="00640B22" w:rsidRPr="0043356A" w:rsidRDefault="00640B22" w:rsidP="004D08E5">
      <w:pPr>
        <w:rPr>
          <w:rFonts w:ascii="Arial" w:eastAsia="Calibri" w:hAnsi="Arial" w:cs="Arial"/>
          <w:b/>
          <w:sz w:val="20"/>
          <w:szCs w:val="20"/>
          <w:lang w:val="es-MX" w:eastAsia="en-US"/>
        </w:rPr>
      </w:pPr>
    </w:p>
    <w:p w14:paraId="15EF163F" w14:textId="77777777" w:rsidR="00640B22" w:rsidRPr="0043356A" w:rsidRDefault="00640B22" w:rsidP="004D08E5">
      <w:pPr>
        <w:rPr>
          <w:rFonts w:ascii="Arial" w:eastAsia="Calibri" w:hAnsi="Arial" w:cs="Arial"/>
          <w:b/>
          <w:sz w:val="20"/>
          <w:szCs w:val="20"/>
          <w:lang w:val="es-MX" w:eastAsia="en-US"/>
        </w:rPr>
      </w:pPr>
    </w:p>
    <w:p w14:paraId="1E6DDADF" w14:textId="77777777" w:rsidR="00640B22" w:rsidRPr="0043356A" w:rsidRDefault="00640B22" w:rsidP="004D08E5">
      <w:pPr>
        <w:rPr>
          <w:rFonts w:ascii="Arial" w:eastAsia="Calibri" w:hAnsi="Arial" w:cs="Arial"/>
          <w:b/>
          <w:sz w:val="20"/>
          <w:szCs w:val="20"/>
          <w:lang w:val="es-MX" w:eastAsia="en-US"/>
        </w:rPr>
      </w:pPr>
    </w:p>
    <w:p w14:paraId="6A2702A9" w14:textId="6FDEA266" w:rsidR="00640B22" w:rsidRPr="0043356A" w:rsidRDefault="00640B22" w:rsidP="004D08E5">
      <w:pPr>
        <w:rPr>
          <w:rFonts w:ascii="Arial" w:eastAsia="Calibri" w:hAnsi="Arial" w:cs="Arial"/>
          <w:b/>
          <w:sz w:val="20"/>
          <w:szCs w:val="20"/>
          <w:lang w:val="es-MX" w:eastAsia="en-US"/>
        </w:rPr>
      </w:pPr>
    </w:p>
    <w:p w14:paraId="4B092342" w14:textId="229051F6" w:rsidR="00DF3092" w:rsidRPr="0043356A" w:rsidRDefault="00DF3092" w:rsidP="004D08E5">
      <w:pPr>
        <w:rPr>
          <w:rFonts w:ascii="Arial" w:eastAsia="Calibri" w:hAnsi="Arial" w:cs="Arial"/>
          <w:b/>
          <w:sz w:val="20"/>
          <w:szCs w:val="20"/>
          <w:lang w:val="es-MX" w:eastAsia="en-US"/>
        </w:rPr>
      </w:pPr>
    </w:p>
    <w:p w14:paraId="15A51573" w14:textId="0B226F91" w:rsidR="00DF3092" w:rsidRPr="0043356A" w:rsidRDefault="00DF3092" w:rsidP="004D08E5">
      <w:pPr>
        <w:rPr>
          <w:rFonts w:ascii="Arial" w:eastAsia="Calibri" w:hAnsi="Arial" w:cs="Arial"/>
          <w:b/>
          <w:sz w:val="20"/>
          <w:szCs w:val="20"/>
          <w:lang w:val="es-MX" w:eastAsia="en-US"/>
        </w:rPr>
      </w:pPr>
    </w:p>
    <w:p w14:paraId="431EBC48" w14:textId="66414D9C" w:rsidR="00DF3092" w:rsidRPr="0043356A" w:rsidRDefault="00DF3092" w:rsidP="004D08E5">
      <w:pPr>
        <w:rPr>
          <w:rFonts w:ascii="Arial" w:eastAsia="Calibri" w:hAnsi="Arial" w:cs="Arial"/>
          <w:b/>
          <w:sz w:val="20"/>
          <w:szCs w:val="20"/>
          <w:lang w:val="es-MX" w:eastAsia="en-US"/>
        </w:rPr>
      </w:pPr>
    </w:p>
    <w:p w14:paraId="724B5214" w14:textId="09C0FA40" w:rsidR="00DF3092" w:rsidRPr="0043356A" w:rsidRDefault="00DF3092" w:rsidP="004D08E5">
      <w:pPr>
        <w:rPr>
          <w:rFonts w:ascii="Arial" w:eastAsia="Calibri" w:hAnsi="Arial" w:cs="Arial"/>
          <w:b/>
          <w:sz w:val="20"/>
          <w:szCs w:val="20"/>
          <w:lang w:val="es-MX" w:eastAsia="en-US"/>
        </w:rPr>
      </w:pPr>
    </w:p>
    <w:p w14:paraId="4B4D215F" w14:textId="43BEC783" w:rsidR="00DF3092" w:rsidRPr="0043356A" w:rsidRDefault="00DF3092" w:rsidP="004D08E5">
      <w:pPr>
        <w:rPr>
          <w:rFonts w:ascii="Arial" w:eastAsia="Calibri" w:hAnsi="Arial" w:cs="Arial"/>
          <w:b/>
          <w:sz w:val="20"/>
          <w:szCs w:val="20"/>
          <w:lang w:val="es-MX" w:eastAsia="en-US"/>
        </w:rPr>
      </w:pPr>
    </w:p>
    <w:p w14:paraId="08F8B640" w14:textId="103ADCEE" w:rsidR="00DF3092" w:rsidRPr="0043356A" w:rsidRDefault="00DF3092" w:rsidP="004D08E5">
      <w:pPr>
        <w:rPr>
          <w:rFonts w:ascii="Arial" w:eastAsia="Calibri" w:hAnsi="Arial" w:cs="Arial"/>
          <w:b/>
          <w:sz w:val="20"/>
          <w:szCs w:val="20"/>
          <w:lang w:val="es-MX" w:eastAsia="en-US"/>
        </w:rPr>
      </w:pPr>
    </w:p>
    <w:p w14:paraId="3D3A4105" w14:textId="61436709" w:rsidR="00DF3092" w:rsidRPr="0043356A" w:rsidRDefault="00DF3092" w:rsidP="004D08E5">
      <w:pPr>
        <w:rPr>
          <w:rFonts w:ascii="Arial" w:eastAsia="Calibri" w:hAnsi="Arial" w:cs="Arial"/>
          <w:b/>
          <w:sz w:val="20"/>
          <w:szCs w:val="20"/>
          <w:lang w:val="es-MX" w:eastAsia="en-US"/>
        </w:rPr>
      </w:pPr>
    </w:p>
    <w:p w14:paraId="71D4A706" w14:textId="0DE48519" w:rsidR="00DF3092" w:rsidRPr="0043356A" w:rsidRDefault="00DF3092" w:rsidP="004D08E5">
      <w:pPr>
        <w:rPr>
          <w:rFonts w:ascii="Arial" w:eastAsia="Calibri" w:hAnsi="Arial" w:cs="Arial"/>
          <w:b/>
          <w:sz w:val="20"/>
          <w:szCs w:val="20"/>
          <w:lang w:val="es-MX" w:eastAsia="en-US"/>
        </w:rPr>
      </w:pPr>
    </w:p>
    <w:p w14:paraId="12D2C343" w14:textId="24F3D9AF" w:rsidR="00DF3092" w:rsidRPr="0043356A" w:rsidRDefault="00DF3092" w:rsidP="004D08E5">
      <w:pPr>
        <w:rPr>
          <w:rFonts w:ascii="Arial" w:eastAsia="Calibri" w:hAnsi="Arial" w:cs="Arial"/>
          <w:b/>
          <w:sz w:val="20"/>
          <w:szCs w:val="20"/>
          <w:lang w:val="es-MX" w:eastAsia="en-US"/>
        </w:rPr>
      </w:pPr>
    </w:p>
    <w:p w14:paraId="39F2DEE6" w14:textId="48525C7D" w:rsidR="00DF3092" w:rsidRPr="0043356A" w:rsidRDefault="00DF3092" w:rsidP="004D08E5">
      <w:pPr>
        <w:rPr>
          <w:rFonts w:ascii="Arial" w:eastAsia="Calibri" w:hAnsi="Arial" w:cs="Arial"/>
          <w:b/>
          <w:sz w:val="20"/>
          <w:szCs w:val="20"/>
          <w:lang w:val="es-MX" w:eastAsia="en-US"/>
        </w:rPr>
      </w:pPr>
    </w:p>
    <w:p w14:paraId="1AB2FF4E" w14:textId="0F267B50" w:rsidR="00DF3092" w:rsidRPr="0043356A" w:rsidRDefault="00DF3092" w:rsidP="004D08E5">
      <w:pPr>
        <w:rPr>
          <w:rFonts w:ascii="Arial" w:eastAsia="Calibri" w:hAnsi="Arial" w:cs="Arial"/>
          <w:b/>
          <w:sz w:val="20"/>
          <w:szCs w:val="20"/>
          <w:lang w:val="es-MX" w:eastAsia="en-US"/>
        </w:rPr>
      </w:pPr>
    </w:p>
    <w:p w14:paraId="525573C5" w14:textId="50E8C022" w:rsidR="00DF3092" w:rsidRPr="0043356A" w:rsidRDefault="00DF3092" w:rsidP="004D08E5">
      <w:pPr>
        <w:rPr>
          <w:rFonts w:ascii="Arial" w:eastAsia="Calibri" w:hAnsi="Arial" w:cs="Arial"/>
          <w:b/>
          <w:sz w:val="20"/>
          <w:szCs w:val="20"/>
          <w:lang w:val="es-MX" w:eastAsia="en-US"/>
        </w:rPr>
      </w:pPr>
    </w:p>
    <w:p w14:paraId="0C1FA72E" w14:textId="37AE0053" w:rsidR="00DF3092" w:rsidRPr="0043356A" w:rsidRDefault="00DF3092" w:rsidP="004D08E5">
      <w:pPr>
        <w:rPr>
          <w:rFonts w:ascii="Arial" w:eastAsia="Calibri" w:hAnsi="Arial" w:cs="Arial"/>
          <w:b/>
          <w:sz w:val="20"/>
          <w:szCs w:val="20"/>
          <w:lang w:val="es-MX" w:eastAsia="en-US"/>
        </w:rPr>
      </w:pPr>
    </w:p>
    <w:p w14:paraId="294F408D" w14:textId="299C4FF5" w:rsidR="00DF3092" w:rsidRPr="0043356A" w:rsidRDefault="00DF3092" w:rsidP="004D08E5">
      <w:pPr>
        <w:rPr>
          <w:rFonts w:ascii="Arial" w:eastAsia="Calibri" w:hAnsi="Arial" w:cs="Arial"/>
          <w:b/>
          <w:sz w:val="20"/>
          <w:szCs w:val="20"/>
          <w:lang w:val="es-MX" w:eastAsia="en-US"/>
        </w:rPr>
      </w:pPr>
    </w:p>
    <w:p w14:paraId="6CB4329B" w14:textId="53668D93" w:rsidR="00DF3092" w:rsidRPr="0043356A" w:rsidRDefault="00DF3092" w:rsidP="004D08E5">
      <w:pPr>
        <w:rPr>
          <w:rFonts w:ascii="Arial" w:eastAsia="Calibri" w:hAnsi="Arial" w:cs="Arial"/>
          <w:b/>
          <w:sz w:val="20"/>
          <w:szCs w:val="20"/>
          <w:lang w:val="es-MX" w:eastAsia="en-US"/>
        </w:rPr>
      </w:pPr>
    </w:p>
    <w:p w14:paraId="20521034" w14:textId="6446A49E" w:rsidR="00DF3092" w:rsidRPr="0043356A" w:rsidRDefault="00DF3092" w:rsidP="004D08E5">
      <w:pPr>
        <w:rPr>
          <w:rFonts w:ascii="Arial" w:eastAsia="Calibri" w:hAnsi="Arial" w:cs="Arial"/>
          <w:b/>
          <w:sz w:val="20"/>
          <w:szCs w:val="20"/>
          <w:lang w:val="es-MX" w:eastAsia="en-US"/>
        </w:rPr>
      </w:pPr>
    </w:p>
    <w:p w14:paraId="052628CE" w14:textId="58CA16AD" w:rsidR="00DF3092" w:rsidRPr="0043356A" w:rsidRDefault="00DF3092" w:rsidP="004D08E5">
      <w:pPr>
        <w:rPr>
          <w:rFonts w:ascii="Arial" w:eastAsia="Calibri" w:hAnsi="Arial" w:cs="Arial"/>
          <w:b/>
          <w:sz w:val="20"/>
          <w:szCs w:val="20"/>
          <w:lang w:val="es-MX" w:eastAsia="en-US"/>
        </w:rPr>
      </w:pPr>
    </w:p>
    <w:p w14:paraId="5BD4D505" w14:textId="50E0B9E1" w:rsidR="00DF3092" w:rsidRPr="0043356A" w:rsidRDefault="00DF3092" w:rsidP="004D08E5">
      <w:pPr>
        <w:rPr>
          <w:rFonts w:ascii="Arial" w:eastAsia="Calibri" w:hAnsi="Arial" w:cs="Arial"/>
          <w:b/>
          <w:sz w:val="20"/>
          <w:szCs w:val="20"/>
          <w:lang w:val="es-MX" w:eastAsia="en-US"/>
        </w:rPr>
      </w:pPr>
    </w:p>
    <w:p w14:paraId="5847D5DD" w14:textId="22C24891" w:rsidR="00DF3092" w:rsidRPr="0043356A" w:rsidRDefault="00DF3092" w:rsidP="004D08E5">
      <w:pPr>
        <w:rPr>
          <w:rFonts w:ascii="Arial" w:eastAsia="Calibri" w:hAnsi="Arial" w:cs="Arial"/>
          <w:b/>
          <w:sz w:val="20"/>
          <w:szCs w:val="20"/>
          <w:lang w:val="es-MX" w:eastAsia="en-US"/>
        </w:rPr>
      </w:pPr>
    </w:p>
    <w:p w14:paraId="1266B9E5" w14:textId="27B8B770" w:rsidR="00DF3092" w:rsidRPr="0043356A" w:rsidRDefault="00DF3092" w:rsidP="004D08E5">
      <w:pPr>
        <w:rPr>
          <w:rFonts w:ascii="Arial" w:eastAsia="Calibri" w:hAnsi="Arial" w:cs="Arial"/>
          <w:b/>
          <w:sz w:val="20"/>
          <w:szCs w:val="20"/>
          <w:lang w:val="es-MX" w:eastAsia="en-US"/>
        </w:rPr>
      </w:pPr>
    </w:p>
    <w:p w14:paraId="7461FDC1" w14:textId="22BE6C6C" w:rsidR="00DF3092" w:rsidRPr="0043356A" w:rsidRDefault="00DF3092" w:rsidP="004D08E5">
      <w:pPr>
        <w:rPr>
          <w:rFonts w:ascii="Arial" w:eastAsia="Calibri" w:hAnsi="Arial" w:cs="Arial"/>
          <w:b/>
          <w:sz w:val="20"/>
          <w:szCs w:val="20"/>
          <w:lang w:val="es-MX" w:eastAsia="en-US"/>
        </w:rPr>
      </w:pPr>
    </w:p>
    <w:p w14:paraId="7E5220CE" w14:textId="2F7A076C" w:rsidR="00DF3092" w:rsidRPr="0043356A" w:rsidRDefault="00DF3092" w:rsidP="004D08E5">
      <w:pPr>
        <w:rPr>
          <w:rFonts w:ascii="Arial" w:eastAsia="Calibri" w:hAnsi="Arial" w:cs="Arial"/>
          <w:b/>
          <w:sz w:val="20"/>
          <w:szCs w:val="20"/>
          <w:lang w:val="es-MX" w:eastAsia="en-US"/>
        </w:rPr>
      </w:pPr>
    </w:p>
    <w:p w14:paraId="777B8EAD" w14:textId="3896BE84" w:rsidR="00DF3092" w:rsidRPr="0043356A" w:rsidRDefault="00DF3092" w:rsidP="004D08E5">
      <w:pPr>
        <w:rPr>
          <w:rFonts w:ascii="Arial" w:eastAsia="Calibri" w:hAnsi="Arial" w:cs="Arial"/>
          <w:b/>
          <w:sz w:val="20"/>
          <w:szCs w:val="20"/>
          <w:lang w:val="es-MX" w:eastAsia="en-US"/>
        </w:rPr>
      </w:pPr>
    </w:p>
    <w:p w14:paraId="0A179A4F" w14:textId="1D37C206" w:rsidR="00DF3092" w:rsidRPr="0043356A" w:rsidRDefault="00DF3092" w:rsidP="004D08E5">
      <w:pPr>
        <w:rPr>
          <w:rFonts w:ascii="Arial" w:eastAsia="Calibri" w:hAnsi="Arial" w:cs="Arial"/>
          <w:b/>
          <w:sz w:val="20"/>
          <w:szCs w:val="20"/>
          <w:lang w:val="es-MX" w:eastAsia="en-US"/>
        </w:rPr>
      </w:pPr>
    </w:p>
    <w:p w14:paraId="7F1B1929" w14:textId="0C8A0763" w:rsidR="00DF3092" w:rsidRPr="0043356A" w:rsidRDefault="00DF3092" w:rsidP="004D08E5">
      <w:pPr>
        <w:rPr>
          <w:rFonts w:ascii="Arial" w:eastAsia="Calibri" w:hAnsi="Arial" w:cs="Arial"/>
          <w:b/>
          <w:sz w:val="20"/>
          <w:szCs w:val="20"/>
          <w:lang w:val="es-MX" w:eastAsia="en-US"/>
        </w:rPr>
      </w:pPr>
    </w:p>
    <w:p w14:paraId="264A126B" w14:textId="12DC002F" w:rsidR="00DF3092" w:rsidRPr="0043356A" w:rsidRDefault="00DF3092" w:rsidP="004D08E5">
      <w:pPr>
        <w:rPr>
          <w:rFonts w:ascii="Arial" w:eastAsia="Calibri" w:hAnsi="Arial" w:cs="Arial"/>
          <w:b/>
          <w:sz w:val="20"/>
          <w:szCs w:val="20"/>
          <w:lang w:val="es-MX" w:eastAsia="en-US"/>
        </w:rPr>
      </w:pPr>
    </w:p>
    <w:p w14:paraId="1CFFBD6E" w14:textId="0EF2750E" w:rsidR="00DF3092" w:rsidRPr="0043356A" w:rsidRDefault="00DF3092" w:rsidP="004D08E5">
      <w:pPr>
        <w:rPr>
          <w:rFonts w:ascii="Arial" w:eastAsia="Calibri" w:hAnsi="Arial" w:cs="Arial"/>
          <w:b/>
          <w:sz w:val="20"/>
          <w:szCs w:val="20"/>
          <w:lang w:val="es-MX" w:eastAsia="en-US"/>
        </w:rPr>
      </w:pPr>
    </w:p>
    <w:p w14:paraId="0681421B" w14:textId="77777777" w:rsidR="00DF3092" w:rsidRPr="0043356A" w:rsidRDefault="00DF3092" w:rsidP="004D08E5">
      <w:pPr>
        <w:rPr>
          <w:rFonts w:ascii="Arial" w:eastAsia="Calibri" w:hAnsi="Arial" w:cs="Arial"/>
          <w:b/>
          <w:sz w:val="20"/>
          <w:szCs w:val="20"/>
          <w:lang w:val="es-MX" w:eastAsia="en-US"/>
        </w:rPr>
      </w:pPr>
    </w:p>
    <w:p w14:paraId="0E05B2EC" w14:textId="6D747449" w:rsidR="00640B22" w:rsidRPr="0043356A" w:rsidRDefault="00636402" w:rsidP="004D08E5">
      <w:pPr>
        <w:rPr>
          <w:rFonts w:ascii="Arial" w:eastAsia="Calibri" w:hAnsi="Arial" w:cs="Arial"/>
          <w:b/>
          <w:sz w:val="20"/>
          <w:szCs w:val="20"/>
          <w:lang w:val="es-MX" w:eastAsia="en-US"/>
        </w:rPr>
      </w:pPr>
      <w:r>
        <w:rPr>
          <w:rFonts w:eastAsia="Arial MT" w:hAnsi="Arial MT" w:cs="Arial MT"/>
          <w:noProof/>
          <w:sz w:val="20"/>
          <w:szCs w:val="22"/>
          <w:lang w:val="en-US" w:eastAsia="en-US"/>
        </w:rPr>
        <w:lastRenderedPageBreak/>
        <w:drawing>
          <wp:anchor distT="0" distB="0" distL="114300" distR="114300" simplePos="0" relativeHeight="251658240" behindDoc="0" locked="0" layoutInCell="1" allowOverlap="1" wp14:anchorId="761ED5A9" wp14:editId="43A8CF05">
            <wp:simplePos x="0" y="0"/>
            <wp:positionH relativeFrom="column">
              <wp:posOffset>3368040</wp:posOffset>
            </wp:positionH>
            <wp:positionV relativeFrom="paragraph">
              <wp:posOffset>0</wp:posOffset>
            </wp:positionV>
            <wp:extent cx="2400300" cy="615950"/>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590C9E5D" w14:textId="13638F12" w:rsidR="00636402" w:rsidRPr="00636402" w:rsidRDefault="00636402" w:rsidP="00636402">
      <w:pPr>
        <w:widowControl w:val="0"/>
        <w:autoSpaceDE w:val="0"/>
        <w:autoSpaceDN w:val="0"/>
        <w:ind w:left="3812"/>
        <w:rPr>
          <w:rFonts w:eastAsia="Arial MT" w:hAnsi="Arial MT" w:cs="Arial MT"/>
          <w:sz w:val="20"/>
          <w:szCs w:val="22"/>
          <w:lang w:val="es-ES" w:eastAsia="en-US"/>
        </w:rPr>
      </w:pPr>
    </w:p>
    <w:p w14:paraId="54243312" w14:textId="77777777" w:rsidR="00636402" w:rsidRPr="00636402" w:rsidRDefault="00636402" w:rsidP="00636402">
      <w:pPr>
        <w:widowControl w:val="0"/>
        <w:autoSpaceDE w:val="0"/>
        <w:autoSpaceDN w:val="0"/>
        <w:spacing w:before="1"/>
        <w:rPr>
          <w:rFonts w:eastAsia="Arial MT" w:hAnsi="Arial MT" w:cs="Arial MT"/>
          <w:sz w:val="21"/>
          <w:szCs w:val="22"/>
          <w:lang w:val="es-ES" w:eastAsia="en-US"/>
        </w:rPr>
      </w:pPr>
    </w:p>
    <w:p w14:paraId="116B11D4" w14:textId="77777777" w:rsidR="00636402" w:rsidRDefault="00636402" w:rsidP="00636402">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0BC818DA" w14:textId="7B9800FE" w:rsidR="00636402" w:rsidRPr="00636402" w:rsidRDefault="00636402" w:rsidP="00636402">
      <w:pPr>
        <w:widowControl w:val="0"/>
        <w:autoSpaceDE w:val="0"/>
        <w:autoSpaceDN w:val="0"/>
        <w:spacing w:before="94"/>
        <w:ind w:right="533"/>
        <w:jc w:val="right"/>
        <w:rPr>
          <w:rFonts w:ascii="Arial" w:eastAsia="Arial MT" w:hAnsi="Arial MT" w:cs="Arial MT"/>
          <w:b/>
          <w:sz w:val="18"/>
          <w:szCs w:val="22"/>
          <w:lang w:val="es-ES" w:eastAsia="en-US"/>
        </w:rPr>
      </w:pPr>
      <w:r w:rsidRPr="00636402">
        <w:rPr>
          <w:rFonts w:ascii="Arial" w:eastAsia="Arial MT" w:hAnsi="Arial MT" w:cs="Arial MT"/>
          <w:b/>
          <w:color w:val="585858"/>
          <w:sz w:val="18"/>
          <w:szCs w:val="22"/>
          <w:lang w:val="es-ES" w:eastAsia="en-US"/>
        </w:rPr>
        <w:t>CCE-DES-FM-17</w:t>
      </w:r>
    </w:p>
    <w:p w14:paraId="166E1879" w14:textId="77777777" w:rsidR="00636402" w:rsidRPr="00636402" w:rsidRDefault="00636402" w:rsidP="00636402">
      <w:pPr>
        <w:widowControl w:val="0"/>
        <w:autoSpaceDE w:val="0"/>
        <w:autoSpaceDN w:val="0"/>
        <w:rPr>
          <w:rFonts w:ascii="Arial" w:eastAsia="Arial MT" w:hAnsi="Arial MT" w:cs="Arial MT"/>
          <w:b/>
          <w:sz w:val="20"/>
          <w:szCs w:val="22"/>
          <w:lang w:val="es-ES" w:eastAsia="en-US"/>
        </w:rPr>
      </w:pPr>
    </w:p>
    <w:p w14:paraId="18AD930E" w14:textId="77777777" w:rsidR="00636402" w:rsidRPr="00636402" w:rsidRDefault="00636402" w:rsidP="00636402">
      <w:pPr>
        <w:widowControl w:val="0"/>
        <w:autoSpaceDE w:val="0"/>
        <w:autoSpaceDN w:val="0"/>
        <w:ind w:left="100"/>
        <w:rPr>
          <w:rFonts w:ascii="Arial MT" w:eastAsia="Arial MT" w:hAnsi="Arial MT" w:cs="Arial MT"/>
          <w:sz w:val="22"/>
          <w:szCs w:val="22"/>
          <w:lang w:val="es-ES" w:eastAsia="en-US"/>
        </w:rPr>
      </w:pPr>
      <w:r w:rsidRPr="00636402">
        <w:rPr>
          <w:rFonts w:ascii="Arial MT" w:eastAsia="Arial MT" w:hAnsi="Arial MT" w:cs="Arial MT"/>
          <w:color w:val="4E4D4D"/>
          <w:sz w:val="22"/>
          <w:szCs w:val="22"/>
          <w:lang w:val="es-ES" w:eastAsia="en-US"/>
        </w:rPr>
        <w:t>Bogotá,</w:t>
      </w:r>
      <w:r w:rsidRPr="00636402">
        <w:rPr>
          <w:rFonts w:ascii="Arial MT" w:eastAsia="Arial MT" w:hAnsi="Arial MT" w:cs="Arial MT"/>
          <w:color w:val="4E4D4D"/>
          <w:spacing w:val="-1"/>
          <w:sz w:val="22"/>
          <w:szCs w:val="22"/>
          <w:lang w:val="es-ES" w:eastAsia="en-US"/>
        </w:rPr>
        <w:t xml:space="preserve"> </w:t>
      </w:r>
      <w:r w:rsidRPr="00636402">
        <w:rPr>
          <w:rFonts w:ascii="Arial MT" w:eastAsia="Arial MT" w:hAnsi="Arial MT" w:cs="Arial MT"/>
          <w:color w:val="4E4D4D"/>
          <w:sz w:val="22"/>
          <w:szCs w:val="22"/>
          <w:lang w:val="es-ES" w:eastAsia="en-US"/>
        </w:rPr>
        <w:t>09</w:t>
      </w:r>
      <w:r w:rsidRPr="00636402">
        <w:rPr>
          <w:rFonts w:ascii="Arial MT" w:eastAsia="Arial MT" w:hAnsi="Arial MT" w:cs="Arial MT"/>
          <w:color w:val="4E4D4D"/>
          <w:spacing w:val="-4"/>
          <w:sz w:val="22"/>
          <w:szCs w:val="22"/>
          <w:lang w:val="es-ES" w:eastAsia="en-US"/>
        </w:rPr>
        <w:t xml:space="preserve"> </w:t>
      </w:r>
      <w:r w:rsidRPr="00636402">
        <w:rPr>
          <w:rFonts w:ascii="Arial MT" w:eastAsia="Arial MT" w:hAnsi="Arial MT" w:cs="Arial MT"/>
          <w:color w:val="4E4D4D"/>
          <w:sz w:val="22"/>
          <w:szCs w:val="22"/>
          <w:lang w:val="es-ES" w:eastAsia="en-US"/>
        </w:rPr>
        <w:t>Marzo</w:t>
      </w:r>
      <w:r w:rsidRPr="00636402">
        <w:rPr>
          <w:rFonts w:ascii="Arial MT" w:eastAsia="Arial MT" w:hAnsi="Arial MT" w:cs="Arial MT"/>
          <w:color w:val="4E4D4D"/>
          <w:spacing w:val="-3"/>
          <w:sz w:val="22"/>
          <w:szCs w:val="22"/>
          <w:lang w:val="es-ES" w:eastAsia="en-US"/>
        </w:rPr>
        <w:t xml:space="preserve"> </w:t>
      </w:r>
      <w:r w:rsidRPr="00636402">
        <w:rPr>
          <w:rFonts w:ascii="Arial MT" w:eastAsia="Arial MT" w:hAnsi="Arial MT" w:cs="Arial MT"/>
          <w:color w:val="4E4D4D"/>
          <w:sz w:val="22"/>
          <w:szCs w:val="22"/>
          <w:lang w:val="es-ES" w:eastAsia="en-US"/>
        </w:rPr>
        <w:t>2022</w:t>
      </w:r>
    </w:p>
    <w:p w14:paraId="0D89FD8A" w14:textId="3DF82EAF" w:rsidR="00DF5964" w:rsidRPr="0043356A" w:rsidRDefault="00DF5964" w:rsidP="00DF5964">
      <w:pPr>
        <w:widowControl w:val="0"/>
        <w:autoSpaceDE w:val="0"/>
        <w:autoSpaceDN w:val="0"/>
        <w:rPr>
          <w:rFonts w:ascii="Arial MT" w:eastAsia="Arial MT" w:hAnsi="Arial MT" w:cs="Arial MT"/>
          <w:szCs w:val="22"/>
          <w:lang w:val="es-ES" w:eastAsia="en-US"/>
        </w:rPr>
      </w:pPr>
    </w:p>
    <w:p w14:paraId="176395FC" w14:textId="1FAB0ACC" w:rsidR="002F3E4E" w:rsidRPr="0043356A" w:rsidRDefault="002F3E4E" w:rsidP="00B95C30">
      <w:pPr>
        <w:jc w:val="both"/>
        <w:rPr>
          <w:rFonts w:ascii="Arial" w:hAnsi="Arial" w:cs="Arial"/>
          <w:bCs/>
          <w:sz w:val="22"/>
          <w:lang w:val="es-ES_tradnl"/>
        </w:rPr>
      </w:pPr>
    </w:p>
    <w:p w14:paraId="5F5AE9EF" w14:textId="3D7C9D78" w:rsidR="00B95C30" w:rsidRPr="0043356A" w:rsidRDefault="00BE4FBF" w:rsidP="00B95C30">
      <w:pPr>
        <w:jc w:val="both"/>
        <w:rPr>
          <w:rFonts w:ascii="Arial" w:eastAsia="Calibri" w:hAnsi="Arial" w:cs="Arial"/>
          <w:sz w:val="22"/>
          <w:szCs w:val="22"/>
        </w:rPr>
      </w:pPr>
      <w:bookmarkStart w:id="10" w:name="_Hlk80951783"/>
      <w:r w:rsidRPr="0043356A">
        <w:rPr>
          <w:rFonts w:ascii="Arial" w:eastAsia="Calibri" w:hAnsi="Arial" w:cs="Arial"/>
          <w:sz w:val="22"/>
          <w:szCs w:val="22"/>
        </w:rPr>
        <w:t>Señor</w:t>
      </w:r>
      <w:r w:rsidR="00A85D9F" w:rsidRPr="0043356A">
        <w:rPr>
          <w:rFonts w:ascii="Arial" w:eastAsia="Calibri" w:hAnsi="Arial" w:cs="Arial"/>
          <w:sz w:val="22"/>
          <w:szCs w:val="22"/>
        </w:rPr>
        <w:t>a</w:t>
      </w:r>
    </w:p>
    <w:p w14:paraId="5771D2B3" w14:textId="5E579003" w:rsidR="00DA493A" w:rsidRPr="0043356A" w:rsidRDefault="00DA493A" w:rsidP="00B95C30">
      <w:pPr>
        <w:jc w:val="both"/>
        <w:rPr>
          <w:rFonts w:ascii="Arial" w:eastAsia="Calibri" w:hAnsi="Arial" w:cs="Arial"/>
          <w:b/>
          <w:sz w:val="22"/>
          <w:szCs w:val="22"/>
        </w:rPr>
      </w:pPr>
      <w:r w:rsidRPr="0043356A">
        <w:rPr>
          <w:rFonts w:ascii="Arial" w:eastAsia="Calibri" w:hAnsi="Arial" w:cs="Arial"/>
          <w:b/>
          <w:sz w:val="22"/>
          <w:szCs w:val="22"/>
        </w:rPr>
        <w:t>Gina Alejandra Albarracín</w:t>
      </w:r>
    </w:p>
    <w:p w14:paraId="7B32CBBB" w14:textId="32A065E4" w:rsidR="00A56E1D" w:rsidRPr="0043356A" w:rsidRDefault="004707BB" w:rsidP="00B95C30">
      <w:pPr>
        <w:jc w:val="both"/>
        <w:rPr>
          <w:rFonts w:ascii="Arial" w:hAnsi="Arial" w:cs="Arial"/>
          <w:sz w:val="22"/>
          <w:szCs w:val="22"/>
        </w:rPr>
      </w:pPr>
      <w:r w:rsidRPr="0043356A">
        <w:rPr>
          <w:rFonts w:ascii="Arial" w:hAnsi="Arial" w:cs="Arial"/>
          <w:sz w:val="22"/>
          <w:szCs w:val="22"/>
        </w:rPr>
        <w:t>Bogotá</w:t>
      </w:r>
      <w:r w:rsidR="005B24E7" w:rsidRPr="0043356A">
        <w:rPr>
          <w:rFonts w:ascii="Arial" w:hAnsi="Arial" w:cs="Arial"/>
          <w:sz w:val="22"/>
          <w:szCs w:val="22"/>
        </w:rPr>
        <w:t xml:space="preserve"> D.C.</w:t>
      </w:r>
    </w:p>
    <w:p w14:paraId="67D315D4" w14:textId="77777777" w:rsidR="004707BB" w:rsidRPr="0043356A" w:rsidRDefault="004707BB" w:rsidP="00B95C30">
      <w:pPr>
        <w:jc w:val="both"/>
        <w:rPr>
          <w:rFonts w:ascii="Arial" w:eastAsia="Calibri" w:hAnsi="Arial" w:cs="Arial"/>
          <w:sz w:val="22"/>
          <w:szCs w:val="22"/>
        </w:rPr>
      </w:pPr>
    </w:p>
    <w:p w14:paraId="0942E2A4" w14:textId="77777777" w:rsidR="000254DD" w:rsidRPr="0043356A" w:rsidRDefault="000254DD" w:rsidP="00B95C30">
      <w:pPr>
        <w:jc w:val="both"/>
        <w:rPr>
          <w:rFonts w:ascii="Arial" w:eastAsia="Calibri" w:hAnsi="Arial" w:cs="Arial"/>
          <w:sz w:val="22"/>
          <w:szCs w:val="22"/>
        </w:rPr>
      </w:pPr>
    </w:p>
    <w:p w14:paraId="12E66182" w14:textId="6FA86F7B" w:rsidR="00B95C30" w:rsidRPr="0043356A" w:rsidRDefault="00A25F2F" w:rsidP="004004C2">
      <w:pPr>
        <w:rPr>
          <w:rFonts w:ascii="Arial" w:eastAsia="Calibri" w:hAnsi="Arial" w:cs="Arial"/>
          <w:b/>
          <w:bCs/>
          <w:sz w:val="22"/>
          <w:szCs w:val="22"/>
          <w:lang w:val="es-ES_tradnl"/>
        </w:rPr>
      </w:pPr>
      <w:r w:rsidRPr="0043356A">
        <w:rPr>
          <w:rFonts w:ascii="Arial" w:eastAsia="Calibri" w:hAnsi="Arial" w:cs="Arial"/>
          <w:b/>
          <w:bCs/>
          <w:sz w:val="22"/>
          <w:szCs w:val="22"/>
        </w:rPr>
        <w:t xml:space="preserve">                                            </w:t>
      </w:r>
      <w:r w:rsidR="00B95C30" w:rsidRPr="0043356A">
        <w:rPr>
          <w:rFonts w:ascii="Arial" w:eastAsia="Calibri" w:hAnsi="Arial" w:cs="Arial"/>
          <w:b/>
          <w:bCs/>
          <w:sz w:val="22"/>
          <w:szCs w:val="22"/>
          <w:lang w:val="es-ES_tradnl"/>
        </w:rPr>
        <w:t>Concepto C ‒</w:t>
      </w:r>
      <w:r w:rsidR="00856F87" w:rsidRPr="0043356A">
        <w:rPr>
          <w:rFonts w:ascii="Arial" w:eastAsia="Calibri" w:hAnsi="Arial" w:cs="Arial"/>
          <w:b/>
          <w:bCs/>
          <w:sz w:val="22"/>
          <w:szCs w:val="22"/>
          <w:lang w:val="es-ES_tradnl"/>
        </w:rPr>
        <w:t xml:space="preserve"> </w:t>
      </w:r>
      <w:r w:rsidR="00F472B3" w:rsidRPr="0043356A">
        <w:rPr>
          <w:rFonts w:ascii="Arial" w:eastAsia="Calibri" w:hAnsi="Arial" w:cs="Arial"/>
          <w:b/>
          <w:bCs/>
          <w:sz w:val="22"/>
          <w:szCs w:val="22"/>
          <w:lang w:val="es-ES_tradnl"/>
        </w:rPr>
        <w:t xml:space="preserve">098 </w:t>
      </w:r>
      <w:r w:rsidR="007A57B8" w:rsidRPr="0043356A">
        <w:rPr>
          <w:rFonts w:ascii="Arial" w:eastAsia="Calibri" w:hAnsi="Arial" w:cs="Arial"/>
          <w:b/>
          <w:bCs/>
          <w:sz w:val="22"/>
          <w:szCs w:val="22"/>
          <w:lang w:val="es-ES_tradnl"/>
        </w:rPr>
        <w:t>de 202</w:t>
      </w:r>
      <w:r w:rsidR="00DA493A" w:rsidRPr="0043356A">
        <w:rPr>
          <w:rFonts w:ascii="Arial" w:eastAsia="Calibri" w:hAnsi="Arial" w:cs="Arial"/>
          <w:b/>
          <w:bCs/>
          <w:sz w:val="22"/>
          <w:szCs w:val="22"/>
          <w:lang w:val="es-ES_tradnl"/>
        </w:rPr>
        <w:t>2</w:t>
      </w:r>
    </w:p>
    <w:p w14:paraId="20200123" w14:textId="461A4C5D" w:rsidR="0096347F" w:rsidRPr="0043356A" w:rsidRDefault="0096347F" w:rsidP="00B95C30">
      <w:pPr>
        <w:jc w:val="both"/>
        <w:rPr>
          <w:rFonts w:ascii="Arial" w:eastAsia="Calibri" w:hAnsi="Arial" w:cs="Arial"/>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3356A" w:rsidRPr="0043356A" w14:paraId="19DFC051" w14:textId="77777777" w:rsidTr="008F4163">
        <w:tc>
          <w:tcPr>
            <w:tcW w:w="2689" w:type="dxa"/>
          </w:tcPr>
          <w:p w14:paraId="6BC0D1AC" w14:textId="77777777" w:rsidR="00B95C30" w:rsidRPr="0043356A" w:rsidRDefault="00B95C30" w:rsidP="008F4163">
            <w:pPr>
              <w:jc w:val="both"/>
              <w:rPr>
                <w:rFonts w:ascii="Arial" w:eastAsia="Calibri" w:hAnsi="Arial" w:cs="Arial"/>
                <w:b/>
                <w:sz w:val="22"/>
                <w:szCs w:val="22"/>
                <w:lang w:val="es-ES_tradnl"/>
              </w:rPr>
            </w:pPr>
            <w:r w:rsidRPr="0043356A">
              <w:rPr>
                <w:rFonts w:ascii="Arial" w:eastAsia="Calibri" w:hAnsi="Arial" w:cs="Arial"/>
                <w:b/>
                <w:sz w:val="22"/>
                <w:szCs w:val="22"/>
                <w:lang w:val="es-ES_tradnl"/>
              </w:rPr>
              <w:t xml:space="preserve">Temas:                                      </w:t>
            </w:r>
          </w:p>
        </w:tc>
        <w:tc>
          <w:tcPr>
            <w:tcW w:w="6237" w:type="dxa"/>
          </w:tcPr>
          <w:p w14:paraId="3A02D31D" w14:textId="632454E7" w:rsidR="00737FB7" w:rsidRPr="0043356A" w:rsidRDefault="00D353F8" w:rsidP="00737FB7">
            <w:pPr>
              <w:jc w:val="both"/>
              <w:rPr>
                <w:rFonts w:ascii="Arial" w:eastAsia="Calibri" w:hAnsi="Arial" w:cs="Arial"/>
                <w:sz w:val="22"/>
                <w:szCs w:val="22"/>
                <w:lang w:val="es-MX" w:eastAsia="en-US"/>
              </w:rPr>
            </w:pPr>
            <w:r w:rsidRPr="0043356A">
              <w:rPr>
                <w:rFonts w:ascii="Arial" w:eastAsia="Calibri" w:hAnsi="Arial" w:cs="Arial"/>
                <w:bCs/>
                <w:sz w:val="22"/>
                <w:szCs w:val="22"/>
                <w:lang w:val="es-MX" w:eastAsia="en-US"/>
              </w:rPr>
              <w:t xml:space="preserve">LEY DE GARANTÍAS ELECTORALES – Finalidad / LEY DE GARANTÍAS ELECTORALES ‒ Restricciones ‒ Contratación ‒ Tipos de elección / </w:t>
            </w:r>
            <w:r w:rsidR="00D044A1" w:rsidRPr="0043356A">
              <w:rPr>
                <w:rFonts w:ascii="Arial" w:eastAsia="Calibri" w:hAnsi="Arial" w:cs="Arial"/>
                <w:noProof/>
                <w:sz w:val="22"/>
                <w:szCs w:val="22"/>
                <w:lang w:val="es-ES_tradnl" w:eastAsia="en-US"/>
              </w:rPr>
              <w:t xml:space="preserve">LEY DE GARANTÍAS ELECTORALES – Contratos y convenios interadministrativos – Criterio orgánico / </w:t>
            </w:r>
            <w:r w:rsidR="00D044A1" w:rsidRPr="0043356A">
              <w:rPr>
                <w:rFonts w:ascii="Arial" w:eastAsia="Calibri" w:hAnsi="Arial" w:cs="Arial"/>
                <w:sz w:val="22"/>
                <w:szCs w:val="22"/>
                <w:lang w:val="es-MX" w:eastAsia="en-US"/>
              </w:rPr>
              <w:t xml:space="preserve">CONTRATOS Y </w:t>
            </w:r>
            <w:r w:rsidR="00D044A1" w:rsidRPr="0043356A">
              <w:rPr>
                <w:rFonts w:ascii="Arial" w:eastAsiaTheme="minorHAnsi" w:hAnsi="Arial" w:cs="Arial"/>
                <w:sz w:val="22"/>
                <w:szCs w:val="22"/>
                <w:lang w:val="es-MX" w:eastAsia="en-US"/>
              </w:rPr>
              <w:t xml:space="preserve">CONVENIOS INTERADMINISTRATIVOS </w:t>
            </w:r>
            <w:r w:rsidR="00D044A1" w:rsidRPr="0043356A">
              <w:rPr>
                <w:rFonts w:ascii="Arial" w:eastAsia="Calibri" w:hAnsi="Arial" w:cs="Arial"/>
                <w:sz w:val="22"/>
                <w:szCs w:val="22"/>
                <w:lang w:val="es-MX" w:eastAsia="en-US"/>
              </w:rPr>
              <w:t xml:space="preserve">– Definición – Criterio orgánico / </w:t>
            </w:r>
            <w:r w:rsidRPr="0043356A">
              <w:rPr>
                <w:rFonts w:ascii="Arial" w:eastAsia="Calibri" w:hAnsi="Arial" w:cs="Arial"/>
                <w:bCs/>
                <w:sz w:val="22"/>
                <w:szCs w:val="22"/>
                <w:lang w:val="es-MX" w:eastAsia="en-US"/>
              </w:rPr>
              <w:t xml:space="preserve">LEY DE GARANTÍAS ELECTORALES ─ Prohibición artículo 33 ‒ Contratación directa ‒ Alcance / </w:t>
            </w:r>
            <w:r w:rsidRPr="0043356A">
              <w:rPr>
                <w:rFonts w:ascii="Arial" w:hAnsi="Arial" w:cs="Arial"/>
                <w:bCs/>
                <w:sz w:val="22"/>
                <w:szCs w:val="22"/>
                <w:lang w:eastAsia="es-CO"/>
              </w:rPr>
              <w:t>LEY DE GARANTÍAS ELECTORALES ‒ Excepciones</w:t>
            </w:r>
            <w:r w:rsidRPr="0043356A">
              <w:rPr>
                <w:rFonts w:ascii="Arial" w:hAnsi="Arial" w:cs="Arial"/>
                <w:sz w:val="22"/>
                <w:szCs w:val="22"/>
                <w:lang w:eastAsia="es-CO"/>
              </w:rPr>
              <w:t xml:space="preserve"> / </w:t>
            </w:r>
            <w:r w:rsidRPr="0043356A">
              <w:rPr>
                <w:rFonts w:ascii="Arial" w:hAnsi="Arial" w:cs="Arial"/>
                <w:bCs/>
                <w:sz w:val="22"/>
                <w:szCs w:val="22"/>
                <w:lang w:eastAsia="es-CO"/>
              </w:rPr>
              <w:t xml:space="preserve">LEY DE GARANTÍAS ELECTORALES ‒ </w:t>
            </w:r>
            <w:r w:rsidRPr="0043356A">
              <w:rPr>
                <w:rFonts w:ascii="Arial" w:hAnsi="Arial" w:cs="Arial"/>
                <w:sz w:val="22"/>
                <w:szCs w:val="22"/>
                <w:lang w:val="es-ES" w:eastAsia="es-CO"/>
              </w:rPr>
              <w:t xml:space="preserve">Prohibición del artículo 33 </w:t>
            </w:r>
            <w:r w:rsidRPr="0043356A">
              <w:rPr>
                <w:rFonts w:ascii="Arial" w:hAnsi="Arial" w:cs="Arial"/>
                <w:bCs/>
                <w:sz w:val="22"/>
                <w:szCs w:val="22"/>
                <w:lang w:eastAsia="es-CO"/>
              </w:rPr>
              <w:t>‒ Destinatarios</w:t>
            </w:r>
            <w:r w:rsidR="00677C67" w:rsidRPr="0043356A">
              <w:rPr>
                <w:rFonts w:ascii="Arial" w:hAnsi="Arial" w:cs="Arial"/>
                <w:bCs/>
                <w:sz w:val="22"/>
                <w:szCs w:val="22"/>
                <w:lang w:eastAsia="es-CO"/>
              </w:rPr>
              <w:t xml:space="preserve"> / </w:t>
            </w:r>
            <w:r w:rsidR="00737FB7" w:rsidRPr="0043356A">
              <w:rPr>
                <w:rFonts w:ascii="Arial" w:eastAsia="Calibri" w:hAnsi="Arial" w:cs="Arial"/>
                <w:sz w:val="22"/>
                <w:szCs w:val="22"/>
                <w:lang w:val="es-MX" w:eastAsia="en-US"/>
              </w:rPr>
              <w:t xml:space="preserve">LEY DE GARANTÍAS ELECTORALES </w:t>
            </w:r>
            <w:r w:rsidR="00737FB7" w:rsidRPr="0043356A">
              <w:rPr>
                <w:rFonts w:ascii="Arial" w:hAnsi="Arial" w:cs="Arial"/>
                <w:bCs/>
                <w:sz w:val="22"/>
                <w:szCs w:val="22"/>
                <w:lang w:eastAsia="es-CO"/>
              </w:rPr>
              <w:t xml:space="preserve">‒ </w:t>
            </w:r>
            <w:r w:rsidR="00D35264" w:rsidRPr="0043356A">
              <w:rPr>
                <w:rFonts w:ascii="Arial" w:hAnsi="Arial" w:cs="Arial"/>
                <w:bCs/>
                <w:sz w:val="22"/>
                <w:szCs w:val="22"/>
                <w:lang w:eastAsia="es-CO"/>
              </w:rPr>
              <w:t>Sala de Consulta y Servicio Civil</w:t>
            </w:r>
            <w:r w:rsidR="00737FB7" w:rsidRPr="0043356A">
              <w:rPr>
                <w:rFonts w:ascii="Arial" w:hAnsi="Arial" w:cs="Arial"/>
                <w:bCs/>
                <w:sz w:val="22"/>
                <w:szCs w:val="22"/>
                <w:lang w:eastAsia="es-CO"/>
              </w:rPr>
              <w:t xml:space="preserve"> – condiciones de igualdad – contratación directa</w:t>
            </w:r>
          </w:p>
          <w:p w14:paraId="7B1A7825" w14:textId="7F11C0F3" w:rsidR="00DA493A" w:rsidRPr="0043356A" w:rsidRDefault="00DA493A" w:rsidP="00DA493A">
            <w:pPr>
              <w:jc w:val="both"/>
              <w:rPr>
                <w:rFonts w:ascii="Arial" w:eastAsia="Calibri" w:hAnsi="Arial" w:cs="Arial"/>
                <w:b/>
                <w:sz w:val="22"/>
                <w:szCs w:val="22"/>
                <w:lang w:val="es-MX" w:eastAsia="en-US"/>
              </w:rPr>
            </w:pPr>
          </w:p>
          <w:p w14:paraId="5F389CAF" w14:textId="0F99A50E" w:rsidR="00066FA4" w:rsidRPr="0043356A" w:rsidRDefault="00066FA4" w:rsidP="00F472B3">
            <w:pPr>
              <w:jc w:val="both"/>
              <w:rPr>
                <w:rFonts w:ascii="Arial" w:eastAsia="Calibri" w:hAnsi="Arial" w:cs="Arial"/>
                <w:sz w:val="22"/>
                <w:szCs w:val="22"/>
                <w:highlight w:val="yellow"/>
                <w:lang w:val="es-MX"/>
              </w:rPr>
            </w:pPr>
          </w:p>
        </w:tc>
      </w:tr>
      <w:tr w:rsidR="00B95C30" w:rsidRPr="0043356A" w14:paraId="27CD52AB" w14:textId="77777777" w:rsidTr="0096347F">
        <w:trPr>
          <w:trHeight w:val="391"/>
        </w:trPr>
        <w:tc>
          <w:tcPr>
            <w:tcW w:w="2689" w:type="dxa"/>
          </w:tcPr>
          <w:p w14:paraId="37E195A1" w14:textId="1BA218D5" w:rsidR="00B95C30" w:rsidRPr="0043356A" w:rsidRDefault="00B95C30" w:rsidP="008F4163">
            <w:pPr>
              <w:spacing w:before="120"/>
              <w:jc w:val="both"/>
              <w:rPr>
                <w:rFonts w:ascii="Arial" w:eastAsia="Calibri" w:hAnsi="Arial" w:cs="Arial"/>
                <w:sz w:val="22"/>
                <w:szCs w:val="22"/>
                <w:lang w:val="es-ES_tradnl"/>
              </w:rPr>
            </w:pPr>
            <w:r w:rsidRPr="0043356A">
              <w:rPr>
                <w:rFonts w:ascii="Arial" w:eastAsia="Calibri" w:hAnsi="Arial" w:cs="Arial"/>
                <w:b/>
                <w:sz w:val="22"/>
                <w:szCs w:val="22"/>
                <w:lang w:val="es-ES_tradnl"/>
              </w:rPr>
              <w:t>Radicación</w:t>
            </w:r>
            <w:r w:rsidRPr="0043356A">
              <w:rPr>
                <w:rFonts w:ascii="Arial" w:eastAsia="Calibri" w:hAnsi="Arial" w:cs="Arial"/>
                <w:sz w:val="22"/>
                <w:szCs w:val="22"/>
                <w:lang w:val="es-ES_tradnl"/>
              </w:rPr>
              <w:t xml:space="preserve">:                              </w:t>
            </w:r>
          </w:p>
        </w:tc>
        <w:tc>
          <w:tcPr>
            <w:tcW w:w="6237" w:type="dxa"/>
          </w:tcPr>
          <w:p w14:paraId="09088B1B" w14:textId="625FD42F" w:rsidR="00B95C30" w:rsidRPr="0043356A" w:rsidRDefault="00B95C30" w:rsidP="00F472B3">
            <w:pPr>
              <w:spacing w:before="120"/>
              <w:jc w:val="both"/>
              <w:rPr>
                <w:rFonts w:ascii="Arial" w:eastAsia="Calibri" w:hAnsi="Arial" w:cs="Arial"/>
                <w:sz w:val="22"/>
                <w:szCs w:val="22"/>
                <w:lang w:val="es-ES_tradnl"/>
              </w:rPr>
            </w:pPr>
            <w:r w:rsidRPr="0043356A">
              <w:rPr>
                <w:rFonts w:ascii="Arial" w:eastAsia="Calibri" w:hAnsi="Arial" w:cs="Arial"/>
                <w:sz w:val="22"/>
                <w:szCs w:val="22"/>
                <w:lang w:val="es-ES_tradnl"/>
              </w:rPr>
              <w:t>Respuesta a consulta #</w:t>
            </w:r>
            <w:r w:rsidR="00A161D5" w:rsidRPr="0043356A">
              <w:rPr>
                <w:rFonts w:ascii="Arial" w:eastAsia="Calibri" w:hAnsi="Arial" w:cs="Arial"/>
                <w:sz w:val="22"/>
                <w:szCs w:val="22"/>
                <w:lang w:val="es-ES_tradnl"/>
              </w:rPr>
              <w:t xml:space="preserve"> </w:t>
            </w:r>
            <w:r w:rsidR="00F472B3" w:rsidRPr="0043356A">
              <w:rPr>
                <w:rFonts w:ascii="Arial" w:hAnsi="Arial" w:cs="Arial"/>
                <w:bCs/>
                <w:sz w:val="22"/>
                <w:szCs w:val="22"/>
                <w:shd w:val="clear" w:color="auto" w:fill="FFFFFF"/>
              </w:rPr>
              <w:t>P20220208001184</w:t>
            </w:r>
          </w:p>
        </w:tc>
      </w:tr>
    </w:tbl>
    <w:p w14:paraId="56DCC1FE" w14:textId="1E868909" w:rsidR="00552481" w:rsidRPr="0043356A" w:rsidRDefault="00552481" w:rsidP="00552481">
      <w:pPr>
        <w:jc w:val="both"/>
        <w:rPr>
          <w:rFonts w:ascii="Arial" w:hAnsi="Arial" w:cs="Arial"/>
          <w:b/>
          <w:bCs/>
          <w:sz w:val="22"/>
          <w:szCs w:val="22"/>
          <w:shd w:val="clear" w:color="auto" w:fill="FFFFFF"/>
        </w:rPr>
      </w:pPr>
    </w:p>
    <w:p w14:paraId="2A43E647" w14:textId="77777777" w:rsidR="00236E1A" w:rsidRPr="0043356A" w:rsidRDefault="00236E1A" w:rsidP="00552481">
      <w:pPr>
        <w:jc w:val="both"/>
        <w:rPr>
          <w:rFonts w:ascii="Arial" w:hAnsi="Arial" w:cs="Arial"/>
          <w:b/>
          <w:bCs/>
          <w:sz w:val="22"/>
          <w:szCs w:val="22"/>
          <w:shd w:val="clear" w:color="auto" w:fill="FFFFFF"/>
        </w:rPr>
      </w:pPr>
    </w:p>
    <w:p w14:paraId="1CF4AEA0" w14:textId="7C5BBAB6" w:rsidR="003C3339" w:rsidRPr="0043356A" w:rsidRDefault="003C3339" w:rsidP="003C3339">
      <w:pPr>
        <w:jc w:val="both"/>
        <w:rPr>
          <w:rFonts w:ascii="Arial" w:eastAsia="Calibri" w:hAnsi="Arial" w:cs="Arial"/>
          <w:sz w:val="22"/>
          <w:lang w:val="es-ES_tradnl"/>
        </w:rPr>
      </w:pPr>
      <w:r w:rsidRPr="0043356A">
        <w:rPr>
          <w:rFonts w:ascii="Arial" w:eastAsia="Calibri" w:hAnsi="Arial" w:cs="Arial"/>
          <w:sz w:val="22"/>
          <w:lang w:val="es-ES_tradnl"/>
        </w:rPr>
        <w:t>Estimad</w:t>
      </w:r>
      <w:r w:rsidR="00A85D9F" w:rsidRPr="0043356A">
        <w:rPr>
          <w:rFonts w:ascii="Arial" w:eastAsia="Calibri" w:hAnsi="Arial" w:cs="Arial"/>
          <w:sz w:val="22"/>
          <w:lang w:val="es-ES_tradnl"/>
        </w:rPr>
        <w:t>a</w:t>
      </w:r>
      <w:r w:rsidR="004707BB" w:rsidRPr="0043356A">
        <w:rPr>
          <w:rFonts w:ascii="Arial" w:eastAsia="Calibri" w:hAnsi="Arial" w:cs="Arial"/>
          <w:sz w:val="22"/>
          <w:lang w:val="es-ES_tradnl"/>
        </w:rPr>
        <w:t xml:space="preserve"> Señor</w:t>
      </w:r>
      <w:r w:rsidR="00DA493A" w:rsidRPr="0043356A">
        <w:rPr>
          <w:rFonts w:ascii="Arial" w:eastAsia="Calibri" w:hAnsi="Arial" w:cs="Arial"/>
          <w:sz w:val="22"/>
          <w:lang w:val="es-ES_tradnl"/>
        </w:rPr>
        <w:t>a Gina,</w:t>
      </w:r>
    </w:p>
    <w:p w14:paraId="1EAE5543" w14:textId="77777777" w:rsidR="00DD5B04" w:rsidRPr="0043356A" w:rsidRDefault="00DD5B04" w:rsidP="00DF76A2">
      <w:pPr>
        <w:jc w:val="both"/>
        <w:rPr>
          <w:rFonts w:ascii="Arial" w:eastAsia="Calibri" w:hAnsi="Arial" w:cs="Arial"/>
          <w:sz w:val="22"/>
          <w:lang w:val="es-ES_tradnl"/>
        </w:rPr>
      </w:pPr>
    </w:p>
    <w:p w14:paraId="2109B2D3" w14:textId="0D098975" w:rsidR="00DD5B04" w:rsidRPr="0043356A" w:rsidRDefault="00DD5B04" w:rsidP="00DF76A2">
      <w:pPr>
        <w:spacing w:line="276" w:lineRule="auto"/>
        <w:jc w:val="both"/>
        <w:rPr>
          <w:rFonts w:ascii="Arial" w:eastAsia="Calibri" w:hAnsi="Arial" w:cs="Arial"/>
          <w:sz w:val="22"/>
          <w:lang w:val="es-ES_tradnl"/>
        </w:rPr>
      </w:pPr>
      <w:r w:rsidRPr="0043356A">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w:t>
      </w:r>
      <w:r w:rsidR="00426FB4" w:rsidRPr="0043356A">
        <w:rPr>
          <w:rFonts w:ascii="Arial" w:eastAsia="Calibri" w:hAnsi="Arial" w:cs="Arial"/>
          <w:sz w:val="22"/>
          <w:lang w:val="es-ES_tradnl"/>
        </w:rPr>
        <w:t>–</w:t>
      </w:r>
      <w:r w:rsidRPr="0043356A">
        <w:rPr>
          <w:rFonts w:ascii="Arial" w:eastAsia="Calibri" w:hAnsi="Arial" w:cs="Arial"/>
          <w:sz w:val="22"/>
          <w:lang w:val="es-ES_tradnl"/>
        </w:rPr>
        <w:t xml:space="preserve"> Colombia Compra Eficiente</w:t>
      </w:r>
      <w:r w:rsidR="008C3C57" w:rsidRPr="0043356A">
        <w:rPr>
          <w:rFonts w:ascii="Arial" w:eastAsia="Calibri" w:hAnsi="Arial" w:cs="Arial"/>
          <w:sz w:val="22"/>
          <w:lang w:val="es-ES_tradnl"/>
        </w:rPr>
        <w:t xml:space="preserve"> </w:t>
      </w:r>
      <w:r w:rsidR="00436B3F" w:rsidRPr="0043356A">
        <w:rPr>
          <w:rFonts w:ascii="Arial" w:eastAsia="Calibri" w:hAnsi="Arial" w:cs="Arial"/>
          <w:sz w:val="22"/>
          <w:lang w:val="es-ES_tradnl"/>
        </w:rPr>
        <w:t xml:space="preserve">responde a su consulta del </w:t>
      </w:r>
      <w:r w:rsidR="0029434D" w:rsidRPr="0043356A">
        <w:rPr>
          <w:rFonts w:ascii="Arial" w:eastAsia="Calibri" w:hAnsi="Arial" w:cs="Arial"/>
          <w:sz w:val="22"/>
          <w:lang w:val="es-ES_tradnl"/>
        </w:rPr>
        <w:t>7 de febrero de 2022.</w:t>
      </w:r>
    </w:p>
    <w:p w14:paraId="4DD02E29" w14:textId="670A45B8" w:rsidR="0096347F" w:rsidRPr="0043356A" w:rsidRDefault="0096347F" w:rsidP="00DF76A2">
      <w:pPr>
        <w:spacing w:line="276" w:lineRule="auto"/>
        <w:jc w:val="both"/>
        <w:rPr>
          <w:rFonts w:ascii="Arial" w:eastAsia="Calibri" w:hAnsi="Arial" w:cs="Arial"/>
          <w:b/>
          <w:sz w:val="22"/>
          <w:lang w:val="es-ES_tradnl"/>
        </w:rPr>
      </w:pPr>
    </w:p>
    <w:p w14:paraId="7701FCC7" w14:textId="77777777" w:rsidR="00DD5B04" w:rsidRPr="0043356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43356A">
        <w:rPr>
          <w:rFonts w:ascii="Arial" w:eastAsia="Calibri" w:hAnsi="Arial" w:cs="Arial"/>
          <w:b/>
          <w:sz w:val="22"/>
          <w:lang w:val="es-ES_tradnl"/>
        </w:rPr>
        <w:t xml:space="preserve">Problema planteado </w:t>
      </w:r>
    </w:p>
    <w:p w14:paraId="224B43D3" w14:textId="77777777" w:rsidR="00DD5B04" w:rsidRPr="0043356A" w:rsidRDefault="00DD5B04" w:rsidP="00DF76A2">
      <w:pPr>
        <w:tabs>
          <w:tab w:val="left" w:pos="426"/>
        </w:tabs>
        <w:spacing w:line="276" w:lineRule="auto"/>
        <w:jc w:val="both"/>
        <w:rPr>
          <w:rFonts w:ascii="Arial" w:eastAsia="Calibri" w:hAnsi="Arial" w:cs="Arial"/>
          <w:b/>
          <w:sz w:val="22"/>
          <w:lang w:val="es-ES_tradnl"/>
        </w:rPr>
      </w:pPr>
    </w:p>
    <w:p w14:paraId="4BD1A156" w14:textId="092A7505" w:rsidR="00436B3F" w:rsidRPr="0043356A" w:rsidRDefault="00E746A6" w:rsidP="00436B3F">
      <w:pPr>
        <w:spacing w:line="276" w:lineRule="auto"/>
        <w:jc w:val="both"/>
        <w:rPr>
          <w:rFonts w:ascii="Arial" w:hAnsi="Arial" w:cs="Arial"/>
          <w:sz w:val="22"/>
          <w:szCs w:val="22"/>
          <w:lang w:val="es-ES_tradnl"/>
        </w:rPr>
      </w:pPr>
      <w:r w:rsidRPr="0043356A">
        <w:rPr>
          <w:rFonts w:ascii="Arial" w:hAnsi="Arial" w:cs="Arial"/>
          <w:sz w:val="22"/>
          <w:szCs w:val="22"/>
          <w:lang w:val="es-ES_tradnl"/>
        </w:rPr>
        <w:t>En su consulta plantea lo siguiente</w:t>
      </w:r>
      <w:r w:rsidR="006251D3" w:rsidRPr="0043356A">
        <w:rPr>
          <w:rFonts w:ascii="Arial" w:hAnsi="Arial" w:cs="Arial"/>
          <w:sz w:val="22"/>
          <w:szCs w:val="22"/>
          <w:lang w:val="es-ES_tradnl"/>
        </w:rPr>
        <w:t xml:space="preserve">: </w:t>
      </w:r>
      <w:r w:rsidR="00974B94" w:rsidRPr="0043356A">
        <w:rPr>
          <w:rFonts w:ascii="Arial" w:hAnsi="Arial" w:cs="Arial"/>
          <w:sz w:val="22"/>
          <w:szCs w:val="22"/>
          <w:lang w:val="es-ES_tradnl"/>
        </w:rPr>
        <w:t>«</w:t>
      </w:r>
      <w:r w:rsidR="009B21F8" w:rsidRPr="0043356A">
        <w:rPr>
          <w:rFonts w:ascii="Arial" w:hAnsi="Arial" w:cs="Arial"/>
          <w:sz w:val="22"/>
          <w:szCs w:val="22"/>
          <w:lang w:val="es-ES_tradnl"/>
        </w:rPr>
        <w:t xml:space="preserve">1. En vigencia de la Ley de Garantías, una Empresa Industrial y Comercial del Estado ¿puede continuar ofreciendo y prestando los servicios asociados a su naturaleza o misionalidad, sobre los cuales gira su gestión económica, </w:t>
      </w:r>
      <w:r w:rsidR="009B21F8" w:rsidRPr="0043356A">
        <w:rPr>
          <w:rFonts w:ascii="Arial" w:hAnsi="Arial" w:cs="Arial"/>
          <w:sz w:val="22"/>
          <w:szCs w:val="22"/>
          <w:lang w:val="es-ES_tradnl"/>
        </w:rPr>
        <w:lastRenderedPageBreak/>
        <w:t>conforme a las reglas del Derecho Privado? 2. En vigencia de la Ley de Garantías, una Empresa Industrial y Comercial del Estado ¿puede celebrar alianzas estratégicas, sobre los cuales gira su gestión económica, conforme a las reglas del Derecho Privado?</w:t>
      </w:r>
      <w:r w:rsidR="001C4D24" w:rsidRPr="0043356A">
        <w:rPr>
          <w:rFonts w:ascii="Arial" w:hAnsi="Arial" w:cs="Arial"/>
          <w:sz w:val="22"/>
          <w:szCs w:val="22"/>
        </w:rPr>
        <w:t>»</w:t>
      </w:r>
    </w:p>
    <w:p w14:paraId="6765F263" w14:textId="0FFB622B" w:rsidR="00B91FCF" w:rsidRPr="0043356A" w:rsidRDefault="00B91FCF" w:rsidP="006B3EB4">
      <w:pPr>
        <w:spacing w:line="276" w:lineRule="auto"/>
        <w:jc w:val="both"/>
        <w:rPr>
          <w:rFonts w:ascii="Arial" w:hAnsi="Arial" w:cs="Arial"/>
          <w:sz w:val="22"/>
          <w:szCs w:val="22"/>
          <w:lang w:val="es-ES_tradnl"/>
        </w:rPr>
      </w:pPr>
    </w:p>
    <w:p w14:paraId="124D2DCA" w14:textId="77777777" w:rsidR="00DD5B04" w:rsidRPr="0043356A"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43356A">
        <w:rPr>
          <w:rFonts w:ascii="Arial" w:eastAsia="Calibri" w:hAnsi="Arial" w:cs="Arial"/>
          <w:b/>
          <w:sz w:val="22"/>
          <w:lang w:val="es-ES_tradnl"/>
        </w:rPr>
        <w:t>Consideraciones</w:t>
      </w:r>
    </w:p>
    <w:p w14:paraId="7D050D2E" w14:textId="77777777" w:rsidR="00435703" w:rsidRPr="0043356A" w:rsidRDefault="00435703" w:rsidP="00DF76A2">
      <w:pPr>
        <w:spacing w:line="276" w:lineRule="auto"/>
        <w:jc w:val="both"/>
        <w:rPr>
          <w:rFonts w:ascii="Arial" w:eastAsia="Calibri" w:hAnsi="Arial" w:cs="Arial"/>
          <w:sz w:val="22"/>
          <w:szCs w:val="22"/>
          <w:lang w:val="es-ES_tradnl"/>
        </w:rPr>
      </w:pPr>
    </w:p>
    <w:p w14:paraId="18EC9351" w14:textId="4A00AA41" w:rsidR="003D52FB" w:rsidRPr="0043356A" w:rsidRDefault="003D52FB" w:rsidP="003D52FB">
      <w:pPr>
        <w:spacing w:after="120" w:line="276" w:lineRule="auto"/>
        <w:jc w:val="both"/>
        <w:rPr>
          <w:rFonts w:ascii="Arial" w:eastAsia="Calibri" w:hAnsi="Arial" w:cs="Arial"/>
          <w:sz w:val="22"/>
          <w:szCs w:val="22"/>
          <w:lang w:val="es-ES_tradnl"/>
        </w:rPr>
      </w:pPr>
      <w:r w:rsidRPr="0043356A">
        <w:rPr>
          <w:rFonts w:ascii="Arial" w:eastAsia="Calibri" w:hAnsi="Arial" w:cs="Arial"/>
          <w:sz w:val="22"/>
          <w:szCs w:val="22"/>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1E7DEA" w:rsidRPr="0043356A">
        <w:rPr>
          <w:rStyle w:val="Refdenotaalpie"/>
          <w:rFonts w:ascii="Arial" w:eastAsia="Calibri" w:hAnsi="Arial" w:cs="Arial"/>
          <w:sz w:val="22"/>
          <w:szCs w:val="22"/>
          <w:lang w:val="es-ES_tradnl"/>
        </w:rPr>
        <w:footnoteReference w:id="2"/>
      </w:r>
      <w:r w:rsidRPr="0043356A">
        <w:rPr>
          <w:rFonts w:ascii="Arial" w:eastAsia="Calibri" w:hAnsi="Arial" w:cs="Arial"/>
          <w:sz w:val="22"/>
          <w:szCs w:val="22"/>
          <w:lang w:val="es-ES_tradnl"/>
        </w:rPr>
        <w:t>.</w:t>
      </w:r>
    </w:p>
    <w:p w14:paraId="46DC48EB" w14:textId="77777777" w:rsidR="003D52FB" w:rsidRPr="0043356A" w:rsidRDefault="003D52FB" w:rsidP="003D52FB">
      <w:pPr>
        <w:spacing w:after="120" w:line="276" w:lineRule="auto"/>
        <w:ind w:firstLine="709"/>
        <w:jc w:val="both"/>
        <w:rPr>
          <w:rFonts w:ascii="Arial" w:eastAsia="Calibri" w:hAnsi="Arial" w:cs="Arial"/>
          <w:sz w:val="22"/>
          <w:szCs w:val="22"/>
          <w:lang w:val="es-ES_tradnl"/>
        </w:rPr>
      </w:pPr>
      <w:r w:rsidRPr="0043356A">
        <w:rPr>
          <w:rFonts w:ascii="Arial" w:eastAsia="Calibri" w:hAnsi="Arial" w:cs="Arial"/>
          <w:sz w:val="22"/>
          <w:szCs w:val="22"/>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0BE63C96" w14:textId="77777777" w:rsidR="003D52FB" w:rsidRPr="0043356A" w:rsidRDefault="003D52FB" w:rsidP="003D52FB">
      <w:pPr>
        <w:spacing w:after="120" w:line="276" w:lineRule="auto"/>
        <w:ind w:firstLine="709"/>
        <w:jc w:val="both"/>
        <w:rPr>
          <w:rFonts w:ascii="Arial" w:eastAsia="Calibri" w:hAnsi="Arial" w:cs="Arial"/>
          <w:sz w:val="22"/>
          <w:szCs w:val="22"/>
          <w:lang w:val="es-ES_tradnl"/>
        </w:rPr>
      </w:pPr>
      <w:r w:rsidRPr="0043356A">
        <w:rPr>
          <w:rFonts w:ascii="Arial" w:eastAsia="Calibri" w:hAnsi="Arial" w:cs="Arial"/>
          <w:sz w:val="22"/>
          <w:szCs w:val="22"/>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p>
    <w:p w14:paraId="257768C1" w14:textId="6C147CA1" w:rsidR="00CB2E56" w:rsidRPr="0043356A" w:rsidRDefault="00CB2E56" w:rsidP="00640B22">
      <w:pPr>
        <w:spacing w:after="120" w:line="276" w:lineRule="auto"/>
        <w:ind w:firstLine="709"/>
        <w:jc w:val="both"/>
        <w:rPr>
          <w:rFonts w:ascii="Arial" w:eastAsia="Calibri" w:hAnsi="Arial" w:cs="Arial"/>
          <w:sz w:val="22"/>
          <w:szCs w:val="22"/>
          <w:lang w:val="es-ES_tradnl"/>
        </w:rPr>
      </w:pPr>
      <w:r w:rsidRPr="0043356A">
        <w:rPr>
          <w:rFonts w:ascii="Arial" w:eastAsia="Calibri" w:hAnsi="Arial" w:cs="Arial"/>
          <w:sz w:val="22"/>
          <w:szCs w:val="22"/>
          <w:lang w:val="es-ES_tradnl"/>
        </w:rPr>
        <w:t xml:space="preserve">Sin perjuicio de lo anterior, </w:t>
      </w:r>
      <w:r w:rsidRPr="0043356A">
        <w:rPr>
          <w:rFonts w:ascii="Arial" w:eastAsia="Calibri" w:hAnsi="Arial" w:cs="Arial"/>
          <w:sz w:val="22"/>
          <w:lang w:val="es-ES"/>
        </w:rPr>
        <w:t>la Subdirección</w:t>
      </w:r>
      <w:r w:rsidRPr="0043356A">
        <w:rPr>
          <w:rFonts w:ascii="Arial" w:eastAsia="Calibri" w:hAnsi="Arial" w:cs="Arial"/>
          <w:sz w:val="22"/>
          <w:szCs w:val="22"/>
          <w:lang w:val="es-ES_tradnl"/>
        </w:rPr>
        <w:t xml:space="preserve"> responderá su consulta dentro de los límites de su competencia, previo análisis de los siguientes temas: i) definición y finalidad de la Ley de Garantías Electorales; ii) las restricciones para la celebración de contratos y convenios interadministrativos en los comicios de cargos de elección popular, donde se </w:t>
      </w:r>
      <w:r w:rsidRPr="0043356A">
        <w:rPr>
          <w:rFonts w:ascii="Arial" w:eastAsia="Calibri" w:hAnsi="Arial" w:cs="Arial"/>
          <w:sz w:val="22"/>
          <w:szCs w:val="22"/>
          <w:lang w:val="es-ES_tradnl"/>
        </w:rPr>
        <w:lastRenderedPageBreak/>
        <w:t>analizará la prohibición del parágrafo del artículo 38 de la Ley 996 de 2005; y iii) las restricciones en elecciones presidenciales, donde se desarrollará la prohibición del artículo 33 de la Ley 996 de 2005.</w:t>
      </w:r>
    </w:p>
    <w:p w14:paraId="2100A875" w14:textId="00C06561" w:rsidR="00E670DD" w:rsidRPr="0043356A" w:rsidRDefault="00CB2E56" w:rsidP="00DF3092">
      <w:pPr>
        <w:spacing w:after="120" w:line="276" w:lineRule="auto"/>
        <w:ind w:firstLine="709"/>
        <w:jc w:val="both"/>
        <w:rPr>
          <w:rFonts w:ascii="Arial" w:eastAsia="Calibri" w:hAnsi="Arial" w:cs="Arial"/>
          <w:sz w:val="22"/>
        </w:rPr>
      </w:pPr>
      <w:r w:rsidRPr="0043356A">
        <w:rPr>
          <w:rFonts w:ascii="Arial" w:eastAsia="Calibri" w:hAnsi="Arial" w:cs="Arial"/>
          <w:sz w:val="22"/>
          <w:szCs w:val="22"/>
          <w:lang w:val="es-ES_tradnl"/>
        </w:rPr>
        <w:t xml:space="preserve"> </w:t>
      </w:r>
      <w:r w:rsidR="008E30C4" w:rsidRPr="0043356A">
        <w:rPr>
          <w:rFonts w:ascii="Arial" w:eastAsia="Calibri" w:hAnsi="Arial" w:cs="Arial"/>
          <w:sz w:val="22"/>
          <w:szCs w:val="22"/>
          <w:lang w:val="es-ES_tradnl"/>
        </w:rPr>
        <w:t xml:space="preserve">La </w:t>
      </w:r>
      <w:r w:rsidR="000A600A" w:rsidRPr="0043356A">
        <w:rPr>
          <w:rFonts w:ascii="Arial" w:eastAsia="Calibri" w:hAnsi="Arial" w:cs="Arial"/>
          <w:sz w:val="22"/>
          <w:szCs w:val="22"/>
          <w:lang w:val="es-ES_tradnl"/>
        </w:rPr>
        <w:t>Agencia Nacional de Contratación Pública – Colombia Compra Eficiente</w:t>
      </w:r>
      <w:r w:rsidR="00E670DD" w:rsidRPr="0043356A">
        <w:rPr>
          <w:rFonts w:ascii="Arial" w:eastAsia="Calibri" w:hAnsi="Arial" w:cs="Arial"/>
          <w:sz w:val="22"/>
        </w:rPr>
        <w:t xml:space="preserve"> se ha pronunciado en diferentes ocasiones sobre la Ley de Garantías</w:t>
      </w:r>
      <w:r w:rsidR="001459D2" w:rsidRPr="0043356A">
        <w:rPr>
          <w:rFonts w:ascii="Arial" w:eastAsia="Calibri" w:hAnsi="Arial" w:cs="Arial"/>
          <w:sz w:val="22"/>
        </w:rPr>
        <w:t xml:space="preserve"> Electorales</w:t>
      </w:r>
      <w:r w:rsidR="00E670DD" w:rsidRPr="0043356A">
        <w:rPr>
          <w:rFonts w:ascii="Arial" w:eastAsia="Calibri" w:hAnsi="Arial" w:cs="Arial"/>
          <w:sz w:val="22"/>
        </w:rPr>
        <w:t>,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w:t>
      </w:r>
      <w:r w:rsidR="00E746A6" w:rsidRPr="0043356A">
        <w:rPr>
          <w:rFonts w:ascii="Arial" w:eastAsia="Calibri" w:hAnsi="Arial" w:cs="Arial"/>
          <w:sz w:val="22"/>
        </w:rPr>
        <w:t xml:space="preserve">, </w:t>
      </w:r>
      <w:r w:rsidR="00974B94" w:rsidRPr="0043356A">
        <w:rPr>
          <w:rFonts w:ascii="Arial" w:eastAsia="Calibri" w:hAnsi="Arial" w:cs="Arial"/>
          <w:sz w:val="22"/>
        </w:rPr>
        <w:t xml:space="preserve"> C-227 del 24 de mayo de 2021</w:t>
      </w:r>
      <w:r w:rsidR="00E746A6" w:rsidRPr="0043356A">
        <w:rPr>
          <w:rFonts w:ascii="Arial" w:eastAsia="Calibri" w:hAnsi="Arial" w:cs="Arial"/>
          <w:sz w:val="22"/>
        </w:rPr>
        <w:t xml:space="preserve"> y </w:t>
      </w:r>
      <w:r w:rsidR="0030575F" w:rsidRPr="0043356A">
        <w:rPr>
          <w:rFonts w:ascii="Arial" w:eastAsia="Calibri" w:hAnsi="Arial" w:cs="Arial"/>
          <w:sz w:val="22"/>
        </w:rPr>
        <w:t>3</w:t>
      </w:r>
      <w:r w:rsidR="00E746A6" w:rsidRPr="0043356A">
        <w:rPr>
          <w:rFonts w:ascii="Arial" w:eastAsia="Calibri" w:hAnsi="Arial" w:cs="Arial"/>
          <w:sz w:val="22"/>
        </w:rPr>
        <w:t>96 de</w:t>
      </w:r>
      <w:r w:rsidR="0030575F" w:rsidRPr="0043356A">
        <w:rPr>
          <w:rFonts w:ascii="Arial" w:eastAsia="Calibri" w:hAnsi="Arial" w:cs="Arial"/>
          <w:sz w:val="22"/>
        </w:rPr>
        <w:t>l 13 de agosto de</w:t>
      </w:r>
      <w:r w:rsidR="00E746A6" w:rsidRPr="0043356A">
        <w:rPr>
          <w:rFonts w:ascii="Arial" w:eastAsia="Calibri" w:hAnsi="Arial" w:cs="Arial"/>
          <w:sz w:val="22"/>
        </w:rPr>
        <w:t xml:space="preserve"> 2021</w:t>
      </w:r>
      <w:r w:rsidR="00E552DD" w:rsidRPr="0043356A">
        <w:rPr>
          <w:rFonts w:ascii="Arial" w:eastAsia="Calibri" w:hAnsi="Arial" w:cs="Arial"/>
          <w:sz w:val="22"/>
        </w:rPr>
        <w:t>, C-429 del 27 de agosto de 2021</w:t>
      </w:r>
      <w:r w:rsidR="00A161D5" w:rsidRPr="0043356A">
        <w:rPr>
          <w:rFonts w:ascii="Arial" w:eastAsia="Calibri" w:hAnsi="Arial" w:cs="Arial"/>
          <w:sz w:val="22"/>
        </w:rPr>
        <w:t xml:space="preserve">, C-456 del 3 de septiembre, C-481 del 9 de septiembre de 2021, </w:t>
      </w:r>
      <w:r w:rsidR="000A0A18" w:rsidRPr="0043356A">
        <w:rPr>
          <w:rFonts w:ascii="Arial" w:eastAsia="Calibri" w:hAnsi="Arial" w:cs="Arial"/>
          <w:sz w:val="22"/>
        </w:rPr>
        <w:t>C- 528 del 27 de septiembre de 2021, C-550 del 5 de octubre de 2021</w:t>
      </w:r>
      <w:r w:rsidR="004707BB" w:rsidRPr="0043356A">
        <w:rPr>
          <w:rFonts w:ascii="Arial" w:eastAsia="Calibri" w:hAnsi="Arial" w:cs="Arial"/>
          <w:sz w:val="22"/>
        </w:rPr>
        <w:t xml:space="preserve">, </w:t>
      </w:r>
      <w:r w:rsidR="00E552DD" w:rsidRPr="0043356A">
        <w:rPr>
          <w:rFonts w:ascii="Arial" w:eastAsia="Calibri" w:hAnsi="Arial" w:cs="Arial"/>
          <w:sz w:val="22"/>
        </w:rPr>
        <w:t xml:space="preserve"> C-523 del </w:t>
      </w:r>
      <w:r w:rsidR="00E17CD1" w:rsidRPr="0043356A">
        <w:rPr>
          <w:rFonts w:ascii="Arial" w:eastAsia="Calibri" w:hAnsi="Arial" w:cs="Arial"/>
          <w:sz w:val="22"/>
        </w:rPr>
        <w:t>10 de octubre de 2021</w:t>
      </w:r>
      <w:r w:rsidR="00552481" w:rsidRPr="0043356A">
        <w:rPr>
          <w:rFonts w:ascii="Arial" w:eastAsia="Calibri" w:hAnsi="Arial" w:cs="Arial"/>
          <w:sz w:val="22"/>
        </w:rPr>
        <w:t xml:space="preserve">, </w:t>
      </w:r>
      <w:r w:rsidR="004707BB" w:rsidRPr="0043356A">
        <w:rPr>
          <w:rFonts w:ascii="Arial" w:eastAsia="Calibri" w:hAnsi="Arial" w:cs="Arial"/>
          <w:sz w:val="22"/>
        </w:rPr>
        <w:t>C-614 del 2 de noviembre de 2021</w:t>
      </w:r>
      <w:r w:rsidR="00552481" w:rsidRPr="0043356A">
        <w:rPr>
          <w:rFonts w:ascii="Arial" w:eastAsia="Calibri" w:hAnsi="Arial" w:cs="Arial"/>
          <w:sz w:val="22"/>
        </w:rPr>
        <w:t xml:space="preserve"> y C-543 del 11 de noviembre de 2021</w:t>
      </w:r>
      <w:r w:rsidR="00EE0619" w:rsidRPr="0043356A">
        <w:rPr>
          <w:rFonts w:ascii="Arial" w:eastAsia="Calibri" w:hAnsi="Arial" w:cs="Arial"/>
          <w:sz w:val="22"/>
        </w:rPr>
        <w:t xml:space="preserve">, </w:t>
      </w:r>
      <w:r w:rsidR="00213954" w:rsidRPr="0043356A">
        <w:rPr>
          <w:rFonts w:ascii="Arial" w:eastAsia="Calibri" w:hAnsi="Arial" w:cs="Arial"/>
          <w:sz w:val="22"/>
        </w:rPr>
        <w:t>C-633 del 11 de noviembre de 2021</w:t>
      </w:r>
      <w:r w:rsidR="00236E1A" w:rsidRPr="0043356A">
        <w:rPr>
          <w:rFonts w:ascii="Arial" w:eastAsia="Calibri" w:hAnsi="Arial" w:cs="Arial"/>
          <w:sz w:val="22"/>
        </w:rPr>
        <w:t>, 681 del 7 de diciembre de 2021, C-686 del 21 de diciembre de 2021, C-697 del 3 de enero de 2022</w:t>
      </w:r>
      <w:r w:rsidR="00640B22" w:rsidRPr="0043356A">
        <w:rPr>
          <w:rFonts w:ascii="Arial" w:eastAsia="Calibri" w:hAnsi="Arial" w:cs="Arial"/>
          <w:sz w:val="22"/>
        </w:rPr>
        <w:t>, C-009 del 15 de febrero de 2022, C-005 del 16 de febrero de  2022, C-014 del 18 de febrero de 2022, C- 022 del 21 de febrero de 2022, C-045 del 3 de marzo de 2022, entre otros</w:t>
      </w:r>
      <w:r w:rsidR="00974B94" w:rsidRPr="0043356A">
        <w:rPr>
          <w:rFonts w:ascii="Arial" w:eastAsia="Calibri" w:hAnsi="Arial" w:cs="Arial"/>
          <w:sz w:val="22"/>
        </w:rPr>
        <w:t xml:space="preserve">. Teniendo en cuenta </w:t>
      </w:r>
      <w:r w:rsidR="002D283F" w:rsidRPr="0043356A">
        <w:rPr>
          <w:rFonts w:ascii="Arial" w:eastAsia="Calibri" w:hAnsi="Arial" w:cs="Arial"/>
          <w:sz w:val="22"/>
        </w:rPr>
        <w:t>los conceptos anteriores y</w:t>
      </w:r>
      <w:r w:rsidR="00974B94" w:rsidRPr="0043356A">
        <w:rPr>
          <w:rFonts w:ascii="Arial" w:eastAsia="Calibri" w:hAnsi="Arial" w:cs="Arial"/>
          <w:sz w:val="22"/>
        </w:rPr>
        <w:t xml:space="preserve"> </w:t>
      </w:r>
      <w:r w:rsidR="002D283F" w:rsidRPr="0043356A">
        <w:rPr>
          <w:rFonts w:ascii="Arial" w:eastAsia="Calibri" w:hAnsi="Arial" w:cs="Arial"/>
          <w:sz w:val="22"/>
        </w:rPr>
        <w:t>analizando</w:t>
      </w:r>
      <w:r w:rsidR="00974B94" w:rsidRPr="0043356A">
        <w:rPr>
          <w:rFonts w:ascii="Arial" w:eastAsia="Calibri" w:hAnsi="Arial" w:cs="Arial"/>
          <w:sz w:val="22"/>
        </w:rPr>
        <w:t xml:space="preserve"> la pregunta en cuestión se </w:t>
      </w:r>
      <w:r w:rsidR="002D283F" w:rsidRPr="0043356A">
        <w:rPr>
          <w:rFonts w:ascii="Arial" w:eastAsia="Calibri" w:hAnsi="Arial" w:cs="Arial"/>
          <w:sz w:val="22"/>
        </w:rPr>
        <w:t>realizan las siguientes consideraciones.</w:t>
      </w:r>
      <w:r w:rsidR="00974B94" w:rsidRPr="0043356A">
        <w:rPr>
          <w:rFonts w:ascii="Arial" w:eastAsia="Calibri" w:hAnsi="Arial" w:cs="Arial"/>
          <w:sz w:val="22"/>
        </w:rPr>
        <w:t xml:space="preserve"> </w:t>
      </w:r>
    </w:p>
    <w:p w14:paraId="0D27A697" w14:textId="452E95D1" w:rsidR="00F433CB" w:rsidRPr="0043356A" w:rsidRDefault="00F433CB" w:rsidP="001459D2">
      <w:pPr>
        <w:spacing w:line="276" w:lineRule="auto"/>
        <w:jc w:val="both"/>
        <w:rPr>
          <w:rFonts w:ascii="Arial" w:eastAsia="Calibri" w:hAnsi="Arial" w:cs="Arial"/>
          <w:sz w:val="22"/>
        </w:rPr>
      </w:pPr>
    </w:p>
    <w:p w14:paraId="061B8FD6" w14:textId="77777777" w:rsidR="003C408D" w:rsidRPr="0043356A" w:rsidRDefault="003C408D" w:rsidP="003C408D">
      <w:pPr>
        <w:tabs>
          <w:tab w:val="left" w:pos="426"/>
        </w:tabs>
        <w:spacing w:line="276" w:lineRule="auto"/>
        <w:jc w:val="both"/>
        <w:rPr>
          <w:rFonts w:ascii="Arial" w:eastAsia="Calibri" w:hAnsi="Arial" w:cs="Arial"/>
          <w:b/>
          <w:bCs/>
          <w:sz w:val="22"/>
          <w:szCs w:val="22"/>
          <w:lang w:eastAsia="en-US"/>
        </w:rPr>
      </w:pPr>
      <w:r w:rsidRPr="0043356A">
        <w:rPr>
          <w:rFonts w:ascii="Arial" w:eastAsia="Calibri" w:hAnsi="Arial" w:cs="Arial"/>
          <w:b/>
          <w:bCs/>
          <w:sz w:val="22"/>
          <w:szCs w:val="22"/>
          <w:lang w:eastAsia="en-US"/>
        </w:rPr>
        <w:t>2.1. Definición y finalidad de la Ley de Garantías Electorales: alcance de las restricciones</w:t>
      </w:r>
    </w:p>
    <w:p w14:paraId="6A69ADBA" w14:textId="77777777" w:rsidR="003C408D" w:rsidRPr="0043356A" w:rsidRDefault="003C408D" w:rsidP="003C408D">
      <w:pPr>
        <w:tabs>
          <w:tab w:val="left" w:pos="426"/>
        </w:tabs>
        <w:spacing w:line="276" w:lineRule="auto"/>
        <w:ind w:firstLine="709"/>
        <w:jc w:val="both"/>
        <w:rPr>
          <w:rFonts w:ascii="Arial" w:eastAsia="Calibri" w:hAnsi="Arial" w:cs="Arial"/>
          <w:bCs/>
          <w:sz w:val="22"/>
          <w:szCs w:val="22"/>
          <w:lang w:eastAsia="en-US"/>
        </w:rPr>
      </w:pPr>
    </w:p>
    <w:p w14:paraId="733AA01E" w14:textId="77777777" w:rsidR="003C408D" w:rsidRPr="0043356A" w:rsidRDefault="003C408D" w:rsidP="003C408D">
      <w:pPr>
        <w:tabs>
          <w:tab w:val="left" w:pos="426"/>
        </w:tabs>
        <w:spacing w:after="120" w:line="276" w:lineRule="auto"/>
        <w:jc w:val="both"/>
        <w:rPr>
          <w:rFonts w:ascii="Arial" w:hAnsi="Arial" w:cs="Arial"/>
          <w:bCs/>
          <w:sz w:val="22"/>
          <w:szCs w:val="22"/>
          <w:lang w:eastAsia="es-CO"/>
        </w:rPr>
      </w:pPr>
      <w:r w:rsidRPr="0043356A">
        <w:rPr>
          <w:rFonts w:ascii="Arial" w:eastAsia="Calibri" w:hAnsi="Arial" w:cs="Arial"/>
          <w:bCs/>
          <w:sz w:val="22"/>
          <w:szCs w:val="22"/>
          <w:lang w:eastAsia="en-US"/>
        </w:rPr>
        <w:t>El ordenamiento jurídico colombiano contempla previsiones claras para evitar la obtención de beneficios personales en asuntos propios de la administración pública</w:t>
      </w:r>
      <w:r w:rsidRPr="0043356A">
        <w:rPr>
          <w:rFonts w:ascii="Arial" w:eastAsia="Calibri" w:hAnsi="Arial" w:cs="Arial"/>
          <w:bCs/>
          <w:i/>
          <w:iCs/>
          <w:sz w:val="22"/>
          <w:szCs w:val="22"/>
          <w:lang w:eastAsia="en-US"/>
        </w:rPr>
        <w:t xml:space="preserve">. </w:t>
      </w:r>
      <w:r w:rsidRPr="0043356A">
        <w:rPr>
          <w:rFonts w:ascii="Arial" w:eastAsia="Calibri" w:hAnsi="Arial" w:cs="Arial"/>
          <w:bCs/>
          <w:sz w:val="22"/>
          <w:szCs w:val="22"/>
          <w:lang w:eastAsia="en-US"/>
        </w:rPr>
        <w:t>Por ejemplo, el artículo 127 de la Constitución Política establece una prohibición contractual a los servidores públicos y en cuanto a aspectos políticos establece restricciones a ciertos empleados del Estado, incluso en época no electoral</w:t>
      </w:r>
      <w:r w:rsidRPr="0043356A">
        <w:rPr>
          <w:rFonts w:ascii="Arial" w:eastAsia="Calibri" w:hAnsi="Arial" w:cs="Arial"/>
          <w:bCs/>
          <w:sz w:val="22"/>
          <w:szCs w:val="22"/>
          <w:vertAlign w:val="superscript"/>
          <w:lang w:eastAsia="en-US"/>
        </w:rPr>
        <w:footnoteReference w:id="3"/>
      </w:r>
      <w:r w:rsidRPr="0043356A">
        <w:rPr>
          <w:rFonts w:ascii="Arial" w:eastAsia="Calibri" w:hAnsi="Arial" w:cs="Arial"/>
          <w:bCs/>
          <w:sz w:val="22"/>
          <w:szCs w:val="22"/>
          <w:lang w:eastAsia="en-US"/>
        </w:rPr>
        <w:t xml:space="preserve">. </w:t>
      </w:r>
    </w:p>
    <w:p w14:paraId="2B1DA027" w14:textId="62E4F680" w:rsidR="003C408D" w:rsidRPr="0043356A" w:rsidRDefault="003C408D" w:rsidP="003C408D">
      <w:pPr>
        <w:tabs>
          <w:tab w:val="left" w:pos="426"/>
        </w:tabs>
        <w:spacing w:line="276" w:lineRule="auto"/>
        <w:ind w:firstLine="709"/>
        <w:jc w:val="both"/>
        <w:rPr>
          <w:rFonts w:ascii="Arial" w:hAnsi="Arial" w:cs="Arial"/>
          <w:bCs/>
          <w:sz w:val="22"/>
          <w:szCs w:val="22"/>
          <w:lang w:val="es-MX" w:eastAsia="es-CO"/>
        </w:rPr>
      </w:pPr>
      <w:r w:rsidRPr="0043356A">
        <w:rPr>
          <w:rFonts w:ascii="Arial" w:hAnsi="Arial" w:cs="Arial"/>
          <w:bCs/>
          <w:sz w:val="22"/>
          <w:szCs w:val="22"/>
          <w:lang w:eastAsia="es-CO"/>
        </w:rPr>
        <w:t>En el mismo sentido</w:t>
      </w:r>
      <w:r w:rsidRPr="0043356A">
        <w:rPr>
          <w:rFonts w:ascii="Arial" w:hAnsi="Arial" w:cs="Arial"/>
          <w:bCs/>
          <w:sz w:val="22"/>
          <w:szCs w:val="22"/>
          <w:lang w:val="es-MX" w:eastAsia="es-CO"/>
        </w:rPr>
        <w:t>, la Ley 996 de 2005, conocida como «Ley de Garantías Electorales», se suma a</w:t>
      </w:r>
      <w:r w:rsidR="0085644D" w:rsidRPr="0043356A">
        <w:rPr>
          <w:rFonts w:ascii="Arial" w:hAnsi="Arial" w:cs="Arial"/>
          <w:bCs/>
          <w:sz w:val="22"/>
          <w:szCs w:val="22"/>
          <w:lang w:val="es-MX" w:eastAsia="es-CO"/>
        </w:rPr>
        <w:t xml:space="preserve"> la normatividad</w:t>
      </w:r>
      <w:r w:rsidRPr="0043356A">
        <w:rPr>
          <w:rFonts w:ascii="Arial" w:hAnsi="Arial" w:cs="Arial"/>
          <w:bCs/>
          <w:sz w:val="22"/>
          <w:szCs w:val="22"/>
          <w:lang w:val="es-MX" w:eastAsia="es-CO"/>
        </w:rPr>
        <w:t xml:space="preserve"> de orden constitucional y legal que se ha ocupado </w:t>
      </w:r>
      <w:r w:rsidRPr="0043356A">
        <w:rPr>
          <w:rFonts w:ascii="Arial" w:hAnsi="Arial" w:cs="Arial"/>
          <w:bCs/>
          <w:sz w:val="22"/>
          <w:szCs w:val="22"/>
          <w:lang w:val="es-MX" w:eastAsia="es-CO"/>
        </w:rPr>
        <w:lastRenderedPageBreak/>
        <w:t>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3356A">
        <w:rPr>
          <w:rFonts w:ascii="Arial" w:hAnsi="Arial" w:cs="Arial"/>
          <w:bCs/>
          <w:sz w:val="22"/>
          <w:szCs w:val="22"/>
          <w:vertAlign w:val="superscript"/>
          <w:lang w:val="es-MX" w:eastAsia="es-CO"/>
        </w:rPr>
        <w:footnoteReference w:id="4"/>
      </w:r>
      <w:r w:rsidRPr="0043356A">
        <w:rPr>
          <w:rFonts w:ascii="Arial"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43356A">
        <w:rPr>
          <w:rFonts w:ascii="Arial" w:eastAsia="Calibri" w:hAnsi="Arial" w:cs="Arial"/>
          <w:noProof/>
          <w:sz w:val="22"/>
          <w:szCs w:val="22"/>
          <w:lang w:val="es-ES_tradnl" w:eastAsia="en-US"/>
        </w:rPr>
        <w:t xml:space="preserve"> </w:t>
      </w:r>
      <w:r w:rsidRPr="0043356A">
        <w:rPr>
          <w:rFonts w:ascii="Arial" w:hAnsi="Arial" w:cs="Arial"/>
          <w:bCs/>
          <w:sz w:val="22"/>
          <w:szCs w:val="22"/>
          <w:lang w:val="es-MX" w:eastAsia="es-CO"/>
        </w:rPr>
        <w:t>En armonía con lo anterior, la Corte Constitucional ha abordado la definición de la Ley de Garantías Electorales. De esta manera, explica que tiene como propósito:</w:t>
      </w:r>
    </w:p>
    <w:p w14:paraId="2A95B862" w14:textId="77777777" w:rsidR="003C408D" w:rsidRPr="0043356A" w:rsidRDefault="003C408D" w:rsidP="003C408D">
      <w:pPr>
        <w:ind w:right="709"/>
        <w:jc w:val="both"/>
        <w:rPr>
          <w:rFonts w:ascii="Arial" w:hAnsi="Arial" w:cs="Arial"/>
          <w:sz w:val="21"/>
          <w:szCs w:val="21"/>
          <w:lang w:val="es-ES" w:eastAsia="es-CO"/>
        </w:rPr>
      </w:pPr>
    </w:p>
    <w:p w14:paraId="4CCF54A1" w14:textId="77777777" w:rsidR="003C408D" w:rsidRPr="0043356A" w:rsidRDefault="003C408D" w:rsidP="003C408D">
      <w:pPr>
        <w:ind w:left="709" w:right="709"/>
        <w:jc w:val="both"/>
        <w:rPr>
          <w:rFonts w:ascii="Arial" w:hAnsi="Arial" w:cs="Arial"/>
          <w:bCs/>
          <w:sz w:val="21"/>
          <w:szCs w:val="21"/>
          <w:lang w:val="es-MX" w:eastAsia="es-CO"/>
        </w:rPr>
      </w:pPr>
      <w:r w:rsidRPr="0043356A">
        <w:rPr>
          <w:rFonts w:ascii="Arial" w:hAnsi="Arial" w:cs="Arial"/>
          <w:sz w:val="21"/>
          <w:szCs w:val="21"/>
          <w:lang w:val="es-ES" w:eastAsia="es-CO"/>
        </w:rPr>
        <w:t xml:space="preserve">[…] </w:t>
      </w:r>
      <w:r w:rsidRPr="0043356A">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48EE73D6" w14:textId="77777777" w:rsidR="003C408D" w:rsidRPr="0043356A" w:rsidRDefault="003C408D" w:rsidP="003C408D">
      <w:pPr>
        <w:spacing w:after="120"/>
        <w:ind w:left="709" w:right="709"/>
        <w:jc w:val="both"/>
        <w:rPr>
          <w:rFonts w:ascii="Arial" w:hAnsi="Arial" w:cs="Arial"/>
          <w:bCs/>
          <w:sz w:val="21"/>
          <w:szCs w:val="21"/>
          <w:lang w:val="es-MX" w:eastAsia="es-CO"/>
        </w:rPr>
      </w:pPr>
      <w:r w:rsidRPr="0043356A">
        <w:rPr>
          <w:rFonts w:ascii="Arial" w:hAnsi="Arial" w:cs="Arial"/>
          <w:bCs/>
          <w:sz w:val="21"/>
          <w:szCs w:val="21"/>
          <w:lang w:val="es-MX" w:eastAsia="es-CO"/>
        </w:rPr>
        <w:t xml:space="preserve">[…] </w:t>
      </w:r>
    </w:p>
    <w:p w14:paraId="7EDEC04A" w14:textId="77777777" w:rsidR="003C408D" w:rsidRPr="0043356A" w:rsidRDefault="003C408D" w:rsidP="003C408D">
      <w:pPr>
        <w:ind w:left="709" w:right="709"/>
        <w:jc w:val="both"/>
        <w:rPr>
          <w:rFonts w:ascii="Arial" w:hAnsi="Arial" w:cs="Arial"/>
          <w:bCs/>
          <w:sz w:val="21"/>
          <w:szCs w:val="21"/>
          <w:lang w:val="es-MX" w:eastAsia="es-CO"/>
        </w:rPr>
      </w:pPr>
      <w:r w:rsidRPr="0043356A">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3356A">
        <w:rPr>
          <w:rFonts w:ascii="Arial" w:eastAsiaTheme="minorHAnsi" w:hAnsi="Arial" w:cs="Arial"/>
          <w:sz w:val="20"/>
          <w:szCs w:val="20"/>
          <w:vertAlign w:val="superscript"/>
          <w:lang w:val="es-MX" w:eastAsia="en-US"/>
        </w:rPr>
        <w:footnoteReference w:id="5"/>
      </w:r>
    </w:p>
    <w:p w14:paraId="4283D822" w14:textId="77777777" w:rsidR="003C408D" w:rsidRPr="0043356A" w:rsidRDefault="003C408D" w:rsidP="003C408D">
      <w:pPr>
        <w:spacing w:line="276" w:lineRule="auto"/>
        <w:ind w:left="709" w:right="709"/>
        <w:jc w:val="both"/>
        <w:rPr>
          <w:rFonts w:ascii="Arial" w:hAnsi="Arial" w:cs="Arial"/>
          <w:bCs/>
          <w:sz w:val="21"/>
          <w:szCs w:val="21"/>
          <w:lang w:val="es-MX" w:eastAsia="es-CO"/>
        </w:rPr>
      </w:pPr>
    </w:p>
    <w:p w14:paraId="570776ED" w14:textId="77777777" w:rsidR="003C408D" w:rsidRPr="0043356A" w:rsidRDefault="003C408D" w:rsidP="003C408D">
      <w:pPr>
        <w:spacing w:line="276" w:lineRule="auto"/>
        <w:ind w:firstLine="709"/>
        <w:jc w:val="both"/>
        <w:rPr>
          <w:rFonts w:ascii="Arial" w:hAnsi="Arial" w:cs="Arial"/>
          <w:bCs/>
          <w:sz w:val="22"/>
          <w:szCs w:val="22"/>
          <w:lang w:val="es-MX" w:eastAsia="es-CO"/>
        </w:rPr>
      </w:pPr>
      <w:r w:rsidRPr="0043356A">
        <w:rPr>
          <w:rFonts w:ascii="Arial" w:hAnsi="Arial" w:cs="Arial"/>
          <w:bCs/>
          <w:sz w:val="22"/>
          <w:szCs w:val="22"/>
          <w:lang w:val="es-MX"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546A557C" w14:textId="77777777" w:rsidR="003C408D" w:rsidRPr="0043356A" w:rsidRDefault="003C408D" w:rsidP="003C408D">
      <w:pPr>
        <w:spacing w:line="276" w:lineRule="auto"/>
        <w:ind w:firstLine="709"/>
        <w:jc w:val="both"/>
        <w:rPr>
          <w:rFonts w:ascii="Arial" w:hAnsi="Arial" w:cs="Arial"/>
          <w:bCs/>
          <w:sz w:val="22"/>
          <w:szCs w:val="22"/>
          <w:lang w:val="es-MX" w:eastAsia="es-CO"/>
        </w:rPr>
      </w:pPr>
    </w:p>
    <w:p w14:paraId="0E5E6BC3" w14:textId="77777777" w:rsidR="003C408D" w:rsidRPr="0043356A" w:rsidRDefault="003C408D" w:rsidP="003C408D">
      <w:pPr>
        <w:spacing w:after="120"/>
        <w:ind w:left="709" w:right="709"/>
        <w:jc w:val="both"/>
        <w:rPr>
          <w:rFonts w:ascii="Arial" w:hAnsi="Arial" w:cs="Arial"/>
          <w:bCs/>
          <w:sz w:val="21"/>
          <w:szCs w:val="21"/>
          <w:lang w:val="es-MX" w:eastAsia="es-CO"/>
        </w:rPr>
      </w:pPr>
      <w:r w:rsidRPr="0043356A">
        <w:rPr>
          <w:rFonts w:ascii="Arial" w:hAnsi="Arial" w:cs="Arial"/>
          <w:bCs/>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758D907" w14:textId="77777777" w:rsidR="003C408D" w:rsidRPr="0043356A" w:rsidRDefault="003C408D" w:rsidP="003C408D">
      <w:pPr>
        <w:ind w:left="709" w:right="709"/>
        <w:jc w:val="both"/>
        <w:rPr>
          <w:rFonts w:ascii="Arial" w:hAnsi="Arial" w:cs="Arial"/>
          <w:bCs/>
          <w:sz w:val="21"/>
          <w:szCs w:val="21"/>
          <w:lang w:val="es-MX" w:eastAsia="es-CO"/>
        </w:rPr>
      </w:pPr>
      <w:r w:rsidRPr="0043356A">
        <w:rPr>
          <w:rFonts w:ascii="Arial" w:hAnsi="Arial" w:cs="Arial"/>
          <w:bCs/>
          <w:sz w:val="21"/>
          <w:szCs w:val="21"/>
          <w:lang w:val="es-MX" w:eastAsia="es-CO"/>
        </w:rPr>
        <w:lastRenderedPageBreak/>
        <w:t>La jurisprudencia de la Corte Constitucional</w:t>
      </w:r>
      <w:r w:rsidRPr="0043356A">
        <w:rPr>
          <w:rFonts w:ascii="Arial" w:hAnsi="Arial" w:cs="Arial"/>
          <w:bCs/>
          <w:sz w:val="21"/>
          <w:szCs w:val="21"/>
          <w:vertAlign w:val="superscript"/>
          <w:lang w:val="es-MX" w:eastAsia="es-CO"/>
        </w:rPr>
        <w:footnoteReference w:id="6"/>
      </w:r>
      <w:r w:rsidRPr="0043356A">
        <w:rPr>
          <w:rFonts w:ascii="Arial" w:hAnsi="Arial" w:cs="Arial"/>
          <w:bCs/>
          <w:sz w:val="21"/>
          <w:szCs w:val="21"/>
          <w:lang w:val="es-MX" w:eastAsia="es-CO"/>
        </w:rPr>
        <w:t> y del Consejo de Estado</w:t>
      </w:r>
      <w:r w:rsidRPr="0043356A">
        <w:rPr>
          <w:rFonts w:ascii="Arial" w:hAnsi="Arial" w:cs="Arial"/>
          <w:bCs/>
          <w:sz w:val="21"/>
          <w:szCs w:val="21"/>
          <w:vertAlign w:val="superscript"/>
          <w:lang w:val="es-MX" w:eastAsia="es-CO"/>
        </w:rPr>
        <w:footnoteReference w:id="7"/>
      </w:r>
      <w:r w:rsidRPr="0043356A">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3356A">
        <w:rPr>
          <w:rFonts w:ascii="Arial" w:hAnsi="Arial" w:cs="Arial"/>
          <w:bCs/>
          <w:sz w:val="22"/>
          <w:szCs w:val="22"/>
          <w:vertAlign w:val="superscript"/>
          <w:lang w:val="es-MX" w:eastAsia="es-CO"/>
        </w:rPr>
        <w:footnoteReference w:id="8"/>
      </w:r>
      <w:r w:rsidRPr="0043356A">
        <w:rPr>
          <w:rFonts w:ascii="Arial" w:hAnsi="Arial" w:cs="Arial"/>
          <w:bCs/>
          <w:sz w:val="21"/>
          <w:szCs w:val="21"/>
          <w:lang w:val="es-MX" w:eastAsia="es-CO"/>
        </w:rPr>
        <w:t>.</w:t>
      </w:r>
    </w:p>
    <w:p w14:paraId="068ABC6F" w14:textId="77777777" w:rsidR="003C408D" w:rsidRPr="0043356A" w:rsidRDefault="003C408D" w:rsidP="003C408D">
      <w:pPr>
        <w:spacing w:line="276" w:lineRule="auto"/>
        <w:ind w:right="709"/>
        <w:jc w:val="both"/>
        <w:rPr>
          <w:rFonts w:ascii="Arial" w:hAnsi="Arial" w:cs="Arial"/>
          <w:bCs/>
          <w:sz w:val="22"/>
          <w:szCs w:val="22"/>
          <w:lang w:val="es-MX" w:eastAsia="es-CO"/>
        </w:rPr>
      </w:pPr>
    </w:p>
    <w:p w14:paraId="136BAE77" w14:textId="77777777" w:rsidR="003C408D" w:rsidRPr="0043356A" w:rsidRDefault="003C408D" w:rsidP="003C408D">
      <w:pPr>
        <w:spacing w:after="120" w:line="276" w:lineRule="auto"/>
        <w:jc w:val="both"/>
        <w:rPr>
          <w:rFonts w:ascii="Arial" w:eastAsia="Arial" w:hAnsi="Arial" w:cs="Arial"/>
          <w:sz w:val="22"/>
          <w:szCs w:val="22"/>
          <w:lang w:val="es-ES" w:eastAsia="es-ES" w:bidi="es-ES"/>
        </w:rPr>
      </w:pPr>
      <w:r w:rsidRPr="0043356A">
        <w:rPr>
          <w:rFonts w:ascii="Arial" w:hAnsi="Arial" w:cs="Arial"/>
          <w:bCs/>
          <w:sz w:val="22"/>
          <w:szCs w:val="22"/>
          <w:lang w:val="es-MX" w:eastAsia="es-CO"/>
        </w:rPr>
        <w:tab/>
        <w:t>De</w:t>
      </w:r>
      <w:r w:rsidRPr="0043356A">
        <w:rPr>
          <w:rFonts w:ascii="Arial" w:eastAsia="Arial" w:hAnsi="Arial" w:cs="Arial"/>
          <w:sz w:val="22"/>
          <w:szCs w:val="22"/>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2510D14A" w14:textId="77777777" w:rsidR="003C408D" w:rsidRPr="0043356A" w:rsidRDefault="003C408D" w:rsidP="003C408D">
      <w:pPr>
        <w:spacing w:after="120" w:line="276" w:lineRule="auto"/>
        <w:ind w:firstLine="708"/>
        <w:jc w:val="both"/>
        <w:rPr>
          <w:rFonts w:ascii="Arial" w:eastAsia="Calibri" w:hAnsi="Arial" w:cs="Arial"/>
          <w:sz w:val="22"/>
          <w:szCs w:val="22"/>
          <w:lang w:eastAsia="en-US"/>
        </w:rPr>
      </w:pPr>
      <w:r w:rsidRPr="0043356A">
        <w:rPr>
          <w:rFonts w:ascii="Arial" w:eastAsia="Calibri" w:hAnsi="Arial" w:cs="Arial"/>
          <w:sz w:val="22"/>
          <w:szCs w:val="22"/>
          <w:lang w:eastAsia="en-US"/>
        </w:rPr>
        <w:t xml:space="preserve">Por un lado, el artículo 33 de la Ley 996 de 2005 prohíbe </w:t>
      </w:r>
      <w:r w:rsidRPr="0043356A">
        <w:rPr>
          <w:rFonts w:ascii="Arial" w:eastAsia="Calibri" w:hAnsi="Arial" w:cs="Arial"/>
          <w:bCs/>
          <w:sz w:val="22"/>
          <w:szCs w:val="22"/>
          <w:lang w:eastAsia="en-US"/>
        </w:rPr>
        <w:t xml:space="preserve">«[…] </w:t>
      </w:r>
      <w:r w:rsidRPr="0043356A">
        <w:rPr>
          <w:rFonts w:ascii="Arial" w:eastAsia="Calibri" w:hAnsi="Arial" w:cs="Arial"/>
          <w:sz w:val="22"/>
          <w:szCs w:val="22"/>
          <w:lang w:eastAsia="en-US"/>
        </w:rPr>
        <w:t>la contratación directa por parte de todos los entes del Estado</w:t>
      </w:r>
      <w:r w:rsidRPr="0043356A">
        <w:rPr>
          <w:rFonts w:ascii="Arial" w:eastAsia="Calibri" w:hAnsi="Arial" w:cs="Arial"/>
          <w:bCs/>
          <w:sz w:val="22"/>
          <w:szCs w:val="22"/>
          <w:lang w:eastAsia="en-US"/>
        </w:rPr>
        <w:t>»</w:t>
      </w:r>
      <w:r w:rsidRPr="0043356A">
        <w:rPr>
          <w:rFonts w:ascii="Arial" w:eastAsia="Calibri" w:hAnsi="Arial" w:cs="Arial"/>
          <w:sz w:val="22"/>
          <w:szCs w:val="22"/>
          <w:lang w:eastAsia="en-US"/>
        </w:rPr>
        <w:t xml:space="preserve"> durante los cuatro (4) meses anteriores a las elecciones presidenciales, salvo </w:t>
      </w:r>
      <w:r w:rsidRPr="0043356A">
        <w:rPr>
          <w:rFonts w:ascii="Arial" w:eastAsia="Calibri" w:hAnsi="Arial" w:cs="Arial"/>
          <w:bCs/>
          <w:sz w:val="22"/>
          <w:szCs w:val="22"/>
          <w:lang w:eastAsia="en-US"/>
        </w:rPr>
        <w:t xml:space="preserve">«[…] </w:t>
      </w:r>
      <w:r w:rsidRPr="0043356A">
        <w:rPr>
          <w:rFonts w:ascii="Arial" w:eastAsia="Calibri" w:hAnsi="Arial" w:cs="Arial"/>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3356A">
        <w:rPr>
          <w:rFonts w:ascii="Arial" w:eastAsia="Calibri" w:hAnsi="Arial" w:cs="Arial"/>
          <w:bCs/>
          <w:sz w:val="22"/>
          <w:szCs w:val="22"/>
          <w:lang w:eastAsia="en-US"/>
        </w:rPr>
        <w:t>»</w:t>
      </w:r>
      <w:r w:rsidRPr="0043356A">
        <w:rPr>
          <w:rFonts w:ascii="Arial" w:eastAsia="Calibri" w:hAnsi="Arial" w:cs="Arial"/>
          <w:bCs/>
          <w:sz w:val="22"/>
          <w:szCs w:val="22"/>
          <w:vertAlign w:val="superscript"/>
          <w:lang w:eastAsia="en-US"/>
        </w:rPr>
        <w:footnoteReference w:id="9"/>
      </w:r>
      <w:r w:rsidRPr="0043356A">
        <w:rPr>
          <w:rFonts w:ascii="Arial" w:eastAsia="Calibri" w:hAnsi="Arial" w:cs="Arial"/>
          <w:sz w:val="22"/>
          <w:szCs w:val="22"/>
          <w:lang w:eastAsia="en-US"/>
        </w:rPr>
        <w:t>.</w:t>
      </w:r>
    </w:p>
    <w:p w14:paraId="1139D75B" w14:textId="77777777" w:rsidR="003C408D" w:rsidRPr="0043356A" w:rsidRDefault="003C408D" w:rsidP="003C408D">
      <w:pPr>
        <w:widowControl w:val="0"/>
        <w:autoSpaceDE w:val="0"/>
        <w:autoSpaceDN w:val="0"/>
        <w:spacing w:line="276" w:lineRule="auto"/>
        <w:ind w:right="113" w:firstLine="708"/>
        <w:jc w:val="both"/>
        <w:rPr>
          <w:rFonts w:ascii="Arial" w:eastAsia="Arial" w:hAnsi="Arial" w:cs="Arial"/>
          <w:sz w:val="22"/>
          <w:szCs w:val="22"/>
          <w:lang w:val="es-ES" w:eastAsia="es-ES" w:bidi="es-ES"/>
        </w:rPr>
      </w:pPr>
      <w:r w:rsidRPr="0043356A">
        <w:rPr>
          <w:rFonts w:ascii="Arial" w:eastAsia="Calibri" w:hAnsi="Arial" w:cs="Arial"/>
          <w:sz w:val="22"/>
          <w:szCs w:val="22"/>
          <w:lang w:eastAsia="en-US"/>
        </w:rPr>
        <w:lastRenderedPageBreak/>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3356A">
        <w:rPr>
          <w:rFonts w:ascii="Arial" w:eastAsia="Calibri" w:hAnsi="Arial" w:cs="Arial"/>
          <w:bCs/>
          <w:sz w:val="22"/>
          <w:szCs w:val="22"/>
          <w:lang w:eastAsia="en-US"/>
        </w:rPr>
        <w:t xml:space="preserve">«[…] </w:t>
      </w:r>
      <w:r w:rsidRPr="0043356A">
        <w:rPr>
          <w:rFonts w:ascii="Arial" w:eastAsia="Calibri" w:hAnsi="Arial" w:cs="Arial"/>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3356A">
        <w:rPr>
          <w:rFonts w:ascii="Arial" w:eastAsia="Calibri" w:hAnsi="Arial" w:cs="Arial"/>
          <w:bCs/>
          <w:sz w:val="19"/>
          <w:szCs w:val="19"/>
          <w:lang w:eastAsia="en-US"/>
        </w:rPr>
        <w:t>»</w:t>
      </w:r>
      <w:r w:rsidRPr="0043356A">
        <w:rPr>
          <w:rFonts w:ascii="Arial" w:eastAsia="Calibri" w:hAnsi="Arial" w:cs="Arial"/>
          <w:bCs/>
          <w:sz w:val="19"/>
          <w:szCs w:val="19"/>
          <w:vertAlign w:val="superscript"/>
          <w:lang w:eastAsia="en-US"/>
        </w:rPr>
        <w:footnoteReference w:id="10"/>
      </w:r>
      <w:r w:rsidRPr="0043356A">
        <w:rPr>
          <w:rFonts w:ascii="Arial" w:eastAsia="Calibri" w:hAnsi="Arial" w:cs="Arial"/>
          <w:sz w:val="22"/>
          <w:szCs w:val="22"/>
          <w:lang w:val="es-MX" w:eastAsia="en-US"/>
        </w:rPr>
        <w:t>.</w:t>
      </w:r>
      <w:r w:rsidRPr="0043356A">
        <w:rPr>
          <w:rFonts w:ascii="Arial" w:eastAsia="Arial" w:hAnsi="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73077EDE" w14:textId="77777777" w:rsidR="003C408D" w:rsidRPr="0043356A" w:rsidRDefault="003C408D" w:rsidP="003C408D">
      <w:pPr>
        <w:widowControl w:val="0"/>
        <w:autoSpaceDE w:val="0"/>
        <w:autoSpaceDN w:val="0"/>
        <w:ind w:left="805" w:right="812"/>
        <w:jc w:val="both"/>
        <w:rPr>
          <w:rFonts w:ascii="Arial" w:eastAsia="Arial" w:hAnsi="Arial" w:cs="Arial"/>
          <w:sz w:val="22"/>
          <w:szCs w:val="22"/>
          <w:lang w:val="es-ES" w:eastAsia="es-ES" w:bidi="es-ES"/>
        </w:rPr>
      </w:pPr>
    </w:p>
    <w:p w14:paraId="019B0F6D" w14:textId="77777777" w:rsidR="003C408D" w:rsidRPr="0043356A" w:rsidRDefault="003C408D" w:rsidP="003C408D">
      <w:pPr>
        <w:widowControl w:val="0"/>
        <w:autoSpaceDE w:val="0"/>
        <w:autoSpaceDN w:val="0"/>
        <w:ind w:left="709" w:right="709"/>
        <w:jc w:val="both"/>
        <w:rPr>
          <w:rFonts w:ascii="Arial" w:eastAsia="Arial" w:hAnsi="Arial" w:cs="Arial"/>
          <w:sz w:val="21"/>
          <w:szCs w:val="21"/>
          <w:lang w:val="es-ES" w:eastAsia="es-ES" w:bidi="es-ES"/>
        </w:rPr>
      </w:pPr>
      <w:r w:rsidRPr="0043356A">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3356A">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43356A">
        <w:rPr>
          <w:rFonts w:ascii="Arial" w:eastAsia="Arial" w:hAnsi="Arial" w:cs="Arial"/>
          <w:sz w:val="21"/>
          <w:szCs w:val="21"/>
          <w:vertAlign w:val="superscript"/>
          <w:lang w:val="es-ES" w:eastAsia="es-ES" w:bidi="es-ES"/>
        </w:rPr>
        <w:footnoteReference w:id="11"/>
      </w:r>
      <w:r w:rsidRPr="0043356A">
        <w:rPr>
          <w:rFonts w:ascii="Arial" w:eastAsia="Arial" w:hAnsi="Arial" w:cs="Arial"/>
          <w:bCs/>
          <w:sz w:val="21"/>
          <w:szCs w:val="21"/>
          <w:lang w:val="es-ES" w:eastAsia="es-ES" w:bidi="es-ES"/>
        </w:rPr>
        <w:t>.</w:t>
      </w:r>
    </w:p>
    <w:p w14:paraId="34AB76FB" w14:textId="77777777" w:rsidR="003C408D" w:rsidRPr="0043356A" w:rsidRDefault="003C408D" w:rsidP="003C408D">
      <w:pPr>
        <w:widowControl w:val="0"/>
        <w:autoSpaceDE w:val="0"/>
        <w:autoSpaceDN w:val="0"/>
        <w:spacing w:before="8"/>
        <w:rPr>
          <w:rFonts w:ascii="Arial" w:eastAsia="Arial" w:hAnsi="Arial" w:cs="Arial"/>
          <w:sz w:val="22"/>
          <w:szCs w:val="22"/>
          <w:lang w:val="es-ES" w:eastAsia="es-ES" w:bidi="es-ES"/>
        </w:rPr>
      </w:pPr>
    </w:p>
    <w:p w14:paraId="31003F5F" w14:textId="77777777" w:rsidR="003C408D" w:rsidRPr="0043356A" w:rsidRDefault="003C408D" w:rsidP="003C408D">
      <w:pPr>
        <w:spacing w:after="120" w:line="276" w:lineRule="auto"/>
        <w:ind w:firstLine="709"/>
        <w:jc w:val="both"/>
        <w:rPr>
          <w:rFonts w:ascii="Arial" w:eastAsia="Arial" w:hAnsi="Arial" w:cs="Arial"/>
          <w:sz w:val="22"/>
          <w:szCs w:val="22"/>
          <w:lang w:val="es-ES" w:eastAsia="es-ES" w:bidi="es-ES"/>
        </w:rPr>
      </w:pPr>
      <w:r w:rsidRPr="0043356A">
        <w:rPr>
          <w:rFonts w:ascii="Arial" w:eastAsia="Arial" w:hAnsi="Arial" w:cs="Arial"/>
          <w:sz w:val="22"/>
          <w:szCs w:val="22"/>
          <w:lang w:val="es-ES" w:eastAsia="es-ES" w:bidi="es-ES"/>
        </w:rPr>
        <w:t xml:space="preserve">De lo anterior se desprende que la Ley 996 de 2005 establece dos (2) tipos de restricciones en materia de contratación, las cuales coinciden parcialmente. </w:t>
      </w:r>
      <w:r w:rsidRPr="0043356A">
        <w:rPr>
          <w:rFonts w:ascii="Arial" w:eastAsia="Arial" w:hAnsi="Arial" w:cs="Arial"/>
          <w:i/>
          <w:iCs/>
          <w:sz w:val="22"/>
          <w:szCs w:val="22"/>
          <w:lang w:val="es-ES" w:eastAsia="es-ES" w:bidi="es-ES"/>
        </w:rPr>
        <w:t>En primer lugar</w:t>
      </w:r>
      <w:r w:rsidRPr="0043356A">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w:t>
      </w:r>
      <w:r w:rsidRPr="0043356A">
        <w:rPr>
          <w:rFonts w:ascii="Arial" w:eastAsia="Arial" w:hAnsi="Arial" w:cs="Arial"/>
          <w:sz w:val="22"/>
          <w:szCs w:val="22"/>
          <w:lang w:val="es-ES" w:eastAsia="es-ES" w:bidi="es-ES"/>
        </w:rPr>
        <w:lastRenderedPageBreak/>
        <w:t xml:space="preserve">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w:t>
      </w:r>
      <w:r w:rsidRPr="0043356A">
        <w:rPr>
          <w:rFonts w:ascii="Arial" w:eastAsia="Arial" w:hAnsi="Arial" w:cs="Arial"/>
          <w:i/>
          <w:iCs/>
          <w:sz w:val="22"/>
          <w:szCs w:val="22"/>
          <w:lang w:val="es-ES" w:eastAsia="es-ES" w:bidi="es-ES"/>
        </w:rPr>
        <w:t>En segundo lugar</w:t>
      </w:r>
      <w:r w:rsidRPr="0043356A">
        <w:rPr>
          <w:rFonts w:ascii="Arial" w:eastAsia="Arial" w:hAnsi="Arial" w:cs="Arial"/>
          <w:sz w:val="22"/>
          <w:szCs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718BE9BA" w14:textId="77777777" w:rsidR="003C408D" w:rsidRPr="0043356A" w:rsidRDefault="003C408D" w:rsidP="003C408D">
      <w:pPr>
        <w:spacing w:after="120" w:line="276" w:lineRule="auto"/>
        <w:ind w:firstLine="709"/>
        <w:jc w:val="both"/>
        <w:rPr>
          <w:rFonts w:ascii="Arial" w:eastAsia="Arial" w:hAnsi="Arial" w:cs="Arial"/>
          <w:sz w:val="22"/>
          <w:szCs w:val="22"/>
          <w:lang w:val="es-ES" w:eastAsia="es-ES" w:bidi="es-ES"/>
        </w:rPr>
      </w:pPr>
      <w:r w:rsidRPr="0043356A">
        <w:rPr>
          <w:rFonts w:ascii="Arial" w:eastAsia="Arial" w:hAnsi="Arial" w:cs="Arial"/>
          <w:sz w:val="22"/>
          <w:szCs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1F926E55" w14:textId="77777777" w:rsidR="003C408D" w:rsidRPr="0043356A" w:rsidRDefault="003C408D" w:rsidP="003C408D">
      <w:pPr>
        <w:spacing w:line="276" w:lineRule="auto"/>
        <w:ind w:firstLine="708"/>
        <w:jc w:val="both"/>
        <w:rPr>
          <w:rFonts w:ascii="Arial" w:eastAsia="Arial" w:hAnsi="Arial" w:cs="Arial"/>
          <w:sz w:val="22"/>
          <w:szCs w:val="22"/>
          <w:lang w:val="es-ES" w:eastAsia="es-ES" w:bidi="es-ES"/>
        </w:rPr>
      </w:pPr>
      <w:r w:rsidRPr="0043356A">
        <w:rPr>
          <w:rFonts w:ascii="Arial" w:eastAsia="Arial" w:hAnsi="Arial" w:cs="Arial"/>
          <w:sz w:val="22"/>
          <w:szCs w:val="22"/>
          <w:lang w:val="es-ES" w:eastAsia="es-ES" w:bidi="es-ES"/>
        </w:rPr>
        <w:t>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363F8804" w14:textId="1C181158" w:rsidR="003C408D" w:rsidRPr="0043356A" w:rsidRDefault="003C408D" w:rsidP="00640B22">
      <w:pPr>
        <w:spacing w:line="276" w:lineRule="auto"/>
        <w:jc w:val="both"/>
        <w:rPr>
          <w:rFonts w:ascii="Arial" w:eastAsia="Arial" w:hAnsi="Arial" w:cs="Arial"/>
          <w:sz w:val="22"/>
          <w:szCs w:val="22"/>
          <w:lang w:val="es-ES" w:eastAsia="es-ES" w:bidi="es-ES"/>
        </w:rPr>
      </w:pPr>
    </w:p>
    <w:p w14:paraId="45DDBB21" w14:textId="0E122B2D" w:rsidR="00725DB3" w:rsidRPr="0043356A" w:rsidRDefault="00725DB3" w:rsidP="00725DB3">
      <w:pPr>
        <w:spacing w:line="276" w:lineRule="auto"/>
        <w:jc w:val="both"/>
        <w:rPr>
          <w:rFonts w:ascii="Arial" w:hAnsi="Arial" w:cs="Arial"/>
          <w:b/>
          <w:bCs/>
          <w:sz w:val="22"/>
          <w:szCs w:val="22"/>
          <w:lang w:val="es-MX" w:eastAsia="es-CO"/>
        </w:rPr>
      </w:pPr>
      <w:bookmarkStart w:id="11" w:name="_Hlk75784645"/>
      <w:r w:rsidRPr="0043356A">
        <w:rPr>
          <w:rFonts w:ascii="Arial" w:eastAsiaTheme="minorHAnsi" w:hAnsi="Arial" w:cs="Arial"/>
          <w:b/>
          <w:bCs/>
          <w:sz w:val="22"/>
          <w:szCs w:val="22"/>
          <w:lang w:val="es-MX" w:eastAsia="en-US"/>
        </w:rPr>
        <w:t xml:space="preserve">2.2. </w:t>
      </w:r>
      <w:r w:rsidRPr="0043356A">
        <w:rPr>
          <w:rFonts w:ascii="Arial" w:hAnsi="Arial" w:cs="Arial"/>
          <w:b/>
          <w:bCs/>
          <w:sz w:val="22"/>
          <w:szCs w:val="22"/>
          <w:lang w:val="es-MX" w:eastAsia="es-CO"/>
        </w:rPr>
        <w:t>Restricciones para la celebración de contratos y convenios interadministrativos en los comicios de cargos de elección popular</w:t>
      </w:r>
      <w:r w:rsidR="000E75FB" w:rsidRPr="0043356A">
        <w:rPr>
          <w:rFonts w:ascii="Arial" w:hAnsi="Arial" w:cs="Arial"/>
          <w:b/>
          <w:bCs/>
          <w:sz w:val="22"/>
          <w:szCs w:val="22"/>
          <w:lang w:val="es-MX" w:eastAsia="es-CO"/>
        </w:rPr>
        <w:t>: prohibición del parágrafo del artículo 38 de la Ley 996 de 2005</w:t>
      </w:r>
    </w:p>
    <w:p w14:paraId="6660C4DE" w14:textId="77777777" w:rsidR="00725DB3" w:rsidRPr="0043356A" w:rsidRDefault="00725DB3" w:rsidP="00725DB3">
      <w:pPr>
        <w:spacing w:line="276" w:lineRule="auto"/>
        <w:jc w:val="both"/>
        <w:rPr>
          <w:rFonts w:ascii="Arial" w:eastAsiaTheme="minorHAnsi" w:hAnsi="Arial" w:cs="Arial"/>
          <w:b/>
          <w:bCs/>
          <w:sz w:val="22"/>
          <w:szCs w:val="22"/>
          <w:lang w:val="es-MX" w:eastAsia="en-US"/>
        </w:rPr>
      </w:pPr>
    </w:p>
    <w:p w14:paraId="296D575C" w14:textId="77777777" w:rsidR="00725DB3" w:rsidRPr="0043356A" w:rsidRDefault="00725DB3" w:rsidP="00725DB3">
      <w:pPr>
        <w:tabs>
          <w:tab w:val="left" w:pos="426"/>
        </w:tabs>
        <w:spacing w:after="120" w:line="276" w:lineRule="auto"/>
        <w:jc w:val="both"/>
        <w:rPr>
          <w:rFonts w:ascii="Arial" w:eastAsia="Calibri" w:hAnsi="Arial" w:cs="Arial"/>
          <w:bCs/>
          <w:sz w:val="22"/>
          <w:szCs w:val="22"/>
          <w:lang w:eastAsia="en-US"/>
        </w:rPr>
      </w:pPr>
      <w:r w:rsidRPr="0043356A">
        <w:rPr>
          <w:rFonts w:ascii="Arial" w:eastAsia="Calibri" w:hAnsi="Arial" w:cs="Arial"/>
          <w:bCs/>
          <w:sz w:val="22"/>
          <w:szCs w:val="22"/>
          <w:lang w:eastAsia="en-U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3356A">
        <w:rPr>
          <w:rFonts w:ascii="Arial" w:hAnsi="Arial" w:cs="Arial"/>
          <w:bCs/>
          <w:iCs/>
          <w:sz w:val="22"/>
          <w:szCs w:val="22"/>
          <w:lang w:val="es-MX" w:eastAsia="x-none"/>
        </w:rPr>
        <w:t xml:space="preserve"> Los convenios o contratos interadministrativos que se restringen en el parágrafo del artículo 38 de la Ley 996 de 2005, son únicamente aquellos </w:t>
      </w:r>
      <w:r w:rsidRPr="0043356A">
        <w:rPr>
          <w:rFonts w:ascii="Arial" w:hAnsi="Arial" w:cs="Arial"/>
          <w:bCs/>
          <w:iCs/>
          <w:sz w:val="22"/>
          <w:szCs w:val="22"/>
          <w:lang w:val="es-MX" w:eastAsia="x-none"/>
        </w:rPr>
        <w:lastRenderedPageBreak/>
        <w:t>en que se dispone la ejecución de recursos públicos, para evitar que mediante la suscripción de estos se comprometa el erario con fines políticos o partidistas</w:t>
      </w:r>
      <w:r w:rsidRPr="0043356A">
        <w:rPr>
          <w:rFonts w:ascii="Arial" w:hAnsi="Arial" w:cs="Arial"/>
          <w:bCs/>
          <w:iCs/>
          <w:sz w:val="22"/>
          <w:szCs w:val="22"/>
          <w:vertAlign w:val="superscript"/>
          <w:lang w:val="es-MX" w:eastAsia="x-none"/>
        </w:rPr>
        <w:footnoteReference w:id="12"/>
      </w:r>
      <w:r w:rsidRPr="0043356A">
        <w:rPr>
          <w:rFonts w:ascii="Arial" w:hAnsi="Arial" w:cs="Arial"/>
          <w:bCs/>
          <w:iCs/>
          <w:sz w:val="22"/>
          <w:szCs w:val="22"/>
          <w:lang w:val="es-MX" w:eastAsia="x-none"/>
        </w:rPr>
        <w:t>.</w:t>
      </w:r>
      <w:r w:rsidRPr="0043356A">
        <w:rPr>
          <w:rFonts w:ascii="Arial" w:eastAsiaTheme="minorHAnsi" w:hAnsi="Arial" w:cs="Arial"/>
          <w:szCs w:val="22"/>
          <w:lang w:val="es-MX" w:eastAsia="en-US"/>
        </w:rPr>
        <w:t xml:space="preserve"> </w:t>
      </w:r>
    </w:p>
    <w:p w14:paraId="62BD2EAD" w14:textId="77777777" w:rsidR="00725DB3" w:rsidRPr="0043356A" w:rsidRDefault="00725DB3" w:rsidP="00725DB3">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43356A">
        <w:rPr>
          <w:rFonts w:ascii="Arial" w:eastAsia="Calibri" w:hAnsi="Arial" w:cs="Arial"/>
          <w:bCs/>
          <w:sz w:val="22"/>
          <w:szCs w:val="22"/>
          <w:lang w:eastAsia="es-ES" w:bidi="es-ES"/>
        </w:rPr>
        <w:t xml:space="preserve">Ahora bien, </w:t>
      </w:r>
      <w:bookmarkStart w:id="12" w:name="_Hlk78820161"/>
      <w:r w:rsidRPr="0043356A">
        <w:rPr>
          <w:rFonts w:ascii="Arial" w:eastAsia="Calibri" w:hAnsi="Arial" w:cs="Arial"/>
          <w:bCs/>
          <w:sz w:val="22"/>
          <w:szCs w:val="22"/>
          <w:lang w:eastAsia="es-ES" w:bidi="es-ES"/>
        </w:rPr>
        <w:t xml:space="preserve">para determinar el alcance de la prohibición consagrada por la Ley de Garantías Electorales, conviene precisar la tipología de convenios o contratos interadministrativos. </w:t>
      </w:r>
      <w:r w:rsidRPr="0043356A">
        <w:rPr>
          <w:rFonts w:ascii="Arial" w:eastAsia="Arial" w:hAnsi="Arial" w:cs="Arial"/>
          <w:sz w:val="22"/>
          <w:szCs w:val="22"/>
          <w:lang w:val="es-ES" w:eastAsia="es-ES" w:bidi="es-ES"/>
        </w:rPr>
        <w:t>Aunque la ley no la definió ni desarrolló, el Decreto 1082 de 2015 califica a los convenios o contratos interadministrativos como aquella contratación entre entidades estatales</w:t>
      </w:r>
      <w:r w:rsidRPr="0043356A">
        <w:rPr>
          <w:rFonts w:ascii="Arial" w:eastAsia="Arial" w:hAnsi="Arial" w:cs="Arial"/>
          <w:sz w:val="22"/>
          <w:szCs w:val="22"/>
          <w:vertAlign w:val="superscript"/>
          <w:lang w:val="es-ES" w:eastAsia="es-ES" w:bidi="es-ES"/>
        </w:rPr>
        <w:footnoteReference w:id="13"/>
      </w:r>
      <w:r w:rsidRPr="0043356A">
        <w:rPr>
          <w:rFonts w:ascii="Arial" w:eastAsia="Arial" w:hAnsi="Arial" w:cs="Arial"/>
          <w:sz w:val="22"/>
          <w:szCs w:val="22"/>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3356A">
        <w:rPr>
          <w:rFonts w:ascii="Arial" w:eastAsia="Arial" w:hAnsi="Arial" w:cs="Arial"/>
          <w:spacing w:val="-6"/>
          <w:sz w:val="22"/>
          <w:szCs w:val="22"/>
          <w:lang w:val="es-ES" w:eastAsia="es-ES" w:bidi="es-ES"/>
        </w:rPr>
        <w:t xml:space="preserve"> </w:t>
      </w:r>
      <w:r w:rsidRPr="0043356A">
        <w:rPr>
          <w:rFonts w:ascii="Arial" w:eastAsia="Arial" w:hAnsi="Arial" w:cs="Arial"/>
          <w:sz w:val="22"/>
          <w:szCs w:val="22"/>
          <w:lang w:val="es-ES" w:eastAsia="es-ES" w:bidi="es-ES"/>
        </w:rPr>
        <w:t>estatales.</w:t>
      </w:r>
    </w:p>
    <w:p w14:paraId="0EB47CEA" w14:textId="77777777" w:rsidR="00725DB3" w:rsidRPr="0043356A" w:rsidRDefault="00725DB3" w:rsidP="00725DB3">
      <w:pPr>
        <w:widowControl w:val="0"/>
        <w:autoSpaceDE w:val="0"/>
        <w:autoSpaceDN w:val="0"/>
        <w:spacing w:before="117" w:after="120" w:line="276" w:lineRule="auto"/>
        <w:ind w:firstLine="707"/>
        <w:jc w:val="both"/>
        <w:rPr>
          <w:rFonts w:ascii="Arial" w:eastAsia="Arial" w:hAnsi="Arial" w:cs="Arial"/>
          <w:sz w:val="22"/>
          <w:szCs w:val="22"/>
          <w:lang w:val="es-ES" w:eastAsia="es-ES" w:bidi="es-ES"/>
        </w:rPr>
      </w:pPr>
      <w:bookmarkStart w:id="13" w:name="_Hlk78820654"/>
      <w:bookmarkEnd w:id="12"/>
      <w:r w:rsidRPr="0043356A">
        <w:rPr>
          <w:rFonts w:ascii="Arial" w:eastAsia="Arial" w:hAnsi="Arial" w:cs="Arial"/>
          <w:sz w:val="22"/>
          <w:szCs w:val="22"/>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13"/>
    <w:p w14:paraId="3D28DD39" w14:textId="77777777" w:rsidR="00725DB3" w:rsidRPr="0043356A" w:rsidRDefault="00725DB3" w:rsidP="00725DB3">
      <w:pPr>
        <w:widowControl w:val="0"/>
        <w:autoSpaceDE w:val="0"/>
        <w:autoSpaceDN w:val="0"/>
        <w:spacing w:before="121" w:after="120" w:line="276" w:lineRule="auto"/>
        <w:ind w:firstLine="707"/>
        <w:jc w:val="both"/>
        <w:rPr>
          <w:rFonts w:ascii="Arial" w:eastAsia="Arial" w:hAnsi="Arial" w:cs="Arial"/>
          <w:sz w:val="22"/>
          <w:szCs w:val="22"/>
          <w:lang w:val="es-ES" w:eastAsia="es-ES" w:bidi="es-ES"/>
        </w:rPr>
      </w:pPr>
      <w:r w:rsidRPr="0043356A">
        <w:rPr>
          <w:rFonts w:ascii="Arial" w:eastAsia="Arial" w:hAnsi="Arial" w:cs="Arial"/>
          <w:sz w:val="22"/>
          <w:szCs w:val="22"/>
          <w:lang w:val="es-ES" w:eastAsia="es-ES" w:bidi="es-ES"/>
        </w:rPr>
        <w:t>Estos tipos contractuales no están determinados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3356A">
        <w:rPr>
          <w:rFonts w:ascii="Arial" w:eastAsia="Arial" w:hAnsi="Arial" w:cs="Arial"/>
          <w:sz w:val="22"/>
          <w:szCs w:val="22"/>
          <w:vertAlign w:val="superscript"/>
          <w:lang w:val="es-ES" w:eastAsia="es-ES" w:bidi="es-ES"/>
        </w:rPr>
        <w:footnoteReference w:id="14"/>
      </w:r>
      <w:r w:rsidRPr="0043356A">
        <w:rPr>
          <w:rFonts w:ascii="Arial" w:eastAsia="Arial" w:hAnsi="Arial" w:cs="Arial"/>
          <w:sz w:val="22"/>
          <w:szCs w:val="22"/>
          <w:lang w:val="es-ES" w:eastAsia="es-ES" w:bidi="es-ES"/>
        </w:rPr>
        <w:t xml:space="preserve">. Nótese que, en este caso, lo que cambia es la modalidad de </w:t>
      </w:r>
      <w:r w:rsidRPr="0043356A">
        <w:rPr>
          <w:rFonts w:ascii="Arial" w:eastAsia="Arial" w:hAnsi="Arial" w:cs="Arial"/>
          <w:sz w:val="22"/>
          <w:szCs w:val="22"/>
          <w:lang w:val="es-ES" w:eastAsia="es-ES" w:bidi="es-ES"/>
        </w:rPr>
        <w:lastRenderedPageBreak/>
        <w:t>selección y no la naturaleza de contrato</w:t>
      </w:r>
      <w:r w:rsidRPr="0043356A">
        <w:rPr>
          <w:rFonts w:ascii="Arial" w:eastAsia="Arial" w:hAnsi="Arial" w:cs="Arial"/>
          <w:spacing w:val="-18"/>
          <w:sz w:val="22"/>
          <w:szCs w:val="22"/>
          <w:lang w:val="es-ES" w:eastAsia="es-ES" w:bidi="es-ES"/>
        </w:rPr>
        <w:t xml:space="preserve"> </w:t>
      </w:r>
      <w:r w:rsidRPr="0043356A">
        <w:rPr>
          <w:rFonts w:ascii="Arial" w:eastAsia="Arial" w:hAnsi="Arial" w:cs="Arial"/>
          <w:sz w:val="22"/>
          <w:szCs w:val="22"/>
          <w:lang w:val="es-ES" w:eastAsia="es-ES" w:bidi="es-ES"/>
        </w:rPr>
        <w:t>interadministrativo.</w:t>
      </w:r>
    </w:p>
    <w:p w14:paraId="63BBA0BB" w14:textId="77777777" w:rsidR="00725DB3" w:rsidRPr="0043356A" w:rsidRDefault="00725DB3" w:rsidP="00725DB3">
      <w:pPr>
        <w:widowControl w:val="0"/>
        <w:autoSpaceDE w:val="0"/>
        <w:autoSpaceDN w:val="0"/>
        <w:spacing w:before="114" w:line="276" w:lineRule="auto"/>
        <w:ind w:firstLine="707"/>
        <w:jc w:val="both"/>
        <w:rPr>
          <w:rFonts w:ascii="Arial" w:eastAsia="Arial" w:hAnsi="Arial" w:cs="Arial"/>
          <w:sz w:val="22"/>
          <w:szCs w:val="22"/>
          <w:lang w:val="es-ES" w:eastAsia="es-ES" w:bidi="es-ES"/>
        </w:rPr>
      </w:pPr>
      <w:r w:rsidRPr="0043356A">
        <w:rPr>
          <w:rFonts w:ascii="Arial" w:eastAsia="Arial" w:hAnsi="Arial" w:cs="Arial"/>
          <w:sz w:val="22"/>
          <w:szCs w:val="22"/>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43356A">
        <w:rPr>
          <w:rFonts w:ascii="Arial" w:eastAsia="Arial" w:hAnsi="Arial" w:cs="Arial"/>
          <w:spacing w:val="-13"/>
          <w:sz w:val="22"/>
          <w:szCs w:val="22"/>
          <w:lang w:val="es-ES" w:eastAsia="es-ES" w:bidi="es-ES"/>
        </w:rPr>
        <w:t xml:space="preserve"> </w:t>
      </w:r>
      <w:r w:rsidRPr="0043356A">
        <w:rPr>
          <w:rFonts w:ascii="Arial" w:eastAsia="Arial" w:hAnsi="Arial" w:cs="Arial"/>
          <w:sz w:val="22"/>
          <w:szCs w:val="22"/>
          <w:lang w:val="es-ES" w:eastAsia="es-ES" w:bidi="es-ES"/>
        </w:rPr>
        <w:t>que:</w:t>
      </w:r>
    </w:p>
    <w:p w14:paraId="30121BA6" w14:textId="77777777" w:rsidR="00725DB3" w:rsidRPr="0043356A" w:rsidRDefault="00725DB3" w:rsidP="00725DB3">
      <w:pPr>
        <w:widowControl w:val="0"/>
        <w:autoSpaceDE w:val="0"/>
        <w:autoSpaceDN w:val="0"/>
        <w:spacing w:line="276" w:lineRule="auto"/>
        <w:ind w:firstLine="707"/>
        <w:jc w:val="both"/>
        <w:rPr>
          <w:rFonts w:ascii="Arial" w:eastAsia="Arial" w:hAnsi="Arial" w:cs="Arial"/>
          <w:sz w:val="22"/>
          <w:szCs w:val="22"/>
          <w:lang w:val="es-ES" w:eastAsia="es-ES" w:bidi="es-ES"/>
        </w:rPr>
      </w:pPr>
    </w:p>
    <w:p w14:paraId="41BB707E" w14:textId="77777777" w:rsidR="00725DB3" w:rsidRPr="0043356A" w:rsidRDefault="00725DB3" w:rsidP="00725DB3">
      <w:pPr>
        <w:ind w:left="709" w:right="709"/>
        <w:jc w:val="both"/>
        <w:rPr>
          <w:rFonts w:ascii="Arial" w:eastAsiaTheme="minorHAnsi" w:hAnsi="Arial" w:cs="Arial"/>
          <w:sz w:val="21"/>
          <w:szCs w:val="22"/>
          <w:lang w:val="es-MX" w:eastAsia="en-US"/>
        </w:rPr>
      </w:pPr>
      <w:r w:rsidRPr="0043356A">
        <w:rPr>
          <w:rFonts w:ascii="Arial" w:eastAsiaTheme="minorHAnsi" w:hAnsi="Arial" w:cs="Arial"/>
          <w:sz w:val="21"/>
          <w:szCs w:val="22"/>
          <w:lang w:val="es-MX" w:eastAsia="en-US"/>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43356A">
        <w:rPr>
          <w:rFonts w:ascii="Arial" w:eastAsiaTheme="minorHAnsi" w:hAnsi="Arial" w:cs="Arial"/>
          <w:sz w:val="21"/>
          <w:szCs w:val="22"/>
          <w:vertAlign w:val="superscript"/>
          <w:lang w:val="es-MX" w:eastAsia="en-US"/>
        </w:rPr>
        <w:footnoteReference w:id="15"/>
      </w:r>
      <w:r w:rsidRPr="0043356A">
        <w:rPr>
          <w:rFonts w:ascii="Arial" w:eastAsiaTheme="minorHAnsi" w:hAnsi="Arial" w:cs="Arial"/>
          <w:sz w:val="21"/>
          <w:szCs w:val="22"/>
          <w:lang w:val="es-MX" w:eastAsia="en-US"/>
        </w:rPr>
        <w:t>.</w:t>
      </w:r>
    </w:p>
    <w:p w14:paraId="4ED76CA9" w14:textId="77777777" w:rsidR="00725DB3" w:rsidRPr="0043356A" w:rsidRDefault="00725DB3" w:rsidP="00725DB3">
      <w:pPr>
        <w:spacing w:line="276" w:lineRule="auto"/>
        <w:ind w:left="709" w:right="709"/>
        <w:jc w:val="both"/>
        <w:rPr>
          <w:rFonts w:ascii="Arial" w:eastAsiaTheme="minorHAnsi" w:hAnsi="Arial" w:cs="Arial"/>
          <w:sz w:val="22"/>
          <w:szCs w:val="22"/>
          <w:lang w:val="es-MX" w:eastAsia="en-US"/>
        </w:rPr>
      </w:pPr>
    </w:p>
    <w:p w14:paraId="397075E6" w14:textId="77777777" w:rsidR="00725DB3" w:rsidRPr="0043356A" w:rsidRDefault="00725DB3" w:rsidP="00D35264">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43356A">
        <w:rPr>
          <w:rFonts w:ascii="Arial" w:eastAsia="Arial" w:hAnsi="Arial" w:cs="Arial"/>
          <w:sz w:val="22"/>
          <w:szCs w:val="22"/>
          <w:lang w:val="es-ES" w:eastAsia="es-ES" w:bidi="es-ES"/>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2A67BE9D" w14:textId="77777777" w:rsidR="00725DB3" w:rsidRPr="0043356A" w:rsidRDefault="00725DB3" w:rsidP="00640B22">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43356A">
        <w:rPr>
          <w:rFonts w:ascii="Arial" w:eastAsia="Arial" w:hAnsi="Arial" w:cs="Arial"/>
          <w:sz w:val="22"/>
          <w:szCs w:val="22"/>
          <w:lang w:val="es-ES" w:eastAsia="es-ES" w:bidi="es-ES"/>
        </w:rPr>
        <w:t xml:space="preserve">Así las cosas, la ley no limitó la celebración de contratos interadministrativos a la modalidad de selección de contratación directa, pues solo estableció, excepcionalmente, </w:t>
      </w:r>
      <w:r w:rsidRPr="0043356A">
        <w:rPr>
          <w:rFonts w:ascii="Arial" w:eastAsia="Arial" w:hAnsi="Arial" w:cs="Arial"/>
          <w:sz w:val="22"/>
          <w:szCs w:val="22"/>
          <w:lang w:val="es-ES" w:eastAsia="es-ES" w:bidi="es-ES"/>
        </w:rPr>
        <w:lastRenderedPageBreak/>
        <w:t>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43356A">
        <w:rPr>
          <w:rFonts w:ascii="Arial" w:eastAsia="Arial" w:hAnsi="Arial" w:cs="Arial"/>
          <w:spacing w:val="-3"/>
          <w:sz w:val="22"/>
          <w:szCs w:val="22"/>
          <w:lang w:val="es-ES" w:eastAsia="es-ES" w:bidi="es-ES"/>
        </w:rPr>
        <w:t xml:space="preserve"> </w:t>
      </w:r>
      <w:r w:rsidRPr="0043356A">
        <w:rPr>
          <w:rFonts w:ascii="Arial" w:eastAsia="Arial" w:hAnsi="Arial" w:cs="Arial"/>
          <w:sz w:val="22"/>
          <w:szCs w:val="22"/>
          <w:lang w:val="es-ES" w:eastAsia="es-ES" w:bidi="es-ES"/>
        </w:rPr>
        <w:t>estatales.</w:t>
      </w:r>
    </w:p>
    <w:p w14:paraId="69086081" w14:textId="77777777" w:rsidR="00725DB3" w:rsidRPr="0043356A" w:rsidRDefault="00725DB3" w:rsidP="00640B22">
      <w:pPr>
        <w:widowControl w:val="0"/>
        <w:autoSpaceDE w:val="0"/>
        <w:autoSpaceDN w:val="0"/>
        <w:spacing w:after="120" w:line="276" w:lineRule="auto"/>
        <w:ind w:firstLine="709"/>
        <w:jc w:val="both"/>
        <w:rPr>
          <w:rFonts w:ascii="Arial" w:eastAsia="Arial" w:hAnsi="Arial" w:cs="Arial"/>
          <w:sz w:val="22"/>
          <w:szCs w:val="22"/>
          <w:lang w:val="es-ES" w:eastAsia="es-ES" w:bidi="es-ES"/>
        </w:rPr>
      </w:pPr>
      <w:r w:rsidRPr="0043356A">
        <w:rPr>
          <w:rFonts w:ascii="Arial" w:eastAsia="Arial" w:hAnsi="Arial" w:cs="Arial"/>
          <w:sz w:val="22"/>
          <w:szCs w:val="22"/>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3356A">
        <w:rPr>
          <w:rFonts w:ascii="Arial" w:eastAsia="Arial" w:hAnsi="Arial" w:cs="Arial"/>
          <w:spacing w:val="-4"/>
          <w:sz w:val="22"/>
          <w:szCs w:val="22"/>
          <w:lang w:val="es-ES" w:eastAsia="es-ES" w:bidi="es-ES"/>
        </w:rPr>
        <w:t xml:space="preserve"> </w:t>
      </w:r>
      <w:r w:rsidRPr="0043356A">
        <w:rPr>
          <w:rFonts w:ascii="Arial" w:eastAsia="Arial" w:hAnsi="Arial" w:cs="Arial"/>
          <w:sz w:val="22"/>
          <w:szCs w:val="22"/>
          <w:lang w:val="es-ES" w:eastAsia="es-ES" w:bidi="es-ES"/>
        </w:rPr>
        <w:t>estatales.</w:t>
      </w:r>
    </w:p>
    <w:p w14:paraId="016B1C0B" w14:textId="77777777" w:rsidR="00725DB3" w:rsidRPr="0043356A" w:rsidRDefault="00725DB3" w:rsidP="00640B22">
      <w:pPr>
        <w:widowControl w:val="0"/>
        <w:autoSpaceDE w:val="0"/>
        <w:autoSpaceDN w:val="0"/>
        <w:spacing w:after="120" w:line="276" w:lineRule="auto"/>
        <w:ind w:firstLine="708"/>
        <w:jc w:val="both"/>
        <w:rPr>
          <w:rFonts w:ascii="Arial" w:eastAsia="Arial" w:hAnsi="Arial" w:cs="Arial"/>
          <w:sz w:val="22"/>
          <w:szCs w:val="22"/>
          <w:lang w:val="es-ES" w:eastAsia="es-ES" w:bidi="es-ES"/>
        </w:rPr>
      </w:pPr>
      <w:r w:rsidRPr="0043356A">
        <w:rPr>
          <w:rFonts w:ascii="Arial" w:eastAsia="Arial" w:hAnsi="Arial" w:cs="Arial"/>
          <w:sz w:val="22"/>
          <w:szCs w:val="22"/>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051F8A0C" w14:textId="77777777" w:rsidR="00725DB3" w:rsidRPr="0043356A" w:rsidRDefault="00725DB3" w:rsidP="00640B22">
      <w:pPr>
        <w:widowControl w:val="0"/>
        <w:autoSpaceDE w:val="0"/>
        <w:autoSpaceDN w:val="0"/>
        <w:spacing w:after="120" w:line="276" w:lineRule="auto"/>
        <w:ind w:firstLine="708"/>
        <w:jc w:val="both"/>
        <w:rPr>
          <w:rFonts w:ascii="Arial" w:eastAsia="Calibri" w:hAnsi="Arial" w:cs="Arial"/>
          <w:bCs/>
          <w:sz w:val="22"/>
          <w:szCs w:val="22"/>
          <w:lang w:eastAsia="es-ES" w:bidi="es-ES"/>
        </w:rPr>
      </w:pPr>
      <w:r w:rsidRPr="0043356A">
        <w:rPr>
          <w:rFonts w:ascii="Arial" w:eastAsia="Arial" w:hAnsi="Arial" w:cs="Arial"/>
          <w:sz w:val="22"/>
          <w:szCs w:val="22"/>
          <w:lang w:val="es-ES" w:eastAsia="es-ES" w:bidi="es-ES"/>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w:t>
      </w:r>
      <w:r w:rsidRPr="0043356A">
        <w:rPr>
          <w:rFonts w:ascii="Arial" w:eastAsia="Arial" w:hAnsi="Arial" w:cs="Arial"/>
          <w:sz w:val="22"/>
          <w:szCs w:val="22"/>
          <w:lang w:val="es-ES" w:eastAsia="es-ES" w:bidi="es-ES"/>
        </w:rPr>
        <w:lastRenderedPageBreak/>
        <w:t>a la normativa contractual pública, como a las normas del derecho civil</w:t>
      </w:r>
      <w:r w:rsidRPr="0043356A">
        <w:rPr>
          <w:rFonts w:ascii="Arial" w:eastAsia="Arial" w:hAnsi="Arial" w:cs="Arial"/>
          <w:spacing w:val="-4"/>
          <w:sz w:val="22"/>
          <w:szCs w:val="22"/>
          <w:lang w:val="es-ES" w:eastAsia="es-ES" w:bidi="es-ES"/>
        </w:rPr>
        <w:t xml:space="preserve"> </w:t>
      </w:r>
      <w:r w:rsidRPr="0043356A">
        <w:rPr>
          <w:rFonts w:ascii="Arial" w:eastAsia="Arial" w:hAnsi="Arial" w:cs="Arial"/>
          <w:sz w:val="22"/>
          <w:szCs w:val="22"/>
          <w:lang w:val="es-ES" w:eastAsia="es-ES" w:bidi="es-ES"/>
        </w:rPr>
        <w:t>[…]»</w:t>
      </w:r>
      <w:r w:rsidRPr="0043356A">
        <w:rPr>
          <w:rFonts w:ascii="Arial" w:eastAsia="Arial" w:hAnsi="Arial" w:cs="Arial"/>
          <w:sz w:val="22"/>
          <w:szCs w:val="22"/>
          <w:vertAlign w:val="superscript"/>
          <w:lang w:val="es-ES" w:eastAsia="es-ES" w:bidi="es-ES"/>
        </w:rPr>
        <w:footnoteReference w:id="16"/>
      </w:r>
      <w:r w:rsidRPr="0043356A">
        <w:rPr>
          <w:rFonts w:ascii="Arial" w:eastAsia="Arial" w:hAnsi="Arial" w:cs="Arial"/>
          <w:sz w:val="22"/>
          <w:szCs w:val="22"/>
          <w:lang w:val="es-ES" w:eastAsia="es-ES" w:bidi="es-ES"/>
        </w:rPr>
        <w:t>.</w:t>
      </w:r>
      <w:bookmarkStart w:id="14" w:name="_Hlk77171241"/>
    </w:p>
    <w:p w14:paraId="25FF9CBE" w14:textId="77777777" w:rsidR="00725DB3" w:rsidRPr="0043356A" w:rsidRDefault="00725DB3" w:rsidP="00725DB3">
      <w:pPr>
        <w:widowControl w:val="0"/>
        <w:autoSpaceDE w:val="0"/>
        <w:autoSpaceDN w:val="0"/>
        <w:spacing w:before="122" w:line="276" w:lineRule="auto"/>
        <w:ind w:firstLine="709"/>
        <w:jc w:val="both"/>
        <w:rPr>
          <w:rFonts w:ascii="Arial" w:eastAsia="Arial" w:hAnsi="Arial" w:cs="Arial"/>
          <w:sz w:val="22"/>
          <w:szCs w:val="22"/>
          <w:lang w:val="es-ES" w:eastAsia="es-ES" w:bidi="es-ES"/>
        </w:rPr>
      </w:pPr>
      <w:r w:rsidRPr="0043356A">
        <w:rPr>
          <w:rFonts w:ascii="Arial" w:eastAsia="Arial" w:hAnsi="Arial" w:cs="Arial"/>
          <w:sz w:val="22"/>
          <w:szCs w:val="22"/>
          <w:lang w:val="es-ES" w:eastAsia="es-ES" w:bidi="es-ES"/>
        </w:rPr>
        <w:t>Sin perjuicio de lo anterior, debe tenerse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5A2CF4B4" w14:textId="77777777" w:rsidR="00725DB3" w:rsidRPr="0043356A" w:rsidRDefault="00725DB3" w:rsidP="00725DB3">
      <w:pPr>
        <w:widowControl w:val="0"/>
        <w:autoSpaceDE w:val="0"/>
        <w:autoSpaceDN w:val="0"/>
        <w:spacing w:line="276" w:lineRule="auto"/>
        <w:ind w:firstLine="709"/>
        <w:jc w:val="both"/>
        <w:rPr>
          <w:rFonts w:ascii="Arial" w:eastAsia="Arial" w:hAnsi="Arial" w:cs="Arial"/>
          <w:sz w:val="22"/>
          <w:szCs w:val="22"/>
          <w:lang w:val="es-ES" w:eastAsia="es-ES" w:bidi="es-ES"/>
        </w:rPr>
      </w:pPr>
    </w:p>
    <w:p w14:paraId="09B4897A" w14:textId="77777777" w:rsidR="00725DB3" w:rsidRPr="0043356A" w:rsidRDefault="00725DB3" w:rsidP="00725DB3">
      <w:pPr>
        <w:ind w:left="709" w:right="709"/>
        <w:jc w:val="both"/>
        <w:rPr>
          <w:rFonts w:ascii="Arial" w:eastAsiaTheme="minorHAnsi" w:hAnsi="Arial" w:cs="Arial"/>
          <w:sz w:val="21"/>
          <w:szCs w:val="21"/>
          <w:lang w:val="es-ES_tradnl" w:eastAsia="en-US"/>
        </w:rPr>
      </w:pPr>
      <w:r w:rsidRPr="0043356A">
        <w:rPr>
          <w:rFonts w:ascii="Arial" w:eastAsiaTheme="minorHAnsi" w:hAnsi="Arial" w:cs="Arial"/>
          <w:sz w:val="21"/>
          <w:szCs w:val="21"/>
          <w:lang w:val="es-ES_tradnl" w:eastAsia="en-US"/>
        </w:rPr>
        <w:t>La Sala de Consulta y Servicio Civil</w:t>
      </w:r>
      <w:r w:rsidRPr="0043356A">
        <w:rPr>
          <w:rFonts w:ascii="Arial" w:eastAsiaTheme="minorHAnsi" w:hAnsi="Arial" w:cs="Arial"/>
          <w:sz w:val="21"/>
          <w:szCs w:val="21"/>
          <w:vertAlign w:val="superscript"/>
          <w:lang w:val="es-ES_tradnl" w:eastAsia="en-US"/>
        </w:rPr>
        <w:footnoteReference w:id="17"/>
      </w:r>
      <w:r w:rsidRPr="0043356A">
        <w:rPr>
          <w:rFonts w:ascii="Arial" w:eastAsiaTheme="minorHAnsi" w:hAnsi="Arial" w:cs="Arial"/>
          <w:sz w:val="21"/>
          <w:szCs w:val="21"/>
          <w:lang w:val="es-ES_tradnl" w:eastAsia="en-US"/>
        </w:rPr>
        <w:t xml:space="preserve"> de esta Corporación se ha referido a los </w:t>
      </w:r>
      <w:r w:rsidRPr="0043356A">
        <w:rPr>
          <w:rFonts w:ascii="Arial" w:eastAsiaTheme="minorHAnsi" w:hAnsi="Arial" w:cs="Arial"/>
          <w:i/>
          <w:sz w:val="21"/>
          <w:szCs w:val="21"/>
          <w:lang w:val="es-ES_tradnl" w:eastAsia="en-US"/>
        </w:rPr>
        <w:t>“convenios interadministrativos”</w:t>
      </w:r>
      <w:r w:rsidRPr="0043356A">
        <w:rPr>
          <w:rFonts w:ascii="Arial" w:eastAsiaTheme="minorHAnsi" w:hAnsi="Arial" w:cs="Arial"/>
          <w:sz w:val="21"/>
          <w:szCs w:val="21"/>
          <w:lang w:val="es-ES_tradnl" w:eastAsia="en-US"/>
        </w:rPr>
        <w:t xml:space="preserve"> a los cuales alude el artículo 95 de la Ley 489 de 1998, calificándolos de </w:t>
      </w:r>
      <w:r w:rsidRPr="0043356A">
        <w:rPr>
          <w:rFonts w:ascii="Arial" w:eastAsiaTheme="minorHAnsi" w:hAnsi="Arial" w:cs="Arial"/>
          <w:i/>
          <w:sz w:val="21"/>
          <w:szCs w:val="21"/>
          <w:lang w:val="es-ES_tradnl" w:eastAsia="en-US"/>
        </w:rPr>
        <w:t xml:space="preserve">“puros” </w:t>
      </w:r>
      <w:r w:rsidRPr="0043356A">
        <w:rPr>
          <w:rFonts w:ascii="Arial" w:eastAsiaTheme="minorHAnsi" w:hAnsi="Arial" w:cs="Arial"/>
          <w:sz w:val="21"/>
          <w:szCs w:val="21"/>
          <w:lang w:val="es-ES_tradnl" w:eastAsia="en-US"/>
        </w:rPr>
        <w:t xml:space="preserve">y entendiendo que estos, además de perseguir la finalidad de cooperación antes indicada, no implican intereses contrapuestos ni tampoco se circunscriben a un </w:t>
      </w:r>
      <w:r w:rsidRPr="0043356A">
        <w:rPr>
          <w:rFonts w:ascii="Arial" w:eastAsiaTheme="minorHAnsi" w:hAnsi="Arial" w:cs="Arial"/>
          <w:i/>
          <w:sz w:val="21"/>
          <w:szCs w:val="21"/>
          <w:lang w:val="es-ES_tradnl" w:eastAsia="en-US"/>
        </w:rPr>
        <w:t>“intercambio patrimonial”</w:t>
      </w:r>
      <w:r w:rsidRPr="0043356A">
        <w:rPr>
          <w:rFonts w:ascii="Arial" w:eastAsiaTheme="minorHAnsi" w:hAnsi="Arial" w:cs="Arial"/>
          <w:sz w:val="21"/>
          <w:szCs w:val="21"/>
          <w:lang w:val="es-ES_tradnl" w:eastAsia="en-US"/>
        </w:rPr>
        <w:t>. Sin perjuicio de lo anterior, en otra oportunidad, la misma Sala</w:t>
      </w:r>
      <w:r w:rsidRPr="0043356A">
        <w:rPr>
          <w:rFonts w:ascii="Arial" w:eastAsiaTheme="minorHAnsi" w:hAnsi="Arial" w:cs="Arial"/>
          <w:sz w:val="21"/>
          <w:szCs w:val="21"/>
          <w:vertAlign w:val="superscript"/>
          <w:lang w:val="es-ES_tradnl" w:eastAsia="en-US"/>
        </w:rPr>
        <w:footnoteReference w:id="18"/>
      </w:r>
      <w:r w:rsidRPr="0043356A">
        <w:rPr>
          <w:rFonts w:ascii="Arial" w:eastAsiaTheme="minorHAnsi" w:hAnsi="Arial" w:cs="Arial"/>
          <w:sz w:val="21"/>
          <w:szCs w:val="21"/>
          <w:lang w:val="es-ES_tradnl" w:eastAsia="en-US"/>
        </w:rPr>
        <w:t xml:space="preserve"> había indicado que, si bien en dichos convenios no se daba un </w:t>
      </w:r>
      <w:r w:rsidRPr="0043356A">
        <w:rPr>
          <w:rFonts w:ascii="Arial" w:eastAsiaTheme="minorHAnsi" w:hAnsi="Arial" w:cs="Arial"/>
          <w:i/>
          <w:sz w:val="21"/>
          <w:szCs w:val="21"/>
          <w:lang w:val="es-ES_tradnl" w:eastAsia="en-US"/>
        </w:rPr>
        <w:t>“verdadero intercambio de bienes o servicios (contrato conmutativo)”</w:t>
      </w:r>
      <w:r w:rsidRPr="0043356A">
        <w:rPr>
          <w:rFonts w:ascii="Arial" w:eastAsiaTheme="minorHAnsi" w:hAnsi="Arial" w:cs="Arial"/>
          <w:sz w:val="21"/>
          <w:szCs w:val="21"/>
          <w:lang w:val="es-ES_tradnl" w:eastAsia="en-US"/>
        </w:rPr>
        <w:t>, ello no impedía que se conviniera una remuneración a cargo de alguna(s) entidad(es).</w:t>
      </w:r>
    </w:p>
    <w:p w14:paraId="6E0AD4A6" w14:textId="77777777" w:rsidR="00725DB3" w:rsidRPr="0043356A" w:rsidRDefault="00725DB3" w:rsidP="00725DB3">
      <w:pPr>
        <w:ind w:left="709" w:right="709"/>
        <w:jc w:val="both"/>
        <w:rPr>
          <w:rFonts w:ascii="Arial" w:eastAsiaTheme="minorHAnsi" w:hAnsi="Arial" w:cs="Arial"/>
          <w:sz w:val="21"/>
          <w:szCs w:val="21"/>
          <w:lang w:val="es-ES_tradnl" w:eastAsia="en-US"/>
        </w:rPr>
      </w:pPr>
    </w:p>
    <w:p w14:paraId="308CE183" w14:textId="77777777" w:rsidR="00725DB3" w:rsidRPr="0043356A" w:rsidRDefault="00725DB3" w:rsidP="00725DB3">
      <w:pPr>
        <w:widowControl w:val="0"/>
        <w:autoSpaceDE w:val="0"/>
        <w:autoSpaceDN w:val="0"/>
        <w:ind w:left="709" w:right="709"/>
        <w:jc w:val="both"/>
        <w:rPr>
          <w:rFonts w:ascii="Arial" w:eastAsia="Arial" w:hAnsi="Arial" w:cs="Arial"/>
          <w:sz w:val="21"/>
          <w:szCs w:val="21"/>
          <w:lang w:val="es-ES" w:eastAsia="es-ES" w:bidi="es-ES"/>
        </w:rPr>
      </w:pPr>
      <w:r w:rsidRPr="0043356A">
        <w:rPr>
          <w:rFonts w:ascii="Arial" w:eastAsia="Arial" w:hAnsi="Arial" w:cs="Arial"/>
          <w:sz w:val="21"/>
          <w:szCs w:val="21"/>
          <w:lang w:val="es-ES_tradnl" w:eastAsia="es-ES" w:bidi="es-ES"/>
        </w:rPr>
        <w:t xml:space="preserve">Lo expuesto evidencia que, en general, las interpretaciones en torno a los </w:t>
      </w:r>
      <w:r w:rsidRPr="0043356A">
        <w:rPr>
          <w:rFonts w:ascii="Arial" w:eastAsia="Arial" w:hAnsi="Arial" w:cs="Arial"/>
          <w:i/>
          <w:sz w:val="21"/>
          <w:szCs w:val="21"/>
          <w:lang w:val="es-ES_tradnl" w:eastAsia="es-ES" w:bidi="es-ES"/>
        </w:rPr>
        <w:t>“convenios interadministrativos”</w:t>
      </w:r>
      <w:r w:rsidRPr="0043356A">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43356A">
        <w:rPr>
          <w:rFonts w:ascii="Arial" w:eastAsia="Arial" w:hAnsi="Arial" w:cs="Arial"/>
          <w:sz w:val="21"/>
          <w:szCs w:val="21"/>
          <w:vertAlign w:val="superscript"/>
          <w:lang w:val="es-ES_tradnl" w:eastAsia="es-ES" w:bidi="es-ES"/>
        </w:rPr>
        <w:footnoteReference w:id="19"/>
      </w:r>
      <w:r w:rsidRPr="0043356A">
        <w:rPr>
          <w:rFonts w:ascii="Arial" w:eastAsia="Arial" w:hAnsi="Arial" w:cs="Arial"/>
          <w:sz w:val="21"/>
          <w:szCs w:val="21"/>
          <w:vertAlign w:val="superscript"/>
          <w:lang w:val="es-ES_tradnl" w:eastAsia="es-ES" w:bidi="es-ES"/>
        </w:rPr>
        <w:footnoteReference w:id="20"/>
      </w:r>
      <w:r w:rsidRPr="0043356A">
        <w:rPr>
          <w:rFonts w:ascii="Arial" w:eastAsia="Arial" w:hAnsi="Arial" w:cs="Arial"/>
          <w:sz w:val="21"/>
          <w:szCs w:val="21"/>
          <w:lang w:val="es-ES_tradnl" w:eastAsia="es-ES" w:bidi="es-ES"/>
        </w:rPr>
        <w:t>.</w:t>
      </w:r>
    </w:p>
    <w:p w14:paraId="27B42626" w14:textId="77777777" w:rsidR="00725DB3" w:rsidRPr="0043356A" w:rsidRDefault="00725DB3" w:rsidP="00725DB3">
      <w:pPr>
        <w:widowControl w:val="0"/>
        <w:autoSpaceDE w:val="0"/>
        <w:autoSpaceDN w:val="0"/>
        <w:spacing w:line="276" w:lineRule="auto"/>
        <w:jc w:val="both"/>
        <w:rPr>
          <w:rFonts w:ascii="Arial" w:eastAsia="Arial" w:hAnsi="Arial" w:cs="Arial"/>
          <w:sz w:val="22"/>
          <w:szCs w:val="22"/>
          <w:lang w:val="es-ES" w:eastAsia="es-ES" w:bidi="es-ES"/>
        </w:rPr>
      </w:pPr>
    </w:p>
    <w:p w14:paraId="45284530" w14:textId="4D71B489" w:rsidR="00725DB3" w:rsidRPr="0043356A" w:rsidRDefault="00725DB3" w:rsidP="00725DB3">
      <w:pPr>
        <w:widowControl w:val="0"/>
        <w:autoSpaceDE w:val="0"/>
        <w:autoSpaceDN w:val="0"/>
        <w:spacing w:after="120" w:line="276" w:lineRule="auto"/>
        <w:jc w:val="both"/>
        <w:rPr>
          <w:rFonts w:ascii="Arial" w:eastAsia="Arial" w:hAnsi="Arial" w:cs="Arial"/>
          <w:sz w:val="22"/>
          <w:szCs w:val="22"/>
          <w:lang w:val="es-ES" w:eastAsia="es-ES" w:bidi="es-ES"/>
        </w:rPr>
      </w:pPr>
      <w:r w:rsidRPr="0043356A">
        <w:rPr>
          <w:rFonts w:ascii="Arial" w:eastAsia="Arial" w:hAnsi="Arial" w:cs="Arial"/>
          <w:sz w:val="22"/>
          <w:szCs w:val="22"/>
          <w:lang w:val="es-ES" w:eastAsia="es-ES" w:bidi="es-ES"/>
        </w:rPr>
        <w:tab/>
      </w:r>
      <w:r w:rsidR="00080CCA" w:rsidRPr="0043356A">
        <w:rPr>
          <w:rFonts w:ascii="Arial" w:eastAsia="Arial" w:hAnsi="Arial" w:cs="Arial"/>
          <w:sz w:val="22"/>
          <w:szCs w:val="22"/>
          <w:lang w:val="es-ES" w:eastAsia="es-ES" w:bidi="es-ES"/>
        </w:rPr>
        <w:t>En todo caso</w:t>
      </w:r>
      <w:r w:rsidRPr="0043356A">
        <w:rPr>
          <w:rFonts w:ascii="Arial" w:eastAsia="Arial" w:hAnsi="Arial" w:cs="Arial"/>
          <w:sz w:val="22"/>
          <w:szCs w:val="22"/>
          <w:lang w:val="es-ES" w:eastAsia="es-ES" w:bidi="es-ES"/>
        </w:rPr>
        <w:t>, debe reiterarse que el ordenamiento jurídico</w:t>
      </w:r>
      <w:r w:rsidR="00D35264" w:rsidRPr="0043356A">
        <w:rPr>
          <w:rFonts w:ascii="Arial" w:eastAsia="Arial" w:hAnsi="Arial" w:cs="Arial"/>
          <w:sz w:val="22"/>
          <w:szCs w:val="22"/>
          <w:lang w:val="es-ES" w:eastAsia="es-ES" w:bidi="es-ES"/>
        </w:rPr>
        <w:t xml:space="preserve"> </w:t>
      </w:r>
      <w:r w:rsidRPr="0043356A">
        <w:rPr>
          <w:rFonts w:ascii="Arial" w:eastAsia="Arial" w:hAnsi="Arial" w:cs="Arial"/>
          <w:sz w:val="22"/>
          <w:szCs w:val="22"/>
          <w:lang w:val="es-ES" w:eastAsia="es-ES" w:bidi="es-ES"/>
        </w:rPr>
        <w:t>en distintas ocasiones utiliza de forma indistinta los conceptos de contrato o convenio para referirse a la misma institución jurídica</w:t>
      </w:r>
      <w:r w:rsidRPr="0043356A">
        <w:rPr>
          <w:rFonts w:ascii="Arial" w:eastAsia="Arial" w:hAnsi="Arial" w:cs="Arial"/>
          <w:sz w:val="22"/>
          <w:szCs w:val="22"/>
          <w:vertAlign w:val="superscript"/>
          <w:lang w:val="es-ES" w:eastAsia="es-ES" w:bidi="es-ES"/>
        </w:rPr>
        <w:footnoteReference w:id="21"/>
      </w:r>
      <w:r w:rsidRPr="0043356A">
        <w:rPr>
          <w:rFonts w:ascii="Arial" w:eastAsia="Arial" w:hAnsi="Arial" w:cs="Arial"/>
          <w:sz w:val="22"/>
          <w:szCs w:val="22"/>
          <w:lang w:val="es-ES" w:eastAsia="es-ES" w:bidi="es-ES"/>
        </w:rPr>
        <w:t>. Incluso la Corte Constitucional explica la posibilidad de celebrar convenios interadministrativos de forma directa, con fundamento en la causal establecida en la Ley 1150 de 2007 respecto a los contratos interadministrativos</w:t>
      </w:r>
      <w:r w:rsidRPr="0043356A">
        <w:rPr>
          <w:rFonts w:ascii="Arial" w:eastAsia="Arial" w:hAnsi="Arial" w:cs="Arial"/>
          <w:sz w:val="22"/>
          <w:szCs w:val="22"/>
          <w:vertAlign w:val="superscript"/>
          <w:lang w:val="es-ES" w:eastAsia="es-ES" w:bidi="es-ES"/>
        </w:rPr>
        <w:footnoteReference w:id="22"/>
      </w:r>
      <w:r w:rsidRPr="0043356A">
        <w:rPr>
          <w:rFonts w:ascii="Arial" w:eastAsia="Arial" w:hAnsi="Arial" w:cs="Arial"/>
          <w:sz w:val="22"/>
          <w:szCs w:val="22"/>
          <w:lang w:val="es-ES" w:eastAsia="es-ES" w:bidi="es-ES"/>
        </w:rPr>
        <w:t>.</w:t>
      </w:r>
    </w:p>
    <w:p w14:paraId="34F323EC" w14:textId="77777777" w:rsidR="00725DB3" w:rsidRPr="0043356A" w:rsidRDefault="00725DB3" w:rsidP="00725DB3">
      <w:pPr>
        <w:widowControl w:val="0"/>
        <w:autoSpaceDE w:val="0"/>
        <w:autoSpaceDN w:val="0"/>
        <w:spacing w:line="276" w:lineRule="auto"/>
        <w:jc w:val="both"/>
        <w:rPr>
          <w:rFonts w:ascii="Arial" w:eastAsia="Arial" w:hAnsi="Arial" w:cs="Arial"/>
          <w:sz w:val="22"/>
          <w:szCs w:val="22"/>
          <w:lang w:val="es-ES" w:eastAsia="es-ES" w:bidi="es-ES"/>
        </w:rPr>
      </w:pPr>
      <w:r w:rsidRPr="0043356A">
        <w:rPr>
          <w:rFonts w:ascii="Arial" w:eastAsia="Arial" w:hAnsi="Arial" w:cs="Arial"/>
          <w:sz w:val="22"/>
          <w:szCs w:val="22"/>
          <w:lang w:val="es-ES" w:eastAsia="es-ES" w:bidi="es-ES"/>
        </w:rPr>
        <w:tab/>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6EB5D445" w14:textId="77777777" w:rsidR="00725DB3" w:rsidRPr="0043356A" w:rsidRDefault="00725DB3" w:rsidP="00725DB3">
      <w:pPr>
        <w:widowControl w:val="0"/>
        <w:autoSpaceDE w:val="0"/>
        <w:autoSpaceDN w:val="0"/>
        <w:spacing w:line="276" w:lineRule="auto"/>
        <w:jc w:val="both"/>
        <w:rPr>
          <w:rFonts w:ascii="Arial" w:eastAsia="Arial" w:hAnsi="Arial" w:cs="Arial"/>
          <w:sz w:val="22"/>
          <w:szCs w:val="22"/>
          <w:lang w:val="es-ES" w:eastAsia="es-ES" w:bidi="es-ES"/>
        </w:rPr>
      </w:pPr>
    </w:p>
    <w:p w14:paraId="509D5C78" w14:textId="77777777" w:rsidR="00725DB3" w:rsidRPr="0043356A" w:rsidRDefault="00725DB3" w:rsidP="00725DB3">
      <w:pPr>
        <w:spacing w:after="120"/>
        <w:ind w:left="709" w:right="709"/>
        <w:jc w:val="both"/>
        <w:rPr>
          <w:rFonts w:ascii="Arial" w:eastAsiaTheme="minorHAnsi" w:hAnsi="Arial" w:cs="Arial"/>
          <w:sz w:val="21"/>
          <w:szCs w:val="21"/>
          <w:lang w:val="es-MX" w:eastAsia="en-US"/>
        </w:rPr>
      </w:pPr>
      <w:r w:rsidRPr="0043356A">
        <w:rPr>
          <w:rFonts w:ascii="Arial" w:eastAsiaTheme="minorHAnsi" w:hAnsi="Arial" w:cs="Arial"/>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43356A">
        <w:rPr>
          <w:rFonts w:ascii="Arial" w:eastAsiaTheme="minorHAnsi" w:hAnsi="Arial" w:cs="Arial"/>
          <w:sz w:val="21"/>
          <w:szCs w:val="21"/>
          <w:lang w:val="es-MX" w:eastAsia="en-US"/>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3FF135BF" w14:textId="77777777" w:rsidR="00725DB3" w:rsidRPr="0043356A" w:rsidRDefault="00725DB3" w:rsidP="00725DB3">
      <w:pPr>
        <w:spacing w:after="120"/>
        <w:ind w:left="709" w:right="709"/>
        <w:jc w:val="both"/>
        <w:rPr>
          <w:rFonts w:ascii="Arial" w:eastAsiaTheme="minorHAnsi" w:hAnsi="Arial" w:cs="Arial"/>
          <w:sz w:val="21"/>
          <w:szCs w:val="21"/>
          <w:lang w:val="es-MX" w:eastAsia="en-US"/>
        </w:rPr>
      </w:pPr>
      <w:r w:rsidRPr="0043356A">
        <w:rPr>
          <w:rFonts w:ascii="Arial" w:eastAsiaTheme="minorHAnsi" w:hAnsi="Arial" w:cs="Arial"/>
          <w:sz w:val="21"/>
          <w:szCs w:val="21"/>
          <w:lang w:val="es-MX" w:eastAsia="en-US"/>
        </w:rPr>
        <w:t xml:space="preserve">No obstante, por vía jurisprudencial se ha establecido que en los contratos interadministrativos existe una contraprestación directa a favor de la entidad que ha entregado el bien o prestado el servicio a la Entidad contratante, habilitado </w:t>
      </w:r>
      <w:r w:rsidRPr="0043356A">
        <w:rPr>
          <w:rFonts w:ascii="Arial" w:eastAsiaTheme="minorHAnsi" w:hAnsi="Arial" w:cs="Arial"/>
          <w:sz w:val="21"/>
          <w:szCs w:val="21"/>
          <w:lang w:val="es-MX" w:eastAsia="en-US"/>
        </w:rPr>
        <w:lastRenderedPageBreak/>
        <w:t>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23A7A52C" w14:textId="77777777" w:rsidR="00725DB3" w:rsidRPr="0043356A" w:rsidRDefault="00725DB3" w:rsidP="00725DB3">
      <w:pPr>
        <w:ind w:left="709" w:right="709"/>
        <w:jc w:val="both"/>
        <w:rPr>
          <w:rFonts w:ascii="Arial" w:eastAsiaTheme="minorHAnsi" w:hAnsi="Arial" w:cs="Arial"/>
          <w:szCs w:val="22"/>
          <w:lang w:val="es-MX" w:eastAsia="en-US"/>
        </w:rPr>
      </w:pPr>
      <w:r w:rsidRPr="0043356A">
        <w:rPr>
          <w:rFonts w:ascii="Arial" w:eastAsiaTheme="minorHAnsi" w:hAnsi="Arial" w:cs="Arial"/>
          <w:sz w:val="21"/>
          <w:szCs w:val="21"/>
          <w:lang w:val="es-MX"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71785914" w14:textId="77777777" w:rsidR="00725DB3" w:rsidRPr="0043356A" w:rsidRDefault="00725DB3" w:rsidP="00725DB3">
      <w:pPr>
        <w:widowControl w:val="0"/>
        <w:autoSpaceDE w:val="0"/>
        <w:autoSpaceDN w:val="0"/>
        <w:spacing w:before="3" w:line="276" w:lineRule="auto"/>
        <w:jc w:val="both"/>
        <w:rPr>
          <w:rFonts w:ascii="Arial" w:eastAsia="Arial" w:hAnsi="Arial" w:cs="Arial"/>
          <w:sz w:val="22"/>
          <w:szCs w:val="22"/>
          <w:lang w:val="es-ES" w:eastAsia="es-ES" w:bidi="es-ES"/>
        </w:rPr>
      </w:pPr>
    </w:p>
    <w:p w14:paraId="30FE5B23" w14:textId="145E5E0B" w:rsidR="00725DB3" w:rsidRPr="0043356A" w:rsidRDefault="00725DB3" w:rsidP="00725DB3">
      <w:pPr>
        <w:widowControl w:val="0"/>
        <w:autoSpaceDE w:val="0"/>
        <w:autoSpaceDN w:val="0"/>
        <w:spacing w:after="120" w:line="276" w:lineRule="auto"/>
        <w:jc w:val="both"/>
        <w:rPr>
          <w:rFonts w:ascii="Arial" w:eastAsia="Calibri" w:hAnsi="Arial" w:cs="Arial"/>
          <w:bCs/>
          <w:sz w:val="22"/>
          <w:szCs w:val="22"/>
          <w:lang w:eastAsia="es-ES" w:bidi="es-ES"/>
        </w:rPr>
      </w:pPr>
      <w:r w:rsidRPr="0043356A">
        <w:rPr>
          <w:rFonts w:ascii="Arial" w:eastAsia="Arial" w:hAnsi="Arial" w:cs="Arial"/>
          <w:sz w:val="25"/>
          <w:szCs w:val="22"/>
          <w:lang w:val="es-ES" w:eastAsia="es-ES" w:bidi="es-ES"/>
        </w:rPr>
        <w:tab/>
      </w:r>
      <w:r w:rsidR="00730D3A" w:rsidRPr="0043356A">
        <w:rPr>
          <w:rFonts w:ascii="Arial" w:eastAsia="Arial" w:hAnsi="Arial" w:cs="Arial"/>
          <w:sz w:val="22"/>
          <w:szCs w:val="22"/>
          <w:lang w:val="es-ES" w:eastAsia="es-ES" w:bidi="es-ES"/>
        </w:rPr>
        <w:t>De lo anterior se desprende</w:t>
      </w:r>
      <w:r w:rsidRPr="0043356A">
        <w:rPr>
          <w:rFonts w:ascii="Arial" w:eastAsia="Arial" w:hAnsi="Arial" w:cs="Arial"/>
          <w:sz w:val="22"/>
          <w:szCs w:val="22"/>
          <w:lang w:val="es-ES" w:eastAsia="es-ES" w:bidi="es-ES"/>
        </w:rPr>
        <w:t xml:space="preserve">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asimilaron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14"/>
    </w:p>
    <w:p w14:paraId="4B372F70" w14:textId="679B8313" w:rsidR="0045580D" w:rsidRPr="0043356A" w:rsidRDefault="00725DB3">
      <w:pPr>
        <w:tabs>
          <w:tab w:val="left" w:pos="426"/>
        </w:tabs>
        <w:spacing w:after="120" w:line="276" w:lineRule="auto"/>
        <w:ind w:firstLine="709"/>
        <w:jc w:val="both"/>
        <w:rPr>
          <w:rFonts w:ascii="Arial" w:hAnsi="Arial" w:cs="Arial"/>
          <w:bCs/>
          <w:sz w:val="22"/>
          <w:szCs w:val="22"/>
          <w:lang w:eastAsia="es-CO"/>
        </w:rPr>
      </w:pPr>
      <w:r w:rsidRPr="0043356A">
        <w:rPr>
          <w:rFonts w:ascii="Arial" w:hAnsi="Arial" w:cs="Arial"/>
          <w:bCs/>
          <w:sz w:val="22"/>
          <w:szCs w:val="22"/>
          <w:lang w:eastAsia="es-CO"/>
        </w:rPr>
        <w:t xml:space="preserve">Se observa entonces que </w:t>
      </w:r>
      <w:r w:rsidRPr="0043356A">
        <w:rPr>
          <w:rFonts w:ascii="Arial" w:hAnsi="Arial" w:cs="Arial"/>
          <w:bCs/>
          <w:sz w:val="22"/>
          <w:szCs w:val="22"/>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43356A">
        <w:rPr>
          <w:rFonts w:ascii="Arial" w:hAnsi="Arial" w:cs="Arial"/>
          <w:bCs/>
          <w:iCs/>
          <w:sz w:val="22"/>
          <w:szCs w:val="22"/>
          <w:lang w:val="es-MX" w:eastAsia="es-CO"/>
        </w:rPr>
        <w:t>ibidem</w:t>
      </w:r>
      <w:r w:rsidRPr="0043356A">
        <w:rPr>
          <w:rFonts w:ascii="Arial" w:hAnsi="Arial" w:cs="Arial"/>
          <w:bCs/>
          <w:sz w:val="22"/>
          <w:szCs w:val="22"/>
          <w:lang w:val="es-MX"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43356A">
        <w:rPr>
          <w:rStyle w:val="Refdenotaalpie"/>
          <w:rFonts w:ascii="Arial" w:hAnsi="Arial" w:cs="Arial"/>
          <w:bCs/>
          <w:sz w:val="22"/>
          <w:szCs w:val="22"/>
          <w:lang w:val="es-MX" w:eastAsia="es-CO"/>
        </w:rPr>
        <w:footnoteReference w:id="23"/>
      </w:r>
      <w:r w:rsidRPr="0043356A">
        <w:rPr>
          <w:rFonts w:ascii="Arial" w:hAnsi="Arial" w:cs="Arial"/>
          <w:bCs/>
          <w:sz w:val="22"/>
          <w:szCs w:val="22"/>
          <w:lang w:val="es-MX" w:eastAsia="es-CO"/>
        </w:rPr>
        <w:t xml:space="preserve">. </w:t>
      </w:r>
      <w:r w:rsidR="0045580D" w:rsidRPr="0043356A">
        <w:rPr>
          <w:rFonts w:ascii="Arial" w:hAnsi="Arial" w:cs="Arial"/>
          <w:bCs/>
          <w:sz w:val="22"/>
          <w:szCs w:val="22"/>
          <w:lang w:val="es-MX" w:eastAsia="es-CO"/>
        </w:rPr>
        <w:t xml:space="preserve">Así mismo, se resalta que este parágrafo fue modificado </w:t>
      </w:r>
      <w:r w:rsidR="00080CCA" w:rsidRPr="0043356A">
        <w:rPr>
          <w:rFonts w:ascii="Arial" w:hAnsi="Arial" w:cs="Arial"/>
          <w:bCs/>
          <w:sz w:val="22"/>
          <w:szCs w:val="22"/>
          <w:lang w:val="es-MX" w:eastAsia="es-CO"/>
        </w:rPr>
        <w:t xml:space="preserve">parcial y </w:t>
      </w:r>
      <w:r w:rsidR="0045580D" w:rsidRPr="0043356A">
        <w:rPr>
          <w:rFonts w:ascii="Arial" w:hAnsi="Arial" w:cs="Arial"/>
          <w:bCs/>
          <w:sz w:val="22"/>
          <w:szCs w:val="22"/>
          <w:lang w:val="es-MX" w:eastAsia="es-CO"/>
        </w:rPr>
        <w:t>transitoriamente por el artículo 124 de la Ley 2159 de 2021</w:t>
      </w:r>
      <w:r w:rsidR="0045580D" w:rsidRPr="0043356A">
        <w:rPr>
          <w:rStyle w:val="Refdenotaalpie"/>
          <w:rFonts w:ascii="Arial" w:hAnsi="Arial" w:cs="Arial"/>
          <w:bCs/>
          <w:sz w:val="22"/>
          <w:szCs w:val="22"/>
          <w:lang w:val="es-MX" w:eastAsia="es-CO"/>
        </w:rPr>
        <w:footnoteReference w:id="24"/>
      </w:r>
      <w:r w:rsidR="0045580D" w:rsidRPr="0043356A">
        <w:rPr>
          <w:rFonts w:ascii="Arial" w:hAnsi="Arial" w:cs="Arial"/>
          <w:bCs/>
          <w:sz w:val="22"/>
          <w:szCs w:val="22"/>
          <w:lang w:val="es-MX" w:eastAsia="es-CO"/>
        </w:rPr>
        <w:t xml:space="preserve">, </w:t>
      </w:r>
      <w:r w:rsidR="00080CCA" w:rsidRPr="0043356A">
        <w:rPr>
          <w:rFonts w:ascii="Arial" w:hAnsi="Arial" w:cs="Arial"/>
          <w:bCs/>
          <w:sz w:val="22"/>
          <w:szCs w:val="22"/>
          <w:lang w:val="es-MX" w:eastAsia="es-CO"/>
        </w:rPr>
        <w:t xml:space="preserve">estableciendo una excepción a la prohibición, </w:t>
      </w:r>
      <w:r w:rsidR="00C70CC7" w:rsidRPr="0043356A">
        <w:rPr>
          <w:rFonts w:ascii="Arial" w:hAnsi="Arial" w:cs="Arial"/>
          <w:bCs/>
          <w:sz w:val="22"/>
          <w:szCs w:val="22"/>
          <w:lang w:val="es-MX" w:eastAsia="es-CO"/>
        </w:rPr>
        <w:lastRenderedPageBreak/>
        <w:t>estableciendo que a partir de la publicación de dicha ley y durante la</w:t>
      </w:r>
      <w:r w:rsidR="0045580D" w:rsidRPr="0043356A">
        <w:rPr>
          <w:rFonts w:ascii="Arial" w:hAnsi="Arial" w:cs="Arial"/>
          <w:bCs/>
          <w:sz w:val="22"/>
          <w:szCs w:val="22"/>
          <w:lang w:val="es-MX" w:eastAsia="es-CO"/>
        </w:rPr>
        <w:t xml:space="preserve"> vigencia fiscal 2022, </w:t>
      </w:r>
      <w:r w:rsidR="0045580D" w:rsidRPr="0043356A">
        <w:rPr>
          <w:rFonts w:ascii="Arial" w:eastAsia="Calibri" w:hAnsi="Arial" w:cs="Arial"/>
          <w:sz w:val="22"/>
          <w:szCs w:val="22"/>
          <w:lang w:eastAsia="en-US"/>
        </w:rPr>
        <w:t>la Nación podrá celebrar convenios interadministrativos con las entidades territoriales para ejecutar programas y proyectos correspondientes al Presupuesto General de la Nación</w:t>
      </w:r>
      <w:r w:rsidR="00C70CC7" w:rsidRPr="0043356A">
        <w:rPr>
          <w:rStyle w:val="Refdenotaalpie"/>
          <w:rFonts w:ascii="Arial" w:eastAsia="Calibri" w:hAnsi="Arial" w:cs="Arial"/>
          <w:sz w:val="22"/>
          <w:szCs w:val="22"/>
          <w:lang w:eastAsia="en-US"/>
        </w:rPr>
        <w:footnoteReference w:id="25"/>
      </w:r>
      <w:r w:rsidR="0045580D" w:rsidRPr="0043356A">
        <w:rPr>
          <w:rFonts w:ascii="Arial" w:eastAsia="Calibri" w:hAnsi="Arial" w:cs="Arial"/>
          <w:sz w:val="22"/>
          <w:szCs w:val="22"/>
          <w:lang w:eastAsia="en-US"/>
        </w:rPr>
        <w:t>.</w:t>
      </w:r>
    </w:p>
    <w:p w14:paraId="45E4475D" w14:textId="77777777" w:rsidR="00725DB3" w:rsidRPr="0043356A" w:rsidRDefault="00725DB3" w:rsidP="00725DB3">
      <w:pPr>
        <w:widowControl w:val="0"/>
        <w:autoSpaceDE w:val="0"/>
        <w:autoSpaceDN w:val="0"/>
        <w:spacing w:line="276" w:lineRule="auto"/>
        <w:ind w:firstLine="709"/>
        <w:jc w:val="both"/>
        <w:rPr>
          <w:rFonts w:ascii="Arial" w:hAnsi="Arial" w:cs="Arial"/>
          <w:bCs/>
          <w:iCs/>
          <w:sz w:val="22"/>
          <w:szCs w:val="22"/>
          <w:lang w:eastAsia="x-none" w:bidi="es-ES"/>
        </w:rPr>
      </w:pPr>
      <w:r w:rsidRPr="0043356A">
        <w:rPr>
          <w:rFonts w:ascii="Arial" w:hAnsi="Arial" w:cs="Arial"/>
          <w:bCs/>
          <w:sz w:val="22"/>
          <w:szCs w:val="22"/>
          <w:lang w:val="es-ES" w:eastAsia="es-CO" w:bidi="es-ES"/>
        </w:rPr>
        <w:t>En todo caso</w:t>
      </w:r>
      <w:bookmarkStart w:id="15" w:name="_Hlk77154098"/>
      <w:r w:rsidRPr="0043356A">
        <w:rPr>
          <w:rFonts w:ascii="Arial" w:eastAsia="Arial" w:hAnsi="Arial" w:cs="Arial"/>
          <w:sz w:val="22"/>
          <w:szCs w:val="22"/>
          <w:lang w:val="es-ES" w:eastAsia="es-ES" w:bidi="es-ES"/>
        </w:rPr>
        <w:t xml:space="preserve">, es importante resaltar que la Sala de Consulta y Servicio Civil del Consejo de Estado se ha pronunciado en el sentido de que </w:t>
      </w:r>
      <w:bookmarkStart w:id="16" w:name="_Hlk78820889"/>
      <w:r w:rsidRPr="0043356A">
        <w:rPr>
          <w:rFonts w:ascii="Arial" w:eastAsia="Arial" w:hAnsi="Arial" w:cs="Arial"/>
          <w:sz w:val="22"/>
          <w:szCs w:val="22"/>
          <w:lang w:val="es-ES"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16"/>
      <w:r w:rsidRPr="0043356A">
        <w:rPr>
          <w:rFonts w:ascii="Arial" w:eastAsia="Arial" w:hAnsi="Arial" w:cs="Arial"/>
          <w:sz w:val="22"/>
          <w:szCs w:val="22"/>
          <w:vertAlign w:val="superscript"/>
          <w:lang w:val="es-ES" w:eastAsia="es-ES" w:bidi="es-ES"/>
        </w:rPr>
        <w:footnoteReference w:id="26"/>
      </w:r>
      <w:r w:rsidRPr="0043356A">
        <w:rPr>
          <w:rFonts w:ascii="Arial" w:eastAsia="Calibri" w:hAnsi="Arial" w:cs="Arial"/>
          <w:sz w:val="22"/>
          <w:szCs w:val="22"/>
          <w:lang w:eastAsia="es-ES" w:bidi="es-ES"/>
        </w:rPr>
        <w:t>.</w:t>
      </w:r>
      <w:bookmarkEnd w:id="15"/>
    </w:p>
    <w:bookmarkEnd w:id="11"/>
    <w:p w14:paraId="625E12D7" w14:textId="77777777" w:rsidR="00725DB3" w:rsidRPr="0043356A" w:rsidRDefault="00725DB3" w:rsidP="00640B22">
      <w:pPr>
        <w:spacing w:line="276" w:lineRule="auto"/>
        <w:jc w:val="both"/>
        <w:rPr>
          <w:rFonts w:ascii="Arial" w:eastAsia="Arial" w:hAnsi="Arial" w:cs="Arial"/>
          <w:sz w:val="22"/>
          <w:szCs w:val="22"/>
          <w:lang w:eastAsia="es-ES" w:bidi="es-ES"/>
        </w:rPr>
      </w:pPr>
    </w:p>
    <w:p w14:paraId="3E51E3AF" w14:textId="540063AA" w:rsidR="003C408D" w:rsidRPr="0043356A" w:rsidRDefault="003C408D" w:rsidP="003C408D">
      <w:pPr>
        <w:spacing w:line="276" w:lineRule="auto"/>
        <w:jc w:val="both"/>
        <w:rPr>
          <w:rFonts w:ascii="Arial" w:hAnsi="Arial" w:cs="Arial"/>
          <w:b/>
          <w:sz w:val="22"/>
          <w:szCs w:val="22"/>
          <w:lang w:val="es-ES" w:eastAsia="es-CO"/>
        </w:rPr>
      </w:pPr>
      <w:r w:rsidRPr="0043356A">
        <w:rPr>
          <w:rFonts w:ascii="Arial" w:hAnsi="Arial" w:cs="Arial"/>
          <w:b/>
          <w:sz w:val="22"/>
          <w:szCs w:val="22"/>
          <w:lang w:val="es-ES" w:eastAsia="es-CO"/>
        </w:rPr>
        <w:t>2.</w:t>
      </w:r>
      <w:r w:rsidR="00725DB3" w:rsidRPr="0043356A">
        <w:rPr>
          <w:rFonts w:ascii="Arial" w:hAnsi="Arial" w:cs="Arial"/>
          <w:b/>
          <w:sz w:val="22"/>
          <w:szCs w:val="22"/>
          <w:lang w:val="es-ES" w:eastAsia="es-CO"/>
        </w:rPr>
        <w:t>3</w:t>
      </w:r>
      <w:r w:rsidRPr="0043356A">
        <w:rPr>
          <w:rFonts w:ascii="Arial" w:hAnsi="Arial" w:cs="Arial"/>
          <w:b/>
          <w:sz w:val="22"/>
          <w:szCs w:val="22"/>
          <w:lang w:val="es-ES" w:eastAsia="es-CO"/>
        </w:rPr>
        <w:t xml:space="preserve">. </w:t>
      </w:r>
      <w:r w:rsidRPr="0043356A">
        <w:rPr>
          <w:rFonts w:ascii="Arial" w:hAnsi="Arial" w:cs="Arial"/>
          <w:b/>
          <w:bCs/>
          <w:sz w:val="22"/>
          <w:szCs w:val="22"/>
          <w:lang w:val="es-MX" w:eastAsia="es-CO"/>
        </w:rPr>
        <w:t>Restricciones en elecciones presidenciales</w:t>
      </w:r>
      <w:r w:rsidR="00A85D9F" w:rsidRPr="0043356A">
        <w:rPr>
          <w:rFonts w:ascii="Arial" w:hAnsi="Arial" w:cs="Arial"/>
          <w:b/>
          <w:bCs/>
          <w:sz w:val="22"/>
          <w:szCs w:val="22"/>
          <w:lang w:val="es-MX" w:eastAsia="es-CO"/>
        </w:rPr>
        <w:t xml:space="preserve">: </w:t>
      </w:r>
      <w:r w:rsidR="00A85D9F" w:rsidRPr="0043356A">
        <w:rPr>
          <w:rFonts w:ascii="Arial" w:hAnsi="Arial" w:cs="Arial"/>
          <w:b/>
          <w:bCs/>
          <w:sz w:val="22"/>
          <w:szCs w:val="22"/>
          <w:lang w:val="es-ES_tradnl" w:eastAsia="es-CO"/>
        </w:rPr>
        <w:t>prohibición del artículo 33 de la Ley 996 de 2005</w:t>
      </w:r>
    </w:p>
    <w:p w14:paraId="66988F6E" w14:textId="77777777" w:rsidR="003C408D" w:rsidRPr="0043356A" w:rsidRDefault="003C408D" w:rsidP="003C408D">
      <w:pPr>
        <w:spacing w:line="276" w:lineRule="auto"/>
        <w:jc w:val="both"/>
        <w:rPr>
          <w:rFonts w:ascii="Arial" w:hAnsi="Arial" w:cs="Arial"/>
          <w:bCs/>
          <w:sz w:val="22"/>
          <w:szCs w:val="22"/>
          <w:lang w:val="es-MX" w:eastAsia="x-none"/>
        </w:rPr>
      </w:pPr>
    </w:p>
    <w:p w14:paraId="05C36D85" w14:textId="77777777" w:rsidR="003C408D" w:rsidRPr="0043356A" w:rsidRDefault="003C408D" w:rsidP="003C408D">
      <w:pPr>
        <w:spacing w:line="276" w:lineRule="auto"/>
        <w:jc w:val="both"/>
        <w:rPr>
          <w:rFonts w:ascii="Arial" w:hAnsi="Arial" w:cs="Arial"/>
          <w:bCs/>
          <w:sz w:val="22"/>
          <w:szCs w:val="22"/>
          <w:lang w:val="es-MX" w:eastAsia="es-CO"/>
        </w:rPr>
      </w:pPr>
      <w:r w:rsidRPr="0043356A">
        <w:rPr>
          <w:rFonts w:ascii="Arial" w:hAnsi="Arial" w:cs="Arial"/>
          <w:bCs/>
          <w:sz w:val="22"/>
          <w:szCs w:val="22"/>
          <w:lang w:val="es-MX" w:eastAsia="x-none"/>
        </w:rPr>
        <w:t xml:space="preserve">El ámbito material de la prohibición contenida en el artículo 33 de la ley 996 de 2005 está delimitado por la expresión </w:t>
      </w:r>
      <w:r w:rsidRPr="0043356A">
        <w:rPr>
          <w:rFonts w:ascii="Arial" w:eastAsia="Calibri" w:hAnsi="Arial" w:cs="Arial"/>
          <w:bCs/>
          <w:sz w:val="20"/>
          <w:szCs w:val="20"/>
          <w:lang w:val="es-MX" w:eastAsia="en-US"/>
        </w:rPr>
        <w:t>«</w:t>
      </w:r>
      <w:r w:rsidRPr="0043356A">
        <w:rPr>
          <w:rFonts w:ascii="Arial" w:hAnsi="Arial" w:cs="Arial"/>
          <w:bCs/>
          <w:sz w:val="22"/>
          <w:szCs w:val="22"/>
          <w:lang w:val="es-MX" w:eastAsia="x-none"/>
        </w:rPr>
        <w:t>queda prohibida la contratación directa</w:t>
      </w:r>
      <w:r w:rsidRPr="0043356A">
        <w:rPr>
          <w:rFonts w:ascii="Arial" w:eastAsiaTheme="minorHAnsi" w:hAnsi="Arial" w:cs="Arial"/>
          <w:sz w:val="20"/>
          <w:szCs w:val="20"/>
          <w:lang w:val="es-MX" w:eastAsia="en-US"/>
        </w:rPr>
        <w:t>»</w:t>
      </w:r>
      <w:r w:rsidRPr="0043356A">
        <w:rPr>
          <w:rFonts w:ascii="Arial" w:hAnsi="Arial" w:cs="Arial"/>
          <w:bCs/>
          <w:sz w:val="22"/>
          <w:szCs w:val="22"/>
          <w:lang w:val="es-MX" w:eastAsia="x-none"/>
        </w:rPr>
        <w:t xml:space="preserve">. </w:t>
      </w:r>
      <w:r w:rsidRPr="0043356A">
        <w:rPr>
          <w:rFonts w:ascii="Arial" w:hAnsi="Arial" w:cs="Arial"/>
          <w:sz w:val="22"/>
          <w:szCs w:val="22"/>
          <w:lang w:val="es-MX" w:eastAsia="es-CO"/>
        </w:rPr>
        <w:t xml:space="preserve"> A propósito de </w:t>
      </w:r>
      <w:r w:rsidRPr="0043356A">
        <w:rPr>
          <w:rFonts w:ascii="Arial" w:hAnsi="Arial" w:cs="Arial"/>
          <w:sz w:val="22"/>
          <w:szCs w:val="22"/>
          <w:lang w:eastAsia="es-CO"/>
        </w:rPr>
        <w:t>esta restricción de la Ley de Garantías Electorales, la Sala de Consulta y Servicio Civil del Consejo de Estado ha considerado que:</w:t>
      </w:r>
    </w:p>
    <w:p w14:paraId="354D32C7" w14:textId="77777777" w:rsidR="003C408D" w:rsidRPr="0043356A" w:rsidRDefault="003C408D" w:rsidP="003C408D">
      <w:pPr>
        <w:ind w:left="708" w:right="709"/>
        <w:jc w:val="both"/>
        <w:rPr>
          <w:rFonts w:ascii="Arial" w:eastAsiaTheme="minorHAnsi" w:hAnsi="Arial" w:cs="Arial"/>
          <w:sz w:val="21"/>
          <w:szCs w:val="21"/>
          <w:lang w:val="es-MX" w:eastAsia="en-US"/>
        </w:rPr>
      </w:pPr>
    </w:p>
    <w:p w14:paraId="6DA1BD41" w14:textId="77777777" w:rsidR="003C408D" w:rsidRPr="0043356A" w:rsidRDefault="003C408D" w:rsidP="003C408D">
      <w:pPr>
        <w:spacing w:after="120"/>
        <w:ind w:left="709" w:right="709"/>
        <w:jc w:val="both"/>
        <w:rPr>
          <w:rFonts w:ascii="Arial" w:eastAsiaTheme="minorHAnsi" w:hAnsi="Arial" w:cs="Arial"/>
          <w:sz w:val="21"/>
          <w:szCs w:val="21"/>
          <w:lang w:val="es-MX" w:eastAsia="en-US"/>
        </w:rPr>
      </w:pPr>
      <w:r w:rsidRPr="0043356A">
        <w:rPr>
          <w:rFonts w:ascii="Arial" w:eastAsiaTheme="minorHAnsi" w:hAnsi="Arial" w:cs="Arial"/>
          <w:sz w:val="21"/>
          <w:szCs w:val="21"/>
          <w:lang w:val="es-MX"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3356A">
        <w:rPr>
          <w:rFonts w:ascii="Arial" w:hAnsi="Arial" w:cs="Arial"/>
          <w:sz w:val="22"/>
          <w:szCs w:val="22"/>
          <w:vertAlign w:val="superscript"/>
          <w:lang w:eastAsia="es-CO"/>
        </w:rPr>
        <w:footnoteReference w:id="27"/>
      </w:r>
      <w:r w:rsidRPr="0043356A">
        <w:rPr>
          <w:rFonts w:ascii="Arial" w:eastAsiaTheme="minorHAnsi" w:hAnsi="Arial" w:cs="Arial"/>
          <w:sz w:val="21"/>
          <w:szCs w:val="21"/>
          <w:lang w:val="es-MX" w:eastAsia="en-US"/>
        </w:rPr>
        <w:t>.</w:t>
      </w:r>
    </w:p>
    <w:p w14:paraId="70E652F5" w14:textId="77777777" w:rsidR="003C408D" w:rsidRPr="0043356A" w:rsidRDefault="003C408D" w:rsidP="003C408D">
      <w:pPr>
        <w:ind w:left="708" w:right="709"/>
        <w:jc w:val="both"/>
        <w:rPr>
          <w:rFonts w:ascii="Arial" w:eastAsiaTheme="minorHAnsi" w:hAnsi="Arial" w:cs="Arial"/>
          <w:sz w:val="21"/>
          <w:szCs w:val="21"/>
          <w:lang w:val="es-MX" w:eastAsia="en-US"/>
        </w:rPr>
      </w:pPr>
      <w:r w:rsidRPr="0043356A">
        <w:rPr>
          <w:rFonts w:ascii="Arial" w:eastAsiaTheme="minorHAnsi" w:hAnsi="Arial" w:cs="Arial"/>
          <w:sz w:val="21"/>
          <w:szCs w:val="21"/>
          <w:lang w:val="es-MX" w:eastAsia="en-US"/>
        </w:rPr>
        <w:t xml:space="preserve">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w:t>
      </w:r>
      <w:r w:rsidRPr="0043356A">
        <w:rPr>
          <w:rFonts w:ascii="Arial" w:eastAsiaTheme="minorHAnsi" w:hAnsi="Arial" w:cs="Arial"/>
          <w:sz w:val="21"/>
          <w:szCs w:val="21"/>
          <w:lang w:val="es-MX" w:eastAsia="en-US"/>
        </w:rPr>
        <w:lastRenderedPageBreak/>
        <w:t>de un proceso de licitación pública o concurso</w:t>
      </w:r>
      <w:r w:rsidRPr="0043356A">
        <w:rPr>
          <w:rFonts w:ascii="Arial" w:hAnsi="Arial" w:cs="Arial"/>
          <w:sz w:val="21"/>
          <w:szCs w:val="21"/>
          <w:vertAlign w:val="superscript"/>
          <w:lang w:val="es-MX" w:eastAsia="en-US"/>
        </w:rPr>
        <w:footnoteReference w:id="28"/>
      </w:r>
      <w:r w:rsidRPr="0043356A">
        <w:rPr>
          <w:rFonts w:ascii="Arial" w:hAnsi="Arial" w:cs="Arial"/>
          <w:sz w:val="21"/>
          <w:szCs w:val="21"/>
          <w:vertAlign w:val="superscript"/>
          <w:lang w:val="es-MX" w:eastAsia="en-US"/>
        </w:rPr>
        <w:t>.</w:t>
      </w:r>
      <w:r w:rsidRPr="0043356A">
        <w:rPr>
          <w:rFonts w:ascii="Arial" w:eastAsiaTheme="minorHAnsi" w:hAnsi="Arial" w:cs="Arial"/>
          <w:sz w:val="21"/>
          <w:szCs w:val="21"/>
          <w:lang w:val="es-MX"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43356A">
        <w:rPr>
          <w:rFonts w:ascii="Arial" w:hAnsi="Arial" w:cs="Arial"/>
          <w:sz w:val="22"/>
          <w:szCs w:val="22"/>
          <w:vertAlign w:val="superscript"/>
          <w:lang w:eastAsia="es-CO"/>
        </w:rPr>
        <w:footnoteReference w:id="29"/>
      </w:r>
      <w:r w:rsidRPr="0043356A">
        <w:rPr>
          <w:rFonts w:ascii="Arial" w:eastAsiaTheme="minorHAnsi" w:hAnsi="Arial" w:cs="Arial"/>
          <w:sz w:val="21"/>
          <w:szCs w:val="21"/>
          <w:lang w:val="es-MX" w:eastAsia="en-US"/>
        </w:rPr>
        <w:t xml:space="preserve"> .</w:t>
      </w:r>
    </w:p>
    <w:p w14:paraId="4F097405" w14:textId="77777777" w:rsidR="003C408D" w:rsidRPr="0043356A" w:rsidRDefault="003C408D" w:rsidP="003C408D">
      <w:pPr>
        <w:shd w:val="clear" w:color="auto" w:fill="FFFFFF"/>
        <w:spacing w:line="276" w:lineRule="auto"/>
        <w:ind w:firstLine="709"/>
        <w:jc w:val="both"/>
        <w:rPr>
          <w:rFonts w:ascii="Arial" w:hAnsi="Arial" w:cs="Arial"/>
          <w:sz w:val="22"/>
          <w:szCs w:val="22"/>
          <w:lang w:eastAsia="x-none"/>
        </w:rPr>
      </w:pPr>
    </w:p>
    <w:p w14:paraId="38B4B6C3" w14:textId="601A5046" w:rsidR="003C408D" w:rsidRPr="0043356A" w:rsidRDefault="003C408D" w:rsidP="003C408D">
      <w:pPr>
        <w:spacing w:after="120" w:line="276" w:lineRule="auto"/>
        <w:ind w:firstLine="708"/>
        <w:jc w:val="both"/>
        <w:rPr>
          <w:rFonts w:ascii="Arial" w:hAnsi="Arial" w:cs="Arial"/>
          <w:bCs/>
          <w:sz w:val="22"/>
          <w:szCs w:val="22"/>
          <w:lang w:eastAsia="x-none"/>
        </w:rPr>
      </w:pPr>
      <w:r w:rsidRPr="0043356A">
        <w:rPr>
          <w:rFonts w:ascii="Arial" w:hAnsi="Arial" w:cs="Arial"/>
          <w:sz w:val="22"/>
          <w:szCs w:val="22"/>
          <w:lang w:eastAsia="x-none"/>
        </w:rPr>
        <w:t xml:space="preserve">De acuerdo con el citado concepto, la prohibición del artículo 33 de la Ley de Garantías Electorales se refiere a </w:t>
      </w:r>
      <w:r w:rsidRPr="0043356A">
        <w:rPr>
          <w:rFonts w:ascii="Arial" w:hAnsi="Arial" w:cs="Arial"/>
          <w:sz w:val="19"/>
          <w:szCs w:val="19"/>
          <w:lang w:eastAsia="en-GB"/>
        </w:rPr>
        <w:t>«</w:t>
      </w:r>
      <w:r w:rsidRPr="0043356A">
        <w:rPr>
          <w:rFonts w:ascii="Arial" w:hAnsi="Arial" w:cs="Arial"/>
          <w:sz w:val="22"/>
          <w:szCs w:val="22"/>
          <w:lang w:eastAsia="x-none"/>
        </w:rPr>
        <w:t>cualquier sistema que no implique convocatoria pública y posibilidad de pluralidad de oferentes</w:t>
      </w:r>
      <w:r w:rsidRPr="0043356A">
        <w:rPr>
          <w:rFonts w:ascii="Arial" w:hAnsi="Arial" w:cs="Arial"/>
          <w:sz w:val="22"/>
          <w:szCs w:val="22"/>
          <w:lang w:eastAsia="en-GB"/>
        </w:rPr>
        <w:t>»</w:t>
      </w:r>
      <w:r w:rsidRPr="0043356A">
        <w:rPr>
          <w:rFonts w:ascii="Arial" w:hAnsi="Arial" w:cs="Arial"/>
          <w:sz w:val="22"/>
          <w:szCs w:val="22"/>
          <w:lang w:eastAsia="x-none"/>
        </w:rPr>
        <w:t>, por lo que excluye las demás modalidades de contratación previstas en la Ley 1150 de 2007, es decir, la licitación pública, la selección abreviada</w:t>
      </w:r>
      <w:r w:rsidR="00A85D9F" w:rsidRPr="0043356A">
        <w:rPr>
          <w:rFonts w:ascii="Arial" w:hAnsi="Arial" w:cs="Arial"/>
          <w:sz w:val="22"/>
          <w:szCs w:val="22"/>
          <w:lang w:eastAsia="x-none"/>
        </w:rPr>
        <w:t>,</w:t>
      </w:r>
      <w:r w:rsidRPr="0043356A">
        <w:rPr>
          <w:rFonts w:ascii="Arial" w:hAnsi="Arial" w:cs="Arial"/>
          <w:sz w:val="22"/>
          <w:szCs w:val="22"/>
          <w:lang w:eastAsia="x-none"/>
        </w:rPr>
        <w:t xml:space="preserve"> el concurso de méritos </w:t>
      </w:r>
      <w:r w:rsidR="00A85D9F" w:rsidRPr="0043356A">
        <w:rPr>
          <w:rFonts w:ascii="Arial" w:hAnsi="Arial" w:cs="Arial"/>
          <w:sz w:val="22"/>
          <w:szCs w:val="22"/>
          <w:lang w:val="es-ES_tradnl" w:eastAsia="x-none"/>
        </w:rPr>
        <w:t>y la mínima cuantía</w:t>
      </w:r>
      <w:r w:rsidR="00A85D9F" w:rsidRPr="0043356A" w:rsidDel="00A85D9F">
        <w:rPr>
          <w:rFonts w:ascii="Arial" w:hAnsi="Arial" w:cs="Arial"/>
          <w:sz w:val="22"/>
          <w:szCs w:val="22"/>
          <w:lang w:eastAsia="x-none"/>
        </w:rPr>
        <w:t xml:space="preserve"> </w:t>
      </w:r>
      <w:r w:rsidR="00A85D9F" w:rsidRPr="0043356A">
        <w:rPr>
          <w:rFonts w:ascii="Arial" w:hAnsi="Arial" w:cs="Arial"/>
          <w:sz w:val="22"/>
          <w:szCs w:val="22"/>
          <w:lang w:eastAsia="x-none"/>
        </w:rPr>
        <w:t>u</w:t>
      </w:r>
      <w:r w:rsidRPr="0043356A">
        <w:rPr>
          <w:rFonts w:ascii="Arial" w:hAnsi="Arial" w:cs="Arial"/>
          <w:sz w:val="22"/>
          <w:szCs w:val="22"/>
          <w:lang w:eastAsia="x-none"/>
        </w:rPr>
        <w:t xml:space="preserve"> otros previstos en normas especiales. Esta posición es congruente con la expedición de la Ley 1150 de 2007 que, entre otras reformas, introdujo la selección abreviada, rediseñó el concurso de méritos</w:t>
      </w:r>
      <w:r w:rsidRPr="0043356A">
        <w:rPr>
          <w:rFonts w:ascii="Arial" w:hAnsi="Arial" w:cs="Arial"/>
          <w:sz w:val="22"/>
          <w:szCs w:val="22"/>
          <w:vertAlign w:val="superscript"/>
          <w:lang w:val="en-GB" w:eastAsia="x-none"/>
        </w:rPr>
        <w:footnoteReference w:id="30"/>
      </w:r>
      <w:r w:rsidRPr="0043356A">
        <w:rPr>
          <w:rFonts w:ascii="Arial" w:hAnsi="Arial" w:cs="Arial"/>
          <w:sz w:val="22"/>
          <w:szCs w:val="22"/>
          <w:lang w:eastAsia="x-none"/>
        </w:rPr>
        <w:t xml:space="preserve"> y sistematizó las causales de contratación directa</w:t>
      </w:r>
      <w:r w:rsidRPr="0043356A">
        <w:rPr>
          <w:rFonts w:ascii="Arial" w:hAnsi="Arial" w:cs="Arial"/>
          <w:sz w:val="22"/>
          <w:szCs w:val="22"/>
          <w:vertAlign w:val="superscript"/>
          <w:lang w:val="en-GB" w:eastAsia="x-none"/>
        </w:rPr>
        <w:footnoteReference w:id="31"/>
      </w:r>
      <w:r w:rsidR="00A85D9F" w:rsidRPr="0043356A">
        <w:rPr>
          <w:rFonts w:ascii="Arial" w:hAnsi="Arial" w:cs="Arial"/>
          <w:sz w:val="22"/>
          <w:szCs w:val="22"/>
          <w:lang w:eastAsia="x-none"/>
        </w:rPr>
        <w:t xml:space="preserve">, </w:t>
      </w:r>
      <w:r w:rsidR="00A85D9F" w:rsidRPr="0043356A">
        <w:rPr>
          <w:rFonts w:ascii="Arial" w:eastAsiaTheme="minorHAnsi" w:hAnsi="Arial" w:cs="Arial"/>
          <w:sz w:val="22"/>
          <w:lang w:eastAsia="x-none"/>
        </w:rPr>
        <w:t>además lo es con la posterior creación de la modalidad de mínima cuantía establecida actualmente en el numeral 5 del artículo 2 de la Ley 1150 de 2007, de acuerdo con las modificaciones realizadas por leyes posteriores.</w:t>
      </w:r>
    </w:p>
    <w:p w14:paraId="07D4339B" w14:textId="77777777" w:rsidR="003C408D" w:rsidRPr="0043356A" w:rsidRDefault="003C408D" w:rsidP="003C408D">
      <w:pPr>
        <w:spacing w:after="120" w:line="276" w:lineRule="auto"/>
        <w:ind w:firstLine="708"/>
        <w:jc w:val="both"/>
        <w:rPr>
          <w:rFonts w:ascii="Arial" w:hAnsi="Arial" w:cs="Arial"/>
          <w:sz w:val="22"/>
          <w:szCs w:val="22"/>
          <w:lang w:val="es-MX" w:eastAsia="x-none"/>
        </w:rPr>
      </w:pPr>
      <w:r w:rsidRPr="0043356A">
        <w:rPr>
          <w:rFonts w:ascii="Arial" w:hAnsi="Arial" w:cs="Arial"/>
          <w:sz w:val="22"/>
          <w:szCs w:val="22"/>
          <w:lang w:eastAsia="x-none"/>
        </w:rPr>
        <w:t xml:space="preserve">De esta forma, con fundamento en la evolución de la normativa sobre la contratación pública, se ha depurado la noción de </w:t>
      </w:r>
      <w:r w:rsidRPr="0043356A">
        <w:rPr>
          <w:rFonts w:ascii="Arial" w:hAnsi="Arial" w:cs="Arial"/>
          <w:sz w:val="19"/>
          <w:szCs w:val="19"/>
          <w:lang w:eastAsia="en-GB"/>
        </w:rPr>
        <w:t>«</w:t>
      </w:r>
      <w:r w:rsidRPr="0043356A">
        <w:rPr>
          <w:rFonts w:ascii="Arial" w:hAnsi="Arial" w:cs="Arial"/>
          <w:sz w:val="22"/>
          <w:szCs w:val="22"/>
          <w:lang w:eastAsia="x-none"/>
        </w:rPr>
        <w:t>contratación directa</w:t>
      </w:r>
      <w:r w:rsidRPr="0043356A">
        <w:rPr>
          <w:rFonts w:ascii="Arial" w:hAnsi="Arial" w:cs="Arial"/>
          <w:sz w:val="22"/>
          <w:szCs w:val="22"/>
          <w:lang w:eastAsia="en-GB"/>
        </w:rPr>
        <w:t>»</w:t>
      </w:r>
      <w:r w:rsidRPr="0043356A">
        <w:rPr>
          <w:rFonts w:ascii="Arial" w:hAnsi="Arial" w:cs="Arial"/>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3356A">
        <w:rPr>
          <w:rFonts w:ascii="Arial" w:hAnsi="Arial" w:cs="Arial"/>
          <w:sz w:val="22"/>
          <w:szCs w:val="22"/>
          <w:vertAlign w:val="superscript"/>
          <w:lang w:val="en-GB" w:eastAsia="x-none"/>
        </w:rPr>
        <w:footnoteReference w:id="32"/>
      </w:r>
      <w:r w:rsidRPr="0043356A">
        <w:rPr>
          <w:rFonts w:ascii="Arial" w:hAnsi="Arial" w:cs="Arial"/>
          <w:sz w:val="22"/>
          <w:szCs w:val="22"/>
          <w:lang w:eastAsia="x-none"/>
        </w:rPr>
        <w:t>, han establecido sistemas de contratación que implican convocatoria pública y participación de varios oferentes</w:t>
      </w:r>
      <w:r w:rsidRPr="0043356A">
        <w:rPr>
          <w:rFonts w:ascii="Arial" w:hAnsi="Arial" w:cs="Arial"/>
          <w:sz w:val="22"/>
          <w:szCs w:val="22"/>
          <w:lang w:eastAsia="en-GB"/>
        </w:rPr>
        <w:t>»</w:t>
      </w:r>
      <w:r w:rsidRPr="0043356A">
        <w:rPr>
          <w:rFonts w:ascii="Arial" w:hAnsi="Arial" w:cs="Arial"/>
          <w:sz w:val="22"/>
          <w:szCs w:val="22"/>
          <w:lang w:eastAsia="x-none"/>
        </w:rPr>
        <w:t xml:space="preserve">. </w:t>
      </w:r>
    </w:p>
    <w:p w14:paraId="72CC6FD6" w14:textId="77777777" w:rsidR="003C408D" w:rsidRPr="0043356A" w:rsidRDefault="003C408D" w:rsidP="003C408D">
      <w:pPr>
        <w:spacing w:after="120" w:line="276" w:lineRule="auto"/>
        <w:ind w:firstLine="708"/>
        <w:jc w:val="both"/>
        <w:rPr>
          <w:rFonts w:ascii="Arial" w:hAnsi="Arial" w:cs="Arial"/>
          <w:bCs/>
          <w:sz w:val="22"/>
          <w:szCs w:val="22"/>
          <w:lang w:val="es-MX" w:eastAsia="es-CO"/>
        </w:rPr>
      </w:pPr>
      <w:r w:rsidRPr="0043356A">
        <w:rPr>
          <w:rFonts w:ascii="Arial" w:hAnsi="Arial" w:cs="Arial"/>
          <w:bCs/>
          <w:sz w:val="22"/>
          <w:szCs w:val="22"/>
          <w:lang w:val="es-MX" w:eastAsia="x-none"/>
        </w:rPr>
        <w:t>E</w:t>
      </w:r>
      <w:r w:rsidRPr="0043356A">
        <w:rPr>
          <w:rFonts w:ascii="Arial" w:hAnsi="Arial" w:cs="Arial"/>
          <w:sz w:val="22"/>
          <w:szCs w:val="22"/>
          <w:lang w:eastAsia="x-none"/>
        </w:rPr>
        <w:t xml:space="preserve">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w:t>
      </w:r>
      <w:r w:rsidRPr="0043356A">
        <w:rPr>
          <w:rFonts w:ascii="Arial" w:hAnsi="Arial" w:cs="Arial"/>
          <w:sz w:val="22"/>
          <w:szCs w:val="22"/>
          <w:lang w:eastAsia="x-none"/>
        </w:rPr>
        <w:lastRenderedPageBreak/>
        <w:t>convocatoria para inscribirse en forma previa se haga de manera pública, y que se permita la participación de una pluralidad de oferentes</w:t>
      </w:r>
      <w:r w:rsidRPr="0043356A">
        <w:rPr>
          <w:rFonts w:ascii="Arial" w:hAnsi="Arial" w:cs="Arial"/>
          <w:sz w:val="22"/>
          <w:szCs w:val="22"/>
          <w:vertAlign w:val="superscript"/>
          <w:lang w:eastAsia="x-none"/>
        </w:rPr>
        <w:footnoteReference w:id="33"/>
      </w:r>
      <w:r w:rsidRPr="0043356A">
        <w:rPr>
          <w:rFonts w:ascii="Arial" w:hAnsi="Arial" w:cs="Arial"/>
          <w:sz w:val="22"/>
          <w:szCs w:val="22"/>
          <w:lang w:eastAsia="x-none"/>
        </w:rPr>
        <w:t xml:space="preserve">. </w:t>
      </w:r>
    </w:p>
    <w:p w14:paraId="27EB5D3B" w14:textId="77777777" w:rsidR="003C408D" w:rsidRPr="0043356A" w:rsidRDefault="003C408D" w:rsidP="003C408D">
      <w:pPr>
        <w:spacing w:after="120" w:line="276" w:lineRule="auto"/>
        <w:ind w:firstLine="708"/>
        <w:jc w:val="both"/>
        <w:rPr>
          <w:rFonts w:ascii="Arial" w:hAnsi="Arial" w:cs="Arial"/>
          <w:bCs/>
          <w:sz w:val="22"/>
          <w:szCs w:val="22"/>
          <w:lang w:val="es-MX" w:eastAsia="es-CO"/>
        </w:rPr>
      </w:pPr>
      <w:r w:rsidRPr="0043356A">
        <w:rPr>
          <w:rFonts w:ascii="Arial" w:hAnsi="Arial" w:cs="Arial"/>
          <w:bCs/>
          <w:sz w:val="22"/>
          <w:szCs w:val="22"/>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0B6456E9" w14:textId="77777777" w:rsidR="003C408D" w:rsidRPr="0043356A" w:rsidRDefault="003C408D" w:rsidP="003C408D">
      <w:pPr>
        <w:spacing w:after="120" w:line="276" w:lineRule="auto"/>
        <w:ind w:firstLine="708"/>
        <w:jc w:val="both"/>
        <w:rPr>
          <w:rFonts w:ascii="Arial" w:hAnsi="Arial" w:cs="Arial"/>
          <w:bCs/>
          <w:sz w:val="22"/>
          <w:szCs w:val="22"/>
          <w:lang w:val="es-MX" w:eastAsia="x-none"/>
        </w:rPr>
      </w:pPr>
      <w:r w:rsidRPr="0043356A">
        <w:rPr>
          <w:rFonts w:ascii="Arial" w:hAnsi="Arial" w:cs="Arial"/>
          <w:bCs/>
          <w:sz w:val="22"/>
          <w:szCs w:val="22"/>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3356A">
        <w:rPr>
          <w:rFonts w:ascii="Arial" w:hAnsi="Arial" w:cs="Arial"/>
          <w:sz w:val="22"/>
          <w:szCs w:val="22"/>
          <w:vertAlign w:val="superscript"/>
          <w:lang w:eastAsia="x-none"/>
        </w:rPr>
        <w:footnoteReference w:id="34"/>
      </w:r>
      <w:r w:rsidRPr="0043356A">
        <w:rPr>
          <w:rFonts w:ascii="Arial" w:hAnsi="Arial" w:cs="Arial"/>
          <w:bCs/>
          <w:sz w:val="22"/>
          <w:szCs w:val="22"/>
          <w:lang w:val="es-MX" w:eastAsia="x-none"/>
        </w:rPr>
        <w:t>.</w:t>
      </w:r>
      <w:r w:rsidRPr="0043356A">
        <w:rPr>
          <w:rFonts w:ascii="Arial" w:hAnsi="Arial" w:cs="Arial"/>
          <w:sz w:val="22"/>
          <w:szCs w:val="22"/>
          <w:vertAlign w:val="superscript"/>
          <w:lang w:eastAsia="x-none"/>
        </w:rPr>
        <w:t xml:space="preserve"> </w:t>
      </w:r>
    </w:p>
    <w:p w14:paraId="2366DE25" w14:textId="2DFC62F3" w:rsidR="003C408D" w:rsidRPr="0043356A" w:rsidRDefault="003C408D" w:rsidP="003C408D">
      <w:pPr>
        <w:spacing w:after="120" w:line="276" w:lineRule="auto"/>
        <w:ind w:firstLine="708"/>
        <w:jc w:val="both"/>
        <w:rPr>
          <w:rFonts w:ascii="Arial" w:hAnsi="Arial" w:cs="Arial"/>
          <w:sz w:val="22"/>
          <w:szCs w:val="22"/>
          <w:lang w:eastAsia="x-none"/>
        </w:rPr>
      </w:pPr>
      <w:r w:rsidRPr="0043356A">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43356A">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w:t>
      </w:r>
      <w:r w:rsidR="00A85D9F" w:rsidRPr="0043356A">
        <w:rPr>
          <w:rFonts w:ascii="Arial" w:hAnsi="Arial" w:cs="Arial"/>
          <w:sz w:val="22"/>
          <w:szCs w:val="22"/>
          <w:lang w:eastAsia="x-none"/>
        </w:rPr>
        <w:t>,</w:t>
      </w:r>
      <w:r w:rsidRPr="0043356A">
        <w:rPr>
          <w:rFonts w:ascii="Arial" w:hAnsi="Arial" w:cs="Arial"/>
          <w:sz w:val="22"/>
          <w:szCs w:val="22"/>
          <w:lang w:eastAsia="x-none"/>
        </w:rPr>
        <w:t xml:space="preserve"> la selección abreviada</w:t>
      </w:r>
      <w:r w:rsidR="00A85D9F" w:rsidRPr="0043356A">
        <w:rPr>
          <w:rFonts w:ascii="Arial" w:hAnsi="Arial" w:cs="Arial"/>
          <w:sz w:val="22"/>
          <w:szCs w:val="22"/>
          <w:lang w:eastAsia="x-none"/>
        </w:rPr>
        <w:t xml:space="preserve"> y la mínima cuantía</w:t>
      </w:r>
      <w:r w:rsidRPr="0043356A">
        <w:rPr>
          <w:rFonts w:ascii="Arial" w:hAnsi="Arial" w:cs="Arial"/>
          <w:sz w:val="22"/>
          <w:szCs w:val="22"/>
          <w:lang w:eastAsia="x-none"/>
        </w:rPr>
        <w:t xml:space="preserve">, razón por la cual en ese período preelectoral de que trata la disposición las entidades públicas </w:t>
      </w:r>
      <w:r w:rsidR="00A85D9F" w:rsidRPr="0043356A">
        <w:rPr>
          <w:rFonts w:ascii="Arial" w:hAnsi="Arial" w:cs="Arial"/>
          <w:sz w:val="22"/>
          <w:szCs w:val="22"/>
          <w:lang w:eastAsia="x-none"/>
        </w:rPr>
        <w:t xml:space="preserve">pueden </w:t>
      </w:r>
      <w:r w:rsidRPr="0043356A">
        <w:rPr>
          <w:rFonts w:ascii="Arial" w:hAnsi="Arial" w:cs="Arial"/>
          <w:sz w:val="22"/>
          <w:szCs w:val="22"/>
          <w:lang w:eastAsia="x-none"/>
        </w:rPr>
        <w:t>seguir contratando bajo estos sistemas.</w:t>
      </w:r>
    </w:p>
    <w:p w14:paraId="3C64FF71" w14:textId="58898278" w:rsidR="003C408D" w:rsidRPr="0043356A" w:rsidRDefault="003C408D" w:rsidP="003C408D">
      <w:pPr>
        <w:spacing w:after="120" w:line="276" w:lineRule="auto"/>
        <w:ind w:firstLine="708"/>
        <w:jc w:val="both"/>
        <w:rPr>
          <w:rFonts w:ascii="Arial" w:hAnsi="Arial" w:cs="Arial"/>
          <w:bCs/>
          <w:sz w:val="22"/>
          <w:szCs w:val="22"/>
          <w:lang w:val="es-MX" w:eastAsia="x-none"/>
        </w:rPr>
      </w:pPr>
      <w:r w:rsidRPr="0043356A">
        <w:rPr>
          <w:rFonts w:ascii="Arial" w:hAnsi="Arial" w:cs="Arial"/>
          <w:bCs/>
          <w:sz w:val="22"/>
          <w:szCs w:val="22"/>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00043614" w:rsidRPr="0043356A">
        <w:rPr>
          <w:rStyle w:val="Refdenotaalpie"/>
          <w:rFonts w:ascii="Arial" w:hAnsi="Arial" w:cs="Arial"/>
          <w:bCs/>
          <w:sz w:val="22"/>
          <w:szCs w:val="22"/>
          <w:lang w:val="es-MX" w:eastAsia="es-CO"/>
        </w:rPr>
        <w:footnoteReference w:id="35"/>
      </w:r>
      <w:r w:rsidRPr="0043356A">
        <w:rPr>
          <w:rFonts w:ascii="Arial" w:hAnsi="Arial" w:cs="Arial"/>
          <w:bCs/>
          <w:sz w:val="22"/>
          <w:szCs w:val="22"/>
          <w:lang w:val="es-MX" w:eastAsia="es-CO"/>
        </w:rPr>
        <w:t>.</w:t>
      </w:r>
      <w:r w:rsidR="00A85D9F" w:rsidRPr="0043356A">
        <w:rPr>
          <w:rFonts w:ascii="Arial" w:hAnsi="Arial" w:cs="Arial"/>
          <w:bCs/>
          <w:sz w:val="22"/>
          <w:szCs w:val="22"/>
          <w:lang w:val="es-MX" w:eastAsia="es-CO"/>
        </w:rPr>
        <w:t xml:space="preserve"> Además, también es posible que contratos celebrados </w:t>
      </w:r>
      <w:r w:rsidR="00D101BB" w:rsidRPr="0043356A">
        <w:rPr>
          <w:rFonts w:ascii="Arial" w:hAnsi="Arial" w:cs="Arial"/>
          <w:bCs/>
          <w:sz w:val="22"/>
          <w:szCs w:val="22"/>
          <w:lang w:val="es-MX" w:eastAsia="es-CO"/>
        </w:rPr>
        <w:t xml:space="preserve">previamente </w:t>
      </w:r>
      <w:r w:rsidR="00A85D9F" w:rsidRPr="0043356A">
        <w:rPr>
          <w:rFonts w:ascii="Arial" w:hAnsi="Arial" w:cs="Arial"/>
          <w:bCs/>
          <w:sz w:val="22"/>
          <w:szCs w:val="22"/>
          <w:lang w:val="es-MX" w:eastAsia="es-CO"/>
        </w:rPr>
        <w:t>se continúen ejecutando</w:t>
      </w:r>
      <w:r w:rsidR="00053BD4" w:rsidRPr="0043356A">
        <w:rPr>
          <w:rFonts w:ascii="Arial" w:hAnsi="Arial" w:cs="Arial"/>
          <w:bCs/>
          <w:sz w:val="22"/>
          <w:szCs w:val="22"/>
          <w:lang w:val="es-MX" w:eastAsia="es-CO"/>
        </w:rPr>
        <w:t xml:space="preserve"> con normalidad.</w:t>
      </w:r>
    </w:p>
    <w:p w14:paraId="09A86F44" w14:textId="4CB60D54" w:rsidR="003C408D" w:rsidRPr="0043356A" w:rsidRDefault="003C408D" w:rsidP="003C408D">
      <w:pPr>
        <w:spacing w:after="120" w:line="276" w:lineRule="auto"/>
        <w:ind w:firstLine="708"/>
        <w:jc w:val="both"/>
        <w:rPr>
          <w:rFonts w:ascii="Arial" w:hAnsi="Arial" w:cs="Arial"/>
          <w:bCs/>
          <w:sz w:val="22"/>
          <w:szCs w:val="22"/>
          <w:lang w:val="es-MX" w:eastAsia="es-CO"/>
        </w:rPr>
      </w:pPr>
      <w:r w:rsidRPr="0043356A">
        <w:rPr>
          <w:rFonts w:ascii="Arial" w:hAnsi="Arial" w:cs="Arial"/>
          <w:bCs/>
          <w:sz w:val="22"/>
          <w:szCs w:val="22"/>
          <w:lang w:val="es-MX"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w:t>
      </w:r>
      <w:r w:rsidR="00053BD4" w:rsidRPr="0043356A">
        <w:rPr>
          <w:rFonts w:ascii="Arial" w:hAnsi="Arial" w:cs="Arial"/>
          <w:bCs/>
          <w:sz w:val="22"/>
          <w:szCs w:val="22"/>
          <w:lang w:val="es-MX" w:eastAsia="x-none"/>
        </w:rPr>
        <w:t xml:space="preserve">expresamente </w:t>
      </w:r>
      <w:r w:rsidRPr="0043356A">
        <w:rPr>
          <w:rFonts w:ascii="Arial" w:hAnsi="Arial" w:cs="Arial"/>
          <w:bCs/>
          <w:sz w:val="22"/>
          <w:szCs w:val="22"/>
          <w:lang w:val="es-MX" w:eastAsia="x-none"/>
        </w:rPr>
        <w:t xml:space="preserve">en el inciso final del citado artículo 33 de la Ley 996 de 2005 en lo referente a i) la defensa y seguridad del Estado; ii) los contratos de crédito </w:t>
      </w:r>
      <w:r w:rsidRPr="0043356A">
        <w:rPr>
          <w:rFonts w:ascii="Arial" w:hAnsi="Arial" w:cs="Arial"/>
          <w:bCs/>
          <w:sz w:val="22"/>
          <w:szCs w:val="22"/>
          <w:lang w:val="es-MX" w:eastAsia="x-none"/>
        </w:rPr>
        <w:lastRenderedPageBreak/>
        <w:t>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3356A">
        <w:rPr>
          <w:rFonts w:ascii="Arial" w:hAnsi="Arial" w:cs="Arial"/>
          <w:bCs/>
          <w:sz w:val="22"/>
          <w:szCs w:val="22"/>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1DC135AF" w14:textId="77777777" w:rsidR="003C408D" w:rsidRPr="0043356A" w:rsidRDefault="003C408D" w:rsidP="00640B22">
      <w:pPr>
        <w:spacing w:after="120" w:line="276" w:lineRule="auto"/>
        <w:ind w:firstLine="709"/>
        <w:jc w:val="both"/>
        <w:rPr>
          <w:rFonts w:ascii="Arial" w:hAnsi="Arial" w:cs="Arial"/>
          <w:bCs/>
          <w:sz w:val="22"/>
          <w:szCs w:val="22"/>
          <w:lang w:val="es-MX" w:eastAsia="x-none"/>
        </w:rPr>
      </w:pPr>
      <w:r w:rsidRPr="0043356A">
        <w:rPr>
          <w:rFonts w:ascii="Arial" w:hAnsi="Arial" w:cs="Arial"/>
          <w:bCs/>
          <w:sz w:val="22"/>
          <w:szCs w:val="22"/>
          <w:lang w:val="es-MX"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43356A">
        <w:rPr>
          <w:rFonts w:ascii="Arial" w:eastAsiaTheme="minorHAnsi" w:hAnsi="Arial" w:cs="Arial"/>
          <w:sz w:val="22"/>
          <w:szCs w:val="22"/>
          <w:vertAlign w:val="superscript"/>
          <w:lang w:val="es-MX" w:eastAsia="en-US"/>
        </w:rPr>
        <w:footnoteReference w:id="36"/>
      </w:r>
      <w:r w:rsidRPr="0043356A">
        <w:rPr>
          <w:rFonts w:ascii="Arial" w:hAnsi="Arial" w:cs="Arial"/>
          <w:bCs/>
          <w:sz w:val="22"/>
          <w:szCs w:val="22"/>
          <w:lang w:val="es-MX"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06F3F5C2" w14:textId="236FF7CB" w:rsidR="00A85D9F" w:rsidRPr="0043356A" w:rsidRDefault="00B370FB" w:rsidP="00640B22">
      <w:pPr>
        <w:spacing w:line="276" w:lineRule="auto"/>
        <w:ind w:firstLine="708"/>
        <w:jc w:val="both"/>
        <w:rPr>
          <w:rFonts w:ascii="Arial" w:hAnsi="Arial" w:cs="Arial"/>
          <w:bCs/>
          <w:sz w:val="22"/>
          <w:szCs w:val="22"/>
          <w:lang w:val="es-MX" w:eastAsia="x-none"/>
        </w:rPr>
      </w:pPr>
      <w:r w:rsidRPr="0043356A">
        <w:rPr>
          <w:rFonts w:ascii="Arial" w:hAnsi="Arial" w:cs="Arial"/>
          <w:bCs/>
          <w:sz w:val="22"/>
          <w:szCs w:val="22"/>
          <w:lang w:val="es-MX" w:eastAsia="x-none"/>
        </w:rPr>
        <w:t>En relación con los destinatarios de la restricción analizada, e</w:t>
      </w:r>
      <w:r w:rsidR="003C408D" w:rsidRPr="0043356A">
        <w:rPr>
          <w:rFonts w:ascii="Arial" w:hAnsi="Arial" w:cs="Arial"/>
          <w:bCs/>
          <w:sz w:val="22"/>
          <w:szCs w:val="22"/>
          <w:lang w:val="es-MX" w:eastAsia="x-none"/>
        </w:rPr>
        <w:t xml:space="preserve">l artículo 33 de la Ley 996 de 2005 </w:t>
      </w:r>
      <w:r w:rsidRPr="0043356A">
        <w:rPr>
          <w:rFonts w:ascii="Arial" w:hAnsi="Arial" w:cs="Arial"/>
          <w:bCs/>
          <w:sz w:val="22"/>
          <w:szCs w:val="22"/>
          <w:lang w:val="es-MX" w:eastAsia="x-none"/>
        </w:rPr>
        <w:t>los señala expresamente</w:t>
      </w:r>
      <w:r w:rsidR="003C408D" w:rsidRPr="0043356A">
        <w:rPr>
          <w:rFonts w:ascii="Arial" w:hAnsi="Arial" w:cs="Arial"/>
          <w:bCs/>
          <w:sz w:val="22"/>
          <w:szCs w:val="22"/>
          <w:lang w:val="es-MX" w:eastAsia="x-none"/>
        </w:rPr>
        <w:t>, en el sentido de que son «todos los entes del Estado», expresión que contempla a los diferentes organismos o entidades autorizadas por la ley para suscribir contratos.</w:t>
      </w:r>
      <w:r w:rsidR="003C408D" w:rsidRPr="0043356A">
        <w:rPr>
          <w:rFonts w:ascii="Arial" w:eastAsiaTheme="minorHAnsi" w:hAnsi="Arial" w:cs="Arial"/>
          <w:szCs w:val="22"/>
          <w:lang w:val="es-MX" w:eastAsia="en-US"/>
        </w:rPr>
        <w:t xml:space="preserve"> </w:t>
      </w:r>
      <w:r w:rsidR="003C408D" w:rsidRPr="0043356A">
        <w:rPr>
          <w:rFonts w:ascii="Arial" w:hAnsi="Arial" w:cs="Arial"/>
          <w:bCs/>
          <w:sz w:val="22"/>
          <w:szCs w:val="22"/>
          <w:lang w:val="es-MX" w:eastAsia="x-none"/>
        </w:rPr>
        <w:t>En efecto, tal como lo ha sostenido el Consejo de Estado, el vocablo «todos» utilizado por el legislador comprende</w:t>
      </w:r>
      <w:r w:rsidR="003C408D" w:rsidRPr="0043356A">
        <w:rPr>
          <w:rFonts w:ascii="Arial" w:eastAsiaTheme="minorHAnsi" w:hAnsi="Arial" w:cs="Arial"/>
          <w:szCs w:val="22"/>
          <w:lang w:val="es-MX" w:eastAsia="en-US"/>
        </w:rPr>
        <w:t xml:space="preserve"> </w:t>
      </w:r>
      <w:r w:rsidR="003C408D" w:rsidRPr="0043356A">
        <w:rPr>
          <w:rFonts w:ascii="Arial" w:hAnsi="Arial" w:cs="Arial"/>
          <w:bCs/>
          <w:sz w:val="22"/>
          <w:szCs w:val="22"/>
          <w:lang w:val="es-MX"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00A85D9F" w:rsidRPr="0043356A">
        <w:rPr>
          <w:rFonts w:ascii="Arial" w:hAnsi="Arial" w:cs="Arial"/>
          <w:bCs/>
          <w:sz w:val="22"/>
          <w:szCs w:val="22"/>
          <w:lang w:val="es-ES_tradnl" w:eastAsia="x-none"/>
        </w:rPr>
        <w:t xml:space="preserve">La Sala de Consulta y Servicio Civil del Consejo de Estado, en Concepto 1727 de fecha 20 de febrero de 2006, consideró que: </w:t>
      </w:r>
    </w:p>
    <w:p w14:paraId="55089876" w14:textId="77777777" w:rsidR="003C408D" w:rsidRPr="0043356A" w:rsidRDefault="003C408D" w:rsidP="00A85D9F">
      <w:pPr>
        <w:spacing w:line="276" w:lineRule="auto"/>
        <w:jc w:val="both"/>
        <w:rPr>
          <w:rFonts w:ascii="Arial" w:hAnsi="Arial" w:cs="Arial"/>
          <w:bCs/>
          <w:sz w:val="22"/>
          <w:szCs w:val="22"/>
          <w:lang w:val="es-MX" w:eastAsia="x-none"/>
        </w:rPr>
      </w:pPr>
    </w:p>
    <w:p w14:paraId="45CDC8CC" w14:textId="77777777" w:rsidR="003C408D" w:rsidRPr="0043356A" w:rsidRDefault="003C408D" w:rsidP="003C408D">
      <w:pPr>
        <w:ind w:left="708" w:right="709"/>
        <w:jc w:val="both"/>
        <w:rPr>
          <w:rFonts w:ascii="Arial" w:hAnsi="Arial" w:cs="Arial"/>
          <w:bCs/>
          <w:sz w:val="21"/>
          <w:szCs w:val="21"/>
          <w:lang w:val="es-MX" w:eastAsia="es-CO"/>
        </w:rPr>
      </w:pPr>
      <w:r w:rsidRPr="0043356A">
        <w:rPr>
          <w:rFonts w:ascii="Arial" w:hAnsi="Arial" w:cs="Arial"/>
          <w:bCs/>
          <w:sz w:val="21"/>
          <w:szCs w:val="21"/>
          <w:lang w:val="es-MX" w:eastAsia="x-none"/>
        </w:rPr>
        <w:t xml:space="preserve">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w:t>
      </w:r>
      <w:r w:rsidRPr="0043356A">
        <w:rPr>
          <w:rFonts w:ascii="Arial" w:hAnsi="Arial" w:cs="Arial"/>
          <w:bCs/>
          <w:sz w:val="21"/>
          <w:szCs w:val="21"/>
          <w:lang w:val="es-MX" w:eastAsia="x-none"/>
        </w:rPr>
        <w:lastRenderedPageBreak/>
        <w:t>industriales y comerciales del Estado) y a los municipios prestadores directos, incluyendo las excepciones contenidas en el segundo inciso de esta norma</w:t>
      </w:r>
      <w:r w:rsidRPr="0043356A">
        <w:rPr>
          <w:rFonts w:ascii="Arial" w:hAnsi="Arial" w:cs="Arial"/>
          <w:bCs/>
          <w:sz w:val="21"/>
          <w:szCs w:val="21"/>
          <w:vertAlign w:val="superscript"/>
          <w:lang w:val="es-MX" w:eastAsia="x-none"/>
        </w:rPr>
        <w:footnoteReference w:id="37"/>
      </w:r>
      <w:r w:rsidRPr="0043356A">
        <w:rPr>
          <w:rFonts w:ascii="Arial" w:hAnsi="Arial" w:cs="Arial"/>
          <w:bCs/>
          <w:sz w:val="21"/>
          <w:szCs w:val="21"/>
          <w:lang w:val="es-MX" w:eastAsia="x-none"/>
        </w:rPr>
        <w:t>.</w:t>
      </w:r>
      <w:r w:rsidRPr="0043356A">
        <w:rPr>
          <w:rFonts w:ascii="Arial" w:hAnsi="Arial" w:cs="Arial"/>
          <w:bCs/>
          <w:sz w:val="21"/>
          <w:szCs w:val="21"/>
          <w:lang w:val="es-MX" w:eastAsia="es-CO"/>
        </w:rPr>
        <w:t xml:space="preserve"> </w:t>
      </w:r>
    </w:p>
    <w:p w14:paraId="029D2376" w14:textId="77777777" w:rsidR="003C408D" w:rsidRPr="0043356A" w:rsidRDefault="003C408D" w:rsidP="003C408D">
      <w:pPr>
        <w:spacing w:line="276" w:lineRule="auto"/>
        <w:ind w:firstLine="708"/>
        <w:jc w:val="both"/>
        <w:rPr>
          <w:rFonts w:ascii="Arial" w:hAnsi="Arial" w:cs="Arial"/>
          <w:bCs/>
          <w:sz w:val="22"/>
          <w:szCs w:val="22"/>
          <w:lang w:val="es-MX" w:eastAsia="es-CO"/>
        </w:rPr>
      </w:pPr>
    </w:p>
    <w:p w14:paraId="6166282D" w14:textId="1981FE0A" w:rsidR="003C408D" w:rsidRPr="0043356A" w:rsidRDefault="003C408D" w:rsidP="003C408D">
      <w:pPr>
        <w:spacing w:line="276" w:lineRule="auto"/>
        <w:ind w:firstLine="708"/>
        <w:jc w:val="both"/>
        <w:rPr>
          <w:rFonts w:ascii="Arial" w:eastAsiaTheme="minorHAnsi" w:hAnsi="Arial" w:cs="Arial"/>
          <w:sz w:val="22"/>
          <w:szCs w:val="22"/>
          <w:lang w:val="es-MX" w:eastAsia="en-US"/>
        </w:rPr>
      </w:pPr>
      <w:r w:rsidRPr="0043356A">
        <w:rPr>
          <w:rFonts w:ascii="Arial" w:hAnsi="Arial" w:cs="Arial"/>
          <w:bCs/>
          <w:sz w:val="22"/>
          <w:szCs w:val="22"/>
          <w:lang w:val="es-MX" w:eastAsia="x-none"/>
        </w:rPr>
        <w:t>De igual forma, en Concepto con radicado 1738 de</w:t>
      </w:r>
      <w:r w:rsidR="00A6659C" w:rsidRPr="0043356A">
        <w:rPr>
          <w:rFonts w:ascii="Arial" w:hAnsi="Arial" w:cs="Arial"/>
          <w:bCs/>
          <w:sz w:val="22"/>
          <w:szCs w:val="22"/>
          <w:lang w:val="es-MX" w:eastAsia="x-none"/>
        </w:rPr>
        <w:t>l</w:t>
      </w:r>
      <w:r w:rsidRPr="0043356A">
        <w:rPr>
          <w:rFonts w:ascii="Arial" w:hAnsi="Arial" w:cs="Arial"/>
          <w:bCs/>
          <w:sz w:val="22"/>
          <w:szCs w:val="22"/>
          <w:lang w:val="es-MX" w:eastAsia="x-none"/>
        </w:rPr>
        <w:t xml:space="preserv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43356A">
        <w:rPr>
          <w:rFonts w:ascii="Arial" w:eastAsiaTheme="minorHAnsi" w:hAnsi="Arial" w:cs="Arial"/>
          <w:szCs w:val="22"/>
          <w:vertAlign w:val="superscript"/>
          <w:lang w:val="es-MX" w:eastAsia="en-US"/>
        </w:rPr>
        <w:footnoteReference w:id="38"/>
      </w:r>
      <w:r w:rsidRPr="0043356A">
        <w:rPr>
          <w:rFonts w:ascii="Arial" w:hAnsi="Arial" w:cs="Arial"/>
          <w:bCs/>
          <w:sz w:val="22"/>
          <w:szCs w:val="22"/>
          <w:lang w:val="es-MX" w:eastAsia="x-none"/>
        </w:rPr>
        <w:t>.</w:t>
      </w:r>
      <w:r w:rsidRPr="0043356A">
        <w:rPr>
          <w:rFonts w:ascii="Arial" w:eastAsiaTheme="minorHAnsi" w:hAnsi="Arial" w:cs="Arial"/>
          <w:sz w:val="22"/>
          <w:szCs w:val="22"/>
          <w:lang w:val="es-MX" w:eastAsia="en-US"/>
        </w:rPr>
        <w:t xml:space="preserve"> </w:t>
      </w:r>
      <w:r w:rsidR="00B370FB" w:rsidRPr="0043356A">
        <w:rPr>
          <w:rFonts w:ascii="Arial" w:eastAsiaTheme="minorHAnsi" w:hAnsi="Arial" w:cs="Arial"/>
          <w:sz w:val="22"/>
          <w:szCs w:val="22"/>
          <w:lang w:val="es-MX" w:eastAsia="en-US"/>
        </w:rPr>
        <w:t xml:space="preserve">Además, la </w:t>
      </w:r>
      <w:r w:rsidRPr="0043356A">
        <w:rPr>
          <w:rFonts w:ascii="Arial" w:eastAsiaTheme="minorHAnsi" w:hAnsi="Arial" w:cs="Arial"/>
          <w:sz w:val="22"/>
          <w:szCs w:val="22"/>
          <w:lang w:val="es-MX" w:eastAsia="en-US"/>
        </w:rPr>
        <w:t>Sala de Consulta y Servicio Civil</w:t>
      </w:r>
      <w:r w:rsidR="00B370FB" w:rsidRPr="0043356A">
        <w:rPr>
          <w:rFonts w:ascii="Arial" w:eastAsiaTheme="minorHAnsi" w:hAnsi="Arial" w:cs="Arial"/>
          <w:sz w:val="22"/>
          <w:szCs w:val="22"/>
          <w:lang w:val="es-MX" w:eastAsia="en-US"/>
        </w:rPr>
        <w:t xml:space="preserve"> del Consejo de Estado realizó la siguiente distinción, retomando el pronunciamiento de la misma sala del 20 de febrero de 2006, citado anteriormente</w:t>
      </w:r>
      <w:r w:rsidRPr="0043356A">
        <w:rPr>
          <w:rFonts w:ascii="Arial" w:eastAsiaTheme="minorHAnsi" w:hAnsi="Arial" w:cs="Arial"/>
          <w:sz w:val="22"/>
          <w:szCs w:val="22"/>
          <w:lang w:val="es-MX" w:eastAsia="en-US"/>
        </w:rPr>
        <w:t>:</w:t>
      </w:r>
    </w:p>
    <w:p w14:paraId="27203D0A" w14:textId="77777777" w:rsidR="003C408D" w:rsidRPr="0043356A" w:rsidRDefault="003C408D" w:rsidP="003C408D">
      <w:pPr>
        <w:spacing w:line="276" w:lineRule="auto"/>
        <w:jc w:val="both"/>
        <w:rPr>
          <w:rFonts w:ascii="Arial" w:eastAsiaTheme="minorHAnsi" w:hAnsi="Arial" w:cs="Arial"/>
          <w:sz w:val="22"/>
          <w:szCs w:val="22"/>
          <w:lang w:val="es-MX" w:eastAsia="en-US"/>
        </w:rPr>
      </w:pPr>
    </w:p>
    <w:p w14:paraId="59D4546F" w14:textId="13F630CD" w:rsidR="00DF0262" w:rsidRPr="0043356A" w:rsidRDefault="003C408D" w:rsidP="003C408D">
      <w:pPr>
        <w:ind w:left="708" w:right="709"/>
        <w:jc w:val="both"/>
        <w:rPr>
          <w:rFonts w:ascii="Arial" w:eastAsiaTheme="minorHAnsi" w:hAnsi="Arial" w:cs="Arial"/>
          <w:sz w:val="21"/>
          <w:szCs w:val="21"/>
          <w:lang w:val="es-MX" w:eastAsia="en-US"/>
        </w:rPr>
      </w:pPr>
      <w:r w:rsidRPr="0043356A">
        <w:rPr>
          <w:rFonts w:ascii="Arial" w:eastAsiaTheme="minorHAnsi" w:hAnsi="Arial" w:cs="Arial"/>
          <w:sz w:val="21"/>
          <w:szCs w:val="21"/>
          <w:lang w:val="es-MX"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000979FC" w:rsidRPr="0043356A">
        <w:rPr>
          <w:rFonts w:ascii="Arial" w:eastAsiaTheme="minorHAnsi" w:hAnsi="Arial" w:cs="Arial"/>
          <w:sz w:val="21"/>
          <w:szCs w:val="21"/>
          <w:lang w:val="es-MX" w:eastAsia="en-US"/>
        </w:rPr>
        <w:t>.</w:t>
      </w:r>
    </w:p>
    <w:p w14:paraId="40680503" w14:textId="77777777" w:rsidR="00DF0262" w:rsidRPr="0043356A" w:rsidRDefault="00DF0262" w:rsidP="003C408D">
      <w:pPr>
        <w:ind w:left="708" w:right="709"/>
        <w:jc w:val="both"/>
        <w:rPr>
          <w:rFonts w:ascii="Arial" w:eastAsiaTheme="minorHAnsi" w:hAnsi="Arial" w:cs="Arial"/>
          <w:sz w:val="21"/>
          <w:szCs w:val="21"/>
          <w:lang w:val="es-MX" w:eastAsia="en-US"/>
        </w:rPr>
      </w:pPr>
    </w:p>
    <w:p w14:paraId="1AD26853" w14:textId="20368558" w:rsidR="003C408D" w:rsidRPr="0043356A" w:rsidRDefault="00DF0262" w:rsidP="003C408D">
      <w:pPr>
        <w:ind w:left="708" w:right="709"/>
        <w:jc w:val="both"/>
        <w:rPr>
          <w:rFonts w:ascii="Arial" w:eastAsiaTheme="minorHAnsi" w:hAnsi="Arial" w:cs="Arial"/>
          <w:sz w:val="21"/>
          <w:szCs w:val="21"/>
          <w:lang w:val="es-MX" w:eastAsia="en-US"/>
        </w:rPr>
      </w:pPr>
      <w:r w:rsidRPr="0043356A">
        <w:rPr>
          <w:rFonts w:ascii="Arial" w:hAnsi="Arial" w:cs="Arial"/>
          <w:bCs/>
          <w:sz w:val="22"/>
          <w:szCs w:val="22"/>
          <w:lang w:val="es-MX" w:eastAsia="x-none"/>
        </w:rPr>
        <w:t xml:space="preserve">Aplicando este razonamiento a los establecimientos de crédito, a las sociedades de servicios financieros y a las entidades aseguradoras, encontramos que no pueden adquirir los suministros de bienes y servicios necesarios para la realización de su actividad por contratación directa sino por el mecanismo de la licitación pública, pero es obvio que si una de éstas entidades va a prestar un servicio financiero o de seguros a un particular, lo </w:t>
      </w:r>
      <w:r w:rsidRPr="0043356A">
        <w:rPr>
          <w:rFonts w:ascii="Arial" w:hAnsi="Arial" w:cs="Arial"/>
          <w:bCs/>
          <w:sz w:val="22"/>
          <w:szCs w:val="22"/>
          <w:lang w:val="es-MX" w:eastAsia="x-none"/>
        </w:rPr>
        <w:lastRenderedPageBreak/>
        <w:t>puede hacer, pues éstos se ofrecen a toda la comunidad en condiciones de igualdad. Si se supusiera que está prohibida su contratación directa, significaría la parálisis de tal actividad de interés público, lo que de ninguna manera es lo querido por la ley 996 de 2005</w:t>
      </w:r>
      <w:r w:rsidR="003C408D" w:rsidRPr="0043356A">
        <w:rPr>
          <w:rFonts w:ascii="Arial" w:eastAsiaTheme="minorHAnsi" w:hAnsi="Arial" w:cs="Arial"/>
          <w:szCs w:val="22"/>
          <w:vertAlign w:val="superscript"/>
          <w:lang w:val="es-MX" w:eastAsia="en-US"/>
        </w:rPr>
        <w:footnoteReference w:id="39"/>
      </w:r>
      <w:r w:rsidR="003C408D" w:rsidRPr="0043356A">
        <w:rPr>
          <w:rFonts w:ascii="Arial" w:hAnsi="Arial" w:cs="Arial"/>
          <w:bCs/>
          <w:sz w:val="22"/>
          <w:szCs w:val="22"/>
          <w:lang w:val="es-MX" w:eastAsia="x-none"/>
        </w:rPr>
        <w:t>.</w:t>
      </w:r>
    </w:p>
    <w:p w14:paraId="14F8FAC4" w14:textId="77777777" w:rsidR="003C408D" w:rsidRPr="0043356A" w:rsidRDefault="003C408D" w:rsidP="003C408D">
      <w:pPr>
        <w:spacing w:line="276" w:lineRule="auto"/>
        <w:jc w:val="both"/>
        <w:rPr>
          <w:rFonts w:ascii="Arial" w:eastAsiaTheme="minorHAnsi" w:hAnsi="Arial" w:cs="Arial"/>
          <w:sz w:val="22"/>
          <w:szCs w:val="22"/>
          <w:lang w:val="es-MX" w:eastAsia="en-US"/>
        </w:rPr>
      </w:pPr>
    </w:p>
    <w:p w14:paraId="1AE05216" w14:textId="5BAD01A0" w:rsidR="00725DB3" w:rsidRPr="0043356A" w:rsidRDefault="00B370FB" w:rsidP="004D08E5">
      <w:pPr>
        <w:spacing w:after="120" w:line="276" w:lineRule="auto"/>
        <w:ind w:firstLine="709"/>
        <w:jc w:val="both"/>
        <w:rPr>
          <w:rFonts w:ascii="Arial" w:hAnsi="Arial" w:cs="Arial"/>
          <w:sz w:val="22"/>
          <w:szCs w:val="22"/>
          <w:lang w:eastAsia="es-CO"/>
        </w:rPr>
      </w:pPr>
      <w:r w:rsidRPr="0043356A">
        <w:rPr>
          <w:rFonts w:ascii="Arial" w:eastAsiaTheme="minorHAnsi" w:hAnsi="Arial" w:cs="Arial"/>
          <w:sz w:val="22"/>
          <w:szCs w:val="22"/>
          <w:lang w:val="es-MX" w:eastAsia="en-US"/>
        </w:rPr>
        <w:t>De acuerdo con estos pronunciamientos de la Sala de Consulta y Servicio Civil del Consejo de Estado,</w:t>
      </w:r>
      <w:r w:rsidR="00D33DA4" w:rsidRPr="0043356A">
        <w:rPr>
          <w:rFonts w:ascii="Arial" w:eastAsiaTheme="minorHAnsi" w:hAnsi="Arial" w:cs="Arial"/>
          <w:sz w:val="22"/>
          <w:szCs w:val="22"/>
          <w:lang w:val="es-MX" w:eastAsia="en-US"/>
        </w:rPr>
        <w:t xml:space="preserve"> la prohibición de la contratación directa también aplica frente a las entidades exceptuadas de la aplicación del EGCAP y que se rigen en materia contractual por el derecho privado. Sin embargo, señaló </w:t>
      </w:r>
      <w:r w:rsidR="000979FC" w:rsidRPr="0043356A">
        <w:rPr>
          <w:rFonts w:ascii="Arial" w:eastAsiaTheme="minorHAnsi" w:hAnsi="Arial" w:cs="Arial"/>
          <w:sz w:val="22"/>
          <w:szCs w:val="22"/>
          <w:lang w:val="es-MX" w:eastAsia="en-US"/>
        </w:rPr>
        <w:t xml:space="preserve">que </w:t>
      </w:r>
      <w:r w:rsidR="00D33DA4" w:rsidRPr="0043356A">
        <w:rPr>
          <w:rFonts w:ascii="Arial" w:eastAsiaTheme="minorHAnsi" w:hAnsi="Arial" w:cs="Arial"/>
          <w:sz w:val="22"/>
          <w:szCs w:val="22"/>
          <w:lang w:val="es-MX" w:eastAsia="en-US"/>
        </w:rPr>
        <w:t xml:space="preserve">algunas de estas entidades, como sucede con las empresas de servicios públicos domiciliarios, los </w:t>
      </w:r>
      <w:r w:rsidR="00D33DA4" w:rsidRPr="0043356A">
        <w:rPr>
          <w:rFonts w:ascii="Arial" w:hAnsi="Arial" w:cs="Arial"/>
          <w:bCs/>
          <w:sz w:val="22"/>
          <w:szCs w:val="22"/>
          <w:lang w:val="es-MX" w:eastAsia="x-none"/>
        </w:rPr>
        <w:t>establecimientos de crédito, las sociedades de servicios financieros y las entidades aseguradoras</w:t>
      </w:r>
      <w:r w:rsidR="00D33DA4" w:rsidRPr="0043356A">
        <w:rPr>
          <w:rFonts w:ascii="Arial" w:eastAsiaTheme="minorHAnsi" w:hAnsi="Arial" w:cs="Arial"/>
          <w:sz w:val="22"/>
          <w:szCs w:val="22"/>
          <w:lang w:val="es-MX" w:eastAsia="en-US"/>
        </w:rPr>
        <w:t xml:space="preserve"> </w:t>
      </w:r>
      <w:r w:rsidR="003C408D" w:rsidRPr="0043356A">
        <w:rPr>
          <w:rFonts w:ascii="Arial" w:eastAsiaTheme="minorHAnsi" w:hAnsi="Arial" w:cs="Arial"/>
          <w:sz w:val="22"/>
          <w:szCs w:val="22"/>
          <w:lang w:val="es-MX" w:eastAsia="en-US"/>
        </w:rPr>
        <w:t>no pueden adquirir los suministros de bienes y servicios necesarios para la realización de su actividad por contratación directa</w:t>
      </w:r>
      <w:r w:rsidR="00A6659C" w:rsidRPr="0043356A">
        <w:rPr>
          <w:rFonts w:ascii="Arial" w:eastAsiaTheme="minorHAnsi" w:hAnsi="Arial" w:cs="Arial"/>
          <w:sz w:val="22"/>
          <w:szCs w:val="22"/>
          <w:lang w:val="es-MX" w:eastAsia="en-US"/>
        </w:rPr>
        <w:t>,</w:t>
      </w:r>
      <w:r w:rsidR="003C408D" w:rsidRPr="0043356A">
        <w:rPr>
          <w:rFonts w:ascii="Arial" w:eastAsiaTheme="minorHAnsi" w:hAnsi="Arial" w:cs="Arial"/>
          <w:sz w:val="22"/>
          <w:szCs w:val="22"/>
          <w:lang w:val="es-MX" w:eastAsia="en-US"/>
        </w:rPr>
        <w:t xml:space="preserve"> sino por mecanismos competitivos que impliquen convocatoria pública y la posibilidad de</w:t>
      </w:r>
      <w:r w:rsidR="00BD5232" w:rsidRPr="0043356A">
        <w:rPr>
          <w:rFonts w:ascii="Arial" w:eastAsiaTheme="minorHAnsi" w:hAnsi="Arial" w:cs="Arial"/>
          <w:sz w:val="22"/>
          <w:szCs w:val="22"/>
          <w:lang w:val="es-MX" w:eastAsia="en-US"/>
        </w:rPr>
        <w:t xml:space="preserve"> la existencia de</w:t>
      </w:r>
      <w:r w:rsidR="003C408D" w:rsidRPr="0043356A">
        <w:rPr>
          <w:rFonts w:ascii="Arial" w:eastAsiaTheme="minorHAnsi" w:hAnsi="Arial" w:cs="Arial"/>
          <w:sz w:val="22"/>
          <w:szCs w:val="22"/>
          <w:lang w:val="es-MX" w:eastAsia="en-US"/>
        </w:rPr>
        <w:t xml:space="preserve"> pluralidad de oferentes, pero</w:t>
      </w:r>
      <w:r w:rsidR="00D33DA4" w:rsidRPr="0043356A">
        <w:rPr>
          <w:rFonts w:ascii="Arial" w:eastAsiaTheme="minorHAnsi" w:hAnsi="Arial" w:cs="Arial"/>
          <w:sz w:val="22"/>
          <w:szCs w:val="22"/>
          <w:lang w:val="es-MX" w:eastAsia="en-US"/>
        </w:rPr>
        <w:t xml:space="preserve"> </w:t>
      </w:r>
      <w:r w:rsidR="000979FC" w:rsidRPr="0043356A">
        <w:rPr>
          <w:rFonts w:ascii="Arial" w:eastAsiaTheme="minorHAnsi" w:hAnsi="Arial" w:cs="Arial"/>
          <w:sz w:val="22"/>
          <w:szCs w:val="22"/>
          <w:lang w:val="es-MX" w:eastAsia="en-US"/>
        </w:rPr>
        <w:t xml:space="preserve">indicó que en estos casos </w:t>
      </w:r>
      <w:r w:rsidR="003C408D" w:rsidRPr="0043356A">
        <w:rPr>
          <w:rFonts w:ascii="Arial" w:eastAsiaTheme="minorHAnsi" w:hAnsi="Arial" w:cs="Arial"/>
          <w:sz w:val="22"/>
          <w:szCs w:val="22"/>
          <w:lang w:val="es-MX" w:eastAsia="en-US"/>
        </w:rPr>
        <w:t>«</w:t>
      </w:r>
      <w:r w:rsidR="00191742" w:rsidRPr="0043356A">
        <w:rPr>
          <w:rFonts w:ascii="Arial" w:eastAsiaTheme="minorHAnsi" w:hAnsi="Arial" w:cs="Arial"/>
          <w:sz w:val="22"/>
          <w:szCs w:val="22"/>
          <w:lang w:val="es-MX" w:eastAsia="en-US"/>
        </w:rPr>
        <w:t>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003C408D" w:rsidRPr="0043356A">
        <w:rPr>
          <w:rFonts w:ascii="Arial" w:eastAsiaTheme="minorHAnsi" w:hAnsi="Arial" w:cs="Arial"/>
          <w:sz w:val="22"/>
          <w:szCs w:val="22"/>
          <w:lang w:val="es-MX" w:eastAsia="en-US"/>
        </w:rPr>
        <w:t>»</w:t>
      </w:r>
      <w:r w:rsidR="003C408D" w:rsidRPr="0043356A">
        <w:rPr>
          <w:rFonts w:ascii="Arial" w:eastAsiaTheme="minorHAnsi" w:hAnsi="Arial" w:cs="Arial"/>
          <w:sz w:val="22"/>
          <w:szCs w:val="22"/>
          <w:vertAlign w:val="superscript"/>
          <w:lang w:val="es-MX" w:eastAsia="en-US"/>
        </w:rPr>
        <w:footnoteReference w:id="40"/>
      </w:r>
      <w:r w:rsidR="003C408D" w:rsidRPr="0043356A">
        <w:rPr>
          <w:rFonts w:ascii="Arial" w:eastAsiaTheme="minorHAnsi" w:hAnsi="Arial" w:cs="Arial"/>
          <w:sz w:val="22"/>
          <w:szCs w:val="22"/>
          <w:lang w:val="es-MX" w:eastAsia="en-US"/>
        </w:rPr>
        <w:t>.</w:t>
      </w:r>
      <w:r w:rsidR="001A0959" w:rsidRPr="0043356A">
        <w:rPr>
          <w:rFonts w:ascii="Arial" w:hAnsi="Arial" w:cs="Arial"/>
          <w:sz w:val="22"/>
          <w:szCs w:val="22"/>
          <w:lang w:eastAsia="es-CO"/>
        </w:rPr>
        <w:t xml:space="preserve"> </w:t>
      </w:r>
    </w:p>
    <w:p w14:paraId="08E9F934" w14:textId="21A39DBC" w:rsidR="003C408D" w:rsidRPr="0043356A" w:rsidRDefault="00191742" w:rsidP="00236E1A">
      <w:pPr>
        <w:spacing w:after="120" w:line="276" w:lineRule="auto"/>
        <w:ind w:firstLine="709"/>
        <w:jc w:val="both"/>
        <w:rPr>
          <w:rFonts w:ascii="Arial" w:hAnsi="Arial" w:cs="Arial"/>
          <w:bCs/>
          <w:sz w:val="22"/>
          <w:szCs w:val="22"/>
          <w:lang w:val="es-MX" w:eastAsia="x-none"/>
        </w:rPr>
      </w:pPr>
      <w:r w:rsidRPr="0043356A">
        <w:rPr>
          <w:rFonts w:ascii="Arial" w:hAnsi="Arial" w:cs="Arial"/>
          <w:sz w:val="22"/>
          <w:szCs w:val="22"/>
          <w:lang w:eastAsia="es-CO"/>
        </w:rPr>
        <w:t>Sin perjuicio de estos pronunciamientos de la Sala de Consulta y Servicio Civil</w:t>
      </w:r>
      <w:r w:rsidR="001A0959" w:rsidRPr="0043356A">
        <w:rPr>
          <w:rFonts w:ascii="Arial" w:eastAsiaTheme="minorHAnsi" w:hAnsi="Arial" w:cs="Arial"/>
          <w:sz w:val="22"/>
          <w:szCs w:val="22"/>
          <w:lang w:val="es-MX" w:eastAsia="en-US"/>
        </w:rPr>
        <w:t>,</w:t>
      </w:r>
      <w:r w:rsidR="003C408D" w:rsidRPr="0043356A">
        <w:rPr>
          <w:rFonts w:ascii="Arial" w:eastAsiaTheme="minorHAnsi" w:hAnsi="Arial" w:cs="Arial"/>
          <w:sz w:val="22"/>
          <w:szCs w:val="22"/>
          <w:lang w:val="es-MX" w:eastAsia="en-US"/>
        </w:rPr>
        <w:t xml:space="preserve"> </w:t>
      </w:r>
      <w:r w:rsidRPr="0043356A">
        <w:rPr>
          <w:rFonts w:ascii="Arial" w:eastAsiaTheme="minorHAnsi" w:hAnsi="Arial" w:cs="Arial"/>
          <w:sz w:val="22"/>
          <w:szCs w:val="22"/>
          <w:lang w:val="es-MX" w:eastAsia="en-US"/>
        </w:rPr>
        <w:t xml:space="preserve">como la ha señalado esa misma Corporación, </w:t>
      </w:r>
      <w:r w:rsidR="003C408D" w:rsidRPr="0043356A">
        <w:rPr>
          <w:rFonts w:ascii="Arial" w:eastAsiaTheme="minorHAnsi" w:hAnsi="Arial" w:cs="Arial"/>
          <w:sz w:val="22"/>
          <w:szCs w:val="22"/>
          <w:lang w:val="es-MX" w:eastAsia="en-US"/>
        </w:rPr>
        <w:t xml:space="preserve">la restricción prevista en la Ley 996 de 2005 </w:t>
      </w:r>
      <w:r w:rsidR="003C408D" w:rsidRPr="0043356A">
        <w:rPr>
          <w:rFonts w:ascii="Arial" w:hAnsi="Arial" w:cs="Arial"/>
          <w:bCs/>
          <w:sz w:val="22"/>
          <w:szCs w:val="22"/>
          <w:lang w:val="es-MX" w:eastAsia="x-none"/>
        </w:rPr>
        <w:t>cobija a cualquier ent</w:t>
      </w:r>
      <w:r w:rsidR="001A0959" w:rsidRPr="0043356A">
        <w:rPr>
          <w:rFonts w:ascii="Arial" w:hAnsi="Arial" w:cs="Arial"/>
          <w:bCs/>
          <w:sz w:val="22"/>
          <w:szCs w:val="22"/>
          <w:lang w:val="es-MX" w:eastAsia="x-none"/>
        </w:rPr>
        <w:t>idad pública independiente del régimen jurídico,</w:t>
      </w:r>
      <w:r w:rsidR="003C408D" w:rsidRPr="0043356A">
        <w:rPr>
          <w:rFonts w:ascii="Arial" w:hAnsi="Arial" w:cs="Arial"/>
          <w:bCs/>
          <w:sz w:val="22"/>
          <w:szCs w:val="22"/>
          <w:lang w:val="es-MX" w:eastAsia="x-none"/>
        </w:rPr>
        <w:t xml:space="preserve"> que pueda </w:t>
      </w:r>
      <w:r w:rsidR="001A0959" w:rsidRPr="0043356A">
        <w:rPr>
          <w:rFonts w:ascii="Arial" w:hAnsi="Arial" w:cs="Arial"/>
          <w:bCs/>
          <w:sz w:val="22"/>
          <w:szCs w:val="22"/>
          <w:lang w:val="es-MX" w:eastAsia="x-none"/>
        </w:rPr>
        <w:t>mediante</w:t>
      </w:r>
      <w:r w:rsidR="003C408D" w:rsidRPr="0043356A">
        <w:rPr>
          <w:rFonts w:ascii="Arial" w:hAnsi="Arial" w:cs="Arial"/>
          <w:bCs/>
          <w:sz w:val="22"/>
          <w:szCs w:val="22"/>
          <w:lang w:val="es-MX" w:eastAsia="x-none"/>
        </w:rPr>
        <w:t xml:space="preserve"> la contratación directa</w:t>
      </w:r>
      <w:r w:rsidR="00525B4D" w:rsidRPr="0043356A">
        <w:rPr>
          <w:rFonts w:ascii="Arial" w:hAnsi="Arial" w:cs="Arial"/>
          <w:bCs/>
          <w:sz w:val="22"/>
          <w:szCs w:val="22"/>
          <w:lang w:val="es-MX" w:eastAsia="x-none"/>
        </w:rPr>
        <w:t xml:space="preserve"> </w:t>
      </w:r>
      <w:r w:rsidR="003C408D" w:rsidRPr="0043356A">
        <w:rPr>
          <w:rFonts w:ascii="Arial" w:hAnsi="Arial" w:cs="Arial"/>
          <w:bCs/>
          <w:sz w:val="22"/>
          <w:szCs w:val="22"/>
          <w:lang w:val="es-MX" w:eastAsia="x-none"/>
        </w:rPr>
        <w:t>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puede presentar</w:t>
      </w:r>
      <w:r w:rsidR="00525B4D" w:rsidRPr="0043356A">
        <w:rPr>
          <w:rFonts w:ascii="Arial" w:hAnsi="Arial" w:cs="Arial"/>
          <w:bCs/>
          <w:sz w:val="22"/>
          <w:szCs w:val="22"/>
          <w:lang w:val="es-MX" w:eastAsia="x-none"/>
        </w:rPr>
        <w:t>se</w:t>
      </w:r>
      <w:r w:rsidR="003C408D" w:rsidRPr="0043356A">
        <w:rPr>
          <w:rFonts w:ascii="Arial" w:hAnsi="Arial" w:cs="Arial"/>
          <w:bCs/>
          <w:sz w:val="22"/>
          <w:szCs w:val="22"/>
          <w:lang w:val="es-MX" w:eastAsia="x-none"/>
        </w:rPr>
        <w:t xml:space="preserve"> tanto en la contratación regulada por la Ley 80 de 1993 como en la regida por </w:t>
      </w:r>
      <w:r w:rsidR="009D7F2E" w:rsidRPr="0043356A">
        <w:rPr>
          <w:rFonts w:ascii="Arial" w:hAnsi="Arial" w:cs="Arial"/>
          <w:bCs/>
          <w:sz w:val="22"/>
          <w:szCs w:val="22"/>
          <w:lang w:val="es-MX" w:eastAsia="x-none"/>
        </w:rPr>
        <w:t>normas especiales.</w:t>
      </w:r>
      <w:r w:rsidR="00525B4D" w:rsidRPr="0043356A">
        <w:rPr>
          <w:rFonts w:ascii="Arial" w:hAnsi="Arial" w:cs="Arial"/>
          <w:bCs/>
          <w:sz w:val="22"/>
          <w:szCs w:val="22"/>
          <w:lang w:val="es-MX" w:eastAsia="x-none"/>
        </w:rPr>
        <w:t xml:space="preserve"> </w:t>
      </w:r>
    </w:p>
    <w:p w14:paraId="69806B25" w14:textId="0C9C9BAD" w:rsidR="00251F82" w:rsidRPr="0043356A" w:rsidRDefault="00251F82" w:rsidP="00236E1A">
      <w:pPr>
        <w:spacing w:after="120" w:line="276" w:lineRule="auto"/>
        <w:ind w:firstLine="709"/>
        <w:jc w:val="both"/>
        <w:rPr>
          <w:rFonts w:ascii="Arial" w:hAnsi="Arial" w:cs="Arial"/>
          <w:bCs/>
          <w:sz w:val="22"/>
          <w:szCs w:val="22"/>
          <w:lang w:val="es-MX" w:eastAsia="x-none"/>
        </w:rPr>
      </w:pPr>
      <w:r w:rsidRPr="0043356A">
        <w:rPr>
          <w:rFonts w:ascii="Arial" w:hAnsi="Arial" w:cs="Arial"/>
          <w:bCs/>
          <w:sz w:val="22"/>
          <w:szCs w:val="22"/>
          <w:lang w:val="es-MX" w:eastAsia="x-none"/>
        </w:rPr>
        <w:t>En tal sentido, atendiendo al desarrollo realizado de la prohibición establecida en el artículo 33 de la Ley de Garantías Electorales y señalados algunos pronunciamientos relevantes en la materia, le compete a cada entidad estatal que considera celebrar un contrato específico, definir si este se enmarca en la prohibición establecida en el artículo 33 que restringe la contratación directa en el periodo preelectoral a las elecciones presidenciales. Lo anterior, adicionalmente</w:t>
      </w:r>
      <w:r w:rsidR="00191742" w:rsidRPr="0043356A">
        <w:rPr>
          <w:rFonts w:ascii="Arial" w:hAnsi="Arial" w:cs="Arial"/>
          <w:bCs/>
          <w:sz w:val="22"/>
          <w:szCs w:val="22"/>
          <w:lang w:val="es-MX" w:eastAsia="x-none"/>
        </w:rPr>
        <w:t>,</w:t>
      </w:r>
      <w:r w:rsidRPr="0043356A">
        <w:rPr>
          <w:rFonts w:ascii="Arial" w:hAnsi="Arial" w:cs="Arial"/>
          <w:bCs/>
          <w:sz w:val="22"/>
          <w:szCs w:val="22"/>
          <w:lang w:val="es-MX" w:eastAsia="x-none"/>
        </w:rPr>
        <w:t xml:space="preserve"> teniendo en cuenta las excepciones a la prohibición establecidas en el inciso segundo del mismo artículo 33. Además, se reitera que la </w:t>
      </w:r>
      <w:r w:rsidR="00E2713B" w:rsidRPr="0043356A">
        <w:rPr>
          <w:rFonts w:ascii="Arial" w:hAnsi="Arial" w:cs="Arial"/>
          <w:bCs/>
          <w:sz w:val="22"/>
          <w:szCs w:val="22"/>
          <w:lang w:val="es-MX" w:eastAsia="x-none"/>
        </w:rPr>
        <w:t>restricción</w:t>
      </w:r>
      <w:r w:rsidRPr="0043356A">
        <w:rPr>
          <w:rFonts w:ascii="Arial" w:hAnsi="Arial" w:cs="Arial"/>
          <w:bCs/>
          <w:sz w:val="22"/>
          <w:szCs w:val="22"/>
          <w:lang w:val="es-MX" w:eastAsia="x-none"/>
        </w:rPr>
        <w:t xml:space="preserve"> aplica frente a la contratación directa, entendida como </w:t>
      </w:r>
      <w:r w:rsidR="006E234E" w:rsidRPr="0043356A">
        <w:rPr>
          <w:rFonts w:ascii="Arial" w:hAnsi="Arial" w:cs="Arial"/>
          <w:bCs/>
          <w:sz w:val="22"/>
          <w:szCs w:val="22"/>
          <w:lang w:val="es-MX" w:eastAsia="x-none"/>
        </w:rPr>
        <w:t xml:space="preserve">cualquier sistema de selección o procedimiento de contratación utilizado por las entidades estatales que no </w:t>
      </w:r>
      <w:r w:rsidR="006E234E" w:rsidRPr="0043356A">
        <w:rPr>
          <w:rFonts w:ascii="Arial" w:hAnsi="Arial" w:cs="Arial"/>
          <w:bCs/>
          <w:sz w:val="22"/>
          <w:szCs w:val="22"/>
          <w:lang w:val="es-MX" w:eastAsia="x-none"/>
        </w:rPr>
        <w:lastRenderedPageBreak/>
        <w:t>incluya la convocatoria pública en alguna de sus etapas, ni permita la participación de una pluralidad de oferentes; por lo que las entidades que se rigen por el derecho privado podrán celebrar contratos de acuerdo con los procedimientos contractuales desarrollados en sus manuales de contratación, bajo el entendido que estos permitan la participación de una pluralidad de oferentes.</w:t>
      </w:r>
      <w:r w:rsidR="00191742" w:rsidRPr="0043356A">
        <w:rPr>
          <w:rFonts w:ascii="Arial" w:hAnsi="Arial" w:cs="Arial"/>
          <w:bCs/>
          <w:sz w:val="22"/>
          <w:szCs w:val="22"/>
          <w:lang w:val="es-MX" w:eastAsia="x-none"/>
        </w:rPr>
        <w:t xml:space="preserve"> Finalmente, se reitera, c</w:t>
      </w:r>
      <w:r w:rsidR="00191742" w:rsidRPr="0043356A">
        <w:rPr>
          <w:rFonts w:ascii="Arial" w:hAnsi="Arial" w:cs="Arial"/>
          <w:bCs/>
          <w:sz w:val="22"/>
          <w:szCs w:val="22"/>
          <w:lang w:val="es-MX" w:eastAsia="es-CO"/>
        </w:rPr>
        <w:t>omo en otras oportunidades lo ha manifestado esta Agencia, que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00191742" w:rsidRPr="0043356A">
        <w:rPr>
          <w:rStyle w:val="Refdenotaalpie"/>
          <w:rFonts w:ascii="Arial" w:hAnsi="Arial" w:cs="Arial"/>
          <w:bCs/>
          <w:sz w:val="22"/>
          <w:szCs w:val="22"/>
          <w:lang w:val="es-MX" w:eastAsia="es-CO"/>
        </w:rPr>
        <w:footnoteReference w:id="41"/>
      </w:r>
      <w:r w:rsidR="00191742" w:rsidRPr="0043356A">
        <w:rPr>
          <w:rFonts w:ascii="Arial" w:hAnsi="Arial" w:cs="Arial"/>
          <w:bCs/>
          <w:sz w:val="22"/>
          <w:szCs w:val="22"/>
          <w:lang w:val="es-MX" w:eastAsia="es-CO"/>
        </w:rPr>
        <w:t>. Además, también es posible que contratos celebrados previamente se continúen ejecutando con normalidad.</w:t>
      </w:r>
    </w:p>
    <w:p w14:paraId="3DBE0B30" w14:textId="08CFED18" w:rsidR="00725DB3" w:rsidRPr="0043356A" w:rsidRDefault="003E7523" w:rsidP="0002767E">
      <w:pPr>
        <w:spacing w:line="276" w:lineRule="auto"/>
        <w:ind w:firstLine="708"/>
        <w:jc w:val="both"/>
        <w:rPr>
          <w:rFonts w:ascii="Arial" w:eastAsia="Arial" w:hAnsi="Arial" w:cs="Arial"/>
          <w:sz w:val="22"/>
          <w:szCs w:val="22"/>
          <w:lang w:eastAsia="en-US"/>
        </w:rPr>
      </w:pPr>
      <w:r w:rsidRPr="0043356A">
        <w:rPr>
          <w:rFonts w:ascii="Arial" w:hAnsi="Arial" w:cs="Arial"/>
          <w:bCs/>
          <w:sz w:val="22"/>
          <w:szCs w:val="22"/>
          <w:lang w:val="es-MX" w:eastAsia="x-none"/>
        </w:rPr>
        <w:t>Habiéndose d</w:t>
      </w:r>
      <w:r w:rsidR="00A13599" w:rsidRPr="0043356A">
        <w:rPr>
          <w:rFonts w:ascii="Arial" w:hAnsi="Arial" w:cs="Arial"/>
          <w:bCs/>
          <w:sz w:val="22"/>
          <w:szCs w:val="22"/>
          <w:lang w:val="es-MX" w:eastAsia="x-none"/>
        </w:rPr>
        <w:t xml:space="preserve">esarrollado el alcance de la prohibición establecida en el artículo 33 de la Ley de Garantías Electorales, de acuerdo con el ámbito de competencias de la Agencia, conviene señalar que frente </w:t>
      </w:r>
      <w:r w:rsidR="001C4D24" w:rsidRPr="0043356A">
        <w:rPr>
          <w:rFonts w:ascii="Arial" w:hAnsi="Arial" w:cs="Arial"/>
          <w:bCs/>
          <w:sz w:val="22"/>
          <w:szCs w:val="22"/>
          <w:lang w:val="es-MX" w:eastAsia="x-none"/>
        </w:rPr>
        <w:t xml:space="preserve">a la posibilidad de </w:t>
      </w:r>
      <w:r w:rsidR="003D52FB" w:rsidRPr="0043356A">
        <w:rPr>
          <w:rFonts w:ascii="Arial" w:hAnsi="Arial" w:cs="Arial"/>
          <w:bCs/>
          <w:sz w:val="22"/>
          <w:szCs w:val="22"/>
          <w:lang w:val="es-MX" w:eastAsia="x-none"/>
        </w:rPr>
        <w:t>«</w:t>
      </w:r>
      <w:r w:rsidR="00290798" w:rsidRPr="0043356A">
        <w:rPr>
          <w:rFonts w:ascii="Arial" w:hAnsi="Arial" w:cs="Arial"/>
          <w:bCs/>
          <w:sz w:val="22"/>
          <w:szCs w:val="22"/>
          <w:lang w:val="es-MX" w:eastAsia="x-none"/>
        </w:rPr>
        <w:t>celebrar a</w:t>
      </w:r>
      <w:r w:rsidR="001C4D24" w:rsidRPr="0043356A">
        <w:rPr>
          <w:rFonts w:ascii="Arial" w:hAnsi="Arial" w:cs="Arial"/>
          <w:bCs/>
          <w:sz w:val="22"/>
          <w:szCs w:val="22"/>
          <w:lang w:val="es-MX" w:eastAsia="x-none"/>
        </w:rPr>
        <w:t>lianzas estratégicas</w:t>
      </w:r>
      <w:r w:rsidR="003D52FB" w:rsidRPr="0043356A">
        <w:rPr>
          <w:rFonts w:ascii="Arial" w:hAnsi="Arial" w:cs="Arial"/>
          <w:bCs/>
          <w:sz w:val="22"/>
          <w:szCs w:val="22"/>
          <w:lang w:val="es-MX" w:eastAsia="x-none"/>
        </w:rPr>
        <w:t>»</w:t>
      </w:r>
      <w:r w:rsidR="001C4D24" w:rsidRPr="0043356A">
        <w:rPr>
          <w:rFonts w:ascii="Arial" w:hAnsi="Arial" w:cs="Arial"/>
          <w:bCs/>
          <w:sz w:val="22"/>
          <w:szCs w:val="22"/>
          <w:lang w:val="es-MX" w:eastAsia="x-none"/>
        </w:rPr>
        <w:t xml:space="preserve">, </w:t>
      </w:r>
      <w:r w:rsidR="001C4D24" w:rsidRPr="0043356A">
        <w:rPr>
          <w:rFonts w:ascii="Arial" w:eastAsia="Calibri" w:hAnsi="Arial" w:cs="Arial"/>
          <w:sz w:val="22"/>
          <w:szCs w:val="22"/>
          <w:lang w:val="es-ES" w:eastAsia="en-US"/>
        </w:rPr>
        <w:t xml:space="preserve">se </w:t>
      </w:r>
      <w:r w:rsidR="00290798" w:rsidRPr="0043356A">
        <w:rPr>
          <w:rFonts w:ascii="Arial" w:eastAsia="Calibri" w:hAnsi="Arial" w:cs="Arial"/>
          <w:sz w:val="22"/>
          <w:szCs w:val="22"/>
          <w:lang w:val="es-ES" w:eastAsia="en-US"/>
        </w:rPr>
        <w:t>reitera que tenemos</w:t>
      </w:r>
      <w:r w:rsidR="001C4D24" w:rsidRPr="0043356A">
        <w:rPr>
          <w:rFonts w:ascii="Arial" w:eastAsia="Calibri" w:hAnsi="Arial" w:cs="Arial"/>
          <w:sz w:val="22"/>
          <w:szCs w:val="22"/>
          <w:lang w:val="es-ES" w:eastAsia="en-US"/>
        </w:rPr>
        <w:t xml:space="preserve"> </w:t>
      </w:r>
      <w:r w:rsidR="001C4D24" w:rsidRPr="0043356A">
        <w:rPr>
          <w:rFonts w:ascii="Arial" w:hAnsi="Arial" w:cs="Arial"/>
          <w:sz w:val="22"/>
          <w:szCs w:val="22"/>
          <w:lang w:val="es-ES"/>
        </w:rPr>
        <w:t>competencia para atender consultas relativas a temas contractuales, pero solo para «absolver consultas sobre la aplicación de normas de carácter general»</w:t>
      </w:r>
      <w:r w:rsidR="001C4D24" w:rsidRPr="0043356A">
        <w:rPr>
          <w:rFonts w:ascii="Arial" w:eastAsia="Calibri" w:hAnsi="Arial" w:cs="Arial"/>
          <w:sz w:val="22"/>
          <w:szCs w:val="22"/>
          <w:vertAlign w:val="superscript"/>
          <w:lang w:val="es-ES" w:eastAsia="en-US"/>
        </w:rPr>
        <w:footnoteReference w:id="42"/>
      </w:r>
      <w:r w:rsidR="001C4D24" w:rsidRPr="0043356A">
        <w:rPr>
          <w:rFonts w:ascii="Arial" w:hAnsi="Arial" w:cs="Arial"/>
          <w:sz w:val="22"/>
          <w:szCs w:val="22"/>
          <w:lang w:val="es-ES"/>
        </w:rPr>
        <w:t>. Esto significa que no podemos pronunciarnos sobre casos particulares o sobre preguntas que no contengan dudas sobre la interpretación de disposiciones generales</w:t>
      </w:r>
      <w:r w:rsidR="001C4D24" w:rsidRPr="0043356A">
        <w:rPr>
          <w:rFonts w:ascii="Arial" w:eastAsia="Arial" w:hAnsi="Arial" w:cs="Arial"/>
          <w:sz w:val="22"/>
          <w:szCs w:val="22"/>
          <w:lang w:val="es-ES" w:eastAsia="en-US"/>
        </w:rPr>
        <w:t xml:space="preserve">. En tal sentido, de acuerdo con lo indicado en este concepto, corresponderá a las entidades estatales que consideran celebrar una </w:t>
      </w:r>
      <w:r w:rsidR="00A6659C" w:rsidRPr="0043356A">
        <w:rPr>
          <w:rFonts w:ascii="Arial" w:eastAsia="Arial" w:hAnsi="Arial" w:cs="Arial"/>
          <w:sz w:val="22"/>
          <w:szCs w:val="22"/>
          <w:lang w:val="es-ES" w:eastAsia="en-US"/>
        </w:rPr>
        <w:t>«</w:t>
      </w:r>
      <w:r w:rsidR="001C4D24" w:rsidRPr="0043356A">
        <w:rPr>
          <w:rFonts w:ascii="Arial" w:eastAsia="Arial" w:hAnsi="Arial" w:cs="Arial"/>
          <w:sz w:val="22"/>
          <w:szCs w:val="22"/>
          <w:lang w:val="es-ES" w:eastAsia="en-US"/>
        </w:rPr>
        <w:t>alianza estratégica</w:t>
      </w:r>
      <w:r w:rsidR="00A6659C" w:rsidRPr="0043356A">
        <w:rPr>
          <w:rFonts w:ascii="Arial" w:eastAsia="Arial" w:hAnsi="Arial" w:cs="Arial"/>
          <w:sz w:val="22"/>
          <w:szCs w:val="22"/>
          <w:lang w:val="es-ES" w:eastAsia="en-US"/>
        </w:rPr>
        <w:t>»</w:t>
      </w:r>
      <w:r w:rsidR="001C4D24" w:rsidRPr="0043356A">
        <w:rPr>
          <w:rFonts w:ascii="Arial" w:eastAsia="Arial" w:hAnsi="Arial" w:cs="Arial"/>
          <w:sz w:val="22"/>
          <w:szCs w:val="22"/>
          <w:lang w:val="es-ES" w:eastAsia="en-US"/>
        </w:rPr>
        <w:t>, definir su viabilidad jurídica, teniendo en cuenta</w:t>
      </w:r>
      <w:r w:rsidR="005F3CBB" w:rsidRPr="0043356A">
        <w:rPr>
          <w:rFonts w:ascii="Arial" w:eastAsia="Arial" w:hAnsi="Arial" w:cs="Arial"/>
          <w:sz w:val="22"/>
          <w:szCs w:val="22"/>
          <w:lang w:val="es-ES" w:eastAsia="en-US"/>
        </w:rPr>
        <w:t xml:space="preserve"> que no hay una definición univoca</w:t>
      </w:r>
      <w:r w:rsidR="009E02D2" w:rsidRPr="0043356A">
        <w:rPr>
          <w:rFonts w:ascii="Arial" w:eastAsia="Arial" w:hAnsi="Arial" w:cs="Arial"/>
          <w:sz w:val="22"/>
          <w:szCs w:val="22"/>
          <w:lang w:val="es-ES" w:eastAsia="en-US"/>
        </w:rPr>
        <w:t xml:space="preserve"> o precisa</w:t>
      </w:r>
      <w:r w:rsidR="005F3CBB" w:rsidRPr="0043356A">
        <w:rPr>
          <w:rFonts w:ascii="Arial" w:eastAsia="Arial" w:hAnsi="Arial" w:cs="Arial"/>
          <w:sz w:val="22"/>
          <w:szCs w:val="22"/>
          <w:lang w:val="es-ES" w:eastAsia="en-US"/>
        </w:rPr>
        <w:t xml:space="preserve"> frente </w:t>
      </w:r>
      <w:r w:rsidR="00290798" w:rsidRPr="0043356A">
        <w:rPr>
          <w:rFonts w:ascii="Arial" w:eastAsia="Arial" w:hAnsi="Arial" w:cs="Arial"/>
          <w:sz w:val="22"/>
          <w:szCs w:val="22"/>
          <w:lang w:val="es-ES" w:eastAsia="en-US"/>
        </w:rPr>
        <w:t xml:space="preserve">a </w:t>
      </w:r>
      <w:r w:rsidR="009E02D2" w:rsidRPr="0043356A">
        <w:rPr>
          <w:rFonts w:ascii="Arial" w:eastAsia="Arial" w:hAnsi="Arial" w:cs="Arial"/>
          <w:sz w:val="22"/>
          <w:szCs w:val="22"/>
          <w:lang w:val="es-ES" w:eastAsia="en-US"/>
        </w:rPr>
        <w:t>est</w:t>
      </w:r>
      <w:r w:rsidR="0002767E" w:rsidRPr="0043356A">
        <w:rPr>
          <w:rFonts w:ascii="Arial" w:eastAsia="Arial" w:hAnsi="Arial" w:cs="Arial"/>
          <w:sz w:val="22"/>
          <w:szCs w:val="22"/>
          <w:lang w:val="es-ES" w:eastAsia="en-US"/>
        </w:rPr>
        <w:t>a</w:t>
      </w:r>
      <w:r w:rsidR="009E02D2" w:rsidRPr="0043356A">
        <w:rPr>
          <w:rFonts w:ascii="Arial" w:eastAsia="Arial" w:hAnsi="Arial" w:cs="Arial"/>
          <w:sz w:val="22"/>
          <w:szCs w:val="22"/>
          <w:lang w:val="es-ES" w:eastAsia="en-US"/>
        </w:rPr>
        <w:t xml:space="preserve"> institución</w:t>
      </w:r>
      <w:r w:rsidR="00290798" w:rsidRPr="0043356A">
        <w:rPr>
          <w:rFonts w:ascii="Arial" w:eastAsia="Arial" w:hAnsi="Arial" w:cs="Arial"/>
          <w:sz w:val="22"/>
          <w:szCs w:val="22"/>
          <w:lang w:val="es-ES" w:eastAsia="en-US"/>
        </w:rPr>
        <w:t xml:space="preserve"> o este tipo de «alianzas»</w:t>
      </w:r>
      <w:r w:rsidR="00737FB7" w:rsidRPr="0043356A">
        <w:rPr>
          <w:rFonts w:ascii="Arial" w:eastAsia="Arial" w:hAnsi="Arial" w:cs="Arial"/>
          <w:sz w:val="22"/>
          <w:szCs w:val="22"/>
          <w:lang w:eastAsia="en-US"/>
        </w:rPr>
        <w:t xml:space="preserve">. </w:t>
      </w:r>
      <w:r w:rsidR="00290798" w:rsidRPr="0043356A">
        <w:rPr>
          <w:rFonts w:ascii="Arial" w:eastAsia="Arial" w:hAnsi="Arial" w:cs="Arial"/>
          <w:sz w:val="22"/>
          <w:szCs w:val="22"/>
          <w:lang w:eastAsia="en-US"/>
        </w:rPr>
        <w:t>En este sentido</w:t>
      </w:r>
      <w:r w:rsidR="00737FB7" w:rsidRPr="0043356A">
        <w:rPr>
          <w:rFonts w:ascii="Arial" w:eastAsia="Arial" w:hAnsi="Arial" w:cs="Arial"/>
          <w:sz w:val="22"/>
          <w:lang w:val="es-ES_tradnl"/>
        </w:rPr>
        <w:t xml:space="preserve">, </w:t>
      </w:r>
      <w:r w:rsidR="00290798" w:rsidRPr="0043356A">
        <w:rPr>
          <w:rFonts w:ascii="Arial" w:eastAsia="Arial" w:hAnsi="Arial" w:cs="Arial"/>
          <w:sz w:val="22"/>
          <w:lang w:val="es-ES_tradnl"/>
        </w:rPr>
        <w:t xml:space="preserve">corresponde a cada entidad que considere celebrar este tipo de acuerdos </w:t>
      </w:r>
      <w:r w:rsidR="00290798" w:rsidRPr="0043356A">
        <w:rPr>
          <w:rFonts w:ascii="Arial" w:eastAsia="Arial" w:hAnsi="Arial" w:cs="Arial"/>
          <w:sz w:val="22"/>
          <w:szCs w:val="22"/>
          <w:lang w:val="es-ES" w:eastAsia="en-US"/>
        </w:rPr>
        <w:t>analizar</w:t>
      </w:r>
      <w:r w:rsidR="00DB050C" w:rsidRPr="0043356A">
        <w:rPr>
          <w:rFonts w:ascii="Arial" w:eastAsia="Arial" w:hAnsi="Arial" w:cs="Arial"/>
          <w:sz w:val="22"/>
          <w:szCs w:val="22"/>
          <w:lang w:val="es-ES" w:eastAsia="en-US"/>
        </w:rPr>
        <w:t xml:space="preserve">, de conformidad con las consideraciones </w:t>
      </w:r>
      <w:r w:rsidR="001C4D24" w:rsidRPr="0043356A">
        <w:rPr>
          <w:rFonts w:ascii="Arial" w:eastAsia="Arial" w:hAnsi="Arial" w:cs="Arial"/>
          <w:sz w:val="22"/>
          <w:szCs w:val="22"/>
          <w:lang w:val="es-ES" w:eastAsia="en-US"/>
        </w:rPr>
        <w:t xml:space="preserve">expuestas en este concepto sobre </w:t>
      </w:r>
      <w:r w:rsidR="003D52FB" w:rsidRPr="0043356A">
        <w:rPr>
          <w:rFonts w:ascii="Arial" w:eastAsia="Arial" w:hAnsi="Arial" w:cs="Arial"/>
          <w:sz w:val="22"/>
          <w:szCs w:val="22"/>
          <w:lang w:val="es-ES" w:eastAsia="en-US"/>
        </w:rPr>
        <w:t xml:space="preserve">la aplicación de las </w:t>
      </w:r>
      <w:r w:rsidR="001C4D24" w:rsidRPr="0043356A">
        <w:rPr>
          <w:rFonts w:ascii="Arial" w:eastAsia="Calibri" w:hAnsi="Arial" w:cs="Arial"/>
          <w:bCs/>
          <w:sz w:val="22"/>
          <w:szCs w:val="22"/>
          <w:lang w:val="es-ES_tradnl" w:eastAsia="en-US"/>
        </w:rPr>
        <w:t xml:space="preserve">restricciones y prohibiciones que se presentan actualmente </w:t>
      </w:r>
      <w:r w:rsidR="00A6659C" w:rsidRPr="0043356A">
        <w:rPr>
          <w:rFonts w:ascii="Arial" w:hAnsi="Arial" w:cs="Arial"/>
          <w:sz w:val="22"/>
          <w:szCs w:val="22"/>
        </w:rPr>
        <w:t>derivadas del artículo 33 y parágrafo del artículo 38</w:t>
      </w:r>
      <w:r w:rsidR="00725DB3" w:rsidRPr="0043356A">
        <w:rPr>
          <w:rFonts w:ascii="Arial" w:hAnsi="Arial" w:cs="Arial"/>
          <w:sz w:val="22"/>
          <w:szCs w:val="22"/>
        </w:rPr>
        <w:t xml:space="preserve"> de la Ley 996 de 2005</w:t>
      </w:r>
      <w:r w:rsidR="00290798" w:rsidRPr="0043356A">
        <w:rPr>
          <w:rFonts w:ascii="Arial" w:hAnsi="Arial" w:cs="Arial"/>
          <w:sz w:val="22"/>
          <w:szCs w:val="22"/>
        </w:rPr>
        <w:t>, para determinar si el supuesto de hecho se enmarca en las prohibiciones</w:t>
      </w:r>
      <w:r w:rsidR="00BC4FE1" w:rsidRPr="0043356A">
        <w:rPr>
          <w:rFonts w:ascii="Arial" w:hAnsi="Arial" w:cs="Arial"/>
          <w:sz w:val="22"/>
          <w:szCs w:val="22"/>
        </w:rPr>
        <w:t xml:space="preserve"> analizadas</w:t>
      </w:r>
      <w:r w:rsidR="00290798" w:rsidRPr="0043356A">
        <w:rPr>
          <w:rFonts w:ascii="Arial" w:hAnsi="Arial" w:cs="Arial"/>
          <w:sz w:val="22"/>
          <w:szCs w:val="22"/>
        </w:rPr>
        <w:t>.</w:t>
      </w:r>
    </w:p>
    <w:p w14:paraId="608312A3" w14:textId="4D423FC3" w:rsidR="00E40C28" w:rsidRPr="0043356A" w:rsidRDefault="00E40C28" w:rsidP="00640B22">
      <w:pPr>
        <w:spacing w:line="276" w:lineRule="auto"/>
        <w:ind w:firstLine="708"/>
        <w:jc w:val="both"/>
        <w:rPr>
          <w:rFonts w:ascii="Arial" w:hAnsi="Arial" w:cs="Arial"/>
          <w:bCs/>
          <w:sz w:val="22"/>
          <w:lang w:eastAsia="es-CO"/>
        </w:rPr>
      </w:pPr>
    </w:p>
    <w:p w14:paraId="5071167E" w14:textId="77777777" w:rsidR="008A6AA1" w:rsidRPr="0043356A" w:rsidRDefault="008A6AA1" w:rsidP="008A6AA1">
      <w:pPr>
        <w:tabs>
          <w:tab w:val="left" w:pos="0"/>
        </w:tabs>
        <w:jc w:val="both"/>
        <w:rPr>
          <w:rFonts w:ascii="Arial" w:eastAsia="Calibri" w:hAnsi="Arial" w:cs="Arial"/>
          <w:b/>
          <w:sz w:val="22"/>
          <w:lang w:val="es-ES_tradnl"/>
        </w:rPr>
      </w:pPr>
      <w:r w:rsidRPr="0043356A">
        <w:rPr>
          <w:rFonts w:ascii="Arial" w:eastAsia="Calibri" w:hAnsi="Arial" w:cs="Arial"/>
          <w:b/>
          <w:sz w:val="22"/>
          <w:lang w:val="es-ES_tradnl"/>
        </w:rPr>
        <w:t>3. Respuestas</w:t>
      </w:r>
    </w:p>
    <w:p w14:paraId="1D78D111" w14:textId="77777777" w:rsidR="008A6AA1" w:rsidRPr="0043356A" w:rsidRDefault="008A6AA1" w:rsidP="006618E4">
      <w:pPr>
        <w:tabs>
          <w:tab w:val="left" w:pos="0"/>
        </w:tabs>
        <w:jc w:val="both"/>
        <w:rPr>
          <w:rFonts w:ascii="Arial" w:eastAsia="Calibri" w:hAnsi="Arial" w:cs="Arial"/>
          <w:sz w:val="21"/>
          <w:szCs w:val="21"/>
          <w:lang w:val="es-ES_tradnl"/>
        </w:rPr>
      </w:pPr>
    </w:p>
    <w:p w14:paraId="3E5B4DB8" w14:textId="6CB8CAE1" w:rsidR="001C4D24" w:rsidRPr="0043356A" w:rsidRDefault="001C4D24" w:rsidP="00236E1A">
      <w:pPr>
        <w:ind w:left="709" w:right="709"/>
        <w:jc w:val="both"/>
        <w:rPr>
          <w:rFonts w:ascii="Arial" w:hAnsi="Arial" w:cs="Arial"/>
          <w:sz w:val="21"/>
          <w:szCs w:val="21"/>
          <w:lang w:val="es-ES_tradnl"/>
        </w:rPr>
      </w:pPr>
      <w:r w:rsidRPr="0043356A">
        <w:rPr>
          <w:rFonts w:ascii="Arial" w:hAnsi="Arial" w:cs="Arial"/>
          <w:sz w:val="21"/>
          <w:szCs w:val="21"/>
          <w:lang w:val="es-ES_tradnl"/>
        </w:rPr>
        <w:t xml:space="preserve">«1. En vigencia de la Ley de Garantías, una Empresa Industrial y Comercial del Estado ¿puede continuar ofreciendo y prestando los servicios asociados a su </w:t>
      </w:r>
      <w:r w:rsidRPr="0043356A">
        <w:rPr>
          <w:rFonts w:ascii="Arial" w:hAnsi="Arial" w:cs="Arial"/>
          <w:sz w:val="21"/>
          <w:szCs w:val="21"/>
          <w:lang w:val="es-ES_tradnl"/>
        </w:rPr>
        <w:lastRenderedPageBreak/>
        <w:t>naturaleza o misionalidad, sobre los cuales gira su gestión económica, conforme a las reglas del Derecho Privado?</w:t>
      </w:r>
      <w:r w:rsidRPr="0043356A">
        <w:rPr>
          <w:rFonts w:ascii="Arial" w:hAnsi="Arial" w:cs="Arial"/>
          <w:sz w:val="21"/>
          <w:szCs w:val="21"/>
        </w:rPr>
        <w:t>»</w:t>
      </w:r>
      <w:r w:rsidRPr="0043356A">
        <w:rPr>
          <w:rFonts w:ascii="Arial" w:hAnsi="Arial" w:cs="Arial"/>
          <w:sz w:val="21"/>
          <w:szCs w:val="21"/>
          <w:lang w:val="es-ES_tradnl"/>
        </w:rPr>
        <w:t xml:space="preserve"> </w:t>
      </w:r>
    </w:p>
    <w:p w14:paraId="084C09A6" w14:textId="78DBA213" w:rsidR="003D52FB" w:rsidRPr="0043356A" w:rsidRDefault="003D52FB" w:rsidP="00236E1A">
      <w:pPr>
        <w:ind w:left="709" w:right="709"/>
        <w:jc w:val="both"/>
        <w:rPr>
          <w:rFonts w:ascii="Arial" w:hAnsi="Arial" w:cs="Arial"/>
          <w:sz w:val="21"/>
          <w:szCs w:val="21"/>
          <w:lang w:val="es-ES_tradnl"/>
        </w:rPr>
      </w:pPr>
    </w:p>
    <w:p w14:paraId="0CA38603" w14:textId="77777777" w:rsidR="003D52FB" w:rsidRPr="0043356A" w:rsidRDefault="003D52FB" w:rsidP="003D52FB">
      <w:pPr>
        <w:ind w:left="709" w:right="709"/>
        <w:jc w:val="both"/>
        <w:rPr>
          <w:rFonts w:ascii="Arial" w:hAnsi="Arial" w:cs="Arial"/>
          <w:sz w:val="21"/>
          <w:szCs w:val="21"/>
        </w:rPr>
      </w:pPr>
      <w:r w:rsidRPr="0043356A">
        <w:rPr>
          <w:rFonts w:ascii="Arial" w:hAnsi="Arial" w:cs="Arial"/>
          <w:sz w:val="21"/>
          <w:szCs w:val="21"/>
          <w:lang w:val="es-ES_tradnl"/>
        </w:rPr>
        <w:t>«2. En vigencia de la Ley de Garantías, una Empresa Industrial y Comercial del Estado ¿puede celebrar alianzas estratégicas, sobre los cuales gira su gestión económica, conforme a las reglas del Derecho Privado?</w:t>
      </w:r>
      <w:r w:rsidRPr="0043356A">
        <w:rPr>
          <w:rFonts w:ascii="Arial" w:hAnsi="Arial" w:cs="Arial"/>
          <w:sz w:val="21"/>
          <w:szCs w:val="21"/>
        </w:rPr>
        <w:t>»</w:t>
      </w:r>
    </w:p>
    <w:p w14:paraId="1B2FFE50" w14:textId="79258E6F" w:rsidR="003D52FB" w:rsidRPr="0043356A" w:rsidRDefault="003D52FB" w:rsidP="003D52FB">
      <w:pPr>
        <w:ind w:right="709"/>
        <w:jc w:val="both"/>
        <w:rPr>
          <w:rFonts w:ascii="Arial" w:hAnsi="Arial" w:cs="Arial"/>
          <w:sz w:val="21"/>
          <w:szCs w:val="21"/>
        </w:rPr>
      </w:pPr>
    </w:p>
    <w:p w14:paraId="73C87780" w14:textId="23ECCBD5" w:rsidR="001E7DEA" w:rsidRPr="0043356A" w:rsidRDefault="007C3849" w:rsidP="001E7DEA">
      <w:pPr>
        <w:spacing w:after="120" w:line="276" w:lineRule="auto"/>
        <w:jc w:val="both"/>
        <w:rPr>
          <w:rFonts w:ascii="Arial" w:eastAsia="Calibri" w:hAnsi="Arial" w:cs="Arial"/>
          <w:sz w:val="22"/>
          <w:szCs w:val="22"/>
          <w:lang w:val="es-ES_tradnl"/>
        </w:rPr>
      </w:pPr>
      <w:r w:rsidRPr="0043356A">
        <w:rPr>
          <w:rFonts w:ascii="Arial" w:hAnsi="Arial" w:cs="Arial"/>
          <w:sz w:val="21"/>
          <w:szCs w:val="21"/>
        </w:rPr>
        <w:t>De acuerdo con las consideraciones de este concepto, e</w:t>
      </w:r>
      <w:r w:rsidR="001E7DEA" w:rsidRPr="0043356A">
        <w:rPr>
          <w:rFonts w:ascii="Arial" w:eastAsia="Calibri" w:hAnsi="Arial" w:cs="Arial"/>
          <w:sz w:val="22"/>
          <w:szCs w:val="22"/>
          <w:lang w:val="es-ES_tradnl"/>
        </w:rPr>
        <w:t>l artículo 33 de la Ley 996 de 2005 establece una restricción en atención a la cual,</w:t>
      </w:r>
      <w:r w:rsidR="001E7DEA" w:rsidRPr="0043356A">
        <w:rPr>
          <w:rFonts w:ascii="Arial" w:eastAsia="Calibri" w:hAnsi="Arial" w:cs="Arial"/>
          <w:sz w:val="22"/>
          <w:szCs w:val="22"/>
          <w:shd w:val="clear" w:color="auto" w:fill="FFFFFF"/>
          <w:lang w:val="es-ES_tradnl"/>
        </w:rPr>
        <w:t xml:space="preserve"> </w:t>
      </w:r>
      <w:r w:rsidR="001E7DEA" w:rsidRPr="0043356A">
        <w:rPr>
          <w:rFonts w:ascii="Arial" w:eastAsia="Calibri" w:hAnsi="Arial" w:cs="Arial"/>
          <w:sz w:val="22"/>
          <w:szCs w:val="22"/>
          <w:lang w:val="es-ES_tradnl"/>
        </w:rPr>
        <w:t>durante los cuatro meses anteriores a la elección presidencial y hasta la realización de la elección en la segunda vuelta, si fuere el caso, está prohibida la contratación directa por parte de todos los entes del Estado. Esto implica que la celebración de contratos, cuya selección del contratista se realice de manera directa está prohibida durante el período de aplicación de esta restricción, en los términos explicados en las consideraciones.</w:t>
      </w:r>
    </w:p>
    <w:p w14:paraId="6C9D553F" w14:textId="2BC7674B" w:rsidR="001E7DEA" w:rsidRPr="0043356A" w:rsidRDefault="001E7DEA" w:rsidP="001E7DEA">
      <w:pPr>
        <w:spacing w:after="120" w:line="276" w:lineRule="auto"/>
        <w:ind w:firstLine="708"/>
        <w:jc w:val="both"/>
        <w:rPr>
          <w:rFonts w:ascii="Arial" w:hAnsi="Arial" w:cs="Arial"/>
          <w:bCs/>
          <w:sz w:val="22"/>
          <w:szCs w:val="22"/>
          <w:lang w:val="es-ES_tradnl" w:eastAsia="es-CO"/>
        </w:rPr>
      </w:pPr>
      <w:r w:rsidRPr="0043356A">
        <w:rPr>
          <w:rFonts w:ascii="Arial" w:hAnsi="Arial" w:cs="Arial"/>
          <w:bCs/>
          <w:sz w:val="22"/>
          <w:szCs w:val="22"/>
          <w:lang w:val="es-ES_tradnl"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w:t>
      </w:r>
      <w:r w:rsidRPr="0043356A">
        <w:rPr>
          <w:rFonts w:ascii="Arial" w:hAnsi="Arial" w:cs="Arial"/>
          <w:bCs/>
          <w:sz w:val="22"/>
          <w:szCs w:val="22"/>
          <w:lang w:val="es-ES_tradnl" w:eastAsia="es-CO"/>
        </w:rPr>
        <w:t xml:space="preserve"> Por ello,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r w:rsidR="00ED22FB" w:rsidRPr="0043356A">
        <w:rPr>
          <w:rFonts w:ascii="Arial" w:hAnsi="Arial" w:cs="Arial"/>
          <w:bCs/>
          <w:sz w:val="22"/>
          <w:szCs w:val="22"/>
          <w:lang w:val="es-ES_tradnl" w:eastAsia="es-CO"/>
        </w:rPr>
        <w:t xml:space="preserve"> Lo anterior, además, sin perjuicio de que se analicen las excepciones desarrolladas por la Sala de Consulta y Servicio Civil del Consejo de Estado, </w:t>
      </w:r>
      <w:r w:rsidR="00A05263" w:rsidRPr="0043356A">
        <w:rPr>
          <w:rFonts w:ascii="Arial" w:hAnsi="Arial" w:cs="Arial"/>
          <w:bCs/>
          <w:sz w:val="22"/>
          <w:szCs w:val="22"/>
          <w:lang w:val="es-ES_tradnl" w:eastAsia="es-CO"/>
        </w:rPr>
        <w:t>tal como fueron expuestas</w:t>
      </w:r>
      <w:r w:rsidR="00ED22FB" w:rsidRPr="0043356A">
        <w:rPr>
          <w:rFonts w:ascii="Arial" w:hAnsi="Arial" w:cs="Arial"/>
          <w:bCs/>
          <w:sz w:val="22"/>
          <w:szCs w:val="22"/>
          <w:lang w:val="es-ES_tradnl" w:eastAsia="es-CO"/>
        </w:rPr>
        <w:t>.</w:t>
      </w:r>
    </w:p>
    <w:p w14:paraId="6ADC3384" w14:textId="30123C3E" w:rsidR="001E7DEA" w:rsidRPr="0043356A" w:rsidRDefault="001E7DEA" w:rsidP="001E7DEA">
      <w:pPr>
        <w:spacing w:after="120" w:line="276" w:lineRule="auto"/>
        <w:ind w:firstLine="708"/>
        <w:jc w:val="both"/>
        <w:rPr>
          <w:rFonts w:ascii="Arial" w:hAnsi="Arial" w:cs="Arial"/>
          <w:bCs/>
          <w:sz w:val="22"/>
          <w:szCs w:val="22"/>
          <w:lang w:val="es-ES_tradnl" w:eastAsia="x-none"/>
        </w:rPr>
      </w:pPr>
      <w:r w:rsidRPr="0043356A">
        <w:rPr>
          <w:rFonts w:ascii="Arial" w:hAnsi="Arial" w:cs="Arial"/>
          <w:bCs/>
          <w:sz w:val="22"/>
          <w:szCs w:val="22"/>
          <w:lang w:val="es-ES_tradnl" w:eastAsia="x-none"/>
        </w:rPr>
        <w:t>Por otra parte, el artículo 33 de la Ley 996 de 2005 señala expresamente a los destinatarios de la prohibición, en el sentido de que son «todos los entes del Estado». Esto, de conformidad con lo expuesto, involucra a todas las entidades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y se rigen por el derecho privado.</w:t>
      </w:r>
    </w:p>
    <w:p w14:paraId="4B7D6B24" w14:textId="7F608CFD" w:rsidR="00E2713B" w:rsidRPr="0043356A" w:rsidRDefault="00E2713B" w:rsidP="00E2713B">
      <w:pPr>
        <w:spacing w:after="120" w:line="276" w:lineRule="auto"/>
        <w:ind w:firstLine="709"/>
        <w:jc w:val="both"/>
        <w:rPr>
          <w:rFonts w:ascii="Arial" w:hAnsi="Arial" w:cs="Arial"/>
          <w:bCs/>
          <w:sz w:val="22"/>
          <w:szCs w:val="22"/>
          <w:lang w:val="es-MX" w:eastAsia="x-none"/>
        </w:rPr>
      </w:pPr>
      <w:r w:rsidRPr="0043356A">
        <w:rPr>
          <w:rFonts w:ascii="Arial" w:hAnsi="Arial" w:cs="Arial"/>
          <w:bCs/>
          <w:sz w:val="22"/>
          <w:szCs w:val="22"/>
          <w:lang w:val="es-MX" w:eastAsia="x-none"/>
        </w:rPr>
        <w:t xml:space="preserve">En tal sentido, atendiendo al desarrollo realizado de la prohibición establecida en el artículo 33 de la Ley de Garantías Electorales y señalados en las consideraciones algunos pronunciamientos relevantes en la materia, le compete a cada entidad estatal que considera celebrar un contrato específico, definir si este se enmarca en la prohibición establecida en el artículo 33 que restringe la contratación directa en el periodo preelectoral a las elecciones presidenciales. Lo anterior, adicionalmente, teniendo en cuenta las excepciones a la prohibición establecidas en el inciso segundo del mismo artículo 33. Además, se reitera que la restricción aplica frente a la contratación directa, entendida como cualquier sistema de selección o procedimiento de contratación utilizado por las entidades estatales que no </w:t>
      </w:r>
      <w:r w:rsidRPr="0043356A">
        <w:rPr>
          <w:rFonts w:ascii="Arial" w:hAnsi="Arial" w:cs="Arial"/>
          <w:bCs/>
          <w:sz w:val="22"/>
          <w:szCs w:val="22"/>
          <w:lang w:val="es-MX" w:eastAsia="x-none"/>
        </w:rPr>
        <w:lastRenderedPageBreak/>
        <w:t>incluya la convocatoria pública en alguna de sus etapas, ni permita la participación de una pluralidad de oferentes; por lo que las entidades que se rigen por el derecho privado podrán celebrar contratos de acuerdo con los procedimientos contractuales desarrollados en sus manuales de contratación, bajo el entendido que estos permitan la participación de una pluralidad de oferentes. Finalmente, se reitera, c</w:t>
      </w:r>
      <w:r w:rsidRPr="0043356A">
        <w:rPr>
          <w:rFonts w:ascii="Arial" w:hAnsi="Arial" w:cs="Arial"/>
          <w:bCs/>
          <w:sz w:val="22"/>
          <w:szCs w:val="22"/>
          <w:lang w:val="es-MX" w:eastAsia="es-CO"/>
        </w:rPr>
        <w:t>omo en otras oportunidades lo ha manifestado esta Agencia, que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Pr="0043356A">
        <w:rPr>
          <w:rStyle w:val="Refdenotaalpie"/>
          <w:rFonts w:ascii="Arial" w:hAnsi="Arial" w:cs="Arial"/>
          <w:bCs/>
          <w:sz w:val="22"/>
          <w:szCs w:val="22"/>
          <w:lang w:val="es-MX" w:eastAsia="es-CO"/>
        </w:rPr>
        <w:footnoteReference w:id="43"/>
      </w:r>
      <w:r w:rsidRPr="0043356A">
        <w:rPr>
          <w:rFonts w:ascii="Arial" w:hAnsi="Arial" w:cs="Arial"/>
          <w:bCs/>
          <w:sz w:val="22"/>
          <w:szCs w:val="22"/>
          <w:lang w:val="es-MX" w:eastAsia="es-CO"/>
        </w:rPr>
        <w:t>. Además, también es posible que contratos celebrados previamente se continúen ejecutando con normalidad.</w:t>
      </w:r>
    </w:p>
    <w:p w14:paraId="6248D33F" w14:textId="1BD27D38" w:rsidR="001C4D24" w:rsidRPr="0043356A" w:rsidRDefault="00E2713B" w:rsidP="00640B22">
      <w:pPr>
        <w:spacing w:after="120" w:line="276" w:lineRule="auto"/>
        <w:ind w:firstLine="709"/>
        <w:jc w:val="both"/>
        <w:rPr>
          <w:rFonts w:ascii="Arial" w:hAnsi="Arial" w:cs="Arial"/>
          <w:sz w:val="22"/>
          <w:szCs w:val="22"/>
          <w:lang w:val="es-ES_tradnl"/>
        </w:rPr>
      </w:pPr>
      <w:r w:rsidRPr="0043356A">
        <w:rPr>
          <w:rFonts w:ascii="Arial" w:hAnsi="Arial" w:cs="Arial"/>
          <w:bCs/>
          <w:sz w:val="22"/>
          <w:szCs w:val="22"/>
          <w:lang w:val="es-ES_tradnl" w:eastAsia="x-none"/>
        </w:rPr>
        <w:t>De otr</w:t>
      </w:r>
      <w:r w:rsidR="0026723A" w:rsidRPr="0043356A">
        <w:rPr>
          <w:rFonts w:ascii="Arial" w:hAnsi="Arial" w:cs="Arial"/>
          <w:bCs/>
          <w:sz w:val="22"/>
          <w:szCs w:val="22"/>
          <w:lang w:val="es-ES_tradnl" w:eastAsia="x-none"/>
        </w:rPr>
        <w:t>o</w:t>
      </w:r>
      <w:r w:rsidRPr="0043356A">
        <w:rPr>
          <w:rFonts w:ascii="Arial" w:hAnsi="Arial" w:cs="Arial"/>
          <w:bCs/>
          <w:sz w:val="22"/>
          <w:szCs w:val="22"/>
          <w:lang w:val="es-ES_tradnl" w:eastAsia="x-none"/>
        </w:rPr>
        <w:t xml:space="preserve"> lado</w:t>
      </w:r>
      <w:r w:rsidR="001E7DEA" w:rsidRPr="0043356A">
        <w:rPr>
          <w:rFonts w:ascii="Arial" w:hAnsi="Arial" w:cs="Arial"/>
          <w:bCs/>
          <w:sz w:val="22"/>
          <w:szCs w:val="22"/>
          <w:lang w:val="es-ES_tradnl" w:eastAsia="x-none"/>
        </w:rPr>
        <w:t xml:space="preserve">, es importante reiterar lo explicado en las consideraciones, en el sentido de que </w:t>
      </w:r>
      <w:r w:rsidR="001E7DEA" w:rsidRPr="0043356A">
        <w:rPr>
          <w:rFonts w:ascii="Arial" w:hAnsi="Arial" w:cs="Arial"/>
          <w:bCs/>
          <w:sz w:val="22"/>
          <w:szCs w:val="22"/>
          <w:lang w:val="es-ES_tradnl"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dentro de los cuatro (4) meses anteriores a las elecciones, lo que incluye las elecciones al Congreso de la República que se realizarán el próximo 13 de marzo de 2022. Así las cosas, si una o ambas partes de la relación contractual es una entidad de aquellas descritas en el parágrafo </w:t>
      </w:r>
      <w:r w:rsidR="001E7DEA" w:rsidRPr="0043356A">
        <w:rPr>
          <w:rFonts w:ascii="Arial" w:hAnsi="Arial" w:cs="Arial"/>
          <w:bCs/>
          <w:i/>
          <w:iCs/>
          <w:sz w:val="22"/>
          <w:szCs w:val="22"/>
          <w:lang w:val="es-ES_tradnl" w:eastAsia="es-CO"/>
        </w:rPr>
        <w:t>ibidem</w:t>
      </w:r>
      <w:r w:rsidR="001E7DEA" w:rsidRPr="0043356A">
        <w:rPr>
          <w:rFonts w:ascii="Arial" w:hAnsi="Arial" w:cs="Arial"/>
          <w:bCs/>
          <w:sz w:val="22"/>
          <w:szCs w:val="22"/>
          <w:lang w:val="es-ES_tradnl" w:eastAsia="es-CO"/>
        </w:rPr>
        <w:t>, no podrá celebrar tales convenios o contratos interadministrativos durante el ámbito temporal de esta prohibición, toda vez que la citada disposición hace referencia a dicha tipología contractual sin que el legislador hubiere contemplado excepción alguna frente a la modalidad de selección o naturaleza de su objeto. Por tanto, de acuerdo con el marco jurídico expuesto le corresponderá a cada entidad estatal definir la forma como adelanta su actividad contractual, de manera que resulte armónica con las prohibiciones establecidas en la Ley 996 de 2005.</w:t>
      </w:r>
    </w:p>
    <w:p w14:paraId="6CDFEFE5" w14:textId="797BCF56" w:rsidR="00E2713B" w:rsidRPr="0043356A" w:rsidRDefault="00E2713B" w:rsidP="00640B22">
      <w:pPr>
        <w:spacing w:line="276" w:lineRule="auto"/>
        <w:jc w:val="both"/>
        <w:rPr>
          <w:rFonts w:ascii="Arial" w:eastAsia="Arial" w:hAnsi="Arial" w:cs="Arial"/>
          <w:sz w:val="22"/>
          <w:szCs w:val="22"/>
          <w:lang w:eastAsia="en-US"/>
        </w:rPr>
      </w:pPr>
      <w:r w:rsidRPr="0043356A">
        <w:rPr>
          <w:rFonts w:ascii="Arial" w:eastAsiaTheme="minorHAnsi" w:hAnsi="Arial" w:cs="Arial"/>
          <w:sz w:val="22"/>
          <w:szCs w:val="22"/>
          <w:lang w:val="es-MX" w:eastAsia="en-US"/>
        </w:rPr>
        <w:tab/>
        <w:t xml:space="preserve">Finalmente, </w:t>
      </w:r>
      <w:r w:rsidRPr="0043356A">
        <w:rPr>
          <w:rFonts w:ascii="Arial" w:hAnsi="Arial" w:cs="Arial"/>
          <w:bCs/>
          <w:sz w:val="22"/>
          <w:szCs w:val="22"/>
          <w:lang w:val="es-MX" w:eastAsia="x-none"/>
        </w:rPr>
        <w:t xml:space="preserve">frente a la posibilidad de «celebrar alianzas estratégicas», </w:t>
      </w:r>
      <w:r w:rsidRPr="0043356A">
        <w:rPr>
          <w:rFonts w:ascii="Arial" w:eastAsia="Calibri" w:hAnsi="Arial" w:cs="Arial"/>
          <w:sz w:val="22"/>
          <w:szCs w:val="22"/>
          <w:lang w:val="es-ES" w:eastAsia="en-US"/>
        </w:rPr>
        <w:t>se reitera que esta Agencia tiene competencia</w:t>
      </w:r>
      <w:r w:rsidRPr="0043356A">
        <w:rPr>
          <w:rFonts w:ascii="Arial" w:hAnsi="Arial" w:cs="Arial"/>
          <w:sz w:val="22"/>
          <w:szCs w:val="22"/>
          <w:lang w:val="es-ES"/>
        </w:rPr>
        <w:t xml:space="preserve"> para atender consultas relativas a temas contractuales, pero solo para «absolver consultas sobre la aplicación de normas de carácter general»</w:t>
      </w:r>
      <w:r w:rsidRPr="0043356A">
        <w:rPr>
          <w:rFonts w:ascii="Arial" w:eastAsia="Calibri" w:hAnsi="Arial" w:cs="Arial"/>
          <w:sz w:val="22"/>
          <w:szCs w:val="22"/>
          <w:vertAlign w:val="superscript"/>
          <w:lang w:val="es-ES" w:eastAsia="en-US"/>
        </w:rPr>
        <w:footnoteReference w:id="44"/>
      </w:r>
      <w:r w:rsidRPr="0043356A">
        <w:rPr>
          <w:rFonts w:ascii="Arial" w:hAnsi="Arial" w:cs="Arial"/>
          <w:sz w:val="22"/>
          <w:szCs w:val="22"/>
          <w:lang w:val="es-ES"/>
        </w:rPr>
        <w:t>. Esto significa que no podemos pronunciarnos sobre casos particulares o sobre preguntas que no contengan dudas sobre la interpretación de disposiciones generales</w:t>
      </w:r>
      <w:r w:rsidRPr="0043356A">
        <w:rPr>
          <w:rFonts w:ascii="Arial" w:eastAsia="Arial" w:hAnsi="Arial" w:cs="Arial"/>
          <w:sz w:val="22"/>
          <w:szCs w:val="22"/>
          <w:lang w:val="es-ES" w:eastAsia="en-US"/>
        </w:rPr>
        <w:t xml:space="preserve">. En tal sentido, de acuerdo con lo indicado en este concepto, corresponderá a las entidades estatales que </w:t>
      </w:r>
      <w:r w:rsidRPr="0043356A">
        <w:rPr>
          <w:rFonts w:ascii="Arial" w:eastAsia="Arial" w:hAnsi="Arial" w:cs="Arial"/>
          <w:sz w:val="22"/>
          <w:szCs w:val="22"/>
          <w:lang w:val="es-ES" w:eastAsia="en-US"/>
        </w:rPr>
        <w:lastRenderedPageBreak/>
        <w:t>consideran celebrar una «alianza estratégica», definir su viabilidad jurídica, teniendo en cuenta que no hay una definición univoca o precisa frente a esta institución o este tipo de «alianzas»</w:t>
      </w:r>
      <w:r w:rsidRPr="0043356A">
        <w:rPr>
          <w:rFonts w:ascii="Arial" w:eastAsia="Arial" w:hAnsi="Arial" w:cs="Arial"/>
          <w:sz w:val="22"/>
          <w:szCs w:val="22"/>
          <w:lang w:eastAsia="en-US"/>
        </w:rPr>
        <w:t>.</w:t>
      </w:r>
      <w:r w:rsidR="00640B22" w:rsidRPr="0043356A">
        <w:rPr>
          <w:rFonts w:ascii="Arial" w:eastAsia="Arial" w:hAnsi="Arial" w:cs="Arial"/>
          <w:sz w:val="22"/>
          <w:szCs w:val="22"/>
          <w:lang w:eastAsia="en-US"/>
        </w:rPr>
        <w:t xml:space="preserve"> En tal sentido</w:t>
      </w:r>
      <w:r w:rsidR="0053169E" w:rsidRPr="0043356A">
        <w:rPr>
          <w:rFonts w:ascii="Arial" w:eastAsia="Arial" w:hAnsi="Arial" w:cs="Arial"/>
          <w:sz w:val="22"/>
          <w:szCs w:val="22"/>
          <w:lang w:eastAsia="en-US"/>
        </w:rPr>
        <w:t>,</w:t>
      </w:r>
      <w:r w:rsidRPr="0043356A">
        <w:rPr>
          <w:rFonts w:ascii="Arial" w:eastAsia="Arial" w:hAnsi="Arial" w:cs="Arial"/>
          <w:sz w:val="22"/>
          <w:lang w:val="es-ES_tradnl"/>
        </w:rPr>
        <w:t xml:space="preserve"> corresponde a cada entidad que considere celebrar este tipo de acuerdos </w:t>
      </w:r>
      <w:r w:rsidRPr="0043356A">
        <w:rPr>
          <w:rFonts w:ascii="Arial" w:eastAsia="Arial" w:hAnsi="Arial" w:cs="Arial"/>
          <w:sz w:val="22"/>
          <w:szCs w:val="22"/>
          <w:lang w:val="es-ES" w:eastAsia="en-US"/>
        </w:rPr>
        <w:t xml:space="preserve">analizar, de conformidad con las consideraciones expuestas en este concepto sobre la aplicación de las </w:t>
      </w:r>
      <w:r w:rsidRPr="0043356A">
        <w:rPr>
          <w:rFonts w:ascii="Arial" w:eastAsia="Calibri" w:hAnsi="Arial" w:cs="Arial"/>
          <w:bCs/>
          <w:sz w:val="22"/>
          <w:szCs w:val="22"/>
          <w:lang w:val="es-ES_tradnl" w:eastAsia="en-US"/>
        </w:rPr>
        <w:t xml:space="preserve">restricciones y prohibiciones que se presentan actualmente </w:t>
      </w:r>
      <w:r w:rsidRPr="0043356A">
        <w:rPr>
          <w:rFonts w:ascii="Arial" w:hAnsi="Arial" w:cs="Arial"/>
          <w:sz w:val="22"/>
          <w:szCs w:val="22"/>
        </w:rPr>
        <w:t>derivadas del artículo 33 y parágrafo del artículo 38 de la Ley 996 de 2005, para determinar si el supuesto de hecho se enmarca en las prohibiciones.</w:t>
      </w:r>
    </w:p>
    <w:p w14:paraId="45B4536E" w14:textId="77777777" w:rsidR="00236E1A" w:rsidRPr="0043356A" w:rsidRDefault="00236E1A" w:rsidP="00E2713B">
      <w:pPr>
        <w:spacing w:line="276" w:lineRule="auto"/>
        <w:jc w:val="both"/>
        <w:rPr>
          <w:rFonts w:ascii="Arial" w:hAnsi="Arial" w:cs="Arial"/>
          <w:sz w:val="22"/>
          <w:szCs w:val="22"/>
        </w:rPr>
      </w:pPr>
    </w:p>
    <w:p w14:paraId="7B2C921D" w14:textId="0F779FF9" w:rsidR="00DD5B04" w:rsidRPr="0043356A" w:rsidRDefault="00DD5B04" w:rsidP="00861F5C">
      <w:pPr>
        <w:spacing w:line="276" w:lineRule="auto"/>
        <w:jc w:val="both"/>
        <w:rPr>
          <w:rFonts w:ascii="Arial" w:hAnsi="Arial" w:cs="Arial"/>
          <w:sz w:val="22"/>
          <w:lang w:val="es-ES_tradnl"/>
        </w:rPr>
      </w:pPr>
      <w:r w:rsidRPr="0043356A">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43356A"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63DCC54E" w14:textId="3974D870" w:rsidR="00C245C5" w:rsidRPr="0043356A" w:rsidRDefault="00DD5B04" w:rsidP="00236E1A">
      <w:pPr>
        <w:pStyle w:val="NormalWeb"/>
        <w:spacing w:before="0" w:beforeAutospacing="0" w:after="0" w:afterAutospacing="0" w:line="276" w:lineRule="auto"/>
        <w:jc w:val="both"/>
        <w:rPr>
          <w:lang w:val="es-ES_tradnl"/>
        </w:rPr>
      </w:pPr>
      <w:r w:rsidRPr="0043356A">
        <w:rPr>
          <w:rFonts w:ascii="Arial" w:hAnsi="Arial" w:cs="Arial"/>
          <w:sz w:val="22"/>
          <w:szCs w:val="22"/>
          <w:lang w:val="es-ES_tradnl"/>
        </w:rPr>
        <w:t>Atentamente,</w:t>
      </w:r>
      <w:bookmarkEnd w:id="10"/>
    </w:p>
    <w:p w14:paraId="0C6CB04E" w14:textId="5A109D55" w:rsidR="00880830" w:rsidRPr="0043356A" w:rsidRDefault="00DF703A" w:rsidP="00880830">
      <w:pPr>
        <w:jc w:val="center"/>
        <w:rPr>
          <w:rFonts w:ascii="Arial" w:hAnsi="Arial" w:cs="Arial"/>
          <w:sz w:val="18"/>
          <w:szCs w:val="20"/>
          <w:lang w:val="es-ES_tradnl" w:eastAsia="es-CO"/>
        </w:rPr>
      </w:pPr>
      <w:r>
        <w:rPr>
          <w:noProof/>
        </w:rPr>
        <w:drawing>
          <wp:inline distT="0" distB="0" distL="0" distR="0" wp14:anchorId="4A70B36C" wp14:editId="60A02580">
            <wp:extent cx="2000250" cy="886460"/>
            <wp:effectExtent l="0" t="0" r="0" b="889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886460"/>
                    </a:xfrm>
                    <a:prstGeom prst="rect">
                      <a:avLst/>
                    </a:prstGeom>
                    <a:noFill/>
                    <a:ln>
                      <a:noFill/>
                    </a:ln>
                  </pic:spPr>
                </pic:pic>
              </a:graphicData>
            </a:graphic>
          </wp:inline>
        </w:drawing>
      </w:r>
    </w:p>
    <w:p w14:paraId="40B4675E" w14:textId="77777777" w:rsidR="00880830" w:rsidRPr="0043356A" w:rsidRDefault="00880830" w:rsidP="00880830">
      <w:pPr>
        <w:jc w:val="center"/>
        <w:rPr>
          <w:rFonts w:ascii="Arial" w:hAnsi="Arial" w:cs="Arial"/>
          <w:sz w:val="18"/>
          <w:szCs w:val="20"/>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3356A" w:rsidRPr="0043356A" w14:paraId="2540FED2" w14:textId="77777777" w:rsidTr="00A009CD">
        <w:trPr>
          <w:trHeight w:val="315"/>
        </w:trPr>
        <w:tc>
          <w:tcPr>
            <w:tcW w:w="812" w:type="dxa"/>
            <w:vAlign w:val="center"/>
            <w:hideMark/>
          </w:tcPr>
          <w:p w14:paraId="63EE627A" w14:textId="77777777" w:rsidR="00880830" w:rsidRPr="0043356A" w:rsidRDefault="00880830" w:rsidP="00A009CD">
            <w:pPr>
              <w:rPr>
                <w:rFonts w:ascii="Arial" w:hAnsi="Arial" w:cs="Arial"/>
                <w:sz w:val="16"/>
                <w:szCs w:val="16"/>
                <w:lang w:val="es-ES_tradnl" w:eastAsia="es-ES"/>
              </w:rPr>
            </w:pPr>
            <w:r w:rsidRPr="0043356A">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B44E0A6" w14:textId="77777777" w:rsidR="00880830" w:rsidRPr="0043356A" w:rsidRDefault="00880830" w:rsidP="00A009CD">
            <w:pPr>
              <w:rPr>
                <w:rFonts w:ascii="Arial" w:hAnsi="Arial" w:cs="Arial"/>
                <w:sz w:val="16"/>
                <w:szCs w:val="16"/>
                <w:lang w:val="es-ES_tradnl" w:eastAsia="es-ES"/>
              </w:rPr>
            </w:pPr>
            <w:r w:rsidRPr="0043356A">
              <w:rPr>
                <w:rFonts w:ascii="Arial" w:hAnsi="Arial" w:cs="Arial"/>
                <w:sz w:val="16"/>
                <w:szCs w:val="16"/>
                <w:lang w:val="es-ES_tradnl" w:eastAsia="es-ES"/>
              </w:rPr>
              <w:t>José Luis Sánchez Cardona</w:t>
            </w:r>
          </w:p>
          <w:p w14:paraId="2C6B2396" w14:textId="77777777" w:rsidR="00880830" w:rsidRPr="0043356A" w:rsidRDefault="00880830" w:rsidP="00A009CD">
            <w:pPr>
              <w:rPr>
                <w:rFonts w:ascii="Arial" w:hAnsi="Arial" w:cs="Arial"/>
                <w:sz w:val="16"/>
                <w:szCs w:val="16"/>
                <w:lang w:val="es-ES_tradnl" w:eastAsia="es-ES"/>
              </w:rPr>
            </w:pPr>
            <w:r w:rsidRPr="0043356A">
              <w:rPr>
                <w:rFonts w:ascii="Arial" w:hAnsi="Arial" w:cs="Arial"/>
                <w:sz w:val="16"/>
                <w:szCs w:val="16"/>
                <w:lang w:val="es-ES_tradnl" w:eastAsia="es-ES"/>
              </w:rPr>
              <w:t>Contratista de la Subdirección de Gestión Contractual</w:t>
            </w:r>
          </w:p>
        </w:tc>
      </w:tr>
      <w:tr w:rsidR="0043356A" w:rsidRPr="0043356A" w14:paraId="70314378" w14:textId="77777777" w:rsidTr="00A009CD">
        <w:trPr>
          <w:trHeight w:val="330"/>
        </w:trPr>
        <w:tc>
          <w:tcPr>
            <w:tcW w:w="812" w:type="dxa"/>
            <w:vAlign w:val="center"/>
            <w:hideMark/>
          </w:tcPr>
          <w:p w14:paraId="497C8326" w14:textId="77777777" w:rsidR="00880830" w:rsidRPr="0043356A" w:rsidRDefault="00880830" w:rsidP="00A009CD">
            <w:pPr>
              <w:rPr>
                <w:rFonts w:ascii="Arial" w:hAnsi="Arial" w:cs="Arial"/>
                <w:sz w:val="16"/>
                <w:szCs w:val="16"/>
                <w:lang w:val="es-ES_tradnl" w:eastAsia="es-ES"/>
              </w:rPr>
            </w:pPr>
            <w:r w:rsidRPr="0043356A">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8C01FDF" w14:textId="77777777" w:rsidR="00880830" w:rsidRPr="0043356A" w:rsidRDefault="00880830" w:rsidP="00A009CD">
            <w:pPr>
              <w:rPr>
                <w:rFonts w:ascii="Arial" w:hAnsi="Arial" w:cs="Arial"/>
                <w:sz w:val="16"/>
                <w:szCs w:val="16"/>
                <w:lang w:val="es-ES_tradnl" w:eastAsia="es-ES"/>
              </w:rPr>
            </w:pPr>
            <w:r w:rsidRPr="0043356A">
              <w:rPr>
                <w:rFonts w:ascii="Arial" w:hAnsi="Arial" w:cs="Arial"/>
                <w:sz w:val="16"/>
                <w:szCs w:val="16"/>
                <w:lang w:val="es-ES_tradnl" w:eastAsia="es-ES"/>
              </w:rPr>
              <w:t>Sebastián Ramírez Grisales</w:t>
            </w:r>
          </w:p>
          <w:p w14:paraId="0D938A67" w14:textId="77777777" w:rsidR="00880830" w:rsidRPr="0043356A" w:rsidRDefault="00880830" w:rsidP="00A009CD">
            <w:pPr>
              <w:rPr>
                <w:rFonts w:ascii="Arial" w:hAnsi="Arial" w:cs="Arial"/>
                <w:sz w:val="16"/>
                <w:szCs w:val="16"/>
                <w:lang w:val="es-ES_tradnl" w:eastAsia="es-ES"/>
              </w:rPr>
            </w:pPr>
            <w:r w:rsidRPr="0043356A">
              <w:rPr>
                <w:rFonts w:ascii="Arial" w:hAnsi="Arial" w:cs="Arial"/>
                <w:sz w:val="16"/>
                <w:szCs w:val="16"/>
                <w:lang w:val="es-ES_tradnl" w:eastAsia="es-ES"/>
              </w:rPr>
              <w:t>Contratista de  la Subdirección de Gestión Contractual</w:t>
            </w:r>
          </w:p>
        </w:tc>
      </w:tr>
      <w:tr w:rsidR="00880830" w:rsidRPr="0043356A" w14:paraId="02BC1EB0" w14:textId="77777777" w:rsidTr="00A009CD">
        <w:trPr>
          <w:trHeight w:val="300"/>
        </w:trPr>
        <w:tc>
          <w:tcPr>
            <w:tcW w:w="812" w:type="dxa"/>
            <w:vAlign w:val="center"/>
            <w:hideMark/>
          </w:tcPr>
          <w:p w14:paraId="2CF63952" w14:textId="77777777" w:rsidR="00880830" w:rsidRPr="0043356A" w:rsidRDefault="00880830" w:rsidP="00A009CD">
            <w:pPr>
              <w:rPr>
                <w:rFonts w:ascii="Arial" w:hAnsi="Arial" w:cs="Arial"/>
                <w:sz w:val="16"/>
                <w:szCs w:val="16"/>
                <w:lang w:val="es-ES_tradnl" w:eastAsia="es-ES"/>
              </w:rPr>
            </w:pPr>
            <w:r w:rsidRPr="0043356A">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D01D9D3" w14:textId="77777777" w:rsidR="00880830" w:rsidRPr="0043356A" w:rsidRDefault="00880830" w:rsidP="00A009CD">
            <w:pPr>
              <w:rPr>
                <w:rFonts w:ascii="Arial" w:hAnsi="Arial" w:cs="Arial"/>
                <w:sz w:val="16"/>
                <w:szCs w:val="16"/>
                <w:lang w:val="es-ES_tradnl" w:eastAsia="es-ES"/>
              </w:rPr>
            </w:pPr>
            <w:r w:rsidRPr="0043356A">
              <w:rPr>
                <w:rFonts w:ascii="Arial" w:hAnsi="Arial" w:cs="Arial"/>
                <w:sz w:val="16"/>
                <w:szCs w:val="16"/>
                <w:lang w:val="es-ES_tradnl" w:eastAsia="es-ES"/>
              </w:rPr>
              <w:t>Jorge Augusto Tirado Navarro</w:t>
            </w:r>
          </w:p>
          <w:p w14:paraId="4B0E6817" w14:textId="77777777" w:rsidR="00880830" w:rsidRPr="0043356A" w:rsidRDefault="00880830" w:rsidP="00A009CD">
            <w:pPr>
              <w:rPr>
                <w:rFonts w:ascii="Arial" w:hAnsi="Arial" w:cs="Arial"/>
                <w:sz w:val="16"/>
                <w:szCs w:val="16"/>
                <w:lang w:val="es-ES_tradnl" w:eastAsia="es-ES"/>
              </w:rPr>
            </w:pPr>
            <w:r w:rsidRPr="0043356A">
              <w:rPr>
                <w:rFonts w:ascii="Arial" w:hAnsi="Arial" w:cs="Arial"/>
                <w:sz w:val="16"/>
                <w:szCs w:val="16"/>
                <w:lang w:val="es-ES_tradnl" w:eastAsia="es-ES"/>
              </w:rPr>
              <w:t>Subdirector de Gestión Contractual ANCP – CCE</w:t>
            </w:r>
          </w:p>
        </w:tc>
      </w:tr>
    </w:tbl>
    <w:p w14:paraId="10A3ED4F" w14:textId="77777777" w:rsidR="00880830" w:rsidRPr="0043356A" w:rsidRDefault="00880830" w:rsidP="00236E1A">
      <w:pPr>
        <w:spacing w:line="276" w:lineRule="auto"/>
        <w:jc w:val="both"/>
        <w:rPr>
          <w:rFonts w:ascii="Arial" w:hAnsi="Arial" w:cs="Arial"/>
        </w:rPr>
      </w:pPr>
    </w:p>
    <w:sectPr w:rsidR="00880830" w:rsidRPr="0043356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5FA7" w14:textId="77777777" w:rsidR="008E03F7" w:rsidRDefault="008E03F7">
      <w:r>
        <w:separator/>
      </w:r>
    </w:p>
  </w:endnote>
  <w:endnote w:type="continuationSeparator" w:id="0">
    <w:p w14:paraId="77EB6838" w14:textId="77777777" w:rsidR="008E03F7" w:rsidRDefault="008E03F7">
      <w:r>
        <w:continuationSeparator/>
      </w:r>
    </w:p>
  </w:endnote>
  <w:endnote w:type="continuationNotice" w:id="1">
    <w:p w14:paraId="2A5BC89C" w14:textId="77777777" w:rsidR="008E03F7" w:rsidRDefault="008E0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E807B5" w:rsidRDefault="00E807B5" w:rsidP="00322937">
    <w:pPr>
      <w:pStyle w:val="Sinespaciado"/>
      <w:jc w:val="right"/>
      <w:rPr>
        <w:rFonts w:ascii="Arial" w:hAnsi="Arial" w:cs="Arial"/>
        <w:sz w:val="18"/>
        <w:szCs w:val="18"/>
      </w:rPr>
    </w:pPr>
  </w:p>
  <w:p w14:paraId="7A3785F3" w14:textId="3B44135E" w:rsidR="00E807B5" w:rsidRPr="008217B7" w:rsidRDefault="00E807B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36402">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36402">
      <w:rPr>
        <w:rFonts w:ascii="Arial" w:hAnsi="Arial" w:cs="Arial"/>
        <w:b/>
        <w:bCs/>
        <w:noProof/>
        <w:color w:val="7F7F7F" w:themeColor="text1" w:themeTint="80"/>
        <w:sz w:val="16"/>
        <w:szCs w:val="16"/>
      </w:rPr>
      <w:t>27</w:t>
    </w:r>
    <w:r w:rsidRPr="00084B97">
      <w:rPr>
        <w:rFonts w:ascii="Arial" w:hAnsi="Arial" w:cs="Arial"/>
        <w:b/>
        <w:bCs/>
        <w:color w:val="7F7F7F" w:themeColor="text1" w:themeTint="80"/>
        <w:sz w:val="16"/>
        <w:szCs w:val="16"/>
      </w:rPr>
      <w:fldChar w:fldCharType="end"/>
    </w:r>
  </w:p>
  <w:p w14:paraId="48FC6A04" w14:textId="5FD1A7C9" w:rsidR="00E807B5" w:rsidRDefault="00E807B5"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807B5" w:rsidRDefault="00E807B5" w:rsidP="007B0854">
    <w:pPr>
      <w:pStyle w:val="Piedepgina"/>
      <w:jc w:val="center"/>
      <w:rPr>
        <w:lang w:val="es-ES"/>
      </w:rPr>
    </w:pPr>
  </w:p>
  <w:p w14:paraId="6C0EFC49" w14:textId="77777777" w:rsidR="00E807B5" w:rsidRPr="007B0854" w:rsidRDefault="00E807B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57AD" w14:textId="77777777" w:rsidR="008E03F7" w:rsidRDefault="008E03F7">
      <w:r>
        <w:separator/>
      </w:r>
    </w:p>
  </w:footnote>
  <w:footnote w:type="continuationSeparator" w:id="0">
    <w:p w14:paraId="4186887A" w14:textId="77777777" w:rsidR="008E03F7" w:rsidRDefault="008E03F7">
      <w:r>
        <w:continuationSeparator/>
      </w:r>
    </w:p>
  </w:footnote>
  <w:footnote w:type="continuationNotice" w:id="1">
    <w:p w14:paraId="4E6EFB7C" w14:textId="77777777" w:rsidR="008E03F7" w:rsidRDefault="008E03F7"/>
  </w:footnote>
  <w:footnote w:id="2">
    <w:p w14:paraId="361646BF" w14:textId="77777777" w:rsidR="001E7DEA" w:rsidRPr="0043356A" w:rsidRDefault="001E7DEA" w:rsidP="001E7DEA">
      <w:pPr>
        <w:pStyle w:val="Textonotapie"/>
        <w:ind w:firstLine="708"/>
        <w:jc w:val="both"/>
        <w:rPr>
          <w:rFonts w:ascii="Arial" w:hAnsi="Arial" w:cs="Arial"/>
          <w:sz w:val="19"/>
          <w:szCs w:val="19"/>
        </w:rPr>
      </w:pPr>
      <w:r>
        <w:rPr>
          <w:rStyle w:val="Refdenotaalpie"/>
        </w:rPr>
        <w:footnoteRef/>
      </w:r>
      <w:r>
        <w:t xml:space="preserve"> </w:t>
      </w:r>
      <w:r w:rsidRPr="00043614">
        <w:rPr>
          <w:rFonts w:ascii="Arial" w:hAnsi="Arial" w:cs="Arial"/>
          <w:sz w:val="19"/>
          <w:szCs w:val="19"/>
        </w:rPr>
        <w:t>«Artículo 3°. Funciones. La Agencia Nacional de C</w:t>
      </w:r>
      <w:r w:rsidRPr="0043356A">
        <w:rPr>
          <w:rFonts w:ascii="Arial" w:hAnsi="Arial" w:cs="Arial"/>
          <w:sz w:val="19"/>
          <w:szCs w:val="19"/>
        </w:rPr>
        <w:t xml:space="preserve">ontratación Pública –Colombia Compra Eficiente– ejercerá las siguientes funciones: </w:t>
      </w:r>
    </w:p>
    <w:p w14:paraId="0FA4D732" w14:textId="77777777" w:rsidR="001E7DEA" w:rsidRPr="0043356A" w:rsidRDefault="001E7DEA" w:rsidP="001E7DEA">
      <w:pPr>
        <w:pStyle w:val="Textonotapie"/>
        <w:ind w:firstLine="709"/>
        <w:jc w:val="both"/>
        <w:rPr>
          <w:rFonts w:ascii="Arial" w:hAnsi="Arial" w:cs="Arial"/>
          <w:sz w:val="19"/>
          <w:szCs w:val="19"/>
          <w:lang w:val="es-ES"/>
        </w:rPr>
      </w:pPr>
      <w:r w:rsidRPr="0043356A">
        <w:rPr>
          <w:rFonts w:ascii="Arial" w:hAnsi="Arial" w:cs="Arial"/>
          <w:sz w:val="19"/>
          <w:szCs w:val="19"/>
          <w:lang w:val="es-ES"/>
        </w:rPr>
        <w:t xml:space="preserve">»[...] </w:t>
      </w:r>
    </w:p>
    <w:p w14:paraId="546D66CF" w14:textId="24938C48" w:rsidR="001E7DEA" w:rsidRPr="0043356A" w:rsidRDefault="001E7DEA" w:rsidP="001E7DEA">
      <w:pPr>
        <w:pStyle w:val="Textonotapie"/>
        <w:ind w:firstLine="709"/>
        <w:jc w:val="both"/>
        <w:rPr>
          <w:rFonts w:ascii="Arial" w:hAnsi="Arial" w:cs="Arial"/>
          <w:sz w:val="19"/>
          <w:szCs w:val="19"/>
          <w:lang w:val="es-ES"/>
        </w:rPr>
      </w:pPr>
      <w:r w:rsidRPr="0043356A">
        <w:rPr>
          <w:rFonts w:ascii="Arial" w:hAnsi="Arial" w:cs="Arial"/>
          <w:sz w:val="19"/>
          <w:szCs w:val="19"/>
          <w:lang w:val="es-ES"/>
        </w:rPr>
        <w:t xml:space="preserve"> »5. Absolver consultas sobre la aplicación de normas de carácter general y expedir circulares externas en materia de compras y contratación pública».</w:t>
      </w:r>
    </w:p>
    <w:p w14:paraId="040E0458" w14:textId="40A0C869" w:rsidR="001E7DEA" w:rsidRPr="0043356A" w:rsidRDefault="001E7DEA" w:rsidP="001E7DEA">
      <w:pPr>
        <w:pStyle w:val="Textonotapie"/>
        <w:ind w:firstLine="709"/>
        <w:jc w:val="both"/>
        <w:rPr>
          <w:rFonts w:ascii="Arial" w:hAnsi="Arial" w:cs="Arial"/>
          <w:sz w:val="19"/>
          <w:szCs w:val="19"/>
          <w:lang w:val="es-ES"/>
        </w:rPr>
      </w:pPr>
      <w:r w:rsidRPr="0043356A">
        <w:rPr>
          <w:rFonts w:ascii="Arial" w:eastAsia="Times New Roman" w:hAnsi="Arial" w:cs="Arial"/>
          <w:sz w:val="19"/>
          <w:szCs w:val="19"/>
          <w:lang w:val="es-CO" w:eastAsia="es-ES_tradnl"/>
        </w:rPr>
        <w:t>«</w:t>
      </w:r>
      <w:r w:rsidRPr="0043356A">
        <w:rPr>
          <w:rFonts w:ascii="Arial" w:hAnsi="Arial" w:cs="Arial"/>
          <w:sz w:val="19"/>
          <w:szCs w:val="19"/>
          <w:lang w:val="es-ES"/>
        </w:rPr>
        <w:t xml:space="preserve">Artículo 11. Subdirección de Gestión Contractual. Son funciones de la Subdirección de Gestión Contractual las siguientes: </w:t>
      </w:r>
    </w:p>
    <w:p w14:paraId="28C96216" w14:textId="77777777" w:rsidR="001E7DEA" w:rsidRPr="0043356A" w:rsidRDefault="001E7DEA" w:rsidP="001E7DEA">
      <w:pPr>
        <w:pStyle w:val="Textonotapie"/>
        <w:ind w:firstLine="709"/>
        <w:jc w:val="both"/>
        <w:rPr>
          <w:rFonts w:ascii="Arial" w:hAnsi="Arial" w:cs="Arial"/>
          <w:sz w:val="19"/>
          <w:szCs w:val="19"/>
          <w:lang w:val="es-ES"/>
        </w:rPr>
      </w:pPr>
      <w:r w:rsidRPr="0043356A">
        <w:rPr>
          <w:rFonts w:ascii="Arial" w:hAnsi="Arial" w:cs="Arial"/>
          <w:sz w:val="19"/>
          <w:szCs w:val="19"/>
          <w:lang w:val="es-ES"/>
        </w:rPr>
        <w:t xml:space="preserve">»[...] </w:t>
      </w:r>
    </w:p>
    <w:p w14:paraId="16904D04" w14:textId="50C4AFB9" w:rsidR="001E7DEA" w:rsidRPr="0043356A" w:rsidRDefault="001E7DEA" w:rsidP="00640B22">
      <w:pPr>
        <w:pStyle w:val="Textonotapie"/>
        <w:ind w:firstLine="708"/>
      </w:pPr>
      <w:r w:rsidRPr="0043356A">
        <w:rPr>
          <w:rFonts w:ascii="Arial" w:eastAsia="Times New Roman" w:hAnsi="Arial" w:cs="Arial"/>
          <w:sz w:val="19"/>
          <w:szCs w:val="19"/>
          <w:lang w:val="es-CO" w:eastAsia="es-ES_tradnl"/>
        </w:rPr>
        <w:t>»</w:t>
      </w:r>
      <w:r w:rsidRPr="0043356A">
        <w:rPr>
          <w:rFonts w:ascii="Arial" w:hAnsi="Arial" w:cs="Arial"/>
          <w:sz w:val="19"/>
          <w:szCs w:val="19"/>
          <w:lang w:val="es-ES"/>
        </w:rPr>
        <w:t>8. Absolver consultas sobre la aplicación de normas de carácter general».</w:t>
      </w:r>
    </w:p>
  </w:footnote>
  <w:footnote w:id="3">
    <w:p w14:paraId="2C70334A" w14:textId="77777777" w:rsidR="003C408D" w:rsidRPr="0043356A" w:rsidRDefault="003C408D" w:rsidP="00043614">
      <w:pPr>
        <w:pStyle w:val="Textonotapie"/>
        <w:ind w:firstLine="709"/>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76C5853" w14:textId="77777777" w:rsidR="003C408D" w:rsidRPr="0043356A" w:rsidRDefault="003C408D" w:rsidP="00043614">
      <w:pPr>
        <w:pStyle w:val="Textonotapie"/>
        <w:ind w:firstLine="709"/>
        <w:jc w:val="both"/>
        <w:rPr>
          <w:rFonts w:ascii="Arial" w:hAnsi="Arial" w:cs="Arial"/>
          <w:sz w:val="19"/>
          <w:szCs w:val="19"/>
        </w:rPr>
      </w:pPr>
      <w:r w:rsidRPr="0043356A">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42855C11" w14:textId="77777777" w:rsidR="003C408D" w:rsidRPr="0043356A" w:rsidRDefault="003C408D" w:rsidP="00043614">
      <w:pPr>
        <w:pStyle w:val="Textonotapie"/>
        <w:ind w:firstLine="709"/>
        <w:jc w:val="both"/>
        <w:rPr>
          <w:rFonts w:ascii="Arial" w:hAnsi="Arial" w:cs="Arial"/>
          <w:sz w:val="19"/>
          <w:szCs w:val="19"/>
        </w:rPr>
      </w:pPr>
    </w:p>
  </w:footnote>
  <w:footnote w:id="4">
    <w:p w14:paraId="0C67D542" w14:textId="20A54F7F" w:rsidR="003C408D" w:rsidRPr="0043356A" w:rsidRDefault="003C408D" w:rsidP="00043614">
      <w:pPr>
        <w:pStyle w:val="Textonotapie"/>
        <w:ind w:firstLine="709"/>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Gaceta del Congreso de la República No. 71 del 2005.</w:t>
      </w:r>
    </w:p>
  </w:footnote>
  <w:footnote w:id="5">
    <w:p w14:paraId="066CFC21" w14:textId="77777777" w:rsidR="003C408D" w:rsidRPr="0043356A" w:rsidRDefault="003C408D" w:rsidP="00043614">
      <w:pPr>
        <w:pStyle w:val="Textonotapie"/>
        <w:ind w:firstLine="709"/>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Corte Constitucional, Sentencia C- 1153 de 2005, M.P. Marco Gerardo Monroy Cabra.</w:t>
      </w:r>
    </w:p>
  </w:footnote>
  <w:footnote w:id="6">
    <w:p w14:paraId="12D78899" w14:textId="6465AF8F" w:rsidR="003C408D" w:rsidRPr="0043356A" w:rsidRDefault="003C408D" w:rsidP="00043614">
      <w:pPr>
        <w:pStyle w:val="Textonotapie"/>
        <w:ind w:firstLine="709"/>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248B0A7C" w14:textId="2C0CFF6E" w:rsidR="003C408D" w:rsidRPr="0043356A" w:rsidRDefault="003C408D" w:rsidP="00043614">
      <w:pPr>
        <w:pStyle w:val="Textonotapie"/>
        <w:ind w:firstLine="709"/>
        <w:jc w:val="both"/>
        <w:rPr>
          <w:rFonts w:ascii="Arial" w:hAnsi="Arial" w:cs="Arial"/>
          <w:sz w:val="19"/>
          <w:szCs w:val="19"/>
          <w:lang w:val="es-CO"/>
        </w:rPr>
      </w:pPr>
      <w:r w:rsidRPr="0043356A">
        <w:rPr>
          <w:rStyle w:val="Refdenotaalpie"/>
          <w:rFonts w:ascii="Arial" w:hAnsi="Arial" w:cs="Arial"/>
          <w:sz w:val="19"/>
          <w:szCs w:val="19"/>
        </w:rPr>
        <w:footnoteRef/>
      </w:r>
      <w:r w:rsidRPr="0043356A">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69925324" w14:textId="745F8622" w:rsidR="003C408D" w:rsidRPr="0043356A" w:rsidRDefault="003C408D" w:rsidP="00043614">
      <w:pPr>
        <w:pStyle w:val="Textonotapie"/>
        <w:ind w:firstLine="709"/>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Consejo de Estado, Sala de Consulta y Servicio Civil de fecha 24 de julio de 2013, radicado 2166, Consejero Ponente: Álvaro Namén Vargas.  </w:t>
      </w:r>
    </w:p>
  </w:footnote>
  <w:footnote w:id="9">
    <w:p w14:paraId="2D8C7428" w14:textId="77777777" w:rsidR="003C408D" w:rsidRPr="0043356A" w:rsidRDefault="003C408D" w:rsidP="00043614">
      <w:pPr>
        <w:ind w:firstLine="709"/>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w:t>
      </w:r>
      <w:r w:rsidRPr="0043356A">
        <w:rPr>
          <w:rFonts w:ascii="Arial" w:eastAsia="Calibri" w:hAnsi="Arial" w:cs="Arial"/>
          <w:bCs/>
          <w:sz w:val="19"/>
          <w:szCs w:val="19"/>
        </w:rPr>
        <w:t>«</w:t>
      </w:r>
      <w:r w:rsidRPr="0043356A">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39E6A89D" w14:textId="09AFE9D1" w:rsidR="003C408D" w:rsidRPr="0043356A" w:rsidRDefault="003C408D" w:rsidP="00043614">
      <w:pPr>
        <w:ind w:firstLine="709"/>
        <w:jc w:val="both"/>
        <w:rPr>
          <w:rFonts w:ascii="Arial" w:hAnsi="Arial" w:cs="Arial"/>
          <w:sz w:val="19"/>
          <w:szCs w:val="19"/>
        </w:rPr>
      </w:pPr>
      <w:r w:rsidRPr="0043356A">
        <w:rPr>
          <w:rFonts w:ascii="Arial" w:eastAsia="Calibri" w:hAnsi="Arial" w:cs="Arial"/>
          <w:bCs/>
          <w:sz w:val="19"/>
          <w:szCs w:val="19"/>
        </w:rPr>
        <w:t>»</w:t>
      </w:r>
      <w:r w:rsidRPr="0043356A">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3356A">
        <w:rPr>
          <w:rFonts w:ascii="Arial" w:eastAsia="Calibri" w:hAnsi="Arial" w:cs="Arial"/>
          <w:bCs/>
          <w:sz w:val="19"/>
          <w:szCs w:val="19"/>
        </w:rPr>
        <w:t>»</w:t>
      </w:r>
      <w:r w:rsidRPr="0043356A">
        <w:rPr>
          <w:rFonts w:ascii="Arial" w:hAnsi="Arial" w:cs="Arial"/>
          <w:sz w:val="19"/>
          <w:szCs w:val="19"/>
        </w:rPr>
        <w:t>.</w:t>
      </w:r>
    </w:p>
  </w:footnote>
  <w:footnote w:id="10">
    <w:p w14:paraId="60DF57B7" w14:textId="77777777" w:rsidR="003C408D" w:rsidRPr="0043356A" w:rsidRDefault="003C408D" w:rsidP="00043614">
      <w:pPr>
        <w:pStyle w:val="NormalWeb"/>
        <w:spacing w:before="0" w:beforeAutospacing="0" w:after="0" w:afterAutospacing="0"/>
        <w:ind w:firstLine="709"/>
        <w:jc w:val="both"/>
        <w:rPr>
          <w:rFonts w:ascii="Arial" w:hAnsi="Arial" w:cs="Arial"/>
          <w:sz w:val="19"/>
          <w:szCs w:val="19"/>
          <w:lang w:val="es-MX"/>
        </w:rPr>
      </w:pPr>
      <w:r w:rsidRPr="0043356A">
        <w:rPr>
          <w:rStyle w:val="Refdenotaalpie"/>
          <w:rFonts w:ascii="Arial" w:hAnsi="Arial" w:cs="Arial"/>
          <w:sz w:val="19"/>
          <w:szCs w:val="19"/>
        </w:rPr>
        <w:footnoteRef/>
      </w:r>
      <w:r w:rsidRPr="0043356A">
        <w:rPr>
          <w:rFonts w:ascii="Arial" w:hAnsi="Arial" w:cs="Arial"/>
          <w:sz w:val="19"/>
          <w:szCs w:val="19"/>
        </w:rPr>
        <w:t xml:space="preserve"> </w:t>
      </w:r>
      <w:r w:rsidRPr="0043356A">
        <w:rPr>
          <w:rFonts w:ascii="Arial" w:eastAsia="Calibri" w:hAnsi="Arial" w:cs="Arial"/>
          <w:bCs/>
          <w:sz w:val="19"/>
          <w:szCs w:val="19"/>
        </w:rPr>
        <w:t>«</w:t>
      </w:r>
      <w:r w:rsidRPr="0043356A">
        <w:rPr>
          <w:rFonts w:ascii="Arial" w:hAnsi="Arial" w:cs="Arial"/>
          <w:sz w:val="19"/>
          <w:szCs w:val="19"/>
          <w:lang w:val="es-MX"/>
        </w:rPr>
        <w:t>Artículo 38. Prohibiciones para los servidores públicos. A los empleados del Estado les está prohibido:</w:t>
      </w:r>
    </w:p>
    <w:p w14:paraId="7334F70C" w14:textId="77777777" w:rsidR="003C408D" w:rsidRPr="0043356A" w:rsidRDefault="003C408D" w:rsidP="00043614">
      <w:pPr>
        <w:pStyle w:val="NormalWeb"/>
        <w:spacing w:before="0" w:beforeAutospacing="0" w:after="0" w:afterAutospacing="0"/>
        <w:ind w:firstLine="709"/>
        <w:jc w:val="both"/>
        <w:rPr>
          <w:rFonts w:ascii="Arial" w:hAnsi="Arial" w:cs="Arial"/>
          <w:sz w:val="19"/>
          <w:szCs w:val="19"/>
          <w:lang w:val="es-MX"/>
        </w:rPr>
      </w:pPr>
      <w:r w:rsidRPr="0043356A">
        <w:rPr>
          <w:rFonts w:ascii="Arial" w:eastAsia="Calibri" w:hAnsi="Arial" w:cs="Arial"/>
          <w:bCs/>
          <w:sz w:val="19"/>
          <w:szCs w:val="19"/>
        </w:rPr>
        <w:t>»</w:t>
      </w:r>
      <w:r w:rsidRPr="0043356A">
        <w:rPr>
          <w:rFonts w:ascii="Arial" w:hAnsi="Arial" w:cs="Arial"/>
          <w:sz w:val="19"/>
          <w:szCs w:val="19"/>
          <w:lang w:val="es-MX"/>
        </w:rPr>
        <w:t xml:space="preserve"> […]</w:t>
      </w:r>
    </w:p>
    <w:p w14:paraId="76A4F48C" w14:textId="3CA9BC03" w:rsidR="003C408D" w:rsidRPr="0043356A" w:rsidRDefault="003C408D" w:rsidP="00043614">
      <w:pPr>
        <w:ind w:firstLine="709"/>
        <w:jc w:val="both"/>
        <w:rPr>
          <w:rFonts w:ascii="Arial" w:hAnsi="Arial" w:cs="Arial"/>
          <w:sz w:val="19"/>
          <w:szCs w:val="19"/>
          <w:lang w:val="es-MX"/>
        </w:rPr>
      </w:pPr>
      <w:r w:rsidRPr="0043356A">
        <w:rPr>
          <w:rFonts w:ascii="Arial" w:eastAsia="Calibri" w:hAnsi="Arial" w:cs="Arial"/>
          <w:bCs/>
          <w:sz w:val="19"/>
          <w:szCs w:val="19"/>
        </w:rPr>
        <w:t>»</w:t>
      </w:r>
      <w:r w:rsidRPr="0043356A">
        <w:rPr>
          <w:rStyle w:val="baj"/>
          <w:rFonts w:ascii="Arial" w:hAnsi="Arial" w:cs="Arial"/>
          <w:sz w:val="19"/>
          <w:szCs w:val="19"/>
          <w:lang w:val="es-MX"/>
        </w:rPr>
        <w:t xml:space="preserve"> Parágrafo.</w:t>
      </w:r>
      <w:r w:rsidRPr="0043356A">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3356A">
        <w:rPr>
          <w:rFonts w:ascii="Arial" w:eastAsia="Calibri" w:hAnsi="Arial" w:cs="Arial"/>
          <w:bCs/>
          <w:sz w:val="19"/>
          <w:szCs w:val="19"/>
        </w:rPr>
        <w:t>»</w:t>
      </w:r>
      <w:r w:rsidRPr="0043356A">
        <w:rPr>
          <w:rFonts w:ascii="Arial" w:hAnsi="Arial" w:cs="Arial"/>
          <w:sz w:val="19"/>
          <w:szCs w:val="19"/>
          <w:lang w:val="es-MX"/>
        </w:rPr>
        <w:t>.</w:t>
      </w:r>
    </w:p>
  </w:footnote>
  <w:footnote w:id="11">
    <w:p w14:paraId="31468D01" w14:textId="77777777" w:rsidR="003C408D" w:rsidRPr="0043356A" w:rsidRDefault="003C408D" w:rsidP="00043614">
      <w:pPr>
        <w:ind w:left="100" w:right="244" w:firstLine="709"/>
        <w:jc w:val="both"/>
        <w:rPr>
          <w:rFonts w:ascii="Arial" w:hAnsi="Arial" w:cs="Arial"/>
          <w:sz w:val="19"/>
          <w:szCs w:val="19"/>
          <w:lang w:val="es-ES"/>
        </w:rPr>
      </w:pPr>
      <w:r w:rsidRPr="0043356A">
        <w:rPr>
          <w:rStyle w:val="Refdenotaalpie"/>
          <w:rFonts w:ascii="Arial" w:hAnsi="Arial" w:cs="Arial"/>
          <w:sz w:val="19"/>
          <w:szCs w:val="19"/>
        </w:rPr>
        <w:footnoteRef/>
      </w:r>
      <w:r w:rsidRPr="0043356A">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2">
    <w:p w14:paraId="619283FD" w14:textId="77777777" w:rsidR="00725DB3" w:rsidRPr="0043356A" w:rsidRDefault="00725DB3" w:rsidP="00043614">
      <w:pPr>
        <w:pStyle w:val="Textonotapie"/>
        <w:ind w:firstLine="709"/>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Consejo de Estado. Sala de Consulta y Servicio Civil. Concepto de 20 de febrero de2006. Radicación 11001-03-06-000-2006-00023-00(1724). Consejero Ponente: Flavio Augusto Rodríguez Arce.</w:t>
      </w:r>
    </w:p>
    <w:p w14:paraId="4CDE6C82" w14:textId="77777777" w:rsidR="00725DB3" w:rsidRPr="0043356A" w:rsidRDefault="00725DB3" w:rsidP="00043614">
      <w:pPr>
        <w:pStyle w:val="Textonotapie"/>
        <w:ind w:firstLine="709"/>
        <w:jc w:val="both"/>
        <w:rPr>
          <w:rFonts w:ascii="Arial" w:hAnsi="Arial" w:cs="Arial"/>
          <w:sz w:val="19"/>
          <w:szCs w:val="19"/>
        </w:rPr>
      </w:pPr>
    </w:p>
  </w:footnote>
  <w:footnote w:id="13">
    <w:p w14:paraId="0BF58AC6" w14:textId="77777777" w:rsidR="00725DB3" w:rsidRPr="0043356A" w:rsidRDefault="00725DB3" w:rsidP="00043614">
      <w:pPr>
        <w:spacing w:before="78"/>
        <w:ind w:firstLine="709"/>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65D995B6" w14:textId="77777777" w:rsidR="00725DB3" w:rsidRPr="0043356A" w:rsidRDefault="00725DB3" w:rsidP="00043614">
      <w:pPr>
        <w:ind w:firstLine="709"/>
        <w:jc w:val="both"/>
        <w:rPr>
          <w:rFonts w:ascii="Arial" w:hAnsi="Arial" w:cs="Arial"/>
          <w:sz w:val="19"/>
          <w:szCs w:val="19"/>
        </w:rPr>
      </w:pPr>
      <w:r w:rsidRPr="0043356A">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43356A">
        <w:rPr>
          <w:rFonts w:ascii="Arial" w:hAnsi="Arial" w:cs="Arial"/>
          <w:spacing w:val="-1"/>
          <w:sz w:val="19"/>
          <w:szCs w:val="19"/>
        </w:rPr>
        <w:t xml:space="preserve"> </w:t>
      </w:r>
      <w:r w:rsidRPr="0043356A">
        <w:rPr>
          <w:rFonts w:ascii="Arial" w:hAnsi="Arial" w:cs="Arial"/>
          <w:sz w:val="19"/>
          <w:szCs w:val="19"/>
        </w:rPr>
        <w:t>Estatales».</w:t>
      </w:r>
    </w:p>
    <w:p w14:paraId="67514167" w14:textId="77777777" w:rsidR="00725DB3" w:rsidRPr="0043356A" w:rsidRDefault="00725DB3" w:rsidP="00043614">
      <w:pPr>
        <w:ind w:firstLine="709"/>
        <w:jc w:val="both"/>
        <w:rPr>
          <w:rFonts w:ascii="Arial" w:hAnsi="Arial" w:cs="Arial"/>
          <w:sz w:val="19"/>
          <w:szCs w:val="19"/>
        </w:rPr>
      </w:pPr>
    </w:p>
  </w:footnote>
  <w:footnote w:id="14">
    <w:p w14:paraId="334707E7" w14:textId="77777777" w:rsidR="00725DB3" w:rsidRPr="0043356A" w:rsidRDefault="00725DB3" w:rsidP="00043614">
      <w:pPr>
        <w:ind w:firstLine="709"/>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43356A">
        <w:rPr>
          <w:rFonts w:ascii="Arial" w:hAnsi="Arial" w:cs="Arial"/>
          <w:spacing w:val="-6"/>
          <w:sz w:val="19"/>
          <w:szCs w:val="19"/>
        </w:rPr>
        <w:t xml:space="preserve"> </w:t>
      </w:r>
      <w:r w:rsidRPr="0043356A">
        <w:rPr>
          <w:rFonts w:ascii="Arial" w:hAnsi="Arial" w:cs="Arial"/>
          <w:sz w:val="19"/>
          <w:szCs w:val="19"/>
        </w:rPr>
        <w:t>artículo».</w:t>
      </w:r>
    </w:p>
    <w:p w14:paraId="4706E995" w14:textId="77777777" w:rsidR="00725DB3" w:rsidRPr="0043356A" w:rsidRDefault="00725DB3" w:rsidP="00043614">
      <w:pPr>
        <w:ind w:firstLine="709"/>
        <w:jc w:val="both"/>
        <w:rPr>
          <w:rFonts w:ascii="Arial" w:hAnsi="Arial" w:cs="Arial"/>
          <w:sz w:val="19"/>
          <w:szCs w:val="19"/>
        </w:rPr>
      </w:pPr>
    </w:p>
  </w:footnote>
  <w:footnote w:id="15">
    <w:p w14:paraId="6F3BC999" w14:textId="77777777" w:rsidR="00725DB3" w:rsidRPr="0043356A" w:rsidRDefault="00725DB3" w:rsidP="00043614">
      <w:pPr>
        <w:ind w:firstLine="709"/>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position w:val="7"/>
          <w:sz w:val="19"/>
          <w:szCs w:val="19"/>
        </w:rPr>
        <w:t xml:space="preserve"> </w:t>
      </w:r>
      <w:r w:rsidRPr="0043356A">
        <w:rPr>
          <w:rFonts w:ascii="Arial" w:hAnsi="Arial" w:cs="Arial"/>
          <w:sz w:val="19"/>
          <w:szCs w:val="19"/>
        </w:rPr>
        <w:t>Consejo de Estado. Sección Tercera. Sentencia del 23 de junio de 2010. Radicación No. 66001-23-31-000-1998-00261-01(17.860). Consejero Ponente: Mauricio Fajardo Gómez.</w:t>
      </w:r>
    </w:p>
  </w:footnote>
  <w:footnote w:id="16">
    <w:p w14:paraId="63B1F5EE" w14:textId="77777777" w:rsidR="00725DB3" w:rsidRPr="0043356A" w:rsidRDefault="00725DB3" w:rsidP="00043614">
      <w:pPr>
        <w:ind w:firstLine="709"/>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Consejo de Estado. Sección Tercera. Subsección C. Sentencia del 11 de diciembre de 2019. Exp. 46.986. C.P. Jaime Enrique Rodríguez Navas.</w:t>
      </w:r>
    </w:p>
    <w:p w14:paraId="3D349556" w14:textId="77777777" w:rsidR="00725DB3" w:rsidRPr="0043356A" w:rsidRDefault="00725DB3" w:rsidP="00043614">
      <w:pPr>
        <w:ind w:firstLine="709"/>
        <w:jc w:val="both"/>
        <w:rPr>
          <w:rFonts w:ascii="Arial" w:hAnsi="Arial" w:cs="Arial"/>
          <w:sz w:val="19"/>
          <w:szCs w:val="19"/>
        </w:rPr>
      </w:pPr>
    </w:p>
  </w:footnote>
  <w:footnote w:id="17">
    <w:p w14:paraId="2551D0F9" w14:textId="77777777" w:rsidR="00725DB3" w:rsidRPr="0043356A" w:rsidRDefault="00725DB3" w:rsidP="00043614">
      <w:pPr>
        <w:pStyle w:val="Textonotapie"/>
        <w:ind w:firstLine="708"/>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[Referencia propia de la cita] «CE. SCSC. Concepto de 1 de noviembre de 2016 [Rad. 11001-03-06-000-2016-00125-00(2305)]. MP. Germán Alberto Bula Escobar».</w:t>
      </w:r>
    </w:p>
    <w:p w14:paraId="4ECA93EF" w14:textId="77777777" w:rsidR="00725DB3" w:rsidRPr="0043356A" w:rsidRDefault="00725DB3" w:rsidP="00043614">
      <w:pPr>
        <w:pStyle w:val="Textonotapie"/>
        <w:ind w:firstLine="708"/>
        <w:jc w:val="both"/>
        <w:rPr>
          <w:rFonts w:ascii="Arial" w:hAnsi="Arial" w:cs="Arial"/>
          <w:sz w:val="19"/>
          <w:szCs w:val="19"/>
        </w:rPr>
      </w:pPr>
    </w:p>
  </w:footnote>
  <w:footnote w:id="18">
    <w:p w14:paraId="4C9A097F" w14:textId="77777777" w:rsidR="00725DB3" w:rsidRPr="0043356A" w:rsidRDefault="00725DB3" w:rsidP="00043614">
      <w:pPr>
        <w:pStyle w:val="Textonotapie"/>
        <w:ind w:firstLine="708"/>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43356A">
        <w:rPr>
          <w:rFonts w:ascii="Arial" w:hAnsi="Arial" w:cs="Arial"/>
          <w:i/>
          <w:sz w:val="19"/>
          <w:szCs w:val="19"/>
        </w:rPr>
        <w:t>“obligacional”</w:t>
      </w:r>
      <w:r w:rsidRPr="0043356A">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19">
    <w:p w14:paraId="4C6B2687" w14:textId="77777777" w:rsidR="00725DB3" w:rsidRPr="0043356A" w:rsidRDefault="00725DB3" w:rsidP="00043614">
      <w:pPr>
        <w:pStyle w:val="Textonotapie"/>
        <w:ind w:firstLine="708"/>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[Referencia propia de la cita] «La normativa vigente del EGCAP </w:t>
      </w:r>
      <w:r w:rsidRPr="0043356A">
        <w:rPr>
          <w:rFonts w:ascii="Arial" w:hAnsi="Arial" w:cs="Arial"/>
          <w:i/>
          <w:sz w:val="19"/>
          <w:szCs w:val="19"/>
        </w:rPr>
        <w:t>[literal c) del numeral 4. del artículo 2 de la Ley 1150/07]</w:t>
      </w:r>
      <w:r w:rsidRPr="0043356A">
        <w:rPr>
          <w:rFonts w:ascii="Arial" w:hAnsi="Arial" w:cs="Arial"/>
          <w:sz w:val="19"/>
          <w:szCs w:val="19"/>
        </w:rPr>
        <w:t xml:space="preserve"> se refiere a </w:t>
      </w:r>
      <w:r w:rsidRPr="0043356A">
        <w:rPr>
          <w:rFonts w:ascii="Arial" w:hAnsi="Arial" w:cs="Arial"/>
          <w:i/>
          <w:sz w:val="19"/>
          <w:szCs w:val="19"/>
        </w:rPr>
        <w:t>“contratos interadministrativos”</w:t>
      </w:r>
      <w:r w:rsidRPr="0043356A">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45B1D745" w14:textId="77777777" w:rsidR="00725DB3" w:rsidRPr="0043356A" w:rsidRDefault="00725DB3" w:rsidP="00043614">
      <w:pPr>
        <w:pStyle w:val="Textonotapie"/>
        <w:ind w:firstLine="708"/>
        <w:jc w:val="both"/>
        <w:rPr>
          <w:rFonts w:ascii="Arial" w:hAnsi="Arial" w:cs="Arial"/>
          <w:sz w:val="19"/>
          <w:szCs w:val="19"/>
        </w:rPr>
      </w:pPr>
    </w:p>
  </w:footnote>
  <w:footnote w:id="20">
    <w:p w14:paraId="529C3DD1" w14:textId="77777777" w:rsidR="00725DB3" w:rsidRPr="0043356A" w:rsidRDefault="00725DB3" w:rsidP="00043614">
      <w:pPr>
        <w:pStyle w:val="Textonotapie"/>
        <w:ind w:firstLine="708"/>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4EFC6D44" w14:textId="77777777" w:rsidR="00725DB3" w:rsidRPr="0043356A" w:rsidRDefault="00725DB3" w:rsidP="00043614">
      <w:pPr>
        <w:pStyle w:val="Textonotapie"/>
        <w:ind w:firstLine="708"/>
        <w:jc w:val="both"/>
        <w:rPr>
          <w:rFonts w:ascii="Arial" w:hAnsi="Arial" w:cs="Arial"/>
          <w:sz w:val="19"/>
          <w:szCs w:val="19"/>
        </w:rPr>
      </w:pPr>
    </w:p>
  </w:footnote>
  <w:footnote w:id="21">
    <w:p w14:paraId="44F8AA96" w14:textId="77777777" w:rsidR="00725DB3" w:rsidRPr="0043356A" w:rsidRDefault="00725DB3" w:rsidP="00043614">
      <w:pPr>
        <w:pStyle w:val="Textonotapie"/>
        <w:ind w:firstLine="708"/>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Es lo que sucede, por ejemplo, con el Decreto 092 de 2017, que en su desarrollo hace referencia tanto a los «contratos» como a los «convenios». </w:t>
      </w:r>
    </w:p>
    <w:p w14:paraId="12B51104" w14:textId="77777777" w:rsidR="00725DB3" w:rsidRPr="0043356A" w:rsidRDefault="00725DB3" w:rsidP="00043614">
      <w:pPr>
        <w:pStyle w:val="Textonotapie"/>
        <w:ind w:firstLine="708"/>
        <w:jc w:val="both"/>
        <w:rPr>
          <w:rFonts w:ascii="Arial" w:hAnsi="Arial" w:cs="Arial"/>
          <w:sz w:val="19"/>
          <w:szCs w:val="19"/>
          <w:lang w:val="es-CO"/>
        </w:rPr>
      </w:pPr>
    </w:p>
  </w:footnote>
  <w:footnote w:id="22">
    <w:p w14:paraId="475A75BC" w14:textId="77777777" w:rsidR="00725DB3" w:rsidRPr="0043356A" w:rsidRDefault="00725DB3" w:rsidP="00043614">
      <w:pPr>
        <w:pStyle w:val="Textonotapie"/>
        <w:ind w:firstLine="708"/>
        <w:jc w:val="both"/>
        <w:rPr>
          <w:rFonts w:ascii="Arial" w:hAnsi="Arial" w:cs="Arial"/>
          <w:sz w:val="19"/>
          <w:szCs w:val="19"/>
          <w:lang w:val="es-CO"/>
        </w:rPr>
      </w:pPr>
      <w:r w:rsidRPr="0043356A">
        <w:rPr>
          <w:rStyle w:val="Refdenotaalpie"/>
          <w:rFonts w:ascii="Arial" w:hAnsi="Arial" w:cs="Arial"/>
          <w:sz w:val="19"/>
          <w:szCs w:val="19"/>
        </w:rPr>
        <w:footnoteRef/>
      </w:r>
      <w:r w:rsidRPr="0043356A">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23">
    <w:p w14:paraId="7463785F" w14:textId="77777777" w:rsidR="00725DB3" w:rsidRPr="0043356A" w:rsidRDefault="00725DB3" w:rsidP="00043614">
      <w:pPr>
        <w:pStyle w:val="Textonotapie"/>
        <w:ind w:firstLine="708"/>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24">
    <w:p w14:paraId="1B01C3A7" w14:textId="77777777" w:rsidR="00EB345F" w:rsidRPr="0043356A" w:rsidRDefault="0045580D" w:rsidP="00640B22">
      <w:pPr>
        <w:ind w:firstLine="708"/>
        <w:jc w:val="both"/>
        <w:rPr>
          <w:rFonts w:ascii="Arial" w:eastAsia="Calibri" w:hAnsi="Arial" w:cs="Arial"/>
          <w:sz w:val="19"/>
          <w:szCs w:val="19"/>
          <w:lang w:eastAsia="en-US"/>
        </w:rPr>
      </w:pPr>
      <w:r w:rsidRPr="0043356A">
        <w:rPr>
          <w:rStyle w:val="Refdenotaalpie"/>
          <w:rFonts w:ascii="Arial" w:hAnsi="Arial" w:cs="Arial"/>
          <w:sz w:val="19"/>
          <w:szCs w:val="19"/>
        </w:rPr>
        <w:footnoteRef/>
      </w:r>
      <w:r w:rsidRPr="0043356A">
        <w:rPr>
          <w:rFonts w:ascii="Arial" w:hAnsi="Arial" w:cs="Arial"/>
          <w:sz w:val="19"/>
          <w:szCs w:val="19"/>
        </w:rPr>
        <w:t xml:space="preserve"> </w:t>
      </w:r>
      <w:r w:rsidR="00EB345F" w:rsidRPr="0043356A">
        <w:rPr>
          <w:rFonts w:ascii="Arial" w:eastAsia="Calibri" w:hAnsi="Arial" w:cs="Arial"/>
          <w:sz w:val="19"/>
          <w:szCs w:val="19"/>
          <w:lang w:eastAsia="en-US"/>
        </w:rPr>
        <w:t xml:space="preserve">«ARTÍCULO 124. Con el propósito de promover la reactivación económica y la generación de empleo en las regiones, a partir de la publicación de la presente ley y durante la vigencia fiscal 2022, </w:t>
      </w:r>
      <w:r w:rsidR="00EB345F" w:rsidRPr="0043356A">
        <w:rPr>
          <w:rFonts w:ascii="Arial" w:eastAsia="Calibri" w:hAnsi="Arial" w:cs="Arial"/>
          <w:i/>
          <w:sz w:val="19"/>
          <w:szCs w:val="19"/>
          <w:lang w:eastAsia="en-US"/>
        </w:rPr>
        <w:t>la Nación podrá celebrar convenios interadministrativos con las entidades territoriales para ejecutar programas y proyectos correspondientes al Presupuesto General de la Nación.</w:t>
      </w:r>
    </w:p>
    <w:p w14:paraId="2DBB950B" w14:textId="52A024A4" w:rsidR="00EB345F" w:rsidRPr="0043356A" w:rsidRDefault="00EB345F" w:rsidP="00640B22">
      <w:pPr>
        <w:ind w:firstLine="708"/>
        <w:jc w:val="both"/>
        <w:rPr>
          <w:rFonts w:ascii="Arial" w:eastAsia="Calibri" w:hAnsi="Arial" w:cs="Arial"/>
          <w:sz w:val="19"/>
          <w:szCs w:val="19"/>
          <w:lang w:eastAsia="en-US"/>
        </w:rPr>
      </w:pPr>
      <w:r w:rsidRPr="0043356A">
        <w:rPr>
          <w:rFonts w:ascii="Arial" w:eastAsia="Calibri" w:hAnsi="Arial" w:cs="Arial"/>
          <w:sz w:val="19"/>
          <w:szCs w:val="19"/>
          <w:lang w:eastAsia="en-US"/>
        </w:rPr>
        <w:t>»La presente disposición modifica únicamente en la parte pertinente el inciso primero del parágrafo del artículo 38 de la Ley 996 de 2005.</w:t>
      </w:r>
    </w:p>
    <w:p w14:paraId="1DF6B9B6" w14:textId="768A839B" w:rsidR="00EB345F" w:rsidRPr="0043356A" w:rsidRDefault="00EB345F" w:rsidP="00640B22">
      <w:pPr>
        <w:pStyle w:val="Textonotapie"/>
        <w:ind w:firstLine="708"/>
        <w:jc w:val="both"/>
        <w:rPr>
          <w:rFonts w:ascii="Arial" w:hAnsi="Arial" w:cs="Arial"/>
          <w:sz w:val="19"/>
          <w:szCs w:val="19"/>
          <w:lang w:val="es-ES"/>
        </w:rPr>
      </w:pPr>
      <w:r w:rsidRPr="0043356A">
        <w:rPr>
          <w:rFonts w:ascii="Arial" w:eastAsia="Calibri" w:hAnsi="Arial" w:cs="Arial"/>
          <w:sz w:val="19"/>
          <w:szCs w:val="19"/>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 (</w:t>
      </w:r>
      <w:r w:rsidR="00C70CC7" w:rsidRPr="0043356A">
        <w:rPr>
          <w:rFonts w:ascii="Arial" w:eastAsia="Calibri" w:hAnsi="Arial" w:cs="Arial"/>
          <w:sz w:val="19"/>
          <w:szCs w:val="19"/>
          <w:lang w:val="es-CO"/>
        </w:rPr>
        <w:t>Cursiva</w:t>
      </w:r>
      <w:r w:rsidRPr="0043356A">
        <w:rPr>
          <w:rFonts w:ascii="Arial" w:eastAsia="Calibri" w:hAnsi="Arial" w:cs="Arial"/>
          <w:sz w:val="19"/>
          <w:szCs w:val="19"/>
        </w:rPr>
        <w:t xml:space="preserve"> fuera de texto).</w:t>
      </w:r>
    </w:p>
  </w:footnote>
  <w:footnote w:id="25">
    <w:p w14:paraId="6A90E581" w14:textId="052694FB" w:rsidR="00C70CC7" w:rsidRPr="0043356A" w:rsidRDefault="00C70CC7" w:rsidP="00640B22">
      <w:pPr>
        <w:pStyle w:val="Textonotapie"/>
        <w:ind w:firstLine="708"/>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En relación con el alcance del artículo 124 de la Ley 2195 de 2022, se pueden consultar, entre otros, los conceptos C-736 del 31 de enero de 2022.</w:t>
      </w:r>
    </w:p>
  </w:footnote>
  <w:footnote w:id="26">
    <w:p w14:paraId="58AC01F8" w14:textId="3AE7DACD" w:rsidR="00725DB3" w:rsidRPr="0043356A" w:rsidRDefault="00725DB3" w:rsidP="00043614">
      <w:pPr>
        <w:pStyle w:val="Textonotapie"/>
        <w:ind w:firstLine="709"/>
        <w:jc w:val="both"/>
        <w:rPr>
          <w:rFonts w:ascii="Arial" w:hAnsi="Arial" w:cs="Arial"/>
          <w:sz w:val="19"/>
          <w:szCs w:val="19"/>
          <w:lang w:val="es-CO"/>
        </w:rPr>
      </w:pPr>
      <w:r w:rsidRPr="0043356A">
        <w:rPr>
          <w:rStyle w:val="Refdenotaalpie"/>
          <w:rFonts w:ascii="Arial" w:hAnsi="Arial" w:cs="Arial"/>
          <w:sz w:val="19"/>
          <w:szCs w:val="19"/>
        </w:rPr>
        <w:footnoteRef/>
      </w:r>
      <w:r w:rsidRPr="0043356A">
        <w:rPr>
          <w:rFonts w:ascii="Arial" w:hAnsi="Arial" w:cs="Arial"/>
          <w:sz w:val="19"/>
          <w:szCs w:val="19"/>
        </w:rPr>
        <w:t xml:space="preserve"> Consejo de Estado. Sala de Consulta y Servicio Civil. Concepto del 15 de noviembre de 2007. Expediente número 1863. Consejero Ponente: Luis Fernando Álvarez Jaramillo.</w:t>
      </w:r>
    </w:p>
  </w:footnote>
  <w:footnote w:id="27">
    <w:p w14:paraId="56625087" w14:textId="569E84B2" w:rsidR="003C408D" w:rsidRPr="0043356A" w:rsidRDefault="003C408D" w:rsidP="00043614">
      <w:pPr>
        <w:pStyle w:val="Textonotapie"/>
        <w:ind w:right="51" w:firstLine="709"/>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w:t>
      </w:r>
      <w:r w:rsidRPr="0043356A">
        <w:rPr>
          <w:rFonts w:ascii="Arial" w:hAnsi="Arial" w:cs="Arial"/>
          <w:sz w:val="19"/>
          <w:szCs w:val="19"/>
          <w:lang w:val="es-ES"/>
        </w:rPr>
        <w:t xml:space="preserve">[25] </w:t>
      </w:r>
      <w:r w:rsidRPr="0043356A">
        <w:rPr>
          <w:rFonts w:ascii="Arial" w:hAnsi="Arial" w:cs="Arial"/>
          <w:sz w:val="19"/>
          <w:szCs w:val="19"/>
        </w:rPr>
        <w:t>Cfr. Consejo de Estado. Sección Tercera. Sentencia de 3 de diciembre de 2007. Radicados: 24.715, 25.206, 25.409, 24.524, 27.834, 25.410, 26.105, 28.244, 31.447 -acumulados-».</w:t>
      </w:r>
    </w:p>
  </w:footnote>
  <w:footnote w:id="28">
    <w:p w14:paraId="782F3AFA" w14:textId="1A55970E" w:rsidR="003C408D" w:rsidRPr="0043356A" w:rsidRDefault="003C408D" w:rsidP="00043614">
      <w:pPr>
        <w:pStyle w:val="Textonotapie"/>
        <w:ind w:right="51" w:firstLine="709"/>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w:t>
      </w:r>
      <w:r w:rsidRPr="0043356A">
        <w:rPr>
          <w:rFonts w:ascii="Arial" w:hAnsi="Arial" w:cs="Arial"/>
          <w:sz w:val="19"/>
          <w:szCs w:val="19"/>
          <w:lang w:val="es-ES"/>
        </w:rPr>
        <w:t xml:space="preserve">[26] </w:t>
      </w:r>
      <w:r w:rsidRPr="0043356A">
        <w:rPr>
          <w:rFonts w:ascii="Arial" w:hAnsi="Arial" w:cs="Arial"/>
          <w:sz w:val="19"/>
          <w:szCs w:val="19"/>
        </w:rPr>
        <w:t>Al respecto ver el concepto 1712 de 2 de febrero de 2006. Consejo de Estado Sala de Consulta y Servicio Civil».</w:t>
      </w:r>
    </w:p>
  </w:footnote>
  <w:footnote w:id="29">
    <w:p w14:paraId="7921D1E0" w14:textId="6090A743" w:rsidR="003C408D" w:rsidRPr="0043356A" w:rsidRDefault="003C408D" w:rsidP="00043614">
      <w:pPr>
        <w:pStyle w:val="Textonotapie"/>
        <w:ind w:firstLine="709"/>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30">
    <w:p w14:paraId="63F841C2" w14:textId="286D9181" w:rsidR="003C408D" w:rsidRPr="0043356A" w:rsidRDefault="003C408D" w:rsidP="00043614">
      <w:pPr>
        <w:pStyle w:val="Textonotapie"/>
        <w:ind w:firstLine="709"/>
        <w:jc w:val="both"/>
        <w:rPr>
          <w:rFonts w:ascii="Arial" w:hAnsi="Arial" w:cs="Arial"/>
          <w:sz w:val="19"/>
          <w:szCs w:val="19"/>
          <w:lang w:val="es-ES"/>
        </w:rPr>
      </w:pPr>
      <w:r w:rsidRPr="0043356A">
        <w:rPr>
          <w:rStyle w:val="Refdenotaalpie"/>
          <w:rFonts w:ascii="Arial" w:hAnsi="Arial" w:cs="Arial"/>
          <w:sz w:val="19"/>
          <w:szCs w:val="19"/>
        </w:rPr>
        <w:footnoteRef/>
      </w:r>
      <w:r w:rsidRPr="0043356A">
        <w:rPr>
          <w:rFonts w:ascii="Arial" w:hAnsi="Arial" w:cs="Arial"/>
          <w:sz w:val="19"/>
          <w:szCs w:val="19"/>
        </w:rPr>
        <w:t xml:space="preserve"> </w:t>
      </w:r>
      <w:r w:rsidRPr="0043356A">
        <w:rPr>
          <w:rFonts w:ascii="Arial" w:hAnsi="Arial" w:cs="Arial"/>
          <w:sz w:val="19"/>
          <w:szCs w:val="19"/>
          <w:lang w:val="es-ES"/>
        </w:rPr>
        <w:t xml:space="preserve">Artículo 2. </w:t>
      </w:r>
    </w:p>
  </w:footnote>
  <w:footnote w:id="31">
    <w:p w14:paraId="45FF9D06" w14:textId="77777777" w:rsidR="003C408D" w:rsidRPr="0043356A" w:rsidRDefault="003C408D" w:rsidP="00043614">
      <w:pPr>
        <w:pStyle w:val="Textonotapie"/>
        <w:ind w:firstLine="709"/>
        <w:jc w:val="both"/>
        <w:rPr>
          <w:rFonts w:ascii="Arial" w:hAnsi="Arial" w:cs="Arial"/>
          <w:sz w:val="19"/>
          <w:szCs w:val="19"/>
          <w:lang w:val="es-ES"/>
        </w:rPr>
      </w:pPr>
      <w:r w:rsidRPr="0043356A">
        <w:rPr>
          <w:rStyle w:val="Refdenotaalpie"/>
          <w:rFonts w:ascii="Arial" w:hAnsi="Arial" w:cs="Arial"/>
          <w:sz w:val="19"/>
          <w:szCs w:val="19"/>
        </w:rPr>
        <w:footnoteRef/>
      </w:r>
      <w:r w:rsidRPr="0043356A">
        <w:rPr>
          <w:rFonts w:ascii="Arial" w:hAnsi="Arial" w:cs="Arial"/>
          <w:sz w:val="19"/>
          <w:szCs w:val="19"/>
        </w:rPr>
        <w:t xml:space="preserve"> </w:t>
      </w:r>
      <w:r w:rsidRPr="0043356A">
        <w:rPr>
          <w:rFonts w:ascii="Arial" w:hAnsi="Arial" w:cs="Arial"/>
          <w:i/>
          <w:sz w:val="19"/>
          <w:szCs w:val="19"/>
          <w:lang w:val="es-ES"/>
        </w:rPr>
        <w:t>Ídem</w:t>
      </w:r>
      <w:r w:rsidRPr="0043356A">
        <w:rPr>
          <w:rFonts w:ascii="Arial" w:hAnsi="Arial" w:cs="Arial"/>
          <w:sz w:val="19"/>
          <w:szCs w:val="19"/>
          <w:lang w:val="es-ES"/>
        </w:rPr>
        <w:t>.</w:t>
      </w:r>
    </w:p>
  </w:footnote>
  <w:footnote w:id="32">
    <w:p w14:paraId="469DF3B7" w14:textId="0E73C561" w:rsidR="003C408D" w:rsidRPr="0043356A" w:rsidRDefault="003C408D" w:rsidP="00043614">
      <w:pPr>
        <w:pStyle w:val="Textonotapie"/>
        <w:ind w:firstLine="709"/>
        <w:jc w:val="both"/>
        <w:rPr>
          <w:rFonts w:ascii="Arial" w:hAnsi="Arial" w:cs="Arial"/>
          <w:sz w:val="19"/>
          <w:szCs w:val="19"/>
          <w:lang w:val="es-ES"/>
        </w:rPr>
      </w:pPr>
      <w:r w:rsidRPr="0043356A">
        <w:rPr>
          <w:rStyle w:val="Refdenotaalpie"/>
          <w:rFonts w:ascii="Arial" w:hAnsi="Arial" w:cs="Arial"/>
          <w:sz w:val="19"/>
          <w:szCs w:val="19"/>
        </w:rPr>
        <w:footnoteRef/>
      </w:r>
      <w:r w:rsidRPr="0043356A">
        <w:rPr>
          <w:rStyle w:val="Refdenotaalpie"/>
          <w:rFonts w:ascii="Arial" w:hAnsi="Arial" w:cs="Arial"/>
          <w:sz w:val="19"/>
          <w:szCs w:val="19"/>
        </w:rPr>
        <w:t xml:space="preserve"> </w:t>
      </w:r>
      <w:r w:rsidRPr="0043356A">
        <w:rPr>
          <w:rFonts w:ascii="Arial" w:hAnsi="Arial" w:cs="Arial"/>
          <w:sz w:val="19"/>
          <w:szCs w:val="19"/>
          <w:lang w:val="es-ES"/>
        </w:rPr>
        <w:t xml:space="preserve">«[…] A este respecto, cabe recordar que el artículo 860 del Código de Comercio regula la licitación en el derecho privado». </w:t>
      </w:r>
    </w:p>
  </w:footnote>
  <w:footnote w:id="33">
    <w:p w14:paraId="501042DF" w14:textId="0A67C09B" w:rsidR="003C408D" w:rsidRPr="0043356A" w:rsidRDefault="003C408D" w:rsidP="00043614">
      <w:pPr>
        <w:shd w:val="clear" w:color="auto" w:fill="FFFFFF"/>
        <w:ind w:firstLine="709"/>
        <w:jc w:val="both"/>
        <w:rPr>
          <w:rFonts w:ascii="Arial" w:hAnsi="Arial" w:cs="Arial"/>
          <w:sz w:val="19"/>
          <w:szCs w:val="19"/>
          <w:lang w:val="es-ES"/>
        </w:rPr>
      </w:pPr>
      <w:r w:rsidRPr="0043356A">
        <w:rPr>
          <w:rStyle w:val="Refdenotaalpie"/>
          <w:rFonts w:ascii="Arial" w:hAnsi="Arial" w:cs="Arial"/>
          <w:sz w:val="19"/>
          <w:szCs w:val="19"/>
        </w:rPr>
        <w:footnoteRef/>
      </w:r>
      <w:r w:rsidRPr="0043356A">
        <w:rPr>
          <w:rStyle w:val="Refdenotaalpie"/>
          <w:rFonts w:ascii="Arial" w:hAnsi="Arial" w:cs="Arial"/>
          <w:sz w:val="19"/>
          <w:szCs w:val="19"/>
        </w:rPr>
        <w:t xml:space="preserve"> </w:t>
      </w:r>
      <w:r w:rsidRPr="0043356A">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34">
    <w:p w14:paraId="1AE24D64" w14:textId="77777777" w:rsidR="003C408D" w:rsidRPr="0043356A" w:rsidRDefault="003C408D" w:rsidP="00043614">
      <w:pPr>
        <w:pStyle w:val="Textonotapie"/>
        <w:ind w:firstLine="709"/>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Consejo de Estado. Sala de Consulta y Servicio Civil. Concepto del 08 de mayo de 2018. Exp. 2.382. C.P. Álvaro Namén Vargas.</w:t>
      </w:r>
    </w:p>
  </w:footnote>
  <w:footnote w:id="35">
    <w:p w14:paraId="70738B4F" w14:textId="181B1316" w:rsidR="00043614" w:rsidRPr="0043356A" w:rsidRDefault="00043614" w:rsidP="00640B22">
      <w:pPr>
        <w:pStyle w:val="Textonotapie"/>
        <w:ind w:firstLine="708"/>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COLOMBIA COMRPA EFICIENTE. Circular Externa Única. Numeral 15.5.</w:t>
      </w:r>
    </w:p>
  </w:footnote>
  <w:footnote w:id="36">
    <w:p w14:paraId="76BFA9C6" w14:textId="77777777" w:rsidR="003C408D" w:rsidRPr="0043356A" w:rsidRDefault="003C408D" w:rsidP="00043614">
      <w:pPr>
        <w:pStyle w:val="Textonotapie"/>
        <w:ind w:firstLine="709"/>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37">
    <w:p w14:paraId="23358D46" w14:textId="4954ADC9" w:rsidR="003C408D" w:rsidRPr="0043356A" w:rsidRDefault="003C408D" w:rsidP="00043614">
      <w:pPr>
        <w:ind w:firstLine="709"/>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Consejo de Estado. Sala de Consulta y Servicio Civil. Concepto de 20 de febrero de 2006. Radicación Número: 11001-03-06-000-2006-00026-00</w:t>
      </w:r>
      <w:r w:rsidR="00A6659C" w:rsidRPr="0043356A">
        <w:rPr>
          <w:rFonts w:ascii="Arial" w:hAnsi="Arial" w:cs="Arial"/>
          <w:sz w:val="19"/>
          <w:szCs w:val="19"/>
        </w:rPr>
        <w:t xml:space="preserve"> </w:t>
      </w:r>
      <w:r w:rsidRPr="0043356A">
        <w:rPr>
          <w:rFonts w:ascii="Arial" w:hAnsi="Arial" w:cs="Arial"/>
          <w:sz w:val="19"/>
          <w:szCs w:val="19"/>
        </w:rPr>
        <w:t>(1727).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38">
    <w:p w14:paraId="58796A21" w14:textId="37A1E5D0" w:rsidR="003C408D" w:rsidRPr="0043356A" w:rsidRDefault="003C408D" w:rsidP="00043614">
      <w:pPr>
        <w:pStyle w:val="Textonotapie"/>
        <w:ind w:right="51" w:firstLine="709"/>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Consejo de Estado. Sala de Consulta y Servicio Civil. Concepto de 6 de abril de 2006. Radicación Número: 11001-03-06-000-2006-00038-00</w:t>
      </w:r>
      <w:r w:rsidR="00A6659C" w:rsidRPr="0043356A">
        <w:rPr>
          <w:rFonts w:ascii="Arial" w:hAnsi="Arial" w:cs="Arial"/>
          <w:sz w:val="19"/>
          <w:szCs w:val="19"/>
        </w:rPr>
        <w:t xml:space="preserve"> </w:t>
      </w:r>
      <w:r w:rsidRPr="0043356A">
        <w:rPr>
          <w:rFonts w:ascii="Arial" w:hAnsi="Arial" w:cs="Arial"/>
          <w:sz w:val="19"/>
          <w:szCs w:val="19"/>
        </w:rPr>
        <w:t>(1738). Consejero Ponente: Enrique José Arboleda Perdomo:</w:t>
      </w:r>
      <w:r w:rsidRPr="0043356A">
        <w:rPr>
          <w:rFonts w:ascii="Arial" w:eastAsia="Times New Roman" w:hAnsi="Arial" w:cs="Arial"/>
          <w:bCs/>
          <w:sz w:val="19"/>
          <w:szCs w:val="19"/>
          <w:lang w:eastAsia="x-none"/>
        </w:rPr>
        <w:t xml:space="preserve"> «</w:t>
      </w:r>
      <w:r w:rsidRPr="0043356A">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43356A">
        <w:rPr>
          <w:rFonts w:ascii="Arial" w:eastAsia="Times New Roman" w:hAnsi="Arial" w:cs="Arial"/>
          <w:bCs/>
          <w:sz w:val="19"/>
          <w:szCs w:val="19"/>
          <w:lang w:eastAsia="x-none"/>
        </w:rPr>
        <w:t>».</w:t>
      </w:r>
    </w:p>
  </w:footnote>
  <w:footnote w:id="39">
    <w:p w14:paraId="474439B4" w14:textId="509BC9B1" w:rsidR="003C408D" w:rsidRPr="0043356A" w:rsidRDefault="003C408D" w:rsidP="00043614">
      <w:pPr>
        <w:ind w:firstLine="708"/>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005F3CBB" w:rsidRPr="0043356A">
        <w:rPr>
          <w:rFonts w:ascii="Arial" w:hAnsi="Arial" w:cs="Arial"/>
          <w:sz w:val="19"/>
          <w:szCs w:val="19"/>
        </w:rPr>
        <w:t xml:space="preserve"> </w:t>
      </w:r>
    </w:p>
  </w:footnote>
  <w:footnote w:id="40">
    <w:p w14:paraId="1F667DBE" w14:textId="77777777" w:rsidR="003C408D" w:rsidRPr="0043356A" w:rsidRDefault="003C408D" w:rsidP="00043614">
      <w:pPr>
        <w:pStyle w:val="Textonotapie"/>
        <w:ind w:right="51" w:firstLine="709"/>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Consejo de Estado. Sala de Consulta y Servicio Civil, ídem.</w:t>
      </w:r>
    </w:p>
  </w:footnote>
  <w:footnote w:id="41">
    <w:p w14:paraId="59739885" w14:textId="6BC1D04C" w:rsidR="00191742" w:rsidRPr="0043356A" w:rsidRDefault="00191742" w:rsidP="00191742">
      <w:pPr>
        <w:pStyle w:val="Textonotapie"/>
        <w:ind w:firstLine="708"/>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COLOMBIA COMP</w:t>
      </w:r>
      <w:r w:rsidR="00036DD0" w:rsidRPr="0043356A">
        <w:rPr>
          <w:rFonts w:ascii="Arial" w:hAnsi="Arial" w:cs="Arial"/>
          <w:sz w:val="19"/>
          <w:szCs w:val="19"/>
        </w:rPr>
        <w:t>R</w:t>
      </w:r>
      <w:r w:rsidRPr="0043356A">
        <w:rPr>
          <w:rFonts w:ascii="Arial" w:hAnsi="Arial" w:cs="Arial"/>
          <w:sz w:val="19"/>
          <w:szCs w:val="19"/>
        </w:rPr>
        <w:t>A EFICIENTE. Circular Externa Única. Numeral 15.5.</w:t>
      </w:r>
    </w:p>
  </w:footnote>
  <w:footnote w:id="42">
    <w:p w14:paraId="6AE62069" w14:textId="5953B489" w:rsidR="001C4D24" w:rsidRPr="0043356A" w:rsidRDefault="001C4D24" w:rsidP="00043614">
      <w:pPr>
        <w:pStyle w:val="Textonotapie"/>
        <w:ind w:firstLine="708"/>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«Artículo 3°. Funciones. La Agencia Nacional de Contratación Pública –Colombia Compra Eficiente– ejercerá las siguientes funciones: </w:t>
      </w:r>
    </w:p>
    <w:p w14:paraId="19764F76" w14:textId="77777777" w:rsidR="001C4D24" w:rsidRPr="0043356A" w:rsidRDefault="001C4D24" w:rsidP="00043614">
      <w:pPr>
        <w:pStyle w:val="Textonotapie"/>
        <w:ind w:firstLine="709"/>
        <w:jc w:val="both"/>
        <w:rPr>
          <w:rFonts w:ascii="Arial" w:hAnsi="Arial" w:cs="Arial"/>
          <w:sz w:val="19"/>
          <w:szCs w:val="19"/>
          <w:lang w:val="es-ES"/>
        </w:rPr>
      </w:pPr>
      <w:r w:rsidRPr="0043356A">
        <w:rPr>
          <w:rFonts w:ascii="Arial" w:hAnsi="Arial" w:cs="Arial"/>
          <w:sz w:val="19"/>
          <w:szCs w:val="19"/>
          <w:lang w:val="es-ES"/>
        </w:rPr>
        <w:t xml:space="preserve">»[...] </w:t>
      </w:r>
    </w:p>
    <w:p w14:paraId="420B7E6E" w14:textId="0560EE0C" w:rsidR="001C4D24" w:rsidRPr="0043356A" w:rsidRDefault="001C4D24" w:rsidP="00043614">
      <w:pPr>
        <w:pStyle w:val="Textonotapie"/>
        <w:ind w:firstLine="709"/>
        <w:jc w:val="both"/>
        <w:rPr>
          <w:rFonts w:ascii="Arial" w:hAnsi="Arial" w:cs="Arial"/>
          <w:sz w:val="19"/>
          <w:szCs w:val="19"/>
          <w:lang w:val="es-ES"/>
        </w:rPr>
      </w:pPr>
      <w:r w:rsidRPr="0043356A">
        <w:rPr>
          <w:rFonts w:ascii="Arial" w:hAnsi="Arial" w:cs="Arial"/>
          <w:sz w:val="19"/>
          <w:szCs w:val="19"/>
          <w:lang w:val="es-ES"/>
        </w:rPr>
        <w:t xml:space="preserve"> »5. Absolver consultas sobre la aplicación de normas de carácter general y expedir circulares externas en materia de compras y contratación pública».</w:t>
      </w:r>
    </w:p>
    <w:p w14:paraId="4DFE1881" w14:textId="77777777" w:rsidR="001C4D24" w:rsidRPr="0043356A" w:rsidRDefault="001C4D24" w:rsidP="00043614">
      <w:pPr>
        <w:pStyle w:val="Textonotapie"/>
        <w:ind w:firstLine="709"/>
        <w:jc w:val="both"/>
        <w:rPr>
          <w:rFonts w:ascii="Arial" w:hAnsi="Arial" w:cs="Arial"/>
          <w:sz w:val="19"/>
          <w:szCs w:val="19"/>
          <w:lang w:val="es-ES"/>
        </w:rPr>
      </w:pPr>
      <w:r w:rsidRPr="0043356A">
        <w:rPr>
          <w:rFonts w:ascii="Arial" w:eastAsia="Times New Roman" w:hAnsi="Arial" w:cs="Arial"/>
          <w:sz w:val="19"/>
          <w:szCs w:val="19"/>
          <w:lang w:val="es-CO" w:eastAsia="es-ES_tradnl"/>
        </w:rPr>
        <w:t xml:space="preserve">» </w:t>
      </w:r>
      <w:r w:rsidRPr="0043356A">
        <w:rPr>
          <w:rFonts w:ascii="Arial" w:hAnsi="Arial" w:cs="Arial"/>
          <w:sz w:val="19"/>
          <w:szCs w:val="19"/>
          <w:lang w:val="es-ES"/>
        </w:rPr>
        <w:t xml:space="preserve">Artículo 11. Subdirección de Gestión Contractual. Son funciones de la Subdirección de Gestión Contractual las siguientes: </w:t>
      </w:r>
    </w:p>
    <w:p w14:paraId="27FEDED6" w14:textId="77777777" w:rsidR="001C4D24" w:rsidRPr="0043356A" w:rsidRDefault="001C4D24" w:rsidP="00043614">
      <w:pPr>
        <w:pStyle w:val="Textonotapie"/>
        <w:ind w:firstLine="709"/>
        <w:jc w:val="both"/>
        <w:rPr>
          <w:rFonts w:ascii="Arial" w:hAnsi="Arial" w:cs="Arial"/>
          <w:sz w:val="19"/>
          <w:szCs w:val="19"/>
          <w:lang w:val="es-ES"/>
        </w:rPr>
      </w:pPr>
      <w:r w:rsidRPr="0043356A">
        <w:rPr>
          <w:rFonts w:ascii="Arial" w:hAnsi="Arial" w:cs="Arial"/>
          <w:sz w:val="19"/>
          <w:szCs w:val="19"/>
          <w:lang w:val="es-ES"/>
        </w:rPr>
        <w:t xml:space="preserve">»[...] </w:t>
      </w:r>
    </w:p>
    <w:p w14:paraId="77B786A3" w14:textId="77777777" w:rsidR="001C4D24" w:rsidRPr="0043356A" w:rsidRDefault="001C4D24" w:rsidP="00043614">
      <w:pPr>
        <w:pStyle w:val="Textonotapie"/>
        <w:ind w:firstLine="709"/>
        <w:jc w:val="both"/>
        <w:rPr>
          <w:rFonts w:ascii="Arial" w:hAnsi="Arial" w:cs="Arial"/>
          <w:sz w:val="19"/>
          <w:szCs w:val="19"/>
          <w:lang w:val="es-ES"/>
        </w:rPr>
      </w:pPr>
      <w:r w:rsidRPr="0043356A">
        <w:rPr>
          <w:rFonts w:ascii="Arial" w:eastAsia="Times New Roman" w:hAnsi="Arial" w:cs="Arial"/>
          <w:sz w:val="19"/>
          <w:szCs w:val="19"/>
          <w:lang w:val="es-CO" w:eastAsia="es-ES_tradnl"/>
        </w:rPr>
        <w:t>»</w:t>
      </w:r>
      <w:r w:rsidRPr="0043356A">
        <w:rPr>
          <w:rFonts w:ascii="Arial" w:hAnsi="Arial" w:cs="Arial"/>
          <w:sz w:val="19"/>
          <w:szCs w:val="19"/>
          <w:lang w:val="es-ES"/>
        </w:rPr>
        <w:t xml:space="preserve">8. Absolver consultas sobre la aplicación de normas de carácter general». </w:t>
      </w:r>
    </w:p>
  </w:footnote>
  <w:footnote w:id="43">
    <w:p w14:paraId="25841EF8" w14:textId="7298EE57" w:rsidR="00E2713B" w:rsidRPr="0043356A" w:rsidRDefault="00E2713B" w:rsidP="00E2713B">
      <w:pPr>
        <w:pStyle w:val="Textonotapie"/>
        <w:ind w:firstLine="708"/>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COLOMBIA COMP</w:t>
      </w:r>
      <w:r w:rsidR="00061C5D" w:rsidRPr="0043356A">
        <w:rPr>
          <w:rFonts w:ascii="Arial" w:hAnsi="Arial" w:cs="Arial"/>
          <w:sz w:val="19"/>
          <w:szCs w:val="19"/>
        </w:rPr>
        <w:t>R</w:t>
      </w:r>
      <w:r w:rsidRPr="0043356A">
        <w:rPr>
          <w:rFonts w:ascii="Arial" w:hAnsi="Arial" w:cs="Arial"/>
          <w:sz w:val="19"/>
          <w:szCs w:val="19"/>
        </w:rPr>
        <w:t>A EFICIENTE. Circular Externa Única. Numeral 15.5.</w:t>
      </w:r>
    </w:p>
  </w:footnote>
  <w:footnote w:id="44">
    <w:p w14:paraId="1E2F226F" w14:textId="77777777" w:rsidR="00E2713B" w:rsidRPr="0043356A" w:rsidRDefault="00E2713B" w:rsidP="00E2713B">
      <w:pPr>
        <w:pStyle w:val="Textonotapie"/>
        <w:ind w:firstLine="708"/>
        <w:jc w:val="both"/>
        <w:rPr>
          <w:rFonts w:ascii="Arial" w:hAnsi="Arial" w:cs="Arial"/>
          <w:sz w:val="19"/>
          <w:szCs w:val="19"/>
        </w:rPr>
      </w:pPr>
      <w:r w:rsidRPr="0043356A">
        <w:rPr>
          <w:rStyle w:val="Refdenotaalpie"/>
          <w:rFonts w:ascii="Arial" w:hAnsi="Arial" w:cs="Arial"/>
          <w:sz w:val="19"/>
          <w:szCs w:val="19"/>
        </w:rPr>
        <w:footnoteRef/>
      </w:r>
      <w:r w:rsidRPr="0043356A">
        <w:rPr>
          <w:rFonts w:ascii="Arial" w:hAnsi="Arial" w:cs="Arial"/>
          <w:sz w:val="19"/>
          <w:szCs w:val="19"/>
        </w:rPr>
        <w:t xml:space="preserve"> «Artículo 3°. Funciones. La Agencia Nacional de Contratación Pública –Colombia Compra Eficiente– ejercerá las siguientes funciones: </w:t>
      </w:r>
    </w:p>
    <w:p w14:paraId="1148B31A" w14:textId="77777777" w:rsidR="00E2713B" w:rsidRPr="0043356A" w:rsidRDefault="00E2713B" w:rsidP="00E2713B">
      <w:pPr>
        <w:pStyle w:val="Textonotapie"/>
        <w:ind w:firstLine="709"/>
        <w:jc w:val="both"/>
        <w:rPr>
          <w:rFonts w:ascii="Arial" w:hAnsi="Arial" w:cs="Arial"/>
          <w:sz w:val="19"/>
          <w:szCs w:val="19"/>
          <w:lang w:val="es-ES"/>
        </w:rPr>
      </w:pPr>
      <w:r w:rsidRPr="0043356A">
        <w:rPr>
          <w:rFonts w:ascii="Arial" w:hAnsi="Arial" w:cs="Arial"/>
          <w:sz w:val="19"/>
          <w:szCs w:val="19"/>
          <w:lang w:val="es-ES"/>
        </w:rPr>
        <w:t xml:space="preserve">»[...] </w:t>
      </w:r>
    </w:p>
    <w:p w14:paraId="2D0B9775" w14:textId="77777777" w:rsidR="00E2713B" w:rsidRPr="0043356A" w:rsidRDefault="00E2713B" w:rsidP="00E2713B">
      <w:pPr>
        <w:pStyle w:val="Textonotapie"/>
        <w:ind w:firstLine="709"/>
        <w:jc w:val="both"/>
        <w:rPr>
          <w:rFonts w:ascii="Arial" w:hAnsi="Arial" w:cs="Arial"/>
          <w:sz w:val="19"/>
          <w:szCs w:val="19"/>
          <w:lang w:val="es-ES"/>
        </w:rPr>
      </w:pPr>
      <w:r w:rsidRPr="0043356A">
        <w:rPr>
          <w:rFonts w:ascii="Arial" w:hAnsi="Arial" w:cs="Arial"/>
          <w:sz w:val="19"/>
          <w:szCs w:val="19"/>
          <w:lang w:val="es-ES"/>
        </w:rPr>
        <w:t xml:space="preserve"> »5. Absolver consultas sobre la aplicación de normas de carácter general y expedir circulares externas en materia de compras y contratación pública».</w:t>
      </w:r>
    </w:p>
    <w:p w14:paraId="30BE2105" w14:textId="77777777" w:rsidR="00E2713B" w:rsidRPr="0043356A" w:rsidRDefault="00E2713B" w:rsidP="00E2713B">
      <w:pPr>
        <w:pStyle w:val="Textonotapie"/>
        <w:ind w:firstLine="709"/>
        <w:jc w:val="both"/>
        <w:rPr>
          <w:rFonts w:ascii="Arial" w:hAnsi="Arial" w:cs="Arial"/>
          <w:sz w:val="19"/>
          <w:szCs w:val="19"/>
          <w:lang w:val="es-ES"/>
        </w:rPr>
      </w:pPr>
      <w:r w:rsidRPr="0043356A">
        <w:rPr>
          <w:rFonts w:ascii="Arial" w:eastAsia="Times New Roman" w:hAnsi="Arial" w:cs="Arial"/>
          <w:sz w:val="19"/>
          <w:szCs w:val="19"/>
          <w:lang w:val="es-CO" w:eastAsia="es-ES_tradnl"/>
        </w:rPr>
        <w:t xml:space="preserve">» </w:t>
      </w:r>
      <w:r w:rsidRPr="0043356A">
        <w:rPr>
          <w:rFonts w:ascii="Arial" w:hAnsi="Arial" w:cs="Arial"/>
          <w:sz w:val="19"/>
          <w:szCs w:val="19"/>
          <w:lang w:val="es-ES"/>
        </w:rPr>
        <w:t xml:space="preserve">Artículo 11. Subdirección de Gestión Contractual. Son funciones de la Subdirección de Gestión Contractual las siguientes: </w:t>
      </w:r>
    </w:p>
    <w:p w14:paraId="09059B88" w14:textId="77777777" w:rsidR="00E2713B" w:rsidRPr="0043356A" w:rsidRDefault="00E2713B" w:rsidP="00E2713B">
      <w:pPr>
        <w:pStyle w:val="Textonotapie"/>
        <w:ind w:firstLine="709"/>
        <w:jc w:val="both"/>
        <w:rPr>
          <w:rFonts w:ascii="Arial" w:hAnsi="Arial" w:cs="Arial"/>
          <w:sz w:val="19"/>
          <w:szCs w:val="19"/>
          <w:lang w:val="es-ES"/>
        </w:rPr>
      </w:pPr>
      <w:r w:rsidRPr="0043356A">
        <w:rPr>
          <w:rFonts w:ascii="Arial" w:hAnsi="Arial" w:cs="Arial"/>
          <w:sz w:val="19"/>
          <w:szCs w:val="19"/>
          <w:lang w:val="es-ES"/>
        </w:rPr>
        <w:t xml:space="preserve">»[...] </w:t>
      </w:r>
    </w:p>
    <w:p w14:paraId="372C544C" w14:textId="77777777" w:rsidR="00E2713B" w:rsidRPr="00F71474" w:rsidRDefault="00E2713B" w:rsidP="00E2713B">
      <w:pPr>
        <w:pStyle w:val="Textonotapie"/>
        <w:ind w:firstLine="709"/>
        <w:jc w:val="both"/>
        <w:rPr>
          <w:rFonts w:ascii="Arial" w:hAnsi="Arial" w:cs="Arial"/>
          <w:sz w:val="19"/>
          <w:szCs w:val="19"/>
          <w:lang w:val="es-ES"/>
        </w:rPr>
      </w:pPr>
      <w:r w:rsidRPr="0043356A">
        <w:rPr>
          <w:rFonts w:ascii="Arial" w:eastAsia="Times New Roman" w:hAnsi="Arial" w:cs="Arial"/>
          <w:sz w:val="19"/>
          <w:szCs w:val="19"/>
          <w:lang w:val="es-CO" w:eastAsia="es-ES_tradnl"/>
        </w:rPr>
        <w:t>»</w:t>
      </w:r>
      <w:r w:rsidRPr="0043356A">
        <w:rPr>
          <w:rFonts w:ascii="Arial" w:hAnsi="Arial" w:cs="Arial"/>
          <w:sz w:val="19"/>
          <w:szCs w:val="19"/>
          <w:lang w:val="es-ES"/>
        </w:rPr>
        <w:t xml:space="preserve">8. Absolver consultas sobre la aplicación de normas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807B5" w:rsidRDefault="00E807B5">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383141573">
    <w:abstractNumId w:val="10"/>
  </w:num>
  <w:num w:numId="2" w16cid:durableId="1730693303">
    <w:abstractNumId w:val="8"/>
  </w:num>
  <w:num w:numId="3" w16cid:durableId="881599417">
    <w:abstractNumId w:val="14"/>
  </w:num>
  <w:num w:numId="4" w16cid:durableId="1827435881">
    <w:abstractNumId w:val="18"/>
  </w:num>
  <w:num w:numId="5" w16cid:durableId="772241274">
    <w:abstractNumId w:val="22"/>
  </w:num>
  <w:num w:numId="6" w16cid:durableId="78441978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528051">
    <w:abstractNumId w:val="20"/>
  </w:num>
  <w:num w:numId="8" w16cid:durableId="472404289">
    <w:abstractNumId w:val="0"/>
  </w:num>
  <w:num w:numId="9" w16cid:durableId="2093773231">
    <w:abstractNumId w:val="4"/>
  </w:num>
  <w:num w:numId="10" w16cid:durableId="645933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6941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2030325">
    <w:abstractNumId w:val="9"/>
  </w:num>
  <w:num w:numId="13" w16cid:durableId="1505439825">
    <w:abstractNumId w:val="12"/>
  </w:num>
  <w:num w:numId="14" w16cid:durableId="225846642">
    <w:abstractNumId w:val="7"/>
  </w:num>
  <w:num w:numId="15" w16cid:durableId="210426199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016551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6117155">
    <w:abstractNumId w:val="24"/>
  </w:num>
  <w:num w:numId="18" w16cid:durableId="1818572414">
    <w:abstractNumId w:val="15"/>
  </w:num>
  <w:num w:numId="19" w16cid:durableId="2072002305">
    <w:abstractNumId w:val="2"/>
  </w:num>
  <w:num w:numId="20" w16cid:durableId="1007754166">
    <w:abstractNumId w:val="25"/>
  </w:num>
  <w:num w:numId="21" w16cid:durableId="1440753762">
    <w:abstractNumId w:val="17"/>
  </w:num>
  <w:num w:numId="22" w16cid:durableId="62534849">
    <w:abstractNumId w:val="6"/>
  </w:num>
  <w:num w:numId="23" w16cid:durableId="1319117640">
    <w:abstractNumId w:val="5"/>
  </w:num>
  <w:num w:numId="24" w16cid:durableId="524833700">
    <w:abstractNumId w:val="23"/>
  </w:num>
  <w:num w:numId="25" w16cid:durableId="1376659651">
    <w:abstractNumId w:val="19"/>
  </w:num>
  <w:num w:numId="26" w16cid:durableId="946502419">
    <w:abstractNumId w:val="3"/>
  </w:num>
  <w:num w:numId="27" w16cid:durableId="1199516101">
    <w:abstractNumId w:val="16"/>
  </w:num>
  <w:num w:numId="28" w16cid:durableId="1243476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5381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A1F"/>
    <w:rsid w:val="00010C40"/>
    <w:rsid w:val="00011215"/>
    <w:rsid w:val="000112B4"/>
    <w:rsid w:val="00011DCC"/>
    <w:rsid w:val="00012532"/>
    <w:rsid w:val="00012B9E"/>
    <w:rsid w:val="00012F37"/>
    <w:rsid w:val="00012FBA"/>
    <w:rsid w:val="0001316F"/>
    <w:rsid w:val="00013C6B"/>
    <w:rsid w:val="0001406B"/>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A49"/>
    <w:rsid w:val="00020F8F"/>
    <w:rsid w:val="00021A95"/>
    <w:rsid w:val="0002256F"/>
    <w:rsid w:val="00023DAE"/>
    <w:rsid w:val="00024855"/>
    <w:rsid w:val="00024896"/>
    <w:rsid w:val="000254DD"/>
    <w:rsid w:val="00025D0A"/>
    <w:rsid w:val="000263F0"/>
    <w:rsid w:val="00026407"/>
    <w:rsid w:val="00026608"/>
    <w:rsid w:val="0002767E"/>
    <w:rsid w:val="00027787"/>
    <w:rsid w:val="000278D2"/>
    <w:rsid w:val="0002797C"/>
    <w:rsid w:val="00031364"/>
    <w:rsid w:val="000315E1"/>
    <w:rsid w:val="0003236E"/>
    <w:rsid w:val="00032FEB"/>
    <w:rsid w:val="0003339A"/>
    <w:rsid w:val="000341F2"/>
    <w:rsid w:val="00035046"/>
    <w:rsid w:val="000351F2"/>
    <w:rsid w:val="000368A6"/>
    <w:rsid w:val="00036DD0"/>
    <w:rsid w:val="00036E03"/>
    <w:rsid w:val="00037AD5"/>
    <w:rsid w:val="000406DB"/>
    <w:rsid w:val="00040838"/>
    <w:rsid w:val="0004094D"/>
    <w:rsid w:val="00041029"/>
    <w:rsid w:val="00041357"/>
    <w:rsid w:val="0004149B"/>
    <w:rsid w:val="00041FC6"/>
    <w:rsid w:val="00042961"/>
    <w:rsid w:val="00042C25"/>
    <w:rsid w:val="00042D03"/>
    <w:rsid w:val="00043086"/>
    <w:rsid w:val="000430A0"/>
    <w:rsid w:val="00043614"/>
    <w:rsid w:val="00043D3B"/>
    <w:rsid w:val="0004418C"/>
    <w:rsid w:val="00044204"/>
    <w:rsid w:val="000449D4"/>
    <w:rsid w:val="00045BF5"/>
    <w:rsid w:val="000463B5"/>
    <w:rsid w:val="00046717"/>
    <w:rsid w:val="00046A63"/>
    <w:rsid w:val="00046C09"/>
    <w:rsid w:val="0004716A"/>
    <w:rsid w:val="00047385"/>
    <w:rsid w:val="000473E8"/>
    <w:rsid w:val="000504DE"/>
    <w:rsid w:val="00050F9F"/>
    <w:rsid w:val="00051074"/>
    <w:rsid w:val="00051302"/>
    <w:rsid w:val="00051DC3"/>
    <w:rsid w:val="000526F0"/>
    <w:rsid w:val="0005273D"/>
    <w:rsid w:val="00052B79"/>
    <w:rsid w:val="00052E4B"/>
    <w:rsid w:val="00052EA0"/>
    <w:rsid w:val="000536A7"/>
    <w:rsid w:val="000536E3"/>
    <w:rsid w:val="00053896"/>
    <w:rsid w:val="00053A00"/>
    <w:rsid w:val="00053BD4"/>
    <w:rsid w:val="0005474D"/>
    <w:rsid w:val="00054D74"/>
    <w:rsid w:val="00055612"/>
    <w:rsid w:val="00055CB9"/>
    <w:rsid w:val="0005602F"/>
    <w:rsid w:val="00056565"/>
    <w:rsid w:val="00056F66"/>
    <w:rsid w:val="0005702F"/>
    <w:rsid w:val="00057930"/>
    <w:rsid w:val="00057DF1"/>
    <w:rsid w:val="000606AC"/>
    <w:rsid w:val="00061010"/>
    <w:rsid w:val="00061470"/>
    <w:rsid w:val="00061C5D"/>
    <w:rsid w:val="00061D06"/>
    <w:rsid w:val="00062BDF"/>
    <w:rsid w:val="00062CDD"/>
    <w:rsid w:val="00063AD6"/>
    <w:rsid w:val="00063F0C"/>
    <w:rsid w:val="000640AF"/>
    <w:rsid w:val="00064940"/>
    <w:rsid w:val="00064CAE"/>
    <w:rsid w:val="00064D2E"/>
    <w:rsid w:val="00064DB7"/>
    <w:rsid w:val="00064FA7"/>
    <w:rsid w:val="00065195"/>
    <w:rsid w:val="0006536C"/>
    <w:rsid w:val="00065D20"/>
    <w:rsid w:val="0006626E"/>
    <w:rsid w:val="00066FA4"/>
    <w:rsid w:val="000701A0"/>
    <w:rsid w:val="00070AF1"/>
    <w:rsid w:val="000714DE"/>
    <w:rsid w:val="000720D0"/>
    <w:rsid w:val="0007254F"/>
    <w:rsid w:val="00072878"/>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0CCA"/>
    <w:rsid w:val="000811ED"/>
    <w:rsid w:val="0008139C"/>
    <w:rsid w:val="00081D62"/>
    <w:rsid w:val="000827E6"/>
    <w:rsid w:val="00082B74"/>
    <w:rsid w:val="00083099"/>
    <w:rsid w:val="00083EDC"/>
    <w:rsid w:val="0008457F"/>
    <w:rsid w:val="00084B97"/>
    <w:rsid w:val="00084BD2"/>
    <w:rsid w:val="0008510E"/>
    <w:rsid w:val="000856DE"/>
    <w:rsid w:val="00085F17"/>
    <w:rsid w:val="00085FB0"/>
    <w:rsid w:val="00085FB3"/>
    <w:rsid w:val="0008686B"/>
    <w:rsid w:val="00086B2A"/>
    <w:rsid w:val="00086C11"/>
    <w:rsid w:val="00086ED2"/>
    <w:rsid w:val="0009044C"/>
    <w:rsid w:val="000914D6"/>
    <w:rsid w:val="00091569"/>
    <w:rsid w:val="00092057"/>
    <w:rsid w:val="00092CDB"/>
    <w:rsid w:val="00092DCA"/>
    <w:rsid w:val="0009331B"/>
    <w:rsid w:val="000936F7"/>
    <w:rsid w:val="00093CA0"/>
    <w:rsid w:val="00093ECD"/>
    <w:rsid w:val="000942EB"/>
    <w:rsid w:val="000954FA"/>
    <w:rsid w:val="00095607"/>
    <w:rsid w:val="00095B70"/>
    <w:rsid w:val="00095E38"/>
    <w:rsid w:val="0009617E"/>
    <w:rsid w:val="0009628D"/>
    <w:rsid w:val="0009670F"/>
    <w:rsid w:val="00097022"/>
    <w:rsid w:val="000979CF"/>
    <w:rsid w:val="000979FC"/>
    <w:rsid w:val="000A03C8"/>
    <w:rsid w:val="000A05F2"/>
    <w:rsid w:val="000A06C4"/>
    <w:rsid w:val="000A0861"/>
    <w:rsid w:val="000A0A18"/>
    <w:rsid w:val="000A0EC4"/>
    <w:rsid w:val="000A0ED1"/>
    <w:rsid w:val="000A1258"/>
    <w:rsid w:val="000A12DB"/>
    <w:rsid w:val="000A1417"/>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F97"/>
    <w:rsid w:val="000A600A"/>
    <w:rsid w:val="000A648E"/>
    <w:rsid w:val="000A73BB"/>
    <w:rsid w:val="000A73E8"/>
    <w:rsid w:val="000A7C27"/>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5FB"/>
    <w:rsid w:val="000E7E0B"/>
    <w:rsid w:val="000F0136"/>
    <w:rsid w:val="000F0367"/>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A86"/>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40D"/>
    <w:rsid w:val="001378B9"/>
    <w:rsid w:val="00137E75"/>
    <w:rsid w:val="00137FFA"/>
    <w:rsid w:val="00140109"/>
    <w:rsid w:val="0014029B"/>
    <w:rsid w:val="00140464"/>
    <w:rsid w:val="00140A4F"/>
    <w:rsid w:val="001413AB"/>
    <w:rsid w:val="00141DBF"/>
    <w:rsid w:val="00142E96"/>
    <w:rsid w:val="00142EFD"/>
    <w:rsid w:val="00143AD6"/>
    <w:rsid w:val="00144335"/>
    <w:rsid w:val="0014502F"/>
    <w:rsid w:val="00145282"/>
    <w:rsid w:val="001453B0"/>
    <w:rsid w:val="001454D9"/>
    <w:rsid w:val="0014553F"/>
    <w:rsid w:val="001459D2"/>
    <w:rsid w:val="00145D8E"/>
    <w:rsid w:val="00146083"/>
    <w:rsid w:val="001462F7"/>
    <w:rsid w:val="00146312"/>
    <w:rsid w:val="00146418"/>
    <w:rsid w:val="00146B0E"/>
    <w:rsid w:val="00146D4D"/>
    <w:rsid w:val="001471AB"/>
    <w:rsid w:val="001474D7"/>
    <w:rsid w:val="00147F35"/>
    <w:rsid w:val="00150005"/>
    <w:rsid w:val="001500B0"/>
    <w:rsid w:val="00151AEB"/>
    <w:rsid w:val="00151B99"/>
    <w:rsid w:val="001521B2"/>
    <w:rsid w:val="00152EDD"/>
    <w:rsid w:val="00153491"/>
    <w:rsid w:val="0015361C"/>
    <w:rsid w:val="00153656"/>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1C5"/>
    <w:rsid w:val="00162552"/>
    <w:rsid w:val="00163786"/>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3FB5"/>
    <w:rsid w:val="001742BF"/>
    <w:rsid w:val="001742E1"/>
    <w:rsid w:val="00175E49"/>
    <w:rsid w:val="0017649F"/>
    <w:rsid w:val="0017655B"/>
    <w:rsid w:val="001805C1"/>
    <w:rsid w:val="00180A2E"/>
    <w:rsid w:val="001813AF"/>
    <w:rsid w:val="001817E9"/>
    <w:rsid w:val="001829CD"/>
    <w:rsid w:val="00182F01"/>
    <w:rsid w:val="001833C2"/>
    <w:rsid w:val="001841E2"/>
    <w:rsid w:val="00184219"/>
    <w:rsid w:val="00184F27"/>
    <w:rsid w:val="0018519B"/>
    <w:rsid w:val="00185966"/>
    <w:rsid w:val="00185A2D"/>
    <w:rsid w:val="00185AFE"/>
    <w:rsid w:val="00185E78"/>
    <w:rsid w:val="00185F7F"/>
    <w:rsid w:val="00186562"/>
    <w:rsid w:val="00186AF3"/>
    <w:rsid w:val="001870F4"/>
    <w:rsid w:val="00187177"/>
    <w:rsid w:val="00187ABD"/>
    <w:rsid w:val="001904E3"/>
    <w:rsid w:val="0019087A"/>
    <w:rsid w:val="001915F1"/>
    <w:rsid w:val="00191742"/>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A0236"/>
    <w:rsid w:val="001A0915"/>
    <w:rsid w:val="001A0929"/>
    <w:rsid w:val="001A0959"/>
    <w:rsid w:val="001A0AF8"/>
    <w:rsid w:val="001A147D"/>
    <w:rsid w:val="001A1490"/>
    <w:rsid w:val="001A18D5"/>
    <w:rsid w:val="001A1A38"/>
    <w:rsid w:val="001A1BE0"/>
    <w:rsid w:val="001A1D4A"/>
    <w:rsid w:val="001A25D3"/>
    <w:rsid w:val="001A3011"/>
    <w:rsid w:val="001A3284"/>
    <w:rsid w:val="001A4A9B"/>
    <w:rsid w:val="001A4DAF"/>
    <w:rsid w:val="001A54CD"/>
    <w:rsid w:val="001A66DF"/>
    <w:rsid w:val="001A67D0"/>
    <w:rsid w:val="001A6863"/>
    <w:rsid w:val="001A7591"/>
    <w:rsid w:val="001A75B1"/>
    <w:rsid w:val="001A7B06"/>
    <w:rsid w:val="001A7C04"/>
    <w:rsid w:val="001B0366"/>
    <w:rsid w:val="001B0444"/>
    <w:rsid w:val="001B096B"/>
    <w:rsid w:val="001B0F9F"/>
    <w:rsid w:val="001B123C"/>
    <w:rsid w:val="001B19D8"/>
    <w:rsid w:val="001B1A0D"/>
    <w:rsid w:val="001B1BF1"/>
    <w:rsid w:val="001B2456"/>
    <w:rsid w:val="001B449C"/>
    <w:rsid w:val="001B4AA2"/>
    <w:rsid w:val="001B4ADE"/>
    <w:rsid w:val="001B5530"/>
    <w:rsid w:val="001B5EF8"/>
    <w:rsid w:val="001B5F4C"/>
    <w:rsid w:val="001B67DD"/>
    <w:rsid w:val="001B71E8"/>
    <w:rsid w:val="001C07C6"/>
    <w:rsid w:val="001C15C9"/>
    <w:rsid w:val="001C19CD"/>
    <w:rsid w:val="001C22D5"/>
    <w:rsid w:val="001C2515"/>
    <w:rsid w:val="001C26FB"/>
    <w:rsid w:val="001C2D24"/>
    <w:rsid w:val="001C33C1"/>
    <w:rsid w:val="001C3801"/>
    <w:rsid w:val="001C3E30"/>
    <w:rsid w:val="001C3E5C"/>
    <w:rsid w:val="001C4D24"/>
    <w:rsid w:val="001C5072"/>
    <w:rsid w:val="001C5B2A"/>
    <w:rsid w:val="001C600B"/>
    <w:rsid w:val="001C6476"/>
    <w:rsid w:val="001C6898"/>
    <w:rsid w:val="001C6DD8"/>
    <w:rsid w:val="001C7C7B"/>
    <w:rsid w:val="001D068D"/>
    <w:rsid w:val="001D12D1"/>
    <w:rsid w:val="001D15DF"/>
    <w:rsid w:val="001D2EEE"/>
    <w:rsid w:val="001D30F3"/>
    <w:rsid w:val="001D31A0"/>
    <w:rsid w:val="001D338E"/>
    <w:rsid w:val="001D4238"/>
    <w:rsid w:val="001D56E9"/>
    <w:rsid w:val="001D6006"/>
    <w:rsid w:val="001D65AC"/>
    <w:rsid w:val="001D716B"/>
    <w:rsid w:val="001D796A"/>
    <w:rsid w:val="001D7A84"/>
    <w:rsid w:val="001D7C79"/>
    <w:rsid w:val="001E003B"/>
    <w:rsid w:val="001E1CC4"/>
    <w:rsid w:val="001E1D38"/>
    <w:rsid w:val="001E223E"/>
    <w:rsid w:val="001E28A0"/>
    <w:rsid w:val="001E320D"/>
    <w:rsid w:val="001E3FFE"/>
    <w:rsid w:val="001E4258"/>
    <w:rsid w:val="001E5140"/>
    <w:rsid w:val="001E53F1"/>
    <w:rsid w:val="001E5D6A"/>
    <w:rsid w:val="001E600E"/>
    <w:rsid w:val="001E6A94"/>
    <w:rsid w:val="001E70FB"/>
    <w:rsid w:val="001E780A"/>
    <w:rsid w:val="001E7DEA"/>
    <w:rsid w:val="001F08BB"/>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395"/>
    <w:rsid w:val="002037AA"/>
    <w:rsid w:val="00203FE3"/>
    <w:rsid w:val="002042D8"/>
    <w:rsid w:val="00204515"/>
    <w:rsid w:val="00204660"/>
    <w:rsid w:val="00204BF5"/>
    <w:rsid w:val="00204E6B"/>
    <w:rsid w:val="002053EF"/>
    <w:rsid w:val="002058D4"/>
    <w:rsid w:val="0020632A"/>
    <w:rsid w:val="0020697F"/>
    <w:rsid w:val="00207262"/>
    <w:rsid w:val="0020726E"/>
    <w:rsid w:val="00207F7B"/>
    <w:rsid w:val="00210656"/>
    <w:rsid w:val="002110EB"/>
    <w:rsid w:val="00211338"/>
    <w:rsid w:val="00211388"/>
    <w:rsid w:val="0021148C"/>
    <w:rsid w:val="00211694"/>
    <w:rsid w:val="0021201A"/>
    <w:rsid w:val="002138FE"/>
    <w:rsid w:val="00213954"/>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6"/>
    <w:rsid w:val="0023146B"/>
    <w:rsid w:val="002315A0"/>
    <w:rsid w:val="00231748"/>
    <w:rsid w:val="00231E5D"/>
    <w:rsid w:val="00231EC7"/>
    <w:rsid w:val="002320F9"/>
    <w:rsid w:val="00232E15"/>
    <w:rsid w:val="00233079"/>
    <w:rsid w:val="0023382C"/>
    <w:rsid w:val="00233977"/>
    <w:rsid w:val="00233C58"/>
    <w:rsid w:val="00233C71"/>
    <w:rsid w:val="00234292"/>
    <w:rsid w:val="002345B6"/>
    <w:rsid w:val="002347A6"/>
    <w:rsid w:val="00234B84"/>
    <w:rsid w:val="00236016"/>
    <w:rsid w:val="00236E1A"/>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1F82"/>
    <w:rsid w:val="00252492"/>
    <w:rsid w:val="00252B35"/>
    <w:rsid w:val="00253070"/>
    <w:rsid w:val="0025316D"/>
    <w:rsid w:val="00253A02"/>
    <w:rsid w:val="00253B81"/>
    <w:rsid w:val="002540D8"/>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0BF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DB6"/>
    <w:rsid w:val="0026723A"/>
    <w:rsid w:val="002679AB"/>
    <w:rsid w:val="002711A4"/>
    <w:rsid w:val="00271230"/>
    <w:rsid w:val="00271F13"/>
    <w:rsid w:val="002725C3"/>
    <w:rsid w:val="00272945"/>
    <w:rsid w:val="0027482E"/>
    <w:rsid w:val="00274DB5"/>
    <w:rsid w:val="00275BB1"/>
    <w:rsid w:val="0027628D"/>
    <w:rsid w:val="00276A51"/>
    <w:rsid w:val="0027770B"/>
    <w:rsid w:val="00277933"/>
    <w:rsid w:val="00277F8D"/>
    <w:rsid w:val="00277FA7"/>
    <w:rsid w:val="00280046"/>
    <w:rsid w:val="0028008D"/>
    <w:rsid w:val="00280B4F"/>
    <w:rsid w:val="00280F3D"/>
    <w:rsid w:val="0028106A"/>
    <w:rsid w:val="002815C0"/>
    <w:rsid w:val="00281EB4"/>
    <w:rsid w:val="00282D16"/>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9EB"/>
    <w:rsid w:val="00287BDB"/>
    <w:rsid w:val="0029031D"/>
    <w:rsid w:val="00290781"/>
    <w:rsid w:val="00290798"/>
    <w:rsid w:val="00291454"/>
    <w:rsid w:val="00291470"/>
    <w:rsid w:val="00291784"/>
    <w:rsid w:val="00291CF4"/>
    <w:rsid w:val="002920DF"/>
    <w:rsid w:val="002929BB"/>
    <w:rsid w:val="00294238"/>
    <w:rsid w:val="0029434D"/>
    <w:rsid w:val="00294368"/>
    <w:rsid w:val="00294B78"/>
    <w:rsid w:val="00295416"/>
    <w:rsid w:val="002956FB"/>
    <w:rsid w:val="00295949"/>
    <w:rsid w:val="00295D7C"/>
    <w:rsid w:val="0029624A"/>
    <w:rsid w:val="00296922"/>
    <w:rsid w:val="00297098"/>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1AD"/>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330B"/>
    <w:rsid w:val="002B39BE"/>
    <w:rsid w:val="002B3F99"/>
    <w:rsid w:val="002B438C"/>
    <w:rsid w:val="002B48DB"/>
    <w:rsid w:val="002B4B34"/>
    <w:rsid w:val="002B541A"/>
    <w:rsid w:val="002B575D"/>
    <w:rsid w:val="002B5A82"/>
    <w:rsid w:val="002B5EAB"/>
    <w:rsid w:val="002B5F2E"/>
    <w:rsid w:val="002B6407"/>
    <w:rsid w:val="002B6416"/>
    <w:rsid w:val="002B6459"/>
    <w:rsid w:val="002B7014"/>
    <w:rsid w:val="002B73B0"/>
    <w:rsid w:val="002B7C2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C7102"/>
    <w:rsid w:val="002D0845"/>
    <w:rsid w:val="002D0933"/>
    <w:rsid w:val="002D18C5"/>
    <w:rsid w:val="002D19BB"/>
    <w:rsid w:val="002D1A9B"/>
    <w:rsid w:val="002D1ABF"/>
    <w:rsid w:val="002D20F8"/>
    <w:rsid w:val="002D22BD"/>
    <w:rsid w:val="002D22C5"/>
    <w:rsid w:val="002D233E"/>
    <w:rsid w:val="002D283F"/>
    <w:rsid w:val="002D302A"/>
    <w:rsid w:val="002D36C6"/>
    <w:rsid w:val="002D37C1"/>
    <w:rsid w:val="002D444B"/>
    <w:rsid w:val="002D46B4"/>
    <w:rsid w:val="002D4A45"/>
    <w:rsid w:val="002D4B42"/>
    <w:rsid w:val="002D4B43"/>
    <w:rsid w:val="002D4BC1"/>
    <w:rsid w:val="002D5A1B"/>
    <w:rsid w:val="002D5A1F"/>
    <w:rsid w:val="002D64CE"/>
    <w:rsid w:val="002D65BC"/>
    <w:rsid w:val="002D6BBD"/>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37"/>
    <w:rsid w:val="00321FA3"/>
    <w:rsid w:val="00322342"/>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4C39"/>
    <w:rsid w:val="00335B15"/>
    <w:rsid w:val="00335B21"/>
    <w:rsid w:val="00335D3F"/>
    <w:rsid w:val="00336104"/>
    <w:rsid w:val="00336729"/>
    <w:rsid w:val="003368D6"/>
    <w:rsid w:val="00336CD9"/>
    <w:rsid w:val="0033726D"/>
    <w:rsid w:val="00337CA8"/>
    <w:rsid w:val="00340D3F"/>
    <w:rsid w:val="0034174B"/>
    <w:rsid w:val="0034177C"/>
    <w:rsid w:val="003420E9"/>
    <w:rsid w:val="00342345"/>
    <w:rsid w:val="00342C27"/>
    <w:rsid w:val="003430C8"/>
    <w:rsid w:val="003432C8"/>
    <w:rsid w:val="003434B3"/>
    <w:rsid w:val="00343536"/>
    <w:rsid w:val="0034399A"/>
    <w:rsid w:val="00343EFB"/>
    <w:rsid w:val="00344760"/>
    <w:rsid w:val="003454E8"/>
    <w:rsid w:val="00345574"/>
    <w:rsid w:val="0034680A"/>
    <w:rsid w:val="00346C62"/>
    <w:rsid w:val="00347202"/>
    <w:rsid w:val="0034778E"/>
    <w:rsid w:val="00347A5A"/>
    <w:rsid w:val="003501E2"/>
    <w:rsid w:val="00351716"/>
    <w:rsid w:val="00351E10"/>
    <w:rsid w:val="0035213C"/>
    <w:rsid w:val="00353081"/>
    <w:rsid w:val="003533F4"/>
    <w:rsid w:val="003536F6"/>
    <w:rsid w:val="00353DD5"/>
    <w:rsid w:val="0035463F"/>
    <w:rsid w:val="00355131"/>
    <w:rsid w:val="00355F74"/>
    <w:rsid w:val="003560DB"/>
    <w:rsid w:val="003564DB"/>
    <w:rsid w:val="00356F87"/>
    <w:rsid w:val="00357198"/>
    <w:rsid w:val="00357E83"/>
    <w:rsid w:val="00360CF3"/>
    <w:rsid w:val="0036137C"/>
    <w:rsid w:val="00361A59"/>
    <w:rsid w:val="00361ED9"/>
    <w:rsid w:val="003622B1"/>
    <w:rsid w:val="00363348"/>
    <w:rsid w:val="00363857"/>
    <w:rsid w:val="00363D59"/>
    <w:rsid w:val="003640F7"/>
    <w:rsid w:val="00364E04"/>
    <w:rsid w:val="003650AA"/>
    <w:rsid w:val="00365D3A"/>
    <w:rsid w:val="003664FF"/>
    <w:rsid w:val="00366BD2"/>
    <w:rsid w:val="003670B8"/>
    <w:rsid w:val="003704A3"/>
    <w:rsid w:val="0037058F"/>
    <w:rsid w:val="003706F2"/>
    <w:rsid w:val="003707CB"/>
    <w:rsid w:val="0037124F"/>
    <w:rsid w:val="00373827"/>
    <w:rsid w:val="0037401C"/>
    <w:rsid w:val="0037507B"/>
    <w:rsid w:val="00375C7C"/>
    <w:rsid w:val="00375DA0"/>
    <w:rsid w:val="00377027"/>
    <w:rsid w:val="00377135"/>
    <w:rsid w:val="00377B82"/>
    <w:rsid w:val="00380272"/>
    <w:rsid w:val="003805DB"/>
    <w:rsid w:val="0038152A"/>
    <w:rsid w:val="00382BAD"/>
    <w:rsid w:val="003835FD"/>
    <w:rsid w:val="00384DF1"/>
    <w:rsid w:val="00384EAF"/>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455"/>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45F"/>
    <w:rsid w:val="003A493F"/>
    <w:rsid w:val="003A4A8E"/>
    <w:rsid w:val="003A563C"/>
    <w:rsid w:val="003A581E"/>
    <w:rsid w:val="003A6160"/>
    <w:rsid w:val="003A65A5"/>
    <w:rsid w:val="003A72F5"/>
    <w:rsid w:val="003A78E5"/>
    <w:rsid w:val="003B0341"/>
    <w:rsid w:val="003B1961"/>
    <w:rsid w:val="003B1E57"/>
    <w:rsid w:val="003B2EF3"/>
    <w:rsid w:val="003B3014"/>
    <w:rsid w:val="003B534F"/>
    <w:rsid w:val="003B5391"/>
    <w:rsid w:val="003B58CE"/>
    <w:rsid w:val="003B65D7"/>
    <w:rsid w:val="003B65E0"/>
    <w:rsid w:val="003B6BD4"/>
    <w:rsid w:val="003B6F4D"/>
    <w:rsid w:val="003B6FE7"/>
    <w:rsid w:val="003B70CE"/>
    <w:rsid w:val="003B72DF"/>
    <w:rsid w:val="003C0C0F"/>
    <w:rsid w:val="003C0D1F"/>
    <w:rsid w:val="003C116A"/>
    <w:rsid w:val="003C1AF4"/>
    <w:rsid w:val="003C1CB8"/>
    <w:rsid w:val="003C22DA"/>
    <w:rsid w:val="003C2550"/>
    <w:rsid w:val="003C287F"/>
    <w:rsid w:val="003C3146"/>
    <w:rsid w:val="003C3251"/>
    <w:rsid w:val="003C3339"/>
    <w:rsid w:val="003C375A"/>
    <w:rsid w:val="003C408D"/>
    <w:rsid w:val="003C4317"/>
    <w:rsid w:val="003C4C1F"/>
    <w:rsid w:val="003C4D9F"/>
    <w:rsid w:val="003C5247"/>
    <w:rsid w:val="003C5E8A"/>
    <w:rsid w:val="003C622C"/>
    <w:rsid w:val="003C6505"/>
    <w:rsid w:val="003C696A"/>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52F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523"/>
    <w:rsid w:val="003E78DA"/>
    <w:rsid w:val="003E7A8B"/>
    <w:rsid w:val="003F060E"/>
    <w:rsid w:val="003F0F7F"/>
    <w:rsid w:val="003F115C"/>
    <w:rsid w:val="003F153A"/>
    <w:rsid w:val="003F1767"/>
    <w:rsid w:val="003F1C15"/>
    <w:rsid w:val="003F23D1"/>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39C"/>
    <w:rsid w:val="00426FB4"/>
    <w:rsid w:val="004273FA"/>
    <w:rsid w:val="004275A7"/>
    <w:rsid w:val="00430186"/>
    <w:rsid w:val="00430F17"/>
    <w:rsid w:val="0043269A"/>
    <w:rsid w:val="004333C2"/>
    <w:rsid w:val="00433415"/>
    <w:rsid w:val="0043356A"/>
    <w:rsid w:val="00434787"/>
    <w:rsid w:val="00434C13"/>
    <w:rsid w:val="00435128"/>
    <w:rsid w:val="0043549E"/>
    <w:rsid w:val="00435703"/>
    <w:rsid w:val="00435BD5"/>
    <w:rsid w:val="00436323"/>
    <w:rsid w:val="0043683F"/>
    <w:rsid w:val="00436B3F"/>
    <w:rsid w:val="00436F40"/>
    <w:rsid w:val="004370FA"/>
    <w:rsid w:val="00440096"/>
    <w:rsid w:val="004402C5"/>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846"/>
    <w:rsid w:val="00451847"/>
    <w:rsid w:val="00451A52"/>
    <w:rsid w:val="004521DA"/>
    <w:rsid w:val="00452361"/>
    <w:rsid w:val="0045271D"/>
    <w:rsid w:val="00452755"/>
    <w:rsid w:val="00452803"/>
    <w:rsid w:val="0045290D"/>
    <w:rsid w:val="004529C6"/>
    <w:rsid w:val="00452EAD"/>
    <w:rsid w:val="004533D1"/>
    <w:rsid w:val="004534D1"/>
    <w:rsid w:val="00454548"/>
    <w:rsid w:val="00454717"/>
    <w:rsid w:val="00455004"/>
    <w:rsid w:val="00455047"/>
    <w:rsid w:val="00455354"/>
    <w:rsid w:val="0045558D"/>
    <w:rsid w:val="0045580D"/>
    <w:rsid w:val="00455BD3"/>
    <w:rsid w:val="004567DA"/>
    <w:rsid w:val="00456970"/>
    <w:rsid w:val="00456BB1"/>
    <w:rsid w:val="00456CD4"/>
    <w:rsid w:val="00456DDB"/>
    <w:rsid w:val="00456E61"/>
    <w:rsid w:val="00457031"/>
    <w:rsid w:val="00460915"/>
    <w:rsid w:val="00460946"/>
    <w:rsid w:val="00460DEF"/>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579B"/>
    <w:rsid w:val="00466616"/>
    <w:rsid w:val="00466A0C"/>
    <w:rsid w:val="00466A53"/>
    <w:rsid w:val="004707BB"/>
    <w:rsid w:val="00470A6A"/>
    <w:rsid w:val="00470D73"/>
    <w:rsid w:val="00470D92"/>
    <w:rsid w:val="00470E92"/>
    <w:rsid w:val="0047179C"/>
    <w:rsid w:val="00471DF7"/>
    <w:rsid w:val="004721A4"/>
    <w:rsid w:val="004734CF"/>
    <w:rsid w:val="0047586C"/>
    <w:rsid w:val="00475C5A"/>
    <w:rsid w:val="00475C9C"/>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5996"/>
    <w:rsid w:val="004861B4"/>
    <w:rsid w:val="00486226"/>
    <w:rsid w:val="00486BD0"/>
    <w:rsid w:val="00486D00"/>
    <w:rsid w:val="00486FF7"/>
    <w:rsid w:val="00487263"/>
    <w:rsid w:val="0048734F"/>
    <w:rsid w:val="0048742E"/>
    <w:rsid w:val="0049014D"/>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A7D11"/>
    <w:rsid w:val="004B07B2"/>
    <w:rsid w:val="004B0A44"/>
    <w:rsid w:val="004B0F0B"/>
    <w:rsid w:val="004B2197"/>
    <w:rsid w:val="004B298A"/>
    <w:rsid w:val="004B2B70"/>
    <w:rsid w:val="004B4BB6"/>
    <w:rsid w:val="004B4DE8"/>
    <w:rsid w:val="004B50CB"/>
    <w:rsid w:val="004B512B"/>
    <w:rsid w:val="004B578D"/>
    <w:rsid w:val="004B5BE7"/>
    <w:rsid w:val="004B5E2D"/>
    <w:rsid w:val="004B6C07"/>
    <w:rsid w:val="004B74D3"/>
    <w:rsid w:val="004B755E"/>
    <w:rsid w:val="004B788E"/>
    <w:rsid w:val="004B7E5D"/>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8E5"/>
    <w:rsid w:val="004D0AEA"/>
    <w:rsid w:val="004D0F95"/>
    <w:rsid w:val="004D106A"/>
    <w:rsid w:val="004D19D4"/>
    <w:rsid w:val="004D1C7E"/>
    <w:rsid w:val="004D1FB0"/>
    <w:rsid w:val="004D245A"/>
    <w:rsid w:val="004D2571"/>
    <w:rsid w:val="004D25EB"/>
    <w:rsid w:val="004D2F83"/>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5C7"/>
    <w:rsid w:val="004E2A35"/>
    <w:rsid w:val="004E40CE"/>
    <w:rsid w:val="004E4581"/>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4F7D79"/>
    <w:rsid w:val="0050039C"/>
    <w:rsid w:val="0050062F"/>
    <w:rsid w:val="00500E74"/>
    <w:rsid w:val="0050160F"/>
    <w:rsid w:val="0050273B"/>
    <w:rsid w:val="0050284E"/>
    <w:rsid w:val="00502911"/>
    <w:rsid w:val="0050306F"/>
    <w:rsid w:val="00503EC8"/>
    <w:rsid w:val="00505DCB"/>
    <w:rsid w:val="005075CA"/>
    <w:rsid w:val="00507B06"/>
    <w:rsid w:val="00507BF1"/>
    <w:rsid w:val="0051074C"/>
    <w:rsid w:val="0051099D"/>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ED7"/>
    <w:rsid w:val="00517F85"/>
    <w:rsid w:val="00520235"/>
    <w:rsid w:val="00520899"/>
    <w:rsid w:val="00520922"/>
    <w:rsid w:val="005209FC"/>
    <w:rsid w:val="00520C09"/>
    <w:rsid w:val="00521482"/>
    <w:rsid w:val="00521A30"/>
    <w:rsid w:val="005224E5"/>
    <w:rsid w:val="00523903"/>
    <w:rsid w:val="005239B6"/>
    <w:rsid w:val="00523C45"/>
    <w:rsid w:val="00523EE1"/>
    <w:rsid w:val="00523F41"/>
    <w:rsid w:val="00524165"/>
    <w:rsid w:val="005246E7"/>
    <w:rsid w:val="00524B08"/>
    <w:rsid w:val="00524C38"/>
    <w:rsid w:val="00524FD2"/>
    <w:rsid w:val="00525621"/>
    <w:rsid w:val="00525B4D"/>
    <w:rsid w:val="00526431"/>
    <w:rsid w:val="00526807"/>
    <w:rsid w:val="00526BBF"/>
    <w:rsid w:val="00527532"/>
    <w:rsid w:val="00527DEB"/>
    <w:rsid w:val="00527E57"/>
    <w:rsid w:val="00527F2C"/>
    <w:rsid w:val="005302C8"/>
    <w:rsid w:val="00530405"/>
    <w:rsid w:val="00530522"/>
    <w:rsid w:val="005305E5"/>
    <w:rsid w:val="0053086F"/>
    <w:rsid w:val="00530CBA"/>
    <w:rsid w:val="00530DD7"/>
    <w:rsid w:val="00530DFE"/>
    <w:rsid w:val="00530F38"/>
    <w:rsid w:val="0053169E"/>
    <w:rsid w:val="00531E9A"/>
    <w:rsid w:val="00531F26"/>
    <w:rsid w:val="0053277C"/>
    <w:rsid w:val="005327C0"/>
    <w:rsid w:val="00532B61"/>
    <w:rsid w:val="00533101"/>
    <w:rsid w:val="00533CA9"/>
    <w:rsid w:val="005346AD"/>
    <w:rsid w:val="00534A10"/>
    <w:rsid w:val="00534EFB"/>
    <w:rsid w:val="00534F60"/>
    <w:rsid w:val="005357F1"/>
    <w:rsid w:val="00535BAD"/>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463"/>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481"/>
    <w:rsid w:val="005525C9"/>
    <w:rsid w:val="00552B3E"/>
    <w:rsid w:val="005535B9"/>
    <w:rsid w:val="005546CD"/>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A19"/>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C1A"/>
    <w:rsid w:val="00574D81"/>
    <w:rsid w:val="005756AA"/>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181"/>
    <w:rsid w:val="005923C4"/>
    <w:rsid w:val="00592F50"/>
    <w:rsid w:val="005938C3"/>
    <w:rsid w:val="00593EA2"/>
    <w:rsid w:val="00593F75"/>
    <w:rsid w:val="005940A0"/>
    <w:rsid w:val="0059429A"/>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7B3"/>
    <w:rsid w:val="005A496F"/>
    <w:rsid w:val="005A4A56"/>
    <w:rsid w:val="005A4F69"/>
    <w:rsid w:val="005A53FE"/>
    <w:rsid w:val="005A5608"/>
    <w:rsid w:val="005A5A3D"/>
    <w:rsid w:val="005A5CED"/>
    <w:rsid w:val="005A6035"/>
    <w:rsid w:val="005A6B75"/>
    <w:rsid w:val="005A6E00"/>
    <w:rsid w:val="005A718A"/>
    <w:rsid w:val="005A7885"/>
    <w:rsid w:val="005B12B2"/>
    <w:rsid w:val="005B143B"/>
    <w:rsid w:val="005B19BD"/>
    <w:rsid w:val="005B1E45"/>
    <w:rsid w:val="005B21C4"/>
    <w:rsid w:val="005B2206"/>
    <w:rsid w:val="005B24E7"/>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67B5"/>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3278"/>
    <w:rsid w:val="005E363B"/>
    <w:rsid w:val="005E3736"/>
    <w:rsid w:val="005E38E9"/>
    <w:rsid w:val="005E4B72"/>
    <w:rsid w:val="005E52C9"/>
    <w:rsid w:val="005F02D8"/>
    <w:rsid w:val="005F1D88"/>
    <w:rsid w:val="005F305B"/>
    <w:rsid w:val="005F3361"/>
    <w:rsid w:val="005F3ACA"/>
    <w:rsid w:val="005F3B47"/>
    <w:rsid w:val="005F3CBB"/>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079A"/>
    <w:rsid w:val="0060083D"/>
    <w:rsid w:val="0060139A"/>
    <w:rsid w:val="006013C9"/>
    <w:rsid w:val="00601B66"/>
    <w:rsid w:val="00601BFE"/>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1F22"/>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5E"/>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FD"/>
    <w:rsid w:val="00630845"/>
    <w:rsid w:val="00631059"/>
    <w:rsid w:val="006310C3"/>
    <w:rsid w:val="00631245"/>
    <w:rsid w:val="006312E1"/>
    <w:rsid w:val="0063161E"/>
    <w:rsid w:val="00631BB5"/>
    <w:rsid w:val="00631DD0"/>
    <w:rsid w:val="00633DBF"/>
    <w:rsid w:val="00634122"/>
    <w:rsid w:val="0063444B"/>
    <w:rsid w:val="00635E32"/>
    <w:rsid w:val="006360FC"/>
    <w:rsid w:val="006361C9"/>
    <w:rsid w:val="00636402"/>
    <w:rsid w:val="006365DE"/>
    <w:rsid w:val="00636BE4"/>
    <w:rsid w:val="00636F88"/>
    <w:rsid w:val="0063732C"/>
    <w:rsid w:val="00637802"/>
    <w:rsid w:val="00637836"/>
    <w:rsid w:val="00637C26"/>
    <w:rsid w:val="00637F44"/>
    <w:rsid w:val="00640B22"/>
    <w:rsid w:val="00641078"/>
    <w:rsid w:val="00641242"/>
    <w:rsid w:val="00642A32"/>
    <w:rsid w:val="00642D7A"/>
    <w:rsid w:val="006433D5"/>
    <w:rsid w:val="00643412"/>
    <w:rsid w:val="00644842"/>
    <w:rsid w:val="00645CEB"/>
    <w:rsid w:val="00646B20"/>
    <w:rsid w:val="00646D0F"/>
    <w:rsid w:val="00646D57"/>
    <w:rsid w:val="00646D69"/>
    <w:rsid w:val="00647A36"/>
    <w:rsid w:val="00647DCC"/>
    <w:rsid w:val="00647E07"/>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4C3A"/>
    <w:rsid w:val="00655301"/>
    <w:rsid w:val="00655371"/>
    <w:rsid w:val="00655507"/>
    <w:rsid w:val="00656855"/>
    <w:rsid w:val="00656955"/>
    <w:rsid w:val="00656C4B"/>
    <w:rsid w:val="00656EEE"/>
    <w:rsid w:val="006572A7"/>
    <w:rsid w:val="006573EA"/>
    <w:rsid w:val="006606A4"/>
    <w:rsid w:val="00660748"/>
    <w:rsid w:val="00661029"/>
    <w:rsid w:val="006610C3"/>
    <w:rsid w:val="0066135A"/>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11D"/>
    <w:rsid w:val="00667ED8"/>
    <w:rsid w:val="00667F76"/>
    <w:rsid w:val="0067064C"/>
    <w:rsid w:val="00670B20"/>
    <w:rsid w:val="00670E12"/>
    <w:rsid w:val="00670F27"/>
    <w:rsid w:val="00671BF1"/>
    <w:rsid w:val="00671E42"/>
    <w:rsid w:val="0067271C"/>
    <w:rsid w:val="00672E80"/>
    <w:rsid w:val="0067333F"/>
    <w:rsid w:val="006739E4"/>
    <w:rsid w:val="00673AE8"/>
    <w:rsid w:val="00673DD7"/>
    <w:rsid w:val="00673ECF"/>
    <w:rsid w:val="0067426B"/>
    <w:rsid w:val="00674A1B"/>
    <w:rsid w:val="00674F1C"/>
    <w:rsid w:val="006754F8"/>
    <w:rsid w:val="00676127"/>
    <w:rsid w:val="00676AED"/>
    <w:rsid w:val="006771DA"/>
    <w:rsid w:val="00677212"/>
    <w:rsid w:val="00677B26"/>
    <w:rsid w:val="00677C67"/>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43F5"/>
    <w:rsid w:val="006959A5"/>
    <w:rsid w:val="00695C0C"/>
    <w:rsid w:val="00696736"/>
    <w:rsid w:val="00696A05"/>
    <w:rsid w:val="00697665"/>
    <w:rsid w:val="006978E1"/>
    <w:rsid w:val="00697C9A"/>
    <w:rsid w:val="00697E68"/>
    <w:rsid w:val="00697FC1"/>
    <w:rsid w:val="006A0274"/>
    <w:rsid w:val="006A112B"/>
    <w:rsid w:val="006A1F1F"/>
    <w:rsid w:val="006A27BC"/>
    <w:rsid w:val="006A2948"/>
    <w:rsid w:val="006A2A43"/>
    <w:rsid w:val="006A2BF1"/>
    <w:rsid w:val="006A2F9A"/>
    <w:rsid w:val="006A34E4"/>
    <w:rsid w:val="006A3A5A"/>
    <w:rsid w:val="006A44CF"/>
    <w:rsid w:val="006A457D"/>
    <w:rsid w:val="006A4C06"/>
    <w:rsid w:val="006A55EE"/>
    <w:rsid w:val="006A575B"/>
    <w:rsid w:val="006A59DE"/>
    <w:rsid w:val="006A5DEE"/>
    <w:rsid w:val="006A64C6"/>
    <w:rsid w:val="006A6655"/>
    <w:rsid w:val="006A6BF9"/>
    <w:rsid w:val="006A7CB5"/>
    <w:rsid w:val="006A7FD0"/>
    <w:rsid w:val="006B025C"/>
    <w:rsid w:val="006B08ED"/>
    <w:rsid w:val="006B2534"/>
    <w:rsid w:val="006B28DE"/>
    <w:rsid w:val="006B2CB2"/>
    <w:rsid w:val="006B347D"/>
    <w:rsid w:val="006B3E19"/>
    <w:rsid w:val="006B3EB4"/>
    <w:rsid w:val="006B4488"/>
    <w:rsid w:val="006B48C1"/>
    <w:rsid w:val="006B50C4"/>
    <w:rsid w:val="006B53AE"/>
    <w:rsid w:val="006B58B4"/>
    <w:rsid w:val="006B67AC"/>
    <w:rsid w:val="006B786A"/>
    <w:rsid w:val="006B7E4E"/>
    <w:rsid w:val="006C003A"/>
    <w:rsid w:val="006C0630"/>
    <w:rsid w:val="006C0AB9"/>
    <w:rsid w:val="006C107C"/>
    <w:rsid w:val="006C189C"/>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0CE4"/>
    <w:rsid w:val="006D10F6"/>
    <w:rsid w:val="006D1544"/>
    <w:rsid w:val="006D1688"/>
    <w:rsid w:val="006D17AA"/>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34E"/>
    <w:rsid w:val="006E2C34"/>
    <w:rsid w:val="006E359B"/>
    <w:rsid w:val="006E39D1"/>
    <w:rsid w:val="006E3B05"/>
    <w:rsid w:val="006E437F"/>
    <w:rsid w:val="006E4D5B"/>
    <w:rsid w:val="006E5EA6"/>
    <w:rsid w:val="006E602F"/>
    <w:rsid w:val="006E6720"/>
    <w:rsid w:val="006E7275"/>
    <w:rsid w:val="006E77B8"/>
    <w:rsid w:val="006E77DF"/>
    <w:rsid w:val="006E7AAF"/>
    <w:rsid w:val="006F0F74"/>
    <w:rsid w:val="006F13BA"/>
    <w:rsid w:val="006F15CC"/>
    <w:rsid w:val="006F15F6"/>
    <w:rsid w:val="006F275F"/>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0D8C"/>
    <w:rsid w:val="0070138A"/>
    <w:rsid w:val="0070157E"/>
    <w:rsid w:val="00702653"/>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6B15"/>
    <w:rsid w:val="0070773F"/>
    <w:rsid w:val="00707ED3"/>
    <w:rsid w:val="007101B7"/>
    <w:rsid w:val="00710668"/>
    <w:rsid w:val="00711019"/>
    <w:rsid w:val="007110F4"/>
    <w:rsid w:val="007112B1"/>
    <w:rsid w:val="0071130F"/>
    <w:rsid w:val="00712714"/>
    <w:rsid w:val="007129AB"/>
    <w:rsid w:val="00712B63"/>
    <w:rsid w:val="00712BC4"/>
    <w:rsid w:val="00713526"/>
    <w:rsid w:val="00713FC5"/>
    <w:rsid w:val="00714DCA"/>
    <w:rsid w:val="00715BBF"/>
    <w:rsid w:val="00715C29"/>
    <w:rsid w:val="00715CBD"/>
    <w:rsid w:val="00715EAA"/>
    <w:rsid w:val="00716119"/>
    <w:rsid w:val="00716630"/>
    <w:rsid w:val="00716CAD"/>
    <w:rsid w:val="00716F18"/>
    <w:rsid w:val="00717363"/>
    <w:rsid w:val="0071743E"/>
    <w:rsid w:val="00717786"/>
    <w:rsid w:val="00717ACB"/>
    <w:rsid w:val="00720CDE"/>
    <w:rsid w:val="0072138B"/>
    <w:rsid w:val="00721BFF"/>
    <w:rsid w:val="00722C51"/>
    <w:rsid w:val="00723040"/>
    <w:rsid w:val="00723251"/>
    <w:rsid w:val="00723475"/>
    <w:rsid w:val="007236C4"/>
    <w:rsid w:val="00724635"/>
    <w:rsid w:val="00724F21"/>
    <w:rsid w:val="00725134"/>
    <w:rsid w:val="0072554B"/>
    <w:rsid w:val="00725AFD"/>
    <w:rsid w:val="00725DB3"/>
    <w:rsid w:val="00726603"/>
    <w:rsid w:val="007266AC"/>
    <w:rsid w:val="00727B1D"/>
    <w:rsid w:val="00727DDC"/>
    <w:rsid w:val="00730CD6"/>
    <w:rsid w:val="00730D3A"/>
    <w:rsid w:val="00730F74"/>
    <w:rsid w:val="0073114B"/>
    <w:rsid w:val="0073122E"/>
    <w:rsid w:val="00731380"/>
    <w:rsid w:val="00732029"/>
    <w:rsid w:val="00732151"/>
    <w:rsid w:val="007341D8"/>
    <w:rsid w:val="00734952"/>
    <w:rsid w:val="00734990"/>
    <w:rsid w:val="00734FF5"/>
    <w:rsid w:val="00735B78"/>
    <w:rsid w:val="00735DA7"/>
    <w:rsid w:val="00736700"/>
    <w:rsid w:val="007368B4"/>
    <w:rsid w:val="00737229"/>
    <w:rsid w:val="007378E0"/>
    <w:rsid w:val="00737FB7"/>
    <w:rsid w:val="00740529"/>
    <w:rsid w:val="00740876"/>
    <w:rsid w:val="00740F18"/>
    <w:rsid w:val="00741358"/>
    <w:rsid w:val="00741626"/>
    <w:rsid w:val="00742332"/>
    <w:rsid w:val="00742886"/>
    <w:rsid w:val="00742C7F"/>
    <w:rsid w:val="00742DD2"/>
    <w:rsid w:val="007437C6"/>
    <w:rsid w:val="007441A2"/>
    <w:rsid w:val="007446F6"/>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BC3"/>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2B7"/>
    <w:rsid w:val="007759A8"/>
    <w:rsid w:val="007759EE"/>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5E73"/>
    <w:rsid w:val="00786937"/>
    <w:rsid w:val="00786FAD"/>
    <w:rsid w:val="00787A27"/>
    <w:rsid w:val="00787B1B"/>
    <w:rsid w:val="00787D90"/>
    <w:rsid w:val="00787F5E"/>
    <w:rsid w:val="00790164"/>
    <w:rsid w:val="007905C6"/>
    <w:rsid w:val="007906F9"/>
    <w:rsid w:val="00790A24"/>
    <w:rsid w:val="00790A37"/>
    <w:rsid w:val="00790A60"/>
    <w:rsid w:val="0079146D"/>
    <w:rsid w:val="00791C32"/>
    <w:rsid w:val="00791FF0"/>
    <w:rsid w:val="007923D0"/>
    <w:rsid w:val="007930D3"/>
    <w:rsid w:val="0079381F"/>
    <w:rsid w:val="007938E6"/>
    <w:rsid w:val="00793A57"/>
    <w:rsid w:val="00793B2E"/>
    <w:rsid w:val="007948F5"/>
    <w:rsid w:val="00795647"/>
    <w:rsid w:val="00795887"/>
    <w:rsid w:val="007963F6"/>
    <w:rsid w:val="00796DC8"/>
    <w:rsid w:val="00796E80"/>
    <w:rsid w:val="0079744F"/>
    <w:rsid w:val="0079776F"/>
    <w:rsid w:val="007979AD"/>
    <w:rsid w:val="00797A9C"/>
    <w:rsid w:val="007A0EAB"/>
    <w:rsid w:val="007A233D"/>
    <w:rsid w:val="007A2341"/>
    <w:rsid w:val="007A2754"/>
    <w:rsid w:val="007A38A1"/>
    <w:rsid w:val="007A3BBE"/>
    <w:rsid w:val="007A4766"/>
    <w:rsid w:val="007A57B8"/>
    <w:rsid w:val="007A5947"/>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849"/>
    <w:rsid w:val="007C3F3B"/>
    <w:rsid w:val="007C4241"/>
    <w:rsid w:val="007C425E"/>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CE5"/>
    <w:rsid w:val="007D4ED0"/>
    <w:rsid w:val="007D5648"/>
    <w:rsid w:val="007D58C5"/>
    <w:rsid w:val="007D5DE8"/>
    <w:rsid w:val="007D7A62"/>
    <w:rsid w:val="007D7B1C"/>
    <w:rsid w:val="007D7CFC"/>
    <w:rsid w:val="007E0812"/>
    <w:rsid w:val="007E18DF"/>
    <w:rsid w:val="007E1A10"/>
    <w:rsid w:val="007E2C36"/>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CEF"/>
    <w:rsid w:val="00803D9D"/>
    <w:rsid w:val="00805898"/>
    <w:rsid w:val="008059C6"/>
    <w:rsid w:val="00805AD7"/>
    <w:rsid w:val="00805BD6"/>
    <w:rsid w:val="00805CEF"/>
    <w:rsid w:val="00805DE3"/>
    <w:rsid w:val="00807A7B"/>
    <w:rsid w:val="00807C35"/>
    <w:rsid w:val="00807F35"/>
    <w:rsid w:val="00807F69"/>
    <w:rsid w:val="008100F7"/>
    <w:rsid w:val="00810206"/>
    <w:rsid w:val="0081022B"/>
    <w:rsid w:val="00811898"/>
    <w:rsid w:val="00811CDC"/>
    <w:rsid w:val="008124D8"/>
    <w:rsid w:val="00813A41"/>
    <w:rsid w:val="00813A7B"/>
    <w:rsid w:val="00813F04"/>
    <w:rsid w:val="0081513E"/>
    <w:rsid w:val="00815D4C"/>
    <w:rsid w:val="00815DA5"/>
    <w:rsid w:val="00816221"/>
    <w:rsid w:val="008174E1"/>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BCC"/>
    <w:rsid w:val="00826F71"/>
    <w:rsid w:val="00827CC0"/>
    <w:rsid w:val="008306AB"/>
    <w:rsid w:val="00831026"/>
    <w:rsid w:val="0083119B"/>
    <w:rsid w:val="00831BAE"/>
    <w:rsid w:val="00832216"/>
    <w:rsid w:val="008328D4"/>
    <w:rsid w:val="00832CD0"/>
    <w:rsid w:val="00833430"/>
    <w:rsid w:val="008338D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644D"/>
    <w:rsid w:val="00856C06"/>
    <w:rsid w:val="00856F87"/>
    <w:rsid w:val="0085790B"/>
    <w:rsid w:val="008579B9"/>
    <w:rsid w:val="00857C95"/>
    <w:rsid w:val="00857E78"/>
    <w:rsid w:val="00860AEF"/>
    <w:rsid w:val="00860B18"/>
    <w:rsid w:val="00860D5E"/>
    <w:rsid w:val="0086122C"/>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30"/>
    <w:rsid w:val="008808C7"/>
    <w:rsid w:val="0088106B"/>
    <w:rsid w:val="0088107D"/>
    <w:rsid w:val="0088187A"/>
    <w:rsid w:val="00881E64"/>
    <w:rsid w:val="00882E39"/>
    <w:rsid w:val="00883CE1"/>
    <w:rsid w:val="008850EB"/>
    <w:rsid w:val="00885228"/>
    <w:rsid w:val="008857E3"/>
    <w:rsid w:val="0088662A"/>
    <w:rsid w:val="00886DF2"/>
    <w:rsid w:val="00886FB9"/>
    <w:rsid w:val="00887057"/>
    <w:rsid w:val="00887080"/>
    <w:rsid w:val="00887C79"/>
    <w:rsid w:val="00890820"/>
    <w:rsid w:val="0089107B"/>
    <w:rsid w:val="008913CC"/>
    <w:rsid w:val="008914AE"/>
    <w:rsid w:val="008919CF"/>
    <w:rsid w:val="00891F84"/>
    <w:rsid w:val="00891FC3"/>
    <w:rsid w:val="008928EC"/>
    <w:rsid w:val="00892E5D"/>
    <w:rsid w:val="008935CF"/>
    <w:rsid w:val="00893CD7"/>
    <w:rsid w:val="0089436B"/>
    <w:rsid w:val="00894436"/>
    <w:rsid w:val="00894BB1"/>
    <w:rsid w:val="008951D0"/>
    <w:rsid w:val="0089582D"/>
    <w:rsid w:val="008959C6"/>
    <w:rsid w:val="00895A2E"/>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973"/>
    <w:rsid w:val="008A3F9D"/>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526A"/>
    <w:rsid w:val="008C62D4"/>
    <w:rsid w:val="008C6B0C"/>
    <w:rsid w:val="008C6B89"/>
    <w:rsid w:val="008C6B97"/>
    <w:rsid w:val="008C7EF7"/>
    <w:rsid w:val="008D18AA"/>
    <w:rsid w:val="008D1A2A"/>
    <w:rsid w:val="008D1ADE"/>
    <w:rsid w:val="008D2986"/>
    <w:rsid w:val="008D35D9"/>
    <w:rsid w:val="008D3B36"/>
    <w:rsid w:val="008D3B85"/>
    <w:rsid w:val="008D462D"/>
    <w:rsid w:val="008D6084"/>
    <w:rsid w:val="008D64AC"/>
    <w:rsid w:val="008D66CA"/>
    <w:rsid w:val="008D69B1"/>
    <w:rsid w:val="008D7338"/>
    <w:rsid w:val="008D785E"/>
    <w:rsid w:val="008D7D22"/>
    <w:rsid w:val="008D7D66"/>
    <w:rsid w:val="008E0012"/>
    <w:rsid w:val="008E03F7"/>
    <w:rsid w:val="008E0DF7"/>
    <w:rsid w:val="008E0FAD"/>
    <w:rsid w:val="008E11E4"/>
    <w:rsid w:val="008E1252"/>
    <w:rsid w:val="008E1347"/>
    <w:rsid w:val="008E16E0"/>
    <w:rsid w:val="008E1C15"/>
    <w:rsid w:val="008E1C9A"/>
    <w:rsid w:val="008E28BD"/>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900794"/>
    <w:rsid w:val="00900A23"/>
    <w:rsid w:val="00901F1D"/>
    <w:rsid w:val="009028E8"/>
    <w:rsid w:val="00902E5C"/>
    <w:rsid w:val="0090363E"/>
    <w:rsid w:val="00903E0D"/>
    <w:rsid w:val="009046E5"/>
    <w:rsid w:val="009047C5"/>
    <w:rsid w:val="00905CE5"/>
    <w:rsid w:val="00910683"/>
    <w:rsid w:val="00910E00"/>
    <w:rsid w:val="00910E04"/>
    <w:rsid w:val="00911142"/>
    <w:rsid w:val="009116CE"/>
    <w:rsid w:val="00911714"/>
    <w:rsid w:val="00911D04"/>
    <w:rsid w:val="00911EFF"/>
    <w:rsid w:val="00912294"/>
    <w:rsid w:val="0091310F"/>
    <w:rsid w:val="009136D4"/>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22CF"/>
    <w:rsid w:val="00922379"/>
    <w:rsid w:val="0092257D"/>
    <w:rsid w:val="00922B4A"/>
    <w:rsid w:val="00923396"/>
    <w:rsid w:val="00923F56"/>
    <w:rsid w:val="00924770"/>
    <w:rsid w:val="00925346"/>
    <w:rsid w:val="00925743"/>
    <w:rsid w:val="0092579F"/>
    <w:rsid w:val="00926068"/>
    <w:rsid w:val="00927DD3"/>
    <w:rsid w:val="00927E8D"/>
    <w:rsid w:val="00927F23"/>
    <w:rsid w:val="00930521"/>
    <w:rsid w:val="009307CD"/>
    <w:rsid w:val="00931364"/>
    <w:rsid w:val="00931365"/>
    <w:rsid w:val="00931451"/>
    <w:rsid w:val="009314FA"/>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9B6"/>
    <w:rsid w:val="00943FCD"/>
    <w:rsid w:val="009444B4"/>
    <w:rsid w:val="00944644"/>
    <w:rsid w:val="00946A24"/>
    <w:rsid w:val="009470D4"/>
    <w:rsid w:val="00947337"/>
    <w:rsid w:val="00947E6E"/>
    <w:rsid w:val="0095041D"/>
    <w:rsid w:val="00950EF2"/>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47F"/>
    <w:rsid w:val="00963550"/>
    <w:rsid w:val="00964138"/>
    <w:rsid w:val="0096470C"/>
    <w:rsid w:val="009648D6"/>
    <w:rsid w:val="009649AE"/>
    <w:rsid w:val="00964B3F"/>
    <w:rsid w:val="00964C98"/>
    <w:rsid w:val="00967BEF"/>
    <w:rsid w:val="00970C7B"/>
    <w:rsid w:val="00971441"/>
    <w:rsid w:val="009715D4"/>
    <w:rsid w:val="0097179A"/>
    <w:rsid w:val="009731F4"/>
    <w:rsid w:val="009732A4"/>
    <w:rsid w:val="00973C05"/>
    <w:rsid w:val="00973CFF"/>
    <w:rsid w:val="0097494E"/>
    <w:rsid w:val="00974999"/>
    <w:rsid w:val="00974B58"/>
    <w:rsid w:val="00974B94"/>
    <w:rsid w:val="00974CBD"/>
    <w:rsid w:val="00975390"/>
    <w:rsid w:val="00975445"/>
    <w:rsid w:val="0097590C"/>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123"/>
    <w:rsid w:val="009876F2"/>
    <w:rsid w:val="00987C77"/>
    <w:rsid w:val="00987F55"/>
    <w:rsid w:val="00987FED"/>
    <w:rsid w:val="00990345"/>
    <w:rsid w:val="00990701"/>
    <w:rsid w:val="0099119C"/>
    <w:rsid w:val="0099137A"/>
    <w:rsid w:val="00991CFE"/>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899"/>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1F8"/>
    <w:rsid w:val="009B231D"/>
    <w:rsid w:val="009B2374"/>
    <w:rsid w:val="009B2E29"/>
    <w:rsid w:val="009B3163"/>
    <w:rsid w:val="009B35AE"/>
    <w:rsid w:val="009B422F"/>
    <w:rsid w:val="009B46BC"/>
    <w:rsid w:val="009B4D1A"/>
    <w:rsid w:val="009B519D"/>
    <w:rsid w:val="009B558B"/>
    <w:rsid w:val="009B5981"/>
    <w:rsid w:val="009B6D21"/>
    <w:rsid w:val="009B78ED"/>
    <w:rsid w:val="009B7AB0"/>
    <w:rsid w:val="009C045A"/>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410"/>
    <w:rsid w:val="009D68BB"/>
    <w:rsid w:val="009D6909"/>
    <w:rsid w:val="009D7049"/>
    <w:rsid w:val="009D70C2"/>
    <w:rsid w:val="009D7244"/>
    <w:rsid w:val="009D7ADB"/>
    <w:rsid w:val="009D7B33"/>
    <w:rsid w:val="009D7F2E"/>
    <w:rsid w:val="009E020C"/>
    <w:rsid w:val="009E02D2"/>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261E"/>
    <w:rsid w:val="009F369D"/>
    <w:rsid w:val="009F36FE"/>
    <w:rsid w:val="009F3D92"/>
    <w:rsid w:val="009F4990"/>
    <w:rsid w:val="009F4F25"/>
    <w:rsid w:val="009F59C2"/>
    <w:rsid w:val="009F5A2A"/>
    <w:rsid w:val="009F5ABB"/>
    <w:rsid w:val="009F6797"/>
    <w:rsid w:val="009F7263"/>
    <w:rsid w:val="009F76EA"/>
    <w:rsid w:val="009F78C0"/>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263"/>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31F8"/>
    <w:rsid w:val="00A13599"/>
    <w:rsid w:val="00A13CF5"/>
    <w:rsid w:val="00A143EC"/>
    <w:rsid w:val="00A149E8"/>
    <w:rsid w:val="00A14E6E"/>
    <w:rsid w:val="00A1500F"/>
    <w:rsid w:val="00A15621"/>
    <w:rsid w:val="00A15670"/>
    <w:rsid w:val="00A157A0"/>
    <w:rsid w:val="00A1585B"/>
    <w:rsid w:val="00A15C19"/>
    <w:rsid w:val="00A15FE9"/>
    <w:rsid w:val="00A1615C"/>
    <w:rsid w:val="00A161D5"/>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4835"/>
    <w:rsid w:val="00A25B0F"/>
    <w:rsid w:val="00A25BBB"/>
    <w:rsid w:val="00A25F2F"/>
    <w:rsid w:val="00A27FB6"/>
    <w:rsid w:val="00A30121"/>
    <w:rsid w:val="00A30368"/>
    <w:rsid w:val="00A3043A"/>
    <w:rsid w:val="00A30E02"/>
    <w:rsid w:val="00A30F6A"/>
    <w:rsid w:val="00A31C3E"/>
    <w:rsid w:val="00A31CE1"/>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1C35"/>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6E1D"/>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59C"/>
    <w:rsid w:val="00A668BA"/>
    <w:rsid w:val="00A66DDA"/>
    <w:rsid w:val="00A66FA7"/>
    <w:rsid w:val="00A67D7D"/>
    <w:rsid w:val="00A67E16"/>
    <w:rsid w:val="00A67EB1"/>
    <w:rsid w:val="00A703CC"/>
    <w:rsid w:val="00A70C5C"/>
    <w:rsid w:val="00A710A2"/>
    <w:rsid w:val="00A71EA7"/>
    <w:rsid w:val="00A730AD"/>
    <w:rsid w:val="00A73690"/>
    <w:rsid w:val="00A73855"/>
    <w:rsid w:val="00A73D39"/>
    <w:rsid w:val="00A73D64"/>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5D9F"/>
    <w:rsid w:val="00A86E0B"/>
    <w:rsid w:val="00A87FAC"/>
    <w:rsid w:val="00A90792"/>
    <w:rsid w:val="00A90F12"/>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43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2767"/>
    <w:rsid w:val="00AA3036"/>
    <w:rsid w:val="00AA3D7B"/>
    <w:rsid w:val="00AA42A0"/>
    <w:rsid w:val="00AA442B"/>
    <w:rsid w:val="00AA46A4"/>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5DF8"/>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84F"/>
    <w:rsid w:val="00AC4B20"/>
    <w:rsid w:val="00AC5159"/>
    <w:rsid w:val="00AC56F2"/>
    <w:rsid w:val="00AC5897"/>
    <w:rsid w:val="00AC71C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1BF7"/>
    <w:rsid w:val="00AE25E8"/>
    <w:rsid w:val="00AE2AD4"/>
    <w:rsid w:val="00AE2CA7"/>
    <w:rsid w:val="00AE2F1D"/>
    <w:rsid w:val="00AE4C81"/>
    <w:rsid w:val="00AE586F"/>
    <w:rsid w:val="00AE6582"/>
    <w:rsid w:val="00AE6DC5"/>
    <w:rsid w:val="00AE7686"/>
    <w:rsid w:val="00AE7899"/>
    <w:rsid w:val="00AE799A"/>
    <w:rsid w:val="00AE7A7C"/>
    <w:rsid w:val="00AF0E81"/>
    <w:rsid w:val="00AF117A"/>
    <w:rsid w:val="00AF16CA"/>
    <w:rsid w:val="00AF186E"/>
    <w:rsid w:val="00AF19DF"/>
    <w:rsid w:val="00AF1D41"/>
    <w:rsid w:val="00AF26CF"/>
    <w:rsid w:val="00AF2EE8"/>
    <w:rsid w:val="00AF3124"/>
    <w:rsid w:val="00AF344D"/>
    <w:rsid w:val="00AF39B3"/>
    <w:rsid w:val="00AF3EC0"/>
    <w:rsid w:val="00AF4402"/>
    <w:rsid w:val="00AF4639"/>
    <w:rsid w:val="00AF4E92"/>
    <w:rsid w:val="00AF554B"/>
    <w:rsid w:val="00AF55C5"/>
    <w:rsid w:val="00AF5C9B"/>
    <w:rsid w:val="00AF5D53"/>
    <w:rsid w:val="00AF5E2D"/>
    <w:rsid w:val="00AF644B"/>
    <w:rsid w:val="00AF69C8"/>
    <w:rsid w:val="00AF69EB"/>
    <w:rsid w:val="00AF6CA6"/>
    <w:rsid w:val="00AF6EB6"/>
    <w:rsid w:val="00AF775B"/>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06CBB"/>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C99"/>
    <w:rsid w:val="00B36D2B"/>
    <w:rsid w:val="00B370F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25CB"/>
    <w:rsid w:val="00B52697"/>
    <w:rsid w:val="00B54215"/>
    <w:rsid w:val="00B549B3"/>
    <w:rsid w:val="00B54D8F"/>
    <w:rsid w:val="00B55857"/>
    <w:rsid w:val="00B55C69"/>
    <w:rsid w:val="00B56851"/>
    <w:rsid w:val="00B56D6E"/>
    <w:rsid w:val="00B572F7"/>
    <w:rsid w:val="00B576D3"/>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69F"/>
    <w:rsid w:val="00B657DB"/>
    <w:rsid w:val="00B65938"/>
    <w:rsid w:val="00B65C8A"/>
    <w:rsid w:val="00B65CE2"/>
    <w:rsid w:val="00B660AD"/>
    <w:rsid w:val="00B66109"/>
    <w:rsid w:val="00B66349"/>
    <w:rsid w:val="00B66606"/>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8E6"/>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1FCF"/>
    <w:rsid w:val="00B920AD"/>
    <w:rsid w:val="00B92531"/>
    <w:rsid w:val="00B92618"/>
    <w:rsid w:val="00B92751"/>
    <w:rsid w:val="00B92B69"/>
    <w:rsid w:val="00B92CC6"/>
    <w:rsid w:val="00B935C9"/>
    <w:rsid w:val="00B93E3D"/>
    <w:rsid w:val="00B94A1D"/>
    <w:rsid w:val="00B95464"/>
    <w:rsid w:val="00B95C30"/>
    <w:rsid w:val="00B95E3D"/>
    <w:rsid w:val="00B95ED6"/>
    <w:rsid w:val="00B9691F"/>
    <w:rsid w:val="00B96D9F"/>
    <w:rsid w:val="00B96EEC"/>
    <w:rsid w:val="00B97196"/>
    <w:rsid w:val="00B97392"/>
    <w:rsid w:val="00B976C7"/>
    <w:rsid w:val="00B97A73"/>
    <w:rsid w:val="00B97F6C"/>
    <w:rsid w:val="00BA0C54"/>
    <w:rsid w:val="00BA11C4"/>
    <w:rsid w:val="00BA1382"/>
    <w:rsid w:val="00BA15E3"/>
    <w:rsid w:val="00BA1A8C"/>
    <w:rsid w:val="00BA20B6"/>
    <w:rsid w:val="00BA20D8"/>
    <w:rsid w:val="00BA22A1"/>
    <w:rsid w:val="00BA22FC"/>
    <w:rsid w:val="00BA2534"/>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888"/>
    <w:rsid w:val="00BB0DF1"/>
    <w:rsid w:val="00BB0E9B"/>
    <w:rsid w:val="00BB2841"/>
    <w:rsid w:val="00BB300F"/>
    <w:rsid w:val="00BB32C9"/>
    <w:rsid w:val="00BB35C5"/>
    <w:rsid w:val="00BB4048"/>
    <w:rsid w:val="00BB4A97"/>
    <w:rsid w:val="00BB4C8E"/>
    <w:rsid w:val="00BB57ED"/>
    <w:rsid w:val="00BB596B"/>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4EC9"/>
    <w:rsid w:val="00BC4FE1"/>
    <w:rsid w:val="00BC5A25"/>
    <w:rsid w:val="00BC5FDD"/>
    <w:rsid w:val="00BC68B4"/>
    <w:rsid w:val="00BC6CBE"/>
    <w:rsid w:val="00BC7277"/>
    <w:rsid w:val="00BD0140"/>
    <w:rsid w:val="00BD02CC"/>
    <w:rsid w:val="00BD061A"/>
    <w:rsid w:val="00BD088E"/>
    <w:rsid w:val="00BD0F18"/>
    <w:rsid w:val="00BD182E"/>
    <w:rsid w:val="00BD1BAB"/>
    <w:rsid w:val="00BD1E94"/>
    <w:rsid w:val="00BD2063"/>
    <w:rsid w:val="00BD2950"/>
    <w:rsid w:val="00BD337A"/>
    <w:rsid w:val="00BD33D9"/>
    <w:rsid w:val="00BD38C5"/>
    <w:rsid w:val="00BD3AF1"/>
    <w:rsid w:val="00BD3DEA"/>
    <w:rsid w:val="00BD3E97"/>
    <w:rsid w:val="00BD3E9F"/>
    <w:rsid w:val="00BD40E4"/>
    <w:rsid w:val="00BD5232"/>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655"/>
    <w:rsid w:val="00BE6D73"/>
    <w:rsid w:val="00BE7257"/>
    <w:rsid w:val="00BF020D"/>
    <w:rsid w:val="00BF0609"/>
    <w:rsid w:val="00BF0D6A"/>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557"/>
    <w:rsid w:val="00C01F74"/>
    <w:rsid w:val="00C02067"/>
    <w:rsid w:val="00C02558"/>
    <w:rsid w:val="00C0285F"/>
    <w:rsid w:val="00C028F5"/>
    <w:rsid w:val="00C02F35"/>
    <w:rsid w:val="00C03305"/>
    <w:rsid w:val="00C03515"/>
    <w:rsid w:val="00C03738"/>
    <w:rsid w:val="00C037A6"/>
    <w:rsid w:val="00C043F5"/>
    <w:rsid w:val="00C044E3"/>
    <w:rsid w:val="00C04607"/>
    <w:rsid w:val="00C04BDB"/>
    <w:rsid w:val="00C052C6"/>
    <w:rsid w:val="00C05987"/>
    <w:rsid w:val="00C05A61"/>
    <w:rsid w:val="00C05FBA"/>
    <w:rsid w:val="00C05FEE"/>
    <w:rsid w:val="00C06B5A"/>
    <w:rsid w:val="00C06CCF"/>
    <w:rsid w:val="00C0794D"/>
    <w:rsid w:val="00C10E78"/>
    <w:rsid w:val="00C10EF1"/>
    <w:rsid w:val="00C1159D"/>
    <w:rsid w:val="00C11B78"/>
    <w:rsid w:val="00C1233E"/>
    <w:rsid w:val="00C128B2"/>
    <w:rsid w:val="00C12FB3"/>
    <w:rsid w:val="00C138BC"/>
    <w:rsid w:val="00C13D85"/>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26"/>
    <w:rsid w:val="00C2393A"/>
    <w:rsid w:val="00C23A99"/>
    <w:rsid w:val="00C245C5"/>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4C1D"/>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9D"/>
    <w:rsid w:val="00C428E7"/>
    <w:rsid w:val="00C432FB"/>
    <w:rsid w:val="00C438A2"/>
    <w:rsid w:val="00C439BE"/>
    <w:rsid w:val="00C4539B"/>
    <w:rsid w:val="00C45466"/>
    <w:rsid w:val="00C455C1"/>
    <w:rsid w:val="00C4581D"/>
    <w:rsid w:val="00C4635B"/>
    <w:rsid w:val="00C47472"/>
    <w:rsid w:val="00C500F0"/>
    <w:rsid w:val="00C504A7"/>
    <w:rsid w:val="00C506C9"/>
    <w:rsid w:val="00C50A16"/>
    <w:rsid w:val="00C51C97"/>
    <w:rsid w:val="00C51C9A"/>
    <w:rsid w:val="00C52C68"/>
    <w:rsid w:val="00C52D98"/>
    <w:rsid w:val="00C52DA1"/>
    <w:rsid w:val="00C53D24"/>
    <w:rsid w:val="00C54640"/>
    <w:rsid w:val="00C546D1"/>
    <w:rsid w:val="00C547A6"/>
    <w:rsid w:val="00C54A3A"/>
    <w:rsid w:val="00C5500A"/>
    <w:rsid w:val="00C55340"/>
    <w:rsid w:val="00C55C32"/>
    <w:rsid w:val="00C56A67"/>
    <w:rsid w:val="00C56CC2"/>
    <w:rsid w:val="00C56D8D"/>
    <w:rsid w:val="00C57498"/>
    <w:rsid w:val="00C5763C"/>
    <w:rsid w:val="00C5780C"/>
    <w:rsid w:val="00C5796B"/>
    <w:rsid w:val="00C57C64"/>
    <w:rsid w:val="00C60CE0"/>
    <w:rsid w:val="00C612C4"/>
    <w:rsid w:val="00C619A1"/>
    <w:rsid w:val="00C61BC3"/>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0CC7"/>
    <w:rsid w:val="00C71E2A"/>
    <w:rsid w:val="00C733BA"/>
    <w:rsid w:val="00C74306"/>
    <w:rsid w:val="00C760DC"/>
    <w:rsid w:val="00C8082B"/>
    <w:rsid w:val="00C81A88"/>
    <w:rsid w:val="00C81BD5"/>
    <w:rsid w:val="00C81D46"/>
    <w:rsid w:val="00C82298"/>
    <w:rsid w:val="00C8331F"/>
    <w:rsid w:val="00C833B4"/>
    <w:rsid w:val="00C83C3E"/>
    <w:rsid w:val="00C84284"/>
    <w:rsid w:val="00C84887"/>
    <w:rsid w:val="00C84E33"/>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2E56"/>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9EA"/>
    <w:rsid w:val="00CD1D44"/>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23"/>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AF7"/>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4A1"/>
    <w:rsid w:val="00D047E0"/>
    <w:rsid w:val="00D04B9F"/>
    <w:rsid w:val="00D04D43"/>
    <w:rsid w:val="00D04FFB"/>
    <w:rsid w:val="00D055FE"/>
    <w:rsid w:val="00D058E9"/>
    <w:rsid w:val="00D0612A"/>
    <w:rsid w:val="00D068CD"/>
    <w:rsid w:val="00D07BF6"/>
    <w:rsid w:val="00D101BB"/>
    <w:rsid w:val="00D1060D"/>
    <w:rsid w:val="00D10D14"/>
    <w:rsid w:val="00D10E7C"/>
    <w:rsid w:val="00D11182"/>
    <w:rsid w:val="00D1137B"/>
    <w:rsid w:val="00D11807"/>
    <w:rsid w:val="00D11DB3"/>
    <w:rsid w:val="00D126C8"/>
    <w:rsid w:val="00D12B63"/>
    <w:rsid w:val="00D12D82"/>
    <w:rsid w:val="00D12F77"/>
    <w:rsid w:val="00D1306E"/>
    <w:rsid w:val="00D130B7"/>
    <w:rsid w:val="00D134CD"/>
    <w:rsid w:val="00D13CC8"/>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DA4"/>
    <w:rsid w:val="00D33FA4"/>
    <w:rsid w:val="00D34B25"/>
    <w:rsid w:val="00D34C7F"/>
    <w:rsid w:val="00D34F4E"/>
    <w:rsid w:val="00D35264"/>
    <w:rsid w:val="00D353F8"/>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703"/>
    <w:rsid w:val="00D56C96"/>
    <w:rsid w:val="00D57940"/>
    <w:rsid w:val="00D60327"/>
    <w:rsid w:val="00D606B0"/>
    <w:rsid w:val="00D61384"/>
    <w:rsid w:val="00D61526"/>
    <w:rsid w:val="00D61B44"/>
    <w:rsid w:val="00D61C39"/>
    <w:rsid w:val="00D61F81"/>
    <w:rsid w:val="00D620A6"/>
    <w:rsid w:val="00D62BE6"/>
    <w:rsid w:val="00D63766"/>
    <w:rsid w:val="00D63912"/>
    <w:rsid w:val="00D63923"/>
    <w:rsid w:val="00D6451B"/>
    <w:rsid w:val="00D64776"/>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77A8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93A"/>
    <w:rsid w:val="00DA4C97"/>
    <w:rsid w:val="00DA530A"/>
    <w:rsid w:val="00DA5989"/>
    <w:rsid w:val="00DA5AB1"/>
    <w:rsid w:val="00DA5F9D"/>
    <w:rsid w:val="00DA69B2"/>
    <w:rsid w:val="00DA6A57"/>
    <w:rsid w:val="00DA7462"/>
    <w:rsid w:val="00DA7AD0"/>
    <w:rsid w:val="00DB02D7"/>
    <w:rsid w:val="00DB03CC"/>
    <w:rsid w:val="00DB050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478F"/>
    <w:rsid w:val="00DC5DE7"/>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48B"/>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06B"/>
    <w:rsid w:val="00DE1410"/>
    <w:rsid w:val="00DE20C6"/>
    <w:rsid w:val="00DE3119"/>
    <w:rsid w:val="00DE3E0B"/>
    <w:rsid w:val="00DE3FF0"/>
    <w:rsid w:val="00DE4105"/>
    <w:rsid w:val="00DE5189"/>
    <w:rsid w:val="00DE7108"/>
    <w:rsid w:val="00DE771D"/>
    <w:rsid w:val="00DE78D1"/>
    <w:rsid w:val="00DE78FF"/>
    <w:rsid w:val="00DF00C7"/>
    <w:rsid w:val="00DF0262"/>
    <w:rsid w:val="00DF0263"/>
    <w:rsid w:val="00DF098F"/>
    <w:rsid w:val="00DF0EB4"/>
    <w:rsid w:val="00DF146A"/>
    <w:rsid w:val="00DF158B"/>
    <w:rsid w:val="00DF193C"/>
    <w:rsid w:val="00DF1E36"/>
    <w:rsid w:val="00DF236B"/>
    <w:rsid w:val="00DF2A91"/>
    <w:rsid w:val="00DF3092"/>
    <w:rsid w:val="00DF3889"/>
    <w:rsid w:val="00DF3CC9"/>
    <w:rsid w:val="00DF4451"/>
    <w:rsid w:val="00DF49FF"/>
    <w:rsid w:val="00DF4FFB"/>
    <w:rsid w:val="00DF5236"/>
    <w:rsid w:val="00DF5964"/>
    <w:rsid w:val="00DF5D49"/>
    <w:rsid w:val="00DF651F"/>
    <w:rsid w:val="00DF6F43"/>
    <w:rsid w:val="00DF703A"/>
    <w:rsid w:val="00DF71EA"/>
    <w:rsid w:val="00DF752F"/>
    <w:rsid w:val="00DF76A2"/>
    <w:rsid w:val="00E00B7A"/>
    <w:rsid w:val="00E02186"/>
    <w:rsid w:val="00E025C2"/>
    <w:rsid w:val="00E026BB"/>
    <w:rsid w:val="00E027C5"/>
    <w:rsid w:val="00E02F4A"/>
    <w:rsid w:val="00E03124"/>
    <w:rsid w:val="00E031C3"/>
    <w:rsid w:val="00E03951"/>
    <w:rsid w:val="00E03DB8"/>
    <w:rsid w:val="00E03F17"/>
    <w:rsid w:val="00E0420C"/>
    <w:rsid w:val="00E047D5"/>
    <w:rsid w:val="00E04DD3"/>
    <w:rsid w:val="00E04EDD"/>
    <w:rsid w:val="00E05AA3"/>
    <w:rsid w:val="00E05E70"/>
    <w:rsid w:val="00E064BC"/>
    <w:rsid w:val="00E06687"/>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122"/>
    <w:rsid w:val="00E1746D"/>
    <w:rsid w:val="00E174E8"/>
    <w:rsid w:val="00E17CD1"/>
    <w:rsid w:val="00E2012A"/>
    <w:rsid w:val="00E205A2"/>
    <w:rsid w:val="00E205DC"/>
    <w:rsid w:val="00E20BA4"/>
    <w:rsid w:val="00E210D0"/>
    <w:rsid w:val="00E23137"/>
    <w:rsid w:val="00E23980"/>
    <w:rsid w:val="00E241E9"/>
    <w:rsid w:val="00E257C3"/>
    <w:rsid w:val="00E25A2C"/>
    <w:rsid w:val="00E25CB3"/>
    <w:rsid w:val="00E25DA4"/>
    <w:rsid w:val="00E25EB2"/>
    <w:rsid w:val="00E26237"/>
    <w:rsid w:val="00E26CB8"/>
    <w:rsid w:val="00E26D16"/>
    <w:rsid w:val="00E26FCF"/>
    <w:rsid w:val="00E2713B"/>
    <w:rsid w:val="00E27165"/>
    <w:rsid w:val="00E275D9"/>
    <w:rsid w:val="00E30444"/>
    <w:rsid w:val="00E3044A"/>
    <w:rsid w:val="00E30E49"/>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C28"/>
    <w:rsid w:val="00E40E82"/>
    <w:rsid w:val="00E41141"/>
    <w:rsid w:val="00E4143A"/>
    <w:rsid w:val="00E4159B"/>
    <w:rsid w:val="00E4186F"/>
    <w:rsid w:val="00E41D0D"/>
    <w:rsid w:val="00E424C8"/>
    <w:rsid w:val="00E4251D"/>
    <w:rsid w:val="00E426C9"/>
    <w:rsid w:val="00E436B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2DD"/>
    <w:rsid w:val="00E559C1"/>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2661"/>
    <w:rsid w:val="00E630A2"/>
    <w:rsid w:val="00E630C0"/>
    <w:rsid w:val="00E63107"/>
    <w:rsid w:val="00E6312C"/>
    <w:rsid w:val="00E634E6"/>
    <w:rsid w:val="00E63DCE"/>
    <w:rsid w:val="00E64700"/>
    <w:rsid w:val="00E65074"/>
    <w:rsid w:val="00E65B0D"/>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1BAA"/>
    <w:rsid w:val="00E724E7"/>
    <w:rsid w:val="00E72B41"/>
    <w:rsid w:val="00E732C1"/>
    <w:rsid w:val="00E7347B"/>
    <w:rsid w:val="00E73792"/>
    <w:rsid w:val="00E73D03"/>
    <w:rsid w:val="00E746A6"/>
    <w:rsid w:val="00E7471C"/>
    <w:rsid w:val="00E7498A"/>
    <w:rsid w:val="00E7514E"/>
    <w:rsid w:val="00E76537"/>
    <w:rsid w:val="00E77784"/>
    <w:rsid w:val="00E77AF5"/>
    <w:rsid w:val="00E807B5"/>
    <w:rsid w:val="00E8143D"/>
    <w:rsid w:val="00E820F4"/>
    <w:rsid w:val="00E823F9"/>
    <w:rsid w:val="00E82C1F"/>
    <w:rsid w:val="00E83671"/>
    <w:rsid w:val="00E839C4"/>
    <w:rsid w:val="00E840EE"/>
    <w:rsid w:val="00E84314"/>
    <w:rsid w:val="00E849CA"/>
    <w:rsid w:val="00E84A71"/>
    <w:rsid w:val="00E8556F"/>
    <w:rsid w:val="00E86137"/>
    <w:rsid w:val="00E86556"/>
    <w:rsid w:val="00E86D35"/>
    <w:rsid w:val="00E86DC2"/>
    <w:rsid w:val="00E86E32"/>
    <w:rsid w:val="00E86F2E"/>
    <w:rsid w:val="00E8732E"/>
    <w:rsid w:val="00E9011F"/>
    <w:rsid w:val="00E906EB"/>
    <w:rsid w:val="00E90AEC"/>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F0A"/>
    <w:rsid w:val="00EA0100"/>
    <w:rsid w:val="00EA0BCE"/>
    <w:rsid w:val="00EA1532"/>
    <w:rsid w:val="00EA22FA"/>
    <w:rsid w:val="00EA2744"/>
    <w:rsid w:val="00EA333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345F"/>
    <w:rsid w:val="00EB45AE"/>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7B8"/>
    <w:rsid w:val="00ED1F03"/>
    <w:rsid w:val="00ED22FB"/>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0619"/>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B54"/>
    <w:rsid w:val="00EE7C47"/>
    <w:rsid w:val="00EE7C88"/>
    <w:rsid w:val="00EE7C8B"/>
    <w:rsid w:val="00EF0209"/>
    <w:rsid w:val="00EF0EA4"/>
    <w:rsid w:val="00EF1972"/>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960"/>
    <w:rsid w:val="00F14E28"/>
    <w:rsid w:val="00F14EA9"/>
    <w:rsid w:val="00F15505"/>
    <w:rsid w:val="00F15BFF"/>
    <w:rsid w:val="00F16E4F"/>
    <w:rsid w:val="00F17244"/>
    <w:rsid w:val="00F20ECE"/>
    <w:rsid w:val="00F2121A"/>
    <w:rsid w:val="00F213A0"/>
    <w:rsid w:val="00F21D54"/>
    <w:rsid w:val="00F21EF4"/>
    <w:rsid w:val="00F22AE7"/>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2B1B"/>
    <w:rsid w:val="00F433CB"/>
    <w:rsid w:val="00F4345D"/>
    <w:rsid w:val="00F4387B"/>
    <w:rsid w:val="00F45921"/>
    <w:rsid w:val="00F45B91"/>
    <w:rsid w:val="00F46639"/>
    <w:rsid w:val="00F472B3"/>
    <w:rsid w:val="00F476FD"/>
    <w:rsid w:val="00F50183"/>
    <w:rsid w:val="00F50D92"/>
    <w:rsid w:val="00F51765"/>
    <w:rsid w:val="00F51A51"/>
    <w:rsid w:val="00F51BC6"/>
    <w:rsid w:val="00F51CB4"/>
    <w:rsid w:val="00F520CB"/>
    <w:rsid w:val="00F52324"/>
    <w:rsid w:val="00F52950"/>
    <w:rsid w:val="00F52C9D"/>
    <w:rsid w:val="00F533F1"/>
    <w:rsid w:val="00F53B8B"/>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1F46"/>
    <w:rsid w:val="00F8297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EBD"/>
    <w:rsid w:val="00FA0FAC"/>
    <w:rsid w:val="00FA10F7"/>
    <w:rsid w:val="00FA1DA2"/>
    <w:rsid w:val="00FA3414"/>
    <w:rsid w:val="00FA347A"/>
    <w:rsid w:val="00FA3CDE"/>
    <w:rsid w:val="00FA49B7"/>
    <w:rsid w:val="00FA5043"/>
    <w:rsid w:val="00FA5130"/>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B"/>
    <w:rsid w:val="00FD47F6"/>
    <w:rsid w:val="00FD4AF3"/>
    <w:rsid w:val="00FD4B22"/>
    <w:rsid w:val="00FD6DC3"/>
    <w:rsid w:val="00FD72B1"/>
    <w:rsid w:val="00FD798D"/>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72A0"/>
    <w:rsid w:val="00FF0050"/>
    <w:rsid w:val="00FF045F"/>
    <w:rsid w:val="00FF13CE"/>
    <w:rsid w:val="00FF13D4"/>
    <w:rsid w:val="00FF2053"/>
    <w:rsid w:val="00FF390B"/>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paragraph" w:styleId="Revisin">
    <w:name w:val="Revision"/>
    <w:hidden/>
    <w:uiPriority w:val="99"/>
    <w:semiHidden/>
    <w:rsid w:val="005B24E7"/>
    <w:pPr>
      <w:spacing w:after="0" w:line="240" w:lineRule="auto"/>
    </w:pPr>
    <w:rPr>
      <w:rFonts w:ascii="Times New Roman" w:eastAsia="Times New Roman" w:hAnsi="Times New Roman" w:cs="Times New Roman"/>
      <w:sz w:val="24"/>
      <w:szCs w:val="24"/>
      <w:lang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D548B"/>
    <w:pPr>
      <w:jc w:val="both"/>
    </w:pPr>
    <w:rPr>
      <w:rFonts w:ascii="Calibri" w:eastAsia="Calibri" w:hAnsi="Calibri" w:cs="Calibri"/>
      <w:sz w:val="22"/>
      <w:szCs w:val="22"/>
      <w:vertAlign w:val="superscript"/>
      <w:lang w:eastAsia="es-CO"/>
    </w:rPr>
  </w:style>
  <w:style w:type="table" w:customStyle="1" w:styleId="Tablaconcuadrcula2">
    <w:name w:val="Tabla con cuadrícula2"/>
    <w:basedOn w:val="Tablanormal"/>
    <w:next w:val="Tablaconcuadrcula"/>
    <w:uiPriority w:val="39"/>
    <w:rsid w:val="00880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64648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754988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540112">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1181621">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97550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06470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86332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96163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01889">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611762">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369992">
      <w:bodyDiv w:val="1"/>
      <w:marLeft w:val="0"/>
      <w:marRight w:val="0"/>
      <w:marTop w:val="0"/>
      <w:marBottom w:val="0"/>
      <w:divBdr>
        <w:top w:val="none" w:sz="0" w:space="0" w:color="auto"/>
        <w:left w:val="none" w:sz="0" w:space="0" w:color="auto"/>
        <w:bottom w:val="none" w:sz="0" w:space="0" w:color="auto"/>
        <w:right w:val="none" w:sz="0" w:space="0" w:color="auto"/>
      </w:divBdr>
    </w:div>
    <w:div w:id="1693875227">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13226">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467">
      <w:bodyDiv w:val="1"/>
      <w:marLeft w:val="0"/>
      <w:marRight w:val="0"/>
      <w:marTop w:val="0"/>
      <w:marBottom w:val="0"/>
      <w:divBdr>
        <w:top w:val="none" w:sz="0" w:space="0" w:color="auto"/>
        <w:left w:val="none" w:sz="0" w:space="0" w:color="auto"/>
        <w:bottom w:val="none" w:sz="0" w:space="0" w:color="auto"/>
        <w:right w:val="none" w:sz="0" w:space="0" w:color="auto"/>
      </w:divBdr>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720781">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BB451-1DB5-4039-94F4-6F8333579CFD}">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21</TotalTime>
  <Pages>27</Pages>
  <Words>10555</Words>
  <Characters>58057</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Manuela Mantilla Pacheco</cp:lastModifiedBy>
  <cp:revision>8</cp:revision>
  <cp:lastPrinted>2021-08-27T20:19:00Z</cp:lastPrinted>
  <dcterms:created xsi:type="dcterms:W3CDTF">2022-03-10T01:23:00Z</dcterms:created>
  <dcterms:modified xsi:type="dcterms:W3CDTF">2022-04-18T21:00:00Z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