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9F5860" w:rsidRDefault="003C7067" w:rsidP="009F0A44">
      <w:pPr>
        <w:jc w:val="right"/>
        <w:rPr>
          <w:rFonts w:ascii="Arial" w:hAnsi="Arial" w:cs="Arial"/>
          <w:b/>
          <w:sz w:val="16"/>
          <w:szCs w:val="16"/>
          <w:lang w:val="es-ES" w:eastAsia="es-ES"/>
        </w:rPr>
      </w:pPr>
      <w:r w:rsidRPr="009F5860">
        <w:rPr>
          <w:rFonts w:ascii="Arial" w:hAnsi="Arial" w:cs="Arial"/>
          <w:b/>
          <w:sz w:val="16"/>
          <w:szCs w:val="16"/>
          <w:lang w:val="es-ES" w:eastAsia="es-ES"/>
        </w:rPr>
        <w:t>CCE-DES-FM-17</w:t>
      </w:r>
    </w:p>
    <w:p w14:paraId="3D711BC7" w14:textId="3E7200C7" w:rsidR="002835D0" w:rsidRDefault="002835D0" w:rsidP="002835D0">
      <w:pPr>
        <w:pStyle w:val="paragraph"/>
        <w:spacing w:before="0" w:beforeAutospacing="0" w:after="0" w:afterAutospacing="0"/>
        <w:jc w:val="both"/>
        <w:textAlignment w:val="baseline"/>
        <w:rPr>
          <w:rFonts w:ascii="Segoe UI" w:hAnsi="Segoe UI" w:cs="Segoe UI"/>
          <w:sz w:val="18"/>
          <w:szCs w:val="18"/>
          <w:lang w:eastAsia="en-US"/>
        </w:rPr>
      </w:pPr>
    </w:p>
    <w:p w14:paraId="374383F9" w14:textId="77777777" w:rsidR="002835D0" w:rsidRDefault="002835D0" w:rsidP="002835D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MX"/>
        </w:rPr>
        <w:t>EXPERIENCIA – Noción ‒ Colombia Compra Eficiente</w:t>
      </w:r>
    </w:p>
    <w:p w14:paraId="342AC9C4" w14:textId="77777777" w:rsidR="002835D0" w:rsidRDefault="002835D0" w:rsidP="002835D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88B23AA" w14:textId="77777777" w:rsidR="002835D0" w:rsidRDefault="002835D0" w:rsidP="002835D0">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s-MX"/>
        </w:rPr>
        <w:t xml:space="preserve">i) La experiencia es </w:t>
      </w:r>
      <w:r>
        <w:rPr>
          <w:rStyle w:val="normaltextrun"/>
          <w:rFonts w:ascii="Arial" w:hAnsi="Arial" w:cs="Arial"/>
          <w:i/>
          <w:iCs/>
          <w:sz w:val="20"/>
          <w:szCs w:val="20"/>
          <w:lang w:val="es-MX"/>
        </w:rPr>
        <w:t>personal</w:t>
      </w:r>
      <w:r>
        <w:rPr>
          <w:rStyle w:val="normaltextrun"/>
          <w:rFonts w:ascii="Arial" w:hAnsi="Arial" w:cs="Arial"/>
          <w:sz w:val="20"/>
          <w:szCs w:val="20"/>
          <w:lang w:val="es-MX"/>
        </w:rPr>
        <w:t>, esto es, se adquiere participando, directa o indirectamente, sin que sea posible no hacerlo y tener experiencia.</w:t>
      </w:r>
    </w:p>
    <w:p w14:paraId="3CE42B31" w14:textId="77777777" w:rsidR="002835D0" w:rsidRDefault="002835D0" w:rsidP="002835D0">
      <w:pPr>
        <w:pStyle w:val="paragraph"/>
        <w:spacing w:before="0" w:beforeAutospacing="0" w:after="0" w:afterAutospacing="0"/>
        <w:jc w:val="both"/>
        <w:textAlignment w:val="baseline"/>
        <w:rPr>
          <w:rFonts w:ascii="Segoe UI" w:hAnsi="Segoe UI" w:cs="Segoe UI"/>
          <w:sz w:val="18"/>
          <w:szCs w:val="18"/>
        </w:rPr>
      </w:pPr>
    </w:p>
    <w:p w14:paraId="1859C900" w14:textId="77777777" w:rsidR="002835D0" w:rsidRDefault="002835D0" w:rsidP="002835D0">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s-MX"/>
        </w:rPr>
        <w:t xml:space="preserve">ii) La experiencia se puede </w:t>
      </w:r>
      <w:r>
        <w:rPr>
          <w:rStyle w:val="normaltextrun"/>
          <w:rFonts w:ascii="Arial" w:hAnsi="Arial" w:cs="Arial"/>
          <w:i/>
          <w:iCs/>
          <w:sz w:val="20"/>
          <w:szCs w:val="20"/>
          <w:lang w:val="es-MX"/>
        </w:rPr>
        <w:t>compartir</w:t>
      </w:r>
      <w:r>
        <w:rPr>
          <w:rStyle w:val="normaltextrun"/>
          <w:rFonts w:ascii="Arial" w:hAnsi="Arial" w:cs="Arial"/>
          <w:sz w:val="20"/>
          <w:szCs w:val="20"/>
          <w:lang w:val="es-MX"/>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4780C271" w14:textId="77777777" w:rsidR="002835D0" w:rsidRDefault="002835D0" w:rsidP="002835D0">
      <w:pPr>
        <w:pStyle w:val="paragraph"/>
        <w:spacing w:before="0" w:beforeAutospacing="0" w:after="0" w:afterAutospacing="0"/>
        <w:jc w:val="both"/>
        <w:textAlignment w:val="baseline"/>
        <w:rPr>
          <w:rFonts w:ascii="Segoe UI" w:hAnsi="Segoe UI" w:cs="Segoe UI"/>
          <w:sz w:val="18"/>
          <w:szCs w:val="18"/>
        </w:rPr>
      </w:pPr>
    </w:p>
    <w:p w14:paraId="31B040CB" w14:textId="77777777" w:rsidR="002835D0" w:rsidRDefault="002835D0" w:rsidP="002835D0">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s-MX"/>
        </w:rPr>
        <w:t xml:space="preserve">iii) La experiencia se puede </w:t>
      </w:r>
      <w:r>
        <w:rPr>
          <w:rStyle w:val="normaltextrun"/>
          <w:rFonts w:ascii="Arial" w:hAnsi="Arial" w:cs="Arial"/>
          <w:i/>
          <w:iCs/>
          <w:sz w:val="20"/>
          <w:szCs w:val="20"/>
          <w:lang w:val="es-MX"/>
        </w:rPr>
        <w:t>transferir</w:t>
      </w:r>
      <w:r>
        <w:rPr>
          <w:rStyle w:val="normaltextrun"/>
          <w:rFonts w:ascii="Arial" w:hAnsi="Arial" w:cs="Arial"/>
          <w:sz w:val="20"/>
          <w:szCs w:val="20"/>
          <w:lang w:val="es-MX"/>
        </w:rPr>
        <w:t>, y esto es diferente a compartir, lo que implica que la experiencia de una persona se traslada a otra, y esta última acredita la experiencia como propia, como sucede con la figura que se explicará con más detalle en el numeral 2.3 de este concepto.</w:t>
      </w:r>
    </w:p>
    <w:p w14:paraId="51B27A1F" w14:textId="77777777" w:rsidR="002835D0" w:rsidRDefault="002835D0" w:rsidP="002835D0">
      <w:pPr>
        <w:pStyle w:val="paragraph"/>
        <w:spacing w:before="0" w:beforeAutospacing="0" w:after="0" w:afterAutospacing="0"/>
        <w:jc w:val="both"/>
        <w:textAlignment w:val="baseline"/>
        <w:rPr>
          <w:rFonts w:ascii="Segoe UI" w:hAnsi="Segoe UI" w:cs="Segoe UI"/>
          <w:sz w:val="18"/>
          <w:szCs w:val="18"/>
        </w:rPr>
      </w:pPr>
    </w:p>
    <w:p w14:paraId="4703D0F3" w14:textId="77777777" w:rsidR="002835D0" w:rsidRPr="00B05499" w:rsidRDefault="002835D0" w:rsidP="002835D0">
      <w:pPr>
        <w:pStyle w:val="paragraph"/>
        <w:spacing w:before="0" w:beforeAutospacing="0" w:after="0" w:afterAutospacing="0"/>
        <w:jc w:val="both"/>
        <w:textAlignment w:val="baseline"/>
        <w:rPr>
          <w:rFonts w:ascii="Segoe UI" w:hAnsi="Segoe UI" w:cs="Segoe UI"/>
          <w:sz w:val="18"/>
          <w:szCs w:val="18"/>
          <w:lang w:val="es-MX"/>
        </w:rPr>
      </w:pPr>
      <w:r>
        <w:rPr>
          <w:rStyle w:val="normaltextrun"/>
          <w:rFonts w:ascii="Arial" w:hAnsi="Arial" w:cs="Arial"/>
          <w:sz w:val="20"/>
          <w:szCs w:val="20"/>
          <w:lang w:val="es-MX"/>
        </w:rPr>
        <w:t xml:space="preserve">iv) Cuando la persona que adquirió la experiencia </w:t>
      </w:r>
      <w:r>
        <w:rPr>
          <w:rStyle w:val="normaltextrun"/>
          <w:rFonts w:ascii="Arial" w:hAnsi="Arial" w:cs="Arial"/>
          <w:i/>
          <w:iCs/>
          <w:sz w:val="20"/>
          <w:szCs w:val="20"/>
          <w:lang w:val="es-MX"/>
        </w:rPr>
        <w:t>desaparece</w:t>
      </w:r>
      <w:r>
        <w:rPr>
          <w:rStyle w:val="normaltextrun"/>
          <w:rFonts w:ascii="Arial" w:hAnsi="Arial" w:cs="Arial"/>
          <w:sz w:val="20"/>
          <w:szCs w:val="20"/>
          <w:lang w:val="es-MX"/>
        </w:rPr>
        <w:t xml:space="preserve"> o se liquida no es posible que comparta o transfiera su experiencia, porque al ser personal sigue la suerte de quien la adquirió.</w:t>
      </w:r>
    </w:p>
    <w:p w14:paraId="1F5FE270" w14:textId="3694AC0F" w:rsidR="00EF19AD" w:rsidRDefault="00EF19AD" w:rsidP="003C7067">
      <w:pPr>
        <w:tabs>
          <w:tab w:val="left" w:pos="0"/>
        </w:tabs>
        <w:spacing w:line="276" w:lineRule="auto"/>
        <w:jc w:val="both"/>
        <w:rPr>
          <w:rFonts w:ascii="Arial" w:eastAsia="Calibri" w:hAnsi="Arial" w:cs="Arial"/>
          <w:b/>
          <w:sz w:val="22"/>
          <w:szCs w:val="22"/>
          <w:lang w:val="es-ES"/>
        </w:rPr>
      </w:pPr>
    </w:p>
    <w:p w14:paraId="397D8562" w14:textId="24CE33B7" w:rsidR="00385A96" w:rsidRDefault="002835D0" w:rsidP="003C7067">
      <w:pPr>
        <w:tabs>
          <w:tab w:val="left" w:pos="0"/>
        </w:tabs>
        <w:spacing w:line="276" w:lineRule="auto"/>
        <w:jc w:val="both"/>
        <w:rPr>
          <w:rFonts w:ascii="Arial" w:eastAsia="Calibri" w:hAnsi="Arial" w:cs="Arial"/>
          <w:b/>
          <w:sz w:val="22"/>
          <w:szCs w:val="22"/>
          <w:lang w:val="es-ES"/>
        </w:rPr>
      </w:pPr>
      <w:r w:rsidRPr="002835D0">
        <w:rPr>
          <w:rFonts w:ascii="Arial" w:eastAsia="Calibri" w:hAnsi="Arial" w:cs="Arial"/>
          <w:b/>
          <w:sz w:val="22"/>
          <w:szCs w:val="22"/>
          <w:lang w:val="es-ES"/>
        </w:rPr>
        <w:t xml:space="preserve">SOCIEDADES NUEVAS – Creación menor a tres años – </w:t>
      </w:r>
      <w:r>
        <w:rPr>
          <w:rFonts w:ascii="Arial" w:eastAsia="Calibri" w:hAnsi="Arial" w:cs="Arial"/>
          <w:b/>
          <w:sz w:val="22"/>
          <w:szCs w:val="22"/>
          <w:lang w:val="es-ES"/>
        </w:rPr>
        <w:t>A</w:t>
      </w:r>
      <w:r w:rsidRPr="002835D0">
        <w:rPr>
          <w:rFonts w:ascii="Arial" w:eastAsia="Calibri" w:hAnsi="Arial" w:cs="Arial"/>
          <w:b/>
          <w:sz w:val="22"/>
          <w:szCs w:val="22"/>
          <w:lang w:val="es-ES"/>
        </w:rPr>
        <w:t>creditación de experiencia</w:t>
      </w:r>
      <w:r>
        <w:rPr>
          <w:rFonts w:ascii="Arial" w:eastAsia="Calibri" w:hAnsi="Arial" w:cs="Arial"/>
          <w:b/>
          <w:sz w:val="22"/>
          <w:szCs w:val="22"/>
          <w:lang w:val="es-ES"/>
        </w:rPr>
        <w:t xml:space="preserve"> – Desarrollo de empresa</w:t>
      </w:r>
    </w:p>
    <w:p w14:paraId="15A2C12F" w14:textId="77777777" w:rsidR="00C04F58" w:rsidRPr="00C04F58" w:rsidRDefault="00C04F58" w:rsidP="003C7067">
      <w:pPr>
        <w:tabs>
          <w:tab w:val="left" w:pos="0"/>
        </w:tabs>
        <w:spacing w:line="276" w:lineRule="auto"/>
        <w:jc w:val="both"/>
        <w:rPr>
          <w:rFonts w:ascii="Arial" w:eastAsia="Calibri" w:hAnsi="Arial" w:cs="Arial"/>
          <w:b/>
          <w:sz w:val="22"/>
          <w:szCs w:val="22"/>
          <w:lang w:val="es-ES"/>
        </w:rPr>
      </w:pPr>
    </w:p>
    <w:p w14:paraId="07AD5AEF" w14:textId="505638EB" w:rsidR="002835D0" w:rsidRPr="00C04F58" w:rsidRDefault="00C04F58" w:rsidP="00C04F58">
      <w:pPr>
        <w:jc w:val="both"/>
        <w:rPr>
          <w:rFonts w:ascii="Arial" w:hAnsi="Arial" w:cs="Arial"/>
          <w:sz w:val="20"/>
          <w:szCs w:val="20"/>
          <w:lang w:val="es-MX" w:eastAsia="es-ES_tradnl"/>
        </w:rPr>
      </w:pPr>
      <w:r w:rsidRPr="00C04F58">
        <w:rPr>
          <w:rFonts w:ascii="Arial" w:hAnsi="Arial" w:cs="Arial"/>
          <w:sz w:val="20"/>
          <w:szCs w:val="20"/>
          <w:lang w:val="es-MX" w:eastAsia="es-ES_tradnl"/>
        </w:rPr>
        <w:t xml:space="preserve">[…] </w:t>
      </w:r>
      <w:r w:rsidR="002835D0" w:rsidRPr="00C04F58">
        <w:rPr>
          <w:rFonts w:ascii="Arial" w:hAnsi="Arial" w:cs="Arial"/>
          <w:sz w:val="20"/>
          <w:szCs w:val="20"/>
          <w:lang w:val="es-MX" w:eastAsia="es-ES_tradnl"/>
        </w:rPr>
        <w:t xml:space="preserve">la parte final del numeral 2.5 del artículo citado incluye una medida diferenciada para las personas jurídicas cuya constitución sea menor a 3 años al momento del registro. Esta facultad, que puede entenderse como una medida de fomento a la participación de pequeños oferentes en la contratación estatal, permite que las sociedades relativamente nuevas </w:t>
      </w:r>
      <w:r w:rsidR="002835D0" w:rsidRPr="00C04F58">
        <w:rPr>
          <w:rFonts w:ascii="Arial" w:eastAsia="Calibri" w:hAnsi="Arial" w:cs="Arial"/>
          <w:sz w:val="20"/>
          <w:szCs w:val="20"/>
          <w:lang w:val="es-MX" w:eastAsia="es-ES_tradnl"/>
        </w:rPr>
        <w:t>─</w:t>
      </w:r>
      <w:r w:rsidR="002835D0" w:rsidRPr="00C04F58">
        <w:rPr>
          <w:rFonts w:ascii="Arial" w:hAnsi="Arial" w:cs="Arial"/>
          <w:sz w:val="20"/>
          <w:szCs w:val="20"/>
          <w:lang w:val="es-MX" w:eastAsia="es-ES_tradnl"/>
        </w:rPr>
        <w:t>con menos de 3 años de constitución</w:t>
      </w:r>
      <w:r w:rsidR="002835D0" w:rsidRPr="00C04F58">
        <w:rPr>
          <w:rFonts w:ascii="Arial" w:eastAsia="Calibri" w:hAnsi="Arial" w:cs="Arial"/>
          <w:sz w:val="20"/>
          <w:szCs w:val="20"/>
          <w:lang w:val="es-MX" w:eastAsia="es-ES_tradnl"/>
        </w:rPr>
        <w:t>─</w:t>
      </w:r>
      <w:r w:rsidR="002835D0" w:rsidRPr="00C04F58">
        <w:rPr>
          <w:rFonts w:ascii="Arial" w:hAnsi="Arial" w:cs="Arial"/>
          <w:sz w:val="20"/>
          <w:szCs w:val="20"/>
          <w:lang w:val="es-MX" w:eastAsia="es-ES_tradnl"/>
        </w:rPr>
        <w:t xml:space="preserve"> puedan acreditar como experiencia en el RUP la de sus accionistas, socios o constituyentes. </w:t>
      </w:r>
    </w:p>
    <w:p w14:paraId="20863B53" w14:textId="77777777" w:rsidR="002835D0" w:rsidRPr="00C04F58" w:rsidRDefault="002835D0" w:rsidP="00C04F58">
      <w:pPr>
        <w:spacing w:before="120" w:after="120"/>
        <w:jc w:val="both"/>
        <w:rPr>
          <w:rFonts w:ascii="Arial" w:hAnsi="Arial" w:cs="Arial"/>
          <w:sz w:val="20"/>
          <w:szCs w:val="20"/>
          <w:lang w:val="es-MX" w:eastAsia="es-ES_tradnl"/>
        </w:rPr>
      </w:pPr>
      <w:r w:rsidRPr="00C04F58">
        <w:rPr>
          <w:rFonts w:ascii="Arial" w:hAnsi="Arial" w:cs="Arial"/>
          <w:sz w:val="20"/>
          <w:szCs w:val="20"/>
          <w:lang w:val="es-MX" w:eastAsia="es-ES_tradnl"/>
        </w:rPr>
        <w:t xml:space="preserve">De este modo, a pesar de que la experiencia es inherente a la persona que la ha obtenido, razón por la cual es intransferible en virtud de su carácter personalísimo, por disposición legal o reglamentaria, en casos excepcionales, como el descrito por el artículo mencionado, se aplica de otra manera. </w:t>
      </w:r>
    </w:p>
    <w:p w14:paraId="589E90FA" w14:textId="2BFA0981" w:rsidR="002835D0" w:rsidRDefault="002835D0" w:rsidP="00C04F58">
      <w:pPr>
        <w:spacing w:before="120"/>
        <w:jc w:val="both"/>
        <w:rPr>
          <w:rFonts w:ascii="Arial" w:hAnsi="Arial" w:cs="Arial"/>
          <w:sz w:val="20"/>
          <w:szCs w:val="20"/>
          <w:lang w:val="es-MX" w:eastAsia="es-ES_tradnl"/>
        </w:rPr>
      </w:pPr>
      <w:r w:rsidRPr="00C04F58">
        <w:rPr>
          <w:rFonts w:ascii="Arial" w:hAnsi="Arial" w:cs="Arial"/>
          <w:sz w:val="20"/>
          <w:szCs w:val="20"/>
          <w:lang w:val="es-MX" w:eastAsia="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24B567B" w14:textId="77777777" w:rsidR="00C04F58" w:rsidRDefault="00C04F58" w:rsidP="00C04F58">
      <w:pPr>
        <w:jc w:val="both"/>
        <w:rPr>
          <w:rFonts w:ascii="Arial" w:hAnsi="Arial" w:cs="Arial"/>
          <w:sz w:val="20"/>
          <w:szCs w:val="20"/>
          <w:lang w:val="es-MX" w:eastAsia="es-ES_tradnl"/>
        </w:rPr>
      </w:pPr>
    </w:p>
    <w:p w14:paraId="04964A2B" w14:textId="77777777" w:rsidR="00C04F58" w:rsidRDefault="00C04F58" w:rsidP="00C04F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MX"/>
        </w:rPr>
        <w:t>EXPERIENCIA ‒ Conservación ‒ Renovación RUP ‒ Cesación efectos RUP</w:t>
      </w:r>
    </w:p>
    <w:p w14:paraId="14A7F425" w14:textId="77777777" w:rsidR="00C04F58" w:rsidRDefault="00C04F58" w:rsidP="00C04F5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A4DE7F9" w14:textId="77777777" w:rsidR="00C04F58" w:rsidRDefault="00C04F58" w:rsidP="00C04F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MX"/>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00DBA003" w14:textId="77777777" w:rsidR="00C04F58" w:rsidRDefault="00C04F58" w:rsidP="00C04F58">
      <w:pPr>
        <w:spacing w:before="120"/>
        <w:jc w:val="both"/>
        <w:rPr>
          <w:rFonts w:ascii="Arial" w:hAnsi="Arial" w:cs="Arial"/>
          <w:sz w:val="20"/>
          <w:szCs w:val="20"/>
          <w:lang w:val="es-MX" w:eastAsia="es-ES_tradnl"/>
        </w:rPr>
      </w:pPr>
    </w:p>
    <w:p w14:paraId="588DDD80" w14:textId="2FB64C7F" w:rsidR="009B20DB" w:rsidRDefault="009B20DB" w:rsidP="003C7067">
      <w:pPr>
        <w:rPr>
          <w:rFonts w:ascii="Arial" w:eastAsia="Calibri" w:hAnsi="Arial" w:cs="Arial"/>
          <w:sz w:val="22"/>
          <w:szCs w:val="22"/>
          <w:lang w:val="es-ES"/>
        </w:rPr>
      </w:pPr>
    </w:p>
    <w:p w14:paraId="7FA17DAC" w14:textId="668ED04E" w:rsidR="00E94838" w:rsidRDefault="00E94838" w:rsidP="003C7067">
      <w:pPr>
        <w:rPr>
          <w:rFonts w:ascii="Arial" w:eastAsia="Calibri" w:hAnsi="Arial" w:cs="Arial"/>
          <w:sz w:val="22"/>
          <w:szCs w:val="22"/>
          <w:lang w:val="es-ES"/>
        </w:rPr>
      </w:pPr>
    </w:p>
    <w:p w14:paraId="172250D6" w14:textId="0624FCA3" w:rsidR="00C63119" w:rsidRDefault="00C63119" w:rsidP="00C63119">
      <w:pPr>
        <w:jc w:val="right"/>
      </w:pPr>
      <w:r>
        <w:fldChar w:fldCharType="begin"/>
      </w:r>
      <w:r>
        <w:instrText xml:space="preserve"> INCLUDEPICTURE "/var/folders/tb/0fmk9b510f57pz5rwhv8lnpw0000gp/T/com.microsoft.Word/WebArchiveCopyPasteTempFiles/page1image1035427152" \* MERGEFORMATINET </w:instrText>
      </w:r>
      <w:r>
        <w:fldChar w:fldCharType="separate"/>
      </w:r>
      <w:r>
        <w:rPr>
          <w:noProof/>
        </w:rPr>
        <w:drawing>
          <wp:inline distT="0" distB="0" distL="0" distR="0" wp14:anchorId="0EA62691" wp14:editId="62237AA5">
            <wp:extent cx="2406015" cy="613410"/>
            <wp:effectExtent l="0" t="0" r="0" b="0"/>
            <wp:docPr id="1" name="Imagen 1" descr="page1image103542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35427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015" cy="613410"/>
                    </a:xfrm>
                    <a:prstGeom prst="rect">
                      <a:avLst/>
                    </a:prstGeom>
                    <a:noFill/>
                    <a:ln>
                      <a:noFill/>
                    </a:ln>
                  </pic:spPr>
                </pic:pic>
              </a:graphicData>
            </a:graphic>
          </wp:inline>
        </w:drawing>
      </w:r>
      <w:r>
        <w:fldChar w:fldCharType="end"/>
      </w:r>
    </w:p>
    <w:p w14:paraId="3B28140D" w14:textId="77777777" w:rsidR="00E94838" w:rsidRDefault="00E94838" w:rsidP="003C7067">
      <w:pPr>
        <w:rPr>
          <w:rFonts w:ascii="Arial" w:eastAsia="Calibri" w:hAnsi="Arial" w:cs="Arial"/>
          <w:sz w:val="22"/>
          <w:szCs w:val="22"/>
          <w:lang w:val="es-ES"/>
        </w:rPr>
      </w:pPr>
    </w:p>
    <w:p w14:paraId="197C6852" w14:textId="598EDBAA" w:rsidR="00B036EA" w:rsidRPr="00BB5FFC" w:rsidRDefault="00731374" w:rsidP="003C7067">
      <w:pPr>
        <w:rPr>
          <w:rFonts w:ascii="Arial" w:eastAsia="Calibri" w:hAnsi="Arial" w:cs="Arial"/>
          <w:sz w:val="22"/>
          <w:szCs w:val="22"/>
          <w:lang w:val="es-ES"/>
        </w:rPr>
      </w:pPr>
      <w:r w:rsidRPr="00BB5FFC">
        <w:rPr>
          <w:rFonts w:ascii="Arial" w:eastAsia="Calibri" w:hAnsi="Arial" w:cs="Arial"/>
          <w:sz w:val="22"/>
          <w:szCs w:val="22"/>
          <w:lang w:val="es-ES"/>
        </w:rPr>
        <w:t>Señor</w:t>
      </w:r>
    </w:p>
    <w:p w14:paraId="5705F723" w14:textId="67A90449" w:rsidR="00731374" w:rsidRPr="00BB5FFC" w:rsidRDefault="00731374" w:rsidP="003C7067">
      <w:pPr>
        <w:rPr>
          <w:rFonts w:ascii="Arial" w:eastAsia="Calibri" w:hAnsi="Arial" w:cs="Arial"/>
          <w:b/>
          <w:bCs/>
          <w:sz w:val="22"/>
          <w:szCs w:val="22"/>
          <w:lang w:val="es-ES"/>
        </w:rPr>
      </w:pPr>
      <w:r w:rsidRPr="00BB5FFC">
        <w:rPr>
          <w:rFonts w:ascii="Arial" w:eastAsia="Calibri" w:hAnsi="Arial" w:cs="Arial"/>
          <w:b/>
          <w:bCs/>
          <w:sz w:val="22"/>
          <w:szCs w:val="22"/>
          <w:lang w:val="es-ES"/>
        </w:rPr>
        <w:t>David Reales Ríos</w:t>
      </w:r>
    </w:p>
    <w:p w14:paraId="5A16421B" w14:textId="23436DBC" w:rsidR="009F4296" w:rsidRPr="00731374" w:rsidRDefault="009F4296" w:rsidP="003C7067">
      <w:pPr>
        <w:rPr>
          <w:rFonts w:ascii="Arial" w:eastAsia="Calibri" w:hAnsi="Arial" w:cs="Arial"/>
          <w:sz w:val="22"/>
          <w:szCs w:val="22"/>
          <w:lang w:val="es-ES"/>
        </w:rPr>
      </w:pPr>
      <w:r>
        <w:rPr>
          <w:rFonts w:ascii="Arial" w:eastAsia="Calibri" w:hAnsi="Arial" w:cs="Arial"/>
          <w:sz w:val="22"/>
          <w:szCs w:val="22"/>
          <w:lang w:val="es-ES"/>
        </w:rPr>
        <w:t>Bogotá, D.C</w:t>
      </w:r>
      <w:r w:rsidR="009B20DB">
        <w:rPr>
          <w:rFonts w:ascii="Arial" w:eastAsia="Calibri" w:hAnsi="Arial" w:cs="Arial"/>
          <w:sz w:val="22"/>
          <w:szCs w:val="22"/>
          <w:lang w:val="es-ES"/>
        </w:rPr>
        <w:t>.</w:t>
      </w:r>
      <w:r>
        <w:rPr>
          <w:rFonts w:ascii="Arial" w:eastAsia="Calibri" w:hAnsi="Arial" w:cs="Arial"/>
          <w:sz w:val="22"/>
          <w:szCs w:val="22"/>
          <w:lang w:val="es-ES"/>
        </w:rPr>
        <w:t xml:space="preserve"> </w:t>
      </w:r>
    </w:p>
    <w:p w14:paraId="15C6E9E5" w14:textId="77777777" w:rsidR="0004470C" w:rsidRPr="009F5860" w:rsidRDefault="0004470C" w:rsidP="003C7067">
      <w:pPr>
        <w:rPr>
          <w:rFonts w:ascii="Arial" w:eastAsia="Calibri" w:hAnsi="Arial" w:cs="Arial"/>
          <w:b/>
          <w:sz w:val="22"/>
          <w:szCs w:val="22"/>
          <w:lang w:val="es-ES"/>
        </w:rPr>
      </w:pPr>
    </w:p>
    <w:p w14:paraId="1F4E36CB" w14:textId="1F1CD1B5" w:rsidR="003C7067" w:rsidRPr="009F5860" w:rsidRDefault="003C7067" w:rsidP="003C7067">
      <w:pPr>
        <w:rPr>
          <w:rFonts w:ascii="Arial" w:eastAsia="Calibri" w:hAnsi="Arial" w:cs="Arial"/>
          <w:b/>
          <w:sz w:val="22"/>
          <w:szCs w:val="22"/>
          <w:lang w:val="es-ES"/>
        </w:rPr>
      </w:pPr>
      <w:r w:rsidRPr="009F5860">
        <w:rPr>
          <w:rFonts w:ascii="Arial" w:eastAsia="Calibri" w:hAnsi="Arial" w:cs="Arial"/>
          <w:b/>
          <w:sz w:val="22"/>
          <w:szCs w:val="22"/>
          <w:lang w:val="es-ES"/>
        </w:rPr>
        <w:t xml:space="preserve">                                       Concepto C – </w:t>
      </w:r>
      <w:r w:rsidR="00731374">
        <w:rPr>
          <w:rFonts w:ascii="Arial" w:eastAsia="Calibri" w:hAnsi="Arial" w:cs="Arial"/>
          <w:b/>
          <w:sz w:val="22"/>
          <w:szCs w:val="22"/>
          <w:lang w:val="es-ES"/>
        </w:rPr>
        <w:t>14</w:t>
      </w:r>
      <w:r w:rsidR="003104CB">
        <w:rPr>
          <w:rFonts w:ascii="Arial" w:eastAsia="Calibri" w:hAnsi="Arial" w:cs="Arial"/>
          <w:b/>
          <w:sz w:val="22"/>
          <w:szCs w:val="22"/>
          <w:lang w:val="es-ES"/>
        </w:rPr>
        <w:t>4</w:t>
      </w:r>
      <w:r w:rsidRPr="009F5860">
        <w:rPr>
          <w:rFonts w:ascii="Arial" w:eastAsia="Calibri" w:hAnsi="Arial" w:cs="Arial"/>
          <w:b/>
          <w:sz w:val="22"/>
          <w:szCs w:val="22"/>
          <w:lang w:val="es-ES"/>
        </w:rPr>
        <w:t xml:space="preserve"> de 202</w:t>
      </w:r>
      <w:r w:rsidR="003104CB">
        <w:rPr>
          <w:rFonts w:ascii="Arial" w:eastAsia="Calibri" w:hAnsi="Arial" w:cs="Arial"/>
          <w:b/>
          <w:sz w:val="22"/>
          <w:szCs w:val="22"/>
          <w:lang w:val="es-ES"/>
        </w:rPr>
        <w:t>2</w:t>
      </w:r>
      <w:r w:rsidRPr="009F5860">
        <w:rPr>
          <w:rFonts w:ascii="Arial" w:eastAsia="Calibri" w:hAnsi="Arial" w:cs="Arial"/>
          <w:b/>
          <w:sz w:val="22"/>
          <w:szCs w:val="22"/>
          <w:lang w:val="es-ES"/>
        </w:rPr>
        <w:t xml:space="preserve"> </w:t>
      </w:r>
    </w:p>
    <w:p w14:paraId="1698D01B" w14:textId="77777777" w:rsidR="003C7067" w:rsidRPr="009F5860"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9F5860" w14:paraId="7C1768E2" w14:textId="77777777" w:rsidTr="00E74412">
        <w:trPr>
          <w:trHeight w:val="823"/>
        </w:trPr>
        <w:tc>
          <w:tcPr>
            <w:tcW w:w="2410" w:type="dxa"/>
          </w:tcPr>
          <w:p w14:paraId="7F7464C9" w14:textId="77777777" w:rsidR="003C7067" w:rsidRPr="009916A6" w:rsidRDefault="003C7067" w:rsidP="00D81E5B">
            <w:pPr>
              <w:rPr>
                <w:rFonts w:ascii="Arial" w:eastAsia="Calibri" w:hAnsi="Arial" w:cs="Arial"/>
                <w:lang w:val="es-ES"/>
              </w:rPr>
            </w:pPr>
            <w:r w:rsidRPr="009916A6">
              <w:rPr>
                <w:rFonts w:ascii="Arial" w:eastAsia="Calibri" w:hAnsi="Arial" w:cs="Arial" w:hint="cs"/>
                <w:b/>
                <w:lang w:val="es-ES"/>
              </w:rPr>
              <w:t>Temas:</w:t>
            </w:r>
            <w:r w:rsidRPr="009916A6">
              <w:rPr>
                <w:rFonts w:ascii="Arial" w:eastAsia="Calibri" w:hAnsi="Arial" w:cs="Arial" w:hint="cs"/>
                <w:lang w:val="es-ES"/>
              </w:rPr>
              <w:t xml:space="preserve">                                      </w:t>
            </w:r>
          </w:p>
        </w:tc>
        <w:tc>
          <w:tcPr>
            <w:tcW w:w="6516" w:type="dxa"/>
          </w:tcPr>
          <w:p w14:paraId="2F4B7014" w14:textId="6CD59A57" w:rsidR="002835D0" w:rsidRPr="009B20DB" w:rsidRDefault="002835D0" w:rsidP="009B20DB">
            <w:pPr>
              <w:pStyle w:val="paragraph"/>
              <w:spacing w:before="0" w:beforeAutospacing="0" w:after="0" w:afterAutospacing="0"/>
              <w:jc w:val="both"/>
              <w:textAlignment w:val="baseline"/>
              <w:rPr>
                <w:rFonts w:ascii="Segoe UI" w:hAnsi="Segoe UI" w:cs="Segoe UI"/>
                <w:bCs/>
                <w:sz w:val="18"/>
                <w:szCs w:val="18"/>
              </w:rPr>
            </w:pPr>
            <w:r w:rsidRPr="00C04F58">
              <w:rPr>
                <w:rFonts w:ascii="Arial" w:eastAsia="Calibri" w:hAnsi="Arial" w:cs="Arial"/>
                <w:bCs/>
                <w:lang w:val="es-ES"/>
              </w:rPr>
              <w:t xml:space="preserve">EXPERIENCIA – Noción – Colombia Compra Eficiente / SOCIEDADES NUEVAS – Creación menor a tres años – </w:t>
            </w:r>
            <w:r w:rsidR="00C04F58" w:rsidRPr="00C04F58">
              <w:rPr>
                <w:rFonts w:ascii="Arial" w:eastAsia="Calibri" w:hAnsi="Arial" w:cs="Arial"/>
                <w:bCs/>
                <w:lang w:val="es-ES"/>
              </w:rPr>
              <w:t>A</w:t>
            </w:r>
            <w:r w:rsidRPr="00C04F58">
              <w:rPr>
                <w:rFonts w:ascii="Arial" w:eastAsia="Calibri" w:hAnsi="Arial" w:cs="Arial"/>
                <w:bCs/>
                <w:lang w:val="es-ES"/>
              </w:rPr>
              <w:t xml:space="preserve">creditación de experiencia </w:t>
            </w:r>
            <w:r w:rsidR="00C04F58" w:rsidRPr="00C04F58">
              <w:rPr>
                <w:rFonts w:ascii="Arial" w:eastAsia="Calibri" w:hAnsi="Arial" w:cs="Arial"/>
                <w:bCs/>
                <w:lang w:val="es-ES"/>
              </w:rPr>
              <w:t xml:space="preserve">– Desarrollo de empresa / </w:t>
            </w:r>
            <w:r w:rsidR="00C04F58" w:rsidRPr="00C04F58">
              <w:rPr>
                <w:rStyle w:val="normaltextrun"/>
                <w:rFonts w:ascii="Arial" w:hAnsi="Arial" w:cs="Arial"/>
                <w:bCs/>
                <w:lang w:val="es-MX"/>
              </w:rPr>
              <w:t>EXPERIENCIA ‒ Conservación ‒ Renovación RUP ‒ Cesación efectos RUP</w:t>
            </w:r>
          </w:p>
        </w:tc>
      </w:tr>
      <w:tr w:rsidR="003C7067" w:rsidRPr="009F5860" w14:paraId="60D249F0" w14:textId="77777777" w:rsidTr="00E74412">
        <w:tc>
          <w:tcPr>
            <w:tcW w:w="2410" w:type="dxa"/>
          </w:tcPr>
          <w:p w14:paraId="291F9A18" w14:textId="77777777" w:rsidR="003C7067" w:rsidRPr="009F5860" w:rsidRDefault="003C7067" w:rsidP="00D81E5B">
            <w:pPr>
              <w:rPr>
                <w:rFonts w:ascii="Arial" w:eastAsia="Calibri" w:hAnsi="Arial" w:cs="Arial"/>
                <w:lang w:val="es-ES"/>
              </w:rPr>
            </w:pPr>
            <w:r w:rsidRPr="009F5860">
              <w:rPr>
                <w:rFonts w:ascii="Arial" w:eastAsia="Calibri" w:hAnsi="Arial" w:cs="Arial"/>
                <w:b/>
                <w:lang w:val="es-ES"/>
              </w:rPr>
              <w:t>Radicación:</w:t>
            </w:r>
            <w:r w:rsidRPr="009F5860">
              <w:rPr>
                <w:rFonts w:ascii="Arial" w:eastAsia="Calibri" w:hAnsi="Arial" w:cs="Arial"/>
                <w:lang w:val="es-ES"/>
              </w:rPr>
              <w:t xml:space="preserve">                              </w:t>
            </w:r>
          </w:p>
        </w:tc>
        <w:tc>
          <w:tcPr>
            <w:tcW w:w="6516" w:type="dxa"/>
          </w:tcPr>
          <w:p w14:paraId="3C674517" w14:textId="53AA6F59" w:rsidR="003C7067" w:rsidRPr="009F5860" w:rsidRDefault="003C7067" w:rsidP="005D20C7">
            <w:pPr>
              <w:jc w:val="both"/>
              <w:rPr>
                <w:rFonts w:ascii="Arial" w:hAnsi="Arial" w:cs="Arial"/>
              </w:rPr>
            </w:pPr>
            <w:r w:rsidRPr="009F5860">
              <w:rPr>
                <w:rFonts w:ascii="Arial" w:eastAsia="Calibri" w:hAnsi="Arial" w:cs="Arial"/>
                <w:lang w:val="es-ES"/>
              </w:rPr>
              <w:t>Respuesta a consulta</w:t>
            </w:r>
            <w:r w:rsidR="00731374">
              <w:rPr>
                <w:rFonts w:ascii="Arial" w:eastAsia="Calibri" w:hAnsi="Arial" w:cs="Arial"/>
                <w:lang w:val="es-ES"/>
              </w:rPr>
              <w:t>s</w:t>
            </w:r>
            <w:r w:rsidR="00A83C01">
              <w:rPr>
                <w:rFonts w:ascii="Arial" w:eastAsia="Calibri" w:hAnsi="Arial" w:cs="Arial"/>
                <w:lang w:val="es-ES"/>
              </w:rPr>
              <w:t xml:space="preserve"> </w:t>
            </w:r>
            <w:proofErr w:type="gramStart"/>
            <w:r w:rsidR="00A83C01">
              <w:rPr>
                <w:rFonts w:ascii="Arial" w:eastAsia="Calibri" w:hAnsi="Arial" w:cs="Arial"/>
                <w:lang w:val="es-ES"/>
              </w:rPr>
              <w:t>acumuladas</w:t>
            </w:r>
            <w:r w:rsidR="0028433E">
              <w:rPr>
                <w:rFonts w:ascii="Arial" w:eastAsia="Calibri" w:hAnsi="Arial" w:cs="Arial"/>
                <w:lang w:val="es-ES"/>
              </w:rPr>
              <w:t xml:space="preserve"> </w:t>
            </w:r>
            <w:r w:rsidRPr="006B040D">
              <w:rPr>
                <w:rFonts w:ascii="Arial" w:eastAsia="Calibri" w:hAnsi="Arial" w:cs="Arial"/>
                <w:lang w:val="es-ES"/>
              </w:rPr>
              <w:t xml:space="preserve"> </w:t>
            </w:r>
            <w:r w:rsidR="00731374" w:rsidRPr="005375F3">
              <w:rPr>
                <w:rFonts w:ascii="Arial" w:hAnsi="Arial" w:cs="Arial"/>
              </w:rPr>
              <w:t>P</w:t>
            </w:r>
            <w:proofErr w:type="gramEnd"/>
            <w:r w:rsidR="00731374" w:rsidRPr="005375F3">
              <w:rPr>
                <w:rFonts w:ascii="Arial" w:hAnsi="Arial" w:cs="Arial"/>
              </w:rPr>
              <w:t xml:space="preserve">20220217001612 </w:t>
            </w:r>
            <w:r w:rsidR="00731374">
              <w:rPr>
                <w:rFonts w:ascii="Arial" w:hAnsi="Arial" w:cs="Arial"/>
              </w:rPr>
              <w:t>y</w:t>
            </w:r>
            <w:r w:rsidR="00731374" w:rsidRPr="005375F3">
              <w:rPr>
                <w:rFonts w:ascii="Arial" w:hAnsi="Arial" w:cs="Arial"/>
              </w:rPr>
              <w:t xml:space="preserve"> P20220218001633</w:t>
            </w:r>
          </w:p>
        </w:tc>
      </w:tr>
    </w:tbl>
    <w:p w14:paraId="776B553A" w14:textId="1E5ECA65" w:rsidR="003C7067" w:rsidRDefault="003C7067" w:rsidP="003C7067">
      <w:pPr>
        <w:spacing w:line="276" w:lineRule="auto"/>
        <w:rPr>
          <w:rFonts w:ascii="Arial" w:eastAsia="Calibri" w:hAnsi="Arial" w:cs="Arial"/>
          <w:sz w:val="22"/>
          <w:szCs w:val="22"/>
          <w:lang w:val="es-ES"/>
        </w:rPr>
      </w:pPr>
    </w:p>
    <w:p w14:paraId="35873A1E" w14:textId="77777777" w:rsidR="007374F5" w:rsidRPr="009F5860" w:rsidRDefault="007374F5" w:rsidP="003C7067">
      <w:pPr>
        <w:spacing w:line="276" w:lineRule="auto"/>
        <w:rPr>
          <w:rFonts w:ascii="Arial" w:eastAsia="Calibri" w:hAnsi="Arial" w:cs="Arial"/>
          <w:sz w:val="22"/>
          <w:szCs w:val="22"/>
          <w:lang w:val="es-ES"/>
        </w:rPr>
      </w:pPr>
    </w:p>
    <w:p w14:paraId="6BB19977" w14:textId="4ED4E87C" w:rsidR="003C7067" w:rsidRPr="009F5860" w:rsidRDefault="003C7067" w:rsidP="003C7067">
      <w:pPr>
        <w:tabs>
          <w:tab w:val="left" w:pos="3736"/>
        </w:tabs>
        <w:spacing w:line="276" w:lineRule="auto"/>
        <w:rPr>
          <w:rFonts w:ascii="Arial" w:eastAsia="Calibri" w:hAnsi="Arial" w:cs="Arial"/>
          <w:sz w:val="22"/>
          <w:szCs w:val="22"/>
          <w:lang w:val="es-ES"/>
        </w:rPr>
      </w:pPr>
      <w:r w:rsidRPr="009F5860">
        <w:rPr>
          <w:rFonts w:ascii="Arial" w:eastAsia="Calibri" w:hAnsi="Arial" w:cs="Arial"/>
          <w:sz w:val="22"/>
          <w:szCs w:val="22"/>
          <w:lang w:val="es-ES"/>
        </w:rPr>
        <w:t>Estimad</w:t>
      </w:r>
      <w:r w:rsidR="00731374">
        <w:rPr>
          <w:rFonts w:ascii="Arial" w:eastAsia="Calibri" w:hAnsi="Arial" w:cs="Arial"/>
          <w:sz w:val="22"/>
          <w:szCs w:val="22"/>
          <w:lang w:val="es-ES"/>
        </w:rPr>
        <w:t>o</w:t>
      </w:r>
      <w:r w:rsidR="007A5F2D">
        <w:rPr>
          <w:rFonts w:ascii="Arial" w:eastAsia="Calibri" w:hAnsi="Arial" w:cs="Arial"/>
          <w:sz w:val="22"/>
          <w:szCs w:val="22"/>
          <w:lang w:val="es-ES"/>
        </w:rPr>
        <w:t xml:space="preserve"> </w:t>
      </w:r>
      <w:r w:rsidRPr="009F5860">
        <w:rPr>
          <w:rFonts w:ascii="Arial" w:eastAsia="Calibri" w:hAnsi="Arial" w:cs="Arial"/>
          <w:sz w:val="22"/>
          <w:szCs w:val="22"/>
          <w:lang w:val="es-ES"/>
        </w:rPr>
        <w:t>señor</w:t>
      </w:r>
      <w:r w:rsidR="00DA07F3" w:rsidRPr="009F5860">
        <w:rPr>
          <w:rFonts w:ascii="Arial" w:eastAsia="Calibri" w:hAnsi="Arial" w:cs="Arial"/>
          <w:sz w:val="22"/>
          <w:szCs w:val="22"/>
          <w:lang w:val="es-ES"/>
        </w:rPr>
        <w:t xml:space="preserve"> </w:t>
      </w:r>
      <w:r w:rsidR="00731374">
        <w:rPr>
          <w:rFonts w:ascii="Arial" w:eastAsia="Calibri" w:hAnsi="Arial" w:cs="Arial"/>
          <w:sz w:val="22"/>
          <w:szCs w:val="22"/>
          <w:lang w:val="es-ES"/>
        </w:rPr>
        <w:t>Reales</w:t>
      </w:r>
      <w:r w:rsidR="0083524B">
        <w:rPr>
          <w:rFonts w:ascii="Arial" w:eastAsia="Calibri" w:hAnsi="Arial" w:cs="Arial"/>
          <w:sz w:val="22"/>
          <w:szCs w:val="22"/>
          <w:lang w:val="es-ES"/>
        </w:rPr>
        <w:t>:</w:t>
      </w:r>
    </w:p>
    <w:p w14:paraId="17594CC4" w14:textId="77777777" w:rsidR="003C7067" w:rsidRPr="009F5860" w:rsidRDefault="003C7067" w:rsidP="003C7067">
      <w:pPr>
        <w:spacing w:line="276" w:lineRule="auto"/>
        <w:rPr>
          <w:rFonts w:ascii="Arial" w:eastAsia="Calibri" w:hAnsi="Arial" w:cs="Arial"/>
          <w:sz w:val="22"/>
          <w:szCs w:val="22"/>
          <w:lang w:val="es-ES"/>
        </w:rPr>
      </w:pPr>
    </w:p>
    <w:p w14:paraId="2E5BE0B4" w14:textId="39309101" w:rsidR="002F339A"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La Agencia Nacional de Contratación Pública – Colombia Compra Eficiente</w:t>
      </w:r>
      <w:r w:rsidR="00C15870">
        <w:rPr>
          <w:rFonts w:ascii="Arial" w:eastAsia="Calibri" w:hAnsi="Arial" w:cs="Arial"/>
          <w:sz w:val="22"/>
          <w:szCs w:val="22"/>
          <w:lang w:val="es-ES"/>
        </w:rPr>
        <w:t xml:space="preserve">, </w:t>
      </w:r>
      <w:r w:rsidR="00C15870" w:rsidRPr="009F5860">
        <w:rPr>
          <w:rFonts w:ascii="Arial" w:eastAsia="Calibri" w:hAnsi="Arial" w:cs="Arial"/>
          <w:sz w:val="22"/>
          <w:szCs w:val="22"/>
          <w:lang w:val="es-ES"/>
        </w:rPr>
        <w:t>en ejercicio de la competencia otorgada por el numeral 8 del artículo 11 y el numeral 5 del artículo 3 del Decreto Ley 4170 de 2011</w:t>
      </w:r>
      <w:r w:rsidR="00C15870">
        <w:rPr>
          <w:rFonts w:ascii="Arial" w:eastAsia="Calibri" w:hAnsi="Arial" w:cs="Arial"/>
          <w:sz w:val="22"/>
          <w:szCs w:val="22"/>
          <w:lang w:val="es-ES"/>
        </w:rPr>
        <w:t>,</w:t>
      </w:r>
      <w:r w:rsidRPr="009F5860">
        <w:rPr>
          <w:rFonts w:ascii="Arial" w:eastAsia="Calibri" w:hAnsi="Arial" w:cs="Arial"/>
          <w:sz w:val="22"/>
          <w:szCs w:val="22"/>
          <w:lang w:val="es-ES"/>
        </w:rPr>
        <w:t xml:space="preserve"> responde s</w:t>
      </w:r>
      <w:r w:rsidR="00731374">
        <w:rPr>
          <w:rFonts w:ascii="Arial" w:eastAsia="Calibri" w:hAnsi="Arial" w:cs="Arial"/>
          <w:sz w:val="22"/>
          <w:szCs w:val="22"/>
          <w:lang w:val="es-ES"/>
        </w:rPr>
        <w:t>us consultadas remitidas el 17 y 18 de febrero correspondientemente</w:t>
      </w:r>
      <w:r w:rsidR="00C15870">
        <w:rPr>
          <w:rFonts w:ascii="Arial" w:eastAsia="Calibri" w:hAnsi="Arial" w:cs="Arial"/>
          <w:sz w:val="22"/>
          <w:szCs w:val="22"/>
          <w:lang w:val="es-ES"/>
        </w:rPr>
        <w:t>.</w:t>
      </w:r>
    </w:p>
    <w:p w14:paraId="2D852432" w14:textId="2FF22211" w:rsidR="003C7067" w:rsidRDefault="003C7067" w:rsidP="003C7067">
      <w:pPr>
        <w:pStyle w:val="Prrafodelista"/>
        <w:spacing w:line="276" w:lineRule="auto"/>
        <w:ind w:left="0"/>
        <w:rPr>
          <w:rFonts w:ascii="Arial" w:eastAsia="Calibri" w:hAnsi="Arial" w:cs="Arial"/>
          <w:sz w:val="22"/>
          <w:lang w:val="es-ES"/>
        </w:rPr>
      </w:pPr>
    </w:p>
    <w:p w14:paraId="67CA615C" w14:textId="77777777" w:rsidR="003C7067" w:rsidRPr="009F5860" w:rsidRDefault="003C7067" w:rsidP="003C7067">
      <w:pPr>
        <w:tabs>
          <w:tab w:val="left" w:pos="0"/>
        </w:tabs>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1. Problema planteado</w:t>
      </w:r>
    </w:p>
    <w:p w14:paraId="5A060666" w14:textId="77777777" w:rsidR="003C7067" w:rsidRPr="009F5860" w:rsidRDefault="003C7067" w:rsidP="003C7067">
      <w:pPr>
        <w:rPr>
          <w:rFonts w:ascii="Arial" w:eastAsia="Calibri" w:hAnsi="Arial" w:cs="Arial"/>
          <w:sz w:val="22"/>
          <w:szCs w:val="22"/>
          <w:lang w:val="es-ES"/>
        </w:rPr>
      </w:pPr>
    </w:p>
    <w:p w14:paraId="1DFD38AE" w14:textId="77777777" w:rsidR="00731374" w:rsidRDefault="003C7067" w:rsidP="00731374">
      <w:pPr>
        <w:pStyle w:val="gmail-msonospacing"/>
        <w:spacing w:before="0" w:beforeAutospacing="0" w:after="0" w:afterAutospacing="0"/>
        <w:ind w:right="900"/>
        <w:jc w:val="both"/>
        <w:rPr>
          <w:rFonts w:ascii="Arial" w:eastAsia="Calibri" w:hAnsi="Arial" w:cs="Arial"/>
        </w:rPr>
      </w:pPr>
      <w:r w:rsidRPr="003B76F3">
        <w:rPr>
          <w:rFonts w:ascii="Arial" w:eastAsia="Calibri" w:hAnsi="Arial" w:cs="Arial"/>
        </w:rPr>
        <w:t>Usted realiza la</w:t>
      </w:r>
      <w:r w:rsidR="006B040D" w:rsidRPr="003B76F3">
        <w:rPr>
          <w:rFonts w:ascii="Arial" w:eastAsia="Calibri" w:hAnsi="Arial" w:cs="Arial"/>
        </w:rPr>
        <w:t>s</w:t>
      </w:r>
      <w:r w:rsidRPr="003B76F3">
        <w:rPr>
          <w:rFonts w:ascii="Arial" w:eastAsia="Calibri" w:hAnsi="Arial" w:cs="Arial"/>
        </w:rPr>
        <w:t xml:space="preserve"> siguiente</w:t>
      </w:r>
      <w:r w:rsidR="003B76F3" w:rsidRPr="003B76F3">
        <w:rPr>
          <w:rFonts w:ascii="Arial" w:eastAsia="Calibri" w:hAnsi="Arial" w:cs="Arial"/>
        </w:rPr>
        <w:t>s</w:t>
      </w:r>
      <w:r w:rsidRPr="003B76F3">
        <w:rPr>
          <w:rFonts w:ascii="Arial" w:eastAsia="Calibri" w:hAnsi="Arial" w:cs="Arial"/>
        </w:rPr>
        <w:t xml:space="preserve"> pregunta</w:t>
      </w:r>
      <w:r w:rsidR="006B040D" w:rsidRPr="003B76F3">
        <w:rPr>
          <w:rFonts w:ascii="Arial" w:eastAsia="Calibri" w:hAnsi="Arial" w:cs="Arial"/>
        </w:rPr>
        <w:t>s</w:t>
      </w:r>
      <w:r w:rsidRPr="003B76F3">
        <w:rPr>
          <w:rFonts w:ascii="Arial" w:eastAsia="Calibri" w:hAnsi="Arial" w:cs="Arial"/>
        </w:rPr>
        <w:t xml:space="preserve">: </w:t>
      </w:r>
    </w:p>
    <w:p w14:paraId="032B50B0" w14:textId="77777777" w:rsidR="00731374" w:rsidRPr="00731374" w:rsidRDefault="00731374" w:rsidP="00731374">
      <w:pPr>
        <w:pStyle w:val="gmail-msonospacing"/>
        <w:spacing w:before="0" w:beforeAutospacing="0" w:after="0" w:afterAutospacing="0"/>
        <w:ind w:left="709" w:right="709"/>
        <w:jc w:val="both"/>
        <w:rPr>
          <w:rFonts w:ascii="Arial" w:eastAsia="Calibri" w:hAnsi="Arial" w:cs="Arial"/>
          <w:sz w:val="21"/>
          <w:szCs w:val="21"/>
        </w:rPr>
      </w:pPr>
    </w:p>
    <w:p w14:paraId="7EBE37EE" w14:textId="3C5383AF" w:rsidR="00731374" w:rsidRPr="00731374" w:rsidRDefault="00731374" w:rsidP="005D20C7">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w:t>
      </w:r>
      <w:r w:rsidR="00DE29EB">
        <w:rPr>
          <w:rFonts w:ascii="Arial" w:hAnsi="Arial" w:cs="Arial"/>
          <w:sz w:val="21"/>
          <w:szCs w:val="21"/>
        </w:rPr>
        <w:t xml:space="preserve">1. </w:t>
      </w:r>
      <w:r w:rsidRPr="00731374">
        <w:rPr>
          <w:rFonts w:ascii="Arial" w:hAnsi="Arial" w:cs="Arial"/>
          <w:sz w:val="21"/>
          <w:szCs w:val="21"/>
        </w:rPr>
        <w:t>¿Al momento de evaluar la experiencia aportada por los socios, accionistas o contribuyentes la Entidad evaluadora debe tener en cuenta o evaluar la experiencia de acuerdo con el porcentaje de participación que el socio tenga en la persona jurídica o por el contrario debe tener en cuenta la totalidad de la experiencia aportada por los socios de una persona jurídica sin importar su porcentaje de participación en la sociedad?</w:t>
      </w:r>
    </w:p>
    <w:p w14:paraId="62749BEC" w14:textId="77777777" w:rsidR="00731374" w:rsidRPr="00731374" w:rsidRDefault="00731374" w:rsidP="00731374">
      <w:pPr>
        <w:pStyle w:val="gmail-msonospacing"/>
        <w:spacing w:before="0" w:beforeAutospacing="0" w:after="0" w:afterAutospacing="0"/>
        <w:ind w:left="709" w:right="709"/>
        <w:jc w:val="both"/>
        <w:rPr>
          <w:rFonts w:ascii="Arial" w:hAnsi="Arial" w:cs="Arial"/>
          <w:sz w:val="21"/>
          <w:szCs w:val="21"/>
        </w:rPr>
      </w:pPr>
    </w:p>
    <w:p w14:paraId="2E8E8D51" w14:textId="77777777" w:rsidR="00731374" w:rsidRPr="00731374" w:rsidRDefault="00731374" w:rsidP="00731374">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Ejemplo: Una sociedad con menos de 3 años de constituida tiene 3 socios, así: </w:t>
      </w:r>
    </w:p>
    <w:p w14:paraId="2DD03B70" w14:textId="77777777" w:rsidR="00731374" w:rsidRPr="00731374" w:rsidRDefault="00731374" w:rsidP="00731374">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Socio A: 50% participación</w:t>
      </w:r>
    </w:p>
    <w:p w14:paraId="2884F774" w14:textId="77777777" w:rsidR="00731374" w:rsidRPr="00731374" w:rsidRDefault="00731374" w:rsidP="00731374">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Socio B: 30% de participación</w:t>
      </w:r>
    </w:p>
    <w:p w14:paraId="1015E6B9" w14:textId="77777777" w:rsidR="00731374" w:rsidRPr="00731374" w:rsidRDefault="00731374" w:rsidP="00731374">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Socio C: 20% de participación</w:t>
      </w:r>
    </w:p>
    <w:p w14:paraId="334108EC" w14:textId="77777777" w:rsidR="00731374" w:rsidRPr="00731374" w:rsidRDefault="00731374" w:rsidP="00731374">
      <w:pPr>
        <w:pStyle w:val="gmail-msonospacing"/>
        <w:spacing w:before="0" w:beforeAutospacing="0" w:after="0" w:afterAutospacing="0"/>
        <w:ind w:left="709" w:right="709"/>
        <w:jc w:val="both"/>
        <w:rPr>
          <w:rFonts w:ascii="Arial" w:hAnsi="Arial" w:cs="Arial"/>
          <w:sz w:val="21"/>
          <w:szCs w:val="21"/>
        </w:rPr>
      </w:pPr>
    </w:p>
    <w:p w14:paraId="610004AC" w14:textId="4E3F79F5" w:rsidR="00731374" w:rsidRPr="00731374" w:rsidRDefault="00DE29EB" w:rsidP="005D20C7">
      <w:pPr>
        <w:pStyle w:val="gmail-msonospacing"/>
        <w:spacing w:before="0" w:beforeAutospacing="0" w:after="0" w:afterAutospacing="0"/>
        <w:ind w:left="709" w:right="709"/>
        <w:jc w:val="both"/>
        <w:rPr>
          <w:rFonts w:ascii="Arial" w:hAnsi="Arial" w:cs="Arial"/>
          <w:sz w:val="21"/>
          <w:szCs w:val="21"/>
        </w:rPr>
      </w:pPr>
      <w:r>
        <w:rPr>
          <w:rFonts w:ascii="Arial" w:hAnsi="Arial" w:cs="Arial"/>
          <w:sz w:val="21"/>
          <w:szCs w:val="21"/>
        </w:rPr>
        <w:lastRenderedPageBreak/>
        <w:t xml:space="preserve">2. </w:t>
      </w:r>
      <w:r w:rsidR="00731374" w:rsidRPr="00731374">
        <w:rPr>
          <w:rFonts w:ascii="Arial" w:hAnsi="Arial" w:cs="Arial"/>
          <w:sz w:val="21"/>
          <w:szCs w:val="21"/>
        </w:rPr>
        <w:t>¿Si en un proceso de contratación pública el socio C acredita experiencia inscrita en el RUP de un contrato de 1000 SMMLV, la Entidad debe tener en cuenta los 1000 SMMLV? o debe multiplicar 1000 SMMLV por el porcentaje de participación que el socio C tiene en la persona jurídica (30%), es decir, la experiencia a contabilizar es 300</w:t>
      </w:r>
      <w:r>
        <w:rPr>
          <w:rFonts w:ascii="Arial" w:hAnsi="Arial" w:cs="Arial"/>
          <w:sz w:val="21"/>
          <w:szCs w:val="21"/>
        </w:rPr>
        <w:t xml:space="preserve"> </w:t>
      </w:r>
      <w:r w:rsidR="00731374" w:rsidRPr="00731374">
        <w:rPr>
          <w:rFonts w:ascii="Arial" w:hAnsi="Arial" w:cs="Arial"/>
          <w:sz w:val="21"/>
          <w:szCs w:val="21"/>
        </w:rPr>
        <w:t>SMMLV»</w:t>
      </w:r>
      <w:r>
        <w:rPr>
          <w:rFonts w:ascii="Arial" w:hAnsi="Arial" w:cs="Arial"/>
          <w:sz w:val="21"/>
          <w:szCs w:val="21"/>
        </w:rPr>
        <w:t xml:space="preserve">. </w:t>
      </w:r>
    </w:p>
    <w:p w14:paraId="5FF94B70" w14:textId="77777777" w:rsidR="009B20DB" w:rsidRDefault="009B20DB" w:rsidP="00731374">
      <w:pPr>
        <w:spacing w:line="276" w:lineRule="auto"/>
        <w:jc w:val="both"/>
        <w:rPr>
          <w:rFonts w:ascii="Arial" w:eastAsiaTheme="minorHAnsi" w:hAnsi="Arial" w:cs="Arial"/>
          <w:color w:val="000000" w:themeColor="text1"/>
          <w:sz w:val="21"/>
          <w:szCs w:val="21"/>
          <w:lang w:val="es-ES_tradnl" w:eastAsia="en-US"/>
        </w:rPr>
      </w:pPr>
    </w:p>
    <w:p w14:paraId="25DC51CC" w14:textId="7CCB0AE1" w:rsidR="0016321F" w:rsidRDefault="003C7067" w:rsidP="00EF2C3C">
      <w:pPr>
        <w:pStyle w:val="NormalWeb"/>
        <w:spacing w:before="0" w:beforeAutospacing="0" w:after="0" w:afterAutospacing="0" w:line="276" w:lineRule="auto"/>
        <w:ind w:right="51"/>
        <w:contextualSpacing/>
        <w:jc w:val="both"/>
        <w:rPr>
          <w:rFonts w:ascii="Arial" w:eastAsia="Calibri" w:hAnsi="Arial" w:cs="Arial"/>
          <w:b/>
          <w:sz w:val="22"/>
          <w:szCs w:val="22"/>
          <w:lang w:val="es-ES"/>
        </w:rPr>
      </w:pPr>
      <w:r w:rsidRPr="009F5860">
        <w:rPr>
          <w:rFonts w:ascii="Arial" w:eastAsia="Calibri" w:hAnsi="Arial" w:cs="Arial"/>
          <w:b/>
          <w:sz w:val="22"/>
          <w:szCs w:val="22"/>
          <w:lang w:val="es-ES"/>
        </w:rPr>
        <w:t>2. Consideraciones</w:t>
      </w:r>
    </w:p>
    <w:p w14:paraId="146D64A9" w14:textId="77777777" w:rsidR="00EF2C3C" w:rsidRPr="009F5860" w:rsidRDefault="00EF2C3C" w:rsidP="005D20C7">
      <w:pPr>
        <w:pStyle w:val="NormalWeb"/>
        <w:spacing w:before="0" w:beforeAutospacing="0" w:after="0" w:afterAutospacing="0" w:line="276" w:lineRule="auto"/>
        <w:ind w:right="51"/>
        <w:contextualSpacing/>
        <w:jc w:val="both"/>
        <w:rPr>
          <w:rFonts w:ascii="Arial" w:eastAsia="Calibri" w:hAnsi="Arial" w:cs="Arial"/>
          <w:b/>
          <w:sz w:val="22"/>
          <w:szCs w:val="22"/>
          <w:lang w:val="es-ES"/>
        </w:rPr>
      </w:pPr>
    </w:p>
    <w:p w14:paraId="78267672" w14:textId="1A9F21B1" w:rsidR="00EF2C3C" w:rsidRPr="00162BC5" w:rsidRDefault="00EF2C3C" w:rsidP="005D20C7">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0" w:name="_Hlk61701014"/>
      <w:bookmarkStart w:id="1"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2"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769AE334" w14:textId="0B3BFE08" w:rsidR="00EF2C3C" w:rsidRDefault="00EF2C3C" w:rsidP="00EF2C3C">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r w:rsidR="00E5202C" w:rsidRPr="00162BC5">
        <w:rPr>
          <w:rFonts w:ascii="Arial" w:hAnsi="Arial" w:cs="Arial"/>
          <w:sz w:val="22"/>
          <w:lang w:val="es-ES"/>
        </w:rPr>
        <w:t>que,</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2"/>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4116185C" w14:textId="2EA91E7D" w:rsidR="00B325AF" w:rsidRDefault="009470FC" w:rsidP="005D20C7">
      <w:pPr>
        <w:spacing w:before="120" w:line="276" w:lineRule="auto"/>
        <w:ind w:firstLine="708"/>
        <w:jc w:val="both"/>
        <w:rPr>
          <w:rFonts w:ascii="Arial" w:eastAsia="Calibri" w:hAnsi="Arial" w:cs="Arial"/>
          <w:sz w:val="22"/>
          <w:szCs w:val="22"/>
          <w:lang w:val="es-ES"/>
        </w:rPr>
      </w:pPr>
      <w:r>
        <w:rPr>
          <w:rFonts w:ascii="Arial" w:eastAsia="Calibri" w:hAnsi="Arial" w:cs="Arial"/>
          <w:sz w:val="22"/>
          <w:szCs w:val="22"/>
          <w:lang w:val="es-ES"/>
        </w:rPr>
        <w:t>Sin perjuicio de lo anterior, esta</w:t>
      </w:r>
      <w:r w:rsidRPr="00C00312">
        <w:rPr>
          <w:rFonts w:ascii="Arial" w:eastAsia="Calibri" w:hAnsi="Arial" w:cs="Arial"/>
          <w:sz w:val="22"/>
          <w:szCs w:val="22"/>
          <w:lang w:val="es-ES"/>
        </w:rPr>
        <w:t xml:space="preserve"> </w:t>
      </w:r>
      <w:r w:rsidR="00B325AF" w:rsidRPr="00C00312">
        <w:rPr>
          <w:rFonts w:ascii="Arial" w:eastAsia="Calibri" w:hAnsi="Arial" w:cs="Arial"/>
          <w:sz w:val="22"/>
          <w:szCs w:val="22"/>
          <w:lang w:val="es-ES"/>
        </w:rPr>
        <w:t>Agencia</w:t>
      </w:r>
      <w:r w:rsidR="00B325AF">
        <w:rPr>
          <w:rFonts w:ascii="Arial" w:eastAsia="Calibri" w:hAnsi="Arial" w:cs="Arial"/>
          <w:sz w:val="22"/>
          <w:szCs w:val="22"/>
          <w:lang w:val="es-ES"/>
        </w:rPr>
        <w:t xml:space="preserve">, </w:t>
      </w:r>
      <w:r w:rsidR="00B325AF" w:rsidRPr="00C00312">
        <w:rPr>
          <w:rFonts w:ascii="Arial" w:eastAsia="Calibri" w:hAnsi="Arial" w:cs="Arial"/>
          <w:sz w:val="22"/>
          <w:szCs w:val="22"/>
          <w:lang w:val="es-ES"/>
        </w:rPr>
        <w:t>dentro de los límites de sus atribuciones</w:t>
      </w:r>
      <w:r w:rsidR="00B325AF">
        <w:rPr>
          <w:rFonts w:ascii="Arial" w:eastAsia="Calibri" w:hAnsi="Arial" w:cs="Arial"/>
          <w:sz w:val="22"/>
          <w:szCs w:val="22"/>
          <w:lang w:val="es-ES"/>
        </w:rPr>
        <w:t>,</w:t>
      </w:r>
      <w:r w:rsidR="00B325AF" w:rsidRPr="00C00312">
        <w:rPr>
          <w:rFonts w:ascii="Arial" w:eastAsia="Calibri" w:hAnsi="Arial" w:cs="Arial"/>
          <w:sz w:val="22"/>
          <w:szCs w:val="22"/>
          <w:lang w:val="es-ES"/>
        </w:rPr>
        <w:t xml:space="preserve"> resolverá la consulta conforme a las normas generales en materia de contratación estatal.</w:t>
      </w:r>
      <w:r w:rsidR="00B325AF">
        <w:rPr>
          <w:rFonts w:ascii="Arial" w:eastAsia="Calibri" w:hAnsi="Arial" w:cs="Arial"/>
          <w:sz w:val="22"/>
          <w:szCs w:val="22"/>
          <w:lang w:val="es-ES"/>
        </w:rPr>
        <w:t xml:space="preserve"> </w:t>
      </w:r>
      <w:r w:rsidR="00B325AF" w:rsidRPr="00C00312">
        <w:rPr>
          <w:rFonts w:ascii="Arial" w:eastAsia="Calibri" w:hAnsi="Arial" w:cs="Arial"/>
          <w:sz w:val="22"/>
          <w:szCs w:val="22"/>
          <w:lang w:val="es-ES"/>
        </w:rPr>
        <w:t xml:space="preserve">Con este objetivo se analizarán los siguientes temas: </w:t>
      </w:r>
      <w:r w:rsidR="00B325AF" w:rsidRPr="009F5860">
        <w:rPr>
          <w:rFonts w:ascii="Arial" w:eastAsia="Calibri" w:hAnsi="Arial" w:cs="Arial"/>
          <w:sz w:val="22"/>
          <w:szCs w:val="22"/>
          <w:lang w:val="es-ES"/>
        </w:rPr>
        <w:t xml:space="preserve">i) </w:t>
      </w:r>
      <w:r>
        <w:rPr>
          <w:rFonts w:ascii="Arial" w:eastAsia="Calibri" w:hAnsi="Arial" w:cs="Arial"/>
          <w:sz w:val="22"/>
          <w:szCs w:val="22"/>
          <w:lang w:val="es-ES"/>
        </w:rPr>
        <w:t>a</w:t>
      </w:r>
      <w:r w:rsidR="00731374">
        <w:rPr>
          <w:rFonts w:ascii="Arial" w:eastAsia="Calibri" w:hAnsi="Arial" w:cs="Arial"/>
          <w:sz w:val="22"/>
          <w:szCs w:val="22"/>
          <w:lang w:val="es-ES"/>
        </w:rPr>
        <w:t xml:space="preserve">proximación general al concepto </w:t>
      </w:r>
      <w:r w:rsidR="00731374">
        <w:rPr>
          <w:rFonts w:ascii="Arial" w:eastAsia="Calibri" w:hAnsi="Arial" w:cs="Arial"/>
          <w:sz w:val="22"/>
          <w:szCs w:val="22"/>
          <w:lang w:val="es-ES"/>
        </w:rPr>
        <w:lastRenderedPageBreak/>
        <w:t xml:space="preserve">de experiencia en la contratación pública, ii) consideraciones de la Agencia respecto de la experiencia y iii) acreditación de experiencia de socios por parte de sociedades con menos de tres años de constitución. </w:t>
      </w:r>
    </w:p>
    <w:p w14:paraId="15826E9A" w14:textId="00B9B02F" w:rsidR="009F4296" w:rsidRDefault="009F4296" w:rsidP="009F4296">
      <w:pPr>
        <w:widowControl w:val="0"/>
        <w:autoSpaceDE w:val="0"/>
        <w:autoSpaceDN w:val="0"/>
        <w:spacing w:before="120" w:line="276" w:lineRule="auto"/>
        <w:ind w:firstLine="708"/>
        <w:jc w:val="both"/>
        <w:rPr>
          <w:rFonts w:ascii="Arial" w:eastAsia="Calibri" w:hAnsi="Arial" w:cs="Arial"/>
          <w:sz w:val="22"/>
          <w:szCs w:val="22"/>
          <w:lang w:val="es-ES" w:eastAsia="en-US"/>
        </w:rPr>
      </w:pPr>
      <w:r w:rsidRPr="0035770F">
        <w:rPr>
          <w:rFonts w:ascii="Arial" w:eastAsia="Calibri" w:hAnsi="Arial" w:cs="Arial"/>
          <w:sz w:val="22"/>
          <w:szCs w:val="22"/>
          <w:lang w:val="es-ES" w:eastAsia="en-US"/>
        </w:rPr>
        <w:t xml:space="preserve">La Agencia Nacional de Contratación Pública </w:t>
      </w:r>
      <w:r w:rsidRPr="0035770F">
        <w:rPr>
          <w:rFonts w:ascii="Arial" w:eastAsia="Calibri" w:hAnsi="Arial" w:cs="Arial"/>
          <w:sz w:val="22"/>
          <w:szCs w:val="22"/>
          <w:lang w:val="es-ES" w:eastAsia="en-US"/>
        </w:rPr>
        <w:softHyphen/>
        <w:t>–Colombia Compra Eficiente–, en los conceptos, C-025 del 16 de marzo de 2020, C-051 del 2 de marzo de 2020, C-165 del 1 de abril de 2020, C-233 del 16 de abril de 2020, C-407 de 12 de junio de 2020, C-398 de 30 de junio de 2020, C-470 del 14 de julio de 2020 C-584 de 31 de agosto 2020, C-619 de 21 de septiembre 2020, C-710 del 9 de diciembre de 2020, C-729 del 11 de diciembre de 2020,</w:t>
      </w:r>
      <w:r>
        <w:rPr>
          <w:rFonts w:ascii="Arial" w:eastAsia="Calibri" w:hAnsi="Arial" w:cs="Arial"/>
          <w:sz w:val="22"/>
          <w:szCs w:val="22"/>
          <w:lang w:val="es-ES" w:eastAsia="en-US"/>
        </w:rPr>
        <w:t xml:space="preserve"> C-008 del 15 de febrero de 2021,</w:t>
      </w:r>
      <w:r w:rsidRPr="0035770F">
        <w:rPr>
          <w:rFonts w:ascii="Arial" w:eastAsia="Calibri" w:hAnsi="Arial" w:cs="Arial"/>
          <w:sz w:val="22"/>
          <w:szCs w:val="22"/>
          <w:lang w:val="es-ES" w:eastAsia="en-US"/>
        </w:rPr>
        <w:t xml:space="preserve"> C-103 del 24 de marzo de 2021, C-249 de 1 de junio de 2021, C-326 del 2 de julio de 2021,  C-358 del 19 de julio de 2021, C-405 y C-415 del 10 de agosto de 2021, </w:t>
      </w:r>
      <w:r>
        <w:rPr>
          <w:rFonts w:ascii="Arial" w:eastAsia="Calibri" w:hAnsi="Arial" w:cs="Arial"/>
          <w:sz w:val="22"/>
          <w:szCs w:val="22"/>
          <w:lang w:val="es-ES" w:eastAsia="en-US"/>
        </w:rPr>
        <w:t>C- 429 del 17 de agosto de 2021, C- 539 del 27 de septiembre de 2021</w:t>
      </w:r>
      <w:r w:rsidR="009F5CFA">
        <w:rPr>
          <w:rFonts w:ascii="Arial" w:eastAsia="Calibri" w:hAnsi="Arial" w:cs="Arial"/>
          <w:sz w:val="22"/>
          <w:szCs w:val="22"/>
          <w:lang w:val="es-ES" w:eastAsia="en-US"/>
        </w:rPr>
        <w:t>,</w:t>
      </w:r>
      <w:r>
        <w:rPr>
          <w:rFonts w:ascii="Arial" w:eastAsia="Calibri" w:hAnsi="Arial" w:cs="Arial"/>
          <w:sz w:val="22"/>
          <w:szCs w:val="22"/>
          <w:lang w:val="es-ES" w:eastAsia="en-US"/>
        </w:rPr>
        <w:t xml:space="preserve">  C- 696 de 31 de diciembre de 2021</w:t>
      </w:r>
      <w:r w:rsidR="009F5CFA">
        <w:rPr>
          <w:rFonts w:ascii="Arial" w:eastAsia="Calibri" w:hAnsi="Arial" w:cs="Arial"/>
          <w:sz w:val="22"/>
          <w:szCs w:val="22"/>
          <w:lang w:val="es-ES" w:eastAsia="en-US"/>
        </w:rPr>
        <w:t>, entre otros,</w:t>
      </w:r>
      <w:r>
        <w:rPr>
          <w:rFonts w:ascii="Arial" w:eastAsia="Calibri" w:hAnsi="Arial" w:cs="Arial"/>
          <w:sz w:val="22"/>
          <w:szCs w:val="22"/>
          <w:lang w:val="es-ES" w:eastAsia="en-US"/>
        </w:rPr>
        <w:t xml:space="preserve"> </w:t>
      </w:r>
      <w:r w:rsidRPr="0035770F">
        <w:rPr>
          <w:rFonts w:ascii="Arial" w:eastAsia="Calibri" w:hAnsi="Arial" w:cs="Arial"/>
          <w:sz w:val="22"/>
          <w:szCs w:val="22"/>
          <w:lang w:val="es-ES" w:eastAsia="en-US"/>
        </w:rPr>
        <w:t>estudió la acreditación de la experiencia de los socios por una sociedad nueva con menos de 3 años de constitución</w:t>
      </w:r>
      <w:r w:rsidRPr="0035770F">
        <w:rPr>
          <w:rFonts w:ascii="Arial" w:eastAsia="Calibri" w:hAnsi="Arial" w:cs="Arial"/>
          <w:sz w:val="22"/>
          <w:szCs w:val="22"/>
          <w:vertAlign w:val="superscript"/>
          <w:lang w:val="es-ES" w:eastAsia="en-US"/>
        </w:rPr>
        <w:footnoteReference w:id="2"/>
      </w:r>
      <w:r w:rsidRPr="0035770F">
        <w:rPr>
          <w:rFonts w:ascii="Arial" w:eastAsia="Calibri" w:hAnsi="Arial" w:cs="Arial"/>
          <w:sz w:val="22"/>
          <w:szCs w:val="22"/>
          <w:lang w:val="es-ES" w:eastAsia="en-US"/>
        </w:rPr>
        <w:t>. Los argumentos expuestos se reiteran a continuación.</w:t>
      </w:r>
    </w:p>
    <w:p w14:paraId="01ECE188" w14:textId="77777777" w:rsidR="006A2383" w:rsidRPr="006A2383" w:rsidRDefault="006A2383" w:rsidP="009F4296">
      <w:pPr>
        <w:spacing w:line="276" w:lineRule="auto"/>
        <w:jc w:val="both"/>
        <w:rPr>
          <w:rFonts w:ascii="Arial" w:eastAsia="Calibri" w:hAnsi="Arial" w:cs="Arial"/>
          <w:sz w:val="22"/>
          <w:szCs w:val="22"/>
          <w:lang w:val="es-ES"/>
        </w:rPr>
      </w:pPr>
    </w:p>
    <w:p w14:paraId="7445CD22" w14:textId="1542941D" w:rsidR="009F4296" w:rsidRPr="005375F3" w:rsidRDefault="009F4296" w:rsidP="009F4296">
      <w:pPr>
        <w:jc w:val="both"/>
        <w:rPr>
          <w:rFonts w:ascii="Arial" w:eastAsia="Calibri" w:hAnsi="Arial" w:cs="Arial"/>
          <w:b/>
          <w:sz w:val="22"/>
          <w:szCs w:val="22"/>
          <w:lang w:val="es-MX" w:eastAsia="es-ES_tradnl"/>
        </w:rPr>
      </w:pPr>
      <w:bookmarkStart w:id="3" w:name="_Hlk84855017"/>
      <w:r>
        <w:rPr>
          <w:rFonts w:ascii="Arial" w:eastAsia="Calibri" w:hAnsi="Arial" w:cs="Arial"/>
          <w:b/>
          <w:sz w:val="22"/>
          <w:szCs w:val="22"/>
          <w:lang w:val="es-MX" w:eastAsia="es-ES_tradnl"/>
        </w:rPr>
        <w:t>2.1.</w:t>
      </w:r>
      <w:r w:rsidRPr="005375F3">
        <w:rPr>
          <w:rFonts w:ascii="Arial" w:eastAsia="Calibri" w:hAnsi="Arial" w:cs="Arial"/>
          <w:b/>
          <w:sz w:val="22"/>
          <w:szCs w:val="22"/>
          <w:lang w:val="es-MX" w:eastAsia="es-ES_tradnl"/>
        </w:rPr>
        <w:t xml:space="preserve"> Aproximación general al concepto de experiencia en la contratación pública</w:t>
      </w:r>
    </w:p>
    <w:p w14:paraId="34DB81F8" w14:textId="77777777" w:rsidR="009F4296" w:rsidRPr="005375F3" w:rsidRDefault="009F4296" w:rsidP="009F4296">
      <w:pPr>
        <w:spacing w:line="276" w:lineRule="auto"/>
        <w:jc w:val="both"/>
        <w:rPr>
          <w:rFonts w:ascii="Arial" w:eastAsia="Calibri" w:hAnsi="Arial" w:cs="Arial"/>
          <w:b/>
          <w:sz w:val="22"/>
          <w:szCs w:val="22"/>
          <w:lang w:val="es-MX" w:eastAsia="es-ES_tradnl"/>
        </w:rPr>
      </w:pPr>
    </w:p>
    <w:p w14:paraId="6415E13B" w14:textId="77777777" w:rsidR="009F4296" w:rsidRPr="005375F3" w:rsidRDefault="009F4296" w:rsidP="009F4296">
      <w:pPr>
        <w:spacing w:line="276" w:lineRule="auto"/>
        <w:jc w:val="both"/>
        <w:rPr>
          <w:rFonts w:ascii="Arial" w:eastAsia="Calibri" w:hAnsi="Arial" w:cs="Arial"/>
          <w:sz w:val="22"/>
          <w:szCs w:val="22"/>
          <w:highlight w:val="yellow"/>
          <w:lang w:val="es-MX" w:eastAsia="es-ES_tradnl"/>
        </w:rPr>
      </w:pPr>
      <w:r w:rsidRPr="005375F3">
        <w:rPr>
          <w:rFonts w:ascii="Arial" w:eastAsia="Calibri" w:hAnsi="Arial" w:cs="Arial"/>
          <w:sz w:val="22"/>
          <w:szCs w:val="22"/>
          <w:lang w:val="es-MX" w:eastAsia="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5375F3">
        <w:rPr>
          <w:rFonts w:ascii="Arial" w:eastAsia="Calibri" w:hAnsi="Arial" w:cs="Arial"/>
          <w:sz w:val="22"/>
          <w:szCs w:val="22"/>
          <w:vertAlign w:val="superscript"/>
          <w:lang w:val="es-MX" w:eastAsia="es-ES_tradnl"/>
        </w:rPr>
        <w:footnoteReference w:id="3"/>
      </w:r>
      <w:r w:rsidRPr="005375F3">
        <w:rPr>
          <w:rFonts w:ascii="Arial" w:eastAsia="Calibri" w:hAnsi="Arial" w:cs="Arial"/>
          <w:sz w:val="22"/>
          <w:szCs w:val="22"/>
          <w:lang w:val="es-MX" w:eastAsia="es-ES_tradnl"/>
        </w:rPr>
        <w:t xml:space="preserve">. En ese sentido, la entidad, </w:t>
      </w:r>
      <w:r w:rsidRPr="005375F3">
        <w:rPr>
          <w:rFonts w:ascii="Arial" w:eastAsia="Calibri" w:hAnsi="Arial" w:cs="Arial"/>
          <w:sz w:val="22"/>
          <w:szCs w:val="22"/>
          <w:lang w:val="es-MX" w:eastAsia="es-ES_tradnl"/>
        </w:rPr>
        <w:lastRenderedPageBreak/>
        <w:t>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5375F3">
        <w:rPr>
          <w:rFonts w:ascii="Arial" w:eastAsia="Calibri" w:hAnsi="Arial" w:cs="Arial"/>
          <w:sz w:val="22"/>
          <w:szCs w:val="22"/>
          <w:vertAlign w:val="superscript"/>
          <w:lang w:val="es-MX" w:eastAsia="es-ES_tradnl"/>
        </w:rPr>
        <w:footnoteReference w:id="4"/>
      </w:r>
      <w:r w:rsidRPr="005375F3">
        <w:rPr>
          <w:rFonts w:ascii="Arial" w:eastAsia="Calibri" w:hAnsi="Arial" w:cs="Arial"/>
          <w:sz w:val="22"/>
          <w:szCs w:val="22"/>
          <w:lang w:val="es-MX" w:eastAsia="es-ES_tradnl"/>
        </w:rPr>
        <w:t>.</w:t>
      </w:r>
    </w:p>
    <w:p w14:paraId="366E81FB"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La experiencia que se deriva de los contratos que el proponente ha celebrado y ejecutado con diferentes contratantes, sin importar la naturaleza de estos, se verifica con el Registro Único de Proponentes –RUP–</w:t>
      </w:r>
      <w:r w:rsidRPr="005375F3">
        <w:rPr>
          <w:rFonts w:ascii="Arial" w:eastAsia="Calibri" w:hAnsi="Arial" w:cs="Arial"/>
          <w:sz w:val="22"/>
          <w:szCs w:val="22"/>
          <w:vertAlign w:val="superscript"/>
          <w:lang w:val="es-MX" w:eastAsia="es-ES_tradnl"/>
        </w:rPr>
        <w:footnoteReference w:id="5"/>
      </w:r>
      <w:r w:rsidRPr="005375F3">
        <w:rPr>
          <w:rFonts w:ascii="Arial" w:eastAsia="Calibri" w:hAnsi="Arial" w:cs="Arial"/>
          <w:sz w:val="22"/>
          <w:szCs w:val="22"/>
          <w:lang w:val="es-MX" w:eastAsia="es-ES_tradnl"/>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5375F3">
        <w:rPr>
          <w:rFonts w:ascii="Arial" w:eastAsia="Calibri" w:hAnsi="Arial" w:cs="Arial"/>
          <w:sz w:val="22"/>
          <w:szCs w:val="22"/>
          <w:vertAlign w:val="superscript"/>
          <w:lang w:val="es-MX" w:eastAsia="es-ES_tradnl"/>
        </w:rPr>
        <w:footnoteReference w:id="6"/>
      </w:r>
      <w:r w:rsidRPr="005375F3">
        <w:rPr>
          <w:rFonts w:ascii="Arial" w:eastAsia="Calibri" w:hAnsi="Arial" w:cs="Arial"/>
          <w:sz w:val="22"/>
          <w:szCs w:val="22"/>
          <w:lang w:val="es-MX" w:eastAsia="es-ES_tradnl"/>
        </w:rPr>
        <w:t>.</w:t>
      </w:r>
    </w:p>
    <w:p w14:paraId="487D4317" w14:textId="77777777" w:rsidR="009F4296" w:rsidRPr="005375F3" w:rsidRDefault="009F4296" w:rsidP="009F4296">
      <w:pPr>
        <w:spacing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5375F3">
        <w:rPr>
          <w:rFonts w:ascii="Arial" w:eastAsia="Calibri" w:hAnsi="Arial" w:cs="Arial"/>
          <w:sz w:val="22"/>
          <w:szCs w:val="22"/>
          <w:vertAlign w:val="superscript"/>
          <w:lang w:val="es-MX" w:eastAsia="es-ES_tradnl"/>
        </w:rPr>
        <w:footnoteReference w:id="7"/>
      </w:r>
      <w:r w:rsidRPr="005375F3">
        <w:rPr>
          <w:rFonts w:ascii="Arial" w:eastAsia="Calibri" w:hAnsi="Arial" w:cs="Arial"/>
          <w:sz w:val="22"/>
          <w:szCs w:val="22"/>
          <w:lang w:val="es-MX" w:eastAsia="es-ES_tradnl"/>
        </w:rPr>
        <w:t xml:space="preserve">. </w:t>
      </w:r>
      <w:r w:rsidRPr="005375F3">
        <w:rPr>
          <w:rFonts w:ascii="Arial" w:eastAsia="Calibri" w:hAnsi="Arial" w:cs="Arial"/>
          <w:sz w:val="22"/>
          <w:szCs w:val="22"/>
          <w:lang w:val="es-MX" w:eastAsia="es-ES_tradnl"/>
        </w:rPr>
        <w:lastRenderedPageBreak/>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08839915" w14:textId="77777777" w:rsidR="009F4296" w:rsidRPr="005375F3" w:rsidRDefault="009F4296" w:rsidP="005D20C7">
      <w:pPr>
        <w:jc w:val="both"/>
        <w:rPr>
          <w:rFonts w:ascii="Arial" w:eastAsia="Calibri" w:hAnsi="Arial" w:cs="Arial"/>
          <w:sz w:val="22"/>
          <w:szCs w:val="22"/>
          <w:lang w:val="es-MX" w:eastAsia="es-ES_tradnl"/>
        </w:rPr>
      </w:pPr>
    </w:p>
    <w:p w14:paraId="3B94784C" w14:textId="40A725B0" w:rsidR="009F4296" w:rsidRPr="005375F3" w:rsidRDefault="009F4296" w:rsidP="009F4296">
      <w:pPr>
        <w:spacing w:line="276" w:lineRule="auto"/>
        <w:jc w:val="both"/>
        <w:rPr>
          <w:rFonts w:ascii="Arial" w:eastAsia="Calibri" w:hAnsi="Arial" w:cs="Arial"/>
          <w:b/>
          <w:bCs/>
          <w:sz w:val="22"/>
          <w:szCs w:val="22"/>
          <w:lang w:val="es-MX" w:eastAsia="es-ES_tradnl"/>
        </w:rPr>
      </w:pPr>
      <w:r>
        <w:rPr>
          <w:rFonts w:ascii="Arial" w:eastAsia="Calibri" w:hAnsi="Arial" w:cs="Arial"/>
          <w:b/>
          <w:bCs/>
          <w:sz w:val="22"/>
          <w:szCs w:val="22"/>
          <w:lang w:val="es-MX" w:eastAsia="es-ES_tradnl"/>
        </w:rPr>
        <w:t>2.</w:t>
      </w:r>
      <w:r w:rsidRPr="005375F3">
        <w:rPr>
          <w:rFonts w:ascii="Arial" w:eastAsia="Calibri" w:hAnsi="Arial" w:cs="Arial"/>
          <w:b/>
          <w:bCs/>
          <w:sz w:val="22"/>
          <w:szCs w:val="22"/>
          <w:lang w:val="es-MX" w:eastAsia="es-ES_tradnl"/>
        </w:rPr>
        <w:t>2. Consideraciones de la Agencia respecto de la experiencia</w:t>
      </w:r>
    </w:p>
    <w:p w14:paraId="49D7C1E4" w14:textId="77777777" w:rsidR="009F4296" w:rsidRPr="005375F3" w:rsidRDefault="009F4296" w:rsidP="009F4296">
      <w:pPr>
        <w:spacing w:line="276" w:lineRule="auto"/>
        <w:jc w:val="both"/>
        <w:rPr>
          <w:rFonts w:ascii="Arial" w:eastAsia="Calibri" w:hAnsi="Arial" w:cs="Arial"/>
          <w:b/>
          <w:bCs/>
          <w:sz w:val="22"/>
          <w:szCs w:val="22"/>
          <w:lang w:val="es-MX" w:eastAsia="es-ES_tradnl"/>
        </w:rPr>
      </w:pPr>
    </w:p>
    <w:p w14:paraId="75363033" w14:textId="6EA8A3AF" w:rsidR="009F4296" w:rsidRPr="005375F3" w:rsidRDefault="009F4296" w:rsidP="009F4296">
      <w:pPr>
        <w:spacing w:line="276" w:lineRule="auto"/>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 xml:space="preserve">La Agencia Nacional de Contratación Pública – Colombia Compra Eficiente puso a disposición de los interesados del Sistema de Compra Pública el </w:t>
      </w:r>
      <w:r w:rsidRPr="005D20C7">
        <w:rPr>
          <w:rFonts w:ascii="Arial" w:eastAsia="Calibri" w:hAnsi="Arial" w:cs="Arial"/>
          <w:i/>
          <w:iCs/>
          <w:sz w:val="22"/>
          <w:szCs w:val="22"/>
          <w:lang w:val="es-MX" w:eastAsia="es-ES_tradnl"/>
        </w:rPr>
        <w:t xml:space="preserve">Manual para determinar y verificar requisitos habilitantes en los </w:t>
      </w:r>
      <w:r w:rsidR="00A061EC" w:rsidRPr="005D20C7">
        <w:rPr>
          <w:rFonts w:ascii="Arial" w:eastAsia="Calibri" w:hAnsi="Arial" w:cs="Arial"/>
          <w:i/>
          <w:iCs/>
          <w:sz w:val="22"/>
          <w:szCs w:val="22"/>
          <w:lang w:val="es-MX" w:eastAsia="es-ES_tradnl"/>
        </w:rPr>
        <w:t>Procesos de Contratación</w:t>
      </w:r>
      <w:r w:rsidRPr="005375F3">
        <w:rPr>
          <w:rFonts w:ascii="Arial" w:eastAsia="Calibri" w:hAnsi="Arial" w:cs="Arial"/>
          <w:sz w:val="22"/>
          <w:szCs w:val="22"/>
          <w:lang w:val="es-MX" w:eastAsia="es-ES_tradnl"/>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5375F3">
        <w:rPr>
          <w:rFonts w:ascii="Arial" w:eastAsia="Calibri" w:hAnsi="Arial" w:cs="Arial"/>
          <w:sz w:val="22"/>
          <w:szCs w:val="22"/>
          <w:vertAlign w:val="superscript"/>
          <w:lang w:val="es-MX" w:eastAsia="es-ES_tradnl"/>
        </w:rPr>
        <w:footnoteReference w:id="8"/>
      </w:r>
      <w:r w:rsidRPr="005375F3">
        <w:rPr>
          <w:rFonts w:ascii="Arial" w:eastAsia="Calibri" w:hAnsi="Arial" w:cs="Arial"/>
          <w:sz w:val="22"/>
          <w:szCs w:val="22"/>
          <w:lang w:val="es-MX" w:eastAsia="es-ES_tradnl"/>
        </w:rPr>
        <w:t>.</w:t>
      </w:r>
    </w:p>
    <w:p w14:paraId="3AE415B4"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lastRenderedPageBreak/>
        <w:t xml:space="preserve">Lo anterior es determinante, porque no es posible adquirir la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5B2179EC"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 xml:space="preserve">Finalmente, pueden extraerse cuatro (4) conclusiones relevantes para evaluar las figuras y reformas estatutarias de las sociedades comerciales, respecto de la experiencia: </w:t>
      </w:r>
    </w:p>
    <w:p w14:paraId="2E4F4347"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 xml:space="preserve">i) La experiencia es </w:t>
      </w:r>
      <w:r w:rsidRPr="005375F3">
        <w:rPr>
          <w:rFonts w:ascii="Arial" w:eastAsia="Calibri" w:hAnsi="Arial" w:cs="Arial"/>
          <w:i/>
          <w:iCs/>
          <w:sz w:val="22"/>
          <w:szCs w:val="22"/>
          <w:lang w:val="es-MX" w:eastAsia="es-ES_tradnl"/>
        </w:rPr>
        <w:t>personal</w:t>
      </w:r>
      <w:r w:rsidRPr="005375F3">
        <w:rPr>
          <w:rFonts w:ascii="Arial" w:eastAsia="Calibri" w:hAnsi="Arial" w:cs="Arial"/>
          <w:sz w:val="22"/>
          <w:szCs w:val="22"/>
          <w:lang w:val="es-MX" w:eastAsia="es-ES_tradnl"/>
        </w:rPr>
        <w:t>, esto es, se adquiere participando, directa o indirectamente, sin que sea posible no hacerlo y tener experiencia.</w:t>
      </w:r>
    </w:p>
    <w:p w14:paraId="31D4CDE4"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 xml:space="preserve">ii) La experiencia se puede </w:t>
      </w:r>
      <w:r w:rsidRPr="005375F3">
        <w:rPr>
          <w:rFonts w:ascii="Arial" w:eastAsia="Calibri" w:hAnsi="Arial" w:cs="Arial"/>
          <w:i/>
          <w:iCs/>
          <w:sz w:val="22"/>
          <w:szCs w:val="22"/>
          <w:lang w:val="es-MX" w:eastAsia="es-ES_tradnl"/>
        </w:rPr>
        <w:t>compartir</w:t>
      </w:r>
      <w:r w:rsidRPr="005375F3">
        <w:rPr>
          <w:rFonts w:ascii="Arial" w:eastAsia="Calibri" w:hAnsi="Arial" w:cs="Arial"/>
          <w:sz w:val="22"/>
          <w:szCs w:val="22"/>
          <w:lang w:val="es-MX" w:eastAsia="es-ES_tradnl"/>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5375F3">
        <w:rPr>
          <w:rFonts w:ascii="Arial" w:eastAsia="Calibri" w:hAnsi="Arial" w:cs="Arial"/>
          <w:sz w:val="22"/>
          <w:szCs w:val="22"/>
          <w:vertAlign w:val="superscript"/>
          <w:lang w:val="es-MX" w:eastAsia="es-ES_tradnl"/>
        </w:rPr>
        <w:footnoteReference w:id="9"/>
      </w:r>
      <w:r w:rsidRPr="005375F3">
        <w:rPr>
          <w:rFonts w:ascii="Arial" w:eastAsia="Calibri" w:hAnsi="Arial" w:cs="Arial"/>
          <w:sz w:val="22"/>
          <w:szCs w:val="22"/>
          <w:lang w:val="es-MX" w:eastAsia="es-ES_tradnl"/>
        </w:rPr>
        <w:t>.</w:t>
      </w:r>
    </w:p>
    <w:p w14:paraId="4BEB682A"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 xml:space="preserve">iii) La experiencia se puede </w:t>
      </w:r>
      <w:r w:rsidRPr="005375F3">
        <w:rPr>
          <w:rFonts w:ascii="Arial" w:eastAsia="Calibri" w:hAnsi="Arial" w:cs="Arial"/>
          <w:i/>
          <w:iCs/>
          <w:sz w:val="22"/>
          <w:szCs w:val="22"/>
          <w:lang w:val="es-MX" w:eastAsia="es-ES_tradnl"/>
        </w:rPr>
        <w:t>transferir</w:t>
      </w:r>
      <w:r w:rsidRPr="005375F3">
        <w:rPr>
          <w:rFonts w:ascii="Arial" w:eastAsia="Calibri" w:hAnsi="Arial" w:cs="Arial"/>
          <w:sz w:val="22"/>
          <w:szCs w:val="22"/>
          <w:lang w:val="es-MX" w:eastAsia="es-ES_tradnl"/>
        </w:rPr>
        <w:t>, y esto es diferente a compartir, lo que implica que la experiencia de una persona se traslada a otra, y esta última acredita la experiencia como propia, como sucede con la figura que se explicará con más detalle en el numeral 2.3 de este concepto.</w:t>
      </w:r>
    </w:p>
    <w:p w14:paraId="2107DFE9" w14:textId="77777777" w:rsidR="009F4296" w:rsidRPr="005375F3" w:rsidRDefault="009F4296" w:rsidP="009F4296">
      <w:pPr>
        <w:spacing w:before="120" w:after="120" w:line="276" w:lineRule="auto"/>
        <w:ind w:firstLine="708"/>
        <w:jc w:val="both"/>
        <w:rPr>
          <w:rFonts w:ascii="Arial" w:eastAsia="Calibri" w:hAnsi="Arial" w:cs="Arial"/>
          <w:sz w:val="22"/>
          <w:szCs w:val="22"/>
          <w:lang w:val="es-MX" w:eastAsia="es-ES_tradnl"/>
        </w:rPr>
      </w:pPr>
      <w:r w:rsidRPr="005375F3">
        <w:rPr>
          <w:rFonts w:ascii="Arial" w:eastAsia="Calibri" w:hAnsi="Arial" w:cs="Arial"/>
          <w:sz w:val="22"/>
          <w:szCs w:val="22"/>
          <w:lang w:val="es-MX" w:eastAsia="es-ES_tradnl"/>
        </w:rPr>
        <w:t xml:space="preserve">iv) Cuando la persona que adquirió la experiencia </w:t>
      </w:r>
      <w:r w:rsidRPr="005375F3">
        <w:rPr>
          <w:rFonts w:ascii="Arial" w:eastAsia="Calibri" w:hAnsi="Arial" w:cs="Arial"/>
          <w:i/>
          <w:iCs/>
          <w:sz w:val="22"/>
          <w:szCs w:val="22"/>
          <w:lang w:val="es-MX" w:eastAsia="es-ES_tradnl"/>
        </w:rPr>
        <w:t>desaparece</w:t>
      </w:r>
      <w:r w:rsidRPr="005375F3">
        <w:rPr>
          <w:rFonts w:ascii="Arial" w:eastAsia="Calibri" w:hAnsi="Arial" w:cs="Arial"/>
          <w:sz w:val="22"/>
          <w:szCs w:val="22"/>
          <w:lang w:val="es-MX" w:eastAsia="es-ES_tradnl"/>
        </w:rPr>
        <w:t xml:space="preserve"> o se liquida no es posible que comparta o transfiera su experiencia, porque al ser personal sigue la suerte de quien la adquirió.</w:t>
      </w:r>
    </w:p>
    <w:p w14:paraId="4625C084" w14:textId="77777777" w:rsidR="009F4296" w:rsidRDefault="009F4296" w:rsidP="009F4296">
      <w:pPr>
        <w:spacing w:before="120" w:after="120" w:line="276" w:lineRule="auto"/>
        <w:ind w:firstLine="709"/>
        <w:jc w:val="both"/>
        <w:rPr>
          <w:rFonts w:ascii="Arial" w:hAnsi="Arial" w:cs="Arial"/>
          <w:sz w:val="22"/>
          <w:szCs w:val="22"/>
          <w:lang w:val="es-MX" w:eastAsia="es-ES_tradnl"/>
        </w:rPr>
      </w:pPr>
      <w:r w:rsidRPr="005375F3">
        <w:rPr>
          <w:rFonts w:ascii="Arial" w:hAnsi="Arial" w:cs="Arial"/>
          <w:sz w:val="22"/>
          <w:szCs w:val="22"/>
          <w:lang w:val="es-MX" w:eastAsia="es-ES_tradnl"/>
        </w:rPr>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«sometid[a] a los principios de la función administrativa y de contratación estatal»</w:t>
      </w:r>
      <w:r w:rsidRPr="005375F3">
        <w:rPr>
          <w:rFonts w:ascii="Arial" w:hAnsi="Arial" w:cs="Arial"/>
          <w:sz w:val="22"/>
          <w:szCs w:val="22"/>
          <w:vertAlign w:val="superscript"/>
          <w:lang w:val="es-MX" w:eastAsia="es-ES_tradnl"/>
        </w:rPr>
        <w:footnoteReference w:id="10"/>
      </w:r>
      <w:r w:rsidRPr="005375F3">
        <w:rPr>
          <w:rFonts w:ascii="Arial" w:hAnsi="Arial" w:cs="Arial"/>
          <w:sz w:val="22"/>
          <w:szCs w:val="22"/>
          <w:lang w:val="es-MX" w:eastAsia="es-ES_tradnl"/>
        </w:rPr>
        <w:t>.</w:t>
      </w:r>
    </w:p>
    <w:p w14:paraId="31575DBF" w14:textId="1B6D2316" w:rsidR="009F4296" w:rsidRDefault="009F4296" w:rsidP="009F4296">
      <w:pPr>
        <w:spacing w:line="276" w:lineRule="auto"/>
        <w:ind w:firstLine="709"/>
        <w:jc w:val="both"/>
        <w:rPr>
          <w:rFonts w:ascii="Arial" w:hAnsi="Arial" w:cs="Arial"/>
          <w:sz w:val="22"/>
          <w:szCs w:val="22"/>
          <w:lang w:val="es-MX" w:eastAsia="es-ES_tradnl"/>
        </w:rPr>
      </w:pPr>
    </w:p>
    <w:p w14:paraId="44E7D4BD" w14:textId="77777777" w:rsidR="00A061EC" w:rsidRDefault="00A061EC" w:rsidP="009F4296">
      <w:pPr>
        <w:spacing w:line="276" w:lineRule="auto"/>
        <w:ind w:firstLine="709"/>
        <w:jc w:val="both"/>
        <w:rPr>
          <w:rFonts w:ascii="Arial" w:hAnsi="Arial" w:cs="Arial"/>
          <w:sz w:val="22"/>
          <w:szCs w:val="22"/>
          <w:lang w:val="es-MX" w:eastAsia="es-ES_tradnl"/>
        </w:rPr>
      </w:pPr>
    </w:p>
    <w:p w14:paraId="7FB44166" w14:textId="0EC6AD78" w:rsidR="009F4296" w:rsidRPr="005375F3" w:rsidRDefault="009F4296" w:rsidP="009F4296">
      <w:pPr>
        <w:spacing w:line="276" w:lineRule="auto"/>
        <w:jc w:val="both"/>
        <w:rPr>
          <w:rFonts w:ascii="Arial" w:hAnsi="Arial" w:cs="Arial"/>
          <w:b/>
          <w:bCs/>
          <w:sz w:val="22"/>
          <w:szCs w:val="22"/>
          <w:lang w:val="es-MX" w:eastAsia="es-ES_tradnl"/>
        </w:rPr>
      </w:pPr>
      <w:r>
        <w:rPr>
          <w:rFonts w:ascii="Arial" w:hAnsi="Arial" w:cs="Arial"/>
          <w:b/>
          <w:bCs/>
          <w:sz w:val="22"/>
          <w:szCs w:val="22"/>
          <w:lang w:val="es-MX" w:eastAsia="es-ES_tradnl"/>
        </w:rPr>
        <w:t>2.3</w:t>
      </w:r>
      <w:r w:rsidRPr="005375F3">
        <w:rPr>
          <w:rFonts w:ascii="Arial" w:hAnsi="Arial" w:cs="Arial"/>
          <w:b/>
          <w:bCs/>
          <w:sz w:val="22"/>
          <w:szCs w:val="22"/>
          <w:lang w:val="es-MX" w:eastAsia="es-ES_tradnl"/>
        </w:rPr>
        <w:t>. Acreditación de experiencia de socios por parte de sociedades con menos de tres años de constitución</w:t>
      </w:r>
    </w:p>
    <w:p w14:paraId="413DDE2A" w14:textId="77777777" w:rsidR="009F4296" w:rsidRPr="005375F3" w:rsidRDefault="009F4296" w:rsidP="009F4296">
      <w:pPr>
        <w:spacing w:line="276" w:lineRule="auto"/>
        <w:ind w:firstLine="708"/>
        <w:jc w:val="both"/>
        <w:rPr>
          <w:rFonts w:ascii="Arial" w:hAnsi="Arial" w:cs="Arial"/>
          <w:sz w:val="22"/>
          <w:szCs w:val="22"/>
          <w:lang w:val="es-MX" w:eastAsia="es-ES_tradnl"/>
        </w:rPr>
      </w:pPr>
    </w:p>
    <w:p w14:paraId="7D80D1B0" w14:textId="77777777" w:rsidR="009F4296" w:rsidRPr="005375F3" w:rsidRDefault="009F4296" w:rsidP="009F4296">
      <w:pPr>
        <w:spacing w:line="276" w:lineRule="auto"/>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51F9445F"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2C0DF07"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5375F3">
        <w:rPr>
          <w:rFonts w:ascii="Arial" w:hAnsi="Arial" w:cs="Arial"/>
          <w:sz w:val="22"/>
          <w:szCs w:val="22"/>
          <w:vertAlign w:val="superscript"/>
          <w:lang w:val="es-MX" w:eastAsia="es-ES_tradnl"/>
        </w:rPr>
        <w:footnoteReference w:id="11"/>
      </w:r>
      <w:r w:rsidRPr="005375F3">
        <w:rPr>
          <w:rFonts w:ascii="Arial" w:hAnsi="Arial" w:cs="Arial"/>
          <w:sz w:val="22"/>
          <w:szCs w:val="22"/>
          <w:lang w:val="es-MX" w:eastAsia="es-ES_tradnl"/>
        </w:rPr>
        <w:t xml:space="preserve">.  </w:t>
      </w:r>
    </w:p>
    <w:p w14:paraId="1C390CAD"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El numeral 2.5</w:t>
      </w:r>
      <w:r w:rsidRPr="005375F3">
        <w:rPr>
          <w:rFonts w:ascii="Arial" w:hAnsi="Arial" w:cs="Arial"/>
          <w:sz w:val="22"/>
          <w:szCs w:val="22"/>
          <w:vertAlign w:val="superscript"/>
          <w:lang w:val="es-MX" w:eastAsia="es-ES_tradnl"/>
        </w:rPr>
        <w:footnoteReference w:id="12"/>
      </w:r>
      <w:r w:rsidRPr="005375F3">
        <w:rPr>
          <w:rFonts w:ascii="Arial" w:hAnsi="Arial" w:cs="Arial"/>
          <w:sz w:val="22"/>
          <w:szCs w:val="22"/>
          <w:lang w:val="es-MX" w:eastAsia="es-ES_tradnl"/>
        </w:rPr>
        <w:t xml:space="preserve"> del mismo artículo señala que la persona jurídica se registrará aportando los certificados de la experiencia en la provisión de los bienes, obras y servicios </w:t>
      </w:r>
      <w:r w:rsidRPr="005375F3">
        <w:rPr>
          <w:rFonts w:ascii="Arial" w:hAnsi="Arial" w:cs="Arial"/>
          <w:sz w:val="22"/>
          <w:szCs w:val="22"/>
          <w:lang w:val="es-MX" w:eastAsia="es-ES_tradnl"/>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3A8095C"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El interesado debe indicar en cada certificado, o en cada copia de los contratos, los bienes, obras y servicios a los cuales corresponde la experiencia que pretende acreditar, identificándolos con el Clasificador de Bienes y Servicios, en el tercer nivel.</w:t>
      </w:r>
      <w:r>
        <w:rPr>
          <w:rFonts w:ascii="Arial" w:hAnsi="Arial" w:cs="Arial"/>
          <w:sz w:val="22"/>
          <w:szCs w:val="22"/>
          <w:lang w:val="es-MX" w:eastAsia="es-ES_tradnl"/>
        </w:rPr>
        <w:t xml:space="preserve"> Y, a efecto de su consulta, la parte final de ese numeral 2.5 indica que </w:t>
      </w:r>
      <w:r w:rsidRPr="00D01419">
        <w:rPr>
          <w:rFonts w:ascii="Arial" w:hAnsi="Arial" w:cs="Arial"/>
          <w:sz w:val="22"/>
          <w:szCs w:val="22"/>
          <w:lang w:val="es-MX" w:eastAsia="es-ES_tradnl"/>
        </w:rPr>
        <w:t>«</w:t>
      </w:r>
      <w:r w:rsidRPr="005375F3">
        <w:rPr>
          <w:rFonts w:ascii="Arial" w:hAnsi="Arial" w:cs="Arial"/>
          <w:sz w:val="22"/>
          <w:szCs w:val="22"/>
          <w:lang w:val="es-MX" w:eastAsia="es-ES_tradnl"/>
        </w:rPr>
        <w:t>Si la constitución del interesado es menor a 3 años, puede acreditar la experiencia de sus accionistas, socios o constituyentes.</w:t>
      </w:r>
      <w:r w:rsidRPr="00D01419">
        <w:rPr>
          <w:rFonts w:ascii="Arial" w:hAnsi="Arial" w:cs="Arial"/>
          <w:sz w:val="22"/>
          <w:szCs w:val="22"/>
          <w:lang w:val="es-MX" w:eastAsia="es-ES_tradnl"/>
        </w:rPr>
        <w:t>»</w:t>
      </w:r>
    </w:p>
    <w:p w14:paraId="707BF752" w14:textId="77777777" w:rsidR="009F4296" w:rsidRDefault="009F4296" w:rsidP="009F4296">
      <w:pPr>
        <w:spacing w:before="120" w:after="120" w:line="276" w:lineRule="auto"/>
        <w:ind w:firstLine="708"/>
        <w:jc w:val="both"/>
        <w:rPr>
          <w:rFonts w:ascii="Arial" w:hAnsi="Arial" w:cs="Arial"/>
          <w:sz w:val="22"/>
          <w:szCs w:val="22"/>
          <w:lang w:val="es-MX" w:eastAsia="es-ES_tradnl"/>
        </w:rPr>
      </w:pPr>
      <w:bookmarkStart w:id="4" w:name="_Hlk67496603"/>
      <w:r>
        <w:rPr>
          <w:rFonts w:ascii="Arial" w:hAnsi="Arial" w:cs="Arial"/>
          <w:sz w:val="22"/>
          <w:szCs w:val="22"/>
          <w:lang w:val="es-MX" w:eastAsia="es-ES_tradnl"/>
        </w:rPr>
        <w:t>De este modo, se evidencia como l</w:t>
      </w:r>
      <w:r w:rsidRPr="005375F3">
        <w:rPr>
          <w:rFonts w:ascii="Arial" w:hAnsi="Arial" w:cs="Arial"/>
          <w:sz w:val="22"/>
          <w:szCs w:val="22"/>
          <w:lang w:val="es-MX" w:eastAsia="es-ES_tradnl"/>
        </w:rPr>
        <w:t xml:space="preserve">a parte final del numeral 2.5 del artículo citado incluye una medida diferenciada para las personas jurídicas cuya constitución sea menor a 3 años al momento del registro. Esta </w:t>
      </w:r>
      <w:r>
        <w:rPr>
          <w:rFonts w:ascii="Arial" w:hAnsi="Arial" w:cs="Arial"/>
          <w:sz w:val="22"/>
          <w:szCs w:val="22"/>
          <w:lang w:val="es-MX" w:eastAsia="es-ES_tradnl"/>
        </w:rPr>
        <w:t>facultad</w:t>
      </w:r>
      <w:r w:rsidRPr="005375F3">
        <w:rPr>
          <w:rFonts w:ascii="Arial" w:hAnsi="Arial" w:cs="Arial"/>
          <w:sz w:val="22"/>
          <w:szCs w:val="22"/>
          <w:lang w:val="es-MX" w:eastAsia="es-ES_tradnl"/>
        </w:rPr>
        <w:t xml:space="preserve">, que puede entenderse como una medida de fomento a la participación de pequeños oferentes en la contratación estatal, permite que las sociedades relativamente nuevas </w:t>
      </w:r>
      <w:r w:rsidRPr="005375F3">
        <w:rPr>
          <w:rFonts w:ascii="Arial" w:eastAsia="Calibri" w:hAnsi="Arial" w:cs="Arial"/>
          <w:sz w:val="22"/>
          <w:szCs w:val="22"/>
          <w:lang w:val="es-MX" w:eastAsia="es-ES_tradnl"/>
        </w:rPr>
        <w:t>─</w:t>
      </w:r>
      <w:r w:rsidRPr="005375F3">
        <w:rPr>
          <w:rFonts w:ascii="Arial" w:hAnsi="Arial" w:cs="Arial"/>
          <w:sz w:val="22"/>
          <w:szCs w:val="22"/>
          <w:lang w:val="es-MX" w:eastAsia="es-ES_tradnl"/>
        </w:rPr>
        <w:t>con menos de 3 años de constitución</w:t>
      </w:r>
      <w:r w:rsidRPr="005375F3">
        <w:rPr>
          <w:rFonts w:ascii="Arial" w:eastAsia="Calibri" w:hAnsi="Arial" w:cs="Arial"/>
          <w:sz w:val="22"/>
          <w:szCs w:val="22"/>
          <w:lang w:val="es-MX" w:eastAsia="es-ES_tradnl"/>
        </w:rPr>
        <w:t>─</w:t>
      </w:r>
      <w:r w:rsidRPr="005375F3">
        <w:rPr>
          <w:rFonts w:ascii="Arial" w:hAnsi="Arial" w:cs="Arial"/>
          <w:sz w:val="22"/>
          <w:szCs w:val="22"/>
          <w:lang w:val="es-MX" w:eastAsia="es-ES_tradnl"/>
        </w:rPr>
        <w:t xml:space="preserve"> puedan acreditar como experiencia en el RUP la de sus accionistas, socios o constituyentes. </w:t>
      </w:r>
    </w:p>
    <w:p w14:paraId="5ECBEA04" w14:textId="77777777" w:rsidR="009F4296" w:rsidRDefault="009F4296" w:rsidP="009F4296">
      <w:pPr>
        <w:spacing w:before="120" w:after="120" w:line="276" w:lineRule="auto"/>
        <w:ind w:firstLine="708"/>
        <w:jc w:val="both"/>
        <w:rPr>
          <w:rFonts w:ascii="Arial" w:hAnsi="Arial" w:cs="Arial"/>
          <w:sz w:val="22"/>
          <w:szCs w:val="22"/>
          <w:lang w:val="es-MX" w:eastAsia="es-ES_tradnl"/>
        </w:rPr>
      </w:pPr>
      <w:r>
        <w:rPr>
          <w:rFonts w:ascii="Arial" w:hAnsi="Arial" w:cs="Arial"/>
          <w:sz w:val="22"/>
          <w:szCs w:val="22"/>
          <w:lang w:val="es-MX" w:eastAsia="es-ES_tradnl"/>
        </w:rPr>
        <w:t>De este modo, a</w:t>
      </w:r>
      <w:r w:rsidRPr="005375F3">
        <w:rPr>
          <w:rFonts w:ascii="Arial" w:hAnsi="Arial" w:cs="Arial"/>
          <w:sz w:val="22"/>
          <w:szCs w:val="22"/>
          <w:lang w:val="es-MX" w:eastAsia="es-ES_tradnl"/>
        </w:rPr>
        <w:t xml:space="preserve"> pesar de que la experiencia es inherente a la persona que la ha obtenido, razón por la cual es intransferible en virtud de su carácter personalísimo, por disposición legal o reglamentaria, en casos excepcionales, como el descrito por el artículo mencionado, se aplica de otra manera.</w:t>
      </w:r>
      <w:r>
        <w:rPr>
          <w:rFonts w:ascii="Arial" w:hAnsi="Arial" w:cs="Arial"/>
          <w:sz w:val="22"/>
          <w:szCs w:val="22"/>
          <w:lang w:val="es-MX" w:eastAsia="es-ES_tradnl"/>
        </w:rPr>
        <w:t xml:space="preserve"> </w:t>
      </w:r>
    </w:p>
    <w:p w14:paraId="4FDD8494"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4"/>
    <w:p w14:paraId="0033F58A"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w:t>
      </w:r>
      <w:r w:rsidRPr="005375F3">
        <w:rPr>
          <w:rFonts w:ascii="Arial" w:hAnsi="Arial" w:cs="Arial"/>
          <w:sz w:val="22"/>
          <w:szCs w:val="22"/>
          <w:lang w:val="es-MX" w:eastAsia="es-ES_tradnl"/>
        </w:rPr>
        <w:lastRenderedPageBreak/>
        <w:t xml:space="preserve">interrogantes han sido planteados a la Subdirección de Gestión Contractual y se han desarrollado, en torno a dos posiciones, que se plantean a continuación: </w:t>
      </w:r>
    </w:p>
    <w:p w14:paraId="645F6574"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3AC4076E"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i) La posición de Colombia Compra Eficiente respecto a la validez de la experiencia de los accionistas, socios o constituyentes, acreditada en el RUP por una sociedad nueva, cuando está ya superó los 3 años de constituida, ha variado. </w:t>
      </w:r>
    </w:p>
    <w:p w14:paraId="0D5DEB98"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ii) El Decreto 1082 de 2015 establece que, para la inscripción en el RUP de una persona jurídica si su constitución es menor a 3 años, puede acreditar la experiencia de sus accionistas, socios o constituyentes. </w:t>
      </w:r>
    </w:p>
    <w:p w14:paraId="6723D785"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650FF716"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086E4CE"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5375F3">
        <w:rPr>
          <w:rFonts w:ascii="Arial" w:eastAsia="Calibri" w:hAnsi="Arial" w:cs="Arial"/>
          <w:sz w:val="22"/>
          <w:szCs w:val="22"/>
          <w:lang w:val="es-MX" w:eastAsia="es-ES_tradnl"/>
        </w:rPr>
        <w:t>―</w:t>
      </w:r>
      <w:r w:rsidRPr="005375F3">
        <w:rPr>
          <w:rFonts w:ascii="Arial" w:hAnsi="Arial" w:cs="Arial"/>
          <w:sz w:val="22"/>
          <w:szCs w:val="22"/>
          <w:lang w:val="es-MX" w:eastAsia="es-ES_tradnl"/>
        </w:rPr>
        <w:t>únicamente para la capacidad jurídica y experiencia</w:t>
      </w:r>
      <w:r w:rsidRPr="005375F3">
        <w:rPr>
          <w:rFonts w:ascii="Arial" w:eastAsia="Calibri" w:hAnsi="Arial" w:cs="Arial"/>
          <w:sz w:val="22"/>
          <w:szCs w:val="22"/>
          <w:lang w:val="es-MX" w:eastAsia="es-ES_tradnl"/>
        </w:rPr>
        <w:t>―</w:t>
      </w:r>
      <w:r w:rsidRPr="005375F3">
        <w:rPr>
          <w:rFonts w:ascii="Arial" w:hAnsi="Arial" w:cs="Arial"/>
          <w:sz w:val="22"/>
          <w:szCs w:val="22"/>
          <w:lang w:val="es-MX" w:eastAsia="es-ES_tradnl"/>
        </w:rPr>
        <w:t xml:space="preserve"> y debe ser verificada junto con sus soportes por la Cámara de Comercio correspondiente. </w:t>
      </w:r>
    </w:p>
    <w:p w14:paraId="42047632"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5375F3">
        <w:rPr>
          <w:rFonts w:ascii="Arial" w:hAnsi="Arial" w:cs="Arial"/>
          <w:sz w:val="22"/>
          <w:szCs w:val="22"/>
          <w:vertAlign w:val="superscript"/>
          <w:lang w:val="es-MX" w:eastAsia="es-ES_tradnl"/>
        </w:rPr>
        <w:footnoteReference w:id="13"/>
      </w:r>
      <w:r w:rsidRPr="005375F3">
        <w:rPr>
          <w:rFonts w:ascii="Arial" w:hAnsi="Arial" w:cs="Arial"/>
          <w:sz w:val="22"/>
          <w:szCs w:val="22"/>
          <w:lang w:val="es-MX" w:eastAsia="es-ES_tradnl"/>
        </w:rPr>
        <w:t xml:space="preserve">, recogida y unificada en el concepto con radicado No. 4201913000006797 del 19 de noviembre de 2019 en el que se sostuvo que las personas jurídicas que hubieran sido beneficiarias de la norma podían seguir acreditando la </w:t>
      </w:r>
      <w:r w:rsidRPr="005375F3">
        <w:rPr>
          <w:rFonts w:ascii="Arial" w:hAnsi="Arial" w:cs="Arial"/>
          <w:sz w:val="22"/>
          <w:szCs w:val="22"/>
          <w:lang w:val="es-MX" w:eastAsia="es-ES_tradnl"/>
        </w:rPr>
        <w:lastRenderedPageBreak/>
        <w:t>experiencia de sus socios o accionistas, inclusive después de transcurridos 3 años desde la constitución de la sociedad, siempre que se renovara el RUP</w:t>
      </w:r>
      <w:r>
        <w:rPr>
          <w:rFonts w:ascii="Arial" w:hAnsi="Arial" w:cs="Arial"/>
          <w:sz w:val="22"/>
          <w:szCs w:val="22"/>
          <w:lang w:val="es-MX" w:eastAsia="es-ES_tradnl"/>
        </w:rPr>
        <w:t xml:space="preserve"> de conformidad con las exigencias normativas y, por tanto, mantuviera su vigencia</w:t>
      </w:r>
      <w:r w:rsidRPr="005375F3">
        <w:rPr>
          <w:rFonts w:ascii="Arial" w:hAnsi="Arial" w:cs="Arial"/>
          <w:sz w:val="22"/>
          <w:szCs w:val="22"/>
          <w:lang w:val="es-MX" w:eastAsia="es-ES_tradnl"/>
        </w:rPr>
        <w:t xml:space="preserve">.  </w:t>
      </w:r>
    </w:p>
    <w:p w14:paraId="40374151"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Teniendo en cuenta lo anterior, aunque la persona jurídica tenga más de tres años de constituida y haya registrado inicialmente la experiencia de sus socios en el RUP </w:t>
      </w:r>
      <w:r w:rsidRPr="005375F3">
        <w:rPr>
          <w:rFonts w:ascii="Arial" w:eastAsia="Calibri" w:hAnsi="Arial" w:cs="Arial"/>
          <w:sz w:val="22"/>
          <w:szCs w:val="22"/>
          <w:lang w:val="es-MX" w:eastAsia="es-ES_tradnl"/>
        </w:rPr>
        <w:t>–</w:t>
      </w:r>
      <w:r w:rsidRPr="005375F3">
        <w:rPr>
          <w:rFonts w:ascii="Arial" w:hAnsi="Arial" w:cs="Arial"/>
          <w:sz w:val="22"/>
          <w:szCs w:val="22"/>
          <w:lang w:val="es-MX" w:eastAsia="es-ES_tradnl"/>
        </w:rPr>
        <w:t>pues su constitución era inferior a tres años</w:t>
      </w:r>
      <w:r w:rsidRPr="005375F3">
        <w:rPr>
          <w:rFonts w:ascii="Arial" w:eastAsia="Calibri" w:hAnsi="Arial" w:cs="Arial"/>
          <w:sz w:val="22"/>
          <w:szCs w:val="22"/>
          <w:lang w:val="es-MX" w:eastAsia="es-ES_tradnl"/>
        </w:rPr>
        <w:t>–, cuando</w:t>
      </w:r>
      <w:r w:rsidRPr="005375F3">
        <w:rPr>
          <w:rFonts w:ascii="Arial" w:hAnsi="Arial" w:cs="Arial"/>
          <w:sz w:val="22"/>
          <w:szCs w:val="22"/>
          <w:lang w:val="es-MX" w:eastAsia="es-ES_tradnl"/>
        </w:rPr>
        <w:t xml:space="preserve">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2D1A282"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5375F3">
        <w:rPr>
          <w:rFonts w:ascii="Arial" w:hAnsi="Arial" w:cs="Arial"/>
          <w:sz w:val="22"/>
          <w:szCs w:val="22"/>
          <w:vertAlign w:val="superscript"/>
          <w:lang w:val="es-MX" w:eastAsia="es-ES_tradnl"/>
        </w:rPr>
        <w:footnoteReference w:id="14"/>
      </w:r>
      <w:r w:rsidRPr="005375F3">
        <w:rPr>
          <w:rFonts w:ascii="Arial" w:hAnsi="Arial" w:cs="Arial"/>
          <w:sz w:val="22"/>
          <w:szCs w:val="22"/>
          <w:lang w:val="es-MX" w:eastAsia="es-ES_tradnl"/>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5F542626" w14:textId="77777777" w:rsidR="009F4296" w:rsidRPr="005375F3" w:rsidRDefault="009F4296" w:rsidP="009F4296">
      <w:pPr>
        <w:spacing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En otras palabras, </w:t>
      </w:r>
      <w:bookmarkStart w:id="5" w:name="_Hlk67498604"/>
      <w:r w:rsidRPr="005375F3">
        <w:rPr>
          <w:rFonts w:ascii="Arial" w:hAnsi="Arial" w:cs="Arial"/>
          <w:sz w:val="22"/>
          <w:szCs w:val="22"/>
          <w:lang w:val="es-MX" w:eastAsia="es-ES_tradnl"/>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5"/>
      <w:r w:rsidRPr="005375F3">
        <w:rPr>
          <w:rFonts w:ascii="Arial" w:hAnsi="Arial" w:cs="Arial"/>
          <w:sz w:val="22"/>
          <w:szCs w:val="22"/>
          <w:lang w:val="es-MX" w:eastAsia="es-ES_tradnl"/>
        </w:rPr>
        <w:t xml:space="preserve">Lo anterior, tiene fundamento en la Circular Única de la Superintendencia de Industria y Comercio, cuyo numeral 4.2, sobre el procedimiento para llevar el registro único de proponentes, dispone lo siguiente:  </w:t>
      </w:r>
    </w:p>
    <w:p w14:paraId="3A48603D" w14:textId="77777777" w:rsidR="009F4296" w:rsidRPr="005375F3" w:rsidRDefault="009F4296" w:rsidP="009F4296">
      <w:pPr>
        <w:ind w:firstLine="708"/>
        <w:jc w:val="both"/>
        <w:rPr>
          <w:rFonts w:ascii="Arial" w:hAnsi="Arial" w:cs="Arial"/>
          <w:lang w:val="es-MX" w:eastAsia="es-ES_tradnl"/>
        </w:rPr>
      </w:pPr>
    </w:p>
    <w:p w14:paraId="05A0D53D" w14:textId="77777777" w:rsidR="009F4296" w:rsidRPr="005375F3" w:rsidRDefault="009F4296" w:rsidP="009F4296">
      <w:pPr>
        <w:ind w:left="709" w:right="709"/>
        <w:jc w:val="both"/>
        <w:rPr>
          <w:rFonts w:ascii="Arial" w:hAnsi="Arial" w:cs="Arial"/>
          <w:sz w:val="21"/>
          <w:szCs w:val="21"/>
          <w:lang w:val="es-MX" w:eastAsia="es-ES_tradnl"/>
        </w:rPr>
      </w:pPr>
      <w:r w:rsidRPr="00E82A8D">
        <w:rPr>
          <w:rFonts w:ascii="Arial" w:hAnsi="Arial" w:cs="Arial"/>
          <w:sz w:val="21"/>
          <w:szCs w:val="21"/>
          <w:lang w:val="es-MX" w:eastAsia="es-ES_tradnl"/>
        </w:rPr>
        <w:lastRenderedPageBreak/>
        <w:t>«</w:t>
      </w:r>
      <w:r w:rsidRPr="005375F3">
        <w:rPr>
          <w:rFonts w:ascii="Arial" w:hAnsi="Arial" w:cs="Arial"/>
          <w:sz w:val="21"/>
          <w:szCs w:val="21"/>
          <w:lang w:val="es-MX" w:eastAsia="es-ES_tradnl"/>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r w:rsidRPr="00E82A8D">
        <w:rPr>
          <w:rFonts w:ascii="Arial" w:hAnsi="Arial" w:cs="Arial"/>
          <w:sz w:val="21"/>
          <w:szCs w:val="21"/>
          <w:lang w:val="es-MX" w:eastAsia="es-ES_tradnl"/>
        </w:rPr>
        <w:t>»</w:t>
      </w:r>
    </w:p>
    <w:p w14:paraId="062126CF" w14:textId="77777777" w:rsidR="009F4296" w:rsidRPr="005375F3" w:rsidRDefault="009F4296" w:rsidP="009F4296">
      <w:pPr>
        <w:ind w:left="709" w:right="709"/>
        <w:jc w:val="both"/>
        <w:rPr>
          <w:rFonts w:ascii="Arial" w:hAnsi="Arial" w:cs="Arial"/>
          <w:lang w:val="es-MX" w:eastAsia="es-ES_tradnl"/>
        </w:rPr>
      </w:pPr>
    </w:p>
    <w:p w14:paraId="40DA75AB" w14:textId="77777777" w:rsidR="009F4296" w:rsidRPr="005375F3" w:rsidRDefault="009F4296" w:rsidP="009F4296">
      <w:pPr>
        <w:spacing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17E0E9E1" w14:textId="77777777" w:rsidR="009F4296" w:rsidRPr="005375F3" w:rsidRDefault="009F4296" w:rsidP="009F4296">
      <w:pPr>
        <w:spacing w:before="120" w:after="120" w:line="276" w:lineRule="auto"/>
        <w:ind w:firstLine="708"/>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En línea con lo anterior, el numeral 2.5. del artículo 2.2.1.1.1.5.2 del Decreto 1082 de 2015 consagra una </w:t>
      </w:r>
      <w:r>
        <w:rPr>
          <w:rFonts w:ascii="Arial" w:hAnsi="Arial" w:cs="Arial"/>
          <w:sz w:val="22"/>
          <w:szCs w:val="22"/>
          <w:lang w:val="es-MX" w:eastAsia="es-ES_tradnl"/>
        </w:rPr>
        <w:t>facultad</w:t>
      </w:r>
      <w:r w:rsidRPr="005375F3">
        <w:rPr>
          <w:rFonts w:ascii="Arial" w:hAnsi="Arial" w:cs="Arial"/>
          <w:sz w:val="22"/>
          <w:szCs w:val="22"/>
          <w:lang w:val="es-MX" w:eastAsia="es-ES_tradnl"/>
        </w:rPr>
        <w:t xml:space="preserve">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w:t>
      </w:r>
      <w:r>
        <w:rPr>
          <w:rFonts w:ascii="Arial" w:hAnsi="Arial" w:cs="Arial"/>
          <w:sz w:val="22"/>
          <w:szCs w:val="22"/>
          <w:lang w:val="es-MX" w:eastAsia="es-ES_tradnl"/>
        </w:rPr>
        <w:t>facultad</w:t>
      </w:r>
      <w:r w:rsidRPr="005375F3">
        <w:rPr>
          <w:rFonts w:ascii="Arial" w:hAnsi="Arial" w:cs="Arial"/>
          <w:sz w:val="22"/>
          <w:szCs w:val="22"/>
          <w:lang w:val="es-MX" w:eastAsia="es-ES_tradnl"/>
        </w:rPr>
        <w:t xml:space="preserve">. </w:t>
      </w:r>
    </w:p>
    <w:p w14:paraId="2A791E87" w14:textId="77777777" w:rsidR="009F4296" w:rsidRPr="005375F3" w:rsidRDefault="009F4296" w:rsidP="009F4296">
      <w:pPr>
        <w:spacing w:before="120" w:after="120" w:line="276" w:lineRule="auto"/>
        <w:ind w:firstLine="709"/>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Por tanto, en atención al principio general de interpretación según el cual </w:t>
      </w:r>
      <w:r>
        <w:rPr>
          <w:rFonts w:ascii="Arial" w:hAnsi="Arial" w:cs="Arial"/>
          <w:sz w:val="22"/>
          <w:szCs w:val="22"/>
          <w:lang w:val="es-MX" w:eastAsia="es-ES_tradnl"/>
        </w:rPr>
        <w:t>donde la disposición normativa</w:t>
      </w:r>
      <w:r w:rsidRPr="005375F3">
        <w:rPr>
          <w:rFonts w:ascii="Arial" w:hAnsi="Arial" w:cs="Arial"/>
          <w:sz w:val="22"/>
          <w:szCs w:val="22"/>
          <w:lang w:val="es-MX" w:eastAsia="es-ES_tradnl"/>
        </w:rPr>
        <w:t xml:space="preserve"> no distingue no le es dado hacerlo al interprete, el hecho de que una sociedad con menos de 3 años de constitución haya hecho uso de la referida </w:t>
      </w:r>
      <w:r>
        <w:rPr>
          <w:rFonts w:ascii="Arial" w:hAnsi="Arial" w:cs="Arial"/>
          <w:sz w:val="22"/>
          <w:szCs w:val="22"/>
          <w:lang w:val="es-MX" w:eastAsia="es-ES_tradnl"/>
        </w:rPr>
        <w:t>facultad</w:t>
      </w:r>
      <w:r w:rsidRPr="005375F3">
        <w:rPr>
          <w:rFonts w:ascii="Arial" w:hAnsi="Arial" w:cs="Arial"/>
          <w:sz w:val="22"/>
          <w:szCs w:val="22"/>
          <w:lang w:val="es-MX" w:eastAsia="es-ES_tradnl"/>
        </w:rPr>
        <w:t xml:space="preserve">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394E6F5" w14:textId="77777777" w:rsidR="009F4296" w:rsidRPr="005375F3" w:rsidRDefault="009F4296" w:rsidP="009F4296">
      <w:pPr>
        <w:spacing w:after="120" w:line="276" w:lineRule="auto"/>
        <w:ind w:firstLine="709"/>
        <w:jc w:val="both"/>
        <w:rPr>
          <w:rFonts w:ascii="Arial" w:hAnsi="Arial" w:cs="Arial"/>
          <w:sz w:val="22"/>
          <w:szCs w:val="22"/>
          <w:lang w:val="es-MX" w:eastAsia="es-ES_tradnl"/>
        </w:rPr>
      </w:pPr>
      <w:bookmarkStart w:id="6" w:name="_Hlk67498710"/>
      <w:r w:rsidRPr="005375F3">
        <w:rPr>
          <w:rFonts w:ascii="Arial" w:hAnsi="Arial" w:cs="Arial"/>
          <w:sz w:val="22"/>
          <w:szCs w:val="22"/>
          <w:lang w:val="es-MX" w:eastAsia="es-ES_tradnl"/>
        </w:rPr>
        <w:t xml:space="preserve">Sin perjuicio de lo anterior, no debe perderse de vista que el Decreto 1082 de 2015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026CE42E" w14:textId="77777777" w:rsidR="009F4296" w:rsidRDefault="009F4296" w:rsidP="009F4296">
      <w:pPr>
        <w:spacing w:after="120" w:line="276" w:lineRule="auto"/>
        <w:ind w:firstLine="709"/>
        <w:jc w:val="both"/>
        <w:rPr>
          <w:rFonts w:ascii="Arial" w:hAnsi="Arial" w:cs="Arial"/>
          <w:sz w:val="22"/>
          <w:szCs w:val="22"/>
          <w:lang w:val="es-MX" w:eastAsia="es-ES_tradnl"/>
        </w:rPr>
      </w:pPr>
      <w:r w:rsidRPr="005375F3">
        <w:rPr>
          <w:rFonts w:ascii="Arial" w:hAnsi="Arial" w:cs="Arial"/>
          <w:sz w:val="22"/>
          <w:szCs w:val="22"/>
          <w:lang w:val="es-MX" w:eastAsia="es-ES_tradnl"/>
        </w:rPr>
        <w:t xml:space="preserve">Esta interpretación además se impone en atención al fin de evitar prácticas corruptas o que atenten contra la transparencia en la contratación estatal, por lo que la experiencia aportada por quien se retira no debería ser utilizada por el proponente en procesos de contratación, ya que es inherente a la persona que la ha obtenido. En ese sentido, si el </w:t>
      </w:r>
      <w:r w:rsidRPr="005375F3">
        <w:rPr>
          <w:rFonts w:ascii="Arial" w:hAnsi="Arial" w:cs="Arial"/>
          <w:sz w:val="22"/>
          <w:szCs w:val="22"/>
          <w:lang w:val="es-MX" w:eastAsia="es-ES_tradnl"/>
        </w:rPr>
        <w:lastRenderedPageBreak/>
        <w:t>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58FC4E55" w14:textId="3F05FED1" w:rsidR="006B06C7" w:rsidRDefault="009F4296" w:rsidP="009F4296">
      <w:pPr>
        <w:spacing w:after="120" w:line="276" w:lineRule="auto"/>
        <w:ind w:firstLine="709"/>
        <w:jc w:val="both"/>
        <w:rPr>
          <w:rFonts w:ascii="Arial" w:hAnsi="Arial" w:cs="Arial"/>
          <w:sz w:val="22"/>
          <w:szCs w:val="22"/>
          <w:lang w:val="es-MX" w:eastAsia="es-ES_tradnl"/>
        </w:rPr>
      </w:pPr>
      <w:r>
        <w:rPr>
          <w:rFonts w:ascii="Arial" w:hAnsi="Arial" w:cs="Arial"/>
          <w:sz w:val="22"/>
          <w:szCs w:val="22"/>
          <w:lang w:val="es-MX" w:eastAsia="es-ES_tradnl"/>
        </w:rPr>
        <w:t xml:space="preserve">En este orden de ideas, </w:t>
      </w:r>
      <w:r w:rsidR="006D4E4D">
        <w:rPr>
          <w:rFonts w:ascii="Arial" w:hAnsi="Arial" w:cs="Arial"/>
          <w:sz w:val="22"/>
          <w:szCs w:val="22"/>
          <w:lang w:val="es-MX" w:eastAsia="es-ES_tradnl"/>
        </w:rPr>
        <w:t>es</w:t>
      </w:r>
      <w:r>
        <w:rPr>
          <w:rFonts w:ascii="Arial" w:hAnsi="Arial" w:cs="Arial"/>
          <w:sz w:val="22"/>
          <w:szCs w:val="22"/>
          <w:lang w:val="es-MX" w:eastAsia="es-ES_tradnl"/>
        </w:rPr>
        <w:t xml:space="preserve"> claro que el artículo 2.5 </w:t>
      </w:r>
      <w:r w:rsidRPr="005375F3">
        <w:rPr>
          <w:rFonts w:ascii="Arial" w:hAnsi="Arial" w:cs="Arial"/>
          <w:sz w:val="22"/>
          <w:szCs w:val="22"/>
          <w:lang w:val="es-MX" w:eastAsia="es-ES_tradnl"/>
        </w:rPr>
        <w:t xml:space="preserve">del artículo 2.2.1.1.1.5.2 del Decreto 1082 de 2015 </w:t>
      </w:r>
      <w:r>
        <w:rPr>
          <w:rFonts w:ascii="Arial" w:hAnsi="Arial" w:cs="Arial"/>
          <w:sz w:val="22"/>
          <w:szCs w:val="22"/>
          <w:lang w:val="es-MX" w:eastAsia="es-ES_tradnl"/>
        </w:rPr>
        <w:t xml:space="preserve">faculta a los </w:t>
      </w:r>
      <w:r w:rsidRPr="00D85020">
        <w:rPr>
          <w:rFonts w:ascii="Arial" w:hAnsi="Arial" w:cs="Arial"/>
          <w:sz w:val="22"/>
          <w:szCs w:val="22"/>
          <w:lang w:val="es-MX" w:eastAsia="es-ES_tradnl"/>
        </w:rPr>
        <w:t>accionistas, socios o constituyentes</w:t>
      </w:r>
      <w:r>
        <w:rPr>
          <w:rFonts w:ascii="Arial" w:hAnsi="Arial" w:cs="Arial"/>
          <w:sz w:val="22"/>
          <w:szCs w:val="22"/>
          <w:lang w:val="es-MX" w:eastAsia="es-ES_tradnl"/>
        </w:rPr>
        <w:t xml:space="preserve"> de una sociedad con menos de 3 años de creación, </w:t>
      </w:r>
      <w:r w:rsidR="006D4E4D">
        <w:rPr>
          <w:rFonts w:ascii="Arial" w:hAnsi="Arial" w:cs="Arial"/>
          <w:sz w:val="22"/>
          <w:szCs w:val="22"/>
          <w:lang w:val="es-MX" w:eastAsia="es-ES_tradnl"/>
        </w:rPr>
        <w:t>para</w:t>
      </w:r>
      <w:r>
        <w:rPr>
          <w:rFonts w:ascii="Arial" w:hAnsi="Arial" w:cs="Arial"/>
          <w:sz w:val="22"/>
          <w:szCs w:val="22"/>
          <w:lang w:val="es-MX" w:eastAsia="es-ES_tradnl"/>
        </w:rPr>
        <w:t xml:space="preserve"> aportar y acreditar su experiencia a favor de la nueva persona jurídica creada,</w:t>
      </w:r>
      <w:r w:rsidR="0091503C">
        <w:rPr>
          <w:rFonts w:ascii="Arial" w:hAnsi="Arial" w:cs="Arial"/>
          <w:sz w:val="22"/>
          <w:szCs w:val="22"/>
          <w:lang w:val="es-MX" w:eastAsia="es-ES_tradnl"/>
        </w:rPr>
        <w:t xml:space="preserve"> experiencia</w:t>
      </w:r>
      <w:r w:rsidR="00EA575F">
        <w:rPr>
          <w:rFonts w:ascii="Arial" w:hAnsi="Arial" w:cs="Arial"/>
          <w:sz w:val="22"/>
          <w:szCs w:val="22"/>
          <w:lang w:val="es-MX" w:eastAsia="es-ES_tradnl"/>
        </w:rPr>
        <w:t xml:space="preserve"> que deberá verse reflejada</w:t>
      </w:r>
      <w:r w:rsidR="0091503C">
        <w:rPr>
          <w:rFonts w:ascii="Arial" w:hAnsi="Arial" w:cs="Arial"/>
          <w:sz w:val="22"/>
          <w:szCs w:val="22"/>
          <w:lang w:val="es-MX" w:eastAsia="es-ES_tradnl"/>
        </w:rPr>
        <w:t xml:space="preserve"> </w:t>
      </w:r>
      <w:r>
        <w:rPr>
          <w:rFonts w:ascii="Arial" w:hAnsi="Arial" w:cs="Arial"/>
          <w:sz w:val="22"/>
          <w:szCs w:val="22"/>
          <w:lang w:val="es-MX" w:eastAsia="es-ES_tradnl"/>
        </w:rPr>
        <w:t>en el certificado del Registro Único de Proponentes emitido por la Cámara de Comercio correspondiente en donde se haya efectuado la inscripción o renovación.</w:t>
      </w:r>
      <w:r w:rsidR="003F0A31">
        <w:rPr>
          <w:rFonts w:ascii="Arial" w:hAnsi="Arial" w:cs="Arial"/>
          <w:sz w:val="22"/>
          <w:szCs w:val="22"/>
          <w:lang w:val="es-MX" w:eastAsia="es-ES_tradnl"/>
        </w:rPr>
        <w:t xml:space="preserve"> A estos</w:t>
      </w:r>
      <w:r>
        <w:rPr>
          <w:rFonts w:ascii="Arial" w:hAnsi="Arial" w:cs="Arial"/>
          <w:sz w:val="22"/>
          <w:szCs w:val="22"/>
          <w:lang w:val="es-MX" w:eastAsia="es-ES_tradnl"/>
        </w:rPr>
        <w:t xml:space="preserve"> efectos, la respectiva Cámara de Comercio, y no la entidad estatal contratante, deberá haber hecho la verificación documental de la experiencia </w:t>
      </w:r>
      <w:r w:rsidRPr="00717946">
        <w:rPr>
          <w:rFonts w:ascii="Arial" w:hAnsi="Arial" w:cs="Arial"/>
          <w:sz w:val="22"/>
          <w:szCs w:val="22"/>
          <w:lang w:val="es-MX" w:eastAsia="es-ES_tradnl"/>
        </w:rPr>
        <w:t xml:space="preserve">la experiencia </w:t>
      </w:r>
      <w:r w:rsidR="003F0A31">
        <w:rPr>
          <w:rFonts w:ascii="Arial" w:hAnsi="Arial" w:cs="Arial"/>
          <w:sz w:val="22"/>
          <w:szCs w:val="22"/>
          <w:lang w:val="es-MX" w:eastAsia="es-ES_tradnl"/>
        </w:rPr>
        <w:t>efectivamente adquirida</w:t>
      </w:r>
      <w:r w:rsidRPr="00717946">
        <w:rPr>
          <w:rFonts w:ascii="Arial" w:hAnsi="Arial" w:cs="Arial"/>
          <w:sz w:val="22"/>
          <w:szCs w:val="22"/>
          <w:lang w:val="es-MX" w:eastAsia="es-ES_tradnl"/>
        </w:rPr>
        <w:t xml:space="preserve"> </w:t>
      </w:r>
      <w:r w:rsidR="003F0A31">
        <w:rPr>
          <w:rFonts w:ascii="Arial" w:hAnsi="Arial" w:cs="Arial"/>
          <w:sz w:val="22"/>
          <w:szCs w:val="22"/>
          <w:lang w:val="es-MX" w:eastAsia="es-ES_tradnl"/>
        </w:rPr>
        <w:t>por</w:t>
      </w:r>
      <w:r>
        <w:rPr>
          <w:rFonts w:ascii="Arial" w:hAnsi="Arial" w:cs="Arial"/>
          <w:sz w:val="22"/>
          <w:szCs w:val="22"/>
          <w:lang w:val="es-MX" w:eastAsia="es-ES_tradnl"/>
        </w:rPr>
        <w:t xml:space="preserve"> los </w:t>
      </w:r>
      <w:r w:rsidRPr="00D85020">
        <w:rPr>
          <w:rFonts w:ascii="Arial" w:hAnsi="Arial" w:cs="Arial"/>
          <w:sz w:val="22"/>
          <w:szCs w:val="22"/>
          <w:lang w:val="es-MX" w:eastAsia="es-ES_tradnl"/>
        </w:rPr>
        <w:t>accionistas, socios o constituyentes</w:t>
      </w:r>
      <w:r w:rsidR="003F0A31">
        <w:rPr>
          <w:rFonts w:ascii="Arial" w:hAnsi="Arial" w:cs="Arial"/>
          <w:sz w:val="22"/>
          <w:szCs w:val="22"/>
          <w:lang w:val="es-MX" w:eastAsia="es-ES_tradnl"/>
        </w:rPr>
        <w:t xml:space="preserve"> que</w:t>
      </w:r>
      <w:r>
        <w:rPr>
          <w:rFonts w:ascii="Arial" w:hAnsi="Arial" w:cs="Arial"/>
          <w:sz w:val="22"/>
          <w:szCs w:val="22"/>
          <w:lang w:val="es-MX" w:eastAsia="es-ES_tradnl"/>
        </w:rPr>
        <w:t xml:space="preserve"> acreditan </w:t>
      </w:r>
      <w:r w:rsidR="003F0A31">
        <w:rPr>
          <w:rFonts w:ascii="Arial" w:hAnsi="Arial" w:cs="Arial"/>
          <w:sz w:val="22"/>
          <w:szCs w:val="22"/>
          <w:lang w:val="es-MX" w:eastAsia="es-ES_tradnl"/>
        </w:rPr>
        <w:t>en</w:t>
      </w:r>
      <w:r>
        <w:rPr>
          <w:rFonts w:ascii="Arial" w:hAnsi="Arial" w:cs="Arial"/>
          <w:sz w:val="22"/>
          <w:szCs w:val="22"/>
          <w:lang w:val="es-MX" w:eastAsia="es-ES_tradnl"/>
        </w:rPr>
        <w:t xml:space="preserve"> favor de la persona jurídica a la que pertenecen, según el citado numeral 2.5. </w:t>
      </w:r>
    </w:p>
    <w:p w14:paraId="18065E0F" w14:textId="04C6C5E4" w:rsidR="009F4296" w:rsidRDefault="006B06C7" w:rsidP="009F4296">
      <w:pPr>
        <w:spacing w:after="120" w:line="276" w:lineRule="auto"/>
        <w:ind w:firstLine="709"/>
        <w:jc w:val="both"/>
        <w:rPr>
          <w:rFonts w:ascii="Arial" w:hAnsi="Arial" w:cs="Arial"/>
          <w:sz w:val="22"/>
          <w:szCs w:val="22"/>
          <w:lang w:val="es-MX" w:eastAsia="es-ES_tradnl"/>
        </w:rPr>
      </w:pPr>
      <w:r>
        <w:rPr>
          <w:rFonts w:ascii="Arial" w:hAnsi="Arial" w:cs="Arial"/>
          <w:sz w:val="22"/>
          <w:szCs w:val="22"/>
          <w:lang w:val="es-MX" w:eastAsia="es-ES_tradnl"/>
        </w:rPr>
        <w:t>En todo caso</w:t>
      </w:r>
      <w:r w:rsidR="009F4296">
        <w:rPr>
          <w:rFonts w:ascii="Arial" w:hAnsi="Arial" w:cs="Arial"/>
          <w:sz w:val="22"/>
          <w:szCs w:val="22"/>
          <w:lang w:val="es-MX" w:eastAsia="es-ES_tradnl"/>
        </w:rPr>
        <w:t>, con independencia del porcentaje de participación en la persona jurídica, la experiencia de esta última, en el evento en que se emplee la facultad contenida en el numeral 2.5, dependerá de la información que se aportó a la Cámara de Comercio para realizar la inscripción del RUP de la persona jurídica.</w:t>
      </w:r>
      <w:r>
        <w:rPr>
          <w:rFonts w:ascii="Arial" w:hAnsi="Arial" w:cs="Arial"/>
          <w:sz w:val="22"/>
          <w:szCs w:val="22"/>
          <w:lang w:val="es-MX" w:eastAsia="es-ES_tradnl"/>
        </w:rPr>
        <w:t xml:space="preserve"> </w:t>
      </w:r>
      <w:r w:rsidR="009F4296">
        <w:rPr>
          <w:rFonts w:ascii="Arial" w:hAnsi="Arial" w:cs="Arial"/>
          <w:sz w:val="22"/>
          <w:szCs w:val="22"/>
          <w:lang w:val="es-MX" w:eastAsia="es-ES_tradnl"/>
        </w:rPr>
        <w:t xml:space="preserve">En otras palabras, en los eventos en que personas jurídicas acrediten la experiencia de sus </w:t>
      </w:r>
      <w:r w:rsidR="009F4296" w:rsidRPr="00D85020">
        <w:rPr>
          <w:rFonts w:ascii="Arial" w:hAnsi="Arial" w:cs="Arial"/>
          <w:sz w:val="22"/>
          <w:szCs w:val="22"/>
          <w:lang w:val="es-MX" w:eastAsia="es-ES_tradnl"/>
        </w:rPr>
        <w:t>accionistas, socios o constituyentes</w:t>
      </w:r>
      <w:r w:rsidR="009F4296">
        <w:rPr>
          <w:rFonts w:ascii="Arial" w:hAnsi="Arial" w:cs="Arial"/>
          <w:sz w:val="22"/>
          <w:szCs w:val="22"/>
          <w:lang w:val="es-MX" w:eastAsia="es-ES_tradnl"/>
        </w:rPr>
        <w:t xml:space="preserve"> para la inscripción en el RUP, la Cámara de Comerio efectué la inscripción y adquiera firmeza, según lo previsto en el artículo 6 de la Ley 1150 de 2007, en los procesos contractuales la experiencia que podrá acreditar el proponente persona jurídica será la contenida en el certificado del RUP, sin importar el porcentaje de participación de sus </w:t>
      </w:r>
      <w:r w:rsidR="009F4296" w:rsidRPr="00D85020">
        <w:rPr>
          <w:rFonts w:ascii="Arial" w:hAnsi="Arial" w:cs="Arial"/>
          <w:sz w:val="22"/>
          <w:szCs w:val="22"/>
          <w:lang w:val="es-MX" w:eastAsia="es-ES_tradnl"/>
        </w:rPr>
        <w:t>accionistas, socios o constituyentes</w:t>
      </w:r>
      <w:r w:rsidR="009F4296">
        <w:rPr>
          <w:rFonts w:ascii="Arial" w:hAnsi="Arial" w:cs="Arial"/>
          <w:sz w:val="22"/>
          <w:szCs w:val="22"/>
          <w:lang w:val="es-MX" w:eastAsia="es-ES_tradnl"/>
        </w:rPr>
        <w:t xml:space="preserve"> en la persona jurídica</w:t>
      </w:r>
      <w:r w:rsidR="004C27EC">
        <w:rPr>
          <w:rFonts w:ascii="Arial" w:hAnsi="Arial" w:cs="Arial"/>
          <w:sz w:val="22"/>
          <w:szCs w:val="22"/>
          <w:lang w:val="es-MX" w:eastAsia="es-ES_tradnl"/>
        </w:rPr>
        <w:t xml:space="preserve">, conclusión que además se impone en atención a aquella regla en atención a la cual: </w:t>
      </w:r>
      <w:r w:rsidR="004C27EC" w:rsidRPr="005D20C7">
        <w:rPr>
          <w:rFonts w:ascii="Arial" w:hAnsi="Arial" w:cs="Arial"/>
          <w:i/>
          <w:iCs/>
          <w:sz w:val="22"/>
          <w:szCs w:val="22"/>
          <w:lang w:val="es-MX" w:eastAsia="es-ES_tradnl"/>
        </w:rPr>
        <w:t>donde la norma</w:t>
      </w:r>
      <w:r w:rsidR="009F4296" w:rsidRPr="005D20C7">
        <w:rPr>
          <w:rFonts w:ascii="Arial" w:hAnsi="Arial" w:cs="Arial"/>
          <w:i/>
          <w:iCs/>
          <w:sz w:val="22"/>
          <w:szCs w:val="22"/>
          <w:lang w:val="es-MX" w:eastAsia="es-ES_tradnl"/>
        </w:rPr>
        <w:t xml:space="preserve"> no distingue, no le es dado hacerlo al interprete</w:t>
      </w:r>
      <w:r w:rsidR="009F4296">
        <w:rPr>
          <w:rFonts w:ascii="Arial" w:hAnsi="Arial" w:cs="Arial"/>
          <w:sz w:val="22"/>
          <w:szCs w:val="22"/>
          <w:lang w:val="es-MX" w:eastAsia="es-ES_tradnl"/>
        </w:rPr>
        <w:t>.</w:t>
      </w:r>
    </w:p>
    <w:p w14:paraId="4753236A" w14:textId="07D8AE24" w:rsidR="009F4296" w:rsidRDefault="00D50AFB" w:rsidP="002F5437">
      <w:pPr>
        <w:spacing w:after="120" w:line="276" w:lineRule="auto"/>
        <w:ind w:firstLine="709"/>
        <w:jc w:val="both"/>
        <w:rPr>
          <w:rFonts w:ascii="Arial" w:hAnsi="Arial" w:cs="Arial"/>
          <w:sz w:val="22"/>
          <w:szCs w:val="22"/>
          <w:lang w:val="es-MX" w:eastAsia="es-ES_tradnl"/>
        </w:rPr>
      </w:pPr>
      <w:r>
        <w:rPr>
          <w:rFonts w:ascii="Arial" w:hAnsi="Arial" w:cs="Arial"/>
          <w:sz w:val="22"/>
          <w:szCs w:val="22"/>
          <w:lang w:val="es-MX" w:eastAsia="es-ES_tradnl"/>
        </w:rPr>
        <w:t>De acuerdo con lo anterior</w:t>
      </w:r>
      <w:r w:rsidR="009F4296">
        <w:rPr>
          <w:rFonts w:ascii="Arial" w:hAnsi="Arial" w:cs="Arial"/>
          <w:sz w:val="22"/>
          <w:szCs w:val="22"/>
          <w:lang w:val="es-MX" w:eastAsia="es-ES_tradnl"/>
        </w:rPr>
        <w:t xml:space="preserve">, </w:t>
      </w:r>
      <w:r w:rsidR="00B139B2">
        <w:rPr>
          <w:rFonts w:ascii="Arial" w:hAnsi="Arial" w:cs="Arial"/>
          <w:sz w:val="22"/>
          <w:szCs w:val="22"/>
          <w:lang w:val="es-MX" w:eastAsia="es-ES_tradnl"/>
        </w:rPr>
        <w:t xml:space="preserve">en la hipótesis </w:t>
      </w:r>
      <w:r w:rsidR="009F4296">
        <w:rPr>
          <w:rFonts w:ascii="Arial" w:hAnsi="Arial" w:cs="Arial"/>
          <w:sz w:val="22"/>
          <w:szCs w:val="22"/>
          <w:lang w:val="es-MX" w:eastAsia="es-ES_tradnl"/>
        </w:rPr>
        <w:t>plantea</w:t>
      </w:r>
      <w:r w:rsidR="00B139B2">
        <w:rPr>
          <w:rFonts w:ascii="Arial" w:hAnsi="Arial" w:cs="Arial"/>
          <w:sz w:val="22"/>
          <w:szCs w:val="22"/>
          <w:lang w:val="es-MX" w:eastAsia="es-ES_tradnl"/>
        </w:rPr>
        <w:t>da</w:t>
      </w:r>
      <w:r w:rsidR="009F4296">
        <w:rPr>
          <w:rFonts w:ascii="Arial" w:hAnsi="Arial" w:cs="Arial"/>
          <w:sz w:val="22"/>
          <w:szCs w:val="22"/>
          <w:lang w:val="es-MX" w:eastAsia="es-ES_tradnl"/>
        </w:rPr>
        <w:t xml:space="preserve"> en </w:t>
      </w:r>
      <w:r w:rsidR="00B139B2">
        <w:rPr>
          <w:rFonts w:ascii="Arial" w:hAnsi="Arial" w:cs="Arial"/>
          <w:sz w:val="22"/>
          <w:szCs w:val="22"/>
          <w:lang w:val="es-MX" w:eastAsia="es-ES_tradnl"/>
        </w:rPr>
        <w:t>la</w:t>
      </w:r>
      <w:r w:rsidR="009F4296">
        <w:rPr>
          <w:rFonts w:ascii="Arial" w:hAnsi="Arial" w:cs="Arial"/>
          <w:sz w:val="22"/>
          <w:szCs w:val="22"/>
          <w:lang w:val="es-MX" w:eastAsia="es-ES_tradnl"/>
        </w:rPr>
        <w:t xml:space="preserve"> consulta, s</w:t>
      </w:r>
      <w:r w:rsidR="009F4296" w:rsidRPr="00443419">
        <w:rPr>
          <w:rFonts w:ascii="Arial" w:hAnsi="Arial" w:cs="Arial"/>
          <w:sz w:val="22"/>
          <w:szCs w:val="22"/>
          <w:lang w:val="es-MX" w:eastAsia="es-ES_tradnl"/>
        </w:rPr>
        <w:t>i</w:t>
      </w:r>
      <w:r w:rsidR="009F4296">
        <w:rPr>
          <w:rFonts w:ascii="Arial" w:hAnsi="Arial" w:cs="Arial"/>
          <w:sz w:val="22"/>
          <w:szCs w:val="22"/>
          <w:lang w:val="es-MX" w:eastAsia="es-ES_tradnl"/>
        </w:rPr>
        <w:t xml:space="preserve"> </w:t>
      </w:r>
      <w:r w:rsidR="00F66F1C">
        <w:rPr>
          <w:rFonts w:ascii="Arial" w:hAnsi="Arial" w:cs="Arial"/>
          <w:sz w:val="22"/>
          <w:szCs w:val="22"/>
          <w:lang w:val="es-MX" w:eastAsia="es-ES_tradnl"/>
        </w:rPr>
        <w:t xml:space="preserve">los </w:t>
      </w:r>
      <w:r w:rsidR="009F4296">
        <w:rPr>
          <w:rFonts w:ascii="Arial" w:hAnsi="Arial" w:cs="Arial"/>
          <w:sz w:val="22"/>
          <w:szCs w:val="22"/>
          <w:lang w:val="es-MX" w:eastAsia="es-ES_tradnl"/>
        </w:rPr>
        <w:t>socio</w:t>
      </w:r>
      <w:r w:rsidR="00F66F1C">
        <w:rPr>
          <w:rFonts w:ascii="Arial" w:hAnsi="Arial" w:cs="Arial"/>
          <w:sz w:val="22"/>
          <w:szCs w:val="22"/>
          <w:lang w:val="es-MX" w:eastAsia="es-ES_tradnl"/>
        </w:rPr>
        <w:t>s</w:t>
      </w:r>
      <w:r w:rsidR="009F4296">
        <w:rPr>
          <w:rFonts w:ascii="Arial" w:hAnsi="Arial" w:cs="Arial"/>
          <w:sz w:val="22"/>
          <w:szCs w:val="22"/>
          <w:lang w:val="es-MX" w:eastAsia="es-ES_tradnl"/>
        </w:rPr>
        <w:t xml:space="preserve"> </w:t>
      </w:r>
      <w:r w:rsidR="0040411F">
        <w:rPr>
          <w:rFonts w:ascii="Arial" w:hAnsi="Arial" w:cs="Arial"/>
          <w:sz w:val="22"/>
          <w:szCs w:val="22"/>
          <w:lang w:val="es-MX" w:eastAsia="es-ES_tradnl"/>
        </w:rPr>
        <w:t>ha</w:t>
      </w:r>
      <w:r w:rsidR="00F66F1C">
        <w:rPr>
          <w:rFonts w:ascii="Arial" w:hAnsi="Arial" w:cs="Arial"/>
          <w:sz w:val="22"/>
          <w:szCs w:val="22"/>
          <w:lang w:val="es-MX" w:eastAsia="es-ES_tradnl"/>
        </w:rPr>
        <w:t>n</w:t>
      </w:r>
      <w:r w:rsidR="0040411F">
        <w:rPr>
          <w:rFonts w:ascii="Arial" w:hAnsi="Arial" w:cs="Arial"/>
          <w:sz w:val="22"/>
          <w:szCs w:val="22"/>
          <w:lang w:val="es-MX" w:eastAsia="es-ES_tradnl"/>
        </w:rPr>
        <w:t xml:space="preserve"> acreditado </w:t>
      </w:r>
      <w:r w:rsidR="009F4296">
        <w:rPr>
          <w:rFonts w:ascii="Arial" w:hAnsi="Arial" w:cs="Arial"/>
          <w:sz w:val="22"/>
          <w:szCs w:val="22"/>
          <w:lang w:val="es-MX" w:eastAsia="es-ES_tradnl"/>
        </w:rPr>
        <w:t>ante la Cámara de Comercio</w:t>
      </w:r>
      <w:r w:rsidR="00F66F1C">
        <w:rPr>
          <w:rFonts w:ascii="Arial" w:hAnsi="Arial" w:cs="Arial"/>
          <w:sz w:val="22"/>
          <w:szCs w:val="22"/>
          <w:lang w:val="es-MX" w:eastAsia="es-ES_tradnl"/>
        </w:rPr>
        <w:t xml:space="preserve"> haber adquirido experiencia en los montos indicados</w:t>
      </w:r>
      <w:r w:rsidR="0040411F">
        <w:rPr>
          <w:rFonts w:ascii="Arial" w:hAnsi="Arial" w:cs="Arial"/>
          <w:sz w:val="22"/>
          <w:szCs w:val="22"/>
          <w:lang w:val="es-MX" w:eastAsia="es-ES_tradnl"/>
        </w:rPr>
        <w:t>, ya sea al momento de hacer</w:t>
      </w:r>
      <w:r w:rsidR="009F4296">
        <w:rPr>
          <w:rFonts w:ascii="Arial" w:hAnsi="Arial" w:cs="Arial"/>
          <w:sz w:val="22"/>
          <w:szCs w:val="22"/>
          <w:lang w:val="es-MX" w:eastAsia="es-ES_tradnl"/>
        </w:rPr>
        <w:t xml:space="preserve"> la inscripción o renovación de</w:t>
      </w:r>
      <w:r w:rsidR="0040411F">
        <w:rPr>
          <w:rFonts w:ascii="Arial" w:hAnsi="Arial" w:cs="Arial"/>
          <w:sz w:val="22"/>
          <w:szCs w:val="22"/>
          <w:lang w:val="es-MX" w:eastAsia="es-ES_tradnl"/>
        </w:rPr>
        <w:t xml:space="preserve"> su</w:t>
      </w:r>
      <w:r w:rsidR="009F4296">
        <w:rPr>
          <w:rFonts w:ascii="Arial" w:hAnsi="Arial" w:cs="Arial"/>
          <w:sz w:val="22"/>
          <w:szCs w:val="22"/>
          <w:lang w:val="es-MX" w:eastAsia="es-ES_tradnl"/>
        </w:rPr>
        <w:t xml:space="preserve"> RUP de la persona jurídica,</w:t>
      </w:r>
      <w:r w:rsidR="009040A2">
        <w:rPr>
          <w:rFonts w:ascii="Arial" w:hAnsi="Arial" w:cs="Arial"/>
          <w:sz w:val="22"/>
          <w:szCs w:val="22"/>
          <w:lang w:val="es-MX" w:eastAsia="es-ES_tradnl"/>
        </w:rPr>
        <w:t xml:space="preserve"> </w:t>
      </w:r>
      <w:r w:rsidR="009F4296">
        <w:rPr>
          <w:rFonts w:ascii="Arial" w:hAnsi="Arial" w:cs="Arial"/>
          <w:sz w:val="22"/>
          <w:szCs w:val="22"/>
          <w:lang w:val="es-MX" w:eastAsia="es-ES_tradnl"/>
        </w:rPr>
        <w:t>dentro del término de los 3 años</w:t>
      </w:r>
      <w:r w:rsidR="009F4296" w:rsidRPr="00443419">
        <w:rPr>
          <w:rFonts w:ascii="Arial" w:hAnsi="Arial" w:cs="Arial"/>
          <w:sz w:val="22"/>
          <w:szCs w:val="22"/>
          <w:lang w:val="es-MX" w:eastAsia="es-ES_tradnl"/>
        </w:rPr>
        <w:t>,</w:t>
      </w:r>
      <w:r w:rsidR="009F4296">
        <w:rPr>
          <w:rFonts w:ascii="Arial" w:hAnsi="Arial" w:cs="Arial"/>
          <w:sz w:val="22"/>
          <w:szCs w:val="22"/>
          <w:lang w:val="es-MX" w:eastAsia="es-ES_tradnl"/>
        </w:rPr>
        <w:t xml:space="preserve"> </w:t>
      </w:r>
      <w:r w:rsidR="009040A2">
        <w:rPr>
          <w:rFonts w:ascii="Arial" w:hAnsi="Arial" w:cs="Arial"/>
          <w:sz w:val="22"/>
          <w:szCs w:val="22"/>
          <w:lang w:val="es-MX" w:eastAsia="es-ES_tradnl"/>
        </w:rPr>
        <w:t xml:space="preserve">y dicha experiencia ha sido efectivamente verificada por </w:t>
      </w:r>
      <w:r w:rsidR="009F4296">
        <w:rPr>
          <w:rFonts w:ascii="Arial" w:hAnsi="Arial" w:cs="Arial"/>
          <w:sz w:val="22"/>
          <w:szCs w:val="22"/>
          <w:lang w:val="es-MX" w:eastAsia="es-ES_tradnl"/>
        </w:rPr>
        <w:t xml:space="preserve">la Cámara de Comercio, </w:t>
      </w:r>
      <w:r w:rsidR="0087011C">
        <w:rPr>
          <w:rFonts w:ascii="Arial" w:hAnsi="Arial" w:cs="Arial"/>
          <w:sz w:val="22"/>
          <w:szCs w:val="22"/>
          <w:lang w:val="es-MX" w:eastAsia="es-ES_tradnl"/>
        </w:rPr>
        <w:t>la misma</w:t>
      </w:r>
      <w:r w:rsidR="009F4296">
        <w:rPr>
          <w:rFonts w:ascii="Arial" w:hAnsi="Arial" w:cs="Arial"/>
          <w:sz w:val="22"/>
          <w:szCs w:val="22"/>
          <w:lang w:val="es-MX" w:eastAsia="es-ES_tradnl"/>
        </w:rPr>
        <w:t xml:space="preserve"> quedará, eventualmente, en firme. De ser así, según el inciso 2 del numeral 6.1 de la Ley 1150 de 2007, el certificado del RUP de la persona jurídica </w:t>
      </w:r>
      <w:r w:rsidR="009F4296" w:rsidRPr="0093719F">
        <w:rPr>
          <w:rFonts w:ascii="Arial" w:hAnsi="Arial" w:cs="Arial"/>
          <w:sz w:val="22"/>
          <w:szCs w:val="22"/>
          <w:lang w:val="es-MX" w:eastAsia="es-ES_tradnl"/>
        </w:rPr>
        <w:t>será plena prueba de las circunstancias que en ella se hagan constar y que hayan sido verificadas por las Cámaras de Comercio</w:t>
      </w:r>
      <w:r w:rsidR="009F4296">
        <w:rPr>
          <w:rFonts w:ascii="Arial" w:hAnsi="Arial" w:cs="Arial"/>
          <w:sz w:val="22"/>
          <w:szCs w:val="22"/>
          <w:lang w:val="es-MX" w:eastAsia="es-ES_tradnl"/>
        </w:rPr>
        <w:t xml:space="preserve"> y, consecuentemente, según el mismo numeral, los requisitos habilitantes </w:t>
      </w:r>
      <w:r w:rsidR="009F4296" w:rsidRPr="0093719F">
        <w:rPr>
          <w:rFonts w:ascii="Arial" w:hAnsi="Arial" w:cs="Arial"/>
          <w:sz w:val="22"/>
          <w:szCs w:val="22"/>
          <w:lang w:val="es-MX" w:eastAsia="es-ES_tradnl"/>
        </w:rPr>
        <w:t>se demostrará</w:t>
      </w:r>
      <w:r w:rsidR="009F4296">
        <w:rPr>
          <w:rFonts w:ascii="Arial" w:hAnsi="Arial" w:cs="Arial"/>
          <w:sz w:val="22"/>
          <w:szCs w:val="22"/>
          <w:lang w:val="es-MX" w:eastAsia="es-ES_tradnl"/>
        </w:rPr>
        <w:t>n</w:t>
      </w:r>
      <w:r w:rsidR="009F4296" w:rsidRPr="0093719F">
        <w:rPr>
          <w:rFonts w:ascii="Arial" w:hAnsi="Arial" w:cs="Arial"/>
          <w:sz w:val="22"/>
          <w:szCs w:val="22"/>
          <w:lang w:val="es-MX" w:eastAsia="es-ES_tradnl"/>
        </w:rPr>
        <w:t xml:space="preserve"> «</w:t>
      </w:r>
      <w:r w:rsidR="009F4296">
        <w:rPr>
          <w:rFonts w:ascii="Arial" w:hAnsi="Arial" w:cs="Arial"/>
          <w:sz w:val="22"/>
          <w:szCs w:val="22"/>
          <w:lang w:val="es-MX" w:eastAsia="es-ES_tradnl"/>
        </w:rPr>
        <w:t xml:space="preserve">[…] </w:t>
      </w:r>
      <w:r w:rsidR="009F4296" w:rsidRPr="0093719F">
        <w:rPr>
          <w:rFonts w:ascii="Arial" w:hAnsi="Arial" w:cs="Arial"/>
          <w:sz w:val="22"/>
          <w:szCs w:val="22"/>
          <w:lang w:val="es-MX" w:eastAsia="es-ES_tradnl"/>
        </w:rPr>
        <w:t>exclusivamente con el respectivo certificado del RUP en donde deberán constar dichas condiciones</w:t>
      </w:r>
      <w:r w:rsidR="009F4296">
        <w:rPr>
          <w:rFonts w:ascii="Arial" w:hAnsi="Arial" w:cs="Arial"/>
          <w:sz w:val="22"/>
          <w:szCs w:val="22"/>
          <w:lang w:val="es-MX" w:eastAsia="es-ES_tradnl"/>
        </w:rPr>
        <w:t xml:space="preserve"> [y] </w:t>
      </w:r>
      <w:r w:rsidR="009F4296" w:rsidRPr="0093719F">
        <w:rPr>
          <w:rFonts w:ascii="Arial" w:hAnsi="Arial" w:cs="Arial"/>
          <w:sz w:val="22"/>
          <w:szCs w:val="22"/>
          <w:lang w:val="es-MX" w:eastAsia="es-ES_tradnl"/>
        </w:rPr>
        <w:t>las entidades estatales en los procesos de contratación no podrán exigir, ni los proponentes aportar documentación que deba utilizarse para efectuar la inscripción en el registro»</w:t>
      </w:r>
      <w:r w:rsidR="002F5437">
        <w:rPr>
          <w:rFonts w:ascii="Arial" w:hAnsi="Arial" w:cs="Arial"/>
          <w:sz w:val="22"/>
          <w:szCs w:val="22"/>
          <w:lang w:val="es-MX" w:eastAsia="es-ES_tradnl"/>
        </w:rPr>
        <w:t>.</w:t>
      </w:r>
      <w:r w:rsidR="009F4296">
        <w:rPr>
          <w:rFonts w:ascii="Arial" w:hAnsi="Arial" w:cs="Arial"/>
          <w:sz w:val="22"/>
          <w:szCs w:val="22"/>
          <w:lang w:val="es-MX" w:eastAsia="es-ES_tradnl"/>
        </w:rPr>
        <w:t xml:space="preserve"> </w:t>
      </w:r>
    </w:p>
    <w:p w14:paraId="390861FF" w14:textId="054F6600" w:rsidR="007D648E" w:rsidRDefault="009F4296" w:rsidP="009F4296">
      <w:pPr>
        <w:spacing w:line="276" w:lineRule="auto"/>
        <w:ind w:firstLine="708"/>
        <w:jc w:val="both"/>
        <w:rPr>
          <w:rFonts w:ascii="Arial" w:hAnsi="Arial" w:cs="Arial"/>
          <w:sz w:val="22"/>
          <w:szCs w:val="22"/>
          <w:lang w:val="es-MX" w:eastAsia="es-ES_tradnl"/>
        </w:rPr>
      </w:pPr>
      <w:r>
        <w:rPr>
          <w:rFonts w:ascii="Arial" w:hAnsi="Arial" w:cs="Arial"/>
          <w:sz w:val="22"/>
          <w:szCs w:val="22"/>
          <w:lang w:val="es-MX" w:eastAsia="es-ES_tradnl"/>
        </w:rPr>
        <w:lastRenderedPageBreak/>
        <w:t xml:space="preserve">En suma, </w:t>
      </w:r>
      <w:r w:rsidR="005745BF">
        <w:rPr>
          <w:rFonts w:ascii="Arial" w:hAnsi="Arial" w:cs="Arial"/>
          <w:sz w:val="22"/>
          <w:szCs w:val="22"/>
          <w:lang w:val="es-MX" w:eastAsia="es-ES_tradnl"/>
        </w:rPr>
        <w:t xml:space="preserve">la </w:t>
      </w:r>
      <w:r>
        <w:rPr>
          <w:rFonts w:ascii="Arial" w:hAnsi="Arial" w:cs="Arial"/>
          <w:sz w:val="22"/>
          <w:szCs w:val="22"/>
          <w:lang w:val="es-MX" w:eastAsia="es-ES_tradnl"/>
        </w:rPr>
        <w:t xml:space="preserve">experiencia </w:t>
      </w:r>
      <w:r w:rsidR="005745BF">
        <w:rPr>
          <w:rFonts w:ascii="Arial" w:hAnsi="Arial" w:cs="Arial"/>
          <w:sz w:val="22"/>
          <w:szCs w:val="22"/>
          <w:lang w:val="es-MX" w:eastAsia="es-ES_tradnl"/>
        </w:rPr>
        <w:t xml:space="preserve">que </w:t>
      </w:r>
      <w:r>
        <w:rPr>
          <w:rFonts w:ascii="Arial" w:hAnsi="Arial" w:cs="Arial"/>
          <w:sz w:val="22"/>
          <w:szCs w:val="22"/>
          <w:lang w:val="es-MX" w:eastAsia="es-ES_tradnl"/>
        </w:rPr>
        <w:t xml:space="preserve">los </w:t>
      </w:r>
      <w:r w:rsidRPr="00D85020">
        <w:rPr>
          <w:rFonts w:ascii="Arial" w:hAnsi="Arial" w:cs="Arial"/>
          <w:sz w:val="22"/>
          <w:szCs w:val="22"/>
          <w:lang w:val="es-MX" w:eastAsia="es-ES_tradnl"/>
        </w:rPr>
        <w:t>accionistas, socios o constituyentes</w:t>
      </w:r>
      <w:r>
        <w:rPr>
          <w:rFonts w:ascii="Arial" w:hAnsi="Arial" w:cs="Arial"/>
          <w:sz w:val="22"/>
          <w:szCs w:val="22"/>
          <w:lang w:val="es-MX" w:eastAsia="es-ES_tradnl"/>
        </w:rPr>
        <w:t xml:space="preserve"> </w:t>
      </w:r>
      <w:r w:rsidR="005745BF">
        <w:rPr>
          <w:rFonts w:ascii="Arial" w:hAnsi="Arial" w:cs="Arial"/>
          <w:sz w:val="22"/>
          <w:szCs w:val="22"/>
          <w:lang w:val="es-MX" w:eastAsia="es-ES_tradnl"/>
        </w:rPr>
        <w:t xml:space="preserve">pueden aportar a </w:t>
      </w:r>
      <w:r>
        <w:rPr>
          <w:rFonts w:ascii="Arial" w:hAnsi="Arial" w:cs="Arial"/>
          <w:sz w:val="22"/>
          <w:szCs w:val="22"/>
          <w:lang w:val="es-MX" w:eastAsia="es-ES_tradnl"/>
        </w:rPr>
        <w:t xml:space="preserve">la persona jurídica que conforman, en el supuesto de hecho consultado, </w:t>
      </w:r>
      <w:r w:rsidR="005745BF">
        <w:rPr>
          <w:rFonts w:ascii="Arial" w:hAnsi="Arial" w:cs="Arial"/>
          <w:sz w:val="22"/>
          <w:szCs w:val="22"/>
          <w:lang w:val="es-MX" w:eastAsia="es-ES_tradnl"/>
        </w:rPr>
        <w:t xml:space="preserve">no está condicionada por su porcentaje de participación en la misma. </w:t>
      </w:r>
      <w:r w:rsidR="00F66F1C">
        <w:rPr>
          <w:rFonts w:ascii="Arial" w:hAnsi="Arial" w:cs="Arial"/>
          <w:sz w:val="22"/>
          <w:szCs w:val="22"/>
          <w:lang w:val="es-MX" w:eastAsia="es-ES_tradnl"/>
        </w:rPr>
        <w:t>L</w:t>
      </w:r>
      <w:r w:rsidR="001E0D8E">
        <w:rPr>
          <w:rFonts w:ascii="Arial" w:hAnsi="Arial" w:cs="Arial"/>
          <w:sz w:val="22"/>
          <w:szCs w:val="22"/>
          <w:lang w:val="es-MX" w:eastAsia="es-ES_tradnl"/>
        </w:rPr>
        <w:t xml:space="preserve">a experiencia </w:t>
      </w:r>
      <w:r w:rsidR="00B40B39">
        <w:rPr>
          <w:rFonts w:ascii="Arial" w:hAnsi="Arial" w:cs="Arial"/>
          <w:sz w:val="22"/>
          <w:szCs w:val="22"/>
          <w:lang w:val="es-MX" w:eastAsia="es-ES_tradnl"/>
        </w:rPr>
        <w:t>de</w:t>
      </w:r>
      <w:r w:rsidR="00F46AE1">
        <w:rPr>
          <w:rFonts w:ascii="Arial" w:hAnsi="Arial" w:cs="Arial"/>
          <w:sz w:val="22"/>
          <w:szCs w:val="22"/>
          <w:lang w:val="es-MX" w:eastAsia="es-ES_tradnl"/>
        </w:rPr>
        <w:t xml:space="preserve"> los socios </w:t>
      </w:r>
      <w:r w:rsidR="00B40B39">
        <w:rPr>
          <w:rFonts w:ascii="Arial" w:hAnsi="Arial" w:cs="Arial"/>
          <w:sz w:val="22"/>
          <w:szCs w:val="22"/>
          <w:lang w:val="es-MX" w:eastAsia="es-ES_tradnl"/>
        </w:rPr>
        <w:t xml:space="preserve">que la sociedad </w:t>
      </w:r>
      <w:r w:rsidR="00F46AE1">
        <w:rPr>
          <w:rFonts w:ascii="Arial" w:hAnsi="Arial" w:cs="Arial"/>
          <w:sz w:val="22"/>
          <w:szCs w:val="22"/>
          <w:lang w:val="es-MX" w:eastAsia="es-ES_tradnl"/>
        </w:rPr>
        <w:t>podrá acreditar</w:t>
      </w:r>
      <w:r w:rsidR="00B40B39">
        <w:rPr>
          <w:rFonts w:ascii="Arial" w:hAnsi="Arial" w:cs="Arial"/>
          <w:sz w:val="22"/>
          <w:szCs w:val="22"/>
          <w:lang w:val="es-MX" w:eastAsia="es-ES_tradnl"/>
        </w:rPr>
        <w:t xml:space="preserve"> </w:t>
      </w:r>
      <w:r>
        <w:rPr>
          <w:rFonts w:ascii="Arial" w:hAnsi="Arial" w:cs="Arial"/>
          <w:sz w:val="22"/>
          <w:szCs w:val="22"/>
          <w:lang w:val="es-MX" w:eastAsia="es-ES_tradnl"/>
        </w:rPr>
        <w:t xml:space="preserve">dependerá única y exclusivamente de la información que, de conformidad con lo dispuesto en el artículo 6 de la Ley 1150 de 2007 y en los artículos </w:t>
      </w:r>
      <w:r w:rsidRPr="00F336EE">
        <w:rPr>
          <w:rFonts w:ascii="Arial" w:hAnsi="Arial" w:cs="Arial"/>
          <w:sz w:val="22"/>
          <w:szCs w:val="22"/>
          <w:lang w:val="es-MX" w:eastAsia="es-ES_tradnl"/>
        </w:rPr>
        <w:t>2.2.1.1.1.5.1.</w:t>
      </w:r>
      <w:r>
        <w:rPr>
          <w:rFonts w:ascii="Arial" w:hAnsi="Arial" w:cs="Arial"/>
          <w:sz w:val="22"/>
          <w:szCs w:val="22"/>
          <w:lang w:val="es-MX" w:eastAsia="es-ES_tradnl"/>
        </w:rPr>
        <w:t xml:space="preserve"> a </w:t>
      </w:r>
      <w:r w:rsidRPr="00F336EE">
        <w:rPr>
          <w:rFonts w:ascii="Arial" w:hAnsi="Arial" w:cs="Arial"/>
          <w:sz w:val="22"/>
          <w:szCs w:val="22"/>
          <w:lang w:val="es-MX" w:eastAsia="es-ES_tradnl"/>
        </w:rPr>
        <w:t>2.2.1.1.1.5.7.</w:t>
      </w:r>
      <w:r>
        <w:rPr>
          <w:rFonts w:ascii="Arial" w:hAnsi="Arial" w:cs="Arial"/>
          <w:sz w:val="22"/>
          <w:szCs w:val="22"/>
          <w:lang w:val="es-MX" w:eastAsia="es-ES_tradnl"/>
        </w:rPr>
        <w:t xml:space="preserve"> del Decreto 1082 de 2015, aporten los interesados</w:t>
      </w:r>
      <w:r w:rsidR="00F46AE1">
        <w:rPr>
          <w:rFonts w:ascii="Arial" w:hAnsi="Arial" w:cs="Arial"/>
          <w:sz w:val="22"/>
          <w:szCs w:val="22"/>
          <w:lang w:val="es-MX" w:eastAsia="es-ES_tradnl"/>
        </w:rPr>
        <w:t xml:space="preserve"> </w:t>
      </w:r>
      <w:r>
        <w:rPr>
          <w:rFonts w:ascii="Arial" w:hAnsi="Arial" w:cs="Arial"/>
          <w:sz w:val="22"/>
          <w:szCs w:val="22"/>
          <w:lang w:val="es-MX" w:eastAsia="es-ES_tradnl"/>
        </w:rPr>
        <w:t>y que verifique documentalmente de manera satisfactoria la respectiva Cámara de Comercio</w:t>
      </w:r>
      <w:r w:rsidR="00F46AE1">
        <w:rPr>
          <w:rFonts w:ascii="Arial" w:hAnsi="Arial" w:cs="Arial"/>
          <w:sz w:val="22"/>
          <w:szCs w:val="22"/>
          <w:lang w:val="es-MX" w:eastAsia="es-ES_tradnl"/>
        </w:rPr>
        <w:t>,</w:t>
      </w:r>
      <w:r>
        <w:rPr>
          <w:rFonts w:ascii="Arial" w:hAnsi="Arial" w:cs="Arial"/>
          <w:sz w:val="22"/>
          <w:szCs w:val="22"/>
          <w:lang w:val="es-MX" w:eastAsia="es-ES_tradnl"/>
        </w:rPr>
        <w:t xml:space="preserve"> </w:t>
      </w:r>
      <w:r w:rsidR="00F46AE1">
        <w:rPr>
          <w:rFonts w:ascii="Arial" w:hAnsi="Arial" w:cs="Arial"/>
          <w:sz w:val="22"/>
          <w:szCs w:val="22"/>
          <w:lang w:val="es-MX" w:eastAsia="es-ES_tradnl"/>
        </w:rPr>
        <w:t>l</w:t>
      </w:r>
      <w:r>
        <w:rPr>
          <w:rFonts w:ascii="Arial" w:hAnsi="Arial" w:cs="Arial"/>
          <w:sz w:val="22"/>
          <w:szCs w:val="22"/>
          <w:lang w:val="es-MX" w:eastAsia="es-ES_tradnl"/>
        </w:rPr>
        <w:t>o cual constará en el certificado del RUP.</w:t>
      </w:r>
      <w:bookmarkEnd w:id="6"/>
    </w:p>
    <w:p w14:paraId="14853858" w14:textId="77777777" w:rsidR="009F4296" w:rsidRPr="009F4296" w:rsidRDefault="009F4296" w:rsidP="009F4296">
      <w:pPr>
        <w:spacing w:line="276" w:lineRule="auto"/>
        <w:ind w:firstLine="708"/>
        <w:jc w:val="both"/>
        <w:rPr>
          <w:rFonts w:ascii="Arial" w:hAnsi="Arial" w:cs="Arial"/>
          <w:sz w:val="22"/>
          <w:szCs w:val="22"/>
          <w:lang w:val="es-MX" w:eastAsia="es-ES_tradnl"/>
        </w:rPr>
      </w:pPr>
    </w:p>
    <w:bookmarkEnd w:id="3"/>
    <w:p w14:paraId="1C1BEAFF" w14:textId="22342E90" w:rsidR="003C7067" w:rsidRDefault="003C7067" w:rsidP="003C7067">
      <w:pPr>
        <w:tabs>
          <w:tab w:val="left" w:pos="709"/>
        </w:tabs>
        <w:spacing w:line="276" w:lineRule="auto"/>
        <w:jc w:val="both"/>
        <w:rPr>
          <w:rFonts w:ascii="Arial" w:eastAsia="Calibri" w:hAnsi="Arial" w:cs="Arial"/>
          <w:b/>
          <w:sz w:val="22"/>
          <w:szCs w:val="22"/>
          <w:lang w:val="es-ES"/>
        </w:rPr>
      </w:pPr>
      <w:r w:rsidRPr="00987861">
        <w:rPr>
          <w:rFonts w:ascii="Arial" w:eastAsia="Calibri" w:hAnsi="Arial" w:cs="Arial"/>
          <w:b/>
          <w:sz w:val="22"/>
          <w:szCs w:val="22"/>
          <w:lang w:val="es-ES"/>
        </w:rPr>
        <w:t>3. Respuesta</w:t>
      </w:r>
    </w:p>
    <w:p w14:paraId="0162D009" w14:textId="77777777" w:rsidR="009F4296" w:rsidRPr="00731374" w:rsidRDefault="009F4296" w:rsidP="009F4296">
      <w:pPr>
        <w:pStyle w:val="gmail-msonospacing"/>
        <w:spacing w:before="0" w:beforeAutospacing="0" w:after="0" w:afterAutospacing="0"/>
        <w:ind w:right="709"/>
        <w:jc w:val="both"/>
        <w:rPr>
          <w:rFonts w:ascii="Arial" w:eastAsia="Calibri" w:hAnsi="Arial" w:cs="Arial"/>
          <w:sz w:val="21"/>
          <w:szCs w:val="21"/>
        </w:rPr>
      </w:pPr>
    </w:p>
    <w:p w14:paraId="46D38F42" w14:textId="525990DA" w:rsidR="009F4296" w:rsidRPr="00731374" w:rsidRDefault="009F4296" w:rsidP="005B441F">
      <w:pPr>
        <w:pStyle w:val="gmail-msonospacing"/>
        <w:spacing w:before="0" w:beforeAutospacing="0" w:after="0" w:afterAutospacing="0"/>
        <w:ind w:left="720" w:right="709"/>
        <w:jc w:val="both"/>
        <w:rPr>
          <w:rFonts w:ascii="Arial" w:hAnsi="Arial" w:cs="Arial"/>
          <w:sz w:val="21"/>
          <w:szCs w:val="21"/>
        </w:rPr>
      </w:pPr>
      <w:r w:rsidRPr="00731374">
        <w:rPr>
          <w:rFonts w:ascii="Arial" w:hAnsi="Arial" w:cs="Arial"/>
          <w:sz w:val="21"/>
          <w:szCs w:val="21"/>
        </w:rPr>
        <w:t>«</w:t>
      </w:r>
      <w:r w:rsidR="00A053C7">
        <w:rPr>
          <w:rFonts w:ascii="Arial" w:hAnsi="Arial" w:cs="Arial"/>
          <w:sz w:val="21"/>
          <w:szCs w:val="21"/>
        </w:rPr>
        <w:t xml:space="preserve">1. </w:t>
      </w:r>
      <w:r w:rsidRPr="00731374">
        <w:rPr>
          <w:rFonts w:ascii="Arial" w:hAnsi="Arial" w:cs="Arial"/>
          <w:sz w:val="21"/>
          <w:szCs w:val="21"/>
        </w:rPr>
        <w:t>¿Al momento de evaluar la experiencia aportada por los socios, accionistas o contribuyentes la Entidad evaluadora debe tener en cuenta o evaluar la experiencia de acuerdo con el porcentaje de participación que el socio tenga en la persona jurídica o por el contrario debe tener en cuenta la totalidad de la experiencia aportada por los socios de una persona jurídica sin importar su porcentaje de participación en la sociedad?</w:t>
      </w:r>
    </w:p>
    <w:p w14:paraId="3D2BB457" w14:textId="77777777" w:rsidR="009F4296" w:rsidRPr="00731374" w:rsidRDefault="009F4296" w:rsidP="009F4296">
      <w:pPr>
        <w:pStyle w:val="gmail-msonospacing"/>
        <w:spacing w:before="0" w:beforeAutospacing="0" w:after="0" w:afterAutospacing="0"/>
        <w:ind w:left="709" w:right="709"/>
        <w:jc w:val="both"/>
        <w:rPr>
          <w:rFonts w:ascii="Arial" w:hAnsi="Arial" w:cs="Arial"/>
          <w:sz w:val="21"/>
          <w:szCs w:val="21"/>
        </w:rPr>
      </w:pPr>
    </w:p>
    <w:p w14:paraId="50B238FC" w14:textId="77777777" w:rsidR="009F4296" w:rsidRPr="00731374" w:rsidRDefault="009F4296" w:rsidP="009F4296">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Ejemplo: Una sociedad con menos de 3 años de constituida tiene 3 socios, así: </w:t>
      </w:r>
    </w:p>
    <w:p w14:paraId="6040EB0B" w14:textId="77777777" w:rsidR="009F4296" w:rsidRPr="00731374" w:rsidRDefault="009F4296" w:rsidP="009F4296">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Socio A: 50% participación</w:t>
      </w:r>
    </w:p>
    <w:p w14:paraId="3585FA7C" w14:textId="77777777" w:rsidR="009F4296" w:rsidRPr="00731374" w:rsidRDefault="009F4296" w:rsidP="009F4296">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Socio B: 30% de participación</w:t>
      </w:r>
    </w:p>
    <w:p w14:paraId="6FE739B1" w14:textId="77777777" w:rsidR="009F4296" w:rsidRPr="00731374" w:rsidRDefault="009F4296" w:rsidP="009F4296">
      <w:pPr>
        <w:pStyle w:val="gmail-msonospacing"/>
        <w:spacing w:before="0" w:beforeAutospacing="0" w:after="0" w:afterAutospacing="0"/>
        <w:ind w:left="709" w:right="709"/>
        <w:jc w:val="both"/>
        <w:rPr>
          <w:rFonts w:ascii="Arial" w:hAnsi="Arial" w:cs="Arial"/>
          <w:sz w:val="21"/>
          <w:szCs w:val="21"/>
        </w:rPr>
      </w:pPr>
      <w:r w:rsidRPr="00731374">
        <w:rPr>
          <w:rFonts w:ascii="Arial" w:hAnsi="Arial" w:cs="Arial"/>
          <w:sz w:val="21"/>
          <w:szCs w:val="21"/>
        </w:rPr>
        <w:t>Socio C: 20% de participación</w:t>
      </w:r>
    </w:p>
    <w:p w14:paraId="149D228E" w14:textId="77777777" w:rsidR="009F4296" w:rsidRPr="00731374" w:rsidRDefault="009F4296" w:rsidP="009F4296">
      <w:pPr>
        <w:pStyle w:val="gmail-msonospacing"/>
        <w:spacing w:before="0" w:beforeAutospacing="0" w:after="0" w:afterAutospacing="0"/>
        <w:ind w:left="709" w:right="709"/>
        <w:jc w:val="both"/>
        <w:rPr>
          <w:rFonts w:ascii="Arial" w:hAnsi="Arial" w:cs="Arial"/>
          <w:sz w:val="21"/>
          <w:szCs w:val="21"/>
        </w:rPr>
      </w:pPr>
    </w:p>
    <w:p w14:paraId="6B4360C0" w14:textId="5208BE1A" w:rsidR="009F4296" w:rsidRPr="00731374" w:rsidRDefault="005D539E" w:rsidP="005B441F">
      <w:pPr>
        <w:pStyle w:val="gmail-msonospacing"/>
        <w:spacing w:before="0" w:beforeAutospacing="0" w:after="0" w:afterAutospacing="0"/>
        <w:ind w:left="709" w:right="709"/>
        <w:jc w:val="both"/>
        <w:rPr>
          <w:rFonts w:ascii="Arial" w:hAnsi="Arial" w:cs="Arial"/>
          <w:sz w:val="21"/>
          <w:szCs w:val="21"/>
        </w:rPr>
      </w:pPr>
      <w:r>
        <w:rPr>
          <w:rFonts w:ascii="Arial" w:hAnsi="Arial" w:cs="Arial"/>
          <w:sz w:val="21"/>
          <w:szCs w:val="21"/>
        </w:rPr>
        <w:t xml:space="preserve">2. </w:t>
      </w:r>
      <w:r w:rsidR="009F4296" w:rsidRPr="00731374">
        <w:rPr>
          <w:rFonts w:ascii="Arial" w:hAnsi="Arial" w:cs="Arial"/>
          <w:sz w:val="21"/>
          <w:szCs w:val="21"/>
        </w:rPr>
        <w:t>¿Si en un proceso de contratación pública el socio C acredita experiencia inscrita en el RUP de un contrato de 1000 SMMLV, la Entidad debe tener en cuenta los 1000 SMMLV? o debe multiplicar 1000 SMMLV por el porcentaje de participación que el socio C tiene en la persona jurídica (30%), es decir, la experiencia a contabilizar es 300SMMLV»</w:t>
      </w:r>
      <w:r>
        <w:rPr>
          <w:rFonts w:ascii="Arial" w:hAnsi="Arial" w:cs="Arial"/>
          <w:sz w:val="21"/>
          <w:szCs w:val="21"/>
        </w:rPr>
        <w:t>.</w:t>
      </w:r>
    </w:p>
    <w:p w14:paraId="293C179E" w14:textId="77777777" w:rsidR="009F4296" w:rsidRDefault="009F4296" w:rsidP="003C7067">
      <w:pPr>
        <w:tabs>
          <w:tab w:val="left" w:pos="709"/>
        </w:tabs>
        <w:spacing w:line="276" w:lineRule="auto"/>
        <w:jc w:val="both"/>
        <w:rPr>
          <w:rFonts w:ascii="Arial" w:eastAsia="Calibri" w:hAnsi="Arial" w:cs="Arial"/>
          <w:b/>
          <w:sz w:val="22"/>
          <w:szCs w:val="22"/>
          <w:lang w:val="es-ES"/>
        </w:rPr>
      </w:pPr>
    </w:p>
    <w:p w14:paraId="231490B8" w14:textId="0F30EA96" w:rsidR="009F4296" w:rsidRDefault="009F4296" w:rsidP="005B441F">
      <w:pPr>
        <w:spacing w:after="120" w:line="276" w:lineRule="auto"/>
        <w:jc w:val="both"/>
        <w:rPr>
          <w:rFonts w:ascii="Arial" w:eastAsia="Calibri" w:hAnsi="Arial" w:cs="Arial"/>
          <w:sz w:val="22"/>
          <w:szCs w:val="22"/>
          <w:lang w:val="es-MX" w:eastAsia="es-ES_tradnl"/>
        </w:rPr>
      </w:pPr>
      <w:r w:rsidRPr="005375F3">
        <w:rPr>
          <w:rFonts w:ascii="Arial" w:hAnsi="Arial" w:cs="Arial"/>
          <w:sz w:val="22"/>
          <w:szCs w:val="22"/>
        </w:rPr>
        <w:t>Con base en lo ex</w:t>
      </w:r>
      <w:r>
        <w:rPr>
          <w:rFonts w:ascii="Arial" w:hAnsi="Arial" w:cs="Arial"/>
          <w:sz w:val="22"/>
          <w:szCs w:val="22"/>
        </w:rPr>
        <w:t xml:space="preserve">puesto, es </w:t>
      </w:r>
      <w:r w:rsidR="009B20DB">
        <w:rPr>
          <w:rFonts w:ascii="Arial" w:hAnsi="Arial" w:cs="Arial"/>
          <w:sz w:val="22"/>
          <w:szCs w:val="22"/>
        </w:rPr>
        <w:t>posible</w:t>
      </w:r>
      <w:r>
        <w:rPr>
          <w:rFonts w:ascii="Arial" w:hAnsi="Arial" w:cs="Arial"/>
          <w:sz w:val="22"/>
          <w:szCs w:val="22"/>
        </w:rPr>
        <w:t xml:space="preserve"> </w:t>
      </w:r>
      <w:r w:rsidR="005D539E">
        <w:rPr>
          <w:rFonts w:ascii="Arial" w:hAnsi="Arial" w:cs="Arial"/>
          <w:sz w:val="22"/>
          <w:szCs w:val="22"/>
        </w:rPr>
        <w:t xml:space="preserve">afirmar </w:t>
      </w:r>
      <w:r w:rsidRPr="005375F3">
        <w:rPr>
          <w:rFonts w:ascii="Arial" w:hAnsi="Arial" w:cs="Arial"/>
          <w:sz w:val="22"/>
          <w:szCs w:val="22"/>
        </w:rPr>
        <w:t xml:space="preserve">que </w:t>
      </w:r>
      <w:r w:rsidRPr="005375F3">
        <w:rPr>
          <w:rFonts w:ascii="Arial" w:eastAsia="Calibri" w:hAnsi="Arial" w:cs="Arial"/>
          <w:sz w:val="22"/>
          <w:szCs w:val="22"/>
          <w:lang w:val="es-MX" w:eastAsia="es-ES_tradnl"/>
        </w:rPr>
        <w:t xml:space="preserve">la experiencia </w:t>
      </w:r>
      <w:r>
        <w:rPr>
          <w:rFonts w:ascii="Arial" w:eastAsia="Calibri" w:hAnsi="Arial" w:cs="Arial"/>
          <w:sz w:val="22"/>
          <w:szCs w:val="22"/>
          <w:lang w:val="es-MX" w:eastAsia="es-ES_tradnl"/>
        </w:rPr>
        <w:t xml:space="preserve">es, por regla general, un requisito habilitante de </w:t>
      </w:r>
      <w:r w:rsidRPr="00464C3F">
        <w:rPr>
          <w:rFonts w:ascii="Arial" w:eastAsia="Calibri" w:hAnsi="Arial" w:cs="Arial"/>
          <w:sz w:val="22"/>
          <w:szCs w:val="22"/>
          <w:lang w:val="es-MX" w:eastAsia="es-ES_tradnl"/>
        </w:rPr>
        <w:t xml:space="preserve">carácter personal, lo cual significa que </w:t>
      </w:r>
      <w:r>
        <w:rPr>
          <w:rFonts w:ascii="Arial" w:eastAsia="Calibri" w:hAnsi="Arial" w:cs="Arial"/>
          <w:sz w:val="22"/>
          <w:szCs w:val="22"/>
          <w:lang w:val="es-MX" w:eastAsia="es-ES_tradnl"/>
        </w:rPr>
        <w:t xml:space="preserve">aquella </w:t>
      </w:r>
      <w:r w:rsidRPr="00464C3F">
        <w:rPr>
          <w:rFonts w:ascii="Arial" w:eastAsia="Calibri" w:hAnsi="Arial" w:cs="Arial"/>
          <w:sz w:val="22"/>
          <w:szCs w:val="22"/>
          <w:lang w:val="es-MX" w:eastAsia="es-ES_tradnl"/>
        </w:rPr>
        <w:t>se obtiene en razón a la participación, con anterioridad, en actividades que le permitieron conocer cómo ejecutar determinado objeto contractual, que la entidad ahora pretende desarrollar</w:t>
      </w:r>
      <w:r>
        <w:rPr>
          <w:rFonts w:ascii="Arial" w:eastAsia="Calibri" w:hAnsi="Arial" w:cs="Arial"/>
          <w:sz w:val="22"/>
          <w:szCs w:val="22"/>
          <w:lang w:val="es-MX" w:eastAsia="es-ES_tradnl"/>
        </w:rPr>
        <w:t xml:space="preserve">. La experiencia </w:t>
      </w:r>
      <w:r w:rsidRPr="00257C14">
        <w:rPr>
          <w:rFonts w:ascii="Arial" w:eastAsia="Calibri" w:hAnsi="Arial" w:cs="Arial"/>
          <w:sz w:val="22"/>
          <w:szCs w:val="22"/>
          <w:lang w:val="es-MX" w:eastAsia="es-ES_tradnl"/>
        </w:rPr>
        <w:t>se verifica con el Registro Único de Proponentes –RUP–, cuando este certificado sea exigible de acuerdo con la ley. En este registro constan los requisitos habilitantes que se evalúan exclusivamente con este documento, que es plena prueba, sin que la entidad o el proponente puedan solicitar o aportar otra documentación.</w:t>
      </w:r>
      <w:r w:rsidR="00802CD1">
        <w:rPr>
          <w:rFonts w:ascii="Arial" w:eastAsia="Calibri" w:hAnsi="Arial" w:cs="Arial"/>
          <w:sz w:val="22"/>
          <w:szCs w:val="22"/>
          <w:lang w:val="es-MX" w:eastAsia="es-ES_tradnl"/>
        </w:rPr>
        <w:t xml:space="preserve"> </w:t>
      </w:r>
      <w:r>
        <w:rPr>
          <w:rFonts w:ascii="Arial" w:eastAsia="Calibri" w:hAnsi="Arial" w:cs="Arial"/>
          <w:sz w:val="22"/>
          <w:szCs w:val="22"/>
          <w:lang w:val="es-MX" w:eastAsia="es-ES_tradnl"/>
        </w:rPr>
        <w:t>En esos casos,</w:t>
      </w:r>
      <w:r w:rsidRPr="00257C14">
        <w:rPr>
          <w:rFonts w:ascii="Arial" w:eastAsia="Calibri" w:hAnsi="Arial" w:cs="Arial"/>
          <w:sz w:val="22"/>
          <w:szCs w:val="22"/>
          <w:lang w:val="es-MX" w:eastAsia="es-ES_tradnl"/>
        </w:rPr>
        <w:t xml:space="preserve"> la experiencia</w:t>
      </w:r>
      <w:r>
        <w:rPr>
          <w:rFonts w:ascii="Arial" w:eastAsia="Calibri" w:hAnsi="Arial" w:cs="Arial"/>
          <w:sz w:val="22"/>
          <w:szCs w:val="22"/>
          <w:lang w:val="es-MX" w:eastAsia="es-ES_tradnl"/>
        </w:rPr>
        <w:t xml:space="preserve"> </w:t>
      </w:r>
      <w:r w:rsidRPr="00257C14">
        <w:rPr>
          <w:rFonts w:ascii="Arial" w:eastAsia="Calibri" w:hAnsi="Arial" w:cs="Arial"/>
          <w:sz w:val="22"/>
          <w:szCs w:val="22"/>
          <w:lang w:val="es-MX" w:eastAsia="es-ES_tradnl"/>
        </w:rPr>
        <w:t>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Pr>
          <w:rFonts w:ascii="Arial" w:eastAsia="Calibri" w:hAnsi="Arial" w:cs="Arial"/>
          <w:sz w:val="22"/>
          <w:szCs w:val="22"/>
          <w:lang w:val="es-MX" w:eastAsia="es-ES_tradnl"/>
        </w:rPr>
        <w:t>.</w:t>
      </w:r>
    </w:p>
    <w:p w14:paraId="6700AC59" w14:textId="37604BDA" w:rsidR="009F4296" w:rsidRPr="005375F3" w:rsidRDefault="00802CD1" w:rsidP="009F4296">
      <w:pPr>
        <w:spacing w:before="120" w:after="120" w:line="276" w:lineRule="auto"/>
        <w:ind w:firstLine="708"/>
        <w:jc w:val="both"/>
        <w:rPr>
          <w:rFonts w:ascii="Arial" w:hAnsi="Arial" w:cs="Arial"/>
          <w:sz w:val="22"/>
          <w:szCs w:val="22"/>
          <w:lang w:val="es-MX" w:eastAsia="es-ES_tradnl"/>
        </w:rPr>
      </w:pPr>
      <w:r w:rsidRPr="005375F3" w:rsidDel="00802CD1">
        <w:rPr>
          <w:rFonts w:ascii="Arial" w:eastAsia="Calibri" w:hAnsi="Arial" w:cs="Arial"/>
          <w:sz w:val="22"/>
          <w:szCs w:val="22"/>
          <w:lang w:val="es-MX" w:eastAsia="es-ES_tradnl"/>
        </w:rPr>
        <w:t xml:space="preserve"> </w:t>
      </w:r>
      <w:r w:rsidR="009F4296">
        <w:rPr>
          <w:rFonts w:ascii="Arial" w:hAnsi="Arial" w:cs="Arial"/>
          <w:sz w:val="22"/>
          <w:szCs w:val="22"/>
          <w:lang w:val="es-MX" w:eastAsia="es-ES_tradnl"/>
        </w:rPr>
        <w:t xml:space="preserve"> </w:t>
      </w:r>
      <w:r>
        <w:rPr>
          <w:rFonts w:ascii="Arial" w:hAnsi="Arial" w:cs="Arial"/>
          <w:sz w:val="22"/>
          <w:szCs w:val="22"/>
          <w:lang w:val="es-MX" w:eastAsia="es-ES_tradnl"/>
        </w:rPr>
        <w:t>A</w:t>
      </w:r>
      <w:r w:rsidR="009F4296" w:rsidRPr="005375F3">
        <w:rPr>
          <w:rFonts w:ascii="Arial" w:hAnsi="Arial" w:cs="Arial"/>
          <w:sz w:val="22"/>
          <w:szCs w:val="22"/>
          <w:lang w:val="es-MX" w:eastAsia="es-ES_tradnl"/>
        </w:rPr>
        <w:t xml:space="preserve"> pesar de que la experiencia es inherente a la persona que la ha obtenido</w:t>
      </w:r>
      <w:r w:rsidR="009F4296">
        <w:rPr>
          <w:rFonts w:ascii="Arial" w:hAnsi="Arial" w:cs="Arial"/>
          <w:sz w:val="22"/>
          <w:szCs w:val="22"/>
          <w:lang w:val="es-MX" w:eastAsia="es-ES_tradnl"/>
        </w:rPr>
        <w:t>,</w:t>
      </w:r>
      <w:r>
        <w:rPr>
          <w:rFonts w:ascii="Arial" w:hAnsi="Arial" w:cs="Arial"/>
          <w:sz w:val="22"/>
          <w:szCs w:val="22"/>
          <w:lang w:val="es-MX" w:eastAsia="es-ES_tradnl"/>
        </w:rPr>
        <w:t xml:space="preserve"> e</w:t>
      </w:r>
      <w:r w:rsidRPr="005375F3">
        <w:rPr>
          <w:rFonts w:ascii="Arial" w:hAnsi="Arial" w:cs="Arial"/>
          <w:sz w:val="22"/>
          <w:szCs w:val="22"/>
          <w:lang w:val="es-MX" w:eastAsia="es-ES_tradnl"/>
        </w:rPr>
        <w:t>l numeral 2.5. del artículo 2.2.1.1.1.5.2 del Decreto 1082 de 2015</w:t>
      </w:r>
      <w:r w:rsidR="009F4296">
        <w:rPr>
          <w:rFonts w:ascii="Arial" w:hAnsi="Arial" w:cs="Arial"/>
          <w:sz w:val="22"/>
          <w:szCs w:val="22"/>
          <w:lang w:val="es-MX" w:eastAsia="es-ES_tradnl"/>
        </w:rPr>
        <w:t xml:space="preserve"> </w:t>
      </w:r>
      <w:r w:rsidR="009F4296" w:rsidRPr="005375F3">
        <w:rPr>
          <w:rFonts w:ascii="Arial" w:hAnsi="Arial" w:cs="Arial"/>
          <w:sz w:val="22"/>
          <w:szCs w:val="22"/>
          <w:lang w:val="es-MX" w:eastAsia="es-ES_tradnl"/>
        </w:rPr>
        <w:t>consagr</w:t>
      </w:r>
      <w:r w:rsidR="009F4296">
        <w:rPr>
          <w:rFonts w:ascii="Arial" w:hAnsi="Arial" w:cs="Arial"/>
          <w:sz w:val="22"/>
          <w:szCs w:val="22"/>
          <w:lang w:val="es-MX" w:eastAsia="es-ES_tradnl"/>
        </w:rPr>
        <w:t>ó</w:t>
      </w:r>
      <w:r w:rsidR="009F4296" w:rsidRPr="005375F3">
        <w:rPr>
          <w:rFonts w:ascii="Arial" w:hAnsi="Arial" w:cs="Arial"/>
          <w:sz w:val="22"/>
          <w:szCs w:val="22"/>
          <w:lang w:val="es-MX" w:eastAsia="es-ES_tradnl"/>
        </w:rPr>
        <w:t xml:space="preserve"> una </w:t>
      </w:r>
      <w:r w:rsidR="009F4296">
        <w:rPr>
          <w:rFonts w:ascii="Arial" w:hAnsi="Arial" w:cs="Arial"/>
          <w:sz w:val="22"/>
          <w:szCs w:val="22"/>
          <w:lang w:val="es-MX" w:eastAsia="es-ES_tradnl"/>
        </w:rPr>
        <w:t>facultad</w:t>
      </w:r>
      <w:r w:rsidR="009F4296" w:rsidRPr="005375F3">
        <w:rPr>
          <w:rFonts w:ascii="Arial" w:hAnsi="Arial" w:cs="Arial"/>
          <w:sz w:val="22"/>
          <w:szCs w:val="22"/>
          <w:lang w:val="es-MX" w:eastAsia="es-ES_tradnl"/>
        </w:rPr>
        <w:t xml:space="preserve"> para </w:t>
      </w:r>
      <w:r w:rsidR="009F4296" w:rsidRPr="005375F3">
        <w:rPr>
          <w:rFonts w:ascii="Arial" w:hAnsi="Arial" w:cs="Arial"/>
          <w:sz w:val="22"/>
          <w:szCs w:val="22"/>
          <w:lang w:val="es-MX" w:eastAsia="es-ES_tradnl"/>
        </w:rPr>
        <w:lastRenderedPageBreak/>
        <w:t>las sociedades nuevas</w:t>
      </w:r>
      <w:r w:rsidR="009F4296">
        <w:rPr>
          <w:rFonts w:ascii="Arial" w:hAnsi="Arial" w:cs="Arial"/>
          <w:sz w:val="22"/>
          <w:szCs w:val="22"/>
          <w:lang w:val="es-MX" w:eastAsia="es-ES_tradnl"/>
        </w:rPr>
        <w:t xml:space="preserve">, </w:t>
      </w:r>
      <w:r w:rsidR="009F4296" w:rsidRPr="005375F3">
        <w:rPr>
          <w:rFonts w:ascii="Arial" w:hAnsi="Arial" w:cs="Arial"/>
          <w:sz w:val="22"/>
          <w:szCs w:val="22"/>
          <w:lang w:val="es-MX" w:eastAsia="es-ES_tradnl"/>
        </w:rPr>
        <w:t>que busca fomentar su competencia en el campo de la contratación estatal, sin establecer limitantes en relación con las entidades o procesos de contratación en los que las personas jurídicas</w:t>
      </w:r>
      <w:r w:rsidR="009F4296">
        <w:rPr>
          <w:rFonts w:ascii="Arial" w:hAnsi="Arial" w:cs="Arial"/>
          <w:sz w:val="22"/>
          <w:szCs w:val="22"/>
          <w:lang w:val="es-MX" w:eastAsia="es-ES_tradnl"/>
        </w:rPr>
        <w:t>,</w:t>
      </w:r>
      <w:r w:rsidR="009F4296" w:rsidRPr="005375F3">
        <w:rPr>
          <w:rFonts w:ascii="Arial" w:hAnsi="Arial" w:cs="Arial"/>
          <w:sz w:val="22"/>
          <w:szCs w:val="22"/>
          <w:lang w:val="es-MX" w:eastAsia="es-ES_tradnl"/>
        </w:rPr>
        <w:t xml:space="preserve"> con menos de 3 años de constitución</w:t>
      </w:r>
      <w:r w:rsidR="009F4296">
        <w:rPr>
          <w:rFonts w:ascii="Arial" w:hAnsi="Arial" w:cs="Arial"/>
          <w:sz w:val="22"/>
          <w:szCs w:val="22"/>
          <w:lang w:val="es-MX" w:eastAsia="es-ES_tradnl"/>
        </w:rPr>
        <w:t>,</w:t>
      </w:r>
      <w:r w:rsidR="009F4296" w:rsidRPr="005375F3">
        <w:rPr>
          <w:rFonts w:ascii="Arial" w:hAnsi="Arial" w:cs="Arial"/>
          <w:sz w:val="22"/>
          <w:szCs w:val="22"/>
          <w:lang w:val="es-MX" w:eastAsia="es-ES_tradnl"/>
        </w:rPr>
        <w:t xml:space="preserve"> pueden acreditar la experiencia transferida por sus socios en virtud de la referida </w:t>
      </w:r>
      <w:r w:rsidR="009F4296">
        <w:rPr>
          <w:rFonts w:ascii="Arial" w:hAnsi="Arial" w:cs="Arial"/>
          <w:sz w:val="22"/>
          <w:szCs w:val="22"/>
          <w:lang w:val="es-MX" w:eastAsia="es-ES_tradnl"/>
        </w:rPr>
        <w:t>facultad</w:t>
      </w:r>
      <w:r w:rsidR="009F4296" w:rsidRPr="005375F3">
        <w:rPr>
          <w:rFonts w:ascii="Arial" w:hAnsi="Arial" w:cs="Arial"/>
          <w:sz w:val="22"/>
          <w:szCs w:val="22"/>
          <w:lang w:val="es-MX" w:eastAsia="es-ES_tradnl"/>
        </w:rPr>
        <w:t>.</w:t>
      </w:r>
    </w:p>
    <w:p w14:paraId="1FE0B371" w14:textId="77777777" w:rsidR="009F4296" w:rsidRPr="00DC210F" w:rsidRDefault="009F4296" w:rsidP="009F4296">
      <w:pPr>
        <w:spacing w:before="120" w:after="120" w:line="276" w:lineRule="auto"/>
        <w:ind w:firstLine="708"/>
        <w:jc w:val="both"/>
        <w:rPr>
          <w:rFonts w:ascii="Arial" w:eastAsia="Calibri" w:hAnsi="Arial" w:cs="Arial"/>
          <w:sz w:val="22"/>
          <w:szCs w:val="22"/>
          <w:lang w:val="es-MX" w:eastAsia="es-ES_tradnl"/>
        </w:rPr>
      </w:pPr>
      <w:r>
        <w:rPr>
          <w:rFonts w:ascii="Arial" w:eastAsia="Calibri" w:hAnsi="Arial" w:cs="Arial"/>
          <w:sz w:val="22"/>
          <w:szCs w:val="22"/>
          <w:lang w:val="es-MX" w:eastAsia="es-ES_tradnl"/>
        </w:rPr>
        <w:t>A</w:t>
      </w:r>
      <w:r w:rsidRPr="00DC210F">
        <w:rPr>
          <w:rFonts w:ascii="Arial" w:eastAsia="Calibri" w:hAnsi="Arial" w:cs="Arial"/>
          <w:sz w:val="22"/>
          <w:szCs w:val="22"/>
          <w:lang w:val="es-MX" w:eastAsia="es-ES_tradnl"/>
        </w:rPr>
        <w:t xml:space="preserve"> efectos de la consulta planteada, es necesario precisar que la experiencia de persona jurídica será la contenida en el certificado del Registro Único de Proponentes, emitido por la Cámara de Comercio correspondiente en donde se haya efectuado la inscripción</w:t>
      </w:r>
      <w:r>
        <w:rPr>
          <w:rFonts w:ascii="Arial" w:eastAsia="Calibri" w:hAnsi="Arial" w:cs="Arial"/>
          <w:sz w:val="22"/>
          <w:szCs w:val="22"/>
          <w:lang w:val="es-MX" w:eastAsia="es-ES_tradnl"/>
        </w:rPr>
        <w:t xml:space="preserve"> o renovación</w:t>
      </w:r>
      <w:r w:rsidRPr="00DC210F">
        <w:rPr>
          <w:rFonts w:ascii="Arial" w:eastAsia="Calibri" w:hAnsi="Arial" w:cs="Arial"/>
          <w:sz w:val="22"/>
          <w:szCs w:val="22"/>
          <w:lang w:val="es-MX" w:eastAsia="es-ES_tradnl"/>
        </w:rPr>
        <w:t>. Para e</w:t>
      </w:r>
      <w:r>
        <w:rPr>
          <w:rFonts w:ascii="Arial" w:eastAsia="Calibri" w:hAnsi="Arial" w:cs="Arial"/>
          <w:sz w:val="22"/>
          <w:szCs w:val="22"/>
          <w:lang w:val="es-MX" w:eastAsia="es-ES_tradnl"/>
        </w:rPr>
        <w:t>stos actos del RUP</w:t>
      </w:r>
      <w:r w:rsidRPr="00DC210F">
        <w:rPr>
          <w:rFonts w:ascii="Arial" w:eastAsia="Calibri" w:hAnsi="Arial" w:cs="Arial"/>
          <w:sz w:val="22"/>
          <w:szCs w:val="22"/>
          <w:lang w:val="es-MX" w:eastAsia="es-ES_tradnl"/>
        </w:rPr>
        <w:t>, cada uno de los accionistas, socios o constituyentes han decidido la experiencia en la provisión de los bienes, obras y servicios que acreditará</w:t>
      </w:r>
      <w:r>
        <w:rPr>
          <w:rFonts w:ascii="Arial" w:eastAsia="Calibri" w:hAnsi="Arial" w:cs="Arial"/>
          <w:sz w:val="22"/>
          <w:szCs w:val="22"/>
          <w:lang w:val="es-MX" w:eastAsia="es-ES_tradnl"/>
        </w:rPr>
        <w:t>n</w:t>
      </w:r>
      <w:r w:rsidRPr="00DC210F">
        <w:rPr>
          <w:rFonts w:ascii="Arial" w:eastAsia="Calibri" w:hAnsi="Arial" w:cs="Arial"/>
          <w:sz w:val="22"/>
          <w:szCs w:val="22"/>
          <w:lang w:val="es-MX" w:eastAsia="es-ES_tradnl"/>
        </w:rPr>
        <w:t xml:space="preserve"> a favor de la persona jurídica a la que pertenece</w:t>
      </w:r>
      <w:r>
        <w:rPr>
          <w:rFonts w:ascii="Arial" w:eastAsia="Calibri" w:hAnsi="Arial" w:cs="Arial"/>
          <w:sz w:val="22"/>
          <w:szCs w:val="22"/>
          <w:lang w:val="es-MX" w:eastAsia="es-ES_tradnl"/>
        </w:rPr>
        <w:t>n</w:t>
      </w:r>
      <w:r w:rsidRPr="00DC210F">
        <w:rPr>
          <w:rFonts w:ascii="Arial" w:eastAsia="Calibri" w:hAnsi="Arial" w:cs="Arial"/>
          <w:sz w:val="22"/>
          <w:szCs w:val="22"/>
          <w:lang w:val="es-MX" w:eastAsia="es-ES_tradnl"/>
        </w:rPr>
        <w:t>. Según se explicó, esa experiencia seguirá vigente, luego de los primeros 3 años de constitución de la persona jurídica, siempre que el RUP siga vigente y sus efectos no hayan cesado.</w:t>
      </w:r>
    </w:p>
    <w:p w14:paraId="0A50B91D" w14:textId="77777777" w:rsidR="009F4296" w:rsidRDefault="009F4296" w:rsidP="009F4296">
      <w:pPr>
        <w:spacing w:before="120" w:after="120" w:line="276" w:lineRule="auto"/>
        <w:ind w:firstLine="708"/>
        <w:jc w:val="both"/>
        <w:rPr>
          <w:rFonts w:ascii="Arial" w:eastAsia="Calibri" w:hAnsi="Arial" w:cs="Arial"/>
          <w:sz w:val="22"/>
          <w:szCs w:val="22"/>
          <w:lang w:val="es-MX" w:eastAsia="es-ES_tradnl"/>
        </w:rPr>
      </w:pPr>
      <w:r w:rsidRPr="00DC210F">
        <w:rPr>
          <w:rFonts w:ascii="Arial" w:eastAsia="Calibri" w:hAnsi="Arial" w:cs="Arial"/>
          <w:sz w:val="22"/>
          <w:szCs w:val="22"/>
          <w:lang w:val="es-MX" w:eastAsia="es-ES_tradnl"/>
        </w:rPr>
        <w:t>De este modo, a efectos de las personas jurídicas, la respectiva Cámara de Comercio, y no la entidad estatal contratante, deberá haber hecho la verificación documental de la experiencia la experiencia en la provisión de los bienes, obras y servicios que los accionistas, socios o constituyentes acreditan a favor de la persona jurídica a la que pertenecen, según el citado numeral 2.5. Por tanto, con independencia del porcentaje de participación en la persona jurídica, la experiencia de esta última, en el evento en que se emplee la facultad contenida en el numeral 2.5, dependerá de la información que se aportó a la Cámara de Comercio para realizar la inscripción del RUP de la persona jurídica.</w:t>
      </w:r>
    </w:p>
    <w:p w14:paraId="3429B82B" w14:textId="77777777" w:rsidR="00A83C01" w:rsidRDefault="00A83C01" w:rsidP="00A83C01">
      <w:pPr>
        <w:spacing w:line="276" w:lineRule="auto"/>
        <w:ind w:firstLine="708"/>
        <w:jc w:val="both"/>
        <w:rPr>
          <w:rFonts w:ascii="Arial" w:hAnsi="Arial" w:cs="Arial"/>
          <w:sz w:val="22"/>
          <w:szCs w:val="22"/>
          <w:lang w:val="es-MX" w:eastAsia="es-ES_tradnl"/>
        </w:rPr>
      </w:pPr>
      <w:r>
        <w:rPr>
          <w:rFonts w:ascii="Arial" w:hAnsi="Arial" w:cs="Arial"/>
          <w:sz w:val="22"/>
          <w:szCs w:val="22"/>
          <w:lang w:val="es-MX" w:eastAsia="es-ES_tradnl"/>
        </w:rPr>
        <w:t xml:space="preserve">En suma, la experiencia que los </w:t>
      </w:r>
      <w:r w:rsidRPr="00D85020">
        <w:rPr>
          <w:rFonts w:ascii="Arial" w:hAnsi="Arial" w:cs="Arial"/>
          <w:sz w:val="22"/>
          <w:szCs w:val="22"/>
          <w:lang w:val="es-MX" w:eastAsia="es-ES_tradnl"/>
        </w:rPr>
        <w:t>accionistas, socios o constituyentes</w:t>
      </w:r>
      <w:r>
        <w:rPr>
          <w:rFonts w:ascii="Arial" w:hAnsi="Arial" w:cs="Arial"/>
          <w:sz w:val="22"/>
          <w:szCs w:val="22"/>
          <w:lang w:val="es-MX" w:eastAsia="es-ES_tradnl"/>
        </w:rPr>
        <w:t xml:space="preserve"> pueden aportar a la persona jurídica que conforman, en el supuesto de hecho consultado, no está condicionada por su porcentaje de participación en la misma. La experiencia de los socios que la sociedad podrá acreditar dependerá única y exclusivamente de la información que, de conformidad con lo dispuesto en el artículo 6 de la Ley 1150 de 2007 y en los artículos </w:t>
      </w:r>
      <w:r w:rsidRPr="00F336EE">
        <w:rPr>
          <w:rFonts w:ascii="Arial" w:hAnsi="Arial" w:cs="Arial"/>
          <w:sz w:val="22"/>
          <w:szCs w:val="22"/>
          <w:lang w:val="es-MX" w:eastAsia="es-ES_tradnl"/>
        </w:rPr>
        <w:t>2.2.1.1.1.5.1.</w:t>
      </w:r>
      <w:r>
        <w:rPr>
          <w:rFonts w:ascii="Arial" w:hAnsi="Arial" w:cs="Arial"/>
          <w:sz w:val="22"/>
          <w:szCs w:val="22"/>
          <w:lang w:val="es-MX" w:eastAsia="es-ES_tradnl"/>
        </w:rPr>
        <w:t xml:space="preserve"> a </w:t>
      </w:r>
      <w:r w:rsidRPr="00F336EE">
        <w:rPr>
          <w:rFonts w:ascii="Arial" w:hAnsi="Arial" w:cs="Arial"/>
          <w:sz w:val="22"/>
          <w:szCs w:val="22"/>
          <w:lang w:val="es-MX" w:eastAsia="es-ES_tradnl"/>
        </w:rPr>
        <w:t>2.2.1.1.1.5.7.</w:t>
      </w:r>
      <w:r>
        <w:rPr>
          <w:rFonts w:ascii="Arial" w:hAnsi="Arial" w:cs="Arial"/>
          <w:sz w:val="22"/>
          <w:szCs w:val="22"/>
          <w:lang w:val="es-MX" w:eastAsia="es-ES_tradnl"/>
        </w:rPr>
        <w:t xml:space="preserve"> del Decreto 1082 de 2015, aporten los interesados y que verifique documentalmente de manera satisfactoria la respectiva Cámara de Comercio, lo cual constará en el certificado del RUP.</w:t>
      </w:r>
    </w:p>
    <w:p w14:paraId="24D8802B" w14:textId="77777777" w:rsidR="00A83C01" w:rsidRPr="00C04F58" w:rsidRDefault="00A83C01" w:rsidP="005B441F">
      <w:pPr>
        <w:spacing w:line="276" w:lineRule="auto"/>
        <w:ind w:firstLine="708"/>
        <w:jc w:val="both"/>
        <w:rPr>
          <w:rFonts w:ascii="Arial" w:hAnsi="Arial" w:cs="Arial"/>
          <w:sz w:val="22"/>
          <w:szCs w:val="22"/>
          <w:lang w:val="es-MX" w:eastAsia="es-ES_tradnl"/>
        </w:rPr>
      </w:pPr>
    </w:p>
    <w:p w14:paraId="31DA7007" w14:textId="5008ED23" w:rsidR="003C7067" w:rsidRPr="00987861" w:rsidRDefault="003C7067" w:rsidP="00996366">
      <w:pPr>
        <w:pStyle w:val="NormalWeb"/>
        <w:spacing w:before="120" w:beforeAutospacing="0" w:after="12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 xml:space="preserve">Este concepto tiene el alcance previsto en el artículo 28 del Código de Procedimiento Administrativo y de lo Contencioso </w:t>
      </w:r>
      <w:r w:rsidR="007566AD" w:rsidRPr="00987861">
        <w:rPr>
          <w:rFonts w:ascii="Arial" w:eastAsia="Calibri" w:hAnsi="Arial" w:cs="Arial"/>
          <w:sz w:val="22"/>
          <w:szCs w:val="22"/>
          <w:lang w:val="es-ES"/>
        </w:rPr>
        <w:t>Administrativo</w:t>
      </w:r>
      <w:r w:rsidRPr="00987861">
        <w:rPr>
          <w:rFonts w:ascii="Arial" w:eastAsia="Calibri" w:hAnsi="Arial" w:cs="Arial"/>
          <w:sz w:val="22"/>
          <w:szCs w:val="22"/>
          <w:lang w:val="es-ES"/>
        </w:rPr>
        <w:t>.</w:t>
      </w:r>
    </w:p>
    <w:p w14:paraId="67911ECF" w14:textId="77777777" w:rsidR="00DA13D9" w:rsidRPr="00987861" w:rsidRDefault="00DA13D9" w:rsidP="003C7067">
      <w:pPr>
        <w:jc w:val="both"/>
        <w:rPr>
          <w:rFonts w:ascii="Arial" w:eastAsia="Calibri" w:hAnsi="Arial" w:cs="Arial"/>
          <w:sz w:val="22"/>
          <w:szCs w:val="22"/>
          <w:lang w:val="es-ES"/>
        </w:rPr>
      </w:pPr>
    </w:p>
    <w:p w14:paraId="740312DF" w14:textId="551FF746" w:rsidR="003C7067" w:rsidRDefault="003C7067" w:rsidP="003C7067">
      <w:pPr>
        <w:jc w:val="both"/>
        <w:rPr>
          <w:rFonts w:ascii="Arial" w:hAnsi="Arial" w:cs="Arial"/>
          <w:sz w:val="22"/>
          <w:szCs w:val="22"/>
          <w:lang w:val="es-ES" w:eastAsia="es-CO"/>
        </w:rPr>
      </w:pPr>
      <w:r w:rsidRPr="00987861">
        <w:rPr>
          <w:rFonts w:ascii="Arial" w:hAnsi="Arial" w:cs="Arial"/>
          <w:sz w:val="22"/>
          <w:szCs w:val="22"/>
          <w:lang w:val="es-ES" w:eastAsia="es-CO"/>
        </w:rPr>
        <w:t>Atentamente,</w:t>
      </w:r>
    </w:p>
    <w:p w14:paraId="465E18CA" w14:textId="0E9F4E64" w:rsidR="000815BD" w:rsidRPr="009F5860" w:rsidRDefault="000815BD" w:rsidP="003C7067">
      <w:pPr>
        <w:jc w:val="both"/>
        <w:rPr>
          <w:rFonts w:ascii="Arial" w:hAnsi="Arial" w:cs="Arial"/>
          <w:sz w:val="22"/>
          <w:szCs w:val="22"/>
          <w:lang w:val="es-ES" w:eastAsia="es-CO"/>
        </w:rPr>
      </w:pPr>
    </w:p>
    <w:p w14:paraId="34F7EF72" w14:textId="108F1A7D" w:rsidR="003C7067" w:rsidRPr="009F5860" w:rsidRDefault="00095902" w:rsidP="003C7067">
      <w:pPr>
        <w:jc w:val="center"/>
        <w:rPr>
          <w:rFonts w:ascii="Arial" w:hAnsi="Arial" w:cs="Arial"/>
          <w:sz w:val="18"/>
          <w:szCs w:val="20"/>
          <w:lang w:val="es-ES" w:eastAsia="es-CO"/>
        </w:rPr>
      </w:pPr>
      <w:r w:rsidRPr="00570FD2">
        <w:rPr>
          <w:rFonts w:ascii="Arial" w:hAnsi="Arial" w:cs="Arial"/>
          <w:noProof/>
          <w:color w:val="000000" w:themeColor="text1"/>
          <w:sz w:val="22"/>
        </w:rPr>
        <w:lastRenderedPageBreak/>
        <w:drawing>
          <wp:inline distT="0" distB="0" distL="0" distR="0" wp14:anchorId="5CF7DDD0" wp14:editId="2C055B71">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26A9BAC3" w14:textId="77777777" w:rsidR="003C7067" w:rsidRDefault="003C7067" w:rsidP="003C7067">
      <w:pPr>
        <w:jc w:val="center"/>
        <w:rPr>
          <w:rFonts w:ascii="Arial" w:hAnsi="Arial" w:cs="Arial"/>
          <w:sz w:val="18"/>
          <w:szCs w:val="20"/>
          <w:lang w:val="es-ES" w:eastAsia="es-CO"/>
        </w:rPr>
      </w:pPr>
    </w:p>
    <w:p w14:paraId="2080A8BE" w14:textId="77777777" w:rsidR="00DA13D9" w:rsidRDefault="00DA13D9" w:rsidP="003C7067">
      <w:pPr>
        <w:jc w:val="center"/>
        <w:rPr>
          <w:rFonts w:ascii="Arial" w:hAnsi="Arial" w:cs="Arial"/>
          <w:sz w:val="18"/>
          <w:szCs w:val="20"/>
          <w:lang w:val="es-ES" w:eastAsia="es-CO"/>
        </w:rPr>
      </w:pPr>
    </w:p>
    <w:p w14:paraId="0C188112" w14:textId="77777777" w:rsidR="00DA13D9" w:rsidRDefault="00DA13D9" w:rsidP="003C7067">
      <w:pPr>
        <w:jc w:val="center"/>
        <w:rPr>
          <w:rFonts w:ascii="Arial" w:hAnsi="Arial" w:cs="Arial"/>
          <w:sz w:val="18"/>
          <w:szCs w:val="20"/>
          <w:lang w:val="es-ES" w:eastAsia="es-CO"/>
        </w:rPr>
      </w:pPr>
    </w:p>
    <w:p w14:paraId="06568C06" w14:textId="41E7BF1C" w:rsidR="00DA13D9" w:rsidRDefault="00DA13D9" w:rsidP="003C7067">
      <w:pPr>
        <w:jc w:val="center"/>
        <w:rPr>
          <w:rFonts w:ascii="Arial" w:hAnsi="Arial" w:cs="Arial"/>
          <w:sz w:val="18"/>
          <w:szCs w:val="20"/>
          <w:lang w:val="es-ES" w:eastAsia="es-CO"/>
        </w:rPr>
      </w:pPr>
    </w:p>
    <w:p w14:paraId="729B73BB" w14:textId="50B3AF9D" w:rsidR="009B20DB" w:rsidRDefault="009B20DB" w:rsidP="003C7067">
      <w:pPr>
        <w:jc w:val="center"/>
        <w:rPr>
          <w:rFonts w:ascii="Arial" w:hAnsi="Arial" w:cs="Arial"/>
          <w:sz w:val="18"/>
          <w:szCs w:val="20"/>
          <w:lang w:val="es-ES" w:eastAsia="es-CO"/>
        </w:rPr>
      </w:pPr>
    </w:p>
    <w:p w14:paraId="1864FC6B" w14:textId="75345B4D" w:rsidR="009B20DB" w:rsidRDefault="009B20DB" w:rsidP="003C7067">
      <w:pPr>
        <w:jc w:val="center"/>
        <w:rPr>
          <w:rFonts w:ascii="Arial" w:hAnsi="Arial" w:cs="Arial"/>
          <w:sz w:val="18"/>
          <w:szCs w:val="20"/>
          <w:lang w:val="es-ES" w:eastAsia="es-CO"/>
        </w:rPr>
      </w:pPr>
    </w:p>
    <w:p w14:paraId="749F8F48" w14:textId="2848B62B" w:rsidR="009B20DB" w:rsidRDefault="009B20DB" w:rsidP="003C7067">
      <w:pPr>
        <w:jc w:val="center"/>
        <w:rPr>
          <w:rFonts w:ascii="Arial" w:hAnsi="Arial" w:cs="Arial"/>
          <w:sz w:val="18"/>
          <w:szCs w:val="20"/>
          <w:lang w:val="es-ES" w:eastAsia="es-CO"/>
        </w:rPr>
      </w:pPr>
    </w:p>
    <w:p w14:paraId="08815096" w14:textId="63FD5079" w:rsidR="009B20DB" w:rsidRDefault="009B20DB" w:rsidP="003C7067">
      <w:pPr>
        <w:jc w:val="center"/>
        <w:rPr>
          <w:rFonts w:ascii="Arial" w:hAnsi="Arial" w:cs="Arial"/>
          <w:sz w:val="18"/>
          <w:szCs w:val="20"/>
          <w:lang w:val="es-ES" w:eastAsia="es-CO"/>
        </w:rPr>
      </w:pPr>
    </w:p>
    <w:p w14:paraId="080524D3" w14:textId="77777777" w:rsidR="009B20DB" w:rsidRPr="009F5860" w:rsidRDefault="009B20DB"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318B" w:rsidRPr="009F5860" w14:paraId="67DFEBDD" w14:textId="77777777" w:rsidTr="00D81E5B">
        <w:trPr>
          <w:trHeight w:val="315"/>
        </w:trPr>
        <w:tc>
          <w:tcPr>
            <w:tcW w:w="812" w:type="dxa"/>
            <w:vAlign w:val="center"/>
            <w:hideMark/>
          </w:tcPr>
          <w:p w14:paraId="586E9637" w14:textId="0AA69C50"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6AC9B662"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15047A99"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DA318B" w:rsidRPr="009F5860" w14:paraId="5E040385" w14:textId="77777777" w:rsidTr="00D81E5B">
        <w:trPr>
          <w:trHeight w:val="330"/>
        </w:trPr>
        <w:tc>
          <w:tcPr>
            <w:tcW w:w="812" w:type="dxa"/>
            <w:vAlign w:val="center"/>
            <w:hideMark/>
          </w:tcPr>
          <w:p w14:paraId="1468648A"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34364BA2" w:rsidR="003C7067" w:rsidRDefault="005B39BF" w:rsidP="00D81E5B">
            <w:pPr>
              <w:rPr>
                <w:rFonts w:ascii="Arial" w:hAnsi="Arial" w:cs="Arial"/>
                <w:sz w:val="16"/>
                <w:szCs w:val="16"/>
                <w:lang w:val="es-ES" w:eastAsia="es-ES"/>
              </w:rPr>
            </w:pPr>
            <w:r>
              <w:rPr>
                <w:rFonts w:ascii="Arial" w:hAnsi="Arial" w:cs="Arial"/>
                <w:sz w:val="16"/>
                <w:szCs w:val="16"/>
                <w:lang w:val="es-ES" w:eastAsia="es-ES"/>
              </w:rPr>
              <w:t>Alejandro Sarmiento</w:t>
            </w:r>
            <w:r w:rsidR="004C4C02">
              <w:rPr>
                <w:rFonts w:ascii="Arial" w:hAnsi="Arial" w:cs="Arial"/>
                <w:sz w:val="16"/>
                <w:szCs w:val="16"/>
                <w:lang w:val="es-ES" w:eastAsia="es-ES"/>
              </w:rPr>
              <w:t xml:space="preserve"> Cantillo</w:t>
            </w:r>
          </w:p>
          <w:p w14:paraId="1A90EAD2" w14:textId="0708F3D1" w:rsidR="008F10C7" w:rsidRPr="009F5860" w:rsidRDefault="000815BD" w:rsidP="00D81E5B">
            <w:pPr>
              <w:rPr>
                <w:rFonts w:ascii="Arial" w:hAnsi="Arial" w:cs="Arial"/>
                <w:sz w:val="16"/>
                <w:szCs w:val="16"/>
                <w:lang w:val="es-ES" w:eastAsia="es-ES"/>
              </w:rPr>
            </w:pPr>
            <w:r w:rsidRPr="009F5860">
              <w:rPr>
                <w:rFonts w:ascii="Arial" w:hAnsi="Arial" w:cs="Arial"/>
                <w:sz w:val="16"/>
                <w:szCs w:val="16"/>
                <w:lang w:val="es-ES" w:eastAsia="es-ES"/>
              </w:rPr>
              <w:t>Gestor T1-1</w:t>
            </w:r>
            <w:r w:rsidR="004C4C02">
              <w:rPr>
                <w:rFonts w:ascii="Arial" w:hAnsi="Arial" w:cs="Arial"/>
                <w:sz w:val="16"/>
                <w:szCs w:val="16"/>
                <w:lang w:val="es-ES" w:eastAsia="es-ES"/>
              </w:rPr>
              <w:t xml:space="preserve">5 </w:t>
            </w:r>
            <w:r w:rsidRPr="009F5860">
              <w:rPr>
                <w:rFonts w:ascii="Arial" w:hAnsi="Arial" w:cs="Arial"/>
                <w:sz w:val="16"/>
                <w:szCs w:val="16"/>
                <w:lang w:val="es-ES" w:eastAsia="es-ES"/>
              </w:rPr>
              <w:t>de la Subdirección de Gestión Contractual</w:t>
            </w:r>
          </w:p>
          <w:p w14:paraId="202F9F6E" w14:textId="2A87183D" w:rsidR="003C7067" w:rsidRPr="009F5860" w:rsidRDefault="003C7067" w:rsidP="00D81E5B">
            <w:pPr>
              <w:rPr>
                <w:rFonts w:ascii="Arial" w:hAnsi="Arial" w:cs="Arial"/>
                <w:sz w:val="16"/>
                <w:szCs w:val="16"/>
                <w:lang w:val="es-ES" w:eastAsia="es-ES"/>
              </w:rPr>
            </w:pPr>
          </w:p>
        </w:tc>
      </w:tr>
      <w:tr w:rsidR="00DA318B" w:rsidRPr="0008465D" w14:paraId="65581C44" w14:textId="77777777" w:rsidTr="00D81E5B">
        <w:trPr>
          <w:trHeight w:val="300"/>
        </w:trPr>
        <w:tc>
          <w:tcPr>
            <w:tcW w:w="812" w:type="dxa"/>
            <w:vAlign w:val="center"/>
            <w:hideMark/>
          </w:tcPr>
          <w:p w14:paraId="5B07E6DF"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Jorge Augusto Tirado Navarro</w:t>
            </w:r>
          </w:p>
          <w:p w14:paraId="43EFE605" w14:textId="77777777" w:rsidR="003C7067" w:rsidRPr="0008465D" w:rsidRDefault="003C7067" w:rsidP="00D81E5B">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p>
        </w:tc>
      </w:tr>
    </w:tbl>
    <w:p w14:paraId="019B7BEC" w14:textId="77777777" w:rsidR="003C7067" w:rsidRDefault="003C7067"/>
    <w:sectPr w:rsidR="003C7067" w:rsidSect="00D81E5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F5D" w14:textId="77777777" w:rsidR="0036048F" w:rsidRDefault="0036048F" w:rsidP="003C7067">
      <w:r>
        <w:separator/>
      </w:r>
    </w:p>
  </w:endnote>
  <w:endnote w:type="continuationSeparator" w:id="0">
    <w:p w14:paraId="0866388E" w14:textId="77777777" w:rsidR="0036048F" w:rsidRDefault="0036048F"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7EE0D30C" w14:textId="77777777" w:rsidR="00D81E5B" w:rsidRDefault="00D81E5B" w:rsidP="00D81E5B">
    <w:pPr>
      <w:pStyle w:val="Sinespaciado"/>
      <w:jc w:val="right"/>
      <w:rPr>
        <w:rFonts w:ascii="Arial" w:hAnsi="Arial" w:cs="Arial"/>
        <w:sz w:val="18"/>
        <w:szCs w:val="18"/>
      </w:rPr>
    </w:pPr>
  </w:p>
  <w:p w14:paraId="120D6A59" w14:textId="77777777" w:rsidR="00D81E5B" w:rsidRPr="008217B7" w:rsidRDefault="000965D3" w:rsidP="00D81E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D81E5B" w:rsidRDefault="000965D3" w:rsidP="00D81E5B">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D81E5B" w:rsidRPr="00E756AC" w:rsidRDefault="00D81E5B" w:rsidP="00D81E5B">
    <w:pPr>
      <w:pStyle w:val="Piedepgina"/>
      <w:jc w:val="center"/>
      <w:rPr>
        <w:sz w:val="18"/>
        <w:szCs w:val="18"/>
        <w:lang w:val="es-ES"/>
      </w:rPr>
    </w:pPr>
  </w:p>
  <w:p w14:paraId="1CBE747A" w14:textId="77777777" w:rsidR="00D81E5B" w:rsidRPr="00E756AC" w:rsidRDefault="00D81E5B" w:rsidP="00D81E5B">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3C18" w14:textId="77777777" w:rsidR="0036048F" w:rsidRDefault="0036048F" w:rsidP="003C7067">
      <w:r>
        <w:separator/>
      </w:r>
    </w:p>
  </w:footnote>
  <w:footnote w:type="continuationSeparator" w:id="0">
    <w:p w14:paraId="1FD58C8D" w14:textId="77777777" w:rsidR="0036048F" w:rsidRDefault="0036048F" w:rsidP="003C7067">
      <w:r>
        <w:continuationSeparator/>
      </w:r>
    </w:p>
  </w:footnote>
  <w:footnote w:id="1">
    <w:p w14:paraId="2F0B4265" w14:textId="77777777" w:rsidR="00EF2C3C" w:rsidRPr="005B441F" w:rsidRDefault="00EF2C3C" w:rsidP="00F2752E">
      <w:pPr>
        <w:pStyle w:val="Textonotapie"/>
        <w:ind w:firstLine="708"/>
        <w:jc w:val="both"/>
        <w:rPr>
          <w:rFonts w:ascii="Arial" w:hAnsi="Arial" w:cs="Arial"/>
          <w:sz w:val="18"/>
          <w:szCs w:val="18"/>
          <w:lang w:val="es-ES"/>
        </w:rPr>
      </w:pPr>
      <w:r w:rsidRPr="005B441F">
        <w:rPr>
          <w:rStyle w:val="Refdenotaalpie"/>
          <w:rFonts w:ascii="Arial" w:hAnsi="Arial" w:cs="Arial"/>
          <w:sz w:val="18"/>
          <w:szCs w:val="18"/>
        </w:rPr>
        <w:footnoteRef/>
      </w:r>
      <w:r w:rsidRPr="005B441F">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B441F">
        <w:rPr>
          <w:rFonts w:ascii="Arial" w:hAnsi="Arial" w:cs="Arial"/>
          <w:i/>
          <w:iCs/>
          <w:sz w:val="18"/>
          <w:szCs w:val="18"/>
        </w:rPr>
        <w:t xml:space="preserve">ibidem </w:t>
      </w:r>
      <w:r w:rsidRPr="005B441F">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7D9CA62" w14:textId="77777777" w:rsidR="009F4296" w:rsidRPr="005B441F" w:rsidRDefault="009F4296" w:rsidP="00F2752E">
      <w:pPr>
        <w:pStyle w:val="Textonotapie"/>
        <w:ind w:firstLine="708"/>
        <w:jc w:val="both"/>
        <w:rPr>
          <w:rFonts w:ascii="Arial" w:eastAsia="Calibri"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De igual forma la Agencia de Nacional de Contratación Pública -Colombia Compra Eficiente- trato el tema objeto de estudio en conceptos del año 2019, identificados con los radicados </w:t>
      </w:r>
      <w:r w:rsidRPr="005B441F">
        <w:rPr>
          <w:rFonts w:ascii="Arial" w:eastAsia="Calibri" w:hAnsi="Arial" w:cs="Arial"/>
          <w:sz w:val="18"/>
          <w:szCs w:val="18"/>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5B441F">
        <w:rPr>
          <w:rFonts w:ascii="Arial" w:hAnsi="Arial" w:cs="Arial"/>
          <w:sz w:val="18"/>
          <w:szCs w:val="18"/>
        </w:rPr>
        <w:t xml:space="preserve">4201913000006797 del 19 de noviembre de 2019, </w:t>
      </w:r>
      <w:r w:rsidRPr="005B441F">
        <w:rPr>
          <w:rFonts w:ascii="Arial" w:eastAsia="Calibri" w:hAnsi="Arial" w:cs="Arial"/>
          <w:sz w:val="18"/>
          <w:szCs w:val="18"/>
        </w:rPr>
        <w:t xml:space="preserve">4201912000007182 del 3 de diciembre de 2019, 4201912000007512 del 16 de diciembre de 2019, 4201912000007607 del 9 de diciembre de 2019. </w:t>
      </w:r>
    </w:p>
    <w:p w14:paraId="0935F389" w14:textId="77777777" w:rsidR="009F4296" w:rsidRPr="005B441F" w:rsidRDefault="009F4296" w:rsidP="00F2752E">
      <w:pPr>
        <w:pStyle w:val="Textonotapie"/>
        <w:ind w:firstLine="708"/>
        <w:jc w:val="both"/>
        <w:rPr>
          <w:rFonts w:ascii="Arial" w:hAnsi="Arial" w:cs="Arial"/>
          <w:sz w:val="18"/>
          <w:szCs w:val="18"/>
          <w:lang w:val="es-CO"/>
        </w:rPr>
      </w:pPr>
    </w:p>
  </w:footnote>
  <w:footnote w:id="3">
    <w:p w14:paraId="37CF00A6" w14:textId="77777777" w:rsidR="009F4296" w:rsidRPr="005B441F" w:rsidRDefault="009F4296" w:rsidP="005B441F">
      <w:pPr>
        <w:pStyle w:val="Car1"/>
        <w:spacing w:after="120"/>
        <w:ind w:firstLine="709"/>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B58BC9E" w14:textId="63EB8914" w:rsidR="009F4296" w:rsidRPr="005B441F" w:rsidRDefault="00F2752E" w:rsidP="00F2752E">
      <w:pPr>
        <w:pStyle w:val="Car1"/>
        <w:ind w:firstLine="708"/>
        <w:jc w:val="both"/>
        <w:rPr>
          <w:rFonts w:ascii="Arial" w:hAnsi="Arial" w:cs="Arial"/>
          <w:sz w:val="18"/>
          <w:szCs w:val="18"/>
        </w:rPr>
      </w:pPr>
      <w:r w:rsidRPr="005B441F">
        <w:rPr>
          <w:rFonts w:ascii="Arial" w:hAnsi="Arial" w:cs="Arial"/>
          <w:sz w:val="18"/>
          <w:szCs w:val="18"/>
        </w:rPr>
        <w:t>»</w:t>
      </w:r>
      <w:r w:rsidR="009F4296" w:rsidRPr="005B441F">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648CAD9" w14:textId="77777777" w:rsidR="009F4296" w:rsidRPr="005B441F" w:rsidRDefault="009F4296" w:rsidP="00F2752E">
      <w:pPr>
        <w:pStyle w:val="Car1"/>
        <w:jc w:val="both"/>
        <w:rPr>
          <w:rFonts w:ascii="Arial" w:hAnsi="Arial" w:cs="Arial"/>
          <w:sz w:val="18"/>
          <w:szCs w:val="18"/>
          <w:lang w:val="es-ES"/>
        </w:rPr>
      </w:pPr>
    </w:p>
  </w:footnote>
  <w:footnote w:id="4">
    <w:p w14:paraId="219AAB52" w14:textId="77777777"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5AB1D04" w14:textId="77777777" w:rsidR="009F4296" w:rsidRPr="005B441F" w:rsidRDefault="009F4296" w:rsidP="00F2752E">
      <w:pPr>
        <w:pStyle w:val="Car1"/>
        <w:ind w:firstLine="708"/>
        <w:jc w:val="both"/>
        <w:rPr>
          <w:rFonts w:ascii="Arial" w:hAnsi="Arial" w:cs="Arial"/>
          <w:sz w:val="18"/>
          <w:szCs w:val="18"/>
          <w:lang w:val="es-ES"/>
        </w:rPr>
      </w:pPr>
    </w:p>
  </w:footnote>
  <w:footnote w:id="5">
    <w:p w14:paraId="5084ED15" w14:textId="77777777" w:rsidR="009F4296" w:rsidRPr="005B441F" w:rsidRDefault="009F4296" w:rsidP="005B441F">
      <w:pPr>
        <w:pStyle w:val="Car1"/>
        <w:spacing w:after="120"/>
        <w:ind w:firstLine="709"/>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DA10AF4" w14:textId="3DDEF7BE"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r w:rsidR="009F5CFA" w:rsidRPr="005B441F">
        <w:rPr>
          <w:rFonts w:ascii="Arial" w:hAnsi="Arial" w:cs="Arial"/>
          <w:sz w:val="18"/>
          <w:szCs w:val="18"/>
        </w:rPr>
        <w:t xml:space="preserve"> </w:t>
      </w:r>
      <w:r w:rsidRPr="005B441F">
        <w:rPr>
          <w:rFonts w:ascii="Arial" w:hAnsi="Arial" w:cs="Arial"/>
          <w:sz w:val="18"/>
          <w:szCs w:val="18"/>
        </w:rPr>
        <w:t>[...]»</w:t>
      </w:r>
      <w:r w:rsidR="009F5CFA" w:rsidRPr="005B441F">
        <w:rPr>
          <w:rFonts w:ascii="Arial" w:hAnsi="Arial" w:cs="Arial"/>
          <w:sz w:val="18"/>
          <w:szCs w:val="18"/>
        </w:rPr>
        <w:t>.</w:t>
      </w:r>
    </w:p>
  </w:footnote>
  <w:footnote w:id="6">
    <w:p w14:paraId="1BC7FFD8" w14:textId="77777777" w:rsidR="009F5CFA" w:rsidRPr="005B441F" w:rsidRDefault="009F5CFA" w:rsidP="00F2752E">
      <w:pPr>
        <w:pStyle w:val="Car1"/>
        <w:ind w:firstLine="708"/>
        <w:jc w:val="both"/>
        <w:rPr>
          <w:rFonts w:ascii="Arial" w:hAnsi="Arial" w:cs="Arial"/>
          <w:sz w:val="18"/>
          <w:szCs w:val="18"/>
        </w:rPr>
      </w:pPr>
    </w:p>
    <w:p w14:paraId="262E27E8" w14:textId="2DD2F86F"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3BDAD19"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w:t>
      </w:r>
    </w:p>
    <w:p w14:paraId="2EA66C4E" w14:textId="11918DF3" w:rsidR="009F4296" w:rsidRPr="005B441F" w:rsidRDefault="009F5CFA" w:rsidP="005B441F">
      <w:pPr>
        <w:pStyle w:val="Car1"/>
        <w:ind w:firstLine="708"/>
        <w:jc w:val="both"/>
        <w:rPr>
          <w:rFonts w:ascii="Arial" w:hAnsi="Arial" w:cs="Arial"/>
          <w:sz w:val="18"/>
          <w:szCs w:val="18"/>
        </w:rPr>
      </w:pPr>
      <w:r w:rsidRPr="005B441F">
        <w:rPr>
          <w:rFonts w:ascii="Arial" w:hAnsi="Arial" w:cs="Arial"/>
          <w:sz w:val="18"/>
          <w:szCs w:val="18"/>
        </w:rPr>
        <w:t>»</w:t>
      </w:r>
      <w:r w:rsidR="009F4296" w:rsidRPr="005B441F">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F02E790" w14:textId="7D590301" w:rsidR="009F5CFA" w:rsidRPr="005B441F" w:rsidRDefault="009F5CFA" w:rsidP="00F2752E">
      <w:pPr>
        <w:pStyle w:val="Car1"/>
        <w:ind w:firstLine="708"/>
        <w:jc w:val="both"/>
        <w:rPr>
          <w:rFonts w:ascii="Arial" w:hAnsi="Arial" w:cs="Arial"/>
          <w:sz w:val="18"/>
          <w:szCs w:val="18"/>
        </w:rPr>
      </w:pPr>
      <w:r w:rsidRPr="005B441F">
        <w:rPr>
          <w:rFonts w:ascii="Arial" w:hAnsi="Arial" w:cs="Arial"/>
          <w:sz w:val="18"/>
          <w:szCs w:val="18"/>
        </w:rPr>
        <w:t>»</w:t>
      </w:r>
      <w:r w:rsidR="009F4296" w:rsidRPr="005B441F">
        <w:rPr>
          <w:rFonts w:ascii="Arial" w:hAnsi="Arial"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AD53925" w14:textId="77777777" w:rsidR="00F2752E" w:rsidRPr="005B441F" w:rsidRDefault="00F2752E" w:rsidP="005B441F">
      <w:pPr>
        <w:pStyle w:val="Textonotapie"/>
        <w:rPr>
          <w:rFonts w:ascii="Arial" w:hAnsi="Arial" w:cs="Arial"/>
          <w:sz w:val="18"/>
          <w:szCs w:val="18"/>
        </w:rPr>
      </w:pPr>
    </w:p>
  </w:footnote>
  <w:footnote w:id="7">
    <w:p w14:paraId="2512355F" w14:textId="77777777"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6965601"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1.    Si es una persona natural:</w:t>
      </w:r>
    </w:p>
    <w:p w14:paraId="106E2BB3"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1.1. Bienes, obras y servicios que ofrecerá a las Entidades Estatales, identificados con el Clasificador de Bienes y Servicios en el tercer nivel.</w:t>
      </w:r>
    </w:p>
    <w:p w14:paraId="6D8F2281"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footnote>
  <w:footnote w:id="8">
    <w:p w14:paraId="272B9CB6" w14:textId="77777777"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4F27B0AF"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40B1F6C0"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w:t>
      </w:r>
    </w:p>
    <w:p w14:paraId="0654010A"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5FB89594"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474F2A67"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w:t>
      </w:r>
    </w:p>
  </w:footnote>
  <w:footnote w:id="9">
    <w:p w14:paraId="431A90E0" w14:textId="77777777"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Esta conclusión cambió respecto del concepto C – 002 del 20 de febrero de 2020, para adecuarla a un mejor entendimiento de las normas sobre la experiencia.</w:t>
      </w:r>
    </w:p>
    <w:p w14:paraId="6D34CAF2" w14:textId="77777777" w:rsidR="009F4296" w:rsidRPr="005B441F" w:rsidRDefault="009F4296" w:rsidP="00F2752E">
      <w:pPr>
        <w:pStyle w:val="Car1"/>
        <w:ind w:firstLine="708"/>
        <w:jc w:val="both"/>
        <w:rPr>
          <w:rFonts w:ascii="Arial" w:hAnsi="Arial" w:cs="Arial"/>
          <w:sz w:val="18"/>
          <w:szCs w:val="18"/>
          <w:lang w:val="es-CO"/>
        </w:rPr>
      </w:pPr>
    </w:p>
  </w:footnote>
  <w:footnote w:id="10">
    <w:p w14:paraId="1D5AA37F" w14:textId="77777777" w:rsidR="009F4296" w:rsidRPr="005B441F" w:rsidRDefault="009F4296" w:rsidP="00F2752E">
      <w:pPr>
        <w:pStyle w:val="Car1"/>
        <w:ind w:firstLine="708"/>
        <w:jc w:val="both"/>
        <w:rPr>
          <w:rFonts w:ascii="Arial" w:hAnsi="Arial" w:cs="Arial"/>
          <w:color w:val="000000"/>
          <w:sz w:val="18"/>
          <w:szCs w:val="18"/>
          <w:lang w:val="es-CO"/>
        </w:rPr>
      </w:pPr>
      <w:r w:rsidRPr="005B441F">
        <w:rPr>
          <w:rStyle w:val="Refdenotaalpie"/>
          <w:rFonts w:ascii="Arial" w:hAnsi="Arial" w:cs="Arial"/>
          <w:color w:val="000000"/>
          <w:sz w:val="18"/>
          <w:szCs w:val="18"/>
        </w:rPr>
        <w:footnoteRef/>
      </w:r>
      <w:r w:rsidRPr="005B441F">
        <w:rPr>
          <w:rFonts w:ascii="Arial" w:hAnsi="Arial" w:cs="Arial"/>
          <w:color w:val="000000"/>
          <w:sz w:val="18"/>
          <w:szCs w:val="18"/>
        </w:rPr>
        <w:t xml:space="preserve"> Corte Constitucional. </w:t>
      </w:r>
      <w:r w:rsidRPr="005B441F">
        <w:rPr>
          <w:rFonts w:ascii="Arial" w:hAnsi="Arial" w:cs="Arial"/>
          <w:color w:val="000000"/>
          <w:sz w:val="18"/>
          <w:szCs w:val="18"/>
          <w:lang w:val="es-CO"/>
        </w:rPr>
        <w:t xml:space="preserve">Sentencia C </w:t>
      </w:r>
      <w:r w:rsidRPr="005B441F">
        <w:rPr>
          <w:rFonts w:ascii="Arial" w:eastAsia="Calibri" w:hAnsi="Arial" w:cs="Arial"/>
          <w:color w:val="000000"/>
          <w:sz w:val="18"/>
          <w:szCs w:val="18"/>
        </w:rPr>
        <w:t xml:space="preserve">- </w:t>
      </w:r>
      <w:r w:rsidRPr="005B441F">
        <w:rPr>
          <w:rFonts w:ascii="Arial" w:hAnsi="Arial" w:cs="Arial"/>
          <w:color w:val="000000"/>
          <w:sz w:val="18"/>
          <w:szCs w:val="18"/>
          <w:lang w:val="es-CO"/>
        </w:rPr>
        <w:t xml:space="preserve">259 del 11 de marzo 2008. M.P. Jaime Córdoba Triviño. </w:t>
      </w:r>
    </w:p>
  </w:footnote>
  <w:footnote w:id="11">
    <w:p w14:paraId="393F0319" w14:textId="77777777"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166A641"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w:t>
      </w:r>
    </w:p>
    <w:p w14:paraId="1A04F318"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shd w:val="clear" w:color="auto" w:fill="FFFFFF"/>
        </w:rPr>
        <w:t>»2.1.   Bienes, obras y servicios que ofrecerá a las Entidades Estatales, identificados con el Clasificador de Bienes y Servicios en el tercer nivel</w:t>
      </w:r>
      <w:r w:rsidRPr="005B441F">
        <w:rPr>
          <w:rFonts w:ascii="Arial" w:hAnsi="Arial" w:cs="Arial"/>
          <w:sz w:val="18"/>
          <w:szCs w:val="18"/>
        </w:rPr>
        <w:t>»</w:t>
      </w:r>
      <w:r w:rsidRPr="005B441F">
        <w:rPr>
          <w:rFonts w:ascii="Arial" w:hAnsi="Arial" w:cs="Arial"/>
          <w:sz w:val="18"/>
          <w:szCs w:val="18"/>
          <w:shd w:val="clear" w:color="auto" w:fill="FFFFFF"/>
        </w:rPr>
        <w:t>.</w:t>
      </w:r>
    </w:p>
    <w:p w14:paraId="4AEE8D46" w14:textId="77777777" w:rsidR="009F4296" w:rsidRPr="005B441F" w:rsidRDefault="009F4296" w:rsidP="00F2752E">
      <w:pPr>
        <w:pStyle w:val="Car1"/>
        <w:ind w:firstLine="708"/>
        <w:jc w:val="both"/>
        <w:rPr>
          <w:rFonts w:ascii="Arial" w:hAnsi="Arial" w:cs="Arial"/>
          <w:sz w:val="18"/>
          <w:szCs w:val="18"/>
          <w:lang w:val="es-CO"/>
        </w:rPr>
      </w:pPr>
    </w:p>
  </w:footnote>
  <w:footnote w:id="12">
    <w:p w14:paraId="3CAEA10E" w14:textId="77777777" w:rsidR="009F4296" w:rsidRPr="005B441F" w:rsidRDefault="009F4296" w:rsidP="00F2752E">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2655BC6" w14:textId="77777777" w:rsidR="009F4296" w:rsidRPr="005B441F" w:rsidRDefault="009F4296" w:rsidP="00F2752E">
      <w:pPr>
        <w:pStyle w:val="Car1"/>
        <w:ind w:firstLine="708"/>
        <w:jc w:val="both"/>
        <w:rPr>
          <w:rFonts w:ascii="Arial" w:hAnsi="Arial" w:cs="Arial"/>
          <w:sz w:val="18"/>
          <w:szCs w:val="18"/>
        </w:rPr>
      </w:pPr>
      <w:r w:rsidRPr="005B441F">
        <w:rPr>
          <w:rFonts w:ascii="Arial" w:hAnsi="Arial" w:cs="Arial"/>
          <w:sz w:val="18"/>
          <w:szCs w:val="18"/>
        </w:rPr>
        <w:t>[…]</w:t>
      </w:r>
    </w:p>
    <w:p w14:paraId="557E6B8F" w14:textId="77777777" w:rsidR="009F4296" w:rsidRPr="005B441F" w:rsidRDefault="009F4296" w:rsidP="00F2752E">
      <w:pPr>
        <w:pStyle w:val="Car1"/>
        <w:ind w:firstLine="708"/>
        <w:jc w:val="both"/>
        <w:rPr>
          <w:rFonts w:ascii="Arial" w:hAnsi="Arial" w:cs="Arial"/>
          <w:sz w:val="18"/>
          <w:szCs w:val="18"/>
          <w:lang w:val="es-CO"/>
        </w:rPr>
      </w:pPr>
      <w:r w:rsidRPr="005B441F">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5B441F">
        <w:rPr>
          <w:rFonts w:ascii="Arial" w:hAnsi="Arial" w:cs="Arial"/>
          <w:sz w:val="18"/>
          <w:szCs w:val="18"/>
          <w:shd w:val="clear" w:color="auto" w:fill="FFFFFF"/>
        </w:rPr>
        <w:softHyphen/>
        <w:t>ficador de Bienes y Servicios en el tercer nivel. Si la constitución del interesado es menor a 3 años, puede acreditar la experiencia de sus accionistas, socios o constituyentes</w:t>
      </w:r>
      <w:r w:rsidRPr="005B441F">
        <w:rPr>
          <w:rFonts w:ascii="Arial" w:hAnsi="Arial" w:cs="Arial"/>
          <w:sz w:val="18"/>
          <w:szCs w:val="18"/>
        </w:rPr>
        <w:t>».</w:t>
      </w:r>
    </w:p>
  </w:footnote>
  <w:footnote w:id="13">
    <w:p w14:paraId="6DF1225D" w14:textId="77777777" w:rsidR="009F4296" w:rsidRPr="005B441F" w:rsidRDefault="009F4296" w:rsidP="00F2752E">
      <w:pPr>
        <w:pStyle w:val="Car1"/>
        <w:ind w:left="708" w:firstLine="1"/>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Colombia Compra Eficiente. Concepto del 7 de febrero de 2018, Rad. 2201813000000954.</w:t>
      </w:r>
    </w:p>
  </w:footnote>
  <w:footnote w:id="14">
    <w:p w14:paraId="56C04CAF" w14:textId="77777777" w:rsidR="009F4296" w:rsidRPr="005B441F" w:rsidRDefault="009F4296" w:rsidP="00F2752E">
      <w:pPr>
        <w:pStyle w:val="Textocomentario1"/>
        <w:ind w:firstLine="708"/>
        <w:jc w:val="both"/>
        <w:rPr>
          <w:rFonts w:ascii="Arial" w:hAnsi="Arial" w:cs="Arial"/>
          <w:sz w:val="18"/>
          <w:szCs w:val="18"/>
          <w:lang w:val="es-CO"/>
        </w:rPr>
      </w:pPr>
      <w:r w:rsidRPr="005B441F">
        <w:rPr>
          <w:rStyle w:val="Refdenotaalpie"/>
          <w:rFonts w:ascii="Arial" w:hAnsi="Arial" w:cs="Arial"/>
          <w:sz w:val="18"/>
          <w:szCs w:val="18"/>
        </w:rPr>
        <w:footnoteRef/>
      </w:r>
      <w:r w:rsidRPr="005B441F">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D81E5B"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592630"/>
    <w:multiLevelType w:val="hybridMultilevel"/>
    <w:tmpl w:val="7A7411D8"/>
    <w:lvl w:ilvl="0" w:tplc="0A1C59BA">
      <w:start w:val="1"/>
      <w:numFmt w:val="lowerLetter"/>
      <w:lvlText w:val="%1)"/>
      <w:lvlJc w:val="left"/>
      <w:pPr>
        <w:ind w:left="1008" w:hanging="330"/>
        <w:jc w:val="left"/>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2"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491D27D0"/>
    <w:multiLevelType w:val="multilevel"/>
    <w:tmpl w:val="D47AE904"/>
    <w:lvl w:ilvl="0">
      <w:start w:val="1"/>
      <w:numFmt w:val="decimal"/>
      <w:lvlText w:val="%1"/>
      <w:lvlJc w:val="left"/>
      <w:pPr>
        <w:ind w:left="725" w:hanging="425"/>
        <w:jc w:val="left"/>
      </w:pPr>
      <w:rPr>
        <w:rFonts w:hint="default"/>
        <w:lang w:val="es-ES" w:eastAsia="en-US" w:bidi="ar-SA"/>
      </w:rPr>
    </w:lvl>
    <w:lvl w:ilvl="1">
      <w:start w:val="1"/>
      <w:numFmt w:val="decimal"/>
      <w:lvlText w:val="%1.%2."/>
      <w:lvlJc w:val="left"/>
      <w:pPr>
        <w:ind w:left="725" w:hanging="425"/>
        <w:jc w:val="left"/>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4"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048798576">
    <w:abstractNumId w:val="2"/>
  </w:num>
  <w:num w:numId="2" w16cid:durableId="2056267502">
    <w:abstractNumId w:val="5"/>
  </w:num>
  <w:num w:numId="3" w16cid:durableId="1450319055">
    <w:abstractNumId w:val="1"/>
  </w:num>
  <w:num w:numId="4" w16cid:durableId="1644043281">
    <w:abstractNumId w:val="3"/>
  </w:num>
  <w:num w:numId="5" w16cid:durableId="284046649">
    <w:abstractNumId w:val="4"/>
  </w:num>
  <w:num w:numId="6" w16cid:durableId="60457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A32"/>
    <w:rsid w:val="000160CE"/>
    <w:rsid w:val="00027E00"/>
    <w:rsid w:val="00034765"/>
    <w:rsid w:val="0004470C"/>
    <w:rsid w:val="00047939"/>
    <w:rsid w:val="00051DF9"/>
    <w:rsid w:val="00063E22"/>
    <w:rsid w:val="00064617"/>
    <w:rsid w:val="000714BA"/>
    <w:rsid w:val="000770A6"/>
    <w:rsid w:val="000815BD"/>
    <w:rsid w:val="00093ECC"/>
    <w:rsid w:val="00095902"/>
    <w:rsid w:val="000965D3"/>
    <w:rsid w:val="000A1A65"/>
    <w:rsid w:val="000A22E0"/>
    <w:rsid w:val="000A6950"/>
    <w:rsid w:val="000A71F8"/>
    <w:rsid w:val="000B322A"/>
    <w:rsid w:val="000B38F9"/>
    <w:rsid w:val="000B6B23"/>
    <w:rsid w:val="000B7A2F"/>
    <w:rsid w:val="000C0C5A"/>
    <w:rsid w:val="000C176A"/>
    <w:rsid w:val="000C41FF"/>
    <w:rsid w:val="000D17CE"/>
    <w:rsid w:val="000D31AF"/>
    <w:rsid w:val="000E4BCC"/>
    <w:rsid w:val="000E6606"/>
    <w:rsid w:val="000F16C3"/>
    <w:rsid w:val="000F20D6"/>
    <w:rsid w:val="0010115C"/>
    <w:rsid w:val="001048AE"/>
    <w:rsid w:val="00110547"/>
    <w:rsid w:val="001221E5"/>
    <w:rsid w:val="00122D5C"/>
    <w:rsid w:val="0014294A"/>
    <w:rsid w:val="00145CEA"/>
    <w:rsid w:val="001542F1"/>
    <w:rsid w:val="00155176"/>
    <w:rsid w:val="00155A6A"/>
    <w:rsid w:val="00156332"/>
    <w:rsid w:val="00156426"/>
    <w:rsid w:val="00160EA4"/>
    <w:rsid w:val="0016321F"/>
    <w:rsid w:val="00166895"/>
    <w:rsid w:val="00172E23"/>
    <w:rsid w:val="0017361B"/>
    <w:rsid w:val="0019286E"/>
    <w:rsid w:val="0019347C"/>
    <w:rsid w:val="0019577D"/>
    <w:rsid w:val="00196387"/>
    <w:rsid w:val="001973D3"/>
    <w:rsid w:val="001A1FE0"/>
    <w:rsid w:val="001A7515"/>
    <w:rsid w:val="001B1ED3"/>
    <w:rsid w:val="001B5043"/>
    <w:rsid w:val="001C7F1C"/>
    <w:rsid w:val="001D014E"/>
    <w:rsid w:val="001D169F"/>
    <w:rsid w:val="001D579D"/>
    <w:rsid w:val="001E00A3"/>
    <w:rsid w:val="001E0D8E"/>
    <w:rsid w:val="001E51C7"/>
    <w:rsid w:val="001F0BA1"/>
    <w:rsid w:val="001F1036"/>
    <w:rsid w:val="001F2FE7"/>
    <w:rsid w:val="001F4A87"/>
    <w:rsid w:val="0020666F"/>
    <w:rsid w:val="0022027A"/>
    <w:rsid w:val="002203D9"/>
    <w:rsid w:val="00222FE7"/>
    <w:rsid w:val="0023114E"/>
    <w:rsid w:val="00234C96"/>
    <w:rsid w:val="00236169"/>
    <w:rsid w:val="002370E0"/>
    <w:rsid w:val="002410B7"/>
    <w:rsid w:val="00244285"/>
    <w:rsid w:val="002546FB"/>
    <w:rsid w:val="0025667C"/>
    <w:rsid w:val="002650A2"/>
    <w:rsid w:val="00266469"/>
    <w:rsid w:val="00267994"/>
    <w:rsid w:val="00273DB1"/>
    <w:rsid w:val="00274FF8"/>
    <w:rsid w:val="00276E87"/>
    <w:rsid w:val="00276F1D"/>
    <w:rsid w:val="0027789E"/>
    <w:rsid w:val="002835D0"/>
    <w:rsid w:val="0028433E"/>
    <w:rsid w:val="00290872"/>
    <w:rsid w:val="00292A75"/>
    <w:rsid w:val="00294A56"/>
    <w:rsid w:val="002A092A"/>
    <w:rsid w:val="002B2085"/>
    <w:rsid w:val="002B5D94"/>
    <w:rsid w:val="002B6EDD"/>
    <w:rsid w:val="002C3DC8"/>
    <w:rsid w:val="002D55E0"/>
    <w:rsid w:val="002D6662"/>
    <w:rsid w:val="002E0539"/>
    <w:rsid w:val="002E4878"/>
    <w:rsid w:val="002F339A"/>
    <w:rsid w:val="002F3B48"/>
    <w:rsid w:val="002F5437"/>
    <w:rsid w:val="00305DDD"/>
    <w:rsid w:val="00307D38"/>
    <w:rsid w:val="003104CB"/>
    <w:rsid w:val="00311E48"/>
    <w:rsid w:val="00313EFB"/>
    <w:rsid w:val="003142AF"/>
    <w:rsid w:val="00316157"/>
    <w:rsid w:val="003210B5"/>
    <w:rsid w:val="003258E3"/>
    <w:rsid w:val="00332D6E"/>
    <w:rsid w:val="00333088"/>
    <w:rsid w:val="00334B19"/>
    <w:rsid w:val="00337918"/>
    <w:rsid w:val="00341302"/>
    <w:rsid w:val="0035529C"/>
    <w:rsid w:val="00355937"/>
    <w:rsid w:val="0036048F"/>
    <w:rsid w:val="003610F4"/>
    <w:rsid w:val="00364D51"/>
    <w:rsid w:val="003702AD"/>
    <w:rsid w:val="0037154B"/>
    <w:rsid w:val="00372146"/>
    <w:rsid w:val="00375947"/>
    <w:rsid w:val="00377837"/>
    <w:rsid w:val="0038422A"/>
    <w:rsid w:val="00385A96"/>
    <w:rsid w:val="00385B3E"/>
    <w:rsid w:val="003870E4"/>
    <w:rsid w:val="00391B62"/>
    <w:rsid w:val="00393B89"/>
    <w:rsid w:val="00395260"/>
    <w:rsid w:val="003953A4"/>
    <w:rsid w:val="003A235D"/>
    <w:rsid w:val="003A279E"/>
    <w:rsid w:val="003A7C69"/>
    <w:rsid w:val="003B42A6"/>
    <w:rsid w:val="003B76F3"/>
    <w:rsid w:val="003C0050"/>
    <w:rsid w:val="003C1B39"/>
    <w:rsid w:val="003C6B38"/>
    <w:rsid w:val="003C7067"/>
    <w:rsid w:val="003D24F8"/>
    <w:rsid w:val="003E023D"/>
    <w:rsid w:val="003E060B"/>
    <w:rsid w:val="003F0A31"/>
    <w:rsid w:val="003F2CA6"/>
    <w:rsid w:val="00400B3F"/>
    <w:rsid w:val="0040411F"/>
    <w:rsid w:val="00427639"/>
    <w:rsid w:val="0043199D"/>
    <w:rsid w:val="0043465F"/>
    <w:rsid w:val="00450F52"/>
    <w:rsid w:val="004514C3"/>
    <w:rsid w:val="00452B6D"/>
    <w:rsid w:val="00452C65"/>
    <w:rsid w:val="004530B5"/>
    <w:rsid w:val="004530DC"/>
    <w:rsid w:val="004541BB"/>
    <w:rsid w:val="00454C1E"/>
    <w:rsid w:val="00461578"/>
    <w:rsid w:val="004662C1"/>
    <w:rsid w:val="004665D9"/>
    <w:rsid w:val="004708A3"/>
    <w:rsid w:val="00472517"/>
    <w:rsid w:val="004963B0"/>
    <w:rsid w:val="004A0C2B"/>
    <w:rsid w:val="004A2FA1"/>
    <w:rsid w:val="004A6DF7"/>
    <w:rsid w:val="004B2DEB"/>
    <w:rsid w:val="004B3476"/>
    <w:rsid w:val="004B569C"/>
    <w:rsid w:val="004C1C33"/>
    <w:rsid w:val="004C27EC"/>
    <w:rsid w:val="004C4C02"/>
    <w:rsid w:val="004D4519"/>
    <w:rsid w:val="004D76E8"/>
    <w:rsid w:val="004E3799"/>
    <w:rsid w:val="004E5663"/>
    <w:rsid w:val="004E587A"/>
    <w:rsid w:val="004E76CB"/>
    <w:rsid w:val="004F1086"/>
    <w:rsid w:val="004F654F"/>
    <w:rsid w:val="005058EF"/>
    <w:rsid w:val="0051003B"/>
    <w:rsid w:val="00521AC0"/>
    <w:rsid w:val="005278E3"/>
    <w:rsid w:val="0053012B"/>
    <w:rsid w:val="005313ED"/>
    <w:rsid w:val="00543797"/>
    <w:rsid w:val="00545362"/>
    <w:rsid w:val="005463B4"/>
    <w:rsid w:val="00546A01"/>
    <w:rsid w:val="00546BD3"/>
    <w:rsid w:val="005537BE"/>
    <w:rsid w:val="00554FCF"/>
    <w:rsid w:val="00573E27"/>
    <w:rsid w:val="005745BF"/>
    <w:rsid w:val="005752B3"/>
    <w:rsid w:val="00584231"/>
    <w:rsid w:val="005867C9"/>
    <w:rsid w:val="00594698"/>
    <w:rsid w:val="005B384E"/>
    <w:rsid w:val="005B39BF"/>
    <w:rsid w:val="005B441F"/>
    <w:rsid w:val="005D20C7"/>
    <w:rsid w:val="005D539E"/>
    <w:rsid w:val="005E57D6"/>
    <w:rsid w:val="00607049"/>
    <w:rsid w:val="00611C84"/>
    <w:rsid w:val="0061555F"/>
    <w:rsid w:val="006169DA"/>
    <w:rsid w:val="00626DC2"/>
    <w:rsid w:val="00645FB0"/>
    <w:rsid w:val="00646C99"/>
    <w:rsid w:val="00652125"/>
    <w:rsid w:val="006534EE"/>
    <w:rsid w:val="00657CB5"/>
    <w:rsid w:val="00660C19"/>
    <w:rsid w:val="006610BD"/>
    <w:rsid w:val="00664E56"/>
    <w:rsid w:val="00676C2D"/>
    <w:rsid w:val="006908AF"/>
    <w:rsid w:val="00696C59"/>
    <w:rsid w:val="0069743E"/>
    <w:rsid w:val="00697780"/>
    <w:rsid w:val="006A2383"/>
    <w:rsid w:val="006B040D"/>
    <w:rsid w:val="006B06C7"/>
    <w:rsid w:val="006B205F"/>
    <w:rsid w:val="006B5BAD"/>
    <w:rsid w:val="006C25DE"/>
    <w:rsid w:val="006C67CE"/>
    <w:rsid w:val="006C730C"/>
    <w:rsid w:val="006D1233"/>
    <w:rsid w:val="006D1DF5"/>
    <w:rsid w:val="006D42CA"/>
    <w:rsid w:val="006D43D6"/>
    <w:rsid w:val="006D4E4D"/>
    <w:rsid w:val="006D66D3"/>
    <w:rsid w:val="006D7111"/>
    <w:rsid w:val="006E01E2"/>
    <w:rsid w:val="006E280E"/>
    <w:rsid w:val="006E2E59"/>
    <w:rsid w:val="006E3684"/>
    <w:rsid w:val="006F628A"/>
    <w:rsid w:val="006F6C29"/>
    <w:rsid w:val="007007D0"/>
    <w:rsid w:val="0070319B"/>
    <w:rsid w:val="00703305"/>
    <w:rsid w:val="007101DE"/>
    <w:rsid w:val="0071057D"/>
    <w:rsid w:val="007135B5"/>
    <w:rsid w:val="00714D49"/>
    <w:rsid w:val="0071587F"/>
    <w:rsid w:val="007301A5"/>
    <w:rsid w:val="00731374"/>
    <w:rsid w:val="007374F5"/>
    <w:rsid w:val="007402D6"/>
    <w:rsid w:val="0074401A"/>
    <w:rsid w:val="007444BB"/>
    <w:rsid w:val="007477FE"/>
    <w:rsid w:val="007533F2"/>
    <w:rsid w:val="007566AD"/>
    <w:rsid w:val="00763584"/>
    <w:rsid w:val="00766606"/>
    <w:rsid w:val="007704C1"/>
    <w:rsid w:val="00771994"/>
    <w:rsid w:val="00774EA0"/>
    <w:rsid w:val="00780EF8"/>
    <w:rsid w:val="00781A67"/>
    <w:rsid w:val="007A09E8"/>
    <w:rsid w:val="007A13A0"/>
    <w:rsid w:val="007A48A1"/>
    <w:rsid w:val="007A52B4"/>
    <w:rsid w:val="007A5F2D"/>
    <w:rsid w:val="007A6F08"/>
    <w:rsid w:val="007B0517"/>
    <w:rsid w:val="007B4AAC"/>
    <w:rsid w:val="007B4CC3"/>
    <w:rsid w:val="007C14A7"/>
    <w:rsid w:val="007C18F9"/>
    <w:rsid w:val="007D5580"/>
    <w:rsid w:val="007D648E"/>
    <w:rsid w:val="007E48AE"/>
    <w:rsid w:val="007F1DEE"/>
    <w:rsid w:val="007F4036"/>
    <w:rsid w:val="007F55F8"/>
    <w:rsid w:val="007F6F80"/>
    <w:rsid w:val="007F737A"/>
    <w:rsid w:val="00802CD1"/>
    <w:rsid w:val="00812BB2"/>
    <w:rsid w:val="00817CCE"/>
    <w:rsid w:val="00826A17"/>
    <w:rsid w:val="0082778E"/>
    <w:rsid w:val="0083524B"/>
    <w:rsid w:val="008402CD"/>
    <w:rsid w:val="00841BDF"/>
    <w:rsid w:val="00843CDF"/>
    <w:rsid w:val="008443B3"/>
    <w:rsid w:val="00847A78"/>
    <w:rsid w:val="00854A55"/>
    <w:rsid w:val="00860639"/>
    <w:rsid w:val="00863607"/>
    <w:rsid w:val="0087011C"/>
    <w:rsid w:val="008702BA"/>
    <w:rsid w:val="008708B7"/>
    <w:rsid w:val="008735D0"/>
    <w:rsid w:val="0087674C"/>
    <w:rsid w:val="00876B78"/>
    <w:rsid w:val="00890D5F"/>
    <w:rsid w:val="00893807"/>
    <w:rsid w:val="008951CE"/>
    <w:rsid w:val="008958AC"/>
    <w:rsid w:val="00896007"/>
    <w:rsid w:val="008A2F7B"/>
    <w:rsid w:val="008A6295"/>
    <w:rsid w:val="008C1D44"/>
    <w:rsid w:val="008C368A"/>
    <w:rsid w:val="008D2933"/>
    <w:rsid w:val="008D35A4"/>
    <w:rsid w:val="008D6FD8"/>
    <w:rsid w:val="008E33F5"/>
    <w:rsid w:val="008E518E"/>
    <w:rsid w:val="008F10C7"/>
    <w:rsid w:val="008F6E0C"/>
    <w:rsid w:val="009040A2"/>
    <w:rsid w:val="0090501B"/>
    <w:rsid w:val="0090557C"/>
    <w:rsid w:val="00913406"/>
    <w:rsid w:val="0091503C"/>
    <w:rsid w:val="00920086"/>
    <w:rsid w:val="0092073B"/>
    <w:rsid w:val="0092111A"/>
    <w:rsid w:val="009212E1"/>
    <w:rsid w:val="00924576"/>
    <w:rsid w:val="009346BA"/>
    <w:rsid w:val="009418A5"/>
    <w:rsid w:val="0094506A"/>
    <w:rsid w:val="009470FC"/>
    <w:rsid w:val="009527E4"/>
    <w:rsid w:val="009540D3"/>
    <w:rsid w:val="00961511"/>
    <w:rsid w:val="00962D13"/>
    <w:rsid w:val="00975452"/>
    <w:rsid w:val="00977BC1"/>
    <w:rsid w:val="00984D8B"/>
    <w:rsid w:val="00987493"/>
    <w:rsid w:val="00987861"/>
    <w:rsid w:val="009916A6"/>
    <w:rsid w:val="0099278D"/>
    <w:rsid w:val="0099407E"/>
    <w:rsid w:val="00994D39"/>
    <w:rsid w:val="00996366"/>
    <w:rsid w:val="0099787B"/>
    <w:rsid w:val="009A246D"/>
    <w:rsid w:val="009B20DB"/>
    <w:rsid w:val="009B2C35"/>
    <w:rsid w:val="009B5641"/>
    <w:rsid w:val="009B5F97"/>
    <w:rsid w:val="009B6276"/>
    <w:rsid w:val="009C16B3"/>
    <w:rsid w:val="009C5E1C"/>
    <w:rsid w:val="009C5E76"/>
    <w:rsid w:val="009C7BBC"/>
    <w:rsid w:val="009D66B9"/>
    <w:rsid w:val="009D6BD7"/>
    <w:rsid w:val="009F0A44"/>
    <w:rsid w:val="009F4002"/>
    <w:rsid w:val="009F4296"/>
    <w:rsid w:val="009F532D"/>
    <w:rsid w:val="009F5860"/>
    <w:rsid w:val="009F5A81"/>
    <w:rsid w:val="009F5CFA"/>
    <w:rsid w:val="009F7627"/>
    <w:rsid w:val="00A0046D"/>
    <w:rsid w:val="00A009D4"/>
    <w:rsid w:val="00A04819"/>
    <w:rsid w:val="00A053C7"/>
    <w:rsid w:val="00A061EC"/>
    <w:rsid w:val="00A1657C"/>
    <w:rsid w:val="00A16F59"/>
    <w:rsid w:val="00A201B3"/>
    <w:rsid w:val="00A21241"/>
    <w:rsid w:val="00A2369A"/>
    <w:rsid w:val="00A23905"/>
    <w:rsid w:val="00A412E5"/>
    <w:rsid w:val="00A55358"/>
    <w:rsid w:val="00A55366"/>
    <w:rsid w:val="00A57E21"/>
    <w:rsid w:val="00A63DA3"/>
    <w:rsid w:val="00A83C01"/>
    <w:rsid w:val="00A844C4"/>
    <w:rsid w:val="00A86314"/>
    <w:rsid w:val="00A94591"/>
    <w:rsid w:val="00A977C8"/>
    <w:rsid w:val="00AB36B6"/>
    <w:rsid w:val="00AC4FE9"/>
    <w:rsid w:val="00AC5A39"/>
    <w:rsid w:val="00AD027E"/>
    <w:rsid w:val="00AD17DB"/>
    <w:rsid w:val="00AE3552"/>
    <w:rsid w:val="00AE485F"/>
    <w:rsid w:val="00AF2BAE"/>
    <w:rsid w:val="00B0338C"/>
    <w:rsid w:val="00B036EA"/>
    <w:rsid w:val="00B05ACC"/>
    <w:rsid w:val="00B139B2"/>
    <w:rsid w:val="00B204B3"/>
    <w:rsid w:val="00B213A1"/>
    <w:rsid w:val="00B24B11"/>
    <w:rsid w:val="00B325AF"/>
    <w:rsid w:val="00B40B39"/>
    <w:rsid w:val="00B41C7A"/>
    <w:rsid w:val="00B46CB5"/>
    <w:rsid w:val="00B71F0A"/>
    <w:rsid w:val="00B742C2"/>
    <w:rsid w:val="00B74E3B"/>
    <w:rsid w:val="00B82D1D"/>
    <w:rsid w:val="00B93A8D"/>
    <w:rsid w:val="00B97CE2"/>
    <w:rsid w:val="00BA0AE4"/>
    <w:rsid w:val="00BA187E"/>
    <w:rsid w:val="00BA6AA2"/>
    <w:rsid w:val="00BB5FFC"/>
    <w:rsid w:val="00BC51F1"/>
    <w:rsid w:val="00BD5A6F"/>
    <w:rsid w:val="00BD5ED5"/>
    <w:rsid w:val="00BD7B31"/>
    <w:rsid w:val="00BE065B"/>
    <w:rsid w:val="00BF4336"/>
    <w:rsid w:val="00C04F58"/>
    <w:rsid w:val="00C1122A"/>
    <w:rsid w:val="00C12608"/>
    <w:rsid w:val="00C15870"/>
    <w:rsid w:val="00C21998"/>
    <w:rsid w:val="00C24E6D"/>
    <w:rsid w:val="00C30F2F"/>
    <w:rsid w:val="00C43F7C"/>
    <w:rsid w:val="00C45EFF"/>
    <w:rsid w:val="00C46B18"/>
    <w:rsid w:val="00C52F53"/>
    <w:rsid w:val="00C55E13"/>
    <w:rsid w:val="00C63119"/>
    <w:rsid w:val="00C667F5"/>
    <w:rsid w:val="00C71F83"/>
    <w:rsid w:val="00C76716"/>
    <w:rsid w:val="00C807B0"/>
    <w:rsid w:val="00C81076"/>
    <w:rsid w:val="00C95355"/>
    <w:rsid w:val="00C967B4"/>
    <w:rsid w:val="00CB0C0E"/>
    <w:rsid w:val="00CC747F"/>
    <w:rsid w:val="00CD1FFB"/>
    <w:rsid w:val="00CD23C7"/>
    <w:rsid w:val="00CF21BD"/>
    <w:rsid w:val="00CF4D94"/>
    <w:rsid w:val="00D06B51"/>
    <w:rsid w:val="00D13E49"/>
    <w:rsid w:val="00D14CB4"/>
    <w:rsid w:val="00D20437"/>
    <w:rsid w:val="00D2190E"/>
    <w:rsid w:val="00D354FA"/>
    <w:rsid w:val="00D371F4"/>
    <w:rsid w:val="00D43237"/>
    <w:rsid w:val="00D4411E"/>
    <w:rsid w:val="00D50AFB"/>
    <w:rsid w:val="00D5574A"/>
    <w:rsid w:val="00D56CA2"/>
    <w:rsid w:val="00D62647"/>
    <w:rsid w:val="00D62C94"/>
    <w:rsid w:val="00D74DB3"/>
    <w:rsid w:val="00D81E5B"/>
    <w:rsid w:val="00D95F6B"/>
    <w:rsid w:val="00D97105"/>
    <w:rsid w:val="00DA07F3"/>
    <w:rsid w:val="00DA13D9"/>
    <w:rsid w:val="00DA318B"/>
    <w:rsid w:val="00DB16A5"/>
    <w:rsid w:val="00DB587E"/>
    <w:rsid w:val="00DC7CC6"/>
    <w:rsid w:val="00DD50DE"/>
    <w:rsid w:val="00DE29EB"/>
    <w:rsid w:val="00DE6D2B"/>
    <w:rsid w:val="00DE7249"/>
    <w:rsid w:val="00DF02C5"/>
    <w:rsid w:val="00DF5BB0"/>
    <w:rsid w:val="00E006F1"/>
    <w:rsid w:val="00E06A3D"/>
    <w:rsid w:val="00E073F4"/>
    <w:rsid w:val="00E1744A"/>
    <w:rsid w:val="00E17DD1"/>
    <w:rsid w:val="00E2370B"/>
    <w:rsid w:val="00E36420"/>
    <w:rsid w:val="00E457BB"/>
    <w:rsid w:val="00E5054B"/>
    <w:rsid w:val="00E5202C"/>
    <w:rsid w:val="00E55AA2"/>
    <w:rsid w:val="00E56A40"/>
    <w:rsid w:val="00E60868"/>
    <w:rsid w:val="00E63B8B"/>
    <w:rsid w:val="00E667D8"/>
    <w:rsid w:val="00E6723D"/>
    <w:rsid w:val="00E74412"/>
    <w:rsid w:val="00E84094"/>
    <w:rsid w:val="00E93DD3"/>
    <w:rsid w:val="00E94838"/>
    <w:rsid w:val="00E94A99"/>
    <w:rsid w:val="00E9754D"/>
    <w:rsid w:val="00EA575F"/>
    <w:rsid w:val="00EB1DBF"/>
    <w:rsid w:val="00EB2411"/>
    <w:rsid w:val="00EB32BF"/>
    <w:rsid w:val="00EB66C4"/>
    <w:rsid w:val="00EC5476"/>
    <w:rsid w:val="00ED55F2"/>
    <w:rsid w:val="00EE1EA1"/>
    <w:rsid w:val="00EF19AD"/>
    <w:rsid w:val="00EF2C3C"/>
    <w:rsid w:val="00F00588"/>
    <w:rsid w:val="00F05314"/>
    <w:rsid w:val="00F06CDD"/>
    <w:rsid w:val="00F128A6"/>
    <w:rsid w:val="00F13E1E"/>
    <w:rsid w:val="00F14E3E"/>
    <w:rsid w:val="00F16C48"/>
    <w:rsid w:val="00F17E55"/>
    <w:rsid w:val="00F2234C"/>
    <w:rsid w:val="00F22795"/>
    <w:rsid w:val="00F2691F"/>
    <w:rsid w:val="00F2752E"/>
    <w:rsid w:val="00F30C0A"/>
    <w:rsid w:val="00F33EBD"/>
    <w:rsid w:val="00F37E69"/>
    <w:rsid w:val="00F37FFA"/>
    <w:rsid w:val="00F40435"/>
    <w:rsid w:val="00F4282D"/>
    <w:rsid w:val="00F44EDE"/>
    <w:rsid w:val="00F4666D"/>
    <w:rsid w:val="00F46AE1"/>
    <w:rsid w:val="00F537D7"/>
    <w:rsid w:val="00F646A8"/>
    <w:rsid w:val="00F66F1C"/>
    <w:rsid w:val="00F71872"/>
    <w:rsid w:val="00F7482E"/>
    <w:rsid w:val="00F90F70"/>
    <w:rsid w:val="00F967CA"/>
    <w:rsid w:val="00FA1A45"/>
    <w:rsid w:val="00FA1DEA"/>
    <w:rsid w:val="00FA4397"/>
    <w:rsid w:val="00FA6BCA"/>
    <w:rsid w:val="00FB2D69"/>
    <w:rsid w:val="00FB4302"/>
    <w:rsid w:val="00FB59B1"/>
    <w:rsid w:val="00FB5F56"/>
    <w:rsid w:val="00FC0382"/>
    <w:rsid w:val="00FC0CA5"/>
    <w:rsid w:val="00FC460F"/>
    <w:rsid w:val="00FC53A0"/>
    <w:rsid w:val="00FC76EE"/>
    <w:rsid w:val="00FD2E94"/>
    <w:rsid w:val="00FD300E"/>
    <w:rsid w:val="00FE1E54"/>
    <w:rsid w:val="00FF2096"/>
    <w:rsid w:val="00FF5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2.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3.xml><?xml version="1.0" encoding="utf-8"?>
<ds:datastoreItem xmlns:ds="http://schemas.openxmlformats.org/officeDocument/2006/customXml" ds:itemID="{5F65AE11-E133-4698-8892-E831FED7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5488</Words>
  <Characters>30188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dcterms:created xsi:type="dcterms:W3CDTF">2022-04-19T12:42:00Z</dcterms:created>
  <dcterms:modified xsi:type="dcterms:W3CDTF">2022-04-19T12:42:00Z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