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3DE5C" w14:textId="77777777" w:rsidR="005D7824" w:rsidRPr="00A10464" w:rsidRDefault="005D7824" w:rsidP="00575591">
      <w:pPr>
        <w:spacing w:after="200"/>
        <w:jc w:val="both"/>
        <w:rPr>
          <w:rFonts w:ascii="Arial" w:eastAsiaTheme="minorHAnsi" w:hAnsi="Arial" w:cs="Arial"/>
          <w:b/>
          <w:bCs/>
          <w:color w:val="000000" w:themeColor="text1"/>
          <w:sz w:val="22"/>
        </w:rPr>
      </w:pPr>
      <w:bookmarkStart w:id="0" w:name="_Hlk78821436"/>
      <w:r w:rsidRPr="00A10464">
        <w:rPr>
          <w:rFonts w:ascii="Arial" w:eastAsiaTheme="minorHAnsi" w:hAnsi="Arial" w:cs="Arial"/>
          <w:b/>
          <w:bCs/>
          <w:color w:val="000000" w:themeColor="text1"/>
          <w:sz w:val="22"/>
        </w:rPr>
        <w:t>LEY DE GARANTÍAS ELECTORALES – Finalidad</w:t>
      </w:r>
    </w:p>
    <w:p w14:paraId="21466ECD" w14:textId="32B25B0A" w:rsidR="005D7824" w:rsidRPr="009464D4" w:rsidRDefault="00921FD4" w:rsidP="00575591">
      <w:pPr>
        <w:tabs>
          <w:tab w:val="left" w:pos="426"/>
        </w:tabs>
        <w:jc w:val="both"/>
        <w:rPr>
          <w:rFonts w:ascii="Arial" w:eastAsia="Calibri" w:hAnsi="Arial" w:cs="Arial"/>
          <w:bCs/>
          <w:color w:val="000000" w:themeColor="text1"/>
          <w:sz w:val="20"/>
          <w:szCs w:val="20"/>
          <w:lang w:val="es-CO"/>
        </w:rPr>
      </w:pPr>
      <w:bookmarkStart w:id="1" w:name="_Hlk77235066"/>
      <w:r w:rsidRPr="009464D4">
        <w:rPr>
          <w:rFonts w:ascii="Arial" w:eastAsia="Calibri" w:hAnsi="Arial" w:cs="Arial"/>
          <w:color w:val="000000" w:themeColor="text1"/>
          <w:sz w:val="20"/>
          <w:szCs w:val="20"/>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w:t>
      </w:r>
    </w:p>
    <w:p w14:paraId="26158039" w14:textId="77777777" w:rsidR="005D7824" w:rsidRPr="009464D4" w:rsidRDefault="005D7824" w:rsidP="00575591">
      <w:pPr>
        <w:tabs>
          <w:tab w:val="left" w:pos="426"/>
        </w:tabs>
        <w:jc w:val="both"/>
        <w:rPr>
          <w:rFonts w:ascii="Arial" w:eastAsiaTheme="minorHAnsi" w:hAnsi="Arial" w:cs="Arial"/>
          <w:color w:val="000000" w:themeColor="text1"/>
          <w:sz w:val="20"/>
          <w:szCs w:val="20"/>
        </w:rPr>
      </w:pPr>
      <w:bookmarkStart w:id="2" w:name="_Hlk77152637"/>
      <w:bookmarkStart w:id="3" w:name="_Hlk77157066"/>
      <w:bookmarkEnd w:id="1"/>
    </w:p>
    <w:p w14:paraId="21E4C4B4" w14:textId="77777777" w:rsidR="005D7824" w:rsidRPr="00A10464" w:rsidRDefault="005D7824" w:rsidP="00575591">
      <w:pPr>
        <w:tabs>
          <w:tab w:val="left" w:pos="426"/>
        </w:tabs>
        <w:jc w:val="both"/>
        <w:rPr>
          <w:rFonts w:ascii="Arial" w:eastAsia="Calibri" w:hAnsi="Arial" w:cs="Arial"/>
          <w:b/>
          <w:bCs/>
          <w:color w:val="000000" w:themeColor="text1"/>
          <w:sz w:val="22"/>
        </w:rPr>
      </w:pPr>
      <w:r w:rsidRPr="00A10464">
        <w:rPr>
          <w:rFonts w:ascii="Arial" w:eastAsia="Calibri" w:hAnsi="Arial" w:cs="Arial"/>
          <w:b/>
          <w:bCs/>
          <w:color w:val="000000" w:themeColor="text1"/>
          <w:sz w:val="22"/>
        </w:rPr>
        <w:t>LEY DE GARANTÍAS ELECTORALES ‒</w:t>
      </w:r>
      <w:bookmarkEnd w:id="2"/>
      <w:r w:rsidRPr="00A10464">
        <w:rPr>
          <w:rFonts w:ascii="Arial" w:eastAsia="Calibri" w:hAnsi="Arial" w:cs="Arial"/>
          <w:b/>
          <w:bCs/>
          <w:color w:val="000000" w:themeColor="text1"/>
          <w:sz w:val="22"/>
        </w:rPr>
        <w:t xml:space="preserve"> Tipos de restricciones </w:t>
      </w:r>
      <w:bookmarkStart w:id="4" w:name="_Hlk77157034"/>
      <w:r w:rsidRPr="00A10464">
        <w:rPr>
          <w:rFonts w:ascii="Arial" w:eastAsia="Calibri" w:hAnsi="Arial" w:cs="Arial"/>
          <w:b/>
          <w:bCs/>
          <w:color w:val="000000" w:themeColor="text1"/>
          <w:sz w:val="22"/>
        </w:rPr>
        <w:t xml:space="preserve">‒ </w:t>
      </w:r>
      <w:bookmarkStart w:id="5" w:name="_Hlk77153098"/>
      <w:bookmarkEnd w:id="4"/>
      <w:r w:rsidRPr="00A10464">
        <w:rPr>
          <w:rFonts w:ascii="Arial" w:eastAsia="Calibri" w:hAnsi="Arial" w:cs="Arial"/>
          <w:b/>
          <w:bCs/>
          <w:color w:val="000000" w:themeColor="text1"/>
          <w:sz w:val="22"/>
        </w:rPr>
        <w:t xml:space="preserve">Ámbito temporal </w:t>
      </w:r>
      <w:bookmarkEnd w:id="5"/>
    </w:p>
    <w:p w14:paraId="605AF77E" w14:textId="77777777" w:rsidR="005D7824" w:rsidRPr="009464D4" w:rsidRDefault="005D7824" w:rsidP="00575591">
      <w:pPr>
        <w:tabs>
          <w:tab w:val="left" w:pos="426"/>
        </w:tabs>
        <w:jc w:val="both"/>
        <w:rPr>
          <w:rFonts w:ascii="Arial" w:eastAsia="Calibri" w:hAnsi="Arial" w:cs="Arial"/>
          <w:b/>
          <w:bCs/>
          <w:color w:val="000000" w:themeColor="text1"/>
          <w:sz w:val="20"/>
          <w:szCs w:val="20"/>
        </w:rPr>
      </w:pPr>
    </w:p>
    <w:bookmarkEnd w:id="3"/>
    <w:p w14:paraId="1CD58F44" w14:textId="52E19B5D" w:rsidR="005D7824" w:rsidRPr="009464D4" w:rsidRDefault="005D7824" w:rsidP="00575591">
      <w:pPr>
        <w:tabs>
          <w:tab w:val="left" w:pos="426"/>
        </w:tabs>
        <w:jc w:val="both"/>
        <w:rPr>
          <w:rFonts w:ascii="Arial" w:eastAsia="Calibri" w:hAnsi="Arial" w:cs="Arial"/>
          <w:noProof/>
          <w:color w:val="000000" w:themeColor="text1"/>
          <w:sz w:val="20"/>
          <w:szCs w:val="20"/>
          <w:lang w:val="es-ES_tradnl"/>
        </w:rPr>
      </w:pPr>
      <w:r w:rsidRPr="009464D4">
        <w:rPr>
          <w:rFonts w:ascii="Arial" w:eastAsia="Calibri" w:hAnsi="Arial" w:cs="Arial"/>
          <w:noProof/>
          <w:color w:val="000000" w:themeColor="text1"/>
          <w:sz w:val="20"/>
          <w:szCs w:val="20"/>
          <w:lang w:val="es-ES_tradnl"/>
        </w:rPr>
        <w:t xml:space="preserve">[…] </w:t>
      </w:r>
      <w:r w:rsidR="00921FD4" w:rsidRPr="009464D4">
        <w:rPr>
          <w:rFonts w:ascii="Arial" w:eastAsia="Calibri" w:hAnsi="Arial" w:cs="Arial"/>
          <w:noProof/>
          <w:color w:val="000000" w:themeColor="text1"/>
          <w:sz w:val="20"/>
          <w:szCs w:val="20"/>
          <w:lang w:val="es-ES_tradnl"/>
        </w:rPr>
        <w:t>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7E5EC29" w14:textId="77777777" w:rsidR="005D7824" w:rsidRPr="009464D4" w:rsidRDefault="005D7824" w:rsidP="00575591">
      <w:pPr>
        <w:tabs>
          <w:tab w:val="left" w:pos="426"/>
        </w:tabs>
        <w:jc w:val="both"/>
        <w:rPr>
          <w:rFonts w:ascii="Arial" w:eastAsia="Calibri" w:hAnsi="Arial" w:cs="Arial"/>
          <w:noProof/>
          <w:color w:val="000000" w:themeColor="text1"/>
          <w:sz w:val="20"/>
          <w:szCs w:val="20"/>
          <w:lang w:val="es-ES_tradnl"/>
        </w:rPr>
      </w:pPr>
    </w:p>
    <w:p w14:paraId="5AA1AD2C" w14:textId="77777777" w:rsidR="005D7824" w:rsidRPr="009464D4" w:rsidRDefault="005D7824" w:rsidP="00575591">
      <w:pPr>
        <w:tabs>
          <w:tab w:val="left" w:pos="426"/>
        </w:tabs>
        <w:jc w:val="both"/>
        <w:rPr>
          <w:rFonts w:ascii="Arial" w:eastAsia="Calibri" w:hAnsi="Arial" w:cs="Arial"/>
          <w:b/>
          <w:bCs/>
          <w:color w:val="000000" w:themeColor="text1"/>
          <w:sz w:val="20"/>
          <w:szCs w:val="20"/>
        </w:rPr>
      </w:pPr>
      <w:bookmarkStart w:id="6" w:name="_Hlk77165666"/>
      <w:r w:rsidRPr="00A10464">
        <w:rPr>
          <w:rFonts w:ascii="Arial" w:eastAsia="Calibri" w:hAnsi="Arial" w:cs="Arial"/>
          <w:b/>
          <w:bCs/>
          <w:color w:val="000000" w:themeColor="text1"/>
          <w:sz w:val="22"/>
        </w:rPr>
        <w:t xml:space="preserve">LEY DE GARANTÍAS ELECTORALES ─ Prohibición ‒ </w:t>
      </w:r>
      <w:bookmarkEnd w:id="6"/>
      <w:r w:rsidRPr="00A10464">
        <w:rPr>
          <w:rFonts w:ascii="Arial" w:eastAsia="Calibri" w:hAnsi="Arial" w:cs="Arial"/>
          <w:b/>
          <w:bCs/>
          <w:color w:val="000000" w:themeColor="text1"/>
          <w:sz w:val="22"/>
        </w:rPr>
        <w:t xml:space="preserve">Contratación directa ‒ Alcance </w:t>
      </w:r>
    </w:p>
    <w:p w14:paraId="077D4761" w14:textId="77777777" w:rsidR="005D7824" w:rsidRPr="009464D4" w:rsidRDefault="005D7824" w:rsidP="00575591">
      <w:pPr>
        <w:tabs>
          <w:tab w:val="left" w:pos="426"/>
        </w:tabs>
        <w:jc w:val="both"/>
        <w:rPr>
          <w:rFonts w:ascii="Arial" w:eastAsia="Calibri" w:hAnsi="Arial" w:cs="Arial"/>
          <w:noProof/>
          <w:color w:val="000000" w:themeColor="text1"/>
          <w:sz w:val="20"/>
          <w:szCs w:val="20"/>
        </w:rPr>
      </w:pPr>
    </w:p>
    <w:p w14:paraId="6C281845" w14:textId="36F721F8" w:rsidR="005D7824" w:rsidRPr="009464D4" w:rsidRDefault="005D7824" w:rsidP="00575591">
      <w:pPr>
        <w:tabs>
          <w:tab w:val="left" w:pos="426"/>
        </w:tabs>
        <w:jc w:val="both"/>
        <w:rPr>
          <w:rFonts w:ascii="Arial" w:eastAsia="Times New Roman" w:hAnsi="Arial" w:cs="Arial"/>
          <w:color w:val="000000" w:themeColor="text1"/>
          <w:sz w:val="20"/>
          <w:szCs w:val="20"/>
          <w:lang w:eastAsia="es-ES"/>
        </w:rPr>
      </w:pPr>
      <w:r w:rsidRPr="009464D4">
        <w:rPr>
          <w:rFonts w:ascii="Arial" w:eastAsia="Calibri" w:hAnsi="Arial" w:cs="Arial"/>
          <w:noProof/>
          <w:color w:val="000000" w:themeColor="text1"/>
          <w:sz w:val="20"/>
          <w:szCs w:val="20"/>
        </w:rPr>
        <w:t xml:space="preserve">[…] </w:t>
      </w:r>
      <w:r w:rsidR="001A45B2" w:rsidRPr="009464D4">
        <w:rPr>
          <w:rFonts w:ascii="Arial" w:eastAsia="Calibri" w:hAnsi="Arial" w:cs="Arial"/>
          <w:noProof/>
          <w:color w:val="000000" w:themeColor="text1"/>
          <w:sz w:val="20"/>
          <w:szCs w:val="20"/>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el concurso de méritos, la mínima cuantía u otros previstos en normas especiales.</w:t>
      </w:r>
    </w:p>
    <w:p w14:paraId="59380C92" w14:textId="77777777" w:rsidR="005D7824" w:rsidRPr="009464D4" w:rsidRDefault="005D7824" w:rsidP="00575591">
      <w:pPr>
        <w:tabs>
          <w:tab w:val="left" w:pos="426"/>
        </w:tabs>
        <w:jc w:val="both"/>
        <w:rPr>
          <w:rFonts w:ascii="Arial" w:eastAsia="Times New Roman" w:hAnsi="Arial" w:cs="Arial"/>
          <w:color w:val="000000" w:themeColor="text1"/>
          <w:sz w:val="20"/>
          <w:szCs w:val="20"/>
          <w:lang w:val="es-CO" w:eastAsia="es-ES"/>
        </w:rPr>
      </w:pPr>
      <w:r w:rsidRPr="009464D4">
        <w:rPr>
          <w:rFonts w:ascii="Arial" w:eastAsia="Times New Roman" w:hAnsi="Arial" w:cs="Arial"/>
          <w:color w:val="000000" w:themeColor="text1"/>
          <w:sz w:val="20"/>
          <w:szCs w:val="20"/>
          <w:lang w:val="es-CO" w:eastAsia="es-ES"/>
        </w:rPr>
        <w:t xml:space="preserve">  </w:t>
      </w:r>
    </w:p>
    <w:p w14:paraId="56472078" w14:textId="5537F33C" w:rsidR="005D7824" w:rsidRPr="00A10464" w:rsidRDefault="005D7824" w:rsidP="00575591">
      <w:pPr>
        <w:shd w:val="clear" w:color="auto" w:fill="FFFFFF"/>
        <w:jc w:val="both"/>
        <w:rPr>
          <w:rFonts w:ascii="Arial" w:eastAsia="Times New Roman" w:hAnsi="Arial" w:cs="Arial"/>
          <w:color w:val="000000" w:themeColor="text1"/>
          <w:sz w:val="22"/>
          <w:lang w:val="es-CO" w:eastAsia="es-CO"/>
        </w:rPr>
      </w:pPr>
      <w:r w:rsidRPr="00A10464">
        <w:rPr>
          <w:rFonts w:ascii="Arial" w:eastAsia="Times New Roman" w:hAnsi="Arial" w:cs="Arial"/>
          <w:b/>
          <w:bCs/>
          <w:color w:val="000000" w:themeColor="text1"/>
          <w:sz w:val="22"/>
          <w:lang w:val="es-CO" w:eastAsia="es-CO"/>
        </w:rPr>
        <w:t xml:space="preserve">LEY DE GARANTÍAS ELECTORALES </w:t>
      </w:r>
      <w:bookmarkStart w:id="7" w:name="_Hlk77022358"/>
      <w:r w:rsidRPr="00A10464">
        <w:rPr>
          <w:rFonts w:ascii="Arial" w:eastAsia="Times New Roman" w:hAnsi="Arial" w:cs="Arial"/>
          <w:b/>
          <w:bCs/>
          <w:color w:val="000000" w:themeColor="text1"/>
          <w:sz w:val="22"/>
          <w:lang w:val="es-CO" w:eastAsia="es-CO"/>
        </w:rPr>
        <w:t>‒</w:t>
      </w:r>
      <w:bookmarkEnd w:id="7"/>
      <w:r w:rsidRPr="00A10464">
        <w:rPr>
          <w:rFonts w:ascii="Arial" w:eastAsia="Times New Roman" w:hAnsi="Arial" w:cs="Arial"/>
          <w:b/>
          <w:bCs/>
          <w:color w:val="000000" w:themeColor="text1"/>
          <w:sz w:val="22"/>
          <w:lang w:val="es-CO" w:eastAsia="es-CO"/>
        </w:rPr>
        <w:t xml:space="preserve"> </w:t>
      </w:r>
      <w:r w:rsidR="00757202" w:rsidRPr="00A10464">
        <w:rPr>
          <w:rFonts w:ascii="Arial" w:eastAsia="Times New Roman" w:hAnsi="Arial" w:cs="Arial"/>
          <w:b/>
          <w:bCs/>
          <w:color w:val="000000" w:themeColor="text1"/>
          <w:sz w:val="22"/>
          <w:lang w:val="es-CO" w:eastAsia="es-CO"/>
        </w:rPr>
        <w:t xml:space="preserve">Artículo 33– </w:t>
      </w:r>
      <w:r w:rsidRPr="00A10464">
        <w:rPr>
          <w:rFonts w:ascii="Arial" w:eastAsia="Times New Roman" w:hAnsi="Arial" w:cs="Arial"/>
          <w:b/>
          <w:bCs/>
          <w:color w:val="000000" w:themeColor="text1"/>
          <w:sz w:val="22"/>
          <w:lang w:val="es-CO" w:eastAsia="es-CO"/>
        </w:rPr>
        <w:t>Excepciones</w:t>
      </w:r>
      <w:r w:rsidRPr="00A10464">
        <w:rPr>
          <w:rFonts w:ascii="Arial" w:eastAsia="Times New Roman" w:hAnsi="Arial" w:cs="Arial"/>
          <w:color w:val="000000" w:themeColor="text1"/>
          <w:sz w:val="22"/>
          <w:lang w:val="es-CO" w:eastAsia="es-CO"/>
        </w:rPr>
        <w:t xml:space="preserve"> </w:t>
      </w:r>
    </w:p>
    <w:p w14:paraId="01B576DC" w14:textId="77777777" w:rsidR="005D7824" w:rsidRPr="009464D4" w:rsidRDefault="005D7824" w:rsidP="00575591">
      <w:pPr>
        <w:shd w:val="clear" w:color="auto" w:fill="FFFFFF"/>
        <w:jc w:val="both"/>
        <w:rPr>
          <w:rFonts w:ascii="Arial" w:eastAsia="Times New Roman" w:hAnsi="Arial" w:cs="Arial"/>
          <w:color w:val="000000" w:themeColor="text1"/>
          <w:sz w:val="20"/>
          <w:szCs w:val="20"/>
          <w:lang w:val="es-CO" w:eastAsia="es-CO"/>
        </w:rPr>
      </w:pPr>
    </w:p>
    <w:p w14:paraId="299D928A" w14:textId="3B01DDD2" w:rsidR="005D7824" w:rsidRPr="009464D4" w:rsidRDefault="003E0EE9" w:rsidP="00575591">
      <w:pPr>
        <w:tabs>
          <w:tab w:val="left" w:pos="426"/>
        </w:tabs>
        <w:jc w:val="both"/>
        <w:rPr>
          <w:rFonts w:ascii="Arial" w:eastAsiaTheme="minorHAnsi" w:hAnsi="Arial" w:cs="Arial"/>
          <w:color w:val="000000" w:themeColor="text1"/>
          <w:sz w:val="20"/>
          <w:szCs w:val="20"/>
        </w:rPr>
      </w:pPr>
      <w:r w:rsidRPr="009464D4">
        <w:rPr>
          <w:rFonts w:ascii="Arial" w:eastAsia="Times New Roman" w:hAnsi="Arial" w:cs="Arial"/>
          <w:color w:val="000000" w:themeColor="text1"/>
          <w:sz w:val="20"/>
          <w:szCs w:val="20"/>
          <w:lang w:val="es-CO"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9464D4">
        <w:rPr>
          <w:rFonts w:ascii="Arial" w:eastAsia="Times New Roman" w:hAnsi="Arial" w:cs="Arial"/>
          <w:color w:val="000000" w:themeColor="text1"/>
          <w:sz w:val="20"/>
          <w:szCs w:val="20"/>
          <w:lang w:val="es-CO" w:eastAsia="x-none"/>
        </w:rPr>
        <w:t>ii</w:t>
      </w:r>
      <w:proofErr w:type="spellEnd"/>
      <w:r w:rsidRPr="009464D4">
        <w:rPr>
          <w:rFonts w:ascii="Arial" w:eastAsia="Times New Roman" w:hAnsi="Arial" w:cs="Arial"/>
          <w:color w:val="000000" w:themeColor="text1"/>
          <w:sz w:val="20"/>
          <w:szCs w:val="20"/>
          <w:lang w:val="es-CO" w:eastAsia="x-none"/>
        </w:rPr>
        <w:t xml:space="preserve">) los contratos de crédito público; </w:t>
      </w:r>
      <w:proofErr w:type="spellStart"/>
      <w:r w:rsidRPr="009464D4">
        <w:rPr>
          <w:rFonts w:ascii="Arial" w:eastAsia="Times New Roman" w:hAnsi="Arial" w:cs="Arial"/>
          <w:color w:val="000000" w:themeColor="text1"/>
          <w:sz w:val="20"/>
          <w:szCs w:val="20"/>
          <w:lang w:val="es-CO" w:eastAsia="x-none"/>
        </w:rPr>
        <w:t>iii</w:t>
      </w:r>
      <w:proofErr w:type="spellEnd"/>
      <w:r w:rsidRPr="009464D4">
        <w:rPr>
          <w:rFonts w:ascii="Arial" w:eastAsia="Times New Roman" w:hAnsi="Arial" w:cs="Arial"/>
          <w:color w:val="000000" w:themeColor="text1"/>
          <w:sz w:val="20"/>
          <w:szCs w:val="20"/>
          <w:lang w:val="es-CO" w:eastAsia="x-none"/>
        </w:rPr>
        <w:t xml:space="preserve">) los requeridos para cubrir las emergencias educativas, sanitarias y desastres; </w:t>
      </w:r>
      <w:proofErr w:type="spellStart"/>
      <w:r w:rsidRPr="009464D4">
        <w:rPr>
          <w:rFonts w:ascii="Arial" w:eastAsia="Times New Roman" w:hAnsi="Arial" w:cs="Arial"/>
          <w:color w:val="000000" w:themeColor="text1"/>
          <w:sz w:val="20"/>
          <w:szCs w:val="20"/>
          <w:lang w:val="es-CO" w:eastAsia="x-none"/>
        </w:rPr>
        <w:t>iv</w:t>
      </w:r>
      <w:proofErr w:type="spellEnd"/>
      <w:r w:rsidRPr="009464D4">
        <w:rPr>
          <w:rFonts w:ascii="Arial" w:eastAsia="Times New Roman" w:hAnsi="Arial" w:cs="Arial"/>
          <w:color w:val="000000" w:themeColor="text1"/>
          <w:sz w:val="20"/>
          <w:szCs w:val="20"/>
          <w:lang w:val="es-CO"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D0B8FF4" w14:textId="77777777" w:rsidR="005D7824" w:rsidRPr="009464D4" w:rsidRDefault="005D7824" w:rsidP="00575591">
      <w:pPr>
        <w:tabs>
          <w:tab w:val="left" w:pos="426"/>
        </w:tabs>
        <w:jc w:val="both"/>
        <w:rPr>
          <w:rFonts w:ascii="Arial" w:eastAsia="Calibri" w:hAnsi="Arial" w:cs="Arial"/>
          <w:noProof/>
          <w:color w:val="000000" w:themeColor="text1"/>
          <w:sz w:val="20"/>
          <w:szCs w:val="20"/>
          <w:lang w:val="es-CO"/>
        </w:rPr>
      </w:pPr>
    </w:p>
    <w:p w14:paraId="5F9E499F" w14:textId="77777777" w:rsidR="005D7824" w:rsidRPr="00A10464" w:rsidRDefault="005D7824" w:rsidP="00575591">
      <w:pPr>
        <w:jc w:val="both"/>
        <w:rPr>
          <w:rFonts w:ascii="Arial" w:eastAsia="Times New Roman" w:hAnsi="Arial" w:cs="Arial"/>
          <w:b/>
          <w:color w:val="000000" w:themeColor="text1"/>
          <w:sz w:val="22"/>
          <w:lang w:val="es-ES" w:eastAsia="es-CO"/>
        </w:rPr>
      </w:pPr>
      <w:r w:rsidRPr="00A10464">
        <w:rPr>
          <w:rFonts w:ascii="Arial" w:eastAsia="Times New Roman" w:hAnsi="Arial" w:cs="Arial"/>
          <w:b/>
          <w:bCs/>
          <w:color w:val="000000" w:themeColor="text1"/>
          <w:sz w:val="22"/>
          <w:lang w:val="es-CO" w:eastAsia="es-CO"/>
        </w:rPr>
        <w:t xml:space="preserve">LEY DE GARANTÍAS ELECTORALES </w:t>
      </w:r>
      <w:bookmarkStart w:id="8" w:name="_Hlk77166669"/>
      <w:r w:rsidRPr="00A10464">
        <w:rPr>
          <w:rFonts w:ascii="Arial" w:eastAsia="Times New Roman" w:hAnsi="Arial" w:cs="Arial"/>
          <w:b/>
          <w:bCs/>
          <w:color w:val="000000" w:themeColor="text1"/>
          <w:sz w:val="22"/>
          <w:lang w:val="es-CO" w:eastAsia="es-CO"/>
        </w:rPr>
        <w:t>‒</w:t>
      </w:r>
      <w:bookmarkEnd w:id="8"/>
      <w:r w:rsidRPr="00A10464">
        <w:rPr>
          <w:rFonts w:ascii="Arial" w:eastAsia="Times New Roman" w:hAnsi="Arial" w:cs="Arial"/>
          <w:b/>
          <w:bCs/>
          <w:color w:val="000000" w:themeColor="text1"/>
          <w:sz w:val="22"/>
          <w:lang w:val="es-CO" w:eastAsia="es-CO"/>
        </w:rPr>
        <w:t xml:space="preserve"> </w:t>
      </w:r>
      <w:r w:rsidRPr="00A10464">
        <w:rPr>
          <w:rFonts w:ascii="Arial" w:eastAsia="Times New Roman" w:hAnsi="Arial" w:cs="Arial"/>
          <w:b/>
          <w:color w:val="000000" w:themeColor="text1"/>
          <w:sz w:val="22"/>
          <w:lang w:val="es-ES" w:eastAsia="es-CO"/>
        </w:rPr>
        <w:t xml:space="preserve">Prohibición del artículo 33 de la Ley de garantías </w:t>
      </w:r>
      <w:r w:rsidRPr="00A10464">
        <w:rPr>
          <w:rFonts w:ascii="Arial" w:eastAsia="Times New Roman" w:hAnsi="Arial" w:cs="Arial"/>
          <w:b/>
          <w:bCs/>
          <w:color w:val="000000" w:themeColor="text1"/>
          <w:sz w:val="22"/>
          <w:lang w:val="es-CO" w:eastAsia="es-CO"/>
        </w:rPr>
        <w:t>‒ Destinatarios</w:t>
      </w:r>
    </w:p>
    <w:p w14:paraId="567B4BA0" w14:textId="77777777" w:rsidR="005D7824" w:rsidRPr="009464D4" w:rsidRDefault="005D7824" w:rsidP="00575591">
      <w:pPr>
        <w:tabs>
          <w:tab w:val="left" w:pos="426"/>
        </w:tabs>
        <w:jc w:val="both"/>
        <w:rPr>
          <w:rFonts w:ascii="Arial" w:eastAsia="Calibri" w:hAnsi="Arial" w:cs="Arial"/>
          <w:noProof/>
          <w:color w:val="000000" w:themeColor="text1"/>
          <w:sz w:val="20"/>
          <w:szCs w:val="20"/>
          <w:lang w:val="es-ES"/>
        </w:rPr>
      </w:pPr>
    </w:p>
    <w:p w14:paraId="5311246C" w14:textId="1E77DA1F" w:rsidR="005D7824" w:rsidRPr="009464D4" w:rsidRDefault="00A569C7" w:rsidP="00575591">
      <w:pPr>
        <w:tabs>
          <w:tab w:val="left" w:pos="426"/>
        </w:tabs>
        <w:jc w:val="both"/>
        <w:rPr>
          <w:rFonts w:ascii="Arial" w:eastAsia="Calibri" w:hAnsi="Arial" w:cs="Arial"/>
          <w:noProof/>
          <w:color w:val="000000" w:themeColor="text1"/>
          <w:sz w:val="20"/>
          <w:szCs w:val="20"/>
          <w:lang w:val="es-CO"/>
        </w:rPr>
      </w:pPr>
      <w:r w:rsidRPr="009464D4">
        <w:rPr>
          <w:rFonts w:ascii="Arial" w:eastAsia="Calibri" w:hAnsi="Arial" w:cs="Arial"/>
          <w:noProof/>
          <w:color w:val="000000" w:themeColor="text1"/>
          <w:sz w:val="20"/>
          <w:szCs w:val="20"/>
          <w:lang w:val="es-CO"/>
        </w:rPr>
        <w:lastRenderedPageBreak/>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3AF2145" w14:textId="77777777" w:rsidR="005D7824" w:rsidRPr="009464D4" w:rsidRDefault="005D7824" w:rsidP="00575591">
      <w:pPr>
        <w:tabs>
          <w:tab w:val="left" w:pos="426"/>
        </w:tabs>
        <w:jc w:val="both"/>
        <w:rPr>
          <w:rFonts w:ascii="Arial" w:eastAsia="Calibri" w:hAnsi="Arial" w:cs="Arial"/>
          <w:noProof/>
          <w:color w:val="000000" w:themeColor="text1"/>
          <w:sz w:val="20"/>
          <w:szCs w:val="20"/>
          <w:lang w:val="es-ES"/>
        </w:rPr>
      </w:pPr>
    </w:p>
    <w:p w14:paraId="009C2C56" w14:textId="77777777" w:rsidR="005D7824" w:rsidRPr="00A10464" w:rsidRDefault="005D7824" w:rsidP="00575591">
      <w:pPr>
        <w:tabs>
          <w:tab w:val="left" w:pos="426"/>
        </w:tabs>
        <w:jc w:val="both"/>
        <w:rPr>
          <w:rFonts w:ascii="Arial" w:eastAsia="Calibri" w:hAnsi="Arial" w:cs="Arial"/>
          <w:b/>
          <w:bCs/>
          <w:color w:val="000000" w:themeColor="text1"/>
          <w:sz w:val="22"/>
        </w:rPr>
      </w:pPr>
      <w:r w:rsidRPr="00A10464">
        <w:rPr>
          <w:rFonts w:ascii="Arial" w:eastAsia="Calibri" w:hAnsi="Arial" w:cs="Arial"/>
          <w:b/>
          <w:bCs/>
          <w:color w:val="000000" w:themeColor="text1"/>
          <w:sz w:val="22"/>
        </w:rPr>
        <w:t>LEY DE GARANTÍAS ELECTORALES ‒ Prohibición comicios cargos de elección popular – Convenios y contratos interadministrativos</w:t>
      </w:r>
    </w:p>
    <w:p w14:paraId="025D91AC" w14:textId="77777777" w:rsidR="005D7824" w:rsidRPr="009464D4" w:rsidRDefault="005D7824" w:rsidP="00575591">
      <w:pPr>
        <w:tabs>
          <w:tab w:val="left" w:pos="426"/>
        </w:tabs>
        <w:jc w:val="both"/>
        <w:rPr>
          <w:rFonts w:ascii="Arial" w:eastAsia="Calibri" w:hAnsi="Arial" w:cs="Arial"/>
          <w:color w:val="000000" w:themeColor="text1"/>
          <w:sz w:val="20"/>
          <w:szCs w:val="20"/>
        </w:rPr>
      </w:pPr>
    </w:p>
    <w:p w14:paraId="5AAA3053" w14:textId="3016AC55" w:rsidR="005D7824" w:rsidRPr="009464D4" w:rsidRDefault="00A569C7" w:rsidP="00575591">
      <w:pPr>
        <w:tabs>
          <w:tab w:val="left" w:pos="426"/>
        </w:tabs>
        <w:jc w:val="both"/>
        <w:rPr>
          <w:rFonts w:ascii="Arial" w:eastAsia="Calibri" w:hAnsi="Arial" w:cs="Arial"/>
          <w:color w:val="000000" w:themeColor="text1"/>
          <w:sz w:val="20"/>
          <w:szCs w:val="20"/>
        </w:rPr>
      </w:pPr>
      <w:r w:rsidRPr="009464D4">
        <w:rPr>
          <w:rFonts w:ascii="Arial" w:eastAsia="Calibri" w:hAnsi="Arial" w:cs="Arial"/>
          <w:color w:val="000000" w:themeColor="text1"/>
          <w:sz w:val="20"/>
          <w:szCs w:val="20"/>
        </w:rPr>
        <w:t>[…] Los convenios o contratos interadministrativos que se restringen en el parágrafo del artículo 38 de la Ley 996 de 2005, son aquellos en que se dispone la ejecución de recursos públicos, para evitar que mediante la suscripción de estos se comprometa el erario con fines políticos o partidistas</w:t>
      </w:r>
      <w:r w:rsidR="005D7824" w:rsidRPr="009464D4">
        <w:rPr>
          <w:rFonts w:ascii="Arial" w:eastAsia="Calibri" w:hAnsi="Arial" w:cs="Arial"/>
          <w:color w:val="000000" w:themeColor="text1"/>
          <w:sz w:val="20"/>
          <w:szCs w:val="20"/>
        </w:rPr>
        <w:t>.</w:t>
      </w:r>
    </w:p>
    <w:p w14:paraId="4E0CD85F" w14:textId="77777777" w:rsidR="005D7824" w:rsidRPr="009464D4" w:rsidRDefault="005D7824" w:rsidP="00575591">
      <w:pPr>
        <w:jc w:val="both"/>
        <w:rPr>
          <w:rFonts w:ascii="Arial" w:eastAsia="Calibri" w:hAnsi="Arial" w:cs="Arial"/>
          <w:b/>
          <w:color w:val="000000" w:themeColor="text1"/>
          <w:sz w:val="20"/>
          <w:szCs w:val="20"/>
        </w:rPr>
      </w:pPr>
    </w:p>
    <w:p w14:paraId="5DD59B89" w14:textId="77777777" w:rsidR="005D7824" w:rsidRPr="00A10464" w:rsidRDefault="005D7824" w:rsidP="00575591">
      <w:pPr>
        <w:jc w:val="both"/>
        <w:rPr>
          <w:rFonts w:ascii="Arial" w:eastAsia="Calibri" w:hAnsi="Arial" w:cs="Arial"/>
          <w:b/>
          <w:color w:val="000000" w:themeColor="text1"/>
          <w:sz w:val="22"/>
        </w:rPr>
      </w:pPr>
      <w:r w:rsidRPr="00A10464">
        <w:rPr>
          <w:rFonts w:ascii="Arial" w:eastAsia="Calibri" w:hAnsi="Arial" w:cs="Arial"/>
          <w:b/>
          <w:color w:val="000000" w:themeColor="text1"/>
          <w:sz w:val="22"/>
        </w:rPr>
        <w:t xml:space="preserve">CONTRATOS Y </w:t>
      </w:r>
      <w:r w:rsidRPr="00A10464">
        <w:rPr>
          <w:rFonts w:ascii="Arial" w:eastAsiaTheme="minorHAnsi" w:hAnsi="Arial" w:cs="Arial"/>
          <w:b/>
          <w:color w:val="000000" w:themeColor="text1"/>
          <w:sz w:val="22"/>
        </w:rPr>
        <w:t xml:space="preserve">CONVENIOS INTERADMINISTRATIVOS </w:t>
      </w:r>
      <w:r w:rsidRPr="00A10464">
        <w:rPr>
          <w:rFonts w:ascii="Arial" w:eastAsia="Calibri" w:hAnsi="Arial" w:cs="Arial"/>
          <w:b/>
          <w:color w:val="000000" w:themeColor="text1"/>
          <w:sz w:val="22"/>
        </w:rPr>
        <w:t xml:space="preserve">– Definición – Criterio orgánico </w:t>
      </w:r>
    </w:p>
    <w:p w14:paraId="66BCCD9B" w14:textId="77777777" w:rsidR="005D7824" w:rsidRPr="009464D4" w:rsidRDefault="005D7824" w:rsidP="00575591">
      <w:pPr>
        <w:jc w:val="both"/>
        <w:rPr>
          <w:rFonts w:ascii="Arial" w:eastAsia="Calibri" w:hAnsi="Arial" w:cs="Arial"/>
          <w:bCs/>
          <w:color w:val="000000" w:themeColor="text1"/>
          <w:sz w:val="20"/>
          <w:szCs w:val="20"/>
        </w:rPr>
      </w:pPr>
    </w:p>
    <w:p w14:paraId="7428904B" w14:textId="3CD9507E" w:rsidR="005D7824" w:rsidRPr="009464D4" w:rsidRDefault="005D7824" w:rsidP="00575591">
      <w:pPr>
        <w:jc w:val="both"/>
        <w:rPr>
          <w:rFonts w:ascii="Arial" w:eastAsia="Calibri" w:hAnsi="Arial" w:cs="Arial"/>
          <w:bCs/>
          <w:color w:val="000000" w:themeColor="text1"/>
          <w:sz w:val="20"/>
          <w:szCs w:val="20"/>
        </w:rPr>
      </w:pPr>
      <w:r w:rsidRPr="009464D4">
        <w:rPr>
          <w:rFonts w:ascii="Arial" w:eastAsia="Calibri" w:hAnsi="Arial" w:cs="Arial"/>
          <w:bCs/>
          <w:color w:val="000000" w:themeColor="text1"/>
          <w:sz w:val="20"/>
          <w:szCs w:val="20"/>
        </w:rPr>
        <w:t xml:space="preserve">[…] </w:t>
      </w:r>
      <w:r w:rsidR="00A569C7" w:rsidRPr="009464D4">
        <w:rPr>
          <w:rFonts w:ascii="Arial" w:eastAsia="Calibri" w:hAnsi="Arial" w:cs="Arial"/>
          <w:bCs/>
          <w:color w:val="000000" w:themeColor="text1"/>
          <w:sz w:val="20"/>
          <w:szCs w:val="20"/>
        </w:rPr>
        <w:t>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5334770B" w14:textId="77777777" w:rsidR="005D7824" w:rsidRPr="009464D4" w:rsidRDefault="005D7824" w:rsidP="00575591">
      <w:pPr>
        <w:jc w:val="both"/>
        <w:rPr>
          <w:rFonts w:ascii="Arial" w:eastAsia="Calibri" w:hAnsi="Arial" w:cs="Arial"/>
          <w:bCs/>
          <w:color w:val="000000" w:themeColor="text1"/>
          <w:sz w:val="20"/>
          <w:szCs w:val="20"/>
        </w:rPr>
      </w:pPr>
    </w:p>
    <w:p w14:paraId="1EC7CD1F" w14:textId="77777777" w:rsidR="005D7824" w:rsidRPr="00A10464" w:rsidRDefault="005D7824" w:rsidP="00575591">
      <w:pPr>
        <w:jc w:val="both"/>
        <w:rPr>
          <w:rFonts w:ascii="Arial" w:eastAsia="Calibri" w:hAnsi="Arial" w:cs="Arial"/>
          <w:b/>
          <w:color w:val="000000" w:themeColor="text1"/>
          <w:sz w:val="22"/>
        </w:rPr>
      </w:pPr>
      <w:bookmarkStart w:id="9" w:name="_Hlk77090091"/>
      <w:r w:rsidRPr="00A10464">
        <w:rPr>
          <w:rFonts w:ascii="Arial" w:eastAsia="Calibri" w:hAnsi="Arial" w:cs="Arial"/>
          <w:b/>
          <w:color w:val="000000" w:themeColor="text1"/>
          <w:sz w:val="22"/>
        </w:rPr>
        <w:t xml:space="preserve">CONTRATOS Y </w:t>
      </w:r>
      <w:r w:rsidRPr="00A10464">
        <w:rPr>
          <w:rFonts w:ascii="Arial" w:eastAsiaTheme="minorHAnsi" w:hAnsi="Arial" w:cs="Arial"/>
          <w:b/>
          <w:color w:val="000000" w:themeColor="text1"/>
          <w:sz w:val="22"/>
        </w:rPr>
        <w:t xml:space="preserve">CONVENIOS INTERADMINISTRATIVOS </w:t>
      </w:r>
      <w:bookmarkStart w:id="10" w:name="_Hlk77089669"/>
      <w:r w:rsidRPr="00A10464">
        <w:rPr>
          <w:rFonts w:ascii="Arial" w:eastAsia="Calibri" w:hAnsi="Arial" w:cs="Arial"/>
          <w:b/>
          <w:color w:val="000000" w:themeColor="text1"/>
          <w:sz w:val="22"/>
        </w:rPr>
        <w:t>–</w:t>
      </w:r>
      <w:bookmarkEnd w:id="9"/>
      <w:bookmarkEnd w:id="10"/>
      <w:r w:rsidRPr="00A10464">
        <w:rPr>
          <w:rFonts w:ascii="Arial" w:eastAsia="Calibri" w:hAnsi="Arial" w:cs="Arial"/>
          <w:b/>
          <w:color w:val="000000" w:themeColor="text1"/>
          <w:sz w:val="22"/>
        </w:rPr>
        <w:t xml:space="preserve"> Entidades con régimen especial de contratación – Procedencia</w:t>
      </w:r>
    </w:p>
    <w:p w14:paraId="7214D5DB" w14:textId="77777777" w:rsidR="005D7824" w:rsidRPr="009464D4" w:rsidRDefault="005D7824" w:rsidP="00575591">
      <w:pPr>
        <w:jc w:val="both"/>
        <w:rPr>
          <w:rFonts w:ascii="Arial" w:eastAsia="Calibri" w:hAnsi="Arial" w:cs="Arial"/>
          <w:bCs/>
          <w:color w:val="000000" w:themeColor="text1"/>
          <w:sz w:val="20"/>
          <w:szCs w:val="20"/>
        </w:rPr>
      </w:pPr>
    </w:p>
    <w:p w14:paraId="245D2A39" w14:textId="6540B7C5" w:rsidR="005D7824" w:rsidRPr="009464D4" w:rsidRDefault="00460194" w:rsidP="00575591">
      <w:pPr>
        <w:tabs>
          <w:tab w:val="left" w:pos="426"/>
        </w:tabs>
        <w:jc w:val="both"/>
        <w:rPr>
          <w:rFonts w:ascii="Arial" w:eastAsia="Calibri" w:hAnsi="Arial" w:cs="Arial"/>
          <w:color w:val="000000" w:themeColor="text1"/>
          <w:sz w:val="20"/>
          <w:szCs w:val="20"/>
          <w:lang w:val="es-ES"/>
        </w:rPr>
      </w:pPr>
      <w:r w:rsidRPr="009464D4">
        <w:rPr>
          <w:rFonts w:ascii="Arial" w:eastAsia="Calibri" w:hAnsi="Arial" w:cs="Arial"/>
          <w:bCs/>
          <w:color w:val="000000" w:themeColor="text1"/>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25298355" w14:textId="77777777" w:rsidR="005D7824" w:rsidRPr="009464D4" w:rsidRDefault="005D7824" w:rsidP="00575591">
      <w:pPr>
        <w:jc w:val="both"/>
        <w:rPr>
          <w:rFonts w:ascii="Arial" w:eastAsia="Calibri" w:hAnsi="Arial" w:cs="Arial"/>
          <w:b/>
          <w:color w:val="000000" w:themeColor="text1"/>
          <w:sz w:val="20"/>
          <w:szCs w:val="20"/>
          <w:lang w:val="es-ES"/>
        </w:rPr>
      </w:pPr>
    </w:p>
    <w:p w14:paraId="44A01750" w14:textId="77777777" w:rsidR="005D7824" w:rsidRPr="00A10464" w:rsidRDefault="005D7824" w:rsidP="00575591">
      <w:pPr>
        <w:jc w:val="both"/>
        <w:rPr>
          <w:rFonts w:ascii="Arial" w:eastAsiaTheme="minorHAnsi" w:hAnsi="Arial" w:cs="Arial"/>
          <w:b/>
          <w:color w:val="000000" w:themeColor="text1"/>
          <w:sz w:val="22"/>
        </w:rPr>
      </w:pPr>
      <w:r w:rsidRPr="00A10464">
        <w:rPr>
          <w:rFonts w:ascii="Arial" w:eastAsia="Calibri" w:hAnsi="Arial" w:cs="Arial"/>
          <w:b/>
          <w:color w:val="000000" w:themeColor="text1"/>
          <w:sz w:val="22"/>
        </w:rPr>
        <w:t xml:space="preserve">CONTRATOS Y </w:t>
      </w:r>
      <w:r w:rsidRPr="00A10464">
        <w:rPr>
          <w:rFonts w:ascii="Arial" w:eastAsiaTheme="minorHAnsi" w:hAnsi="Arial" w:cs="Arial"/>
          <w:b/>
          <w:color w:val="000000" w:themeColor="text1"/>
          <w:sz w:val="22"/>
        </w:rPr>
        <w:t>CONVENIOS INTERADMINISTRATIVOS – Modalidad de selección</w:t>
      </w:r>
    </w:p>
    <w:p w14:paraId="4CAB442F" w14:textId="77777777" w:rsidR="005D7824" w:rsidRPr="009464D4" w:rsidRDefault="005D7824" w:rsidP="00575591">
      <w:pPr>
        <w:jc w:val="both"/>
        <w:rPr>
          <w:rFonts w:ascii="Arial" w:eastAsiaTheme="minorHAnsi" w:hAnsi="Arial" w:cs="Arial"/>
          <w:b/>
          <w:color w:val="000000" w:themeColor="text1"/>
          <w:sz w:val="20"/>
          <w:szCs w:val="20"/>
        </w:rPr>
      </w:pPr>
    </w:p>
    <w:p w14:paraId="61639D08" w14:textId="221D6B7F" w:rsidR="005D7824" w:rsidRPr="009464D4" w:rsidRDefault="00460194" w:rsidP="00575591">
      <w:pPr>
        <w:jc w:val="both"/>
        <w:rPr>
          <w:rFonts w:ascii="Arial" w:eastAsia="Calibri" w:hAnsi="Arial" w:cs="Arial"/>
          <w:bCs/>
          <w:color w:val="000000" w:themeColor="text1"/>
          <w:sz w:val="20"/>
          <w:szCs w:val="20"/>
        </w:rPr>
      </w:pPr>
      <w:r w:rsidRPr="009464D4">
        <w:rPr>
          <w:rFonts w:ascii="Arial" w:eastAsia="Calibri" w:hAnsi="Arial"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r w:rsidR="005D7824" w:rsidRPr="009464D4">
        <w:rPr>
          <w:rFonts w:ascii="Arial" w:eastAsia="Calibri" w:hAnsi="Arial" w:cs="Arial"/>
          <w:bCs/>
          <w:color w:val="000000" w:themeColor="text1"/>
          <w:sz w:val="20"/>
          <w:szCs w:val="20"/>
        </w:rPr>
        <w:t>.</w:t>
      </w:r>
    </w:p>
    <w:p w14:paraId="458C3391" w14:textId="77777777" w:rsidR="005D7824" w:rsidRPr="009464D4" w:rsidRDefault="005D7824" w:rsidP="00575591">
      <w:pPr>
        <w:jc w:val="both"/>
        <w:rPr>
          <w:rFonts w:ascii="Arial" w:eastAsia="Calibri" w:hAnsi="Arial" w:cs="Arial"/>
          <w:bCs/>
          <w:color w:val="000000" w:themeColor="text1"/>
          <w:sz w:val="20"/>
          <w:szCs w:val="20"/>
        </w:rPr>
      </w:pPr>
    </w:p>
    <w:bookmarkEnd w:id="0"/>
    <w:p w14:paraId="75D25F97" w14:textId="1F77784F" w:rsidR="005D7824" w:rsidRPr="00A10464" w:rsidRDefault="005D7824" w:rsidP="00575591">
      <w:pPr>
        <w:jc w:val="both"/>
        <w:rPr>
          <w:rFonts w:ascii="Arial" w:eastAsia="Calibri" w:hAnsi="Arial" w:cs="Arial"/>
          <w:b/>
          <w:bCs/>
          <w:color w:val="000000" w:themeColor="text1"/>
          <w:sz w:val="22"/>
        </w:rPr>
      </w:pPr>
      <w:r w:rsidRPr="00A10464">
        <w:rPr>
          <w:rFonts w:ascii="Arial" w:eastAsia="Calibri" w:hAnsi="Arial" w:cs="Arial"/>
          <w:b/>
          <w:bCs/>
          <w:color w:val="000000" w:themeColor="text1"/>
          <w:sz w:val="22"/>
        </w:rPr>
        <w:t xml:space="preserve">LEY 2159 DE 2021 – Ley Anual de Presupuesto </w:t>
      </w:r>
      <w:r w:rsidR="00460194" w:rsidRPr="00A10464">
        <w:rPr>
          <w:rFonts w:ascii="Arial" w:eastAsia="Calibri" w:hAnsi="Arial" w:cs="Arial"/>
          <w:b/>
          <w:bCs/>
          <w:color w:val="000000" w:themeColor="text1"/>
          <w:sz w:val="22"/>
        </w:rPr>
        <w:t>– Modificación –</w:t>
      </w:r>
      <w:r w:rsidRPr="00A10464">
        <w:rPr>
          <w:rFonts w:ascii="Arial" w:eastAsia="Calibri" w:hAnsi="Arial" w:cs="Arial"/>
          <w:b/>
          <w:bCs/>
          <w:color w:val="000000" w:themeColor="text1"/>
          <w:sz w:val="22"/>
        </w:rPr>
        <w:t xml:space="preserve"> </w:t>
      </w:r>
      <w:r w:rsidR="00460194" w:rsidRPr="00A10464">
        <w:rPr>
          <w:rFonts w:ascii="Arial" w:eastAsia="Calibri" w:hAnsi="Arial" w:cs="Arial"/>
          <w:b/>
          <w:bCs/>
          <w:color w:val="000000" w:themeColor="text1"/>
          <w:sz w:val="22"/>
        </w:rPr>
        <w:t>P</w:t>
      </w:r>
      <w:r w:rsidRPr="00A10464">
        <w:rPr>
          <w:rFonts w:ascii="Arial" w:eastAsia="Calibri" w:hAnsi="Arial" w:cs="Arial"/>
          <w:b/>
          <w:bCs/>
          <w:color w:val="000000" w:themeColor="text1"/>
          <w:sz w:val="22"/>
        </w:rPr>
        <w:t xml:space="preserve">arágrafo del artículo 38 de la Ley de Garantías – </w:t>
      </w:r>
      <w:r w:rsidR="00460194" w:rsidRPr="00A10464">
        <w:rPr>
          <w:rFonts w:ascii="Arial" w:eastAsia="Calibri" w:hAnsi="Arial" w:cs="Arial"/>
          <w:b/>
          <w:bCs/>
          <w:color w:val="000000" w:themeColor="text1"/>
          <w:sz w:val="22"/>
        </w:rPr>
        <w:t>T</w:t>
      </w:r>
      <w:r w:rsidRPr="00A10464">
        <w:rPr>
          <w:rFonts w:ascii="Arial" w:eastAsia="Calibri" w:hAnsi="Arial" w:cs="Arial"/>
          <w:b/>
          <w:bCs/>
          <w:color w:val="000000" w:themeColor="text1"/>
          <w:sz w:val="22"/>
        </w:rPr>
        <w:t>ransitoriedad</w:t>
      </w:r>
    </w:p>
    <w:p w14:paraId="22AA1560" w14:textId="77777777" w:rsidR="005D7824" w:rsidRPr="009464D4" w:rsidRDefault="005D7824" w:rsidP="00575591">
      <w:pPr>
        <w:jc w:val="both"/>
        <w:rPr>
          <w:rFonts w:ascii="Arial" w:eastAsia="Calibri" w:hAnsi="Arial" w:cs="Arial"/>
          <w:b/>
          <w:bCs/>
          <w:color w:val="000000" w:themeColor="text1"/>
          <w:sz w:val="20"/>
          <w:szCs w:val="20"/>
        </w:rPr>
      </w:pPr>
    </w:p>
    <w:p w14:paraId="476A7C06" w14:textId="77777777" w:rsidR="00460194" w:rsidRPr="009464D4" w:rsidRDefault="00460194" w:rsidP="00575591">
      <w:pPr>
        <w:shd w:val="clear" w:color="auto" w:fill="FFFFFF"/>
        <w:spacing w:after="120"/>
        <w:jc w:val="both"/>
        <w:rPr>
          <w:rFonts w:ascii="Arial" w:eastAsia="Times New Roman" w:hAnsi="Arial" w:cs="Arial"/>
          <w:color w:val="000000" w:themeColor="text1"/>
          <w:sz w:val="20"/>
          <w:szCs w:val="20"/>
          <w:lang w:val="es-CO" w:eastAsia="es-CO"/>
        </w:rPr>
      </w:pPr>
      <w:r w:rsidRPr="009464D4">
        <w:rPr>
          <w:rFonts w:ascii="Arial" w:eastAsia="Times New Roman" w:hAnsi="Arial" w:cs="Arial"/>
          <w:color w:val="000000" w:themeColor="text1"/>
          <w:sz w:val="20"/>
          <w:szCs w:val="20"/>
          <w:lang w:val="es-CO" w:eastAsia="es-CO"/>
        </w:rPr>
        <w:t xml:space="preserve">En su inciso segundo, el artículo 124 dispone la modificación del parágrafo del artículo 38 de la Ley 996 de 2005 sin establecer un nuevo texto sino simplemente anunciando que tal disposición se </w:t>
      </w:r>
      <w:r w:rsidRPr="009464D4">
        <w:rPr>
          <w:rFonts w:ascii="Arial" w:eastAsia="Times New Roman" w:hAnsi="Arial" w:cs="Arial"/>
          <w:color w:val="000000" w:themeColor="text1"/>
          <w:sz w:val="20"/>
          <w:szCs w:val="20"/>
          <w:lang w:val="es-CO" w:eastAsia="es-CO"/>
        </w:rPr>
        <w:lastRenderedPageBreak/>
        <w:t xml:space="preserve">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6E54BCF3" w14:textId="2D12B4BB" w:rsidR="005D7824" w:rsidRPr="009464D4" w:rsidRDefault="00460194" w:rsidP="00575591">
      <w:pPr>
        <w:shd w:val="clear" w:color="auto" w:fill="FFFFFF"/>
        <w:jc w:val="both"/>
        <w:rPr>
          <w:rFonts w:ascii="Arial" w:eastAsia="Times New Roman" w:hAnsi="Arial" w:cs="Arial"/>
          <w:color w:val="000000" w:themeColor="text1"/>
          <w:sz w:val="20"/>
          <w:szCs w:val="20"/>
          <w:lang w:val="es-CO" w:eastAsia="es-CO"/>
        </w:rPr>
      </w:pPr>
      <w:r w:rsidRPr="009464D4">
        <w:rPr>
          <w:rFonts w:ascii="Arial" w:eastAsia="Times New Roman" w:hAnsi="Arial" w:cs="Arial"/>
          <w:color w:val="000000" w:themeColor="text1"/>
          <w:sz w:val="20"/>
          <w:szCs w:val="20"/>
          <w:lang w:val="es-CO"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y parcial de la prohibición, 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41AC43EC" w14:textId="77777777" w:rsidR="00460194" w:rsidRPr="009464D4" w:rsidRDefault="00460194" w:rsidP="00575591">
      <w:pPr>
        <w:shd w:val="clear" w:color="auto" w:fill="FFFFFF"/>
        <w:jc w:val="both"/>
        <w:rPr>
          <w:rFonts w:ascii="Arial" w:eastAsia="Times New Roman" w:hAnsi="Arial" w:cs="Arial"/>
          <w:color w:val="000000" w:themeColor="text1"/>
          <w:sz w:val="20"/>
          <w:szCs w:val="20"/>
          <w:lang w:val="es-CO" w:eastAsia="es-CO"/>
        </w:rPr>
      </w:pPr>
    </w:p>
    <w:p w14:paraId="43E1AA31" w14:textId="614E2610" w:rsidR="005D7824" w:rsidRPr="00A10464" w:rsidRDefault="005D7824" w:rsidP="00575591">
      <w:pPr>
        <w:jc w:val="both"/>
        <w:rPr>
          <w:rFonts w:ascii="Arial" w:eastAsia="Calibri" w:hAnsi="Arial" w:cs="Arial"/>
          <w:b/>
          <w:bCs/>
          <w:color w:val="000000" w:themeColor="text1"/>
          <w:sz w:val="22"/>
        </w:rPr>
      </w:pPr>
      <w:r w:rsidRPr="00A10464">
        <w:rPr>
          <w:rFonts w:ascii="Arial" w:eastAsia="Calibri" w:hAnsi="Arial" w:cs="Arial"/>
          <w:b/>
          <w:bCs/>
          <w:color w:val="000000" w:themeColor="text1"/>
          <w:sz w:val="22"/>
        </w:rPr>
        <w:t xml:space="preserve">MODIFICACIÓN DE LA LEY 2159 DE 2021 – Ley Anual de Presupuesto </w:t>
      </w:r>
      <w:r w:rsidR="00E22C9A" w:rsidRPr="00A10464">
        <w:rPr>
          <w:rFonts w:ascii="Arial" w:eastAsia="Calibri" w:hAnsi="Arial" w:cs="Arial"/>
          <w:b/>
          <w:bCs/>
          <w:color w:val="000000" w:themeColor="text1"/>
          <w:sz w:val="22"/>
        </w:rPr>
        <w:t>–</w:t>
      </w:r>
      <w:r w:rsidRPr="00A10464">
        <w:rPr>
          <w:rFonts w:ascii="Arial" w:eastAsia="Calibri" w:hAnsi="Arial" w:cs="Arial"/>
          <w:b/>
          <w:bCs/>
          <w:color w:val="000000" w:themeColor="text1"/>
          <w:sz w:val="22"/>
        </w:rPr>
        <w:t xml:space="preserve"> </w:t>
      </w:r>
      <w:r w:rsidR="00E22C9A" w:rsidRPr="00A10464">
        <w:rPr>
          <w:rFonts w:ascii="Arial" w:eastAsia="Calibri" w:hAnsi="Arial" w:cs="Arial"/>
          <w:b/>
          <w:bCs/>
          <w:color w:val="000000" w:themeColor="text1"/>
          <w:sz w:val="22"/>
        </w:rPr>
        <w:t>Modificación – P</w:t>
      </w:r>
      <w:r w:rsidRPr="00A10464">
        <w:rPr>
          <w:rFonts w:ascii="Arial" w:eastAsia="Calibri" w:hAnsi="Arial" w:cs="Arial"/>
          <w:b/>
          <w:bCs/>
          <w:color w:val="000000" w:themeColor="text1"/>
          <w:sz w:val="22"/>
        </w:rPr>
        <w:t xml:space="preserve">arágrafo del artículo 38 </w:t>
      </w:r>
      <w:r w:rsidR="00E22C9A" w:rsidRPr="00A10464">
        <w:rPr>
          <w:rFonts w:ascii="Arial" w:eastAsia="Calibri" w:hAnsi="Arial" w:cs="Arial"/>
          <w:b/>
          <w:bCs/>
          <w:color w:val="000000" w:themeColor="text1"/>
          <w:sz w:val="22"/>
        </w:rPr>
        <w:t xml:space="preserve">– Artículo 33 – </w:t>
      </w:r>
      <w:r w:rsidRPr="00A10464">
        <w:rPr>
          <w:rFonts w:ascii="Arial" w:eastAsia="Calibri" w:hAnsi="Arial" w:cs="Arial"/>
          <w:b/>
          <w:bCs/>
          <w:color w:val="000000" w:themeColor="text1"/>
          <w:sz w:val="22"/>
        </w:rPr>
        <w:t>Ley de Garantías</w:t>
      </w:r>
    </w:p>
    <w:p w14:paraId="434AF3A4" w14:textId="77777777" w:rsidR="005D7824" w:rsidRPr="009464D4" w:rsidRDefault="005D7824" w:rsidP="00575591">
      <w:pPr>
        <w:jc w:val="both"/>
        <w:rPr>
          <w:rFonts w:ascii="Arial" w:eastAsiaTheme="minorHAnsi" w:hAnsi="Arial" w:cs="Arial"/>
          <w:color w:val="000000" w:themeColor="text1"/>
          <w:sz w:val="20"/>
          <w:szCs w:val="20"/>
        </w:rPr>
      </w:pPr>
    </w:p>
    <w:p w14:paraId="2F746841" w14:textId="77777777" w:rsidR="00E22C9A" w:rsidRPr="009464D4" w:rsidRDefault="005D7824" w:rsidP="00575591">
      <w:pPr>
        <w:shd w:val="clear" w:color="auto" w:fill="FFFFFF"/>
        <w:spacing w:after="120"/>
        <w:jc w:val="both"/>
        <w:rPr>
          <w:rFonts w:ascii="Arial" w:eastAsia="Times New Roman" w:hAnsi="Arial" w:cs="Arial"/>
          <w:bCs/>
          <w:color w:val="000000" w:themeColor="text1"/>
          <w:sz w:val="20"/>
          <w:szCs w:val="20"/>
          <w:lang w:eastAsia="es-CO"/>
        </w:rPr>
      </w:pPr>
      <w:r w:rsidRPr="009464D4">
        <w:rPr>
          <w:rFonts w:ascii="Arial" w:eastAsia="Times New Roman" w:hAnsi="Arial" w:cs="Arial"/>
          <w:bCs/>
          <w:color w:val="000000" w:themeColor="text1"/>
          <w:sz w:val="20"/>
          <w:szCs w:val="20"/>
          <w:lang w:eastAsia="es-CO"/>
        </w:rPr>
        <w:t xml:space="preserve">[…] </w:t>
      </w:r>
      <w:r w:rsidR="00E22C9A" w:rsidRPr="009464D4">
        <w:rPr>
          <w:rFonts w:ascii="Arial" w:eastAsia="Times New Roman" w:hAnsi="Arial" w:cs="Arial"/>
          <w:bCs/>
          <w:color w:val="000000" w:themeColor="text1"/>
          <w:sz w:val="20"/>
          <w:szCs w:val="20"/>
          <w:lang w:eastAsia="es-CO"/>
        </w:rPr>
        <w:t xml:space="preserve">la Ley 2159 de 2021 –Ley del Presupuesto– modificó parcial y transitoriamente el parágrafo del artículo 38 de la Ley 996 de 2005, en aspectos temporales, subjetivos, materiales o teleológicos y procedimentales o de control. En particular, suspende la prohibición de celebración de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2D71AC40" w14:textId="1FD060A7" w:rsidR="005D7824" w:rsidRPr="009464D4" w:rsidRDefault="00E22C9A" w:rsidP="00575591">
      <w:pPr>
        <w:shd w:val="clear" w:color="auto" w:fill="FFFFFF"/>
        <w:jc w:val="both"/>
        <w:rPr>
          <w:rFonts w:ascii="Arial" w:eastAsia="Times New Roman" w:hAnsi="Arial" w:cs="Arial"/>
          <w:bCs/>
          <w:color w:val="000000" w:themeColor="text1"/>
          <w:sz w:val="20"/>
          <w:szCs w:val="20"/>
          <w:lang w:eastAsia="es-CO"/>
        </w:rPr>
      </w:pPr>
      <w:r w:rsidRPr="009464D4">
        <w:rPr>
          <w:rFonts w:ascii="Arial" w:eastAsia="Times New Roman" w:hAnsi="Arial" w:cs="Arial"/>
          <w:bCs/>
          <w:color w:val="000000" w:themeColor="text1"/>
          <w:sz w:val="20"/>
          <w:szCs w:val="20"/>
          <w:lang w:eastAsia="es-CO"/>
        </w:rPr>
        <w:t>Es de anotar, por ser relevante para el asunto que se analiza, que la modificación de la ley del Presupuesto opera, únicamente, frente al parágrafo del artículo 38, y no en relación con la prohibición del artículo 33 que, como se dijo, resultan ser distintas, aunque concurrentes, con las del parágrafo, por lo cual, las restricciones a la contratación directa dentro del período preelectoral presidencial y vicepresidencial se mantienen invariables a partir de la publicación de la Ley del Presupuesto.</w:t>
      </w:r>
    </w:p>
    <w:p w14:paraId="7CE9ECA3" w14:textId="77777777" w:rsidR="005D7824" w:rsidRPr="009464D4" w:rsidRDefault="005D7824" w:rsidP="00575591">
      <w:pPr>
        <w:shd w:val="clear" w:color="auto" w:fill="FFFFFF"/>
        <w:jc w:val="both"/>
        <w:rPr>
          <w:rFonts w:ascii="Arial" w:eastAsia="Times New Roman" w:hAnsi="Arial" w:cs="Arial"/>
          <w:bCs/>
          <w:color w:val="000000" w:themeColor="text1"/>
          <w:sz w:val="20"/>
          <w:szCs w:val="20"/>
          <w:lang w:eastAsia="es-CO"/>
        </w:rPr>
      </w:pPr>
    </w:p>
    <w:p w14:paraId="35281DCE" w14:textId="70F0C3F5" w:rsidR="005D7824" w:rsidRPr="00A10464" w:rsidRDefault="005D7824" w:rsidP="00575591">
      <w:pPr>
        <w:jc w:val="both"/>
        <w:rPr>
          <w:rFonts w:ascii="Arial" w:eastAsia="Calibri" w:hAnsi="Arial" w:cs="Arial"/>
          <w:b/>
          <w:bCs/>
          <w:color w:val="000000" w:themeColor="text1"/>
          <w:sz w:val="22"/>
        </w:rPr>
      </w:pPr>
      <w:r w:rsidRPr="00A10464">
        <w:rPr>
          <w:rFonts w:ascii="Arial" w:eastAsia="Calibri" w:hAnsi="Arial" w:cs="Arial"/>
          <w:b/>
          <w:bCs/>
          <w:color w:val="000000" w:themeColor="text1"/>
          <w:sz w:val="22"/>
        </w:rPr>
        <w:t xml:space="preserve">LEY 2159 DE 2021 – Ley Anual de Presupuesto </w:t>
      </w:r>
      <w:r w:rsidR="00E22C9A" w:rsidRPr="00A10464">
        <w:rPr>
          <w:rFonts w:ascii="Arial" w:eastAsia="Calibri" w:hAnsi="Arial" w:cs="Arial"/>
          <w:b/>
          <w:bCs/>
          <w:color w:val="000000" w:themeColor="text1"/>
          <w:sz w:val="22"/>
        </w:rPr>
        <w:t>– Artículo 124 – Modificación –</w:t>
      </w:r>
      <w:r w:rsidRPr="00A10464">
        <w:rPr>
          <w:rFonts w:ascii="Arial" w:eastAsia="Calibri" w:hAnsi="Arial" w:cs="Arial"/>
          <w:b/>
          <w:bCs/>
          <w:color w:val="000000" w:themeColor="text1"/>
          <w:sz w:val="22"/>
        </w:rPr>
        <w:t xml:space="preserve"> </w:t>
      </w:r>
      <w:r w:rsidR="00E22C9A" w:rsidRPr="00A10464">
        <w:rPr>
          <w:rFonts w:ascii="Arial" w:eastAsia="Calibri" w:hAnsi="Arial" w:cs="Arial"/>
          <w:b/>
          <w:bCs/>
          <w:color w:val="000000" w:themeColor="text1"/>
          <w:sz w:val="22"/>
        </w:rPr>
        <w:t>P</w:t>
      </w:r>
      <w:r w:rsidRPr="00A10464">
        <w:rPr>
          <w:rFonts w:ascii="Arial" w:eastAsia="Calibri" w:hAnsi="Arial" w:cs="Arial"/>
          <w:b/>
          <w:bCs/>
          <w:color w:val="000000" w:themeColor="text1"/>
          <w:sz w:val="22"/>
        </w:rPr>
        <w:t xml:space="preserve">arágrafo del artículo 38 de la Ley de Garantías – Nación – </w:t>
      </w:r>
      <w:r w:rsidR="00E22C9A" w:rsidRPr="00A10464">
        <w:rPr>
          <w:rFonts w:ascii="Arial" w:eastAsia="Calibri" w:hAnsi="Arial" w:cs="Arial"/>
          <w:b/>
          <w:bCs/>
          <w:color w:val="000000" w:themeColor="text1"/>
          <w:sz w:val="22"/>
        </w:rPr>
        <w:t>E</w:t>
      </w:r>
      <w:r w:rsidRPr="00A10464">
        <w:rPr>
          <w:rFonts w:ascii="Arial" w:eastAsia="Calibri" w:hAnsi="Arial" w:cs="Arial"/>
          <w:b/>
          <w:bCs/>
          <w:color w:val="000000" w:themeColor="text1"/>
          <w:sz w:val="22"/>
        </w:rPr>
        <w:t>ntidades descentralizadas</w:t>
      </w:r>
    </w:p>
    <w:p w14:paraId="5F0C3396" w14:textId="77777777" w:rsidR="005D7824" w:rsidRPr="009464D4" w:rsidRDefault="005D7824" w:rsidP="00575591">
      <w:pPr>
        <w:jc w:val="both"/>
        <w:rPr>
          <w:rFonts w:ascii="Arial" w:eastAsiaTheme="minorHAnsi" w:hAnsi="Arial" w:cs="Arial"/>
          <w:color w:val="000000" w:themeColor="text1"/>
          <w:sz w:val="20"/>
          <w:szCs w:val="20"/>
        </w:rPr>
      </w:pPr>
    </w:p>
    <w:p w14:paraId="684E1342" w14:textId="543001DC" w:rsidR="005D7824" w:rsidRPr="009464D4" w:rsidRDefault="005D7824" w:rsidP="00575591">
      <w:pPr>
        <w:jc w:val="both"/>
        <w:rPr>
          <w:rFonts w:ascii="Arial" w:eastAsia="Times New Roman" w:hAnsi="Arial" w:cs="Arial"/>
          <w:bCs/>
          <w:color w:val="000000" w:themeColor="text1"/>
          <w:sz w:val="20"/>
          <w:szCs w:val="20"/>
          <w:lang w:eastAsia="es-CO"/>
        </w:rPr>
      </w:pPr>
      <w:r w:rsidRPr="009464D4">
        <w:rPr>
          <w:rFonts w:ascii="Arial" w:eastAsia="Times New Roman" w:hAnsi="Arial" w:cs="Arial"/>
          <w:bCs/>
          <w:color w:val="000000" w:themeColor="text1"/>
          <w:sz w:val="20"/>
          <w:szCs w:val="20"/>
          <w:lang w:eastAsia="es-CO"/>
        </w:rPr>
        <w:t xml:space="preserve">[…] </w:t>
      </w:r>
      <w:r w:rsidR="00E22C9A" w:rsidRPr="009464D4">
        <w:rPr>
          <w:rFonts w:ascii="Arial" w:eastAsia="Times New Roman" w:hAnsi="Arial" w:cs="Arial"/>
          <w:bCs/>
          <w:color w:val="000000" w:themeColor="text1"/>
          <w:sz w:val="20"/>
          <w:szCs w:val="20"/>
          <w:lang w:eastAsia="es-CO"/>
        </w:rPr>
        <w:t>la Agencia considera que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50C43FB2" w14:textId="77777777" w:rsidR="00E22C9A" w:rsidRPr="009464D4" w:rsidRDefault="00E22C9A" w:rsidP="00575591">
      <w:pPr>
        <w:jc w:val="both"/>
        <w:rPr>
          <w:rFonts w:ascii="Arial" w:eastAsia="Times New Roman" w:hAnsi="Arial" w:cs="Arial"/>
          <w:bCs/>
          <w:color w:val="000000" w:themeColor="text1"/>
          <w:sz w:val="20"/>
          <w:szCs w:val="20"/>
          <w:lang w:eastAsia="es-CO"/>
        </w:rPr>
      </w:pPr>
    </w:p>
    <w:p w14:paraId="60D3CD6C" w14:textId="10014E15" w:rsidR="005D7824" w:rsidRPr="00A10464" w:rsidRDefault="005D7824" w:rsidP="00575591">
      <w:pPr>
        <w:jc w:val="both"/>
        <w:rPr>
          <w:rFonts w:ascii="Arial" w:eastAsia="Calibri" w:hAnsi="Arial" w:cs="Arial"/>
          <w:b/>
          <w:bCs/>
          <w:color w:val="000000" w:themeColor="text1"/>
          <w:sz w:val="22"/>
        </w:rPr>
      </w:pPr>
      <w:r w:rsidRPr="00A10464">
        <w:rPr>
          <w:rFonts w:ascii="Arial" w:eastAsia="Calibri" w:hAnsi="Arial" w:cs="Arial"/>
          <w:b/>
          <w:bCs/>
          <w:color w:val="000000" w:themeColor="text1"/>
          <w:sz w:val="22"/>
        </w:rPr>
        <w:t xml:space="preserve">LEY 2159 DE 2021 – Ley Anual de Presupuesto </w:t>
      </w:r>
      <w:r w:rsidR="00921FD4" w:rsidRPr="00A10464">
        <w:rPr>
          <w:rFonts w:ascii="Arial" w:eastAsia="Calibri" w:hAnsi="Arial" w:cs="Arial"/>
          <w:b/>
          <w:bCs/>
          <w:color w:val="000000" w:themeColor="text1"/>
          <w:sz w:val="22"/>
        </w:rPr>
        <w:t>–</w:t>
      </w:r>
      <w:r w:rsidRPr="00A10464">
        <w:rPr>
          <w:rFonts w:ascii="Arial" w:eastAsia="Calibri" w:hAnsi="Arial" w:cs="Arial"/>
          <w:b/>
          <w:bCs/>
          <w:color w:val="000000" w:themeColor="text1"/>
          <w:sz w:val="22"/>
        </w:rPr>
        <w:t xml:space="preserve"> </w:t>
      </w:r>
      <w:r w:rsidR="00575591" w:rsidRPr="00A10464">
        <w:rPr>
          <w:rFonts w:ascii="Arial" w:eastAsia="Calibri" w:hAnsi="Arial" w:cs="Arial"/>
          <w:b/>
          <w:bCs/>
          <w:color w:val="000000" w:themeColor="text1"/>
          <w:sz w:val="22"/>
        </w:rPr>
        <w:t>P</w:t>
      </w:r>
      <w:r w:rsidRPr="00A10464">
        <w:rPr>
          <w:rFonts w:ascii="Arial" w:eastAsia="Calibri" w:hAnsi="Arial" w:cs="Arial"/>
          <w:b/>
          <w:bCs/>
          <w:color w:val="000000" w:themeColor="text1"/>
          <w:sz w:val="22"/>
        </w:rPr>
        <w:t xml:space="preserve">arágrafo del artículo 38 de la Ley de Garantías – </w:t>
      </w:r>
      <w:r w:rsidR="00575591" w:rsidRPr="00A10464">
        <w:rPr>
          <w:rFonts w:ascii="Arial" w:eastAsia="Calibri" w:hAnsi="Arial" w:cs="Arial"/>
          <w:b/>
          <w:bCs/>
          <w:color w:val="000000" w:themeColor="text1"/>
          <w:sz w:val="22"/>
        </w:rPr>
        <w:t>G</w:t>
      </w:r>
      <w:r w:rsidRPr="00A10464">
        <w:rPr>
          <w:rFonts w:ascii="Arial" w:eastAsia="Calibri" w:hAnsi="Arial" w:cs="Arial"/>
          <w:b/>
          <w:bCs/>
          <w:color w:val="000000" w:themeColor="text1"/>
          <w:sz w:val="22"/>
        </w:rPr>
        <w:t xml:space="preserve">astos de inversión </w:t>
      </w:r>
      <w:r w:rsidR="00921FD4" w:rsidRPr="00A10464">
        <w:rPr>
          <w:rFonts w:ascii="Arial" w:eastAsia="Calibri" w:hAnsi="Arial" w:cs="Arial"/>
          <w:b/>
          <w:bCs/>
          <w:color w:val="000000" w:themeColor="text1"/>
          <w:sz w:val="22"/>
        </w:rPr>
        <w:t>–</w:t>
      </w:r>
      <w:r w:rsidRPr="00A10464">
        <w:rPr>
          <w:rFonts w:ascii="Arial" w:eastAsia="Calibri" w:hAnsi="Arial" w:cs="Arial"/>
          <w:b/>
          <w:bCs/>
          <w:color w:val="000000" w:themeColor="text1"/>
          <w:sz w:val="22"/>
        </w:rPr>
        <w:t xml:space="preserve"> </w:t>
      </w:r>
      <w:r w:rsidR="00575591" w:rsidRPr="00A10464">
        <w:rPr>
          <w:rFonts w:ascii="Arial" w:eastAsia="Calibri" w:hAnsi="Arial" w:cs="Arial"/>
          <w:b/>
          <w:bCs/>
          <w:color w:val="000000" w:themeColor="text1"/>
          <w:sz w:val="22"/>
        </w:rPr>
        <w:t>P</w:t>
      </w:r>
      <w:r w:rsidRPr="00A10464">
        <w:rPr>
          <w:rFonts w:ascii="Arial" w:eastAsia="Calibri" w:hAnsi="Arial" w:cs="Arial"/>
          <w:b/>
          <w:bCs/>
          <w:color w:val="000000" w:themeColor="text1"/>
          <w:sz w:val="22"/>
        </w:rPr>
        <w:t>royectos y programas de inversión – Plan Nacional de Desarrollo</w:t>
      </w:r>
    </w:p>
    <w:p w14:paraId="387C8B24" w14:textId="77777777" w:rsidR="005D7824" w:rsidRPr="009464D4" w:rsidRDefault="005D7824" w:rsidP="00575591">
      <w:pPr>
        <w:jc w:val="both"/>
        <w:rPr>
          <w:rFonts w:ascii="Arial" w:eastAsia="Calibri" w:hAnsi="Arial" w:cs="Arial"/>
          <w:b/>
          <w:bCs/>
          <w:color w:val="000000" w:themeColor="text1"/>
          <w:sz w:val="20"/>
          <w:szCs w:val="20"/>
        </w:rPr>
      </w:pPr>
    </w:p>
    <w:p w14:paraId="2613C190" w14:textId="16BB9A42" w:rsidR="005D7824" w:rsidRPr="009464D4" w:rsidRDefault="00575591" w:rsidP="00575591">
      <w:pPr>
        <w:shd w:val="clear" w:color="auto" w:fill="FFFFFF"/>
        <w:jc w:val="both"/>
        <w:rPr>
          <w:rFonts w:ascii="Arial" w:eastAsia="Times New Roman" w:hAnsi="Arial" w:cs="Arial"/>
          <w:b/>
          <w:color w:val="000000" w:themeColor="text1"/>
          <w:sz w:val="20"/>
          <w:szCs w:val="20"/>
          <w:lang w:eastAsia="es-CO"/>
        </w:rPr>
      </w:pPr>
      <w:r w:rsidRPr="009464D4">
        <w:rPr>
          <w:rFonts w:ascii="Arial" w:eastAsia="Times New Roman" w:hAnsi="Arial" w:cs="Arial"/>
          <w:color w:val="000000" w:themeColor="text1"/>
          <w:sz w:val="20"/>
          <w:szCs w:val="20"/>
          <w:lang w:val="es-CO" w:eastAsia="es-CO"/>
        </w:rPr>
        <w:t xml:space="preserve">En lo que respecta al elemento teleológico o material de la reforma incluida en el artículo 124 de la ley 2159 de 2021, consistente en que los convenios sean celebrados con el fin de ejecutar programas o proyectos que correspondan al Presupuesto General de la Nación, esta Agencia estima, partiendo de las consideraciones contenidas en el acápite 2.5. del presente concepto y </w:t>
      </w:r>
      <w:r w:rsidRPr="009464D4">
        <w:rPr>
          <w:rFonts w:ascii="Arial" w:eastAsia="Times New Roman" w:hAnsi="Arial" w:cs="Arial"/>
          <w:color w:val="000000" w:themeColor="text1"/>
          <w:sz w:val="20"/>
          <w:szCs w:val="20"/>
          <w:lang w:val="es-CO" w:eastAsia="es-CO"/>
        </w:rPr>
        <w:lastRenderedPageBreak/>
        <w:t>dados en relación con la estructura y contenido de la ley anual del presupuesto general de la Nación,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0C35F0DD" w14:textId="5C77CE61" w:rsidR="005D7824" w:rsidRPr="009464D4" w:rsidRDefault="005D7824" w:rsidP="00A10464">
      <w:pPr>
        <w:spacing w:after="200" w:line="276" w:lineRule="auto"/>
        <w:jc w:val="both"/>
        <w:rPr>
          <w:rFonts w:ascii="Arial" w:eastAsia="Calibri" w:hAnsi="Arial" w:cs="Arial"/>
          <w:b/>
          <w:bCs/>
          <w:color w:val="000000" w:themeColor="text1"/>
          <w:sz w:val="22"/>
        </w:rPr>
      </w:pPr>
      <w:bookmarkStart w:id="11" w:name="_Hlk29890381"/>
      <w:bookmarkEnd w:id="11"/>
    </w:p>
    <w:p w14:paraId="0B9C37EA" w14:textId="76DC0835" w:rsidR="005D7824" w:rsidRPr="009464D4" w:rsidRDefault="00F52964" w:rsidP="00F52964">
      <w:pPr>
        <w:spacing w:line="276" w:lineRule="auto"/>
        <w:jc w:val="right"/>
        <w:rPr>
          <w:rFonts w:ascii="Arial" w:eastAsia="Calibri" w:hAnsi="Arial" w:cs="Arial"/>
          <w:noProof/>
          <w:color w:val="000000" w:themeColor="text1"/>
          <w:sz w:val="22"/>
          <w:lang w:val="es-ES_tradnl"/>
        </w:rPr>
      </w:pPr>
      <w:r>
        <w:rPr>
          <w:noProof/>
        </w:rPr>
        <w:drawing>
          <wp:inline distT="0" distB="0" distL="0" distR="0" wp14:anchorId="7233BE54" wp14:editId="56E6BDC3">
            <wp:extent cx="2484335" cy="655377"/>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84335" cy="655377"/>
                    </a:xfrm>
                    <a:prstGeom prst="rect">
                      <a:avLst/>
                    </a:prstGeom>
                  </pic:spPr>
                </pic:pic>
              </a:graphicData>
            </a:graphic>
          </wp:inline>
        </w:drawing>
      </w:r>
    </w:p>
    <w:p w14:paraId="15094F57" w14:textId="77514169" w:rsidR="00A10464" w:rsidRPr="00CB6235" w:rsidRDefault="00A10464" w:rsidP="00A10464">
      <w:pPr>
        <w:rPr>
          <w:rFonts w:ascii="Arial" w:eastAsia="Calibri" w:hAnsi="Arial" w:cs="Arial"/>
          <w:sz w:val="20"/>
          <w:szCs w:val="20"/>
          <w:lang w:val="es-CO"/>
        </w:rPr>
      </w:pPr>
      <w:r w:rsidRPr="00CB6235">
        <w:rPr>
          <w:rFonts w:ascii="Arial" w:hAnsi="Arial" w:cs="Arial"/>
          <w:sz w:val="22"/>
          <w:szCs w:val="20"/>
        </w:rPr>
        <w:t>Bogotá, 1</w:t>
      </w:r>
      <w:r>
        <w:rPr>
          <w:rFonts w:ascii="Arial" w:hAnsi="Arial" w:cs="Arial"/>
          <w:sz w:val="22"/>
          <w:szCs w:val="20"/>
        </w:rPr>
        <w:t>6</w:t>
      </w:r>
      <w:r w:rsidRPr="00CB6235">
        <w:rPr>
          <w:rFonts w:ascii="Arial" w:hAnsi="Arial" w:cs="Arial"/>
          <w:sz w:val="22"/>
          <w:szCs w:val="20"/>
        </w:rPr>
        <w:t xml:space="preserve"> </w:t>
      </w:r>
      <w:proofErr w:type="gramStart"/>
      <w:r w:rsidRPr="00CB6235">
        <w:rPr>
          <w:rFonts w:ascii="Arial" w:hAnsi="Arial" w:cs="Arial"/>
          <w:sz w:val="22"/>
          <w:szCs w:val="20"/>
        </w:rPr>
        <w:t>Febrero</w:t>
      </w:r>
      <w:proofErr w:type="gramEnd"/>
      <w:r w:rsidRPr="00CB6235">
        <w:rPr>
          <w:rFonts w:ascii="Arial" w:hAnsi="Arial" w:cs="Arial"/>
          <w:sz w:val="22"/>
          <w:szCs w:val="20"/>
        </w:rPr>
        <w:t xml:space="preserve"> 2022</w:t>
      </w:r>
    </w:p>
    <w:p w14:paraId="0319C57B" w14:textId="7B35546C" w:rsidR="005D7824" w:rsidRDefault="005D7824" w:rsidP="005D7824">
      <w:pPr>
        <w:spacing w:line="276" w:lineRule="auto"/>
        <w:jc w:val="both"/>
        <w:rPr>
          <w:rFonts w:ascii="Arial" w:eastAsia="Calibri" w:hAnsi="Arial" w:cs="Arial"/>
          <w:color w:val="000000" w:themeColor="text1"/>
          <w:sz w:val="22"/>
          <w:lang w:val="es-CO"/>
        </w:rPr>
      </w:pPr>
    </w:p>
    <w:p w14:paraId="47F4B6BC" w14:textId="12131BBF" w:rsidR="00A10464" w:rsidRDefault="00A10464" w:rsidP="005D7824">
      <w:pPr>
        <w:spacing w:line="276" w:lineRule="auto"/>
        <w:jc w:val="both"/>
        <w:rPr>
          <w:rFonts w:ascii="Arial" w:eastAsia="Calibri" w:hAnsi="Arial" w:cs="Arial"/>
          <w:color w:val="000000" w:themeColor="text1"/>
          <w:sz w:val="22"/>
          <w:lang w:val="es-CO"/>
        </w:rPr>
      </w:pPr>
    </w:p>
    <w:p w14:paraId="021C32E0" w14:textId="77777777" w:rsidR="00A10464" w:rsidRPr="009464D4" w:rsidRDefault="00A10464" w:rsidP="005D7824">
      <w:pPr>
        <w:spacing w:line="276" w:lineRule="auto"/>
        <w:jc w:val="both"/>
        <w:rPr>
          <w:rFonts w:ascii="Arial" w:eastAsia="Calibri" w:hAnsi="Arial" w:cs="Arial"/>
          <w:color w:val="000000" w:themeColor="text1"/>
          <w:sz w:val="22"/>
          <w:lang w:val="es-CO"/>
        </w:rPr>
      </w:pPr>
    </w:p>
    <w:p w14:paraId="0EB9BF60" w14:textId="77777777" w:rsidR="005D7824" w:rsidRPr="009464D4" w:rsidRDefault="005D7824" w:rsidP="005D7824">
      <w:pPr>
        <w:spacing w:line="276" w:lineRule="auto"/>
        <w:jc w:val="both"/>
        <w:rPr>
          <w:rFonts w:ascii="Arial" w:eastAsia="Calibri" w:hAnsi="Arial" w:cs="Arial"/>
          <w:color w:val="000000" w:themeColor="text1"/>
          <w:sz w:val="22"/>
          <w:lang w:val="es-CO"/>
        </w:rPr>
      </w:pPr>
      <w:r w:rsidRPr="009464D4">
        <w:rPr>
          <w:rFonts w:ascii="Arial" w:eastAsia="Calibri" w:hAnsi="Arial" w:cs="Arial"/>
          <w:color w:val="000000" w:themeColor="text1"/>
          <w:sz w:val="22"/>
          <w:lang w:val="es-CO"/>
        </w:rPr>
        <w:t>Señor</w:t>
      </w:r>
    </w:p>
    <w:p w14:paraId="06EF887E" w14:textId="77777777" w:rsidR="005D7824" w:rsidRPr="009464D4" w:rsidRDefault="005D7824" w:rsidP="005D7824">
      <w:pPr>
        <w:spacing w:line="276" w:lineRule="auto"/>
        <w:jc w:val="both"/>
        <w:rPr>
          <w:rFonts w:ascii="Arial" w:eastAsia="Calibri" w:hAnsi="Arial" w:cs="Arial"/>
          <w:b/>
          <w:color w:val="000000" w:themeColor="text1"/>
          <w:sz w:val="22"/>
          <w:lang w:val="es-CO"/>
        </w:rPr>
      </w:pPr>
      <w:r w:rsidRPr="009464D4">
        <w:rPr>
          <w:rFonts w:ascii="Arial" w:eastAsia="Calibri" w:hAnsi="Arial" w:cs="Arial"/>
          <w:b/>
          <w:color w:val="000000" w:themeColor="text1"/>
          <w:sz w:val="22"/>
          <w:lang w:val="es-CO"/>
        </w:rPr>
        <w:t>Juan Pablo Bustamante Arias</w:t>
      </w:r>
    </w:p>
    <w:p w14:paraId="2E54003F" w14:textId="1D6DFF45" w:rsidR="005D7824" w:rsidRPr="009464D4" w:rsidRDefault="0025279D" w:rsidP="005D7824">
      <w:pPr>
        <w:spacing w:line="276" w:lineRule="auto"/>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Supía</w:t>
      </w:r>
    </w:p>
    <w:p w14:paraId="679A4CBF" w14:textId="77777777" w:rsidR="005D7824" w:rsidRPr="009464D4" w:rsidRDefault="005D7824" w:rsidP="005D7824">
      <w:pPr>
        <w:spacing w:line="276" w:lineRule="auto"/>
        <w:jc w:val="both"/>
        <w:rPr>
          <w:rFonts w:ascii="Arial" w:eastAsia="Calibri" w:hAnsi="Arial" w:cs="Arial"/>
          <w:color w:val="000000" w:themeColor="text1"/>
          <w:sz w:val="22"/>
          <w:lang w:val="es-CO"/>
        </w:rPr>
      </w:pPr>
    </w:p>
    <w:p w14:paraId="1B57B5F7" w14:textId="77777777" w:rsidR="005D7824" w:rsidRPr="009464D4" w:rsidRDefault="005D7824" w:rsidP="005D7824">
      <w:pPr>
        <w:spacing w:line="276" w:lineRule="auto"/>
        <w:jc w:val="both"/>
        <w:rPr>
          <w:rFonts w:ascii="Arial" w:eastAsiaTheme="minorHAnsi" w:hAnsi="Arial" w:cs="Arial"/>
          <w:color w:val="000000" w:themeColor="text1"/>
          <w:sz w:val="22"/>
          <w:lang w:val="es-CO"/>
        </w:rPr>
      </w:pPr>
      <w:r w:rsidRPr="009464D4">
        <w:rPr>
          <w:rFonts w:ascii="Arial" w:eastAsia="Calibri" w:hAnsi="Arial" w:cs="Arial"/>
          <w:color w:val="000000" w:themeColor="text1"/>
          <w:sz w:val="22"/>
          <w:lang w:val="es-CO"/>
        </w:rPr>
        <w:t xml:space="preserve">                                            </w:t>
      </w:r>
      <w:r w:rsidRPr="009464D4">
        <w:rPr>
          <w:rFonts w:ascii="Arial" w:eastAsia="Calibri" w:hAnsi="Arial" w:cs="Arial"/>
          <w:b/>
          <w:color w:val="000000" w:themeColor="text1"/>
          <w:sz w:val="22"/>
          <w:lang w:val="es-CO"/>
        </w:rPr>
        <w:t>Concepto C – 005 de 2022</w:t>
      </w:r>
      <w:r w:rsidRPr="009464D4">
        <w:rPr>
          <w:rFonts w:ascii="Arial" w:eastAsiaTheme="minorHAnsi" w:hAnsi="Arial" w:cs="Arial"/>
          <w:color w:val="000000" w:themeColor="text1"/>
          <w:sz w:val="22"/>
          <w:lang w:val="es-CO"/>
        </w:rPr>
        <w:t xml:space="preserve"> </w:t>
      </w:r>
    </w:p>
    <w:p w14:paraId="0EEC76B6" w14:textId="0ED86F9A" w:rsidR="005D7824" w:rsidRDefault="005D7824" w:rsidP="005D7824">
      <w:pPr>
        <w:spacing w:line="276" w:lineRule="auto"/>
        <w:jc w:val="both"/>
        <w:rPr>
          <w:rFonts w:ascii="Arial" w:eastAsia="Calibri" w:hAnsi="Arial" w:cs="Arial"/>
          <w:b/>
          <w:color w:val="000000" w:themeColor="text1"/>
          <w:sz w:val="22"/>
          <w:lang w:val="es-CO"/>
        </w:rPr>
      </w:pPr>
    </w:p>
    <w:p w14:paraId="203E3194" w14:textId="07D17824" w:rsidR="00A10464" w:rsidRDefault="00A10464" w:rsidP="005D7824">
      <w:pPr>
        <w:spacing w:line="276" w:lineRule="auto"/>
        <w:jc w:val="both"/>
        <w:rPr>
          <w:rFonts w:ascii="Arial" w:eastAsia="Calibri" w:hAnsi="Arial" w:cs="Arial"/>
          <w:b/>
          <w:color w:val="000000" w:themeColor="text1"/>
          <w:sz w:val="22"/>
          <w:lang w:val="es-CO"/>
        </w:rPr>
      </w:pPr>
    </w:p>
    <w:p w14:paraId="09FAC35D" w14:textId="77777777" w:rsidR="00A10464" w:rsidRPr="009464D4" w:rsidRDefault="00A10464" w:rsidP="005D7824">
      <w:pPr>
        <w:spacing w:line="276" w:lineRule="auto"/>
        <w:jc w:val="both"/>
        <w:rPr>
          <w:rFonts w:ascii="Arial" w:eastAsia="Calibri" w:hAnsi="Arial" w:cs="Arial"/>
          <w:b/>
          <w:color w:val="000000" w:themeColor="text1"/>
          <w:sz w:val="22"/>
          <w:lang w:val="es-CO"/>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6799"/>
      </w:tblGrid>
      <w:tr w:rsidR="006078F3" w:rsidRPr="009464D4" w14:paraId="5796EFF1" w14:textId="77777777" w:rsidTr="00293656">
        <w:trPr>
          <w:trHeight w:val="1038"/>
        </w:trPr>
        <w:tc>
          <w:tcPr>
            <w:tcW w:w="2127" w:type="dxa"/>
            <w:hideMark/>
          </w:tcPr>
          <w:p w14:paraId="2092DD84" w14:textId="0C99EACD" w:rsidR="005D7824" w:rsidRPr="00A10464" w:rsidRDefault="005D7824" w:rsidP="005D7824">
            <w:pPr>
              <w:spacing w:line="276" w:lineRule="auto"/>
              <w:contextualSpacing/>
              <w:rPr>
                <w:rFonts w:ascii="Arial" w:eastAsia="Calibri" w:hAnsi="Arial" w:cs="Arial"/>
                <w:b/>
                <w:noProof/>
                <w:color w:val="000000" w:themeColor="text1"/>
                <w:sz w:val="22"/>
                <w:lang w:val="es-ES_tradnl"/>
              </w:rPr>
            </w:pPr>
            <w:r w:rsidRPr="009464D4">
              <w:rPr>
                <w:rFonts w:ascii="Arial" w:eastAsia="Calibri" w:hAnsi="Arial" w:cs="Arial"/>
                <w:b/>
                <w:noProof/>
                <w:color w:val="000000" w:themeColor="text1"/>
                <w:sz w:val="22"/>
                <w:lang w:val="es-ES_tradnl"/>
              </w:rPr>
              <w:t>Temas:</w:t>
            </w:r>
            <w:r w:rsidRPr="009464D4">
              <w:rPr>
                <w:rFonts w:ascii="Arial" w:eastAsia="Calibri" w:hAnsi="Arial" w:cs="Arial"/>
                <w:noProof/>
                <w:color w:val="000000" w:themeColor="text1"/>
                <w:sz w:val="22"/>
                <w:lang w:val="es-ES_tradnl"/>
              </w:rPr>
              <w:t xml:space="preserve">        </w:t>
            </w:r>
          </w:p>
        </w:tc>
        <w:tc>
          <w:tcPr>
            <w:tcW w:w="6799" w:type="dxa"/>
            <w:hideMark/>
          </w:tcPr>
          <w:p w14:paraId="56D3D3C0" w14:textId="1035FEB3" w:rsidR="006F2EE7" w:rsidRPr="009464D4" w:rsidRDefault="006F2EE7" w:rsidP="006F2EE7">
            <w:pPr>
              <w:jc w:val="both"/>
              <w:rPr>
                <w:rFonts w:ascii="Arial" w:eastAsia="Times New Roman" w:hAnsi="Arial" w:cs="Arial"/>
                <w:color w:val="000000" w:themeColor="text1"/>
                <w:sz w:val="22"/>
                <w:lang w:val="es-ES" w:eastAsia="es-CO"/>
              </w:rPr>
            </w:pPr>
            <w:r w:rsidRPr="009464D4">
              <w:rPr>
                <w:rFonts w:ascii="Arial" w:hAnsi="Arial" w:cs="Arial"/>
                <w:color w:val="000000" w:themeColor="text1"/>
                <w:sz w:val="22"/>
              </w:rPr>
              <w:t xml:space="preserve">LEY DE GARANTÍAS ELECTORALES – Finalidad / </w:t>
            </w:r>
            <w:r w:rsidRPr="009464D4">
              <w:rPr>
                <w:rFonts w:ascii="Arial" w:eastAsia="Calibri" w:hAnsi="Arial" w:cs="Arial"/>
                <w:color w:val="000000" w:themeColor="text1"/>
                <w:sz w:val="22"/>
              </w:rPr>
              <w:t xml:space="preserve">LEY DE GARANTÍAS ELECTORALES ‒ Tipos de restricciones ‒ Ámbito temporal / LEY DE GARANTÍAS ELECTORALES ─ Prohibición ‒ Contratación directa ‒ Alcance / </w:t>
            </w:r>
            <w:r w:rsidRPr="009464D4">
              <w:rPr>
                <w:rFonts w:ascii="Arial" w:eastAsia="Times New Roman" w:hAnsi="Arial" w:cs="Arial"/>
                <w:color w:val="000000" w:themeColor="text1"/>
                <w:sz w:val="22"/>
                <w:lang w:val="es-CO" w:eastAsia="es-CO"/>
              </w:rPr>
              <w:t xml:space="preserve">LEY DE GARANTÍAS ELECTORALES ‒ Artículo 33– Excepciones / LEY DE GARANTÍAS ELECTORALES ‒ </w:t>
            </w:r>
            <w:r w:rsidRPr="009464D4">
              <w:rPr>
                <w:rFonts w:ascii="Arial" w:eastAsia="Times New Roman" w:hAnsi="Arial" w:cs="Arial"/>
                <w:color w:val="000000" w:themeColor="text1"/>
                <w:sz w:val="22"/>
                <w:lang w:val="es-ES" w:eastAsia="es-CO"/>
              </w:rPr>
              <w:t xml:space="preserve">Prohibición del artículo 33 de la Ley de garantías </w:t>
            </w:r>
            <w:r w:rsidRPr="009464D4">
              <w:rPr>
                <w:rFonts w:ascii="Arial" w:eastAsia="Times New Roman" w:hAnsi="Arial" w:cs="Arial"/>
                <w:color w:val="000000" w:themeColor="text1"/>
                <w:sz w:val="22"/>
                <w:lang w:val="es-CO" w:eastAsia="es-CO"/>
              </w:rPr>
              <w:t xml:space="preserve">‒ Destinatarios / </w:t>
            </w:r>
            <w:r w:rsidRPr="009464D4">
              <w:rPr>
                <w:rFonts w:ascii="Arial" w:eastAsia="Calibri" w:hAnsi="Arial" w:cs="Arial"/>
                <w:color w:val="000000" w:themeColor="text1"/>
                <w:sz w:val="22"/>
              </w:rPr>
              <w:t xml:space="preserve">LEY DE GARANTÍAS ELECTORALES ‒ Prohibición comicios cargos de elección popular – Convenios y contratos interadministrativos / CONTRATOS Y </w:t>
            </w:r>
            <w:r w:rsidRPr="009464D4">
              <w:rPr>
                <w:rFonts w:ascii="Arial" w:hAnsi="Arial" w:cs="Arial"/>
                <w:color w:val="000000" w:themeColor="text1"/>
                <w:sz w:val="22"/>
              </w:rPr>
              <w:t xml:space="preserve">CONVENIOS INTERADMINISTRATIVOS </w:t>
            </w:r>
            <w:r w:rsidRPr="009464D4">
              <w:rPr>
                <w:rFonts w:ascii="Arial" w:eastAsia="Calibri" w:hAnsi="Arial" w:cs="Arial"/>
                <w:color w:val="000000" w:themeColor="text1"/>
                <w:sz w:val="22"/>
              </w:rPr>
              <w:t xml:space="preserve">– Definición – Criterio orgánico / CONTRATOS Y </w:t>
            </w:r>
            <w:r w:rsidRPr="009464D4">
              <w:rPr>
                <w:rFonts w:ascii="Arial" w:hAnsi="Arial" w:cs="Arial"/>
                <w:color w:val="000000" w:themeColor="text1"/>
                <w:sz w:val="22"/>
              </w:rPr>
              <w:t xml:space="preserve">CONVENIOS INTERADMINISTRATIVOS </w:t>
            </w:r>
            <w:r w:rsidRPr="009464D4">
              <w:rPr>
                <w:rFonts w:ascii="Arial" w:eastAsia="Calibri" w:hAnsi="Arial" w:cs="Arial"/>
                <w:color w:val="000000" w:themeColor="text1"/>
                <w:sz w:val="22"/>
              </w:rPr>
              <w:t xml:space="preserve">– Entidades con régimen especial de contratación – Procedencia / CONTRATOS Y </w:t>
            </w:r>
            <w:r w:rsidRPr="009464D4">
              <w:rPr>
                <w:rFonts w:ascii="Arial" w:hAnsi="Arial" w:cs="Arial"/>
                <w:color w:val="000000" w:themeColor="text1"/>
                <w:sz w:val="22"/>
              </w:rPr>
              <w:t xml:space="preserve">CONVENIOS INTERADMINISTRATIVOS – Modalidad de selección / </w:t>
            </w:r>
            <w:r w:rsidRPr="009464D4">
              <w:rPr>
                <w:rFonts w:ascii="Arial" w:eastAsia="Calibri" w:hAnsi="Arial" w:cs="Arial"/>
                <w:color w:val="000000" w:themeColor="text1"/>
                <w:sz w:val="22"/>
              </w:rPr>
              <w:t>LEY 2159 DE 2021 – Ley Anual de Presupuesto – Modificación – Parágrafo del artículo 38 de la Ley de Garantías – Transitoriedad / MODIFICACIÓN DE LA LEY 2159 DE 2021 – Ley Anual de Presupuesto – Modificación – Parágrafo del artículo 38 – Artículo 33 – Ley de Garantías / LEY 2159 DE 2021 – Ley Anual de Presupuesto – Artículo 124 – Modificación – Parágrafo del artículo 38 de la Ley de Garantías – Nación – Entidades descentralizadas / LEY 2159 DE 2021 – Ley Anual de Presupuesto – Parágrafo del artículo 38 de la Ley de Garantías – Gastos de inversión – Proyectos y programas de inversión – Plan Nacional de Desarrollo</w:t>
            </w:r>
          </w:p>
          <w:p w14:paraId="084EF197" w14:textId="77777777" w:rsidR="005D7824" w:rsidRPr="009464D4" w:rsidRDefault="005D7824" w:rsidP="005D7824">
            <w:pPr>
              <w:spacing w:after="120" w:line="276" w:lineRule="auto"/>
              <w:contextualSpacing/>
              <w:jc w:val="both"/>
              <w:rPr>
                <w:rFonts w:ascii="Arial" w:eastAsia="Calibri" w:hAnsi="Arial" w:cs="Arial"/>
                <w:color w:val="000000" w:themeColor="text1"/>
                <w:sz w:val="22"/>
              </w:rPr>
            </w:pPr>
          </w:p>
        </w:tc>
      </w:tr>
      <w:tr w:rsidR="005D7824" w:rsidRPr="009464D4" w14:paraId="245A21CD" w14:textId="77777777" w:rsidTr="00293656">
        <w:tc>
          <w:tcPr>
            <w:tcW w:w="2127" w:type="dxa"/>
          </w:tcPr>
          <w:p w14:paraId="547FD255" w14:textId="77777777" w:rsidR="005D7824" w:rsidRPr="009464D4" w:rsidRDefault="005D7824" w:rsidP="005D7824">
            <w:pPr>
              <w:spacing w:line="276" w:lineRule="auto"/>
              <w:contextualSpacing/>
              <w:rPr>
                <w:rFonts w:ascii="Arial" w:eastAsia="Calibri" w:hAnsi="Arial" w:cs="Arial"/>
                <w:b/>
                <w:noProof/>
                <w:color w:val="000000" w:themeColor="text1"/>
                <w:sz w:val="22"/>
                <w:lang w:val="es-ES_tradnl"/>
              </w:rPr>
            </w:pPr>
            <w:r w:rsidRPr="009464D4">
              <w:rPr>
                <w:rFonts w:ascii="Arial" w:eastAsia="Calibri" w:hAnsi="Arial" w:cs="Arial"/>
                <w:b/>
                <w:noProof/>
                <w:color w:val="000000" w:themeColor="text1"/>
                <w:sz w:val="22"/>
                <w:lang w:val="es-ES_tradnl"/>
              </w:rPr>
              <w:lastRenderedPageBreak/>
              <w:t>Radicación:</w:t>
            </w:r>
            <w:r w:rsidRPr="009464D4">
              <w:rPr>
                <w:rFonts w:ascii="Arial" w:eastAsia="Calibri" w:hAnsi="Arial" w:cs="Arial"/>
                <w:noProof/>
                <w:color w:val="000000" w:themeColor="text1"/>
                <w:sz w:val="22"/>
                <w:lang w:val="es-ES_tradnl"/>
              </w:rPr>
              <w:t xml:space="preserve">                              </w:t>
            </w:r>
          </w:p>
        </w:tc>
        <w:tc>
          <w:tcPr>
            <w:tcW w:w="6799" w:type="dxa"/>
          </w:tcPr>
          <w:p w14:paraId="46B4E24B" w14:textId="77777777" w:rsidR="005D7824" w:rsidRPr="009464D4" w:rsidRDefault="005D7824" w:rsidP="005D7824">
            <w:pPr>
              <w:spacing w:line="276" w:lineRule="auto"/>
              <w:contextualSpacing/>
              <w:jc w:val="both"/>
              <w:rPr>
                <w:rFonts w:ascii="Arial" w:eastAsia="Calibri" w:hAnsi="Arial" w:cs="Arial"/>
                <w:noProof/>
                <w:color w:val="000000" w:themeColor="text1"/>
                <w:sz w:val="22"/>
                <w:lang w:val="es-ES_tradnl"/>
              </w:rPr>
            </w:pPr>
            <w:r w:rsidRPr="009464D4">
              <w:rPr>
                <w:rFonts w:ascii="Arial" w:eastAsia="Calibri" w:hAnsi="Arial" w:cs="Arial"/>
                <w:noProof/>
                <w:color w:val="000000" w:themeColor="text1"/>
                <w:sz w:val="22"/>
                <w:lang w:val="es-ES_tradnl"/>
              </w:rPr>
              <w:t>Respuesta a consulta P20220104000037</w:t>
            </w:r>
          </w:p>
        </w:tc>
      </w:tr>
    </w:tbl>
    <w:p w14:paraId="30CF850C" w14:textId="77777777" w:rsidR="005D7824" w:rsidRPr="009464D4" w:rsidRDefault="005D7824" w:rsidP="005D7824">
      <w:pPr>
        <w:spacing w:line="276" w:lineRule="auto"/>
        <w:jc w:val="both"/>
        <w:rPr>
          <w:rFonts w:ascii="Arial" w:eastAsia="Calibri" w:hAnsi="Arial" w:cs="Arial"/>
          <w:color w:val="000000" w:themeColor="text1"/>
          <w:sz w:val="22"/>
          <w:lang w:val="es-CO"/>
        </w:rPr>
      </w:pPr>
    </w:p>
    <w:p w14:paraId="242FF374" w14:textId="77777777" w:rsidR="005D7824" w:rsidRPr="009464D4" w:rsidRDefault="005D7824" w:rsidP="005D7824">
      <w:pPr>
        <w:spacing w:line="276" w:lineRule="auto"/>
        <w:jc w:val="both"/>
        <w:rPr>
          <w:rFonts w:ascii="Arial" w:eastAsia="Calibri" w:hAnsi="Arial" w:cs="Arial"/>
          <w:color w:val="000000" w:themeColor="text1"/>
          <w:sz w:val="22"/>
          <w:lang w:val="es-CO"/>
        </w:rPr>
      </w:pPr>
    </w:p>
    <w:p w14:paraId="5E9B77AA" w14:textId="77777777" w:rsidR="005D7824" w:rsidRPr="009464D4" w:rsidRDefault="005D7824" w:rsidP="005D7824">
      <w:pPr>
        <w:spacing w:line="276" w:lineRule="auto"/>
        <w:jc w:val="both"/>
        <w:rPr>
          <w:rFonts w:ascii="Arial" w:eastAsia="Calibri" w:hAnsi="Arial" w:cs="Arial"/>
          <w:color w:val="000000" w:themeColor="text1"/>
          <w:sz w:val="22"/>
          <w:lang w:val="es-CO"/>
        </w:rPr>
      </w:pPr>
      <w:r w:rsidRPr="009464D4">
        <w:rPr>
          <w:rFonts w:ascii="Arial" w:eastAsia="Calibri" w:hAnsi="Arial" w:cs="Arial"/>
          <w:color w:val="000000" w:themeColor="text1"/>
          <w:sz w:val="22"/>
          <w:lang w:val="es-CO"/>
        </w:rPr>
        <w:t>Estimado señor Bustamante:</w:t>
      </w:r>
    </w:p>
    <w:p w14:paraId="0D4A9C63" w14:textId="77777777" w:rsidR="005D7824" w:rsidRPr="009464D4" w:rsidRDefault="005D7824" w:rsidP="005D7824">
      <w:pPr>
        <w:spacing w:line="276" w:lineRule="auto"/>
        <w:ind w:firstLine="709"/>
        <w:jc w:val="both"/>
        <w:rPr>
          <w:rFonts w:ascii="Arial" w:eastAsia="Calibri" w:hAnsi="Arial" w:cs="Arial"/>
          <w:color w:val="000000" w:themeColor="text1"/>
          <w:sz w:val="22"/>
          <w:lang w:val="es-CO"/>
        </w:rPr>
      </w:pPr>
    </w:p>
    <w:p w14:paraId="025E3D76" w14:textId="64794386" w:rsidR="005D7824" w:rsidRPr="009464D4" w:rsidRDefault="005D7824" w:rsidP="005D7824">
      <w:pPr>
        <w:spacing w:line="276" w:lineRule="auto"/>
        <w:ind w:right="51"/>
        <w:jc w:val="both"/>
        <w:rPr>
          <w:rFonts w:ascii="Arial" w:eastAsia="Calibri" w:hAnsi="Arial" w:cs="Arial"/>
          <w:color w:val="000000" w:themeColor="text1"/>
          <w:sz w:val="22"/>
          <w:lang w:val="es-CO"/>
        </w:rPr>
      </w:pPr>
      <w:r w:rsidRPr="009464D4">
        <w:rPr>
          <w:rFonts w:ascii="Arial" w:eastAsia="Calibri" w:hAnsi="Arial" w:cs="Arial"/>
          <w:color w:val="000000" w:themeColor="text1"/>
          <w:sz w:val="22"/>
          <w:lang w:val="es-CO"/>
        </w:rPr>
        <w:t xml:space="preserve">En ejercicio de la competencia otorgada por el numeral 8 del artículo 11 y el numeral 5 del artículo 3 del Decreto Ley 4170 de 2011, </w:t>
      </w:r>
      <w:r w:rsidR="003A3FD0" w:rsidRPr="009464D4">
        <w:rPr>
          <w:rFonts w:ascii="Arial MT" w:eastAsia="Arial MT" w:hAnsi="Arial MT" w:cs="Arial MT"/>
          <w:sz w:val="22"/>
          <w:lang w:val="es-ES"/>
        </w:rPr>
        <w:t>y</w:t>
      </w:r>
      <w:r w:rsidR="003A3FD0" w:rsidRPr="009464D4">
        <w:rPr>
          <w:rFonts w:ascii="Arial MT" w:eastAsia="Arial MT" w:hAnsi="Arial MT" w:cs="Arial MT"/>
          <w:spacing w:val="-7"/>
          <w:sz w:val="22"/>
          <w:lang w:val="es-ES"/>
        </w:rPr>
        <w:t xml:space="preserve"> </w:t>
      </w:r>
      <w:r w:rsidR="003A3FD0" w:rsidRPr="009464D4">
        <w:rPr>
          <w:rFonts w:ascii="Arial MT" w:eastAsia="Arial MT" w:hAnsi="Arial MT" w:cs="Arial MT"/>
          <w:sz w:val="22"/>
          <w:lang w:val="es-ES"/>
        </w:rPr>
        <w:t>dentro</w:t>
      </w:r>
      <w:r w:rsidR="003A3FD0" w:rsidRPr="009464D4">
        <w:rPr>
          <w:rFonts w:ascii="Arial MT" w:eastAsia="Arial MT" w:hAnsi="Arial MT" w:cs="Arial MT"/>
          <w:spacing w:val="-7"/>
          <w:sz w:val="22"/>
          <w:lang w:val="es-ES"/>
        </w:rPr>
        <w:t xml:space="preserve"> </w:t>
      </w:r>
      <w:r w:rsidR="003A3FD0" w:rsidRPr="009464D4">
        <w:rPr>
          <w:rFonts w:ascii="Arial MT" w:eastAsia="Arial MT" w:hAnsi="Arial MT" w:cs="Arial MT"/>
          <w:sz w:val="22"/>
          <w:lang w:val="es-ES"/>
        </w:rPr>
        <w:t>de</w:t>
      </w:r>
      <w:r w:rsidR="003A3FD0" w:rsidRPr="009464D4">
        <w:rPr>
          <w:rFonts w:ascii="Arial MT" w:eastAsia="Arial MT" w:hAnsi="Arial MT" w:cs="Arial MT"/>
          <w:spacing w:val="-8"/>
          <w:sz w:val="22"/>
          <w:lang w:val="es-ES"/>
        </w:rPr>
        <w:t xml:space="preserve"> </w:t>
      </w:r>
      <w:r w:rsidR="003A3FD0" w:rsidRPr="009464D4">
        <w:rPr>
          <w:rFonts w:ascii="Arial MT" w:eastAsia="Arial MT" w:hAnsi="Arial MT" w:cs="Arial MT"/>
          <w:sz w:val="22"/>
          <w:lang w:val="es-ES"/>
        </w:rPr>
        <w:t>los</w:t>
      </w:r>
      <w:r w:rsidR="003A3FD0" w:rsidRPr="009464D4">
        <w:rPr>
          <w:rFonts w:ascii="Arial MT" w:eastAsia="Arial MT" w:hAnsi="Arial MT" w:cs="Arial MT"/>
          <w:spacing w:val="-7"/>
          <w:sz w:val="22"/>
          <w:lang w:val="es-ES"/>
        </w:rPr>
        <w:t xml:space="preserve"> </w:t>
      </w:r>
      <w:r w:rsidR="003A3FD0" w:rsidRPr="009464D4">
        <w:rPr>
          <w:rFonts w:ascii="Arial MT" w:eastAsia="Arial MT" w:hAnsi="Arial MT" w:cs="Arial MT"/>
          <w:sz w:val="22"/>
          <w:lang w:val="es-ES"/>
        </w:rPr>
        <w:t>términos</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establecidos</w:t>
      </w:r>
      <w:r w:rsidR="003A3FD0" w:rsidRPr="009464D4">
        <w:rPr>
          <w:rFonts w:ascii="Arial MT" w:eastAsia="Arial MT" w:hAnsi="Arial MT" w:cs="Arial MT"/>
          <w:spacing w:val="-8"/>
          <w:sz w:val="22"/>
          <w:lang w:val="es-ES"/>
        </w:rPr>
        <w:t xml:space="preserve"> </w:t>
      </w:r>
      <w:r w:rsidR="003A3FD0" w:rsidRPr="009464D4">
        <w:rPr>
          <w:rFonts w:ascii="Arial MT" w:eastAsia="Arial MT" w:hAnsi="Arial MT" w:cs="Arial MT"/>
          <w:sz w:val="22"/>
          <w:lang w:val="es-ES"/>
        </w:rPr>
        <w:t>en</w:t>
      </w:r>
      <w:r w:rsidR="003A3FD0" w:rsidRPr="009464D4">
        <w:rPr>
          <w:rFonts w:ascii="Arial MT" w:eastAsia="Arial MT" w:hAnsi="Arial MT" w:cs="Arial MT"/>
          <w:spacing w:val="-7"/>
          <w:sz w:val="22"/>
          <w:lang w:val="es-ES"/>
        </w:rPr>
        <w:t xml:space="preserve"> </w:t>
      </w:r>
      <w:r w:rsidR="003A3FD0" w:rsidRPr="009464D4">
        <w:rPr>
          <w:rFonts w:ascii="Arial MT" w:eastAsia="Arial MT" w:hAnsi="Arial MT" w:cs="Arial MT"/>
          <w:sz w:val="22"/>
          <w:lang w:val="es-ES"/>
        </w:rPr>
        <w:t>el artículo</w:t>
      </w:r>
      <w:r w:rsidR="003A3FD0" w:rsidRPr="009464D4">
        <w:rPr>
          <w:rFonts w:ascii="Arial MT" w:eastAsia="Arial MT" w:hAnsi="Arial MT" w:cs="Arial MT"/>
          <w:spacing w:val="-7"/>
          <w:sz w:val="22"/>
          <w:lang w:val="es-ES"/>
        </w:rPr>
        <w:t xml:space="preserve"> </w:t>
      </w:r>
      <w:r w:rsidR="003A3FD0" w:rsidRPr="009464D4">
        <w:rPr>
          <w:rFonts w:ascii="Arial MT" w:eastAsia="Arial MT" w:hAnsi="Arial MT" w:cs="Arial MT"/>
          <w:sz w:val="22"/>
          <w:lang w:val="es-ES"/>
        </w:rPr>
        <w:t>14</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de</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la</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Ley</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1437</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de</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2011,</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modificados</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por</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el</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artículo</w:t>
      </w:r>
      <w:r w:rsidR="003A3FD0" w:rsidRPr="009464D4">
        <w:rPr>
          <w:rFonts w:ascii="Arial MT" w:eastAsia="Arial MT" w:hAnsi="Arial MT" w:cs="Arial MT"/>
          <w:spacing w:val="-7"/>
          <w:sz w:val="22"/>
          <w:lang w:val="es-ES"/>
        </w:rPr>
        <w:t xml:space="preserve"> </w:t>
      </w:r>
      <w:r w:rsidR="003A3FD0" w:rsidRPr="009464D4">
        <w:rPr>
          <w:rFonts w:ascii="Arial MT" w:eastAsia="Arial MT" w:hAnsi="Arial MT" w:cs="Arial MT"/>
          <w:sz w:val="22"/>
          <w:lang w:val="es-ES"/>
        </w:rPr>
        <w:t>5</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del</w:t>
      </w:r>
      <w:r w:rsidR="003A3FD0" w:rsidRPr="009464D4">
        <w:rPr>
          <w:rFonts w:ascii="Arial MT" w:eastAsia="Arial MT" w:hAnsi="Arial MT" w:cs="Arial MT"/>
          <w:spacing w:val="-6"/>
          <w:sz w:val="22"/>
          <w:lang w:val="es-ES"/>
        </w:rPr>
        <w:t xml:space="preserve"> </w:t>
      </w:r>
      <w:r w:rsidR="003A3FD0" w:rsidRPr="009464D4">
        <w:rPr>
          <w:rFonts w:ascii="Arial MT" w:eastAsia="Arial MT" w:hAnsi="Arial MT" w:cs="Arial MT"/>
          <w:sz w:val="22"/>
          <w:lang w:val="es-ES"/>
        </w:rPr>
        <w:t>Decreto</w:t>
      </w:r>
      <w:r w:rsidR="003A3FD0" w:rsidRPr="009464D4">
        <w:rPr>
          <w:rFonts w:ascii="Arial MT" w:eastAsia="Arial MT" w:hAnsi="Arial MT" w:cs="Arial MT"/>
          <w:spacing w:val="-6"/>
          <w:sz w:val="22"/>
          <w:lang w:val="es-ES"/>
        </w:rPr>
        <w:t xml:space="preserve"> </w:t>
      </w:r>
      <w:r w:rsidR="00DE58DC" w:rsidRPr="009464D4">
        <w:rPr>
          <w:rFonts w:ascii="Arial MT" w:eastAsia="Arial MT" w:hAnsi="Arial MT" w:cs="Arial MT"/>
          <w:sz w:val="22"/>
          <w:lang w:val="es-ES"/>
        </w:rPr>
        <w:t>Legislativo 491</w:t>
      </w:r>
      <w:r w:rsidR="003A3FD0" w:rsidRPr="009464D4">
        <w:rPr>
          <w:rFonts w:ascii="Arial MT" w:eastAsia="Arial MT" w:hAnsi="Arial MT" w:cs="Arial MT"/>
          <w:sz w:val="22"/>
          <w:lang w:val="es-ES"/>
        </w:rPr>
        <w:t xml:space="preserve"> del 28 de marzo de 2020, </w:t>
      </w:r>
      <w:r w:rsidRPr="009464D4">
        <w:rPr>
          <w:rFonts w:ascii="Arial" w:eastAsia="Calibri" w:hAnsi="Arial" w:cs="Arial"/>
          <w:color w:val="000000" w:themeColor="text1"/>
          <w:sz w:val="22"/>
          <w:lang w:val="es-CO"/>
        </w:rPr>
        <w:t xml:space="preserve">la Agencia Nacional de Contratación Pública – Colombia Compra Eficiente responde la consulta realizada el 3 de enero de 2022. </w:t>
      </w:r>
    </w:p>
    <w:p w14:paraId="746893E2" w14:textId="77777777" w:rsidR="005D7824" w:rsidRPr="009464D4" w:rsidRDefault="005D7824" w:rsidP="005D7824">
      <w:pPr>
        <w:spacing w:line="276" w:lineRule="auto"/>
        <w:jc w:val="both"/>
        <w:rPr>
          <w:rFonts w:ascii="Arial" w:eastAsia="Calibri" w:hAnsi="Arial" w:cs="Arial"/>
          <w:color w:val="000000" w:themeColor="text1"/>
          <w:sz w:val="22"/>
          <w:lang w:val="es-CO"/>
        </w:rPr>
      </w:pPr>
    </w:p>
    <w:p w14:paraId="6AFE31E6" w14:textId="77777777" w:rsidR="005D7824" w:rsidRPr="009464D4" w:rsidRDefault="005D7824" w:rsidP="005D7824">
      <w:pPr>
        <w:tabs>
          <w:tab w:val="left" w:pos="284"/>
        </w:tabs>
        <w:spacing w:line="276" w:lineRule="auto"/>
        <w:jc w:val="both"/>
        <w:rPr>
          <w:rFonts w:ascii="Arial" w:eastAsia="Calibri" w:hAnsi="Arial" w:cs="Arial"/>
          <w:b/>
          <w:color w:val="000000" w:themeColor="text1"/>
          <w:sz w:val="22"/>
          <w:lang w:val="es-CO"/>
        </w:rPr>
      </w:pPr>
      <w:r w:rsidRPr="009464D4">
        <w:rPr>
          <w:rFonts w:ascii="Arial" w:eastAsia="Calibri" w:hAnsi="Arial" w:cs="Arial"/>
          <w:b/>
          <w:color w:val="000000" w:themeColor="text1"/>
          <w:sz w:val="22"/>
          <w:lang w:val="es-CO"/>
        </w:rPr>
        <w:t xml:space="preserve">1. Problema planteado </w:t>
      </w:r>
    </w:p>
    <w:p w14:paraId="34CD2B95" w14:textId="26FB8125" w:rsidR="005D7824" w:rsidRPr="009464D4" w:rsidRDefault="005D7824" w:rsidP="005D7824">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Cs w:val="24"/>
          <w:lang w:val="es-CO" w:eastAsia="es-ES_tradnl"/>
        </w:rPr>
      </w:pPr>
      <w:bookmarkStart w:id="12" w:name="_Hlk58917991"/>
      <w:bookmarkStart w:id="13" w:name="_Hlk56103000"/>
      <w:r w:rsidRPr="009464D4">
        <w:rPr>
          <w:rFonts w:ascii="Arial" w:eastAsia="Times New Roman" w:hAnsi="Arial" w:cs="Arial"/>
          <w:color w:val="000000" w:themeColor="text1"/>
          <w:sz w:val="22"/>
          <w:shd w:val="clear" w:color="auto" w:fill="FFFFFF"/>
          <w:lang w:val="es-CO" w:eastAsia="es-CO"/>
        </w:rPr>
        <w:t xml:space="preserve">Usted realiza la siguiente pregunta, relacionada con el alcance de la Ley de Garantías Electorales: </w:t>
      </w:r>
      <w:r w:rsidRPr="009464D4">
        <w:rPr>
          <w:rFonts w:ascii="Arial" w:eastAsia="Times New Roman" w:hAnsi="Arial" w:cs="Arial"/>
          <w:color w:val="000000" w:themeColor="text1"/>
          <w:sz w:val="22"/>
          <w:lang w:val="es-CO" w:eastAsia="es-ES_tradnl"/>
        </w:rPr>
        <w:t xml:space="preserve">¿Puede una entidad territorial (alcaldía) celebrar contrato y/o convenio interadministrativo con una asociación de municipio o con otra entidad </w:t>
      </w:r>
      <w:proofErr w:type="spellStart"/>
      <w:r w:rsidRPr="009464D4">
        <w:rPr>
          <w:rFonts w:ascii="Arial" w:eastAsia="Times New Roman" w:hAnsi="Arial" w:cs="Arial"/>
          <w:color w:val="000000" w:themeColor="text1"/>
          <w:sz w:val="22"/>
          <w:lang w:val="es-CO" w:eastAsia="es-ES_tradnl"/>
        </w:rPr>
        <w:t>territoria</w:t>
      </w:r>
      <w:proofErr w:type="spellEnd"/>
      <w:r w:rsidR="009C23A2" w:rsidRPr="009464D4">
        <w:rPr>
          <w:rFonts w:ascii="Arial" w:eastAsia="Times New Roman" w:hAnsi="Arial" w:cs="Arial"/>
          <w:color w:val="000000" w:themeColor="text1"/>
          <w:sz w:val="22"/>
          <w:lang w:val="es-CO" w:eastAsia="es-ES_tradnl"/>
        </w:rPr>
        <w:t>[l]</w:t>
      </w:r>
      <w:r w:rsidRPr="009464D4">
        <w:rPr>
          <w:rFonts w:ascii="Arial" w:eastAsia="Times New Roman" w:hAnsi="Arial" w:cs="Arial"/>
          <w:color w:val="000000" w:themeColor="text1"/>
          <w:sz w:val="22"/>
          <w:lang w:val="es-CO" w:eastAsia="es-ES_tradnl"/>
        </w:rPr>
        <w:t>, en vigencia de la Ley 2159 de 2021?</w:t>
      </w:r>
      <w:r w:rsidRPr="009464D4">
        <w:rPr>
          <w:rFonts w:ascii="Calibri" w:eastAsia="Times New Roman" w:hAnsi="Calibri" w:cs="Calibri"/>
          <w:color w:val="000000" w:themeColor="text1"/>
          <w:sz w:val="20"/>
          <w:szCs w:val="20"/>
          <w:lang w:val="es-CO" w:eastAsia="es-ES_tradnl"/>
        </w:rPr>
        <w:t xml:space="preserve"> </w:t>
      </w:r>
    </w:p>
    <w:bookmarkEnd w:id="12"/>
    <w:bookmarkEnd w:id="13"/>
    <w:p w14:paraId="3E0DC3AD" w14:textId="77777777" w:rsidR="005D7824" w:rsidRPr="009464D4" w:rsidRDefault="005D7824" w:rsidP="005D7824">
      <w:pPr>
        <w:tabs>
          <w:tab w:val="left" w:pos="284"/>
        </w:tabs>
        <w:spacing w:line="276" w:lineRule="auto"/>
        <w:jc w:val="both"/>
        <w:rPr>
          <w:rFonts w:ascii="Arial" w:eastAsia="Calibri" w:hAnsi="Arial" w:cs="Arial"/>
          <w:b/>
          <w:color w:val="000000" w:themeColor="text1"/>
          <w:sz w:val="22"/>
          <w:lang w:val="es-CO"/>
        </w:rPr>
      </w:pPr>
      <w:r w:rsidRPr="009464D4">
        <w:rPr>
          <w:rFonts w:ascii="Arial" w:eastAsia="Calibri" w:hAnsi="Arial" w:cs="Arial"/>
          <w:b/>
          <w:color w:val="000000" w:themeColor="text1"/>
          <w:sz w:val="22"/>
          <w:lang w:val="es-CO"/>
        </w:rPr>
        <w:t>2. Consideraciones</w:t>
      </w:r>
    </w:p>
    <w:p w14:paraId="3118A7CE" w14:textId="77777777" w:rsidR="005D7824" w:rsidRPr="009464D4" w:rsidRDefault="005D7824" w:rsidP="005D7824">
      <w:pPr>
        <w:tabs>
          <w:tab w:val="left" w:pos="426"/>
        </w:tabs>
        <w:spacing w:line="276" w:lineRule="auto"/>
        <w:ind w:firstLine="709"/>
        <w:jc w:val="both"/>
        <w:rPr>
          <w:rFonts w:ascii="Arial" w:eastAsia="Calibri" w:hAnsi="Arial" w:cs="Arial"/>
          <w:bCs/>
          <w:color w:val="000000" w:themeColor="text1"/>
          <w:sz w:val="22"/>
          <w:lang w:val="es-CO"/>
        </w:rPr>
      </w:pPr>
    </w:p>
    <w:p w14:paraId="19EA4927" w14:textId="77777777" w:rsidR="005D7824" w:rsidRPr="009464D4" w:rsidRDefault="005D7824" w:rsidP="005D7824">
      <w:pPr>
        <w:spacing w:after="120" w:line="276" w:lineRule="auto"/>
        <w:jc w:val="both"/>
        <w:rPr>
          <w:rFonts w:ascii="Arial" w:eastAsiaTheme="minorHAnsi" w:hAnsi="Arial" w:cs="Arial"/>
          <w:bCs/>
          <w:color w:val="000000" w:themeColor="text1"/>
          <w:sz w:val="22"/>
        </w:rPr>
      </w:pPr>
      <w:r w:rsidRPr="009464D4">
        <w:rPr>
          <w:rFonts w:ascii="Arial" w:eastAsiaTheme="minorHAnsi" w:hAnsi="Arial" w:cs="Arial"/>
          <w:bCs/>
          <w:color w:val="000000" w:themeColor="text1"/>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9464D4">
        <w:rPr>
          <w:rFonts w:ascii="Arial" w:eastAsiaTheme="minorHAnsi" w:hAnsi="Arial" w:cs="Arial"/>
          <w:color w:val="000000" w:themeColor="text1"/>
          <w:sz w:val="22"/>
          <w:vertAlign w:val="superscript"/>
          <w:lang w:val="es-ES"/>
        </w:rPr>
        <w:footnoteReference w:id="1"/>
      </w:r>
      <w:r w:rsidRPr="009464D4">
        <w:rPr>
          <w:rFonts w:ascii="Arial" w:eastAsiaTheme="minorHAnsi" w:hAnsi="Arial" w:cs="Arial"/>
          <w:bCs/>
          <w:color w:val="000000" w:themeColor="text1"/>
          <w:sz w:val="22"/>
        </w:rPr>
        <w:t>.</w:t>
      </w:r>
    </w:p>
    <w:p w14:paraId="4C05234D" w14:textId="77777777" w:rsidR="005D7824" w:rsidRPr="009464D4" w:rsidRDefault="005D7824" w:rsidP="005D7824">
      <w:pPr>
        <w:tabs>
          <w:tab w:val="left" w:pos="426"/>
        </w:tabs>
        <w:spacing w:after="120" w:line="276" w:lineRule="auto"/>
        <w:jc w:val="both"/>
        <w:rPr>
          <w:rFonts w:ascii="Arial" w:eastAsia="Calibri" w:hAnsi="Arial" w:cs="Arial"/>
          <w:bCs/>
          <w:color w:val="000000" w:themeColor="text1"/>
          <w:sz w:val="22"/>
          <w:lang w:val="es-CO"/>
        </w:rPr>
      </w:pPr>
      <w:r w:rsidRPr="009464D4">
        <w:rPr>
          <w:rFonts w:ascii="Arial" w:eastAsia="Calibri" w:hAnsi="Arial" w:cs="Arial"/>
          <w:color w:val="000000" w:themeColor="text1"/>
          <w:sz w:val="22"/>
          <w:lang w:val="es-ES"/>
        </w:rPr>
        <w:tab/>
      </w:r>
      <w:r w:rsidRPr="009464D4">
        <w:rPr>
          <w:rFonts w:ascii="Arial" w:eastAsia="Calibri" w:hAnsi="Arial" w:cs="Arial"/>
          <w:color w:val="000000" w:themeColor="text1"/>
          <w:sz w:val="22"/>
          <w:lang w:val="es-ES"/>
        </w:rPr>
        <w:tab/>
        <w:t>Por ello, esta Subdirección –dentro de los límites de sus atribuciones</w:t>
      </w:r>
      <w:r w:rsidRPr="009464D4">
        <w:rPr>
          <w:rFonts w:ascii="Arial" w:eastAsia="Calibri" w:hAnsi="Arial" w:cs="Arial"/>
          <w:color w:val="000000" w:themeColor="text1"/>
          <w:sz w:val="22"/>
          <w:vertAlign w:val="superscript"/>
          <w:lang w:val="es-ES"/>
        </w:rPr>
        <w:footnoteReference w:id="2"/>
      </w:r>
      <w:r w:rsidRPr="009464D4">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Pr="009464D4">
        <w:rPr>
          <w:rFonts w:ascii="Arial" w:eastAsia="Calibri" w:hAnsi="Arial" w:cs="Arial"/>
          <w:bCs/>
          <w:color w:val="000000" w:themeColor="text1"/>
          <w:sz w:val="22"/>
          <w:lang w:val="es-CO"/>
        </w:rPr>
        <w:t xml:space="preserve"> i) definición y finalidad de la Ley de Garantías </w:t>
      </w:r>
      <w:r w:rsidRPr="009464D4">
        <w:rPr>
          <w:rFonts w:ascii="Arial" w:eastAsia="Calibri" w:hAnsi="Arial" w:cs="Arial"/>
          <w:bCs/>
          <w:color w:val="000000" w:themeColor="text1"/>
          <w:sz w:val="22"/>
          <w:lang w:val="es-CO"/>
        </w:rPr>
        <w:lastRenderedPageBreak/>
        <w:t xml:space="preserve">Electorales, </w:t>
      </w:r>
      <w:proofErr w:type="spellStart"/>
      <w:r w:rsidRPr="009464D4">
        <w:rPr>
          <w:rFonts w:ascii="Arial" w:eastAsia="Calibri" w:hAnsi="Arial" w:cs="Arial"/>
          <w:bCs/>
          <w:color w:val="000000" w:themeColor="text1"/>
          <w:sz w:val="22"/>
          <w:lang w:val="es-CO"/>
        </w:rPr>
        <w:t>ii</w:t>
      </w:r>
      <w:proofErr w:type="spellEnd"/>
      <w:r w:rsidRPr="009464D4">
        <w:rPr>
          <w:rFonts w:ascii="Arial" w:eastAsia="Calibri" w:hAnsi="Arial" w:cs="Arial"/>
          <w:bCs/>
          <w:color w:val="000000" w:themeColor="text1"/>
          <w:sz w:val="22"/>
          <w:lang w:val="es-CO"/>
        </w:rPr>
        <w:t xml:space="preserve">) restricciones </w:t>
      </w:r>
      <w:r w:rsidRPr="009464D4">
        <w:rPr>
          <w:rFonts w:ascii="Arial" w:eastAsia="Calibri" w:hAnsi="Arial" w:cs="Arial"/>
          <w:bCs/>
          <w:color w:val="000000" w:themeColor="text1"/>
          <w:sz w:val="22"/>
        </w:rPr>
        <w:t xml:space="preserve">para elecciones presidenciales, </w:t>
      </w:r>
      <w:proofErr w:type="spellStart"/>
      <w:r w:rsidRPr="009464D4">
        <w:rPr>
          <w:rFonts w:ascii="Arial" w:eastAsia="Calibri" w:hAnsi="Arial" w:cs="Arial"/>
          <w:bCs/>
          <w:color w:val="000000" w:themeColor="text1"/>
          <w:sz w:val="22"/>
        </w:rPr>
        <w:t>iii</w:t>
      </w:r>
      <w:proofErr w:type="spellEnd"/>
      <w:r w:rsidRPr="009464D4">
        <w:rPr>
          <w:rFonts w:ascii="Arial" w:eastAsia="Calibri" w:hAnsi="Arial" w:cs="Arial"/>
          <w:bCs/>
          <w:color w:val="000000" w:themeColor="text1"/>
          <w:sz w:val="22"/>
        </w:rPr>
        <w:t xml:space="preserve">) destinatarios de la prohibición del artículo 33 de la Ley 996 de 2005, </w:t>
      </w:r>
      <w:proofErr w:type="spellStart"/>
      <w:r w:rsidRPr="009464D4">
        <w:rPr>
          <w:rFonts w:ascii="Arial" w:eastAsia="Calibri" w:hAnsi="Arial" w:cs="Arial"/>
          <w:bCs/>
          <w:color w:val="000000" w:themeColor="text1"/>
          <w:sz w:val="22"/>
        </w:rPr>
        <w:t>iv</w:t>
      </w:r>
      <w:proofErr w:type="spellEnd"/>
      <w:r w:rsidRPr="009464D4">
        <w:rPr>
          <w:rFonts w:ascii="Arial" w:eastAsia="Calibri" w:hAnsi="Arial" w:cs="Arial"/>
          <w:bCs/>
          <w:color w:val="000000" w:themeColor="text1"/>
          <w:sz w:val="22"/>
        </w:rPr>
        <w:t xml:space="preserve">) las </w:t>
      </w:r>
      <w:r w:rsidRPr="009464D4">
        <w:rPr>
          <w:rFonts w:ascii="Arial" w:eastAsia="Calibri" w:hAnsi="Arial" w:cs="Arial"/>
          <w:color w:val="000000" w:themeColor="text1"/>
          <w:sz w:val="22"/>
        </w:rPr>
        <w:t>restricciones en los comicios de cargos de elección popular</w:t>
      </w:r>
      <w:bookmarkStart w:id="15" w:name="_Hlk76110351"/>
      <w:r w:rsidRPr="009464D4">
        <w:rPr>
          <w:rFonts w:ascii="Arial" w:eastAsia="Calibri" w:hAnsi="Arial" w:cs="Arial"/>
          <w:color w:val="000000" w:themeColor="text1"/>
          <w:sz w:val="22"/>
        </w:rPr>
        <w:t xml:space="preserve"> y v) las modificaciones de la Ley de Garantías Electorales realizadas por la ley anual del presupuesto de la vigencia fiscal 2022. </w:t>
      </w:r>
      <w:bookmarkEnd w:id="15"/>
    </w:p>
    <w:p w14:paraId="7C281B68" w14:textId="77777777" w:rsidR="005D7824" w:rsidRPr="009464D4" w:rsidRDefault="005D7824" w:rsidP="005D7824">
      <w:pPr>
        <w:tabs>
          <w:tab w:val="left" w:pos="426"/>
        </w:tabs>
        <w:spacing w:line="276" w:lineRule="auto"/>
        <w:ind w:firstLine="709"/>
        <w:jc w:val="both"/>
        <w:rPr>
          <w:rFonts w:ascii="Arial" w:eastAsia="Calibri" w:hAnsi="Arial" w:cs="Arial"/>
          <w:bCs/>
          <w:color w:val="000000" w:themeColor="text1"/>
          <w:sz w:val="22"/>
          <w:lang w:val="es-CO"/>
        </w:rPr>
      </w:pPr>
      <w:r w:rsidRPr="009464D4">
        <w:rPr>
          <w:rFonts w:ascii="Arial" w:eastAsia="Calibri" w:hAnsi="Arial" w:cs="Arial"/>
          <w:bCs/>
          <w:color w:val="000000" w:themeColor="text1"/>
          <w:sz w:val="22"/>
          <w:lang w:val="es-CO"/>
        </w:rPr>
        <w:t>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 C-296 del 22 de junio de 2021</w:t>
      </w:r>
      <w:r w:rsidRPr="009464D4">
        <w:rPr>
          <w:rFonts w:eastAsiaTheme="minorHAnsi"/>
          <w:color w:val="000000" w:themeColor="text1"/>
        </w:rPr>
        <w:t xml:space="preserve"> </w:t>
      </w:r>
      <w:r w:rsidRPr="009464D4">
        <w:rPr>
          <w:rFonts w:ascii="Arial" w:eastAsia="Calibri" w:hAnsi="Arial" w:cs="Arial"/>
          <w:bCs/>
          <w:color w:val="000000" w:themeColor="text1"/>
          <w:sz w:val="22"/>
          <w:lang w:val="es-CO"/>
        </w:rPr>
        <w:t>y C-381 del 02 de julio de 2021. Por otro lado, la Agencia se ha referido a los alcances de las modificaciones realizadas por la Ley 2159 de 2021, entre otros, mediante los conceptos C-674 del 6 de diciembre de 2021, C-693 del 9 de diciembre de 2021, C-723 del 28 de diciembre de 2021, C-726 del 24 de enero de 2022 y C-736 del 31 de enero de 2022. Las tesis desarrolladas en estos conceptos se reiteran y complementan a continuación:</w:t>
      </w:r>
    </w:p>
    <w:p w14:paraId="29B06E34" w14:textId="77777777" w:rsidR="005D7824" w:rsidRPr="009464D4" w:rsidRDefault="005D7824" w:rsidP="005D7824">
      <w:pPr>
        <w:tabs>
          <w:tab w:val="left" w:pos="426"/>
        </w:tabs>
        <w:spacing w:line="276" w:lineRule="auto"/>
        <w:ind w:firstLine="709"/>
        <w:jc w:val="both"/>
        <w:rPr>
          <w:rFonts w:ascii="Arial" w:eastAsia="Calibri" w:hAnsi="Arial" w:cs="Arial"/>
          <w:b/>
          <w:bCs/>
          <w:color w:val="000000" w:themeColor="text1"/>
          <w:sz w:val="22"/>
          <w:lang w:val="es-CO"/>
        </w:rPr>
      </w:pPr>
    </w:p>
    <w:p w14:paraId="70807975" w14:textId="77777777" w:rsidR="005D7824" w:rsidRPr="009464D4" w:rsidRDefault="005D7824" w:rsidP="005D7824">
      <w:pPr>
        <w:tabs>
          <w:tab w:val="left" w:pos="426"/>
        </w:tabs>
        <w:spacing w:line="276" w:lineRule="auto"/>
        <w:jc w:val="both"/>
        <w:rPr>
          <w:rFonts w:ascii="Arial" w:eastAsia="Calibri" w:hAnsi="Arial" w:cs="Arial"/>
          <w:b/>
          <w:bCs/>
          <w:color w:val="000000" w:themeColor="text1"/>
          <w:sz w:val="22"/>
          <w:lang w:val="es-CO"/>
        </w:rPr>
      </w:pPr>
      <w:r w:rsidRPr="009464D4">
        <w:rPr>
          <w:rFonts w:ascii="Arial" w:eastAsia="Calibri" w:hAnsi="Arial" w:cs="Arial"/>
          <w:b/>
          <w:bCs/>
          <w:color w:val="000000" w:themeColor="text1"/>
          <w:sz w:val="22"/>
          <w:lang w:val="es-CO"/>
        </w:rPr>
        <w:t>2.1. Definición y finalidad de la Ley de Garantías Electorales: alcance de las restricciones</w:t>
      </w:r>
    </w:p>
    <w:p w14:paraId="0BC08308" w14:textId="77777777" w:rsidR="005D7824" w:rsidRPr="009464D4" w:rsidRDefault="005D7824" w:rsidP="005D7824">
      <w:pPr>
        <w:tabs>
          <w:tab w:val="left" w:pos="426"/>
        </w:tabs>
        <w:spacing w:line="276" w:lineRule="auto"/>
        <w:ind w:firstLine="709"/>
        <w:jc w:val="both"/>
        <w:rPr>
          <w:rFonts w:ascii="Arial" w:eastAsia="Calibri" w:hAnsi="Arial" w:cs="Arial"/>
          <w:bCs/>
          <w:color w:val="000000" w:themeColor="text1"/>
          <w:sz w:val="22"/>
          <w:lang w:val="es-CO"/>
        </w:rPr>
      </w:pPr>
    </w:p>
    <w:p w14:paraId="736F7164" w14:textId="77777777" w:rsidR="005D7824" w:rsidRPr="009464D4" w:rsidRDefault="005D7824" w:rsidP="005D7824">
      <w:pPr>
        <w:tabs>
          <w:tab w:val="left" w:pos="426"/>
        </w:tabs>
        <w:spacing w:after="120" w:line="276" w:lineRule="auto"/>
        <w:jc w:val="both"/>
        <w:rPr>
          <w:rFonts w:ascii="Arial" w:eastAsia="Times New Roman" w:hAnsi="Arial" w:cs="Arial"/>
          <w:bCs/>
          <w:color w:val="000000" w:themeColor="text1"/>
          <w:sz w:val="22"/>
          <w:lang w:val="es-CO" w:eastAsia="es-CO"/>
        </w:rPr>
      </w:pPr>
      <w:r w:rsidRPr="009464D4">
        <w:rPr>
          <w:rFonts w:ascii="Arial" w:eastAsia="Calibri" w:hAnsi="Arial" w:cs="Arial"/>
          <w:bCs/>
          <w:color w:val="000000" w:themeColor="text1"/>
          <w:sz w:val="22"/>
          <w:lang w:val="es-CO"/>
        </w:rPr>
        <w:t>El ordenamiento jurídico colombiano contempla previsiones claras para evitar la obtención de beneficios personales en asuntos propios de la administración pública</w:t>
      </w:r>
      <w:r w:rsidRPr="009464D4">
        <w:rPr>
          <w:rFonts w:ascii="Arial" w:eastAsia="Calibri" w:hAnsi="Arial" w:cs="Arial"/>
          <w:bCs/>
          <w:i/>
          <w:iCs/>
          <w:color w:val="000000" w:themeColor="text1"/>
          <w:sz w:val="22"/>
          <w:lang w:val="es-CO"/>
        </w:rPr>
        <w:t xml:space="preserve">. </w:t>
      </w:r>
      <w:r w:rsidRPr="009464D4">
        <w:rPr>
          <w:rFonts w:ascii="Arial" w:eastAsia="Calibri" w:hAnsi="Arial" w:cs="Arial"/>
          <w:bCs/>
          <w:color w:val="000000" w:themeColor="text1"/>
          <w:sz w:val="22"/>
          <w:lang w:val="es-CO"/>
        </w:rPr>
        <w:t>Por ejemplo, el artículo 127 de la Constitución Política establece una prohibición contractual a los servidores públicos y en cuanto a aspectos políticos establece restricciones a ciertos empleados del Estado, incluso en época no electoral</w:t>
      </w:r>
      <w:r w:rsidRPr="009464D4">
        <w:rPr>
          <w:rFonts w:ascii="Arial" w:eastAsia="Calibri" w:hAnsi="Arial" w:cs="Arial"/>
          <w:bCs/>
          <w:color w:val="000000" w:themeColor="text1"/>
          <w:sz w:val="22"/>
          <w:vertAlign w:val="superscript"/>
          <w:lang w:val="es-CO"/>
        </w:rPr>
        <w:footnoteReference w:id="3"/>
      </w:r>
      <w:r w:rsidRPr="009464D4">
        <w:rPr>
          <w:rFonts w:ascii="Arial" w:eastAsia="Calibri" w:hAnsi="Arial" w:cs="Arial"/>
          <w:bCs/>
          <w:color w:val="000000" w:themeColor="text1"/>
          <w:sz w:val="22"/>
          <w:lang w:val="es-CO"/>
        </w:rPr>
        <w:t xml:space="preserve">. </w:t>
      </w:r>
    </w:p>
    <w:p w14:paraId="155DFEF8" w14:textId="77777777" w:rsidR="005D7824" w:rsidRPr="009464D4" w:rsidRDefault="005D7824" w:rsidP="005D7824">
      <w:pPr>
        <w:tabs>
          <w:tab w:val="left" w:pos="426"/>
        </w:tabs>
        <w:spacing w:line="276" w:lineRule="auto"/>
        <w:ind w:firstLine="709"/>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val="es-CO" w:eastAsia="es-CO"/>
        </w:rPr>
        <w:t>En el mismo sentido</w:t>
      </w:r>
      <w:r w:rsidRPr="009464D4">
        <w:rPr>
          <w:rFonts w:ascii="Arial" w:eastAsia="Times New Roman" w:hAnsi="Arial" w:cs="Arial"/>
          <w:bCs/>
          <w:color w:val="000000" w:themeColor="text1"/>
          <w:sz w:val="22"/>
          <w:lang w:eastAsia="es-CO"/>
        </w:rPr>
        <w:t xml:space="preserve">,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w:t>
      </w:r>
      <w:r w:rsidRPr="009464D4">
        <w:rPr>
          <w:rFonts w:ascii="Arial" w:eastAsia="Times New Roman" w:hAnsi="Arial" w:cs="Arial"/>
          <w:bCs/>
          <w:color w:val="000000" w:themeColor="text1"/>
          <w:sz w:val="22"/>
          <w:lang w:eastAsia="es-CO"/>
        </w:rPr>
        <w:lastRenderedPageBreak/>
        <w:t>elección presidencial</w:t>
      </w:r>
      <w:r w:rsidRPr="009464D4">
        <w:rPr>
          <w:rFonts w:ascii="Arial" w:eastAsia="Times New Roman" w:hAnsi="Arial" w:cs="Arial"/>
          <w:bCs/>
          <w:color w:val="000000" w:themeColor="text1"/>
          <w:sz w:val="22"/>
          <w:vertAlign w:val="superscript"/>
          <w:lang w:eastAsia="es-CO"/>
        </w:rPr>
        <w:footnoteReference w:id="4"/>
      </w:r>
      <w:r w:rsidRPr="009464D4">
        <w:rPr>
          <w:rFonts w:ascii="Arial" w:eastAsia="Times New Roman" w:hAnsi="Arial" w:cs="Arial"/>
          <w:bCs/>
          <w:color w:val="000000" w:themeColor="text1"/>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9464D4">
        <w:rPr>
          <w:rFonts w:ascii="Arial" w:eastAsia="Calibri" w:hAnsi="Arial" w:cs="Arial"/>
          <w:noProof/>
          <w:color w:val="000000" w:themeColor="text1"/>
          <w:sz w:val="22"/>
          <w:lang w:val="es-ES_tradnl"/>
        </w:rPr>
        <w:t xml:space="preserve"> </w:t>
      </w:r>
      <w:r w:rsidRPr="009464D4">
        <w:rPr>
          <w:rFonts w:ascii="Arial" w:eastAsia="Times New Roman" w:hAnsi="Arial" w:cs="Arial"/>
          <w:bCs/>
          <w:color w:val="000000" w:themeColor="text1"/>
          <w:sz w:val="22"/>
          <w:lang w:eastAsia="es-CO"/>
        </w:rPr>
        <w:t>En armonía con lo anterior, la Corte Constitucional ha abordado la definición de la Ley de Garantías Electorales. De esta manera, explica que tiene como propósito:</w:t>
      </w:r>
    </w:p>
    <w:p w14:paraId="520B2A76" w14:textId="77777777" w:rsidR="005D7824" w:rsidRPr="009464D4" w:rsidRDefault="005D7824" w:rsidP="005D7824">
      <w:pPr>
        <w:spacing w:line="276" w:lineRule="auto"/>
        <w:ind w:right="709"/>
        <w:jc w:val="both"/>
        <w:rPr>
          <w:rFonts w:ascii="Arial" w:eastAsia="Times New Roman" w:hAnsi="Arial" w:cs="Arial"/>
          <w:color w:val="000000" w:themeColor="text1"/>
          <w:sz w:val="21"/>
          <w:szCs w:val="21"/>
          <w:lang w:val="es-ES" w:eastAsia="es-CO"/>
        </w:rPr>
      </w:pPr>
    </w:p>
    <w:p w14:paraId="1168DDD1" w14:textId="77777777" w:rsidR="005D7824" w:rsidRPr="009464D4" w:rsidRDefault="005D7824" w:rsidP="005D7824">
      <w:pPr>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color w:val="000000" w:themeColor="text1"/>
          <w:sz w:val="21"/>
          <w:szCs w:val="21"/>
          <w:lang w:val="es-ES" w:eastAsia="es-CO"/>
        </w:rPr>
        <w:t xml:space="preserve">[…] </w:t>
      </w:r>
      <w:r w:rsidRPr="009464D4">
        <w:rPr>
          <w:rFonts w:ascii="Arial" w:eastAsia="Times New Roman" w:hAnsi="Arial" w:cs="Arial"/>
          <w:bCs/>
          <w:color w:val="000000" w:themeColor="text1"/>
          <w:sz w:val="21"/>
          <w:szCs w:val="21"/>
          <w:lang w:eastAsia="es-CO"/>
        </w:rPr>
        <w:t>la definición de reglas claras que permitan acceder a los canales de expresión democrática de manera efectiva e igualitaria. El objetivo de una ley de garantías es definir esas reglas.</w:t>
      </w:r>
    </w:p>
    <w:p w14:paraId="7F125272" w14:textId="77777777" w:rsidR="005D7824" w:rsidRPr="009464D4" w:rsidRDefault="005D7824" w:rsidP="005D7824">
      <w:pPr>
        <w:spacing w:before="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 xml:space="preserve">[…] </w:t>
      </w:r>
    </w:p>
    <w:p w14:paraId="7CF1D01A" w14:textId="77777777" w:rsidR="005D7824" w:rsidRPr="009464D4" w:rsidRDefault="005D7824" w:rsidP="005D7824">
      <w:pPr>
        <w:spacing w:before="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9464D4">
        <w:rPr>
          <w:rFonts w:ascii="Arial" w:eastAsiaTheme="minorHAnsi" w:hAnsi="Arial" w:cs="Arial"/>
          <w:color w:val="000000" w:themeColor="text1"/>
          <w:sz w:val="20"/>
          <w:szCs w:val="20"/>
          <w:vertAlign w:val="superscript"/>
        </w:rPr>
        <w:footnoteReference w:id="5"/>
      </w:r>
      <w:r w:rsidRPr="009464D4">
        <w:rPr>
          <w:rFonts w:ascii="Arial" w:eastAsia="Times New Roman" w:hAnsi="Arial" w:cs="Arial"/>
          <w:bCs/>
          <w:color w:val="000000" w:themeColor="text1"/>
          <w:sz w:val="21"/>
          <w:szCs w:val="21"/>
          <w:lang w:eastAsia="es-CO"/>
        </w:rPr>
        <w:t>.</w:t>
      </w:r>
    </w:p>
    <w:p w14:paraId="63C97CD7" w14:textId="77777777" w:rsidR="005D7824" w:rsidRPr="009464D4" w:rsidRDefault="005D7824" w:rsidP="005D7824">
      <w:pPr>
        <w:spacing w:line="276" w:lineRule="auto"/>
        <w:ind w:left="709" w:right="709"/>
        <w:jc w:val="both"/>
        <w:rPr>
          <w:rFonts w:ascii="Arial" w:eastAsia="Times New Roman" w:hAnsi="Arial" w:cs="Arial"/>
          <w:bCs/>
          <w:color w:val="000000" w:themeColor="text1"/>
          <w:sz w:val="21"/>
          <w:szCs w:val="21"/>
          <w:lang w:eastAsia="es-CO"/>
        </w:rPr>
      </w:pPr>
    </w:p>
    <w:p w14:paraId="43C726A3" w14:textId="77777777" w:rsidR="005D7824" w:rsidRPr="009464D4" w:rsidRDefault="005D7824" w:rsidP="005D7824">
      <w:pPr>
        <w:spacing w:line="276" w:lineRule="auto"/>
        <w:ind w:firstLine="709"/>
        <w:jc w:val="both"/>
        <w:rPr>
          <w:rFonts w:ascii="Arial" w:eastAsia="Times New Roman" w:hAnsi="Arial" w:cs="Arial"/>
          <w:bCs/>
          <w:color w:val="000000" w:themeColor="text1"/>
          <w:sz w:val="22"/>
          <w:lang w:eastAsia="es-CO"/>
        </w:rPr>
      </w:pPr>
      <w:bookmarkStart w:id="16" w:name="_Hlk78818186"/>
      <w:r w:rsidRPr="009464D4">
        <w:rPr>
          <w:rFonts w:ascii="Arial" w:eastAsia="Times New Roman" w:hAnsi="Arial" w:cs="Arial"/>
          <w:bCs/>
          <w:color w:val="000000" w:themeColor="text1"/>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6"/>
      <w:r w:rsidRPr="009464D4">
        <w:rPr>
          <w:rFonts w:ascii="Arial" w:eastAsia="Times New Roman" w:hAnsi="Arial" w:cs="Arial"/>
          <w:bCs/>
          <w:color w:val="000000" w:themeColor="text1"/>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4A220F95" w14:textId="77777777" w:rsidR="005D7824" w:rsidRPr="009464D4" w:rsidRDefault="005D7824" w:rsidP="005D7824">
      <w:pPr>
        <w:spacing w:line="276" w:lineRule="auto"/>
        <w:ind w:firstLine="709"/>
        <w:jc w:val="both"/>
        <w:rPr>
          <w:rFonts w:ascii="Arial" w:eastAsia="Times New Roman" w:hAnsi="Arial" w:cs="Arial"/>
          <w:bCs/>
          <w:color w:val="000000" w:themeColor="text1"/>
          <w:sz w:val="22"/>
          <w:lang w:eastAsia="es-CO"/>
        </w:rPr>
      </w:pPr>
    </w:p>
    <w:p w14:paraId="17BCB534" w14:textId="77777777" w:rsidR="005D7824" w:rsidRPr="009464D4" w:rsidRDefault="005D7824" w:rsidP="005D7824">
      <w:pPr>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9464D4">
        <w:rPr>
          <w:rFonts w:ascii="Arial" w:eastAsia="Times New Roman" w:hAnsi="Arial" w:cs="Arial"/>
          <w:bCs/>
          <w:color w:val="000000" w:themeColor="text1"/>
          <w:sz w:val="21"/>
          <w:szCs w:val="21"/>
          <w:lang w:eastAsia="es-CO"/>
        </w:rPr>
        <w:t>legis</w:t>
      </w:r>
      <w:proofErr w:type="spellEnd"/>
      <w:r w:rsidRPr="009464D4">
        <w:rPr>
          <w:rFonts w:ascii="Arial" w:eastAsia="Times New Roman" w:hAnsi="Arial" w:cs="Arial"/>
          <w:bCs/>
          <w:color w:val="000000" w:themeColor="text1"/>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D8038D9" w14:textId="77777777" w:rsidR="005D7824" w:rsidRPr="009464D4" w:rsidRDefault="005D7824" w:rsidP="005D7824">
      <w:pPr>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lastRenderedPageBreak/>
        <w:t>La jurisprudencia de la Corte Constitucional</w:t>
      </w:r>
      <w:r w:rsidRPr="009464D4">
        <w:rPr>
          <w:rFonts w:ascii="Arial" w:eastAsia="Times New Roman" w:hAnsi="Arial" w:cs="Arial"/>
          <w:bCs/>
          <w:color w:val="000000" w:themeColor="text1"/>
          <w:sz w:val="21"/>
          <w:szCs w:val="21"/>
          <w:vertAlign w:val="superscript"/>
          <w:lang w:eastAsia="es-CO"/>
        </w:rPr>
        <w:footnoteReference w:id="6"/>
      </w:r>
      <w:r w:rsidRPr="009464D4">
        <w:rPr>
          <w:rFonts w:ascii="Arial" w:eastAsia="Times New Roman" w:hAnsi="Arial" w:cs="Arial"/>
          <w:bCs/>
          <w:color w:val="000000" w:themeColor="text1"/>
          <w:sz w:val="21"/>
          <w:szCs w:val="21"/>
          <w:lang w:eastAsia="es-CO"/>
        </w:rPr>
        <w:t> y del Consejo de Estado</w:t>
      </w:r>
      <w:r w:rsidRPr="009464D4">
        <w:rPr>
          <w:rFonts w:ascii="Arial" w:eastAsia="Times New Roman" w:hAnsi="Arial" w:cs="Arial"/>
          <w:bCs/>
          <w:color w:val="000000" w:themeColor="text1"/>
          <w:sz w:val="21"/>
          <w:szCs w:val="21"/>
          <w:vertAlign w:val="superscript"/>
          <w:lang w:eastAsia="es-CO"/>
        </w:rPr>
        <w:footnoteReference w:id="7"/>
      </w:r>
      <w:r w:rsidRPr="009464D4">
        <w:rPr>
          <w:rFonts w:ascii="Arial" w:eastAsia="Times New Roman" w:hAnsi="Arial" w:cs="Arial"/>
          <w:bCs/>
          <w:color w:val="000000" w:themeColor="text1"/>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9464D4">
        <w:rPr>
          <w:rFonts w:ascii="Arial" w:eastAsia="Times New Roman" w:hAnsi="Arial" w:cs="Arial"/>
          <w:bCs/>
          <w:color w:val="000000" w:themeColor="text1"/>
          <w:sz w:val="22"/>
          <w:vertAlign w:val="superscript"/>
          <w:lang w:eastAsia="es-CO"/>
        </w:rPr>
        <w:footnoteReference w:id="8"/>
      </w:r>
      <w:r w:rsidRPr="009464D4">
        <w:rPr>
          <w:rFonts w:ascii="Arial" w:eastAsia="Times New Roman" w:hAnsi="Arial" w:cs="Arial"/>
          <w:bCs/>
          <w:color w:val="000000" w:themeColor="text1"/>
          <w:sz w:val="21"/>
          <w:szCs w:val="21"/>
          <w:lang w:eastAsia="es-CO"/>
        </w:rPr>
        <w:t>.</w:t>
      </w:r>
    </w:p>
    <w:p w14:paraId="7B11B611" w14:textId="77777777" w:rsidR="005D7824" w:rsidRPr="009464D4" w:rsidRDefault="005D7824" w:rsidP="005D7824">
      <w:pPr>
        <w:spacing w:line="276" w:lineRule="auto"/>
        <w:ind w:right="709"/>
        <w:jc w:val="both"/>
        <w:rPr>
          <w:rFonts w:ascii="Arial" w:eastAsia="Times New Roman" w:hAnsi="Arial" w:cs="Arial"/>
          <w:bCs/>
          <w:color w:val="000000" w:themeColor="text1"/>
          <w:sz w:val="21"/>
          <w:szCs w:val="21"/>
          <w:lang w:eastAsia="es-CO"/>
        </w:rPr>
      </w:pPr>
    </w:p>
    <w:p w14:paraId="7182B730" w14:textId="77777777" w:rsidR="005D7824" w:rsidRPr="009464D4" w:rsidRDefault="005D7824" w:rsidP="005D7824">
      <w:pPr>
        <w:spacing w:after="120" w:line="276" w:lineRule="auto"/>
        <w:jc w:val="both"/>
        <w:rPr>
          <w:rFonts w:ascii="Arial" w:eastAsia="Arial" w:hAnsi="Arial" w:cs="Arial"/>
          <w:color w:val="000000" w:themeColor="text1"/>
          <w:sz w:val="22"/>
          <w:lang w:val="es-ES" w:eastAsia="es-ES" w:bidi="es-ES"/>
        </w:rPr>
      </w:pPr>
      <w:r w:rsidRPr="009464D4">
        <w:rPr>
          <w:rFonts w:ascii="Arial" w:eastAsia="Times New Roman" w:hAnsi="Arial" w:cs="Arial"/>
          <w:bCs/>
          <w:color w:val="000000" w:themeColor="text1"/>
          <w:sz w:val="22"/>
          <w:lang w:eastAsia="es-CO"/>
        </w:rPr>
        <w:tab/>
        <w:t>De</w:t>
      </w:r>
      <w:r w:rsidRPr="009464D4">
        <w:rPr>
          <w:rFonts w:ascii="Arial" w:eastAsia="Arial" w:hAnsi="Arial" w:cs="Arial"/>
          <w:color w:val="000000" w:themeColor="text1"/>
          <w:sz w:val="22"/>
          <w:lang w:val="es-ES" w:eastAsia="es-ES" w:bidi="es-ES"/>
        </w:rPr>
        <w:t xml:space="preserve"> conformidad con lo anterior, </w:t>
      </w:r>
      <w:bookmarkStart w:id="17" w:name="_Hlk77236098"/>
      <w:r w:rsidRPr="009464D4">
        <w:rPr>
          <w:rFonts w:ascii="Arial" w:eastAsia="Arial" w:hAnsi="Arial" w:cs="Arial"/>
          <w:color w:val="000000" w:themeColor="text1"/>
          <w:sz w:val="22"/>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7"/>
    </w:p>
    <w:p w14:paraId="3EBAA6F2" w14:textId="77777777" w:rsidR="005D7824" w:rsidRPr="009464D4" w:rsidRDefault="005D7824" w:rsidP="005D7824">
      <w:pPr>
        <w:spacing w:after="120" w:line="276" w:lineRule="auto"/>
        <w:ind w:firstLine="708"/>
        <w:jc w:val="both"/>
        <w:rPr>
          <w:rFonts w:ascii="Arial" w:eastAsia="Calibri" w:hAnsi="Arial" w:cs="Arial"/>
          <w:color w:val="000000" w:themeColor="text1"/>
          <w:sz w:val="22"/>
          <w:lang w:val="es-CO"/>
        </w:rPr>
      </w:pPr>
      <w:r w:rsidRPr="009464D4">
        <w:rPr>
          <w:rFonts w:ascii="Arial" w:eastAsia="Calibri" w:hAnsi="Arial" w:cs="Arial"/>
          <w:color w:val="000000" w:themeColor="text1"/>
          <w:sz w:val="22"/>
          <w:lang w:val="es-CO"/>
        </w:rPr>
        <w:t xml:space="preserve">Por un lado, el artículo 33 de la Ley 996 de 2005 prohíbe </w:t>
      </w:r>
      <w:r w:rsidRPr="009464D4">
        <w:rPr>
          <w:rFonts w:ascii="Arial" w:eastAsia="Calibri" w:hAnsi="Arial" w:cs="Arial"/>
          <w:bCs/>
          <w:color w:val="000000" w:themeColor="text1"/>
          <w:sz w:val="22"/>
          <w:lang w:val="es-CO"/>
        </w:rPr>
        <w:t xml:space="preserve">«[…] </w:t>
      </w:r>
      <w:r w:rsidRPr="009464D4">
        <w:rPr>
          <w:rFonts w:ascii="Arial" w:eastAsia="Calibri" w:hAnsi="Arial" w:cs="Arial"/>
          <w:color w:val="000000" w:themeColor="text1"/>
          <w:sz w:val="22"/>
          <w:lang w:val="es-CO"/>
        </w:rPr>
        <w:t>la contratación directa por parte de todos los entes del Estado</w:t>
      </w:r>
      <w:r w:rsidRPr="009464D4">
        <w:rPr>
          <w:rFonts w:ascii="Arial" w:eastAsia="Calibri" w:hAnsi="Arial" w:cs="Arial"/>
          <w:bCs/>
          <w:color w:val="000000" w:themeColor="text1"/>
          <w:sz w:val="22"/>
          <w:lang w:val="es-CO"/>
        </w:rPr>
        <w:t>»</w:t>
      </w:r>
      <w:r w:rsidRPr="009464D4">
        <w:rPr>
          <w:rFonts w:ascii="Arial" w:eastAsia="Calibri" w:hAnsi="Arial" w:cs="Arial"/>
          <w:color w:val="000000" w:themeColor="text1"/>
          <w:sz w:val="22"/>
          <w:lang w:val="es-CO"/>
        </w:rPr>
        <w:t xml:space="preserve"> durante los cuatro (4) meses anteriores a las elecciones presidenciales, salvo </w:t>
      </w:r>
      <w:r w:rsidRPr="009464D4">
        <w:rPr>
          <w:rFonts w:ascii="Arial" w:eastAsia="Calibri" w:hAnsi="Arial" w:cs="Arial"/>
          <w:bCs/>
          <w:color w:val="000000" w:themeColor="text1"/>
          <w:sz w:val="22"/>
          <w:lang w:val="es-CO"/>
        </w:rPr>
        <w:t xml:space="preserve">«[…] </w:t>
      </w:r>
      <w:r w:rsidRPr="009464D4">
        <w:rPr>
          <w:rFonts w:ascii="Arial" w:eastAsia="Calibri" w:hAnsi="Arial" w:cs="Arial"/>
          <w:color w:val="000000" w:themeColor="text1"/>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464D4">
        <w:rPr>
          <w:rFonts w:ascii="Arial" w:eastAsia="Calibri" w:hAnsi="Arial" w:cs="Arial"/>
          <w:bCs/>
          <w:color w:val="000000" w:themeColor="text1"/>
          <w:sz w:val="22"/>
          <w:lang w:val="es-CO"/>
        </w:rPr>
        <w:t>»</w:t>
      </w:r>
      <w:r w:rsidRPr="009464D4">
        <w:rPr>
          <w:rFonts w:ascii="Arial" w:eastAsia="Calibri" w:hAnsi="Arial" w:cs="Arial"/>
          <w:bCs/>
          <w:color w:val="000000" w:themeColor="text1"/>
          <w:sz w:val="22"/>
          <w:vertAlign w:val="superscript"/>
          <w:lang w:val="es-CO"/>
        </w:rPr>
        <w:footnoteReference w:id="9"/>
      </w:r>
      <w:r w:rsidRPr="009464D4">
        <w:rPr>
          <w:rFonts w:ascii="Arial" w:eastAsia="Calibri" w:hAnsi="Arial" w:cs="Arial"/>
          <w:color w:val="000000" w:themeColor="text1"/>
          <w:sz w:val="22"/>
          <w:lang w:val="es-CO"/>
        </w:rPr>
        <w:t>.</w:t>
      </w:r>
    </w:p>
    <w:p w14:paraId="19A36B28" w14:textId="77777777" w:rsidR="005D7824" w:rsidRPr="009464D4" w:rsidRDefault="005D7824" w:rsidP="005D7824">
      <w:pPr>
        <w:widowControl w:val="0"/>
        <w:autoSpaceDE w:val="0"/>
        <w:autoSpaceDN w:val="0"/>
        <w:spacing w:line="276" w:lineRule="auto"/>
        <w:ind w:right="113" w:firstLine="708"/>
        <w:jc w:val="both"/>
        <w:rPr>
          <w:rFonts w:ascii="Arial" w:eastAsia="Arial" w:hAnsi="Arial" w:cs="Arial"/>
          <w:color w:val="000000" w:themeColor="text1"/>
          <w:sz w:val="22"/>
          <w:lang w:val="es-ES" w:eastAsia="es-ES" w:bidi="es-ES"/>
        </w:rPr>
      </w:pPr>
      <w:r w:rsidRPr="009464D4">
        <w:rPr>
          <w:rFonts w:ascii="Arial" w:eastAsia="Calibri" w:hAnsi="Arial" w:cs="Arial"/>
          <w:color w:val="000000" w:themeColor="text1"/>
          <w:sz w:val="22"/>
          <w:lang w:val="es-CO"/>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464D4">
        <w:rPr>
          <w:rFonts w:ascii="Arial" w:eastAsia="Calibri" w:hAnsi="Arial" w:cs="Arial"/>
          <w:bCs/>
          <w:color w:val="000000" w:themeColor="text1"/>
          <w:sz w:val="22"/>
          <w:lang w:val="es-CO"/>
        </w:rPr>
        <w:t xml:space="preserve">«[…] </w:t>
      </w:r>
      <w:r w:rsidRPr="009464D4">
        <w:rPr>
          <w:rFonts w:ascii="Arial" w:eastAsia="Calibri" w:hAnsi="Arial" w:cs="Arial"/>
          <w:color w:val="000000" w:themeColor="text1"/>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464D4">
        <w:rPr>
          <w:rFonts w:ascii="Arial" w:eastAsia="Calibri" w:hAnsi="Arial" w:cs="Arial"/>
          <w:bCs/>
          <w:color w:val="000000" w:themeColor="text1"/>
          <w:sz w:val="19"/>
          <w:szCs w:val="19"/>
          <w:lang w:val="es-CO"/>
        </w:rPr>
        <w:t>»</w:t>
      </w:r>
      <w:r w:rsidRPr="009464D4">
        <w:rPr>
          <w:rFonts w:ascii="Arial" w:eastAsia="Calibri" w:hAnsi="Arial" w:cs="Arial"/>
          <w:bCs/>
          <w:color w:val="000000" w:themeColor="text1"/>
          <w:sz w:val="19"/>
          <w:szCs w:val="19"/>
          <w:vertAlign w:val="superscript"/>
          <w:lang w:val="es-CO"/>
        </w:rPr>
        <w:footnoteReference w:id="10"/>
      </w:r>
      <w:r w:rsidRPr="009464D4">
        <w:rPr>
          <w:rFonts w:ascii="Arial" w:eastAsia="Calibri" w:hAnsi="Arial" w:cs="Arial"/>
          <w:color w:val="000000" w:themeColor="text1"/>
          <w:sz w:val="22"/>
        </w:rPr>
        <w:t>.</w:t>
      </w:r>
      <w:r w:rsidRPr="009464D4">
        <w:rPr>
          <w:rFonts w:ascii="Arial" w:eastAsia="Arial" w:hAnsi="Arial" w:cs="Arial"/>
          <w:color w:val="000000" w:themeColor="text1"/>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2D529DD2" w14:textId="77777777" w:rsidR="005D7824" w:rsidRPr="009464D4" w:rsidRDefault="005D7824" w:rsidP="005D7824">
      <w:pPr>
        <w:widowControl w:val="0"/>
        <w:autoSpaceDE w:val="0"/>
        <w:autoSpaceDN w:val="0"/>
        <w:spacing w:line="276" w:lineRule="auto"/>
        <w:ind w:left="805" w:right="812"/>
        <w:jc w:val="both"/>
        <w:rPr>
          <w:rFonts w:ascii="Arial" w:eastAsia="Arial" w:hAnsi="Arial" w:cs="Arial"/>
          <w:color w:val="000000" w:themeColor="text1"/>
          <w:sz w:val="22"/>
          <w:lang w:val="es-ES" w:eastAsia="es-ES" w:bidi="es-ES"/>
        </w:rPr>
      </w:pPr>
    </w:p>
    <w:p w14:paraId="557D5548" w14:textId="77777777" w:rsidR="005D7824" w:rsidRPr="009464D4" w:rsidRDefault="005D7824" w:rsidP="005D7824">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9464D4">
        <w:rPr>
          <w:rFonts w:ascii="Arial" w:eastAsia="Arial" w:hAnsi="Arial" w:cs="Arial"/>
          <w:color w:val="000000" w:themeColor="text1"/>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0" w:name="_Hlk76109421"/>
      <w:r w:rsidRPr="009464D4">
        <w:rPr>
          <w:rFonts w:ascii="Arial" w:eastAsia="Arial" w:hAnsi="Arial" w:cs="Arial"/>
          <w:color w:val="000000" w:themeColor="text1"/>
          <w:sz w:val="21"/>
          <w:szCs w:val="21"/>
          <w:lang w:val="es-ES" w:eastAsia="es-ES" w:bidi="es-ES"/>
        </w:rPr>
        <w:t>se integran parcialmente</w:t>
      </w:r>
      <w:bookmarkEnd w:id="20"/>
      <w:r w:rsidRPr="009464D4">
        <w:rPr>
          <w:rFonts w:ascii="Arial" w:eastAsia="Arial" w:hAnsi="Arial" w:cs="Arial"/>
          <w:color w:val="000000" w:themeColor="text1"/>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464D4">
        <w:rPr>
          <w:rFonts w:ascii="Arial" w:eastAsia="Arial" w:hAnsi="Arial" w:cs="Arial"/>
          <w:bCs/>
          <w:color w:val="000000" w:themeColor="text1"/>
          <w:sz w:val="21"/>
          <w:szCs w:val="21"/>
          <w:lang w:val="es-ES" w:eastAsia="es-ES" w:bidi="es-ES"/>
        </w:rPr>
        <w:t xml:space="preserve">En cambio, para elecciones en general, excluyendo las correspondientes a </w:t>
      </w:r>
      <w:proofErr w:type="gramStart"/>
      <w:r w:rsidRPr="009464D4">
        <w:rPr>
          <w:rFonts w:ascii="Arial" w:eastAsia="Arial" w:hAnsi="Arial" w:cs="Arial"/>
          <w:bCs/>
          <w:color w:val="000000" w:themeColor="text1"/>
          <w:sz w:val="21"/>
          <w:szCs w:val="21"/>
          <w:lang w:val="es-ES" w:eastAsia="es-ES" w:bidi="es-ES"/>
        </w:rPr>
        <w:t>Presidente</w:t>
      </w:r>
      <w:proofErr w:type="gramEnd"/>
      <w:r w:rsidRPr="009464D4">
        <w:rPr>
          <w:rFonts w:ascii="Arial" w:eastAsia="Arial" w:hAnsi="Arial" w:cs="Arial"/>
          <w:bCs/>
          <w:color w:val="000000" w:themeColor="text1"/>
          <w:sz w:val="21"/>
          <w:szCs w:val="21"/>
          <w:lang w:val="es-ES" w:eastAsia="es-ES" w:bidi="es-ES"/>
        </w:rPr>
        <w:t xml:space="preserve"> de la República, a las autoridades territoriales allí mencionadas sólo se aplican las restricciones contenidas en el parágrafo del artículo 38</w:t>
      </w:r>
      <w:r w:rsidRPr="009464D4">
        <w:rPr>
          <w:rFonts w:ascii="Arial" w:eastAsia="Arial" w:hAnsi="Arial" w:cs="Arial"/>
          <w:color w:val="000000" w:themeColor="text1"/>
          <w:sz w:val="21"/>
          <w:szCs w:val="21"/>
          <w:vertAlign w:val="superscript"/>
          <w:lang w:val="es-ES" w:eastAsia="es-ES" w:bidi="es-ES"/>
        </w:rPr>
        <w:footnoteReference w:id="11"/>
      </w:r>
      <w:r w:rsidRPr="009464D4">
        <w:rPr>
          <w:rFonts w:ascii="Arial" w:eastAsia="Arial" w:hAnsi="Arial" w:cs="Arial"/>
          <w:color w:val="000000" w:themeColor="text1"/>
          <w:sz w:val="21"/>
          <w:szCs w:val="21"/>
          <w:lang w:val="es-ES" w:eastAsia="es-ES" w:bidi="es-ES"/>
        </w:rPr>
        <w:t>.</w:t>
      </w:r>
    </w:p>
    <w:p w14:paraId="443D9CBF" w14:textId="77777777" w:rsidR="005D7824" w:rsidRPr="009464D4" w:rsidRDefault="005D7824" w:rsidP="005D7824">
      <w:pPr>
        <w:widowControl w:val="0"/>
        <w:autoSpaceDE w:val="0"/>
        <w:autoSpaceDN w:val="0"/>
        <w:spacing w:before="8" w:line="276" w:lineRule="auto"/>
        <w:rPr>
          <w:rFonts w:ascii="Arial" w:eastAsia="Arial" w:hAnsi="Arial" w:cs="Arial"/>
          <w:color w:val="000000" w:themeColor="text1"/>
          <w:sz w:val="26"/>
          <w:lang w:val="es-ES" w:eastAsia="es-ES" w:bidi="es-ES"/>
        </w:rPr>
      </w:pPr>
    </w:p>
    <w:p w14:paraId="0AB33351" w14:textId="77777777" w:rsidR="005D7824" w:rsidRPr="009464D4" w:rsidRDefault="005D7824" w:rsidP="005D7824">
      <w:pPr>
        <w:spacing w:after="120" w:line="276" w:lineRule="auto"/>
        <w:ind w:firstLine="709"/>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 xml:space="preserve">De conformidad con lo anterior, </w:t>
      </w:r>
      <w:bookmarkStart w:id="21" w:name="_Hlk77236420"/>
      <w:bookmarkStart w:id="22" w:name="_Hlk78818435"/>
      <w:bookmarkStart w:id="23" w:name="_Hlk75780333"/>
      <w:r w:rsidRPr="009464D4">
        <w:rPr>
          <w:rFonts w:ascii="Arial" w:eastAsia="Arial" w:hAnsi="Arial" w:cs="Arial"/>
          <w:color w:val="000000" w:themeColor="text1"/>
          <w:sz w:val="22"/>
          <w:lang w:val="es-ES" w:eastAsia="es-ES" w:bidi="es-ES"/>
        </w:rPr>
        <w:t xml:space="preserve">la Ley 996 de 2005 establece dos (2) tipos de restricciones en materia de contratación, las cuales coinciden parcialmente. </w:t>
      </w:r>
      <w:r w:rsidRPr="009464D4">
        <w:rPr>
          <w:rFonts w:ascii="Arial" w:eastAsia="Arial" w:hAnsi="Arial" w:cs="Arial"/>
          <w:i/>
          <w:iCs/>
          <w:color w:val="000000" w:themeColor="text1"/>
          <w:sz w:val="22"/>
          <w:lang w:val="es-ES" w:eastAsia="es-ES" w:bidi="es-ES"/>
        </w:rPr>
        <w:t>En primer lugar</w:t>
      </w:r>
      <w:r w:rsidRPr="009464D4">
        <w:rPr>
          <w:rFonts w:ascii="Arial" w:eastAsia="Arial" w:hAnsi="Arial" w:cs="Arial"/>
          <w:color w:val="000000" w:themeColor="text1"/>
          <w:sz w:val="22"/>
          <w:lang w:val="es-ES" w:eastAsia="es-ES" w:bidi="es-ES"/>
        </w:rPr>
        <w:t xml:space="preserve">, la del artículo 33 que opera solo respecto de las elecciones presidenciales, en virtud de la cual queda proscrita la contratación directa dentro de los cuatro (4) meses anteriores </w:t>
      </w:r>
      <w:r w:rsidRPr="009464D4">
        <w:rPr>
          <w:rFonts w:ascii="Arial" w:eastAsia="Arial" w:hAnsi="Arial" w:cs="Arial"/>
          <w:color w:val="000000" w:themeColor="text1"/>
          <w:sz w:val="22"/>
          <w:lang w:val="es-ES" w:eastAsia="es-ES" w:bidi="es-ES"/>
        </w:rPr>
        <w:lastRenderedPageBreak/>
        <w:t xml:space="preserve">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votaciones más altas, de conformidad con el artículo 190 de la Constitución Política. Para estos efectos, la restricción se extenderá hasta la fecha en la que se realice la segunda vuelta. </w:t>
      </w:r>
      <w:r w:rsidRPr="009464D4">
        <w:rPr>
          <w:rFonts w:ascii="Arial" w:eastAsia="Arial" w:hAnsi="Arial" w:cs="Arial"/>
          <w:i/>
          <w:iCs/>
          <w:color w:val="000000" w:themeColor="text1"/>
          <w:sz w:val="22"/>
          <w:lang w:val="es-ES" w:eastAsia="es-ES" w:bidi="es-ES"/>
        </w:rPr>
        <w:t>En segundo lugar</w:t>
      </w:r>
      <w:r w:rsidRPr="009464D4">
        <w:rPr>
          <w:rFonts w:ascii="Arial" w:eastAsia="Arial" w:hAnsi="Arial" w:cs="Arial"/>
          <w:color w:val="000000" w:themeColor="text1"/>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21"/>
    </w:p>
    <w:bookmarkEnd w:id="22"/>
    <w:p w14:paraId="17C45B6F" w14:textId="77777777" w:rsidR="005D7824" w:rsidRPr="009464D4" w:rsidRDefault="005D7824" w:rsidP="005D7824">
      <w:pPr>
        <w:spacing w:after="120" w:line="276" w:lineRule="auto"/>
        <w:ind w:firstLine="709"/>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 xml:space="preserve">Ambas restricciones no son excluyentes, lo que permite concluir que en el período preelectoral para elección de </w:t>
      </w:r>
      <w:proofErr w:type="gramStart"/>
      <w:r w:rsidRPr="009464D4">
        <w:rPr>
          <w:rFonts w:ascii="Arial" w:eastAsia="Arial" w:hAnsi="Arial" w:cs="Arial"/>
          <w:color w:val="000000" w:themeColor="text1"/>
          <w:sz w:val="22"/>
          <w:lang w:val="es-ES" w:eastAsia="es-ES" w:bidi="es-ES"/>
        </w:rPr>
        <w:t>Presidente</w:t>
      </w:r>
      <w:proofErr w:type="gramEnd"/>
      <w:r w:rsidRPr="009464D4">
        <w:rPr>
          <w:rFonts w:ascii="Arial" w:eastAsia="Arial" w:hAnsi="Arial" w:cs="Arial"/>
          <w:color w:val="000000" w:themeColor="text1"/>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9464D4">
        <w:rPr>
          <w:rFonts w:ascii="Arial" w:eastAsia="Arial" w:hAnsi="Arial" w:cs="Arial"/>
          <w:color w:val="000000" w:themeColor="text1"/>
          <w:sz w:val="22"/>
          <w:lang w:val="es-ES" w:eastAsia="es-ES" w:bidi="es-ES"/>
        </w:rPr>
        <w:t>Presidente</w:t>
      </w:r>
      <w:proofErr w:type="gramEnd"/>
      <w:r w:rsidRPr="009464D4">
        <w:rPr>
          <w:rFonts w:ascii="Arial" w:eastAsia="Arial" w:hAnsi="Arial" w:cs="Arial"/>
          <w:color w:val="000000" w:themeColor="text1"/>
          <w:sz w:val="22"/>
          <w:lang w:val="es-ES" w:eastAsia="es-ES" w:bidi="es-ES"/>
        </w:rPr>
        <w:t xml:space="preserve"> de la República, como son, por ejemplo, las elecciones del Congreso de la República, las autoridades allí mencionadas solo deben aplicar las restricciones contenidas en el parágrafo del artículo 38.</w:t>
      </w:r>
    </w:p>
    <w:bookmarkEnd w:id="23"/>
    <w:p w14:paraId="62F45CDB" w14:textId="77777777" w:rsidR="005D7824" w:rsidRPr="009464D4" w:rsidRDefault="005D7824" w:rsidP="005D7824">
      <w:pPr>
        <w:spacing w:line="276" w:lineRule="auto"/>
        <w:ind w:firstLine="708"/>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9464D4">
        <w:rPr>
          <w:rFonts w:ascii="Arial" w:eastAsia="Arial" w:hAnsi="Arial" w:cs="Arial"/>
          <w:color w:val="000000" w:themeColor="text1"/>
          <w:sz w:val="22"/>
          <w:lang w:val="es-ES" w:eastAsia="es-ES" w:bidi="es-ES"/>
        </w:rPr>
        <w:t>Presidente</w:t>
      </w:r>
      <w:proofErr w:type="gramEnd"/>
      <w:r w:rsidRPr="009464D4">
        <w:rPr>
          <w:rFonts w:ascii="Arial" w:eastAsia="Arial" w:hAnsi="Arial" w:cs="Arial"/>
          <w:color w:val="000000" w:themeColor="text1"/>
          <w:sz w:val="22"/>
          <w:lang w:val="es-ES" w:eastAsia="es-ES" w:bidi="es-ES"/>
        </w:rPr>
        <w:t xml:space="preserve"> o el Vicepresidente desde que estos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539B2BDA" w14:textId="77777777" w:rsidR="005D7824" w:rsidRPr="009464D4" w:rsidRDefault="005D7824" w:rsidP="005D7824">
      <w:pPr>
        <w:spacing w:line="276" w:lineRule="auto"/>
        <w:jc w:val="both"/>
        <w:rPr>
          <w:rFonts w:ascii="Arial" w:eastAsia="Times New Roman" w:hAnsi="Arial" w:cs="Arial"/>
          <w:bCs/>
          <w:color w:val="000000" w:themeColor="text1"/>
          <w:sz w:val="22"/>
          <w:lang w:val="es-ES" w:eastAsia="es-CO"/>
        </w:rPr>
      </w:pPr>
    </w:p>
    <w:p w14:paraId="02EE326D" w14:textId="77777777" w:rsidR="005D7824" w:rsidRPr="009464D4" w:rsidRDefault="005D7824" w:rsidP="005D7824">
      <w:pPr>
        <w:spacing w:line="276" w:lineRule="auto"/>
        <w:jc w:val="both"/>
        <w:rPr>
          <w:rFonts w:ascii="Arial" w:eastAsia="Times New Roman" w:hAnsi="Arial" w:cs="Arial"/>
          <w:b/>
          <w:color w:val="000000" w:themeColor="text1"/>
          <w:sz w:val="22"/>
          <w:lang w:val="es-ES" w:eastAsia="es-CO"/>
        </w:rPr>
      </w:pPr>
      <w:r w:rsidRPr="009464D4">
        <w:rPr>
          <w:rFonts w:ascii="Arial" w:eastAsia="Times New Roman" w:hAnsi="Arial" w:cs="Arial"/>
          <w:b/>
          <w:color w:val="000000" w:themeColor="text1"/>
          <w:sz w:val="22"/>
          <w:lang w:val="es-ES" w:eastAsia="es-CO"/>
        </w:rPr>
        <w:t xml:space="preserve">2.2. </w:t>
      </w:r>
      <w:r w:rsidRPr="009464D4">
        <w:rPr>
          <w:rFonts w:ascii="Arial" w:eastAsia="Times New Roman" w:hAnsi="Arial" w:cs="Arial"/>
          <w:b/>
          <w:bCs/>
          <w:color w:val="000000" w:themeColor="text1"/>
          <w:sz w:val="22"/>
          <w:lang w:eastAsia="es-CO"/>
        </w:rPr>
        <w:t xml:space="preserve">Restricciones en elecciones presidenciales: </w:t>
      </w:r>
      <w:r w:rsidRPr="009464D4">
        <w:rPr>
          <w:rFonts w:ascii="Arial" w:eastAsiaTheme="minorHAnsi" w:hAnsi="Arial" w:cs="Arial"/>
          <w:b/>
          <w:bCs/>
          <w:color w:val="000000" w:themeColor="text1"/>
          <w:sz w:val="22"/>
          <w:lang w:eastAsia="es-CO"/>
        </w:rPr>
        <w:t>prohibición del artículo 33 de la Ley 996 de 2005</w:t>
      </w:r>
    </w:p>
    <w:p w14:paraId="0711261D" w14:textId="77777777" w:rsidR="005D7824" w:rsidRPr="009464D4" w:rsidRDefault="005D7824" w:rsidP="005D7824">
      <w:pPr>
        <w:spacing w:line="276" w:lineRule="auto"/>
        <w:jc w:val="both"/>
        <w:rPr>
          <w:rFonts w:ascii="Arial" w:eastAsia="Times New Roman" w:hAnsi="Arial" w:cs="Arial"/>
          <w:bCs/>
          <w:color w:val="000000" w:themeColor="text1"/>
          <w:sz w:val="22"/>
          <w:lang w:eastAsia="x-none"/>
        </w:rPr>
      </w:pPr>
    </w:p>
    <w:p w14:paraId="37EFE7F3" w14:textId="77777777" w:rsidR="005D7824" w:rsidRPr="009464D4" w:rsidRDefault="005D7824" w:rsidP="005D7824">
      <w:pPr>
        <w:spacing w:line="276" w:lineRule="auto"/>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x-none"/>
        </w:rPr>
        <w:t xml:space="preserve">El ámbito material de la prohibición contenida </w:t>
      </w:r>
      <w:bookmarkStart w:id="24" w:name="_Hlk75628761"/>
      <w:r w:rsidRPr="009464D4">
        <w:rPr>
          <w:rFonts w:ascii="Arial" w:eastAsia="Times New Roman" w:hAnsi="Arial" w:cs="Arial"/>
          <w:bCs/>
          <w:color w:val="000000" w:themeColor="text1"/>
          <w:sz w:val="22"/>
          <w:lang w:eastAsia="x-none"/>
        </w:rPr>
        <w:t xml:space="preserve">en el artículo 33 de la ley 996 de 2005 </w:t>
      </w:r>
      <w:bookmarkEnd w:id="24"/>
      <w:r w:rsidRPr="009464D4">
        <w:rPr>
          <w:rFonts w:ascii="Arial" w:eastAsia="Times New Roman" w:hAnsi="Arial" w:cs="Arial"/>
          <w:bCs/>
          <w:color w:val="000000" w:themeColor="text1"/>
          <w:sz w:val="22"/>
          <w:lang w:eastAsia="x-none"/>
        </w:rPr>
        <w:t xml:space="preserve">está delimitado por la expresión </w:t>
      </w:r>
      <w:r w:rsidRPr="009464D4">
        <w:rPr>
          <w:rFonts w:ascii="Arial" w:eastAsia="Calibri" w:hAnsi="Arial" w:cs="Arial"/>
          <w:bCs/>
          <w:color w:val="000000" w:themeColor="text1"/>
          <w:sz w:val="20"/>
          <w:szCs w:val="20"/>
        </w:rPr>
        <w:t>«</w:t>
      </w:r>
      <w:r w:rsidRPr="009464D4">
        <w:rPr>
          <w:rFonts w:ascii="Arial" w:eastAsia="Times New Roman" w:hAnsi="Arial" w:cs="Arial"/>
          <w:bCs/>
          <w:color w:val="000000" w:themeColor="text1"/>
          <w:sz w:val="22"/>
          <w:lang w:eastAsia="x-none"/>
        </w:rPr>
        <w:t>queda prohibida la contratación directa</w:t>
      </w:r>
      <w:r w:rsidRPr="009464D4">
        <w:rPr>
          <w:rFonts w:ascii="Arial" w:eastAsiaTheme="minorHAnsi" w:hAnsi="Arial" w:cs="Arial"/>
          <w:color w:val="000000" w:themeColor="text1"/>
          <w:sz w:val="20"/>
          <w:szCs w:val="20"/>
        </w:rPr>
        <w:t>»</w:t>
      </w:r>
      <w:r w:rsidRPr="009464D4">
        <w:rPr>
          <w:rFonts w:ascii="Arial" w:eastAsia="Times New Roman" w:hAnsi="Arial" w:cs="Arial"/>
          <w:bCs/>
          <w:color w:val="000000" w:themeColor="text1"/>
          <w:sz w:val="22"/>
          <w:lang w:eastAsia="x-none"/>
        </w:rPr>
        <w:t xml:space="preserve">. </w:t>
      </w:r>
      <w:r w:rsidRPr="009464D4">
        <w:rPr>
          <w:rFonts w:ascii="Arial" w:eastAsia="Times New Roman" w:hAnsi="Arial" w:cs="Arial"/>
          <w:color w:val="000000" w:themeColor="text1"/>
          <w:sz w:val="22"/>
          <w:lang w:eastAsia="es-CO"/>
        </w:rPr>
        <w:t xml:space="preserve"> A propósito de </w:t>
      </w:r>
      <w:r w:rsidRPr="009464D4">
        <w:rPr>
          <w:rFonts w:ascii="Arial" w:eastAsia="Times New Roman" w:hAnsi="Arial" w:cs="Arial"/>
          <w:color w:val="000000" w:themeColor="text1"/>
          <w:sz w:val="22"/>
          <w:lang w:val="es-CO" w:eastAsia="es-CO"/>
        </w:rPr>
        <w:t>esta restricción de la Ley de Garantías Electorales, la Sala de Consulta y Servicio Civil del Consejo de Estado ha considerado que:</w:t>
      </w:r>
    </w:p>
    <w:p w14:paraId="09A235B4" w14:textId="77777777" w:rsidR="005D7824" w:rsidRPr="009464D4" w:rsidRDefault="005D7824" w:rsidP="005D7824">
      <w:pPr>
        <w:spacing w:line="276" w:lineRule="auto"/>
        <w:ind w:left="708" w:right="709"/>
        <w:jc w:val="both"/>
        <w:rPr>
          <w:rFonts w:ascii="Arial" w:eastAsiaTheme="minorHAnsi" w:hAnsi="Arial" w:cs="Arial"/>
          <w:color w:val="000000" w:themeColor="text1"/>
          <w:sz w:val="21"/>
          <w:szCs w:val="21"/>
        </w:rPr>
      </w:pPr>
    </w:p>
    <w:p w14:paraId="2EF2FC2E" w14:textId="77777777" w:rsidR="005D7824" w:rsidRPr="009464D4" w:rsidRDefault="005D7824" w:rsidP="005D7824">
      <w:pPr>
        <w:spacing w:after="120"/>
        <w:ind w:left="709" w:right="709"/>
        <w:jc w:val="both"/>
        <w:rPr>
          <w:rFonts w:ascii="Arial" w:eastAsiaTheme="minorHAnsi" w:hAnsi="Arial" w:cs="Arial"/>
          <w:color w:val="000000" w:themeColor="text1"/>
          <w:sz w:val="21"/>
          <w:szCs w:val="21"/>
        </w:rPr>
      </w:pPr>
      <w:r w:rsidRPr="009464D4">
        <w:rPr>
          <w:rFonts w:ascii="Arial" w:eastAsiaTheme="minorHAnsi" w:hAnsi="Arial" w:cs="Arial"/>
          <w:color w:val="000000" w:themeColor="text1"/>
          <w:sz w:val="21"/>
          <w:szCs w:val="21"/>
        </w:rPr>
        <w:t xml:space="preserve">La contratación directa es un mecanismo de selección de carácter excepcional, en virtud del cual las entidades públicas pueden contratar mediante un trámite simplificado, ágil y expedito sin necesidad de realizar previamente un proceso </w:t>
      </w:r>
      <w:r w:rsidRPr="009464D4">
        <w:rPr>
          <w:rFonts w:ascii="Arial" w:eastAsiaTheme="minorHAnsi" w:hAnsi="Arial" w:cs="Arial"/>
          <w:color w:val="000000" w:themeColor="text1"/>
          <w:sz w:val="21"/>
          <w:szCs w:val="21"/>
        </w:rPr>
        <w:lastRenderedPageBreak/>
        <w:t>de licitación pública o concurso, únicamente en los casos en que expresa y taxativamente señale la ley (numeral 4, artículo 2, ley 1150 de 2007), y cumpliendo siempre los principios que rigen la contratación pública</w:t>
      </w:r>
      <w:r w:rsidRPr="009464D4">
        <w:rPr>
          <w:rFonts w:ascii="Arial" w:eastAsia="Times New Roman" w:hAnsi="Arial" w:cs="Arial"/>
          <w:color w:val="000000" w:themeColor="text1"/>
          <w:sz w:val="22"/>
          <w:vertAlign w:val="superscript"/>
          <w:lang w:val="es-CO" w:eastAsia="es-CO"/>
        </w:rPr>
        <w:footnoteReference w:id="12"/>
      </w:r>
      <w:r w:rsidRPr="009464D4">
        <w:rPr>
          <w:rFonts w:ascii="Arial" w:eastAsiaTheme="minorHAnsi" w:hAnsi="Arial" w:cs="Arial"/>
          <w:color w:val="000000" w:themeColor="text1"/>
          <w:sz w:val="21"/>
          <w:szCs w:val="21"/>
        </w:rPr>
        <w:t>.</w:t>
      </w:r>
    </w:p>
    <w:p w14:paraId="3AC1369F" w14:textId="77777777" w:rsidR="005D7824" w:rsidRPr="009464D4" w:rsidRDefault="005D7824" w:rsidP="005D7824">
      <w:pPr>
        <w:ind w:left="708" w:right="709"/>
        <w:jc w:val="both"/>
        <w:rPr>
          <w:rFonts w:ascii="Arial" w:eastAsiaTheme="minorHAnsi" w:hAnsi="Arial" w:cs="Arial"/>
          <w:color w:val="000000" w:themeColor="text1"/>
          <w:sz w:val="21"/>
          <w:szCs w:val="21"/>
        </w:rPr>
      </w:pPr>
      <w:r w:rsidRPr="009464D4">
        <w:rPr>
          <w:rFonts w:ascii="Arial" w:eastAsiaTheme="minorHAnsi" w:hAnsi="Arial" w:cs="Arial"/>
          <w:color w:val="000000" w:themeColor="text1"/>
          <w:sz w:val="21"/>
          <w:szCs w:val="21"/>
        </w:rPr>
        <w:t xml:space="preserve">Esta Sala ha entendido </w:t>
      </w:r>
      <w:proofErr w:type="gramStart"/>
      <w:r w:rsidRPr="009464D4">
        <w:rPr>
          <w:rFonts w:ascii="Arial" w:eastAsiaTheme="minorHAnsi" w:hAnsi="Arial" w:cs="Arial"/>
          <w:color w:val="000000" w:themeColor="text1"/>
          <w:sz w:val="21"/>
          <w:szCs w:val="21"/>
        </w:rPr>
        <w:t>que</w:t>
      </w:r>
      <w:proofErr w:type="gramEnd"/>
      <w:r w:rsidRPr="009464D4">
        <w:rPr>
          <w:rFonts w:ascii="Arial" w:eastAsiaTheme="minorHAnsi" w:hAnsi="Arial" w:cs="Arial"/>
          <w:color w:val="000000" w:themeColor="text1"/>
          <w:sz w:val="21"/>
          <w:szCs w:val="21"/>
        </w:rPr>
        <w:t xml:space="preserve"> para los efectos de la ley de garantías, y dada su finalidad, el enunciado ´contratación directa´ es sinónimo </w:t>
      </w:r>
      <w:bookmarkStart w:id="27" w:name="_Hlk75741738"/>
      <w:r w:rsidRPr="009464D4">
        <w:rPr>
          <w:rFonts w:ascii="Arial" w:eastAsiaTheme="minorHAnsi" w:hAnsi="Arial" w:cs="Arial"/>
          <w:color w:val="000000" w:themeColor="text1"/>
          <w:sz w:val="21"/>
          <w:szCs w:val="21"/>
        </w:rPr>
        <w:t xml:space="preserve">de cualquier sistema que no implique convocatoria pública y posibilidad de pluralidad de oferentes, </w:t>
      </w:r>
      <w:bookmarkEnd w:id="27"/>
      <w:r w:rsidRPr="009464D4">
        <w:rPr>
          <w:rFonts w:ascii="Arial" w:eastAsiaTheme="minorHAnsi" w:hAnsi="Arial" w:cs="Arial"/>
          <w:color w:val="000000" w:themeColor="text1"/>
          <w:sz w:val="21"/>
          <w:szCs w:val="21"/>
        </w:rPr>
        <w:t>y que, además, no necesariamente hace referencia al procedimiento especial regulado por la ley de contratación estatal, sino a cualquier otro que prescinda de un proceso de licitación pública o concurso</w:t>
      </w:r>
      <w:r w:rsidRPr="009464D4">
        <w:rPr>
          <w:rFonts w:ascii="Arial" w:eastAsia="Times New Roman" w:hAnsi="Arial" w:cs="Arial"/>
          <w:color w:val="000000" w:themeColor="text1"/>
          <w:sz w:val="21"/>
          <w:szCs w:val="21"/>
          <w:vertAlign w:val="superscript"/>
        </w:rPr>
        <w:footnoteReference w:id="13"/>
      </w:r>
      <w:r w:rsidRPr="009464D4">
        <w:rPr>
          <w:rFonts w:ascii="Arial" w:eastAsia="Times New Roman" w:hAnsi="Arial" w:cs="Arial"/>
          <w:color w:val="000000" w:themeColor="text1"/>
          <w:sz w:val="21"/>
          <w:szCs w:val="21"/>
          <w:vertAlign w:val="superscript"/>
        </w:rPr>
        <w:t>.</w:t>
      </w:r>
      <w:r w:rsidRPr="009464D4">
        <w:rPr>
          <w:rFonts w:ascii="Arial" w:eastAsiaTheme="minorHAnsi" w:hAnsi="Arial" w:cs="Arial"/>
          <w:color w:val="000000" w:themeColor="text1"/>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9464D4">
        <w:rPr>
          <w:rFonts w:ascii="Arial" w:eastAsia="Times New Roman" w:hAnsi="Arial" w:cs="Arial"/>
          <w:color w:val="000000" w:themeColor="text1"/>
          <w:sz w:val="22"/>
          <w:vertAlign w:val="superscript"/>
          <w:lang w:val="es-CO" w:eastAsia="es-CO"/>
        </w:rPr>
        <w:footnoteReference w:id="14"/>
      </w:r>
      <w:r w:rsidRPr="009464D4">
        <w:rPr>
          <w:rFonts w:ascii="Arial" w:eastAsiaTheme="minorHAnsi" w:hAnsi="Arial" w:cs="Arial"/>
          <w:color w:val="000000" w:themeColor="text1"/>
          <w:sz w:val="21"/>
          <w:szCs w:val="21"/>
        </w:rPr>
        <w:t xml:space="preserve"> .</w:t>
      </w:r>
    </w:p>
    <w:p w14:paraId="2159374C" w14:textId="77777777" w:rsidR="005D7824" w:rsidRPr="009464D4" w:rsidRDefault="005D7824" w:rsidP="005D7824">
      <w:pPr>
        <w:shd w:val="clear" w:color="auto" w:fill="FFFFFF"/>
        <w:spacing w:line="276" w:lineRule="auto"/>
        <w:ind w:firstLine="709"/>
        <w:jc w:val="both"/>
        <w:rPr>
          <w:rFonts w:ascii="Arial" w:eastAsia="Times New Roman" w:hAnsi="Arial" w:cs="Arial"/>
          <w:color w:val="000000" w:themeColor="text1"/>
          <w:sz w:val="22"/>
          <w:lang w:val="es-CO" w:eastAsia="x-none"/>
        </w:rPr>
      </w:pPr>
    </w:p>
    <w:p w14:paraId="76AB27A9" w14:textId="77777777" w:rsidR="005D7824" w:rsidRPr="009464D4" w:rsidRDefault="005D7824" w:rsidP="005D7824">
      <w:pPr>
        <w:spacing w:after="120" w:line="276" w:lineRule="auto"/>
        <w:ind w:firstLine="708"/>
        <w:jc w:val="both"/>
        <w:rPr>
          <w:rFonts w:ascii="Arial" w:eastAsia="Times New Roman" w:hAnsi="Arial" w:cs="Arial"/>
          <w:bCs/>
          <w:color w:val="000000" w:themeColor="text1"/>
          <w:sz w:val="22"/>
          <w:lang w:val="es-CO" w:eastAsia="x-none"/>
        </w:rPr>
      </w:pPr>
      <w:r w:rsidRPr="009464D4">
        <w:rPr>
          <w:rFonts w:ascii="Arial" w:eastAsia="Times New Roman" w:hAnsi="Arial" w:cs="Arial"/>
          <w:color w:val="000000" w:themeColor="text1"/>
          <w:sz w:val="22"/>
          <w:lang w:val="es-CO" w:eastAsia="x-none"/>
        </w:rPr>
        <w:t xml:space="preserve">De conformidad con el citado concepto, </w:t>
      </w:r>
      <w:bookmarkStart w:id="29" w:name="_Hlk78818702"/>
      <w:r w:rsidRPr="009464D4">
        <w:rPr>
          <w:rFonts w:ascii="Arial" w:eastAsia="Times New Roman" w:hAnsi="Arial" w:cs="Arial"/>
          <w:color w:val="000000" w:themeColor="text1"/>
          <w:sz w:val="22"/>
          <w:lang w:val="es-CO" w:eastAsia="x-none"/>
        </w:rPr>
        <w:t xml:space="preserve">la prohibición del artículo 33 de la Ley de Garantías Electorales se refiere a </w:t>
      </w:r>
      <w:bookmarkStart w:id="30" w:name="_Hlk74294635"/>
      <w:r w:rsidRPr="009464D4">
        <w:rPr>
          <w:rFonts w:ascii="Arial" w:eastAsia="Times New Roman" w:hAnsi="Arial" w:cs="Arial"/>
          <w:color w:val="000000" w:themeColor="text1"/>
          <w:sz w:val="19"/>
          <w:szCs w:val="19"/>
          <w:lang w:val="es-CO" w:eastAsia="en-GB"/>
        </w:rPr>
        <w:t>«</w:t>
      </w:r>
      <w:bookmarkEnd w:id="30"/>
      <w:r w:rsidRPr="009464D4">
        <w:rPr>
          <w:rFonts w:ascii="Arial" w:eastAsia="Times New Roman" w:hAnsi="Arial" w:cs="Arial"/>
          <w:color w:val="000000" w:themeColor="text1"/>
          <w:sz w:val="22"/>
          <w:lang w:val="es-CO" w:eastAsia="x-none"/>
        </w:rPr>
        <w:t>cualquier sistema que no implique convocatoria pública y posibilidad de pluralidad de oferentes</w:t>
      </w:r>
      <w:bookmarkStart w:id="31" w:name="_Hlk74404754"/>
      <w:r w:rsidRPr="009464D4">
        <w:rPr>
          <w:rFonts w:ascii="Arial" w:eastAsia="Times New Roman" w:hAnsi="Arial" w:cs="Arial"/>
          <w:color w:val="000000" w:themeColor="text1"/>
          <w:sz w:val="22"/>
          <w:lang w:val="es-CO" w:eastAsia="en-GB"/>
        </w:rPr>
        <w:t>»</w:t>
      </w:r>
      <w:bookmarkEnd w:id="31"/>
      <w:r w:rsidRPr="009464D4">
        <w:rPr>
          <w:rFonts w:ascii="Arial" w:eastAsia="Times New Roman" w:hAnsi="Arial" w:cs="Arial"/>
          <w:color w:val="000000" w:themeColor="text1"/>
          <w:sz w:val="22"/>
          <w:lang w:val="es-CO" w:eastAsia="x-none"/>
        </w:rPr>
        <w:t xml:space="preserve">, por lo que excluye las demás modalidades de contratación previstas en la Ley 1150 de 2007, es decir, la licitación pública, la selección abreviada, el concurso de méritos, la mínima cuantía u otros previstos en normas especiales. </w:t>
      </w:r>
      <w:bookmarkEnd w:id="29"/>
      <w:r w:rsidRPr="009464D4">
        <w:rPr>
          <w:rFonts w:ascii="Arial" w:eastAsia="Times New Roman" w:hAnsi="Arial" w:cs="Arial"/>
          <w:color w:val="000000" w:themeColor="text1"/>
          <w:sz w:val="22"/>
          <w:lang w:val="es-CO" w:eastAsia="x-none"/>
        </w:rPr>
        <w:t>Esta posición es congruente con la expedición de la Ley 1150 de 2007 que, entre otras reformas, introdujo la selección abreviada, rediseñó el concurso de méritos</w:t>
      </w:r>
      <w:r w:rsidRPr="009464D4">
        <w:rPr>
          <w:rFonts w:ascii="Arial" w:eastAsia="Times New Roman" w:hAnsi="Arial" w:cs="Arial"/>
          <w:color w:val="000000" w:themeColor="text1"/>
          <w:sz w:val="22"/>
          <w:vertAlign w:val="superscript"/>
          <w:lang w:val="en-GB" w:eastAsia="x-none"/>
        </w:rPr>
        <w:footnoteReference w:id="15"/>
      </w:r>
      <w:r w:rsidRPr="009464D4">
        <w:rPr>
          <w:rFonts w:ascii="Arial" w:eastAsia="Times New Roman" w:hAnsi="Arial" w:cs="Arial"/>
          <w:color w:val="000000" w:themeColor="text1"/>
          <w:sz w:val="22"/>
          <w:lang w:val="es-CO" w:eastAsia="x-none"/>
        </w:rPr>
        <w:t xml:space="preserve"> y sistematizó las causales de contratación directa</w:t>
      </w:r>
      <w:r w:rsidRPr="009464D4">
        <w:rPr>
          <w:rFonts w:ascii="Arial" w:eastAsia="Times New Roman" w:hAnsi="Arial" w:cs="Arial"/>
          <w:color w:val="000000" w:themeColor="text1"/>
          <w:sz w:val="22"/>
          <w:vertAlign w:val="superscript"/>
          <w:lang w:val="en-GB" w:eastAsia="x-none"/>
        </w:rPr>
        <w:footnoteReference w:id="16"/>
      </w:r>
      <w:r w:rsidRPr="009464D4">
        <w:rPr>
          <w:rFonts w:ascii="Arial" w:eastAsia="Times New Roman" w:hAnsi="Arial" w:cs="Arial"/>
          <w:color w:val="000000" w:themeColor="text1"/>
          <w:sz w:val="22"/>
          <w:lang w:val="es-CO" w:eastAsia="x-none"/>
        </w:rPr>
        <w:t xml:space="preserve">, </w:t>
      </w:r>
      <w:r w:rsidRPr="009464D4">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r w:rsidRPr="009464D4">
        <w:rPr>
          <w:rFonts w:ascii="Arial" w:eastAsia="Times New Roman" w:hAnsi="Arial" w:cs="Arial"/>
          <w:color w:val="000000" w:themeColor="text1"/>
          <w:sz w:val="22"/>
          <w:lang w:val="es-CO" w:eastAsia="x-none"/>
        </w:rPr>
        <w:t xml:space="preserve"> </w:t>
      </w:r>
    </w:p>
    <w:p w14:paraId="1F1D826C" w14:textId="77777777" w:rsidR="005D7824" w:rsidRPr="009464D4" w:rsidRDefault="005D7824" w:rsidP="005D7824">
      <w:pPr>
        <w:spacing w:after="120" w:line="276" w:lineRule="auto"/>
        <w:ind w:firstLine="708"/>
        <w:jc w:val="both"/>
        <w:rPr>
          <w:rFonts w:ascii="Arial" w:eastAsia="Times New Roman" w:hAnsi="Arial" w:cs="Arial"/>
          <w:color w:val="000000" w:themeColor="text1"/>
          <w:sz w:val="22"/>
          <w:lang w:eastAsia="x-none"/>
        </w:rPr>
      </w:pPr>
      <w:r w:rsidRPr="009464D4">
        <w:rPr>
          <w:rFonts w:ascii="Arial" w:eastAsia="Times New Roman" w:hAnsi="Arial" w:cs="Arial"/>
          <w:color w:val="000000" w:themeColor="text1"/>
          <w:sz w:val="22"/>
          <w:lang w:val="es-CO" w:eastAsia="x-none"/>
        </w:rPr>
        <w:t xml:space="preserve">De esta forma, con fundamento en la evolución normativa de la contratación pública, se ha depurado la noción de </w:t>
      </w:r>
      <w:r w:rsidRPr="009464D4">
        <w:rPr>
          <w:rFonts w:ascii="Arial" w:eastAsia="Times New Roman" w:hAnsi="Arial" w:cs="Arial"/>
          <w:color w:val="000000" w:themeColor="text1"/>
          <w:sz w:val="19"/>
          <w:szCs w:val="19"/>
          <w:lang w:val="es-CO" w:eastAsia="en-GB"/>
        </w:rPr>
        <w:t>«</w:t>
      </w:r>
      <w:r w:rsidRPr="009464D4">
        <w:rPr>
          <w:rFonts w:ascii="Arial" w:eastAsia="Times New Roman" w:hAnsi="Arial" w:cs="Arial"/>
          <w:color w:val="000000" w:themeColor="text1"/>
          <w:sz w:val="22"/>
          <w:lang w:val="es-CO" w:eastAsia="x-none"/>
        </w:rPr>
        <w:t>contratación directa</w:t>
      </w:r>
      <w:r w:rsidRPr="009464D4">
        <w:rPr>
          <w:rFonts w:ascii="Arial" w:eastAsia="Times New Roman" w:hAnsi="Arial" w:cs="Arial"/>
          <w:color w:val="000000" w:themeColor="text1"/>
          <w:sz w:val="22"/>
          <w:lang w:val="es-CO" w:eastAsia="en-GB"/>
        </w:rPr>
        <w:t>»</w:t>
      </w:r>
      <w:r w:rsidRPr="009464D4">
        <w:rPr>
          <w:rFonts w:ascii="Arial" w:eastAsia="Times New Roman" w:hAnsi="Arial" w:cs="Arial"/>
          <w:color w:val="000000" w:themeColor="text1"/>
          <w:sz w:val="22"/>
          <w:lang w:val="es-CO"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w:t>
      </w:r>
      <w:r w:rsidRPr="009464D4">
        <w:rPr>
          <w:rFonts w:ascii="Arial" w:eastAsia="Times New Roman" w:hAnsi="Arial" w:cs="Arial"/>
          <w:color w:val="000000" w:themeColor="text1"/>
          <w:sz w:val="22"/>
          <w:lang w:val="es-CO" w:eastAsia="x-none"/>
        </w:rPr>
        <w:lastRenderedPageBreak/>
        <w:t>pública, pues esto sería tanto como desconocer que el legislador, no solo en el Estatuto General de la Contratación de la Administración Pública, sino también en leyes especiales e, incluso, en el derecho privado</w:t>
      </w:r>
      <w:r w:rsidRPr="009464D4">
        <w:rPr>
          <w:rFonts w:ascii="Arial" w:eastAsia="Times New Roman" w:hAnsi="Arial" w:cs="Arial"/>
          <w:color w:val="000000" w:themeColor="text1"/>
          <w:sz w:val="22"/>
          <w:vertAlign w:val="superscript"/>
          <w:lang w:val="en-GB" w:eastAsia="x-none"/>
        </w:rPr>
        <w:footnoteReference w:id="17"/>
      </w:r>
      <w:r w:rsidRPr="009464D4">
        <w:rPr>
          <w:rFonts w:ascii="Arial" w:eastAsia="Times New Roman" w:hAnsi="Arial" w:cs="Arial"/>
          <w:color w:val="000000" w:themeColor="text1"/>
          <w:sz w:val="22"/>
          <w:lang w:val="es-CO" w:eastAsia="x-none"/>
        </w:rPr>
        <w:t>, han establecido sistemas de contratación que implican convocatoria pública y participación de varios oferentes</w:t>
      </w:r>
      <w:r w:rsidRPr="009464D4">
        <w:rPr>
          <w:rFonts w:ascii="Arial" w:eastAsia="Times New Roman" w:hAnsi="Arial" w:cs="Arial"/>
          <w:color w:val="000000" w:themeColor="text1"/>
          <w:sz w:val="22"/>
          <w:lang w:val="es-CO" w:eastAsia="en-GB"/>
        </w:rPr>
        <w:t>»</w:t>
      </w:r>
      <w:r w:rsidRPr="009464D4">
        <w:rPr>
          <w:rFonts w:ascii="Arial" w:eastAsia="Times New Roman" w:hAnsi="Arial" w:cs="Arial"/>
          <w:color w:val="000000" w:themeColor="text1"/>
          <w:sz w:val="22"/>
          <w:lang w:val="es-CO" w:eastAsia="x-none"/>
        </w:rPr>
        <w:t xml:space="preserve">. </w:t>
      </w:r>
    </w:p>
    <w:p w14:paraId="4A211ECF" w14:textId="77777777" w:rsidR="005D7824" w:rsidRPr="009464D4" w:rsidRDefault="005D7824" w:rsidP="005D7824">
      <w:pPr>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x-none"/>
        </w:rPr>
        <w:t>E</w:t>
      </w:r>
      <w:r w:rsidRPr="009464D4">
        <w:rPr>
          <w:rFonts w:ascii="Arial" w:eastAsia="Times New Roman" w:hAnsi="Arial" w:cs="Arial"/>
          <w:color w:val="000000" w:themeColor="text1"/>
          <w:sz w:val="22"/>
          <w:lang w:val="es-CO" w:eastAsia="x-none"/>
        </w:rPr>
        <w:t xml:space="preserve">n efecto, vale la pena mencionar que, </w:t>
      </w:r>
      <w:bookmarkStart w:id="33" w:name="_Hlk75636073"/>
      <w:r w:rsidRPr="009464D4">
        <w:rPr>
          <w:rFonts w:ascii="Arial" w:eastAsia="Times New Roman" w:hAnsi="Arial" w:cs="Arial"/>
          <w:color w:val="000000" w:themeColor="text1"/>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3"/>
      <w:r w:rsidRPr="009464D4">
        <w:rPr>
          <w:rFonts w:ascii="Arial" w:eastAsia="Times New Roman" w:hAnsi="Arial" w:cs="Arial"/>
          <w:color w:val="000000" w:themeColor="text1"/>
          <w:sz w:val="22"/>
          <w:vertAlign w:val="superscript"/>
          <w:lang w:val="es-CO" w:eastAsia="x-none"/>
        </w:rPr>
        <w:footnoteReference w:id="18"/>
      </w:r>
      <w:r w:rsidRPr="009464D4">
        <w:rPr>
          <w:rFonts w:ascii="Arial" w:eastAsia="Times New Roman" w:hAnsi="Arial" w:cs="Arial"/>
          <w:color w:val="000000" w:themeColor="text1"/>
          <w:sz w:val="22"/>
          <w:lang w:val="es-CO" w:eastAsia="x-none"/>
        </w:rPr>
        <w:t xml:space="preserve">. </w:t>
      </w:r>
    </w:p>
    <w:p w14:paraId="73A7C02A" w14:textId="77777777" w:rsidR="005D7824" w:rsidRPr="009464D4" w:rsidRDefault="005D7824" w:rsidP="005D7824">
      <w:pPr>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–en adelante EGCAP–,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05840AB7" w14:textId="77777777" w:rsidR="005D7824" w:rsidRPr="009464D4" w:rsidRDefault="005D7824" w:rsidP="005D7824">
      <w:pPr>
        <w:spacing w:after="120" w:line="276" w:lineRule="auto"/>
        <w:ind w:firstLine="708"/>
        <w:jc w:val="both"/>
        <w:rPr>
          <w:rFonts w:ascii="Arial" w:eastAsia="Times New Roman" w:hAnsi="Arial" w:cs="Arial"/>
          <w:bCs/>
          <w:color w:val="000000" w:themeColor="text1"/>
          <w:sz w:val="22"/>
          <w:lang w:eastAsia="x-none"/>
        </w:rPr>
      </w:pPr>
      <w:bookmarkStart w:id="34" w:name="_Hlk78818796"/>
      <w:r w:rsidRPr="009464D4">
        <w:rPr>
          <w:rFonts w:ascii="Arial" w:eastAsia="Times New Roman" w:hAnsi="Arial" w:cs="Arial"/>
          <w:bCs/>
          <w:color w:val="000000" w:themeColor="text1"/>
          <w:sz w:val="22"/>
          <w:lang w:eastAsia="x-none"/>
        </w:rPr>
        <w:t xml:space="preserve"> Así las cosas, 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9464D4">
        <w:rPr>
          <w:rFonts w:ascii="Arial" w:eastAsia="Times New Roman" w:hAnsi="Arial" w:cs="Arial"/>
          <w:color w:val="000000" w:themeColor="text1"/>
          <w:sz w:val="22"/>
          <w:vertAlign w:val="superscript"/>
          <w:lang w:val="es-CO" w:eastAsia="x-none"/>
        </w:rPr>
        <w:footnoteReference w:id="19"/>
      </w:r>
      <w:r w:rsidRPr="009464D4">
        <w:rPr>
          <w:rFonts w:ascii="Arial" w:eastAsia="Times New Roman" w:hAnsi="Arial" w:cs="Arial"/>
          <w:bCs/>
          <w:color w:val="000000" w:themeColor="text1"/>
          <w:sz w:val="22"/>
          <w:lang w:eastAsia="x-none"/>
        </w:rPr>
        <w:t>.</w:t>
      </w:r>
      <w:r w:rsidRPr="009464D4">
        <w:rPr>
          <w:rFonts w:ascii="Arial" w:eastAsia="Times New Roman" w:hAnsi="Arial" w:cs="Arial"/>
          <w:color w:val="000000" w:themeColor="text1"/>
          <w:sz w:val="22"/>
          <w:vertAlign w:val="superscript"/>
          <w:lang w:val="es-CO" w:eastAsia="x-none"/>
        </w:rPr>
        <w:t xml:space="preserve"> </w:t>
      </w:r>
    </w:p>
    <w:bookmarkEnd w:id="34"/>
    <w:p w14:paraId="359BC0E8" w14:textId="77777777" w:rsidR="005D7824" w:rsidRPr="009464D4" w:rsidRDefault="005D7824" w:rsidP="005D7824">
      <w:pPr>
        <w:spacing w:after="120" w:line="276" w:lineRule="auto"/>
        <w:ind w:firstLine="708"/>
        <w:jc w:val="both"/>
        <w:rPr>
          <w:rFonts w:ascii="Arial" w:eastAsia="Times New Roman" w:hAnsi="Arial" w:cs="Arial"/>
          <w:color w:val="000000" w:themeColor="text1"/>
          <w:sz w:val="22"/>
          <w:lang w:val="es-CO" w:eastAsia="x-none"/>
        </w:rPr>
      </w:pPr>
      <w:r w:rsidRPr="009464D4">
        <w:rPr>
          <w:rFonts w:ascii="Arial" w:eastAsia="Times New Roman" w:hAnsi="Arial" w:cs="Arial"/>
          <w:bCs/>
          <w:color w:val="000000" w:themeColor="text1"/>
          <w:sz w:val="22"/>
          <w:lang w:eastAsia="x-none"/>
        </w:rPr>
        <w:t>De lo anterior se desprende que la restricción aplica, sin perjuicio de las excepciones establecidas en la misma ley, para celebrar cualquier contrato de forma directa, esto es, sin que exista un proceso abierto y competitivo.</w:t>
      </w:r>
      <w:r w:rsidRPr="009464D4">
        <w:rPr>
          <w:rFonts w:ascii="Arial" w:eastAsia="Times New Roman" w:hAnsi="Arial" w:cs="Arial"/>
          <w:color w:val="000000" w:themeColor="text1"/>
          <w:sz w:val="22"/>
          <w:lang w:val="es-CO" w:eastAsia="x-none"/>
        </w:rPr>
        <w:t xml:space="preserve">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pueden las entidades públicas seguir contratando bajo estas modalidades.</w:t>
      </w:r>
    </w:p>
    <w:p w14:paraId="3344677D" w14:textId="77777777" w:rsidR="005D7824" w:rsidRPr="009464D4" w:rsidRDefault="005D7824" w:rsidP="005D7824">
      <w:pPr>
        <w:spacing w:after="120" w:line="276" w:lineRule="auto"/>
        <w:ind w:firstLine="708"/>
        <w:jc w:val="both"/>
        <w:rPr>
          <w:rFonts w:ascii="Arial" w:eastAsia="Times New Roman" w:hAnsi="Arial" w:cs="Arial"/>
          <w:bCs/>
          <w:color w:val="000000" w:themeColor="text1"/>
          <w:sz w:val="22"/>
          <w:lang w:eastAsia="x-none"/>
        </w:rPr>
      </w:pPr>
      <w:bookmarkStart w:id="35" w:name="_Hlk77237094"/>
      <w:r w:rsidRPr="009464D4">
        <w:rPr>
          <w:rFonts w:ascii="Arial" w:eastAsia="Times New Roman" w:hAnsi="Arial" w:cs="Arial"/>
          <w:bCs/>
          <w:color w:val="000000" w:themeColor="text1"/>
          <w:sz w:val="22"/>
          <w:lang w:eastAsia="es-CO"/>
        </w:rPr>
        <w:lastRenderedPageBreak/>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Pr="009464D4">
        <w:rPr>
          <w:rFonts w:ascii="Arial" w:eastAsia="Times New Roman" w:hAnsi="Arial" w:cs="Arial"/>
          <w:bCs/>
          <w:color w:val="000000" w:themeColor="text1"/>
          <w:sz w:val="22"/>
          <w:vertAlign w:val="superscript"/>
          <w:lang w:eastAsia="es-CO"/>
        </w:rPr>
        <w:footnoteReference w:id="20"/>
      </w:r>
      <w:r w:rsidRPr="009464D4">
        <w:rPr>
          <w:rFonts w:ascii="Arial" w:eastAsia="Times New Roman" w:hAnsi="Arial" w:cs="Arial"/>
          <w:bCs/>
          <w:color w:val="000000" w:themeColor="text1"/>
          <w:sz w:val="22"/>
          <w:lang w:eastAsia="es-CO"/>
        </w:rPr>
        <w:t>.</w:t>
      </w:r>
      <w:bookmarkEnd w:id="35"/>
    </w:p>
    <w:p w14:paraId="6242ECC4" w14:textId="77777777" w:rsidR="005D7824" w:rsidRPr="009464D4" w:rsidRDefault="005D7824" w:rsidP="005D7824">
      <w:pPr>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9464D4">
        <w:rPr>
          <w:rFonts w:ascii="Arial" w:eastAsia="Times New Roman" w:hAnsi="Arial" w:cs="Arial"/>
          <w:bCs/>
          <w:color w:val="000000" w:themeColor="text1"/>
          <w:sz w:val="22"/>
          <w:lang w:eastAsia="x-none"/>
        </w:rPr>
        <w:t>ii</w:t>
      </w:r>
      <w:proofErr w:type="spellEnd"/>
      <w:r w:rsidRPr="009464D4">
        <w:rPr>
          <w:rFonts w:ascii="Arial" w:eastAsia="Times New Roman" w:hAnsi="Arial" w:cs="Arial"/>
          <w:bCs/>
          <w:color w:val="000000" w:themeColor="text1"/>
          <w:sz w:val="22"/>
          <w:lang w:eastAsia="x-none"/>
        </w:rPr>
        <w:t xml:space="preserve">) los contratos de crédito público; </w:t>
      </w:r>
      <w:proofErr w:type="spellStart"/>
      <w:r w:rsidRPr="009464D4">
        <w:rPr>
          <w:rFonts w:ascii="Arial" w:eastAsia="Times New Roman" w:hAnsi="Arial" w:cs="Arial"/>
          <w:bCs/>
          <w:color w:val="000000" w:themeColor="text1"/>
          <w:sz w:val="22"/>
          <w:lang w:eastAsia="x-none"/>
        </w:rPr>
        <w:t>iii</w:t>
      </w:r>
      <w:proofErr w:type="spellEnd"/>
      <w:r w:rsidRPr="009464D4">
        <w:rPr>
          <w:rFonts w:ascii="Arial" w:eastAsia="Times New Roman" w:hAnsi="Arial" w:cs="Arial"/>
          <w:bCs/>
          <w:color w:val="000000" w:themeColor="text1"/>
          <w:sz w:val="22"/>
          <w:lang w:eastAsia="x-none"/>
        </w:rPr>
        <w:t xml:space="preserve">) los requeridos para cubrir las emergencias educativas, sanitarias y desastres; </w:t>
      </w:r>
      <w:proofErr w:type="spellStart"/>
      <w:r w:rsidRPr="009464D4">
        <w:rPr>
          <w:rFonts w:ascii="Arial" w:eastAsia="Times New Roman" w:hAnsi="Arial" w:cs="Arial"/>
          <w:bCs/>
          <w:color w:val="000000" w:themeColor="text1"/>
          <w:sz w:val="22"/>
          <w:lang w:eastAsia="x-none"/>
        </w:rPr>
        <w:t>iv</w:t>
      </w:r>
      <w:proofErr w:type="spellEnd"/>
      <w:r w:rsidRPr="009464D4">
        <w:rPr>
          <w:rFonts w:ascii="Arial" w:eastAsia="Times New Roman" w:hAnsi="Arial" w:cs="Arial"/>
          <w:bCs/>
          <w:color w:val="000000" w:themeColor="text1"/>
          <w:sz w:val="22"/>
          <w:lang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464D4">
        <w:rPr>
          <w:rFonts w:ascii="Arial" w:eastAsia="Times New Roman" w:hAnsi="Arial" w:cs="Arial"/>
          <w:bCs/>
          <w:color w:val="000000" w:themeColor="text1"/>
          <w:sz w:val="22"/>
          <w:lang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3C820A8C" w14:textId="77777777" w:rsidR="005D7824" w:rsidRPr="009464D4" w:rsidRDefault="005D7824" w:rsidP="005D7824">
      <w:pPr>
        <w:spacing w:after="120" w:line="276" w:lineRule="auto"/>
        <w:ind w:firstLine="709"/>
        <w:jc w:val="both"/>
        <w:rPr>
          <w:rFonts w:ascii="Arial" w:eastAsia="Times New Roman" w:hAnsi="Arial" w:cs="Arial"/>
          <w:bCs/>
          <w:color w:val="000000" w:themeColor="text1"/>
          <w:sz w:val="22"/>
          <w:lang w:eastAsia="x-none"/>
        </w:rPr>
      </w:pPr>
      <w:r w:rsidRPr="009464D4">
        <w:rPr>
          <w:rFonts w:ascii="Arial" w:eastAsia="Times New Roman" w:hAnsi="Arial" w:cs="Arial"/>
          <w:bCs/>
          <w:color w:val="000000" w:themeColor="text1"/>
          <w:sz w:val="22"/>
          <w:lang w:eastAsia="x-none"/>
        </w:rPr>
        <w:t>En esta labor es importante tener en cuenta, como lo anotó la Corte Constitucional, en Sentencia C-1153 de noviembre 11 de 2005</w:t>
      </w:r>
      <w:r w:rsidRPr="009464D4">
        <w:rPr>
          <w:rFonts w:eastAsiaTheme="minorHAnsi"/>
          <w:color w:val="000000" w:themeColor="text1"/>
          <w:vertAlign w:val="superscript"/>
        </w:rPr>
        <w:t>,</w:t>
      </w:r>
      <w:r w:rsidRPr="009464D4">
        <w:rPr>
          <w:rFonts w:ascii="Arial" w:eastAsia="Times New Roman" w:hAnsi="Arial" w:cs="Arial"/>
          <w:bCs/>
          <w:color w:val="000000" w:themeColor="text1"/>
          <w:sz w:val="22"/>
          <w:lang w:eastAsia="x-none"/>
        </w:rPr>
        <w:t xml:space="preserve"> </w:t>
      </w:r>
      <w:bookmarkStart w:id="36" w:name="_Hlk74309042"/>
      <w:r w:rsidRPr="009464D4">
        <w:rPr>
          <w:rFonts w:ascii="Arial" w:eastAsia="Times New Roman" w:hAnsi="Arial" w:cs="Arial"/>
          <w:bCs/>
          <w:color w:val="000000" w:themeColor="text1"/>
          <w:sz w:val="22"/>
          <w:lang w:eastAsia="x-none"/>
        </w:rPr>
        <w:t>que «</w:t>
      </w:r>
      <w:bookmarkEnd w:id="36"/>
      <w:r w:rsidRPr="009464D4">
        <w:rPr>
          <w:rFonts w:ascii="Arial" w:eastAsia="Times New Roman" w:hAnsi="Arial" w:cs="Arial"/>
          <w:bCs/>
          <w:color w:val="000000" w:themeColor="text1"/>
          <w:sz w:val="22"/>
          <w:lang w:eastAsia="x-none"/>
        </w:rPr>
        <w:t xml:space="preserve">si bien la limitación garantiza la igualdad de condiciones, también es necesario que tal limitación que pretende la igualdad </w:t>
      </w:r>
      <w:bookmarkStart w:id="37" w:name="_Hlk75768308"/>
      <w:r w:rsidRPr="009464D4">
        <w:rPr>
          <w:rFonts w:ascii="Arial" w:eastAsia="Times New Roman" w:hAnsi="Arial" w:cs="Arial"/>
          <w:bCs/>
          <w:color w:val="000000" w:themeColor="text1"/>
          <w:sz w:val="22"/>
          <w:lang w:eastAsia="x-none"/>
        </w:rPr>
        <w:t>no termine yendo en detrimento de intereses públicos, cuya garantía está en cabeza del ejecutivo, como son los inmersos en las excepciones para la prohibición de contratación</w:t>
      </w:r>
      <w:bookmarkStart w:id="38" w:name="_Hlk74309060"/>
      <w:r w:rsidRPr="009464D4">
        <w:rPr>
          <w:rFonts w:ascii="Arial" w:eastAsia="Times New Roman" w:hAnsi="Arial" w:cs="Arial"/>
          <w:bCs/>
          <w:color w:val="000000" w:themeColor="text1"/>
          <w:sz w:val="22"/>
          <w:lang w:eastAsia="x-none"/>
        </w:rPr>
        <w:t>»</w:t>
      </w:r>
      <w:bookmarkEnd w:id="38"/>
      <w:r w:rsidRPr="009464D4">
        <w:rPr>
          <w:rFonts w:ascii="Arial" w:eastAsiaTheme="minorHAnsi" w:hAnsi="Arial" w:cs="Arial"/>
          <w:color w:val="000000" w:themeColor="text1"/>
          <w:sz w:val="22"/>
          <w:vertAlign w:val="superscript"/>
        </w:rPr>
        <w:footnoteReference w:id="21"/>
      </w:r>
      <w:r w:rsidRPr="009464D4">
        <w:rPr>
          <w:rFonts w:ascii="Arial" w:eastAsia="Times New Roman" w:hAnsi="Arial" w:cs="Arial"/>
          <w:bCs/>
          <w:color w:val="000000" w:themeColor="text1"/>
          <w:sz w:val="22"/>
          <w:lang w:eastAsia="x-none"/>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9" w:name="_Hlk75783800"/>
      <w:bookmarkEnd w:id="37"/>
    </w:p>
    <w:p w14:paraId="63DB738D" w14:textId="77777777" w:rsidR="005D7824" w:rsidRPr="009464D4" w:rsidRDefault="005D7824" w:rsidP="005D7824">
      <w:pPr>
        <w:spacing w:line="276" w:lineRule="auto"/>
        <w:ind w:firstLine="708"/>
        <w:jc w:val="both"/>
        <w:rPr>
          <w:rFonts w:ascii="Arial" w:eastAsia="Times New Roman" w:hAnsi="Arial" w:cs="Arial"/>
          <w:bCs/>
          <w:color w:val="000000" w:themeColor="text1"/>
          <w:sz w:val="22"/>
          <w:lang w:eastAsia="x-none"/>
        </w:rPr>
      </w:pPr>
      <w:r w:rsidRPr="009464D4">
        <w:rPr>
          <w:rFonts w:ascii="Arial" w:eastAsiaTheme="minorHAnsi" w:hAnsi="Arial" w:cs="Arial"/>
          <w:bCs/>
          <w:color w:val="000000" w:themeColor="text1"/>
          <w:sz w:val="22"/>
          <w:lang w:eastAsia="x-none"/>
        </w:rPr>
        <w:t xml:space="preserve">De conformidad con lo expuesto, se concluye que durante los cuatro (4) meses anteriores a la elección presidencial y hasta la realización de la elección en la segunda vuelta, queda prohibida la contratación directa por parte de todos los entes del Estado, entendido el término contratación directa como cualquier sistema de selección o procedimiento de contratación utilizado por las entidades estatales que no incluya la convocatoria pública en alguna de sus etapas, ni permita la participación de una pluralidad </w:t>
      </w:r>
      <w:r w:rsidRPr="009464D4">
        <w:rPr>
          <w:rFonts w:ascii="Arial" w:eastAsiaTheme="minorHAnsi" w:hAnsi="Arial" w:cs="Arial"/>
          <w:bCs/>
          <w:color w:val="000000" w:themeColor="text1"/>
          <w:sz w:val="22"/>
          <w:lang w:eastAsia="x-none"/>
        </w:rPr>
        <w:lastRenderedPageBreak/>
        <w:t>de oferentes. Lo anterior, sin perjuicio de las excepciones contempladas en el ordenamiento jurídico frente a dicha prohibición.</w:t>
      </w:r>
    </w:p>
    <w:p w14:paraId="74ECC821" w14:textId="77777777" w:rsidR="005D7824" w:rsidRPr="009464D4" w:rsidRDefault="005D7824" w:rsidP="005D7824">
      <w:pPr>
        <w:spacing w:line="276" w:lineRule="auto"/>
        <w:ind w:firstLine="708"/>
        <w:jc w:val="both"/>
        <w:rPr>
          <w:rFonts w:ascii="Arial" w:eastAsia="Times New Roman" w:hAnsi="Arial" w:cs="Arial"/>
          <w:bCs/>
          <w:color w:val="000000" w:themeColor="text1"/>
          <w:sz w:val="22"/>
          <w:lang w:eastAsia="x-none"/>
        </w:rPr>
      </w:pPr>
    </w:p>
    <w:p w14:paraId="3AC68702" w14:textId="77777777" w:rsidR="005D7824" w:rsidRPr="009464D4" w:rsidRDefault="005D7824" w:rsidP="005D7824">
      <w:pPr>
        <w:spacing w:line="276" w:lineRule="auto"/>
        <w:jc w:val="both"/>
        <w:rPr>
          <w:rFonts w:ascii="Arial" w:eastAsia="Times New Roman" w:hAnsi="Arial" w:cs="Arial"/>
          <w:b/>
          <w:color w:val="000000" w:themeColor="text1"/>
          <w:sz w:val="22"/>
          <w:lang w:eastAsia="x-none"/>
        </w:rPr>
      </w:pPr>
      <w:r w:rsidRPr="009464D4">
        <w:rPr>
          <w:rFonts w:ascii="Arial" w:eastAsia="Times New Roman" w:hAnsi="Arial" w:cs="Arial"/>
          <w:b/>
          <w:color w:val="000000" w:themeColor="text1"/>
          <w:sz w:val="22"/>
          <w:lang w:eastAsia="x-none"/>
        </w:rPr>
        <w:t>2.3.  Destinatarios de la restricción del artículo 33 de la Ley 996 de 2005</w:t>
      </w:r>
    </w:p>
    <w:p w14:paraId="6D363CA7" w14:textId="77777777" w:rsidR="005D7824" w:rsidRPr="009464D4" w:rsidRDefault="005D7824" w:rsidP="005D7824">
      <w:pPr>
        <w:spacing w:line="276" w:lineRule="auto"/>
        <w:jc w:val="both"/>
        <w:rPr>
          <w:rFonts w:ascii="Arial" w:eastAsia="Times New Roman" w:hAnsi="Arial" w:cs="Arial"/>
          <w:bCs/>
          <w:color w:val="000000" w:themeColor="text1"/>
          <w:sz w:val="22"/>
          <w:lang w:eastAsia="x-none"/>
        </w:rPr>
      </w:pPr>
    </w:p>
    <w:p w14:paraId="54C1C635" w14:textId="77777777" w:rsidR="005D7824" w:rsidRPr="009464D4" w:rsidRDefault="005D7824" w:rsidP="005D7824">
      <w:pPr>
        <w:spacing w:line="276" w:lineRule="auto"/>
        <w:jc w:val="both"/>
        <w:rPr>
          <w:rFonts w:ascii="Arial" w:eastAsia="Times New Roman" w:hAnsi="Arial" w:cs="Arial"/>
          <w:bCs/>
          <w:color w:val="000000" w:themeColor="text1"/>
          <w:sz w:val="22"/>
          <w:lang w:eastAsia="x-none"/>
        </w:rPr>
      </w:pPr>
      <w:r w:rsidRPr="009464D4">
        <w:rPr>
          <w:rFonts w:ascii="Arial" w:eastAsia="Times New Roman" w:hAnsi="Arial" w:cs="Arial"/>
          <w:bCs/>
          <w:color w:val="000000" w:themeColor="text1"/>
          <w:sz w:val="22"/>
          <w:lang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464D4">
        <w:rPr>
          <w:rFonts w:eastAsiaTheme="minorHAnsi"/>
          <w:color w:val="000000" w:themeColor="text1"/>
        </w:rPr>
        <w:t xml:space="preserve"> </w:t>
      </w:r>
      <w:r w:rsidRPr="009464D4">
        <w:rPr>
          <w:rFonts w:ascii="Arial" w:eastAsia="Times New Roman" w:hAnsi="Arial" w:cs="Arial"/>
          <w:bCs/>
          <w:color w:val="000000" w:themeColor="text1"/>
          <w:sz w:val="22"/>
          <w:lang w:eastAsia="x-none"/>
        </w:rPr>
        <w:t xml:space="preserve">En efecto, tal como lo ha sostenido el Consejo de Estado, el vocablo </w:t>
      </w:r>
      <w:bookmarkStart w:id="40" w:name="_Hlk75632581"/>
      <w:r w:rsidRPr="009464D4">
        <w:rPr>
          <w:rFonts w:ascii="Arial" w:eastAsia="Times New Roman" w:hAnsi="Arial" w:cs="Arial"/>
          <w:bCs/>
          <w:color w:val="000000" w:themeColor="text1"/>
          <w:sz w:val="22"/>
          <w:lang w:eastAsia="x-none"/>
        </w:rPr>
        <w:t>«</w:t>
      </w:r>
      <w:bookmarkEnd w:id="40"/>
      <w:r w:rsidRPr="009464D4">
        <w:rPr>
          <w:rFonts w:ascii="Arial" w:eastAsia="Times New Roman" w:hAnsi="Arial" w:cs="Arial"/>
          <w:bCs/>
          <w:color w:val="000000" w:themeColor="text1"/>
          <w:sz w:val="22"/>
          <w:lang w:eastAsia="x-none"/>
        </w:rPr>
        <w:t>todos» utilizado por el legislador comprende</w:t>
      </w:r>
      <w:r w:rsidRPr="009464D4">
        <w:rPr>
          <w:rFonts w:eastAsiaTheme="minorHAnsi"/>
          <w:color w:val="000000" w:themeColor="text1"/>
        </w:rPr>
        <w:t xml:space="preserve"> </w:t>
      </w:r>
      <w:r w:rsidRPr="009464D4">
        <w:rPr>
          <w:rFonts w:ascii="Arial" w:eastAsia="Times New Roman" w:hAnsi="Arial" w:cs="Arial"/>
          <w:bCs/>
          <w:color w:val="000000" w:themeColor="text1"/>
          <w:sz w:val="22"/>
          <w:lang w:eastAsia="x-none"/>
        </w:rPr>
        <w:t>a la totalidad de los entes del Estado, sin distinción del régimen jurídico, forma de organización o naturaleza, su pertenencia a una u otra rama del poder público o su autonomía</w:t>
      </w:r>
      <w:bookmarkEnd w:id="39"/>
      <w:r w:rsidRPr="009464D4">
        <w:rPr>
          <w:rFonts w:ascii="Arial" w:eastAsia="Times New Roman" w:hAnsi="Arial" w:cs="Arial"/>
          <w:bCs/>
          <w:color w:val="000000" w:themeColor="text1"/>
          <w:sz w:val="22"/>
          <w:lang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28DDBCB1" w14:textId="77777777" w:rsidR="005D7824" w:rsidRPr="009464D4" w:rsidRDefault="005D7824" w:rsidP="005D7824">
      <w:pPr>
        <w:spacing w:line="276" w:lineRule="auto"/>
        <w:ind w:firstLine="708"/>
        <w:jc w:val="both"/>
        <w:rPr>
          <w:rFonts w:ascii="Arial" w:eastAsia="Times New Roman" w:hAnsi="Arial" w:cs="Arial"/>
          <w:bCs/>
          <w:color w:val="000000" w:themeColor="text1"/>
          <w:sz w:val="22"/>
          <w:lang w:eastAsia="x-none"/>
        </w:rPr>
      </w:pPr>
    </w:p>
    <w:p w14:paraId="5D9C992E" w14:textId="77777777" w:rsidR="005D7824" w:rsidRPr="009464D4" w:rsidRDefault="005D7824" w:rsidP="005D7824">
      <w:pPr>
        <w:ind w:left="708"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x-none"/>
        </w:rPr>
        <w:t xml:space="preserve">El artículo 33 de la ley 996 de 2005, </w:t>
      </w:r>
      <w:bookmarkStart w:id="41" w:name="_Hlk75787147"/>
      <w:r w:rsidRPr="009464D4">
        <w:rPr>
          <w:rFonts w:ascii="Arial" w:eastAsia="Times New Roman" w:hAnsi="Arial" w:cs="Arial"/>
          <w:bCs/>
          <w:color w:val="000000" w:themeColor="text1"/>
          <w:sz w:val="21"/>
          <w:szCs w:val="21"/>
          <w:lang w:eastAsia="x-none"/>
        </w:rPr>
        <w:t xml:space="preserve">efectivamente se aplica </w:t>
      </w:r>
      <w:bookmarkStart w:id="42" w:name="_Hlk76074089"/>
      <w:r w:rsidRPr="009464D4">
        <w:rPr>
          <w:rFonts w:ascii="Arial" w:eastAsia="Times New Roman" w:hAnsi="Arial" w:cs="Arial"/>
          <w:bCs/>
          <w:color w:val="000000" w:themeColor="text1"/>
          <w:sz w:val="21"/>
          <w:szCs w:val="21"/>
          <w:lang w:eastAsia="x-none"/>
        </w:rPr>
        <w:t>incluso a las entidades estatales con régimen especial de contratación y que están exceptuadas del ámbito de aplicación del Estatuto General de Contratación de la Administración Pública</w:t>
      </w:r>
      <w:bookmarkEnd w:id="42"/>
      <w:r w:rsidRPr="009464D4">
        <w:rPr>
          <w:rFonts w:ascii="Arial" w:eastAsia="Times New Roman" w:hAnsi="Arial" w:cs="Arial"/>
          <w:bCs/>
          <w:color w:val="000000" w:themeColor="text1"/>
          <w:sz w:val="21"/>
          <w:szCs w:val="21"/>
          <w:lang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9464D4">
        <w:rPr>
          <w:rFonts w:ascii="Arial" w:eastAsia="Times New Roman" w:hAnsi="Arial" w:cs="Arial"/>
          <w:bCs/>
          <w:color w:val="000000" w:themeColor="text1"/>
          <w:sz w:val="21"/>
          <w:szCs w:val="21"/>
          <w:vertAlign w:val="superscript"/>
          <w:lang w:eastAsia="x-none"/>
        </w:rPr>
        <w:footnoteReference w:id="22"/>
      </w:r>
      <w:r w:rsidRPr="009464D4">
        <w:rPr>
          <w:rFonts w:ascii="Arial" w:eastAsia="Times New Roman" w:hAnsi="Arial" w:cs="Arial"/>
          <w:bCs/>
          <w:color w:val="000000" w:themeColor="text1"/>
          <w:sz w:val="21"/>
          <w:szCs w:val="21"/>
          <w:lang w:eastAsia="x-none"/>
        </w:rPr>
        <w:t>.</w:t>
      </w:r>
      <w:r w:rsidRPr="009464D4">
        <w:rPr>
          <w:rFonts w:ascii="Arial" w:eastAsia="Times New Roman" w:hAnsi="Arial" w:cs="Arial"/>
          <w:bCs/>
          <w:color w:val="000000" w:themeColor="text1"/>
          <w:sz w:val="21"/>
          <w:szCs w:val="21"/>
          <w:lang w:eastAsia="es-CO"/>
        </w:rPr>
        <w:t xml:space="preserve"> </w:t>
      </w:r>
    </w:p>
    <w:p w14:paraId="5BAD7378" w14:textId="77777777" w:rsidR="005D7824" w:rsidRPr="009464D4" w:rsidRDefault="005D7824" w:rsidP="005D7824">
      <w:pPr>
        <w:spacing w:line="276" w:lineRule="auto"/>
        <w:ind w:firstLine="708"/>
        <w:jc w:val="both"/>
        <w:rPr>
          <w:rFonts w:ascii="Arial" w:eastAsia="Times New Roman" w:hAnsi="Arial" w:cs="Arial"/>
          <w:bCs/>
          <w:color w:val="000000" w:themeColor="text1"/>
          <w:sz w:val="22"/>
          <w:lang w:eastAsia="es-CO"/>
        </w:rPr>
      </w:pPr>
    </w:p>
    <w:p w14:paraId="2833A2CE" w14:textId="77777777" w:rsidR="005D7824" w:rsidRPr="009464D4" w:rsidRDefault="005D7824" w:rsidP="005D7824">
      <w:pPr>
        <w:spacing w:line="276" w:lineRule="auto"/>
        <w:ind w:firstLine="708"/>
        <w:jc w:val="both"/>
        <w:rPr>
          <w:rFonts w:ascii="Arial" w:eastAsiaTheme="minorHAnsi" w:hAnsi="Arial" w:cs="Arial"/>
          <w:color w:val="000000" w:themeColor="text1"/>
          <w:sz w:val="22"/>
        </w:rPr>
      </w:pPr>
      <w:r w:rsidRPr="009464D4">
        <w:rPr>
          <w:rFonts w:ascii="Arial" w:eastAsia="Times New Roman" w:hAnsi="Arial" w:cs="Arial"/>
          <w:bCs/>
          <w:color w:val="000000" w:themeColor="text1"/>
          <w:sz w:val="22"/>
          <w:lang w:eastAsia="x-none"/>
        </w:rPr>
        <w:t>De igual forma, 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43" w:name="_Hlk75635823"/>
      <w:r w:rsidRPr="009464D4">
        <w:rPr>
          <w:rFonts w:ascii="Arial" w:eastAsia="Times New Roman" w:hAnsi="Arial" w:cs="Arial"/>
          <w:bCs/>
          <w:color w:val="000000" w:themeColor="text1"/>
          <w:sz w:val="22"/>
          <w:lang w:eastAsia="x-none"/>
        </w:rPr>
        <w:t>»</w:t>
      </w:r>
      <w:bookmarkStart w:id="44" w:name="_Hlk75758868"/>
      <w:bookmarkStart w:id="45" w:name="_Hlk75741220"/>
      <w:bookmarkEnd w:id="43"/>
      <w:r w:rsidRPr="009464D4">
        <w:rPr>
          <w:rFonts w:ascii="Arial" w:eastAsiaTheme="minorHAnsi" w:hAnsi="Arial" w:cs="Arial"/>
          <w:color w:val="000000" w:themeColor="text1"/>
          <w:vertAlign w:val="superscript"/>
        </w:rPr>
        <w:footnoteReference w:id="23"/>
      </w:r>
      <w:bookmarkEnd w:id="44"/>
      <w:bookmarkEnd w:id="45"/>
      <w:r w:rsidRPr="009464D4">
        <w:rPr>
          <w:rFonts w:ascii="Arial" w:eastAsia="Times New Roman" w:hAnsi="Arial" w:cs="Arial"/>
          <w:bCs/>
          <w:color w:val="000000" w:themeColor="text1"/>
          <w:sz w:val="22"/>
          <w:lang w:eastAsia="x-none"/>
        </w:rPr>
        <w:t>.</w:t>
      </w:r>
      <w:r w:rsidRPr="009464D4">
        <w:rPr>
          <w:rFonts w:ascii="Arial" w:eastAsiaTheme="minorHAnsi" w:hAnsi="Arial" w:cs="Arial"/>
          <w:color w:val="000000" w:themeColor="text1"/>
          <w:sz w:val="22"/>
        </w:rPr>
        <w:t xml:space="preserve"> Sin embargo, debe precisarse el siguiente aspecto que distinguió la Sala de Consulta y Servicio Civil:</w:t>
      </w:r>
    </w:p>
    <w:p w14:paraId="5FF97500" w14:textId="77777777" w:rsidR="005D7824" w:rsidRPr="009464D4" w:rsidRDefault="005D7824" w:rsidP="005D7824">
      <w:pPr>
        <w:spacing w:line="276" w:lineRule="auto"/>
        <w:jc w:val="both"/>
        <w:rPr>
          <w:rFonts w:ascii="Arial" w:eastAsiaTheme="minorHAnsi" w:hAnsi="Arial" w:cs="Arial"/>
          <w:color w:val="000000" w:themeColor="text1"/>
          <w:sz w:val="22"/>
        </w:rPr>
      </w:pPr>
    </w:p>
    <w:p w14:paraId="000A7BBD" w14:textId="77777777" w:rsidR="005D7824" w:rsidRPr="009464D4" w:rsidRDefault="005D7824" w:rsidP="005D7824">
      <w:pPr>
        <w:ind w:left="708" w:right="709"/>
        <w:jc w:val="both"/>
        <w:rPr>
          <w:rFonts w:ascii="Arial" w:eastAsiaTheme="minorHAnsi" w:hAnsi="Arial" w:cs="Arial"/>
          <w:color w:val="000000" w:themeColor="text1"/>
          <w:sz w:val="21"/>
          <w:szCs w:val="21"/>
        </w:rPr>
      </w:pPr>
      <w:bookmarkStart w:id="47" w:name="_Hlk75811446"/>
      <w:r w:rsidRPr="009464D4">
        <w:rPr>
          <w:rFonts w:ascii="Arial" w:eastAsiaTheme="minorHAnsi" w:hAnsi="Arial" w:cs="Arial"/>
          <w:color w:val="000000" w:themeColor="text1"/>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7"/>
      <w:r w:rsidRPr="009464D4">
        <w:rPr>
          <w:rFonts w:ascii="Arial" w:eastAsiaTheme="minorHAnsi" w:hAnsi="Arial" w:cs="Arial"/>
          <w:color w:val="000000" w:themeColor="text1"/>
          <w:vertAlign w:val="superscript"/>
        </w:rPr>
        <w:footnoteReference w:id="24"/>
      </w:r>
      <w:r w:rsidRPr="009464D4">
        <w:rPr>
          <w:rFonts w:ascii="Arial" w:eastAsia="Times New Roman" w:hAnsi="Arial" w:cs="Arial"/>
          <w:bCs/>
          <w:color w:val="000000" w:themeColor="text1"/>
          <w:sz w:val="22"/>
          <w:lang w:eastAsia="x-none"/>
        </w:rPr>
        <w:t>.</w:t>
      </w:r>
    </w:p>
    <w:p w14:paraId="2D39A301" w14:textId="77777777" w:rsidR="005D7824" w:rsidRPr="009464D4" w:rsidRDefault="005D7824" w:rsidP="005D7824">
      <w:pPr>
        <w:spacing w:line="276" w:lineRule="auto"/>
        <w:jc w:val="both"/>
        <w:rPr>
          <w:rFonts w:ascii="Arial" w:eastAsiaTheme="minorHAnsi" w:hAnsi="Arial" w:cs="Arial"/>
          <w:color w:val="000000" w:themeColor="text1"/>
          <w:sz w:val="22"/>
        </w:rPr>
      </w:pPr>
    </w:p>
    <w:p w14:paraId="172F30B0" w14:textId="77777777" w:rsidR="005D7824" w:rsidRPr="009464D4" w:rsidRDefault="005D7824" w:rsidP="005D7824">
      <w:pPr>
        <w:spacing w:after="120" w:line="276" w:lineRule="auto"/>
        <w:ind w:firstLine="709"/>
        <w:jc w:val="both"/>
        <w:rPr>
          <w:rFonts w:ascii="Arial" w:eastAsia="Times New Roman" w:hAnsi="Arial" w:cs="Arial"/>
          <w:bCs/>
          <w:color w:val="000000" w:themeColor="text1"/>
          <w:sz w:val="22"/>
          <w:lang w:eastAsia="x-none"/>
        </w:rPr>
      </w:pPr>
      <w:r w:rsidRPr="009464D4">
        <w:rPr>
          <w:rFonts w:ascii="Arial" w:eastAsiaTheme="minorHAnsi" w:hAnsi="Arial" w:cs="Arial"/>
          <w:color w:val="000000" w:themeColor="text1"/>
          <w:sz w:val="22"/>
        </w:rPr>
        <w:t>Aplicando este razonamiento,</w:t>
      </w:r>
      <w:bookmarkStart w:id="48" w:name="_Hlk75811096"/>
      <w:r w:rsidRPr="009464D4">
        <w:rPr>
          <w:rFonts w:ascii="Arial" w:eastAsiaTheme="minorHAnsi" w:hAnsi="Arial" w:cs="Arial"/>
          <w:color w:val="000000" w:themeColor="text1"/>
          <w:sz w:val="22"/>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8"/>
      <w:r w:rsidRPr="009464D4">
        <w:rPr>
          <w:rFonts w:ascii="Arial" w:eastAsiaTheme="minorHAnsi" w:hAnsi="Arial" w:cs="Arial"/>
          <w:color w:val="000000" w:themeColor="text1"/>
          <w:sz w:val="22"/>
        </w:rPr>
        <w:t>»</w:t>
      </w:r>
      <w:r w:rsidRPr="009464D4">
        <w:rPr>
          <w:rFonts w:ascii="Arial" w:eastAsiaTheme="minorHAnsi" w:hAnsi="Arial" w:cs="Arial"/>
          <w:color w:val="000000" w:themeColor="text1"/>
          <w:vertAlign w:val="superscript"/>
        </w:rPr>
        <w:t xml:space="preserve"> </w:t>
      </w:r>
      <w:r w:rsidRPr="009464D4">
        <w:rPr>
          <w:rFonts w:ascii="Arial" w:eastAsiaTheme="minorHAnsi" w:hAnsi="Arial" w:cs="Arial"/>
          <w:color w:val="000000" w:themeColor="text1"/>
          <w:sz w:val="22"/>
          <w:vertAlign w:val="superscript"/>
        </w:rPr>
        <w:footnoteReference w:id="25"/>
      </w:r>
      <w:r w:rsidRPr="009464D4">
        <w:rPr>
          <w:rFonts w:ascii="Arial" w:eastAsiaTheme="minorHAnsi" w:hAnsi="Arial" w:cs="Arial"/>
          <w:color w:val="000000" w:themeColor="text1"/>
          <w:sz w:val="22"/>
        </w:rPr>
        <w:t>.</w:t>
      </w:r>
    </w:p>
    <w:p w14:paraId="086B9074" w14:textId="77777777" w:rsidR="005D7824" w:rsidRPr="009464D4" w:rsidRDefault="005D7824" w:rsidP="005D7824">
      <w:pPr>
        <w:spacing w:line="276" w:lineRule="auto"/>
        <w:ind w:firstLine="708"/>
        <w:jc w:val="both"/>
        <w:rPr>
          <w:rFonts w:ascii="Arial" w:eastAsia="Times New Roman" w:hAnsi="Arial" w:cs="Arial"/>
          <w:bCs/>
          <w:color w:val="000000" w:themeColor="text1"/>
          <w:sz w:val="22"/>
          <w:lang w:eastAsia="x-none"/>
        </w:rPr>
      </w:pPr>
      <w:bookmarkStart w:id="49" w:name="_Hlk77237229"/>
      <w:bookmarkEnd w:id="41"/>
      <w:r w:rsidRPr="009464D4">
        <w:rPr>
          <w:rFonts w:ascii="Arial" w:eastAsiaTheme="minorHAnsi" w:hAnsi="Arial" w:cs="Arial"/>
          <w:color w:val="000000" w:themeColor="text1"/>
          <w:sz w:val="22"/>
        </w:rPr>
        <w:t>Por lo tanto, la restricción prevista en la Ley 996 de 200</w:t>
      </w:r>
      <w:bookmarkStart w:id="50" w:name="_Hlk75741539"/>
      <w:r w:rsidRPr="009464D4">
        <w:rPr>
          <w:rFonts w:ascii="Arial" w:eastAsiaTheme="minorHAnsi" w:hAnsi="Arial" w:cs="Arial"/>
          <w:color w:val="000000" w:themeColor="text1"/>
          <w:sz w:val="22"/>
        </w:rPr>
        <w:t xml:space="preserve">5, </w:t>
      </w:r>
      <w:r w:rsidRPr="009464D4">
        <w:rPr>
          <w:rFonts w:ascii="Arial" w:eastAsia="Times New Roman" w:hAnsi="Arial" w:cs="Arial"/>
          <w:bCs/>
          <w:color w:val="000000" w:themeColor="text1"/>
          <w:sz w:val="22"/>
          <w:lang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el EGCAP como en la regida por el Derecho Privado.</w:t>
      </w:r>
    </w:p>
    <w:bookmarkEnd w:id="49"/>
    <w:bookmarkEnd w:id="50"/>
    <w:p w14:paraId="219174AE" w14:textId="77777777" w:rsidR="005D7824" w:rsidRPr="009464D4" w:rsidRDefault="005D7824" w:rsidP="005D7824">
      <w:pPr>
        <w:spacing w:line="276" w:lineRule="auto"/>
        <w:jc w:val="both"/>
        <w:rPr>
          <w:rFonts w:ascii="Arial" w:eastAsiaTheme="minorHAnsi" w:hAnsi="Arial" w:cs="Arial"/>
          <w:color w:val="000000" w:themeColor="text1"/>
          <w:sz w:val="22"/>
        </w:rPr>
      </w:pPr>
    </w:p>
    <w:p w14:paraId="6435F613" w14:textId="77777777" w:rsidR="005D7824" w:rsidRPr="009464D4" w:rsidRDefault="005D7824" w:rsidP="005D7824">
      <w:pPr>
        <w:spacing w:after="200" w:line="276" w:lineRule="auto"/>
        <w:jc w:val="both"/>
        <w:rPr>
          <w:rFonts w:ascii="Arial" w:eastAsiaTheme="minorHAnsi" w:hAnsi="Arial" w:cs="Arial"/>
          <w:b/>
          <w:bCs/>
          <w:color w:val="000000" w:themeColor="text1"/>
          <w:sz w:val="22"/>
        </w:rPr>
      </w:pPr>
      <w:bookmarkStart w:id="51" w:name="_Hlk75784645"/>
      <w:r w:rsidRPr="009464D4">
        <w:rPr>
          <w:rFonts w:ascii="Arial" w:eastAsiaTheme="minorHAnsi" w:hAnsi="Arial" w:cs="Arial"/>
          <w:b/>
          <w:bCs/>
          <w:color w:val="000000" w:themeColor="text1"/>
          <w:sz w:val="22"/>
        </w:rPr>
        <w:t xml:space="preserve">2.4. </w:t>
      </w:r>
      <w:bookmarkStart w:id="52" w:name="_Hlk77153296"/>
      <w:r w:rsidRPr="009464D4">
        <w:rPr>
          <w:rFonts w:ascii="Arial" w:eastAsia="Times New Roman" w:hAnsi="Arial" w:cs="Arial"/>
          <w:b/>
          <w:bCs/>
          <w:color w:val="000000" w:themeColor="text1"/>
          <w:sz w:val="22"/>
          <w:lang w:eastAsia="es-CO"/>
        </w:rPr>
        <w:t xml:space="preserve">Restricciones </w:t>
      </w:r>
      <w:bookmarkStart w:id="53" w:name="_Hlk75643279"/>
      <w:r w:rsidRPr="009464D4">
        <w:rPr>
          <w:rFonts w:ascii="Arial" w:eastAsia="Times New Roman" w:hAnsi="Arial" w:cs="Arial"/>
          <w:b/>
          <w:bCs/>
          <w:color w:val="000000" w:themeColor="text1"/>
          <w:sz w:val="22"/>
          <w:lang w:eastAsia="es-CO"/>
        </w:rPr>
        <w:t>para la celebración de contratos y convenios interadministrativos en los comicios de cargos de elección popular</w:t>
      </w:r>
      <w:r w:rsidRPr="009464D4">
        <w:rPr>
          <w:rFonts w:ascii="Arial" w:eastAsiaTheme="minorHAnsi" w:hAnsi="Arial" w:cs="Arial"/>
          <w:b/>
          <w:bCs/>
          <w:color w:val="000000" w:themeColor="text1"/>
          <w:sz w:val="22"/>
          <w:lang w:eastAsia="es-CO"/>
        </w:rPr>
        <w:t>: prohibición del parágrafo del artículo 38 de la Ley 996 de 2005</w:t>
      </w:r>
    </w:p>
    <w:bookmarkEnd w:id="52"/>
    <w:bookmarkEnd w:id="53"/>
    <w:p w14:paraId="052E1FF5" w14:textId="77777777" w:rsidR="005D7824" w:rsidRPr="009464D4" w:rsidRDefault="005D7824" w:rsidP="005D7824">
      <w:pPr>
        <w:tabs>
          <w:tab w:val="left" w:pos="426"/>
        </w:tabs>
        <w:spacing w:after="120" w:line="276" w:lineRule="auto"/>
        <w:jc w:val="both"/>
        <w:rPr>
          <w:rFonts w:ascii="Arial" w:eastAsia="Calibri" w:hAnsi="Arial" w:cs="Arial"/>
          <w:bCs/>
          <w:color w:val="000000" w:themeColor="text1"/>
          <w:sz w:val="22"/>
          <w:lang w:val="es-CO"/>
        </w:rPr>
      </w:pPr>
      <w:r w:rsidRPr="009464D4">
        <w:rPr>
          <w:rFonts w:ascii="Arial" w:eastAsia="Calibri" w:hAnsi="Arial" w:cs="Arial"/>
          <w:bCs/>
          <w:color w:val="000000" w:themeColor="text1"/>
          <w:sz w:val="22"/>
          <w:lang w:val="es-CO"/>
        </w:rPr>
        <w:lastRenderedPageBreak/>
        <w:t xml:space="preserve">El parágrafo del artículo 38 de la Ley 996 de 2005 dispone que «[l]os Gobernadores, Alcaldes Municipales y/o Distritales, </w:t>
      </w:r>
      <w:proofErr w:type="gramStart"/>
      <w:r w:rsidRPr="009464D4">
        <w:rPr>
          <w:rFonts w:ascii="Arial" w:eastAsia="Calibri" w:hAnsi="Arial" w:cs="Arial"/>
          <w:bCs/>
          <w:color w:val="000000" w:themeColor="text1"/>
          <w:sz w:val="22"/>
          <w:lang w:val="es-CO"/>
        </w:rPr>
        <w:t>Secretarios</w:t>
      </w:r>
      <w:proofErr w:type="gramEnd"/>
      <w:r w:rsidRPr="009464D4">
        <w:rPr>
          <w:rFonts w:ascii="Arial" w:eastAsia="Calibri" w:hAnsi="Arial" w:cs="Arial"/>
          <w:bCs/>
          <w:color w:val="000000" w:themeColor="text1"/>
          <w:sz w:val="22"/>
          <w:lang w:val="es-CO"/>
        </w:rPr>
        <w:t>, Gerentes y directores de Entidades Descentralizadas del orden Municipal, Departamental o Distrital, dentro de los cuatro (4) meses anteriores a las elecciones, no podrán celebrar convenios interadministrativos para la ejecución de recursos públicos».</w:t>
      </w:r>
      <w:r w:rsidRPr="009464D4">
        <w:rPr>
          <w:rFonts w:ascii="Arial" w:eastAsia="Times New Roman" w:hAnsi="Arial" w:cs="Arial"/>
          <w:bCs/>
          <w:iCs/>
          <w:color w:val="000000" w:themeColor="text1"/>
          <w:sz w:val="22"/>
          <w:lang w:eastAsia="x-none"/>
        </w:rPr>
        <w:t xml:space="preserve"> Los convenios o contratos interadministrativos que se restringen en el parágrafo del artículo 38 de la Ley 996 de 2005, son aquellos en que se dispone la ejecución de recursos públicos, para evitar que mediante la suscripción de estos se comprometa el erario con fines políticos o partidistas</w:t>
      </w:r>
      <w:r w:rsidRPr="009464D4">
        <w:rPr>
          <w:rFonts w:ascii="Arial" w:eastAsia="Times New Roman" w:hAnsi="Arial" w:cs="Arial"/>
          <w:bCs/>
          <w:iCs/>
          <w:color w:val="000000" w:themeColor="text1"/>
          <w:sz w:val="22"/>
          <w:vertAlign w:val="superscript"/>
          <w:lang w:eastAsia="x-none"/>
        </w:rPr>
        <w:footnoteReference w:id="26"/>
      </w:r>
      <w:r w:rsidRPr="009464D4">
        <w:rPr>
          <w:rFonts w:ascii="Arial" w:eastAsia="Times New Roman" w:hAnsi="Arial" w:cs="Arial"/>
          <w:bCs/>
          <w:iCs/>
          <w:color w:val="000000" w:themeColor="text1"/>
          <w:sz w:val="22"/>
          <w:lang w:eastAsia="x-none"/>
        </w:rPr>
        <w:t>.</w:t>
      </w:r>
      <w:r w:rsidRPr="009464D4">
        <w:rPr>
          <w:rFonts w:ascii="Arial" w:eastAsiaTheme="minorHAnsi" w:hAnsi="Arial" w:cs="Arial"/>
          <w:color w:val="000000" w:themeColor="text1"/>
        </w:rPr>
        <w:t xml:space="preserve"> </w:t>
      </w:r>
    </w:p>
    <w:p w14:paraId="558CA071" w14:textId="77777777" w:rsidR="005D7824" w:rsidRPr="009464D4" w:rsidRDefault="005D7824" w:rsidP="005D7824">
      <w:pPr>
        <w:widowControl w:val="0"/>
        <w:autoSpaceDE w:val="0"/>
        <w:autoSpaceDN w:val="0"/>
        <w:spacing w:after="120" w:line="276" w:lineRule="auto"/>
        <w:ind w:firstLine="707"/>
        <w:jc w:val="both"/>
        <w:rPr>
          <w:rFonts w:ascii="Arial" w:eastAsia="Arial" w:hAnsi="Arial" w:cs="Arial"/>
          <w:color w:val="000000" w:themeColor="text1"/>
          <w:sz w:val="22"/>
          <w:lang w:val="es-ES" w:eastAsia="es-ES" w:bidi="es-ES"/>
        </w:rPr>
      </w:pPr>
      <w:r w:rsidRPr="009464D4">
        <w:rPr>
          <w:rFonts w:ascii="Arial" w:eastAsia="Calibri" w:hAnsi="Arial" w:cs="Arial"/>
          <w:bCs/>
          <w:color w:val="000000" w:themeColor="text1"/>
          <w:sz w:val="22"/>
          <w:lang w:val="es-CO" w:eastAsia="es-ES" w:bidi="es-ES"/>
        </w:rPr>
        <w:t xml:space="preserve">Ahora bien, </w:t>
      </w:r>
      <w:bookmarkStart w:id="54" w:name="_Hlk78820161"/>
      <w:r w:rsidRPr="009464D4">
        <w:rPr>
          <w:rFonts w:ascii="Arial" w:eastAsia="Calibri" w:hAnsi="Arial" w:cs="Arial"/>
          <w:bCs/>
          <w:color w:val="000000" w:themeColor="text1"/>
          <w:sz w:val="22"/>
          <w:lang w:val="es-CO" w:eastAsia="es-ES" w:bidi="es-ES"/>
        </w:rPr>
        <w:t xml:space="preserve">para determinar el alcance de la prohibición consagrada por la Ley de Garantías Electorales, conviene precisar la tipología de convenios o contratos interadministrativos. </w:t>
      </w:r>
      <w:r w:rsidRPr="009464D4">
        <w:rPr>
          <w:rFonts w:ascii="Arial" w:eastAsia="Arial" w:hAnsi="Arial" w:cs="Arial"/>
          <w:color w:val="000000" w:themeColor="text1"/>
          <w:sz w:val="22"/>
          <w:lang w:val="es-ES" w:eastAsia="es-ES" w:bidi="es-ES"/>
        </w:rPr>
        <w:t>Aunque la ley no la definió ni desarrolló, el Decreto 1082 de 2015 califica a los convenios o contratos interadministrativos como aquella contratación entre entidades estatales</w:t>
      </w:r>
      <w:r w:rsidRPr="009464D4">
        <w:rPr>
          <w:rFonts w:ascii="Arial" w:eastAsia="Arial" w:hAnsi="Arial" w:cs="Arial"/>
          <w:color w:val="000000" w:themeColor="text1"/>
          <w:sz w:val="22"/>
          <w:vertAlign w:val="superscript"/>
          <w:lang w:val="es-ES" w:eastAsia="es-ES" w:bidi="es-ES"/>
        </w:rPr>
        <w:footnoteReference w:id="27"/>
      </w:r>
      <w:r w:rsidRPr="009464D4">
        <w:rPr>
          <w:rFonts w:ascii="Arial" w:eastAsia="Arial" w:hAnsi="Arial" w:cs="Arial"/>
          <w:color w:val="000000" w:themeColor="text1"/>
          <w:sz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9464D4">
        <w:rPr>
          <w:rFonts w:ascii="Arial" w:eastAsia="Arial" w:hAnsi="Arial" w:cs="Arial"/>
          <w:color w:val="000000" w:themeColor="text1"/>
          <w:spacing w:val="-6"/>
          <w:sz w:val="22"/>
          <w:lang w:val="es-ES" w:eastAsia="es-ES" w:bidi="es-ES"/>
        </w:rPr>
        <w:t xml:space="preserve"> </w:t>
      </w:r>
      <w:r w:rsidRPr="009464D4">
        <w:rPr>
          <w:rFonts w:ascii="Arial" w:eastAsia="Arial" w:hAnsi="Arial" w:cs="Arial"/>
          <w:color w:val="000000" w:themeColor="text1"/>
          <w:sz w:val="22"/>
          <w:lang w:val="es-ES" w:eastAsia="es-ES" w:bidi="es-ES"/>
        </w:rPr>
        <w:t>estatales.</w:t>
      </w:r>
    </w:p>
    <w:p w14:paraId="0EF3EFDD" w14:textId="77777777" w:rsidR="005D7824" w:rsidRPr="009464D4" w:rsidRDefault="005D7824" w:rsidP="005D7824">
      <w:pPr>
        <w:widowControl w:val="0"/>
        <w:autoSpaceDE w:val="0"/>
        <w:autoSpaceDN w:val="0"/>
        <w:spacing w:before="117" w:after="120" w:line="276" w:lineRule="auto"/>
        <w:ind w:firstLine="707"/>
        <w:jc w:val="both"/>
        <w:rPr>
          <w:rFonts w:ascii="Arial" w:eastAsia="Arial" w:hAnsi="Arial" w:cs="Arial"/>
          <w:color w:val="000000" w:themeColor="text1"/>
          <w:sz w:val="22"/>
          <w:lang w:val="es-ES" w:eastAsia="es-ES" w:bidi="es-ES"/>
        </w:rPr>
      </w:pPr>
      <w:bookmarkStart w:id="55" w:name="_Hlk78820654"/>
      <w:bookmarkEnd w:id="54"/>
      <w:r w:rsidRPr="009464D4">
        <w:rPr>
          <w:rFonts w:ascii="Arial" w:eastAsia="Arial" w:hAnsi="Arial" w:cs="Arial"/>
          <w:color w:val="000000" w:themeColor="text1"/>
          <w:sz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5"/>
    <w:p w14:paraId="3F459879" w14:textId="77777777" w:rsidR="005D7824" w:rsidRPr="009464D4" w:rsidRDefault="005D7824" w:rsidP="005D7824">
      <w:pPr>
        <w:widowControl w:val="0"/>
        <w:autoSpaceDE w:val="0"/>
        <w:autoSpaceDN w:val="0"/>
        <w:spacing w:before="121" w:after="120" w:line="276" w:lineRule="auto"/>
        <w:ind w:firstLine="707"/>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w:t>
      </w:r>
      <w:r w:rsidRPr="009464D4">
        <w:rPr>
          <w:rFonts w:ascii="Arial" w:eastAsia="Arial" w:hAnsi="Arial" w:cs="Arial"/>
          <w:color w:val="000000" w:themeColor="text1"/>
          <w:sz w:val="22"/>
          <w:lang w:val="es-ES" w:eastAsia="es-ES" w:bidi="es-ES"/>
        </w:rPr>
        <w:lastRenderedPageBreak/>
        <w:t>pluralidad de oferentes</w:t>
      </w:r>
      <w:r w:rsidRPr="009464D4">
        <w:rPr>
          <w:rFonts w:ascii="Arial" w:eastAsia="Arial" w:hAnsi="Arial" w:cs="Arial"/>
          <w:color w:val="000000" w:themeColor="text1"/>
          <w:sz w:val="22"/>
          <w:vertAlign w:val="superscript"/>
          <w:lang w:val="es-ES" w:eastAsia="es-ES" w:bidi="es-ES"/>
        </w:rPr>
        <w:footnoteReference w:id="28"/>
      </w:r>
      <w:r w:rsidRPr="009464D4">
        <w:rPr>
          <w:rFonts w:ascii="Arial" w:eastAsia="Arial" w:hAnsi="Arial" w:cs="Arial"/>
          <w:color w:val="000000" w:themeColor="text1"/>
          <w:sz w:val="22"/>
          <w:lang w:val="es-ES" w:eastAsia="es-ES" w:bidi="es-ES"/>
        </w:rPr>
        <w:t>. Nótese que, en este caso, lo que cambia es la modalidad de selección y no la naturaleza de contrato</w:t>
      </w:r>
      <w:r w:rsidRPr="009464D4">
        <w:rPr>
          <w:rFonts w:ascii="Arial" w:eastAsia="Arial" w:hAnsi="Arial" w:cs="Arial"/>
          <w:color w:val="000000" w:themeColor="text1"/>
          <w:spacing w:val="-18"/>
          <w:sz w:val="22"/>
          <w:lang w:val="es-ES" w:eastAsia="es-ES" w:bidi="es-ES"/>
        </w:rPr>
        <w:t xml:space="preserve"> </w:t>
      </w:r>
      <w:r w:rsidRPr="009464D4">
        <w:rPr>
          <w:rFonts w:ascii="Arial" w:eastAsia="Arial" w:hAnsi="Arial" w:cs="Arial"/>
          <w:color w:val="000000" w:themeColor="text1"/>
          <w:sz w:val="22"/>
          <w:lang w:val="es-ES" w:eastAsia="es-ES" w:bidi="es-ES"/>
        </w:rPr>
        <w:t>interadministrativo.</w:t>
      </w:r>
    </w:p>
    <w:p w14:paraId="6BF733B8" w14:textId="77777777" w:rsidR="005D7824" w:rsidRPr="009464D4" w:rsidRDefault="005D7824" w:rsidP="005D7824">
      <w:pPr>
        <w:widowControl w:val="0"/>
        <w:autoSpaceDE w:val="0"/>
        <w:autoSpaceDN w:val="0"/>
        <w:spacing w:before="114" w:line="276" w:lineRule="auto"/>
        <w:ind w:firstLine="707"/>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9464D4">
        <w:rPr>
          <w:rFonts w:ascii="Arial" w:eastAsia="Arial" w:hAnsi="Arial" w:cs="Arial"/>
          <w:color w:val="000000" w:themeColor="text1"/>
          <w:spacing w:val="-13"/>
          <w:sz w:val="22"/>
          <w:lang w:val="es-ES" w:eastAsia="es-ES" w:bidi="es-ES"/>
        </w:rPr>
        <w:t xml:space="preserve"> </w:t>
      </w:r>
      <w:r w:rsidRPr="009464D4">
        <w:rPr>
          <w:rFonts w:ascii="Arial" w:eastAsia="Arial" w:hAnsi="Arial" w:cs="Arial"/>
          <w:color w:val="000000" w:themeColor="text1"/>
          <w:sz w:val="22"/>
          <w:lang w:val="es-ES" w:eastAsia="es-ES" w:bidi="es-ES"/>
        </w:rPr>
        <w:t>que:</w:t>
      </w:r>
    </w:p>
    <w:p w14:paraId="05880AEA" w14:textId="77777777" w:rsidR="005D7824" w:rsidRPr="009464D4" w:rsidRDefault="005D7824" w:rsidP="005D7824">
      <w:pPr>
        <w:widowControl w:val="0"/>
        <w:autoSpaceDE w:val="0"/>
        <w:autoSpaceDN w:val="0"/>
        <w:spacing w:line="276" w:lineRule="auto"/>
        <w:ind w:firstLine="707"/>
        <w:jc w:val="both"/>
        <w:rPr>
          <w:rFonts w:ascii="Arial" w:eastAsia="Arial" w:hAnsi="Arial" w:cs="Arial"/>
          <w:color w:val="000000" w:themeColor="text1"/>
          <w:sz w:val="22"/>
          <w:lang w:val="es-ES" w:eastAsia="es-ES" w:bidi="es-ES"/>
        </w:rPr>
      </w:pPr>
    </w:p>
    <w:p w14:paraId="4F176A3B" w14:textId="77777777" w:rsidR="005D7824" w:rsidRPr="009464D4" w:rsidRDefault="005D7824" w:rsidP="005D7824">
      <w:pPr>
        <w:ind w:left="709" w:right="709"/>
        <w:jc w:val="both"/>
        <w:rPr>
          <w:rFonts w:ascii="Arial" w:eastAsiaTheme="minorHAnsi" w:hAnsi="Arial" w:cs="Arial"/>
          <w:color w:val="000000" w:themeColor="text1"/>
          <w:sz w:val="21"/>
        </w:rPr>
      </w:pPr>
      <w:r w:rsidRPr="009464D4">
        <w:rPr>
          <w:rFonts w:ascii="Arial" w:eastAsiaTheme="minorHAnsi" w:hAnsi="Arial" w:cs="Arial"/>
          <w:color w:val="000000" w:themeColor="text1"/>
          <w:sz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9464D4">
        <w:rPr>
          <w:rFonts w:ascii="Arial" w:eastAsiaTheme="minorHAnsi" w:hAnsi="Arial" w:cs="Arial"/>
          <w:color w:val="000000" w:themeColor="text1"/>
          <w:sz w:val="21"/>
        </w:rPr>
        <w:t>ii</w:t>
      </w:r>
      <w:proofErr w:type="spellEnd"/>
      <w:r w:rsidRPr="009464D4">
        <w:rPr>
          <w:rFonts w:ascii="Arial" w:eastAsiaTheme="minorHAnsi" w:hAnsi="Arial" w:cs="Arial"/>
          <w:color w:val="000000" w:themeColor="text1"/>
          <w:sz w:val="21"/>
        </w:rPr>
        <w:t>) tienen como fuente la autonomía contractual; (</w:t>
      </w:r>
      <w:proofErr w:type="spellStart"/>
      <w:r w:rsidRPr="009464D4">
        <w:rPr>
          <w:rFonts w:ascii="Arial" w:eastAsiaTheme="minorHAnsi" w:hAnsi="Arial" w:cs="Arial"/>
          <w:color w:val="000000" w:themeColor="text1"/>
          <w:sz w:val="21"/>
        </w:rPr>
        <w:t>iii</w:t>
      </w:r>
      <w:proofErr w:type="spellEnd"/>
      <w:r w:rsidRPr="009464D4">
        <w:rPr>
          <w:rFonts w:ascii="Arial" w:eastAsiaTheme="minorHAnsi" w:hAnsi="Arial" w:cs="Arial"/>
          <w:color w:val="000000" w:themeColor="text1"/>
          <w:sz w:val="21"/>
        </w:rPr>
        <w:t>) son contratos nominados puesto que están mencionados en la ley; (</w:t>
      </w:r>
      <w:proofErr w:type="spellStart"/>
      <w:r w:rsidRPr="009464D4">
        <w:rPr>
          <w:rFonts w:ascii="Arial" w:eastAsiaTheme="minorHAnsi" w:hAnsi="Arial" w:cs="Arial"/>
          <w:color w:val="000000" w:themeColor="text1"/>
          <w:sz w:val="21"/>
        </w:rPr>
        <w:t>iv</w:t>
      </w:r>
      <w:proofErr w:type="spellEnd"/>
      <w:r w:rsidRPr="009464D4">
        <w:rPr>
          <w:rFonts w:ascii="Arial" w:eastAsiaTheme="minorHAnsi" w:hAnsi="Arial" w:cs="Arial"/>
          <w:color w:val="000000" w:themeColor="text1"/>
          <w:sz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9464D4">
        <w:rPr>
          <w:rFonts w:ascii="Arial" w:eastAsiaTheme="minorHAnsi" w:hAnsi="Arial" w:cs="Arial"/>
          <w:color w:val="000000" w:themeColor="text1"/>
          <w:sz w:val="21"/>
        </w:rPr>
        <w:t>vii</w:t>
      </w:r>
      <w:proofErr w:type="spellEnd"/>
      <w:r w:rsidRPr="009464D4">
        <w:rPr>
          <w:rFonts w:ascii="Arial" w:eastAsiaTheme="minorHAnsi" w:hAnsi="Arial" w:cs="Arial"/>
          <w:color w:val="000000" w:themeColor="text1"/>
          <w:sz w:val="21"/>
        </w:rPr>
        <w:t>) persiguen  una finalidad común a través de la realización de intereses compartidos entre las entidades vinculadas; (</w:t>
      </w:r>
      <w:proofErr w:type="spellStart"/>
      <w:r w:rsidRPr="009464D4">
        <w:rPr>
          <w:rFonts w:ascii="Arial" w:eastAsiaTheme="minorHAnsi" w:hAnsi="Arial" w:cs="Arial"/>
          <w:color w:val="000000" w:themeColor="text1"/>
          <w:sz w:val="21"/>
        </w:rPr>
        <w:t>viii</w:t>
      </w:r>
      <w:proofErr w:type="spellEnd"/>
      <w:r w:rsidRPr="009464D4">
        <w:rPr>
          <w:rFonts w:ascii="Arial" w:eastAsiaTheme="minorHAnsi" w:hAnsi="Arial" w:cs="Arial"/>
          <w:color w:val="000000" w:themeColor="text1"/>
          <w:sz w:val="21"/>
        </w:rPr>
        <w:t>) la acción mediante la cual se deben ventilar las diferencias que sobre el particular surjan es la de controversias contractuales</w:t>
      </w:r>
      <w:r w:rsidRPr="009464D4">
        <w:rPr>
          <w:rFonts w:ascii="Arial" w:eastAsiaTheme="minorHAnsi" w:hAnsi="Arial" w:cs="Arial"/>
          <w:color w:val="000000" w:themeColor="text1"/>
          <w:sz w:val="21"/>
          <w:vertAlign w:val="superscript"/>
        </w:rPr>
        <w:footnoteReference w:id="29"/>
      </w:r>
      <w:r w:rsidRPr="009464D4">
        <w:rPr>
          <w:rFonts w:ascii="Arial" w:eastAsiaTheme="minorHAnsi" w:hAnsi="Arial" w:cs="Arial"/>
          <w:color w:val="000000" w:themeColor="text1"/>
          <w:sz w:val="21"/>
        </w:rPr>
        <w:t>.</w:t>
      </w:r>
    </w:p>
    <w:p w14:paraId="50532E40" w14:textId="77777777" w:rsidR="005D7824" w:rsidRPr="009464D4" w:rsidRDefault="005D7824" w:rsidP="005D7824">
      <w:pPr>
        <w:spacing w:line="276" w:lineRule="auto"/>
        <w:ind w:left="709" w:right="709"/>
        <w:jc w:val="both"/>
        <w:rPr>
          <w:rFonts w:eastAsiaTheme="minorHAnsi"/>
          <w:color w:val="000000" w:themeColor="text1"/>
          <w:sz w:val="22"/>
        </w:rPr>
      </w:pPr>
    </w:p>
    <w:p w14:paraId="22223EC5" w14:textId="77777777" w:rsidR="005D7824" w:rsidRPr="009464D4" w:rsidRDefault="005D7824" w:rsidP="005D7824">
      <w:pPr>
        <w:widowControl w:val="0"/>
        <w:autoSpaceDE w:val="0"/>
        <w:autoSpaceDN w:val="0"/>
        <w:spacing w:after="120" w:line="276" w:lineRule="auto"/>
        <w:ind w:firstLine="707"/>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 xml:space="preserve">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w:t>
      </w:r>
      <w:r w:rsidRPr="009464D4">
        <w:rPr>
          <w:rFonts w:ascii="Arial" w:eastAsia="Arial" w:hAnsi="Arial" w:cs="Arial"/>
          <w:color w:val="000000" w:themeColor="text1"/>
          <w:sz w:val="22"/>
          <w:lang w:val="es-ES" w:eastAsia="es-ES" w:bidi="es-ES"/>
        </w:rPr>
        <w:lastRenderedPageBreak/>
        <w:t>Administración Pública establece la contratación directa como la modalidad de selección aplicable, por regla general, a la celebración de los contratos interadministrativos.</w:t>
      </w:r>
    </w:p>
    <w:p w14:paraId="16CEC62A" w14:textId="77777777" w:rsidR="005D7824" w:rsidRPr="009464D4" w:rsidRDefault="005D7824" w:rsidP="005D7824">
      <w:pPr>
        <w:widowControl w:val="0"/>
        <w:autoSpaceDE w:val="0"/>
        <w:autoSpaceDN w:val="0"/>
        <w:spacing w:before="119" w:after="120" w:line="276" w:lineRule="auto"/>
        <w:ind w:firstLine="707"/>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9464D4">
        <w:rPr>
          <w:rFonts w:ascii="Arial" w:eastAsia="Arial" w:hAnsi="Arial" w:cs="Arial"/>
          <w:color w:val="000000" w:themeColor="text1"/>
          <w:spacing w:val="-3"/>
          <w:sz w:val="22"/>
          <w:lang w:val="es-ES" w:eastAsia="es-ES" w:bidi="es-ES"/>
        </w:rPr>
        <w:t xml:space="preserve"> </w:t>
      </w:r>
      <w:r w:rsidRPr="009464D4">
        <w:rPr>
          <w:rFonts w:ascii="Arial" w:eastAsia="Arial" w:hAnsi="Arial" w:cs="Arial"/>
          <w:color w:val="000000" w:themeColor="text1"/>
          <w:sz w:val="22"/>
          <w:lang w:val="es-ES" w:eastAsia="es-ES" w:bidi="es-ES"/>
        </w:rPr>
        <w:t>estatales.</w:t>
      </w:r>
    </w:p>
    <w:p w14:paraId="1594EE63" w14:textId="77777777" w:rsidR="005D7824" w:rsidRPr="009464D4" w:rsidRDefault="005D7824" w:rsidP="005D7824">
      <w:pPr>
        <w:widowControl w:val="0"/>
        <w:autoSpaceDE w:val="0"/>
        <w:autoSpaceDN w:val="0"/>
        <w:spacing w:before="120" w:after="120" w:line="276" w:lineRule="auto"/>
        <w:ind w:firstLine="709"/>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9464D4">
        <w:rPr>
          <w:rFonts w:ascii="Arial" w:eastAsia="Arial" w:hAnsi="Arial" w:cs="Arial"/>
          <w:color w:val="000000" w:themeColor="text1"/>
          <w:spacing w:val="-4"/>
          <w:sz w:val="22"/>
          <w:lang w:val="es-ES" w:eastAsia="es-ES" w:bidi="es-ES"/>
        </w:rPr>
        <w:t xml:space="preserve"> </w:t>
      </w:r>
      <w:r w:rsidRPr="009464D4">
        <w:rPr>
          <w:rFonts w:ascii="Arial" w:eastAsia="Arial" w:hAnsi="Arial" w:cs="Arial"/>
          <w:color w:val="000000" w:themeColor="text1"/>
          <w:sz w:val="22"/>
          <w:lang w:val="es-ES" w:eastAsia="es-ES" w:bidi="es-ES"/>
        </w:rPr>
        <w:t>estatales.</w:t>
      </w:r>
    </w:p>
    <w:p w14:paraId="0D89F720" w14:textId="77777777" w:rsidR="005D7824" w:rsidRPr="009464D4" w:rsidRDefault="005D7824" w:rsidP="005D7824">
      <w:pPr>
        <w:widowControl w:val="0"/>
        <w:autoSpaceDE w:val="0"/>
        <w:autoSpaceDN w:val="0"/>
        <w:spacing w:before="120" w:after="120" w:line="276" w:lineRule="auto"/>
        <w:ind w:firstLine="709"/>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0DA5215" w14:textId="77777777" w:rsidR="005D7824" w:rsidRPr="009464D4" w:rsidRDefault="005D7824" w:rsidP="005D7824">
      <w:pPr>
        <w:widowControl w:val="0"/>
        <w:autoSpaceDE w:val="0"/>
        <w:autoSpaceDN w:val="0"/>
        <w:spacing w:line="276" w:lineRule="auto"/>
        <w:ind w:firstLine="708"/>
        <w:jc w:val="both"/>
        <w:rPr>
          <w:rFonts w:ascii="Arial" w:eastAsia="Calibri" w:hAnsi="Arial" w:cs="Arial"/>
          <w:bCs/>
          <w:color w:val="000000" w:themeColor="text1"/>
          <w:sz w:val="22"/>
          <w:lang w:val="es-CO" w:eastAsia="es-ES" w:bidi="es-ES"/>
        </w:rPr>
      </w:pPr>
      <w:r w:rsidRPr="009464D4">
        <w:rPr>
          <w:rFonts w:ascii="Arial" w:eastAsia="Arial" w:hAnsi="Arial" w:cs="Arial"/>
          <w:color w:val="000000" w:themeColor="text1"/>
          <w:sz w:val="22"/>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w:t>
      </w:r>
      <w:r w:rsidRPr="009464D4">
        <w:rPr>
          <w:rFonts w:ascii="Arial" w:eastAsia="Arial" w:hAnsi="Arial" w:cs="Arial"/>
          <w:color w:val="000000" w:themeColor="text1"/>
          <w:sz w:val="22"/>
          <w:lang w:val="es-ES" w:eastAsia="es-ES" w:bidi="es-ES"/>
        </w:rPr>
        <w:lastRenderedPageBreak/>
        <w:t>obligaciones patrimoniales, y las entidades estatales que los conforman están sujetas tanto a la normativa contractual pública, como a las normas del derecho civil</w:t>
      </w:r>
      <w:r w:rsidRPr="009464D4">
        <w:rPr>
          <w:rFonts w:ascii="Arial" w:eastAsia="Arial" w:hAnsi="Arial" w:cs="Arial"/>
          <w:color w:val="000000" w:themeColor="text1"/>
          <w:spacing w:val="-4"/>
          <w:sz w:val="22"/>
          <w:lang w:val="es-ES" w:eastAsia="es-ES" w:bidi="es-ES"/>
        </w:rPr>
        <w:t xml:space="preserve"> </w:t>
      </w:r>
      <w:r w:rsidRPr="009464D4">
        <w:rPr>
          <w:rFonts w:ascii="Arial" w:eastAsia="Arial" w:hAnsi="Arial" w:cs="Arial"/>
          <w:color w:val="000000" w:themeColor="text1"/>
          <w:sz w:val="22"/>
          <w:lang w:val="es-ES" w:eastAsia="es-ES" w:bidi="es-ES"/>
        </w:rPr>
        <w:t>[…]»</w:t>
      </w:r>
      <w:r w:rsidRPr="009464D4">
        <w:rPr>
          <w:rFonts w:ascii="Arial" w:eastAsia="Arial" w:hAnsi="Arial" w:cs="Arial"/>
          <w:color w:val="000000" w:themeColor="text1"/>
          <w:sz w:val="22"/>
          <w:vertAlign w:val="superscript"/>
          <w:lang w:val="es-ES" w:eastAsia="es-ES" w:bidi="es-ES"/>
        </w:rPr>
        <w:footnoteReference w:id="30"/>
      </w:r>
      <w:r w:rsidRPr="009464D4">
        <w:rPr>
          <w:rFonts w:ascii="Arial" w:eastAsia="Arial" w:hAnsi="Arial" w:cs="Arial"/>
          <w:color w:val="000000" w:themeColor="text1"/>
          <w:sz w:val="22"/>
          <w:lang w:val="es-ES" w:eastAsia="es-ES" w:bidi="es-ES"/>
        </w:rPr>
        <w:t>.</w:t>
      </w:r>
      <w:bookmarkStart w:id="56" w:name="_Hlk77171241"/>
    </w:p>
    <w:p w14:paraId="528B9FBB" w14:textId="77777777" w:rsidR="005D7824" w:rsidRPr="009464D4" w:rsidRDefault="005D7824" w:rsidP="005D7824">
      <w:pPr>
        <w:widowControl w:val="0"/>
        <w:autoSpaceDE w:val="0"/>
        <w:autoSpaceDN w:val="0"/>
        <w:spacing w:before="122" w:after="200" w:line="276" w:lineRule="auto"/>
        <w:ind w:firstLine="709"/>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Sin perjuicio de lo anterior, vale la pena tener en cuenta que un sector de la doctrina y la jurisprudencia ha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517BBA4D" w14:textId="77777777" w:rsidR="005D7824" w:rsidRPr="009464D4" w:rsidRDefault="005D7824" w:rsidP="005D7824">
      <w:pPr>
        <w:ind w:left="709" w:right="709"/>
        <w:jc w:val="both"/>
        <w:rPr>
          <w:rFonts w:ascii="Arial" w:eastAsiaTheme="minorHAnsi" w:hAnsi="Arial" w:cs="Arial"/>
          <w:color w:val="000000" w:themeColor="text1"/>
          <w:sz w:val="21"/>
          <w:szCs w:val="21"/>
          <w:lang w:val="es-ES_tradnl"/>
        </w:rPr>
      </w:pPr>
      <w:r w:rsidRPr="009464D4">
        <w:rPr>
          <w:rFonts w:ascii="Arial" w:eastAsiaTheme="minorHAnsi" w:hAnsi="Arial" w:cs="Arial"/>
          <w:color w:val="000000" w:themeColor="text1"/>
          <w:sz w:val="21"/>
          <w:szCs w:val="21"/>
          <w:lang w:val="es-ES_tradnl"/>
        </w:rPr>
        <w:t>La Sala de Consulta y Servicio Civil</w:t>
      </w:r>
      <w:r w:rsidRPr="009464D4">
        <w:rPr>
          <w:rFonts w:ascii="Arial" w:eastAsiaTheme="minorHAnsi" w:hAnsi="Arial" w:cs="Arial"/>
          <w:color w:val="000000" w:themeColor="text1"/>
          <w:sz w:val="21"/>
          <w:szCs w:val="21"/>
          <w:vertAlign w:val="superscript"/>
          <w:lang w:val="es-ES_tradnl"/>
        </w:rPr>
        <w:footnoteReference w:id="31"/>
      </w:r>
      <w:r w:rsidRPr="009464D4">
        <w:rPr>
          <w:rFonts w:ascii="Arial" w:eastAsiaTheme="minorHAnsi" w:hAnsi="Arial" w:cs="Arial"/>
          <w:color w:val="000000" w:themeColor="text1"/>
          <w:sz w:val="21"/>
          <w:szCs w:val="21"/>
          <w:lang w:val="es-ES_tradnl"/>
        </w:rPr>
        <w:t xml:space="preserve"> de esta Corporación se ha referido a los </w:t>
      </w:r>
      <w:r w:rsidRPr="009464D4">
        <w:rPr>
          <w:rFonts w:ascii="Arial" w:eastAsiaTheme="minorHAnsi" w:hAnsi="Arial" w:cs="Arial"/>
          <w:i/>
          <w:color w:val="000000" w:themeColor="text1"/>
          <w:sz w:val="21"/>
          <w:szCs w:val="21"/>
          <w:lang w:val="es-ES_tradnl"/>
        </w:rPr>
        <w:t>“convenios interadministrativos”</w:t>
      </w:r>
      <w:r w:rsidRPr="009464D4">
        <w:rPr>
          <w:rFonts w:ascii="Arial" w:eastAsiaTheme="minorHAnsi" w:hAnsi="Arial" w:cs="Arial"/>
          <w:color w:val="000000" w:themeColor="text1"/>
          <w:sz w:val="21"/>
          <w:szCs w:val="21"/>
          <w:lang w:val="es-ES_tradnl"/>
        </w:rPr>
        <w:t xml:space="preserve"> a los cuales alude el artículo 95 de la Ley 489 de 1998, calificándolos de </w:t>
      </w:r>
      <w:r w:rsidRPr="009464D4">
        <w:rPr>
          <w:rFonts w:ascii="Arial" w:eastAsiaTheme="minorHAnsi" w:hAnsi="Arial" w:cs="Arial"/>
          <w:i/>
          <w:color w:val="000000" w:themeColor="text1"/>
          <w:sz w:val="21"/>
          <w:szCs w:val="21"/>
          <w:lang w:val="es-ES_tradnl"/>
        </w:rPr>
        <w:t xml:space="preserve">“puros” </w:t>
      </w:r>
      <w:r w:rsidRPr="009464D4">
        <w:rPr>
          <w:rFonts w:ascii="Arial" w:eastAsiaTheme="minorHAnsi" w:hAnsi="Arial" w:cs="Arial"/>
          <w:color w:val="000000" w:themeColor="text1"/>
          <w:sz w:val="21"/>
          <w:szCs w:val="21"/>
          <w:lang w:val="es-ES_tradnl"/>
        </w:rPr>
        <w:t xml:space="preserve">y entendiendo que estos, además de perseguir la finalidad de cooperación antes indicada, no implican intereses contrapuestos ni tampoco se circunscriben a un </w:t>
      </w:r>
      <w:r w:rsidRPr="009464D4">
        <w:rPr>
          <w:rFonts w:ascii="Arial" w:eastAsiaTheme="minorHAnsi" w:hAnsi="Arial" w:cs="Arial"/>
          <w:i/>
          <w:color w:val="000000" w:themeColor="text1"/>
          <w:sz w:val="21"/>
          <w:szCs w:val="21"/>
          <w:lang w:val="es-ES_tradnl"/>
        </w:rPr>
        <w:t>“intercambio patrimonial”</w:t>
      </w:r>
      <w:r w:rsidRPr="009464D4">
        <w:rPr>
          <w:rFonts w:ascii="Arial" w:eastAsiaTheme="minorHAnsi" w:hAnsi="Arial" w:cs="Arial"/>
          <w:color w:val="000000" w:themeColor="text1"/>
          <w:sz w:val="21"/>
          <w:szCs w:val="21"/>
          <w:lang w:val="es-ES_tradnl"/>
        </w:rPr>
        <w:t>. Sin perjuicio de lo anterior, en otra oportunidad, la misma Sala</w:t>
      </w:r>
      <w:r w:rsidRPr="009464D4">
        <w:rPr>
          <w:rFonts w:ascii="Arial" w:eastAsiaTheme="minorHAnsi" w:hAnsi="Arial" w:cs="Arial"/>
          <w:color w:val="000000" w:themeColor="text1"/>
          <w:sz w:val="21"/>
          <w:szCs w:val="21"/>
          <w:vertAlign w:val="superscript"/>
          <w:lang w:val="es-ES_tradnl"/>
        </w:rPr>
        <w:footnoteReference w:id="32"/>
      </w:r>
      <w:r w:rsidRPr="009464D4">
        <w:rPr>
          <w:rFonts w:ascii="Arial" w:eastAsiaTheme="minorHAnsi" w:hAnsi="Arial" w:cs="Arial"/>
          <w:color w:val="000000" w:themeColor="text1"/>
          <w:sz w:val="21"/>
          <w:szCs w:val="21"/>
          <w:lang w:val="es-ES_tradnl"/>
        </w:rPr>
        <w:t xml:space="preserve"> había indicado que, si bien en dichos convenios no se daba un </w:t>
      </w:r>
      <w:r w:rsidRPr="009464D4">
        <w:rPr>
          <w:rFonts w:ascii="Arial" w:eastAsiaTheme="minorHAnsi" w:hAnsi="Arial" w:cs="Arial"/>
          <w:i/>
          <w:color w:val="000000" w:themeColor="text1"/>
          <w:sz w:val="21"/>
          <w:szCs w:val="21"/>
          <w:lang w:val="es-ES_tradnl"/>
        </w:rPr>
        <w:t>“verdadero intercambio de bienes o servicios (contrato conmutativo)”</w:t>
      </w:r>
      <w:r w:rsidRPr="009464D4">
        <w:rPr>
          <w:rFonts w:ascii="Arial" w:eastAsiaTheme="minorHAnsi" w:hAnsi="Arial" w:cs="Arial"/>
          <w:color w:val="000000" w:themeColor="text1"/>
          <w:sz w:val="21"/>
          <w:szCs w:val="21"/>
          <w:lang w:val="es-ES_tradnl"/>
        </w:rPr>
        <w:t>, ello no impedía que se conviniera una remuneración a cargo de alguna(s) entidad(es).</w:t>
      </w:r>
    </w:p>
    <w:p w14:paraId="12A6FA76" w14:textId="77777777" w:rsidR="005D7824" w:rsidRPr="009464D4" w:rsidRDefault="005D7824" w:rsidP="005D7824">
      <w:pPr>
        <w:ind w:left="709" w:right="709"/>
        <w:jc w:val="both"/>
        <w:rPr>
          <w:rFonts w:ascii="Arial" w:eastAsiaTheme="minorHAnsi" w:hAnsi="Arial" w:cs="Arial"/>
          <w:color w:val="000000" w:themeColor="text1"/>
          <w:sz w:val="21"/>
          <w:szCs w:val="21"/>
          <w:lang w:val="es-ES_tradnl"/>
        </w:rPr>
      </w:pPr>
    </w:p>
    <w:p w14:paraId="2AE33638" w14:textId="77777777" w:rsidR="005D7824" w:rsidRPr="009464D4" w:rsidRDefault="005D7824" w:rsidP="005D7824">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9464D4">
        <w:rPr>
          <w:rFonts w:ascii="Arial" w:eastAsia="Arial" w:hAnsi="Arial" w:cs="Arial"/>
          <w:color w:val="000000" w:themeColor="text1"/>
          <w:sz w:val="21"/>
          <w:szCs w:val="21"/>
          <w:lang w:val="es-ES_tradnl" w:eastAsia="es-ES" w:bidi="es-ES"/>
        </w:rPr>
        <w:t xml:space="preserve">Lo expuesto evidencia que, en general, las interpretaciones en torno a los </w:t>
      </w:r>
      <w:r w:rsidRPr="009464D4">
        <w:rPr>
          <w:rFonts w:ascii="Arial" w:eastAsia="Arial" w:hAnsi="Arial" w:cs="Arial"/>
          <w:i/>
          <w:color w:val="000000" w:themeColor="text1"/>
          <w:sz w:val="21"/>
          <w:szCs w:val="21"/>
          <w:lang w:val="es-ES_tradnl" w:eastAsia="es-ES" w:bidi="es-ES"/>
        </w:rPr>
        <w:t>“convenios interadministrativos”</w:t>
      </w:r>
      <w:r w:rsidRPr="009464D4">
        <w:rPr>
          <w:rFonts w:ascii="Arial" w:eastAsia="Arial" w:hAnsi="Arial" w:cs="Arial"/>
          <w:color w:val="000000" w:themeColor="text1"/>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9464D4">
        <w:rPr>
          <w:rFonts w:ascii="Arial" w:eastAsia="Arial" w:hAnsi="Arial" w:cs="Arial"/>
          <w:color w:val="000000" w:themeColor="text1"/>
          <w:sz w:val="21"/>
          <w:szCs w:val="21"/>
          <w:vertAlign w:val="superscript"/>
          <w:lang w:val="es-ES_tradnl" w:eastAsia="es-ES" w:bidi="es-ES"/>
        </w:rPr>
        <w:footnoteReference w:id="33"/>
      </w:r>
      <w:r w:rsidRPr="009464D4">
        <w:rPr>
          <w:rFonts w:ascii="Arial" w:eastAsia="Arial" w:hAnsi="Arial" w:cs="Arial"/>
          <w:color w:val="000000" w:themeColor="text1"/>
          <w:sz w:val="21"/>
          <w:szCs w:val="21"/>
          <w:vertAlign w:val="superscript"/>
          <w:lang w:val="es-ES_tradnl" w:eastAsia="es-ES" w:bidi="es-ES"/>
        </w:rPr>
        <w:footnoteReference w:id="34"/>
      </w:r>
      <w:r w:rsidRPr="009464D4">
        <w:rPr>
          <w:rFonts w:ascii="Arial" w:eastAsia="Arial" w:hAnsi="Arial" w:cs="Arial"/>
          <w:color w:val="000000" w:themeColor="text1"/>
          <w:sz w:val="21"/>
          <w:szCs w:val="21"/>
          <w:lang w:val="es-ES_tradnl" w:eastAsia="es-ES" w:bidi="es-ES"/>
        </w:rPr>
        <w:t>.</w:t>
      </w:r>
    </w:p>
    <w:p w14:paraId="69A3C268" w14:textId="77777777" w:rsidR="005D7824" w:rsidRPr="009464D4" w:rsidRDefault="005D7824" w:rsidP="005D7824">
      <w:pPr>
        <w:widowControl w:val="0"/>
        <w:autoSpaceDE w:val="0"/>
        <w:autoSpaceDN w:val="0"/>
        <w:jc w:val="both"/>
        <w:rPr>
          <w:rFonts w:ascii="Arial" w:eastAsia="Arial" w:hAnsi="Arial" w:cs="Arial"/>
          <w:color w:val="000000" w:themeColor="text1"/>
          <w:sz w:val="22"/>
          <w:lang w:val="es-ES" w:eastAsia="es-ES" w:bidi="es-ES"/>
        </w:rPr>
      </w:pPr>
    </w:p>
    <w:p w14:paraId="4A65F53C" w14:textId="77777777" w:rsidR="005D7824" w:rsidRPr="009464D4" w:rsidRDefault="005D7824" w:rsidP="005D7824">
      <w:pPr>
        <w:widowControl w:val="0"/>
        <w:autoSpaceDE w:val="0"/>
        <w:autoSpaceDN w:val="0"/>
        <w:spacing w:after="120" w:line="276" w:lineRule="auto"/>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ab/>
        <w:t>Sin perjuicio de lo indicado, debe reiterarse que el ordenamiento jurídico, en distintas ocasiones, utiliza de forma indistinta los conceptos de contrato o convenio para referirse a la misma institución jurídica</w:t>
      </w:r>
      <w:r w:rsidRPr="009464D4">
        <w:rPr>
          <w:rFonts w:ascii="Arial" w:eastAsia="Arial" w:hAnsi="Arial" w:cs="Arial"/>
          <w:color w:val="000000" w:themeColor="text1"/>
          <w:sz w:val="22"/>
          <w:vertAlign w:val="superscript"/>
          <w:lang w:val="es-ES" w:eastAsia="es-ES" w:bidi="es-ES"/>
        </w:rPr>
        <w:footnoteReference w:id="35"/>
      </w:r>
      <w:r w:rsidRPr="009464D4">
        <w:rPr>
          <w:rFonts w:ascii="Arial" w:eastAsia="Arial" w:hAnsi="Arial" w:cs="Arial"/>
          <w:color w:val="000000" w:themeColor="text1"/>
          <w:sz w:val="22"/>
          <w:lang w:val="es-ES" w:eastAsia="es-ES" w:bidi="es-ES"/>
        </w:rPr>
        <w:t>. Incluso vale la pena tener en cuenta cómo la Corte Constitucional fundamenta la posibilidad de celebrar convenios interadministrativos de forma directa, con fundamento en la causal establecida en la Ley 1150 de 2007 respecto a los contratos interadministrativos</w:t>
      </w:r>
      <w:r w:rsidRPr="009464D4">
        <w:rPr>
          <w:rFonts w:ascii="Arial" w:eastAsia="Arial" w:hAnsi="Arial" w:cs="Arial"/>
          <w:color w:val="000000" w:themeColor="text1"/>
          <w:sz w:val="22"/>
          <w:vertAlign w:val="superscript"/>
          <w:lang w:val="es-ES" w:eastAsia="es-ES" w:bidi="es-ES"/>
        </w:rPr>
        <w:footnoteReference w:id="36"/>
      </w:r>
      <w:r w:rsidRPr="009464D4">
        <w:rPr>
          <w:rFonts w:ascii="Arial" w:eastAsia="Arial" w:hAnsi="Arial" w:cs="Arial"/>
          <w:color w:val="000000" w:themeColor="text1"/>
          <w:sz w:val="22"/>
          <w:lang w:val="es-ES" w:eastAsia="es-ES" w:bidi="es-ES"/>
        </w:rPr>
        <w:t>.</w:t>
      </w:r>
    </w:p>
    <w:p w14:paraId="447DD663" w14:textId="77777777" w:rsidR="005D7824" w:rsidRPr="009464D4" w:rsidRDefault="005D7824" w:rsidP="005D7824">
      <w:pPr>
        <w:widowControl w:val="0"/>
        <w:autoSpaceDE w:val="0"/>
        <w:autoSpaceDN w:val="0"/>
        <w:spacing w:line="276" w:lineRule="auto"/>
        <w:jc w:val="both"/>
        <w:rPr>
          <w:rFonts w:ascii="Arial" w:eastAsia="Arial" w:hAnsi="Arial" w:cs="Arial"/>
          <w:color w:val="000000" w:themeColor="text1"/>
          <w:sz w:val="22"/>
          <w:lang w:val="es-ES" w:eastAsia="es-ES" w:bidi="es-ES"/>
        </w:rPr>
      </w:pPr>
      <w:r w:rsidRPr="009464D4">
        <w:rPr>
          <w:rFonts w:ascii="Arial" w:eastAsia="Arial" w:hAnsi="Arial" w:cs="Arial"/>
          <w:color w:val="000000" w:themeColor="text1"/>
          <w:sz w:val="22"/>
          <w:lang w:val="es-ES" w:eastAsia="es-ES" w:bidi="es-ES"/>
        </w:rPr>
        <w:tab/>
        <w:t>En desarrollo de lo anterior, es importante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2A967AC5" w14:textId="77777777" w:rsidR="005D7824" w:rsidRPr="009464D4" w:rsidRDefault="005D7824" w:rsidP="005D7824">
      <w:pPr>
        <w:widowControl w:val="0"/>
        <w:autoSpaceDE w:val="0"/>
        <w:autoSpaceDN w:val="0"/>
        <w:spacing w:line="276" w:lineRule="auto"/>
        <w:jc w:val="both"/>
        <w:rPr>
          <w:rFonts w:ascii="Arial" w:eastAsia="Arial" w:hAnsi="Arial" w:cs="Arial"/>
          <w:color w:val="000000" w:themeColor="text1"/>
          <w:sz w:val="22"/>
          <w:lang w:val="es-ES" w:eastAsia="es-ES" w:bidi="es-ES"/>
        </w:rPr>
      </w:pPr>
    </w:p>
    <w:p w14:paraId="69F09322" w14:textId="77777777" w:rsidR="005D7824" w:rsidRPr="009464D4" w:rsidRDefault="005D7824" w:rsidP="005D7824">
      <w:pPr>
        <w:ind w:left="709" w:right="709"/>
        <w:jc w:val="both"/>
        <w:rPr>
          <w:rFonts w:ascii="Arial" w:eastAsiaTheme="minorHAnsi" w:hAnsi="Arial" w:cs="Arial"/>
          <w:color w:val="000000" w:themeColor="text1"/>
          <w:sz w:val="21"/>
          <w:szCs w:val="21"/>
        </w:rPr>
      </w:pPr>
      <w:r w:rsidRPr="009464D4">
        <w:rPr>
          <w:rFonts w:ascii="Arial" w:eastAsiaTheme="minorHAnsi" w:hAnsi="Arial" w:cs="Arial"/>
          <w:color w:val="000000" w:themeColor="text1"/>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9464D4">
        <w:rPr>
          <w:rFonts w:ascii="Arial" w:eastAsiaTheme="minorHAnsi" w:hAnsi="Arial" w:cs="Arial"/>
          <w:color w:val="000000" w:themeColor="text1"/>
          <w:sz w:val="21"/>
          <w:szCs w:val="21"/>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4D4968B3" w14:textId="77777777" w:rsidR="005D7824" w:rsidRPr="009464D4" w:rsidRDefault="005D7824" w:rsidP="005D7824">
      <w:pPr>
        <w:ind w:left="709" w:right="709"/>
        <w:jc w:val="both"/>
        <w:rPr>
          <w:rFonts w:ascii="Arial" w:eastAsiaTheme="minorHAnsi" w:hAnsi="Arial" w:cs="Arial"/>
          <w:color w:val="000000" w:themeColor="text1"/>
          <w:sz w:val="21"/>
          <w:szCs w:val="21"/>
        </w:rPr>
      </w:pPr>
    </w:p>
    <w:p w14:paraId="144283B5" w14:textId="77777777" w:rsidR="005D7824" w:rsidRPr="009464D4" w:rsidRDefault="005D7824" w:rsidP="005D7824">
      <w:pPr>
        <w:ind w:left="709" w:right="709"/>
        <w:jc w:val="both"/>
        <w:rPr>
          <w:rFonts w:ascii="Arial" w:eastAsiaTheme="minorHAnsi" w:hAnsi="Arial" w:cs="Arial"/>
          <w:color w:val="000000" w:themeColor="text1"/>
          <w:sz w:val="21"/>
          <w:szCs w:val="21"/>
        </w:rPr>
      </w:pPr>
      <w:r w:rsidRPr="009464D4">
        <w:rPr>
          <w:rFonts w:ascii="Arial" w:eastAsiaTheme="minorHAnsi" w:hAnsi="Arial" w:cs="Arial"/>
          <w:color w:val="000000" w:themeColor="text1"/>
          <w:sz w:val="21"/>
          <w:szCs w:val="21"/>
        </w:rPr>
        <w:t xml:space="preserve">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w:t>
      </w:r>
      <w:r w:rsidRPr="009464D4">
        <w:rPr>
          <w:rFonts w:ascii="Arial" w:eastAsiaTheme="minorHAnsi" w:hAnsi="Arial" w:cs="Arial"/>
          <w:color w:val="000000" w:themeColor="text1"/>
          <w:sz w:val="21"/>
          <w:szCs w:val="21"/>
        </w:rPr>
        <w:lastRenderedPageBreak/>
        <w:t>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6C360B6" w14:textId="77777777" w:rsidR="005D7824" w:rsidRPr="009464D4" w:rsidRDefault="005D7824" w:rsidP="005D7824">
      <w:pPr>
        <w:ind w:left="709" w:right="709"/>
        <w:jc w:val="both"/>
        <w:rPr>
          <w:rFonts w:ascii="Arial" w:eastAsiaTheme="minorHAnsi" w:hAnsi="Arial" w:cs="Arial"/>
          <w:color w:val="000000" w:themeColor="text1"/>
          <w:sz w:val="21"/>
          <w:szCs w:val="21"/>
        </w:rPr>
      </w:pPr>
    </w:p>
    <w:p w14:paraId="20621B88" w14:textId="77777777" w:rsidR="005D7824" w:rsidRPr="009464D4" w:rsidRDefault="005D7824" w:rsidP="005D7824">
      <w:pPr>
        <w:ind w:left="709" w:right="709"/>
        <w:jc w:val="both"/>
        <w:rPr>
          <w:rFonts w:eastAsiaTheme="minorHAnsi"/>
          <w:color w:val="000000" w:themeColor="text1"/>
        </w:rPr>
      </w:pPr>
      <w:r w:rsidRPr="009464D4">
        <w:rPr>
          <w:rFonts w:ascii="Arial" w:eastAsiaTheme="minorHAnsi" w:hAnsi="Arial" w:cs="Arial"/>
          <w:color w:val="000000" w:themeColor="text1"/>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6EC6FC15" w14:textId="77777777" w:rsidR="005D7824" w:rsidRPr="009464D4" w:rsidRDefault="005D7824" w:rsidP="005D7824">
      <w:pPr>
        <w:widowControl w:val="0"/>
        <w:autoSpaceDE w:val="0"/>
        <w:autoSpaceDN w:val="0"/>
        <w:spacing w:before="3"/>
        <w:jc w:val="both"/>
        <w:rPr>
          <w:rFonts w:ascii="Arial" w:eastAsia="Arial" w:hAnsi="Arial" w:cs="Arial"/>
          <w:color w:val="000000" w:themeColor="text1"/>
          <w:sz w:val="25"/>
          <w:lang w:val="es-ES" w:eastAsia="es-ES" w:bidi="es-ES"/>
        </w:rPr>
      </w:pPr>
    </w:p>
    <w:p w14:paraId="62C19D00" w14:textId="77777777" w:rsidR="005D7824" w:rsidRPr="009464D4" w:rsidRDefault="005D7824" w:rsidP="005D7824">
      <w:pPr>
        <w:widowControl w:val="0"/>
        <w:autoSpaceDE w:val="0"/>
        <w:autoSpaceDN w:val="0"/>
        <w:spacing w:after="120" w:line="276" w:lineRule="auto"/>
        <w:jc w:val="both"/>
        <w:rPr>
          <w:rFonts w:ascii="Arial" w:eastAsia="Calibri" w:hAnsi="Arial" w:cs="Arial"/>
          <w:bCs/>
          <w:color w:val="000000" w:themeColor="text1"/>
          <w:sz w:val="22"/>
          <w:lang w:val="es-CO" w:eastAsia="es-ES" w:bidi="es-ES"/>
        </w:rPr>
      </w:pPr>
      <w:r w:rsidRPr="009464D4">
        <w:rPr>
          <w:rFonts w:ascii="Arial" w:eastAsia="Arial" w:hAnsi="Arial" w:cs="Arial"/>
          <w:color w:val="000000" w:themeColor="text1"/>
          <w:sz w:val="25"/>
          <w:lang w:val="es-ES" w:eastAsia="es-ES" w:bidi="es-ES"/>
        </w:rPr>
        <w:tab/>
      </w:r>
      <w:r w:rsidRPr="009464D4">
        <w:rPr>
          <w:rFonts w:ascii="Arial" w:eastAsia="Arial" w:hAnsi="Arial" w:cs="Arial"/>
          <w:color w:val="000000" w:themeColor="text1"/>
          <w:sz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6"/>
    </w:p>
    <w:p w14:paraId="38B0EE14" w14:textId="77777777" w:rsidR="005D7824" w:rsidRPr="009464D4" w:rsidRDefault="005D7824" w:rsidP="005D7824">
      <w:pPr>
        <w:tabs>
          <w:tab w:val="left" w:pos="426"/>
        </w:tabs>
        <w:spacing w:after="120" w:line="276" w:lineRule="auto"/>
        <w:ind w:firstLine="709"/>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val="es-CO" w:eastAsia="es-CO"/>
        </w:rPr>
        <w:t xml:space="preserve">Se observa entonces que </w:t>
      </w:r>
      <w:r w:rsidRPr="009464D4">
        <w:rPr>
          <w:rFonts w:ascii="Arial" w:eastAsia="Times New Roman" w:hAnsi="Arial" w:cs="Arial"/>
          <w:bCs/>
          <w:color w:val="000000" w:themeColor="text1"/>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9464D4">
        <w:rPr>
          <w:rFonts w:ascii="Arial" w:eastAsia="Times New Roman" w:hAnsi="Arial" w:cs="Arial"/>
          <w:bCs/>
          <w:i/>
          <w:iCs/>
          <w:color w:val="000000" w:themeColor="text1"/>
          <w:sz w:val="22"/>
          <w:lang w:eastAsia="es-CO"/>
        </w:rPr>
        <w:t>ibidem</w:t>
      </w:r>
      <w:r w:rsidRPr="009464D4">
        <w:rPr>
          <w:rFonts w:ascii="Arial" w:eastAsia="Times New Roman" w:hAnsi="Arial" w:cs="Arial"/>
          <w:bCs/>
          <w:color w:val="000000" w:themeColor="text1"/>
          <w:sz w:val="22"/>
          <w:lang w:eastAsia="es-CO"/>
        </w:rPr>
        <w:t xml:space="preserve">,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w:t>
      </w:r>
    </w:p>
    <w:p w14:paraId="76AA5060" w14:textId="77777777" w:rsidR="005D7824" w:rsidRPr="009464D4" w:rsidRDefault="005D7824" w:rsidP="005D7824">
      <w:pPr>
        <w:widowControl w:val="0"/>
        <w:autoSpaceDE w:val="0"/>
        <w:autoSpaceDN w:val="0"/>
        <w:spacing w:line="276" w:lineRule="auto"/>
        <w:ind w:firstLine="709"/>
        <w:jc w:val="both"/>
        <w:rPr>
          <w:rFonts w:ascii="Arial" w:eastAsia="Calibri" w:hAnsi="Arial" w:cs="Arial"/>
          <w:color w:val="000000" w:themeColor="text1"/>
          <w:sz w:val="22"/>
          <w:lang w:val="es-CO" w:eastAsia="es-ES" w:bidi="es-ES"/>
        </w:rPr>
      </w:pPr>
      <w:r w:rsidRPr="009464D4">
        <w:rPr>
          <w:rFonts w:ascii="Arial" w:eastAsia="Times New Roman" w:hAnsi="Arial" w:cs="Arial"/>
          <w:bCs/>
          <w:color w:val="000000" w:themeColor="text1"/>
          <w:sz w:val="22"/>
          <w:lang w:val="es-ES" w:eastAsia="es-CO" w:bidi="es-ES"/>
        </w:rPr>
        <w:t>En todo caso</w:t>
      </w:r>
      <w:bookmarkStart w:id="57" w:name="_Hlk77154098"/>
      <w:r w:rsidRPr="009464D4">
        <w:rPr>
          <w:rFonts w:ascii="Arial" w:eastAsia="Arial" w:hAnsi="Arial" w:cs="Arial"/>
          <w:color w:val="000000" w:themeColor="text1"/>
          <w:sz w:val="22"/>
          <w:lang w:val="es-ES" w:eastAsia="es-ES" w:bidi="es-ES"/>
        </w:rPr>
        <w:t xml:space="preserve">, es importante resaltar que la Sala de Consulta y Servicio Civil del Consejo de Estado se ha pronunciado en el sentido de que </w:t>
      </w:r>
      <w:bookmarkStart w:id="58" w:name="_Hlk78820889"/>
      <w:r w:rsidRPr="009464D4">
        <w:rPr>
          <w:rFonts w:ascii="Arial" w:eastAsia="Arial" w:hAnsi="Arial" w:cs="Arial"/>
          <w:color w:val="000000" w:themeColor="text1"/>
          <w:sz w:val="22"/>
          <w:lang w:val="es-ES" w:eastAsia="es-ES" w:bidi="es-ES"/>
        </w:rPr>
        <w:t xml:space="preserve">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w:t>
      </w:r>
      <w:r w:rsidRPr="009464D4">
        <w:rPr>
          <w:rFonts w:ascii="Arial" w:eastAsia="Arial" w:hAnsi="Arial" w:cs="Arial"/>
          <w:color w:val="000000" w:themeColor="text1"/>
          <w:sz w:val="22"/>
          <w:lang w:val="es-ES" w:eastAsia="es-ES" w:bidi="es-ES"/>
        </w:rPr>
        <w:lastRenderedPageBreak/>
        <w:t>que tienen los ciudadanos al acceso y oportuna administración de justicia</w:t>
      </w:r>
      <w:bookmarkEnd w:id="58"/>
      <w:r w:rsidRPr="009464D4">
        <w:rPr>
          <w:rFonts w:ascii="Arial" w:eastAsia="Arial" w:hAnsi="Arial" w:cs="Arial"/>
          <w:color w:val="000000" w:themeColor="text1"/>
          <w:sz w:val="22"/>
          <w:vertAlign w:val="superscript"/>
          <w:lang w:val="es-ES" w:eastAsia="es-ES" w:bidi="es-ES"/>
        </w:rPr>
        <w:footnoteReference w:id="37"/>
      </w:r>
      <w:r w:rsidRPr="009464D4">
        <w:rPr>
          <w:rFonts w:ascii="Arial" w:eastAsia="Calibri" w:hAnsi="Arial" w:cs="Arial"/>
          <w:color w:val="000000" w:themeColor="text1"/>
          <w:sz w:val="22"/>
          <w:lang w:val="es-CO" w:eastAsia="es-ES" w:bidi="es-ES"/>
        </w:rPr>
        <w:t>.</w:t>
      </w:r>
      <w:bookmarkEnd w:id="57"/>
    </w:p>
    <w:p w14:paraId="7EDA6E47" w14:textId="77777777" w:rsidR="005D7824" w:rsidRPr="009464D4" w:rsidRDefault="005D7824" w:rsidP="005D7824">
      <w:pPr>
        <w:widowControl w:val="0"/>
        <w:autoSpaceDE w:val="0"/>
        <w:autoSpaceDN w:val="0"/>
        <w:spacing w:line="276" w:lineRule="auto"/>
        <w:jc w:val="both"/>
        <w:rPr>
          <w:rFonts w:ascii="Arial" w:eastAsia="Times New Roman" w:hAnsi="Arial" w:cs="Arial"/>
          <w:bCs/>
          <w:iCs/>
          <w:color w:val="000000" w:themeColor="text1"/>
          <w:sz w:val="22"/>
          <w:lang w:val="es-CO" w:eastAsia="x-none" w:bidi="es-ES"/>
        </w:rPr>
      </w:pPr>
    </w:p>
    <w:bookmarkEnd w:id="51"/>
    <w:p w14:paraId="1CC5A04B" w14:textId="77777777" w:rsidR="005D7824" w:rsidRPr="009464D4" w:rsidRDefault="005D7824" w:rsidP="005D7824">
      <w:pPr>
        <w:shd w:val="clear" w:color="auto" w:fill="FFFFFF"/>
        <w:spacing w:line="276" w:lineRule="auto"/>
        <w:jc w:val="both"/>
        <w:rPr>
          <w:rFonts w:ascii="Arial" w:eastAsia="Times New Roman" w:hAnsi="Arial" w:cs="Arial"/>
          <w:color w:val="000000" w:themeColor="text1"/>
          <w:sz w:val="22"/>
          <w:lang w:val="es-CO" w:eastAsia="es-CO"/>
        </w:rPr>
      </w:pPr>
      <w:r w:rsidRPr="009464D4">
        <w:rPr>
          <w:rFonts w:ascii="Arial" w:eastAsia="Times New Roman" w:hAnsi="Arial" w:cs="Arial"/>
          <w:b/>
          <w:bCs/>
          <w:color w:val="000000" w:themeColor="text1"/>
          <w:sz w:val="22"/>
          <w:lang w:val="es-CO" w:eastAsia="es-CO"/>
        </w:rPr>
        <w:t>2.5.</w:t>
      </w:r>
      <w:r w:rsidRPr="009464D4">
        <w:rPr>
          <w:rFonts w:ascii="Arial" w:eastAsia="Times New Roman" w:hAnsi="Arial" w:cs="Arial"/>
          <w:color w:val="000000" w:themeColor="text1"/>
          <w:sz w:val="22"/>
          <w:lang w:val="es-CO" w:eastAsia="es-CO"/>
        </w:rPr>
        <w:tab/>
      </w:r>
      <w:r w:rsidRPr="009464D4">
        <w:rPr>
          <w:rFonts w:ascii="Arial" w:eastAsia="Times New Roman" w:hAnsi="Arial" w:cs="Arial"/>
          <w:b/>
          <w:bCs/>
          <w:color w:val="000000" w:themeColor="text1"/>
          <w:sz w:val="22"/>
          <w:lang w:val="es-CO" w:eastAsia="es-CO"/>
        </w:rPr>
        <w:t>Modificaciones realizadas por la Ley Anual del Presupuesto para la vigencia fiscal de 2022 a la Ley de Garantías Electorales</w:t>
      </w:r>
      <w:r w:rsidRPr="009464D4">
        <w:rPr>
          <w:rFonts w:ascii="Arial" w:eastAsia="Times New Roman" w:hAnsi="Arial" w:cs="Arial"/>
          <w:color w:val="000000" w:themeColor="text1"/>
          <w:sz w:val="22"/>
          <w:lang w:val="es-CO" w:eastAsia="es-CO"/>
        </w:rPr>
        <w:t xml:space="preserve"> </w:t>
      </w:r>
    </w:p>
    <w:p w14:paraId="64A31285" w14:textId="77777777" w:rsidR="005D7824" w:rsidRPr="009464D4" w:rsidRDefault="005D7824" w:rsidP="005D7824">
      <w:pPr>
        <w:shd w:val="clear" w:color="auto" w:fill="FFFFFF"/>
        <w:spacing w:line="276" w:lineRule="auto"/>
        <w:jc w:val="both"/>
        <w:rPr>
          <w:rFonts w:ascii="Arial" w:eastAsia="Times New Roman" w:hAnsi="Arial" w:cs="Arial"/>
          <w:color w:val="000000" w:themeColor="text1"/>
          <w:sz w:val="22"/>
          <w:lang w:val="es-CO" w:eastAsia="es-CO"/>
        </w:rPr>
      </w:pPr>
    </w:p>
    <w:p w14:paraId="5F0A57C6" w14:textId="6C5AD07A" w:rsidR="005D7824" w:rsidRPr="009464D4" w:rsidRDefault="005D7824" w:rsidP="005D7824">
      <w:pPr>
        <w:shd w:val="clear" w:color="auto" w:fill="FFFFFF"/>
        <w:spacing w:line="276" w:lineRule="auto"/>
        <w:jc w:val="both"/>
        <w:rPr>
          <w:rFonts w:ascii="Arial" w:eastAsia="Times New Roman" w:hAnsi="Arial" w:cs="Arial"/>
          <w:color w:val="000000" w:themeColor="text1"/>
          <w:sz w:val="22"/>
          <w:lang w:val="es-CO" w:eastAsia="es-CO"/>
        </w:rPr>
      </w:pPr>
      <w:bookmarkStart w:id="59" w:name="_Hlk88824711"/>
      <w:r w:rsidRPr="009464D4">
        <w:rPr>
          <w:rFonts w:ascii="Arial" w:eastAsia="Arial" w:hAnsi="Arial" w:cs="Arial"/>
          <w:color w:val="000000" w:themeColor="text1"/>
          <w:sz w:val="22"/>
        </w:rPr>
        <w:t>El análisis que a continuación se realizará, fue efectuado por esta Agencia en el concepto C-674 del 6 de diciembre de 202</w:t>
      </w:r>
      <w:r w:rsidR="00E76D45" w:rsidRPr="009464D4">
        <w:rPr>
          <w:rFonts w:ascii="Arial" w:eastAsia="Arial" w:hAnsi="Arial" w:cs="Arial"/>
          <w:color w:val="000000" w:themeColor="text1"/>
          <w:sz w:val="22"/>
        </w:rPr>
        <w:t>1</w:t>
      </w:r>
      <w:r w:rsidRPr="009464D4">
        <w:rPr>
          <w:rFonts w:ascii="Arial" w:eastAsia="Arial" w:hAnsi="Arial" w:cs="Arial"/>
          <w:color w:val="000000" w:themeColor="text1"/>
          <w:sz w:val="22"/>
          <w:vertAlign w:val="superscript"/>
        </w:rPr>
        <w:footnoteReference w:id="38"/>
      </w:r>
      <w:r w:rsidRPr="009464D4">
        <w:rPr>
          <w:rFonts w:ascii="Arial" w:eastAsia="Arial" w:hAnsi="Arial" w:cs="Arial"/>
          <w:color w:val="000000" w:themeColor="text1"/>
          <w:sz w:val="22"/>
        </w:rPr>
        <w:t xml:space="preserve">, por lo que se reiterará dicha postura complementándola con los cuestionamientos formulados por el peticionario. Partiendo de lo anterior, </w:t>
      </w:r>
      <w:r w:rsidRPr="009464D4">
        <w:rPr>
          <w:rFonts w:ascii="Arial" w:eastAsia="Times New Roman" w:hAnsi="Arial" w:cs="Arial"/>
          <w:color w:val="000000" w:themeColor="text1"/>
          <w:sz w:val="22"/>
          <w:lang w:val="es-CO" w:eastAsia="es-CO"/>
        </w:rPr>
        <w:t xml:space="preserve">el 12 de noviembre de 2021 el </w:t>
      </w:r>
      <w:proofErr w:type="gramStart"/>
      <w:r w:rsidRPr="009464D4">
        <w:rPr>
          <w:rFonts w:ascii="Arial" w:eastAsia="Times New Roman" w:hAnsi="Arial" w:cs="Arial"/>
          <w:color w:val="000000" w:themeColor="text1"/>
          <w:sz w:val="22"/>
          <w:lang w:val="es-CO" w:eastAsia="es-CO"/>
        </w:rPr>
        <w:t>Presidente</w:t>
      </w:r>
      <w:proofErr w:type="gramEnd"/>
      <w:r w:rsidRPr="009464D4">
        <w:rPr>
          <w:rFonts w:ascii="Arial" w:eastAsia="Times New Roman" w:hAnsi="Arial" w:cs="Arial"/>
          <w:color w:val="000000" w:themeColor="text1"/>
          <w:sz w:val="22"/>
          <w:lang w:val="es-CO" w:eastAsia="es-CO"/>
        </w:rPr>
        <w:t xml:space="preserve"> de la República sancionó la Ley 2159</w:t>
      </w:r>
      <w:r w:rsidRPr="009464D4">
        <w:rPr>
          <w:rFonts w:ascii="Arial" w:eastAsia="Times New Roman" w:hAnsi="Arial" w:cs="Arial"/>
          <w:color w:val="000000" w:themeColor="text1"/>
          <w:sz w:val="22"/>
          <w:vertAlign w:val="superscript"/>
          <w:lang w:val="es-CO" w:eastAsia="es-CO"/>
        </w:rPr>
        <w:footnoteReference w:id="39"/>
      </w:r>
      <w:r w:rsidRPr="009464D4">
        <w:rPr>
          <w:rFonts w:ascii="Arial" w:eastAsia="Times New Roman" w:hAnsi="Arial" w:cs="Arial"/>
          <w:color w:val="000000" w:themeColor="text1"/>
          <w:sz w:val="22"/>
          <w:lang w:val="es-CO" w:eastAsia="es-CO"/>
        </w:rPr>
        <w:t>,  por la cual se decreta el presupuesto de rentas y recursos de capital y ley de apropiaciones para la vigencia fiscal del 1 de enero al 31 de diciembre de 2022 –Ley Anual del Presupuesto</w:t>
      </w:r>
      <w:bookmarkEnd w:id="59"/>
      <w:r w:rsidRPr="009464D4">
        <w:rPr>
          <w:rFonts w:ascii="Arial" w:eastAsia="Times New Roman" w:hAnsi="Arial" w:cs="Arial"/>
          <w:color w:val="000000" w:themeColor="text1"/>
          <w:sz w:val="22"/>
          <w:lang w:val="es-CO" w:eastAsia="es-CO"/>
        </w:rPr>
        <w:t>–</w:t>
      </w:r>
      <w:r w:rsidRPr="009464D4">
        <w:rPr>
          <w:rFonts w:ascii="Arial" w:eastAsia="Times New Roman" w:hAnsi="Arial" w:cs="Arial"/>
          <w:color w:val="000000" w:themeColor="text1"/>
          <w:sz w:val="22"/>
          <w:vertAlign w:val="superscript"/>
          <w:lang w:val="es-CO" w:eastAsia="es-CO"/>
        </w:rPr>
        <w:footnoteReference w:id="40"/>
      </w:r>
      <w:r w:rsidRPr="009464D4">
        <w:rPr>
          <w:rFonts w:ascii="Arial" w:eastAsia="Times New Roman" w:hAnsi="Arial" w:cs="Arial"/>
          <w:color w:val="000000" w:themeColor="text1"/>
          <w:sz w:val="22"/>
          <w:lang w:val="es-CO" w:eastAsia="es-CO"/>
        </w:rPr>
        <w:t xml:space="preserve">. Dentro del Capítulo V sobre «disposiciones varias» contenido en la Tercera Parte, «Disposiciones Generales», se destaca la inclusión del artículo 124, </w:t>
      </w:r>
      <w:r w:rsidR="00B21CB2" w:rsidRPr="009464D4">
        <w:rPr>
          <w:rFonts w:ascii="Arial" w:eastAsia="Times New Roman" w:hAnsi="Arial" w:cs="Arial"/>
          <w:color w:val="000000" w:themeColor="text1"/>
          <w:sz w:val="22"/>
          <w:lang w:val="es-CO" w:eastAsia="es-CO"/>
        </w:rPr>
        <w:t>que señala lo siguiente</w:t>
      </w:r>
      <w:r w:rsidRPr="009464D4">
        <w:rPr>
          <w:rFonts w:ascii="Arial" w:eastAsia="Times New Roman" w:hAnsi="Arial" w:cs="Arial"/>
          <w:color w:val="000000" w:themeColor="text1"/>
          <w:sz w:val="22"/>
          <w:lang w:val="es-CO" w:eastAsia="es-CO"/>
        </w:rPr>
        <w:t xml:space="preserve">: </w:t>
      </w:r>
    </w:p>
    <w:p w14:paraId="2AD63081" w14:textId="77777777" w:rsidR="005D7824" w:rsidRPr="009464D4" w:rsidRDefault="005D7824" w:rsidP="005D7824">
      <w:pPr>
        <w:shd w:val="clear" w:color="auto" w:fill="FFFFFF"/>
        <w:jc w:val="both"/>
        <w:rPr>
          <w:rFonts w:ascii="Arial" w:eastAsia="Times New Roman" w:hAnsi="Arial" w:cs="Arial"/>
          <w:color w:val="000000" w:themeColor="text1"/>
          <w:sz w:val="22"/>
          <w:lang w:val="es-CO" w:eastAsia="es-CO"/>
        </w:rPr>
      </w:pPr>
    </w:p>
    <w:p w14:paraId="760F9C14" w14:textId="77777777" w:rsidR="005D7824" w:rsidRPr="009464D4" w:rsidRDefault="005D7824" w:rsidP="00DF48E6">
      <w:pPr>
        <w:shd w:val="clear" w:color="auto" w:fill="FFFFFF"/>
        <w:spacing w:after="120"/>
        <w:ind w:left="709" w:right="709"/>
        <w:jc w:val="both"/>
        <w:rPr>
          <w:rFonts w:ascii="Arial" w:eastAsia="Times New Roman" w:hAnsi="Arial" w:cs="Arial"/>
          <w:color w:val="000000" w:themeColor="text1"/>
          <w:sz w:val="21"/>
          <w:szCs w:val="21"/>
          <w:lang w:val="es-CO" w:eastAsia="es-CO"/>
        </w:rPr>
      </w:pPr>
      <w:r w:rsidRPr="009464D4">
        <w:rPr>
          <w:rFonts w:ascii="Arial" w:eastAsia="Times New Roman" w:hAnsi="Arial" w:cs="Arial"/>
          <w:color w:val="000000" w:themeColor="text1"/>
          <w:sz w:val="21"/>
          <w:szCs w:val="21"/>
          <w:lang w:val="es-CO"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68EE921A" w14:textId="77777777" w:rsidR="005D7824" w:rsidRPr="009464D4" w:rsidRDefault="005D7824" w:rsidP="00DF48E6">
      <w:pPr>
        <w:shd w:val="clear" w:color="auto" w:fill="FFFFFF"/>
        <w:spacing w:after="120"/>
        <w:ind w:left="709" w:right="709"/>
        <w:jc w:val="both"/>
        <w:rPr>
          <w:rFonts w:ascii="Arial" w:eastAsia="Times New Roman" w:hAnsi="Arial" w:cs="Arial"/>
          <w:color w:val="000000" w:themeColor="text1"/>
          <w:sz w:val="21"/>
          <w:szCs w:val="21"/>
          <w:lang w:val="es-CO" w:eastAsia="es-CO"/>
        </w:rPr>
      </w:pPr>
      <w:r w:rsidRPr="009464D4">
        <w:rPr>
          <w:rFonts w:ascii="Arial" w:eastAsia="Times New Roman" w:hAnsi="Arial" w:cs="Arial"/>
          <w:color w:val="000000" w:themeColor="text1"/>
          <w:sz w:val="21"/>
          <w:szCs w:val="21"/>
          <w:lang w:val="es-CO" w:eastAsia="es-CO"/>
        </w:rPr>
        <w:t xml:space="preserve">La presente disposición modifica únicamente en la parte pertinente el inciso primero del parágrafo del artículo 38 de la Ley 996 de 2005. </w:t>
      </w:r>
    </w:p>
    <w:p w14:paraId="62B843A0" w14:textId="77777777" w:rsidR="005D7824" w:rsidRPr="009464D4" w:rsidRDefault="005D7824" w:rsidP="005D7824">
      <w:pPr>
        <w:shd w:val="clear" w:color="auto" w:fill="FFFFFF"/>
        <w:ind w:left="709" w:right="709"/>
        <w:jc w:val="both"/>
        <w:rPr>
          <w:rFonts w:ascii="Arial" w:eastAsia="Times New Roman" w:hAnsi="Arial" w:cs="Arial"/>
          <w:color w:val="000000" w:themeColor="text1"/>
          <w:sz w:val="22"/>
          <w:lang w:val="es-CO" w:eastAsia="es-CO"/>
        </w:rPr>
      </w:pPr>
      <w:r w:rsidRPr="009464D4">
        <w:rPr>
          <w:rFonts w:ascii="Arial" w:eastAsia="Times New Roman" w:hAnsi="Arial" w:cs="Arial"/>
          <w:color w:val="000000" w:themeColor="text1"/>
          <w:sz w:val="21"/>
          <w:szCs w:val="21"/>
          <w:lang w:val="es-CO"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52073C1F" w14:textId="77777777" w:rsidR="005D7824" w:rsidRPr="009464D4" w:rsidRDefault="005D7824" w:rsidP="005D7824">
      <w:pPr>
        <w:shd w:val="clear" w:color="auto" w:fill="FFFFFF"/>
        <w:spacing w:line="276" w:lineRule="auto"/>
        <w:jc w:val="both"/>
        <w:rPr>
          <w:rFonts w:ascii="Arial" w:eastAsia="Times New Roman" w:hAnsi="Arial" w:cs="Arial"/>
          <w:color w:val="000000" w:themeColor="text1"/>
          <w:sz w:val="22"/>
          <w:lang w:val="es-CO" w:eastAsia="es-CO"/>
        </w:rPr>
      </w:pPr>
    </w:p>
    <w:p w14:paraId="7A9A59C9"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Al respecto, es importante señalar que los artículos 345 a 355 de la Constitución Política de 1991 desarrollan los asuntos del presupuesto general</w:t>
      </w:r>
      <w:r w:rsidRPr="009464D4">
        <w:rPr>
          <w:rFonts w:ascii="Arial" w:eastAsiaTheme="minorHAnsi" w:hAnsi="Arial" w:cs="Arial"/>
          <w:color w:val="000000" w:themeColor="text1"/>
          <w:sz w:val="22"/>
          <w:vertAlign w:val="superscript"/>
          <w:lang w:val="es-ES_tradnl" w:eastAsia="es-ES"/>
        </w:rPr>
        <w:footnoteReference w:id="41"/>
      </w:r>
      <w:r w:rsidRPr="009464D4">
        <w:rPr>
          <w:rFonts w:ascii="Arial" w:eastAsiaTheme="minorHAnsi" w:hAnsi="Arial" w:cs="Arial"/>
          <w:color w:val="000000" w:themeColor="text1"/>
          <w:sz w:val="22"/>
          <w:lang w:val="es-ES_tradnl" w:eastAsia="es-ES"/>
        </w:rPr>
        <w:t xml:space="preserve">. En estas normas se </w:t>
      </w:r>
      <w:r w:rsidRPr="009464D4">
        <w:rPr>
          <w:rFonts w:ascii="Arial" w:eastAsiaTheme="minorHAnsi" w:hAnsi="Arial" w:cs="Arial"/>
          <w:color w:val="000000" w:themeColor="text1"/>
          <w:sz w:val="22"/>
          <w:lang w:val="es-ES_tradnl" w:eastAsia="es-ES"/>
        </w:rPr>
        <w:lastRenderedPageBreak/>
        <w:t>regula lo concerniente a la Ley Anual de presupuesto o Presupuesto de Rentas y Ley de Apropiaciones a expedir por el Congreso de la República, la cual debe contener la estimación de las rentas nacionales y la autorización de los gastos del Estado para la respectiva vigencia fiscal anual, comprendida entre el 1° de enero y el 31 de diciembre y guardar correspondencia con el Plan Nacional de Desarrollo.</w:t>
      </w:r>
    </w:p>
    <w:p w14:paraId="0E735CC6"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La Ley Anual de presupuesto o Presupuesto de Rentas y Ley de Apropiaciones, no solo responde a un análisis contable de rubros y gastos, sino que también es el resultado de un debate democrático connatural a la discusión, elaboración y aprobación de las leyes por el Congreso de la República, por cuanto con ella se pretende responder a la realidad económica y a las necesidades sociales de los colombianos y materializar las acciones de política pública</w:t>
      </w:r>
      <w:r w:rsidRPr="009464D4">
        <w:rPr>
          <w:rFonts w:eastAsiaTheme="minorHAnsi"/>
          <w:color w:val="000000" w:themeColor="text1"/>
          <w:vertAlign w:val="superscript"/>
        </w:rPr>
        <w:footnoteReference w:id="42"/>
      </w:r>
      <w:r w:rsidRPr="009464D4">
        <w:rPr>
          <w:rFonts w:ascii="Arial" w:eastAsiaTheme="minorHAnsi" w:hAnsi="Arial" w:cs="Arial"/>
          <w:color w:val="000000" w:themeColor="text1"/>
          <w:sz w:val="22"/>
          <w:lang w:val="es-ES_tradnl" w:eastAsia="es-ES"/>
        </w:rPr>
        <w:t>.</w:t>
      </w:r>
    </w:p>
    <w:p w14:paraId="7ABAC901"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 xml:space="preserve">En este sentido, es diferente analizar la ley desde la posición que concibe el presupuesto como un mero requisito para la ejecución de las partidas que contempla, a examinarla bajo la concepción de que, con base en las razones expuestas, al presupuesto le corresponde un contenido material propio y una indiscutible fuerza normativa ligada al </w:t>
      </w:r>
      <w:r w:rsidRPr="009464D4">
        <w:rPr>
          <w:rFonts w:ascii="Arial" w:eastAsiaTheme="minorHAnsi" w:hAnsi="Arial" w:cs="Arial"/>
          <w:color w:val="000000" w:themeColor="text1"/>
          <w:sz w:val="22"/>
          <w:lang w:val="es-ES_tradnl" w:eastAsia="es-ES"/>
        </w:rPr>
        <w:lastRenderedPageBreak/>
        <w:t>logro de importantes objetivos económicos y sociales</w:t>
      </w:r>
      <w:r w:rsidRPr="009464D4">
        <w:rPr>
          <w:rFonts w:ascii="Arial" w:eastAsia="Calibri" w:hAnsi="Arial" w:cs="Arial"/>
          <w:bCs/>
          <w:iCs/>
          <w:color w:val="000000" w:themeColor="text1"/>
          <w:sz w:val="22"/>
          <w:bdr w:val="none" w:sz="0" w:space="0" w:color="auto" w:frame="1"/>
          <w:vertAlign w:val="superscript"/>
          <w:lang w:val="es-ES"/>
        </w:rPr>
        <w:footnoteReference w:id="43"/>
      </w:r>
      <w:r w:rsidRPr="009464D4">
        <w:rPr>
          <w:rFonts w:ascii="Arial" w:eastAsiaTheme="minorHAnsi" w:hAnsi="Arial" w:cs="Arial"/>
          <w:color w:val="000000" w:themeColor="text1"/>
          <w:sz w:val="22"/>
          <w:lang w:val="es-ES_tradnl" w:eastAsia="es-ES"/>
        </w:rPr>
        <w:t>, que exige atender su trámite en términos de participación democrática directa y representativa. Vista de esta manera, la ley de presupuesto además de su carácter de herramienta macroeconómica, tiene una vocación democrática para el manejo de los recursos, la orientación de su gasto y la ejecución de las políticas públicas</w:t>
      </w:r>
      <w:r w:rsidRPr="009464D4">
        <w:rPr>
          <w:rFonts w:ascii="Arial" w:eastAsiaTheme="minorHAnsi" w:hAnsi="Arial" w:cs="Arial"/>
          <w:color w:val="000000" w:themeColor="text1"/>
          <w:sz w:val="22"/>
          <w:vertAlign w:val="superscript"/>
          <w:lang w:val="es-ES_tradnl" w:eastAsia="es-ES"/>
        </w:rPr>
        <w:footnoteReference w:id="44"/>
      </w:r>
      <w:r w:rsidRPr="009464D4">
        <w:rPr>
          <w:rFonts w:ascii="Arial" w:eastAsiaTheme="minorHAnsi" w:hAnsi="Arial" w:cs="Arial"/>
          <w:color w:val="000000" w:themeColor="text1"/>
          <w:sz w:val="22"/>
          <w:lang w:val="es-ES_tradnl" w:eastAsia="es-ES"/>
        </w:rPr>
        <w:t>.</w:t>
      </w:r>
    </w:p>
    <w:p w14:paraId="6ABE2A97"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 xml:space="preserve">Desde la perspectiva más amplia, el Presupuesto General de la Nación está conformado por dos grandes rubros: i) el de los ingresos o rentas y </w:t>
      </w:r>
      <w:proofErr w:type="spellStart"/>
      <w:r w:rsidRPr="009464D4">
        <w:rPr>
          <w:rFonts w:ascii="Arial" w:eastAsiaTheme="minorHAnsi" w:hAnsi="Arial" w:cs="Arial"/>
          <w:color w:val="000000" w:themeColor="text1"/>
          <w:sz w:val="22"/>
          <w:lang w:val="es-ES_tradnl" w:eastAsia="es-ES"/>
        </w:rPr>
        <w:t>ii</w:t>
      </w:r>
      <w:proofErr w:type="spellEnd"/>
      <w:r w:rsidRPr="009464D4">
        <w:rPr>
          <w:rFonts w:ascii="Arial" w:eastAsiaTheme="minorHAnsi" w:hAnsi="Arial" w:cs="Arial"/>
          <w:color w:val="000000" w:themeColor="text1"/>
          <w:sz w:val="22"/>
          <w:lang w:val="es-ES_tradnl" w:eastAsia="es-ES"/>
        </w:rPr>
        <w:t xml:space="preserve">) el de los gastos o apropiaciones, denominados, respectivamente, como presupuesto de rentas y presupuesto de gastos o ley de apropiaciones. </w:t>
      </w:r>
    </w:p>
    <w:p w14:paraId="1C74CD2E"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En lo que refiere al presupuesto de rentas, de conformidad con el artículo 11 del Decreto 111 de 1996</w:t>
      </w:r>
      <w:r w:rsidRPr="009464D4">
        <w:rPr>
          <w:rFonts w:ascii="Arial" w:eastAsiaTheme="minorHAnsi" w:hAnsi="Arial" w:cs="Arial"/>
          <w:color w:val="000000" w:themeColor="text1"/>
          <w:sz w:val="22"/>
          <w:vertAlign w:val="superscript"/>
          <w:lang w:val="es-ES_tradnl" w:eastAsia="es-ES"/>
        </w:rPr>
        <w:footnoteReference w:id="45"/>
      </w:r>
      <w:r w:rsidRPr="009464D4">
        <w:rPr>
          <w:rFonts w:ascii="Arial" w:eastAsiaTheme="minorHAnsi" w:hAnsi="Arial" w:cs="Arial"/>
          <w:color w:val="000000" w:themeColor="text1"/>
          <w:sz w:val="22"/>
          <w:lang w:val="es-ES_tradnl" w:eastAsia="es-ES"/>
        </w:rPr>
        <w:t xml:space="preserve"> –estatuto orgánico del presupuesto–, aquel está instituido por:</w:t>
      </w:r>
    </w:p>
    <w:p w14:paraId="47F02DE2" w14:textId="477EFEA0"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 xml:space="preserve">i) Los ingresos corrientes que, a su turno, se clasifican en tributarios, directos o indirectos, y no tributarios, estos últimos, subclasificados en tasas y multas </w:t>
      </w:r>
      <w:r w:rsidR="006078F3" w:rsidRPr="009464D4">
        <w:rPr>
          <w:rFonts w:ascii="Arial" w:eastAsiaTheme="minorHAnsi" w:hAnsi="Arial" w:cs="Arial"/>
          <w:color w:val="000000" w:themeColor="text1"/>
          <w:sz w:val="22"/>
          <w:lang w:val="es-ES_tradnl" w:eastAsia="es-ES"/>
        </w:rPr>
        <w:t>–</w:t>
      </w:r>
      <w:r w:rsidRPr="009464D4">
        <w:rPr>
          <w:rFonts w:ascii="Arial" w:eastAsiaTheme="minorHAnsi" w:hAnsi="Arial" w:cs="Arial"/>
          <w:color w:val="000000" w:themeColor="text1"/>
          <w:sz w:val="22"/>
          <w:lang w:val="es-ES_tradnl" w:eastAsia="es-ES"/>
        </w:rPr>
        <w:t>art.</w:t>
      </w:r>
      <w:r w:rsidR="006078F3" w:rsidRPr="009464D4">
        <w:rPr>
          <w:rFonts w:ascii="Arial" w:eastAsiaTheme="minorHAnsi" w:hAnsi="Arial" w:cs="Arial"/>
          <w:color w:val="000000" w:themeColor="text1"/>
          <w:sz w:val="22"/>
          <w:lang w:val="es-ES_tradnl" w:eastAsia="es-ES"/>
        </w:rPr>
        <w:t xml:space="preserve"> </w:t>
      </w:r>
      <w:r w:rsidRPr="009464D4">
        <w:rPr>
          <w:rFonts w:ascii="Arial" w:eastAsiaTheme="minorHAnsi" w:hAnsi="Arial" w:cs="Arial"/>
          <w:color w:val="000000" w:themeColor="text1"/>
          <w:sz w:val="22"/>
          <w:lang w:val="es-ES_tradnl" w:eastAsia="es-ES"/>
        </w:rPr>
        <w:t>27</w:t>
      </w:r>
      <w:r w:rsidR="006078F3" w:rsidRPr="009464D4">
        <w:rPr>
          <w:rFonts w:ascii="Arial" w:eastAsiaTheme="minorHAnsi" w:hAnsi="Arial" w:cs="Arial"/>
          <w:color w:val="000000" w:themeColor="text1"/>
          <w:sz w:val="22"/>
          <w:lang w:val="es-ES_tradnl" w:eastAsia="es-ES"/>
        </w:rPr>
        <w:t>–</w:t>
      </w:r>
      <w:r w:rsidRPr="009464D4">
        <w:rPr>
          <w:rFonts w:ascii="Arial" w:eastAsiaTheme="minorHAnsi" w:hAnsi="Arial" w:cs="Arial"/>
          <w:color w:val="000000" w:themeColor="text1"/>
          <w:sz w:val="22"/>
          <w:lang w:val="es-ES_tradnl" w:eastAsia="es-ES"/>
        </w:rPr>
        <w:t xml:space="preserve">; </w:t>
      </w:r>
    </w:p>
    <w:p w14:paraId="641D1E93"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proofErr w:type="spellStart"/>
      <w:r w:rsidRPr="009464D4">
        <w:rPr>
          <w:rFonts w:ascii="Arial" w:eastAsiaTheme="minorHAnsi" w:hAnsi="Arial" w:cs="Arial"/>
          <w:color w:val="000000" w:themeColor="text1"/>
          <w:sz w:val="22"/>
          <w:lang w:val="es-ES_tradnl" w:eastAsia="es-ES"/>
        </w:rPr>
        <w:t>ii</w:t>
      </w:r>
      <w:proofErr w:type="spellEnd"/>
      <w:r w:rsidRPr="009464D4">
        <w:rPr>
          <w:rFonts w:ascii="Arial" w:eastAsiaTheme="minorHAnsi" w:hAnsi="Arial" w:cs="Arial"/>
          <w:color w:val="000000" w:themeColor="text1"/>
          <w:sz w:val="22"/>
          <w:lang w:val="es-ES_tradnl" w:eastAsia="es-ES"/>
        </w:rPr>
        <w:t>) Las contribuciones parafiscales cuando sean administradas por un órgano que haga parte del presupuesto;</w:t>
      </w:r>
    </w:p>
    <w:p w14:paraId="4C2AE7AF"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proofErr w:type="spellStart"/>
      <w:r w:rsidRPr="009464D4">
        <w:rPr>
          <w:rFonts w:ascii="Arial" w:eastAsiaTheme="minorHAnsi" w:hAnsi="Arial" w:cs="Arial"/>
          <w:color w:val="000000" w:themeColor="text1"/>
          <w:sz w:val="22"/>
          <w:lang w:val="es-ES_tradnl" w:eastAsia="es-ES"/>
        </w:rPr>
        <w:t>iii</w:t>
      </w:r>
      <w:proofErr w:type="spellEnd"/>
      <w:r w:rsidRPr="009464D4">
        <w:rPr>
          <w:rFonts w:ascii="Arial" w:eastAsiaTheme="minorHAnsi" w:hAnsi="Arial" w:cs="Arial"/>
          <w:color w:val="000000" w:themeColor="text1"/>
          <w:sz w:val="22"/>
          <w:lang w:val="es-ES_tradnl" w:eastAsia="es-ES"/>
        </w:rPr>
        <w:t>) Los fondos especiales;</w:t>
      </w:r>
    </w:p>
    <w:p w14:paraId="25070F33" w14:textId="299CA142"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proofErr w:type="spellStart"/>
      <w:r w:rsidRPr="009464D4">
        <w:rPr>
          <w:rFonts w:ascii="Arial" w:eastAsiaTheme="minorHAnsi" w:hAnsi="Arial" w:cs="Arial"/>
          <w:color w:val="000000" w:themeColor="text1"/>
          <w:sz w:val="22"/>
          <w:lang w:val="es-ES_tradnl" w:eastAsia="es-ES"/>
        </w:rPr>
        <w:t>iv</w:t>
      </w:r>
      <w:proofErr w:type="spellEnd"/>
      <w:r w:rsidRPr="009464D4">
        <w:rPr>
          <w:rFonts w:ascii="Arial" w:eastAsiaTheme="minorHAnsi" w:hAnsi="Arial" w:cs="Arial"/>
          <w:color w:val="000000" w:themeColor="text1"/>
          <w:sz w:val="22"/>
          <w:lang w:val="es-ES_tradnl" w:eastAsia="es-ES"/>
        </w:rPr>
        <w:t xml:space="preserve">) Los recursos de capital, tales como  los recursos del «balance del tesoro nacional, los recursos del crédito externo e interno con vencimiento mayor a un año de acuerdo con los cupos autorizados por el Congreso de la República, los rendimientos financieros, el diferencial cambiario, las donaciones </w:t>
      </w:r>
      <w:r w:rsidR="006078F3" w:rsidRPr="009464D4">
        <w:rPr>
          <w:rFonts w:ascii="Arial" w:eastAsiaTheme="minorHAnsi" w:hAnsi="Arial" w:cs="Arial"/>
          <w:color w:val="000000" w:themeColor="text1"/>
          <w:sz w:val="22"/>
          <w:lang w:val="es-ES_tradnl" w:eastAsia="es-ES"/>
        </w:rPr>
        <w:t>–</w:t>
      </w:r>
      <w:r w:rsidRPr="009464D4">
        <w:rPr>
          <w:rFonts w:ascii="Arial" w:eastAsiaTheme="minorHAnsi" w:hAnsi="Arial" w:cs="Arial"/>
          <w:color w:val="000000" w:themeColor="text1"/>
          <w:sz w:val="22"/>
          <w:lang w:val="es-ES_tradnl" w:eastAsia="es-ES"/>
        </w:rPr>
        <w:t>art. 33</w:t>
      </w:r>
      <w:r w:rsidR="006078F3" w:rsidRPr="009464D4">
        <w:rPr>
          <w:rFonts w:ascii="Arial" w:eastAsiaTheme="minorHAnsi" w:hAnsi="Arial" w:cs="Arial"/>
          <w:color w:val="000000" w:themeColor="text1"/>
          <w:sz w:val="22"/>
          <w:lang w:val="es-ES_tradnl" w:eastAsia="es-ES"/>
        </w:rPr>
        <w:t>–</w:t>
      </w:r>
      <w:r w:rsidRPr="009464D4">
        <w:rPr>
          <w:rFonts w:ascii="Arial" w:eastAsiaTheme="minorHAnsi" w:hAnsi="Arial" w:cs="Arial"/>
          <w:color w:val="000000" w:themeColor="text1"/>
          <w:sz w:val="22"/>
          <w:lang w:val="es-ES_tradnl" w:eastAsia="es-ES"/>
        </w:rPr>
        <w:t xml:space="preserve">, el excedente financiero de los establecimientos públicos del orden nacional y de las empresas industriales y comerciales del Estado del mismo orden, las utilidades del Banco de la República, entre otros </w:t>
      </w:r>
      <w:r w:rsidR="006078F3" w:rsidRPr="009464D4">
        <w:rPr>
          <w:rFonts w:ascii="Arial" w:eastAsiaTheme="minorHAnsi" w:hAnsi="Arial" w:cs="Arial"/>
          <w:color w:val="000000" w:themeColor="text1"/>
          <w:sz w:val="22"/>
          <w:lang w:val="es-ES_tradnl" w:eastAsia="es-ES"/>
        </w:rPr>
        <w:t>–</w:t>
      </w:r>
      <w:r w:rsidRPr="009464D4">
        <w:rPr>
          <w:rFonts w:ascii="Arial" w:eastAsiaTheme="minorHAnsi" w:hAnsi="Arial" w:cs="Arial"/>
          <w:color w:val="000000" w:themeColor="text1"/>
          <w:sz w:val="22"/>
          <w:lang w:val="es-ES_tradnl" w:eastAsia="es-ES"/>
        </w:rPr>
        <w:t>art. 31</w:t>
      </w:r>
      <w:r w:rsidR="006078F3" w:rsidRPr="009464D4">
        <w:rPr>
          <w:rFonts w:ascii="Arial" w:eastAsiaTheme="minorHAnsi" w:hAnsi="Arial" w:cs="Arial"/>
          <w:color w:val="000000" w:themeColor="text1"/>
          <w:sz w:val="22"/>
          <w:lang w:val="es-ES_tradnl" w:eastAsia="es-ES"/>
        </w:rPr>
        <w:t>–</w:t>
      </w:r>
      <w:r w:rsidRPr="009464D4">
        <w:rPr>
          <w:rFonts w:ascii="Arial" w:eastAsiaTheme="minorHAnsi" w:hAnsi="Arial" w:cs="Arial"/>
          <w:color w:val="000000" w:themeColor="text1"/>
          <w:sz w:val="22"/>
          <w:lang w:val="es-ES_tradnl" w:eastAsia="es-ES"/>
        </w:rPr>
        <w:t>, y;</w:t>
      </w:r>
    </w:p>
    <w:p w14:paraId="1ADEDD37"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 xml:space="preserve">v) Los ingresos de los establecimientos públicos de origen nacional. </w:t>
      </w:r>
    </w:p>
    <w:p w14:paraId="72D9379B"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 xml:space="preserve">En lo que respecta al presupuesto de gastos o ley de apropiaciones, el mismo Decreto 111 de 1996, en el artículo 23, determina que aquel está configurado por tres grandes rubros: </w:t>
      </w:r>
    </w:p>
    <w:p w14:paraId="12373118"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i) Los gastos de funcionamiento que, a su vez, estarán subdivididos en servicios personales, gastos generales y transferencias y gastos de operación;</w:t>
      </w:r>
    </w:p>
    <w:p w14:paraId="6A631BE4"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proofErr w:type="spellStart"/>
      <w:r w:rsidRPr="009464D4">
        <w:rPr>
          <w:rFonts w:ascii="Arial" w:eastAsiaTheme="minorHAnsi" w:hAnsi="Arial" w:cs="Arial"/>
          <w:color w:val="000000" w:themeColor="text1"/>
          <w:sz w:val="22"/>
          <w:lang w:val="es-ES_tradnl" w:eastAsia="es-ES"/>
        </w:rPr>
        <w:lastRenderedPageBreak/>
        <w:t>ii</w:t>
      </w:r>
      <w:proofErr w:type="spellEnd"/>
      <w:r w:rsidRPr="009464D4">
        <w:rPr>
          <w:rFonts w:ascii="Arial" w:eastAsiaTheme="minorHAnsi" w:hAnsi="Arial" w:cs="Arial"/>
          <w:color w:val="000000" w:themeColor="text1"/>
          <w:sz w:val="22"/>
          <w:lang w:val="es-ES_tradnl" w:eastAsia="es-ES"/>
        </w:rPr>
        <w:t xml:space="preserve">) El servicio a la deuda, conformado por la deuda interna y externa y; </w:t>
      </w:r>
    </w:p>
    <w:p w14:paraId="7731E02D" w14:textId="350A1526"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proofErr w:type="spellStart"/>
      <w:r w:rsidRPr="009464D4">
        <w:rPr>
          <w:rFonts w:ascii="Arial" w:eastAsiaTheme="minorHAnsi" w:hAnsi="Arial" w:cs="Arial"/>
          <w:color w:val="000000" w:themeColor="text1"/>
          <w:sz w:val="22"/>
          <w:lang w:val="es-ES_tradnl" w:eastAsia="es-ES"/>
        </w:rPr>
        <w:t>iii</w:t>
      </w:r>
      <w:proofErr w:type="spellEnd"/>
      <w:r w:rsidRPr="009464D4">
        <w:rPr>
          <w:rFonts w:ascii="Arial" w:eastAsiaTheme="minorHAnsi" w:hAnsi="Arial" w:cs="Arial"/>
          <w:color w:val="000000" w:themeColor="text1"/>
          <w:sz w:val="22"/>
          <w:lang w:val="es-ES_tradnl" w:eastAsia="es-ES"/>
        </w:rPr>
        <w:t xml:space="preserve">) Los gastos de inversión, dentro de los cuales se incluirá, según el artículo 36 del Estatuto Orgánico, los proyectos establecidos en el «Plan Operativo Anual de Inversión». Este «Plan Operativo Anual de Inversión» al que hace referencia el artículo 36 mencionado, es, junto al presupuesto anual de la Nación, y al Plan Financiero, uno de los componentes del «Sistema Presupuestal» </w:t>
      </w:r>
      <w:r w:rsidR="006078F3" w:rsidRPr="009464D4">
        <w:rPr>
          <w:rFonts w:ascii="Arial" w:eastAsiaTheme="minorHAnsi" w:hAnsi="Arial" w:cs="Arial"/>
          <w:color w:val="000000" w:themeColor="text1"/>
          <w:sz w:val="22"/>
          <w:lang w:val="es-ES_tradnl" w:eastAsia="es-ES"/>
        </w:rPr>
        <w:t>–</w:t>
      </w:r>
      <w:r w:rsidRPr="009464D4">
        <w:rPr>
          <w:rFonts w:ascii="Arial" w:eastAsiaTheme="minorHAnsi" w:hAnsi="Arial" w:cs="Arial"/>
          <w:color w:val="000000" w:themeColor="text1"/>
          <w:sz w:val="22"/>
          <w:lang w:val="es-ES_tradnl" w:eastAsia="es-ES"/>
        </w:rPr>
        <w:t>art. 6</w:t>
      </w:r>
      <w:r w:rsidR="006078F3" w:rsidRPr="009464D4">
        <w:rPr>
          <w:rFonts w:ascii="Arial" w:eastAsiaTheme="minorHAnsi" w:hAnsi="Arial" w:cs="Arial"/>
          <w:color w:val="000000" w:themeColor="text1"/>
          <w:sz w:val="22"/>
          <w:lang w:val="es-ES_tradnl" w:eastAsia="es-ES"/>
        </w:rPr>
        <w:t>–</w:t>
      </w:r>
      <w:r w:rsidRPr="009464D4">
        <w:rPr>
          <w:rFonts w:ascii="Arial" w:eastAsiaTheme="minorHAnsi" w:hAnsi="Arial" w:cs="Arial"/>
          <w:color w:val="000000" w:themeColor="text1"/>
          <w:sz w:val="22"/>
          <w:vertAlign w:val="superscript"/>
          <w:lang w:val="es-ES_tradnl" w:eastAsia="es-ES"/>
        </w:rPr>
        <w:footnoteReference w:id="46"/>
      </w:r>
      <w:r w:rsidRPr="009464D4">
        <w:rPr>
          <w:rFonts w:ascii="Arial" w:eastAsiaTheme="minorHAnsi" w:hAnsi="Arial" w:cs="Arial"/>
          <w:color w:val="000000" w:themeColor="text1"/>
          <w:sz w:val="22"/>
          <w:lang w:val="es-ES_tradnl" w:eastAsia="es-ES"/>
        </w:rPr>
        <w:t>, y dentro de él se señalarán los proyectos de inversión clasificados por sectores, órganos y programas, siempre en concordancia con el Plan Nacional de Inversiones contenido en el Plan Nacional de Desarrollo</w:t>
      </w:r>
      <w:r w:rsidRPr="009464D4">
        <w:rPr>
          <w:rFonts w:ascii="Arial" w:eastAsiaTheme="minorHAnsi" w:hAnsi="Arial" w:cs="Arial"/>
          <w:color w:val="000000" w:themeColor="text1"/>
          <w:sz w:val="22"/>
          <w:vertAlign w:val="superscript"/>
          <w:lang w:val="es-CO" w:eastAsia="es-ES"/>
        </w:rPr>
        <w:footnoteReference w:id="47"/>
      </w:r>
      <w:r w:rsidRPr="009464D4">
        <w:rPr>
          <w:rFonts w:ascii="Arial" w:eastAsiaTheme="minorHAnsi" w:hAnsi="Arial" w:cs="Arial"/>
          <w:color w:val="000000" w:themeColor="text1"/>
          <w:sz w:val="22"/>
          <w:lang w:val="es-ES_tradnl" w:eastAsia="es-ES"/>
        </w:rPr>
        <w:t xml:space="preserve">. </w:t>
      </w:r>
    </w:p>
    <w:p w14:paraId="4F722332"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Open Sans" w:eastAsia="Times New Roman" w:hAnsi="Open Sans" w:cs="Open Sans"/>
          <w:color w:val="000000" w:themeColor="text1"/>
          <w:sz w:val="18"/>
          <w:szCs w:val="18"/>
          <w:lang w:val="es-CO" w:eastAsia="es-ES_tradnl"/>
        </w:rPr>
      </w:pPr>
      <w:r w:rsidRPr="009464D4">
        <w:rPr>
          <w:rFonts w:ascii="Open Sans" w:eastAsia="Times New Roman" w:hAnsi="Open Sans" w:cs="Open Sans"/>
          <w:color w:val="000000" w:themeColor="text1"/>
          <w:sz w:val="18"/>
          <w:szCs w:val="18"/>
          <w:lang w:val="es-CO" w:eastAsia="es-ES_tradnl"/>
        </w:rPr>
        <w:t xml:space="preserve"> </w:t>
      </w:r>
      <w:r w:rsidRPr="009464D4">
        <w:rPr>
          <w:rFonts w:ascii="Arial" w:eastAsia="Times New Roman" w:hAnsi="Arial" w:cs="Arial"/>
          <w:color w:val="000000" w:themeColor="text1"/>
          <w:sz w:val="22"/>
          <w:lang w:val="es-CO" w:eastAsia="es-ES_tradnl"/>
        </w:rPr>
        <w:t xml:space="preserve">De acuerdo con el </w:t>
      </w:r>
      <w:r w:rsidRPr="009464D4">
        <w:rPr>
          <w:rFonts w:ascii="Arial" w:eastAsiaTheme="minorHAnsi" w:hAnsi="Arial" w:cs="Arial"/>
          <w:color w:val="000000" w:themeColor="text1"/>
          <w:sz w:val="22"/>
          <w:lang w:val="es-ES_tradnl" w:eastAsia="es-ES"/>
        </w:rPr>
        <w:t>artículo 38 del Estatuto Orgánico del Presupuesto, la ley de gastos o apropiaciones «solo» estará conformada por las apropiaciones que correspondan a los siguientes aspectos:</w:t>
      </w:r>
    </w:p>
    <w:p w14:paraId="68BD10F3"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1. Los créditos judicialmente reconocidos;</w:t>
      </w:r>
    </w:p>
    <w:p w14:paraId="384027AC"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2. Los gastos decretados conforme a la ley;</w:t>
      </w:r>
    </w:p>
    <w:p w14:paraId="103ED2D2"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i/>
          <w:iCs/>
          <w:color w:val="000000" w:themeColor="text1"/>
          <w:sz w:val="22"/>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w:t>
      </w:r>
      <w:r w:rsidRPr="009464D4">
        <w:rPr>
          <w:rFonts w:ascii="Arial" w:eastAsiaTheme="minorHAnsi" w:hAnsi="Arial" w:cs="Arial"/>
          <w:color w:val="000000" w:themeColor="text1"/>
          <w:sz w:val="22"/>
          <w:lang w:val="es-ES_tradnl" w:eastAsia="es-ES"/>
        </w:rPr>
        <w:t xml:space="preserve"> y;</w:t>
      </w:r>
    </w:p>
    <w:p w14:paraId="552A73E4"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 xml:space="preserve">4. </w:t>
      </w:r>
      <w:r w:rsidRPr="009464D4">
        <w:rPr>
          <w:rFonts w:ascii="Arial" w:eastAsia="Times New Roman" w:hAnsi="Arial" w:cs="Arial"/>
          <w:color w:val="000000" w:themeColor="text1"/>
          <w:sz w:val="22"/>
          <w:shd w:val="clear" w:color="auto" w:fill="FFFFFF"/>
          <w:lang w:val="es-CO" w:eastAsia="es-ES_tradnl"/>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58ACD51B"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 xml:space="preserve">De lo anterior se desprende que uno de los aspectos que deberán figurar dentro de la ley de apropiaciones o gastos, serán las partidas destinadas a dar cumplimiento a los planes y programas de desarrollo económico y social y a las obras públicas regulados en los artículos 339 y 341 de la Constitución. En ese sentido, recuérdese que el Plan Nacional de Desarrollo, de acuerdo con el artículo 339 de la Constitución Política, cuenta con dos </w:t>
      </w:r>
      <w:r w:rsidRPr="009464D4">
        <w:rPr>
          <w:rFonts w:ascii="Arial" w:eastAsiaTheme="minorHAnsi" w:hAnsi="Arial" w:cs="Arial"/>
          <w:color w:val="000000" w:themeColor="text1"/>
          <w:sz w:val="22"/>
          <w:lang w:val="es-ES_tradnl" w:eastAsia="es-ES"/>
        </w:rPr>
        <w:lastRenderedPageBreak/>
        <w:t xml:space="preserve">grandes apartados: </w:t>
      </w:r>
      <w:r w:rsidRPr="009464D4">
        <w:rPr>
          <w:rFonts w:ascii="Arial" w:eastAsiaTheme="minorHAnsi" w:hAnsi="Arial" w:cs="Arial"/>
          <w:i/>
          <w:iCs/>
          <w:color w:val="000000" w:themeColor="text1"/>
          <w:sz w:val="22"/>
          <w:lang w:val="es-ES_tradnl" w:eastAsia="es-ES"/>
        </w:rPr>
        <w:t>i)</w:t>
      </w:r>
      <w:r w:rsidRPr="009464D4">
        <w:rPr>
          <w:rFonts w:ascii="Arial" w:eastAsiaTheme="minorHAnsi" w:hAnsi="Arial" w:cs="Arial"/>
          <w:color w:val="000000" w:themeColor="text1"/>
          <w:sz w:val="22"/>
          <w:lang w:val="es-ES_tradnl" w:eastAsia="es-ES"/>
        </w:rPr>
        <w:t xml:space="preserve"> una parte general o estratégica y </w:t>
      </w:r>
      <w:proofErr w:type="spellStart"/>
      <w:r w:rsidRPr="009464D4">
        <w:rPr>
          <w:rFonts w:ascii="Arial" w:eastAsiaTheme="minorHAnsi" w:hAnsi="Arial" w:cs="Arial"/>
          <w:i/>
          <w:iCs/>
          <w:color w:val="000000" w:themeColor="text1"/>
          <w:sz w:val="22"/>
          <w:lang w:val="es-ES_tradnl" w:eastAsia="es-ES"/>
        </w:rPr>
        <w:t>ii</w:t>
      </w:r>
      <w:proofErr w:type="spellEnd"/>
      <w:r w:rsidRPr="009464D4">
        <w:rPr>
          <w:rFonts w:ascii="Arial" w:eastAsiaTheme="minorHAnsi" w:hAnsi="Arial" w:cs="Arial"/>
          <w:i/>
          <w:iCs/>
          <w:color w:val="000000" w:themeColor="text1"/>
          <w:sz w:val="22"/>
          <w:lang w:val="es-ES_tradnl" w:eastAsia="es-ES"/>
        </w:rPr>
        <w:t>)</w:t>
      </w:r>
      <w:r w:rsidRPr="009464D4">
        <w:rPr>
          <w:rFonts w:ascii="Arial" w:eastAsiaTheme="minorHAnsi" w:hAnsi="Arial" w:cs="Arial"/>
          <w:color w:val="000000" w:themeColor="text1"/>
          <w:sz w:val="22"/>
          <w:lang w:val="es-ES_tradnl" w:eastAsia="es-ES"/>
        </w:rPr>
        <w:t xml:space="preserve"> un Plan Nacional de Inversiones de las entidades públicas del orden nacional. </w:t>
      </w:r>
    </w:p>
    <w:p w14:paraId="7978607F" w14:textId="77777777" w:rsidR="005D7824" w:rsidRPr="009464D4" w:rsidRDefault="005D7824" w:rsidP="005D7824">
      <w:pPr>
        <w:overflowPunct w:val="0"/>
        <w:autoSpaceDE w:val="0"/>
        <w:autoSpaceDN w:val="0"/>
        <w:adjustRightInd w:val="0"/>
        <w:spacing w:after="120" w:line="276" w:lineRule="auto"/>
        <w:ind w:firstLine="709"/>
        <w:jc w:val="both"/>
        <w:textAlignment w:val="baseline"/>
        <w:rPr>
          <w:rFonts w:ascii="Open Sans" w:eastAsia="Times New Roman" w:hAnsi="Open Sans" w:cs="Open Sans"/>
          <w:color w:val="000000" w:themeColor="text1"/>
          <w:sz w:val="18"/>
          <w:szCs w:val="18"/>
          <w:lang w:val="es-CO" w:eastAsia="es-ES_tradnl"/>
        </w:rPr>
      </w:pPr>
      <w:r w:rsidRPr="009464D4">
        <w:rPr>
          <w:rFonts w:ascii="Arial" w:eastAsiaTheme="minorHAnsi" w:hAnsi="Arial" w:cs="Arial"/>
          <w:color w:val="000000" w:themeColor="text1"/>
          <w:sz w:val="22"/>
          <w:lang w:val="es-ES_tradnl" w:eastAsia="es-ES"/>
        </w:rPr>
        <w:t xml:space="preserve">En la primera parte, se señalarán los propósitos y objetivos nacionales de largo plazo, así como las metas y prioridades estatales a mediano plazo y las estrategias generales de la política social, económica y ambiental que adoptará el Gobierno Nacional. Por su parte, el Plan de Inversiones Públicas, contendrá «los presupuestos plurianuales de </w:t>
      </w:r>
      <w:r w:rsidRPr="009464D4">
        <w:rPr>
          <w:rFonts w:ascii="Arial" w:eastAsiaTheme="minorHAnsi" w:hAnsi="Arial" w:cs="Arial"/>
          <w:i/>
          <w:iCs/>
          <w:color w:val="000000" w:themeColor="text1"/>
          <w:sz w:val="22"/>
          <w:lang w:val="es-ES_tradnl" w:eastAsia="es-ES"/>
        </w:rPr>
        <w:t>los principales programas y proyectos de inversión pública nacional</w:t>
      </w:r>
      <w:r w:rsidRPr="009464D4">
        <w:rPr>
          <w:rFonts w:ascii="Arial" w:eastAsiaTheme="minorHAnsi" w:hAnsi="Arial" w:cs="Arial"/>
          <w:color w:val="000000" w:themeColor="text1"/>
          <w:sz w:val="22"/>
          <w:lang w:val="es-ES_tradnl" w:eastAsia="es-ES"/>
        </w:rPr>
        <w:t xml:space="preserve"> y la especificación de los recursos financieros requeridos para su ejecución» (énfasis añadido)</w:t>
      </w:r>
      <w:r w:rsidRPr="009464D4">
        <w:rPr>
          <w:rFonts w:ascii="Open Sans" w:eastAsia="Times New Roman" w:hAnsi="Open Sans" w:cs="Open Sans"/>
          <w:color w:val="000000" w:themeColor="text1"/>
          <w:sz w:val="18"/>
          <w:szCs w:val="18"/>
          <w:lang w:val="es-CO" w:eastAsia="es-ES_tradnl"/>
        </w:rPr>
        <w:t>.</w:t>
      </w:r>
    </w:p>
    <w:p w14:paraId="1A1AD35D" w14:textId="34D8E947" w:rsidR="005D7824" w:rsidRPr="009464D4" w:rsidRDefault="005D7824" w:rsidP="005D7824">
      <w:pPr>
        <w:overflowPunct w:val="0"/>
        <w:autoSpaceDE w:val="0"/>
        <w:autoSpaceDN w:val="0"/>
        <w:adjustRightInd w:val="0"/>
        <w:spacing w:line="276" w:lineRule="auto"/>
        <w:jc w:val="both"/>
        <w:textAlignment w:val="baseline"/>
        <w:rPr>
          <w:rFonts w:ascii="Arial" w:eastAsiaTheme="minorHAnsi" w:hAnsi="Arial" w:cs="Arial"/>
          <w:color w:val="000000" w:themeColor="text1"/>
          <w:sz w:val="22"/>
          <w:lang w:val="es-ES_tradnl" w:eastAsia="es-ES"/>
        </w:rPr>
      </w:pPr>
      <w:r w:rsidRPr="009464D4">
        <w:rPr>
          <w:rFonts w:ascii="Arial" w:eastAsiaTheme="minorHAnsi" w:hAnsi="Arial" w:cs="Arial"/>
          <w:color w:val="000000" w:themeColor="text1"/>
          <w:sz w:val="22"/>
          <w:lang w:val="es-ES_tradnl" w:eastAsia="es-ES"/>
        </w:rPr>
        <w:tab/>
        <w:t>Por otra parte, como producto natural de la descentralización territorial y la autonomía de las entidades territoriales que rigen la estructura del Estado colombiano, el inciso 2 del artículo 339 de la Constitución Política autoriza a las autoridades territoriales para que elaboren y adopten, de manera concertada entre ellas y el Gobierno Nacional, sus propios planes de desarrollo. Al igual que el Plan Nacional de Desarrollo, los planes de desarrollo territoriales estarán constituidos por una primera parte estratégica y una segunda contentiva del plan de inversiones a mediano y corto plazo, en los términos y condiciones que, de manera general, establezcan las respectivas asambleas departamentales y concejos municipales o distritales, según el caso</w:t>
      </w:r>
      <w:r w:rsidRPr="009464D4">
        <w:rPr>
          <w:rFonts w:ascii="Arial" w:eastAsiaTheme="minorHAnsi" w:hAnsi="Arial" w:cs="Arial"/>
          <w:color w:val="000000" w:themeColor="text1"/>
          <w:sz w:val="22"/>
          <w:vertAlign w:val="superscript"/>
          <w:lang w:val="es-ES_tradnl" w:eastAsia="es-ES"/>
        </w:rPr>
        <w:footnoteReference w:id="48"/>
      </w:r>
      <w:r w:rsidRPr="009464D4">
        <w:rPr>
          <w:rFonts w:ascii="Arial" w:eastAsiaTheme="minorHAnsi" w:hAnsi="Arial" w:cs="Arial"/>
          <w:color w:val="000000" w:themeColor="text1"/>
          <w:sz w:val="22"/>
          <w:lang w:val="es-ES_tradnl" w:eastAsia="es-ES"/>
        </w:rPr>
        <w:t xml:space="preserve">. </w:t>
      </w:r>
    </w:p>
    <w:p w14:paraId="122B4791" w14:textId="77777777" w:rsidR="005D7824" w:rsidRPr="009464D4" w:rsidRDefault="005D7824" w:rsidP="005D7824">
      <w:pPr>
        <w:overflowPunct w:val="0"/>
        <w:autoSpaceDE w:val="0"/>
        <w:autoSpaceDN w:val="0"/>
        <w:adjustRightInd w:val="0"/>
        <w:spacing w:line="276" w:lineRule="auto"/>
        <w:jc w:val="both"/>
        <w:textAlignment w:val="baseline"/>
        <w:rPr>
          <w:rFonts w:ascii="Arial" w:eastAsiaTheme="minorHAnsi" w:hAnsi="Arial" w:cs="Arial"/>
          <w:color w:val="000000" w:themeColor="text1"/>
          <w:sz w:val="22"/>
          <w:lang w:val="es-ES_tradnl" w:eastAsia="es-ES"/>
        </w:rPr>
      </w:pPr>
    </w:p>
    <w:p w14:paraId="216542AB" w14:textId="77777777" w:rsidR="005D7824" w:rsidRPr="009464D4" w:rsidRDefault="005D7824" w:rsidP="005D7824">
      <w:pPr>
        <w:overflowPunct w:val="0"/>
        <w:autoSpaceDE w:val="0"/>
        <w:autoSpaceDN w:val="0"/>
        <w:adjustRightInd w:val="0"/>
        <w:spacing w:line="276" w:lineRule="auto"/>
        <w:jc w:val="both"/>
        <w:textAlignment w:val="baseline"/>
        <w:rPr>
          <w:rFonts w:ascii="Arial" w:eastAsiaTheme="minorHAnsi" w:hAnsi="Arial" w:cs="Arial"/>
          <w:b/>
          <w:bCs/>
          <w:color w:val="000000" w:themeColor="text1"/>
          <w:sz w:val="22"/>
          <w:lang w:val="es-ES_tradnl" w:eastAsia="es-ES"/>
        </w:rPr>
      </w:pPr>
      <w:r w:rsidRPr="009464D4">
        <w:rPr>
          <w:rFonts w:ascii="Arial" w:eastAsiaTheme="minorHAnsi" w:hAnsi="Arial" w:cs="Arial"/>
          <w:b/>
          <w:bCs/>
          <w:color w:val="000000" w:themeColor="text1"/>
          <w:sz w:val="22"/>
          <w:lang w:val="es-ES_tradnl" w:eastAsia="es-ES"/>
        </w:rPr>
        <w:t>2.5.1.</w:t>
      </w:r>
      <w:r w:rsidRPr="009464D4">
        <w:rPr>
          <w:rFonts w:ascii="Arial" w:eastAsiaTheme="minorHAnsi" w:hAnsi="Arial" w:cs="Arial"/>
          <w:color w:val="000000" w:themeColor="text1"/>
          <w:sz w:val="22"/>
          <w:lang w:val="es-ES_tradnl" w:eastAsia="es-ES"/>
        </w:rPr>
        <w:t xml:space="preserve"> </w:t>
      </w:r>
      <w:r w:rsidRPr="009464D4">
        <w:rPr>
          <w:rFonts w:ascii="Arial" w:eastAsiaTheme="minorHAnsi" w:hAnsi="Arial" w:cs="Arial"/>
          <w:b/>
          <w:bCs/>
          <w:color w:val="000000" w:themeColor="text1"/>
          <w:sz w:val="22"/>
          <w:lang w:val="es-ES_tradnl" w:eastAsia="es-ES"/>
        </w:rPr>
        <w:t>Alcances y elementos de la reforma a la Ley de Garantías Electorales</w:t>
      </w:r>
    </w:p>
    <w:p w14:paraId="44BB6E6A" w14:textId="77777777" w:rsidR="005D7824" w:rsidRPr="009464D4" w:rsidRDefault="005D7824" w:rsidP="006078F3">
      <w:pPr>
        <w:shd w:val="clear" w:color="auto" w:fill="FFFFFF"/>
        <w:spacing w:line="276" w:lineRule="auto"/>
        <w:jc w:val="both"/>
        <w:rPr>
          <w:rFonts w:ascii="Arial" w:eastAsia="Times New Roman" w:hAnsi="Arial" w:cs="Arial"/>
          <w:color w:val="000000" w:themeColor="text1"/>
          <w:sz w:val="22"/>
          <w:lang w:val="es-CO" w:eastAsia="es-CO"/>
        </w:rPr>
      </w:pPr>
    </w:p>
    <w:p w14:paraId="6587BF9B" w14:textId="77777777" w:rsidR="005D7824" w:rsidRPr="009464D4" w:rsidRDefault="005D7824" w:rsidP="005D7824">
      <w:pPr>
        <w:shd w:val="clear" w:color="auto" w:fill="FFFFFF"/>
        <w:spacing w:after="120" w:line="276" w:lineRule="auto"/>
        <w:jc w:val="both"/>
        <w:rPr>
          <w:rFonts w:ascii="Arial" w:eastAsia="Times New Roman" w:hAnsi="Arial" w:cs="Arial"/>
          <w:color w:val="000000" w:themeColor="text1"/>
          <w:sz w:val="22"/>
          <w:lang w:val="es-CO" w:eastAsia="es-CO"/>
        </w:rPr>
      </w:pPr>
      <w:r w:rsidRPr="009464D4">
        <w:rPr>
          <w:rFonts w:ascii="Arial" w:eastAsia="Times New Roman" w:hAnsi="Arial" w:cs="Arial"/>
          <w:color w:val="000000" w:themeColor="text1"/>
          <w:sz w:val="22"/>
          <w:lang w:val="es-CO" w:eastAsia="es-CO"/>
        </w:rPr>
        <w:t>En este contexto, como se puede apreciar, el artículo 124 de la Ley del Presupuesto para la vigencia fiscal del 2022 que arriba se citó,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48218066" w14:textId="462C02CC" w:rsidR="005D7824" w:rsidRPr="009464D4" w:rsidRDefault="005D7824" w:rsidP="006078F3">
      <w:pPr>
        <w:shd w:val="clear" w:color="auto" w:fill="FFFFFF"/>
        <w:spacing w:line="276" w:lineRule="auto"/>
        <w:ind w:firstLine="709"/>
        <w:jc w:val="both"/>
        <w:rPr>
          <w:rFonts w:ascii="Arial" w:eastAsia="Times New Roman" w:hAnsi="Arial" w:cs="Arial"/>
          <w:color w:val="000000" w:themeColor="text1"/>
          <w:sz w:val="22"/>
          <w:lang w:eastAsia="es-CO"/>
        </w:rPr>
      </w:pPr>
      <w:r w:rsidRPr="009464D4">
        <w:rPr>
          <w:rFonts w:ascii="Arial" w:eastAsia="Times New Roman" w:hAnsi="Arial" w:cs="Arial"/>
          <w:color w:val="000000" w:themeColor="text1"/>
          <w:sz w:val="22"/>
          <w:lang w:val="es-CO" w:eastAsia="es-CO"/>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w:t>
      </w:r>
      <w:proofErr w:type="spellStart"/>
      <w:r w:rsidRPr="009464D4">
        <w:rPr>
          <w:rFonts w:ascii="Arial" w:eastAsia="Times New Roman" w:hAnsi="Arial" w:cs="Arial"/>
          <w:color w:val="000000" w:themeColor="text1"/>
          <w:sz w:val="22"/>
          <w:lang w:val="es-CO" w:eastAsia="es-CO"/>
        </w:rPr>
        <w:t>ii</w:t>
      </w:r>
      <w:proofErr w:type="spellEnd"/>
      <w:r w:rsidRPr="009464D4">
        <w:rPr>
          <w:rFonts w:ascii="Arial" w:eastAsia="Times New Roman" w:hAnsi="Arial" w:cs="Arial"/>
          <w:color w:val="000000" w:themeColor="text1"/>
          <w:sz w:val="22"/>
          <w:lang w:val="es-CO" w:eastAsia="es-CO"/>
        </w:rPr>
        <w:t xml:space="preserve">) que sean celebrados entre la Nación, por una parte, y las entidades territoriales, por otra, y </w:t>
      </w:r>
      <w:proofErr w:type="spellStart"/>
      <w:r w:rsidRPr="009464D4">
        <w:rPr>
          <w:rFonts w:ascii="Arial" w:eastAsia="Times New Roman" w:hAnsi="Arial" w:cs="Arial"/>
          <w:color w:val="000000" w:themeColor="text1"/>
          <w:sz w:val="22"/>
          <w:lang w:val="es-CO" w:eastAsia="es-CO"/>
        </w:rPr>
        <w:t>iii</w:t>
      </w:r>
      <w:proofErr w:type="spellEnd"/>
      <w:r w:rsidRPr="009464D4">
        <w:rPr>
          <w:rFonts w:ascii="Arial" w:eastAsia="Times New Roman" w:hAnsi="Arial" w:cs="Arial"/>
          <w:color w:val="000000" w:themeColor="text1"/>
          <w:sz w:val="22"/>
          <w:lang w:val="es-CO" w:eastAsia="es-CO"/>
        </w:rPr>
        <w:t xml:space="preserve">) que los convenios sean celebrados con el fin de ejecutar programas o proyectos que correspondan al Presupuesto General de la Nación. </w:t>
      </w:r>
      <w:r w:rsidRPr="009464D4">
        <w:rPr>
          <w:rFonts w:ascii="Arial" w:eastAsia="Times New Roman" w:hAnsi="Arial" w:cs="Arial"/>
          <w:bCs/>
          <w:color w:val="000000" w:themeColor="text1"/>
          <w:sz w:val="22"/>
          <w:lang w:eastAsia="es-CO"/>
        </w:rPr>
        <w:t xml:space="preserve">A continuación, la Agencia se referirá a cada uno de los aspectos o elementos insertos en la mencionada disposición. </w:t>
      </w:r>
    </w:p>
    <w:p w14:paraId="4847B33A" w14:textId="77777777" w:rsidR="005D7824" w:rsidRPr="009464D4" w:rsidRDefault="005D7824" w:rsidP="005D7824">
      <w:pPr>
        <w:shd w:val="clear" w:color="auto" w:fill="FFFFFF"/>
        <w:spacing w:line="276" w:lineRule="auto"/>
        <w:jc w:val="both"/>
        <w:rPr>
          <w:rFonts w:ascii="Arial" w:eastAsia="Times New Roman" w:hAnsi="Arial" w:cs="Arial"/>
          <w:color w:val="000000" w:themeColor="text1"/>
          <w:sz w:val="22"/>
          <w:lang w:eastAsia="es-CO"/>
        </w:rPr>
      </w:pPr>
    </w:p>
    <w:p w14:paraId="01B3A0AD" w14:textId="77777777" w:rsidR="005D7824" w:rsidRPr="009464D4" w:rsidRDefault="005D7824" w:rsidP="005D7824">
      <w:pPr>
        <w:shd w:val="clear" w:color="auto" w:fill="FFFFFF"/>
        <w:spacing w:line="276" w:lineRule="auto"/>
        <w:jc w:val="both"/>
        <w:rPr>
          <w:rFonts w:ascii="Arial" w:eastAsia="Times New Roman" w:hAnsi="Arial" w:cs="Arial"/>
          <w:b/>
          <w:bCs/>
          <w:color w:val="000000" w:themeColor="text1"/>
          <w:sz w:val="22"/>
          <w:lang w:val="es-CO" w:eastAsia="es-CO"/>
        </w:rPr>
      </w:pPr>
      <w:r w:rsidRPr="009464D4">
        <w:rPr>
          <w:rFonts w:ascii="Arial" w:eastAsia="Times New Roman" w:hAnsi="Arial" w:cs="Arial"/>
          <w:b/>
          <w:bCs/>
          <w:color w:val="000000" w:themeColor="text1"/>
          <w:sz w:val="22"/>
          <w:lang w:val="es-CO" w:eastAsia="es-CO"/>
        </w:rPr>
        <w:t>2.5.1.1. Aspecto temporal</w:t>
      </w:r>
    </w:p>
    <w:p w14:paraId="6327AFD6" w14:textId="77777777" w:rsidR="005D7824" w:rsidRPr="009464D4" w:rsidRDefault="005D7824" w:rsidP="005D7824">
      <w:pPr>
        <w:shd w:val="clear" w:color="auto" w:fill="FFFFFF"/>
        <w:spacing w:line="276" w:lineRule="auto"/>
        <w:jc w:val="both"/>
        <w:rPr>
          <w:rFonts w:ascii="Arial" w:eastAsia="Times New Roman" w:hAnsi="Arial" w:cs="Arial"/>
          <w:color w:val="000000" w:themeColor="text1"/>
          <w:sz w:val="22"/>
          <w:lang w:val="es-CO" w:eastAsia="es-CO"/>
        </w:rPr>
      </w:pPr>
    </w:p>
    <w:p w14:paraId="04919E48" w14:textId="77777777" w:rsidR="005D7824" w:rsidRPr="009464D4" w:rsidRDefault="005D7824" w:rsidP="005D7824">
      <w:pPr>
        <w:shd w:val="clear" w:color="auto" w:fill="FFFFFF"/>
        <w:spacing w:after="120" w:line="276" w:lineRule="auto"/>
        <w:jc w:val="both"/>
        <w:rPr>
          <w:rFonts w:ascii="Arial" w:eastAsia="Times New Roman" w:hAnsi="Arial" w:cs="Arial"/>
          <w:color w:val="000000" w:themeColor="text1"/>
          <w:sz w:val="22"/>
          <w:lang w:val="es-CO" w:eastAsia="es-CO"/>
        </w:rPr>
      </w:pPr>
      <w:r w:rsidRPr="009464D4">
        <w:rPr>
          <w:rFonts w:ascii="Arial" w:eastAsia="Times New Roman" w:hAnsi="Arial" w:cs="Arial"/>
          <w:color w:val="000000" w:themeColor="text1"/>
          <w:sz w:val="22"/>
          <w:lang w:val="es-CO" w:eastAsia="es-CO"/>
        </w:rPr>
        <w:t xml:space="preserve">En su inciso segundo, el artículo 124 dispone la modificación del parágrafo del artículo 38 de la Ley 996 de 2005 sin establecer un nuevo texto sino simplemente anunciando que tal </w:t>
      </w:r>
      <w:r w:rsidRPr="009464D4">
        <w:rPr>
          <w:rFonts w:ascii="Arial" w:eastAsia="Times New Roman" w:hAnsi="Arial" w:cs="Arial"/>
          <w:color w:val="000000" w:themeColor="text1"/>
          <w:sz w:val="22"/>
          <w:lang w:val="es-CO" w:eastAsia="es-CO"/>
        </w:rPr>
        <w:lastRenderedPageBreak/>
        <w:t xml:space="preserve">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6171EC19" w14:textId="77777777" w:rsidR="005D7824" w:rsidRPr="009464D4" w:rsidRDefault="005D7824" w:rsidP="005D7824">
      <w:pPr>
        <w:shd w:val="clear" w:color="auto" w:fill="FFFFFF"/>
        <w:spacing w:line="276" w:lineRule="auto"/>
        <w:ind w:firstLine="709"/>
        <w:jc w:val="both"/>
        <w:rPr>
          <w:rFonts w:ascii="Arial" w:eastAsia="Times New Roman" w:hAnsi="Arial" w:cs="Arial"/>
          <w:color w:val="000000" w:themeColor="text1"/>
          <w:sz w:val="22"/>
          <w:lang w:val="es-CO" w:eastAsia="es-CO"/>
        </w:rPr>
      </w:pPr>
      <w:r w:rsidRPr="009464D4">
        <w:rPr>
          <w:rFonts w:ascii="Arial" w:eastAsia="Times New Roman" w:hAnsi="Arial" w:cs="Arial"/>
          <w:color w:val="000000" w:themeColor="text1"/>
          <w:sz w:val="22"/>
          <w:lang w:val="es-CO" w:eastAsia="es-CO"/>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y parcial de la prohibición,</w:t>
      </w:r>
      <w:r w:rsidRPr="009464D4">
        <w:rPr>
          <w:rFonts w:eastAsiaTheme="minorHAnsi"/>
          <w:color w:val="000000" w:themeColor="text1"/>
        </w:rPr>
        <w:t xml:space="preserve"> </w:t>
      </w:r>
      <w:r w:rsidRPr="009464D4">
        <w:rPr>
          <w:rFonts w:ascii="Arial" w:eastAsia="Times New Roman" w:hAnsi="Arial" w:cs="Arial"/>
          <w:color w:val="000000" w:themeColor="text1"/>
          <w:sz w:val="22"/>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6A7B60E8" w14:textId="77777777" w:rsidR="005D7824" w:rsidRPr="009464D4" w:rsidRDefault="005D7824" w:rsidP="005D7824">
      <w:pPr>
        <w:shd w:val="clear" w:color="auto" w:fill="FFFFFF"/>
        <w:spacing w:line="276" w:lineRule="auto"/>
        <w:jc w:val="both"/>
        <w:rPr>
          <w:rFonts w:ascii="Arial" w:eastAsia="Times New Roman" w:hAnsi="Arial" w:cs="Arial"/>
          <w:color w:val="000000" w:themeColor="text1"/>
          <w:sz w:val="22"/>
          <w:lang w:val="es-CO" w:eastAsia="es-CO"/>
        </w:rPr>
      </w:pPr>
    </w:p>
    <w:p w14:paraId="1A419EB7" w14:textId="77777777" w:rsidR="005D7824" w:rsidRPr="009464D4" w:rsidRDefault="005D7824" w:rsidP="005D7824">
      <w:pPr>
        <w:shd w:val="clear" w:color="auto" w:fill="FFFFFF"/>
        <w:spacing w:line="276" w:lineRule="auto"/>
        <w:jc w:val="both"/>
        <w:rPr>
          <w:rFonts w:ascii="Arial" w:eastAsia="Times New Roman" w:hAnsi="Arial" w:cs="Arial"/>
          <w:b/>
          <w:bCs/>
          <w:color w:val="000000" w:themeColor="text1"/>
          <w:sz w:val="22"/>
          <w:lang w:val="es-CO" w:eastAsia="es-CO"/>
        </w:rPr>
      </w:pPr>
      <w:r w:rsidRPr="009464D4">
        <w:rPr>
          <w:rFonts w:ascii="Arial" w:eastAsia="Times New Roman" w:hAnsi="Arial" w:cs="Arial"/>
          <w:b/>
          <w:bCs/>
          <w:color w:val="000000" w:themeColor="text1"/>
          <w:sz w:val="22"/>
          <w:lang w:val="es-CO" w:eastAsia="es-CO"/>
        </w:rPr>
        <w:t>2.5.1.2. Aspecto subjetivo</w:t>
      </w:r>
    </w:p>
    <w:p w14:paraId="6272A4AD" w14:textId="77777777" w:rsidR="005D7824" w:rsidRPr="009464D4" w:rsidRDefault="005D7824" w:rsidP="005D7824">
      <w:pPr>
        <w:shd w:val="clear" w:color="auto" w:fill="FFFFFF"/>
        <w:spacing w:line="276" w:lineRule="auto"/>
        <w:jc w:val="both"/>
        <w:rPr>
          <w:rFonts w:ascii="Arial" w:eastAsia="Times New Roman" w:hAnsi="Arial" w:cs="Arial"/>
          <w:color w:val="000000" w:themeColor="text1"/>
          <w:sz w:val="22"/>
          <w:lang w:val="es-CO" w:eastAsia="es-CO"/>
        </w:rPr>
      </w:pPr>
    </w:p>
    <w:p w14:paraId="632464A6" w14:textId="77777777" w:rsidR="005D7824" w:rsidRPr="009464D4" w:rsidRDefault="005D7824" w:rsidP="005D7824">
      <w:pPr>
        <w:shd w:val="clear" w:color="auto" w:fill="FFFFFF"/>
        <w:spacing w:after="120" w:line="276" w:lineRule="auto"/>
        <w:jc w:val="both"/>
        <w:rPr>
          <w:rFonts w:ascii="Arial" w:eastAsia="Times New Roman" w:hAnsi="Arial" w:cs="Arial"/>
          <w:bCs/>
          <w:color w:val="000000" w:themeColor="text1"/>
          <w:sz w:val="22"/>
          <w:lang w:eastAsia="es-CO"/>
        </w:rPr>
      </w:pPr>
      <w:r w:rsidRPr="009464D4">
        <w:rPr>
          <w:rFonts w:ascii="Arial" w:eastAsia="Times New Roman" w:hAnsi="Arial" w:cs="Arial"/>
          <w:color w:val="000000" w:themeColor="text1"/>
          <w:sz w:val="22"/>
          <w:lang w:val="es-CO" w:eastAsia="es-CO"/>
        </w:rPr>
        <w:t xml:space="preserve">Ahora bien, según se señaló atrás, el parágrafo del artículo 38 de la Ley 996 de 2005, en su texto original, establece una prohibición dirigida </w:t>
      </w:r>
      <w:r w:rsidRPr="009464D4">
        <w:rPr>
          <w:rFonts w:ascii="Arial" w:eastAsia="Times New Roman" w:hAnsi="Arial" w:cs="Arial"/>
          <w:bCs/>
          <w:color w:val="000000" w:themeColor="text1"/>
          <w:sz w:val="22"/>
          <w:lang w:eastAsia="es-CO"/>
        </w:rPr>
        <w:t xml:space="preserve">a los alcaldes, gobernadores, secretarios, gerentes y directores de las entidades del orden municipal, departamental o distrital, quienes no podrán celebrar convenios y contratos interadministrativos para la ejecución de recursos públicos durante el periodo establecido en ese mismo parágrafo,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0636326A"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Como se observa, el artículo 124 de la </w:t>
      </w:r>
      <w:r w:rsidRPr="009464D4">
        <w:rPr>
          <w:rFonts w:ascii="Arial" w:eastAsia="Times New Roman" w:hAnsi="Arial" w:cs="Arial"/>
          <w:color w:val="000000" w:themeColor="text1"/>
          <w:sz w:val="22"/>
          <w:lang w:val="es-CO" w:eastAsia="es-CO"/>
        </w:rPr>
        <w:t xml:space="preserve">Ley 2159 de 2021 </w:t>
      </w:r>
      <w:r w:rsidRPr="009464D4">
        <w:rPr>
          <w:rFonts w:ascii="Arial" w:eastAsia="Times New Roman" w:hAnsi="Arial" w:cs="Arial"/>
          <w:bCs/>
          <w:color w:val="000000" w:themeColor="text1"/>
          <w:sz w:val="22"/>
          <w:lang w:eastAsia="es-CO"/>
        </w:rPr>
        <w:t xml:space="preserve">hace referencia a que la </w:t>
      </w:r>
      <w:bookmarkStart w:id="60" w:name="_Hlk88510186"/>
      <w:r w:rsidRPr="009464D4">
        <w:rPr>
          <w:rFonts w:ascii="Arial" w:eastAsia="Times New Roman" w:hAnsi="Arial" w:cs="Arial"/>
          <w:bCs/>
          <w:color w:val="000000" w:themeColor="text1"/>
          <w:sz w:val="22"/>
          <w:lang w:eastAsia="es-CO"/>
        </w:rPr>
        <w:t>«</w:t>
      </w:r>
      <w:bookmarkEnd w:id="60"/>
      <w:r w:rsidRPr="009464D4">
        <w:rPr>
          <w:rFonts w:ascii="Arial" w:eastAsia="Times New Roman" w:hAnsi="Arial" w:cs="Arial"/>
          <w:bCs/>
          <w:color w:val="000000" w:themeColor="text1"/>
          <w:sz w:val="22"/>
          <w:lang w:eastAsia="es-CO"/>
        </w:rPr>
        <w:t>Nación» podrá celebrar convenios interadministrativos con «las entidades territoriales», razón por la cual en su aplicación resulta relevante el concepto que se tenga de los dos sujetos de derecho autorizados para celebrarlos.</w:t>
      </w:r>
    </w:p>
    <w:p w14:paraId="6838B484" w14:textId="26B6D909"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En cuanto a las entidades territoriales, el artículo 286 de la Constitución Política establece que son «los departamentos, los distritos, los municipios y los territorios indígenas» y la «ley podrá darles el carácter de entidades territoriales a las regiones y provincias que se constituyan en los términos de la Constitución y de la ley». Es a estas entidades a los que, en opinión de esta Agencia, hace referencia el artículo 124 de la Ley 2159 de 2021 al expresar «las entidades territoriales».  </w:t>
      </w:r>
    </w:p>
    <w:p w14:paraId="62722C01"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Por su parte, en el derecho constitucional el concepto Nación ha sido de difícil determinación y amplia discusión. La Nación se ha definido de distintas maneras, no </w:t>
      </w:r>
      <w:r w:rsidRPr="009464D4">
        <w:rPr>
          <w:rFonts w:ascii="Arial" w:eastAsia="Times New Roman" w:hAnsi="Arial" w:cs="Arial"/>
          <w:bCs/>
          <w:color w:val="000000" w:themeColor="text1"/>
          <w:sz w:val="22"/>
          <w:lang w:eastAsia="es-CO"/>
        </w:rPr>
        <w:lastRenderedPageBreak/>
        <w:t>obstante, uno de sus sentidos es el que lo identifica con el término de Estado y comprendida en él, es decir, como una estructura política y administrativa</w:t>
      </w:r>
      <w:r w:rsidRPr="009464D4">
        <w:rPr>
          <w:rFonts w:ascii="Arial" w:eastAsia="Times New Roman" w:hAnsi="Arial" w:cs="Arial"/>
          <w:bCs/>
          <w:color w:val="000000" w:themeColor="text1"/>
          <w:sz w:val="22"/>
          <w:vertAlign w:val="superscript"/>
          <w:lang w:eastAsia="es-CO"/>
        </w:rPr>
        <w:footnoteReference w:id="49"/>
      </w:r>
      <w:r w:rsidRPr="009464D4">
        <w:rPr>
          <w:rFonts w:ascii="Arial" w:eastAsia="Times New Roman" w:hAnsi="Arial" w:cs="Arial"/>
          <w:bCs/>
          <w:color w:val="000000" w:themeColor="text1"/>
          <w:sz w:val="22"/>
          <w:lang w:eastAsia="es-CO"/>
        </w:rPr>
        <w:t xml:space="preserve">. </w:t>
      </w:r>
    </w:p>
    <w:p w14:paraId="510F0C76"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Bajo esta óptica, es menester recordar que, conforme al artículo 1 de la Constitución Política, Colombia es un Estado social derecho, organizado en forma de República unitaria pero descentralizada y con autonomía de sus entidades territoriales</w:t>
      </w:r>
      <w:r w:rsidRPr="009464D4">
        <w:rPr>
          <w:rFonts w:ascii="Arial" w:eastAsia="Times New Roman" w:hAnsi="Arial" w:cs="Arial"/>
          <w:bCs/>
          <w:color w:val="000000" w:themeColor="text1"/>
          <w:sz w:val="22"/>
          <w:vertAlign w:val="superscript"/>
          <w:lang w:eastAsia="es-CO"/>
        </w:rPr>
        <w:footnoteReference w:id="50"/>
      </w:r>
      <w:r w:rsidRPr="009464D4">
        <w:rPr>
          <w:rFonts w:ascii="Arial" w:eastAsia="Times New Roman" w:hAnsi="Arial" w:cs="Arial"/>
          <w:bCs/>
          <w:color w:val="000000" w:themeColor="text1"/>
          <w:sz w:val="22"/>
          <w:lang w:eastAsia="es-CO"/>
        </w:rPr>
        <w:t>; y que, precisamente, en nuestro ordenamiento jurídico se utiliza la expresión «Nación», en vez de la expresión «Estado», para hacer alusión a las autoridades centrales y diferenciarlas de las autoridades descentralizadas territorialmente y por servicios</w:t>
      </w:r>
      <w:r w:rsidRPr="009464D4">
        <w:rPr>
          <w:rFonts w:ascii="Arial" w:eastAsia="Times New Roman" w:hAnsi="Arial" w:cs="Arial"/>
          <w:bCs/>
          <w:color w:val="000000" w:themeColor="text1"/>
          <w:sz w:val="22"/>
          <w:vertAlign w:val="superscript"/>
          <w:lang w:eastAsia="es-CO"/>
        </w:rPr>
        <w:footnoteReference w:id="51"/>
      </w:r>
      <w:r w:rsidRPr="009464D4">
        <w:rPr>
          <w:rFonts w:ascii="Arial" w:eastAsia="Times New Roman" w:hAnsi="Arial" w:cs="Arial"/>
          <w:bCs/>
          <w:color w:val="000000" w:themeColor="text1"/>
          <w:sz w:val="22"/>
          <w:lang w:eastAsia="es-CO"/>
        </w:rPr>
        <w:t>. Así lo ha manifestado la Corte Constitucional:</w:t>
      </w:r>
    </w:p>
    <w:p w14:paraId="495DEC80" w14:textId="77777777" w:rsidR="005D7824" w:rsidRPr="009464D4" w:rsidRDefault="005D7824" w:rsidP="005D7824">
      <w:pPr>
        <w:shd w:val="clear" w:color="auto" w:fill="FFFFFF"/>
        <w:ind w:left="709" w:right="567"/>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 xml:space="preserve">[E]n general nuestra normatividad </w:t>
      </w:r>
      <w:r w:rsidRPr="009464D4">
        <w:rPr>
          <w:rFonts w:ascii="Arial" w:eastAsia="Times New Roman" w:hAnsi="Arial" w:cs="Arial"/>
          <w:bCs/>
          <w:i/>
          <w:iCs/>
          <w:color w:val="000000" w:themeColor="text1"/>
          <w:sz w:val="21"/>
          <w:szCs w:val="21"/>
          <w:lang w:eastAsia="es-CO"/>
        </w:rPr>
        <w:t>ha reservado la palabra “Nación”</w:t>
      </w:r>
      <w:r w:rsidRPr="009464D4">
        <w:rPr>
          <w:rFonts w:ascii="Arial" w:eastAsia="Times New Roman" w:hAnsi="Arial" w:cs="Arial"/>
          <w:bCs/>
          <w:color w:val="000000" w:themeColor="text1"/>
          <w:sz w:val="21"/>
          <w:szCs w:val="21"/>
          <w:lang w:eastAsia="es-CO"/>
        </w:rPr>
        <w:t xml:space="preserve">, en vez de la palabra “Estado”, </w:t>
      </w:r>
      <w:r w:rsidRPr="009464D4">
        <w:rPr>
          <w:rFonts w:ascii="Arial" w:eastAsia="Times New Roman" w:hAnsi="Arial" w:cs="Arial"/>
          <w:bCs/>
          <w:i/>
          <w:iCs/>
          <w:color w:val="000000" w:themeColor="text1"/>
          <w:sz w:val="21"/>
          <w:szCs w:val="21"/>
          <w:lang w:eastAsia="es-CO"/>
        </w:rPr>
        <w:t>para hacer referencia a las autoridades centrales y distinguirlas de las autoridades descentralizadas</w:t>
      </w:r>
      <w:r w:rsidRPr="009464D4">
        <w:rPr>
          <w:rFonts w:ascii="Arial" w:eastAsia="Times New Roman" w:hAnsi="Arial" w:cs="Arial"/>
          <w:bCs/>
          <w:color w:val="000000" w:themeColor="text1"/>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9464D4">
        <w:rPr>
          <w:rFonts w:ascii="Arial" w:eastAsia="Times New Roman" w:hAnsi="Arial" w:cs="Arial"/>
          <w:bCs/>
          <w:i/>
          <w:iCs/>
          <w:color w:val="000000" w:themeColor="text1"/>
          <w:sz w:val="21"/>
          <w:szCs w:val="21"/>
          <w:lang w:eastAsia="es-CO"/>
        </w:rPr>
        <w:t>la Carta utiliza la palabra Nación cuando se refiere a las competencias propias de las autoridades centrales, mientras que la palabra Estado denota en general el conjunto de todas las autoridades públicas</w:t>
      </w:r>
      <w:r w:rsidRPr="009464D4">
        <w:rPr>
          <w:rFonts w:ascii="Arial" w:eastAsia="Times New Roman" w:hAnsi="Arial" w:cs="Arial"/>
          <w:bCs/>
          <w:color w:val="000000" w:themeColor="text1"/>
          <w:sz w:val="21"/>
          <w:szCs w:val="21"/>
          <w:lang w:eastAsia="es-CO"/>
        </w:rPr>
        <w:t>. (Cursiva fuera del texto).</w:t>
      </w:r>
    </w:p>
    <w:p w14:paraId="3346B7FA" w14:textId="77777777" w:rsidR="005D7824" w:rsidRPr="009464D4" w:rsidRDefault="005D7824" w:rsidP="005D7824">
      <w:pPr>
        <w:shd w:val="clear" w:color="auto" w:fill="FFFFFF"/>
        <w:ind w:left="709" w:right="567"/>
        <w:jc w:val="both"/>
        <w:rPr>
          <w:rFonts w:ascii="Arial" w:eastAsia="Times New Roman" w:hAnsi="Arial" w:cs="Arial"/>
          <w:bCs/>
          <w:color w:val="000000" w:themeColor="text1"/>
          <w:sz w:val="21"/>
          <w:szCs w:val="21"/>
          <w:lang w:eastAsia="es-CO"/>
        </w:rPr>
      </w:pPr>
    </w:p>
    <w:p w14:paraId="3B0CC49E"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De otro lado, el Estado en su conjunto, esto es, la Nación y otros órganos que realizan las diversas funciones y servicios, actúa en el mundo del Derecho dotado de personalidad jurídica como</w:t>
      </w:r>
      <w:r w:rsidRPr="009464D4">
        <w:rPr>
          <w:rFonts w:eastAsiaTheme="minorHAnsi"/>
          <w:color w:val="000000" w:themeColor="text1"/>
        </w:rPr>
        <w:t xml:space="preserve"> </w:t>
      </w:r>
      <w:r w:rsidRPr="009464D4">
        <w:rPr>
          <w:rFonts w:ascii="Arial" w:eastAsia="Times New Roman" w:hAnsi="Arial" w:cs="Arial"/>
          <w:bCs/>
          <w:color w:val="000000" w:themeColor="text1"/>
          <w:sz w:val="22"/>
          <w:lang w:eastAsia="es-CO"/>
        </w:rPr>
        <w:t xml:space="preserve">sujeto de derechos y obligaciones. En efecto, el artículo 80 de la Ley 153 de 1887 establece que </w:t>
      </w:r>
      <w:r w:rsidRPr="009464D4">
        <w:rPr>
          <w:rFonts w:ascii="Arial" w:eastAsia="Times New Roman" w:hAnsi="Arial" w:cs="Arial"/>
          <w:color w:val="000000" w:themeColor="text1"/>
          <w:sz w:val="21"/>
          <w:szCs w:val="21"/>
          <w:lang w:val="es-CO" w:eastAsia="es-CO"/>
        </w:rPr>
        <w:t>«</w:t>
      </w:r>
      <w:r w:rsidRPr="009464D4">
        <w:rPr>
          <w:rFonts w:ascii="Arial" w:eastAsia="Times New Roman" w:hAnsi="Arial" w:cs="Arial"/>
          <w:bCs/>
          <w:color w:val="000000" w:themeColor="text1"/>
          <w:sz w:val="22"/>
          <w:lang w:eastAsia="es-CO"/>
        </w:rPr>
        <w:t>[l]a Nación, los Departamentos, los Municipios, los establecimientos de beneficencia y los de instrucción pública, y las corporaciones creadas o reconocidas por la ley, son personas jurídicas</w:t>
      </w:r>
      <w:r w:rsidRPr="009464D4">
        <w:rPr>
          <w:rFonts w:ascii="Arial" w:eastAsia="Times New Roman" w:hAnsi="Arial" w:cs="Arial"/>
          <w:color w:val="000000" w:themeColor="text1"/>
          <w:sz w:val="21"/>
          <w:szCs w:val="21"/>
          <w:lang w:val="es-CO" w:eastAsia="es-CO"/>
        </w:rPr>
        <w:t>»</w:t>
      </w:r>
      <w:r w:rsidRPr="009464D4">
        <w:rPr>
          <w:rFonts w:ascii="Arial" w:eastAsia="Times New Roman" w:hAnsi="Arial" w:cs="Arial"/>
          <w:bCs/>
          <w:color w:val="000000" w:themeColor="text1"/>
          <w:sz w:val="22"/>
          <w:lang w:eastAsia="es-CO"/>
        </w:rPr>
        <w:t xml:space="preserve">. </w:t>
      </w:r>
    </w:p>
    <w:p w14:paraId="73DFB038"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Bajo este esquema constitucional y legal se ha entendido que «las entidades territoriales, así como las entidades descentralizadas por servicios, tienen su propia personería jurídica, al paso que la personalidad jurídica de la Nación cobija a las ramas del </w:t>
      </w:r>
      <w:r w:rsidRPr="009464D4">
        <w:rPr>
          <w:rFonts w:ascii="Arial" w:eastAsia="Times New Roman" w:hAnsi="Arial" w:cs="Arial"/>
          <w:bCs/>
          <w:color w:val="000000" w:themeColor="text1"/>
          <w:sz w:val="22"/>
          <w:lang w:eastAsia="es-CO"/>
        </w:rPr>
        <w:lastRenderedPageBreak/>
        <w:t>poder público, así como a los otros órganos autónomos e independientes que se han previsto por la Constitución para el cumplimiento de las demás funciones del Estado</w:t>
      </w:r>
      <w:r w:rsidRPr="009464D4">
        <w:rPr>
          <w:rFonts w:ascii="Arial" w:eastAsia="Times New Roman" w:hAnsi="Arial" w:cs="Arial"/>
          <w:color w:val="000000" w:themeColor="text1"/>
          <w:sz w:val="21"/>
          <w:szCs w:val="21"/>
          <w:lang w:val="es-CO" w:eastAsia="es-CO"/>
        </w:rPr>
        <w:t>»</w:t>
      </w:r>
      <w:r w:rsidRPr="009464D4">
        <w:rPr>
          <w:rFonts w:ascii="Arial" w:eastAsia="Times New Roman" w:hAnsi="Arial" w:cs="Arial"/>
          <w:color w:val="000000" w:themeColor="text1"/>
          <w:sz w:val="21"/>
          <w:szCs w:val="21"/>
          <w:vertAlign w:val="superscript"/>
          <w:lang w:val="es-CO" w:eastAsia="es-CO"/>
        </w:rPr>
        <w:footnoteReference w:id="52"/>
      </w:r>
      <w:r w:rsidRPr="009464D4">
        <w:rPr>
          <w:rFonts w:ascii="Arial" w:eastAsia="Times New Roman" w:hAnsi="Arial" w:cs="Arial"/>
          <w:color w:val="000000" w:themeColor="text1"/>
          <w:sz w:val="21"/>
          <w:szCs w:val="21"/>
          <w:lang w:val="es-CO" w:eastAsia="es-CO"/>
        </w:rPr>
        <w:t>.</w:t>
      </w:r>
      <w:r w:rsidRPr="009464D4">
        <w:rPr>
          <w:rFonts w:ascii="Arial" w:eastAsia="Times New Roman" w:hAnsi="Arial" w:cs="Arial"/>
          <w:bCs/>
          <w:color w:val="000000" w:themeColor="text1"/>
          <w:sz w:val="22"/>
          <w:lang w:eastAsia="es-CO"/>
        </w:rPr>
        <w:t xml:space="preserve">  </w:t>
      </w:r>
    </w:p>
    <w:p w14:paraId="677857D7"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En particular, la Rama Ejecutiva del Poder público se manifiesta en dos órdenes o niveles, por un lado, el nivel nacional, o «administración nacional» que a su turno puede contar con entidades descentralizadas por servicios, y por el otro, el nivel descentralizado por virtud del territorio, o «administración territorial». En efecto, el artículo 38 de la Ley 489 de 1998, por medio de la cual se dictan normas sobre la organización y funcionamiento de las entidades del orden nacional, se expiden las disposiciones, principios y reglas para el ejercicio de las atribuciones previstas en los numerales 15 y 16 del artículo 189 de la Constitución, al respecto dispone: </w:t>
      </w:r>
    </w:p>
    <w:p w14:paraId="0ECECAEB"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La Rama Ejecutiva del Poder Público del orden nacional, está integrada por los siguientes organismos y entidades:</w:t>
      </w:r>
    </w:p>
    <w:p w14:paraId="2E4B5DDB"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1. Del Sector Central:</w:t>
      </w:r>
    </w:p>
    <w:p w14:paraId="1C5C7526"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a) La Presidencia de la República;</w:t>
      </w:r>
    </w:p>
    <w:p w14:paraId="2206FD6F"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b) La Vicepresidencia de la República;</w:t>
      </w:r>
    </w:p>
    <w:p w14:paraId="013561DF"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c) Los Consejos Superiores de la administración;</w:t>
      </w:r>
    </w:p>
    <w:p w14:paraId="77F8539E"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d) Los ministerios y departamentos administrativos;</w:t>
      </w:r>
    </w:p>
    <w:p w14:paraId="0CACC9AA"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e) Las superintendencias y unidades administrativas especiales sin personería jurídica;</w:t>
      </w:r>
    </w:p>
    <w:p w14:paraId="5BC1481C"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2. Del Sector Descentralizado por Servicios:</w:t>
      </w:r>
    </w:p>
    <w:p w14:paraId="20F853B5"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a) Los establecimientos públicos;</w:t>
      </w:r>
    </w:p>
    <w:p w14:paraId="71B0120E"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b) Las empresas industriales y comerciales del Estado;</w:t>
      </w:r>
    </w:p>
    <w:p w14:paraId="0AB191FC"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c) Las superintendencias y unidades administrativas especiales con personería jurídica;</w:t>
      </w:r>
    </w:p>
    <w:p w14:paraId="593A1D6D"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d) Las empresas sociales del Estado y las empresas oficiales de servicios públicos domiciliarios;</w:t>
      </w:r>
    </w:p>
    <w:p w14:paraId="2587D73C"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e) Los institutos científicos y tecnológicos;</w:t>
      </w:r>
    </w:p>
    <w:p w14:paraId="6758DD34" w14:textId="77777777" w:rsidR="005D7824" w:rsidRPr="009464D4" w:rsidRDefault="005D7824" w:rsidP="005D7824">
      <w:pPr>
        <w:shd w:val="clear" w:color="auto" w:fill="FFFFFF"/>
        <w:spacing w:after="120"/>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f) Las sociedades públicas y las sociedades de economía mixta;</w:t>
      </w:r>
    </w:p>
    <w:p w14:paraId="572B0DDF" w14:textId="77777777" w:rsidR="005D7824" w:rsidRPr="009464D4" w:rsidRDefault="005D7824" w:rsidP="005D7824">
      <w:pPr>
        <w:shd w:val="clear" w:color="auto" w:fill="FFFFFF"/>
        <w:ind w:left="709" w:right="709"/>
        <w:jc w:val="both"/>
        <w:rPr>
          <w:rFonts w:ascii="Arial" w:eastAsia="Times New Roman" w:hAnsi="Arial" w:cs="Arial"/>
          <w:bCs/>
          <w:color w:val="000000" w:themeColor="text1"/>
          <w:sz w:val="21"/>
          <w:szCs w:val="21"/>
          <w:lang w:eastAsia="es-CO"/>
        </w:rPr>
      </w:pPr>
      <w:r w:rsidRPr="009464D4">
        <w:rPr>
          <w:rFonts w:ascii="Arial" w:eastAsia="Times New Roman" w:hAnsi="Arial" w:cs="Arial"/>
          <w:bCs/>
          <w:color w:val="000000" w:themeColor="text1"/>
          <w:sz w:val="21"/>
          <w:szCs w:val="21"/>
          <w:lang w:eastAsia="es-CO"/>
        </w:rPr>
        <w:t xml:space="preserve">g) Las demás entidades administrativas nacionales con personería jurídica que cree, organice o autorice la ley para que formen parte de la Rama Ejecutiva del Poder Público. </w:t>
      </w:r>
    </w:p>
    <w:p w14:paraId="29C01920" w14:textId="77777777" w:rsidR="005D7824" w:rsidRPr="009464D4" w:rsidRDefault="005D7824" w:rsidP="005D7824">
      <w:pPr>
        <w:shd w:val="clear" w:color="auto" w:fill="FFFFFF"/>
        <w:ind w:left="709" w:right="709"/>
        <w:jc w:val="both"/>
        <w:rPr>
          <w:rFonts w:ascii="Arial" w:eastAsia="Times New Roman" w:hAnsi="Arial" w:cs="Arial"/>
          <w:bCs/>
          <w:color w:val="000000" w:themeColor="text1"/>
          <w:sz w:val="21"/>
          <w:szCs w:val="21"/>
          <w:lang w:eastAsia="es-CO"/>
        </w:rPr>
      </w:pPr>
    </w:p>
    <w:p w14:paraId="4990B6CB"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Según la norma transcrita, la organización de la Rama Ejecutiva del Poder Público, en su nivel nacional, cuenta con dos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w:t>
      </w:r>
      <w:r w:rsidRPr="009464D4">
        <w:rPr>
          <w:rFonts w:ascii="Arial" w:eastAsia="Times New Roman" w:hAnsi="Arial" w:cs="Arial"/>
          <w:bCs/>
          <w:color w:val="000000" w:themeColor="text1"/>
          <w:sz w:val="22"/>
          <w:lang w:eastAsia="es-CO"/>
        </w:rPr>
        <w:lastRenderedPageBreak/>
        <w:t>encuentran los establecimientos públicos, las empresas industriales y comerciales del Estado, las sociedades de economía mixta y, en general, las entidades administrativas nacionales que cuenten con personería jurídica diferente a la Nación</w:t>
      </w:r>
      <w:r w:rsidRPr="009464D4">
        <w:rPr>
          <w:rFonts w:ascii="Arial" w:eastAsia="Times New Roman" w:hAnsi="Arial" w:cs="Arial"/>
          <w:bCs/>
          <w:color w:val="000000" w:themeColor="text1"/>
          <w:sz w:val="22"/>
          <w:vertAlign w:val="superscript"/>
          <w:lang w:eastAsia="es-CO"/>
        </w:rPr>
        <w:footnoteReference w:id="53"/>
      </w:r>
      <w:r w:rsidRPr="009464D4">
        <w:rPr>
          <w:rFonts w:ascii="Arial" w:eastAsia="Times New Roman" w:hAnsi="Arial" w:cs="Arial"/>
          <w:bCs/>
          <w:color w:val="000000" w:themeColor="text1"/>
          <w:sz w:val="22"/>
          <w:lang w:eastAsia="es-CO"/>
        </w:rPr>
        <w:t>.</w:t>
      </w:r>
    </w:p>
    <w:p w14:paraId="4FC15F3D"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A este respecto debe recordarse que la descentralización, como forma de organización administrativa que implica el traslado de competencias a favor de autoridades o personas distintas a la Nación, y a la que hace referencia, entre otros, el artículo 1 de la Constitución arriba aludido, se manifiesta en tres formas o modalidades, a saber: descentralización por territorio, por servicios y por colaboración. </w:t>
      </w:r>
    </w:p>
    <w:p w14:paraId="486F8AAA"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7A277DFC" w14:textId="0890ADE3"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En ese sentido, de acuerdo </w:t>
      </w:r>
      <w:r w:rsidR="00787CC9" w:rsidRPr="009464D4">
        <w:rPr>
          <w:rFonts w:ascii="Arial" w:eastAsia="Times New Roman" w:hAnsi="Arial" w:cs="Arial"/>
          <w:bCs/>
          <w:color w:val="000000" w:themeColor="text1"/>
          <w:sz w:val="22"/>
          <w:lang w:eastAsia="es-CO"/>
        </w:rPr>
        <w:t>con lo señalado</w:t>
      </w:r>
      <w:r w:rsidRPr="009464D4">
        <w:rPr>
          <w:rFonts w:ascii="Arial" w:eastAsia="Times New Roman" w:hAnsi="Arial" w:cs="Arial"/>
          <w:bCs/>
          <w:color w:val="000000" w:themeColor="text1"/>
          <w:sz w:val="22"/>
          <w:lang w:eastAsia="es-CO"/>
        </w:rPr>
        <w:t>, en el nivel nacional de la Rama Ejecutiva existe la posibilidad de que existan entidades que pertenezcan o bien al sector central, precisamente, por no encontrarse descentralizadas y hacer parte, por ende, a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581931C5" w14:textId="4CA3A89B"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A su turno, dentro del sector descentralizado por servicios del nivel nacional existen dos modalidades de descentralización</w:t>
      </w:r>
      <w:r w:rsidR="00AB3480" w:rsidRPr="009464D4">
        <w:rPr>
          <w:rFonts w:ascii="Arial" w:eastAsia="Times New Roman" w:hAnsi="Arial" w:cs="Arial"/>
          <w:bCs/>
          <w:color w:val="000000" w:themeColor="text1"/>
          <w:sz w:val="22"/>
          <w:lang w:eastAsia="es-CO"/>
        </w:rPr>
        <w:t>,</w:t>
      </w:r>
      <w:r w:rsidRPr="009464D4">
        <w:rPr>
          <w:rFonts w:ascii="Arial" w:eastAsia="Times New Roman" w:hAnsi="Arial" w:cs="Arial"/>
          <w:bCs/>
          <w:color w:val="000000" w:themeColor="text1"/>
          <w:sz w:val="22"/>
          <w:lang w:eastAsia="es-CO"/>
        </w:rPr>
        <w:t xml:space="preserve">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ley formal o material. </w:t>
      </w:r>
    </w:p>
    <w:p w14:paraId="59972AE8" w14:textId="56A6E801"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Sin embargo, dichas entidades descentralizadas directamente, por ser personas jurídicas, pueden, a su turno, participar con otras en la creación de nuevas entidades, correspondiendo estas</w:t>
      </w:r>
      <w:r w:rsidR="00F36275" w:rsidRPr="009464D4">
        <w:rPr>
          <w:rFonts w:ascii="Arial" w:eastAsia="Times New Roman" w:hAnsi="Arial" w:cs="Arial"/>
          <w:bCs/>
          <w:color w:val="000000" w:themeColor="text1"/>
          <w:sz w:val="22"/>
          <w:lang w:eastAsia="es-CO"/>
        </w:rPr>
        <w:t xml:space="preserve"> </w:t>
      </w:r>
      <w:r w:rsidRPr="009464D4">
        <w:rPr>
          <w:rFonts w:ascii="Arial" w:eastAsia="Times New Roman" w:hAnsi="Arial" w:cs="Arial"/>
          <w:bCs/>
          <w:color w:val="000000" w:themeColor="text1"/>
          <w:sz w:val="22"/>
          <w:lang w:eastAsia="es-CO"/>
        </w:rPr>
        <w:t xml:space="preserve">a las denominadas entidades descentralizadas indirectamente o de </w:t>
      </w:r>
      <w:r w:rsidRPr="009464D4">
        <w:rPr>
          <w:rFonts w:ascii="Arial" w:eastAsia="Times New Roman" w:hAnsi="Arial" w:cs="Arial"/>
          <w:bCs/>
          <w:color w:val="000000" w:themeColor="text1"/>
          <w:sz w:val="22"/>
          <w:lang w:eastAsia="es-CO"/>
        </w:rPr>
        <w:lastRenderedPageBreak/>
        <w:t>segundo grado</w:t>
      </w:r>
      <w:r w:rsidRPr="009464D4">
        <w:rPr>
          <w:rFonts w:ascii="Arial" w:eastAsia="Times New Roman" w:hAnsi="Arial" w:cs="Arial"/>
          <w:bCs/>
          <w:color w:val="000000" w:themeColor="text1"/>
          <w:sz w:val="22"/>
          <w:vertAlign w:val="superscript"/>
          <w:lang w:eastAsia="es-CO"/>
        </w:rPr>
        <w:footnoteReference w:id="54"/>
      </w:r>
      <w:r w:rsidRPr="009464D4">
        <w:rPr>
          <w:rFonts w:ascii="Arial" w:eastAsia="Times New Roman" w:hAnsi="Arial" w:cs="Arial"/>
          <w:bCs/>
          <w:color w:val="000000" w:themeColor="text1"/>
          <w:sz w:val="22"/>
          <w:lang w:eastAsia="es-CO"/>
        </w:rPr>
        <w:t>. En otras palabras, los entes descentralizados indirectamente son aquellos creados, no por la ley, sino a partir de «la voluntad asociativa de los entes públicos, en unión entre sí o con particulares»</w:t>
      </w:r>
      <w:r w:rsidRPr="009464D4">
        <w:rPr>
          <w:rFonts w:ascii="Arial" w:eastAsia="Times New Roman" w:hAnsi="Arial" w:cs="Arial"/>
          <w:bCs/>
          <w:color w:val="000000" w:themeColor="text1"/>
          <w:sz w:val="22"/>
          <w:vertAlign w:val="superscript"/>
          <w:lang w:eastAsia="es-CO"/>
        </w:rPr>
        <w:footnoteReference w:id="55"/>
      </w:r>
      <w:r w:rsidRPr="009464D4">
        <w:rPr>
          <w:rFonts w:ascii="Arial" w:eastAsia="Times New Roman" w:hAnsi="Arial" w:cs="Arial"/>
          <w:bCs/>
          <w:color w:val="000000" w:themeColor="text1"/>
          <w:sz w:val="22"/>
          <w:lang w:eastAsia="es-CO"/>
        </w:rPr>
        <w:t>.</w:t>
      </w:r>
    </w:p>
    <w:p w14:paraId="1755E60B" w14:textId="2F33DF81" w:rsidR="005D7824" w:rsidRPr="009464D4" w:rsidRDefault="00787CC9"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Por ello</w:t>
      </w:r>
      <w:r w:rsidR="005D7824" w:rsidRPr="009464D4">
        <w:rPr>
          <w:rFonts w:ascii="Arial" w:eastAsia="Times New Roman" w:hAnsi="Arial" w:cs="Arial"/>
          <w:bCs/>
          <w:color w:val="000000" w:themeColor="text1"/>
          <w:sz w:val="22"/>
          <w:lang w:eastAsia="es-CO"/>
        </w:rPr>
        <w:t xml:space="preserve">, la descentralización indirecta puede expresarse en distintas modalidades, según cual sea la calidad de las entidades participantes. Así, </w:t>
      </w:r>
      <w:proofErr w:type="gramStart"/>
      <w:r w:rsidR="005D7824" w:rsidRPr="009464D4">
        <w:rPr>
          <w:rFonts w:ascii="Arial" w:eastAsia="Times New Roman" w:hAnsi="Arial" w:cs="Arial"/>
          <w:bCs/>
          <w:color w:val="000000" w:themeColor="text1"/>
          <w:sz w:val="22"/>
          <w:lang w:eastAsia="es-CO"/>
        </w:rPr>
        <w:t>habrán</w:t>
      </w:r>
      <w:proofErr w:type="gramEnd"/>
      <w:r w:rsidR="005D7824" w:rsidRPr="009464D4">
        <w:rPr>
          <w:rFonts w:ascii="Arial" w:eastAsia="Times New Roman" w:hAnsi="Arial" w:cs="Arial"/>
          <w:bCs/>
          <w:color w:val="000000" w:themeColor="text1"/>
          <w:sz w:val="22"/>
          <w:lang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sidR="00F36275" w:rsidRPr="009464D4">
        <w:rPr>
          <w:rFonts w:ascii="Arial" w:eastAsia="Times New Roman" w:hAnsi="Arial" w:cs="Arial"/>
          <w:bCs/>
          <w:color w:val="000000" w:themeColor="text1"/>
          <w:sz w:val="22"/>
          <w:lang w:eastAsia="es-CO"/>
        </w:rPr>
        <w:t>,</w:t>
      </w:r>
      <w:r w:rsidR="005D7824" w:rsidRPr="009464D4">
        <w:rPr>
          <w:rFonts w:ascii="Arial" w:eastAsia="Times New Roman" w:hAnsi="Arial" w:cs="Arial"/>
          <w:bCs/>
          <w:color w:val="000000" w:themeColor="text1"/>
          <w:sz w:val="22"/>
          <w:lang w:eastAsia="es-CO"/>
        </w:rPr>
        <w:t xml:space="preserve"> etc.</w:t>
      </w:r>
      <w:r w:rsidR="005D7824" w:rsidRPr="009464D4">
        <w:rPr>
          <w:rFonts w:ascii="Arial" w:eastAsia="Times New Roman" w:hAnsi="Arial" w:cs="Arial"/>
          <w:bCs/>
          <w:color w:val="000000" w:themeColor="text1"/>
          <w:sz w:val="22"/>
          <w:vertAlign w:val="superscript"/>
          <w:lang w:eastAsia="es-CO"/>
        </w:rPr>
        <w:footnoteReference w:id="56"/>
      </w:r>
      <w:r w:rsidR="005D7824" w:rsidRPr="009464D4">
        <w:rPr>
          <w:rFonts w:ascii="Arial" w:eastAsia="Times New Roman" w:hAnsi="Arial" w:cs="Arial"/>
          <w:bCs/>
          <w:color w:val="000000" w:themeColor="text1"/>
          <w:sz w:val="22"/>
          <w:lang w:eastAsia="es-CO"/>
        </w:rPr>
        <w:t xml:space="preserve"> </w:t>
      </w:r>
    </w:p>
    <w:p w14:paraId="5566ECB7" w14:textId="55B71964"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De conformidad con lo anterior, la Ley 489 de 1998 regula lo concerniente a tres tipos de entidades descentralizadas indirectamente</w:t>
      </w:r>
      <w:r w:rsidR="00F36275" w:rsidRPr="009464D4">
        <w:rPr>
          <w:rFonts w:ascii="Arial" w:eastAsia="Times New Roman" w:hAnsi="Arial" w:cs="Arial"/>
          <w:bCs/>
          <w:color w:val="000000" w:themeColor="text1"/>
          <w:sz w:val="22"/>
          <w:lang w:eastAsia="es-CO"/>
        </w:rPr>
        <w:t>,</w:t>
      </w:r>
      <w:r w:rsidRPr="009464D4">
        <w:rPr>
          <w:rFonts w:ascii="Arial" w:eastAsia="Times New Roman" w:hAnsi="Arial" w:cs="Arial"/>
          <w:bCs/>
          <w:color w:val="000000" w:themeColor="text1"/>
          <w:sz w:val="22"/>
          <w:lang w:eastAsia="es-CO"/>
        </w:rPr>
        <w:t xml:space="preserve"> en sus artículos 94, 95 y 96 referidos, respectivamente, a las asociaciones entre empresas industriales y comerciales del Estado, o entre estas y entidades territoriales o descentralizadas, a la conformación de personas jurídicas sin ánimo de lucro entre entidades estatales y a la constitución de asociaciones y fundaciones a través de los convenios de asociación suscritos entre entidades estatales y personas jurídicas particulares. </w:t>
      </w:r>
    </w:p>
    <w:p w14:paraId="68941593" w14:textId="3B41F338" w:rsidR="005D7824" w:rsidRPr="009464D4" w:rsidRDefault="005D7824" w:rsidP="005D7824">
      <w:pPr>
        <w:spacing w:after="120" w:line="276" w:lineRule="auto"/>
        <w:ind w:firstLine="708"/>
        <w:jc w:val="both"/>
        <w:rPr>
          <w:rFonts w:ascii="Arial" w:eastAsiaTheme="minorHAnsi" w:hAnsi="Arial" w:cs="Arial"/>
          <w:color w:val="000000" w:themeColor="text1"/>
          <w:sz w:val="22"/>
        </w:rPr>
      </w:pPr>
      <w:r w:rsidRPr="009464D4">
        <w:rPr>
          <w:rFonts w:ascii="Arial" w:eastAsia="Times New Roman" w:hAnsi="Arial" w:cs="Arial"/>
          <w:bCs/>
          <w:color w:val="000000" w:themeColor="text1"/>
          <w:sz w:val="22"/>
          <w:lang w:eastAsia="es-CO"/>
        </w:rPr>
        <w:t xml:space="preserve">Dicho lo anterior, es importante destacar, como lo ha señalado el Consejo de Estado, que las entidades descentralizadas indirectamente son una especie del género que corresponde a las entidades descentralizadas, y </w:t>
      </w:r>
      <w:r w:rsidRPr="009464D4">
        <w:rPr>
          <w:rFonts w:ascii="Arial" w:eastAsiaTheme="minorHAnsi" w:hAnsi="Arial" w:cs="Arial"/>
          <w:color w:val="000000" w:themeColor="text1"/>
          <w:sz w:val="22"/>
        </w:rPr>
        <w:t>«[…]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9464D4">
        <w:rPr>
          <w:rFonts w:ascii="Arial" w:eastAsiaTheme="minorHAnsi" w:hAnsi="Arial" w:cs="Arial"/>
          <w:color w:val="000000" w:themeColor="text1"/>
          <w:sz w:val="22"/>
          <w:vertAlign w:val="superscript"/>
        </w:rPr>
        <w:footnoteReference w:id="57"/>
      </w:r>
      <w:r w:rsidRPr="009464D4">
        <w:rPr>
          <w:rFonts w:ascii="Arial" w:eastAsiaTheme="minorHAnsi" w:hAnsi="Arial" w:cs="Arial"/>
          <w:color w:val="000000" w:themeColor="text1"/>
          <w:sz w:val="22"/>
        </w:rPr>
        <w:t xml:space="preserve">. </w:t>
      </w:r>
    </w:p>
    <w:p w14:paraId="747B7DDF" w14:textId="6A353A3E"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Ahora bien, también resulta importante destacar que la Ley 80 de 1993, Estatuto General de Contratación de Administración Pública –EGCAP–,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w:t>
      </w:r>
      <w:r w:rsidR="00F36275" w:rsidRPr="009464D4">
        <w:rPr>
          <w:rFonts w:ascii="Arial" w:eastAsia="Times New Roman" w:hAnsi="Arial" w:cs="Arial"/>
          <w:bCs/>
          <w:color w:val="000000" w:themeColor="text1"/>
          <w:sz w:val="22"/>
          <w:lang w:eastAsia="es-CO"/>
        </w:rPr>
        <w:t>En efecto, c</w:t>
      </w:r>
      <w:r w:rsidRPr="009464D4">
        <w:rPr>
          <w:rFonts w:ascii="Arial" w:eastAsia="Times New Roman" w:hAnsi="Arial" w:cs="Arial"/>
          <w:bCs/>
          <w:color w:val="000000" w:themeColor="text1"/>
          <w:sz w:val="22"/>
          <w:lang w:eastAsia="es-CO"/>
        </w:rPr>
        <w:t xml:space="preserve">on el EGCAP se separan tales nociones y se admite la posibilidad de que entidades que no cuenten con personería jurídica puedan, sin embargo, ostentar </w:t>
      </w:r>
      <w:r w:rsidRPr="009464D4">
        <w:rPr>
          <w:rFonts w:ascii="Arial" w:eastAsia="Times New Roman" w:hAnsi="Arial" w:cs="Arial"/>
          <w:bCs/>
          <w:color w:val="000000" w:themeColor="text1"/>
          <w:sz w:val="22"/>
          <w:lang w:eastAsia="es-CO"/>
        </w:rPr>
        <w:lastRenderedPageBreak/>
        <w:t>capacidad jurídica para celebrar contratos. Esto cobra importancia, toda vez que hay órganos del nivel nacional que no tienen personería jurídica, pero que cuentan con capacidad contractual, como pasará a explicarse más adelante.</w:t>
      </w:r>
    </w:p>
    <w:p w14:paraId="4098C9F3"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Así, el artículo 2 de la Ley 80 determinó que ciertas entidades que no tienen personalidad jurídica diferente a la Nación, como por ejemplo, los ministerios, departamentos administrativos, las superintendencias y las unidades administrativas especiales sin personería jurídica pueden celebrar contratos y, en su artículo 11, señaló que los funcionarios con competencia para hacerlo en la entidad respectiva son: los ministros, los directores de los departamentos administrativos, los superintendentes y los presidentes de las unidades administrativas especiales, respectivamente. </w:t>
      </w:r>
    </w:p>
    <w:p w14:paraId="40884585" w14:textId="77777777" w:rsidR="005D7824" w:rsidRPr="009464D4" w:rsidRDefault="005D7824" w:rsidP="005D7824">
      <w:pPr>
        <w:shd w:val="clear" w:color="auto" w:fill="FFFFFF"/>
        <w:spacing w:after="120" w:line="276" w:lineRule="auto"/>
        <w:ind w:firstLine="708"/>
        <w:jc w:val="both"/>
        <w:rPr>
          <w:rFonts w:eastAsiaTheme="minorHAnsi"/>
          <w:color w:val="000000" w:themeColor="text1"/>
        </w:rPr>
      </w:pPr>
      <w:r w:rsidRPr="009464D4">
        <w:rPr>
          <w:rFonts w:ascii="Arial" w:eastAsia="Times New Roman" w:hAnsi="Arial" w:cs="Arial"/>
          <w:bCs/>
          <w:color w:val="000000" w:themeColor="text1"/>
          <w:sz w:val="22"/>
          <w:lang w:eastAsia="es-CO"/>
        </w:rPr>
        <w:t xml:space="preserve">En este punto, como lo ha dicho la Corte Constitucional, </w:t>
      </w:r>
      <w:bookmarkStart w:id="61" w:name="_Hlk88476051"/>
      <w:r w:rsidRPr="009464D4">
        <w:rPr>
          <w:rFonts w:ascii="Arial" w:eastAsia="Times New Roman" w:hAnsi="Arial" w:cs="Arial"/>
          <w:bCs/>
          <w:color w:val="000000" w:themeColor="text1"/>
          <w:sz w:val="22"/>
          <w:lang w:eastAsia="es-CO"/>
        </w:rPr>
        <w:t>«[e]s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61"/>
      <w:r w:rsidRPr="009464D4">
        <w:rPr>
          <w:rFonts w:ascii="Arial" w:eastAsia="Times New Roman" w:hAnsi="Arial" w:cs="Arial"/>
          <w:bCs/>
          <w:color w:val="000000" w:themeColor="text1"/>
          <w:sz w:val="22"/>
          <w:lang w:eastAsia="es-CO"/>
        </w:rPr>
        <w:t>»</w:t>
      </w:r>
      <w:r w:rsidRPr="009464D4">
        <w:rPr>
          <w:rFonts w:ascii="Arial" w:eastAsia="Times New Roman" w:hAnsi="Arial" w:cs="Arial"/>
          <w:bCs/>
          <w:color w:val="000000" w:themeColor="text1"/>
          <w:sz w:val="22"/>
          <w:vertAlign w:val="superscript"/>
          <w:lang w:eastAsia="es-CO"/>
        </w:rPr>
        <w:footnoteReference w:id="58"/>
      </w:r>
      <w:r w:rsidRPr="009464D4">
        <w:rPr>
          <w:rFonts w:ascii="Arial" w:eastAsia="Times New Roman" w:hAnsi="Arial" w:cs="Arial"/>
          <w:bCs/>
          <w:color w:val="000000" w:themeColor="text1"/>
          <w:sz w:val="22"/>
          <w:lang w:eastAsia="es-CO"/>
        </w:rPr>
        <w:t>, lo que implica que la «actuación del funcionario competente, a nombre de la correspondiente entidad estatal, vincula a la Nación, al departamento o al municipio como persona jurídica»</w:t>
      </w:r>
      <w:r w:rsidRPr="009464D4">
        <w:rPr>
          <w:rFonts w:ascii="Arial" w:eastAsia="Times New Roman" w:hAnsi="Arial" w:cs="Arial"/>
          <w:bCs/>
          <w:color w:val="000000" w:themeColor="text1"/>
          <w:sz w:val="22"/>
          <w:vertAlign w:val="superscript"/>
          <w:lang w:eastAsia="es-CO"/>
        </w:rPr>
        <w:footnoteReference w:id="59"/>
      </w:r>
      <w:r w:rsidRPr="009464D4">
        <w:rPr>
          <w:rFonts w:ascii="Arial" w:eastAsia="Times New Roman" w:hAnsi="Arial" w:cs="Arial"/>
          <w:bCs/>
          <w:color w:val="000000" w:themeColor="text1"/>
          <w:sz w:val="22"/>
          <w:lang w:eastAsia="es-CO"/>
        </w:rPr>
        <w:t xml:space="preserve">, respectivamente.  </w:t>
      </w:r>
    </w:p>
    <w:p w14:paraId="46DFDBC7"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Por ejemplo, cuando la presidencia de la república, o un ministerio o departamento administrativo celebren contratos,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 Estos órganos si bien son parte del Estado, no lo son de la Nación, porque cuentan con personería distinta de esta.</w:t>
      </w:r>
    </w:p>
    <w:p w14:paraId="14FF40AE" w14:textId="6A105315"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Igualmente, en la estructura del Estado colombiano existen órganos que no pertenecen a la rama ejecutiva sino a las otras ramas del poder público </w:t>
      </w:r>
      <w:r w:rsidR="00F36275" w:rsidRPr="009464D4">
        <w:rPr>
          <w:rFonts w:ascii="Arial" w:eastAsia="Times New Roman" w:hAnsi="Arial" w:cs="Arial"/>
          <w:bCs/>
          <w:color w:val="000000" w:themeColor="text1"/>
          <w:sz w:val="22"/>
          <w:lang w:eastAsia="es-CO"/>
        </w:rPr>
        <w:t>–</w:t>
      </w:r>
      <w:r w:rsidRPr="009464D4">
        <w:rPr>
          <w:rFonts w:ascii="Arial" w:eastAsia="Times New Roman" w:hAnsi="Arial" w:cs="Arial"/>
          <w:bCs/>
          <w:color w:val="000000" w:themeColor="text1"/>
          <w:sz w:val="22"/>
          <w:lang w:eastAsia="es-CO"/>
        </w:rPr>
        <w:t>legislativa y judicial</w:t>
      </w:r>
      <w:r w:rsidR="00F36275" w:rsidRPr="009464D4">
        <w:rPr>
          <w:rFonts w:ascii="Arial" w:eastAsia="Times New Roman" w:hAnsi="Arial" w:cs="Arial"/>
          <w:bCs/>
          <w:color w:val="000000" w:themeColor="text1"/>
          <w:sz w:val="22"/>
          <w:lang w:eastAsia="es-CO"/>
        </w:rPr>
        <w:t>–</w:t>
      </w:r>
      <w:r w:rsidRPr="009464D4">
        <w:rPr>
          <w:rFonts w:ascii="Arial" w:eastAsia="Times New Roman" w:hAnsi="Arial" w:cs="Arial"/>
          <w:bCs/>
          <w:color w:val="000000" w:themeColor="text1"/>
          <w:sz w:val="22"/>
          <w:lang w:eastAsia="es-CO"/>
        </w:rPr>
        <w:t>, así como organismos autónomos e independientes para el cumplimiento de las demás funciones del Estado</w:t>
      </w:r>
      <w:r w:rsidRPr="009464D4">
        <w:rPr>
          <w:rFonts w:ascii="Arial" w:eastAsia="Times New Roman" w:hAnsi="Arial" w:cs="Arial"/>
          <w:bCs/>
          <w:color w:val="000000" w:themeColor="text1"/>
          <w:sz w:val="22"/>
          <w:vertAlign w:val="superscript"/>
          <w:lang w:eastAsia="es-CO"/>
        </w:rPr>
        <w:footnoteReference w:id="60"/>
      </w:r>
      <w:r w:rsidRPr="009464D4">
        <w:rPr>
          <w:rFonts w:ascii="Arial" w:eastAsia="Times New Roman" w:hAnsi="Arial" w:cs="Arial"/>
          <w:bCs/>
          <w:color w:val="000000" w:themeColor="text1"/>
          <w:sz w:val="22"/>
          <w:lang w:eastAsia="es-CO"/>
        </w:rPr>
        <w:t>, los cuales también hacen parte de la Nación y cuentan con capacidad jurídica para contratar, según las normas del EGCAP,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1F610F75" w14:textId="77777777" w:rsidR="005D7824" w:rsidRPr="009464D4" w:rsidRDefault="005D7824" w:rsidP="005D7824">
      <w:pPr>
        <w:shd w:val="clear" w:color="auto" w:fill="FFFFFF"/>
        <w:spacing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lastRenderedPageBreak/>
        <w:t>Con fundamento en todo lo dicho, la Agencia considera que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699AB07A" w14:textId="77777777" w:rsidR="005D7824" w:rsidRPr="009464D4" w:rsidRDefault="005D7824" w:rsidP="005D7824">
      <w:pPr>
        <w:shd w:val="clear" w:color="auto" w:fill="FFFFFF"/>
        <w:spacing w:line="276" w:lineRule="auto"/>
        <w:jc w:val="both"/>
        <w:rPr>
          <w:rFonts w:ascii="Arial" w:eastAsia="Times New Roman" w:hAnsi="Arial" w:cs="Arial"/>
          <w:bCs/>
          <w:color w:val="000000" w:themeColor="text1"/>
          <w:sz w:val="22"/>
          <w:lang w:eastAsia="es-CO"/>
        </w:rPr>
      </w:pPr>
    </w:p>
    <w:p w14:paraId="6E712244" w14:textId="77777777" w:rsidR="005D7824" w:rsidRPr="009464D4" w:rsidRDefault="005D7824" w:rsidP="005D7824">
      <w:pPr>
        <w:shd w:val="clear" w:color="auto" w:fill="FFFFFF"/>
        <w:spacing w:line="276" w:lineRule="auto"/>
        <w:jc w:val="both"/>
        <w:rPr>
          <w:rFonts w:ascii="Arial" w:eastAsia="Times New Roman" w:hAnsi="Arial" w:cs="Arial"/>
          <w:b/>
          <w:color w:val="000000" w:themeColor="text1"/>
          <w:sz w:val="22"/>
          <w:lang w:eastAsia="es-CO"/>
        </w:rPr>
      </w:pPr>
      <w:r w:rsidRPr="009464D4">
        <w:rPr>
          <w:rFonts w:ascii="Arial" w:eastAsia="Times New Roman" w:hAnsi="Arial" w:cs="Arial"/>
          <w:b/>
          <w:color w:val="000000" w:themeColor="text1"/>
          <w:sz w:val="22"/>
          <w:lang w:eastAsia="es-CO"/>
        </w:rPr>
        <w:t>2.5.1.3. Aspecto teleológico</w:t>
      </w:r>
    </w:p>
    <w:p w14:paraId="053C84C4" w14:textId="77777777" w:rsidR="005D7824" w:rsidRPr="009464D4" w:rsidRDefault="005D7824" w:rsidP="005D7824">
      <w:pPr>
        <w:shd w:val="clear" w:color="auto" w:fill="FFFFFF"/>
        <w:spacing w:line="276" w:lineRule="auto"/>
        <w:jc w:val="both"/>
        <w:rPr>
          <w:rFonts w:ascii="Arial" w:eastAsia="Times New Roman" w:hAnsi="Arial" w:cs="Arial"/>
          <w:bCs/>
          <w:color w:val="000000" w:themeColor="text1"/>
          <w:sz w:val="22"/>
          <w:lang w:eastAsia="es-CO"/>
        </w:rPr>
      </w:pPr>
    </w:p>
    <w:p w14:paraId="7DBE02A1" w14:textId="77777777" w:rsidR="005D7824" w:rsidRPr="009464D4" w:rsidRDefault="005D7824" w:rsidP="005D7824">
      <w:pPr>
        <w:shd w:val="clear" w:color="auto" w:fill="FFFFFF"/>
        <w:spacing w:after="120" w:line="276" w:lineRule="auto"/>
        <w:jc w:val="both"/>
        <w:rPr>
          <w:rFonts w:ascii="Arial" w:eastAsia="Times New Roman" w:hAnsi="Arial" w:cs="Arial"/>
          <w:bCs/>
          <w:color w:val="000000" w:themeColor="text1"/>
          <w:sz w:val="22"/>
          <w:lang w:eastAsia="es-CO"/>
        </w:rPr>
      </w:pPr>
      <w:r w:rsidRPr="009464D4">
        <w:rPr>
          <w:rFonts w:ascii="Arial" w:eastAsia="Times New Roman" w:hAnsi="Arial" w:cs="Arial"/>
          <w:color w:val="000000" w:themeColor="text1"/>
          <w:sz w:val="22"/>
          <w:lang w:val="es-CO" w:eastAsia="es-CO"/>
        </w:rPr>
        <w:t>En lo que respecta al elemento teleológico o material de la reforma incluida en el artículo 124 de la ley 2159 de 2021, consistente en que los convenios sean celebrados con el fin de ejecutar programas o proyectos que correspondan al Presupuesto General de la Nación, esta Agencia estima, partiendo de las consideraciones contenidas en el acápite 2.5. del presente concepto y dados en relación con la estructura y contenido de la ley anual del presupuesto general de la Nación,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7D77D9DD" w14:textId="40219491"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Como corolario de todo lo anterior, se concluye que </w:t>
      </w:r>
      <w:bookmarkStart w:id="62" w:name="_Hlk88202117"/>
      <w:r w:rsidRPr="009464D4">
        <w:rPr>
          <w:rFonts w:ascii="Arial" w:eastAsia="Times New Roman" w:hAnsi="Arial" w:cs="Arial"/>
          <w:bCs/>
          <w:color w:val="000000" w:themeColor="text1"/>
          <w:sz w:val="22"/>
          <w:lang w:eastAsia="es-CO"/>
        </w:rPr>
        <w:t>la Ley 2159 de 2021 –Ley del Presupuesto– modificó parcial y transitoriamente el parágrafo del artículo 38 de la Ley 996 de 2005, en aspectos temporales, subjetivos, materiales o teleológicos y procedimentales o de control</w:t>
      </w:r>
      <w:r w:rsidR="00F36275" w:rsidRPr="009464D4">
        <w:rPr>
          <w:rFonts w:ascii="Arial" w:eastAsia="Times New Roman" w:hAnsi="Arial" w:cs="Arial"/>
          <w:bCs/>
          <w:color w:val="000000" w:themeColor="text1"/>
          <w:sz w:val="22"/>
          <w:lang w:eastAsia="es-CO"/>
        </w:rPr>
        <w:t>.</w:t>
      </w:r>
      <w:r w:rsidRPr="009464D4">
        <w:rPr>
          <w:rFonts w:ascii="Arial" w:eastAsia="Times New Roman" w:hAnsi="Arial" w:cs="Arial"/>
          <w:bCs/>
          <w:color w:val="000000" w:themeColor="text1"/>
          <w:sz w:val="22"/>
          <w:lang w:eastAsia="es-CO"/>
        </w:rPr>
        <w:t xml:space="preserve"> </w:t>
      </w:r>
      <w:r w:rsidR="00F36275" w:rsidRPr="009464D4">
        <w:rPr>
          <w:rFonts w:ascii="Arial" w:eastAsia="Times New Roman" w:hAnsi="Arial" w:cs="Arial"/>
          <w:bCs/>
          <w:color w:val="000000" w:themeColor="text1"/>
          <w:sz w:val="22"/>
          <w:lang w:eastAsia="es-CO"/>
        </w:rPr>
        <w:t>E</w:t>
      </w:r>
      <w:r w:rsidRPr="009464D4">
        <w:rPr>
          <w:rFonts w:ascii="Arial" w:eastAsia="Times New Roman" w:hAnsi="Arial" w:cs="Arial"/>
          <w:bCs/>
          <w:color w:val="000000" w:themeColor="text1"/>
          <w:sz w:val="22"/>
          <w:lang w:eastAsia="es-CO"/>
        </w:rPr>
        <w:t xml:space="preserve">n particular, suspende la prohibición de celebración de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79EDEB64" w14:textId="3F1177DE"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Es de anotar, por ser relevante para </w:t>
      </w:r>
      <w:r w:rsidR="00F36275" w:rsidRPr="009464D4">
        <w:rPr>
          <w:rFonts w:ascii="Arial" w:eastAsia="Times New Roman" w:hAnsi="Arial" w:cs="Arial"/>
          <w:bCs/>
          <w:color w:val="000000" w:themeColor="text1"/>
          <w:sz w:val="22"/>
          <w:lang w:eastAsia="es-CO"/>
        </w:rPr>
        <w:t>el asunto que se analiza</w:t>
      </w:r>
      <w:r w:rsidRPr="009464D4">
        <w:rPr>
          <w:rFonts w:ascii="Arial" w:eastAsia="Times New Roman" w:hAnsi="Arial" w:cs="Arial"/>
          <w:bCs/>
          <w:color w:val="000000" w:themeColor="text1"/>
          <w:sz w:val="22"/>
          <w:lang w:eastAsia="es-CO"/>
        </w:rPr>
        <w:t>, que la modificación de la ley del Presupuesto opera, únicamente, frente al parágrafo del artículo 38, y no en relación con la prohibici</w:t>
      </w:r>
      <w:r w:rsidR="00F36275" w:rsidRPr="009464D4">
        <w:rPr>
          <w:rFonts w:ascii="Arial" w:eastAsia="Times New Roman" w:hAnsi="Arial" w:cs="Arial"/>
          <w:bCs/>
          <w:color w:val="000000" w:themeColor="text1"/>
          <w:sz w:val="22"/>
          <w:lang w:eastAsia="es-CO"/>
        </w:rPr>
        <w:t>ón</w:t>
      </w:r>
      <w:r w:rsidRPr="009464D4">
        <w:rPr>
          <w:rFonts w:ascii="Arial" w:eastAsia="Times New Roman" w:hAnsi="Arial" w:cs="Arial"/>
          <w:bCs/>
          <w:color w:val="000000" w:themeColor="text1"/>
          <w:sz w:val="22"/>
          <w:lang w:eastAsia="es-CO"/>
        </w:rPr>
        <w:t xml:space="preserve"> del artículo 33 que, como se dijo, resultan ser distintas, aunque concurrentes, </w:t>
      </w:r>
      <w:r w:rsidR="00743B7F" w:rsidRPr="009464D4">
        <w:rPr>
          <w:rFonts w:ascii="Arial" w:eastAsia="Times New Roman" w:hAnsi="Arial" w:cs="Arial"/>
          <w:bCs/>
          <w:color w:val="000000" w:themeColor="text1"/>
          <w:sz w:val="22"/>
          <w:lang w:eastAsia="es-CO"/>
        </w:rPr>
        <w:t>con</w:t>
      </w:r>
      <w:r w:rsidRPr="009464D4">
        <w:rPr>
          <w:rFonts w:ascii="Arial" w:eastAsia="Times New Roman" w:hAnsi="Arial" w:cs="Arial"/>
          <w:bCs/>
          <w:color w:val="000000" w:themeColor="text1"/>
          <w:sz w:val="22"/>
          <w:lang w:eastAsia="es-CO"/>
        </w:rPr>
        <w:t xml:space="preserve"> las del parágrafo, por lo cual, las restricciones a la contratación directa dentro del período preelectoral presidencial y vicepresidencial se mantienen invariables a partir de la publicación de la Ley del Presupuesto.</w:t>
      </w:r>
    </w:p>
    <w:bookmarkEnd w:id="62"/>
    <w:p w14:paraId="376C6220" w14:textId="5C89E985"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En efecto, la Agencia advierte que para el año 2022 están programadas las elecciones para elegir miembros del Congreso de la República, así como las jornadas para la elección del </w:t>
      </w:r>
      <w:proofErr w:type="gramStart"/>
      <w:r w:rsidRPr="009464D4">
        <w:rPr>
          <w:rFonts w:ascii="Arial" w:eastAsia="Times New Roman" w:hAnsi="Arial" w:cs="Arial"/>
          <w:bCs/>
          <w:color w:val="000000" w:themeColor="text1"/>
          <w:sz w:val="22"/>
          <w:lang w:eastAsia="es-CO"/>
        </w:rPr>
        <w:t>Presidente</w:t>
      </w:r>
      <w:proofErr w:type="gramEnd"/>
      <w:r w:rsidRPr="009464D4">
        <w:rPr>
          <w:rFonts w:ascii="Arial" w:eastAsia="Times New Roman" w:hAnsi="Arial" w:cs="Arial"/>
          <w:bCs/>
          <w:color w:val="000000" w:themeColor="text1"/>
          <w:sz w:val="22"/>
          <w:lang w:eastAsia="es-CO"/>
        </w:rPr>
        <w:t xml:space="preserve"> y Vicepresidente de la República. Las primeras para el domingo </w:t>
      </w:r>
      <w:r w:rsidRPr="009464D4">
        <w:rPr>
          <w:rFonts w:ascii="Arial" w:eastAsia="Times New Roman" w:hAnsi="Arial" w:cs="Arial"/>
          <w:bCs/>
          <w:color w:val="000000" w:themeColor="text1"/>
          <w:sz w:val="22"/>
          <w:lang w:eastAsia="es-CO"/>
        </w:rPr>
        <w:lastRenderedPageBreak/>
        <w:t>13 de marzo de 2022</w:t>
      </w:r>
      <w:r w:rsidRPr="009464D4">
        <w:rPr>
          <w:rFonts w:ascii="Arial" w:eastAsia="Times New Roman" w:hAnsi="Arial" w:cs="Arial"/>
          <w:bCs/>
          <w:color w:val="000000" w:themeColor="text1"/>
          <w:sz w:val="22"/>
          <w:vertAlign w:val="superscript"/>
          <w:lang w:eastAsia="es-CO"/>
        </w:rPr>
        <w:footnoteReference w:id="61"/>
      </w:r>
      <w:r w:rsidRPr="009464D4">
        <w:rPr>
          <w:rFonts w:ascii="Arial" w:eastAsia="Times New Roman" w:hAnsi="Arial" w:cs="Arial"/>
          <w:bCs/>
          <w:color w:val="000000" w:themeColor="text1"/>
          <w:sz w:val="22"/>
          <w:lang w:eastAsia="es-CO"/>
        </w:rPr>
        <w:t xml:space="preserve"> y las segundas para el 29 de mayo del mismo año</w:t>
      </w:r>
      <w:r w:rsidRPr="009464D4">
        <w:rPr>
          <w:rFonts w:ascii="Arial" w:eastAsia="Times New Roman" w:hAnsi="Arial" w:cs="Arial"/>
          <w:bCs/>
          <w:color w:val="000000" w:themeColor="text1"/>
          <w:sz w:val="22"/>
          <w:vertAlign w:val="superscript"/>
          <w:lang w:eastAsia="es-CO"/>
        </w:rPr>
        <w:footnoteReference w:id="62"/>
      </w:r>
      <w:r w:rsidRPr="009464D4">
        <w:rPr>
          <w:rFonts w:ascii="Arial" w:eastAsia="Times New Roman" w:hAnsi="Arial" w:cs="Arial"/>
          <w:bCs/>
          <w:color w:val="000000" w:themeColor="text1"/>
          <w:sz w:val="22"/>
          <w:lang w:eastAsia="es-CO"/>
        </w:rPr>
        <w:t>, respectivamente, de manera que resulta palmario que el periodo preelectoral de restricción de cuatro meses anteriores a la correspondiente elección de que tratan los artículos 33 y 38 de la Ley 996</w:t>
      </w:r>
      <w:r w:rsidR="00743B7F" w:rsidRPr="009464D4">
        <w:rPr>
          <w:rFonts w:ascii="Arial" w:eastAsia="Times New Roman" w:hAnsi="Arial" w:cs="Arial"/>
          <w:bCs/>
          <w:color w:val="000000" w:themeColor="text1"/>
          <w:sz w:val="22"/>
          <w:lang w:eastAsia="es-CO"/>
        </w:rPr>
        <w:t xml:space="preserve"> de 2005</w:t>
      </w:r>
      <w:r w:rsidRPr="009464D4">
        <w:rPr>
          <w:rFonts w:ascii="Arial" w:eastAsia="Times New Roman" w:hAnsi="Arial" w:cs="Arial"/>
          <w:bCs/>
          <w:color w:val="000000" w:themeColor="text1"/>
          <w:sz w:val="22"/>
          <w:lang w:eastAsia="es-CO"/>
        </w:rPr>
        <w:t xml:space="preserve">, coincidirán parcialmente. En este sentido, las prohibiciones para la contratación directa y para la celebración de convenios y contratos interadministrativos concurren durante la coincidencia de periodos preelectorales. </w:t>
      </w:r>
    </w:p>
    <w:p w14:paraId="53FD36C5" w14:textId="66C038A1"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Así, durante el periodo preelectoral de elección al Congreso de la República aplica, únicamente, la prohibición del parágrafo </w:t>
      </w:r>
      <w:r w:rsidR="00743B7F" w:rsidRPr="009464D4">
        <w:rPr>
          <w:rFonts w:ascii="Arial" w:eastAsia="Times New Roman" w:hAnsi="Arial" w:cs="Arial"/>
          <w:bCs/>
          <w:color w:val="000000" w:themeColor="text1"/>
          <w:sz w:val="22"/>
          <w:lang w:eastAsia="es-CO"/>
        </w:rPr>
        <w:t xml:space="preserve">del artículo </w:t>
      </w:r>
      <w:r w:rsidRPr="009464D4">
        <w:rPr>
          <w:rFonts w:ascii="Arial" w:eastAsia="Times New Roman" w:hAnsi="Arial" w:cs="Arial"/>
          <w:bCs/>
          <w:color w:val="000000" w:themeColor="text1"/>
          <w:sz w:val="22"/>
          <w:lang w:eastAsia="es-CO"/>
        </w:rPr>
        <w:t>38</w:t>
      </w:r>
      <w:r w:rsidR="00743B7F" w:rsidRPr="009464D4">
        <w:rPr>
          <w:rFonts w:ascii="Arial" w:eastAsia="Times New Roman" w:hAnsi="Arial" w:cs="Arial"/>
          <w:bCs/>
          <w:color w:val="000000" w:themeColor="text1"/>
          <w:sz w:val="22"/>
          <w:lang w:eastAsia="es-CO"/>
        </w:rPr>
        <w:t>;</w:t>
      </w:r>
      <w:r w:rsidRPr="009464D4">
        <w:rPr>
          <w:rFonts w:ascii="Arial" w:eastAsia="Times New Roman" w:hAnsi="Arial" w:cs="Arial"/>
          <w:bCs/>
          <w:color w:val="000000" w:themeColor="text1"/>
          <w:sz w:val="22"/>
          <w:lang w:eastAsia="es-CO"/>
        </w:rPr>
        <w:t xml:space="preserve"> sin embargo, una vez inicie el periodo preelectoral para la elección de </w:t>
      </w:r>
      <w:proofErr w:type="gramStart"/>
      <w:r w:rsidRPr="009464D4">
        <w:rPr>
          <w:rFonts w:ascii="Arial" w:eastAsia="Times New Roman" w:hAnsi="Arial" w:cs="Arial"/>
          <w:bCs/>
          <w:color w:val="000000" w:themeColor="text1"/>
          <w:sz w:val="22"/>
          <w:lang w:eastAsia="es-CO"/>
        </w:rPr>
        <w:t>Presidente</w:t>
      </w:r>
      <w:proofErr w:type="gramEnd"/>
      <w:r w:rsidRPr="009464D4">
        <w:rPr>
          <w:rFonts w:ascii="Arial" w:eastAsia="Times New Roman" w:hAnsi="Arial" w:cs="Arial"/>
          <w:bCs/>
          <w:color w:val="000000" w:themeColor="text1"/>
          <w:sz w:val="22"/>
          <w:lang w:eastAsia="es-CO"/>
        </w:rPr>
        <w:t xml:space="preserve"> y Vicepresidente, deberán ser aplicadas ambas restricciones, es decir, la del parágrafo del artículo 38 y la del artículo 33 de la Ley de Garantías. En este punto, atendiendo a la modificación parcial del parágrafo del artículo 38 realizada por la Ley del Presupuesto, cabría preguntarse c</w:t>
      </w:r>
      <w:r w:rsidR="00743B7F" w:rsidRPr="009464D4">
        <w:rPr>
          <w:rFonts w:ascii="Arial" w:eastAsia="Times New Roman" w:hAnsi="Arial" w:cs="Arial"/>
          <w:bCs/>
          <w:color w:val="000000" w:themeColor="text1"/>
          <w:sz w:val="22"/>
          <w:lang w:eastAsia="es-CO"/>
        </w:rPr>
        <w:t>ó</w:t>
      </w:r>
      <w:r w:rsidRPr="009464D4">
        <w:rPr>
          <w:rFonts w:ascii="Arial" w:eastAsia="Times New Roman" w:hAnsi="Arial" w:cs="Arial"/>
          <w:bCs/>
          <w:color w:val="000000" w:themeColor="text1"/>
          <w:sz w:val="22"/>
          <w:lang w:eastAsia="es-CO"/>
        </w:rPr>
        <w:t xml:space="preserve">mo se aplicarían las prohibiciones mencionadas. </w:t>
      </w:r>
    </w:p>
    <w:p w14:paraId="342B18E8" w14:textId="77777777"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En opinión de esta Agencia, con el fin de armonizar los textos de los artículos comentados, luego de la modificación realizada por la Ley del Presupuesto, en el evento mencionado en el párrafo anterior se podrán celebrar convenios y contratos interadministrativos, de acuerdo con el parágrafo del artículo 38, siempre y cuando estos se lleven a cabo a través de modalidades de selección que impliquen convocatoria pública y, además, por virtud del artículo 124 de la Ley del Presupuesto cuando dichos contratos y convenios sean suscritos entre entidades del orden nacional y territorial. No sucederá lo mismo cuando sean celebrados entre entidades del orden territorial, en cuyo caso aplicará la prohibición plena sin la modificación en mención. Esto por cuanto, se insiste, la prohibición del artículo 33 de la Ley de Garantías permanece incólume ante la expedición de la Ley del Presupuesto. </w:t>
      </w:r>
    </w:p>
    <w:p w14:paraId="746740FD" w14:textId="58368E3E" w:rsidR="005D7824" w:rsidRPr="009464D4" w:rsidRDefault="005D7824" w:rsidP="005D7824">
      <w:pPr>
        <w:shd w:val="clear" w:color="auto" w:fill="FFFFFF"/>
        <w:spacing w:after="120"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Por ende, </w:t>
      </w:r>
      <w:r w:rsidR="00743B7F" w:rsidRPr="009464D4">
        <w:rPr>
          <w:rFonts w:ascii="Arial" w:eastAsia="Times New Roman" w:hAnsi="Arial" w:cs="Arial"/>
          <w:bCs/>
          <w:color w:val="000000" w:themeColor="text1"/>
          <w:sz w:val="22"/>
          <w:lang w:eastAsia="es-CO"/>
        </w:rPr>
        <w:t>dentro d</w:t>
      </w:r>
      <w:r w:rsidRPr="009464D4">
        <w:rPr>
          <w:rFonts w:ascii="Arial" w:eastAsia="Times New Roman" w:hAnsi="Arial" w:cs="Arial"/>
          <w:bCs/>
          <w:color w:val="000000" w:themeColor="text1"/>
          <w:sz w:val="22"/>
          <w:lang w:eastAsia="es-CO"/>
        </w:rPr>
        <w:t>el periodo preelectoral de las elecciones presidenciales, se deberá aplica</w:t>
      </w:r>
      <w:r w:rsidR="00743B7F" w:rsidRPr="009464D4">
        <w:rPr>
          <w:rFonts w:ascii="Arial" w:eastAsia="Times New Roman" w:hAnsi="Arial" w:cs="Arial"/>
          <w:bCs/>
          <w:color w:val="000000" w:themeColor="text1"/>
          <w:sz w:val="22"/>
          <w:lang w:eastAsia="es-CO"/>
        </w:rPr>
        <w:t>r</w:t>
      </w:r>
      <w:r w:rsidRPr="009464D4">
        <w:rPr>
          <w:rFonts w:ascii="Arial" w:eastAsia="Times New Roman" w:hAnsi="Arial" w:cs="Arial"/>
          <w:bCs/>
          <w:color w:val="000000" w:themeColor="text1"/>
          <w:sz w:val="22"/>
          <w:lang w:eastAsia="es-CO"/>
        </w:rPr>
        <w:t xml:space="preserve"> la prohibición para la contratación directa contenida en el artículo 33 de la Ley de Garantías, así como a la prohibición del parágrafo del artículo 38 que, como se dijo, resulta aplicable a todo tipo de elección popular. </w:t>
      </w:r>
    </w:p>
    <w:p w14:paraId="38351967" w14:textId="77777777" w:rsidR="005D7824" w:rsidRPr="009464D4" w:rsidRDefault="005D7824" w:rsidP="005D7824">
      <w:pPr>
        <w:shd w:val="clear" w:color="auto" w:fill="FFFFFF"/>
        <w:spacing w:line="276" w:lineRule="auto"/>
        <w:ind w:firstLine="708"/>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 xml:space="preserve">En tal sentido, dentro de los cuatro meses anteriores a las elecciones de presidente y vicepresidente de la república no se podrán celebrar convenios y contratos interadministrativos a través de contratación directa, y solo podrán ser suscritos a través de mecanismos de selección que impliquen convocatoria pública y, además, siempre que se cumplan con los requisitos establecidos en el artículo 124 de la Ley 2159 de 2021. </w:t>
      </w:r>
    </w:p>
    <w:p w14:paraId="2DD1C45C" w14:textId="77777777" w:rsidR="005D7824" w:rsidRPr="009464D4" w:rsidRDefault="005D7824" w:rsidP="005D7824">
      <w:pPr>
        <w:shd w:val="clear" w:color="auto" w:fill="FFFFFF"/>
        <w:spacing w:line="276" w:lineRule="auto"/>
        <w:jc w:val="both"/>
        <w:rPr>
          <w:rFonts w:ascii="Arial" w:eastAsia="Times New Roman" w:hAnsi="Arial" w:cs="Arial"/>
          <w:color w:val="000000" w:themeColor="text1"/>
          <w:sz w:val="22"/>
          <w:lang w:val="es-ES_tradnl" w:eastAsia="es-CO"/>
        </w:rPr>
      </w:pPr>
    </w:p>
    <w:p w14:paraId="6366C3B4" w14:textId="77777777" w:rsidR="005D7824" w:rsidRPr="009464D4" w:rsidRDefault="005D7824" w:rsidP="005D7824">
      <w:pPr>
        <w:tabs>
          <w:tab w:val="left" w:pos="284"/>
        </w:tabs>
        <w:spacing w:line="276" w:lineRule="auto"/>
        <w:jc w:val="both"/>
        <w:rPr>
          <w:rFonts w:ascii="Arial" w:eastAsia="Calibri" w:hAnsi="Arial" w:cs="Arial"/>
          <w:b/>
          <w:color w:val="000000" w:themeColor="text1"/>
          <w:sz w:val="22"/>
          <w:lang w:val="es-CO"/>
        </w:rPr>
      </w:pPr>
      <w:r w:rsidRPr="009464D4">
        <w:rPr>
          <w:rFonts w:ascii="Arial" w:eastAsia="Calibri" w:hAnsi="Arial" w:cs="Arial"/>
          <w:b/>
          <w:color w:val="000000" w:themeColor="text1"/>
          <w:sz w:val="22"/>
          <w:lang w:val="es-CO"/>
        </w:rPr>
        <w:lastRenderedPageBreak/>
        <w:t>4. Respuesta</w:t>
      </w:r>
    </w:p>
    <w:p w14:paraId="786EB8C3" w14:textId="77777777" w:rsidR="005D7824" w:rsidRPr="009464D4" w:rsidRDefault="005D7824" w:rsidP="005D7824">
      <w:pPr>
        <w:tabs>
          <w:tab w:val="left" w:pos="284"/>
        </w:tabs>
        <w:spacing w:line="276" w:lineRule="auto"/>
        <w:jc w:val="both"/>
        <w:rPr>
          <w:rFonts w:ascii="Arial" w:eastAsia="Calibri" w:hAnsi="Arial" w:cs="Arial"/>
          <w:b/>
          <w:color w:val="000000" w:themeColor="text1"/>
          <w:sz w:val="22"/>
          <w:lang w:val="es-CO"/>
        </w:rPr>
      </w:pPr>
    </w:p>
    <w:p w14:paraId="4AB31204" w14:textId="3CF9465C" w:rsidR="005D7824" w:rsidRPr="009464D4" w:rsidRDefault="009C23A2" w:rsidP="005D7824">
      <w:pPr>
        <w:ind w:left="709" w:right="567"/>
        <w:jc w:val="both"/>
        <w:rPr>
          <w:rFonts w:ascii="Arial" w:eastAsia="Times New Roman" w:hAnsi="Arial" w:cs="Arial"/>
          <w:color w:val="000000" w:themeColor="text1"/>
          <w:sz w:val="21"/>
          <w:szCs w:val="21"/>
          <w:lang w:val="es-CO" w:eastAsia="es-ES_tradnl"/>
        </w:rPr>
      </w:pPr>
      <w:r w:rsidRPr="009464D4">
        <w:rPr>
          <w:rFonts w:ascii="Arial" w:eastAsia="Times New Roman" w:hAnsi="Arial" w:cs="Arial"/>
          <w:color w:val="000000" w:themeColor="text1"/>
          <w:sz w:val="21"/>
          <w:szCs w:val="21"/>
          <w:lang w:val="es-CO" w:eastAsia="es-ES_tradnl"/>
        </w:rPr>
        <w:t xml:space="preserve">¿Puede una entidad territorial (alcaldía) celebrar contrato y/o convenio interadministrativo con una asociación de municipio o con otra entidad </w:t>
      </w:r>
      <w:proofErr w:type="spellStart"/>
      <w:r w:rsidRPr="009464D4">
        <w:rPr>
          <w:rFonts w:ascii="Arial" w:eastAsia="Times New Roman" w:hAnsi="Arial" w:cs="Arial"/>
          <w:color w:val="000000" w:themeColor="text1"/>
          <w:sz w:val="21"/>
          <w:szCs w:val="21"/>
          <w:lang w:val="es-CO" w:eastAsia="es-ES_tradnl"/>
        </w:rPr>
        <w:t>territoria</w:t>
      </w:r>
      <w:proofErr w:type="spellEnd"/>
      <w:r w:rsidRPr="009464D4">
        <w:rPr>
          <w:rFonts w:ascii="Arial" w:eastAsia="Times New Roman" w:hAnsi="Arial" w:cs="Arial"/>
          <w:color w:val="000000" w:themeColor="text1"/>
          <w:sz w:val="21"/>
          <w:szCs w:val="21"/>
          <w:lang w:val="es-CO" w:eastAsia="es-ES_tradnl"/>
        </w:rPr>
        <w:t>[l], en vigencia de la Ley 2159 de 2021?</w:t>
      </w:r>
      <w:r w:rsidR="005D7824" w:rsidRPr="009464D4">
        <w:rPr>
          <w:rFonts w:ascii="Arial" w:eastAsia="Times New Roman" w:hAnsi="Arial" w:cs="Arial"/>
          <w:color w:val="000000" w:themeColor="text1"/>
          <w:sz w:val="21"/>
          <w:szCs w:val="21"/>
          <w:lang w:val="es-CO" w:eastAsia="es-ES_tradnl"/>
        </w:rPr>
        <w:t xml:space="preserve"> </w:t>
      </w:r>
    </w:p>
    <w:p w14:paraId="52C702FC" w14:textId="77777777" w:rsidR="005D7824" w:rsidRPr="009464D4" w:rsidRDefault="005D7824" w:rsidP="005D7824">
      <w:pPr>
        <w:spacing w:line="276" w:lineRule="auto"/>
        <w:jc w:val="both"/>
        <w:rPr>
          <w:rFonts w:ascii="Arial" w:eastAsiaTheme="minorHAnsi" w:hAnsi="Arial" w:cs="Arial"/>
          <w:color w:val="000000" w:themeColor="text1"/>
          <w:sz w:val="22"/>
          <w:lang w:val="es-CO" w:eastAsia="es-ES_tradnl"/>
        </w:rPr>
      </w:pPr>
    </w:p>
    <w:p w14:paraId="0602C485" w14:textId="01EFB65C" w:rsidR="009C23A2" w:rsidRPr="009464D4" w:rsidRDefault="009C23A2" w:rsidP="005D7824">
      <w:pPr>
        <w:spacing w:after="120" w:line="276" w:lineRule="auto"/>
        <w:jc w:val="both"/>
        <w:rPr>
          <w:rFonts w:ascii="Arial" w:eastAsia="Times New Roman" w:hAnsi="Arial" w:cs="Arial"/>
          <w:bCs/>
          <w:color w:val="000000" w:themeColor="text1"/>
          <w:sz w:val="22"/>
          <w:lang w:eastAsia="es-CO"/>
        </w:rPr>
      </w:pPr>
      <w:r w:rsidRPr="009464D4">
        <w:rPr>
          <w:rFonts w:ascii="Arial" w:eastAsiaTheme="minorHAnsi" w:hAnsi="Arial" w:cs="Arial"/>
          <w:color w:val="000000" w:themeColor="text1"/>
          <w:sz w:val="22"/>
          <w:lang w:eastAsia="es-ES_tradnl"/>
        </w:rPr>
        <w:t xml:space="preserve">De acuerdo con las consideraciones de este concepto, </w:t>
      </w:r>
      <w:r w:rsidRPr="009464D4">
        <w:rPr>
          <w:rFonts w:ascii="Arial" w:eastAsia="Times New Roman" w:hAnsi="Arial" w:cs="Arial"/>
          <w:color w:val="000000" w:themeColor="text1"/>
          <w:sz w:val="22"/>
          <w:lang w:val="es-CO" w:eastAsia="es-CO"/>
        </w:rPr>
        <w:t>el artículo 124 de la Ley 2159 de 2021 realiza una modificación parcial y temporal a la prohibición establecida en el parágrafo del artículo 38 de la Ley de Garantías Electorales</w:t>
      </w:r>
      <w:r w:rsidR="00C334DB" w:rsidRPr="009464D4">
        <w:rPr>
          <w:rFonts w:ascii="Arial" w:eastAsia="Times New Roman" w:hAnsi="Arial" w:cs="Arial"/>
          <w:color w:val="000000" w:themeColor="text1"/>
          <w:sz w:val="22"/>
          <w:lang w:val="es-CO" w:eastAsia="es-CO"/>
        </w:rPr>
        <w:t>.</w:t>
      </w:r>
      <w:r w:rsidRPr="009464D4">
        <w:rPr>
          <w:rFonts w:ascii="Arial" w:eastAsia="Times New Roman" w:hAnsi="Arial" w:cs="Arial"/>
          <w:color w:val="000000" w:themeColor="text1"/>
          <w:sz w:val="22"/>
          <w:lang w:val="es-CO" w:eastAsia="es-CO"/>
        </w:rPr>
        <w:t xml:space="preserve"> </w:t>
      </w:r>
      <w:r w:rsidR="00C334DB" w:rsidRPr="009464D4">
        <w:rPr>
          <w:rFonts w:ascii="Arial" w:eastAsia="Times New Roman" w:hAnsi="Arial" w:cs="Arial"/>
          <w:color w:val="000000" w:themeColor="text1"/>
          <w:sz w:val="22"/>
          <w:lang w:val="es-CO" w:eastAsia="es-CO"/>
        </w:rPr>
        <w:t>S</w:t>
      </w:r>
      <w:r w:rsidRPr="009464D4">
        <w:rPr>
          <w:rFonts w:ascii="Arial" w:eastAsia="Times New Roman" w:hAnsi="Arial" w:cs="Arial"/>
          <w:color w:val="000000" w:themeColor="text1"/>
          <w:sz w:val="22"/>
          <w:lang w:val="es-CO" w:eastAsia="es-CO"/>
        </w:rPr>
        <w:t xml:space="preserve">in embargo, como se señaló en el numeral 2.5 de este concepto, su aplicación está </w:t>
      </w:r>
      <w:r w:rsidR="00686593" w:rsidRPr="009464D4">
        <w:rPr>
          <w:rFonts w:ascii="Arial" w:eastAsia="Times New Roman" w:hAnsi="Arial" w:cs="Arial"/>
          <w:color w:val="000000" w:themeColor="text1"/>
          <w:sz w:val="22"/>
          <w:lang w:val="es-CO" w:eastAsia="es-CO"/>
        </w:rPr>
        <w:t>sujeta</w:t>
      </w:r>
      <w:r w:rsidRPr="009464D4">
        <w:rPr>
          <w:rFonts w:ascii="Arial" w:eastAsia="Times New Roman" w:hAnsi="Arial" w:cs="Arial"/>
          <w:color w:val="000000" w:themeColor="text1"/>
          <w:sz w:val="22"/>
          <w:lang w:val="es-CO" w:eastAsia="es-CO"/>
        </w:rPr>
        <w:t xml:space="preserve"> a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w:t>
      </w:r>
      <w:proofErr w:type="spellStart"/>
      <w:r w:rsidRPr="009464D4">
        <w:rPr>
          <w:rFonts w:ascii="Arial" w:eastAsia="Times New Roman" w:hAnsi="Arial" w:cs="Arial"/>
          <w:color w:val="000000" w:themeColor="text1"/>
          <w:sz w:val="22"/>
          <w:lang w:val="es-CO" w:eastAsia="es-CO"/>
        </w:rPr>
        <w:t>ii</w:t>
      </w:r>
      <w:proofErr w:type="spellEnd"/>
      <w:r w:rsidRPr="009464D4">
        <w:rPr>
          <w:rFonts w:ascii="Arial" w:eastAsia="Times New Roman" w:hAnsi="Arial" w:cs="Arial"/>
          <w:color w:val="000000" w:themeColor="text1"/>
          <w:sz w:val="22"/>
          <w:lang w:val="es-CO" w:eastAsia="es-CO"/>
        </w:rPr>
        <w:t xml:space="preserve">) que sean celebrados entre la Nación, por una parte, y las entidades territoriales, por otra, y </w:t>
      </w:r>
      <w:proofErr w:type="spellStart"/>
      <w:r w:rsidRPr="009464D4">
        <w:rPr>
          <w:rFonts w:ascii="Arial" w:eastAsia="Times New Roman" w:hAnsi="Arial" w:cs="Arial"/>
          <w:color w:val="000000" w:themeColor="text1"/>
          <w:sz w:val="22"/>
          <w:lang w:val="es-CO" w:eastAsia="es-CO"/>
        </w:rPr>
        <w:t>iii</w:t>
      </w:r>
      <w:proofErr w:type="spellEnd"/>
      <w:r w:rsidRPr="009464D4">
        <w:rPr>
          <w:rFonts w:ascii="Arial" w:eastAsia="Times New Roman" w:hAnsi="Arial" w:cs="Arial"/>
          <w:color w:val="000000" w:themeColor="text1"/>
          <w:sz w:val="22"/>
          <w:lang w:val="es-CO" w:eastAsia="es-CO"/>
        </w:rPr>
        <w:t xml:space="preserve">) que los convenios sean celebrados con el fin de ejecutar programas o proyectos que correspondan al Presupuesto General de la Nación. </w:t>
      </w:r>
    </w:p>
    <w:p w14:paraId="0EA82A8A" w14:textId="0D5DC61B" w:rsidR="009C23A2" w:rsidRPr="009464D4" w:rsidRDefault="009C23A2" w:rsidP="005D7824">
      <w:pPr>
        <w:spacing w:after="120" w:line="276" w:lineRule="auto"/>
        <w:jc w:val="both"/>
        <w:rPr>
          <w:rFonts w:ascii="Arial" w:eastAsia="Times New Roman" w:hAnsi="Arial" w:cs="Arial"/>
          <w:bCs/>
          <w:color w:val="000000" w:themeColor="text1"/>
          <w:sz w:val="22"/>
          <w:lang w:eastAsia="es-CO"/>
        </w:rPr>
      </w:pPr>
      <w:r w:rsidRPr="009464D4">
        <w:rPr>
          <w:rFonts w:ascii="Arial" w:eastAsia="Times New Roman" w:hAnsi="Arial" w:cs="Arial"/>
          <w:bCs/>
          <w:color w:val="000000" w:themeColor="text1"/>
          <w:sz w:val="22"/>
          <w:lang w:eastAsia="es-CO"/>
        </w:rPr>
        <w:tab/>
        <w:t>Ahora bien, atendiendo a la consulta del peticionario, resulta evidente que el supuesto planteado no se enmarca en la excepción del artículo 12</w:t>
      </w:r>
      <w:r w:rsidR="00686593" w:rsidRPr="009464D4">
        <w:rPr>
          <w:rFonts w:ascii="Arial" w:eastAsia="Times New Roman" w:hAnsi="Arial" w:cs="Arial"/>
          <w:bCs/>
          <w:color w:val="000000" w:themeColor="text1"/>
          <w:sz w:val="22"/>
          <w:lang w:eastAsia="es-CO"/>
        </w:rPr>
        <w:t>4</w:t>
      </w:r>
      <w:r w:rsidRPr="009464D4">
        <w:rPr>
          <w:rFonts w:ascii="Arial" w:eastAsia="Times New Roman" w:hAnsi="Arial" w:cs="Arial"/>
          <w:bCs/>
          <w:color w:val="000000" w:themeColor="text1"/>
          <w:sz w:val="22"/>
          <w:lang w:eastAsia="es-CO"/>
        </w:rPr>
        <w:t xml:space="preserve"> de la Ley 2159 de 2021, pues los extremos de la relación contractual tendrían que ser la Nación, por un lado, y una entidad territorial, por el otro. </w:t>
      </w:r>
      <w:r w:rsidR="00060873" w:rsidRPr="009464D4">
        <w:rPr>
          <w:rFonts w:ascii="Arial" w:eastAsia="Times New Roman" w:hAnsi="Arial" w:cs="Arial"/>
          <w:bCs/>
          <w:color w:val="000000" w:themeColor="text1"/>
          <w:sz w:val="22"/>
          <w:lang w:eastAsia="es-CO"/>
        </w:rPr>
        <w:t xml:space="preserve">En tal sentido, el supuesto </w:t>
      </w:r>
      <w:r w:rsidR="00686593" w:rsidRPr="009464D4">
        <w:rPr>
          <w:rFonts w:ascii="Arial" w:eastAsia="Times New Roman" w:hAnsi="Arial" w:cs="Arial"/>
          <w:bCs/>
          <w:color w:val="000000" w:themeColor="text1"/>
          <w:sz w:val="22"/>
          <w:lang w:eastAsia="es-CO"/>
        </w:rPr>
        <w:t>indicado por el peticionario haría parte de la prohibición establecida en el parágrafo del artículo 38 de la Ley 996 de 2005, que prohíbe a los alcaldes, gobernadores, secretarios, gerentes y directores de las entidades del orden municipal, departamental o distrital celebrar convenios y contratos interadministrativos para la ejecución de recursos públicos dentro de los 4 meses anteriores a las elecciones a cargos de elección popular, prohibición que se viene aplicando desde el 13 de noviembre de 2021.</w:t>
      </w:r>
    </w:p>
    <w:p w14:paraId="6185A7D0" w14:textId="72C9028B" w:rsidR="00686593" w:rsidRPr="009464D4" w:rsidRDefault="00686593" w:rsidP="005D7824">
      <w:pPr>
        <w:spacing w:after="120" w:line="276" w:lineRule="auto"/>
        <w:jc w:val="both"/>
        <w:rPr>
          <w:rFonts w:ascii="Arial" w:eastAsiaTheme="minorHAnsi" w:hAnsi="Arial" w:cs="Arial"/>
          <w:color w:val="000000" w:themeColor="text1"/>
          <w:sz w:val="22"/>
          <w:lang w:eastAsia="es-ES_tradnl"/>
        </w:rPr>
      </w:pPr>
      <w:r w:rsidRPr="009464D4">
        <w:rPr>
          <w:rFonts w:ascii="Arial" w:eastAsia="Times New Roman" w:hAnsi="Arial" w:cs="Arial"/>
          <w:bCs/>
          <w:color w:val="000000" w:themeColor="text1"/>
          <w:sz w:val="22"/>
          <w:lang w:eastAsia="es-CO"/>
        </w:rPr>
        <w:tab/>
        <w:t xml:space="preserve">Además, es importante señalar que el artículo 124 de la Ley 2159 de 2021 no modificó la prohibición del artículo 33 de la Ley 996 de 2005 que prohíbe </w:t>
      </w:r>
      <w:r w:rsidRPr="009464D4">
        <w:rPr>
          <w:rFonts w:ascii="Arial" w:eastAsia="Calibri" w:hAnsi="Arial" w:cs="Arial"/>
          <w:color w:val="000000" w:themeColor="text1"/>
          <w:sz w:val="22"/>
          <w:lang w:val="es-CO"/>
        </w:rPr>
        <w:t>la contratación directa por parte de todos los entes del Estado durante los cuatro (4) meses anteriores a las elecciones presidenciales, prohibición que aplica de forma simultánea con la del parágrafo del artículo 38 de la misma ley desde el 29 de enero de este año.</w:t>
      </w:r>
    </w:p>
    <w:p w14:paraId="2D6B957A" w14:textId="77777777" w:rsidR="005D7824" w:rsidRPr="009464D4" w:rsidRDefault="005D7824" w:rsidP="005D7824">
      <w:pPr>
        <w:spacing w:after="120" w:line="276" w:lineRule="auto"/>
        <w:ind w:firstLine="709"/>
        <w:jc w:val="both"/>
        <w:rPr>
          <w:rFonts w:ascii="Arial" w:eastAsia="Calibri" w:hAnsi="Arial" w:cs="Arial"/>
          <w:color w:val="000000" w:themeColor="text1"/>
          <w:sz w:val="22"/>
          <w:lang w:val="es-CO"/>
        </w:rPr>
      </w:pPr>
    </w:p>
    <w:p w14:paraId="135235FA" w14:textId="77777777" w:rsidR="005D7824" w:rsidRPr="009464D4" w:rsidRDefault="005D7824" w:rsidP="005D7824">
      <w:pPr>
        <w:spacing w:after="120" w:line="276" w:lineRule="auto"/>
        <w:jc w:val="both"/>
        <w:rPr>
          <w:rFonts w:ascii="Arial" w:eastAsia="Calibri" w:hAnsi="Arial" w:cs="Arial"/>
          <w:color w:val="000000" w:themeColor="text1"/>
          <w:sz w:val="22"/>
          <w:lang w:val="es-CO"/>
        </w:rPr>
      </w:pPr>
      <w:bookmarkStart w:id="63" w:name="_Hlk57650395"/>
      <w:r w:rsidRPr="009464D4">
        <w:rPr>
          <w:rFonts w:ascii="Arial" w:eastAsia="Calibri" w:hAnsi="Arial" w:cs="Arial"/>
          <w:color w:val="000000" w:themeColor="text1"/>
          <w:sz w:val="22"/>
          <w:lang w:val="es-CO"/>
        </w:rPr>
        <w:t>Este concepto tiene el alcance previsto en el artículo 28 del Código de Procedimiento Administrativo y de lo Contencioso Administrativo.</w:t>
      </w:r>
    </w:p>
    <w:p w14:paraId="53ED6454" w14:textId="77777777" w:rsidR="005D7824" w:rsidRPr="009464D4" w:rsidRDefault="005D7824" w:rsidP="005D7824">
      <w:pPr>
        <w:spacing w:after="120" w:line="276" w:lineRule="auto"/>
        <w:jc w:val="both"/>
        <w:rPr>
          <w:rFonts w:ascii="Arial" w:eastAsia="Calibri" w:hAnsi="Arial" w:cs="Arial"/>
          <w:color w:val="000000" w:themeColor="text1"/>
          <w:sz w:val="22"/>
          <w:lang w:val="es-CO"/>
        </w:rPr>
      </w:pPr>
      <w:r w:rsidRPr="009464D4">
        <w:rPr>
          <w:rFonts w:eastAsiaTheme="minorHAnsi"/>
          <w:noProof/>
          <w:color w:val="000000" w:themeColor="text1"/>
        </w:rPr>
        <mc:AlternateContent>
          <mc:Choice Requires="wps">
            <w:drawing>
              <wp:anchor distT="4294967260" distB="4294967260" distL="114300" distR="114300" simplePos="0" relativeHeight="251659264" behindDoc="0" locked="0" layoutInCell="1" allowOverlap="1" wp14:anchorId="58E45433" wp14:editId="4A7EFFAB">
                <wp:simplePos x="0" y="0"/>
                <wp:positionH relativeFrom="page">
                  <wp:posOffset>1514475</wp:posOffset>
                </wp:positionH>
                <wp:positionV relativeFrom="paragraph">
                  <wp:posOffset>10159</wp:posOffset>
                </wp:positionV>
                <wp:extent cx="4686300" cy="0"/>
                <wp:effectExtent l="0" t="0" r="0" b="0"/>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79985C00" id="Conector recto 38" o:spid="_x0000_s1026" style="position:absolute;z-index:251659264;visibility:visible;mso-wrap-style:square;mso-width-percent:0;mso-height-percent:0;mso-wrap-distance-left:9pt;mso-wrap-distance-top:-.001mm;mso-wrap-distance-right:9pt;mso-wrap-distance-bottom:-.001mm;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" strokecolor="#dbdbdb">
                <o:lock v:ext="edit" shapetype="f"/>
                <w10:wrap anchorx="page"/>
              </v:line>
            </w:pict>
          </mc:Fallback>
        </mc:AlternateContent>
      </w:r>
    </w:p>
    <w:p w14:paraId="552EC04F" w14:textId="77777777" w:rsidR="005D7824" w:rsidRPr="009464D4" w:rsidRDefault="005D7824" w:rsidP="005D7824">
      <w:pPr>
        <w:spacing w:after="200" w:line="276" w:lineRule="auto"/>
        <w:jc w:val="both"/>
        <w:rPr>
          <w:rFonts w:ascii="Arial" w:eastAsia="Times New Roman" w:hAnsi="Arial" w:cs="Arial"/>
          <w:color w:val="000000" w:themeColor="text1"/>
          <w:sz w:val="22"/>
          <w:lang w:val="es-CO" w:eastAsia="es-CO"/>
        </w:rPr>
      </w:pPr>
      <w:r w:rsidRPr="009464D4">
        <w:rPr>
          <w:rFonts w:ascii="Arial" w:eastAsia="Times New Roman" w:hAnsi="Arial" w:cs="Arial"/>
          <w:color w:val="000000" w:themeColor="text1"/>
          <w:sz w:val="22"/>
          <w:lang w:val="es-CO" w:eastAsia="es-CO"/>
        </w:rPr>
        <w:t>Atentamente,</w:t>
      </w:r>
    </w:p>
    <w:p w14:paraId="7D946FB6" w14:textId="54CB3AE9" w:rsidR="005D7824" w:rsidRPr="009464D4" w:rsidRDefault="00F52964" w:rsidP="005D7824">
      <w:pPr>
        <w:spacing w:after="200" w:line="276" w:lineRule="auto"/>
        <w:jc w:val="center"/>
        <w:rPr>
          <w:rFonts w:ascii="Arial" w:eastAsia="Times New Roman" w:hAnsi="Arial" w:cs="Arial"/>
          <w:color w:val="000000" w:themeColor="text1"/>
          <w:sz w:val="18"/>
          <w:szCs w:val="20"/>
          <w:lang w:eastAsia="es-CO"/>
        </w:rPr>
      </w:pPr>
      <w:r>
        <w:rPr>
          <w:noProof/>
          <w:color w:val="000000" w:themeColor="text1"/>
          <w:lang w:val="es-ES_tradnl"/>
        </w:rPr>
        <w:lastRenderedPageBreak/>
        <w:drawing>
          <wp:inline distT="0" distB="0" distL="0" distR="0" wp14:anchorId="139FF00A" wp14:editId="79C8589E">
            <wp:extent cx="2514600" cy="1112520"/>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33F49" w:rsidRPr="009464D4" w14:paraId="09E67395" w14:textId="77777777" w:rsidTr="001278BA">
        <w:trPr>
          <w:trHeight w:val="315"/>
        </w:trPr>
        <w:tc>
          <w:tcPr>
            <w:tcW w:w="812" w:type="dxa"/>
            <w:vAlign w:val="center"/>
            <w:hideMark/>
          </w:tcPr>
          <w:bookmarkEnd w:id="63"/>
          <w:p w14:paraId="45994093" w14:textId="77777777" w:rsidR="00E33F49" w:rsidRPr="009464D4" w:rsidRDefault="00E33F49" w:rsidP="001278BA">
            <w:pPr>
              <w:jc w:val="both"/>
              <w:rPr>
                <w:rFonts w:ascii="Arial" w:hAnsi="Arial" w:cs="Arial"/>
                <w:color w:val="000000" w:themeColor="text1"/>
                <w:sz w:val="16"/>
                <w:szCs w:val="16"/>
                <w:lang w:eastAsia="es-ES"/>
              </w:rPr>
            </w:pPr>
            <w:r w:rsidRPr="009464D4">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34F1435" w14:textId="77777777" w:rsidR="00E33F49" w:rsidRPr="009464D4" w:rsidRDefault="00E33F49" w:rsidP="001278BA">
            <w:pPr>
              <w:jc w:val="both"/>
              <w:rPr>
                <w:rFonts w:ascii="Arial" w:hAnsi="Arial" w:cs="Arial"/>
                <w:color w:val="000000" w:themeColor="text1"/>
                <w:sz w:val="16"/>
                <w:szCs w:val="16"/>
                <w:lang w:eastAsia="es-ES"/>
              </w:rPr>
            </w:pPr>
            <w:r w:rsidRPr="009464D4">
              <w:rPr>
                <w:rFonts w:ascii="Arial" w:hAnsi="Arial" w:cs="Arial"/>
                <w:color w:val="000000" w:themeColor="text1"/>
                <w:sz w:val="16"/>
                <w:szCs w:val="16"/>
                <w:lang w:eastAsia="es-ES"/>
              </w:rPr>
              <w:t>Sebastián Ramírez Grisales</w:t>
            </w:r>
          </w:p>
          <w:p w14:paraId="2BC6EFB3" w14:textId="77777777" w:rsidR="00E33F49" w:rsidRPr="009464D4" w:rsidRDefault="00E33F49" w:rsidP="001278BA">
            <w:pPr>
              <w:jc w:val="both"/>
              <w:rPr>
                <w:rFonts w:ascii="Arial" w:hAnsi="Arial" w:cs="Arial"/>
                <w:color w:val="000000" w:themeColor="text1"/>
                <w:sz w:val="16"/>
                <w:szCs w:val="16"/>
                <w:lang w:eastAsia="es-ES"/>
              </w:rPr>
            </w:pPr>
            <w:r w:rsidRPr="009464D4">
              <w:rPr>
                <w:rFonts w:ascii="Arial" w:hAnsi="Arial" w:cs="Arial"/>
                <w:color w:val="000000" w:themeColor="text1"/>
                <w:sz w:val="16"/>
                <w:szCs w:val="16"/>
                <w:lang w:eastAsia="es-ES"/>
              </w:rPr>
              <w:t xml:space="preserve">Contratista de la Subdirección de Gestión Contractual  </w:t>
            </w:r>
          </w:p>
        </w:tc>
      </w:tr>
      <w:tr w:rsidR="00E33F49" w:rsidRPr="009464D4" w14:paraId="6EAB0C6C" w14:textId="77777777" w:rsidTr="001278BA">
        <w:trPr>
          <w:trHeight w:val="330"/>
        </w:trPr>
        <w:tc>
          <w:tcPr>
            <w:tcW w:w="812" w:type="dxa"/>
            <w:vAlign w:val="center"/>
            <w:hideMark/>
          </w:tcPr>
          <w:p w14:paraId="68ECCE87" w14:textId="77777777" w:rsidR="00E33F49" w:rsidRPr="009464D4" w:rsidRDefault="00E33F49" w:rsidP="001278BA">
            <w:pPr>
              <w:jc w:val="both"/>
              <w:rPr>
                <w:rFonts w:ascii="Arial" w:hAnsi="Arial" w:cs="Arial"/>
                <w:color w:val="000000" w:themeColor="text1"/>
                <w:sz w:val="16"/>
                <w:szCs w:val="16"/>
                <w:lang w:eastAsia="es-ES"/>
              </w:rPr>
            </w:pPr>
            <w:r w:rsidRPr="009464D4">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FBC021C" w14:textId="77777777" w:rsidR="00E33F49" w:rsidRPr="009464D4" w:rsidRDefault="00E33F49" w:rsidP="001278BA">
            <w:pPr>
              <w:jc w:val="both"/>
              <w:rPr>
                <w:rFonts w:ascii="Arial" w:hAnsi="Arial" w:cs="Arial"/>
                <w:color w:val="000000" w:themeColor="text1"/>
                <w:sz w:val="16"/>
                <w:szCs w:val="16"/>
                <w:lang w:eastAsia="es-ES"/>
              </w:rPr>
            </w:pPr>
            <w:r w:rsidRPr="009464D4">
              <w:rPr>
                <w:rFonts w:ascii="Arial" w:hAnsi="Arial" w:cs="Arial"/>
                <w:color w:val="000000" w:themeColor="text1"/>
                <w:sz w:val="16"/>
                <w:szCs w:val="16"/>
                <w:lang w:eastAsia="es-ES"/>
              </w:rPr>
              <w:t>Jorge Augusto Tirado Navarro</w:t>
            </w:r>
          </w:p>
          <w:p w14:paraId="4AA9C9AF" w14:textId="77777777" w:rsidR="00E33F49" w:rsidRPr="009464D4" w:rsidRDefault="00E33F49" w:rsidP="001278BA">
            <w:pPr>
              <w:jc w:val="both"/>
              <w:rPr>
                <w:rFonts w:ascii="Arial" w:hAnsi="Arial" w:cs="Arial"/>
                <w:color w:val="000000" w:themeColor="text1"/>
                <w:sz w:val="16"/>
                <w:szCs w:val="16"/>
                <w:lang w:eastAsia="es-ES"/>
              </w:rPr>
            </w:pPr>
            <w:r w:rsidRPr="009464D4">
              <w:rPr>
                <w:rFonts w:ascii="Arial" w:hAnsi="Arial" w:cs="Arial"/>
                <w:color w:val="000000" w:themeColor="text1"/>
                <w:sz w:val="16"/>
                <w:szCs w:val="16"/>
                <w:lang w:eastAsia="es-ES"/>
              </w:rPr>
              <w:t>Subdirector de Gestión Contractual ANCP – CCE</w:t>
            </w:r>
          </w:p>
        </w:tc>
      </w:tr>
      <w:tr w:rsidR="00E33F49" w:rsidRPr="00494269" w14:paraId="3B1C1BFB" w14:textId="77777777" w:rsidTr="001278BA">
        <w:trPr>
          <w:trHeight w:val="300"/>
        </w:trPr>
        <w:tc>
          <w:tcPr>
            <w:tcW w:w="812" w:type="dxa"/>
            <w:vAlign w:val="center"/>
            <w:hideMark/>
          </w:tcPr>
          <w:p w14:paraId="330880DF" w14:textId="77777777" w:rsidR="00E33F49" w:rsidRPr="009464D4" w:rsidRDefault="00E33F49" w:rsidP="001278BA">
            <w:pPr>
              <w:jc w:val="both"/>
              <w:rPr>
                <w:rFonts w:ascii="Arial" w:hAnsi="Arial" w:cs="Arial"/>
                <w:color w:val="000000" w:themeColor="text1"/>
                <w:sz w:val="16"/>
                <w:szCs w:val="16"/>
                <w:lang w:eastAsia="es-ES"/>
              </w:rPr>
            </w:pPr>
            <w:r w:rsidRPr="009464D4">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44CBBE" w14:textId="77777777" w:rsidR="00E33F49" w:rsidRPr="009464D4" w:rsidRDefault="00E33F49" w:rsidP="001278BA">
            <w:pPr>
              <w:jc w:val="both"/>
              <w:rPr>
                <w:rFonts w:ascii="Arial" w:hAnsi="Arial" w:cs="Arial"/>
                <w:color w:val="000000" w:themeColor="text1"/>
                <w:sz w:val="16"/>
                <w:szCs w:val="16"/>
                <w:lang w:eastAsia="es-ES"/>
              </w:rPr>
            </w:pPr>
            <w:r w:rsidRPr="009464D4">
              <w:rPr>
                <w:rFonts w:ascii="Arial" w:hAnsi="Arial" w:cs="Arial"/>
                <w:color w:val="000000" w:themeColor="text1"/>
                <w:sz w:val="16"/>
                <w:szCs w:val="16"/>
                <w:lang w:eastAsia="es-ES"/>
              </w:rPr>
              <w:t>Jorge Augusto Tirado Navarro</w:t>
            </w:r>
          </w:p>
          <w:p w14:paraId="324924F8" w14:textId="77777777" w:rsidR="00E33F49" w:rsidRPr="00494269" w:rsidRDefault="00E33F49" w:rsidP="001278BA">
            <w:pPr>
              <w:jc w:val="both"/>
              <w:rPr>
                <w:rFonts w:ascii="Arial" w:hAnsi="Arial" w:cs="Arial"/>
                <w:color w:val="000000" w:themeColor="text1"/>
                <w:sz w:val="16"/>
                <w:szCs w:val="16"/>
                <w:lang w:eastAsia="es-ES"/>
              </w:rPr>
            </w:pPr>
            <w:r w:rsidRPr="009464D4">
              <w:rPr>
                <w:rFonts w:ascii="Arial" w:hAnsi="Arial" w:cs="Arial"/>
                <w:color w:val="000000" w:themeColor="text1"/>
                <w:sz w:val="16"/>
                <w:szCs w:val="16"/>
                <w:lang w:eastAsia="es-ES"/>
              </w:rPr>
              <w:t>Subdirector de Gestión Contractual ANCP – CCE</w:t>
            </w:r>
          </w:p>
        </w:tc>
      </w:tr>
    </w:tbl>
    <w:p w14:paraId="7080CFA4" w14:textId="3DABFE3C" w:rsidR="005A79FE" w:rsidRPr="006078F3" w:rsidRDefault="005A79FE" w:rsidP="00E51379">
      <w:pPr>
        <w:rPr>
          <w:color w:val="000000" w:themeColor="text1"/>
        </w:rPr>
      </w:pPr>
    </w:p>
    <w:sectPr w:rsidR="005A79FE" w:rsidRPr="006078F3"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17C82" w14:textId="77777777" w:rsidR="00E063DF" w:rsidRDefault="00E063DF">
      <w:r>
        <w:separator/>
      </w:r>
    </w:p>
  </w:endnote>
  <w:endnote w:type="continuationSeparator" w:id="0">
    <w:p w14:paraId="1BDCAF99" w14:textId="77777777" w:rsidR="00E063DF" w:rsidRDefault="00E0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F43587" w:rsidRDefault="00F43587" w:rsidP="007B0854">
    <w:pPr>
      <w:pStyle w:val="Sinespaciado"/>
      <w:jc w:val="center"/>
      <w:rPr>
        <w:rFonts w:ascii="Arial" w:hAnsi="Arial" w:cs="Arial"/>
        <w:sz w:val="18"/>
        <w:szCs w:val="18"/>
      </w:rPr>
    </w:pPr>
  </w:p>
  <w:p w14:paraId="312C4A14" w14:textId="1CC17C36" w:rsidR="00F43587" w:rsidRPr="005A79FE" w:rsidRDefault="00F4358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0E0B8C38" w:rsidR="00F43587" w:rsidRDefault="00F43587"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F43587" w:rsidRPr="007B0854" w:rsidRDefault="00F4358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B06C1" w14:textId="77777777" w:rsidR="00E063DF" w:rsidRDefault="00E063DF">
      <w:r>
        <w:separator/>
      </w:r>
    </w:p>
  </w:footnote>
  <w:footnote w:type="continuationSeparator" w:id="0">
    <w:p w14:paraId="2D765557" w14:textId="77777777" w:rsidR="00E063DF" w:rsidRDefault="00E063DF">
      <w:r>
        <w:continuationSeparator/>
      </w:r>
    </w:p>
  </w:footnote>
  <w:footnote w:id="1">
    <w:p w14:paraId="69407022" w14:textId="06970117" w:rsidR="005D7824"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668BA">
        <w:rPr>
          <w:rFonts w:ascii="Arial" w:hAnsi="Arial" w:cs="Arial"/>
          <w:i/>
          <w:iCs/>
          <w:color w:val="000000" w:themeColor="text1"/>
          <w:sz w:val="19"/>
          <w:szCs w:val="19"/>
        </w:rPr>
        <w:t xml:space="preserve">ibidem </w:t>
      </w:r>
      <w:r w:rsidRPr="004668BA">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4668BA">
        <w:rPr>
          <w:rFonts w:ascii="Arial" w:hAnsi="Arial" w:cs="Arial"/>
          <w:color w:val="000000" w:themeColor="text1"/>
          <w:sz w:val="19"/>
          <w:szCs w:val="19"/>
        </w:rPr>
        <w:t>bsolver</w:t>
      </w:r>
      <w:proofErr w:type="spellEnd"/>
      <w:r w:rsidRPr="004668BA">
        <w:rPr>
          <w:rFonts w:ascii="Arial" w:hAnsi="Arial" w:cs="Arial"/>
          <w:color w:val="000000" w:themeColor="text1"/>
          <w:sz w:val="19"/>
          <w:szCs w:val="19"/>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6A117C63" w14:textId="77777777" w:rsidR="005B433C" w:rsidRPr="004668BA" w:rsidRDefault="005B433C" w:rsidP="005B433C">
      <w:pPr>
        <w:pStyle w:val="Textonotapie"/>
        <w:ind w:firstLine="709"/>
        <w:jc w:val="both"/>
        <w:rPr>
          <w:rFonts w:ascii="Arial" w:hAnsi="Arial" w:cs="Arial"/>
          <w:color w:val="000000" w:themeColor="text1"/>
          <w:sz w:val="19"/>
          <w:szCs w:val="19"/>
          <w:lang w:val="es-ES"/>
        </w:rPr>
      </w:pPr>
    </w:p>
  </w:footnote>
  <w:footnote w:id="2">
    <w:p w14:paraId="681AC627"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bookmarkStart w:id="14" w:name="_Hlk88806387"/>
      <w:r w:rsidRPr="004668BA">
        <w:rPr>
          <w:rFonts w:ascii="Arial" w:hAnsi="Arial" w:cs="Arial"/>
          <w:color w:val="000000" w:themeColor="text1"/>
          <w:sz w:val="19"/>
          <w:szCs w:val="19"/>
        </w:rPr>
        <w:t>Seguidamente, el numeral 8º del artículo 11 Decreto Ley 4170 de 2011 señala que es función de la Subdirección de Gestión Contractual: «[a]</w:t>
      </w:r>
      <w:proofErr w:type="spellStart"/>
      <w:r w:rsidRPr="004668BA">
        <w:rPr>
          <w:rFonts w:ascii="Arial" w:hAnsi="Arial" w:cs="Arial"/>
          <w:color w:val="000000" w:themeColor="text1"/>
          <w:sz w:val="19"/>
          <w:szCs w:val="19"/>
        </w:rPr>
        <w:t>bsolver</w:t>
      </w:r>
      <w:proofErr w:type="spellEnd"/>
      <w:r w:rsidRPr="004668BA">
        <w:rPr>
          <w:rFonts w:ascii="Arial" w:hAnsi="Arial" w:cs="Arial"/>
          <w:color w:val="000000" w:themeColor="text1"/>
          <w:sz w:val="19"/>
          <w:szCs w:val="19"/>
        </w:rPr>
        <w:t xml:space="preserve"> consultas sobre la aplicación de normas de carácter general». Es necesario tener en cuenta que esta entidad solo tiene competencia para responder solicitudes sobre la aplicación de normas de carácter general en materia de compras y contratación pública.</w:t>
      </w:r>
    </w:p>
    <w:bookmarkEnd w:id="14"/>
  </w:footnote>
  <w:footnote w:id="3">
    <w:p w14:paraId="6630C565"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78119DDD" w14:textId="44FB8C7E" w:rsidR="005D7824" w:rsidRDefault="005D7824" w:rsidP="005B433C">
      <w:pPr>
        <w:pStyle w:val="Textonotapie"/>
        <w:ind w:firstLine="709"/>
        <w:jc w:val="both"/>
        <w:rPr>
          <w:rFonts w:ascii="Arial" w:hAnsi="Arial" w:cs="Arial"/>
          <w:color w:val="000000" w:themeColor="text1"/>
          <w:sz w:val="19"/>
          <w:szCs w:val="19"/>
        </w:rPr>
      </w:pPr>
      <w:proofErr w:type="gramStart"/>
      <w:r w:rsidRPr="004668BA">
        <w:rPr>
          <w:rFonts w:ascii="Arial" w:hAnsi="Arial" w:cs="Arial"/>
          <w:color w:val="000000" w:themeColor="text1"/>
          <w:sz w:val="19"/>
          <w:szCs w:val="19"/>
        </w:rPr>
        <w:t>»A</w:t>
      </w:r>
      <w:proofErr w:type="gramEnd"/>
      <w:r w:rsidRPr="004668BA">
        <w:rPr>
          <w:rFonts w:ascii="Arial" w:hAnsi="Arial" w:cs="Arial"/>
          <w:color w:val="000000" w:themeColor="text1"/>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014991C6" w14:textId="77777777" w:rsidR="005B433C" w:rsidRPr="004668BA" w:rsidRDefault="005B433C" w:rsidP="005B433C">
      <w:pPr>
        <w:pStyle w:val="Textonotapie"/>
        <w:ind w:firstLine="709"/>
        <w:jc w:val="both"/>
        <w:rPr>
          <w:rFonts w:ascii="Arial" w:hAnsi="Arial" w:cs="Arial"/>
          <w:color w:val="000000" w:themeColor="text1"/>
          <w:sz w:val="19"/>
          <w:szCs w:val="19"/>
        </w:rPr>
      </w:pPr>
    </w:p>
  </w:footnote>
  <w:footnote w:id="4">
    <w:p w14:paraId="56E20FE2" w14:textId="77777777" w:rsidR="005D7824" w:rsidRPr="004668BA" w:rsidRDefault="005D7824" w:rsidP="005B433C">
      <w:pPr>
        <w:pStyle w:val="Textonotapie"/>
        <w:ind w:firstLine="709"/>
        <w:jc w:val="both"/>
        <w:rPr>
          <w:rFonts w:ascii="Arial" w:hAnsi="Arial" w:cs="Arial"/>
          <w:color w:val="000000" w:themeColor="text1"/>
          <w:sz w:val="19"/>
          <w:szCs w:val="19"/>
          <w:lang w:val="es-CO"/>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Gaceta del Congreso de la República No. 71 del 2005.</w:t>
      </w:r>
    </w:p>
  </w:footnote>
  <w:footnote w:id="5">
    <w:p w14:paraId="398840D2" w14:textId="77777777" w:rsidR="005D7824" w:rsidRPr="00321041"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Corte Constitucional, Sentencia C- 1153 de 2005, M.P. Marco Gerardo Monroy Cabra.</w:t>
      </w:r>
    </w:p>
    <w:p w14:paraId="3B2B8B76" w14:textId="77777777" w:rsidR="005D7824" w:rsidRPr="004668BA" w:rsidRDefault="005D7824" w:rsidP="005B433C">
      <w:pPr>
        <w:pStyle w:val="Textonotapie"/>
        <w:ind w:firstLine="709"/>
        <w:jc w:val="both"/>
        <w:rPr>
          <w:rFonts w:ascii="Arial" w:hAnsi="Arial" w:cs="Arial"/>
          <w:color w:val="000000" w:themeColor="text1"/>
          <w:sz w:val="19"/>
          <w:szCs w:val="19"/>
        </w:rPr>
      </w:pPr>
    </w:p>
  </w:footnote>
  <w:footnote w:id="6">
    <w:p w14:paraId="1091F92C"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4B10D584" w14:textId="77777777" w:rsidR="005D7824" w:rsidRPr="004668BA" w:rsidRDefault="005D7824" w:rsidP="005B433C">
      <w:pPr>
        <w:pStyle w:val="Textonotapie"/>
        <w:ind w:firstLine="709"/>
        <w:jc w:val="both"/>
        <w:rPr>
          <w:rFonts w:ascii="Arial" w:hAnsi="Arial" w:cs="Arial"/>
          <w:color w:val="000000" w:themeColor="text1"/>
          <w:sz w:val="19"/>
          <w:szCs w:val="19"/>
        </w:rPr>
      </w:pPr>
    </w:p>
  </w:footnote>
  <w:footnote w:id="7">
    <w:p w14:paraId="5FDBFC32" w14:textId="77777777" w:rsidR="005D7824" w:rsidRPr="004668BA" w:rsidRDefault="005D7824" w:rsidP="005B433C">
      <w:pPr>
        <w:pStyle w:val="Textonotapie"/>
        <w:ind w:firstLine="709"/>
        <w:jc w:val="both"/>
        <w:rPr>
          <w:rFonts w:ascii="Arial" w:hAnsi="Arial" w:cs="Arial"/>
          <w:color w:val="000000" w:themeColor="text1"/>
          <w:sz w:val="19"/>
          <w:szCs w:val="19"/>
          <w:lang w:val="es-CO"/>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156702CD" w14:textId="77777777" w:rsidR="005D7824" w:rsidRPr="004668BA" w:rsidRDefault="005D7824" w:rsidP="005B433C">
      <w:pPr>
        <w:pStyle w:val="Textonotapie"/>
        <w:ind w:firstLine="709"/>
        <w:jc w:val="both"/>
        <w:rPr>
          <w:rFonts w:ascii="Arial" w:hAnsi="Arial" w:cs="Arial"/>
          <w:color w:val="000000" w:themeColor="text1"/>
          <w:sz w:val="19"/>
          <w:szCs w:val="19"/>
          <w:lang w:val="es-CO"/>
        </w:rPr>
      </w:pPr>
    </w:p>
  </w:footnote>
  <w:footnote w:id="8">
    <w:p w14:paraId="2BE336E2" w14:textId="698D803C"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Consejo de Estado</w:t>
      </w:r>
      <w:r w:rsidR="005B433C">
        <w:rPr>
          <w:rFonts w:ascii="Arial" w:hAnsi="Arial" w:cs="Arial"/>
          <w:color w:val="000000" w:themeColor="text1"/>
          <w:sz w:val="19"/>
          <w:szCs w:val="19"/>
        </w:rPr>
        <w:t>.</w:t>
      </w:r>
      <w:r w:rsidRPr="004668BA">
        <w:rPr>
          <w:rFonts w:ascii="Arial" w:hAnsi="Arial" w:cs="Arial"/>
          <w:color w:val="000000" w:themeColor="text1"/>
          <w:sz w:val="19"/>
          <w:szCs w:val="19"/>
        </w:rPr>
        <w:t xml:space="preserve"> Sala de Consulta y Servicio Civil</w:t>
      </w:r>
      <w:r w:rsidR="005B433C">
        <w:rPr>
          <w:rFonts w:ascii="Arial" w:hAnsi="Arial" w:cs="Arial"/>
          <w:color w:val="000000" w:themeColor="text1"/>
          <w:sz w:val="19"/>
          <w:szCs w:val="19"/>
        </w:rPr>
        <w:t>. Concepto</w:t>
      </w:r>
      <w:r w:rsidRPr="004668BA">
        <w:rPr>
          <w:rFonts w:ascii="Arial" w:hAnsi="Arial" w:cs="Arial"/>
          <w:color w:val="000000" w:themeColor="text1"/>
          <w:sz w:val="19"/>
          <w:szCs w:val="19"/>
        </w:rPr>
        <w:t xml:space="preserve"> de</w:t>
      </w:r>
      <w:r w:rsidR="005B433C">
        <w:rPr>
          <w:rFonts w:ascii="Arial" w:hAnsi="Arial" w:cs="Arial"/>
          <w:color w:val="000000" w:themeColor="text1"/>
          <w:sz w:val="19"/>
          <w:szCs w:val="19"/>
        </w:rPr>
        <w:t>l</w:t>
      </w:r>
      <w:r w:rsidRPr="004668BA">
        <w:rPr>
          <w:rFonts w:ascii="Arial" w:hAnsi="Arial" w:cs="Arial"/>
          <w:color w:val="000000" w:themeColor="text1"/>
          <w:sz w:val="19"/>
          <w:szCs w:val="19"/>
        </w:rPr>
        <w:t xml:space="preserve"> 24 de julio de 2013</w:t>
      </w:r>
      <w:r w:rsidR="005B433C">
        <w:rPr>
          <w:rFonts w:ascii="Arial" w:hAnsi="Arial" w:cs="Arial"/>
          <w:color w:val="000000" w:themeColor="text1"/>
          <w:sz w:val="19"/>
          <w:szCs w:val="19"/>
        </w:rPr>
        <w:t xml:space="preserve">. </w:t>
      </w:r>
      <w:proofErr w:type="spellStart"/>
      <w:r w:rsidR="005B433C">
        <w:rPr>
          <w:rFonts w:ascii="Arial" w:hAnsi="Arial" w:cs="Arial"/>
          <w:color w:val="000000" w:themeColor="text1"/>
          <w:sz w:val="19"/>
          <w:szCs w:val="19"/>
        </w:rPr>
        <w:t>Exp</w:t>
      </w:r>
      <w:proofErr w:type="spellEnd"/>
      <w:r w:rsidR="005B433C">
        <w:rPr>
          <w:rFonts w:ascii="Arial" w:hAnsi="Arial" w:cs="Arial"/>
          <w:color w:val="000000" w:themeColor="text1"/>
          <w:sz w:val="19"/>
          <w:szCs w:val="19"/>
        </w:rPr>
        <w:t>.</w:t>
      </w:r>
      <w:r w:rsidRPr="004668BA">
        <w:rPr>
          <w:rFonts w:ascii="Arial" w:hAnsi="Arial" w:cs="Arial"/>
          <w:color w:val="000000" w:themeColor="text1"/>
          <w:sz w:val="19"/>
          <w:szCs w:val="19"/>
        </w:rPr>
        <w:t xml:space="preserve"> 2</w:t>
      </w:r>
      <w:r w:rsidR="005B433C">
        <w:rPr>
          <w:rFonts w:ascii="Arial" w:hAnsi="Arial" w:cs="Arial"/>
          <w:color w:val="000000" w:themeColor="text1"/>
          <w:sz w:val="19"/>
          <w:szCs w:val="19"/>
        </w:rPr>
        <w:t>.</w:t>
      </w:r>
      <w:r w:rsidRPr="004668BA">
        <w:rPr>
          <w:rFonts w:ascii="Arial" w:hAnsi="Arial" w:cs="Arial"/>
          <w:color w:val="000000" w:themeColor="text1"/>
          <w:sz w:val="19"/>
          <w:szCs w:val="19"/>
        </w:rPr>
        <w:t>166</w:t>
      </w:r>
      <w:r w:rsidR="005B433C">
        <w:rPr>
          <w:rFonts w:ascii="Arial" w:hAnsi="Arial" w:cs="Arial"/>
          <w:color w:val="000000" w:themeColor="text1"/>
          <w:sz w:val="19"/>
          <w:szCs w:val="19"/>
        </w:rPr>
        <w:t>.</w:t>
      </w:r>
      <w:r w:rsidRPr="004668BA">
        <w:rPr>
          <w:rFonts w:ascii="Arial" w:hAnsi="Arial" w:cs="Arial"/>
          <w:color w:val="000000" w:themeColor="text1"/>
          <w:sz w:val="19"/>
          <w:szCs w:val="19"/>
        </w:rPr>
        <w:t xml:space="preserve"> </w:t>
      </w:r>
      <w:r w:rsidR="005B433C">
        <w:rPr>
          <w:rFonts w:ascii="Arial" w:hAnsi="Arial" w:cs="Arial"/>
          <w:color w:val="000000" w:themeColor="text1"/>
          <w:sz w:val="19"/>
          <w:szCs w:val="19"/>
        </w:rPr>
        <w:t>C.</w:t>
      </w:r>
      <w:r w:rsidR="005B12D4">
        <w:rPr>
          <w:rFonts w:ascii="Arial" w:hAnsi="Arial" w:cs="Arial"/>
          <w:color w:val="000000" w:themeColor="text1"/>
          <w:sz w:val="19"/>
          <w:szCs w:val="19"/>
        </w:rPr>
        <w:t>P</w:t>
      </w:r>
      <w:r w:rsidR="005B433C">
        <w:rPr>
          <w:rFonts w:ascii="Arial" w:hAnsi="Arial" w:cs="Arial"/>
          <w:color w:val="000000" w:themeColor="text1"/>
          <w:sz w:val="19"/>
          <w:szCs w:val="19"/>
        </w:rPr>
        <w:t>.</w:t>
      </w:r>
      <w:r w:rsidRPr="004668BA">
        <w:rPr>
          <w:rFonts w:ascii="Arial" w:hAnsi="Arial" w:cs="Arial"/>
          <w:color w:val="000000" w:themeColor="text1"/>
          <w:sz w:val="19"/>
          <w:szCs w:val="19"/>
        </w:rPr>
        <w:t xml:space="preserve"> Álvaro </w:t>
      </w:r>
      <w:proofErr w:type="spellStart"/>
      <w:r w:rsidRPr="004668BA">
        <w:rPr>
          <w:rFonts w:ascii="Arial" w:hAnsi="Arial" w:cs="Arial"/>
          <w:color w:val="000000" w:themeColor="text1"/>
          <w:sz w:val="19"/>
          <w:szCs w:val="19"/>
        </w:rPr>
        <w:t>Namén</w:t>
      </w:r>
      <w:proofErr w:type="spellEnd"/>
      <w:r w:rsidRPr="004668BA">
        <w:rPr>
          <w:rFonts w:ascii="Arial" w:hAnsi="Arial" w:cs="Arial"/>
          <w:color w:val="000000" w:themeColor="text1"/>
          <w:sz w:val="19"/>
          <w:szCs w:val="19"/>
        </w:rPr>
        <w:t xml:space="preserve"> Vargas.  </w:t>
      </w:r>
    </w:p>
  </w:footnote>
  <w:footnote w:id="9">
    <w:p w14:paraId="46BD4FB9" w14:textId="77777777" w:rsidR="005D7824" w:rsidRPr="004668BA" w:rsidRDefault="005D7824" w:rsidP="005B433C">
      <w:pPr>
        <w:ind w:firstLine="709"/>
        <w:jc w:val="both"/>
        <w:rPr>
          <w:rFonts w:ascii="Arial" w:eastAsia="Times New Roman"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bookmarkStart w:id="18" w:name="33"/>
      <w:r w:rsidRPr="004668BA">
        <w:rPr>
          <w:rFonts w:ascii="Arial" w:eastAsia="Calibri" w:hAnsi="Arial" w:cs="Arial"/>
          <w:bCs/>
          <w:color w:val="000000" w:themeColor="text1"/>
          <w:sz w:val="19"/>
          <w:szCs w:val="19"/>
        </w:rPr>
        <w:t>«</w:t>
      </w:r>
      <w:r w:rsidRPr="004668BA">
        <w:rPr>
          <w:rFonts w:ascii="Arial" w:eastAsia="Times New Roman" w:hAnsi="Arial" w:cs="Arial"/>
          <w:color w:val="000000" w:themeColor="text1"/>
          <w:sz w:val="19"/>
          <w:szCs w:val="19"/>
        </w:rPr>
        <w:t>Artículo 33. Restricciones a la contratación pública.</w:t>
      </w:r>
      <w:bookmarkEnd w:id="18"/>
      <w:r w:rsidRPr="004668BA">
        <w:rPr>
          <w:rFonts w:ascii="Arial" w:eastAsia="Times New Roman" w:hAnsi="Arial" w:cs="Arial"/>
          <w:color w:val="000000" w:themeColor="text1"/>
          <w:sz w:val="19"/>
          <w:szCs w:val="19"/>
        </w:rPr>
        <w:t> Durante los cuatro (4) meses anteriores a la elección presidencial y hasta la realización de la elección en la segunda vuelta, si fuere el caso, queda prohibida la contratación directa por parte de todos los entes del Estado.</w:t>
      </w:r>
    </w:p>
    <w:p w14:paraId="67A83AF4" w14:textId="68C45982" w:rsidR="005D7824" w:rsidRDefault="005D7824" w:rsidP="005B433C">
      <w:pPr>
        <w:ind w:firstLine="709"/>
        <w:jc w:val="both"/>
        <w:rPr>
          <w:rFonts w:ascii="Arial" w:eastAsia="Times New Roman" w:hAnsi="Arial" w:cs="Arial"/>
          <w:color w:val="000000" w:themeColor="text1"/>
          <w:sz w:val="19"/>
          <w:szCs w:val="19"/>
        </w:rPr>
      </w:pPr>
      <w:proofErr w:type="gramStart"/>
      <w:r w:rsidRPr="004668BA">
        <w:rPr>
          <w:rFonts w:ascii="Arial" w:eastAsia="Calibri" w:hAnsi="Arial" w:cs="Arial"/>
          <w:bCs/>
          <w:color w:val="000000" w:themeColor="text1"/>
          <w:sz w:val="19"/>
          <w:szCs w:val="19"/>
        </w:rPr>
        <w:t>»</w:t>
      </w:r>
      <w:r w:rsidRPr="004668BA">
        <w:rPr>
          <w:rFonts w:ascii="Arial" w:eastAsia="Times New Roman" w:hAnsi="Arial" w:cs="Arial"/>
          <w:color w:val="000000" w:themeColor="text1"/>
          <w:sz w:val="19"/>
          <w:szCs w:val="19"/>
        </w:rPr>
        <w:t>Queda</w:t>
      </w:r>
      <w:proofErr w:type="gramEnd"/>
      <w:r w:rsidRPr="004668BA">
        <w:rPr>
          <w:rFonts w:ascii="Arial" w:eastAsia="Times New Roman" w:hAnsi="Arial" w:cs="Arial"/>
          <w:color w:val="000000" w:themeColor="text1"/>
          <w:sz w:val="19"/>
          <w:szCs w:val="19"/>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668BA">
        <w:rPr>
          <w:rFonts w:ascii="Arial" w:eastAsia="Calibri" w:hAnsi="Arial" w:cs="Arial"/>
          <w:bCs/>
          <w:color w:val="000000" w:themeColor="text1"/>
          <w:sz w:val="19"/>
          <w:szCs w:val="19"/>
        </w:rPr>
        <w:t>»</w:t>
      </w:r>
      <w:r w:rsidRPr="004668BA">
        <w:rPr>
          <w:rFonts w:ascii="Arial" w:eastAsia="Times New Roman" w:hAnsi="Arial" w:cs="Arial"/>
          <w:color w:val="000000" w:themeColor="text1"/>
          <w:sz w:val="19"/>
          <w:szCs w:val="19"/>
        </w:rPr>
        <w:t>.</w:t>
      </w:r>
    </w:p>
    <w:p w14:paraId="4FAACBDC" w14:textId="77777777" w:rsidR="0027737A" w:rsidRPr="004668BA" w:rsidRDefault="0027737A" w:rsidP="005B433C">
      <w:pPr>
        <w:ind w:firstLine="709"/>
        <w:jc w:val="both"/>
        <w:rPr>
          <w:rFonts w:ascii="Arial" w:eastAsia="Times New Roman" w:hAnsi="Arial" w:cs="Arial"/>
          <w:color w:val="000000" w:themeColor="text1"/>
          <w:sz w:val="19"/>
          <w:szCs w:val="19"/>
        </w:rPr>
      </w:pPr>
    </w:p>
  </w:footnote>
  <w:footnote w:id="10">
    <w:p w14:paraId="3BEA9F2C" w14:textId="77777777" w:rsidR="005D7824" w:rsidRPr="004668BA" w:rsidRDefault="005D7824" w:rsidP="005B433C">
      <w:pPr>
        <w:pStyle w:val="NormalWeb"/>
        <w:spacing w:before="0" w:beforeAutospacing="0" w:after="0" w:afterAutospacing="0"/>
        <w:ind w:firstLine="709"/>
        <w:jc w:val="both"/>
        <w:rPr>
          <w:rFonts w:ascii="Arial" w:hAnsi="Arial" w:cs="Arial"/>
          <w:color w:val="000000" w:themeColor="text1"/>
          <w:sz w:val="19"/>
          <w:szCs w:val="19"/>
          <w:lang w:val="es-MX"/>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bookmarkStart w:id="19" w:name="38"/>
      <w:r w:rsidRPr="004668BA">
        <w:rPr>
          <w:rFonts w:ascii="Arial" w:eastAsia="Calibri" w:hAnsi="Arial" w:cs="Arial"/>
          <w:bCs/>
          <w:color w:val="000000" w:themeColor="text1"/>
          <w:sz w:val="19"/>
          <w:szCs w:val="19"/>
        </w:rPr>
        <w:t>«</w:t>
      </w:r>
      <w:r w:rsidRPr="004668BA">
        <w:rPr>
          <w:rFonts w:ascii="Arial" w:hAnsi="Arial" w:cs="Arial"/>
          <w:color w:val="000000" w:themeColor="text1"/>
          <w:sz w:val="19"/>
          <w:szCs w:val="19"/>
          <w:lang w:val="es-MX"/>
        </w:rPr>
        <w:t>Artículo 38. Prohibiciones para los servidores públicos. A los empleados del Estado les está prohibido:</w:t>
      </w:r>
      <w:bookmarkEnd w:id="19"/>
    </w:p>
    <w:p w14:paraId="32E9307B" w14:textId="77777777" w:rsidR="005D7824" w:rsidRPr="004668BA" w:rsidRDefault="005D7824" w:rsidP="005B433C">
      <w:pPr>
        <w:pStyle w:val="NormalWeb"/>
        <w:spacing w:before="0" w:beforeAutospacing="0" w:after="0" w:afterAutospacing="0"/>
        <w:ind w:firstLine="709"/>
        <w:jc w:val="both"/>
        <w:rPr>
          <w:rFonts w:ascii="Arial" w:hAnsi="Arial" w:cs="Arial"/>
          <w:color w:val="000000" w:themeColor="text1"/>
          <w:sz w:val="19"/>
          <w:szCs w:val="19"/>
          <w:lang w:val="es-MX"/>
        </w:rPr>
      </w:pPr>
      <w:r w:rsidRPr="004668BA">
        <w:rPr>
          <w:rFonts w:ascii="Arial" w:eastAsia="Calibri" w:hAnsi="Arial" w:cs="Arial"/>
          <w:bCs/>
          <w:color w:val="000000" w:themeColor="text1"/>
          <w:sz w:val="19"/>
          <w:szCs w:val="19"/>
        </w:rPr>
        <w:t>»</w:t>
      </w:r>
      <w:r w:rsidRPr="004668BA">
        <w:rPr>
          <w:rFonts w:ascii="Arial" w:hAnsi="Arial" w:cs="Arial"/>
          <w:color w:val="000000" w:themeColor="text1"/>
          <w:sz w:val="19"/>
          <w:szCs w:val="19"/>
          <w:lang w:val="es-MX"/>
        </w:rPr>
        <w:t xml:space="preserve"> […]</w:t>
      </w:r>
    </w:p>
    <w:p w14:paraId="36F59BD3" w14:textId="77777777" w:rsidR="005D7824" w:rsidRPr="004668BA" w:rsidRDefault="005D7824" w:rsidP="005B433C">
      <w:pPr>
        <w:pStyle w:val="NormalWeb"/>
        <w:spacing w:before="0" w:beforeAutospacing="0" w:after="0" w:afterAutospacing="0"/>
        <w:ind w:firstLine="709"/>
        <w:jc w:val="both"/>
        <w:rPr>
          <w:rFonts w:ascii="Arial" w:hAnsi="Arial" w:cs="Arial"/>
          <w:color w:val="000000" w:themeColor="text1"/>
          <w:sz w:val="19"/>
          <w:szCs w:val="19"/>
          <w:lang w:val="es-MX"/>
        </w:rPr>
      </w:pPr>
      <w:r w:rsidRPr="004668BA">
        <w:rPr>
          <w:rFonts w:ascii="Arial" w:eastAsia="Calibri" w:hAnsi="Arial" w:cs="Arial"/>
          <w:bCs/>
          <w:color w:val="000000" w:themeColor="text1"/>
          <w:sz w:val="19"/>
          <w:szCs w:val="19"/>
        </w:rPr>
        <w:t>»</w:t>
      </w:r>
      <w:r w:rsidRPr="004668BA">
        <w:rPr>
          <w:rStyle w:val="baj"/>
          <w:rFonts w:ascii="Arial" w:hAnsi="Arial" w:cs="Arial"/>
          <w:color w:val="000000" w:themeColor="text1"/>
          <w:sz w:val="19"/>
          <w:szCs w:val="19"/>
          <w:lang w:val="es-MX"/>
        </w:rPr>
        <w:t xml:space="preserve"> Parágrafo.</w:t>
      </w:r>
      <w:r w:rsidRPr="004668BA">
        <w:rPr>
          <w:rFonts w:ascii="Arial" w:hAnsi="Arial" w:cs="Arial"/>
          <w:color w:val="000000" w:themeColor="text1"/>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668BA">
        <w:rPr>
          <w:rFonts w:ascii="Arial" w:eastAsia="Calibri" w:hAnsi="Arial" w:cs="Arial"/>
          <w:bCs/>
          <w:color w:val="000000" w:themeColor="text1"/>
          <w:sz w:val="19"/>
          <w:szCs w:val="19"/>
        </w:rPr>
        <w:t>»</w:t>
      </w:r>
      <w:r w:rsidRPr="004668BA">
        <w:rPr>
          <w:rFonts w:ascii="Arial" w:hAnsi="Arial" w:cs="Arial"/>
          <w:color w:val="000000" w:themeColor="text1"/>
          <w:sz w:val="19"/>
          <w:szCs w:val="19"/>
          <w:lang w:val="es-MX"/>
        </w:rPr>
        <w:t>.</w:t>
      </w:r>
    </w:p>
    <w:p w14:paraId="0767CFE3" w14:textId="77777777" w:rsidR="005D7824" w:rsidRPr="004668BA" w:rsidRDefault="005D7824" w:rsidP="005B433C">
      <w:pPr>
        <w:pStyle w:val="Textonotapie"/>
        <w:ind w:firstLine="709"/>
        <w:jc w:val="both"/>
        <w:rPr>
          <w:rFonts w:ascii="Arial" w:hAnsi="Arial" w:cs="Arial"/>
          <w:color w:val="000000" w:themeColor="text1"/>
          <w:sz w:val="19"/>
          <w:szCs w:val="19"/>
          <w:lang w:val="es-CO"/>
        </w:rPr>
      </w:pPr>
    </w:p>
  </w:footnote>
  <w:footnote w:id="11">
    <w:p w14:paraId="349EEFF6" w14:textId="77777777" w:rsidR="005D7824" w:rsidRPr="004668BA" w:rsidRDefault="005D7824" w:rsidP="005B433C">
      <w:pPr>
        <w:ind w:firstLine="709"/>
        <w:jc w:val="both"/>
        <w:rPr>
          <w:rFonts w:ascii="Arial" w:hAnsi="Arial" w:cs="Arial"/>
          <w:color w:val="000000" w:themeColor="text1"/>
          <w:sz w:val="19"/>
          <w:szCs w:val="19"/>
          <w:lang w:val="es-ES"/>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Consejo de Estado. Sala de Consulta y Servicio Civil. Concepto del 17 de febrero de 2015. C.P. William Zambrano Cetina. Radicación No. 11001-03-06-000-2015-00164-00(2269).</w:t>
      </w:r>
    </w:p>
    <w:p w14:paraId="5068888F" w14:textId="77777777" w:rsidR="005D7824" w:rsidRPr="004668BA" w:rsidRDefault="005D7824" w:rsidP="005B433C">
      <w:pPr>
        <w:pStyle w:val="Textonotapie"/>
        <w:ind w:firstLine="709"/>
        <w:jc w:val="both"/>
        <w:rPr>
          <w:rFonts w:ascii="Arial" w:hAnsi="Arial" w:cs="Arial"/>
          <w:color w:val="000000" w:themeColor="text1"/>
          <w:sz w:val="19"/>
          <w:szCs w:val="19"/>
          <w:lang w:val="es-CO"/>
        </w:rPr>
      </w:pPr>
    </w:p>
  </w:footnote>
  <w:footnote w:id="12">
    <w:p w14:paraId="554BA7C5"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bookmarkStart w:id="25" w:name="_Hlk74272731"/>
      <w:r w:rsidRPr="004668BA">
        <w:rPr>
          <w:rFonts w:ascii="Arial" w:hAnsi="Arial" w:cs="Arial"/>
          <w:color w:val="000000" w:themeColor="text1"/>
          <w:sz w:val="19"/>
          <w:szCs w:val="19"/>
        </w:rPr>
        <w:t>«</w:t>
      </w:r>
      <w:bookmarkEnd w:id="25"/>
      <w:r w:rsidRPr="004668BA">
        <w:rPr>
          <w:rFonts w:ascii="Arial" w:hAnsi="Arial" w:cs="Arial"/>
          <w:color w:val="000000" w:themeColor="text1"/>
          <w:sz w:val="19"/>
          <w:szCs w:val="19"/>
          <w:lang w:val="es-ES"/>
        </w:rPr>
        <w:t xml:space="preserve">[25] </w:t>
      </w:r>
      <w:r w:rsidRPr="004668BA">
        <w:rPr>
          <w:rFonts w:ascii="Arial" w:hAnsi="Arial" w:cs="Arial"/>
          <w:color w:val="000000" w:themeColor="text1"/>
          <w:sz w:val="19"/>
          <w:szCs w:val="19"/>
        </w:rPr>
        <w:t>Cfr. Consejo de Estado. Sección Tercera. Sentencia de 3 de diciembre de 2007. Radicados: 24.715, 25.206, 25.409, 24.524, 27.834, 25.410, 26.105, 28.244, 31.447 -acumulados-</w:t>
      </w:r>
      <w:bookmarkStart w:id="26" w:name="_Hlk74271358"/>
      <w:r w:rsidRPr="004668BA">
        <w:rPr>
          <w:rFonts w:ascii="Arial" w:hAnsi="Arial" w:cs="Arial"/>
          <w:color w:val="000000" w:themeColor="text1"/>
          <w:sz w:val="19"/>
          <w:szCs w:val="19"/>
        </w:rPr>
        <w:t>»</w:t>
      </w:r>
      <w:bookmarkEnd w:id="26"/>
      <w:r w:rsidRPr="004668BA">
        <w:rPr>
          <w:rFonts w:ascii="Arial" w:hAnsi="Arial" w:cs="Arial"/>
          <w:color w:val="000000" w:themeColor="text1"/>
          <w:sz w:val="19"/>
          <w:szCs w:val="19"/>
        </w:rPr>
        <w:t>.</w:t>
      </w:r>
    </w:p>
    <w:p w14:paraId="527017E4" w14:textId="77777777" w:rsidR="005D7824" w:rsidRPr="004668BA" w:rsidRDefault="005D7824" w:rsidP="005B433C">
      <w:pPr>
        <w:pStyle w:val="Textonotapie"/>
        <w:ind w:firstLine="709"/>
        <w:jc w:val="both"/>
        <w:rPr>
          <w:rFonts w:ascii="Arial" w:hAnsi="Arial" w:cs="Arial"/>
          <w:color w:val="000000" w:themeColor="text1"/>
          <w:sz w:val="19"/>
          <w:szCs w:val="19"/>
        </w:rPr>
      </w:pPr>
    </w:p>
  </w:footnote>
  <w:footnote w:id="13">
    <w:p w14:paraId="3151722D"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bookmarkStart w:id="28" w:name="_Hlk74294506"/>
      <w:r w:rsidRPr="004668BA">
        <w:rPr>
          <w:rFonts w:ascii="Arial" w:hAnsi="Arial" w:cs="Arial"/>
          <w:color w:val="000000" w:themeColor="text1"/>
          <w:sz w:val="19"/>
          <w:szCs w:val="19"/>
        </w:rPr>
        <w:t>«</w:t>
      </w:r>
      <w:r w:rsidRPr="004668BA">
        <w:rPr>
          <w:rFonts w:ascii="Arial" w:hAnsi="Arial" w:cs="Arial"/>
          <w:color w:val="000000" w:themeColor="text1"/>
          <w:sz w:val="19"/>
          <w:szCs w:val="19"/>
          <w:lang w:val="es-ES"/>
        </w:rPr>
        <w:t xml:space="preserve">[26] </w:t>
      </w:r>
      <w:bookmarkEnd w:id="28"/>
      <w:r w:rsidRPr="004668BA">
        <w:rPr>
          <w:rFonts w:ascii="Arial" w:hAnsi="Arial" w:cs="Arial"/>
          <w:color w:val="000000" w:themeColor="text1"/>
          <w:sz w:val="19"/>
          <w:szCs w:val="19"/>
        </w:rPr>
        <w:t>Al respecto ver el concepto 1712 de 2 de febrero de 2006. Consejo de Estado Sala de Consulta y Servicio Civil».</w:t>
      </w:r>
    </w:p>
    <w:p w14:paraId="1C95F4DA" w14:textId="77777777" w:rsidR="005D7824" w:rsidRPr="004668BA" w:rsidRDefault="005D7824" w:rsidP="005B433C">
      <w:pPr>
        <w:pStyle w:val="Textonotapie"/>
        <w:ind w:firstLine="709"/>
        <w:jc w:val="both"/>
        <w:rPr>
          <w:rFonts w:ascii="Arial" w:hAnsi="Arial" w:cs="Arial"/>
          <w:color w:val="000000" w:themeColor="text1"/>
          <w:sz w:val="19"/>
          <w:szCs w:val="19"/>
        </w:rPr>
      </w:pPr>
    </w:p>
  </w:footnote>
  <w:footnote w:id="14">
    <w:p w14:paraId="3FDF1421"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Consejo de Estado. Sala de Consulta y Servicio Civil. Concepto del 2 de septiembre de 2013. Radicación número: 11001-03-06-000-2013-00412-00 (2168). Consejero Ponente: Álvaro </w:t>
      </w:r>
      <w:proofErr w:type="spellStart"/>
      <w:r w:rsidRPr="004668BA">
        <w:rPr>
          <w:rFonts w:ascii="Arial" w:hAnsi="Arial" w:cs="Arial"/>
          <w:color w:val="000000" w:themeColor="text1"/>
          <w:sz w:val="19"/>
          <w:szCs w:val="19"/>
        </w:rPr>
        <w:t>Namén</w:t>
      </w:r>
      <w:proofErr w:type="spellEnd"/>
      <w:r w:rsidRPr="004668BA">
        <w:rPr>
          <w:rFonts w:ascii="Arial" w:hAnsi="Arial" w:cs="Arial"/>
          <w:color w:val="000000" w:themeColor="text1"/>
          <w:sz w:val="19"/>
          <w:szCs w:val="19"/>
        </w:rPr>
        <w:t xml:space="preserve"> Vargas.</w:t>
      </w:r>
    </w:p>
  </w:footnote>
  <w:footnote w:id="15">
    <w:p w14:paraId="6C141405" w14:textId="77777777" w:rsidR="005D7824" w:rsidRPr="004668BA" w:rsidRDefault="005D7824" w:rsidP="005B433C">
      <w:pPr>
        <w:pStyle w:val="Textonotapie"/>
        <w:ind w:firstLine="709"/>
        <w:jc w:val="both"/>
        <w:rPr>
          <w:rFonts w:ascii="Arial" w:hAnsi="Arial" w:cs="Arial"/>
          <w:color w:val="000000" w:themeColor="text1"/>
          <w:sz w:val="19"/>
          <w:szCs w:val="19"/>
        </w:rPr>
      </w:pPr>
    </w:p>
    <w:p w14:paraId="59510272" w14:textId="77777777" w:rsidR="005D7824" w:rsidRPr="004668BA" w:rsidRDefault="005D7824" w:rsidP="005B433C">
      <w:pPr>
        <w:pStyle w:val="Textonotapie"/>
        <w:ind w:firstLine="709"/>
        <w:jc w:val="both"/>
        <w:rPr>
          <w:rFonts w:ascii="Arial" w:hAnsi="Arial" w:cs="Arial"/>
          <w:color w:val="000000" w:themeColor="text1"/>
          <w:sz w:val="19"/>
          <w:szCs w:val="19"/>
          <w:lang w:val="es-ES"/>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Pr="004668BA">
        <w:rPr>
          <w:rFonts w:ascii="Arial" w:hAnsi="Arial" w:cs="Arial"/>
          <w:color w:val="000000" w:themeColor="text1"/>
          <w:sz w:val="19"/>
          <w:szCs w:val="19"/>
          <w:lang w:val="es-ES"/>
        </w:rPr>
        <w:t xml:space="preserve">Artículo 2. </w:t>
      </w:r>
    </w:p>
    <w:p w14:paraId="13D7A85B" w14:textId="77777777" w:rsidR="005D7824" w:rsidRPr="004668BA" w:rsidRDefault="005D7824" w:rsidP="005B433C">
      <w:pPr>
        <w:pStyle w:val="Textonotapie"/>
        <w:ind w:firstLine="709"/>
        <w:jc w:val="both"/>
        <w:rPr>
          <w:rFonts w:ascii="Arial" w:hAnsi="Arial" w:cs="Arial"/>
          <w:color w:val="000000" w:themeColor="text1"/>
          <w:sz w:val="19"/>
          <w:szCs w:val="19"/>
          <w:lang w:val="es-ES"/>
        </w:rPr>
      </w:pPr>
    </w:p>
  </w:footnote>
  <w:footnote w:id="16">
    <w:p w14:paraId="536275D6" w14:textId="0D40D056" w:rsidR="005D7824" w:rsidRPr="004668BA" w:rsidRDefault="005D7824" w:rsidP="005B433C">
      <w:pPr>
        <w:pStyle w:val="Textonotapie"/>
        <w:ind w:firstLine="709"/>
        <w:jc w:val="both"/>
        <w:rPr>
          <w:rFonts w:ascii="Arial" w:hAnsi="Arial" w:cs="Arial"/>
          <w:color w:val="000000" w:themeColor="text1"/>
          <w:sz w:val="19"/>
          <w:szCs w:val="19"/>
          <w:lang w:val="es-ES"/>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proofErr w:type="spellStart"/>
      <w:r w:rsidR="0027737A">
        <w:rPr>
          <w:rFonts w:ascii="Arial" w:hAnsi="Arial" w:cs="Arial"/>
          <w:i/>
          <w:color w:val="000000" w:themeColor="text1"/>
          <w:sz w:val="19"/>
          <w:szCs w:val="19"/>
          <w:lang w:val="es-ES"/>
        </w:rPr>
        <w:t>Ibíd</w:t>
      </w:r>
      <w:proofErr w:type="spellEnd"/>
      <w:r w:rsidRPr="004668BA">
        <w:rPr>
          <w:rFonts w:ascii="Arial" w:hAnsi="Arial" w:cs="Arial"/>
          <w:color w:val="000000" w:themeColor="text1"/>
          <w:sz w:val="19"/>
          <w:szCs w:val="19"/>
          <w:lang w:val="es-ES"/>
        </w:rPr>
        <w:t>.</w:t>
      </w:r>
    </w:p>
    <w:p w14:paraId="034F773A" w14:textId="77777777" w:rsidR="005D7824" w:rsidRPr="004668BA" w:rsidRDefault="005D7824" w:rsidP="005B433C">
      <w:pPr>
        <w:pStyle w:val="Textonotapie"/>
        <w:ind w:firstLine="709"/>
        <w:jc w:val="both"/>
        <w:rPr>
          <w:rFonts w:ascii="Arial" w:hAnsi="Arial" w:cs="Arial"/>
          <w:color w:val="000000" w:themeColor="text1"/>
          <w:sz w:val="19"/>
          <w:szCs w:val="19"/>
          <w:lang w:val="es-ES"/>
        </w:rPr>
      </w:pPr>
    </w:p>
  </w:footnote>
  <w:footnote w:id="17">
    <w:p w14:paraId="1A9D8F70" w14:textId="77777777" w:rsidR="005D7824" w:rsidRPr="004668BA" w:rsidRDefault="005D7824" w:rsidP="005B433C">
      <w:pPr>
        <w:pStyle w:val="Textonotapie"/>
        <w:ind w:firstLine="709"/>
        <w:jc w:val="both"/>
        <w:rPr>
          <w:rFonts w:ascii="Arial" w:hAnsi="Arial" w:cs="Arial"/>
          <w:color w:val="000000" w:themeColor="text1"/>
          <w:sz w:val="19"/>
          <w:szCs w:val="19"/>
          <w:lang w:val="es-ES"/>
        </w:rPr>
      </w:pPr>
      <w:r w:rsidRPr="004668BA">
        <w:rPr>
          <w:rStyle w:val="Refdenotaalpie"/>
          <w:rFonts w:ascii="Arial" w:hAnsi="Arial" w:cs="Arial"/>
          <w:color w:val="000000" w:themeColor="text1"/>
          <w:sz w:val="19"/>
          <w:szCs w:val="19"/>
        </w:rPr>
        <w:footnoteRef/>
      </w:r>
      <w:r w:rsidRPr="004668BA">
        <w:rPr>
          <w:rStyle w:val="Refdenotaalpie"/>
          <w:rFonts w:ascii="Arial" w:hAnsi="Arial" w:cs="Arial"/>
          <w:color w:val="000000" w:themeColor="text1"/>
          <w:sz w:val="19"/>
          <w:szCs w:val="19"/>
        </w:rPr>
        <w:t xml:space="preserve"> </w:t>
      </w:r>
      <w:bookmarkStart w:id="32" w:name="_Hlk74297130"/>
      <w:r w:rsidRPr="004668BA">
        <w:rPr>
          <w:rFonts w:ascii="Arial" w:hAnsi="Arial" w:cs="Arial"/>
          <w:color w:val="000000" w:themeColor="text1"/>
          <w:sz w:val="19"/>
          <w:szCs w:val="19"/>
          <w:lang w:val="es-ES"/>
        </w:rPr>
        <w:t>«</w:t>
      </w:r>
      <w:bookmarkEnd w:id="32"/>
      <w:r w:rsidRPr="004668BA">
        <w:rPr>
          <w:rFonts w:ascii="Arial" w:hAnsi="Arial" w:cs="Arial"/>
          <w:color w:val="000000" w:themeColor="text1"/>
          <w:sz w:val="19"/>
          <w:szCs w:val="19"/>
          <w:lang w:val="es-ES"/>
        </w:rPr>
        <w:t xml:space="preserve">[…] A este respecto, cabe recordar que el artículo 860 del Código de Comercio regula la licitación en el derecho privado». </w:t>
      </w:r>
    </w:p>
    <w:p w14:paraId="29948B57" w14:textId="77777777" w:rsidR="005D7824" w:rsidRPr="004668BA" w:rsidRDefault="005D7824" w:rsidP="005B433C">
      <w:pPr>
        <w:pStyle w:val="Textonotapie"/>
        <w:ind w:firstLine="709"/>
        <w:jc w:val="both"/>
        <w:rPr>
          <w:rFonts w:ascii="Arial" w:hAnsi="Arial" w:cs="Arial"/>
          <w:color w:val="000000" w:themeColor="text1"/>
          <w:sz w:val="19"/>
          <w:szCs w:val="19"/>
          <w:lang w:val="es-ES"/>
        </w:rPr>
      </w:pPr>
    </w:p>
  </w:footnote>
  <w:footnote w:id="18">
    <w:p w14:paraId="42B2564E" w14:textId="77E6F7C9" w:rsidR="005D7824" w:rsidRPr="004668BA" w:rsidRDefault="005D7824" w:rsidP="005B433C">
      <w:pPr>
        <w:shd w:val="clear" w:color="auto" w:fill="FFFFFF"/>
        <w:ind w:firstLine="709"/>
        <w:jc w:val="both"/>
        <w:rPr>
          <w:rFonts w:ascii="Arial" w:hAnsi="Arial" w:cs="Arial"/>
          <w:color w:val="000000" w:themeColor="text1"/>
          <w:sz w:val="19"/>
          <w:szCs w:val="19"/>
          <w:lang w:val="es-ES"/>
        </w:rPr>
      </w:pPr>
      <w:r w:rsidRPr="004668BA">
        <w:rPr>
          <w:rStyle w:val="Refdenotaalpie"/>
          <w:rFonts w:ascii="Arial" w:hAnsi="Arial" w:cs="Arial"/>
          <w:color w:val="000000" w:themeColor="text1"/>
          <w:sz w:val="19"/>
          <w:szCs w:val="19"/>
        </w:rPr>
        <w:footnoteRef/>
      </w:r>
      <w:r w:rsidRPr="004668BA">
        <w:rPr>
          <w:rStyle w:val="Refdenotaalpie"/>
          <w:rFonts w:ascii="Arial" w:hAnsi="Arial" w:cs="Arial"/>
          <w:color w:val="000000" w:themeColor="text1"/>
          <w:sz w:val="19"/>
          <w:szCs w:val="19"/>
        </w:rPr>
        <w:t xml:space="preserve"> </w:t>
      </w:r>
      <w:r w:rsidRPr="004668BA">
        <w:rPr>
          <w:rFonts w:ascii="Arial" w:hAnsi="Arial" w:cs="Arial"/>
          <w:color w:val="000000" w:themeColor="text1"/>
          <w:sz w:val="19"/>
          <w:szCs w:val="19"/>
          <w:lang w:val="es-ES"/>
        </w:rPr>
        <w:t>Consejo de Estado. Sala de Consulta y Servicio Civil</w:t>
      </w:r>
      <w:r w:rsidR="00DF48E6">
        <w:rPr>
          <w:rFonts w:ascii="Arial" w:hAnsi="Arial" w:cs="Arial"/>
          <w:color w:val="000000" w:themeColor="text1"/>
          <w:sz w:val="19"/>
          <w:szCs w:val="19"/>
          <w:lang w:val="es-ES"/>
        </w:rPr>
        <w:t>.</w:t>
      </w:r>
      <w:r w:rsidRPr="004668BA">
        <w:rPr>
          <w:rFonts w:ascii="Arial" w:hAnsi="Arial" w:cs="Arial"/>
          <w:color w:val="000000" w:themeColor="text1"/>
          <w:sz w:val="19"/>
          <w:szCs w:val="19"/>
          <w:lang w:val="es-ES"/>
        </w:rPr>
        <w:t xml:space="preserve"> Concepto de</w:t>
      </w:r>
      <w:r w:rsidR="00DF48E6">
        <w:rPr>
          <w:rFonts w:ascii="Arial" w:hAnsi="Arial" w:cs="Arial"/>
          <w:color w:val="000000" w:themeColor="text1"/>
          <w:sz w:val="19"/>
          <w:szCs w:val="19"/>
          <w:lang w:val="es-ES"/>
        </w:rPr>
        <w:t>l</w:t>
      </w:r>
      <w:r w:rsidRPr="004668BA">
        <w:rPr>
          <w:rFonts w:ascii="Arial" w:hAnsi="Arial" w:cs="Arial"/>
          <w:color w:val="000000" w:themeColor="text1"/>
          <w:sz w:val="19"/>
          <w:szCs w:val="19"/>
          <w:lang w:val="es-ES"/>
        </w:rPr>
        <w:t xml:space="preserve"> 8 de mayo de 2018. Radicación Número: 11001-03-06-000-2018-00095-00</w:t>
      </w:r>
      <w:r w:rsidR="00DF48E6">
        <w:rPr>
          <w:rFonts w:ascii="Arial" w:hAnsi="Arial" w:cs="Arial"/>
          <w:color w:val="000000" w:themeColor="text1"/>
          <w:sz w:val="19"/>
          <w:szCs w:val="19"/>
          <w:lang w:val="es-ES"/>
        </w:rPr>
        <w:t xml:space="preserve"> </w:t>
      </w:r>
      <w:r w:rsidRPr="004668BA">
        <w:rPr>
          <w:rFonts w:ascii="Arial" w:hAnsi="Arial" w:cs="Arial"/>
          <w:color w:val="000000" w:themeColor="text1"/>
          <w:sz w:val="19"/>
          <w:szCs w:val="19"/>
          <w:lang w:val="es-ES"/>
        </w:rPr>
        <w:t>(2</w:t>
      </w:r>
      <w:r w:rsidR="00DF48E6">
        <w:rPr>
          <w:rFonts w:ascii="Arial" w:hAnsi="Arial" w:cs="Arial"/>
          <w:color w:val="000000" w:themeColor="text1"/>
          <w:sz w:val="19"/>
          <w:szCs w:val="19"/>
          <w:lang w:val="es-ES"/>
        </w:rPr>
        <w:t>.</w:t>
      </w:r>
      <w:r w:rsidRPr="004668BA">
        <w:rPr>
          <w:rFonts w:ascii="Arial" w:hAnsi="Arial" w:cs="Arial"/>
          <w:color w:val="000000" w:themeColor="text1"/>
          <w:sz w:val="19"/>
          <w:szCs w:val="19"/>
          <w:lang w:val="es-ES"/>
        </w:rPr>
        <w:t xml:space="preserve">382). </w:t>
      </w:r>
      <w:r w:rsidR="00DF48E6">
        <w:rPr>
          <w:rFonts w:ascii="Arial" w:hAnsi="Arial" w:cs="Arial"/>
          <w:color w:val="000000" w:themeColor="text1"/>
          <w:sz w:val="19"/>
          <w:szCs w:val="19"/>
          <w:lang w:val="es-ES"/>
        </w:rPr>
        <w:t>C.P.</w:t>
      </w:r>
      <w:r w:rsidRPr="004668BA">
        <w:rPr>
          <w:rFonts w:ascii="Arial" w:hAnsi="Arial" w:cs="Arial"/>
          <w:color w:val="000000" w:themeColor="text1"/>
          <w:sz w:val="19"/>
          <w:szCs w:val="19"/>
          <w:lang w:val="es-ES"/>
        </w:rPr>
        <w:t xml:space="preserve"> Álvaro </w:t>
      </w:r>
      <w:proofErr w:type="spellStart"/>
      <w:r w:rsidRPr="004668BA">
        <w:rPr>
          <w:rFonts w:ascii="Arial" w:hAnsi="Arial" w:cs="Arial"/>
          <w:color w:val="000000" w:themeColor="text1"/>
          <w:sz w:val="19"/>
          <w:szCs w:val="19"/>
          <w:lang w:val="es-ES"/>
        </w:rPr>
        <w:t>Namén</w:t>
      </w:r>
      <w:proofErr w:type="spellEnd"/>
      <w:r w:rsidRPr="004668BA">
        <w:rPr>
          <w:rFonts w:ascii="Arial" w:hAnsi="Arial" w:cs="Arial"/>
          <w:color w:val="000000" w:themeColor="text1"/>
          <w:sz w:val="19"/>
          <w:szCs w:val="19"/>
          <w:lang w:val="es-ES"/>
        </w:rPr>
        <w:t xml:space="preserve"> Vargas.</w:t>
      </w:r>
    </w:p>
    <w:p w14:paraId="4EA5D609" w14:textId="77777777" w:rsidR="005D7824" w:rsidRPr="004668BA" w:rsidRDefault="005D7824" w:rsidP="005B433C">
      <w:pPr>
        <w:shd w:val="clear" w:color="auto" w:fill="FFFFFF"/>
        <w:ind w:firstLine="709"/>
        <w:jc w:val="both"/>
        <w:rPr>
          <w:rFonts w:ascii="Arial" w:hAnsi="Arial" w:cs="Arial"/>
          <w:color w:val="000000" w:themeColor="text1"/>
          <w:sz w:val="19"/>
          <w:szCs w:val="19"/>
          <w:lang w:val="es-ES"/>
        </w:rPr>
      </w:pPr>
    </w:p>
  </w:footnote>
  <w:footnote w:id="19">
    <w:p w14:paraId="4B110018" w14:textId="39DE1F78" w:rsidR="005D7824"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00DF48E6" w:rsidRPr="00DF48E6">
        <w:rPr>
          <w:rFonts w:ascii="Arial" w:hAnsi="Arial" w:cs="Arial"/>
          <w:i/>
          <w:iCs/>
          <w:color w:val="000000" w:themeColor="text1"/>
          <w:sz w:val="19"/>
          <w:szCs w:val="19"/>
        </w:rPr>
        <w:t>Ibid</w:t>
      </w:r>
      <w:r w:rsidR="00DF48E6">
        <w:rPr>
          <w:rFonts w:ascii="Arial" w:hAnsi="Arial" w:cs="Arial"/>
          <w:color w:val="000000" w:themeColor="text1"/>
          <w:sz w:val="19"/>
          <w:szCs w:val="19"/>
        </w:rPr>
        <w:t>.</w:t>
      </w:r>
    </w:p>
    <w:p w14:paraId="32BDA069" w14:textId="77777777" w:rsidR="0027737A" w:rsidRPr="004668BA" w:rsidRDefault="0027737A" w:rsidP="005B433C">
      <w:pPr>
        <w:pStyle w:val="Textonotapie"/>
        <w:ind w:firstLine="709"/>
        <w:jc w:val="both"/>
        <w:rPr>
          <w:rFonts w:ascii="Arial" w:hAnsi="Arial" w:cs="Arial"/>
          <w:color w:val="000000" w:themeColor="text1"/>
          <w:sz w:val="19"/>
          <w:szCs w:val="19"/>
        </w:rPr>
      </w:pPr>
    </w:p>
  </w:footnote>
  <w:footnote w:id="20">
    <w:p w14:paraId="663D76FA" w14:textId="77777777" w:rsidR="005D7824" w:rsidRDefault="005D7824" w:rsidP="005B433C">
      <w:pPr>
        <w:pStyle w:val="Textonotapie"/>
        <w:ind w:firstLine="708"/>
        <w:jc w:val="both"/>
        <w:rPr>
          <w:rFonts w:ascii="Arial" w:hAnsi="Arial" w:cs="Arial"/>
          <w:sz w:val="19"/>
          <w:szCs w:val="19"/>
        </w:rPr>
      </w:pPr>
      <w:r w:rsidRPr="004668BA">
        <w:rPr>
          <w:rStyle w:val="Refdenotaalpie"/>
          <w:rFonts w:ascii="Arial" w:hAnsi="Arial" w:cs="Arial"/>
          <w:sz w:val="19"/>
          <w:szCs w:val="19"/>
        </w:rPr>
        <w:footnoteRef/>
      </w:r>
      <w:r w:rsidRPr="004668BA">
        <w:rPr>
          <w:rFonts w:ascii="Arial" w:hAnsi="Arial" w:cs="Arial"/>
          <w:sz w:val="19"/>
          <w:szCs w:val="19"/>
        </w:rPr>
        <w:t xml:space="preserve"> Agencia Nacional de Contratación Pública – Colombia Compra Eficiente. Circular Externa Única. Numeral 15.5.</w:t>
      </w:r>
    </w:p>
    <w:p w14:paraId="5F0A41FD" w14:textId="77777777" w:rsidR="005D7824" w:rsidRPr="004668BA" w:rsidRDefault="005D7824" w:rsidP="005B433C">
      <w:pPr>
        <w:pStyle w:val="Textonotapie"/>
        <w:ind w:firstLine="708"/>
        <w:jc w:val="both"/>
        <w:rPr>
          <w:rFonts w:ascii="Arial" w:hAnsi="Arial" w:cs="Arial"/>
          <w:sz w:val="19"/>
          <w:szCs w:val="19"/>
        </w:rPr>
      </w:pPr>
    </w:p>
  </w:footnote>
  <w:footnote w:id="21">
    <w:p w14:paraId="279279B4"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4668BA">
        <w:rPr>
          <w:rFonts w:ascii="Arial" w:hAnsi="Arial" w:cs="Arial"/>
          <w:color w:val="000000" w:themeColor="text1"/>
          <w:sz w:val="19"/>
          <w:szCs w:val="19"/>
        </w:rPr>
        <w:t>N°</w:t>
      </w:r>
      <w:proofErr w:type="spellEnd"/>
      <w:r w:rsidRPr="004668BA">
        <w:rPr>
          <w:rFonts w:ascii="Arial" w:hAnsi="Arial" w:cs="Arial"/>
          <w:color w:val="000000" w:themeColor="text1"/>
          <w:sz w:val="19"/>
          <w:szCs w:val="19"/>
        </w:rPr>
        <w:t xml:space="preserve"> 216/05 Senado, </w:t>
      </w:r>
      <w:proofErr w:type="spellStart"/>
      <w:r w:rsidRPr="004668BA">
        <w:rPr>
          <w:rFonts w:ascii="Arial" w:hAnsi="Arial" w:cs="Arial"/>
          <w:color w:val="000000" w:themeColor="text1"/>
          <w:sz w:val="19"/>
          <w:szCs w:val="19"/>
        </w:rPr>
        <w:t>N°</w:t>
      </w:r>
      <w:proofErr w:type="spellEnd"/>
      <w:r w:rsidRPr="004668BA">
        <w:rPr>
          <w:rFonts w:ascii="Arial" w:hAnsi="Arial" w:cs="Arial"/>
          <w:color w:val="000000" w:themeColor="text1"/>
          <w:sz w:val="19"/>
          <w:szCs w:val="19"/>
        </w:rPr>
        <w:t xml:space="preserve"> 235-Cámara que dio lugar a la Ley de Garantías Electorales.</w:t>
      </w:r>
    </w:p>
  </w:footnote>
  <w:footnote w:id="22">
    <w:p w14:paraId="3953AC5B" w14:textId="77777777" w:rsidR="005D7824" w:rsidRPr="004668BA" w:rsidRDefault="005D7824" w:rsidP="005B433C">
      <w:pPr>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Consejo de Estado. Sala de Consulta y Servicio Civil. Concepto de 20 de febrero de 2006. Radicación Número: 11001-03-06-000-2006-00026-00</w:t>
      </w:r>
      <w:r>
        <w:rPr>
          <w:rFonts w:ascii="Arial" w:hAnsi="Arial" w:cs="Arial"/>
          <w:color w:val="000000" w:themeColor="text1"/>
          <w:sz w:val="19"/>
          <w:szCs w:val="19"/>
        </w:rPr>
        <w:t xml:space="preserve"> </w:t>
      </w:r>
      <w:r w:rsidRPr="004668BA">
        <w:rPr>
          <w:rFonts w:ascii="Arial" w:hAnsi="Arial" w:cs="Arial"/>
          <w:color w:val="000000" w:themeColor="text1"/>
          <w:sz w:val="19"/>
          <w:szCs w:val="19"/>
        </w:rPr>
        <w:t>(1</w:t>
      </w:r>
      <w:r>
        <w:rPr>
          <w:rFonts w:ascii="Arial" w:hAnsi="Arial" w:cs="Arial"/>
          <w:color w:val="000000" w:themeColor="text1"/>
          <w:sz w:val="19"/>
          <w:szCs w:val="19"/>
        </w:rPr>
        <w:t>.</w:t>
      </w:r>
      <w:r w:rsidRPr="004668BA">
        <w:rPr>
          <w:rFonts w:ascii="Arial" w:hAnsi="Arial" w:cs="Arial"/>
          <w:color w:val="000000" w:themeColor="text1"/>
          <w:sz w:val="19"/>
          <w:szCs w:val="19"/>
        </w:rPr>
        <w:t xml:space="preserve">727). </w:t>
      </w:r>
      <w:r>
        <w:rPr>
          <w:rFonts w:ascii="Arial" w:hAnsi="Arial" w:cs="Arial"/>
          <w:color w:val="000000" w:themeColor="text1"/>
          <w:sz w:val="19"/>
          <w:szCs w:val="19"/>
        </w:rPr>
        <w:t>C.P.</w:t>
      </w:r>
      <w:r w:rsidRPr="004668BA">
        <w:rPr>
          <w:rFonts w:ascii="Arial" w:hAnsi="Arial" w:cs="Arial"/>
          <w:color w:val="000000" w:themeColor="text1"/>
          <w:sz w:val="19"/>
          <w:szCs w:val="19"/>
        </w:rPr>
        <w:t xml:space="preserv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5A080137" w14:textId="77777777" w:rsidR="005D7824" w:rsidRPr="004668BA" w:rsidRDefault="005D7824" w:rsidP="005B433C">
      <w:pPr>
        <w:ind w:firstLine="709"/>
        <w:jc w:val="both"/>
        <w:rPr>
          <w:rFonts w:ascii="Arial" w:hAnsi="Arial" w:cs="Arial"/>
          <w:color w:val="000000" w:themeColor="text1"/>
          <w:sz w:val="19"/>
          <w:szCs w:val="19"/>
        </w:rPr>
      </w:pPr>
    </w:p>
  </w:footnote>
  <w:footnote w:id="23">
    <w:p w14:paraId="002372E0" w14:textId="77777777" w:rsidR="005D7824" w:rsidRDefault="005D7824" w:rsidP="005B433C">
      <w:pPr>
        <w:pStyle w:val="Textonotapie"/>
        <w:ind w:firstLine="709"/>
        <w:jc w:val="both"/>
        <w:rPr>
          <w:rFonts w:ascii="Arial" w:eastAsia="Times New Roman" w:hAnsi="Arial" w:cs="Arial"/>
          <w:bCs/>
          <w:color w:val="000000" w:themeColor="text1"/>
          <w:sz w:val="19"/>
          <w:szCs w:val="19"/>
          <w:lang w:eastAsia="x-none"/>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bookmarkStart w:id="46" w:name="_Hlk75633115"/>
      <w:r w:rsidRPr="004668BA">
        <w:rPr>
          <w:rFonts w:ascii="Arial" w:hAnsi="Arial" w:cs="Arial"/>
          <w:color w:val="000000" w:themeColor="text1"/>
          <w:sz w:val="19"/>
          <w:szCs w:val="19"/>
        </w:rPr>
        <w:t xml:space="preserve">Consejo de Estado. Sala de Consulta y Servicio Civil. Concepto </w:t>
      </w:r>
      <w:bookmarkEnd w:id="46"/>
      <w:r w:rsidRPr="004668BA">
        <w:rPr>
          <w:rFonts w:ascii="Arial" w:hAnsi="Arial" w:cs="Arial"/>
          <w:color w:val="000000" w:themeColor="text1"/>
          <w:sz w:val="19"/>
          <w:szCs w:val="19"/>
        </w:rPr>
        <w:t>de</w:t>
      </w:r>
      <w:r>
        <w:rPr>
          <w:rFonts w:ascii="Arial" w:hAnsi="Arial" w:cs="Arial"/>
          <w:color w:val="000000" w:themeColor="text1"/>
          <w:sz w:val="19"/>
          <w:szCs w:val="19"/>
        </w:rPr>
        <w:t>l</w:t>
      </w:r>
      <w:r w:rsidRPr="004668BA">
        <w:rPr>
          <w:rFonts w:ascii="Arial" w:hAnsi="Arial" w:cs="Arial"/>
          <w:color w:val="000000" w:themeColor="text1"/>
          <w:sz w:val="19"/>
          <w:szCs w:val="19"/>
        </w:rPr>
        <w:t xml:space="preserve"> 6 de abril de 2006. Radicación Número: 11001-03-06-000-2006-00038-00</w:t>
      </w:r>
      <w:r>
        <w:rPr>
          <w:rFonts w:ascii="Arial" w:hAnsi="Arial" w:cs="Arial"/>
          <w:color w:val="000000" w:themeColor="text1"/>
          <w:sz w:val="19"/>
          <w:szCs w:val="19"/>
        </w:rPr>
        <w:t xml:space="preserve"> </w:t>
      </w:r>
      <w:r w:rsidRPr="004668BA">
        <w:rPr>
          <w:rFonts w:ascii="Arial" w:hAnsi="Arial" w:cs="Arial"/>
          <w:color w:val="000000" w:themeColor="text1"/>
          <w:sz w:val="19"/>
          <w:szCs w:val="19"/>
        </w:rPr>
        <w:t>(1</w:t>
      </w:r>
      <w:r>
        <w:rPr>
          <w:rFonts w:ascii="Arial" w:hAnsi="Arial" w:cs="Arial"/>
          <w:color w:val="000000" w:themeColor="text1"/>
          <w:sz w:val="19"/>
          <w:szCs w:val="19"/>
        </w:rPr>
        <w:t>.</w:t>
      </w:r>
      <w:r w:rsidRPr="004668BA">
        <w:rPr>
          <w:rFonts w:ascii="Arial" w:hAnsi="Arial" w:cs="Arial"/>
          <w:color w:val="000000" w:themeColor="text1"/>
          <w:sz w:val="19"/>
          <w:szCs w:val="19"/>
        </w:rPr>
        <w:t xml:space="preserve">738). </w:t>
      </w:r>
      <w:r>
        <w:rPr>
          <w:rFonts w:ascii="Arial" w:hAnsi="Arial" w:cs="Arial"/>
          <w:color w:val="000000" w:themeColor="text1"/>
          <w:sz w:val="19"/>
          <w:szCs w:val="19"/>
        </w:rPr>
        <w:t>C.P.</w:t>
      </w:r>
      <w:r w:rsidRPr="004668BA">
        <w:rPr>
          <w:rFonts w:ascii="Arial" w:hAnsi="Arial" w:cs="Arial"/>
          <w:color w:val="000000" w:themeColor="text1"/>
          <w:sz w:val="19"/>
          <w:szCs w:val="19"/>
        </w:rPr>
        <w:t xml:space="preserve"> Enrique José Arboleda Perdomo:</w:t>
      </w:r>
      <w:r w:rsidRPr="004668BA">
        <w:rPr>
          <w:rFonts w:ascii="Arial" w:eastAsia="Times New Roman" w:hAnsi="Arial" w:cs="Arial"/>
          <w:bCs/>
          <w:color w:val="000000" w:themeColor="text1"/>
          <w:sz w:val="19"/>
          <w:szCs w:val="19"/>
          <w:lang w:eastAsia="x-none"/>
        </w:rPr>
        <w:t xml:space="preserve"> «</w:t>
      </w:r>
      <w:r w:rsidRPr="004668BA">
        <w:rPr>
          <w:rFonts w:ascii="Arial" w:hAnsi="Arial" w:cs="Arial"/>
          <w:color w:val="000000" w:themeColor="text1"/>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4668BA">
        <w:rPr>
          <w:rFonts w:ascii="Arial" w:eastAsia="Times New Roman" w:hAnsi="Arial" w:cs="Arial"/>
          <w:bCs/>
          <w:color w:val="000000" w:themeColor="text1"/>
          <w:sz w:val="19"/>
          <w:szCs w:val="19"/>
          <w:lang w:eastAsia="x-none"/>
        </w:rPr>
        <w:t>».</w:t>
      </w:r>
    </w:p>
    <w:p w14:paraId="6AFAB152" w14:textId="77777777" w:rsidR="005D7824" w:rsidRPr="004668BA" w:rsidRDefault="005D7824" w:rsidP="005B433C">
      <w:pPr>
        <w:pStyle w:val="Textonotapie"/>
        <w:ind w:firstLine="709"/>
        <w:jc w:val="both"/>
        <w:rPr>
          <w:rFonts w:ascii="Arial" w:hAnsi="Arial" w:cs="Arial"/>
          <w:color w:val="000000" w:themeColor="text1"/>
          <w:sz w:val="19"/>
          <w:szCs w:val="19"/>
        </w:rPr>
      </w:pPr>
    </w:p>
  </w:footnote>
  <w:footnote w:id="24">
    <w:p w14:paraId="2E718E9A"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Pr="004668BA">
        <w:rPr>
          <w:rFonts w:ascii="Arial" w:hAnsi="Arial" w:cs="Arial"/>
          <w:i/>
          <w:iCs/>
          <w:color w:val="000000" w:themeColor="text1"/>
          <w:sz w:val="19"/>
          <w:szCs w:val="19"/>
        </w:rPr>
        <w:t>Ib</w:t>
      </w:r>
      <w:r>
        <w:rPr>
          <w:rFonts w:ascii="Arial" w:hAnsi="Arial" w:cs="Arial"/>
          <w:i/>
          <w:iCs/>
          <w:color w:val="000000" w:themeColor="text1"/>
          <w:sz w:val="19"/>
          <w:szCs w:val="19"/>
        </w:rPr>
        <w:t>i</w:t>
      </w:r>
      <w:r w:rsidRPr="004668BA">
        <w:rPr>
          <w:rFonts w:ascii="Arial" w:hAnsi="Arial" w:cs="Arial"/>
          <w:i/>
          <w:iCs/>
          <w:color w:val="000000" w:themeColor="text1"/>
          <w:sz w:val="19"/>
          <w:szCs w:val="19"/>
        </w:rPr>
        <w:t>d</w:t>
      </w:r>
      <w:r w:rsidRPr="004668BA">
        <w:rPr>
          <w:rFonts w:ascii="Arial" w:hAnsi="Arial" w:cs="Arial"/>
          <w:color w:val="000000" w:themeColor="text1"/>
          <w:sz w:val="19"/>
          <w:szCs w:val="19"/>
        </w:rPr>
        <w:t>.</w:t>
      </w:r>
    </w:p>
    <w:p w14:paraId="55787CE4" w14:textId="77777777" w:rsidR="005D7824" w:rsidRPr="004668BA" w:rsidRDefault="005D7824" w:rsidP="005B433C">
      <w:pPr>
        <w:pStyle w:val="Textonotapie"/>
        <w:ind w:firstLine="709"/>
        <w:jc w:val="both"/>
        <w:rPr>
          <w:rFonts w:ascii="Arial" w:hAnsi="Arial" w:cs="Arial"/>
          <w:color w:val="000000" w:themeColor="text1"/>
          <w:sz w:val="19"/>
          <w:szCs w:val="19"/>
        </w:rPr>
      </w:pPr>
    </w:p>
  </w:footnote>
  <w:footnote w:id="25">
    <w:p w14:paraId="0A5C1398" w14:textId="196A081A" w:rsidR="005D7824"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Pr="004668BA">
        <w:rPr>
          <w:rFonts w:ascii="Arial" w:hAnsi="Arial" w:cs="Arial"/>
          <w:i/>
          <w:iCs/>
          <w:color w:val="000000" w:themeColor="text1"/>
          <w:sz w:val="19"/>
          <w:szCs w:val="19"/>
        </w:rPr>
        <w:t>Ibid</w:t>
      </w:r>
      <w:r>
        <w:rPr>
          <w:rFonts w:ascii="Arial" w:hAnsi="Arial" w:cs="Arial"/>
          <w:color w:val="000000" w:themeColor="text1"/>
          <w:sz w:val="19"/>
          <w:szCs w:val="19"/>
        </w:rPr>
        <w:t xml:space="preserve">. </w:t>
      </w:r>
    </w:p>
    <w:p w14:paraId="13C58831" w14:textId="77777777" w:rsidR="00DF48E6" w:rsidRPr="004668BA" w:rsidRDefault="00DF48E6" w:rsidP="005B433C">
      <w:pPr>
        <w:pStyle w:val="Textonotapie"/>
        <w:ind w:firstLine="709"/>
        <w:jc w:val="both"/>
        <w:rPr>
          <w:rFonts w:ascii="Arial" w:hAnsi="Arial" w:cs="Arial"/>
          <w:color w:val="000000" w:themeColor="text1"/>
          <w:sz w:val="19"/>
          <w:szCs w:val="19"/>
        </w:rPr>
      </w:pPr>
    </w:p>
  </w:footnote>
  <w:footnote w:id="26">
    <w:p w14:paraId="09685CC1"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Consejo de Estado. Sala de Consulta y Servicio Civil. Concepto de 20 de febrero de</w:t>
      </w:r>
      <w:r>
        <w:rPr>
          <w:rFonts w:ascii="Arial" w:hAnsi="Arial" w:cs="Arial"/>
          <w:color w:val="000000" w:themeColor="text1"/>
          <w:sz w:val="19"/>
          <w:szCs w:val="19"/>
        </w:rPr>
        <w:t xml:space="preserve"> </w:t>
      </w:r>
      <w:r w:rsidRPr="004668BA">
        <w:rPr>
          <w:rFonts w:ascii="Arial" w:hAnsi="Arial" w:cs="Arial"/>
          <w:color w:val="000000" w:themeColor="text1"/>
          <w:sz w:val="19"/>
          <w:szCs w:val="19"/>
        </w:rPr>
        <w:t>2006. Radicación 11001-03-06-000-2006-00023-00</w:t>
      </w:r>
      <w:r>
        <w:rPr>
          <w:rFonts w:ascii="Arial" w:hAnsi="Arial" w:cs="Arial"/>
          <w:color w:val="000000" w:themeColor="text1"/>
          <w:sz w:val="19"/>
          <w:szCs w:val="19"/>
        </w:rPr>
        <w:t xml:space="preserve"> </w:t>
      </w:r>
      <w:r w:rsidRPr="004668BA">
        <w:rPr>
          <w:rFonts w:ascii="Arial" w:hAnsi="Arial" w:cs="Arial"/>
          <w:color w:val="000000" w:themeColor="text1"/>
          <w:sz w:val="19"/>
          <w:szCs w:val="19"/>
        </w:rPr>
        <w:t xml:space="preserve">(1724). </w:t>
      </w:r>
      <w:r>
        <w:rPr>
          <w:rFonts w:ascii="Arial" w:hAnsi="Arial" w:cs="Arial"/>
          <w:color w:val="000000" w:themeColor="text1"/>
          <w:sz w:val="19"/>
          <w:szCs w:val="19"/>
        </w:rPr>
        <w:t xml:space="preserve">C.P. </w:t>
      </w:r>
      <w:r w:rsidRPr="004668BA">
        <w:rPr>
          <w:rFonts w:ascii="Arial" w:hAnsi="Arial" w:cs="Arial"/>
          <w:color w:val="000000" w:themeColor="text1"/>
          <w:sz w:val="19"/>
          <w:szCs w:val="19"/>
        </w:rPr>
        <w:t>Flavio Augusto Rodríguez Arce.</w:t>
      </w:r>
    </w:p>
    <w:p w14:paraId="03BB03E0" w14:textId="77777777" w:rsidR="005D7824" w:rsidRPr="004668BA" w:rsidRDefault="005D7824" w:rsidP="005B433C">
      <w:pPr>
        <w:pStyle w:val="Textonotapie"/>
        <w:ind w:firstLine="709"/>
        <w:jc w:val="both"/>
        <w:rPr>
          <w:rFonts w:ascii="Arial" w:hAnsi="Arial" w:cs="Arial"/>
          <w:color w:val="000000" w:themeColor="text1"/>
          <w:sz w:val="19"/>
          <w:szCs w:val="19"/>
        </w:rPr>
      </w:pPr>
    </w:p>
  </w:footnote>
  <w:footnote w:id="27">
    <w:p w14:paraId="38905ED9" w14:textId="77777777" w:rsidR="005D7824" w:rsidRPr="004668BA" w:rsidRDefault="005D7824" w:rsidP="005B433C">
      <w:pPr>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4668BA">
        <w:rPr>
          <w:rFonts w:ascii="Arial" w:hAnsi="Arial" w:cs="Arial"/>
          <w:color w:val="000000" w:themeColor="text1"/>
          <w:sz w:val="19"/>
          <w:szCs w:val="19"/>
        </w:rPr>
        <w:t>y</w:t>
      </w:r>
      <w:proofErr w:type="gramEnd"/>
      <w:r w:rsidRPr="004668BA">
        <w:rPr>
          <w:rFonts w:ascii="Arial" w:hAnsi="Arial" w:cs="Arial"/>
          <w:color w:val="000000" w:themeColor="text1"/>
          <w:sz w:val="19"/>
          <w:szCs w:val="19"/>
        </w:rPr>
        <w:t xml:space="preserve"> en consecuencia, le es aplicable lo establecido en el artículo 2.2.1.2.1.4.1 del presente decreto.</w:t>
      </w:r>
    </w:p>
    <w:p w14:paraId="159386B2" w14:textId="1C0682DD" w:rsidR="005D7824" w:rsidRDefault="005D7824" w:rsidP="005B433C">
      <w:pPr>
        <w:ind w:firstLine="709"/>
        <w:jc w:val="both"/>
        <w:rPr>
          <w:rFonts w:ascii="Arial" w:hAnsi="Arial" w:cs="Arial"/>
          <w:color w:val="000000" w:themeColor="text1"/>
          <w:sz w:val="19"/>
          <w:szCs w:val="19"/>
        </w:rPr>
      </w:pPr>
      <w:proofErr w:type="gramStart"/>
      <w:r w:rsidRPr="004668BA">
        <w:rPr>
          <w:rFonts w:ascii="Arial" w:hAnsi="Arial" w:cs="Arial"/>
          <w:color w:val="000000" w:themeColor="text1"/>
          <w:sz w:val="19"/>
          <w:szCs w:val="19"/>
        </w:rPr>
        <w:t>»Cuando</w:t>
      </w:r>
      <w:proofErr w:type="gramEnd"/>
      <w:r w:rsidRPr="004668BA">
        <w:rPr>
          <w:rFonts w:ascii="Arial" w:hAnsi="Arial" w:cs="Arial"/>
          <w:color w:val="000000" w:themeColor="text1"/>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668BA">
        <w:rPr>
          <w:rFonts w:ascii="Arial" w:hAnsi="Arial" w:cs="Arial"/>
          <w:color w:val="000000" w:themeColor="text1"/>
          <w:spacing w:val="-1"/>
          <w:sz w:val="19"/>
          <w:szCs w:val="19"/>
        </w:rPr>
        <w:t xml:space="preserve"> </w:t>
      </w:r>
      <w:r w:rsidRPr="004668BA">
        <w:rPr>
          <w:rFonts w:ascii="Arial" w:hAnsi="Arial" w:cs="Arial"/>
          <w:color w:val="000000" w:themeColor="text1"/>
          <w:sz w:val="19"/>
          <w:szCs w:val="19"/>
        </w:rPr>
        <w:t>Estatales».</w:t>
      </w:r>
    </w:p>
    <w:p w14:paraId="40D72191" w14:textId="77777777" w:rsidR="00DF48E6" w:rsidRPr="004668BA" w:rsidRDefault="00DF48E6" w:rsidP="005B433C">
      <w:pPr>
        <w:ind w:firstLine="709"/>
        <w:jc w:val="both"/>
        <w:rPr>
          <w:rFonts w:ascii="Arial" w:hAnsi="Arial" w:cs="Arial"/>
          <w:color w:val="000000" w:themeColor="text1"/>
          <w:sz w:val="19"/>
          <w:szCs w:val="19"/>
        </w:rPr>
      </w:pPr>
    </w:p>
  </w:footnote>
  <w:footnote w:id="28">
    <w:p w14:paraId="57A328AA" w14:textId="77777777" w:rsidR="005D7824" w:rsidRPr="004668BA" w:rsidRDefault="005D7824" w:rsidP="005B433C">
      <w:pPr>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668BA">
        <w:rPr>
          <w:rFonts w:ascii="Arial" w:hAnsi="Arial" w:cs="Arial"/>
          <w:color w:val="000000" w:themeColor="text1"/>
          <w:spacing w:val="-6"/>
          <w:sz w:val="19"/>
          <w:szCs w:val="19"/>
        </w:rPr>
        <w:t xml:space="preserve"> </w:t>
      </w:r>
      <w:r w:rsidRPr="004668BA">
        <w:rPr>
          <w:rFonts w:ascii="Arial" w:hAnsi="Arial" w:cs="Arial"/>
          <w:color w:val="000000" w:themeColor="text1"/>
          <w:sz w:val="19"/>
          <w:szCs w:val="19"/>
        </w:rPr>
        <w:t>artículo».</w:t>
      </w:r>
    </w:p>
    <w:p w14:paraId="295BDEF8" w14:textId="77777777" w:rsidR="005D7824" w:rsidRPr="004668BA" w:rsidRDefault="005D7824" w:rsidP="005B433C">
      <w:pPr>
        <w:ind w:firstLine="709"/>
        <w:jc w:val="both"/>
        <w:rPr>
          <w:rFonts w:ascii="Arial" w:hAnsi="Arial" w:cs="Arial"/>
          <w:color w:val="000000" w:themeColor="text1"/>
          <w:sz w:val="19"/>
          <w:szCs w:val="19"/>
        </w:rPr>
      </w:pPr>
    </w:p>
  </w:footnote>
  <w:footnote w:id="29">
    <w:p w14:paraId="4485A86F" w14:textId="77777777" w:rsidR="005D7824" w:rsidRPr="004668BA" w:rsidRDefault="005D7824" w:rsidP="005B433C">
      <w:pPr>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position w:val="7"/>
          <w:sz w:val="19"/>
          <w:szCs w:val="19"/>
        </w:rPr>
        <w:t xml:space="preserve"> </w:t>
      </w:r>
      <w:r w:rsidRPr="004668BA">
        <w:rPr>
          <w:rFonts w:ascii="Arial" w:hAnsi="Arial" w:cs="Arial"/>
          <w:color w:val="000000" w:themeColor="text1"/>
          <w:sz w:val="19"/>
          <w:szCs w:val="19"/>
        </w:rPr>
        <w:t>Consejo de Estado. Sección Tercera. Sentencia del 23 de junio de 2010. Radicación No. 66001-23-31-000-1998-00261-01(17.860). Consejero Ponente: Mauricio Fajardo Gómez.</w:t>
      </w:r>
    </w:p>
    <w:p w14:paraId="569B8A15" w14:textId="77777777" w:rsidR="005D7824" w:rsidRPr="004668BA" w:rsidRDefault="005D7824" w:rsidP="005B433C">
      <w:pPr>
        <w:pStyle w:val="Textonotapie"/>
        <w:ind w:firstLine="709"/>
        <w:jc w:val="both"/>
        <w:rPr>
          <w:rFonts w:ascii="Arial" w:hAnsi="Arial" w:cs="Arial"/>
          <w:color w:val="000000" w:themeColor="text1"/>
          <w:sz w:val="19"/>
          <w:szCs w:val="19"/>
          <w:lang w:val="es-CO"/>
        </w:rPr>
      </w:pPr>
    </w:p>
  </w:footnote>
  <w:footnote w:id="30">
    <w:p w14:paraId="280D26B7" w14:textId="182F83E1" w:rsidR="005D7824" w:rsidRDefault="005D7824" w:rsidP="005B433C">
      <w:pPr>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Consejo de Estado. Sección Tercera. Subsección C. Sentencia del 11 de diciembre de 2019. </w:t>
      </w:r>
      <w:proofErr w:type="spellStart"/>
      <w:r w:rsidRPr="004668BA">
        <w:rPr>
          <w:rFonts w:ascii="Arial" w:hAnsi="Arial" w:cs="Arial"/>
          <w:color w:val="000000" w:themeColor="text1"/>
          <w:sz w:val="19"/>
          <w:szCs w:val="19"/>
        </w:rPr>
        <w:t>Exp</w:t>
      </w:r>
      <w:proofErr w:type="spellEnd"/>
      <w:r w:rsidRPr="004668BA">
        <w:rPr>
          <w:rFonts w:ascii="Arial" w:hAnsi="Arial" w:cs="Arial"/>
          <w:color w:val="000000" w:themeColor="text1"/>
          <w:sz w:val="19"/>
          <w:szCs w:val="19"/>
        </w:rPr>
        <w:t>. 46.986. C.P. Jaime Enrique Rodríguez Navas.</w:t>
      </w:r>
    </w:p>
    <w:p w14:paraId="71E31E29" w14:textId="77777777" w:rsidR="00DF48E6" w:rsidRPr="004668BA" w:rsidRDefault="00DF48E6" w:rsidP="005B433C">
      <w:pPr>
        <w:ind w:firstLine="709"/>
        <w:jc w:val="both"/>
        <w:rPr>
          <w:rFonts w:ascii="Arial" w:hAnsi="Arial" w:cs="Arial"/>
          <w:color w:val="000000" w:themeColor="text1"/>
          <w:sz w:val="19"/>
          <w:szCs w:val="19"/>
        </w:rPr>
      </w:pPr>
    </w:p>
  </w:footnote>
  <w:footnote w:id="31">
    <w:p w14:paraId="1B930137" w14:textId="3108F96A" w:rsidR="005D7824"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[Referencia propia de la cita] «CE. SCSC. Concepto de 1 de noviembre de 2016 [Rad. 11001-03-06-000-2016-00125-00(2305)]. MP. Germán Alberto Bula Escobar».</w:t>
      </w:r>
    </w:p>
    <w:p w14:paraId="40552E5A" w14:textId="77777777" w:rsidR="00DF48E6" w:rsidRPr="004668BA" w:rsidRDefault="00DF48E6" w:rsidP="005B433C">
      <w:pPr>
        <w:pStyle w:val="Textonotapie"/>
        <w:ind w:firstLine="709"/>
        <w:jc w:val="both"/>
        <w:rPr>
          <w:rFonts w:ascii="Arial" w:hAnsi="Arial" w:cs="Arial"/>
          <w:color w:val="000000" w:themeColor="text1"/>
          <w:sz w:val="19"/>
          <w:szCs w:val="19"/>
        </w:rPr>
      </w:pPr>
    </w:p>
  </w:footnote>
  <w:footnote w:id="32">
    <w:p w14:paraId="71A26070" w14:textId="1EDFFA2E" w:rsidR="005D7824"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[Referencia propia de la cita] «CE. SCSC. Concepto de 30 de abril de 2008 [Rad. 11001-03-06-000-2008-00013-00(1881)]. MP. Enrique José Arboleda Perdomo. En esta oportunidad, la Sala indicó que el contenido </w:t>
      </w:r>
      <w:r w:rsidRPr="004668BA">
        <w:rPr>
          <w:rFonts w:ascii="Arial" w:hAnsi="Arial" w:cs="Arial"/>
          <w:i/>
          <w:color w:val="000000" w:themeColor="text1"/>
          <w:sz w:val="19"/>
          <w:szCs w:val="19"/>
        </w:rPr>
        <w:t>“obligacional”</w:t>
      </w:r>
      <w:r w:rsidRPr="004668BA">
        <w:rPr>
          <w:rFonts w:ascii="Arial" w:hAnsi="Arial" w:cs="Arial"/>
          <w:color w:val="000000" w:themeColor="text1"/>
          <w:sz w:val="19"/>
          <w:szCs w:val="19"/>
        </w:rPr>
        <w:t xml:space="preserve"> de los convenios se estructura definiendo el resultado querido por las partes y los medios que cada entidad despliega para la obtención del respectivo objeto».</w:t>
      </w:r>
    </w:p>
    <w:p w14:paraId="118D7521" w14:textId="77777777" w:rsidR="00DF48E6" w:rsidRPr="004668BA" w:rsidRDefault="00DF48E6" w:rsidP="005B433C">
      <w:pPr>
        <w:pStyle w:val="Textonotapie"/>
        <w:ind w:firstLine="709"/>
        <w:jc w:val="both"/>
        <w:rPr>
          <w:rFonts w:ascii="Arial" w:hAnsi="Arial" w:cs="Arial"/>
          <w:color w:val="000000" w:themeColor="text1"/>
          <w:sz w:val="19"/>
          <w:szCs w:val="19"/>
        </w:rPr>
      </w:pPr>
    </w:p>
  </w:footnote>
  <w:footnote w:id="33">
    <w:p w14:paraId="7D5A9122" w14:textId="77777777" w:rsidR="005D7824"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[Referencia propia de la cita] «La normativa vigente del EGCAP </w:t>
      </w:r>
      <w:r w:rsidRPr="004668BA">
        <w:rPr>
          <w:rFonts w:ascii="Arial" w:hAnsi="Arial" w:cs="Arial"/>
          <w:i/>
          <w:color w:val="000000" w:themeColor="text1"/>
          <w:sz w:val="19"/>
          <w:szCs w:val="19"/>
        </w:rPr>
        <w:t>[literal c) del numeral 4. del artículo 2 de la Ley 1150/07]</w:t>
      </w:r>
      <w:r w:rsidRPr="004668BA">
        <w:rPr>
          <w:rFonts w:ascii="Arial" w:hAnsi="Arial" w:cs="Arial"/>
          <w:color w:val="000000" w:themeColor="text1"/>
          <w:sz w:val="19"/>
          <w:szCs w:val="19"/>
        </w:rPr>
        <w:t xml:space="preserve"> se refiere a </w:t>
      </w:r>
      <w:r w:rsidRPr="004668BA">
        <w:rPr>
          <w:rFonts w:ascii="Arial" w:hAnsi="Arial" w:cs="Arial"/>
          <w:i/>
          <w:color w:val="000000" w:themeColor="text1"/>
          <w:sz w:val="19"/>
          <w:szCs w:val="19"/>
        </w:rPr>
        <w:t>“contratos interadministrativos”</w:t>
      </w:r>
      <w:r w:rsidRPr="004668BA">
        <w:rPr>
          <w:rFonts w:ascii="Arial" w:hAnsi="Arial" w:cs="Arial"/>
          <w:color w:val="000000" w:themeColor="text1"/>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167ECDA6" w14:textId="77777777" w:rsidR="005D7824" w:rsidRPr="004668BA" w:rsidRDefault="005D7824" w:rsidP="005B433C">
      <w:pPr>
        <w:pStyle w:val="Textonotapie"/>
        <w:ind w:firstLine="709"/>
        <w:jc w:val="both"/>
        <w:rPr>
          <w:rFonts w:ascii="Arial" w:hAnsi="Arial" w:cs="Arial"/>
          <w:color w:val="000000" w:themeColor="text1"/>
          <w:sz w:val="19"/>
          <w:szCs w:val="19"/>
        </w:rPr>
      </w:pPr>
    </w:p>
  </w:footnote>
  <w:footnote w:id="34">
    <w:p w14:paraId="19A41C5E"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4668BA">
        <w:rPr>
          <w:rFonts w:ascii="Arial" w:hAnsi="Arial" w:cs="Arial"/>
          <w:color w:val="000000" w:themeColor="text1"/>
          <w:sz w:val="19"/>
          <w:szCs w:val="19"/>
        </w:rPr>
        <w:t>Exp</w:t>
      </w:r>
      <w:proofErr w:type="spellEnd"/>
      <w:r w:rsidRPr="004668BA">
        <w:rPr>
          <w:rFonts w:ascii="Arial" w:hAnsi="Arial" w:cs="Arial"/>
          <w:color w:val="000000" w:themeColor="text1"/>
          <w:sz w:val="19"/>
          <w:szCs w:val="19"/>
        </w:rPr>
        <w:t xml:space="preserve">. 2.257. M.P. Álvaro </w:t>
      </w:r>
      <w:proofErr w:type="spellStart"/>
      <w:r w:rsidRPr="004668BA">
        <w:rPr>
          <w:rFonts w:ascii="Arial" w:hAnsi="Arial" w:cs="Arial"/>
          <w:color w:val="000000" w:themeColor="text1"/>
          <w:sz w:val="19"/>
          <w:szCs w:val="19"/>
        </w:rPr>
        <w:t>Namén</w:t>
      </w:r>
      <w:proofErr w:type="spellEnd"/>
      <w:r w:rsidRPr="004668BA">
        <w:rPr>
          <w:rFonts w:ascii="Arial" w:hAnsi="Arial" w:cs="Arial"/>
          <w:color w:val="000000" w:themeColor="text1"/>
          <w:sz w:val="19"/>
          <w:szCs w:val="19"/>
        </w:rPr>
        <w:t xml:space="preserve"> Vargas).</w:t>
      </w:r>
    </w:p>
    <w:p w14:paraId="47E10B6E" w14:textId="77777777" w:rsidR="005D7824" w:rsidRPr="004668BA" w:rsidRDefault="005D7824" w:rsidP="005B433C">
      <w:pPr>
        <w:pStyle w:val="Textonotapie"/>
        <w:ind w:firstLine="709"/>
        <w:jc w:val="both"/>
        <w:rPr>
          <w:rFonts w:ascii="Arial" w:hAnsi="Arial" w:cs="Arial"/>
          <w:color w:val="000000" w:themeColor="text1"/>
          <w:sz w:val="19"/>
          <w:szCs w:val="19"/>
        </w:rPr>
      </w:pPr>
    </w:p>
  </w:footnote>
  <w:footnote w:id="35">
    <w:p w14:paraId="1F80472A"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Es lo que sucede, por ejemplo, con el Decreto 092 de 2017, que en su desarrollo hace referencia tanto a los «contratos» como a los «convenios». </w:t>
      </w:r>
    </w:p>
    <w:p w14:paraId="1736E5AF" w14:textId="77777777" w:rsidR="005D7824" w:rsidRPr="004668BA" w:rsidRDefault="005D7824" w:rsidP="005B433C">
      <w:pPr>
        <w:pStyle w:val="Textonotapie"/>
        <w:ind w:firstLine="709"/>
        <w:jc w:val="both"/>
        <w:rPr>
          <w:rFonts w:ascii="Arial" w:hAnsi="Arial" w:cs="Arial"/>
          <w:color w:val="000000" w:themeColor="text1"/>
          <w:sz w:val="19"/>
          <w:szCs w:val="19"/>
          <w:lang w:val="es-CO"/>
        </w:rPr>
      </w:pPr>
    </w:p>
  </w:footnote>
  <w:footnote w:id="36">
    <w:p w14:paraId="301632BB" w14:textId="77777777" w:rsidR="005D7824" w:rsidRPr="004668BA" w:rsidRDefault="005D7824" w:rsidP="005B433C">
      <w:pPr>
        <w:pStyle w:val="Textonotapie"/>
        <w:ind w:firstLine="709"/>
        <w:jc w:val="both"/>
        <w:rPr>
          <w:rFonts w:ascii="Arial" w:hAnsi="Arial" w:cs="Arial"/>
          <w:color w:val="000000" w:themeColor="text1"/>
          <w:sz w:val="19"/>
          <w:szCs w:val="19"/>
          <w:lang w:val="es-CO"/>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7">
    <w:p w14:paraId="5EA506B3" w14:textId="77777777" w:rsidR="005D7824" w:rsidRPr="00321041"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Consejo de Estado. Sala de Consulta y Servicio Civil. Concepto del 15 de noviembre de 2007. Expediente número 1863. Consejero Ponente: Luis Fernando Álvarez Jaramillo.</w:t>
      </w:r>
      <w:r>
        <w:rPr>
          <w:rFonts w:ascii="Arial" w:hAnsi="Arial" w:cs="Arial"/>
          <w:color w:val="000000" w:themeColor="text1"/>
          <w:sz w:val="19"/>
          <w:szCs w:val="19"/>
        </w:rPr>
        <w:t xml:space="preserve"> Igualmente, Cfr. </w:t>
      </w:r>
      <w:r w:rsidRPr="00B16CE9">
        <w:rPr>
          <w:rFonts w:ascii="Arial" w:hAnsi="Arial" w:cs="Arial"/>
          <w:sz w:val="19"/>
          <w:szCs w:val="19"/>
        </w:rPr>
        <w:t>Agencia Nacional de Contratación Pública – Colombia Compra Eficiente. Circular Externa Única. Numeral 15.</w:t>
      </w:r>
      <w:r>
        <w:rPr>
          <w:rFonts w:ascii="Arial" w:hAnsi="Arial" w:cs="Arial"/>
          <w:sz w:val="19"/>
          <w:szCs w:val="19"/>
        </w:rPr>
        <w:t>3</w:t>
      </w:r>
      <w:r w:rsidRPr="00B16CE9">
        <w:rPr>
          <w:rFonts w:ascii="Arial" w:hAnsi="Arial" w:cs="Arial"/>
          <w:sz w:val="19"/>
          <w:szCs w:val="19"/>
        </w:rPr>
        <w:t>.</w:t>
      </w:r>
    </w:p>
    <w:p w14:paraId="7BFEE7E7" w14:textId="77777777" w:rsidR="005D7824" w:rsidRPr="004668BA" w:rsidRDefault="005D7824" w:rsidP="005B433C">
      <w:pPr>
        <w:pStyle w:val="Textonotapie"/>
        <w:ind w:firstLine="709"/>
        <w:jc w:val="both"/>
        <w:rPr>
          <w:rFonts w:ascii="Arial" w:hAnsi="Arial" w:cs="Arial"/>
          <w:color w:val="000000" w:themeColor="text1"/>
          <w:sz w:val="19"/>
          <w:szCs w:val="19"/>
        </w:rPr>
      </w:pPr>
    </w:p>
  </w:footnote>
  <w:footnote w:id="38">
    <w:p w14:paraId="7D1371D0" w14:textId="77777777" w:rsidR="005D7824" w:rsidRDefault="005D7824" w:rsidP="005B433C">
      <w:pPr>
        <w:pStyle w:val="Textonotapie"/>
        <w:ind w:firstLine="708"/>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Reiterado, entre otros, en el concepto C-699 del 6 de enero de 2022, C-715 del 21 de enero de 2022</w:t>
      </w:r>
      <w:r>
        <w:rPr>
          <w:rFonts w:ascii="Arial" w:hAnsi="Arial" w:cs="Arial"/>
          <w:color w:val="000000" w:themeColor="text1"/>
          <w:sz w:val="19"/>
          <w:szCs w:val="19"/>
        </w:rPr>
        <w:t>,</w:t>
      </w:r>
      <w:r w:rsidRPr="004668BA">
        <w:rPr>
          <w:rFonts w:ascii="Arial" w:hAnsi="Arial" w:cs="Arial"/>
          <w:color w:val="000000" w:themeColor="text1"/>
          <w:sz w:val="19"/>
          <w:szCs w:val="19"/>
        </w:rPr>
        <w:t xml:space="preserve"> C-724 del 26 de enero de 2022</w:t>
      </w:r>
      <w:r>
        <w:rPr>
          <w:rFonts w:ascii="Arial" w:hAnsi="Arial" w:cs="Arial"/>
          <w:color w:val="000000" w:themeColor="text1"/>
          <w:sz w:val="19"/>
          <w:szCs w:val="19"/>
        </w:rPr>
        <w:t xml:space="preserve"> y C-736 del 31 de enero de 2022.</w:t>
      </w:r>
    </w:p>
    <w:p w14:paraId="6E024427" w14:textId="77777777" w:rsidR="005D7824" w:rsidRPr="004668BA" w:rsidRDefault="005D7824" w:rsidP="005B433C">
      <w:pPr>
        <w:pStyle w:val="Textonotapie"/>
        <w:ind w:firstLine="708"/>
        <w:jc w:val="both"/>
        <w:rPr>
          <w:rFonts w:ascii="Arial" w:hAnsi="Arial" w:cs="Arial"/>
          <w:color w:val="000000" w:themeColor="text1"/>
          <w:sz w:val="19"/>
          <w:szCs w:val="19"/>
        </w:rPr>
      </w:pPr>
    </w:p>
  </w:footnote>
  <w:footnote w:id="39">
    <w:p w14:paraId="67FD754A" w14:textId="77777777" w:rsidR="005D7824"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Que en su artículo 141 establece: «La presente Ley rige a partir de la </w:t>
      </w:r>
      <w:proofErr w:type="spellStart"/>
      <w:r w:rsidRPr="004668BA">
        <w:rPr>
          <w:rFonts w:ascii="Arial" w:hAnsi="Arial" w:cs="Arial"/>
          <w:color w:val="000000" w:themeColor="text1"/>
          <w:sz w:val="19"/>
          <w:szCs w:val="19"/>
        </w:rPr>
        <w:t>feecha</w:t>
      </w:r>
      <w:proofErr w:type="spellEnd"/>
      <w:r w:rsidRPr="004668BA">
        <w:rPr>
          <w:rFonts w:ascii="Arial" w:hAnsi="Arial" w:cs="Arial"/>
          <w:color w:val="000000" w:themeColor="text1"/>
          <w:sz w:val="19"/>
          <w:szCs w:val="19"/>
        </w:rPr>
        <w:t xml:space="preserve"> de su publicación y surte efectos fiscales a partir del 1 de enero de 2022».</w:t>
      </w:r>
    </w:p>
    <w:p w14:paraId="01899218" w14:textId="77777777" w:rsidR="005D7824" w:rsidRPr="004668BA" w:rsidRDefault="005D7824" w:rsidP="005B433C">
      <w:pPr>
        <w:pStyle w:val="Textonotapie"/>
        <w:ind w:firstLine="709"/>
        <w:jc w:val="both"/>
        <w:rPr>
          <w:rFonts w:ascii="Arial" w:hAnsi="Arial" w:cs="Arial"/>
          <w:color w:val="000000" w:themeColor="text1"/>
          <w:sz w:val="19"/>
          <w:szCs w:val="19"/>
          <w:lang w:val="es-ES"/>
        </w:rPr>
      </w:pPr>
    </w:p>
  </w:footnote>
  <w:footnote w:id="40">
    <w:p w14:paraId="15B66003" w14:textId="1C56AE51" w:rsidR="005D7824" w:rsidRDefault="005D7824" w:rsidP="005B433C">
      <w:pPr>
        <w:pStyle w:val="Textonotapie"/>
        <w:ind w:firstLine="709"/>
        <w:jc w:val="both"/>
        <w:rPr>
          <w:rFonts w:ascii="Arial" w:hAnsi="Arial" w:cs="Arial"/>
          <w:color w:val="000000" w:themeColor="text1"/>
          <w:sz w:val="19"/>
          <w:szCs w:val="19"/>
          <w:lang w:val="es-ES"/>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Pr="004668BA">
        <w:rPr>
          <w:rFonts w:ascii="Arial" w:hAnsi="Arial" w:cs="Arial"/>
          <w:color w:val="000000" w:themeColor="text1"/>
          <w:sz w:val="19"/>
          <w:szCs w:val="19"/>
          <w:lang w:val="es-ES"/>
        </w:rPr>
        <w:t xml:space="preserve">Correspondiente al Proyecto de Ley 158/21 Cámara y 096/2021 Senado, cuyo texto definitivo fue aprobado en plenaria del Senado de la República el día 19 de octubre de 2021, según la Gaceta del Congreso de la República nro. 1496. </w:t>
      </w:r>
    </w:p>
    <w:p w14:paraId="4FFB8C37" w14:textId="77777777" w:rsidR="00DF48E6" w:rsidRPr="004668BA" w:rsidRDefault="00DF48E6" w:rsidP="005B433C">
      <w:pPr>
        <w:pStyle w:val="Textonotapie"/>
        <w:ind w:firstLine="709"/>
        <w:jc w:val="both"/>
        <w:rPr>
          <w:rFonts w:ascii="Arial" w:hAnsi="Arial" w:cs="Arial"/>
          <w:color w:val="000000" w:themeColor="text1"/>
          <w:sz w:val="19"/>
          <w:szCs w:val="19"/>
          <w:lang w:val="es-ES"/>
        </w:rPr>
      </w:pPr>
    </w:p>
  </w:footnote>
  <w:footnote w:id="41">
    <w:p w14:paraId="108E1CE6" w14:textId="26B2856D" w:rsidR="005D7824"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En su contenido y trámite el proyecto de ley se sujeta a las siguientes reglas: i) no es posible incluir partida alguna que no corresponda a un crédito judicialmente reconocido, a un gasto decretado conforme a ley anterior, a uno propuesto por el gobierno para atender el funcionamiento de las ramas del poder público, al servicio de la deuda, o a dar cumplimiento al plan nacional de desarrollo </w:t>
      </w:r>
      <w:r w:rsidR="00DF48E6">
        <w:rPr>
          <w:rFonts w:ascii="Arial" w:hAnsi="Arial" w:cs="Arial"/>
          <w:color w:val="000000" w:themeColor="text1"/>
          <w:sz w:val="19"/>
          <w:szCs w:val="19"/>
        </w:rPr>
        <w:t>–</w:t>
      </w:r>
      <w:r w:rsidRPr="004668BA">
        <w:rPr>
          <w:rFonts w:ascii="Arial" w:hAnsi="Arial" w:cs="Arial"/>
          <w:color w:val="000000" w:themeColor="text1"/>
          <w:sz w:val="19"/>
          <w:szCs w:val="19"/>
        </w:rPr>
        <w:t>artículo 346 C.P.</w:t>
      </w:r>
      <w:r w:rsidR="00DF48E6">
        <w:rPr>
          <w:rFonts w:ascii="Arial" w:hAnsi="Arial" w:cs="Arial"/>
          <w:color w:val="000000" w:themeColor="text1"/>
          <w:sz w:val="19"/>
          <w:szCs w:val="19"/>
        </w:rPr>
        <w:t>–</w:t>
      </w:r>
      <w:r w:rsidRPr="004668BA">
        <w:rPr>
          <w:rFonts w:ascii="Arial" w:hAnsi="Arial" w:cs="Arial"/>
          <w:color w:val="000000" w:themeColor="text1"/>
          <w:sz w:val="19"/>
          <w:szCs w:val="19"/>
        </w:rPr>
        <w:t xml:space="preserve">; </w:t>
      </w:r>
      <w:proofErr w:type="spellStart"/>
      <w:r w:rsidRPr="004668BA">
        <w:rPr>
          <w:rFonts w:ascii="Arial" w:hAnsi="Arial" w:cs="Arial"/>
          <w:color w:val="000000" w:themeColor="text1"/>
          <w:sz w:val="19"/>
          <w:szCs w:val="19"/>
        </w:rPr>
        <w:t>ii</w:t>
      </w:r>
      <w:proofErr w:type="spellEnd"/>
      <w:r w:rsidRPr="004668BA">
        <w:rPr>
          <w:rFonts w:ascii="Arial" w:hAnsi="Arial" w:cs="Arial"/>
          <w:color w:val="000000" w:themeColor="text1"/>
          <w:sz w:val="19"/>
          <w:szCs w:val="19"/>
        </w:rPr>
        <w:t xml:space="preserve">) el proyecto de ley de apropiaciones deberá contener la totalidad de los gastos que el Estado pretenda realizar durante la vigencia fiscal respectiva </w:t>
      </w:r>
      <w:r w:rsidR="00DF48E6">
        <w:rPr>
          <w:rFonts w:ascii="Arial" w:hAnsi="Arial" w:cs="Arial"/>
          <w:color w:val="000000" w:themeColor="text1"/>
          <w:sz w:val="19"/>
          <w:szCs w:val="19"/>
        </w:rPr>
        <w:t>–</w:t>
      </w:r>
      <w:r w:rsidRPr="004668BA">
        <w:rPr>
          <w:rFonts w:ascii="Arial" w:hAnsi="Arial" w:cs="Arial"/>
          <w:color w:val="000000" w:themeColor="text1"/>
          <w:sz w:val="19"/>
          <w:szCs w:val="19"/>
        </w:rPr>
        <w:t>artículo 347 C.P.</w:t>
      </w:r>
      <w:r w:rsidR="00DF48E6">
        <w:rPr>
          <w:rFonts w:ascii="Arial" w:hAnsi="Arial" w:cs="Arial"/>
          <w:color w:val="000000" w:themeColor="text1"/>
          <w:sz w:val="19"/>
          <w:szCs w:val="19"/>
        </w:rPr>
        <w:t>–</w:t>
      </w:r>
      <w:r w:rsidRPr="004668BA">
        <w:rPr>
          <w:rFonts w:ascii="Arial" w:hAnsi="Arial" w:cs="Arial"/>
          <w:color w:val="000000" w:themeColor="text1"/>
          <w:sz w:val="19"/>
          <w:szCs w:val="19"/>
        </w:rPr>
        <w:t xml:space="preserve">; </w:t>
      </w:r>
      <w:proofErr w:type="spellStart"/>
      <w:r w:rsidRPr="004668BA">
        <w:rPr>
          <w:rFonts w:ascii="Arial" w:hAnsi="Arial" w:cs="Arial"/>
          <w:color w:val="000000" w:themeColor="text1"/>
          <w:sz w:val="19"/>
          <w:szCs w:val="19"/>
        </w:rPr>
        <w:t>iii</w:t>
      </w:r>
      <w:proofErr w:type="spellEnd"/>
      <w:r w:rsidRPr="004668BA">
        <w:rPr>
          <w:rFonts w:ascii="Arial" w:hAnsi="Arial" w:cs="Arial"/>
          <w:color w:val="000000" w:themeColor="text1"/>
          <w:sz w:val="19"/>
          <w:szCs w:val="19"/>
        </w:rPr>
        <w:t xml:space="preserve">) si los ingresos legalmente autorizados no fueren suficientes para atender los gastos proyectados, el Gobierno deberá proponer, en forma separada, ante las comisiones encargadas de estudiar el proyecto de presupuesto, la creación de nuevas rentas o la modificación de las existentes para financiar el monto de gastos contemplados </w:t>
      </w:r>
      <w:r w:rsidR="00DF48E6">
        <w:rPr>
          <w:rFonts w:ascii="Arial" w:hAnsi="Arial" w:cs="Arial"/>
          <w:color w:val="000000" w:themeColor="text1"/>
          <w:sz w:val="19"/>
          <w:szCs w:val="19"/>
        </w:rPr>
        <w:t>–</w:t>
      </w:r>
      <w:r w:rsidRPr="004668BA">
        <w:rPr>
          <w:rFonts w:ascii="Arial" w:hAnsi="Arial" w:cs="Arial"/>
          <w:color w:val="000000" w:themeColor="text1"/>
          <w:sz w:val="19"/>
          <w:szCs w:val="19"/>
        </w:rPr>
        <w:t xml:space="preserve">artículo 347 </w:t>
      </w:r>
      <w:proofErr w:type="spellStart"/>
      <w:r w:rsidRPr="004668BA">
        <w:rPr>
          <w:rFonts w:ascii="Arial" w:hAnsi="Arial" w:cs="Arial"/>
          <w:color w:val="000000" w:themeColor="text1"/>
          <w:sz w:val="19"/>
          <w:szCs w:val="19"/>
        </w:rPr>
        <w:t>Ibídem</w:t>
      </w:r>
      <w:proofErr w:type="spellEnd"/>
      <w:r w:rsidR="00DF48E6">
        <w:rPr>
          <w:rFonts w:ascii="Arial" w:hAnsi="Arial" w:cs="Arial"/>
          <w:color w:val="000000" w:themeColor="text1"/>
          <w:sz w:val="19"/>
          <w:szCs w:val="19"/>
        </w:rPr>
        <w:t>–</w:t>
      </w:r>
      <w:r w:rsidRPr="004668BA">
        <w:rPr>
          <w:rFonts w:ascii="Arial" w:hAnsi="Arial" w:cs="Arial"/>
          <w:color w:val="000000" w:themeColor="text1"/>
          <w:sz w:val="19"/>
          <w:szCs w:val="19"/>
        </w:rPr>
        <w:t xml:space="preserve">; </w:t>
      </w:r>
      <w:proofErr w:type="spellStart"/>
      <w:r w:rsidRPr="004668BA">
        <w:rPr>
          <w:rFonts w:ascii="Arial" w:hAnsi="Arial" w:cs="Arial"/>
          <w:color w:val="000000" w:themeColor="text1"/>
          <w:sz w:val="19"/>
          <w:szCs w:val="19"/>
        </w:rPr>
        <w:t>iv</w:t>
      </w:r>
      <w:proofErr w:type="spellEnd"/>
      <w:r w:rsidRPr="004668BA">
        <w:rPr>
          <w:rFonts w:ascii="Arial" w:hAnsi="Arial" w:cs="Arial"/>
          <w:color w:val="000000" w:themeColor="text1"/>
          <w:sz w:val="19"/>
          <w:szCs w:val="19"/>
        </w:rPr>
        <w:t xml:space="preserve">) debe contener un componente denominado gasto público social que agrupará las partidas de esa naturaleza </w:t>
      </w:r>
      <w:r w:rsidR="00DF48E6">
        <w:rPr>
          <w:rFonts w:ascii="Arial" w:hAnsi="Arial" w:cs="Arial"/>
          <w:color w:val="000000" w:themeColor="text1"/>
          <w:sz w:val="19"/>
          <w:szCs w:val="19"/>
        </w:rPr>
        <w:t>–</w:t>
      </w:r>
      <w:r w:rsidRPr="004668BA">
        <w:rPr>
          <w:rFonts w:ascii="Arial" w:hAnsi="Arial" w:cs="Arial"/>
          <w:color w:val="000000" w:themeColor="text1"/>
          <w:sz w:val="19"/>
          <w:szCs w:val="19"/>
        </w:rPr>
        <w:t>artículo 350 C.P.</w:t>
      </w:r>
      <w:r w:rsidR="00DF48E6">
        <w:rPr>
          <w:rFonts w:ascii="Arial" w:hAnsi="Arial" w:cs="Arial"/>
          <w:color w:val="000000" w:themeColor="text1"/>
          <w:sz w:val="19"/>
          <w:szCs w:val="19"/>
        </w:rPr>
        <w:t>–;</w:t>
      </w:r>
      <w:r w:rsidRPr="004668BA">
        <w:rPr>
          <w:rFonts w:ascii="Arial" w:hAnsi="Arial" w:cs="Arial"/>
          <w:color w:val="000000" w:themeColor="text1"/>
          <w:sz w:val="19"/>
          <w:szCs w:val="19"/>
        </w:rPr>
        <w:t xml:space="preserve"> </w:t>
      </w:r>
      <w:proofErr w:type="spellStart"/>
      <w:r w:rsidRPr="004668BA">
        <w:rPr>
          <w:rFonts w:ascii="Arial" w:hAnsi="Arial" w:cs="Arial"/>
          <w:color w:val="000000" w:themeColor="text1"/>
          <w:sz w:val="19"/>
          <w:szCs w:val="19"/>
        </w:rPr>
        <w:t>iv</w:t>
      </w:r>
      <w:proofErr w:type="spellEnd"/>
      <w:r w:rsidRPr="004668BA">
        <w:rPr>
          <w:rFonts w:ascii="Arial" w:hAnsi="Arial" w:cs="Arial"/>
          <w:color w:val="000000" w:themeColor="text1"/>
          <w:sz w:val="19"/>
          <w:szCs w:val="19"/>
        </w:rPr>
        <w:t xml:space="preserve">) el Congreso no puede </w:t>
      </w:r>
      <w:r w:rsidR="00DF48E6">
        <w:rPr>
          <w:rFonts w:ascii="Arial" w:hAnsi="Arial" w:cs="Arial"/>
          <w:color w:val="000000" w:themeColor="text1"/>
          <w:sz w:val="19"/>
          <w:szCs w:val="19"/>
        </w:rPr>
        <w:t>«</w:t>
      </w:r>
      <w:r w:rsidRPr="004668BA">
        <w:rPr>
          <w:rFonts w:ascii="Arial" w:hAnsi="Arial" w:cs="Arial"/>
          <w:color w:val="000000" w:themeColor="text1"/>
          <w:sz w:val="19"/>
          <w:szCs w:val="19"/>
        </w:rPr>
        <w:t>aumentar ninguna de las partidas del presupuesto de gastos propuestas por el gobierno, ni incluir una nueva, sino con la aceptación escrita del ministro del ramo</w:t>
      </w:r>
      <w:r w:rsidR="00DF48E6">
        <w:rPr>
          <w:rFonts w:ascii="Arial" w:hAnsi="Arial" w:cs="Arial"/>
          <w:color w:val="000000" w:themeColor="text1"/>
          <w:sz w:val="19"/>
          <w:szCs w:val="19"/>
        </w:rPr>
        <w:t>»</w:t>
      </w:r>
      <w:r w:rsidRPr="004668BA">
        <w:rPr>
          <w:rFonts w:ascii="Arial" w:hAnsi="Arial" w:cs="Arial"/>
          <w:color w:val="000000" w:themeColor="text1"/>
          <w:sz w:val="19"/>
          <w:szCs w:val="19"/>
        </w:rPr>
        <w:t xml:space="preserve"> </w:t>
      </w:r>
      <w:r w:rsidR="00DF48E6">
        <w:rPr>
          <w:rFonts w:ascii="Arial" w:hAnsi="Arial" w:cs="Arial"/>
          <w:color w:val="000000" w:themeColor="text1"/>
          <w:sz w:val="19"/>
          <w:szCs w:val="19"/>
        </w:rPr>
        <w:t>–</w:t>
      </w:r>
      <w:r w:rsidRPr="004668BA">
        <w:rPr>
          <w:rFonts w:ascii="Arial" w:hAnsi="Arial" w:cs="Arial"/>
          <w:color w:val="000000" w:themeColor="text1"/>
          <w:sz w:val="19"/>
          <w:szCs w:val="19"/>
        </w:rPr>
        <w:t>artículo 351, inciso 1, C.P.</w:t>
      </w:r>
      <w:r w:rsidR="00962402">
        <w:rPr>
          <w:rFonts w:ascii="Arial" w:hAnsi="Arial" w:cs="Arial"/>
          <w:color w:val="000000" w:themeColor="text1"/>
          <w:sz w:val="19"/>
          <w:szCs w:val="19"/>
        </w:rPr>
        <w:t>–</w:t>
      </w:r>
      <w:r w:rsidRPr="004668BA">
        <w:rPr>
          <w:rFonts w:ascii="Arial" w:hAnsi="Arial" w:cs="Arial"/>
          <w:color w:val="000000" w:themeColor="text1"/>
          <w:sz w:val="19"/>
          <w:szCs w:val="19"/>
        </w:rPr>
        <w:t xml:space="preserve">. En cambio, el Congreso “podrá eliminar y reducir partidas de gastos propuestas por el gobierno”, con las excepciones que señala el artículo 351 en su inciso segundo; v) recibido el proyecto respectivo en el Congreso, corresponde a las Comisiones de Asuntos Económicos tanto del Senado como de la Cámara discutirlo y aprobarlo en primer debate, para lo cual la Constitución las autoriza sesionar conjuntamente </w:t>
      </w:r>
      <w:r w:rsidR="00962402">
        <w:rPr>
          <w:rFonts w:ascii="Arial" w:hAnsi="Arial" w:cs="Arial"/>
          <w:color w:val="000000" w:themeColor="text1"/>
          <w:sz w:val="19"/>
          <w:szCs w:val="19"/>
        </w:rPr>
        <w:t>–</w:t>
      </w:r>
      <w:r w:rsidRPr="004668BA">
        <w:rPr>
          <w:rFonts w:ascii="Arial" w:hAnsi="Arial" w:cs="Arial"/>
          <w:color w:val="000000" w:themeColor="text1"/>
          <w:sz w:val="19"/>
          <w:szCs w:val="19"/>
        </w:rPr>
        <w:t>artículo 346 inciso 2 C.P.</w:t>
      </w:r>
      <w:r w:rsidR="00962402">
        <w:rPr>
          <w:rFonts w:ascii="Arial" w:hAnsi="Arial" w:cs="Arial"/>
          <w:color w:val="000000" w:themeColor="text1"/>
          <w:sz w:val="19"/>
          <w:szCs w:val="19"/>
        </w:rPr>
        <w:t>–</w:t>
      </w:r>
      <w:r w:rsidRPr="004668BA">
        <w:rPr>
          <w:rFonts w:ascii="Arial" w:hAnsi="Arial" w:cs="Arial"/>
          <w:color w:val="000000" w:themeColor="text1"/>
          <w:sz w:val="19"/>
          <w:szCs w:val="19"/>
        </w:rPr>
        <w:t xml:space="preserve">; </w:t>
      </w:r>
      <w:proofErr w:type="spellStart"/>
      <w:r w:rsidRPr="004668BA">
        <w:rPr>
          <w:rFonts w:ascii="Arial" w:hAnsi="Arial" w:cs="Arial"/>
          <w:color w:val="000000" w:themeColor="text1"/>
          <w:sz w:val="19"/>
          <w:szCs w:val="19"/>
        </w:rPr>
        <w:t>iv</w:t>
      </w:r>
      <w:proofErr w:type="spellEnd"/>
      <w:r w:rsidRPr="004668BA">
        <w:rPr>
          <w:rFonts w:ascii="Arial" w:hAnsi="Arial" w:cs="Arial"/>
          <w:color w:val="000000" w:themeColor="text1"/>
          <w:sz w:val="19"/>
          <w:szCs w:val="19"/>
        </w:rPr>
        <w:t xml:space="preserve">) si el Congreso no expide el presupuesto, regirá el presentado por el gobierno en los términos señalados por el artículo 347 Superior, y si el gobierno no lo presenta dentro del plazo constitucional, regirá el del año anterior. Pero el Gobierno podrá reducir gastos, y, en consecuencia, suprimir o refundir empleos, cuando así lo aconsejen los cálculos de rentas del nuevo ejercicio </w:t>
      </w:r>
      <w:r w:rsidR="00962402">
        <w:rPr>
          <w:rFonts w:ascii="Arial" w:hAnsi="Arial" w:cs="Arial"/>
          <w:color w:val="000000" w:themeColor="text1"/>
          <w:sz w:val="19"/>
          <w:szCs w:val="19"/>
        </w:rPr>
        <w:t>–</w:t>
      </w:r>
      <w:r w:rsidRPr="004668BA">
        <w:rPr>
          <w:rFonts w:ascii="Arial" w:hAnsi="Arial" w:cs="Arial"/>
          <w:color w:val="000000" w:themeColor="text1"/>
          <w:sz w:val="19"/>
          <w:szCs w:val="19"/>
        </w:rPr>
        <w:t>artículo 348 C.P.</w:t>
      </w:r>
      <w:r w:rsidR="00962402">
        <w:rPr>
          <w:rFonts w:ascii="Arial" w:hAnsi="Arial" w:cs="Arial"/>
          <w:color w:val="000000" w:themeColor="text1"/>
          <w:sz w:val="19"/>
          <w:szCs w:val="19"/>
        </w:rPr>
        <w:t>–</w:t>
      </w:r>
      <w:r w:rsidRPr="004668BA">
        <w:rPr>
          <w:rFonts w:ascii="Arial" w:hAnsi="Arial" w:cs="Arial"/>
          <w:color w:val="000000" w:themeColor="text1"/>
          <w:sz w:val="19"/>
          <w:szCs w:val="19"/>
        </w:rPr>
        <w:t>.</w:t>
      </w:r>
    </w:p>
    <w:p w14:paraId="29B55F2C" w14:textId="77777777" w:rsidR="00962402" w:rsidRPr="004668BA" w:rsidRDefault="00962402" w:rsidP="005B433C">
      <w:pPr>
        <w:pStyle w:val="Textonotapie"/>
        <w:ind w:firstLine="709"/>
        <w:jc w:val="both"/>
        <w:rPr>
          <w:rFonts w:ascii="Arial" w:hAnsi="Arial" w:cs="Arial"/>
          <w:color w:val="000000" w:themeColor="text1"/>
          <w:sz w:val="19"/>
          <w:szCs w:val="19"/>
        </w:rPr>
      </w:pPr>
    </w:p>
  </w:footnote>
  <w:footnote w:id="42">
    <w:p w14:paraId="36F75F50" w14:textId="7275F530" w:rsidR="005D7824"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La Corte Constitucional ha precisado que es una especie de </w:t>
      </w:r>
      <w:r w:rsidRPr="004668BA">
        <w:rPr>
          <w:rFonts w:ascii="Arial" w:eastAsia="Times New Roman" w:hAnsi="Arial" w:cs="Arial"/>
          <w:bCs/>
          <w:color w:val="000000" w:themeColor="text1"/>
          <w:sz w:val="19"/>
          <w:szCs w:val="19"/>
          <w:lang w:eastAsia="es-CO"/>
        </w:rPr>
        <w:t>«</w:t>
      </w:r>
      <w:r w:rsidRPr="004668BA">
        <w:rPr>
          <w:rFonts w:ascii="Arial" w:hAnsi="Arial" w:cs="Arial"/>
          <w:color w:val="000000" w:themeColor="text1"/>
          <w:sz w:val="19"/>
          <w:szCs w:val="19"/>
        </w:rPr>
        <w:t>contrato democrático anual sobre la asignación de recursos escasos y la fijación de prioridades, mediante el cual el Estado concreta no sólo un instrumento medular en la dirección de la economía y la política macroeconómica, sino la herramienta jurídica que expresa cuantitativamente el cumplimiento de fines esenciales del Estado y la política social para alcanzarlos. De este modo, el servicio a la comunidad, la promoción de la prosperidad general, la garantía y efectividad de los principios, derechos y deberes consagrados en la Constitución, y el aseguramiento en condiciones de igualdad y equidad de un orden justo, tienen un correlato real y específico en la ley de presupuesto que explican la necesidad de un proceso de creación y reforma calificado que permita la discusión amplia y la mayor participación posible a través de los representantes legítimos del pueblo reunidos en el Congreso</w:t>
      </w:r>
      <w:r w:rsidRPr="004668BA">
        <w:rPr>
          <w:rFonts w:ascii="Arial" w:eastAsia="Times New Roman" w:hAnsi="Arial" w:cs="Arial"/>
          <w:bCs/>
          <w:color w:val="000000" w:themeColor="text1"/>
          <w:sz w:val="19"/>
          <w:szCs w:val="19"/>
          <w:lang w:eastAsia="es-CO"/>
        </w:rPr>
        <w:t>»</w:t>
      </w:r>
      <w:r w:rsidR="00962402">
        <w:rPr>
          <w:rFonts w:ascii="Arial" w:eastAsia="Times New Roman" w:hAnsi="Arial" w:cs="Arial"/>
          <w:bCs/>
          <w:color w:val="000000" w:themeColor="text1"/>
          <w:sz w:val="19"/>
          <w:szCs w:val="19"/>
          <w:lang w:eastAsia="es-CO"/>
        </w:rPr>
        <w:t>.</w:t>
      </w:r>
      <w:r w:rsidRPr="004668BA">
        <w:rPr>
          <w:rFonts w:ascii="Arial" w:hAnsi="Arial" w:cs="Arial"/>
          <w:color w:val="000000" w:themeColor="text1"/>
          <w:sz w:val="19"/>
          <w:szCs w:val="19"/>
        </w:rPr>
        <w:t xml:space="preserve"> (Corte Constitucional. Sentencia C-1064 de 2001. M</w:t>
      </w:r>
      <w:r w:rsidR="004B3D3B">
        <w:rPr>
          <w:rFonts w:ascii="Arial" w:hAnsi="Arial" w:cs="Arial"/>
          <w:color w:val="000000" w:themeColor="text1"/>
          <w:sz w:val="19"/>
          <w:szCs w:val="19"/>
        </w:rPr>
        <w:t xml:space="preserve">. </w:t>
      </w:r>
      <w:proofErr w:type="spellStart"/>
      <w:r w:rsidRPr="004668BA">
        <w:rPr>
          <w:rFonts w:ascii="Arial" w:hAnsi="Arial" w:cs="Arial"/>
          <w:color w:val="000000" w:themeColor="text1"/>
          <w:sz w:val="19"/>
          <w:szCs w:val="19"/>
        </w:rPr>
        <w:t>Ps</w:t>
      </w:r>
      <w:proofErr w:type="spellEnd"/>
      <w:r w:rsidRPr="004668BA">
        <w:rPr>
          <w:rFonts w:ascii="Arial" w:hAnsi="Arial" w:cs="Arial"/>
          <w:color w:val="000000" w:themeColor="text1"/>
          <w:sz w:val="19"/>
          <w:szCs w:val="19"/>
        </w:rPr>
        <w:t>. Manuel José Cepeda Espinosa y Jaime Córdoba Triviño).</w:t>
      </w:r>
    </w:p>
    <w:p w14:paraId="56996D5B" w14:textId="77777777" w:rsidR="00962402" w:rsidRPr="004668BA" w:rsidRDefault="00962402" w:rsidP="005B433C">
      <w:pPr>
        <w:pStyle w:val="Textonotapie"/>
        <w:ind w:firstLine="709"/>
        <w:jc w:val="both"/>
        <w:rPr>
          <w:rFonts w:ascii="Arial" w:hAnsi="Arial" w:cs="Arial"/>
          <w:color w:val="000000" w:themeColor="text1"/>
          <w:sz w:val="19"/>
          <w:szCs w:val="19"/>
        </w:rPr>
      </w:pPr>
    </w:p>
  </w:footnote>
  <w:footnote w:id="43">
    <w:p w14:paraId="4B10414A" w14:textId="143BA708" w:rsidR="005D7824"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Corte Constitucional. Sentencia C-1124 de 2008</w:t>
      </w:r>
      <w:r w:rsidR="008E123F">
        <w:rPr>
          <w:rFonts w:ascii="Arial" w:hAnsi="Arial" w:cs="Arial"/>
          <w:color w:val="000000" w:themeColor="text1"/>
          <w:sz w:val="19"/>
          <w:szCs w:val="19"/>
        </w:rPr>
        <w:t>,</w:t>
      </w:r>
      <w:r w:rsidRPr="004668BA">
        <w:rPr>
          <w:rFonts w:ascii="Arial" w:hAnsi="Arial" w:cs="Arial"/>
          <w:color w:val="000000" w:themeColor="text1"/>
          <w:sz w:val="19"/>
          <w:szCs w:val="19"/>
        </w:rPr>
        <w:t xml:space="preserve"> que analizó la constitucionalidad del artículo 61 de la Ley 1169 de 2007.</w:t>
      </w:r>
    </w:p>
    <w:p w14:paraId="1C3D07DB" w14:textId="77777777" w:rsidR="00EF5C78" w:rsidRPr="004668BA" w:rsidRDefault="00EF5C78" w:rsidP="005B433C">
      <w:pPr>
        <w:pStyle w:val="Textonotapie"/>
        <w:ind w:firstLine="709"/>
        <w:jc w:val="both"/>
        <w:rPr>
          <w:rFonts w:ascii="Arial" w:hAnsi="Arial" w:cs="Arial"/>
          <w:color w:val="000000" w:themeColor="text1"/>
          <w:sz w:val="19"/>
          <w:szCs w:val="19"/>
        </w:rPr>
      </w:pPr>
    </w:p>
  </w:footnote>
  <w:footnote w:id="44">
    <w:p w14:paraId="49A57F1C" w14:textId="198213AC"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Existe una relación inescindible entre la función democrática, administrativa y política del presupuesto y su carácter de instrumento o herramienta de dirección de la economía y la política macroeconómica. </w:t>
      </w:r>
      <w:r w:rsidR="004B3D3B">
        <w:rPr>
          <w:rFonts w:ascii="Arial" w:hAnsi="Arial" w:cs="Arial"/>
          <w:color w:val="000000" w:themeColor="text1"/>
          <w:sz w:val="19"/>
          <w:szCs w:val="19"/>
        </w:rPr>
        <w:t>(</w:t>
      </w:r>
      <w:r w:rsidRPr="004668BA">
        <w:rPr>
          <w:rFonts w:ascii="Arial" w:hAnsi="Arial" w:cs="Arial"/>
          <w:color w:val="000000" w:themeColor="text1"/>
          <w:sz w:val="19"/>
          <w:szCs w:val="19"/>
        </w:rPr>
        <w:t>Corte Constitucional</w:t>
      </w:r>
      <w:r w:rsidR="004B3D3B">
        <w:rPr>
          <w:rFonts w:ascii="Arial" w:hAnsi="Arial" w:cs="Arial"/>
          <w:color w:val="000000" w:themeColor="text1"/>
          <w:sz w:val="19"/>
          <w:szCs w:val="19"/>
        </w:rPr>
        <w:t>.</w:t>
      </w:r>
      <w:r w:rsidRPr="004668BA">
        <w:rPr>
          <w:rFonts w:ascii="Arial" w:hAnsi="Arial" w:cs="Arial"/>
          <w:color w:val="000000" w:themeColor="text1"/>
          <w:sz w:val="19"/>
          <w:szCs w:val="19"/>
        </w:rPr>
        <w:t xml:space="preserve"> Sentencia C-438 de 2019</w:t>
      </w:r>
      <w:r w:rsidR="004B3D3B">
        <w:rPr>
          <w:rFonts w:ascii="Arial" w:hAnsi="Arial" w:cs="Arial"/>
          <w:color w:val="000000" w:themeColor="text1"/>
          <w:sz w:val="19"/>
          <w:szCs w:val="19"/>
        </w:rPr>
        <w:t>.</w:t>
      </w:r>
      <w:r w:rsidRPr="004668BA">
        <w:rPr>
          <w:rFonts w:ascii="Arial" w:hAnsi="Arial" w:cs="Arial"/>
          <w:color w:val="000000" w:themeColor="text1"/>
          <w:sz w:val="19"/>
          <w:szCs w:val="19"/>
        </w:rPr>
        <w:t xml:space="preserve"> M</w:t>
      </w:r>
      <w:r w:rsidR="004B3D3B">
        <w:rPr>
          <w:rFonts w:ascii="Arial" w:hAnsi="Arial" w:cs="Arial"/>
          <w:color w:val="000000" w:themeColor="text1"/>
          <w:sz w:val="19"/>
          <w:szCs w:val="19"/>
        </w:rPr>
        <w:t>.</w:t>
      </w:r>
      <w:r w:rsidRPr="004668BA">
        <w:rPr>
          <w:rFonts w:ascii="Arial" w:hAnsi="Arial" w:cs="Arial"/>
          <w:color w:val="000000" w:themeColor="text1"/>
          <w:sz w:val="19"/>
          <w:szCs w:val="19"/>
        </w:rPr>
        <w:t>P</w:t>
      </w:r>
      <w:r w:rsidR="004B3D3B">
        <w:rPr>
          <w:rFonts w:ascii="Arial" w:hAnsi="Arial" w:cs="Arial"/>
          <w:color w:val="000000" w:themeColor="text1"/>
          <w:sz w:val="19"/>
          <w:szCs w:val="19"/>
        </w:rPr>
        <w:t>.</w:t>
      </w:r>
      <w:r w:rsidRPr="004668BA">
        <w:rPr>
          <w:rFonts w:ascii="Arial" w:hAnsi="Arial" w:cs="Arial"/>
          <w:color w:val="000000" w:themeColor="text1"/>
          <w:sz w:val="19"/>
          <w:szCs w:val="19"/>
        </w:rPr>
        <w:t xml:space="preserve"> Cristina Pardo Schlesinger</w:t>
      </w:r>
      <w:r w:rsidR="004B3D3B">
        <w:rPr>
          <w:rFonts w:ascii="Arial" w:hAnsi="Arial" w:cs="Arial"/>
          <w:color w:val="000000" w:themeColor="text1"/>
          <w:sz w:val="19"/>
          <w:szCs w:val="19"/>
        </w:rPr>
        <w:t>)</w:t>
      </w:r>
      <w:r w:rsidRPr="004668BA">
        <w:rPr>
          <w:rFonts w:ascii="Arial" w:hAnsi="Arial" w:cs="Arial"/>
          <w:color w:val="000000" w:themeColor="text1"/>
          <w:sz w:val="19"/>
          <w:szCs w:val="19"/>
        </w:rPr>
        <w:t>.</w:t>
      </w:r>
    </w:p>
  </w:footnote>
  <w:footnote w:id="45">
    <w:p w14:paraId="6D0A3D18" w14:textId="4F8396DA" w:rsidR="005D7824" w:rsidRDefault="005D7824" w:rsidP="008E123F">
      <w:pPr>
        <w:pStyle w:val="Textonotapie"/>
        <w:ind w:firstLine="708"/>
        <w:jc w:val="both"/>
        <w:rPr>
          <w:rFonts w:ascii="Arial" w:hAnsi="Arial" w:cs="Arial"/>
          <w:color w:val="000000" w:themeColor="text1"/>
          <w:sz w:val="19"/>
          <w:szCs w:val="19"/>
          <w:lang w:val="es-ES"/>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Pr="004668BA">
        <w:rPr>
          <w:rFonts w:ascii="Arial" w:hAnsi="Arial" w:cs="Arial"/>
          <w:color w:val="000000" w:themeColor="text1"/>
          <w:sz w:val="19"/>
          <w:szCs w:val="19"/>
          <w:lang w:val="es-ES"/>
        </w:rPr>
        <w:t>Por medio del cual se compilan las leyes 38 de 1989, 179 de 1994 y 225 de 1995 que conforman el estatuto orgánico del presupuesto».</w:t>
      </w:r>
    </w:p>
    <w:p w14:paraId="063F04D6" w14:textId="77777777" w:rsidR="008E123F" w:rsidRPr="004668BA" w:rsidRDefault="008E123F" w:rsidP="008E123F">
      <w:pPr>
        <w:pStyle w:val="Textonotapie"/>
        <w:ind w:firstLine="708"/>
        <w:jc w:val="both"/>
        <w:rPr>
          <w:rFonts w:ascii="Arial" w:hAnsi="Arial" w:cs="Arial"/>
          <w:color w:val="000000" w:themeColor="text1"/>
          <w:sz w:val="19"/>
          <w:szCs w:val="19"/>
          <w:lang w:val="es-ES"/>
        </w:rPr>
      </w:pPr>
    </w:p>
  </w:footnote>
  <w:footnote w:id="46">
    <w:p w14:paraId="3CD6BF73" w14:textId="67CEB970" w:rsidR="005D7824" w:rsidRDefault="005D7824" w:rsidP="008E123F">
      <w:pPr>
        <w:ind w:firstLine="708"/>
        <w:jc w:val="both"/>
        <w:rPr>
          <w:rFonts w:ascii="Arial" w:eastAsia="Times New Roman" w:hAnsi="Arial" w:cs="Arial"/>
          <w:color w:val="000000" w:themeColor="text1"/>
          <w:sz w:val="19"/>
          <w:szCs w:val="19"/>
          <w:shd w:val="clear" w:color="auto" w:fill="FFFFFF"/>
          <w:lang w:val="es-CO" w:eastAsia="es-ES_tradnl"/>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008E123F">
        <w:rPr>
          <w:rFonts w:ascii="Arial" w:eastAsia="Times New Roman" w:hAnsi="Arial" w:cs="Arial"/>
          <w:color w:val="000000" w:themeColor="text1"/>
          <w:sz w:val="19"/>
          <w:szCs w:val="19"/>
          <w:lang w:val="es-CO" w:eastAsia="es-ES_tradnl"/>
        </w:rPr>
        <w:t>Artículo</w:t>
      </w:r>
      <w:r w:rsidRPr="004668BA">
        <w:rPr>
          <w:rFonts w:ascii="Arial" w:eastAsia="Times New Roman" w:hAnsi="Arial" w:cs="Arial"/>
          <w:color w:val="000000" w:themeColor="text1"/>
          <w:sz w:val="19"/>
          <w:szCs w:val="19"/>
          <w:lang w:val="es-CO" w:eastAsia="es-ES_tradnl"/>
        </w:rPr>
        <w:t xml:space="preserve"> 6: «</w:t>
      </w:r>
      <w:r w:rsidRPr="004668BA">
        <w:rPr>
          <w:rFonts w:ascii="Arial" w:eastAsia="Times New Roman" w:hAnsi="Arial" w:cs="Arial"/>
          <w:color w:val="000000" w:themeColor="text1"/>
          <w:sz w:val="19"/>
          <w:szCs w:val="19"/>
          <w:shd w:val="clear" w:color="auto" w:fill="FFFFFF"/>
          <w:lang w:val="es-CO" w:eastAsia="es-ES_tradnl"/>
        </w:rPr>
        <w:t>Sistema presupuestal. Está constituido por un plan financiero, por un plan operativo anual de inversiones y por el presupuesto anual de la Nación».</w:t>
      </w:r>
    </w:p>
    <w:p w14:paraId="09DC8152" w14:textId="77777777" w:rsidR="008E123F" w:rsidRPr="004668BA" w:rsidRDefault="008E123F" w:rsidP="008E123F">
      <w:pPr>
        <w:ind w:firstLine="708"/>
        <w:jc w:val="both"/>
        <w:rPr>
          <w:rFonts w:ascii="Arial" w:eastAsia="Times New Roman" w:hAnsi="Arial" w:cs="Arial"/>
          <w:color w:val="000000" w:themeColor="text1"/>
          <w:sz w:val="19"/>
          <w:szCs w:val="19"/>
          <w:lang w:val="es-CO" w:eastAsia="es-ES_tradnl"/>
        </w:rPr>
      </w:pPr>
    </w:p>
  </w:footnote>
  <w:footnote w:id="47">
    <w:p w14:paraId="157B70D4" w14:textId="7C288637" w:rsidR="005D7824" w:rsidRPr="004668BA" w:rsidRDefault="005D7824" w:rsidP="008E123F">
      <w:pPr>
        <w:ind w:firstLine="708"/>
        <w:jc w:val="both"/>
        <w:rPr>
          <w:rFonts w:ascii="Arial" w:eastAsia="Times New Roman" w:hAnsi="Arial" w:cs="Arial"/>
          <w:color w:val="000000" w:themeColor="text1"/>
          <w:sz w:val="19"/>
          <w:szCs w:val="19"/>
          <w:lang w:val="es-CO" w:eastAsia="es-ES_tradnl"/>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Pr="004668BA">
        <w:rPr>
          <w:rFonts w:ascii="Arial" w:eastAsia="Times New Roman" w:hAnsi="Arial" w:cs="Arial"/>
          <w:color w:val="000000" w:themeColor="text1"/>
          <w:sz w:val="19"/>
          <w:szCs w:val="19"/>
          <w:lang w:val="es-CO" w:eastAsia="es-ES_tradnl"/>
        </w:rPr>
        <w:t>A</w:t>
      </w:r>
      <w:r w:rsidR="008E123F">
        <w:rPr>
          <w:rFonts w:ascii="Arial" w:eastAsia="Times New Roman" w:hAnsi="Arial" w:cs="Arial"/>
          <w:color w:val="000000" w:themeColor="text1"/>
          <w:sz w:val="19"/>
          <w:szCs w:val="19"/>
          <w:lang w:val="es-CO" w:eastAsia="es-ES_tradnl"/>
        </w:rPr>
        <w:t>rtículo</w:t>
      </w:r>
      <w:r w:rsidRPr="004668BA">
        <w:rPr>
          <w:rFonts w:ascii="Arial" w:eastAsia="Times New Roman" w:hAnsi="Arial" w:cs="Arial"/>
          <w:color w:val="000000" w:themeColor="text1"/>
          <w:sz w:val="19"/>
          <w:szCs w:val="19"/>
          <w:lang w:val="es-CO" w:eastAsia="es-ES_tradnl"/>
        </w:rPr>
        <w:t xml:space="preserve"> 8: «</w:t>
      </w:r>
      <w:r w:rsidRPr="004668BA">
        <w:rPr>
          <w:rFonts w:ascii="Arial" w:eastAsia="Times New Roman" w:hAnsi="Arial" w:cs="Arial"/>
          <w:color w:val="000000" w:themeColor="text1"/>
          <w:sz w:val="19"/>
          <w:szCs w:val="19"/>
          <w:shd w:val="clear" w:color="auto" w:fill="FFFFFF"/>
          <w:lang w:val="es-CO" w:eastAsia="es-ES_tradnl"/>
        </w:rPr>
        <w:t xml:space="preserve">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 </w:t>
      </w:r>
    </w:p>
    <w:p w14:paraId="3BA42485" w14:textId="77777777" w:rsidR="005D7824" w:rsidRPr="004668BA" w:rsidRDefault="005D7824" w:rsidP="005B433C">
      <w:pPr>
        <w:jc w:val="both"/>
        <w:rPr>
          <w:rFonts w:ascii="Arial" w:eastAsia="Times New Roman" w:hAnsi="Arial" w:cs="Arial"/>
          <w:color w:val="000000" w:themeColor="text1"/>
          <w:sz w:val="19"/>
          <w:szCs w:val="19"/>
          <w:lang w:val="es-CO" w:eastAsia="es-ES_tradnl"/>
        </w:rPr>
      </w:pPr>
    </w:p>
    <w:p w14:paraId="2319E24D" w14:textId="77777777" w:rsidR="005D7824" w:rsidRPr="004668BA" w:rsidRDefault="005D7824" w:rsidP="005B433C">
      <w:pPr>
        <w:pStyle w:val="Textonotapie"/>
        <w:jc w:val="both"/>
        <w:rPr>
          <w:rFonts w:ascii="Arial" w:hAnsi="Arial" w:cs="Arial"/>
          <w:color w:val="000000" w:themeColor="text1"/>
          <w:sz w:val="19"/>
          <w:szCs w:val="19"/>
          <w:lang w:val="es-CO"/>
        </w:rPr>
      </w:pPr>
    </w:p>
  </w:footnote>
  <w:footnote w:id="48">
    <w:p w14:paraId="330B7199" w14:textId="77777777" w:rsidR="005D7824" w:rsidRPr="004668BA" w:rsidRDefault="005D7824" w:rsidP="005B433C">
      <w:pPr>
        <w:pStyle w:val="Textonotapie"/>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Artículo 31 de la Ley 152 de 1994 -por la cual se establece la Ley Orgánica del Presupuesto-. </w:t>
      </w:r>
    </w:p>
  </w:footnote>
  <w:footnote w:id="49">
    <w:p w14:paraId="5911DB50"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Aunque el Estado sea un concepto más amplio que comprende al conjunto de órganos que realizan las diversas funciones y servicios estatales, ya sea en el orden nacional, o ya sea en los otros niveles territoriales.</w:t>
      </w:r>
    </w:p>
    <w:p w14:paraId="1D177903" w14:textId="77777777" w:rsidR="005D7824" w:rsidRPr="004668BA" w:rsidRDefault="005D7824" w:rsidP="005B433C">
      <w:pPr>
        <w:pStyle w:val="Textonotapie"/>
        <w:ind w:firstLine="709"/>
        <w:jc w:val="both"/>
        <w:rPr>
          <w:rFonts w:ascii="Arial" w:hAnsi="Arial" w:cs="Arial"/>
          <w:color w:val="000000" w:themeColor="text1"/>
          <w:sz w:val="19"/>
          <w:szCs w:val="19"/>
          <w:lang w:val="es-CO"/>
        </w:rPr>
      </w:pPr>
    </w:p>
  </w:footnote>
  <w:footnote w:id="50">
    <w:p w14:paraId="288A1F9D"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Pr="004668BA">
        <w:rPr>
          <w:rFonts w:ascii="Arial" w:eastAsia="Times New Roman" w:hAnsi="Arial" w:cs="Arial"/>
          <w:color w:val="000000" w:themeColor="text1"/>
          <w:sz w:val="19"/>
          <w:szCs w:val="19"/>
          <w:lang w:val="es-CO" w:eastAsia="es-CO"/>
        </w:rPr>
        <w:t>«</w:t>
      </w:r>
      <w:r w:rsidRPr="004668BA">
        <w:rPr>
          <w:rFonts w:ascii="Arial" w:hAnsi="Arial" w:cs="Arial"/>
          <w:color w:val="000000" w:themeColor="text1"/>
          <w:sz w:val="19"/>
          <w:szCs w:val="19"/>
        </w:rPr>
        <w:t xml:space="preserve">Artículo 287. Las entidades territoriales gozan de autonomía para la gestión de sus intereses, y dentro de los límites de la Constitución y la ley. En tal virtud tendrán los siguientes derechos: </w:t>
      </w:r>
    </w:p>
    <w:p w14:paraId="55EB945D"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Fonts w:ascii="Arial" w:eastAsia="Times New Roman" w:hAnsi="Arial" w:cs="Arial"/>
          <w:color w:val="000000" w:themeColor="text1"/>
          <w:sz w:val="19"/>
          <w:szCs w:val="19"/>
          <w:lang w:val="es-CO" w:eastAsia="es-CO"/>
        </w:rPr>
        <w:t>»</w:t>
      </w:r>
      <w:r w:rsidRPr="004668BA">
        <w:rPr>
          <w:rFonts w:ascii="Arial" w:hAnsi="Arial" w:cs="Arial"/>
          <w:color w:val="000000" w:themeColor="text1"/>
          <w:sz w:val="19"/>
          <w:szCs w:val="19"/>
        </w:rPr>
        <w:t xml:space="preserve">1. Gobernarse por autoridades propias. </w:t>
      </w:r>
    </w:p>
    <w:p w14:paraId="49A794D1"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Fonts w:ascii="Arial" w:eastAsia="Times New Roman" w:hAnsi="Arial" w:cs="Arial"/>
          <w:color w:val="000000" w:themeColor="text1"/>
          <w:sz w:val="19"/>
          <w:szCs w:val="19"/>
          <w:lang w:val="es-CO" w:eastAsia="es-CO"/>
        </w:rPr>
        <w:t>»</w:t>
      </w:r>
      <w:r w:rsidRPr="004668BA">
        <w:rPr>
          <w:rFonts w:ascii="Arial" w:hAnsi="Arial" w:cs="Arial"/>
          <w:color w:val="000000" w:themeColor="text1"/>
          <w:sz w:val="19"/>
          <w:szCs w:val="19"/>
        </w:rPr>
        <w:t xml:space="preserve">2. Ejercer las competencias que les correspondan. </w:t>
      </w:r>
    </w:p>
    <w:p w14:paraId="3D04F862"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Fonts w:ascii="Arial" w:eastAsia="Times New Roman" w:hAnsi="Arial" w:cs="Arial"/>
          <w:color w:val="000000" w:themeColor="text1"/>
          <w:sz w:val="19"/>
          <w:szCs w:val="19"/>
          <w:lang w:val="es-CO" w:eastAsia="es-CO"/>
        </w:rPr>
        <w:t>»</w:t>
      </w:r>
      <w:r w:rsidRPr="004668BA">
        <w:rPr>
          <w:rFonts w:ascii="Arial" w:hAnsi="Arial" w:cs="Arial"/>
          <w:color w:val="000000" w:themeColor="text1"/>
          <w:sz w:val="19"/>
          <w:szCs w:val="19"/>
        </w:rPr>
        <w:t xml:space="preserve">3. Administrar los recursos y establecer los tributos necesarios para el cumplimiento de sus funciones. </w:t>
      </w:r>
    </w:p>
    <w:p w14:paraId="02B99502"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Fonts w:ascii="Arial" w:eastAsia="Times New Roman" w:hAnsi="Arial" w:cs="Arial"/>
          <w:color w:val="000000" w:themeColor="text1"/>
          <w:sz w:val="19"/>
          <w:szCs w:val="19"/>
          <w:lang w:val="es-CO" w:eastAsia="es-CO"/>
        </w:rPr>
        <w:t>»</w:t>
      </w:r>
      <w:r w:rsidRPr="004668BA">
        <w:rPr>
          <w:rFonts w:ascii="Arial" w:hAnsi="Arial" w:cs="Arial"/>
          <w:color w:val="000000" w:themeColor="text1"/>
          <w:sz w:val="19"/>
          <w:szCs w:val="19"/>
        </w:rPr>
        <w:t>4. Participar en las rentas nacionales</w:t>
      </w:r>
      <w:r w:rsidRPr="004668BA">
        <w:rPr>
          <w:rFonts w:ascii="Arial" w:eastAsia="Times New Roman" w:hAnsi="Arial" w:cs="Arial"/>
          <w:color w:val="000000" w:themeColor="text1"/>
          <w:sz w:val="19"/>
          <w:szCs w:val="19"/>
          <w:lang w:val="es-CO" w:eastAsia="es-CO"/>
        </w:rPr>
        <w:t>»</w:t>
      </w:r>
    </w:p>
  </w:footnote>
  <w:footnote w:id="51">
    <w:p w14:paraId="24961331" w14:textId="64A863DF" w:rsidR="005D7824"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Corte Constitucional, Sentencia C-221 del 29 de abril de 1997. M.P. Alejandro Martínez Caballero.</w:t>
      </w:r>
    </w:p>
    <w:p w14:paraId="2B0C5AB9" w14:textId="77777777" w:rsidR="00B73166" w:rsidRPr="004668BA" w:rsidRDefault="00B73166" w:rsidP="005B433C">
      <w:pPr>
        <w:pStyle w:val="Textonotapie"/>
        <w:ind w:firstLine="709"/>
        <w:jc w:val="both"/>
        <w:rPr>
          <w:rFonts w:ascii="Arial" w:hAnsi="Arial" w:cs="Arial"/>
          <w:color w:val="000000" w:themeColor="text1"/>
          <w:sz w:val="19"/>
          <w:szCs w:val="19"/>
        </w:rPr>
      </w:pPr>
    </w:p>
  </w:footnote>
  <w:footnote w:id="52">
    <w:p w14:paraId="2C6B11C0" w14:textId="77777777" w:rsidR="005D7824" w:rsidRPr="004668BA" w:rsidRDefault="005D7824" w:rsidP="005B433C">
      <w:pPr>
        <w:shd w:val="clear" w:color="auto" w:fill="FFFFFF"/>
        <w:ind w:firstLine="709"/>
        <w:jc w:val="both"/>
        <w:rPr>
          <w:rFonts w:ascii="Arial" w:eastAsia="Times New Roman" w:hAnsi="Arial" w:cs="Arial"/>
          <w:bCs/>
          <w:color w:val="000000" w:themeColor="text1"/>
          <w:sz w:val="19"/>
          <w:szCs w:val="19"/>
          <w:lang w:eastAsia="es-CO"/>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Pr="004668BA">
        <w:rPr>
          <w:rFonts w:ascii="Arial" w:eastAsia="Times New Roman" w:hAnsi="Arial" w:cs="Arial"/>
          <w:bCs/>
          <w:color w:val="000000" w:themeColor="text1"/>
          <w:sz w:val="19"/>
          <w:szCs w:val="19"/>
          <w:lang w:eastAsia="es-CO"/>
        </w:rPr>
        <w:t>Corte Constitucional, Sentencia T-247 del 10 de abril de 2007.</w:t>
      </w:r>
      <w:r w:rsidRPr="004668BA">
        <w:rPr>
          <w:rFonts w:ascii="Arial" w:hAnsi="Arial" w:cs="Arial"/>
          <w:color w:val="000000" w:themeColor="text1"/>
          <w:sz w:val="19"/>
          <w:szCs w:val="19"/>
        </w:rPr>
        <w:t xml:space="preserve"> </w:t>
      </w:r>
      <w:r w:rsidRPr="004668BA">
        <w:rPr>
          <w:rFonts w:ascii="Arial" w:eastAsia="Times New Roman" w:hAnsi="Arial" w:cs="Arial"/>
          <w:bCs/>
          <w:color w:val="000000" w:themeColor="text1"/>
          <w:sz w:val="19"/>
          <w:szCs w:val="19"/>
          <w:lang w:eastAsia="es-CO"/>
        </w:rPr>
        <w:t>M.P. Rodrigo Escobar Gil.</w:t>
      </w:r>
    </w:p>
  </w:footnote>
  <w:footnote w:id="53">
    <w:p w14:paraId="2294C027"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El artículo 68 de la Ley 489 de 1998 sobre este sector preceptúa: </w:t>
      </w:r>
      <w:r w:rsidRPr="004668BA">
        <w:rPr>
          <w:rFonts w:ascii="Arial" w:eastAsia="Times New Roman" w:hAnsi="Arial" w:cs="Arial"/>
          <w:bCs/>
          <w:color w:val="000000" w:themeColor="text1"/>
          <w:sz w:val="19"/>
          <w:szCs w:val="19"/>
          <w:lang w:eastAsia="es-CO"/>
        </w:rPr>
        <w:t>«</w:t>
      </w:r>
      <w:r w:rsidRPr="004668BA">
        <w:rPr>
          <w:rFonts w:ascii="Arial" w:hAnsi="Arial" w:cs="Arial"/>
          <w:color w:val="000000" w:themeColor="text1"/>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4668BA">
        <w:rPr>
          <w:rFonts w:ascii="Arial" w:eastAsia="Times New Roman" w:hAnsi="Arial" w:cs="Arial"/>
          <w:bCs/>
          <w:color w:val="000000" w:themeColor="text1"/>
          <w:sz w:val="19"/>
          <w:szCs w:val="19"/>
          <w:lang w:eastAsia="es-CO"/>
        </w:rPr>
        <w:t>»</w:t>
      </w:r>
      <w:r w:rsidRPr="00321041">
        <w:rPr>
          <w:rFonts w:ascii="Arial" w:eastAsia="Times New Roman" w:hAnsi="Arial" w:cs="Arial"/>
          <w:bCs/>
          <w:color w:val="000000" w:themeColor="text1"/>
          <w:sz w:val="19"/>
          <w:szCs w:val="19"/>
          <w:lang w:eastAsia="es-CO"/>
        </w:rPr>
        <w:t>.</w:t>
      </w:r>
    </w:p>
  </w:footnote>
  <w:footnote w:id="54">
    <w:p w14:paraId="3F9C63FF" w14:textId="56B2F6A1" w:rsidR="005D7824" w:rsidRDefault="005D7824" w:rsidP="005B433C">
      <w:pPr>
        <w:pStyle w:val="Textonotapie"/>
        <w:ind w:firstLine="708"/>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00AB3480" w:rsidRPr="004668BA">
        <w:rPr>
          <w:rFonts w:ascii="Arial" w:hAnsi="Arial" w:cs="Arial"/>
          <w:color w:val="000000" w:themeColor="text1"/>
          <w:sz w:val="19"/>
          <w:szCs w:val="19"/>
        </w:rPr>
        <w:t>RODRÍGUEZ</w:t>
      </w:r>
      <w:r w:rsidR="00AB3480">
        <w:rPr>
          <w:rFonts w:ascii="Arial" w:hAnsi="Arial" w:cs="Arial"/>
          <w:color w:val="000000" w:themeColor="text1"/>
          <w:sz w:val="19"/>
          <w:szCs w:val="19"/>
        </w:rPr>
        <w:t>,</w:t>
      </w:r>
      <w:r w:rsidRPr="004668BA">
        <w:rPr>
          <w:rFonts w:ascii="Arial" w:hAnsi="Arial" w:cs="Arial"/>
          <w:color w:val="000000" w:themeColor="text1"/>
          <w:sz w:val="19"/>
          <w:szCs w:val="19"/>
        </w:rPr>
        <w:t xml:space="preserve"> Libardo</w:t>
      </w:r>
      <w:r w:rsidR="00AB3480">
        <w:rPr>
          <w:rFonts w:ascii="Arial" w:hAnsi="Arial" w:cs="Arial"/>
          <w:color w:val="000000" w:themeColor="text1"/>
          <w:sz w:val="19"/>
          <w:szCs w:val="19"/>
        </w:rPr>
        <w:t>.</w:t>
      </w:r>
      <w:r w:rsidRPr="004668BA">
        <w:rPr>
          <w:rFonts w:ascii="Arial" w:hAnsi="Arial" w:cs="Arial"/>
          <w:color w:val="000000" w:themeColor="text1"/>
          <w:sz w:val="19"/>
          <w:szCs w:val="19"/>
        </w:rPr>
        <w:t xml:space="preserve"> Derecho Administrativo, general y colombiano</w:t>
      </w:r>
      <w:r w:rsidR="00AB3480">
        <w:rPr>
          <w:rFonts w:ascii="Arial" w:hAnsi="Arial" w:cs="Arial"/>
          <w:color w:val="000000" w:themeColor="text1"/>
          <w:sz w:val="19"/>
          <w:szCs w:val="19"/>
        </w:rPr>
        <w:t>.</w:t>
      </w:r>
      <w:r w:rsidRPr="004668BA">
        <w:rPr>
          <w:rFonts w:ascii="Arial" w:hAnsi="Arial" w:cs="Arial"/>
          <w:color w:val="000000" w:themeColor="text1"/>
          <w:sz w:val="19"/>
          <w:szCs w:val="19"/>
        </w:rPr>
        <w:t xml:space="preserve"> </w:t>
      </w:r>
      <w:r w:rsidR="00AB3480">
        <w:rPr>
          <w:rFonts w:ascii="Arial" w:hAnsi="Arial" w:cs="Arial"/>
          <w:color w:val="000000" w:themeColor="text1"/>
          <w:sz w:val="19"/>
          <w:szCs w:val="19"/>
        </w:rPr>
        <w:t>Bogotá:</w:t>
      </w:r>
      <w:r w:rsidRPr="004668BA">
        <w:rPr>
          <w:rFonts w:ascii="Arial" w:hAnsi="Arial" w:cs="Arial"/>
          <w:color w:val="000000" w:themeColor="text1"/>
          <w:sz w:val="19"/>
          <w:szCs w:val="19"/>
        </w:rPr>
        <w:t xml:space="preserve"> Temis</w:t>
      </w:r>
      <w:r w:rsidR="00AB3480">
        <w:rPr>
          <w:rFonts w:ascii="Arial" w:hAnsi="Arial" w:cs="Arial"/>
          <w:color w:val="000000" w:themeColor="text1"/>
          <w:sz w:val="19"/>
          <w:szCs w:val="19"/>
        </w:rPr>
        <w:t>,</w:t>
      </w:r>
      <w:r w:rsidRPr="004668BA">
        <w:rPr>
          <w:rFonts w:ascii="Arial" w:hAnsi="Arial" w:cs="Arial"/>
          <w:color w:val="000000" w:themeColor="text1"/>
          <w:sz w:val="19"/>
          <w:szCs w:val="19"/>
        </w:rPr>
        <w:t xml:space="preserve"> 2015</w:t>
      </w:r>
      <w:r w:rsidR="00AB3480">
        <w:rPr>
          <w:rFonts w:ascii="Arial" w:hAnsi="Arial" w:cs="Arial"/>
          <w:color w:val="000000" w:themeColor="text1"/>
          <w:sz w:val="19"/>
          <w:szCs w:val="19"/>
        </w:rPr>
        <w:t>.</w:t>
      </w:r>
      <w:r w:rsidRPr="004668BA">
        <w:rPr>
          <w:rFonts w:ascii="Arial" w:hAnsi="Arial" w:cs="Arial"/>
          <w:color w:val="000000" w:themeColor="text1"/>
          <w:sz w:val="19"/>
          <w:szCs w:val="19"/>
        </w:rPr>
        <w:t xml:space="preserve"> p. 160.</w:t>
      </w:r>
    </w:p>
    <w:p w14:paraId="2C3C11FE" w14:textId="77777777" w:rsidR="00AB3480" w:rsidRPr="004668BA" w:rsidRDefault="00AB3480" w:rsidP="005B433C">
      <w:pPr>
        <w:pStyle w:val="Textonotapie"/>
        <w:ind w:firstLine="708"/>
        <w:jc w:val="both"/>
        <w:rPr>
          <w:rFonts w:ascii="Arial" w:hAnsi="Arial" w:cs="Arial"/>
          <w:color w:val="000000" w:themeColor="text1"/>
          <w:sz w:val="19"/>
          <w:szCs w:val="19"/>
        </w:rPr>
      </w:pPr>
    </w:p>
  </w:footnote>
  <w:footnote w:id="55">
    <w:p w14:paraId="6DB50094" w14:textId="6AF08F37" w:rsidR="005D7824" w:rsidRDefault="005D7824" w:rsidP="005B433C">
      <w:pPr>
        <w:ind w:firstLine="708"/>
        <w:jc w:val="both"/>
        <w:rPr>
          <w:rFonts w:ascii="Arial" w:eastAsia="Times New Roman" w:hAnsi="Arial" w:cs="Arial"/>
          <w:color w:val="000000" w:themeColor="text1"/>
          <w:sz w:val="19"/>
          <w:szCs w:val="19"/>
          <w:shd w:val="clear" w:color="auto" w:fill="FFFFFF"/>
          <w:lang w:val="es-CO" w:eastAsia="es-ES_tradnl"/>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00AB3480" w:rsidRPr="004668BA">
        <w:rPr>
          <w:rFonts w:ascii="Arial" w:hAnsi="Arial" w:cs="Arial"/>
          <w:color w:val="000000" w:themeColor="text1"/>
          <w:sz w:val="19"/>
          <w:szCs w:val="19"/>
        </w:rPr>
        <w:t>VIDAL PERDOMO</w:t>
      </w:r>
      <w:r w:rsidR="00AB3480">
        <w:rPr>
          <w:rFonts w:ascii="Arial" w:hAnsi="Arial" w:cs="Arial"/>
          <w:color w:val="000000" w:themeColor="text1"/>
          <w:sz w:val="19"/>
          <w:szCs w:val="19"/>
        </w:rPr>
        <w:t>,</w:t>
      </w:r>
      <w:r w:rsidRPr="004668BA">
        <w:rPr>
          <w:rFonts w:ascii="Arial" w:hAnsi="Arial" w:cs="Arial"/>
          <w:color w:val="000000" w:themeColor="text1"/>
          <w:sz w:val="19"/>
          <w:szCs w:val="19"/>
        </w:rPr>
        <w:t xml:space="preserve"> Libardo</w:t>
      </w:r>
      <w:r w:rsidR="00AB3480">
        <w:rPr>
          <w:rFonts w:ascii="Arial" w:hAnsi="Arial" w:cs="Arial"/>
          <w:color w:val="000000" w:themeColor="text1"/>
          <w:sz w:val="19"/>
          <w:szCs w:val="19"/>
        </w:rPr>
        <w:t>.</w:t>
      </w:r>
      <w:r w:rsidRPr="004668BA">
        <w:rPr>
          <w:rFonts w:ascii="Arial" w:hAnsi="Arial" w:cs="Arial"/>
          <w:color w:val="000000" w:themeColor="text1"/>
          <w:sz w:val="19"/>
          <w:szCs w:val="19"/>
        </w:rPr>
        <w:t xml:space="preserve"> Derecho Administrativo</w:t>
      </w:r>
      <w:r w:rsidR="00AB3480">
        <w:rPr>
          <w:rFonts w:ascii="Arial" w:hAnsi="Arial" w:cs="Arial"/>
          <w:color w:val="000000" w:themeColor="text1"/>
          <w:sz w:val="19"/>
          <w:szCs w:val="19"/>
        </w:rPr>
        <w:t>. Bogotá:</w:t>
      </w:r>
      <w:r w:rsidRPr="004668BA">
        <w:rPr>
          <w:rFonts w:ascii="Arial" w:hAnsi="Arial" w:cs="Arial"/>
          <w:color w:val="000000" w:themeColor="text1"/>
          <w:sz w:val="19"/>
          <w:szCs w:val="19"/>
        </w:rPr>
        <w:t xml:space="preserve"> Legis</w:t>
      </w:r>
      <w:r w:rsidR="00AB3480">
        <w:rPr>
          <w:rFonts w:ascii="Arial" w:hAnsi="Arial" w:cs="Arial"/>
          <w:color w:val="000000" w:themeColor="text1"/>
          <w:sz w:val="19"/>
          <w:szCs w:val="19"/>
        </w:rPr>
        <w:t>,</w:t>
      </w:r>
      <w:r w:rsidRPr="004668BA">
        <w:rPr>
          <w:rFonts w:ascii="Arial" w:hAnsi="Arial" w:cs="Arial"/>
          <w:color w:val="000000" w:themeColor="text1"/>
          <w:sz w:val="19"/>
          <w:szCs w:val="19"/>
        </w:rPr>
        <w:t xml:space="preserve"> 2016</w:t>
      </w:r>
      <w:r w:rsidR="00AB3480">
        <w:rPr>
          <w:rFonts w:ascii="Arial" w:hAnsi="Arial" w:cs="Arial"/>
          <w:color w:val="000000" w:themeColor="text1"/>
          <w:sz w:val="19"/>
          <w:szCs w:val="19"/>
        </w:rPr>
        <w:t>.</w:t>
      </w:r>
      <w:r w:rsidRPr="004668BA">
        <w:rPr>
          <w:rFonts w:ascii="Arial" w:hAnsi="Arial" w:cs="Arial"/>
          <w:color w:val="000000" w:themeColor="text1"/>
          <w:sz w:val="19"/>
          <w:szCs w:val="19"/>
        </w:rPr>
        <w:t xml:space="preserve"> p. 151. En similar sentido se ha expresado la Sala de Consulta y Servicio Civil del Consejo de Estado al definir a las entidades públicas descentralizadas indirectamente como «[…]</w:t>
      </w:r>
      <w:r w:rsidRPr="004668BA">
        <w:rPr>
          <w:rFonts w:ascii="Arial" w:eastAsia="Times New Roman" w:hAnsi="Arial" w:cs="Arial"/>
          <w:color w:val="000000" w:themeColor="text1"/>
          <w:sz w:val="19"/>
          <w:szCs w:val="19"/>
          <w:shd w:val="clear" w:color="auto" w:fill="FFFFFF"/>
          <w:lang w:val="es-CO" w:eastAsia="es-ES_tradnl"/>
        </w:rPr>
        <w:t>las que surgen por la voluntad asociativa de los entes públicos entre sí o con la intervención de particulares, previa autorización legal» (Concepto del 26 de octubre de 2000</w:t>
      </w:r>
      <w:r w:rsidR="00AB3480">
        <w:rPr>
          <w:rFonts w:ascii="Arial" w:eastAsia="Times New Roman" w:hAnsi="Arial" w:cs="Arial"/>
          <w:color w:val="000000" w:themeColor="text1"/>
          <w:sz w:val="19"/>
          <w:szCs w:val="19"/>
          <w:shd w:val="clear" w:color="auto" w:fill="FFFFFF"/>
          <w:lang w:val="es-CO" w:eastAsia="es-ES_tradnl"/>
        </w:rPr>
        <w:t>.</w:t>
      </w:r>
      <w:r w:rsidRPr="004668BA">
        <w:rPr>
          <w:rFonts w:ascii="Arial" w:eastAsia="Times New Roman" w:hAnsi="Arial" w:cs="Arial"/>
          <w:color w:val="000000" w:themeColor="text1"/>
          <w:sz w:val="19"/>
          <w:szCs w:val="19"/>
          <w:shd w:val="clear" w:color="auto" w:fill="FFFFFF"/>
          <w:lang w:val="es-CO" w:eastAsia="es-ES_tradnl"/>
        </w:rPr>
        <w:t xml:space="preserve"> Rad. 1291</w:t>
      </w:r>
      <w:r w:rsidR="00AB3480">
        <w:rPr>
          <w:rFonts w:ascii="Arial" w:eastAsia="Times New Roman" w:hAnsi="Arial" w:cs="Arial"/>
          <w:color w:val="000000" w:themeColor="text1"/>
          <w:sz w:val="19"/>
          <w:szCs w:val="19"/>
          <w:shd w:val="clear" w:color="auto" w:fill="FFFFFF"/>
          <w:lang w:val="es-CO" w:eastAsia="es-ES_tradnl"/>
        </w:rPr>
        <w:t>.</w:t>
      </w:r>
      <w:r w:rsidRPr="004668BA">
        <w:rPr>
          <w:rFonts w:ascii="Arial" w:eastAsia="Times New Roman" w:hAnsi="Arial" w:cs="Arial"/>
          <w:color w:val="000000" w:themeColor="text1"/>
          <w:sz w:val="19"/>
          <w:szCs w:val="19"/>
          <w:shd w:val="clear" w:color="auto" w:fill="FFFFFF"/>
          <w:lang w:val="es-CO" w:eastAsia="es-ES_tradnl"/>
        </w:rPr>
        <w:t xml:space="preserve"> M.P. Augusto Trejos Jaramillo).</w:t>
      </w:r>
    </w:p>
    <w:p w14:paraId="0BF182DB" w14:textId="77777777" w:rsidR="00AB3480" w:rsidRPr="004668BA" w:rsidRDefault="00AB3480" w:rsidP="005B433C">
      <w:pPr>
        <w:ind w:firstLine="708"/>
        <w:jc w:val="both"/>
        <w:rPr>
          <w:rFonts w:ascii="Arial" w:eastAsia="Times New Roman" w:hAnsi="Arial" w:cs="Arial"/>
          <w:color w:val="000000" w:themeColor="text1"/>
          <w:sz w:val="19"/>
          <w:szCs w:val="19"/>
          <w:lang w:val="es-CO" w:eastAsia="es-ES_tradnl"/>
        </w:rPr>
      </w:pPr>
    </w:p>
  </w:footnote>
  <w:footnote w:id="56">
    <w:p w14:paraId="53E430E4" w14:textId="65701891" w:rsidR="005D7824" w:rsidRPr="004668BA" w:rsidRDefault="005D7824" w:rsidP="005B433C">
      <w:pPr>
        <w:pStyle w:val="Textonotapie"/>
        <w:ind w:firstLine="708"/>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Ver, </w:t>
      </w:r>
      <w:r w:rsidR="00AC2040" w:rsidRPr="004668BA">
        <w:rPr>
          <w:rFonts w:ascii="Arial" w:hAnsi="Arial" w:cs="Arial"/>
          <w:color w:val="000000" w:themeColor="text1"/>
          <w:sz w:val="19"/>
          <w:szCs w:val="19"/>
        </w:rPr>
        <w:t>TAFUR GALVIS</w:t>
      </w:r>
      <w:r w:rsidR="00AC2040">
        <w:rPr>
          <w:rFonts w:ascii="Arial" w:hAnsi="Arial" w:cs="Arial"/>
          <w:color w:val="000000" w:themeColor="text1"/>
          <w:sz w:val="19"/>
          <w:szCs w:val="19"/>
        </w:rPr>
        <w:t>,</w:t>
      </w:r>
      <w:r w:rsidR="00AC2040" w:rsidRPr="004668BA">
        <w:rPr>
          <w:rFonts w:ascii="Arial" w:hAnsi="Arial" w:cs="Arial"/>
          <w:color w:val="000000" w:themeColor="text1"/>
          <w:sz w:val="19"/>
          <w:szCs w:val="19"/>
        </w:rPr>
        <w:t xml:space="preserve"> </w:t>
      </w:r>
      <w:r w:rsidRPr="004668BA">
        <w:rPr>
          <w:rFonts w:ascii="Arial" w:hAnsi="Arial" w:cs="Arial"/>
          <w:color w:val="000000" w:themeColor="text1"/>
          <w:sz w:val="19"/>
          <w:szCs w:val="19"/>
        </w:rPr>
        <w:t>Álvaro</w:t>
      </w:r>
      <w:r w:rsidR="00AC2040">
        <w:rPr>
          <w:rFonts w:ascii="Arial" w:hAnsi="Arial" w:cs="Arial"/>
          <w:color w:val="000000" w:themeColor="text1"/>
          <w:sz w:val="19"/>
          <w:szCs w:val="19"/>
        </w:rPr>
        <w:t>.</w:t>
      </w:r>
      <w:r w:rsidRPr="004668BA">
        <w:rPr>
          <w:rFonts w:ascii="Arial" w:hAnsi="Arial" w:cs="Arial"/>
          <w:color w:val="000000" w:themeColor="text1"/>
          <w:sz w:val="19"/>
          <w:szCs w:val="19"/>
        </w:rPr>
        <w:t xml:space="preserve"> </w:t>
      </w:r>
      <w:r w:rsidR="00AC2040">
        <w:rPr>
          <w:rFonts w:ascii="Arial" w:hAnsi="Arial" w:cs="Arial"/>
          <w:color w:val="000000" w:themeColor="text1"/>
          <w:sz w:val="19"/>
          <w:szCs w:val="19"/>
        </w:rPr>
        <w:t>L</w:t>
      </w:r>
      <w:r w:rsidRPr="004668BA">
        <w:rPr>
          <w:rFonts w:ascii="Arial" w:hAnsi="Arial" w:cs="Arial"/>
          <w:color w:val="000000" w:themeColor="text1"/>
          <w:sz w:val="19"/>
          <w:szCs w:val="19"/>
        </w:rPr>
        <w:t>as entidades descentralizadas, Bogotá</w:t>
      </w:r>
      <w:r w:rsidR="00AC2040">
        <w:rPr>
          <w:rFonts w:ascii="Arial" w:hAnsi="Arial" w:cs="Arial"/>
          <w:color w:val="000000" w:themeColor="text1"/>
          <w:sz w:val="19"/>
          <w:szCs w:val="19"/>
        </w:rPr>
        <w:t xml:space="preserve">: ed. </w:t>
      </w:r>
      <w:r w:rsidRPr="004668BA">
        <w:rPr>
          <w:rFonts w:ascii="Arial" w:hAnsi="Arial" w:cs="Arial"/>
          <w:color w:val="000000" w:themeColor="text1"/>
          <w:sz w:val="19"/>
          <w:szCs w:val="19"/>
        </w:rPr>
        <w:t>Montoya y Araujo</w:t>
      </w:r>
      <w:r w:rsidR="00AC2040">
        <w:rPr>
          <w:rFonts w:ascii="Arial" w:hAnsi="Arial" w:cs="Arial"/>
          <w:color w:val="000000" w:themeColor="text1"/>
          <w:sz w:val="19"/>
          <w:szCs w:val="19"/>
        </w:rPr>
        <w:t>,</w:t>
      </w:r>
      <w:r w:rsidRPr="004668BA">
        <w:rPr>
          <w:rFonts w:ascii="Arial" w:hAnsi="Arial" w:cs="Arial"/>
          <w:color w:val="000000" w:themeColor="text1"/>
          <w:sz w:val="19"/>
          <w:szCs w:val="19"/>
        </w:rPr>
        <w:t xml:space="preserve"> 1984</w:t>
      </w:r>
      <w:r w:rsidR="00AC2040">
        <w:rPr>
          <w:rFonts w:ascii="Arial" w:hAnsi="Arial" w:cs="Arial"/>
          <w:color w:val="000000" w:themeColor="text1"/>
          <w:sz w:val="19"/>
          <w:szCs w:val="19"/>
        </w:rPr>
        <w:t>.</w:t>
      </w:r>
      <w:r w:rsidRPr="004668BA">
        <w:rPr>
          <w:rFonts w:ascii="Arial" w:hAnsi="Arial" w:cs="Arial"/>
          <w:color w:val="000000" w:themeColor="text1"/>
          <w:sz w:val="19"/>
          <w:szCs w:val="19"/>
        </w:rPr>
        <w:t xml:space="preserve"> p. 205. </w:t>
      </w:r>
    </w:p>
  </w:footnote>
  <w:footnote w:id="57">
    <w:p w14:paraId="74346FDE" w14:textId="77777777" w:rsidR="005D7824" w:rsidRPr="004668BA" w:rsidRDefault="005D7824" w:rsidP="005B433C">
      <w:pPr>
        <w:pStyle w:val="Textonotapie"/>
        <w:ind w:firstLine="708"/>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Sala de Consulta y Servicio Civil, Concepto Rad 1291, Ob. Cit. </w:t>
      </w:r>
    </w:p>
  </w:footnote>
  <w:footnote w:id="58">
    <w:p w14:paraId="4CA8E1AB" w14:textId="77777777"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Corte Constitucional, Sentencia C-374 del 25 de agosto de 1994, M.P. Jorge Arango Mejía. </w:t>
      </w:r>
    </w:p>
  </w:footnote>
  <w:footnote w:id="59">
    <w:p w14:paraId="05E63910" w14:textId="0F50457E" w:rsidR="005D7824" w:rsidRDefault="005D7824" w:rsidP="005B433C">
      <w:pPr>
        <w:pStyle w:val="Textonotapie"/>
        <w:ind w:firstLine="709"/>
        <w:jc w:val="both"/>
        <w:rPr>
          <w:rFonts w:ascii="Arial" w:hAnsi="Arial" w:cs="Arial"/>
          <w:i/>
          <w:iCs/>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Pr="004668BA">
        <w:rPr>
          <w:rFonts w:ascii="Arial" w:hAnsi="Arial" w:cs="Arial"/>
          <w:i/>
          <w:iCs/>
          <w:color w:val="000000" w:themeColor="text1"/>
          <w:sz w:val="19"/>
          <w:szCs w:val="19"/>
        </w:rPr>
        <w:t>Ibid</w:t>
      </w:r>
      <w:r w:rsidRPr="00321041">
        <w:rPr>
          <w:rFonts w:ascii="Arial" w:hAnsi="Arial" w:cs="Arial"/>
          <w:i/>
          <w:iCs/>
          <w:color w:val="000000" w:themeColor="text1"/>
          <w:sz w:val="19"/>
          <w:szCs w:val="19"/>
        </w:rPr>
        <w:t>.</w:t>
      </w:r>
    </w:p>
    <w:p w14:paraId="1586A5BA" w14:textId="77777777" w:rsidR="00F36275" w:rsidRPr="004668BA" w:rsidRDefault="00F36275" w:rsidP="005B433C">
      <w:pPr>
        <w:pStyle w:val="Textonotapie"/>
        <w:ind w:firstLine="709"/>
        <w:jc w:val="both"/>
        <w:rPr>
          <w:rFonts w:ascii="Arial" w:hAnsi="Arial" w:cs="Arial"/>
          <w:color w:val="000000" w:themeColor="text1"/>
          <w:sz w:val="19"/>
          <w:szCs w:val="19"/>
        </w:rPr>
      </w:pPr>
    </w:p>
  </w:footnote>
  <w:footnote w:id="60">
    <w:p w14:paraId="6C27C96A" w14:textId="11C2B1B4" w:rsidR="005D7824" w:rsidRPr="004668BA" w:rsidRDefault="005D7824" w:rsidP="005B433C">
      <w:pPr>
        <w:pStyle w:val="Textonotapie"/>
        <w:ind w:firstLine="709"/>
        <w:jc w:val="both"/>
        <w:rPr>
          <w:rFonts w:ascii="Arial" w:hAnsi="Arial" w:cs="Arial"/>
          <w:color w:val="000000" w:themeColor="text1"/>
          <w:sz w:val="19"/>
          <w:szCs w:val="19"/>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w:t>
      </w:r>
      <w:r w:rsidRPr="004668BA">
        <w:rPr>
          <w:rFonts w:ascii="Arial" w:eastAsia="Times New Roman" w:hAnsi="Arial" w:cs="Arial"/>
          <w:bCs/>
          <w:color w:val="000000" w:themeColor="text1"/>
          <w:sz w:val="19"/>
          <w:szCs w:val="19"/>
          <w:lang w:eastAsia="es-CO"/>
        </w:rPr>
        <w:t>«</w:t>
      </w:r>
      <w:r w:rsidR="00F36275">
        <w:rPr>
          <w:rFonts w:ascii="Arial" w:hAnsi="Arial" w:cs="Arial"/>
          <w:color w:val="000000" w:themeColor="text1"/>
          <w:sz w:val="19"/>
          <w:szCs w:val="19"/>
        </w:rPr>
        <w:t>Artículo</w:t>
      </w:r>
      <w:r w:rsidRPr="004668BA">
        <w:rPr>
          <w:rFonts w:ascii="Arial" w:hAnsi="Arial" w:cs="Arial"/>
          <w:color w:val="000000" w:themeColor="text1"/>
          <w:sz w:val="19"/>
          <w:szCs w:val="19"/>
        </w:rPr>
        <w:t xml:space="preserve"> 113. Son Ramas del Poder Público, la legislativa, la ejecutiva, y la judicial. Además de los órganos que las integran existen otros, autónomos e independientes, para el cumplimiento de las demás funciones del Estado. Los diferentes órganos del Estado tienen funciones </w:t>
      </w:r>
      <w:proofErr w:type="gramStart"/>
      <w:r w:rsidRPr="004668BA">
        <w:rPr>
          <w:rFonts w:ascii="Arial" w:hAnsi="Arial" w:cs="Arial"/>
          <w:color w:val="000000" w:themeColor="text1"/>
          <w:sz w:val="19"/>
          <w:szCs w:val="19"/>
        </w:rPr>
        <w:t>separadas</w:t>
      </w:r>
      <w:proofErr w:type="gramEnd"/>
      <w:r w:rsidRPr="004668BA">
        <w:rPr>
          <w:rFonts w:ascii="Arial" w:hAnsi="Arial" w:cs="Arial"/>
          <w:color w:val="000000" w:themeColor="text1"/>
          <w:sz w:val="19"/>
          <w:szCs w:val="19"/>
        </w:rPr>
        <w:t xml:space="preserve"> pero colaboran armónicamente para la realización de sus fines.</w:t>
      </w:r>
      <w:r w:rsidRPr="004668BA">
        <w:rPr>
          <w:rFonts w:ascii="Arial" w:eastAsia="Times New Roman" w:hAnsi="Arial" w:cs="Arial"/>
          <w:bCs/>
          <w:color w:val="000000" w:themeColor="text1"/>
          <w:sz w:val="19"/>
          <w:szCs w:val="19"/>
          <w:lang w:eastAsia="es-CO"/>
        </w:rPr>
        <w:t>»</w:t>
      </w:r>
    </w:p>
  </w:footnote>
  <w:footnote w:id="61">
    <w:p w14:paraId="4D66E6F6" w14:textId="77777777" w:rsidR="005D7824" w:rsidRPr="004668BA" w:rsidRDefault="005D7824" w:rsidP="005B433C">
      <w:pPr>
        <w:pStyle w:val="Textonotapie"/>
        <w:ind w:firstLine="709"/>
        <w:jc w:val="both"/>
        <w:rPr>
          <w:rFonts w:ascii="Arial" w:hAnsi="Arial" w:cs="Arial"/>
          <w:color w:val="000000" w:themeColor="text1"/>
          <w:sz w:val="19"/>
          <w:szCs w:val="19"/>
          <w:lang w:val="es-ES"/>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Registraduría Nacional del Estado Civil, </w:t>
      </w:r>
      <w:r w:rsidRPr="004668BA">
        <w:rPr>
          <w:rFonts w:ascii="Arial" w:hAnsi="Arial" w:cs="Arial"/>
          <w:color w:val="000000" w:themeColor="text1"/>
          <w:sz w:val="19"/>
          <w:szCs w:val="19"/>
          <w:lang w:val="es-ES"/>
        </w:rPr>
        <w:t xml:space="preserve">Resolución 2098 del 12 de marzo de 2021, mediante la cual «se fija el calendario electoral del Congreso de la República que se realizarán el 13 de marzo». </w:t>
      </w:r>
    </w:p>
  </w:footnote>
  <w:footnote w:id="62">
    <w:p w14:paraId="7FB74427" w14:textId="77777777" w:rsidR="005D7824" w:rsidRPr="004668BA" w:rsidRDefault="005D7824" w:rsidP="005B433C">
      <w:pPr>
        <w:pStyle w:val="Textonotapie"/>
        <w:ind w:firstLine="709"/>
        <w:jc w:val="both"/>
        <w:rPr>
          <w:rFonts w:ascii="Arial" w:hAnsi="Arial" w:cs="Arial"/>
          <w:color w:val="000000" w:themeColor="text1"/>
          <w:sz w:val="19"/>
          <w:szCs w:val="19"/>
        </w:rPr>
      </w:pPr>
    </w:p>
    <w:p w14:paraId="34BE95BD" w14:textId="77777777" w:rsidR="005D7824" w:rsidRPr="004668BA" w:rsidRDefault="005D7824" w:rsidP="005B433C">
      <w:pPr>
        <w:pStyle w:val="Textonotapie"/>
        <w:ind w:firstLine="709"/>
        <w:jc w:val="both"/>
        <w:rPr>
          <w:rFonts w:ascii="Arial" w:hAnsi="Arial" w:cs="Arial"/>
          <w:color w:val="000000" w:themeColor="text1"/>
          <w:sz w:val="19"/>
          <w:szCs w:val="19"/>
          <w:lang w:val="es-ES"/>
        </w:rPr>
      </w:pPr>
      <w:r w:rsidRPr="004668BA">
        <w:rPr>
          <w:rStyle w:val="Refdenotaalpie"/>
          <w:rFonts w:ascii="Arial" w:hAnsi="Arial" w:cs="Arial"/>
          <w:color w:val="000000" w:themeColor="text1"/>
          <w:sz w:val="19"/>
          <w:szCs w:val="19"/>
        </w:rPr>
        <w:footnoteRef/>
      </w:r>
      <w:r w:rsidRPr="004668BA">
        <w:rPr>
          <w:rFonts w:ascii="Arial" w:hAnsi="Arial" w:cs="Arial"/>
          <w:color w:val="000000" w:themeColor="text1"/>
          <w:sz w:val="19"/>
          <w:szCs w:val="19"/>
        </w:rPr>
        <w:t xml:space="preserve"> Registraduría Nacional del Estado Civil, Resolución 4371 del 18 de mayo de 2021, «por la cual se fija el calendario electoral para las elecciones de </w:t>
      </w:r>
      <w:proofErr w:type="gramStart"/>
      <w:r w:rsidRPr="004668BA">
        <w:rPr>
          <w:rFonts w:ascii="Arial" w:hAnsi="Arial" w:cs="Arial"/>
          <w:color w:val="000000" w:themeColor="text1"/>
          <w:sz w:val="19"/>
          <w:szCs w:val="19"/>
        </w:rPr>
        <w:t>Presidente</w:t>
      </w:r>
      <w:proofErr w:type="gramEnd"/>
      <w:r w:rsidRPr="004668BA">
        <w:rPr>
          <w:rFonts w:ascii="Arial" w:hAnsi="Arial" w:cs="Arial"/>
          <w:color w:val="000000" w:themeColor="text1"/>
          <w:sz w:val="19"/>
          <w:szCs w:val="19"/>
        </w:rPr>
        <w:t xml:space="preserv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2E1F" w14:textId="3CF89D2B" w:rsidR="00F43587" w:rsidRDefault="00F43587">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p w14:paraId="51400574" w14:textId="61BAF652" w:rsidR="00F43587" w:rsidRDefault="00F43587">
    <w:pPr>
      <w:pStyle w:val="Encabezado"/>
    </w:pPr>
  </w:p>
  <w:p w14:paraId="3D323BDB" w14:textId="04AF0DE6" w:rsidR="00F43587" w:rsidRDefault="00F43587">
    <w:pPr>
      <w:pStyle w:val="Encabezado"/>
    </w:pPr>
  </w:p>
  <w:p w14:paraId="6520770B" w14:textId="18EB07B5" w:rsidR="00F43587" w:rsidRDefault="00F435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7F89CA0"/>
    <w:lvl w:ilvl="0">
      <w:start w:val="1"/>
      <w:numFmt w:val="decimal"/>
      <w:lvlText w:val="%1."/>
      <w:lvlJc w:val="left"/>
      <w:pPr>
        <w:ind w:left="6601" w:hanging="360"/>
      </w:pPr>
      <w:rPr>
        <w:b/>
        <w:bCs w:val="0"/>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B04"/>
    <w:rsid w:val="00003DA8"/>
    <w:rsid w:val="00014B6B"/>
    <w:rsid w:val="00017BD4"/>
    <w:rsid w:val="00022C00"/>
    <w:rsid w:val="000250BE"/>
    <w:rsid w:val="00026E35"/>
    <w:rsid w:val="00034F6B"/>
    <w:rsid w:val="0003750F"/>
    <w:rsid w:val="000561B7"/>
    <w:rsid w:val="000566F9"/>
    <w:rsid w:val="000573E4"/>
    <w:rsid w:val="00060873"/>
    <w:rsid w:val="00065D87"/>
    <w:rsid w:val="00080ECE"/>
    <w:rsid w:val="00081E26"/>
    <w:rsid w:val="00082EE4"/>
    <w:rsid w:val="00094016"/>
    <w:rsid w:val="000942EB"/>
    <w:rsid w:val="000958ED"/>
    <w:rsid w:val="000A0E4E"/>
    <w:rsid w:val="000A1E30"/>
    <w:rsid w:val="000A22F9"/>
    <w:rsid w:val="000B103F"/>
    <w:rsid w:val="000B3C9A"/>
    <w:rsid w:val="000B4FFF"/>
    <w:rsid w:val="000B6764"/>
    <w:rsid w:val="000C39C2"/>
    <w:rsid w:val="000C5B9B"/>
    <w:rsid w:val="000D081F"/>
    <w:rsid w:val="000D136D"/>
    <w:rsid w:val="000D313A"/>
    <w:rsid w:val="000F079B"/>
    <w:rsid w:val="000F14E8"/>
    <w:rsid w:val="001001C7"/>
    <w:rsid w:val="00103236"/>
    <w:rsid w:val="00103915"/>
    <w:rsid w:val="00106F08"/>
    <w:rsid w:val="001176DF"/>
    <w:rsid w:val="00122B23"/>
    <w:rsid w:val="00130679"/>
    <w:rsid w:val="001339AA"/>
    <w:rsid w:val="00135922"/>
    <w:rsid w:val="00137FFA"/>
    <w:rsid w:val="00142D4E"/>
    <w:rsid w:val="00146F17"/>
    <w:rsid w:val="00150DD0"/>
    <w:rsid w:val="00160241"/>
    <w:rsid w:val="00167866"/>
    <w:rsid w:val="001679D2"/>
    <w:rsid w:val="00167EE2"/>
    <w:rsid w:val="001711F6"/>
    <w:rsid w:val="001726FB"/>
    <w:rsid w:val="00176BE5"/>
    <w:rsid w:val="00177264"/>
    <w:rsid w:val="00181510"/>
    <w:rsid w:val="00190538"/>
    <w:rsid w:val="00191691"/>
    <w:rsid w:val="00192DAE"/>
    <w:rsid w:val="0019510A"/>
    <w:rsid w:val="00195820"/>
    <w:rsid w:val="001961DA"/>
    <w:rsid w:val="00196D55"/>
    <w:rsid w:val="001978E0"/>
    <w:rsid w:val="001A161F"/>
    <w:rsid w:val="001A405E"/>
    <w:rsid w:val="001A45B2"/>
    <w:rsid w:val="001A5ABC"/>
    <w:rsid w:val="001A5E57"/>
    <w:rsid w:val="001B1869"/>
    <w:rsid w:val="001B6571"/>
    <w:rsid w:val="001C02DE"/>
    <w:rsid w:val="001C03D8"/>
    <w:rsid w:val="001C1D72"/>
    <w:rsid w:val="001C7CE9"/>
    <w:rsid w:val="001D05DD"/>
    <w:rsid w:val="001D10CD"/>
    <w:rsid w:val="001D2A03"/>
    <w:rsid w:val="001D5705"/>
    <w:rsid w:val="001D7EAE"/>
    <w:rsid w:val="001E06F2"/>
    <w:rsid w:val="001E0B21"/>
    <w:rsid w:val="001E2ADD"/>
    <w:rsid w:val="001E2B7F"/>
    <w:rsid w:val="001E34D2"/>
    <w:rsid w:val="001E528D"/>
    <w:rsid w:val="001E6A00"/>
    <w:rsid w:val="001F2A2E"/>
    <w:rsid w:val="001F2F0C"/>
    <w:rsid w:val="002002F3"/>
    <w:rsid w:val="00201DE0"/>
    <w:rsid w:val="002072FC"/>
    <w:rsid w:val="002148BA"/>
    <w:rsid w:val="00216384"/>
    <w:rsid w:val="00221E61"/>
    <w:rsid w:val="00224518"/>
    <w:rsid w:val="0023101D"/>
    <w:rsid w:val="00233D57"/>
    <w:rsid w:val="00234B84"/>
    <w:rsid w:val="002374E2"/>
    <w:rsid w:val="00242249"/>
    <w:rsid w:val="00242D36"/>
    <w:rsid w:val="00246DC7"/>
    <w:rsid w:val="0025279D"/>
    <w:rsid w:val="002540BD"/>
    <w:rsid w:val="00256C17"/>
    <w:rsid w:val="002637C5"/>
    <w:rsid w:val="00270821"/>
    <w:rsid w:val="002715E1"/>
    <w:rsid w:val="0027737A"/>
    <w:rsid w:val="00282E4F"/>
    <w:rsid w:val="00283458"/>
    <w:rsid w:val="00285E1C"/>
    <w:rsid w:val="00290AA0"/>
    <w:rsid w:val="002921DA"/>
    <w:rsid w:val="00293656"/>
    <w:rsid w:val="00297A4F"/>
    <w:rsid w:val="002A0F2E"/>
    <w:rsid w:val="002A216F"/>
    <w:rsid w:val="002B64E1"/>
    <w:rsid w:val="002B6647"/>
    <w:rsid w:val="002C0F84"/>
    <w:rsid w:val="002C1D7F"/>
    <w:rsid w:val="002C454E"/>
    <w:rsid w:val="002C7C60"/>
    <w:rsid w:val="002D1449"/>
    <w:rsid w:val="002D43E9"/>
    <w:rsid w:val="002D51CF"/>
    <w:rsid w:val="002D7755"/>
    <w:rsid w:val="002E190B"/>
    <w:rsid w:val="002E1B46"/>
    <w:rsid w:val="002E68EE"/>
    <w:rsid w:val="002F0DE2"/>
    <w:rsid w:val="002F2B33"/>
    <w:rsid w:val="00300932"/>
    <w:rsid w:val="00301639"/>
    <w:rsid w:val="003033BA"/>
    <w:rsid w:val="00304E13"/>
    <w:rsid w:val="0030514A"/>
    <w:rsid w:val="003055F3"/>
    <w:rsid w:val="003153F6"/>
    <w:rsid w:val="00315B0B"/>
    <w:rsid w:val="0031677C"/>
    <w:rsid w:val="00321504"/>
    <w:rsid w:val="00321952"/>
    <w:rsid w:val="00327BED"/>
    <w:rsid w:val="003302D9"/>
    <w:rsid w:val="00337263"/>
    <w:rsid w:val="00340669"/>
    <w:rsid w:val="00340A9A"/>
    <w:rsid w:val="00344022"/>
    <w:rsid w:val="0034680A"/>
    <w:rsid w:val="00355E24"/>
    <w:rsid w:val="00355F09"/>
    <w:rsid w:val="003568F2"/>
    <w:rsid w:val="00365752"/>
    <w:rsid w:val="0037742E"/>
    <w:rsid w:val="00382742"/>
    <w:rsid w:val="00386456"/>
    <w:rsid w:val="00387BA2"/>
    <w:rsid w:val="00393620"/>
    <w:rsid w:val="0039509C"/>
    <w:rsid w:val="003968B8"/>
    <w:rsid w:val="003A3BA7"/>
    <w:rsid w:val="003A3FD0"/>
    <w:rsid w:val="003A581E"/>
    <w:rsid w:val="003A5CAC"/>
    <w:rsid w:val="003A66F1"/>
    <w:rsid w:val="003B4395"/>
    <w:rsid w:val="003C095C"/>
    <w:rsid w:val="003C1B58"/>
    <w:rsid w:val="003C6C7D"/>
    <w:rsid w:val="003D7085"/>
    <w:rsid w:val="003D7D2A"/>
    <w:rsid w:val="003E05F2"/>
    <w:rsid w:val="003E0EE9"/>
    <w:rsid w:val="003E469F"/>
    <w:rsid w:val="00413DD7"/>
    <w:rsid w:val="004226BF"/>
    <w:rsid w:val="00426B43"/>
    <w:rsid w:val="00432E95"/>
    <w:rsid w:val="004422D6"/>
    <w:rsid w:val="0044289E"/>
    <w:rsid w:val="00443AFC"/>
    <w:rsid w:val="00445C4C"/>
    <w:rsid w:val="00460194"/>
    <w:rsid w:val="00464BA2"/>
    <w:rsid w:val="00467161"/>
    <w:rsid w:val="004711D1"/>
    <w:rsid w:val="004719B7"/>
    <w:rsid w:val="00471A4F"/>
    <w:rsid w:val="004746A7"/>
    <w:rsid w:val="004817F2"/>
    <w:rsid w:val="0048384E"/>
    <w:rsid w:val="00492E5D"/>
    <w:rsid w:val="00492FAB"/>
    <w:rsid w:val="0049522B"/>
    <w:rsid w:val="004A31D5"/>
    <w:rsid w:val="004A32B3"/>
    <w:rsid w:val="004A34D2"/>
    <w:rsid w:val="004A5FA8"/>
    <w:rsid w:val="004A69E4"/>
    <w:rsid w:val="004B3857"/>
    <w:rsid w:val="004B3D3B"/>
    <w:rsid w:val="004B4BCE"/>
    <w:rsid w:val="004D2BB9"/>
    <w:rsid w:val="004D4984"/>
    <w:rsid w:val="004D50DC"/>
    <w:rsid w:val="004D7884"/>
    <w:rsid w:val="004E3CA8"/>
    <w:rsid w:val="004F025C"/>
    <w:rsid w:val="0051074C"/>
    <w:rsid w:val="00513AF2"/>
    <w:rsid w:val="00513E47"/>
    <w:rsid w:val="00514A05"/>
    <w:rsid w:val="00524BE9"/>
    <w:rsid w:val="0052506F"/>
    <w:rsid w:val="00525571"/>
    <w:rsid w:val="005278CB"/>
    <w:rsid w:val="005331F3"/>
    <w:rsid w:val="00533B53"/>
    <w:rsid w:val="00533B96"/>
    <w:rsid w:val="00541236"/>
    <w:rsid w:val="0054196E"/>
    <w:rsid w:val="00543E04"/>
    <w:rsid w:val="0054413A"/>
    <w:rsid w:val="00544B1F"/>
    <w:rsid w:val="00545799"/>
    <w:rsid w:val="00551533"/>
    <w:rsid w:val="0055275B"/>
    <w:rsid w:val="005564CA"/>
    <w:rsid w:val="00557FA5"/>
    <w:rsid w:val="00573401"/>
    <w:rsid w:val="00574823"/>
    <w:rsid w:val="00575591"/>
    <w:rsid w:val="00576E5A"/>
    <w:rsid w:val="00580FC9"/>
    <w:rsid w:val="0058120E"/>
    <w:rsid w:val="00583318"/>
    <w:rsid w:val="00586251"/>
    <w:rsid w:val="00586BB1"/>
    <w:rsid w:val="0059021D"/>
    <w:rsid w:val="005970CF"/>
    <w:rsid w:val="005A19F6"/>
    <w:rsid w:val="005A680D"/>
    <w:rsid w:val="005A79FE"/>
    <w:rsid w:val="005B12D4"/>
    <w:rsid w:val="005B433C"/>
    <w:rsid w:val="005C21B5"/>
    <w:rsid w:val="005C4F7F"/>
    <w:rsid w:val="005C67ED"/>
    <w:rsid w:val="005D53CE"/>
    <w:rsid w:val="005D7824"/>
    <w:rsid w:val="005E237F"/>
    <w:rsid w:val="005E3C42"/>
    <w:rsid w:val="005E55CB"/>
    <w:rsid w:val="005E71FD"/>
    <w:rsid w:val="005F5C87"/>
    <w:rsid w:val="005F7C82"/>
    <w:rsid w:val="006008C8"/>
    <w:rsid w:val="006012F5"/>
    <w:rsid w:val="00601EDA"/>
    <w:rsid w:val="006040D6"/>
    <w:rsid w:val="0060468D"/>
    <w:rsid w:val="006078F3"/>
    <w:rsid w:val="006129C0"/>
    <w:rsid w:val="00613832"/>
    <w:rsid w:val="006142BB"/>
    <w:rsid w:val="00615E9E"/>
    <w:rsid w:val="00617238"/>
    <w:rsid w:val="00620308"/>
    <w:rsid w:val="006241B4"/>
    <w:rsid w:val="006320A0"/>
    <w:rsid w:val="00640DEB"/>
    <w:rsid w:val="006455A1"/>
    <w:rsid w:val="00645BA1"/>
    <w:rsid w:val="00655371"/>
    <w:rsid w:val="00657A83"/>
    <w:rsid w:val="00660C7E"/>
    <w:rsid w:val="00665D49"/>
    <w:rsid w:val="00673361"/>
    <w:rsid w:val="00673E42"/>
    <w:rsid w:val="00675DCF"/>
    <w:rsid w:val="00685FB5"/>
    <w:rsid w:val="00686593"/>
    <w:rsid w:val="00696A54"/>
    <w:rsid w:val="00697665"/>
    <w:rsid w:val="006A3506"/>
    <w:rsid w:val="006A781E"/>
    <w:rsid w:val="006A7FD0"/>
    <w:rsid w:val="006B016C"/>
    <w:rsid w:val="006B31F6"/>
    <w:rsid w:val="006B3368"/>
    <w:rsid w:val="006C4805"/>
    <w:rsid w:val="006C4826"/>
    <w:rsid w:val="006D4F32"/>
    <w:rsid w:val="006D7687"/>
    <w:rsid w:val="006D79C8"/>
    <w:rsid w:val="006E0572"/>
    <w:rsid w:val="006E78E2"/>
    <w:rsid w:val="006E7B00"/>
    <w:rsid w:val="006F1A99"/>
    <w:rsid w:val="006F2EE7"/>
    <w:rsid w:val="006F3648"/>
    <w:rsid w:val="006F41C5"/>
    <w:rsid w:val="006F5EBF"/>
    <w:rsid w:val="006F7E9B"/>
    <w:rsid w:val="00701D1E"/>
    <w:rsid w:val="00703080"/>
    <w:rsid w:val="00705631"/>
    <w:rsid w:val="00722212"/>
    <w:rsid w:val="00733D25"/>
    <w:rsid w:val="00734559"/>
    <w:rsid w:val="0073713F"/>
    <w:rsid w:val="00742DD2"/>
    <w:rsid w:val="00743B7F"/>
    <w:rsid w:val="00744029"/>
    <w:rsid w:val="0074697A"/>
    <w:rsid w:val="00746CDD"/>
    <w:rsid w:val="0075647A"/>
    <w:rsid w:val="00757202"/>
    <w:rsid w:val="007634AD"/>
    <w:rsid w:val="00764872"/>
    <w:rsid w:val="007651C5"/>
    <w:rsid w:val="00766A30"/>
    <w:rsid w:val="00772F65"/>
    <w:rsid w:val="0078122E"/>
    <w:rsid w:val="00787CC9"/>
    <w:rsid w:val="00793070"/>
    <w:rsid w:val="00795C88"/>
    <w:rsid w:val="007A3089"/>
    <w:rsid w:val="007B0854"/>
    <w:rsid w:val="007D433B"/>
    <w:rsid w:val="007D6F4B"/>
    <w:rsid w:val="007D6F81"/>
    <w:rsid w:val="007E2498"/>
    <w:rsid w:val="007E38C9"/>
    <w:rsid w:val="007E41A1"/>
    <w:rsid w:val="007E6D8C"/>
    <w:rsid w:val="007E7198"/>
    <w:rsid w:val="007F2748"/>
    <w:rsid w:val="007F6754"/>
    <w:rsid w:val="007F72CB"/>
    <w:rsid w:val="0080041B"/>
    <w:rsid w:val="008128CA"/>
    <w:rsid w:val="00814961"/>
    <w:rsid w:val="00814C0A"/>
    <w:rsid w:val="008151EE"/>
    <w:rsid w:val="00815AAB"/>
    <w:rsid w:val="00815DF6"/>
    <w:rsid w:val="00820B54"/>
    <w:rsid w:val="00821083"/>
    <w:rsid w:val="00821C2D"/>
    <w:rsid w:val="00821DD4"/>
    <w:rsid w:val="008271A9"/>
    <w:rsid w:val="00830676"/>
    <w:rsid w:val="0083119B"/>
    <w:rsid w:val="00831C02"/>
    <w:rsid w:val="00836EAB"/>
    <w:rsid w:val="00837E1A"/>
    <w:rsid w:val="0085092D"/>
    <w:rsid w:val="0085163C"/>
    <w:rsid w:val="00866304"/>
    <w:rsid w:val="00870942"/>
    <w:rsid w:val="00880FC2"/>
    <w:rsid w:val="00882492"/>
    <w:rsid w:val="00885C69"/>
    <w:rsid w:val="00890ABB"/>
    <w:rsid w:val="008917F8"/>
    <w:rsid w:val="008923F8"/>
    <w:rsid w:val="008A0C32"/>
    <w:rsid w:val="008A3EFE"/>
    <w:rsid w:val="008A4DB0"/>
    <w:rsid w:val="008A561C"/>
    <w:rsid w:val="008A5FB2"/>
    <w:rsid w:val="008B22F0"/>
    <w:rsid w:val="008B480D"/>
    <w:rsid w:val="008B4BBE"/>
    <w:rsid w:val="008C180D"/>
    <w:rsid w:val="008C2223"/>
    <w:rsid w:val="008E123F"/>
    <w:rsid w:val="008E1C15"/>
    <w:rsid w:val="008E7979"/>
    <w:rsid w:val="008F3777"/>
    <w:rsid w:val="008F5229"/>
    <w:rsid w:val="008F71C6"/>
    <w:rsid w:val="00903EF6"/>
    <w:rsid w:val="009047C5"/>
    <w:rsid w:val="009076E2"/>
    <w:rsid w:val="009126CE"/>
    <w:rsid w:val="00921A03"/>
    <w:rsid w:val="00921FD4"/>
    <w:rsid w:val="00923C84"/>
    <w:rsid w:val="00933195"/>
    <w:rsid w:val="00934197"/>
    <w:rsid w:val="009355E4"/>
    <w:rsid w:val="00935D39"/>
    <w:rsid w:val="00941C05"/>
    <w:rsid w:val="00942F81"/>
    <w:rsid w:val="009464D4"/>
    <w:rsid w:val="009476D6"/>
    <w:rsid w:val="00951071"/>
    <w:rsid w:val="009514AB"/>
    <w:rsid w:val="00952996"/>
    <w:rsid w:val="00953820"/>
    <w:rsid w:val="0095385A"/>
    <w:rsid w:val="0095417B"/>
    <w:rsid w:val="009556F2"/>
    <w:rsid w:val="00955A39"/>
    <w:rsid w:val="00960C80"/>
    <w:rsid w:val="00962402"/>
    <w:rsid w:val="00966D6C"/>
    <w:rsid w:val="009673FD"/>
    <w:rsid w:val="00971363"/>
    <w:rsid w:val="00977D54"/>
    <w:rsid w:val="00980451"/>
    <w:rsid w:val="009870DD"/>
    <w:rsid w:val="00993130"/>
    <w:rsid w:val="009A0BC1"/>
    <w:rsid w:val="009A6290"/>
    <w:rsid w:val="009A67AD"/>
    <w:rsid w:val="009B3887"/>
    <w:rsid w:val="009C0EEA"/>
    <w:rsid w:val="009C23A2"/>
    <w:rsid w:val="009C36B7"/>
    <w:rsid w:val="009C3F19"/>
    <w:rsid w:val="009C494A"/>
    <w:rsid w:val="009C6A55"/>
    <w:rsid w:val="009D07C2"/>
    <w:rsid w:val="009D23A1"/>
    <w:rsid w:val="009E0A04"/>
    <w:rsid w:val="009E2E07"/>
    <w:rsid w:val="009E32BE"/>
    <w:rsid w:val="009F0219"/>
    <w:rsid w:val="009F3FE7"/>
    <w:rsid w:val="009F5D9E"/>
    <w:rsid w:val="00A0025C"/>
    <w:rsid w:val="00A03A8A"/>
    <w:rsid w:val="00A07A6A"/>
    <w:rsid w:val="00A10464"/>
    <w:rsid w:val="00A11831"/>
    <w:rsid w:val="00A11CD5"/>
    <w:rsid w:val="00A12903"/>
    <w:rsid w:val="00A24560"/>
    <w:rsid w:val="00A24FB5"/>
    <w:rsid w:val="00A315C3"/>
    <w:rsid w:val="00A3418A"/>
    <w:rsid w:val="00A34538"/>
    <w:rsid w:val="00A34633"/>
    <w:rsid w:val="00A408CE"/>
    <w:rsid w:val="00A437BA"/>
    <w:rsid w:val="00A45784"/>
    <w:rsid w:val="00A51E8A"/>
    <w:rsid w:val="00A54DE6"/>
    <w:rsid w:val="00A569C7"/>
    <w:rsid w:val="00A71276"/>
    <w:rsid w:val="00A7536F"/>
    <w:rsid w:val="00A86125"/>
    <w:rsid w:val="00A96964"/>
    <w:rsid w:val="00AA3002"/>
    <w:rsid w:val="00AA400A"/>
    <w:rsid w:val="00AA442B"/>
    <w:rsid w:val="00AA7811"/>
    <w:rsid w:val="00AB2717"/>
    <w:rsid w:val="00AB3480"/>
    <w:rsid w:val="00AC1263"/>
    <w:rsid w:val="00AC2040"/>
    <w:rsid w:val="00AC64E6"/>
    <w:rsid w:val="00AE7C64"/>
    <w:rsid w:val="00AF5C2B"/>
    <w:rsid w:val="00B12E7D"/>
    <w:rsid w:val="00B153C5"/>
    <w:rsid w:val="00B21CB2"/>
    <w:rsid w:val="00B22E22"/>
    <w:rsid w:val="00B26CA9"/>
    <w:rsid w:val="00B351E9"/>
    <w:rsid w:val="00B35A95"/>
    <w:rsid w:val="00B4755E"/>
    <w:rsid w:val="00B51B08"/>
    <w:rsid w:val="00B525CB"/>
    <w:rsid w:val="00B55026"/>
    <w:rsid w:val="00B57C5D"/>
    <w:rsid w:val="00B63CB2"/>
    <w:rsid w:val="00B66C90"/>
    <w:rsid w:val="00B7126C"/>
    <w:rsid w:val="00B72BA7"/>
    <w:rsid w:val="00B73166"/>
    <w:rsid w:val="00B76961"/>
    <w:rsid w:val="00B7776C"/>
    <w:rsid w:val="00B808C8"/>
    <w:rsid w:val="00B83A60"/>
    <w:rsid w:val="00B86CB5"/>
    <w:rsid w:val="00B9193B"/>
    <w:rsid w:val="00B93E22"/>
    <w:rsid w:val="00B9481E"/>
    <w:rsid w:val="00B953FB"/>
    <w:rsid w:val="00BA0209"/>
    <w:rsid w:val="00BA48A8"/>
    <w:rsid w:val="00BA68FB"/>
    <w:rsid w:val="00BB18A8"/>
    <w:rsid w:val="00BB19B0"/>
    <w:rsid w:val="00BC6042"/>
    <w:rsid w:val="00BC6DC8"/>
    <w:rsid w:val="00BD01CE"/>
    <w:rsid w:val="00BD4537"/>
    <w:rsid w:val="00BD530B"/>
    <w:rsid w:val="00BD64AB"/>
    <w:rsid w:val="00BD78FE"/>
    <w:rsid w:val="00BE536C"/>
    <w:rsid w:val="00C05290"/>
    <w:rsid w:val="00C0687E"/>
    <w:rsid w:val="00C10C0F"/>
    <w:rsid w:val="00C113D9"/>
    <w:rsid w:val="00C11EBA"/>
    <w:rsid w:val="00C14E29"/>
    <w:rsid w:val="00C21B32"/>
    <w:rsid w:val="00C21EFE"/>
    <w:rsid w:val="00C248B3"/>
    <w:rsid w:val="00C302B6"/>
    <w:rsid w:val="00C3037A"/>
    <w:rsid w:val="00C334DB"/>
    <w:rsid w:val="00C363A5"/>
    <w:rsid w:val="00C43C0D"/>
    <w:rsid w:val="00C44B21"/>
    <w:rsid w:val="00C51584"/>
    <w:rsid w:val="00C62627"/>
    <w:rsid w:val="00C73583"/>
    <w:rsid w:val="00C8349A"/>
    <w:rsid w:val="00C849DD"/>
    <w:rsid w:val="00C871D6"/>
    <w:rsid w:val="00C91615"/>
    <w:rsid w:val="00C9213D"/>
    <w:rsid w:val="00C93857"/>
    <w:rsid w:val="00CA287E"/>
    <w:rsid w:val="00CA78AA"/>
    <w:rsid w:val="00CB569B"/>
    <w:rsid w:val="00CC00CD"/>
    <w:rsid w:val="00CC20C4"/>
    <w:rsid w:val="00CC4D14"/>
    <w:rsid w:val="00CC54BF"/>
    <w:rsid w:val="00CD39CE"/>
    <w:rsid w:val="00CD4A2F"/>
    <w:rsid w:val="00CE1269"/>
    <w:rsid w:val="00CE6FEC"/>
    <w:rsid w:val="00CE7AFB"/>
    <w:rsid w:val="00CF025D"/>
    <w:rsid w:val="00CF14C9"/>
    <w:rsid w:val="00CF7931"/>
    <w:rsid w:val="00CF7CCD"/>
    <w:rsid w:val="00D012E6"/>
    <w:rsid w:val="00D0175A"/>
    <w:rsid w:val="00D07FEB"/>
    <w:rsid w:val="00D114E4"/>
    <w:rsid w:val="00D122E2"/>
    <w:rsid w:val="00D152E4"/>
    <w:rsid w:val="00D16E39"/>
    <w:rsid w:val="00D210D8"/>
    <w:rsid w:val="00D21917"/>
    <w:rsid w:val="00D23865"/>
    <w:rsid w:val="00D243DC"/>
    <w:rsid w:val="00D31A3A"/>
    <w:rsid w:val="00D33246"/>
    <w:rsid w:val="00D36307"/>
    <w:rsid w:val="00D40C98"/>
    <w:rsid w:val="00D41D13"/>
    <w:rsid w:val="00D421FA"/>
    <w:rsid w:val="00D44037"/>
    <w:rsid w:val="00D44A8A"/>
    <w:rsid w:val="00D45589"/>
    <w:rsid w:val="00D57D60"/>
    <w:rsid w:val="00D604F1"/>
    <w:rsid w:val="00D6151E"/>
    <w:rsid w:val="00D63331"/>
    <w:rsid w:val="00D645AF"/>
    <w:rsid w:val="00D72E9D"/>
    <w:rsid w:val="00D730A1"/>
    <w:rsid w:val="00D73731"/>
    <w:rsid w:val="00D73E0D"/>
    <w:rsid w:val="00D82CE5"/>
    <w:rsid w:val="00D846BF"/>
    <w:rsid w:val="00D91F4F"/>
    <w:rsid w:val="00D9240F"/>
    <w:rsid w:val="00D94F88"/>
    <w:rsid w:val="00D97377"/>
    <w:rsid w:val="00DA1FE2"/>
    <w:rsid w:val="00DA261C"/>
    <w:rsid w:val="00DA5AB1"/>
    <w:rsid w:val="00DC41D8"/>
    <w:rsid w:val="00DC62E5"/>
    <w:rsid w:val="00DD1A3B"/>
    <w:rsid w:val="00DD735D"/>
    <w:rsid w:val="00DE1B6E"/>
    <w:rsid w:val="00DE2A45"/>
    <w:rsid w:val="00DE3119"/>
    <w:rsid w:val="00DE58DC"/>
    <w:rsid w:val="00DE6213"/>
    <w:rsid w:val="00DE76D3"/>
    <w:rsid w:val="00DE7AB0"/>
    <w:rsid w:val="00DF236B"/>
    <w:rsid w:val="00DF2ADA"/>
    <w:rsid w:val="00DF2F4A"/>
    <w:rsid w:val="00DF48E6"/>
    <w:rsid w:val="00E04B20"/>
    <w:rsid w:val="00E063DF"/>
    <w:rsid w:val="00E117C4"/>
    <w:rsid w:val="00E13AB8"/>
    <w:rsid w:val="00E13F2F"/>
    <w:rsid w:val="00E14993"/>
    <w:rsid w:val="00E17BBB"/>
    <w:rsid w:val="00E2085F"/>
    <w:rsid w:val="00E22C9A"/>
    <w:rsid w:val="00E24796"/>
    <w:rsid w:val="00E27E98"/>
    <w:rsid w:val="00E32764"/>
    <w:rsid w:val="00E33B62"/>
    <w:rsid w:val="00E33F49"/>
    <w:rsid w:val="00E3478F"/>
    <w:rsid w:val="00E3799E"/>
    <w:rsid w:val="00E42CCD"/>
    <w:rsid w:val="00E44B06"/>
    <w:rsid w:val="00E467AF"/>
    <w:rsid w:val="00E51379"/>
    <w:rsid w:val="00E55719"/>
    <w:rsid w:val="00E5715A"/>
    <w:rsid w:val="00E57FE2"/>
    <w:rsid w:val="00E611D7"/>
    <w:rsid w:val="00E73427"/>
    <w:rsid w:val="00E76D45"/>
    <w:rsid w:val="00E77EB3"/>
    <w:rsid w:val="00E814EC"/>
    <w:rsid w:val="00E840C9"/>
    <w:rsid w:val="00E8635D"/>
    <w:rsid w:val="00E92CD0"/>
    <w:rsid w:val="00E93220"/>
    <w:rsid w:val="00E945E7"/>
    <w:rsid w:val="00EA7683"/>
    <w:rsid w:val="00EB13C5"/>
    <w:rsid w:val="00EC17B4"/>
    <w:rsid w:val="00ED4C44"/>
    <w:rsid w:val="00EE1331"/>
    <w:rsid w:val="00EF5C78"/>
    <w:rsid w:val="00EF7A17"/>
    <w:rsid w:val="00F078FE"/>
    <w:rsid w:val="00F16EF2"/>
    <w:rsid w:val="00F2055A"/>
    <w:rsid w:val="00F21E80"/>
    <w:rsid w:val="00F34ED8"/>
    <w:rsid w:val="00F36275"/>
    <w:rsid w:val="00F37B4F"/>
    <w:rsid w:val="00F40847"/>
    <w:rsid w:val="00F43587"/>
    <w:rsid w:val="00F52964"/>
    <w:rsid w:val="00F52A0B"/>
    <w:rsid w:val="00F54A09"/>
    <w:rsid w:val="00F5562F"/>
    <w:rsid w:val="00F57263"/>
    <w:rsid w:val="00F814E7"/>
    <w:rsid w:val="00F82B9B"/>
    <w:rsid w:val="00F83DDC"/>
    <w:rsid w:val="00F84899"/>
    <w:rsid w:val="00F84E26"/>
    <w:rsid w:val="00F859F0"/>
    <w:rsid w:val="00F94834"/>
    <w:rsid w:val="00FA12FE"/>
    <w:rsid w:val="00FA31D2"/>
    <w:rsid w:val="00FB27AD"/>
    <w:rsid w:val="00FC2616"/>
    <w:rsid w:val="00FC33CF"/>
    <w:rsid w:val="00FC7699"/>
    <w:rsid w:val="00FD0374"/>
    <w:rsid w:val="00FD7DCD"/>
    <w:rsid w:val="00FE141E"/>
    <w:rsid w:val="00FE1636"/>
    <w:rsid w:val="00FE50F5"/>
    <w:rsid w:val="00FE6166"/>
    <w:rsid w:val="00FE7225"/>
    <w:rsid w:val="00FF2042"/>
    <w:rsid w:val="00FF663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FB7ACD02-B788-4C98-ADF6-1172238D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qFormat/>
    <w:rsid w:val="005D7824"/>
    <w:pPr>
      <w:keepNext/>
      <w:numPr>
        <w:numId w:val="17"/>
      </w:numPr>
      <w:spacing w:before="240" w:after="60"/>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5D7824"/>
    <w:pPr>
      <w:keepNext/>
      <w:numPr>
        <w:ilvl w:val="1"/>
        <w:numId w:val="17"/>
      </w:numPr>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5D7824"/>
    <w:pPr>
      <w:keepNext/>
      <w:numPr>
        <w:ilvl w:val="2"/>
        <w:numId w:val="17"/>
      </w:numPr>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5D7824"/>
    <w:pPr>
      <w:keepNext/>
      <w:numPr>
        <w:ilvl w:val="3"/>
        <w:numId w:val="17"/>
      </w:numPr>
      <w:spacing w:before="240" w:after="60"/>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5D7824"/>
    <w:pPr>
      <w:numPr>
        <w:ilvl w:val="4"/>
        <w:numId w:val="17"/>
      </w:numPr>
      <w:spacing w:before="240" w:after="60"/>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5D7824"/>
    <w:pPr>
      <w:numPr>
        <w:ilvl w:val="5"/>
        <w:numId w:val="17"/>
      </w:numPr>
      <w:spacing w:before="240" w:after="60"/>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5D7824"/>
    <w:pPr>
      <w:numPr>
        <w:ilvl w:val="6"/>
        <w:numId w:val="17"/>
      </w:numPr>
      <w:spacing w:before="240" w:after="60"/>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5D7824"/>
    <w:pPr>
      <w:numPr>
        <w:ilvl w:val="7"/>
        <w:numId w:val="17"/>
      </w:numPr>
      <w:spacing w:before="240" w:after="60"/>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5D7824"/>
    <w:pPr>
      <w:numPr>
        <w:ilvl w:val="8"/>
        <w:numId w:val="17"/>
      </w:numPr>
      <w:spacing w:before="240" w:after="60"/>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TableParagraph">
    <w:name w:val="Table Paragraph"/>
    <w:basedOn w:val="Normal"/>
    <w:uiPriority w:val="1"/>
    <w:qFormat/>
    <w:rsid w:val="00C0687E"/>
    <w:pPr>
      <w:widowControl w:val="0"/>
      <w:autoSpaceDE w:val="0"/>
      <w:autoSpaceDN w:val="0"/>
      <w:spacing w:line="249" w:lineRule="exact"/>
      <w:ind w:left="110"/>
    </w:pPr>
    <w:rPr>
      <w:rFonts w:ascii="Arial" w:eastAsia="Arial" w:hAnsi="Arial" w:cs="Arial"/>
      <w:sz w:val="22"/>
      <w:lang w:val="es-ES"/>
    </w:rPr>
  </w:style>
  <w:style w:type="table" w:customStyle="1" w:styleId="NormalTable0">
    <w:name w:val="Normal Table0"/>
    <w:uiPriority w:val="2"/>
    <w:semiHidden/>
    <w:qFormat/>
    <w:rsid w:val="00C0687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Textoennegrita">
    <w:name w:val="Strong"/>
    <w:basedOn w:val="Fuentedeprrafopredeter"/>
    <w:uiPriority w:val="22"/>
    <w:qFormat/>
    <w:rsid w:val="002E1B46"/>
    <w:rPr>
      <w:b/>
      <w:bCs/>
    </w:rPr>
  </w:style>
  <w:style w:type="character" w:styleId="nfasis">
    <w:name w:val="Emphasis"/>
    <w:basedOn w:val="Fuentedeprrafopredeter"/>
    <w:uiPriority w:val="20"/>
    <w:qFormat/>
    <w:rsid w:val="002E1B46"/>
    <w:rPr>
      <w:i/>
      <w:iCs/>
    </w:rPr>
  </w:style>
  <w:style w:type="paragraph" w:styleId="Revisin">
    <w:name w:val="Revision"/>
    <w:hidden/>
    <w:uiPriority w:val="99"/>
    <w:semiHidden/>
    <w:rsid w:val="00A0025C"/>
    <w:pPr>
      <w:spacing w:after="0" w:line="240" w:lineRule="auto"/>
    </w:pPr>
    <w:rPr>
      <w:sz w:val="24"/>
      <w:lang w:val="es-MX"/>
    </w:rPr>
  </w:style>
  <w:style w:type="paragraph" w:customStyle="1" w:styleId="Appelnotedebasde">
    <w:name w:val="Appel note de bas de..."/>
    <w:basedOn w:val="Normal"/>
    <w:link w:val="Refdenotaalpie"/>
    <w:uiPriority w:val="99"/>
    <w:rsid w:val="00AC64E6"/>
    <w:pPr>
      <w:spacing w:after="160" w:line="240" w:lineRule="exact"/>
    </w:pPr>
    <w:rPr>
      <w:sz w:val="22"/>
      <w:vertAlign w:val="superscript"/>
      <w:lang w:val="es-CO"/>
    </w:rPr>
  </w:style>
  <w:style w:type="character" w:customStyle="1" w:styleId="Ttulo1Car">
    <w:name w:val="Título 1 Car"/>
    <w:basedOn w:val="Fuentedeprrafopredeter"/>
    <w:link w:val="Ttulo1"/>
    <w:rsid w:val="005D7824"/>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5D7824"/>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5D782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5D782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5D782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5D782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5D782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5D782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5D7824"/>
    <w:rPr>
      <w:rFonts w:ascii="Arial" w:eastAsia="Times New Roman" w:hAnsi="Arial" w:cs="Arial"/>
      <w:lang w:val="es-ES" w:eastAsia="es-ES"/>
    </w:rPr>
  </w:style>
  <w:style w:type="numbering" w:customStyle="1" w:styleId="Sinlista1">
    <w:name w:val="Sin lista1"/>
    <w:next w:val="Sinlista"/>
    <w:uiPriority w:val="99"/>
    <w:semiHidden/>
    <w:unhideWhenUsed/>
    <w:rsid w:val="005D7824"/>
  </w:style>
  <w:style w:type="table" w:customStyle="1" w:styleId="Tablaconcuadrcula1">
    <w:name w:val="Tabla con cuadrícula1"/>
    <w:basedOn w:val="Tablanormal"/>
    <w:next w:val="Tablaconcuadrcula"/>
    <w:uiPriority w:val="39"/>
    <w:rsid w:val="005D7824"/>
    <w:pPr>
      <w:spacing w:after="0" w:line="240" w:lineRule="auto"/>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2">
    <w:name w:val="pa22"/>
    <w:basedOn w:val="Normal"/>
    <w:rsid w:val="005D7824"/>
    <w:pPr>
      <w:spacing w:before="100" w:beforeAutospacing="1" w:after="100" w:afterAutospacing="1" w:line="276" w:lineRule="auto"/>
      <w:jc w:val="both"/>
    </w:pPr>
    <w:rPr>
      <w:rFonts w:ascii="Times New Roman" w:eastAsia="Times New Roman" w:hAnsi="Times New Roman" w:cs="Times New Roman"/>
      <w:szCs w:val="24"/>
      <w:lang w:val="es-ES" w:eastAsia="es-ES"/>
    </w:rPr>
  </w:style>
  <w:style w:type="character" w:customStyle="1" w:styleId="Mencinsinresolver1">
    <w:name w:val="Mención sin resolver1"/>
    <w:basedOn w:val="Fuentedeprrafopredeter"/>
    <w:uiPriority w:val="99"/>
    <w:semiHidden/>
    <w:unhideWhenUsed/>
    <w:rsid w:val="005D7824"/>
    <w:rPr>
      <w:color w:val="605E5C"/>
      <w:shd w:val="clear" w:color="auto" w:fill="E1DFDD"/>
    </w:rPr>
  </w:style>
  <w:style w:type="paragraph" w:customStyle="1" w:styleId="Capitulo3">
    <w:name w:val="Capitulo 3"/>
    <w:basedOn w:val="Normal"/>
    <w:qFormat/>
    <w:rsid w:val="005D7824"/>
    <w:pPr>
      <w:keepNext/>
      <w:numPr>
        <w:numId w:val="7"/>
      </w:numPr>
      <w:spacing w:before="120" w:after="200" w:line="276" w:lineRule="auto"/>
      <w:jc w:val="both"/>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5D7824"/>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5D7824"/>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5D7824"/>
    <w:pPr>
      <w:keepNext/>
      <w:spacing w:before="240" w:after="0" w:line="240" w:lineRule="auto"/>
      <w:jc w:val="center"/>
      <w:outlineLvl w:val="0"/>
    </w:pPr>
    <w:rPr>
      <w:rFonts w:ascii="Arial" w:eastAsia="Times New Roman" w:hAnsi="Arial" w:cs="Arial"/>
      <w:b/>
      <w:smallCaps/>
      <w:sz w:val="20"/>
      <w:szCs w:val="20"/>
      <w:lang w:eastAsia="es-ES"/>
    </w:rPr>
  </w:style>
  <w:style w:type="character" w:customStyle="1" w:styleId="NormalWebCar">
    <w:name w:val="Normal (Web) Car"/>
    <w:link w:val="NormalWeb"/>
    <w:uiPriority w:val="99"/>
    <w:locked/>
    <w:rsid w:val="005D7824"/>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5D7824"/>
  </w:style>
  <w:style w:type="paragraph" w:styleId="Textoindependiente">
    <w:name w:val="Body Text"/>
    <w:basedOn w:val="Normal"/>
    <w:link w:val="TextoindependienteCar"/>
    <w:uiPriority w:val="1"/>
    <w:qFormat/>
    <w:rsid w:val="005D7824"/>
    <w:pPr>
      <w:widowControl w:val="0"/>
      <w:autoSpaceDE w:val="0"/>
      <w:autoSpaceDN w:val="0"/>
      <w:spacing w:after="200" w:line="276" w:lineRule="auto"/>
      <w:jc w:val="both"/>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5D7824"/>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5D7824"/>
    <w:pPr>
      <w:spacing w:after="200" w:line="276" w:lineRule="auto"/>
      <w:jc w:val="both"/>
    </w:pPr>
    <w:rPr>
      <w:rFonts w:eastAsiaTheme="minorHAnsi"/>
      <w:sz w:val="20"/>
      <w:szCs w:val="20"/>
    </w:rPr>
  </w:style>
  <w:style w:type="character" w:customStyle="1" w:styleId="TextonotaalfinalCar">
    <w:name w:val="Texto nota al final Car"/>
    <w:basedOn w:val="Fuentedeprrafopredeter"/>
    <w:link w:val="Textonotaalfinal"/>
    <w:uiPriority w:val="99"/>
    <w:semiHidden/>
    <w:rsid w:val="005D7824"/>
    <w:rPr>
      <w:rFonts w:eastAsiaTheme="minorHAnsi"/>
      <w:sz w:val="20"/>
      <w:szCs w:val="20"/>
      <w:lang w:val="es-MX"/>
    </w:rPr>
  </w:style>
  <w:style w:type="character" w:styleId="Refdenotaalfinal">
    <w:name w:val="endnote reference"/>
    <w:basedOn w:val="Fuentedeprrafopredeter"/>
    <w:uiPriority w:val="99"/>
    <w:semiHidden/>
    <w:unhideWhenUsed/>
    <w:rsid w:val="005D7824"/>
    <w:rPr>
      <w:vertAlign w:val="superscript"/>
    </w:rPr>
  </w:style>
  <w:style w:type="table" w:customStyle="1" w:styleId="Tablaconcuadrcula11">
    <w:name w:val="Tabla con cuadrícula11"/>
    <w:basedOn w:val="Tablanormal"/>
    <w:next w:val="Tablaconcuadrcula"/>
    <w:uiPriority w:val="39"/>
    <w:rsid w:val="005D782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5D7824"/>
  </w:style>
  <w:style w:type="table" w:customStyle="1" w:styleId="Tablaconcuadrcula2">
    <w:name w:val="Tabla con cuadrícula2"/>
    <w:basedOn w:val="Tablanormal"/>
    <w:next w:val="Tablaconcuadrcula"/>
    <w:uiPriority w:val="39"/>
    <w:rsid w:val="005D7824"/>
    <w:pPr>
      <w:spacing w:before="120" w:after="0" w:line="240" w:lineRule="auto"/>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D782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5D7824"/>
    <w:pPr>
      <w:overflowPunct w:val="0"/>
      <w:autoSpaceDE w:val="0"/>
      <w:autoSpaceDN w:val="0"/>
      <w:adjustRightInd w:val="0"/>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5D7824"/>
    <w:pPr>
      <w:autoSpaceDE w:val="0"/>
      <w:autoSpaceDN w:val="0"/>
      <w:adjustRightInd w:val="0"/>
      <w:spacing w:after="0" w:line="240" w:lineRule="auto"/>
    </w:pPr>
    <w:rPr>
      <w:rFonts w:ascii="Arial" w:eastAsiaTheme="minorHAnsi" w:hAnsi="Arial" w:cs="Arial"/>
      <w:color w:val="000000"/>
      <w:sz w:val="24"/>
      <w:szCs w:val="24"/>
      <w:lang w:val="es-ES"/>
    </w:rPr>
  </w:style>
  <w:style w:type="paragraph" w:customStyle="1" w:styleId="CM203">
    <w:name w:val="CM203"/>
    <w:basedOn w:val="Normal"/>
    <w:next w:val="Normal"/>
    <w:uiPriority w:val="99"/>
    <w:rsid w:val="005D7824"/>
    <w:pPr>
      <w:widowControl w:val="0"/>
      <w:autoSpaceDE w:val="0"/>
      <w:autoSpaceDN w:val="0"/>
      <w:adjustRightInd w:val="0"/>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5D7824"/>
    <w:pPr>
      <w:spacing w:after="120" w:line="480" w:lineRule="auto"/>
      <w:jc w:val="both"/>
    </w:pPr>
    <w:rPr>
      <w:rFonts w:eastAsiaTheme="minorHAnsi"/>
    </w:rPr>
  </w:style>
  <w:style w:type="character" w:customStyle="1" w:styleId="Textoindependiente2Car">
    <w:name w:val="Texto independiente 2 Car"/>
    <w:basedOn w:val="Fuentedeprrafopredeter"/>
    <w:link w:val="Textoindependiente2"/>
    <w:uiPriority w:val="99"/>
    <w:semiHidden/>
    <w:rsid w:val="005D7824"/>
    <w:rPr>
      <w:rFonts w:eastAsiaTheme="minorHAnsi"/>
      <w:sz w:val="24"/>
      <w:lang w:val="es-MX"/>
    </w:rPr>
  </w:style>
  <w:style w:type="character" w:customStyle="1" w:styleId="apple-converted-space">
    <w:name w:val="apple-converted-space"/>
    <w:basedOn w:val="Fuentedeprrafopredeter"/>
    <w:rsid w:val="005D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4669273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3747901">
      <w:bodyDiv w:val="1"/>
      <w:marLeft w:val="0"/>
      <w:marRight w:val="0"/>
      <w:marTop w:val="0"/>
      <w:marBottom w:val="0"/>
      <w:divBdr>
        <w:top w:val="none" w:sz="0" w:space="0" w:color="auto"/>
        <w:left w:val="none" w:sz="0" w:space="0" w:color="auto"/>
        <w:bottom w:val="none" w:sz="0" w:space="0" w:color="auto"/>
        <w:right w:val="none" w:sz="0" w:space="0" w:color="auto"/>
      </w:divBdr>
    </w:div>
    <w:div w:id="337124899">
      <w:bodyDiv w:val="1"/>
      <w:marLeft w:val="0"/>
      <w:marRight w:val="0"/>
      <w:marTop w:val="0"/>
      <w:marBottom w:val="0"/>
      <w:divBdr>
        <w:top w:val="none" w:sz="0" w:space="0" w:color="auto"/>
        <w:left w:val="none" w:sz="0" w:space="0" w:color="auto"/>
        <w:bottom w:val="none" w:sz="0" w:space="0" w:color="auto"/>
        <w:right w:val="none" w:sz="0" w:space="0" w:color="auto"/>
      </w:divBdr>
    </w:div>
    <w:div w:id="616833665">
      <w:bodyDiv w:val="1"/>
      <w:marLeft w:val="0"/>
      <w:marRight w:val="0"/>
      <w:marTop w:val="0"/>
      <w:marBottom w:val="0"/>
      <w:divBdr>
        <w:top w:val="none" w:sz="0" w:space="0" w:color="auto"/>
        <w:left w:val="none" w:sz="0" w:space="0" w:color="auto"/>
        <w:bottom w:val="none" w:sz="0" w:space="0" w:color="auto"/>
        <w:right w:val="none" w:sz="0" w:space="0" w:color="auto"/>
      </w:divBdr>
    </w:div>
    <w:div w:id="924414284">
      <w:bodyDiv w:val="1"/>
      <w:marLeft w:val="0"/>
      <w:marRight w:val="0"/>
      <w:marTop w:val="0"/>
      <w:marBottom w:val="0"/>
      <w:divBdr>
        <w:top w:val="none" w:sz="0" w:space="0" w:color="auto"/>
        <w:left w:val="none" w:sz="0" w:space="0" w:color="auto"/>
        <w:bottom w:val="none" w:sz="0" w:space="0" w:color="auto"/>
        <w:right w:val="none" w:sz="0" w:space="0" w:color="auto"/>
      </w:divBdr>
    </w:div>
    <w:div w:id="1067191449">
      <w:bodyDiv w:val="1"/>
      <w:marLeft w:val="0"/>
      <w:marRight w:val="0"/>
      <w:marTop w:val="0"/>
      <w:marBottom w:val="0"/>
      <w:divBdr>
        <w:top w:val="none" w:sz="0" w:space="0" w:color="auto"/>
        <w:left w:val="none" w:sz="0" w:space="0" w:color="auto"/>
        <w:bottom w:val="none" w:sz="0" w:space="0" w:color="auto"/>
        <w:right w:val="none" w:sz="0" w:space="0" w:color="auto"/>
      </w:divBdr>
    </w:div>
    <w:div w:id="1168330627">
      <w:bodyDiv w:val="1"/>
      <w:marLeft w:val="0"/>
      <w:marRight w:val="0"/>
      <w:marTop w:val="0"/>
      <w:marBottom w:val="0"/>
      <w:divBdr>
        <w:top w:val="none" w:sz="0" w:space="0" w:color="auto"/>
        <w:left w:val="none" w:sz="0" w:space="0" w:color="auto"/>
        <w:bottom w:val="none" w:sz="0" w:space="0" w:color="auto"/>
        <w:right w:val="none" w:sz="0" w:space="0" w:color="auto"/>
      </w:divBdr>
    </w:div>
    <w:div w:id="1609193383">
      <w:bodyDiv w:val="1"/>
      <w:marLeft w:val="0"/>
      <w:marRight w:val="0"/>
      <w:marTop w:val="0"/>
      <w:marBottom w:val="0"/>
      <w:divBdr>
        <w:top w:val="none" w:sz="0" w:space="0" w:color="auto"/>
        <w:left w:val="none" w:sz="0" w:space="0" w:color="auto"/>
        <w:bottom w:val="none" w:sz="0" w:space="0" w:color="auto"/>
        <w:right w:val="none" w:sz="0" w:space="0" w:color="auto"/>
      </w:divBdr>
    </w:div>
    <w:div w:id="17303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7118C-395C-46E3-860C-3CE7A8FB46B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31840DD-8342-4C0D-AB2F-B233F62A6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E9243D4F-1735-47F5-8D60-2705045B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36</Pages>
  <Words>13592</Words>
  <Characters>74757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dcterms:created xsi:type="dcterms:W3CDTF">2022-04-19T16:18:00Z</dcterms:created>
  <dcterms:modified xsi:type="dcterms:W3CDTF">2022-04-19T16:18:00Z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