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C00312" w:rsidRDefault="003C7067" w:rsidP="009F0A44">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14:paraId="71ED7C01" w14:textId="77777777" w:rsidR="007A4047" w:rsidRDefault="007A4047" w:rsidP="009F0A44">
      <w:pPr>
        <w:rPr>
          <w:rFonts w:ascii="Arial" w:hAnsi="Arial" w:cs="Arial"/>
          <w:b/>
          <w:sz w:val="22"/>
          <w:szCs w:val="22"/>
          <w:lang w:val="es-ES" w:eastAsia="es-ES"/>
        </w:rPr>
      </w:pPr>
    </w:p>
    <w:p w14:paraId="74EF1458" w14:textId="1010CFA4" w:rsidR="00B41C03" w:rsidRDefault="00B41C03" w:rsidP="00B41C03">
      <w:pPr>
        <w:jc w:val="both"/>
        <w:rPr>
          <w:rFonts w:ascii="Arial" w:eastAsia="Calibri" w:hAnsi="Arial" w:cs="Arial"/>
          <w:b/>
          <w:sz w:val="22"/>
        </w:rPr>
      </w:pPr>
      <w:r w:rsidRPr="0045129A">
        <w:rPr>
          <w:rFonts w:ascii="Arial" w:eastAsia="Calibri" w:hAnsi="Arial" w:cs="Arial"/>
          <w:b/>
          <w:sz w:val="22"/>
        </w:rPr>
        <w:t xml:space="preserve">DOCUMENTOS TIPO </w:t>
      </w:r>
      <w:r w:rsidRPr="0045129A">
        <w:rPr>
          <w:rFonts w:ascii="Arial" w:eastAsia="Calibri" w:hAnsi="Arial" w:cs="Arial"/>
          <w:b/>
          <w:sz w:val="22"/>
        </w:rPr>
        <w:softHyphen/>
        <w:t xml:space="preserve">– Versión 3 – </w:t>
      </w:r>
      <w:r w:rsidR="00EA44B1">
        <w:rPr>
          <w:rFonts w:ascii="Arial" w:eastAsia="Calibri" w:hAnsi="Arial" w:cs="Arial"/>
          <w:b/>
          <w:sz w:val="22"/>
        </w:rPr>
        <w:t>Actividades de mejoramiento</w:t>
      </w:r>
    </w:p>
    <w:p w14:paraId="151429ED" w14:textId="363FB754" w:rsidR="00B41C03" w:rsidRDefault="00B41C03" w:rsidP="00B41C03">
      <w:pPr>
        <w:jc w:val="both"/>
        <w:rPr>
          <w:rFonts w:ascii="Arial" w:eastAsia="Calibri" w:hAnsi="Arial" w:cs="Arial"/>
          <w:b/>
          <w:sz w:val="22"/>
        </w:rPr>
      </w:pPr>
    </w:p>
    <w:p w14:paraId="2C76C2FE" w14:textId="4FECC4A4" w:rsidR="00D6418E" w:rsidRPr="00344490" w:rsidRDefault="00D6418E" w:rsidP="00D6418E">
      <w:pPr>
        <w:spacing w:after="120"/>
        <w:jc w:val="both"/>
        <w:rPr>
          <w:rFonts w:ascii="Arial" w:eastAsiaTheme="minorHAnsi" w:hAnsi="Arial" w:cs="Arial"/>
          <w:b/>
          <w:bCs/>
          <w:sz w:val="20"/>
          <w:szCs w:val="20"/>
          <w:lang w:val="es-MX" w:eastAsia="en-US"/>
        </w:rPr>
      </w:pPr>
      <w:r w:rsidRPr="00344490">
        <w:rPr>
          <w:rFonts w:ascii="Arial" w:eastAsiaTheme="minorHAnsi" w:hAnsi="Arial" w:cs="Arial"/>
          <w:sz w:val="20"/>
          <w:szCs w:val="20"/>
          <w:lang w:val="es-MX" w:eastAsia="en-US"/>
        </w:rPr>
        <w:t xml:space="preserve">En cuanto a las actividades susceptibles de ser catalogas como </w:t>
      </w:r>
      <w:r w:rsidRPr="00344490">
        <w:rPr>
          <w:rFonts w:ascii="Arial" w:eastAsiaTheme="minorHAnsi" w:hAnsi="Arial" w:cs="Arial"/>
          <w:i/>
          <w:iCs/>
          <w:sz w:val="20"/>
          <w:szCs w:val="20"/>
          <w:lang w:val="es-MX" w:eastAsia="en-US"/>
        </w:rPr>
        <w:t>mejoramiento,</w:t>
      </w:r>
      <w:r w:rsidRPr="00344490">
        <w:rPr>
          <w:rFonts w:ascii="Arial" w:eastAsiaTheme="minorHAnsi" w:hAnsi="Arial" w:cs="Arial"/>
          <w:sz w:val="20"/>
          <w:szCs w:val="20"/>
          <w:lang w:val="es-MX" w:eastAsia="en-US"/>
        </w:rPr>
        <w:t xml:space="preserve"> el artículo 12 de la Ley 1682 de 2013 y el Anexo 3 no prevén un listado específico. Lo anterior, obedece a que la referida ley determinó que esas actividades debían ser objeto de reglamentación, estableciendo incluso un plazo para ello. De conformidad con lo anterior, el artículo 44 de la Ley 1682 de 2013 atribuyó al Gobierno Nacional, conformado por los Ministerios de Transporte y Ambiente, en coordinación con la Autoridad Nacional de Licencias Ambientales, la competencia para reglamentar el listado de actividades de </w:t>
      </w:r>
      <w:r w:rsidRPr="00344490">
        <w:rPr>
          <w:rFonts w:ascii="Arial" w:eastAsiaTheme="minorHAnsi" w:hAnsi="Arial" w:cs="Arial"/>
          <w:i/>
          <w:iCs/>
          <w:sz w:val="20"/>
          <w:szCs w:val="20"/>
          <w:lang w:val="es-MX" w:eastAsia="en-US"/>
        </w:rPr>
        <w:t>mejoramiento</w:t>
      </w:r>
      <w:r w:rsidRPr="00344490">
        <w:rPr>
          <w:rFonts w:ascii="Arial" w:eastAsiaTheme="minorHAnsi" w:hAnsi="Arial" w:cs="Arial"/>
          <w:sz w:val="20"/>
          <w:szCs w:val="20"/>
          <w:lang w:val="es-MX" w:eastAsia="en-US"/>
        </w:rPr>
        <w:t xml:space="preserve"> en proyectos de infraestructura de transporte. Dicha competencia fue ejercida mediante la expedición del Decreto 769 de 2014 –</w:t>
      </w:r>
      <w:r w:rsidRPr="00344490">
        <w:rPr>
          <w:rFonts w:ascii="Arial" w:hAnsi="Arial" w:cs="Arial"/>
          <w:sz w:val="20"/>
          <w:szCs w:val="20"/>
        </w:rPr>
        <w:t xml:space="preserve">actualmente compilado en el </w:t>
      </w:r>
      <w:r w:rsidRPr="00344490">
        <w:rPr>
          <w:rFonts w:ascii="Arial" w:hAnsi="Arial" w:cs="Arial" w:hint="cs"/>
          <w:sz w:val="20"/>
          <w:szCs w:val="20"/>
        </w:rPr>
        <w:t>Decreto 1076 de 2015</w:t>
      </w:r>
      <w:r w:rsidRPr="00344490">
        <w:rPr>
          <w:rFonts w:ascii="Arial" w:hAnsi="Arial" w:cs="Arial" w:hint="eastAsia"/>
          <w:sz w:val="20"/>
          <w:szCs w:val="20"/>
        </w:rPr>
        <w:t>–</w:t>
      </w:r>
      <w:r w:rsidRPr="00344490">
        <w:rPr>
          <w:rFonts w:ascii="Arial" w:eastAsiaTheme="minorHAnsi" w:hAnsi="Arial" w:cs="Arial"/>
          <w:sz w:val="20"/>
          <w:szCs w:val="20"/>
          <w:lang w:val="es-MX" w:eastAsia="en-US"/>
        </w:rPr>
        <w:t>,cuyo artículo 1 enlista una serie de actividades consideradas de mejoramiento, las cuales fueron agrupadas en los siguientes literales referidos a cada uno de los modos de infraestructura vial: A. Modo terrestre-carretero;</w:t>
      </w:r>
      <w:r w:rsidRPr="00344490">
        <w:rPr>
          <w:rFonts w:ascii="Arial" w:eastAsiaTheme="minorHAnsi" w:hAnsi="Arial" w:cs="Arial"/>
          <w:b/>
          <w:bCs/>
          <w:sz w:val="20"/>
          <w:szCs w:val="20"/>
          <w:lang w:val="es-MX" w:eastAsia="en-US"/>
        </w:rPr>
        <w:t xml:space="preserve"> </w:t>
      </w:r>
      <w:r w:rsidRPr="00344490">
        <w:rPr>
          <w:rFonts w:ascii="Arial" w:eastAsiaTheme="minorHAnsi" w:hAnsi="Arial" w:cs="Arial"/>
          <w:sz w:val="20"/>
          <w:szCs w:val="20"/>
          <w:lang w:val="es-MX" w:eastAsia="en-US"/>
        </w:rPr>
        <w:t>B. Modo terrestre-férreo;</w:t>
      </w:r>
      <w:r w:rsidRPr="00344490">
        <w:rPr>
          <w:rFonts w:ascii="Arial" w:eastAsiaTheme="minorHAnsi" w:hAnsi="Arial" w:cs="Arial"/>
          <w:b/>
          <w:bCs/>
          <w:sz w:val="20"/>
          <w:szCs w:val="20"/>
          <w:lang w:val="es-MX" w:eastAsia="en-US"/>
        </w:rPr>
        <w:t> </w:t>
      </w:r>
      <w:r w:rsidRPr="00344490">
        <w:rPr>
          <w:rFonts w:ascii="Arial" w:eastAsiaTheme="minorHAnsi" w:hAnsi="Arial" w:cs="Arial"/>
          <w:sz w:val="20"/>
          <w:szCs w:val="20"/>
          <w:lang w:val="es-MX" w:eastAsia="en-US"/>
        </w:rPr>
        <w:t>C. Modo acuático-fluvial y Modo acuático de infraestructura portuaria</w:t>
      </w:r>
      <w:r w:rsidRPr="00344490">
        <w:rPr>
          <w:rFonts w:ascii="Arial" w:eastAsiaTheme="minorHAnsi" w:hAnsi="Arial" w:cs="Arial"/>
          <w:b/>
          <w:bCs/>
          <w:sz w:val="20"/>
          <w:szCs w:val="20"/>
          <w:lang w:val="es-MX" w:eastAsia="en-US"/>
        </w:rPr>
        <w:t> </w:t>
      </w:r>
      <w:r w:rsidRPr="00344490">
        <w:rPr>
          <w:rFonts w:ascii="Arial" w:eastAsiaTheme="minorHAnsi" w:hAnsi="Arial" w:cs="Arial"/>
          <w:sz w:val="20"/>
          <w:szCs w:val="20"/>
          <w:lang w:val="es-MX" w:eastAsia="en-US"/>
        </w:rPr>
        <w:t>y D.</w:t>
      </w:r>
      <w:r w:rsidRPr="00344490">
        <w:rPr>
          <w:rFonts w:ascii="Arial" w:eastAsiaTheme="minorHAnsi" w:hAnsi="Arial" w:cs="Arial"/>
          <w:b/>
          <w:bCs/>
          <w:sz w:val="20"/>
          <w:szCs w:val="20"/>
          <w:lang w:val="es-MX" w:eastAsia="en-US"/>
        </w:rPr>
        <w:t> </w:t>
      </w:r>
      <w:r w:rsidRPr="00344490">
        <w:rPr>
          <w:rFonts w:ascii="Arial" w:eastAsiaTheme="minorHAnsi" w:hAnsi="Arial" w:cs="Arial"/>
          <w:sz w:val="20"/>
          <w:szCs w:val="20"/>
          <w:lang w:val="es-MX" w:eastAsia="en-US"/>
        </w:rPr>
        <w:t>Modo Aéreo.</w:t>
      </w:r>
    </w:p>
    <w:p w14:paraId="7E4D91BF" w14:textId="77777777" w:rsidR="00EA44B1" w:rsidRPr="00D6418E" w:rsidRDefault="00EA44B1" w:rsidP="00EA44B1">
      <w:pPr>
        <w:pStyle w:val="Sinespaciado"/>
        <w:rPr>
          <w:lang w:val="es-CO"/>
        </w:rPr>
      </w:pPr>
    </w:p>
    <w:p w14:paraId="2BB1444D" w14:textId="3A5BDEDF" w:rsidR="00B41C03" w:rsidRDefault="00702A9E" w:rsidP="00702A9E">
      <w:pPr>
        <w:jc w:val="both"/>
        <w:rPr>
          <w:rFonts w:ascii="Arial" w:hAnsi="Arial" w:cs="Arial"/>
          <w:sz w:val="20"/>
          <w:szCs w:val="20"/>
        </w:rPr>
      </w:pPr>
      <w:r w:rsidRPr="00702A9E">
        <w:rPr>
          <w:rFonts w:ascii="Arial" w:eastAsia="Calibri" w:hAnsi="Arial" w:cs="Arial"/>
          <w:b/>
          <w:sz w:val="22"/>
        </w:rPr>
        <w:t xml:space="preserve">OBRAS DE INFRAESTRUCTURA – </w:t>
      </w:r>
      <w:r w:rsidR="00EA44B1">
        <w:rPr>
          <w:rFonts w:ascii="Arial" w:eastAsia="Calibri" w:hAnsi="Arial" w:cs="Arial"/>
          <w:b/>
          <w:sz w:val="22"/>
        </w:rPr>
        <w:t>Actividades de mejoramiento</w:t>
      </w:r>
    </w:p>
    <w:p w14:paraId="26C37394" w14:textId="4D946638" w:rsidR="007A4047" w:rsidRPr="003A4E31" w:rsidRDefault="007A4047" w:rsidP="00D6418E">
      <w:pPr>
        <w:jc w:val="both"/>
        <w:rPr>
          <w:rFonts w:ascii="Arial" w:hAnsi="Arial" w:cs="Arial"/>
          <w:sz w:val="20"/>
          <w:szCs w:val="20"/>
        </w:rPr>
      </w:pPr>
    </w:p>
    <w:p w14:paraId="3F0CC7F1" w14:textId="77777777" w:rsidR="00D6418E" w:rsidRPr="00344490" w:rsidRDefault="003A4E31" w:rsidP="00D6418E">
      <w:pPr>
        <w:spacing w:after="120"/>
        <w:jc w:val="both"/>
        <w:rPr>
          <w:rFonts w:ascii="Arial" w:eastAsiaTheme="minorHAnsi" w:hAnsi="Arial" w:cs="Arial"/>
          <w:sz w:val="20"/>
          <w:szCs w:val="20"/>
          <w:lang w:val="es-MX" w:eastAsia="en-US"/>
        </w:rPr>
      </w:pPr>
      <w:r w:rsidRPr="00344490">
        <w:rPr>
          <w:rFonts w:ascii="Arial" w:hAnsi="Arial" w:cs="Arial"/>
          <w:sz w:val="20"/>
          <w:szCs w:val="20"/>
        </w:rPr>
        <w:t xml:space="preserve">[…] </w:t>
      </w:r>
      <w:r w:rsidR="00D6418E" w:rsidRPr="00344490">
        <w:rPr>
          <w:rFonts w:ascii="Arial" w:eastAsiaTheme="minorHAnsi" w:hAnsi="Arial" w:cs="Arial"/>
          <w:sz w:val="20"/>
          <w:szCs w:val="20"/>
          <w:lang w:val="es-MX" w:eastAsia="en-US"/>
        </w:rPr>
        <w:t xml:space="preserve">Al respecto, debe precisarse que, en materia de infraestructura de transporte, la Ley 1682 de 2013 constituye el principal instrumento normativo para determinar qué constituye infraestructura de transporte, así como las actividades que implican su intervención y que, por tanto, deben ser contratadas aplicando los documentos tipo. En ese sentido, como se indicó, el legislador atribuyó al Gobierno Nacional la competencia para definir lo que debe entenderse por </w:t>
      </w:r>
      <w:r w:rsidR="00D6418E" w:rsidRPr="00344490">
        <w:rPr>
          <w:rFonts w:ascii="Arial" w:eastAsiaTheme="minorHAnsi" w:hAnsi="Arial" w:cs="Arial"/>
          <w:i/>
          <w:iCs/>
          <w:sz w:val="20"/>
          <w:szCs w:val="20"/>
          <w:lang w:val="es-MX" w:eastAsia="en-US"/>
        </w:rPr>
        <w:t xml:space="preserve">mejoramiento </w:t>
      </w:r>
      <w:r w:rsidR="00D6418E" w:rsidRPr="00344490">
        <w:rPr>
          <w:rFonts w:ascii="Arial" w:eastAsiaTheme="minorHAnsi" w:hAnsi="Arial" w:cs="Arial"/>
          <w:sz w:val="20"/>
          <w:szCs w:val="20"/>
          <w:lang w:val="es-MX" w:eastAsia="en-US"/>
        </w:rPr>
        <w:t xml:space="preserve">de infraestructura de transporte, al otorgarle la competencia para expedir la norma reglamentaria que enlistara las actividades que suponen tal tipo de intervención, lo cual es fundamental para la aplicación de los documentos tipo de infraestructura transporte.  </w:t>
      </w:r>
    </w:p>
    <w:p w14:paraId="685F3B32" w14:textId="0BFEFAEB" w:rsidR="00D6418E" w:rsidRPr="00344490" w:rsidRDefault="00D6418E" w:rsidP="00D6418E">
      <w:pPr>
        <w:spacing w:after="120"/>
        <w:jc w:val="both"/>
        <w:rPr>
          <w:rFonts w:ascii="Arial" w:hAnsi="Arial" w:cs="Arial"/>
          <w:sz w:val="20"/>
          <w:szCs w:val="20"/>
        </w:rPr>
      </w:pPr>
      <w:r w:rsidRPr="00344490">
        <w:rPr>
          <w:rFonts w:ascii="Arial" w:hAnsi="Arial" w:cs="Arial"/>
          <w:sz w:val="20"/>
          <w:szCs w:val="20"/>
        </w:rPr>
        <w:t xml:space="preserve">En ese sentido, las nociones de las actividades que suponen intervenciones de la infraestructura de transporte, como es el caso de las actividades de </w:t>
      </w:r>
      <w:r w:rsidRPr="00344490">
        <w:rPr>
          <w:rFonts w:ascii="Arial" w:hAnsi="Arial" w:cs="Arial"/>
          <w:i/>
          <w:iCs/>
          <w:sz w:val="20"/>
          <w:szCs w:val="20"/>
        </w:rPr>
        <w:t>mejoramiento</w:t>
      </w:r>
      <w:r w:rsidRPr="00344490">
        <w:rPr>
          <w:rFonts w:ascii="Arial" w:hAnsi="Arial" w:cs="Arial"/>
          <w:sz w:val="20"/>
          <w:szCs w:val="20"/>
        </w:rPr>
        <w:t>, en el marco de los documentos tipo de dicho sector, se determinarán, en primera medida, por lo dispuesto en la Ley 1682 de 2013.</w:t>
      </w:r>
    </w:p>
    <w:p w14:paraId="02376B74" w14:textId="3ED7CBE3" w:rsidR="00763584" w:rsidRDefault="00763584" w:rsidP="00D6418E">
      <w:pPr>
        <w:jc w:val="both"/>
        <w:rPr>
          <w:rFonts w:ascii="Arial" w:eastAsia="Calibri" w:hAnsi="Arial" w:cs="Arial"/>
          <w:bCs/>
          <w:sz w:val="22"/>
          <w:szCs w:val="22"/>
          <w:lang w:val="es-MX"/>
        </w:rPr>
      </w:pPr>
    </w:p>
    <w:p w14:paraId="4A66FBCA" w14:textId="6BD6618D" w:rsidR="00702A9E" w:rsidRPr="00702A9E" w:rsidRDefault="00702A9E" w:rsidP="00702A9E">
      <w:pPr>
        <w:jc w:val="both"/>
        <w:rPr>
          <w:rFonts w:ascii="Arial" w:eastAsia="Calibri" w:hAnsi="Arial" w:cs="Arial"/>
          <w:b/>
          <w:sz w:val="22"/>
        </w:rPr>
      </w:pPr>
      <w:r w:rsidRPr="00702A9E">
        <w:rPr>
          <w:rFonts w:ascii="Arial" w:eastAsia="Calibri" w:hAnsi="Arial" w:cs="Arial"/>
          <w:b/>
          <w:sz w:val="22"/>
        </w:rPr>
        <w:t>BOX CULVERT – concepto</w:t>
      </w:r>
    </w:p>
    <w:p w14:paraId="6DD5A3A9" w14:textId="77777777" w:rsidR="00702A9E" w:rsidRPr="00872CC7" w:rsidRDefault="00702A9E" w:rsidP="00946E02">
      <w:pPr>
        <w:tabs>
          <w:tab w:val="left" w:pos="426"/>
        </w:tabs>
        <w:jc w:val="both"/>
        <w:rPr>
          <w:rFonts w:ascii="Arial" w:hAnsi="Arial" w:cs="Arial"/>
          <w:sz w:val="20"/>
          <w:szCs w:val="20"/>
        </w:rPr>
      </w:pPr>
    </w:p>
    <w:p w14:paraId="294724B0" w14:textId="16B7A09C" w:rsidR="00946E02" w:rsidRPr="00344490" w:rsidRDefault="00872CC7" w:rsidP="00946E02">
      <w:pPr>
        <w:spacing w:after="120"/>
        <w:jc w:val="both"/>
        <w:rPr>
          <w:rFonts w:ascii="Helvetica" w:hAnsi="Helvetica"/>
          <w:sz w:val="20"/>
          <w:szCs w:val="20"/>
          <w:shd w:val="clear" w:color="auto" w:fill="FFFFFF"/>
        </w:rPr>
      </w:pPr>
      <w:r w:rsidRPr="00344490">
        <w:rPr>
          <w:rFonts w:ascii="Arial" w:hAnsi="Arial" w:cs="Arial"/>
          <w:sz w:val="20"/>
          <w:szCs w:val="20"/>
        </w:rPr>
        <w:t xml:space="preserve">[…] </w:t>
      </w:r>
      <w:r w:rsidR="00946E02" w:rsidRPr="00344490">
        <w:rPr>
          <w:rStyle w:val="nfasis"/>
          <w:rFonts w:ascii="Arial" w:hAnsi="Arial" w:cs="Arial"/>
          <w:i w:val="0"/>
          <w:iCs w:val="0"/>
          <w:sz w:val="20"/>
          <w:szCs w:val="20"/>
        </w:rPr>
        <w:t xml:space="preserve">respecto del </w:t>
      </w:r>
      <w:r w:rsidR="00946E02" w:rsidRPr="00344490">
        <w:rPr>
          <w:rFonts w:ascii="Arial" w:hAnsi="Arial" w:cs="Arial"/>
          <w:i/>
          <w:iCs/>
          <w:sz w:val="20"/>
          <w:szCs w:val="20"/>
        </w:rPr>
        <w:t xml:space="preserve">box </w:t>
      </w:r>
      <w:proofErr w:type="spellStart"/>
      <w:r w:rsidR="00946E02" w:rsidRPr="00344490">
        <w:rPr>
          <w:rFonts w:ascii="Arial" w:hAnsi="Arial" w:cs="Arial"/>
          <w:i/>
          <w:iCs/>
          <w:sz w:val="20"/>
          <w:szCs w:val="20"/>
        </w:rPr>
        <w:t>culvert</w:t>
      </w:r>
      <w:proofErr w:type="spellEnd"/>
      <w:r w:rsidR="00946E02" w:rsidRPr="00344490">
        <w:rPr>
          <w:rFonts w:ascii="Arial" w:hAnsi="Arial" w:cs="Arial"/>
          <w:sz w:val="20"/>
          <w:szCs w:val="20"/>
        </w:rPr>
        <w:t xml:space="preserve"> y la posibilidad de acreditar su construcción como experiencia para actividades de </w:t>
      </w:r>
      <w:r w:rsidR="00946E02" w:rsidRPr="00344490">
        <w:rPr>
          <w:rFonts w:ascii="Arial" w:hAnsi="Arial" w:cs="Arial"/>
          <w:i/>
          <w:iCs/>
          <w:sz w:val="20"/>
          <w:szCs w:val="20"/>
        </w:rPr>
        <w:t>mejoramiento</w:t>
      </w:r>
      <w:r w:rsidR="00946E02" w:rsidRPr="00344490">
        <w:rPr>
          <w:rFonts w:ascii="Arial" w:hAnsi="Arial" w:cs="Arial"/>
          <w:sz w:val="20"/>
          <w:szCs w:val="20"/>
        </w:rPr>
        <w:t>, es conveniente recordar que la referida expresión –</w:t>
      </w:r>
      <w:r w:rsidR="00946E02" w:rsidRPr="00344490">
        <w:rPr>
          <w:rFonts w:ascii="Arial" w:hAnsi="Arial" w:cs="Arial"/>
          <w:i/>
          <w:iCs/>
          <w:sz w:val="20"/>
          <w:szCs w:val="20"/>
        </w:rPr>
        <w:t xml:space="preserve">box </w:t>
      </w:r>
      <w:proofErr w:type="spellStart"/>
      <w:r w:rsidR="00946E02" w:rsidRPr="00344490">
        <w:rPr>
          <w:rFonts w:ascii="Arial" w:hAnsi="Arial" w:cs="Arial"/>
          <w:i/>
          <w:iCs/>
          <w:sz w:val="20"/>
          <w:szCs w:val="20"/>
        </w:rPr>
        <w:t>culvert</w:t>
      </w:r>
      <w:proofErr w:type="spellEnd"/>
      <w:r w:rsidR="00946E02" w:rsidRPr="00344490">
        <w:rPr>
          <w:rFonts w:ascii="Arial" w:hAnsi="Arial" w:cs="Arial"/>
          <w:i/>
          <w:iCs/>
          <w:sz w:val="20"/>
          <w:szCs w:val="20"/>
        </w:rPr>
        <w:t xml:space="preserve">– </w:t>
      </w:r>
      <w:r w:rsidR="00946E02" w:rsidRPr="00344490">
        <w:rPr>
          <w:rFonts w:ascii="Arial" w:hAnsi="Arial" w:cs="Arial"/>
          <w:sz w:val="20"/>
          <w:szCs w:val="20"/>
        </w:rPr>
        <w:t xml:space="preserve">constituye un anglicismo que hace referencia a un tipo de infraestructura «construida </w:t>
      </w:r>
      <w:r w:rsidR="00946E02" w:rsidRPr="00344490">
        <w:rPr>
          <w:rFonts w:ascii="Arial" w:hAnsi="Arial" w:cs="Arial"/>
          <w:i/>
          <w:iCs/>
          <w:sz w:val="20"/>
          <w:szCs w:val="20"/>
        </w:rPr>
        <w:t>in situ</w:t>
      </w:r>
      <w:r w:rsidR="00946E02" w:rsidRPr="00344490">
        <w:rPr>
          <w:rFonts w:ascii="Arial" w:hAnsi="Arial" w:cs="Arial"/>
          <w:sz w:val="20"/>
          <w:szCs w:val="20"/>
        </w:rPr>
        <w:t xml:space="preserve"> o prefabricada en concreto, con forma de caja, que se encuentra debajo de un terraplén para drenar el agua de un lado de la carretera al otro». En otras palabras, es «</w:t>
      </w:r>
      <w:r w:rsidR="00946E02" w:rsidRPr="00344490">
        <w:rPr>
          <w:rFonts w:ascii="Helvetica" w:hAnsi="Helvetica"/>
          <w:sz w:val="20"/>
          <w:szCs w:val="20"/>
          <w:shd w:val="clear" w:color="auto" w:fill="FFFFFF"/>
        </w:rPr>
        <w:t>una estructura de sección cuadrada o rectangular que se fabrica de concreto armado a desnivel y permiten el paso de personas, animales y cuerpos de agua de un lado a otro de la vía».</w:t>
      </w:r>
    </w:p>
    <w:p w14:paraId="11627BD8" w14:textId="295730DB" w:rsidR="00872CC7" w:rsidRPr="00344490" w:rsidRDefault="00872CC7" w:rsidP="00946E02">
      <w:pPr>
        <w:tabs>
          <w:tab w:val="left" w:pos="426"/>
        </w:tabs>
        <w:jc w:val="both"/>
        <w:rPr>
          <w:rFonts w:ascii="Arial" w:hAnsi="Arial" w:cs="Arial"/>
          <w:sz w:val="20"/>
          <w:szCs w:val="20"/>
        </w:rPr>
      </w:pPr>
    </w:p>
    <w:p w14:paraId="7EB1F87B" w14:textId="77777777" w:rsidR="00946E02" w:rsidRPr="00344490" w:rsidRDefault="00946E02" w:rsidP="00946E02">
      <w:pPr>
        <w:pStyle w:val="NormalWeb"/>
        <w:spacing w:before="0" w:beforeAutospacing="0"/>
        <w:contextualSpacing/>
        <w:jc w:val="both"/>
        <w:rPr>
          <w:rFonts w:ascii="Arial" w:hAnsi="Arial" w:cs="Arial"/>
          <w:color w:val="000000" w:themeColor="text1"/>
          <w:sz w:val="20"/>
          <w:szCs w:val="20"/>
        </w:rPr>
      </w:pPr>
      <w:r w:rsidRPr="00344490">
        <w:rPr>
          <w:rFonts w:ascii="Arial" w:hAnsi="Arial" w:cs="Arial"/>
          <w:sz w:val="20"/>
          <w:szCs w:val="20"/>
          <w:shd w:val="clear" w:color="auto" w:fill="FFFFFF"/>
        </w:rPr>
        <w:t xml:space="preserve">Conforme a tal aproximación técnica, un </w:t>
      </w:r>
      <w:r w:rsidRPr="00344490">
        <w:rPr>
          <w:rFonts w:ascii="Arial" w:hAnsi="Arial" w:cs="Arial"/>
          <w:i/>
          <w:iCs/>
          <w:sz w:val="20"/>
          <w:szCs w:val="20"/>
          <w:shd w:val="clear" w:color="auto" w:fill="FFFFFF"/>
        </w:rPr>
        <w:t xml:space="preserve">box </w:t>
      </w:r>
      <w:proofErr w:type="spellStart"/>
      <w:r w:rsidRPr="00344490">
        <w:rPr>
          <w:rFonts w:ascii="Arial" w:hAnsi="Arial" w:cs="Arial"/>
          <w:i/>
          <w:iCs/>
          <w:sz w:val="20"/>
          <w:szCs w:val="20"/>
          <w:shd w:val="clear" w:color="auto" w:fill="FFFFFF"/>
        </w:rPr>
        <w:t>culvert</w:t>
      </w:r>
      <w:proofErr w:type="spellEnd"/>
      <w:r w:rsidRPr="00344490">
        <w:rPr>
          <w:rFonts w:ascii="Arial" w:hAnsi="Arial" w:cs="Arial"/>
          <w:i/>
          <w:iCs/>
          <w:sz w:val="20"/>
          <w:szCs w:val="20"/>
          <w:shd w:val="clear" w:color="auto" w:fill="FFFFFF"/>
        </w:rPr>
        <w:t xml:space="preserve"> </w:t>
      </w:r>
      <w:r w:rsidRPr="00344490">
        <w:rPr>
          <w:rFonts w:ascii="Arial" w:hAnsi="Arial" w:cs="Arial"/>
          <w:sz w:val="20"/>
          <w:szCs w:val="20"/>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Pr="00344490">
        <w:rPr>
          <w:rFonts w:ascii="Arial" w:hAnsi="Arial" w:cs="Arial"/>
          <w:i/>
          <w:iCs/>
          <w:sz w:val="20"/>
          <w:szCs w:val="20"/>
          <w:shd w:val="clear" w:color="auto" w:fill="FFFFFF"/>
        </w:rPr>
        <w:t xml:space="preserve">box </w:t>
      </w:r>
      <w:proofErr w:type="spellStart"/>
      <w:r w:rsidRPr="00344490">
        <w:rPr>
          <w:rFonts w:ascii="Arial" w:hAnsi="Arial" w:cs="Arial"/>
          <w:i/>
          <w:iCs/>
          <w:sz w:val="20"/>
          <w:szCs w:val="20"/>
          <w:shd w:val="clear" w:color="auto" w:fill="FFFFFF"/>
        </w:rPr>
        <w:t>culvert</w:t>
      </w:r>
      <w:proofErr w:type="spellEnd"/>
      <w:r w:rsidRPr="00344490">
        <w:rPr>
          <w:rFonts w:ascii="Arial" w:hAnsi="Arial" w:cs="Arial"/>
          <w:i/>
          <w:iCs/>
          <w:sz w:val="20"/>
          <w:szCs w:val="20"/>
          <w:shd w:val="clear" w:color="auto" w:fill="FFFFFF"/>
        </w:rPr>
        <w:t xml:space="preserve">, </w:t>
      </w:r>
      <w:r w:rsidRPr="00344490">
        <w:rPr>
          <w:rFonts w:ascii="Arial" w:hAnsi="Arial" w:cs="Arial"/>
          <w:sz w:val="20"/>
          <w:szCs w:val="20"/>
          <w:shd w:val="clear" w:color="auto" w:fill="FFFFFF"/>
        </w:rPr>
        <w:t xml:space="preserve">podría interpretarse como parte de una de las actividades mencionadas por el artículo 2.2.1.5.1.1 del Decreto 1076 de 2015 como </w:t>
      </w:r>
      <w:r w:rsidRPr="00344490">
        <w:rPr>
          <w:rFonts w:ascii="Arial" w:hAnsi="Arial" w:cs="Arial"/>
          <w:i/>
          <w:iCs/>
          <w:sz w:val="20"/>
          <w:szCs w:val="20"/>
          <w:shd w:val="clear" w:color="auto" w:fill="FFFFFF"/>
        </w:rPr>
        <w:t>mejoramiento</w:t>
      </w:r>
      <w:r w:rsidRPr="00344490">
        <w:rPr>
          <w:rFonts w:ascii="Arial" w:hAnsi="Arial" w:cs="Arial"/>
          <w:sz w:val="20"/>
          <w:szCs w:val="20"/>
          <w:shd w:val="clear" w:color="auto" w:fill="FFFFFF"/>
        </w:rPr>
        <w:t>, específicamente, la indicada en el numeral 6 «</w:t>
      </w:r>
      <w:r w:rsidRPr="00344490">
        <w:rPr>
          <w:rFonts w:ascii="Arial" w:hAnsi="Arial" w:cs="Arial" w:hint="cs"/>
          <w:color w:val="000000" w:themeColor="text1"/>
          <w:sz w:val="20"/>
          <w:szCs w:val="20"/>
        </w:rPr>
        <w:t>La adecuación y construcción de obras de drenaje y subdrenaje transversal y longitudinal</w:t>
      </w:r>
      <w:r w:rsidRPr="00344490">
        <w:rPr>
          <w:rFonts w:ascii="Arial" w:hAnsi="Arial" w:cs="Arial"/>
          <w:sz w:val="20"/>
          <w:szCs w:val="20"/>
          <w:lang w:val="es-ES"/>
        </w:rPr>
        <w:t xml:space="preserve">» y en el numeral 2.50 del Anexo 3 – Glosario «2.50 Mejoramiento: Cambios en una infraestructura de transporte con el propósito de mejorar sus </w:t>
      </w:r>
      <w:r w:rsidRPr="00344490">
        <w:rPr>
          <w:rFonts w:ascii="Arial" w:hAnsi="Arial" w:cs="Arial"/>
          <w:sz w:val="20"/>
          <w:szCs w:val="20"/>
          <w:lang w:val="es-ES"/>
        </w:rPr>
        <w:lastRenderedPageBreak/>
        <w:t xml:space="preserve">especificaciones técnicas iniciales». De este modo, la construcción de un </w:t>
      </w:r>
      <w:r w:rsidRPr="00344490">
        <w:rPr>
          <w:rFonts w:ascii="Arial" w:hAnsi="Arial" w:cs="Arial"/>
          <w:i/>
          <w:iCs/>
          <w:sz w:val="20"/>
          <w:szCs w:val="20"/>
          <w:lang w:val="es-ES"/>
        </w:rPr>
        <w:t xml:space="preserve">box </w:t>
      </w:r>
      <w:proofErr w:type="spellStart"/>
      <w:r w:rsidRPr="00344490">
        <w:rPr>
          <w:rFonts w:ascii="Arial" w:hAnsi="Arial" w:cs="Arial"/>
          <w:i/>
          <w:iCs/>
          <w:sz w:val="20"/>
          <w:szCs w:val="20"/>
          <w:lang w:val="es-ES"/>
        </w:rPr>
        <w:t>culvert</w:t>
      </w:r>
      <w:proofErr w:type="spellEnd"/>
      <w:r w:rsidRPr="00344490">
        <w:rPr>
          <w:rFonts w:ascii="Arial" w:hAnsi="Arial" w:cs="Arial"/>
          <w:sz w:val="20"/>
          <w:szCs w:val="20"/>
          <w:lang w:val="es-ES"/>
        </w:rPr>
        <w:t xml:space="preserve"> puede servir como requisito para demostrar la experiencia del oferente y habilitar su participación en procedimientos de licitación pública para la actividad de mejoramiento en vías terciarias. </w:t>
      </w:r>
    </w:p>
    <w:p w14:paraId="38B84969" w14:textId="77777777" w:rsidR="00957364" w:rsidRPr="0094584C" w:rsidRDefault="00957364" w:rsidP="0094584C">
      <w:pPr>
        <w:tabs>
          <w:tab w:val="left" w:pos="426"/>
        </w:tabs>
        <w:jc w:val="both"/>
        <w:rPr>
          <w:rFonts w:ascii="Arial" w:eastAsia="Calibri" w:hAnsi="Arial" w:cs="Arial"/>
          <w:b/>
          <w:bCs/>
          <w:sz w:val="22"/>
          <w:szCs w:val="22"/>
        </w:rPr>
      </w:pPr>
    </w:p>
    <w:p w14:paraId="4868E1D2" w14:textId="77777777" w:rsidR="0000763E" w:rsidRDefault="0000763E" w:rsidP="00763584">
      <w:pPr>
        <w:jc w:val="both"/>
        <w:rPr>
          <w:rFonts w:ascii="Arial" w:eastAsia="Calibri" w:hAnsi="Arial" w:cs="Arial"/>
          <w:b/>
          <w:sz w:val="22"/>
          <w:szCs w:val="22"/>
          <w:lang w:val="es-MX"/>
        </w:rPr>
      </w:pPr>
    </w:p>
    <w:p w14:paraId="02DC1A78" w14:textId="56CC7CFA" w:rsidR="00862B07" w:rsidRDefault="00862B07" w:rsidP="00763584">
      <w:pPr>
        <w:jc w:val="both"/>
        <w:rPr>
          <w:rFonts w:ascii="Arial" w:eastAsia="Calibri" w:hAnsi="Arial" w:cs="Arial"/>
          <w:b/>
          <w:sz w:val="22"/>
          <w:szCs w:val="22"/>
          <w:lang w:val="es-MX"/>
        </w:rPr>
      </w:pPr>
    </w:p>
    <w:p w14:paraId="7DE35B75" w14:textId="77777777" w:rsidR="00862B07" w:rsidRPr="0094584C" w:rsidRDefault="00862B07" w:rsidP="00763584">
      <w:pPr>
        <w:jc w:val="both"/>
        <w:rPr>
          <w:rFonts w:ascii="Arial" w:eastAsia="Calibri" w:hAnsi="Arial" w:cs="Arial"/>
          <w:b/>
          <w:sz w:val="22"/>
          <w:szCs w:val="22"/>
          <w:lang w:val="es-MX"/>
        </w:rPr>
      </w:pPr>
    </w:p>
    <w:p w14:paraId="695F397E" w14:textId="052D750A" w:rsidR="00A425A1" w:rsidRDefault="00A425A1" w:rsidP="00763584">
      <w:pPr>
        <w:jc w:val="both"/>
        <w:rPr>
          <w:rFonts w:ascii="Arial" w:eastAsia="Calibri" w:hAnsi="Arial" w:cs="Arial"/>
          <w:bCs/>
          <w:sz w:val="22"/>
          <w:szCs w:val="22"/>
          <w:lang w:val="es-MX"/>
        </w:rPr>
      </w:pPr>
    </w:p>
    <w:p w14:paraId="3BEFA114" w14:textId="730348B1" w:rsidR="00A425A1" w:rsidRDefault="00A425A1" w:rsidP="00763584">
      <w:pPr>
        <w:jc w:val="both"/>
        <w:rPr>
          <w:rFonts w:ascii="Arial" w:eastAsia="Calibri" w:hAnsi="Arial" w:cs="Arial"/>
          <w:bCs/>
          <w:sz w:val="22"/>
          <w:szCs w:val="22"/>
          <w:lang w:val="es-MX"/>
        </w:rPr>
      </w:pPr>
    </w:p>
    <w:p w14:paraId="600892A1" w14:textId="27D0DF32" w:rsidR="00A425A1" w:rsidRDefault="00A425A1" w:rsidP="00763584">
      <w:pPr>
        <w:jc w:val="both"/>
        <w:rPr>
          <w:rFonts w:ascii="Arial" w:eastAsia="Calibri" w:hAnsi="Arial" w:cs="Arial"/>
          <w:bCs/>
          <w:sz w:val="22"/>
          <w:szCs w:val="22"/>
          <w:lang w:val="es-MX"/>
        </w:rPr>
      </w:pPr>
    </w:p>
    <w:p w14:paraId="130F444E" w14:textId="4BBC19B9" w:rsidR="00E62296" w:rsidRDefault="00E62296" w:rsidP="00763584">
      <w:pPr>
        <w:jc w:val="both"/>
        <w:rPr>
          <w:rFonts w:ascii="Arial" w:eastAsia="Calibri" w:hAnsi="Arial" w:cs="Arial"/>
          <w:bCs/>
          <w:sz w:val="22"/>
          <w:szCs w:val="22"/>
          <w:lang w:val="es-MX"/>
        </w:rPr>
      </w:pPr>
    </w:p>
    <w:p w14:paraId="0A33A4F1" w14:textId="7A4B5B5C" w:rsidR="00E62296" w:rsidRDefault="00E62296" w:rsidP="00763584">
      <w:pPr>
        <w:jc w:val="both"/>
        <w:rPr>
          <w:rFonts w:ascii="Arial" w:eastAsia="Calibri" w:hAnsi="Arial" w:cs="Arial"/>
          <w:bCs/>
          <w:sz w:val="22"/>
          <w:szCs w:val="22"/>
          <w:lang w:val="es-MX"/>
        </w:rPr>
      </w:pPr>
    </w:p>
    <w:p w14:paraId="37FCBFE6" w14:textId="765AAE8C" w:rsidR="00E62296" w:rsidRDefault="00E62296" w:rsidP="00763584">
      <w:pPr>
        <w:jc w:val="both"/>
        <w:rPr>
          <w:rFonts w:ascii="Arial" w:eastAsia="Calibri" w:hAnsi="Arial" w:cs="Arial"/>
          <w:bCs/>
          <w:sz w:val="22"/>
          <w:szCs w:val="22"/>
          <w:lang w:val="es-MX"/>
        </w:rPr>
      </w:pPr>
    </w:p>
    <w:p w14:paraId="0FE72274" w14:textId="31217DB4" w:rsidR="00E62296" w:rsidRDefault="00E62296" w:rsidP="00763584">
      <w:pPr>
        <w:jc w:val="both"/>
        <w:rPr>
          <w:rFonts w:ascii="Arial" w:eastAsia="Calibri" w:hAnsi="Arial" w:cs="Arial"/>
          <w:bCs/>
          <w:sz w:val="22"/>
          <w:szCs w:val="22"/>
          <w:lang w:val="es-MX"/>
        </w:rPr>
      </w:pPr>
    </w:p>
    <w:p w14:paraId="6CE039C1" w14:textId="7114995F" w:rsidR="00E62296" w:rsidRDefault="00E62296" w:rsidP="00763584">
      <w:pPr>
        <w:jc w:val="both"/>
        <w:rPr>
          <w:rFonts w:ascii="Arial" w:eastAsia="Calibri" w:hAnsi="Arial" w:cs="Arial"/>
          <w:bCs/>
          <w:sz w:val="22"/>
          <w:szCs w:val="22"/>
          <w:lang w:val="es-MX"/>
        </w:rPr>
      </w:pPr>
    </w:p>
    <w:p w14:paraId="3E4CBFE2" w14:textId="216A0A02" w:rsidR="00E62296" w:rsidRDefault="00E62296" w:rsidP="00763584">
      <w:pPr>
        <w:jc w:val="both"/>
        <w:rPr>
          <w:rFonts w:ascii="Arial" w:eastAsia="Calibri" w:hAnsi="Arial" w:cs="Arial"/>
          <w:bCs/>
          <w:sz w:val="22"/>
          <w:szCs w:val="22"/>
          <w:lang w:val="es-MX"/>
        </w:rPr>
      </w:pPr>
    </w:p>
    <w:p w14:paraId="7C0EBE72" w14:textId="5CAD25CE" w:rsidR="00E62296" w:rsidRDefault="00E62296" w:rsidP="00763584">
      <w:pPr>
        <w:jc w:val="both"/>
        <w:rPr>
          <w:rFonts w:ascii="Arial" w:eastAsia="Calibri" w:hAnsi="Arial" w:cs="Arial"/>
          <w:bCs/>
          <w:sz w:val="22"/>
          <w:szCs w:val="22"/>
          <w:lang w:val="es-MX"/>
        </w:rPr>
      </w:pPr>
    </w:p>
    <w:p w14:paraId="79903C8E" w14:textId="2D7002EE" w:rsidR="00E62296" w:rsidRDefault="00E62296" w:rsidP="00763584">
      <w:pPr>
        <w:jc w:val="both"/>
        <w:rPr>
          <w:rFonts w:ascii="Arial" w:eastAsia="Calibri" w:hAnsi="Arial" w:cs="Arial"/>
          <w:bCs/>
          <w:sz w:val="22"/>
          <w:szCs w:val="22"/>
          <w:lang w:val="es-MX"/>
        </w:rPr>
      </w:pPr>
    </w:p>
    <w:p w14:paraId="3D2D3B4E" w14:textId="0B48E6D2" w:rsidR="00E62296" w:rsidRDefault="00E62296" w:rsidP="00763584">
      <w:pPr>
        <w:jc w:val="both"/>
        <w:rPr>
          <w:rFonts w:ascii="Arial" w:eastAsia="Calibri" w:hAnsi="Arial" w:cs="Arial"/>
          <w:bCs/>
          <w:sz w:val="22"/>
          <w:szCs w:val="22"/>
          <w:lang w:val="es-MX"/>
        </w:rPr>
      </w:pPr>
    </w:p>
    <w:p w14:paraId="06CBC4B5" w14:textId="524612FE" w:rsidR="00E62296" w:rsidRDefault="00E62296" w:rsidP="00763584">
      <w:pPr>
        <w:jc w:val="both"/>
        <w:rPr>
          <w:rFonts w:ascii="Arial" w:eastAsia="Calibri" w:hAnsi="Arial" w:cs="Arial"/>
          <w:bCs/>
          <w:sz w:val="22"/>
          <w:szCs w:val="22"/>
          <w:lang w:val="es-MX"/>
        </w:rPr>
      </w:pPr>
    </w:p>
    <w:p w14:paraId="65537FCD" w14:textId="77777777" w:rsidR="00E62296" w:rsidRDefault="00E62296" w:rsidP="00763584">
      <w:pPr>
        <w:jc w:val="both"/>
        <w:rPr>
          <w:rFonts w:ascii="Arial" w:eastAsia="Calibri" w:hAnsi="Arial" w:cs="Arial"/>
          <w:bCs/>
          <w:sz w:val="22"/>
          <w:szCs w:val="22"/>
          <w:lang w:val="es-MX"/>
        </w:rPr>
      </w:pPr>
    </w:p>
    <w:p w14:paraId="1E6ACDB5" w14:textId="02624A96" w:rsidR="00A425A1" w:rsidRDefault="00A425A1" w:rsidP="00763584">
      <w:pPr>
        <w:jc w:val="both"/>
        <w:rPr>
          <w:rFonts w:ascii="Arial" w:eastAsia="Calibri" w:hAnsi="Arial" w:cs="Arial"/>
          <w:bCs/>
          <w:sz w:val="22"/>
          <w:szCs w:val="22"/>
          <w:lang w:val="es-MX"/>
        </w:rPr>
      </w:pPr>
    </w:p>
    <w:p w14:paraId="0FD407F4" w14:textId="5441DC9B" w:rsidR="00A425A1" w:rsidRDefault="00A425A1" w:rsidP="00763584">
      <w:pPr>
        <w:jc w:val="both"/>
        <w:rPr>
          <w:rFonts w:ascii="Arial" w:eastAsia="Calibri" w:hAnsi="Arial" w:cs="Arial"/>
          <w:bCs/>
          <w:sz w:val="22"/>
          <w:szCs w:val="22"/>
          <w:lang w:val="es-MX"/>
        </w:rPr>
      </w:pPr>
    </w:p>
    <w:p w14:paraId="7DB9034B" w14:textId="3DC03E0C" w:rsidR="00A425A1" w:rsidRDefault="00A425A1" w:rsidP="00763584">
      <w:pPr>
        <w:jc w:val="both"/>
        <w:rPr>
          <w:rFonts w:ascii="Arial" w:eastAsia="Calibri" w:hAnsi="Arial" w:cs="Arial"/>
          <w:bCs/>
          <w:sz w:val="22"/>
          <w:szCs w:val="22"/>
          <w:lang w:val="es-MX"/>
        </w:rPr>
      </w:pPr>
    </w:p>
    <w:p w14:paraId="1319181F" w14:textId="44BF14DC" w:rsidR="00A425A1" w:rsidRDefault="00A425A1" w:rsidP="00763584">
      <w:pPr>
        <w:jc w:val="both"/>
        <w:rPr>
          <w:rFonts w:ascii="Arial" w:eastAsia="Calibri" w:hAnsi="Arial" w:cs="Arial"/>
          <w:bCs/>
          <w:sz w:val="22"/>
          <w:szCs w:val="22"/>
          <w:lang w:val="es-MX"/>
        </w:rPr>
      </w:pPr>
    </w:p>
    <w:p w14:paraId="71900D37" w14:textId="3E57FA41" w:rsidR="00A425A1" w:rsidRDefault="00A425A1" w:rsidP="00763584">
      <w:pPr>
        <w:jc w:val="both"/>
        <w:rPr>
          <w:rFonts w:ascii="Arial" w:eastAsia="Calibri" w:hAnsi="Arial" w:cs="Arial"/>
          <w:bCs/>
          <w:sz w:val="22"/>
          <w:szCs w:val="22"/>
          <w:lang w:val="es-MX"/>
        </w:rPr>
      </w:pPr>
    </w:p>
    <w:p w14:paraId="50287271" w14:textId="3ABB494B" w:rsidR="00A425A1" w:rsidRDefault="00A425A1" w:rsidP="00763584">
      <w:pPr>
        <w:jc w:val="both"/>
        <w:rPr>
          <w:rFonts w:ascii="Arial" w:eastAsia="Calibri" w:hAnsi="Arial" w:cs="Arial"/>
          <w:bCs/>
          <w:sz w:val="22"/>
          <w:szCs w:val="22"/>
          <w:lang w:val="es-MX"/>
        </w:rPr>
      </w:pPr>
    </w:p>
    <w:p w14:paraId="52FDE51F" w14:textId="1D9932F4" w:rsidR="003A4E31" w:rsidRDefault="003A4E31" w:rsidP="003C7067">
      <w:pPr>
        <w:rPr>
          <w:rFonts w:ascii="Arial" w:eastAsia="Calibri" w:hAnsi="Arial" w:cs="Arial"/>
          <w:sz w:val="22"/>
          <w:szCs w:val="22"/>
          <w:lang w:val="es-ES"/>
        </w:rPr>
      </w:pPr>
    </w:p>
    <w:p w14:paraId="1944698C" w14:textId="7091EE75" w:rsidR="0061018B" w:rsidRDefault="0061018B" w:rsidP="003C7067">
      <w:pPr>
        <w:rPr>
          <w:rFonts w:ascii="Arial" w:eastAsia="Calibri" w:hAnsi="Arial" w:cs="Arial"/>
          <w:sz w:val="22"/>
          <w:szCs w:val="22"/>
          <w:lang w:val="es-ES"/>
        </w:rPr>
      </w:pPr>
    </w:p>
    <w:p w14:paraId="2975ED1A" w14:textId="2C15B5D2" w:rsidR="0061018B" w:rsidRDefault="0061018B" w:rsidP="003C7067">
      <w:pPr>
        <w:rPr>
          <w:rFonts w:ascii="Arial" w:eastAsia="Calibri" w:hAnsi="Arial" w:cs="Arial"/>
          <w:sz w:val="22"/>
          <w:szCs w:val="22"/>
          <w:lang w:val="es-ES"/>
        </w:rPr>
      </w:pPr>
    </w:p>
    <w:p w14:paraId="57ECF5AE" w14:textId="3899FD7C" w:rsidR="0061018B" w:rsidRDefault="0061018B" w:rsidP="003C7067">
      <w:pPr>
        <w:rPr>
          <w:rFonts w:ascii="Arial" w:eastAsia="Calibri" w:hAnsi="Arial" w:cs="Arial"/>
          <w:sz w:val="22"/>
          <w:szCs w:val="22"/>
          <w:lang w:val="es-ES"/>
        </w:rPr>
      </w:pPr>
    </w:p>
    <w:p w14:paraId="069E5FC2" w14:textId="04CC4390" w:rsidR="0061018B" w:rsidRDefault="0061018B" w:rsidP="003C7067">
      <w:pPr>
        <w:rPr>
          <w:rFonts w:ascii="Arial" w:eastAsia="Calibri" w:hAnsi="Arial" w:cs="Arial"/>
          <w:sz w:val="22"/>
          <w:szCs w:val="22"/>
          <w:lang w:val="es-ES"/>
        </w:rPr>
      </w:pPr>
    </w:p>
    <w:p w14:paraId="2B4893A0" w14:textId="1A543054" w:rsidR="0061018B" w:rsidRDefault="0061018B" w:rsidP="003C7067">
      <w:pPr>
        <w:rPr>
          <w:rFonts w:ascii="Arial" w:eastAsia="Calibri" w:hAnsi="Arial" w:cs="Arial"/>
          <w:sz w:val="22"/>
          <w:szCs w:val="22"/>
          <w:lang w:val="es-ES"/>
        </w:rPr>
      </w:pPr>
    </w:p>
    <w:p w14:paraId="2ACEB9C5" w14:textId="57B97755" w:rsidR="0061018B" w:rsidRDefault="0061018B" w:rsidP="003C7067">
      <w:pPr>
        <w:rPr>
          <w:rFonts w:ascii="Arial" w:eastAsia="Calibri" w:hAnsi="Arial" w:cs="Arial"/>
          <w:sz w:val="22"/>
          <w:szCs w:val="22"/>
          <w:lang w:val="es-ES"/>
        </w:rPr>
      </w:pPr>
    </w:p>
    <w:p w14:paraId="0123DDA3" w14:textId="0679EBA0" w:rsidR="0061018B" w:rsidRDefault="0061018B" w:rsidP="003C7067">
      <w:pPr>
        <w:rPr>
          <w:rFonts w:ascii="Arial" w:eastAsia="Calibri" w:hAnsi="Arial" w:cs="Arial"/>
          <w:sz w:val="22"/>
          <w:szCs w:val="22"/>
          <w:lang w:val="es-ES"/>
        </w:rPr>
      </w:pPr>
    </w:p>
    <w:p w14:paraId="0E511B71" w14:textId="58966802" w:rsidR="00344490" w:rsidRDefault="00344490" w:rsidP="003C7067">
      <w:pPr>
        <w:rPr>
          <w:rFonts w:ascii="Arial" w:eastAsia="Calibri" w:hAnsi="Arial" w:cs="Arial"/>
          <w:sz w:val="22"/>
          <w:szCs w:val="22"/>
          <w:lang w:val="es-ES"/>
        </w:rPr>
      </w:pPr>
    </w:p>
    <w:p w14:paraId="1D210A24" w14:textId="178ED2C2" w:rsidR="00344490" w:rsidRDefault="00344490" w:rsidP="003C7067">
      <w:pPr>
        <w:rPr>
          <w:rFonts w:ascii="Arial" w:eastAsia="Calibri" w:hAnsi="Arial" w:cs="Arial"/>
          <w:sz w:val="22"/>
          <w:szCs w:val="22"/>
          <w:lang w:val="es-ES"/>
        </w:rPr>
      </w:pPr>
    </w:p>
    <w:p w14:paraId="5D38217C" w14:textId="4D69770D" w:rsidR="00344490" w:rsidRDefault="00344490" w:rsidP="003C7067">
      <w:pPr>
        <w:rPr>
          <w:rFonts w:ascii="Arial" w:eastAsia="Calibri" w:hAnsi="Arial" w:cs="Arial"/>
          <w:sz w:val="22"/>
          <w:szCs w:val="22"/>
          <w:lang w:val="es-ES"/>
        </w:rPr>
      </w:pPr>
    </w:p>
    <w:p w14:paraId="620901DE" w14:textId="0E997AD1" w:rsidR="00344490" w:rsidRDefault="00344490" w:rsidP="003C7067">
      <w:pPr>
        <w:rPr>
          <w:rFonts w:ascii="Arial" w:eastAsia="Calibri" w:hAnsi="Arial" w:cs="Arial"/>
          <w:sz w:val="22"/>
          <w:szCs w:val="22"/>
          <w:lang w:val="es-ES"/>
        </w:rPr>
      </w:pPr>
    </w:p>
    <w:p w14:paraId="31095D3F" w14:textId="4F4B1200" w:rsidR="00344490" w:rsidRDefault="00344490" w:rsidP="003C7067">
      <w:pPr>
        <w:rPr>
          <w:rFonts w:ascii="Arial" w:eastAsia="Calibri" w:hAnsi="Arial" w:cs="Arial"/>
          <w:sz w:val="22"/>
          <w:szCs w:val="22"/>
          <w:lang w:val="es-ES"/>
        </w:rPr>
      </w:pPr>
    </w:p>
    <w:p w14:paraId="0DFE7B38" w14:textId="77777777" w:rsidR="00344490" w:rsidRDefault="00344490" w:rsidP="003C7067">
      <w:pPr>
        <w:rPr>
          <w:rFonts w:ascii="Arial" w:eastAsia="Calibri" w:hAnsi="Arial" w:cs="Arial"/>
          <w:sz w:val="22"/>
          <w:szCs w:val="22"/>
          <w:lang w:val="es-ES"/>
        </w:rPr>
      </w:pPr>
    </w:p>
    <w:p w14:paraId="3ACCD2F6" w14:textId="77777777" w:rsidR="0061018B" w:rsidRDefault="0061018B" w:rsidP="003C7067">
      <w:pPr>
        <w:rPr>
          <w:rFonts w:ascii="Arial" w:eastAsia="Calibri" w:hAnsi="Arial" w:cs="Arial"/>
          <w:sz w:val="22"/>
          <w:szCs w:val="22"/>
          <w:lang w:val="es-ES"/>
        </w:rPr>
      </w:pPr>
    </w:p>
    <w:p w14:paraId="6E28DBE8" w14:textId="77777777" w:rsidR="008E5E11" w:rsidRDefault="008E5E11" w:rsidP="003C7067">
      <w:pPr>
        <w:rPr>
          <w:rFonts w:ascii="Arial" w:eastAsia="Calibri" w:hAnsi="Arial" w:cs="Arial"/>
          <w:sz w:val="22"/>
          <w:szCs w:val="22"/>
          <w:lang w:val="es-ES"/>
        </w:rPr>
      </w:pPr>
    </w:p>
    <w:p w14:paraId="3A29E48E" w14:textId="54BE40BE" w:rsidR="008E5E11" w:rsidRPr="008E5E11" w:rsidRDefault="008E5E11" w:rsidP="008E5E11">
      <w:pPr>
        <w:jc w:val="right"/>
      </w:pPr>
      <w:r w:rsidRPr="008E5E11">
        <w:lastRenderedPageBreak/>
        <w:fldChar w:fldCharType="begin"/>
      </w:r>
      <w:r w:rsidRPr="008E5E11">
        <w:instrText xml:space="preserve"> INCLUDEPICTURE "/var/folders/tb/0fmk9b510f57pz5rwhv8lnpw0000gp/T/com.microsoft.Word/WebArchiveCopyPasteTempFiles/page1image2278350208" \* MERGEFORMATINET </w:instrText>
      </w:r>
      <w:r w:rsidRPr="008E5E11">
        <w:fldChar w:fldCharType="separate"/>
      </w:r>
      <w:r w:rsidRPr="008E5E11">
        <w:rPr>
          <w:noProof/>
        </w:rPr>
        <w:drawing>
          <wp:inline distT="0" distB="0" distL="0" distR="0" wp14:anchorId="3BC61BEB" wp14:editId="4A23A6AE">
            <wp:extent cx="2405380" cy="606425"/>
            <wp:effectExtent l="0" t="0" r="0" b="3175"/>
            <wp:docPr id="2" name="Imagen 2" descr="page1image22783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783502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5380" cy="606425"/>
                    </a:xfrm>
                    <a:prstGeom prst="rect">
                      <a:avLst/>
                    </a:prstGeom>
                    <a:noFill/>
                    <a:ln>
                      <a:noFill/>
                    </a:ln>
                  </pic:spPr>
                </pic:pic>
              </a:graphicData>
            </a:graphic>
          </wp:inline>
        </w:drawing>
      </w:r>
      <w:r w:rsidRPr="008E5E11">
        <w:fldChar w:fldCharType="end"/>
      </w:r>
    </w:p>
    <w:p w14:paraId="1D0A282E" w14:textId="77777777" w:rsidR="008E5E11" w:rsidRDefault="008E5E11" w:rsidP="003C7067">
      <w:pPr>
        <w:rPr>
          <w:rFonts w:ascii="Arial" w:eastAsia="Calibri" w:hAnsi="Arial" w:cs="Arial"/>
          <w:sz w:val="22"/>
          <w:szCs w:val="22"/>
          <w:lang w:val="es-ES"/>
        </w:rPr>
      </w:pPr>
    </w:p>
    <w:p w14:paraId="2EB81414" w14:textId="30894433" w:rsidR="003C7067" w:rsidRPr="00C00312" w:rsidRDefault="003C7067" w:rsidP="003C7067">
      <w:pPr>
        <w:rPr>
          <w:rFonts w:ascii="Arial" w:eastAsia="Calibri" w:hAnsi="Arial" w:cs="Arial"/>
          <w:sz w:val="22"/>
          <w:szCs w:val="22"/>
          <w:lang w:val="es-ES"/>
        </w:rPr>
      </w:pPr>
      <w:r w:rsidRPr="00C00312">
        <w:rPr>
          <w:rFonts w:ascii="Arial" w:eastAsia="Calibri" w:hAnsi="Arial" w:cs="Arial"/>
          <w:sz w:val="22"/>
          <w:szCs w:val="22"/>
          <w:lang w:val="es-ES"/>
        </w:rPr>
        <w:t>Señor</w:t>
      </w:r>
    </w:p>
    <w:p w14:paraId="10837C8F" w14:textId="34BDC7D1" w:rsidR="003C7067" w:rsidRDefault="00F50819" w:rsidP="003C7067">
      <w:pPr>
        <w:rPr>
          <w:rFonts w:ascii="Arial" w:eastAsia="Calibri" w:hAnsi="Arial" w:cs="Arial"/>
          <w:b/>
          <w:sz w:val="22"/>
          <w:szCs w:val="22"/>
          <w:lang w:val="es-ES"/>
        </w:rPr>
      </w:pPr>
      <w:r>
        <w:rPr>
          <w:rFonts w:ascii="Arial" w:eastAsia="Calibri" w:hAnsi="Arial" w:cs="Arial"/>
          <w:b/>
          <w:sz w:val="22"/>
          <w:szCs w:val="22"/>
          <w:lang w:val="es-ES"/>
        </w:rPr>
        <w:t>Peticionario</w:t>
      </w:r>
    </w:p>
    <w:p w14:paraId="20D3E4A0" w14:textId="28B14924" w:rsidR="002C56DB" w:rsidRDefault="002C56DB" w:rsidP="003C7067">
      <w:pPr>
        <w:rPr>
          <w:rFonts w:ascii="Arial" w:eastAsia="Calibri" w:hAnsi="Arial" w:cs="Arial"/>
          <w:b/>
          <w:sz w:val="22"/>
          <w:szCs w:val="22"/>
          <w:lang w:val="es-ES"/>
        </w:rPr>
      </w:pPr>
    </w:p>
    <w:p w14:paraId="1F4E36CB" w14:textId="6ACA85EB" w:rsidR="003C7067" w:rsidRDefault="003C7067" w:rsidP="003C7067">
      <w:pPr>
        <w:rPr>
          <w:rFonts w:ascii="Arial" w:eastAsia="Calibri" w:hAnsi="Arial" w:cs="Arial"/>
          <w:b/>
          <w:sz w:val="22"/>
          <w:szCs w:val="22"/>
          <w:lang w:val="es-ES"/>
        </w:rPr>
      </w:pPr>
      <w:r w:rsidRPr="00C00312">
        <w:rPr>
          <w:rFonts w:ascii="Arial" w:eastAsia="Calibri" w:hAnsi="Arial" w:cs="Arial"/>
          <w:b/>
          <w:sz w:val="22"/>
          <w:szCs w:val="22"/>
          <w:lang w:val="es-ES"/>
        </w:rPr>
        <w:t xml:space="preserve">                                            Concepto C –</w:t>
      </w:r>
      <w:r w:rsidR="00741EE1">
        <w:rPr>
          <w:rFonts w:ascii="Arial" w:eastAsia="Calibri" w:hAnsi="Arial" w:cs="Arial"/>
          <w:b/>
          <w:sz w:val="22"/>
          <w:szCs w:val="22"/>
          <w:lang w:val="es-ES"/>
        </w:rPr>
        <w:t xml:space="preserve"> 679 </w:t>
      </w:r>
      <w:r w:rsidRPr="00C00312">
        <w:rPr>
          <w:rFonts w:ascii="Arial" w:eastAsia="Calibri" w:hAnsi="Arial" w:cs="Arial"/>
          <w:b/>
          <w:sz w:val="22"/>
          <w:szCs w:val="22"/>
          <w:lang w:val="es-ES"/>
        </w:rPr>
        <w:t xml:space="preserve">de 2021 </w:t>
      </w:r>
    </w:p>
    <w:p w14:paraId="1698D01B" w14:textId="77777777" w:rsidR="003C7067" w:rsidRPr="00C00312"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C00312" w14:paraId="7C1768E2" w14:textId="77777777" w:rsidTr="00C96E18">
        <w:trPr>
          <w:trHeight w:val="735"/>
        </w:trPr>
        <w:tc>
          <w:tcPr>
            <w:tcW w:w="2689" w:type="dxa"/>
          </w:tcPr>
          <w:p w14:paraId="7F7464C9"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Temas:</w:t>
            </w:r>
            <w:r w:rsidRPr="00C00312">
              <w:rPr>
                <w:rFonts w:ascii="Arial" w:eastAsia="Calibri" w:hAnsi="Arial" w:cs="Arial"/>
                <w:lang w:val="es-ES"/>
              </w:rPr>
              <w:t xml:space="preserve">                                      </w:t>
            </w:r>
          </w:p>
        </w:tc>
        <w:tc>
          <w:tcPr>
            <w:tcW w:w="6237" w:type="dxa"/>
          </w:tcPr>
          <w:p w14:paraId="68C37369" w14:textId="77777777" w:rsidR="007915CC" w:rsidRDefault="00B41C03" w:rsidP="00F50819">
            <w:pPr>
              <w:jc w:val="both"/>
              <w:rPr>
                <w:rFonts w:ascii="Arial" w:eastAsia="Calibri" w:hAnsi="Arial" w:cs="Arial"/>
                <w:bCs/>
              </w:rPr>
            </w:pPr>
            <w:r w:rsidRPr="00B41C03">
              <w:rPr>
                <w:rFonts w:ascii="Arial" w:eastAsia="Calibri" w:hAnsi="Arial" w:cs="Arial"/>
                <w:bCs/>
              </w:rPr>
              <w:t xml:space="preserve">DOCUMENTOS TIPO </w:t>
            </w:r>
            <w:r w:rsidRPr="00B41C03">
              <w:rPr>
                <w:rFonts w:ascii="Arial" w:eastAsia="Calibri" w:hAnsi="Arial" w:cs="Arial"/>
                <w:bCs/>
              </w:rPr>
              <w:softHyphen/>
              <w:t>– Versión 3 – A</w:t>
            </w:r>
            <w:r w:rsidR="00EA44B1" w:rsidRPr="00EA44B1">
              <w:rPr>
                <w:rFonts w:ascii="Arial" w:eastAsia="Calibri" w:hAnsi="Arial" w:cs="Arial"/>
                <w:bCs/>
              </w:rPr>
              <w:t>ctividades de mejoramiento</w:t>
            </w:r>
            <w:r w:rsidRPr="00B41C03">
              <w:rPr>
                <w:rFonts w:ascii="Arial" w:eastAsia="Calibri" w:hAnsi="Arial" w:cs="Arial"/>
                <w:bCs/>
              </w:rPr>
              <w:t xml:space="preserve"> </w:t>
            </w:r>
            <w:r w:rsidR="00EA44B1">
              <w:rPr>
                <w:rFonts w:ascii="Arial" w:eastAsia="Calibri" w:hAnsi="Arial" w:cs="Arial"/>
                <w:bCs/>
              </w:rPr>
              <w:t xml:space="preserve">/ </w:t>
            </w:r>
            <w:r w:rsidR="003A4E31" w:rsidRPr="003A4E31">
              <w:rPr>
                <w:rFonts w:ascii="Arial" w:eastAsia="Calibri" w:hAnsi="Arial" w:cs="Arial"/>
                <w:bCs/>
              </w:rPr>
              <w:t xml:space="preserve">OBRAS DE INFRAESTRUCTURA – Actividades de mejoramiento </w:t>
            </w:r>
            <w:r w:rsidR="0015002D">
              <w:rPr>
                <w:rFonts w:ascii="Arial" w:eastAsia="Calibri" w:hAnsi="Arial" w:cs="Arial"/>
                <w:bCs/>
              </w:rPr>
              <w:t xml:space="preserve">/ </w:t>
            </w:r>
            <w:r w:rsidR="00702A9E">
              <w:rPr>
                <w:rFonts w:ascii="Arial" w:eastAsia="Calibri" w:hAnsi="Arial" w:cs="Arial"/>
                <w:bCs/>
              </w:rPr>
              <w:t>BOX CULVERT – concepto</w:t>
            </w:r>
            <w:r w:rsidR="0015002D">
              <w:rPr>
                <w:rFonts w:ascii="Arial" w:eastAsia="Calibri" w:hAnsi="Arial" w:cs="Arial"/>
                <w:bCs/>
              </w:rPr>
              <w:t xml:space="preserve"> </w:t>
            </w:r>
          </w:p>
          <w:p w14:paraId="2F4B7014" w14:textId="22E93C85" w:rsidR="00D6418E" w:rsidRPr="00F50819" w:rsidRDefault="00D6418E" w:rsidP="00F50819">
            <w:pPr>
              <w:jc w:val="both"/>
              <w:rPr>
                <w:rFonts w:ascii="Arial" w:hAnsi="Arial" w:cs="Arial"/>
                <w:bCs/>
                <w:sz w:val="20"/>
                <w:szCs w:val="20"/>
              </w:rPr>
            </w:pPr>
          </w:p>
        </w:tc>
      </w:tr>
      <w:tr w:rsidR="003C7067" w:rsidRPr="00C00312" w14:paraId="60D249F0" w14:textId="77777777" w:rsidTr="00406F4B">
        <w:tc>
          <w:tcPr>
            <w:tcW w:w="2689" w:type="dxa"/>
          </w:tcPr>
          <w:p w14:paraId="291F9A18" w14:textId="768E00AF" w:rsidR="003C7067" w:rsidRPr="00C00312" w:rsidRDefault="0094584C" w:rsidP="00406F4B">
            <w:pPr>
              <w:rPr>
                <w:rFonts w:ascii="Arial" w:eastAsia="Calibri" w:hAnsi="Arial" w:cs="Arial"/>
                <w:lang w:val="es-ES"/>
              </w:rPr>
            </w:pPr>
            <w:r>
              <w:rPr>
                <w:rFonts w:ascii="Arial" w:eastAsia="Calibri" w:hAnsi="Arial" w:cs="Arial"/>
                <w:b/>
                <w:lang w:val="es-ES"/>
              </w:rPr>
              <w:t xml:space="preserve">  </w:t>
            </w:r>
            <w:r w:rsidR="003C7067" w:rsidRPr="00C00312">
              <w:rPr>
                <w:rFonts w:ascii="Arial" w:eastAsia="Calibri" w:hAnsi="Arial" w:cs="Arial"/>
                <w:b/>
                <w:lang w:val="es-ES"/>
              </w:rPr>
              <w:t>Radicación:</w:t>
            </w:r>
            <w:r w:rsidR="003C7067" w:rsidRPr="00C00312">
              <w:rPr>
                <w:rFonts w:ascii="Arial" w:eastAsia="Calibri" w:hAnsi="Arial" w:cs="Arial"/>
                <w:lang w:val="es-ES"/>
              </w:rPr>
              <w:t xml:space="preserve">                              </w:t>
            </w:r>
          </w:p>
        </w:tc>
        <w:tc>
          <w:tcPr>
            <w:tcW w:w="6237" w:type="dxa"/>
          </w:tcPr>
          <w:p w14:paraId="3C674517" w14:textId="5A4D9824" w:rsidR="003C7067" w:rsidRPr="00C00312" w:rsidRDefault="003C7067" w:rsidP="00406F4B">
            <w:pPr>
              <w:rPr>
                <w:rFonts w:ascii="Arial" w:eastAsia="Calibri" w:hAnsi="Arial" w:cs="Arial"/>
                <w:lang w:val="es-ES"/>
              </w:rPr>
            </w:pPr>
            <w:r w:rsidRPr="00C00312">
              <w:rPr>
                <w:rFonts w:ascii="Arial" w:eastAsia="Calibri" w:hAnsi="Arial" w:cs="Arial"/>
                <w:lang w:val="es-ES"/>
              </w:rPr>
              <w:t xml:space="preserve">Respuesta a consulta </w:t>
            </w:r>
            <w:r w:rsidR="00741EE1" w:rsidRPr="008B2DD4">
              <w:rPr>
                <w:rFonts w:ascii="Arial" w:hAnsi="Arial" w:cs="Arial"/>
                <w:lang w:val="es-ES"/>
              </w:rPr>
              <w:t>P20211204011250</w:t>
            </w:r>
          </w:p>
        </w:tc>
      </w:tr>
    </w:tbl>
    <w:p w14:paraId="7E6B5A12" w14:textId="77777777" w:rsidR="003C7067" w:rsidRPr="00C00312" w:rsidRDefault="003C7067" w:rsidP="003C7067">
      <w:pPr>
        <w:spacing w:line="276" w:lineRule="auto"/>
        <w:rPr>
          <w:rFonts w:ascii="Arial" w:eastAsia="Calibri" w:hAnsi="Arial" w:cs="Arial"/>
          <w:sz w:val="22"/>
          <w:szCs w:val="22"/>
          <w:lang w:val="es-ES"/>
        </w:rPr>
      </w:pPr>
    </w:p>
    <w:p w14:paraId="776B553A" w14:textId="77777777" w:rsidR="003C7067" w:rsidRPr="00C00312" w:rsidRDefault="003C7067" w:rsidP="003C7067">
      <w:pPr>
        <w:spacing w:line="276" w:lineRule="auto"/>
        <w:rPr>
          <w:rFonts w:ascii="Arial" w:eastAsia="Calibri" w:hAnsi="Arial" w:cs="Arial"/>
          <w:sz w:val="22"/>
          <w:szCs w:val="22"/>
          <w:lang w:val="es-ES"/>
        </w:rPr>
      </w:pPr>
    </w:p>
    <w:p w14:paraId="6BB19977" w14:textId="585AB770" w:rsidR="003C7067" w:rsidRPr="00C00312" w:rsidRDefault="0094584C" w:rsidP="003C7067">
      <w:pPr>
        <w:tabs>
          <w:tab w:val="left" w:pos="3736"/>
        </w:tabs>
        <w:spacing w:line="276" w:lineRule="auto"/>
        <w:rPr>
          <w:rFonts w:ascii="Arial" w:eastAsia="Calibri" w:hAnsi="Arial" w:cs="Arial"/>
          <w:sz w:val="22"/>
          <w:szCs w:val="22"/>
          <w:lang w:val="es-ES"/>
        </w:rPr>
      </w:pPr>
      <w:r w:rsidRPr="00C00312">
        <w:rPr>
          <w:rFonts w:ascii="Arial" w:eastAsia="Calibri" w:hAnsi="Arial" w:cs="Arial"/>
          <w:sz w:val="22"/>
          <w:szCs w:val="22"/>
          <w:lang w:val="es-ES"/>
        </w:rPr>
        <w:t>Estimado señor</w:t>
      </w:r>
      <w:r w:rsidR="003C7067" w:rsidRPr="00C00312">
        <w:rPr>
          <w:rFonts w:ascii="Arial" w:eastAsia="Calibri" w:hAnsi="Arial" w:cs="Arial"/>
          <w:sz w:val="22"/>
          <w:szCs w:val="22"/>
          <w:lang w:val="es-ES"/>
        </w:rPr>
        <w:t>:</w:t>
      </w:r>
      <w:r w:rsidR="003C7067" w:rsidRPr="00C00312">
        <w:rPr>
          <w:rFonts w:ascii="Arial" w:eastAsia="Calibri" w:hAnsi="Arial" w:cs="Arial"/>
          <w:sz w:val="22"/>
          <w:szCs w:val="22"/>
          <w:lang w:val="es-ES"/>
        </w:rPr>
        <w:tab/>
      </w:r>
    </w:p>
    <w:p w14:paraId="17594CC4" w14:textId="77777777" w:rsidR="003C7067" w:rsidRPr="00C00312" w:rsidRDefault="003C7067" w:rsidP="003C7067">
      <w:pPr>
        <w:spacing w:line="276" w:lineRule="auto"/>
        <w:rPr>
          <w:rFonts w:ascii="Arial" w:eastAsia="Calibri" w:hAnsi="Arial" w:cs="Arial"/>
          <w:sz w:val="22"/>
          <w:szCs w:val="22"/>
          <w:lang w:val="es-ES"/>
        </w:rPr>
      </w:pPr>
    </w:p>
    <w:p w14:paraId="57E2A948" w14:textId="514D2F90"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La Agencia Nacional de Contratación Pública – Colombia Compra Eficiente responde su consulta del </w:t>
      </w:r>
      <w:r w:rsidR="00741EE1">
        <w:rPr>
          <w:rFonts w:ascii="Arial" w:eastAsia="Calibri" w:hAnsi="Arial" w:cs="Arial"/>
          <w:sz w:val="22"/>
          <w:szCs w:val="22"/>
          <w:lang w:val="es-ES"/>
        </w:rPr>
        <w:t>4</w:t>
      </w:r>
      <w:r w:rsidR="00741EE1" w:rsidRPr="00C00312">
        <w:rPr>
          <w:rFonts w:ascii="Arial" w:eastAsia="Calibri" w:hAnsi="Arial" w:cs="Arial"/>
          <w:sz w:val="22"/>
          <w:szCs w:val="22"/>
          <w:lang w:val="es-ES"/>
        </w:rPr>
        <w:t xml:space="preserve"> </w:t>
      </w:r>
      <w:r w:rsidRPr="00C00312">
        <w:rPr>
          <w:rFonts w:ascii="Arial" w:eastAsia="Calibri" w:hAnsi="Arial" w:cs="Arial"/>
          <w:sz w:val="22"/>
          <w:szCs w:val="22"/>
          <w:lang w:val="es-ES"/>
        </w:rPr>
        <w:t>de</w:t>
      </w:r>
      <w:r w:rsidR="001F772D">
        <w:rPr>
          <w:rFonts w:ascii="Arial" w:eastAsia="Calibri" w:hAnsi="Arial" w:cs="Arial"/>
          <w:sz w:val="22"/>
          <w:szCs w:val="22"/>
          <w:lang w:val="es-ES"/>
        </w:rPr>
        <w:t xml:space="preserve"> diciembre</w:t>
      </w:r>
      <w:r w:rsidRPr="00C00312">
        <w:rPr>
          <w:rFonts w:ascii="Arial" w:eastAsia="Calibri" w:hAnsi="Arial" w:cs="Arial"/>
          <w:sz w:val="22"/>
          <w:szCs w:val="22"/>
          <w:lang w:val="es-ES"/>
        </w:rPr>
        <w:t xml:space="preserve"> de 2021, en ejercicio de la competencia otorgada por el numeral 8 del artículo 11 y el numeral 5 del artículo 3 del Decreto Ley 4170 de 2011. </w:t>
      </w:r>
    </w:p>
    <w:p w14:paraId="2D852432" w14:textId="77777777" w:rsidR="003C7067" w:rsidRPr="00C00312" w:rsidRDefault="003C7067" w:rsidP="003C7067">
      <w:pPr>
        <w:pStyle w:val="Prrafodelista"/>
        <w:spacing w:line="276" w:lineRule="auto"/>
        <w:ind w:left="0"/>
        <w:rPr>
          <w:rFonts w:ascii="Arial" w:eastAsia="Calibri" w:hAnsi="Arial" w:cs="Arial"/>
          <w:sz w:val="22"/>
          <w:lang w:val="es-ES"/>
        </w:rPr>
      </w:pPr>
    </w:p>
    <w:p w14:paraId="67CA615C" w14:textId="77777777" w:rsidR="003C7067" w:rsidRPr="00C00312" w:rsidRDefault="003C7067" w:rsidP="003C7067">
      <w:pPr>
        <w:tabs>
          <w:tab w:val="left" w:pos="0"/>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1. Problema planteado</w:t>
      </w:r>
    </w:p>
    <w:p w14:paraId="5A060666" w14:textId="77777777" w:rsidR="003C7067" w:rsidRPr="00C00312" w:rsidRDefault="003C7067" w:rsidP="003C7067">
      <w:pPr>
        <w:rPr>
          <w:rFonts w:ascii="Arial" w:eastAsia="Calibri" w:hAnsi="Arial" w:cs="Arial"/>
          <w:sz w:val="22"/>
          <w:szCs w:val="22"/>
          <w:lang w:val="es-ES"/>
        </w:rPr>
      </w:pPr>
    </w:p>
    <w:p w14:paraId="061C407B" w14:textId="52D38C46" w:rsidR="00741EE1"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Usted realiza la siguiente pregunta: </w:t>
      </w:r>
    </w:p>
    <w:p w14:paraId="3E00A2D4" w14:textId="77777777" w:rsidR="003C7067" w:rsidRPr="00C00312" w:rsidRDefault="003C7067" w:rsidP="003C7067">
      <w:pPr>
        <w:spacing w:line="276" w:lineRule="auto"/>
        <w:jc w:val="both"/>
        <w:rPr>
          <w:rFonts w:ascii="Arial" w:eastAsia="Calibri" w:hAnsi="Arial" w:cs="Arial"/>
          <w:sz w:val="22"/>
          <w:szCs w:val="22"/>
          <w:lang w:val="es-ES"/>
        </w:rPr>
      </w:pPr>
    </w:p>
    <w:p w14:paraId="2C4B2B60" w14:textId="23C381C9" w:rsidR="003C7067" w:rsidRDefault="003C7067" w:rsidP="00741EE1">
      <w:pPr>
        <w:pStyle w:val="NormalWeb"/>
        <w:spacing w:before="0" w:beforeAutospacing="0" w:after="0" w:afterAutospacing="0"/>
        <w:ind w:left="709" w:right="709"/>
        <w:jc w:val="both"/>
        <w:rPr>
          <w:rFonts w:ascii="Arial" w:hAnsi="Arial" w:cs="Arial"/>
          <w:sz w:val="22"/>
          <w:szCs w:val="22"/>
        </w:rPr>
      </w:pPr>
      <w:r w:rsidRPr="00B41C03">
        <w:rPr>
          <w:rFonts w:ascii="Arial" w:eastAsia="Calibri" w:hAnsi="Arial" w:cs="Arial"/>
          <w:sz w:val="22"/>
          <w:szCs w:val="22"/>
          <w:lang w:val="es-ES"/>
        </w:rPr>
        <w:t>«</w:t>
      </w:r>
      <w:r w:rsidR="00741EE1" w:rsidRPr="00741EE1">
        <w:rPr>
          <w:rFonts w:ascii="Arial" w:hAnsi="Arial" w:cs="Arial"/>
          <w:sz w:val="22"/>
          <w:szCs w:val="22"/>
        </w:rPr>
        <w:t xml:space="preserve">La construcción de </w:t>
      </w:r>
      <w:r w:rsidR="00741EE1" w:rsidRPr="00872CC7">
        <w:rPr>
          <w:rFonts w:ascii="Arial" w:hAnsi="Arial" w:cs="Arial"/>
          <w:sz w:val="22"/>
          <w:szCs w:val="22"/>
        </w:rPr>
        <w:t xml:space="preserve">box </w:t>
      </w:r>
      <w:proofErr w:type="spellStart"/>
      <w:r w:rsidR="00741EE1" w:rsidRPr="00872CC7">
        <w:rPr>
          <w:rFonts w:ascii="Arial" w:hAnsi="Arial" w:cs="Arial"/>
          <w:sz w:val="22"/>
          <w:szCs w:val="22"/>
        </w:rPr>
        <w:t>coulvert</w:t>
      </w:r>
      <w:proofErr w:type="spellEnd"/>
      <w:r w:rsidR="00872CC7">
        <w:rPr>
          <w:rFonts w:ascii="Arial" w:hAnsi="Arial" w:cs="Arial"/>
          <w:sz w:val="22"/>
          <w:szCs w:val="22"/>
        </w:rPr>
        <w:t xml:space="preserve"> (sic)</w:t>
      </w:r>
      <w:r w:rsidR="00741EE1" w:rsidRPr="00741EE1">
        <w:rPr>
          <w:rFonts w:ascii="Arial" w:hAnsi="Arial" w:cs="Arial"/>
          <w:sz w:val="22"/>
          <w:szCs w:val="22"/>
        </w:rPr>
        <w:t xml:space="preserve"> (Alcantarillas de </w:t>
      </w:r>
      <w:r w:rsidR="004D4E4E" w:rsidRPr="00741EE1">
        <w:rPr>
          <w:rFonts w:ascii="Arial" w:hAnsi="Arial" w:cs="Arial"/>
          <w:sz w:val="22"/>
          <w:szCs w:val="22"/>
        </w:rPr>
        <w:t>cajón</w:t>
      </w:r>
      <w:r w:rsidR="00741EE1" w:rsidRPr="00741EE1">
        <w:rPr>
          <w:rFonts w:ascii="Arial" w:hAnsi="Arial" w:cs="Arial"/>
          <w:sz w:val="22"/>
          <w:szCs w:val="22"/>
        </w:rPr>
        <w:t xml:space="preserve">) en </w:t>
      </w:r>
      <w:r w:rsidR="004D4E4E" w:rsidRPr="00741EE1">
        <w:rPr>
          <w:rFonts w:ascii="Arial" w:hAnsi="Arial" w:cs="Arial"/>
          <w:sz w:val="22"/>
          <w:szCs w:val="22"/>
        </w:rPr>
        <w:t>vías</w:t>
      </w:r>
      <w:r w:rsidR="00741EE1" w:rsidRPr="00741EE1">
        <w:rPr>
          <w:rFonts w:ascii="Arial" w:hAnsi="Arial" w:cs="Arial"/>
          <w:sz w:val="22"/>
          <w:szCs w:val="22"/>
        </w:rPr>
        <w:t xml:space="preserve"> terciarias puede servir como requisito de experiencia cuando las entidades exigen como experiencia: 2 obras en vías terciarias 2.2 Mejoramiento en vías terciarias</w:t>
      </w:r>
      <w:r w:rsidR="001F772D" w:rsidRPr="00B41C03">
        <w:rPr>
          <w:rFonts w:ascii="Arial" w:hAnsi="Arial" w:cs="Arial"/>
          <w:sz w:val="22"/>
          <w:szCs w:val="22"/>
        </w:rPr>
        <w:t>?</w:t>
      </w:r>
      <w:r w:rsidR="001F772D" w:rsidRPr="00B41C03">
        <w:rPr>
          <w:rFonts w:ascii="Arial" w:hAnsi="Arial" w:cs="Arial"/>
          <w:sz w:val="22"/>
          <w:szCs w:val="22"/>
          <w:lang w:val="es-ES"/>
        </w:rPr>
        <w:t>»</w:t>
      </w:r>
      <w:r w:rsidR="001F772D" w:rsidRPr="00B41C03">
        <w:rPr>
          <w:rFonts w:ascii="Arial" w:hAnsi="Arial" w:cs="Arial"/>
          <w:sz w:val="22"/>
          <w:szCs w:val="22"/>
        </w:rPr>
        <w:t xml:space="preserve"> </w:t>
      </w:r>
    </w:p>
    <w:p w14:paraId="1BD49DE7" w14:textId="77777777" w:rsidR="00741EE1" w:rsidRPr="00741EE1" w:rsidRDefault="00741EE1" w:rsidP="00B41C03">
      <w:pPr>
        <w:pStyle w:val="NormalWeb"/>
        <w:spacing w:before="0" w:beforeAutospacing="0" w:after="0" w:afterAutospacing="0"/>
        <w:ind w:left="709" w:right="709"/>
        <w:jc w:val="both"/>
        <w:rPr>
          <w:rFonts w:ascii="Arial" w:eastAsia="Calibri" w:hAnsi="Arial" w:cs="Arial"/>
          <w:b/>
          <w:sz w:val="22"/>
          <w:szCs w:val="22"/>
          <w:lang w:val="es-ES"/>
        </w:rPr>
      </w:pPr>
    </w:p>
    <w:p w14:paraId="5914F486" w14:textId="52BDEE55" w:rsidR="003C7067" w:rsidRDefault="003C7067" w:rsidP="003C7067">
      <w:pPr>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2. Consideraciones</w:t>
      </w:r>
    </w:p>
    <w:p w14:paraId="5B6D1928" w14:textId="77777777" w:rsidR="00F17C3F" w:rsidRPr="00C00312" w:rsidRDefault="00F17C3F" w:rsidP="003C7067">
      <w:pPr>
        <w:spacing w:line="276" w:lineRule="auto"/>
        <w:jc w:val="both"/>
        <w:rPr>
          <w:rFonts w:ascii="Arial" w:eastAsia="Calibri" w:hAnsi="Arial" w:cs="Arial"/>
          <w:b/>
          <w:sz w:val="22"/>
          <w:szCs w:val="22"/>
          <w:lang w:val="es-ES"/>
        </w:rPr>
      </w:pPr>
    </w:p>
    <w:p w14:paraId="234D639A" w14:textId="70811C9D" w:rsidR="00F50819" w:rsidRDefault="00F50819" w:rsidP="003E582E">
      <w:pPr>
        <w:tabs>
          <w:tab w:val="left" w:pos="426"/>
        </w:tabs>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primer lugar</w:t>
      </w:r>
      <w:r w:rsidR="004B3476" w:rsidRPr="00C0031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es pertinente </w:t>
      </w:r>
      <w:r w:rsidR="004B3476" w:rsidRPr="00C00312">
        <w:rPr>
          <w:rFonts w:ascii="Arial" w:eastAsia="Calibri" w:hAnsi="Arial" w:cs="Arial"/>
          <w:color w:val="000000" w:themeColor="text1"/>
          <w:sz w:val="22"/>
          <w:szCs w:val="22"/>
          <w:lang w:val="es-ES_tradnl"/>
        </w:rPr>
        <w:t>indicar que la Agencia Nacional de Contratación Pública – Colombia Compra Eficiente</w:t>
      </w:r>
      <w:r>
        <w:rPr>
          <w:rFonts w:ascii="Arial" w:eastAsia="Calibri" w:hAnsi="Arial" w:cs="Arial"/>
          <w:color w:val="000000" w:themeColor="text1"/>
          <w:sz w:val="22"/>
          <w:szCs w:val="22"/>
          <w:lang w:val="es-ES_tradnl"/>
        </w:rPr>
        <w:t xml:space="preserve"> </w:t>
      </w:r>
      <w:r w:rsidRPr="00F50819">
        <w:rPr>
          <w:rFonts w:ascii="Arial" w:eastAsia="Calibri" w:hAnsi="Arial" w:cs="Arial"/>
          <w:color w:val="000000" w:themeColor="text1"/>
          <w:sz w:val="22"/>
          <w:szCs w:val="22"/>
          <w:lang w:val="es-ES_tradnl"/>
        </w:rPr>
        <w:t xml:space="preserve">en </w:t>
      </w:r>
      <w:r w:rsidR="004953FD">
        <w:rPr>
          <w:rFonts w:ascii="Arial" w:eastAsia="Calibri" w:hAnsi="Arial" w:cs="Arial"/>
          <w:color w:val="000000" w:themeColor="text1"/>
          <w:sz w:val="22"/>
          <w:szCs w:val="22"/>
          <w:lang w:val="es-ES_tradnl"/>
        </w:rPr>
        <w:t>los</w:t>
      </w:r>
      <w:r w:rsidR="004953FD" w:rsidRPr="00F50819">
        <w:rPr>
          <w:rFonts w:ascii="Arial" w:eastAsia="Calibri" w:hAnsi="Arial" w:cs="Arial"/>
          <w:color w:val="000000" w:themeColor="text1"/>
          <w:sz w:val="22"/>
          <w:szCs w:val="22"/>
          <w:lang w:val="es-ES_tradnl"/>
        </w:rPr>
        <w:t xml:space="preserve"> </w:t>
      </w:r>
      <w:r w:rsidR="004953FD">
        <w:rPr>
          <w:rFonts w:ascii="Arial" w:eastAsia="Calibri" w:hAnsi="Arial" w:cs="Arial"/>
          <w:color w:val="000000" w:themeColor="text1"/>
          <w:sz w:val="22"/>
          <w:szCs w:val="22"/>
          <w:lang w:val="es-ES_tradnl"/>
        </w:rPr>
        <w:t xml:space="preserve">siguientes </w:t>
      </w:r>
      <w:r w:rsidRPr="00F50819">
        <w:rPr>
          <w:rFonts w:ascii="Arial" w:eastAsia="Calibri" w:hAnsi="Arial" w:cs="Arial"/>
          <w:color w:val="000000" w:themeColor="text1"/>
          <w:sz w:val="22"/>
          <w:szCs w:val="22"/>
          <w:lang w:val="es-ES_tradnl"/>
        </w:rPr>
        <w:t>concepto</w:t>
      </w:r>
      <w:r w:rsidR="004953FD">
        <w:rPr>
          <w:rFonts w:ascii="Arial" w:eastAsia="Calibri" w:hAnsi="Arial" w:cs="Arial"/>
          <w:color w:val="000000" w:themeColor="text1"/>
          <w:sz w:val="22"/>
          <w:szCs w:val="22"/>
          <w:lang w:val="es-ES_tradnl"/>
        </w:rPr>
        <w:t>s</w:t>
      </w:r>
      <w:r w:rsidRPr="00F50819">
        <w:rPr>
          <w:rFonts w:ascii="Arial" w:eastAsia="Calibri" w:hAnsi="Arial" w:cs="Arial"/>
          <w:color w:val="000000" w:themeColor="text1"/>
          <w:sz w:val="22"/>
          <w:szCs w:val="22"/>
          <w:lang w:val="es-ES_tradnl"/>
        </w:rPr>
        <w:t xml:space="preserve"> </w:t>
      </w:r>
      <w:r w:rsidR="004953FD" w:rsidRPr="00F50819">
        <w:rPr>
          <w:rFonts w:ascii="Arial" w:eastAsia="Calibri" w:hAnsi="Arial" w:cs="Arial"/>
          <w:color w:val="000000" w:themeColor="text1"/>
          <w:sz w:val="22"/>
          <w:szCs w:val="22"/>
          <w:lang w:val="es-ES_tradnl"/>
        </w:rPr>
        <w:t>se pronunció sobre la definición y el alcance de los documentos tipo y la solicitud de experiencia</w:t>
      </w:r>
      <w:r w:rsidR="004953FD">
        <w:rPr>
          <w:rFonts w:ascii="Arial" w:eastAsia="Calibri" w:hAnsi="Arial" w:cs="Arial"/>
          <w:color w:val="000000" w:themeColor="text1"/>
          <w:sz w:val="22"/>
          <w:szCs w:val="22"/>
          <w:lang w:val="es-ES_tradnl"/>
        </w:rPr>
        <w:t>:</w:t>
      </w:r>
      <w:r w:rsidR="004953FD" w:rsidRPr="00F50819">
        <w:rPr>
          <w:rFonts w:ascii="Arial" w:eastAsia="Calibri" w:hAnsi="Arial" w:cs="Arial"/>
          <w:color w:val="000000" w:themeColor="text1"/>
          <w:sz w:val="22"/>
          <w:szCs w:val="22"/>
          <w:lang w:val="es-ES_tradnl"/>
        </w:rPr>
        <w:t xml:space="preserve"> </w:t>
      </w:r>
      <w:r w:rsidRPr="00F50819">
        <w:rPr>
          <w:rFonts w:ascii="Arial" w:eastAsia="Calibri" w:hAnsi="Arial" w:cs="Arial"/>
          <w:color w:val="000000" w:themeColor="text1"/>
          <w:sz w:val="22"/>
          <w:szCs w:val="22"/>
          <w:lang w:val="es-ES_tradnl"/>
        </w:rPr>
        <w:t xml:space="preserve">radicado No. 4201912000004855 del 13 de agosto de 2019, reiterado y desarrollado en los conceptos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w:t>
      </w:r>
      <w:r w:rsidRPr="00F50819">
        <w:rPr>
          <w:rFonts w:ascii="Arial" w:eastAsia="Calibri" w:hAnsi="Arial" w:cs="Arial"/>
          <w:color w:val="000000" w:themeColor="text1"/>
          <w:sz w:val="22"/>
          <w:szCs w:val="22"/>
          <w:lang w:val="es-ES_tradnl"/>
        </w:rPr>
        <w:lastRenderedPageBreak/>
        <w:t>diciembre de 2019, 4201912000007465 del 13 de diciembre de 2019, 4201912000007755 y 4201912000007931 del 20 de diciembre de 2019, 4201912000008017 del 26 de diciembre de 2019, 4201912000008465 del 8 de enero de 2020, C-133 del 30 de marzo de 2020, C-144 del 2 de marzo de 2020, C-143 del 18 de marzo de 2020, C-286 del 26 de mayo de 2020, C-450 del 3 de agosto de 2020, C-596 del 8 de septiembre de 2020, C-643 del 26 de octubre de 2020, C-773 del 14 de enero de 2021, C-789 del 19 de enero de 2021, C-033 del 1 de marzo de 2021, C-064 del 8 de marzo de 2021, C-142 del 7 de abril de 2021, C-157 del 13 de abril del 2021, C-186 del 19 de abril de 2021, C-244 del 4 de mayo de 2021, C-224 del 20 de mayo de 2020, C-233 del 24 de mayo de 2021, C-251 del 2 de junio de 2021, C-273 del 11 de junio de 2021 y C-541 del 27 de septiembre de 2021. Adicionalmente, en el concepto C-152 de 12 de abril de 2021 se estudi</w:t>
      </w:r>
      <w:r>
        <w:rPr>
          <w:rFonts w:ascii="Arial" w:eastAsia="Calibri" w:hAnsi="Arial" w:cs="Arial"/>
          <w:color w:val="000000" w:themeColor="text1"/>
          <w:sz w:val="22"/>
          <w:szCs w:val="22"/>
          <w:lang w:val="es-ES_tradnl"/>
        </w:rPr>
        <w:t>ó</w:t>
      </w:r>
      <w:r w:rsidRPr="00F50819">
        <w:rPr>
          <w:rFonts w:ascii="Arial" w:eastAsia="Calibri" w:hAnsi="Arial" w:cs="Arial"/>
          <w:color w:val="000000" w:themeColor="text1"/>
          <w:sz w:val="22"/>
          <w:szCs w:val="22"/>
          <w:lang w:val="es-ES_tradnl"/>
        </w:rPr>
        <w:t xml:space="preserve"> la interpretación contextual que debe realizarse de la Ley de infraestructura y los decretos que la desarrollan, junto con los documentos tipo en su última versión. Las tesis propuestas se desarrollan </w:t>
      </w:r>
      <w:r>
        <w:rPr>
          <w:rFonts w:ascii="Arial" w:eastAsia="Calibri" w:hAnsi="Arial" w:cs="Arial"/>
          <w:color w:val="000000" w:themeColor="text1"/>
          <w:sz w:val="22"/>
          <w:szCs w:val="22"/>
          <w:lang w:val="es-ES_tradnl"/>
        </w:rPr>
        <w:t xml:space="preserve">y reiteran </w:t>
      </w:r>
      <w:r w:rsidRPr="00F50819">
        <w:rPr>
          <w:rFonts w:ascii="Arial" w:eastAsia="Calibri" w:hAnsi="Arial" w:cs="Arial"/>
          <w:color w:val="000000" w:themeColor="text1"/>
          <w:sz w:val="22"/>
          <w:szCs w:val="22"/>
          <w:lang w:val="es-ES_tradnl"/>
        </w:rPr>
        <w:t>a continuación.</w:t>
      </w:r>
    </w:p>
    <w:p w14:paraId="78E1D3FA" w14:textId="1AB6171A" w:rsidR="004B3476" w:rsidRDefault="004953FD" w:rsidP="00F17C3F">
      <w:pPr>
        <w:spacing w:before="120" w:line="276" w:lineRule="auto"/>
        <w:ind w:firstLine="708"/>
        <w:jc w:val="both"/>
        <w:rPr>
          <w:rFonts w:ascii="Arial" w:eastAsia="Calibri" w:hAnsi="Arial" w:cs="Arial"/>
          <w:sz w:val="22"/>
          <w:szCs w:val="22"/>
          <w:lang w:val="es-ES"/>
        </w:rPr>
      </w:pPr>
      <w:r>
        <w:rPr>
          <w:rFonts w:ascii="Arial" w:eastAsia="Calibri" w:hAnsi="Arial" w:cs="Arial"/>
          <w:sz w:val="22"/>
          <w:szCs w:val="22"/>
          <w:lang w:val="es-ES"/>
        </w:rPr>
        <w:t>De esta manera, e</w:t>
      </w:r>
      <w:r w:rsidR="00AD73B1" w:rsidRPr="00C00312">
        <w:rPr>
          <w:rFonts w:ascii="Arial" w:eastAsia="Calibri" w:hAnsi="Arial" w:cs="Arial"/>
          <w:sz w:val="22"/>
          <w:szCs w:val="22"/>
          <w:lang w:val="es-ES"/>
        </w:rPr>
        <w:t>sta Agencia</w:t>
      </w:r>
      <w:r w:rsidR="004D4E4E">
        <w:rPr>
          <w:rFonts w:ascii="Arial" w:eastAsia="Calibri" w:hAnsi="Arial" w:cs="Arial"/>
          <w:sz w:val="22"/>
          <w:szCs w:val="22"/>
          <w:lang w:val="es-ES"/>
        </w:rPr>
        <w:t xml:space="preserve">, </w:t>
      </w:r>
      <w:r w:rsidR="00AD73B1" w:rsidRPr="00C00312">
        <w:rPr>
          <w:rFonts w:ascii="Arial" w:eastAsia="Calibri" w:hAnsi="Arial" w:cs="Arial"/>
          <w:sz w:val="22"/>
          <w:szCs w:val="22"/>
          <w:lang w:val="es-ES"/>
        </w:rPr>
        <w:t>dentro de sus atribuciones</w:t>
      </w:r>
      <w:r w:rsidR="004D4E4E">
        <w:rPr>
          <w:rFonts w:ascii="Arial" w:eastAsia="Calibri" w:hAnsi="Arial" w:cs="Arial"/>
          <w:sz w:val="22"/>
          <w:szCs w:val="22"/>
          <w:lang w:val="es-ES"/>
        </w:rPr>
        <w:t>,</w:t>
      </w:r>
      <w:r w:rsidR="00AD73B1" w:rsidRPr="00C00312">
        <w:rPr>
          <w:rFonts w:ascii="Arial" w:eastAsia="Calibri" w:hAnsi="Arial" w:cs="Arial"/>
          <w:sz w:val="22"/>
          <w:szCs w:val="22"/>
          <w:lang w:val="es-ES"/>
        </w:rPr>
        <w:t xml:space="preserve"> resolverá la consulta conforme a las normas generales en materia de contratación estatal. Con este objetivo se analizarán los siguientes temas:</w:t>
      </w:r>
      <w:r w:rsidR="001E52B9" w:rsidRPr="00C00312">
        <w:rPr>
          <w:rFonts w:ascii="Arial" w:eastAsia="Calibri" w:hAnsi="Arial" w:cs="Arial"/>
          <w:sz w:val="22"/>
          <w:szCs w:val="22"/>
          <w:lang w:val="es-ES"/>
        </w:rPr>
        <w:t xml:space="preserve"> i)</w:t>
      </w:r>
      <w:r w:rsidR="001F772D">
        <w:rPr>
          <w:rFonts w:ascii="Arial" w:eastAsia="Calibri" w:hAnsi="Arial" w:cs="Arial"/>
          <w:sz w:val="22"/>
          <w:szCs w:val="22"/>
          <w:lang w:val="es-ES"/>
        </w:rPr>
        <w:t xml:space="preserve"> </w:t>
      </w:r>
      <w:r>
        <w:rPr>
          <w:rFonts w:ascii="Arial" w:eastAsia="Calibri" w:hAnsi="Arial" w:cs="Arial"/>
          <w:sz w:val="22"/>
          <w:szCs w:val="22"/>
          <w:lang w:val="es-ES"/>
        </w:rPr>
        <w:t xml:space="preserve">la normativa </w:t>
      </w:r>
      <w:r w:rsidR="00741EE1">
        <w:rPr>
          <w:rFonts w:ascii="Arial" w:eastAsia="Calibri" w:hAnsi="Arial" w:cs="Arial"/>
          <w:sz w:val="22"/>
          <w:szCs w:val="22"/>
          <w:lang w:val="es-ES"/>
        </w:rPr>
        <w:t xml:space="preserve">aplicable a los documentos tipo de infraestructura </w:t>
      </w:r>
      <w:r>
        <w:rPr>
          <w:rFonts w:ascii="Arial" w:eastAsia="Calibri" w:hAnsi="Arial" w:cs="Arial"/>
          <w:sz w:val="22"/>
          <w:szCs w:val="22"/>
          <w:lang w:val="es-ES"/>
        </w:rPr>
        <w:t>de transporte</w:t>
      </w:r>
      <w:r w:rsidR="00741EE1">
        <w:rPr>
          <w:rFonts w:ascii="Arial" w:eastAsia="Calibri" w:hAnsi="Arial" w:cs="Arial"/>
          <w:sz w:val="22"/>
          <w:szCs w:val="22"/>
          <w:lang w:val="es-ES"/>
        </w:rPr>
        <w:t xml:space="preserve">, </w:t>
      </w:r>
      <w:proofErr w:type="spellStart"/>
      <w:r w:rsidR="00AC0AEF">
        <w:rPr>
          <w:rFonts w:ascii="Arial" w:eastAsia="Calibri" w:hAnsi="Arial" w:cs="Arial"/>
          <w:sz w:val="22"/>
          <w:szCs w:val="22"/>
          <w:lang w:val="es-ES"/>
        </w:rPr>
        <w:t>ii</w:t>
      </w:r>
      <w:proofErr w:type="spellEnd"/>
      <w:r w:rsidR="008B7A9B">
        <w:rPr>
          <w:rFonts w:ascii="Arial" w:eastAsia="Calibri" w:hAnsi="Arial" w:cs="Arial"/>
          <w:sz w:val="22"/>
          <w:szCs w:val="22"/>
          <w:lang w:val="es-ES"/>
        </w:rPr>
        <w:t xml:space="preserve">) </w:t>
      </w:r>
      <w:r w:rsidR="00CB6D97">
        <w:rPr>
          <w:rFonts w:ascii="Arial" w:eastAsia="Calibri" w:hAnsi="Arial" w:cs="Arial"/>
          <w:sz w:val="22"/>
          <w:szCs w:val="22"/>
          <w:lang w:val="es-ES"/>
        </w:rPr>
        <w:t>l</w:t>
      </w:r>
      <w:r w:rsidR="00CB6D97" w:rsidRPr="00CB6D97">
        <w:rPr>
          <w:rFonts w:ascii="Arial" w:eastAsia="Calibri" w:hAnsi="Arial" w:cs="Arial"/>
          <w:sz w:val="22"/>
          <w:szCs w:val="22"/>
          <w:lang w:val="es-ES"/>
        </w:rPr>
        <w:t>as actividades de mejoramiento</w:t>
      </w:r>
      <w:r w:rsidR="00355D0A">
        <w:rPr>
          <w:rFonts w:ascii="Arial" w:eastAsia="Calibri" w:hAnsi="Arial" w:cs="Arial"/>
          <w:sz w:val="22"/>
          <w:szCs w:val="22"/>
          <w:lang w:val="es-ES"/>
        </w:rPr>
        <w:t>,</w:t>
      </w:r>
      <w:r w:rsidR="00CB6D97" w:rsidRPr="00CB6D97">
        <w:rPr>
          <w:rFonts w:ascii="Arial" w:eastAsia="Calibri" w:hAnsi="Arial" w:cs="Arial"/>
          <w:sz w:val="22"/>
          <w:szCs w:val="22"/>
          <w:lang w:val="es-ES"/>
        </w:rPr>
        <w:t xml:space="preserve"> de acuerdo con la Ley 1682 de 2013 y el Decreto 1076 de 2015</w:t>
      </w:r>
      <w:r w:rsidR="00355D0A">
        <w:rPr>
          <w:rFonts w:ascii="Arial" w:eastAsia="Calibri" w:hAnsi="Arial" w:cs="Arial"/>
          <w:sz w:val="22"/>
          <w:szCs w:val="22"/>
          <w:lang w:val="es-ES"/>
        </w:rPr>
        <w:t>, y s</w:t>
      </w:r>
      <w:r w:rsidR="00CB6D97" w:rsidRPr="00CB6D97">
        <w:rPr>
          <w:rFonts w:ascii="Arial" w:eastAsia="Calibri" w:hAnsi="Arial" w:cs="Arial"/>
          <w:sz w:val="22"/>
          <w:szCs w:val="22"/>
          <w:lang w:val="es-ES"/>
        </w:rPr>
        <w:t>u relación con los documentos tipo de licitación de obra pública de infraestructura de transporte</w:t>
      </w:r>
      <w:r w:rsidR="00355D0A">
        <w:rPr>
          <w:rFonts w:ascii="Arial" w:eastAsia="Calibri" w:hAnsi="Arial" w:cs="Arial"/>
          <w:sz w:val="22"/>
          <w:szCs w:val="22"/>
          <w:lang w:val="es-ES"/>
        </w:rPr>
        <w:t xml:space="preserve">, </w:t>
      </w:r>
      <w:r w:rsidR="00AC0AEF">
        <w:rPr>
          <w:rFonts w:ascii="Arial" w:eastAsia="Calibri" w:hAnsi="Arial" w:cs="Arial"/>
          <w:sz w:val="22"/>
          <w:szCs w:val="22"/>
          <w:lang w:val="es-ES"/>
        </w:rPr>
        <w:t xml:space="preserve">y </w:t>
      </w:r>
      <w:proofErr w:type="spellStart"/>
      <w:r w:rsidR="00AC0AEF">
        <w:rPr>
          <w:rFonts w:ascii="Arial" w:eastAsia="Calibri" w:hAnsi="Arial" w:cs="Arial"/>
          <w:sz w:val="22"/>
          <w:szCs w:val="22"/>
          <w:lang w:val="es-ES"/>
        </w:rPr>
        <w:t>i</w:t>
      </w:r>
      <w:r w:rsidR="00355D0A">
        <w:rPr>
          <w:rFonts w:ascii="Arial" w:eastAsia="Calibri" w:hAnsi="Arial" w:cs="Arial"/>
          <w:sz w:val="22"/>
          <w:szCs w:val="22"/>
          <w:lang w:val="es-ES"/>
        </w:rPr>
        <w:t>ii</w:t>
      </w:r>
      <w:proofErr w:type="spellEnd"/>
      <w:r w:rsidR="00AC0AEF">
        <w:rPr>
          <w:rFonts w:ascii="Arial" w:eastAsia="Calibri" w:hAnsi="Arial" w:cs="Arial"/>
          <w:sz w:val="22"/>
          <w:szCs w:val="22"/>
          <w:lang w:val="es-ES"/>
        </w:rPr>
        <w:t xml:space="preserve">) </w:t>
      </w:r>
      <w:r>
        <w:rPr>
          <w:rFonts w:ascii="Arial" w:eastAsia="Calibri" w:hAnsi="Arial" w:cs="Arial"/>
          <w:sz w:val="22"/>
          <w:szCs w:val="22"/>
          <w:lang w:val="es-ES"/>
        </w:rPr>
        <w:t xml:space="preserve">la </w:t>
      </w:r>
      <w:r w:rsidR="00AC0AEF">
        <w:rPr>
          <w:rFonts w:ascii="Arial" w:eastAsia="Calibri" w:hAnsi="Arial" w:cs="Arial"/>
          <w:sz w:val="22"/>
          <w:szCs w:val="22"/>
          <w:lang w:val="es-ES"/>
        </w:rPr>
        <w:t xml:space="preserve">acreditación y evaluación de los requisitos de experiencia en procesos adelantados con documentos tipo de infraestructura de transporte. </w:t>
      </w:r>
    </w:p>
    <w:p w14:paraId="1D3542AF" w14:textId="77777777" w:rsidR="00F17C3F" w:rsidRPr="00C00312" w:rsidRDefault="00F17C3F" w:rsidP="003E582E">
      <w:pPr>
        <w:spacing w:line="276" w:lineRule="auto"/>
        <w:ind w:firstLine="708"/>
        <w:jc w:val="both"/>
        <w:rPr>
          <w:rFonts w:ascii="Arial" w:hAnsi="Arial" w:cs="Arial"/>
          <w:sz w:val="22"/>
          <w:szCs w:val="22"/>
          <w:lang w:val="es-MX"/>
        </w:rPr>
      </w:pPr>
    </w:p>
    <w:p w14:paraId="6EAC6DA6" w14:textId="7907E767" w:rsidR="008B7A9B" w:rsidRDefault="008B7A9B" w:rsidP="008B7A9B">
      <w:pPr>
        <w:spacing w:line="276" w:lineRule="auto"/>
        <w:jc w:val="both"/>
        <w:rPr>
          <w:rFonts w:ascii="Arial" w:eastAsia="Calibri" w:hAnsi="Arial" w:cs="Arial"/>
          <w:b/>
          <w:bCs/>
          <w:sz w:val="22"/>
          <w:szCs w:val="22"/>
          <w:lang w:val="es-ES"/>
        </w:rPr>
      </w:pPr>
      <w:r>
        <w:rPr>
          <w:rFonts w:ascii="Arial" w:eastAsia="Calibri" w:hAnsi="Arial" w:cs="Arial"/>
          <w:b/>
          <w:bCs/>
          <w:sz w:val="22"/>
          <w:szCs w:val="22"/>
          <w:lang w:val="es-ES"/>
        </w:rPr>
        <w:t xml:space="preserve">2.1. </w:t>
      </w:r>
      <w:r w:rsidR="004953FD">
        <w:rPr>
          <w:rFonts w:ascii="Arial" w:eastAsia="Calibri" w:hAnsi="Arial" w:cs="Arial"/>
          <w:b/>
          <w:bCs/>
          <w:sz w:val="22"/>
          <w:szCs w:val="22"/>
          <w:lang w:val="es-ES"/>
        </w:rPr>
        <w:t>N</w:t>
      </w:r>
      <w:r>
        <w:rPr>
          <w:rFonts w:ascii="Arial" w:eastAsia="Calibri" w:hAnsi="Arial" w:cs="Arial"/>
          <w:b/>
          <w:bCs/>
          <w:sz w:val="22"/>
          <w:szCs w:val="22"/>
          <w:lang w:val="es-ES"/>
        </w:rPr>
        <w:t>ormativ</w:t>
      </w:r>
      <w:r w:rsidR="004953FD">
        <w:rPr>
          <w:rFonts w:ascii="Arial" w:eastAsia="Calibri" w:hAnsi="Arial" w:cs="Arial"/>
          <w:b/>
          <w:bCs/>
          <w:sz w:val="22"/>
          <w:szCs w:val="22"/>
          <w:lang w:val="es-ES"/>
        </w:rPr>
        <w:t>a</w:t>
      </w:r>
      <w:r>
        <w:rPr>
          <w:rFonts w:ascii="Arial" w:eastAsia="Calibri" w:hAnsi="Arial" w:cs="Arial"/>
          <w:b/>
          <w:bCs/>
          <w:sz w:val="22"/>
          <w:szCs w:val="22"/>
          <w:lang w:val="es-ES"/>
        </w:rPr>
        <w:t xml:space="preserve"> aplicable a los documentos tipo de infraestructura de transporte</w:t>
      </w:r>
    </w:p>
    <w:p w14:paraId="67F77BE8" w14:textId="77777777" w:rsidR="008B7A9B" w:rsidRDefault="008B7A9B" w:rsidP="008B7A9B">
      <w:pPr>
        <w:spacing w:line="276" w:lineRule="auto"/>
        <w:jc w:val="both"/>
        <w:rPr>
          <w:rFonts w:ascii="Arial" w:eastAsia="Calibri" w:hAnsi="Arial" w:cs="Arial"/>
          <w:b/>
          <w:bCs/>
          <w:sz w:val="22"/>
          <w:szCs w:val="22"/>
          <w:lang w:val="es-ES"/>
        </w:rPr>
      </w:pPr>
    </w:p>
    <w:p w14:paraId="0B23FC72" w14:textId="77777777" w:rsidR="00394E7A" w:rsidRPr="000418EA" w:rsidRDefault="00394E7A" w:rsidP="00394E7A">
      <w:pPr>
        <w:shd w:val="clear" w:color="auto" w:fill="FFFFFF"/>
        <w:spacing w:line="276" w:lineRule="auto"/>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1"/>
      </w:r>
      <w:r w:rsidRPr="000418EA">
        <w:rPr>
          <w:rFonts w:ascii="Arial" w:hAnsi="Arial" w:cs="Arial"/>
          <w:color w:val="0D0D0D"/>
          <w:sz w:val="22"/>
          <w:bdr w:val="none" w:sz="0" w:space="0" w:color="auto" w:frame="1"/>
          <w:lang w:eastAsia="es-CO"/>
        </w:rPr>
        <w:t xml:space="preserve">. La orientación inicial del proyecto que se convirtió en la Ley 1150 de 2007 era facultar al Gobierno Nacional para adoptar los pliegos tipo en todos los contratos estatales, pues en el proyecto el parágrafo 3º </w:t>
      </w:r>
      <w:r>
        <w:rPr>
          <w:rFonts w:ascii="Arial" w:hAnsi="Arial" w:cs="Arial"/>
          <w:color w:val="0D0D0D"/>
          <w:sz w:val="22"/>
          <w:bdr w:val="none" w:sz="0" w:space="0" w:color="auto" w:frame="1"/>
          <w:lang w:eastAsia="es-CO"/>
        </w:rPr>
        <w:t xml:space="preserve">del artículo 2 </w:t>
      </w:r>
      <w:r w:rsidRPr="000418EA">
        <w:rPr>
          <w:rFonts w:ascii="Arial" w:hAnsi="Arial" w:cs="Arial"/>
          <w:color w:val="0D0D0D"/>
          <w:sz w:val="22"/>
          <w:bdr w:val="none" w:sz="0" w:space="0" w:color="auto" w:frame="1"/>
          <w:lang w:eastAsia="es-CO"/>
        </w:rPr>
        <w:t>disponía que: «El Gobierno Nacional tendrá la facultad de estandarizar los pliegos de condiciones o términos de referencia y los contratos de las entidades estatales»</w:t>
      </w:r>
      <w:r w:rsidRPr="000418EA">
        <w:rPr>
          <w:rFonts w:ascii="Arial" w:hAnsi="Arial" w:cs="Arial"/>
          <w:color w:val="0D0D0D"/>
          <w:sz w:val="22"/>
          <w:bdr w:val="none" w:sz="0" w:space="0" w:color="auto" w:frame="1"/>
          <w:vertAlign w:val="superscript"/>
          <w:lang w:eastAsia="es-CO"/>
        </w:rPr>
        <w:footnoteReference w:id="2"/>
      </w:r>
      <w:r w:rsidRPr="000418EA">
        <w:rPr>
          <w:rFonts w:ascii="Arial" w:hAnsi="Arial" w:cs="Arial"/>
          <w:color w:val="0D0D0D"/>
          <w:sz w:val="22"/>
          <w:bdr w:val="none" w:sz="0" w:space="0" w:color="auto" w:frame="1"/>
          <w:lang w:eastAsia="es-CO"/>
        </w:rPr>
        <w:t>. </w:t>
      </w:r>
    </w:p>
    <w:p w14:paraId="7E985F87" w14:textId="77777777" w:rsidR="00394E7A" w:rsidRPr="000418EA" w:rsidRDefault="00394E7A" w:rsidP="00394E7A">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lastRenderedPageBreak/>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0418EA">
        <w:rPr>
          <w:rFonts w:ascii="Arial" w:hAnsi="Arial" w:cs="Arial"/>
          <w:color w:val="0D0D0D"/>
          <w:sz w:val="22"/>
          <w:bdr w:val="none" w:sz="0" w:space="0" w:color="auto" w:frame="1"/>
          <w:vertAlign w:val="superscript"/>
          <w:lang w:eastAsia="es-CO"/>
        </w:rPr>
        <w:footnoteReference w:id="3"/>
      </w:r>
      <w:r w:rsidRPr="000418EA">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0418EA">
        <w:rPr>
          <w:rFonts w:ascii="Arial" w:hAnsi="Arial" w:cs="Arial"/>
          <w:color w:val="0D0D0D"/>
          <w:sz w:val="22"/>
          <w:bdr w:val="none" w:sz="0" w:space="0" w:color="auto" w:frame="1"/>
          <w:vertAlign w:val="superscript"/>
          <w:lang w:eastAsia="es-CO"/>
        </w:rPr>
        <w:footnoteReference w:id="4"/>
      </w:r>
      <w:r w:rsidRPr="000418EA">
        <w:rPr>
          <w:rFonts w:ascii="Arial" w:hAnsi="Arial" w:cs="Arial"/>
          <w:color w:val="0D0D0D"/>
          <w:sz w:val="22"/>
          <w:bdr w:val="none" w:sz="0" w:space="0" w:color="auto" w:frame="1"/>
          <w:lang w:eastAsia="es-CO"/>
        </w:rPr>
        <w:t>. </w:t>
      </w:r>
    </w:p>
    <w:p w14:paraId="3695AE23" w14:textId="77777777" w:rsidR="00394E7A" w:rsidRPr="000418EA" w:rsidRDefault="00394E7A" w:rsidP="00394E7A">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0418EA">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746445E" w14:textId="77777777" w:rsidR="00394E7A" w:rsidRPr="000418EA" w:rsidRDefault="00394E7A" w:rsidP="00394E7A">
      <w:pPr>
        <w:shd w:val="clear" w:color="auto" w:fill="FFFFFF"/>
        <w:spacing w:line="276" w:lineRule="auto"/>
        <w:ind w:firstLine="709"/>
        <w:jc w:val="both"/>
        <w:rPr>
          <w:rFonts w:ascii="Arial" w:hAnsi="Arial" w:cs="Arial"/>
          <w:color w:val="000000"/>
          <w:sz w:val="22"/>
          <w:lang w:eastAsia="es-CO"/>
        </w:rPr>
      </w:pPr>
    </w:p>
    <w:p w14:paraId="4DB980D8" w14:textId="77777777" w:rsidR="00394E7A" w:rsidRPr="00946E02" w:rsidRDefault="00394E7A" w:rsidP="00394E7A">
      <w:pPr>
        <w:shd w:val="clear" w:color="auto" w:fill="FFFFFF"/>
        <w:ind w:left="709" w:right="709"/>
        <w:jc w:val="both"/>
        <w:rPr>
          <w:rFonts w:ascii="Arial" w:hAnsi="Arial" w:cs="Arial"/>
          <w:color w:val="0D0D0D"/>
          <w:sz w:val="21"/>
          <w:szCs w:val="21"/>
          <w:bdr w:val="none" w:sz="0" w:space="0" w:color="auto" w:frame="1"/>
          <w:lang w:eastAsia="es-CO"/>
        </w:rPr>
      </w:pPr>
      <w:r w:rsidRPr="000418EA">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0418EA">
        <w:rPr>
          <w:rFonts w:ascii="Arial" w:hAnsi="Arial" w:cs="Arial"/>
          <w:i/>
          <w:iCs/>
          <w:color w:val="0D0D0D"/>
          <w:sz w:val="21"/>
          <w:szCs w:val="21"/>
          <w:bdr w:val="none" w:sz="0" w:space="0" w:color="auto" w:frame="1"/>
          <w:lang w:eastAsia="es-CO"/>
        </w:rPr>
        <w:t xml:space="preserve">Dentro de los documentos tipo el Gobierno adoptará de manera general y con alcance obligatorio para todas las entidades sometidas al Estatuto General de Contratación de la Administración Pública, las condiciones </w:t>
      </w:r>
      <w:r w:rsidRPr="00946E02">
        <w:rPr>
          <w:rFonts w:ascii="Arial" w:hAnsi="Arial" w:cs="Arial"/>
          <w:i/>
          <w:iCs/>
          <w:color w:val="0D0D0D"/>
          <w:sz w:val="21"/>
          <w:szCs w:val="21"/>
          <w:bdr w:val="none" w:sz="0" w:space="0" w:color="auto" w:frame="1"/>
          <w:lang w:eastAsia="es-CO"/>
        </w:rPr>
        <w:t>habilitantes, así como los factores técnicos y económicos de escogencia</w:t>
      </w:r>
      <w:r w:rsidRPr="00946E02">
        <w:rPr>
          <w:rFonts w:ascii="Arial" w:hAnsi="Arial" w:cs="Arial"/>
          <w:color w:val="0D0D0D"/>
          <w:sz w:val="21"/>
          <w:szCs w:val="21"/>
          <w:bdr w:val="none" w:sz="0" w:space="0" w:color="auto" w:frame="1"/>
          <w:lang w:eastAsia="es-CO"/>
        </w:rPr>
        <w:t> […] </w:t>
      </w:r>
      <w:r w:rsidRPr="00946E02">
        <w:rPr>
          <w:rFonts w:ascii="Arial" w:hAnsi="Arial" w:cs="Arial"/>
          <w:i/>
          <w:iCs/>
          <w:color w:val="0D0D0D"/>
          <w:sz w:val="21"/>
          <w:szCs w:val="21"/>
          <w:bdr w:val="none" w:sz="0" w:space="0" w:color="auto" w:frame="1"/>
          <w:lang w:eastAsia="es-CO"/>
        </w:rPr>
        <w:t>teniendo en cuenta la naturaleza y cuantía de los contratos</w:t>
      </w:r>
      <w:r w:rsidRPr="00946E02">
        <w:rPr>
          <w:rFonts w:ascii="Arial" w:hAnsi="Arial" w:cs="Arial"/>
          <w:color w:val="0D0D0D"/>
          <w:sz w:val="21"/>
          <w:szCs w:val="21"/>
          <w:bdr w:val="none" w:sz="0" w:space="0" w:color="auto" w:frame="1"/>
          <w:lang w:eastAsia="es-CO"/>
        </w:rPr>
        <w:t> […]. (Énfasis fuera de texto) </w:t>
      </w:r>
    </w:p>
    <w:p w14:paraId="6090CF3C" w14:textId="77777777" w:rsidR="00394E7A" w:rsidRPr="00946E02" w:rsidRDefault="00394E7A" w:rsidP="00394E7A">
      <w:pPr>
        <w:shd w:val="clear" w:color="auto" w:fill="FFFFFF"/>
        <w:spacing w:line="276" w:lineRule="auto"/>
        <w:ind w:left="709" w:right="709"/>
        <w:jc w:val="both"/>
        <w:rPr>
          <w:rFonts w:ascii="Arial" w:hAnsi="Arial" w:cs="Arial"/>
          <w:color w:val="000000"/>
          <w:sz w:val="22"/>
          <w:lang w:eastAsia="es-CO"/>
        </w:rPr>
      </w:pPr>
    </w:p>
    <w:p w14:paraId="2E6B18CC" w14:textId="2F9D3291" w:rsidR="00394E7A" w:rsidRPr="00946E02" w:rsidRDefault="00394E7A" w:rsidP="00394E7A">
      <w:pPr>
        <w:shd w:val="clear" w:color="auto" w:fill="FFFFFF"/>
        <w:spacing w:line="276" w:lineRule="auto"/>
        <w:ind w:firstLine="708"/>
        <w:jc w:val="both"/>
        <w:rPr>
          <w:rFonts w:ascii="Arial" w:hAnsi="Arial" w:cs="Arial"/>
          <w:color w:val="0D0D0D"/>
          <w:sz w:val="22"/>
          <w:bdr w:val="none" w:sz="0" w:space="0" w:color="auto" w:frame="1"/>
          <w:lang w:eastAsia="es-CO"/>
        </w:rPr>
      </w:pPr>
      <w:r w:rsidRPr="00946E02">
        <w:rPr>
          <w:rFonts w:ascii="Arial" w:hAnsi="Arial" w:cs="Arial"/>
          <w:color w:val="0D0D0D"/>
          <w:sz w:val="22"/>
          <w:bdr w:val="none" w:sz="0" w:space="0" w:color="auto" w:frame="1"/>
          <w:lang w:eastAsia="es-CO"/>
        </w:rPr>
        <w:t xml:space="preserve">Posteriormente, el 22 de julio de 2020, el Gobierno Nacional sancionó la Ley 2022, llamada la «ley de pliegos tipo», que rige a partir de su publicación y cuyo artículo 1 modificó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46E02">
        <w:rPr>
          <w:rFonts w:ascii="Arial" w:hAnsi="Arial" w:cs="Arial"/>
          <w:color w:val="0D0D0D"/>
          <w:sz w:val="22"/>
          <w:bdr w:val="none" w:sz="0" w:space="0" w:color="auto" w:frame="1"/>
          <w:lang w:eastAsia="es-CO"/>
        </w:rPr>
        <w:t>ii</w:t>
      </w:r>
      <w:proofErr w:type="spellEnd"/>
      <w:r w:rsidRPr="00946E02">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46E02">
        <w:rPr>
          <w:rFonts w:ascii="Arial" w:hAnsi="Arial" w:cs="Arial"/>
          <w:color w:val="0D0D0D"/>
          <w:sz w:val="22"/>
          <w:bdr w:val="none" w:sz="0" w:space="0" w:color="auto" w:frame="1"/>
          <w:lang w:eastAsia="es-CO"/>
        </w:rPr>
        <w:t>iii</w:t>
      </w:r>
      <w:proofErr w:type="spellEnd"/>
      <w:r w:rsidRPr="00946E02">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946E02">
        <w:rPr>
          <w:rFonts w:ascii="Arial" w:hAnsi="Arial" w:cs="Arial"/>
          <w:color w:val="0D0D0D"/>
          <w:sz w:val="22"/>
          <w:bdr w:val="none" w:sz="0" w:space="0" w:color="auto" w:frame="1"/>
          <w:lang w:eastAsia="es-CO"/>
        </w:rPr>
        <w:t>iv</w:t>
      </w:r>
      <w:proofErr w:type="spellEnd"/>
      <w:r w:rsidRPr="00946E02">
        <w:rPr>
          <w:rFonts w:ascii="Arial" w:hAnsi="Arial" w:cs="Arial"/>
          <w:color w:val="0D0D0D"/>
          <w:sz w:val="22"/>
          <w:bdr w:val="none" w:sz="0" w:space="0" w:color="auto" w:frame="1"/>
          <w:lang w:eastAsia="es-CO"/>
        </w:rPr>
        <w:t xml:space="preserve">) las responsabilidades para Colombia Compra Eficiente en la definición del desarrollo e implementación de los documentos tipo mediante cronogramas, en coordinación con otras </w:t>
      </w:r>
      <w:r w:rsidRPr="00946E02">
        <w:rPr>
          <w:rFonts w:ascii="Arial" w:hAnsi="Arial" w:cs="Arial"/>
          <w:color w:val="0D0D0D"/>
          <w:sz w:val="22"/>
          <w:bdr w:val="none" w:sz="0" w:space="0" w:color="auto" w:frame="1"/>
          <w:lang w:eastAsia="es-CO"/>
        </w:rPr>
        <w:lastRenderedPageBreak/>
        <w:t>entidades especializadas, recepción de comentarios de los interesados y revisión de los documentos tipo expedidos</w:t>
      </w:r>
      <w:r w:rsidRPr="00946E02">
        <w:rPr>
          <w:rFonts w:ascii="Arial" w:hAnsi="Arial" w:cs="Arial"/>
          <w:color w:val="0D0D0D"/>
          <w:sz w:val="22"/>
          <w:bdr w:val="none" w:sz="0" w:space="0" w:color="auto" w:frame="1"/>
          <w:vertAlign w:val="superscript"/>
          <w:lang w:eastAsia="es-CO"/>
        </w:rPr>
        <w:footnoteReference w:id="5"/>
      </w:r>
      <w:r w:rsidRPr="00946E02">
        <w:rPr>
          <w:rFonts w:ascii="Arial" w:hAnsi="Arial" w:cs="Arial"/>
          <w:color w:val="0D0D0D"/>
          <w:sz w:val="22"/>
          <w:bdr w:val="none" w:sz="0" w:space="0" w:color="auto" w:frame="1"/>
          <w:lang w:eastAsia="es-CO"/>
        </w:rPr>
        <w:t>.  </w:t>
      </w:r>
    </w:p>
    <w:p w14:paraId="5DA32871" w14:textId="77777777" w:rsidR="00394E7A" w:rsidRPr="00946E02" w:rsidRDefault="00394E7A" w:rsidP="00394E7A">
      <w:pPr>
        <w:spacing w:before="120" w:line="276" w:lineRule="auto"/>
        <w:ind w:firstLine="709"/>
        <w:jc w:val="both"/>
        <w:rPr>
          <w:rFonts w:ascii="Arial" w:hAnsi="Arial" w:cs="Arial"/>
          <w:color w:val="0D0D0D"/>
          <w:sz w:val="22"/>
          <w:bdr w:val="none" w:sz="0" w:space="0" w:color="auto" w:frame="1"/>
          <w:lang w:val="es-ES_tradnl" w:eastAsia="es-CO"/>
        </w:rPr>
      </w:pPr>
      <w:r w:rsidRPr="00946E02">
        <w:rPr>
          <w:rFonts w:ascii="Arial" w:hAnsi="Arial" w:cs="Arial"/>
          <w:color w:val="0D0D0D"/>
          <w:sz w:val="22"/>
          <w:bdr w:val="none" w:sz="0" w:space="0" w:color="auto" w:frame="1"/>
          <w:lang w:eastAsia="es-CO"/>
        </w:rPr>
        <w:t>Con fundamento en las facultades anteriores</w:t>
      </w:r>
      <w:r w:rsidRPr="00946E02">
        <w:rPr>
          <w:rFonts w:ascii="Arial" w:hAnsi="Arial" w:cs="Arial"/>
          <w:color w:val="0D0D0D"/>
          <w:sz w:val="22"/>
          <w:bdr w:val="none" w:sz="0" w:space="0" w:color="auto" w:frame="1"/>
          <w:lang w:val="es-ES_tradnl" w:eastAsia="es-CO"/>
        </w:rPr>
        <w:t xml:space="preserve">, esta Agencia, consciente de la afectación económica que causaron las medidas adoptadas para contener la pandemia COVID – 19 en el país, decidió actualizar los documentos tipo para los procesos de licitación de obra pública y selección abreviada de menor cuantía de infraestructura de transporte y, en consecuencia, adoptó medidas de apoyo a la industria nacional. Por tanto, bajo la competencia prevista en la Ley 2022 de 2020, Colombia Compra Eficiente expidió las Resoluciones No. 240 y 241 del 27 de noviembre 2020 mediante las cuales se adoptaron los documentos tipo de licitación de obra pública – versión 3 y de selección abreviada de menor cuantía – versión 2 de infraestructura de transporte, los cuales son obligatorios a partir del 1º de enero de 2021. </w:t>
      </w:r>
    </w:p>
    <w:p w14:paraId="57536B30" w14:textId="13542B69" w:rsidR="00394E7A" w:rsidRPr="00946E02" w:rsidRDefault="00394E7A" w:rsidP="00394E7A">
      <w:pPr>
        <w:spacing w:before="120" w:line="276" w:lineRule="auto"/>
        <w:ind w:firstLine="709"/>
        <w:jc w:val="both"/>
        <w:rPr>
          <w:rFonts w:ascii="Arial" w:hAnsi="Arial" w:cs="Arial"/>
          <w:color w:val="0D0D0D"/>
          <w:sz w:val="22"/>
          <w:bdr w:val="none" w:sz="0" w:space="0" w:color="auto" w:frame="1"/>
          <w:lang w:val="es-ES_tradnl" w:eastAsia="es-CO"/>
        </w:rPr>
      </w:pPr>
      <w:r w:rsidRPr="00946E02">
        <w:rPr>
          <w:rFonts w:ascii="Arial" w:hAnsi="Arial" w:cs="Arial"/>
          <w:color w:val="0D0D0D"/>
          <w:sz w:val="22"/>
          <w:bdr w:val="none" w:sz="0" w:space="0" w:color="auto" w:frame="1"/>
          <w:lang w:val="es-ES_tradnl" w:eastAsia="es-CO"/>
        </w:rPr>
        <w:t>Adicionalmente, con la expedición de la Ley de Emprendimiento –2069 de 2020–, estos se modificaron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Por último, para ajustar el contenido a las normas de la regla de origen del Decreto 680 del 22 de junio de 2021, la Agencia modificó los documentos tipo mediante la Resolución No. 304 del 13 de octubre de 2021, la cual comenzó a regir para los procesos de contratación cuyo aviso de convocatoria se hubiere publicado a partir del 2 de noviembre de 2021.</w:t>
      </w:r>
    </w:p>
    <w:p w14:paraId="11C15C53" w14:textId="77777777" w:rsidR="008B7A9B" w:rsidRPr="00946E02" w:rsidRDefault="008B7A9B" w:rsidP="008B7A9B">
      <w:pPr>
        <w:jc w:val="both"/>
        <w:rPr>
          <w:rFonts w:ascii="Arial" w:eastAsia="Calibri" w:hAnsi="Arial" w:cs="Arial"/>
          <w:sz w:val="22"/>
          <w:szCs w:val="22"/>
          <w:lang w:val="es-MX"/>
        </w:rPr>
      </w:pPr>
    </w:p>
    <w:p w14:paraId="3F242993" w14:textId="27C122B1" w:rsidR="00394E7A" w:rsidRPr="00946E02" w:rsidRDefault="00394E7A" w:rsidP="008B7A9B">
      <w:pPr>
        <w:jc w:val="both"/>
        <w:rPr>
          <w:rFonts w:ascii="Arial" w:eastAsia="Calibri" w:hAnsi="Arial" w:cs="Arial"/>
          <w:b/>
          <w:color w:val="000000"/>
          <w:sz w:val="22"/>
          <w:szCs w:val="22"/>
          <w:lang w:val="es-MX" w:eastAsia="es-ES"/>
        </w:rPr>
      </w:pPr>
    </w:p>
    <w:p w14:paraId="375CB246" w14:textId="7656FCF2" w:rsidR="00394E7A" w:rsidRPr="00946E02" w:rsidRDefault="00394E7A" w:rsidP="008B7A9B">
      <w:pPr>
        <w:jc w:val="both"/>
        <w:rPr>
          <w:rFonts w:ascii="Arial" w:eastAsia="Calibri" w:hAnsi="Arial" w:cs="Arial"/>
          <w:b/>
          <w:color w:val="000000"/>
          <w:sz w:val="22"/>
          <w:szCs w:val="22"/>
          <w:lang w:val="es-MX" w:eastAsia="es-ES"/>
        </w:rPr>
      </w:pPr>
    </w:p>
    <w:p w14:paraId="0232B585" w14:textId="78DF143C" w:rsidR="00394E7A" w:rsidRPr="00946E02" w:rsidRDefault="00394E7A" w:rsidP="008B7A9B">
      <w:pPr>
        <w:jc w:val="both"/>
        <w:rPr>
          <w:rFonts w:ascii="Arial" w:eastAsia="Calibri" w:hAnsi="Arial" w:cs="Arial"/>
          <w:b/>
          <w:color w:val="000000"/>
          <w:sz w:val="22"/>
          <w:szCs w:val="22"/>
          <w:lang w:val="es-MX" w:eastAsia="es-ES"/>
        </w:rPr>
      </w:pPr>
    </w:p>
    <w:p w14:paraId="21184992" w14:textId="028E1346" w:rsidR="00394E7A" w:rsidRPr="00946E02" w:rsidRDefault="00394E7A" w:rsidP="008B7A9B">
      <w:pPr>
        <w:jc w:val="both"/>
        <w:rPr>
          <w:rFonts w:ascii="Arial" w:eastAsia="Calibri" w:hAnsi="Arial" w:cs="Arial"/>
          <w:b/>
          <w:color w:val="000000"/>
          <w:sz w:val="22"/>
          <w:szCs w:val="22"/>
          <w:lang w:val="es-MX" w:eastAsia="es-ES"/>
        </w:rPr>
      </w:pPr>
    </w:p>
    <w:p w14:paraId="1F8606AD" w14:textId="77777777" w:rsidR="00394E7A" w:rsidRPr="00946E02" w:rsidRDefault="00394E7A" w:rsidP="008B7A9B">
      <w:pPr>
        <w:jc w:val="both"/>
        <w:rPr>
          <w:rFonts w:ascii="Arial" w:eastAsia="Calibri" w:hAnsi="Arial" w:cs="Arial"/>
          <w:b/>
          <w:sz w:val="22"/>
          <w:szCs w:val="22"/>
          <w:lang w:val="es-MX"/>
        </w:rPr>
      </w:pPr>
    </w:p>
    <w:p w14:paraId="4C37F763" w14:textId="150A76CC" w:rsidR="00F92B22" w:rsidRPr="00946E02" w:rsidRDefault="008B7A9B" w:rsidP="00AC0AEF">
      <w:pPr>
        <w:pStyle w:val="Normal11pt"/>
        <w:spacing w:line="276" w:lineRule="auto"/>
        <w:ind w:left="0"/>
        <w:rPr>
          <w:b/>
          <w:bCs/>
          <w:shd w:val="clear" w:color="auto" w:fill="FFFFFF"/>
          <w:lang w:eastAsia="es-ES_tradnl"/>
        </w:rPr>
      </w:pPr>
      <w:r w:rsidRPr="00946E02">
        <w:rPr>
          <w:b/>
          <w:bCs/>
          <w:shd w:val="clear" w:color="auto" w:fill="FFFFFF"/>
          <w:lang w:eastAsia="es-ES_tradnl"/>
        </w:rPr>
        <w:t>2.</w:t>
      </w:r>
      <w:r w:rsidR="00394E7A" w:rsidRPr="00946E02">
        <w:rPr>
          <w:b/>
          <w:bCs/>
          <w:shd w:val="clear" w:color="auto" w:fill="FFFFFF"/>
          <w:lang w:eastAsia="es-ES_tradnl"/>
        </w:rPr>
        <w:t>2</w:t>
      </w:r>
      <w:r w:rsidRPr="00946E02">
        <w:rPr>
          <w:b/>
          <w:bCs/>
          <w:shd w:val="clear" w:color="auto" w:fill="FFFFFF"/>
          <w:lang w:eastAsia="es-ES_tradnl"/>
        </w:rPr>
        <w:t xml:space="preserve">. </w:t>
      </w:r>
      <w:r w:rsidR="00CB6D97" w:rsidRPr="00946E02">
        <w:rPr>
          <w:b/>
          <w:bCs/>
          <w:shd w:val="clear" w:color="auto" w:fill="FFFFFF"/>
          <w:lang w:eastAsia="es-ES_tradnl"/>
        </w:rPr>
        <w:t>A</w:t>
      </w:r>
      <w:r w:rsidR="00394E7A" w:rsidRPr="00946E02">
        <w:rPr>
          <w:b/>
          <w:bCs/>
          <w:shd w:val="clear" w:color="auto" w:fill="FFFFFF"/>
          <w:lang w:eastAsia="es-ES_tradnl"/>
        </w:rPr>
        <w:t>ctividades de mejoramiento</w:t>
      </w:r>
      <w:r w:rsidR="00355D0A" w:rsidRPr="00946E02">
        <w:rPr>
          <w:b/>
          <w:bCs/>
          <w:shd w:val="clear" w:color="auto" w:fill="FFFFFF"/>
          <w:lang w:eastAsia="es-ES_tradnl"/>
        </w:rPr>
        <w:t>,</w:t>
      </w:r>
      <w:r w:rsidR="00394E7A" w:rsidRPr="00946E02">
        <w:rPr>
          <w:b/>
          <w:bCs/>
          <w:shd w:val="clear" w:color="auto" w:fill="FFFFFF"/>
          <w:lang w:eastAsia="es-ES_tradnl"/>
        </w:rPr>
        <w:t xml:space="preserve"> de acuerdo con la </w:t>
      </w:r>
      <w:r w:rsidRPr="00946E02">
        <w:rPr>
          <w:b/>
          <w:bCs/>
          <w:shd w:val="clear" w:color="auto" w:fill="FFFFFF"/>
          <w:lang w:eastAsia="es-ES_tradnl"/>
        </w:rPr>
        <w:t xml:space="preserve">Ley </w:t>
      </w:r>
      <w:r w:rsidR="00C00863" w:rsidRPr="00946E02">
        <w:rPr>
          <w:b/>
          <w:bCs/>
          <w:shd w:val="clear" w:color="auto" w:fill="FFFFFF"/>
          <w:lang w:eastAsia="es-ES_tradnl"/>
        </w:rPr>
        <w:t>1682 de 2013</w:t>
      </w:r>
      <w:r w:rsidR="00394E7A" w:rsidRPr="00946E02">
        <w:rPr>
          <w:b/>
          <w:bCs/>
          <w:shd w:val="clear" w:color="auto" w:fill="FFFFFF"/>
          <w:lang w:eastAsia="es-ES_tradnl"/>
        </w:rPr>
        <w:t xml:space="preserve"> </w:t>
      </w:r>
      <w:r w:rsidR="006A616D" w:rsidRPr="00946E02">
        <w:rPr>
          <w:b/>
          <w:bCs/>
          <w:shd w:val="clear" w:color="auto" w:fill="FFFFFF"/>
          <w:lang w:eastAsia="es-ES_tradnl"/>
        </w:rPr>
        <w:t xml:space="preserve">y </w:t>
      </w:r>
      <w:r w:rsidR="00C00863" w:rsidRPr="00946E02">
        <w:rPr>
          <w:b/>
          <w:bCs/>
          <w:shd w:val="clear" w:color="auto" w:fill="FFFFFF"/>
          <w:lang w:eastAsia="es-ES_tradnl"/>
        </w:rPr>
        <w:t xml:space="preserve">el </w:t>
      </w:r>
      <w:r w:rsidR="006A616D" w:rsidRPr="00946E02">
        <w:rPr>
          <w:b/>
          <w:bCs/>
          <w:shd w:val="clear" w:color="auto" w:fill="FFFFFF"/>
          <w:lang w:eastAsia="es-ES_tradnl"/>
        </w:rPr>
        <w:t xml:space="preserve">Decreto </w:t>
      </w:r>
      <w:r w:rsidR="00AC0AEF" w:rsidRPr="00946E02">
        <w:rPr>
          <w:b/>
          <w:bCs/>
          <w:shd w:val="clear" w:color="auto" w:fill="FFFFFF"/>
          <w:lang w:eastAsia="es-ES_tradnl"/>
        </w:rPr>
        <w:t>1076 de 2015</w:t>
      </w:r>
      <w:r w:rsidR="00E30212" w:rsidRPr="00946E02">
        <w:rPr>
          <w:b/>
          <w:bCs/>
          <w:shd w:val="clear" w:color="auto" w:fill="FFFFFF"/>
          <w:lang w:eastAsia="es-ES_tradnl"/>
        </w:rPr>
        <w:t>:</w:t>
      </w:r>
      <w:r w:rsidR="009364CE" w:rsidRPr="00946E02">
        <w:rPr>
          <w:b/>
          <w:bCs/>
          <w:shd w:val="clear" w:color="auto" w:fill="FFFFFF"/>
          <w:lang w:eastAsia="es-ES_tradnl"/>
        </w:rPr>
        <w:t xml:space="preserve"> </w:t>
      </w:r>
      <w:r w:rsidR="00E30212" w:rsidRPr="00946E02">
        <w:rPr>
          <w:b/>
          <w:bCs/>
          <w:shd w:val="clear" w:color="auto" w:fill="FFFFFF"/>
          <w:lang w:eastAsia="es-ES_tradnl"/>
        </w:rPr>
        <w:t>s</w:t>
      </w:r>
      <w:r w:rsidR="009364CE" w:rsidRPr="00946E02">
        <w:rPr>
          <w:b/>
          <w:bCs/>
          <w:shd w:val="clear" w:color="auto" w:fill="FFFFFF"/>
          <w:lang w:eastAsia="es-ES_tradnl"/>
        </w:rPr>
        <w:t>u relación con los documentos tipo de licitación de obra pública de infraestructura de transporte</w:t>
      </w:r>
    </w:p>
    <w:p w14:paraId="6B82ABC2" w14:textId="77777777" w:rsidR="00AC0AEF" w:rsidRPr="00946E02" w:rsidRDefault="00AC0AEF" w:rsidP="00B41C03">
      <w:pPr>
        <w:pStyle w:val="Normal11pt"/>
        <w:spacing w:line="276" w:lineRule="auto"/>
        <w:ind w:left="0"/>
        <w:rPr>
          <w:b/>
          <w:bCs/>
          <w:shd w:val="clear" w:color="auto" w:fill="FFFFFF"/>
          <w:lang w:eastAsia="es-ES_tradnl"/>
        </w:rPr>
      </w:pPr>
    </w:p>
    <w:p w14:paraId="25C37E8D" w14:textId="766F8546" w:rsidR="00F92B22" w:rsidRPr="00946E02" w:rsidRDefault="00F92B22" w:rsidP="00F92B22">
      <w:pPr>
        <w:spacing w:line="276" w:lineRule="auto"/>
        <w:jc w:val="both"/>
        <w:rPr>
          <w:rFonts w:ascii="Arial" w:hAnsi="Arial" w:cs="Arial"/>
          <w:sz w:val="22"/>
        </w:rPr>
      </w:pPr>
      <w:r w:rsidRPr="00946E02">
        <w:rPr>
          <w:rFonts w:ascii="Arial" w:hAnsi="Arial" w:cs="Arial"/>
          <w:sz w:val="22"/>
        </w:rPr>
        <w:t xml:space="preserve">El numeral 1.10 del Documento Base de licitación de obra pública de infraestructura de transporte – versión 3 establece, respecto de la terminología empleada en estos documentos tipo, que «[…] a menos que expresamente se estipule de otra manera, los términos deben entenderse de acuerdo con la definición contenida en el artículo 2.2.1.1.1.3.1 del Decreto 1082 de 2015, la Ley 1682 de 2013 y el Anexo 3 – Glosario». En particular, sobre la noción de </w:t>
      </w:r>
      <w:r w:rsidRPr="00946E02">
        <w:rPr>
          <w:rFonts w:ascii="Arial" w:hAnsi="Arial" w:cs="Arial"/>
          <w:i/>
          <w:iCs/>
          <w:sz w:val="22"/>
        </w:rPr>
        <w:t>Mejoramiento</w:t>
      </w:r>
      <w:r w:rsidR="00BA2D60" w:rsidRPr="00946E02">
        <w:rPr>
          <w:rFonts w:ascii="Arial" w:hAnsi="Arial" w:cs="Arial"/>
          <w:sz w:val="22"/>
        </w:rPr>
        <w:t xml:space="preserve">, como </w:t>
      </w:r>
      <w:r w:rsidRPr="00946E02">
        <w:rPr>
          <w:rFonts w:ascii="Arial" w:hAnsi="Arial" w:cs="Arial"/>
          <w:sz w:val="22"/>
        </w:rPr>
        <w:t>una de las actividades que deben por regla general contratarse aplicando documentos tipo, el numeral 2.</w:t>
      </w:r>
      <w:r w:rsidR="00BA2D60" w:rsidRPr="00946E02">
        <w:rPr>
          <w:rFonts w:ascii="Arial" w:hAnsi="Arial" w:cs="Arial"/>
          <w:sz w:val="22"/>
        </w:rPr>
        <w:t>5</w:t>
      </w:r>
      <w:r w:rsidRPr="00946E02">
        <w:rPr>
          <w:rFonts w:ascii="Arial" w:hAnsi="Arial" w:cs="Arial"/>
          <w:sz w:val="22"/>
        </w:rPr>
        <w:t>0 del «Anexo 3 – Glosario»</w:t>
      </w:r>
      <w:r w:rsidR="009364CE" w:rsidRPr="00946E02">
        <w:rPr>
          <w:rFonts w:ascii="Arial" w:hAnsi="Arial" w:cs="Arial"/>
          <w:sz w:val="22"/>
        </w:rPr>
        <w:t xml:space="preserve"> –modificado por la Resolución 161 del </w:t>
      </w:r>
      <w:r w:rsidR="0055345F" w:rsidRPr="00946E02">
        <w:rPr>
          <w:rFonts w:ascii="Arial" w:hAnsi="Arial" w:cs="Arial"/>
          <w:color w:val="0D0D0D"/>
          <w:sz w:val="22"/>
          <w:bdr w:val="none" w:sz="0" w:space="0" w:color="auto" w:frame="1"/>
          <w:lang w:val="es-ES_tradnl" w:eastAsia="es-CO"/>
        </w:rPr>
        <w:t>del 17 de junio de 2021–</w:t>
      </w:r>
      <w:r w:rsidRPr="00946E02">
        <w:rPr>
          <w:rFonts w:ascii="Arial" w:hAnsi="Arial" w:cs="Arial"/>
          <w:sz w:val="22"/>
        </w:rPr>
        <w:t xml:space="preserve"> establece: </w:t>
      </w:r>
    </w:p>
    <w:p w14:paraId="57DAC016" w14:textId="77777777" w:rsidR="00F92B22" w:rsidRPr="00946E02" w:rsidRDefault="00F92B22" w:rsidP="00F92B22">
      <w:pPr>
        <w:spacing w:line="276" w:lineRule="auto"/>
        <w:jc w:val="both"/>
        <w:rPr>
          <w:rFonts w:ascii="Arial" w:hAnsi="Arial" w:cs="Arial"/>
          <w:bCs/>
          <w:sz w:val="20"/>
          <w:szCs w:val="20"/>
          <w:lang w:eastAsia="es-ES"/>
        </w:rPr>
      </w:pPr>
    </w:p>
    <w:p w14:paraId="127B91DC" w14:textId="2A9B7FF1" w:rsidR="00F92B22" w:rsidRPr="00946E02" w:rsidRDefault="006938B4" w:rsidP="00F92B22">
      <w:pPr>
        <w:spacing w:after="120"/>
        <w:ind w:left="709" w:right="709"/>
        <w:jc w:val="both"/>
        <w:rPr>
          <w:rFonts w:ascii="Arial" w:hAnsi="Arial" w:cs="Arial"/>
          <w:bCs/>
          <w:sz w:val="20"/>
          <w:szCs w:val="20"/>
          <w:lang w:eastAsia="es-ES"/>
        </w:rPr>
      </w:pPr>
      <w:r w:rsidRPr="00946E02">
        <w:rPr>
          <w:rFonts w:ascii="Arial" w:hAnsi="Arial" w:cs="Arial"/>
          <w:bCs/>
          <w:sz w:val="20"/>
          <w:szCs w:val="20"/>
          <w:lang w:eastAsia="es-ES"/>
        </w:rPr>
        <w:t>«</w:t>
      </w:r>
      <w:r w:rsidR="00F92B22" w:rsidRPr="00946E02">
        <w:rPr>
          <w:rFonts w:ascii="Arial" w:hAnsi="Arial" w:cs="Arial"/>
          <w:bCs/>
          <w:sz w:val="20"/>
          <w:szCs w:val="20"/>
          <w:lang w:eastAsia="es-ES"/>
        </w:rPr>
        <w:t>[…]</w:t>
      </w:r>
    </w:p>
    <w:p w14:paraId="4A4F20CD" w14:textId="204860E6" w:rsidR="00F92B22" w:rsidRPr="00946E02" w:rsidRDefault="000B0135" w:rsidP="00D6418E">
      <w:pPr>
        <w:pStyle w:val="Invias-VietaNumerada"/>
        <w:autoSpaceDE w:val="0"/>
        <w:autoSpaceDN w:val="0"/>
        <w:adjustRightInd w:val="0"/>
        <w:spacing w:before="0" w:after="0"/>
        <w:ind w:left="786" w:right="709"/>
        <w:rPr>
          <w:rFonts w:ascii="Arial" w:hAnsi="Arial" w:cs="Arial"/>
          <w:sz w:val="20"/>
          <w:szCs w:val="20"/>
          <w:lang w:val="es-CO"/>
        </w:rPr>
      </w:pPr>
      <w:r w:rsidRPr="00946E02">
        <w:rPr>
          <w:rFonts w:ascii="Arial" w:hAnsi="Arial" w:cs="Arial"/>
          <w:bCs/>
          <w:sz w:val="20"/>
          <w:szCs w:val="20"/>
          <w:lang w:val="es-CO"/>
        </w:rPr>
        <w:t>2.50</w:t>
      </w:r>
      <w:r w:rsidRPr="00946E02">
        <w:rPr>
          <w:lang w:val="es-CO"/>
        </w:rPr>
        <w:t xml:space="preserve"> </w:t>
      </w:r>
      <w:r w:rsidRPr="00946E02">
        <w:rPr>
          <w:rFonts w:ascii="Arial" w:hAnsi="Arial" w:cs="Arial"/>
          <w:bCs/>
          <w:sz w:val="20"/>
          <w:szCs w:val="20"/>
          <w:lang w:val="es-CO"/>
        </w:rPr>
        <w:t>Mejoramiento: Cambios en una infraestructura de transporte con el propósito de mejorar sus especificaciones técnicas iniciales</w:t>
      </w:r>
      <w:r w:rsidR="0055345F" w:rsidRPr="00946E02">
        <w:rPr>
          <w:rStyle w:val="Refdenotaalpie"/>
          <w:rFonts w:ascii="Arial" w:hAnsi="Arial" w:cs="Arial"/>
          <w:bCs/>
          <w:sz w:val="20"/>
          <w:szCs w:val="20"/>
          <w:lang w:val="es-CO"/>
        </w:rPr>
        <w:footnoteReference w:id="6"/>
      </w:r>
      <w:r w:rsidR="006938B4" w:rsidRPr="00946E02">
        <w:rPr>
          <w:rFonts w:ascii="Arial" w:hAnsi="Arial" w:cs="Arial"/>
          <w:sz w:val="20"/>
          <w:szCs w:val="20"/>
          <w:lang w:val="es-CO"/>
        </w:rPr>
        <w:t>»</w:t>
      </w:r>
      <w:r w:rsidR="0055345F" w:rsidRPr="00946E02">
        <w:rPr>
          <w:rFonts w:ascii="Arial" w:hAnsi="Arial" w:cs="Arial"/>
          <w:sz w:val="20"/>
          <w:szCs w:val="20"/>
          <w:lang w:val="es-CO"/>
        </w:rPr>
        <w:t>.</w:t>
      </w:r>
    </w:p>
    <w:p w14:paraId="03C9D3D4" w14:textId="77777777" w:rsidR="00F92B22" w:rsidRPr="00946E02" w:rsidRDefault="00F92B22" w:rsidP="0055345F">
      <w:pPr>
        <w:rPr>
          <w:lang w:eastAsia="es-ES"/>
        </w:rPr>
      </w:pPr>
    </w:p>
    <w:p w14:paraId="0020032F" w14:textId="7B7E7957" w:rsidR="001D3943" w:rsidRPr="00946E02" w:rsidRDefault="00325CE5" w:rsidP="00F92B22">
      <w:pPr>
        <w:spacing w:after="120" w:line="276" w:lineRule="auto"/>
        <w:ind w:firstLine="709"/>
        <w:jc w:val="both"/>
        <w:rPr>
          <w:rFonts w:ascii="Arial" w:hAnsi="Arial" w:cs="Arial"/>
          <w:sz w:val="22"/>
        </w:rPr>
      </w:pPr>
      <w:r w:rsidRPr="00946E02">
        <w:rPr>
          <w:rFonts w:ascii="Arial" w:hAnsi="Arial" w:cs="Arial"/>
          <w:sz w:val="22"/>
        </w:rPr>
        <w:t>Esta definición</w:t>
      </w:r>
      <w:r w:rsidR="0055345F" w:rsidRPr="00946E02">
        <w:rPr>
          <w:rFonts w:ascii="Arial" w:hAnsi="Arial" w:cs="Arial"/>
          <w:sz w:val="22"/>
        </w:rPr>
        <w:t>,</w:t>
      </w:r>
      <w:r w:rsidRPr="00946E02">
        <w:rPr>
          <w:rFonts w:ascii="Arial" w:hAnsi="Arial" w:cs="Arial"/>
          <w:sz w:val="22"/>
        </w:rPr>
        <w:t xml:space="preserve"> contenida en el glosario de los documentos tipo de licitación de obra pública de infraestructura de transporte – versión 3 se enmarca y coincide con la definición de </w:t>
      </w:r>
      <w:r w:rsidRPr="00946E02">
        <w:rPr>
          <w:rFonts w:ascii="Arial" w:hAnsi="Arial" w:cs="Arial"/>
          <w:i/>
          <w:iCs/>
          <w:sz w:val="22"/>
        </w:rPr>
        <w:t>mejoramiento</w:t>
      </w:r>
      <w:r w:rsidR="001D3943" w:rsidRPr="00946E02">
        <w:rPr>
          <w:rFonts w:ascii="Arial" w:hAnsi="Arial" w:cs="Arial"/>
          <w:sz w:val="22"/>
        </w:rPr>
        <w:t xml:space="preserve"> contenida en el artículo 12 de la Ley 1682 de 2013, según la cual:</w:t>
      </w:r>
    </w:p>
    <w:p w14:paraId="472EDB9D" w14:textId="3D6AAA52" w:rsidR="001D3943"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«Artículo 12. En lo que se refiere a la infraestructura de transporte terrestre, aeronáutica, aeroportuaria y acuática, se tendrán en cuenta las siguientes definiciones:</w:t>
      </w:r>
    </w:p>
    <w:p w14:paraId="4014D525" w14:textId="7A41BF9C" w:rsidR="001D3943"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w:t>
      </w:r>
    </w:p>
    <w:p w14:paraId="0650FCA8" w14:textId="79136DCB" w:rsidR="00325CE5" w:rsidRPr="00946E02" w:rsidRDefault="001D3943" w:rsidP="00D6418E">
      <w:pPr>
        <w:ind w:left="709" w:right="709"/>
        <w:jc w:val="both"/>
        <w:rPr>
          <w:rFonts w:ascii="Arial" w:hAnsi="Arial" w:cs="Arial"/>
          <w:bCs/>
          <w:sz w:val="20"/>
          <w:szCs w:val="20"/>
          <w:lang w:eastAsia="es-ES"/>
        </w:rPr>
      </w:pPr>
      <w:r w:rsidRPr="00946E02">
        <w:rPr>
          <w:rFonts w:ascii="Arial" w:hAnsi="Arial" w:cs="Arial"/>
          <w:bCs/>
          <w:sz w:val="20"/>
          <w:szCs w:val="20"/>
          <w:lang w:eastAsia="es-ES"/>
        </w:rPr>
        <w:t>Mejoramiento. Cambios en una infraestructura de transporte con el propósito de mejorar sus especificaciones técnicas iniciales. Estas actividades están sujetas a reglamentación dentro de los ciento veinte (120) días calendario siguientes.</w:t>
      </w:r>
    </w:p>
    <w:p w14:paraId="25A6FAA1" w14:textId="1645805A" w:rsidR="001D3943" w:rsidRPr="00946E02" w:rsidRDefault="001D3943" w:rsidP="00D6418E">
      <w:pPr>
        <w:pStyle w:val="Invias-VietaNumerada"/>
        <w:autoSpaceDE w:val="0"/>
        <w:autoSpaceDN w:val="0"/>
        <w:adjustRightInd w:val="0"/>
        <w:spacing w:before="0" w:after="0"/>
        <w:ind w:left="786" w:right="709"/>
        <w:rPr>
          <w:rFonts w:ascii="Arial" w:hAnsi="Arial" w:cs="Arial"/>
          <w:sz w:val="20"/>
          <w:szCs w:val="20"/>
          <w:lang w:val="es-CO"/>
        </w:rPr>
      </w:pPr>
      <w:r w:rsidRPr="00946E02">
        <w:rPr>
          <w:rFonts w:ascii="Arial" w:hAnsi="Arial" w:cs="Arial"/>
          <w:sz w:val="20"/>
          <w:szCs w:val="20"/>
          <w:lang w:val="es-CO"/>
        </w:rPr>
        <w:t>[…]»</w:t>
      </w:r>
    </w:p>
    <w:p w14:paraId="6844C6D8" w14:textId="77777777" w:rsidR="0055345F" w:rsidRPr="00946E02" w:rsidRDefault="0055345F" w:rsidP="00D6418E">
      <w:pPr>
        <w:spacing w:line="276" w:lineRule="auto"/>
        <w:ind w:firstLine="709"/>
        <w:jc w:val="both"/>
        <w:rPr>
          <w:rFonts w:ascii="Arial" w:eastAsiaTheme="minorHAnsi" w:hAnsi="Arial" w:cs="Arial"/>
          <w:sz w:val="22"/>
          <w:szCs w:val="22"/>
          <w:lang w:val="es-MX" w:eastAsia="en-US"/>
        </w:rPr>
      </w:pPr>
    </w:p>
    <w:p w14:paraId="1A7AE658" w14:textId="0BDED7FE" w:rsidR="00D02095" w:rsidRPr="00946E02" w:rsidRDefault="00CD78C4" w:rsidP="00D02095">
      <w:pPr>
        <w:spacing w:after="120" w:line="276" w:lineRule="auto"/>
        <w:ind w:firstLine="709"/>
        <w:jc w:val="both"/>
        <w:rPr>
          <w:rFonts w:ascii="Arial" w:eastAsiaTheme="minorHAnsi" w:hAnsi="Arial" w:cs="Arial"/>
          <w:b/>
          <w:bCs/>
          <w:sz w:val="22"/>
          <w:szCs w:val="22"/>
          <w:lang w:val="es-MX" w:eastAsia="en-US"/>
        </w:rPr>
      </w:pPr>
      <w:r w:rsidRPr="00946E02">
        <w:rPr>
          <w:rFonts w:ascii="Arial" w:eastAsiaTheme="minorHAnsi" w:hAnsi="Arial" w:cs="Arial"/>
          <w:sz w:val="22"/>
          <w:szCs w:val="22"/>
          <w:lang w:val="es-MX" w:eastAsia="en-US"/>
        </w:rPr>
        <w:t>E</w:t>
      </w:r>
      <w:r w:rsidR="00D02095" w:rsidRPr="00946E02">
        <w:rPr>
          <w:rFonts w:ascii="Arial" w:eastAsiaTheme="minorHAnsi" w:hAnsi="Arial" w:cs="Arial"/>
          <w:sz w:val="22"/>
          <w:szCs w:val="22"/>
          <w:lang w:val="es-MX" w:eastAsia="en-US"/>
        </w:rPr>
        <w:t xml:space="preserve">n cuanto a las actividades susceptibles de ser catalogas como </w:t>
      </w:r>
      <w:r w:rsidR="00D02095" w:rsidRPr="00946E02">
        <w:rPr>
          <w:rFonts w:ascii="Arial" w:eastAsiaTheme="minorHAnsi" w:hAnsi="Arial" w:cs="Arial"/>
          <w:i/>
          <w:iCs/>
          <w:sz w:val="22"/>
          <w:szCs w:val="22"/>
          <w:lang w:val="es-MX" w:eastAsia="en-US"/>
        </w:rPr>
        <w:t>mejoramiento</w:t>
      </w:r>
      <w:r w:rsidR="0055345F" w:rsidRPr="00946E02">
        <w:rPr>
          <w:rFonts w:ascii="Arial" w:eastAsiaTheme="minorHAnsi" w:hAnsi="Arial" w:cs="Arial"/>
          <w:i/>
          <w:iCs/>
          <w:sz w:val="22"/>
          <w:szCs w:val="22"/>
          <w:lang w:val="es-MX" w:eastAsia="en-US"/>
        </w:rPr>
        <w:t>,</w:t>
      </w:r>
      <w:r w:rsidR="00D02095" w:rsidRPr="00946E02">
        <w:rPr>
          <w:rFonts w:ascii="Arial" w:eastAsiaTheme="minorHAnsi" w:hAnsi="Arial" w:cs="Arial"/>
          <w:sz w:val="22"/>
          <w:szCs w:val="22"/>
          <w:lang w:val="es-MX" w:eastAsia="en-US"/>
        </w:rPr>
        <w:t xml:space="preserve"> el artículo 12 de la Ley 1682 de 2013 y el Anexo 3</w:t>
      </w:r>
      <w:r w:rsidR="000D229C" w:rsidRPr="00946E02">
        <w:rPr>
          <w:rFonts w:ascii="Arial" w:eastAsiaTheme="minorHAnsi" w:hAnsi="Arial" w:cs="Arial"/>
          <w:sz w:val="22"/>
          <w:szCs w:val="22"/>
          <w:lang w:val="es-MX" w:eastAsia="en-US"/>
        </w:rPr>
        <w:t xml:space="preserve"> no prevén un listado específico. Lo anterior</w:t>
      </w:r>
      <w:r w:rsidR="00D02095" w:rsidRPr="00946E02">
        <w:rPr>
          <w:rFonts w:ascii="Arial" w:eastAsiaTheme="minorHAnsi" w:hAnsi="Arial" w:cs="Arial"/>
          <w:sz w:val="22"/>
          <w:szCs w:val="22"/>
          <w:lang w:val="es-MX" w:eastAsia="en-US"/>
        </w:rPr>
        <w:t>,</w:t>
      </w:r>
      <w:r w:rsidR="000D229C" w:rsidRPr="00946E02">
        <w:rPr>
          <w:rFonts w:ascii="Arial" w:eastAsiaTheme="minorHAnsi" w:hAnsi="Arial" w:cs="Arial"/>
          <w:sz w:val="22"/>
          <w:szCs w:val="22"/>
          <w:lang w:val="es-MX" w:eastAsia="en-US"/>
        </w:rPr>
        <w:t xml:space="preserve"> obedece a que la referida </w:t>
      </w:r>
      <w:r w:rsidR="00D02095" w:rsidRPr="00946E02">
        <w:rPr>
          <w:rFonts w:ascii="Arial" w:eastAsiaTheme="minorHAnsi" w:hAnsi="Arial" w:cs="Arial"/>
          <w:sz w:val="22"/>
          <w:szCs w:val="22"/>
          <w:lang w:val="es-MX" w:eastAsia="en-US"/>
        </w:rPr>
        <w:t xml:space="preserve">ley determinó que </w:t>
      </w:r>
      <w:r w:rsidR="000D229C" w:rsidRPr="00946E02">
        <w:rPr>
          <w:rFonts w:ascii="Arial" w:eastAsiaTheme="minorHAnsi" w:hAnsi="Arial" w:cs="Arial"/>
          <w:sz w:val="22"/>
          <w:szCs w:val="22"/>
          <w:lang w:val="es-MX" w:eastAsia="en-US"/>
        </w:rPr>
        <w:t xml:space="preserve">esas actividades </w:t>
      </w:r>
      <w:r w:rsidR="00D02095" w:rsidRPr="00946E02">
        <w:rPr>
          <w:rFonts w:ascii="Arial" w:eastAsiaTheme="minorHAnsi" w:hAnsi="Arial" w:cs="Arial"/>
          <w:sz w:val="22"/>
          <w:szCs w:val="22"/>
          <w:lang w:val="es-MX" w:eastAsia="en-US"/>
        </w:rPr>
        <w:t xml:space="preserve">debían ser objeto de reglamentación, estableciendo incluso un plazo para ello. </w:t>
      </w:r>
      <w:r w:rsidR="00614BF3" w:rsidRPr="00946E02">
        <w:rPr>
          <w:rFonts w:ascii="Arial" w:eastAsiaTheme="minorHAnsi" w:hAnsi="Arial" w:cs="Arial"/>
          <w:sz w:val="22"/>
          <w:szCs w:val="22"/>
          <w:lang w:val="es-MX" w:eastAsia="en-US"/>
        </w:rPr>
        <w:t>De conformidad con lo anterior,</w:t>
      </w:r>
      <w:r w:rsidR="00D02095" w:rsidRPr="00946E02">
        <w:rPr>
          <w:rFonts w:ascii="Arial" w:eastAsiaTheme="minorHAnsi" w:hAnsi="Arial" w:cs="Arial"/>
          <w:sz w:val="22"/>
          <w:szCs w:val="22"/>
          <w:lang w:val="es-MX" w:eastAsia="en-US"/>
        </w:rPr>
        <w:t xml:space="preserve"> el artículo 44 de la Ley 1682 de 2013 atribuyó al Gobierno Nacional, conformado por los </w:t>
      </w:r>
      <w:r w:rsidR="00D02095" w:rsidRPr="00946E02">
        <w:rPr>
          <w:rFonts w:ascii="Arial" w:eastAsiaTheme="minorHAnsi" w:hAnsi="Arial" w:cs="Arial"/>
          <w:sz w:val="22"/>
          <w:szCs w:val="22"/>
          <w:lang w:val="es-MX" w:eastAsia="en-US"/>
        </w:rPr>
        <w:lastRenderedPageBreak/>
        <w:t xml:space="preserve">Ministerios de Transporte y Ambiente, en coordinación con la Autoridad Nacional de Licencias Ambientales, la competencia para reglamentar el listado de actividades de </w:t>
      </w:r>
      <w:r w:rsidR="00D02095" w:rsidRPr="00946E02">
        <w:rPr>
          <w:rFonts w:ascii="Arial" w:eastAsiaTheme="minorHAnsi" w:hAnsi="Arial" w:cs="Arial"/>
          <w:i/>
          <w:iCs/>
          <w:sz w:val="22"/>
          <w:szCs w:val="22"/>
          <w:lang w:val="es-MX" w:eastAsia="en-US"/>
        </w:rPr>
        <w:t>mejoramiento</w:t>
      </w:r>
      <w:r w:rsidR="00D02095" w:rsidRPr="00946E02">
        <w:rPr>
          <w:rFonts w:ascii="Arial" w:eastAsiaTheme="minorHAnsi" w:hAnsi="Arial" w:cs="Arial"/>
          <w:sz w:val="22"/>
          <w:szCs w:val="22"/>
          <w:lang w:val="es-MX" w:eastAsia="en-US"/>
        </w:rPr>
        <w:t xml:space="preserve"> en proyectos de infraestructura de transporte</w:t>
      </w:r>
      <w:r w:rsidR="00D02095" w:rsidRPr="00946E02">
        <w:rPr>
          <w:rFonts w:ascii="Arial" w:eastAsiaTheme="minorHAnsi" w:hAnsi="Arial" w:cs="Arial"/>
          <w:sz w:val="22"/>
          <w:szCs w:val="22"/>
          <w:vertAlign w:val="superscript"/>
          <w:lang w:val="es-MX" w:eastAsia="en-US"/>
        </w:rPr>
        <w:footnoteReference w:id="7"/>
      </w:r>
      <w:r w:rsidR="00D02095" w:rsidRPr="00946E02">
        <w:rPr>
          <w:rFonts w:ascii="Arial" w:eastAsiaTheme="minorHAnsi" w:hAnsi="Arial" w:cs="Arial"/>
          <w:sz w:val="22"/>
          <w:szCs w:val="22"/>
          <w:lang w:val="es-MX" w:eastAsia="en-US"/>
        </w:rPr>
        <w:t>. Dicha competencia fue ejercida mediante la expedición del Decreto 769 de 2014</w:t>
      </w:r>
      <w:r w:rsidR="00614BF3" w:rsidRPr="00946E02">
        <w:rPr>
          <w:rFonts w:ascii="Arial" w:eastAsiaTheme="minorHAnsi" w:hAnsi="Arial" w:cs="Arial"/>
          <w:sz w:val="22"/>
          <w:szCs w:val="22"/>
          <w:lang w:val="es-MX" w:eastAsia="en-US"/>
        </w:rPr>
        <w:t xml:space="preserve"> –</w:t>
      </w:r>
      <w:r w:rsidR="00614BF3" w:rsidRPr="00946E02">
        <w:rPr>
          <w:rFonts w:ascii="Arial" w:hAnsi="Arial" w:cs="Arial"/>
          <w:sz w:val="22"/>
          <w:szCs w:val="22"/>
        </w:rPr>
        <w:t xml:space="preserve">actualmente compilado en el </w:t>
      </w:r>
      <w:r w:rsidR="00614BF3" w:rsidRPr="00946E02">
        <w:rPr>
          <w:rFonts w:ascii="Arial" w:hAnsi="Arial" w:cs="Arial" w:hint="cs"/>
          <w:sz w:val="22"/>
          <w:szCs w:val="22"/>
        </w:rPr>
        <w:t>Decreto 1076 de 2015</w:t>
      </w:r>
      <w:r w:rsidR="00614BF3" w:rsidRPr="00946E02">
        <w:rPr>
          <w:rFonts w:ascii="Arial" w:hAnsi="Arial" w:cs="Arial" w:hint="eastAsia"/>
          <w:sz w:val="22"/>
          <w:szCs w:val="22"/>
        </w:rPr>
        <w:t>–</w:t>
      </w:r>
      <w:r w:rsidR="00D02095" w:rsidRPr="00946E02">
        <w:rPr>
          <w:rFonts w:ascii="Arial" w:eastAsiaTheme="minorHAnsi" w:hAnsi="Arial" w:cs="Arial"/>
          <w:sz w:val="22"/>
          <w:szCs w:val="22"/>
          <w:lang w:val="es-MX" w:eastAsia="en-US"/>
        </w:rPr>
        <w:t>,cuyo artículo 1 enlista una serie de actividades consideradas de mejoramiento, las cuales fueron agrupadas en los siguientes literales referidos a cada uno de los modos de infraestructura vial: A. Modo terrestre-carretero;</w:t>
      </w:r>
      <w:r w:rsidR="00D02095" w:rsidRPr="00946E02">
        <w:rPr>
          <w:rFonts w:ascii="Arial" w:eastAsiaTheme="minorHAnsi" w:hAnsi="Arial" w:cs="Arial"/>
          <w:b/>
          <w:bCs/>
          <w:sz w:val="22"/>
          <w:szCs w:val="22"/>
          <w:lang w:val="es-MX" w:eastAsia="en-US"/>
        </w:rPr>
        <w:t xml:space="preserve"> </w:t>
      </w:r>
      <w:r w:rsidR="00D02095" w:rsidRPr="00946E02">
        <w:rPr>
          <w:rFonts w:ascii="Arial" w:eastAsiaTheme="minorHAnsi" w:hAnsi="Arial" w:cs="Arial"/>
          <w:sz w:val="22"/>
          <w:szCs w:val="22"/>
          <w:lang w:val="es-MX" w:eastAsia="en-US"/>
        </w:rPr>
        <w:t>B. Modo terrestre-férreo;</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C. Modo acuático-fluvial y Modo acuático de infraestructura portuaria</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y D.</w:t>
      </w:r>
      <w:r w:rsidR="00D02095" w:rsidRPr="00946E02">
        <w:rPr>
          <w:rFonts w:ascii="Arial" w:eastAsiaTheme="minorHAnsi" w:hAnsi="Arial" w:cs="Arial"/>
          <w:b/>
          <w:bCs/>
          <w:sz w:val="22"/>
          <w:szCs w:val="22"/>
          <w:lang w:val="es-MX" w:eastAsia="en-US"/>
        </w:rPr>
        <w:t> </w:t>
      </w:r>
      <w:r w:rsidR="00D02095" w:rsidRPr="00946E02">
        <w:rPr>
          <w:rFonts w:ascii="Arial" w:eastAsiaTheme="minorHAnsi" w:hAnsi="Arial" w:cs="Arial"/>
          <w:sz w:val="22"/>
          <w:szCs w:val="22"/>
          <w:lang w:val="es-MX" w:eastAsia="en-US"/>
        </w:rPr>
        <w:t>Modo Aéreo.</w:t>
      </w:r>
    </w:p>
    <w:p w14:paraId="77E36EAB" w14:textId="36B9B6DD" w:rsidR="00D02095" w:rsidRPr="00946E02" w:rsidRDefault="004D05D4" w:rsidP="00D02095">
      <w:pPr>
        <w:spacing w:after="120" w:line="276" w:lineRule="auto"/>
        <w:ind w:firstLine="709"/>
        <w:jc w:val="both"/>
        <w:rPr>
          <w:rFonts w:ascii="Arial" w:eastAsiaTheme="minorHAnsi" w:hAnsi="Arial" w:cs="Arial"/>
          <w:sz w:val="22"/>
          <w:szCs w:val="22"/>
          <w:lang w:val="es-MX" w:eastAsia="en-US"/>
        </w:rPr>
      </w:pPr>
      <w:r w:rsidRPr="00946E02">
        <w:rPr>
          <w:rFonts w:ascii="Arial" w:eastAsiaTheme="minorHAnsi" w:hAnsi="Arial" w:cs="Arial"/>
          <w:sz w:val="22"/>
          <w:szCs w:val="22"/>
          <w:lang w:val="es-MX" w:eastAsia="en-US"/>
        </w:rPr>
        <w:t>Así, a</w:t>
      </w:r>
      <w:r w:rsidR="00D02095" w:rsidRPr="00946E02">
        <w:rPr>
          <w:rFonts w:ascii="Arial" w:eastAsiaTheme="minorHAnsi" w:hAnsi="Arial" w:cs="Arial"/>
          <w:sz w:val="22"/>
          <w:szCs w:val="22"/>
          <w:lang w:val="es-MX" w:eastAsia="en-US"/>
        </w:rPr>
        <w:t xml:space="preserve">ctividades como la construcción de obras de drenaje y </w:t>
      </w:r>
      <w:r w:rsidR="00E62296" w:rsidRPr="00946E02">
        <w:rPr>
          <w:rFonts w:ascii="Arial" w:eastAsiaTheme="minorHAnsi" w:hAnsi="Arial" w:cs="Arial"/>
          <w:sz w:val="22"/>
          <w:szCs w:val="22"/>
          <w:lang w:val="es-MX" w:eastAsia="en-US"/>
        </w:rPr>
        <w:t xml:space="preserve">subdrenaje transversal y longitudinal </w:t>
      </w:r>
      <w:r w:rsidR="00D02095" w:rsidRPr="00946E02">
        <w:rPr>
          <w:rFonts w:ascii="Arial" w:eastAsiaTheme="minorHAnsi" w:hAnsi="Arial" w:cs="Arial"/>
          <w:sz w:val="22"/>
          <w:szCs w:val="22"/>
          <w:lang w:val="es-MX" w:eastAsia="en-US"/>
        </w:rPr>
        <w:t xml:space="preserve">aparecen enlistadas dentro del literal </w:t>
      </w:r>
      <w:r w:rsidR="006F1F39" w:rsidRPr="00946E02">
        <w:rPr>
          <w:rFonts w:ascii="Arial" w:eastAsiaTheme="minorHAnsi" w:hAnsi="Arial" w:cs="Arial"/>
          <w:sz w:val="22"/>
          <w:szCs w:val="22"/>
          <w:lang w:val="es-MX" w:eastAsia="en-US"/>
        </w:rPr>
        <w:t>«</w:t>
      </w:r>
      <w:r w:rsidR="00D02095" w:rsidRPr="00946E02">
        <w:rPr>
          <w:rFonts w:ascii="Arial" w:eastAsiaTheme="minorHAnsi" w:hAnsi="Arial" w:cs="Arial"/>
          <w:sz w:val="22"/>
          <w:szCs w:val="22"/>
          <w:lang w:val="es-MX" w:eastAsia="en-US"/>
        </w:rPr>
        <w:t>A</w:t>
      </w:r>
      <w:r w:rsidR="006F1F39" w:rsidRPr="00946E02">
        <w:rPr>
          <w:rFonts w:ascii="Arial" w:eastAsiaTheme="minorHAnsi" w:hAnsi="Arial" w:cs="Arial"/>
          <w:sz w:val="22"/>
          <w:szCs w:val="22"/>
          <w:lang w:val="es-MX" w:eastAsia="en-US"/>
        </w:rPr>
        <w:t>.</w:t>
      </w:r>
      <w:r w:rsidR="0003067A" w:rsidRPr="00946E02">
        <w:rPr>
          <w:rFonts w:ascii="Arial" w:eastAsiaTheme="minorHAnsi" w:hAnsi="Arial" w:cs="Arial"/>
          <w:sz w:val="22"/>
          <w:szCs w:val="22"/>
          <w:lang w:val="es-MX" w:eastAsia="en-US"/>
        </w:rPr>
        <w:t xml:space="preserve"> </w:t>
      </w:r>
      <w:r w:rsidR="00E62296" w:rsidRPr="00946E02">
        <w:rPr>
          <w:rFonts w:ascii="Arial" w:eastAsiaTheme="minorHAnsi" w:hAnsi="Arial" w:cs="Arial"/>
          <w:sz w:val="22"/>
          <w:szCs w:val="22"/>
          <w:lang w:val="es-MX" w:eastAsia="en-US"/>
        </w:rPr>
        <w:t>Modo terrestre-carretero</w:t>
      </w:r>
      <w:r w:rsidR="006F1F39" w:rsidRPr="00946E02">
        <w:rPr>
          <w:rFonts w:ascii="Arial" w:eastAsiaTheme="minorHAnsi" w:hAnsi="Arial" w:cs="Arial"/>
          <w:sz w:val="22"/>
          <w:szCs w:val="22"/>
          <w:lang w:val="es-MX" w:eastAsia="en-US"/>
        </w:rPr>
        <w:t>»</w:t>
      </w:r>
      <w:r w:rsidR="0003067A" w:rsidRPr="00946E02">
        <w:rPr>
          <w:rFonts w:ascii="Arial" w:eastAsiaTheme="minorHAnsi" w:hAnsi="Arial" w:cs="Arial"/>
          <w:sz w:val="22"/>
          <w:szCs w:val="22"/>
          <w:lang w:val="es-MX" w:eastAsia="en-US"/>
        </w:rPr>
        <w:t>, numeral 6</w:t>
      </w:r>
      <w:r w:rsidR="006F1F39" w:rsidRPr="00946E02">
        <w:rPr>
          <w:rFonts w:ascii="Arial" w:eastAsiaTheme="minorHAnsi" w:hAnsi="Arial" w:cs="Arial"/>
          <w:sz w:val="22"/>
          <w:szCs w:val="22"/>
          <w:lang w:val="es-MX" w:eastAsia="en-US"/>
        </w:rPr>
        <w:t>,</w:t>
      </w:r>
      <w:r w:rsidR="0003067A" w:rsidRPr="00946E02">
        <w:rPr>
          <w:rFonts w:ascii="Arial" w:eastAsiaTheme="minorHAnsi" w:hAnsi="Arial" w:cs="Arial"/>
          <w:sz w:val="22"/>
          <w:szCs w:val="22"/>
          <w:lang w:val="es-MX" w:eastAsia="en-US"/>
        </w:rPr>
        <w:t xml:space="preserve"> del </w:t>
      </w:r>
      <w:r w:rsidR="00D02095" w:rsidRPr="00946E02">
        <w:rPr>
          <w:rFonts w:ascii="Arial" w:eastAsiaTheme="minorHAnsi" w:hAnsi="Arial" w:cs="Arial"/>
          <w:sz w:val="22"/>
          <w:szCs w:val="22"/>
          <w:lang w:val="es-MX" w:eastAsia="en-US"/>
        </w:rPr>
        <w:t xml:space="preserve">artículo 1 del Decreto 769 de 2014, compilado en el artículo 2.2.2.5.1.1. del Decreto 1076 de 2015. </w:t>
      </w:r>
      <w:r w:rsidR="006F1F39" w:rsidRPr="00946E02">
        <w:rPr>
          <w:rFonts w:ascii="Arial" w:eastAsiaTheme="minorHAnsi" w:hAnsi="Arial" w:cs="Arial"/>
          <w:sz w:val="22"/>
          <w:szCs w:val="22"/>
          <w:lang w:val="es-MX" w:eastAsia="en-US"/>
        </w:rPr>
        <w:t>De forma similar</w:t>
      </w:r>
      <w:r w:rsidR="00D02095" w:rsidRPr="00946E02">
        <w:rPr>
          <w:rFonts w:ascii="Arial" w:eastAsiaTheme="minorHAnsi" w:hAnsi="Arial" w:cs="Arial"/>
          <w:sz w:val="22"/>
          <w:szCs w:val="22"/>
          <w:lang w:val="es-MX" w:eastAsia="en-US"/>
        </w:rPr>
        <w:t xml:space="preserve">, en este último artículo se refieren, entre otras, actividades como la construcción de andenes y paraderos, ampliación de separadores centrales, construcción de túneles falsos en vías y construcción de corredores de servicio en túneles, las cuales no aparecen enlistadas </w:t>
      </w:r>
      <w:r w:rsidR="006F1F39" w:rsidRPr="00946E02">
        <w:rPr>
          <w:rFonts w:ascii="Arial" w:eastAsiaTheme="minorHAnsi" w:hAnsi="Arial" w:cs="Arial"/>
          <w:sz w:val="22"/>
          <w:szCs w:val="22"/>
          <w:lang w:val="es-MX" w:eastAsia="en-US"/>
        </w:rPr>
        <w:t xml:space="preserve">en </w:t>
      </w:r>
      <w:r w:rsidR="00D02095" w:rsidRPr="00946E02">
        <w:rPr>
          <w:rFonts w:ascii="Arial" w:eastAsiaTheme="minorHAnsi" w:hAnsi="Arial" w:cs="Arial"/>
          <w:sz w:val="22"/>
          <w:szCs w:val="22"/>
          <w:lang w:val="es-MX" w:eastAsia="en-US"/>
        </w:rPr>
        <w:t>el numeral 2.</w:t>
      </w:r>
      <w:r w:rsidR="0003067A" w:rsidRPr="00946E02">
        <w:rPr>
          <w:rFonts w:ascii="Arial" w:eastAsiaTheme="minorHAnsi" w:hAnsi="Arial" w:cs="Arial"/>
          <w:sz w:val="22"/>
          <w:szCs w:val="22"/>
          <w:lang w:val="es-MX" w:eastAsia="en-US"/>
        </w:rPr>
        <w:t>5</w:t>
      </w:r>
      <w:r w:rsidR="00D02095" w:rsidRPr="00946E02">
        <w:rPr>
          <w:rFonts w:ascii="Arial" w:eastAsiaTheme="minorHAnsi" w:hAnsi="Arial" w:cs="Arial"/>
          <w:sz w:val="22"/>
          <w:szCs w:val="22"/>
          <w:lang w:val="es-MX" w:eastAsia="en-US"/>
        </w:rPr>
        <w:t>0 del Anexo 3, lo que no significa que su contratación esté excluida del ámbito de aplicación de los documentos tipo de infraestructura de transporte.</w:t>
      </w:r>
    </w:p>
    <w:p w14:paraId="6B1998DE" w14:textId="1A9F42B6" w:rsidR="00D02095" w:rsidRPr="00946E02" w:rsidRDefault="00D02095" w:rsidP="00D02095">
      <w:pPr>
        <w:spacing w:after="120" w:line="276" w:lineRule="auto"/>
        <w:ind w:firstLine="709"/>
        <w:jc w:val="both"/>
        <w:rPr>
          <w:rFonts w:ascii="Arial" w:eastAsiaTheme="minorHAnsi" w:hAnsi="Arial" w:cs="Arial"/>
          <w:sz w:val="22"/>
          <w:szCs w:val="22"/>
          <w:lang w:val="es-MX" w:eastAsia="en-US"/>
        </w:rPr>
      </w:pPr>
      <w:r w:rsidRPr="00946E02">
        <w:rPr>
          <w:rFonts w:ascii="Arial" w:eastAsiaTheme="minorHAnsi" w:hAnsi="Arial" w:cs="Arial"/>
          <w:sz w:val="22"/>
          <w:szCs w:val="22"/>
          <w:lang w:val="es-MX" w:eastAsia="en-US"/>
        </w:rPr>
        <w:t>Al respecto, debe precisarse que, en materia de infraestructura de transporte, la Ley 1682 de 2013</w:t>
      </w:r>
      <w:r w:rsidR="00426D2A" w:rsidRPr="00946E02">
        <w:rPr>
          <w:rFonts w:ascii="Arial" w:eastAsiaTheme="minorHAnsi" w:hAnsi="Arial" w:cs="Arial"/>
          <w:sz w:val="22"/>
          <w:szCs w:val="22"/>
          <w:lang w:val="es-MX" w:eastAsia="en-US"/>
        </w:rPr>
        <w:t xml:space="preserve"> </w:t>
      </w:r>
      <w:r w:rsidRPr="00946E02">
        <w:rPr>
          <w:rFonts w:ascii="Arial" w:eastAsiaTheme="minorHAnsi" w:hAnsi="Arial" w:cs="Arial"/>
          <w:sz w:val="22"/>
          <w:szCs w:val="22"/>
          <w:lang w:val="es-MX" w:eastAsia="en-US"/>
        </w:rPr>
        <w:t xml:space="preserve">constituye el principal instrumento normativo </w:t>
      </w:r>
      <w:r w:rsidR="006F1F39" w:rsidRPr="00946E02">
        <w:rPr>
          <w:rFonts w:ascii="Arial" w:eastAsiaTheme="minorHAnsi" w:hAnsi="Arial" w:cs="Arial"/>
          <w:sz w:val="22"/>
          <w:szCs w:val="22"/>
          <w:lang w:val="es-MX" w:eastAsia="en-US"/>
        </w:rPr>
        <w:t>para</w:t>
      </w:r>
      <w:r w:rsidRPr="00946E02">
        <w:rPr>
          <w:rFonts w:ascii="Arial" w:eastAsiaTheme="minorHAnsi" w:hAnsi="Arial" w:cs="Arial"/>
          <w:sz w:val="22"/>
          <w:szCs w:val="22"/>
          <w:lang w:val="es-MX" w:eastAsia="en-US"/>
        </w:rPr>
        <w:t xml:space="preserve"> determinar qué constituye infraestructura de transporte, así como las actividades que implican su intervención y que, por tanto, deben ser contratadas aplicando </w:t>
      </w:r>
      <w:r w:rsidR="006F1F39" w:rsidRPr="00946E02">
        <w:rPr>
          <w:rFonts w:ascii="Arial" w:eastAsiaTheme="minorHAnsi" w:hAnsi="Arial" w:cs="Arial"/>
          <w:sz w:val="22"/>
          <w:szCs w:val="22"/>
          <w:lang w:val="es-MX" w:eastAsia="en-US"/>
        </w:rPr>
        <w:t xml:space="preserve">los </w:t>
      </w:r>
      <w:r w:rsidRPr="00946E02">
        <w:rPr>
          <w:rFonts w:ascii="Arial" w:eastAsiaTheme="minorHAnsi" w:hAnsi="Arial" w:cs="Arial"/>
          <w:sz w:val="22"/>
          <w:szCs w:val="22"/>
          <w:lang w:val="es-MX" w:eastAsia="en-US"/>
        </w:rPr>
        <w:t xml:space="preserve">documentos tipo. En ese sentido, </w:t>
      </w:r>
      <w:r w:rsidR="0003067A" w:rsidRPr="00946E02">
        <w:rPr>
          <w:rFonts w:ascii="Arial" w:eastAsiaTheme="minorHAnsi" w:hAnsi="Arial" w:cs="Arial"/>
          <w:sz w:val="22"/>
          <w:szCs w:val="22"/>
          <w:lang w:val="es-MX" w:eastAsia="en-US"/>
        </w:rPr>
        <w:t xml:space="preserve">como se </w:t>
      </w:r>
      <w:r w:rsidR="006F1F39" w:rsidRPr="00946E02">
        <w:rPr>
          <w:rFonts w:ascii="Arial" w:eastAsiaTheme="minorHAnsi" w:hAnsi="Arial" w:cs="Arial"/>
          <w:sz w:val="22"/>
          <w:szCs w:val="22"/>
          <w:lang w:val="es-MX" w:eastAsia="en-US"/>
        </w:rPr>
        <w:t>indicó</w:t>
      </w:r>
      <w:r w:rsidR="0003067A" w:rsidRPr="00946E02">
        <w:rPr>
          <w:rFonts w:ascii="Arial" w:eastAsiaTheme="minorHAnsi" w:hAnsi="Arial" w:cs="Arial"/>
          <w:sz w:val="22"/>
          <w:szCs w:val="22"/>
          <w:lang w:val="es-MX" w:eastAsia="en-US"/>
        </w:rPr>
        <w:t xml:space="preserve">, </w:t>
      </w:r>
      <w:r w:rsidRPr="00946E02">
        <w:rPr>
          <w:rFonts w:ascii="Arial" w:eastAsiaTheme="minorHAnsi" w:hAnsi="Arial" w:cs="Arial"/>
          <w:sz w:val="22"/>
          <w:szCs w:val="22"/>
          <w:lang w:val="es-MX" w:eastAsia="en-US"/>
        </w:rPr>
        <w:t xml:space="preserve">el legislador atribuyó al Gobierno Nacional la competencia para definir lo que debe </w:t>
      </w:r>
      <w:r w:rsidR="00426D2A" w:rsidRPr="00946E02">
        <w:rPr>
          <w:rFonts w:ascii="Arial" w:eastAsiaTheme="minorHAnsi" w:hAnsi="Arial" w:cs="Arial"/>
          <w:sz w:val="22"/>
          <w:szCs w:val="22"/>
          <w:lang w:val="es-MX" w:eastAsia="en-US"/>
        </w:rPr>
        <w:t>entenderse por</w:t>
      </w:r>
      <w:r w:rsidRPr="00946E02">
        <w:rPr>
          <w:rFonts w:ascii="Arial" w:eastAsiaTheme="minorHAnsi" w:hAnsi="Arial" w:cs="Arial"/>
          <w:sz w:val="22"/>
          <w:szCs w:val="22"/>
          <w:lang w:val="es-MX" w:eastAsia="en-US"/>
        </w:rPr>
        <w:t xml:space="preserve"> </w:t>
      </w:r>
      <w:r w:rsidR="0003067A" w:rsidRPr="00946E02">
        <w:rPr>
          <w:rFonts w:ascii="Arial" w:eastAsiaTheme="minorHAnsi" w:hAnsi="Arial" w:cs="Arial"/>
          <w:i/>
          <w:iCs/>
          <w:sz w:val="22"/>
          <w:szCs w:val="22"/>
          <w:lang w:val="es-MX" w:eastAsia="en-US"/>
        </w:rPr>
        <w:t xml:space="preserve">mejoramiento </w:t>
      </w:r>
      <w:r w:rsidRPr="00946E02">
        <w:rPr>
          <w:rFonts w:ascii="Arial" w:eastAsiaTheme="minorHAnsi" w:hAnsi="Arial" w:cs="Arial"/>
          <w:sz w:val="22"/>
          <w:szCs w:val="22"/>
          <w:lang w:val="es-MX" w:eastAsia="en-US"/>
        </w:rPr>
        <w:t xml:space="preserve">de infraestructura de transporte, al </w:t>
      </w:r>
      <w:r w:rsidR="00426D2A" w:rsidRPr="00946E02">
        <w:rPr>
          <w:rFonts w:ascii="Arial" w:eastAsiaTheme="minorHAnsi" w:hAnsi="Arial" w:cs="Arial"/>
          <w:sz w:val="22"/>
          <w:szCs w:val="22"/>
          <w:lang w:val="es-MX" w:eastAsia="en-US"/>
        </w:rPr>
        <w:t xml:space="preserve">otorgarle </w:t>
      </w:r>
      <w:r w:rsidRPr="00946E02">
        <w:rPr>
          <w:rFonts w:ascii="Arial" w:eastAsiaTheme="minorHAnsi" w:hAnsi="Arial" w:cs="Arial"/>
          <w:sz w:val="22"/>
          <w:szCs w:val="22"/>
          <w:lang w:val="es-MX" w:eastAsia="en-US"/>
        </w:rPr>
        <w:t>la competencia para expedir la norma reglamentaria que enlistara las actividades que suponen tal tipo de intervención</w:t>
      </w:r>
      <w:r w:rsidR="007D36D7" w:rsidRPr="00946E02">
        <w:rPr>
          <w:rFonts w:ascii="Arial" w:eastAsiaTheme="minorHAnsi" w:hAnsi="Arial" w:cs="Arial"/>
          <w:sz w:val="22"/>
          <w:szCs w:val="22"/>
          <w:lang w:val="es-MX" w:eastAsia="en-US"/>
        </w:rPr>
        <w:t xml:space="preserve">, lo cual es fundamental para la </w:t>
      </w:r>
      <w:r w:rsidRPr="00946E02">
        <w:rPr>
          <w:rFonts w:ascii="Arial" w:eastAsiaTheme="minorHAnsi" w:hAnsi="Arial" w:cs="Arial"/>
          <w:sz w:val="22"/>
          <w:szCs w:val="22"/>
          <w:lang w:val="es-MX" w:eastAsia="en-US"/>
        </w:rPr>
        <w:t xml:space="preserve">aplicación de los documentos tipo de infraestructura transporte.  </w:t>
      </w:r>
    </w:p>
    <w:p w14:paraId="5B60023C" w14:textId="6ACF0CEB" w:rsidR="0074426D" w:rsidRPr="00946E02" w:rsidRDefault="0074426D" w:rsidP="0074426D">
      <w:pPr>
        <w:spacing w:after="120" w:line="276" w:lineRule="auto"/>
        <w:ind w:firstLine="709"/>
        <w:jc w:val="both"/>
        <w:rPr>
          <w:rFonts w:ascii="Arial" w:hAnsi="Arial" w:cs="Arial"/>
          <w:sz w:val="22"/>
        </w:rPr>
      </w:pPr>
      <w:r w:rsidRPr="00946E02">
        <w:rPr>
          <w:rFonts w:ascii="Arial" w:hAnsi="Arial" w:cs="Arial"/>
          <w:sz w:val="22"/>
        </w:rPr>
        <w:lastRenderedPageBreak/>
        <w:t>En ese sentido, las nociones de las actividades que suponen intervenciones de la infraestructura de transporte, como es el caso de l</w:t>
      </w:r>
      <w:r w:rsidR="007D36D7" w:rsidRPr="00946E02">
        <w:rPr>
          <w:rFonts w:ascii="Arial" w:hAnsi="Arial" w:cs="Arial"/>
          <w:sz w:val="22"/>
        </w:rPr>
        <w:t>as actividades d</w:t>
      </w:r>
      <w:r w:rsidRPr="00946E02">
        <w:rPr>
          <w:rFonts w:ascii="Arial" w:hAnsi="Arial" w:cs="Arial"/>
          <w:sz w:val="22"/>
        </w:rPr>
        <w:t xml:space="preserve">e </w:t>
      </w:r>
      <w:r w:rsidRPr="00946E02">
        <w:rPr>
          <w:rFonts w:ascii="Arial" w:hAnsi="Arial" w:cs="Arial"/>
          <w:i/>
          <w:iCs/>
          <w:sz w:val="22"/>
        </w:rPr>
        <w:t>mejoramiento</w:t>
      </w:r>
      <w:r w:rsidRPr="00946E02">
        <w:rPr>
          <w:rFonts w:ascii="Arial" w:hAnsi="Arial" w:cs="Arial"/>
          <w:sz w:val="22"/>
        </w:rPr>
        <w:t>, en el marco de los documentos tipo de dicho sector, se determinar</w:t>
      </w:r>
      <w:r w:rsidR="007D36D7" w:rsidRPr="00946E02">
        <w:rPr>
          <w:rFonts w:ascii="Arial" w:hAnsi="Arial" w:cs="Arial"/>
          <w:sz w:val="22"/>
        </w:rPr>
        <w:t>á</w:t>
      </w:r>
      <w:r w:rsidRPr="00946E02">
        <w:rPr>
          <w:rFonts w:ascii="Arial" w:hAnsi="Arial" w:cs="Arial"/>
          <w:sz w:val="22"/>
        </w:rPr>
        <w:t>n, en primera medida, por lo dispuesto en la Ley 1682 de 2013.</w:t>
      </w:r>
    </w:p>
    <w:p w14:paraId="5E07680D" w14:textId="38C860F6" w:rsidR="0074426D" w:rsidRPr="00946E02" w:rsidRDefault="007D36D7" w:rsidP="0074426D">
      <w:pPr>
        <w:spacing w:after="120" w:line="276" w:lineRule="auto"/>
        <w:ind w:firstLine="709"/>
        <w:jc w:val="both"/>
        <w:rPr>
          <w:rStyle w:val="nfasis"/>
          <w:rFonts w:ascii="Arial" w:hAnsi="Arial" w:cs="Arial"/>
          <w:b/>
          <w:bCs/>
          <w:i w:val="0"/>
          <w:iCs w:val="0"/>
          <w:sz w:val="22"/>
          <w:szCs w:val="22"/>
        </w:rPr>
      </w:pPr>
      <w:r w:rsidRPr="00946E02">
        <w:rPr>
          <w:rFonts w:ascii="Arial" w:hAnsi="Arial" w:cs="Arial"/>
          <w:sz w:val="22"/>
          <w:szCs w:val="22"/>
          <w:shd w:val="clear" w:color="auto" w:fill="FFFFFF"/>
          <w:lang w:eastAsia="es-ES_tradnl"/>
        </w:rPr>
        <w:t>En síntesis, p</w:t>
      </w:r>
      <w:r w:rsidR="0074426D" w:rsidRPr="00946E02">
        <w:rPr>
          <w:rFonts w:ascii="Arial" w:hAnsi="Arial" w:cs="Arial" w:hint="cs"/>
          <w:sz w:val="22"/>
          <w:szCs w:val="22"/>
          <w:shd w:val="clear" w:color="auto" w:fill="FFFFFF"/>
          <w:lang w:eastAsia="es-ES_tradnl"/>
        </w:rPr>
        <w:t xml:space="preserve">ara el caso que nos ocupa, la definición de </w:t>
      </w:r>
      <w:r w:rsidR="00702A9E" w:rsidRPr="00946E02">
        <w:rPr>
          <w:rFonts w:ascii="Arial" w:hAnsi="Arial" w:cs="Arial"/>
          <w:i/>
          <w:iCs/>
          <w:sz w:val="22"/>
          <w:szCs w:val="22"/>
          <w:shd w:val="clear" w:color="auto" w:fill="FFFFFF"/>
          <w:lang w:eastAsia="es-ES_tradnl"/>
        </w:rPr>
        <w:t>mejoramiento</w:t>
      </w:r>
      <w:r w:rsidR="0074426D" w:rsidRPr="00946E02">
        <w:rPr>
          <w:rFonts w:ascii="Arial" w:hAnsi="Arial" w:cs="Arial" w:hint="cs"/>
          <w:sz w:val="22"/>
          <w:szCs w:val="22"/>
          <w:shd w:val="clear" w:color="auto" w:fill="FFFFFF"/>
          <w:lang w:eastAsia="es-ES_tradnl"/>
        </w:rPr>
        <w:t xml:space="preserve"> </w:t>
      </w:r>
      <w:r w:rsidR="0074426D" w:rsidRPr="00946E02">
        <w:rPr>
          <w:rFonts w:ascii="Arial" w:hAnsi="Arial" w:cs="Arial" w:hint="cs"/>
          <w:sz w:val="22"/>
          <w:szCs w:val="22"/>
        </w:rPr>
        <w:t xml:space="preserve">fue introducida por la referida ley, pero fue desarrollada por el artículo 1 del Decreto 769 de 2014, </w:t>
      </w:r>
      <w:r w:rsidR="00426D2A" w:rsidRPr="00946E02">
        <w:rPr>
          <w:rFonts w:ascii="Arial" w:hAnsi="Arial" w:cs="Arial"/>
          <w:sz w:val="22"/>
          <w:szCs w:val="22"/>
        </w:rPr>
        <w:t>actualmente</w:t>
      </w:r>
      <w:r w:rsidR="00426D2A" w:rsidRPr="00946E02">
        <w:rPr>
          <w:rFonts w:ascii="Arial" w:hAnsi="Arial" w:cs="Arial" w:hint="cs"/>
          <w:sz w:val="22"/>
          <w:szCs w:val="22"/>
        </w:rPr>
        <w:t xml:space="preserve"> </w:t>
      </w:r>
      <w:r w:rsidR="0074426D" w:rsidRPr="00946E02">
        <w:rPr>
          <w:rFonts w:ascii="Arial" w:hAnsi="Arial" w:cs="Arial" w:hint="cs"/>
          <w:sz w:val="22"/>
          <w:szCs w:val="22"/>
        </w:rPr>
        <w:t xml:space="preserve">compilado en el Decreto 1076 de 2015, en los artículos </w:t>
      </w:r>
      <w:r w:rsidR="0074426D" w:rsidRPr="00946E02">
        <w:rPr>
          <w:rStyle w:val="Textoennegrita"/>
          <w:rFonts w:ascii="Arial" w:hAnsi="Arial" w:cs="Arial" w:hint="cs"/>
          <w:b w:val="0"/>
          <w:bCs w:val="0"/>
          <w:sz w:val="22"/>
          <w:szCs w:val="22"/>
        </w:rPr>
        <w:t>2.2.2.5.1.1</w:t>
      </w:r>
      <w:r w:rsidR="0074426D" w:rsidRPr="00946E02">
        <w:rPr>
          <w:rStyle w:val="Textoennegrita"/>
          <w:rFonts w:ascii="Arial" w:hAnsi="Arial" w:cs="Arial" w:hint="cs"/>
          <w:b w:val="0"/>
          <w:bCs w:val="0"/>
          <w:i/>
          <w:iCs/>
          <w:sz w:val="22"/>
          <w:szCs w:val="22"/>
        </w:rPr>
        <w:t>–</w:t>
      </w:r>
      <w:r w:rsidR="0074426D" w:rsidRPr="00946E02">
        <w:rPr>
          <w:rStyle w:val="nfasis"/>
          <w:rFonts w:ascii="Arial" w:hAnsi="Arial" w:cs="Arial" w:hint="cs"/>
          <w:i w:val="0"/>
          <w:iCs w:val="0"/>
          <w:sz w:val="22"/>
          <w:szCs w:val="22"/>
        </w:rPr>
        <w:t>Modo Terrestre-Carretero–,</w:t>
      </w:r>
      <w:r w:rsidR="0074426D" w:rsidRPr="00946E02">
        <w:rPr>
          <w:rStyle w:val="nfasis"/>
          <w:rFonts w:ascii="Arial" w:hAnsi="Arial" w:cs="Arial" w:hint="cs"/>
          <w:b/>
          <w:bCs/>
          <w:i w:val="0"/>
          <w:iCs w:val="0"/>
          <w:sz w:val="22"/>
          <w:szCs w:val="22"/>
        </w:rPr>
        <w:t xml:space="preserve"> </w:t>
      </w:r>
      <w:r w:rsidR="0074426D" w:rsidRPr="00946E02">
        <w:rPr>
          <w:rStyle w:val="Textoennegrita"/>
          <w:rFonts w:ascii="Arial" w:hAnsi="Arial" w:cs="Arial" w:hint="cs"/>
          <w:b w:val="0"/>
          <w:bCs w:val="0"/>
          <w:i/>
          <w:iCs/>
          <w:sz w:val="22"/>
          <w:szCs w:val="22"/>
        </w:rPr>
        <w:t>2.2.2.5.2.1 –</w:t>
      </w:r>
      <w:r w:rsidR="0074426D" w:rsidRPr="00946E02">
        <w:rPr>
          <w:rStyle w:val="nfasis"/>
          <w:rFonts w:ascii="Arial" w:hAnsi="Arial" w:cs="Arial" w:hint="cs"/>
          <w:i w:val="0"/>
          <w:iCs w:val="0"/>
          <w:sz w:val="22"/>
          <w:szCs w:val="22"/>
        </w:rPr>
        <w:t>Modo Terrestre-Férreo–,</w:t>
      </w:r>
      <w:r w:rsidR="0074426D" w:rsidRPr="00946E02">
        <w:rPr>
          <w:rStyle w:val="nfasis"/>
          <w:rFonts w:ascii="Arial" w:hAnsi="Arial" w:cs="Arial" w:hint="cs"/>
          <w:b/>
          <w:bCs/>
          <w:i w:val="0"/>
          <w:iCs w:val="0"/>
          <w:sz w:val="22"/>
          <w:szCs w:val="22"/>
        </w:rPr>
        <w:t xml:space="preserve"> </w:t>
      </w:r>
      <w:r w:rsidR="0074426D" w:rsidRPr="00946E02">
        <w:rPr>
          <w:rStyle w:val="nfasis"/>
          <w:rFonts w:ascii="Arial" w:hAnsi="Arial" w:cs="Arial" w:hint="cs"/>
          <w:i w:val="0"/>
          <w:iCs w:val="0"/>
          <w:sz w:val="22"/>
          <w:szCs w:val="22"/>
        </w:rPr>
        <w:t>2.2.2.5.3.1 –Modo Acuático-Fluvial y Modo Acuático de Infraestructura Portuaria–, 2.2.2.5.3.2 –Modo acuático-infraestructura portuaria– y 2.2.2.5.4.1 –Modo Aéreo–</w:t>
      </w:r>
      <w:r w:rsidR="0074426D" w:rsidRPr="00946E02">
        <w:rPr>
          <w:rStyle w:val="nfasis"/>
          <w:rFonts w:ascii="Arial" w:hAnsi="Arial" w:cs="Arial" w:hint="cs"/>
          <w:b/>
          <w:bCs/>
          <w:i w:val="0"/>
          <w:iCs w:val="0"/>
          <w:sz w:val="22"/>
          <w:szCs w:val="22"/>
        </w:rPr>
        <w:t xml:space="preserve">.  </w:t>
      </w:r>
      <w:r w:rsidR="0074426D" w:rsidRPr="00946E02">
        <w:rPr>
          <w:rStyle w:val="nfasis"/>
          <w:rFonts w:ascii="Arial" w:hAnsi="Arial" w:cs="Arial" w:hint="cs"/>
          <w:i w:val="0"/>
          <w:iCs w:val="0"/>
          <w:sz w:val="22"/>
          <w:szCs w:val="22"/>
        </w:rPr>
        <w:t xml:space="preserve">En ese sentido, las actividades que se consideran </w:t>
      </w:r>
      <w:r w:rsidR="00426D2A" w:rsidRPr="00946E02">
        <w:rPr>
          <w:rStyle w:val="nfasis"/>
          <w:rFonts w:ascii="Arial" w:hAnsi="Arial" w:cs="Arial"/>
          <w:i w:val="0"/>
          <w:iCs w:val="0"/>
          <w:sz w:val="22"/>
          <w:szCs w:val="22"/>
        </w:rPr>
        <w:t>como</w:t>
      </w:r>
      <w:r w:rsidR="00426D2A" w:rsidRPr="00946E02">
        <w:rPr>
          <w:rStyle w:val="nfasis"/>
          <w:rFonts w:ascii="Arial" w:hAnsi="Arial" w:cs="Arial" w:hint="cs"/>
          <w:i w:val="0"/>
          <w:iCs w:val="0"/>
          <w:sz w:val="22"/>
          <w:szCs w:val="22"/>
        </w:rPr>
        <w:t xml:space="preserve"> </w:t>
      </w:r>
      <w:r w:rsidR="0074426D" w:rsidRPr="00946E02">
        <w:rPr>
          <w:rStyle w:val="nfasis"/>
          <w:rFonts w:ascii="Arial" w:hAnsi="Arial" w:cs="Arial" w:hint="cs"/>
          <w:sz w:val="22"/>
          <w:szCs w:val="22"/>
        </w:rPr>
        <w:t>mejoramiento</w:t>
      </w:r>
      <w:r w:rsidR="0074426D" w:rsidRPr="00946E02">
        <w:rPr>
          <w:rStyle w:val="nfasis"/>
          <w:rFonts w:ascii="Arial" w:hAnsi="Arial" w:cs="Arial" w:hint="cs"/>
          <w:i w:val="0"/>
          <w:iCs w:val="0"/>
          <w:sz w:val="22"/>
          <w:szCs w:val="22"/>
        </w:rPr>
        <w:t xml:space="preserve"> son las </w:t>
      </w:r>
      <w:r w:rsidR="00426D2A" w:rsidRPr="00946E02">
        <w:rPr>
          <w:rStyle w:val="nfasis"/>
          <w:rFonts w:ascii="Arial" w:hAnsi="Arial" w:cs="Arial"/>
          <w:i w:val="0"/>
          <w:iCs w:val="0"/>
          <w:sz w:val="22"/>
          <w:szCs w:val="22"/>
        </w:rPr>
        <w:t>establecidas</w:t>
      </w:r>
      <w:r w:rsidR="0074426D" w:rsidRPr="00946E02">
        <w:rPr>
          <w:rStyle w:val="nfasis"/>
          <w:rFonts w:ascii="Arial" w:hAnsi="Arial" w:cs="Arial" w:hint="cs"/>
          <w:i w:val="0"/>
          <w:iCs w:val="0"/>
          <w:sz w:val="22"/>
          <w:szCs w:val="22"/>
        </w:rPr>
        <w:t xml:space="preserve"> en los referidos artículos del Decreto 1076 de 2015</w:t>
      </w:r>
      <w:r w:rsidR="0074426D" w:rsidRPr="00946E02">
        <w:rPr>
          <w:rStyle w:val="nfasis"/>
          <w:rFonts w:ascii="Arial" w:hAnsi="Arial" w:cs="Arial" w:hint="cs"/>
          <w:sz w:val="22"/>
          <w:szCs w:val="22"/>
        </w:rPr>
        <w:t xml:space="preserve">. </w:t>
      </w:r>
    </w:p>
    <w:p w14:paraId="6A23238F" w14:textId="726B94F1" w:rsidR="0074426D" w:rsidRPr="00946E02" w:rsidRDefault="0074426D" w:rsidP="0074426D">
      <w:pPr>
        <w:spacing w:after="120" w:line="276" w:lineRule="auto"/>
        <w:ind w:firstLine="709"/>
        <w:jc w:val="both"/>
        <w:rPr>
          <w:rFonts w:ascii="Arial" w:eastAsiaTheme="minorHAnsi" w:hAnsi="Arial" w:cs="Arial"/>
          <w:sz w:val="22"/>
          <w:szCs w:val="22"/>
          <w:lang w:val="es-MX" w:eastAsia="en-US"/>
        </w:rPr>
      </w:pPr>
      <w:r w:rsidRPr="00946E02">
        <w:rPr>
          <w:rFonts w:ascii="Arial" w:eastAsiaTheme="minorHAnsi" w:hAnsi="Arial" w:cs="Arial"/>
          <w:sz w:val="22"/>
          <w:szCs w:val="22"/>
          <w:lang w:val="es-MX" w:eastAsia="en-US"/>
        </w:rPr>
        <w:t xml:space="preserve">Estas consideraciones son relevantes a efectos de aplicar los documentos tipo de infraestructura de transporte, principalmente, </w:t>
      </w:r>
      <w:r w:rsidR="002773AB" w:rsidRPr="00946E02">
        <w:rPr>
          <w:rFonts w:ascii="Arial" w:eastAsiaTheme="minorHAnsi" w:hAnsi="Arial" w:cs="Arial"/>
          <w:sz w:val="22"/>
          <w:szCs w:val="22"/>
          <w:lang w:val="es-MX" w:eastAsia="en-US"/>
        </w:rPr>
        <w:t>en cuanto a</w:t>
      </w:r>
      <w:r w:rsidRPr="00946E02">
        <w:rPr>
          <w:rFonts w:ascii="Arial" w:eastAsiaTheme="minorHAnsi" w:hAnsi="Arial" w:cs="Arial"/>
          <w:sz w:val="22"/>
          <w:szCs w:val="22"/>
          <w:lang w:val="es-MX" w:eastAsia="en-US"/>
        </w:rPr>
        <w:t xml:space="preserve"> dos aspectos. En primer lugar, para determinar su ámbito de aplicación. En ese sentido, se aclara que, al constituir actividades de mejoramiento las enlistadas en el Decreto 1076 de 2015, las mismas</w:t>
      </w:r>
      <w:r w:rsidRPr="00946E02">
        <w:rPr>
          <w:rFonts w:ascii="Arial" w:eastAsiaTheme="minorHAnsi" w:hAnsi="Arial" w:cs="Arial"/>
          <w:i/>
          <w:iCs/>
          <w:sz w:val="22"/>
          <w:szCs w:val="22"/>
          <w:lang w:val="es-MX" w:eastAsia="en-US"/>
        </w:rPr>
        <w:t xml:space="preserve"> </w:t>
      </w:r>
      <w:r w:rsidRPr="00946E02">
        <w:rPr>
          <w:rFonts w:ascii="Arial" w:eastAsiaTheme="minorHAnsi" w:hAnsi="Arial" w:cs="Arial"/>
          <w:sz w:val="22"/>
          <w:szCs w:val="22"/>
          <w:lang w:val="es-MX" w:eastAsia="en-US"/>
        </w:rPr>
        <w:t>deben ser contratadas por las entidades estatales –sometidas al Estatuto General de Contratación de la Administración Pública– aplicando los documentos tipo de infraestructura de transporte que correspondan. Conforme a esto, cuando se requiera contratar una actividad de mejoramiento de infraestructura vial, siempre que se encuentre dentro de las enlistadas por los artículos 2.2.2.5.1.1,</w:t>
      </w:r>
      <w:r w:rsidRPr="00946E02">
        <w:rPr>
          <w:rFonts w:ascii="Arial" w:eastAsiaTheme="minorHAnsi" w:hAnsi="Arial" w:cs="Arial"/>
          <w:b/>
          <w:bCs/>
          <w:sz w:val="22"/>
          <w:szCs w:val="22"/>
          <w:lang w:val="es-MX" w:eastAsia="en-US"/>
        </w:rPr>
        <w:t xml:space="preserve"> </w:t>
      </w:r>
      <w:r w:rsidRPr="00946E02">
        <w:rPr>
          <w:rFonts w:ascii="Arial" w:eastAsiaTheme="minorHAnsi" w:hAnsi="Arial" w:cs="Arial"/>
          <w:sz w:val="22"/>
          <w:szCs w:val="22"/>
          <w:lang w:val="es-MX" w:eastAsia="en-US"/>
        </w:rPr>
        <w:t>2.2.2.5.2.1,</w:t>
      </w:r>
      <w:r w:rsidRPr="00946E02">
        <w:rPr>
          <w:rFonts w:ascii="Arial" w:eastAsiaTheme="minorHAnsi" w:hAnsi="Arial" w:cs="Arial"/>
          <w:b/>
          <w:bCs/>
          <w:sz w:val="22"/>
          <w:szCs w:val="22"/>
          <w:lang w:val="es-MX" w:eastAsia="en-US"/>
        </w:rPr>
        <w:t xml:space="preserve"> </w:t>
      </w:r>
      <w:r w:rsidRPr="00946E02">
        <w:rPr>
          <w:rFonts w:ascii="Arial" w:eastAsiaTheme="minorHAnsi" w:hAnsi="Arial" w:cs="Arial"/>
          <w:sz w:val="22"/>
          <w:szCs w:val="22"/>
          <w:lang w:val="es-MX" w:eastAsia="en-US"/>
        </w:rPr>
        <w:t>2.2.2.5.3.1, 2.2.2.5.3.2 o 2.2.2.5.4.1 del Decreto 1076 de 2015, su contratación deberá llevarse a cabo aplicando documentos tipo de infraestructura de transporte.</w:t>
      </w:r>
    </w:p>
    <w:p w14:paraId="4DAA99F5" w14:textId="14EA2217" w:rsidR="006A616D" w:rsidRPr="00946E02" w:rsidRDefault="0074426D" w:rsidP="006A616D">
      <w:pPr>
        <w:pStyle w:val="Normal11pt"/>
        <w:spacing w:before="120" w:line="276" w:lineRule="auto"/>
        <w:ind w:left="0" w:firstLine="708"/>
        <w:rPr>
          <w:rFonts w:eastAsiaTheme="minorHAnsi"/>
          <w:lang w:val="es-MX" w:eastAsia="en-US"/>
        </w:rPr>
      </w:pPr>
      <w:r w:rsidRPr="00946E02">
        <w:rPr>
          <w:rStyle w:val="nfasis"/>
          <w:i w:val="0"/>
          <w:iCs w:val="0"/>
        </w:rPr>
        <w:t>Por otro lado, el segundo aspecto tiene que ver con la evaluación de la experiencia.</w:t>
      </w:r>
      <w:r w:rsidR="006A616D" w:rsidRPr="00946E02">
        <w:rPr>
          <w:rStyle w:val="nfasis"/>
          <w:i w:val="0"/>
          <w:iCs w:val="0"/>
        </w:rPr>
        <w:t xml:space="preserve"> Esto quiere decir que, para determinar si un proponente tiene o no experiencia en </w:t>
      </w:r>
      <w:r w:rsidR="002B0C37" w:rsidRPr="00946E02">
        <w:rPr>
          <w:rStyle w:val="nfasis"/>
          <w:i w:val="0"/>
          <w:iCs w:val="0"/>
        </w:rPr>
        <w:t xml:space="preserve">el </w:t>
      </w:r>
      <w:r w:rsidR="006A616D" w:rsidRPr="00946E02">
        <w:rPr>
          <w:rStyle w:val="nfasis"/>
        </w:rPr>
        <w:t>mejoramiento</w:t>
      </w:r>
      <w:r w:rsidR="006A616D" w:rsidRPr="00946E02">
        <w:rPr>
          <w:rStyle w:val="nfasis"/>
          <w:i w:val="0"/>
          <w:iCs w:val="0"/>
        </w:rPr>
        <w:t xml:space="preserve"> de determinado tipo de infraestructura, a la entidad le corresponde verificar que el desarrollo de los contratos acreditados haya involucrado efectivamente la ejecución de alguna de las actividades señaladas en los artículos </w:t>
      </w:r>
      <w:r w:rsidR="006A616D" w:rsidRPr="00946E02">
        <w:rPr>
          <w:rStyle w:val="Textoennegrita"/>
          <w:b w:val="0"/>
          <w:bCs w:val="0"/>
        </w:rPr>
        <w:t>2.2.2.5.1.1</w:t>
      </w:r>
      <w:r w:rsidR="006A616D" w:rsidRPr="00946E02">
        <w:rPr>
          <w:rStyle w:val="nfasis"/>
          <w:i w:val="0"/>
          <w:iCs w:val="0"/>
        </w:rPr>
        <w:t xml:space="preserve">, </w:t>
      </w:r>
      <w:r w:rsidR="006A616D" w:rsidRPr="00946E02">
        <w:rPr>
          <w:rStyle w:val="Textoennegrita"/>
          <w:b w:val="0"/>
          <w:bCs w:val="0"/>
        </w:rPr>
        <w:t>2.2.2.5.2.1</w:t>
      </w:r>
      <w:r w:rsidR="006A616D" w:rsidRPr="00946E02">
        <w:rPr>
          <w:rStyle w:val="nfasis"/>
          <w:i w:val="0"/>
          <w:iCs w:val="0"/>
        </w:rPr>
        <w:t>,</w:t>
      </w:r>
      <w:r w:rsidR="006A616D" w:rsidRPr="00946E02">
        <w:rPr>
          <w:rStyle w:val="nfasis"/>
          <w:b/>
          <w:bCs/>
          <w:i w:val="0"/>
          <w:iCs w:val="0"/>
        </w:rPr>
        <w:t xml:space="preserve"> </w:t>
      </w:r>
      <w:r w:rsidR="006A616D" w:rsidRPr="00946E02">
        <w:rPr>
          <w:rStyle w:val="nfasis"/>
          <w:i w:val="0"/>
          <w:iCs w:val="0"/>
        </w:rPr>
        <w:t xml:space="preserve">2.2.2.5.3.1, 2.2.2.5.3.2 o 2.2.2.5.4.1 </w:t>
      </w:r>
      <w:r w:rsidR="00927931" w:rsidRPr="00946E02">
        <w:rPr>
          <w:rStyle w:val="nfasis"/>
        </w:rPr>
        <w:t>ibidem</w:t>
      </w:r>
      <w:r w:rsidR="006A616D" w:rsidRPr="00946E02">
        <w:rPr>
          <w:rStyle w:val="nfasis"/>
          <w:i w:val="0"/>
          <w:iCs w:val="0"/>
        </w:rPr>
        <w:t>.</w:t>
      </w:r>
      <w:r w:rsidR="002B0C37" w:rsidRPr="00946E02">
        <w:rPr>
          <w:rStyle w:val="nfasis"/>
          <w:i w:val="0"/>
          <w:iCs w:val="0"/>
        </w:rPr>
        <w:t xml:space="preserve"> </w:t>
      </w:r>
      <w:r w:rsidR="006A616D" w:rsidRPr="00946E02">
        <w:rPr>
          <w:rStyle w:val="nfasis"/>
          <w:i w:val="0"/>
          <w:iCs w:val="0"/>
        </w:rPr>
        <w:t>Conforme a lo anterior, la</w:t>
      </w:r>
      <w:r w:rsidR="002B0C37" w:rsidRPr="00946E02">
        <w:rPr>
          <w:rStyle w:val="nfasis"/>
          <w:i w:val="0"/>
          <w:iCs w:val="0"/>
        </w:rPr>
        <w:t>s</w:t>
      </w:r>
      <w:r w:rsidR="006A616D" w:rsidRPr="00946E02">
        <w:rPr>
          <w:rStyle w:val="nfasis"/>
          <w:i w:val="0"/>
          <w:iCs w:val="0"/>
        </w:rPr>
        <w:t xml:space="preserve"> referencias a </w:t>
      </w:r>
      <w:r w:rsidR="006A616D" w:rsidRPr="00946E02">
        <w:rPr>
          <w:rFonts w:eastAsiaTheme="minorHAnsi"/>
          <w:lang w:val="es-MX" w:eastAsia="en-US"/>
        </w:rPr>
        <w:t xml:space="preserve">las actividades catalogadas como </w:t>
      </w:r>
      <w:r w:rsidR="006A616D" w:rsidRPr="00946E02">
        <w:rPr>
          <w:rFonts w:eastAsiaTheme="minorHAnsi"/>
          <w:i/>
          <w:iCs/>
          <w:lang w:val="es-MX" w:eastAsia="en-US"/>
        </w:rPr>
        <w:t>mejoramiento</w:t>
      </w:r>
      <w:r w:rsidR="006A616D" w:rsidRPr="00946E02">
        <w:rPr>
          <w:rFonts w:eastAsiaTheme="minorHAnsi"/>
          <w:lang w:val="es-MX" w:eastAsia="en-US"/>
        </w:rPr>
        <w:t xml:space="preserve"> deben ser </w:t>
      </w:r>
      <w:r w:rsidR="002B0C37" w:rsidRPr="00946E02">
        <w:rPr>
          <w:rFonts w:eastAsiaTheme="minorHAnsi"/>
          <w:lang w:val="es-MX" w:eastAsia="en-US"/>
        </w:rPr>
        <w:t xml:space="preserve">precisadas de acuerdo con </w:t>
      </w:r>
      <w:r w:rsidR="006A616D" w:rsidRPr="00946E02">
        <w:rPr>
          <w:rFonts w:eastAsiaTheme="minorHAnsi"/>
          <w:lang w:val="es-MX" w:eastAsia="en-US"/>
        </w:rPr>
        <w:t>el Decreto 1076 de 2015</w:t>
      </w:r>
      <w:r w:rsidR="002B0C37" w:rsidRPr="00946E02">
        <w:rPr>
          <w:rFonts w:eastAsiaTheme="minorHAnsi"/>
          <w:lang w:val="es-MX" w:eastAsia="en-US"/>
        </w:rPr>
        <w:t xml:space="preserve">, norma a la que se hace referencia el pie de página del «Anexo 3 – Glosario» en el lugar donde se desarrolla la noción de </w:t>
      </w:r>
      <w:r w:rsidR="002B0C37" w:rsidRPr="00946E02">
        <w:rPr>
          <w:rFonts w:eastAsiaTheme="minorHAnsi"/>
          <w:i/>
          <w:iCs/>
          <w:lang w:val="es-MX" w:eastAsia="en-US"/>
        </w:rPr>
        <w:t>mejoramiento</w:t>
      </w:r>
      <w:r w:rsidR="006A616D" w:rsidRPr="00946E02">
        <w:rPr>
          <w:rFonts w:eastAsiaTheme="minorHAnsi"/>
          <w:lang w:val="es-MX" w:eastAsia="en-US"/>
        </w:rPr>
        <w:t xml:space="preserve">. </w:t>
      </w:r>
    </w:p>
    <w:p w14:paraId="6EF46AA1" w14:textId="77777777" w:rsidR="006A616D" w:rsidRPr="00946E02" w:rsidRDefault="006A616D" w:rsidP="00B41C03">
      <w:pPr>
        <w:pStyle w:val="Normal11pt"/>
        <w:spacing w:line="276" w:lineRule="auto"/>
        <w:ind w:left="0"/>
        <w:rPr>
          <w:rFonts w:eastAsiaTheme="minorHAnsi"/>
          <w:lang w:val="es-MX" w:eastAsia="en-US"/>
        </w:rPr>
      </w:pPr>
    </w:p>
    <w:p w14:paraId="0E36805D" w14:textId="752A7D22" w:rsidR="006A616D" w:rsidRPr="00946E02" w:rsidRDefault="006A616D" w:rsidP="006A616D">
      <w:pPr>
        <w:spacing w:line="276" w:lineRule="auto"/>
        <w:jc w:val="both"/>
        <w:rPr>
          <w:rFonts w:ascii="Arial" w:hAnsi="Arial" w:cs="Arial"/>
          <w:b/>
          <w:bCs/>
          <w:sz w:val="22"/>
        </w:rPr>
      </w:pPr>
      <w:r w:rsidRPr="00946E02">
        <w:rPr>
          <w:rFonts w:ascii="Arial" w:hAnsi="Arial" w:cs="Arial"/>
          <w:b/>
          <w:bCs/>
          <w:sz w:val="22"/>
        </w:rPr>
        <w:t>2.</w:t>
      </w:r>
      <w:r w:rsidR="005E74AD" w:rsidRPr="00946E02">
        <w:rPr>
          <w:rFonts w:ascii="Arial" w:hAnsi="Arial" w:cs="Arial"/>
          <w:b/>
          <w:bCs/>
          <w:sz w:val="22"/>
        </w:rPr>
        <w:t>3</w:t>
      </w:r>
      <w:r w:rsidRPr="00946E02">
        <w:rPr>
          <w:rFonts w:ascii="Arial" w:hAnsi="Arial" w:cs="Arial"/>
          <w:b/>
          <w:bCs/>
          <w:sz w:val="22"/>
        </w:rPr>
        <w:t xml:space="preserve">. </w:t>
      </w:r>
      <w:bookmarkStart w:id="0" w:name="_Hlk66720321"/>
      <w:r w:rsidRPr="00946E02">
        <w:rPr>
          <w:rFonts w:ascii="Arial" w:hAnsi="Arial" w:cs="Arial"/>
          <w:b/>
          <w:bCs/>
          <w:sz w:val="22"/>
        </w:rPr>
        <w:t xml:space="preserve">Acreditación y evaluación de los requisitos de experiencia </w:t>
      </w:r>
      <w:bookmarkEnd w:id="0"/>
      <w:r w:rsidRPr="00946E02">
        <w:rPr>
          <w:rFonts w:ascii="Arial" w:hAnsi="Arial" w:cs="Arial"/>
          <w:b/>
          <w:bCs/>
          <w:sz w:val="22"/>
        </w:rPr>
        <w:t>en procesos adelantados con documentos tipo de infraestructura de transporte</w:t>
      </w:r>
    </w:p>
    <w:p w14:paraId="5BE7226F" w14:textId="77777777" w:rsidR="006A616D" w:rsidRPr="00946E02" w:rsidRDefault="006A616D" w:rsidP="006A616D">
      <w:pPr>
        <w:jc w:val="both"/>
        <w:rPr>
          <w:rFonts w:ascii="Arial" w:hAnsi="Arial" w:cs="Arial"/>
          <w:b/>
          <w:bCs/>
          <w:sz w:val="22"/>
        </w:rPr>
      </w:pPr>
    </w:p>
    <w:p w14:paraId="4D20F46F" w14:textId="44042A37" w:rsidR="006A616D" w:rsidRPr="00946E02" w:rsidRDefault="0048677A" w:rsidP="006A616D">
      <w:pPr>
        <w:spacing w:after="120" w:line="276" w:lineRule="auto"/>
        <w:ind w:right="51"/>
        <w:jc w:val="both"/>
        <w:rPr>
          <w:rFonts w:ascii="Arial" w:hAnsi="Arial" w:cs="Arial"/>
          <w:sz w:val="22"/>
        </w:rPr>
      </w:pPr>
      <w:r w:rsidRPr="00946E02">
        <w:rPr>
          <w:rFonts w:ascii="Arial" w:hAnsi="Arial" w:cs="Arial"/>
          <w:sz w:val="22"/>
        </w:rPr>
        <w:t>Como se señaló anteriormente,</w:t>
      </w:r>
      <w:r w:rsidR="006A616D" w:rsidRPr="00946E02">
        <w:rPr>
          <w:rFonts w:ascii="Arial" w:hAnsi="Arial" w:cs="Arial"/>
          <w:sz w:val="22"/>
        </w:rPr>
        <w:t xml:space="preserve"> la Resolución No. 240 del 27 de noviembre de 2020</w:t>
      </w:r>
      <w:r w:rsidR="00D143F4" w:rsidRPr="00946E02">
        <w:rPr>
          <w:rFonts w:ascii="Arial" w:hAnsi="Arial" w:cs="Arial"/>
          <w:sz w:val="22"/>
        </w:rPr>
        <w:t xml:space="preserve"> </w:t>
      </w:r>
      <w:r w:rsidR="006A616D" w:rsidRPr="00946E02">
        <w:rPr>
          <w:rFonts w:ascii="Arial" w:hAnsi="Arial" w:cs="Arial"/>
          <w:sz w:val="22"/>
        </w:rPr>
        <w:t>actualizó los documentos tipo de licitación de obra pública de infraestructura de transporte, implementando la versión 3 de los mismos.</w:t>
      </w:r>
      <w:r w:rsidR="00B03108" w:rsidRPr="00946E02">
        <w:rPr>
          <w:rFonts w:ascii="Arial" w:hAnsi="Arial" w:cs="Arial"/>
          <w:sz w:val="22"/>
        </w:rPr>
        <w:t xml:space="preserve"> </w:t>
      </w:r>
      <w:r w:rsidR="00D143F4" w:rsidRPr="00946E02">
        <w:rPr>
          <w:rFonts w:ascii="Arial" w:hAnsi="Arial" w:cs="Arial"/>
          <w:sz w:val="22"/>
        </w:rPr>
        <w:t xml:space="preserve"> </w:t>
      </w:r>
      <w:r w:rsidR="004C709A" w:rsidRPr="00946E02">
        <w:rPr>
          <w:rFonts w:ascii="Arial" w:hAnsi="Arial" w:cs="Arial"/>
          <w:sz w:val="22"/>
        </w:rPr>
        <w:t>P</w:t>
      </w:r>
      <w:r w:rsidR="00D143F4" w:rsidRPr="00946E02">
        <w:rPr>
          <w:rFonts w:ascii="Arial" w:hAnsi="Arial" w:cs="Arial"/>
          <w:sz w:val="22"/>
        </w:rPr>
        <w:t>osteriormente</w:t>
      </w:r>
      <w:r w:rsidR="00B03108" w:rsidRPr="00946E02">
        <w:rPr>
          <w:rFonts w:ascii="Arial" w:hAnsi="Arial" w:cs="Arial"/>
          <w:sz w:val="22"/>
        </w:rPr>
        <w:t xml:space="preserve"> se expidieron las Resoluciones </w:t>
      </w:r>
      <w:r w:rsidR="00B03108" w:rsidRPr="00946E02">
        <w:rPr>
          <w:rFonts w:ascii="Arial" w:hAnsi="Arial" w:cs="Arial"/>
          <w:sz w:val="22"/>
        </w:rPr>
        <w:lastRenderedPageBreak/>
        <w:t xml:space="preserve">161 de 2021 y 304 de 2021, que </w:t>
      </w:r>
      <w:r w:rsidRPr="00946E02">
        <w:rPr>
          <w:rFonts w:ascii="Arial" w:hAnsi="Arial" w:cs="Arial"/>
          <w:sz w:val="22"/>
        </w:rPr>
        <w:t xml:space="preserve">modificaron </w:t>
      </w:r>
      <w:r w:rsidR="00B03108" w:rsidRPr="00946E02">
        <w:rPr>
          <w:rFonts w:ascii="Arial" w:hAnsi="Arial" w:cs="Arial"/>
          <w:sz w:val="22"/>
        </w:rPr>
        <w:t xml:space="preserve">la versión 3 de los documentos tipo, </w:t>
      </w:r>
      <w:r w:rsidR="00D8787B" w:rsidRPr="00946E02">
        <w:rPr>
          <w:rFonts w:ascii="Arial" w:hAnsi="Arial" w:cs="Arial"/>
          <w:sz w:val="22"/>
        </w:rPr>
        <w:t>las cuales están</w:t>
      </w:r>
      <w:r w:rsidR="00B03108" w:rsidRPr="00946E02">
        <w:rPr>
          <w:rFonts w:ascii="Arial" w:hAnsi="Arial" w:cs="Arial"/>
          <w:sz w:val="22"/>
        </w:rPr>
        <w:t xml:space="preserve"> vigentes desde el 1 de noviembre de 2021 y el 2 de noviembre de 2021, respectivamente.</w:t>
      </w:r>
    </w:p>
    <w:p w14:paraId="044E26B0" w14:textId="618CB5B8" w:rsidR="006A616D" w:rsidRPr="00946E02" w:rsidRDefault="006A616D" w:rsidP="006A616D">
      <w:pPr>
        <w:spacing w:after="120" w:line="276" w:lineRule="auto"/>
        <w:ind w:right="51"/>
        <w:jc w:val="both"/>
        <w:rPr>
          <w:rFonts w:ascii="Arial" w:hAnsi="Arial" w:cs="Arial"/>
          <w:sz w:val="22"/>
        </w:rPr>
      </w:pPr>
      <w:r w:rsidRPr="00946E02">
        <w:rPr>
          <w:rFonts w:ascii="Arial" w:hAnsi="Arial" w:cs="Arial"/>
          <w:sz w:val="22"/>
        </w:rPr>
        <w:t xml:space="preserve"> </w:t>
      </w:r>
      <w:r w:rsidRPr="00946E02">
        <w:rPr>
          <w:rFonts w:ascii="Arial" w:hAnsi="Arial" w:cs="Arial"/>
          <w:sz w:val="22"/>
        </w:rPr>
        <w:tab/>
      </w:r>
      <w:r w:rsidR="00D143F4" w:rsidRPr="00946E02">
        <w:rPr>
          <w:rFonts w:ascii="Arial" w:hAnsi="Arial" w:cs="Arial"/>
          <w:sz w:val="22"/>
        </w:rPr>
        <w:t>E</w:t>
      </w:r>
      <w:r w:rsidRPr="00946E02">
        <w:rPr>
          <w:rFonts w:ascii="Arial" w:hAnsi="Arial" w:cs="Arial"/>
          <w:sz w:val="22"/>
        </w:rPr>
        <w:t xml:space="preserve">l Documento Base adoptado por </w:t>
      </w:r>
      <w:r w:rsidR="00B03108" w:rsidRPr="00946E02">
        <w:rPr>
          <w:rFonts w:ascii="Arial" w:hAnsi="Arial" w:cs="Arial"/>
          <w:sz w:val="22"/>
        </w:rPr>
        <w:t>la</w:t>
      </w:r>
      <w:r w:rsidRPr="00946E02">
        <w:rPr>
          <w:rFonts w:ascii="Arial" w:hAnsi="Arial" w:cs="Arial"/>
          <w:sz w:val="22"/>
        </w:rPr>
        <w:t xml:space="preserve"> última resolución</w:t>
      </w:r>
      <w:r w:rsidR="00B03108" w:rsidRPr="00946E02">
        <w:rPr>
          <w:rFonts w:ascii="Arial" w:hAnsi="Arial" w:cs="Arial"/>
          <w:sz w:val="22"/>
        </w:rPr>
        <w:t xml:space="preserve"> referida</w:t>
      </w:r>
      <w:r w:rsidRPr="00946E02">
        <w:rPr>
          <w:rFonts w:ascii="Arial" w:hAnsi="Arial" w:cs="Arial"/>
          <w:sz w:val="22"/>
        </w:rPr>
        <w:t xml:space="preserve"> </w:t>
      </w:r>
      <w:r w:rsidR="00B03108" w:rsidRPr="00946E02">
        <w:rPr>
          <w:rFonts w:ascii="Arial" w:hAnsi="Arial" w:cs="Arial"/>
          <w:sz w:val="22"/>
        </w:rPr>
        <w:t>contiene</w:t>
      </w:r>
      <w:r w:rsidRPr="00946E02">
        <w:rPr>
          <w:rFonts w:ascii="Arial" w:hAnsi="Arial" w:cs="Arial"/>
          <w:sz w:val="22"/>
        </w:rPr>
        <w:t xml:space="preserve">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de  las variantes de la «Matriz 1 – Experiencia», ya sea la de proyectos de baja–media, o la elaborada para proyectos de alta complejidad técnica. En otras palabras, a partir de la actualización de los documentos tipo de licitación de obra pública de infraestructura de transporte – versión 3 se crean dos Matrices de experiencia: i) para proyectos de baja o media complejidad técnica y </w:t>
      </w:r>
      <w:proofErr w:type="spellStart"/>
      <w:r w:rsidRPr="00946E02">
        <w:rPr>
          <w:rFonts w:ascii="Arial" w:hAnsi="Arial" w:cs="Arial"/>
          <w:sz w:val="22"/>
        </w:rPr>
        <w:t>ii</w:t>
      </w:r>
      <w:proofErr w:type="spellEnd"/>
      <w:r w:rsidRPr="00946E02">
        <w:rPr>
          <w:rFonts w:ascii="Arial" w:hAnsi="Arial" w:cs="Arial"/>
          <w:sz w:val="22"/>
        </w:rPr>
        <w:t xml:space="preserve">) para proyectos de alta complejidad técnica. </w:t>
      </w:r>
    </w:p>
    <w:p w14:paraId="452ED1AE" w14:textId="77777777" w:rsidR="006A616D" w:rsidRPr="00946E02" w:rsidRDefault="006A616D" w:rsidP="006A616D">
      <w:pPr>
        <w:spacing w:after="120" w:line="276" w:lineRule="auto"/>
        <w:ind w:right="51"/>
        <w:jc w:val="both"/>
        <w:rPr>
          <w:rFonts w:ascii="Arial" w:hAnsi="Arial" w:cs="Arial"/>
          <w:sz w:val="22"/>
        </w:rPr>
      </w:pPr>
      <w:r w:rsidRPr="00946E02">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alta complejidad técnica 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302ECC57"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0E61EE11" w14:textId="6E245026"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a) Establecer si se trata de un proyecto de complejidad baja-media o alta, y en función de ello </w:t>
      </w:r>
      <w:r w:rsidR="00D143F4" w:rsidRPr="00946E02">
        <w:rPr>
          <w:rFonts w:ascii="Arial" w:hAnsi="Arial" w:cs="Arial"/>
          <w:sz w:val="22"/>
        </w:rPr>
        <w:t xml:space="preserve">definir </w:t>
      </w:r>
      <w:r w:rsidRPr="00946E02">
        <w:rPr>
          <w:rFonts w:ascii="Arial" w:hAnsi="Arial" w:cs="Arial"/>
          <w:sz w:val="22"/>
        </w:rPr>
        <w:t>la Matriz 1 aplicable.</w:t>
      </w:r>
    </w:p>
    <w:p w14:paraId="5DF6A817"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5A9B50BF"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c) Definido el tipo de infraestructura, identificar la </w:t>
      </w:r>
      <w:r w:rsidRPr="00946E02">
        <w:rPr>
          <w:rFonts w:ascii="Arial" w:eastAsia="Calibri" w:hAnsi="Arial" w:cs="Arial"/>
          <w:sz w:val="22"/>
        </w:rPr>
        <w:t>«</w:t>
      </w:r>
      <w:r w:rsidRPr="00946E02">
        <w:rPr>
          <w:rFonts w:ascii="Arial" w:hAnsi="Arial" w:cs="Arial"/>
          <w:sz w:val="22"/>
        </w:rPr>
        <w:t>ACTIVIDAD A CONTRATAR</w:t>
      </w:r>
      <w:r w:rsidRPr="00946E02">
        <w:rPr>
          <w:rFonts w:ascii="Arial" w:eastAsia="Calibri" w:hAnsi="Arial" w:cs="Arial"/>
          <w:sz w:val="22"/>
        </w:rPr>
        <w:t>»</w:t>
      </w:r>
      <w:r w:rsidRPr="00946E02">
        <w:rPr>
          <w:rFonts w:ascii="Arial" w:hAnsi="Arial" w:cs="Arial"/>
          <w:sz w:val="22"/>
        </w:rPr>
        <w:t xml:space="preserve"> acorde con la Matriz 1. </w:t>
      </w:r>
    </w:p>
    <w:p w14:paraId="137599CA" w14:textId="77777777"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c) Identificar el rango en el cual se encuentra el Proceso de Contratación de acuerdo con el presupuesto oficial. </w:t>
      </w:r>
    </w:p>
    <w:p w14:paraId="21998B2A" w14:textId="77777777" w:rsidR="006A616D" w:rsidRPr="00946E02" w:rsidRDefault="006A616D" w:rsidP="006A616D">
      <w:pPr>
        <w:spacing w:before="120" w:after="120" w:line="276" w:lineRule="auto"/>
        <w:ind w:firstLine="709"/>
        <w:jc w:val="both"/>
        <w:rPr>
          <w:rFonts w:ascii="Arial" w:hAnsi="Arial" w:cs="Arial"/>
          <w:sz w:val="22"/>
        </w:rPr>
      </w:pPr>
      <w:r w:rsidRPr="00946E02">
        <w:rPr>
          <w:rFonts w:ascii="Arial" w:hAnsi="Arial" w:cs="Arial"/>
          <w:sz w:val="22"/>
        </w:rPr>
        <w:lastRenderedPageBreak/>
        <w:t xml:space="preserve">d) Identificar la </w:t>
      </w:r>
      <w:r w:rsidRPr="00946E02">
        <w:rPr>
          <w:rFonts w:ascii="Arial" w:eastAsia="Calibri" w:hAnsi="Arial" w:cs="Arial"/>
          <w:sz w:val="22"/>
        </w:rPr>
        <w:t>«</w:t>
      </w:r>
      <w:r w:rsidRPr="00946E02">
        <w:rPr>
          <w:rFonts w:ascii="Arial" w:hAnsi="Arial" w:cs="Arial"/>
          <w:sz w:val="22"/>
        </w:rPr>
        <w:t>experiencia general</w:t>
      </w:r>
      <w:r w:rsidRPr="00946E02">
        <w:rPr>
          <w:rFonts w:ascii="Arial" w:eastAsia="Calibri" w:hAnsi="Arial" w:cs="Arial"/>
          <w:sz w:val="22"/>
        </w:rPr>
        <w:t>»</w:t>
      </w:r>
      <w:r w:rsidRPr="00946E02">
        <w:rPr>
          <w:rFonts w:ascii="Arial" w:hAnsi="Arial" w:cs="Arial"/>
          <w:sz w:val="22"/>
        </w:rPr>
        <w:t xml:space="preserve"> exigible acorde con la Matriz 1 teniendo en cuenta la actividad a contratar y el rango de la cuantía del Proceso de Contratación. </w:t>
      </w:r>
    </w:p>
    <w:p w14:paraId="1A7C8741" w14:textId="77777777" w:rsidR="006A616D" w:rsidRPr="00946E02" w:rsidRDefault="006A616D" w:rsidP="006A616D">
      <w:pPr>
        <w:spacing w:after="120" w:line="276" w:lineRule="auto"/>
        <w:ind w:firstLine="709"/>
        <w:jc w:val="both"/>
        <w:rPr>
          <w:rFonts w:ascii="Arial" w:hAnsi="Arial" w:cs="Arial"/>
          <w:sz w:val="22"/>
        </w:rPr>
      </w:pPr>
      <w:r w:rsidRPr="00946E02">
        <w:rPr>
          <w:rFonts w:ascii="Arial" w:hAnsi="Arial" w:cs="Arial"/>
          <w:sz w:val="22"/>
        </w:rPr>
        <w:t xml:space="preserve">e) Identificar la </w:t>
      </w:r>
      <w:r w:rsidRPr="00946E02">
        <w:rPr>
          <w:rFonts w:ascii="Arial" w:eastAsia="Calibri" w:hAnsi="Arial" w:cs="Arial"/>
          <w:sz w:val="22"/>
        </w:rPr>
        <w:t>«</w:t>
      </w:r>
      <w:r w:rsidRPr="00946E02">
        <w:rPr>
          <w:rFonts w:ascii="Arial" w:hAnsi="Arial" w:cs="Arial"/>
          <w:sz w:val="22"/>
        </w:rPr>
        <w:t>experiencia específica</w:t>
      </w:r>
      <w:r w:rsidRPr="00946E02">
        <w:rPr>
          <w:rFonts w:ascii="Arial" w:eastAsia="Calibri" w:hAnsi="Arial" w:cs="Arial"/>
          <w:sz w:val="22"/>
        </w:rPr>
        <w:t>»</w:t>
      </w:r>
      <w:r w:rsidRPr="00946E02">
        <w:rPr>
          <w:rFonts w:ascii="Arial" w:hAnsi="Arial" w:cs="Arial"/>
          <w:sz w:val="22"/>
        </w:rPr>
        <w:t xml:space="preserve"> exigible y el porcentaje de dimensionamiento que se puede solicitar acorde con la longitud a ejecutar, de acuerdo con la cuantía del proceso de contratación. Cuando en la </w:t>
      </w:r>
      <w:r w:rsidRPr="00946E02">
        <w:rPr>
          <w:rFonts w:ascii="Arial" w:eastAsia="Calibri" w:hAnsi="Arial" w:cs="Arial"/>
          <w:sz w:val="22"/>
        </w:rPr>
        <w:t>«</w:t>
      </w:r>
      <w:r w:rsidRPr="00946E02">
        <w:rPr>
          <w:rFonts w:ascii="Arial" w:hAnsi="Arial" w:cs="Arial"/>
          <w:sz w:val="22"/>
        </w:rPr>
        <w:t>experiencia específica</w:t>
      </w:r>
      <w:r w:rsidRPr="00946E02">
        <w:rPr>
          <w:rFonts w:ascii="Arial" w:eastAsia="Calibri" w:hAnsi="Arial" w:cs="Arial"/>
          <w:sz w:val="22"/>
        </w:rPr>
        <w:t>»</w:t>
      </w:r>
      <w:r w:rsidRPr="00946E02">
        <w:rPr>
          <w:rFonts w:ascii="Arial" w:hAnsi="Arial" w:cs="Arial"/>
          <w:sz w:val="22"/>
        </w:rPr>
        <w:t xml:space="preserve"> se indiquen las siglas </w:t>
      </w:r>
      <w:r w:rsidRPr="00946E02">
        <w:rPr>
          <w:rFonts w:ascii="Arial" w:hAnsi="Arial" w:cs="Arial"/>
          <w:i/>
          <w:iCs/>
          <w:sz w:val="22"/>
        </w:rPr>
        <w:t>N.A</w:t>
      </w:r>
      <w:r w:rsidRPr="00946E02">
        <w:rPr>
          <w:rFonts w:ascii="Arial" w:hAnsi="Arial" w:cs="Arial"/>
          <w:sz w:val="22"/>
        </w:rPr>
        <w:t xml:space="preserve"> significa que la entidad estatal no puede exigir a los proponentes experiencia específica en los procesos de contratación. </w:t>
      </w:r>
    </w:p>
    <w:p w14:paraId="365D768C" w14:textId="2D0DE422" w:rsidR="006A616D" w:rsidRPr="00946E02" w:rsidRDefault="006A616D" w:rsidP="006A616D">
      <w:pPr>
        <w:spacing w:after="120" w:line="276" w:lineRule="auto"/>
        <w:ind w:firstLine="709"/>
        <w:jc w:val="both"/>
        <w:rPr>
          <w:rFonts w:ascii="Arial" w:hAnsi="Arial" w:cs="Arial"/>
          <w:sz w:val="22"/>
        </w:rPr>
      </w:pPr>
      <w:r w:rsidRPr="00946E02">
        <w:rPr>
          <w:rFonts w:ascii="Arial" w:hAnsi="Arial" w:cs="Arial"/>
          <w:sz w:val="22"/>
        </w:rPr>
        <w:t>f) Establecidos los requisitos de experiencia, la entidad deberá consignarlos en los apartados grises entre corchetes del literal A del numeral 3.5.2 del Documento Base, para que los oferentes puedan conocer los requisitos de experiencia general y espec</w:t>
      </w:r>
      <w:r w:rsidR="00A77A09" w:rsidRPr="00946E02">
        <w:rPr>
          <w:rFonts w:ascii="Arial" w:hAnsi="Arial" w:cs="Arial"/>
          <w:sz w:val="22"/>
        </w:rPr>
        <w:t>í</w:t>
      </w:r>
      <w:r w:rsidRPr="00946E02">
        <w:rPr>
          <w:rFonts w:ascii="Arial" w:hAnsi="Arial" w:cs="Arial"/>
          <w:sz w:val="22"/>
        </w:rPr>
        <w:t>fica exigidos por la entidad.</w:t>
      </w:r>
    </w:p>
    <w:p w14:paraId="3A999999" w14:textId="08F5B50A" w:rsidR="006A616D" w:rsidRPr="00946E02" w:rsidRDefault="006A616D" w:rsidP="006A616D">
      <w:pPr>
        <w:spacing w:before="120" w:line="276" w:lineRule="auto"/>
        <w:ind w:firstLine="708"/>
        <w:jc w:val="both"/>
        <w:rPr>
          <w:rFonts w:ascii="Arial" w:hAnsi="Arial" w:cs="Arial"/>
          <w:sz w:val="22"/>
        </w:rPr>
      </w:pPr>
      <w:r w:rsidRPr="00946E02">
        <w:rPr>
          <w:rFonts w:ascii="Arial" w:hAnsi="Arial" w:cs="Arial"/>
          <w:sz w:val="22"/>
        </w:rPr>
        <w:t xml:space="preserve"> Varios de los requisitos de experiencia general y espec</w:t>
      </w:r>
      <w:r w:rsidR="00E95CE9" w:rsidRPr="00946E02">
        <w:rPr>
          <w:rFonts w:ascii="Arial" w:hAnsi="Arial" w:cs="Arial"/>
          <w:sz w:val="22"/>
        </w:rPr>
        <w:t>í</w:t>
      </w:r>
      <w:r w:rsidRPr="00946E02">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14:paraId="31A65A06" w14:textId="552EEC17" w:rsidR="006A616D" w:rsidRPr="00946E02" w:rsidRDefault="006A616D" w:rsidP="006A616D">
      <w:pPr>
        <w:spacing w:before="120" w:after="120" w:line="276" w:lineRule="auto"/>
        <w:ind w:firstLine="709"/>
        <w:jc w:val="both"/>
        <w:rPr>
          <w:rFonts w:ascii="Arial" w:hAnsi="Arial" w:cs="Arial"/>
          <w:sz w:val="22"/>
        </w:rPr>
      </w:pPr>
      <w:r w:rsidRPr="00946E02">
        <w:rPr>
          <w:rFonts w:ascii="Arial" w:hAnsi="Arial" w:cs="Arial"/>
          <w:sz w:val="22"/>
        </w:rPr>
        <w:t>El dimensionamiento supone que la experiencia a exigirse estará determinada por la longitud –u otra magnitud– que se pretende intervenir, de tal manera que a quienes estén interesados en participar se le</w:t>
      </w:r>
      <w:r w:rsidR="0037067E" w:rsidRPr="00946E02">
        <w:rPr>
          <w:rFonts w:ascii="Arial" w:hAnsi="Arial" w:cs="Arial"/>
          <w:sz w:val="22"/>
        </w:rPr>
        <w:t>s</w:t>
      </w:r>
      <w:r w:rsidRPr="00946E02">
        <w:rPr>
          <w:rFonts w:ascii="Arial" w:hAnsi="Arial" w:cs="Arial"/>
          <w:sz w:val="22"/>
        </w:rPr>
        <w:t xml:space="preserve"> exigirá, por ejemplo, acreditar experiencia específica en proyectos en donde hayan intervenido un porcentaje de dicha longitud establecida en kilómetros (km) en la Matriz 1. De</w:t>
      </w:r>
      <w:r w:rsidR="00E95CE9" w:rsidRPr="00946E02">
        <w:rPr>
          <w:rFonts w:ascii="Arial" w:hAnsi="Arial" w:cs="Arial"/>
          <w:sz w:val="22"/>
        </w:rPr>
        <w:t xml:space="preserve"> igua</w:t>
      </w:r>
      <w:r w:rsidRPr="00946E02">
        <w:rPr>
          <w:rFonts w:ascii="Arial" w:hAnsi="Arial" w:cs="Arial"/>
          <w:sz w:val="22"/>
        </w:rPr>
        <w:t>l</w:t>
      </w:r>
      <w:r w:rsidR="00E95CE9" w:rsidRPr="00946E02">
        <w:rPr>
          <w:rFonts w:ascii="Arial" w:hAnsi="Arial" w:cs="Arial"/>
          <w:sz w:val="22"/>
        </w:rPr>
        <w:t xml:space="preserve"> forma</w:t>
      </w:r>
      <w:r w:rsidRPr="00946E02">
        <w:rPr>
          <w:rFonts w:ascii="Arial" w:hAnsi="Arial" w:cs="Arial"/>
          <w:sz w:val="22"/>
        </w:rPr>
        <w:t>, cuando se exijan requisitos en función del porcentaje del presupuesto oficial, el valor de el o los contratos que se aporten deberán igualar o superar la equivalencia del porcentaje exigible expresado en SMMLV.</w:t>
      </w:r>
    </w:p>
    <w:p w14:paraId="55D8710B" w14:textId="50FC5A73"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w:t>
      </w:r>
      <w:r w:rsidR="00E95CE9" w:rsidRPr="00946E02">
        <w:rPr>
          <w:rFonts w:ascii="Arial" w:hAnsi="Arial" w:cs="Arial"/>
          <w:sz w:val="22"/>
        </w:rPr>
        <w:t>b</w:t>
      </w:r>
      <w:r w:rsidRPr="00946E02">
        <w:rPr>
          <w:rFonts w:ascii="Arial" w:hAnsi="Arial" w:cs="Arial"/>
          <w:sz w:val="22"/>
        </w:rPr>
        <w:t xml:space="preserve">ase en la sumatoria de los valores totales ejecutados de los contratos que cumplan con los requisitos establecidos en el pliego de condiciones. </w:t>
      </w:r>
      <w:r w:rsidR="00E95CE9" w:rsidRPr="00946E02">
        <w:rPr>
          <w:rFonts w:ascii="Arial" w:hAnsi="Arial" w:cs="Arial"/>
          <w:sz w:val="22"/>
        </w:rPr>
        <w:t>Además, m</w:t>
      </w:r>
      <w:r w:rsidRPr="00946E02">
        <w:rPr>
          <w:rFonts w:ascii="Arial" w:hAnsi="Arial" w:cs="Arial"/>
          <w:sz w:val="22"/>
        </w:rPr>
        <w:t xml:space="preserve">ediante estos contratos deberá demostrarse que la experiencia satisface las particularidades del requisito de experiencia determinadas por la Matriz 1 y el numeral 3.5.1 del Documento Base. </w:t>
      </w:r>
    </w:p>
    <w:p w14:paraId="6B759D2B" w14:textId="77777777"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t xml:space="preserve">Respecto de cada uno de estos contratos, conforme lo indica el numeral 3.5.5 del Documento Base, los proponentes deberán acreditar: a) Contratante; b) Objeto del contrato; c) principales actividades ejecutadas; d) las longitudes, volúmenes, dimensiones, </w:t>
      </w:r>
      <w:r w:rsidRPr="00946E02">
        <w:rPr>
          <w:rFonts w:ascii="Arial" w:hAnsi="Arial" w:cs="Arial"/>
          <w:sz w:val="22"/>
        </w:rPr>
        <w:lastRenderedPageBreak/>
        <w:t>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946E02">
        <w:rPr>
          <w:rStyle w:val="Refdenotaalpie"/>
          <w:rFonts w:ascii="Arial" w:hAnsi="Arial" w:cs="Arial"/>
          <w:sz w:val="22"/>
        </w:rPr>
        <w:footnoteReference w:id="8"/>
      </w:r>
      <w:r w:rsidRPr="00946E02">
        <w:rPr>
          <w:rFonts w:ascii="Arial" w:hAnsi="Arial" w:cs="Arial"/>
          <w:sz w:val="22"/>
        </w:rPr>
        <w:t>. Si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información</w:t>
      </w:r>
      <w:r w:rsidRPr="00946E02">
        <w:rPr>
          <w:rStyle w:val="Refdenotaalpie"/>
          <w:rFonts w:ascii="Arial" w:hAnsi="Arial" w:cs="Arial"/>
          <w:sz w:val="22"/>
        </w:rPr>
        <w:footnoteReference w:id="9"/>
      </w:r>
      <w:r w:rsidRPr="00946E02">
        <w:rPr>
          <w:rFonts w:ascii="Arial" w:hAnsi="Arial" w:cs="Arial"/>
          <w:sz w:val="22"/>
        </w:rPr>
        <w:t>.</w:t>
      </w:r>
    </w:p>
    <w:p w14:paraId="1A1B6339" w14:textId="79656BCE"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lastRenderedPageBreak/>
        <w:t xml:space="preserve">Conforme a lo anterior, la Matriz 1 propende por la estandarización de los requisitos habilitantes, para lo cual establece unos requisitos de experiencia general para cada una de las actividades que contempla, y unos requisitos de experiencia específica determinables a partir del monto del presupuesto oficial de proceso de contratación y el alcance físico de la obra. Al respecto, se </w:t>
      </w:r>
      <w:r w:rsidR="00362C88" w:rsidRPr="00946E02">
        <w:rPr>
          <w:rFonts w:ascii="Arial" w:hAnsi="Arial" w:cs="Arial"/>
          <w:sz w:val="22"/>
        </w:rPr>
        <w:t>advierte</w:t>
      </w:r>
      <w:r w:rsidRPr="00946E02">
        <w:rPr>
          <w:rFonts w:ascii="Arial" w:hAnsi="Arial" w:cs="Arial"/>
          <w:sz w:val="22"/>
        </w:rPr>
        <w:t xml:space="preserve"> que los requisitos de experiencia establecidos por la Matriz 1 son inalterables y de obligatoria observancia para las entidades, por lo que estas, en principio, no pueden exigir requisitos de experiencia distintos a los que surgen de la aplicación de la matriz</w:t>
      </w:r>
      <w:r w:rsidRPr="00946E02">
        <w:rPr>
          <w:rStyle w:val="Refdenotaalpie"/>
          <w:rFonts w:ascii="Arial" w:hAnsi="Arial" w:cs="Arial"/>
          <w:sz w:val="22"/>
        </w:rPr>
        <w:footnoteReference w:id="10"/>
      </w:r>
      <w:r w:rsidRPr="00946E02">
        <w:rPr>
          <w:rFonts w:ascii="Arial" w:hAnsi="Arial" w:cs="Arial"/>
          <w:sz w:val="22"/>
        </w:rPr>
        <w:t xml:space="preserve">. </w:t>
      </w:r>
    </w:p>
    <w:p w14:paraId="27BA4B10" w14:textId="7F444710" w:rsidR="006A616D" w:rsidRPr="00946E02" w:rsidRDefault="006A616D" w:rsidP="006A616D">
      <w:pPr>
        <w:spacing w:after="120" w:line="276" w:lineRule="auto"/>
        <w:ind w:right="51" w:firstLine="708"/>
        <w:jc w:val="both"/>
        <w:rPr>
          <w:rFonts w:ascii="Arial" w:hAnsi="Arial" w:cs="Arial"/>
          <w:sz w:val="22"/>
        </w:rPr>
      </w:pPr>
      <w:r w:rsidRPr="00946E02">
        <w:rPr>
          <w:rFonts w:ascii="Arial" w:hAnsi="Arial" w:cs="Arial"/>
          <w:sz w:val="22"/>
        </w:rPr>
        <w:t xml:space="preserve">Ahora bien, </w:t>
      </w:r>
      <w:r w:rsidR="00A259EC" w:rsidRPr="00946E02">
        <w:rPr>
          <w:rFonts w:ascii="Arial" w:hAnsi="Arial" w:cs="Arial"/>
          <w:sz w:val="22"/>
        </w:rPr>
        <w:t>la mayoría</w:t>
      </w:r>
      <w:r w:rsidRPr="00946E02">
        <w:rPr>
          <w:rFonts w:ascii="Arial" w:hAnsi="Arial" w:cs="Arial"/>
          <w:sz w:val="22"/>
        </w:rPr>
        <w:t xml:space="preserve"> de los requisitos de experiencia general contemplados por la Matriz 1 consisten en exigir del proponente haber ejecutado determinadas actividades respecto de un tipo específico de infraestructura. Así, por ejemplo,</w:t>
      </w:r>
      <w:r w:rsidR="00004309" w:rsidRPr="00946E02">
        <w:rPr>
          <w:rFonts w:ascii="Arial" w:hAnsi="Arial" w:cs="Arial"/>
          <w:sz w:val="22"/>
        </w:rPr>
        <w:t xml:space="preserve"> </w:t>
      </w:r>
      <w:r w:rsidR="00362C88" w:rsidRPr="00946E02">
        <w:rPr>
          <w:rFonts w:ascii="Arial" w:hAnsi="Arial" w:cs="Arial"/>
          <w:sz w:val="22"/>
        </w:rPr>
        <w:t xml:space="preserve">por relacionarse con el objeto de la </w:t>
      </w:r>
      <w:r w:rsidR="00004309" w:rsidRPr="00946E02">
        <w:rPr>
          <w:rFonts w:ascii="Arial" w:hAnsi="Arial" w:cs="Arial"/>
          <w:sz w:val="22"/>
        </w:rPr>
        <w:t>consulta,</w:t>
      </w:r>
      <w:r w:rsidRPr="00946E02">
        <w:rPr>
          <w:rFonts w:ascii="Arial" w:hAnsi="Arial" w:cs="Arial"/>
          <w:sz w:val="22"/>
        </w:rPr>
        <w:t xml:space="preserve"> la Matriz 1 para proyectos de complejidad media–baja, adoptada por la Resolución No. </w:t>
      </w:r>
      <w:r w:rsidR="00CA4C52" w:rsidRPr="00946E02">
        <w:rPr>
          <w:rFonts w:ascii="Arial" w:hAnsi="Arial" w:cs="Arial"/>
          <w:sz w:val="22"/>
        </w:rPr>
        <w:t>304</w:t>
      </w:r>
      <w:r w:rsidRPr="00946E02">
        <w:rPr>
          <w:rFonts w:ascii="Arial" w:hAnsi="Arial" w:cs="Arial"/>
          <w:sz w:val="22"/>
        </w:rPr>
        <w:t xml:space="preserve"> de 202</w:t>
      </w:r>
      <w:r w:rsidR="00927931" w:rsidRPr="00946E02">
        <w:rPr>
          <w:rFonts w:ascii="Arial" w:hAnsi="Arial" w:cs="Arial"/>
          <w:sz w:val="22"/>
        </w:rPr>
        <w:t>1</w:t>
      </w:r>
      <w:r w:rsidRPr="00946E02">
        <w:rPr>
          <w:rFonts w:ascii="Arial" w:hAnsi="Arial" w:cs="Arial"/>
          <w:sz w:val="22"/>
        </w:rPr>
        <w:t xml:space="preserve">, </w:t>
      </w:r>
      <w:r w:rsidR="00362C88" w:rsidRPr="00946E02">
        <w:rPr>
          <w:rFonts w:ascii="Arial" w:hAnsi="Arial" w:cs="Arial"/>
          <w:sz w:val="22"/>
        </w:rPr>
        <w:t xml:space="preserve">en relación con </w:t>
      </w:r>
      <w:r w:rsidR="005E74AD" w:rsidRPr="00946E02">
        <w:rPr>
          <w:rFonts w:ascii="Arial" w:hAnsi="Arial" w:cs="Arial"/>
          <w:sz w:val="22"/>
        </w:rPr>
        <w:t>el tipo de obra «obras en vías terciarias», frente a la actividad «2.2 MEJORAMIENTO EN VÍAS TERCIARIAS»</w:t>
      </w:r>
      <w:r w:rsidR="00362C88" w:rsidRPr="00946E02">
        <w:rPr>
          <w:rFonts w:ascii="Arial" w:hAnsi="Arial" w:cs="Arial"/>
          <w:sz w:val="22"/>
        </w:rPr>
        <w:t xml:space="preserve"> </w:t>
      </w:r>
      <w:r w:rsidRPr="00946E02">
        <w:rPr>
          <w:rFonts w:ascii="Arial" w:hAnsi="Arial" w:cs="Arial"/>
          <w:sz w:val="22"/>
        </w:rPr>
        <w:t xml:space="preserve">establece como </w:t>
      </w:r>
      <w:r w:rsidRPr="00946E02">
        <w:rPr>
          <w:rFonts w:ascii="Arial" w:hAnsi="Arial" w:cs="Arial"/>
          <w:sz w:val="22"/>
        </w:rPr>
        <w:lastRenderedPageBreak/>
        <w:t xml:space="preserve">requisito de experiencia general </w:t>
      </w:r>
      <w:r w:rsidR="005E74AD" w:rsidRPr="00946E02">
        <w:rPr>
          <w:rFonts w:ascii="Arial" w:hAnsi="Arial" w:cs="Arial"/>
          <w:sz w:val="22"/>
        </w:rPr>
        <w:t xml:space="preserve">la </w:t>
      </w:r>
      <w:r w:rsidRPr="00946E02">
        <w:rPr>
          <w:rFonts w:ascii="Arial" w:hAnsi="Arial" w:cs="Arial"/>
          <w:sz w:val="22"/>
        </w:rPr>
        <w:t>«</w:t>
      </w:r>
      <w:r w:rsidR="00004309" w:rsidRPr="00946E02">
        <w:rPr>
          <w:rFonts w:ascii="Arial" w:hAnsi="Arial" w:cs="Arial"/>
          <w:sz w:val="22"/>
        </w:rPr>
        <w:t>CONSTRUCCIÓN O MEJORAMIENTO EN PAVIMENTO ASFALTICO O CONCRETO HIDRÁULICO O PLACA HUELLA DE VÍAS PRIMARIAS O SECUNDARIAS O VÍAS TERCIARIAS O VIAS URBANAS O PISTAS DE AEROPUERTOS</w:t>
      </w:r>
      <w:r w:rsidR="005E74AD" w:rsidRPr="00946E02">
        <w:rPr>
          <w:rFonts w:ascii="Arial" w:hAnsi="Arial" w:cs="Arial"/>
          <w:sz w:val="22"/>
        </w:rPr>
        <w:t xml:space="preserve">. </w:t>
      </w:r>
      <w:r w:rsidR="00004309" w:rsidRPr="00946E02">
        <w:rPr>
          <w:rFonts w:ascii="Arial" w:hAnsi="Arial" w:cs="Arial"/>
          <w:sz w:val="22"/>
        </w:rPr>
        <w:t xml:space="preserve">Nota: Será válida la experiencia que haya sido ejecutada a través de Construcción o Mejoramiento o Mantenimiento o Repavimentación o Pavimentación o Conservación de Vías en Asfalto Natural o </w:t>
      </w:r>
      <w:proofErr w:type="spellStart"/>
      <w:r w:rsidR="00004309" w:rsidRPr="00946E02">
        <w:rPr>
          <w:rFonts w:ascii="Arial" w:hAnsi="Arial" w:cs="Arial"/>
          <w:sz w:val="22"/>
        </w:rPr>
        <w:t>Asfaltita</w:t>
      </w:r>
      <w:proofErr w:type="spellEnd"/>
      <w:r w:rsidRPr="00946E02">
        <w:rPr>
          <w:rFonts w:ascii="Arial" w:hAnsi="Arial" w:cs="Arial"/>
          <w:sz w:val="22"/>
        </w:rPr>
        <w:t xml:space="preserve">». Aquel será el requisito de experiencia general que deberá consignar –sin alteraciones– en el literal A del numeral 3.5.2 del Documento Base junto con la experiencia específica. </w:t>
      </w:r>
    </w:p>
    <w:p w14:paraId="30DE77FC" w14:textId="4D7EB32B" w:rsidR="006A616D" w:rsidRPr="00946E02" w:rsidRDefault="00CA4C52" w:rsidP="006A616D">
      <w:pPr>
        <w:spacing w:after="120" w:line="276" w:lineRule="auto"/>
        <w:ind w:right="51" w:firstLine="708"/>
        <w:jc w:val="both"/>
        <w:rPr>
          <w:rFonts w:ascii="Arial" w:hAnsi="Arial" w:cs="Arial"/>
          <w:sz w:val="22"/>
        </w:rPr>
      </w:pPr>
      <w:r w:rsidRPr="00946E02">
        <w:rPr>
          <w:rFonts w:ascii="Arial" w:hAnsi="Arial" w:cs="Arial"/>
          <w:sz w:val="22"/>
        </w:rPr>
        <w:t>E</w:t>
      </w:r>
      <w:r w:rsidR="006A616D" w:rsidRPr="00946E02">
        <w:rPr>
          <w:rFonts w:ascii="Arial" w:hAnsi="Arial" w:cs="Arial"/>
          <w:sz w:val="22"/>
        </w:rPr>
        <w:t xml:space="preserve">n cuanto a la actividad de </w:t>
      </w:r>
      <w:r w:rsidR="006A616D" w:rsidRPr="00946E02">
        <w:rPr>
          <w:rFonts w:ascii="Arial" w:hAnsi="Arial" w:cs="Arial"/>
          <w:i/>
          <w:iCs/>
          <w:sz w:val="22"/>
        </w:rPr>
        <w:t>mejoramiento</w:t>
      </w:r>
      <w:r w:rsidR="006A616D" w:rsidRPr="00946E02">
        <w:rPr>
          <w:rFonts w:ascii="Arial" w:hAnsi="Arial" w:cs="Arial"/>
          <w:sz w:val="22"/>
        </w:rPr>
        <w:t xml:space="preserve"> establecida en el anterior requisito de experiencia general, así como en otros de la Matriz 1, resulta indispensable tener en cuenta lo explicado en el numeral 2.</w:t>
      </w:r>
      <w:r w:rsidR="005E74AD" w:rsidRPr="00946E02">
        <w:rPr>
          <w:rFonts w:ascii="Arial" w:hAnsi="Arial" w:cs="Arial"/>
          <w:sz w:val="22"/>
        </w:rPr>
        <w:t>2</w:t>
      </w:r>
      <w:r w:rsidR="006A616D" w:rsidRPr="00946E02">
        <w:rPr>
          <w:rFonts w:ascii="Arial" w:hAnsi="Arial" w:cs="Arial"/>
          <w:sz w:val="22"/>
        </w:rPr>
        <w:t xml:space="preserve"> del presente concepto.</w:t>
      </w:r>
      <w:r w:rsidRPr="00946E02">
        <w:rPr>
          <w:rFonts w:ascii="Arial" w:hAnsi="Arial" w:cs="Arial"/>
          <w:sz w:val="22"/>
        </w:rPr>
        <w:t xml:space="preserve"> Esto es, l</w:t>
      </w:r>
      <w:r w:rsidR="006A616D" w:rsidRPr="00946E02">
        <w:rPr>
          <w:rFonts w:ascii="Arial" w:hAnsi="Arial" w:cs="Arial"/>
          <w:sz w:val="22"/>
        </w:rPr>
        <w:t>a interpretación de lo que se considera</w:t>
      </w:r>
      <w:r w:rsidR="006A616D" w:rsidRPr="00946E02">
        <w:rPr>
          <w:rFonts w:ascii="Arial" w:hAnsi="Arial" w:cs="Arial"/>
          <w:i/>
          <w:iCs/>
          <w:sz w:val="22"/>
        </w:rPr>
        <w:t xml:space="preserve"> mejoramiento</w:t>
      </w:r>
      <w:r w:rsidR="006A616D" w:rsidRPr="00946E02">
        <w:rPr>
          <w:rFonts w:ascii="Arial" w:hAnsi="Arial" w:cs="Arial"/>
          <w:sz w:val="22"/>
        </w:rPr>
        <w:t xml:space="preserve"> a efectos de cumplir con estos requisitos de experiencia,</w:t>
      </w:r>
      <w:r w:rsidRPr="00946E02">
        <w:rPr>
          <w:rFonts w:ascii="Arial" w:hAnsi="Arial" w:cs="Arial"/>
          <w:sz w:val="22"/>
        </w:rPr>
        <w:t xml:space="preserve"> </w:t>
      </w:r>
      <w:r w:rsidR="006A616D" w:rsidRPr="00946E02">
        <w:rPr>
          <w:rFonts w:ascii="Arial" w:hAnsi="Arial" w:cs="Arial"/>
          <w:sz w:val="22"/>
        </w:rPr>
        <w:t>se encuentra determinada tanto por el numeral 2.</w:t>
      </w:r>
      <w:r w:rsidRPr="00946E02">
        <w:rPr>
          <w:rFonts w:ascii="Arial" w:hAnsi="Arial" w:cs="Arial"/>
          <w:sz w:val="22"/>
        </w:rPr>
        <w:t>5</w:t>
      </w:r>
      <w:r w:rsidR="006A616D" w:rsidRPr="00946E02">
        <w:rPr>
          <w:rFonts w:ascii="Arial" w:hAnsi="Arial" w:cs="Arial"/>
          <w:sz w:val="22"/>
        </w:rPr>
        <w:t xml:space="preserve">0 del Anexo 3, como por definición del artículo 12 de la Ley 1682 de 2013 y el artículo 1 del Decreto 769 de 2014, compilado en el Decreto 1076 de 2015. En ese sentido, cuando un requisito de experiencia contempla la actividad de </w:t>
      </w:r>
      <w:r w:rsidR="006A616D" w:rsidRPr="00946E02">
        <w:rPr>
          <w:rFonts w:ascii="Arial" w:hAnsi="Arial" w:cs="Arial"/>
          <w:i/>
          <w:iCs/>
          <w:sz w:val="22"/>
        </w:rPr>
        <w:t>mejoramiento</w:t>
      </w:r>
      <w:r w:rsidR="006A616D" w:rsidRPr="00946E02">
        <w:rPr>
          <w:rFonts w:ascii="Arial" w:hAnsi="Arial" w:cs="Arial"/>
          <w:sz w:val="22"/>
        </w:rPr>
        <w:t xml:space="preserve">, debe entenderse que se refiere a cambios en la infraestructura de transporte existentes concretados a partir del desarrollo de las actividades enlistadas en el Decreto 1076 de 2015, bastando la acreditación de alguna de las actividades referidas para establecer que se tiene experiencia en </w:t>
      </w:r>
      <w:r w:rsidR="006A616D" w:rsidRPr="00946E02">
        <w:rPr>
          <w:rFonts w:ascii="Arial" w:hAnsi="Arial" w:cs="Arial"/>
          <w:i/>
          <w:iCs/>
          <w:sz w:val="22"/>
        </w:rPr>
        <w:t>mejoramiento</w:t>
      </w:r>
      <w:r w:rsidR="006A616D" w:rsidRPr="00946E02">
        <w:rPr>
          <w:rFonts w:ascii="Arial" w:hAnsi="Arial" w:cs="Arial"/>
          <w:sz w:val="22"/>
        </w:rPr>
        <w:t>.</w:t>
      </w:r>
    </w:p>
    <w:p w14:paraId="61ADC9D9" w14:textId="6517DDF6" w:rsidR="006A616D" w:rsidRPr="00946E02" w:rsidRDefault="006A616D" w:rsidP="006A616D">
      <w:pPr>
        <w:spacing w:after="120" w:line="276" w:lineRule="auto"/>
        <w:ind w:firstLine="709"/>
        <w:jc w:val="both"/>
        <w:rPr>
          <w:rStyle w:val="nfasis"/>
          <w:rFonts w:ascii="Arial" w:hAnsi="Arial" w:cs="Arial"/>
          <w:i w:val="0"/>
          <w:iCs w:val="0"/>
          <w:sz w:val="22"/>
        </w:rPr>
      </w:pPr>
      <w:r w:rsidRPr="00946E02">
        <w:rPr>
          <w:rFonts w:ascii="Arial" w:hAnsi="Arial" w:cs="Arial"/>
          <w:sz w:val="22"/>
        </w:rPr>
        <w:t xml:space="preserve">Lo anterior supone que, para establecer si un contrato aportado por un proponente es válido para acreditar que el mismo tiene experiencia en </w:t>
      </w:r>
      <w:r w:rsidRPr="00946E02">
        <w:rPr>
          <w:rFonts w:ascii="Arial" w:hAnsi="Arial" w:cs="Arial"/>
          <w:i/>
          <w:iCs/>
          <w:sz w:val="22"/>
        </w:rPr>
        <w:t>mejoramiento</w:t>
      </w:r>
      <w:r w:rsidRPr="00946E02">
        <w:rPr>
          <w:rFonts w:ascii="Arial" w:hAnsi="Arial" w:cs="Arial"/>
          <w:sz w:val="22"/>
        </w:rPr>
        <w:t xml:space="preserve">, </w:t>
      </w:r>
      <w:r w:rsidR="005E74AD" w:rsidRPr="00946E02">
        <w:rPr>
          <w:rFonts w:ascii="Arial" w:hAnsi="Arial" w:cs="Arial"/>
          <w:sz w:val="22"/>
        </w:rPr>
        <w:t>para cumplir</w:t>
      </w:r>
      <w:r w:rsidRPr="00946E02">
        <w:rPr>
          <w:rFonts w:ascii="Arial" w:hAnsi="Arial" w:cs="Arial"/>
          <w:sz w:val="22"/>
        </w:rPr>
        <w:t xml:space="preserve"> los requisitos de experiencia general que contemplan dicha actividad, basta con verificar: i) que el o los contratos acreditados hayan implicado la intervención de alguno de los tipos de infraestructura considerados en el requisito de experiencia general</w:t>
      </w:r>
      <w:r w:rsidR="005E74AD" w:rsidRPr="00946E02">
        <w:rPr>
          <w:rFonts w:ascii="Arial" w:hAnsi="Arial" w:cs="Arial"/>
          <w:sz w:val="22"/>
        </w:rPr>
        <w:t xml:space="preserve">, </w:t>
      </w:r>
      <w:r w:rsidRPr="00946E02">
        <w:rPr>
          <w:rFonts w:ascii="Arial" w:hAnsi="Arial" w:cs="Arial"/>
          <w:sz w:val="22"/>
        </w:rPr>
        <w:t xml:space="preserve">en el anterior ejemplo: «[…] </w:t>
      </w:r>
      <w:r w:rsidR="00004309" w:rsidRPr="00946E02">
        <w:rPr>
          <w:rFonts w:ascii="Arial" w:hAnsi="Arial" w:cs="Arial"/>
          <w:sz w:val="22"/>
        </w:rPr>
        <w:t>PAVIMENTO ASFALTICO O CONCRETO HIDRÁULICO O PLACA HUELLA DE VÍAS PRIMARIAS O SECUNDARIAS O VÍAS TERCIARIAS O VIAS URBANAS O PISTAS DE AEROPUERTOS</w:t>
      </w:r>
      <w:r w:rsidRPr="00946E02">
        <w:rPr>
          <w:rFonts w:ascii="Arial" w:hAnsi="Arial" w:cs="Arial"/>
          <w:sz w:val="22"/>
        </w:rPr>
        <w:t xml:space="preserve">»– y </w:t>
      </w:r>
      <w:proofErr w:type="spellStart"/>
      <w:r w:rsidRPr="00946E02">
        <w:rPr>
          <w:rFonts w:ascii="Arial" w:hAnsi="Arial" w:cs="Arial"/>
          <w:sz w:val="22"/>
        </w:rPr>
        <w:t>ii</w:t>
      </w:r>
      <w:proofErr w:type="spellEnd"/>
      <w:r w:rsidRPr="00946E02">
        <w:rPr>
          <w:rFonts w:ascii="Arial" w:hAnsi="Arial" w:cs="Arial"/>
          <w:sz w:val="22"/>
        </w:rPr>
        <w:t>) que el mejoramiento haya consistido en el cambio de especificaciones técnicas de infraestructura existente mediante el desarrollo de alguna las actividades enlistadas en los artículos 2</w:t>
      </w:r>
      <w:r w:rsidRPr="00946E02">
        <w:rPr>
          <w:rStyle w:val="Textoennegrita"/>
          <w:rFonts w:ascii="Arial" w:hAnsi="Arial" w:cs="Arial"/>
          <w:b w:val="0"/>
          <w:bCs w:val="0"/>
          <w:sz w:val="22"/>
        </w:rPr>
        <w:t>.2.2.5.1.1</w:t>
      </w:r>
      <w:r w:rsidR="00940934" w:rsidRPr="00946E02">
        <w:rPr>
          <w:rStyle w:val="Refdenotaalpie"/>
          <w:rFonts w:ascii="Arial" w:hAnsi="Arial" w:cs="Arial"/>
          <w:sz w:val="22"/>
        </w:rPr>
        <w:footnoteReference w:id="11"/>
      </w:r>
      <w:r w:rsidRPr="00946E02">
        <w:rPr>
          <w:rStyle w:val="nfasis"/>
          <w:rFonts w:ascii="Arial" w:hAnsi="Arial" w:cs="Arial"/>
          <w:i w:val="0"/>
          <w:iCs w:val="0"/>
          <w:sz w:val="22"/>
        </w:rPr>
        <w:t xml:space="preserve">, </w:t>
      </w:r>
      <w:r w:rsidRPr="00946E02">
        <w:rPr>
          <w:rStyle w:val="Textoennegrita"/>
          <w:rFonts w:ascii="Arial" w:hAnsi="Arial" w:cs="Arial"/>
          <w:b w:val="0"/>
          <w:bCs w:val="0"/>
          <w:sz w:val="22"/>
        </w:rPr>
        <w:t>2.2.2.5.2.1</w:t>
      </w:r>
      <w:r w:rsidRPr="00946E02">
        <w:rPr>
          <w:rStyle w:val="nfasis"/>
          <w:rFonts w:ascii="Arial" w:hAnsi="Arial" w:cs="Arial"/>
          <w:sz w:val="22"/>
        </w:rPr>
        <w:t>,</w:t>
      </w:r>
      <w:r w:rsidRPr="00946E02">
        <w:rPr>
          <w:rStyle w:val="nfasis"/>
          <w:rFonts w:ascii="Arial" w:hAnsi="Arial" w:cs="Arial"/>
          <w:b/>
          <w:bCs/>
          <w:sz w:val="22"/>
        </w:rPr>
        <w:t xml:space="preserve"> </w:t>
      </w:r>
      <w:r w:rsidRPr="00946E02">
        <w:rPr>
          <w:rStyle w:val="nfasis"/>
          <w:rFonts w:ascii="Arial" w:hAnsi="Arial" w:cs="Arial"/>
          <w:i w:val="0"/>
          <w:iCs w:val="0"/>
          <w:sz w:val="22"/>
        </w:rPr>
        <w:t>2.2.2.5.3.1,</w:t>
      </w:r>
      <w:r w:rsidRPr="00946E02">
        <w:rPr>
          <w:rStyle w:val="nfasis"/>
          <w:rFonts w:ascii="Arial" w:hAnsi="Arial" w:cs="Arial"/>
          <w:sz w:val="22"/>
        </w:rPr>
        <w:t xml:space="preserve"> </w:t>
      </w:r>
      <w:r w:rsidRPr="00946E02">
        <w:rPr>
          <w:rStyle w:val="nfasis"/>
          <w:rFonts w:ascii="Arial" w:hAnsi="Arial" w:cs="Arial"/>
          <w:i w:val="0"/>
          <w:iCs w:val="0"/>
          <w:sz w:val="22"/>
        </w:rPr>
        <w:t xml:space="preserve">2.2.2.5.3.2 o </w:t>
      </w:r>
      <w:r w:rsidRPr="00946E02">
        <w:rPr>
          <w:rStyle w:val="nfasis"/>
          <w:rFonts w:ascii="Arial" w:hAnsi="Arial" w:cs="Arial"/>
          <w:i w:val="0"/>
          <w:iCs w:val="0"/>
          <w:sz w:val="22"/>
        </w:rPr>
        <w:lastRenderedPageBreak/>
        <w:t>2.2.2.5.4.1 del Decreto 1076 de 2015. En ese sentido, para establecer si un proponente tiene experiencia en mejoramiento debe demostrar que ha ejecutado al menos alguna de las actividades enlistadas en los mencionados artículos del Decreto 1076 de 2015, sin que sea necesario acreditar todas las actividades enlistadas.</w:t>
      </w:r>
    </w:p>
    <w:p w14:paraId="210279DE" w14:textId="1A1557B6" w:rsidR="00993288" w:rsidRPr="00946E02" w:rsidRDefault="006A616D" w:rsidP="00071118">
      <w:pPr>
        <w:spacing w:after="120" w:line="276" w:lineRule="auto"/>
        <w:ind w:firstLine="708"/>
        <w:jc w:val="both"/>
        <w:rPr>
          <w:rStyle w:val="nfasis"/>
          <w:rFonts w:ascii="Arial" w:hAnsi="Arial" w:cs="Arial"/>
          <w:i w:val="0"/>
          <w:iCs w:val="0"/>
          <w:sz w:val="22"/>
        </w:rPr>
      </w:pPr>
      <w:r w:rsidRPr="00946E02">
        <w:rPr>
          <w:rStyle w:val="nfasis"/>
          <w:rFonts w:ascii="Arial" w:hAnsi="Arial" w:cs="Arial"/>
          <w:i w:val="0"/>
          <w:iCs w:val="0"/>
          <w:sz w:val="22"/>
        </w:rPr>
        <w:t xml:space="preserve">Teniendo en cuenta lo anterior, debe aclararse que los requisitos de experiencia de la Matriz 1 deben interpretarse conforme con lo establecido el numeral 1.10 del Documento Base, esto es, conforme con la Ley 1682 de 2013, el Decreto 1082 de 2015 y el Anexo 3. </w:t>
      </w:r>
      <w:r w:rsidRPr="00946E02">
        <w:rPr>
          <w:rStyle w:val="nfasis"/>
          <w:rFonts w:ascii="Arial" w:hAnsi="Arial" w:cs="Arial"/>
          <w:i w:val="0"/>
          <w:iCs w:val="0"/>
          <w:sz w:val="22"/>
        </w:rPr>
        <w:lastRenderedPageBreak/>
        <w:t xml:space="preserve">En ese sentido, cuando, por ejemplo, la Matriz 1 alude a la actividad de </w:t>
      </w:r>
      <w:r w:rsidRPr="00946E02">
        <w:rPr>
          <w:rStyle w:val="nfasis"/>
          <w:rFonts w:ascii="Arial" w:hAnsi="Arial" w:cs="Arial"/>
          <w:sz w:val="22"/>
        </w:rPr>
        <w:t>mejoramiento</w:t>
      </w:r>
      <w:r w:rsidRPr="00946E02">
        <w:rPr>
          <w:rStyle w:val="nfasis"/>
          <w:rFonts w:ascii="Arial" w:hAnsi="Arial" w:cs="Arial"/>
          <w:i w:val="0"/>
          <w:iCs w:val="0"/>
          <w:sz w:val="22"/>
        </w:rPr>
        <w:t>, tales referencias involucran todas las actividades consideradas como mejoramiento por el Anexo 3 y el Decreto 1076 de 2015.</w:t>
      </w:r>
    </w:p>
    <w:p w14:paraId="37ED123B" w14:textId="5FAB1D0D" w:rsidR="00987E9F" w:rsidRPr="00946E02" w:rsidRDefault="00993288" w:rsidP="00B41C03">
      <w:pPr>
        <w:spacing w:after="120" w:line="276" w:lineRule="auto"/>
        <w:jc w:val="both"/>
        <w:rPr>
          <w:rFonts w:ascii="Helvetica" w:hAnsi="Helvetica"/>
          <w:sz w:val="22"/>
          <w:szCs w:val="22"/>
          <w:shd w:val="clear" w:color="auto" w:fill="FFFFFF"/>
        </w:rPr>
      </w:pPr>
      <w:r w:rsidRPr="00946E02">
        <w:rPr>
          <w:rStyle w:val="nfasis"/>
          <w:rFonts w:ascii="Arial" w:hAnsi="Arial" w:cs="Arial"/>
          <w:i w:val="0"/>
          <w:iCs w:val="0"/>
          <w:sz w:val="22"/>
        </w:rPr>
        <w:tab/>
      </w:r>
      <w:r w:rsidR="00E75C98" w:rsidRPr="00946E02">
        <w:rPr>
          <w:rStyle w:val="nfasis"/>
          <w:rFonts w:ascii="Arial" w:hAnsi="Arial" w:cs="Arial"/>
          <w:i w:val="0"/>
          <w:iCs w:val="0"/>
          <w:sz w:val="22"/>
        </w:rPr>
        <w:t>Por ello</w:t>
      </w:r>
      <w:r w:rsidRPr="00946E02">
        <w:rPr>
          <w:rStyle w:val="nfasis"/>
          <w:rFonts w:ascii="Arial" w:hAnsi="Arial" w:cs="Arial"/>
          <w:i w:val="0"/>
          <w:iCs w:val="0"/>
          <w:sz w:val="22"/>
        </w:rPr>
        <w:t>, est</w:t>
      </w:r>
      <w:r w:rsidR="00071118" w:rsidRPr="00946E02">
        <w:rPr>
          <w:rStyle w:val="nfasis"/>
          <w:rFonts w:ascii="Arial" w:hAnsi="Arial" w:cs="Arial"/>
          <w:i w:val="0"/>
          <w:iCs w:val="0"/>
          <w:sz w:val="22"/>
        </w:rPr>
        <w:t xml:space="preserve">a Agencia </w:t>
      </w:r>
      <w:r w:rsidRPr="00946E02">
        <w:rPr>
          <w:rStyle w:val="nfasis"/>
          <w:rFonts w:ascii="Arial" w:hAnsi="Arial" w:cs="Arial"/>
          <w:i w:val="0"/>
          <w:iCs w:val="0"/>
          <w:sz w:val="22"/>
        </w:rPr>
        <w:t xml:space="preserve">considera que </w:t>
      </w:r>
      <w:r w:rsidR="00987E9F" w:rsidRPr="00946E02">
        <w:rPr>
          <w:rStyle w:val="nfasis"/>
          <w:rFonts w:ascii="Arial" w:hAnsi="Arial" w:cs="Arial"/>
          <w:i w:val="0"/>
          <w:iCs w:val="0"/>
          <w:sz w:val="22"/>
        </w:rPr>
        <w:t>respecto</w:t>
      </w:r>
      <w:r w:rsidRPr="00946E02">
        <w:rPr>
          <w:rStyle w:val="nfasis"/>
          <w:rFonts w:ascii="Arial" w:hAnsi="Arial" w:cs="Arial"/>
          <w:i w:val="0"/>
          <w:iCs w:val="0"/>
          <w:sz w:val="22"/>
        </w:rPr>
        <w:t xml:space="preserve"> de</w:t>
      </w:r>
      <w:r w:rsidR="00071118" w:rsidRPr="00946E02">
        <w:rPr>
          <w:rStyle w:val="nfasis"/>
          <w:rFonts w:ascii="Arial" w:hAnsi="Arial" w:cs="Arial"/>
          <w:i w:val="0"/>
          <w:iCs w:val="0"/>
          <w:sz w:val="22"/>
        </w:rPr>
        <w:t>l</w:t>
      </w:r>
      <w:r w:rsidRPr="00946E02">
        <w:rPr>
          <w:rStyle w:val="nfasis"/>
          <w:rFonts w:ascii="Arial" w:hAnsi="Arial" w:cs="Arial"/>
          <w:i w:val="0"/>
          <w:iCs w:val="0"/>
          <w:sz w:val="22"/>
        </w:rPr>
        <w:t xml:space="preserve"> </w:t>
      </w:r>
      <w:r w:rsidRPr="00946E02">
        <w:rPr>
          <w:rFonts w:ascii="Arial" w:hAnsi="Arial" w:cs="Arial"/>
          <w:i/>
          <w:iCs/>
          <w:sz w:val="22"/>
          <w:szCs w:val="22"/>
        </w:rPr>
        <w:t xml:space="preserve">box </w:t>
      </w:r>
      <w:proofErr w:type="spellStart"/>
      <w:r w:rsidRPr="00946E02">
        <w:rPr>
          <w:rFonts w:ascii="Arial" w:hAnsi="Arial" w:cs="Arial"/>
          <w:i/>
          <w:iCs/>
          <w:sz w:val="22"/>
          <w:szCs w:val="22"/>
        </w:rPr>
        <w:t>culvert</w:t>
      </w:r>
      <w:proofErr w:type="spellEnd"/>
      <w:r w:rsidR="00071118" w:rsidRPr="00946E02">
        <w:rPr>
          <w:rFonts w:ascii="Arial" w:hAnsi="Arial" w:cs="Arial"/>
          <w:sz w:val="22"/>
          <w:szCs w:val="22"/>
        </w:rPr>
        <w:t xml:space="preserve"> y la posibilidad de acreditar su construcción como experiencia para actividades de </w:t>
      </w:r>
      <w:r w:rsidR="00071118" w:rsidRPr="00946E02">
        <w:rPr>
          <w:rFonts w:ascii="Arial" w:hAnsi="Arial" w:cs="Arial"/>
          <w:i/>
          <w:iCs/>
          <w:sz w:val="22"/>
          <w:szCs w:val="22"/>
        </w:rPr>
        <w:t>mejoramiento</w:t>
      </w:r>
      <w:r w:rsidR="00987E9F" w:rsidRPr="00946E02">
        <w:rPr>
          <w:rFonts w:ascii="Arial" w:hAnsi="Arial" w:cs="Arial"/>
          <w:sz w:val="22"/>
          <w:szCs w:val="22"/>
        </w:rPr>
        <w:t xml:space="preserve">, </w:t>
      </w:r>
      <w:r w:rsidR="00987E9F" w:rsidRPr="00946E02">
        <w:rPr>
          <w:rFonts w:ascii="Arial" w:hAnsi="Arial" w:cs="Arial"/>
          <w:sz w:val="22"/>
        </w:rPr>
        <w:t xml:space="preserve">es conveniente recordar que la referida expresión </w:t>
      </w:r>
      <w:r w:rsidR="005E74AD" w:rsidRPr="00946E02">
        <w:rPr>
          <w:rFonts w:ascii="Arial" w:hAnsi="Arial" w:cs="Arial"/>
          <w:sz w:val="22"/>
        </w:rPr>
        <w:t>–</w:t>
      </w:r>
      <w:r w:rsidR="005E74AD" w:rsidRPr="00946E02">
        <w:rPr>
          <w:rFonts w:ascii="Arial" w:hAnsi="Arial" w:cs="Arial"/>
          <w:i/>
          <w:iCs/>
          <w:sz w:val="22"/>
        </w:rPr>
        <w:t xml:space="preserve">box </w:t>
      </w:r>
      <w:proofErr w:type="spellStart"/>
      <w:r w:rsidR="005E74AD" w:rsidRPr="00946E02">
        <w:rPr>
          <w:rFonts w:ascii="Arial" w:hAnsi="Arial" w:cs="Arial"/>
          <w:i/>
          <w:iCs/>
          <w:sz w:val="22"/>
        </w:rPr>
        <w:t>culvert</w:t>
      </w:r>
      <w:proofErr w:type="spellEnd"/>
      <w:r w:rsidR="005E74AD" w:rsidRPr="00946E02">
        <w:rPr>
          <w:rFonts w:ascii="Arial" w:hAnsi="Arial" w:cs="Arial"/>
          <w:i/>
          <w:iCs/>
          <w:sz w:val="22"/>
        </w:rPr>
        <w:t xml:space="preserve">– </w:t>
      </w:r>
      <w:r w:rsidR="00987E9F" w:rsidRPr="00946E02">
        <w:rPr>
          <w:rFonts w:ascii="Arial" w:hAnsi="Arial" w:cs="Arial"/>
          <w:sz w:val="22"/>
        </w:rPr>
        <w:t xml:space="preserve">constituye un anglicismo que hace referencia a un tipo de infraestructura «construida </w:t>
      </w:r>
      <w:r w:rsidR="00987E9F" w:rsidRPr="00946E02">
        <w:rPr>
          <w:rFonts w:ascii="Arial" w:hAnsi="Arial" w:cs="Arial"/>
          <w:i/>
          <w:iCs/>
          <w:sz w:val="22"/>
        </w:rPr>
        <w:t>in situ</w:t>
      </w:r>
      <w:r w:rsidR="00987E9F" w:rsidRPr="00946E02">
        <w:rPr>
          <w:rFonts w:ascii="Arial" w:hAnsi="Arial" w:cs="Arial"/>
          <w:sz w:val="22"/>
        </w:rPr>
        <w:t xml:space="preserve"> o prefabricada en concreto, con forma de caja, que se encuentra debajo de un terraplén para drenar el agua de un lado de la carretera al otro»</w:t>
      </w:r>
      <w:r w:rsidR="00987E9F" w:rsidRPr="00946E02">
        <w:rPr>
          <w:rStyle w:val="Refdenotaalpie"/>
          <w:rFonts w:ascii="Arial" w:hAnsi="Arial" w:cs="Arial"/>
          <w:sz w:val="22"/>
        </w:rPr>
        <w:footnoteReference w:id="12"/>
      </w:r>
      <w:r w:rsidR="00987E9F" w:rsidRPr="00946E02">
        <w:rPr>
          <w:rFonts w:ascii="Arial" w:hAnsi="Arial" w:cs="Arial"/>
          <w:sz w:val="22"/>
        </w:rPr>
        <w:t xml:space="preserve">. En otras palabras, </w:t>
      </w:r>
      <w:r w:rsidR="00987E9F" w:rsidRPr="00946E02">
        <w:rPr>
          <w:rFonts w:ascii="Arial" w:hAnsi="Arial" w:cs="Arial"/>
          <w:sz w:val="22"/>
          <w:szCs w:val="22"/>
        </w:rPr>
        <w:t>es «</w:t>
      </w:r>
      <w:r w:rsidR="00987E9F" w:rsidRPr="00946E02">
        <w:rPr>
          <w:rFonts w:ascii="Helvetica" w:hAnsi="Helvetica"/>
          <w:sz w:val="22"/>
          <w:szCs w:val="22"/>
          <w:shd w:val="clear" w:color="auto" w:fill="FFFFFF"/>
        </w:rPr>
        <w:t>una estructura de sección cuadrada o rectangular que se fabrica de concreto armado a desnivel y permiten el paso de personas, animales y cuerpos de agua de un lado a otro de la vía»</w:t>
      </w:r>
      <w:r w:rsidR="00987E9F" w:rsidRPr="00946E02">
        <w:rPr>
          <w:rStyle w:val="Refdenotaalpie"/>
          <w:rFonts w:ascii="Helvetica" w:hAnsi="Helvetica"/>
          <w:sz w:val="22"/>
          <w:szCs w:val="22"/>
          <w:shd w:val="clear" w:color="auto" w:fill="FFFFFF"/>
        </w:rPr>
        <w:footnoteReference w:id="13"/>
      </w:r>
      <w:r w:rsidR="00987E9F" w:rsidRPr="00946E02">
        <w:rPr>
          <w:rFonts w:ascii="Helvetica" w:hAnsi="Helvetica"/>
          <w:sz w:val="22"/>
          <w:szCs w:val="22"/>
          <w:shd w:val="clear" w:color="auto" w:fill="FFFFFF"/>
        </w:rPr>
        <w:t>.</w:t>
      </w:r>
    </w:p>
    <w:p w14:paraId="635B9A70" w14:textId="42867123" w:rsidR="005871D6" w:rsidRPr="00946E02" w:rsidRDefault="00987E9F" w:rsidP="0064603D">
      <w:pPr>
        <w:pStyle w:val="NormalWeb"/>
        <w:spacing w:before="0" w:beforeAutospacing="0" w:line="276" w:lineRule="auto"/>
        <w:ind w:firstLine="708"/>
        <w:contextualSpacing/>
        <w:jc w:val="both"/>
        <w:rPr>
          <w:rFonts w:ascii="Arial" w:hAnsi="Arial" w:cs="Arial"/>
          <w:color w:val="000000" w:themeColor="text1"/>
          <w:sz w:val="22"/>
          <w:szCs w:val="22"/>
        </w:rPr>
      </w:pPr>
      <w:r w:rsidRPr="00946E02">
        <w:rPr>
          <w:rFonts w:ascii="Arial" w:hAnsi="Arial" w:cs="Arial"/>
          <w:sz w:val="22"/>
          <w:szCs w:val="22"/>
          <w:shd w:val="clear" w:color="auto" w:fill="FFFFFF"/>
        </w:rPr>
        <w:t xml:space="preserve">Conforme a tal aproximación técnica, un </w:t>
      </w:r>
      <w:r w:rsidRPr="00946E02">
        <w:rPr>
          <w:rFonts w:ascii="Arial" w:hAnsi="Arial" w:cs="Arial"/>
          <w:i/>
          <w:iCs/>
          <w:sz w:val="22"/>
          <w:szCs w:val="22"/>
          <w:shd w:val="clear" w:color="auto" w:fill="FFFFFF"/>
        </w:rPr>
        <w:t xml:space="preserve">box </w:t>
      </w:r>
      <w:proofErr w:type="spellStart"/>
      <w:r w:rsidRPr="00946E02">
        <w:rPr>
          <w:rFonts w:ascii="Arial" w:hAnsi="Arial" w:cs="Arial"/>
          <w:i/>
          <w:iCs/>
          <w:sz w:val="22"/>
          <w:szCs w:val="22"/>
          <w:shd w:val="clear" w:color="auto" w:fill="FFFFFF"/>
        </w:rPr>
        <w:t>culvert</w:t>
      </w:r>
      <w:proofErr w:type="spellEnd"/>
      <w:r w:rsidRPr="00946E02">
        <w:rPr>
          <w:rFonts w:ascii="Arial" w:hAnsi="Arial" w:cs="Arial"/>
          <w:i/>
          <w:iCs/>
          <w:sz w:val="22"/>
          <w:szCs w:val="22"/>
          <w:shd w:val="clear" w:color="auto" w:fill="FFFFFF"/>
        </w:rPr>
        <w:t xml:space="preserve"> </w:t>
      </w:r>
      <w:r w:rsidRPr="00946E02">
        <w:rPr>
          <w:rFonts w:ascii="Arial" w:hAnsi="Arial" w:cs="Arial"/>
          <w:sz w:val="22"/>
          <w:szCs w:val="22"/>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Pr="00946E02">
        <w:rPr>
          <w:rFonts w:ascii="Arial" w:hAnsi="Arial" w:cs="Arial"/>
          <w:i/>
          <w:iCs/>
          <w:sz w:val="22"/>
          <w:szCs w:val="22"/>
          <w:shd w:val="clear" w:color="auto" w:fill="FFFFFF"/>
        </w:rPr>
        <w:t xml:space="preserve">box </w:t>
      </w:r>
      <w:proofErr w:type="spellStart"/>
      <w:r w:rsidRPr="00946E02">
        <w:rPr>
          <w:rFonts w:ascii="Arial" w:hAnsi="Arial" w:cs="Arial"/>
          <w:i/>
          <w:iCs/>
          <w:sz w:val="22"/>
          <w:szCs w:val="22"/>
          <w:shd w:val="clear" w:color="auto" w:fill="FFFFFF"/>
        </w:rPr>
        <w:t>culvert</w:t>
      </w:r>
      <w:proofErr w:type="spellEnd"/>
      <w:r w:rsidRPr="00946E02">
        <w:rPr>
          <w:rFonts w:ascii="Arial" w:hAnsi="Arial" w:cs="Arial"/>
          <w:i/>
          <w:iCs/>
          <w:sz w:val="22"/>
          <w:szCs w:val="22"/>
          <w:shd w:val="clear" w:color="auto" w:fill="FFFFFF"/>
        </w:rPr>
        <w:t xml:space="preserve">, </w:t>
      </w:r>
      <w:r w:rsidRPr="00946E02">
        <w:rPr>
          <w:rFonts w:ascii="Arial" w:hAnsi="Arial" w:cs="Arial"/>
          <w:sz w:val="22"/>
          <w:szCs w:val="22"/>
          <w:shd w:val="clear" w:color="auto" w:fill="FFFFFF"/>
        </w:rPr>
        <w:t xml:space="preserve">podría interpretarse </w:t>
      </w:r>
      <w:r w:rsidR="0015002D" w:rsidRPr="00946E02">
        <w:rPr>
          <w:rFonts w:ascii="Arial" w:hAnsi="Arial" w:cs="Arial"/>
          <w:sz w:val="22"/>
          <w:szCs w:val="22"/>
          <w:shd w:val="clear" w:color="auto" w:fill="FFFFFF"/>
        </w:rPr>
        <w:t xml:space="preserve">como parte </w:t>
      </w:r>
      <w:r w:rsidRPr="00946E02">
        <w:rPr>
          <w:rFonts w:ascii="Arial" w:hAnsi="Arial" w:cs="Arial"/>
          <w:sz w:val="22"/>
          <w:szCs w:val="22"/>
          <w:shd w:val="clear" w:color="auto" w:fill="FFFFFF"/>
        </w:rPr>
        <w:t xml:space="preserve">de </w:t>
      </w:r>
      <w:r w:rsidR="005871D6" w:rsidRPr="00946E02">
        <w:rPr>
          <w:rFonts w:ascii="Arial" w:hAnsi="Arial" w:cs="Arial"/>
          <w:sz w:val="22"/>
          <w:szCs w:val="22"/>
          <w:shd w:val="clear" w:color="auto" w:fill="FFFFFF"/>
        </w:rPr>
        <w:t>una de las actividades mencionadas por el artículo 2.2.1.5.1.1 del Decreto 1076 de 2015</w:t>
      </w:r>
      <w:r w:rsidR="0064603D" w:rsidRPr="00946E02">
        <w:rPr>
          <w:rFonts w:ascii="Arial" w:hAnsi="Arial" w:cs="Arial"/>
          <w:sz w:val="22"/>
          <w:szCs w:val="22"/>
          <w:shd w:val="clear" w:color="auto" w:fill="FFFFFF"/>
        </w:rPr>
        <w:t xml:space="preserve"> como </w:t>
      </w:r>
      <w:r w:rsidR="0064603D" w:rsidRPr="00946E02">
        <w:rPr>
          <w:rFonts w:ascii="Arial" w:hAnsi="Arial" w:cs="Arial"/>
          <w:i/>
          <w:iCs/>
          <w:sz w:val="22"/>
          <w:szCs w:val="22"/>
          <w:shd w:val="clear" w:color="auto" w:fill="FFFFFF"/>
        </w:rPr>
        <w:t>mejoramiento</w:t>
      </w:r>
      <w:r w:rsidR="005871D6" w:rsidRPr="00946E02">
        <w:rPr>
          <w:rFonts w:ascii="Arial" w:hAnsi="Arial" w:cs="Arial"/>
          <w:sz w:val="22"/>
          <w:szCs w:val="22"/>
          <w:shd w:val="clear" w:color="auto" w:fill="FFFFFF"/>
        </w:rPr>
        <w:t>, específicamente</w:t>
      </w:r>
      <w:r w:rsidR="003668F9" w:rsidRPr="00946E02">
        <w:rPr>
          <w:rFonts w:ascii="Arial" w:hAnsi="Arial" w:cs="Arial"/>
          <w:sz w:val="22"/>
          <w:szCs w:val="22"/>
          <w:shd w:val="clear" w:color="auto" w:fill="FFFFFF"/>
        </w:rPr>
        <w:t>,</w:t>
      </w:r>
      <w:r w:rsidR="005871D6" w:rsidRPr="00946E02">
        <w:rPr>
          <w:rFonts w:ascii="Arial" w:hAnsi="Arial" w:cs="Arial"/>
          <w:sz w:val="22"/>
          <w:szCs w:val="22"/>
          <w:shd w:val="clear" w:color="auto" w:fill="FFFFFF"/>
        </w:rPr>
        <w:t xml:space="preserve"> la </w:t>
      </w:r>
      <w:r w:rsidR="003668F9" w:rsidRPr="00946E02">
        <w:rPr>
          <w:rFonts w:ascii="Arial" w:hAnsi="Arial" w:cs="Arial"/>
          <w:sz w:val="22"/>
          <w:szCs w:val="22"/>
          <w:shd w:val="clear" w:color="auto" w:fill="FFFFFF"/>
        </w:rPr>
        <w:t xml:space="preserve">indicada </w:t>
      </w:r>
      <w:r w:rsidR="005871D6" w:rsidRPr="00946E02">
        <w:rPr>
          <w:rFonts w:ascii="Arial" w:hAnsi="Arial" w:cs="Arial"/>
          <w:sz w:val="22"/>
          <w:szCs w:val="22"/>
          <w:shd w:val="clear" w:color="auto" w:fill="FFFFFF"/>
        </w:rPr>
        <w:t>en el numeral 6 «</w:t>
      </w:r>
      <w:r w:rsidR="005871D6" w:rsidRPr="00946E02">
        <w:rPr>
          <w:rFonts w:ascii="Arial" w:hAnsi="Arial" w:cs="Arial" w:hint="cs"/>
          <w:color w:val="000000" w:themeColor="text1"/>
          <w:sz w:val="22"/>
          <w:szCs w:val="22"/>
        </w:rPr>
        <w:t>La adecuación y construcción de obras de drenaje y subdrenaje transversal y longitudinal</w:t>
      </w:r>
      <w:r w:rsidR="005871D6" w:rsidRPr="00946E02">
        <w:rPr>
          <w:rFonts w:ascii="Arial" w:hAnsi="Arial" w:cs="Arial"/>
          <w:sz w:val="22"/>
          <w:szCs w:val="22"/>
          <w:lang w:val="es-ES"/>
        </w:rPr>
        <w:t>»</w:t>
      </w:r>
      <w:r w:rsidR="0001639E" w:rsidRPr="00946E02">
        <w:rPr>
          <w:rFonts w:ascii="Arial" w:hAnsi="Arial" w:cs="Arial"/>
          <w:sz w:val="22"/>
          <w:szCs w:val="22"/>
          <w:lang w:val="es-ES"/>
        </w:rPr>
        <w:t xml:space="preserve"> y en el numeral 2.50 del Anexo 3 – Glosario «2.50 Mejoramiento: Cambios en una infraestructura de transporte con el propósito de mejorar sus especificaciones técnicas iniciales». De este modo, la construcción de </w:t>
      </w:r>
      <w:r w:rsidR="0064603D" w:rsidRPr="00946E02">
        <w:rPr>
          <w:rFonts w:ascii="Arial" w:hAnsi="Arial" w:cs="Arial"/>
          <w:sz w:val="22"/>
          <w:szCs w:val="22"/>
          <w:lang w:val="es-ES"/>
        </w:rPr>
        <w:t xml:space="preserve">un </w:t>
      </w:r>
      <w:r w:rsidR="0001639E" w:rsidRPr="00946E02">
        <w:rPr>
          <w:rFonts w:ascii="Arial" w:hAnsi="Arial" w:cs="Arial"/>
          <w:i/>
          <w:iCs/>
          <w:sz w:val="22"/>
          <w:szCs w:val="22"/>
          <w:lang w:val="es-ES"/>
        </w:rPr>
        <w:t xml:space="preserve">box </w:t>
      </w:r>
      <w:proofErr w:type="spellStart"/>
      <w:r w:rsidR="0001639E" w:rsidRPr="00946E02">
        <w:rPr>
          <w:rFonts w:ascii="Arial" w:hAnsi="Arial" w:cs="Arial"/>
          <w:i/>
          <w:iCs/>
          <w:sz w:val="22"/>
          <w:szCs w:val="22"/>
          <w:lang w:val="es-ES"/>
        </w:rPr>
        <w:t>culvert</w:t>
      </w:r>
      <w:proofErr w:type="spellEnd"/>
      <w:r w:rsidR="0001639E" w:rsidRPr="00946E02">
        <w:rPr>
          <w:rFonts w:ascii="Arial" w:hAnsi="Arial" w:cs="Arial"/>
          <w:sz w:val="22"/>
          <w:szCs w:val="22"/>
          <w:lang w:val="es-ES"/>
        </w:rPr>
        <w:t xml:space="preserve"> puede servir como requisito para demostrar la experiencia del oferente y habilitar su participación en procedimientos de licitación pública para la actividad de mejoramiento en vías terciarias. </w:t>
      </w:r>
    </w:p>
    <w:p w14:paraId="1C1BEAFF" w14:textId="77777777" w:rsidR="003C7067" w:rsidRPr="00946E02" w:rsidRDefault="003C7067" w:rsidP="003C7067">
      <w:pPr>
        <w:tabs>
          <w:tab w:val="left" w:pos="709"/>
        </w:tabs>
        <w:spacing w:line="276" w:lineRule="auto"/>
        <w:jc w:val="both"/>
        <w:rPr>
          <w:rFonts w:ascii="Arial" w:eastAsia="Calibri" w:hAnsi="Arial" w:cs="Arial"/>
          <w:b/>
          <w:sz w:val="22"/>
          <w:szCs w:val="22"/>
          <w:lang w:val="es-ES"/>
        </w:rPr>
      </w:pPr>
      <w:r w:rsidRPr="00946E02">
        <w:rPr>
          <w:rFonts w:ascii="Arial" w:eastAsia="Calibri" w:hAnsi="Arial" w:cs="Arial"/>
          <w:b/>
          <w:sz w:val="22"/>
          <w:szCs w:val="22"/>
          <w:lang w:val="es-ES"/>
        </w:rPr>
        <w:t>3. Respuesta</w:t>
      </w:r>
    </w:p>
    <w:p w14:paraId="7612FEFE" w14:textId="77777777" w:rsidR="003C7067" w:rsidRPr="00946E02" w:rsidRDefault="003C7067" w:rsidP="003C7067">
      <w:pPr>
        <w:tabs>
          <w:tab w:val="left" w:pos="709"/>
        </w:tabs>
        <w:spacing w:line="276" w:lineRule="auto"/>
        <w:ind w:left="709" w:right="709"/>
        <w:jc w:val="both"/>
        <w:rPr>
          <w:rFonts w:ascii="Arial" w:eastAsia="Calibri" w:hAnsi="Arial" w:cs="Arial"/>
          <w:b/>
          <w:sz w:val="22"/>
          <w:szCs w:val="22"/>
          <w:lang w:val="es-ES"/>
        </w:rPr>
      </w:pPr>
    </w:p>
    <w:p w14:paraId="7174C1F4" w14:textId="2975EE3C" w:rsidR="005871D6" w:rsidRPr="00946E02" w:rsidRDefault="005871D6" w:rsidP="005871D6">
      <w:pPr>
        <w:pStyle w:val="NormalWeb"/>
        <w:spacing w:before="0" w:beforeAutospacing="0" w:after="0" w:afterAutospacing="0"/>
        <w:ind w:left="709" w:right="709"/>
        <w:jc w:val="both"/>
        <w:rPr>
          <w:rFonts w:ascii="Arial" w:hAnsi="Arial" w:cs="Arial"/>
          <w:sz w:val="21"/>
          <w:szCs w:val="21"/>
        </w:rPr>
      </w:pPr>
      <w:r w:rsidRPr="00946E02">
        <w:rPr>
          <w:rFonts w:ascii="Arial" w:eastAsia="Calibri" w:hAnsi="Arial" w:cs="Arial"/>
          <w:sz w:val="21"/>
          <w:szCs w:val="21"/>
          <w:lang w:val="es-ES"/>
        </w:rPr>
        <w:t>«</w:t>
      </w:r>
      <w:r w:rsidRPr="00946E02">
        <w:rPr>
          <w:rFonts w:ascii="Arial" w:hAnsi="Arial" w:cs="Arial"/>
          <w:sz w:val="21"/>
          <w:szCs w:val="21"/>
        </w:rPr>
        <w:t xml:space="preserve">La construcción de box </w:t>
      </w:r>
      <w:proofErr w:type="spellStart"/>
      <w:r w:rsidRPr="00946E02">
        <w:rPr>
          <w:rFonts w:ascii="Arial" w:hAnsi="Arial" w:cs="Arial"/>
          <w:sz w:val="21"/>
          <w:szCs w:val="21"/>
        </w:rPr>
        <w:t>coulvert</w:t>
      </w:r>
      <w:proofErr w:type="spellEnd"/>
      <w:r w:rsidRPr="00946E02">
        <w:rPr>
          <w:rFonts w:ascii="Arial" w:hAnsi="Arial" w:cs="Arial"/>
          <w:sz w:val="21"/>
          <w:szCs w:val="21"/>
        </w:rPr>
        <w:t xml:space="preserve"> </w:t>
      </w:r>
      <w:r w:rsidR="0015002D" w:rsidRPr="00946E02">
        <w:rPr>
          <w:rFonts w:ascii="Arial" w:hAnsi="Arial" w:cs="Arial"/>
          <w:sz w:val="21"/>
          <w:szCs w:val="21"/>
        </w:rPr>
        <w:t xml:space="preserve">(sic) </w:t>
      </w:r>
      <w:r w:rsidRPr="00946E02">
        <w:rPr>
          <w:rFonts w:ascii="Arial" w:hAnsi="Arial" w:cs="Arial"/>
          <w:sz w:val="21"/>
          <w:szCs w:val="21"/>
        </w:rPr>
        <w:t xml:space="preserve">(Alcantarillas de </w:t>
      </w:r>
      <w:r w:rsidR="0015002D" w:rsidRPr="00946E02">
        <w:rPr>
          <w:rFonts w:ascii="Arial" w:hAnsi="Arial" w:cs="Arial"/>
          <w:sz w:val="21"/>
          <w:szCs w:val="21"/>
        </w:rPr>
        <w:t>cajón</w:t>
      </w:r>
      <w:r w:rsidRPr="00946E02">
        <w:rPr>
          <w:rFonts w:ascii="Arial" w:hAnsi="Arial" w:cs="Arial"/>
          <w:sz w:val="21"/>
          <w:szCs w:val="21"/>
        </w:rPr>
        <w:t xml:space="preserve">) en </w:t>
      </w:r>
      <w:r w:rsidR="0015002D" w:rsidRPr="00946E02">
        <w:rPr>
          <w:rFonts w:ascii="Arial" w:hAnsi="Arial" w:cs="Arial"/>
          <w:sz w:val="21"/>
          <w:szCs w:val="21"/>
        </w:rPr>
        <w:t>vías</w:t>
      </w:r>
      <w:r w:rsidRPr="00946E02">
        <w:rPr>
          <w:rFonts w:ascii="Arial" w:hAnsi="Arial" w:cs="Arial"/>
          <w:sz w:val="21"/>
          <w:szCs w:val="21"/>
        </w:rPr>
        <w:t xml:space="preserve"> terciarias puede servir como requisito de experiencia cuando las entidades exigen como experiencia: 2 obras en vías terciarias 2.2 Mejoramiento en vías terciarias?</w:t>
      </w:r>
      <w:r w:rsidRPr="00946E02">
        <w:rPr>
          <w:rFonts w:ascii="Arial" w:hAnsi="Arial" w:cs="Arial"/>
          <w:sz w:val="21"/>
          <w:szCs w:val="21"/>
          <w:lang w:val="es-ES"/>
        </w:rPr>
        <w:t>»</w:t>
      </w:r>
      <w:r w:rsidRPr="00946E02">
        <w:rPr>
          <w:rFonts w:ascii="Arial" w:hAnsi="Arial" w:cs="Arial"/>
          <w:sz w:val="21"/>
          <w:szCs w:val="21"/>
        </w:rPr>
        <w:t xml:space="preserve"> </w:t>
      </w:r>
    </w:p>
    <w:p w14:paraId="13FCEBB4" w14:textId="275E646F" w:rsidR="007A4047" w:rsidRPr="00946E02" w:rsidRDefault="0064603D" w:rsidP="007A4047">
      <w:pPr>
        <w:spacing w:before="120" w:after="120" w:line="276" w:lineRule="auto"/>
        <w:jc w:val="both"/>
        <w:rPr>
          <w:rStyle w:val="nfasis"/>
          <w:rFonts w:ascii="Arial" w:hAnsi="Arial" w:cs="Arial"/>
          <w:sz w:val="22"/>
          <w:szCs w:val="22"/>
        </w:rPr>
      </w:pPr>
      <w:r w:rsidRPr="00946E02">
        <w:rPr>
          <w:rFonts w:ascii="Arial" w:hAnsi="Arial" w:cs="Arial"/>
          <w:sz w:val="22"/>
          <w:szCs w:val="22"/>
          <w:lang w:val="es-ES"/>
        </w:rPr>
        <w:t>De acuerdo con las consideraciones</w:t>
      </w:r>
      <w:r w:rsidR="00F93C05" w:rsidRPr="00946E02">
        <w:rPr>
          <w:rFonts w:ascii="Arial" w:hAnsi="Arial" w:cs="Arial"/>
          <w:sz w:val="22"/>
          <w:szCs w:val="22"/>
          <w:lang w:val="es-ES"/>
        </w:rPr>
        <w:t>, es posible concluir que</w:t>
      </w:r>
      <w:r w:rsidR="007A4047" w:rsidRPr="00946E02">
        <w:rPr>
          <w:rFonts w:ascii="Arial" w:hAnsi="Arial" w:cs="Arial"/>
          <w:sz w:val="22"/>
          <w:szCs w:val="22"/>
          <w:lang w:val="es-ES"/>
        </w:rPr>
        <w:t xml:space="preserve"> la experiencia frente a las obras de </w:t>
      </w:r>
      <w:r w:rsidR="007A4047" w:rsidRPr="00946E02">
        <w:rPr>
          <w:rFonts w:ascii="Arial" w:hAnsi="Arial" w:cs="Arial"/>
          <w:i/>
          <w:iCs/>
          <w:sz w:val="22"/>
          <w:szCs w:val="22"/>
          <w:lang w:val="es-ES"/>
        </w:rPr>
        <w:t>mejoramiento</w:t>
      </w:r>
      <w:r w:rsidR="007A4047" w:rsidRPr="00946E02">
        <w:rPr>
          <w:rFonts w:ascii="Arial" w:hAnsi="Arial" w:cs="Arial"/>
          <w:sz w:val="22"/>
          <w:szCs w:val="22"/>
          <w:lang w:val="es-ES"/>
        </w:rPr>
        <w:t xml:space="preserve"> debe comprenderse</w:t>
      </w:r>
      <w:r w:rsidR="00872CC7" w:rsidRPr="00946E02">
        <w:rPr>
          <w:rFonts w:ascii="Arial" w:hAnsi="Arial" w:cs="Arial"/>
          <w:sz w:val="22"/>
          <w:szCs w:val="22"/>
          <w:lang w:val="es-ES"/>
        </w:rPr>
        <w:t xml:space="preserve"> y evaluarse</w:t>
      </w:r>
      <w:r w:rsidR="007A4047" w:rsidRPr="00946E02">
        <w:rPr>
          <w:rFonts w:ascii="Arial" w:hAnsi="Arial" w:cs="Arial"/>
          <w:sz w:val="22"/>
          <w:szCs w:val="22"/>
          <w:lang w:val="es-ES"/>
        </w:rPr>
        <w:t xml:space="preserve"> de manera </w:t>
      </w:r>
      <w:r w:rsidR="00872CC7" w:rsidRPr="00946E02">
        <w:rPr>
          <w:rFonts w:ascii="Arial" w:hAnsi="Arial" w:cs="Arial"/>
          <w:sz w:val="22"/>
          <w:szCs w:val="22"/>
          <w:lang w:val="es-ES"/>
        </w:rPr>
        <w:t>sistemática</w:t>
      </w:r>
      <w:r w:rsidR="007A4047" w:rsidRPr="00946E02">
        <w:rPr>
          <w:rFonts w:ascii="Arial" w:hAnsi="Arial" w:cs="Arial"/>
          <w:sz w:val="22"/>
          <w:szCs w:val="22"/>
          <w:lang w:val="es-ES"/>
        </w:rPr>
        <w:t>, no solo con</w:t>
      </w:r>
      <w:r w:rsidR="00872CC7" w:rsidRPr="00946E02">
        <w:rPr>
          <w:rFonts w:ascii="Arial" w:hAnsi="Arial" w:cs="Arial"/>
          <w:sz w:val="22"/>
          <w:szCs w:val="22"/>
          <w:lang w:val="es-ES"/>
        </w:rPr>
        <w:t xml:space="preserve"> base en</w:t>
      </w:r>
      <w:r w:rsidR="007A4047" w:rsidRPr="00946E02">
        <w:rPr>
          <w:rFonts w:ascii="Arial" w:hAnsi="Arial" w:cs="Arial"/>
          <w:sz w:val="22"/>
          <w:szCs w:val="22"/>
          <w:lang w:val="es-ES"/>
        </w:rPr>
        <w:t xml:space="preserve"> los documentos tipo de infraestructura</w:t>
      </w:r>
      <w:r w:rsidR="00CE6043" w:rsidRPr="00946E02">
        <w:rPr>
          <w:rFonts w:ascii="Arial" w:hAnsi="Arial" w:cs="Arial"/>
          <w:sz w:val="22"/>
          <w:szCs w:val="22"/>
          <w:lang w:val="es-ES"/>
        </w:rPr>
        <w:t xml:space="preserve"> de transporte</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sino de acuerdo </w:t>
      </w:r>
      <w:proofErr w:type="gramStart"/>
      <w:r w:rsidR="007A4047" w:rsidRPr="00946E02">
        <w:rPr>
          <w:rFonts w:ascii="Arial" w:hAnsi="Arial" w:cs="Arial"/>
          <w:sz w:val="22"/>
          <w:szCs w:val="22"/>
          <w:lang w:val="es-ES"/>
        </w:rPr>
        <w:t xml:space="preserve">con </w:t>
      </w:r>
      <w:r w:rsidR="00E75C98" w:rsidRPr="00946E02">
        <w:rPr>
          <w:rFonts w:ascii="Arial" w:hAnsi="Arial" w:cs="Arial"/>
          <w:sz w:val="22"/>
          <w:szCs w:val="22"/>
          <w:lang w:val="es-ES"/>
        </w:rPr>
        <w:t xml:space="preserve"> la</w:t>
      </w:r>
      <w:proofErr w:type="gramEnd"/>
      <w:r w:rsidR="00E75C98" w:rsidRPr="00946E02">
        <w:rPr>
          <w:rFonts w:ascii="Arial" w:hAnsi="Arial" w:cs="Arial"/>
          <w:sz w:val="22"/>
          <w:szCs w:val="22"/>
          <w:lang w:val="es-ES"/>
        </w:rPr>
        <w:t xml:space="preserve"> </w:t>
      </w:r>
      <w:r w:rsidR="00CE6043" w:rsidRPr="00946E02">
        <w:rPr>
          <w:rFonts w:ascii="Arial" w:hAnsi="Arial" w:cs="Arial"/>
          <w:sz w:val="22"/>
          <w:szCs w:val="22"/>
          <w:lang w:val="es-ES"/>
        </w:rPr>
        <w:t>Ley</w:t>
      </w:r>
      <w:r w:rsidR="00FE4C18" w:rsidRPr="00946E02">
        <w:rPr>
          <w:rFonts w:ascii="Arial" w:hAnsi="Arial" w:cs="Arial"/>
          <w:sz w:val="22"/>
          <w:szCs w:val="22"/>
          <w:lang w:val="es-ES"/>
        </w:rPr>
        <w:t xml:space="preserve"> 1682 de 2013</w:t>
      </w:r>
      <w:r w:rsidR="007A4047" w:rsidRPr="00946E02">
        <w:rPr>
          <w:rFonts w:ascii="Arial" w:hAnsi="Arial" w:cs="Arial"/>
          <w:sz w:val="22"/>
          <w:szCs w:val="22"/>
          <w:lang w:val="es-ES"/>
        </w:rPr>
        <w:t xml:space="preserve"> y</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w:t>
      </w:r>
      <w:r w:rsidR="00FE4C18" w:rsidRPr="00946E02">
        <w:rPr>
          <w:rFonts w:ascii="Arial" w:hAnsi="Arial" w:cs="Arial"/>
          <w:sz w:val="22"/>
          <w:szCs w:val="22"/>
          <w:lang w:val="es-ES"/>
        </w:rPr>
        <w:t>además</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con</w:t>
      </w:r>
      <w:r w:rsidR="00FE4C18" w:rsidRPr="00946E02">
        <w:rPr>
          <w:rFonts w:ascii="Arial" w:hAnsi="Arial" w:cs="Arial"/>
          <w:sz w:val="22"/>
          <w:szCs w:val="22"/>
          <w:lang w:val="es-ES"/>
        </w:rPr>
        <w:t xml:space="preserve"> base</w:t>
      </w:r>
      <w:r w:rsidR="007A4047" w:rsidRPr="00946E02">
        <w:rPr>
          <w:rFonts w:ascii="Arial" w:hAnsi="Arial" w:cs="Arial"/>
          <w:sz w:val="22"/>
          <w:szCs w:val="22"/>
          <w:lang w:val="es-ES"/>
        </w:rPr>
        <w:t xml:space="preserve"> </w:t>
      </w:r>
      <w:r w:rsidR="00FE4C18" w:rsidRPr="00946E02">
        <w:rPr>
          <w:rFonts w:ascii="Arial" w:hAnsi="Arial" w:cs="Arial"/>
          <w:sz w:val="22"/>
          <w:szCs w:val="22"/>
          <w:lang w:val="es-ES"/>
        </w:rPr>
        <w:t>en e</w:t>
      </w:r>
      <w:r w:rsidR="007A4047" w:rsidRPr="00946E02">
        <w:rPr>
          <w:rFonts w:ascii="Arial" w:hAnsi="Arial" w:cs="Arial"/>
          <w:sz w:val="22"/>
          <w:szCs w:val="22"/>
          <w:lang w:val="es-ES"/>
        </w:rPr>
        <w:t>l decreto que se encarg</w:t>
      </w:r>
      <w:r w:rsidRPr="00946E02">
        <w:rPr>
          <w:rFonts w:ascii="Arial" w:hAnsi="Arial" w:cs="Arial"/>
          <w:sz w:val="22"/>
          <w:szCs w:val="22"/>
          <w:lang w:val="es-ES"/>
        </w:rPr>
        <w:t>ó</w:t>
      </w:r>
      <w:r w:rsidR="007A4047" w:rsidRPr="00946E02">
        <w:rPr>
          <w:rFonts w:ascii="Arial" w:hAnsi="Arial" w:cs="Arial"/>
          <w:sz w:val="22"/>
          <w:szCs w:val="22"/>
          <w:lang w:val="es-ES"/>
        </w:rPr>
        <w:t xml:space="preserve"> de desarrollar dicha Ley, es decir</w:t>
      </w:r>
      <w:r w:rsidR="00872CC7" w:rsidRPr="00946E02">
        <w:rPr>
          <w:rFonts w:ascii="Arial" w:hAnsi="Arial" w:cs="Arial"/>
          <w:sz w:val="22"/>
          <w:szCs w:val="22"/>
          <w:lang w:val="es-ES"/>
        </w:rPr>
        <w:t>,</w:t>
      </w:r>
      <w:r w:rsidR="007A4047" w:rsidRPr="00946E02">
        <w:rPr>
          <w:rFonts w:ascii="Arial" w:hAnsi="Arial" w:cs="Arial"/>
          <w:sz w:val="22"/>
          <w:szCs w:val="22"/>
          <w:lang w:val="es-ES"/>
        </w:rPr>
        <w:t xml:space="preserve"> el </w:t>
      </w:r>
      <w:r w:rsidR="007A4047" w:rsidRPr="00946E02">
        <w:rPr>
          <w:rFonts w:ascii="Arial" w:hAnsi="Arial" w:cs="Arial" w:hint="cs"/>
          <w:sz w:val="22"/>
          <w:szCs w:val="22"/>
        </w:rPr>
        <w:t xml:space="preserve">Decreto 769 de 2014, </w:t>
      </w:r>
      <w:r w:rsidRPr="00946E02">
        <w:rPr>
          <w:rFonts w:ascii="Arial" w:hAnsi="Arial" w:cs="Arial"/>
          <w:sz w:val="22"/>
          <w:szCs w:val="22"/>
        </w:rPr>
        <w:t>actualmente compilado</w:t>
      </w:r>
      <w:r w:rsidR="007A4047" w:rsidRPr="00946E02">
        <w:rPr>
          <w:rFonts w:ascii="Arial" w:hAnsi="Arial" w:cs="Arial" w:hint="cs"/>
          <w:sz w:val="22"/>
          <w:szCs w:val="22"/>
        </w:rPr>
        <w:t xml:space="preserve"> en el Decreto 1076 de 2015</w:t>
      </w:r>
      <w:r w:rsidR="00872CC7" w:rsidRPr="00946E02">
        <w:rPr>
          <w:rFonts w:ascii="Arial" w:hAnsi="Arial" w:cs="Arial"/>
          <w:sz w:val="22"/>
          <w:szCs w:val="22"/>
        </w:rPr>
        <w:t xml:space="preserve">. En </w:t>
      </w:r>
      <w:r w:rsidR="00872CC7" w:rsidRPr="00946E02">
        <w:rPr>
          <w:rFonts w:ascii="Arial" w:hAnsi="Arial" w:cs="Arial"/>
          <w:sz w:val="22"/>
          <w:szCs w:val="22"/>
        </w:rPr>
        <w:lastRenderedPageBreak/>
        <w:t xml:space="preserve">concreto, deben tenerse en cuenta </w:t>
      </w:r>
      <w:r w:rsidR="007A4047" w:rsidRPr="00946E02">
        <w:rPr>
          <w:rFonts w:ascii="Arial" w:hAnsi="Arial" w:cs="Arial"/>
          <w:sz w:val="22"/>
          <w:szCs w:val="22"/>
        </w:rPr>
        <w:t>los</w:t>
      </w:r>
      <w:r w:rsidR="007A4047" w:rsidRPr="00946E02">
        <w:rPr>
          <w:rFonts w:ascii="Arial" w:hAnsi="Arial" w:cs="Arial" w:hint="cs"/>
          <w:sz w:val="22"/>
          <w:szCs w:val="22"/>
        </w:rPr>
        <w:t xml:space="preserve"> artículos </w:t>
      </w:r>
      <w:r w:rsidR="007A4047" w:rsidRPr="00946E02">
        <w:rPr>
          <w:rStyle w:val="Textoennegrita"/>
          <w:rFonts w:ascii="Arial" w:hAnsi="Arial" w:cs="Arial" w:hint="cs"/>
          <w:b w:val="0"/>
          <w:bCs w:val="0"/>
          <w:sz w:val="22"/>
          <w:szCs w:val="22"/>
        </w:rPr>
        <w:t>2.2.2.5.1.1</w:t>
      </w:r>
      <w:r w:rsidR="00872CC7" w:rsidRPr="00946E02">
        <w:rPr>
          <w:rStyle w:val="Textoennegrita"/>
          <w:rFonts w:ascii="Arial" w:hAnsi="Arial" w:cs="Arial"/>
          <w:b w:val="0"/>
          <w:bCs w:val="0"/>
          <w:sz w:val="22"/>
          <w:szCs w:val="22"/>
        </w:rPr>
        <w:t xml:space="preserve"> </w:t>
      </w:r>
      <w:r w:rsidR="007A4047" w:rsidRPr="00946E02">
        <w:rPr>
          <w:rStyle w:val="Textoennegrita"/>
          <w:rFonts w:ascii="Arial" w:hAnsi="Arial" w:cs="Arial" w:hint="cs"/>
          <w:b w:val="0"/>
          <w:bCs w:val="0"/>
          <w:i/>
          <w:iCs/>
          <w:sz w:val="22"/>
          <w:szCs w:val="22"/>
        </w:rPr>
        <w:t>–</w:t>
      </w:r>
      <w:r w:rsidR="007A4047" w:rsidRPr="00946E02">
        <w:rPr>
          <w:rStyle w:val="nfasis"/>
          <w:rFonts w:ascii="Arial" w:hAnsi="Arial" w:cs="Arial" w:hint="cs"/>
          <w:i w:val="0"/>
          <w:iCs w:val="0"/>
          <w:sz w:val="22"/>
          <w:szCs w:val="22"/>
        </w:rPr>
        <w:t xml:space="preserve">Modo Terrestre-Carretero–, </w:t>
      </w:r>
      <w:r w:rsidR="007A4047" w:rsidRPr="00946E02">
        <w:rPr>
          <w:rStyle w:val="Textoennegrita"/>
          <w:rFonts w:ascii="Arial" w:hAnsi="Arial" w:cs="Arial" w:hint="cs"/>
          <w:b w:val="0"/>
          <w:bCs w:val="0"/>
          <w:i/>
          <w:iCs/>
          <w:sz w:val="22"/>
          <w:szCs w:val="22"/>
        </w:rPr>
        <w:t>2.2.2.5.2.1 –</w:t>
      </w:r>
      <w:r w:rsidR="007A4047" w:rsidRPr="00946E02">
        <w:rPr>
          <w:rStyle w:val="nfasis"/>
          <w:rFonts w:ascii="Arial" w:hAnsi="Arial" w:cs="Arial" w:hint="cs"/>
          <w:i w:val="0"/>
          <w:iCs w:val="0"/>
          <w:sz w:val="22"/>
          <w:szCs w:val="22"/>
        </w:rPr>
        <w:t>Modo Terrestre-Férreo–, 2.2.2.5.3.1 –Modo Acuático-Fluvial y Modo Acuático de Infraestructura Portuaria–, 2.2.2.5.3.2 –Modo acuático-infraestructura portuaria– y 2.2.2.5.4.1 –Modo Aéreo–.</w:t>
      </w:r>
      <w:r w:rsidR="007A4047" w:rsidRPr="00946E02">
        <w:rPr>
          <w:rStyle w:val="nfasis"/>
          <w:rFonts w:ascii="Arial" w:hAnsi="Arial" w:cs="Arial"/>
          <w:sz w:val="22"/>
          <w:szCs w:val="22"/>
        </w:rPr>
        <w:tab/>
      </w:r>
    </w:p>
    <w:p w14:paraId="6613CB39" w14:textId="59A664CA" w:rsidR="007A4047" w:rsidRPr="00946E02" w:rsidRDefault="007A4047" w:rsidP="007A4047">
      <w:pPr>
        <w:spacing w:after="120" w:line="276" w:lineRule="auto"/>
        <w:ind w:firstLine="709"/>
        <w:jc w:val="both"/>
        <w:rPr>
          <w:rFonts w:ascii="Arial" w:hAnsi="Arial" w:cs="Arial"/>
          <w:sz w:val="22"/>
        </w:rPr>
      </w:pPr>
      <w:r w:rsidRPr="00946E02">
        <w:rPr>
          <w:rStyle w:val="nfasis"/>
          <w:rFonts w:ascii="Arial" w:hAnsi="Arial" w:cs="Arial"/>
          <w:i w:val="0"/>
          <w:iCs w:val="0"/>
          <w:sz w:val="22"/>
          <w:szCs w:val="22"/>
        </w:rPr>
        <w:t>Lo anterior, toda vez que</w:t>
      </w:r>
      <w:r w:rsidR="00416333" w:rsidRPr="00946E02">
        <w:rPr>
          <w:rStyle w:val="nfasis"/>
          <w:rFonts w:ascii="Arial" w:hAnsi="Arial" w:cs="Arial"/>
          <w:i w:val="0"/>
          <w:iCs w:val="0"/>
          <w:sz w:val="22"/>
          <w:szCs w:val="22"/>
        </w:rPr>
        <w:t xml:space="preserve"> </w:t>
      </w:r>
      <w:r w:rsidRPr="00946E02">
        <w:rPr>
          <w:rFonts w:ascii="Arial" w:hAnsi="Arial" w:cs="Arial"/>
          <w:sz w:val="22"/>
        </w:rPr>
        <w:t>las nociones de las actividades que suponen intervenciones de la infraestructura de transporte, como es el caso de</w:t>
      </w:r>
      <w:r w:rsidR="00FE4C18" w:rsidRPr="00946E02">
        <w:rPr>
          <w:rFonts w:ascii="Arial" w:hAnsi="Arial" w:cs="Arial"/>
          <w:sz w:val="22"/>
        </w:rPr>
        <w:t xml:space="preserve"> las actividades de </w:t>
      </w:r>
      <w:r w:rsidRPr="00946E02">
        <w:rPr>
          <w:rFonts w:ascii="Arial" w:hAnsi="Arial" w:cs="Arial"/>
          <w:i/>
          <w:iCs/>
          <w:sz w:val="22"/>
        </w:rPr>
        <w:t>mejoramiento</w:t>
      </w:r>
      <w:r w:rsidRPr="00946E02">
        <w:rPr>
          <w:rFonts w:ascii="Arial" w:hAnsi="Arial" w:cs="Arial"/>
          <w:sz w:val="22"/>
        </w:rPr>
        <w:t>, en el marco de los documentos tipo de dicho sector, se determinar</w:t>
      </w:r>
      <w:r w:rsidR="00FE4C18" w:rsidRPr="00946E02">
        <w:rPr>
          <w:rFonts w:ascii="Arial" w:hAnsi="Arial" w:cs="Arial"/>
          <w:sz w:val="22"/>
        </w:rPr>
        <w:t>á</w:t>
      </w:r>
      <w:r w:rsidRPr="00946E02">
        <w:rPr>
          <w:rFonts w:ascii="Arial" w:hAnsi="Arial" w:cs="Arial"/>
          <w:sz w:val="22"/>
        </w:rPr>
        <w:t xml:space="preserve">n, en </w:t>
      </w:r>
      <w:r w:rsidR="00FE4C18" w:rsidRPr="00946E02">
        <w:rPr>
          <w:rFonts w:ascii="Arial" w:hAnsi="Arial" w:cs="Arial"/>
          <w:sz w:val="22"/>
        </w:rPr>
        <w:t>conjunto,</w:t>
      </w:r>
      <w:r w:rsidRPr="00946E02">
        <w:rPr>
          <w:rFonts w:ascii="Arial" w:hAnsi="Arial" w:cs="Arial"/>
          <w:sz w:val="22"/>
        </w:rPr>
        <w:t xml:space="preserve"> por lo dispuesto en la Ley 1682 de 2013</w:t>
      </w:r>
      <w:r w:rsidR="00FE4C18" w:rsidRPr="00946E02">
        <w:rPr>
          <w:rFonts w:ascii="Arial" w:hAnsi="Arial" w:cs="Arial"/>
          <w:sz w:val="22"/>
        </w:rPr>
        <w:t xml:space="preserve">, </w:t>
      </w:r>
      <w:r w:rsidR="0064603D" w:rsidRPr="00946E02">
        <w:rPr>
          <w:rFonts w:ascii="Arial" w:hAnsi="Arial" w:cs="Arial"/>
          <w:sz w:val="22"/>
        </w:rPr>
        <w:t xml:space="preserve">el </w:t>
      </w:r>
      <w:r w:rsidR="00FE4C18" w:rsidRPr="00946E02">
        <w:rPr>
          <w:rFonts w:ascii="Arial" w:hAnsi="Arial" w:cs="Arial"/>
          <w:sz w:val="22"/>
        </w:rPr>
        <w:t xml:space="preserve">Decreto 1076 de 2015 </w:t>
      </w:r>
      <w:r w:rsidR="0064603D" w:rsidRPr="00946E02">
        <w:rPr>
          <w:rFonts w:ascii="Arial" w:hAnsi="Arial" w:cs="Arial"/>
          <w:sz w:val="22"/>
        </w:rPr>
        <w:t>–</w:t>
      </w:r>
      <w:r w:rsidR="00FE4C18" w:rsidRPr="00946E02">
        <w:rPr>
          <w:rFonts w:ascii="Arial" w:hAnsi="Arial" w:cs="Arial"/>
          <w:sz w:val="22"/>
        </w:rPr>
        <w:t>que compila el Decreto 769 de 2014</w:t>
      </w:r>
      <w:r w:rsidR="0064603D" w:rsidRPr="00946E02">
        <w:rPr>
          <w:rFonts w:ascii="Arial" w:hAnsi="Arial" w:cs="Arial"/>
          <w:sz w:val="22"/>
        </w:rPr>
        <w:t>–</w:t>
      </w:r>
      <w:r w:rsidR="00FE4C18" w:rsidRPr="00946E02">
        <w:rPr>
          <w:rFonts w:ascii="Arial" w:hAnsi="Arial" w:cs="Arial"/>
          <w:sz w:val="22"/>
        </w:rPr>
        <w:t xml:space="preserve"> y el Anexo 3 – Glosario de los Documentos tipo</w:t>
      </w:r>
      <w:r w:rsidRPr="00946E02">
        <w:rPr>
          <w:rFonts w:ascii="Arial" w:hAnsi="Arial" w:cs="Arial"/>
          <w:sz w:val="22"/>
        </w:rPr>
        <w:t>.</w:t>
      </w:r>
    </w:p>
    <w:p w14:paraId="0E935196" w14:textId="58A38E00" w:rsidR="003668F9" w:rsidRPr="00946E02" w:rsidRDefault="007A4047" w:rsidP="003668F9">
      <w:pPr>
        <w:spacing w:before="120" w:after="120" w:line="276" w:lineRule="auto"/>
        <w:jc w:val="both"/>
        <w:rPr>
          <w:rFonts w:ascii="Arial" w:hAnsi="Arial" w:cs="Arial"/>
          <w:sz w:val="22"/>
          <w:szCs w:val="22"/>
          <w:lang w:val="es-ES"/>
        </w:rPr>
      </w:pPr>
      <w:r w:rsidRPr="00946E02">
        <w:rPr>
          <w:rFonts w:ascii="Arial" w:hAnsi="Arial" w:cs="Arial"/>
          <w:sz w:val="22"/>
          <w:szCs w:val="22"/>
          <w:lang w:val="es-ES"/>
        </w:rPr>
        <w:tab/>
      </w:r>
      <w:r w:rsidR="00416333" w:rsidRPr="00946E02">
        <w:rPr>
          <w:rFonts w:ascii="Arial" w:hAnsi="Arial" w:cs="Arial"/>
          <w:sz w:val="22"/>
          <w:szCs w:val="22"/>
          <w:lang w:val="es-ES"/>
        </w:rPr>
        <w:t xml:space="preserve">Así las cosas, </w:t>
      </w:r>
      <w:r w:rsidRPr="00946E02">
        <w:rPr>
          <w:rFonts w:ascii="Arial" w:hAnsi="Arial" w:cs="Arial"/>
          <w:sz w:val="22"/>
          <w:szCs w:val="22"/>
          <w:lang w:val="es-ES"/>
        </w:rPr>
        <w:t>frente al caso en concreto, est</w:t>
      </w:r>
      <w:r w:rsidR="00416333" w:rsidRPr="00946E02">
        <w:rPr>
          <w:rFonts w:ascii="Arial" w:hAnsi="Arial" w:cs="Arial"/>
          <w:sz w:val="22"/>
          <w:szCs w:val="22"/>
          <w:lang w:val="es-ES"/>
        </w:rPr>
        <w:t>a</w:t>
      </w:r>
      <w:r w:rsidRPr="00946E02">
        <w:rPr>
          <w:rFonts w:ascii="Arial" w:hAnsi="Arial" w:cs="Arial"/>
          <w:sz w:val="22"/>
          <w:szCs w:val="22"/>
          <w:lang w:val="es-ES"/>
        </w:rPr>
        <w:t xml:space="preserve"> Agencia </w:t>
      </w:r>
      <w:r w:rsidR="00416333" w:rsidRPr="00946E02">
        <w:rPr>
          <w:rFonts w:ascii="Arial" w:hAnsi="Arial" w:cs="Arial"/>
          <w:sz w:val="22"/>
          <w:szCs w:val="22"/>
          <w:lang w:val="es-ES"/>
        </w:rPr>
        <w:t xml:space="preserve">considera que, con base en el concepto técnico de </w:t>
      </w:r>
      <w:r w:rsidR="00416333" w:rsidRPr="00946E02">
        <w:rPr>
          <w:rFonts w:ascii="Arial" w:hAnsi="Arial" w:cs="Arial"/>
          <w:i/>
          <w:iCs/>
          <w:sz w:val="22"/>
          <w:szCs w:val="22"/>
          <w:lang w:val="es-ES"/>
        </w:rPr>
        <w:t xml:space="preserve">box </w:t>
      </w:r>
      <w:proofErr w:type="spellStart"/>
      <w:r w:rsidR="00416333" w:rsidRPr="00946E02">
        <w:rPr>
          <w:rFonts w:ascii="Arial" w:hAnsi="Arial" w:cs="Arial"/>
          <w:i/>
          <w:iCs/>
          <w:sz w:val="22"/>
          <w:szCs w:val="22"/>
          <w:lang w:val="es-ES"/>
        </w:rPr>
        <w:t>culvert</w:t>
      </w:r>
      <w:proofErr w:type="spellEnd"/>
      <w:r w:rsidR="003668F9" w:rsidRPr="00946E02">
        <w:rPr>
          <w:rFonts w:ascii="Arial" w:hAnsi="Arial" w:cs="Arial"/>
          <w:i/>
          <w:iCs/>
          <w:sz w:val="22"/>
          <w:szCs w:val="22"/>
          <w:lang w:val="es-ES"/>
        </w:rPr>
        <w:t xml:space="preserve"> </w:t>
      </w:r>
      <w:r w:rsidR="0064603D" w:rsidRPr="00946E02">
        <w:rPr>
          <w:rFonts w:ascii="Arial" w:hAnsi="Arial" w:cs="Arial"/>
          <w:sz w:val="22"/>
          <w:szCs w:val="22"/>
          <w:lang w:val="es-ES"/>
        </w:rPr>
        <w:t>–</w:t>
      </w:r>
      <w:r w:rsidR="003668F9" w:rsidRPr="00946E02">
        <w:rPr>
          <w:rFonts w:ascii="Arial" w:hAnsi="Arial" w:cs="Arial"/>
          <w:sz w:val="22"/>
          <w:szCs w:val="22"/>
          <w:lang w:val="es-ES"/>
        </w:rPr>
        <w:t>u</w:t>
      </w:r>
      <w:r w:rsidR="00416333" w:rsidRPr="00946E02">
        <w:rPr>
          <w:rFonts w:ascii="Arial" w:hAnsi="Arial" w:cs="Arial"/>
          <w:sz w:val="22"/>
          <w:szCs w:val="22"/>
          <w:lang w:val="es-ES"/>
        </w:rPr>
        <w:t xml:space="preserve">n tipo de infraestructura construida </w:t>
      </w:r>
      <w:r w:rsidR="00416333" w:rsidRPr="00946E02">
        <w:rPr>
          <w:rFonts w:ascii="Arial" w:hAnsi="Arial" w:cs="Arial"/>
          <w:i/>
          <w:iCs/>
          <w:sz w:val="22"/>
          <w:szCs w:val="22"/>
          <w:lang w:val="es-ES"/>
        </w:rPr>
        <w:t>in situ</w:t>
      </w:r>
      <w:r w:rsidR="00416333" w:rsidRPr="00946E02">
        <w:rPr>
          <w:rFonts w:ascii="Arial" w:hAnsi="Arial" w:cs="Arial"/>
          <w:sz w:val="22"/>
          <w:szCs w:val="22"/>
          <w:lang w:val="es-ES"/>
        </w:rPr>
        <w:t xml:space="preserve"> o prefabricada en concreto, con forma de caja, que se encuentra debajo de un terraplén para drenar el agua de un lado de la carretera al otro; o como una estructura de sección cuadrada o rectangular que se fabrica de concreto armado a desnivel y permiten el paso de personas, animales y cuerpos de agua de un lado a otro de la vía</w:t>
      </w:r>
      <w:r w:rsidR="0064603D" w:rsidRPr="00946E02">
        <w:rPr>
          <w:rFonts w:ascii="Arial" w:hAnsi="Arial" w:cs="Arial"/>
          <w:sz w:val="22"/>
          <w:szCs w:val="22"/>
          <w:lang w:val="es-ES"/>
        </w:rPr>
        <w:t>–</w:t>
      </w:r>
      <w:r w:rsidR="003668F9" w:rsidRPr="00946E02">
        <w:rPr>
          <w:rFonts w:ascii="Arial" w:hAnsi="Arial" w:cs="Arial"/>
          <w:sz w:val="22"/>
          <w:szCs w:val="22"/>
          <w:lang w:val="es-ES"/>
        </w:rPr>
        <w:t xml:space="preserve"> resulta que se trata de </w:t>
      </w:r>
      <w:r w:rsidR="00416333" w:rsidRPr="00946E02">
        <w:rPr>
          <w:rFonts w:ascii="Arial" w:hAnsi="Arial" w:cs="Arial"/>
          <w:sz w:val="22"/>
          <w:szCs w:val="22"/>
          <w:lang w:val="es-ES"/>
        </w:rPr>
        <w:t>una infraestructura de drenaje</w:t>
      </w:r>
      <w:r w:rsidR="003668F9" w:rsidRPr="00946E02">
        <w:rPr>
          <w:rFonts w:ascii="Arial" w:hAnsi="Arial" w:cs="Arial"/>
          <w:sz w:val="22"/>
          <w:szCs w:val="22"/>
          <w:lang w:val="es-ES"/>
        </w:rPr>
        <w:t>,</w:t>
      </w:r>
      <w:r w:rsidR="00416333" w:rsidRPr="00946E02">
        <w:rPr>
          <w:rFonts w:ascii="Arial" w:hAnsi="Arial" w:cs="Arial"/>
          <w:sz w:val="22"/>
          <w:szCs w:val="22"/>
          <w:lang w:val="es-ES"/>
        </w:rPr>
        <w:t xml:space="preserve"> concebida para permitir el paso de cuerpos de agua, corrientes hídricas e incluso de personas y animales por debajo de una vía. </w:t>
      </w:r>
    </w:p>
    <w:p w14:paraId="200681C3" w14:textId="794892A1" w:rsidR="00416333" w:rsidRPr="00946E02" w:rsidRDefault="00416333" w:rsidP="003668F9">
      <w:pPr>
        <w:spacing w:before="120" w:after="120" w:line="276" w:lineRule="auto"/>
        <w:ind w:firstLine="708"/>
        <w:jc w:val="both"/>
        <w:rPr>
          <w:rFonts w:ascii="Arial" w:hAnsi="Arial" w:cs="Arial"/>
          <w:sz w:val="22"/>
          <w:szCs w:val="22"/>
          <w:lang w:val="es-ES"/>
        </w:rPr>
      </w:pPr>
      <w:r w:rsidRPr="00946E02">
        <w:rPr>
          <w:rFonts w:ascii="Arial" w:hAnsi="Arial" w:cs="Arial"/>
          <w:sz w:val="22"/>
          <w:szCs w:val="22"/>
          <w:lang w:val="es-ES"/>
        </w:rPr>
        <w:t xml:space="preserve">Ello quiere decir que la construcción de un </w:t>
      </w:r>
      <w:r w:rsidRPr="00946E02">
        <w:rPr>
          <w:rFonts w:ascii="Arial" w:hAnsi="Arial" w:cs="Arial"/>
          <w:i/>
          <w:iCs/>
          <w:sz w:val="22"/>
          <w:szCs w:val="22"/>
          <w:lang w:val="es-ES"/>
        </w:rPr>
        <w:t xml:space="preserve">box </w:t>
      </w:r>
      <w:proofErr w:type="spellStart"/>
      <w:r w:rsidRPr="00946E02">
        <w:rPr>
          <w:rFonts w:ascii="Arial" w:hAnsi="Arial" w:cs="Arial"/>
          <w:i/>
          <w:iCs/>
          <w:sz w:val="22"/>
          <w:szCs w:val="22"/>
          <w:lang w:val="es-ES"/>
        </w:rPr>
        <w:t>culvert</w:t>
      </w:r>
      <w:proofErr w:type="spellEnd"/>
      <w:r w:rsidRPr="00946E02">
        <w:rPr>
          <w:rFonts w:ascii="Arial" w:hAnsi="Arial" w:cs="Arial"/>
          <w:sz w:val="22"/>
          <w:szCs w:val="22"/>
          <w:lang w:val="es-ES"/>
        </w:rPr>
        <w:t>,</w:t>
      </w:r>
      <w:r w:rsidR="003668F9" w:rsidRPr="00946E02">
        <w:rPr>
          <w:rFonts w:ascii="Arial" w:hAnsi="Arial" w:cs="Arial"/>
          <w:sz w:val="22"/>
          <w:szCs w:val="22"/>
          <w:lang w:val="es-ES"/>
        </w:rPr>
        <w:t xml:space="preserve"> según la normativa aplicable,</w:t>
      </w:r>
      <w:r w:rsidRPr="00946E02">
        <w:rPr>
          <w:rFonts w:ascii="Arial" w:hAnsi="Arial" w:cs="Arial"/>
          <w:sz w:val="22"/>
          <w:szCs w:val="22"/>
          <w:lang w:val="es-ES"/>
        </w:rPr>
        <w:t xml:space="preserve"> </w:t>
      </w:r>
      <w:r w:rsidR="0064603D" w:rsidRPr="00946E02">
        <w:rPr>
          <w:rFonts w:ascii="Arial" w:hAnsi="Arial" w:cs="Arial"/>
          <w:sz w:val="22"/>
          <w:szCs w:val="22"/>
          <w:lang w:val="es-ES"/>
        </w:rPr>
        <w:t>haría</w:t>
      </w:r>
      <w:r w:rsidRPr="00946E02">
        <w:rPr>
          <w:rFonts w:ascii="Arial" w:hAnsi="Arial" w:cs="Arial"/>
          <w:sz w:val="22"/>
          <w:szCs w:val="22"/>
          <w:lang w:val="es-ES"/>
        </w:rPr>
        <w:t xml:space="preserve"> parte de una de las actividades mencionadas por el artículo 2.2.1.5.1.1 del Decreto 1076 de 2015, específicamente</w:t>
      </w:r>
      <w:r w:rsidR="003668F9" w:rsidRPr="00946E02">
        <w:rPr>
          <w:rFonts w:ascii="Arial" w:hAnsi="Arial" w:cs="Arial"/>
          <w:sz w:val="22"/>
          <w:szCs w:val="22"/>
          <w:lang w:val="es-ES"/>
        </w:rPr>
        <w:t>,</w:t>
      </w:r>
      <w:r w:rsidRPr="00946E02">
        <w:rPr>
          <w:rFonts w:ascii="Arial" w:hAnsi="Arial" w:cs="Arial"/>
          <w:sz w:val="22"/>
          <w:szCs w:val="22"/>
          <w:lang w:val="es-ES"/>
        </w:rPr>
        <w:t xml:space="preserve"> la</w:t>
      </w:r>
      <w:r w:rsidR="003668F9" w:rsidRPr="00946E02">
        <w:rPr>
          <w:rFonts w:ascii="Arial" w:hAnsi="Arial" w:cs="Arial"/>
          <w:sz w:val="22"/>
          <w:szCs w:val="22"/>
          <w:lang w:val="es-ES"/>
        </w:rPr>
        <w:t xml:space="preserve"> indicada e</w:t>
      </w:r>
      <w:r w:rsidRPr="00946E02">
        <w:rPr>
          <w:rFonts w:ascii="Arial" w:hAnsi="Arial" w:cs="Arial"/>
          <w:sz w:val="22"/>
          <w:szCs w:val="22"/>
          <w:lang w:val="es-ES"/>
        </w:rPr>
        <w:t>n el numeral 6 «La adecuación y construcción de obras de drenaje y subdrenaje transversal y longitudinal» y</w:t>
      </w:r>
      <w:r w:rsidR="00D84B8B" w:rsidRPr="00946E02">
        <w:rPr>
          <w:rFonts w:ascii="Arial" w:hAnsi="Arial" w:cs="Arial"/>
          <w:sz w:val="22"/>
          <w:szCs w:val="22"/>
          <w:lang w:val="es-ES"/>
        </w:rPr>
        <w:t xml:space="preserve"> en el numeral 2.50 del Anexo 3 – Glosario «2.50 Mejoramiento: Cambios en una infraestructura de transporte con el propósito de mejorar sus especificaciones técnicas iniciales». De este modo, la construcción de </w:t>
      </w:r>
      <w:r w:rsidR="00D84B8B" w:rsidRPr="00946E02">
        <w:rPr>
          <w:rFonts w:ascii="Arial" w:hAnsi="Arial" w:cs="Arial"/>
          <w:i/>
          <w:iCs/>
          <w:sz w:val="22"/>
          <w:szCs w:val="22"/>
          <w:lang w:val="es-ES"/>
        </w:rPr>
        <w:t xml:space="preserve">box </w:t>
      </w:r>
      <w:proofErr w:type="spellStart"/>
      <w:r w:rsidR="00D84B8B" w:rsidRPr="00946E02">
        <w:rPr>
          <w:rFonts w:ascii="Arial" w:hAnsi="Arial" w:cs="Arial"/>
          <w:i/>
          <w:iCs/>
          <w:sz w:val="22"/>
          <w:szCs w:val="22"/>
          <w:lang w:val="es-ES"/>
        </w:rPr>
        <w:t>culvert</w:t>
      </w:r>
      <w:proofErr w:type="spellEnd"/>
      <w:r w:rsidR="00D84B8B" w:rsidRPr="00946E02">
        <w:rPr>
          <w:rFonts w:ascii="Arial" w:hAnsi="Arial" w:cs="Arial"/>
          <w:sz w:val="22"/>
          <w:szCs w:val="22"/>
          <w:lang w:val="es-ES"/>
        </w:rPr>
        <w:t xml:space="preserve"> </w:t>
      </w:r>
      <w:r w:rsidR="0064603D" w:rsidRPr="00946E02">
        <w:rPr>
          <w:rFonts w:ascii="Arial" w:hAnsi="Arial" w:cs="Arial"/>
          <w:sz w:val="22"/>
          <w:szCs w:val="22"/>
          <w:lang w:val="es-ES"/>
        </w:rPr>
        <w:t>serviría</w:t>
      </w:r>
      <w:r w:rsidRPr="00946E02">
        <w:rPr>
          <w:rFonts w:ascii="Arial" w:hAnsi="Arial" w:cs="Arial"/>
          <w:sz w:val="22"/>
          <w:szCs w:val="22"/>
          <w:lang w:val="es-ES"/>
        </w:rPr>
        <w:t xml:space="preserve"> como requisito para demostrar la experiencia del oferente </w:t>
      </w:r>
      <w:r w:rsidR="00D84B8B" w:rsidRPr="00946E02">
        <w:rPr>
          <w:rFonts w:ascii="Arial" w:hAnsi="Arial" w:cs="Arial"/>
          <w:sz w:val="22"/>
          <w:szCs w:val="22"/>
          <w:lang w:val="es-ES"/>
        </w:rPr>
        <w:t xml:space="preserve">y habilitar su </w:t>
      </w:r>
      <w:r w:rsidRPr="00946E02">
        <w:rPr>
          <w:rFonts w:ascii="Arial" w:hAnsi="Arial" w:cs="Arial"/>
          <w:sz w:val="22"/>
          <w:szCs w:val="22"/>
          <w:lang w:val="es-ES"/>
        </w:rPr>
        <w:t>participa</w:t>
      </w:r>
      <w:r w:rsidR="00D84B8B" w:rsidRPr="00946E02">
        <w:rPr>
          <w:rFonts w:ascii="Arial" w:hAnsi="Arial" w:cs="Arial"/>
          <w:sz w:val="22"/>
          <w:szCs w:val="22"/>
          <w:lang w:val="es-ES"/>
        </w:rPr>
        <w:t>ción en procedimientos de</w:t>
      </w:r>
      <w:r w:rsidRPr="00946E02">
        <w:rPr>
          <w:rFonts w:ascii="Arial" w:hAnsi="Arial" w:cs="Arial"/>
          <w:sz w:val="22"/>
          <w:szCs w:val="22"/>
          <w:lang w:val="es-ES"/>
        </w:rPr>
        <w:t xml:space="preserve"> licitación pública para la actividad de mejoramiento en vías terciarias.</w:t>
      </w:r>
    </w:p>
    <w:p w14:paraId="31DA7007" w14:textId="057CCE64" w:rsidR="003C7067" w:rsidRPr="00946E02" w:rsidRDefault="003C7067" w:rsidP="00416333">
      <w:pPr>
        <w:spacing w:before="120" w:after="120" w:line="276" w:lineRule="auto"/>
        <w:jc w:val="both"/>
        <w:rPr>
          <w:rFonts w:ascii="Arial" w:eastAsia="Calibri" w:hAnsi="Arial" w:cs="Arial"/>
          <w:sz w:val="22"/>
          <w:szCs w:val="22"/>
          <w:lang w:val="es-ES"/>
        </w:rPr>
      </w:pPr>
      <w:r w:rsidRPr="00946E02">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946E02" w:rsidRDefault="003C7067" w:rsidP="003C7067">
      <w:pPr>
        <w:jc w:val="both"/>
        <w:rPr>
          <w:rFonts w:ascii="Arial" w:eastAsia="Calibri" w:hAnsi="Arial" w:cs="Arial"/>
          <w:sz w:val="22"/>
          <w:szCs w:val="22"/>
          <w:lang w:val="es-ES"/>
        </w:rPr>
      </w:pPr>
    </w:p>
    <w:p w14:paraId="740312DF" w14:textId="3880B992" w:rsidR="003C7067" w:rsidRDefault="003C7067" w:rsidP="003C7067">
      <w:pPr>
        <w:jc w:val="both"/>
        <w:rPr>
          <w:rFonts w:ascii="Arial" w:hAnsi="Arial" w:cs="Arial"/>
          <w:sz w:val="22"/>
          <w:szCs w:val="22"/>
          <w:lang w:val="es-ES" w:eastAsia="es-CO"/>
        </w:rPr>
      </w:pPr>
      <w:r w:rsidRPr="00946E02">
        <w:rPr>
          <w:rFonts w:ascii="Arial" w:hAnsi="Arial" w:cs="Arial"/>
          <w:sz w:val="22"/>
          <w:szCs w:val="22"/>
          <w:lang w:val="es-ES" w:eastAsia="es-CO"/>
        </w:rPr>
        <w:t>Atentamente,</w:t>
      </w:r>
    </w:p>
    <w:p w14:paraId="3D5BE623" w14:textId="3BB4175E" w:rsidR="00344490" w:rsidRPr="00946E02" w:rsidRDefault="00344490" w:rsidP="003C7067">
      <w:pPr>
        <w:jc w:val="both"/>
        <w:rPr>
          <w:rFonts w:ascii="Arial" w:hAnsi="Arial" w:cs="Arial"/>
          <w:sz w:val="22"/>
          <w:szCs w:val="22"/>
          <w:lang w:val="es-ES" w:eastAsia="es-CO"/>
        </w:rPr>
      </w:pPr>
      <w:r>
        <w:rPr>
          <w:noProof/>
        </w:rPr>
        <w:drawing>
          <wp:anchor distT="0" distB="0" distL="114300" distR="114300" simplePos="0" relativeHeight="251659264" behindDoc="0" locked="0" layoutInCell="1" allowOverlap="1" wp14:anchorId="06F143B9" wp14:editId="4FC4F4DA">
            <wp:simplePos x="0" y="0"/>
            <wp:positionH relativeFrom="page">
              <wp:posOffset>2818994</wp:posOffset>
            </wp:positionH>
            <wp:positionV relativeFrom="paragraph">
              <wp:posOffset>156845</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34F7EF72" w14:textId="76C9D86D" w:rsidR="003C7067" w:rsidRPr="00946E02" w:rsidRDefault="003C7067" w:rsidP="003C7067">
      <w:pPr>
        <w:jc w:val="center"/>
        <w:rPr>
          <w:rFonts w:ascii="Arial" w:hAnsi="Arial" w:cs="Arial"/>
          <w:sz w:val="18"/>
          <w:szCs w:val="20"/>
          <w:lang w:val="es-ES" w:eastAsia="es-CO"/>
        </w:rPr>
      </w:pPr>
    </w:p>
    <w:p w14:paraId="5D5DF9A4" w14:textId="77777777" w:rsidR="0015002D" w:rsidRPr="00946E02" w:rsidRDefault="0015002D"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946E02" w14:paraId="67DFEBDD" w14:textId="77777777" w:rsidTr="00406F4B">
        <w:trPr>
          <w:trHeight w:val="315"/>
        </w:trPr>
        <w:tc>
          <w:tcPr>
            <w:tcW w:w="812" w:type="dxa"/>
            <w:vAlign w:val="center"/>
            <w:hideMark/>
          </w:tcPr>
          <w:p w14:paraId="586E9637"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 xml:space="preserve">Camilo Perdomo Villamil </w:t>
            </w:r>
          </w:p>
          <w:p w14:paraId="15047A99"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Contratista de la Subdirección de Gestión Contractual</w:t>
            </w:r>
          </w:p>
        </w:tc>
      </w:tr>
      <w:tr w:rsidR="003C7067" w:rsidRPr="00946E02" w14:paraId="5E040385" w14:textId="77777777" w:rsidTr="00406F4B">
        <w:trPr>
          <w:trHeight w:val="330"/>
        </w:trPr>
        <w:tc>
          <w:tcPr>
            <w:tcW w:w="812" w:type="dxa"/>
            <w:vAlign w:val="center"/>
            <w:hideMark/>
          </w:tcPr>
          <w:p w14:paraId="1468648A"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0D1B6940" w:rsidR="003C7067" w:rsidRPr="00946E02" w:rsidRDefault="00F93C05" w:rsidP="00406F4B">
            <w:pPr>
              <w:rPr>
                <w:rFonts w:ascii="Arial" w:hAnsi="Arial" w:cs="Arial"/>
                <w:sz w:val="16"/>
                <w:szCs w:val="16"/>
                <w:lang w:val="es-ES" w:eastAsia="es-ES"/>
              </w:rPr>
            </w:pPr>
            <w:r w:rsidRPr="00946E02">
              <w:rPr>
                <w:rFonts w:ascii="Arial" w:hAnsi="Arial" w:cs="Arial"/>
                <w:sz w:val="16"/>
                <w:szCs w:val="16"/>
                <w:lang w:val="es-ES" w:eastAsia="es-ES"/>
              </w:rPr>
              <w:t>Sebastián Ramírez Granados</w:t>
            </w:r>
          </w:p>
          <w:p w14:paraId="75F78D0C" w14:textId="702E333B" w:rsidR="003C7067" w:rsidRPr="00946E02" w:rsidRDefault="00313D4A" w:rsidP="00406F4B">
            <w:pPr>
              <w:rPr>
                <w:rFonts w:ascii="Arial" w:hAnsi="Arial" w:cs="Arial"/>
                <w:sz w:val="16"/>
                <w:szCs w:val="16"/>
                <w:lang w:val="es-ES" w:eastAsia="es-ES"/>
              </w:rPr>
            </w:pPr>
            <w:r w:rsidRPr="00946E02">
              <w:rPr>
                <w:rFonts w:ascii="Arial" w:hAnsi="Arial" w:cs="Arial"/>
                <w:sz w:val="16"/>
                <w:szCs w:val="16"/>
                <w:lang w:val="es-ES" w:eastAsia="es-ES"/>
              </w:rPr>
              <w:t>Contratista</w:t>
            </w:r>
            <w:r w:rsidR="003C7067" w:rsidRPr="00946E02">
              <w:rPr>
                <w:rFonts w:ascii="Arial" w:hAnsi="Arial" w:cs="Arial"/>
                <w:sz w:val="16"/>
                <w:szCs w:val="16"/>
                <w:lang w:val="es-ES" w:eastAsia="es-ES"/>
              </w:rPr>
              <w:t xml:space="preserve"> la Subdirección de Gestión Contractual</w:t>
            </w:r>
          </w:p>
          <w:p w14:paraId="47648BCD" w14:textId="7D01CFDB" w:rsidR="00F502DF" w:rsidRPr="00946E02" w:rsidRDefault="00F502DF" w:rsidP="00406F4B">
            <w:pPr>
              <w:rPr>
                <w:rFonts w:ascii="Arial" w:hAnsi="Arial" w:cs="Arial"/>
                <w:sz w:val="16"/>
                <w:szCs w:val="16"/>
                <w:lang w:val="es-ES" w:eastAsia="es-ES"/>
              </w:rPr>
            </w:pPr>
            <w:proofErr w:type="spellStart"/>
            <w:r w:rsidRPr="00946E02">
              <w:rPr>
                <w:rFonts w:ascii="Arial" w:hAnsi="Arial" w:cs="Arial"/>
                <w:sz w:val="16"/>
                <w:szCs w:val="16"/>
                <w:lang w:val="es-ES" w:eastAsia="es-ES"/>
              </w:rPr>
              <w:t>Karlo</w:t>
            </w:r>
            <w:proofErr w:type="spellEnd"/>
            <w:r w:rsidRPr="00946E02">
              <w:rPr>
                <w:rFonts w:ascii="Arial" w:hAnsi="Arial" w:cs="Arial"/>
                <w:sz w:val="16"/>
                <w:szCs w:val="16"/>
                <w:lang w:val="es-ES" w:eastAsia="es-ES"/>
              </w:rPr>
              <w:t xml:space="preserve"> Fernández Cala</w:t>
            </w:r>
          </w:p>
          <w:p w14:paraId="498FFC38" w14:textId="2DD1BD52" w:rsidR="00F502DF" w:rsidRPr="00946E02" w:rsidRDefault="00F502DF" w:rsidP="00406F4B">
            <w:pPr>
              <w:rPr>
                <w:rFonts w:ascii="Arial" w:hAnsi="Arial" w:cs="Arial"/>
                <w:sz w:val="16"/>
                <w:szCs w:val="16"/>
                <w:lang w:val="es-ES" w:eastAsia="es-ES"/>
              </w:rPr>
            </w:pPr>
            <w:r w:rsidRPr="00946E02">
              <w:rPr>
                <w:rFonts w:ascii="Arial" w:hAnsi="Arial" w:cs="Arial"/>
                <w:sz w:val="16"/>
                <w:szCs w:val="16"/>
                <w:lang w:val="es-ES" w:eastAsia="es-ES"/>
              </w:rPr>
              <w:t xml:space="preserve">Gestor T1-15 de la Dirección General </w:t>
            </w:r>
          </w:p>
          <w:p w14:paraId="202F9F6E" w14:textId="216A2BAC" w:rsidR="007D2560" w:rsidRPr="00946E02" w:rsidRDefault="007D2560" w:rsidP="00406F4B">
            <w:pPr>
              <w:rPr>
                <w:rFonts w:ascii="Arial" w:hAnsi="Arial" w:cs="Arial"/>
                <w:sz w:val="16"/>
                <w:szCs w:val="16"/>
                <w:lang w:val="es-ES" w:eastAsia="es-ES"/>
              </w:rPr>
            </w:pPr>
          </w:p>
        </w:tc>
      </w:tr>
      <w:tr w:rsidR="003C7067" w:rsidRPr="00C00312" w14:paraId="65581C44" w14:textId="77777777" w:rsidTr="00406F4B">
        <w:trPr>
          <w:trHeight w:val="300"/>
        </w:trPr>
        <w:tc>
          <w:tcPr>
            <w:tcW w:w="812" w:type="dxa"/>
            <w:vAlign w:val="center"/>
            <w:hideMark/>
          </w:tcPr>
          <w:p w14:paraId="5B07E6DF"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46E02" w:rsidRDefault="003C7067" w:rsidP="00406F4B">
            <w:pPr>
              <w:rPr>
                <w:rFonts w:ascii="Arial" w:hAnsi="Arial" w:cs="Arial"/>
                <w:sz w:val="16"/>
                <w:szCs w:val="16"/>
                <w:lang w:val="es-ES" w:eastAsia="es-ES"/>
              </w:rPr>
            </w:pPr>
            <w:r w:rsidRPr="00946E02">
              <w:rPr>
                <w:rFonts w:ascii="Arial" w:hAnsi="Arial" w:cs="Arial"/>
                <w:sz w:val="16"/>
                <w:szCs w:val="16"/>
                <w:lang w:val="es-ES" w:eastAsia="es-ES"/>
              </w:rPr>
              <w:t>Jorge Augusto Tirado Navarro</w:t>
            </w:r>
          </w:p>
          <w:p w14:paraId="43EFE605" w14:textId="77777777" w:rsidR="003C7067" w:rsidRPr="00C00312" w:rsidRDefault="003C7067" w:rsidP="00406F4B">
            <w:pPr>
              <w:rPr>
                <w:rFonts w:ascii="Arial" w:hAnsi="Arial" w:cs="Arial"/>
                <w:sz w:val="16"/>
                <w:szCs w:val="16"/>
                <w:lang w:val="es-ES" w:eastAsia="es-ES"/>
              </w:rPr>
            </w:pPr>
            <w:r w:rsidRPr="00946E02">
              <w:rPr>
                <w:rFonts w:ascii="Arial" w:hAnsi="Arial" w:cs="Arial"/>
                <w:sz w:val="16"/>
                <w:szCs w:val="16"/>
                <w:lang w:val="es-ES" w:eastAsia="es-ES"/>
              </w:rPr>
              <w:t>Subdirector de Gestión Contractual ANCP – CCE</w:t>
            </w:r>
          </w:p>
        </w:tc>
      </w:tr>
    </w:tbl>
    <w:p w14:paraId="019B7BEC" w14:textId="77777777" w:rsidR="003C7067" w:rsidRPr="00C00312" w:rsidRDefault="003C7067" w:rsidP="009702D5">
      <w:pPr>
        <w:rPr>
          <w:rFonts w:ascii="Arial" w:hAnsi="Arial" w:cs="Arial"/>
        </w:rPr>
      </w:pPr>
    </w:p>
    <w:sectPr w:rsidR="003C7067" w:rsidRPr="00C00312"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59DA" w14:textId="77777777" w:rsidR="00904C5A" w:rsidRDefault="00904C5A" w:rsidP="003C7067">
      <w:r>
        <w:separator/>
      </w:r>
    </w:p>
  </w:endnote>
  <w:endnote w:type="continuationSeparator" w:id="0">
    <w:p w14:paraId="37531FD8" w14:textId="77777777" w:rsidR="00904C5A" w:rsidRDefault="00904C5A"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387886" w:rsidRDefault="00904C5A" w:rsidP="007F1895">
    <w:pPr>
      <w:pStyle w:val="Sinespaciado"/>
      <w:jc w:val="right"/>
      <w:rPr>
        <w:rFonts w:ascii="Arial" w:hAnsi="Arial" w:cs="Arial"/>
        <w:sz w:val="18"/>
        <w:szCs w:val="18"/>
      </w:rPr>
    </w:pPr>
  </w:p>
  <w:p w14:paraId="7EE0D30C" w14:textId="77777777" w:rsidR="00387886" w:rsidRDefault="00904C5A" w:rsidP="007F1895">
    <w:pPr>
      <w:pStyle w:val="Sinespaciado"/>
      <w:jc w:val="right"/>
      <w:rPr>
        <w:rFonts w:ascii="Arial" w:hAnsi="Arial" w:cs="Arial"/>
        <w:sz w:val="18"/>
        <w:szCs w:val="18"/>
      </w:rPr>
    </w:pPr>
  </w:p>
  <w:p w14:paraId="120D6A59" w14:textId="77777777" w:rsidR="00387886" w:rsidRPr="008217B7" w:rsidRDefault="000965D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387886" w:rsidRDefault="000965D3" w:rsidP="007F1895">
    <w:pPr>
      <w:pStyle w:val="Piedepgina"/>
      <w:jc w:val="center"/>
      <w:rPr>
        <w:lang w:val="es-ES"/>
      </w:rPr>
    </w:pPr>
    <w:r>
      <w:rPr>
        <w:noProof/>
      </w:rPr>
      <w:drawing>
        <wp:inline distT="0" distB="0" distL="0" distR="0" wp14:anchorId="467852E1" wp14:editId="11106060">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387886" w:rsidRPr="00E756AC" w:rsidRDefault="00904C5A" w:rsidP="007F1895">
    <w:pPr>
      <w:pStyle w:val="Piedepgina"/>
      <w:jc w:val="center"/>
      <w:rPr>
        <w:sz w:val="18"/>
        <w:szCs w:val="18"/>
        <w:lang w:val="es-ES"/>
      </w:rPr>
    </w:pPr>
  </w:p>
  <w:p w14:paraId="1CBE747A" w14:textId="77777777" w:rsidR="00387886" w:rsidRPr="00E756AC" w:rsidRDefault="00904C5A"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217B" w14:textId="77777777" w:rsidR="00904C5A" w:rsidRDefault="00904C5A" w:rsidP="003C7067">
      <w:r>
        <w:separator/>
      </w:r>
    </w:p>
  </w:footnote>
  <w:footnote w:type="continuationSeparator" w:id="0">
    <w:p w14:paraId="1D9055AC" w14:textId="77777777" w:rsidR="00904C5A" w:rsidRDefault="00904C5A" w:rsidP="003C7067">
      <w:r>
        <w:continuationSeparator/>
      </w:r>
    </w:p>
  </w:footnote>
  <w:footnote w:id="1">
    <w:p w14:paraId="3643FF1C" w14:textId="77777777" w:rsidR="00394E7A" w:rsidRPr="0055345F" w:rsidRDefault="00394E7A" w:rsidP="0055345F">
      <w:pPr>
        <w:pStyle w:val="Textonotapie"/>
        <w:ind w:firstLine="709"/>
        <w:jc w:val="both"/>
        <w:rPr>
          <w:rFonts w:ascii="Arial" w:eastAsia="Times New Roman"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699E9383" w14:textId="77777777" w:rsidR="00394E7A" w:rsidRPr="00D6418E" w:rsidRDefault="00394E7A" w:rsidP="00D6418E">
      <w:pPr>
        <w:pStyle w:val="Textonotapie"/>
        <w:ind w:firstLine="709"/>
        <w:jc w:val="both"/>
        <w:rPr>
          <w:rFonts w:ascii="Arial" w:hAnsi="Arial" w:cs="Arial"/>
          <w:sz w:val="19"/>
          <w:szCs w:val="19"/>
        </w:rPr>
      </w:pPr>
    </w:p>
  </w:footnote>
  <w:footnote w:id="2">
    <w:p w14:paraId="038DE73A" w14:textId="77777777" w:rsidR="00394E7A" w:rsidRPr="0055345F" w:rsidRDefault="00394E7A" w:rsidP="00D6418E">
      <w:pPr>
        <w:pStyle w:val="Textonotapie"/>
        <w:ind w:firstLine="709"/>
        <w:jc w:val="both"/>
        <w:rPr>
          <w:rFonts w:ascii="Arial" w:eastAsia="Times New Roman"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eastAsia="Times New Roman" w:hAnsi="Arial" w:cs="Arial"/>
          <w:sz w:val="19"/>
          <w:szCs w:val="19"/>
          <w:bdr w:val="none" w:sz="0" w:space="0" w:color="auto" w:frame="1"/>
          <w:lang w:eastAsia="es-CO"/>
        </w:rPr>
        <w:t>Diario Oficial. Gaceta del Congreso 458 de 2005.  </w:t>
      </w:r>
    </w:p>
    <w:p w14:paraId="75EC5F5A" w14:textId="77777777" w:rsidR="00394E7A" w:rsidRPr="00D6418E" w:rsidRDefault="00394E7A" w:rsidP="00D6418E">
      <w:pPr>
        <w:pStyle w:val="Textonotapie"/>
        <w:ind w:firstLine="709"/>
        <w:jc w:val="both"/>
        <w:rPr>
          <w:rFonts w:ascii="Arial" w:hAnsi="Arial" w:cs="Arial"/>
          <w:sz w:val="19"/>
          <w:szCs w:val="19"/>
        </w:rPr>
      </w:pPr>
    </w:p>
  </w:footnote>
  <w:footnote w:id="3">
    <w:p w14:paraId="0813043F" w14:textId="77777777" w:rsidR="00394E7A" w:rsidRPr="00D6418E" w:rsidRDefault="00394E7A" w:rsidP="00D6418E">
      <w:pPr>
        <w:pStyle w:val="Textonotapie"/>
        <w:ind w:firstLine="709"/>
        <w:jc w:val="both"/>
        <w:rPr>
          <w:rFonts w:ascii="Arial" w:hAnsi="Arial" w:cs="Arial"/>
          <w:sz w:val="19"/>
          <w:szCs w:val="19"/>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rPr>
        <w:t>Ibidem</w:t>
      </w:r>
    </w:p>
    <w:p w14:paraId="5C96A4CD" w14:textId="77777777" w:rsidR="00394E7A" w:rsidRPr="00D6418E" w:rsidRDefault="00394E7A" w:rsidP="00D6418E">
      <w:pPr>
        <w:pStyle w:val="Textonotapie"/>
        <w:ind w:firstLine="709"/>
        <w:jc w:val="both"/>
        <w:rPr>
          <w:rFonts w:ascii="Arial" w:hAnsi="Arial" w:cs="Arial"/>
          <w:sz w:val="19"/>
          <w:szCs w:val="19"/>
        </w:rPr>
      </w:pPr>
    </w:p>
  </w:footnote>
  <w:footnote w:id="4">
    <w:p w14:paraId="1A3D23FE" w14:textId="77777777" w:rsidR="00394E7A" w:rsidRPr="0055345F" w:rsidRDefault="00394E7A" w:rsidP="0055345F">
      <w:pPr>
        <w:shd w:val="clear" w:color="auto" w:fill="FFFFFF"/>
        <w:ind w:firstLine="709"/>
        <w:jc w:val="both"/>
        <w:textAlignment w:val="baseline"/>
        <w:rPr>
          <w:rFonts w:ascii="Arial" w:hAnsi="Arial" w:cs="Arial"/>
          <w:sz w:val="19"/>
          <w:szCs w:val="19"/>
          <w:bdr w:val="none" w:sz="0" w:space="0" w:color="auto" w:frame="1"/>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bdr w:val="none" w:sz="0" w:space="0" w:color="auto" w:frame="1"/>
          <w:lang w:eastAsia="es-CO"/>
        </w:rPr>
        <w:t>Diario Oficial. Gaceta del Congreso 416 de 2007, Informe de Conciliación Senado. </w:t>
      </w:r>
    </w:p>
  </w:footnote>
  <w:footnote w:id="5">
    <w:p w14:paraId="369A80BF"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55345F">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049DF13"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CFFC4E1"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B30B192" w14:textId="77777777" w:rsidR="00394E7A" w:rsidRPr="00D6418E" w:rsidRDefault="00394E7A" w:rsidP="0055345F">
      <w:pPr>
        <w:shd w:val="clear" w:color="auto" w:fill="FFFFFF"/>
        <w:ind w:firstLine="709"/>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61912F8" w14:textId="77777777" w:rsidR="00394E7A" w:rsidRPr="00D6418E" w:rsidRDefault="00394E7A" w:rsidP="0055345F">
      <w:pPr>
        <w:shd w:val="clear" w:color="auto" w:fill="FFFFFF"/>
        <w:ind w:firstLine="708"/>
        <w:jc w:val="both"/>
        <w:textAlignment w:val="baseline"/>
        <w:rPr>
          <w:rFonts w:ascii="Arial" w:hAnsi="Arial" w:cs="Arial"/>
          <w:sz w:val="19"/>
          <w:szCs w:val="19"/>
          <w:lang w:eastAsia="es-CO"/>
        </w:rPr>
      </w:pPr>
      <w:r w:rsidRPr="0055345F">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269E3FA5" w14:textId="5D75E624" w:rsidR="0055345F" w:rsidRPr="00D6418E" w:rsidRDefault="0055345F" w:rsidP="00D6418E">
      <w:pPr>
        <w:pStyle w:val="Textonotapie"/>
        <w:ind w:firstLine="708"/>
        <w:jc w:val="both"/>
        <w:rPr>
          <w:rFonts w:ascii="Arial" w:hAnsi="Arial" w:cs="Arial"/>
          <w:sz w:val="19"/>
          <w:szCs w:val="19"/>
        </w:rPr>
      </w:pPr>
      <w:r w:rsidRPr="00D6418E">
        <w:rPr>
          <w:rStyle w:val="Refdenotaalpie"/>
          <w:rFonts w:ascii="Arial" w:hAnsi="Arial" w:cs="Arial"/>
          <w:sz w:val="19"/>
          <w:szCs w:val="19"/>
        </w:rPr>
        <w:footnoteRef/>
      </w:r>
      <w:r w:rsidRPr="00D6418E">
        <w:rPr>
          <w:rFonts w:ascii="Arial" w:hAnsi="Arial" w:cs="Arial"/>
          <w:sz w:val="19"/>
          <w:szCs w:val="19"/>
        </w:rPr>
        <w:t xml:space="preserve"> </w:t>
      </w:r>
      <w:r w:rsidRPr="00D6418E">
        <w:rPr>
          <w:rFonts w:ascii="Arial" w:hAnsi="Arial" w:cs="Arial"/>
          <w:sz w:val="19"/>
          <w:szCs w:val="19"/>
        </w:rPr>
        <w:t>[Referencia original del texto citado] Decreto Reglamentario No. 769 de 2014, compilado en el Decreto Único Reglamentario No. 1076 de 2015.</w:t>
      </w:r>
    </w:p>
  </w:footnote>
  <w:footnote w:id="7">
    <w:p w14:paraId="3D30CB45" w14:textId="77777777" w:rsidR="00D02095" w:rsidRPr="0055345F" w:rsidRDefault="00D02095" w:rsidP="0055345F">
      <w:pPr>
        <w:pStyle w:val="NormalWeb"/>
        <w:spacing w:before="0" w:beforeAutospacing="0" w:after="0" w:afterAutospacing="0"/>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Ley 1682 de 2013 «</w:t>
      </w:r>
      <w:r w:rsidRPr="0055345F">
        <w:rPr>
          <w:rStyle w:val="Textoennegrita"/>
          <w:rFonts w:ascii="Arial" w:hAnsi="Arial" w:cs="Arial"/>
          <w:b w:val="0"/>
          <w:bCs w:val="0"/>
          <w:color w:val="000000" w:themeColor="text1"/>
          <w:sz w:val="19"/>
          <w:szCs w:val="19"/>
        </w:rPr>
        <w:t>Artículo 44.</w:t>
      </w:r>
      <w:r w:rsidRPr="0055345F">
        <w:rPr>
          <w:rFonts w:ascii="Arial" w:hAnsi="Arial" w:cs="Arial"/>
          <w:color w:val="000000" w:themeColor="text1"/>
          <w:sz w:val="19"/>
          <w:szCs w:val="19"/>
        </w:rPr>
        <w:t> Los siguientes Proyectos de Infraestructura de Transporte no requerirán Licencia Ambiental: </w:t>
      </w:r>
    </w:p>
    <w:p w14:paraId="13F2F3E1"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»a) Proyectos de mantenimiento; </w:t>
      </w:r>
    </w:p>
    <w:p w14:paraId="6A82C219"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»b) Proyectos de rehabilitación; </w:t>
      </w:r>
    </w:p>
    <w:p w14:paraId="355D1E3C"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»c) Proyectos de mejoramiento. </w:t>
      </w:r>
    </w:p>
    <w:p w14:paraId="505DC5E1" w14:textId="77777777" w:rsidR="00D02095" w:rsidRPr="0055345F" w:rsidRDefault="00D02095" w:rsidP="0055345F">
      <w:pPr>
        <w:pStyle w:val="NormalWeb"/>
        <w:spacing w:before="0" w:beforeAutospacing="0" w:after="0" w:afterAutospacing="0"/>
        <w:jc w:val="both"/>
        <w:rPr>
          <w:rFonts w:ascii="Arial" w:hAnsi="Arial" w:cs="Arial"/>
          <w:color w:val="000000" w:themeColor="text1"/>
          <w:sz w:val="19"/>
          <w:szCs w:val="19"/>
        </w:rPr>
      </w:pPr>
      <w:r w:rsidRPr="0055345F">
        <w:rPr>
          <w:rFonts w:ascii="Arial" w:hAnsi="Arial" w:cs="Arial"/>
          <w:color w:val="000000" w:themeColor="text1"/>
          <w:sz w:val="19"/>
          <w:szCs w:val="19"/>
        </w:rPr>
        <w:t>  </w:t>
      </w:r>
      <w:r w:rsidRPr="0055345F">
        <w:rPr>
          <w:rFonts w:ascii="Arial" w:hAnsi="Arial" w:cs="Arial"/>
          <w:color w:val="000000" w:themeColor="text1"/>
          <w:sz w:val="19"/>
          <w:szCs w:val="19"/>
        </w:rPr>
        <w:tab/>
        <w:t>»Para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87D19A9" w14:textId="77777777" w:rsidR="00D02095" w:rsidRPr="0055345F" w:rsidRDefault="00D02095" w:rsidP="0055345F">
      <w:pPr>
        <w:pStyle w:val="NormalWeb"/>
        <w:spacing w:before="0" w:beforeAutospacing="0" w:after="0" w:afterAutospacing="0"/>
        <w:ind w:firstLine="708"/>
        <w:jc w:val="both"/>
        <w:rPr>
          <w:rFonts w:ascii="Arial" w:hAnsi="Arial" w:cs="Arial"/>
          <w:color w:val="000000" w:themeColor="text1"/>
          <w:sz w:val="19"/>
          <w:szCs w:val="19"/>
        </w:rPr>
      </w:pPr>
      <w:r w:rsidRPr="0055345F">
        <w:rPr>
          <w:rStyle w:val="Textoennegrita"/>
          <w:rFonts w:ascii="Arial" w:hAnsi="Arial" w:cs="Arial"/>
          <w:b w:val="0"/>
          <w:bCs w:val="0"/>
          <w:color w:val="000000" w:themeColor="text1"/>
          <w:sz w:val="19"/>
          <w:szCs w:val="19"/>
        </w:rPr>
        <w:t>»Parágrafo.</w:t>
      </w:r>
      <w:r w:rsidRPr="0055345F">
        <w:rPr>
          <w:rFonts w:ascii="Arial" w:hAnsi="Arial" w:cs="Arial"/>
          <w:color w:val="000000" w:themeColor="text1"/>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8">
    <w:p w14:paraId="58C26508" w14:textId="37704B4E" w:rsidR="006A616D" w:rsidRPr="0055345F" w:rsidRDefault="006A616D" w:rsidP="0055345F">
      <w:pPr>
        <w:pStyle w:val="Textonotapie"/>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Pr="0055345F">
        <w:rPr>
          <w:rFonts w:ascii="Arial" w:hAnsi="Arial" w:cs="Arial"/>
          <w:color w:val="000000" w:themeColor="text1"/>
          <w:sz w:val="19"/>
          <w:szCs w:val="19"/>
        </w:rPr>
        <w:t>Agencia Nacional de Contratación Pública – Colombia Compra Eficiente. Documento Base</w:t>
      </w:r>
      <w:r w:rsidR="00585FCD">
        <w:rPr>
          <w:rFonts w:ascii="Arial" w:hAnsi="Arial" w:cs="Arial"/>
          <w:color w:val="000000" w:themeColor="text1"/>
          <w:sz w:val="19"/>
          <w:szCs w:val="19"/>
        </w:rPr>
        <w:t xml:space="preserve"> del documento tipo de licitación de obra pública de infraestructura de </w:t>
      </w:r>
      <w:r w:rsidR="00E232D4">
        <w:rPr>
          <w:rFonts w:ascii="Arial" w:hAnsi="Arial" w:cs="Arial"/>
          <w:color w:val="000000" w:themeColor="text1"/>
          <w:sz w:val="19"/>
          <w:szCs w:val="19"/>
        </w:rPr>
        <w:t>transporte</w:t>
      </w:r>
      <w:r w:rsidRPr="0055345F">
        <w:rPr>
          <w:rFonts w:ascii="Arial" w:hAnsi="Arial" w:cs="Arial"/>
          <w:color w:val="000000" w:themeColor="text1"/>
          <w:sz w:val="19"/>
          <w:szCs w:val="19"/>
        </w:rPr>
        <w:t>:</w:t>
      </w:r>
      <w:r w:rsidR="00CD5A6D" w:rsidRPr="0055345F">
        <w:rPr>
          <w:rFonts w:ascii="Arial" w:hAnsi="Arial" w:cs="Arial"/>
          <w:color w:val="000000" w:themeColor="text1"/>
          <w:sz w:val="19"/>
          <w:szCs w:val="19"/>
        </w:rPr>
        <w:t xml:space="preserve"> </w:t>
      </w:r>
      <w:r w:rsidRPr="0055345F">
        <w:rPr>
          <w:rFonts w:ascii="Arial" w:hAnsi="Arial" w:cs="Arial"/>
          <w:color w:val="000000" w:themeColor="text1"/>
          <w:sz w:val="19"/>
          <w:szCs w:val="19"/>
        </w:rPr>
        <w:t>«3.5.5.</w:t>
      </w:r>
      <w:r w:rsidRPr="0055345F">
        <w:rPr>
          <w:rFonts w:ascii="Arial" w:hAnsi="Arial" w:cs="Arial"/>
          <w:color w:val="000000" w:themeColor="text1"/>
          <w:sz w:val="19"/>
          <w:szCs w:val="19"/>
        </w:rPr>
        <w:tab/>
        <w:t>ACREDITACIÓN DE LA EXPERIENCIA REQUERIDA</w:t>
      </w:r>
    </w:p>
    <w:p w14:paraId="34AAC384"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 xml:space="preserve">»Los proponentes acreditarán para cada uno de los contratos aportados la siguiente información mediante alguno de los documentos señalados en la sección 3.5.5 del pliego de condiciones: </w:t>
      </w:r>
    </w:p>
    <w:p w14:paraId="161B701A"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Contratante</w:t>
      </w:r>
    </w:p>
    <w:p w14:paraId="35A8646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»B.</w:t>
      </w:r>
      <w:r w:rsidRPr="0055345F">
        <w:rPr>
          <w:rFonts w:ascii="Arial" w:hAnsi="Arial" w:cs="Arial"/>
          <w:color w:val="000000" w:themeColor="text1"/>
          <w:sz w:val="19"/>
          <w:szCs w:val="19"/>
        </w:rPr>
        <w:tab/>
        <w:t>Objeto del contrato</w:t>
      </w:r>
    </w:p>
    <w:p w14:paraId="182147F2"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»C.</w:t>
      </w:r>
      <w:r w:rsidRPr="0055345F">
        <w:rPr>
          <w:rFonts w:ascii="Arial" w:hAnsi="Arial" w:cs="Arial"/>
          <w:color w:val="000000" w:themeColor="text1"/>
          <w:sz w:val="19"/>
          <w:szCs w:val="19"/>
        </w:rPr>
        <w:tab/>
        <w:t>Principales actividades ejecutadas</w:t>
      </w:r>
    </w:p>
    <w:p w14:paraId="4FD1D80B"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»D.</w:t>
      </w:r>
      <w:r w:rsidRPr="0055345F">
        <w:rPr>
          <w:rFonts w:ascii="Arial" w:hAnsi="Arial" w:cs="Arial"/>
          <w:color w:val="000000" w:themeColor="text1"/>
          <w:sz w:val="19"/>
          <w:szCs w:val="19"/>
        </w:rPr>
        <w:tab/>
        <w:t>Las longitudes, volúmenes, dimensiones, tipologías y demás condiciones de experiencia establecidas en la Matriz 1 – Experiencia, si aplica.</w:t>
      </w:r>
    </w:p>
    <w:p w14:paraId="405A02A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w:t>
      </w:r>
      <w:r w:rsidRPr="0055345F">
        <w:rPr>
          <w:rFonts w:ascii="Arial" w:hAnsi="Arial" w:cs="Arial"/>
          <w:color w:val="000000" w:themeColor="text1"/>
          <w:sz w:val="19"/>
          <w:szCs w:val="19"/>
        </w:rPr>
        <w:tab/>
        <w:t xml:space="preserve">La fecha de iniciación de la ejecución del contrato: Esta fecha es diferente a la de suscripción del contrato, a menos que de los documentos del numeral 3.5.5 de forma expresa así se determine. </w:t>
      </w:r>
    </w:p>
    <w:p w14:paraId="58238BCA"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»Si en los documentos válidos aportados para la acreditación de experiencia solo se evidencia fecha (mes, año) de suscripción y/o inicio del contrato: se tendrá en cuenta el último día del mes que se encuentre señalado en la certificación.</w:t>
      </w:r>
    </w:p>
    <w:p w14:paraId="66B6B227"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»F.</w:t>
      </w:r>
      <w:r w:rsidRPr="0055345F">
        <w:rPr>
          <w:rFonts w:ascii="Arial" w:hAnsi="Arial" w:cs="Arial"/>
          <w:color w:val="000000" w:themeColor="text1"/>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09DD5FFB" w14:textId="77777777" w:rsidR="006A616D" w:rsidRPr="0055345F" w:rsidRDefault="006A616D" w:rsidP="0055345F">
      <w:pPr>
        <w:pStyle w:val="Textonotapie"/>
        <w:jc w:val="both"/>
        <w:rPr>
          <w:rFonts w:ascii="Arial" w:hAnsi="Arial" w:cs="Arial"/>
          <w:color w:val="000000" w:themeColor="text1"/>
          <w:sz w:val="19"/>
          <w:szCs w:val="19"/>
        </w:rPr>
      </w:pPr>
      <w:r w:rsidRPr="0055345F">
        <w:rPr>
          <w:rFonts w:ascii="Arial" w:hAnsi="Arial" w:cs="Arial"/>
          <w:color w:val="000000" w:themeColor="text1"/>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0CB7E38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»G.</w:t>
      </w:r>
      <w:r w:rsidRPr="0055345F">
        <w:rPr>
          <w:rFonts w:ascii="Arial" w:hAnsi="Arial" w:cs="Arial"/>
          <w:color w:val="000000" w:themeColor="text1"/>
          <w:sz w:val="19"/>
          <w:szCs w:val="19"/>
        </w:rPr>
        <w:tab/>
        <w:t>Nombre y cargo de la persona que expide la certificación.</w:t>
      </w:r>
    </w:p>
    <w:p w14:paraId="05A130A7"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»H.</w:t>
      </w:r>
      <w:r w:rsidRPr="0055345F">
        <w:rPr>
          <w:rFonts w:ascii="Arial" w:hAnsi="Arial" w:cs="Arial"/>
          <w:color w:val="000000" w:themeColor="text1"/>
          <w:sz w:val="19"/>
          <w:szCs w:val="19"/>
        </w:rPr>
        <w:tab/>
        <w:t>El porcentaje de participación del integrante del contratista plural.</w:t>
      </w:r>
    </w:p>
    <w:p w14:paraId="13D43264"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»I.</w:t>
      </w:r>
      <w:r w:rsidRPr="0055345F">
        <w:rPr>
          <w:rFonts w:ascii="Arial" w:hAnsi="Arial" w:cs="Arial"/>
          <w:color w:val="000000" w:themeColor="text1"/>
          <w:sz w:val="19"/>
          <w:szCs w:val="19"/>
        </w:rPr>
        <w:tab/>
        <w:t>El porcentaje de participación en el valor ejecutado en el caso de contratistas plurales».</w:t>
      </w:r>
    </w:p>
  </w:footnote>
  <w:footnote w:id="9">
    <w:p w14:paraId="4E9DD0E3" w14:textId="77777777" w:rsidR="006A616D" w:rsidRPr="0055345F" w:rsidRDefault="006A616D" w:rsidP="0055345F">
      <w:pPr>
        <w:pStyle w:val="Textonotapie"/>
        <w:ind w:firstLine="708"/>
        <w:jc w:val="both"/>
        <w:rPr>
          <w:rFonts w:ascii="Arial" w:hAnsi="Arial" w:cs="Arial"/>
          <w:color w:val="000000" w:themeColor="text1"/>
          <w:sz w:val="19"/>
          <w:szCs w:val="19"/>
        </w:rPr>
      </w:pPr>
    </w:p>
    <w:p w14:paraId="176374E6" w14:textId="7505025C" w:rsidR="006A616D" w:rsidRPr="0055345F" w:rsidRDefault="006A616D" w:rsidP="0055345F">
      <w:pPr>
        <w:pStyle w:val="Textonotapie"/>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00E232D4">
        <w:rPr>
          <w:rFonts w:ascii="Arial" w:hAnsi="Arial" w:cs="Arial"/>
          <w:color w:val="000000" w:themeColor="text1"/>
          <w:sz w:val="19"/>
          <w:szCs w:val="19"/>
        </w:rPr>
        <w:t xml:space="preserve">Ibíd. </w:t>
      </w:r>
      <w:r w:rsidRPr="0055345F">
        <w:rPr>
          <w:rFonts w:ascii="Arial" w:hAnsi="Arial" w:cs="Arial"/>
          <w:color w:val="000000" w:themeColor="text1"/>
          <w:sz w:val="19"/>
          <w:szCs w:val="19"/>
        </w:rPr>
        <w:t>«3.5.6.</w:t>
      </w:r>
      <w:r w:rsidRPr="0055345F">
        <w:rPr>
          <w:rFonts w:ascii="Arial" w:hAnsi="Arial" w:cs="Arial"/>
          <w:color w:val="000000" w:themeColor="text1"/>
          <w:sz w:val="19"/>
          <w:szCs w:val="19"/>
        </w:rPr>
        <w:tab/>
        <w:t>DOCUMENTOS VÁLIDOS PARA LA ACREDITACIÓN DE LA EXPERIENCIA REQUERIDA</w:t>
      </w:r>
    </w:p>
    <w:p w14:paraId="5D886CA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55BC247E"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Acta de liquidación</w:t>
      </w:r>
    </w:p>
    <w:p w14:paraId="2DD0E4F8"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»B.</w:t>
      </w:r>
      <w:r w:rsidRPr="0055345F">
        <w:rPr>
          <w:rFonts w:ascii="Arial" w:hAnsi="Arial" w:cs="Arial"/>
          <w:color w:val="000000" w:themeColor="text1"/>
          <w:sz w:val="19"/>
          <w:szCs w:val="19"/>
        </w:rPr>
        <w:tab/>
        <w:t xml:space="preserve">Acta de entrega, terminación, final o de recibo definitivo. </w:t>
      </w:r>
    </w:p>
    <w:p w14:paraId="41ECC6D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»C.</w:t>
      </w:r>
      <w:r w:rsidRPr="0055345F">
        <w:rPr>
          <w:rFonts w:ascii="Arial" w:hAnsi="Arial" w:cs="Arial"/>
          <w:color w:val="000000" w:themeColor="text1"/>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3955AFC"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»D.</w:t>
      </w:r>
      <w:r w:rsidRPr="0055345F">
        <w:rPr>
          <w:rFonts w:ascii="Arial" w:hAnsi="Arial" w:cs="Arial"/>
          <w:color w:val="000000" w:themeColor="text1"/>
          <w:sz w:val="19"/>
          <w:szCs w:val="19"/>
        </w:rPr>
        <w:tab/>
        <w:t>Acta de inicio o la orden de inicio. La misma sólo será válida para efectos de acreditar la fecha de inicio.</w:t>
      </w:r>
    </w:p>
    <w:p w14:paraId="03D03B75"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»E.</w:t>
      </w:r>
      <w:r w:rsidRPr="0055345F">
        <w:rPr>
          <w:rFonts w:ascii="Arial" w:hAnsi="Arial" w:cs="Arial"/>
          <w:color w:val="000000" w:themeColor="text1"/>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6685BD0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 xml:space="preserve">»Para efectos de acreditación de experiencia entre particulares, el proponente deberá aportar adicionalmente alguno de los documentos que se describen a continuación: </w:t>
      </w:r>
    </w:p>
    <w:p w14:paraId="33B1F1B0"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»A.</w:t>
      </w:r>
      <w:r w:rsidRPr="0055345F">
        <w:rPr>
          <w:rFonts w:ascii="Arial" w:hAnsi="Arial" w:cs="Arial"/>
          <w:color w:val="000000" w:themeColor="text1"/>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4C91CA99" w14:textId="77777777" w:rsidR="006A616D" w:rsidRPr="0055345F" w:rsidRDefault="006A616D" w:rsidP="0055345F">
      <w:pPr>
        <w:pStyle w:val="Textonotapie"/>
        <w:ind w:firstLine="708"/>
        <w:jc w:val="both"/>
        <w:rPr>
          <w:rFonts w:ascii="Arial" w:hAnsi="Arial" w:cs="Arial"/>
          <w:color w:val="000000" w:themeColor="text1"/>
          <w:sz w:val="19"/>
          <w:szCs w:val="19"/>
        </w:rPr>
      </w:pPr>
      <w:r w:rsidRPr="0055345F">
        <w:rPr>
          <w:rFonts w:ascii="Arial" w:hAnsi="Arial" w:cs="Arial"/>
          <w:color w:val="000000" w:themeColor="text1"/>
          <w:sz w:val="19"/>
          <w:szCs w:val="19"/>
        </w:rPr>
        <w:t>»</w:t>
      </w:r>
      <w:r w:rsidRPr="0055345F">
        <w:rPr>
          <w:rFonts w:ascii="Arial" w:hAnsi="Arial" w:cs="Arial"/>
          <w:color w:val="000000" w:themeColor="text1"/>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55345F">
        <w:rPr>
          <w:rFonts w:ascii="Arial" w:hAnsi="Arial" w:cs="Arial"/>
          <w:color w:val="000000" w:themeColor="text1"/>
          <w:sz w:val="19"/>
          <w:szCs w:val="19"/>
        </w:rPr>
        <w:t xml:space="preserve">». </w:t>
      </w:r>
    </w:p>
    <w:p w14:paraId="10162B5F" w14:textId="77777777" w:rsidR="006A616D" w:rsidRPr="0055345F" w:rsidRDefault="006A616D" w:rsidP="0055345F">
      <w:pPr>
        <w:pStyle w:val="Textonotapie"/>
        <w:ind w:firstLine="708"/>
        <w:jc w:val="both"/>
        <w:rPr>
          <w:rFonts w:ascii="Arial" w:hAnsi="Arial" w:cs="Arial"/>
          <w:color w:val="000000" w:themeColor="text1"/>
          <w:sz w:val="19"/>
          <w:szCs w:val="19"/>
        </w:rPr>
      </w:pPr>
    </w:p>
  </w:footnote>
  <w:footnote w:id="10">
    <w:p w14:paraId="3D8AA28B" w14:textId="77777777" w:rsidR="006A616D" w:rsidRPr="0055345F" w:rsidRDefault="006A616D" w:rsidP="0055345F">
      <w:pPr>
        <w:pStyle w:val="Textonotapie"/>
        <w:ind w:firstLine="709"/>
        <w:jc w:val="both"/>
        <w:rPr>
          <w:rFonts w:ascii="Arial" w:hAnsi="Arial" w:cs="Arial"/>
          <w:b/>
          <w:bCs/>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Pr="0055345F">
        <w:rPr>
          <w:rFonts w:ascii="Arial" w:hAnsi="Arial" w:cs="Arial"/>
          <w:color w:val="000000" w:themeColor="text1"/>
          <w:sz w:val="19"/>
          <w:szCs w:val="19"/>
        </w:rPr>
        <w:t xml:space="preserve">En materia del procedimiento de licitación pública, el Decreto 1082 de 2015 establece: </w:t>
      </w:r>
      <w:r w:rsidRPr="00235172">
        <w:rPr>
          <w:rFonts w:ascii="Arial" w:hAnsi="Arial" w:cs="Arial"/>
          <w:color w:val="000000" w:themeColor="text1"/>
          <w:sz w:val="19"/>
          <w:szCs w:val="19"/>
        </w:rPr>
        <w:t>«</w:t>
      </w:r>
      <w:r w:rsidRPr="0055345F">
        <w:rPr>
          <w:rStyle w:val="Textoennegrita"/>
          <w:rFonts w:ascii="Arial" w:hAnsi="Arial" w:cs="Arial"/>
          <w:b w:val="0"/>
          <w:bCs w:val="0"/>
          <w:color w:val="000000" w:themeColor="text1"/>
          <w:sz w:val="19"/>
          <w:szCs w:val="19"/>
        </w:rPr>
        <w:t>2.2.1.2.6.1.4. Inalterabilidad de los Documentos Tipo</w:t>
      </w:r>
      <w:r w:rsidRPr="0055345F">
        <w:rPr>
          <w:rFonts w:ascii="Arial" w:hAnsi="Arial" w:cs="Arial"/>
          <w:b/>
          <w:bCs/>
          <w:color w:val="000000" w:themeColor="text1"/>
          <w:sz w:val="19"/>
          <w:szCs w:val="19"/>
        </w:rPr>
        <w:t xml:space="preserve">. </w:t>
      </w:r>
      <w:r w:rsidRPr="0055345F">
        <w:rPr>
          <w:rFonts w:ascii="Arial" w:hAnsi="Arial" w:cs="Arial"/>
          <w:color w:val="000000" w:themeColor="text1"/>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55345F">
        <w:rPr>
          <w:rFonts w:ascii="Arial" w:hAnsi="Arial" w:cs="Arial"/>
          <w:b/>
          <w:bCs/>
          <w:color w:val="000000" w:themeColor="text1"/>
          <w:sz w:val="19"/>
          <w:szCs w:val="19"/>
        </w:rPr>
        <w:t> </w:t>
      </w:r>
    </w:p>
    <w:p w14:paraId="0A8A8FD5" w14:textId="77777777" w:rsidR="006A616D" w:rsidRPr="0055345F" w:rsidRDefault="006A616D" w:rsidP="0055345F">
      <w:pPr>
        <w:pStyle w:val="Textonotapie"/>
        <w:ind w:firstLine="709"/>
        <w:jc w:val="both"/>
        <w:rPr>
          <w:rFonts w:ascii="Arial" w:hAnsi="Arial" w:cs="Arial"/>
          <w:color w:val="000000" w:themeColor="text1"/>
          <w:sz w:val="19"/>
          <w:szCs w:val="19"/>
        </w:rPr>
      </w:pPr>
      <w:r w:rsidRPr="0055345F">
        <w:rPr>
          <w:rFonts w:ascii="Arial" w:hAnsi="Arial" w:cs="Arial"/>
          <w:color w:val="000000" w:themeColor="text1"/>
          <w:sz w:val="19"/>
          <w:szCs w:val="19"/>
        </w:rPr>
        <w:t>En el mismo sentido, la Resolución No. 240 de 2020, a través de la cual esta Agencia expidió los documentos tipo de licitación de obra pública de infraestructura de transporte – versión 3, señala: «Artículo 3. Inalterabilidad de los Documentos Tipo. Las entidades estatales contratantes no podrán incluir o modificar dentro de los documentos del proceso de selección las condiciones habilitantes, los factores técnicos y económicos de escogencia y los sistemas de ponderación distintos a los señalados en los Documentos Tipo».</w:t>
      </w:r>
    </w:p>
  </w:footnote>
  <w:footnote w:id="11">
    <w:p w14:paraId="4BA93CFB" w14:textId="401CE4AE" w:rsidR="00940934" w:rsidRPr="0055345F" w:rsidRDefault="00940934" w:rsidP="00D6418E">
      <w:pPr>
        <w:pStyle w:val="NormalWeb"/>
        <w:spacing w:before="0" w:beforeAutospacing="0" w:after="0" w:afterAutospacing="0"/>
        <w:ind w:firstLine="708"/>
        <w:jc w:val="both"/>
        <w:rPr>
          <w:rFonts w:ascii="Arial" w:hAnsi="Arial" w:cs="Arial"/>
          <w:color w:val="000000" w:themeColor="text1"/>
          <w:sz w:val="19"/>
          <w:szCs w:val="19"/>
        </w:rPr>
      </w:pPr>
      <w:r w:rsidRPr="0055345F">
        <w:rPr>
          <w:rStyle w:val="Refdenotaalpie"/>
          <w:rFonts w:ascii="Arial" w:hAnsi="Arial" w:cs="Arial"/>
          <w:color w:val="000000" w:themeColor="text1"/>
          <w:sz w:val="19"/>
          <w:szCs w:val="19"/>
        </w:rPr>
        <w:footnoteRef/>
      </w:r>
      <w:r w:rsidRPr="0055345F">
        <w:rPr>
          <w:rFonts w:ascii="Arial" w:hAnsi="Arial" w:cs="Arial"/>
          <w:color w:val="000000" w:themeColor="text1"/>
          <w:sz w:val="19"/>
          <w:szCs w:val="19"/>
        </w:rPr>
        <w:t xml:space="preserve"> </w:t>
      </w:r>
      <w:r w:rsidR="00235172">
        <w:rPr>
          <w:rFonts w:ascii="Arial" w:hAnsi="Arial" w:cs="Arial"/>
          <w:color w:val="000000" w:themeColor="text1"/>
          <w:sz w:val="19"/>
          <w:szCs w:val="19"/>
        </w:rPr>
        <w:t>«Artículo</w:t>
      </w:r>
      <w:r w:rsidRPr="0055345F">
        <w:rPr>
          <w:rStyle w:val="apple-converted-space"/>
          <w:rFonts w:ascii="Arial" w:hAnsi="Arial" w:cs="Arial"/>
          <w:color w:val="000000" w:themeColor="text1"/>
          <w:sz w:val="19"/>
          <w:szCs w:val="19"/>
        </w:rPr>
        <w:t> </w:t>
      </w:r>
      <w:bookmarkStart w:id="1" w:name="2.2.2.5.1.1"/>
      <w:bookmarkEnd w:id="1"/>
      <w:r w:rsidRPr="0055345F">
        <w:rPr>
          <w:rFonts w:ascii="Arial" w:hAnsi="Arial" w:cs="Arial"/>
          <w:color w:val="000000" w:themeColor="text1"/>
          <w:sz w:val="19"/>
          <w:szCs w:val="19"/>
        </w:rPr>
        <w:t>2.2.2.5.1.1.</w:t>
      </w:r>
      <w:r w:rsidRPr="0055345F">
        <w:rPr>
          <w:rStyle w:val="apple-converted-space"/>
          <w:rFonts w:ascii="Arial" w:hAnsi="Arial" w:cs="Arial"/>
          <w:color w:val="000000" w:themeColor="text1"/>
          <w:sz w:val="19"/>
          <w:szCs w:val="19"/>
        </w:rPr>
        <w:t> </w:t>
      </w:r>
      <w:r w:rsidRPr="0055345F">
        <w:rPr>
          <w:rFonts w:ascii="Arial" w:hAnsi="Arial" w:cs="Arial"/>
          <w:color w:val="000000" w:themeColor="text1"/>
          <w:sz w:val="19"/>
          <w:szCs w:val="19"/>
        </w:rPr>
        <w:t>Modo Terrestre-Carretero, Las actividades que se listan a continuación que se desarrollen en infraestructura existente no requerirán licencia ambiental:</w:t>
      </w:r>
    </w:p>
    <w:p w14:paraId="36953CA8" w14:textId="003303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 w:name="2.2.2.5.1.1.1"/>
      <w:bookmarkEnd w:id="2"/>
      <w:r>
        <w:rPr>
          <w:rFonts w:ascii="Arial" w:hAnsi="Arial" w:cs="Arial"/>
          <w:color w:val="000000" w:themeColor="text1"/>
          <w:sz w:val="19"/>
          <w:szCs w:val="19"/>
        </w:rPr>
        <w:t>»</w:t>
      </w:r>
      <w:r w:rsidR="00940934" w:rsidRPr="0055345F">
        <w:rPr>
          <w:rFonts w:ascii="Arial" w:hAnsi="Arial" w:cs="Arial"/>
          <w:color w:val="000000" w:themeColor="text1"/>
          <w:sz w:val="19"/>
          <w:szCs w:val="19"/>
        </w:rPr>
        <w:t>1. Construcción de un carril adicional a las calzadas existentes y demás obras asociadas a esta actividad, siempre y cuando no implique la materialización de un segundo eje y se mantenga dentro del derecho de vía correspondiente a cada categoría vial (vía primaria, secundaria, terciaria).</w:t>
      </w:r>
    </w:p>
    <w:p w14:paraId="1644B9D9" w14:textId="6A8A2F89"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3" w:name="2.2.2.5.1.1.2"/>
      <w:bookmarkEnd w:id="3"/>
      <w:r>
        <w:rPr>
          <w:rFonts w:ascii="Arial" w:hAnsi="Arial" w:cs="Arial"/>
          <w:color w:val="000000" w:themeColor="text1"/>
          <w:sz w:val="19"/>
          <w:szCs w:val="19"/>
        </w:rPr>
        <w:t>»</w:t>
      </w:r>
      <w:r w:rsidR="00940934" w:rsidRPr="0055345F">
        <w:rPr>
          <w:rFonts w:ascii="Arial" w:hAnsi="Arial" w:cs="Arial"/>
          <w:color w:val="000000" w:themeColor="text1"/>
          <w:sz w:val="19"/>
          <w:szCs w:val="19"/>
        </w:rPr>
        <w:t>2. El ajuste de las vías existentes conforme a las especificaciones establecidas en la Ley 105 de 1993 o aquella que la modifique o sustituya y las normas técnicas vigentes, de calzadas, carriles, bermas, puentes, pontones y obras de drenaje existentes.</w:t>
      </w:r>
    </w:p>
    <w:p w14:paraId="659A71E0" w14:textId="156961B2"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4" w:name="2.2.2.5.1.1.3"/>
      <w:bookmarkEnd w:id="4"/>
      <w:r>
        <w:rPr>
          <w:rFonts w:ascii="Arial" w:hAnsi="Arial" w:cs="Arial"/>
          <w:color w:val="000000" w:themeColor="text1"/>
          <w:sz w:val="19"/>
          <w:szCs w:val="19"/>
        </w:rPr>
        <w:t>»</w:t>
      </w:r>
      <w:r w:rsidR="00940934" w:rsidRPr="0055345F">
        <w:rPr>
          <w:rFonts w:ascii="Arial" w:hAnsi="Arial" w:cs="Arial"/>
          <w:color w:val="000000" w:themeColor="text1"/>
          <w:sz w:val="19"/>
          <w:szCs w:val="19"/>
        </w:rPr>
        <w:t>3. Ajustes de diseño geométrico y realineamiento vertical u horizontal, incluyendo cortes y/o rellenos para la construcción del tercer carril, siempre y cuando no impliquen la materialización de un nuevo eje.</w:t>
      </w:r>
    </w:p>
    <w:p w14:paraId="710F997B" w14:textId="12353B66"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5" w:name="2.2.2.5.1.1.4"/>
      <w:bookmarkEnd w:id="5"/>
      <w:r>
        <w:rPr>
          <w:rFonts w:ascii="Arial" w:hAnsi="Arial" w:cs="Arial"/>
          <w:color w:val="000000" w:themeColor="text1"/>
          <w:sz w:val="19"/>
          <w:szCs w:val="19"/>
        </w:rPr>
        <w:t>»</w:t>
      </w:r>
      <w:r w:rsidR="00940934" w:rsidRPr="0055345F">
        <w:rPr>
          <w:rFonts w:ascii="Arial" w:hAnsi="Arial" w:cs="Arial"/>
          <w:color w:val="000000" w:themeColor="text1"/>
          <w:sz w:val="19"/>
          <w:szCs w:val="19"/>
        </w:rPr>
        <w:t>4. La adecuación, ampliación, reforzamiento, reemplazo de puentes, estructuras deprimidas y/o pontones vehiculares en vías existentes.</w:t>
      </w:r>
    </w:p>
    <w:p w14:paraId="7E7FEE3A" w14:textId="13EB942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6" w:name="2.2.2.5.1.1.5"/>
      <w:bookmarkEnd w:id="6"/>
      <w:r>
        <w:rPr>
          <w:rFonts w:ascii="Arial" w:hAnsi="Arial" w:cs="Arial"/>
          <w:color w:val="000000" w:themeColor="text1"/>
          <w:sz w:val="19"/>
          <w:szCs w:val="19"/>
        </w:rPr>
        <w:t>»</w:t>
      </w:r>
      <w:r w:rsidR="00940934" w:rsidRPr="0055345F">
        <w:rPr>
          <w:rFonts w:ascii="Arial" w:hAnsi="Arial" w:cs="Arial"/>
          <w:color w:val="000000" w:themeColor="text1"/>
          <w:sz w:val="19"/>
          <w:szCs w:val="19"/>
        </w:rPr>
        <w:t>5. La adecuación, reforzamiento, reemplazo y/o construcción de puentes peatonales, estructuras deprimidas y/o pontones peatonales.</w:t>
      </w:r>
    </w:p>
    <w:p w14:paraId="0CE332AA" w14:textId="7FB1423F"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7" w:name="2.2.2.5.1.1.6"/>
      <w:bookmarkEnd w:id="7"/>
      <w:r>
        <w:rPr>
          <w:rFonts w:ascii="Arial" w:hAnsi="Arial" w:cs="Arial"/>
          <w:color w:val="000000" w:themeColor="text1"/>
          <w:sz w:val="19"/>
          <w:szCs w:val="19"/>
        </w:rPr>
        <w:t>»</w:t>
      </w:r>
      <w:r w:rsidR="00940934" w:rsidRPr="0055345F">
        <w:rPr>
          <w:rFonts w:ascii="Arial" w:hAnsi="Arial" w:cs="Arial"/>
          <w:color w:val="000000" w:themeColor="text1"/>
          <w:sz w:val="19"/>
          <w:szCs w:val="19"/>
        </w:rPr>
        <w:t>6. La adecuación y construcción de obras de drenaje y subdrenaje transversal y longitudinal.</w:t>
      </w:r>
    </w:p>
    <w:p w14:paraId="031B6686" w14:textId="56303F46"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8" w:name="2.2.2.5.1.1.7"/>
      <w:bookmarkEnd w:id="8"/>
      <w:r>
        <w:rPr>
          <w:rFonts w:ascii="Arial" w:hAnsi="Arial" w:cs="Arial"/>
          <w:color w:val="000000" w:themeColor="text1"/>
          <w:sz w:val="19"/>
          <w:szCs w:val="19"/>
        </w:rPr>
        <w:t>»</w:t>
      </w:r>
      <w:r w:rsidR="00940934" w:rsidRPr="0055345F">
        <w:rPr>
          <w:rFonts w:ascii="Arial" w:hAnsi="Arial" w:cs="Arial"/>
          <w:color w:val="000000" w:themeColor="text1"/>
          <w:sz w:val="19"/>
          <w:szCs w:val="19"/>
        </w:rPr>
        <w:t>7. La construcción de bermas.</w:t>
      </w:r>
    </w:p>
    <w:p w14:paraId="4D38D016" w14:textId="5DDB5C22"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9" w:name="2.2.2.5.1.1.8"/>
      <w:bookmarkEnd w:id="9"/>
      <w:r>
        <w:rPr>
          <w:rFonts w:ascii="Arial" w:hAnsi="Arial" w:cs="Arial"/>
          <w:color w:val="000000" w:themeColor="text1"/>
          <w:sz w:val="19"/>
          <w:szCs w:val="19"/>
        </w:rPr>
        <w:t>»</w:t>
      </w:r>
      <w:r w:rsidR="00940934" w:rsidRPr="0055345F">
        <w:rPr>
          <w:rFonts w:ascii="Arial" w:hAnsi="Arial" w:cs="Arial"/>
          <w:color w:val="000000" w:themeColor="text1"/>
          <w:sz w:val="19"/>
          <w:szCs w:val="19"/>
        </w:rPr>
        <w:t>8. La pavimentación de vías incluyendo la colocación y conformación de sub - base, base y capa de rodadura</w:t>
      </w:r>
      <w:r>
        <w:rPr>
          <w:rFonts w:ascii="Arial" w:hAnsi="Arial" w:cs="Arial"/>
          <w:color w:val="000000" w:themeColor="text1"/>
          <w:sz w:val="19"/>
          <w:szCs w:val="19"/>
        </w:rPr>
        <w:t>»</w:t>
      </w:r>
      <w:r w:rsidR="00940934" w:rsidRPr="0055345F">
        <w:rPr>
          <w:rFonts w:ascii="Arial" w:hAnsi="Arial" w:cs="Arial"/>
          <w:color w:val="000000" w:themeColor="text1"/>
          <w:sz w:val="19"/>
          <w:szCs w:val="19"/>
        </w:rPr>
        <w:t>.</w:t>
      </w:r>
    </w:p>
    <w:p w14:paraId="1793B8AF" w14:textId="3214892B"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0" w:name="2.2.2.5.1.1.9"/>
      <w:bookmarkEnd w:id="10"/>
      <w:r>
        <w:rPr>
          <w:rFonts w:ascii="Arial" w:hAnsi="Arial" w:cs="Arial"/>
          <w:color w:val="000000" w:themeColor="text1"/>
          <w:sz w:val="19"/>
          <w:szCs w:val="19"/>
        </w:rPr>
        <w:t>»</w:t>
      </w:r>
      <w:r w:rsidR="00940934" w:rsidRPr="0055345F">
        <w:rPr>
          <w:rFonts w:ascii="Arial" w:hAnsi="Arial" w:cs="Arial"/>
          <w:color w:val="000000" w:themeColor="text1"/>
          <w:sz w:val="19"/>
          <w:szCs w:val="19"/>
        </w:rPr>
        <w:t>9. La instalación, reubicación y operación temporal de plantas de trituración de materiales pétreos, plantas de producción de asfaltos o de concretos en cercanía a las obras principales o del área de influencia del proyecto, durante el tiempo en que se realice la actividad de mejoramiento.</w:t>
      </w:r>
    </w:p>
    <w:p w14:paraId="1920D024" w14:textId="27B95F79"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1" w:name="2.2.2.5.1.1.10"/>
      <w:bookmarkEnd w:id="11"/>
      <w:r>
        <w:rPr>
          <w:rFonts w:ascii="Arial" w:hAnsi="Arial" w:cs="Arial"/>
          <w:color w:val="000000" w:themeColor="text1"/>
          <w:sz w:val="19"/>
          <w:szCs w:val="19"/>
        </w:rPr>
        <w:t>»</w:t>
      </w:r>
      <w:r w:rsidR="00940934" w:rsidRPr="0055345F">
        <w:rPr>
          <w:rFonts w:ascii="Arial" w:hAnsi="Arial" w:cs="Arial"/>
          <w:color w:val="000000" w:themeColor="text1"/>
          <w:sz w:val="19"/>
          <w:szCs w:val="19"/>
        </w:rPr>
        <w:t>10. La instalación y operación de campamentos temporales e infraestructura asociada durante el tiempo en que se realice la actividad de mejoramiento.</w:t>
      </w:r>
    </w:p>
    <w:p w14:paraId="1ADDC242" w14:textId="2FF99B61"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2" w:name="2.2.2.5.1.1.11"/>
      <w:bookmarkEnd w:id="12"/>
      <w:r>
        <w:rPr>
          <w:rFonts w:ascii="Arial" w:hAnsi="Arial" w:cs="Arial"/>
          <w:color w:val="000000" w:themeColor="text1"/>
          <w:sz w:val="19"/>
          <w:szCs w:val="19"/>
        </w:rPr>
        <w:t>»</w:t>
      </w:r>
      <w:r w:rsidR="00940934" w:rsidRPr="0055345F">
        <w:rPr>
          <w:rFonts w:ascii="Arial" w:hAnsi="Arial" w:cs="Arial"/>
          <w:color w:val="000000" w:themeColor="text1"/>
          <w:sz w:val="19"/>
          <w:szCs w:val="19"/>
        </w:rPr>
        <w:t>11. La construcción de obras de protección, contención, perfilado y/o terraceo de taludes.</w:t>
      </w:r>
    </w:p>
    <w:p w14:paraId="487214E6" w14:textId="7E220E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3" w:name="2.2.2.5.1.1.12"/>
      <w:bookmarkEnd w:id="13"/>
      <w:r>
        <w:rPr>
          <w:rFonts w:ascii="Arial" w:hAnsi="Arial" w:cs="Arial"/>
          <w:color w:val="000000" w:themeColor="text1"/>
          <w:sz w:val="19"/>
          <w:szCs w:val="19"/>
        </w:rPr>
        <w:t>»</w:t>
      </w:r>
      <w:r w:rsidR="00940934" w:rsidRPr="0055345F">
        <w:rPr>
          <w:rFonts w:ascii="Arial" w:hAnsi="Arial" w:cs="Arial"/>
          <w:color w:val="000000" w:themeColor="text1"/>
          <w:sz w:val="19"/>
          <w:szCs w:val="19"/>
        </w:rPr>
        <w:t>12. La reubicación, adecuación, ampliación o construcción de estaciones de pesaje fijas con zonas de parqueo.</w:t>
      </w:r>
    </w:p>
    <w:p w14:paraId="5B989ADD" w14:textId="11748A3D"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4" w:name="2.2.2.5.1.1.13"/>
      <w:bookmarkEnd w:id="14"/>
      <w:r>
        <w:rPr>
          <w:rFonts w:ascii="Arial" w:hAnsi="Arial" w:cs="Arial"/>
          <w:color w:val="000000" w:themeColor="text1"/>
          <w:sz w:val="19"/>
          <w:szCs w:val="19"/>
        </w:rPr>
        <w:t>»</w:t>
      </w:r>
      <w:r w:rsidR="00940934" w:rsidRPr="0055345F">
        <w:rPr>
          <w:rFonts w:ascii="Arial" w:hAnsi="Arial" w:cs="Arial"/>
          <w:color w:val="000000" w:themeColor="text1"/>
          <w:sz w:val="19"/>
          <w:szCs w:val="19"/>
        </w:rPr>
        <w:t>13. La reubicación, adecuación, ampliación o construcción de estaciones de peaje y centros de control de operación.</w:t>
      </w:r>
    </w:p>
    <w:p w14:paraId="0879EBED" w14:textId="31FC783D"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5" w:name="2.2.2.5.1.1.14"/>
      <w:bookmarkEnd w:id="15"/>
      <w:r>
        <w:rPr>
          <w:rFonts w:ascii="Arial" w:hAnsi="Arial" w:cs="Arial"/>
          <w:color w:val="000000" w:themeColor="text1"/>
          <w:sz w:val="19"/>
          <w:szCs w:val="19"/>
        </w:rPr>
        <w:t>»</w:t>
      </w:r>
      <w:r w:rsidR="00940934" w:rsidRPr="0055345F">
        <w:rPr>
          <w:rFonts w:ascii="Arial" w:hAnsi="Arial" w:cs="Arial"/>
          <w:color w:val="000000" w:themeColor="text1"/>
          <w:sz w:val="19"/>
          <w:szCs w:val="19"/>
        </w:rPr>
        <w:t xml:space="preserve">14. La construcción de andenes, </w:t>
      </w:r>
      <w:proofErr w:type="spellStart"/>
      <w:r w:rsidR="00940934" w:rsidRPr="0055345F">
        <w:rPr>
          <w:rFonts w:ascii="Arial" w:hAnsi="Arial" w:cs="Arial"/>
          <w:color w:val="000000" w:themeColor="text1"/>
          <w:sz w:val="19"/>
          <w:szCs w:val="19"/>
        </w:rPr>
        <w:t>ciclorutas</w:t>
      </w:r>
      <w:proofErr w:type="spellEnd"/>
      <w:r w:rsidR="00940934" w:rsidRPr="0055345F">
        <w:rPr>
          <w:rFonts w:ascii="Arial" w:hAnsi="Arial" w:cs="Arial"/>
          <w:color w:val="000000" w:themeColor="text1"/>
          <w:sz w:val="19"/>
          <w:szCs w:val="19"/>
        </w:rPr>
        <w:t>, paraderos.</w:t>
      </w:r>
    </w:p>
    <w:p w14:paraId="485C9C31" w14:textId="28B5CF08"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6" w:name="2.2.2.5.1.1.15"/>
      <w:bookmarkEnd w:id="16"/>
      <w:r>
        <w:rPr>
          <w:rFonts w:ascii="Arial" w:hAnsi="Arial" w:cs="Arial"/>
          <w:color w:val="000000" w:themeColor="text1"/>
          <w:sz w:val="19"/>
          <w:szCs w:val="19"/>
        </w:rPr>
        <w:t>»</w:t>
      </w:r>
      <w:r w:rsidR="00940934" w:rsidRPr="0055345F">
        <w:rPr>
          <w:rFonts w:ascii="Arial" w:hAnsi="Arial" w:cs="Arial"/>
          <w:color w:val="000000" w:themeColor="text1"/>
          <w:sz w:val="19"/>
          <w:szCs w:val="19"/>
        </w:rPr>
        <w:t>15. La ampliación o construcción de separadores centrales.</w:t>
      </w:r>
    </w:p>
    <w:p w14:paraId="23E0ED60" w14:textId="3A43DDE4"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7" w:name="2.2.2.5.1.1.16"/>
      <w:bookmarkEnd w:id="17"/>
      <w:r>
        <w:rPr>
          <w:rFonts w:ascii="Arial" w:hAnsi="Arial" w:cs="Arial"/>
          <w:color w:val="000000" w:themeColor="text1"/>
          <w:sz w:val="19"/>
          <w:szCs w:val="19"/>
        </w:rPr>
        <w:t>»</w:t>
      </w:r>
      <w:r w:rsidR="00940934" w:rsidRPr="0055345F">
        <w:rPr>
          <w:rFonts w:ascii="Arial" w:hAnsi="Arial" w:cs="Arial"/>
          <w:color w:val="000000" w:themeColor="text1"/>
          <w:sz w:val="19"/>
          <w:szCs w:val="19"/>
        </w:rPr>
        <w:t>16. La construcción de túneles falsos en vías, y a la entrada y salida de túneles.</w:t>
      </w:r>
    </w:p>
    <w:p w14:paraId="06FF5318" w14:textId="53E75D3E"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8" w:name="2.2.2.5.1.1.17"/>
      <w:bookmarkEnd w:id="18"/>
      <w:r>
        <w:rPr>
          <w:rFonts w:ascii="Arial" w:hAnsi="Arial" w:cs="Arial"/>
          <w:color w:val="000000" w:themeColor="text1"/>
          <w:sz w:val="19"/>
          <w:szCs w:val="19"/>
        </w:rPr>
        <w:t>»</w:t>
      </w:r>
      <w:r w:rsidR="00940934" w:rsidRPr="0055345F">
        <w:rPr>
          <w:rFonts w:ascii="Arial" w:hAnsi="Arial" w:cs="Arial"/>
          <w:color w:val="000000" w:themeColor="text1"/>
          <w:sz w:val="19"/>
          <w:szCs w:val="19"/>
        </w:rPr>
        <w:t>17. Construcción de corredores de servicio en túneles.</w:t>
      </w:r>
    </w:p>
    <w:p w14:paraId="0C2383AF" w14:textId="60F392F1"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19" w:name="2.2.2.5.1.1.18"/>
      <w:bookmarkEnd w:id="19"/>
      <w:r>
        <w:rPr>
          <w:rFonts w:ascii="Arial" w:hAnsi="Arial" w:cs="Arial"/>
          <w:color w:val="000000" w:themeColor="text1"/>
          <w:sz w:val="19"/>
          <w:szCs w:val="19"/>
        </w:rPr>
        <w:t>»</w:t>
      </w:r>
      <w:r w:rsidR="00940934" w:rsidRPr="0055345F">
        <w:rPr>
          <w:rFonts w:ascii="Arial" w:hAnsi="Arial" w:cs="Arial"/>
          <w:color w:val="000000" w:themeColor="text1"/>
          <w:sz w:val="19"/>
          <w:szCs w:val="19"/>
        </w:rPr>
        <w:t>18. Rectificación, perfilado y/o adecuación de la sección transversal de túneles con fines de mejoramiento del flujo vehicular y de conformidad con las especificaciones establecidas en la Ley 105 de 1993 o aquella que la modifique o sustituya. No se considerará una rectificación, la ampliación de la sección transversal del túnel sí el objetivo es la construcción de nuevas calzadas.</w:t>
      </w:r>
    </w:p>
    <w:p w14:paraId="497F7A62" w14:textId="41D7F48C"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0" w:name="2.2.2.5.1.1.19"/>
      <w:bookmarkEnd w:id="20"/>
      <w:r>
        <w:rPr>
          <w:rFonts w:ascii="Arial" w:hAnsi="Arial" w:cs="Arial"/>
          <w:color w:val="000000" w:themeColor="text1"/>
          <w:sz w:val="19"/>
          <w:szCs w:val="19"/>
        </w:rPr>
        <w:t>»</w:t>
      </w:r>
      <w:r w:rsidR="00940934" w:rsidRPr="0055345F">
        <w:rPr>
          <w:rFonts w:ascii="Arial" w:hAnsi="Arial" w:cs="Arial"/>
          <w:color w:val="000000" w:themeColor="text1"/>
          <w:sz w:val="19"/>
          <w:szCs w:val="19"/>
        </w:rPr>
        <w:t>19. La instalación de señalización vertical y horizontal, barreras y defensas metálicas.</w:t>
      </w:r>
    </w:p>
    <w:p w14:paraId="3A86E914" w14:textId="3808DD55"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bookmarkStart w:id="21" w:name="2.2.2.5.1.1.20"/>
      <w:bookmarkEnd w:id="21"/>
      <w:r>
        <w:rPr>
          <w:rFonts w:ascii="Arial" w:hAnsi="Arial" w:cs="Arial"/>
          <w:color w:val="000000" w:themeColor="text1"/>
          <w:sz w:val="19"/>
          <w:szCs w:val="19"/>
        </w:rPr>
        <w:t>»</w:t>
      </w:r>
      <w:r w:rsidR="00940934" w:rsidRPr="0055345F">
        <w:rPr>
          <w:rFonts w:ascii="Arial" w:hAnsi="Arial" w:cs="Arial"/>
          <w:color w:val="000000" w:themeColor="text1"/>
          <w:sz w:val="19"/>
          <w:szCs w:val="19"/>
        </w:rPr>
        <w:t>20. Las segundas calzadas, siempre y cuando se dé cumplimiento a lo dispuesto en el parágrafo del presente artículo.</w:t>
      </w:r>
    </w:p>
    <w:p w14:paraId="64A8782F" w14:textId="7BEC0E8C"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PARÁGRAFO</w:t>
      </w:r>
      <w:bookmarkStart w:id="22" w:name="2.2.2.5.1.1.pt1"/>
      <w:r w:rsidR="00940934" w:rsidRPr="0055345F">
        <w:rPr>
          <w:rFonts w:ascii="Arial" w:hAnsi="Arial" w:cs="Arial"/>
          <w:color w:val="000000" w:themeColor="text1"/>
          <w:sz w:val="19"/>
          <w:szCs w:val="19"/>
        </w:rPr>
        <w:t> </w:t>
      </w:r>
      <w:bookmarkEnd w:id="22"/>
      <w:r w:rsidR="00940934" w:rsidRPr="0055345F">
        <w:rPr>
          <w:rStyle w:val="apple-converted-space"/>
          <w:rFonts w:ascii="Arial" w:hAnsi="Arial" w:cs="Arial"/>
          <w:color w:val="000000" w:themeColor="text1"/>
          <w:sz w:val="19"/>
          <w:szCs w:val="19"/>
        </w:rPr>
        <w:t> </w:t>
      </w:r>
      <w:bookmarkStart w:id="23" w:name="2.2.2.5.1.1.p1"/>
      <w:bookmarkEnd w:id="23"/>
      <w:r w:rsidR="00940934" w:rsidRPr="0055345F">
        <w:rPr>
          <w:rFonts w:ascii="Arial" w:hAnsi="Arial" w:cs="Arial"/>
          <w:color w:val="000000" w:themeColor="text1"/>
          <w:sz w:val="19"/>
          <w:szCs w:val="19"/>
        </w:rPr>
        <w:t>1.-</w:t>
      </w:r>
      <w:r w:rsidR="00940934" w:rsidRPr="0055345F">
        <w:rPr>
          <w:rStyle w:val="apple-converted-space"/>
          <w:rFonts w:ascii="Arial" w:hAnsi="Arial" w:cs="Arial"/>
          <w:b/>
          <w:bCs/>
          <w:color w:val="000000" w:themeColor="text1"/>
          <w:sz w:val="19"/>
          <w:szCs w:val="19"/>
        </w:rPr>
        <w:t> </w:t>
      </w:r>
      <w:r w:rsidR="00940934" w:rsidRPr="0055345F">
        <w:rPr>
          <w:rFonts w:ascii="Arial" w:hAnsi="Arial" w:cs="Arial"/>
          <w:color w:val="000000" w:themeColor="text1"/>
          <w:sz w:val="19"/>
          <w:szCs w:val="19"/>
        </w:rPr>
        <w:t>La construcción de segundas calzadas, la construcción de túneles con sus accesos o la construcción de carreteras incluyendo puentes y demás infraestructura asociada a la misma requerirán de la expedición de la correspondiente licencia ambiental.</w:t>
      </w:r>
    </w:p>
    <w:p w14:paraId="2E178DB3" w14:textId="1573B343"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PARÁGRAFO</w:t>
      </w:r>
      <w:bookmarkStart w:id="24" w:name="2.2.2.5.1.1.pt2"/>
      <w:r w:rsidR="00940934" w:rsidRPr="0055345F">
        <w:rPr>
          <w:rFonts w:ascii="Arial" w:hAnsi="Arial" w:cs="Arial"/>
          <w:color w:val="000000" w:themeColor="text1"/>
          <w:sz w:val="19"/>
          <w:szCs w:val="19"/>
        </w:rPr>
        <w:t> </w:t>
      </w:r>
      <w:bookmarkEnd w:id="24"/>
      <w:r w:rsidR="00940934" w:rsidRPr="0055345F">
        <w:rPr>
          <w:rStyle w:val="apple-converted-space"/>
          <w:rFonts w:ascii="Arial" w:hAnsi="Arial" w:cs="Arial"/>
          <w:color w:val="000000" w:themeColor="text1"/>
          <w:sz w:val="19"/>
          <w:szCs w:val="19"/>
        </w:rPr>
        <w:t> </w:t>
      </w:r>
      <w:bookmarkStart w:id="25" w:name="2.2.2.5.1.1.p2"/>
      <w:bookmarkEnd w:id="25"/>
      <w:r w:rsidR="00940934" w:rsidRPr="0055345F">
        <w:rPr>
          <w:rFonts w:ascii="Arial" w:hAnsi="Arial" w:cs="Arial"/>
          <w:color w:val="000000" w:themeColor="text1"/>
          <w:sz w:val="19"/>
          <w:szCs w:val="19"/>
        </w:rPr>
        <w:t>2.-</w:t>
      </w:r>
      <w:r w:rsidR="00940934" w:rsidRPr="0055345F">
        <w:rPr>
          <w:rStyle w:val="apple-converted-space"/>
          <w:rFonts w:ascii="Arial" w:hAnsi="Arial" w:cs="Arial"/>
          <w:b/>
          <w:bCs/>
          <w:color w:val="000000" w:themeColor="text1"/>
          <w:sz w:val="19"/>
          <w:szCs w:val="19"/>
        </w:rPr>
        <w:t> </w:t>
      </w:r>
      <w:r w:rsidR="00940934" w:rsidRPr="0055345F">
        <w:rPr>
          <w:rFonts w:ascii="Arial" w:hAnsi="Arial" w:cs="Arial"/>
          <w:color w:val="000000" w:themeColor="text1"/>
          <w:sz w:val="19"/>
          <w:szCs w:val="19"/>
        </w:rPr>
        <w:t>No obstante el parágrafo anterior, las segundas calzadas podrán ser consideradas como actividades de mejoramiento, en aquellos eventos en que la autoridad ambiental así lo determine.</w:t>
      </w:r>
    </w:p>
    <w:p w14:paraId="58A3D1B6" w14:textId="233D3FBA" w:rsidR="00940934" w:rsidRPr="0055345F" w:rsidRDefault="00235172" w:rsidP="00D6418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940934" w:rsidRPr="0055345F">
        <w:rPr>
          <w:rFonts w:ascii="Arial" w:hAnsi="Arial" w:cs="Arial"/>
          <w:color w:val="000000" w:themeColor="text1"/>
          <w:sz w:val="19"/>
          <w:szCs w:val="19"/>
        </w:rPr>
        <w:t>Para el efecto, el titular deberá allegar ante la autoridad ambiental competente un documento en el que de acuerdo con los impactos que éste pueda generar, justifique las razones por las cuales la ejecución del mismo no genera deterioro grave a los recursos naturales renovables o al medio ambiente o introducir modificaciones considerables o notorias al paisaje. La autoridad ambiental en un término máximo de veinte (20) días hábiles contados a partir de la radicación de la solicitud deberá emitir, mediante oficio, el correspondiente pronunciamiento.</w:t>
      </w:r>
    </w:p>
    <w:p w14:paraId="0A3EA342" w14:textId="4F558124" w:rsidR="00940934" w:rsidRPr="00D6418E" w:rsidRDefault="00235172" w:rsidP="00D6418E">
      <w:pPr>
        <w:pStyle w:val="NormalWeb"/>
        <w:spacing w:before="0" w:beforeAutospacing="0" w:after="0" w:afterAutospacing="0"/>
        <w:ind w:firstLine="708"/>
        <w:jc w:val="both"/>
        <w:rPr>
          <w:rFonts w:ascii="Arial" w:hAnsi="Arial" w:cs="Arial"/>
          <w:sz w:val="19"/>
          <w:szCs w:val="19"/>
          <w:lang w:val="en-US"/>
        </w:rPr>
      </w:pPr>
      <w:r>
        <w:rPr>
          <w:rFonts w:ascii="Arial" w:hAnsi="Arial" w:cs="Arial"/>
          <w:i/>
          <w:iCs/>
          <w:color w:val="000000" w:themeColor="text1"/>
          <w:sz w:val="19"/>
          <w:szCs w:val="19"/>
          <w:lang w:val="en-US"/>
        </w:rPr>
        <w:t>»</w:t>
      </w:r>
      <w:r w:rsidR="00940934" w:rsidRPr="00D6418E">
        <w:rPr>
          <w:rFonts w:ascii="Arial" w:hAnsi="Arial" w:cs="Arial"/>
          <w:i/>
          <w:iCs/>
          <w:color w:val="000000" w:themeColor="text1"/>
          <w:sz w:val="19"/>
          <w:szCs w:val="19"/>
          <w:lang w:val="en-US"/>
        </w:rPr>
        <w:t>(</w:t>
      </w:r>
      <w:proofErr w:type="spellStart"/>
      <w:r w:rsidR="00940934" w:rsidRPr="00D6418E">
        <w:rPr>
          <w:rFonts w:ascii="Arial" w:hAnsi="Arial" w:cs="Arial"/>
          <w:i/>
          <w:iCs/>
          <w:color w:val="000000" w:themeColor="text1"/>
          <w:sz w:val="19"/>
          <w:szCs w:val="19"/>
          <w:lang w:val="en-US"/>
        </w:rPr>
        <w:t>Decreto</w:t>
      </w:r>
      <w:proofErr w:type="spellEnd"/>
      <w:r w:rsidR="00940934" w:rsidRPr="00D6418E">
        <w:rPr>
          <w:rFonts w:ascii="Arial" w:hAnsi="Arial" w:cs="Arial"/>
          <w:i/>
          <w:iCs/>
          <w:color w:val="000000" w:themeColor="text1"/>
          <w:sz w:val="19"/>
          <w:szCs w:val="19"/>
          <w:lang w:val="en-US"/>
        </w:rPr>
        <w:t xml:space="preserve"> 769 de 2014, art.1)</w:t>
      </w:r>
      <w:r>
        <w:rPr>
          <w:rFonts w:ascii="Arial" w:hAnsi="Arial" w:cs="Arial"/>
          <w:i/>
          <w:iCs/>
          <w:color w:val="000000" w:themeColor="text1"/>
          <w:sz w:val="19"/>
          <w:szCs w:val="19"/>
          <w:lang w:val="en-US"/>
        </w:rPr>
        <w:t>».</w:t>
      </w:r>
    </w:p>
  </w:footnote>
  <w:footnote w:id="12">
    <w:p w14:paraId="27C75651" w14:textId="77777777" w:rsidR="00987E9F" w:rsidRPr="0055345F" w:rsidRDefault="00987E9F" w:rsidP="0055345F">
      <w:pPr>
        <w:pStyle w:val="Textonotapie"/>
        <w:ind w:firstLine="708"/>
        <w:jc w:val="both"/>
        <w:rPr>
          <w:rFonts w:ascii="Arial" w:hAnsi="Arial" w:cs="Arial"/>
          <w:sz w:val="19"/>
          <w:szCs w:val="19"/>
          <w:lang w:val="en-US"/>
        </w:rPr>
      </w:pPr>
      <w:r w:rsidRPr="0055345F">
        <w:rPr>
          <w:rStyle w:val="Refdenotaalpie"/>
          <w:rFonts w:ascii="Arial" w:hAnsi="Arial" w:cs="Arial"/>
          <w:sz w:val="19"/>
          <w:szCs w:val="19"/>
        </w:rPr>
        <w:footnoteRef/>
      </w:r>
      <w:r w:rsidRPr="0055345F">
        <w:rPr>
          <w:rFonts w:ascii="Arial" w:hAnsi="Arial" w:cs="Arial"/>
          <w:sz w:val="19"/>
          <w:szCs w:val="19"/>
          <w:lang w:val="en-US"/>
        </w:rPr>
        <w:t xml:space="preserve"> LECH, Marvin (comp.).  Glossary of Road Design and Construction Terms, Nebraska </w:t>
      </w:r>
      <w:proofErr w:type="spellStart"/>
      <w:r w:rsidRPr="0055345F">
        <w:rPr>
          <w:rFonts w:ascii="Arial" w:hAnsi="Arial" w:cs="Arial"/>
          <w:sz w:val="19"/>
          <w:szCs w:val="19"/>
          <w:lang w:val="en-US"/>
        </w:rPr>
        <w:t>Deparment</w:t>
      </w:r>
      <w:proofErr w:type="spellEnd"/>
      <w:r w:rsidRPr="0055345F">
        <w:rPr>
          <w:rFonts w:ascii="Arial" w:hAnsi="Arial" w:cs="Arial"/>
          <w:sz w:val="19"/>
          <w:szCs w:val="19"/>
          <w:lang w:val="en-US"/>
        </w:rPr>
        <w:t xml:space="preserve"> of Roads, EEUU, 1998, pp. 44. </w:t>
      </w:r>
    </w:p>
  </w:footnote>
  <w:footnote w:id="13">
    <w:p w14:paraId="25472EAE" w14:textId="77777777" w:rsidR="00987E9F" w:rsidRPr="0055345F" w:rsidRDefault="00987E9F" w:rsidP="0055345F">
      <w:pPr>
        <w:pStyle w:val="Textonotapie"/>
        <w:jc w:val="both"/>
        <w:rPr>
          <w:rFonts w:ascii="Arial" w:hAnsi="Arial" w:cs="Arial"/>
          <w:sz w:val="19"/>
          <w:szCs w:val="19"/>
          <w:lang w:val="en-US"/>
        </w:rPr>
      </w:pPr>
    </w:p>
    <w:p w14:paraId="36D6871A" w14:textId="77777777" w:rsidR="00987E9F" w:rsidRPr="0055345F" w:rsidRDefault="00987E9F" w:rsidP="0055345F">
      <w:pPr>
        <w:pStyle w:val="Textonotapie"/>
        <w:ind w:firstLine="708"/>
        <w:jc w:val="both"/>
        <w:rPr>
          <w:rFonts w:ascii="Arial" w:hAnsi="Arial" w:cs="Arial"/>
          <w:sz w:val="19"/>
          <w:szCs w:val="19"/>
          <w:lang w:val="es-CO"/>
        </w:rPr>
      </w:pPr>
      <w:r w:rsidRPr="0055345F">
        <w:rPr>
          <w:rStyle w:val="Refdenotaalpie"/>
          <w:rFonts w:ascii="Arial" w:hAnsi="Arial" w:cs="Arial"/>
          <w:sz w:val="19"/>
          <w:szCs w:val="19"/>
        </w:rPr>
        <w:footnoteRef/>
      </w:r>
      <w:r w:rsidRPr="0055345F">
        <w:rPr>
          <w:rFonts w:ascii="Arial" w:hAnsi="Arial" w:cs="Arial"/>
          <w:sz w:val="19"/>
          <w:szCs w:val="19"/>
        </w:rPr>
        <w:t xml:space="preserve"> </w:t>
      </w:r>
      <w:r w:rsidRPr="0055345F">
        <w:rPr>
          <w:rFonts w:ascii="Arial" w:hAnsi="Arial" w:cs="Arial"/>
          <w:sz w:val="19"/>
          <w:szCs w:val="19"/>
        </w:rPr>
        <w:t xml:space="preserve">INSTITUTO DE DESARROLLO URBANO DE BOGOTÁ, Diccionario técnico. Consolidación de todos los términos y definiciones de carácter técnico o de gestión, incluidos en los distintos documentos publicados como parte del Sistema Integrado de Gestión IDU. Consultado el 7 de octubre de 2020 en: </w:t>
      </w:r>
      <w:hyperlink r:id="rId1" w:history="1">
        <w:r w:rsidRPr="0055345F">
          <w:rPr>
            <w:rStyle w:val="Hipervnculo"/>
            <w:rFonts w:ascii="Arial" w:hAnsi="Arial" w:cs="Arial"/>
            <w:sz w:val="19"/>
            <w:szCs w:val="19"/>
          </w:rPr>
          <w:t>https://www.idu.gov.co/page/transparencia/informacion-de-interes/glosario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387886"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num w:numId="1" w16cid:durableId="74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4309"/>
    <w:rsid w:val="0000763E"/>
    <w:rsid w:val="0001639E"/>
    <w:rsid w:val="0003067A"/>
    <w:rsid w:val="000549D1"/>
    <w:rsid w:val="00071118"/>
    <w:rsid w:val="0007164B"/>
    <w:rsid w:val="000965D3"/>
    <w:rsid w:val="000A6CC7"/>
    <w:rsid w:val="000B0135"/>
    <w:rsid w:val="000B322A"/>
    <w:rsid w:val="000D229C"/>
    <w:rsid w:val="00101763"/>
    <w:rsid w:val="00103032"/>
    <w:rsid w:val="001432C4"/>
    <w:rsid w:val="0015002D"/>
    <w:rsid w:val="00172E23"/>
    <w:rsid w:val="00184B87"/>
    <w:rsid w:val="001A2813"/>
    <w:rsid w:val="001D3943"/>
    <w:rsid w:val="001E52B9"/>
    <w:rsid w:val="001F772D"/>
    <w:rsid w:val="00207B71"/>
    <w:rsid w:val="00235172"/>
    <w:rsid w:val="00240A92"/>
    <w:rsid w:val="002773AB"/>
    <w:rsid w:val="002B0C37"/>
    <w:rsid w:val="002C56DB"/>
    <w:rsid w:val="002D55E0"/>
    <w:rsid w:val="002E1C4A"/>
    <w:rsid w:val="002E7608"/>
    <w:rsid w:val="003037F6"/>
    <w:rsid w:val="00313D4A"/>
    <w:rsid w:val="00325CE5"/>
    <w:rsid w:val="003305CC"/>
    <w:rsid w:val="00344490"/>
    <w:rsid w:val="00355D0A"/>
    <w:rsid w:val="00362C88"/>
    <w:rsid w:val="00365F74"/>
    <w:rsid w:val="003668F9"/>
    <w:rsid w:val="0037067E"/>
    <w:rsid w:val="00394E7A"/>
    <w:rsid w:val="00395B41"/>
    <w:rsid w:val="003A0131"/>
    <w:rsid w:val="003A4E31"/>
    <w:rsid w:val="003C0050"/>
    <w:rsid w:val="003C7067"/>
    <w:rsid w:val="003D2D2A"/>
    <w:rsid w:val="003D36CE"/>
    <w:rsid w:val="003D3A2F"/>
    <w:rsid w:val="003E060B"/>
    <w:rsid w:val="003E582E"/>
    <w:rsid w:val="004079E3"/>
    <w:rsid w:val="00416333"/>
    <w:rsid w:val="00426D2A"/>
    <w:rsid w:val="00427DCC"/>
    <w:rsid w:val="004416C7"/>
    <w:rsid w:val="004662C1"/>
    <w:rsid w:val="00470EFA"/>
    <w:rsid w:val="0048244C"/>
    <w:rsid w:val="0048677A"/>
    <w:rsid w:val="00492BE0"/>
    <w:rsid w:val="004953FD"/>
    <w:rsid w:val="004A1498"/>
    <w:rsid w:val="004B3476"/>
    <w:rsid w:val="004C03F9"/>
    <w:rsid w:val="004C709A"/>
    <w:rsid w:val="004D05D4"/>
    <w:rsid w:val="004D4E4E"/>
    <w:rsid w:val="004D7BB0"/>
    <w:rsid w:val="005016F6"/>
    <w:rsid w:val="0051003B"/>
    <w:rsid w:val="00513EEE"/>
    <w:rsid w:val="005222BE"/>
    <w:rsid w:val="0055345F"/>
    <w:rsid w:val="005556E0"/>
    <w:rsid w:val="00585FCD"/>
    <w:rsid w:val="005871D6"/>
    <w:rsid w:val="00593050"/>
    <w:rsid w:val="00596825"/>
    <w:rsid w:val="005E74AD"/>
    <w:rsid w:val="005F6429"/>
    <w:rsid w:val="00605231"/>
    <w:rsid w:val="0061018B"/>
    <w:rsid w:val="00614A64"/>
    <w:rsid w:val="00614BF3"/>
    <w:rsid w:val="00645FB0"/>
    <w:rsid w:val="0064603D"/>
    <w:rsid w:val="0065269D"/>
    <w:rsid w:val="006602EB"/>
    <w:rsid w:val="00682FE9"/>
    <w:rsid w:val="006938B4"/>
    <w:rsid w:val="006A616D"/>
    <w:rsid w:val="006F1F39"/>
    <w:rsid w:val="00701776"/>
    <w:rsid w:val="00702A9E"/>
    <w:rsid w:val="00741AC8"/>
    <w:rsid w:val="00741EE1"/>
    <w:rsid w:val="0074426D"/>
    <w:rsid w:val="00756C59"/>
    <w:rsid w:val="00760CDC"/>
    <w:rsid w:val="00763584"/>
    <w:rsid w:val="007915CC"/>
    <w:rsid w:val="00793E8F"/>
    <w:rsid w:val="007A1E56"/>
    <w:rsid w:val="007A4047"/>
    <w:rsid w:val="007A48A1"/>
    <w:rsid w:val="007C14A7"/>
    <w:rsid w:val="007C3E50"/>
    <w:rsid w:val="007C57D2"/>
    <w:rsid w:val="007D2560"/>
    <w:rsid w:val="007D36D7"/>
    <w:rsid w:val="00831710"/>
    <w:rsid w:val="00833A9F"/>
    <w:rsid w:val="00862B07"/>
    <w:rsid w:val="0086673C"/>
    <w:rsid w:val="00872CC7"/>
    <w:rsid w:val="00892D4C"/>
    <w:rsid w:val="008A5998"/>
    <w:rsid w:val="008B7A9B"/>
    <w:rsid w:val="008E3A2D"/>
    <w:rsid w:val="008E5E11"/>
    <w:rsid w:val="008F66B0"/>
    <w:rsid w:val="00904C5A"/>
    <w:rsid w:val="00920707"/>
    <w:rsid w:val="00927931"/>
    <w:rsid w:val="009364CE"/>
    <w:rsid w:val="00940934"/>
    <w:rsid w:val="00941524"/>
    <w:rsid w:val="0094584C"/>
    <w:rsid w:val="00946E02"/>
    <w:rsid w:val="00957364"/>
    <w:rsid w:val="009702D5"/>
    <w:rsid w:val="00987E9F"/>
    <w:rsid w:val="00993288"/>
    <w:rsid w:val="009B557F"/>
    <w:rsid w:val="009B5E61"/>
    <w:rsid w:val="009E5D06"/>
    <w:rsid w:val="009F0A44"/>
    <w:rsid w:val="00A24C7E"/>
    <w:rsid w:val="00A259EC"/>
    <w:rsid w:val="00A34932"/>
    <w:rsid w:val="00A425A1"/>
    <w:rsid w:val="00A65986"/>
    <w:rsid w:val="00A77A09"/>
    <w:rsid w:val="00AA2E65"/>
    <w:rsid w:val="00AC0AEF"/>
    <w:rsid w:val="00AC5023"/>
    <w:rsid w:val="00AD73B1"/>
    <w:rsid w:val="00AE4F53"/>
    <w:rsid w:val="00B03108"/>
    <w:rsid w:val="00B20FA2"/>
    <w:rsid w:val="00B24B11"/>
    <w:rsid w:val="00B41C03"/>
    <w:rsid w:val="00B50E9C"/>
    <w:rsid w:val="00B640BC"/>
    <w:rsid w:val="00B70AA1"/>
    <w:rsid w:val="00B80B20"/>
    <w:rsid w:val="00BA2D60"/>
    <w:rsid w:val="00BE7294"/>
    <w:rsid w:val="00C00312"/>
    <w:rsid w:val="00C00863"/>
    <w:rsid w:val="00C04454"/>
    <w:rsid w:val="00C346E3"/>
    <w:rsid w:val="00C41C91"/>
    <w:rsid w:val="00C443D5"/>
    <w:rsid w:val="00C7267B"/>
    <w:rsid w:val="00C84F70"/>
    <w:rsid w:val="00C96E18"/>
    <w:rsid w:val="00CA4C52"/>
    <w:rsid w:val="00CB6D97"/>
    <w:rsid w:val="00CD5A6D"/>
    <w:rsid w:val="00CD78C4"/>
    <w:rsid w:val="00CE6043"/>
    <w:rsid w:val="00CF4DA2"/>
    <w:rsid w:val="00D02095"/>
    <w:rsid w:val="00D143F4"/>
    <w:rsid w:val="00D56AA1"/>
    <w:rsid w:val="00D6418E"/>
    <w:rsid w:val="00D7628C"/>
    <w:rsid w:val="00D84B8B"/>
    <w:rsid w:val="00D8787B"/>
    <w:rsid w:val="00DE7D3C"/>
    <w:rsid w:val="00E03801"/>
    <w:rsid w:val="00E232D4"/>
    <w:rsid w:val="00E30212"/>
    <w:rsid w:val="00E40AF8"/>
    <w:rsid w:val="00E416E6"/>
    <w:rsid w:val="00E62296"/>
    <w:rsid w:val="00E700EA"/>
    <w:rsid w:val="00E75C98"/>
    <w:rsid w:val="00E95CE9"/>
    <w:rsid w:val="00EA44B1"/>
    <w:rsid w:val="00EA4609"/>
    <w:rsid w:val="00EA714D"/>
    <w:rsid w:val="00F00588"/>
    <w:rsid w:val="00F17C3F"/>
    <w:rsid w:val="00F502DF"/>
    <w:rsid w:val="00F50819"/>
    <w:rsid w:val="00F8617A"/>
    <w:rsid w:val="00F92B22"/>
    <w:rsid w:val="00F93C05"/>
    <w:rsid w:val="00FB4302"/>
    <w:rsid w:val="00FE4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4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customStyle="1" w:styleId="AsuntodelcomentarioCar">
    <w:name w:val="Asunto del comentario Car"/>
    <w:basedOn w:val="TextocomentarioCar"/>
    <w:link w:val="Asuntodelcomentario"/>
    <w:uiPriority w:val="99"/>
    <w:semiHidden/>
    <w:rsid w:val="00C7267B"/>
    <w:rPr>
      <w:rFonts w:ascii="Times New Roman" w:eastAsia="Times New Roman" w:hAnsi="Times New Roman" w:cs="Times New Roman"/>
      <w:b/>
      <w:bCs/>
      <w:sz w:val="20"/>
      <w:szCs w:val="20"/>
      <w:lang w:eastAsia="es-MX"/>
    </w:rPr>
  </w:style>
  <w:style w:type="paragraph" w:styleId="NormalWeb">
    <w:name w:val="Normal (Web)"/>
    <w:basedOn w:val="Normal"/>
    <w:link w:val="NormalWebCar"/>
    <w:uiPriority w:val="99"/>
    <w:unhideWhenUsed/>
    <w:rsid w:val="001F772D"/>
    <w:pPr>
      <w:spacing w:before="100" w:beforeAutospacing="1" w:after="100" w:afterAutospacing="1"/>
    </w:pPr>
  </w:style>
  <w:style w:type="character" w:customStyle="1" w:styleId="NormalWebCar">
    <w:name w:val="Normal (Web) Car"/>
    <w:link w:val="NormalWeb"/>
    <w:uiPriority w:val="99"/>
    <w:rsid w:val="001F772D"/>
    <w:rPr>
      <w:rFonts w:ascii="Times New Roman" w:eastAsia="Times New Roman" w:hAnsi="Times New Roman" w:cs="Times New Roman"/>
      <w:lang w:eastAsia="es-MX"/>
    </w:rPr>
  </w:style>
  <w:style w:type="character" w:customStyle="1" w:styleId="baj">
    <w:name w:val="b_aj"/>
    <w:basedOn w:val="Fuentedeprrafopredeter"/>
    <w:rsid w:val="00F93C05"/>
  </w:style>
  <w:style w:type="paragraph" w:customStyle="1" w:styleId="Normal11pt">
    <w:name w:val="Normal + 11 pt"/>
    <w:aliases w:val="Negro,Justificado,Izquierda:  -0,95 cm,Derecha:  0,04 cm"/>
    <w:basedOn w:val="Normal"/>
    <w:uiPriority w:val="99"/>
    <w:rsid w:val="008B7A9B"/>
    <w:pPr>
      <w:ind w:left="-540"/>
      <w:jc w:val="both"/>
    </w:pPr>
    <w:rPr>
      <w:rFonts w:ascii="Arial" w:hAnsi="Arial" w:cs="Arial"/>
      <w:color w:val="000000"/>
      <w:sz w:val="22"/>
      <w:szCs w:val="22"/>
      <w:lang w:val="es-ES_tradnl" w:eastAsia="es-ES"/>
    </w:rPr>
  </w:style>
  <w:style w:type="character" w:customStyle="1" w:styleId="Invias-VietaNumeradaCar">
    <w:name w:val="Invias-Viñeta Numerada Car"/>
    <w:link w:val="Invias-VietaNumerada"/>
    <w:uiPriority w:val="99"/>
    <w:locked/>
    <w:rsid w:val="00F92B22"/>
    <w:rPr>
      <w:rFonts w:ascii="Arial Narrow" w:eastAsia="Times New Roman" w:hAnsi="Arial Narrow" w:cs="Times New Roman"/>
      <w:lang w:val="en-US" w:eastAsia="es-ES"/>
    </w:rPr>
  </w:style>
  <w:style w:type="paragraph" w:customStyle="1" w:styleId="Invias-VietaNumerada">
    <w:name w:val="Invias-Viñeta Numerada"/>
    <w:next w:val="Normal"/>
    <w:link w:val="Invias-VietaNumeradaCar"/>
    <w:uiPriority w:val="99"/>
    <w:qFormat/>
    <w:rsid w:val="00F92B22"/>
    <w:pPr>
      <w:spacing w:before="240" w:after="120"/>
      <w:jc w:val="both"/>
    </w:pPr>
    <w:rPr>
      <w:rFonts w:ascii="Arial Narrow" w:eastAsia="Times New Roman" w:hAnsi="Arial Narrow" w:cs="Times New Roman"/>
      <w:lang w:val="en-US" w:eastAsia="es-ES"/>
    </w:rPr>
  </w:style>
  <w:style w:type="character" w:styleId="Textoennegrita">
    <w:name w:val="Strong"/>
    <w:basedOn w:val="Fuentedeprrafopredeter"/>
    <w:uiPriority w:val="22"/>
    <w:qFormat/>
    <w:rsid w:val="00F92B22"/>
    <w:rPr>
      <w:b/>
      <w:bCs/>
    </w:rPr>
  </w:style>
  <w:style w:type="character" w:styleId="nfasis">
    <w:name w:val="Emphasis"/>
    <w:basedOn w:val="Fuentedeprrafopredeter"/>
    <w:uiPriority w:val="20"/>
    <w:qFormat/>
    <w:rsid w:val="0074426D"/>
    <w:rPr>
      <w:i/>
      <w:iCs/>
    </w:rPr>
  </w:style>
  <w:style w:type="character" w:styleId="Textodelmarcadordeposicin">
    <w:name w:val="Placeholder Text"/>
    <w:basedOn w:val="Fuentedeprrafopredeter"/>
    <w:uiPriority w:val="99"/>
    <w:semiHidden/>
    <w:rsid w:val="00587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1616476814">
      <w:bodyDiv w:val="1"/>
      <w:marLeft w:val="0"/>
      <w:marRight w:val="0"/>
      <w:marTop w:val="0"/>
      <w:marBottom w:val="0"/>
      <w:divBdr>
        <w:top w:val="none" w:sz="0" w:space="0" w:color="auto"/>
        <w:left w:val="none" w:sz="0" w:space="0" w:color="auto"/>
        <w:bottom w:val="none" w:sz="0" w:space="0" w:color="auto"/>
        <w:right w:val="none" w:sz="0" w:space="0" w:color="auto"/>
      </w:divBdr>
      <w:divsChild>
        <w:div w:id="162018617">
          <w:marLeft w:val="0"/>
          <w:marRight w:val="0"/>
          <w:marTop w:val="0"/>
          <w:marBottom w:val="0"/>
          <w:divBdr>
            <w:top w:val="none" w:sz="0" w:space="0" w:color="auto"/>
            <w:left w:val="none" w:sz="0" w:space="0" w:color="auto"/>
            <w:bottom w:val="none" w:sz="0" w:space="0" w:color="auto"/>
            <w:right w:val="none" w:sz="0" w:space="0" w:color="auto"/>
          </w:divBdr>
        </w:div>
      </w:divsChild>
    </w:div>
    <w:div w:id="1907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du.gov.co/page/transparencia/informacion-de-intere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customXml/itemProps2.xml><?xml version="1.0" encoding="utf-8"?>
<ds:datastoreItem xmlns:ds="http://schemas.openxmlformats.org/officeDocument/2006/customXml" ds:itemID="{E4F7D1AF-155D-4D51-B315-BE94498E7427}">
  <ds:schemaRefs>
    <ds:schemaRef ds:uri="http://schemas.microsoft.com/sharepoint/v3/contenttype/forms"/>
  </ds:schemaRefs>
</ds:datastoreItem>
</file>

<file path=customXml/itemProps3.xml><?xml version="1.0" encoding="utf-8"?>
<ds:datastoreItem xmlns:ds="http://schemas.openxmlformats.org/officeDocument/2006/customXml" ds:itemID="{D7671E20-FFEB-40F9-A1D1-45A25211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78042-9A97-42B0-AF2E-C27B994A579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5496</Words>
  <Characters>30229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2022-04-19T16:56:00Z</dcterms:created>
  <dcterms:modified xsi:type="dcterms:W3CDTF">2022-04-19T16:56:00Z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