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43F14" w14:textId="4E91523A" w:rsidR="009816A2" w:rsidRPr="009E3B79"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E3B79">
        <w:rPr>
          <w:rFonts w:ascii="Arial" w:hAnsi="Arial" w:cs="Arial"/>
          <w:b/>
          <w:color w:val="000000" w:themeColor="text1"/>
          <w:sz w:val="16"/>
          <w:szCs w:val="16"/>
          <w:lang w:val="es-ES_tradnl" w:eastAsia="es-ES"/>
        </w:rPr>
        <w:t>CCE-DES-FM-17</w:t>
      </w:r>
      <w:bookmarkStart w:id="2" w:name="_Hlk50481752"/>
      <w:bookmarkEnd w:id="0"/>
      <w:bookmarkEnd w:id="1"/>
    </w:p>
    <w:p w14:paraId="3AC5CECC" w14:textId="77777777" w:rsidR="00E76C1B" w:rsidRPr="009E3B79" w:rsidRDefault="00E76C1B" w:rsidP="00787064">
      <w:pPr>
        <w:jc w:val="both"/>
        <w:rPr>
          <w:rFonts w:ascii="Arial" w:eastAsia="Calibri" w:hAnsi="Arial" w:cs="Arial"/>
          <w:b/>
          <w:color w:val="000000" w:themeColor="text1"/>
          <w:sz w:val="22"/>
          <w:szCs w:val="22"/>
          <w:lang w:val="es-ES_tradnl" w:eastAsia="en-US"/>
        </w:rPr>
      </w:pPr>
    </w:p>
    <w:p w14:paraId="04270F2F" w14:textId="61388EF0" w:rsidR="00572A7F" w:rsidRPr="009E3B79" w:rsidRDefault="00572A7F" w:rsidP="00572A7F">
      <w:pPr>
        <w:jc w:val="both"/>
        <w:rPr>
          <w:rFonts w:ascii="Arial" w:eastAsia="Calibri" w:hAnsi="Arial" w:cs="Arial"/>
          <w:b/>
          <w:bCs/>
          <w:color w:val="000000" w:themeColor="text1"/>
          <w:sz w:val="22"/>
          <w:szCs w:val="22"/>
          <w:lang w:val="es-ES_tradnl"/>
        </w:rPr>
      </w:pPr>
      <w:r w:rsidRPr="009E3B79">
        <w:rPr>
          <w:rFonts w:ascii="Arial" w:eastAsia="Calibri" w:hAnsi="Arial" w:cs="Arial"/>
          <w:b/>
          <w:bCs/>
          <w:color w:val="000000" w:themeColor="text1"/>
          <w:sz w:val="22"/>
          <w:szCs w:val="22"/>
          <w:lang w:val="es-ES_tradnl"/>
        </w:rPr>
        <w:t>DOCUMENTOS TIPO – Fundamento normativo</w:t>
      </w:r>
      <w:r w:rsidRPr="009E3B79">
        <w:rPr>
          <w:rFonts w:ascii="Arial" w:eastAsia="Calibri" w:hAnsi="Arial" w:cs="Arial"/>
          <w:b/>
          <w:color w:val="000000" w:themeColor="text1"/>
          <w:sz w:val="22"/>
          <w:szCs w:val="22"/>
        </w:rPr>
        <w:t xml:space="preserve"> </w:t>
      </w:r>
    </w:p>
    <w:p w14:paraId="697E2E40" w14:textId="77777777" w:rsidR="00572A7F" w:rsidRPr="009E3B79" w:rsidRDefault="00572A7F" w:rsidP="00572A7F">
      <w:pPr>
        <w:jc w:val="both"/>
        <w:rPr>
          <w:rFonts w:ascii="Arial" w:eastAsia="Calibri" w:hAnsi="Arial" w:cs="Arial"/>
          <w:b/>
          <w:bCs/>
          <w:color w:val="000000" w:themeColor="text1"/>
          <w:sz w:val="20"/>
          <w:szCs w:val="20"/>
          <w:lang w:val="es-ES_tradnl"/>
        </w:rPr>
      </w:pPr>
    </w:p>
    <w:p w14:paraId="28C14596" w14:textId="77777777" w:rsidR="00572A7F" w:rsidRPr="009E3B79" w:rsidRDefault="00572A7F" w:rsidP="00572A7F">
      <w:pPr>
        <w:shd w:val="clear" w:color="auto" w:fill="FFFFFF"/>
        <w:jc w:val="both"/>
        <w:rPr>
          <w:rFonts w:ascii="Arial" w:hAnsi="Arial" w:cs="Arial"/>
          <w:color w:val="0D0D0D"/>
          <w:sz w:val="20"/>
          <w:szCs w:val="20"/>
          <w:bdr w:val="none" w:sz="0" w:space="0" w:color="auto" w:frame="1"/>
          <w:lang w:val="es-MX" w:eastAsia="es-CO"/>
        </w:rPr>
      </w:pPr>
      <w:r w:rsidRPr="009E3B79">
        <w:rPr>
          <w:rFonts w:ascii="Arial" w:hAnsi="Arial" w:cs="Arial"/>
          <w:color w:val="0D0D0D"/>
          <w:sz w:val="20"/>
          <w:szCs w:val="20"/>
          <w:bdr w:val="none" w:sz="0" w:space="0" w:color="auto" w:frame="1"/>
          <w:lang w:val="es-MX" w:eastAsia="es-CO"/>
        </w:rPr>
        <w:t xml:space="preserv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E3B79">
        <w:rPr>
          <w:rFonts w:ascii="Arial" w:hAnsi="Arial" w:cs="Arial"/>
          <w:color w:val="0D0D0D"/>
          <w:sz w:val="20"/>
          <w:szCs w:val="20"/>
          <w:bdr w:val="none" w:sz="0" w:space="0" w:color="auto" w:frame="1"/>
          <w:lang w:val="es-MX" w:eastAsia="es-CO"/>
        </w:rPr>
        <w:t>ii</w:t>
      </w:r>
      <w:proofErr w:type="spellEnd"/>
      <w:r w:rsidRPr="009E3B79">
        <w:rPr>
          <w:rFonts w:ascii="Arial" w:hAnsi="Arial" w:cs="Arial"/>
          <w:color w:val="0D0D0D"/>
          <w:sz w:val="20"/>
          <w:szCs w:val="20"/>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E3B79">
        <w:rPr>
          <w:rFonts w:ascii="Arial" w:hAnsi="Arial" w:cs="Arial"/>
          <w:color w:val="0D0D0D"/>
          <w:sz w:val="20"/>
          <w:szCs w:val="20"/>
          <w:bdr w:val="none" w:sz="0" w:space="0" w:color="auto" w:frame="1"/>
          <w:lang w:val="es-MX" w:eastAsia="es-CO"/>
        </w:rPr>
        <w:t>iii</w:t>
      </w:r>
      <w:proofErr w:type="spellEnd"/>
      <w:r w:rsidRPr="009E3B79">
        <w:rPr>
          <w:rFonts w:ascii="Arial" w:hAnsi="Arial" w:cs="Arial"/>
          <w:color w:val="0D0D0D"/>
          <w:sz w:val="20"/>
          <w:szCs w:val="20"/>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9E3B79">
        <w:rPr>
          <w:rFonts w:ascii="Arial" w:hAnsi="Arial" w:cs="Arial"/>
          <w:color w:val="0D0D0D"/>
          <w:sz w:val="20"/>
          <w:szCs w:val="20"/>
          <w:bdr w:val="none" w:sz="0" w:space="0" w:color="auto" w:frame="1"/>
          <w:lang w:val="es-MX" w:eastAsia="es-CO"/>
        </w:rPr>
        <w:t>iv</w:t>
      </w:r>
      <w:proofErr w:type="spellEnd"/>
      <w:r w:rsidRPr="009E3B79">
        <w:rPr>
          <w:rFonts w:ascii="Arial" w:hAnsi="Arial" w:cs="Arial"/>
          <w:color w:val="0D0D0D"/>
          <w:sz w:val="20"/>
          <w:szCs w:val="20"/>
          <w:bdr w:val="none" w:sz="0" w:space="0" w:color="auto"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  </w:t>
      </w:r>
    </w:p>
    <w:p w14:paraId="3A3E53F1" w14:textId="77777777" w:rsidR="00572A7F" w:rsidRPr="009E3B79" w:rsidRDefault="00572A7F" w:rsidP="009816A2">
      <w:pPr>
        <w:jc w:val="both"/>
        <w:rPr>
          <w:rFonts w:ascii="Arial" w:eastAsia="Calibri" w:hAnsi="Arial" w:cs="Arial"/>
          <w:b/>
          <w:color w:val="000000" w:themeColor="text1"/>
          <w:sz w:val="22"/>
          <w:szCs w:val="22"/>
          <w:lang w:val="es-MX" w:eastAsia="en-US"/>
        </w:rPr>
      </w:pPr>
    </w:p>
    <w:p w14:paraId="149DCD84" w14:textId="6635D522" w:rsidR="004F620D" w:rsidRPr="009E3B79" w:rsidRDefault="004F620D" w:rsidP="009816A2">
      <w:pPr>
        <w:jc w:val="both"/>
        <w:rPr>
          <w:rFonts w:ascii="Arial" w:eastAsia="Calibri" w:hAnsi="Arial" w:cs="Arial"/>
          <w:b/>
          <w:color w:val="000000" w:themeColor="text1"/>
          <w:sz w:val="22"/>
          <w:szCs w:val="22"/>
          <w:lang w:val="es-MX" w:eastAsia="en-US"/>
        </w:rPr>
      </w:pPr>
      <w:r w:rsidRPr="009E3B79">
        <w:rPr>
          <w:rFonts w:ascii="Arial" w:eastAsia="Calibri" w:hAnsi="Arial" w:cs="Arial"/>
          <w:b/>
          <w:color w:val="000000" w:themeColor="text1"/>
          <w:sz w:val="22"/>
          <w:szCs w:val="22"/>
          <w:lang w:val="es-MX" w:eastAsia="en-US"/>
        </w:rPr>
        <w:t>CAPACIDAD RESIDUAL –</w:t>
      </w:r>
      <w:r w:rsidR="00101B42" w:rsidRPr="009E3B79">
        <w:rPr>
          <w:rFonts w:ascii="Arial" w:eastAsia="Calibri" w:hAnsi="Arial" w:cs="Arial"/>
          <w:b/>
          <w:color w:val="000000" w:themeColor="text1"/>
          <w:sz w:val="22"/>
          <w:szCs w:val="22"/>
          <w:lang w:val="es-MX" w:eastAsia="en-US"/>
        </w:rPr>
        <w:t xml:space="preserve"> </w:t>
      </w:r>
      <w:r w:rsidR="00E76C1B" w:rsidRPr="009E3B79">
        <w:rPr>
          <w:rFonts w:ascii="Arial" w:eastAsia="Calibri" w:hAnsi="Arial" w:cs="Arial"/>
          <w:b/>
          <w:bCs/>
          <w:sz w:val="22"/>
          <w:szCs w:val="22"/>
        </w:rPr>
        <w:t xml:space="preserve">Cálculo – Factores </w:t>
      </w:r>
    </w:p>
    <w:p w14:paraId="5932CA9F" w14:textId="77777777" w:rsidR="00E76C1B" w:rsidRPr="009E3B79" w:rsidRDefault="00E76C1B" w:rsidP="00E76C1B">
      <w:pPr>
        <w:jc w:val="both"/>
        <w:rPr>
          <w:rFonts w:ascii="Arial" w:eastAsia="Calibri" w:hAnsi="Arial" w:cs="Arial"/>
          <w:sz w:val="20"/>
          <w:szCs w:val="20"/>
          <w:lang w:val="es-MX" w:eastAsia="en-US"/>
        </w:rPr>
      </w:pPr>
    </w:p>
    <w:p w14:paraId="7244CE80" w14:textId="61B4B48D" w:rsidR="00E84DDD" w:rsidRPr="009E3B79" w:rsidRDefault="00E84DDD" w:rsidP="00E84DDD">
      <w:pPr>
        <w:jc w:val="both"/>
        <w:rPr>
          <w:rFonts w:ascii="Arial" w:eastAsia="Calibri" w:hAnsi="Arial" w:cs="Arial"/>
          <w:sz w:val="20"/>
          <w:szCs w:val="20"/>
          <w:lang w:val="es-MX" w:eastAsia="en-US"/>
        </w:rPr>
      </w:pPr>
      <w:r w:rsidRPr="009E3B79">
        <w:rPr>
          <w:rFonts w:ascii="Arial" w:eastAsia="Calibri" w:hAnsi="Arial" w:cs="Arial"/>
          <w:sz w:val="20"/>
          <w:szCs w:val="20"/>
          <w:lang w:val="es-MX" w:eastAsia="en-US"/>
        </w:rPr>
        <w:t xml:space="preserve">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9E3B79">
        <w:rPr>
          <w:rFonts w:ascii="Arial" w:eastAsia="Calibri" w:hAnsi="Arial" w:cs="Arial"/>
          <w:sz w:val="20"/>
          <w:szCs w:val="20"/>
          <w:lang w:val="es-MX" w:eastAsia="en-US"/>
        </w:rPr>
        <w:t>ii</w:t>
      </w:r>
      <w:proofErr w:type="spellEnd"/>
      <w:r w:rsidRPr="009E3B79">
        <w:rPr>
          <w:rFonts w:ascii="Arial" w:eastAsia="Calibri" w:hAnsi="Arial" w:cs="Arial"/>
          <w:sz w:val="20"/>
          <w:szCs w:val="20"/>
          <w:lang w:val="es-MX" w:eastAsia="en-US"/>
        </w:rPr>
        <w:t xml:space="preserve">) Capacidad Financiera –CF–, </w:t>
      </w:r>
      <w:proofErr w:type="spellStart"/>
      <w:r w:rsidRPr="009E3B79">
        <w:rPr>
          <w:rFonts w:ascii="Arial" w:eastAsia="Calibri" w:hAnsi="Arial" w:cs="Arial"/>
          <w:sz w:val="20"/>
          <w:szCs w:val="20"/>
          <w:lang w:val="es-MX" w:eastAsia="en-US"/>
        </w:rPr>
        <w:t>iii</w:t>
      </w:r>
      <w:proofErr w:type="spellEnd"/>
      <w:r w:rsidRPr="009E3B79">
        <w:rPr>
          <w:rFonts w:ascii="Arial" w:eastAsia="Calibri" w:hAnsi="Arial" w:cs="Arial"/>
          <w:sz w:val="20"/>
          <w:szCs w:val="20"/>
          <w:lang w:val="es-MX" w:eastAsia="en-US"/>
        </w:rPr>
        <w:t xml:space="preserve">) Capacidad Técnica –CT–, </w:t>
      </w:r>
      <w:proofErr w:type="spellStart"/>
      <w:r w:rsidRPr="009E3B79">
        <w:rPr>
          <w:rFonts w:ascii="Arial" w:eastAsia="Calibri" w:hAnsi="Arial" w:cs="Arial"/>
          <w:sz w:val="20"/>
          <w:szCs w:val="20"/>
          <w:lang w:val="es-MX" w:eastAsia="en-US"/>
        </w:rPr>
        <w:t>iv</w:t>
      </w:r>
      <w:proofErr w:type="spellEnd"/>
      <w:r w:rsidRPr="009E3B79">
        <w:rPr>
          <w:rFonts w:ascii="Arial" w:eastAsia="Calibri" w:hAnsi="Arial" w:cs="Arial"/>
          <w:sz w:val="20"/>
          <w:szCs w:val="20"/>
          <w:lang w:val="es-MX" w:eastAsia="en-US"/>
        </w:rPr>
        <w:t xml:space="preserve">) Capacidad de Organización y v) los Saldos de los Contratos en Ejecución –SCE–. 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9E3B79">
        <w:rPr>
          <w:rFonts w:ascii="Arial" w:eastAsia="Calibri" w:hAnsi="Arial" w:cs="Arial"/>
          <w:sz w:val="20"/>
          <w:szCs w:val="20"/>
          <w:lang w:val="es-MX" w:eastAsia="en-US"/>
        </w:rPr>
        <w:t>ii</w:t>
      </w:r>
      <w:proofErr w:type="spellEnd"/>
      <w:r w:rsidRPr="009E3B79">
        <w:rPr>
          <w:rFonts w:ascii="Arial" w:eastAsia="Calibri" w:hAnsi="Arial" w:cs="Arial"/>
          <w:sz w:val="20"/>
          <w:szCs w:val="20"/>
          <w:lang w:val="es-MX" w:eastAsia="en-US"/>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9E3B79">
        <w:rPr>
          <w:rFonts w:ascii="Arial" w:eastAsia="Calibri" w:hAnsi="Arial" w:cs="Arial"/>
          <w:sz w:val="20"/>
          <w:szCs w:val="20"/>
          <w:lang w:val="es-MX" w:eastAsia="en-US"/>
        </w:rPr>
        <w:t>iii</w:t>
      </w:r>
      <w:proofErr w:type="spellEnd"/>
      <w:r w:rsidRPr="009E3B79">
        <w:rPr>
          <w:rFonts w:ascii="Arial" w:eastAsia="Calibri" w:hAnsi="Arial" w:cs="Arial"/>
          <w:sz w:val="20"/>
          <w:szCs w:val="20"/>
          <w:lang w:val="es-MX" w:eastAsia="en-US"/>
        </w:rPr>
        <w:t>) el balance general auditado del año inmediatamente anterior y estado de resultados auditado del año en que haya obtenido el mayor ingreso operacional en los últimos cinco (5) años.</w:t>
      </w:r>
    </w:p>
    <w:p w14:paraId="5E3D83A4" w14:textId="78F004B7" w:rsidR="00E76C1B" w:rsidRPr="009E3B79" w:rsidRDefault="00E76C1B" w:rsidP="00E76C1B">
      <w:pPr>
        <w:jc w:val="both"/>
        <w:rPr>
          <w:rFonts w:ascii="Arial" w:eastAsia="Calibri" w:hAnsi="Arial" w:cs="Arial"/>
          <w:sz w:val="20"/>
          <w:szCs w:val="20"/>
          <w:lang w:val="es-MX" w:eastAsia="en-US"/>
        </w:rPr>
      </w:pPr>
    </w:p>
    <w:p w14:paraId="1979AB9A" w14:textId="68313BFB" w:rsidR="00E76C1B" w:rsidRPr="009E3B79" w:rsidRDefault="00E76C1B" w:rsidP="00E76C1B">
      <w:pPr>
        <w:autoSpaceDE w:val="0"/>
        <w:autoSpaceDN w:val="0"/>
        <w:adjustRightInd w:val="0"/>
        <w:jc w:val="both"/>
        <w:rPr>
          <w:rFonts w:ascii="Arial" w:eastAsia="Calibri" w:hAnsi="Arial" w:cs="Arial"/>
          <w:b/>
          <w:sz w:val="22"/>
          <w:szCs w:val="22"/>
        </w:rPr>
      </w:pPr>
      <w:r w:rsidRPr="009E3B79">
        <w:rPr>
          <w:rFonts w:ascii="Arial" w:eastAsia="Calibri" w:hAnsi="Arial" w:cs="Arial"/>
          <w:b/>
          <w:bCs/>
          <w:sz w:val="22"/>
          <w:szCs w:val="22"/>
        </w:rPr>
        <w:t xml:space="preserve">CAPACIDAD RESIDUAL – Saldos de Contratos en Ejecución </w:t>
      </w:r>
      <w:r w:rsidRPr="009E3B79">
        <w:rPr>
          <w:rFonts w:ascii="Arial" w:eastAsia="Calibri" w:hAnsi="Arial" w:cs="Arial"/>
          <w:b/>
          <w:color w:val="000000" w:themeColor="text1"/>
          <w:sz w:val="22"/>
          <w:szCs w:val="22"/>
          <w:lang w:eastAsia="en-US"/>
        </w:rPr>
        <w:t xml:space="preserve">«SCE» </w:t>
      </w:r>
      <w:r w:rsidRPr="009E3B79">
        <w:rPr>
          <w:rFonts w:ascii="Arial" w:eastAsia="Calibri" w:hAnsi="Arial" w:cs="Arial"/>
          <w:b/>
          <w:bCs/>
          <w:sz w:val="22"/>
          <w:szCs w:val="22"/>
        </w:rPr>
        <w:t>– Contratos de obra</w:t>
      </w:r>
    </w:p>
    <w:p w14:paraId="2AF1CE07" w14:textId="77777777" w:rsidR="00E76C1B" w:rsidRPr="009E3B79" w:rsidRDefault="00E76C1B" w:rsidP="00E76C1B">
      <w:pPr>
        <w:jc w:val="both"/>
        <w:rPr>
          <w:rFonts w:ascii="Arial" w:eastAsia="Calibri" w:hAnsi="Arial" w:cs="Arial"/>
          <w:sz w:val="20"/>
          <w:szCs w:val="20"/>
          <w:lang w:eastAsia="en-US"/>
        </w:rPr>
      </w:pPr>
    </w:p>
    <w:p w14:paraId="57A8B95B" w14:textId="2ACD6F8D" w:rsidR="00E76C1B" w:rsidRPr="009E3B79" w:rsidRDefault="00E76C1B" w:rsidP="00E84DDD">
      <w:pPr>
        <w:jc w:val="both"/>
        <w:rPr>
          <w:rFonts w:ascii="Arial" w:eastAsia="Calibri" w:hAnsi="Arial" w:cs="Arial"/>
          <w:bCs/>
          <w:color w:val="000000" w:themeColor="text1"/>
          <w:sz w:val="20"/>
          <w:szCs w:val="20"/>
        </w:rPr>
      </w:pPr>
      <w:r w:rsidRPr="009E3B79">
        <w:rPr>
          <w:rFonts w:ascii="Arial" w:eastAsia="Calibri" w:hAnsi="Arial" w:cs="Arial"/>
          <w:bCs/>
          <w:color w:val="000000" w:themeColor="text1"/>
          <w:sz w:val="20"/>
          <w:szCs w:val="20"/>
        </w:rPr>
        <w:t xml:space="preserve">[…], </w:t>
      </w:r>
      <w:r w:rsidR="00E84DDD" w:rsidRPr="009E3B79">
        <w:rPr>
          <w:rFonts w:ascii="Arial" w:eastAsia="Calibri" w:hAnsi="Arial" w:cs="Arial"/>
          <w:bCs/>
          <w:color w:val="000000" w:themeColor="text1"/>
          <w:sz w:val="20"/>
          <w:szCs w:val="20"/>
        </w:rPr>
        <w:t xml:space="preserve">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00E84DDD" w:rsidRPr="009E3B79">
        <w:rPr>
          <w:rFonts w:ascii="Arial" w:eastAsia="Calibri" w:hAnsi="Arial" w:cs="Arial"/>
          <w:b/>
          <w:bCs/>
          <w:color w:val="000000" w:themeColor="text1"/>
          <w:sz w:val="20"/>
          <w:szCs w:val="20"/>
        </w:rPr>
        <w:t>«</w:t>
      </w:r>
      <w:r w:rsidR="00E84DDD" w:rsidRPr="009E3B79">
        <w:rPr>
          <w:rFonts w:ascii="Arial" w:eastAsia="Calibri" w:hAnsi="Arial" w:cs="Arial"/>
          <w:bCs/>
          <w:color w:val="000000" w:themeColor="text1"/>
          <w:sz w:val="20"/>
          <w:szCs w:val="20"/>
        </w:rPr>
        <w:t>CRP</w:t>
      </w:r>
      <w:r w:rsidR="00E84DDD" w:rsidRPr="009E3B79">
        <w:rPr>
          <w:rFonts w:ascii="Arial" w:eastAsia="Calibri" w:hAnsi="Arial" w:cs="Arial"/>
          <w:b/>
          <w:bCs/>
          <w:color w:val="000000" w:themeColor="text1"/>
          <w:sz w:val="20"/>
          <w:szCs w:val="20"/>
        </w:rPr>
        <w:t>»</w:t>
      </w:r>
      <w:r w:rsidR="00E84DDD" w:rsidRPr="009E3B79">
        <w:rPr>
          <w:rFonts w:ascii="Arial" w:eastAsia="Calibri" w:hAnsi="Arial" w:cs="Arial"/>
          <w:bCs/>
          <w:color w:val="000000" w:themeColor="text1"/>
          <w:sz w:val="20"/>
          <w:szCs w:val="20"/>
        </w:rPr>
        <w:t xml:space="preserve">. </w:t>
      </w:r>
    </w:p>
    <w:p w14:paraId="3C537E69" w14:textId="77777777" w:rsidR="004D1DF5" w:rsidRPr="009E3B79" w:rsidRDefault="004D1DF5" w:rsidP="004D1DF5">
      <w:pPr>
        <w:jc w:val="both"/>
        <w:rPr>
          <w:rFonts w:ascii="Arial" w:eastAsia="Calibri" w:hAnsi="Arial" w:cs="Arial"/>
          <w:sz w:val="20"/>
          <w:szCs w:val="20"/>
          <w:lang w:val="es-MX" w:eastAsia="en-US"/>
        </w:rPr>
      </w:pPr>
    </w:p>
    <w:p w14:paraId="6A254AF9" w14:textId="00A71BC6" w:rsidR="004D1DF5" w:rsidRPr="009E3B79" w:rsidRDefault="00485A0D" w:rsidP="004D1DF5">
      <w:pPr>
        <w:autoSpaceDE w:val="0"/>
        <w:autoSpaceDN w:val="0"/>
        <w:adjustRightInd w:val="0"/>
        <w:jc w:val="both"/>
        <w:rPr>
          <w:rFonts w:ascii="Arial" w:eastAsia="Calibri" w:hAnsi="Arial" w:cs="Arial"/>
          <w:b/>
          <w:sz w:val="22"/>
          <w:szCs w:val="22"/>
        </w:rPr>
      </w:pPr>
      <w:r w:rsidRPr="009E3B79">
        <w:rPr>
          <w:rFonts w:ascii="Arial" w:eastAsia="Calibri" w:hAnsi="Arial" w:cs="Arial"/>
          <w:b/>
          <w:bCs/>
          <w:sz w:val="22"/>
          <w:szCs w:val="22"/>
        </w:rPr>
        <w:t>RECEPCIÓN DE LA OBRA</w:t>
      </w:r>
      <w:r w:rsidR="004D1DF5" w:rsidRPr="009E3B79">
        <w:rPr>
          <w:rFonts w:ascii="Arial" w:eastAsia="Calibri" w:hAnsi="Arial" w:cs="Arial"/>
          <w:b/>
          <w:bCs/>
          <w:sz w:val="22"/>
          <w:szCs w:val="22"/>
        </w:rPr>
        <w:t xml:space="preserve"> – </w:t>
      </w:r>
      <w:r w:rsidRPr="009E3B79">
        <w:rPr>
          <w:rFonts w:ascii="Arial" w:eastAsia="Calibri" w:hAnsi="Arial" w:cs="Arial"/>
          <w:b/>
          <w:bCs/>
          <w:sz w:val="22"/>
          <w:szCs w:val="22"/>
        </w:rPr>
        <w:t>Reservas</w:t>
      </w:r>
      <w:r w:rsidR="004D1DF5" w:rsidRPr="009E3B79">
        <w:rPr>
          <w:rFonts w:ascii="Arial" w:eastAsia="Calibri" w:hAnsi="Arial" w:cs="Arial"/>
          <w:b/>
          <w:color w:val="000000" w:themeColor="text1"/>
          <w:sz w:val="22"/>
          <w:szCs w:val="22"/>
          <w:lang w:eastAsia="en-US"/>
        </w:rPr>
        <w:t xml:space="preserve"> </w:t>
      </w:r>
      <w:r w:rsidR="004D1DF5" w:rsidRPr="009E3B79">
        <w:rPr>
          <w:rFonts w:ascii="Arial" w:eastAsia="Calibri" w:hAnsi="Arial" w:cs="Arial"/>
          <w:b/>
          <w:bCs/>
          <w:sz w:val="22"/>
          <w:szCs w:val="22"/>
        </w:rPr>
        <w:t xml:space="preserve">– </w:t>
      </w:r>
      <w:r w:rsidRPr="009E3B79">
        <w:rPr>
          <w:rFonts w:ascii="Arial" w:eastAsia="Calibri" w:hAnsi="Arial" w:cs="Arial"/>
          <w:b/>
          <w:bCs/>
          <w:sz w:val="22"/>
          <w:szCs w:val="22"/>
        </w:rPr>
        <w:t>Actividades fuera del plazo contractual</w:t>
      </w:r>
    </w:p>
    <w:p w14:paraId="33BA2194" w14:textId="77777777" w:rsidR="004D1DF5" w:rsidRPr="009E3B79" w:rsidRDefault="004D1DF5" w:rsidP="004D1DF5">
      <w:pPr>
        <w:jc w:val="both"/>
        <w:rPr>
          <w:rFonts w:ascii="Arial" w:eastAsia="Calibri" w:hAnsi="Arial" w:cs="Arial"/>
          <w:sz w:val="20"/>
          <w:szCs w:val="20"/>
          <w:lang w:eastAsia="en-US"/>
        </w:rPr>
      </w:pPr>
    </w:p>
    <w:p w14:paraId="6C8D9A47" w14:textId="4BB1BBBC" w:rsidR="00485A0D" w:rsidRPr="009E3B79" w:rsidRDefault="004D1DF5" w:rsidP="00485A0D">
      <w:pPr>
        <w:jc w:val="both"/>
        <w:rPr>
          <w:rFonts w:ascii="Arial" w:eastAsia="Calibri" w:hAnsi="Arial" w:cs="Arial"/>
          <w:bCs/>
          <w:color w:val="000000" w:themeColor="text1"/>
          <w:sz w:val="20"/>
          <w:szCs w:val="20"/>
        </w:rPr>
      </w:pPr>
      <w:r w:rsidRPr="009E3B79">
        <w:rPr>
          <w:rFonts w:ascii="Arial" w:eastAsia="Calibri" w:hAnsi="Arial" w:cs="Arial"/>
          <w:bCs/>
          <w:color w:val="000000" w:themeColor="text1"/>
          <w:sz w:val="20"/>
          <w:szCs w:val="20"/>
        </w:rPr>
        <w:t>[…]</w:t>
      </w:r>
      <w:r w:rsidR="00485A0D" w:rsidRPr="009E3B79">
        <w:rPr>
          <w:rFonts w:ascii="Arial" w:eastAsia="Calibri" w:hAnsi="Arial" w:cs="Arial"/>
          <w:bCs/>
          <w:color w:val="000000" w:themeColor="text1"/>
          <w:sz w:val="20"/>
          <w:szCs w:val="20"/>
        </w:rPr>
        <w:t xml:space="preserve"> al finalizar término pactado por las partes, puede que el contratista no entregue la totalidad del objeto contractual. En estos casos, normalmente, el contratante recibe la obra con reservas. Para la doctrina, este tipo de recepción «[…] debe limitarse única y exclusivamente a aquellos vicios o </w:t>
      </w:r>
      <w:r w:rsidR="00485A0D" w:rsidRPr="009E3B79">
        <w:rPr>
          <w:rFonts w:ascii="Arial" w:eastAsia="Calibri" w:hAnsi="Arial" w:cs="Arial"/>
          <w:bCs/>
          <w:color w:val="000000" w:themeColor="text1"/>
          <w:sz w:val="20"/>
          <w:szCs w:val="20"/>
        </w:rPr>
        <w:lastRenderedPageBreak/>
        <w:t xml:space="preserve">defectos de construcción que no tengan cierta trascendencia o importancia (defectos de terminación y acabado), </w:t>
      </w:r>
      <w:proofErr w:type="gramStart"/>
      <w:r w:rsidR="00485A0D" w:rsidRPr="009E3B79">
        <w:rPr>
          <w:rFonts w:ascii="Arial" w:eastAsia="Calibri" w:hAnsi="Arial" w:cs="Arial"/>
          <w:bCs/>
          <w:color w:val="000000" w:themeColor="text1"/>
          <w:sz w:val="20"/>
          <w:szCs w:val="20"/>
        </w:rPr>
        <w:t>puesto que</w:t>
      </w:r>
      <w:proofErr w:type="gramEnd"/>
      <w:r w:rsidR="00485A0D" w:rsidRPr="009E3B79">
        <w:rPr>
          <w:rFonts w:ascii="Arial" w:eastAsia="Calibri" w:hAnsi="Arial" w:cs="Arial"/>
          <w:bCs/>
          <w:color w:val="000000" w:themeColor="text1"/>
          <w:sz w:val="20"/>
          <w:szCs w:val="20"/>
        </w:rPr>
        <w:t xml:space="preserve"> si la obra padece de graves defectos constructivos, el promotor podrá rechazar la misma […]». </w:t>
      </w:r>
    </w:p>
    <w:p w14:paraId="7C7BF6A2" w14:textId="77777777" w:rsidR="00485A0D" w:rsidRPr="009E3B79" w:rsidRDefault="00485A0D" w:rsidP="00485A0D">
      <w:pPr>
        <w:jc w:val="both"/>
        <w:rPr>
          <w:rFonts w:ascii="Arial" w:eastAsia="Calibri" w:hAnsi="Arial" w:cs="Arial"/>
          <w:bCs/>
          <w:color w:val="000000" w:themeColor="text1"/>
          <w:sz w:val="20"/>
          <w:szCs w:val="20"/>
        </w:rPr>
      </w:pPr>
    </w:p>
    <w:p w14:paraId="0F648BBC" w14:textId="2493D306" w:rsidR="00485A0D" w:rsidRPr="009E3B79" w:rsidRDefault="00485A0D" w:rsidP="00485A0D">
      <w:pPr>
        <w:jc w:val="both"/>
        <w:rPr>
          <w:rFonts w:ascii="Arial" w:eastAsia="Calibri" w:hAnsi="Arial" w:cs="Arial"/>
          <w:bCs/>
          <w:color w:val="000000" w:themeColor="text1"/>
          <w:sz w:val="20"/>
          <w:szCs w:val="20"/>
          <w:lang w:val="es-ES"/>
        </w:rPr>
      </w:pPr>
      <w:r w:rsidRPr="009E3B79">
        <w:rPr>
          <w:rFonts w:ascii="Arial" w:eastAsia="Calibri" w:hAnsi="Arial" w:cs="Arial"/>
          <w:bCs/>
          <w:color w:val="000000" w:themeColor="text1"/>
          <w:sz w:val="20"/>
          <w:szCs w:val="20"/>
        </w:rPr>
        <w:t xml:space="preserve">De esta manera, la declaración de recibo con reservas debe especificar tanto las deficiencias de la obra como el plazo en que tiene el constructor para subsanarlas. Esta hipótesis supone la ejecución de actividades fuera del plazo contractual, lo cual es posible en la medida que </w:t>
      </w:r>
      <w:r w:rsidRPr="009E3B79">
        <w:rPr>
          <w:rFonts w:ascii="Arial" w:eastAsia="Calibri" w:hAnsi="Arial" w:cs="Arial"/>
          <w:bCs/>
          <w:color w:val="000000" w:themeColor="text1"/>
          <w:sz w:val="20"/>
          <w:szCs w:val="20"/>
          <w:lang w:val="es-ES"/>
        </w:rPr>
        <w:t>no toda finalización del plazo contractual extingue el negocio jurídico: por regla general, el contrato permanece vigente mientras siga pendiente el cumplimiento de las obligaciones a cargo de las partes.</w:t>
      </w:r>
    </w:p>
    <w:p w14:paraId="56134CF1" w14:textId="3D7BA97E" w:rsidR="00485A0D" w:rsidRPr="009E3B79" w:rsidRDefault="00485A0D" w:rsidP="00485A0D">
      <w:pPr>
        <w:jc w:val="both"/>
        <w:rPr>
          <w:rFonts w:ascii="Arial" w:eastAsia="Calibri" w:hAnsi="Arial" w:cs="Arial"/>
          <w:bCs/>
          <w:color w:val="000000" w:themeColor="text1"/>
          <w:sz w:val="20"/>
          <w:szCs w:val="20"/>
          <w:lang w:val="es-ES"/>
        </w:rPr>
      </w:pPr>
    </w:p>
    <w:p w14:paraId="566C2022" w14:textId="2DD77C38" w:rsidR="00485A0D" w:rsidRPr="009E3B79" w:rsidRDefault="00485A0D" w:rsidP="00485A0D">
      <w:pPr>
        <w:autoSpaceDE w:val="0"/>
        <w:autoSpaceDN w:val="0"/>
        <w:adjustRightInd w:val="0"/>
        <w:jc w:val="both"/>
        <w:rPr>
          <w:rFonts w:ascii="Arial" w:eastAsia="Calibri" w:hAnsi="Arial" w:cs="Arial"/>
          <w:b/>
          <w:sz w:val="22"/>
          <w:szCs w:val="22"/>
        </w:rPr>
      </w:pPr>
      <w:r w:rsidRPr="009E3B79">
        <w:rPr>
          <w:rFonts w:ascii="Arial" w:eastAsia="Calibri" w:hAnsi="Arial" w:cs="Arial"/>
          <w:b/>
          <w:bCs/>
          <w:sz w:val="22"/>
          <w:szCs w:val="22"/>
        </w:rPr>
        <w:t>ACTA DE TERMINACIÓN – Actividades pendientes – Plazo contractual – Vencimiento – Estado de liquidación – Capacidad residual</w:t>
      </w:r>
    </w:p>
    <w:p w14:paraId="0D19A85F" w14:textId="77777777" w:rsidR="00485A0D" w:rsidRPr="009E3B79" w:rsidRDefault="00485A0D" w:rsidP="00485A0D">
      <w:pPr>
        <w:jc w:val="both"/>
        <w:rPr>
          <w:rFonts w:ascii="Arial" w:eastAsia="Calibri" w:hAnsi="Arial" w:cs="Arial"/>
          <w:sz w:val="20"/>
          <w:szCs w:val="20"/>
          <w:lang w:eastAsia="en-US"/>
        </w:rPr>
      </w:pPr>
    </w:p>
    <w:p w14:paraId="7C8F073A" w14:textId="77777777" w:rsidR="008D5B7E" w:rsidRPr="009E3B79" w:rsidRDefault="00485A0D" w:rsidP="008D5B7E">
      <w:pPr>
        <w:jc w:val="both"/>
        <w:rPr>
          <w:rFonts w:ascii="Arial" w:eastAsia="Calibri" w:hAnsi="Arial" w:cs="Arial"/>
          <w:bCs/>
          <w:color w:val="000000" w:themeColor="text1"/>
          <w:sz w:val="20"/>
          <w:szCs w:val="20"/>
          <w:lang w:val="es-ES"/>
        </w:rPr>
      </w:pPr>
      <w:r w:rsidRPr="009E3B79">
        <w:rPr>
          <w:rFonts w:ascii="Arial" w:eastAsia="Calibri" w:hAnsi="Arial" w:cs="Arial"/>
          <w:bCs/>
          <w:color w:val="000000" w:themeColor="text1"/>
          <w:sz w:val="20"/>
          <w:szCs w:val="20"/>
        </w:rPr>
        <w:t xml:space="preserve">[…] </w:t>
      </w:r>
      <w:r w:rsidRPr="009E3B79">
        <w:rPr>
          <w:rFonts w:ascii="Arial" w:eastAsia="Calibri" w:hAnsi="Arial" w:cs="Arial"/>
          <w:bCs/>
          <w:color w:val="000000" w:themeColor="text1"/>
          <w:sz w:val="20"/>
          <w:szCs w:val="20"/>
          <w:lang w:val="es-ES"/>
        </w:rPr>
        <w:t xml:space="preserve">a la luz del artículo 11 de la Ley 1150 de 2007, </w:t>
      </w:r>
      <w:r w:rsidR="008D5B7E" w:rsidRPr="009E3B79">
        <w:rPr>
          <w:rFonts w:ascii="Arial" w:eastAsia="Calibri" w:hAnsi="Arial" w:cs="Arial"/>
          <w:bCs/>
          <w:color w:val="000000" w:themeColor="text1"/>
          <w:sz w:val="20"/>
          <w:szCs w:val="20"/>
          <w:lang w:val="es-ES"/>
        </w:rPr>
        <w:t xml:space="preserve">dada la naturaleza legal de los plazos para realizar la liquidación del contrato estatal, el cómputo de los mismos inicia una vez cumplido el plazo de ejecución del negocio jurídico, independientemente del cumplimiento integral o no de las prestaciones debidas. De hecho, la ejecución tardía de algunas de las obligaciones a cargo del contratista no conlleva a la ampliación de los plazos establecidos en el ordenamiento jurídico para realizar la correspondiente liquidación del contrato. Por tanto, terminado el plazo de ejecución, si la entidad expide el acta de terminación con actividades pendientes a cargo del constructor, el contrato se encuentra en estado de liquidación conforme al </w:t>
      </w:r>
      <w:r w:rsidR="008D5B7E" w:rsidRPr="009E3B79">
        <w:rPr>
          <w:rFonts w:ascii="Arial" w:eastAsia="Calibri" w:hAnsi="Arial" w:cs="Arial"/>
          <w:bCs/>
          <w:color w:val="000000" w:themeColor="text1"/>
          <w:sz w:val="20"/>
          <w:szCs w:val="20"/>
        </w:rPr>
        <w:t xml:space="preserve">artículo 11 de la Ley 1150 de 2007. En consecuencia, de acuerdo con el literal E del numeral 3.10.2 del pliego de condiciones de los </w:t>
      </w:r>
      <w:r w:rsidR="008D5B7E" w:rsidRPr="009E3B79">
        <w:rPr>
          <w:rFonts w:ascii="Arial" w:eastAsia="Calibri" w:hAnsi="Arial" w:cs="Arial"/>
          <w:bCs/>
          <w:color w:val="000000" w:themeColor="text1"/>
          <w:sz w:val="20"/>
          <w:szCs w:val="20"/>
          <w:lang w:val="es-ES_tradnl"/>
        </w:rPr>
        <w:t xml:space="preserve">«Documentos Tipo – Versión 3» de licitación de obra pública de infraestructura de transporte, un contrato en estas condiciones no podría afectar el factor «SCE» para el cálculo de la capacidad residual, pues </w:t>
      </w:r>
      <w:r w:rsidR="008D5B7E" w:rsidRPr="009E3B79">
        <w:rPr>
          <w:rFonts w:ascii="Arial" w:eastAsia="Calibri" w:hAnsi="Arial" w:cs="Arial"/>
          <w:bCs/>
          <w:color w:val="000000" w:themeColor="text1"/>
          <w:sz w:val="20"/>
          <w:szCs w:val="20"/>
          <w:lang w:val="es-MX"/>
        </w:rPr>
        <w:t xml:space="preserve">«[…] </w:t>
      </w:r>
      <w:r w:rsidR="008D5B7E" w:rsidRPr="009E3B79">
        <w:rPr>
          <w:rFonts w:ascii="Arial" w:eastAsia="Calibri" w:hAnsi="Arial" w:cs="Arial"/>
          <w:bCs/>
          <w:color w:val="000000" w:themeColor="text1"/>
          <w:sz w:val="20"/>
          <w:szCs w:val="20"/>
        </w:rPr>
        <w:t xml:space="preserve">No se entenderán como contratos en ejecución los que se encuentren en liquidación». </w:t>
      </w:r>
    </w:p>
    <w:p w14:paraId="2C5D0D32" w14:textId="16154903" w:rsidR="00485A0D" w:rsidRPr="009E3B79" w:rsidRDefault="00485A0D" w:rsidP="008D5B7E">
      <w:pPr>
        <w:jc w:val="both"/>
        <w:rPr>
          <w:rFonts w:ascii="Arial" w:eastAsia="Calibri" w:hAnsi="Arial" w:cs="Arial"/>
          <w:bCs/>
          <w:color w:val="000000" w:themeColor="text1"/>
          <w:sz w:val="20"/>
          <w:szCs w:val="20"/>
        </w:rPr>
      </w:pPr>
    </w:p>
    <w:p w14:paraId="4C222ED9" w14:textId="77777777" w:rsidR="00485A0D" w:rsidRPr="009E3B79" w:rsidRDefault="00485A0D" w:rsidP="00485A0D">
      <w:pPr>
        <w:jc w:val="both"/>
        <w:rPr>
          <w:rFonts w:ascii="Arial" w:eastAsia="Calibri" w:hAnsi="Arial" w:cs="Arial"/>
          <w:bCs/>
          <w:color w:val="000000" w:themeColor="text1"/>
          <w:sz w:val="20"/>
          <w:szCs w:val="20"/>
          <w:lang w:val="es-ES"/>
        </w:rPr>
      </w:pPr>
    </w:p>
    <w:p w14:paraId="48C02251" w14:textId="0DF16115" w:rsidR="00485A0D" w:rsidRPr="009E3B79" w:rsidRDefault="00485A0D" w:rsidP="00485A0D">
      <w:pPr>
        <w:jc w:val="both"/>
        <w:rPr>
          <w:rFonts w:ascii="Arial" w:eastAsia="Calibri" w:hAnsi="Arial" w:cs="Arial"/>
          <w:bCs/>
          <w:color w:val="000000" w:themeColor="text1"/>
          <w:sz w:val="20"/>
          <w:szCs w:val="20"/>
          <w:lang w:val="es-ES"/>
        </w:rPr>
      </w:pPr>
    </w:p>
    <w:p w14:paraId="00262C70" w14:textId="77777777" w:rsidR="00485A0D" w:rsidRPr="009E3B79" w:rsidRDefault="00485A0D" w:rsidP="00485A0D">
      <w:pPr>
        <w:jc w:val="both"/>
        <w:rPr>
          <w:rFonts w:ascii="Arial" w:eastAsia="Calibri" w:hAnsi="Arial" w:cs="Arial"/>
          <w:bCs/>
          <w:color w:val="000000" w:themeColor="text1"/>
          <w:sz w:val="20"/>
          <w:szCs w:val="20"/>
          <w:lang w:val="es-ES"/>
        </w:rPr>
      </w:pPr>
    </w:p>
    <w:p w14:paraId="06A6EC8E" w14:textId="1F515B2E" w:rsidR="004D1DF5" w:rsidRPr="009E3B79" w:rsidRDefault="004D1DF5" w:rsidP="004D1DF5">
      <w:pPr>
        <w:jc w:val="both"/>
        <w:rPr>
          <w:rFonts w:ascii="Arial" w:eastAsia="Calibri" w:hAnsi="Arial" w:cs="Arial"/>
          <w:bCs/>
          <w:color w:val="000000" w:themeColor="text1"/>
          <w:sz w:val="20"/>
          <w:szCs w:val="20"/>
        </w:rPr>
      </w:pPr>
    </w:p>
    <w:p w14:paraId="4311F945" w14:textId="77777777" w:rsidR="004D1DF5" w:rsidRPr="009E3B79" w:rsidRDefault="004D1DF5" w:rsidP="00787064">
      <w:pPr>
        <w:jc w:val="both"/>
        <w:rPr>
          <w:rFonts w:ascii="Arial" w:eastAsia="Calibri" w:hAnsi="Arial" w:cs="Arial"/>
          <w:bCs/>
          <w:color w:val="000000" w:themeColor="text1"/>
          <w:sz w:val="20"/>
          <w:szCs w:val="20"/>
          <w:lang w:val="es-ES"/>
        </w:rPr>
      </w:pPr>
    </w:p>
    <w:bookmarkEnd w:id="2"/>
    <w:p w14:paraId="4BE6B942" w14:textId="12002EF0" w:rsidR="0072584F" w:rsidRPr="009E3B79" w:rsidRDefault="0072584F" w:rsidP="00120CBD">
      <w:pPr>
        <w:jc w:val="both"/>
        <w:rPr>
          <w:rFonts w:ascii="Arial" w:eastAsia="Calibri" w:hAnsi="Arial" w:cs="Arial"/>
          <w:b/>
          <w:bCs/>
          <w:color w:val="000000" w:themeColor="text1"/>
          <w:sz w:val="22"/>
          <w:lang w:val="es-ES_tradnl"/>
        </w:rPr>
      </w:pPr>
    </w:p>
    <w:p w14:paraId="2C157100" w14:textId="4D9CCF3C" w:rsidR="00BC3ABB" w:rsidRPr="009E3B79" w:rsidRDefault="00BC3ABB" w:rsidP="00120CBD">
      <w:pPr>
        <w:jc w:val="both"/>
        <w:rPr>
          <w:rFonts w:ascii="Arial" w:eastAsia="Calibri" w:hAnsi="Arial" w:cs="Arial"/>
          <w:b/>
          <w:bCs/>
          <w:color w:val="000000" w:themeColor="text1"/>
          <w:sz w:val="22"/>
          <w:lang w:val="es-ES_tradnl"/>
        </w:rPr>
      </w:pPr>
    </w:p>
    <w:p w14:paraId="13C72085" w14:textId="59373B1F" w:rsidR="00BC3ABB" w:rsidRPr="009E3B79" w:rsidRDefault="00BC3ABB" w:rsidP="00120CBD">
      <w:pPr>
        <w:jc w:val="both"/>
        <w:rPr>
          <w:rFonts w:ascii="Arial" w:eastAsia="Calibri" w:hAnsi="Arial" w:cs="Arial"/>
          <w:b/>
          <w:bCs/>
          <w:color w:val="000000" w:themeColor="text1"/>
          <w:sz w:val="22"/>
          <w:lang w:val="es-ES_tradnl"/>
        </w:rPr>
      </w:pPr>
    </w:p>
    <w:p w14:paraId="36E405EE" w14:textId="64C443FD" w:rsidR="00BC3ABB" w:rsidRPr="009E3B79" w:rsidRDefault="00BC3ABB" w:rsidP="00120CBD">
      <w:pPr>
        <w:jc w:val="both"/>
        <w:rPr>
          <w:rFonts w:ascii="Arial" w:eastAsia="Calibri" w:hAnsi="Arial" w:cs="Arial"/>
          <w:b/>
          <w:bCs/>
          <w:color w:val="000000" w:themeColor="text1"/>
          <w:sz w:val="22"/>
          <w:lang w:val="es-ES_tradnl"/>
        </w:rPr>
      </w:pPr>
    </w:p>
    <w:p w14:paraId="58713A85" w14:textId="0ADED297" w:rsidR="00BC3ABB" w:rsidRPr="009E3B79" w:rsidRDefault="00BC3ABB" w:rsidP="00120CBD">
      <w:pPr>
        <w:jc w:val="both"/>
        <w:rPr>
          <w:rFonts w:ascii="Arial" w:eastAsia="Calibri" w:hAnsi="Arial" w:cs="Arial"/>
          <w:b/>
          <w:bCs/>
          <w:color w:val="000000" w:themeColor="text1"/>
          <w:sz w:val="22"/>
          <w:lang w:val="es-ES_tradnl"/>
        </w:rPr>
      </w:pPr>
    </w:p>
    <w:p w14:paraId="2141AF44" w14:textId="6FED9752" w:rsidR="00BC3ABB" w:rsidRPr="009E3B79" w:rsidRDefault="00BC3ABB" w:rsidP="00120CBD">
      <w:pPr>
        <w:jc w:val="both"/>
        <w:rPr>
          <w:rFonts w:ascii="Arial" w:eastAsia="Calibri" w:hAnsi="Arial" w:cs="Arial"/>
          <w:b/>
          <w:bCs/>
          <w:color w:val="000000" w:themeColor="text1"/>
          <w:sz w:val="22"/>
          <w:lang w:val="es-ES_tradnl"/>
        </w:rPr>
      </w:pPr>
    </w:p>
    <w:p w14:paraId="08D319E8" w14:textId="2595892A" w:rsidR="00BC3ABB" w:rsidRPr="009E3B79" w:rsidRDefault="00BC3ABB" w:rsidP="00120CBD">
      <w:pPr>
        <w:jc w:val="both"/>
        <w:rPr>
          <w:rFonts w:ascii="Arial" w:eastAsia="Calibri" w:hAnsi="Arial" w:cs="Arial"/>
          <w:b/>
          <w:bCs/>
          <w:color w:val="000000" w:themeColor="text1"/>
          <w:sz w:val="22"/>
          <w:lang w:val="es-ES_tradnl"/>
        </w:rPr>
      </w:pPr>
    </w:p>
    <w:p w14:paraId="74BBC65A" w14:textId="62B57071" w:rsidR="00BC3ABB" w:rsidRPr="009E3B79" w:rsidRDefault="00BC3ABB" w:rsidP="00120CBD">
      <w:pPr>
        <w:jc w:val="both"/>
        <w:rPr>
          <w:rFonts w:ascii="Arial" w:eastAsia="Calibri" w:hAnsi="Arial" w:cs="Arial"/>
          <w:b/>
          <w:bCs/>
          <w:color w:val="000000" w:themeColor="text1"/>
          <w:sz w:val="22"/>
          <w:lang w:val="es-ES_tradnl"/>
        </w:rPr>
      </w:pPr>
    </w:p>
    <w:p w14:paraId="65A781BB" w14:textId="6628C53D" w:rsidR="00BC3ABB" w:rsidRPr="009E3B79" w:rsidRDefault="00BC3ABB" w:rsidP="00120CBD">
      <w:pPr>
        <w:jc w:val="both"/>
        <w:rPr>
          <w:rFonts w:ascii="Arial" w:eastAsia="Calibri" w:hAnsi="Arial" w:cs="Arial"/>
          <w:b/>
          <w:bCs/>
          <w:color w:val="000000" w:themeColor="text1"/>
          <w:sz w:val="22"/>
          <w:lang w:val="es-ES_tradnl"/>
        </w:rPr>
      </w:pPr>
    </w:p>
    <w:p w14:paraId="45239AFD" w14:textId="01FDAFFC" w:rsidR="00BC3ABB" w:rsidRPr="009E3B79" w:rsidRDefault="00BC3ABB" w:rsidP="00120CBD">
      <w:pPr>
        <w:jc w:val="both"/>
        <w:rPr>
          <w:rFonts w:ascii="Arial" w:eastAsia="Calibri" w:hAnsi="Arial" w:cs="Arial"/>
          <w:b/>
          <w:bCs/>
          <w:color w:val="000000" w:themeColor="text1"/>
          <w:sz w:val="22"/>
          <w:lang w:val="es-ES_tradnl"/>
        </w:rPr>
      </w:pPr>
    </w:p>
    <w:p w14:paraId="7C550260" w14:textId="6449270B" w:rsidR="00BC3ABB" w:rsidRPr="009E3B79" w:rsidRDefault="00BC3ABB" w:rsidP="00120CBD">
      <w:pPr>
        <w:jc w:val="both"/>
        <w:rPr>
          <w:rFonts w:ascii="Arial" w:eastAsia="Calibri" w:hAnsi="Arial" w:cs="Arial"/>
          <w:b/>
          <w:bCs/>
          <w:color w:val="000000" w:themeColor="text1"/>
          <w:sz w:val="22"/>
          <w:lang w:val="es-ES_tradnl"/>
        </w:rPr>
      </w:pPr>
    </w:p>
    <w:p w14:paraId="656BBFD0" w14:textId="71AA8133" w:rsidR="00BC3ABB" w:rsidRPr="009E3B79" w:rsidRDefault="00BC3ABB" w:rsidP="00120CBD">
      <w:pPr>
        <w:jc w:val="both"/>
        <w:rPr>
          <w:rFonts w:ascii="Arial" w:eastAsia="Calibri" w:hAnsi="Arial" w:cs="Arial"/>
          <w:b/>
          <w:bCs/>
          <w:color w:val="000000" w:themeColor="text1"/>
          <w:sz w:val="22"/>
          <w:lang w:val="es-ES_tradnl"/>
        </w:rPr>
      </w:pPr>
    </w:p>
    <w:p w14:paraId="352B7E49" w14:textId="60987AA1" w:rsidR="00BC3ABB" w:rsidRPr="009E3B79" w:rsidRDefault="00BC3ABB" w:rsidP="00120CBD">
      <w:pPr>
        <w:jc w:val="both"/>
        <w:rPr>
          <w:rFonts w:ascii="Arial" w:eastAsia="Calibri" w:hAnsi="Arial" w:cs="Arial"/>
          <w:b/>
          <w:bCs/>
          <w:color w:val="000000" w:themeColor="text1"/>
          <w:sz w:val="22"/>
          <w:lang w:val="es-ES_tradnl"/>
        </w:rPr>
      </w:pPr>
    </w:p>
    <w:p w14:paraId="54A55099" w14:textId="6511DCD0" w:rsidR="00BC3ABB" w:rsidRPr="009E3B79" w:rsidRDefault="00BC3ABB" w:rsidP="00120CBD">
      <w:pPr>
        <w:jc w:val="both"/>
        <w:rPr>
          <w:rFonts w:ascii="Arial" w:eastAsia="Calibri" w:hAnsi="Arial" w:cs="Arial"/>
          <w:b/>
          <w:bCs/>
          <w:color w:val="000000" w:themeColor="text1"/>
          <w:sz w:val="22"/>
          <w:lang w:val="es-ES_tradnl"/>
        </w:rPr>
      </w:pPr>
    </w:p>
    <w:p w14:paraId="79511297" w14:textId="77777777" w:rsidR="00BC3ABB" w:rsidRPr="009E3B79" w:rsidRDefault="00BC3ABB" w:rsidP="00120CBD">
      <w:pPr>
        <w:jc w:val="both"/>
        <w:rPr>
          <w:rFonts w:ascii="Arial" w:eastAsiaTheme="minorHAnsi" w:hAnsi="Arial" w:cs="Arial"/>
          <w:sz w:val="20"/>
          <w:szCs w:val="20"/>
          <w:lang w:eastAsia="en-US"/>
        </w:rPr>
      </w:pPr>
    </w:p>
    <w:p w14:paraId="22CBE90C" w14:textId="77777777" w:rsidR="008F3B9B" w:rsidRPr="009E3B79" w:rsidRDefault="008F3B9B" w:rsidP="00120CBD">
      <w:pPr>
        <w:jc w:val="both"/>
        <w:rPr>
          <w:rFonts w:ascii="Arial" w:eastAsia="Calibri" w:hAnsi="Arial" w:cs="Arial"/>
          <w:b/>
          <w:bCs/>
          <w:color w:val="000000" w:themeColor="text1"/>
          <w:sz w:val="22"/>
          <w:lang w:val="es-ES_tradnl"/>
        </w:rPr>
      </w:pPr>
    </w:p>
    <w:p w14:paraId="253B454D" w14:textId="79FEBC4D" w:rsidR="0078473A" w:rsidRPr="009E3B79" w:rsidRDefault="003E2DB6" w:rsidP="003E2DB6">
      <w:pPr>
        <w:spacing w:line="276" w:lineRule="auto"/>
        <w:jc w:val="right"/>
        <w:rPr>
          <w:rFonts w:ascii="Arial" w:hAnsi="Arial" w:cs="Arial"/>
          <w:noProof/>
          <w:color w:val="000000" w:themeColor="text1"/>
          <w:sz w:val="22"/>
          <w:lang w:val="pt-BR"/>
        </w:rPr>
      </w:pPr>
      <w:r>
        <w:rPr>
          <w:noProof/>
        </w:rPr>
        <w:lastRenderedPageBreak/>
        <w:drawing>
          <wp:inline distT="0" distB="0" distL="0" distR="0" wp14:anchorId="3C8AD739" wp14:editId="2CC5EB4B">
            <wp:extent cx="2760293" cy="633095"/>
            <wp:effectExtent l="0" t="0" r="2540" b="0"/>
            <wp:docPr id="1529697965" name="Imagen 1529697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81641" cy="637991"/>
                    </a:xfrm>
                    <a:prstGeom prst="rect">
                      <a:avLst/>
                    </a:prstGeom>
                  </pic:spPr>
                </pic:pic>
              </a:graphicData>
            </a:graphic>
          </wp:inline>
        </w:drawing>
      </w:r>
    </w:p>
    <w:p w14:paraId="194484DC" w14:textId="6AD77A8B" w:rsidR="003E2DB6" w:rsidRDefault="003E2DB6" w:rsidP="003E2DB6">
      <w:pPr>
        <w:rPr>
          <w:rFonts w:ascii="Arial" w:eastAsia="Calibri" w:hAnsi="Arial" w:cs="Arial"/>
          <w:sz w:val="20"/>
          <w:szCs w:val="20"/>
          <w:lang w:eastAsia="en-US"/>
        </w:rPr>
      </w:pPr>
      <w:r>
        <w:rPr>
          <w:rFonts w:ascii="Arial" w:hAnsi="Arial" w:cs="Arial"/>
          <w:sz w:val="22"/>
          <w:szCs w:val="20"/>
        </w:rPr>
        <w:t>Bogotá, 1</w:t>
      </w:r>
      <w:r>
        <w:rPr>
          <w:rFonts w:ascii="Arial" w:hAnsi="Arial" w:cs="Arial"/>
          <w:sz w:val="22"/>
          <w:szCs w:val="20"/>
        </w:rPr>
        <w:t>8</w:t>
      </w:r>
      <w:r>
        <w:rPr>
          <w:rFonts w:ascii="Arial" w:hAnsi="Arial" w:cs="Arial"/>
          <w:sz w:val="22"/>
          <w:szCs w:val="20"/>
        </w:rPr>
        <w:t xml:space="preserve"> </w:t>
      </w:r>
      <w:proofErr w:type="gramStart"/>
      <w:r>
        <w:rPr>
          <w:rFonts w:ascii="Arial" w:hAnsi="Arial" w:cs="Arial"/>
          <w:sz w:val="22"/>
          <w:szCs w:val="20"/>
        </w:rPr>
        <w:t>Febrero</w:t>
      </w:r>
      <w:proofErr w:type="gramEnd"/>
      <w:r>
        <w:rPr>
          <w:rFonts w:ascii="Arial" w:hAnsi="Arial" w:cs="Arial"/>
          <w:sz w:val="22"/>
          <w:szCs w:val="20"/>
        </w:rPr>
        <w:t xml:space="preserve"> 2022</w:t>
      </w:r>
    </w:p>
    <w:p w14:paraId="1B95B90A" w14:textId="1624B51B" w:rsidR="0078473A" w:rsidRDefault="0078473A" w:rsidP="0057312C">
      <w:pPr>
        <w:rPr>
          <w:rFonts w:ascii="Arial" w:hAnsi="Arial" w:cs="Arial"/>
          <w:b/>
          <w:color w:val="000000" w:themeColor="text1"/>
          <w:sz w:val="22"/>
        </w:rPr>
      </w:pPr>
    </w:p>
    <w:p w14:paraId="25095E66" w14:textId="77777777" w:rsidR="0057312C" w:rsidRPr="009E3B79" w:rsidRDefault="0057312C" w:rsidP="0057312C">
      <w:pPr>
        <w:rPr>
          <w:rFonts w:ascii="Arial" w:hAnsi="Arial" w:cs="Arial"/>
          <w:b/>
          <w:color w:val="000000" w:themeColor="text1"/>
          <w:sz w:val="22"/>
        </w:rPr>
      </w:pPr>
    </w:p>
    <w:p w14:paraId="0472C583" w14:textId="114FEF7E" w:rsidR="0078473A" w:rsidRPr="009E3B79" w:rsidRDefault="0078473A" w:rsidP="781BC896">
      <w:pPr>
        <w:jc w:val="both"/>
      </w:pPr>
    </w:p>
    <w:p w14:paraId="0AFD0C23" w14:textId="77777777" w:rsidR="005B6996" w:rsidRPr="009E3B79" w:rsidRDefault="005B6996" w:rsidP="005B6996">
      <w:pPr>
        <w:jc w:val="both"/>
        <w:rPr>
          <w:rFonts w:ascii="Arial" w:eastAsia="Calibri" w:hAnsi="Arial" w:cs="Arial"/>
          <w:color w:val="000000" w:themeColor="text1"/>
          <w:sz w:val="22"/>
          <w:lang w:val="es-ES_tradnl"/>
        </w:rPr>
      </w:pPr>
      <w:bookmarkStart w:id="3" w:name="_Hlk81487794"/>
      <w:r w:rsidRPr="009E3B79">
        <w:rPr>
          <w:rFonts w:ascii="Arial" w:eastAsia="Calibri" w:hAnsi="Arial" w:cs="Arial"/>
          <w:color w:val="000000" w:themeColor="text1"/>
          <w:sz w:val="22"/>
          <w:lang w:val="es-ES_tradnl"/>
        </w:rPr>
        <w:t>Señor</w:t>
      </w:r>
    </w:p>
    <w:p w14:paraId="28C74A72" w14:textId="6C4A5E3F" w:rsidR="005B6996" w:rsidRPr="009E3B79" w:rsidRDefault="00310934" w:rsidP="005B6996">
      <w:pPr>
        <w:jc w:val="both"/>
        <w:rPr>
          <w:rFonts w:ascii="Arial" w:eastAsia="Calibri" w:hAnsi="Arial" w:cs="Arial"/>
          <w:b/>
          <w:color w:val="000000" w:themeColor="text1"/>
          <w:sz w:val="22"/>
        </w:rPr>
      </w:pPr>
      <w:r w:rsidRPr="009E3B79">
        <w:rPr>
          <w:rFonts w:ascii="Arial" w:eastAsia="Calibri" w:hAnsi="Arial" w:cs="Arial"/>
          <w:b/>
          <w:color w:val="000000" w:themeColor="text1"/>
          <w:sz w:val="22"/>
        </w:rPr>
        <w:t>Peticionario anónimo</w:t>
      </w:r>
    </w:p>
    <w:p w14:paraId="007FC5F1" w14:textId="46A0E17F" w:rsidR="005B6996" w:rsidRPr="009E3B79" w:rsidRDefault="00310934" w:rsidP="005B6996">
      <w:pPr>
        <w:jc w:val="both"/>
        <w:rPr>
          <w:rFonts w:ascii="Arial" w:eastAsia="Calibri" w:hAnsi="Arial" w:cs="Arial"/>
          <w:color w:val="000000" w:themeColor="text1"/>
          <w:sz w:val="22"/>
        </w:rPr>
      </w:pPr>
      <w:r w:rsidRPr="009E3B79">
        <w:rPr>
          <w:rFonts w:ascii="Arial" w:eastAsia="Calibri" w:hAnsi="Arial" w:cs="Arial"/>
          <w:color w:val="000000" w:themeColor="text1"/>
          <w:sz w:val="22"/>
        </w:rPr>
        <w:t xml:space="preserve">El </w:t>
      </w:r>
      <w:r w:rsidR="00580DD8" w:rsidRPr="009E3B79">
        <w:rPr>
          <w:rFonts w:ascii="Arial" w:eastAsia="Calibri" w:hAnsi="Arial" w:cs="Arial"/>
          <w:color w:val="000000" w:themeColor="text1"/>
          <w:sz w:val="22"/>
        </w:rPr>
        <w:t>D</w:t>
      </w:r>
      <w:r w:rsidRPr="009E3B79">
        <w:rPr>
          <w:rFonts w:ascii="Arial" w:eastAsia="Calibri" w:hAnsi="Arial" w:cs="Arial"/>
          <w:color w:val="000000" w:themeColor="text1"/>
          <w:sz w:val="22"/>
        </w:rPr>
        <w:t>orado, Meta</w:t>
      </w:r>
    </w:p>
    <w:p w14:paraId="59588506" w14:textId="77777777" w:rsidR="00B84684" w:rsidRPr="009E3B79" w:rsidRDefault="00B84684" w:rsidP="00B95C30">
      <w:pPr>
        <w:jc w:val="both"/>
        <w:rPr>
          <w:rFonts w:ascii="Arial" w:eastAsia="Calibri" w:hAnsi="Arial" w:cs="Arial"/>
          <w:color w:val="000000" w:themeColor="text1"/>
          <w:sz w:val="22"/>
        </w:rPr>
      </w:pPr>
    </w:p>
    <w:p w14:paraId="1F53FEB5" w14:textId="7D1BF092" w:rsidR="00631A31" w:rsidRPr="009E3B79" w:rsidRDefault="00631A31" w:rsidP="781BC896">
      <w:pPr>
        <w:jc w:val="both"/>
      </w:pPr>
    </w:p>
    <w:p w14:paraId="05B4865C" w14:textId="048474F7" w:rsidR="00E43A78" w:rsidRPr="009E3B79" w:rsidRDefault="00023FA5" w:rsidP="00821640">
      <w:pPr>
        <w:ind w:firstLine="2694"/>
        <w:rPr>
          <w:rFonts w:ascii="Arial" w:eastAsia="Calibri" w:hAnsi="Arial" w:cs="Arial"/>
          <w:b/>
          <w:bCs/>
          <w:color w:val="000000" w:themeColor="text1"/>
          <w:sz w:val="22"/>
          <w:lang w:val="es-ES_tradnl"/>
        </w:rPr>
      </w:pPr>
      <w:r w:rsidRPr="009E3B79">
        <w:rPr>
          <w:rFonts w:ascii="Arial" w:eastAsia="Calibri" w:hAnsi="Arial" w:cs="Arial"/>
          <w:b/>
          <w:bCs/>
          <w:color w:val="000000" w:themeColor="text1"/>
          <w:sz w:val="22"/>
          <w:lang w:val="es-ES_tradnl"/>
        </w:rPr>
        <w:t xml:space="preserve">Concepto C ‒ </w:t>
      </w:r>
      <w:r w:rsidR="00310934" w:rsidRPr="009E3B79">
        <w:rPr>
          <w:rFonts w:ascii="Arial" w:eastAsia="Calibri" w:hAnsi="Arial" w:cs="Arial"/>
          <w:b/>
          <w:bCs/>
          <w:color w:val="000000" w:themeColor="text1"/>
          <w:sz w:val="22"/>
          <w:lang w:val="es-ES_tradnl"/>
        </w:rPr>
        <w:t>011</w:t>
      </w:r>
      <w:r w:rsidR="00275FBF" w:rsidRPr="009E3B79">
        <w:rPr>
          <w:rFonts w:ascii="Arial" w:eastAsia="Calibri" w:hAnsi="Arial" w:cs="Arial"/>
          <w:b/>
          <w:bCs/>
          <w:color w:val="000000" w:themeColor="text1"/>
          <w:sz w:val="22"/>
          <w:lang w:val="es-ES_tradnl"/>
        </w:rPr>
        <w:t xml:space="preserve"> de 202</w:t>
      </w:r>
      <w:r w:rsidR="00310934" w:rsidRPr="009E3B79">
        <w:rPr>
          <w:rFonts w:ascii="Arial" w:eastAsia="Calibri" w:hAnsi="Arial" w:cs="Arial"/>
          <w:b/>
          <w:bCs/>
          <w:color w:val="000000" w:themeColor="text1"/>
          <w:sz w:val="22"/>
          <w:lang w:val="es-ES_tradnl"/>
        </w:rPr>
        <w:t>2</w:t>
      </w:r>
    </w:p>
    <w:p w14:paraId="1BD594F9" w14:textId="77777777" w:rsidR="00B95C30" w:rsidRPr="009E3B79"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9E3B79" w14:paraId="19DFC051" w14:textId="77777777" w:rsidTr="00572A7F">
        <w:trPr>
          <w:trHeight w:val="545"/>
        </w:trPr>
        <w:tc>
          <w:tcPr>
            <w:tcW w:w="2689" w:type="dxa"/>
          </w:tcPr>
          <w:p w14:paraId="6BC0D1AC" w14:textId="77777777" w:rsidR="00B95C30" w:rsidRPr="009E3B79" w:rsidRDefault="00B95C30" w:rsidP="00D15356">
            <w:pPr>
              <w:jc w:val="both"/>
              <w:rPr>
                <w:rFonts w:ascii="Arial" w:eastAsia="Calibri" w:hAnsi="Arial" w:cs="Arial"/>
                <w:color w:val="000000" w:themeColor="text1"/>
                <w:sz w:val="22"/>
                <w:lang w:val="es-ES_tradnl"/>
              </w:rPr>
            </w:pPr>
            <w:r w:rsidRPr="009E3B79">
              <w:rPr>
                <w:rFonts w:ascii="Arial" w:eastAsia="Calibri" w:hAnsi="Arial" w:cs="Arial"/>
                <w:b/>
                <w:color w:val="000000" w:themeColor="text1"/>
                <w:sz w:val="22"/>
                <w:lang w:val="es-ES_tradnl"/>
              </w:rPr>
              <w:t>Temas:</w:t>
            </w:r>
            <w:r w:rsidRPr="009E3B79">
              <w:rPr>
                <w:rFonts w:ascii="Arial" w:eastAsia="Calibri" w:hAnsi="Arial" w:cs="Arial"/>
                <w:color w:val="000000" w:themeColor="text1"/>
                <w:sz w:val="22"/>
                <w:lang w:val="es-ES_tradnl"/>
              </w:rPr>
              <w:t xml:space="preserve">                                      </w:t>
            </w:r>
          </w:p>
        </w:tc>
        <w:tc>
          <w:tcPr>
            <w:tcW w:w="6237" w:type="dxa"/>
          </w:tcPr>
          <w:p w14:paraId="5F389CAF" w14:textId="023CB250" w:rsidR="00B95C30" w:rsidRPr="009E3B79" w:rsidRDefault="00572A7F" w:rsidP="0072584F">
            <w:pPr>
              <w:jc w:val="both"/>
              <w:rPr>
                <w:rFonts w:ascii="Arial" w:eastAsia="Calibri" w:hAnsi="Arial" w:cs="Arial"/>
                <w:sz w:val="22"/>
                <w:szCs w:val="22"/>
              </w:rPr>
            </w:pPr>
            <w:r w:rsidRPr="009E3B79">
              <w:rPr>
                <w:rFonts w:ascii="Arial" w:eastAsia="Calibri" w:hAnsi="Arial" w:cs="Arial"/>
                <w:color w:val="000000" w:themeColor="text1"/>
                <w:sz w:val="22"/>
                <w:szCs w:val="22"/>
                <w:lang w:val="es-ES_tradnl" w:eastAsia="en-US"/>
              </w:rPr>
              <w:t>DOCUMENTOS TIPO – Fundamento normativo</w:t>
            </w:r>
            <w:r w:rsidRPr="009E3B79">
              <w:rPr>
                <w:rFonts w:ascii="Arial" w:eastAsia="Calibri" w:hAnsi="Arial" w:cs="Arial"/>
                <w:color w:val="000000" w:themeColor="text1"/>
                <w:sz w:val="22"/>
                <w:szCs w:val="22"/>
                <w:lang w:eastAsia="en-US"/>
              </w:rPr>
              <w:t xml:space="preserve"> </w:t>
            </w:r>
            <w:r w:rsidRPr="009E3B79">
              <w:rPr>
                <w:rFonts w:ascii="Arial" w:eastAsia="Calibri" w:hAnsi="Arial" w:cs="Arial"/>
                <w:color w:val="000000" w:themeColor="text1"/>
                <w:sz w:val="22"/>
                <w:szCs w:val="22"/>
                <w:lang w:val="es-MX" w:eastAsia="en-US"/>
              </w:rPr>
              <w:t xml:space="preserve">/ </w:t>
            </w:r>
            <w:r w:rsidR="0072584F" w:rsidRPr="009E3B79">
              <w:rPr>
                <w:rFonts w:ascii="Arial" w:eastAsia="Calibri" w:hAnsi="Arial" w:cs="Arial"/>
                <w:bCs/>
                <w:color w:val="000000" w:themeColor="text1"/>
                <w:sz w:val="22"/>
                <w:szCs w:val="22"/>
                <w:lang w:val="es-MX" w:eastAsia="en-US"/>
              </w:rPr>
              <w:t xml:space="preserve">CAPACIDAD RESIDUAL – </w:t>
            </w:r>
            <w:r w:rsidR="0072584F" w:rsidRPr="009E3B79">
              <w:rPr>
                <w:rFonts w:ascii="Arial" w:eastAsia="Calibri" w:hAnsi="Arial" w:cs="Arial"/>
                <w:bCs/>
                <w:sz w:val="22"/>
                <w:szCs w:val="22"/>
              </w:rPr>
              <w:t xml:space="preserve">Cálculo – Factores </w:t>
            </w:r>
            <w:r w:rsidR="006174FA" w:rsidRPr="009E3B79">
              <w:rPr>
                <w:rFonts w:ascii="Arial" w:eastAsia="Calibri" w:hAnsi="Arial" w:cs="Arial"/>
                <w:bCs/>
                <w:sz w:val="22"/>
                <w:lang w:val="es-ES_tradnl"/>
              </w:rPr>
              <w:t>/</w:t>
            </w:r>
            <w:r w:rsidR="001D57CD" w:rsidRPr="009E3B79">
              <w:rPr>
                <w:rFonts w:ascii="Arial" w:eastAsia="Calibri" w:hAnsi="Arial" w:cs="Arial"/>
                <w:bCs/>
                <w:sz w:val="22"/>
                <w:lang w:val="es-ES_tradnl"/>
              </w:rPr>
              <w:t xml:space="preserve"> </w:t>
            </w:r>
            <w:r w:rsidR="0072584F" w:rsidRPr="009E3B79">
              <w:rPr>
                <w:rFonts w:ascii="Arial" w:eastAsia="Calibri" w:hAnsi="Arial" w:cs="Arial"/>
                <w:bCs/>
                <w:sz w:val="22"/>
                <w:szCs w:val="22"/>
              </w:rPr>
              <w:t xml:space="preserve">CAPACIDAD RESIDUAL – Saldos de Contratos en Ejecución </w:t>
            </w:r>
            <w:r w:rsidR="0072584F" w:rsidRPr="009E3B79">
              <w:rPr>
                <w:rFonts w:ascii="Arial" w:eastAsia="Calibri" w:hAnsi="Arial" w:cs="Arial"/>
                <w:bCs/>
                <w:color w:val="000000" w:themeColor="text1"/>
                <w:sz w:val="22"/>
                <w:szCs w:val="22"/>
                <w:lang w:eastAsia="en-US"/>
              </w:rPr>
              <w:t xml:space="preserve">«SCE» </w:t>
            </w:r>
            <w:r w:rsidR="0072584F" w:rsidRPr="009E3B79">
              <w:rPr>
                <w:rFonts w:ascii="Arial" w:eastAsia="Calibri" w:hAnsi="Arial" w:cs="Arial"/>
                <w:bCs/>
                <w:sz w:val="22"/>
                <w:szCs w:val="22"/>
              </w:rPr>
              <w:t>– Contratos de obra</w:t>
            </w:r>
            <w:r w:rsidR="00485A0D" w:rsidRPr="009E3B79">
              <w:rPr>
                <w:rFonts w:ascii="Arial" w:eastAsia="Calibri" w:hAnsi="Arial" w:cs="Arial"/>
                <w:bCs/>
                <w:sz w:val="22"/>
                <w:szCs w:val="22"/>
              </w:rPr>
              <w:t xml:space="preserve"> / </w:t>
            </w:r>
            <w:r w:rsidR="00485A0D" w:rsidRPr="009E3B79">
              <w:rPr>
                <w:rFonts w:ascii="Arial" w:eastAsia="Calibri" w:hAnsi="Arial" w:cs="Arial"/>
                <w:sz w:val="22"/>
                <w:szCs w:val="22"/>
              </w:rPr>
              <w:t>RECEPCIÓN DE LA OBRA – Reservas – Actividades fuera del plazo contractual / ACTA DE TERMINACIÓN – Actividades pendientes – Plazo contractual – Vencimiento – Estado de liquidación – Capacidad residual</w:t>
            </w:r>
          </w:p>
        </w:tc>
      </w:tr>
      <w:tr w:rsidR="00B95C30" w:rsidRPr="009E3B79" w14:paraId="27CD52AB" w14:textId="77777777" w:rsidTr="00D15356">
        <w:tc>
          <w:tcPr>
            <w:tcW w:w="2689" w:type="dxa"/>
          </w:tcPr>
          <w:p w14:paraId="37E195A1" w14:textId="19801F74" w:rsidR="00B95C30" w:rsidRPr="009E3B79" w:rsidRDefault="00B95C30" w:rsidP="00D15356">
            <w:pPr>
              <w:spacing w:before="120"/>
              <w:jc w:val="both"/>
              <w:rPr>
                <w:rFonts w:ascii="Arial" w:eastAsia="Calibri" w:hAnsi="Arial" w:cs="Arial"/>
                <w:b/>
                <w:color w:val="000000" w:themeColor="text1"/>
                <w:sz w:val="22"/>
                <w:lang w:val="es-ES_tradnl"/>
              </w:rPr>
            </w:pPr>
            <w:r w:rsidRPr="009E3B79">
              <w:rPr>
                <w:rFonts w:ascii="Arial" w:eastAsia="Calibri" w:hAnsi="Arial" w:cs="Arial"/>
                <w:b/>
                <w:color w:val="000000" w:themeColor="text1"/>
                <w:sz w:val="22"/>
                <w:lang w:val="es-ES_tradnl"/>
              </w:rPr>
              <w:t>Radicación:</w:t>
            </w:r>
            <w:r w:rsidRPr="009E3B79">
              <w:rPr>
                <w:rFonts w:ascii="Arial" w:eastAsia="Calibri" w:hAnsi="Arial" w:cs="Arial"/>
                <w:color w:val="000000" w:themeColor="text1"/>
                <w:sz w:val="22"/>
                <w:lang w:val="es-ES_tradnl"/>
              </w:rPr>
              <w:t xml:space="preserve">                              </w:t>
            </w:r>
          </w:p>
        </w:tc>
        <w:tc>
          <w:tcPr>
            <w:tcW w:w="6237" w:type="dxa"/>
          </w:tcPr>
          <w:p w14:paraId="09088B1B" w14:textId="76765D09" w:rsidR="00B95C30" w:rsidRPr="009E3B79" w:rsidRDefault="00B95C30" w:rsidP="00FF7134">
            <w:pPr>
              <w:spacing w:before="120"/>
              <w:jc w:val="both"/>
              <w:rPr>
                <w:rFonts w:ascii="Arial" w:eastAsia="Calibri" w:hAnsi="Arial" w:cs="Arial"/>
                <w:color w:val="000000" w:themeColor="text1"/>
                <w:sz w:val="22"/>
                <w:lang w:val="es-ES_tradnl"/>
              </w:rPr>
            </w:pPr>
            <w:r w:rsidRPr="009E3B79">
              <w:rPr>
                <w:rFonts w:ascii="Arial" w:eastAsia="Calibri" w:hAnsi="Arial" w:cs="Arial"/>
                <w:color w:val="000000" w:themeColor="text1"/>
                <w:sz w:val="22"/>
                <w:lang w:val="es-ES_tradnl"/>
              </w:rPr>
              <w:t xml:space="preserve">Respuesta a consulta </w:t>
            </w:r>
            <w:r w:rsidR="00310934" w:rsidRPr="009E3B79">
              <w:rPr>
                <w:rFonts w:ascii="Arial" w:eastAsia="Calibri" w:hAnsi="Arial" w:cs="Arial"/>
                <w:color w:val="000000" w:themeColor="text1"/>
                <w:sz w:val="22"/>
                <w:lang w:val="es-ES_tradnl"/>
              </w:rPr>
              <w:t>P20220106000089</w:t>
            </w:r>
          </w:p>
        </w:tc>
      </w:tr>
    </w:tbl>
    <w:p w14:paraId="1CF2F5F7" w14:textId="114DC916" w:rsidR="00E43A78" w:rsidRPr="009E3B79" w:rsidRDefault="00E43A78" w:rsidP="003C3339">
      <w:pPr>
        <w:jc w:val="both"/>
        <w:rPr>
          <w:rFonts w:ascii="Arial" w:eastAsia="Calibri" w:hAnsi="Arial" w:cs="Arial"/>
          <w:color w:val="000000" w:themeColor="text1"/>
          <w:sz w:val="22"/>
          <w:lang w:val="es-ES_tradnl"/>
        </w:rPr>
      </w:pPr>
    </w:p>
    <w:p w14:paraId="70281733" w14:textId="77777777" w:rsidR="00821640" w:rsidRPr="009E3B79" w:rsidRDefault="00821640" w:rsidP="003C3339">
      <w:pPr>
        <w:jc w:val="both"/>
        <w:rPr>
          <w:rFonts w:ascii="Arial" w:eastAsia="Calibri" w:hAnsi="Arial" w:cs="Arial"/>
          <w:color w:val="000000" w:themeColor="text1"/>
          <w:sz w:val="22"/>
          <w:lang w:val="es-ES_tradnl"/>
        </w:rPr>
      </w:pPr>
    </w:p>
    <w:p w14:paraId="1CF4AEA0" w14:textId="0C2BE826" w:rsidR="003C3339" w:rsidRPr="009E3B79" w:rsidRDefault="003C3339" w:rsidP="003C3339">
      <w:pPr>
        <w:jc w:val="both"/>
        <w:rPr>
          <w:rFonts w:ascii="Arial" w:eastAsia="Calibri" w:hAnsi="Arial" w:cs="Arial"/>
          <w:color w:val="000000" w:themeColor="text1"/>
          <w:sz w:val="22"/>
          <w:lang w:val="es-ES_tradnl"/>
        </w:rPr>
      </w:pPr>
      <w:r w:rsidRPr="009E3B79">
        <w:rPr>
          <w:rFonts w:ascii="Arial" w:eastAsia="Calibri" w:hAnsi="Arial" w:cs="Arial"/>
          <w:color w:val="000000" w:themeColor="text1"/>
          <w:sz w:val="22"/>
          <w:lang w:val="es-ES_tradnl"/>
        </w:rPr>
        <w:t xml:space="preserve">Estimado </w:t>
      </w:r>
      <w:r w:rsidR="00310934" w:rsidRPr="009E3B79">
        <w:rPr>
          <w:rFonts w:ascii="Arial" w:eastAsia="Calibri" w:hAnsi="Arial" w:cs="Arial"/>
          <w:color w:val="000000" w:themeColor="text1"/>
          <w:sz w:val="22"/>
          <w:lang w:val="es-ES_tradnl"/>
        </w:rPr>
        <w:t>peticionario</w:t>
      </w:r>
      <w:r w:rsidRPr="009E3B79">
        <w:rPr>
          <w:rFonts w:ascii="Arial" w:eastAsia="Calibri" w:hAnsi="Arial" w:cs="Arial"/>
          <w:color w:val="000000" w:themeColor="text1"/>
          <w:sz w:val="22"/>
          <w:lang w:val="es-ES_tradnl"/>
        </w:rPr>
        <w:t>:</w:t>
      </w:r>
    </w:p>
    <w:p w14:paraId="1EAE5543" w14:textId="77777777" w:rsidR="00DD5B04" w:rsidRPr="009E3B79" w:rsidRDefault="00DD5B04" w:rsidP="00DF76A2">
      <w:pPr>
        <w:jc w:val="both"/>
        <w:rPr>
          <w:rFonts w:ascii="Arial" w:eastAsia="Calibri" w:hAnsi="Arial" w:cs="Arial"/>
          <w:color w:val="000000" w:themeColor="text1"/>
          <w:sz w:val="22"/>
          <w:lang w:val="es-ES_tradnl"/>
        </w:rPr>
      </w:pPr>
    </w:p>
    <w:p w14:paraId="2109B2D3" w14:textId="734BDCB5" w:rsidR="00DD5B04" w:rsidRPr="009E3B79" w:rsidRDefault="00DD5B04" w:rsidP="00DF76A2">
      <w:pPr>
        <w:spacing w:line="276" w:lineRule="auto"/>
        <w:jc w:val="both"/>
        <w:rPr>
          <w:rFonts w:ascii="Arial" w:eastAsia="Calibri" w:hAnsi="Arial" w:cs="Arial"/>
          <w:color w:val="000000" w:themeColor="text1"/>
          <w:sz w:val="22"/>
          <w:lang w:val="es-ES_tradnl"/>
        </w:rPr>
      </w:pPr>
      <w:r w:rsidRPr="009E3B79">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sidRPr="009E3B79">
        <w:rPr>
          <w:rFonts w:ascii="Arial" w:eastAsia="Calibri" w:hAnsi="Arial" w:cs="Arial"/>
          <w:color w:val="000000" w:themeColor="text1"/>
          <w:sz w:val="22"/>
          <w:lang w:val="es-ES_tradnl"/>
        </w:rPr>
        <w:t>–</w:t>
      </w:r>
      <w:r w:rsidRPr="009E3B79">
        <w:rPr>
          <w:rFonts w:ascii="Arial" w:eastAsia="Calibri" w:hAnsi="Arial" w:cs="Arial"/>
          <w:color w:val="000000" w:themeColor="text1"/>
          <w:sz w:val="22"/>
          <w:lang w:val="es-ES_tradnl"/>
        </w:rPr>
        <w:t xml:space="preserve"> Colombia Compra Eficiente</w:t>
      </w:r>
      <w:r w:rsidR="00CE69CC" w:rsidRPr="009E3B79">
        <w:rPr>
          <w:rFonts w:ascii="Arial" w:eastAsia="Calibri" w:hAnsi="Arial" w:cs="Arial"/>
          <w:color w:val="000000" w:themeColor="text1"/>
          <w:sz w:val="22"/>
          <w:lang w:val="es-ES_tradnl"/>
        </w:rPr>
        <w:t>,</w:t>
      </w:r>
      <w:r w:rsidRPr="009E3B79">
        <w:rPr>
          <w:rFonts w:ascii="Arial" w:eastAsia="Calibri" w:hAnsi="Arial" w:cs="Arial"/>
          <w:color w:val="000000" w:themeColor="text1"/>
          <w:sz w:val="22"/>
          <w:lang w:val="es-ES_tradnl"/>
        </w:rPr>
        <w:t xml:space="preserve"> responde su consulta del </w:t>
      </w:r>
      <w:r w:rsidR="00310934" w:rsidRPr="009E3B79">
        <w:rPr>
          <w:rFonts w:ascii="Arial" w:eastAsia="Calibri" w:hAnsi="Arial" w:cs="Arial"/>
          <w:color w:val="000000" w:themeColor="text1"/>
          <w:sz w:val="22"/>
          <w:lang w:val="es-ES_tradnl"/>
        </w:rPr>
        <w:t>6 de enero de 2022</w:t>
      </w:r>
      <w:r w:rsidR="006D69FA" w:rsidRPr="009E3B79">
        <w:rPr>
          <w:rFonts w:ascii="Arial" w:eastAsia="Calibri" w:hAnsi="Arial" w:cs="Arial"/>
          <w:color w:val="000000" w:themeColor="text1"/>
          <w:sz w:val="22"/>
          <w:lang w:val="es-ES_tradnl"/>
        </w:rPr>
        <w:t xml:space="preserve">. </w:t>
      </w:r>
    </w:p>
    <w:p w14:paraId="0C1E0712" w14:textId="77777777" w:rsidR="00DD5B04" w:rsidRPr="009E3B79"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9E3B79"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9E3B79">
        <w:rPr>
          <w:rFonts w:ascii="Arial" w:eastAsia="Calibri" w:hAnsi="Arial" w:cs="Arial"/>
          <w:b/>
          <w:color w:val="000000" w:themeColor="text1"/>
          <w:sz w:val="22"/>
          <w:lang w:val="es-ES_tradnl"/>
        </w:rPr>
        <w:t xml:space="preserve">Problema planteado </w:t>
      </w:r>
    </w:p>
    <w:p w14:paraId="224B43D3" w14:textId="77777777" w:rsidR="00DD5B04" w:rsidRPr="009E3B79"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6C5D9D8E" w:rsidR="00FE64C1" w:rsidRPr="009E3B79" w:rsidRDefault="00D20E74" w:rsidP="005C6410">
      <w:pPr>
        <w:spacing w:line="276" w:lineRule="auto"/>
        <w:jc w:val="both"/>
        <w:rPr>
          <w:rFonts w:ascii="Arial" w:eastAsia="Calibri" w:hAnsi="Arial" w:cs="Arial"/>
          <w:color w:val="000000" w:themeColor="text1"/>
          <w:sz w:val="22"/>
          <w:lang w:val="es-ES_tradnl"/>
        </w:rPr>
      </w:pPr>
      <w:bookmarkStart w:id="4" w:name="_Hlk78966613"/>
      <w:r w:rsidRPr="009E3B79">
        <w:rPr>
          <w:rFonts w:ascii="Arial" w:hAnsi="Arial" w:cs="Arial"/>
          <w:color w:val="000000" w:themeColor="text1"/>
          <w:sz w:val="22"/>
          <w:lang w:val="es-ES_tradnl"/>
        </w:rPr>
        <w:t>De acuerdo con el literal E del numeral 3.10.2 del pliego de condiciones de los «Documentos Tipo – Versión 3» de licitación de obra pública de infraestructura de transporte, respecto al saldo de los contratos en ejecución para el cálculo de la capacidad residual, usted realiza la siguiente pregunta</w:t>
      </w:r>
      <w:r w:rsidR="00EB7EA4" w:rsidRPr="009E3B79">
        <w:rPr>
          <w:rFonts w:ascii="Arial" w:hAnsi="Arial" w:cs="Arial"/>
          <w:color w:val="000000" w:themeColor="text1"/>
          <w:sz w:val="22"/>
          <w:lang w:val="es-ES_tradnl"/>
        </w:rPr>
        <w:t>: «</w:t>
      </w:r>
      <w:r w:rsidRPr="009E3B79">
        <w:rPr>
          <w:rFonts w:ascii="Arial" w:eastAsia="Calibri" w:hAnsi="Arial" w:cs="Arial"/>
          <w:color w:val="000000" w:themeColor="text1"/>
          <w:sz w:val="22"/>
          <w:lang w:val="es-ES_tradnl"/>
        </w:rPr>
        <w:t>[¿] los oferentes o las entidades públicas en el momento de la evaluación debe tener en cuenta como contrato en ejecución los contratos con ACTA DE TERMINACION CON ACTIVIDADES PENDIENTES, O se debe tomar como se muestra anteriormente que […] NO SE ENTENDERÁN COMO CONTRATOS EN EJECUCIÓN LOS QUE SE ENCUENTREN EN LIQUIDACIÓN [?]</w:t>
      </w:r>
      <w:r w:rsidR="00EB7EA4" w:rsidRPr="009E3B79">
        <w:rPr>
          <w:rFonts w:ascii="Arial" w:eastAsia="Calibri" w:hAnsi="Arial" w:cs="Arial"/>
          <w:color w:val="000000" w:themeColor="text1"/>
          <w:sz w:val="22"/>
          <w:lang w:val="es-ES_tradnl"/>
        </w:rPr>
        <w:t>»</w:t>
      </w:r>
      <w:r w:rsidR="00413C17" w:rsidRPr="009E3B79">
        <w:rPr>
          <w:rFonts w:ascii="Arial" w:eastAsia="Calibri" w:hAnsi="Arial" w:cs="Arial"/>
          <w:color w:val="000000" w:themeColor="text1"/>
          <w:sz w:val="22"/>
          <w:lang w:val="es-ES_tradnl"/>
        </w:rPr>
        <w:t>.</w:t>
      </w:r>
    </w:p>
    <w:bookmarkEnd w:id="4"/>
    <w:p w14:paraId="06C66E7F" w14:textId="77777777" w:rsidR="005C6410" w:rsidRPr="009E3B79" w:rsidRDefault="005C6410" w:rsidP="005C6410">
      <w:pPr>
        <w:spacing w:line="276" w:lineRule="auto"/>
        <w:jc w:val="both"/>
        <w:rPr>
          <w:rFonts w:ascii="Arial" w:hAnsi="Arial" w:cs="Arial"/>
          <w:color w:val="000000" w:themeColor="text1"/>
          <w:sz w:val="22"/>
          <w:lang w:val="es-ES_tradnl"/>
        </w:rPr>
      </w:pPr>
    </w:p>
    <w:p w14:paraId="124D2DCA" w14:textId="77777777" w:rsidR="00DD5B04" w:rsidRPr="009E3B79"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9E3B79">
        <w:rPr>
          <w:rFonts w:ascii="Arial" w:eastAsia="Calibri" w:hAnsi="Arial" w:cs="Arial"/>
          <w:b/>
          <w:color w:val="000000" w:themeColor="text1"/>
          <w:sz w:val="22"/>
          <w:lang w:val="es-ES_tradnl"/>
        </w:rPr>
        <w:lastRenderedPageBreak/>
        <w:t>Consideraciones</w:t>
      </w:r>
    </w:p>
    <w:p w14:paraId="7FB25649" w14:textId="77777777" w:rsidR="00E07AAA" w:rsidRPr="009E3B79" w:rsidRDefault="00E07AAA" w:rsidP="00D40F8B">
      <w:pPr>
        <w:spacing w:line="276" w:lineRule="auto"/>
        <w:jc w:val="both"/>
        <w:rPr>
          <w:rFonts w:ascii="Arial" w:hAnsi="Arial" w:cs="Arial"/>
          <w:color w:val="000000" w:themeColor="text1"/>
          <w:sz w:val="22"/>
          <w:lang w:val="es-ES_tradnl"/>
        </w:rPr>
      </w:pPr>
    </w:p>
    <w:p w14:paraId="31757498" w14:textId="707C660D" w:rsidR="00580DD8" w:rsidRPr="009E3B79" w:rsidRDefault="00580DD8" w:rsidP="00580DD8">
      <w:pPr>
        <w:spacing w:after="120" w:line="276" w:lineRule="auto"/>
        <w:jc w:val="both"/>
        <w:rPr>
          <w:rFonts w:ascii="Arial" w:eastAsia="Calibri" w:hAnsi="Arial" w:cs="Arial"/>
          <w:color w:val="000000" w:themeColor="text1"/>
          <w:sz w:val="22"/>
          <w:lang w:val="es-MX"/>
        </w:rPr>
      </w:pPr>
      <w:r w:rsidRPr="009E3B79">
        <w:rPr>
          <w:rFonts w:ascii="Arial" w:eastAsia="Calibri" w:hAnsi="Arial" w:cs="Arial"/>
          <w:color w:val="000000" w:themeColor="text1"/>
          <w:sz w:val="22"/>
          <w:lang w:val="es-MX"/>
        </w:rPr>
        <w:t xml:space="preserve">La Agencia Nacional de Contratación Pública – Colombia Compra Eficiente analizó el fundamento normativo de los pliegos de condiciones tipo en la contratación estatal, entre otros, en los Conceptos </w:t>
      </w:r>
      <w:r w:rsidRPr="009E3B79">
        <w:rPr>
          <w:rFonts w:ascii="Arial" w:eastAsia="Calibri" w:hAnsi="Arial" w:cs="Arial"/>
          <w:color w:val="000000" w:themeColor="text1"/>
          <w:sz w:val="22"/>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1º de marzo de 2021 y C-204 del 6 de mayo de 2021</w:t>
      </w:r>
      <w:r w:rsidRPr="009E3B79">
        <w:rPr>
          <w:rFonts w:ascii="Arial" w:eastAsia="Calibri" w:hAnsi="Arial" w:cs="Arial"/>
          <w:color w:val="000000" w:themeColor="text1"/>
          <w:sz w:val="22"/>
          <w:lang w:val="es-MX"/>
        </w:rPr>
        <w:t xml:space="preserve">,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w:t>
      </w:r>
    </w:p>
    <w:p w14:paraId="54E01559" w14:textId="554607C0" w:rsidR="00654B4B" w:rsidRPr="009E3B79" w:rsidRDefault="00580DD8" w:rsidP="00580DD8">
      <w:pPr>
        <w:spacing w:line="276" w:lineRule="auto"/>
        <w:ind w:firstLine="708"/>
        <w:jc w:val="both"/>
        <w:rPr>
          <w:rFonts w:ascii="Arial" w:hAnsi="Arial" w:cs="Arial"/>
          <w:bCs/>
          <w:color w:val="000000" w:themeColor="text1"/>
          <w:sz w:val="22"/>
          <w:lang w:val="es-MX"/>
        </w:rPr>
      </w:pPr>
      <w:r w:rsidRPr="009E3B79">
        <w:rPr>
          <w:rFonts w:ascii="Arial" w:eastAsia="Calibri" w:hAnsi="Arial" w:cs="Arial"/>
          <w:color w:val="000000" w:themeColor="text1"/>
          <w:sz w:val="22"/>
        </w:rPr>
        <w:t xml:space="preserve">Además, </w:t>
      </w:r>
      <w:r w:rsidR="00D8024F" w:rsidRPr="009E3B79">
        <w:rPr>
          <w:rFonts w:ascii="Arial" w:eastAsia="Calibri" w:hAnsi="Arial" w:cs="Arial"/>
          <w:color w:val="000000" w:themeColor="text1"/>
          <w:sz w:val="22"/>
        </w:rPr>
        <w:t>se ha pronunciado sobre</w:t>
      </w:r>
      <w:r w:rsidR="003A130E" w:rsidRPr="009E3B79">
        <w:rPr>
          <w:rFonts w:ascii="Arial" w:eastAsia="Calibri" w:hAnsi="Arial" w:cs="Arial"/>
          <w:sz w:val="22"/>
        </w:rPr>
        <w:t xml:space="preserve"> aspectos relativos a la acreditación del requisito de capacidad residual en procesos adelantados con documentos tipo</w:t>
      </w:r>
      <w:r w:rsidR="00D8024F" w:rsidRPr="009E3B79">
        <w:rPr>
          <w:rFonts w:ascii="Arial" w:eastAsia="Calibri" w:hAnsi="Arial" w:cs="Arial"/>
          <w:color w:val="000000" w:themeColor="text1"/>
          <w:sz w:val="22"/>
        </w:rPr>
        <w:t xml:space="preserve">, en los conceptos </w:t>
      </w:r>
      <w:r w:rsidR="00906836" w:rsidRPr="009E3B79">
        <w:rPr>
          <w:rFonts w:ascii="Arial" w:eastAsia="Calibri" w:hAnsi="Arial" w:cs="Arial"/>
          <w:color w:val="000000" w:themeColor="text1"/>
          <w:sz w:val="22"/>
        </w:rPr>
        <w:t xml:space="preserve">con radicado </w:t>
      </w:r>
      <w:r w:rsidR="00906836" w:rsidRPr="009E3B79">
        <w:rPr>
          <w:rFonts w:ascii="Arial" w:eastAsia="Calibri" w:hAnsi="Arial" w:cs="Arial"/>
          <w:sz w:val="22"/>
        </w:rPr>
        <w:t>Nos. 2201913000006275 del 27 de agosto de 2019, 4201912000005192 del 9 de septiembre de 2019, 2201913000009465 del 20 de diciembre de 2019</w:t>
      </w:r>
      <w:r w:rsidR="00F557B2" w:rsidRPr="009E3B79">
        <w:rPr>
          <w:rFonts w:ascii="Arial" w:eastAsia="Calibri" w:hAnsi="Arial" w:cs="Arial"/>
          <w:sz w:val="22"/>
        </w:rPr>
        <w:t xml:space="preserve"> y</w:t>
      </w:r>
      <w:r w:rsidR="00906836" w:rsidRPr="009E3B79">
        <w:rPr>
          <w:rFonts w:ascii="Arial" w:eastAsia="Calibri" w:hAnsi="Arial" w:cs="Arial"/>
          <w:sz w:val="22"/>
        </w:rPr>
        <w:t xml:space="preserve"> 2201913000009642 del 26 de diciembre de 2019</w:t>
      </w:r>
      <w:r w:rsidR="00D8024F" w:rsidRPr="009E3B79">
        <w:rPr>
          <w:rFonts w:ascii="Arial" w:eastAsia="Calibri" w:hAnsi="Arial" w:cs="Arial"/>
          <w:color w:val="000000" w:themeColor="text1"/>
          <w:sz w:val="22"/>
        </w:rPr>
        <w:t>; así como en los conceptos</w:t>
      </w:r>
      <w:r w:rsidR="003A130E" w:rsidRPr="009E3B79">
        <w:rPr>
          <w:rFonts w:ascii="Arial" w:eastAsia="Calibri" w:hAnsi="Arial" w:cs="Arial"/>
          <w:color w:val="000000" w:themeColor="text1"/>
          <w:sz w:val="22"/>
        </w:rPr>
        <w:t xml:space="preserve"> </w:t>
      </w:r>
      <w:r w:rsidR="006A3BE3" w:rsidRPr="009E3B79">
        <w:rPr>
          <w:rFonts w:ascii="Arial" w:eastAsia="Calibri" w:hAnsi="Arial" w:cs="Arial"/>
          <w:sz w:val="22"/>
        </w:rPr>
        <w:t xml:space="preserve">C-033 del 13 de marzo de 2020, </w:t>
      </w:r>
      <w:r w:rsidR="003A130E" w:rsidRPr="009E3B79">
        <w:rPr>
          <w:rFonts w:ascii="Arial" w:eastAsia="Calibri" w:hAnsi="Arial" w:cs="Arial"/>
          <w:sz w:val="22"/>
        </w:rPr>
        <w:t>C-133 del 30 de marzo de 2020, C-196 del 8 de abril de 2020, C-297 del 4 de junio de 2020, C-489 del 23 de julio de 2020, C-522 del 6 de agosto de 2020, C-547 del 21 de agosto de 2020, C-642 de 30 de octubre de 2020, C-668 del 20 de noviembre de 2020, C-720 del 11 de diciembre de 2020</w:t>
      </w:r>
      <w:r w:rsidR="00101B42" w:rsidRPr="009E3B79">
        <w:rPr>
          <w:rFonts w:ascii="Arial" w:eastAsia="Calibri" w:hAnsi="Arial" w:cs="Arial"/>
          <w:sz w:val="22"/>
        </w:rPr>
        <w:t>,</w:t>
      </w:r>
      <w:r w:rsidR="00843A54" w:rsidRPr="009E3B79">
        <w:rPr>
          <w:rFonts w:ascii="Arial" w:eastAsia="Calibri" w:hAnsi="Arial" w:cs="Arial"/>
          <w:sz w:val="22"/>
        </w:rPr>
        <w:t xml:space="preserve"> </w:t>
      </w:r>
      <w:r w:rsidR="003A130E" w:rsidRPr="009E3B79">
        <w:rPr>
          <w:rFonts w:ascii="Arial" w:eastAsia="Calibri" w:hAnsi="Arial" w:cs="Arial"/>
          <w:sz w:val="22"/>
        </w:rPr>
        <w:t xml:space="preserve">C-789 </w:t>
      </w:r>
      <w:r w:rsidR="00843A54" w:rsidRPr="009E3B79">
        <w:rPr>
          <w:rFonts w:ascii="Arial" w:eastAsia="Calibri" w:hAnsi="Arial" w:cs="Arial"/>
          <w:sz w:val="22"/>
        </w:rPr>
        <w:t>del 19 de enero de 2021</w:t>
      </w:r>
      <w:r w:rsidR="00406429" w:rsidRPr="009E3B79">
        <w:rPr>
          <w:rFonts w:ascii="Arial" w:eastAsia="Calibri" w:hAnsi="Arial" w:cs="Arial"/>
          <w:sz w:val="22"/>
        </w:rPr>
        <w:t>,</w:t>
      </w:r>
      <w:r w:rsidR="00101B42" w:rsidRPr="009E3B79">
        <w:rPr>
          <w:rFonts w:ascii="Arial" w:eastAsia="Calibri" w:hAnsi="Arial" w:cs="Arial"/>
          <w:sz w:val="22"/>
        </w:rPr>
        <w:t xml:space="preserve"> C-042 del 3 de marzo de 2021</w:t>
      </w:r>
      <w:r w:rsidR="008F3B9B" w:rsidRPr="009E3B79">
        <w:rPr>
          <w:rFonts w:ascii="Arial" w:eastAsia="Calibri" w:hAnsi="Arial" w:cs="Arial"/>
          <w:sz w:val="22"/>
        </w:rPr>
        <w:t xml:space="preserve"> y</w:t>
      </w:r>
      <w:r w:rsidR="00406429" w:rsidRPr="009E3B79">
        <w:rPr>
          <w:rFonts w:ascii="Arial" w:eastAsia="Calibri" w:hAnsi="Arial" w:cs="Arial"/>
          <w:sz w:val="22"/>
        </w:rPr>
        <w:t xml:space="preserve"> C-219 del 19 de mayo</w:t>
      </w:r>
      <w:r w:rsidR="008F3B9B" w:rsidRPr="009E3B79">
        <w:rPr>
          <w:rFonts w:ascii="Arial" w:eastAsia="Calibri" w:hAnsi="Arial" w:cs="Arial"/>
          <w:sz w:val="22"/>
        </w:rPr>
        <w:t xml:space="preserve"> de 2021</w:t>
      </w:r>
      <w:r w:rsidR="00906836" w:rsidRPr="009E3B79">
        <w:rPr>
          <w:rFonts w:ascii="Arial" w:eastAsia="Calibri" w:hAnsi="Arial" w:cs="Arial"/>
          <w:sz w:val="22"/>
        </w:rPr>
        <w:t>, referentes al rechazo de propuestas por falta de acreditación del requisito de capacidad residual</w:t>
      </w:r>
      <w:r w:rsidR="00654B4B" w:rsidRPr="009E3B79">
        <w:rPr>
          <w:rFonts w:ascii="Arial" w:hAnsi="Arial" w:cs="Arial"/>
          <w:bCs/>
          <w:color w:val="000000" w:themeColor="text1"/>
          <w:sz w:val="22"/>
          <w:lang w:val="es-MX"/>
        </w:rPr>
        <w:t>.</w:t>
      </w:r>
      <w:r w:rsidR="006A3BE3" w:rsidRPr="009E3B79">
        <w:rPr>
          <w:rFonts w:ascii="Arial" w:eastAsia="Calibri" w:hAnsi="Arial" w:cs="Arial"/>
          <w:sz w:val="22"/>
        </w:rPr>
        <w:t xml:space="preserve"> Las tesis desarrolladas en estos conceptos se reiteran a continuación </w:t>
      </w:r>
      <w:r w:rsidR="00654B4B" w:rsidRPr="009E3B79">
        <w:rPr>
          <w:rFonts w:ascii="Arial" w:hAnsi="Arial" w:cs="Arial"/>
          <w:bCs/>
          <w:color w:val="000000" w:themeColor="text1"/>
          <w:sz w:val="22"/>
          <w:lang w:val="es-MX"/>
        </w:rPr>
        <w:t>y se complementa en lo pertinente</w:t>
      </w:r>
      <w:r w:rsidR="005421B6" w:rsidRPr="009E3B79">
        <w:rPr>
          <w:rFonts w:ascii="Arial" w:hAnsi="Arial" w:cs="Arial"/>
          <w:bCs/>
          <w:color w:val="000000" w:themeColor="text1"/>
          <w:sz w:val="22"/>
          <w:lang w:val="es-MX"/>
        </w:rPr>
        <w:t>:</w:t>
      </w:r>
      <w:r w:rsidR="00654B4B" w:rsidRPr="009E3B79">
        <w:rPr>
          <w:rFonts w:ascii="Arial" w:hAnsi="Arial" w:cs="Arial"/>
          <w:bCs/>
          <w:color w:val="000000" w:themeColor="text1"/>
          <w:sz w:val="22"/>
          <w:lang w:val="es-MX"/>
        </w:rPr>
        <w:t xml:space="preserve"> </w:t>
      </w:r>
    </w:p>
    <w:p w14:paraId="7AA42E42" w14:textId="078F8E32" w:rsidR="00580DD8" w:rsidRPr="009E3B79" w:rsidRDefault="00580DD8" w:rsidP="005C6410">
      <w:pPr>
        <w:spacing w:line="276" w:lineRule="auto"/>
        <w:jc w:val="both"/>
        <w:rPr>
          <w:rFonts w:ascii="Arial" w:hAnsi="Arial" w:cs="Arial"/>
          <w:bCs/>
          <w:color w:val="000000" w:themeColor="text1"/>
          <w:sz w:val="22"/>
          <w:lang w:val="es-MX"/>
        </w:rPr>
      </w:pPr>
    </w:p>
    <w:p w14:paraId="4728E27A" w14:textId="098FDBA0" w:rsidR="00580DD8" w:rsidRPr="009E3B79" w:rsidRDefault="00580DD8" w:rsidP="00580DD8">
      <w:pPr>
        <w:spacing w:line="276" w:lineRule="auto"/>
        <w:jc w:val="both"/>
        <w:rPr>
          <w:rFonts w:ascii="Arial" w:eastAsia="Calibri" w:hAnsi="Arial" w:cs="Arial"/>
          <w:b/>
          <w:bCs/>
          <w:color w:val="000000" w:themeColor="text1"/>
          <w:sz w:val="22"/>
          <w:szCs w:val="22"/>
          <w:lang w:val="es-ES_tradnl"/>
        </w:rPr>
      </w:pPr>
      <w:r w:rsidRPr="009E3B79">
        <w:rPr>
          <w:rFonts w:ascii="Arial" w:eastAsia="Calibri" w:hAnsi="Arial" w:cs="Arial"/>
          <w:b/>
          <w:bCs/>
          <w:color w:val="000000" w:themeColor="text1"/>
          <w:sz w:val="22"/>
          <w:szCs w:val="22"/>
          <w:lang w:val="es-ES_tradnl"/>
        </w:rPr>
        <w:lastRenderedPageBreak/>
        <w:t>2.1. Antecedentes y fundamentos de los documentos tipo de obra pública para infraestructura de transporte</w:t>
      </w:r>
    </w:p>
    <w:p w14:paraId="06853F29" w14:textId="77777777" w:rsidR="00580DD8" w:rsidRPr="009E3B79" w:rsidRDefault="00580DD8" w:rsidP="00580DD8">
      <w:pPr>
        <w:spacing w:line="276" w:lineRule="auto"/>
        <w:jc w:val="both"/>
        <w:rPr>
          <w:rFonts w:ascii="Arial" w:eastAsia="Calibri" w:hAnsi="Arial" w:cs="Arial"/>
          <w:b/>
          <w:bCs/>
          <w:color w:val="000000" w:themeColor="text1"/>
          <w:sz w:val="22"/>
          <w:szCs w:val="22"/>
          <w:lang w:val="es-ES_tradnl"/>
        </w:rPr>
      </w:pPr>
    </w:p>
    <w:p w14:paraId="40D4BD65" w14:textId="77777777" w:rsidR="00580DD8" w:rsidRPr="009E3B79" w:rsidRDefault="00580DD8" w:rsidP="00580DD8">
      <w:pPr>
        <w:shd w:val="clear" w:color="auto" w:fill="FFFFFF"/>
        <w:spacing w:line="276" w:lineRule="auto"/>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Los pliegos tipo surgen en el 2007 cuando el legislador facultó al Gobierno Nacional para adoptarlos en la compra o suministro de bienes de características técnicas uniformes</w:t>
      </w:r>
      <w:r w:rsidRPr="009E3B79">
        <w:rPr>
          <w:rFonts w:ascii="Arial" w:hAnsi="Arial" w:cs="Arial"/>
          <w:color w:val="0D0D0D"/>
          <w:sz w:val="22"/>
          <w:szCs w:val="22"/>
          <w:bdr w:val="none" w:sz="0" w:space="0" w:color="auto" w:frame="1"/>
          <w:vertAlign w:val="superscript"/>
          <w:lang w:val="es-MX" w:eastAsia="es-CO"/>
        </w:rPr>
        <w:footnoteReference w:id="2"/>
      </w:r>
      <w:r w:rsidRPr="009E3B79">
        <w:rPr>
          <w:rFonts w:ascii="Arial" w:hAnsi="Arial" w:cs="Arial"/>
          <w:color w:val="0D0D0D"/>
          <w:sz w:val="22"/>
          <w:szCs w:val="22"/>
          <w:bdr w:val="none" w:sz="0" w:space="0" w:color="auto" w:frame="1"/>
          <w:lang w:val="es-MX"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9E3B79">
        <w:rPr>
          <w:rFonts w:ascii="Arial" w:hAnsi="Arial" w:cs="Arial"/>
          <w:color w:val="0D0D0D"/>
          <w:sz w:val="22"/>
          <w:szCs w:val="22"/>
          <w:bdr w:val="none" w:sz="0" w:space="0" w:color="auto" w:frame="1"/>
          <w:vertAlign w:val="superscript"/>
          <w:lang w:val="es-MX" w:eastAsia="es-CO"/>
        </w:rPr>
        <w:footnoteReference w:id="3"/>
      </w:r>
      <w:r w:rsidRPr="009E3B79">
        <w:rPr>
          <w:rFonts w:ascii="Arial" w:hAnsi="Arial" w:cs="Arial"/>
          <w:color w:val="0D0D0D"/>
          <w:sz w:val="22"/>
          <w:szCs w:val="22"/>
          <w:bdr w:val="none" w:sz="0" w:space="0" w:color="auto" w:frame="1"/>
          <w:lang w:val="es-MX" w:eastAsia="es-CO"/>
        </w:rPr>
        <w:t>. </w:t>
      </w:r>
    </w:p>
    <w:p w14:paraId="3C7299B1" w14:textId="77777777" w:rsidR="00580DD8" w:rsidRPr="009E3B79" w:rsidRDefault="00580DD8" w:rsidP="00580DD8">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La intención era agilizar y dar mayor transparencia a los procedimientos de selección, así como evitar el direccionamiento. Por esta razón, conforme a lo explicado en la exposición de motivos, «[…] se asigna al Gobierno Nacional la facultad de estandarizar los pliegos de condiciones y términos de referencia de los contratos, medida que redundará en la agilidad y claridad de los procedimientos»</w:t>
      </w:r>
      <w:r w:rsidRPr="009E3B79">
        <w:rPr>
          <w:rFonts w:ascii="Arial" w:hAnsi="Arial" w:cs="Arial"/>
          <w:color w:val="0D0D0D"/>
          <w:sz w:val="22"/>
          <w:szCs w:val="22"/>
          <w:bdr w:val="none" w:sz="0" w:space="0" w:color="auto" w:frame="1"/>
          <w:vertAlign w:val="superscript"/>
          <w:lang w:val="es-MX" w:eastAsia="es-CO"/>
        </w:rPr>
        <w:footnoteReference w:id="4"/>
      </w:r>
      <w:r w:rsidRPr="009E3B79">
        <w:rPr>
          <w:rFonts w:ascii="Arial" w:hAnsi="Arial" w:cs="Arial"/>
          <w:color w:val="0D0D0D"/>
          <w:sz w:val="22"/>
          <w:szCs w:val="22"/>
          <w:bdr w:val="none" w:sz="0" w:space="0" w:color="auto" w:frame="1"/>
          <w:lang w:val="es-MX" w:eastAsia="es-CO"/>
        </w:rPr>
        <w:t>. Sin embargo, en el texto aprobado, los pliegos tipo se limitaron a la adquisición o suministro de bienes de características técnicas uniformes</w:t>
      </w:r>
      <w:r w:rsidRPr="009E3B79">
        <w:rPr>
          <w:rFonts w:ascii="Arial" w:hAnsi="Arial" w:cs="Arial"/>
          <w:color w:val="0D0D0D"/>
          <w:sz w:val="22"/>
          <w:szCs w:val="22"/>
          <w:bdr w:val="none" w:sz="0" w:space="0" w:color="auto" w:frame="1"/>
          <w:vertAlign w:val="superscript"/>
          <w:lang w:val="es-MX" w:eastAsia="es-CO"/>
        </w:rPr>
        <w:footnoteReference w:id="5"/>
      </w:r>
      <w:r w:rsidRPr="009E3B79">
        <w:rPr>
          <w:rFonts w:ascii="Arial" w:hAnsi="Arial" w:cs="Arial"/>
          <w:color w:val="0D0D0D"/>
          <w:sz w:val="22"/>
          <w:szCs w:val="22"/>
          <w:bdr w:val="none" w:sz="0" w:space="0" w:color="auto" w:frame="1"/>
          <w:lang w:val="es-MX" w:eastAsia="es-CO"/>
        </w:rPr>
        <w:t>. </w:t>
      </w:r>
    </w:p>
    <w:p w14:paraId="137EF884" w14:textId="77777777" w:rsidR="00580DD8" w:rsidRPr="009E3B79" w:rsidRDefault="00580DD8" w:rsidP="00580DD8">
      <w:pPr>
        <w:shd w:val="clear" w:color="auto" w:fill="FFFFFF"/>
        <w:spacing w:before="120" w:line="276" w:lineRule="auto"/>
        <w:ind w:firstLine="709"/>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Posteriormente, el artículo 2, parágrafo 7º, de la Ley 1150 de 2007, adicionado por el artículo 4 de la Ley 1882 de 2018, establece la obligatoriedad de la adopción de documentos tipo para algunos contratos, en los siguientes términos: </w:t>
      </w:r>
    </w:p>
    <w:p w14:paraId="091091EF" w14:textId="77777777" w:rsidR="00580DD8" w:rsidRPr="009E3B79" w:rsidRDefault="00580DD8" w:rsidP="00580DD8">
      <w:pPr>
        <w:shd w:val="clear" w:color="auto" w:fill="FFFFFF"/>
        <w:spacing w:line="276" w:lineRule="auto"/>
        <w:ind w:firstLine="709"/>
        <w:jc w:val="both"/>
        <w:rPr>
          <w:rFonts w:ascii="Arial" w:hAnsi="Arial" w:cs="Arial"/>
          <w:color w:val="000000"/>
          <w:sz w:val="22"/>
          <w:szCs w:val="22"/>
          <w:lang w:val="es-MX" w:eastAsia="es-CO"/>
        </w:rPr>
      </w:pPr>
    </w:p>
    <w:p w14:paraId="5BBB3738" w14:textId="77777777" w:rsidR="00580DD8" w:rsidRPr="009E3B79" w:rsidRDefault="00580DD8" w:rsidP="00580DD8">
      <w:pPr>
        <w:shd w:val="clear" w:color="auto" w:fill="FFFFFF"/>
        <w:ind w:left="709" w:right="709"/>
        <w:jc w:val="both"/>
        <w:rPr>
          <w:rFonts w:ascii="Arial" w:hAnsi="Arial" w:cs="Arial"/>
          <w:color w:val="0D0D0D"/>
          <w:sz w:val="21"/>
          <w:szCs w:val="21"/>
          <w:bdr w:val="none" w:sz="0" w:space="0" w:color="auto" w:frame="1"/>
          <w:lang w:val="es-MX" w:eastAsia="es-CO"/>
        </w:rPr>
      </w:pPr>
      <w:r w:rsidRPr="009E3B79">
        <w:rPr>
          <w:rFonts w:ascii="Arial" w:hAnsi="Arial" w:cs="Arial"/>
          <w:color w:val="0D0D0D"/>
          <w:sz w:val="21"/>
          <w:szCs w:val="21"/>
          <w:bdr w:val="none" w:sz="0" w:space="0" w:color="auto" w:frame="1"/>
          <w:lang w:val="es-MX"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9E3B79">
        <w:rPr>
          <w:rFonts w:ascii="Arial" w:hAnsi="Arial" w:cs="Arial"/>
          <w:i/>
          <w:iCs/>
          <w:color w:val="0D0D0D"/>
          <w:sz w:val="21"/>
          <w:szCs w:val="21"/>
          <w:bdr w:val="none" w:sz="0" w:space="0" w:color="auto" w:frame="1"/>
          <w:lang w:val="es-MX"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9E3B79">
        <w:rPr>
          <w:rFonts w:ascii="Arial" w:hAnsi="Arial" w:cs="Arial"/>
          <w:color w:val="0D0D0D"/>
          <w:sz w:val="21"/>
          <w:szCs w:val="21"/>
          <w:bdr w:val="none" w:sz="0" w:space="0" w:color="auto" w:frame="1"/>
          <w:lang w:val="es-MX" w:eastAsia="es-CO"/>
        </w:rPr>
        <w:t> […] </w:t>
      </w:r>
      <w:r w:rsidRPr="009E3B79">
        <w:rPr>
          <w:rFonts w:ascii="Arial" w:hAnsi="Arial" w:cs="Arial"/>
          <w:i/>
          <w:iCs/>
          <w:color w:val="0D0D0D"/>
          <w:sz w:val="21"/>
          <w:szCs w:val="21"/>
          <w:bdr w:val="none" w:sz="0" w:space="0" w:color="auto" w:frame="1"/>
          <w:lang w:val="es-MX" w:eastAsia="es-CO"/>
        </w:rPr>
        <w:t>teniendo en cuenta la naturaleza y cuantía de los contratos</w:t>
      </w:r>
      <w:r w:rsidRPr="009E3B79">
        <w:rPr>
          <w:rFonts w:ascii="Arial" w:hAnsi="Arial" w:cs="Arial"/>
          <w:color w:val="0D0D0D"/>
          <w:sz w:val="21"/>
          <w:szCs w:val="21"/>
          <w:bdr w:val="none" w:sz="0" w:space="0" w:color="auto" w:frame="1"/>
          <w:lang w:val="es-MX" w:eastAsia="es-CO"/>
        </w:rPr>
        <w:t> […]. (Énfasis fuera de texto) </w:t>
      </w:r>
    </w:p>
    <w:p w14:paraId="38423E6E" w14:textId="77777777" w:rsidR="00580DD8" w:rsidRPr="009E3B79" w:rsidRDefault="00580DD8" w:rsidP="00580DD8">
      <w:pPr>
        <w:shd w:val="clear" w:color="auto" w:fill="FFFFFF"/>
        <w:spacing w:line="276" w:lineRule="auto"/>
        <w:ind w:left="709" w:right="709"/>
        <w:jc w:val="both"/>
        <w:rPr>
          <w:rFonts w:ascii="Arial" w:hAnsi="Arial" w:cs="Arial"/>
          <w:color w:val="000000"/>
          <w:sz w:val="22"/>
          <w:szCs w:val="22"/>
          <w:lang w:val="es-MX" w:eastAsia="es-CO"/>
        </w:rPr>
      </w:pPr>
    </w:p>
    <w:p w14:paraId="6061C8B1" w14:textId="77777777" w:rsidR="00580DD8" w:rsidRPr="009E3B79" w:rsidRDefault="00580DD8" w:rsidP="00580DD8">
      <w:pPr>
        <w:shd w:val="clear" w:color="auto" w:fill="FFFFFF"/>
        <w:spacing w:line="276" w:lineRule="auto"/>
        <w:ind w:firstLine="708"/>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 xml:space="preserve">Sin embargo, el 22 de julio de 2020, el Gobierno Nacional sancionó la Ley 2022, llamada la «ley de pliegos tipo», que rige a partir de su publicación y cuyo artículo 1 modifica </w:t>
      </w:r>
      <w:r w:rsidRPr="009E3B79">
        <w:rPr>
          <w:rFonts w:ascii="Arial" w:hAnsi="Arial" w:cs="Arial"/>
          <w:color w:val="0D0D0D"/>
          <w:sz w:val="22"/>
          <w:szCs w:val="22"/>
          <w:bdr w:val="none" w:sz="0" w:space="0" w:color="auto" w:frame="1"/>
          <w:lang w:val="es-MX" w:eastAsia="es-CO"/>
        </w:rPr>
        <w:lastRenderedPageBreak/>
        <w:t xml:space="preserve">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9E3B79">
        <w:rPr>
          <w:rFonts w:ascii="Arial" w:hAnsi="Arial" w:cs="Arial"/>
          <w:color w:val="0D0D0D"/>
          <w:sz w:val="22"/>
          <w:szCs w:val="22"/>
          <w:bdr w:val="none" w:sz="0" w:space="0" w:color="auto" w:frame="1"/>
          <w:lang w:val="es-MX" w:eastAsia="es-CO"/>
        </w:rPr>
        <w:t>ii</w:t>
      </w:r>
      <w:proofErr w:type="spellEnd"/>
      <w:r w:rsidRPr="009E3B79">
        <w:rPr>
          <w:rFonts w:ascii="Arial" w:hAnsi="Arial" w:cs="Arial"/>
          <w:color w:val="0D0D0D"/>
          <w:sz w:val="22"/>
          <w:szCs w:val="22"/>
          <w:bdr w:val="none" w:sz="0" w:space="0" w:color="auto" w:frame="1"/>
          <w:lang w:val="es-MX"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9E3B79">
        <w:rPr>
          <w:rFonts w:ascii="Arial" w:hAnsi="Arial" w:cs="Arial"/>
          <w:color w:val="0D0D0D"/>
          <w:sz w:val="22"/>
          <w:szCs w:val="22"/>
          <w:bdr w:val="none" w:sz="0" w:space="0" w:color="auto" w:frame="1"/>
          <w:lang w:val="es-MX" w:eastAsia="es-CO"/>
        </w:rPr>
        <w:t>iii</w:t>
      </w:r>
      <w:proofErr w:type="spellEnd"/>
      <w:r w:rsidRPr="009E3B79">
        <w:rPr>
          <w:rFonts w:ascii="Arial" w:hAnsi="Arial" w:cs="Arial"/>
          <w:color w:val="0D0D0D"/>
          <w:sz w:val="22"/>
          <w:szCs w:val="22"/>
          <w:bdr w:val="none" w:sz="0" w:space="0" w:color="auto" w:frame="1"/>
          <w:lang w:val="es-MX" w:eastAsia="es-CO"/>
        </w:rPr>
        <w:t xml:space="preserve">) la implementación de procesos de capacitación en los municipios para la utilización de los documentos tipo buscando el desarrollo de la economía local; y </w:t>
      </w:r>
      <w:proofErr w:type="spellStart"/>
      <w:r w:rsidRPr="009E3B79">
        <w:rPr>
          <w:rFonts w:ascii="Arial" w:hAnsi="Arial" w:cs="Arial"/>
          <w:color w:val="0D0D0D"/>
          <w:sz w:val="22"/>
          <w:szCs w:val="22"/>
          <w:bdr w:val="none" w:sz="0" w:space="0" w:color="auto" w:frame="1"/>
          <w:lang w:val="es-MX" w:eastAsia="es-CO"/>
        </w:rPr>
        <w:t>iv</w:t>
      </w:r>
      <w:proofErr w:type="spellEnd"/>
      <w:r w:rsidRPr="009E3B79">
        <w:rPr>
          <w:rFonts w:ascii="Arial" w:hAnsi="Arial" w:cs="Arial"/>
          <w:color w:val="0D0D0D"/>
          <w:sz w:val="22"/>
          <w:szCs w:val="22"/>
          <w:bdr w:val="none" w:sz="0" w:space="0" w:color="auto" w:frame="1"/>
          <w:lang w:val="es-MX"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9E3B79">
        <w:rPr>
          <w:rFonts w:ascii="Arial" w:hAnsi="Arial" w:cs="Arial"/>
          <w:color w:val="0D0D0D"/>
          <w:sz w:val="22"/>
          <w:szCs w:val="22"/>
          <w:bdr w:val="none" w:sz="0" w:space="0" w:color="auto" w:frame="1"/>
          <w:vertAlign w:val="superscript"/>
          <w:lang w:val="es-MX" w:eastAsia="es-CO"/>
        </w:rPr>
        <w:footnoteReference w:id="6"/>
      </w:r>
      <w:r w:rsidRPr="009E3B79">
        <w:rPr>
          <w:rFonts w:ascii="Arial" w:hAnsi="Arial" w:cs="Arial"/>
          <w:color w:val="0D0D0D"/>
          <w:sz w:val="22"/>
          <w:szCs w:val="22"/>
          <w:bdr w:val="none" w:sz="0" w:space="0" w:color="auto" w:frame="1"/>
          <w:lang w:val="es-MX" w:eastAsia="es-CO"/>
        </w:rPr>
        <w:t>.  </w:t>
      </w:r>
    </w:p>
    <w:p w14:paraId="225D1A20" w14:textId="77777777" w:rsidR="00580DD8" w:rsidRPr="009E3B79" w:rsidRDefault="00580DD8" w:rsidP="00580DD8">
      <w:pPr>
        <w:shd w:val="clear" w:color="auto" w:fill="FFFFFF"/>
        <w:spacing w:before="120" w:line="276" w:lineRule="auto"/>
        <w:ind w:firstLine="703"/>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68BFFFB6" w14:textId="77777777" w:rsidR="00580DD8" w:rsidRPr="009E3B79" w:rsidRDefault="00580DD8" w:rsidP="00580DD8">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En ejercicio de la competencia conferida por el citado parágrafo, el Gobierno Nacional expidió el Decreto 342 de 2019 mediante el cual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w:t>
      </w:r>
    </w:p>
    <w:p w14:paraId="28C1CAE6" w14:textId="77777777" w:rsidR="00580DD8" w:rsidRPr="009E3B79" w:rsidRDefault="00580DD8" w:rsidP="00580DD8">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 xml:space="preserve">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w:t>
      </w:r>
      <w:r w:rsidRPr="009E3B79">
        <w:rPr>
          <w:rFonts w:ascii="Arial" w:hAnsi="Arial" w:cs="Arial"/>
          <w:color w:val="0D0D0D"/>
          <w:sz w:val="22"/>
          <w:szCs w:val="22"/>
          <w:bdr w:val="none" w:sz="0" w:space="0" w:color="auto" w:frame="1"/>
          <w:lang w:val="es-MX" w:eastAsia="es-CO"/>
        </w:rPr>
        <w:lastRenderedPageBreak/>
        <w:t>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w:t>
      </w:r>
    </w:p>
    <w:p w14:paraId="2D91B4F8" w14:textId="77777777" w:rsidR="00580DD8" w:rsidRPr="009E3B79" w:rsidRDefault="00580DD8" w:rsidP="00580DD8">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w:t>
      </w:r>
    </w:p>
    <w:p w14:paraId="49D858A6" w14:textId="77777777" w:rsidR="00580DD8" w:rsidRPr="009E3B79" w:rsidRDefault="00580DD8" w:rsidP="00580DD8">
      <w:pPr>
        <w:shd w:val="clear" w:color="auto" w:fill="FFFFFF"/>
        <w:spacing w:before="120" w:line="276" w:lineRule="auto"/>
        <w:ind w:firstLine="705"/>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0BCDA7E2" w14:textId="77777777" w:rsidR="00580DD8" w:rsidRPr="009E3B79" w:rsidRDefault="00580DD8" w:rsidP="00580DD8">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De igual forma, el Gobierno Nacional ejerció nuevamente la competencia prevista en el citado artículo 4 de la Ley 1882 de 2018, expidiendo el Decreto 2096 de 2019. El Decreto autorizó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6BAE38D4" w14:textId="77777777" w:rsidR="00580DD8" w:rsidRPr="009E3B79" w:rsidRDefault="00580DD8" w:rsidP="00580DD8">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El artículo 2.2.1.2.6.2.2 del Decreto 1082 de 2015 contiene el listado de los documentos tipo aplicables a los procesos de selección abreviada de menor cuantía para la contratación de obra pública de infraestructura de transporte. Además, el 2.2.1.2.6.2.3 </w:t>
      </w:r>
      <w:r w:rsidRPr="009E3B79">
        <w:rPr>
          <w:rFonts w:ascii="Arial" w:hAnsi="Arial" w:cs="Arial"/>
          <w:i/>
          <w:iCs/>
          <w:color w:val="0D0D0D"/>
          <w:sz w:val="22"/>
          <w:szCs w:val="22"/>
          <w:bdr w:val="none" w:sz="0" w:space="0" w:color="auto" w:frame="1"/>
          <w:lang w:val="es-MX" w:eastAsia="es-CO"/>
        </w:rPr>
        <w:t>ibidem</w:t>
      </w:r>
      <w:r w:rsidRPr="009E3B79">
        <w:rPr>
          <w:rFonts w:ascii="Arial" w:hAnsi="Arial" w:cs="Arial"/>
          <w:color w:val="0D0D0D"/>
          <w:sz w:val="22"/>
          <w:szCs w:val="22"/>
          <w:bdr w:val="none" w:sz="0" w:space="0" w:color="auto" w:frame="1"/>
          <w:lang w:val="es-MX"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15C711E8" w14:textId="77777777" w:rsidR="00580DD8" w:rsidRPr="009E3B79" w:rsidRDefault="00580DD8" w:rsidP="00580DD8">
      <w:pPr>
        <w:shd w:val="clear" w:color="auto" w:fill="FFFFFF"/>
        <w:spacing w:before="120" w:line="276" w:lineRule="auto"/>
        <w:ind w:firstLine="708"/>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 xml:space="preserve">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w:t>
      </w:r>
      <w:r w:rsidRPr="009E3B79">
        <w:rPr>
          <w:rFonts w:ascii="Arial" w:hAnsi="Arial" w:cs="Arial"/>
          <w:color w:val="0D0D0D"/>
          <w:sz w:val="22"/>
          <w:szCs w:val="22"/>
          <w:bdr w:val="none" w:sz="0" w:space="0" w:color="auto" w:frame="1"/>
          <w:lang w:val="es-MX" w:eastAsia="es-CO"/>
        </w:rPr>
        <w:lastRenderedPageBreak/>
        <w:t>Subsección 3 a la Sección 6 del Capítulo 2 del Título 1 de la parte 2 del Libro 2 del Decreto 1082 de 2015. </w:t>
      </w:r>
    </w:p>
    <w:p w14:paraId="1106B28C" w14:textId="77777777" w:rsidR="00580DD8" w:rsidRPr="009E3B79" w:rsidRDefault="00580DD8" w:rsidP="00580DD8">
      <w:pPr>
        <w:shd w:val="clear" w:color="auto" w:fill="FFFFFF"/>
        <w:spacing w:before="120" w:after="120" w:line="276" w:lineRule="auto"/>
        <w:ind w:firstLine="709"/>
        <w:jc w:val="both"/>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 </w:t>
      </w:r>
    </w:p>
    <w:p w14:paraId="15093F14" w14:textId="74704122" w:rsidR="00580DD8" w:rsidRPr="009E3B79" w:rsidRDefault="00580DD8" w:rsidP="00FF3FBF">
      <w:pPr>
        <w:spacing w:after="120" w:line="276" w:lineRule="auto"/>
        <w:ind w:firstLine="709"/>
        <w:jc w:val="both"/>
        <w:rPr>
          <w:rFonts w:ascii="Arial" w:eastAsia="Calibri" w:hAnsi="Arial" w:cs="Arial"/>
          <w:color w:val="000000"/>
          <w:sz w:val="22"/>
          <w:szCs w:val="22"/>
          <w:lang w:val="es-ES_tradnl" w:eastAsia="es-ES"/>
        </w:rPr>
      </w:pPr>
      <w:r w:rsidRPr="009E3B79">
        <w:rPr>
          <w:rFonts w:ascii="Arial" w:eastAsia="Calibri" w:hAnsi="Arial" w:cs="Arial"/>
          <w:color w:val="000000"/>
          <w:sz w:val="22"/>
          <w:szCs w:val="22"/>
          <w:lang w:val="es-ES_tradnl" w:eastAsia="es-ES"/>
        </w:rPr>
        <w:t>Por otra parte</w:t>
      </w:r>
      <w:r w:rsidRPr="009E3B79">
        <w:rPr>
          <w:rFonts w:ascii="Arial" w:eastAsia="Calibri" w:hAnsi="Arial" w:cs="Arial"/>
          <w:i/>
          <w:iCs/>
          <w:color w:val="000000"/>
          <w:sz w:val="22"/>
          <w:szCs w:val="22"/>
          <w:lang w:val="es-ES_tradnl" w:eastAsia="es-ES"/>
        </w:rPr>
        <w:t>,</w:t>
      </w:r>
      <w:r w:rsidRPr="009E3B79">
        <w:rPr>
          <w:rFonts w:ascii="Arial" w:eastAsia="Calibri" w:hAnsi="Arial" w:cs="Arial"/>
          <w:color w:val="000000"/>
          <w:sz w:val="22"/>
          <w:szCs w:val="22"/>
          <w:lang w:val="es-ES_tradnl" w:eastAsia="es-ES"/>
        </w:rPr>
        <w:t xml:space="preserve"> debe tenerse en cuenta que con base en la facultad otorgada en la Ley 2022 de 2020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w:t>
      </w:r>
      <w:r w:rsidR="00FF3FBF" w:rsidRPr="009E3B79">
        <w:rPr>
          <w:rFonts w:ascii="Arial" w:eastAsia="Calibri" w:hAnsi="Arial" w:cs="Arial"/>
          <w:color w:val="000000"/>
          <w:sz w:val="22"/>
          <w:szCs w:val="22"/>
          <w:lang w:val="es-ES_tradnl" w:eastAsia="es-ES"/>
        </w:rPr>
        <w:t xml:space="preserve">, y </w:t>
      </w:r>
      <w:r w:rsidRPr="009E3B79">
        <w:rPr>
          <w:rFonts w:ascii="Arial" w:eastAsia="Calibri" w:hAnsi="Arial" w:cs="Arial"/>
          <w:color w:val="000000"/>
          <w:sz w:val="22"/>
          <w:szCs w:val="22"/>
          <w:lang w:val="es-ES_tradnl" w:eastAsia="es-ES"/>
        </w:rPr>
        <w:t xml:space="preserve">la Resolución 241 del 27 de noviembre de 2020, «Por la cual se actualizan los Documentos Tipo para los procesos de selección abreviada de menor cuantía de obra pública de infraestructura de transporte y se deroga la Resolución 0044 de 2020». </w:t>
      </w:r>
    </w:p>
    <w:p w14:paraId="1EC5A8B3" w14:textId="55C8FC8B" w:rsidR="00580DD8" w:rsidRPr="009E3B79" w:rsidRDefault="00580DD8" w:rsidP="00FF3FBF">
      <w:pPr>
        <w:shd w:val="clear" w:color="auto" w:fill="FFFFFF"/>
        <w:spacing w:line="276" w:lineRule="auto"/>
        <w:ind w:firstLine="709"/>
        <w:jc w:val="both"/>
        <w:textAlignment w:val="baseline"/>
        <w:rPr>
          <w:rFonts w:ascii="Arial" w:hAnsi="Arial" w:cs="Arial"/>
          <w:color w:val="0D0D0D"/>
          <w:sz w:val="22"/>
          <w:szCs w:val="22"/>
          <w:bdr w:val="none" w:sz="0" w:space="0" w:color="auto" w:frame="1"/>
          <w:lang w:val="es-MX" w:eastAsia="es-CO"/>
        </w:rPr>
      </w:pPr>
      <w:r w:rsidRPr="009E3B79">
        <w:rPr>
          <w:rFonts w:ascii="Arial" w:hAnsi="Arial" w:cs="Arial"/>
          <w:color w:val="0D0D0D"/>
          <w:sz w:val="22"/>
          <w:szCs w:val="22"/>
          <w:bdr w:val="none" w:sz="0" w:space="0" w:color="auto" w:frame="1"/>
          <w:lang w:val="es-MX" w:eastAsia="es-CO"/>
        </w:rPr>
        <w:t xml:space="preserve">Con la expedición de la Ley de Emprendimiento, estos se ajustaron </w:t>
      </w:r>
      <w:r w:rsidR="00B86079" w:rsidRPr="009E3B79">
        <w:rPr>
          <w:rFonts w:ascii="Arial" w:hAnsi="Arial" w:cs="Arial"/>
          <w:color w:val="0D0D0D"/>
          <w:sz w:val="22"/>
          <w:szCs w:val="22"/>
          <w:bdr w:val="none" w:sz="0" w:space="0" w:color="auto" w:frame="1"/>
          <w:lang w:val="es-MX" w:eastAsia="es-CO"/>
        </w:rPr>
        <w:t>mediante</w:t>
      </w:r>
      <w:r w:rsidRPr="009E3B79">
        <w:rPr>
          <w:rFonts w:ascii="Arial" w:hAnsi="Arial" w:cs="Arial"/>
          <w:color w:val="0D0D0D"/>
          <w:sz w:val="22"/>
          <w:szCs w:val="22"/>
          <w:bdr w:val="none" w:sz="0" w:space="0" w:color="auto" w:frame="1"/>
          <w:lang w:val="es-MX" w:eastAsia="es-CO"/>
        </w:rPr>
        <w:t xml:space="preserve"> la Resolución </w:t>
      </w:r>
      <w:r w:rsidR="00CA1286" w:rsidRPr="009E3B79">
        <w:rPr>
          <w:rFonts w:ascii="Arial" w:hAnsi="Arial" w:cs="Arial"/>
          <w:color w:val="0D0D0D"/>
          <w:sz w:val="22"/>
          <w:szCs w:val="22"/>
          <w:bdr w:val="none" w:sz="0" w:space="0" w:color="auto" w:frame="1"/>
          <w:lang w:val="es-MX" w:eastAsia="es-CO"/>
        </w:rPr>
        <w:t>1</w:t>
      </w:r>
      <w:r w:rsidRPr="009E3B79">
        <w:rPr>
          <w:rFonts w:ascii="Arial" w:hAnsi="Arial" w:cs="Arial"/>
          <w:color w:val="0D0D0D"/>
          <w:sz w:val="22"/>
          <w:szCs w:val="22"/>
          <w:bdr w:val="none" w:sz="0" w:space="0" w:color="auto" w:frame="1"/>
          <w:lang w:val="es-MX" w:eastAsia="es-CO"/>
        </w:rPr>
        <w:t xml:space="preserve">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r w:rsidR="00CA1286" w:rsidRPr="009E3B79">
        <w:rPr>
          <w:rFonts w:ascii="Arial" w:hAnsi="Arial" w:cs="Arial"/>
          <w:color w:val="0D0D0D"/>
          <w:sz w:val="22"/>
          <w:szCs w:val="22"/>
          <w:bdr w:val="none" w:sz="0" w:space="0" w:color="auto" w:frame="1"/>
          <w:lang w:val="es-MX" w:eastAsia="es-CO"/>
        </w:rPr>
        <w:t>Por último,</w:t>
      </w:r>
      <w:r w:rsidR="00FF3FBF" w:rsidRPr="009E3B79">
        <w:rPr>
          <w:rFonts w:ascii="Arial" w:hAnsi="Arial" w:cs="Arial"/>
          <w:color w:val="0D0D0D"/>
          <w:sz w:val="22"/>
          <w:szCs w:val="22"/>
          <w:bdr w:val="none" w:sz="0" w:space="0" w:color="auto" w:frame="1"/>
          <w:lang w:val="es-MX" w:eastAsia="es-CO"/>
        </w:rPr>
        <w:t xml:space="preserve"> con </w:t>
      </w:r>
      <w:r w:rsidR="000D4400" w:rsidRPr="009E3B79">
        <w:rPr>
          <w:rFonts w:ascii="Arial" w:hAnsi="Arial" w:cs="Arial"/>
          <w:color w:val="0D0D0D"/>
          <w:sz w:val="22"/>
          <w:szCs w:val="22"/>
          <w:bdr w:val="none" w:sz="0" w:space="0" w:color="auto" w:frame="1"/>
          <w:lang w:val="es-MX" w:eastAsia="es-CO"/>
        </w:rPr>
        <w:t xml:space="preserve">el </w:t>
      </w:r>
      <w:r w:rsidR="00FF3FBF" w:rsidRPr="009E3B79">
        <w:rPr>
          <w:rFonts w:ascii="Arial" w:hAnsi="Arial" w:cs="Arial"/>
          <w:color w:val="0D0D0D"/>
          <w:sz w:val="22"/>
          <w:szCs w:val="22"/>
          <w:bdr w:val="none" w:sz="0" w:space="0" w:color="auto" w:frame="1"/>
          <w:lang w:val="es-MX" w:eastAsia="es-CO"/>
        </w:rPr>
        <w:t>fin de adaptar los documentos tipo a la regla de origen del Decreto 680 de 2021,</w:t>
      </w:r>
      <w:r w:rsidR="00CA1286" w:rsidRPr="009E3B79">
        <w:rPr>
          <w:rFonts w:ascii="Arial" w:hAnsi="Arial" w:cs="Arial"/>
          <w:color w:val="0D0D0D"/>
          <w:sz w:val="22"/>
          <w:szCs w:val="22"/>
          <w:bdr w:val="none" w:sz="0" w:space="0" w:color="auto" w:frame="1"/>
          <w:lang w:val="es-MX" w:eastAsia="es-CO"/>
        </w:rPr>
        <w:t xml:space="preserve"> también se modificaron por medio de la Resolución </w:t>
      </w:r>
      <w:r w:rsidR="00FF3FBF" w:rsidRPr="009E3B79">
        <w:rPr>
          <w:rFonts w:ascii="Arial" w:hAnsi="Arial" w:cs="Arial"/>
          <w:color w:val="0D0D0D"/>
          <w:sz w:val="22"/>
          <w:szCs w:val="22"/>
          <w:bdr w:val="none" w:sz="0" w:space="0" w:color="auto" w:frame="1"/>
          <w:lang w:val="es-MX" w:eastAsia="es-CO"/>
        </w:rPr>
        <w:t>304 del 13 de octubre de 2021, la cual aplicará a los procesos de contratación cuyo aviso de convocatoria se publique a partir del 2 de noviembre de 2021.</w:t>
      </w:r>
    </w:p>
    <w:p w14:paraId="294EBD27" w14:textId="77777777" w:rsidR="00580DD8" w:rsidRPr="009E3B79" w:rsidRDefault="00580DD8" w:rsidP="005C6410">
      <w:pPr>
        <w:spacing w:line="276" w:lineRule="auto"/>
        <w:jc w:val="both"/>
        <w:rPr>
          <w:rFonts w:ascii="Arial" w:hAnsi="Arial" w:cs="Arial"/>
          <w:bCs/>
          <w:color w:val="000000" w:themeColor="text1"/>
          <w:sz w:val="22"/>
          <w:lang w:val="es-MX"/>
        </w:rPr>
      </w:pPr>
    </w:p>
    <w:p w14:paraId="17CAD0D4" w14:textId="1AAB6C6D" w:rsidR="00BF28DB" w:rsidRPr="009E3B79" w:rsidRDefault="00505DCB" w:rsidP="00BF28DB">
      <w:pPr>
        <w:spacing w:line="276" w:lineRule="auto"/>
        <w:jc w:val="both"/>
        <w:rPr>
          <w:rFonts w:ascii="Arial" w:eastAsia="Calibri" w:hAnsi="Arial" w:cs="Arial"/>
          <w:b/>
          <w:bCs/>
          <w:color w:val="000000"/>
          <w:sz w:val="22"/>
          <w:lang w:eastAsia="en-GB"/>
        </w:rPr>
      </w:pPr>
      <w:r w:rsidRPr="009E3B79">
        <w:rPr>
          <w:rFonts w:ascii="Arial" w:eastAsia="Calibri" w:hAnsi="Arial" w:cs="Arial"/>
          <w:b/>
          <w:bCs/>
          <w:color w:val="000000"/>
          <w:sz w:val="22"/>
          <w:lang w:eastAsia="en-GB"/>
        </w:rPr>
        <w:t>2.</w:t>
      </w:r>
      <w:r w:rsidR="00CA1286" w:rsidRPr="009E3B79">
        <w:rPr>
          <w:rFonts w:ascii="Arial" w:eastAsia="Calibri" w:hAnsi="Arial" w:cs="Arial"/>
          <w:b/>
          <w:bCs/>
          <w:color w:val="000000"/>
          <w:sz w:val="22"/>
          <w:lang w:eastAsia="en-GB"/>
        </w:rPr>
        <w:t>2</w:t>
      </w:r>
      <w:r w:rsidRPr="009E3B79">
        <w:rPr>
          <w:rFonts w:ascii="Arial" w:eastAsia="Calibri" w:hAnsi="Arial" w:cs="Arial"/>
          <w:b/>
          <w:bCs/>
          <w:color w:val="000000"/>
          <w:sz w:val="22"/>
          <w:lang w:eastAsia="en-GB"/>
        </w:rPr>
        <w:t>.</w:t>
      </w:r>
      <w:r w:rsidR="0084195A" w:rsidRPr="009E3B79">
        <w:rPr>
          <w:rFonts w:ascii="Arial" w:eastAsia="Calibri" w:hAnsi="Arial" w:cs="Arial"/>
          <w:b/>
          <w:bCs/>
          <w:color w:val="000000"/>
          <w:sz w:val="22"/>
          <w:lang w:eastAsia="en-GB"/>
        </w:rPr>
        <w:t xml:space="preserve"> </w:t>
      </w:r>
      <w:r w:rsidR="00D8024F" w:rsidRPr="009E3B79">
        <w:rPr>
          <w:rFonts w:ascii="Arial" w:eastAsia="Calibri" w:hAnsi="Arial" w:cs="Arial"/>
          <w:b/>
          <w:bCs/>
          <w:color w:val="000000"/>
          <w:sz w:val="22"/>
          <w:lang w:eastAsia="en-GB"/>
        </w:rPr>
        <w:t>La capacidad residual</w:t>
      </w:r>
      <w:r w:rsidR="00AC49F3" w:rsidRPr="009E3B79">
        <w:rPr>
          <w:rFonts w:ascii="Arial" w:eastAsia="Calibri" w:hAnsi="Arial" w:cs="Arial"/>
          <w:b/>
          <w:bCs/>
          <w:color w:val="000000"/>
          <w:sz w:val="22"/>
          <w:lang w:eastAsia="en-GB"/>
        </w:rPr>
        <w:t xml:space="preserve"> como </w:t>
      </w:r>
      <w:r w:rsidR="00D8024F" w:rsidRPr="009E3B79">
        <w:rPr>
          <w:rFonts w:ascii="Arial" w:eastAsia="Calibri" w:hAnsi="Arial" w:cs="Arial"/>
          <w:b/>
          <w:bCs/>
          <w:color w:val="000000"/>
          <w:sz w:val="22"/>
          <w:lang w:eastAsia="en-GB"/>
        </w:rPr>
        <w:t>requisito habilitante</w:t>
      </w:r>
      <w:r w:rsidR="00FF3FBF" w:rsidRPr="009E3B79">
        <w:rPr>
          <w:rFonts w:ascii="Arial" w:eastAsia="Calibri" w:hAnsi="Arial" w:cs="Arial"/>
          <w:b/>
          <w:bCs/>
          <w:color w:val="000000"/>
          <w:sz w:val="22"/>
          <w:lang w:eastAsia="en-GB"/>
        </w:rPr>
        <w:t xml:space="preserve"> en los documentos tipo de infraestructura de transporte</w:t>
      </w:r>
      <w:r w:rsidR="000D4400" w:rsidRPr="009E3B79">
        <w:rPr>
          <w:rFonts w:ascii="Arial" w:eastAsia="Calibri" w:hAnsi="Arial" w:cs="Arial"/>
          <w:b/>
          <w:bCs/>
          <w:color w:val="000000"/>
          <w:sz w:val="22"/>
          <w:lang w:eastAsia="en-GB"/>
        </w:rPr>
        <w:t>:</w:t>
      </w:r>
      <w:r w:rsidR="00FF3FBF" w:rsidRPr="009E3B79">
        <w:rPr>
          <w:rFonts w:ascii="Arial" w:eastAsia="Calibri" w:hAnsi="Arial" w:cs="Arial"/>
          <w:b/>
          <w:bCs/>
          <w:color w:val="000000"/>
          <w:sz w:val="22"/>
          <w:lang w:eastAsia="en-GB"/>
        </w:rPr>
        <w:t xml:space="preserve"> </w:t>
      </w:r>
      <w:r w:rsidR="000D4400" w:rsidRPr="009E3B79">
        <w:rPr>
          <w:rFonts w:ascii="Arial" w:eastAsia="Calibri" w:hAnsi="Arial" w:cs="Arial"/>
          <w:b/>
          <w:bCs/>
          <w:color w:val="000000"/>
          <w:sz w:val="22"/>
          <w:lang w:eastAsia="en-GB"/>
        </w:rPr>
        <w:t>e</w:t>
      </w:r>
      <w:r w:rsidR="00FF3FBF" w:rsidRPr="009E3B79">
        <w:rPr>
          <w:rFonts w:ascii="Arial" w:eastAsia="Calibri" w:hAnsi="Arial" w:cs="Arial"/>
          <w:b/>
          <w:bCs/>
          <w:color w:val="000000"/>
          <w:sz w:val="22"/>
          <w:lang w:eastAsia="en-GB"/>
        </w:rPr>
        <w:t>special referencia al</w:t>
      </w:r>
      <w:r w:rsidR="00DC452D" w:rsidRPr="009E3B79">
        <w:rPr>
          <w:rFonts w:ascii="Arial" w:eastAsia="Calibri" w:hAnsi="Arial" w:cs="Arial"/>
          <w:b/>
          <w:bCs/>
          <w:color w:val="000000"/>
          <w:sz w:val="22"/>
          <w:lang w:eastAsia="en-GB"/>
        </w:rPr>
        <w:t xml:space="preserve"> </w:t>
      </w:r>
      <w:r w:rsidR="00117919" w:rsidRPr="009E3B79">
        <w:rPr>
          <w:rFonts w:ascii="Arial" w:eastAsia="Calibri" w:hAnsi="Arial" w:cs="Arial"/>
          <w:b/>
          <w:bCs/>
          <w:color w:val="000000"/>
          <w:sz w:val="22"/>
          <w:lang w:eastAsia="en-GB"/>
        </w:rPr>
        <w:t>Saldo de Contratos en Ejecución</w:t>
      </w:r>
      <w:r w:rsidR="00DC452D" w:rsidRPr="009E3B79">
        <w:rPr>
          <w:rFonts w:ascii="Arial" w:eastAsia="Calibri" w:hAnsi="Arial" w:cs="Arial"/>
          <w:b/>
          <w:bCs/>
          <w:color w:val="000000"/>
          <w:sz w:val="22"/>
          <w:lang w:eastAsia="en-GB"/>
        </w:rPr>
        <w:t xml:space="preserve"> </w:t>
      </w:r>
      <w:r w:rsidR="00117919" w:rsidRPr="009E3B79">
        <w:rPr>
          <w:rFonts w:ascii="Arial" w:eastAsia="Calibri" w:hAnsi="Arial" w:cs="Arial"/>
          <w:b/>
          <w:bCs/>
          <w:color w:val="000000"/>
          <w:sz w:val="22"/>
          <w:lang w:eastAsia="en-GB"/>
        </w:rPr>
        <w:t>–</w:t>
      </w:r>
      <w:r w:rsidR="00DC452D" w:rsidRPr="009E3B79">
        <w:rPr>
          <w:rFonts w:ascii="Arial" w:eastAsia="Calibri" w:hAnsi="Arial" w:cs="Arial"/>
          <w:b/>
          <w:bCs/>
          <w:color w:val="000000"/>
          <w:sz w:val="22"/>
          <w:lang w:eastAsia="en-GB"/>
        </w:rPr>
        <w:t>SCE</w:t>
      </w:r>
      <w:r w:rsidR="00117919" w:rsidRPr="009E3B79">
        <w:rPr>
          <w:rFonts w:ascii="Arial" w:eastAsia="Calibri" w:hAnsi="Arial" w:cs="Arial"/>
          <w:b/>
          <w:bCs/>
          <w:color w:val="000000"/>
          <w:sz w:val="22"/>
          <w:lang w:eastAsia="en-GB"/>
        </w:rPr>
        <w:t>–</w:t>
      </w:r>
    </w:p>
    <w:p w14:paraId="561B2369" w14:textId="77777777" w:rsidR="005C6410" w:rsidRPr="009E3B79" w:rsidRDefault="005C6410" w:rsidP="00BF28DB">
      <w:pPr>
        <w:spacing w:line="276" w:lineRule="auto"/>
        <w:jc w:val="both"/>
        <w:rPr>
          <w:rFonts w:ascii="Arial" w:eastAsia="Calibri" w:hAnsi="Arial" w:cs="Arial"/>
          <w:b/>
          <w:bCs/>
          <w:color w:val="000000" w:themeColor="text1"/>
          <w:sz w:val="22"/>
          <w:szCs w:val="22"/>
          <w:lang w:eastAsia="en-US"/>
        </w:rPr>
      </w:pPr>
    </w:p>
    <w:p w14:paraId="59804CEA" w14:textId="50F28A2A" w:rsidR="00BF28DB" w:rsidRPr="009E3B79" w:rsidRDefault="00BF28DB" w:rsidP="00671D22">
      <w:pPr>
        <w:spacing w:line="276" w:lineRule="auto"/>
        <w:jc w:val="both"/>
        <w:rPr>
          <w:rFonts w:ascii="Arial" w:eastAsiaTheme="minorHAnsi" w:hAnsi="Arial" w:cs="Arial"/>
          <w:color w:val="000000" w:themeColor="text1"/>
          <w:sz w:val="22"/>
          <w:szCs w:val="22"/>
          <w:lang w:val="es-MX" w:eastAsia="en-US"/>
        </w:rPr>
      </w:pPr>
      <w:r w:rsidRPr="009E3B79">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sidRPr="009E3B79">
        <w:rPr>
          <w:rFonts w:ascii="Arial" w:eastAsiaTheme="minorHAnsi" w:hAnsi="Arial" w:cs="Arial"/>
          <w:color w:val="000000" w:themeColor="text1"/>
          <w:sz w:val="22"/>
          <w:szCs w:val="22"/>
          <w:lang w:val="es-MX" w:eastAsia="en-US"/>
        </w:rPr>
        <w:t xml:space="preserve"> pública</w:t>
      </w:r>
      <w:r w:rsidRPr="009E3B79">
        <w:rPr>
          <w:rFonts w:ascii="Arial" w:eastAsiaTheme="minorHAnsi" w:hAnsi="Arial" w:cs="Arial"/>
          <w:color w:val="000000" w:themeColor="text1"/>
          <w:sz w:val="22"/>
          <w:szCs w:val="22"/>
          <w:lang w:val="es-MX" w:eastAsia="en-US"/>
        </w:rPr>
        <w:t xml:space="preserve">, sin que los demás compromisos contractuales que han adquirido </w:t>
      </w:r>
      <w:r w:rsidRPr="009E3B79">
        <w:rPr>
          <w:rFonts w:ascii="Arial" w:eastAsiaTheme="minorHAnsi" w:hAnsi="Arial" w:cs="Arial"/>
          <w:color w:val="000000" w:themeColor="text1"/>
          <w:sz w:val="22"/>
          <w:szCs w:val="22"/>
          <w:lang w:val="es-MX" w:eastAsia="en-US"/>
        </w:rPr>
        <w:lastRenderedPageBreak/>
        <w:t>afecten su habilidad de cumplir el objeto del contrato que está en proceso de selección</w:t>
      </w:r>
      <w:r w:rsidRPr="009E3B79">
        <w:rPr>
          <w:rFonts w:ascii="Arial" w:eastAsiaTheme="minorHAnsi" w:hAnsi="Arial" w:cs="Arial"/>
          <w:color w:val="000000" w:themeColor="text1"/>
          <w:sz w:val="22"/>
          <w:szCs w:val="20"/>
          <w:vertAlign w:val="superscript"/>
          <w:lang w:val="es-MX" w:eastAsia="en-US"/>
        </w:rPr>
        <w:footnoteReference w:id="7"/>
      </w:r>
      <w:r w:rsidRPr="009E3B79">
        <w:rPr>
          <w:rFonts w:ascii="Arial" w:eastAsiaTheme="minorHAnsi" w:hAnsi="Arial" w:cs="Arial"/>
          <w:color w:val="000000" w:themeColor="text1"/>
          <w:sz w:val="22"/>
          <w:szCs w:val="22"/>
          <w:lang w:val="es-MX" w:eastAsia="en-US"/>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9E3B79">
        <w:rPr>
          <w:rFonts w:ascii="Arial" w:eastAsia="Calibri" w:hAnsi="Arial" w:cs="Arial"/>
          <w:color w:val="000000" w:themeColor="text1"/>
          <w:sz w:val="22"/>
          <w:szCs w:val="22"/>
          <w:vertAlign w:val="superscript"/>
          <w:lang w:val="es-MX" w:eastAsia="en-US"/>
        </w:rPr>
        <w:footnoteReference w:id="8"/>
      </w:r>
      <w:r w:rsidRPr="009E3B79">
        <w:rPr>
          <w:rFonts w:ascii="Arial" w:eastAsiaTheme="minorHAnsi" w:hAnsi="Arial" w:cs="Arial"/>
          <w:color w:val="000000" w:themeColor="text1"/>
          <w:sz w:val="22"/>
          <w:szCs w:val="22"/>
          <w:lang w:val="es-MX" w:eastAsia="en-US"/>
        </w:rPr>
        <w:t>.</w:t>
      </w:r>
    </w:p>
    <w:p w14:paraId="4BF4EFD0" w14:textId="7F3F5B3A" w:rsidR="00BF28DB" w:rsidRPr="009E3B79" w:rsidRDefault="0093373C" w:rsidP="00671D22">
      <w:pPr>
        <w:spacing w:before="120" w:line="276" w:lineRule="auto"/>
        <w:ind w:firstLine="708"/>
        <w:jc w:val="both"/>
        <w:rPr>
          <w:rFonts w:ascii="Arial" w:eastAsiaTheme="minorHAnsi" w:hAnsi="Arial" w:cs="Arial"/>
          <w:color w:val="000000" w:themeColor="text1"/>
          <w:sz w:val="22"/>
          <w:szCs w:val="22"/>
          <w:lang w:val="es-MX" w:eastAsia="en-US"/>
        </w:rPr>
      </w:pPr>
      <w:r w:rsidRPr="009E3B79">
        <w:rPr>
          <w:rFonts w:ascii="Arial" w:eastAsiaTheme="minorHAnsi" w:hAnsi="Arial" w:cs="Arial"/>
          <w:color w:val="000000" w:themeColor="text1"/>
          <w:sz w:val="22"/>
          <w:szCs w:val="22"/>
          <w:lang w:val="es-MX" w:eastAsia="en-US"/>
        </w:rPr>
        <w:t>De esta manera</w:t>
      </w:r>
      <w:r w:rsidR="00BF28DB" w:rsidRPr="009E3B79">
        <w:rPr>
          <w:rFonts w:ascii="Arial" w:eastAsiaTheme="minorHAnsi" w:hAnsi="Arial" w:cs="Arial"/>
          <w:color w:val="000000" w:themeColor="text1"/>
          <w:sz w:val="22"/>
          <w:szCs w:val="22"/>
          <w:lang w:val="es-MX" w:eastAsia="en-US"/>
        </w:rPr>
        <w:t xml:space="preserve">, la capacidad residual </w:t>
      </w:r>
      <w:r w:rsidRPr="009E3B79">
        <w:rPr>
          <w:rFonts w:ascii="Arial" w:eastAsiaTheme="minorHAnsi" w:hAnsi="Arial" w:cs="Arial"/>
          <w:color w:val="000000" w:themeColor="text1"/>
          <w:sz w:val="22"/>
          <w:szCs w:val="22"/>
          <w:lang w:val="es-MX" w:eastAsia="en-US"/>
        </w:rPr>
        <w:t>se refiere</w:t>
      </w:r>
      <w:r w:rsidR="00BF28DB" w:rsidRPr="009E3B79">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sidRPr="009E3B79">
        <w:rPr>
          <w:rFonts w:ascii="Arial" w:eastAsiaTheme="minorHAnsi" w:hAnsi="Arial" w:cs="Arial"/>
          <w:color w:val="000000" w:themeColor="text1"/>
          <w:sz w:val="22"/>
          <w:szCs w:val="22"/>
          <w:lang w:val="es-MX" w:eastAsia="en-US"/>
        </w:rPr>
        <w:t xml:space="preserve"> </w:t>
      </w:r>
      <w:r w:rsidR="00DD7F19" w:rsidRPr="009E3B79">
        <w:rPr>
          <w:rFonts w:ascii="Arial" w:eastAsiaTheme="minorHAnsi" w:hAnsi="Arial" w:cs="Arial"/>
          <w:color w:val="000000" w:themeColor="text1"/>
          <w:sz w:val="22"/>
          <w:szCs w:val="22"/>
          <w:lang w:val="es-MX" w:eastAsia="en-US"/>
        </w:rPr>
        <w:t>Por su parte, e</w:t>
      </w:r>
      <w:r w:rsidR="00BF28DB" w:rsidRPr="009E3B79">
        <w:rPr>
          <w:rFonts w:ascii="Arial" w:eastAsiaTheme="minorHAnsi" w:hAnsi="Arial" w:cs="Arial"/>
          <w:color w:val="000000" w:themeColor="text1"/>
          <w:sz w:val="22"/>
          <w:szCs w:val="22"/>
          <w:lang w:val="es-MX" w:eastAsia="en-US"/>
        </w:rPr>
        <w:t xml:space="preserve">l artículo 6 de la Ley 1150 de 2007 </w:t>
      </w:r>
      <w:r w:rsidR="0081412B" w:rsidRPr="009E3B79">
        <w:rPr>
          <w:rFonts w:ascii="Arial" w:eastAsiaTheme="minorHAnsi" w:hAnsi="Arial" w:cs="Arial"/>
          <w:color w:val="000000" w:themeColor="text1"/>
          <w:sz w:val="22"/>
          <w:szCs w:val="22"/>
          <w:lang w:val="es-MX" w:eastAsia="en-US"/>
        </w:rPr>
        <w:t xml:space="preserve">dispone </w:t>
      </w:r>
      <w:r w:rsidR="00DD7F19" w:rsidRPr="009E3B7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9E3B79">
        <w:rPr>
          <w:rFonts w:ascii="Arial" w:eastAsiaTheme="minorHAnsi" w:hAnsi="Arial" w:cs="Arial"/>
          <w:color w:val="000000" w:themeColor="text1"/>
          <w:sz w:val="22"/>
          <w:szCs w:val="22"/>
          <w:lang w:val="es-MX" w:eastAsia="en-US"/>
        </w:rPr>
        <w:t xml:space="preserve">: </w:t>
      </w:r>
    </w:p>
    <w:p w14:paraId="0EA0D0C3" w14:textId="77777777" w:rsidR="00BF28DB" w:rsidRPr="009E3B79" w:rsidRDefault="00BF28DB" w:rsidP="000036D0">
      <w:pPr>
        <w:ind w:right="709"/>
        <w:jc w:val="both"/>
        <w:rPr>
          <w:rFonts w:ascii="Arial" w:eastAsia="Calibri" w:hAnsi="Arial" w:cs="Arial"/>
          <w:color w:val="000000" w:themeColor="text1"/>
          <w:sz w:val="21"/>
          <w:szCs w:val="21"/>
          <w:lang w:val="es-MX" w:eastAsia="en-US"/>
        </w:rPr>
      </w:pPr>
    </w:p>
    <w:p w14:paraId="19AD4FE6" w14:textId="38130380" w:rsidR="00BF28DB" w:rsidRPr="009E3B79" w:rsidRDefault="00BF28DB" w:rsidP="000F6A96">
      <w:pPr>
        <w:spacing w:after="120"/>
        <w:ind w:left="709" w:right="709"/>
        <w:jc w:val="both"/>
        <w:rPr>
          <w:rFonts w:ascii="Arial" w:eastAsia="Calibri" w:hAnsi="Arial" w:cs="Arial"/>
          <w:color w:val="000000" w:themeColor="text1"/>
          <w:sz w:val="21"/>
          <w:szCs w:val="21"/>
          <w:lang w:val="es-MX" w:eastAsia="en-US"/>
        </w:rPr>
      </w:pPr>
      <w:r w:rsidRPr="009E3B79">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8DEF8EE" w14:textId="77777777" w:rsidR="00BF28DB" w:rsidRPr="009E3B79" w:rsidRDefault="00BF28DB">
      <w:pPr>
        <w:ind w:left="708" w:right="709"/>
        <w:jc w:val="both"/>
        <w:rPr>
          <w:rFonts w:ascii="Arial" w:eastAsia="Calibri" w:hAnsi="Arial" w:cs="Arial"/>
          <w:color w:val="000000" w:themeColor="text1"/>
          <w:sz w:val="21"/>
          <w:szCs w:val="21"/>
          <w:lang w:val="es-MX" w:eastAsia="en-US"/>
        </w:rPr>
      </w:pPr>
      <w:r w:rsidRPr="009E3B79">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Pr="009E3B79" w:rsidRDefault="00BF28DB">
      <w:pPr>
        <w:spacing w:line="276" w:lineRule="auto"/>
        <w:ind w:right="709"/>
        <w:jc w:val="both"/>
        <w:rPr>
          <w:rFonts w:ascii="Arial" w:eastAsia="Calibri" w:hAnsi="Arial" w:cs="Arial"/>
          <w:color w:val="000000" w:themeColor="text1"/>
          <w:sz w:val="22"/>
          <w:szCs w:val="22"/>
          <w:lang w:val="es-MX" w:eastAsia="en-US"/>
        </w:rPr>
      </w:pPr>
    </w:p>
    <w:p w14:paraId="653E422C" w14:textId="4C7A22C9" w:rsidR="00D9342F" w:rsidRPr="009E3B79" w:rsidRDefault="00D9342F" w:rsidP="00D9342F">
      <w:pPr>
        <w:spacing w:line="276" w:lineRule="auto"/>
        <w:ind w:firstLine="709"/>
        <w:jc w:val="both"/>
        <w:rPr>
          <w:rFonts w:ascii="Arial" w:eastAsia="Calibri" w:hAnsi="Arial" w:cs="Arial"/>
          <w:color w:val="000000" w:themeColor="text1"/>
          <w:sz w:val="22"/>
          <w:szCs w:val="22"/>
          <w:lang w:eastAsia="en-US"/>
        </w:rPr>
      </w:pPr>
      <w:r w:rsidRPr="009E3B79">
        <w:rPr>
          <w:rFonts w:ascii="Arial" w:eastAsia="Calibri" w:hAnsi="Arial" w:cs="Arial"/>
          <w:color w:val="000000" w:themeColor="text1"/>
          <w:sz w:val="22"/>
          <w:szCs w:val="22"/>
          <w:lang w:val="es-MX" w:eastAsia="en-US"/>
        </w:rPr>
        <w:t xml:space="preserve">De acuerdo con </w:t>
      </w:r>
      <w:r w:rsidRPr="009E3B79">
        <w:rPr>
          <w:rFonts w:ascii="Arial" w:eastAsia="Calibri" w:hAnsi="Arial" w:cs="Arial"/>
          <w:color w:val="000000" w:themeColor="text1"/>
          <w:sz w:val="22"/>
          <w:szCs w:val="22"/>
          <w:lang w:eastAsia="en-US"/>
        </w:rPr>
        <w:t>el artículo 72 de la Ley 1682 de 2013</w:t>
      </w:r>
      <w:r w:rsidR="00117919" w:rsidRPr="009E3B79">
        <w:rPr>
          <w:rFonts w:ascii="Arial" w:eastAsia="Calibri" w:hAnsi="Arial" w:cs="Arial"/>
          <w:color w:val="000000" w:themeColor="text1"/>
          <w:sz w:val="22"/>
          <w:szCs w:val="22"/>
          <w:lang w:eastAsia="en-US"/>
        </w:rPr>
        <w:t>,</w:t>
      </w:r>
      <w:r w:rsidRPr="009E3B79">
        <w:rPr>
          <w:rFonts w:ascii="Arial" w:eastAsia="Calibri" w:hAnsi="Arial" w:cs="Arial"/>
          <w:color w:val="000000" w:themeColor="text1"/>
          <w:sz w:val="22"/>
          <w:szCs w:val="22"/>
          <w:lang w:eastAsia="en-US"/>
        </w:rPr>
        <w:t xml:space="preserve"> la «capacidad residual de contratación cuando se realicen contratos de obra pública se obtendrá de sustraer de la capacidad de contratación, el saldo del valor de los contratos en ejecución». La «capacidad de contratación», según se </w:t>
      </w:r>
      <w:r w:rsidR="007B12A1" w:rsidRPr="009E3B79">
        <w:rPr>
          <w:rFonts w:ascii="Arial" w:eastAsia="Calibri" w:hAnsi="Arial" w:cs="Arial"/>
          <w:color w:val="000000" w:themeColor="text1"/>
          <w:sz w:val="22"/>
          <w:szCs w:val="22"/>
          <w:lang w:eastAsia="en-US"/>
        </w:rPr>
        <w:t>desprende de</w:t>
      </w:r>
      <w:r w:rsidRPr="009E3B79">
        <w:rPr>
          <w:rFonts w:ascii="Arial" w:eastAsia="Calibri" w:hAnsi="Arial" w:cs="Arial"/>
          <w:color w:val="000000" w:themeColor="text1"/>
          <w:sz w:val="22"/>
          <w:szCs w:val="22"/>
          <w:lang w:eastAsia="en-US"/>
        </w:rPr>
        <w:t xml:space="preserve"> la misma disposición, «[…] se deberá calcular mediante la evaluación de los siguientes factores: Experiencia (E), Capacidad Financiera (CF), Capacidad Técnica (CT), y Capacidad de Organización (CO)».</w:t>
      </w:r>
    </w:p>
    <w:p w14:paraId="0C5F98AD" w14:textId="706A6A26" w:rsidR="00BD2297" w:rsidRPr="009E3B79" w:rsidRDefault="00D9342F" w:rsidP="00D9342F">
      <w:pPr>
        <w:spacing w:before="120" w:line="276" w:lineRule="auto"/>
        <w:ind w:firstLine="709"/>
        <w:jc w:val="both"/>
        <w:rPr>
          <w:rFonts w:ascii="Arial" w:eastAsia="Calibri" w:hAnsi="Arial" w:cs="Arial"/>
          <w:color w:val="000000" w:themeColor="text1"/>
          <w:sz w:val="22"/>
          <w:szCs w:val="22"/>
          <w:lang w:val="es-MX" w:eastAsia="en-US"/>
        </w:rPr>
      </w:pPr>
      <w:r w:rsidRPr="009E3B79">
        <w:rPr>
          <w:rFonts w:ascii="Arial" w:eastAsia="Calibri" w:hAnsi="Arial" w:cs="Arial"/>
          <w:color w:val="000000" w:themeColor="text1"/>
          <w:sz w:val="22"/>
          <w:szCs w:val="22"/>
          <w:lang w:val="es-MX" w:eastAsia="en-US"/>
        </w:rPr>
        <w:t xml:space="preserve">Por su parte, </w:t>
      </w:r>
      <w:r w:rsidR="00A851FD" w:rsidRPr="009E3B79">
        <w:rPr>
          <w:rFonts w:ascii="Arial" w:eastAsia="Calibri" w:hAnsi="Arial" w:cs="Arial"/>
          <w:color w:val="000000" w:themeColor="text1"/>
          <w:sz w:val="22"/>
          <w:szCs w:val="22"/>
          <w:lang w:val="es-MX" w:eastAsia="en-US"/>
        </w:rPr>
        <w:t>el artículo 2.2.1.1.1.6.4 del Decreto 1082 de 2015</w:t>
      </w:r>
      <w:r w:rsidR="00117919" w:rsidRPr="009E3B79">
        <w:rPr>
          <w:rFonts w:ascii="Arial" w:eastAsia="Calibri" w:hAnsi="Arial" w:cs="Arial"/>
          <w:color w:val="000000" w:themeColor="text1"/>
          <w:sz w:val="22"/>
          <w:szCs w:val="22"/>
          <w:lang w:val="es-MX" w:eastAsia="en-US"/>
        </w:rPr>
        <w:t xml:space="preserve"> dispone</w:t>
      </w:r>
      <w:r w:rsidR="00A851FD" w:rsidRPr="009E3B79">
        <w:rPr>
          <w:rFonts w:ascii="Arial" w:eastAsia="Calibri" w:hAnsi="Arial" w:cs="Arial"/>
          <w:color w:val="000000" w:themeColor="text1"/>
          <w:sz w:val="22"/>
          <w:szCs w:val="22"/>
          <w:lang w:val="es-MX" w:eastAsia="en-US"/>
        </w:rPr>
        <w:t xml:space="preserve"> que las entidades estatales deberán calcular la capacidad residual conforme a la metodología definida por Colombia Compre Eficiente</w:t>
      </w:r>
      <w:r w:rsidR="00200056" w:rsidRPr="009E3B79">
        <w:rPr>
          <w:rFonts w:ascii="Arial" w:eastAsia="Calibri" w:hAnsi="Arial" w:cs="Arial"/>
          <w:color w:val="000000" w:themeColor="text1"/>
          <w:sz w:val="22"/>
          <w:szCs w:val="22"/>
          <w:lang w:val="es-MX" w:eastAsia="en-US"/>
        </w:rPr>
        <w:t>.</w:t>
      </w:r>
      <w:r w:rsidR="00A851FD" w:rsidRPr="009E3B79">
        <w:rPr>
          <w:rFonts w:ascii="Arial" w:eastAsia="Calibri" w:hAnsi="Arial" w:cs="Arial"/>
          <w:color w:val="000000" w:themeColor="text1"/>
          <w:sz w:val="22"/>
          <w:szCs w:val="22"/>
          <w:lang w:val="es-MX" w:eastAsia="en-US"/>
        </w:rPr>
        <w:t xml:space="preserve"> </w:t>
      </w:r>
      <w:r w:rsidR="00200056" w:rsidRPr="009E3B79">
        <w:rPr>
          <w:rFonts w:ascii="Arial" w:eastAsia="Calibri" w:hAnsi="Arial" w:cs="Arial"/>
          <w:color w:val="000000" w:themeColor="text1"/>
          <w:sz w:val="22"/>
          <w:szCs w:val="22"/>
          <w:lang w:val="es-MX" w:eastAsia="en-US"/>
        </w:rPr>
        <w:t>P</w:t>
      </w:r>
      <w:r w:rsidR="00A851FD" w:rsidRPr="009E3B79">
        <w:rPr>
          <w:rFonts w:ascii="Arial" w:eastAsia="Calibri" w:hAnsi="Arial" w:cs="Arial"/>
          <w:color w:val="000000" w:themeColor="text1"/>
          <w:sz w:val="22"/>
          <w:szCs w:val="22"/>
          <w:lang w:val="es-MX" w:eastAsia="en-US"/>
        </w:rPr>
        <w:t xml:space="preserve">ara tale fines, resulta necesario tener en cuenta los factores de i) </w:t>
      </w:r>
      <w:r w:rsidR="007C5BBD" w:rsidRPr="009E3B79">
        <w:rPr>
          <w:rFonts w:ascii="Arial" w:eastAsia="Calibri" w:hAnsi="Arial" w:cs="Arial"/>
          <w:color w:val="000000" w:themeColor="text1"/>
          <w:sz w:val="22"/>
          <w:szCs w:val="22"/>
          <w:lang w:val="es-MX" w:eastAsia="en-US"/>
        </w:rPr>
        <w:t>E</w:t>
      </w:r>
      <w:r w:rsidR="00A851FD" w:rsidRPr="009E3B79">
        <w:rPr>
          <w:rFonts w:ascii="Arial" w:eastAsia="Calibri" w:hAnsi="Arial" w:cs="Arial"/>
          <w:color w:val="000000" w:themeColor="text1"/>
          <w:sz w:val="22"/>
          <w:szCs w:val="22"/>
          <w:lang w:val="es-MX" w:eastAsia="en-US"/>
        </w:rPr>
        <w:t>xperiencia</w:t>
      </w:r>
      <w:r w:rsidR="007C5BBD" w:rsidRPr="009E3B79">
        <w:rPr>
          <w:rFonts w:ascii="Arial" w:eastAsia="Calibri" w:hAnsi="Arial" w:cs="Arial"/>
          <w:color w:val="000000" w:themeColor="text1"/>
          <w:sz w:val="22"/>
          <w:szCs w:val="22"/>
          <w:lang w:val="es-MX" w:eastAsia="en-US"/>
        </w:rPr>
        <w:t xml:space="preserve"> –E–</w:t>
      </w:r>
      <w:r w:rsidR="00200056" w:rsidRPr="009E3B79">
        <w:rPr>
          <w:rFonts w:ascii="Arial" w:eastAsia="Calibri" w:hAnsi="Arial" w:cs="Arial"/>
          <w:color w:val="000000" w:themeColor="text1"/>
          <w:sz w:val="22"/>
          <w:szCs w:val="22"/>
          <w:lang w:val="es-MX" w:eastAsia="en-US"/>
        </w:rPr>
        <w:t>,</w:t>
      </w:r>
      <w:r w:rsidR="00A851FD" w:rsidRPr="009E3B79">
        <w:rPr>
          <w:rFonts w:ascii="Arial" w:eastAsia="Calibri" w:hAnsi="Arial" w:cs="Arial"/>
          <w:color w:val="000000" w:themeColor="text1"/>
          <w:sz w:val="22"/>
          <w:szCs w:val="22"/>
          <w:lang w:val="es-MX" w:eastAsia="en-US"/>
        </w:rPr>
        <w:t xml:space="preserve"> </w:t>
      </w:r>
      <w:proofErr w:type="spellStart"/>
      <w:r w:rsidR="00A851FD" w:rsidRPr="009E3B79">
        <w:rPr>
          <w:rFonts w:ascii="Arial" w:eastAsia="Calibri" w:hAnsi="Arial" w:cs="Arial"/>
          <w:color w:val="000000" w:themeColor="text1"/>
          <w:sz w:val="22"/>
          <w:szCs w:val="22"/>
          <w:lang w:val="es-MX" w:eastAsia="en-US"/>
        </w:rPr>
        <w:t>ii</w:t>
      </w:r>
      <w:proofErr w:type="spellEnd"/>
      <w:r w:rsidR="00A851FD" w:rsidRPr="009E3B79">
        <w:rPr>
          <w:rFonts w:ascii="Arial" w:eastAsia="Calibri" w:hAnsi="Arial" w:cs="Arial"/>
          <w:color w:val="000000" w:themeColor="text1"/>
          <w:sz w:val="22"/>
          <w:szCs w:val="22"/>
          <w:lang w:val="es-MX" w:eastAsia="en-US"/>
        </w:rPr>
        <w:t xml:space="preserve">) </w:t>
      </w:r>
      <w:r w:rsidR="007C5BBD" w:rsidRPr="009E3B79">
        <w:rPr>
          <w:rFonts w:ascii="Arial" w:eastAsia="Calibri" w:hAnsi="Arial" w:cs="Arial"/>
          <w:color w:val="000000" w:themeColor="text1"/>
          <w:sz w:val="22"/>
          <w:szCs w:val="22"/>
          <w:lang w:val="es-MX" w:eastAsia="en-US"/>
        </w:rPr>
        <w:t>Capacidad Financiera –CF–</w:t>
      </w:r>
      <w:r w:rsidR="00200056" w:rsidRPr="009E3B79">
        <w:rPr>
          <w:rFonts w:ascii="Arial" w:eastAsia="Calibri" w:hAnsi="Arial" w:cs="Arial"/>
          <w:color w:val="000000" w:themeColor="text1"/>
          <w:sz w:val="22"/>
          <w:szCs w:val="22"/>
          <w:lang w:val="es-MX" w:eastAsia="en-US"/>
        </w:rPr>
        <w:t>,</w:t>
      </w:r>
      <w:r w:rsidR="00A851FD" w:rsidRPr="009E3B79">
        <w:rPr>
          <w:rFonts w:ascii="Arial" w:eastAsia="Calibri" w:hAnsi="Arial" w:cs="Arial"/>
          <w:color w:val="000000" w:themeColor="text1"/>
          <w:sz w:val="22"/>
          <w:szCs w:val="22"/>
          <w:lang w:val="es-MX" w:eastAsia="en-US"/>
        </w:rPr>
        <w:t xml:space="preserve"> </w:t>
      </w:r>
      <w:proofErr w:type="spellStart"/>
      <w:r w:rsidR="00A851FD" w:rsidRPr="009E3B79">
        <w:rPr>
          <w:rFonts w:ascii="Arial" w:eastAsia="Calibri" w:hAnsi="Arial" w:cs="Arial"/>
          <w:color w:val="000000" w:themeColor="text1"/>
          <w:sz w:val="22"/>
          <w:szCs w:val="22"/>
          <w:lang w:val="es-MX" w:eastAsia="en-US"/>
        </w:rPr>
        <w:t>iii</w:t>
      </w:r>
      <w:proofErr w:type="spellEnd"/>
      <w:r w:rsidR="00A851FD" w:rsidRPr="009E3B79">
        <w:rPr>
          <w:rFonts w:ascii="Arial" w:eastAsia="Calibri" w:hAnsi="Arial" w:cs="Arial"/>
          <w:color w:val="000000" w:themeColor="text1"/>
          <w:sz w:val="22"/>
          <w:szCs w:val="22"/>
          <w:lang w:val="es-MX" w:eastAsia="en-US"/>
        </w:rPr>
        <w:t xml:space="preserve">) </w:t>
      </w:r>
      <w:r w:rsidR="007C5BBD" w:rsidRPr="009E3B79">
        <w:rPr>
          <w:rFonts w:ascii="Arial" w:eastAsia="Calibri" w:hAnsi="Arial" w:cs="Arial"/>
          <w:color w:val="000000" w:themeColor="text1"/>
          <w:sz w:val="22"/>
          <w:szCs w:val="22"/>
          <w:lang w:val="es-MX" w:eastAsia="en-US"/>
        </w:rPr>
        <w:t>Capacidad Técnica –CT–</w:t>
      </w:r>
      <w:r w:rsidR="00200056" w:rsidRPr="009E3B79">
        <w:rPr>
          <w:rFonts w:ascii="Arial" w:eastAsia="Calibri" w:hAnsi="Arial" w:cs="Arial"/>
          <w:color w:val="000000" w:themeColor="text1"/>
          <w:sz w:val="22"/>
          <w:szCs w:val="22"/>
          <w:lang w:val="es-MX" w:eastAsia="en-US"/>
        </w:rPr>
        <w:t>,</w:t>
      </w:r>
      <w:r w:rsidR="00A851FD" w:rsidRPr="009E3B79">
        <w:rPr>
          <w:rFonts w:ascii="Arial" w:eastAsia="Calibri" w:hAnsi="Arial" w:cs="Arial"/>
          <w:color w:val="000000" w:themeColor="text1"/>
          <w:sz w:val="22"/>
          <w:szCs w:val="22"/>
          <w:lang w:val="es-MX" w:eastAsia="en-US"/>
        </w:rPr>
        <w:t xml:space="preserve"> </w:t>
      </w:r>
      <w:proofErr w:type="spellStart"/>
      <w:r w:rsidR="00A851FD" w:rsidRPr="009E3B79">
        <w:rPr>
          <w:rFonts w:ascii="Arial" w:eastAsia="Calibri" w:hAnsi="Arial" w:cs="Arial"/>
          <w:color w:val="000000" w:themeColor="text1"/>
          <w:sz w:val="22"/>
          <w:szCs w:val="22"/>
          <w:lang w:val="es-MX" w:eastAsia="en-US"/>
        </w:rPr>
        <w:t>iv</w:t>
      </w:r>
      <w:proofErr w:type="spellEnd"/>
      <w:r w:rsidR="00A851FD" w:rsidRPr="009E3B79">
        <w:rPr>
          <w:rFonts w:ascii="Arial" w:eastAsia="Calibri" w:hAnsi="Arial" w:cs="Arial"/>
          <w:color w:val="000000" w:themeColor="text1"/>
          <w:sz w:val="22"/>
          <w:szCs w:val="22"/>
          <w:lang w:val="es-MX" w:eastAsia="en-US"/>
        </w:rPr>
        <w:t xml:space="preserve">) </w:t>
      </w:r>
      <w:r w:rsidR="007C5BBD" w:rsidRPr="009E3B79">
        <w:rPr>
          <w:rFonts w:ascii="Arial" w:eastAsia="Calibri" w:hAnsi="Arial" w:cs="Arial"/>
          <w:color w:val="000000" w:themeColor="text1"/>
          <w:sz w:val="22"/>
          <w:szCs w:val="22"/>
          <w:lang w:val="es-MX" w:eastAsia="en-US"/>
        </w:rPr>
        <w:t>Capacidad de Organización</w:t>
      </w:r>
      <w:r w:rsidR="00A851FD" w:rsidRPr="009E3B79">
        <w:rPr>
          <w:rFonts w:ascii="Arial" w:eastAsia="Calibri" w:hAnsi="Arial" w:cs="Arial"/>
          <w:color w:val="000000" w:themeColor="text1"/>
          <w:sz w:val="22"/>
          <w:szCs w:val="22"/>
          <w:lang w:val="es-MX" w:eastAsia="en-US"/>
        </w:rPr>
        <w:t xml:space="preserve"> y v) los </w:t>
      </w:r>
      <w:r w:rsidR="00117919" w:rsidRPr="009E3B79">
        <w:rPr>
          <w:rFonts w:ascii="Arial" w:eastAsia="Calibri" w:hAnsi="Arial" w:cs="Arial"/>
          <w:color w:val="000000" w:themeColor="text1"/>
          <w:sz w:val="22"/>
          <w:szCs w:val="22"/>
          <w:lang w:val="es-MX" w:eastAsia="en-US"/>
        </w:rPr>
        <w:t>Saldos de los Contratos en Ejecución</w:t>
      </w:r>
      <w:r w:rsidR="000F605D" w:rsidRPr="009E3B79">
        <w:rPr>
          <w:rFonts w:ascii="Arial" w:eastAsia="Calibri" w:hAnsi="Arial" w:cs="Arial"/>
          <w:color w:val="000000" w:themeColor="text1"/>
          <w:sz w:val="22"/>
          <w:szCs w:val="22"/>
          <w:lang w:val="es-MX" w:eastAsia="en-US"/>
        </w:rPr>
        <w:t xml:space="preserve"> –SCE–</w:t>
      </w:r>
      <w:r w:rsidR="003C2455" w:rsidRPr="009E3B79">
        <w:rPr>
          <w:rFonts w:ascii="Arial" w:eastAsia="Calibri" w:hAnsi="Arial" w:cs="Arial"/>
          <w:color w:val="000000" w:themeColor="text1"/>
          <w:sz w:val="22"/>
          <w:szCs w:val="22"/>
          <w:lang w:val="es-MX" w:eastAsia="en-US"/>
        </w:rPr>
        <w:t xml:space="preserve">. </w:t>
      </w:r>
    </w:p>
    <w:p w14:paraId="75E38C6E" w14:textId="7058F56E" w:rsidR="003C2455" w:rsidRPr="009E3B79" w:rsidRDefault="003C2455" w:rsidP="00671D22">
      <w:pPr>
        <w:spacing w:before="120" w:line="276" w:lineRule="auto"/>
        <w:ind w:firstLine="709"/>
        <w:jc w:val="both"/>
        <w:rPr>
          <w:rFonts w:ascii="Arial" w:eastAsiaTheme="minorHAnsi" w:hAnsi="Arial" w:cs="Arial"/>
          <w:sz w:val="22"/>
          <w:szCs w:val="20"/>
          <w:lang w:val="es-MX" w:eastAsia="en-US"/>
        </w:rPr>
      </w:pPr>
      <w:r w:rsidRPr="009E3B79">
        <w:rPr>
          <w:rFonts w:ascii="Arial" w:eastAsia="Calibri" w:hAnsi="Arial" w:cs="Arial"/>
          <w:color w:val="000000" w:themeColor="text1"/>
          <w:sz w:val="22"/>
          <w:szCs w:val="22"/>
          <w:lang w:val="es-MX" w:eastAsia="en-US"/>
        </w:rPr>
        <w:lastRenderedPageBreak/>
        <w:t xml:space="preserve">De igual manera, </w:t>
      </w:r>
      <w:r w:rsidRPr="009E3B79">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sidRPr="009E3B79">
        <w:rPr>
          <w:rFonts w:ascii="Arial" w:eastAsiaTheme="minorHAnsi" w:hAnsi="Arial" w:cs="Arial"/>
          <w:sz w:val="22"/>
          <w:szCs w:val="20"/>
          <w:lang w:val="es-MX" w:eastAsia="en-US"/>
        </w:rPr>
        <w:t>;</w:t>
      </w:r>
      <w:r w:rsidRPr="009E3B79">
        <w:rPr>
          <w:rFonts w:ascii="Arial" w:eastAsiaTheme="minorHAnsi" w:hAnsi="Arial" w:cs="Arial"/>
          <w:sz w:val="22"/>
          <w:szCs w:val="20"/>
          <w:lang w:val="es-MX" w:eastAsia="en-US"/>
        </w:rPr>
        <w:t xml:space="preserve"> </w:t>
      </w:r>
      <w:proofErr w:type="spellStart"/>
      <w:r w:rsidRPr="009E3B79">
        <w:rPr>
          <w:rFonts w:ascii="Arial" w:eastAsiaTheme="minorHAnsi" w:hAnsi="Arial" w:cs="Arial"/>
          <w:sz w:val="22"/>
          <w:szCs w:val="20"/>
          <w:lang w:val="es-MX" w:eastAsia="en-US"/>
        </w:rPr>
        <w:t>ii</w:t>
      </w:r>
      <w:proofErr w:type="spellEnd"/>
      <w:r w:rsidRPr="009E3B79">
        <w:rPr>
          <w:rFonts w:ascii="Arial" w:eastAsiaTheme="minorHAnsi" w:hAnsi="Arial" w:cs="Arial"/>
          <w:sz w:val="22"/>
          <w:szCs w:val="20"/>
          <w:lang w:val="es-MX" w:eastAsia="en-US"/>
        </w:rPr>
        <w:t>) la lista de contratos de obras civiles en ejecución, suscritos por sociedades, consorcios o uniones temporales, en los cuales el proponente tenga participación, con entidades estatales y con entidades privadas</w:t>
      </w:r>
      <w:r w:rsidR="00601CC1" w:rsidRPr="009E3B79">
        <w:rPr>
          <w:rFonts w:ascii="Arial" w:eastAsiaTheme="minorHAnsi" w:hAnsi="Arial" w:cs="Arial"/>
          <w:sz w:val="22"/>
          <w:szCs w:val="20"/>
          <w:lang w:val="es-MX" w:eastAsia="en-US"/>
        </w:rPr>
        <w:t>;</w:t>
      </w:r>
      <w:r w:rsidRPr="009E3B79">
        <w:rPr>
          <w:rFonts w:ascii="Arial" w:eastAsiaTheme="minorHAnsi" w:hAnsi="Arial" w:cs="Arial"/>
          <w:sz w:val="22"/>
          <w:szCs w:val="20"/>
          <w:lang w:val="es-MX" w:eastAsia="en-US"/>
        </w:rPr>
        <w:t xml:space="preserve"> y finalmente </w:t>
      </w:r>
      <w:proofErr w:type="spellStart"/>
      <w:r w:rsidRPr="009E3B79">
        <w:rPr>
          <w:rFonts w:ascii="Arial" w:eastAsiaTheme="minorHAnsi" w:hAnsi="Arial" w:cs="Arial"/>
          <w:sz w:val="22"/>
          <w:szCs w:val="20"/>
          <w:lang w:val="es-MX" w:eastAsia="en-US"/>
        </w:rPr>
        <w:t>iii</w:t>
      </w:r>
      <w:proofErr w:type="spellEnd"/>
      <w:r w:rsidRPr="009E3B79">
        <w:rPr>
          <w:rFonts w:ascii="Arial" w:eastAsiaTheme="minorHAnsi" w:hAnsi="Arial" w:cs="Arial"/>
          <w:sz w:val="22"/>
          <w:szCs w:val="20"/>
          <w:lang w:val="es-MX" w:eastAsia="en-US"/>
        </w:rPr>
        <w:t>) el balance general auditado del año inmediatamente anterior y estado de resultados auditado del año en que haya obtenido el mayor ingreso operacional en los últimos cinco (5) años</w:t>
      </w:r>
      <w:r w:rsidRPr="009E3B79">
        <w:rPr>
          <w:rFonts w:ascii="Arial" w:eastAsiaTheme="minorHAnsi" w:hAnsi="Arial" w:cs="Arial"/>
          <w:sz w:val="22"/>
          <w:szCs w:val="20"/>
          <w:vertAlign w:val="superscript"/>
          <w:lang w:val="es-MX" w:eastAsia="en-US"/>
        </w:rPr>
        <w:footnoteReference w:id="9"/>
      </w:r>
      <w:r w:rsidRPr="009E3B79">
        <w:rPr>
          <w:rFonts w:ascii="Arial" w:eastAsiaTheme="minorHAnsi" w:hAnsi="Arial" w:cs="Arial"/>
          <w:sz w:val="22"/>
          <w:szCs w:val="20"/>
          <w:lang w:val="es-MX" w:eastAsia="en-US"/>
        </w:rPr>
        <w:t xml:space="preserve">. </w:t>
      </w:r>
    </w:p>
    <w:p w14:paraId="40ABF3EF" w14:textId="15448531" w:rsidR="001900EA" w:rsidRPr="009E3B79" w:rsidRDefault="001900EA" w:rsidP="000F6A96">
      <w:pPr>
        <w:spacing w:before="120" w:after="120" w:line="276" w:lineRule="auto"/>
        <w:ind w:firstLine="709"/>
        <w:jc w:val="both"/>
        <w:rPr>
          <w:rFonts w:ascii="Arial" w:eastAsia="Calibri" w:hAnsi="Arial" w:cs="Arial"/>
          <w:bCs/>
          <w:color w:val="000000" w:themeColor="text1"/>
          <w:sz w:val="22"/>
          <w:szCs w:val="22"/>
          <w:lang w:eastAsia="en-US"/>
        </w:rPr>
      </w:pPr>
      <w:r w:rsidRPr="009E3B79">
        <w:rPr>
          <w:rFonts w:ascii="Arial" w:eastAsiaTheme="minorHAnsi" w:hAnsi="Arial" w:cs="Arial"/>
          <w:color w:val="000000" w:themeColor="text1"/>
          <w:sz w:val="22"/>
          <w:szCs w:val="22"/>
          <w:lang w:val="es-MX" w:eastAsia="en-US"/>
        </w:rPr>
        <w:t>De conformidad con lo expuesto, la Agencia Nacional para la Contratación Pública</w:t>
      </w:r>
      <w:r w:rsidR="00117919" w:rsidRPr="009E3B79">
        <w:rPr>
          <w:rFonts w:ascii="Arial" w:eastAsiaTheme="minorHAnsi" w:hAnsi="Arial" w:cs="Arial"/>
          <w:color w:val="000000" w:themeColor="text1"/>
          <w:sz w:val="22"/>
          <w:szCs w:val="22"/>
          <w:lang w:val="es-MX" w:eastAsia="en-US"/>
        </w:rPr>
        <w:t xml:space="preserve"> – </w:t>
      </w:r>
      <w:r w:rsidRPr="009E3B79">
        <w:rPr>
          <w:rFonts w:ascii="Arial" w:eastAsiaTheme="minorHAnsi" w:hAnsi="Arial" w:cs="Arial"/>
          <w:color w:val="000000" w:themeColor="text1"/>
          <w:sz w:val="22"/>
          <w:szCs w:val="22"/>
          <w:lang w:val="es-MX" w:eastAsia="en-US"/>
        </w:rPr>
        <w:t>Colombia Compra Eficiente expidió la Guía para Determinar y Verificar la Capacidad 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00DC452D" w:rsidRPr="009E3B79">
        <w:rPr>
          <w:rFonts w:ascii="Arial" w:eastAsiaTheme="minorHAnsi" w:hAnsi="Arial" w:cs="Arial"/>
          <w:color w:val="000000" w:themeColor="text1"/>
          <w:sz w:val="22"/>
          <w:szCs w:val="22"/>
          <w:lang w:val="es-MX" w:eastAsia="en-US"/>
        </w:rPr>
        <w:t>,</w:t>
      </w:r>
      <w:r w:rsidRPr="009E3B79">
        <w:rPr>
          <w:rFonts w:ascii="Arial" w:eastAsiaTheme="minorHAnsi" w:hAnsi="Arial" w:cs="Arial"/>
          <w:color w:val="000000" w:themeColor="text1"/>
          <w:sz w:val="22"/>
          <w:szCs w:val="22"/>
          <w:lang w:val="es-MX" w:eastAsia="en-US"/>
        </w:rPr>
        <w:t xml:space="preserve"> teniendo en cuenta la </w:t>
      </w:r>
      <w:r w:rsidR="004573D7" w:rsidRPr="009E3B79">
        <w:rPr>
          <w:rFonts w:ascii="Arial" w:eastAsiaTheme="minorHAnsi" w:hAnsi="Arial" w:cs="Arial"/>
          <w:color w:val="000000" w:themeColor="text1"/>
          <w:sz w:val="22"/>
          <w:szCs w:val="22"/>
          <w:lang w:val="es-MX" w:eastAsia="en-US"/>
        </w:rPr>
        <w:t>información mencionada en el párrafo precedente.</w:t>
      </w:r>
    </w:p>
    <w:p w14:paraId="1FB9DCFC" w14:textId="00B66D11" w:rsidR="001900EA" w:rsidRPr="009E3B79" w:rsidRDefault="001900EA" w:rsidP="001900EA">
      <w:pPr>
        <w:spacing w:line="276" w:lineRule="auto"/>
        <w:ind w:firstLine="709"/>
        <w:jc w:val="both"/>
        <w:rPr>
          <w:rFonts w:ascii="Arial" w:eastAsia="Calibri" w:hAnsi="Arial" w:cs="Arial"/>
          <w:bCs/>
          <w:color w:val="000000" w:themeColor="text1"/>
          <w:sz w:val="22"/>
          <w:szCs w:val="22"/>
          <w:lang w:eastAsia="en-US"/>
        </w:rPr>
      </w:pPr>
      <w:r w:rsidRPr="009E3B79">
        <w:rPr>
          <w:rFonts w:ascii="Arial" w:eastAsia="Calibri" w:hAnsi="Arial" w:cs="Arial"/>
          <w:bCs/>
          <w:color w:val="000000" w:themeColor="text1"/>
          <w:sz w:val="22"/>
          <w:szCs w:val="22"/>
          <w:lang w:eastAsia="en-US"/>
        </w:rPr>
        <w:t>En relación con el primer aspecto, sobre la determinación de la capacidad residual del proceso de contratación «CRPC», debe determinar</w:t>
      </w:r>
      <w:r w:rsidR="007B12A1" w:rsidRPr="009E3B79">
        <w:rPr>
          <w:rFonts w:ascii="Arial" w:eastAsia="Calibri" w:hAnsi="Arial" w:cs="Arial"/>
          <w:bCs/>
          <w:color w:val="000000" w:themeColor="text1"/>
          <w:sz w:val="22"/>
          <w:szCs w:val="22"/>
          <w:lang w:eastAsia="en-US"/>
        </w:rPr>
        <w:t>se</w:t>
      </w:r>
      <w:r w:rsidRPr="009E3B79">
        <w:rPr>
          <w:rFonts w:ascii="Arial" w:eastAsia="Calibri" w:hAnsi="Arial" w:cs="Arial"/>
          <w:bCs/>
          <w:color w:val="000000" w:themeColor="text1"/>
          <w:sz w:val="22"/>
          <w:szCs w:val="22"/>
          <w:lang w:eastAsia="en-US"/>
        </w:rPr>
        <w:t xml:space="preserv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EBD5D8A" w14:textId="13794A4B" w:rsidR="006B666B" w:rsidRPr="009E3B79" w:rsidRDefault="001900EA" w:rsidP="006B666B">
      <w:pPr>
        <w:spacing w:before="120" w:line="276" w:lineRule="auto"/>
        <w:ind w:firstLine="709"/>
        <w:jc w:val="both"/>
        <w:rPr>
          <w:rFonts w:ascii="Arial" w:eastAsia="Calibri" w:hAnsi="Arial" w:cs="Arial"/>
          <w:bCs/>
          <w:color w:val="000000" w:themeColor="text1"/>
          <w:sz w:val="22"/>
          <w:szCs w:val="22"/>
          <w:lang w:eastAsia="en-US"/>
        </w:rPr>
      </w:pPr>
      <w:r w:rsidRPr="009E3B79">
        <w:rPr>
          <w:rFonts w:ascii="Arial" w:eastAsia="Calibri" w:hAnsi="Arial" w:cs="Arial"/>
          <w:bCs/>
          <w:color w:val="000000" w:themeColor="text1"/>
          <w:sz w:val="22"/>
          <w:szCs w:val="22"/>
          <w:lang w:eastAsia="en-US"/>
        </w:rPr>
        <w:t xml:space="preserve">En cuanto al segundo aspecto, </w:t>
      </w:r>
      <w:r w:rsidR="003D53CE" w:rsidRPr="009E3B79">
        <w:rPr>
          <w:rFonts w:ascii="Arial" w:eastAsia="Calibri" w:hAnsi="Arial" w:cs="Arial"/>
          <w:bCs/>
          <w:color w:val="000000" w:themeColor="text1"/>
          <w:sz w:val="22"/>
          <w:szCs w:val="22"/>
          <w:lang w:eastAsia="en-US"/>
        </w:rPr>
        <w:t>sobre la validación de</w:t>
      </w:r>
      <w:r w:rsidRPr="009E3B79">
        <w:rPr>
          <w:rFonts w:ascii="Arial" w:eastAsia="Calibri" w:hAnsi="Arial" w:cs="Arial"/>
          <w:bCs/>
          <w:color w:val="000000" w:themeColor="text1"/>
          <w:sz w:val="22"/>
          <w:szCs w:val="22"/>
          <w:lang w:eastAsia="en-US"/>
        </w:rPr>
        <w:t xml:space="preserve"> </w:t>
      </w:r>
      <w:bookmarkStart w:id="5" w:name="_Hlk68683272"/>
      <w:r w:rsidRPr="009E3B79">
        <w:rPr>
          <w:rFonts w:ascii="Arial" w:eastAsia="Calibri" w:hAnsi="Arial" w:cs="Arial"/>
          <w:bCs/>
          <w:color w:val="000000" w:themeColor="text1"/>
          <w:sz w:val="22"/>
          <w:szCs w:val="22"/>
          <w:lang w:eastAsia="en-US"/>
        </w:rPr>
        <w:t>que cada proponente cumpla con la CRPC</w:t>
      </w:r>
      <w:bookmarkEnd w:id="5"/>
      <w:r w:rsidRPr="009E3B79">
        <w:rPr>
          <w:rFonts w:ascii="Arial" w:eastAsia="Calibri" w:hAnsi="Arial" w:cs="Arial"/>
          <w:bCs/>
          <w:color w:val="000000" w:themeColor="text1"/>
          <w:sz w:val="22"/>
          <w:szCs w:val="22"/>
          <w:lang w:eastAsia="en-US"/>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9E3B79">
        <w:rPr>
          <w:rFonts w:ascii="Arial" w:eastAsia="Calibri" w:hAnsi="Arial" w:cs="Arial"/>
          <w:bCs/>
          <w:color w:val="000000" w:themeColor="text1"/>
          <w:sz w:val="22"/>
          <w:szCs w:val="22"/>
          <w:lang w:eastAsia="en-US"/>
        </w:rPr>
        <w:t>ii</w:t>
      </w:r>
      <w:proofErr w:type="spellEnd"/>
      <w:r w:rsidRPr="009E3B79">
        <w:rPr>
          <w:rFonts w:ascii="Arial" w:eastAsia="Calibri" w:hAnsi="Arial" w:cs="Arial"/>
          <w:bCs/>
          <w:color w:val="000000" w:themeColor="text1"/>
          <w:sz w:val="22"/>
          <w:szCs w:val="22"/>
          <w:lang w:eastAsia="en-US"/>
        </w:rPr>
        <w:t xml:space="preserve">) capacidad financiera «CF»; </w:t>
      </w:r>
      <w:proofErr w:type="spellStart"/>
      <w:r w:rsidRPr="009E3B79">
        <w:rPr>
          <w:rFonts w:ascii="Arial" w:eastAsia="Calibri" w:hAnsi="Arial" w:cs="Arial"/>
          <w:bCs/>
          <w:color w:val="000000" w:themeColor="text1"/>
          <w:sz w:val="22"/>
          <w:szCs w:val="22"/>
          <w:lang w:eastAsia="en-US"/>
        </w:rPr>
        <w:t>iii</w:t>
      </w:r>
      <w:proofErr w:type="spellEnd"/>
      <w:r w:rsidRPr="009E3B79">
        <w:rPr>
          <w:rFonts w:ascii="Arial" w:eastAsia="Calibri" w:hAnsi="Arial" w:cs="Arial"/>
          <w:bCs/>
          <w:color w:val="000000" w:themeColor="text1"/>
          <w:sz w:val="22"/>
          <w:szCs w:val="22"/>
          <w:lang w:eastAsia="en-US"/>
        </w:rPr>
        <w:t xml:space="preserve">) capacidad técnica «CT», </w:t>
      </w:r>
      <w:proofErr w:type="spellStart"/>
      <w:r w:rsidRPr="009E3B79">
        <w:rPr>
          <w:rFonts w:ascii="Arial" w:eastAsia="Calibri" w:hAnsi="Arial" w:cs="Arial"/>
          <w:bCs/>
          <w:color w:val="000000" w:themeColor="text1"/>
          <w:sz w:val="22"/>
          <w:szCs w:val="22"/>
          <w:lang w:eastAsia="en-US"/>
        </w:rPr>
        <w:t>iv</w:t>
      </w:r>
      <w:proofErr w:type="spellEnd"/>
      <w:r w:rsidRPr="009E3B79">
        <w:rPr>
          <w:rFonts w:ascii="Arial" w:eastAsia="Calibri" w:hAnsi="Arial" w:cs="Arial"/>
          <w:bCs/>
          <w:color w:val="000000" w:themeColor="text1"/>
          <w:sz w:val="22"/>
          <w:szCs w:val="22"/>
          <w:lang w:eastAsia="en-US"/>
        </w:rPr>
        <w:t>) capacidad de organización «CO»; y v) los saldos de los contratos en ejecución «SCE», según la siguiente formula:</w:t>
      </w:r>
    </w:p>
    <w:p w14:paraId="7083349A" w14:textId="2FAC3E16" w:rsidR="004573D7" w:rsidRPr="009E3B79" w:rsidRDefault="004573D7" w:rsidP="000F6A96">
      <w:pPr>
        <w:spacing w:line="276" w:lineRule="auto"/>
        <w:ind w:firstLine="709"/>
        <w:jc w:val="both"/>
        <w:rPr>
          <w:rFonts w:ascii="Arial" w:eastAsia="Calibri" w:hAnsi="Arial" w:cs="Arial"/>
          <w:bCs/>
          <w:color w:val="000000" w:themeColor="text1"/>
          <w:sz w:val="22"/>
          <w:szCs w:val="22"/>
          <w:lang w:eastAsia="en-US"/>
        </w:rPr>
      </w:pPr>
      <w:r w:rsidRPr="009E3B79">
        <w:rPr>
          <w:rFonts w:ascii="Arial" w:eastAsia="Calibri" w:hAnsi="Arial" w:cs="Arial"/>
          <w:bCs/>
          <w:noProof/>
          <w:color w:val="000000" w:themeColor="text1"/>
          <w:sz w:val="22"/>
          <w:szCs w:val="22"/>
          <w:lang w:eastAsia="en-US"/>
        </w:rPr>
        <w:lastRenderedPageBreak/>
        <w:drawing>
          <wp:anchor distT="0" distB="0" distL="0" distR="0" simplePos="0" relativeHeight="251661312" behindDoc="0" locked="0" layoutInCell="1" allowOverlap="1" wp14:anchorId="7DD6A65C" wp14:editId="6405FBD3">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5E46000" w14:textId="77777777" w:rsidR="006B666B" w:rsidRPr="009E3B79" w:rsidRDefault="006B666B" w:rsidP="000F6A96">
      <w:pPr>
        <w:spacing w:line="276" w:lineRule="auto"/>
        <w:jc w:val="both"/>
        <w:rPr>
          <w:rFonts w:ascii="Arial" w:eastAsia="Calibri" w:hAnsi="Arial" w:cs="Arial"/>
          <w:bCs/>
          <w:color w:val="000000" w:themeColor="text1"/>
          <w:sz w:val="22"/>
          <w:szCs w:val="22"/>
          <w:lang w:val="es-MX" w:eastAsia="en-US"/>
        </w:rPr>
      </w:pPr>
    </w:p>
    <w:p w14:paraId="5EDFB397" w14:textId="2F23CDC7" w:rsidR="006B666B" w:rsidRPr="009E3B79" w:rsidRDefault="006D6F94" w:rsidP="000029DF">
      <w:pPr>
        <w:spacing w:line="276" w:lineRule="auto"/>
        <w:ind w:firstLine="709"/>
        <w:jc w:val="both"/>
        <w:rPr>
          <w:rFonts w:ascii="Arial" w:hAnsi="Arial" w:cs="Arial"/>
          <w:i/>
          <w:iCs/>
          <w:sz w:val="22"/>
          <w:szCs w:val="22"/>
        </w:rPr>
      </w:pPr>
      <w:r w:rsidRPr="009E3B79">
        <w:rPr>
          <w:rFonts w:ascii="Arial" w:eastAsia="Calibri" w:hAnsi="Arial" w:cs="Arial"/>
          <w:bCs/>
          <w:color w:val="000000" w:themeColor="text1"/>
          <w:sz w:val="22"/>
          <w:szCs w:val="22"/>
          <w:lang w:val="es-MX" w:eastAsia="en-US"/>
        </w:rPr>
        <w:t>Particularmente, respecto del factor de</w:t>
      </w:r>
      <w:r w:rsidR="003003ED" w:rsidRPr="009E3B79">
        <w:rPr>
          <w:rFonts w:ascii="Arial" w:eastAsia="Calibri" w:hAnsi="Arial" w:cs="Arial"/>
          <w:bCs/>
          <w:color w:val="000000" w:themeColor="text1"/>
          <w:sz w:val="22"/>
          <w:szCs w:val="22"/>
          <w:lang w:val="es-MX" w:eastAsia="en-US"/>
        </w:rPr>
        <w:t xml:space="preserve"> saldos de los contratos en ejecución</w:t>
      </w:r>
      <w:r w:rsidRPr="009E3B79">
        <w:rPr>
          <w:rFonts w:ascii="Arial" w:eastAsia="Calibri" w:hAnsi="Arial" w:cs="Arial"/>
          <w:bCs/>
          <w:color w:val="000000" w:themeColor="text1"/>
          <w:sz w:val="22"/>
          <w:szCs w:val="22"/>
          <w:lang w:val="es-MX" w:eastAsia="en-US"/>
        </w:rPr>
        <w:t xml:space="preserve"> </w:t>
      </w:r>
      <w:r w:rsidR="003003ED" w:rsidRPr="009E3B79">
        <w:rPr>
          <w:rFonts w:ascii="Arial" w:eastAsia="Calibri" w:hAnsi="Arial" w:cs="Arial"/>
          <w:bCs/>
          <w:color w:val="000000" w:themeColor="text1"/>
          <w:sz w:val="22"/>
          <w:szCs w:val="22"/>
          <w:lang w:eastAsia="en-US"/>
        </w:rPr>
        <w:t>«</w:t>
      </w:r>
      <w:r w:rsidRPr="009E3B79">
        <w:rPr>
          <w:rFonts w:ascii="Arial" w:eastAsia="Calibri" w:hAnsi="Arial" w:cs="Arial"/>
          <w:bCs/>
          <w:color w:val="000000" w:themeColor="text1"/>
          <w:sz w:val="22"/>
        </w:rPr>
        <w:t>SCE</w:t>
      </w:r>
      <w:r w:rsidR="003003ED" w:rsidRPr="009E3B79">
        <w:rPr>
          <w:rFonts w:ascii="Arial" w:eastAsia="Calibri" w:hAnsi="Arial" w:cs="Arial"/>
          <w:bCs/>
          <w:color w:val="000000" w:themeColor="text1"/>
          <w:sz w:val="22"/>
          <w:szCs w:val="22"/>
          <w:lang w:eastAsia="en-US"/>
        </w:rPr>
        <w:t>»</w:t>
      </w:r>
      <w:r w:rsidRPr="009E3B79">
        <w:rPr>
          <w:rFonts w:ascii="Arial" w:eastAsia="Calibri" w:hAnsi="Arial" w:cs="Arial"/>
          <w:bCs/>
          <w:color w:val="000000" w:themeColor="text1"/>
          <w:sz w:val="22"/>
        </w:rPr>
        <w:t>,</w:t>
      </w:r>
      <w:r w:rsidR="00DC452D" w:rsidRPr="009E3B79">
        <w:rPr>
          <w:rFonts w:ascii="Arial" w:hAnsi="Arial" w:cs="Arial"/>
          <w:sz w:val="22"/>
          <w:szCs w:val="22"/>
        </w:rPr>
        <w:t xml:space="preserve"> </w:t>
      </w:r>
      <w:r w:rsidR="00397961" w:rsidRPr="009E3B79">
        <w:rPr>
          <w:rFonts w:ascii="Arial" w:hAnsi="Arial" w:cs="Arial"/>
          <w:sz w:val="22"/>
          <w:szCs w:val="22"/>
        </w:rPr>
        <w:t xml:space="preserve">es necesario tener en cuenta </w:t>
      </w:r>
      <w:r w:rsidR="00FA2EF7" w:rsidRPr="009E3B79">
        <w:rPr>
          <w:rFonts w:ascii="Arial" w:hAnsi="Arial" w:cs="Arial"/>
          <w:sz w:val="22"/>
          <w:szCs w:val="22"/>
        </w:rPr>
        <w:t xml:space="preserve">que </w:t>
      </w:r>
      <w:r w:rsidR="006B666B" w:rsidRPr="009E3B79">
        <w:rPr>
          <w:rFonts w:ascii="Arial" w:hAnsi="Arial" w:cs="Arial"/>
          <w:sz w:val="22"/>
          <w:szCs w:val="22"/>
        </w:rPr>
        <w:t>la Guía para Determinar y Verificar la Capacidad Residual del Proponente en los Procesos de Contratación de Obra Pública</w:t>
      </w:r>
      <w:r w:rsidR="00491A9B" w:rsidRPr="009E3B79">
        <w:rPr>
          <w:rFonts w:ascii="Arial" w:hAnsi="Arial" w:cs="Arial"/>
          <w:i/>
          <w:iCs/>
          <w:sz w:val="22"/>
          <w:szCs w:val="22"/>
        </w:rPr>
        <w:t>,</w:t>
      </w:r>
      <w:r w:rsidR="006B666B" w:rsidRPr="009E3B79">
        <w:rPr>
          <w:rFonts w:ascii="Arial" w:hAnsi="Arial" w:cs="Arial"/>
          <w:i/>
          <w:iCs/>
          <w:sz w:val="22"/>
          <w:szCs w:val="22"/>
        </w:rPr>
        <w:t xml:space="preserve"> </w:t>
      </w:r>
      <w:r w:rsidR="00F601E7" w:rsidRPr="009E3B79">
        <w:rPr>
          <w:rFonts w:ascii="Arial" w:hAnsi="Arial" w:cs="Arial"/>
          <w:sz w:val="22"/>
          <w:szCs w:val="22"/>
        </w:rPr>
        <w:t xml:space="preserve">define a este factor </w:t>
      </w:r>
      <w:r w:rsidR="00F601E7" w:rsidRPr="009E3B79">
        <w:rPr>
          <w:rFonts w:ascii="Arial" w:eastAsia="Calibri" w:hAnsi="Arial" w:cs="Arial"/>
          <w:bCs/>
          <w:color w:val="000000" w:themeColor="text1"/>
          <w:sz w:val="22"/>
          <w:szCs w:val="22"/>
          <w:lang w:eastAsia="en-US"/>
        </w:rPr>
        <w:t>como «la suma de los montos por ejecutar de los contratos en ejecución durante los 12 meses siguientes». Así mismo, define los</w:t>
      </w:r>
      <w:r w:rsidR="006B666B" w:rsidRPr="009E3B79">
        <w:rPr>
          <w:rFonts w:ascii="Arial" w:hAnsi="Arial" w:cs="Arial"/>
          <w:sz w:val="22"/>
          <w:szCs w:val="22"/>
        </w:rPr>
        <w:t xml:space="preserve"> </w:t>
      </w:r>
      <w:bookmarkStart w:id="6" w:name="_Hlk78819022"/>
      <w:r w:rsidR="006B666B" w:rsidRPr="009E3B79">
        <w:rPr>
          <w:rFonts w:ascii="Arial" w:hAnsi="Arial" w:cs="Arial"/>
          <w:i/>
          <w:iCs/>
          <w:sz w:val="22"/>
          <w:szCs w:val="22"/>
        </w:rPr>
        <w:t xml:space="preserve">Contratos en </w:t>
      </w:r>
      <w:r w:rsidR="007B12A1" w:rsidRPr="009E3B79">
        <w:rPr>
          <w:rFonts w:ascii="Arial" w:hAnsi="Arial" w:cs="Arial"/>
          <w:i/>
          <w:iCs/>
          <w:sz w:val="22"/>
          <w:szCs w:val="22"/>
        </w:rPr>
        <w:t>E</w:t>
      </w:r>
      <w:r w:rsidR="006B666B" w:rsidRPr="009E3B79">
        <w:rPr>
          <w:rFonts w:ascii="Arial" w:hAnsi="Arial" w:cs="Arial"/>
          <w:i/>
          <w:iCs/>
          <w:sz w:val="22"/>
          <w:szCs w:val="22"/>
        </w:rPr>
        <w:t>jecución</w:t>
      </w:r>
      <w:r w:rsidR="006B666B" w:rsidRPr="009E3B79">
        <w:rPr>
          <w:rFonts w:ascii="Arial" w:hAnsi="Arial" w:cs="Arial"/>
          <w:sz w:val="22"/>
          <w:szCs w:val="22"/>
        </w:rPr>
        <w:t xml:space="preserve"> </w:t>
      </w:r>
      <w:bookmarkEnd w:id="6"/>
      <w:r w:rsidR="006B666B" w:rsidRPr="009E3B79">
        <w:rPr>
          <w:rFonts w:ascii="Arial" w:hAnsi="Arial" w:cs="Arial"/>
          <w:sz w:val="22"/>
          <w:szCs w:val="22"/>
        </w:rPr>
        <w:t xml:space="preserve">de la siguiente manera: </w:t>
      </w:r>
      <w:r w:rsidR="006B666B" w:rsidRPr="009E3B79">
        <w:rPr>
          <w:rFonts w:ascii="Arial" w:hAnsi="Arial" w:cs="Arial"/>
          <w:i/>
          <w:iCs/>
          <w:sz w:val="22"/>
          <w:szCs w:val="22"/>
        </w:rPr>
        <w:t xml:space="preserve"> </w:t>
      </w:r>
    </w:p>
    <w:p w14:paraId="7D6FD1AA" w14:textId="77777777" w:rsidR="00F601E7" w:rsidRPr="009E3B79" w:rsidRDefault="00F601E7" w:rsidP="00F601E7">
      <w:pPr>
        <w:spacing w:line="276" w:lineRule="auto"/>
        <w:ind w:firstLine="709"/>
        <w:jc w:val="both"/>
        <w:rPr>
          <w:rFonts w:ascii="Arial" w:hAnsi="Arial" w:cs="Arial"/>
          <w:sz w:val="22"/>
          <w:szCs w:val="22"/>
        </w:rPr>
      </w:pPr>
    </w:p>
    <w:p w14:paraId="46F986F0" w14:textId="3714A9D2" w:rsidR="006B666B" w:rsidRPr="009E3B79" w:rsidRDefault="006B666B" w:rsidP="006B666B">
      <w:pPr>
        <w:ind w:left="709" w:right="709"/>
        <w:jc w:val="both"/>
        <w:rPr>
          <w:rFonts w:ascii="Arial" w:hAnsi="Arial" w:cs="Arial"/>
          <w:sz w:val="22"/>
          <w:szCs w:val="22"/>
        </w:rPr>
      </w:pPr>
      <w:r w:rsidRPr="009E3B79">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r w:rsidR="007B12A1" w:rsidRPr="009E3B79">
        <w:rPr>
          <w:rFonts w:ascii="Arial" w:hAnsi="Arial" w:cs="Arial"/>
          <w:sz w:val="21"/>
          <w:szCs w:val="21"/>
        </w:rPr>
        <w:t>.</w:t>
      </w:r>
    </w:p>
    <w:p w14:paraId="3A01921C" w14:textId="6DBA9248" w:rsidR="006B666B" w:rsidRPr="009E3B79" w:rsidRDefault="006B666B" w:rsidP="00491A9B">
      <w:pPr>
        <w:spacing w:line="276" w:lineRule="auto"/>
        <w:ind w:firstLine="709"/>
        <w:jc w:val="both"/>
        <w:rPr>
          <w:rFonts w:ascii="Arial" w:hAnsi="Arial" w:cs="Arial"/>
          <w:sz w:val="22"/>
          <w:szCs w:val="22"/>
        </w:rPr>
      </w:pPr>
    </w:p>
    <w:p w14:paraId="04A7FFE8" w14:textId="2EBC241E" w:rsidR="00FA2EF7" w:rsidRPr="009E3B79" w:rsidRDefault="00FA2EF7" w:rsidP="000029DF">
      <w:pPr>
        <w:spacing w:line="276" w:lineRule="auto"/>
        <w:ind w:firstLine="709"/>
        <w:jc w:val="both"/>
        <w:rPr>
          <w:rFonts w:ascii="Arial" w:hAnsi="Arial" w:cs="Arial"/>
          <w:sz w:val="22"/>
          <w:szCs w:val="22"/>
        </w:rPr>
      </w:pPr>
      <w:r w:rsidRPr="009E3B79">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w:t>
      </w:r>
      <w:r w:rsidR="00117919" w:rsidRPr="009E3B79">
        <w:rPr>
          <w:rFonts w:ascii="Arial" w:hAnsi="Arial" w:cs="Arial"/>
          <w:sz w:val="22"/>
          <w:szCs w:val="22"/>
        </w:rPr>
        <w:t xml:space="preserve"> contrato</w:t>
      </w:r>
      <w:r w:rsidRPr="009E3B79">
        <w:rPr>
          <w:rFonts w:ascii="Arial" w:hAnsi="Arial" w:cs="Arial"/>
          <w:sz w:val="22"/>
          <w:szCs w:val="22"/>
        </w:rPr>
        <w:t xml:space="preserve"> obligue al proponente. Además, los saldos pendientes por ejecutar de los contratos afectados por una suspensión constituyen, también, información relevante para calcular la capacidad residual del proponente </w:t>
      </w:r>
      <w:r w:rsidR="00E76C1B" w:rsidRPr="009E3B79">
        <w:rPr>
          <w:rFonts w:ascii="Arial" w:eastAsia="Calibri" w:hAnsi="Arial" w:cs="Arial"/>
          <w:b/>
          <w:color w:val="000000" w:themeColor="text1"/>
          <w:sz w:val="22"/>
          <w:szCs w:val="22"/>
          <w:lang w:eastAsia="en-US"/>
        </w:rPr>
        <w:t>«</w:t>
      </w:r>
      <w:r w:rsidR="00E76C1B" w:rsidRPr="009E3B79">
        <w:rPr>
          <w:rFonts w:ascii="Arial" w:eastAsia="Calibri" w:hAnsi="Arial" w:cs="Arial"/>
          <w:bCs/>
          <w:color w:val="000000" w:themeColor="text1"/>
          <w:sz w:val="22"/>
          <w:szCs w:val="22"/>
        </w:rPr>
        <w:t>CRP</w:t>
      </w:r>
      <w:r w:rsidR="00E76C1B" w:rsidRPr="009E3B79">
        <w:rPr>
          <w:rFonts w:ascii="Arial" w:eastAsia="Calibri" w:hAnsi="Arial" w:cs="Arial"/>
          <w:b/>
          <w:color w:val="000000" w:themeColor="text1"/>
          <w:sz w:val="22"/>
          <w:szCs w:val="22"/>
          <w:lang w:eastAsia="en-US"/>
        </w:rPr>
        <w:t>»</w:t>
      </w:r>
      <w:r w:rsidRPr="009E3B79">
        <w:rPr>
          <w:rFonts w:ascii="Arial" w:hAnsi="Arial" w:cs="Arial"/>
          <w:sz w:val="22"/>
          <w:szCs w:val="22"/>
        </w:rPr>
        <w:t>.</w:t>
      </w:r>
      <w:r w:rsidR="00F615E1" w:rsidRPr="009E3B79">
        <w:rPr>
          <w:rFonts w:ascii="Arial" w:hAnsi="Arial" w:cs="Arial"/>
          <w:sz w:val="22"/>
          <w:szCs w:val="22"/>
        </w:rPr>
        <w:t xml:space="preserve"> Lo anterior, en la medida en que la ejecución de los contratos en principio suspendidos puede, eventualmente, afectar la aptitud del oferente para cumplir con el contrato ofertado</w:t>
      </w:r>
      <w:r w:rsidR="004C0D39" w:rsidRPr="009E3B79">
        <w:rPr>
          <w:rFonts w:ascii="Arial" w:hAnsi="Arial" w:cs="Arial"/>
          <w:sz w:val="22"/>
          <w:szCs w:val="22"/>
        </w:rPr>
        <w:t>,</w:t>
      </w:r>
      <w:r w:rsidR="00F615E1" w:rsidRPr="009E3B79">
        <w:rPr>
          <w:rFonts w:ascii="Arial" w:hAnsi="Arial" w:cs="Arial"/>
          <w:sz w:val="22"/>
          <w:szCs w:val="22"/>
        </w:rPr>
        <w:t xml:space="preserve"> razón por la que, ante la posibilidad de que tales contratos se reanuden, se ha estimado necesario evaluar los saldos pendientes por ejecutar de tales contratos para determinar si el proponente cumple con la capacidad residual requerida</w:t>
      </w:r>
      <w:r w:rsidR="003003ED" w:rsidRPr="009E3B79">
        <w:rPr>
          <w:rFonts w:ascii="Arial" w:hAnsi="Arial" w:cs="Arial"/>
          <w:sz w:val="22"/>
          <w:szCs w:val="22"/>
        </w:rPr>
        <w:t>.</w:t>
      </w:r>
    </w:p>
    <w:p w14:paraId="6DACB828" w14:textId="7A4CB26C" w:rsidR="00F615E1" w:rsidRPr="009E3B79" w:rsidRDefault="00411CC1" w:rsidP="00D65025">
      <w:pPr>
        <w:spacing w:before="120" w:line="276" w:lineRule="auto"/>
        <w:ind w:firstLine="709"/>
        <w:jc w:val="both"/>
        <w:rPr>
          <w:rFonts w:ascii="Arial" w:hAnsi="Arial" w:cs="Arial"/>
          <w:sz w:val="22"/>
          <w:szCs w:val="22"/>
        </w:rPr>
      </w:pPr>
      <w:r w:rsidRPr="009E3B79">
        <w:rPr>
          <w:rFonts w:ascii="Arial" w:hAnsi="Arial" w:cs="Arial"/>
          <w:sz w:val="22"/>
          <w:szCs w:val="22"/>
        </w:rPr>
        <w:t>De este modo</w:t>
      </w:r>
      <w:r w:rsidR="00FA2EF7" w:rsidRPr="009E3B79">
        <w:rPr>
          <w:rFonts w:ascii="Arial" w:hAnsi="Arial" w:cs="Arial"/>
          <w:sz w:val="22"/>
          <w:szCs w:val="22"/>
        </w:rPr>
        <w:t xml:space="preserve">, </w:t>
      </w:r>
      <w:r w:rsidR="00F615E1" w:rsidRPr="009E3B79">
        <w:rPr>
          <w:rFonts w:ascii="Arial" w:hAnsi="Arial" w:cs="Arial"/>
          <w:sz w:val="22"/>
          <w:szCs w:val="22"/>
        </w:rPr>
        <w:t>p</w:t>
      </w:r>
      <w:r w:rsidR="00491A9B" w:rsidRPr="009E3B79">
        <w:rPr>
          <w:rFonts w:ascii="Arial" w:hAnsi="Arial" w:cs="Arial"/>
          <w:sz w:val="22"/>
          <w:szCs w:val="22"/>
        </w:rPr>
        <w:t>ara</w:t>
      </w:r>
      <w:r w:rsidR="00FA2EF7" w:rsidRPr="009E3B79">
        <w:rPr>
          <w:rFonts w:ascii="Arial" w:hAnsi="Arial" w:cs="Arial"/>
          <w:sz w:val="22"/>
          <w:szCs w:val="22"/>
        </w:rPr>
        <w:t xml:space="preserve"> </w:t>
      </w:r>
      <w:r w:rsidR="00491A9B" w:rsidRPr="009E3B79">
        <w:rPr>
          <w:rFonts w:ascii="Arial" w:hAnsi="Arial" w:cs="Arial"/>
          <w:sz w:val="22"/>
          <w:szCs w:val="22"/>
        </w:rPr>
        <w:t xml:space="preserve">acreditar el factor </w:t>
      </w:r>
      <w:r w:rsidR="003003ED" w:rsidRPr="009E3B79">
        <w:rPr>
          <w:rFonts w:ascii="Arial" w:eastAsia="Calibri" w:hAnsi="Arial" w:cs="Arial"/>
          <w:bCs/>
          <w:color w:val="000000" w:themeColor="text1"/>
          <w:sz w:val="22"/>
          <w:szCs w:val="22"/>
          <w:lang w:val="es-MX" w:eastAsia="en-US"/>
        </w:rPr>
        <w:t xml:space="preserve">saldos de los contratos en ejecución </w:t>
      </w:r>
      <w:r w:rsidR="003003ED" w:rsidRPr="009E3B79">
        <w:rPr>
          <w:rFonts w:ascii="Arial" w:eastAsia="Calibri" w:hAnsi="Arial" w:cs="Arial"/>
          <w:bCs/>
          <w:color w:val="000000" w:themeColor="text1"/>
          <w:sz w:val="22"/>
          <w:szCs w:val="22"/>
          <w:lang w:eastAsia="en-US"/>
        </w:rPr>
        <w:t>«</w:t>
      </w:r>
      <w:r w:rsidR="003003ED" w:rsidRPr="009E3B79">
        <w:rPr>
          <w:rFonts w:ascii="Arial" w:eastAsia="Calibri" w:hAnsi="Arial" w:cs="Arial"/>
          <w:bCs/>
          <w:color w:val="000000" w:themeColor="text1"/>
          <w:sz w:val="22"/>
        </w:rPr>
        <w:t>SCE</w:t>
      </w:r>
      <w:r w:rsidR="003003ED" w:rsidRPr="009E3B79">
        <w:rPr>
          <w:rFonts w:ascii="Arial" w:eastAsia="Calibri" w:hAnsi="Arial" w:cs="Arial"/>
          <w:bCs/>
          <w:color w:val="000000" w:themeColor="text1"/>
          <w:sz w:val="22"/>
          <w:szCs w:val="22"/>
          <w:lang w:eastAsia="en-US"/>
        </w:rPr>
        <w:t>»</w:t>
      </w:r>
      <w:r w:rsidR="003003ED" w:rsidRPr="009E3B79">
        <w:rPr>
          <w:rFonts w:ascii="Arial" w:hAnsi="Arial" w:cs="Arial"/>
          <w:sz w:val="22"/>
          <w:szCs w:val="22"/>
        </w:rPr>
        <w:t xml:space="preserve"> </w:t>
      </w:r>
      <w:r w:rsidR="00491A9B" w:rsidRPr="009E3B79">
        <w:rPr>
          <w:rFonts w:ascii="Arial" w:hAnsi="Arial" w:cs="Arial"/>
          <w:sz w:val="22"/>
          <w:szCs w:val="22"/>
        </w:rPr>
        <w:t xml:space="preserve"> como lo establece la Guía, el proponente debe presentar la lista de </w:t>
      </w:r>
      <w:r w:rsidR="003003ED" w:rsidRPr="009E3B79">
        <w:rPr>
          <w:rFonts w:ascii="Arial" w:hAnsi="Arial" w:cs="Arial"/>
          <w:sz w:val="22"/>
          <w:szCs w:val="22"/>
        </w:rPr>
        <w:t>c</w:t>
      </w:r>
      <w:r w:rsidR="00491A9B" w:rsidRPr="009E3B79">
        <w:rPr>
          <w:rFonts w:ascii="Arial" w:hAnsi="Arial" w:cs="Arial"/>
          <w:sz w:val="22"/>
          <w:szCs w:val="22"/>
        </w:rPr>
        <w:t xml:space="preserve">ontratos </w:t>
      </w:r>
      <w:r w:rsidR="00F615E1" w:rsidRPr="009E3B79">
        <w:rPr>
          <w:rFonts w:ascii="Arial" w:hAnsi="Arial" w:cs="Arial"/>
          <w:sz w:val="22"/>
          <w:szCs w:val="22"/>
        </w:rPr>
        <w:t>de obra</w:t>
      </w:r>
      <w:r w:rsidR="003003ED" w:rsidRPr="009E3B79">
        <w:rPr>
          <w:rFonts w:ascii="Arial" w:hAnsi="Arial" w:cs="Arial"/>
          <w:sz w:val="22"/>
          <w:szCs w:val="22"/>
        </w:rPr>
        <w:t>s civiles</w:t>
      </w:r>
      <w:r w:rsidR="00F615E1" w:rsidRPr="009E3B79">
        <w:rPr>
          <w:rFonts w:ascii="Arial" w:hAnsi="Arial" w:cs="Arial"/>
          <w:sz w:val="22"/>
          <w:szCs w:val="22"/>
        </w:rPr>
        <w:t xml:space="preserve"> </w:t>
      </w:r>
      <w:r w:rsidR="00491A9B" w:rsidRPr="009E3B79">
        <w:rPr>
          <w:rFonts w:ascii="Arial" w:hAnsi="Arial" w:cs="Arial"/>
          <w:sz w:val="22"/>
          <w:szCs w:val="22"/>
        </w:rPr>
        <w:t xml:space="preserve">en ejecución, tanto a nivel nacional como internacional señalando i) el valor del contrato; </w:t>
      </w:r>
      <w:proofErr w:type="spellStart"/>
      <w:r w:rsidR="00491A9B" w:rsidRPr="009E3B79">
        <w:rPr>
          <w:rFonts w:ascii="Arial" w:hAnsi="Arial" w:cs="Arial"/>
          <w:sz w:val="22"/>
          <w:szCs w:val="22"/>
        </w:rPr>
        <w:t>ii</w:t>
      </w:r>
      <w:proofErr w:type="spellEnd"/>
      <w:r w:rsidR="00491A9B" w:rsidRPr="009E3B79">
        <w:rPr>
          <w:rFonts w:ascii="Arial" w:hAnsi="Arial" w:cs="Arial"/>
          <w:sz w:val="22"/>
          <w:szCs w:val="22"/>
        </w:rPr>
        <w:t xml:space="preserve">) el plazo del contrato en meses; </w:t>
      </w:r>
      <w:proofErr w:type="spellStart"/>
      <w:r w:rsidR="00491A9B" w:rsidRPr="009E3B79">
        <w:rPr>
          <w:rFonts w:ascii="Arial" w:hAnsi="Arial" w:cs="Arial"/>
          <w:sz w:val="22"/>
          <w:szCs w:val="22"/>
        </w:rPr>
        <w:t>iii</w:t>
      </w:r>
      <w:proofErr w:type="spellEnd"/>
      <w:r w:rsidR="00491A9B" w:rsidRPr="009E3B79">
        <w:rPr>
          <w:rFonts w:ascii="Arial" w:hAnsi="Arial" w:cs="Arial"/>
          <w:sz w:val="22"/>
          <w:szCs w:val="22"/>
        </w:rPr>
        <w:t xml:space="preserve">) la fecha de inicio de las obras objeto del contrato, día, mes, año; </w:t>
      </w:r>
      <w:proofErr w:type="spellStart"/>
      <w:r w:rsidR="00491A9B" w:rsidRPr="009E3B79">
        <w:rPr>
          <w:rFonts w:ascii="Arial" w:hAnsi="Arial" w:cs="Arial"/>
          <w:sz w:val="22"/>
          <w:szCs w:val="22"/>
        </w:rPr>
        <w:t>iv</w:t>
      </w:r>
      <w:proofErr w:type="spellEnd"/>
      <w:r w:rsidR="00491A9B" w:rsidRPr="009E3B79">
        <w:rPr>
          <w:rFonts w:ascii="Arial" w:hAnsi="Arial" w:cs="Arial"/>
          <w:sz w:val="22"/>
          <w:szCs w:val="22"/>
        </w:rPr>
        <w:t>)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w:t>
      </w:r>
      <w:r w:rsidR="00117919" w:rsidRPr="009E3B79">
        <w:rPr>
          <w:rFonts w:ascii="Arial" w:hAnsi="Arial" w:cs="Arial"/>
          <w:sz w:val="22"/>
          <w:szCs w:val="22"/>
        </w:rPr>
        <w:t xml:space="preserve"> Por ello, s</w:t>
      </w:r>
      <w:r w:rsidR="00F615E1" w:rsidRPr="009E3B79">
        <w:rPr>
          <w:rFonts w:ascii="Arial" w:hAnsi="Arial" w:cs="Arial"/>
          <w:sz w:val="22"/>
          <w:szCs w:val="22"/>
        </w:rPr>
        <w:t xml:space="preserve">obre la acreditación del factor </w:t>
      </w:r>
      <w:r w:rsidR="00120CBD" w:rsidRPr="009E3B79">
        <w:rPr>
          <w:rFonts w:ascii="Arial" w:eastAsia="Calibri" w:hAnsi="Arial" w:cs="Arial"/>
          <w:bCs/>
          <w:color w:val="000000" w:themeColor="text1"/>
          <w:sz w:val="22"/>
          <w:szCs w:val="22"/>
          <w:lang w:eastAsia="en-US"/>
        </w:rPr>
        <w:t>«</w:t>
      </w:r>
      <w:r w:rsidR="00120CBD" w:rsidRPr="009E3B79">
        <w:rPr>
          <w:rFonts w:ascii="Arial" w:eastAsia="Calibri" w:hAnsi="Arial" w:cs="Arial"/>
          <w:bCs/>
          <w:color w:val="000000" w:themeColor="text1"/>
          <w:sz w:val="22"/>
        </w:rPr>
        <w:t>SCE</w:t>
      </w:r>
      <w:r w:rsidR="00120CBD" w:rsidRPr="009E3B79">
        <w:rPr>
          <w:rFonts w:ascii="Arial" w:eastAsia="Calibri" w:hAnsi="Arial" w:cs="Arial"/>
          <w:bCs/>
          <w:color w:val="000000" w:themeColor="text1"/>
          <w:sz w:val="22"/>
          <w:szCs w:val="22"/>
          <w:lang w:eastAsia="en-US"/>
        </w:rPr>
        <w:t>»</w:t>
      </w:r>
      <w:r w:rsidR="00120CBD" w:rsidRPr="009E3B79">
        <w:rPr>
          <w:rFonts w:ascii="Arial" w:eastAsia="Calibri" w:hAnsi="Arial" w:cs="Arial"/>
          <w:bCs/>
          <w:color w:val="000000" w:themeColor="text1"/>
          <w:sz w:val="22"/>
        </w:rPr>
        <w:t xml:space="preserve"> </w:t>
      </w:r>
      <w:r w:rsidR="00374574" w:rsidRPr="009E3B79">
        <w:rPr>
          <w:rFonts w:ascii="Arial" w:hAnsi="Arial" w:cs="Arial"/>
          <w:sz w:val="22"/>
          <w:szCs w:val="22"/>
        </w:rPr>
        <w:t xml:space="preserve">en los </w:t>
      </w:r>
      <w:r w:rsidR="003C612E" w:rsidRPr="009E3B79">
        <w:rPr>
          <w:rFonts w:ascii="Arial" w:hAnsi="Arial" w:cs="Arial"/>
          <w:sz w:val="22"/>
          <w:szCs w:val="22"/>
          <w:lang w:val="es-ES_tradnl"/>
        </w:rPr>
        <w:t xml:space="preserve">«Documentos Tipo </w:t>
      </w:r>
      <w:r w:rsidR="003C612E" w:rsidRPr="009E3B79">
        <w:rPr>
          <w:rFonts w:ascii="Arial" w:hAnsi="Arial" w:cs="Arial"/>
          <w:sz w:val="22"/>
          <w:szCs w:val="22"/>
          <w:lang w:val="es-ES_tradnl"/>
        </w:rPr>
        <w:lastRenderedPageBreak/>
        <w:t>– Versión 3» de licitación de obra pública de infraestructura de transporte</w:t>
      </w:r>
      <w:r w:rsidR="00F615E1" w:rsidRPr="009E3B79">
        <w:rPr>
          <w:rFonts w:ascii="Arial" w:hAnsi="Arial" w:cs="Arial"/>
          <w:sz w:val="22"/>
          <w:szCs w:val="22"/>
        </w:rPr>
        <w:t xml:space="preserve">, el literal E del numeral 3.10.2 del </w:t>
      </w:r>
      <w:r w:rsidR="00F601E7" w:rsidRPr="009E3B79">
        <w:rPr>
          <w:rFonts w:ascii="Arial" w:hAnsi="Arial" w:cs="Arial"/>
          <w:sz w:val="22"/>
          <w:szCs w:val="22"/>
        </w:rPr>
        <w:t>d</w:t>
      </w:r>
      <w:r w:rsidR="00F615E1" w:rsidRPr="009E3B79">
        <w:rPr>
          <w:rFonts w:ascii="Arial" w:hAnsi="Arial" w:cs="Arial"/>
          <w:sz w:val="22"/>
          <w:szCs w:val="22"/>
        </w:rPr>
        <w:t xml:space="preserve">ocumento </w:t>
      </w:r>
      <w:r w:rsidR="00F601E7" w:rsidRPr="009E3B79">
        <w:rPr>
          <w:rFonts w:ascii="Arial" w:hAnsi="Arial" w:cs="Arial"/>
          <w:sz w:val="22"/>
          <w:szCs w:val="22"/>
        </w:rPr>
        <w:t>b</w:t>
      </w:r>
      <w:r w:rsidR="00F615E1" w:rsidRPr="009E3B79">
        <w:rPr>
          <w:rFonts w:ascii="Arial" w:hAnsi="Arial" w:cs="Arial"/>
          <w:sz w:val="22"/>
          <w:szCs w:val="22"/>
        </w:rPr>
        <w:t>ase señala lo siguiente:</w:t>
      </w:r>
    </w:p>
    <w:p w14:paraId="1621D83C" w14:textId="77777777" w:rsidR="00F615E1" w:rsidRPr="009E3B79" w:rsidRDefault="00F615E1" w:rsidP="003003ED">
      <w:pPr>
        <w:spacing w:line="276" w:lineRule="auto"/>
        <w:ind w:firstLine="709"/>
        <w:jc w:val="both"/>
        <w:rPr>
          <w:rFonts w:ascii="Arial" w:hAnsi="Arial" w:cs="Arial"/>
          <w:sz w:val="22"/>
          <w:szCs w:val="22"/>
        </w:rPr>
      </w:pPr>
    </w:p>
    <w:p w14:paraId="2B713975" w14:textId="77777777" w:rsidR="00F615E1" w:rsidRPr="009E3B79" w:rsidRDefault="00F615E1" w:rsidP="00D91AC1">
      <w:pPr>
        <w:ind w:left="709" w:right="709"/>
        <w:jc w:val="both"/>
        <w:rPr>
          <w:rFonts w:ascii="Arial" w:eastAsia="Arial," w:hAnsi="Arial" w:cs="Arial"/>
          <w:sz w:val="21"/>
          <w:szCs w:val="21"/>
        </w:rPr>
      </w:pPr>
      <w:r w:rsidRPr="009E3B79">
        <w:rPr>
          <w:rFonts w:ascii="Arial" w:hAnsi="Arial" w:cs="Arial"/>
          <w:sz w:val="21"/>
          <w:szCs w:val="21"/>
        </w:rPr>
        <w:t>Para</w:t>
      </w:r>
      <w:r w:rsidRPr="009E3B79">
        <w:rPr>
          <w:rFonts w:ascii="Arial" w:eastAsia="Arial," w:hAnsi="Arial" w:cs="Arial"/>
          <w:sz w:val="21"/>
          <w:szCs w:val="21"/>
        </w:rPr>
        <w:t xml:space="preserve"> </w:t>
      </w:r>
      <w:r w:rsidRPr="009E3B79">
        <w:rPr>
          <w:rFonts w:ascii="Arial" w:hAnsi="Arial" w:cs="Arial"/>
          <w:sz w:val="21"/>
          <w:szCs w:val="21"/>
        </w:rPr>
        <w:t>acreditar</w:t>
      </w:r>
      <w:r w:rsidRPr="009E3B79">
        <w:rPr>
          <w:rFonts w:ascii="Arial" w:eastAsia="Arial," w:hAnsi="Arial" w:cs="Arial"/>
          <w:sz w:val="21"/>
          <w:szCs w:val="21"/>
        </w:rPr>
        <w:t xml:space="preserve"> </w:t>
      </w:r>
      <w:r w:rsidRPr="009E3B79">
        <w:rPr>
          <w:rFonts w:ascii="Arial" w:hAnsi="Arial" w:cs="Arial"/>
          <w:sz w:val="21"/>
          <w:szCs w:val="21"/>
        </w:rPr>
        <w:t>el</w:t>
      </w:r>
      <w:r w:rsidRPr="009E3B79">
        <w:rPr>
          <w:rFonts w:ascii="Arial" w:eastAsia="Arial," w:hAnsi="Arial" w:cs="Arial"/>
          <w:sz w:val="21"/>
          <w:szCs w:val="21"/>
        </w:rPr>
        <w:t xml:space="preserve"> </w:t>
      </w:r>
      <w:r w:rsidRPr="009E3B79">
        <w:rPr>
          <w:rFonts w:ascii="Arial" w:hAnsi="Arial" w:cs="Arial"/>
          <w:sz w:val="21"/>
          <w:szCs w:val="21"/>
        </w:rPr>
        <w:t>factor</w:t>
      </w:r>
      <w:r w:rsidRPr="009E3B79">
        <w:rPr>
          <w:rFonts w:ascii="Arial" w:eastAsia="Arial," w:hAnsi="Arial" w:cs="Arial"/>
          <w:sz w:val="21"/>
          <w:szCs w:val="21"/>
        </w:rPr>
        <w:t xml:space="preserve"> </w:t>
      </w:r>
      <w:r w:rsidRPr="009E3B79">
        <w:rPr>
          <w:rFonts w:ascii="Arial" w:hAnsi="Arial" w:cs="Arial"/>
          <w:sz w:val="21"/>
          <w:szCs w:val="21"/>
        </w:rPr>
        <w:t>(SCE)</w:t>
      </w:r>
      <w:r w:rsidRPr="009E3B79">
        <w:rPr>
          <w:rFonts w:ascii="Arial" w:eastAsia="Arial," w:hAnsi="Arial" w:cs="Arial"/>
          <w:sz w:val="21"/>
          <w:szCs w:val="21"/>
        </w:rPr>
        <w:t xml:space="preserve"> </w:t>
      </w:r>
      <w:r w:rsidRPr="009E3B79">
        <w:rPr>
          <w:rFonts w:ascii="Arial" w:hAnsi="Arial" w:cs="Arial"/>
          <w:sz w:val="21"/>
          <w:szCs w:val="21"/>
        </w:rPr>
        <w:t>el</w:t>
      </w:r>
      <w:r w:rsidRPr="009E3B79">
        <w:rPr>
          <w:rFonts w:ascii="Arial" w:eastAsia="Arial," w:hAnsi="Arial" w:cs="Arial"/>
          <w:sz w:val="21"/>
          <w:szCs w:val="21"/>
        </w:rPr>
        <w:t xml:space="preserve"> </w:t>
      </w:r>
      <w:r w:rsidRPr="009E3B79">
        <w:rPr>
          <w:rFonts w:ascii="Arial" w:hAnsi="Arial" w:cs="Arial"/>
          <w:sz w:val="21"/>
          <w:szCs w:val="21"/>
        </w:rPr>
        <w:t>Proponente</w:t>
      </w:r>
      <w:r w:rsidRPr="009E3B79">
        <w:rPr>
          <w:rFonts w:ascii="Arial" w:eastAsia="Arial," w:hAnsi="Arial" w:cs="Arial"/>
          <w:sz w:val="21"/>
          <w:szCs w:val="21"/>
        </w:rPr>
        <w:t xml:space="preserve"> </w:t>
      </w:r>
      <w:r w:rsidRPr="009E3B79">
        <w:rPr>
          <w:rFonts w:ascii="Arial" w:hAnsi="Arial" w:cs="Arial"/>
          <w:sz w:val="21"/>
          <w:szCs w:val="21"/>
        </w:rPr>
        <w:t>tendrá</w:t>
      </w:r>
      <w:r w:rsidRPr="009E3B79">
        <w:rPr>
          <w:rFonts w:ascii="Arial" w:eastAsia="Arial," w:hAnsi="Arial" w:cs="Arial"/>
          <w:sz w:val="21"/>
          <w:szCs w:val="21"/>
        </w:rPr>
        <w:t xml:space="preserve"> </w:t>
      </w:r>
      <w:r w:rsidRPr="009E3B79">
        <w:rPr>
          <w:rFonts w:ascii="Arial" w:hAnsi="Arial" w:cs="Arial"/>
          <w:sz w:val="21"/>
          <w:szCs w:val="21"/>
        </w:rPr>
        <w:t>en</w:t>
      </w:r>
      <w:r w:rsidRPr="009E3B79">
        <w:rPr>
          <w:rFonts w:ascii="Arial" w:eastAsia="Arial," w:hAnsi="Arial" w:cs="Arial"/>
          <w:sz w:val="21"/>
          <w:szCs w:val="21"/>
        </w:rPr>
        <w:t xml:space="preserve"> </w:t>
      </w:r>
      <w:r w:rsidRPr="009E3B79">
        <w:rPr>
          <w:rFonts w:ascii="Arial" w:hAnsi="Arial" w:cs="Arial"/>
          <w:sz w:val="21"/>
          <w:szCs w:val="21"/>
        </w:rPr>
        <w:t>cuenta</w:t>
      </w:r>
      <w:r w:rsidRPr="009E3B79">
        <w:rPr>
          <w:rFonts w:ascii="Arial" w:eastAsia="Arial," w:hAnsi="Arial" w:cs="Arial"/>
          <w:sz w:val="21"/>
          <w:szCs w:val="21"/>
        </w:rPr>
        <w:t xml:space="preserve"> </w:t>
      </w:r>
      <w:r w:rsidRPr="009E3B79">
        <w:rPr>
          <w:rFonts w:ascii="Arial" w:hAnsi="Arial" w:cs="Arial"/>
          <w:sz w:val="21"/>
          <w:szCs w:val="21"/>
        </w:rPr>
        <w:t>lo</w:t>
      </w:r>
      <w:r w:rsidRPr="009E3B79">
        <w:rPr>
          <w:rFonts w:ascii="Arial" w:eastAsia="Arial," w:hAnsi="Arial" w:cs="Arial"/>
          <w:sz w:val="21"/>
          <w:szCs w:val="21"/>
        </w:rPr>
        <w:t xml:space="preserve"> </w:t>
      </w:r>
      <w:r w:rsidRPr="009E3B79">
        <w:rPr>
          <w:rFonts w:ascii="Arial" w:hAnsi="Arial" w:cs="Arial"/>
          <w:sz w:val="21"/>
          <w:szCs w:val="21"/>
        </w:rPr>
        <w:t>siguiente:</w:t>
      </w:r>
      <w:r w:rsidRPr="009E3B79">
        <w:rPr>
          <w:rFonts w:ascii="Arial" w:eastAsia="Arial," w:hAnsi="Arial" w:cs="Arial"/>
          <w:sz w:val="21"/>
          <w:szCs w:val="21"/>
        </w:rPr>
        <w:t xml:space="preserve"> </w:t>
      </w:r>
    </w:p>
    <w:p w14:paraId="31B6182B" w14:textId="03F4A830" w:rsidR="00F615E1" w:rsidRPr="009E3B79" w:rsidRDefault="00F615E1" w:rsidP="00D91AC1">
      <w:pPr>
        <w:ind w:right="709" w:firstLine="709"/>
        <w:jc w:val="both"/>
        <w:rPr>
          <w:rFonts w:ascii="Arial" w:eastAsia="Arial," w:hAnsi="Arial" w:cs="Arial"/>
          <w:sz w:val="21"/>
          <w:szCs w:val="21"/>
        </w:rPr>
      </w:pPr>
      <w:r w:rsidRPr="009E3B79">
        <w:rPr>
          <w:rFonts w:ascii="Arial" w:eastAsia="Arial," w:hAnsi="Arial" w:cs="Arial"/>
          <w:sz w:val="21"/>
          <w:szCs w:val="21"/>
        </w:rPr>
        <w:t>[…]</w:t>
      </w:r>
    </w:p>
    <w:p w14:paraId="5BE4D9CE" w14:textId="77777777" w:rsidR="00117919" w:rsidRPr="009E3B79" w:rsidRDefault="00117919" w:rsidP="00D91AC1">
      <w:pPr>
        <w:ind w:right="709" w:firstLine="709"/>
        <w:jc w:val="both"/>
        <w:rPr>
          <w:rFonts w:ascii="Arial" w:eastAsia="Arial," w:hAnsi="Arial" w:cs="Arial"/>
          <w:sz w:val="21"/>
          <w:szCs w:val="21"/>
        </w:rPr>
      </w:pPr>
    </w:p>
    <w:p w14:paraId="0BCD0CEE" w14:textId="3B7F2CF1" w:rsidR="00D91AC1" w:rsidRPr="009E3B79" w:rsidRDefault="00D91AC1" w:rsidP="00D91AC1">
      <w:pPr>
        <w:pStyle w:val="Prrafodelista"/>
        <w:ind w:left="1134" w:right="709" w:hanging="425"/>
        <w:contextualSpacing w:val="0"/>
        <w:jc w:val="both"/>
        <w:rPr>
          <w:rFonts w:ascii="Arial" w:eastAsia="Arial" w:hAnsi="Arial" w:cs="Arial"/>
          <w:sz w:val="21"/>
          <w:szCs w:val="21"/>
        </w:rPr>
      </w:pPr>
      <w:r w:rsidRPr="009E3B79">
        <w:rPr>
          <w:rFonts w:ascii="Arial" w:eastAsia="Arial" w:hAnsi="Arial" w:cs="Arial"/>
          <w:sz w:val="21"/>
          <w:szCs w:val="21"/>
        </w:rPr>
        <w:t xml:space="preserve">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w:t>
      </w:r>
      <w:bookmarkStart w:id="7" w:name="_Hlk95918138"/>
      <w:r w:rsidRPr="009E3B79">
        <w:rPr>
          <w:rFonts w:ascii="Arial" w:eastAsia="Arial" w:hAnsi="Arial" w:cs="Arial"/>
          <w:sz w:val="21"/>
          <w:szCs w:val="21"/>
        </w:rPr>
        <w:t>No se entenderán como contratos en ejecución los que se encuentren en liquidación</w:t>
      </w:r>
      <w:bookmarkEnd w:id="7"/>
      <w:r w:rsidRPr="009E3B79">
        <w:rPr>
          <w:rFonts w:ascii="Arial" w:eastAsia="Arial" w:hAnsi="Arial" w:cs="Arial"/>
          <w:sz w:val="21"/>
          <w:szCs w:val="21"/>
        </w:rPr>
        <w:t>.</w:t>
      </w:r>
    </w:p>
    <w:p w14:paraId="49918340" w14:textId="0435DF41" w:rsidR="00D91AC1" w:rsidRPr="009E3B79" w:rsidRDefault="00D91AC1" w:rsidP="00D91AC1">
      <w:pPr>
        <w:pStyle w:val="Prrafodelista"/>
        <w:ind w:left="1134" w:right="709" w:hanging="425"/>
        <w:contextualSpacing w:val="0"/>
        <w:jc w:val="both"/>
        <w:rPr>
          <w:rFonts w:ascii="Arial" w:eastAsia="Arial" w:hAnsi="Arial" w:cs="Arial"/>
          <w:sz w:val="21"/>
          <w:szCs w:val="21"/>
        </w:rPr>
      </w:pPr>
      <w:r w:rsidRPr="009E3B79">
        <w:rPr>
          <w:rFonts w:ascii="Arial" w:eastAsia="Arial" w:hAnsi="Arial" w:cs="Arial"/>
          <w:sz w:val="21"/>
          <w:szCs w:val="21"/>
        </w:rPr>
        <w:t>III.  Se tendrán en cuenta los contratos de obras civiles en ejecución suscritos por el proponente o por sociedades, consorcios o uniones temporales en los cuales el proponente tenga participación</w:t>
      </w:r>
    </w:p>
    <w:p w14:paraId="15FF5DEF" w14:textId="77777777" w:rsidR="003003ED" w:rsidRPr="009E3B79" w:rsidRDefault="00D91AC1" w:rsidP="003003ED">
      <w:pPr>
        <w:pStyle w:val="Prrafodelista"/>
        <w:ind w:left="1134" w:right="709" w:hanging="425"/>
        <w:contextualSpacing w:val="0"/>
        <w:jc w:val="both"/>
        <w:rPr>
          <w:rFonts w:ascii="Arial" w:eastAsia="Arial" w:hAnsi="Arial" w:cs="Arial"/>
          <w:sz w:val="21"/>
          <w:szCs w:val="21"/>
        </w:rPr>
      </w:pPr>
      <w:r w:rsidRPr="009E3B79">
        <w:rPr>
          <w:rFonts w:ascii="Arial" w:eastAsia="Arial" w:hAnsi="Arial" w:cs="Arial"/>
          <w:sz w:val="21"/>
          <w:szCs w:val="21"/>
        </w:rPr>
        <w:t xml:space="preserve">IV.  </w:t>
      </w:r>
      <w:r w:rsidR="00F615E1" w:rsidRPr="009E3B79">
        <w:rPr>
          <w:rFonts w:ascii="Arial" w:eastAsia="Arial" w:hAnsi="Arial" w:cs="Arial"/>
          <w:sz w:val="21"/>
          <w:szCs w:val="21"/>
        </w:rPr>
        <w:t>Si</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un</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contrato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se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encuentra</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suspendido,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el</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cálculo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del</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(SCE)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dicho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contrato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debe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efectuarse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asumiendo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que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lo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que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falta</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por</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ejecutar</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iniciara</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en</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la</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fecha de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presentación</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la</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oferta</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del</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Proceso de Contratación.</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Si</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el</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contrato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está</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suspendido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el</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Proponente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debe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informar</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el</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saldo</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pendiente</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por</w:t>
      </w:r>
      <w:r w:rsidR="00F615E1" w:rsidRPr="009E3B79">
        <w:rPr>
          <w:rFonts w:ascii="Arial" w:eastAsia="Arial," w:hAnsi="Arial" w:cs="Arial"/>
          <w:sz w:val="21"/>
          <w:szCs w:val="21"/>
        </w:rPr>
        <w:t xml:space="preserve"> </w:t>
      </w:r>
      <w:r w:rsidR="00F615E1" w:rsidRPr="009E3B79">
        <w:rPr>
          <w:rFonts w:ascii="Arial" w:eastAsia="Arial" w:hAnsi="Arial" w:cs="Arial"/>
          <w:sz w:val="21"/>
          <w:szCs w:val="21"/>
        </w:rPr>
        <w:t xml:space="preserve">ejecutar. </w:t>
      </w:r>
    </w:p>
    <w:p w14:paraId="13B9950B" w14:textId="1F24C960" w:rsidR="003003ED" w:rsidRPr="009E3B79" w:rsidRDefault="003003ED" w:rsidP="003003ED">
      <w:pPr>
        <w:pStyle w:val="Prrafodelista"/>
        <w:ind w:left="1134" w:right="709" w:hanging="425"/>
        <w:contextualSpacing w:val="0"/>
        <w:jc w:val="both"/>
        <w:rPr>
          <w:rFonts w:ascii="Arial" w:hAnsi="Arial" w:cs="Arial"/>
          <w:sz w:val="21"/>
          <w:szCs w:val="21"/>
          <w:lang w:val="es-CO"/>
        </w:rPr>
      </w:pPr>
      <w:r w:rsidRPr="009E3B79">
        <w:rPr>
          <w:rFonts w:ascii="Arial" w:eastAsia="Arial" w:hAnsi="Arial" w:cs="Arial"/>
          <w:sz w:val="21"/>
          <w:szCs w:val="21"/>
        </w:rPr>
        <w:t xml:space="preserve">V.  </w:t>
      </w:r>
      <w:r w:rsidRPr="009E3B79">
        <w:rPr>
          <w:rFonts w:ascii="Arial" w:hAnsi="Arial" w:cs="Arial"/>
          <w:sz w:val="21"/>
          <w:szCs w:val="21"/>
          <w:lang w:val="es-CO"/>
        </w:rPr>
        <w:t>El</w:t>
      </w:r>
      <w:r w:rsidRPr="009E3B79">
        <w:rPr>
          <w:rFonts w:ascii="Arial" w:eastAsia="Arial" w:hAnsi="Arial" w:cs="Arial"/>
          <w:sz w:val="21"/>
          <w:szCs w:val="21"/>
          <w:lang w:val="es-CO"/>
        </w:rPr>
        <w:t xml:space="preserve"> </w:t>
      </w:r>
      <w:r w:rsidRPr="009E3B79">
        <w:rPr>
          <w:rFonts w:ascii="Arial" w:hAnsi="Arial" w:cs="Arial"/>
          <w:sz w:val="21"/>
          <w:szCs w:val="21"/>
          <w:lang w:val="es-CO"/>
        </w:rPr>
        <w:t>cálculo</w:t>
      </w:r>
      <w:r w:rsidRPr="009E3B79">
        <w:rPr>
          <w:rFonts w:ascii="Arial" w:eastAsia="Arial" w:hAnsi="Arial" w:cs="Arial"/>
          <w:sz w:val="21"/>
          <w:szCs w:val="21"/>
          <w:lang w:val="es-CO"/>
        </w:rPr>
        <w:t xml:space="preserve"> </w:t>
      </w:r>
      <w:r w:rsidRPr="009E3B79">
        <w:rPr>
          <w:rFonts w:ascii="Arial" w:hAnsi="Arial" w:cs="Arial"/>
          <w:sz w:val="21"/>
          <w:szCs w:val="21"/>
          <w:lang w:val="es-CO"/>
        </w:rPr>
        <w:t>del</w:t>
      </w:r>
      <w:r w:rsidRPr="009E3B79">
        <w:rPr>
          <w:rFonts w:ascii="Arial" w:eastAsia="Arial" w:hAnsi="Arial" w:cs="Arial"/>
          <w:sz w:val="21"/>
          <w:szCs w:val="21"/>
          <w:lang w:val="es-CO"/>
        </w:rPr>
        <w:t xml:space="preserve"> </w:t>
      </w:r>
      <w:r w:rsidRPr="009E3B79">
        <w:rPr>
          <w:rFonts w:ascii="Arial" w:hAnsi="Arial" w:cs="Arial"/>
          <w:sz w:val="21"/>
          <w:szCs w:val="21"/>
          <w:lang w:val="es-CO"/>
        </w:rPr>
        <w:t>factor</w:t>
      </w:r>
      <w:r w:rsidRPr="009E3B79">
        <w:rPr>
          <w:rFonts w:ascii="Arial" w:eastAsia="Arial" w:hAnsi="Arial" w:cs="Arial"/>
          <w:sz w:val="21"/>
          <w:szCs w:val="21"/>
          <w:lang w:val="es-CO"/>
        </w:rPr>
        <w:t xml:space="preserve"> </w:t>
      </w:r>
      <w:r w:rsidRPr="009E3B79">
        <w:rPr>
          <w:rFonts w:ascii="Arial" w:hAnsi="Arial" w:cs="Arial"/>
          <w:sz w:val="21"/>
          <w:szCs w:val="21"/>
          <w:lang w:val="es-CO"/>
        </w:rPr>
        <w:t>(SCE)</w:t>
      </w:r>
      <w:r w:rsidRPr="009E3B79">
        <w:rPr>
          <w:rFonts w:ascii="Arial" w:eastAsia="Arial" w:hAnsi="Arial" w:cs="Arial"/>
          <w:sz w:val="21"/>
          <w:szCs w:val="21"/>
          <w:lang w:val="es-CO"/>
        </w:rPr>
        <w:t xml:space="preserve"> </w:t>
      </w:r>
      <w:r w:rsidRPr="009E3B79">
        <w:rPr>
          <w:rFonts w:ascii="Arial" w:hAnsi="Arial" w:cs="Arial"/>
          <w:sz w:val="21"/>
          <w:szCs w:val="21"/>
          <w:lang w:val="es-CO"/>
        </w:rPr>
        <w:t>debe</w:t>
      </w:r>
      <w:r w:rsidRPr="009E3B79">
        <w:rPr>
          <w:rFonts w:ascii="Arial" w:eastAsia="Arial" w:hAnsi="Arial" w:cs="Arial"/>
          <w:sz w:val="21"/>
          <w:szCs w:val="21"/>
          <w:lang w:val="es-CO"/>
        </w:rPr>
        <w:t xml:space="preserve"> </w:t>
      </w:r>
      <w:r w:rsidRPr="009E3B79">
        <w:rPr>
          <w:rFonts w:ascii="Arial" w:hAnsi="Arial" w:cs="Arial"/>
          <w:sz w:val="21"/>
          <w:szCs w:val="21"/>
          <w:lang w:val="es-CO"/>
        </w:rPr>
        <w:t>hacerse</w:t>
      </w:r>
      <w:r w:rsidRPr="009E3B79">
        <w:rPr>
          <w:rFonts w:ascii="Arial" w:eastAsia="Arial" w:hAnsi="Arial" w:cs="Arial"/>
          <w:sz w:val="21"/>
          <w:szCs w:val="21"/>
          <w:lang w:val="es-CO"/>
        </w:rPr>
        <w:t xml:space="preserve"> </w:t>
      </w:r>
      <w:r w:rsidRPr="009E3B79">
        <w:rPr>
          <w:rFonts w:ascii="Arial" w:hAnsi="Arial" w:cs="Arial"/>
          <w:sz w:val="21"/>
          <w:szCs w:val="21"/>
          <w:lang w:val="es-CO"/>
        </w:rPr>
        <w:t>linealmente</w:t>
      </w:r>
      <w:r w:rsidRPr="009E3B79">
        <w:rPr>
          <w:rFonts w:ascii="Arial" w:eastAsia="Arial" w:hAnsi="Arial" w:cs="Arial"/>
          <w:sz w:val="21"/>
          <w:szCs w:val="21"/>
          <w:lang w:val="es-CO"/>
        </w:rPr>
        <w:t xml:space="preserve"> </w:t>
      </w:r>
      <w:r w:rsidRPr="009E3B79">
        <w:rPr>
          <w:rFonts w:ascii="Arial" w:hAnsi="Arial" w:cs="Arial"/>
          <w:sz w:val="21"/>
          <w:szCs w:val="21"/>
          <w:lang w:val="es-CO"/>
        </w:rPr>
        <w:t>calculando</w:t>
      </w:r>
      <w:r w:rsidRPr="009E3B79">
        <w:rPr>
          <w:rFonts w:ascii="Arial" w:eastAsia="Arial" w:hAnsi="Arial" w:cs="Arial"/>
          <w:sz w:val="21"/>
          <w:szCs w:val="21"/>
          <w:lang w:val="es-CO"/>
        </w:rPr>
        <w:t xml:space="preserve"> </w:t>
      </w:r>
      <w:r w:rsidRPr="009E3B79">
        <w:rPr>
          <w:rFonts w:ascii="Arial" w:hAnsi="Arial" w:cs="Arial"/>
          <w:sz w:val="21"/>
          <w:szCs w:val="21"/>
          <w:lang w:val="es-CO"/>
        </w:rPr>
        <w:t>una</w:t>
      </w:r>
      <w:r w:rsidRPr="009E3B79">
        <w:rPr>
          <w:rFonts w:ascii="Arial" w:eastAsia="Arial" w:hAnsi="Arial" w:cs="Arial"/>
          <w:sz w:val="21"/>
          <w:szCs w:val="21"/>
          <w:lang w:val="es-CO"/>
        </w:rPr>
        <w:t xml:space="preserve"> </w:t>
      </w:r>
      <w:r w:rsidRPr="009E3B79">
        <w:rPr>
          <w:rFonts w:ascii="Arial" w:hAnsi="Arial" w:cs="Arial"/>
          <w:sz w:val="21"/>
          <w:szCs w:val="21"/>
          <w:lang w:val="es-CO"/>
        </w:rPr>
        <w:t>ejecución</w:t>
      </w:r>
      <w:r w:rsidRPr="009E3B79">
        <w:rPr>
          <w:rFonts w:ascii="Arial" w:eastAsia="Arial" w:hAnsi="Arial" w:cs="Arial"/>
          <w:sz w:val="21"/>
          <w:szCs w:val="21"/>
          <w:lang w:val="es-CO"/>
        </w:rPr>
        <w:t xml:space="preserve"> </w:t>
      </w:r>
      <w:r w:rsidRPr="009E3B79">
        <w:rPr>
          <w:rFonts w:ascii="Arial" w:hAnsi="Arial" w:cs="Arial"/>
          <w:sz w:val="21"/>
          <w:szCs w:val="21"/>
          <w:lang w:val="es-CO"/>
        </w:rPr>
        <w:t>diaria</w:t>
      </w:r>
      <w:r w:rsidRPr="009E3B79">
        <w:rPr>
          <w:rFonts w:ascii="Arial" w:eastAsia="Arial" w:hAnsi="Arial" w:cs="Arial"/>
          <w:sz w:val="21"/>
          <w:szCs w:val="21"/>
          <w:lang w:val="es-CO"/>
        </w:rPr>
        <w:t xml:space="preserve"> </w:t>
      </w:r>
      <w:r w:rsidRPr="009E3B79">
        <w:rPr>
          <w:rFonts w:ascii="Arial" w:hAnsi="Arial" w:cs="Arial"/>
          <w:sz w:val="21"/>
          <w:szCs w:val="21"/>
          <w:lang w:val="es-CO"/>
        </w:rPr>
        <w:t>equivalente</w:t>
      </w:r>
      <w:r w:rsidRPr="009E3B79">
        <w:rPr>
          <w:rFonts w:ascii="Arial" w:eastAsia="Arial" w:hAnsi="Arial" w:cs="Arial"/>
          <w:sz w:val="21"/>
          <w:szCs w:val="21"/>
          <w:lang w:val="es-CO"/>
        </w:rPr>
        <w:t xml:space="preserve"> </w:t>
      </w:r>
      <w:r w:rsidRPr="009E3B79">
        <w:rPr>
          <w:rFonts w:ascii="Arial" w:hAnsi="Arial" w:cs="Arial"/>
          <w:sz w:val="21"/>
          <w:szCs w:val="21"/>
          <w:lang w:val="es-CO"/>
        </w:rPr>
        <w:t>al</w:t>
      </w:r>
      <w:r w:rsidRPr="009E3B79">
        <w:rPr>
          <w:rFonts w:ascii="Arial" w:eastAsia="Arial" w:hAnsi="Arial" w:cs="Arial"/>
          <w:sz w:val="21"/>
          <w:szCs w:val="21"/>
          <w:lang w:val="es-CO"/>
        </w:rPr>
        <w:t xml:space="preserve"> </w:t>
      </w:r>
      <w:r w:rsidRPr="009E3B79">
        <w:rPr>
          <w:rFonts w:ascii="Arial" w:hAnsi="Arial" w:cs="Arial"/>
          <w:sz w:val="21"/>
          <w:szCs w:val="21"/>
          <w:lang w:val="es-CO"/>
        </w:rPr>
        <w:t>valor</w:t>
      </w:r>
      <w:r w:rsidRPr="009E3B79">
        <w:rPr>
          <w:rFonts w:ascii="Arial" w:eastAsia="Arial" w:hAnsi="Arial" w:cs="Arial"/>
          <w:sz w:val="21"/>
          <w:szCs w:val="21"/>
          <w:lang w:val="es-CO"/>
        </w:rPr>
        <w:t xml:space="preserve"> </w:t>
      </w:r>
      <w:r w:rsidRPr="009E3B79">
        <w:rPr>
          <w:rFonts w:ascii="Arial" w:hAnsi="Arial" w:cs="Arial"/>
          <w:sz w:val="21"/>
          <w:szCs w:val="21"/>
          <w:lang w:val="es-CO"/>
        </w:rPr>
        <w:t>del</w:t>
      </w:r>
      <w:r w:rsidRPr="009E3B79">
        <w:rPr>
          <w:rFonts w:ascii="Arial" w:eastAsia="Arial" w:hAnsi="Arial" w:cs="Arial"/>
          <w:sz w:val="21"/>
          <w:szCs w:val="21"/>
          <w:lang w:val="es-CO"/>
        </w:rPr>
        <w:t xml:space="preserve"> </w:t>
      </w:r>
      <w:r w:rsidRPr="009E3B79">
        <w:rPr>
          <w:rFonts w:ascii="Arial" w:hAnsi="Arial" w:cs="Arial"/>
          <w:sz w:val="21"/>
          <w:szCs w:val="21"/>
          <w:lang w:val="es-CO"/>
        </w:rPr>
        <w:t>contrato</w:t>
      </w:r>
      <w:r w:rsidRPr="009E3B79">
        <w:rPr>
          <w:rFonts w:ascii="Arial" w:eastAsia="Arial" w:hAnsi="Arial" w:cs="Arial"/>
          <w:sz w:val="21"/>
          <w:szCs w:val="21"/>
          <w:lang w:val="es-CO"/>
        </w:rPr>
        <w:t xml:space="preserve"> </w:t>
      </w:r>
      <w:r w:rsidRPr="009E3B79">
        <w:rPr>
          <w:rFonts w:ascii="Arial" w:hAnsi="Arial" w:cs="Arial"/>
          <w:sz w:val="21"/>
          <w:szCs w:val="21"/>
          <w:lang w:val="es-CO"/>
        </w:rPr>
        <w:t>dividido</w:t>
      </w:r>
      <w:r w:rsidRPr="009E3B79">
        <w:rPr>
          <w:rFonts w:ascii="Arial" w:eastAsia="Arial" w:hAnsi="Arial" w:cs="Arial"/>
          <w:sz w:val="21"/>
          <w:szCs w:val="21"/>
          <w:lang w:val="es-CO"/>
        </w:rPr>
        <w:t xml:space="preserve"> </w:t>
      </w:r>
      <w:r w:rsidRPr="009E3B79">
        <w:rPr>
          <w:rFonts w:ascii="Arial" w:hAnsi="Arial" w:cs="Arial"/>
          <w:sz w:val="21"/>
          <w:szCs w:val="21"/>
          <w:lang w:val="es-CO"/>
        </w:rPr>
        <w:t>por</w:t>
      </w:r>
      <w:r w:rsidRPr="009E3B79">
        <w:rPr>
          <w:rFonts w:ascii="Arial" w:eastAsia="Arial" w:hAnsi="Arial" w:cs="Arial"/>
          <w:sz w:val="21"/>
          <w:szCs w:val="21"/>
          <w:lang w:val="es-CO"/>
        </w:rPr>
        <w:t xml:space="preserve"> </w:t>
      </w:r>
      <w:r w:rsidRPr="009E3B79">
        <w:rPr>
          <w:rFonts w:ascii="Arial" w:hAnsi="Arial" w:cs="Arial"/>
          <w:sz w:val="21"/>
          <w:szCs w:val="21"/>
          <w:lang w:val="es-CO"/>
        </w:rPr>
        <w:t>el</w:t>
      </w:r>
      <w:r w:rsidRPr="009E3B79">
        <w:rPr>
          <w:rFonts w:ascii="Arial" w:eastAsia="Arial" w:hAnsi="Arial" w:cs="Arial"/>
          <w:sz w:val="21"/>
          <w:szCs w:val="21"/>
          <w:lang w:val="es-CO"/>
        </w:rPr>
        <w:t xml:space="preserve"> </w:t>
      </w:r>
      <w:r w:rsidRPr="009E3B79">
        <w:rPr>
          <w:rFonts w:ascii="Arial" w:hAnsi="Arial" w:cs="Arial"/>
          <w:sz w:val="21"/>
          <w:szCs w:val="21"/>
          <w:lang w:val="es-CO"/>
        </w:rPr>
        <w:t>plazo</w:t>
      </w:r>
      <w:r w:rsidRPr="009E3B79">
        <w:rPr>
          <w:rFonts w:ascii="Arial" w:eastAsia="Arial" w:hAnsi="Arial" w:cs="Arial"/>
          <w:sz w:val="21"/>
          <w:szCs w:val="21"/>
          <w:lang w:val="es-CO"/>
        </w:rPr>
        <w:t xml:space="preserve"> </w:t>
      </w:r>
      <w:r w:rsidRPr="009E3B79">
        <w:rPr>
          <w:rFonts w:ascii="Arial" w:hAnsi="Arial" w:cs="Arial"/>
          <w:sz w:val="21"/>
          <w:szCs w:val="21"/>
          <w:lang w:val="es-CO"/>
        </w:rPr>
        <w:t>del</w:t>
      </w:r>
      <w:r w:rsidRPr="009E3B79">
        <w:rPr>
          <w:rFonts w:ascii="Arial" w:eastAsia="Arial" w:hAnsi="Arial" w:cs="Arial"/>
          <w:sz w:val="21"/>
          <w:szCs w:val="21"/>
          <w:lang w:val="es-CO"/>
        </w:rPr>
        <w:t xml:space="preserve"> </w:t>
      </w:r>
      <w:r w:rsidRPr="009E3B79">
        <w:rPr>
          <w:rFonts w:ascii="Arial" w:hAnsi="Arial" w:cs="Arial"/>
          <w:sz w:val="21"/>
          <w:szCs w:val="21"/>
          <w:lang w:val="es-CO"/>
        </w:rPr>
        <w:t>contrato</w:t>
      </w:r>
      <w:r w:rsidRPr="009E3B79">
        <w:rPr>
          <w:rFonts w:ascii="Arial" w:eastAsia="Arial" w:hAnsi="Arial" w:cs="Arial"/>
          <w:sz w:val="21"/>
          <w:szCs w:val="21"/>
          <w:lang w:val="es-CO"/>
        </w:rPr>
        <w:t xml:space="preserve"> </w:t>
      </w:r>
      <w:r w:rsidRPr="009E3B79">
        <w:rPr>
          <w:rFonts w:ascii="Arial" w:hAnsi="Arial" w:cs="Arial"/>
          <w:sz w:val="21"/>
          <w:szCs w:val="21"/>
          <w:lang w:val="es-CO"/>
        </w:rPr>
        <w:t>expresado</w:t>
      </w:r>
      <w:r w:rsidRPr="009E3B79">
        <w:rPr>
          <w:rFonts w:ascii="Arial" w:eastAsia="Arial" w:hAnsi="Arial" w:cs="Arial"/>
          <w:sz w:val="21"/>
          <w:szCs w:val="21"/>
          <w:lang w:val="es-CO"/>
        </w:rPr>
        <w:t xml:space="preserve"> </w:t>
      </w:r>
      <w:r w:rsidRPr="009E3B79">
        <w:rPr>
          <w:rFonts w:ascii="Arial" w:hAnsi="Arial" w:cs="Arial"/>
          <w:sz w:val="21"/>
          <w:szCs w:val="21"/>
          <w:lang w:val="es-CO"/>
        </w:rPr>
        <w:t>en</w:t>
      </w:r>
      <w:r w:rsidRPr="009E3B79">
        <w:rPr>
          <w:rFonts w:ascii="Arial" w:eastAsia="Arial" w:hAnsi="Arial" w:cs="Arial"/>
          <w:sz w:val="21"/>
          <w:szCs w:val="21"/>
          <w:lang w:val="es-CO"/>
        </w:rPr>
        <w:t xml:space="preserve"> </w:t>
      </w:r>
      <w:r w:rsidRPr="009E3B79">
        <w:rPr>
          <w:rFonts w:ascii="Arial" w:hAnsi="Arial" w:cs="Arial"/>
          <w:sz w:val="21"/>
          <w:szCs w:val="21"/>
          <w:lang w:val="es-CO"/>
        </w:rPr>
        <w:t>días.</w:t>
      </w:r>
      <w:r w:rsidRPr="009E3B79">
        <w:rPr>
          <w:rFonts w:ascii="Arial" w:eastAsia="Arial" w:hAnsi="Arial" w:cs="Arial"/>
          <w:sz w:val="21"/>
          <w:szCs w:val="21"/>
          <w:lang w:val="es-CO"/>
        </w:rPr>
        <w:t xml:space="preserve"> </w:t>
      </w:r>
      <w:r w:rsidRPr="009E3B79">
        <w:rPr>
          <w:rFonts w:ascii="Arial" w:hAnsi="Arial" w:cs="Arial"/>
          <w:sz w:val="21"/>
          <w:szCs w:val="21"/>
          <w:lang w:val="es-CO"/>
        </w:rPr>
        <w:t>Este</w:t>
      </w:r>
      <w:r w:rsidRPr="009E3B79">
        <w:rPr>
          <w:rFonts w:ascii="Arial" w:eastAsia="Arial" w:hAnsi="Arial" w:cs="Arial"/>
          <w:sz w:val="21"/>
          <w:szCs w:val="21"/>
          <w:lang w:val="es-CO"/>
        </w:rPr>
        <w:t xml:space="preserve"> </w:t>
      </w:r>
      <w:r w:rsidRPr="009E3B79">
        <w:rPr>
          <w:rFonts w:ascii="Arial" w:hAnsi="Arial" w:cs="Arial"/>
          <w:sz w:val="21"/>
          <w:szCs w:val="21"/>
          <w:lang w:val="es-CO"/>
        </w:rPr>
        <w:t>resultado</w:t>
      </w:r>
      <w:r w:rsidRPr="009E3B79">
        <w:rPr>
          <w:rFonts w:ascii="Arial" w:eastAsia="Arial" w:hAnsi="Arial" w:cs="Arial"/>
          <w:sz w:val="21"/>
          <w:szCs w:val="21"/>
          <w:lang w:val="es-CO"/>
        </w:rPr>
        <w:t xml:space="preserve"> </w:t>
      </w:r>
      <w:r w:rsidRPr="009E3B79">
        <w:rPr>
          <w:rFonts w:ascii="Arial" w:hAnsi="Arial" w:cs="Arial"/>
          <w:sz w:val="21"/>
          <w:szCs w:val="21"/>
          <w:lang w:val="es-CO"/>
        </w:rPr>
        <w:t>se</w:t>
      </w:r>
      <w:r w:rsidRPr="009E3B79">
        <w:rPr>
          <w:rFonts w:ascii="Arial" w:eastAsia="Arial" w:hAnsi="Arial" w:cs="Arial"/>
          <w:sz w:val="21"/>
          <w:szCs w:val="21"/>
          <w:lang w:val="es-CO"/>
        </w:rPr>
        <w:t xml:space="preserve"> </w:t>
      </w:r>
      <w:r w:rsidRPr="009E3B79">
        <w:rPr>
          <w:rFonts w:ascii="Arial" w:hAnsi="Arial" w:cs="Arial"/>
          <w:sz w:val="21"/>
          <w:szCs w:val="21"/>
          <w:lang w:val="es-CO"/>
        </w:rPr>
        <w:t>multiplica</w:t>
      </w:r>
      <w:r w:rsidRPr="009E3B79">
        <w:rPr>
          <w:rFonts w:ascii="Arial" w:eastAsia="Arial" w:hAnsi="Arial" w:cs="Arial"/>
          <w:sz w:val="21"/>
          <w:szCs w:val="21"/>
          <w:lang w:val="es-CO"/>
        </w:rPr>
        <w:t xml:space="preserve"> </w:t>
      </w:r>
      <w:r w:rsidRPr="009E3B79">
        <w:rPr>
          <w:rFonts w:ascii="Arial" w:hAnsi="Arial" w:cs="Arial"/>
          <w:sz w:val="21"/>
          <w:szCs w:val="21"/>
          <w:lang w:val="es-CO"/>
        </w:rPr>
        <w:t>por</w:t>
      </w:r>
      <w:r w:rsidRPr="009E3B79">
        <w:rPr>
          <w:rFonts w:ascii="Arial" w:eastAsia="Arial" w:hAnsi="Arial" w:cs="Arial"/>
          <w:sz w:val="21"/>
          <w:szCs w:val="21"/>
          <w:lang w:val="es-CO"/>
        </w:rPr>
        <w:t xml:space="preserve"> </w:t>
      </w:r>
      <w:r w:rsidRPr="009E3B79">
        <w:rPr>
          <w:rFonts w:ascii="Arial" w:hAnsi="Arial" w:cs="Arial"/>
          <w:sz w:val="21"/>
          <w:szCs w:val="21"/>
          <w:lang w:val="es-CO"/>
        </w:rPr>
        <w:t>el</w:t>
      </w:r>
      <w:r w:rsidRPr="009E3B79">
        <w:rPr>
          <w:rFonts w:ascii="Arial" w:eastAsia="Arial" w:hAnsi="Arial" w:cs="Arial"/>
          <w:sz w:val="21"/>
          <w:szCs w:val="21"/>
          <w:lang w:val="es-CO"/>
        </w:rPr>
        <w:t xml:space="preserve"> </w:t>
      </w:r>
      <w:r w:rsidRPr="009E3B79">
        <w:rPr>
          <w:rFonts w:ascii="Arial" w:hAnsi="Arial" w:cs="Arial"/>
          <w:sz w:val="21"/>
          <w:szCs w:val="21"/>
          <w:lang w:val="es-CO"/>
        </w:rPr>
        <w:t>número</w:t>
      </w:r>
      <w:r w:rsidRPr="009E3B79">
        <w:rPr>
          <w:rFonts w:ascii="Arial" w:eastAsia="Arial" w:hAnsi="Arial" w:cs="Arial"/>
          <w:sz w:val="21"/>
          <w:szCs w:val="21"/>
          <w:lang w:val="es-CO"/>
        </w:rPr>
        <w:t xml:space="preserve"> </w:t>
      </w:r>
      <w:r w:rsidRPr="009E3B79">
        <w:rPr>
          <w:rFonts w:ascii="Arial" w:hAnsi="Arial" w:cs="Arial"/>
          <w:sz w:val="21"/>
          <w:szCs w:val="21"/>
          <w:lang w:val="es-CO"/>
        </w:rPr>
        <w:t>de</w:t>
      </w:r>
      <w:r w:rsidRPr="009E3B79">
        <w:rPr>
          <w:rFonts w:ascii="Arial" w:eastAsia="Arial" w:hAnsi="Arial" w:cs="Arial"/>
          <w:sz w:val="21"/>
          <w:szCs w:val="21"/>
          <w:lang w:val="es-CO"/>
        </w:rPr>
        <w:t xml:space="preserve"> </w:t>
      </w:r>
      <w:r w:rsidRPr="009E3B79">
        <w:rPr>
          <w:rFonts w:ascii="Arial" w:hAnsi="Arial" w:cs="Arial"/>
          <w:sz w:val="21"/>
          <w:szCs w:val="21"/>
          <w:lang w:val="es-CO"/>
        </w:rPr>
        <w:t>días</w:t>
      </w:r>
      <w:r w:rsidRPr="009E3B79">
        <w:rPr>
          <w:rFonts w:ascii="Arial" w:eastAsia="Arial" w:hAnsi="Arial" w:cs="Arial"/>
          <w:sz w:val="21"/>
          <w:szCs w:val="21"/>
          <w:lang w:val="es-CO"/>
        </w:rPr>
        <w:t xml:space="preserve"> </w:t>
      </w:r>
      <w:r w:rsidRPr="009E3B79">
        <w:rPr>
          <w:rFonts w:ascii="Arial" w:hAnsi="Arial" w:cs="Arial"/>
          <w:sz w:val="21"/>
          <w:szCs w:val="21"/>
          <w:lang w:val="es-CO"/>
        </w:rPr>
        <w:t>pendientes</w:t>
      </w:r>
      <w:r w:rsidRPr="009E3B79">
        <w:rPr>
          <w:rFonts w:ascii="Arial" w:eastAsia="Arial" w:hAnsi="Arial" w:cs="Arial"/>
          <w:sz w:val="21"/>
          <w:szCs w:val="21"/>
          <w:lang w:val="es-CO"/>
        </w:rPr>
        <w:t xml:space="preserve"> </w:t>
      </w:r>
      <w:r w:rsidRPr="009E3B79">
        <w:rPr>
          <w:rFonts w:ascii="Arial" w:hAnsi="Arial" w:cs="Arial"/>
          <w:sz w:val="21"/>
          <w:szCs w:val="21"/>
          <w:lang w:val="es-CO"/>
        </w:rPr>
        <w:t>para</w:t>
      </w:r>
      <w:r w:rsidRPr="009E3B79">
        <w:rPr>
          <w:rFonts w:ascii="Arial" w:eastAsia="Arial" w:hAnsi="Arial" w:cs="Arial"/>
          <w:sz w:val="21"/>
          <w:szCs w:val="21"/>
          <w:lang w:val="es-CO"/>
        </w:rPr>
        <w:t xml:space="preserve"> </w:t>
      </w:r>
      <w:r w:rsidRPr="009E3B79">
        <w:rPr>
          <w:rFonts w:ascii="Arial" w:hAnsi="Arial" w:cs="Arial"/>
          <w:sz w:val="21"/>
          <w:szCs w:val="21"/>
          <w:lang w:val="es-CO"/>
        </w:rPr>
        <w:t>cumplir</w:t>
      </w:r>
      <w:r w:rsidRPr="009E3B79">
        <w:rPr>
          <w:rFonts w:ascii="Arial" w:eastAsia="Arial" w:hAnsi="Arial" w:cs="Arial"/>
          <w:sz w:val="21"/>
          <w:szCs w:val="21"/>
          <w:lang w:val="es-CO"/>
        </w:rPr>
        <w:t xml:space="preserve"> </w:t>
      </w:r>
      <w:r w:rsidRPr="009E3B79">
        <w:rPr>
          <w:rFonts w:ascii="Arial" w:hAnsi="Arial" w:cs="Arial"/>
          <w:sz w:val="21"/>
          <w:szCs w:val="21"/>
          <w:lang w:val="es-CO"/>
        </w:rPr>
        <w:t>el</w:t>
      </w:r>
      <w:r w:rsidRPr="009E3B79">
        <w:rPr>
          <w:rFonts w:ascii="Arial" w:eastAsia="Arial" w:hAnsi="Arial" w:cs="Arial"/>
          <w:sz w:val="21"/>
          <w:szCs w:val="21"/>
          <w:lang w:val="es-CO"/>
        </w:rPr>
        <w:t xml:space="preserve"> </w:t>
      </w:r>
      <w:r w:rsidRPr="009E3B79">
        <w:rPr>
          <w:rFonts w:ascii="Arial" w:hAnsi="Arial" w:cs="Arial"/>
          <w:sz w:val="21"/>
          <w:szCs w:val="21"/>
          <w:lang w:val="es-CO"/>
        </w:rPr>
        <w:t>plazo</w:t>
      </w:r>
      <w:r w:rsidRPr="009E3B79">
        <w:rPr>
          <w:rFonts w:ascii="Arial" w:eastAsia="Arial" w:hAnsi="Arial" w:cs="Arial"/>
          <w:sz w:val="21"/>
          <w:szCs w:val="21"/>
          <w:lang w:val="es-CO"/>
        </w:rPr>
        <w:t xml:space="preserve"> </w:t>
      </w:r>
      <w:r w:rsidRPr="009E3B79">
        <w:rPr>
          <w:rFonts w:ascii="Arial" w:hAnsi="Arial" w:cs="Arial"/>
          <w:sz w:val="21"/>
          <w:szCs w:val="21"/>
          <w:lang w:val="es-CO"/>
        </w:rPr>
        <w:t>del</w:t>
      </w:r>
      <w:r w:rsidRPr="009E3B79">
        <w:rPr>
          <w:rFonts w:ascii="Arial" w:eastAsia="Arial" w:hAnsi="Arial" w:cs="Arial"/>
          <w:sz w:val="21"/>
          <w:szCs w:val="21"/>
          <w:lang w:val="es-CO"/>
        </w:rPr>
        <w:t xml:space="preserve"> </w:t>
      </w:r>
      <w:r w:rsidRPr="009E3B79">
        <w:rPr>
          <w:rFonts w:ascii="Arial" w:hAnsi="Arial" w:cs="Arial"/>
          <w:sz w:val="21"/>
          <w:szCs w:val="21"/>
          <w:lang w:val="es-CO"/>
        </w:rPr>
        <w:t>contrato</w:t>
      </w:r>
      <w:r w:rsidRPr="009E3B79">
        <w:rPr>
          <w:rFonts w:ascii="Arial" w:eastAsia="Arial" w:hAnsi="Arial" w:cs="Arial"/>
          <w:sz w:val="21"/>
          <w:szCs w:val="21"/>
          <w:lang w:val="es-CO"/>
        </w:rPr>
        <w:t xml:space="preserve"> </w:t>
      </w:r>
      <w:r w:rsidRPr="009E3B79">
        <w:rPr>
          <w:rFonts w:ascii="Arial" w:hAnsi="Arial" w:cs="Arial"/>
          <w:sz w:val="21"/>
          <w:szCs w:val="21"/>
          <w:lang w:val="es-CO"/>
        </w:rPr>
        <w:t>y</w:t>
      </w:r>
      <w:r w:rsidRPr="009E3B79">
        <w:rPr>
          <w:rFonts w:ascii="Arial" w:eastAsia="Arial" w:hAnsi="Arial" w:cs="Arial"/>
          <w:sz w:val="21"/>
          <w:szCs w:val="21"/>
          <w:lang w:val="es-CO"/>
        </w:rPr>
        <w:t xml:space="preserve"> </w:t>
      </w:r>
      <w:r w:rsidRPr="009E3B79">
        <w:rPr>
          <w:rFonts w:ascii="Arial" w:hAnsi="Arial" w:cs="Arial"/>
          <w:sz w:val="21"/>
          <w:szCs w:val="21"/>
          <w:lang w:val="es-CO"/>
        </w:rPr>
        <w:t>si</w:t>
      </w:r>
      <w:r w:rsidRPr="009E3B79">
        <w:rPr>
          <w:rFonts w:ascii="Arial" w:eastAsia="Arial" w:hAnsi="Arial" w:cs="Arial"/>
          <w:sz w:val="21"/>
          <w:szCs w:val="21"/>
          <w:lang w:val="es-CO"/>
        </w:rPr>
        <w:t xml:space="preserve"> </w:t>
      </w:r>
      <w:r w:rsidRPr="009E3B79">
        <w:rPr>
          <w:rFonts w:ascii="Arial" w:hAnsi="Arial" w:cs="Arial"/>
          <w:sz w:val="21"/>
          <w:szCs w:val="21"/>
          <w:lang w:val="es-CO"/>
        </w:rPr>
        <w:t>el</w:t>
      </w:r>
      <w:r w:rsidRPr="009E3B79">
        <w:rPr>
          <w:rFonts w:ascii="Arial" w:eastAsia="Arial" w:hAnsi="Arial" w:cs="Arial"/>
          <w:sz w:val="21"/>
          <w:szCs w:val="21"/>
          <w:lang w:val="es-CO"/>
        </w:rPr>
        <w:t xml:space="preserve"> </w:t>
      </w:r>
      <w:r w:rsidRPr="009E3B79">
        <w:rPr>
          <w:rFonts w:ascii="Arial" w:hAnsi="Arial" w:cs="Arial"/>
          <w:sz w:val="21"/>
          <w:szCs w:val="21"/>
          <w:lang w:val="es-CO"/>
        </w:rPr>
        <w:t>contrato</w:t>
      </w:r>
      <w:r w:rsidRPr="009E3B79">
        <w:rPr>
          <w:rFonts w:ascii="Arial" w:eastAsia="Arial" w:hAnsi="Arial" w:cs="Arial"/>
          <w:sz w:val="21"/>
          <w:szCs w:val="21"/>
          <w:lang w:val="es-CO"/>
        </w:rPr>
        <w:t xml:space="preserve"> </w:t>
      </w:r>
      <w:r w:rsidRPr="009E3B79">
        <w:rPr>
          <w:rFonts w:ascii="Arial" w:hAnsi="Arial" w:cs="Arial"/>
          <w:sz w:val="21"/>
          <w:szCs w:val="21"/>
          <w:lang w:val="es-CO"/>
        </w:rPr>
        <w:t>es</w:t>
      </w:r>
      <w:r w:rsidRPr="009E3B79">
        <w:rPr>
          <w:rFonts w:ascii="Arial" w:eastAsia="Arial" w:hAnsi="Arial" w:cs="Arial"/>
          <w:sz w:val="21"/>
          <w:szCs w:val="21"/>
          <w:lang w:val="es-CO"/>
        </w:rPr>
        <w:t xml:space="preserve"> </w:t>
      </w:r>
      <w:r w:rsidRPr="009E3B79">
        <w:rPr>
          <w:rFonts w:ascii="Arial" w:hAnsi="Arial" w:cs="Arial"/>
          <w:sz w:val="21"/>
          <w:szCs w:val="21"/>
          <w:lang w:val="es-CO"/>
        </w:rPr>
        <w:t>ejecutado</w:t>
      </w:r>
      <w:r w:rsidRPr="009E3B79">
        <w:rPr>
          <w:rFonts w:ascii="Arial" w:eastAsia="Arial" w:hAnsi="Arial" w:cs="Arial"/>
          <w:sz w:val="21"/>
          <w:szCs w:val="21"/>
          <w:lang w:val="es-CO"/>
        </w:rPr>
        <w:t xml:space="preserve"> </w:t>
      </w:r>
      <w:r w:rsidRPr="009E3B79">
        <w:rPr>
          <w:rFonts w:ascii="Arial" w:hAnsi="Arial" w:cs="Arial"/>
          <w:sz w:val="21"/>
          <w:szCs w:val="21"/>
          <w:lang w:val="es-CO"/>
        </w:rPr>
        <w:t>por</w:t>
      </w:r>
      <w:r w:rsidRPr="009E3B79">
        <w:rPr>
          <w:rFonts w:ascii="Arial" w:eastAsia="Arial" w:hAnsi="Arial" w:cs="Arial"/>
          <w:sz w:val="21"/>
          <w:szCs w:val="21"/>
          <w:lang w:val="es-CO"/>
        </w:rPr>
        <w:t xml:space="preserve"> </w:t>
      </w:r>
      <w:r w:rsidRPr="009E3B79">
        <w:rPr>
          <w:rFonts w:ascii="Arial" w:hAnsi="Arial" w:cs="Arial"/>
          <w:sz w:val="21"/>
          <w:szCs w:val="21"/>
          <w:lang w:val="es-CO"/>
        </w:rPr>
        <w:t>una estructura plural</w:t>
      </w:r>
      <w:r w:rsidRPr="009E3B79">
        <w:rPr>
          <w:rFonts w:ascii="Arial" w:eastAsia="Arial" w:hAnsi="Arial" w:cs="Arial"/>
          <w:sz w:val="21"/>
          <w:szCs w:val="21"/>
          <w:lang w:val="es-CO"/>
        </w:rPr>
        <w:t xml:space="preserve"> </w:t>
      </w:r>
      <w:r w:rsidRPr="009E3B79">
        <w:rPr>
          <w:rFonts w:ascii="Arial" w:hAnsi="Arial" w:cs="Arial"/>
          <w:sz w:val="21"/>
          <w:szCs w:val="21"/>
          <w:lang w:val="es-CO"/>
        </w:rPr>
        <w:t>por</w:t>
      </w:r>
      <w:r w:rsidRPr="009E3B79">
        <w:rPr>
          <w:rFonts w:ascii="Arial" w:eastAsia="Arial" w:hAnsi="Arial" w:cs="Arial"/>
          <w:sz w:val="21"/>
          <w:szCs w:val="21"/>
          <w:lang w:val="es-CO"/>
        </w:rPr>
        <w:t xml:space="preserve"> </w:t>
      </w:r>
      <w:r w:rsidRPr="009E3B79">
        <w:rPr>
          <w:rFonts w:ascii="Arial" w:hAnsi="Arial" w:cs="Arial"/>
          <w:sz w:val="21"/>
          <w:szCs w:val="21"/>
          <w:lang w:val="es-CO"/>
        </w:rPr>
        <w:t>la</w:t>
      </w:r>
      <w:r w:rsidRPr="009E3B79">
        <w:rPr>
          <w:rFonts w:ascii="Arial" w:eastAsia="Arial" w:hAnsi="Arial" w:cs="Arial"/>
          <w:sz w:val="21"/>
          <w:szCs w:val="21"/>
          <w:lang w:val="es-CO"/>
        </w:rPr>
        <w:t xml:space="preserve"> </w:t>
      </w:r>
      <w:r w:rsidRPr="009E3B79">
        <w:rPr>
          <w:rFonts w:ascii="Arial" w:hAnsi="Arial" w:cs="Arial"/>
          <w:sz w:val="21"/>
          <w:szCs w:val="21"/>
          <w:lang w:val="es-CO"/>
        </w:rPr>
        <w:t>participación</w:t>
      </w:r>
      <w:r w:rsidRPr="009E3B79">
        <w:rPr>
          <w:rFonts w:ascii="Arial" w:eastAsia="Arial" w:hAnsi="Arial" w:cs="Arial"/>
          <w:sz w:val="21"/>
          <w:szCs w:val="21"/>
          <w:lang w:val="es-CO"/>
        </w:rPr>
        <w:t xml:space="preserve"> </w:t>
      </w:r>
      <w:r w:rsidRPr="009E3B79">
        <w:rPr>
          <w:rFonts w:ascii="Arial" w:hAnsi="Arial" w:cs="Arial"/>
          <w:sz w:val="21"/>
          <w:szCs w:val="21"/>
          <w:lang w:val="es-CO"/>
        </w:rPr>
        <w:t>del</w:t>
      </w:r>
      <w:r w:rsidRPr="009E3B79">
        <w:rPr>
          <w:rFonts w:ascii="Arial" w:eastAsia="Arial" w:hAnsi="Arial" w:cs="Arial"/>
          <w:sz w:val="21"/>
          <w:szCs w:val="21"/>
          <w:lang w:val="es-CO"/>
        </w:rPr>
        <w:t xml:space="preserve"> </w:t>
      </w:r>
      <w:r w:rsidRPr="009E3B79">
        <w:rPr>
          <w:rFonts w:ascii="Arial" w:hAnsi="Arial" w:cs="Arial"/>
          <w:sz w:val="21"/>
          <w:szCs w:val="21"/>
          <w:lang w:val="es-CO"/>
        </w:rPr>
        <w:t>Proponente</w:t>
      </w:r>
      <w:r w:rsidRPr="009E3B79">
        <w:rPr>
          <w:rFonts w:ascii="Arial" w:eastAsia="Arial" w:hAnsi="Arial" w:cs="Arial"/>
          <w:sz w:val="21"/>
          <w:szCs w:val="21"/>
          <w:lang w:val="es-CO"/>
        </w:rPr>
        <w:t xml:space="preserve"> </w:t>
      </w:r>
      <w:r w:rsidRPr="009E3B79">
        <w:rPr>
          <w:rFonts w:ascii="Arial" w:hAnsi="Arial" w:cs="Arial"/>
          <w:sz w:val="21"/>
          <w:szCs w:val="21"/>
          <w:lang w:val="es-CO"/>
        </w:rPr>
        <w:t>en</w:t>
      </w:r>
      <w:r w:rsidRPr="009E3B79">
        <w:rPr>
          <w:rFonts w:ascii="Arial" w:eastAsia="Arial" w:hAnsi="Arial" w:cs="Arial"/>
          <w:sz w:val="21"/>
          <w:szCs w:val="21"/>
          <w:lang w:val="es-CO"/>
        </w:rPr>
        <w:t xml:space="preserve"> </w:t>
      </w:r>
      <w:r w:rsidRPr="009E3B79">
        <w:rPr>
          <w:rFonts w:ascii="Arial" w:hAnsi="Arial" w:cs="Arial"/>
          <w:sz w:val="21"/>
          <w:szCs w:val="21"/>
          <w:lang w:val="es-CO"/>
        </w:rPr>
        <w:t xml:space="preserve">la respectiva estructura. </w:t>
      </w:r>
    </w:p>
    <w:p w14:paraId="614E3D37" w14:textId="738DA4A4" w:rsidR="00E60513" w:rsidRPr="009E3B79" w:rsidRDefault="00E60513" w:rsidP="003003ED">
      <w:pPr>
        <w:pStyle w:val="Prrafodelista"/>
        <w:ind w:left="1134" w:right="709" w:hanging="425"/>
        <w:contextualSpacing w:val="0"/>
        <w:jc w:val="both"/>
        <w:rPr>
          <w:rFonts w:ascii="Arial" w:eastAsia="Arial" w:hAnsi="Arial" w:cs="Arial"/>
          <w:sz w:val="21"/>
          <w:szCs w:val="21"/>
        </w:rPr>
      </w:pPr>
      <w:r w:rsidRPr="009E3B79">
        <w:rPr>
          <w:rFonts w:ascii="Arial" w:eastAsia="Arial" w:hAnsi="Arial" w:cs="Arial"/>
          <w:sz w:val="21"/>
          <w:szCs w:val="21"/>
        </w:rPr>
        <w:tab/>
        <w:t>[…]</w:t>
      </w:r>
    </w:p>
    <w:p w14:paraId="042F118B" w14:textId="77777777" w:rsidR="00F615E1" w:rsidRPr="009E3B79" w:rsidRDefault="00F615E1" w:rsidP="00D91AC1">
      <w:pPr>
        <w:pStyle w:val="Prrafodelista"/>
        <w:spacing w:line="276" w:lineRule="auto"/>
        <w:ind w:left="0"/>
        <w:jc w:val="both"/>
        <w:rPr>
          <w:rFonts w:ascii="Arial" w:eastAsia="Arial," w:hAnsi="Arial" w:cs="Arial"/>
          <w:sz w:val="22"/>
        </w:rPr>
      </w:pPr>
    </w:p>
    <w:p w14:paraId="44F52E39" w14:textId="5B4B1EE3" w:rsidR="00E60513" w:rsidRPr="009E3B79" w:rsidRDefault="00F615E1" w:rsidP="00E60513">
      <w:pPr>
        <w:spacing w:after="120" w:line="276" w:lineRule="auto"/>
        <w:ind w:firstLine="709"/>
        <w:jc w:val="both"/>
        <w:rPr>
          <w:rFonts w:ascii="Arial" w:eastAsiaTheme="minorHAnsi" w:hAnsi="Arial" w:cs="Arial"/>
          <w:sz w:val="22"/>
          <w:szCs w:val="20"/>
          <w:lang w:val="es-MX" w:eastAsia="en-US"/>
        </w:rPr>
      </w:pPr>
      <w:r w:rsidRPr="009E3B79">
        <w:rPr>
          <w:rFonts w:ascii="Arial" w:eastAsia="Arial," w:hAnsi="Arial" w:cs="Arial"/>
          <w:sz w:val="22"/>
          <w:szCs w:val="22"/>
        </w:rPr>
        <w:t xml:space="preserve">Como se aprecia, los apartados transcritos del </w:t>
      </w:r>
      <w:r w:rsidR="00F601E7" w:rsidRPr="009E3B79">
        <w:rPr>
          <w:rFonts w:ascii="Arial" w:eastAsia="Arial," w:hAnsi="Arial" w:cs="Arial"/>
          <w:sz w:val="22"/>
          <w:szCs w:val="22"/>
        </w:rPr>
        <w:t>d</w:t>
      </w:r>
      <w:r w:rsidRPr="009E3B79">
        <w:rPr>
          <w:rFonts w:ascii="Arial" w:eastAsia="Arial," w:hAnsi="Arial" w:cs="Arial"/>
          <w:sz w:val="22"/>
          <w:szCs w:val="22"/>
        </w:rPr>
        <w:t xml:space="preserve">ocumento </w:t>
      </w:r>
      <w:r w:rsidR="00F601E7" w:rsidRPr="009E3B79">
        <w:rPr>
          <w:rFonts w:ascii="Arial" w:eastAsia="Arial," w:hAnsi="Arial" w:cs="Arial"/>
          <w:sz w:val="22"/>
          <w:szCs w:val="22"/>
        </w:rPr>
        <w:t>b</w:t>
      </w:r>
      <w:r w:rsidRPr="009E3B79">
        <w:rPr>
          <w:rFonts w:ascii="Arial" w:eastAsia="Arial," w:hAnsi="Arial" w:cs="Arial"/>
          <w:sz w:val="22"/>
          <w:szCs w:val="22"/>
        </w:rPr>
        <w:t xml:space="preserve">ase </w:t>
      </w:r>
      <w:r w:rsidR="009C1E63" w:rsidRPr="009E3B79">
        <w:rPr>
          <w:rFonts w:ascii="Arial" w:eastAsia="Arial," w:hAnsi="Arial" w:cs="Arial"/>
          <w:sz w:val="22"/>
          <w:szCs w:val="22"/>
        </w:rPr>
        <w:t>están en</w:t>
      </w:r>
      <w:r w:rsidRPr="009E3B79">
        <w:rPr>
          <w:rFonts w:ascii="Arial" w:eastAsia="Arial," w:hAnsi="Arial" w:cs="Arial"/>
          <w:sz w:val="22"/>
          <w:szCs w:val="22"/>
        </w:rPr>
        <w:t xml:space="preserve"> arm</w:t>
      </w:r>
      <w:r w:rsidR="009C1E63" w:rsidRPr="009E3B79">
        <w:rPr>
          <w:rFonts w:ascii="Arial" w:eastAsia="Arial," w:hAnsi="Arial" w:cs="Arial"/>
          <w:sz w:val="22"/>
          <w:szCs w:val="22"/>
        </w:rPr>
        <w:t>onía</w:t>
      </w:r>
      <w:r w:rsidRPr="009E3B79">
        <w:rPr>
          <w:rFonts w:ascii="Arial" w:eastAsia="Arial," w:hAnsi="Arial" w:cs="Arial"/>
          <w:sz w:val="22"/>
          <w:szCs w:val="22"/>
        </w:rPr>
        <w:t xml:space="preserve"> con lo dispuesto en la </w:t>
      </w:r>
      <w:r w:rsidRPr="009E3B79">
        <w:rPr>
          <w:rFonts w:ascii="Arial" w:hAnsi="Arial" w:cs="Arial"/>
          <w:sz w:val="22"/>
          <w:szCs w:val="22"/>
        </w:rPr>
        <w:t xml:space="preserve">Guía para Determinar y Verificar la Capacidad Residual del Proponente en los Procesos de Contratación de Obra Pública, </w:t>
      </w:r>
      <w:r w:rsidR="00D91AC1" w:rsidRPr="009E3B79">
        <w:rPr>
          <w:rFonts w:ascii="Arial" w:hAnsi="Arial" w:cs="Arial"/>
          <w:sz w:val="22"/>
          <w:szCs w:val="22"/>
        </w:rPr>
        <w:t>y se refieren a los contratos de obras civiles en ejecución, incluyendo a los contratos suspendidos</w:t>
      </w:r>
      <w:r w:rsidR="005D5A41" w:rsidRPr="009E3B79">
        <w:rPr>
          <w:rFonts w:ascii="Arial" w:hAnsi="Arial" w:cs="Arial"/>
          <w:sz w:val="22"/>
          <w:szCs w:val="22"/>
        </w:rPr>
        <w:t xml:space="preserve"> y lo</w:t>
      </w:r>
      <w:r w:rsidR="009C1E63" w:rsidRPr="009E3B79">
        <w:rPr>
          <w:rFonts w:ascii="Arial" w:hAnsi="Arial" w:cs="Arial"/>
          <w:sz w:val="22"/>
          <w:szCs w:val="22"/>
        </w:rPr>
        <w:t>s</w:t>
      </w:r>
      <w:r w:rsidR="005D5A41" w:rsidRPr="009E3B79">
        <w:rPr>
          <w:rFonts w:ascii="Arial" w:hAnsi="Arial" w:cs="Arial"/>
          <w:sz w:val="22"/>
          <w:szCs w:val="22"/>
        </w:rPr>
        <w:t xml:space="preserve"> que no tienen acta de inicio</w:t>
      </w:r>
      <w:r w:rsidR="00D91AC1" w:rsidRPr="009E3B79">
        <w:rPr>
          <w:rFonts w:ascii="Arial" w:hAnsi="Arial" w:cs="Arial"/>
          <w:sz w:val="22"/>
          <w:szCs w:val="22"/>
        </w:rPr>
        <w:t xml:space="preserve">. </w:t>
      </w:r>
      <w:r w:rsidR="00F967D5" w:rsidRPr="009E3B79">
        <w:rPr>
          <w:rFonts w:ascii="Arial" w:hAnsi="Arial" w:cs="Arial"/>
          <w:sz w:val="22"/>
          <w:szCs w:val="22"/>
        </w:rPr>
        <w:t xml:space="preserve">Lo expuesto </w:t>
      </w:r>
      <w:r w:rsidR="00094ECB" w:rsidRPr="009E3B79">
        <w:rPr>
          <w:rFonts w:ascii="Arial" w:hAnsi="Arial" w:cs="Arial"/>
          <w:sz w:val="22"/>
          <w:szCs w:val="22"/>
        </w:rPr>
        <w:t>es congruente con</w:t>
      </w:r>
      <w:r w:rsidR="00F967D5" w:rsidRPr="009E3B79">
        <w:rPr>
          <w:rFonts w:ascii="Arial" w:hAnsi="Arial" w:cs="Arial"/>
          <w:sz w:val="22"/>
          <w:szCs w:val="22"/>
        </w:rPr>
        <w:t xml:space="preserve"> </w:t>
      </w:r>
      <w:r w:rsidR="00F967D5" w:rsidRPr="009E3B79">
        <w:rPr>
          <w:rFonts w:ascii="Arial" w:eastAsia="Calibri" w:hAnsi="Arial" w:cs="Arial"/>
          <w:color w:val="000000" w:themeColor="text1"/>
          <w:sz w:val="22"/>
          <w:szCs w:val="22"/>
          <w:lang w:val="es-MX" w:eastAsia="en-US"/>
        </w:rPr>
        <w:t xml:space="preserve">el artículo 2.2.1.1.1.6.4 del Decreto 1082 de 2015, en virtud del cual, para efectos de </w:t>
      </w:r>
      <w:r w:rsidR="00F967D5" w:rsidRPr="009E3B79">
        <w:rPr>
          <w:rFonts w:ascii="Arial" w:eastAsiaTheme="minorHAnsi" w:hAnsi="Arial" w:cs="Arial"/>
          <w:sz w:val="22"/>
          <w:szCs w:val="20"/>
          <w:lang w:val="es-MX" w:eastAsia="en-US"/>
        </w:rPr>
        <w:t>acreditar la capacidad residual del proponente, se requiere el listado de contratos de obra civiles en ejecución</w:t>
      </w:r>
      <w:r w:rsidR="00374574" w:rsidRPr="009E3B79">
        <w:rPr>
          <w:rFonts w:ascii="Arial" w:eastAsiaTheme="minorHAnsi" w:hAnsi="Arial" w:cs="Arial"/>
          <w:sz w:val="22"/>
          <w:szCs w:val="20"/>
          <w:lang w:val="es-MX" w:eastAsia="en-US"/>
        </w:rPr>
        <w:t xml:space="preserve"> suscritos con entidades estatales y con entidades privadas.</w:t>
      </w:r>
    </w:p>
    <w:p w14:paraId="33960A62" w14:textId="46EBF2ED" w:rsidR="008714F3" w:rsidRPr="009E3B79" w:rsidRDefault="00E60513" w:rsidP="00E60513">
      <w:pPr>
        <w:spacing w:after="120" w:line="276" w:lineRule="auto"/>
        <w:ind w:firstLine="709"/>
        <w:jc w:val="both"/>
        <w:rPr>
          <w:rFonts w:ascii="Arial" w:eastAsiaTheme="minorHAnsi" w:hAnsi="Arial" w:cs="Arial"/>
          <w:sz w:val="22"/>
          <w:szCs w:val="20"/>
          <w:lang w:eastAsia="en-US"/>
        </w:rPr>
      </w:pPr>
      <w:r w:rsidRPr="009E3B79">
        <w:rPr>
          <w:rFonts w:ascii="Arial" w:eastAsiaTheme="minorHAnsi" w:hAnsi="Arial" w:cs="Arial"/>
          <w:sz w:val="22"/>
          <w:szCs w:val="20"/>
          <w:lang w:val="es-MX" w:eastAsia="en-US"/>
        </w:rPr>
        <w:t xml:space="preserve">No obstante, el documento base –al igual que la guía– dispone que «[…] </w:t>
      </w:r>
      <w:r w:rsidRPr="009E3B79">
        <w:rPr>
          <w:rFonts w:ascii="Arial" w:eastAsiaTheme="minorHAnsi" w:hAnsi="Arial" w:cs="Arial"/>
          <w:sz w:val="22"/>
          <w:szCs w:val="20"/>
          <w:lang w:eastAsia="en-US"/>
        </w:rPr>
        <w:t>No se entenderán como contratos en ejecución los que se encuentren en liquidación». La aplicación de este apartado del pliego de condiciones es clara cuando, al finalizar el plazo de ejecución</w:t>
      </w:r>
      <w:r w:rsidR="00F110FF" w:rsidRPr="009E3B79">
        <w:rPr>
          <w:rFonts w:ascii="Arial" w:eastAsiaTheme="minorHAnsi" w:hAnsi="Arial" w:cs="Arial"/>
          <w:sz w:val="22"/>
          <w:szCs w:val="20"/>
          <w:lang w:eastAsia="en-US"/>
        </w:rPr>
        <w:t xml:space="preserve">, el contratista entrega la obra y la entidad la recibe el objeto sin expresar reservas. En esta hipótesis, sin </w:t>
      </w:r>
      <w:r w:rsidR="006A4586" w:rsidRPr="009E3B79">
        <w:rPr>
          <w:rFonts w:ascii="Arial" w:eastAsiaTheme="minorHAnsi" w:hAnsi="Arial" w:cs="Arial"/>
          <w:sz w:val="22"/>
          <w:szCs w:val="20"/>
          <w:lang w:eastAsia="en-US"/>
        </w:rPr>
        <w:t xml:space="preserve">que </w:t>
      </w:r>
      <w:r w:rsidR="00F110FF" w:rsidRPr="009E3B79">
        <w:rPr>
          <w:rFonts w:ascii="Arial" w:eastAsiaTheme="minorHAnsi" w:hAnsi="Arial" w:cs="Arial"/>
          <w:sz w:val="22"/>
          <w:szCs w:val="20"/>
          <w:lang w:eastAsia="en-US"/>
        </w:rPr>
        <w:t>existan obligaciones pendientes</w:t>
      </w:r>
      <w:r w:rsidR="006A4586" w:rsidRPr="009E3B79">
        <w:rPr>
          <w:rFonts w:ascii="Arial" w:eastAsiaTheme="minorHAnsi" w:hAnsi="Arial" w:cs="Arial"/>
          <w:sz w:val="22"/>
          <w:szCs w:val="20"/>
          <w:lang w:eastAsia="en-US"/>
        </w:rPr>
        <w:t xml:space="preserve"> a cargo del constructor,</w:t>
      </w:r>
      <w:r w:rsidR="00F110FF" w:rsidRPr="009E3B79">
        <w:rPr>
          <w:rFonts w:ascii="Arial" w:eastAsiaTheme="minorHAnsi" w:hAnsi="Arial" w:cs="Arial"/>
          <w:sz w:val="22"/>
          <w:szCs w:val="20"/>
          <w:lang w:eastAsia="en-US"/>
        </w:rPr>
        <w:t xml:space="preserve"> el contrato entra </w:t>
      </w:r>
      <w:r w:rsidR="00552ABC" w:rsidRPr="009E3B79">
        <w:rPr>
          <w:rFonts w:ascii="Arial" w:eastAsiaTheme="minorHAnsi" w:hAnsi="Arial" w:cs="Arial"/>
          <w:sz w:val="22"/>
          <w:szCs w:val="20"/>
          <w:lang w:eastAsia="en-US"/>
        </w:rPr>
        <w:t xml:space="preserve">en </w:t>
      </w:r>
      <w:r w:rsidR="00F110FF" w:rsidRPr="009E3B79">
        <w:rPr>
          <w:rFonts w:ascii="Arial" w:eastAsiaTheme="minorHAnsi" w:hAnsi="Arial" w:cs="Arial"/>
          <w:sz w:val="22"/>
          <w:szCs w:val="20"/>
          <w:lang w:eastAsia="en-US"/>
        </w:rPr>
        <w:t>la fase de liquidación para efectos del balance definitivo del negocio</w:t>
      </w:r>
      <w:r w:rsidR="00D30AC9" w:rsidRPr="009E3B79">
        <w:rPr>
          <w:rFonts w:ascii="Arial" w:eastAsiaTheme="minorHAnsi" w:hAnsi="Arial" w:cs="Arial"/>
          <w:sz w:val="22"/>
          <w:szCs w:val="20"/>
          <w:lang w:eastAsia="en-US"/>
        </w:rPr>
        <w:t xml:space="preserve"> </w:t>
      </w:r>
      <w:proofErr w:type="gramStart"/>
      <w:r w:rsidR="00D30AC9" w:rsidRPr="009E3B79">
        <w:rPr>
          <w:rFonts w:ascii="Arial" w:eastAsiaTheme="minorHAnsi" w:hAnsi="Arial" w:cs="Arial"/>
          <w:sz w:val="22"/>
          <w:szCs w:val="20"/>
          <w:lang w:eastAsia="en-US"/>
        </w:rPr>
        <w:t>en</w:t>
      </w:r>
      <w:r w:rsidR="00F110FF" w:rsidRPr="009E3B79">
        <w:rPr>
          <w:rFonts w:ascii="Arial" w:eastAsiaTheme="minorHAnsi" w:hAnsi="Arial" w:cs="Arial"/>
          <w:sz w:val="22"/>
          <w:szCs w:val="20"/>
          <w:lang w:eastAsia="en-US"/>
        </w:rPr>
        <w:t xml:space="preserve"> </w:t>
      </w:r>
      <w:r w:rsidR="006A4586" w:rsidRPr="009E3B79">
        <w:rPr>
          <w:rFonts w:ascii="Arial" w:eastAsiaTheme="minorHAnsi" w:hAnsi="Arial" w:cs="Arial"/>
          <w:sz w:val="22"/>
          <w:szCs w:val="20"/>
          <w:lang w:eastAsia="en-US"/>
        </w:rPr>
        <w:t xml:space="preserve"> </w:t>
      </w:r>
      <w:r w:rsidR="006A4586" w:rsidRPr="009E3B79">
        <w:rPr>
          <w:rFonts w:ascii="Arial" w:eastAsiaTheme="minorHAnsi" w:hAnsi="Arial" w:cs="Arial"/>
          <w:sz w:val="22"/>
          <w:szCs w:val="20"/>
          <w:lang w:eastAsia="en-US"/>
        </w:rPr>
        <w:lastRenderedPageBreak/>
        <w:t>sus</w:t>
      </w:r>
      <w:proofErr w:type="gramEnd"/>
      <w:r w:rsidR="006A4586" w:rsidRPr="009E3B79">
        <w:rPr>
          <w:rFonts w:ascii="Arial" w:eastAsiaTheme="minorHAnsi" w:hAnsi="Arial" w:cs="Arial"/>
          <w:sz w:val="22"/>
          <w:szCs w:val="20"/>
          <w:lang w:eastAsia="en-US"/>
        </w:rPr>
        <w:t xml:space="preserve"> aspectos técnicos, financieros y jurídicos, definir la situación de las partes y establecer si pueden declararse en paz y salvo.</w:t>
      </w:r>
      <w:r w:rsidR="00F110FF" w:rsidRPr="009E3B79">
        <w:rPr>
          <w:rFonts w:ascii="Arial" w:eastAsiaTheme="minorHAnsi" w:hAnsi="Arial" w:cs="Arial"/>
          <w:sz w:val="22"/>
          <w:szCs w:val="20"/>
          <w:lang w:eastAsia="en-US"/>
        </w:rPr>
        <w:t xml:space="preserve"> </w:t>
      </w:r>
      <w:r w:rsidR="006A4586" w:rsidRPr="009E3B79">
        <w:rPr>
          <w:rFonts w:ascii="Arial" w:eastAsiaTheme="minorHAnsi" w:hAnsi="Arial" w:cs="Arial"/>
          <w:sz w:val="22"/>
          <w:szCs w:val="20"/>
          <w:lang w:eastAsia="en-US"/>
        </w:rPr>
        <w:t>Por tanto, como el contratista ha concluido con todas actividades constructivas dentro del plazo previsto,</w:t>
      </w:r>
      <w:r w:rsidR="007A3BEE" w:rsidRPr="009E3B79">
        <w:rPr>
          <w:rFonts w:ascii="Arial" w:eastAsiaTheme="minorHAnsi" w:hAnsi="Arial" w:cs="Arial"/>
          <w:sz w:val="22"/>
          <w:szCs w:val="20"/>
          <w:lang w:eastAsia="en-US"/>
        </w:rPr>
        <w:t xml:space="preserve"> no se entendería como un contrato en ejecución para </w:t>
      </w:r>
      <w:r w:rsidR="008714F3" w:rsidRPr="009E3B79">
        <w:rPr>
          <w:rFonts w:ascii="Arial" w:eastAsiaTheme="minorHAnsi" w:hAnsi="Arial" w:cs="Arial"/>
          <w:sz w:val="22"/>
          <w:szCs w:val="20"/>
          <w:lang w:eastAsia="en-US"/>
        </w:rPr>
        <w:t>efectos del cálculo de la capacidad residual.</w:t>
      </w:r>
    </w:p>
    <w:p w14:paraId="0392937F" w14:textId="22F8D7C4" w:rsidR="005D0CDB" w:rsidRPr="009E3B79" w:rsidRDefault="00BB6CDE" w:rsidP="005D0CDB">
      <w:pPr>
        <w:spacing w:line="276" w:lineRule="auto"/>
        <w:ind w:firstLine="709"/>
        <w:jc w:val="both"/>
        <w:rPr>
          <w:rFonts w:ascii="Arial" w:eastAsiaTheme="minorHAnsi" w:hAnsi="Arial" w:cs="Arial"/>
          <w:sz w:val="22"/>
          <w:szCs w:val="20"/>
          <w:lang w:eastAsia="en-US"/>
        </w:rPr>
      </w:pPr>
      <w:r w:rsidRPr="009E3B79">
        <w:rPr>
          <w:rFonts w:ascii="Arial" w:eastAsiaTheme="minorHAnsi" w:hAnsi="Arial" w:cs="Arial"/>
          <w:sz w:val="22"/>
          <w:szCs w:val="20"/>
          <w:lang w:eastAsia="en-US"/>
        </w:rPr>
        <w:t>Igualmente</w:t>
      </w:r>
      <w:r w:rsidR="008714F3" w:rsidRPr="009E3B79">
        <w:rPr>
          <w:rFonts w:ascii="Arial" w:eastAsiaTheme="minorHAnsi" w:hAnsi="Arial" w:cs="Arial"/>
          <w:sz w:val="22"/>
          <w:szCs w:val="20"/>
          <w:lang w:eastAsia="en-US"/>
        </w:rPr>
        <w:t xml:space="preserve">, al finalizar </w:t>
      </w:r>
      <w:r w:rsidR="00901920" w:rsidRPr="009E3B79">
        <w:rPr>
          <w:rFonts w:ascii="Arial" w:eastAsiaTheme="minorHAnsi" w:hAnsi="Arial" w:cs="Arial"/>
          <w:sz w:val="22"/>
          <w:szCs w:val="20"/>
          <w:lang w:eastAsia="en-US"/>
        </w:rPr>
        <w:t xml:space="preserve">el </w:t>
      </w:r>
      <w:r w:rsidR="008714F3" w:rsidRPr="009E3B79">
        <w:rPr>
          <w:rFonts w:ascii="Arial" w:eastAsiaTheme="minorHAnsi" w:hAnsi="Arial" w:cs="Arial"/>
          <w:sz w:val="22"/>
          <w:szCs w:val="20"/>
          <w:lang w:eastAsia="en-US"/>
        </w:rPr>
        <w:t xml:space="preserve">término pactado por las partes, </w:t>
      </w:r>
      <w:r w:rsidR="00E61BAB" w:rsidRPr="009E3B79">
        <w:rPr>
          <w:rFonts w:ascii="Arial" w:eastAsiaTheme="minorHAnsi" w:hAnsi="Arial" w:cs="Arial"/>
          <w:sz w:val="22"/>
          <w:szCs w:val="20"/>
          <w:lang w:eastAsia="en-US"/>
        </w:rPr>
        <w:t xml:space="preserve">puede que </w:t>
      </w:r>
      <w:r w:rsidR="008714F3" w:rsidRPr="009E3B79">
        <w:rPr>
          <w:rFonts w:ascii="Arial" w:eastAsiaTheme="minorHAnsi" w:hAnsi="Arial" w:cs="Arial"/>
          <w:sz w:val="22"/>
          <w:szCs w:val="20"/>
          <w:lang w:eastAsia="en-US"/>
        </w:rPr>
        <w:t>el contratista no entreg</w:t>
      </w:r>
      <w:r w:rsidR="00E61BAB" w:rsidRPr="009E3B79">
        <w:rPr>
          <w:rFonts w:ascii="Arial" w:eastAsiaTheme="minorHAnsi" w:hAnsi="Arial" w:cs="Arial"/>
          <w:sz w:val="22"/>
          <w:szCs w:val="20"/>
          <w:lang w:eastAsia="en-US"/>
        </w:rPr>
        <w:t>ue</w:t>
      </w:r>
      <w:r w:rsidR="008714F3" w:rsidRPr="009E3B79">
        <w:rPr>
          <w:rFonts w:ascii="Arial" w:eastAsiaTheme="minorHAnsi" w:hAnsi="Arial" w:cs="Arial"/>
          <w:sz w:val="22"/>
          <w:szCs w:val="20"/>
          <w:lang w:eastAsia="en-US"/>
        </w:rPr>
        <w:t xml:space="preserve"> la totalidad del objeto contractual</w:t>
      </w:r>
      <w:r w:rsidR="00057C12" w:rsidRPr="009E3B79">
        <w:rPr>
          <w:rFonts w:ascii="Arial" w:eastAsiaTheme="minorHAnsi" w:hAnsi="Arial" w:cs="Arial"/>
          <w:sz w:val="22"/>
          <w:szCs w:val="20"/>
          <w:lang w:eastAsia="en-US"/>
        </w:rPr>
        <w:t>,</w:t>
      </w:r>
      <w:r w:rsidR="009B3A0B" w:rsidRPr="009E3B79">
        <w:rPr>
          <w:rFonts w:ascii="Arial" w:eastAsiaTheme="minorHAnsi" w:hAnsi="Arial" w:cs="Arial"/>
          <w:sz w:val="22"/>
          <w:szCs w:val="20"/>
          <w:lang w:eastAsia="en-US"/>
        </w:rPr>
        <w:t xml:space="preserve"> en cuyo caso</w:t>
      </w:r>
      <w:r w:rsidR="0009488A" w:rsidRPr="009E3B79">
        <w:rPr>
          <w:rFonts w:ascii="Arial" w:eastAsiaTheme="minorHAnsi" w:hAnsi="Arial" w:cs="Arial"/>
          <w:sz w:val="22"/>
          <w:szCs w:val="20"/>
          <w:lang w:eastAsia="en-US"/>
        </w:rPr>
        <w:t>,</w:t>
      </w:r>
      <w:r w:rsidR="00057C12" w:rsidRPr="009E3B79">
        <w:rPr>
          <w:rFonts w:ascii="Arial" w:eastAsiaTheme="minorHAnsi" w:hAnsi="Arial" w:cs="Arial"/>
          <w:sz w:val="22"/>
          <w:szCs w:val="20"/>
          <w:lang w:eastAsia="en-US"/>
        </w:rPr>
        <w:t xml:space="preserve"> normalmente, el contratante recibe la obra con reservas. Para la doctrina, este tipo de recepción «[…] debe limitarse única y exclusivamente a aquellos vicios o defectos de construcción que no tengan cierta trascendencia o importancia</w:t>
      </w:r>
      <w:r w:rsidR="007F529B" w:rsidRPr="009E3B79">
        <w:rPr>
          <w:rFonts w:ascii="Arial" w:eastAsiaTheme="minorHAnsi" w:hAnsi="Arial" w:cs="Arial"/>
          <w:sz w:val="22"/>
          <w:szCs w:val="20"/>
          <w:lang w:eastAsia="en-US"/>
        </w:rPr>
        <w:t xml:space="preserve"> (defectos de terminación y acabado), </w:t>
      </w:r>
      <w:proofErr w:type="gramStart"/>
      <w:r w:rsidR="007F529B" w:rsidRPr="009E3B79">
        <w:rPr>
          <w:rFonts w:ascii="Arial" w:eastAsiaTheme="minorHAnsi" w:hAnsi="Arial" w:cs="Arial"/>
          <w:sz w:val="22"/>
          <w:szCs w:val="20"/>
          <w:lang w:eastAsia="en-US"/>
        </w:rPr>
        <w:t>puesto que</w:t>
      </w:r>
      <w:proofErr w:type="gramEnd"/>
      <w:r w:rsidR="007F529B" w:rsidRPr="009E3B79">
        <w:rPr>
          <w:rFonts w:ascii="Arial" w:eastAsiaTheme="minorHAnsi" w:hAnsi="Arial" w:cs="Arial"/>
          <w:sz w:val="22"/>
          <w:szCs w:val="20"/>
          <w:lang w:eastAsia="en-US"/>
        </w:rPr>
        <w:t xml:space="preserve"> si la obra padece de graves defectos constructivos, el promotor podrá rechazar la misma […]»</w:t>
      </w:r>
      <w:r w:rsidR="007F529B" w:rsidRPr="009E3B79">
        <w:rPr>
          <w:rStyle w:val="Refdenotaalpie"/>
          <w:rFonts w:ascii="Arial" w:eastAsiaTheme="minorHAnsi" w:hAnsi="Arial" w:cs="Arial"/>
          <w:sz w:val="22"/>
          <w:szCs w:val="20"/>
          <w:lang w:eastAsia="en-US"/>
        </w:rPr>
        <w:footnoteReference w:id="10"/>
      </w:r>
      <w:r w:rsidR="007F529B" w:rsidRPr="009E3B79">
        <w:rPr>
          <w:rFonts w:ascii="Arial" w:eastAsiaTheme="minorHAnsi" w:hAnsi="Arial" w:cs="Arial"/>
          <w:sz w:val="22"/>
          <w:szCs w:val="20"/>
          <w:lang w:eastAsia="en-US"/>
        </w:rPr>
        <w:t xml:space="preserve">. </w:t>
      </w:r>
      <w:r w:rsidR="00E61BAB" w:rsidRPr="009E3B79">
        <w:rPr>
          <w:rFonts w:ascii="Arial" w:eastAsiaTheme="minorHAnsi" w:hAnsi="Arial" w:cs="Arial"/>
          <w:sz w:val="22"/>
          <w:szCs w:val="20"/>
          <w:lang w:eastAsia="en-US"/>
        </w:rPr>
        <w:t xml:space="preserve">De esta manera, la declaración de recibo con reservas debe especificar tanto las deficiencias </w:t>
      </w:r>
      <w:r w:rsidRPr="009E3B79">
        <w:rPr>
          <w:rFonts w:ascii="Arial" w:eastAsiaTheme="minorHAnsi" w:hAnsi="Arial" w:cs="Arial"/>
          <w:sz w:val="22"/>
          <w:szCs w:val="20"/>
          <w:lang w:eastAsia="en-US"/>
        </w:rPr>
        <w:t>de</w:t>
      </w:r>
      <w:r w:rsidR="00E61BAB" w:rsidRPr="009E3B79">
        <w:rPr>
          <w:rFonts w:ascii="Arial" w:eastAsiaTheme="minorHAnsi" w:hAnsi="Arial" w:cs="Arial"/>
          <w:sz w:val="22"/>
          <w:szCs w:val="20"/>
          <w:lang w:eastAsia="en-US"/>
        </w:rPr>
        <w:t xml:space="preserve"> la obra como el plazo que</w:t>
      </w:r>
      <w:r w:rsidR="00637D79" w:rsidRPr="009E3B79">
        <w:rPr>
          <w:rFonts w:ascii="Arial" w:eastAsiaTheme="minorHAnsi" w:hAnsi="Arial" w:cs="Arial"/>
          <w:sz w:val="22"/>
          <w:szCs w:val="20"/>
          <w:lang w:eastAsia="en-US"/>
        </w:rPr>
        <w:t xml:space="preserve"> tiene</w:t>
      </w:r>
      <w:r w:rsidR="00E61BAB" w:rsidRPr="009E3B79">
        <w:rPr>
          <w:rFonts w:ascii="Arial" w:eastAsiaTheme="minorHAnsi" w:hAnsi="Arial" w:cs="Arial"/>
          <w:sz w:val="22"/>
          <w:szCs w:val="20"/>
          <w:lang w:eastAsia="en-US"/>
        </w:rPr>
        <w:t xml:space="preserve"> el constructor </w:t>
      </w:r>
      <w:r w:rsidR="00637D79" w:rsidRPr="009E3B79">
        <w:rPr>
          <w:rFonts w:ascii="Arial" w:eastAsiaTheme="minorHAnsi" w:hAnsi="Arial" w:cs="Arial"/>
          <w:sz w:val="22"/>
          <w:szCs w:val="20"/>
          <w:lang w:eastAsia="en-US"/>
        </w:rPr>
        <w:t>para</w:t>
      </w:r>
      <w:r w:rsidR="00E61BAB" w:rsidRPr="009E3B79">
        <w:rPr>
          <w:rFonts w:ascii="Arial" w:eastAsiaTheme="minorHAnsi" w:hAnsi="Arial" w:cs="Arial"/>
          <w:sz w:val="22"/>
          <w:szCs w:val="20"/>
          <w:lang w:eastAsia="en-US"/>
        </w:rPr>
        <w:t xml:space="preserve"> subsanarlas</w:t>
      </w:r>
      <w:r w:rsidR="00E61BAB" w:rsidRPr="009E3B79">
        <w:rPr>
          <w:rStyle w:val="Refdenotaalpie"/>
          <w:rFonts w:ascii="Arial" w:eastAsiaTheme="minorHAnsi" w:hAnsi="Arial" w:cs="Arial"/>
          <w:sz w:val="22"/>
          <w:szCs w:val="20"/>
          <w:lang w:eastAsia="en-US"/>
        </w:rPr>
        <w:footnoteReference w:id="11"/>
      </w:r>
      <w:r w:rsidR="00E61BAB" w:rsidRPr="009E3B79">
        <w:rPr>
          <w:rFonts w:ascii="Arial" w:eastAsiaTheme="minorHAnsi" w:hAnsi="Arial" w:cs="Arial"/>
          <w:sz w:val="22"/>
          <w:szCs w:val="20"/>
          <w:lang w:eastAsia="en-US"/>
        </w:rPr>
        <w:t xml:space="preserve">. </w:t>
      </w:r>
      <w:r w:rsidR="00787628" w:rsidRPr="009E3B79">
        <w:rPr>
          <w:rFonts w:ascii="Arial" w:eastAsiaTheme="minorHAnsi" w:hAnsi="Arial" w:cs="Arial"/>
          <w:sz w:val="22"/>
          <w:szCs w:val="20"/>
          <w:lang w:eastAsia="en-US"/>
        </w:rPr>
        <w:t>Esta</w:t>
      </w:r>
      <w:r w:rsidRPr="009E3B79">
        <w:rPr>
          <w:rFonts w:ascii="Arial" w:eastAsiaTheme="minorHAnsi" w:hAnsi="Arial" w:cs="Arial"/>
          <w:sz w:val="22"/>
          <w:szCs w:val="20"/>
          <w:lang w:eastAsia="en-US"/>
        </w:rPr>
        <w:t xml:space="preserve"> hipótesis supone </w:t>
      </w:r>
      <w:r w:rsidR="005D0CDB" w:rsidRPr="009E3B79">
        <w:rPr>
          <w:rFonts w:ascii="Arial" w:eastAsiaTheme="minorHAnsi" w:hAnsi="Arial" w:cs="Arial"/>
          <w:sz w:val="22"/>
          <w:szCs w:val="20"/>
          <w:lang w:eastAsia="en-US"/>
        </w:rPr>
        <w:t>la ejecución de</w:t>
      </w:r>
      <w:r w:rsidRPr="009E3B79">
        <w:rPr>
          <w:rFonts w:ascii="Arial" w:eastAsiaTheme="minorHAnsi" w:hAnsi="Arial" w:cs="Arial"/>
          <w:sz w:val="22"/>
          <w:szCs w:val="20"/>
          <w:lang w:eastAsia="en-US"/>
        </w:rPr>
        <w:t xml:space="preserve"> actividades fuera del plazo contractual</w:t>
      </w:r>
      <w:r w:rsidR="005D0CDB" w:rsidRPr="009E3B79">
        <w:rPr>
          <w:rFonts w:ascii="Arial" w:eastAsiaTheme="minorHAnsi" w:hAnsi="Arial" w:cs="Arial"/>
          <w:sz w:val="22"/>
          <w:szCs w:val="20"/>
          <w:lang w:eastAsia="en-US"/>
        </w:rPr>
        <w:t xml:space="preserve">, lo cual es posible </w:t>
      </w:r>
      <w:r w:rsidR="00D871AD" w:rsidRPr="009E3B79">
        <w:rPr>
          <w:rFonts w:ascii="Arial" w:eastAsiaTheme="minorHAnsi" w:hAnsi="Arial" w:cs="Arial"/>
          <w:sz w:val="22"/>
          <w:szCs w:val="20"/>
          <w:lang w:eastAsia="en-US"/>
        </w:rPr>
        <w:t xml:space="preserve">pues la finalización del plazo no trae consigo la extinción de las obligaciones primigenias, </w:t>
      </w:r>
      <w:r w:rsidR="005D0CDB" w:rsidRPr="009E3B79">
        <w:rPr>
          <w:rFonts w:ascii="Arial" w:eastAsiaTheme="minorHAnsi" w:hAnsi="Arial" w:cs="Arial"/>
          <w:sz w:val="22"/>
          <w:szCs w:val="20"/>
          <w:lang w:eastAsia="en-US"/>
        </w:rPr>
        <w:t>en la medida que –de acuerdo con lo explicado en el Concepto C-646 del 9 de noviembre de 2020– la Agencia considera que:</w:t>
      </w:r>
    </w:p>
    <w:p w14:paraId="72D634C4" w14:textId="77777777" w:rsidR="005D0CDB" w:rsidRPr="009E3B79" w:rsidRDefault="005D0CDB" w:rsidP="005D0CDB">
      <w:pPr>
        <w:spacing w:line="276" w:lineRule="auto"/>
        <w:ind w:firstLine="709"/>
        <w:jc w:val="both"/>
        <w:rPr>
          <w:rFonts w:ascii="Arial" w:eastAsiaTheme="minorHAnsi" w:hAnsi="Arial" w:cs="Arial"/>
          <w:sz w:val="22"/>
          <w:szCs w:val="20"/>
          <w:lang w:eastAsia="en-US"/>
        </w:rPr>
      </w:pPr>
    </w:p>
    <w:p w14:paraId="46F68392" w14:textId="47A3048E" w:rsidR="005D0CDB" w:rsidRPr="009E3B79" w:rsidRDefault="005D0CDB" w:rsidP="005D0CDB">
      <w:pPr>
        <w:ind w:left="709" w:right="709"/>
        <w:jc w:val="both"/>
        <w:rPr>
          <w:rFonts w:ascii="Arial" w:eastAsia="Calibri" w:hAnsi="Arial" w:cs="Arial"/>
          <w:sz w:val="21"/>
          <w:szCs w:val="21"/>
        </w:rPr>
      </w:pPr>
      <w:bookmarkStart w:id="8" w:name="_Hlk55584494"/>
      <w:r w:rsidRPr="009E3B79">
        <w:rPr>
          <w:rFonts w:ascii="Arial" w:eastAsia="Calibri" w:hAnsi="Arial" w:cs="Arial"/>
          <w:sz w:val="21"/>
          <w:szCs w:val="21"/>
        </w:rPr>
        <w:t>[…] los plazos tienen naturaleza suspensiva tratándose de los contratos de obra. Esto sucede tanto cuando se pactan entregas parciales como cuando la entidad recibe el objeto al finalizar el plazo pactado, porque la exigibilidad de las obligaciones está suspendida mientras cada uno de estos términos esté pendiente: la Administración solo podrá exigir el cumplimiento cuando venza el plazo entrega, pues solo a partir de ese momento las obligaciones son puras y simples. De hecho […] el plazo no extingue el contrato ni las obligaciones derivadas de él, ya que requiere la ejecución de la obra</w:t>
      </w:r>
      <w:r w:rsidRPr="009E3B79">
        <w:rPr>
          <w:rStyle w:val="Refdenotaalpie"/>
          <w:rFonts w:ascii="Arial" w:eastAsia="Calibri" w:hAnsi="Arial" w:cs="Arial"/>
          <w:sz w:val="21"/>
          <w:szCs w:val="21"/>
        </w:rPr>
        <w:footnoteReference w:id="12"/>
      </w:r>
      <w:r w:rsidRPr="009E3B79">
        <w:rPr>
          <w:rFonts w:ascii="Arial" w:eastAsia="Calibri" w:hAnsi="Arial" w:cs="Arial"/>
          <w:sz w:val="21"/>
          <w:szCs w:val="21"/>
        </w:rPr>
        <w:t xml:space="preserve">. Lo contrario equivale a afirmar </w:t>
      </w:r>
      <w:proofErr w:type="gramStart"/>
      <w:r w:rsidRPr="009E3B79">
        <w:rPr>
          <w:rFonts w:ascii="Arial" w:eastAsia="Calibri" w:hAnsi="Arial" w:cs="Arial"/>
          <w:sz w:val="21"/>
          <w:szCs w:val="21"/>
        </w:rPr>
        <w:t>que</w:t>
      </w:r>
      <w:proofErr w:type="gramEnd"/>
      <w:r w:rsidRPr="009E3B79">
        <w:rPr>
          <w:rFonts w:ascii="Arial" w:eastAsia="Calibri" w:hAnsi="Arial" w:cs="Arial"/>
          <w:sz w:val="21"/>
          <w:szCs w:val="21"/>
        </w:rPr>
        <w:t xml:space="preserve"> si las obligaciones no se cumplen oportunamente, la entidad pierde el derecho a obtener el pago de la prestación debida. Esta conclusión no sólo sería contraria al interés público como fin de la contratación estatal, sino que desconoce la normas sobre el pago de los artículos 1626 y siguientes del Código Civil, razón por la cual, sin perjuicio de la responsabilidad del contratista por cumplimiento extemporáneo, la entidad puede recibir lo que ejecute el contratista después de vencido el plazo del contrato, lo que se extiende a la exigibilidad de lo que está pendiente por cumplir. Lo anterior, en la medida que «El contrato no podrá considerarse definitivamente concluido hasta tanto ambas obligaciones y derechos principales, la entrega y recepción –o puesta a disposición– de la obra o su producto […] no hayan sido cumplidos»</w:t>
      </w:r>
      <w:r w:rsidRPr="009E3B79">
        <w:rPr>
          <w:rStyle w:val="Refdenotaalpie"/>
          <w:rFonts w:ascii="Arial" w:eastAsia="Calibri" w:hAnsi="Arial" w:cs="Arial"/>
          <w:sz w:val="21"/>
          <w:szCs w:val="21"/>
        </w:rPr>
        <w:footnoteReference w:id="13"/>
      </w:r>
      <w:r w:rsidRPr="009E3B79">
        <w:rPr>
          <w:rFonts w:ascii="Arial" w:eastAsia="Calibri" w:hAnsi="Arial" w:cs="Arial"/>
          <w:sz w:val="21"/>
          <w:szCs w:val="21"/>
        </w:rPr>
        <w:t xml:space="preserve">. </w:t>
      </w:r>
    </w:p>
    <w:p w14:paraId="77329F27" w14:textId="0EF0CD09" w:rsidR="00172AC3" w:rsidRPr="009E3B79" w:rsidRDefault="005D0CDB" w:rsidP="005D0CDB">
      <w:pPr>
        <w:spacing w:line="276" w:lineRule="auto"/>
        <w:jc w:val="both"/>
        <w:rPr>
          <w:rFonts w:ascii="Arial" w:eastAsiaTheme="minorHAnsi" w:hAnsi="Arial" w:cs="Arial"/>
          <w:sz w:val="22"/>
          <w:szCs w:val="20"/>
          <w:lang w:eastAsia="en-US"/>
        </w:rPr>
      </w:pPr>
      <w:r w:rsidRPr="009E3B79">
        <w:rPr>
          <w:rFonts w:ascii="Arial" w:eastAsia="Calibri" w:hAnsi="Arial" w:cs="Arial"/>
          <w:sz w:val="22"/>
        </w:rPr>
        <w:t xml:space="preserve">  </w:t>
      </w:r>
      <w:bookmarkEnd w:id="8"/>
      <w:r w:rsidRPr="009E3B79">
        <w:rPr>
          <w:rFonts w:ascii="Arial" w:eastAsia="Calibri" w:hAnsi="Arial" w:cs="Arial"/>
          <w:sz w:val="22"/>
        </w:rPr>
        <w:t xml:space="preserve">           </w:t>
      </w:r>
      <w:r w:rsidR="00263DB7" w:rsidRPr="009E3B79">
        <w:rPr>
          <w:rFonts w:ascii="Arial" w:eastAsiaTheme="minorHAnsi" w:hAnsi="Arial" w:cs="Arial"/>
          <w:sz w:val="22"/>
          <w:szCs w:val="20"/>
          <w:lang w:eastAsia="en-US"/>
        </w:rPr>
        <w:t xml:space="preserve"> </w:t>
      </w:r>
    </w:p>
    <w:p w14:paraId="5ED76DC9" w14:textId="082463BD" w:rsidR="00816413" w:rsidRPr="009E3B79" w:rsidRDefault="00DC1182" w:rsidP="00816413">
      <w:pPr>
        <w:spacing w:line="276" w:lineRule="auto"/>
        <w:ind w:firstLine="709"/>
        <w:jc w:val="both"/>
        <w:rPr>
          <w:rFonts w:ascii="Arial" w:eastAsiaTheme="minorHAnsi" w:hAnsi="Arial" w:cs="Arial"/>
          <w:sz w:val="22"/>
          <w:szCs w:val="20"/>
          <w:lang w:eastAsia="en-US"/>
        </w:rPr>
      </w:pPr>
      <w:r w:rsidRPr="009E3B79">
        <w:rPr>
          <w:rFonts w:ascii="Arial" w:eastAsiaTheme="minorHAnsi" w:hAnsi="Arial" w:cs="Arial"/>
          <w:sz w:val="22"/>
          <w:szCs w:val="20"/>
          <w:lang w:eastAsia="en-US"/>
        </w:rPr>
        <w:lastRenderedPageBreak/>
        <w:t>E</w:t>
      </w:r>
      <w:r w:rsidR="00CA3F14" w:rsidRPr="009E3B79">
        <w:rPr>
          <w:rFonts w:ascii="Arial" w:eastAsiaTheme="minorHAnsi" w:hAnsi="Arial" w:cs="Arial"/>
          <w:sz w:val="22"/>
          <w:szCs w:val="20"/>
          <w:lang w:eastAsia="en-US"/>
        </w:rPr>
        <w:t xml:space="preserve">l escenario descrito </w:t>
      </w:r>
      <w:r w:rsidR="005D0CDB" w:rsidRPr="009E3B79">
        <w:rPr>
          <w:rFonts w:ascii="Arial" w:eastAsiaTheme="minorHAnsi" w:hAnsi="Arial" w:cs="Arial"/>
          <w:sz w:val="22"/>
          <w:szCs w:val="20"/>
          <w:lang w:eastAsia="en-US"/>
        </w:rPr>
        <w:t>anteriormente</w:t>
      </w:r>
      <w:r w:rsidRPr="009E3B79">
        <w:rPr>
          <w:rFonts w:ascii="Arial" w:eastAsiaTheme="minorHAnsi" w:hAnsi="Arial" w:cs="Arial"/>
          <w:sz w:val="22"/>
          <w:szCs w:val="20"/>
          <w:lang w:eastAsia="en-US"/>
        </w:rPr>
        <w:t xml:space="preserve"> genera la duda de si, frente a la expedición </w:t>
      </w:r>
      <w:r w:rsidR="00AE74DA" w:rsidRPr="009E3B79">
        <w:rPr>
          <w:rFonts w:ascii="Arial" w:eastAsiaTheme="minorHAnsi" w:hAnsi="Arial" w:cs="Arial"/>
          <w:sz w:val="22"/>
          <w:szCs w:val="20"/>
          <w:lang w:eastAsia="en-US"/>
        </w:rPr>
        <w:t xml:space="preserve">de </w:t>
      </w:r>
      <w:r w:rsidRPr="009E3B79">
        <w:rPr>
          <w:rFonts w:ascii="Arial" w:eastAsiaTheme="minorHAnsi" w:hAnsi="Arial" w:cs="Arial"/>
          <w:sz w:val="22"/>
          <w:szCs w:val="20"/>
          <w:lang w:eastAsia="en-US"/>
        </w:rPr>
        <w:t xml:space="preserve">un acta de terminación con actividades pendientes, el contrato todavía se encuentra en ejecución para efectos del cálculo de la capacidad residual. </w:t>
      </w:r>
      <w:r w:rsidR="005D0CDB" w:rsidRPr="009E3B79">
        <w:rPr>
          <w:rFonts w:ascii="Arial" w:eastAsiaTheme="minorHAnsi" w:hAnsi="Arial" w:cs="Arial"/>
          <w:sz w:val="22"/>
          <w:szCs w:val="20"/>
          <w:lang w:eastAsia="en-US"/>
        </w:rPr>
        <w:t>En principio, p</w:t>
      </w:r>
      <w:r w:rsidR="007D4066" w:rsidRPr="009E3B79">
        <w:rPr>
          <w:rFonts w:ascii="Arial" w:eastAsiaTheme="minorHAnsi" w:hAnsi="Arial" w:cs="Arial"/>
          <w:sz w:val="22"/>
          <w:szCs w:val="20"/>
          <w:lang w:eastAsia="en-US"/>
        </w:rPr>
        <w:t xml:space="preserve">odría considerarse que, aun frente al vencimiento del término contractual, el contratista todavía está ejecutando </w:t>
      </w:r>
      <w:r w:rsidR="005D0CDB" w:rsidRPr="009E3B79">
        <w:rPr>
          <w:rFonts w:ascii="Arial" w:eastAsiaTheme="minorHAnsi" w:hAnsi="Arial" w:cs="Arial"/>
          <w:sz w:val="22"/>
          <w:szCs w:val="20"/>
          <w:lang w:eastAsia="en-US"/>
        </w:rPr>
        <w:t xml:space="preserve">materialmente </w:t>
      </w:r>
      <w:r w:rsidR="007D4066" w:rsidRPr="009E3B79">
        <w:rPr>
          <w:rFonts w:ascii="Arial" w:eastAsiaTheme="minorHAnsi" w:hAnsi="Arial" w:cs="Arial"/>
          <w:sz w:val="22"/>
          <w:szCs w:val="20"/>
          <w:lang w:eastAsia="en-US"/>
        </w:rPr>
        <w:t>el objeto pactado</w:t>
      </w:r>
      <w:r w:rsidR="009D2A23" w:rsidRPr="009E3B79">
        <w:rPr>
          <w:rFonts w:ascii="Arial" w:eastAsiaTheme="minorHAnsi" w:hAnsi="Arial" w:cs="Arial"/>
          <w:sz w:val="22"/>
          <w:szCs w:val="20"/>
          <w:lang w:eastAsia="en-US"/>
        </w:rPr>
        <w:t xml:space="preserve">. </w:t>
      </w:r>
      <w:r w:rsidR="00BC0B85" w:rsidRPr="009E3B79">
        <w:rPr>
          <w:rFonts w:ascii="Arial" w:eastAsiaTheme="minorHAnsi" w:hAnsi="Arial" w:cs="Arial"/>
          <w:sz w:val="22"/>
          <w:szCs w:val="20"/>
          <w:lang w:eastAsia="en-US"/>
        </w:rPr>
        <w:t>Bajo esta interpretación</w:t>
      </w:r>
      <w:r w:rsidR="009D2A23" w:rsidRPr="009E3B79">
        <w:rPr>
          <w:rFonts w:ascii="Arial" w:eastAsiaTheme="minorHAnsi" w:hAnsi="Arial" w:cs="Arial"/>
          <w:sz w:val="22"/>
          <w:szCs w:val="20"/>
          <w:lang w:eastAsia="en-US"/>
        </w:rPr>
        <w:t>, no sería posible que el contrato entrará en la etapa de liquidación sin el cumplimiento integral de las obligaciones a cargo del constructor</w:t>
      </w:r>
      <w:r w:rsidR="005C77EF" w:rsidRPr="009E3B79">
        <w:rPr>
          <w:rStyle w:val="Refdenotaalpie"/>
          <w:rFonts w:ascii="Arial" w:eastAsiaTheme="minorHAnsi" w:hAnsi="Arial" w:cs="Arial"/>
          <w:sz w:val="22"/>
          <w:szCs w:val="20"/>
          <w:lang w:eastAsia="en-US"/>
        </w:rPr>
        <w:footnoteReference w:id="14"/>
      </w:r>
      <w:r w:rsidR="005C77EF" w:rsidRPr="009E3B79">
        <w:rPr>
          <w:rFonts w:ascii="Arial" w:eastAsiaTheme="minorHAnsi" w:hAnsi="Arial" w:cs="Arial"/>
          <w:sz w:val="22"/>
          <w:szCs w:val="20"/>
          <w:lang w:eastAsia="en-US"/>
        </w:rPr>
        <w:t>.</w:t>
      </w:r>
      <w:r w:rsidRPr="009E3B79">
        <w:rPr>
          <w:rFonts w:ascii="Arial" w:eastAsiaTheme="minorHAnsi" w:hAnsi="Arial" w:cs="Arial"/>
          <w:sz w:val="22"/>
          <w:szCs w:val="20"/>
          <w:lang w:eastAsia="en-US"/>
        </w:rPr>
        <w:t xml:space="preserve"> </w:t>
      </w:r>
      <w:r w:rsidR="00816413" w:rsidRPr="009E3B79">
        <w:rPr>
          <w:rFonts w:ascii="Arial" w:eastAsiaTheme="minorHAnsi" w:hAnsi="Arial" w:cs="Arial"/>
          <w:sz w:val="22"/>
          <w:szCs w:val="20"/>
          <w:lang w:eastAsia="en-US"/>
        </w:rPr>
        <w:t>Sin embargo</w:t>
      </w:r>
      <w:r w:rsidR="000D7151" w:rsidRPr="009E3B79">
        <w:rPr>
          <w:rFonts w:ascii="Arial" w:eastAsiaTheme="minorHAnsi" w:hAnsi="Arial" w:cs="Arial"/>
          <w:sz w:val="22"/>
          <w:szCs w:val="20"/>
          <w:lang w:eastAsia="en-US"/>
        </w:rPr>
        <w:t xml:space="preserve">, </w:t>
      </w:r>
      <w:r w:rsidR="00816413" w:rsidRPr="009E3B79">
        <w:rPr>
          <w:rFonts w:ascii="Arial" w:eastAsiaTheme="minorHAnsi" w:hAnsi="Arial" w:cs="Arial"/>
          <w:sz w:val="22"/>
          <w:szCs w:val="20"/>
          <w:lang w:eastAsia="en-US"/>
        </w:rPr>
        <w:t>a la luz del artículo 11 de la Ley 1150 de 2007</w:t>
      </w:r>
      <w:r w:rsidR="000D7151" w:rsidRPr="009E3B79">
        <w:rPr>
          <w:rFonts w:ascii="Arial" w:eastAsiaTheme="minorHAnsi" w:hAnsi="Arial" w:cs="Arial"/>
          <w:sz w:val="22"/>
          <w:szCs w:val="20"/>
          <w:lang w:eastAsia="en-US"/>
        </w:rPr>
        <w:t xml:space="preserve">, es necesario tener en cuenta que </w:t>
      </w:r>
      <w:r w:rsidR="00816413" w:rsidRPr="009E3B79">
        <w:rPr>
          <w:rFonts w:ascii="Arial" w:eastAsiaTheme="minorHAnsi" w:hAnsi="Arial" w:cs="Arial"/>
          <w:sz w:val="22"/>
          <w:szCs w:val="20"/>
          <w:lang w:eastAsia="en-US"/>
        </w:rPr>
        <w:t>los contratos estatales entran en estado de liquidación una vez finalizado el plazo de ejecución. En efecto</w:t>
      </w:r>
      <w:r w:rsidR="00F36639" w:rsidRPr="009E3B79">
        <w:rPr>
          <w:rFonts w:ascii="Arial" w:eastAsiaTheme="minorHAnsi" w:hAnsi="Arial" w:cs="Arial"/>
          <w:sz w:val="22"/>
          <w:szCs w:val="20"/>
          <w:lang w:eastAsia="en-US"/>
        </w:rPr>
        <w:t xml:space="preserve">, la norma </w:t>
      </w:r>
      <w:r w:rsidR="000D7151" w:rsidRPr="009E3B79">
        <w:rPr>
          <w:rFonts w:ascii="Arial" w:eastAsiaTheme="minorHAnsi" w:hAnsi="Arial" w:cs="Arial"/>
          <w:sz w:val="22"/>
          <w:szCs w:val="20"/>
          <w:lang w:eastAsia="en-US"/>
        </w:rPr>
        <w:t xml:space="preserve">precitada </w:t>
      </w:r>
      <w:r w:rsidR="00F36639" w:rsidRPr="009E3B79">
        <w:rPr>
          <w:rFonts w:ascii="Arial" w:eastAsiaTheme="minorHAnsi" w:hAnsi="Arial" w:cs="Arial"/>
          <w:sz w:val="22"/>
          <w:szCs w:val="20"/>
          <w:lang w:eastAsia="en-US"/>
        </w:rPr>
        <w:t>dispone lo siguiente</w:t>
      </w:r>
      <w:r w:rsidR="00816413" w:rsidRPr="009E3B79">
        <w:rPr>
          <w:rFonts w:ascii="Arial" w:eastAsiaTheme="minorHAnsi" w:hAnsi="Arial" w:cs="Arial"/>
          <w:sz w:val="22"/>
          <w:szCs w:val="20"/>
          <w:lang w:eastAsia="en-US"/>
        </w:rPr>
        <w:t>:</w:t>
      </w:r>
    </w:p>
    <w:p w14:paraId="719421AF" w14:textId="77777777" w:rsidR="00816413" w:rsidRPr="009E3B79" w:rsidRDefault="00816413" w:rsidP="00816413">
      <w:pPr>
        <w:spacing w:line="276" w:lineRule="auto"/>
        <w:ind w:firstLine="709"/>
        <w:jc w:val="both"/>
        <w:rPr>
          <w:rFonts w:ascii="Arial" w:eastAsiaTheme="minorHAnsi" w:hAnsi="Arial" w:cs="Arial"/>
          <w:sz w:val="22"/>
          <w:szCs w:val="20"/>
          <w:lang w:eastAsia="en-US"/>
        </w:rPr>
      </w:pPr>
    </w:p>
    <w:p w14:paraId="5153050F" w14:textId="77777777" w:rsidR="00816413" w:rsidRPr="009E3B79" w:rsidRDefault="00816413" w:rsidP="0027193D">
      <w:pPr>
        <w:spacing w:after="120"/>
        <w:ind w:left="709" w:right="709"/>
        <w:jc w:val="both"/>
        <w:rPr>
          <w:rFonts w:ascii="Arial" w:eastAsiaTheme="minorHAnsi" w:hAnsi="Arial" w:cs="Arial"/>
          <w:sz w:val="21"/>
          <w:szCs w:val="21"/>
          <w:lang w:eastAsia="en-US"/>
        </w:rPr>
      </w:pPr>
      <w:r w:rsidRPr="009E3B79">
        <w:rPr>
          <w:rFonts w:ascii="Arial" w:eastAsiaTheme="minorHAnsi" w:hAnsi="Arial" w:cs="Arial"/>
          <w:sz w:val="21"/>
          <w:szCs w:val="21"/>
          <w:lang w:eastAsia="en-US"/>
        </w:rPr>
        <w:t xml:space="preserve">La liquidación de los contratos se hará de mutuo acuerdo dentro del término fijado en los pliegos de condiciones o sus equivalentes, o dentro del que acuerden las partes para el efecto. </w:t>
      </w:r>
      <w:r w:rsidRPr="009E3B79">
        <w:rPr>
          <w:rFonts w:ascii="Arial" w:eastAsiaTheme="minorHAnsi" w:hAnsi="Arial" w:cs="Arial"/>
          <w:i/>
          <w:iCs/>
          <w:sz w:val="21"/>
          <w:szCs w:val="21"/>
          <w:lang w:eastAsia="en-US"/>
        </w:rPr>
        <w:t>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r w:rsidRPr="009E3B79">
        <w:rPr>
          <w:rFonts w:ascii="Arial" w:eastAsiaTheme="minorHAnsi" w:hAnsi="Arial" w:cs="Arial"/>
          <w:sz w:val="21"/>
          <w:szCs w:val="21"/>
          <w:lang w:eastAsia="en-US"/>
        </w:rPr>
        <w:t>.</w:t>
      </w:r>
    </w:p>
    <w:p w14:paraId="78F5F91F" w14:textId="77777777" w:rsidR="00816413" w:rsidRPr="009E3B79" w:rsidRDefault="00816413" w:rsidP="0027193D">
      <w:pPr>
        <w:spacing w:after="120"/>
        <w:ind w:left="709" w:right="709"/>
        <w:jc w:val="both"/>
        <w:rPr>
          <w:rFonts w:ascii="Arial" w:eastAsiaTheme="minorHAnsi" w:hAnsi="Arial" w:cs="Arial"/>
          <w:sz w:val="21"/>
          <w:szCs w:val="21"/>
          <w:lang w:eastAsia="en-US"/>
        </w:rPr>
      </w:pPr>
      <w:r w:rsidRPr="009E3B79">
        <w:rPr>
          <w:rFonts w:ascii="Arial" w:eastAsiaTheme="minorHAnsi" w:hAnsi="Arial" w:cs="Arial"/>
          <w:sz w:val="21"/>
          <w:szCs w:val="21"/>
          <w:lang w:eastAsia="en-U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w:t>
      </w:r>
      <w:hyperlink r:id="rId13" w:anchor="136" w:history="1">
        <w:r w:rsidRPr="009E3B79">
          <w:rPr>
            <w:rStyle w:val="Hipervnculo"/>
            <w:rFonts w:ascii="Arial" w:eastAsiaTheme="minorHAnsi" w:hAnsi="Arial" w:cs="Arial"/>
            <w:color w:val="auto"/>
            <w:sz w:val="21"/>
            <w:szCs w:val="21"/>
            <w:u w:val="none"/>
            <w:lang w:eastAsia="en-US"/>
          </w:rPr>
          <w:t>136</w:t>
        </w:r>
      </w:hyperlink>
      <w:r w:rsidRPr="009E3B79">
        <w:rPr>
          <w:rFonts w:ascii="Arial" w:eastAsiaTheme="minorHAnsi" w:hAnsi="Arial" w:cs="Arial"/>
          <w:sz w:val="21"/>
          <w:szCs w:val="21"/>
          <w:lang w:eastAsia="en-US"/>
        </w:rPr>
        <w:t> del C. C. A.</w:t>
      </w:r>
    </w:p>
    <w:p w14:paraId="0F6310F4" w14:textId="77777777" w:rsidR="00816413" w:rsidRPr="009E3B79" w:rsidRDefault="00816413" w:rsidP="0027193D">
      <w:pPr>
        <w:spacing w:after="120"/>
        <w:ind w:left="709" w:right="709"/>
        <w:jc w:val="both"/>
        <w:rPr>
          <w:rFonts w:ascii="Arial" w:eastAsiaTheme="minorHAnsi" w:hAnsi="Arial" w:cs="Arial"/>
          <w:sz w:val="21"/>
          <w:szCs w:val="21"/>
          <w:lang w:eastAsia="en-US"/>
        </w:rPr>
      </w:pPr>
      <w:r w:rsidRPr="009E3B79">
        <w:rPr>
          <w:rFonts w:ascii="Arial" w:eastAsiaTheme="minorHAnsi" w:hAnsi="Arial" w:cs="Arial"/>
          <w:sz w:val="21"/>
          <w:szCs w:val="21"/>
          <w:lang w:eastAsia="en-U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w:t>
      </w:r>
      <w:hyperlink r:id="rId14" w:anchor="136" w:history="1">
        <w:r w:rsidRPr="009E3B79">
          <w:rPr>
            <w:rStyle w:val="Hipervnculo"/>
            <w:rFonts w:ascii="Arial" w:eastAsiaTheme="minorHAnsi" w:hAnsi="Arial" w:cs="Arial"/>
            <w:color w:val="auto"/>
            <w:sz w:val="21"/>
            <w:szCs w:val="21"/>
            <w:u w:val="none"/>
            <w:lang w:eastAsia="en-US"/>
          </w:rPr>
          <w:t>136</w:t>
        </w:r>
      </w:hyperlink>
      <w:r w:rsidRPr="009E3B79">
        <w:rPr>
          <w:rFonts w:ascii="Arial" w:eastAsiaTheme="minorHAnsi" w:hAnsi="Arial" w:cs="Arial"/>
          <w:sz w:val="21"/>
          <w:szCs w:val="21"/>
          <w:lang w:eastAsia="en-US"/>
        </w:rPr>
        <w:t> del C. C. A.</w:t>
      </w:r>
    </w:p>
    <w:p w14:paraId="668E0953" w14:textId="4FF38E13" w:rsidR="00816413" w:rsidRPr="009E3B79" w:rsidRDefault="00816413" w:rsidP="0027193D">
      <w:pPr>
        <w:ind w:left="709" w:right="709"/>
        <w:jc w:val="both"/>
        <w:rPr>
          <w:rFonts w:ascii="Arial" w:eastAsiaTheme="minorHAnsi" w:hAnsi="Arial" w:cs="Arial"/>
          <w:sz w:val="21"/>
          <w:szCs w:val="21"/>
          <w:lang w:eastAsia="en-US"/>
        </w:rPr>
      </w:pPr>
      <w:r w:rsidRPr="009E3B79">
        <w:rPr>
          <w:rFonts w:ascii="Arial" w:eastAsiaTheme="minorHAnsi" w:hAnsi="Arial" w:cs="Arial"/>
          <w:sz w:val="21"/>
          <w:szCs w:val="21"/>
          <w:lang w:eastAsia="en-US"/>
        </w:rPr>
        <w:t>Los contratistas tendrán derecho a efectuar salvedades a la liquidación por mutuo acuerdo, y en este evento la liquidación unilateral solo procederá en relación con los aspectos que no hayan sido objeto de acuerdo.</w:t>
      </w:r>
      <w:r w:rsidR="007466E0" w:rsidRPr="009E3B79">
        <w:rPr>
          <w:rFonts w:ascii="Arial" w:eastAsiaTheme="minorHAnsi" w:hAnsi="Arial" w:cs="Arial"/>
          <w:sz w:val="21"/>
          <w:szCs w:val="21"/>
          <w:lang w:eastAsia="en-US"/>
        </w:rPr>
        <w:t xml:space="preserve"> (Énfasis fuera de texto)</w:t>
      </w:r>
    </w:p>
    <w:p w14:paraId="48D23C75" w14:textId="77777777" w:rsidR="0027193D" w:rsidRPr="009E3B79" w:rsidRDefault="0027193D" w:rsidP="0027193D">
      <w:pPr>
        <w:spacing w:line="276" w:lineRule="auto"/>
        <w:jc w:val="both"/>
        <w:rPr>
          <w:rFonts w:ascii="Arial" w:eastAsiaTheme="minorHAnsi" w:hAnsi="Arial" w:cs="Arial"/>
          <w:sz w:val="22"/>
          <w:szCs w:val="20"/>
          <w:lang w:eastAsia="en-US"/>
        </w:rPr>
      </w:pPr>
    </w:p>
    <w:p w14:paraId="3CFAC9C6" w14:textId="46FAE404" w:rsidR="00A73483" w:rsidRPr="009E3B79" w:rsidRDefault="0027193D" w:rsidP="008D5B7E">
      <w:pPr>
        <w:spacing w:line="276" w:lineRule="auto"/>
        <w:ind w:firstLine="709"/>
        <w:jc w:val="both"/>
        <w:rPr>
          <w:rFonts w:ascii="Arial" w:hAnsi="Arial" w:cs="Arial"/>
          <w:sz w:val="22"/>
          <w:lang w:val="es-ES"/>
        </w:rPr>
      </w:pPr>
      <w:r w:rsidRPr="009E3B79">
        <w:rPr>
          <w:rFonts w:ascii="Arial" w:eastAsiaTheme="minorHAnsi" w:hAnsi="Arial" w:cs="Arial"/>
          <w:sz w:val="22"/>
          <w:szCs w:val="20"/>
          <w:lang w:eastAsia="en-US"/>
        </w:rPr>
        <w:t xml:space="preserve">En esta medida, </w:t>
      </w:r>
      <w:r w:rsidR="007466E0" w:rsidRPr="009E3B79">
        <w:rPr>
          <w:rFonts w:ascii="Arial" w:hAnsi="Arial" w:cs="Arial"/>
          <w:sz w:val="22"/>
          <w:lang w:val="es-ES"/>
        </w:rPr>
        <w:t>dada la naturaleza legal de los plazos para realizar la liquidación del contrato estatal, el cómputo de los mismos inicia una vez cumplido el plazo de ejecución del negocio jurídico, independientemente del cumplimiento</w:t>
      </w:r>
      <w:r w:rsidR="008D5B7E" w:rsidRPr="009E3B79">
        <w:rPr>
          <w:rFonts w:ascii="Arial" w:hAnsi="Arial" w:cs="Arial"/>
          <w:sz w:val="22"/>
          <w:lang w:val="es-ES"/>
        </w:rPr>
        <w:t xml:space="preserve"> integral</w:t>
      </w:r>
      <w:r w:rsidR="007466E0" w:rsidRPr="009E3B79">
        <w:rPr>
          <w:rFonts w:ascii="Arial" w:hAnsi="Arial" w:cs="Arial"/>
          <w:sz w:val="22"/>
          <w:lang w:val="es-ES"/>
        </w:rPr>
        <w:t xml:space="preserve"> o no de las prestaciones debidas. </w:t>
      </w:r>
      <w:r w:rsidR="00BC0B85" w:rsidRPr="009E3B79">
        <w:rPr>
          <w:rFonts w:ascii="Arial" w:hAnsi="Arial" w:cs="Arial"/>
          <w:sz w:val="22"/>
          <w:lang w:val="es-ES"/>
        </w:rPr>
        <w:t>De hecho</w:t>
      </w:r>
      <w:r w:rsidR="007466E0" w:rsidRPr="009E3B79">
        <w:rPr>
          <w:rFonts w:ascii="Arial" w:hAnsi="Arial" w:cs="Arial"/>
          <w:sz w:val="22"/>
          <w:lang w:val="es-ES"/>
        </w:rPr>
        <w:t xml:space="preserve">, </w:t>
      </w:r>
      <w:r w:rsidR="008D5B7E" w:rsidRPr="009E3B79">
        <w:rPr>
          <w:rFonts w:ascii="Arial" w:hAnsi="Arial" w:cs="Arial"/>
          <w:sz w:val="22"/>
          <w:lang w:val="es-ES"/>
        </w:rPr>
        <w:t>la ejecución</w:t>
      </w:r>
      <w:r w:rsidR="007466E0" w:rsidRPr="009E3B79">
        <w:rPr>
          <w:rFonts w:ascii="Arial" w:hAnsi="Arial" w:cs="Arial"/>
          <w:sz w:val="22"/>
          <w:lang w:val="es-ES"/>
        </w:rPr>
        <w:t xml:space="preserve"> tardí</w:t>
      </w:r>
      <w:r w:rsidR="008D5B7E" w:rsidRPr="009E3B79">
        <w:rPr>
          <w:rFonts w:ascii="Arial" w:hAnsi="Arial" w:cs="Arial"/>
          <w:sz w:val="22"/>
          <w:lang w:val="es-ES"/>
        </w:rPr>
        <w:t>a de algunas</w:t>
      </w:r>
      <w:r w:rsidR="007466E0" w:rsidRPr="009E3B79">
        <w:rPr>
          <w:rFonts w:ascii="Arial" w:hAnsi="Arial" w:cs="Arial"/>
          <w:sz w:val="22"/>
          <w:lang w:val="es-ES"/>
        </w:rPr>
        <w:t xml:space="preserve"> de las obligaciones a cargo del contratista no</w:t>
      </w:r>
      <w:r w:rsidR="00733158" w:rsidRPr="009E3B79">
        <w:rPr>
          <w:rFonts w:ascii="Arial" w:hAnsi="Arial" w:cs="Arial"/>
          <w:sz w:val="22"/>
          <w:lang w:val="es-ES"/>
        </w:rPr>
        <w:t xml:space="preserve"> trae consigo</w:t>
      </w:r>
      <w:r w:rsidR="007466E0" w:rsidRPr="009E3B79">
        <w:rPr>
          <w:rFonts w:ascii="Arial" w:hAnsi="Arial" w:cs="Arial"/>
          <w:sz w:val="22"/>
          <w:lang w:val="es-ES"/>
        </w:rPr>
        <w:t xml:space="preserve"> la ampliación de los plazos establecidos en el ordenamiento jurídico para </w:t>
      </w:r>
      <w:r w:rsidR="007466E0" w:rsidRPr="009E3B79">
        <w:rPr>
          <w:rFonts w:ascii="Arial" w:hAnsi="Arial" w:cs="Arial"/>
          <w:sz w:val="22"/>
          <w:lang w:val="es-ES"/>
        </w:rPr>
        <w:lastRenderedPageBreak/>
        <w:t>realizar la correspondiente liquidación del contrato</w:t>
      </w:r>
      <w:r w:rsidR="00A45F72" w:rsidRPr="009E3B79">
        <w:rPr>
          <w:rStyle w:val="Refdenotaalpie"/>
          <w:rFonts w:ascii="Arial" w:hAnsi="Arial" w:cs="Arial"/>
          <w:sz w:val="22"/>
          <w:lang w:val="es-ES"/>
        </w:rPr>
        <w:footnoteReference w:id="15"/>
      </w:r>
      <w:r w:rsidR="00A45F72" w:rsidRPr="009E3B79">
        <w:rPr>
          <w:rFonts w:ascii="Arial" w:hAnsi="Arial" w:cs="Arial"/>
          <w:sz w:val="22"/>
          <w:lang w:val="es-ES"/>
        </w:rPr>
        <w:t xml:space="preserve">. </w:t>
      </w:r>
      <w:r w:rsidR="00770ED1" w:rsidRPr="009E3B79">
        <w:rPr>
          <w:rFonts w:ascii="Arial" w:hAnsi="Arial" w:cs="Arial"/>
          <w:sz w:val="22"/>
          <w:lang w:val="es-ES"/>
        </w:rPr>
        <w:t xml:space="preserve">Por tanto, terminado el plazo de ejecución, si la entidad </w:t>
      </w:r>
      <w:r w:rsidR="00A535DA" w:rsidRPr="009E3B79">
        <w:rPr>
          <w:rFonts w:ascii="Arial" w:hAnsi="Arial" w:cs="Arial"/>
          <w:sz w:val="22"/>
          <w:lang w:val="es-ES"/>
        </w:rPr>
        <w:t xml:space="preserve">expide el acta de terminación </w:t>
      </w:r>
      <w:r w:rsidR="00770ED1" w:rsidRPr="009E3B79">
        <w:rPr>
          <w:rFonts w:ascii="Arial" w:hAnsi="Arial" w:cs="Arial"/>
          <w:sz w:val="22"/>
          <w:lang w:val="es-ES"/>
        </w:rPr>
        <w:t>con actividades pendientes</w:t>
      </w:r>
      <w:r w:rsidR="00A535DA" w:rsidRPr="009E3B79">
        <w:rPr>
          <w:rFonts w:ascii="Arial" w:hAnsi="Arial" w:cs="Arial"/>
          <w:sz w:val="22"/>
          <w:lang w:val="es-ES"/>
        </w:rPr>
        <w:t xml:space="preserve"> a cargo del </w:t>
      </w:r>
      <w:r w:rsidR="00CB1440" w:rsidRPr="009E3B79">
        <w:rPr>
          <w:rFonts w:ascii="Arial" w:hAnsi="Arial" w:cs="Arial"/>
          <w:sz w:val="22"/>
          <w:lang w:val="es-ES"/>
        </w:rPr>
        <w:t xml:space="preserve">constructor, el contrato se encuentra en estado </w:t>
      </w:r>
      <w:r w:rsidR="00F241D3" w:rsidRPr="009E3B79">
        <w:rPr>
          <w:rFonts w:ascii="Arial" w:hAnsi="Arial" w:cs="Arial"/>
          <w:sz w:val="22"/>
          <w:lang w:val="es-ES"/>
        </w:rPr>
        <w:t xml:space="preserve">de </w:t>
      </w:r>
      <w:r w:rsidR="00CB1440" w:rsidRPr="009E3B79">
        <w:rPr>
          <w:rFonts w:ascii="Arial" w:hAnsi="Arial" w:cs="Arial"/>
          <w:sz w:val="22"/>
          <w:lang w:val="es-ES"/>
        </w:rPr>
        <w:t xml:space="preserve">liquidación conforme </w:t>
      </w:r>
      <w:r w:rsidR="00756DCE" w:rsidRPr="009E3B79">
        <w:rPr>
          <w:rFonts w:ascii="Arial" w:hAnsi="Arial" w:cs="Arial"/>
          <w:sz w:val="22"/>
          <w:lang w:val="es-ES"/>
        </w:rPr>
        <w:t xml:space="preserve">al </w:t>
      </w:r>
      <w:r w:rsidR="00CB1440" w:rsidRPr="009E3B79">
        <w:rPr>
          <w:rFonts w:ascii="Arial" w:eastAsiaTheme="minorHAnsi" w:hAnsi="Arial" w:cs="Arial"/>
          <w:sz w:val="22"/>
          <w:szCs w:val="20"/>
          <w:lang w:eastAsia="en-US"/>
        </w:rPr>
        <w:t xml:space="preserve">artículo 11 de la Ley 1150 de 2007. </w:t>
      </w:r>
      <w:r w:rsidR="008D5B7E" w:rsidRPr="009E3B79">
        <w:rPr>
          <w:rFonts w:ascii="Arial" w:eastAsiaTheme="minorHAnsi" w:hAnsi="Arial" w:cs="Arial"/>
          <w:sz w:val="22"/>
          <w:szCs w:val="20"/>
          <w:lang w:eastAsia="en-US"/>
        </w:rPr>
        <w:t>En consecuencia, d</w:t>
      </w:r>
      <w:r w:rsidR="00CB1440" w:rsidRPr="009E3B79">
        <w:rPr>
          <w:rFonts w:ascii="Arial" w:eastAsiaTheme="minorHAnsi" w:hAnsi="Arial" w:cs="Arial"/>
          <w:sz w:val="22"/>
          <w:szCs w:val="20"/>
          <w:lang w:eastAsia="en-US"/>
        </w:rPr>
        <w:t xml:space="preserve">e acuerdo con </w:t>
      </w:r>
      <w:r w:rsidR="00CB1440" w:rsidRPr="009E3B79">
        <w:rPr>
          <w:rFonts w:ascii="Arial" w:hAnsi="Arial" w:cs="Arial"/>
          <w:sz w:val="22"/>
          <w:szCs w:val="22"/>
        </w:rPr>
        <w:t>el literal E del numeral 3.10.2</w:t>
      </w:r>
      <w:r w:rsidR="003656E4" w:rsidRPr="009E3B79">
        <w:rPr>
          <w:rFonts w:ascii="Arial" w:hAnsi="Arial" w:cs="Arial"/>
          <w:sz w:val="22"/>
          <w:szCs w:val="22"/>
        </w:rPr>
        <w:t xml:space="preserve"> del pliego de condiciones de los </w:t>
      </w:r>
      <w:r w:rsidR="003656E4" w:rsidRPr="009E3B79">
        <w:rPr>
          <w:rFonts w:ascii="Arial" w:hAnsi="Arial" w:cs="Arial"/>
          <w:sz w:val="22"/>
          <w:szCs w:val="22"/>
          <w:lang w:val="es-ES_tradnl"/>
        </w:rPr>
        <w:t>«Documentos Tipo – Versión 3» de licitación de obra pública de infraestructura de transporte, un contrato e</w:t>
      </w:r>
      <w:r w:rsidR="000D7151" w:rsidRPr="009E3B79">
        <w:rPr>
          <w:rFonts w:ascii="Arial" w:hAnsi="Arial" w:cs="Arial"/>
          <w:sz w:val="22"/>
          <w:szCs w:val="22"/>
          <w:lang w:val="es-ES_tradnl"/>
        </w:rPr>
        <w:t>n</w:t>
      </w:r>
      <w:r w:rsidR="003656E4" w:rsidRPr="009E3B79">
        <w:rPr>
          <w:rFonts w:ascii="Arial" w:hAnsi="Arial" w:cs="Arial"/>
          <w:sz w:val="22"/>
          <w:szCs w:val="22"/>
          <w:lang w:val="es-ES_tradnl"/>
        </w:rPr>
        <w:t xml:space="preserve"> estas condiciones no podría afectar </w:t>
      </w:r>
      <w:r w:rsidR="000D7151" w:rsidRPr="009E3B79">
        <w:rPr>
          <w:rFonts w:ascii="Arial" w:hAnsi="Arial" w:cs="Arial"/>
          <w:sz w:val="22"/>
          <w:szCs w:val="22"/>
          <w:lang w:val="es-ES_tradnl"/>
        </w:rPr>
        <w:t>el factor «SCE»</w:t>
      </w:r>
      <w:r w:rsidR="003656E4" w:rsidRPr="009E3B79">
        <w:rPr>
          <w:rFonts w:ascii="Arial" w:hAnsi="Arial" w:cs="Arial"/>
          <w:sz w:val="22"/>
          <w:szCs w:val="22"/>
          <w:lang w:val="es-ES_tradnl"/>
        </w:rPr>
        <w:t xml:space="preserve"> para el cálculo de la capacidad residual, pues </w:t>
      </w:r>
      <w:r w:rsidR="003656E4" w:rsidRPr="009E3B79">
        <w:rPr>
          <w:rFonts w:ascii="Arial" w:eastAsiaTheme="minorHAnsi" w:hAnsi="Arial" w:cs="Arial"/>
          <w:sz w:val="22"/>
          <w:szCs w:val="20"/>
          <w:lang w:val="es-MX" w:eastAsia="en-US"/>
        </w:rPr>
        <w:t xml:space="preserve">«[…] </w:t>
      </w:r>
      <w:r w:rsidR="003656E4" w:rsidRPr="009E3B79">
        <w:rPr>
          <w:rFonts w:ascii="Arial" w:eastAsiaTheme="minorHAnsi" w:hAnsi="Arial" w:cs="Arial"/>
          <w:sz w:val="22"/>
          <w:szCs w:val="20"/>
          <w:lang w:eastAsia="en-US"/>
        </w:rPr>
        <w:t>No se entenderán como contratos en ejecución los que se encuentren en liquidación».</w:t>
      </w:r>
      <w:r w:rsidR="007453BD" w:rsidRPr="009E3B79">
        <w:rPr>
          <w:rFonts w:ascii="Arial" w:eastAsiaTheme="minorHAnsi" w:hAnsi="Arial" w:cs="Arial"/>
          <w:sz w:val="22"/>
          <w:szCs w:val="20"/>
          <w:lang w:eastAsia="en-US"/>
        </w:rPr>
        <w:t xml:space="preserve"> </w:t>
      </w:r>
    </w:p>
    <w:p w14:paraId="4D5164C8" w14:textId="77777777" w:rsidR="003656E4" w:rsidRPr="009E3B79" w:rsidRDefault="003656E4" w:rsidP="003656E4">
      <w:pPr>
        <w:spacing w:line="276" w:lineRule="auto"/>
        <w:ind w:firstLine="709"/>
        <w:jc w:val="both"/>
        <w:rPr>
          <w:rFonts w:ascii="Arial" w:hAnsi="Arial" w:cs="Arial"/>
          <w:sz w:val="22"/>
          <w:lang w:val="es-ES"/>
        </w:rPr>
      </w:pPr>
    </w:p>
    <w:p w14:paraId="37CA9805" w14:textId="0F621D86" w:rsidR="00DD5B04" w:rsidRPr="009E3B79" w:rsidRDefault="004177A6" w:rsidP="00510DE9">
      <w:pPr>
        <w:tabs>
          <w:tab w:val="left" w:pos="0"/>
        </w:tabs>
        <w:jc w:val="both"/>
        <w:rPr>
          <w:rFonts w:ascii="Arial" w:eastAsia="Calibri" w:hAnsi="Arial" w:cs="Arial"/>
          <w:b/>
          <w:color w:val="000000" w:themeColor="text1"/>
          <w:sz w:val="22"/>
          <w:lang w:val="es-ES_tradnl"/>
        </w:rPr>
      </w:pPr>
      <w:r w:rsidRPr="009E3B79">
        <w:rPr>
          <w:rFonts w:ascii="Arial" w:eastAsia="Calibri" w:hAnsi="Arial" w:cs="Arial"/>
          <w:b/>
          <w:color w:val="000000" w:themeColor="text1"/>
          <w:sz w:val="22"/>
          <w:lang w:val="es-ES_tradnl"/>
        </w:rPr>
        <w:t>3</w:t>
      </w:r>
      <w:r w:rsidR="00B011A9" w:rsidRPr="009E3B79">
        <w:rPr>
          <w:rFonts w:ascii="Arial" w:eastAsia="Calibri" w:hAnsi="Arial" w:cs="Arial"/>
          <w:b/>
          <w:color w:val="000000" w:themeColor="text1"/>
          <w:sz w:val="22"/>
          <w:lang w:val="es-ES_tradnl"/>
        </w:rPr>
        <w:t xml:space="preserve">. </w:t>
      </w:r>
      <w:r w:rsidR="00DD5B04" w:rsidRPr="009E3B79">
        <w:rPr>
          <w:rFonts w:ascii="Arial" w:eastAsia="Calibri" w:hAnsi="Arial" w:cs="Arial"/>
          <w:b/>
          <w:color w:val="000000" w:themeColor="text1"/>
          <w:sz w:val="22"/>
          <w:lang w:val="es-ES_tradnl"/>
        </w:rPr>
        <w:t>Respuesta</w:t>
      </w:r>
    </w:p>
    <w:p w14:paraId="49375CFA" w14:textId="77777777" w:rsidR="00D633AC" w:rsidRPr="009E3B79" w:rsidRDefault="00D633AC" w:rsidP="00D633AC">
      <w:pPr>
        <w:spacing w:line="276" w:lineRule="auto"/>
        <w:jc w:val="both"/>
        <w:rPr>
          <w:rFonts w:ascii="Arial" w:hAnsi="Arial" w:cs="Arial"/>
          <w:color w:val="000000" w:themeColor="text1"/>
          <w:sz w:val="22"/>
          <w:lang w:val="es-ES_tradnl"/>
        </w:rPr>
      </w:pPr>
    </w:p>
    <w:p w14:paraId="45278A39" w14:textId="2BE67A0C" w:rsidR="005F20F9" w:rsidRPr="009E3B79" w:rsidRDefault="00F04A2D" w:rsidP="005F20F9">
      <w:pPr>
        <w:ind w:left="709" w:right="333"/>
        <w:jc w:val="both"/>
        <w:rPr>
          <w:rFonts w:ascii="Arial" w:hAnsi="Arial" w:cs="Arial"/>
          <w:sz w:val="21"/>
          <w:szCs w:val="21"/>
          <w:lang w:val="es-ES_tradnl"/>
        </w:rPr>
      </w:pPr>
      <w:r w:rsidRPr="009E3B79">
        <w:rPr>
          <w:rFonts w:ascii="Arial" w:hAnsi="Arial" w:cs="Arial"/>
          <w:sz w:val="21"/>
          <w:szCs w:val="21"/>
          <w:lang w:val="es-ES_tradnl"/>
        </w:rPr>
        <w:t>De acuerdo con el literal E del numeral 3.10.2 del pliego de condiciones de los «Documentos Tipo – Versión 3» de licitación de obra pública de infraestructura de transporte, respecto al saldo de los contratos en ejecución para el cálculo de la capacidad residual, «[¿] los oferentes o las entidades públicas en el momento de la evaluación debe tener en cuenta como contrato en ejecución los contratos con ACTA DE TERMINACION CON ACTIVIDADES PENDIENTES, O se debe tomar como se muestra anteriormente que […] NO SE ENTENDERÁN COMO CONTRATOS EN EJECUCIÓN LOS QUE SE ENCUENTREN EN LIQUIDACIÓN [?]»</w:t>
      </w:r>
      <w:r w:rsidR="005F20F9" w:rsidRPr="009E3B79">
        <w:rPr>
          <w:rFonts w:ascii="Arial" w:hAnsi="Arial" w:cs="Arial"/>
          <w:sz w:val="21"/>
          <w:szCs w:val="21"/>
          <w:lang w:val="es-ES_tradnl"/>
        </w:rPr>
        <w:t>.</w:t>
      </w:r>
    </w:p>
    <w:p w14:paraId="75460257" w14:textId="77777777" w:rsidR="005F20F9" w:rsidRPr="009E3B79" w:rsidRDefault="005F20F9" w:rsidP="009E0A3F">
      <w:pPr>
        <w:spacing w:line="276" w:lineRule="auto"/>
        <w:jc w:val="both"/>
        <w:rPr>
          <w:rFonts w:ascii="Arial" w:eastAsiaTheme="minorHAnsi" w:hAnsi="Arial" w:cs="Arial"/>
          <w:sz w:val="22"/>
          <w:szCs w:val="22"/>
          <w:lang w:eastAsia="en-US"/>
        </w:rPr>
      </w:pPr>
    </w:p>
    <w:p w14:paraId="2B36AC59" w14:textId="3FB204BF" w:rsidR="004D1DF5" w:rsidRPr="009E3B79" w:rsidRDefault="00F04A2D" w:rsidP="0020211D">
      <w:pPr>
        <w:spacing w:after="120" w:line="276" w:lineRule="auto"/>
        <w:jc w:val="both"/>
        <w:rPr>
          <w:rFonts w:ascii="Arial" w:eastAsiaTheme="minorHAnsi" w:hAnsi="Arial" w:cs="Arial"/>
          <w:sz w:val="22"/>
          <w:szCs w:val="20"/>
          <w:lang w:eastAsia="en-US"/>
        </w:rPr>
      </w:pPr>
      <w:r w:rsidRPr="009E3B79">
        <w:rPr>
          <w:rFonts w:ascii="Arial" w:eastAsiaTheme="minorHAnsi" w:hAnsi="Arial" w:cs="Arial"/>
          <w:sz w:val="22"/>
          <w:szCs w:val="20"/>
          <w:lang w:eastAsia="en-US"/>
        </w:rPr>
        <w:t xml:space="preserve">Conforme a la explicación precedente, al finalizar </w:t>
      </w:r>
      <w:r w:rsidR="001E31E1" w:rsidRPr="009E3B79">
        <w:rPr>
          <w:rFonts w:ascii="Arial" w:eastAsiaTheme="minorHAnsi" w:hAnsi="Arial" w:cs="Arial"/>
          <w:sz w:val="22"/>
          <w:szCs w:val="20"/>
          <w:lang w:eastAsia="en-US"/>
        </w:rPr>
        <w:t xml:space="preserve">el </w:t>
      </w:r>
      <w:r w:rsidRPr="009E3B79">
        <w:rPr>
          <w:rFonts w:ascii="Arial" w:eastAsiaTheme="minorHAnsi" w:hAnsi="Arial" w:cs="Arial"/>
          <w:sz w:val="22"/>
          <w:szCs w:val="20"/>
          <w:lang w:eastAsia="en-US"/>
        </w:rPr>
        <w:t xml:space="preserve">término pactado por las partes, puede que el contratista no entregue la totalidad del objeto contractual. En estos casos, normalmente, el contratante recibe la obra con reservas. Para la doctrina, este tipo de recepción «[…] debe limitarse única y exclusivamente a aquellos vicios o defectos de construcción que no tengan cierta trascendencia o importancia (defectos de terminación y acabado), </w:t>
      </w:r>
      <w:proofErr w:type="gramStart"/>
      <w:r w:rsidRPr="009E3B79">
        <w:rPr>
          <w:rFonts w:ascii="Arial" w:eastAsiaTheme="minorHAnsi" w:hAnsi="Arial" w:cs="Arial"/>
          <w:sz w:val="22"/>
          <w:szCs w:val="20"/>
          <w:lang w:eastAsia="en-US"/>
        </w:rPr>
        <w:t>puesto que</w:t>
      </w:r>
      <w:proofErr w:type="gramEnd"/>
      <w:r w:rsidRPr="009E3B79">
        <w:rPr>
          <w:rFonts w:ascii="Arial" w:eastAsiaTheme="minorHAnsi" w:hAnsi="Arial" w:cs="Arial"/>
          <w:sz w:val="22"/>
          <w:szCs w:val="20"/>
          <w:lang w:eastAsia="en-US"/>
        </w:rPr>
        <w:t xml:space="preserve"> si la obra padece de graves defectos constructivos, el promotor podrá rechazar la misma […]». </w:t>
      </w:r>
    </w:p>
    <w:p w14:paraId="55426221" w14:textId="238E4665" w:rsidR="00EC50FA" w:rsidRPr="009E3B79" w:rsidRDefault="00F04A2D" w:rsidP="004D1DF5">
      <w:pPr>
        <w:spacing w:after="120" w:line="276" w:lineRule="auto"/>
        <w:ind w:firstLine="708"/>
        <w:jc w:val="both"/>
        <w:rPr>
          <w:rFonts w:ascii="Arial" w:eastAsiaTheme="minorHAnsi" w:hAnsi="Arial" w:cs="Arial"/>
          <w:sz w:val="22"/>
          <w:szCs w:val="20"/>
          <w:lang w:val="es-ES" w:eastAsia="en-US"/>
        </w:rPr>
      </w:pPr>
      <w:r w:rsidRPr="009E3B79">
        <w:rPr>
          <w:rFonts w:ascii="Arial" w:eastAsiaTheme="minorHAnsi" w:hAnsi="Arial" w:cs="Arial"/>
          <w:sz w:val="22"/>
          <w:szCs w:val="20"/>
          <w:lang w:eastAsia="en-US"/>
        </w:rPr>
        <w:t xml:space="preserve">De esta manera, la declaración de recibo con reservas debe especificar tanto las deficiencias de la obra como el plazo en que tiene el constructor para subsanarlas. Esta hipótesis supone la ejecución de actividades fuera del plazo contractual, lo cual es posible en la medida que </w:t>
      </w:r>
      <w:r w:rsidRPr="009E3B79">
        <w:rPr>
          <w:rFonts w:ascii="Arial" w:eastAsiaTheme="minorHAnsi" w:hAnsi="Arial" w:cs="Arial"/>
          <w:sz w:val="22"/>
          <w:szCs w:val="20"/>
          <w:lang w:val="es-ES" w:eastAsia="en-US"/>
        </w:rPr>
        <w:t>no toda finalización del plazo contractual extingue l</w:t>
      </w:r>
      <w:r w:rsidR="002B00DF" w:rsidRPr="009E3B79">
        <w:rPr>
          <w:rFonts w:ascii="Arial" w:eastAsiaTheme="minorHAnsi" w:hAnsi="Arial" w:cs="Arial"/>
          <w:sz w:val="22"/>
          <w:szCs w:val="20"/>
          <w:lang w:val="es-ES" w:eastAsia="en-US"/>
        </w:rPr>
        <w:t>as obligaciones pactadas</w:t>
      </w:r>
      <w:r w:rsidR="0020211D" w:rsidRPr="009E3B79">
        <w:rPr>
          <w:rFonts w:ascii="Arial" w:eastAsiaTheme="minorHAnsi" w:hAnsi="Arial" w:cs="Arial"/>
          <w:sz w:val="22"/>
          <w:szCs w:val="20"/>
          <w:lang w:val="es-ES" w:eastAsia="en-US"/>
        </w:rPr>
        <w:t>: p</w:t>
      </w:r>
      <w:r w:rsidRPr="009E3B79">
        <w:rPr>
          <w:rFonts w:ascii="Arial" w:eastAsiaTheme="minorHAnsi" w:hAnsi="Arial" w:cs="Arial"/>
          <w:sz w:val="22"/>
          <w:szCs w:val="20"/>
          <w:lang w:val="es-ES" w:eastAsia="en-US"/>
        </w:rPr>
        <w:t xml:space="preserve">or regla general, el contrato permanece vigente mientras siga pendiente el cumplimiento de las </w:t>
      </w:r>
      <w:r w:rsidR="002E49C3" w:rsidRPr="009E3B79">
        <w:rPr>
          <w:rFonts w:ascii="Arial" w:eastAsiaTheme="minorHAnsi" w:hAnsi="Arial" w:cs="Arial"/>
          <w:sz w:val="22"/>
          <w:szCs w:val="20"/>
          <w:lang w:val="es-ES" w:eastAsia="en-US"/>
        </w:rPr>
        <w:t>prestaciones</w:t>
      </w:r>
      <w:r w:rsidRPr="009E3B79">
        <w:rPr>
          <w:rFonts w:ascii="Arial" w:eastAsiaTheme="minorHAnsi" w:hAnsi="Arial" w:cs="Arial"/>
          <w:sz w:val="22"/>
          <w:szCs w:val="20"/>
          <w:lang w:val="es-ES" w:eastAsia="en-US"/>
        </w:rPr>
        <w:t xml:space="preserve"> a cargo de las partes.</w:t>
      </w:r>
    </w:p>
    <w:p w14:paraId="0FA39DE3" w14:textId="3827433D" w:rsidR="008D5B7E" w:rsidRPr="009E3B79" w:rsidRDefault="0020211D" w:rsidP="008D5B7E">
      <w:pPr>
        <w:spacing w:line="276" w:lineRule="auto"/>
        <w:ind w:firstLine="709"/>
        <w:jc w:val="both"/>
        <w:rPr>
          <w:rFonts w:ascii="Arial" w:hAnsi="Arial" w:cs="Arial"/>
          <w:sz w:val="22"/>
          <w:lang w:val="es-ES"/>
        </w:rPr>
      </w:pPr>
      <w:r w:rsidRPr="009E3B79">
        <w:rPr>
          <w:rFonts w:ascii="Arial" w:eastAsiaTheme="minorHAnsi" w:hAnsi="Arial" w:cs="Arial"/>
          <w:sz w:val="22"/>
          <w:szCs w:val="20"/>
          <w:lang w:val="es-ES" w:eastAsia="en-US"/>
        </w:rPr>
        <w:t xml:space="preserve">Ahora bien, a la luz del artículo 11 de la Ley 1150 de 2007, </w:t>
      </w:r>
      <w:r w:rsidR="008D5B7E" w:rsidRPr="009E3B79">
        <w:rPr>
          <w:rFonts w:ascii="Arial" w:hAnsi="Arial" w:cs="Arial"/>
          <w:sz w:val="22"/>
          <w:lang w:val="es-ES"/>
        </w:rPr>
        <w:t xml:space="preserve">dada la naturaleza legal de los plazos para realizar la liquidación del contrato estatal, el cómputo de los mismos </w:t>
      </w:r>
      <w:r w:rsidR="008D5B7E" w:rsidRPr="009E3B79">
        <w:rPr>
          <w:rFonts w:ascii="Arial" w:hAnsi="Arial" w:cs="Arial"/>
          <w:sz w:val="22"/>
          <w:lang w:val="es-ES"/>
        </w:rPr>
        <w:lastRenderedPageBreak/>
        <w:t xml:space="preserve">inicia una vez cumplido el plazo de ejecución del negocio jurídico, independientemente del cumplimiento integral o no de las prestaciones debidas. De hecho, la ejecución tardía de algunas de las obligaciones a cargo del contratista no conlleva a la ampliación de los plazos establecidos en el ordenamiento jurídico para realizar la correspondiente liquidación del contrato. Por tanto, terminado el plazo de ejecución, si la entidad expide el acta de terminación con actividades pendientes a cargo del constructor, el contrato se encuentra en estado de liquidación conforme al </w:t>
      </w:r>
      <w:r w:rsidR="008D5B7E" w:rsidRPr="009E3B79">
        <w:rPr>
          <w:rFonts w:ascii="Arial" w:eastAsiaTheme="minorHAnsi" w:hAnsi="Arial" w:cs="Arial"/>
          <w:sz w:val="22"/>
          <w:szCs w:val="20"/>
          <w:lang w:eastAsia="en-US"/>
        </w:rPr>
        <w:t xml:space="preserve">artículo 11 de la Ley 1150 de 2007. En consecuencia, de acuerdo con </w:t>
      </w:r>
      <w:r w:rsidR="008D5B7E" w:rsidRPr="009E3B79">
        <w:rPr>
          <w:rFonts w:ascii="Arial" w:hAnsi="Arial" w:cs="Arial"/>
          <w:sz w:val="22"/>
          <w:szCs w:val="22"/>
        </w:rPr>
        <w:t xml:space="preserve">el literal E del numeral 3.10.2 del pliego de condiciones de los </w:t>
      </w:r>
      <w:r w:rsidR="008D5B7E" w:rsidRPr="009E3B79">
        <w:rPr>
          <w:rFonts w:ascii="Arial" w:hAnsi="Arial" w:cs="Arial"/>
          <w:sz w:val="22"/>
          <w:szCs w:val="22"/>
          <w:lang w:val="es-ES_tradnl"/>
        </w:rPr>
        <w:t xml:space="preserve">«Documentos Tipo – Versión 3» de licitación de obra pública de infraestructura de transporte, un contrato en estas condiciones no podría afectar el factor «SCE» para el cálculo de la capacidad residual, pues </w:t>
      </w:r>
      <w:r w:rsidR="008D5B7E" w:rsidRPr="009E3B79">
        <w:rPr>
          <w:rFonts w:ascii="Arial" w:eastAsiaTheme="minorHAnsi" w:hAnsi="Arial" w:cs="Arial"/>
          <w:sz w:val="22"/>
          <w:szCs w:val="20"/>
          <w:lang w:val="es-MX" w:eastAsia="en-US"/>
        </w:rPr>
        <w:t xml:space="preserve">«[…] </w:t>
      </w:r>
      <w:r w:rsidR="008D5B7E" w:rsidRPr="009E3B79">
        <w:rPr>
          <w:rFonts w:ascii="Arial" w:eastAsiaTheme="minorHAnsi" w:hAnsi="Arial" w:cs="Arial"/>
          <w:sz w:val="22"/>
          <w:szCs w:val="20"/>
          <w:lang w:eastAsia="en-US"/>
        </w:rPr>
        <w:t xml:space="preserve">No se entenderán como contratos en ejecución los que se encuentren en liquidación». </w:t>
      </w:r>
    </w:p>
    <w:p w14:paraId="7645B734" w14:textId="1BF22682" w:rsidR="0010674C" w:rsidRPr="009E3B79" w:rsidRDefault="0010674C" w:rsidP="009E3B79">
      <w:pPr>
        <w:spacing w:after="120" w:line="276" w:lineRule="auto"/>
        <w:jc w:val="both"/>
        <w:rPr>
          <w:rFonts w:ascii="Arial" w:hAnsi="Arial" w:cs="Arial"/>
          <w:sz w:val="22"/>
        </w:rPr>
      </w:pPr>
    </w:p>
    <w:p w14:paraId="056816F7" w14:textId="1E63A245" w:rsidR="00D40F8B" w:rsidRPr="009E3B79" w:rsidRDefault="00DD5B04" w:rsidP="00863413">
      <w:pPr>
        <w:spacing w:line="276" w:lineRule="auto"/>
        <w:jc w:val="both"/>
        <w:rPr>
          <w:rFonts w:ascii="Arial" w:hAnsi="Arial" w:cs="Arial"/>
          <w:color w:val="000000" w:themeColor="text1"/>
          <w:sz w:val="22"/>
          <w:lang w:val="es-ES_tradnl"/>
        </w:rPr>
      </w:pPr>
      <w:r w:rsidRPr="009E3B79">
        <w:rPr>
          <w:rFonts w:ascii="Arial" w:hAnsi="Arial" w:cs="Arial"/>
          <w:color w:val="000000" w:themeColor="text1"/>
          <w:sz w:val="22"/>
          <w:szCs w:val="22"/>
          <w:lang w:val="es-ES_tradnl"/>
        </w:rPr>
        <w:t>Este concepto tiene el alcance previsto en el artículo 28 del</w:t>
      </w:r>
      <w:r w:rsidRPr="009E3B79">
        <w:rPr>
          <w:rFonts w:ascii="Arial" w:hAnsi="Arial" w:cs="Arial"/>
          <w:color w:val="000000" w:themeColor="text1"/>
          <w:sz w:val="22"/>
          <w:lang w:val="es-ES_tradnl"/>
        </w:rPr>
        <w:t xml:space="preserve"> Código de Procedimiento Administrativo y de</w:t>
      </w:r>
      <w:r w:rsidR="00D40F8B" w:rsidRPr="009E3B79">
        <w:rPr>
          <w:rFonts w:ascii="Arial" w:hAnsi="Arial" w:cs="Arial"/>
          <w:color w:val="000000" w:themeColor="text1"/>
          <w:sz w:val="22"/>
          <w:lang w:val="es-ES_tradnl"/>
        </w:rPr>
        <w:t xml:space="preserve"> lo Contencioso Administrativo.</w:t>
      </w:r>
    </w:p>
    <w:p w14:paraId="6F54E9C9" w14:textId="77777777" w:rsidR="00003233" w:rsidRPr="009E3B79" w:rsidRDefault="00003233" w:rsidP="00AC49F3">
      <w:pPr>
        <w:spacing w:line="276" w:lineRule="auto"/>
        <w:jc w:val="both"/>
        <w:rPr>
          <w:rFonts w:ascii="Arial" w:hAnsi="Arial" w:cs="Arial"/>
          <w:color w:val="000000" w:themeColor="text1"/>
          <w:sz w:val="22"/>
          <w:lang w:val="es-ES_tradnl"/>
        </w:rPr>
      </w:pPr>
    </w:p>
    <w:p w14:paraId="349855C9" w14:textId="4E2C915B" w:rsidR="00D40F8B" w:rsidRPr="009E3B79"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9E3B79">
        <w:rPr>
          <w:rFonts w:ascii="Arial" w:hAnsi="Arial" w:cs="Arial"/>
          <w:color w:val="000000" w:themeColor="text1"/>
          <w:sz w:val="22"/>
          <w:szCs w:val="22"/>
          <w:lang w:val="es-ES_tradnl"/>
        </w:rPr>
        <w:t>Atentamente,</w:t>
      </w:r>
    </w:p>
    <w:p w14:paraId="1ED13883" w14:textId="0D46572F" w:rsidR="00003233" w:rsidRPr="009E3B79" w:rsidRDefault="00E87E1F"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48C78D1F" wp14:editId="0C7B8D44">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248BC6EE" w14:textId="77777777" w:rsidR="00AF577A" w:rsidRPr="009E3B79" w:rsidRDefault="00AF577A" w:rsidP="00D02FB1">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9E3B79" w14:paraId="0C7DC5F7" w14:textId="77777777" w:rsidTr="00763E6C">
        <w:trPr>
          <w:trHeight w:val="136"/>
        </w:trPr>
        <w:tc>
          <w:tcPr>
            <w:tcW w:w="812" w:type="dxa"/>
            <w:vAlign w:val="center"/>
            <w:hideMark/>
          </w:tcPr>
          <w:p w14:paraId="5BDB1AC9" w14:textId="77777777" w:rsidR="00DD5B04" w:rsidRPr="009E3B79" w:rsidRDefault="00DD5B04" w:rsidP="00DF76A2">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33CAFB74" w14:textId="77777777" w:rsidR="00580DD8" w:rsidRPr="009E3B79" w:rsidRDefault="00580DD8" w:rsidP="00580DD8">
            <w:pPr>
              <w:rPr>
                <w:rFonts w:ascii="Arial" w:hAnsi="Arial" w:cs="Arial"/>
                <w:sz w:val="16"/>
                <w:szCs w:val="16"/>
                <w:lang w:val="es-MX" w:eastAsia="es-ES"/>
              </w:rPr>
            </w:pPr>
            <w:r w:rsidRPr="009E3B79">
              <w:rPr>
                <w:rFonts w:ascii="Arial" w:hAnsi="Arial" w:cs="Arial"/>
                <w:sz w:val="16"/>
                <w:szCs w:val="16"/>
                <w:lang w:val="es-MX" w:eastAsia="es-ES"/>
              </w:rPr>
              <w:t>Juan David Montoya Penagos</w:t>
            </w:r>
          </w:p>
          <w:p w14:paraId="240C71FD" w14:textId="0D1D6C42" w:rsidR="00DD5B04" w:rsidRPr="009E3B79" w:rsidRDefault="00580DD8" w:rsidP="00580DD8">
            <w:pPr>
              <w:jc w:val="both"/>
              <w:rPr>
                <w:rFonts w:ascii="Arial" w:hAnsi="Arial" w:cs="Arial"/>
                <w:color w:val="000000" w:themeColor="text1"/>
                <w:sz w:val="16"/>
                <w:szCs w:val="16"/>
                <w:lang w:val="es-ES_tradnl" w:eastAsia="es-ES"/>
              </w:rPr>
            </w:pPr>
            <w:r w:rsidRPr="009E3B79">
              <w:rPr>
                <w:rFonts w:ascii="Arial" w:hAnsi="Arial" w:cs="Arial"/>
                <w:color w:val="000000"/>
                <w:sz w:val="16"/>
                <w:szCs w:val="16"/>
                <w:shd w:val="clear" w:color="auto" w:fill="FFFFFF"/>
              </w:rPr>
              <w:t>Gestor T1-15 de la </w:t>
            </w:r>
            <w:r w:rsidRPr="009E3B79">
              <w:rPr>
                <w:rFonts w:ascii="Arial" w:hAnsi="Arial" w:cs="Arial"/>
                <w:color w:val="000000" w:themeColor="text1"/>
                <w:sz w:val="16"/>
                <w:szCs w:val="16"/>
                <w:lang w:val="es-ES" w:eastAsia="es-ES"/>
              </w:rPr>
              <w:t>Subdirección de Gestión Contractual</w:t>
            </w:r>
          </w:p>
        </w:tc>
      </w:tr>
      <w:tr w:rsidR="00DD5B04" w:rsidRPr="009E3B79" w14:paraId="2F8FD650" w14:textId="77777777" w:rsidTr="00763E6C">
        <w:trPr>
          <w:trHeight w:val="281"/>
        </w:trPr>
        <w:tc>
          <w:tcPr>
            <w:tcW w:w="812" w:type="dxa"/>
            <w:vAlign w:val="center"/>
            <w:hideMark/>
          </w:tcPr>
          <w:p w14:paraId="50203A0B" w14:textId="77777777" w:rsidR="00DD5B04" w:rsidRPr="009E3B79" w:rsidRDefault="00DD5B04" w:rsidP="00DF76A2">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023B6780" w14:textId="77777777" w:rsidR="00580DD8" w:rsidRPr="009E3B79" w:rsidRDefault="00580DD8" w:rsidP="00580DD8">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Jorge Augusto Tirado Navarro</w:t>
            </w:r>
          </w:p>
          <w:p w14:paraId="130B3228" w14:textId="3BFE518C" w:rsidR="00DD5B04" w:rsidRPr="009E3B79" w:rsidRDefault="00580DD8" w:rsidP="00580DD8">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 xml:space="preserve">Subdirector de Gestión Contractual </w:t>
            </w:r>
            <w:r w:rsidRPr="009E3B79">
              <w:rPr>
                <w:rFonts w:ascii="Arial" w:hAnsi="Arial" w:cs="Arial"/>
                <w:color w:val="000000" w:themeColor="text1"/>
                <w:sz w:val="16"/>
                <w:szCs w:val="16"/>
                <w:lang w:eastAsia="es-ES"/>
              </w:rPr>
              <w:t>ANCP – CCE</w:t>
            </w:r>
          </w:p>
        </w:tc>
      </w:tr>
      <w:tr w:rsidR="00DD5B04" w:rsidRPr="00D40F8B" w14:paraId="0FCBCA4A" w14:textId="77777777" w:rsidTr="00763E6C">
        <w:trPr>
          <w:trHeight w:val="256"/>
        </w:trPr>
        <w:tc>
          <w:tcPr>
            <w:tcW w:w="812" w:type="dxa"/>
            <w:vAlign w:val="center"/>
            <w:hideMark/>
          </w:tcPr>
          <w:p w14:paraId="3C1D943A" w14:textId="77777777" w:rsidR="00DD5B04" w:rsidRPr="009E3B79" w:rsidRDefault="00DD5B04" w:rsidP="00DF76A2">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9E3B79" w:rsidRDefault="00C05A61" w:rsidP="00DF76A2">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 xml:space="preserve">Jorge </w:t>
            </w:r>
            <w:r w:rsidR="00647A36" w:rsidRPr="009E3B79">
              <w:rPr>
                <w:rFonts w:ascii="Arial" w:hAnsi="Arial" w:cs="Arial"/>
                <w:color w:val="000000" w:themeColor="text1"/>
                <w:sz w:val="16"/>
                <w:szCs w:val="16"/>
                <w:lang w:val="es-ES_tradnl" w:eastAsia="es-ES"/>
              </w:rPr>
              <w:t xml:space="preserve">Augusto </w:t>
            </w:r>
            <w:r w:rsidRPr="009E3B79">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9E3B79">
              <w:rPr>
                <w:rFonts w:ascii="Arial" w:hAnsi="Arial" w:cs="Arial"/>
                <w:color w:val="000000" w:themeColor="text1"/>
                <w:sz w:val="16"/>
                <w:szCs w:val="16"/>
                <w:lang w:val="es-ES_tradnl" w:eastAsia="es-ES"/>
              </w:rPr>
              <w:t>Subdirector de Gestión Contractual</w:t>
            </w:r>
            <w:r w:rsidR="00973AA2" w:rsidRPr="009E3B79">
              <w:rPr>
                <w:rFonts w:ascii="Arial" w:hAnsi="Arial" w:cs="Arial"/>
                <w:color w:val="000000" w:themeColor="text1"/>
                <w:sz w:val="16"/>
                <w:szCs w:val="16"/>
                <w:lang w:val="es-ES_tradnl" w:eastAsia="es-ES"/>
              </w:rPr>
              <w:t xml:space="preserve"> </w:t>
            </w:r>
            <w:r w:rsidR="00973AA2" w:rsidRPr="009E3B79">
              <w:rPr>
                <w:rFonts w:ascii="Arial" w:hAnsi="Arial" w:cs="Arial"/>
                <w:color w:val="000000" w:themeColor="text1"/>
                <w:sz w:val="16"/>
                <w:szCs w:val="16"/>
                <w:lang w:eastAsia="es-ES"/>
              </w:rPr>
              <w:t>ANCP – CCE</w:t>
            </w:r>
          </w:p>
        </w:tc>
      </w:tr>
      <w:bookmarkEnd w:id="3"/>
    </w:tbl>
    <w:p w14:paraId="407E8F17" w14:textId="77777777" w:rsidR="00DD118B" w:rsidRPr="00763E6C" w:rsidRDefault="00DD118B" w:rsidP="00215B8E">
      <w:pPr>
        <w:jc w:val="both"/>
        <w:rPr>
          <w:rFonts w:ascii="Arial" w:hAnsi="Arial" w:cs="Arial"/>
        </w:rPr>
      </w:pPr>
    </w:p>
    <w:sectPr w:rsidR="00DD118B" w:rsidRPr="00763E6C"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2E6D0" w14:textId="77777777" w:rsidR="00150337" w:rsidRDefault="00150337">
      <w:r>
        <w:separator/>
      </w:r>
    </w:p>
  </w:endnote>
  <w:endnote w:type="continuationSeparator" w:id="0">
    <w:p w14:paraId="207DE751" w14:textId="77777777" w:rsidR="00150337" w:rsidRDefault="00150337">
      <w:r>
        <w:continuationSeparator/>
      </w:r>
    </w:p>
  </w:endnote>
  <w:endnote w:type="continuationNotice" w:id="1">
    <w:p w14:paraId="745875D3" w14:textId="77777777" w:rsidR="00150337" w:rsidRDefault="00150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2A1B7" w14:textId="77777777" w:rsidR="00150337" w:rsidRDefault="00150337">
      <w:r>
        <w:separator/>
      </w:r>
    </w:p>
  </w:footnote>
  <w:footnote w:type="continuationSeparator" w:id="0">
    <w:p w14:paraId="61440756" w14:textId="77777777" w:rsidR="00150337" w:rsidRDefault="00150337">
      <w:r>
        <w:continuationSeparator/>
      </w:r>
    </w:p>
  </w:footnote>
  <w:footnote w:type="continuationNotice" w:id="1">
    <w:p w14:paraId="194DB9CD" w14:textId="77777777" w:rsidR="00150337" w:rsidRDefault="00150337"/>
  </w:footnote>
  <w:footnote w:id="2">
    <w:p w14:paraId="48DD0B64" w14:textId="58058F30" w:rsidR="00580DD8" w:rsidRPr="000E4595" w:rsidRDefault="00580DD8" w:rsidP="00CA1286">
      <w:pPr>
        <w:pStyle w:val="Textonotapie"/>
        <w:ind w:firstLine="709"/>
        <w:jc w:val="both"/>
        <w:rPr>
          <w:rFonts w:ascii="Arial" w:eastAsia="Times New Roman" w:hAnsi="Arial" w:cs="Arial"/>
          <w:color w:val="000000"/>
          <w:sz w:val="12"/>
          <w:szCs w:val="12"/>
          <w:bdr w:val="none" w:sz="0" w:space="0" w:color="auto" w:frame="1"/>
          <w:lang w:eastAsia="es-CO"/>
        </w:rPr>
      </w:pPr>
      <w:r w:rsidRPr="000E4595">
        <w:rPr>
          <w:rStyle w:val="Refdenotaalpie"/>
          <w:rFonts w:ascii="Arial" w:hAnsi="Arial" w:cs="Arial"/>
          <w:sz w:val="12"/>
          <w:szCs w:val="12"/>
        </w:rPr>
        <w:footnoteRef/>
      </w:r>
      <w:r w:rsidRPr="000E4595">
        <w:rPr>
          <w:rFonts w:ascii="Arial" w:hAnsi="Arial" w:cs="Arial"/>
          <w:sz w:val="12"/>
          <w:szCs w:val="12"/>
        </w:rPr>
        <w:t xml:space="preserve"> </w:t>
      </w:r>
      <w:r w:rsidRPr="000E4595">
        <w:rPr>
          <w:rFonts w:ascii="Arial" w:eastAsia="Times New Roman" w:hAnsi="Arial" w:cs="Arial"/>
          <w:color w:val="000000"/>
          <w:sz w:val="12"/>
          <w:szCs w:val="12"/>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3">
    <w:p w14:paraId="3297D92C" w14:textId="685319FF" w:rsidR="00580DD8" w:rsidRPr="000E4595" w:rsidRDefault="00580DD8" w:rsidP="00CA1286">
      <w:pPr>
        <w:pStyle w:val="Textonotapie"/>
        <w:ind w:firstLine="709"/>
        <w:jc w:val="both"/>
        <w:rPr>
          <w:rFonts w:ascii="Arial" w:eastAsia="Times New Roman" w:hAnsi="Arial" w:cs="Arial"/>
          <w:color w:val="000000"/>
          <w:sz w:val="12"/>
          <w:szCs w:val="12"/>
          <w:bdr w:val="none" w:sz="0" w:space="0" w:color="auto" w:frame="1"/>
          <w:lang w:eastAsia="es-CO"/>
        </w:rPr>
      </w:pPr>
      <w:r w:rsidRPr="000E4595">
        <w:rPr>
          <w:rStyle w:val="Refdenotaalpie"/>
          <w:rFonts w:ascii="Arial" w:hAnsi="Arial" w:cs="Arial"/>
          <w:sz w:val="12"/>
          <w:szCs w:val="12"/>
        </w:rPr>
        <w:footnoteRef/>
      </w:r>
      <w:r w:rsidRPr="000E4595">
        <w:rPr>
          <w:rFonts w:ascii="Arial" w:hAnsi="Arial" w:cs="Arial"/>
          <w:sz w:val="12"/>
          <w:szCs w:val="12"/>
        </w:rPr>
        <w:t xml:space="preserve"> </w:t>
      </w:r>
      <w:r w:rsidRPr="000E4595">
        <w:rPr>
          <w:rFonts w:ascii="Arial" w:eastAsia="Times New Roman" w:hAnsi="Arial" w:cs="Arial"/>
          <w:color w:val="000000"/>
          <w:sz w:val="12"/>
          <w:szCs w:val="12"/>
          <w:bdr w:val="none" w:sz="0" w:space="0" w:color="auto" w:frame="1"/>
          <w:lang w:eastAsia="es-CO"/>
        </w:rPr>
        <w:t>Diario Oficial. Gaceta del Congreso 458 de 2005.  </w:t>
      </w:r>
    </w:p>
  </w:footnote>
  <w:footnote w:id="4">
    <w:p w14:paraId="0E00EEE2" w14:textId="57194B9D" w:rsidR="00580DD8" w:rsidRPr="000E4595" w:rsidRDefault="00580DD8" w:rsidP="00CA1286">
      <w:pPr>
        <w:pStyle w:val="Textonotapie"/>
        <w:ind w:firstLine="709"/>
        <w:jc w:val="both"/>
        <w:rPr>
          <w:rFonts w:ascii="Arial" w:hAnsi="Arial" w:cs="Arial"/>
          <w:sz w:val="12"/>
          <w:szCs w:val="12"/>
        </w:rPr>
      </w:pPr>
      <w:r w:rsidRPr="000E4595">
        <w:rPr>
          <w:rStyle w:val="Refdenotaalpie"/>
          <w:rFonts w:ascii="Arial" w:hAnsi="Arial" w:cs="Arial"/>
          <w:sz w:val="12"/>
          <w:szCs w:val="12"/>
        </w:rPr>
        <w:footnoteRef/>
      </w:r>
      <w:r w:rsidRPr="000E4595">
        <w:rPr>
          <w:rFonts w:ascii="Arial" w:hAnsi="Arial" w:cs="Arial"/>
          <w:sz w:val="12"/>
          <w:szCs w:val="12"/>
        </w:rPr>
        <w:t xml:space="preserve"> Ibídem.  </w:t>
      </w:r>
    </w:p>
  </w:footnote>
  <w:footnote w:id="5">
    <w:p w14:paraId="23835BC5" w14:textId="7A7FD5AC" w:rsidR="00580DD8" w:rsidRPr="00E42E4D" w:rsidRDefault="00580DD8" w:rsidP="00E42E4D">
      <w:pPr>
        <w:shd w:val="clear" w:color="auto" w:fill="FFFFFF"/>
        <w:ind w:firstLine="709"/>
        <w:jc w:val="both"/>
        <w:textAlignment w:val="baseline"/>
        <w:rPr>
          <w:rFonts w:ascii="Arial" w:hAnsi="Arial" w:cs="Arial"/>
          <w:color w:val="000000"/>
          <w:sz w:val="12"/>
          <w:szCs w:val="12"/>
          <w:bdr w:val="none" w:sz="0" w:space="0" w:color="auto" w:frame="1"/>
          <w:lang w:eastAsia="es-CO"/>
        </w:rPr>
      </w:pPr>
      <w:r w:rsidRPr="000E4595">
        <w:rPr>
          <w:rStyle w:val="Refdenotaalpie"/>
          <w:rFonts w:ascii="Arial" w:hAnsi="Arial" w:cs="Arial"/>
          <w:sz w:val="12"/>
          <w:szCs w:val="12"/>
        </w:rPr>
        <w:footnoteRef/>
      </w:r>
      <w:r w:rsidRPr="000E4595">
        <w:rPr>
          <w:rFonts w:ascii="Arial" w:hAnsi="Arial" w:cs="Arial"/>
          <w:sz w:val="12"/>
          <w:szCs w:val="12"/>
        </w:rPr>
        <w:t xml:space="preserve"> </w:t>
      </w:r>
      <w:r w:rsidRPr="000E4595">
        <w:rPr>
          <w:rFonts w:ascii="Arial" w:hAnsi="Arial" w:cs="Arial"/>
          <w:color w:val="000000"/>
          <w:sz w:val="12"/>
          <w:szCs w:val="12"/>
          <w:bdr w:val="none" w:sz="0" w:space="0" w:color="auto" w:frame="1"/>
          <w:lang w:eastAsia="es-CO"/>
        </w:rPr>
        <w:t>Diario Oficial. Gaceta del Congreso 416 de 2007, Informe de Conciliación Senado. </w:t>
      </w:r>
    </w:p>
  </w:footnote>
  <w:footnote w:id="6">
    <w:p w14:paraId="016456BB" w14:textId="77777777" w:rsidR="00580DD8" w:rsidRPr="000E4595" w:rsidRDefault="00580DD8" w:rsidP="00580DD8">
      <w:pPr>
        <w:shd w:val="clear" w:color="auto" w:fill="FFFFFF"/>
        <w:ind w:firstLine="709"/>
        <w:jc w:val="both"/>
        <w:textAlignment w:val="baseline"/>
        <w:rPr>
          <w:rFonts w:ascii="Arial" w:hAnsi="Arial" w:cs="Arial"/>
          <w:color w:val="000000"/>
          <w:sz w:val="12"/>
          <w:szCs w:val="12"/>
          <w:lang w:eastAsia="es-CO"/>
        </w:rPr>
      </w:pPr>
      <w:r w:rsidRPr="000E4595">
        <w:rPr>
          <w:rStyle w:val="Refdenotaalpie"/>
          <w:rFonts w:ascii="Arial" w:hAnsi="Arial" w:cs="Arial"/>
          <w:sz w:val="12"/>
          <w:szCs w:val="12"/>
        </w:rPr>
        <w:footnoteRef/>
      </w:r>
      <w:r w:rsidRPr="000E4595">
        <w:rPr>
          <w:rFonts w:ascii="Arial" w:hAnsi="Arial" w:cs="Arial"/>
          <w:sz w:val="12"/>
          <w:szCs w:val="12"/>
        </w:rPr>
        <w:t xml:space="preserve"> </w:t>
      </w:r>
      <w:r w:rsidRPr="000E4595">
        <w:rPr>
          <w:rFonts w:ascii="Arial" w:hAnsi="Arial" w:cs="Arial"/>
          <w:color w:val="000000"/>
          <w:sz w:val="12"/>
          <w:szCs w:val="12"/>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1600653" w14:textId="77777777" w:rsidR="00580DD8" w:rsidRPr="000E4595" w:rsidRDefault="00580DD8" w:rsidP="00580DD8">
      <w:pPr>
        <w:shd w:val="clear" w:color="auto" w:fill="FFFFFF"/>
        <w:ind w:firstLine="709"/>
        <w:jc w:val="both"/>
        <w:textAlignment w:val="baseline"/>
        <w:rPr>
          <w:rFonts w:ascii="Arial" w:hAnsi="Arial" w:cs="Arial"/>
          <w:color w:val="000000"/>
          <w:sz w:val="12"/>
          <w:szCs w:val="12"/>
          <w:lang w:eastAsia="es-CO"/>
        </w:rPr>
      </w:pPr>
      <w:r w:rsidRPr="000E4595">
        <w:rPr>
          <w:rFonts w:ascii="Arial" w:hAnsi="Arial" w:cs="Arial"/>
          <w:color w:val="000000"/>
          <w:sz w:val="12"/>
          <w:szCs w:val="12"/>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5BDF4F15" w14:textId="77777777" w:rsidR="00580DD8" w:rsidRPr="000E4595" w:rsidRDefault="00580DD8" w:rsidP="00580DD8">
      <w:pPr>
        <w:shd w:val="clear" w:color="auto" w:fill="FFFFFF"/>
        <w:ind w:firstLine="709"/>
        <w:jc w:val="both"/>
        <w:textAlignment w:val="baseline"/>
        <w:rPr>
          <w:rFonts w:ascii="Arial" w:hAnsi="Arial" w:cs="Arial"/>
          <w:color w:val="000000"/>
          <w:sz w:val="12"/>
          <w:szCs w:val="12"/>
          <w:lang w:eastAsia="es-CO"/>
        </w:rPr>
      </w:pPr>
      <w:r w:rsidRPr="000E4595">
        <w:rPr>
          <w:rFonts w:ascii="Arial" w:hAnsi="Arial" w:cs="Arial"/>
          <w:color w:val="000000"/>
          <w:sz w:val="12"/>
          <w:szCs w:val="12"/>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20E9AF0F" w14:textId="77777777" w:rsidR="00580DD8" w:rsidRPr="000E4595" w:rsidRDefault="00580DD8" w:rsidP="00580DD8">
      <w:pPr>
        <w:shd w:val="clear" w:color="auto" w:fill="FFFFFF"/>
        <w:ind w:firstLine="709"/>
        <w:jc w:val="both"/>
        <w:textAlignment w:val="baseline"/>
        <w:rPr>
          <w:rFonts w:ascii="Arial" w:hAnsi="Arial" w:cs="Arial"/>
          <w:color w:val="000000"/>
          <w:sz w:val="12"/>
          <w:szCs w:val="12"/>
          <w:lang w:eastAsia="es-CO"/>
        </w:rPr>
      </w:pPr>
      <w:r w:rsidRPr="000E4595">
        <w:rPr>
          <w:rFonts w:ascii="Arial" w:hAnsi="Arial" w:cs="Arial"/>
          <w:color w:val="000000"/>
          <w:sz w:val="12"/>
          <w:szCs w:val="12"/>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18A76AB5" w14:textId="153513FC" w:rsidR="00580DD8" w:rsidRPr="00E42E4D" w:rsidRDefault="00580DD8" w:rsidP="00E42E4D">
      <w:pPr>
        <w:shd w:val="clear" w:color="auto" w:fill="FFFFFF"/>
        <w:ind w:firstLine="708"/>
        <w:jc w:val="both"/>
        <w:textAlignment w:val="baseline"/>
        <w:rPr>
          <w:rFonts w:ascii="Arial" w:hAnsi="Arial" w:cs="Arial"/>
          <w:color w:val="000000"/>
          <w:sz w:val="12"/>
          <w:szCs w:val="12"/>
          <w:lang w:eastAsia="es-CO"/>
        </w:rPr>
      </w:pPr>
      <w:r w:rsidRPr="000E4595">
        <w:rPr>
          <w:rFonts w:ascii="Arial" w:hAnsi="Arial" w:cs="Arial"/>
          <w:color w:val="000000"/>
          <w:sz w:val="12"/>
          <w:szCs w:val="12"/>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footnote>
  <w:footnote w:id="7">
    <w:p w14:paraId="409A4A8D" w14:textId="77777777" w:rsidR="00656B73" w:rsidRPr="000E4595" w:rsidRDefault="00656B73" w:rsidP="00BF28DB">
      <w:pPr>
        <w:pStyle w:val="Textonotapie"/>
        <w:ind w:firstLine="708"/>
        <w:jc w:val="both"/>
        <w:rPr>
          <w:rFonts w:ascii="Arial" w:eastAsia="Calibri" w:hAnsi="Arial" w:cs="Arial"/>
          <w:color w:val="000000" w:themeColor="text1"/>
          <w:sz w:val="12"/>
          <w:szCs w:val="12"/>
        </w:rPr>
      </w:pPr>
      <w:r w:rsidRPr="000E4595">
        <w:rPr>
          <w:rStyle w:val="Refdenotaalpie"/>
          <w:rFonts w:ascii="Arial" w:hAnsi="Arial" w:cs="Arial"/>
          <w:color w:val="000000" w:themeColor="text1"/>
          <w:sz w:val="12"/>
          <w:szCs w:val="12"/>
        </w:rPr>
        <w:footnoteRef/>
      </w:r>
      <w:r w:rsidRPr="000E4595">
        <w:rPr>
          <w:rFonts w:ascii="Arial" w:hAnsi="Arial" w:cs="Arial"/>
          <w:color w:val="000000" w:themeColor="text1"/>
          <w:sz w:val="12"/>
          <w:szCs w:val="12"/>
        </w:rPr>
        <w:t xml:space="preserve"> </w:t>
      </w:r>
      <w:r w:rsidRPr="000E4595">
        <w:rPr>
          <w:rFonts w:ascii="Arial" w:eastAsia="Calibri" w:hAnsi="Arial" w:cs="Arial"/>
          <w:color w:val="000000" w:themeColor="text1"/>
          <w:sz w:val="12"/>
          <w:szCs w:val="12"/>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0E4595" w:rsidRDefault="00656B73" w:rsidP="00BF28DB">
      <w:pPr>
        <w:pStyle w:val="Textonotapie"/>
        <w:ind w:firstLine="708"/>
        <w:jc w:val="both"/>
        <w:rPr>
          <w:rFonts w:ascii="Arial" w:eastAsia="Calibri" w:hAnsi="Arial" w:cs="Arial"/>
          <w:color w:val="000000" w:themeColor="text1"/>
          <w:sz w:val="12"/>
          <w:szCs w:val="12"/>
        </w:rPr>
      </w:pPr>
      <w:r w:rsidRPr="000E4595">
        <w:rPr>
          <w:rFonts w:ascii="Arial" w:eastAsia="Calibri" w:hAnsi="Arial" w:cs="Arial"/>
          <w:color w:val="000000" w:themeColor="text1"/>
          <w:sz w:val="12"/>
          <w:szCs w:val="12"/>
        </w:rPr>
        <w:t>[…]</w:t>
      </w:r>
    </w:p>
    <w:p w14:paraId="13164949" w14:textId="12DFC302" w:rsidR="00F557B2" w:rsidRPr="000E4595" w:rsidRDefault="00656B73" w:rsidP="00114557">
      <w:pPr>
        <w:pStyle w:val="Textonotapie"/>
        <w:ind w:firstLine="708"/>
        <w:jc w:val="both"/>
        <w:rPr>
          <w:rFonts w:ascii="Arial" w:hAnsi="Arial" w:cs="Arial"/>
          <w:color w:val="000000" w:themeColor="text1"/>
          <w:sz w:val="12"/>
          <w:szCs w:val="12"/>
          <w:lang w:val="es-CO"/>
        </w:rPr>
      </w:pPr>
      <w:r w:rsidRPr="000E4595">
        <w:rPr>
          <w:rFonts w:ascii="Arial" w:eastAsia="Calibri" w:hAnsi="Arial" w:cs="Arial"/>
          <w:color w:val="000000" w:themeColor="text1"/>
          <w:sz w:val="12"/>
          <w:szCs w:val="12"/>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0E4595">
        <w:rPr>
          <w:rFonts w:ascii="Arial" w:hAnsi="Arial" w:cs="Arial"/>
          <w:color w:val="000000" w:themeColor="text1"/>
          <w:sz w:val="12"/>
          <w:szCs w:val="12"/>
          <w:lang w:val="es-CO"/>
        </w:rPr>
        <w:t xml:space="preserve"> </w:t>
      </w:r>
    </w:p>
  </w:footnote>
  <w:footnote w:id="8">
    <w:p w14:paraId="0D0A6B67" w14:textId="3D6E6A67" w:rsidR="00656B73" w:rsidRPr="000E4595" w:rsidRDefault="00656B73" w:rsidP="00BF28DB">
      <w:pPr>
        <w:pStyle w:val="Textonotapie"/>
        <w:ind w:firstLine="708"/>
        <w:jc w:val="both"/>
        <w:rPr>
          <w:rFonts w:ascii="Arial" w:hAnsi="Arial" w:cs="Arial"/>
          <w:color w:val="000000" w:themeColor="text1"/>
          <w:sz w:val="12"/>
          <w:szCs w:val="12"/>
          <w:lang w:val="es-CO"/>
        </w:rPr>
      </w:pPr>
      <w:r w:rsidRPr="000E4595">
        <w:rPr>
          <w:rFonts w:ascii="Arial" w:eastAsia="Calibri" w:hAnsi="Arial" w:cs="Arial"/>
          <w:color w:val="000000" w:themeColor="text1"/>
          <w:sz w:val="12"/>
          <w:szCs w:val="12"/>
          <w:vertAlign w:val="superscript"/>
        </w:rPr>
        <w:footnoteRef/>
      </w:r>
      <w:r w:rsidRPr="000E4595">
        <w:rPr>
          <w:rFonts w:ascii="Arial" w:eastAsia="Calibri" w:hAnsi="Arial" w:cs="Arial"/>
          <w:color w:val="000000" w:themeColor="text1"/>
          <w:sz w:val="12"/>
          <w:szCs w:val="12"/>
          <w:vertAlign w:val="superscript"/>
        </w:rPr>
        <w:t xml:space="preserve"> </w:t>
      </w:r>
      <w:r w:rsidR="005B262F" w:rsidRPr="000E4595">
        <w:rPr>
          <w:rFonts w:ascii="Arial" w:eastAsia="Calibri" w:hAnsi="Arial" w:cs="Arial"/>
          <w:color w:val="000000" w:themeColor="text1"/>
          <w:sz w:val="12"/>
          <w:szCs w:val="12"/>
        </w:rPr>
        <w:t>Consejo de Estado</w:t>
      </w:r>
      <w:r w:rsidRPr="000E4595">
        <w:rPr>
          <w:rFonts w:ascii="Arial" w:eastAsia="Calibri" w:hAnsi="Arial" w:cs="Arial"/>
          <w:color w:val="000000" w:themeColor="text1"/>
          <w:sz w:val="12"/>
          <w:szCs w:val="12"/>
        </w:rPr>
        <w:t xml:space="preserve">. Sección Tercera. Sentencia del 26 de junio de 2003. Rad. 13.354. C.P: María Elena Giraldo Gómez. </w:t>
      </w:r>
    </w:p>
  </w:footnote>
  <w:footnote w:id="9">
    <w:p w14:paraId="536A80B7" w14:textId="77777777" w:rsidR="003C2455" w:rsidRPr="000E4595" w:rsidRDefault="003C2455" w:rsidP="003C2455">
      <w:pPr>
        <w:pStyle w:val="NormalWeb"/>
        <w:shd w:val="clear" w:color="auto" w:fill="FFFFFF"/>
        <w:spacing w:before="0" w:beforeAutospacing="0" w:after="0" w:afterAutospacing="0"/>
        <w:ind w:firstLine="708"/>
        <w:jc w:val="both"/>
        <w:rPr>
          <w:rFonts w:ascii="Arial" w:eastAsiaTheme="minorHAnsi" w:hAnsi="Arial" w:cs="Arial"/>
          <w:sz w:val="12"/>
          <w:szCs w:val="12"/>
          <w:lang w:eastAsia="en-US"/>
        </w:rPr>
      </w:pPr>
      <w:r w:rsidRPr="000E4595">
        <w:rPr>
          <w:rStyle w:val="Refdenotaalpie"/>
          <w:rFonts w:ascii="Arial" w:eastAsiaTheme="minorHAnsi" w:hAnsi="Arial" w:cs="Arial"/>
          <w:sz w:val="12"/>
          <w:szCs w:val="12"/>
          <w:lang w:val="es-MX" w:eastAsia="en-US"/>
        </w:rPr>
        <w:footnoteRef/>
      </w:r>
      <w:r w:rsidRPr="000E4595">
        <w:rPr>
          <w:rStyle w:val="Refdenotaalpie"/>
          <w:rFonts w:ascii="Arial" w:eastAsiaTheme="minorHAnsi" w:hAnsi="Arial" w:cs="Arial"/>
          <w:sz w:val="12"/>
          <w:szCs w:val="12"/>
          <w:lang w:val="es-MX" w:eastAsia="en-US"/>
        </w:rPr>
        <w:t xml:space="preserve"> </w:t>
      </w:r>
      <w:r w:rsidRPr="000E4595">
        <w:rPr>
          <w:rFonts w:ascii="Arial" w:hAnsi="Arial" w:cs="Arial"/>
          <w:sz w:val="12"/>
          <w:szCs w:val="12"/>
        </w:rPr>
        <w:t>«</w:t>
      </w:r>
      <w:r w:rsidRPr="000E4595">
        <w:rPr>
          <w:rFonts w:ascii="Arial" w:eastAsiaTheme="minorHAnsi" w:hAnsi="Arial" w:cs="Arial"/>
          <w:sz w:val="12"/>
          <w:szCs w:val="12"/>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0E4595" w:rsidRDefault="003C2455" w:rsidP="003C2455">
      <w:pPr>
        <w:shd w:val="clear" w:color="auto" w:fill="FFFFFF"/>
        <w:ind w:firstLine="708"/>
        <w:jc w:val="both"/>
        <w:rPr>
          <w:rFonts w:ascii="Arial" w:hAnsi="Arial" w:cs="Arial"/>
          <w:sz w:val="12"/>
          <w:szCs w:val="12"/>
        </w:rPr>
      </w:pPr>
      <w:r w:rsidRPr="000E4595">
        <w:rPr>
          <w:rFonts w:ascii="Arial" w:hAnsi="Arial" w:cs="Arial"/>
          <w:sz w:val="12"/>
          <w:szCs w:val="12"/>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0E4595" w:rsidRDefault="003C2455" w:rsidP="003C2455">
      <w:pPr>
        <w:shd w:val="clear" w:color="auto" w:fill="FFFFFF"/>
        <w:ind w:firstLine="708"/>
        <w:jc w:val="both"/>
        <w:rPr>
          <w:rFonts w:ascii="Arial" w:hAnsi="Arial" w:cs="Arial"/>
          <w:sz w:val="12"/>
          <w:szCs w:val="12"/>
        </w:rPr>
      </w:pPr>
      <w:r w:rsidRPr="000E4595">
        <w:rPr>
          <w:rFonts w:ascii="Arial" w:hAnsi="Arial" w:cs="Arial"/>
          <w:sz w:val="12"/>
          <w:szCs w:val="12"/>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DF7ECE1" w14:textId="720AF854" w:rsidR="003C2455" w:rsidRPr="000E4595" w:rsidRDefault="003C2455" w:rsidP="007B12A1">
      <w:pPr>
        <w:shd w:val="clear" w:color="auto" w:fill="FFFFFF"/>
        <w:ind w:firstLine="708"/>
        <w:jc w:val="both"/>
        <w:rPr>
          <w:rFonts w:ascii="Arial" w:hAnsi="Arial" w:cs="Arial"/>
          <w:sz w:val="12"/>
          <w:szCs w:val="12"/>
        </w:rPr>
      </w:pPr>
      <w:r w:rsidRPr="000E4595">
        <w:rPr>
          <w:rFonts w:ascii="Arial" w:hAnsi="Arial" w:cs="Arial"/>
          <w:sz w:val="12"/>
          <w:szCs w:val="12"/>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0">
    <w:p w14:paraId="03E36ED5" w14:textId="21C76BA9" w:rsidR="007F529B" w:rsidRPr="000E4595" w:rsidRDefault="007F529B" w:rsidP="007F529B">
      <w:pPr>
        <w:pStyle w:val="Textonotapie"/>
        <w:ind w:firstLine="708"/>
        <w:jc w:val="both"/>
        <w:rPr>
          <w:rFonts w:ascii="Arial" w:hAnsi="Arial" w:cs="Arial"/>
          <w:sz w:val="12"/>
          <w:szCs w:val="12"/>
        </w:rPr>
      </w:pPr>
      <w:r w:rsidRPr="000E4595">
        <w:rPr>
          <w:rStyle w:val="Refdenotaalpie"/>
          <w:rFonts w:ascii="Arial" w:hAnsi="Arial" w:cs="Arial"/>
          <w:sz w:val="12"/>
          <w:szCs w:val="12"/>
        </w:rPr>
        <w:footnoteRef/>
      </w:r>
      <w:r w:rsidRPr="000E4595">
        <w:rPr>
          <w:rFonts w:ascii="Arial" w:hAnsi="Arial" w:cs="Arial"/>
          <w:sz w:val="12"/>
          <w:szCs w:val="12"/>
        </w:rPr>
        <w:t xml:space="preserve"> MARTÍNEZ MAS, Francisco. Terminación, entrega, recepción y liquidación en el contrato de obra de edificios. Madrid: </w:t>
      </w:r>
      <w:r w:rsidRPr="000E4595">
        <w:rPr>
          <w:rFonts w:ascii="Arial" w:hAnsi="Arial" w:cs="Arial"/>
          <w:sz w:val="12"/>
          <w:szCs w:val="12"/>
          <w:lang w:val="es-CO"/>
        </w:rPr>
        <w:t>Librería Dykinson, 2001.</w:t>
      </w:r>
      <w:r w:rsidRPr="000E4595">
        <w:rPr>
          <w:rFonts w:ascii="Arial" w:hAnsi="Arial" w:cs="Arial"/>
          <w:sz w:val="12"/>
          <w:szCs w:val="12"/>
        </w:rPr>
        <w:t xml:space="preserve"> p. 131. </w:t>
      </w:r>
    </w:p>
  </w:footnote>
  <w:footnote w:id="11">
    <w:p w14:paraId="3BCFAF97" w14:textId="2A9A6BA4" w:rsidR="00E61BAB" w:rsidRPr="000E4595" w:rsidRDefault="00E61BAB" w:rsidP="00E61BAB">
      <w:pPr>
        <w:pStyle w:val="Textonotapie"/>
        <w:ind w:firstLine="708"/>
        <w:jc w:val="both"/>
        <w:rPr>
          <w:rFonts w:ascii="Arial" w:hAnsi="Arial" w:cs="Arial"/>
          <w:sz w:val="12"/>
          <w:szCs w:val="12"/>
        </w:rPr>
      </w:pPr>
      <w:r w:rsidRPr="000E4595">
        <w:rPr>
          <w:rStyle w:val="Refdenotaalpie"/>
          <w:rFonts w:ascii="Arial" w:hAnsi="Arial" w:cs="Arial"/>
          <w:sz w:val="12"/>
          <w:szCs w:val="12"/>
        </w:rPr>
        <w:footnoteRef/>
      </w:r>
      <w:r w:rsidRPr="000E4595">
        <w:rPr>
          <w:rFonts w:ascii="Arial" w:hAnsi="Arial" w:cs="Arial"/>
          <w:sz w:val="12"/>
          <w:szCs w:val="12"/>
        </w:rPr>
        <w:t xml:space="preserve"> Ibidem, p. 129.</w:t>
      </w:r>
    </w:p>
  </w:footnote>
  <w:footnote w:id="12">
    <w:p w14:paraId="3513493E" w14:textId="304C5EA0" w:rsidR="005D0CDB" w:rsidRPr="00E42E4D" w:rsidRDefault="005D0CDB" w:rsidP="00E42E4D">
      <w:pPr>
        <w:pStyle w:val="Textonotapie"/>
        <w:ind w:firstLine="708"/>
        <w:jc w:val="both"/>
        <w:rPr>
          <w:rFonts w:ascii="Arial" w:hAnsi="Arial" w:cs="Arial"/>
          <w:sz w:val="12"/>
          <w:szCs w:val="12"/>
        </w:rPr>
      </w:pPr>
      <w:r w:rsidRPr="000E4595">
        <w:rPr>
          <w:rStyle w:val="Refdenotaalpie"/>
          <w:rFonts w:ascii="Arial" w:hAnsi="Arial" w:cs="Arial"/>
          <w:sz w:val="12"/>
          <w:szCs w:val="12"/>
        </w:rPr>
        <w:footnoteRef/>
      </w:r>
      <w:r w:rsidRPr="000E4595">
        <w:rPr>
          <w:rFonts w:ascii="Arial" w:hAnsi="Arial" w:cs="Arial"/>
          <w:sz w:val="12"/>
          <w:szCs w:val="12"/>
        </w:rPr>
        <w:t xml:space="preserve"> Al respecto, la doctrina explica que «El constructor se ha obligado a construir la obra, y no solo a poner los medios necesarios para ello, porque ha asumido una obligación de resultado. Su culminación es la entrega de la obra terminada o de lo que la obra produce, al comitente. </w:t>
      </w:r>
      <w:r w:rsidRPr="000E4595">
        <w:rPr>
          <w:rFonts w:ascii="Arial" w:hAnsi="Arial" w:cs="Arial"/>
          <w:i/>
          <w:iCs/>
          <w:sz w:val="12"/>
          <w:szCs w:val="12"/>
        </w:rPr>
        <w:t>En tanto acto material, la entrega es simultáneamente el medio por el por el que se da cumplimiento a la obligación principal del constructor y se satisface el derecho principal del comitente</w:t>
      </w:r>
      <w:r w:rsidRPr="000E4595">
        <w:rPr>
          <w:rFonts w:ascii="Arial" w:hAnsi="Arial" w:cs="Arial"/>
          <w:sz w:val="12"/>
          <w:szCs w:val="12"/>
        </w:rPr>
        <w:t xml:space="preserve">. La recepción es, consecuentemente, un derecho del constructor y una obligación del comitente, aunque sea obvio destacarlo» (PODETTI, Humberto. El contrato de construcción. Buenos Aires: Editorial Astrea, 2004. p. 435, cursivas fuera de texto).    </w:t>
      </w:r>
    </w:p>
  </w:footnote>
  <w:footnote w:id="13">
    <w:p w14:paraId="3FEDA278" w14:textId="77777777" w:rsidR="005D0CDB" w:rsidRPr="000E4595" w:rsidRDefault="005D0CDB" w:rsidP="005D0CDB">
      <w:pPr>
        <w:pStyle w:val="Textonotapie"/>
        <w:ind w:firstLine="708"/>
        <w:jc w:val="both"/>
        <w:rPr>
          <w:rFonts w:ascii="Arial" w:hAnsi="Arial" w:cs="Arial"/>
          <w:sz w:val="12"/>
          <w:szCs w:val="12"/>
          <w:lang w:val="es-ES"/>
        </w:rPr>
      </w:pPr>
      <w:r w:rsidRPr="000E4595">
        <w:rPr>
          <w:rStyle w:val="Refdenotaalpie"/>
          <w:rFonts w:ascii="Arial" w:hAnsi="Arial" w:cs="Arial"/>
          <w:sz w:val="12"/>
          <w:szCs w:val="12"/>
        </w:rPr>
        <w:footnoteRef/>
      </w:r>
      <w:r w:rsidRPr="000E4595">
        <w:rPr>
          <w:rFonts w:ascii="Arial" w:hAnsi="Arial" w:cs="Arial"/>
          <w:sz w:val="12"/>
          <w:szCs w:val="12"/>
        </w:rPr>
        <w:t xml:space="preserve"> </w:t>
      </w:r>
      <w:r w:rsidRPr="000E4595">
        <w:rPr>
          <w:rFonts w:ascii="Arial" w:hAnsi="Arial" w:cs="Arial"/>
          <w:i/>
          <w:iCs/>
          <w:sz w:val="12"/>
          <w:szCs w:val="12"/>
        </w:rPr>
        <w:t>Ibidem</w:t>
      </w:r>
      <w:r w:rsidRPr="000E4595">
        <w:rPr>
          <w:rFonts w:ascii="Arial" w:hAnsi="Arial" w:cs="Arial"/>
          <w:sz w:val="12"/>
          <w:szCs w:val="12"/>
        </w:rPr>
        <w:t xml:space="preserve">., p. 435. </w:t>
      </w:r>
    </w:p>
  </w:footnote>
  <w:footnote w:id="14">
    <w:p w14:paraId="597560C0" w14:textId="63D3C890" w:rsidR="005C77EF" w:rsidRPr="000E4595" w:rsidRDefault="005C77EF" w:rsidP="005C77EF">
      <w:pPr>
        <w:pStyle w:val="Textonotapie"/>
        <w:ind w:firstLine="708"/>
        <w:jc w:val="both"/>
        <w:rPr>
          <w:rFonts w:ascii="Arial" w:hAnsi="Arial" w:cs="Arial"/>
          <w:sz w:val="12"/>
          <w:szCs w:val="12"/>
        </w:rPr>
      </w:pPr>
      <w:r w:rsidRPr="000E4595">
        <w:rPr>
          <w:rStyle w:val="Refdenotaalpie"/>
          <w:rFonts w:ascii="Arial" w:hAnsi="Arial" w:cs="Arial"/>
          <w:sz w:val="12"/>
          <w:szCs w:val="12"/>
        </w:rPr>
        <w:footnoteRef/>
      </w:r>
      <w:r w:rsidRPr="000E4595">
        <w:rPr>
          <w:rFonts w:ascii="Arial" w:hAnsi="Arial" w:cs="Arial"/>
          <w:sz w:val="12"/>
          <w:szCs w:val="12"/>
        </w:rPr>
        <w:t xml:space="preserve"> </w:t>
      </w:r>
      <w:r w:rsidR="005D0CDB" w:rsidRPr="000E4595">
        <w:rPr>
          <w:rFonts w:ascii="Arial" w:hAnsi="Arial" w:cs="Arial"/>
          <w:sz w:val="12"/>
          <w:szCs w:val="12"/>
          <w:lang w:val="es-CO"/>
        </w:rPr>
        <w:t xml:space="preserve">Para sostener el argumento </w:t>
      </w:r>
      <w:r w:rsidR="000D7151" w:rsidRPr="000E4595">
        <w:rPr>
          <w:rFonts w:ascii="Arial" w:hAnsi="Arial" w:cs="Arial"/>
          <w:sz w:val="12"/>
          <w:szCs w:val="12"/>
          <w:lang w:val="es-CO"/>
        </w:rPr>
        <w:t>podría</w:t>
      </w:r>
      <w:r w:rsidR="005D0CDB" w:rsidRPr="000E4595">
        <w:rPr>
          <w:rFonts w:ascii="Arial" w:hAnsi="Arial" w:cs="Arial"/>
          <w:sz w:val="12"/>
          <w:szCs w:val="12"/>
          <w:lang w:val="es-CO"/>
        </w:rPr>
        <w:t xml:space="preserve"> asumirse que «La liquidación de la obra constituye la última fase de la consumación de la obra y determina el precio que debe abonar el dueño de la obra. </w:t>
      </w:r>
      <w:r w:rsidR="005D0CDB" w:rsidRPr="000E4595">
        <w:rPr>
          <w:rFonts w:ascii="Arial" w:hAnsi="Arial" w:cs="Arial"/>
          <w:i/>
          <w:iCs/>
          <w:sz w:val="12"/>
          <w:szCs w:val="12"/>
          <w:lang w:val="es-CO"/>
        </w:rPr>
        <w:t>Una vez la misma ha sido terminada, entregada y recibida por el promotor, éste tiene la obligación de pagar el precio convenido</w:t>
      </w:r>
      <w:r w:rsidR="005D0CDB" w:rsidRPr="000E4595">
        <w:rPr>
          <w:rFonts w:ascii="Arial" w:hAnsi="Arial" w:cs="Arial"/>
          <w:sz w:val="12"/>
          <w:szCs w:val="12"/>
          <w:lang w:val="es-CO"/>
        </w:rPr>
        <w:t>» (</w:t>
      </w:r>
      <w:r w:rsidRPr="000E4595">
        <w:rPr>
          <w:rFonts w:ascii="Arial" w:hAnsi="Arial" w:cs="Arial"/>
          <w:sz w:val="12"/>
          <w:szCs w:val="12"/>
        </w:rPr>
        <w:t>MARTÍNEZ MAS, Ob. Cit., p. 163</w:t>
      </w:r>
      <w:r w:rsidR="005D0CDB" w:rsidRPr="000E4595">
        <w:rPr>
          <w:rFonts w:ascii="Arial" w:hAnsi="Arial" w:cs="Arial"/>
          <w:sz w:val="12"/>
          <w:szCs w:val="12"/>
        </w:rPr>
        <w:t>. Énfasis fuera de texto)</w:t>
      </w:r>
      <w:r w:rsidRPr="000E4595">
        <w:rPr>
          <w:rFonts w:ascii="Arial" w:hAnsi="Arial" w:cs="Arial"/>
          <w:sz w:val="12"/>
          <w:szCs w:val="12"/>
        </w:rPr>
        <w:t>.</w:t>
      </w:r>
    </w:p>
  </w:footnote>
  <w:footnote w:id="15">
    <w:p w14:paraId="531F9F56" w14:textId="31087951" w:rsidR="00A45F72" w:rsidRPr="000E4595" w:rsidRDefault="00A45F72" w:rsidP="00A45F72">
      <w:pPr>
        <w:pStyle w:val="Textonotapie"/>
        <w:ind w:firstLine="708"/>
        <w:jc w:val="both"/>
        <w:rPr>
          <w:rFonts w:ascii="Arial" w:hAnsi="Arial" w:cs="Arial"/>
          <w:sz w:val="12"/>
          <w:szCs w:val="12"/>
        </w:rPr>
      </w:pPr>
      <w:r w:rsidRPr="000E4595">
        <w:rPr>
          <w:rStyle w:val="Refdenotaalpie"/>
          <w:rFonts w:ascii="Arial" w:hAnsi="Arial" w:cs="Arial"/>
          <w:sz w:val="12"/>
          <w:szCs w:val="12"/>
        </w:rPr>
        <w:footnoteRef/>
      </w:r>
      <w:r w:rsidRPr="000E4595">
        <w:rPr>
          <w:rFonts w:ascii="Arial" w:hAnsi="Arial" w:cs="Arial"/>
          <w:sz w:val="12"/>
          <w:szCs w:val="12"/>
        </w:rPr>
        <w:t xml:space="preserve"> </w:t>
      </w:r>
      <w:r w:rsidRPr="000E4595">
        <w:rPr>
          <w:rFonts w:ascii="Arial" w:hAnsi="Arial" w:cs="Arial"/>
          <w:sz w:val="12"/>
          <w:szCs w:val="12"/>
          <w:lang w:val="es-ES"/>
        </w:rPr>
        <w:t xml:space="preserve">En efecto, «[…] </w:t>
      </w:r>
      <w:r w:rsidRPr="000E4595">
        <w:rPr>
          <w:rFonts w:ascii="Arial" w:hAnsi="Arial" w:cs="Arial"/>
          <w:i/>
          <w:iCs/>
          <w:sz w:val="12"/>
          <w:szCs w:val="12"/>
          <w:lang w:val="es-ES"/>
        </w:rPr>
        <w:t>no toda finalización de un plazo contractual tiene carácter extintivo del negocio, sino que la regla general es que el contrato permanezca vigente cuando se encuentre pendiente el cumplimiento de las obligaciones a cargo de las partes, así se haya colocado en estado de liquidación</w:t>
      </w:r>
      <w:r w:rsidR="00A535DA" w:rsidRPr="000E4595">
        <w:rPr>
          <w:rFonts w:ascii="Arial" w:hAnsi="Arial" w:cs="Arial"/>
          <w:sz w:val="12"/>
          <w:szCs w:val="12"/>
          <w:lang w:val="es-ES"/>
        </w:rPr>
        <w:t>. Esta</w:t>
      </w:r>
      <w:r w:rsidR="00CB1440" w:rsidRPr="000E4595">
        <w:rPr>
          <w:rFonts w:ascii="Arial" w:hAnsi="Arial" w:cs="Arial"/>
          <w:sz w:val="12"/>
          <w:szCs w:val="12"/>
          <w:lang w:val="es-ES"/>
        </w:rPr>
        <w:t xml:space="preserve"> es la idea que apoya la conclusión según la cual a pesar de que haya vencido el plazo, sin haberse liquidado el negocio, es viable que se conmine al contratista por medio de la multa o se le imponga la cláusula penal pecuniaria previa declaratoria de incumplimiento, pues al tenor del artículo 17 de la ley 1150 de 2007, tales facultades, únicamente, son procedentes “mientras se halle pendiente la ejecución de las obligaciones a cargo del contratista”, incumplimiento que, incluso, puede prologarse –como de hecho sucede, a veces, en la práctica– hasta la etapa de liquidación del contrato, es decir, superando la fecha, por ejemplo, de finalización del plazo inicial o con sus adiciones</w:t>
      </w:r>
      <w:r w:rsidRPr="000E4595">
        <w:rPr>
          <w:rFonts w:ascii="Arial" w:hAnsi="Arial" w:cs="Arial"/>
          <w:sz w:val="12"/>
          <w:szCs w:val="12"/>
          <w:lang w:val="es-ES"/>
        </w:rPr>
        <w:t>» (</w:t>
      </w:r>
      <w:r w:rsidRPr="000E4595">
        <w:rPr>
          <w:rFonts w:ascii="Arial" w:hAnsi="Arial" w:cs="Arial"/>
          <w:sz w:val="12"/>
          <w:szCs w:val="12"/>
        </w:rPr>
        <w:t>DÍAZ DÍEZ, Cristian Andrés. La liquidación. Medellín: Librería Jurídica Sánchez – Centro de Estudios de Derecho Administrativo, 2013. pp. 66-67</w:t>
      </w:r>
      <w:r w:rsidR="00CB1440" w:rsidRPr="000E4595">
        <w:rPr>
          <w:rFonts w:ascii="Arial" w:hAnsi="Arial" w:cs="Arial"/>
          <w:sz w:val="12"/>
          <w:szCs w:val="12"/>
        </w:rPr>
        <w:t>. Énfasis fuera de texto</w:t>
      </w:r>
      <w:r w:rsidRPr="000E4595">
        <w:rPr>
          <w:rFonts w:ascii="Arial" w:hAnsi="Arial" w:cs="Arial"/>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9DF"/>
    <w:rsid w:val="000030DA"/>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787"/>
    <w:rsid w:val="000278D2"/>
    <w:rsid w:val="00031384"/>
    <w:rsid w:val="00031469"/>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0A37"/>
    <w:rsid w:val="00051074"/>
    <w:rsid w:val="00052B79"/>
    <w:rsid w:val="00052EA0"/>
    <w:rsid w:val="000536E3"/>
    <w:rsid w:val="00054252"/>
    <w:rsid w:val="0005474D"/>
    <w:rsid w:val="00055CB9"/>
    <w:rsid w:val="00056F66"/>
    <w:rsid w:val="0005702F"/>
    <w:rsid w:val="0005779C"/>
    <w:rsid w:val="00057C12"/>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79B"/>
    <w:rsid w:val="000777E7"/>
    <w:rsid w:val="0007790A"/>
    <w:rsid w:val="0008017B"/>
    <w:rsid w:val="00080ACD"/>
    <w:rsid w:val="000811ED"/>
    <w:rsid w:val="00081284"/>
    <w:rsid w:val="00081D62"/>
    <w:rsid w:val="000820A1"/>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488A"/>
    <w:rsid w:val="00094EC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400"/>
    <w:rsid w:val="000D4E38"/>
    <w:rsid w:val="000D50DB"/>
    <w:rsid w:val="000D6288"/>
    <w:rsid w:val="000D6CAF"/>
    <w:rsid w:val="000D7151"/>
    <w:rsid w:val="000D7541"/>
    <w:rsid w:val="000D75E1"/>
    <w:rsid w:val="000D776B"/>
    <w:rsid w:val="000E22CF"/>
    <w:rsid w:val="000E2552"/>
    <w:rsid w:val="000E2977"/>
    <w:rsid w:val="000E2B36"/>
    <w:rsid w:val="000E30AC"/>
    <w:rsid w:val="000E3B46"/>
    <w:rsid w:val="000E3E11"/>
    <w:rsid w:val="000E4116"/>
    <w:rsid w:val="000E4595"/>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6A96"/>
    <w:rsid w:val="000F70CD"/>
    <w:rsid w:val="000F79F9"/>
    <w:rsid w:val="000F7ABD"/>
    <w:rsid w:val="000F7E8F"/>
    <w:rsid w:val="000F7FBB"/>
    <w:rsid w:val="001000FB"/>
    <w:rsid w:val="00101B42"/>
    <w:rsid w:val="00101FFE"/>
    <w:rsid w:val="00102605"/>
    <w:rsid w:val="00102686"/>
    <w:rsid w:val="00102745"/>
    <w:rsid w:val="00103078"/>
    <w:rsid w:val="00103361"/>
    <w:rsid w:val="00103855"/>
    <w:rsid w:val="00103915"/>
    <w:rsid w:val="00103EA0"/>
    <w:rsid w:val="00104F1C"/>
    <w:rsid w:val="001051E5"/>
    <w:rsid w:val="00105A74"/>
    <w:rsid w:val="00105ACB"/>
    <w:rsid w:val="00105AEF"/>
    <w:rsid w:val="00106259"/>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5AB"/>
    <w:rsid w:val="00113705"/>
    <w:rsid w:val="00113975"/>
    <w:rsid w:val="00113CFC"/>
    <w:rsid w:val="00113FEA"/>
    <w:rsid w:val="00114557"/>
    <w:rsid w:val="00114A22"/>
    <w:rsid w:val="00114E9D"/>
    <w:rsid w:val="0011507B"/>
    <w:rsid w:val="00116328"/>
    <w:rsid w:val="001169FD"/>
    <w:rsid w:val="001174C9"/>
    <w:rsid w:val="00117919"/>
    <w:rsid w:val="00117C82"/>
    <w:rsid w:val="00117E69"/>
    <w:rsid w:val="00120CBD"/>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9DF"/>
    <w:rsid w:val="00132C30"/>
    <w:rsid w:val="00132EFD"/>
    <w:rsid w:val="00133AED"/>
    <w:rsid w:val="00134AFC"/>
    <w:rsid w:val="00134FF9"/>
    <w:rsid w:val="00135E88"/>
    <w:rsid w:val="0013695C"/>
    <w:rsid w:val="00136BF7"/>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0337"/>
    <w:rsid w:val="00151A7B"/>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2AC3"/>
    <w:rsid w:val="001734E3"/>
    <w:rsid w:val="0017391B"/>
    <w:rsid w:val="001742BF"/>
    <w:rsid w:val="00175E49"/>
    <w:rsid w:val="00176470"/>
    <w:rsid w:val="00177076"/>
    <w:rsid w:val="001773F3"/>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806"/>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4409"/>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31E1"/>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056"/>
    <w:rsid w:val="0020017E"/>
    <w:rsid w:val="0020022E"/>
    <w:rsid w:val="0020054E"/>
    <w:rsid w:val="00200B51"/>
    <w:rsid w:val="00201F1E"/>
    <w:rsid w:val="0020211D"/>
    <w:rsid w:val="0020299B"/>
    <w:rsid w:val="00202E44"/>
    <w:rsid w:val="002037AA"/>
    <w:rsid w:val="00203FE3"/>
    <w:rsid w:val="002042D8"/>
    <w:rsid w:val="00204515"/>
    <w:rsid w:val="00204BF5"/>
    <w:rsid w:val="00204E6B"/>
    <w:rsid w:val="002058D4"/>
    <w:rsid w:val="00205BAA"/>
    <w:rsid w:val="0020632A"/>
    <w:rsid w:val="0020697F"/>
    <w:rsid w:val="00210642"/>
    <w:rsid w:val="002110EB"/>
    <w:rsid w:val="00211338"/>
    <w:rsid w:val="00211388"/>
    <w:rsid w:val="0021148C"/>
    <w:rsid w:val="00211694"/>
    <w:rsid w:val="0021201A"/>
    <w:rsid w:val="00212F79"/>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3C5"/>
    <w:rsid w:val="0023382C"/>
    <w:rsid w:val="00233977"/>
    <w:rsid w:val="00233C58"/>
    <w:rsid w:val="00233C71"/>
    <w:rsid w:val="0023426E"/>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4FD"/>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3DB7"/>
    <w:rsid w:val="002653A6"/>
    <w:rsid w:val="0026608D"/>
    <w:rsid w:val="002661F1"/>
    <w:rsid w:val="002663BA"/>
    <w:rsid w:val="002664B7"/>
    <w:rsid w:val="00266CB5"/>
    <w:rsid w:val="002711A4"/>
    <w:rsid w:val="00271536"/>
    <w:rsid w:val="0027193D"/>
    <w:rsid w:val="00271F13"/>
    <w:rsid w:val="0027270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E5C"/>
    <w:rsid w:val="002A7F6D"/>
    <w:rsid w:val="002B00DF"/>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063"/>
    <w:rsid w:val="002D0845"/>
    <w:rsid w:val="002D0933"/>
    <w:rsid w:val="002D19BB"/>
    <w:rsid w:val="002D1A9B"/>
    <w:rsid w:val="002D22C5"/>
    <w:rsid w:val="002D301F"/>
    <w:rsid w:val="002D302A"/>
    <w:rsid w:val="002D36C6"/>
    <w:rsid w:val="002D37C1"/>
    <w:rsid w:val="002D3FC0"/>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9C3"/>
    <w:rsid w:val="002E4B44"/>
    <w:rsid w:val="002E4ECB"/>
    <w:rsid w:val="002E4F23"/>
    <w:rsid w:val="002E7847"/>
    <w:rsid w:val="002F0073"/>
    <w:rsid w:val="002F05F3"/>
    <w:rsid w:val="002F0618"/>
    <w:rsid w:val="002F1449"/>
    <w:rsid w:val="002F240B"/>
    <w:rsid w:val="002F2F50"/>
    <w:rsid w:val="002F3601"/>
    <w:rsid w:val="002F45F6"/>
    <w:rsid w:val="002F5D69"/>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934"/>
    <w:rsid w:val="00310A35"/>
    <w:rsid w:val="00310D01"/>
    <w:rsid w:val="00311376"/>
    <w:rsid w:val="00311A1F"/>
    <w:rsid w:val="00311B47"/>
    <w:rsid w:val="00311D52"/>
    <w:rsid w:val="00312190"/>
    <w:rsid w:val="003125E0"/>
    <w:rsid w:val="0031271D"/>
    <w:rsid w:val="00312F7F"/>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4961"/>
    <w:rsid w:val="00325D98"/>
    <w:rsid w:val="0032682A"/>
    <w:rsid w:val="00327A5C"/>
    <w:rsid w:val="0033092C"/>
    <w:rsid w:val="00330F81"/>
    <w:rsid w:val="0033122A"/>
    <w:rsid w:val="003315AC"/>
    <w:rsid w:val="00331932"/>
    <w:rsid w:val="00333A88"/>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143"/>
    <w:rsid w:val="003501E2"/>
    <w:rsid w:val="00351E10"/>
    <w:rsid w:val="0035273A"/>
    <w:rsid w:val="003527DF"/>
    <w:rsid w:val="00352D59"/>
    <w:rsid w:val="003533F4"/>
    <w:rsid w:val="003536F6"/>
    <w:rsid w:val="00353DD5"/>
    <w:rsid w:val="00355131"/>
    <w:rsid w:val="00356438"/>
    <w:rsid w:val="00361A59"/>
    <w:rsid w:val="00363348"/>
    <w:rsid w:val="00363857"/>
    <w:rsid w:val="00363D59"/>
    <w:rsid w:val="003640F7"/>
    <w:rsid w:val="00364300"/>
    <w:rsid w:val="003656E4"/>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846"/>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5D7"/>
    <w:rsid w:val="003B65E0"/>
    <w:rsid w:val="003B6BD4"/>
    <w:rsid w:val="003B6F4D"/>
    <w:rsid w:val="003B6FE7"/>
    <w:rsid w:val="003C0D1F"/>
    <w:rsid w:val="003C116A"/>
    <w:rsid w:val="003C1AF4"/>
    <w:rsid w:val="003C1B63"/>
    <w:rsid w:val="003C1CB8"/>
    <w:rsid w:val="003C2455"/>
    <w:rsid w:val="003C2550"/>
    <w:rsid w:val="003C287F"/>
    <w:rsid w:val="003C3339"/>
    <w:rsid w:val="003C375A"/>
    <w:rsid w:val="003C4D9F"/>
    <w:rsid w:val="003C5B0F"/>
    <w:rsid w:val="003C612E"/>
    <w:rsid w:val="003C622C"/>
    <w:rsid w:val="003C73C7"/>
    <w:rsid w:val="003D050B"/>
    <w:rsid w:val="003D0B98"/>
    <w:rsid w:val="003D0C3C"/>
    <w:rsid w:val="003D0DE5"/>
    <w:rsid w:val="003D1351"/>
    <w:rsid w:val="003D21C1"/>
    <w:rsid w:val="003D2B0C"/>
    <w:rsid w:val="003D3707"/>
    <w:rsid w:val="003D3B15"/>
    <w:rsid w:val="003D3B2E"/>
    <w:rsid w:val="003D484D"/>
    <w:rsid w:val="003D49CB"/>
    <w:rsid w:val="003D4BD6"/>
    <w:rsid w:val="003D53CE"/>
    <w:rsid w:val="003D6B8F"/>
    <w:rsid w:val="003D7566"/>
    <w:rsid w:val="003E09BB"/>
    <w:rsid w:val="003E139A"/>
    <w:rsid w:val="003E154B"/>
    <w:rsid w:val="003E159D"/>
    <w:rsid w:val="003E20EA"/>
    <w:rsid w:val="003E210C"/>
    <w:rsid w:val="003E2913"/>
    <w:rsid w:val="003E2DB6"/>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C1"/>
    <w:rsid w:val="0041259F"/>
    <w:rsid w:val="00412B4D"/>
    <w:rsid w:val="00412C51"/>
    <w:rsid w:val="00413262"/>
    <w:rsid w:val="0041329C"/>
    <w:rsid w:val="004139F4"/>
    <w:rsid w:val="00413C17"/>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2F80"/>
    <w:rsid w:val="00423A44"/>
    <w:rsid w:val="00423F9F"/>
    <w:rsid w:val="00425C43"/>
    <w:rsid w:val="00426C69"/>
    <w:rsid w:val="004273FA"/>
    <w:rsid w:val="00427BA7"/>
    <w:rsid w:val="00430186"/>
    <w:rsid w:val="0043239B"/>
    <w:rsid w:val="0043269A"/>
    <w:rsid w:val="004333C2"/>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D7"/>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5677"/>
    <w:rsid w:val="00465AC3"/>
    <w:rsid w:val="00466616"/>
    <w:rsid w:val="004669DD"/>
    <w:rsid w:val="00466A0C"/>
    <w:rsid w:val="00470064"/>
    <w:rsid w:val="00470A6A"/>
    <w:rsid w:val="00470D92"/>
    <w:rsid w:val="004712D1"/>
    <w:rsid w:val="00471DF7"/>
    <w:rsid w:val="00471F6B"/>
    <w:rsid w:val="0047295C"/>
    <w:rsid w:val="00472D8E"/>
    <w:rsid w:val="004734CF"/>
    <w:rsid w:val="00475738"/>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5A0D"/>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98A"/>
    <w:rsid w:val="004B46C1"/>
    <w:rsid w:val="004B578D"/>
    <w:rsid w:val="004B5BC4"/>
    <w:rsid w:val="004B5BE7"/>
    <w:rsid w:val="004B5E2D"/>
    <w:rsid w:val="004B6C07"/>
    <w:rsid w:val="004B74D3"/>
    <w:rsid w:val="004B76D3"/>
    <w:rsid w:val="004B788E"/>
    <w:rsid w:val="004B7E5D"/>
    <w:rsid w:val="004C0D39"/>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1DF5"/>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2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3CB2"/>
    <w:rsid w:val="00505DCB"/>
    <w:rsid w:val="00505E1F"/>
    <w:rsid w:val="005075CA"/>
    <w:rsid w:val="0051074C"/>
    <w:rsid w:val="00510DE9"/>
    <w:rsid w:val="005111E2"/>
    <w:rsid w:val="00511231"/>
    <w:rsid w:val="00512779"/>
    <w:rsid w:val="00512C4F"/>
    <w:rsid w:val="00513042"/>
    <w:rsid w:val="0051334F"/>
    <w:rsid w:val="00513399"/>
    <w:rsid w:val="00513AA0"/>
    <w:rsid w:val="00513AF2"/>
    <w:rsid w:val="00514575"/>
    <w:rsid w:val="00514C03"/>
    <w:rsid w:val="00514D67"/>
    <w:rsid w:val="00515515"/>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ABC"/>
    <w:rsid w:val="00552B3E"/>
    <w:rsid w:val="00553825"/>
    <w:rsid w:val="005543A9"/>
    <w:rsid w:val="005551AA"/>
    <w:rsid w:val="00556251"/>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A26"/>
    <w:rsid w:val="00570C3A"/>
    <w:rsid w:val="005717D7"/>
    <w:rsid w:val="0057221F"/>
    <w:rsid w:val="00572539"/>
    <w:rsid w:val="00572A7F"/>
    <w:rsid w:val="0057312C"/>
    <w:rsid w:val="0057337D"/>
    <w:rsid w:val="00573504"/>
    <w:rsid w:val="00574708"/>
    <w:rsid w:val="00574D81"/>
    <w:rsid w:val="00574E4E"/>
    <w:rsid w:val="005756AA"/>
    <w:rsid w:val="00576233"/>
    <w:rsid w:val="0057696F"/>
    <w:rsid w:val="005774FE"/>
    <w:rsid w:val="00577E25"/>
    <w:rsid w:val="0058040C"/>
    <w:rsid w:val="00580D6D"/>
    <w:rsid w:val="00580DD8"/>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093E"/>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105"/>
    <w:rsid w:val="005C36CF"/>
    <w:rsid w:val="005C3EA3"/>
    <w:rsid w:val="005C5011"/>
    <w:rsid w:val="005C529E"/>
    <w:rsid w:val="005C57BA"/>
    <w:rsid w:val="005C5C52"/>
    <w:rsid w:val="005C5D3D"/>
    <w:rsid w:val="005C5F05"/>
    <w:rsid w:val="005C6410"/>
    <w:rsid w:val="005C77EF"/>
    <w:rsid w:val="005C7F3E"/>
    <w:rsid w:val="005D0150"/>
    <w:rsid w:val="005D0CDB"/>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1E3"/>
    <w:rsid w:val="005D655E"/>
    <w:rsid w:val="005D6651"/>
    <w:rsid w:val="005D691D"/>
    <w:rsid w:val="005D6A72"/>
    <w:rsid w:val="005D749F"/>
    <w:rsid w:val="005D791B"/>
    <w:rsid w:val="005D7CF2"/>
    <w:rsid w:val="005D7F92"/>
    <w:rsid w:val="005E0D7B"/>
    <w:rsid w:val="005E1595"/>
    <w:rsid w:val="005E1738"/>
    <w:rsid w:val="005E1F1D"/>
    <w:rsid w:val="005E1F94"/>
    <w:rsid w:val="005E273D"/>
    <w:rsid w:val="005E2B3E"/>
    <w:rsid w:val="005E3278"/>
    <w:rsid w:val="005E363B"/>
    <w:rsid w:val="005E3B0D"/>
    <w:rsid w:val="005E548A"/>
    <w:rsid w:val="005F1D7D"/>
    <w:rsid w:val="005F1D89"/>
    <w:rsid w:val="005F20F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0F61"/>
    <w:rsid w:val="006013C9"/>
    <w:rsid w:val="006016EA"/>
    <w:rsid w:val="00601CC1"/>
    <w:rsid w:val="00602B45"/>
    <w:rsid w:val="00603499"/>
    <w:rsid w:val="006035F5"/>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DA"/>
    <w:rsid w:val="00613DE1"/>
    <w:rsid w:val="0061401F"/>
    <w:rsid w:val="00614166"/>
    <w:rsid w:val="00614817"/>
    <w:rsid w:val="006149CC"/>
    <w:rsid w:val="00615793"/>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D79"/>
    <w:rsid w:val="00637F44"/>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57A"/>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ED8"/>
    <w:rsid w:val="0067064C"/>
    <w:rsid w:val="00670B20"/>
    <w:rsid w:val="00670E12"/>
    <w:rsid w:val="00671D22"/>
    <w:rsid w:val="00672E80"/>
    <w:rsid w:val="006739E4"/>
    <w:rsid w:val="00673ECF"/>
    <w:rsid w:val="0067426B"/>
    <w:rsid w:val="00674A1B"/>
    <w:rsid w:val="006754F8"/>
    <w:rsid w:val="00675CC2"/>
    <w:rsid w:val="00676127"/>
    <w:rsid w:val="0067680A"/>
    <w:rsid w:val="00676AED"/>
    <w:rsid w:val="00677F26"/>
    <w:rsid w:val="006802A7"/>
    <w:rsid w:val="006811C9"/>
    <w:rsid w:val="006812CE"/>
    <w:rsid w:val="00681AF8"/>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2A43"/>
    <w:rsid w:val="006A2BF1"/>
    <w:rsid w:val="006A2F9A"/>
    <w:rsid w:val="006A34E4"/>
    <w:rsid w:val="006A3A5A"/>
    <w:rsid w:val="006A3BE3"/>
    <w:rsid w:val="006A44CF"/>
    <w:rsid w:val="006A457D"/>
    <w:rsid w:val="006A4586"/>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1E47"/>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4F1F"/>
    <w:rsid w:val="00715BBF"/>
    <w:rsid w:val="00715C29"/>
    <w:rsid w:val="00715CBD"/>
    <w:rsid w:val="00715E86"/>
    <w:rsid w:val="00715EAA"/>
    <w:rsid w:val="00716CAD"/>
    <w:rsid w:val="00716F18"/>
    <w:rsid w:val="00717363"/>
    <w:rsid w:val="00717786"/>
    <w:rsid w:val="00717ACB"/>
    <w:rsid w:val="00721BFF"/>
    <w:rsid w:val="00722FD8"/>
    <w:rsid w:val="007236C4"/>
    <w:rsid w:val="00724635"/>
    <w:rsid w:val="0072554B"/>
    <w:rsid w:val="0072584F"/>
    <w:rsid w:val="00725AFD"/>
    <w:rsid w:val="00726603"/>
    <w:rsid w:val="00727DDC"/>
    <w:rsid w:val="00730CD6"/>
    <w:rsid w:val="00730F74"/>
    <w:rsid w:val="0073114B"/>
    <w:rsid w:val="0073118B"/>
    <w:rsid w:val="00733158"/>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3BD"/>
    <w:rsid w:val="00745547"/>
    <w:rsid w:val="007459D0"/>
    <w:rsid w:val="00746085"/>
    <w:rsid w:val="00746174"/>
    <w:rsid w:val="0074623A"/>
    <w:rsid w:val="00746420"/>
    <w:rsid w:val="007466E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BAC"/>
    <w:rsid w:val="00754A0B"/>
    <w:rsid w:val="007552DB"/>
    <w:rsid w:val="00755B08"/>
    <w:rsid w:val="00755DD0"/>
    <w:rsid w:val="0075647A"/>
    <w:rsid w:val="007566BE"/>
    <w:rsid w:val="00756A2F"/>
    <w:rsid w:val="00756DCE"/>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0ED1"/>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73A"/>
    <w:rsid w:val="00784FC4"/>
    <w:rsid w:val="00785BBB"/>
    <w:rsid w:val="00786FAD"/>
    <w:rsid w:val="00787064"/>
    <w:rsid w:val="007873C9"/>
    <w:rsid w:val="00787628"/>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3BC"/>
    <w:rsid w:val="007979AD"/>
    <w:rsid w:val="00797A9C"/>
    <w:rsid w:val="007A0EAB"/>
    <w:rsid w:val="007A2341"/>
    <w:rsid w:val="007A38A1"/>
    <w:rsid w:val="007A3967"/>
    <w:rsid w:val="007A3BBE"/>
    <w:rsid w:val="007A3BEE"/>
    <w:rsid w:val="007A4766"/>
    <w:rsid w:val="007A5816"/>
    <w:rsid w:val="007A5947"/>
    <w:rsid w:val="007A672B"/>
    <w:rsid w:val="007B0313"/>
    <w:rsid w:val="007B05FB"/>
    <w:rsid w:val="007B0854"/>
    <w:rsid w:val="007B0E48"/>
    <w:rsid w:val="007B12A1"/>
    <w:rsid w:val="007B18FD"/>
    <w:rsid w:val="007B1D1B"/>
    <w:rsid w:val="007B303E"/>
    <w:rsid w:val="007B32C0"/>
    <w:rsid w:val="007B32F7"/>
    <w:rsid w:val="007B3659"/>
    <w:rsid w:val="007B4558"/>
    <w:rsid w:val="007B4632"/>
    <w:rsid w:val="007B46A2"/>
    <w:rsid w:val="007B470C"/>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481B"/>
    <w:rsid w:val="007C55FF"/>
    <w:rsid w:val="007C5BBD"/>
    <w:rsid w:val="007C6339"/>
    <w:rsid w:val="007C7C43"/>
    <w:rsid w:val="007C7F0D"/>
    <w:rsid w:val="007D0498"/>
    <w:rsid w:val="007D1134"/>
    <w:rsid w:val="007D20CF"/>
    <w:rsid w:val="007D23F7"/>
    <w:rsid w:val="007D2566"/>
    <w:rsid w:val="007D2C18"/>
    <w:rsid w:val="007D2C96"/>
    <w:rsid w:val="007D2D74"/>
    <w:rsid w:val="007D3395"/>
    <w:rsid w:val="007D3693"/>
    <w:rsid w:val="007D3C6D"/>
    <w:rsid w:val="007D4066"/>
    <w:rsid w:val="007D409B"/>
    <w:rsid w:val="007D467E"/>
    <w:rsid w:val="007D481A"/>
    <w:rsid w:val="007D5648"/>
    <w:rsid w:val="007D58C5"/>
    <w:rsid w:val="007D5DE8"/>
    <w:rsid w:val="007D66E8"/>
    <w:rsid w:val="007D7CFC"/>
    <w:rsid w:val="007E0812"/>
    <w:rsid w:val="007E0A95"/>
    <w:rsid w:val="007E16A4"/>
    <w:rsid w:val="007E18DF"/>
    <w:rsid w:val="007E2A04"/>
    <w:rsid w:val="007E2C36"/>
    <w:rsid w:val="007E350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29B"/>
    <w:rsid w:val="007F5A56"/>
    <w:rsid w:val="007F5C8B"/>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6413"/>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47C4"/>
    <w:rsid w:val="00835143"/>
    <w:rsid w:val="00835741"/>
    <w:rsid w:val="00836E74"/>
    <w:rsid w:val="00836EAB"/>
    <w:rsid w:val="00837673"/>
    <w:rsid w:val="00837937"/>
    <w:rsid w:val="00837D82"/>
    <w:rsid w:val="0084042E"/>
    <w:rsid w:val="00840893"/>
    <w:rsid w:val="00840E88"/>
    <w:rsid w:val="0084195A"/>
    <w:rsid w:val="008423EC"/>
    <w:rsid w:val="0084332E"/>
    <w:rsid w:val="0084340D"/>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5D69"/>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00"/>
    <w:rsid w:val="00867CEF"/>
    <w:rsid w:val="0087033C"/>
    <w:rsid w:val="00870B44"/>
    <w:rsid w:val="008714F3"/>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932"/>
    <w:rsid w:val="008808A5"/>
    <w:rsid w:val="008808C7"/>
    <w:rsid w:val="0088106B"/>
    <w:rsid w:val="0088107D"/>
    <w:rsid w:val="0088168A"/>
    <w:rsid w:val="00881E64"/>
    <w:rsid w:val="00882E39"/>
    <w:rsid w:val="00884A3F"/>
    <w:rsid w:val="008850E3"/>
    <w:rsid w:val="008850EB"/>
    <w:rsid w:val="00885DD5"/>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4A1C"/>
    <w:rsid w:val="008A5474"/>
    <w:rsid w:val="008A5C9A"/>
    <w:rsid w:val="008A6A55"/>
    <w:rsid w:val="008A6DF0"/>
    <w:rsid w:val="008A6F6E"/>
    <w:rsid w:val="008A7779"/>
    <w:rsid w:val="008A7888"/>
    <w:rsid w:val="008A796E"/>
    <w:rsid w:val="008B0862"/>
    <w:rsid w:val="008B088C"/>
    <w:rsid w:val="008B1BF5"/>
    <w:rsid w:val="008B2268"/>
    <w:rsid w:val="008B263F"/>
    <w:rsid w:val="008B47A6"/>
    <w:rsid w:val="008B672C"/>
    <w:rsid w:val="008C036D"/>
    <w:rsid w:val="008C0743"/>
    <w:rsid w:val="008C0B4C"/>
    <w:rsid w:val="008C0CFA"/>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7CA"/>
    <w:rsid w:val="008D51F2"/>
    <w:rsid w:val="008D5B7E"/>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1920"/>
    <w:rsid w:val="009026AF"/>
    <w:rsid w:val="009028E8"/>
    <w:rsid w:val="00902E5C"/>
    <w:rsid w:val="0090350D"/>
    <w:rsid w:val="009039EB"/>
    <w:rsid w:val="009046E5"/>
    <w:rsid w:val="009047C5"/>
    <w:rsid w:val="00906836"/>
    <w:rsid w:val="00910683"/>
    <w:rsid w:val="00910E00"/>
    <w:rsid w:val="009116CE"/>
    <w:rsid w:val="00911714"/>
    <w:rsid w:val="00911A5B"/>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A24"/>
    <w:rsid w:val="00947026"/>
    <w:rsid w:val="009470D4"/>
    <w:rsid w:val="00947337"/>
    <w:rsid w:val="009512FA"/>
    <w:rsid w:val="00951E57"/>
    <w:rsid w:val="00953018"/>
    <w:rsid w:val="009533E2"/>
    <w:rsid w:val="00953554"/>
    <w:rsid w:val="0095385A"/>
    <w:rsid w:val="00953928"/>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801E7"/>
    <w:rsid w:val="0098022F"/>
    <w:rsid w:val="009810DE"/>
    <w:rsid w:val="009816A2"/>
    <w:rsid w:val="009822D7"/>
    <w:rsid w:val="009827E6"/>
    <w:rsid w:val="00982F84"/>
    <w:rsid w:val="00983E71"/>
    <w:rsid w:val="0098427D"/>
    <w:rsid w:val="00984567"/>
    <w:rsid w:val="00985102"/>
    <w:rsid w:val="009865D5"/>
    <w:rsid w:val="00987119"/>
    <w:rsid w:val="009876F2"/>
    <w:rsid w:val="00987C77"/>
    <w:rsid w:val="00990345"/>
    <w:rsid w:val="00990701"/>
    <w:rsid w:val="0099119C"/>
    <w:rsid w:val="0099137A"/>
    <w:rsid w:val="0099211C"/>
    <w:rsid w:val="00993404"/>
    <w:rsid w:val="00993B78"/>
    <w:rsid w:val="0099406D"/>
    <w:rsid w:val="0099483A"/>
    <w:rsid w:val="00994C2D"/>
    <w:rsid w:val="00995119"/>
    <w:rsid w:val="009953AD"/>
    <w:rsid w:val="0099583D"/>
    <w:rsid w:val="00996668"/>
    <w:rsid w:val="00996992"/>
    <w:rsid w:val="00996E1E"/>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99E"/>
    <w:rsid w:val="009B2E29"/>
    <w:rsid w:val="009B3163"/>
    <w:rsid w:val="009B3A0B"/>
    <w:rsid w:val="009B422F"/>
    <w:rsid w:val="009B46BC"/>
    <w:rsid w:val="009B4D1A"/>
    <w:rsid w:val="009B558B"/>
    <w:rsid w:val="009B6801"/>
    <w:rsid w:val="009B6D21"/>
    <w:rsid w:val="009B78ED"/>
    <w:rsid w:val="009C0381"/>
    <w:rsid w:val="009C181C"/>
    <w:rsid w:val="009C1C7F"/>
    <w:rsid w:val="009C1E63"/>
    <w:rsid w:val="009C28A2"/>
    <w:rsid w:val="009C3239"/>
    <w:rsid w:val="009C3828"/>
    <w:rsid w:val="009C3D2C"/>
    <w:rsid w:val="009C4987"/>
    <w:rsid w:val="009C523F"/>
    <w:rsid w:val="009C58C8"/>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A23"/>
    <w:rsid w:val="009D2BDF"/>
    <w:rsid w:val="009D3736"/>
    <w:rsid w:val="009D4529"/>
    <w:rsid w:val="009D4B03"/>
    <w:rsid w:val="009D5A7F"/>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3B79"/>
    <w:rsid w:val="009E476A"/>
    <w:rsid w:val="009E4E05"/>
    <w:rsid w:val="009E56FF"/>
    <w:rsid w:val="009E5CB1"/>
    <w:rsid w:val="009E5CE8"/>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D9B"/>
    <w:rsid w:val="00A24560"/>
    <w:rsid w:val="00A25B0F"/>
    <w:rsid w:val="00A25BBB"/>
    <w:rsid w:val="00A25F8E"/>
    <w:rsid w:val="00A266B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BCE"/>
    <w:rsid w:val="00A37E73"/>
    <w:rsid w:val="00A37FB6"/>
    <w:rsid w:val="00A4104A"/>
    <w:rsid w:val="00A41081"/>
    <w:rsid w:val="00A411CA"/>
    <w:rsid w:val="00A413AD"/>
    <w:rsid w:val="00A42096"/>
    <w:rsid w:val="00A426F3"/>
    <w:rsid w:val="00A42A21"/>
    <w:rsid w:val="00A42FDF"/>
    <w:rsid w:val="00A430A9"/>
    <w:rsid w:val="00A431FE"/>
    <w:rsid w:val="00A439E5"/>
    <w:rsid w:val="00A4497A"/>
    <w:rsid w:val="00A44BE8"/>
    <w:rsid w:val="00A44C96"/>
    <w:rsid w:val="00A44F54"/>
    <w:rsid w:val="00A45F72"/>
    <w:rsid w:val="00A45F9B"/>
    <w:rsid w:val="00A46574"/>
    <w:rsid w:val="00A4657A"/>
    <w:rsid w:val="00A467C4"/>
    <w:rsid w:val="00A46B4A"/>
    <w:rsid w:val="00A500B1"/>
    <w:rsid w:val="00A52D3F"/>
    <w:rsid w:val="00A52EE5"/>
    <w:rsid w:val="00A53037"/>
    <w:rsid w:val="00A532B9"/>
    <w:rsid w:val="00A5351D"/>
    <w:rsid w:val="00A535DA"/>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6CBC"/>
    <w:rsid w:val="00A77168"/>
    <w:rsid w:val="00A7723B"/>
    <w:rsid w:val="00A7793C"/>
    <w:rsid w:val="00A77D21"/>
    <w:rsid w:val="00A80085"/>
    <w:rsid w:val="00A8043B"/>
    <w:rsid w:val="00A81323"/>
    <w:rsid w:val="00A81AC0"/>
    <w:rsid w:val="00A820CB"/>
    <w:rsid w:val="00A82342"/>
    <w:rsid w:val="00A826D4"/>
    <w:rsid w:val="00A83BEF"/>
    <w:rsid w:val="00A84443"/>
    <w:rsid w:val="00A8487F"/>
    <w:rsid w:val="00A849A3"/>
    <w:rsid w:val="00A84A0E"/>
    <w:rsid w:val="00A851FD"/>
    <w:rsid w:val="00A86E0B"/>
    <w:rsid w:val="00A9092F"/>
    <w:rsid w:val="00A90F12"/>
    <w:rsid w:val="00A93101"/>
    <w:rsid w:val="00A94293"/>
    <w:rsid w:val="00A94760"/>
    <w:rsid w:val="00A9496E"/>
    <w:rsid w:val="00A949F0"/>
    <w:rsid w:val="00A94BDE"/>
    <w:rsid w:val="00A94FCA"/>
    <w:rsid w:val="00A95ACE"/>
    <w:rsid w:val="00A95E4C"/>
    <w:rsid w:val="00A96C2C"/>
    <w:rsid w:val="00A96C60"/>
    <w:rsid w:val="00A9740B"/>
    <w:rsid w:val="00A9766C"/>
    <w:rsid w:val="00A977F8"/>
    <w:rsid w:val="00A97C93"/>
    <w:rsid w:val="00AA0544"/>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C7DCE"/>
    <w:rsid w:val="00AD0DA5"/>
    <w:rsid w:val="00AD149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4B2B"/>
    <w:rsid w:val="00AE586F"/>
    <w:rsid w:val="00AE6582"/>
    <w:rsid w:val="00AE6DC5"/>
    <w:rsid w:val="00AE74DA"/>
    <w:rsid w:val="00AE7686"/>
    <w:rsid w:val="00AE799A"/>
    <w:rsid w:val="00AF0E81"/>
    <w:rsid w:val="00AF117A"/>
    <w:rsid w:val="00AF130A"/>
    <w:rsid w:val="00AF186E"/>
    <w:rsid w:val="00AF19DF"/>
    <w:rsid w:val="00AF1F4F"/>
    <w:rsid w:val="00AF26CF"/>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1"/>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9DE"/>
    <w:rsid w:val="00B33C23"/>
    <w:rsid w:val="00B345B4"/>
    <w:rsid w:val="00B348B1"/>
    <w:rsid w:val="00B34A28"/>
    <w:rsid w:val="00B35046"/>
    <w:rsid w:val="00B356CA"/>
    <w:rsid w:val="00B35B6A"/>
    <w:rsid w:val="00B37657"/>
    <w:rsid w:val="00B37AFD"/>
    <w:rsid w:val="00B37B07"/>
    <w:rsid w:val="00B4046F"/>
    <w:rsid w:val="00B40B47"/>
    <w:rsid w:val="00B41D39"/>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48C"/>
    <w:rsid w:val="00B67630"/>
    <w:rsid w:val="00B67FBF"/>
    <w:rsid w:val="00B71FA7"/>
    <w:rsid w:val="00B72110"/>
    <w:rsid w:val="00B722E5"/>
    <w:rsid w:val="00B72B91"/>
    <w:rsid w:val="00B73019"/>
    <w:rsid w:val="00B7315F"/>
    <w:rsid w:val="00B7323A"/>
    <w:rsid w:val="00B73356"/>
    <w:rsid w:val="00B7353B"/>
    <w:rsid w:val="00B7358A"/>
    <w:rsid w:val="00B737FB"/>
    <w:rsid w:val="00B7423D"/>
    <w:rsid w:val="00B7460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079"/>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2FD4"/>
    <w:rsid w:val="00B935C9"/>
    <w:rsid w:val="00B93987"/>
    <w:rsid w:val="00B93E3D"/>
    <w:rsid w:val="00B94650"/>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10"/>
    <w:rsid w:val="00BA716D"/>
    <w:rsid w:val="00BA7370"/>
    <w:rsid w:val="00BA778B"/>
    <w:rsid w:val="00BB0888"/>
    <w:rsid w:val="00BB0DF1"/>
    <w:rsid w:val="00BB0E9B"/>
    <w:rsid w:val="00BB196B"/>
    <w:rsid w:val="00BB24C5"/>
    <w:rsid w:val="00BB2841"/>
    <w:rsid w:val="00BB2DE0"/>
    <w:rsid w:val="00BB300F"/>
    <w:rsid w:val="00BB32C9"/>
    <w:rsid w:val="00BB35C5"/>
    <w:rsid w:val="00BB4C8E"/>
    <w:rsid w:val="00BB57ED"/>
    <w:rsid w:val="00BB65C3"/>
    <w:rsid w:val="00BB662E"/>
    <w:rsid w:val="00BB67A9"/>
    <w:rsid w:val="00BB6C01"/>
    <w:rsid w:val="00BB6CDE"/>
    <w:rsid w:val="00BB7942"/>
    <w:rsid w:val="00BB7AA6"/>
    <w:rsid w:val="00BB7B11"/>
    <w:rsid w:val="00BB7CD1"/>
    <w:rsid w:val="00BC0B85"/>
    <w:rsid w:val="00BC0F33"/>
    <w:rsid w:val="00BC14A7"/>
    <w:rsid w:val="00BC1611"/>
    <w:rsid w:val="00BC16AE"/>
    <w:rsid w:val="00BC17CC"/>
    <w:rsid w:val="00BC229E"/>
    <w:rsid w:val="00BC288C"/>
    <w:rsid w:val="00BC2898"/>
    <w:rsid w:val="00BC2928"/>
    <w:rsid w:val="00BC2BB1"/>
    <w:rsid w:val="00BC34A3"/>
    <w:rsid w:val="00BC3ABB"/>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9E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39E"/>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692E"/>
    <w:rsid w:val="00C46EE6"/>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8082B"/>
    <w:rsid w:val="00C81A88"/>
    <w:rsid w:val="00C81AEC"/>
    <w:rsid w:val="00C81D46"/>
    <w:rsid w:val="00C820AD"/>
    <w:rsid w:val="00C82298"/>
    <w:rsid w:val="00C833B4"/>
    <w:rsid w:val="00C8381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286"/>
    <w:rsid w:val="00CA1691"/>
    <w:rsid w:val="00CA2E65"/>
    <w:rsid w:val="00CA3F14"/>
    <w:rsid w:val="00CA41E7"/>
    <w:rsid w:val="00CA4362"/>
    <w:rsid w:val="00CA4B2B"/>
    <w:rsid w:val="00CA5520"/>
    <w:rsid w:val="00CA5812"/>
    <w:rsid w:val="00CA5BD4"/>
    <w:rsid w:val="00CA5C14"/>
    <w:rsid w:val="00CA76FC"/>
    <w:rsid w:val="00CA7E7B"/>
    <w:rsid w:val="00CB0236"/>
    <w:rsid w:val="00CB1440"/>
    <w:rsid w:val="00CB19A3"/>
    <w:rsid w:val="00CB19E3"/>
    <w:rsid w:val="00CB2C3A"/>
    <w:rsid w:val="00CB2D38"/>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3529"/>
    <w:rsid w:val="00CD4506"/>
    <w:rsid w:val="00CD520B"/>
    <w:rsid w:val="00CD592E"/>
    <w:rsid w:val="00CD5982"/>
    <w:rsid w:val="00CD5A1A"/>
    <w:rsid w:val="00CD7EFA"/>
    <w:rsid w:val="00CE020E"/>
    <w:rsid w:val="00CE0566"/>
    <w:rsid w:val="00CE1CD4"/>
    <w:rsid w:val="00CE20E2"/>
    <w:rsid w:val="00CE23FE"/>
    <w:rsid w:val="00CE2761"/>
    <w:rsid w:val="00CE314E"/>
    <w:rsid w:val="00CE3D5C"/>
    <w:rsid w:val="00CE3E14"/>
    <w:rsid w:val="00CE44C7"/>
    <w:rsid w:val="00CE53CC"/>
    <w:rsid w:val="00CE65A7"/>
    <w:rsid w:val="00CE68FE"/>
    <w:rsid w:val="00CE69CC"/>
    <w:rsid w:val="00CE6EC4"/>
    <w:rsid w:val="00CE7F26"/>
    <w:rsid w:val="00CF1226"/>
    <w:rsid w:val="00CF16C0"/>
    <w:rsid w:val="00CF1ABB"/>
    <w:rsid w:val="00CF1E1D"/>
    <w:rsid w:val="00CF24FE"/>
    <w:rsid w:val="00CF35D0"/>
    <w:rsid w:val="00CF3DD5"/>
    <w:rsid w:val="00CF4AF7"/>
    <w:rsid w:val="00CF4D20"/>
    <w:rsid w:val="00CF73F8"/>
    <w:rsid w:val="00CF7928"/>
    <w:rsid w:val="00CF7CA2"/>
    <w:rsid w:val="00D00064"/>
    <w:rsid w:val="00D00A8E"/>
    <w:rsid w:val="00D00DE0"/>
    <w:rsid w:val="00D00F79"/>
    <w:rsid w:val="00D012BF"/>
    <w:rsid w:val="00D01760"/>
    <w:rsid w:val="00D02FB1"/>
    <w:rsid w:val="00D0368E"/>
    <w:rsid w:val="00D03D2D"/>
    <w:rsid w:val="00D03E7B"/>
    <w:rsid w:val="00D0401A"/>
    <w:rsid w:val="00D047E0"/>
    <w:rsid w:val="00D04B9F"/>
    <w:rsid w:val="00D04FFB"/>
    <w:rsid w:val="00D05153"/>
    <w:rsid w:val="00D05640"/>
    <w:rsid w:val="00D058E9"/>
    <w:rsid w:val="00D0612A"/>
    <w:rsid w:val="00D06A0E"/>
    <w:rsid w:val="00D1060D"/>
    <w:rsid w:val="00D10E7C"/>
    <w:rsid w:val="00D11182"/>
    <w:rsid w:val="00D1137B"/>
    <w:rsid w:val="00D11807"/>
    <w:rsid w:val="00D11DB3"/>
    <w:rsid w:val="00D12156"/>
    <w:rsid w:val="00D12C0E"/>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0E74"/>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0AC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0EBA"/>
    <w:rsid w:val="00D51E15"/>
    <w:rsid w:val="00D52B7E"/>
    <w:rsid w:val="00D52E2F"/>
    <w:rsid w:val="00D52F59"/>
    <w:rsid w:val="00D53E3E"/>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025"/>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1AD"/>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68BB"/>
    <w:rsid w:val="00DB6E46"/>
    <w:rsid w:val="00DB7117"/>
    <w:rsid w:val="00DB7760"/>
    <w:rsid w:val="00DB7DD4"/>
    <w:rsid w:val="00DC00B4"/>
    <w:rsid w:val="00DC022F"/>
    <w:rsid w:val="00DC0954"/>
    <w:rsid w:val="00DC1182"/>
    <w:rsid w:val="00DC15BA"/>
    <w:rsid w:val="00DC18CD"/>
    <w:rsid w:val="00DC1A68"/>
    <w:rsid w:val="00DC30B8"/>
    <w:rsid w:val="00DC32C6"/>
    <w:rsid w:val="00DC452D"/>
    <w:rsid w:val="00DC478F"/>
    <w:rsid w:val="00DC5A10"/>
    <w:rsid w:val="00DC62E5"/>
    <w:rsid w:val="00DC65E4"/>
    <w:rsid w:val="00DC6AB9"/>
    <w:rsid w:val="00DC6F33"/>
    <w:rsid w:val="00DC7349"/>
    <w:rsid w:val="00DD118B"/>
    <w:rsid w:val="00DD14D8"/>
    <w:rsid w:val="00DD1599"/>
    <w:rsid w:val="00DD177F"/>
    <w:rsid w:val="00DD1B03"/>
    <w:rsid w:val="00DD2A62"/>
    <w:rsid w:val="00DD2F2F"/>
    <w:rsid w:val="00DD2F7A"/>
    <w:rsid w:val="00DD3885"/>
    <w:rsid w:val="00DD4967"/>
    <w:rsid w:val="00DD5056"/>
    <w:rsid w:val="00DD5808"/>
    <w:rsid w:val="00DD5946"/>
    <w:rsid w:val="00DD5B04"/>
    <w:rsid w:val="00DD5BCC"/>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889"/>
    <w:rsid w:val="00DF3CC9"/>
    <w:rsid w:val="00DF4451"/>
    <w:rsid w:val="00DF49FF"/>
    <w:rsid w:val="00DF4FFB"/>
    <w:rsid w:val="00DF5236"/>
    <w:rsid w:val="00DF651F"/>
    <w:rsid w:val="00DF6E10"/>
    <w:rsid w:val="00DF6F43"/>
    <w:rsid w:val="00DF6F4F"/>
    <w:rsid w:val="00DF752F"/>
    <w:rsid w:val="00DF76A2"/>
    <w:rsid w:val="00DF7B33"/>
    <w:rsid w:val="00E00B7A"/>
    <w:rsid w:val="00E01A65"/>
    <w:rsid w:val="00E02186"/>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6E8"/>
    <w:rsid w:val="00E31A4A"/>
    <w:rsid w:val="00E31C43"/>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2E4D"/>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513"/>
    <w:rsid w:val="00E60B5F"/>
    <w:rsid w:val="00E613AE"/>
    <w:rsid w:val="00E61429"/>
    <w:rsid w:val="00E61ABB"/>
    <w:rsid w:val="00E61BA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AF5"/>
    <w:rsid w:val="00E8029A"/>
    <w:rsid w:val="00E81653"/>
    <w:rsid w:val="00E823F9"/>
    <w:rsid w:val="00E82C1F"/>
    <w:rsid w:val="00E83671"/>
    <w:rsid w:val="00E84A71"/>
    <w:rsid w:val="00E84DDD"/>
    <w:rsid w:val="00E8544B"/>
    <w:rsid w:val="00E86556"/>
    <w:rsid w:val="00E86798"/>
    <w:rsid w:val="00E86D35"/>
    <w:rsid w:val="00E86DC2"/>
    <w:rsid w:val="00E86E32"/>
    <w:rsid w:val="00E8732E"/>
    <w:rsid w:val="00E87E1F"/>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53D3"/>
    <w:rsid w:val="00EA560B"/>
    <w:rsid w:val="00EA5669"/>
    <w:rsid w:val="00EA5C05"/>
    <w:rsid w:val="00EA63EF"/>
    <w:rsid w:val="00EA6750"/>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16E2"/>
    <w:rsid w:val="00EC17C2"/>
    <w:rsid w:val="00EC1CE7"/>
    <w:rsid w:val="00EC26F1"/>
    <w:rsid w:val="00EC36B1"/>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3E47"/>
    <w:rsid w:val="00ED43A2"/>
    <w:rsid w:val="00ED4967"/>
    <w:rsid w:val="00ED4C5E"/>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70"/>
    <w:rsid w:val="00EF688A"/>
    <w:rsid w:val="00EF6A03"/>
    <w:rsid w:val="00EF6DC2"/>
    <w:rsid w:val="00EF7B96"/>
    <w:rsid w:val="00EF7BF4"/>
    <w:rsid w:val="00F0030F"/>
    <w:rsid w:val="00F00674"/>
    <w:rsid w:val="00F01657"/>
    <w:rsid w:val="00F01E67"/>
    <w:rsid w:val="00F02744"/>
    <w:rsid w:val="00F02BFD"/>
    <w:rsid w:val="00F02D25"/>
    <w:rsid w:val="00F03C0D"/>
    <w:rsid w:val="00F0435D"/>
    <w:rsid w:val="00F04580"/>
    <w:rsid w:val="00F04A2D"/>
    <w:rsid w:val="00F04ECA"/>
    <w:rsid w:val="00F06E19"/>
    <w:rsid w:val="00F06F84"/>
    <w:rsid w:val="00F076E7"/>
    <w:rsid w:val="00F07AA1"/>
    <w:rsid w:val="00F105AE"/>
    <w:rsid w:val="00F10618"/>
    <w:rsid w:val="00F10D68"/>
    <w:rsid w:val="00F1108B"/>
    <w:rsid w:val="00F110FF"/>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759"/>
    <w:rsid w:val="00F23CB5"/>
    <w:rsid w:val="00F241D3"/>
    <w:rsid w:val="00F24644"/>
    <w:rsid w:val="00F256FD"/>
    <w:rsid w:val="00F259F1"/>
    <w:rsid w:val="00F25B29"/>
    <w:rsid w:val="00F26F33"/>
    <w:rsid w:val="00F300A8"/>
    <w:rsid w:val="00F30400"/>
    <w:rsid w:val="00F3079E"/>
    <w:rsid w:val="00F32C50"/>
    <w:rsid w:val="00F32DF2"/>
    <w:rsid w:val="00F33980"/>
    <w:rsid w:val="00F3399B"/>
    <w:rsid w:val="00F33C1A"/>
    <w:rsid w:val="00F3461B"/>
    <w:rsid w:val="00F346ED"/>
    <w:rsid w:val="00F34945"/>
    <w:rsid w:val="00F34E1E"/>
    <w:rsid w:val="00F3570C"/>
    <w:rsid w:val="00F36639"/>
    <w:rsid w:val="00F368FF"/>
    <w:rsid w:val="00F37068"/>
    <w:rsid w:val="00F37F3F"/>
    <w:rsid w:val="00F40992"/>
    <w:rsid w:val="00F40C59"/>
    <w:rsid w:val="00F412DF"/>
    <w:rsid w:val="00F41596"/>
    <w:rsid w:val="00F41D8B"/>
    <w:rsid w:val="00F42121"/>
    <w:rsid w:val="00F424B3"/>
    <w:rsid w:val="00F428B1"/>
    <w:rsid w:val="00F428B4"/>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2DD"/>
    <w:rsid w:val="00F605EC"/>
    <w:rsid w:val="00F60F60"/>
    <w:rsid w:val="00F612CE"/>
    <w:rsid w:val="00F615E1"/>
    <w:rsid w:val="00F624A7"/>
    <w:rsid w:val="00F62AB6"/>
    <w:rsid w:val="00F63984"/>
    <w:rsid w:val="00F65A3C"/>
    <w:rsid w:val="00F66282"/>
    <w:rsid w:val="00F67D8B"/>
    <w:rsid w:val="00F70702"/>
    <w:rsid w:val="00F70961"/>
    <w:rsid w:val="00F70A8F"/>
    <w:rsid w:val="00F71397"/>
    <w:rsid w:val="00F71B9D"/>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FAC"/>
    <w:rsid w:val="00FA1DA0"/>
    <w:rsid w:val="00FA1DA2"/>
    <w:rsid w:val="00FA2EF7"/>
    <w:rsid w:val="00FA3414"/>
    <w:rsid w:val="00FA347A"/>
    <w:rsid w:val="00FA3CDE"/>
    <w:rsid w:val="00FA49B7"/>
    <w:rsid w:val="00FA5043"/>
    <w:rsid w:val="00FA6F8B"/>
    <w:rsid w:val="00FA7A30"/>
    <w:rsid w:val="00FB033F"/>
    <w:rsid w:val="00FB12E3"/>
    <w:rsid w:val="00FB1570"/>
    <w:rsid w:val="00FB193B"/>
    <w:rsid w:val="00FB1DB7"/>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3FBF"/>
    <w:rsid w:val="00FF4BD8"/>
    <w:rsid w:val="00FF4D11"/>
    <w:rsid w:val="00FF5214"/>
    <w:rsid w:val="00FF596E"/>
    <w:rsid w:val="00FF5B59"/>
    <w:rsid w:val="00FF5BFD"/>
    <w:rsid w:val="00FF5C01"/>
    <w:rsid w:val="00FF5E36"/>
    <w:rsid w:val="00FF5F9D"/>
    <w:rsid w:val="00FF6095"/>
    <w:rsid w:val="00FF62FE"/>
    <w:rsid w:val="00FF6553"/>
    <w:rsid w:val="00FF7134"/>
    <w:rsid w:val="00FF7A39"/>
    <w:rsid w:val="5D8427F0"/>
    <w:rsid w:val="781BC89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D30AC9"/>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117599">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46338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digo_contencioso_administrativo_pr00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retariasenado.gov.co/senado/basedoc/codigo_contencioso_administrativo_pr00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3085262C-9FAD-4A09-B405-C269E6999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16</Pages>
  <Words>6292</Words>
  <Characters>34607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Edwin Johan Chocontá Quintero</cp:lastModifiedBy>
  <cp:revision>2</cp:revision>
  <cp:lastPrinted>2020-01-30T15:05:00Z</cp:lastPrinted>
  <dcterms:created xsi:type="dcterms:W3CDTF">2022-04-19T18:22:00Z</dcterms:created>
  <dcterms:modified xsi:type="dcterms:W3CDTF">2022-04-19T18:22:00Z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