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0CA03BB4" w:rsidR="00DD5B04" w:rsidRPr="008C036D" w:rsidRDefault="002411DE" w:rsidP="00B21040">
      <w:pPr>
        <w:ind w:right="49"/>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B21040">
      <w:pPr>
        <w:ind w:right="49"/>
        <w:jc w:val="both"/>
        <w:rPr>
          <w:rFonts w:ascii="Arial" w:eastAsia="Calibri" w:hAnsi="Arial" w:cs="Arial"/>
          <w:b/>
          <w:bCs/>
          <w:color w:val="000000" w:themeColor="text1"/>
          <w:sz w:val="22"/>
          <w:lang w:val="es-ES_tradnl"/>
        </w:rPr>
      </w:pPr>
    </w:p>
    <w:p w14:paraId="67CCD2B2" w14:textId="77777777" w:rsidR="00E31096" w:rsidRPr="004B6890" w:rsidRDefault="00E31096" w:rsidP="00B21040">
      <w:pPr>
        <w:tabs>
          <w:tab w:val="left" w:pos="426"/>
        </w:tabs>
        <w:ind w:right="49"/>
        <w:jc w:val="both"/>
        <w:rPr>
          <w:rFonts w:ascii="Arial" w:eastAsia="Calibri" w:hAnsi="Arial" w:cs="Arial"/>
          <w:b/>
          <w:bCs/>
          <w:sz w:val="22"/>
          <w:szCs w:val="22"/>
          <w:lang w:val="es-MX" w:eastAsia="en-US"/>
        </w:rPr>
      </w:pPr>
      <w:bookmarkStart w:id="2" w:name="_Hlk77152637"/>
      <w:bookmarkStart w:id="3" w:name="_Hlk77157066"/>
      <w:bookmarkStart w:id="4" w:name="_Hlk78821436"/>
      <w:bookmarkStart w:id="5" w:name="_Hlk66173765"/>
      <w:r w:rsidRPr="004B6890">
        <w:rPr>
          <w:rFonts w:ascii="Arial" w:eastAsia="Calibri" w:hAnsi="Arial" w:cs="Arial"/>
          <w:b/>
          <w:bCs/>
          <w:sz w:val="22"/>
          <w:szCs w:val="22"/>
          <w:lang w:val="es-MX" w:eastAsia="en-US"/>
        </w:rPr>
        <w:t>LEY DE GARANTÍAS ELECTORALES ‒</w:t>
      </w:r>
      <w:bookmarkEnd w:id="2"/>
      <w:r w:rsidRPr="004B6890">
        <w:rPr>
          <w:rFonts w:ascii="Arial" w:eastAsia="Calibri" w:hAnsi="Arial" w:cs="Arial"/>
          <w:b/>
          <w:bCs/>
          <w:sz w:val="22"/>
          <w:szCs w:val="22"/>
          <w:lang w:val="es-MX" w:eastAsia="en-US"/>
        </w:rPr>
        <w:t xml:space="preserve"> Tipos de restricciones </w:t>
      </w:r>
      <w:bookmarkStart w:id="6" w:name="_Hlk77157034"/>
      <w:r w:rsidRPr="004B6890">
        <w:rPr>
          <w:rFonts w:ascii="Arial" w:eastAsia="Calibri" w:hAnsi="Arial" w:cs="Arial"/>
          <w:b/>
          <w:bCs/>
          <w:sz w:val="22"/>
          <w:szCs w:val="22"/>
          <w:lang w:val="es-MX" w:eastAsia="en-US"/>
        </w:rPr>
        <w:t xml:space="preserve">‒ </w:t>
      </w:r>
      <w:bookmarkStart w:id="7" w:name="_Hlk77153098"/>
      <w:bookmarkEnd w:id="6"/>
      <w:r w:rsidRPr="004B6890">
        <w:rPr>
          <w:rFonts w:ascii="Arial" w:eastAsia="Calibri" w:hAnsi="Arial" w:cs="Arial"/>
          <w:b/>
          <w:bCs/>
          <w:sz w:val="22"/>
          <w:szCs w:val="22"/>
          <w:lang w:val="es-MX" w:eastAsia="en-US"/>
        </w:rPr>
        <w:t xml:space="preserve">Ámbito temporal </w:t>
      </w:r>
      <w:bookmarkEnd w:id="7"/>
    </w:p>
    <w:p w14:paraId="37BBDF57" w14:textId="77777777" w:rsidR="00E31096" w:rsidRPr="00E31096" w:rsidRDefault="00E31096" w:rsidP="00B21040">
      <w:pPr>
        <w:tabs>
          <w:tab w:val="left" w:pos="426"/>
        </w:tabs>
        <w:ind w:right="49"/>
        <w:jc w:val="both"/>
        <w:rPr>
          <w:rFonts w:ascii="Arial" w:eastAsia="Calibri" w:hAnsi="Arial" w:cs="Arial"/>
          <w:b/>
          <w:bCs/>
          <w:sz w:val="20"/>
          <w:szCs w:val="20"/>
          <w:lang w:val="es-MX" w:eastAsia="en-US"/>
        </w:rPr>
      </w:pPr>
    </w:p>
    <w:bookmarkEnd w:id="3"/>
    <w:p w14:paraId="7FF624E6" w14:textId="581AD6C6" w:rsidR="00B32FA4" w:rsidRDefault="00E31096" w:rsidP="00B21040">
      <w:pPr>
        <w:tabs>
          <w:tab w:val="left" w:pos="426"/>
        </w:tabs>
        <w:ind w:right="49"/>
        <w:jc w:val="both"/>
        <w:rPr>
          <w:rFonts w:ascii="Arial" w:eastAsia="Calibri" w:hAnsi="Arial" w:cs="Arial"/>
          <w:noProof/>
          <w:sz w:val="20"/>
          <w:szCs w:val="20"/>
          <w:lang w:val="es-ES_tradnl" w:eastAsia="en-US" w:bidi="es-ES"/>
        </w:rPr>
      </w:pPr>
      <w:r w:rsidRPr="00E31096">
        <w:rPr>
          <w:rFonts w:ascii="Arial" w:eastAsia="Calibri" w:hAnsi="Arial" w:cs="Arial"/>
          <w:noProof/>
          <w:sz w:val="20"/>
          <w:szCs w:val="20"/>
          <w:lang w:val="es-ES_tradnl" w:eastAsia="en-US"/>
        </w:rPr>
        <w:t xml:space="preserve">[…] </w:t>
      </w:r>
      <w:r w:rsidR="004C05AD" w:rsidRPr="00990FC7">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0EF6583" w14:textId="77777777" w:rsidR="00E31096" w:rsidRPr="00E31096" w:rsidRDefault="00E31096" w:rsidP="00B21040">
      <w:pPr>
        <w:tabs>
          <w:tab w:val="left" w:pos="426"/>
        </w:tabs>
        <w:ind w:right="49"/>
        <w:jc w:val="both"/>
        <w:rPr>
          <w:rFonts w:ascii="Arial" w:eastAsia="Calibri" w:hAnsi="Arial" w:cs="Arial"/>
          <w:noProof/>
          <w:sz w:val="20"/>
          <w:szCs w:val="20"/>
          <w:lang w:val="es-ES_tradnl" w:eastAsia="en-US"/>
        </w:rPr>
      </w:pPr>
    </w:p>
    <w:p w14:paraId="1B161E45" w14:textId="77777777" w:rsidR="00E31096" w:rsidRPr="004B6890" w:rsidRDefault="00E31096" w:rsidP="00B21040">
      <w:pPr>
        <w:tabs>
          <w:tab w:val="left" w:pos="426"/>
        </w:tabs>
        <w:ind w:right="49"/>
        <w:jc w:val="both"/>
        <w:rPr>
          <w:rFonts w:ascii="Arial" w:eastAsia="Calibri" w:hAnsi="Arial" w:cs="Arial"/>
          <w:b/>
          <w:bCs/>
          <w:sz w:val="22"/>
          <w:szCs w:val="22"/>
          <w:lang w:val="es-MX" w:eastAsia="en-US"/>
        </w:rPr>
      </w:pPr>
      <w:bookmarkStart w:id="8" w:name="_Hlk77165666"/>
      <w:r w:rsidRPr="004B6890">
        <w:rPr>
          <w:rFonts w:ascii="Arial" w:eastAsia="Calibri" w:hAnsi="Arial" w:cs="Arial"/>
          <w:b/>
          <w:bCs/>
          <w:sz w:val="22"/>
          <w:szCs w:val="22"/>
          <w:lang w:val="es-MX" w:eastAsia="en-US"/>
        </w:rPr>
        <w:t xml:space="preserve">LEY DE GARANTÍAS ELECTORALES ─ Prohibición ‒ </w:t>
      </w:r>
      <w:bookmarkEnd w:id="8"/>
      <w:r w:rsidRPr="004B6890">
        <w:rPr>
          <w:rFonts w:ascii="Arial" w:eastAsia="Calibri" w:hAnsi="Arial" w:cs="Arial"/>
          <w:b/>
          <w:bCs/>
          <w:sz w:val="22"/>
          <w:szCs w:val="22"/>
          <w:lang w:val="es-MX" w:eastAsia="en-US"/>
        </w:rPr>
        <w:t xml:space="preserve">Contratación directa ‒ Alcance – </w:t>
      </w:r>
      <w:r w:rsidRPr="004B6890">
        <w:rPr>
          <w:rFonts w:ascii="Arial" w:hAnsi="Arial" w:cs="Arial"/>
          <w:b/>
          <w:bCs/>
          <w:sz w:val="22"/>
          <w:szCs w:val="22"/>
          <w:lang w:eastAsia="es-CO"/>
        </w:rPr>
        <w:t>Excepciones</w:t>
      </w:r>
      <w:r w:rsidRPr="004B6890">
        <w:rPr>
          <w:rFonts w:ascii="Arial" w:eastAsia="Calibri" w:hAnsi="Arial" w:cs="Arial"/>
          <w:b/>
          <w:bCs/>
          <w:sz w:val="22"/>
          <w:szCs w:val="22"/>
          <w:lang w:val="es-MX" w:eastAsia="en-US"/>
        </w:rPr>
        <w:t xml:space="preserve"> </w:t>
      </w:r>
    </w:p>
    <w:p w14:paraId="3A940213" w14:textId="77777777" w:rsidR="00E31096" w:rsidRPr="00E31096" w:rsidRDefault="00E31096" w:rsidP="00B21040">
      <w:pPr>
        <w:tabs>
          <w:tab w:val="left" w:pos="426"/>
        </w:tabs>
        <w:ind w:right="49"/>
        <w:jc w:val="both"/>
        <w:rPr>
          <w:rFonts w:ascii="Arial" w:eastAsia="Calibri" w:hAnsi="Arial" w:cs="Arial"/>
          <w:noProof/>
          <w:sz w:val="20"/>
          <w:szCs w:val="20"/>
          <w:lang w:val="es-MX" w:eastAsia="en-US"/>
        </w:rPr>
      </w:pPr>
    </w:p>
    <w:p w14:paraId="5ABE0BCB" w14:textId="77777777" w:rsidR="004C05AD" w:rsidRPr="004C05AD" w:rsidRDefault="00E31096" w:rsidP="004C05AD">
      <w:pPr>
        <w:tabs>
          <w:tab w:val="left" w:pos="426"/>
        </w:tabs>
        <w:ind w:right="49"/>
        <w:jc w:val="both"/>
        <w:rPr>
          <w:rFonts w:ascii="Arial" w:eastAsia="Calibri" w:hAnsi="Arial" w:cs="Arial"/>
          <w:noProof/>
          <w:sz w:val="20"/>
          <w:szCs w:val="20"/>
          <w:lang w:val="es-MX" w:eastAsia="en-US"/>
        </w:rPr>
      </w:pPr>
      <w:r w:rsidRPr="00E31096">
        <w:rPr>
          <w:rFonts w:ascii="Arial" w:eastAsia="Calibri" w:hAnsi="Arial" w:cs="Arial"/>
          <w:noProof/>
          <w:sz w:val="20"/>
          <w:szCs w:val="20"/>
          <w:lang w:val="es-MX" w:eastAsia="en-US"/>
        </w:rPr>
        <w:t xml:space="preserve">[…] </w:t>
      </w:r>
      <w:r w:rsidR="004C05AD" w:rsidRPr="004C05AD">
        <w:rPr>
          <w:rFonts w:ascii="Arial" w:eastAsia="Calibri" w:hAnsi="Arial" w:cs="Arial"/>
          <w:noProof/>
          <w:sz w:val="20"/>
          <w:szCs w:val="20"/>
          <w:lang w:val="es-MX" w:eastAsia="en-US"/>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47D74E07" w14:textId="77777777" w:rsidR="004C05AD" w:rsidRPr="004C05AD" w:rsidRDefault="004C05AD" w:rsidP="004C05AD">
      <w:pPr>
        <w:tabs>
          <w:tab w:val="left" w:pos="426"/>
        </w:tabs>
        <w:ind w:right="49"/>
        <w:jc w:val="both"/>
        <w:rPr>
          <w:rFonts w:ascii="Arial" w:eastAsia="Calibri" w:hAnsi="Arial" w:cs="Arial"/>
          <w:noProof/>
          <w:sz w:val="20"/>
          <w:szCs w:val="20"/>
          <w:lang w:eastAsia="en-US"/>
        </w:rPr>
      </w:pPr>
    </w:p>
    <w:p w14:paraId="29D92FDF" w14:textId="3E2A9149" w:rsidR="004C05AD" w:rsidRDefault="004C05AD" w:rsidP="004C05AD">
      <w:pPr>
        <w:tabs>
          <w:tab w:val="left" w:pos="426"/>
        </w:tabs>
        <w:ind w:right="49"/>
        <w:jc w:val="both"/>
        <w:rPr>
          <w:rFonts w:ascii="Arial" w:eastAsia="Calibri" w:hAnsi="Arial" w:cs="Arial"/>
          <w:noProof/>
          <w:sz w:val="20"/>
          <w:szCs w:val="20"/>
          <w:lang w:val="es-MX" w:eastAsia="en-US"/>
        </w:rPr>
      </w:pPr>
      <w:r w:rsidRPr="004C05AD">
        <w:rPr>
          <w:rFonts w:ascii="Arial" w:eastAsia="Calibri" w:hAnsi="Arial" w:cs="Arial"/>
          <w:noProof/>
          <w:sz w:val="20"/>
          <w:szCs w:val="20"/>
          <w:lang w:eastAsia="en-US"/>
        </w:rPr>
        <w:t xml:space="preserve">[…] </w:t>
      </w:r>
      <w:r w:rsidRPr="004C05AD">
        <w:rPr>
          <w:rFonts w:ascii="Arial" w:eastAsia="Calibri" w:hAnsi="Arial" w:cs="Arial"/>
          <w:noProof/>
          <w:sz w:val="20"/>
          <w:szCs w:val="20"/>
          <w:lang w:val="es-MX" w:eastAsia="en-US"/>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6C87985" w14:textId="77777777" w:rsidR="00E31096" w:rsidRPr="004C05AD" w:rsidRDefault="00E31096" w:rsidP="00B21040">
      <w:pPr>
        <w:tabs>
          <w:tab w:val="left" w:pos="426"/>
        </w:tabs>
        <w:ind w:right="49"/>
        <w:jc w:val="both"/>
        <w:rPr>
          <w:rFonts w:eastAsia="Calibri"/>
        </w:rPr>
      </w:pPr>
    </w:p>
    <w:p w14:paraId="33EAE1CC" w14:textId="77777777" w:rsidR="00E31096" w:rsidRPr="004B6890" w:rsidRDefault="00E31096" w:rsidP="00B21040">
      <w:pPr>
        <w:ind w:right="49"/>
        <w:jc w:val="both"/>
        <w:rPr>
          <w:rFonts w:ascii="Arial" w:hAnsi="Arial" w:cs="Arial"/>
          <w:b/>
          <w:sz w:val="22"/>
          <w:szCs w:val="22"/>
          <w:lang w:val="es-ES" w:eastAsia="es-CO"/>
        </w:rPr>
      </w:pPr>
      <w:r w:rsidRPr="004B6890">
        <w:rPr>
          <w:rFonts w:ascii="Arial" w:hAnsi="Arial" w:cs="Arial"/>
          <w:b/>
          <w:bCs/>
          <w:sz w:val="22"/>
          <w:szCs w:val="22"/>
          <w:lang w:eastAsia="es-CO"/>
        </w:rPr>
        <w:t xml:space="preserve">LEY DE GARANTÍAS ELECTORALES </w:t>
      </w:r>
      <w:bookmarkStart w:id="9" w:name="_Hlk77166669"/>
      <w:r w:rsidRPr="004B6890">
        <w:rPr>
          <w:rFonts w:ascii="Arial" w:hAnsi="Arial" w:cs="Arial"/>
          <w:b/>
          <w:bCs/>
          <w:sz w:val="22"/>
          <w:szCs w:val="22"/>
          <w:lang w:eastAsia="es-CO"/>
        </w:rPr>
        <w:t>‒</w:t>
      </w:r>
      <w:bookmarkEnd w:id="9"/>
      <w:r w:rsidRPr="004B6890">
        <w:rPr>
          <w:rFonts w:ascii="Arial" w:hAnsi="Arial" w:cs="Arial"/>
          <w:b/>
          <w:bCs/>
          <w:sz w:val="22"/>
          <w:szCs w:val="22"/>
          <w:lang w:eastAsia="es-CO"/>
        </w:rPr>
        <w:t xml:space="preserve"> </w:t>
      </w:r>
      <w:r w:rsidRPr="004B6890">
        <w:rPr>
          <w:rFonts w:ascii="Arial" w:hAnsi="Arial" w:cs="Arial"/>
          <w:b/>
          <w:sz w:val="22"/>
          <w:szCs w:val="22"/>
          <w:lang w:val="es-ES" w:eastAsia="es-CO"/>
        </w:rPr>
        <w:t xml:space="preserve">Prohibición del artículo 33 </w:t>
      </w:r>
      <w:r w:rsidRPr="004B6890">
        <w:rPr>
          <w:rFonts w:ascii="Arial" w:hAnsi="Arial" w:cs="Arial"/>
          <w:b/>
          <w:bCs/>
          <w:sz w:val="22"/>
          <w:szCs w:val="22"/>
          <w:lang w:eastAsia="es-CO"/>
        </w:rPr>
        <w:t>‒ Destinatarios</w:t>
      </w:r>
    </w:p>
    <w:p w14:paraId="54E519F6" w14:textId="77777777" w:rsidR="00E31096" w:rsidRPr="00E31096" w:rsidRDefault="00E31096" w:rsidP="00B21040">
      <w:pPr>
        <w:tabs>
          <w:tab w:val="left" w:pos="426"/>
        </w:tabs>
        <w:ind w:right="49"/>
        <w:jc w:val="both"/>
        <w:rPr>
          <w:rFonts w:ascii="Arial" w:eastAsia="Calibri" w:hAnsi="Arial" w:cs="Arial"/>
          <w:noProof/>
          <w:sz w:val="20"/>
          <w:szCs w:val="20"/>
          <w:lang w:val="es-ES" w:eastAsia="en-US"/>
        </w:rPr>
      </w:pPr>
    </w:p>
    <w:p w14:paraId="730545D4" w14:textId="23A2B609" w:rsidR="004C05AD" w:rsidRPr="00FE0B6A" w:rsidRDefault="004C05AD" w:rsidP="00FE0B6A">
      <w:pPr>
        <w:tabs>
          <w:tab w:val="left" w:pos="426"/>
        </w:tabs>
        <w:ind w:right="49"/>
        <w:jc w:val="both"/>
        <w:rPr>
          <w:rFonts w:ascii="Arial" w:eastAsia="Calibri" w:hAnsi="Arial" w:cs="Arial"/>
          <w:bCs/>
          <w:noProof/>
          <w:sz w:val="20"/>
          <w:szCs w:val="20"/>
          <w:lang w:eastAsia="en-US"/>
        </w:rPr>
      </w:pPr>
      <w:r w:rsidRPr="004C05AD">
        <w:rPr>
          <w:rFonts w:ascii="Arial" w:eastAsia="Calibri" w:hAnsi="Arial" w:cs="Arial"/>
          <w:bCs/>
          <w:noProof/>
          <w:sz w:val="20"/>
          <w:szCs w:val="20"/>
          <w:lang w:eastAsia="en-US"/>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E23195" w:rsidRPr="00E23195">
        <w:rPr>
          <w:rFonts w:ascii="Arial" w:eastAsia="Calibri" w:hAnsi="Arial" w:cs="Arial"/>
          <w:bCs/>
          <w:color w:val="000000" w:themeColor="text1"/>
          <w:sz w:val="20"/>
          <w:szCs w:val="20"/>
          <w:lang w:val="es-MX" w:eastAsia="en-US" w:bidi="es-ES"/>
        </w:rPr>
        <w:t>o casos de fuerza mayor; y, v) los que deban realizar las entidades sanitarias y hospitalarias.</w:t>
      </w:r>
    </w:p>
    <w:p w14:paraId="2EC127DF" w14:textId="77777777" w:rsidR="00E23195" w:rsidRDefault="00E23195" w:rsidP="00E23195">
      <w:pPr>
        <w:tabs>
          <w:tab w:val="left" w:pos="426"/>
        </w:tabs>
        <w:rPr>
          <w:rFonts w:ascii="Arial" w:eastAsia="Arial" w:hAnsi="Arial" w:cs="Arial"/>
          <w:sz w:val="20"/>
          <w:szCs w:val="20"/>
        </w:rPr>
      </w:pPr>
    </w:p>
    <w:p w14:paraId="43235F97" w14:textId="026F14EC" w:rsidR="00E23195" w:rsidRPr="004B6890" w:rsidRDefault="00E23195" w:rsidP="0080278B">
      <w:pPr>
        <w:shd w:val="clear" w:color="auto" w:fill="FFFFFF"/>
        <w:jc w:val="both"/>
        <w:rPr>
          <w:rFonts w:ascii="Arial" w:eastAsia="Arial" w:hAnsi="Arial" w:cs="Arial"/>
          <w:sz w:val="22"/>
          <w:szCs w:val="22"/>
        </w:rPr>
      </w:pPr>
      <w:r w:rsidRPr="004B6890">
        <w:rPr>
          <w:rFonts w:ascii="Arial" w:eastAsia="Arial" w:hAnsi="Arial" w:cs="Arial"/>
          <w:b/>
          <w:sz w:val="22"/>
          <w:szCs w:val="22"/>
        </w:rPr>
        <w:t>LEY DE GARANTÍAS ELECTORALES ‒ Excepciones</w:t>
      </w:r>
      <w:r w:rsidR="0080278B" w:rsidRPr="004B6890">
        <w:rPr>
          <w:rFonts w:ascii="Arial" w:eastAsia="Arial" w:hAnsi="Arial" w:cs="Arial"/>
          <w:b/>
          <w:sz w:val="22"/>
          <w:szCs w:val="22"/>
        </w:rPr>
        <w:t xml:space="preserve"> </w:t>
      </w:r>
      <w:r w:rsidR="0080278B" w:rsidRPr="004B6890">
        <w:rPr>
          <w:rFonts w:ascii="Arial" w:hAnsi="Arial" w:cs="Arial"/>
          <w:b/>
          <w:bCs/>
          <w:sz w:val="22"/>
          <w:szCs w:val="22"/>
          <w:lang w:eastAsia="es-CO"/>
        </w:rPr>
        <w:t xml:space="preserve">‒ </w:t>
      </w:r>
      <w:r w:rsidRPr="004B6890">
        <w:rPr>
          <w:rFonts w:ascii="Arial" w:eastAsia="Arial" w:hAnsi="Arial" w:cs="Arial"/>
          <w:b/>
          <w:sz w:val="22"/>
          <w:szCs w:val="22"/>
        </w:rPr>
        <w:t>Entidades hospitalarias</w:t>
      </w:r>
      <w:r w:rsidR="0080278B" w:rsidRPr="004B6890">
        <w:rPr>
          <w:rFonts w:ascii="Arial" w:eastAsia="Arial" w:hAnsi="Arial" w:cs="Arial"/>
          <w:b/>
          <w:sz w:val="22"/>
          <w:szCs w:val="22"/>
        </w:rPr>
        <w:t xml:space="preserve"> </w:t>
      </w:r>
      <w:r w:rsidR="0080278B" w:rsidRPr="004B6890">
        <w:rPr>
          <w:rFonts w:ascii="Arial" w:hAnsi="Arial" w:cs="Arial"/>
          <w:b/>
          <w:bCs/>
          <w:sz w:val="22"/>
          <w:szCs w:val="22"/>
          <w:lang w:eastAsia="es-CO"/>
        </w:rPr>
        <w:t>‒ Departamentos</w:t>
      </w:r>
    </w:p>
    <w:p w14:paraId="29409F6B" w14:textId="731E7CDA" w:rsidR="004C05AD" w:rsidRDefault="004C05AD" w:rsidP="00B21040">
      <w:pPr>
        <w:ind w:right="49"/>
        <w:jc w:val="both"/>
        <w:rPr>
          <w:rFonts w:ascii="Arial" w:eastAsia="Calibri" w:hAnsi="Arial" w:cs="Arial"/>
          <w:b/>
          <w:color w:val="000000" w:themeColor="text1"/>
          <w:sz w:val="20"/>
          <w:szCs w:val="20"/>
          <w:lang w:val="es-MX" w:eastAsia="en-US"/>
        </w:rPr>
      </w:pPr>
    </w:p>
    <w:p w14:paraId="73A8A5F0" w14:textId="41DC1F14" w:rsidR="00E23195" w:rsidRDefault="0080278B" w:rsidP="0080278B">
      <w:pPr>
        <w:ind w:right="51"/>
        <w:jc w:val="both"/>
        <w:rPr>
          <w:rFonts w:ascii="Arial" w:eastAsia="Calibri" w:hAnsi="Arial" w:cs="Arial"/>
          <w:bCs/>
          <w:noProof/>
          <w:sz w:val="20"/>
          <w:szCs w:val="20"/>
          <w:lang w:eastAsia="en-US"/>
        </w:rPr>
      </w:pPr>
      <w:r>
        <w:rPr>
          <w:rFonts w:ascii="Arial" w:eastAsia="Calibri" w:hAnsi="Arial" w:cs="Arial"/>
          <w:bCs/>
          <w:noProof/>
          <w:sz w:val="20"/>
          <w:szCs w:val="20"/>
          <w:lang w:eastAsia="en-US"/>
        </w:rPr>
        <w:lastRenderedPageBreak/>
        <w:t xml:space="preserve">[…] </w:t>
      </w:r>
      <w:r w:rsidRPr="0080278B">
        <w:rPr>
          <w:rFonts w:ascii="Arial" w:eastAsia="Calibri" w:hAnsi="Arial" w:cs="Arial"/>
          <w:bCs/>
          <w:noProof/>
          <w:sz w:val="20"/>
          <w:szCs w:val="20"/>
          <w:lang w:eastAsia="en-US"/>
        </w:rPr>
        <w:t xml:space="preserve">es pertinente analizar el quinto evento exceptuado de la prohibición, relacionado con la contratación por parte de las entidades sanitarias y hospitalarias, a efectos de determinar si la excepción referida es aplicable a los contratos suscritos por los departamentos. La respuesta es negativa teniendo en cuenta que el artículo 94 de la Ley 100 de 1993 señaló que,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 </w:t>
      </w:r>
      <w:r>
        <w:rPr>
          <w:rFonts w:ascii="Arial" w:eastAsia="Calibri" w:hAnsi="Arial" w:cs="Arial"/>
          <w:bCs/>
          <w:noProof/>
          <w:sz w:val="20"/>
          <w:szCs w:val="20"/>
          <w:lang w:eastAsia="en-US"/>
        </w:rPr>
        <w:t>[…]</w:t>
      </w:r>
    </w:p>
    <w:p w14:paraId="40F137C4" w14:textId="77777777" w:rsidR="0080278B" w:rsidRDefault="0080278B" w:rsidP="0080278B">
      <w:pPr>
        <w:ind w:right="51"/>
        <w:jc w:val="both"/>
        <w:rPr>
          <w:rFonts w:ascii="Arial" w:eastAsia="Calibri" w:hAnsi="Arial" w:cs="Arial"/>
          <w:bCs/>
          <w:noProof/>
          <w:sz w:val="20"/>
          <w:szCs w:val="20"/>
          <w:lang w:eastAsia="en-US"/>
        </w:rPr>
      </w:pPr>
    </w:p>
    <w:p w14:paraId="1068A240" w14:textId="31F01BAE" w:rsidR="0080278B" w:rsidRPr="00BF0839" w:rsidRDefault="00BF0839" w:rsidP="00BF0839">
      <w:pPr>
        <w:ind w:right="51"/>
        <w:jc w:val="both"/>
        <w:rPr>
          <w:rFonts w:ascii="Arial" w:eastAsia="Calibri" w:hAnsi="Arial" w:cs="Arial"/>
          <w:bCs/>
          <w:noProof/>
          <w:sz w:val="20"/>
          <w:szCs w:val="20"/>
          <w:lang w:val="es-ES_tradnl" w:eastAsia="en-US"/>
        </w:rPr>
      </w:pPr>
      <w:r w:rsidRPr="00BF0839">
        <w:rPr>
          <w:rFonts w:ascii="Arial" w:eastAsia="Calibri" w:hAnsi="Arial" w:cs="Arial"/>
          <w:bCs/>
          <w:noProof/>
          <w:sz w:val="20"/>
          <w:szCs w:val="20"/>
          <w:lang w:val="es-ES_tradnl" w:eastAsia="en-US"/>
        </w:rPr>
        <w:t xml:space="preserve">Por tanto, las Empresas Sociales del Estado podrían suscribir contratos bajo la modalidad de contratación directa, porque el inciso segundo del artículo 33 de la Ley 996 de 2005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Sin embargo, esta idea no se extiende a los departamentos, por las razones explicadas </w:t>
      </w:r>
      <w:r w:rsidRPr="00BF0839">
        <w:rPr>
          <w:rFonts w:ascii="Arial" w:eastAsia="Calibri" w:hAnsi="Arial" w:cs="Arial"/>
          <w:bCs/>
          <w:i/>
          <w:iCs/>
          <w:noProof/>
          <w:sz w:val="20"/>
          <w:szCs w:val="20"/>
          <w:lang w:val="es-ES_tradnl" w:eastAsia="en-US"/>
        </w:rPr>
        <w:t>ut supra</w:t>
      </w:r>
      <w:r w:rsidRPr="00BF0839">
        <w:rPr>
          <w:rFonts w:ascii="Arial" w:eastAsia="Calibri" w:hAnsi="Arial" w:cs="Arial"/>
          <w:bCs/>
          <w:noProof/>
          <w:sz w:val="20"/>
          <w:szCs w:val="20"/>
          <w:lang w:val="es-ES_tradnl" w:eastAsia="en-US"/>
        </w:rPr>
        <w:t>. En tal sentido, debido a que los departamentos no son entidades hospitalarias y no prestan un servicio de salud directo sobre el usuario, no estarían cobijados por la excepción del inciso segundo del artículo 33 de la Ley 996 de 20015 relacionada con las entidades hospitalarias y, por tanto, no pueden suscribir contratos de manera directa</w:t>
      </w:r>
      <w:r>
        <w:rPr>
          <w:rFonts w:ascii="Arial" w:eastAsia="Calibri" w:hAnsi="Arial" w:cs="Arial"/>
          <w:bCs/>
          <w:noProof/>
          <w:sz w:val="20"/>
          <w:szCs w:val="20"/>
          <w:lang w:val="es-ES_tradnl" w:eastAsia="en-US"/>
        </w:rPr>
        <w:t xml:space="preserve">. </w:t>
      </w:r>
      <w:bookmarkEnd w:id="4"/>
    </w:p>
    <w:p w14:paraId="7B4D890A" w14:textId="77777777" w:rsidR="0080278B" w:rsidRPr="0080278B" w:rsidRDefault="0080278B" w:rsidP="0080278B">
      <w:pPr>
        <w:ind w:right="51"/>
        <w:jc w:val="both"/>
        <w:rPr>
          <w:rFonts w:ascii="Arial" w:eastAsia="Calibri" w:hAnsi="Arial" w:cs="Arial"/>
          <w:bCs/>
          <w:noProof/>
          <w:sz w:val="20"/>
          <w:szCs w:val="20"/>
          <w:lang w:eastAsia="en-US"/>
        </w:rPr>
      </w:pPr>
    </w:p>
    <w:p w14:paraId="1925348A" w14:textId="37D8FB78" w:rsidR="0080278B" w:rsidRPr="004B6890" w:rsidRDefault="0080278B" w:rsidP="0080278B">
      <w:pPr>
        <w:shd w:val="clear" w:color="auto" w:fill="FFFFFF"/>
        <w:jc w:val="both"/>
        <w:rPr>
          <w:rFonts w:ascii="Arial" w:eastAsia="Arial" w:hAnsi="Arial" w:cs="Arial"/>
          <w:sz w:val="22"/>
          <w:szCs w:val="22"/>
        </w:rPr>
      </w:pPr>
      <w:r w:rsidRPr="004B6890">
        <w:rPr>
          <w:rFonts w:ascii="Arial" w:eastAsia="Arial" w:hAnsi="Arial" w:cs="Arial"/>
          <w:b/>
          <w:sz w:val="22"/>
          <w:szCs w:val="22"/>
        </w:rPr>
        <w:t xml:space="preserve">LEY DE GARANTÍAS ELECTORALES ‒ Excepciones </w:t>
      </w:r>
      <w:r w:rsidRPr="004B6890">
        <w:rPr>
          <w:rFonts w:ascii="Arial" w:hAnsi="Arial" w:cs="Arial"/>
          <w:b/>
          <w:bCs/>
          <w:sz w:val="22"/>
          <w:szCs w:val="22"/>
          <w:lang w:eastAsia="es-CO"/>
        </w:rPr>
        <w:t xml:space="preserve">‒ </w:t>
      </w:r>
      <w:r w:rsidRPr="004B6890">
        <w:rPr>
          <w:rFonts w:ascii="Arial" w:eastAsia="Arial" w:hAnsi="Arial" w:cs="Arial"/>
          <w:b/>
          <w:sz w:val="22"/>
          <w:szCs w:val="22"/>
        </w:rPr>
        <w:t xml:space="preserve">Entidades sanitarias </w:t>
      </w:r>
      <w:r w:rsidRPr="004B6890">
        <w:rPr>
          <w:rFonts w:ascii="Arial" w:hAnsi="Arial" w:cs="Arial"/>
          <w:b/>
          <w:bCs/>
          <w:sz w:val="22"/>
          <w:szCs w:val="22"/>
          <w:lang w:eastAsia="es-CO"/>
        </w:rPr>
        <w:t>‒ Departamentos</w:t>
      </w:r>
    </w:p>
    <w:p w14:paraId="754D5597" w14:textId="1A33FF31" w:rsidR="00D328B0" w:rsidRDefault="00D328B0" w:rsidP="0080278B">
      <w:pPr>
        <w:ind w:right="51"/>
        <w:jc w:val="both"/>
        <w:rPr>
          <w:rFonts w:ascii="Arial" w:hAnsi="Arial" w:cs="Arial"/>
          <w:bCs/>
          <w:sz w:val="20"/>
          <w:szCs w:val="20"/>
          <w:lang w:val="es-MX" w:eastAsia="es-CO"/>
        </w:rPr>
      </w:pPr>
    </w:p>
    <w:p w14:paraId="3B43E1A4" w14:textId="3E9D0F24" w:rsidR="00BF0839" w:rsidRPr="00BF0839" w:rsidRDefault="00BF0839" w:rsidP="00BF0839">
      <w:pPr>
        <w:ind w:right="51"/>
        <w:jc w:val="both"/>
        <w:rPr>
          <w:rFonts w:ascii="Arial" w:hAnsi="Arial" w:cs="Arial"/>
          <w:bCs/>
          <w:sz w:val="20"/>
          <w:szCs w:val="20"/>
          <w:lang w:eastAsia="es-CO"/>
        </w:rPr>
      </w:pPr>
      <w:r w:rsidRPr="00BF0839">
        <w:rPr>
          <w:rFonts w:ascii="Arial" w:hAnsi="Arial" w:cs="Arial"/>
          <w:bCs/>
          <w:sz w:val="20"/>
          <w:szCs w:val="20"/>
          <w:lang w:eastAsia="es-CO"/>
        </w:rPr>
        <w:t xml:space="preserve">De igual manera, conviene diferenciar los conceptos de entidad sanitaria y autoridad sanitara. En efecto, el artículo 2.8.8.1.1.3 del Decreto 780 de 2016, «Por medio del cual se expide el Decreto Único Reglamentario del Sector Salud y Protección Social», define las </w:t>
      </w:r>
      <w:r w:rsidRPr="00BF0839">
        <w:rPr>
          <w:rFonts w:ascii="Arial" w:hAnsi="Arial" w:cs="Arial"/>
          <w:bCs/>
          <w:i/>
          <w:iCs/>
          <w:sz w:val="20"/>
          <w:szCs w:val="20"/>
          <w:lang w:eastAsia="es-CO"/>
        </w:rPr>
        <w:t>entidades sanitarias</w:t>
      </w:r>
      <w:r w:rsidRPr="00BF0839">
        <w:rPr>
          <w:rFonts w:ascii="Arial" w:hAnsi="Arial" w:cs="Arial"/>
          <w:bCs/>
          <w:sz w:val="20"/>
          <w:szCs w:val="20"/>
          <w:lang w:eastAsia="es-CO"/>
        </w:rPr>
        <w:t xml:space="preserve"> como «Entidades del Estado que prestan servicios sanitarios o de sanidad con el propósito de preservar la salud humana y la salud pública». Si bien los departamentos mediante sus secretarias de salud juegan un rol importante en la materia, no prestan un servicio directo, pues coordinan las políticas de esta naturaleza desde un punto de vista administrativo para efectos del control y vigilancia. Por ello, el artículo citado también define las </w:t>
      </w:r>
      <w:r w:rsidRPr="00BF0839">
        <w:rPr>
          <w:rFonts w:ascii="Arial" w:hAnsi="Arial" w:cs="Arial"/>
          <w:bCs/>
          <w:i/>
          <w:iCs/>
          <w:sz w:val="20"/>
          <w:szCs w:val="20"/>
          <w:lang w:eastAsia="es-CO"/>
        </w:rPr>
        <w:t>autoridades sanitarias</w:t>
      </w:r>
      <w:r w:rsidRPr="00BF0839">
        <w:rPr>
          <w:rFonts w:ascii="Arial" w:hAnsi="Arial" w:cs="Arial"/>
          <w:bCs/>
          <w:sz w:val="20"/>
          <w:szCs w:val="20"/>
          <w:lang w:eastAsia="es-CO"/>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Sin embargo, es necesario tener en cuenta que la excepción del artículo 33 de la Ley de Garantías solo aplica a las </w:t>
      </w:r>
      <w:r w:rsidRPr="00BF0839">
        <w:rPr>
          <w:rFonts w:ascii="Arial" w:hAnsi="Arial" w:cs="Arial"/>
          <w:bCs/>
          <w:i/>
          <w:iCs/>
          <w:sz w:val="20"/>
          <w:szCs w:val="20"/>
          <w:lang w:eastAsia="es-CO"/>
        </w:rPr>
        <w:t>entidades sanitarias</w:t>
      </w:r>
      <w:r w:rsidRPr="00BF0839">
        <w:rPr>
          <w:rFonts w:ascii="Arial" w:hAnsi="Arial" w:cs="Arial"/>
          <w:bCs/>
          <w:sz w:val="20"/>
          <w:szCs w:val="20"/>
          <w:lang w:eastAsia="es-CO"/>
        </w:rPr>
        <w:t xml:space="preserve">, no a las </w:t>
      </w:r>
      <w:r w:rsidRPr="00BF0839">
        <w:rPr>
          <w:rFonts w:ascii="Arial" w:hAnsi="Arial" w:cs="Arial"/>
          <w:bCs/>
          <w:i/>
          <w:iCs/>
          <w:sz w:val="20"/>
          <w:szCs w:val="20"/>
          <w:lang w:eastAsia="es-CO"/>
        </w:rPr>
        <w:t>autoridades sanitarias</w:t>
      </w:r>
      <w:r w:rsidRPr="00BF0839">
        <w:rPr>
          <w:rFonts w:ascii="Arial" w:hAnsi="Arial" w:cs="Arial"/>
          <w:bCs/>
          <w:sz w:val="20"/>
          <w:szCs w:val="20"/>
          <w:lang w:eastAsia="es-CO"/>
        </w:rPr>
        <w:t xml:space="preserve">. Por tanto, en caso en que los departamentos ejerzan funciones de autoridad sanitaria y no de entidades sanitarias tampoco estarían dentro de la excepción. </w:t>
      </w:r>
    </w:p>
    <w:p w14:paraId="4E055BBC" w14:textId="77777777" w:rsidR="00BF0839" w:rsidRDefault="00BF0839" w:rsidP="0080278B">
      <w:pPr>
        <w:ind w:right="51"/>
        <w:jc w:val="both"/>
        <w:rPr>
          <w:rFonts w:ascii="Arial" w:hAnsi="Arial" w:cs="Arial"/>
          <w:bCs/>
          <w:sz w:val="20"/>
          <w:szCs w:val="20"/>
          <w:lang w:eastAsia="es-CO"/>
        </w:rPr>
      </w:pPr>
    </w:p>
    <w:p w14:paraId="57D1B10C" w14:textId="77777777" w:rsidR="0080278B" w:rsidRDefault="0080278B" w:rsidP="0080278B">
      <w:pPr>
        <w:ind w:right="51"/>
        <w:jc w:val="both"/>
        <w:rPr>
          <w:rFonts w:ascii="Arial" w:hAnsi="Arial" w:cs="Arial"/>
          <w:bCs/>
          <w:sz w:val="20"/>
          <w:szCs w:val="20"/>
          <w:lang w:val="es-MX" w:eastAsia="es-CO"/>
        </w:rPr>
      </w:pPr>
    </w:p>
    <w:p w14:paraId="5DC6C68A" w14:textId="2DBB8196" w:rsidR="00D328B0" w:rsidRDefault="00D328B0" w:rsidP="00B21040">
      <w:pPr>
        <w:spacing w:after="200" w:line="276" w:lineRule="auto"/>
        <w:ind w:right="49"/>
        <w:jc w:val="both"/>
        <w:rPr>
          <w:rFonts w:ascii="Arial" w:hAnsi="Arial" w:cs="Arial"/>
          <w:bCs/>
          <w:sz w:val="20"/>
          <w:szCs w:val="20"/>
          <w:lang w:val="es-MX" w:eastAsia="es-CO"/>
        </w:rPr>
      </w:pPr>
    </w:p>
    <w:p w14:paraId="0D672F16" w14:textId="4A861F6E" w:rsidR="00D328B0" w:rsidRDefault="00D328B0" w:rsidP="00B21040">
      <w:pPr>
        <w:spacing w:after="200" w:line="276" w:lineRule="auto"/>
        <w:ind w:right="49"/>
        <w:jc w:val="both"/>
        <w:rPr>
          <w:rFonts w:ascii="Arial" w:hAnsi="Arial" w:cs="Arial"/>
          <w:bCs/>
          <w:sz w:val="20"/>
          <w:szCs w:val="20"/>
          <w:lang w:val="es-MX" w:eastAsia="es-CO"/>
        </w:rPr>
      </w:pPr>
    </w:p>
    <w:p w14:paraId="1670A0E5" w14:textId="79D9342D" w:rsidR="00D328B0" w:rsidRDefault="00D328B0" w:rsidP="00B21040">
      <w:pPr>
        <w:spacing w:after="200" w:line="276" w:lineRule="auto"/>
        <w:ind w:right="49"/>
        <w:jc w:val="both"/>
        <w:rPr>
          <w:rFonts w:ascii="Arial" w:hAnsi="Arial" w:cs="Arial"/>
          <w:bCs/>
          <w:sz w:val="20"/>
          <w:szCs w:val="20"/>
          <w:lang w:val="es-MX" w:eastAsia="es-CO"/>
        </w:rPr>
      </w:pPr>
    </w:p>
    <w:p w14:paraId="33553BB1" w14:textId="3947153B" w:rsidR="00D328B0" w:rsidRDefault="00D328B0" w:rsidP="00D328B0">
      <w:pPr>
        <w:ind w:right="51"/>
        <w:jc w:val="both"/>
        <w:rPr>
          <w:rFonts w:ascii="Arial" w:hAnsi="Arial" w:cs="Arial"/>
          <w:bCs/>
          <w:sz w:val="20"/>
          <w:szCs w:val="20"/>
          <w:lang w:val="es-MX" w:eastAsia="es-CO"/>
        </w:rPr>
      </w:pPr>
    </w:p>
    <w:p w14:paraId="77064D19" w14:textId="47C8C206" w:rsidR="00855071" w:rsidRDefault="00855071" w:rsidP="00D328B0">
      <w:pPr>
        <w:ind w:right="51"/>
        <w:jc w:val="both"/>
        <w:rPr>
          <w:rFonts w:ascii="Arial" w:hAnsi="Arial" w:cs="Arial"/>
          <w:bCs/>
          <w:sz w:val="20"/>
          <w:szCs w:val="20"/>
          <w:lang w:val="es-MX" w:eastAsia="es-CO"/>
        </w:rPr>
      </w:pPr>
    </w:p>
    <w:p w14:paraId="7BC84973" w14:textId="4DB6C8D9" w:rsidR="00855071" w:rsidRDefault="00855071" w:rsidP="00D328B0">
      <w:pPr>
        <w:ind w:right="51"/>
        <w:jc w:val="both"/>
        <w:rPr>
          <w:rFonts w:ascii="Arial" w:hAnsi="Arial" w:cs="Arial"/>
          <w:bCs/>
          <w:sz w:val="20"/>
          <w:szCs w:val="20"/>
          <w:lang w:val="es-MX" w:eastAsia="es-CO"/>
        </w:rPr>
      </w:pPr>
    </w:p>
    <w:p w14:paraId="78440146" w14:textId="63F1CF77" w:rsidR="00855071" w:rsidRDefault="00855071" w:rsidP="00D328B0">
      <w:pPr>
        <w:ind w:right="51"/>
        <w:jc w:val="both"/>
        <w:rPr>
          <w:rFonts w:ascii="Arial" w:hAnsi="Arial" w:cs="Arial"/>
          <w:bCs/>
          <w:sz w:val="20"/>
          <w:szCs w:val="20"/>
          <w:lang w:val="es-MX" w:eastAsia="es-CO"/>
        </w:rPr>
      </w:pPr>
    </w:p>
    <w:p w14:paraId="4EB0FDF1" w14:textId="0C4DFC31" w:rsidR="00855071" w:rsidRDefault="00855071" w:rsidP="478B8919">
      <w:pPr>
        <w:ind w:right="51"/>
        <w:jc w:val="right"/>
        <w:rPr>
          <w:lang w:val="es-MX" w:eastAsia="en-US"/>
        </w:rPr>
      </w:pPr>
    </w:p>
    <w:p w14:paraId="65AB3EA4" w14:textId="422B8179" w:rsidR="00A72D3F" w:rsidRDefault="00BF0839" w:rsidP="00BF0839">
      <w:pPr>
        <w:ind w:right="51"/>
        <w:jc w:val="right"/>
        <w:rPr>
          <w:rFonts w:ascii="Arial" w:eastAsia="Calibri" w:hAnsi="Arial" w:cs="Arial"/>
          <w:b/>
          <w:bCs/>
          <w:sz w:val="22"/>
          <w:szCs w:val="22"/>
          <w:lang w:val="es-MX" w:eastAsia="en-US"/>
        </w:rPr>
      </w:pPr>
      <w:r w:rsidRPr="00BF0839">
        <w:rPr>
          <w:rFonts w:ascii="Arial" w:hAnsi="Arial" w:cs="Arial"/>
          <w:b/>
          <w:noProof/>
          <w:color w:val="000000" w:themeColor="text1"/>
          <w:sz w:val="22"/>
          <w:szCs w:val="22"/>
        </w:rPr>
        <w:drawing>
          <wp:inline distT="0" distB="0" distL="0" distR="0" wp14:anchorId="1A12D474" wp14:editId="72F3D71F">
            <wp:extent cx="25622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685800"/>
                    </a:xfrm>
                    <a:prstGeom prst="rect">
                      <a:avLst/>
                    </a:prstGeom>
                    <a:noFill/>
                    <a:ln>
                      <a:noFill/>
                    </a:ln>
                  </pic:spPr>
                </pic:pic>
              </a:graphicData>
            </a:graphic>
          </wp:inline>
        </w:drawing>
      </w:r>
    </w:p>
    <w:bookmarkEnd w:id="5"/>
    <w:p w14:paraId="795D3655" w14:textId="77777777" w:rsidR="00855071" w:rsidRPr="00E31096" w:rsidRDefault="00855071" w:rsidP="00D328B0">
      <w:pPr>
        <w:ind w:right="51"/>
        <w:jc w:val="both"/>
        <w:rPr>
          <w:rFonts w:ascii="Arial" w:eastAsia="Calibri" w:hAnsi="Arial" w:cs="Arial"/>
          <w:b/>
          <w:bCs/>
          <w:sz w:val="22"/>
          <w:szCs w:val="22"/>
          <w:lang w:val="es-MX" w:eastAsia="en-US"/>
        </w:rPr>
      </w:pPr>
    </w:p>
    <w:p w14:paraId="6A8A869B" w14:textId="1E443D86" w:rsidR="00B95C30" w:rsidRPr="004B6890" w:rsidRDefault="004B6890" w:rsidP="00B21040">
      <w:pPr>
        <w:ind w:right="49"/>
        <w:jc w:val="both"/>
        <w:rPr>
          <w:rFonts w:ascii="Arial" w:hAnsi="Arial" w:cs="Arial"/>
          <w:bCs/>
          <w:color w:val="000000" w:themeColor="text1"/>
          <w:sz w:val="22"/>
        </w:rPr>
      </w:pPr>
      <w:bookmarkStart w:id="10" w:name="_Hlk96068151"/>
      <w:r>
        <w:rPr>
          <w:rFonts w:ascii="Arial" w:hAnsi="Arial" w:cs="Arial"/>
          <w:bCs/>
          <w:color w:val="000000" w:themeColor="text1"/>
          <w:sz w:val="22"/>
        </w:rPr>
        <w:t xml:space="preserve">Bogotá, 18 </w:t>
      </w:r>
      <w:proofErr w:type="gramStart"/>
      <w:r>
        <w:rPr>
          <w:rFonts w:ascii="Arial" w:hAnsi="Arial" w:cs="Arial"/>
          <w:bCs/>
          <w:color w:val="000000" w:themeColor="text1"/>
          <w:sz w:val="22"/>
        </w:rPr>
        <w:t>Febrero</w:t>
      </w:r>
      <w:proofErr w:type="gramEnd"/>
      <w:r>
        <w:rPr>
          <w:rFonts w:ascii="Arial" w:hAnsi="Arial" w:cs="Arial"/>
          <w:bCs/>
          <w:color w:val="000000" w:themeColor="text1"/>
          <w:sz w:val="22"/>
        </w:rPr>
        <w:t xml:space="preserve"> 2022</w:t>
      </w:r>
    </w:p>
    <w:p w14:paraId="1D2A79F4" w14:textId="77777777" w:rsidR="009D18F8" w:rsidRPr="005A36C3" w:rsidRDefault="009D18F8" w:rsidP="00B21040">
      <w:pPr>
        <w:ind w:right="49"/>
        <w:jc w:val="both"/>
        <w:rPr>
          <w:rFonts w:ascii="Arial" w:hAnsi="Arial" w:cs="Arial"/>
          <w:b/>
          <w:color w:val="000000" w:themeColor="text1"/>
          <w:sz w:val="22"/>
        </w:rPr>
      </w:pPr>
    </w:p>
    <w:p w14:paraId="66C7949E" w14:textId="3D684782" w:rsidR="00513AA0" w:rsidRDefault="00B95C30" w:rsidP="00B21040">
      <w:pPr>
        <w:ind w:right="49"/>
        <w:jc w:val="both"/>
        <w:rPr>
          <w:rFonts w:ascii="Arial" w:eastAsia="Calibri" w:hAnsi="Arial" w:cs="Arial"/>
          <w:color w:val="000000" w:themeColor="text1"/>
          <w:sz w:val="22"/>
          <w:lang w:val="es-ES_tradnl"/>
        </w:rPr>
      </w:pPr>
      <w:bookmarkStart w:id="11" w:name="_Hlk74295142"/>
      <w:r w:rsidRPr="00E23980">
        <w:rPr>
          <w:rFonts w:ascii="Arial" w:eastAsia="Calibri" w:hAnsi="Arial" w:cs="Arial"/>
          <w:color w:val="000000" w:themeColor="text1"/>
          <w:sz w:val="22"/>
          <w:lang w:val="es-ES_tradnl"/>
        </w:rPr>
        <w:t>Señor</w:t>
      </w:r>
    </w:p>
    <w:p w14:paraId="648C22C3" w14:textId="360080F8" w:rsidR="00795F58" w:rsidRPr="00795F58" w:rsidRDefault="00795F58" w:rsidP="00B21040">
      <w:pPr>
        <w:ind w:right="49"/>
        <w:jc w:val="both"/>
        <w:rPr>
          <w:rFonts w:ascii="Arial" w:eastAsia="Calibri" w:hAnsi="Arial" w:cs="Arial"/>
          <w:b/>
          <w:bCs/>
          <w:color w:val="000000" w:themeColor="text1"/>
          <w:sz w:val="22"/>
          <w:lang w:val="es-ES_tradnl"/>
        </w:rPr>
      </w:pPr>
      <w:r w:rsidRPr="00795F58">
        <w:rPr>
          <w:rFonts w:ascii="Arial" w:eastAsia="Calibri" w:hAnsi="Arial" w:cs="Arial"/>
          <w:b/>
          <w:bCs/>
          <w:color w:val="000000" w:themeColor="text1"/>
          <w:sz w:val="22"/>
          <w:lang w:val="es-ES_tradnl"/>
        </w:rPr>
        <w:t>Carlos Eduardo Tovar Galindo</w:t>
      </w:r>
    </w:p>
    <w:p w14:paraId="4C6072B3" w14:textId="7AF24B1C" w:rsidR="00795F58" w:rsidRDefault="00795F58" w:rsidP="00B21040">
      <w:pPr>
        <w:ind w:right="4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191F898E" w14:textId="3D8D9516" w:rsidR="00D509DB" w:rsidRPr="00D509DB" w:rsidRDefault="00D509DB" w:rsidP="00D328B0">
      <w:pPr>
        <w:ind w:right="51"/>
        <w:jc w:val="both"/>
        <w:rPr>
          <w:rFonts w:ascii="Arial" w:eastAsia="Calibri" w:hAnsi="Arial" w:cs="Arial"/>
          <w:color w:val="000000" w:themeColor="text1"/>
          <w:sz w:val="22"/>
          <w:lang w:val="es-ES_tradnl"/>
        </w:rPr>
      </w:pPr>
    </w:p>
    <w:p w14:paraId="729B1C0F" w14:textId="77777777" w:rsidR="00E31096" w:rsidRDefault="00E31096" w:rsidP="00B21040">
      <w:pPr>
        <w:ind w:right="49"/>
        <w:rPr>
          <w:rFonts w:ascii="Arial" w:eastAsia="Calibri" w:hAnsi="Arial" w:cs="Arial"/>
          <w:b/>
          <w:bCs/>
          <w:color w:val="000000" w:themeColor="text1"/>
          <w:sz w:val="22"/>
          <w:lang w:val="es-ES_tradnl"/>
        </w:rPr>
      </w:pPr>
    </w:p>
    <w:p w14:paraId="08CF82B2" w14:textId="2A8544D9" w:rsidR="00B95C30" w:rsidRPr="00D509DB" w:rsidRDefault="009D18F8" w:rsidP="00B21040">
      <w:pPr>
        <w:ind w:right="49"/>
        <w:rPr>
          <w:rFonts w:ascii="Arial" w:eastAsia="Calibri" w:hAnsi="Arial" w:cs="Arial"/>
          <w:color w:val="000000" w:themeColor="text1"/>
          <w:sz w:val="22"/>
          <w:lang w:val="es-ES_tradnl"/>
        </w:rPr>
      </w:pPr>
      <w:r w:rsidRPr="00D509DB">
        <w:rPr>
          <w:rFonts w:ascii="Arial" w:eastAsia="Calibri" w:hAnsi="Arial" w:cs="Arial"/>
          <w:b/>
          <w:bCs/>
          <w:color w:val="000000" w:themeColor="text1"/>
          <w:sz w:val="22"/>
          <w:lang w:val="es-ES_tradnl"/>
        </w:rPr>
        <w:t xml:space="preserve">                                            </w:t>
      </w:r>
      <w:r w:rsidR="00513AA0" w:rsidRPr="00D509DB">
        <w:rPr>
          <w:rFonts w:ascii="Arial" w:eastAsia="Calibri" w:hAnsi="Arial" w:cs="Arial"/>
          <w:b/>
          <w:bCs/>
          <w:color w:val="000000" w:themeColor="text1"/>
          <w:sz w:val="22"/>
          <w:lang w:val="es-ES_tradnl"/>
        </w:rPr>
        <w:t xml:space="preserve">Concepto C ‒ </w:t>
      </w:r>
      <w:r w:rsidR="00795F58">
        <w:rPr>
          <w:rFonts w:ascii="Arial" w:eastAsia="Calibri" w:hAnsi="Arial" w:cs="Arial"/>
          <w:b/>
          <w:bCs/>
          <w:color w:val="000000" w:themeColor="text1"/>
          <w:sz w:val="22"/>
          <w:lang w:val="es-ES_tradnl"/>
        </w:rPr>
        <w:t>014</w:t>
      </w:r>
      <w:r w:rsidR="005A36C3" w:rsidRPr="00D509DB">
        <w:rPr>
          <w:rFonts w:ascii="Arial" w:eastAsia="Calibri" w:hAnsi="Arial" w:cs="Arial"/>
          <w:b/>
          <w:bCs/>
          <w:color w:val="000000" w:themeColor="text1"/>
          <w:sz w:val="22"/>
          <w:lang w:val="es-ES_tradnl"/>
        </w:rPr>
        <w:t xml:space="preserve"> </w:t>
      </w:r>
      <w:r w:rsidR="00275FBF" w:rsidRPr="00D509DB">
        <w:rPr>
          <w:rFonts w:ascii="Arial" w:eastAsia="Calibri" w:hAnsi="Arial" w:cs="Arial"/>
          <w:b/>
          <w:bCs/>
          <w:color w:val="000000" w:themeColor="text1"/>
          <w:sz w:val="22"/>
          <w:lang w:val="es-ES_tradnl"/>
        </w:rPr>
        <w:t>de 202</w:t>
      </w:r>
      <w:r w:rsidR="00795F58">
        <w:rPr>
          <w:rFonts w:ascii="Arial" w:eastAsia="Calibri" w:hAnsi="Arial" w:cs="Arial"/>
          <w:b/>
          <w:bCs/>
          <w:color w:val="000000" w:themeColor="text1"/>
          <w:sz w:val="22"/>
          <w:lang w:val="es-ES_tradnl"/>
        </w:rPr>
        <w:t>2</w:t>
      </w:r>
    </w:p>
    <w:p w14:paraId="1BD594F9" w14:textId="77777777" w:rsidR="00B95C30" w:rsidRPr="00D509DB" w:rsidRDefault="00B95C30" w:rsidP="00B21040">
      <w:pPr>
        <w:ind w:right="49"/>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40650" w14:paraId="19DFC051" w14:textId="77777777" w:rsidTr="00855071">
        <w:tc>
          <w:tcPr>
            <w:tcW w:w="2689" w:type="dxa"/>
          </w:tcPr>
          <w:p w14:paraId="6BC0D1AC" w14:textId="77777777" w:rsidR="00B95C30" w:rsidRPr="00855071" w:rsidRDefault="00B95C30" w:rsidP="00B21040">
            <w:pPr>
              <w:ind w:right="49"/>
              <w:jc w:val="both"/>
              <w:rPr>
                <w:rFonts w:ascii="Arial" w:eastAsia="Calibri" w:hAnsi="Arial" w:cs="Arial"/>
                <w:bCs/>
                <w:color w:val="000000" w:themeColor="text1"/>
                <w:sz w:val="22"/>
                <w:lang w:val="es-MX"/>
              </w:rPr>
            </w:pPr>
            <w:r w:rsidRPr="00855071">
              <w:rPr>
                <w:rFonts w:ascii="Arial" w:eastAsia="Calibri" w:hAnsi="Arial" w:cs="Arial"/>
                <w:bCs/>
                <w:color w:val="000000" w:themeColor="text1"/>
                <w:sz w:val="22"/>
                <w:lang w:val="es-MX"/>
              </w:rPr>
              <w:t xml:space="preserve">Temas:                                      </w:t>
            </w:r>
          </w:p>
        </w:tc>
        <w:tc>
          <w:tcPr>
            <w:tcW w:w="6237" w:type="dxa"/>
          </w:tcPr>
          <w:p w14:paraId="2BA8A4B2" w14:textId="7FC30D9D" w:rsidR="00B40650" w:rsidRDefault="00E31096" w:rsidP="00855071">
            <w:pPr>
              <w:shd w:val="clear" w:color="auto" w:fill="FFFFFF"/>
              <w:jc w:val="both"/>
              <w:rPr>
                <w:rFonts w:ascii="Arial" w:eastAsia="Calibri" w:hAnsi="Arial" w:cs="Arial"/>
                <w:bCs/>
                <w:color w:val="000000" w:themeColor="text1"/>
                <w:sz w:val="22"/>
                <w:lang w:val="es-MX"/>
              </w:rPr>
            </w:pPr>
            <w:r w:rsidRPr="00855071">
              <w:rPr>
                <w:rFonts w:ascii="Arial" w:eastAsia="Calibri" w:hAnsi="Arial" w:cs="Arial"/>
                <w:bCs/>
                <w:color w:val="000000" w:themeColor="text1"/>
                <w:sz w:val="22"/>
                <w:lang w:val="es-MX"/>
              </w:rPr>
              <w:t xml:space="preserve">LEY DE GARANTÍAS ELECTORALES ‒ Tipos de restricciones ‒ Ámbito temporal / LEY DE GARANTÍAS ELECTORALES ─ Prohibición ‒ Contratación directa ‒ Alcance – Excepciones / LEY DE GARANTÍAS ELECTORALES ‒ Prohibición del artículo 33 ‒ Destinatarios / LEY DE GARANTÍAS ELECTORALES ‒ </w:t>
            </w:r>
            <w:r w:rsidR="00855071" w:rsidRPr="00855071">
              <w:rPr>
                <w:rFonts w:ascii="Arial" w:eastAsia="Calibri" w:hAnsi="Arial" w:cs="Arial"/>
                <w:bCs/>
                <w:color w:val="000000" w:themeColor="text1"/>
                <w:sz w:val="22"/>
                <w:lang w:val="es-MX"/>
              </w:rPr>
              <w:t>Excepciones ‒ Entidades hospitalarias ‒ Departamentos</w:t>
            </w:r>
            <w:r w:rsidR="00855071">
              <w:rPr>
                <w:rFonts w:ascii="Arial" w:eastAsia="Calibri" w:hAnsi="Arial" w:cs="Arial"/>
                <w:bCs/>
                <w:color w:val="000000" w:themeColor="text1"/>
                <w:sz w:val="22"/>
                <w:lang w:val="es-MX"/>
              </w:rPr>
              <w:t xml:space="preserve"> </w:t>
            </w:r>
            <w:r w:rsidRPr="00855071">
              <w:rPr>
                <w:rFonts w:ascii="Arial" w:eastAsia="Calibri" w:hAnsi="Arial" w:cs="Arial"/>
                <w:bCs/>
                <w:color w:val="000000" w:themeColor="text1"/>
                <w:sz w:val="22"/>
                <w:lang w:val="es-MX"/>
              </w:rPr>
              <w:t xml:space="preserve">/ </w:t>
            </w:r>
            <w:r w:rsidR="00855071" w:rsidRPr="00855071">
              <w:rPr>
                <w:rFonts w:ascii="Arial" w:eastAsia="Calibri" w:hAnsi="Arial" w:cs="Arial"/>
                <w:bCs/>
                <w:color w:val="000000" w:themeColor="text1"/>
                <w:sz w:val="22"/>
                <w:lang w:val="es-MX"/>
              </w:rPr>
              <w:t xml:space="preserve">LEY DE GARANTÍAS ELECTORALES </w:t>
            </w:r>
            <w:r w:rsidR="00855071" w:rsidRPr="00855071">
              <w:rPr>
                <w:rFonts w:ascii="Arial" w:eastAsia="Calibri" w:hAnsi="Arial" w:cs="Arial"/>
                <w:color w:val="000000" w:themeColor="text1"/>
                <w:sz w:val="22"/>
              </w:rPr>
              <w:t>‒ Excepciones ‒ Entidades sanitarias ‒ Departamentos</w:t>
            </w:r>
            <w:r w:rsidR="00855071" w:rsidRPr="00855071">
              <w:rPr>
                <w:rFonts w:ascii="Arial" w:eastAsia="Calibri" w:hAnsi="Arial" w:cs="Arial"/>
                <w:bCs/>
                <w:color w:val="000000" w:themeColor="text1"/>
                <w:sz w:val="22"/>
                <w:lang w:val="es-MX"/>
              </w:rPr>
              <w:t xml:space="preserve"> </w:t>
            </w:r>
          </w:p>
          <w:p w14:paraId="5F389CAF" w14:textId="0760E7C8" w:rsidR="00855071" w:rsidRPr="00855071" w:rsidRDefault="00855071" w:rsidP="00855071">
            <w:pPr>
              <w:shd w:val="clear" w:color="auto" w:fill="FFFFFF"/>
              <w:jc w:val="both"/>
              <w:rPr>
                <w:rFonts w:ascii="Arial" w:eastAsia="Calibri" w:hAnsi="Arial" w:cs="Arial"/>
                <w:bCs/>
                <w:color w:val="000000" w:themeColor="text1"/>
                <w:sz w:val="22"/>
                <w:lang w:val="es-MX"/>
              </w:rPr>
            </w:pPr>
          </w:p>
        </w:tc>
      </w:tr>
      <w:tr w:rsidR="00B95C30" w:rsidRPr="00D509DB" w14:paraId="27CD52AB" w14:textId="77777777" w:rsidTr="00855071">
        <w:tc>
          <w:tcPr>
            <w:tcW w:w="2689" w:type="dxa"/>
          </w:tcPr>
          <w:p w14:paraId="37E195A1" w14:textId="02EBA7ED" w:rsidR="00B95C30" w:rsidRPr="00D509DB" w:rsidRDefault="00B95C30" w:rsidP="00B21040">
            <w:pPr>
              <w:ind w:right="49"/>
              <w:jc w:val="both"/>
              <w:rPr>
                <w:rFonts w:ascii="Arial" w:eastAsia="Calibri" w:hAnsi="Arial" w:cs="Arial"/>
                <w:b/>
                <w:color w:val="000000" w:themeColor="text1"/>
                <w:sz w:val="22"/>
                <w:lang w:val="es-ES_tradnl"/>
              </w:rPr>
            </w:pPr>
            <w:r w:rsidRPr="00D509DB">
              <w:rPr>
                <w:rFonts w:ascii="Arial" w:eastAsia="Calibri" w:hAnsi="Arial" w:cs="Arial"/>
                <w:b/>
                <w:color w:val="000000" w:themeColor="text1"/>
                <w:sz w:val="22"/>
                <w:lang w:val="es-ES_tradnl"/>
              </w:rPr>
              <w:t>Radicación:</w:t>
            </w:r>
            <w:r w:rsidRPr="00D509DB">
              <w:rPr>
                <w:rFonts w:ascii="Arial" w:eastAsia="Calibri" w:hAnsi="Arial" w:cs="Arial"/>
                <w:color w:val="000000" w:themeColor="text1"/>
                <w:sz w:val="22"/>
                <w:lang w:val="es-ES_tradnl"/>
              </w:rPr>
              <w:t xml:space="preserve">                              </w:t>
            </w:r>
          </w:p>
        </w:tc>
        <w:tc>
          <w:tcPr>
            <w:tcW w:w="6237" w:type="dxa"/>
          </w:tcPr>
          <w:p w14:paraId="09088B1B" w14:textId="60A02AF1" w:rsidR="00B95C30" w:rsidRPr="00D509DB" w:rsidRDefault="00B95C30"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Respuesta a consulta</w:t>
            </w:r>
            <w:r w:rsidR="007E6F28">
              <w:rPr>
                <w:rFonts w:ascii="Arial" w:eastAsia="Calibri" w:hAnsi="Arial" w:cs="Arial"/>
                <w:color w:val="000000" w:themeColor="text1"/>
                <w:sz w:val="22"/>
                <w:lang w:val="es-ES_tradnl"/>
              </w:rPr>
              <w:t xml:space="preserve"> </w:t>
            </w:r>
            <w:r w:rsidR="00795F58" w:rsidRPr="00795F58">
              <w:rPr>
                <w:rFonts w:ascii="Arial" w:eastAsia="Calibri" w:hAnsi="Arial" w:cs="Arial"/>
                <w:color w:val="000000" w:themeColor="text1"/>
                <w:sz w:val="22"/>
              </w:rPr>
              <w:t>P20220106000098</w:t>
            </w:r>
          </w:p>
        </w:tc>
      </w:tr>
    </w:tbl>
    <w:p w14:paraId="635FAA34" w14:textId="34115651" w:rsidR="006D69FA" w:rsidRPr="00D509DB" w:rsidRDefault="006D69FA" w:rsidP="00B21040">
      <w:pPr>
        <w:ind w:right="49"/>
        <w:jc w:val="both"/>
        <w:rPr>
          <w:rFonts w:ascii="Arial" w:eastAsia="Calibri" w:hAnsi="Arial" w:cs="Arial"/>
          <w:color w:val="000000" w:themeColor="text1"/>
          <w:sz w:val="22"/>
          <w:lang w:val="es-ES_tradnl"/>
        </w:rPr>
      </w:pPr>
    </w:p>
    <w:p w14:paraId="182935B9" w14:textId="77777777" w:rsidR="00427C77" w:rsidRPr="00D509DB" w:rsidRDefault="00427C77" w:rsidP="00B21040">
      <w:pPr>
        <w:ind w:right="49"/>
        <w:jc w:val="both"/>
        <w:rPr>
          <w:rFonts w:ascii="Arial" w:eastAsia="Calibri" w:hAnsi="Arial" w:cs="Arial"/>
          <w:color w:val="000000" w:themeColor="text1"/>
          <w:sz w:val="22"/>
          <w:lang w:val="es-ES_tradnl"/>
        </w:rPr>
      </w:pPr>
    </w:p>
    <w:p w14:paraId="1CF4AEA0" w14:textId="39560A23" w:rsidR="003C3339" w:rsidRPr="00D509DB" w:rsidRDefault="003C3339" w:rsidP="00B21040">
      <w:pPr>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Estimad</w:t>
      </w:r>
      <w:r w:rsidR="005B4E5C">
        <w:rPr>
          <w:rFonts w:ascii="Arial" w:eastAsia="Calibri" w:hAnsi="Arial" w:cs="Arial"/>
          <w:color w:val="000000" w:themeColor="text1"/>
          <w:sz w:val="22"/>
          <w:lang w:val="es-ES_tradnl"/>
        </w:rPr>
        <w:t>o</w:t>
      </w:r>
      <w:r w:rsidRPr="00D509DB">
        <w:rPr>
          <w:rFonts w:ascii="Arial" w:eastAsia="Calibri" w:hAnsi="Arial" w:cs="Arial"/>
          <w:color w:val="000000" w:themeColor="text1"/>
          <w:sz w:val="22"/>
          <w:lang w:val="es-ES_tradnl"/>
        </w:rPr>
        <w:t xml:space="preserve"> señor</w:t>
      </w:r>
      <w:r w:rsidR="007E6F28">
        <w:rPr>
          <w:rFonts w:ascii="Arial" w:eastAsia="Calibri" w:hAnsi="Arial" w:cs="Arial"/>
          <w:color w:val="000000" w:themeColor="text1"/>
          <w:sz w:val="22"/>
          <w:lang w:val="es-ES_tradnl"/>
        </w:rPr>
        <w:t xml:space="preserve"> </w:t>
      </w:r>
      <w:r w:rsidR="00795F58">
        <w:rPr>
          <w:rFonts w:ascii="Arial" w:eastAsia="Calibri" w:hAnsi="Arial" w:cs="Arial"/>
          <w:color w:val="000000" w:themeColor="text1"/>
          <w:sz w:val="22"/>
          <w:lang w:val="es-ES_tradnl"/>
        </w:rPr>
        <w:t>Tovar</w:t>
      </w:r>
      <w:r w:rsidRPr="00D509DB">
        <w:rPr>
          <w:rFonts w:ascii="Arial" w:eastAsia="Calibri" w:hAnsi="Arial" w:cs="Arial"/>
          <w:color w:val="000000" w:themeColor="text1"/>
          <w:sz w:val="22"/>
          <w:lang w:val="es-ES_tradnl"/>
        </w:rPr>
        <w:t>:</w:t>
      </w:r>
    </w:p>
    <w:p w14:paraId="1EAE5543" w14:textId="77777777" w:rsidR="00DD5B04" w:rsidRPr="00D509DB" w:rsidRDefault="00DD5B04" w:rsidP="00B21040">
      <w:pPr>
        <w:ind w:right="49"/>
        <w:jc w:val="both"/>
        <w:rPr>
          <w:rFonts w:ascii="Arial" w:eastAsia="Calibri" w:hAnsi="Arial" w:cs="Arial"/>
          <w:color w:val="000000" w:themeColor="text1"/>
          <w:sz w:val="22"/>
          <w:lang w:val="es-ES_tradnl"/>
        </w:rPr>
      </w:pPr>
    </w:p>
    <w:p w14:paraId="2109B2D3" w14:textId="7F89C03B" w:rsidR="00DD5B04" w:rsidRPr="00E23980" w:rsidRDefault="00DD5B04" w:rsidP="00B21040">
      <w:pPr>
        <w:spacing w:line="276" w:lineRule="auto"/>
        <w:ind w:right="49"/>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En ejercicio de la competencia o</w:t>
      </w:r>
      <w:r w:rsidR="00C91147" w:rsidRPr="00D509DB">
        <w:rPr>
          <w:rFonts w:ascii="Arial" w:eastAsia="Calibri" w:hAnsi="Arial" w:cs="Arial"/>
          <w:color w:val="000000" w:themeColor="text1"/>
          <w:sz w:val="22"/>
          <w:lang w:val="es-ES_tradnl"/>
        </w:rPr>
        <w:t xml:space="preserve"> </w:t>
      </w:r>
      <w:r w:rsidRPr="00D509DB">
        <w:rPr>
          <w:rFonts w:ascii="Arial" w:eastAsia="Calibri" w:hAnsi="Arial" w:cs="Arial"/>
          <w:color w:val="000000" w:themeColor="text1"/>
          <w:sz w:val="22"/>
          <w:lang w:val="es-ES_tradnl"/>
        </w:rPr>
        <w:t>torgada por el numeral</w:t>
      </w:r>
      <w:r w:rsidRPr="00E23980">
        <w:rPr>
          <w:rFonts w:ascii="Arial" w:eastAsia="Calibri" w:hAnsi="Arial" w:cs="Arial"/>
          <w:color w:val="000000" w:themeColor="text1"/>
          <w:sz w:val="22"/>
          <w:lang w:val="es-ES_tradnl"/>
        </w:rPr>
        <w:t xml:space="preserve">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w:t>
      </w:r>
      <w:r w:rsidR="007E6F28">
        <w:rPr>
          <w:rFonts w:ascii="Arial" w:eastAsia="Calibri" w:hAnsi="Arial" w:cs="Arial"/>
          <w:color w:val="000000" w:themeColor="text1"/>
          <w:sz w:val="22"/>
          <w:lang w:val="es-ES_tradnl"/>
        </w:rPr>
        <w:t>d</w:t>
      </w:r>
      <w:r w:rsidRPr="00E23980">
        <w:rPr>
          <w:rFonts w:ascii="Arial" w:eastAsia="Calibri" w:hAnsi="Arial" w:cs="Arial"/>
          <w:color w:val="000000" w:themeColor="text1"/>
          <w:sz w:val="22"/>
          <w:lang w:val="es-ES_tradnl"/>
        </w:rPr>
        <w:t xml:space="preserve">el </w:t>
      </w:r>
      <w:r w:rsidR="00795F58">
        <w:rPr>
          <w:rFonts w:ascii="Arial" w:eastAsia="Calibri" w:hAnsi="Arial" w:cs="Arial"/>
          <w:color w:val="000000" w:themeColor="text1"/>
          <w:sz w:val="22"/>
          <w:lang w:val="es-ES_tradnl"/>
        </w:rPr>
        <w:t xml:space="preserve">6 </w:t>
      </w:r>
      <w:r w:rsidR="005B5120">
        <w:rPr>
          <w:rFonts w:ascii="Arial" w:eastAsia="Calibri" w:hAnsi="Arial" w:cs="Arial"/>
          <w:color w:val="000000" w:themeColor="text1"/>
          <w:sz w:val="22"/>
          <w:lang w:val="es-ES_tradnl"/>
        </w:rPr>
        <w:t xml:space="preserve">de </w:t>
      </w:r>
      <w:r w:rsidR="00795F58">
        <w:rPr>
          <w:rFonts w:ascii="Arial" w:eastAsia="Calibri" w:hAnsi="Arial" w:cs="Arial"/>
          <w:color w:val="000000" w:themeColor="text1"/>
          <w:sz w:val="22"/>
          <w:lang w:val="es-ES_tradnl"/>
        </w:rPr>
        <w:t>enero</w:t>
      </w:r>
      <w:r w:rsidR="00D509DB">
        <w:rPr>
          <w:rFonts w:ascii="Arial" w:eastAsia="Calibri" w:hAnsi="Arial" w:cs="Arial"/>
          <w:color w:val="000000" w:themeColor="text1"/>
          <w:sz w:val="22"/>
          <w:lang w:val="es-ES_tradnl"/>
        </w:rPr>
        <w:t xml:space="preserve"> 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795F58">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B21040">
      <w:pPr>
        <w:spacing w:line="276" w:lineRule="auto"/>
        <w:ind w:right="49"/>
        <w:jc w:val="both"/>
        <w:rPr>
          <w:rFonts w:ascii="Arial" w:eastAsia="Calibri" w:hAnsi="Arial" w:cs="Arial"/>
          <w:b/>
          <w:color w:val="000000" w:themeColor="text1"/>
          <w:sz w:val="22"/>
          <w:lang w:val="es-ES_tradnl"/>
        </w:rPr>
      </w:pPr>
    </w:p>
    <w:p w14:paraId="7701FCC7" w14:textId="77777777" w:rsidR="00DD5B04" w:rsidRPr="00E23980" w:rsidRDefault="00DD5B04" w:rsidP="00B21040">
      <w:pPr>
        <w:pStyle w:val="Prrafodelista"/>
        <w:numPr>
          <w:ilvl w:val="0"/>
          <w:numId w:val="8"/>
        </w:numPr>
        <w:tabs>
          <w:tab w:val="left" w:pos="0"/>
          <w:tab w:val="left" w:pos="142"/>
          <w:tab w:val="left" w:pos="284"/>
        </w:tabs>
        <w:spacing w:line="276" w:lineRule="auto"/>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B21040">
      <w:pPr>
        <w:tabs>
          <w:tab w:val="left" w:pos="426"/>
        </w:tabs>
        <w:spacing w:line="276" w:lineRule="auto"/>
        <w:ind w:right="49"/>
        <w:jc w:val="both"/>
        <w:rPr>
          <w:rFonts w:ascii="Arial" w:eastAsia="Calibri" w:hAnsi="Arial" w:cs="Arial"/>
          <w:bCs/>
          <w:color w:val="000000" w:themeColor="text1"/>
          <w:sz w:val="22"/>
          <w:szCs w:val="22"/>
          <w:lang w:val="es-ES_tradnl"/>
        </w:rPr>
      </w:pPr>
    </w:p>
    <w:p w14:paraId="0815783A" w14:textId="04E3CE48" w:rsidR="00FA7C55" w:rsidRPr="00FA7C55" w:rsidRDefault="007E6F28" w:rsidP="00FA7C55">
      <w:pPr>
        <w:spacing w:line="276" w:lineRule="auto"/>
        <w:ind w:right="49"/>
        <w:jc w:val="both"/>
        <w:rPr>
          <w:rFonts w:ascii="Arial" w:hAnsi="Arial" w:cs="Arial"/>
          <w:color w:val="000000" w:themeColor="text1"/>
          <w:sz w:val="22"/>
          <w:szCs w:val="22"/>
          <w:lang w:val="es-ES_tradnl"/>
        </w:rPr>
      </w:pPr>
      <w:r>
        <w:rPr>
          <w:rFonts w:ascii="Arial" w:eastAsia="Calibri" w:hAnsi="Arial" w:cs="Arial"/>
          <w:color w:val="000000"/>
          <w:sz w:val="22"/>
          <w:lang w:eastAsia="es-MX"/>
        </w:rPr>
        <w:t xml:space="preserve">En relación con </w:t>
      </w:r>
      <w:r w:rsidR="00FA7C55">
        <w:rPr>
          <w:rFonts w:ascii="Arial" w:eastAsia="Calibri" w:hAnsi="Arial" w:cs="Arial"/>
          <w:color w:val="000000"/>
          <w:sz w:val="22"/>
          <w:lang w:eastAsia="es-MX"/>
        </w:rPr>
        <w:t xml:space="preserve">el </w:t>
      </w:r>
      <w:r w:rsidR="00FA7C55" w:rsidRPr="00FA7C55">
        <w:rPr>
          <w:rFonts w:ascii="Arial" w:eastAsia="Calibri" w:hAnsi="Arial" w:cs="Arial"/>
          <w:color w:val="000000"/>
          <w:sz w:val="22"/>
          <w:lang w:val="es-ES_tradnl" w:eastAsia="es-MX"/>
        </w:rPr>
        <w:t xml:space="preserve">inciso </w:t>
      </w:r>
      <w:r w:rsidR="00C97E28">
        <w:rPr>
          <w:rFonts w:ascii="Arial" w:eastAsia="Calibri" w:hAnsi="Arial" w:cs="Arial"/>
          <w:color w:val="000000"/>
          <w:sz w:val="22"/>
          <w:lang w:val="es-ES_tradnl" w:eastAsia="es-MX"/>
        </w:rPr>
        <w:t>segundo</w:t>
      </w:r>
      <w:r w:rsidR="00FA7C55" w:rsidRPr="00FA7C55">
        <w:rPr>
          <w:rFonts w:ascii="Arial" w:eastAsia="Calibri" w:hAnsi="Arial" w:cs="Arial"/>
          <w:color w:val="000000"/>
          <w:sz w:val="22"/>
          <w:lang w:val="es-ES_tradnl" w:eastAsia="es-MX"/>
        </w:rPr>
        <w:t xml:space="preserve"> del artículo 33 de la ley 996 de 2005</w:t>
      </w:r>
      <w:r>
        <w:rPr>
          <w:rFonts w:ascii="Arial" w:eastAsia="Calibri" w:hAnsi="Arial" w:cs="Arial"/>
          <w:color w:val="000000"/>
          <w:sz w:val="22"/>
          <w:lang w:eastAsia="es-MX"/>
        </w:rPr>
        <w:t xml:space="preserve">, </w:t>
      </w:r>
      <w:r w:rsidR="00D509DB">
        <w:rPr>
          <w:rFonts w:ascii="Arial" w:eastAsia="Calibri" w:hAnsi="Arial" w:cs="Arial"/>
          <w:color w:val="000000"/>
          <w:sz w:val="22"/>
          <w:lang w:eastAsia="es-MX"/>
        </w:rPr>
        <w:t>u</w:t>
      </w:r>
      <w:r w:rsidR="00032FCA" w:rsidRPr="00032FCA">
        <w:rPr>
          <w:rFonts w:ascii="Arial" w:eastAsia="Calibri" w:hAnsi="Arial" w:cs="Arial"/>
          <w:color w:val="000000"/>
          <w:sz w:val="22"/>
          <w:lang w:eastAsia="es-MX"/>
        </w:rPr>
        <w:t>sted realiza la</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siguiente</w:t>
      </w:r>
      <w:r w:rsidR="005B4E5C">
        <w:rPr>
          <w:rFonts w:ascii="Arial" w:eastAsia="Calibri" w:hAnsi="Arial" w:cs="Arial"/>
          <w:color w:val="000000"/>
          <w:sz w:val="22"/>
          <w:lang w:eastAsia="es-MX"/>
        </w:rPr>
        <w:t>s</w:t>
      </w:r>
      <w:r w:rsidR="00032FCA" w:rsidRPr="00032FCA">
        <w:rPr>
          <w:rFonts w:ascii="Arial" w:eastAsia="Calibri" w:hAnsi="Arial" w:cs="Arial"/>
          <w:color w:val="000000"/>
          <w:sz w:val="22"/>
          <w:lang w:eastAsia="es-MX"/>
        </w:rPr>
        <w:t xml:space="preserve"> pregun</w:t>
      </w:r>
      <w:r w:rsidR="00032FCA" w:rsidRPr="00032FCA">
        <w:rPr>
          <w:rFonts w:ascii="Arial" w:eastAsia="Calibri" w:hAnsi="Arial" w:cs="Arial"/>
          <w:color w:val="000000"/>
          <w:sz w:val="22"/>
          <w:szCs w:val="22"/>
          <w:lang w:eastAsia="es-MX"/>
        </w:rPr>
        <w:t>ta</w:t>
      </w:r>
      <w:r w:rsidR="005B4E5C">
        <w:rPr>
          <w:rFonts w:ascii="Arial" w:eastAsia="Calibri" w:hAnsi="Arial" w:cs="Arial"/>
          <w:color w:val="000000"/>
          <w:sz w:val="22"/>
          <w:szCs w:val="22"/>
          <w:lang w:eastAsia="es-MX"/>
        </w:rPr>
        <w:t>s</w:t>
      </w:r>
      <w:r w:rsidR="00032FCA" w:rsidRPr="00032FCA">
        <w:rPr>
          <w:rFonts w:ascii="Arial" w:eastAsia="Calibri" w:hAnsi="Arial" w:cs="Arial"/>
          <w:color w:val="000000"/>
          <w:sz w:val="22"/>
          <w:szCs w:val="22"/>
          <w:lang w:eastAsia="es-MX"/>
        </w:rPr>
        <w:t>:</w:t>
      </w:r>
      <w:r w:rsidR="004D7BCC">
        <w:rPr>
          <w:rFonts w:ascii="Arial" w:eastAsia="Calibri" w:hAnsi="Arial" w:cs="Arial"/>
          <w:color w:val="000000"/>
          <w:sz w:val="22"/>
          <w:szCs w:val="22"/>
          <w:lang w:eastAsia="es-MX"/>
        </w:rPr>
        <w:t xml:space="preserve"> </w:t>
      </w:r>
      <w:r w:rsidR="00A12DBD" w:rsidRPr="00A12DBD">
        <w:rPr>
          <w:rFonts w:ascii="Arial" w:eastAsia="Calibri" w:hAnsi="Arial" w:cs="Arial"/>
          <w:color w:val="000000"/>
          <w:sz w:val="22"/>
          <w:szCs w:val="22"/>
          <w:lang w:eastAsia="es-MX"/>
        </w:rPr>
        <w:t xml:space="preserve">i) </w:t>
      </w:r>
      <w:r w:rsidR="00A12DBD" w:rsidRPr="005A36C3">
        <w:rPr>
          <w:rFonts w:ascii="Arial" w:hAnsi="Arial" w:cs="Arial"/>
          <w:color w:val="000000" w:themeColor="text1"/>
          <w:sz w:val="22"/>
          <w:szCs w:val="22"/>
          <w:lang w:val="es-ES_tradnl"/>
        </w:rPr>
        <w:t>«</w:t>
      </w:r>
      <w:r w:rsidR="00FA7C55" w:rsidRPr="00FA7C55">
        <w:rPr>
          <w:rFonts w:ascii="Arial" w:hAnsi="Arial" w:cs="Arial"/>
          <w:color w:val="000000" w:themeColor="text1"/>
          <w:sz w:val="22"/>
          <w:szCs w:val="22"/>
          <w:lang w:val="es-ES_tradnl"/>
        </w:rPr>
        <w:t>¿Se encuentra inmerso en las causales de excepción que establece el inciso 2 del artículo 33 de la ley 996 de 2005, los contratos directos (contratos-interadministrativos) que celebra el Departamento con la Empresa Social del Estado (E.S.E) y/o IPS públicas, para el desarrollo de las acciones previstas en el Plan de Salud Pública de Intervenciones Colectivas?</w:t>
      </w:r>
      <w:r w:rsidR="00FA7C55" w:rsidRPr="005A36C3">
        <w:rPr>
          <w:rFonts w:ascii="Arial" w:hAnsi="Arial" w:cs="Arial"/>
          <w:color w:val="000000" w:themeColor="text1"/>
          <w:sz w:val="22"/>
          <w:szCs w:val="22"/>
          <w:lang w:val="es-ES_tradnl"/>
        </w:rPr>
        <w:t>»</w:t>
      </w:r>
      <w:r w:rsidR="00FA7C55">
        <w:rPr>
          <w:rFonts w:ascii="Arial" w:hAnsi="Arial" w:cs="Arial"/>
          <w:color w:val="000000" w:themeColor="text1"/>
          <w:sz w:val="22"/>
          <w:szCs w:val="22"/>
          <w:lang w:val="es-ES_tradnl"/>
        </w:rPr>
        <w:t xml:space="preserve">, </w:t>
      </w:r>
      <w:proofErr w:type="spellStart"/>
      <w:r w:rsidR="00FA7C55">
        <w:rPr>
          <w:rFonts w:ascii="Arial" w:hAnsi="Arial" w:cs="Arial"/>
          <w:color w:val="000000" w:themeColor="text1"/>
          <w:sz w:val="22"/>
          <w:szCs w:val="22"/>
          <w:lang w:val="es-ES_tradnl"/>
        </w:rPr>
        <w:t>ii</w:t>
      </w:r>
      <w:proofErr w:type="spellEnd"/>
      <w:r w:rsidR="00FA7C55">
        <w:rPr>
          <w:rFonts w:ascii="Arial" w:hAnsi="Arial" w:cs="Arial"/>
          <w:color w:val="000000" w:themeColor="text1"/>
          <w:sz w:val="22"/>
          <w:szCs w:val="22"/>
          <w:lang w:val="es-ES_tradnl"/>
        </w:rPr>
        <w:t xml:space="preserve">) </w:t>
      </w:r>
      <w:r w:rsidR="00FA7C55" w:rsidRPr="005A36C3">
        <w:rPr>
          <w:rFonts w:ascii="Arial" w:hAnsi="Arial" w:cs="Arial"/>
          <w:color w:val="000000" w:themeColor="text1"/>
          <w:sz w:val="22"/>
          <w:szCs w:val="22"/>
          <w:lang w:val="es-ES_tradnl"/>
        </w:rPr>
        <w:t>«</w:t>
      </w:r>
      <w:r w:rsidR="00FA7C55" w:rsidRPr="00FA7C55">
        <w:rPr>
          <w:rFonts w:ascii="Arial" w:hAnsi="Arial" w:cs="Arial"/>
          <w:color w:val="000000" w:themeColor="text1"/>
          <w:sz w:val="22"/>
          <w:szCs w:val="22"/>
          <w:lang w:val="es-ES_tradnl"/>
        </w:rPr>
        <w:t>Según lo define la Resolución 518 de 2015 emanada del Ministerio de Salud y Protección Social ¿son los Departamentos autoridades sanitarias conforme a las competencias en salud asignadas por la ley 715 de 2001?</w:t>
      </w:r>
      <w:r w:rsidR="00FA7C55" w:rsidRPr="005A36C3">
        <w:rPr>
          <w:rFonts w:ascii="Arial" w:hAnsi="Arial" w:cs="Arial"/>
          <w:color w:val="000000" w:themeColor="text1"/>
          <w:sz w:val="22"/>
          <w:szCs w:val="22"/>
          <w:lang w:val="es-ES_tradnl"/>
        </w:rPr>
        <w:t>»</w:t>
      </w:r>
      <w:r w:rsidR="00FA7C55">
        <w:rPr>
          <w:rFonts w:ascii="Arial" w:hAnsi="Arial" w:cs="Arial"/>
          <w:color w:val="000000" w:themeColor="text1"/>
          <w:sz w:val="22"/>
          <w:szCs w:val="22"/>
          <w:lang w:val="es-ES_tradnl"/>
        </w:rPr>
        <w:t xml:space="preserve">,  y </w:t>
      </w:r>
      <w:proofErr w:type="spellStart"/>
      <w:r w:rsidR="00FA7C55">
        <w:rPr>
          <w:rFonts w:ascii="Arial" w:hAnsi="Arial" w:cs="Arial"/>
          <w:color w:val="000000" w:themeColor="text1"/>
          <w:sz w:val="22"/>
          <w:szCs w:val="22"/>
          <w:lang w:val="es-ES_tradnl"/>
        </w:rPr>
        <w:t>iii</w:t>
      </w:r>
      <w:proofErr w:type="spellEnd"/>
      <w:r w:rsidR="00FA7C55">
        <w:rPr>
          <w:rFonts w:ascii="Arial" w:hAnsi="Arial" w:cs="Arial"/>
          <w:color w:val="000000" w:themeColor="text1"/>
          <w:sz w:val="22"/>
          <w:szCs w:val="22"/>
          <w:lang w:val="es-ES_tradnl"/>
        </w:rPr>
        <w:t xml:space="preserve">) </w:t>
      </w:r>
      <w:r w:rsidR="00FA7C55" w:rsidRPr="005A36C3">
        <w:rPr>
          <w:rFonts w:ascii="Arial" w:hAnsi="Arial" w:cs="Arial"/>
          <w:color w:val="000000" w:themeColor="text1"/>
          <w:sz w:val="22"/>
          <w:szCs w:val="22"/>
          <w:lang w:val="es-ES_tradnl"/>
        </w:rPr>
        <w:t>«</w:t>
      </w:r>
      <w:r w:rsidR="00FA7C55" w:rsidRPr="00FA7C55">
        <w:rPr>
          <w:rFonts w:ascii="Arial" w:hAnsi="Arial" w:cs="Arial"/>
          <w:color w:val="000000" w:themeColor="text1"/>
          <w:sz w:val="22"/>
          <w:szCs w:val="22"/>
          <w:lang w:val="es-ES_tradnl"/>
        </w:rPr>
        <w:t xml:space="preserve">En la eventualidad que el Departamento no cuente con instituciones prestadoras de </w:t>
      </w:r>
      <w:r w:rsidR="00FA7C55" w:rsidRPr="00FA7C55">
        <w:rPr>
          <w:rFonts w:ascii="Arial" w:hAnsi="Arial" w:cs="Arial"/>
          <w:color w:val="000000" w:themeColor="text1"/>
          <w:sz w:val="22"/>
          <w:szCs w:val="22"/>
          <w:lang w:val="es-ES_tradnl"/>
        </w:rPr>
        <w:lastRenderedPageBreak/>
        <w:t>salud públicas o privadas, organizaciones no gubernamentales (ONG) y universidades, cuyo objeto social esté relacionado con la prestación de las acciones previstas en el Plan de Salud Pública de Intervenciones Colectivas, que cumplan con los criterios definidos en el artículo 15 de la Resolución 518 de 2015 (capacidad técnica y operativa) o la normatividad vigente en materia de contratación estatal (Registro Único de Proponentes) ¿Que actuación debe desarrollar el Departamento para dar cumplimiento a las obligaciones constitucionales y legales que le asisten, frente a la garantía de acceso a los servicios de promoción, protección y recuperación de la salud de manera continua y sin interrupción de ninguna naturaleza?</w:t>
      </w:r>
      <w:r w:rsidR="00FA7C55" w:rsidRPr="005A36C3">
        <w:rPr>
          <w:rFonts w:ascii="Arial" w:hAnsi="Arial" w:cs="Arial"/>
          <w:color w:val="000000" w:themeColor="text1"/>
          <w:sz w:val="22"/>
          <w:szCs w:val="22"/>
          <w:lang w:val="es-ES_tradnl"/>
        </w:rPr>
        <w:t>»</w:t>
      </w:r>
      <w:r w:rsidR="00DE1075">
        <w:rPr>
          <w:rFonts w:ascii="Arial" w:hAnsi="Arial" w:cs="Arial"/>
          <w:color w:val="000000" w:themeColor="text1"/>
          <w:sz w:val="22"/>
          <w:szCs w:val="22"/>
          <w:lang w:val="es-ES_tradnl"/>
        </w:rPr>
        <w:t>.</w:t>
      </w:r>
    </w:p>
    <w:p w14:paraId="6F0D8BA9" w14:textId="77777777" w:rsidR="004D7BCC" w:rsidRPr="00032FCA" w:rsidRDefault="004D7BCC" w:rsidP="00B21040">
      <w:pPr>
        <w:spacing w:line="276" w:lineRule="auto"/>
        <w:ind w:right="49"/>
        <w:jc w:val="both"/>
        <w:rPr>
          <w:rFonts w:ascii="Arial" w:hAnsi="Arial" w:cs="Arial"/>
          <w:color w:val="000000" w:themeColor="text1"/>
          <w:sz w:val="22"/>
        </w:rPr>
      </w:pPr>
    </w:p>
    <w:p w14:paraId="124D2DCA" w14:textId="77777777" w:rsidR="00DD5B04" w:rsidRPr="00E23980" w:rsidRDefault="00DD5B04" w:rsidP="00B21040">
      <w:pPr>
        <w:pStyle w:val="Prrafodelista"/>
        <w:numPr>
          <w:ilvl w:val="0"/>
          <w:numId w:val="8"/>
        </w:numPr>
        <w:tabs>
          <w:tab w:val="left" w:pos="0"/>
          <w:tab w:val="left" w:pos="284"/>
        </w:tabs>
        <w:ind w:left="0" w:right="49"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14831903" w14:textId="77777777" w:rsidR="000B64F4" w:rsidRDefault="000B64F4" w:rsidP="00B21040">
      <w:pPr>
        <w:spacing w:line="276" w:lineRule="auto"/>
        <w:ind w:right="49"/>
        <w:jc w:val="both"/>
        <w:rPr>
          <w:rFonts w:ascii="Arial" w:eastAsia="Calibri" w:hAnsi="Arial" w:cs="Arial"/>
          <w:color w:val="000000" w:themeColor="text1"/>
          <w:sz w:val="22"/>
          <w:szCs w:val="22"/>
        </w:rPr>
      </w:pPr>
      <w:bookmarkStart w:id="12" w:name="_Hlk38448224"/>
    </w:p>
    <w:p w14:paraId="280EA4C6" w14:textId="3042FA25" w:rsidR="006636CE" w:rsidRPr="006636CE" w:rsidRDefault="006636CE" w:rsidP="00B21040">
      <w:pPr>
        <w:spacing w:line="276" w:lineRule="auto"/>
        <w:ind w:right="49"/>
        <w:jc w:val="both"/>
        <w:rPr>
          <w:rFonts w:ascii="Arial" w:hAnsi="Arial" w:cs="Arial"/>
          <w:bCs/>
          <w:sz w:val="22"/>
        </w:rPr>
      </w:pPr>
      <w:r>
        <w:rPr>
          <w:rFonts w:ascii="Arial" w:eastAsia="Calibri" w:hAnsi="Arial" w:cs="Arial"/>
          <w:color w:val="000000" w:themeColor="text1"/>
          <w:sz w:val="22"/>
          <w:szCs w:val="22"/>
        </w:rPr>
        <w:t>De manera preliminar, es preciso señalar que e</w:t>
      </w:r>
      <w:r w:rsidRPr="006636CE">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4D40BE8" w14:textId="77777777" w:rsidR="006636CE" w:rsidRPr="006636CE" w:rsidRDefault="006636CE" w:rsidP="00B21040">
      <w:pPr>
        <w:spacing w:before="120" w:line="276" w:lineRule="auto"/>
        <w:ind w:right="49" w:firstLine="708"/>
        <w:jc w:val="both"/>
        <w:rPr>
          <w:rFonts w:ascii="Arial" w:hAnsi="Arial" w:cs="Arial"/>
          <w:sz w:val="22"/>
          <w:lang w:val="es-ES"/>
        </w:rPr>
      </w:pPr>
      <w:bookmarkStart w:id="13" w:name="_Hlk61701014"/>
      <w:bookmarkStart w:id="14" w:name="_Hlk62136649"/>
      <w:r w:rsidRPr="006636CE">
        <w:rPr>
          <w:rFonts w:ascii="Arial" w:hAnsi="Arial" w:cs="Arial"/>
          <w:sz w:val="22"/>
          <w:lang w:val="es-ES"/>
        </w:rPr>
        <w:t xml:space="preserve">Es necesario tener en cuenta que </w:t>
      </w:r>
      <w:bookmarkStart w:id="15" w:name="_Hlk61026958"/>
      <w:r w:rsidRPr="006636CE">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636CE">
        <w:rPr>
          <w:rFonts w:ascii="Arial" w:hAnsi="Arial" w:cs="Arial"/>
          <w:bCs/>
          <w:sz w:val="22"/>
        </w:rPr>
        <w:t xml:space="preserve"> de todos los partícipes de la contratación estatal.</w:t>
      </w:r>
    </w:p>
    <w:p w14:paraId="4E30C215" w14:textId="673A98EA" w:rsidR="00FC41F0" w:rsidRDefault="006636CE" w:rsidP="00B21040">
      <w:pPr>
        <w:spacing w:before="120" w:line="276" w:lineRule="auto"/>
        <w:ind w:right="49" w:firstLine="709"/>
        <w:jc w:val="both"/>
        <w:rPr>
          <w:rFonts w:ascii="Arial" w:hAnsi="Arial" w:cs="Arial"/>
          <w:sz w:val="22"/>
          <w:lang w:val="es-ES"/>
        </w:rPr>
      </w:pPr>
      <w:r w:rsidRPr="006636CE">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636CE">
        <w:rPr>
          <w:rFonts w:ascii="Arial" w:hAnsi="Arial" w:cs="Arial"/>
          <w:sz w:val="22"/>
          <w:vertAlign w:val="superscript"/>
          <w:lang w:val="es-ES"/>
        </w:rPr>
        <w:footnoteReference w:id="2"/>
      </w:r>
      <w:r w:rsidRPr="006636CE">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5"/>
      <w:r w:rsidRPr="006636CE">
        <w:rPr>
          <w:rFonts w:ascii="Arial" w:hAnsi="Arial" w:cs="Arial"/>
          <w:sz w:val="22"/>
          <w:lang w:val="es-ES"/>
        </w:rPr>
        <w:t xml:space="preserve">. Por lo anterior, previo concepto de sus órganos asesores, la solución de estos temas corresponde a la </w:t>
      </w:r>
      <w:r w:rsidRPr="006636CE">
        <w:rPr>
          <w:rFonts w:ascii="Arial" w:hAnsi="Arial" w:cs="Arial"/>
          <w:sz w:val="22"/>
          <w:lang w:val="es-ES"/>
        </w:rPr>
        <w:lastRenderedPageBreak/>
        <w:t>entidad que adelanta el procedimiento de selección y, en caso de conflicto, a las autoridades judiciales, fiscales y disciplinarias.</w:t>
      </w:r>
      <w:bookmarkEnd w:id="13"/>
      <w:bookmarkEnd w:id="14"/>
    </w:p>
    <w:p w14:paraId="7ECF62B0" w14:textId="72048EEA" w:rsidR="00D5616D" w:rsidRPr="00D5616D" w:rsidRDefault="00D5616D" w:rsidP="00D5616D">
      <w:pPr>
        <w:spacing w:before="120" w:line="276" w:lineRule="auto"/>
        <w:ind w:right="49" w:firstLine="709"/>
        <w:jc w:val="both"/>
        <w:rPr>
          <w:rFonts w:ascii="Arial" w:hAnsi="Arial" w:cs="Arial"/>
          <w:bCs/>
          <w:sz w:val="22"/>
          <w:lang w:val="es-MX"/>
        </w:rPr>
      </w:pPr>
      <w:r>
        <w:rPr>
          <w:rFonts w:ascii="Arial" w:hAnsi="Arial" w:cs="Arial"/>
          <w:bCs/>
          <w:sz w:val="22"/>
        </w:rPr>
        <w:t>Por otro lado, s</w:t>
      </w:r>
      <w:r w:rsidRPr="00D5616D">
        <w:rPr>
          <w:rFonts w:ascii="Arial" w:hAnsi="Arial" w:cs="Arial"/>
          <w:bCs/>
          <w:sz w:val="22"/>
        </w:rPr>
        <w:t xml:space="preserve">e advierte </w:t>
      </w:r>
      <w:r w:rsidR="008C22AF" w:rsidRPr="00D5616D">
        <w:rPr>
          <w:rFonts w:ascii="Arial" w:hAnsi="Arial" w:cs="Arial"/>
          <w:bCs/>
          <w:sz w:val="22"/>
        </w:rPr>
        <w:t>que,</w:t>
      </w:r>
      <w:r w:rsidRPr="00D5616D">
        <w:rPr>
          <w:rFonts w:ascii="Arial" w:hAnsi="Arial" w:cs="Arial"/>
          <w:bCs/>
          <w:sz w:val="22"/>
        </w:rPr>
        <w:t xml:space="preserv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w:t>
      </w:r>
      <w:r w:rsidRPr="00502D28">
        <w:rPr>
          <w:rFonts w:ascii="Arial" w:hAnsi="Arial" w:cs="Arial"/>
          <w:bCs/>
          <w:sz w:val="22"/>
          <w:vertAlign w:val="superscript"/>
        </w:rPr>
        <w:footnoteReference w:id="3"/>
      </w:r>
      <w:r w:rsidRPr="00D5616D">
        <w:rPr>
          <w:rFonts w:ascii="Arial" w:hAnsi="Arial" w:cs="Arial"/>
          <w:bCs/>
          <w:sz w:val="22"/>
        </w:rPr>
        <w:t xml:space="preserve">, </w:t>
      </w:r>
      <w:r w:rsidR="0032323A">
        <w:rPr>
          <w:rFonts w:ascii="Arial" w:hAnsi="Arial" w:cs="Arial"/>
          <w:bCs/>
          <w:sz w:val="22"/>
        </w:rPr>
        <w:t xml:space="preserve">mediante </w:t>
      </w:r>
      <w:r w:rsidRPr="00D5616D">
        <w:rPr>
          <w:rFonts w:ascii="Arial" w:hAnsi="Arial" w:cs="Arial"/>
          <w:bCs/>
          <w:sz w:val="22"/>
        </w:rPr>
        <w:t xml:space="preserve">el </w:t>
      </w:r>
      <w:r w:rsidRPr="00D5616D">
        <w:rPr>
          <w:rFonts w:ascii="Arial" w:hAnsi="Arial" w:cs="Arial"/>
          <w:bCs/>
          <w:sz w:val="22"/>
          <w:lang w:val="es-MX"/>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4E092CE3" w14:textId="531A3550" w:rsidR="00502D28" w:rsidRPr="00D5616D" w:rsidRDefault="00D5616D" w:rsidP="00D5616D">
      <w:pPr>
        <w:spacing w:before="120" w:line="276" w:lineRule="auto"/>
        <w:ind w:right="49" w:firstLine="709"/>
        <w:jc w:val="both"/>
        <w:rPr>
          <w:rFonts w:ascii="Arial" w:hAnsi="Arial" w:cs="Arial"/>
          <w:bCs/>
          <w:sz w:val="22"/>
          <w:lang w:val="es-MX"/>
        </w:rPr>
      </w:pPr>
      <w:r w:rsidRPr="00D5616D">
        <w:rPr>
          <w:rFonts w:ascii="Arial" w:hAnsi="Arial" w:cs="Arial"/>
          <w:bCs/>
          <w:sz w:val="22"/>
          <w:lang w:val="es-MX"/>
        </w:rPr>
        <w:t xml:space="preserve">Sin embargo, también es necesario tener en cuenta que a través de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w:t>
      </w:r>
      <w:r w:rsidR="00C97E28" w:rsidRPr="00D5616D">
        <w:rPr>
          <w:rFonts w:ascii="Arial" w:hAnsi="Arial" w:cs="Arial"/>
          <w:bCs/>
          <w:sz w:val="22"/>
          <w:lang w:val="es-MX"/>
        </w:rPr>
        <w:t>Bogotá</w:t>
      </w:r>
      <w:r w:rsidRPr="00D5616D">
        <w:rPr>
          <w:rFonts w:ascii="Arial" w:hAnsi="Arial" w:cs="Arial"/>
          <w:bCs/>
          <w:sz w:val="22"/>
          <w:lang w:val="es-MX"/>
        </w:rPr>
        <w:t xml:space="preserve">́, en la forma solicitada por el </w:t>
      </w:r>
      <w:r w:rsidR="00C97E28" w:rsidRPr="00D5616D">
        <w:rPr>
          <w:rFonts w:ascii="Arial" w:hAnsi="Arial" w:cs="Arial"/>
          <w:bCs/>
          <w:sz w:val="22"/>
          <w:lang w:val="es-MX"/>
        </w:rPr>
        <w:t>señor</w:t>
      </w:r>
      <w:r w:rsidRPr="00D5616D">
        <w:rPr>
          <w:rFonts w:ascii="Arial" w:hAnsi="Arial" w:cs="Arial"/>
          <w:bCs/>
          <w:sz w:val="22"/>
          <w:lang w:val="es-MX"/>
        </w:rPr>
        <w:t xml:space="preserve"> Secretario Jurídico de la Presidencia de la </w:t>
      </w:r>
      <w:r w:rsidR="00C97E28" w:rsidRPr="00D5616D">
        <w:rPr>
          <w:rFonts w:ascii="Arial" w:hAnsi="Arial" w:cs="Arial"/>
          <w:bCs/>
          <w:sz w:val="22"/>
          <w:lang w:val="es-MX"/>
        </w:rPr>
        <w:t>República</w:t>
      </w:r>
      <w:r w:rsidRPr="00D5616D">
        <w:rPr>
          <w:rFonts w:ascii="Arial" w:hAnsi="Arial" w:cs="Arial"/>
          <w:bCs/>
          <w:sz w:val="22"/>
          <w:lang w:val="es-MX"/>
        </w:rPr>
        <w:t xml:space="preserve">, por las consideraciones expuestas en la parte motiva de esta providencia». </w:t>
      </w:r>
      <w:r w:rsidR="004838AB">
        <w:rPr>
          <w:rFonts w:ascii="Arial" w:hAnsi="Arial" w:cs="Arial"/>
          <w:sz w:val="22"/>
        </w:rPr>
        <w:t>No obstante</w:t>
      </w:r>
      <w:r w:rsidR="00502D28" w:rsidRPr="00502D28">
        <w:rPr>
          <w:rFonts w:ascii="Arial" w:hAnsi="Arial" w:cs="Arial"/>
          <w:sz w:val="22"/>
        </w:rPr>
        <w:t xml:space="preserve">, </w:t>
      </w:r>
      <w:r w:rsidR="00DA799C">
        <w:rPr>
          <w:rFonts w:ascii="Arial" w:hAnsi="Arial" w:cs="Arial"/>
          <w:sz w:val="22"/>
        </w:rPr>
        <w:t>dado</w:t>
      </w:r>
      <w:r w:rsidR="00502D28" w:rsidRPr="00502D28">
        <w:rPr>
          <w:rFonts w:ascii="Arial" w:hAnsi="Arial" w:cs="Arial"/>
          <w:sz w:val="22"/>
        </w:rPr>
        <w:t xml:space="preserve"> que la consulta </w:t>
      </w:r>
      <w:r w:rsidRPr="00502D28">
        <w:rPr>
          <w:rFonts w:ascii="Arial" w:hAnsi="Arial" w:cs="Arial"/>
          <w:sz w:val="22"/>
        </w:rPr>
        <w:t>está</w:t>
      </w:r>
      <w:r w:rsidR="00502D28" w:rsidRPr="00502D28">
        <w:rPr>
          <w:rFonts w:ascii="Arial" w:hAnsi="Arial" w:cs="Arial"/>
          <w:sz w:val="22"/>
        </w:rPr>
        <w:t xml:space="preserve"> dirigida a las excepciones consagradas en el inciso 2 del artículo 33 de la Ley 996 de 2005, estas modificaciones no serán objeto de análisis en </w:t>
      </w:r>
      <w:r w:rsidR="00272D89">
        <w:rPr>
          <w:rFonts w:ascii="Arial" w:hAnsi="Arial" w:cs="Arial"/>
          <w:sz w:val="22"/>
        </w:rPr>
        <w:t>el presente</w:t>
      </w:r>
      <w:r w:rsidR="00272D89" w:rsidRPr="00502D28">
        <w:rPr>
          <w:rFonts w:ascii="Arial" w:hAnsi="Arial" w:cs="Arial"/>
          <w:sz w:val="22"/>
        </w:rPr>
        <w:t xml:space="preserve"> </w:t>
      </w:r>
      <w:r w:rsidR="00502D28" w:rsidRPr="00502D28">
        <w:rPr>
          <w:rFonts w:ascii="Arial" w:hAnsi="Arial" w:cs="Arial"/>
          <w:sz w:val="22"/>
        </w:rPr>
        <w:t>concepto.</w:t>
      </w:r>
    </w:p>
    <w:p w14:paraId="3798A978" w14:textId="7022D477" w:rsidR="004D7BCC" w:rsidRDefault="004D7BCC" w:rsidP="00B21040">
      <w:pPr>
        <w:tabs>
          <w:tab w:val="left" w:pos="426"/>
        </w:tabs>
        <w:spacing w:before="120" w:line="276" w:lineRule="auto"/>
        <w:ind w:right="49"/>
        <w:jc w:val="both"/>
        <w:rPr>
          <w:rFonts w:ascii="Arial" w:eastAsia="Calibri" w:hAnsi="Arial" w:cs="Arial"/>
          <w:bCs/>
          <w:sz w:val="22"/>
          <w:szCs w:val="22"/>
          <w:lang w:eastAsia="en-US"/>
        </w:rPr>
      </w:pPr>
      <w:r w:rsidRPr="004D7BCC">
        <w:rPr>
          <w:rFonts w:ascii="Arial" w:eastAsiaTheme="minorHAnsi" w:hAnsi="Arial" w:cs="Arial"/>
          <w:sz w:val="22"/>
          <w:szCs w:val="22"/>
          <w:lang w:val="es-ES" w:eastAsia="en-US"/>
        </w:rPr>
        <w:tab/>
      </w:r>
      <w:r w:rsidRPr="004D7BCC">
        <w:rPr>
          <w:rFonts w:ascii="Arial" w:eastAsiaTheme="minorHAnsi" w:hAnsi="Arial" w:cs="Arial"/>
          <w:sz w:val="22"/>
          <w:szCs w:val="22"/>
          <w:lang w:val="es-ES" w:eastAsia="en-US"/>
        </w:rPr>
        <w:tab/>
      </w:r>
      <w:r w:rsidRPr="004D7BCC">
        <w:rPr>
          <w:rFonts w:ascii="Arial" w:eastAsiaTheme="minorHAnsi" w:hAnsi="Arial" w:cs="Arial"/>
          <w:bCs/>
          <w:sz w:val="22"/>
          <w:szCs w:val="22"/>
          <w:lang w:val="es-MX" w:eastAsia="en-US"/>
        </w:rPr>
        <w:t xml:space="preserve">Por tanto, </w:t>
      </w:r>
      <w:r w:rsidR="00FC41F0" w:rsidRPr="005F7856">
        <w:rPr>
          <w:rFonts w:ascii="Arial" w:hAnsi="Arial" w:cs="Arial"/>
          <w:sz w:val="22"/>
          <w:lang w:val="es-ES"/>
        </w:rPr>
        <w:t xml:space="preserve">la </w:t>
      </w:r>
      <w:r w:rsidR="00272D89">
        <w:rPr>
          <w:rFonts w:ascii="Arial" w:hAnsi="Arial" w:cs="Arial"/>
          <w:sz w:val="22"/>
          <w:lang w:val="es-ES"/>
        </w:rPr>
        <w:t>Agencia</w:t>
      </w:r>
      <w:r w:rsidR="00272D89" w:rsidRPr="005F7856">
        <w:rPr>
          <w:rFonts w:ascii="Arial" w:hAnsi="Arial" w:cs="Arial"/>
          <w:sz w:val="22"/>
          <w:lang w:val="es-ES"/>
        </w:rPr>
        <w:t xml:space="preserve"> </w:t>
      </w:r>
      <w:r w:rsidR="00FC41F0" w:rsidRPr="005F7856">
        <w:rPr>
          <w:rFonts w:ascii="Arial" w:hAnsi="Arial" w:cs="Arial"/>
          <w:sz w:val="22"/>
          <w:lang w:val="es-ES"/>
        </w:rPr>
        <w:t xml:space="preserve">dentro de los límites de sus atribuciones </w:t>
      </w:r>
      <w:r w:rsidR="00292CF5" w:rsidRPr="005F7856">
        <w:rPr>
          <w:rFonts w:ascii="Arial" w:hAnsi="Arial" w:cs="Arial"/>
          <w:sz w:val="22"/>
          <w:lang w:val="es-ES"/>
        </w:rPr>
        <w:t>–</w:t>
      </w:r>
      <w:r w:rsidR="00FC41F0" w:rsidRPr="005F7856">
        <w:rPr>
          <w:rFonts w:ascii="Arial" w:hAnsi="Arial" w:cs="Arial"/>
          <w:sz w:val="22"/>
          <w:lang w:val="es-ES"/>
        </w:rPr>
        <w:t xml:space="preserve">esto es, </w:t>
      </w:r>
      <w:bookmarkStart w:id="17" w:name="_Hlk61025408"/>
      <w:r w:rsidR="00FC41F0" w:rsidRPr="005F7856">
        <w:rPr>
          <w:rFonts w:ascii="Arial" w:hAnsi="Arial" w:cs="Arial"/>
          <w:sz w:val="22"/>
          <w:lang w:val="es-ES"/>
        </w:rPr>
        <w:t>haciendo abstracción del caso particular expuesto por el peticionari</w:t>
      </w:r>
      <w:bookmarkEnd w:id="17"/>
      <w:r w:rsidR="00FC41F0" w:rsidRPr="005F7856">
        <w:rPr>
          <w:rFonts w:ascii="Arial" w:hAnsi="Arial" w:cs="Arial"/>
          <w:sz w:val="22"/>
          <w:lang w:val="es-ES"/>
        </w:rPr>
        <w:t>o–</w:t>
      </w:r>
      <w:r w:rsidR="00292CF5">
        <w:rPr>
          <w:rFonts w:ascii="Arial" w:eastAsiaTheme="minorHAnsi" w:hAnsi="Arial" w:cs="Arial"/>
          <w:bCs/>
          <w:sz w:val="22"/>
          <w:szCs w:val="22"/>
          <w:lang w:val="es-MX" w:eastAsia="en-US"/>
        </w:rPr>
        <w:t xml:space="preserve">, </w:t>
      </w:r>
      <w:r w:rsidR="00292CF5" w:rsidRPr="005F7856">
        <w:rPr>
          <w:rFonts w:ascii="Arial" w:hAnsi="Arial" w:cs="Arial"/>
          <w:sz w:val="22"/>
          <w:lang w:val="es-ES"/>
        </w:rPr>
        <w:t>resolverá</w:t>
      </w:r>
      <w:r w:rsidR="00292CF5">
        <w:rPr>
          <w:rFonts w:ascii="Arial" w:hAnsi="Arial" w:cs="Arial"/>
          <w:sz w:val="22"/>
          <w:lang w:val="es-ES"/>
        </w:rPr>
        <w:t xml:space="preserve"> la consulta </w:t>
      </w:r>
      <w:r w:rsidR="00292CF5" w:rsidRPr="005F7856">
        <w:rPr>
          <w:rFonts w:ascii="Arial" w:hAnsi="Arial" w:cs="Arial"/>
          <w:sz w:val="22"/>
          <w:lang w:val="es-ES"/>
        </w:rPr>
        <w:t>conforme a las normas generales en materia de contratación estatal</w:t>
      </w:r>
      <w:r w:rsidR="00292CF5">
        <w:rPr>
          <w:rFonts w:ascii="Arial" w:hAnsi="Arial" w:cs="Arial"/>
          <w:sz w:val="22"/>
          <w:lang w:val="es-ES"/>
        </w:rPr>
        <w:t xml:space="preserve"> </w:t>
      </w:r>
      <w:r w:rsidRPr="004D7BCC">
        <w:rPr>
          <w:rFonts w:ascii="Arial" w:eastAsiaTheme="minorHAnsi" w:hAnsi="Arial" w:cs="Arial"/>
          <w:bCs/>
          <w:sz w:val="22"/>
          <w:szCs w:val="22"/>
          <w:lang w:val="es-MX" w:eastAsia="en-US"/>
        </w:rPr>
        <w:t>previo análisis de</w:t>
      </w:r>
      <w:r w:rsidRPr="004D7BCC">
        <w:rPr>
          <w:rFonts w:ascii="Arial" w:eastAsia="Calibri" w:hAnsi="Arial" w:cs="Arial"/>
          <w:color w:val="000000" w:themeColor="text1"/>
          <w:sz w:val="22"/>
          <w:szCs w:val="22"/>
          <w:lang w:val="es-ES" w:eastAsia="en-US"/>
        </w:rPr>
        <w:t xml:space="preserve"> los siguientes temas:</w:t>
      </w:r>
      <w:r w:rsidRPr="004D7BCC">
        <w:rPr>
          <w:rFonts w:ascii="Arial" w:eastAsia="Calibri" w:hAnsi="Arial" w:cs="Arial"/>
          <w:bCs/>
          <w:sz w:val="22"/>
          <w:szCs w:val="22"/>
          <w:lang w:eastAsia="en-US"/>
        </w:rPr>
        <w:t xml:space="preserve"> </w:t>
      </w:r>
      <w:r w:rsidR="002A78CA" w:rsidRPr="00EF0380">
        <w:rPr>
          <w:rFonts w:ascii="Arial" w:eastAsia="Arial" w:hAnsi="Arial" w:cs="Arial"/>
          <w:sz w:val="22"/>
          <w:szCs w:val="22"/>
        </w:rPr>
        <w:t xml:space="preserve">i) definición y finalidad de la Ley de Garantías Electorales, </w:t>
      </w:r>
      <w:proofErr w:type="spellStart"/>
      <w:r w:rsidR="002A78CA" w:rsidRPr="00EF0380">
        <w:rPr>
          <w:rFonts w:ascii="Arial" w:eastAsia="Arial" w:hAnsi="Arial" w:cs="Arial"/>
          <w:sz w:val="22"/>
          <w:szCs w:val="22"/>
        </w:rPr>
        <w:t>ii</w:t>
      </w:r>
      <w:proofErr w:type="spellEnd"/>
      <w:r w:rsidR="002A78CA" w:rsidRPr="00EF0380">
        <w:rPr>
          <w:rFonts w:ascii="Arial" w:eastAsia="Arial" w:hAnsi="Arial" w:cs="Arial"/>
          <w:sz w:val="22"/>
          <w:szCs w:val="22"/>
        </w:rPr>
        <w:t xml:space="preserve">) restricciones para elecciones presidenciales y </w:t>
      </w:r>
      <w:proofErr w:type="spellStart"/>
      <w:r w:rsidR="002A78CA" w:rsidRPr="00EF0380">
        <w:rPr>
          <w:rFonts w:ascii="Arial" w:eastAsia="Arial" w:hAnsi="Arial" w:cs="Arial"/>
          <w:sz w:val="22"/>
          <w:szCs w:val="22"/>
        </w:rPr>
        <w:t>iii</w:t>
      </w:r>
      <w:proofErr w:type="spellEnd"/>
      <w:r w:rsidR="002A78CA" w:rsidRPr="00EF0380">
        <w:rPr>
          <w:rFonts w:ascii="Arial" w:eastAsia="Arial" w:hAnsi="Arial" w:cs="Arial"/>
          <w:sz w:val="22"/>
          <w:szCs w:val="22"/>
        </w:rPr>
        <w:t>) destinatarios de la prohibición del artículo 33 de la Ley 996 de 2005.</w:t>
      </w:r>
    </w:p>
    <w:p w14:paraId="70C4BC13" w14:textId="0E30EF86" w:rsidR="00FA7C55" w:rsidRPr="00FA7C55" w:rsidRDefault="00FA7C55" w:rsidP="00FA7C55">
      <w:pPr>
        <w:tabs>
          <w:tab w:val="left" w:pos="426"/>
        </w:tabs>
        <w:spacing w:before="120" w:line="276" w:lineRule="auto"/>
        <w:ind w:firstLine="709"/>
        <w:jc w:val="both"/>
        <w:rPr>
          <w:rFonts w:ascii="Arial" w:eastAsia="Calibri" w:hAnsi="Arial" w:cs="Arial"/>
          <w:bCs/>
          <w:sz w:val="22"/>
          <w:szCs w:val="22"/>
          <w:lang w:eastAsia="en-US"/>
        </w:rPr>
      </w:pPr>
      <w:r w:rsidRPr="00FA7C55">
        <w:rPr>
          <w:rFonts w:ascii="Arial" w:eastAsia="Calibri" w:hAnsi="Arial" w:cs="Arial"/>
          <w:bCs/>
          <w:sz w:val="22"/>
          <w:szCs w:val="22"/>
          <w:lang w:eastAsia="en-U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w:t>
      </w:r>
      <w:r w:rsidRPr="00FA7C55">
        <w:rPr>
          <w:rFonts w:ascii="Arial" w:eastAsia="Calibri" w:hAnsi="Arial" w:cs="Arial"/>
          <w:bCs/>
          <w:sz w:val="22"/>
          <w:szCs w:val="22"/>
          <w:lang w:eastAsia="en-US"/>
        </w:rPr>
        <w:lastRenderedPageBreak/>
        <w:t>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w:t>
      </w:r>
      <w:r w:rsidR="00B0035C">
        <w:rPr>
          <w:rFonts w:ascii="Arial" w:eastAsia="Calibri" w:hAnsi="Arial" w:cs="Arial"/>
          <w:bCs/>
          <w:sz w:val="22"/>
          <w:szCs w:val="22"/>
          <w:lang w:eastAsia="en-US"/>
        </w:rPr>
        <w:t>,</w:t>
      </w:r>
      <w:r w:rsidRPr="00FA7C55">
        <w:rPr>
          <w:rFonts w:ascii="Arial" w:eastAsia="Calibri" w:hAnsi="Arial" w:cs="Arial"/>
          <w:bCs/>
          <w:sz w:val="22"/>
          <w:szCs w:val="22"/>
          <w:lang w:eastAsia="en-US"/>
        </w:rPr>
        <w:t xml:space="preserve"> C-695 del 22 de diciembre de 2021</w:t>
      </w:r>
      <w:r w:rsidR="00B0035C">
        <w:rPr>
          <w:rFonts w:ascii="Arial" w:eastAsia="Calibri" w:hAnsi="Arial" w:cs="Arial"/>
          <w:bCs/>
          <w:sz w:val="22"/>
          <w:szCs w:val="22"/>
          <w:lang w:eastAsia="en-US"/>
        </w:rPr>
        <w:t xml:space="preserve"> y </w:t>
      </w:r>
      <w:r w:rsidR="008C22AF">
        <w:rPr>
          <w:rFonts w:ascii="Arial" w:eastAsia="Calibri" w:hAnsi="Arial" w:cs="Arial"/>
          <w:bCs/>
          <w:sz w:val="22"/>
          <w:szCs w:val="22"/>
          <w:lang w:eastAsia="en-US"/>
        </w:rPr>
        <w:t>C-</w:t>
      </w:r>
      <w:r w:rsidR="00B0035C">
        <w:rPr>
          <w:rFonts w:ascii="Arial" w:eastAsia="Calibri" w:hAnsi="Arial" w:cs="Arial"/>
          <w:bCs/>
          <w:sz w:val="22"/>
          <w:szCs w:val="22"/>
          <w:lang w:eastAsia="en-US"/>
        </w:rPr>
        <w:t>015 del 12 de enero de 2022</w:t>
      </w:r>
      <w:r w:rsidRPr="00FA7C55">
        <w:rPr>
          <w:rFonts w:ascii="Arial" w:eastAsia="Calibri" w:hAnsi="Arial" w:cs="Arial"/>
          <w:bCs/>
          <w:sz w:val="22"/>
          <w:szCs w:val="22"/>
          <w:lang w:eastAsia="en-US"/>
        </w:rPr>
        <w:t>. La tesis desarrollada en estos conceptos se reitera y complementa a continuación:</w:t>
      </w:r>
    </w:p>
    <w:bookmarkEnd w:id="12"/>
    <w:p w14:paraId="6F281A13" w14:textId="77777777" w:rsidR="00574F4A" w:rsidRPr="00574F4A" w:rsidRDefault="00574F4A" w:rsidP="00B21040">
      <w:pPr>
        <w:spacing w:line="276" w:lineRule="auto"/>
        <w:ind w:right="49"/>
        <w:jc w:val="both"/>
        <w:rPr>
          <w:rFonts w:ascii="Arial" w:hAnsi="Arial" w:cs="Arial"/>
          <w:b/>
          <w:bCs/>
          <w:color w:val="000000" w:themeColor="text1"/>
          <w:sz w:val="22"/>
        </w:rPr>
      </w:pPr>
    </w:p>
    <w:p w14:paraId="12F9E002" w14:textId="77777777" w:rsidR="002A78CA" w:rsidRPr="002A78CA" w:rsidRDefault="00574F4A" w:rsidP="002A78CA">
      <w:pPr>
        <w:tabs>
          <w:tab w:val="left" w:pos="426"/>
        </w:tabs>
        <w:ind w:right="49"/>
        <w:jc w:val="both"/>
        <w:rPr>
          <w:rFonts w:ascii="Arial" w:hAnsi="Arial" w:cs="Arial"/>
          <w:b/>
          <w:bCs/>
          <w:color w:val="000000" w:themeColor="text1"/>
          <w:sz w:val="22"/>
        </w:rPr>
      </w:pPr>
      <w:r>
        <w:rPr>
          <w:rFonts w:ascii="Arial" w:hAnsi="Arial" w:cs="Arial"/>
          <w:b/>
          <w:bCs/>
          <w:color w:val="000000" w:themeColor="text1"/>
          <w:sz w:val="22"/>
        </w:rPr>
        <w:t xml:space="preserve">2.1 </w:t>
      </w:r>
      <w:r w:rsidR="002A78CA" w:rsidRPr="002A78CA">
        <w:rPr>
          <w:rFonts w:ascii="Arial" w:hAnsi="Arial" w:cs="Arial"/>
          <w:b/>
          <w:bCs/>
          <w:color w:val="000000" w:themeColor="text1"/>
          <w:sz w:val="22"/>
        </w:rPr>
        <w:t>Definición y finalidad de la Ley de Garantías Electorales: alcance de las restricciones</w:t>
      </w:r>
    </w:p>
    <w:p w14:paraId="1713720A" w14:textId="77777777" w:rsidR="002A78CA" w:rsidRPr="002A78CA" w:rsidRDefault="002A78CA" w:rsidP="002A78CA">
      <w:pPr>
        <w:tabs>
          <w:tab w:val="left" w:pos="426"/>
        </w:tabs>
        <w:ind w:right="49"/>
        <w:jc w:val="both"/>
        <w:rPr>
          <w:rFonts w:ascii="Arial" w:hAnsi="Arial" w:cs="Arial"/>
          <w:b/>
          <w:bCs/>
          <w:color w:val="000000" w:themeColor="text1"/>
          <w:sz w:val="22"/>
        </w:rPr>
      </w:pPr>
    </w:p>
    <w:p w14:paraId="01AD0194" w14:textId="77777777" w:rsidR="007C609C" w:rsidRPr="00A17486" w:rsidRDefault="007C609C" w:rsidP="007C609C">
      <w:pPr>
        <w:tabs>
          <w:tab w:val="left" w:pos="426"/>
        </w:tabs>
        <w:spacing w:after="120" w:line="276" w:lineRule="auto"/>
        <w:ind w:right="49"/>
        <w:jc w:val="both"/>
        <w:rPr>
          <w:rFonts w:ascii="Arial" w:hAnsi="Arial" w:cs="Arial"/>
          <w:bCs/>
          <w:sz w:val="22"/>
          <w:szCs w:val="22"/>
          <w:lang w:eastAsia="es-CO"/>
        </w:rPr>
      </w:pPr>
      <w:r w:rsidRPr="00A17486">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A17486">
        <w:rPr>
          <w:rFonts w:ascii="Arial" w:eastAsia="Calibri" w:hAnsi="Arial" w:cs="Arial"/>
          <w:bCs/>
          <w:i/>
          <w:iCs/>
          <w:sz w:val="22"/>
          <w:szCs w:val="22"/>
          <w:lang w:eastAsia="en-US"/>
        </w:rPr>
        <w:t xml:space="preserve">. </w:t>
      </w:r>
      <w:r w:rsidRPr="00A17486">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A17486">
        <w:rPr>
          <w:rFonts w:ascii="Arial" w:eastAsia="Calibri" w:hAnsi="Arial" w:cs="Arial"/>
          <w:bCs/>
          <w:sz w:val="22"/>
          <w:szCs w:val="22"/>
          <w:vertAlign w:val="superscript"/>
          <w:lang w:eastAsia="en-US"/>
        </w:rPr>
        <w:footnoteReference w:id="4"/>
      </w:r>
      <w:r w:rsidRPr="00A17486">
        <w:rPr>
          <w:rFonts w:ascii="Arial" w:eastAsia="Calibri" w:hAnsi="Arial" w:cs="Arial"/>
          <w:bCs/>
          <w:sz w:val="22"/>
          <w:szCs w:val="22"/>
          <w:lang w:eastAsia="en-US"/>
        </w:rPr>
        <w:t xml:space="preserve">. </w:t>
      </w:r>
    </w:p>
    <w:p w14:paraId="65223FE3" w14:textId="77777777" w:rsidR="007C609C" w:rsidRPr="00A17486" w:rsidRDefault="007C609C" w:rsidP="007C609C">
      <w:pPr>
        <w:tabs>
          <w:tab w:val="left" w:pos="426"/>
        </w:tabs>
        <w:spacing w:line="276" w:lineRule="auto"/>
        <w:ind w:right="49" w:firstLine="709"/>
        <w:jc w:val="both"/>
        <w:rPr>
          <w:rFonts w:ascii="Arial" w:hAnsi="Arial" w:cs="Arial"/>
          <w:bCs/>
          <w:sz w:val="22"/>
          <w:szCs w:val="22"/>
          <w:lang w:val="es-MX" w:eastAsia="es-CO"/>
        </w:rPr>
      </w:pPr>
      <w:r w:rsidRPr="00A17486">
        <w:rPr>
          <w:rFonts w:ascii="Arial" w:hAnsi="Arial" w:cs="Arial"/>
          <w:bCs/>
          <w:sz w:val="22"/>
          <w:szCs w:val="22"/>
          <w:lang w:eastAsia="es-CO"/>
        </w:rPr>
        <w:t>En el mismo sentido</w:t>
      </w:r>
      <w:r w:rsidRPr="00A17486">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A17486">
        <w:rPr>
          <w:rFonts w:ascii="Arial" w:hAnsi="Arial" w:cs="Arial"/>
          <w:bCs/>
          <w:sz w:val="22"/>
          <w:szCs w:val="22"/>
          <w:vertAlign w:val="superscript"/>
          <w:lang w:val="es-MX" w:eastAsia="es-CO"/>
        </w:rPr>
        <w:footnoteReference w:id="5"/>
      </w:r>
      <w:r w:rsidRPr="00A17486">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A17486">
        <w:rPr>
          <w:rFonts w:ascii="Arial" w:eastAsia="Calibri" w:hAnsi="Arial" w:cs="Arial"/>
          <w:noProof/>
          <w:sz w:val="22"/>
          <w:szCs w:val="22"/>
          <w:lang w:val="es-ES_tradnl" w:eastAsia="en-US"/>
        </w:rPr>
        <w:t xml:space="preserve"> </w:t>
      </w:r>
      <w:r w:rsidRPr="00A17486">
        <w:rPr>
          <w:rFonts w:ascii="Arial" w:hAnsi="Arial" w:cs="Arial"/>
          <w:bCs/>
          <w:sz w:val="22"/>
          <w:szCs w:val="22"/>
          <w:lang w:val="es-MX" w:eastAsia="es-CO"/>
        </w:rPr>
        <w:lastRenderedPageBreak/>
        <w:t>En armonía con lo anterior, la Corte Constitucional ha abordado la definición de la Ley de Garantías Electorales. De esta manera, explica que tiene como propósito:</w:t>
      </w:r>
    </w:p>
    <w:p w14:paraId="6DF9DF5A" w14:textId="77777777" w:rsidR="007C609C" w:rsidRPr="00A17486" w:rsidRDefault="007C609C" w:rsidP="007C609C">
      <w:pPr>
        <w:spacing w:line="276" w:lineRule="auto"/>
        <w:ind w:right="49"/>
        <w:jc w:val="both"/>
        <w:rPr>
          <w:rFonts w:ascii="Arial" w:hAnsi="Arial" w:cs="Arial"/>
          <w:sz w:val="21"/>
          <w:szCs w:val="21"/>
          <w:lang w:val="es-ES" w:eastAsia="es-CO"/>
        </w:rPr>
      </w:pPr>
    </w:p>
    <w:p w14:paraId="25FA6227" w14:textId="77777777" w:rsidR="007C609C" w:rsidRDefault="007C609C" w:rsidP="007C609C">
      <w:pPr>
        <w:ind w:left="709" w:right="709"/>
        <w:jc w:val="both"/>
        <w:rPr>
          <w:rFonts w:ascii="Arial" w:hAnsi="Arial" w:cs="Arial"/>
          <w:sz w:val="21"/>
          <w:szCs w:val="21"/>
          <w:lang w:val="es-ES" w:eastAsia="es-CO"/>
        </w:rPr>
      </w:pPr>
      <w:r w:rsidRPr="00A17486">
        <w:rPr>
          <w:rFonts w:ascii="Arial" w:hAnsi="Arial" w:cs="Arial"/>
          <w:sz w:val="21"/>
          <w:szCs w:val="21"/>
          <w:lang w:val="es-ES" w:eastAsia="es-CO"/>
        </w:rPr>
        <w:t>[…] la definición de reglas claras que permitan acceder a los canales de expresión democrática de manera efectiva e igualitaria. El objetivo de una ley de garantías es definir esas reglas.</w:t>
      </w:r>
    </w:p>
    <w:p w14:paraId="11943FB9" w14:textId="77777777" w:rsidR="007C609C" w:rsidRPr="00A17486" w:rsidRDefault="007C609C" w:rsidP="007C609C">
      <w:pPr>
        <w:ind w:left="709" w:right="709"/>
        <w:jc w:val="both"/>
        <w:rPr>
          <w:rFonts w:ascii="Arial" w:hAnsi="Arial" w:cs="Arial"/>
          <w:sz w:val="21"/>
          <w:szCs w:val="21"/>
          <w:lang w:val="es-ES" w:eastAsia="es-CO"/>
        </w:rPr>
      </w:pPr>
    </w:p>
    <w:p w14:paraId="7F5D4F9B" w14:textId="77777777" w:rsidR="007C609C" w:rsidRDefault="007C609C" w:rsidP="007C609C">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 </w:t>
      </w:r>
    </w:p>
    <w:p w14:paraId="39C3DE60" w14:textId="77777777" w:rsidR="007C609C" w:rsidRPr="00A17486" w:rsidRDefault="007C609C" w:rsidP="007C609C">
      <w:pPr>
        <w:ind w:left="709" w:right="709"/>
        <w:jc w:val="both"/>
        <w:rPr>
          <w:rFonts w:ascii="Arial" w:hAnsi="Arial" w:cs="Arial"/>
          <w:sz w:val="21"/>
          <w:szCs w:val="21"/>
          <w:lang w:val="es-ES" w:eastAsia="es-CO"/>
        </w:rPr>
      </w:pPr>
    </w:p>
    <w:p w14:paraId="2A36E676" w14:textId="77777777" w:rsidR="007C609C" w:rsidRPr="00A17486" w:rsidRDefault="007C609C" w:rsidP="007C609C">
      <w:pPr>
        <w:ind w:left="709" w:right="709"/>
        <w:jc w:val="both"/>
        <w:rPr>
          <w:rFonts w:ascii="Arial" w:hAnsi="Arial" w:cs="Arial"/>
          <w:sz w:val="21"/>
          <w:szCs w:val="21"/>
          <w:lang w:val="es-ES" w:eastAsia="es-CO"/>
        </w:rPr>
      </w:pPr>
      <w:r w:rsidRPr="00A17486">
        <w:rPr>
          <w:rFonts w:ascii="Arial" w:hAnsi="Arial" w:cs="Arial"/>
          <w:sz w:val="21"/>
          <w:szCs w:val="21"/>
          <w:lang w:val="es-ES"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A17486">
        <w:rPr>
          <w:rFonts w:ascii="Arial" w:hAnsi="Arial" w:cs="Arial"/>
          <w:sz w:val="21"/>
          <w:szCs w:val="21"/>
          <w:vertAlign w:val="superscript"/>
          <w:lang w:val="es-ES" w:eastAsia="es-CO"/>
        </w:rPr>
        <w:footnoteReference w:id="6"/>
      </w:r>
    </w:p>
    <w:p w14:paraId="173411B0" w14:textId="77777777" w:rsidR="007C609C" w:rsidRPr="00A17486" w:rsidRDefault="007C609C" w:rsidP="007C609C">
      <w:pPr>
        <w:spacing w:line="276" w:lineRule="auto"/>
        <w:ind w:left="709" w:right="49"/>
        <w:jc w:val="both"/>
        <w:rPr>
          <w:rFonts w:ascii="Arial" w:hAnsi="Arial" w:cs="Arial"/>
          <w:bCs/>
          <w:sz w:val="21"/>
          <w:szCs w:val="21"/>
          <w:lang w:val="es-MX" w:eastAsia="es-CO"/>
        </w:rPr>
      </w:pPr>
    </w:p>
    <w:p w14:paraId="43975817" w14:textId="77777777" w:rsidR="007C609C" w:rsidRPr="00A17486" w:rsidRDefault="007C609C" w:rsidP="007C609C">
      <w:pPr>
        <w:spacing w:line="276" w:lineRule="auto"/>
        <w:ind w:right="49" w:firstLine="709"/>
        <w:jc w:val="both"/>
        <w:rPr>
          <w:rFonts w:ascii="Arial" w:hAnsi="Arial" w:cs="Arial"/>
          <w:bCs/>
          <w:sz w:val="22"/>
          <w:szCs w:val="22"/>
          <w:lang w:val="es-MX" w:eastAsia="es-CO"/>
        </w:rPr>
      </w:pPr>
      <w:bookmarkStart w:id="18" w:name="_Hlk78818186"/>
      <w:r w:rsidRPr="00A17486">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8"/>
      <w:r w:rsidRPr="00A17486">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01B4B51" w14:textId="77777777" w:rsidR="007C609C" w:rsidRPr="00A17486" w:rsidRDefault="007C609C" w:rsidP="007C609C">
      <w:pPr>
        <w:spacing w:line="276" w:lineRule="auto"/>
        <w:ind w:right="49" w:firstLine="709"/>
        <w:jc w:val="both"/>
        <w:rPr>
          <w:rFonts w:ascii="Arial" w:hAnsi="Arial" w:cs="Arial"/>
          <w:bCs/>
          <w:sz w:val="22"/>
          <w:szCs w:val="22"/>
          <w:lang w:val="es-MX" w:eastAsia="es-CO"/>
        </w:rPr>
      </w:pPr>
    </w:p>
    <w:p w14:paraId="5225178D" w14:textId="77777777" w:rsidR="007C609C" w:rsidRPr="00A17486" w:rsidRDefault="007C609C" w:rsidP="007C609C">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A17486">
        <w:rPr>
          <w:rFonts w:ascii="Arial" w:hAnsi="Arial" w:cs="Arial"/>
          <w:sz w:val="21"/>
          <w:szCs w:val="21"/>
          <w:lang w:val="es-ES" w:eastAsia="es-CO"/>
        </w:rPr>
        <w:t>legis</w:t>
      </w:r>
      <w:proofErr w:type="spellEnd"/>
      <w:r w:rsidRPr="00A17486">
        <w:rPr>
          <w:rFonts w:ascii="Arial" w:hAnsi="Arial" w:cs="Arial"/>
          <w:sz w:val="21"/>
          <w:szCs w:val="21"/>
          <w:lang w:val="es-ES"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054DBE" w14:textId="77777777" w:rsidR="007C609C" w:rsidRDefault="007C609C" w:rsidP="007C609C">
      <w:pPr>
        <w:ind w:left="709" w:right="709"/>
        <w:jc w:val="both"/>
        <w:rPr>
          <w:rFonts w:ascii="Arial" w:hAnsi="Arial" w:cs="Arial"/>
          <w:sz w:val="21"/>
          <w:szCs w:val="21"/>
          <w:lang w:val="es-ES" w:eastAsia="es-CO"/>
        </w:rPr>
      </w:pPr>
    </w:p>
    <w:p w14:paraId="0A8463D8" w14:textId="77777777" w:rsidR="007C609C" w:rsidRPr="00A17486" w:rsidRDefault="007C609C" w:rsidP="007C609C">
      <w:pPr>
        <w:ind w:left="709" w:right="709"/>
        <w:jc w:val="both"/>
        <w:rPr>
          <w:rFonts w:ascii="Arial" w:hAnsi="Arial" w:cs="Arial"/>
          <w:bCs/>
          <w:sz w:val="21"/>
          <w:szCs w:val="21"/>
          <w:lang w:val="es-MX" w:eastAsia="es-CO"/>
        </w:rPr>
      </w:pPr>
      <w:r w:rsidRPr="00A17486">
        <w:rPr>
          <w:rFonts w:ascii="Arial" w:hAnsi="Arial" w:cs="Arial"/>
          <w:sz w:val="21"/>
          <w:szCs w:val="21"/>
          <w:lang w:val="es-ES" w:eastAsia="es-CO"/>
        </w:rPr>
        <w:t>La jurisprudencia de la Corte Constitucional</w:t>
      </w:r>
      <w:r w:rsidRPr="007C1004">
        <w:rPr>
          <w:rFonts w:ascii="Arial" w:hAnsi="Arial" w:cs="Arial"/>
          <w:sz w:val="21"/>
          <w:szCs w:val="21"/>
          <w:vertAlign w:val="superscript"/>
          <w:lang w:val="es-ES" w:eastAsia="es-CO"/>
        </w:rPr>
        <w:footnoteReference w:id="7"/>
      </w:r>
      <w:r w:rsidRPr="007C1004">
        <w:rPr>
          <w:rFonts w:ascii="Arial" w:hAnsi="Arial" w:cs="Arial"/>
          <w:sz w:val="21"/>
          <w:szCs w:val="21"/>
          <w:vertAlign w:val="superscript"/>
          <w:lang w:val="es-ES" w:eastAsia="es-CO"/>
        </w:rPr>
        <w:t> </w:t>
      </w:r>
      <w:r w:rsidRPr="00A17486">
        <w:rPr>
          <w:rFonts w:ascii="Arial" w:hAnsi="Arial" w:cs="Arial"/>
          <w:sz w:val="21"/>
          <w:szCs w:val="21"/>
          <w:lang w:val="es-ES" w:eastAsia="es-CO"/>
        </w:rPr>
        <w:t>y del Consejo de Estado</w:t>
      </w:r>
      <w:r w:rsidRPr="007C1004">
        <w:rPr>
          <w:rFonts w:ascii="Arial" w:hAnsi="Arial" w:cs="Arial"/>
          <w:sz w:val="21"/>
          <w:szCs w:val="21"/>
          <w:vertAlign w:val="superscript"/>
          <w:lang w:val="es-ES" w:eastAsia="es-CO"/>
        </w:rPr>
        <w:footnoteReference w:id="8"/>
      </w:r>
      <w:r w:rsidRPr="00A17486">
        <w:rPr>
          <w:rFonts w:ascii="Arial" w:hAnsi="Arial" w:cs="Arial"/>
          <w:sz w:val="21"/>
          <w:szCs w:val="21"/>
          <w:lang w:val="es-ES" w:eastAsia="es-CO"/>
        </w:rPr>
        <w:t xml:space="preserve">, coinciden en que las normas que establecen prohibiciones deben estar de </w:t>
      </w:r>
      <w:r w:rsidRPr="00A17486">
        <w:rPr>
          <w:rFonts w:ascii="Arial" w:hAnsi="Arial" w:cs="Arial"/>
          <w:sz w:val="21"/>
          <w:szCs w:val="21"/>
          <w:lang w:val="es-ES" w:eastAsia="es-CO"/>
        </w:rPr>
        <w:lastRenderedPageBreak/>
        <w:t>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A17486">
        <w:rPr>
          <w:rFonts w:ascii="Arial" w:hAnsi="Arial" w:cs="Arial"/>
          <w:bCs/>
          <w:sz w:val="22"/>
          <w:szCs w:val="22"/>
          <w:vertAlign w:val="superscript"/>
          <w:lang w:val="es-MX" w:eastAsia="es-CO"/>
        </w:rPr>
        <w:footnoteReference w:id="9"/>
      </w:r>
      <w:r w:rsidRPr="00A17486">
        <w:rPr>
          <w:rFonts w:ascii="Arial" w:hAnsi="Arial" w:cs="Arial"/>
          <w:bCs/>
          <w:sz w:val="21"/>
          <w:szCs w:val="21"/>
          <w:lang w:val="es-MX" w:eastAsia="es-CO"/>
        </w:rPr>
        <w:t>.</w:t>
      </w:r>
    </w:p>
    <w:p w14:paraId="13F705A7" w14:textId="77777777" w:rsidR="007C609C" w:rsidRPr="00A17486" w:rsidRDefault="007C609C" w:rsidP="007C609C">
      <w:pPr>
        <w:spacing w:line="276" w:lineRule="auto"/>
        <w:ind w:right="49"/>
        <w:jc w:val="both"/>
        <w:rPr>
          <w:rFonts w:ascii="Arial" w:hAnsi="Arial" w:cs="Arial"/>
          <w:bCs/>
          <w:sz w:val="21"/>
          <w:szCs w:val="21"/>
          <w:lang w:val="es-MX" w:eastAsia="es-CO"/>
        </w:rPr>
      </w:pPr>
    </w:p>
    <w:p w14:paraId="06A08348" w14:textId="77777777" w:rsidR="007C609C" w:rsidRPr="00A17486" w:rsidRDefault="007C609C" w:rsidP="007C609C">
      <w:pPr>
        <w:spacing w:after="120" w:line="276" w:lineRule="auto"/>
        <w:ind w:right="49"/>
        <w:jc w:val="both"/>
        <w:rPr>
          <w:rFonts w:ascii="Arial" w:eastAsia="Arial" w:hAnsi="Arial" w:cs="Arial"/>
          <w:sz w:val="22"/>
          <w:szCs w:val="22"/>
          <w:lang w:val="es-ES" w:eastAsia="es-ES" w:bidi="es-ES"/>
        </w:rPr>
      </w:pPr>
      <w:r w:rsidRPr="00A17486">
        <w:rPr>
          <w:rFonts w:ascii="Arial" w:hAnsi="Arial" w:cs="Arial"/>
          <w:bCs/>
          <w:sz w:val="22"/>
          <w:szCs w:val="22"/>
          <w:lang w:val="es-MX" w:eastAsia="es-CO"/>
        </w:rPr>
        <w:tab/>
        <w:t>De</w:t>
      </w:r>
      <w:r w:rsidRPr="00A17486">
        <w:rPr>
          <w:rFonts w:ascii="Arial" w:eastAsia="Arial" w:hAnsi="Arial" w:cs="Arial"/>
          <w:sz w:val="22"/>
          <w:szCs w:val="22"/>
          <w:lang w:val="es-ES" w:eastAsia="es-ES" w:bidi="es-ES"/>
        </w:rPr>
        <w:t xml:space="preserve"> conformidad con lo anterior, </w:t>
      </w:r>
      <w:bookmarkStart w:id="19" w:name="_Hlk77236098"/>
      <w:r w:rsidRPr="00A17486">
        <w:rPr>
          <w:rFonts w:ascii="Arial" w:eastAsia="Arial" w:hAnsi="Arial" w:cs="Arial"/>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9"/>
    </w:p>
    <w:p w14:paraId="56D909B1" w14:textId="77777777" w:rsidR="007C609C" w:rsidRPr="00A17486" w:rsidRDefault="007C609C" w:rsidP="007C609C">
      <w:pPr>
        <w:spacing w:after="120" w:line="276" w:lineRule="auto"/>
        <w:ind w:right="49" w:firstLine="708"/>
        <w:jc w:val="both"/>
        <w:rPr>
          <w:rFonts w:ascii="Arial" w:eastAsia="Calibri" w:hAnsi="Arial" w:cs="Arial"/>
          <w:sz w:val="22"/>
          <w:szCs w:val="22"/>
          <w:lang w:eastAsia="en-US"/>
        </w:rPr>
      </w:pPr>
      <w:r w:rsidRPr="00A17486">
        <w:rPr>
          <w:rFonts w:ascii="Arial" w:eastAsia="Calibri" w:hAnsi="Arial" w:cs="Arial"/>
          <w:sz w:val="22"/>
          <w:szCs w:val="22"/>
          <w:lang w:eastAsia="en-US"/>
        </w:rPr>
        <w:t xml:space="preserve">Por un lado, el artículo 33 de la Ley 996 de 2005 prohíbe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la contratación directa por parte de todos los entes del Estado</w:t>
      </w:r>
      <w:r w:rsidRPr="00A17486">
        <w:rPr>
          <w:rFonts w:ascii="Arial" w:eastAsia="Calibri" w:hAnsi="Arial" w:cs="Arial"/>
          <w:bCs/>
          <w:sz w:val="22"/>
          <w:szCs w:val="22"/>
          <w:lang w:eastAsia="en-US"/>
        </w:rPr>
        <w:t>»</w:t>
      </w:r>
      <w:r w:rsidRPr="00A17486">
        <w:rPr>
          <w:rFonts w:ascii="Arial" w:eastAsia="Calibri" w:hAnsi="Arial" w:cs="Arial"/>
          <w:sz w:val="22"/>
          <w:szCs w:val="22"/>
          <w:lang w:eastAsia="en-US"/>
        </w:rPr>
        <w:t xml:space="preserve"> durante los cuatro (4) meses anteriores a las elecciones presidenciales, salvo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17486">
        <w:rPr>
          <w:rFonts w:ascii="Arial" w:eastAsia="Calibri" w:hAnsi="Arial" w:cs="Arial"/>
          <w:bCs/>
          <w:sz w:val="22"/>
          <w:szCs w:val="22"/>
          <w:lang w:eastAsia="en-US"/>
        </w:rPr>
        <w:t>»</w:t>
      </w:r>
      <w:r w:rsidRPr="00A17486">
        <w:rPr>
          <w:rFonts w:ascii="Arial" w:eastAsia="Calibri" w:hAnsi="Arial" w:cs="Arial"/>
          <w:bCs/>
          <w:sz w:val="22"/>
          <w:szCs w:val="22"/>
          <w:vertAlign w:val="superscript"/>
          <w:lang w:eastAsia="en-US"/>
        </w:rPr>
        <w:footnoteReference w:id="10"/>
      </w:r>
      <w:r w:rsidRPr="00A17486">
        <w:rPr>
          <w:rFonts w:ascii="Arial" w:eastAsia="Calibri" w:hAnsi="Arial" w:cs="Arial"/>
          <w:sz w:val="22"/>
          <w:szCs w:val="22"/>
          <w:lang w:eastAsia="en-US"/>
        </w:rPr>
        <w:t>.</w:t>
      </w:r>
    </w:p>
    <w:p w14:paraId="5F55AF67" w14:textId="77777777" w:rsidR="007C609C" w:rsidRPr="00A17486" w:rsidRDefault="007C609C" w:rsidP="007C609C">
      <w:pPr>
        <w:widowControl w:val="0"/>
        <w:autoSpaceDE w:val="0"/>
        <w:autoSpaceDN w:val="0"/>
        <w:spacing w:line="276" w:lineRule="auto"/>
        <w:ind w:right="49" w:firstLine="708"/>
        <w:jc w:val="both"/>
        <w:rPr>
          <w:rFonts w:ascii="Arial" w:eastAsia="Arial" w:hAnsi="Arial" w:cs="Arial"/>
          <w:sz w:val="22"/>
          <w:szCs w:val="22"/>
          <w:lang w:val="es-ES" w:eastAsia="es-ES" w:bidi="es-ES"/>
        </w:rPr>
      </w:pPr>
      <w:r w:rsidRPr="00A17486">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val="es-MX" w:eastAsia="en-US"/>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de carácter </w:t>
      </w:r>
      <w:r w:rsidRPr="00A17486">
        <w:rPr>
          <w:rFonts w:ascii="Arial" w:eastAsia="Calibri" w:hAnsi="Arial" w:cs="Arial"/>
          <w:sz w:val="22"/>
          <w:szCs w:val="22"/>
          <w:lang w:val="es-MX" w:eastAsia="en-US"/>
        </w:rPr>
        <w:lastRenderedPageBreak/>
        <w:t>proselitista</w:t>
      </w:r>
      <w:r w:rsidRPr="00A17486">
        <w:rPr>
          <w:rFonts w:ascii="Arial" w:eastAsia="Calibri" w:hAnsi="Arial" w:cs="Arial"/>
          <w:bCs/>
          <w:sz w:val="19"/>
          <w:szCs w:val="19"/>
          <w:lang w:eastAsia="en-US"/>
        </w:rPr>
        <w:t>»</w:t>
      </w:r>
      <w:r w:rsidRPr="00A17486">
        <w:rPr>
          <w:rFonts w:ascii="Arial" w:eastAsia="Calibri" w:hAnsi="Arial" w:cs="Arial"/>
          <w:bCs/>
          <w:sz w:val="19"/>
          <w:szCs w:val="19"/>
          <w:vertAlign w:val="superscript"/>
          <w:lang w:eastAsia="en-US"/>
        </w:rPr>
        <w:footnoteReference w:id="11"/>
      </w:r>
      <w:r w:rsidRPr="00A17486">
        <w:rPr>
          <w:rFonts w:ascii="Arial" w:eastAsia="Calibri" w:hAnsi="Arial" w:cs="Arial"/>
          <w:sz w:val="22"/>
          <w:szCs w:val="22"/>
          <w:lang w:val="es-MX" w:eastAsia="en-US"/>
        </w:rPr>
        <w:t>.</w:t>
      </w:r>
      <w:r w:rsidRPr="00A17486">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536F608" w14:textId="77777777" w:rsidR="007C609C" w:rsidRPr="00A17486" w:rsidRDefault="007C609C" w:rsidP="007C609C">
      <w:pPr>
        <w:widowControl w:val="0"/>
        <w:autoSpaceDE w:val="0"/>
        <w:autoSpaceDN w:val="0"/>
        <w:spacing w:line="276" w:lineRule="auto"/>
        <w:ind w:left="805" w:right="49"/>
        <w:jc w:val="both"/>
        <w:rPr>
          <w:rFonts w:ascii="Arial" w:eastAsia="Arial" w:hAnsi="Arial" w:cs="Arial"/>
          <w:sz w:val="22"/>
          <w:szCs w:val="22"/>
          <w:lang w:val="es-ES" w:eastAsia="es-ES" w:bidi="es-ES"/>
        </w:rPr>
      </w:pPr>
    </w:p>
    <w:p w14:paraId="58897529" w14:textId="77777777" w:rsidR="007C609C" w:rsidRPr="00A17486" w:rsidRDefault="007C609C" w:rsidP="007C609C">
      <w:pPr>
        <w:widowControl w:val="0"/>
        <w:autoSpaceDE w:val="0"/>
        <w:autoSpaceDN w:val="0"/>
        <w:ind w:left="709" w:right="709"/>
        <w:jc w:val="both"/>
        <w:rPr>
          <w:rFonts w:ascii="Arial" w:eastAsia="Arial" w:hAnsi="Arial" w:cs="Arial"/>
          <w:sz w:val="21"/>
          <w:szCs w:val="21"/>
          <w:lang w:val="es-ES" w:eastAsia="es-ES" w:bidi="es-ES"/>
        </w:rPr>
      </w:pPr>
      <w:r w:rsidRPr="00A17486">
        <w:rPr>
          <w:rFonts w:ascii="Arial" w:hAnsi="Arial" w:cs="Arial"/>
          <w:sz w:val="21"/>
          <w:szCs w:val="21"/>
          <w:lang w:val="es-ES" w:eastAsia="es-CO"/>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A17486">
        <w:rPr>
          <w:rFonts w:ascii="Arial" w:hAnsi="Arial" w:cs="Arial"/>
          <w:sz w:val="21"/>
          <w:szCs w:val="21"/>
          <w:lang w:val="es-ES" w:eastAsia="es-CO"/>
        </w:rPr>
        <w:t>se integran parcialmente</w:t>
      </w:r>
      <w:bookmarkEnd w:id="22"/>
      <w:r w:rsidRPr="00A17486">
        <w:rPr>
          <w:rFonts w:ascii="Arial" w:hAnsi="Arial" w:cs="Arial"/>
          <w:sz w:val="21"/>
          <w:szCs w:val="21"/>
          <w:lang w:val="es-ES" w:eastAsia="es-CO"/>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A17486">
        <w:rPr>
          <w:rFonts w:ascii="Arial" w:hAnsi="Arial" w:cs="Arial"/>
          <w:sz w:val="21"/>
          <w:szCs w:val="21"/>
          <w:lang w:val="es-ES" w:eastAsia="es-CO"/>
        </w:rPr>
        <w:t>Presidente</w:t>
      </w:r>
      <w:proofErr w:type="gramEnd"/>
      <w:r w:rsidRPr="00A17486">
        <w:rPr>
          <w:rFonts w:ascii="Arial" w:hAnsi="Arial" w:cs="Arial"/>
          <w:sz w:val="21"/>
          <w:szCs w:val="21"/>
          <w:lang w:val="es-ES" w:eastAsia="es-CO"/>
        </w:rPr>
        <w:t xml:space="preserve"> de la República, a las autoridades territoriales allí mencionadas sólo se aplican las restricciones contenidas en el parágrafo del artículo 38.</w:t>
      </w:r>
      <w:r w:rsidRPr="00A17486">
        <w:rPr>
          <w:rFonts w:ascii="Arial" w:eastAsia="Arial" w:hAnsi="Arial" w:cs="Arial"/>
          <w:sz w:val="21"/>
          <w:szCs w:val="21"/>
          <w:vertAlign w:val="superscript"/>
          <w:lang w:val="es-ES" w:eastAsia="es-ES" w:bidi="es-ES"/>
        </w:rPr>
        <w:footnoteReference w:id="12"/>
      </w:r>
    </w:p>
    <w:p w14:paraId="2C60813C" w14:textId="77777777" w:rsidR="007C609C" w:rsidRPr="00A17486" w:rsidRDefault="007C609C" w:rsidP="007C609C">
      <w:pPr>
        <w:widowControl w:val="0"/>
        <w:autoSpaceDE w:val="0"/>
        <w:autoSpaceDN w:val="0"/>
        <w:spacing w:before="8" w:line="276" w:lineRule="auto"/>
        <w:ind w:right="49"/>
        <w:rPr>
          <w:rFonts w:ascii="Arial" w:eastAsia="Arial" w:hAnsi="Arial" w:cs="Arial"/>
          <w:sz w:val="22"/>
          <w:szCs w:val="22"/>
          <w:lang w:val="es-ES" w:eastAsia="es-ES" w:bidi="es-ES"/>
        </w:rPr>
      </w:pPr>
    </w:p>
    <w:p w14:paraId="0D4A9E63" w14:textId="77777777" w:rsidR="007C609C" w:rsidRPr="00A17486" w:rsidRDefault="007C609C" w:rsidP="007C609C">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De conformidad con lo anterior, </w:t>
      </w:r>
      <w:bookmarkStart w:id="23" w:name="_Hlk77236420"/>
      <w:bookmarkStart w:id="24" w:name="_Hlk78818435"/>
      <w:bookmarkStart w:id="25" w:name="_Hlk75780333"/>
      <w:r w:rsidRPr="00A17486">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A17486">
        <w:rPr>
          <w:rFonts w:ascii="Arial" w:eastAsia="Arial" w:hAnsi="Arial" w:cs="Arial"/>
          <w:i/>
          <w:iCs/>
          <w:sz w:val="22"/>
          <w:szCs w:val="22"/>
          <w:lang w:val="es-ES" w:eastAsia="es-ES" w:bidi="es-ES"/>
        </w:rPr>
        <w:t>En primer lugar</w:t>
      </w:r>
      <w:r w:rsidRPr="00A17486">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A17486">
        <w:rPr>
          <w:rFonts w:ascii="Arial" w:eastAsia="Arial" w:hAnsi="Arial" w:cs="Arial"/>
          <w:i/>
          <w:iCs/>
          <w:sz w:val="22"/>
          <w:szCs w:val="22"/>
          <w:lang w:val="es-ES" w:eastAsia="es-ES" w:bidi="es-ES"/>
        </w:rPr>
        <w:t>En segundo lugar</w:t>
      </w:r>
      <w:r w:rsidRPr="00A17486">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14:paraId="02AAE94D" w14:textId="77777777" w:rsidR="007C609C" w:rsidRPr="00A17486" w:rsidRDefault="007C609C" w:rsidP="007C609C">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de la República, a todos los entes del Estado, </w:t>
      </w:r>
      <w:r w:rsidRPr="00A17486">
        <w:rPr>
          <w:rFonts w:ascii="Arial" w:eastAsia="Arial" w:hAnsi="Arial" w:cs="Arial"/>
          <w:sz w:val="22"/>
          <w:szCs w:val="22"/>
          <w:lang w:val="es-ES" w:eastAsia="es-ES" w:bidi="es-ES"/>
        </w:rPr>
        <w:lastRenderedPageBreak/>
        <w:t xml:space="preserve">incluidos los territoriales, aplican las restricciones del artículo 33 con sus excepciones, así como las del parágrafo del artículo 38. En cambio, tratándose de elecciones en general, excluyendo las correspondientes al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bookmarkEnd w:id="25"/>
    <w:p w14:paraId="71C4DE53" w14:textId="77777777" w:rsidR="007C609C" w:rsidRDefault="007C609C" w:rsidP="007C609C">
      <w:pPr>
        <w:spacing w:line="276" w:lineRule="auto"/>
        <w:ind w:right="49" w:firstLine="708"/>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86D501C" w14:textId="77777777" w:rsidR="002A78CA" w:rsidRPr="002A78CA" w:rsidRDefault="002A78CA" w:rsidP="00366167">
      <w:pPr>
        <w:tabs>
          <w:tab w:val="left" w:pos="426"/>
        </w:tabs>
        <w:spacing w:line="276" w:lineRule="auto"/>
        <w:ind w:right="51" w:firstLine="709"/>
        <w:jc w:val="both"/>
        <w:rPr>
          <w:rFonts w:ascii="Arial" w:eastAsia="Calibri" w:hAnsi="Arial" w:cs="Arial"/>
          <w:bCs/>
          <w:sz w:val="22"/>
          <w:szCs w:val="22"/>
          <w:lang w:eastAsia="en-US"/>
        </w:rPr>
      </w:pPr>
    </w:p>
    <w:p w14:paraId="2CE76080" w14:textId="77777777" w:rsidR="001C2E6F" w:rsidRPr="001C2E6F" w:rsidRDefault="001C2E6F" w:rsidP="00B21040">
      <w:pPr>
        <w:spacing w:line="276" w:lineRule="auto"/>
        <w:ind w:right="49"/>
        <w:jc w:val="both"/>
        <w:rPr>
          <w:rFonts w:ascii="Arial" w:hAnsi="Arial" w:cs="Arial"/>
          <w:b/>
          <w:sz w:val="22"/>
          <w:szCs w:val="22"/>
          <w:lang w:val="es-ES" w:eastAsia="es-CO"/>
        </w:rPr>
      </w:pPr>
      <w:r w:rsidRPr="001C2E6F">
        <w:rPr>
          <w:rFonts w:ascii="Arial" w:hAnsi="Arial" w:cs="Arial"/>
          <w:b/>
          <w:sz w:val="22"/>
          <w:szCs w:val="22"/>
          <w:lang w:val="es-ES" w:eastAsia="es-CO"/>
        </w:rPr>
        <w:t xml:space="preserve">2.2. </w:t>
      </w:r>
      <w:r w:rsidRPr="001C2E6F">
        <w:rPr>
          <w:rFonts w:ascii="Arial" w:hAnsi="Arial" w:cs="Arial"/>
          <w:b/>
          <w:bCs/>
          <w:sz w:val="22"/>
          <w:szCs w:val="22"/>
          <w:lang w:val="es-MX" w:eastAsia="es-CO"/>
        </w:rPr>
        <w:t xml:space="preserve">Restricciones en elecciones presidenciales </w:t>
      </w:r>
    </w:p>
    <w:p w14:paraId="436DE172" w14:textId="77777777" w:rsidR="001C2E6F" w:rsidRPr="001C2E6F" w:rsidRDefault="001C2E6F" w:rsidP="00B21040">
      <w:pPr>
        <w:spacing w:line="276" w:lineRule="auto"/>
        <w:ind w:right="49"/>
        <w:jc w:val="both"/>
        <w:rPr>
          <w:rFonts w:ascii="Arial" w:hAnsi="Arial" w:cs="Arial"/>
          <w:bCs/>
          <w:sz w:val="22"/>
          <w:szCs w:val="22"/>
          <w:lang w:val="es-MX" w:eastAsia="x-none"/>
        </w:rPr>
      </w:pPr>
    </w:p>
    <w:p w14:paraId="696EAF2C" w14:textId="4D63C0CE" w:rsidR="001C2E6F" w:rsidRPr="001C2E6F" w:rsidRDefault="001C2E6F" w:rsidP="00B21040">
      <w:pPr>
        <w:spacing w:line="276" w:lineRule="auto"/>
        <w:ind w:right="49"/>
        <w:jc w:val="both"/>
        <w:rPr>
          <w:rFonts w:ascii="Arial" w:hAnsi="Arial" w:cs="Arial"/>
          <w:bCs/>
          <w:sz w:val="22"/>
          <w:szCs w:val="22"/>
          <w:lang w:val="es-MX" w:eastAsia="es-CO"/>
        </w:rPr>
      </w:pPr>
      <w:r w:rsidRPr="001C2E6F">
        <w:rPr>
          <w:rFonts w:ascii="Arial" w:hAnsi="Arial" w:cs="Arial"/>
          <w:bCs/>
          <w:sz w:val="22"/>
          <w:szCs w:val="22"/>
          <w:lang w:val="es-MX" w:eastAsia="x-none"/>
        </w:rPr>
        <w:t xml:space="preserve">El ámbito material de la prohibición contenida </w:t>
      </w:r>
      <w:bookmarkStart w:id="26" w:name="_Hlk75628761"/>
      <w:r w:rsidRPr="001C2E6F">
        <w:rPr>
          <w:rFonts w:ascii="Arial" w:hAnsi="Arial" w:cs="Arial"/>
          <w:bCs/>
          <w:sz w:val="22"/>
          <w:szCs w:val="22"/>
          <w:lang w:val="es-MX" w:eastAsia="x-none"/>
        </w:rPr>
        <w:t xml:space="preserve">en el artículo 33 de la ley 996 de 2005 </w:t>
      </w:r>
      <w:bookmarkEnd w:id="26"/>
      <w:r w:rsidRPr="001C2E6F">
        <w:rPr>
          <w:rFonts w:ascii="Arial" w:hAnsi="Arial" w:cs="Arial"/>
          <w:bCs/>
          <w:sz w:val="22"/>
          <w:szCs w:val="22"/>
          <w:lang w:val="es-MX" w:eastAsia="x-none"/>
        </w:rPr>
        <w:t xml:space="preserve">está delimitado por la expresión </w:t>
      </w:r>
      <w:r w:rsidRPr="001C2E6F">
        <w:rPr>
          <w:rFonts w:ascii="Arial" w:eastAsia="Calibri" w:hAnsi="Arial" w:cs="Arial"/>
          <w:bCs/>
          <w:sz w:val="20"/>
          <w:szCs w:val="20"/>
          <w:lang w:val="es-MX" w:eastAsia="en-US"/>
        </w:rPr>
        <w:t>«</w:t>
      </w:r>
      <w:r w:rsidRPr="001C2E6F">
        <w:rPr>
          <w:rFonts w:ascii="Arial" w:hAnsi="Arial" w:cs="Arial"/>
          <w:bCs/>
          <w:sz w:val="22"/>
          <w:szCs w:val="22"/>
          <w:lang w:val="es-MX" w:eastAsia="x-none"/>
        </w:rPr>
        <w:t>queda prohibida la contratación directa</w:t>
      </w:r>
      <w:r w:rsidRPr="001C2E6F">
        <w:rPr>
          <w:rFonts w:ascii="Arial" w:eastAsiaTheme="minorHAnsi" w:hAnsi="Arial" w:cs="Arial"/>
          <w:sz w:val="20"/>
          <w:szCs w:val="20"/>
          <w:lang w:val="es-MX" w:eastAsia="en-US"/>
        </w:rPr>
        <w:t>»</w:t>
      </w:r>
      <w:r w:rsidRPr="001C2E6F">
        <w:rPr>
          <w:rFonts w:ascii="Arial" w:hAnsi="Arial" w:cs="Arial"/>
          <w:bCs/>
          <w:sz w:val="22"/>
          <w:szCs w:val="22"/>
          <w:lang w:val="es-MX" w:eastAsia="x-none"/>
        </w:rPr>
        <w:t>.</w:t>
      </w:r>
      <w:r w:rsidR="00366167">
        <w:rPr>
          <w:rFonts w:ascii="Arial" w:hAnsi="Arial" w:cs="Arial"/>
          <w:bCs/>
          <w:sz w:val="22"/>
          <w:szCs w:val="22"/>
          <w:lang w:val="es-MX" w:eastAsia="x-none"/>
        </w:rPr>
        <w:t xml:space="preserve"> </w:t>
      </w:r>
      <w:r w:rsidRPr="001C2E6F">
        <w:rPr>
          <w:rFonts w:ascii="Arial" w:hAnsi="Arial" w:cs="Arial"/>
          <w:sz w:val="22"/>
          <w:szCs w:val="22"/>
          <w:lang w:val="es-MX" w:eastAsia="es-CO"/>
        </w:rPr>
        <w:t xml:space="preserve">A propósito de </w:t>
      </w:r>
      <w:r w:rsidRPr="001C2E6F">
        <w:rPr>
          <w:rFonts w:ascii="Arial" w:hAnsi="Arial" w:cs="Arial"/>
          <w:sz w:val="22"/>
          <w:szCs w:val="22"/>
          <w:lang w:eastAsia="es-CO"/>
        </w:rPr>
        <w:t>esta restricción de la Ley de Garantías Electorales, la Sala de Consulta y Servicio Civil del Consejo de Estado ha considerado que:</w:t>
      </w:r>
    </w:p>
    <w:p w14:paraId="5643263E" w14:textId="77777777" w:rsidR="001C2E6F" w:rsidRPr="001C2E6F" w:rsidRDefault="001C2E6F" w:rsidP="00B21040">
      <w:pPr>
        <w:spacing w:line="276" w:lineRule="auto"/>
        <w:ind w:left="708" w:right="49"/>
        <w:jc w:val="both"/>
        <w:rPr>
          <w:rFonts w:ascii="Arial" w:eastAsiaTheme="minorHAnsi" w:hAnsi="Arial" w:cs="Arial"/>
          <w:sz w:val="21"/>
          <w:szCs w:val="21"/>
          <w:lang w:val="es-MX" w:eastAsia="en-US"/>
        </w:rPr>
      </w:pPr>
    </w:p>
    <w:p w14:paraId="691EEAA5" w14:textId="77777777" w:rsidR="001C2E6F" w:rsidRPr="001C2E6F" w:rsidRDefault="001C2E6F" w:rsidP="00B21040">
      <w:pPr>
        <w:spacing w:after="120"/>
        <w:ind w:left="709" w:right="709"/>
        <w:jc w:val="both"/>
        <w:rPr>
          <w:rFonts w:ascii="Arial" w:hAnsi="Arial" w:cs="Arial"/>
          <w:sz w:val="21"/>
          <w:szCs w:val="21"/>
          <w:lang w:val="es-ES" w:eastAsia="es-CO"/>
        </w:rPr>
      </w:pPr>
      <w:r w:rsidRPr="001C2E6F">
        <w:rPr>
          <w:rFonts w:ascii="Arial" w:hAnsi="Arial" w:cs="Arial"/>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1C2E6F">
        <w:rPr>
          <w:rFonts w:ascii="Arial" w:hAnsi="Arial" w:cs="Arial"/>
          <w:sz w:val="21"/>
          <w:szCs w:val="21"/>
          <w:lang w:val="es-ES" w:eastAsia="es-CO"/>
        </w:rPr>
        <w:footnoteReference w:id="13"/>
      </w:r>
      <w:r w:rsidRPr="001C2E6F">
        <w:rPr>
          <w:rFonts w:ascii="Arial" w:hAnsi="Arial" w:cs="Arial"/>
          <w:sz w:val="21"/>
          <w:szCs w:val="21"/>
          <w:lang w:val="es-ES" w:eastAsia="es-CO"/>
        </w:rPr>
        <w:t>.</w:t>
      </w:r>
    </w:p>
    <w:p w14:paraId="621C98C7" w14:textId="77777777" w:rsidR="001C2E6F" w:rsidRPr="001C2E6F" w:rsidRDefault="001C2E6F" w:rsidP="00B21040">
      <w:pPr>
        <w:ind w:left="708" w:right="709"/>
        <w:jc w:val="both"/>
        <w:rPr>
          <w:rFonts w:ascii="Arial" w:eastAsiaTheme="minorHAnsi" w:hAnsi="Arial" w:cs="Arial"/>
          <w:sz w:val="21"/>
          <w:szCs w:val="21"/>
          <w:lang w:val="es-MX" w:eastAsia="en-US"/>
        </w:rPr>
      </w:pPr>
      <w:r w:rsidRPr="001C2E6F">
        <w:rPr>
          <w:rFonts w:ascii="Arial" w:hAnsi="Arial" w:cs="Arial"/>
          <w:sz w:val="21"/>
          <w:szCs w:val="21"/>
          <w:lang w:val="es-ES" w:eastAsia="es-CO"/>
        </w:rPr>
        <w:t xml:space="preserve">Esta Sala ha entendido </w:t>
      </w:r>
      <w:proofErr w:type="gramStart"/>
      <w:r w:rsidRPr="001C2E6F">
        <w:rPr>
          <w:rFonts w:ascii="Arial" w:hAnsi="Arial" w:cs="Arial"/>
          <w:sz w:val="21"/>
          <w:szCs w:val="21"/>
          <w:lang w:val="es-ES" w:eastAsia="es-CO"/>
        </w:rPr>
        <w:t>que</w:t>
      </w:r>
      <w:proofErr w:type="gramEnd"/>
      <w:r w:rsidRPr="001C2E6F">
        <w:rPr>
          <w:rFonts w:ascii="Arial" w:hAnsi="Arial" w:cs="Arial"/>
          <w:sz w:val="21"/>
          <w:szCs w:val="21"/>
          <w:lang w:val="es-ES" w:eastAsia="es-CO"/>
        </w:rPr>
        <w:t xml:space="preserve"> para los efectos de la ley de garantías, y dada su finalidad, el enunciado ´contratación directa´ es sinónimo </w:t>
      </w:r>
      <w:bookmarkStart w:id="29" w:name="_Hlk75741738"/>
      <w:r w:rsidRPr="001C2E6F">
        <w:rPr>
          <w:rFonts w:ascii="Arial" w:hAnsi="Arial" w:cs="Arial"/>
          <w:sz w:val="21"/>
          <w:szCs w:val="21"/>
          <w:lang w:val="es-ES" w:eastAsia="es-CO"/>
        </w:rPr>
        <w:t xml:space="preserve">de cualquier sistema que no implique convocatoria pública y posibilidad de pluralidad de oferentes, </w:t>
      </w:r>
      <w:bookmarkEnd w:id="29"/>
      <w:r w:rsidRPr="001C2E6F">
        <w:rPr>
          <w:rFonts w:ascii="Arial" w:hAnsi="Arial" w:cs="Arial"/>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2B7178">
        <w:rPr>
          <w:rFonts w:ascii="Arial" w:hAnsi="Arial" w:cs="Arial"/>
          <w:sz w:val="21"/>
          <w:szCs w:val="21"/>
          <w:vertAlign w:val="superscript"/>
          <w:lang w:val="es-ES" w:eastAsia="es-CO"/>
        </w:rPr>
        <w:footnoteReference w:id="14"/>
      </w:r>
      <w:r w:rsidRPr="002B7178">
        <w:rPr>
          <w:rFonts w:ascii="Arial" w:hAnsi="Arial" w:cs="Arial"/>
          <w:sz w:val="21"/>
          <w:szCs w:val="21"/>
          <w:vertAlign w:val="superscript"/>
          <w:lang w:val="es-ES" w:eastAsia="es-CO"/>
        </w:rPr>
        <w:t>.</w:t>
      </w:r>
      <w:r w:rsidRPr="001C2E6F">
        <w:rPr>
          <w:rFonts w:ascii="Arial" w:hAnsi="Arial" w:cs="Arial"/>
          <w:sz w:val="21"/>
          <w:szCs w:val="21"/>
          <w:lang w:val="es-ES" w:eastAsia="es-CO"/>
        </w:rPr>
        <w:t xml:space="preserve"> Por tanto, no son materia de la prohibición las demás modalidades de selección previstas en la ley 1150 de 2007, siendo estas, la licitación pública, el concurso de méritos y la selección </w:t>
      </w:r>
      <w:r w:rsidRPr="001C2E6F">
        <w:rPr>
          <w:rFonts w:ascii="Arial" w:hAnsi="Arial" w:cs="Arial"/>
          <w:sz w:val="21"/>
          <w:szCs w:val="21"/>
          <w:lang w:val="es-ES" w:eastAsia="es-CO"/>
        </w:rPr>
        <w:lastRenderedPageBreak/>
        <w:t>abreviada, razón por la cual en ese periodo preelectoral de que trata la disposición pueden las entidades públicas seguir contratando bajo estos sistemas. [...]</w:t>
      </w:r>
      <w:r w:rsidRPr="001C2E6F">
        <w:rPr>
          <w:rFonts w:ascii="Arial" w:hAnsi="Arial" w:cs="Arial"/>
          <w:sz w:val="22"/>
          <w:szCs w:val="22"/>
          <w:vertAlign w:val="superscript"/>
          <w:lang w:eastAsia="es-CO"/>
        </w:rPr>
        <w:footnoteReference w:id="15"/>
      </w:r>
      <w:r w:rsidRPr="001C2E6F">
        <w:rPr>
          <w:rFonts w:ascii="Arial" w:eastAsiaTheme="minorHAnsi" w:hAnsi="Arial" w:cs="Arial"/>
          <w:sz w:val="21"/>
          <w:szCs w:val="21"/>
          <w:lang w:val="es-MX" w:eastAsia="en-US"/>
        </w:rPr>
        <w:t xml:space="preserve"> .</w:t>
      </w:r>
    </w:p>
    <w:p w14:paraId="7E1DE627" w14:textId="77777777" w:rsidR="001C2E6F" w:rsidRPr="001C2E6F" w:rsidRDefault="001C2E6F" w:rsidP="00B21040">
      <w:pPr>
        <w:shd w:val="clear" w:color="auto" w:fill="FFFFFF"/>
        <w:spacing w:line="276" w:lineRule="auto"/>
        <w:ind w:right="49" w:firstLine="709"/>
        <w:jc w:val="both"/>
        <w:rPr>
          <w:rFonts w:ascii="Arial" w:hAnsi="Arial" w:cs="Arial"/>
          <w:sz w:val="22"/>
          <w:szCs w:val="22"/>
          <w:lang w:eastAsia="x-none"/>
        </w:rPr>
      </w:pPr>
    </w:p>
    <w:p w14:paraId="5C135A88" w14:textId="77777777" w:rsidR="001C2E6F" w:rsidRPr="001C2E6F" w:rsidRDefault="001C2E6F" w:rsidP="00B21040">
      <w:pPr>
        <w:spacing w:after="120" w:line="276" w:lineRule="auto"/>
        <w:ind w:right="49" w:firstLine="708"/>
        <w:jc w:val="both"/>
        <w:rPr>
          <w:rFonts w:ascii="Arial" w:hAnsi="Arial" w:cs="Arial"/>
          <w:bCs/>
          <w:sz w:val="22"/>
          <w:szCs w:val="22"/>
          <w:lang w:eastAsia="x-none"/>
        </w:rPr>
      </w:pPr>
      <w:r w:rsidRPr="001C2E6F">
        <w:rPr>
          <w:rFonts w:ascii="Arial" w:hAnsi="Arial" w:cs="Arial"/>
          <w:sz w:val="22"/>
          <w:szCs w:val="22"/>
          <w:lang w:eastAsia="x-none"/>
        </w:rPr>
        <w:t xml:space="preserve">De conformidad con el citado concepto, </w:t>
      </w:r>
      <w:bookmarkStart w:id="31" w:name="_Hlk78818702"/>
      <w:r w:rsidRPr="001C2E6F">
        <w:rPr>
          <w:rFonts w:ascii="Arial" w:hAnsi="Arial" w:cs="Arial"/>
          <w:sz w:val="22"/>
          <w:szCs w:val="22"/>
          <w:lang w:eastAsia="x-none"/>
        </w:rPr>
        <w:t xml:space="preserve">la prohibición del artículo 33 de la Ley de Garantías Electorales se refiere a </w:t>
      </w:r>
      <w:bookmarkStart w:id="32" w:name="_Hlk74294635"/>
      <w:r w:rsidRPr="001C2E6F">
        <w:rPr>
          <w:rFonts w:ascii="Arial" w:hAnsi="Arial" w:cs="Arial"/>
          <w:sz w:val="19"/>
          <w:szCs w:val="19"/>
          <w:lang w:eastAsia="en-GB"/>
        </w:rPr>
        <w:t>«</w:t>
      </w:r>
      <w:bookmarkEnd w:id="32"/>
      <w:r w:rsidRPr="001C2E6F">
        <w:rPr>
          <w:rFonts w:ascii="Arial" w:hAnsi="Arial" w:cs="Arial"/>
          <w:sz w:val="22"/>
          <w:szCs w:val="22"/>
          <w:lang w:eastAsia="x-none"/>
        </w:rPr>
        <w:t>cualquier sistema que no implique convocatoria pública y posibilidad de pluralidad de oferentes</w:t>
      </w:r>
      <w:bookmarkStart w:id="33" w:name="_Hlk74404754"/>
      <w:r w:rsidRPr="001C2E6F">
        <w:rPr>
          <w:rFonts w:ascii="Arial" w:hAnsi="Arial" w:cs="Arial"/>
          <w:sz w:val="22"/>
          <w:szCs w:val="22"/>
          <w:lang w:eastAsia="en-GB"/>
        </w:rPr>
        <w:t>»</w:t>
      </w:r>
      <w:bookmarkEnd w:id="33"/>
      <w:r w:rsidRPr="001C2E6F">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1"/>
      <w:r w:rsidRPr="001C2E6F">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1C2E6F">
        <w:rPr>
          <w:rFonts w:ascii="Arial" w:hAnsi="Arial" w:cs="Arial"/>
          <w:sz w:val="22"/>
          <w:szCs w:val="22"/>
          <w:vertAlign w:val="superscript"/>
          <w:lang w:val="en-GB" w:eastAsia="x-none"/>
        </w:rPr>
        <w:footnoteReference w:id="16"/>
      </w:r>
      <w:r w:rsidRPr="001C2E6F">
        <w:rPr>
          <w:rFonts w:ascii="Arial" w:hAnsi="Arial" w:cs="Arial"/>
          <w:sz w:val="22"/>
          <w:szCs w:val="22"/>
          <w:lang w:eastAsia="x-none"/>
        </w:rPr>
        <w:t xml:space="preserve"> y sistematizó las causales de contratación directa</w:t>
      </w:r>
      <w:r w:rsidRPr="001C2E6F">
        <w:rPr>
          <w:rFonts w:ascii="Arial" w:hAnsi="Arial" w:cs="Arial"/>
          <w:sz w:val="22"/>
          <w:szCs w:val="22"/>
          <w:vertAlign w:val="superscript"/>
          <w:lang w:val="en-GB" w:eastAsia="x-none"/>
        </w:rPr>
        <w:footnoteReference w:id="17"/>
      </w:r>
      <w:r w:rsidRPr="001C2E6F">
        <w:rPr>
          <w:rFonts w:ascii="Arial" w:hAnsi="Arial" w:cs="Arial"/>
          <w:sz w:val="22"/>
          <w:szCs w:val="22"/>
          <w:lang w:eastAsia="x-none"/>
        </w:rPr>
        <w:t xml:space="preserve">. </w:t>
      </w:r>
    </w:p>
    <w:p w14:paraId="6D84F0B1" w14:textId="77777777" w:rsidR="001C2E6F" w:rsidRPr="001C2E6F" w:rsidRDefault="001C2E6F" w:rsidP="00B21040">
      <w:pPr>
        <w:spacing w:after="120" w:line="276" w:lineRule="auto"/>
        <w:ind w:right="49" w:firstLine="708"/>
        <w:jc w:val="both"/>
        <w:rPr>
          <w:rFonts w:ascii="Arial" w:hAnsi="Arial" w:cs="Arial"/>
          <w:sz w:val="22"/>
          <w:szCs w:val="22"/>
          <w:lang w:val="es-MX" w:eastAsia="x-none"/>
        </w:rPr>
      </w:pPr>
      <w:r w:rsidRPr="001C2E6F">
        <w:rPr>
          <w:rFonts w:ascii="Arial" w:hAnsi="Arial" w:cs="Arial"/>
          <w:sz w:val="22"/>
          <w:szCs w:val="22"/>
          <w:lang w:eastAsia="x-none"/>
        </w:rPr>
        <w:t xml:space="preserve">De esta forma, con fundamento en la evolución de la normativa sobre la contratación pública, se ha depurado la noción de </w:t>
      </w:r>
      <w:r w:rsidRPr="001C2E6F">
        <w:rPr>
          <w:rFonts w:ascii="Arial" w:hAnsi="Arial" w:cs="Arial"/>
          <w:sz w:val="19"/>
          <w:szCs w:val="19"/>
          <w:lang w:eastAsia="en-GB"/>
        </w:rPr>
        <w:t>«</w:t>
      </w:r>
      <w:r w:rsidRPr="001C2E6F">
        <w:rPr>
          <w:rFonts w:ascii="Arial" w:hAnsi="Arial" w:cs="Arial"/>
          <w:sz w:val="22"/>
          <w:szCs w:val="22"/>
          <w:lang w:eastAsia="x-none"/>
        </w:rPr>
        <w:t>contratación directa</w:t>
      </w:r>
      <w:r w:rsidRPr="001C2E6F">
        <w:rPr>
          <w:rFonts w:ascii="Arial" w:hAnsi="Arial" w:cs="Arial"/>
          <w:sz w:val="22"/>
          <w:szCs w:val="22"/>
          <w:lang w:eastAsia="en-GB"/>
        </w:rPr>
        <w:t>»</w:t>
      </w:r>
      <w:r w:rsidRPr="001C2E6F">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C2E6F">
        <w:rPr>
          <w:rFonts w:ascii="Arial" w:hAnsi="Arial" w:cs="Arial"/>
          <w:sz w:val="22"/>
          <w:szCs w:val="22"/>
          <w:vertAlign w:val="superscript"/>
          <w:lang w:val="en-GB" w:eastAsia="x-none"/>
        </w:rPr>
        <w:footnoteReference w:id="18"/>
      </w:r>
      <w:r w:rsidRPr="001C2E6F">
        <w:rPr>
          <w:rFonts w:ascii="Arial" w:hAnsi="Arial" w:cs="Arial"/>
          <w:sz w:val="22"/>
          <w:szCs w:val="22"/>
          <w:lang w:eastAsia="x-none"/>
        </w:rPr>
        <w:t>, han establecido sistemas de contratación que implican convocatoria pública y participación de varios oferentes</w:t>
      </w:r>
      <w:r w:rsidRPr="001C2E6F">
        <w:rPr>
          <w:rFonts w:ascii="Arial" w:hAnsi="Arial" w:cs="Arial"/>
          <w:sz w:val="22"/>
          <w:szCs w:val="22"/>
          <w:lang w:eastAsia="en-GB"/>
        </w:rPr>
        <w:t>»</w:t>
      </w:r>
      <w:r w:rsidRPr="001C2E6F">
        <w:rPr>
          <w:rFonts w:ascii="Arial" w:hAnsi="Arial" w:cs="Arial"/>
          <w:sz w:val="22"/>
          <w:szCs w:val="22"/>
          <w:lang w:eastAsia="x-none"/>
        </w:rPr>
        <w:t xml:space="preserve">. </w:t>
      </w:r>
    </w:p>
    <w:p w14:paraId="2012959D" w14:textId="77777777" w:rsidR="001C2E6F" w:rsidRPr="001C2E6F" w:rsidRDefault="001C2E6F" w:rsidP="00B21040">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x-none"/>
        </w:rPr>
        <w:t>E</w:t>
      </w:r>
      <w:r w:rsidRPr="001C2E6F">
        <w:rPr>
          <w:rFonts w:ascii="Arial" w:hAnsi="Arial" w:cs="Arial"/>
          <w:sz w:val="22"/>
          <w:szCs w:val="22"/>
          <w:lang w:eastAsia="x-none"/>
        </w:rPr>
        <w:t xml:space="preserve">n efecto, vale la pena mencionar que, </w:t>
      </w:r>
      <w:bookmarkStart w:id="35" w:name="_Hlk75636073"/>
      <w:r w:rsidRPr="001C2E6F">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Pr="001C2E6F">
        <w:rPr>
          <w:rFonts w:ascii="Arial" w:hAnsi="Arial" w:cs="Arial"/>
          <w:sz w:val="22"/>
          <w:szCs w:val="22"/>
          <w:vertAlign w:val="superscript"/>
          <w:lang w:eastAsia="x-none"/>
        </w:rPr>
        <w:footnoteReference w:id="19"/>
      </w:r>
      <w:r w:rsidRPr="001C2E6F">
        <w:rPr>
          <w:rFonts w:ascii="Arial" w:hAnsi="Arial" w:cs="Arial"/>
          <w:sz w:val="22"/>
          <w:szCs w:val="22"/>
          <w:lang w:eastAsia="x-none"/>
        </w:rPr>
        <w:t xml:space="preserve">. </w:t>
      </w:r>
    </w:p>
    <w:p w14:paraId="04025D50" w14:textId="77777777" w:rsidR="001C2E6F" w:rsidRPr="001C2E6F" w:rsidRDefault="001C2E6F" w:rsidP="00B21040">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w:t>
      </w:r>
      <w:r w:rsidRPr="001C2E6F">
        <w:rPr>
          <w:rFonts w:ascii="Arial" w:hAnsi="Arial" w:cs="Arial"/>
          <w:bCs/>
          <w:sz w:val="22"/>
          <w:szCs w:val="22"/>
          <w:lang w:val="es-MX" w:eastAsia="es-CO"/>
        </w:rPr>
        <w:lastRenderedPageBreak/>
        <w:t>entidades que tengan un régimen especial de contratación. No obstante, también se observa que luego de la expedición de Ley 1150 de 2007, el Consejo de Estado comenzó a delimitar con mayor precisión el término de «contratación directa».</w:t>
      </w:r>
    </w:p>
    <w:p w14:paraId="69C27F28" w14:textId="77777777" w:rsidR="001C2E6F" w:rsidRPr="001C2E6F" w:rsidRDefault="001C2E6F" w:rsidP="00B21040">
      <w:pPr>
        <w:spacing w:after="120" w:line="276" w:lineRule="auto"/>
        <w:ind w:right="49" w:firstLine="708"/>
        <w:jc w:val="both"/>
        <w:rPr>
          <w:rFonts w:ascii="Arial" w:hAnsi="Arial" w:cs="Arial"/>
          <w:bCs/>
          <w:sz w:val="22"/>
          <w:szCs w:val="22"/>
          <w:lang w:val="es-MX" w:eastAsia="x-none"/>
        </w:rPr>
      </w:pPr>
      <w:bookmarkStart w:id="36" w:name="_Hlk78818796"/>
      <w:r w:rsidRPr="001C2E6F">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C2E6F">
        <w:rPr>
          <w:rFonts w:ascii="Arial" w:hAnsi="Arial" w:cs="Arial"/>
          <w:sz w:val="22"/>
          <w:szCs w:val="22"/>
          <w:vertAlign w:val="superscript"/>
          <w:lang w:eastAsia="x-none"/>
        </w:rPr>
        <w:footnoteReference w:id="20"/>
      </w:r>
      <w:r w:rsidRPr="001C2E6F">
        <w:rPr>
          <w:rFonts w:ascii="Arial" w:hAnsi="Arial" w:cs="Arial"/>
          <w:bCs/>
          <w:sz w:val="22"/>
          <w:szCs w:val="22"/>
          <w:lang w:val="es-MX" w:eastAsia="x-none"/>
        </w:rPr>
        <w:t>.</w:t>
      </w:r>
      <w:r w:rsidRPr="001C2E6F">
        <w:rPr>
          <w:rFonts w:ascii="Arial" w:hAnsi="Arial" w:cs="Arial"/>
          <w:sz w:val="22"/>
          <w:szCs w:val="22"/>
          <w:vertAlign w:val="superscript"/>
          <w:lang w:eastAsia="x-none"/>
        </w:rPr>
        <w:t xml:space="preserve"> </w:t>
      </w:r>
    </w:p>
    <w:bookmarkEnd w:id="36"/>
    <w:p w14:paraId="65950B1A" w14:textId="77777777" w:rsidR="001C2E6F" w:rsidRPr="001C2E6F" w:rsidRDefault="001C2E6F" w:rsidP="00B21040">
      <w:pPr>
        <w:spacing w:after="120" w:line="276" w:lineRule="auto"/>
        <w:ind w:right="49" w:firstLine="708"/>
        <w:jc w:val="both"/>
        <w:rPr>
          <w:rFonts w:ascii="Arial" w:hAnsi="Arial" w:cs="Arial"/>
          <w:sz w:val="22"/>
          <w:szCs w:val="22"/>
          <w:lang w:eastAsia="x-none"/>
        </w:rPr>
      </w:pPr>
      <w:r w:rsidRPr="001C2E6F">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1C2E6F">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21D7E207" w14:textId="77777777" w:rsidR="001C2E6F" w:rsidRPr="001C2E6F" w:rsidRDefault="001C2E6F" w:rsidP="00B21040">
      <w:pPr>
        <w:spacing w:after="120" w:line="276" w:lineRule="auto"/>
        <w:ind w:right="49" w:firstLine="708"/>
        <w:jc w:val="both"/>
        <w:rPr>
          <w:rFonts w:ascii="Arial" w:hAnsi="Arial" w:cs="Arial"/>
          <w:bCs/>
          <w:sz w:val="22"/>
          <w:szCs w:val="22"/>
          <w:lang w:val="es-MX" w:eastAsia="x-none"/>
        </w:rPr>
      </w:pPr>
      <w:bookmarkStart w:id="37" w:name="_Hlk77237094"/>
      <w:r w:rsidRPr="001C2E6F">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7"/>
    </w:p>
    <w:p w14:paraId="025C1922" w14:textId="77777777" w:rsidR="00366167" w:rsidRPr="00366167" w:rsidRDefault="00366167" w:rsidP="00366167">
      <w:pPr>
        <w:spacing w:line="276" w:lineRule="auto"/>
        <w:ind w:firstLine="708"/>
        <w:jc w:val="both"/>
        <w:rPr>
          <w:rFonts w:ascii="Arial" w:eastAsia="Arial" w:hAnsi="Arial" w:cs="Arial"/>
          <w:sz w:val="22"/>
          <w:szCs w:val="22"/>
        </w:rPr>
      </w:pPr>
      <w:r w:rsidRPr="65B666B4">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65B666B4">
        <w:rPr>
          <w:rFonts w:ascii="Arial" w:eastAsia="Arial" w:hAnsi="Arial" w:cs="Arial"/>
          <w:sz w:val="22"/>
          <w:szCs w:val="22"/>
        </w:rPr>
        <w:t>ii</w:t>
      </w:r>
      <w:proofErr w:type="spellEnd"/>
      <w:r w:rsidRPr="65B666B4">
        <w:rPr>
          <w:rFonts w:ascii="Arial" w:eastAsia="Arial" w:hAnsi="Arial" w:cs="Arial"/>
          <w:sz w:val="22"/>
          <w:szCs w:val="22"/>
        </w:rPr>
        <w:t xml:space="preserve">) los contratos de crédito público; </w:t>
      </w:r>
      <w:proofErr w:type="spellStart"/>
      <w:r w:rsidRPr="65B666B4">
        <w:rPr>
          <w:rFonts w:ascii="Arial" w:eastAsia="Arial" w:hAnsi="Arial" w:cs="Arial"/>
          <w:sz w:val="22"/>
          <w:szCs w:val="22"/>
        </w:rPr>
        <w:t>iii</w:t>
      </w:r>
      <w:proofErr w:type="spellEnd"/>
      <w:r w:rsidRPr="65B666B4">
        <w:rPr>
          <w:rFonts w:ascii="Arial" w:eastAsia="Arial" w:hAnsi="Arial" w:cs="Arial"/>
          <w:sz w:val="22"/>
          <w:szCs w:val="22"/>
        </w:rPr>
        <w:t xml:space="preserve">) los requeridos para cubrir las emergencias educativas, sanitarias y desastres; </w:t>
      </w:r>
      <w:proofErr w:type="spellStart"/>
      <w:r w:rsidRPr="65B666B4">
        <w:rPr>
          <w:rFonts w:ascii="Arial" w:eastAsia="Arial" w:hAnsi="Arial" w:cs="Arial"/>
          <w:sz w:val="22"/>
          <w:szCs w:val="22"/>
        </w:rPr>
        <w:t>iv</w:t>
      </w:r>
      <w:proofErr w:type="spellEnd"/>
      <w:r w:rsidRPr="65B666B4">
        <w:rPr>
          <w:rFonts w:ascii="Arial" w:eastAsia="Arial" w:hAnsi="Arial" w:cs="Arial"/>
          <w:sz w:val="22"/>
          <w:szCs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23CD2BE" w14:textId="77777777" w:rsidR="00366167" w:rsidRPr="00366167" w:rsidRDefault="00366167" w:rsidP="00366167">
      <w:pPr>
        <w:spacing w:before="120" w:line="276" w:lineRule="auto"/>
        <w:ind w:firstLine="709"/>
        <w:jc w:val="both"/>
        <w:rPr>
          <w:rFonts w:ascii="Arial" w:eastAsia="Arial" w:hAnsi="Arial" w:cs="Arial"/>
          <w:sz w:val="22"/>
          <w:szCs w:val="22"/>
        </w:rPr>
      </w:pPr>
      <w:bookmarkStart w:id="38" w:name="_2xcytpi" w:colFirst="0" w:colLast="0"/>
      <w:bookmarkEnd w:id="38"/>
      <w:r w:rsidRPr="00366167">
        <w:rPr>
          <w:rFonts w:ascii="Arial" w:eastAsia="Arial" w:hAnsi="Arial" w:cs="Arial"/>
          <w:sz w:val="22"/>
          <w:szCs w:val="22"/>
        </w:rPr>
        <w:t>En esta labor es importante tener en cuenta, como lo anotó la Corte Constitucional, en Sentencia C-1153 de noviembre 11 de 2005</w:t>
      </w:r>
      <w:r w:rsidRPr="00366167">
        <w:rPr>
          <w:vertAlign w:val="superscript"/>
        </w:rPr>
        <w:t>,</w:t>
      </w:r>
      <w:r w:rsidRPr="00366167">
        <w:rPr>
          <w:rFonts w:ascii="Arial" w:eastAsia="Arial" w:hAnsi="Arial" w:cs="Arial"/>
          <w:sz w:val="22"/>
          <w:szCs w:val="22"/>
        </w:rPr>
        <w:t xml:space="preserve"> que «si bien la limitación garantiza la </w:t>
      </w:r>
      <w:r w:rsidRPr="00366167">
        <w:rPr>
          <w:rFonts w:ascii="Arial" w:eastAsia="Arial" w:hAnsi="Arial" w:cs="Arial"/>
          <w:sz w:val="22"/>
          <w:szCs w:val="22"/>
        </w:rPr>
        <w:lastRenderedPageBreak/>
        <w:t>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366167">
        <w:rPr>
          <w:rFonts w:ascii="Arial" w:eastAsia="Arial" w:hAnsi="Arial" w:cs="Arial"/>
          <w:sz w:val="22"/>
          <w:szCs w:val="22"/>
          <w:vertAlign w:val="superscript"/>
        </w:rPr>
        <w:footnoteReference w:id="21"/>
      </w:r>
      <w:r w:rsidRPr="00366167">
        <w:rPr>
          <w:rFonts w:ascii="Arial" w:eastAsia="Arial" w:hAnsi="Arial" w:cs="Arial"/>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26D8F02" w14:textId="32FF3788" w:rsidR="00366167" w:rsidRPr="00366167" w:rsidRDefault="00366167" w:rsidP="00366167">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Como se puede apreciar,</w:t>
      </w:r>
      <w:r w:rsidR="00F62B73">
        <w:rPr>
          <w:rFonts w:ascii="Arial" w:eastAsia="Arial" w:hAnsi="Arial" w:cs="Arial"/>
          <w:sz w:val="22"/>
          <w:szCs w:val="22"/>
        </w:rPr>
        <w:t xml:space="preserve"> </w:t>
      </w:r>
      <w:r w:rsidRPr="00366167">
        <w:rPr>
          <w:rFonts w:ascii="Arial" w:eastAsia="Arial" w:hAnsi="Arial" w:cs="Arial"/>
          <w:sz w:val="22"/>
          <w:szCs w:val="22"/>
        </w:rPr>
        <w:t>el inciso segundo del artículo 33 dispone de dos</w:t>
      </w:r>
      <w:r w:rsidR="0062180D">
        <w:rPr>
          <w:rFonts w:ascii="Arial" w:eastAsia="Arial" w:hAnsi="Arial" w:cs="Arial"/>
          <w:sz w:val="22"/>
          <w:szCs w:val="22"/>
        </w:rPr>
        <w:t xml:space="preserve"> (2)</w:t>
      </w:r>
      <w:r w:rsidRPr="00366167">
        <w:rPr>
          <w:rFonts w:ascii="Arial" w:eastAsia="Arial" w:hAnsi="Arial" w:cs="Arial"/>
          <w:sz w:val="22"/>
          <w:szCs w:val="22"/>
        </w:rPr>
        <w:t xml:space="preserve"> grandes grupos de excepciones a la prohibición de contratar directamente en la época preelectoral. </w:t>
      </w:r>
      <w:r w:rsidRPr="001226A1">
        <w:rPr>
          <w:rFonts w:ascii="Arial" w:eastAsia="Arial" w:hAnsi="Arial" w:cs="Arial"/>
          <w:i/>
          <w:iCs/>
          <w:sz w:val="22"/>
          <w:szCs w:val="22"/>
        </w:rPr>
        <w:t>Por un lado</w:t>
      </w:r>
      <w:r w:rsidRPr="00366167">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1226A1">
        <w:rPr>
          <w:rFonts w:ascii="Arial" w:eastAsia="Arial" w:hAnsi="Arial" w:cs="Arial"/>
          <w:i/>
          <w:iCs/>
          <w:sz w:val="22"/>
          <w:szCs w:val="22"/>
        </w:rPr>
        <w:t>Por otra parte</w:t>
      </w:r>
      <w:r w:rsidRPr="00366167">
        <w:rPr>
          <w:rFonts w:ascii="Arial" w:eastAsia="Arial" w:hAnsi="Arial" w:cs="Arial"/>
          <w:sz w:val="22"/>
          <w:szCs w:val="22"/>
        </w:rPr>
        <w:t xml:space="preserve">, las que aluden a las entidades sanitarias y hospitalarias acudiendo a un criterio eminentemente subjetivo, pese a que no limita la excepción a un tipo de entidad en particular, sino que ata su aplicación a la </w:t>
      </w:r>
      <w:r w:rsidR="00900FFC">
        <w:rPr>
          <w:rFonts w:ascii="Arial" w:eastAsia="Arial" w:hAnsi="Arial" w:cs="Arial"/>
          <w:sz w:val="22"/>
          <w:szCs w:val="22"/>
        </w:rPr>
        <w:t>naturaleza del</w:t>
      </w:r>
      <w:r w:rsidRPr="00366167">
        <w:rPr>
          <w:rFonts w:ascii="Arial" w:eastAsia="Arial" w:hAnsi="Arial" w:cs="Arial"/>
          <w:sz w:val="22"/>
          <w:szCs w:val="22"/>
        </w:rPr>
        <w:t xml:space="preserve"> respectivo ente.</w:t>
      </w:r>
    </w:p>
    <w:p w14:paraId="6726D1EA" w14:textId="6C0C177E" w:rsidR="00366167" w:rsidRPr="00366167" w:rsidRDefault="00366167" w:rsidP="00366167">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 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w:t>
      </w:r>
      <w:r w:rsidR="00FB7C6B">
        <w:rPr>
          <w:rFonts w:ascii="Arial" w:eastAsia="Arial" w:hAnsi="Arial" w:cs="Arial"/>
          <w:sz w:val="22"/>
          <w:szCs w:val="22"/>
        </w:rPr>
        <w:t xml:space="preserve">de </w:t>
      </w:r>
      <w:r w:rsidRPr="00366167">
        <w:rPr>
          <w:rFonts w:ascii="Arial" w:eastAsia="Arial" w:hAnsi="Arial" w:cs="Arial"/>
          <w:sz w:val="22"/>
          <w:szCs w:val="22"/>
        </w:rPr>
        <w:t xml:space="preserve">la entidad para determinar si tiene carácter sanitario u hospitalario. </w:t>
      </w:r>
    </w:p>
    <w:p w14:paraId="671491ED" w14:textId="77777777" w:rsidR="00A17486" w:rsidRPr="00A17486" w:rsidRDefault="00A17486" w:rsidP="00B21040">
      <w:pPr>
        <w:spacing w:line="276" w:lineRule="auto"/>
        <w:ind w:right="49"/>
        <w:jc w:val="both"/>
        <w:rPr>
          <w:rFonts w:ascii="Arial" w:hAnsi="Arial" w:cs="Arial"/>
          <w:bCs/>
          <w:sz w:val="22"/>
          <w:szCs w:val="22"/>
          <w:lang w:val="es-ES" w:eastAsia="es-CO"/>
        </w:rPr>
      </w:pPr>
    </w:p>
    <w:p w14:paraId="31A0AC71" w14:textId="77777777" w:rsidR="001C2E6F" w:rsidRPr="001C2E6F" w:rsidRDefault="001C2E6F" w:rsidP="00B21040">
      <w:pPr>
        <w:spacing w:line="276" w:lineRule="auto"/>
        <w:ind w:right="49"/>
        <w:jc w:val="both"/>
        <w:rPr>
          <w:rFonts w:ascii="Arial" w:hAnsi="Arial" w:cs="Arial"/>
          <w:b/>
          <w:sz w:val="22"/>
          <w:szCs w:val="22"/>
          <w:lang w:val="es-MX" w:eastAsia="x-none"/>
        </w:rPr>
      </w:pPr>
      <w:r w:rsidRPr="001C2E6F">
        <w:rPr>
          <w:rFonts w:ascii="Arial" w:hAnsi="Arial" w:cs="Arial"/>
          <w:b/>
          <w:sz w:val="22"/>
          <w:szCs w:val="22"/>
          <w:lang w:val="es-MX" w:eastAsia="x-none"/>
        </w:rPr>
        <w:t>2.3.  Destinatarios de la restricción del artículo 33 de la Ley 996 de 2005</w:t>
      </w:r>
    </w:p>
    <w:p w14:paraId="7C0446D6" w14:textId="77777777" w:rsidR="001C2E6F" w:rsidRPr="001C2E6F" w:rsidRDefault="001C2E6F" w:rsidP="00B21040">
      <w:pPr>
        <w:spacing w:line="276" w:lineRule="auto"/>
        <w:ind w:right="49"/>
        <w:jc w:val="both"/>
        <w:rPr>
          <w:rFonts w:ascii="Arial" w:hAnsi="Arial" w:cs="Arial"/>
          <w:bCs/>
          <w:sz w:val="22"/>
          <w:szCs w:val="22"/>
          <w:lang w:val="es-MX" w:eastAsia="x-none"/>
        </w:rPr>
      </w:pPr>
    </w:p>
    <w:p w14:paraId="0F087A70" w14:textId="77777777" w:rsidR="00366167" w:rsidRPr="006A662B" w:rsidRDefault="00366167" w:rsidP="006A662B">
      <w:pPr>
        <w:spacing w:line="276" w:lineRule="auto"/>
        <w:jc w:val="both"/>
        <w:rPr>
          <w:rFonts w:ascii="Arial" w:eastAsia="Arial" w:hAnsi="Arial" w:cs="Arial"/>
          <w:sz w:val="22"/>
          <w:szCs w:val="22"/>
        </w:rPr>
      </w:pPr>
      <w:r w:rsidRPr="006A662B">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A662B">
        <w:t xml:space="preserve"> </w:t>
      </w:r>
      <w:r w:rsidRPr="006A662B">
        <w:rPr>
          <w:rFonts w:ascii="Arial" w:eastAsia="Arial" w:hAnsi="Arial" w:cs="Arial"/>
          <w:sz w:val="22"/>
          <w:szCs w:val="22"/>
        </w:rPr>
        <w:t>En efecto, tal como lo ha sostenido el Consejo de Estado, el vocablo «todos» utilizado por el legislador comprende</w:t>
      </w:r>
      <w:r w:rsidRPr="006A662B">
        <w:t xml:space="preserve"> </w:t>
      </w:r>
      <w:r w:rsidRPr="006A662B">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534DD07C" w14:textId="77777777" w:rsidR="00366167" w:rsidRPr="006A662B" w:rsidRDefault="00366167" w:rsidP="00366167">
      <w:pPr>
        <w:spacing w:line="276" w:lineRule="auto"/>
        <w:ind w:firstLine="708"/>
        <w:jc w:val="both"/>
        <w:rPr>
          <w:rFonts w:ascii="Arial" w:eastAsia="Arial" w:hAnsi="Arial" w:cs="Arial"/>
          <w:sz w:val="22"/>
          <w:szCs w:val="22"/>
        </w:rPr>
      </w:pPr>
    </w:p>
    <w:p w14:paraId="6B440EEB" w14:textId="77777777" w:rsidR="00366167" w:rsidRPr="006A662B" w:rsidRDefault="00366167" w:rsidP="006A662B">
      <w:pPr>
        <w:ind w:left="709" w:right="709"/>
        <w:jc w:val="both"/>
      </w:pPr>
      <w:bookmarkStart w:id="39" w:name="_3whwml4" w:colFirst="0" w:colLast="0"/>
      <w:bookmarkEnd w:id="39"/>
      <w:r w:rsidRPr="006A662B">
        <w:rPr>
          <w:rFonts w:ascii="Arial" w:eastAsia="Arial" w:hAnsi="Arial" w:cs="Arial"/>
          <w:sz w:val="21"/>
          <w:szCs w:val="21"/>
        </w:rPr>
        <w:lastRenderedPageBreak/>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A662B">
        <w:rPr>
          <w:rFonts w:ascii="Arial" w:eastAsia="Arial" w:hAnsi="Arial" w:cs="Arial"/>
          <w:sz w:val="21"/>
          <w:szCs w:val="21"/>
          <w:vertAlign w:val="superscript"/>
        </w:rPr>
        <w:footnoteReference w:id="22"/>
      </w:r>
      <w:r w:rsidRPr="006A662B">
        <w:rPr>
          <w:rFonts w:ascii="Arial" w:eastAsia="Arial" w:hAnsi="Arial" w:cs="Arial"/>
          <w:sz w:val="21"/>
          <w:szCs w:val="21"/>
        </w:rPr>
        <w:t xml:space="preserve">. </w:t>
      </w:r>
    </w:p>
    <w:p w14:paraId="0886996E" w14:textId="77777777" w:rsidR="00366167" w:rsidRPr="006A662B" w:rsidRDefault="00366167" w:rsidP="00366167">
      <w:pPr>
        <w:spacing w:line="276" w:lineRule="auto"/>
        <w:jc w:val="both"/>
        <w:rPr>
          <w:rFonts w:ascii="Arial" w:eastAsia="Arial" w:hAnsi="Arial" w:cs="Arial"/>
          <w:sz w:val="22"/>
          <w:szCs w:val="22"/>
        </w:rPr>
      </w:pPr>
    </w:p>
    <w:p w14:paraId="2EB8C3FD" w14:textId="77777777" w:rsidR="00366167" w:rsidRPr="001226A1" w:rsidRDefault="00366167" w:rsidP="00366167">
      <w:pPr>
        <w:spacing w:line="276" w:lineRule="auto"/>
        <w:ind w:firstLine="709"/>
        <w:jc w:val="both"/>
        <w:rPr>
          <w:rFonts w:ascii="Arial" w:eastAsia="Arial" w:hAnsi="Arial" w:cs="Arial"/>
          <w:bCs/>
          <w:sz w:val="22"/>
          <w:szCs w:val="22"/>
        </w:rPr>
      </w:pPr>
      <w:bookmarkStart w:id="40" w:name="_3as4poj" w:colFirst="0" w:colLast="0"/>
      <w:bookmarkStart w:id="41" w:name="_1pxezwc" w:colFirst="0" w:colLast="0"/>
      <w:bookmarkEnd w:id="40"/>
      <w:bookmarkEnd w:id="41"/>
      <w:r w:rsidRPr="006A662B">
        <w:rPr>
          <w:rFonts w:ascii="Arial" w:eastAsia="Arial" w:hAnsi="Arial" w:cs="Arial"/>
          <w:sz w:val="22"/>
          <w:szCs w:val="22"/>
        </w:rPr>
        <w:t xml:space="preserve">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w:t>
      </w:r>
      <w:r w:rsidRPr="001226A1">
        <w:rPr>
          <w:rFonts w:ascii="Arial" w:eastAsia="Arial" w:hAnsi="Arial" w:cs="Arial"/>
          <w:sz w:val="22"/>
          <w:szCs w:val="22"/>
        </w:rPr>
        <w:t>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4296AA8B" w14:textId="06007023" w:rsidR="006A662B" w:rsidRPr="001226A1" w:rsidRDefault="00366167" w:rsidP="006A662B">
      <w:pPr>
        <w:spacing w:before="120" w:line="276" w:lineRule="auto"/>
        <w:ind w:firstLine="709"/>
        <w:jc w:val="both"/>
        <w:rPr>
          <w:rFonts w:ascii="Arial" w:eastAsia="Arial" w:hAnsi="Arial" w:cs="Arial"/>
          <w:bCs/>
          <w:sz w:val="22"/>
          <w:szCs w:val="22"/>
        </w:rPr>
      </w:pPr>
      <w:bookmarkStart w:id="42" w:name="_49x2ik5" w:colFirst="0" w:colLast="0"/>
      <w:bookmarkEnd w:id="42"/>
      <w:r w:rsidRPr="001226A1">
        <w:rPr>
          <w:rFonts w:ascii="Arial" w:eastAsia="Arial" w:hAnsi="Arial" w:cs="Arial"/>
          <w:bCs/>
          <w:sz w:val="22"/>
          <w:szCs w:val="22"/>
        </w:rPr>
        <w:t xml:space="preserve">En este punto, debe tenerse en cuenta que </w:t>
      </w:r>
      <w:r w:rsidR="00195633" w:rsidRPr="001226A1">
        <w:rPr>
          <w:rFonts w:ascii="Arial" w:eastAsia="Arial" w:hAnsi="Arial" w:cs="Arial"/>
          <w:bCs/>
          <w:sz w:val="22"/>
          <w:szCs w:val="22"/>
        </w:rPr>
        <w:t xml:space="preserve">los departamentos </w:t>
      </w:r>
      <w:r w:rsidRPr="001226A1">
        <w:rPr>
          <w:rFonts w:ascii="Arial" w:eastAsia="Arial" w:hAnsi="Arial" w:cs="Arial"/>
          <w:bCs/>
          <w:sz w:val="22"/>
          <w:szCs w:val="22"/>
        </w:rPr>
        <w:t>estarían cobijad</w:t>
      </w:r>
      <w:r w:rsidR="00195633" w:rsidRPr="001226A1">
        <w:rPr>
          <w:rFonts w:ascii="Arial" w:eastAsia="Arial" w:hAnsi="Arial" w:cs="Arial"/>
          <w:bCs/>
          <w:sz w:val="22"/>
          <w:szCs w:val="22"/>
        </w:rPr>
        <w:t>o</w:t>
      </w:r>
      <w:r w:rsidRPr="001226A1">
        <w:rPr>
          <w:rFonts w:ascii="Arial" w:eastAsia="Arial" w:hAnsi="Arial" w:cs="Arial"/>
          <w:bCs/>
          <w:sz w:val="22"/>
          <w:szCs w:val="22"/>
        </w:rPr>
        <w:t xml:space="preserve">s por la prohibición para contratar directamente establecida en el artículo 33 de la Ley de Garantías. Sin embargo, </w:t>
      </w:r>
      <w:r w:rsidR="008B25DC" w:rsidRPr="001226A1">
        <w:rPr>
          <w:rFonts w:ascii="Arial" w:eastAsia="Arial" w:hAnsi="Arial" w:cs="Arial"/>
          <w:bCs/>
          <w:sz w:val="22"/>
          <w:szCs w:val="22"/>
        </w:rPr>
        <w:t xml:space="preserve">es necesario señalar </w:t>
      </w:r>
      <w:r w:rsidRPr="001226A1">
        <w:rPr>
          <w:rFonts w:ascii="Arial" w:eastAsia="Arial" w:hAnsi="Arial" w:cs="Arial"/>
          <w:bCs/>
          <w:sz w:val="22"/>
          <w:szCs w:val="22"/>
        </w:rPr>
        <w:t xml:space="preserve">que el inciso 2 del mismo artículo consagra excepciones a dicha prohibición sin hacer distingo entre entidades </w:t>
      </w:r>
      <w:proofErr w:type="gramStart"/>
      <w:r w:rsidRPr="001226A1">
        <w:rPr>
          <w:rFonts w:ascii="Arial" w:eastAsia="Arial" w:hAnsi="Arial" w:cs="Arial"/>
          <w:bCs/>
          <w:sz w:val="22"/>
          <w:szCs w:val="22"/>
        </w:rPr>
        <w:t>sino</w:t>
      </w:r>
      <w:proofErr w:type="gramEnd"/>
      <w:r w:rsidRPr="001226A1">
        <w:rPr>
          <w:rFonts w:ascii="Arial" w:eastAsia="Arial" w:hAnsi="Arial" w:cs="Arial"/>
          <w:bCs/>
          <w:sz w:val="22"/>
          <w:szCs w:val="22"/>
        </w:rPr>
        <w:t xml:space="preserve">, como se </w:t>
      </w:r>
      <w:r w:rsidR="008B25DC" w:rsidRPr="001226A1">
        <w:rPr>
          <w:rFonts w:ascii="Arial" w:eastAsia="Arial" w:hAnsi="Arial" w:cs="Arial"/>
          <w:bCs/>
          <w:sz w:val="22"/>
          <w:szCs w:val="22"/>
        </w:rPr>
        <w:t>explicó</w:t>
      </w:r>
      <w:r w:rsidRPr="001226A1">
        <w:rPr>
          <w:rFonts w:ascii="Arial" w:eastAsia="Arial" w:hAnsi="Arial" w:cs="Arial"/>
          <w:bCs/>
          <w:sz w:val="22"/>
          <w:szCs w:val="22"/>
        </w:rPr>
        <w:t xml:space="preserve">, atendiendo a la naturaleza de las funciones y actividades que ellas desarrollen. Así las cosas, no </w:t>
      </w:r>
      <w:r w:rsidR="00C368D3" w:rsidRPr="001226A1">
        <w:rPr>
          <w:rFonts w:ascii="Arial" w:eastAsia="Arial" w:hAnsi="Arial" w:cs="Arial"/>
          <w:bCs/>
          <w:sz w:val="22"/>
          <w:szCs w:val="22"/>
        </w:rPr>
        <w:t xml:space="preserve">es </w:t>
      </w:r>
      <w:r w:rsidRPr="001226A1">
        <w:rPr>
          <w:rFonts w:ascii="Arial" w:eastAsia="Arial" w:hAnsi="Arial" w:cs="Arial"/>
          <w:bCs/>
          <w:sz w:val="22"/>
          <w:szCs w:val="22"/>
        </w:rPr>
        <w:t>relevante ni la nominación</w:t>
      </w:r>
      <w:r w:rsidR="009A6CD4" w:rsidRPr="001226A1">
        <w:rPr>
          <w:rFonts w:ascii="Arial" w:eastAsia="Arial" w:hAnsi="Arial" w:cs="Arial"/>
          <w:bCs/>
          <w:sz w:val="22"/>
          <w:szCs w:val="22"/>
        </w:rPr>
        <w:t xml:space="preserve"> ni</w:t>
      </w:r>
      <w:r w:rsidRPr="001226A1">
        <w:rPr>
          <w:rFonts w:ascii="Arial" w:eastAsia="Arial" w:hAnsi="Arial" w:cs="Arial"/>
          <w:bCs/>
          <w:sz w:val="22"/>
          <w:szCs w:val="22"/>
        </w:rPr>
        <w:t xml:space="preserve"> </w:t>
      </w:r>
      <w:r w:rsidR="007C203F" w:rsidRPr="001226A1">
        <w:rPr>
          <w:rFonts w:ascii="Arial" w:eastAsia="Arial" w:hAnsi="Arial" w:cs="Arial"/>
          <w:bCs/>
          <w:sz w:val="22"/>
          <w:szCs w:val="22"/>
        </w:rPr>
        <w:t xml:space="preserve">el </w:t>
      </w:r>
      <w:r w:rsidRPr="001226A1">
        <w:rPr>
          <w:rFonts w:ascii="Arial" w:eastAsia="Arial" w:hAnsi="Arial" w:cs="Arial"/>
          <w:bCs/>
          <w:sz w:val="22"/>
          <w:szCs w:val="22"/>
        </w:rPr>
        <w:t>régimen aplicable para la respectiva entidad, sino que basta con que la misma desarrolle cierto tipo de actividades cuya contratación, por su naturaleza especialmente sensible, no admiten postergación, entre ellas las realizadas por entidades sanitarias u hospitalarias.</w:t>
      </w:r>
    </w:p>
    <w:p w14:paraId="17D6FD78" w14:textId="0FCE3C43" w:rsidR="00366167" w:rsidRPr="001226A1" w:rsidRDefault="00366167" w:rsidP="006A662B">
      <w:pPr>
        <w:tabs>
          <w:tab w:val="left" w:pos="426"/>
        </w:tabs>
        <w:spacing w:before="120" w:line="276" w:lineRule="auto"/>
        <w:jc w:val="both"/>
        <w:rPr>
          <w:rFonts w:ascii="Arial" w:hAnsi="Arial" w:cs="Arial"/>
          <w:bCs/>
          <w:sz w:val="22"/>
          <w:lang w:val="es-ES_tradnl"/>
        </w:rPr>
      </w:pPr>
      <w:r w:rsidRPr="001226A1">
        <w:rPr>
          <w:rFonts w:ascii="Arial" w:eastAsia="Arial" w:hAnsi="Arial" w:cs="Arial"/>
          <w:bCs/>
          <w:sz w:val="22"/>
          <w:szCs w:val="22"/>
        </w:rPr>
        <w:tab/>
      </w:r>
      <w:r w:rsidRPr="001226A1">
        <w:rPr>
          <w:rFonts w:ascii="Arial" w:eastAsia="Arial" w:hAnsi="Arial" w:cs="Arial"/>
          <w:bCs/>
          <w:sz w:val="22"/>
          <w:szCs w:val="22"/>
        </w:rPr>
        <w:tab/>
        <w:t xml:space="preserve">Al respecto, es </w:t>
      </w:r>
      <w:r w:rsidR="00973139" w:rsidRPr="001226A1">
        <w:rPr>
          <w:rFonts w:ascii="Arial" w:eastAsia="Arial" w:hAnsi="Arial" w:cs="Arial"/>
          <w:bCs/>
          <w:sz w:val="22"/>
          <w:szCs w:val="22"/>
        </w:rPr>
        <w:t xml:space="preserve">importante reiterar </w:t>
      </w:r>
      <w:r w:rsidRPr="001226A1">
        <w:rPr>
          <w:rFonts w:ascii="Arial" w:eastAsia="Arial" w:hAnsi="Arial" w:cs="Arial"/>
          <w:bCs/>
          <w:sz w:val="22"/>
          <w:szCs w:val="22"/>
        </w:rPr>
        <w:t xml:space="preserve">que </w:t>
      </w:r>
      <w:r w:rsidRPr="001226A1">
        <w:rPr>
          <w:rFonts w:ascii="Arial" w:hAnsi="Arial" w:cs="Arial"/>
          <w:bCs/>
          <w:sz w:val="22"/>
          <w:lang w:val="es-ES_tradnl"/>
        </w:rPr>
        <w:t xml:space="preserve">el segundo inciso del artículo 33 de la Ley de Garantías Electorales consagró las excepciones aplicables a la prohibición de contratación directa establecida en el mismo artículo. </w:t>
      </w:r>
      <w:r w:rsidR="00195633" w:rsidRPr="001226A1">
        <w:rPr>
          <w:rFonts w:ascii="Arial" w:hAnsi="Arial" w:cs="Arial"/>
          <w:bCs/>
          <w:sz w:val="22"/>
          <w:lang w:val="es-ES_tradnl"/>
        </w:rPr>
        <w:t>Como se indicó, l</w:t>
      </w:r>
      <w:r w:rsidRPr="001226A1">
        <w:rPr>
          <w:rFonts w:ascii="Arial" w:hAnsi="Arial" w:cs="Arial"/>
          <w:bCs/>
          <w:sz w:val="22"/>
          <w:lang w:val="es-ES_tradnl"/>
        </w:rPr>
        <w:t>as excepciones a la prohibición del artículo 33 de la norma mencionada son las siguientes:</w:t>
      </w:r>
    </w:p>
    <w:p w14:paraId="2DC6B093" w14:textId="77777777" w:rsidR="00366167" w:rsidRPr="001226A1" w:rsidRDefault="00366167" w:rsidP="006A662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i) La contratación referente a la defensa y seguridad del Estado;</w:t>
      </w:r>
    </w:p>
    <w:p w14:paraId="3A70BD6C" w14:textId="77777777" w:rsidR="00366167" w:rsidRPr="001226A1" w:rsidRDefault="00366167" w:rsidP="006A662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w:t>
      </w:r>
      <w:proofErr w:type="spellEnd"/>
      <w:r w:rsidRPr="001226A1">
        <w:rPr>
          <w:rFonts w:ascii="Arial" w:hAnsi="Arial" w:cs="Arial"/>
          <w:bCs/>
          <w:sz w:val="22"/>
          <w:lang w:val="es-ES_tradnl"/>
        </w:rPr>
        <w:t>) Los contratos de crédito público;</w:t>
      </w:r>
    </w:p>
    <w:p w14:paraId="121FBB68" w14:textId="77777777" w:rsidR="00366167" w:rsidRPr="001226A1" w:rsidRDefault="00366167" w:rsidP="006A662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iii</w:t>
      </w:r>
      <w:proofErr w:type="spellEnd"/>
      <w:r w:rsidRPr="001226A1">
        <w:rPr>
          <w:rFonts w:ascii="Arial" w:hAnsi="Arial" w:cs="Arial"/>
          <w:bCs/>
          <w:sz w:val="22"/>
          <w:lang w:val="es-ES_tradnl"/>
        </w:rPr>
        <w:t xml:space="preserve">) Los contratos requeridos para cubrir las emergencias educativas, sanitarias y desastres; </w:t>
      </w:r>
    </w:p>
    <w:p w14:paraId="6665346F" w14:textId="77777777" w:rsidR="00366167" w:rsidRPr="001226A1" w:rsidRDefault="00366167" w:rsidP="006A662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lastRenderedPageBreak/>
        <w:tab/>
      </w:r>
      <w:proofErr w:type="spellStart"/>
      <w:r w:rsidRPr="001226A1">
        <w:rPr>
          <w:rFonts w:ascii="Arial" w:hAnsi="Arial" w:cs="Arial"/>
          <w:bCs/>
          <w:sz w:val="22"/>
          <w:lang w:val="es-ES_tradnl"/>
        </w:rPr>
        <w:t>iv</w:t>
      </w:r>
      <w:proofErr w:type="spellEnd"/>
      <w:r w:rsidRPr="001226A1">
        <w:rPr>
          <w:rFonts w:ascii="Arial" w:hAnsi="Arial" w:cs="Arial"/>
          <w:bCs/>
          <w:sz w:val="22"/>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5399743E" w14:textId="6A51FC04" w:rsidR="00366167" w:rsidRPr="001226A1" w:rsidRDefault="00366167" w:rsidP="006A662B">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 xml:space="preserve">v) La contratación que deban realizar las entidades sanitarias y hospitalarias. </w:t>
      </w:r>
    </w:p>
    <w:p w14:paraId="410D5A45" w14:textId="45A13C42" w:rsidR="00366167" w:rsidRPr="001226A1" w:rsidRDefault="00366167" w:rsidP="006A662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La Sala de Consulta y Servicio Civil del Consejo de Estado, en concepto del 4 de febrero de 2010, se pronunció frente a las razones por las que el legislador consagró excepciones al artículo 33 de la Ley de Garantías </w:t>
      </w:r>
      <w:r w:rsidR="00C37E19" w:rsidRPr="001226A1">
        <w:rPr>
          <w:rFonts w:ascii="Arial" w:hAnsi="Arial" w:cs="Arial"/>
          <w:bCs/>
          <w:sz w:val="22"/>
          <w:lang w:val="es-ES_tradnl"/>
        </w:rPr>
        <w:t>Electorales</w:t>
      </w:r>
      <w:r w:rsidRPr="001226A1">
        <w:rPr>
          <w:rFonts w:ascii="Arial" w:hAnsi="Arial" w:cs="Arial"/>
          <w:bCs/>
          <w:sz w:val="22"/>
          <w:lang w:val="es-ES_tradnl"/>
        </w:rPr>
        <w:t xml:space="preserve">: </w:t>
      </w:r>
    </w:p>
    <w:p w14:paraId="3394468A" w14:textId="77777777" w:rsidR="006A662B" w:rsidRPr="001226A1" w:rsidRDefault="006A662B" w:rsidP="006A662B">
      <w:pPr>
        <w:tabs>
          <w:tab w:val="left" w:pos="426"/>
        </w:tabs>
        <w:ind w:firstLine="709"/>
        <w:jc w:val="both"/>
        <w:rPr>
          <w:rFonts w:ascii="Arial" w:hAnsi="Arial" w:cs="Arial"/>
          <w:bCs/>
          <w:sz w:val="22"/>
          <w:lang w:val="es-ES_tradnl"/>
        </w:rPr>
      </w:pPr>
    </w:p>
    <w:p w14:paraId="384CEA8D" w14:textId="39AF47AF" w:rsidR="00366167" w:rsidRPr="001226A1" w:rsidRDefault="00366167" w:rsidP="006A662B">
      <w:pPr>
        <w:shd w:val="clear" w:color="auto" w:fill="FFFFFF"/>
        <w:ind w:left="709" w:right="709"/>
        <w:jc w:val="both"/>
        <w:rPr>
          <w:rFonts w:ascii="Arial" w:hAnsi="Arial" w:cs="Arial"/>
          <w:sz w:val="21"/>
          <w:szCs w:val="21"/>
          <w:lang w:val="es-ES_tradnl" w:eastAsia="es-CO"/>
        </w:rPr>
      </w:pPr>
      <w:r w:rsidRPr="001226A1">
        <w:rPr>
          <w:rFonts w:ascii="Arial" w:hAnsi="Arial" w:cs="Arial"/>
          <w:sz w:val="21"/>
          <w:szCs w:val="21"/>
          <w:lang w:val="es-ES_tradnl" w:eastAsia="es-CO"/>
        </w:rPr>
        <w:t>[…]</w:t>
      </w:r>
      <w:r w:rsidR="001E4076" w:rsidRPr="001226A1">
        <w:rPr>
          <w:rFonts w:ascii="Arial" w:hAnsi="Arial" w:cs="Arial"/>
          <w:sz w:val="21"/>
          <w:szCs w:val="21"/>
          <w:lang w:val="es-ES_tradnl" w:eastAsia="es-CO"/>
        </w:rPr>
        <w:t xml:space="preserve"> </w:t>
      </w:r>
      <w:r w:rsidRPr="001226A1">
        <w:rPr>
          <w:rFonts w:ascii="Arial" w:hAnsi="Arial" w:cs="Arial"/>
          <w:sz w:val="21"/>
          <w:szCs w:val="21"/>
          <w:lang w:val="es-ES_tradnl" w:eastAsia="es-CO"/>
        </w:rPr>
        <w:t>Las excepciones establecidas en los artículos 32 y 33 en comento, guardan relación, exclusivamente, con algunos servicios públicos que por su naturaleza no admiten postergaciones en la atención de sus necesidades de personal, bienes y servicios [...]</w:t>
      </w:r>
      <w:r w:rsidRPr="001226A1">
        <w:rPr>
          <w:rStyle w:val="Refdenotaalpie"/>
          <w:rFonts w:ascii="Arial" w:hAnsi="Arial" w:cs="Arial"/>
          <w:sz w:val="21"/>
          <w:szCs w:val="21"/>
          <w:lang w:val="es-ES_tradnl" w:eastAsia="es-CO"/>
        </w:rPr>
        <w:footnoteReference w:id="23"/>
      </w:r>
      <w:r w:rsidRPr="001226A1">
        <w:rPr>
          <w:rFonts w:ascii="Arial" w:hAnsi="Arial" w:cs="Arial"/>
          <w:sz w:val="21"/>
          <w:szCs w:val="21"/>
          <w:lang w:val="es-ES_tradnl" w:eastAsia="es-CO"/>
        </w:rPr>
        <w:t xml:space="preserve">. </w:t>
      </w:r>
    </w:p>
    <w:p w14:paraId="20B9EC2F" w14:textId="77777777" w:rsidR="006A662B" w:rsidRPr="001226A1" w:rsidRDefault="006A662B" w:rsidP="006A662B">
      <w:pPr>
        <w:shd w:val="clear" w:color="auto" w:fill="FFFFFF"/>
        <w:spacing w:line="276" w:lineRule="auto"/>
        <w:ind w:left="709" w:right="709"/>
        <w:jc w:val="both"/>
        <w:rPr>
          <w:rFonts w:ascii="Arial" w:hAnsi="Arial" w:cs="Arial"/>
          <w:sz w:val="21"/>
          <w:szCs w:val="21"/>
          <w:lang w:val="es-ES_tradnl" w:eastAsia="es-CO"/>
        </w:rPr>
      </w:pPr>
    </w:p>
    <w:p w14:paraId="79CEE2C2" w14:textId="528391BD" w:rsidR="00366167" w:rsidRPr="001226A1" w:rsidRDefault="00366167" w:rsidP="00366167">
      <w:pPr>
        <w:shd w:val="clear" w:color="auto" w:fill="FFFFFF"/>
        <w:spacing w:line="276" w:lineRule="auto"/>
        <w:ind w:firstLine="709"/>
        <w:jc w:val="both"/>
        <w:rPr>
          <w:rFonts w:ascii="Arial" w:hAnsi="Arial" w:cs="Arial"/>
          <w:sz w:val="22"/>
          <w:lang w:val="es-ES_tradnl" w:eastAsia="es-CO"/>
        </w:rPr>
      </w:pPr>
      <w:r w:rsidRPr="001226A1">
        <w:rPr>
          <w:rFonts w:ascii="Arial" w:hAnsi="Arial" w:cs="Arial"/>
          <w:sz w:val="22"/>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w:t>
      </w:r>
      <w:r w:rsidR="00381219" w:rsidRPr="001226A1">
        <w:rPr>
          <w:rFonts w:ascii="Arial" w:hAnsi="Arial" w:cs="Arial"/>
          <w:sz w:val="22"/>
          <w:lang w:val="es-ES_tradnl" w:eastAsia="es-CO"/>
        </w:rPr>
        <w:t>declarando</w:t>
      </w:r>
      <w:r w:rsidRPr="001226A1">
        <w:rPr>
          <w:rFonts w:ascii="Arial" w:hAnsi="Arial" w:cs="Arial"/>
          <w:sz w:val="22"/>
          <w:lang w:val="es-ES_tradnl" w:eastAsia="es-CO"/>
        </w:rPr>
        <w:t xml:space="preserve">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1226A1">
        <w:rPr>
          <w:rStyle w:val="Refdenotaalpie"/>
          <w:rFonts w:ascii="Arial" w:hAnsi="Arial" w:cs="Arial"/>
          <w:sz w:val="22"/>
          <w:lang w:val="es-ES_tradnl" w:eastAsia="es-CO"/>
        </w:rPr>
        <w:footnoteReference w:id="24"/>
      </w:r>
      <w:r w:rsidRPr="001226A1">
        <w:rPr>
          <w:rFonts w:ascii="Arial" w:hAnsi="Arial" w:cs="Arial"/>
          <w:sz w:val="22"/>
          <w:lang w:val="es-ES_tradnl" w:eastAsia="es-CO"/>
        </w:rPr>
        <w:t xml:space="preserve">. </w:t>
      </w:r>
    </w:p>
    <w:p w14:paraId="10DE2DE2" w14:textId="008A4CD1" w:rsidR="00366167" w:rsidRPr="001226A1" w:rsidRDefault="00366167" w:rsidP="006A662B">
      <w:pPr>
        <w:tabs>
          <w:tab w:val="left" w:pos="426"/>
        </w:tabs>
        <w:spacing w:before="120" w:line="276" w:lineRule="auto"/>
        <w:ind w:firstLine="709"/>
        <w:jc w:val="both"/>
        <w:rPr>
          <w:rFonts w:ascii="Arial" w:hAnsi="Arial" w:cs="Arial"/>
          <w:sz w:val="22"/>
          <w:lang w:val="es-ES_tradnl"/>
        </w:rPr>
      </w:pPr>
      <w:r w:rsidRPr="001226A1">
        <w:rPr>
          <w:rFonts w:ascii="Arial" w:hAnsi="Arial" w:cs="Arial"/>
          <w:bCs/>
          <w:sz w:val="22"/>
          <w:lang w:val="es-ES_tradnl"/>
        </w:rPr>
        <w:t xml:space="preserve">Por tanto, las excepciones a la prohibición contenida en el inciso segundo de artículo 33 de la ley de garantías electorales tienen por finalidad garantizar la prestación ininterrumpida de algunos servicios públicos, </w:t>
      </w:r>
      <w:proofErr w:type="gramStart"/>
      <w:r w:rsidRPr="001226A1">
        <w:rPr>
          <w:rFonts w:ascii="Arial" w:hAnsi="Arial" w:cs="Arial"/>
          <w:bCs/>
          <w:sz w:val="22"/>
          <w:lang w:val="es-ES_tradnl"/>
        </w:rPr>
        <w:t>que</w:t>
      </w:r>
      <w:proofErr w:type="gramEnd"/>
      <w:r w:rsidRPr="001226A1">
        <w:rPr>
          <w:rFonts w:ascii="Arial" w:hAnsi="Arial" w:cs="Arial"/>
          <w:bCs/>
          <w:sz w:val="22"/>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1226A1">
        <w:rPr>
          <w:rFonts w:ascii="Arial" w:hAnsi="Arial" w:cs="Arial"/>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54B19231" w14:textId="77777777" w:rsidR="006A662B" w:rsidRPr="001226A1" w:rsidRDefault="006A662B" w:rsidP="006A662B">
      <w:pPr>
        <w:tabs>
          <w:tab w:val="left" w:pos="426"/>
        </w:tabs>
        <w:spacing w:line="276" w:lineRule="auto"/>
        <w:ind w:firstLine="709"/>
        <w:jc w:val="both"/>
        <w:rPr>
          <w:rFonts w:ascii="Arial" w:hAnsi="Arial" w:cs="Arial"/>
          <w:bCs/>
          <w:sz w:val="22"/>
          <w:lang w:val="es-ES_tradnl"/>
        </w:rPr>
      </w:pPr>
    </w:p>
    <w:p w14:paraId="3692DEE4" w14:textId="0E48D995" w:rsidR="00366167" w:rsidRPr="001226A1" w:rsidRDefault="00366167" w:rsidP="00EE5AE0">
      <w:pPr>
        <w:tabs>
          <w:tab w:val="left" w:pos="426"/>
        </w:tabs>
        <w:ind w:right="709"/>
        <w:jc w:val="both"/>
        <w:rPr>
          <w:rFonts w:ascii="Arial" w:hAnsi="Arial" w:cs="Arial"/>
          <w:sz w:val="21"/>
          <w:szCs w:val="21"/>
          <w:lang w:val="es-ES_tradnl"/>
        </w:rPr>
      </w:pPr>
      <w:r w:rsidRPr="001226A1">
        <w:rPr>
          <w:rFonts w:ascii="Arial" w:hAnsi="Arial" w:cs="Arial"/>
          <w:sz w:val="21"/>
          <w:szCs w:val="21"/>
          <w:lang w:val="es-ES_tradnl"/>
        </w:rPr>
        <w:tab/>
      </w:r>
      <w:r w:rsidRPr="001226A1">
        <w:rPr>
          <w:rFonts w:ascii="Arial" w:hAnsi="Arial" w:cs="Arial"/>
          <w:sz w:val="21"/>
          <w:szCs w:val="21"/>
          <w:lang w:val="es-ES_tradnl"/>
        </w:rPr>
        <w:tab/>
        <w:t>[…]</w:t>
      </w:r>
    </w:p>
    <w:p w14:paraId="1BCFD93C" w14:textId="77777777" w:rsidR="00EE5AE0" w:rsidRPr="001226A1" w:rsidRDefault="00EE5AE0" w:rsidP="00EE5AE0">
      <w:pPr>
        <w:tabs>
          <w:tab w:val="left" w:pos="426"/>
        </w:tabs>
        <w:ind w:right="709"/>
        <w:jc w:val="both"/>
        <w:rPr>
          <w:rFonts w:ascii="Arial" w:hAnsi="Arial" w:cs="Arial"/>
          <w:sz w:val="21"/>
          <w:szCs w:val="21"/>
          <w:lang w:val="es-ES_tradnl"/>
        </w:rPr>
      </w:pPr>
    </w:p>
    <w:p w14:paraId="3B7D959D" w14:textId="34E53BDC" w:rsidR="00366167" w:rsidRPr="001226A1" w:rsidRDefault="00366167" w:rsidP="00EE5AE0">
      <w:pPr>
        <w:ind w:left="709" w:right="709"/>
        <w:jc w:val="both"/>
        <w:rPr>
          <w:rFonts w:ascii="Arial" w:hAnsi="Arial" w:cs="Arial"/>
          <w:i/>
          <w:sz w:val="21"/>
          <w:szCs w:val="21"/>
          <w:lang w:val="es-ES_tradnl"/>
        </w:rPr>
      </w:pPr>
      <w:r w:rsidRPr="001226A1">
        <w:rPr>
          <w:rFonts w:ascii="Arial" w:hAnsi="Arial" w:cs="Arial"/>
          <w:i/>
          <w:sz w:val="21"/>
          <w:szCs w:val="21"/>
          <w:lang w:val="es-ES_tradnl"/>
        </w:rPr>
        <w:t>Las excepciones aplicables a la restricción de contratación pública</w:t>
      </w:r>
    </w:p>
    <w:p w14:paraId="59362C28" w14:textId="77777777" w:rsidR="00EE5AE0" w:rsidRPr="001226A1" w:rsidRDefault="00EE5AE0" w:rsidP="00EE5AE0">
      <w:pPr>
        <w:ind w:left="709" w:right="709"/>
        <w:jc w:val="both"/>
        <w:rPr>
          <w:rFonts w:ascii="Arial" w:hAnsi="Arial" w:cs="Arial"/>
          <w:i/>
          <w:sz w:val="21"/>
          <w:szCs w:val="21"/>
          <w:lang w:val="es-ES_tradnl"/>
        </w:rPr>
      </w:pPr>
    </w:p>
    <w:p w14:paraId="5BE17822" w14:textId="0FCD9DCE" w:rsidR="00366167" w:rsidRPr="001226A1" w:rsidRDefault="00366167" w:rsidP="00EE5AE0">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lastRenderedPageBreak/>
        <w:t>Ahora bien, las únicas excepciones a las disposiciones previstas en la Ley de Garantías se encuentran numeradas taxativamente en el último inciso del artículo 33 de la ley 996 de 2005, dentro de las que se encuentran:</w:t>
      </w:r>
    </w:p>
    <w:p w14:paraId="5E2B947E" w14:textId="77777777" w:rsidR="00EE5AE0" w:rsidRPr="001226A1" w:rsidRDefault="00EE5AE0" w:rsidP="00EE5AE0">
      <w:pPr>
        <w:ind w:left="709" w:right="709"/>
        <w:jc w:val="both"/>
        <w:rPr>
          <w:rFonts w:ascii="Arial" w:hAnsi="Arial" w:cs="Arial"/>
          <w:sz w:val="21"/>
          <w:szCs w:val="21"/>
          <w:shd w:val="clear" w:color="auto" w:fill="FFFFFF"/>
          <w:lang w:val="es-ES_tradnl"/>
        </w:rPr>
      </w:pPr>
    </w:p>
    <w:p w14:paraId="73CA90DB" w14:textId="3B423858" w:rsidR="00366167" w:rsidRPr="001226A1" w:rsidRDefault="00366167" w:rsidP="00EE5AE0">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w:t>
      </w:r>
    </w:p>
    <w:p w14:paraId="76786567" w14:textId="77777777" w:rsidR="006A662B" w:rsidRPr="001226A1" w:rsidRDefault="006A662B" w:rsidP="00EE5AE0">
      <w:pPr>
        <w:ind w:left="709" w:right="709"/>
        <w:jc w:val="both"/>
        <w:rPr>
          <w:rFonts w:ascii="Arial" w:hAnsi="Arial" w:cs="Arial"/>
          <w:sz w:val="21"/>
          <w:szCs w:val="21"/>
          <w:shd w:val="clear" w:color="auto" w:fill="FFFFFF"/>
          <w:lang w:val="es-ES_tradnl"/>
        </w:rPr>
      </w:pPr>
    </w:p>
    <w:p w14:paraId="3D241FF7" w14:textId="161F714D" w:rsidR="00366167" w:rsidRPr="001226A1" w:rsidRDefault="00366167" w:rsidP="00EE5AE0">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5. Los que deban realizar las entidades sanitarias y hospitalarias […]</w:t>
      </w:r>
      <w:r w:rsidRPr="001226A1">
        <w:rPr>
          <w:rStyle w:val="Refdenotaalpie"/>
          <w:rFonts w:ascii="Arial" w:hAnsi="Arial" w:cs="Arial"/>
          <w:sz w:val="21"/>
          <w:szCs w:val="21"/>
          <w:shd w:val="clear" w:color="auto" w:fill="FFFFFF"/>
          <w:lang w:val="es-ES_tradnl"/>
        </w:rPr>
        <w:footnoteReference w:id="25"/>
      </w:r>
      <w:r w:rsidRPr="001226A1">
        <w:rPr>
          <w:rFonts w:ascii="Arial" w:hAnsi="Arial" w:cs="Arial"/>
          <w:sz w:val="21"/>
          <w:szCs w:val="21"/>
          <w:shd w:val="clear" w:color="auto" w:fill="FFFFFF"/>
          <w:lang w:val="es-ES_tradnl"/>
        </w:rPr>
        <w:t>.</w:t>
      </w:r>
    </w:p>
    <w:p w14:paraId="4F4A4F8B" w14:textId="77777777" w:rsidR="006A662B" w:rsidRPr="001226A1" w:rsidRDefault="006A662B" w:rsidP="00366167">
      <w:pPr>
        <w:spacing w:line="276" w:lineRule="auto"/>
        <w:ind w:left="709" w:right="709"/>
        <w:jc w:val="both"/>
        <w:rPr>
          <w:rFonts w:ascii="Arial" w:hAnsi="Arial" w:cs="Arial"/>
          <w:sz w:val="21"/>
          <w:szCs w:val="21"/>
          <w:shd w:val="clear" w:color="auto" w:fill="FFFFFF"/>
          <w:lang w:val="es-ES_tradnl"/>
        </w:rPr>
      </w:pPr>
    </w:p>
    <w:p w14:paraId="2DEB0AB1" w14:textId="77777777" w:rsidR="00366167" w:rsidRPr="001226A1" w:rsidRDefault="00366167" w:rsidP="006A662B">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Lo anterior implica que las excepciones al artículo 33 en comento deben interpretarse y aplicarse manera restrictiva. En otras palabras, que no sería factible hacer interpretaciones extensivas</w:t>
      </w:r>
      <w:r w:rsidRPr="001226A1">
        <w:rPr>
          <w:rFonts w:ascii="Arial" w:hAnsi="Arial" w:cs="Arial"/>
          <w:bCs/>
          <w:i/>
          <w:iCs/>
          <w:sz w:val="22"/>
          <w:lang w:val="es-ES_tradnl"/>
        </w:rPr>
        <w:t xml:space="preserve"> </w:t>
      </w:r>
      <w:r w:rsidRPr="001226A1">
        <w:rPr>
          <w:rFonts w:ascii="Arial"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2D05F87A" w14:textId="7D37B3B8" w:rsidR="00366167" w:rsidRPr="001226A1" w:rsidRDefault="00366167" w:rsidP="006A662B">
      <w:pPr>
        <w:tabs>
          <w:tab w:val="left" w:pos="426"/>
        </w:tabs>
        <w:spacing w:before="120" w:line="276" w:lineRule="auto"/>
        <w:ind w:firstLine="709"/>
        <w:jc w:val="both"/>
        <w:rPr>
          <w:rFonts w:ascii="Arial" w:hAnsi="Arial" w:cs="Arial"/>
          <w:sz w:val="22"/>
          <w:lang w:val="es-ES_tradnl"/>
        </w:rPr>
      </w:pPr>
      <w:r w:rsidRPr="001226A1">
        <w:rPr>
          <w:rFonts w:ascii="Arial" w:hAnsi="Arial" w:cs="Arial"/>
          <w:bCs/>
          <w:sz w:val="22"/>
          <w:lang w:val="es-ES_tradnl"/>
        </w:rPr>
        <w:t>Ahora, para responder su consulta, es pertinente analizar el quinto evento</w:t>
      </w:r>
      <w:r w:rsidRPr="001226A1">
        <w:rPr>
          <w:rFonts w:ascii="Arial" w:hAnsi="Arial" w:cs="Arial"/>
          <w:bCs/>
          <w:i/>
          <w:sz w:val="22"/>
          <w:lang w:val="es-ES_tradnl"/>
        </w:rPr>
        <w:t xml:space="preserve"> </w:t>
      </w:r>
      <w:r w:rsidRPr="001226A1">
        <w:rPr>
          <w:rFonts w:ascii="Arial" w:hAnsi="Arial" w:cs="Arial"/>
          <w:bCs/>
          <w:iCs/>
          <w:sz w:val="22"/>
          <w:lang w:val="es-ES_tradnl"/>
        </w:rPr>
        <w:t xml:space="preserve">exceptuado de la prohibición, relacionado con la contratación por parte de las </w:t>
      </w:r>
      <w:r w:rsidRPr="001226A1">
        <w:rPr>
          <w:rFonts w:ascii="Arial" w:hAnsi="Arial" w:cs="Arial"/>
          <w:bCs/>
          <w:sz w:val="22"/>
          <w:lang w:val="es-ES_tradnl"/>
        </w:rPr>
        <w:t>entidades sanitarias y hospitalarias, a efectos de determinar si la excepción referida es aplicable a los contratos suscritos por l</w:t>
      </w:r>
      <w:r w:rsidR="006A662B" w:rsidRPr="001226A1">
        <w:rPr>
          <w:rFonts w:ascii="Arial" w:hAnsi="Arial" w:cs="Arial"/>
          <w:bCs/>
          <w:sz w:val="22"/>
          <w:lang w:val="es-ES_tradnl"/>
        </w:rPr>
        <w:t>os departamentos</w:t>
      </w:r>
      <w:r w:rsidRPr="001226A1">
        <w:rPr>
          <w:rFonts w:ascii="Arial" w:hAnsi="Arial" w:cs="Arial"/>
          <w:bCs/>
          <w:sz w:val="22"/>
          <w:lang w:val="es-ES_tradnl"/>
        </w:rPr>
        <w:t xml:space="preserve">. La respuesta es negativa teniendo en cuenta que el artículo 94 de la Ley 100 de 1993 señaló que, </w:t>
      </w:r>
      <w:r w:rsidRPr="001226A1">
        <w:rPr>
          <w:rFonts w:ascii="Arial" w:hAnsi="Arial" w:cs="Arial"/>
          <w:bCs/>
          <w:sz w:val="22"/>
          <w:lang w:val="es-ES_tradnl" w:eastAsia="es-CO"/>
        </w:rPr>
        <w:t>«</w:t>
      </w:r>
      <w:r w:rsidRPr="001226A1">
        <w:rPr>
          <w:rFonts w:ascii="Arial" w:hAnsi="Arial" w:cs="Arial"/>
          <w:bCs/>
          <w:sz w:val="22"/>
          <w:lang w:val="es-ES_tradnl"/>
        </w:rPr>
        <w:t>l</w:t>
      </w:r>
      <w:r w:rsidRPr="001226A1">
        <w:rPr>
          <w:rFonts w:ascii="Arial" w:hAnsi="Arial" w:cs="Arial"/>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1226A1">
        <w:rPr>
          <w:rFonts w:ascii="Arial" w:hAnsi="Arial" w:cs="Arial"/>
          <w:bCs/>
          <w:sz w:val="22"/>
          <w:lang w:val="es-ES_tradnl" w:eastAsia="es-CO"/>
        </w:rPr>
        <w:t>»</w:t>
      </w:r>
      <w:r w:rsidRPr="001226A1">
        <w:rPr>
          <w:rFonts w:ascii="Arial" w:hAnsi="Arial" w:cs="Arial"/>
          <w:sz w:val="22"/>
          <w:lang w:val="es-ES_tradnl"/>
        </w:rPr>
        <w:t xml:space="preserve">. </w:t>
      </w:r>
    </w:p>
    <w:p w14:paraId="591A216F" w14:textId="77777777" w:rsidR="00366167" w:rsidRPr="001226A1" w:rsidRDefault="00366167" w:rsidP="006A662B">
      <w:pPr>
        <w:tabs>
          <w:tab w:val="left" w:pos="426"/>
        </w:tabs>
        <w:spacing w:before="120" w:line="276" w:lineRule="auto"/>
        <w:ind w:firstLine="709"/>
        <w:jc w:val="both"/>
        <w:rPr>
          <w:rFonts w:ascii="Arial" w:hAnsi="Arial" w:cs="Arial"/>
          <w:sz w:val="22"/>
        </w:rPr>
      </w:pPr>
      <w:r w:rsidRPr="001226A1">
        <w:rPr>
          <w:rFonts w:ascii="Arial" w:hAnsi="Arial" w:cs="Arial"/>
          <w:sz w:val="22"/>
          <w:lang w:val="es-ES_tradnl"/>
        </w:rPr>
        <w:t>Es decir que, a partir de la entrada en vigencia de la Ley 100 de 1993, las Empresas Sociales del Estado son las entidades públicas que tienen a su cargo la prestación de servicios de salud de manera directa. Igualmente, el artículo 197 de la misma disposición</w:t>
      </w:r>
      <w:r w:rsidRPr="001226A1">
        <w:rPr>
          <w:rStyle w:val="Refdenotaalpie"/>
          <w:rFonts w:ascii="Arial" w:hAnsi="Arial" w:cs="Arial"/>
          <w:sz w:val="22"/>
          <w:lang w:val="es-ES_tradnl"/>
        </w:rPr>
        <w:footnoteReference w:id="26"/>
      </w:r>
      <w:r w:rsidRPr="001226A1">
        <w:rPr>
          <w:rFonts w:ascii="Arial" w:hAnsi="Arial" w:cs="Arial"/>
          <w:sz w:val="22"/>
          <w:lang w:val="es-ES_tradnl"/>
        </w:rPr>
        <w:t xml:space="preserve"> otorgó un término de 6 meses a las entidades territoriales prestadoras del servicio de salud para restructurarlas en Empresas Sociales del Estado. </w:t>
      </w:r>
    </w:p>
    <w:p w14:paraId="5A81733E" w14:textId="1F154A0F" w:rsidR="00366167" w:rsidRPr="001226A1" w:rsidRDefault="00366167" w:rsidP="006A662B">
      <w:pPr>
        <w:tabs>
          <w:tab w:val="left" w:pos="426"/>
        </w:tabs>
        <w:spacing w:before="120" w:line="276" w:lineRule="auto"/>
        <w:ind w:firstLine="709"/>
        <w:jc w:val="both"/>
        <w:rPr>
          <w:rFonts w:ascii="Arial" w:hAnsi="Arial" w:cs="Arial"/>
          <w:sz w:val="22"/>
          <w:lang w:val="es-ES_tradnl"/>
        </w:rPr>
      </w:pPr>
      <w:r w:rsidRPr="001226A1">
        <w:rPr>
          <w:rFonts w:ascii="Arial" w:hAnsi="Arial" w:cs="Arial"/>
          <w:sz w:val="22"/>
          <w:lang w:val="es-ES_tradnl"/>
        </w:rPr>
        <w:t>De lo anterior se desprende que, bajo la Ley 100 de 1993, dentro de la estructura de la administración pública las entidades encarga</w:t>
      </w:r>
      <w:r w:rsidR="00DB2711" w:rsidRPr="001226A1">
        <w:rPr>
          <w:rFonts w:ascii="Arial" w:hAnsi="Arial" w:cs="Arial"/>
          <w:sz w:val="22"/>
          <w:lang w:val="es-ES_tradnl"/>
        </w:rPr>
        <w:t>da</w:t>
      </w:r>
      <w:r w:rsidRPr="001226A1">
        <w:rPr>
          <w:rFonts w:ascii="Arial" w:hAnsi="Arial" w:cs="Arial"/>
          <w:sz w:val="22"/>
          <w:lang w:val="es-ES_tradnl"/>
        </w:rPr>
        <w:t>s de prestar el servicio de salud de manera directa son las Empresas Sociales del Estado, no l</w:t>
      </w:r>
      <w:r w:rsidR="006A662B" w:rsidRPr="001226A1">
        <w:rPr>
          <w:rFonts w:ascii="Arial" w:hAnsi="Arial" w:cs="Arial"/>
          <w:sz w:val="22"/>
          <w:lang w:val="es-ES_tradnl"/>
        </w:rPr>
        <w:t>os departamentos</w:t>
      </w:r>
      <w:r w:rsidRPr="001226A1">
        <w:rPr>
          <w:rFonts w:ascii="Arial" w:hAnsi="Arial" w:cs="Arial"/>
          <w:sz w:val="22"/>
          <w:lang w:val="es-ES_tradnl"/>
        </w:rPr>
        <w:t xml:space="preserve">.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332EFC26" w14:textId="77777777" w:rsidR="00366167" w:rsidRPr="001226A1" w:rsidRDefault="00366167" w:rsidP="006A662B">
      <w:pPr>
        <w:tabs>
          <w:tab w:val="left" w:pos="426"/>
        </w:tabs>
        <w:spacing w:before="120" w:line="276" w:lineRule="auto"/>
        <w:ind w:firstLine="709"/>
        <w:jc w:val="both"/>
        <w:rPr>
          <w:rFonts w:ascii="Arial" w:hAnsi="Arial" w:cs="Arial"/>
          <w:sz w:val="22"/>
          <w:lang w:val="es-ES_tradnl"/>
        </w:rPr>
      </w:pPr>
      <w:r w:rsidRPr="001226A1">
        <w:rPr>
          <w:rFonts w:ascii="Arial" w:hAnsi="Arial" w:cs="Arial"/>
          <w:sz w:val="22"/>
          <w:lang w:val="es-ES_tradnl"/>
        </w:rPr>
        <w:lastRenderedPageBreak/>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2C8C037D" w14:textId="1C7AEF15" w:rsidR="00366167" w:rsidRPr="001226A1" w:rsidRDefault="00386CCC" w:rsidP="006A662B">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E</w:t>
      </w:r>
      <w:r w:rsidR="00366167" w:rsidRPr="001226A1">
        <w:rPr>
          <w:rFonts w:ascii="Arial" w:hAnsi="Arial" w:cs="Arial"/>
          <w:bCs/>
          <w:sz w:val="22"/>
          <w:lang w:val="es-ES_tradnl"/>
        </w:rPr>
        <w:t xml:space="preserv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Ley de Garantías Electorales, frente a las entidades sanitarias y hospitalarias, puso de presente el retardo en el proceso de reestructuración mencionado en la Ley 100 de 1993, así: </w:t>
      </w:r>
    </w:p>
    <w:p w14:paraId="05A108BC" w14:textId="77777777" w:rsidR="006A662B" w:rsidRPr="001226A1" w:rsidRDefault="006A662B" w:rsidP="006A662B">
      <w:pPr>
        <w:tabs>
          <w:tab w:val="left" w:pos="426"/>
        </w:tabs>
        <w:spacing w:line="276" w:lineRule="auto"/>
        <w:ind w:firstLine="709"/>
        <w:jc w:val="both"/>
        <w:rPr>
          <w:rFonts w:ascii="Arial" w:hAnsi="Arial" w:cs="Arial"/>
          <w:bCs/>
          <w:sz w:val="22"/>
          <w:lang w:val="es-ES_tradnl"/>
        </w:rPr>
      </w:pPr>
    </w:p>
    <w:p w14:paraId="126EA968" w14:textId="0DD8D5B6" w:rsidR="00366167" w:rsidRPr="001226A1" w:rsidRDefault="00366167" w:rsidP="006A662B">
      <w:pPr>
        <w:tabs>
          <w:tab w:val="left" w:pos="426"/>
        </w:tabs>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se encuentran cubiertos por la excepción contemplada en el inciso 2 del artículo 33 de la Ley de Garantías Electorales, las entidades hospitalarias que a la luz de las normas vigentes </w:t>
      </w:r>
      <w:r w:rsidRPr="001226A1">
        <w:rPr>
          <w:rFonts w:ascii="Arial" w:hAnsi="Arial" w:cs="Arial"/>
          <w:i/>
          <w:iCs/>
          <w:sz w:val="21"/>
          <w:szCs w:val="21"/>
          <w:shd w:val="clear" w:color="auto" w:fill="FFFFFF"/>
          <w:lang w:val="es-ES_tradnl"/>
        </w:rPr>
        <w:t xml:space="preserve">no son otras distintas que las Empresas Sociales del estado y todas aquellas instituciones públicas </w:t>
      </w:r>
      <w:proofErr w:type="gramStart"/>
      <w:r w:rsidRPr="001226A1">
        <w:rPr>
          <w:rFonts w:ascii="Arial" w:hAnsi="Arial" w:cs="Arial"/>
          <w:i/>
          <w:iCs/>
          <w:sz w:val="21"/>
          <w:szCs w:val="21"/>
          <w:shd w:val="clear" w:color="auto" w:fill="FFFFFF"/>
          <w:lang w:val="es-ES_tradnl"/>
        </w:rPr>
        <w:t>que</w:t>
      </w:r>
      <w:proofErr w:type="gramEnd"/>
      <w:r w:rsidRPr="001226A1">
        <w:rPr>
          <w:rFonts w:ascii="Arial" w:hAnsi="Arial" w:cs="Arial"/>
          <w:i/>
          <w:iCs/>
          <w:sz w:val="21"/>
          <w:szCs w:val="21"/>
          <w:shd w:val="clear" w:color="auto" w:fill="FFFFFF"/>
          <w:lang w:val="es-ES_tradnl"/>
        </w:rPr>
        <w:t xml:space="preserve"> a pesar de no haberse transformado en Empresas Sociales del Estado, prestan un servicio de salud directo sobre el usuario en su carácter general de entidad hospitalaria</w:t>
      </w:r>
      <w:r w:rsidRPr="001226A1">
        <w:rPr>
          <w:rFonts w:ascii="Arial" w:hAnsi="Arial" w:cs="Arial"/>
          <w:sz w:val="21"/>
          <w:szCs w:val="21"/>
          <w:shd w:val="clear" w:color="auto" w:fill="FFFFFF"/>
          <w:lang w:val="es-ES_tradnl"/>
        </w:rPr>
        <w:t xml:space="preserve"> […]. (Énfasis fuera de texto) </w:t>
      </w:r>
    </w:p>
    <w:p w14:paraId="528B708C" w14:textId="77777777" w:rsidR="006A662B" w:rsidRPr="001226A1" w:rsidRDefault="006A662B" w:rsidP="00366167">
      <w:pPr>
        <w:tabs>
          <w:tab w:val="left" w:pos="426"/>
        </w:tabs>
        <w:spacing w:line="276" w:lineRule="auto"/>
        <w:ind w:left="709" w:right="709"/>
        <w:jc w:val="both"/>
        <w:rPr>
          <w:rFonts w:ascii="Arial" w:hAnsi="Arial" w:cs="Arial"/>
          <w:bCs/>
          <w:sz w:val="21"/>
          <w:szCs w:val="21"/>
          <w:lang w:val="es-ES_tradnl"/>
        </w:rPr>
      </w:pPr>
    </w:p>
    <w:p w14:paraId="3A65A9D6" w14:textId="6FC528B2" w:rsidR="00366167" w:rsidRPr="001226A1" w:rsidRDefault="00366167" w:rsidP="00366167">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Del aparte tra</w:t>
      </w:r>
      <w:r w:rsidR="005C45B8" w:rsidRPr="001226A1">
        <w:rPr>
          <w:rFonts w:ascii="Arial" w:hAnsi="Arial" w:cs="Arial"/>
          <w:bCs/>
          <w:sz w:val="22"/>
          <w:lang w:val="es-ES_tradnl"/>
        </w:rPr>
        <w:t>n</w:t>
      </w:r>
      <w:r w:rsidRPr="001226A1">
        <w:rPr>
          <w:rFonts w:ascii="Arial" w:hAnsi="Arial" w:cs="Arial"/>
          <w:bCs/>
          <w:sz w:val="22"/>
          <w:lang w:val="es-ES_tradnl"/>
        </w:rPr>
        <w:t xml:space="preserve">scrito se encuentra que, 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1F8CACD7" w14:textId="77777777" w:rsidR="002F0D3F" w:rsidRPr="001226A1" w:rsidRDefault="00366167" w:rsidP="002E68C4">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Por tanto, las Empresas Sociales del Estado podrían suscribir contratos bajo la modalidad de contratación directa, porque el inciso segundo del artículo 33 de la </w:t>
      </w:r>
      <w:r w:rsidR="004C107A" w:rsidRPr="001226A1">
        <w:rPr>
          <w:rFonts w:ascii="Arial" w:hAnsi="Arial" w:cs="Arial"/>
          <w:bCs/>
          <w:sz w:val="22"/>
          <w:lang w:val="es-ES_tradnl"/>
        </w:rPr>
        <w:t>L</w:t>
      </w:r>
      <w:r w:rsidRPr="001226A1">
        <w:rPr>
          <w:rFonts w:ascii="Arial" w:hAnsi="Arial" w:cs="Arial"/>
          <w:bCs/>
          <w:sz w:val="22"/>
          <w:lang w:val="es-ES_tradnl"/>
        </w:rPr>
        <w:t xml:space="preserve">ey </w:t>
      </w:r>
      <w:r w:rsidR="004C107A" w:rsidRPr="001226A1">
        <w:rPr>
          <w:rFonts w:ascii="Arial" w:hAnsi="Arial" w:cs="Arial"/>
          <w:bCs/>
          <w:sz w:val="22"/>
          <w:lang w:val="es-ES_tradnl"/>
        </w:rPr>
        <w:t>996 de 2005 e</w:t>
      </w:r>
      <w:r w:rsidRPr="001226A1">
        <w:rPr>
          <w:rFonts w:ascii="Arial" w:hAnsi="Arial" w:cs="Arial"/>
          <w:bCs/>
          <w:sz w:val="22"/>
          <w:lang w:val="es-ES_tradnl"/>
        </w:rPr>
        <w:t>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Sin embargo, esta idea no se extiende a l</w:t>
      </w:r>
      <w:r w:rsidR="00582ABC" w:rsidRPr="001226A1">
        <w:rPr>
          <w:rFonts w:ascii="Arial" w:hAnsi="Arial" w:cs="Arial"/>
          <w:bCs/>
          <w:sz w:val="22"/>
          <w:lang w:val="es-ES_tradnl"/>
        </w:rPr>
        <w:t>os departamentos</w:t>
      </w:r>
      <w:r w:rsidRPr="001226A1">
        <w:rPr>
          <w:rFonts w:ascii="Arial" w:hAnsi="Arial" w:cs="Arial"/>
          <w:bCs/>
          <w:sz w:val="22"/>
          <w:lang w:val="es-ES_tradnl"/>
        </w:rPr>
        <w:t xml:space="preserve">, por las razones explicadas </w:t>
      </w:r>
      <w:r w:rsidRPr="001226A1">
        <w:rPr>
          <w:rFonts w:ascii="Arial" w:hAnsi="Arial" w:cs="Arial"/>
          <w:bCs/>
          <w:i/>
          <w:iCs/>
          <w:sz w:val="22"/>
          <w:lang w:val="es-ES_tradnl"/>
        </w:rPr>
        <w:t>ut supra</w:t>
      </w:r>
      <w:r w:rsidRPr="001226A1">
        <w:rPr>
          <w:rFonts w:ascii="Arial" w:hAnsi="Arial" w:cs="Arial"/>
          <w:bCs/>
          <w:sz w:val="22"/>
          <w:lang w:val="es-ES_tradnl"/>
        </w:rPr>
        <w:t>.</w:t>
      </w:r>
      <w:r w:rsidR="00237AB5" w:rsidRPr="001226A1">
        <w:rPr>
          <w:rFonts w:ascii="Arial" w:hAnsi="Arial" w:cs="Arial"/>
          <w:bCs/>
          <w:sz w:val="22"/>
          <w:lang w:val="es-ES_tradnl"/>
        </w:rPr>
        <w:t xml:space="preserve"> </w:t>
      </w:r>
    </w:p>
    <w:p w14:paraId="053DE6D3" w14:textId="4BA8A347" w:rsidR="00F80AFD" w:rsidRPr="001226A1" w:rsidRDefault="002409ED" w:rsidP="002E68C4">
      <w:pPr>
        <w:tabs>
          <w:tab w:val="left" w:pos="426"/>
        </w:tabs>
        <w:spacing w:before="120" w:line="276" w:lineRule="auto"/>
        <w:ind w:firstLine="709"/>
        <w:jc w:val="both"/>
        <w:rPr>
          <w:rFonts w:ascii="Arial" w:hAnsi="Arial" w:cs="Arial"/>
          <w:bCs/>
          <w:sz w:val="22"/>
          <w:lang w:val="es-ES_tradnl"/>
        </w:rPr>
      </w:pPr>
      <w:r w:rsidRPr="001226A1">
        <w:rPr>
          <w:rFonts w:ascii="Arial" w:hAnsi="Arial" w:cs="Arial"/>
          <w:bCs/>
          <w:sz w:val="22"/>
          <w:lang w:val="es-ES_tradnl"/>
        </w:rPr>
        <w:t xml:space="preserve">En tal sentido, </w:t>
      </w:r>
      <w:r w:rsidR="004E3687" w:rsidRPr="001226A1">
        <w:rPr>
          <w:rFonts w:ascii="Arial" w:hAnsi="Arial" w:cs="Arial"/>
          <w:bCs/>
          <w:sz w:val="22"/>
          <w:lang w:val="es-ES_tradnl"/>
        </w:rPr>
        <w:t xml:space="preserve">debido a que los departamentos </w:t>
      </w:r>
      <w:r w:rsidRPr="001226A1">
        <w:rPr>
          <w:rFonts w:ascii="Arial" w:hAnsi="Arial" w:cs="Arial"/>
          <w:bCs/>
          <w:sz w:val="22"/>
          <w:lang w:val="es-ES_tradnl"/>
        </w:rPr>
        <w:t>no son entidades hospitalarias y no prestan un servicio de salud directo sobre el usuario</w:t>
      </w:r>
      <w:r w:rsidR="002E68C4" w:rsidRPr="001226A1">
        <w:rPr>
          <w:rFonts w:ascii="Arial" w:hAnsi="Arial" w:cs="Arial"/>
          <w:bCs/>
          <w:sz w:val="22"/>
          <w:lang w:val="es-ES_tradnl"/>
        </w:rPr>
        <w:t>,</w:t>
      </w:r>
      <w:r w:rsidR="00F80AFD" w:rsidRPr="001226A1">
        <w:rPr>
          <w:rFonts w:ascii="Arial" w:hAnsi="Arial" w:cs="Arial"/>
          <w:bCs/>
          <w:sz w:val="22"/>
          <w:lang w:val="es-ES_tradnl"/>
        </w:rPr>
        <w:t xml:space="preserve"> </w:t>
      </w:r>
      <w:r w:rsidRPr="001226A1">
        <w:rPr>
          <w:rFonts w:ascii="Arial" w:hAnsi="Arial" w:cs="Arial"/>
          <w:bCs/>
          <w:sz w:val="22"/>
          <w:lang w:val="es-ES_tradnl"/>
        </w:rPr>
        <w:t xml:space="preserve">no </w:t>
      </w:r>
      <w:r w:rsidR="007625B1" w:rsidRPr="001226A1">
        <w:rPr>
          <w:rFonts w:ascii="Arial" w:hAnsi="Arial" w:cs="Arial"/>
          <w:bCs/>
          <w:sz w:val="22"/>
          <w:lang w:val="es-ES_tradnl"/>
        </w:rPr>
        <w:t>estarían cobijados por la excepción del inciso segundo del artículo 33 de la Ley 996 de 20015 relacionada con las entidades hospitalarias</w:t>
      </w:r>
      <w:r w:rsidR="00F80AFD" w:rsidRPr="001226A1">
        <w:rPr>
          <w:rFonts w:ascii="Arial" w:hAnsi="Arial" w:cs="Arial"/>
          <w:bCs/>
          <w:sz w:val="22"/>
          <w:lang w:val="es-ES_tradnl"/>
        </w:rPr>
        <w:t xml:space="preserve"> y, por tanto, no pueden suscribir contratos de manera directa. </w:t>
      </w:r>
      <w:r w:rsidR="002E68C4" w:rsidRPr="001226A1">
        <w:rPr>
          <w:rFonts w:ascii="Arial" w:hAnsi="Arial" w:cs="Arial"/>
          <w:bCs/>
          <w:sz w:val="22"/>
          <w:lang w:val="es-ES_tradnl"/>
        </w:rPr>
        <w:t>Así</w:t>
      </w:r>
      <w:r w:rsidR="001A0B80" w:rsidRPr="001226A1">
        <w:rPr>
          <w:rFonts w:ascii="Arial" w:hAnsi="Arial" w:cs="Arial"/>
          <w:bCs/>
          <w:sz w:val="22"/>
          <w:lang w:val="es-ES_tradnl"/>
        </w:rPr>
        <w:t>,</w:t>
      </w:r>
      <w:r w:rsidR="00F80AFD" w:rsidRPr="001226A1">
        <w:rPr>
          <w:rFonts w:ascii="Arial" w:hAnsi="Arial" w:cs="Arial"/>
          <w:bCs/>
          <w:sz w:val="22"/>
          <w:lang w:val="es-ES_tradnl"/>
        </w:rPr>
        <w:t xml:space="preserve"> </w:t>
      </w:r>
      <w:r w:rsidR="001A0B80" w:rsidRPr="001226A1">
        <w:rPr>
          <w:rFonts w:ascii="Arial" w:hAnsi="Arial" w:cs="Arial"/>
          <w:bCs/>
          <w:sz w:val="22"/>
          <w:lang w:val="es-ES_tradnl"/>
        </w:rPr>
        <w:t xml:space="preserve">aunque la </w:t>
      </w:r>
      <w:r w:rsidR="001A0B80" w:rsidRPr="001226A1">
        <w:rPr>
          <w:rFonts w:ascii="Arial" w:hAnsi="Arial" w:cs="Arial"/>
          <w:bCs/>
          <w:sz w:val="22"/>
          <w:lang w:val="es-ES_tradnl"/>
        </w:rPr>
        <w:lastRenderedPageBreak/>
        <w:t xml:space="preserve">ESE esta exceptuada de la prohibición del inciso segundo del artículo 33, </w:t>
      </w:r>
      <w:r w:rsidR="002E68C4" w:rsidRPr="001226A1">
        <w:rPr>
          <w:rFonts w:ascii="Arial" w:hAnsi="Arial" w:cs="Arial"/>
          <w:bCs/>
          <w:sz w:val="22"/>
          <w:lang w:val="es-ES_tradnl"/>
        </w:rPr>
        <w:t xml:space="preserve">no podría celebrar contrato </w:t>
      </w:r>
      <w:r w:rsidR="00891071" w:rsidRPr="001226A1">
        <w:rPr>
          <w:rFonts w:ascii="Arial" w:hAnsi="Arial" w:cs="Arial"/>
          <w:bCs/>
          <w:sz w:val="22"/>
          <w:lang w:val="es-ES_tradnl"/>
        </w:rPr>
        <w:t xml:space="preserve">directo </w:t>
      </w:r>
      <w:r w:rsidR="002E68C4" w:rsidRPr="001226A1">
        <w:rPr>
          <w:rFonts w:ascii="Arial" w:hAnsi="Arial" w:cs="Arial"/>
          <w:bCs/>
          <w:sz w:val="22"/>
          <w:lang w:val="es-ES_tradnl"/>
        </w:rPr>
        <w:t xml:space="preserve">con el departamento, en la medida en que a este último si </w:t>
      </w:r>
      <w:r w:rsidR="001A0B80" w:rsidRPr="001226A1">
        <w:rPr>
          <w:rFonts w:ascii="Arial" w:hAnsi="Arial" w:cs="Arial"/>
          <w:bCs/>
          <w:sz w:val="22"/>
          <w:lang w:val="es-ES_tradnl"/>
        </w:rPr>
        <w:t>le aplica la prohibición de dich</w:t>
      </w:r>
      <w:r w:rsidR="00891071" w:rsidRPr="001226A1">
        <w:rPr>
          <w:rFonts w:ascii="Arial" w:hAnsi="Arial" w:cs="Arial"/>
          <w:bCs/>
          <w:sz w:val="22"/>
          <w:lang w:val="es-ES_tradnl"/>
        </w:rPr>
        <w:t>a</w:t>
      </w:r>
      <w:r w:rsidR="001A0B80" w:rsidRPr="001226A1">
        <w:rPr>
          <w:rFonts w:ascii="Arial" w:hAnsi="Arial" w:cs="Arial"/>
          <w:bCs/>
          <w:sz w:val="22"/>
          <w:lang w:val="es-ES_tradnl"/>
        </w:rPr>
        <w:t xml:space="preserve"> </w:t>
      </w:r>
      <w:r w:rsidR="00891071" w:rsidRPr="001226A1">
        <w:rPr>
          <w:rFonts w:ascii="Arial" w:hAnsi="Arial" w:cs="Arial"/>
          <w:bCs/>
          <w:sz w:val="22"/>
          <w:lang w:val="es-ES_tradnl"/>
        </w:rPr>
        <w:t>norma</w:t>
      </w:r>
      <w:r w:rsidR="001A0B80" w:rsidRPr="001226A1">
        <w:rPr>
          <w:rFonts w:ascii="Arial" w:hAnsi="Arial" w:cs="Arial"/>
          <w:bCs/>
          <w:sz w:val="22"/>
          <w:lang w:val="es-ES_tradnl"/>
        </w:rPr>
        <w:t xml:space="preserve">. </w:t>
      </w:r>
    </w:p>
    <w:p w14:paraId="741F5D8C" w14:textId="3A93F2E3" w:rsidR="005934D7" w:rsidRPr="001226A1" w:rsidRDefault="004E3687" w:rsidP="005934D7">
      <w:pPr>
        <w:spacing w:before="120" w:line="276" w:lineRule="auto"/>
        <w:ind w:firstLine="709"/>
        <w:jc w:val="both"/>
        <w:rPr>
          <w:rFonts w:ascii="Arial" w:eastAsia="Arial" w:hAnsi="Arial" w:cs="Arial"/>
          <w:bCs/>
          <w:sz w:val="22"/>
          <w:szCs w:val="22"/>
        </w:rPr>
      </w:pPr>
      <w:r w:rsidRPr="001226A1">
        <w:rPr>
          <w:rFonts w:ascii="Arial" w:eastAsia="Arial" w:hAnsi="Arial" w:cs="Arial"/>
          <w:bCs/>
          <w:sz w:val="22"/>
          <w:szCs w:val="22"/>
        </w:rPr>
        <w:t>De igual manera</w:t>
      </w:r>
      <w:r w:rsidR="00296708" w:rsidRPr="001226A1">
        <w:rPr>
          <w:rFonts w:ascii="Arial" w:eastAsia="Arial" w:hAnsi="Arial" w:cs="Arial"/>
          <w:bCs/>
          <w:sz w:val="22"/>
          <w:szCs w:val="22"/>
        </w:rPr>
        <w:t xml:space="preserve">, conviene diferenciar los conceptos de entidad sanitaria y autoridad sanitara. En efecto, </w:t>
      </w:r>
      <w:r w:rsidR="00366167" w:rsidRPr="001226A1">
        <w:rPr>
          <w:rFonts w:ascii="Arial" w:eastAsia="Arial" w:hAnsi="Arial" w:cs="Arial"/>
          <w:bCs/>
          <w:sz w:val="22"/>
          <w:szCs w:val="22"/>
        </w:rPr>
        <w:t xml:space="preserve">el artículo 2.8.8.1.1.3 del </w:t>
      </w:r>
      <w:r w:rsidR="00575201" w:rsidRPr="001226A1">
        <w:rPr>
          <w:rFonts w:ascii="Arial" w:eastAsia="Arial" w:hAnsi="Arial" w:cs="Arial"/>
          <w:bCs/>
          <w:sz w:val="22"/>
          <w:szCs w:val="22"/>
        </w:rPr>
        <w:t>D</w:t>
      </w:r>
      <w:r w:rsidR="00366167" w:rsidRPr="001226A1">
        <w:rPr>
          <w:rFonts w:ascii="Arial" w:eastAsia="Arial" w:hAnsi="Arial" w:cs="Arial"/>
          <w:bCs/>
          <w:sz w:val="22"/>
          <w:szCs w:val="22"/>
        </w:rPr>
        <w:t>ecreto 780 de 2016</w:t>
      </w:r>
      <w:r w:rsidR="00D500C4" w:rsidRPr="001226A1">
        <w:rPr>
          <w:rFonts w:ascii="Arial" w:eastAsia="Arial" w:hAnsi="Arial" w:cs="Arial"/>
          <w:bCs/>
          <w:sz w:val="22"/>
          <w:szCs w:val="22"/>
        </w:rPr>
        <w:t>,</w:t>
      </w:r>
      <w:r w:rsidR="00366167" w:rsidRPr="001226A1">
        <w:rPr>
          <w:rFonts w:ascii="Arial" w:eastAsia="Arial" w:hAnsi="Arial" w:cs="Arial"/>
          <w:bCs/>
          <w:sz w:val="22"/>
          <w:szCs w:val="22"/>
        </w:rPr>
        <w:t xml:space="preserve"> </w:t>
      </w:r>
      <w:r w:rsidR="00237AB5" w:rsidRPr="001226A1">
        <w:rPr>
          <w:rFonts w:ascii="Arial" w:eastAsia="Arial" w:hAnsi="Arial" w:cs="Arial"/>
          <w:bCs/>
          <w:sz w:val="22"/>
          <w:szCs w:val="22"/>
        </w:rPr>
        <w:t>«Por medio del cual se expide el Decreto Único Reglamentario del Sector Salud y Protección Social»</w:t>
      </w:r>
      <w:r w:rsidR="00D500C4" w:rsidRPr="001226A1">
        <w:rPr>
          <w:rFonts w:ascii="Arial" w:eastAsia="Arial" w:hAnsi="Arial" w:cs="Arial"/>
          <w:bCs/>
          <w:sz w:val="22"/>
          <w:szCs w:val="22"/>
        </w:rPr>
        <w:t>,</w:t>
      </w:r>
      <w:r w:rsidR="00237AB5" w:rsidRPr="001226A1">
        <w:rPr>
          <w:rFonts w:ascii="Arial" w:eastAsia="Arial" w:hAnsi="Arial" w:cs="Arial"/>
          <w:bCs/>
          <w:sz w:val="22"/>
          <w:szCs w:val="22"/>
        </w:rPr>
        <w:t xml:space="preserve"> </w:t>
      </w:r>
      <w:r w:rsidR="00366167" w:rsidRPr="001226A1">
        <w:rPr>
          <w:rFonts w:ascii="Arial" w:eastAsia="Arial" w:hAnsi="Arial" w:cs="Arial"/>
          <w:bCs/>
          <w:sz w:val="22"/>
          <w:szCs w:val="22"/>
        </w:rPr>
        <w:t xml:space="preserve">define las </w:t>
      </w:r>
      <w:r w:rsidR="00366167" w:rsidRPr="001226A1">
        <w:rPr>
          <w:rFonts w:ascii="Arial" w:eastAsia="Arial" w:hAnsi="Arial" w:cs="Arial"/>
          <w:bCs/>
          <w:i/>
          <w:iCs/>
          <w:sz w:val="22"/>
          <w:szCs w:val="22"/>
        </w:rPr>
        <w:t>entidades sanitarias</w:t>
      </w:r>
      <w:r w:rsidR="00366167" w:rsidRPr="001226A1">
        <w:rPr>
          <w:rFonts w:ascii="Arial" w:eastAsia="Arial" w:hAnsi="Arial" w:cs="Arial"/>
          <w:bCs/>
          <w:sz w:val="22"/>
          <w:szCs w:val="22"/>
        </w:rPr>
        <w:t xml:space="preserve"> como </w:t>
      </w:r>
      <w:bookmarkStart w:id="43" w:name="_Hlk93744348"/>
      <w:r w:rsidR="00366167" w:rsidRPr="001226A1">
        <w:rPr>
          <w:rFonts w:ascii="Arial" w:eastAsia="Arial" w:hAnsi="Arial" w:cs="Arial"/>
          <w:bCs/>
          <w:sz w:val="22"/>
          <w:szCs w:val="22"/>
        </w:rPr>
        <w:t>«</w:t>
      </w:r>
      <w:bookmarkEnd w:id="43"/>
      <w:r w:rsidR="00366167" w:rsidRPr="001226A1">
        <w:rPr>
          <w:rFonts w:ascii="Arial" w:eastAsia="Arial" w:hAnsi="Arial" w:cs="Arial"/>
          <w:bCs/>
          <w:sz w:val="22"/>
          <w:szCs w:val="22"/>
        </w:rPr>
        <w:t xml:space="preserve">Entidades del Estado que prestan servicios sanitarios o de sanidad con el propósito de preservar la salud humana y la salud pública». Si bien </w:t>
      </w:r>
      <w:r w:rsidR="00296708" w:rsidRPr="001226A1">
        <w:rPr>
          <w:rFonts w:ascii="Arial" w:eastAsia="Arial" w:hAnsi="Arial" w:cs="Arial"/>
          <w:bCs/>
          <w:sz w:val="22"/>
          <w:szCs w:val="22"/>
        </w:rPr>
        <w:t xml:space="preserve">los departamentos mediante sus </w:t>
      </w:r>
      <w:r w:rsidR="00366167" w:rsidRPr="001226A1">
        <w:rPr>
          <w:rFonts w:ascii="Arial" w:eastAsia="Arial" w:hAnsi="Arial" w:cs="Arial"/>
          <w:bCs/>
          <w:sz w:val="22"/>
          <w:szCs w:val="22"/>
        </w:rPr>
        <w:t>secretarias</w:t>
      </w:r>
      <w:r w:rsidR="00C37E19" w:rsidRPr="001226A1">
        <w:rPr>
          <w:rFonts w:ascii="Arial" w:eastAsia="Arial" w:hAnsi="Arial" w:cs="Arial"/>
          <w:bCs/>
          <w:sz w:val="22"/>
          <w:szCs w:val="22"/>
        </w:rPr>
        <w:t xml:space="preserve"> de</w:t>
      </w:r>
      <w:r w:rsidR="00366167" w:rsidRPr="001226A1">
        <w:rPr>
          <w:rFonts w:ascii="Arial" w:eastAsia="Arial" w:hAnsi="Arial" w:cs="Arial"/>
          <w:bCs/>
          <w:sz w:val="22"/>
          <w:szCs w:val="22"/>
        </w:rPr>
        <w:t xml:space="preserve"> salud juegan un rol importante en la materia, no prestan un servicio directo, pues coordinan las políticas de esta naturaleza desde un punto de vista administrativo para efectos del control y vigilancia. </w:t>
      </w:r>
      <w:r w:rsidR="00F128CF" w:rsidRPr="001226A1">
        <w:rPr>
          <w:rFonts w:ascii="Arial" w:eastAsia="Arial" w:hAnsi="Arial" w:cs="Arial"/>
          <w:bCs/>
          <w:sz w:val="22"/>
          <w:szCs w:val="22"/>
        </w:rPr>
        <w:t>Por ello</w:t>
      </w:r>
      <w:r w:rsidRPr="001226A1">
        <w:rPr>
          <w:rFonts w:ascii="Arial" w:eastAsia="Arial" w:hAnsi="Arial" w:cs="Arial"/>
          <w:bCs/>
          <w:sz w:val="22"/>
          <w:szCs w:val="22"/>
        </w:rPr>
        <w:t>, el artículo</w:t>
      </w:r>
      <w:r w:rsidR="007D4810" w:rsidRPr="001226A1">
        <w:rPr>
          <w:rFonts w:ascii="Arial" w:eastAsia="Arial" w:hAnsi="Arial" w:cs="Arial"/>
          <w:bCs/>
          <w:sz w:val="22"/>
          <w:szCs w:val="22"/>
        </w:rPr>
        <w:t xml:space="preserve"> citado también</w:t>
      </w:r>
      <w:r w:rsidRPr="001226A1">
        <w:rPr>
          <w:rFonts w:ascii="Arial" w:eastAsia="Arial" w:hAnsi="Arial" w:cs="Arial"/>
          <w:bCs/>
          <w:sz w:val="22"/>
          <w:szCs w:val="22"/>
        </w:rPr>
        <w:t xml:space="preserve"> </w:t>
      </w:r>
      <w:r w:rsidR="00366167" w:rsidRPr="001226A1">
        <w:rPr>
          <w:rFonts w:ascii="Arial" w:eastAsia="Arial" w:hAnsi="Arial" w:cs="Arial"/>
          <w:bCs/>
          <w:sz w:val="22"/>
          <w:szCs w:val="22"/>
        </w:rPr>
        <w:t xml:space="preserve">define las </w:t>
      </w:r>
      <w:r w:rsidR="00366167" w:rsidRPr="001226A1">
        <w:rPr>
          <w:rFonts w:ascii="Arial" w:eastAsia="Arial" w:hAnsi="Arial" w:cs="Arial"/>
          <w:bCs/>
          <w:i/>
          <w:iCs/>
          <w:sz w:val="22"/>
          <w:szCs w:val="22"/>
        </w:rPr>
        <w:t>autoridades sanitarias</w:t>
      </w:r>
      <w:r w:rsidR="00366167" w:rsidRPr="001226A1">
        <w:rPr>
          <w:rFonts w:ascii="Arial" w:eastAsia="Arial" w:hAnsi="Arial" w:cs="Arial"/>
          <w:bCs/>
          <w:sz w:val="22"/>
          <w:szCs w:val="22"/>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00366167" w:rsidRPr="001226A1">
        <w:rPr>
          <w:rStyle w:val="Refdenotaalpie"/>
          <w:rFonts w:ascii="Arial" w:eastAsia="Arial" w:hAnsi="Arial" w:cs="Arial"/>
          <w:bCs/>
          <w:sz w:val="22"/>
          <w:szCs w:val="22"/>
        </w:rPr>
        <w:footnoteReference w:id="27"/>
      </w:r>
      <w:r w:rsidR="00366167" w:rsidRPr="001226A1">
        <w:rPr>
          <w:rFonts w:ascii="Arial" w:eastAsia="Arial" w:hAnsi="Arial" w:cs="Arial"/>
          <w:bCs/>
          <w:sz w:val="22"/>
          <w:szCs w:val="22"/>
        </w:rPr>
        <w:t xml:space="preserve">. </w:t>
      </w:r>
      <w:r w:rsidR="005934D7" w:rsidRPr="001226A1">
        <w:rPr>
          <w:rFonts w:ascii="Arial" w:eastAsia="Arial" w:hAnsi="Arial" w:cs="Arial"/>
          <w:bCs/>
          <w:sz w:val="22"/>
          <w:szCs w:val="22"/>
        </w:rPr>
        <w:t xml:space="preserve">Sin embargo, es necesario tener en cuenta que la excepción del artículo 33 de la Ley de Garantías solo aplica a las </w:t>
      </w:r>
      <w:r w:rsidR="005934D7" w:rsidRPr="001226A1">
        <w:rPr>
          <w:rFonts w:ascii="Arial" w:eastAsia="Arial" w:hAnsi="Arial" w:cs="Arial"/>
          <w:bCs/>
          <w:i/>
          <w:iCs/>
          <w:sz w:val="22"/>
          <w:szCs w:val="22"/>
        </w:rPr>
        <w:t>entidades sanitarias</w:t>
      </w:r>
      <w:r w:rsidR="005934D7" w:rsidRPr="001226A1">
        <w:rPr>
          <w:rFonts w:ascii="Arial" w:eastAsia="Arial" w:hAnsi="Arial" w:cs="Arial"/>
          <w:bCs/>
          <w:sz w:val="22"/>
          <w:szCs w:val="22"/>
        </w:rPr>
        <w:t>, no a</w:t>
      </w:r>
      <w:r w:rsidR="005F61BC" w:rsidRPr="001226A1">
        <w:rPr>
          <w:rFonts w:ascii="Arial" w:eastAsia="Arial" w:hAnsi="Arial" w:cs="Arial"/>
          <w:bCs/>
          <w:sz w:val="22"/>
          <w:szCs w:val="22"/>
        </w:rPr>
        <w:t xml:space="preserve"> las</w:t>
      </w:r>
      <w:r w:rsidR="005934D7" w:rsidRPr="001226A1">
        <w:rPr>
          <w:rFonts w:ascii="Arial" w:eastAsia="Arial" w:hAnsi="Arial" w:cs="Arial"/>
          <w:bCs/>
          <w:sz w:val="22"/>
          <w:szCs w:val="22"/>
        </w:rPr>
        <w:t xml:space="preserve"> </w:t>
      </w:r>
      <w:r w:rsidR="005934D7" w:rsidRPr="001226A1">
        <w:rPr>
          <w:rFonts w:ascii="Arial" w:eastAsia="Arial" w:hAnsi="Arial" w:cs="Arial"/>
          <w:bCs/>
          <w:i/>
          <w:iCs/>
          <w:sz w:val="22"/>
          <w:szCs w:val="22"/>
        </w:rPr>
        <w:t>autoridades sanitarias</w:t>
      </w:r>
      <w:r w:rsidR="005934D7" w:rsidRPr="001226A1">
        <w:rPr>
          <w:rFonts w:ascii="Arial" w:eastAsia="Arial" w:hAnsi="Arial" w:cs="Arial"/>
          <w:bCs/>
          <w:sz w:val="22"/>
          <w:szCs w:val="22"/>
        </w:rPr>
        <w:t xml:space="preserve">. Por tanto, </w:t>
      </w:r>
      <w:r w:rsidR="00021E00" w:rsidRPr="001226A1">
        <w:rPr>
          <w:rFonts w:ascii="Arial" w:eastAsia="Arial" w:hAnsi="Arial" w:cs="Arial"/>
          <w:bCs/>
          <w:sz w:val="22"/>
          <w:szCs w:val="22"/>
        </w:rPr>
        <w:t xml:space="preserve">en caso en que </w:t>
      </w:r>
      <w:r w:rsidR="005934D7" w:rsidRPr="001226A1">
        <w:rPr>
          <w:rFonts w:ascii="Arial" w:eastAsia="Arial" w:hAnsi="Arial" w:cs="Arial"/>
          <w:bCs/>
          <w:sz w:val="22"/>
          <w:szCs w:val="22"/>
        </w:rPr>
        <w:t>los departamentos ejerzan funciones de autoridad sanitaria y no de entidades sanitarias tampoco estarían dentro de la excepción</w:t>
      </w:r>
      <w:r w:rsidR="00ED5D33" w:rsidRPr="001226A1">
        <w:rPr>
          <w:rFonts w:ascii="Arial" w:eastAsia="Arial" w:hAnsi="Arial" w:cs="Arial"/>
          <w:bCs/>
          <w:sz w:val="22"/>
          <w:szCs w:val="22"/>
        </w:rPr>
        <w:t xml:space="preserve">. </w:t>
      </w:r>
    </w:p>
    <w:p w14:paraId="4ECE99FB" w14:textId="3314AA78" w:rsidR="006A662B" w:rsidRPr="001226A1" w:rsidRDefault="005934D7" w:rsidP="005934D7">
      <w:pPr>
        <w:spacing w:before="120" w:line="276" w:lineRule="auto"/>
        <w:ind w:firstLine="709"/>
        <w:jc w:val="both"/>
        <w:rPr>
          <w:rFonts w:ascii="Arial" w:eastAsia="Arial" w:hAnsi="Arial" w:cs="Arial"/>
          <w:bCs/>
          <w:sz w:val="22"/>
          <w:szCs w:val="22"/>
          <w:lang w:val="es-ES_tradnl"/>
        </w:rPr>
      </w:pPr>
      <w:r w:rsidRPr="001226A1">
        <w:rPr>
          <w:rFonts w:ascii="Arial" w:eastAsia="Arial" w:hAnsi="Arial" w:cs="Arial"/>
          <w:bCs/>
          <w:sz w:val="22"/>
          <w:szCs w:val="22"/>
          <w:lang w:val="es-ES_tradnl"/>
        </w:rPr>
        <w:t xml:space="preserve">Así las cosas, para efectos de la excepción del artículo 33 es indiferente que la entidad estatal tenga funciones de </w:t>
      </w:r>
      <w:r w:rsidRPr="001226A1">
        <w:rPr>
          <w:rFonts w:ascii="Arial" w:eastAsia="Arial" w:hAnsi="Arial" w:cs="Arial"/>
          <w:bCs/>
          <w:i/>
          <w:iCs/>
          <w:sz w:val="22"/>
          <w:szCs w:val="22"/>
          <w:lang w:val="es-ES_tradnl"/>
        </w:rPr>
        <w:t>autoridad sanitaria</w:t>
      </w:r>
      <w:r w:rsidRPr="001226A1">
        <w:rPr>
          <w:rFonts w:ascii="Arial" w:eastAsia="Arial" w:hAnsi="Arial" w:cs="Arial"/>
          <w:bCs/>
          <w:sz w:val="22"/>
          <w:szCs w:val="22"/>
          <w:lang w:val="es-ES_tradnl"/>
        </w:rPr>
        <w:t>, pues lo relevante</w:t>
      </w:r>
      <w:r w:rsidR="00ED5D33" w:rsidRPr="001226A1">
        <w:rPr>
          <w:rFonts w:ascii="Arial" w:eastAsia="Arial" w:hAnsi="Arial" w:cs="Arial"/>
          <w:bCs/>
          <w:sz w:val="22"/>
          <w:szCs w:val="22"/>
          <w:lang w:val="es-ES_tradnl"/>
        </w:rPr>
        <w:t xml:space="preserve"> </w:t>
      </w:r>
      <w:r w:rsidRPr="001226A1">
        <w:rPr>
          <w:rFonts w:ascii="Arial" w:eastAsia="Arial" w:hAnsi="Arial" w:cs="Arial"/>
          <w:bCs/>
          <w:sz w:val="22"/>
          <w:szCs w:val="22"/>
          <w:lang w:val="es-ES_tradnl"/>
        </w:rPr>
        <w:t xml:space="preserve">para determinar si la contratación está exceptuada de la prohibición general </w:t>
      </w:r>
      <w:r w:rsidR="00ED5D33" w:rsidRPr="001226A1">
        <w:rPr>
          <w:rFonts w:ascii="Arial" w:eastAsia="Arial" w:hAnsi="Arial" w:cs="Arial"/>
          <w:bCs/>
          <w:sz w:val="22"/>
          <w:szCs w:val="22"/>
          <w:lang w:val="es-ES_tradnl"/>
        </w:rPr>
        <w:t xml:space="preserve">no </w:t>
      </w:r>
      <w:r w:rsidRPr="001226A1">
        <w:rPr>
          <w:rFonts w:ascii="Arial" w:eastAsia="Arial" w:hAnsi="Arial" w:cs="Arial"/>
          <w:bCs/>
          <w:sz w:val="22"/>
          <w:szCs w:val="22"/>
          <w:lang w:val="es-ES_tradnl"/>
        </w:rPr>
        <w:t xml:space="preserve">es el carácter de autoridad sanitaria, sino que se trate de una </w:t>
      </w:r>
      <w:r w:rsidRPr="001226A1">
        <w:rPr>
          <w:rFonts w:ascii="Arial" w:eastAsia="Arial" w:hAnsi="Arial" w:cs="Arial"/>
          <w:bCs/>
          <w:i/>
          <w:iCs/>
          <w:sz w:val="22"/>
          <w:szCs w:val="22"/>
          <w:lang w:val="es-ES_tradnl"/>
        </w:rPr>
        <w:t>entidad sanitaria</w:t>
      </w:r>
      <w:r w:rsidRPr="001226A1">
        <w:rPr>
          <w:rFonts w:ascii="Arial" w:eastAsia="Arial" w:hAnsi="Arial" w:cs="Arial"/>
          <w:bCs/>
          <w:sz w:val="22"/>
          <w:szCs w:val="22"/>
          <w:lang w:val="es-ES_tradnl"/>
        </w:rPr>
        <w:t>. Por lo demás, no corresponde a l</w:t>
      </w:r>
      <w:r w:rsidR="00DD79A9" w:rsidRPr="001226A1">
        <w:rPr>
          <w:rFonts w:ascii="Arial" w:eastAsia="Arial" w:hAnsi="Arial" w:cs="Arial"/>
          <w:bCs/>
          <w:sz w:val="22"/>
          <w:szCs w:val="22"/>
          <w:lang w:val="es-ES_tradnl"/>
        </w:rPr>
        <w:t xml:space="preserve">a competencia </w:t>
      </w:r>
      <w:r w:rsidRPr="001226A1">
        <w:rPr>
          <w:rFonts w:ascii="Arial" w:eastAsia="Arial" w:hAnsi="Arial" w:cs="Arial"/>
          <w:bCs/>
          <w:sz w:val="22"/>
          <w:szCs w:val="22"/>
          <w:lang w:val="es-ES_tradnl"/>
        </w:rPr>
        <w:t>de esta Agencia determinar si los departamentos cumplen funciones de autoridad sanitaria conforme a la Ley 715 de 2001</w:t>
      </w:r>
      <w:r w:rsidR="00434712" w:rsidRPr="001226A1">
        <w:rPr>
          <w:rFonts w:ascii="Arial" w:eastAsia="Arial" w:hAnsi="Arial" w:cs="Arial"/>
          <w:bCs/>
          <w:sz w:val="22"/>
          <w:szCs w:val="22"/>
          <w:lang w:val="es-ES_tradnl"/>
        </w:rPr>
        <w:t xml:space="preserve">, </w:t>
      </w:r>
      <w:r w:rsidR="00C123E6" w:rsidRPr="001226A1">
        <w:rPr>
          <w:rFonts w:ascii="Arial" w:eastAsia="Arial" w:hAnsi="Arial" w:cs="Arial"/>
          <w:bCs/>
          <w:sz w:val="22"/>
          <w:szCs w:val="22"/>
          <w:lang w:val="es-ES_tradnl"/>
        </w:rPr>
        <w:t>pues</w:t>
      </w:r>
      <w:r w:rsidR="00434712" w:rsidRPr="001226A1">
        <w:rPr>
          <w:rFonts w:ascii="Arial" w:eastAsia="Arial" w:hAnsi="Arial" w:cs="Arial"/>
          <w:bCs/>
          <w:sz w:val="22"/>
          <w:szCs w:val="22"/>
          <w:lang w:val="es-ES_tradnl"/>
        </w:rPr>
        <w:t xml:space="preserve"> la entidad conceptúa especialmente sobre las normas generales en materia de compras y contratación pública</w:t>
      </w:r>
      <w:r w:rsidRPr="001226A1">
        <w:rPr>
          <w:rFonts w:ascii="Arial" w:eastAsia="Arial" w:hAnsi="Arial" w:cs="Arial"/>
          <w:bCs/>
          <w:sz w:val="22"/>
          <w:szCs w:val="22"/>
          <w:lang w:val="es-ES_tradnl"/>
        </w:rPr>
        <w:t>.</w:t>
      </w:r>
    </w:p>
    <w:p w14:paraId="758F35D7" w14:textId="77777777" w:rsidR="005934D7" w:rsidRPr="001226A1" w:rsidRDefault="005934D7" w:rsidP="00ED5D33">
      <w:pPr>
        <w:spacing w:line="276" w:lineRule="auto"/>
        <w:ind w:firstLine="709"/>
        <w:jc w:val="both"/>
        <w:rPr>
          <w:rFonts w:ascii="Arial" w:eastAsia="Arial" w:hAnsi="Arial" w:cs="Arial"/>
          <w:bCs/>
          <w:sz w:val="22"/>
          <w:szCs w:val="22"/>
          <w:lang w:val="es-ES_tradnl"/>
        </w:rPr>
      </w:pPr>
    </w:p>
    <w:p w14:paraId="37CA9805" w14:textId="3BF3C880" w:rsidR="00DD5B04" w:rsidRPr="001226A1" w:rsidRDefault="004177A6" w:rsidP="00B21040">
      <w:pPr>
        <w:tabs>
          <w:tab w:val="left" w:pos="0"/>
        </w:tabs>
        <w:ind w:right="49"/>
        <w:jc w:val="both"/>
        <w:rPr>
          <w:rFonts w:ascii="Arial" w:eastAsia="Calibri" w:hAnsi="Arial" w:cs="Arial"/>
          <w:b/>
          <w:color w:val="000000" w:themeColor="text1"/>
          <w:sz w:val="22"/>
          <w:lang w:val="es-ES_tradnl"/>
        </w:rPr>
      </w:pPr>
      <w:r w:rsidRPr="001226A1">
        <w:rPr>
          <w:rFonts w:ascii="Arial" w:eastAsia="Calibri" w:hAnsi="Arial" w:cs="Arial"/>
          <w:b/>
          <w:color w:val="000000" w:themeColor="text1"/>
          <w:sz w:val="22"/>
          <w:lang w:val="es-ES_tradnl"/>
        </w:rPr>
        <w:t>3</w:t>
      </w:r>
      <w:r w:rsidR="00B011A9" w:rsidRPr="001226A1">
        <w:rPr>
          <w:rFonts w:ascii="Arial" w:eastAsia="Calibri" w:hAnsi="Arial" w:cs="Arial"/>
          <w:b/>
          <w:color w:val="000000" w:themeColor="text1"/>
          <w:sz w:val="22"/>
          <w:lang w:val="es-ES_tradnl"/>
        </w:rPr>
        <w:t xml:space="preserve">. </w:t>
      </w:r>
      <w:r w:rsidR="00DD5B04" w:rsidRPr="001226A1">
        <w:rPr>
          <w:rFonts w:ascii="Arial" w:eastAsia="Calibri" w:hAnsi="Arial" w:cs="Arial"/>
          <w:b/>
          <w:color w:val="000000" w:themeColor="text1"/>
          <w:sz w:val="22"/>
          <w:lang w:val="es-ES_tradnl"/>
        </w:rPr>
        <w:t>Respuesta</w:t>
      </w:r>
    </w:p>
    <w:p w14:paraId="3C2B20C9" w14:textId="77777777" w:rsidR="007B18FD" w:rsidRPr="001226A1" w:rsidRDefault="007B18FD" w:rsidP="00F923A3">
      <w:pPr>
        <w:tabs>
          <w:tab w:val="left" w:pos="0"/>
        </w:tabs>
        <w:spacing w:line="276" w:lineRule="auto"/>
        <w:ind w:right="709"/>
        <w:jc w:val="both"/>
        <w:rPr>
          <w:rFonts w:ascii="Arial" w:eastAsia="Calibri" w:hAnsi="Arial" w:cs="Arial"/>
          <w:b/>
          <w:color w:val="000000" w:themeColor="text1"/>
          <w:sz w:val="22"/>
          <w:lang w:val="es-ES_tradnl"/>
        </w:rPr>
      </w:pPr>
    </w:p>
    <w:p w14:paraId="13F3F1BE" w14:textId="465EF577" w:rsidR="00582ABC" w:rsidRPr="001226A1" w:rsidRDefault="00582ABC" w:rsidP="00582ABC">
      <w:pPr>
        <w:ind w:left="709" w:right="709"/>
        <w:jc w:val="both"/>
        <w:rPr>
          <w:rFonts w:ascii="Arial" w:hAnsi="Arial" w:cs="Arial"/>
          <w:color w:val="000000" w:themeColor="text1"/>
          <w:sz w:val="21"/>
          <w:szCs w:val="21"/>
          <w:lang w:val="es-ES_tradnl"/>
        </w:rPr>
      </w:pPr>
      <w:r w:rsidRPr="001226A1">
        <w:rPr>
          <w:rFonts w:ascii="Arial" w:hAnsi="Arial" w:cs="Arial"/>
          <w:color w:val="000000" w:themeColor="text1"/>
          <w:sz w:val="21"/>
          <w:szCs w:val="21"/>
        </w:rPr>
        <w:t>i)</w:t>
      </w:r>
      <w:r w:rsidR="004831AC" w:rsidRPr="001226A1">
        <w:rPr>
          <w:rFonts w:ascii="Arial" w:hAnsi="Arial" w:cs="Arial"/>
          <w:color w:val="000000" w:themeColor="text1"/>
          <w:sz w:val="21"/>
          <w:szCs w:val="21"/>
        </w:rPr>
        <w:t xml:space="preserve"> </w:t>
      </w:r>
      <w:r w:rsidRPr="001226A1">
        <w:rPr>
          <w:rFonts w:ascii="Arial" w:hAnsi="Arial" w:cs="Arial"/>
          <w:color w:val="000000" w:themeColor="text1"/>
          <w:sz w:val="21"/>
          <w:szCs w:val="21"/>
          <w:lang w:val="es-ES_tradnl"/>
        </w:rPr>
        <w:t>«</w:t>
      </w:r>
      <w:proofErr w:type="gramStart"/>
      <w:r w:rsidRPr="001226A1">
        <w:rPr>
          <w:rFonts w:ascii="Arial" w:hAnsi="Arial" w:cs="Arial"/>
          <w:color w:val="000000" w:themeColor="text1"/>
          <w:sz w:val="21"/>
          <w:szCs w:val="21"/>
          <w:lang w:val="es-ES_tradnl"/>
        </w:rPr>
        <w:t>¿Se encuentra inmerso en las causales de excepción que establece el inciso 2 del artículo 33 de la ley 996 de 2005, los contratos directos</w:t>
      </w:r>
      <w:r w:rsidR="00481C11" w:rsidRPr="001226A1">
        <w:rPr>
          <w:rFonts w:ascii="Arial" w:hAnsi="Arial" w:cs="Arial"/>
          <w:color w:val="000000" w:themeColor="text1"/>
          <w:sz w:val="21"/>
          <w:szCs w:val="21"/>
          <w:lang w:val="es-ES_tradnl"/>
        </w:rPr>
        <w:t xml:space="preserve"> </w:t>
      </w:r>
      <w:r w:rsidRPr="001226A1">
        <w:rPr>
          <w:rFonts w:ascii="Arial" w:hAnsi="Arial" w:cs="Arial"/>
          <w:color w:val="000000" w:themeColor="text1"/>
          <w:sz w:val="21"/>
          <w:szCs w:val="21"/>
          <w:lang w:val="es-ES_tradnl"/>
        </w:rPr>
        <w:t>(contratos-interadministrativos) que celebra el Departamento con la Empresa Social del Estado (E.</w:t>
      </w:r>
      <w:proofErr w:type="gramEnd"/>
      <w:r w:rsidRPr="001226A1">
        <w:rPr>
          <w:rFonts w:ascii="Arial" w:hAnsi="Arial" w:cs="Arial"/>
          <w:color w:val="000000" w:themeColor="text1"/>
          <w:sz w:val="21"/>
          <w:szCs w:val="21"/>
          <w:lang w:val="es-ES_tradnl"/>
        </w:rPr>
        <w:t>S.E)</w:t>
      </w:r>
      <w:r w:rsidR="009A53D7" w:rsidRPr="001226A1">
        <w:rPr>
          <w:rFonts w:ascii="Arial" w:hAnsi="Arial" w:cs="Arial"/>
          <w:color w:val="000000" w:themeColor="text1"/>
          <w:sz w:val="21"/>
          <w:szCs w:val="21"/>
          <w:lang w:val="es-ES_tradnl"/>
        </w:rPr>
        <w:t xml:space="preserve"> </w:t>
      </w:r>
      <w:r w:rsidRPr="001226A1">
        <w:rPr>
          <w:rFonts w:ascii="Arial" w:hAnsi="Arial" w:cs="Arial"/>
          <w:color w:val="000000" w:themeColor="text1"/>
          <w:sz w:val="21"/>
          <w:szCs w:val="21"/>
          <w:lang w:val="es-ES_tradnl"/>
        </w:rPr>
        <w:t>y/o IPS públicas, para el desarrollo de las acciones previstas en el Plan de Salud Pública de Intervenciones Colectivas?».</w:t>
      </w:r>
    </w:p>
    <w:p w14:paraId="27741C49" w14:textId="77777777" w:rsidR="00582ABC" w:rsidRPr="001226A1" w:rsidRDefault="00582ABC" w:rsidP="00582ABC">
      <w:pPr>
        <w:ind w:left="709" w:right="709"/>
        <w:jc w:val="both"/>
        <w:rPr>
          <w:rFonts w:ascii="Arial" w:hAnsi="Arial" w:cs="Arial"/>
          <w:color w:val="000000" w:themeColor="text1"/>
          <w:sz w:val="21"/>
          <w:szCs w:val="21"/>
          <w:lang w:val="es-ES_tradnl"/>
        </w:rPr>
      </w:pPr>
    </w:p>
    <w:p w14:paraId="1170BE23" w14:textId="30F82F31" w:rsidR="00582ABC" w:rsidRPr="001226A1" w:rsidRDefault="00582ABC" w:rsidP="00582ABC">
      <w:pPr>
        <w:ind w:left="709" w:right="709"/>
        <w:jc w:val="both"/>
        <w:rPr>
          <w:rFonts w:ascii="Arial" w:hAnsi="Arial" w:cs="Arial"/>
          <w:color w:val="000000" w:themeColor="text1"/>
          <w:sz w:val="21"/>
          <w:szCs w:val="21"/>
          <w:lang w:val="es-ES_tradnl"/>
        </w:rPr>
      </w:pPr>
      <w:proofErr w:type="spellStart"/>
      <w:r w:rsidRPr="001226A1">
        <w:rPr>
          <w:rFonts w:ascii="Arial" w:hAnsi="Arial" w:cs="Arial"/>
          <w:color w:val="000000" w:themeColor="text1"/>
          <w:sz w:val="21"/>
          <w:szCs w:val="21"/>
          <w:lang w:val="es-ES_tradnl"/>
        </w:rPr>
        <w:lastRenderedPageBreak/>
        <w:t>ii</w:t>
      </w:r>
      <w:proofErr w:type="spellEnd"/>
      <w:r w:rsidRPr="001226A1">
        <w:rPr>
          <w:rFonts w:ascii="Arial" w:hAnsi="Arial" w:cs="Arial"/>
          <w:color w:val="000000" w:themeColor="text1"/>
          <w:sz w:val="21"/>
          <w:szCs w:val="21"/>
          <w:lang w:val="es-ES_tradnl"/>
        </w:rPr>
        <w:t>) «Según lo define la Resolución 518 de 2015 emanada del Ministerio de Salud y Protección Social ¿son los Departamentos autoridades sanitarias conforme a las competencias en salud asignadas por la ley 715 de 2001?</w:t>
      </w:r>
      <w:r w:rsidR="000F0C85" w:rsidRPr="001226A1">
        <w:rPr>
          <w:rFonts w:ascii="Arial" w:hAnsi="Arial" w:cs="Arial"/>
          <w:color w:val="000000" w:themeColor="text1"/>
          <w:sz w:val="21"/>
          <w:szCs w:val="21"/>
          <w:lang w:val="es-ES_tradnl"/>
        </w:rPr>
        <w:t>».</w:t>
      </w:r>
    </w:p>
    <w:p w14:paraId="7D1ED00C" w14:textId="22204F00" w:rsidR="00BF1BD1" w:rsidRPr="001226A1" w:rsidRDefault="00BF1BD1" w:rsidP="002C7FBA">
      <w:pPr>
        <w:spacing w:line="276" w:lineRule="auto"/>
        <w:ind w:right="709"/>
        <w:jc w:val="both"/>
        <w:rPr>
          <w:rFonts w:ascii="Arial" w:hAnsi="Arial" w:cs="Arial"/>
          <w:color w:val="000000" w:themeColor="text1"/>
          <w:sz w:val="21"/>
          <w:szCs w:val="21"/>
          <w:lang w:val="es-ES_tradnl"/>
        </w:rPr>
      </w:pPr>
    </w:p>
    <w:p w14:paraId="438CDEA7" w14:textId="000AB5D1" w:rsidR="0077301E" w:rsidRPr="001226A1" w:rsidRDefault="009A53D7" w:rsidP="0077301E">
      <w:pPr>
        <w:spacing w:line="276" w:lineRule="auto"/>
        <w:jc w:val="both"/>
        <w:rPr>
          <w:rFonts w:ascii="Arial" w:eastAsia="Arial" w:hAnsi="Arial" w:cs="Arial"/>
          <w:sz w:val="22"/>
          <w:szCs w:val="22"/>
        </w:rPr>
      </w:pPr>
      <w:r w:rsidRPr="001226A1">
        <w:rPr>
          <w:rFonts w:ascii="Arial" w:eastAsia="Arial" w:hAnsi="Arial" w:cs="Arial"/>
          <w:sz w:val="22"/>
          <w:szCs w:val="22"/>
        </w:rPr>
        <w:t>El inciso segundo del artículo 33 dispone de dos</w:t>
      </w:r>
      <w:r w:rsidR="009017D2" w:rsidRPr="001226A1">
        <w:rPr>
          <w:rFonts w:ascii="Arial" w:eastAsia="Arial" w:hAnsi="Arial" w:cs="Arial"/>
          <w:sz w:val="22"/>
          <w:szCs w:val="22"/>
        </w:rPr>
        <w:t xml:space="preserve"> (2)</w:t>
      </w:r>
      <w:r w:rsidRPr="001226A1">
        <w:rPr>
          <w:rFonts w:ascii="Arial" w:eastAsia="Arial" w:hAnsi="Arial" w:cs="Arial"/>
          <w:sz w:val="22"/>
          <w:szCs w:val="22"/>
        </w:rPr>
        <w:t xml:space="preserve"> grandes grupos de excepciones a la prohibición de contratar directamente en la época preelectoral. </w:t>
      </w:r>
      <w:r w:rsidRPr="001226A1">
        <w:rPr>
          <w:rFonts w:ascii="Arial" w:eastAsia="Arial" w:hAnsi="Arial" w:cs="Arial"/>
          <w:i/>
          <w:iCs/>
          <w:sz w:val="22"/>
          <w:szCs w:val="22"/>
        </w:rPr>
        <w:t>Por un lado</w:t>
      </w:r>
      <w:r w:rsidRPr="001226A1">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1226A1">
        <w:rPr>
          <w:rFonts w:ascii="Arial" w:eastAsia="Arial" w:hAnsi="Arial" w:cs="Arial"/>
          <w:i/>
          <w:iCs/>
          <w:sz w:val="22"/>
          <w:szCs w:val="22"/>
        </w:rPr>
        <w:t>Por otra parte</w:t>
      </w:r>
      <w:r w:rsidRPr="001226A1">
        <w:rPr>
          <w:rFonts w:ascii="Arial" w:eastAsia="Arial" w:hAnsi="Arial" w:cs="Arial"/>
          <w:sz w:val="22"/>
          <w:szCs w:val="22"/>
        </w:rPr>
        <w:t xml:space="preserve">, las que aluden a las entidades sanitarias y hospitalarias acudiendo a un criterio eminentemente subjetivo, pese a que no limita la excepción a un tipo de entidad en particular, sino que ata su aplicación a la </w:t>
      </w:r>
      <w:r w:rsidR="009017D2" w:rsidRPr="001226A1">
        <w:rPr>
          <w:rFonts w:ascii="Arial" w:eastAsia="Arial" w:hAnsi="Arial" w:cs="Arial"/>
          <w:sz w:val="22"/>
          <w:szCs w:val="22"/>
        </w:rPr>
        <w:t>naturaleza d</w:t>
      </w:r>
      <w:r w:rsidRPr="001226A1">
        <w:rPr>
          <w:rFonts w:ascii="Arial" w:eastAsia="Arial" w:hAnsi="Arial" w:cs="Arial"/>
          <w:sz w:val="22"/>
          <w:szCs w:val="22"/>
        </w:rPr>
        <w:t>el respectivo ente.</w:t>
      </w:r>
      <w:r w:rsidR="0077301E" w:rsidRPr="001226A1">
        <w:rPr>
          <w:rFonts w:ascii="Arial" w:eastAsia="Arial" w:hAnsi="Arial" w:cs="Arial"/>
          <w:sz w:val="22"/>
          <w:szCs w:val="22"/>
        </w:rPr>
        <w:t xml:space="preserve"> </w:t>
      </w:r>
      <w:r w:rsidR="00F778F3" w:rsidRPr="001226A1">
        <w:rPr>
          <w:rFonts w:ascii="Arial" w:eastAsia="Arial" w:hAnsi="Arial" w:cs="Arial"/>
          <w:sz w:val="22"/>
          <w:szCs w:val="22"/>
        </w:rPr>
        <w:t>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w:t>
      </w:r>
      <w:r w:rsidR="0077301E" w:rsidRPr="001226A1">
        <w:rPr>
          <w:rFonts w:ascii="Arial" w:eastAsia="Arial" w:hAnsi="Arial" w:cs="Arial"/>
          <w:sz w:val="22"/>
          <w:szCs w:val="22"/>
        </w:rPr>
        <w:t>.</w:t>
      </w:r>
    </w:p>
    <w:p w14:paraId="7EFF0B05" w14:textId="22F43805" w:rsidR="00791EE7" w:rsidRPr="001226A1" w:rsidRDefault="00F778F3" w:rsidP="00F778F3">
      <w:pPr>
        <w:spacing w:before="120" w:line="276" w:lineRule="auto"/>
        <w:ind w:firstLine="709"/>
        <w:jc w:val="both"/>
        <w:rPr>
          <w:rFonts w:ascii="Arial" w:eastAsia="Arial" w:hAnsi="Arial" w:cs="Arial"/>
          <w:sz w:val="22"/>
          <w:szCs w:val="22"/>
        </w:rPr>
      </w:pPr>
      <w:r w:rsidRPr="001226A1">
        <w:rPr>
          <w:rFonts w:ascii="Arial" w:eastAsia="Arial" w:hAnsi="Arial" w:cs="Arial"/>
          <w:sz w:val="22"/>
          <w:szCs w:val="22"/>
        </w:rPr>
        <w:t xml:space="preserve"> </w:t>
      </w:r>
      <w:r w:rsidR="002C7FBA" w:rsidRPr="001226A1">
        <w:rPr>
          <w:rFonts w:ascii="Arial" w:eastAsia="Arial" w:hAnsi="Arial" w:cs="Arial"/>
          <w:sz w:val="22"/>
          <w:szCs w:val="22"/>
        </w:rPr>
        <w:t>En relación con las actividades</w:t>
      </w:r>
      <w:r w:rsidR="0074604B" w:rsidRPr="001226A1">
        <w:rPr>
          <w:rFonts w:ascii="Arial" w:eastAsia="Arial" w:hAnsi="Arial" w:cs="Arial"/>
          <w:sz w:val="22"/>
          <w:szCs w:val="22"/>
        </w:rPr>
        <w:t xml:space="preserve"> descritas en el inciso segundo del artículo 33,</w:t>
      </w:r>
      <w:r w:rsidR="002C7FBA" w:rsidRPr="001226A1">
        <w:rPr>
          <w:rFonts w:ascii="Arial" w:eastAsia="Arial" w:hAnsi="Arial" w:cs="Arial"/>
          <w:bCs/>
          <w:sz w:val="22"/>
          <w:szCs w:val="22"/>
        </w:rPr>
        <w:t xml:space="preserve"> no resulta relevante ni la nominación</w:t>
      </w:r>
      <w:r w:rsidR="0057682F" w:rsidRPr="001226A1">
        <w:rPr>
          <w:rFonts w:ascii="Arial" w:eastAsia="Arial" w:hAnsi="Arial" w:cs="Arial"/>
          <w:bCs/>
          <w:sz w:val="22"/>
          <w:szCs w:val="22"/>
        </w:rPr>
        <w:t xml:space="preserve"> ni el</w:t>
      </w:r>
      <w:r w:rsidR="002C7FBA" w:rsidRPr="001226A1">
        <w:rPr>
          <w:rFonts w:ascii="Arial" w:eastAsia="Arial" w:hAnsi="Arial" w:cs="Arial"/>
          <w:bCs/>
          <w:sz w:val="22"/>
          <w:szCs w:val="22"/>
        </w:rPr>
        <w:t xml:space="preserve"> régimen aplicable para la respectiva entidad, sino que basta con que la misma desarrolle cierto tipo de actividades cuya contratación, por su naturaleza especialmente sensible, no admiten postergación</w:t>
      </w:r>
      <w:r w:rsidR="0074604B" w:rsidRPr="001226A1">
        <w:rPr>
          <w:rFonts w:ascii="Arial" w:eastAsia="Arial" w:hAnsi="Arial" w:cs="Arial"/>
          <w:bCs/>
          <w:sz w:val="22"/>
          <w:szCs w:val="22"/>
        </w:rPr>
        <w:t>. Por ello, los departamentos podrán contratar directamente</w:t>
      </w:r>
      <w:r w:rsidR="0006776C" w:rsidRPr="001226A1">
        <w:rPr>
          <w:rFonts w:ascii="Arial" w:eastAsia="Arial" w:hAnsi="Arial" w:cs="Arial"/>
          <w:bCs/>
          <w:sz w:val="22"/>
          <w:szCs w:val="22"/>
        </w:rPr>
        <w:t xml:space="preserve"> bajo esta excepción</w:t>
      </w:r>
      <w:r w:rsidR="0074604B" w:rsidRPr="001226A1">
        <w:rPr>
          <w:rFonts w:ascii="Arial" w:eastAsia="Arial" w:hAnsi="Arial" w:cs="Arial"/>
          <w:bCs/>
          <w:sz w:val="22"/>
          <w:szCs w:val="22"/>
        </w:rPr>
        <w:t xml:space="preserve"> en la medida en que las actividades a ejecutar se traten de</w:t>
      </w:r>
      <w:r w:rsidR="00E16E84" w:rsidRPr="001226A1">
        <w:rPr>
          <w:rFonts w:ascii="Arial" w:eastAsia="Arial" w:hAnsi="Arial" w:cs="Arial"/>
          <w:bCs/>
          <w:sz w:val="22"/>
          <w:szCs w:val="22"/>
        </w:rPr>
        <w:t>:</w:t>
      </w:r>
      <w:r w:rsidR="0074604B" w:rsidRPr="001226A1">
        <w:rPr>
          <w:rFonts w:ascii="Arial" w:eastAsia="Arial" w:hAnsi="Arial" w:cs="Arial"/>
          <w:bCs/>
          <w:sz w:val="22"/>
          <w:szCs w:val="22"/>
        </w:rPr>
        <w:t xml:space="preserve"> </w:t>
      </w:r>
      <w:r w:rsidR="0074604B" w:rsidRPr="001226A1">
        <w:rPr>
          <w:rFonts w:ascii="Arial" w:eastAsia="Arial" w:hAnsi="Arial" w:cs="Arial"/>
          <w:sz w:val="22"/>
          <w:szCs w:val="22"/>
        </w:rPr>
        <w:t xml:space="preserve">i) defensa y seguridad del Estado; </w:t>
      </w:r>
      <w:proofErr w:type="spellStart"/>
      <w:r w:rsidR="0074604B" w:rsidRPr="001226A1">
        <w:rPr>
          <w:rFonts w:ascii="Arial" w:eastAsia="Arial" w:hAnsi="Arial" w:cs="Arial"/>
          <w:sz w:val="22"/>
          <w:szCs w:val="22"/>
        </w:rPr>
        <w:t>ii</w:t>
      </w:r>
      <w:proofErr w:type="spellEnd"/>
      <w:r w:rsidR="0074604B" w:rsidRPr="001226A1">
        <w:rPr>
          <w:rFonts w:ascii="Arial" w:eastAsia="Arial" w:hAnsi="Arial" w:cs="Arial"/>
          <w:sz w:val="22"/>
          <w:szCs w:val="22"/>
        </w:rPr>
        <w:t xml:space="preserve">) contratos de crédito público; </w:t>
      </w:r>
      <w:proofErr w:type="spellStart"/>
      <w:r w:rsidR="0074604B" w:rsidRPr="001226A1">
        <w:rPr>
          <w:rFonts w:ascii="Arial" w:eastAsia="Arial" w:hAnsi="Arial" w:cs="Arial"/>
          <w:sz w:val="22"/>
          <w:szCs w:val="22"/>
        </w:rPr>
        <w:t>iii</w:t>
      </w:r>
      <w:proofErr w:type="spellEnd"/>
      <w:r w:rsidR="0074604B" w:rsidRPr="001226A1">
        <w:rPr>
          <w:rFonts w:ascii="Arial" w:eastAsia="Arial" w:hAnsi="Arial" w:cs="Arial"/>
          <w:sz w:val="22"/>
          <w:szCs w:val="22"/>
        </w:rPr>
        <w:t xml:space="preserve">) cubrir emergencias educativas, sanitarias y desastres; </w:t>
      </w:r>
      <w:proofErr w:type="spellStart"/>
      <w:r w:rsidR="0074604B" w:rsidRPr="001226A1">
        <w:rPr>
          <w:rFonts w:ascii="Arial" w:eastAsia="Arial" w:hAnsi="Arial" w:cs="Arial"/>
          <w:sz w:val="22"/>
          <w:szCs w:val="22"/>
        </w:rPr>
        <w:t>iv</w:t>
      </w:r>
      <w:proofErr w:type="spellEnd"/>
      <w:r w:rsidR="0074604B" w:rsidRPr="001226A1">
        <w:rPr>
          <w:rFonts w:ascii="Arial" w:eastAsia="Arial" w:hAnsi="Arial" w:cs="Arial"/>
          <w:sz w:val="22"/>
          <w:szCs w:val="22"/>
        </w:rPr>
        <w:t>) reconstrucción de vías, puentes, carreteras, infraestructura energética y de comunicaciones, en caso de que hayan sido objeto de atentados, acciones terroristas, desastres naturales o casos de fuerza mayor.</w:t>
      </w:r>
    </w:p>
    <w:p w14:paraId="428210F4" w14:textId="79D657DB" w:rsidR="004C107A" w:rsidRPr="001226A1" w:rsidRDefault="0077301E" w:rsidP="007A0EC0">
      <w:pPr>
        <w:spacing w:before="120" w:line="276" w:lineRule="auto"/>
        <w:ind w:firstLine="709"/>
        <w:jc w:val="both"/>
        <w:rPr>
          <w:rFonts w:ascii="Arial" w:hAnsi="Arial" w:cs="Arial"/>
          <w:bCs/>
          <w:sz w:val="22"/>
          <w:lang w:val="es-ES_tradnl"/>
        </w:rPr>
      </w:pPr>
      <w:r w:rsidRPr="001226A1">
        <w:rPr>
          <w:rFonts w:ascii="Arial" w:eastAsia="Arial" w:hAnsi="Arial" w:cs="Arial"/>
          <w:sz w:val="22"/>
          <w:szCs w:val="22"/>
        </w:rPr>
        <w:t>Por su parte, respecto de la</w:t>
      </w:r>
      <w:r w:rsidR="0074604B" w:rsidRPr="001226A1">
        <w:rPr>
          <w:rFonts w:ascii="Arial" w:eastAsia="Arial" w:hAnsi="Arial" w:cs="Arial"/>
          <w:sz w:val="22"/>
          <w:szCs w:val="22"/>
        </w:rPr>
        <w:t xml:space="preserve"> excepción referente a entidades de sanidad u hospitalaria</w:t>
      </w:r>
      <w:r w:rsidRPr="001226A1">
        <w:rPr>
          <w:rFonts w:ascii="Arial" w:eastAsia="Arial" w:hAnsi="Arial" w:cs="Arial"/>
          <w:sz w:val="22"/>
          <w:szCs w:val="22"/>
        </w:rPr>
        <w:t xml:space="preserve">, </w:t>
      </w:r>
      <w:r w:rsidR="00BF1BD1" w:rsidRPr="001226A1">
        <w:rPr>
          <w:rFonts w:ascii="Arial" w:eastAsia="Arial" w:hAnsi="Arial" w:cs="Arial"/>
          <w:bCs/>
          <w:sz w:val="22"/>
          <w:szCs w:val="22"/>
        </w:rPr>
        <w:t xml:space="preserve">es necesario tener en cuenta </w:t>
      </w:r>
      <w:r w:rsidR="00BF1BD1" w:rsidRPr="001226A1">
        <w:rPr>
          <w:rFonts w:ascii="Arial" w:hAnsi="Arial" w:cs="Arial"/>
          <w:bCs/>
          <w:sz w:val="22"/>
          <w:lang w:val="es-ES_tradnl"/>
        </w:rPr>
        <w:t xml:space="preserve">que </w:t>
      </w:r>
      <w:r w:rsidRPr="001226A1">
        <w:rPr>
          <w:rFonts w:ascii="Arial" w:hAnsi="Arial" w:cs="Arial"/>
          <w:bCs/>
          <w:sz w:val="22"/>
          <w:lang w:val="es-ES_tradnl"/>
        </w:rPr>
        <w:t xml:space="preserve">de conformidad con </w:t>
      </w:r>
      <w:r w:rsidR="00BF1BD1" w:rsidRPr="001226A1">
        <w:rPr>
          <w:rFonts w:ascii="Arial" w:hAnsi="Arial" w:cs="Arial"/>
          <w:bCs/>
          <w:sz w:val="22"/>
          <w:lang w:val="es-ES_tradnl"/>
        </w:rPr>
        <w:t xml:space="preserve">el artículo 94 de la Ley 100 de 1993 </w:t>
      </w:r>
      <w:r w:rsidR="00BF1BD1" w:rsidRPr="001226A1">
        <w:rPr>
          <w:rFonts w:ascii="Arial" w:hAnsi="Arial" w:cs="Arial"/>
          <w:sz w:val="22"/>
          <w:lang w:val="es-ES_tradnl"/>
        </w:rPr>
        <w:t>las entidades encarga</w:t>
      </w:r>
      <w:r w:rsidR="000B7FA6" w:rsidRPr="001226A1">
        <w:rPr>
          <w:rFonts w:ascii="Arial" w:hAnsi="Arial" w:cs="Arial"/>
          <w:sz w:val="22"/>
          <w:lang w:val="es-ES_tradnl"/>
        </w:rPr>
        <w:t>da</w:t>
      </w:r>
      <w:r w:rsidR="00BF1BD1" w:rsidRPr="001226A1">
        <w:rPr>
          <w:rFonts w:ascii="Arial" w:hAnsi="Arial" w:cs="Arial"/>
          <w:sz w:val="22"/>
          <w:lang w:val="es-ES_tradnl"/>
        </w:rPr>
        <w:t xml:space="preserve">s de prestar el servicio de salud de manera directa </w:t>
      </w:r>
      <w:r w:rsidR="00C22AB8" w:rsidRPr="001226A1">
        <w:rPr>
          <w:rFonts w:ascii="Arial" w:hAnsi="Arial" w:cs="Arial"/>
          <w:sz w:val="22"/>
          <w:lang w:val="es-ES_tradnl"/>
        </w:rPr>
        <w:t xml:space="preserve">en su calidad de entidades hospitalarias </w:t>
      </w:r>
      <w:r w:rsidR="00BF1BD1" w:rsidRPr="001226A1">
        <w:rPr>
          <w:rFonts w:ascii="Arial" w:hAnsi="Arial" w:cs="Arial"/>
          <w:sz w:val="22"/>
          <w:lang w:val="es-ES_tradnl"/>
        </w:rPr>
        <w:t xml:space="preserve">son las Empresas Sociales del Estado, no los departamentos. </w:t>
      </w:r>
      <w:r w:rsidR="00BF1BD1" w:rsidRPr="001226A1">
        <w:rPr>
          <w:rFonts w:ascii="Arial" w:hAnsi="Arial" w:cs="Arial"/>
          <w:bCs/>
          <w:sz w:val="22"/>
          <w:lang w:val="es-ES_tradnl"/>
        </w:rPr>
        <w:t>Por tanto,</w:t>
      </w:r>
      <w:r w:rsidR="004C107A" w:rsidRPr="001226A1">
        <w:rPr>
          <w:rFonts w:ascii="Arial" w:hAnsi="Arial" w:cs="Arial"/>
          <w:bCs/>
          <w:sz w:val="22"/>
          <w:lang w:val="es-ES_tradnl"/>
        </w:rPr>
        <w:t xml:space="preserve"> </w:t>
      </w:r>
      <w:r w:rsidR="00412A52" w:rsidRPr="001226A1">
        <w:rPr>
          <w:rFonts w:ascii="Arial" w:hAnsi="Arial" w:cs="Arial"/>
          <w:bCs/>
          <w:sz w:val="22"/>
          <w:lang w:val="es-ES_tradnl"/>
        </w:rPr>
        <w:t>estos últimos</w:t>
      </w:r>
      <w:r w:rsidR="00E17D30" w:rsidRPr="001226A1">
        <w:rPr>
          <w:rFonts w:ascii="Arial" w:hAnsi="Arial" w:cs="Arial"/>
          <w:bCs/>
          <w:sz w:val="22"/>
          <w:lang w:val="es-ES_tradnl"/>
        </w:rPr>
        <w:t xml:space="preserve"> </w:t>
      </w:r>
      <w:r w:rsidR="004C107A" w:rsidRPr="001226A1">
        <w:rPr>
          <w:rFonts w:ascii="Arial" w:hAnsi="Arial" w:cs="Arial"/>
          <w:bCs/>
          <w:sz w:val="22"/>
          <w:lang w:val="es-ES_tradnl"/>
        </w:rPr>
        <w:t>no podría celebrar contrataciones directas bajo esta excepción</w:t>
      </w:r>
      <w:r w:rsidR="00E17D30" w:rsidRPr="001226A1">
        <w:rPr>
          <w:rFonts w:ascii="Arial" w:hAnsi="Arial" w:cs="Arial"/>
          <w:bCs/>
          <w:sz w:val="22"/>
          <w:lang w:val="es-ES_tradnl"/>
        </w:rPr>
        <w:t xml:space="preserve">, </w:t>
      </w:r>
      <w:r w:rsidR="00412A52" w:rsidRPr="001226A1">
        <w:rPr>
          <w:rFonts w:ascii="Arial" w:hAnsi="Arial" w:cs="Arial"/>
          <w:bCs/>
          <w:sz w:val="22"/>
          <w:lang w:val="es-ES_tradnl"/>
        </w:rPr>
        <w:t>dado</w:t>
      </w:r>
      <w:r w:rsidR="00E17D30" w:rsidRPr="001226A1">
        <w:rPr>
          <w:rFonts w:ascii="Arial" w:hAnsi="Arial" w:cs="Arial"/>
          <w:bCs/>
          <w:sz w:val="22"/>
          <w:lang w:val="es-ES_tradnl"/>
        </w:rPr>
        <w:t xml:space="preserve"> que no son entidades hospitalarias.</w:t>
      </w:r>
    </w:p>
    <w:p w14:paraId="0727E6B3" w14:textId="3D486C7B" w:rsidR="005F61BC" w:rsidRPr="001226A1" w:rsidRDefault="00E17D30" w:rsidP="005F61BC">
      <w:pPr>
        <w:spacing w:before="120" w:line="276" w:lineRule="auto"/>
        <w:ind w:firstLine="709"/>
        <w:jc w:val="both"/>
        <w:rPr>
          <w:rFonts w:ascii="Arial" w:eastAsia="Arial" w:hAnsi="Arial" w:cs="Arial"/>
          <w:bCs/>
          <w:sz w:val="22"/>
          <w:szCs w:val="22"/>
          <w:lang w:val="es-ES_tradnl"/>
        </w:rPr>
      </w:pPr>
      <w:r w:rsidRPr="001226A1">
        <w:rPr>
          <w:rFonts w:ascii="Arial" w:hAnsi="Arial" w:cs="Arial"/>
          <w:bCs/>
          <w:sz w:val="22"/>
          <w:lang w:val="es-ES_tradnl"/>
        </w:rPr>
        <w:t xml:space="preserve">A su turno, conforme al </w:t>
      </w:r>
      <w:r w:rsidRPr="001226A1">
        <w:rPr>
          <w:rFonts w:ascii="Arial" w:eastAsia="Arial" w:hAnsi="Arial" w:cs="Arial"/>
          <w:bCs/>
          <w:sz w:val="22"/>
          <w:szCs w:val="22"/>
        </w:rPr>
        <w:t>artículo 2.8.8.1.1.3 del Decreto 780 de 2016</w:t>
      </w:r>
      <w:r w:rsidR="00F256AA" w:rsidRPr="001226A1">
        <w:rPr>
          <w:rFonts w:ascii="Arial" w:eastAsia="Arial" w:hAnsi="Arial" w:cs="Arial"/>
          <w:bCs/>
          <w:sz w:val="22"/>
          <w:szCs w:val="22"/>
        </w:rPr>
        <w:t>,</w:t>
      </w:r>
      <w:r w:rsidRPr="001226A1">
        <w:rPr>
          <w:rFonts w:ascii="Arial" w:eastAsia="Arial" w:hAnsi="Arial" w:cs="Arial"/>
          <w:bCs/>
          <w:sz w:val="22"/>
          <w:szCs w:val="22"/>
        </w:rPr>
        <w:t xml:space="preserve"> las </w:t>
      </w:r>
      <w:r w:rsidRPr="001226A1">
        <w:rPr>
          <w:rFonts w:ascii="Arial" w:eastAsia="Arial" w:hAnsi="Arial" w:cs="Arial"/>
          <w:bCs/>
          <w:i/>
          <w:iCs/>
          <w:sz w:val="22"/>
          <w:szCs w:val="22"/>
        </w:rPr>
        <w:t>entidades sanitarias</w:t>
      </w:r>
      <w:r w:rsidRPr="001226A1">
        <w:rPr>
          <w:rFonts w:ascii="Arial" w:eastAsia="Arial" w:hAnsi="Arial" w:cs="Arial"/>
          <w:bCs/>
          <w:sz w:val="22"/>
          <w:szCs w:val="22"/>
        </w:rPr>
        <w:t xml:space="preserve"> se definen como «Entidades del Estado que prestan servicios sanitarios o de sanidad con el propósito de preservar la salud humana y la salud pública» y las </w:t>
      </w:r>
      <w:r w:rsidRPr="001226A1">
        <w:rPr>
          <w:rFonts w:ascii="Arial" w:eastAsia="Arial" w:hAnsi="Arial" w:cs="Arial"/>
          <w:bCs/>
          <w:i/>
          <w:iCs/>
          <w:sz w:val="22"/>
          <w:szCs w:val="22"/>
        </w:rPr>
        <w:t>autoridades sanitarias</w:t>
      </w:r>
      <w:r w:rsidRPr="001226A1">
        <w:rPr>
          <w:rFonts w:ascii="Arial" w:eastAsia="Arial" w:hAnsi="Arial" w:cs="Arial"/>
          <w:bCs/>
          <w:sz w:val="22"/>
          <w:szCs w:val="22"/>
        </w:rPr>
        <w:t xml:space="preserve"> son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005F61BC" w:rsidRPr="001226A1">
        <w:rPr>
          <w:rFonts w:ascii="Arial" w:eastAsia="Arial" w:hAnsi="Arial" w:cs="Arial"/>
          <w:bCs/>
          <w:sz w:val="22"/>
          <w:szCs w:val="22"/>
        </w:rPr>
        <w:t xml:space="preserve">. Sin embargo, es necesario tener en cuenta que la excepción del artículo 33 de la Ley de Garantías solo aplica a las </w:t>
      </w:r>
      <w:r w:rsidR="005F61BC" w:rsidRPr="001226A1">
        <w:rPr>
          <w:rFonts w:ascii="Arial" w:eastAsia="Arial" w:hAnsi="Arial" w:cs="Arial"/>
          <w:bCs/>
          <w:i/>
          <w:iCs/>
          <w:sz w:val="22"/>
          <w:szCs w:val="22"/>
        </w:rPr>
        <w:t>entidades sanitarias</w:t>
      </w:r>
      <w:r w:rsidR="005F61BC" w:rsidRPr="001226A1">
        <w:rPr>
          <w:rFonts w:ascii="Arial" w:eastAsia="Arial" w:hAnsi="Arial" w:cs="Arial"/>
          <w:bCs/>
          <w:sz w:val="22"/>
          <w:szCs w:val="22"/>
        </w:rPr>
        <w:t xml:space="preserve">, no a las </w:t>
      </w:r>
      <w:r w:rsidR="005F61BC" w:rsidRPr="001226A1">
        <w:rPr>
          <w:rFonts w:ascii="Arial" w:eastAsia="Arial" w:hAnsi="Arial" w:cs="Arial"/>
          <w:bCs/>
          <w:i/>
          <w:iCs/>
          <w:sz w:val="22"/>
          <w:szCs w:val="22"/>
        </w:rPr>
        <w:t>autoridades sanitarias</w:t>
      </w:r>
      <w:r w:rsidR="005F61BC" w:rsidRPr="001226A1">
        <w:rPr>
          <w:rFonts w:ascii="Arial" w:eastAsia="Arial" w:hAnsi="Arial" w:cs="Arial"/>
          <w:bCs/>
          <w:sz w:val="22"/>
          <w:szCs w:val="22"/>
        </w:rPr>
        <w:t>. Por tanto, en caso en que los departamentos ejerzan funciones de autoridad sanitaria y no de entidades sanitarias tampoco estarían dentro de la excepción</w:t>
      </w:r>
      <w:r w:rsidR="00C22AB8" w:rsidRPr="001226A1">
        <w:rPr>
          <w:rFonts w:ascii="Arial" w:eastAsia="Arial" w:hAnsi="Arial" w:cs="Arial"/>
          <w:bCs/>
          <w:sz w:val="22"/>
          <w:szCs w:val="22"/>
        </w:rPr>
        <w:t xml:space="preserve"> </w:t>
      </w:r>
      <w:r w:rsidR="00C22AB8" w:rsidRPr="001226A1">
        <w:rPr>
          <w:rFonts w:ascii="Arial" w:eastAsia="Arial" w:hAnsi="Arial" w:cs="Arial"/>
          <w:bCs/>
          <w:sz w:val="22"/>
          <w:szCs w:val="22"/>
        </w:rPr>
        <w:lastRenderedPageBreak/>
        <w:t>del artículo 33</w:t>
      </w:r>
      <w:r w:rsidR="005F61BC" w:rsidRPr="001226A1">
        <w:rPr>
          <w:rFonts w:ascii="Arial" w:eastAsia="Arial" w:hAnsi="Arial" w:cs="Arial"/>
          <w:bCs/>
          <w:sz w:val="22"/>
          <w:szCs w:val="22"/>
        </w:rPr>
        <w:t>.</w:t>
      </w:r>
      <w:r w:rsidR="005F61BC" w:rsidRPr="001226A1">
        <w:rPr>
          <w:rFonts w:ascii="Arial" w:eastAsia="Arial" w:hAnsi="Arial" w:cs="Arial"/>
          <w:bCs/>
          <w:sz w:val="22"/>
          <w:szCs w:val="22"/>
          <w:lang w:val="es-ES_tradnl"/>
        </w:rPr>
        <w:t xml:space="preserve"> Por lo demás, no </w:t>
      </w:r>
      <w:r w:rsidR="00DD79A9" w:rsidRPr="001226A1">
        <w:rPr>
          <w:rFonts w:ascii="Arial" w:eastAsia="Arial" w:hAnsi="Arial" w:cs="Arial"/>
          <w:bCs/>
          <w:sz w:val="22"/>
          <w:szCs w:val="22"/>
          <w:lang w:val="es-ES_tradnl"/>
        </w:rPr>
        <w:t>es competencia de</w:t>
      </w:r>
      <w:r w:rsidR="005F61BC" w:rsidRPr="001226A1">
        <w:rPr>
          <w:rFonts w:ascii="Arial" w:eastAsia="Arial" w:hAnsi="Arial" w:cs="Arial"/>
          <w:bCs/>
          <w:sz w:val="22"/>
          <w:szCs w:val="22"/>
          <w:lang w:val="es-ES_tradnl"/>
        </w:rPr>
        <w:t xml:space="preserve"> esta Agencia determinar si los departamentos cumplen funciones de autoridad sanitaria conforme a la Ley 715 de 2001</w:t>
      </w:r>
      <w:r w:rsidR="0018064E" w:rsidRPr="001226A1">
        <w:rPr>
          <w:rFonts w:ascii="Arial" w:eastAsia="Arial" w:hAnsi="Arial" w:cs="Arial"/>
          <w:bCs/>
          <w:sz w:val="22"/>
          <w:szCs w:val="22"/>
          <w:lang w:val="es-ES_tradnl"/>
        </w:rPr>
        <w:t xml:space="preserve">, </w:t>
      </w:r>
      <w:r w:rsidR="001710A8" w:rsidRPr="001226A1">
        <w:rPr>
          <w:rFonts w:ascii="Arial" w:eastAsia="Arial" w:hAnsi="Arial" w:cs="Arial"/>
          <w:bCs/>
          <w:sz w:val="22"/>
          <w:szCs w:val="22"/>
          <w:lang w:val="es-ES_tradnl"/>
        </w:rPr>
        <w:t>pues</w:t>
      </w:r>
      <w:r w:rsidR="0018064E" w:rsidRPr="001226A1">
        <w:rPr>
          <w:rFonts w:ascii="Arial" w:eastAsia="Arial" w:hAnsi="Arial" w:cs="Arial"/>
          <w:bCs/>
          <w:sz w:val="22"/>
          <w:szCs w:val="22"/>
          <w:lang w:val="es-ES_tradnl"/>
        </w:rPr>
        <w:t xml:space="preserve"> la entidad conceptúa especialmente sobre</w:t>
      </w:r>
      <w:r w:rsidR="00973AE0">
        <w:rPr>
          <w:rFonts w:ascii="Arial" w:eastAsia="Arial" w:hAnsi="Arial" w:cs="Arial"/>
          <w:bCs/>
          <w:sz w:val="22"/>
          <w:szCs w:val="22"/>
          <w:lang w:val="es-ES_tradnl"/>
        </w:rPr>
        <w:t xml:space="preserve"> </w:t>
      </w:r>
      <w:r w:rsidR="0018064E" w:rsidRPr="001226A1">
        <w:rPr>
          <w:rFonts w:ascii="Arial" w:eastAsia="Arial" w:hAnsi="Arial" w:cs="Arial"/>
          <w:bCs/>
          <w:sz w:val="22"/>
          <w:szCs w:val="22"/>
          <w:lang w:val="es-ES_tradnl"/>
        </w:rPr>
        <w:t>las normas generales en materia de compras y contratación pública</w:t>
      </w:r>
      <w:r w:rsidR="005F61BC" w:rsidRPr="001226A1">
        <w:rPr>
          <w:rFonts w:ascii="Arial" w:eastAsia="Arial" w:hAnsi="Arial" w:cs="Arial"/>
          <w:bCs/>
          <w:sz w:val="22"/>
          <w:szCs w:val="22"/>
          <w:lang w:val="es-ES_tradnl"/>
        </w:rPr>
        <w:t>.</w:t>
      </w:r>
    </w:p>
    <w:p w14:paraId="4C83898B" w14:textId="77777777" w:rsidR="00BF1BD1" w:rsidRPr="001226A1" w:rsidRDefault="00BF1BD1" w:rsidP="001226A1">
      <w:pPr>
        <w:spacing w:line="276" w:lineRule="auto"/>
        <w:ind w:right="709"/>
        <w:rPr>
          <w:rFonts w:ascii="Arial" w:hAnsi="Arial" w:cs="Arial"/>
          <w:color w:val="000000" w:themeColor="text1"/>
          <w:sz w:val="22"/>
          <w:szCs w:val="22"/>
          <w:lang w:val="es-ES_tradnl"/>
        </w:rPr>
      </w:pPr>
    </w:p>
    <w:p w14:paraId="5C1E9F6B" w14:textId="690E5FFD" w:rsidR="00582ABC" w:rsidRPr="001226A1" w:rsidRDefault="00582ABC" w:rsidP="00582ABC">
      <w:pPr>
        <w:ind w:left="709" w:right="709"/>
        <w:jc w:val="both"/>
        <w:rPr>
          <w:rFonts w:ascii="Arial" w:hAnsi="Arial" w:cs="Arial"/>
          <w:color w:val="000000" w:themeColor="text1"/>
          <w:sz w:val="21"/>
          <w:szCs w:val="21"/>
          <w:lang w:val="es-ES_tradnl"/>
        </w:rPr>
      </w:pPr>
      <w:proofErr w:type="spellStart"/>
      <w:r w:rsidRPr="001226A1">
        <w:rPr>
          <w:rFonts w:ascii="Arial" w:hAnsi="Arial" w:cs="Arial"/>
          <w:color w:val="000000" w:themeColor="text1"/>
          <w:sz w:val="21"/>
          <w:szCs w:val="21"/>
          <w:lang w:val="es-ES_tradnl"/>
        </w:rPr>
        <w:t>iii</w:t>
      </w:r>
      <w:proofErr w:type="spellEnd"/>
      <w:r w:rsidRPr="001226A1">
        <w:rPr>
          <w:rFonts w:ascii="Arial" w:hAnsi="Arial" w:cs="Arial"/>
          <w:color w:val="000000" w:themeColor="text1"/>
          <w:sz w:val="21"/>
          <w:szCs w:val="21"/>
          <w:lang w:val="es-ES_tradnl"/>
        </w:rPr>
        <w:t>) «En la eventualidad que el Departamento no cuente con instituciones prestadoras de salud públicas o privadas, organizaciones no gubernamentales (ONG) y universidades, cuyo objeto social esté relacionado con la prestación de las acciones previstas en el Plan de Salud Pública de Intervenciones Colectivas, que cumplan con los criterios definidos en el artículo 15 de la Resolución 518 de 2015 (capacidad técnica y operativa) o la normatividad vigente en materia de contratación estatal (Registro Único de Proponentes) ¿Que actuación debe desarrollar el Departamento para dar cumplimiento a las obligaciones constitucionales y legales que le asisten, frente a la garantía de acceso a los servicios de promoción, protección y recuperación de la salud de manera continua y sin interrupción de ninguna naturaleza?»</w:t>
      </w:r>
      <w:r w:rsidR="000F0C85" w:rsidRPr="001226A1">
        <w:rPr>
          <w:rFonts w:ascii="Arial" w:hAnsi="Arial" w:cs="Arial"/>
          <w:color w:val="000000" w:themeColor="text1"/>
          <w:sz w:val="21"/>
          <w:szCs w:val="21"/>
          <w:lang w:val="es-ES_tradnl"/>
        </w:rPr>
        <w:t>.</w:t>
      </w:r>
    </w:p>
    <w:p w14:paraId="2FD2F5B1" w14:textId="4329718F" w:rsidR="000628C5" w:rsidRPr="001226A1" w:rsidRDefault="000628C5" w:rsidP="001226A1">
      <w:pPr>
        <w:spacing w:line="276" w:lineRule="auto"/>
        <w:ind w:right="709"/>
        <w:jc w:val="both"/>
        <w:rPr>
          <w:rFonts w:ascii="Arial" w:hAnsi="Arial" w:cs="Arial"/>
          <w:color w:val="000000" w:themeColor="text1"/>
          <w:sz w:val="22"/>
          <w:szCs w:val="22"/>
        </w:rPr>
      </w:pPr>
      <w:r w:rsidRPr="001226A1">
        <w:rPr>
          <w:rFonts w:ascii="Arial" w:hAnsi="Arial" w:cs="Arial"/>
          <w:color w:val="000000" w:themeColor="text1"/>
          <w:sz w:val="21"/>
          <w:szCs w:val="21"/>
        </w:rPr>
        <w:t xml:space="preserve"> </w:t>
      </w:r>
    </w:p>
    <w:p w14:paraId="4CDF4A00" w14:textId="0F51DD94" w:rsidR="00657E03" w:rsidRDefault="00582ABC" w:rsidP="00582ABC">
      <w:pPr>
        <w:shd w:val="clear" w:color="auto" w:fill="FFFFFF"/>
        <w:spacing w:line="276" w:lineRule="auto"/>
        <w:ind w:right="51"/>
        <w:jc w:val="both"/>
        <w:rPr>
          <w:rFonts w:ascii="Arial" w:hAnsi="Arial" w:cs="Arial"/>
          <w:bCs/>
          <w:sz w:val="22"/>
          <w:szCs w:val="22"/>
          <w:lang w:val="es-ES_tradnl" w:eastAsia="es-CO"/>
        </w:rPr>
      </w:pPr>
      <w:r w:rsidRPr="001226A1">
        <w:rPr>
          <w:rFonts w:ascii="Arial" w:hAnsi="Arial" w:cs="Arial"/>
          <w:bCs/>
          <w:sz w:val="22"/>
          <w:szCs w:val="22"/>
          <w:lang w:val="es-MX" w:eastAsia="es-CO"/>
        </w:rPr>
        <w:t xml:space="preserve">La función consultiva atribuida a esta Agencia por </w:t>
      </w:r>
      <w:r w:rsidRPr="001226A1">
        <w:rPr>
          <w:rFonts w:ascii="Arial" w:hAnsi="Arial" w:cs="Arial"/>
          <w:bCs/>
          <w:sz w:val="22"/>
          <w:szCs w:val="22"/>
          <w:lang w:val="es-ES_tradnl" w:eastAsia="es-CO"/>
        </w:rPr>
        <w:t xml:space="preserve">los artículos 3, numeral 5, 11, numeral 8, 12, numeral 6, y 13, numeral 4, del Decreto 4170 de 2011, </w:t>
      </w:r>
      <w:r w:rsidRPr="001226A1">
        <w:rPr>
          <w:rFonts w:ascii="Arial" w:hAnsi="Arial" w:cs="Arial"/>
          <w:bCs/>
          <w:sz w:val="22"/>
          <w:szCs w:val="22"/>
          <w:lang w:val="es-MX" w:eastAsia="es-CO"/>
        </w:rPr>
        <w:t xml:space="preserve">se limita a responder solicitudes sobre la aplicación de normas de carácter general en materia de compras y contratación pública. </w:t>
      </w:r>
      <w:r w:rsidRPr="001226A1">
        <w:rPr>
          <w:rFonts w:ascii="Arial" w:hAnsi="Arial" w:cs="Arial"/>
          <w:bCs/>
          <w:sz w:val="22"/>
          <w:szCs w:val="22"/>
          <w:lang w:val="es-ES" w:eastAsia="es-CO"/>
        </w:rPr>
        <w:t xml:space="preserve">Esta competencia de interpretación de normas generales, por definición, no puede extenderse a la resolución de controversias, ni a brindar asesorías sobre casos puntuales. </w:t>
      </w:r>
      <w:r w:rsidRPr="001226A1">
        <w:rPr>
          <w:rFonts w:ascii="Arial" w:hAnsi="Arial" w:cs="Arial"/>
          <w:bCs/>
          <w:sz w:val="22"/>
          <w:szCs w:val="22"/>
          <w:lang w:val="es-MX" w:eastAsia="es-CO"/>
        </w:rPr>
        <w:t>En tal sentido, no es competencia de esta Agencia determinar la forma en que las entidades adelantarán sus contrataciones, así como tampoco solucionar problemas jurídicos particulares de los partícipes de la contratación estatal. Estas funciones son competencia exclusiva de las entidades respectivas que fueron dotadas de autonomía administrativa y son las responsables de definir su actividad contractual, conforme al régimen jurídico que les aplica. Por consiguiente, corresponde a cada</w:t>
      </w:r>
      <w:r w:rsidRPr="001226A1">
        <w:rPr>
          <w:rFonts w:ascii="Arial" w:hAnsi="Arial" w:cs="Arial"/>
          <w:bCs/>
          <w:sz w:val="22"/>
          <w:szCs w:val="22"/>
          <w:lang w:val="es-ES_tradnl" w:eastAsia="es-CO"/>
        </w:rPr>
        <w:t xml:space="preserve"> entidad, en el marco de sus competencias, determinar la forma en la cual deberán dar cumplimiento a las obligaciones constitucionales y legales que le asisten.</w:t>
      </w:r>
    </w:p>
    <w:p w14:paraId="52AE2346" w14:textId="77777777" w:rsidR="00582ABC" w:rsidRPr="00582ABC" w:rsidRDefault="00582ABC" w:rsidP="001226A1">
      <w:pPr>
        <w:shd w:val="clear" w:color="auto" w:fill="FFFFFF"/>
        <w:spacing w:after="120" w:line="276" w:lineRule="auto"/>
        <w:ind w:right="51"/>
        <w:jc w:val="both"/>
        <w:rPr>
          <w:rFonts w:ascii="Arial" w:hAnsi="Arial" w:cs="Arial"/>
          <w:bCs/>
          <w:sz w:val="22"/>
          <w:szCs w:val="22"/>
          <w:lang w:val="es-ES_tradnl" w:eastAsia="es-CO"/>
        </w:rPr>
      </w:pPr>
    </w:p>
    <w:p w14:paraId="77EE5912" w14:textId="152CAA97" w:rsidR="00DD5B04" w:rsidRDefault="00DD5B04" w:rsidP="00B21040">
      <w:pPr>
        <w:spacing w:line="276" w:lineRule="auto"/>
        <w:ind w:right="49"/>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B21040">
      <w:pPr>
        <w:spacing w:before="120" w:line="276" w:lineRule="auto"/>
        <w:ind w:right="49"/>
        <w:jc w:val="both"/>
        <w:rPr>
          <w:rFonts w:ascii="Arial" w:hAnsi="Arial" w:cs="Arial"/>
          <w:color w:val="000000" w:themeColor="text1"/>
          <w:sz w:val="22"/>
          <w:lang w:val="es-ES_tradnl"/>
        </w:rPr>
      </w:pPr>
    </w:p>
    <w:p w14:paraId="349855C9" w14:textId="03E35D79" w:rsidR="00D40F8B" w:rsidRPr="00E23980" w:rsidRDefault="00861F0F" w:rsidP="00B21040">
      <w:pPr>
        <w:pStyle w:val="NormalWeb"/>
        <w:spacing w:before="0" w:beforeAutospacing="0" w:after="0" w:afterAutospacing="0" w:line="276" w:lineRule="auto"/>
        <w:ind w:right="4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5C5C1808" w:rsidR="00D40F8B" w:rsidRDefault="00BF0839" w:rsidP="00B21040">
      <w:pPr>
        <w:pStyle w:val="NormalWeb"/>
        <w:spacing w:before="0" w:beforeAutospacing="0" w:after="0" w:afterAutospacing="0" w:line="276" w:lineRule="auto"/>
        <w:ind w:right="49"/>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412CE7C" wp14:editId="7088543E">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0A1E411" w14:textId="77777777" w:rsidR="00D40F8B" w:rsidRPr="00DC5823" w:rsidRDefault="00D40F8B" w:rsidP="00B21040">
      <w:pPr>
        <w:pStyle w:val="NormalWeb"/>
        <w:spacing w:before="0" w:beforeAutospacing="0" w:after="0" w:afterAutospacing="0" w:line="276" w:lineRule="auto"/>
        <w:ind w:right="49"/>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C5823" w:rsidRDefault="00F412DF"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14:paraId="240C71FD" w14:textId="31312C95"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C5823" w:rsidRDefault="00F412DF" w:rsidP="00B21040">
            <w:pPr>
              <w:ind w:right="49"/>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130B3228" w14:textId="191F63D0" w:rsidR="00F83702" w:rsidRPr="00DC5823" w:rsidRDefault="00F412DF" w:rsidP="00B21040">
            <w:pPr>
              <w:ind w:right="49"/>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B21040">
            <w:pPr>
              <w:ind w:right="49"/>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11"/>
    </w:tbl>
    <w:p w14:paraId="491DE49E" w14:textId="1AD8576B" w:rsidR="0072142B" w:rsidRDefault="0072142B" w:rsidP="00B21040">
      <w:pPr>
        <w:ind w:right="49"/>
        <w:jc w:val="both"/>
        <w:rPr>
          <w:rFonts w:ascii="Arial" w:hAnsi="Arial" w:cs="Arial"/>
          <w:lang w:val="es-ES_tradnl"/>
        </w:rPr>
      </w:pPr>
    </w:p>
    <w:bookmarkEnd w:id="10"/>
    <w:p w14:paraId="34E602B2" w14:textId="77777777" w:rsidR="004428CA" w:rsidRDefault="004428CA">
      <w:pPr>
        <w:ind w:right="49"/>
        <w:jc w:val="both"/>
        <w:rPr>
          <w:rFonts w:ascii="Arial" w:hAnsi="Arial" w:cs="Arial"/>
          <w:lang w:val="es-ES_tradnl"/>
        </w:rPr>
      </w:pPr>
    </w:p>
    <w:sectPr w:rsidR="004428CA" w:rsidSect="00B21040">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2BDFC" w14:textId="77777777" w:rsidR="00781F7D" w:rsidRDefault="00781F7D">
      <w:r>
        <w:separator/>
      </w:r>
    </w:p>
  </w:endnote>
  <w:endnote w:type="continuationSeparator" w:id="0">
    <w:p w14:paraId="7D1A34AC" w14:textId="77777777" w:rsidR="00781F7D" w:rsidRDefault="00781F7D">
      <w:r>
        <w:continuationSeparator/>
      </w:r>
    </w:p>
  </w:endnote>
  <w:endnote w:type="continuationNotice" w:id="1">
    <w:p w14:paraId="1644C2F3" w14:textId="77777777" w:rsidR="00781F7D" w:rsidRDefault="0078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14BC" w14:textId="77777777" w:rsidR="00781F7D" w:rsidRDefault="00781F7D">
      <w:r>
        <w:separator/>
      </w:r>
    </w:p>
  </w:footnote>
  <w:footnote w:type="continuationSeparator" w:id="0">
    <w:p w14:paraId="66280917" w14:textId="77777777" w:rsidR="00781F7D" w:rsidRDefault="00781F7D">
      <w:r>
        <w:continuationSeparator/>
      </w:r>
    </w:p>
  </w:footnote>
  <w:footnote w:type="continuationNotice" w:id="1">
    <w:p w14:paraId="58D18083" w14:textId="77777777" w:rsidR="00781F7D" w:rsidRDefault="00781F7D"/>
  </w:footnote>
  <w:footnote w:id="2">
    <w:p w14:paraId="697BB3C6" w14:textId="77777777" w:rsidR="006636CE" w:rsidRPr="00D05C96" w:rsidRDefault="006636CE" w:rsidP="00D05C96">
      <w:pPr>
        <w:pStyle w:val="Textonotapie"/>
        <w:ind w:firstLine="708"/>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05C96">
        <w:rPr>
          <w:rFonts w:ascii="Arial" w:hAnsi="Arial" w:cs="Arial"/>
          <w:i/>
          <w:iCs/>
          <w:sz w:val="16"/>
          <w:szCs w:val="16"/>
        </w:rPr>
        <w:t xml:space="preserve">ibidem </w:t>
      </w:r>
      <w:r w:rsidRPr="00D05C96">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D05C96">
        <w:rPr>
          <w:rFonts w:ascii="Arial" w:hAnsi="Arial" w:cs="Arial"/>
          <w:sz w:val="16"/>
          <w:szCs w:val="16"/>
        </w:rPr>
        <w:t>bsolver</w:t>
      </w:r>
      <w:proofErr w:type="spellEnd"/>
      <w:r w:rsidRPr="00D05C96">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05C96">
        <w:rPr>
          <w:rFonts w:ascii="Arial" w:hAnsi="Arial" w:cs="Arial"/>
          <w:sz w:val="16"/>
          <w:szCs w:val="16"/>
        </w:rPr>
        <w:t>bsolver</w:t>
      </w:r>
      <w:proofErr w:type="spellEnd"/>
      <w:r w:rsidRPr="00D05C96">
        <w:rPr>
          <w:rFonts w:ascii="Arial" w:hAnsi="Arial" w:cs="Arial"/>
          <w:sz w:val="16"/>
          <w:szCs w:val="16"/>
        </w:rPr>
        <w:t xml:space="preserve"> consultas sobre la aplicación de normas de carácter general».</w:t>
      </w:r>
    </w:p>
  </w:footnote>
  <w:footnote w:id="3">
    <w:p w14:paraId="51BF1559" w14:textId="77777777" w:rsidR="00D5616D" w:rsidRPr="00D05C96" w:rsidRDefault="00D5616D" w:rsidP="00D05C96">
      <w:pPr>
        <w:pStyle w:val="Textonotapie"/>
        <w:ind w:firstLine="709"/>
        <w:jc w:val="both"/>
        <w:rPr>
          <w:rFonts w:ascii="Arial" w:hAnsi="Arial" w:cs="Arial"/>
          <w:sz w:val="16"/>
          <w:szCs w:val="16"/>
          <w:lang w:val="es-CO"/>
        </w:rPr>
      </w:pPr>
      <w:r w:rsidRPr="00D05C96">
        <w:rPr>
          <w:rStyle w:val="Refdenotaalpie"/>
          <w:rFonts w:ascii="Arial" w:hAnsi="Arial" w:cs="Arial"/>
          <w:sz w:val="16"/>
          <w:szCs w:val="16"/>
        </w:rPr>
        <w:footnoteRef/>
      </w:r>
      <w:r w:rsidRPr="00D05C96">
        <w:rPr>
          <w:rFonts w:ascii="Arial" w:hAnsi="Arial" w:cs="Arial"/>
          <w:sz w:val="16"/>
          <w:szCs w:val="16"/>
        </w:rPr>
        <w:t xml:space="preserve"> Esta norma señala que: </w:t>
      </w:r>
      <w:r w:rsidRPr="00D05C96">
        <w:rPr>
          <w:rFonts w:ascii="Arial" w:eastAsia="Calibri" w:hAnsi="Arial" w:cs="Arial"/>
          <w:bCs/>
          <w:sz w:val="16"/>
          <w:szCs w:val="16"/>
        </w:rPr>
        <w:t>«</w:t>
      </w:r>
      <w:r w:rsidRPr="00D05C96">
        <w:rPr>
          <w:rFonts w:ascii="Arial" w:hAnsi="Arial" w:cs="Arial"/>
          <w:sz w:val="16"/>
          <w:szCs w:val="16"/>
          <w:lang w:val="es-CO"/>
        </w:rPr>
        <w:t xml:space="preserve">Con el propósito de promover la reactivación económica y la generación de empleo en las regiones, </w:t>
      </w:r>
      <w:bookmarkStart w:id="16" w:name="_Hlk92791051"/>
      <w:r w:rsidRPr="00D05C96">
        <w:rPr>
          <w:rFonts w:ascii="Arial" w:hAnsi="Arial" w:cs="Arial"/>
          <w:sz w:val="16"/>
          <w:szCs w:val="16"/>
          <w:lang w:val="es-CO"/>
        </w:rPr>
        <w:t>a partir de la publicación de la presente ley y durante la vigencia fiscal 2022, la Nación podrá celebrar convenios interadministrativos con las entidades territoriales para ejecutar programas y proyectos correspondientes al Presupuesto General de la Nación</w:t>
      </w:r>
      <w:bookmarkEnd w:id="16"/>
      <w:r w:rsidRPr="00D05C96">
        <w:rPr>
          <w:rFonts w:ascii="Arial" w:hAnsi="Arial" w:cs="Arial"/>
          <w:sz w:val="16"/>
          <w:szCs w:val="16"/>
          <w:lang w:val="es-CO"/>
        </w:rPr>
        <w:t xml:space="preserve">. </w:t>
      </w:r>
    </w:p>
    <w:p w14:paraId="2AA2DA2A" w14:textId="77777777" w:rsidR="00D5616D" w:rsidRPr="00D05C96" w:rsidRDefault="00D5616D" w:rsidP="00D05C96">
      <w:pPr>
        <w:pStyle w:val="Textonotapie"/>
        <w:ind w:firstLine="709"/>
        <w:jc w:val="both"/>
        <w:rPr>
          <w:rFonts w:ascii="Arial" w:hAnsi="Arial" w:cs="Arial"/>
          <w:sz w:val="16"/>
          <w:szCs w:val="16"/>
          <w:lang w:val="es-CO"/>
        </w:rPr>
      </w:pPr>
      <w:proofErr w:type="gramStart"/>
      <w:r w:rsidRPr="00D05C96">
        <w:rPr>
          <w:rFonts w:ascii="Arial" w:eastAsia="Calibri" w:hAnsi="Arial" w:cs="Arial"/>
          <w:bCs/>
          <w:sz w:val="16"/>
          <w:szCs w:val="16"/>
        </w:rPr>
        <w:t>»</w:t>
      </w:r>
      <w:r w:rsidRPr="00D05C96">
        <w:rPr>
          <w:rFonts w:ascii="Arial" w:hAnsi="Arial" w:cs="Arial"/>
          <w:sz w:val="16"/>
          <w:szCs w:val="16"/>
          <w:lang w:val="es-CO"/>
        </w:rPr>
        <w:t>La</w:t>
      </w:r>
      <w:proofErr w:type="gramEnd"/>
      <w:r w:rsidRPr="00D05C96">
        <w:rPr>
          <w:rFonts w:ascii="Arial" w:hAnsi="Arial" w:cs="Arial"/>
          <w:sz w:val="16"/>
          <w:szCs w:val="16"/>
          <w:lang w:val="es-CO"/>
        </w:rPr>
        <w:t xml:space="preserve"> presente disposición modifica únicamente en la parte pertinente el inciso primero del parágrafo del artículo 38 de la Ley 996 de 2005. </w:t>
      </w:r>
    </w:p>
    <w:p w14:paraId="44984723" w14:textId="77777777" w:rsidR="00D5616D" w:rsidRPr="00D05C96" w:rsidRDefault="00D5616D" w:rsidP="00D05C96">
      <w:pPr>
        <w:pStyle w:val="Textonotapie"/>
        <w:ind w:firstLine="709"/>
        <w:jc w:val="both"/>
        <w:rPr>
          <w:rFonts w:ascii="Arial" w:hAnsi="Arial" w:cs="Arial"/>
          <w:sz w:val="16"/>
          <w:szCs w:val="16"/>
          <w:lang w:val="es-CO"/>
        </w:rPr>
      </w:pPr>
      <w:proofErr w:type="gramStart"/>
      <w:r w:rsidRPr="00D05C96">
        <w:rPr>
          <w:rFonts w:ascii="Arial" w:eastAsia="Calibri" w:hAnsi="Arial" w:cs="Arial"/>
          <w:bCs/>
          <w:sz w:val="16"/>
          <w:szCs w:val="16"/>
        </w:rPr>
        <w:t>»</w:t>
      </w:r>
      <w:r w:rsidRPr="00D05C96">
        <w:rPr>
          <w:rFonts w:ascii="Arial" w:hAnsi="Arial" w:cs="Arial"/>
          <w:sz w:val="16"/>
          <w:szCs w:val="16"/>
          <w:lang w:val="es-CO"/>
        </w:rPr>
        <w:t>Parágrafo</w:t>
      </w:r>
      <w:proofErr w:type="gramEnd"/>
      <w:r w:rsidRPr="00D05C96">
        <w:rPr>
          <w:rFonts w:ascii="Arial" w:hAnsi="Arial" w:cs="Arial"/>
          <w:sz w:val="16"/>
          <w:szCs w:val="16"/>
          <w:lang w:val="es-CO"/>
        </w:rPr>
        <w:t>.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D05C96">
        <w:rPr>
          <w:rFonts w:ascii="Arial" w:eastAsia="Calibri" w:hAnsi="Arial" w:cs="Arial"/>
          <w:bCs/>
          <w:sz w:val="16"/>
          <w:szCs w:val="16"/>
        </w:rPr>
        <w:t>»</w:t>
      </w:r>
      <w:r w:rsidRPr="00D05C96">
        <w:rPr>
          <w:rFonts w:ascii="Arial" w:hAnsi="Arial" w:cs="Arial"/>
          <w:sz w:val="16"/>
          <w:szCs w:val="16"/>
          <w:lang w:val="es-CO"/>
        </w:rPr>
        <w:t>.</w:t>
      </w:r>
    </w:p>
    <w:p w14:paraId="20EDE74D" w14:textId="77777777" w:rsidR="00D5616D" w:rsidRPr="00D05C96" w:rsidRDefault="00D5616D" w:rsidP="00D05C96">
      <w:pPr>
        <w:pStyle w:val="Textonotapie"/>
        <w:rPr>
          <w:sz w:val="16"/>
          <w:szCs w:val="16"/>
          <w:lang w:val="es-CO"/>
        </w:rPr>
      </w:pPr>
    </w:p>
  </w:footnote>
  <w:footnote w:id="4">
    <w:p w14:paraId="06459730" w14:textId="77777777" w:rsidR="007C609C" w:rsidRPr="00D05C96" w:rsidRDefault="007C609C"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6C5BCFE" w14:textId="77777777" w:rsidR="007C609C" w:rsidRPr="00D05C96" w:rsidRDefault="007C609C" w:rsidP="00D05C96">
      <w:pPr>
        <w:pStyle w:val="Textonotapie"/>
        <w:ind w:firstLine="709"/>
        <w:jc w:val="both"/>
        <w:rPr>
          <w:rFonts w:ascii="Arial" w:hAnsi="Arial" w:cs="Arial"/>
          <w:sz w:val="16"/>
          <w:szCs w:val="16"/>
        </w:rPr>
      </w:pPr>
      <w:proofErr w:type="gramStart"/>
      <w:r w:rsidRPr="00D05C96">
        <w:rPr>
          <w:rFonts w:ascii="Arial" w:hAnsi="Arial" w:cs="Arial"/>
          <w:sz w:val="16"/>
          <w:szCs w:val="16"/>
        </w:rPr>
        <w:t>»A</w:t>
      </w:r>
      <w:proofErr w:type="gramEnd"/>
      <w:r w:rsidRPr="00D05C96">
        <w:rPr>
          <w:rFonts w:ascii="Arial" w:hAnsi="Arial" w:cs="Arial"/>
          <w:sz w:val="16"/>
          <w:szCs w:val="16"/>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AF02AB9" w14:textId="77777777" w:rsidR="007C609C" w:rsidRPr="00D05C96" w:rsidRDefault="007C609C" w:rsidP="00D05C96">
      <w:pPr>
        <w:pStyle w:val="Textonotapie"/>
        <w:ind w:firstLine="709"/>
        <w:jc w:val="both"/>
        <w:rPr>
          <w:rFonts w:ascii="Arial" w:hAnsi="Arial" w:cs="Arial"/>
          <w:sz w:val="16"/>
          <w:szCs w:val="16"/>
        </w:rPr>
      </w:pPr>
    </w:p>
  </w:footnote>
  <w:footnote w:id="5">
    <w:p w14:paraId="4AA3DBDD" w14:textId="77777777" w:rsidR="007C609C" w:rsidRPr="00D05C96" w:rsidRDefault="007C609C"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Gaceta del Congreso de la República No. 71 del 2005.</w:t>
      </w:r>
    </w:p>
  </w:footnote>
  <w:footnote w:id="6">
    <w:p w14:paraId="0B369344" w14:textId="77777777" w:rsidR="007C609C" w:rsidRPr="00D05C96" w:rsidRDefault="007C609C"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Corte Constitucional, Sentencia C- 1153 de 2005, M.P. Marco Gerardo Monroy Cabra.</w:t>
      </w:r>
    </w:p>
  </w:footnote>
  <w:footnote w:id="7">
    <w:p w14:paraId="47BC5359" w14:textId="77777777" w:rsidR="007C609C" w:rsidRPr="00D05C96" w:rsidRDefault="007C609C"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1ED6474A" w14:textId="77777777" w:rsidR="007C609C" w:rsidRPr="00D05C96" w:rsidRDefault="007C609C" w:rsidP="00D05C96">
      <w:pPr>
        <w:pStyle w:val="Textonotapie"/>
        <w:ind w:firstLine="709"/>
        <w:jc w:val="both"/>
        <w:rPr>
          <w:rFonts w:ascii="Arial" w:hAnsi="Arial" w:cs="Arial"/>
          <w:sz w:val="16"/>
          <w:szCs w:val="16"/>
          <w:lang w:val="es-CO"/>
        </w:rPr>
      </w:pPr>
      <w:r w:rsidRPr="00D05C96">
        <w:rPr>
          <w:rStyle w:val="Refdenotaalpie"/>
          <w:rFonts w:ascii="Arial" w:hAnsi="Arial" w:cs="Arial"/>
          <w:sz w:val="16"/>
          <w:szCs w:val="16"/>
        </w:rPr>
        <w:footnoteRef/>
      </w:r>
      <w:r w:rsidRPr="00D05C96">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1D79A013" w14:textId="77777777" w:rsidR="007C609C" w:rsidRPr="00D05C96" w:rsidRDefault="007C609C"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de fecha 24 de julio de 2013, radicado 2166, Consejero Ponente: Álvaro </w:t>
      </w:r>
      <w:proofErr w:type="spellStart"/>
      <w:r w:rsidRPr="00D05C96">
        <w:rPr>
          <w:rFonts w:ascii="Arial" w:hAnsi="Arial" w:cs="Arial"/>
          <w:sz w:val="16"/>
          <w:szCs w:val="16"/>
        </w:rPr>
        <w:t>Namén</w:t>
      </w:r>
      <w:proofErr w:type="spellEnd"/>
      <w:r w:rsidRPr="00D05C96">
        <w:rPr>
          <w:rFonts w:ascii="Arial" w:hAnsi="Arial" w:cs="Arial"/>
          <w:sz w:val="16"/>
          <w:szCs w:val="16"/>
        </w:rPr>
        <w:t xml:space="preserve"> Vargas.  </w:t>
      </w:r>
    </w:p>
  </w:footnote>
  <w:footnote w:id="10">
    <w:p w14:paraId="5DFEC999" w14:textId="77777777" w:rsidR="007C609C" w:rsidRPr="00D05C96" w:rsidRDefault="007C609C" w:rsidP="00D05C96">
      <w:pPr>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20" w:name="33"/>
      <w:r w:rsidRPr="00D05C96">
        <w:rPr>
          <w:rFonts w:ascii="Arial" w:eastAsia="Calibri" w:hAnsi="Arial" w:cs="Arial"/>
          <w:bCs/>
          <w:color w:val="000000"/>
          <w:sz w:val="16"/>
          <w:szCs w:val="16"/>
        </w:rPr>
        <w:t>«</w:t>
      </w:r>
      <w:r w:rsidRPr="00D05C96">
        <w:rPr>
          <w:rFonts w:ascii="Arial" w:hAnsi="Arial" w:cs="Arial"/>
          <w:sz w:val="16"/>
          <w:szCs w:val="16"/>
        </w:rPr>
        <w:t>Artículo 33. Restricciones a la contratación pública.</w:t>
      </w:r>
      <w:bookmarkEnd w:id="20"/>
      <w:r w:rsidRPr="00D05C96">
        <w:rPr>
          <w:rFonts w:ascii="Arial"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1288E47A" w14:textId="77777777" w:rsidR="007C609C" w:rsidRPr="00D05C96" w:rsidRDefault="007C609C" w:rsidP="00D05C96">
      <w:pPr>
        <w:ind w:firstLine="709"/>
        <w:jc w:val="both"/>
        <w:rPr>
          <w:rFonts w:ascii="Arial" w:hAnsi="Arial" w:cs="Arial"/>
          <w:sz w:val="16"/>
          <w:szCs w:val="16"/>
        </w:rPr>
      </w:pPr>
      <w:r w:rsidRPr="00D05C96">
        <w:rPr>
          <w:rFonts w:ascii="Arial" w:eastAsia="Calibri" w:hAnsi="Arial" w:cs="Arial"/>
          <w:bCs/>
          <w:color w:val="000000"/>
          <w:sz w:val="16"/>
          <w:szCs w:val="16"/>
        </w:rPr>
        <w:t>»</w:t>
      </w:r>
      <w:r w:rsidRPr="00D05C96">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05C96">
        <w:rPr>
          <w:rFonts w:ascii="Arial" w:eastAsia="Calibri" w:hAnsi="Arial" w:cs="Arial"/>
          <w:bCs/>
          <w:color w:val="000000"/>
          <w:sz w:val="16"/>
          <w:szCs w:val="16"/>
        </w:rPr>
        <w:t>»</w:t>
      </w:r>
      <w:r w:rsidRPr="00D05C96">
        <w:rPr>
          <w:rFonts w:ascii="Arial" w:hAnsi="Arial" w:cs="Arial"/>
          <w:sz w:val="16"/>
          <w:szCs w:val="16"/>
        </w:rPr>
        <w:t>.</w:t>
      </w:r>
    </w:p>
  </w:footnote>
  <w:footnote w:id="11">
    <w:p w14:paraId="28B1D365" w14:textId="77777777" w:rsidR="007C609C" w:rsidRPr="00D05C96" w:rsidRDefault="007C609C" w:rsidP="00D05C96">
      <w:pPr>
        <w:pStyle w:val="NormalWeb"/>
        <w:spacing w:before="0" w:beforeAutospacing="0" w:after="0" w:afterAutospacing="0"/>
        <w:ind w:firstLine="709"/>
        <w:jc w:val="both"/>
        <w:rPr>
          <w:rFonts w:ascii="Arial" w:hAnsi="Arial" w:cs="Arial"/>
          <w:sz w:val="16"/>
          <w:szCs w:val="16"/>
          <w:lang w:val="es-MX"/>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21" w:name="38"/>
      <w:r w:rsidRPr="00D05C96">
        <w:rPr>
          <w:rFonts w:ascii="Arial" w:eastAsia="Calibri" w:hAnsi="Arial" w:cs="Arial"/>
          <w:bCs/>
          <w:color w:val="000000"/>
          <w:sz w:val="16"/>
          <w:szCs w:val="16"/>
        </w:rPr>
        <w:t>«</w:t>
      </w:r>
      <w:r w:rsidRPr="00D05C96">
        <w:rPr>
          <w:rFonts w:ascii="Arial" w:hAnsi="Arial" w:cs="Arial"/>
          <w:sz w:val="16"/>
          <w:szCs w:val="16"/>
          <w:lang w:val="es-MX"/>
        </w:rPr>
        <w:t>Artículo 38. Prohibiciones para los servidores públicos. A los empleados del Estado les está prohibido:</w:t>
      </w:r>
      <w:bookmarkEnd w:id="21"/>
    </w:p>
    <w:p w14:paraId="49079093" w14:textId="77777777" w:rsidR="007C609C" w:rsidRPr="00D05C96" w:rsidRDefault="007C609C" w:rsidP="00D05C96">
      <w:pPr>
        <w:pStyle w:val="NormalWeb"/>
        <w:spacing w:before="0" w:beforeAutospacing="0" w:after="0" w:afterAutospacing="0"/>
        <w:ind w:firstLine="709"/>
        <w:jc w:val="both"/>
        <w:rPr>
          <w:rFonts w:ascii="Arial" w:hAnsi="Arial" w:cs="Arial"/>
          <w:sz w:val="16"/>
          <w:szCs w:val="16"/>
          <w:lang w:val="es-MX"/>
        </w:rPr>
      </w:pPr>
      <w:r w:rsidRPr="00D05C96">
        <w:rPr>
          <w:rFonts w:ascii="Arial" w:eastAsia="Calibri" w:hAnsi="Arial" w:cs="Arial"/>
          <w:bCs/>
          <w:color w:val="000000"/>
          <w:sz w:val="16"/>
          <w:szCs w:val="16"/>
        </w:rPr>
        <w:t>»</w:t>
      </w:r>
      <w:r w:rsidRPr="00D05C96">
        <w:rPr>
          <w:rFonts w:ascii="Arial" w:hAnsi="Arial" w:cs="Arial"/>
          <w:sz w:val="16"/>
          <w:szCs w:val="16"/>
          <w:lang w:val="es-MX"/>
        </w:rPr>
        <w:t xml:space="preserve"> […]</w:t>
      </w:r>
    </w:p>
    <w:p w14:paraId="42422ACC" w14:textId="77777777" w:rsidR="007C609C" w:rsidRPr="00D05C96" w:rsidRDefault="007C609C" w:rsidP="00D05C96">
      <w:pPr>
        <w:pStyle w:val="NormalWeb"/>
        <w:spacing w:before="0" w:beforeAutospacing="0" w:after="0" w:afterAutospacing="0"/>
        <w:ind w:firstLine="709"/>
        <w:jc w:val="both"/>
        <w:rPr>
          <w:rFonts w:ascii="Arial" w:hAnsi="Arial" w:cs="Arial"/>
          <w:sz w:val="16"/>
          <w:szCs w:val="16"/>
          <w:lang w:val="es-MX"/>
        </w:rPr>
      </w:pPr>
      <w:r w:rsidRPr="00D05C96">
        <w:rPr>
          <w:rFonts w:ascii="Arial" w:eastAsia="Calibri" w:hAnsi="Arial" w:cs="Arial"/>
          <w:bCs/>
          <w:color w:val="000000"/>
          <w:sz w:val="16"/>
          <w:szCs w:val="16"/>
        </w:rPr>
        <w:t>»</w:t>
      </w:r>
      <w:r w:rsidRPr="00D05C96">
        <w:rPr>
          <w:rStyle w:val="baj"/>
          <w:rFonts w:ascii="Arial" w:hAnsi="Arial" w:cs="Arial"/>
          <w:sz w:val="16"/>
          <w:szCs w:val="16"/>
          <w:lang w:val="es-MX"/>
        </w:rPr>
        <w:t xml:space="preserve"> Parágrafo.</w:t>
      </w:r>
      <w:r w:rsidRPr="00D05C96">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05C96">
        <w:rPr>
          <w:rFonts w:ascii="Arial" w:eastAsia="Calibri" w:hAnsi="Arial" w:cs="Arial"/>
          <w:bCs/>
          <w:color w:val="000000"/>
          <w:sz w:val="16"/>
          <w:szCs w:val="16"/>
        </w:rPr>
        <w:t>»</w:t>
      </w:r>
      <w:r w:rsidRPr="00D05C96">
        <w:rPr>
          <w:rFonts w:ascii="Arial" w:hAnsi="Arial" w:cs="Arial"/>
          <w:sz w:val="16"/>
          <w:szCs w:val="16"/>
          <w:lang w:val="es-MX"/>
        </w:rPr>
        <w:t>.</w:t>
      </w:r>
    </w:p>
  </w:footnote>
  <w:footnote w:id="12">
    <w:p w14:paraId="7F70B450" w14:textId="77777777" w:rsidR="007C609C" w:rsidRPr="00D05C96" w:rsidRDefault="007C609C" w:rsidP="00D05C96">
      <w:pPr>
        <w:ind w:left="100" w:right="244"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3">
    <w:p w14:paraId="73696BE4" w14:textId="77777777" w:rsidR="001C2E6F" w:rsidRPr="00D05C96" w:rsidRDefault="001C2E6F" w:rsidP="00D05C96">
      <w:pPr>
        <w:pStyle w:val="Textonotapie"/>
        <w:ind w:right="51"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27" w:name="_Hlk74272731"/>
      <w:r w:rsidRPr="00D05C96">
        <w:rPr>
          <w:rFonts w:ascii="Arial" w:hAnsi="Arial" w:cs="Arial"/>
          <w:sz w:val="16"/>
          <w:szCs w:val="16"/>
        </w:rPr>
        <w:t>«</w:t>
      </w:r>
      <w:bookmarkEnd w:id="27"/>
      <w:r w:rsidRPr="00D05C96">
        <w:rPr>
          <w:rFonts w:ascii="Arial" w:hAnsi="Arial" w:cs="Arial"/>
          <w:sz w:val="16"/>
          <w:szCs w:val="16"/>
          <w:lang w:val="es-ES"/>
        </w:rPr>
        <w:t xml:space="preserve">[25] </w:t>
      </w:r>
      <w:r w:rsidRPr="00D05C96">
        <w:rPr>
          <w:rFonts w:ascii="Arial" w:hAnsi="Arial" w:cs="Arial"/>
          <w:sz w:val="16"/>
          <w:szCs w:val="16"/>
        </w:rPr>
        <w:t>Cfr. Consejo de Estado. Sección Tercera. Sentencia de 3 de diciembre de 2007. Radicados: 24.715, 25.206, 25.409, 24.524, 27.834, 25.410, 26.105, 28.244, 31.447 -acumulados-</w:t>
      </w:r>
      <w:bookmarkStart w:id="28" w:name="_Hlk74271358"/>
      <w:r w:rsidRPr="00D05C96">
        <w:rPr>
          <w:rFonts w:ascii="Arial" w:hAnsi="Arial" w:cs="Arial"/>
          <w:sz w:val="16"/>
          <w:szCs w:val="16"/>
        </w:rPr>
        <w:t>»</w:t>
      </w:r>
      <w:bookmarkEnd w:id="28"/>
      <w:r w:rsidRPr="00D05C96">
        <w:rPr>
          <w:rFonts w:ascii="Arial" w:hAnsi="Arial" w:cs="Arial"/>
          <w:sz w:val="16"/>
          <w:szCs w:val="16"/>
        </w:rPr>
        <w:t>.</w:t>
      </w:r>
    </w:p>
  </w:footnote>
  <w:footnote w:id="14">
    <w:p w14:paraId="2E5D120D" w14:textId="77777777" w:rsidR="001C2E6F" w:rsidRPr="00D05C96" w:rsidRDefault="001C2E6F" w:rsidP="00D05C96">
      <w:pPr>
        <w:pStyle w:val="Textonotapie"/>
        <w:ind w:right="51"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30" w:name="_Hlk74294506"/>
      <w:r w:rsidRPr="00D05C96">
        <w:rPr>
          <w:rFonts w:ascii="Arial" w:hAnsi="Arial" w:cs="Arial"/>
          <w:sz w:val="16"/>
          <w:szCs w:val="16"/>
        </w:rPr>
        <w:t>«</w:t>
      </w:r>
      <w:r w:rsidRPr="00D05C96">
        <w:rPr>
          <w:rFonts w:ascii="Arial" w:hAnsi="Arial" w:cs="Arial"/>
          <w:sz w:val="16"/>
          <w:szCs w:val="16"/>
          <w:lang w:val="es-ES"/>
        </w:rPr>
        <w:t xml:space="preserve">[26] </w:t>
      </w:r>
      <w:bookmarkEnd w:id="30"/>
      <w:r w:rsidRPr="00D05C96">
        <w:rPr>
          <w:rFonts w:ascii="Arial" w:hAnsi="Arial" w:cs="Arial"/>
          <w:sz w:val="16"/>
          <w:szCs w:val="16"/>
        </w:rPr>
        <w:t>Al respecto ver el concepto 1712 de 2 de febrero de 2006. Consejo de Estado Sala de Consulta y Servicio Civil».</w:t>
      </w:r>
    </w:p>
  </w:footnote>
  <w:footnote w:id="15">
    <w:p w14:paraId="438A38E4" w14:textId="77777777" w:rsidR="001C2E6F" w:rsidRPr="00D05C96" w:rsidRDefault="001C2E6F"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D05C96">
        <w:rPr>
          <w:rFonts w:ascii="Arial" w:hAnsi="Arial" w:cs="Arial"/>
          <w:sz w:val="16"/>
          <w:szCs w:val="16"/>
        </w:rPr>
        <w:t>Namén</w:t>
      </w:r>
      <w:proofErr w:type="spellEnd"/>
      <w:r w:rsidRPr="00D05C96">
        <w:rPr>
          <w:rFonts w:ascii="Arial" w:hAnsi="Arial" w:cs="Arial"/>
          <w:sz w:val="16"/>
          <w:szCs w:val="16"/>
        </w:rPr>
        <w:t xml:space="preserve"> Vargas.</w:t>
      </w:r>
    </w:p>
  </w:footnote>
  <w:footnote w:id="16">
    <w:p w14:paraId="28B55733" w14:textId="77777777" w:rsidR="001C2E6F" w:rsidRPr="00D05C96" w:rsidRDefault="001C2E6F" w:rsidP="00D05C96">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w:t>
      </w:r>
      <w:r w:rsidRPr="00D05C96">
        <w:rPr>
          <w:rFonts w:ascii="Arial" w:hAnsi="Arial" w:cs="Arial"/>
          <w:sz w:val="16"/>
          <w:szCs w:val="16"/>
          <w:lang w:val="es-ES"/>
        </w:rPr>
        <w:t xml:space="preserve">Artículo 2. </w:t>
      </w:r>
    </w:p>
  </w:footnote>
  <w:footnote w:id="17">
    <w:p w14:paraId="4FDF073C" w14:textId="77777777" w:rsidR="001C2E6F" w:rsidRPr="00D05C96" w:rsidRDefault="001C2E6F" w:rsidP="00D05C96">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w:t>
      </w:r>
      <w:r w:rsidRPr="00D05C96">
        <w:rPr>
          <w:rFonts w:ascii="Arial" w:hAnsi="Arial" w:cs="Arial"/>
          <w:i/>
          <w:sz w:val="16"/>
          <w:szCs w:val="16"/>
          <w:lang w:val="es-ES"/>
        </w:rPr>
        <w:t>Ídem</w:t>
      </w:r>
      <w:r w:rsidRPr="00D05C96">
        <w:rPr>
          <w:rFonts w:ascii="Arial" w:hAnsi="Arial" w:cs="Arial"/>
          <w:sz w:val="16"/>
          <w:szCs w:val="16"/>
          <w:lang w:val="es-ES"/>
        </w:rPr>
        <w:t>.</w:t>
      </w:r>
    </w:p>
  </w:footnote>
  <w:footnote w:id="18">
    <w:p w14:paraId="3A255C1E" w14:textId="77777777" w:rsidR="001C2E6F" w:rsidRPr="00D05C96" w:rsidRDefault="001C2E6F" w:rsidP="00D05C96">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Style w:val="Refdenotaalpie"/>
          <w:rFonts w:ascii="Arial" w:hAnsi="Arial" w:cs="Arial"/>
          <w:sz w:val="16"/>
          <w:szCs w:val="16"/>
        </w:rPr>
        <w:t xml:space="preserve"> </w:t>
      </w:r>
      <w:bookmarkStart w:id="34" w:name="_Hlk74297130"/>
      <w:r w:rsidRPr="00D05C96">
        <w:rPr>
          <w:rFonts w:ascii="Arial" w:hAnsi="Arial" w:cs="Arial"/>
          <w:sz w:val="16"/>
          <w:szCs w:val="16"/>
          <w:lang w:val="es-ES"/>
        </w:rPr>
        <w:t>«</w:t>
      </w:r>
      <w:bookmarkEnd w:id="34"/>
      <w:r w:rsidRPr="00D05C96">
        <w:rPr>
          <w:rFonts w:ascii="Arial" w:hAnsi="Arial" w:cs="Arial"/>
          <w:sz w:val="16"/>
          <w:szCs w:val="16"/>
          <w:lang w:val="es-ES"/>
        </w:rPr>
        <w:t xml:space="preserve">[…] A este respecto, cabe recordar que el artículo 860 del Código de Comercio regula la licitación en el derecho privado». </w:t>
      </w:r>
    </w:p>
  </w:footnote>
  <w:footnote w:id="19">
    <w:p w14:paraId="464BC423" w14:textId="77777777" w:rsidR="001C2E6F" w:rsidRPr="00D05C96" w:rsidRDefault="001C2E6F" w:rsidP="00D05C96">
      <w:pPr>
        <w:shd w:val="clear" w:color="auto" w:fill="FFFFFF"/>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Style w:val="Refdenotaalpie"/>
          <w:rFonts w:ascii="Arial" w:hAnsi="Arial" w:cs="Arial"/>
          <w:sz w:val="16"/>
          <w:szCs w:val="16"/>
        </w:rPr>
        <w:t xml:space="preserve"> </w:t>
      </w:r>
      <w:r w:rsidRPr="00D05C96">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D05C96">
        <w:rPr>
          <w:rFonts w:ascii="Arial" w:hAnsi="Arial" w:cs="Arial"/>
          <w:sz w:val="16"/>
          <w:szCs w:val="16"/>
          <w:lang w:val="es-ES"/>
        </w:rPr>
        <w:t>Namén</w:t>
      </w:r>
      <w:proofErr w:type="spellEnd"/>
      <w:r w:rsidRPr="00D05C96">
        <w:rPr>
          <w:rFonts w:ascii="Arial" w:hAnsi="Arial" w:cs="Arial"/>
          <w:sz w:val="16"/>
          <w:szCs w:val="16"/>
          <w:lang w:val="es-ES"/>
        </w:rPr>
        <w:t xml:space="preserve"> Vargas.</w:t>
      </w:r>
    </w:p>
  </w:footnote>
  <w:footnote w:id="20">
    <w:p w14:paraId="63B0595D" w14:textId="77777777" w:rsidR="001C2E6F" w:rsidRPr="00D05C96" w:rsidRDefault="001C2E6F" w:rsidP="00D05C96">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08 de mayo de 2018. </w:t>
      </w:r>
      <w:proofErr w:type="spellStart"/>
      <w:r w:rsidRPr="00D05C96">
        <w:rPr>
          <w:rFonts w:ascii="Arial" w:hAnsi="Arial" w:cs="Arial"/>
          <w:sz w:val="16"/>
          <w:szCs w:val="16"/>
        </w:rPr>
        <w:t>Exp</w:t>
      </w:r>
      <w:proofErr w:type="spellEnd"/>
      <w:r w:rsidRPr="00D05C96">
        <w:rPr>
          <w:rFonts w:ascii="Arial" w:hAnsi="Arial" w:cs="Arial"/>
          <w:sz w:val="16"/>
          <w:szCs w:val="16"/>
        </w:rPr>
        <w:t xml:space="preserve">. 2.382. C.P. Álvaro </w:t>
      </w:r>
      <w:proofErr w:type="spellStart"/>
      <w:r w:rsidRPr="00D05C96">
        <w:rPr>
          <w:rFonts w:ascii="Arial" w:hAnsi="Arial" w:cs="Arial"/>
          <w:sz w:val="16"/>
          <w:szCs w:val="16"/>
        </w:rPr>
        <w:t>Namén</w:t>
      </w:r>
      <w:proofErr w:type="spellEnd"/>
      <w:r w:rsidRPr="00D05C96">
        <w:rPr>
          <w:rFonts w:ascii="Arial" w:hAnsi="Arial" w:cs="Arial"/>
          <w:sz w:val="16"/>
          <w:szCs w:val="16"/>
        </w:rPr>
        <w:t xml:space="preserve"> Vargas.</w:t>
      </w:r>
    </w:p>
  </w:footnote>
  <w:footnote w:id="21">
    <w:p w14:paraId="574FFAD6" w14:textId="77777777" w:rsidR="00366167" w:rsidRPr="00D05C96" w:rsidRDefault="00366167" w:rsidP="00D05C96">
      <w:pPr>
        <w:pBdr>
          <w:top w:val="nil"/>
          <w:left w:val="nil"/>
          <w:bottom w:val="nil"/>
          <w:right w:val="nil"/>
          <w:between w:val="nil"/>
        </w:pBdr>
        <w:ind w:firstLine="709"/>
        <w:jc w:val="both"/>
        <w:rPr>
          <w:rFonts w:ascii="Arial" w:eastAsia="Arial" w:hAnsi="Arial" w:cs="Arial"/>
          <w:color w:val="000000"/>
          <w:sz w:val="16"/>
          <w:szCs w:val="16"/>
        </w:rPr>
      </w:pPr>
      <w:r w:rsidRPr="00D05C96">
        <w:rPr>
          <w:rFonts w:ascii="Arial" w:hAnsi="Arial" w:cs="Arial"/>
          <w:sz w:val="16"/>
          <w:szCs w:val="16"/>
          <w:vertAlign w:val="superscript"/>
        </w:rPr>
        <w:footnoteRef/>
      </w:r>
      <w:r w:rsidRPr="00D05C96">
        <w:rPr>
          <w:rFonts w:ascii="Arial" w:eastAsia="Arial" w:hAnsi="Arial" w:cs="Arial"/>
          <w:color w:val="000000"/>
          <w:sz w:val="16"/>
          <w:szCs w:val="16"/>
        </w:rPr>
        <w:t xml:space="preserve"> La Corte Constitucional mediante Sentencia C-1153-05 de 11 de noviembre de 2005, Magistrado Ponente Marco Gerardo Monroy Cabra, efectuó el Control constitucional al Proyecto de Ley Estatutaria </w:t>
      </w:r>
      <w:proofErr w:type="spellStart"/>
      <w:r w:rsidRPr="00D05C96">
        <w:rPr>
          <w:rFonts w:ascii="Arial" w:eastAsia="Arial" w:hAnsi="Arial" w:cs="Arial"/>
          <w:color w:val="000000"/>
          <w:sz w:val="16"/>
          <w:szCs w:val="16"/>
        </w:rPr>
        <w:t>N°</w:t>
      </w:r>
      <w:proofErr w:type="spellEnd"/>
      <w:r w:rsidRPr="00D05C96">
        <w:rPr>
          <w:rFonts w:ascii="Arial" w:eastAsia="Arial" w:hAnsi="Arial" w:cs="Arial"/>
          <w:color w:val="000000"/>
          <w:sz w:val="16"/>
          <w:szCs w:val="16"/>
        </w:rPr>
        <w:t xml:space="preserve"> 216/05 Senado, </w:t>
      </w:r>
      <w:proofErr w:type="spellStart"/>
      <w:r w:rsidRPr="00D05C96">
        <w:rPr>
          <w:rFonts w:ascii="Arial" w:eastAsia="Arial" w:hAnsi="Arial" w:cs="Arial"/>
          <w:color w:val="000000"/>
          <w:sz w:val="16"/>
          <w:szCs w:val="16"/>
        </w:rPr>
        <w:t>N°</w:t>
      </w:r>
      <w:proofErr w:type="spellEnd"/>
      <w:r w:rsidRPr="00D05C96">
        <w:rPr>
          <w:rFonts w:ascii="Arial" w:eastAsia="Arial" w:hAnsi="Arial" w:cs="Arial"/>
          <w:color w:val="000000"/>
          <w:sz w:val="16"/>
          <w:szCs w:val="16"/>
        </w:rPr>
        <w:t xml:space="preserve"> 235-Cámara que dio lugar a la Ley de Garantías Electorales.</w:t>
      </w:r>
    </w:p>
  </w:footnote>
  <w:footnote w:id="22">
    <w:p w14:paraId="601CB6ED" w14:textId="77777777" w:rsidR="00366167" w:rsidRPr="00D05C96" w:rsidRDefault="00366167" w:rsidP="00D05C96">
      <w:pPr>
        <w:ind w:firstLine="709"/>
        <w:jc w:val="both"/>
        <w:rPr>
          <w:rFonts w:ascii="Arial" w:eastAsia="Arial" w:hAnsi="Arial" w:cs="Arial"/>
          <w:sz w:val="16"/>
          <w:szCs w:val="16"/>
        </w:rPr>
      </w:pPr>
      <w:r w:rsidRPr="00D05C96">
        <w:rPr>
          <w:rFonts w:ascii="Arial" w:hAnsi="Arial" w:cs="Arial"/>
          <w:sz w:val="16"/>
          <w:szCs w:val="16"/>
          <w:vertAlign w:val="superscript"/>
        </w:rPr>
        <w:footnoteRef/>
      </w:r>
      <w:r w:rsidRPr="00D05C96">
        <w:rPr>
          <w:rFonts w:ascii="Arial" w:eastAsia="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8A27DCF" w14:textId="77777777" w:rsidR="00366167" w:rsidRPr="00D05C96" w:rsidRDefault="00366167" w:rsidP="00D05C96">
      <w:pPr>
        <w:ind w:firstLine="709"/>
        <w:jc w:val="both"/>
        <w:rPr>
          <w:rFonts w:ascii="Arial" w:eastAsia="Arial" w:hAnsi="Arial" w:cs="Arial"/>
          <w:sz w:val="16"/>
          <w:szCs w:val="16"/>
        </w:rPr>
      </w:pPr>
    </w:p>
  </w:footnote>
  <w:footnote w:id="23">
    <w:p w14:paraId="711AE68B" w14:textId="77777777" w:rsidR="00366167" w:rsidRPr="00D05C96" w:rsidRDefault="00366167" w:rsidP="00D05C96">
      <w:pPr>
        <w:pStyle w:val="Textonotapie"/>
        <w:ind w:firstLine="708"/>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18 de febrero 2010. Rad. 11001-03-06-000-2010-00006-00 (1985). C.P. Enrique José Arboleda Perdomo.</w:t>
      </w:r>
    </w:p>
    <w:p w14:paraId="300B4B2C" w14:textId="77777777" w:rsidR="00366167" w:rsidRPr="00D05C96" w:rsidRDefault="00366167" w:rsidP="00D05C96">
      <w:pPr>
        <w:pStyle w:val="Textonotapie"/>
        <w:ind w:firstLine="708"/>
        <w:jc w:val="both"/>
        <w:rPr>
          <w:rFonts w:ascii="Arial" w:hAnsi="Arial" w:cs="Arial"/>
          <w:sz w:val="16"/>
          <w:szCs w:val="16"/>
        </w:rPr>
      </w:pPr>
    </w:p>
  </w:footnote>
  <w:footnote w:id="24">
    <w:p w14:paraId="3C4FA762" w14:textId="77777777" w:rsidR="00366167" w:rsidRPr="00D05C96" w:rsidRDefault="00366167" w:rsidP="00D05C96">
      <w:pPr>
        <w:pStyle w:val="Textonotapie"/>
        <w:ind w:firstLine="708"/>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Corte Constitucional. Sentencia C-1153 de 2005 M.P. Marco Gerardo Monroy Cabra. </w:t>
      </w:r>
    </w:p>
  </w:footnote>
  <w:footnote w:id="25">
    <w:p w14:paraId="56D5309E" w14:textId="77777777" w:rsidR="00366167" w:rsidRPr="00D05C96" w:rsidRDefault="00366167" w:rsidP="00D05C96">
      <w:pPr>
        <w:pStyle w:val="Textonotapie"/>
        <w:ind w:firstLine="708"/>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02 de septiembre de 2013. Rad. 11001-03-06-000-2013-00412-00 (2168). C.P. Álvaro </w:t>
      </w:r>
      <w:proofErr w:type="spellStart"/>
      <w:r w:rsidRPr="00D05C96">
        <w:rPr>
          <w:rFonts w:ascii="Arial" w:hAnsi="Arial" w:cs="Arial"/>
          <w:sz w:val="16"/>
          <w:szCs w:val="16"/>
        </w:rPr>
        <w:t>Namén</w:t>
      </w:r>
      <w:proofErr w:type="spellEnd"/>
      <w:r w:rsidRPr="00D05C96">
        <w:rPr>
          <w:rFonts w:ascii="Arial" w:hAnsi="Arial" w:cs="Arial"/>
          <w:sz w:val="16"/>
          <w:szCs w:val="16"/>
        </w:rPr>
        <w:t xml:space="preserve"> Vargas.</w:t>
      </w:r>
    </w:p>
    <w:p w14:paraId="4BB70B51" w14:textId="77777777" w:rsidR="00366167" w:rsidRPr="00D05C96" w:rsidRDefault="00366167" w:rsidP="00D05C96">
      <w:pPr>
        <w:pStyle w:val="Textonotapie"/>
        <w:jc w:val="both"/>
        <w:rPr>
          <w:rFonts w:ascii="Arial" w:hAnsi="Arial" w:cs="Arial"/>
          <w:sz w:val="16"/>
          <w:szCs w:val="16"/>
        </w:rPr>
      </w:pPr>
    </w:p>
  </w:footnote>
  <w:footnote w:id="26">
    <w:p w14:paraId="483A0E2C" w14:textId="5C34D72E" w:rsidR="00366167" w:rsidRPr="00D05C96" w:rsidRDefault="00366167" w:rsidP="00D05C96">
      <w:pPr>
        <w:pStyle w:val="Textonotapie"/>
        <w:ind w:firstLine="708"/>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w:t>
      </w:r>
      <w:r w:rsidRPr="00D05C96">
        <w:rPr>
          <w:rFonts w:ascii="Arial" w:hAnsi="Arial" w:cs="Arial"/>
          <w:sz w:val="16"/>
          <w:szCs w:val="16"/>
          <w:lang w:val="es-CO"/>
        </w:rPr>
        <w:t>«</w:t>
      </w:r>
      <w:r w:rsidRPr="00D05C96">
        <w:rPr>
          <w:rFonts w:ascii="Arial" w:hAnsi="Arial" w:cs="Arial"/>
          <w:sz w:val="16"/>
          <w:szCs w:val="16"/>
        </w:rPr>
        <w:t xml:space="preserve">Artículo 197. Empresas sociales de salud de </w:t>
      </w:r>
      <w:r w:rsidR="00D616B2" w:rsidRPr="00D05C96">
        <w:rPr>
          <w:rFonts w:ascii="Arial" w:hAnsi="Arial" w:cs="Arial"/>
          <w:sz w:val="16"/>
          <w:szCs w:val="16"/>
        </w:rPr>
        <w:t>carácter</w:t>
      </w:r>
      <w:r w:rsidRPr="00D05C96">
        <w:rPr>
          <w:rFonts w:ascii="Arial" w:hAnsi="Arial" w:cs="Arial"/>
          <w:sz w:val="16"/>
          <w:szCs w:val="16"/>
        </w:rPr>
        <w:t xml:space="preserve">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27">
    <w:p w14:paraId="763E8F77" w14:textId="6F6A5A5D" w:rsidR="00366167" w:rsidRPr="00D05C96" w:rsidRDefault="00366167" w:rsidP="00D05C96">
      <w:pPr>
        <w:pStyle w:val="Textonotapie"/>
        <w:ind w:firstLine="708"/>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El artículo 2.8.8.1.4.2 del Decreto </w:t>
      </w:r>
      <w:r w:rsidR="006B3771" w:rsidRPr="00D05C96">
        <w:rPr>
          <w:rFonts w:ascii="Arial" w:hAnsi="Arial" w:cs="Arial"/>
          <w:sz w:val="16"/>
          <w:szCs w:val="16"/>
        </w:rPr>
        <w:t>7</w:t>
      </w:r>
      <w:r w:rsidRPr="00D05C96">
        <w:rPr>
          <w:rFonts w:ascii="Arial" w:hAnsi="Arial" w:cs="Arial"/>
          <w:sz w:val="16"/>
          <w:szCs w:val="16"/>
        </w:rPr>
        <w:t>80 de 201</w:t>
      </w:r>
      <w:r w:rsidR="006B3771" w:rsidRPr="00D05C96">
        <w:rPr>
          <w:rFonts w:ascii="Arial" w:hAnsi="Arial" w:cs="Arial"/>
          <w:sz w:val="16"/>
          <w:szCs w:val="16"/>
        </w:rPr>
        <w:t>6</w:t>
      </w:r>
      <w:r w:rsidRPr="00D05C96">
        <w:rPr>
          <w:rFonts w:ascii="Arial" w:hAnsi="Arial" w:cs="Arial"/>
          <w:sz w:val="16"/>
          <w:szCs w:val="16"/>
        </w:rPr>
        <w:t xml:space="preserve"> dispone que «Para efectos de la aplicación del presente Capítulo, entiéndase por Autoridades Sanitarias del </w:t>
      </w:r>
      <w:proofErr w:type="spellStart"/>
      <w:r w:rsidRPr="00D05C96">
        <w:rPr>
          <w:rFonts w:ascii="Arial" w:hAnsi="Arial" w:cs="Arial"/>
          <w:sz w:val="16"/>
          <w:szCs w:val="16"/>
        </w:rPr>
        <w:t>Sivigila</w:t>
      </w:r>
      <w:proofErr w:type="spellEnd"/>
      <w:r w:rsidRPr="00D05C96">
        <w:rPr>
          <w:rFonts w:ascii="Arial" w:hAnsi="Arial" w:cs="Arial"/>
          <w:sz w:val="16"/>
          <w:szCs w:val="16"/>
        </w:rPr>
        <w:t xml:space="preserve">, el Ministerio de Salud y Protección Social; el Instituto Nacional de Salud (INS); el Instituto Nacional de Vigilancia de Medicamentos y Alimentos (Invima), las Direcciones Territoriales de Salud, </w:t>
      </w:r>
      <w:r w:rsidRPr="00D05C96">
        <w:rPr>
          <w:rFonts w:ascii="Arial" w:hAnsi="Arial" w:cs="Arial"/>
          <w:i/>
          <w:iCs/>
          <w:sz w:val="16"/>
          <w:szCs w:val="16"/>
        </w:rPr>
        <w:t>y todas aquellas entidades que de acuerdo con la ley ejerzan funciones de vigilancia y control sanitario</w:t>
      </w:r>
      <w:r w:rsidRPr="00D05C96">
        <w:rPr>
          <w:rFonts w:ascii="Arial" w:hAnsi="Arial" w:cs="Arial"/>
          <w:sz w:val="16"/>
          <w:szCs w:val="16"/>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3C84B122" w:rsidR="0081325C" w:rsidRDefault="001226A1" w:rsidP="001226A1">
    <w:pPr>
      <w:pStyle w:val="Encabezado"/>
      <w:jc w:val="right"/>
    </w:pPr>
    <w:r>
      <w:rPr>
        <w:noProof/>
      </w:rPr>
      <w:drawing>
        <wp:anchor distT="0" distB="0" distL="114300" distR="114300" simplePos="0" relativeHeight="251659264" behindDoc="0" locked="0" layoutInCell="1" allowOverlap="1" wp14:anchorId="498C34B3" wp14:editId="05744C57">
          <wp:simplePos x="0" y="0"/>
          <wp:positionH relativeFrom="column">
            <wp:posOffset>2295525</wp:posOffset>
          </wp:positionH>
          <wp:positionV relativeFrom="paragraph">
            <wp:posOffset>189865</wp:posOffset>
          </wp:positionV>
          <wp:extent cx="3157855" cy="713105"/>
          <wp:effectExtent l="0" t="0" r="4445" b="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76B5A"/>
    <w:multiLevelType w:val="multilevel"/>
    <w:tmpl w:val="E7EE5166"/>
    <w:lvl w:ilvl="0">
      <w:start w:val="2"/>
      <w:numFmt w:val="decimal"/>
      <w:lvlText w:val="%1."/>
      <w:lvlJc w:val="left"/>
      <w:pPr>
        <w:ind w:left="360" w:hanging="360"/>
      </w:pPr>
    </w:lvl>
    <w:lvl w:ilvl="1">
      <w:start w:val="2"/>
      <w:numFmt w:val="decimal"/>
      <w:lvlText w:val="%1.%2."/>
      <w:lvlJc w:val="left"/>
      <w:pPr>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09742C"/>
    <w:multiLevelType w:val="hybridMultilevel"/>
    <w:tmpl w:val="2E6409F8"/>
    <w:lvl w:ilvl="0" w:tplc="5AD054B6">
      <w:start w:val="1"/>
      <w:numFmt w:val="decimal"/>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9"/>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2"/>
  </w:num>
  <w:num w:numId="20">
    <w:abstractNumId w:val="28"/>
  </w:num>
  <w:num w:numId="21">
    <w:abstractNumId w:val="18"/>
  </w:num>
  <w:num w:numId="22">
    <w:abstractNumId w:val="5"/>
  </w:num>
  <w:num w:numId="23">
    <w:abstractNumId w:val="4"/>
  </w:num>
  <w:num w:numId="24">
    <w:abstractNumId w:val="21"/>
  </w:num>
  <w:num w:numId="25">
    <w:abstractNumId w:val="10"/>
  </w:num>
  <w:num w:numId="26">
    <w:abstractNumId w:val="26"/>
  </w:num>
  <w:num w:numId="27">
    <w:abstractNumId w:val="13"/>
  </w:num>
  <w:num w:numId="28">
    <w:abstractNumId w:val="22"/>
  </w:num>
  <w:num w:numId="29">
    <w:abstractNumId w:val="11"/>
  </w:num>
  <w:num w:numId="3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1E00"/>
    <w:rsid w:val="0002256F"/>
    <w:rsid w:val="00023641"/>
    <w:rsid w:val="00023DAE"/>
    <w:rsid w:val="00024592"/>
    <w:rsid w:val="00024896"/>
    <w:rsid w:val="00025472"/>
    <w:rsid w:val="000256EB"/>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4ED5"/>
    <w:rsid w:val="000351F2"/>
    <w:rsid w:val="00036E03"/>
    <w:rsid w:val="00036F77"/>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6FD0"/>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26D"/>
    <w:rsid w:val="0005779C"/>
    <w:rsid w:val="0006074D"/>
    <w:rsid w:val="00061D06"/>
    <w:rsid w:val="000628C5"/>
    <w:rsid w:val="0006294B"/>
    <w:rsid w:val="00062CDD"/>
    <w:rsid w:val="00063FA5"/>
    <w:rsid w:val="000640AF"/>
    <w:rsid w:val="00064940"/>
    <w:rsid w:val="00064CAE"/>
    <w:rsid w:val="00064DB7"/>
    <w:rsid w:val="00064FA7"/>
    <w:rsid w:val="000650C0"/>
    <w:rsid w:val="00065195"/>
    <w:rsid w:val="00065B22"/>
    <w:rsid w:val="0006776C"/>
    <w:rsid w:val="00067BD1"/>
    <w:rsid w:val="00067D95"/>
    <w:rsid w:val="00070A4E"/>
    <w:rsid w:val="00070AF1"/>
    <w:rsid w:val="000714DE"/>
    <w:rsid w:val="000715C5"/>
    <w:rsid w:val="0007254F"/>
    <w:rsid w:val="00073C30"/>
    <w:rsid w:val="00074305"/>
    <w:rsid w:val="00074B2A"/>
    <w:rsid w:val="00075B3E"/>
    <w:rsid w:val="0007612B"/>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430C"/>
    <w:rsid w:val="00095B70"/>
    <w:rsid w:val="0009617E"/>
    <w:rsid w:val="000979CF"/>
    <w:rsid w:val="000A03C8"/>
    <w:rsid w:val="000A05F2"/>
    <w:rsid w:val="000A06C4"/>
    <w:rsid w:val="000A0861"/>
    <w:rsid w:val="000A0ED1"/>
    <w:rsid w:val="000A12DB"/>
    <w:rsid w:val="000A17C8"/>
    <w:rsid w:val="000A20D7"/>
    <w:rsid w:val="000A2128"/>
    <w:rsid w:val="000A335D"/>
    <w:rsid w:val="000A362F"/>
    <w:rsid w:val="000A3B49"/>
    <w:rsid w:val="000A4ACD"/>
    <w:rsid w:val="000A5AAF"/>
    <w:rsid w:val="000A5F97"/>
    <w:rsid w:val="000A6146"/>
    <w:rsid w:val="000A6433"/>
    <w:rsid w:val="000A648E"/>
    <w:rsid w:val="000A73BB"/>
    <w:rsid w:val="000A7BE9"/>
    <w:rsid w:val="000A7EF4"/>
    <w:rsid w:val="000B0A15"/>
    <w:rsid w:val="000B103F"/>
    <w:rsid w:val="000B1437"/>
    <w:rsid w:val="000B1470"/>
    <w:rsid w:val="000B221B"/>
    <w:rsid w:val="000B2415"/>
    <w:rsid w:val="000B2B86"/>
    <w:rsid w:val="000B3051"/>
    <w:rsid w:val="000B419B"/>
    <w:rsid w:val="000B4744"/>
    <w:rsid w:val="000B5781"/>
    <w:rsid w:val="000B5B87"/>
    <w:rsid w:val="000B64F4"/>
    <w:rsid w:val="000B6874"/>
    <w:rsid w:val="000B70B5"/>
    <w:rsid w:val="000B7EC6"/>
    <w:rsid w:val="000B7FA6"/>
    <w:rsid w:val="000C0185"/>
    <w:rsid w:val="000C0F81"/>
    <w:rsid w:val="000C128D"/>
    <w:rsid w:val="000C17A3"/>
    <w:rsid w:val="000C1D4B"/>
    <w:rsid w:val="000C3260"/>
    <w:rsid w:val="000C3580"/>
    <w:rsid w:val="000C3803"/>
    <w:rsid w:val="000C3B77"/>
    <w:rsid w:val="000C454E"/>
    <w:rsid w:val="000C45F6"/>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7BA"/>
    <w:rsid w:val="000E2977"/>
    <w:rsid w:val="000E30AC"/>
    <w:rsid w:val="000E3B46"/>
    <w:rsid w:val="000E3C03"/>
    <w:rsid w:val="000E3DCC"/>
    <w:rsid w:val="000E3E11"/>
    <w:rsid w:val="000E4224"/>
    <w:rsid w:val="000E4596"/>
    <w:rsid w:val="000E5768"/>
    <w:rsid w:val="000E5843"/>
    <w:rsid w:val="000E5F9B"/>
    <w:rsid w:val="000E6139"/>
    <w:rsid w:val="000E6BE1"/>
    <w:rsid w:val="000E7E0B"/>
    <w:rsid w:val="000F078A"/>
    <w:rsid w:val="000F0997"/>
    <w:rsid w:val="000F0C85"/>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6F33"/>
    <w:rsid w:val="001078CE"/>
    <w:rsid w:val="00107CA1"/>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CB6"/>
    <w:rsid w:val="00117E69"/>
    <w:rsid w:val="00121103"/>
    <w:rsid w:val="0012156A"/>
    <w:rsid w:val="001218E1"/>
    <w:rsid w:val="00121BAB"/>
    <w:rsid w:val="00121E3C"/>
    <w:rsid w:val="001222A2"/>
    <w:rsid w:val="001226A1"/>
    <w:rsid w:val="00122B23"/>
    <w:rsid w:val="00122B7E"/>
    <w:rsid w:val="001238D9"/>
    <w:rsid w:val="00123FB5"/>
    <w:rsid w:val="0012400F"/>
    <w:rsid w:val="001249DC"/>
    <w:rsid w:val="0012572D"/>
    <w:rsid w:val="00125BED"/>
    <w:rsid w:val="00125C59"/>
    <w:rsid w:val="00125D4F"/>
    <w:rsid w:val="00127004"/>
    <w:rsid w:val="00127AF2"/>
    <w:rsid w:val="00127EDC"/>
    <w:rsid w:val="00127F6D"/>
    <w:rsid w:val="00130355"/>
    <w:rsid w:val="00131B5A"/>
    <w:rsid w:val="0013242B"/>
    <w:rsid w:val="00132BA9"/>
    <w:rsid w:val="00132C30"/>
    <w:rsid w:val="00132EFD"/>
    <w:rsid w:val="00133AED"/>
    <w:rsid w:val="00134FF9"/>
    <w:rsid w:val="00135E88"/>
    <w:rsid w:val="0013695C"/>
    <w:rsid w:val="00136BF7"/>
    <w:rsid w:val="001378B9"/>
    <w:rsid w:val="00137C08"/>
    <w:rsid w:val="00137F84"/>
    <w:rsid w:val="00137FFA"/>
    <w:rsid w:val="00140109"/>
    <w:rsid w:val="0014029B"/>
    <w:rsid w:val="00140A4F"/>
    <w:rsid w:val="0014116A"/>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80C"/>
    <w:rsid w:val="00163D7A"/>
    <w:rsid w:val="00164281"/>
    <w:rsid w:val="00165348"/>
    <w:rsid w:val="00167503"/>
    <w:rsid w:val="001676A9"/>
    <w:rsid w:val="00167A15"/>
    <w:rsid w:val="00167A50"/>
    <w:rsid w:val="00167DF5"/>
    <w:rsid w:val="00170001"/>
    <w:rsid w:val="001710A8"/>
    <w:rsid w:val="00172198"/>
    <w:rsid w:val="00172612"/>
    <w:rsid w:val="00172817"/>
    <w:rsid w:val="001734E3"/>
    <w:rsid w:val="001742BF"/>
    <w:rsid w:val="00175E49"/>
    <w:rsid w:val="00177076"/>
    <w:rsid w:val="001805C1"/>
    <w:rsid w:val="0018064E"/>
    <w:rsid w:val="00180842"/>
    <w:rsid w:val="00180A2E"/>
    <w:rsid w:val="00181247"/>
    <w:rsid w:val="001813AF"/>
    <w:rsid w:val="001829CD"/>
    <w:rsid w:val="00182F01"/>
    <w:rsid w:val="00184F27"/>
    <w:rsid w:val="0018519B"/>
    <w:rsid w:val="00185AFE"/>
    <w:rsid w:val="00185E78"/>
    <w:rsid w:val="00187177"/>
    <w:rsid w:val="00187443"/>
    <w:rsid w:val="00187ABD"/>
    <w:rsid w:val="00190466"/>
    <w:rsid w:val="001904E3"/>
    <w:rsid w:val="0019087A"/>
    <w:rsid w:val="0019143D"/>
    <w:rsid w:val="00191C5A"/>
    <w:rsid w:val="00191CEB"/>
    <w:rsid w:val="00191E63"/>
    <w:rsid w:val="00192D68"/>
    <w:rsid w:val="00193201"/>
    <w:rsid w:val="0019388B"/>
    <w:rsid w:val="00193B9A"/>
    <w:rsid w:val="001946AE"/>
    <w:rsid w:val="001946D5"/>
    <w:rsid w:val="00194E8C"/>
    <w:rsid w:val="00195633"/>
    <w:rsid w:val="001962EC"/>
    <w:rsid w:val="001963DD"/>
    <w:rsid w:val="001965DB"/>
    <w:rsid w:val="00196DC9"/>
    <w:rsid w:val="001977E7"/>
    <w:rsid w:val="001A0236"/>
    <w:rsid w:val="001A0AF8"/>
    <w:rsid w:val="001A0B80"/>
    <w:rsid w:val="001A18D5"/>
    <w:rsid w:val="001A1D4A"/>
    <w:rsid w:val="001A3011"/>
    <w:rsid w:val="001A4DAF"/>
    <w:rsid w:val="001A66DF"/>
    <w:rsid w:val="001A67D0"/>
    <w:rsid w:val="001A7591"/>
    <w:rsid w:val="001A75A7"/>
    <w:rsid w:val="001A75B1"/>
    <w:rsid w:val="001B0366"/>
    <w:rsid w:val="001B03B3"/>
    <w:rsid w:val="001B0444"/>
    <w:rsid w:val="001B096B"/>
    <w:rsid w:val="001B0F9F"/>
    <w:rsid w:val="001B123C"/>
    <w:rsid w:val="001B1A0D"/>
    <w:rsid w:val="001B1BF1"/>
    <w:rsid w:val="001B1EE3"/>
    <w:rsid w:val="001B2456"/>
    <w:rsid w:val="001B449C"/>
    <w:rsid w:val="001B4A70"/>
    <w:rsid w:val="001B4AA2"/>
    <w:rsid w:val="001B4ADE"/>
    <w:rsid w:val="001B54DF"/>
    <w:rsid w:val="001B5EF8"/>
    <w:rsid w:val="001B681F"/>
    <w:rsid w:val="001C07C6"/>
    <w:rsid w:val="001C19CD"/>
    <w:rsid w:val="001C22D5"/>
    <w:rsid w:val="001C2515"/>
    <w:rsid w:val="001C2550"/>
    <w:rsid w:val="001C26FB"/>
    <w:rsid w:val="001C2E6F"/>
    <w:rsid w:val="001C30CD"/>
    <w:rsid w:val="001C33C1"/>
    <w:rsid w:val="001C3E30"/>
    <w:rsid w:val="001C3E5C"/>
    <w:rsid w:val="001C5072"/>
    <w:rsid w:val="001C5B2A"/>
    <w:rsid w:val="001C600B"/>
    <w:rsid w:val="001C6407"/>
    <w:rsid w:val="001C6898"/>
    <w:rsid w:val="001C6B61"/>
    <w:rsid w:val="001C6DD8"/>
    <w:rsid w:val="001C7C7B"/>
    <w:rsid w:val="001D068D"/>
    <w:rsid w:val="001D0A71"/>
    <w:rsid w:val="001D12D1"/>
    <w:rsid w:val="001D15DF"/>
    <w:rsid w:val="001D2970"/>
    <w:rsid w:val="001D30F3"/>
    <w:rsid w:val="001D31A0"/>
    <w:rsid w:val="001D338E"/>
    <w:rsid w:val="001D4141"/>
    <w:rsid w:val="001D442C"/>
    <w:rsid w:val="001D56E9"/>
    <w:rsid w:val="001D6B19"/>
    <w:rsid w:val="001D7923"/>
    <w:rsid w:val="001D796A"/>
    <w:rsid w:val="001D7A84"/>
    <w:rsid w:val="001D7C79"/>
    <w:rsid w:val="001E109E"/>
    <w:rsid w:val="001E15F0"/>
    <w:rsid w:val="001E1CC4"/>
    <w:rsid w:val="001E1D38"/>
    <w:rsid w:val="001E34FC"/>
    <w:rsid w:val="001E4076"/>
    <w:rsid w:val="001E4258"/>
    <w:rsid w:val="001E4658"/>
    <w:rsid w:val="001E56FF"/>
    <w:rsid w:val="001E5D6A"/>
    <w:rsid w:val="001E70FB"/>
    <w:rsid w:val="001E780A"/>
    <w:rsid w:val="001F02B1"/>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14"/>
    <w:rsid w:val="0021201A"/>
    <w:rsid w:val="00213167"/>
    <w:rsid w:val="00213A1F"/>
    <w:rsid w:val="00213C63"/>
    <w:rsid w:val="00213C97"/>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4D38"/>
    <w:rsid w:val="002257D0"/>
    <w:rsid w:val="00226055"/>
    <w:rsid w:val="0022613F"/>
    <w:rsid w:val="00226236"/>
    <w:rsid w:val="002270C9"/>
    <w:rsid w:val="00227A8B"/>
    <w:rsid w:val="0023146B"/>
    <w:rsid w:val="002315A0"/>
    <w:rsid w:val="00231EC7"/>
    <w:rsid w:val="002323D4"/>
    <w:rsid w:val="00232A1F"/>
    <w:rsid w:val="00232E15"/>
    <w:rsid w:val="00233079"/>
    <w:rsid w:val="002335A6"/>
    <w:rsid w:val="0023382C"/>
    <w:rsid w:val="00233977"/>
    <w:rsid w:val="00233C58"/>
    <w:rsid w:val="00233C71"/>
    <w:rsid w:val="002345B6"/>
    <w:rsid w:val="00234B84"/>
    <w:rsid w:val="00236016"/>
    <w:rsid w:val="00236D73"/>
    <w:rsid w:val="00237065"/>
    <w:rsid w:val="00237589"/>
    <w:rsid w:val="0023758D"/>
    <w:rsid w:val="002375A7"/>
    <w:rsid w:val="00237AB5"/>
    <w:rsid w:val="0024019A"/>
    <w:rsid w:val="002409ED"/>
    <w:rsid w:val="002411DE"/>
    <w:rsid w:val="0024131D"/>
    <w:rsid w:val="002415B8"/>
    <w:rsid w:val="00241618"/>
    <w:rsid w:val="00242D62"/>
    <w:rsid w:val="002431D7"/>
    <w:rsid w:val="00244058"/>
    <w:rsid w:val="002442EC"/>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67F79"/>
    <w:rsid w:val="002711A4"/>
    <w:rsid w:val="00271F13"/>
    <w:rsid w:val="00272D89"/>
    <w:rsid w:val="00274DB5"/>
    <w:rsid w:val="00275BB1"/>
    <w:rsid w:val="00275FBF"/>
    <w:rsid w:val="00276373"/>
    <w:rsid w:val="00276573"/>
    <w:rsid w:val="00277259"/>
    <w:rsid w:val="00277933"/>
    <w:rsid w:val="00277F8D"/>
    <w:rsid w:val="00277FA7"/>
    <w:rsid w:val="0028075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2CF5"/>
    <w:rsid w:val="00294368"/>
    <w:rsid w:val="00294B78"/>
    <w:rsid w:val="00295360"/>
    <w:rsid w:val="00295949"/>
    <w:rsid w:val="0029624A"/>
    <w:rsid w:val="00296708"/>
    <w:rsid w:val="00296922"/>
    <w:rsid w:val="00296A5E"/>
    <w:rsid w:val="00297098"/>
    <w:rsid w:val="002A05D4"/>
    <w:rsid w:val="002A09FF"/>
    <w:rsid w:val="002A0E60"/>
    <w:rsid w:val="002A1323"/>
    <w:rsid w:val="002A1A58"/>
    <w:rsid w:val="002A1B02"/>
    <w:rsid w:val="002A1C53"/>
    <w:rsid w:val="002A28FC"/>
    <w:rsid w:val="002A2B44"/>
    <w:rsid w:val="002A2EA5"/>
    <w:rsid w:val="002A36C8"/>
    <w:rsid w:val="002A3D94"/>
    <w:rsid w:val="002A4736"/>
    <w:rsid w:val="002A4B1C"/>
    <w:rsid w:val="002A4CC8"/>
    <w:rsid w:val="002A5108"/>
    <w:rsid w:val="002A6AFB"/>
    <w:rsid w:val="002A733D"/>
    <w:rsid w:val="002A7449"/>
    <w:rsid w:val="002A774A"/>
    <w:rsid w:val="002A78CA"/>
    <w:rsid w:val="002A792C"/>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178"/>
    <w:rsid w:val="002B73B0"/>
    <w:rsid w:val="002B7D9E"/>
    <w:rsid w:val="002C0671"/>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FBA"/>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B2"/>
    <w:rsid w:val="002E18E5"/>
    <w:rsid w:val="002E1953"/>
    <w:rsid w:val="002E1F7B"/>
    <w:rsid w:val="002E2548"/>
    <w:rsid w:val="002E2D7D"/>
    <w:rsid w:val="002E3AB5"/>
    <w:rsid w:val="002E3D76"/>
    <w:rsid w:val="002E40A1"/>
    <w:rsid w:val="002E48EC"/>
    <w:rsid w:val="002E4B44"/>
    <w:rsid w:val="002E4ECB"/>
    <w:rsid w:val="002E4F23"/>
    <w:rsid w:val="002E68C4"/>
    <w:rsid w:val="002E6FBF"/>
    <w:rsid w:val="002E7847"/>
    <w:rsid w:val="002F0073"/>
    <w:rsid w:val="002F0618"/>
    <w:rsid w:val="002F063D"/>
    <w:rsid w:val="002F0D3F"/>
    <w:rsid w:val="002F240B"/>
    <w:rsid w:val="002F2F50"/>
    <w:rsid w:val="002F3601"/>
    <w:rsid w:val="002F45F6"/>
    <w:rsid w:val="002F6181"/>
    <w:rsid w:val="002F692F"/>
    <w:rsid w:val="002F7B66"/>
    <w:rsid w:val="00300CB4"/>
    <w:rsid w:val="00300E24"/>
    <w:rsid w:val="003033BA"/>
    <w:rsid w:val="003043A3"/>
    <w:rsid w:val="00304BD4"/>
    <w:rsid w:val="0030500A"/>
    <w:rsid w:val="0030517B"/>
    <w:rsid w:val="003052EB"/>
    <w:rsid w:val="00305FCB"/>
    <w:rsid w:val="003063C3"/>
    <w:rsid w:val="00306B44"/>
    <w:rsid w:val="003074A0"/>
    <w:rsid w:val="00307C44"/>
    <w:rsid w:val="0031040F"/>
    <w:rsid w:val="0031088E"/>
    <w:rsid w:val="00310D01"/>
    <w:rsid w:val="00311376"/>
    <w:rsid w:val="00311A1F"/>
    <w:rsid w:val="00311B47"/>
    <w:rsid w:val="00311D52"/>
    <w:rsid w:val="00312190"/>
    <w:rsid w:val="0031232F"/>
    <w:rsid w:val="003125E0"/>
    <w:rsid w:val="0031271D"/>
    <w:rsid w:val="00312C85"/>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23A"/>
    <w:rsid w:val="00323881"/>
    <w:rsid w:val="00323B73"/>
    <w:rsid w:val="00325B4E"/>
    <w:rsid w:val="00325D98"/>
    <w:rsid w:val="0032682A"/>
    <w:rsid w:val="003272F6"/>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940"/>
    <w:rsid w:val="003533F4"/>
    <w:rsid w:val="003536F6"/>
    <w:rsid w:val="00353DD5"/>
    <w:rsid w:val="00355131"/>
    <w:rsid w:val="00356438"/>
    <w:rsid w:val="00357EBD"/>
    <w:rsid w:val="00361A59"/>
    <w:rsid w:val="00363348"/>
    <w:rsid w:val="00363857"/>
    <w:rsid w:val="00363D59"/>
    <w:rsid w:val="003640F7"/>
    <w:rsid w:val="00365D3A"/>
    <w:rsid w:val="00366167"/>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08D"/>
    <w:rsid w:val="00377135"/>
    <w:rsid w:val="00380272"/>
    <w:rsid w:val="00380576"/>
    <w:rsid w:val="0038058B"/>
    <w:rsid w:val="003805DB"/>
    <w:rsid w:val="00381219"/>
    <w:rsid w:val="003813F4"/>
    <w:rsid w:val="0038152A"/>
    <w:rsid w:val="003825CE"/>
    <w:rsid w:val="00382ADF"/>
    <w:rsid w:val="00382BAD"/>
    <w:rsid w:val="00384DF1"/>
    <w:rsid w:val="00384FF3"/>
    <w:rsid w:val="0038523D"/>
    <w:rsid w:val="00386456"/>
    <w:rsid w:val="003865A9"/>
    <w:rsid w:val="00386BF7"/>
    <w:rsid w:val="00386CCC"/>
    <w:rsid w:val="00387642"/>
    <w:rsid w:val="00390F32"/>
    <w:rsid w:val="0039135E"/>
    <w:rsid w:val="0039319C"/>
    <w:rsid w:val="00393CAE"/>
    <w:rsid w:val="003945DC"/>
    <w:rsid w:val="003945F4"/>
    <w:rsid w:val="00394EB5"/>
    <w:rsid w:val="003953B4"/>
    <w:rsid w:val="0039615F"/>
    <w:rsid w:val="00396A29"/>
    <w:rsid w:val="00397FF0"/>
    <w:rsid w:val="003A02BA"/>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6875"/>
    <w:rsid w:val="003A72F5"/>
    <w:rsid w:val="003A78E5"/>
    <w:rsid w:val="003B0341"/>
    <w:rsid w:val="003B120F"/>
    <w:rsid w:val="003B1DAC"/>
    <w:rsid w:val="003B1E57"/>
    <w:rsid w:val="003B2EF3"/>
    <w:rsid w:val="003B3AFD"/>
    <w:rsid w:val="003B4B1C"/>
    <w:rsid w:val="003B4CB2"/>
    <w:rsid w:val="003B534F"/>
    <w:rsid w:val="003B5391"/>
    <w:rsid w:val="003B65D7"/>
    <w:rsid w:val="003B65E0"/>
    <w:rsid w:val="003B6BD4"/>
    <w:rsid w:val="003B6F4D"/>
    <w:rsid w:val="003B6FE7"/>
    <w:rsid w:val="003C076E"/>
    <w:rsid w:val="003C0D1F"/>
    <w:rsid w:val="003C116A"/>
    <w:rsid w:val="003C13DD"/>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496"/>
    <w:rsid w:val="003D484D"/>
    <w:rsid w:val="003D49CB"/>
    <w:rsid w:val="003D4BD6"/>
    <w:rsid w:val="003D6B8F"/>
    <w:rsid w:val="003D7566"/>
    <w:rsid w:val="003E02FF"/>
    <w:rsid w:val="003E09BB"/>
    <w:rsid w:val="003E159D"/>
    <w:rsid w:val="003E1B28"/>
    <w:rsid w:val="003E20EA"/>
    <w:rsid w:val="003E210C"/>
    <w:rsid w:val="003E2F55"/>
    <w:rsid w:val="003E34DB"/>
    <w:rsid w:val="003E3833"/>
    <w:rsid w:val="003E3AF9"/>
    <w:rsid w:val="003E4A70"/>
    <w:rsid w:val="003E4C48"/>
    <w:rsid w:val="003E4CD9"/>
    <w:rsid w:val="003E5316"/>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4599"/>
    <w:rsid w:val="003F45E1"/>
    <w:rsid w:val="003F4F6C"/>
    <w:rsid w:val="003F516A"/>
    <w:rsid w:val="003F51FF"/>
    <w:rsid w:val="003F559E"/>
    <w:rsid w:val="003F6181"/>
    <w:rsid w:val="003F7343"/>
    <w:rsid w:val="00400002"/>
    <w:rsid w:val="00400054"/>
    <w:rsid w:val="004004BA"/>
    <w:rsid w:val="004006E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6FE5"/>
    <w:rsid w:val="00407A7A"/>
    <w:rsid w:val="00407ABC"/>
    <w:rsid w:val="00407F1E"/>
    <w:rsid w:val="00410A88"/>
    <w:rsid w:val="00411317"/>
    <w:rsid w:val="00411A9E"/>
    <w:rsid w:val="0041259F"/>
    <w:rsid w:val="00412A52"/>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6B97"/>
    <w:rsid w:val="004170D7"/>
    <w:rsid w:val="004177A6"/>
    <w:rsid w:val="00417EFD"/>
    <w:rsid w:val="004200EE"/>
    <w:rsid w:val="004209D2"/>
    <w:rsid w:val="00420D6E"/>
    <w:rsid w:val="00421BD2"/>
    <w:rsid w:val="00421D90"/>
    <w:rsid w:val="00421E00"/>
    <w:rsid w:val="00421FCB"/>
    <w:rsid w:val="004222FD"/>
    <w:rsid w:val="00422DCA"/>
    <w:rsid w:val="00423F9F"/>
    <w:rsid w:val="00425C43"/>
    <w:rsid w:val="004269C2"/>
    <w:rsid w:val="00426C69"/>
    <w:rsid w:val="004273FA"/>
    <w:rsid w:val="00427C77"/>
    <w:rsid w:val="00430186"/>
    <w:rsid w:val="0043030F"/>
    <w:rsid w:val="00432471"/>
    <w:rsid w:val="0043269A"/>
    <w:rsid w:val="004333C2"/>
    <w:rsid w:val="00433ACB"/>
    <w:rsid w:val="00434712"/>
    <w:rsid w:val="00434787"/>
    <w:rsid w:val="004347DA"/>
    <w:rsid w:val="00434BA2"/>
    <w:rsid w:val="00434C13"/>
    <w:rsid w:val="004356C0"/>
    <w:rsid w:val="00436323"/>
    <w:rsid w:val="0043683F"/>
    <w:rsid w:val="00436F40"/>
    <w:rsid w:val="004370FA"/>
    <w:rsid w:val="004377DF"/>
    <w:rsid w:val="00440096"/>
    <w:rsid w:val="004403DD"/>
    <w:rsid w:val="00440DB0"/>
    <w:rsid w:val="00440EE4"/>
    <w:rsid w:val="00440FAD"/>
    <w:rsid w:val="00441291"/>
    <w:rsid w:val="00441F4E"/>
    <w:rsid w:val="0044209D"/>
    <w:rsid w:val="004420AB"/>
    <w:rsid w:val="004422D6"/>
    <w:rsid w:val="004427AC"/>
    <w:rsid w:val="004428CA"/>
    <w:rsid w:val="00442D4D"/>
    <w:rsid w:val="00443613"/>
    <w:rsid w:val="0044374D"/>
    <w:rsid w:val="00443824"/>
    <w:rsid w:val="00443865"/>
    <w:rsid w:val="00443B55"/>
    <w:rsid w:val="00443D27"/>
    <w:rsid w:val="00445AC2"/>
    <w:rsid w:val="00446037"/>
    <w:rsid w:val="00446423"/>
    <w:rsid w:val="0044642F"/>
    <w:rsid w:val="00446E05"/>
    <w:rsid w:val="0044772C"/>
    <w:rsid w:val="00450846"/>
    <w:rsid w:val="004518C9"/>
    <w:rsid w:val="00451A52"/>
    <w:rsid w:val="00451FC8"/>
    <w:rsid w:val="0045271D"/>
    <w:rsid w:val="00452755"/>
    <w:rsid w:val="00452803"/>
    <w:rsid w:val="004529C6"/>
    <w:rsid w:val="00452C7E"/>
    <w:rsid w:val="00452EAD"/>
    <w:rsid w:val="004533D1"/>
    <w:rsid w:val="004534D1"/>
    <w:rsid w:val="00453A65"/>
    <w:rsid w:val="00454548"/>
    <w:rsid w:val="00454717"/>
    <w:rsid w:val="00455047"/>
    <w:rsid w:val="00455354"/>
    <w:rsid w:val="0045558D"/>
    <w:rsid w:val="00455B33"/>
    <w:rsid w:val="00456970"/>
    <w:rsid w:val="00456BB1"/>
    <w:rsid w:val="00456DDB"/>
    <w:rsid w:val="0045727E"/>
    <w:rsid w:val="004573DD"/>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65"/>
    <w:rsid w:val="00465677"/>
    <w:rsid w:val="00465AC3"/>
    <w:rsid w:val="004660F5"/>
    <w:rsid w:val="00466616"/>
    <w:rsid w:val="00466A0C"/>
    <w:rsid w:val="00470A6A"/>
    <w:rsid w:val="00470D92"/>
    <w:rsid w:val="004712D1"/>
    <w:rsid w:val="00471DF7"/>
    <w:rsid w:val="00471F6B"/>
    <w:rsid w:val="0047295C"/>
    <w:rsid w:val="00472D8E"/>
    <w:rsid w:val="0047310B"/>
    <w:rsid w:val="004734CF"/>
    <w:rsid w:val="004737EC"/>
    <w:rsid w:val="00475C5A"/>
    <w:rsid w:val="00475C9C"/>
    <w:rsid w:val="0047676B"/>
    <w:rsid w:val="0047773C"/>
    <w:rsid w:val="00477C5F"/>
    <w:rsid w:val="00480050"/>
    <w:rsid w:val="004808DE"/>
    <w:rsid w:val="00481AC4"/>
    <w:rsid w:val="00481C11"/>
    <w:rsid w:val="00481DC1"/>
    <w:rsid w:val="00482507"/>
    <w:rsid w:val="0048268A"/>
    <w:rsid w:val="004831AC"/>
    <w:rsid w:val="00483356"/>
    <w:rsid w:val="004835CA"/>
    <w:rsid w:val="004836F8"/>
    <w:rsid w:val="004836FE"/>
    <w:rsid w:val="004838AB"/>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E88"/>
    <w:rsid w:val="0049114B"/>
    <w:rsid w:val="004912A8"/>
    <w:rsid w:val="00491536"/>
    <w:rsid w:val="00491577"/>
    <w:rsid w:val="0049196E"/>
    <w:rsid w:val="0049241A"/>
    <w:rsid w:val="00492C1F"/>
    <w:rsid w:val="00492E4C"/>
    <w:rsid w:val="00493E04"/>
    <w:rsid w:val="004940E3"/>
    <w:rsid w:val="0049530F"/>
    <w:rsid w:val="00495500"/>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5DCF"/>
    <w:rsid w:val="004A623B"/>
    <w:rsid w:val="004A6A04"/>
    <w:rsid w:val="004A6A52"/>
    <w:rsid w:val="004B0F0B"/>
    <w:rsid w:val="004B2197"/>
    <w:rsid w:val="004B298A"/>
    <w:rsid w:val="004B560C"/>
    <w:rsid w:val="004B578D"/>
    <w:rsid w:val="004B5BE7"/>
    <w:rsid w:val="004B5E2D"/>
    <w:rsid w:val="004B6890"/>
    <w:rsid w:val="004B6AAB"/>
    <w:rsid w:val="004B6C07"/>
    <w:rsid w:val="004B74D3"/>
    <w:rsid w:val="004B76D3"/>
    <w:rsid w:val="004B788E"/>
    <w:rsid w:val="004B7E5D"/>
    <w:rsid w:val="004C05AD"/>
    <w:rsid w:val="004C0DD8"/>
    <w:rsid w:val="004C107A"/>
    <w:rsid w:val="004C1AA0"/>
    <w:rsid w:val="004C22F7"/>
    <w:rsid w:val="004C2B27"/>
    <w:rsid w:val="004C3929"/>
    <w:rsid w:val="004C4818"/>
    <w:rsid w:val="004C4DCB"/>
    <w:rsid w:val="004C5212"/>
    <w:rsid w:val="004C58F2"/>
    <w:rsid w:val="004C5EF0"/>
    <w:rsid w:val="004C7226"/>
    <w:rsid w:val="004C74C9"/>
    <w:rsid w:val="004C7D70"/>
    <w:rsid w:val="004D02F9"/>
    <w:rsid w:val="004D03FE"/>
    <w:rsid w:val="004D0446"/>
    <w:rsid w:val="004D0F95"/>
    <w:rsid w:val="004D106A"/>
    <w:rsid w:val="004D2BDE"/>
    <w:rsid w:val="004D31EE"/>
    <w:rsid w:val="004D3583"/>
    <w:rsid w:val="004D36AF"/>
    <w:rsid w:val="004D3BD1"/>
    <w:rsid w:val="004D4BA1"/>
    <w:rsid w:val="004D584D"/>
    <w:rsid w:val="004D6826"/>
    <w:rsid w:val="004D688C"/>
    <w:rsid w:val="004D7BCC"/>
    <w:rsid w:val="004E0076"/>
    <w:rsid w:val="004E023F"/>
    <w:rsid w:val="004E0742"/>
    <w:rsid w:val="004E0C64"/>
    <w:rsid w:val="004E0F6B"/>
    <w:rsid w:val="004E10ED"/>
    <w:rsid w:val="004E1545"/>
    <w:rsid w:val="004E1F1C"/>
    <w:rsid w:val="004E2A35"/>
    <w:rsid w:val="004E3687"/>
    <w:rsid w:val="004E40CE"/>
    <w:rsid w:val="004E4D0C"/>
    <w:rsid w:val="004E518D"/>
    <w:rsid w:val="004E5736"/>
    <w:rsid w:val="004E5B36"/>
    <w:rsid w:val="004E5B50"/>
    <w:rsid w:val="004E6045"/>
    <w:rsid w:val="004E6A7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60F"/>
    <w:rsid w:val="00501FA2"/>
    <w:rsid w:val="0050284E"/>
    <w:rsid w:val="00502D28"/>
    <w:rsid w:val="005031B3"/>
    <w:rsid w:val="00505DCB"/>
    <w:rsid w:val="00506CAA"/>
    <w:rsid w:val="0050746D"/>
    <w:rsid w:val="005075CA"/>
    <w:rsid w:val="0051074C"/>
    <w:rsid w:val="00510CFC"/>
    <w:rsid w:val="00510DE9"/>
    <w:rsid w:val="005111E2"/>
    <w:rsid w:val="00511231"/>
    <w:rsid w:val="005124E6"/>
    <w:rsid w:val="00512779"/>
    <w:rsid w:val="00512BC5"/>
    <w:rsid w:val="00512C4F"/>
    <w:rsid w:val="00513042"/>
    <w:rsid w:val="0051334F"/>
    <w:rsid w:val="00513399"/>
    <w:rsid w:val="00513AA0"/>
    <w:rsid w:val="00513AF2"/>
    <w:rsid w:val="00514575"/>
    <w:rsid w:val="00514C03"/>
    <w:rsid w:val="00514D67"/>
    <w:rsid w:val="00515352"/>
    <w:rsid w:val="00515515"/>
    <w:rsid w:val="0051635C"/>
    <w:rsid w:val="00516C5B"/>
    <w:rsid w:val="00517612"/>
    <w:rsid w:val="00517657"/>
    <w:rsid w:val="00517CFB"/>
    <w:rsid w:val="00517F85"/>
    <w:rsid w:val="00520542"/>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AE2"/>
    <w:rsid w:val="00533CA9"/>
    <w:rsid w:val="005346AD"/>
    <w:rsid w:val="00534EFB"/>
    <w:rsid w:val="00534F60"/>
    <w:rsid w:val="005357F1"/>
    <w:rsid w:val="00536053"/>
    <w:rsid w:val="005369E6"/>
    <w:rsid w:val="00536B72"/>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404"/>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E0"/>
    <w:rsid w:val="00567723"/>
    <w:rsid w:val="00567A0E"/>
    <w:rsid w:val="00567AB8"/>
    <w:rsid w:val="0057041A"/>
    <w:rsid w:val="00570A26"/>
    <w:rsid w:val="005721B4"/>
    <w:rsid w:val="0057221F"/>
    <w:rsid w:val="00572539"/>
    <w:rsid w:val="0057337D"/>
    <w:rsid w:val="00573386"/>
    <w:rsid w:val="00573504"/>
    <w:rsid w:val="00574708"/>
    <w:rsid w:val="00574D81"/>
    <w:rsid w:val="00574F4A"/>
    <w:rsid w:val="00575201"/>
    <w:rsid w:val="005756AA"/>
    <w:rsid w:val="00576233"/>
    <w:rsid w:val="0057682F"/>
    <w:rsid w:val="0057696F"/>
    <w:rsid w:val="00577253"/>
    <w:rsid w:val="005774FE"/>
    <w:rsid w:val="0058040C"/>
    <w:rsid w:val="00580D6D"/>
    <w:rsid w:val="005812DA"/>
    <w:rsid w:val="005813DE"/>
    <w:rsid w:val="00581796"/>
    <w:rsid w:val="00581B45"/>
    <w:rsid w:val="00582480"/>
    <w:rsid w:val="0058290E"/>
    <w:rsid w:val="00582ABC"/>
    <w:rsid w:val="00582CAB"/>
    <w:rsid w:val="0058375E"/>
    <w:rsid w:val="00584233"/>
    <w:rsid w:val="005842D0"/>
    <w:rsid w:val="005855AE"/>
    <w:rsid w:val="00585829"/>
    <w:rsid w:val="00585CA8"/>
    <w:rsid w:val="00586412"/>
    <w:rsid w:val="005864B9"/>
    <w:rsid w:val="005866C4"/>
    <w:rsid w:val="005868EC"/>
    <w:rsid w:val="00590F1A"/>
    <w:rsid w:val="00591C03"/>
    <w:rsid w:val="00591E2A"/>
    <w:rsid w:val="005920C1"/>
    <w:rsid w:val="005923C4"/>
    <w:rsid w:val="005934D7"/>
    <w:rsid w:val="00593F75"/>
    <w:rsid w:val="005940A0"/>
    <w:rsid w:val="0059429A"/>
    <w:rsid w:val="00596AF7"/>
    <w:rsid w:val="00596CCE"/>
    <w:rsid w:val="00596EE2"/>
    <w:rsid w:val="00597D5F"/>
    <w:rsid w:val="00597E38"/>
    <w:rsid w:val="00597FCC"/>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927"/>
    <w:rsid w:val="005A7CEA"/>
    <w:rsid w:val="005B091C"/>
    <w:rsid w:val="005B09BE"/>
    <w:rsid w:val="005B0D17"/>
    <w:rsid w:val="005B12B2"/>
    <w:rsid w:val="005B143B"/>
    <w:rsid w:val="005B1E45"/>
    <w:rsid w:val="005B21C4"/>
    <w:rsid w:val="005B2A28"/>
    <w:rsid w:val="005B3621"/>
    <w:rsid w:val="005B3C76"/>
    <w:rsid w:val="005B4948"/>
    <w:rsid w:val="005B4E5C"/>
    <w:rsid w:val="005B501D"/>
    <w:rsid w:val="005B5120"/>
    <w:rsid w:val="005B54CC"/>
    <w:rsid w:val="005B74AD"/>
    <w:rsid w:val="005B7DE9"/>
    <w:rsid w:val="005B7E96"/>
    <w:rsid w:val="005C0429"/>
    <w:rsid w:val="005C084F"/>
    <w:rsid w:val="005C0EE9"/>
    <w:rsid w:val="005C1716"/>
    <w:rsid w:val="005C1954"/>
    <w:rsid w:val="005C1C0B"/>
    <w:rsid w:val="005C2011"/>
    <w:rsid w:val="005C3044"/>
    <w:rsid w:val="005C3EA3"/>
    <w:rsid w:val="005C45B8"/>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45E1"/>
    <w:rsid w:val="005D464B"/>
    <w:rsid w:val="005D466F"/>
    <w:rsid w:val="005D49F0"/>
    <w:rsid w:val="005D51FA"/>
    <w:rsid w:val="005D53E8"/>
    <w:rsid w:val="005D56F1"/>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6DD3"/>
    <w:rsid w:val="005E76F1"/>
    <w:rsid w:val="005F1D89"/>
    <w:rsid w:val="005F305B"/>
    <w:rsid w:val="005F3361"/>
    <w:rsid w:val="005F3B47"/>
    <w:rsid w:val="005F4481"/>
    <w:rsid w:val="005F49AF"/>
    <w:rsid w:val="005F4A58"/>
    <w:rsid w:val="005F54DF"/>
    <w:rsid w:val="005F5888"/>
    <w:rsid w:val="005F5984"/>
    <w:rsid w:val="005F61BC"/>
    <w:rsid w:val="005F6CE2"/>
    <w:rsid w:val="005F7277"/>
    <w:rsid w:val="005F72E9"/>
    <w:rsid w:val="005F730E"/>
    <w:rsid w:val="005F780B"/>
    <w:rsid w:val="00600195"/>
    <w:rsid w:val="00600473"/>
    <w:rsid w:val="00600789"/>
    <w:rsid w:val="006011EE"/>
    <w:rsid w:val="006013C9"/>
    <w:rsid w:val="006016EA"/>
    <w:rsid w:val="00602B01"/>
    <w:rsid w:val="00602B45"/>
    <w:rsid w:val="00603499"/>
    <w:rsid w:val="006035F5"/>
    <w:rsid w:val="00603B97"/>
    <w:rsid w:val="00603CC2"/>
    <w:rsid w:val="006047D1"/>
    <w:rsid w:val="00604969"/>
    <w:rsid w:val="00604A55"/>
    <w:rsid w:val="00605AC3"/>
    <w:rsid w:val="00606908"/>
    <w:rsid w:val="00606A2D"/>
    <w:rsid w:val="00607996"/>
    <w:rsid w:val="00607A37"/>
    <w:rsid w:val="00607E9F"/>
    <w:rsid w:val="0061085E"/>
    <w:rsid w:val="00611398"/>
    <w:rsid w:val="00612322"/>
    <w:rsid w:val="006123C0"/>
    <w:rsid w:val="00613191"/>
    <w:rsid w:val="006133F9"/>
    <w:rsid w:val="006134B3"/>
    <w:rsid w:val="00613DE1"/>
    <w:rsid w:val="0061401F"/>
    <w:rsid w:val="00614166"/>
    <w:rsid w:val="006147D0"/>
    <w:rsid w:val="00614817"/>
    <w:rsid w:val="006149CC"/>
    <w:rsid w:val="00614AA5"/>
    <w:rsid w:val="006157A9"/>
    <w:rsid w:val="0061591D"/>
    <w:rsid w:val="00615ED0"/>
    <w:rsid w:val="0061604C"/>
    <w:rsid w:val="006160D6"/>
    <w:rsid w:val="00616C2B"/>
    <w:rsid w:val="00616D91"/>
    <w:rsid w:val="006174FA"/>
    <w:rsid w:val="006178D1"/>
    <w:rsid w:val="00620719"/>
    <w:rsid w:val="006212C9"/>
    <w:rsid w:val="0062180D"/>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484A"/>
    <w:rsid w:val="006355B6"/>
    <w:rsid w:val="00635C5C"/>
    <w:rsid w:val="00635E32"/>
    <w:rsid w:val="006365DE"/>
    <w:rsid w:val="00636BE4"/>
    <w:rsid w:val="0063746E"/>
    <w:rsid w:val="00637802"/>
    <w:rsid w:val="00637836"/>
    <w:rsid w:val="00637C26"/>
    <w:rsid w:val="00637F44"/>
    <w:rsid w:val="00640659"/>
    <w:rsid w:val="00641078"/>
    <w:rsid w:val="00641242"/>
    <w:rsid w:val="00642A32"/>
    <w:rsid w:val="00642B31"/>
    <w:rsid w:val="006433D5"/>
    <w:rsid w:val="006452B3"/>
    <w:rsid w:val="006466DC"/>
    <w:rsid w:val="00646B20"/>
    <w:rsid w:val="00646D0F"/>
    <w:rsid w:val="0064708F"/>
    <w:rsid w:val="00647A36"/>
    <w:rsid w:val="00647DCC"/>
    <w:rsid w:val="00647EFA"/>
    <w:rsid w:val="00647F14"/>
    <w:rsid w:val="00650027"/>
    <w:rsid w:val="00650420"/>
    <w:rsid w:val="00651B77"/>
    <w:rsid w:val="00651B9C"/>
    <w:rsid w:val="00651C47"/>
    <w:rsid w:val="00652854"/>
    <w:rsid w:val="006529A2"/>
    <w:rsid w:val="00652E70"/>
    <w:rsid w:val="0065339A"/>
    <w:rsid w:val="00653469"/>
    <w:rsid w:val="006547D4"/>
    <w:rsid w:val="00654A38"/>
    <w:rsid w:val="00655301"/>
    <w:rsid w:val="00655371"/>
    <w:rsid w:val="00655876"/>
    <w:rsid w:val="00656C4B"/>
    <w:rsid w:val="006573EA"/>
    <w:rsid w:val="00657E03"/>
    <w:rsid w:val="00661029"/>
    <w:rsid w:val="00661042"/>
    <w:rsid w:val="0066135A"/>
    <w:rsid w:val="0066272D"/>
    <w:rsid w:val="00662E58"/>
    <w:rsid w:val="00662F39"/>
    <w:rsid w:val="006635A0"/>
    <w:rsid w:val="006636CE"/>
    <w:rsid w:val="00664351"/>
    <w:rsid w:val="00665968"/>
    <w:rsid w:val="00665BF7"/>
    <w:rsid w:val="00666178"/>
    <w:rsid w:val="0066639E"/>
    <w:rsid w:val="00666473"/>
    <w:rsid w:val="00666C72"/>
    <w:rsid w:val="00666E6C"/>
    <w:rsid w:val="0066707F"/>
    <w:rsid w:val="00667ED8"/>
    <w:rsid w:val="0067064C"/>
    <w:rsid w:val="00670B20"/>
    <w:rsid w:val="00670E12"/>
    <w:rsid w:val="006720E4"/>
    <w:rsid w:val="00672E80"/>
    <w:rsid w:val="006739E4"/>
    <w:rsid w:val="00673ECF"/>
    <w:rsid w:val="0067426B"/>
    <w:rsid w:val="00674A1B"/>
    <w:rsid w:val="006754F8"/>
    <w:rsid w:val="00675FEA"/>
    <w:rsid w:val="00676127"/>
    <w:rsid w:val="00676AED"/>
    <w:rsid w:val="006776FB"/>
    <w:rsid w:val="00677F26"/>
    <w:rsid w:val="006802A7"/>
    <w:rsid w:val="006811C9"/>
    <w:rsid w:val="006812CE"/>
    <w:rsid w:val="006823DC"/>
    <w:rsid w:val="00682791"/>
    <w:rsid w:val="00682C89"/>
    <w:rsid w:val="006832B8"/>
    <w:rsid w:val="006837B2"/>
    <w:rsid w:val="00683800"/>
    <w:rsid w:val="006840F5"/>
    <w:rsid w:val="00684411"/>
    <w:rsid w:val="00684434"/>
    <w:rsid w:val="00684770"/>
    <w:rsid w:val="00684C8A"/>
    <w:rsid w:val="00684CF5"/>
    <w:rsid w:val="0068553E"/>
    <w:rsid w:val="00685E7B"/>
    <w:rsid w:val="00685F93"/>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5D24"/>
    <w:rsid w:val="00696A05"/>
    <w:rsid w:val="00697665"/>
    <w:rsid w:val="00697C9A"/>
    <w:rsid w:val="00697E68"/>
    <w:rsid w:val="006A0274"/>
    <w:rsid w:val="006A063A"/>
    <w:rsid w:val="006A1BF1"/>
    <w:rsid w:val="006A2A43"/>
    <w:rsid w:val="006A2BF1"/>
    <w:rsid w:val="006A2F9A"/>
    <w:rsid w:val="006A34E4"/>
    <w:rsid w:val="006A3A5A"/>
    <w:rsid w:val="006A44CF"/>
    <w:rsid w:val="006A457D"/>
    <w:rsid w:val="006A4CFF"/>
    <w:rsid w:val="006A50C7"/>
    <w:rsid w:val="006A55EE"/>
    <w:rsid w:val="006A575B"/>
    <w:rsid w:val="006A59DE"/>
    <w:rsid w:val="006A662B"/>
    <w:rsid w:val="006A6655"/>
    <w:rsid w:val="006A6BF9"/>
    <w:rsid w:val="006A7CB5"/>
    <w:rsid w:val="006A7FD0"/>
    <w:rsid w:val="006B025C"/>
    <w:rsid w:val="006B0C5F"/>
    <w:rsid w:val="006B1936"/>
    <w:rsid w:val="006B2534"/>
    <w:rsid w:val="006B2836"/>
    <w:rsid w:val="006B2B86"/>
    <w:rsid w:val="006B2CB2"/>
    <w:rsid w:val="006B30D3"/>
    <w:rsid w:val="006B347D"/>
    <w:rsid w:val="006B3771"/>
    <w:rsid w:val="006B3E19"/>
    <w:rsid w:val="006B4488"/>
    <w:rsid w:val="006B47D2"/>
    <w:rsid w:val="006B5094"/>
    <w:rsid w:val="006B67AC"/>
    <w:rsid w:val="006B786A"/>
    <w:rsid w:val="006B796B"/>
    <w:rsid w:val="006B7E4E"/>
    <w:rsid w:val="006C003A"/>
    <w:rsid w:val="006C2240"/>
    <w:rsid w:val="006C2454"/>
    <w:rsid w:val="006C2551"/>
    <w:rsid w:val="006C37CA"/>
    <w:rsid w:val="006C40D2"/>
    <w:rsid w:val="006C42D0"/>
    <w:rsid w:val="006C4F4B"/>
    <w:rsid w:val="006C5B15"/>
    <w:rsid w:val="006C5D32"/>
    <w:rsid w:val="006C5DCB"/>
    <w:rsid w:val="006C6EE1"/>
    <w:rsid w:val="006C70C4"/>
    <w:rsid w:val="006D00C0"/>
    <w:rsid w:val="006D04D7"/>
    <w:rsid w:val="006D04DA"/>
    <w:rsid w:val="006D10F6"/>
    <w:rsid w:val="006D1544"/>
    <w:rsid w:val="006D1688"/>
    <w:rsid w:val="006D19BF"/>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AAE"/>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92E"/>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43CE"/>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19AD"/>
    <w:rsid w:val="007322C1"/>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04B"/>
    <w:rsid w:val="0074623A"/>
    <w:rsid w:val="00746420"/>
    <w:rsid w:val="007468A1"/>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29D6"/>
    <w:rsid w:val="00753BAC"/>
    <w:rsid w:val="00754284"/>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5B1"/>
    <w:rsid w:val="007628A4"/>
    <w:rsid w:val="00762985"/>
    <w:rsid w:val="007629B7"/>
    <w:rsid w:val="00762E60"/>
    <w:rsid w:val="007634AD"/>
    <w:rsid w:val="00763B5D"/>
    <w:rsid w:val="00765375"/>
    <w:rsid w:val="00766ECC"/>
    <w:rsid w:val="007672F3"/>
    <w:rsid w:val="007677B5"/>
    <w:rsid w:val="007678B1"/>
    <w:rsid w:val="007708A8"/>
    <w:rsid w:val="00772275"/>
    <w:rsid w:val="0077301E"/>
    <w:rsid w:val="007734E4"/>
    <w:rsid w:val="0077380D"/>
    <w:rsid w:val="00773BC8"/>
    <w:rsid w:val="00773EDD"/>
    <w:rsid w:val="0077466F"/>
    <w:rsid w:val="007752B7"/>
    <w:rsid w:val="007759A8"/>
    <w:rsid w:val="00775D98"/>
    <w:rsid w:val="00776452"/>
    <w:rsid w:val="00776FE5"/>
    <w:rsid w:val="00777101"/>
    <w:rsid w:val="007774E7"/>
    <w:rsid w:val="0077768C"/>
    <w:rsid w:val="00777696"/>
    <w:rsid w:val="00777FF4"/>
    <w:rsid w:val="00780251"/>
    <w:rsid w:val="007804FE"/>
    <w:rsid w:val="00780F32"/>
    <w:rsid w:val="0078122E"/>
    <w:rsid w:val="00781939"/>
    <w:rsid w:val="00781D29"/>
    <w:rsid w:val="00781F7D"/>
    <w:rsid w:val="007825EF"/>
    <w:rsid w:val="0078286B"/>
    <w:rsid w:val="00782D2C"/>
    <w:rsid w:val="00782FC2"/>
    <w:rsid w:val="00784FC4"/>
    <w:rsid w:val="00785BBB"/>
    <w:rsid w:val="007869F9"/>
    <w:rsid w:val="00786FAD"/>
    <w:rsid w:val="007873C9"/>
    <w:rsid w:val="00787D90"/>
    <w:rsid w:val="00787EB7"/>
    <w:rsid w:val="00787F5E"/>
    <w:rsid w:val="00790164"/>
    <w:rsid w:val="007906E2"/>
    <w:rsid w:val="00790A24"/>
    <w:rsid w:val="00790A37"/>
    <w:rsid w:val="00790A60"/>
    <w:rsid w:val="007911AC"/>
    <w:rsid w:val="0079146D"/>
    <w:rsid w:val="00791C32"/>
    <w:rsid w:val="00791EE7"/>
    <w:rsid w:val="00791FF0"/>
    <w:rsid w:val="007923D0"/>
    <w:rsid w:val="0079302C"/>
    <w:rsid w:val="007930D3"/>
    <w:rsid w:val="0079381F"/>
    <w:rsid w:val="007938F9"/>
    <w:rsid w:val="00793B2E"/>
    <w:rsid w:val="007948F5"/>
    <w:rsid w:val="00795647"/>
    <w:rsid w:val="00795F58"/>
    <w:rsid w:val="007963F6"/>
    <w:rsid w:val="00796418"/>
    <w:rsid w:val="00796E80"/>
    <w:rsid w:val="007979AD"/>
    <w:rsid w:val="00797A9C"/>
    <w:rsid w:val="00797FA2"/>
    <w:rsid w:val="007A0EAB"/>
    <w:rsid w:val="007A0EC0"/>
    <w:rsid w:val="007A19B1"/>
    <w:rsid w:val="007A2022"/>
    <w:rsid w:val="007A2341"/>
    <w:rsid w:val="007A38A1"/>
    <w:rsid w:val="007A3967"/>
    <w:rsid w:val="007A3BBE"/>
    <w:rsid w:val="007A4766"/>
    <w:rsid w:val="007A4D31"/>
    <w:rsid w:val="007A5816"/>
    <w:rsid w:val="007A5947"/>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51C"/>
    <w:rsid w:val="007B57A5"/>
    <w:rsid w:val="007B68BD"/>
    <w:rsid w:val="007B6C64"/>
    <w:rsid w:val="007B6EC8"/>
    <w:rsid w:val="007B6F81"/>
    <w:rsid w:val="007B7D3B"/>
    <w:rsid w:val="007B7EA2"/>
    <w:rsid w:val="007C0835"/>
    <w:rsid w:val="007C097D"/>
    <w:rsid w:val="007C1004"/>
    <w:rsid w:val="007C13FA"/>
    <w:rsid w:val="007C1672"/>
    <w:rsid w:val="007C203F"/>
    <w:rsid w:val="007C2550"/>
    <w:rsid w:val="007C26D9"/>
    <w:rsid w:val="007C2CC8"/>
    <w:rsid w:val="007C2F29"/>
    <w:rsid w:val="007C312A"/>
    <w:rsid w:val="007C3570"/>
    <w:rsid w:val="007C3F3B"/>
    <w:rsid w:val="007C4241"/>
    <w:rsid w:val="007C55FF"/>
    <w:rsid w:val="007C609C"/>
    <w:rsid w:val="007C6339"/>
    <w:rsid w:val="007C7C43"/>
    <w:rsid w:val="007C7F0D"/>
    <w:rsid w:val="007D1134"/>
    <w:rsid w:val="007D23F7"/>
    <w:rsid w:val="007D2566"/>
    <w:rsid w:val="007D2C18"/>
    <w:rsid w:val="007D2D74"/>
    <w:rsid w:val="007D3395"/>
    <w:rsid w:val="007D3693"/>
    <w:rsid w:val="007D3C6D"/>
    <w:rsid w:val="007D4810"/>
    <w:rsid w:val="007D481A"/>
    <w:rsid w:val="007D55F7"/>
    <w:rsid w:val="007D5648"/>
    <w:rsid w:val="007D58C5"/>
    <w:rsid w:val="007D5DE8"/>
    <w:rsid w:val="007D6AE4"/>
    <w:rsid w:val="007D7CFC"/>
    <w:rsid w:val="007E0812"/>
    <w:rsid w:val="007E18DF"/>
    <w:rsid w:val="007E2A04"/>
    <w:rsid w:val="007E2C36"/>
    <w:rsid w:val="007E350D"/>
    <w:rsid w:val="007E4F1C"/>
    <w:rsid w:val="007E5688"/>
    <w:rsid w:val="007E5C4A"/>
    <w:rsid w:val="007E64D4"/>
    <w:rsid w:val="007E66E9"/>
    <w:rsid w:val="007E69F2"/>
    <w:rsid w:val="007E6F28"/>
    <w:rsid w:val="007E7432"/>
    <w:rsid w:val="007E74BF"/>
    <w:rsid w:val="007F10CC"/>
    <w:rsid w:val="007F14D3"/>
    <w:rsid w:val="007F1D9D"/>
    <w:rsid w:val="007F1E28"/>
    <w:rsid w:val="007F1F63"/>
    <w:rsid w:val="007F22A0"/>
    <w:rsid w:val="007F2F90"/>
    <w:rsid w:val="007F3320"/>
    <w:rsid w:val="007F392A"/>
    <w:rsid w:val="007F3AC1"/>
    <w:rsid w:val="007F4976"/>
    <w:rsid w:val="007F5A56"/>
    <w:rsid w:val="007F5AC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78B"/>
    <w:rsid w:val="0080290B"/>
    <w:rsid w:val="00802F9E"/>
    <w:rsid w:val="00803700"/>
    <w:rsid w:val="00803D9D"/>
    <w:rsid w:val="008059C6"/>
    <w:rsid w:val="00805AD7"/>
    <w:rsid w:val="00805AFC"/>
    <w:rsid w:val="00805BD6"/>
    <w:rsid w:val="00805DE3"/>
    <w:rsid w:val="00805E3C"/>
    <w:rsid w:val="00807C35"/>
    <w:rsid w:val="00807F69"/>
    <w:rsid w:val="008100F7"/>
    <w:rsid w:val="00810116"/>
    <w:rsid w:val="00810206"/>
    <w:rsid w:val="00811898"/>
    <w:rsid w:val="008124D8"/>
    <w:rsid w:val="00812A9C"/>
    <w:rsid w:val="0081325C"/>
    <w:rsid w:val="00813A7B"/>
    <w:rsid w:val="00813F04"/>
    <w:rsid w:val="00814B72"/>
    <w:rsid w:val="00815DA5"/>
    <w:rsid w:val="00816221"/>
    <w:rsid w:val="0081766B"/>
    <w:rsid w:val="00817A2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2D6"/>
    <w:rsid w:val="00832CD0"/>
    <w:rsid w:val="00833254"/>
    <w:rsid w:val="00833430"/>
    <w:rsid w:val="00834128"/>
    <w:rsid w:val="0083417F"/>
    <w:rsid w:val="00835143"/>
    <w:rsid w:val="0083544F"/>
    <w:rsid w:val="00835741"/>
    <w:rsid w:val="00836E74"/>
    <w:rsid w:val="00836EAB"/>
    <w:rsid w:val="00837673"/>
    <w:rsid w:val="00837937"/>
    <w:rsid w:val="00837D82"/>
    <w:rsid w:val="00840893"/>
    <w:rsid w:val="00840E88"/>
    <w:rsid w:val="00841285"/>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5071"/>
    <w:rsid w:val="0085629C"/>
    <w:rsid w:val="00856C06"/>
    <w:rsid w:val="0085749A"/>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67C98"/>
    <w:rsid w:val="0087033C"/>
    <w:rsid w:val="00870B44"/>
    <w:rsid w:val="008715ED"/>
    <w:rsid w:val="008717D8"/>
    <w:rsid w:val="00871E3C"/>
    <w:rsid w:val="00872F97"/>
    <w:rsid w:val="00873863"/>
    <w:rsid w:val="00874087"/>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35B5"/>
    <w:rsid w:val="008850E3"/>
    <w:rsid w:val="008850EB"/>
    <w:rsid w:val="00886DF2"/>
    <w:rsid w:val="00886FB9"/>
    <w:rsid w:val="00887080"/>
    <w:rsid w:val="00887C79"/>
    <w:rsid w:val="00891071"/>
    <w:rsid w:val="0089107B"/>
    <w:rsid w:val="008913CC"/>
    <w:rsid w:val="00891411"/>
    <w:rsid w:val="008914AE"/>
    <w:rsid w:val="00891838"/>
    <w:rsid w:val="008919CF"/>
    <w:rsid w:val="00891F84"/>
    <w:rsid w:val="008928EC"/>
    <w:rsid w:val="0089291C"/>
    <w:rsid w:val="00892E5D"/>
    <w:rsid w:val="008935CF"/>
    <w:rsid w:val="00894436"/>
    <w:rsid w:val="008945C1"/>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5DC"/>
    <w:rsid w:val="008B263F"/>
    <w:rsid w:val="008B29AF"/>
    <w:rsid w:val="008B2DB5"/>
    <w:rsid w:val="008B47A6"/>
    <w:rsid w:val="008B672C"/>
    <w:rsid w:val="008B74BF"/>
    <w:rsid w:val="008B7E52"/>
    <w:rsid w:val="008C036D"/>
    <w:rsid w:val="008C0743"/>
    <w:rsid w:val="008C0B4C"/>
    <w:rsid w:val="008C0BAF"/>
    <w:rsid w:val="008C11F0"/>
    <w:rsid w:val="008C1DBA"/>
    <w:rsid w:val="008C22AF"/>
    <w:rsid w:val="008C24E7"/>
    <w:rsid w:val="008C2500"/>
    <w:rsid w:val="008C2CAC"/>
    <w:rsid w:val="008C3E2A"/>
    <w:rsid w:val="008C3F42"/>
    <w:rsid w:val="008C45BD"/>
    <w:rsid w:val="008C4B19"/>
    <w:rsid w:val="008C568F"/>
    <w:rsid w:val="008C6281"/>
    <w:rsid w:val="008C62D4"/>
    <w:rsid w:val="008C6B89"/>
    <w:rsid w:val="008D18AA"/>
    <w:rsid w:val="008D1A2A"/>
    <w:rsid w:val="008D286D"/>
    <w:rsid w:val="008D2968"/>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729"/>
    <w:rsid w:val="008E58D0"/>
    <w:rsid w:val="008E5BCD"/>
    <w:rsid w:val="008E6598"/>
    <w:rsid w:val="008E7214"/>
    <w:rsid w:val="008E7348"/>
    <w:rsid w:val="008E7884"/>
    <w:rsid w:val="008E791C"/>
    <w:rsid w:val="008E7D6E"/>
    <w:rsid w:val="008F1056"/>
    <w:rsid w:val="008F10DC"/>
    <w:rsid w:val="008F1250"/>
    <w:rsid w:val="008F2E41"/>
    <w:rsid w:val="008F2E8D"/>
    <w:rsid w:val="008F387B"/>
    <w:rsid w:val="008F3DD9"/>
    <w:rsid w:val="008F4814"/>
    <w:rsid w:val="008F4DA6"/>
    <w:rsid w:val="008F538E"/>
    <w:rsid w:val="008F5A20"/>
    <w:rsid w:val="008F5ABA"/>
    <w:rsid w:val="008F7905"/>
    <w:rsid w:val="008F7989"/>
    <w:rsid w:val="00900FFC"/>
    <w:rsid w:val="009017D2"/>
    <w:rsid w:val="009026AF"/>
    <w:rsid w:val="009028E8"/>
    <w:rsid w:val="00902E5C"/>
    <w:rsid w:val="00903261"/>
    <w:rsid w:val="00903451"/>
    <w:rsid w:val="0090350D"/>
    <w:rsid w:val="009046E5"/>
    <w:rsid w:val="009047C5"/>
    <w:rsid w:val="00910683"/>
    <w:rsid w:val="00910E00"/>
    <w:rsid w:val="009116CE"/>
    <w:rsid w:val="00911714"/>
    <w:rsid w:val="00911A5B"/>
    <w:rsid w:val="00912C5B"/>
    <w:rsid w:val="00913396"/>
    <w:rsid w:val="00913658"/>
    <w:rsid w:val="009136D4"/>
    <w:rsid w:val="00914216"/>
    <w:rsid w:val="00914B9A"/>
    <w:rsid w:val="00914C3F"/>
    <w:rsid w:val="00914F33"/>
    <w:rsid w:val="009153F6"/>
    <w:rsid w:val="00915863"/>
    <w:rsid w:val="00915FCE"/>
    <w:rsid w:val="00916711"/>
    <w:rsid w:val="00916AFE"/>
    <w:rsid w:val="00916FC8"/>
    <w:rsid w:val="009170D3"/>
    <w:rsid w:val="0091717C"/>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6F2F"/>
    <w:rsid w:val="009470D4"/>
    <w:rsid w:val="00947337"/>
    <w:rsid w:val="009477E8"/>
    <w:rsid w:val="0095048F"/>
    <w:rsid w:val="009512FA"/>
    <w:rsid w:val="00951E57"/>
    <w:rsid w:val="00953018"/>
    <w:rsid w:val="009533E2"/>
    <w:rsid w:val="00953554"/>
    <w:rsid w:val="0095385A"/>
    <w:rsid w:val="00953928"/>
    <w:rsid w:val="00953F56"/>
    <w:rsid w:val="00955B99"/>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5972"/>
    <w:rsid w:val="00966214"/>
    <w:rsid w:val="00967DA0"/>
    <w:rsid w:val="00971441"/>
    <w:rsid w:val="009715D4"/>
    <w:rsid w:val="0097221F"/>
    <w:rsid w:val="00972594"/>
    <w:rsid w:val="00973139"/>
    <w:rsid w:val="009739A9"/>
    <w:rsid w:val="00973AA2"/>
    <w:rsid w:val="00973AE0"/>
    <w:rsid w:val="0097452F"/>
    <w:rsid w:val="0097494E"/>
    <w:rsid w:val="00974B58"/>
    <w:rsid w:val="009761ED"/>
    <w:rsid w:val="009801E7"/>
    <w:rsid w:val="0098022F"/>
    <w:rsid w:val="00980706"/>
    <w:rsid w:val="009810DE"/>
    <w:rsid w:val="009822D7"/>
    <w:rsid w:val="009827E6"/>
    <w:rsid w:val="00982F84"/>
    <w:rsid w:val="00983883"/>
    <w:rsid w:val="0098427D"/>
    <w:rsid w:val="00984567"/>
    <w:rsid w:val="00984B6A"/>
    <w:rsid w:val="00985102"/>
    <w:rsid w:val="009865D5"/>
    <w:rsid w:val="009876F2"/>
    <w:rsid w:val="00987C77"/>
    <w:rsid w:val="00990345"/>
    <w:rsid w:val="00990701"/>
    <w:rsid w:val="0099119C"/>
    <w:rsid w:val="0099137A"/>
    <w:rsid w:val="0099211C"/>
    <w:rsid w:val="00993B78"/>
    <w:rsid w:val="0099483A"/>
    <w:rsid w:val="00995119"/>
    <w:rsid w:val="009953AD"/>
    <w:rsid w:val="009957BA"/>
    <w:rsid w:val="0099583D"/>
    <w:rsid w:val="009958B6"/>
    <w:rsid w:val="00996992"/>
    <w:rsid w:val="00996E1E"/>
    <w:rsid w:val="00997392"/>
    <w:rsid w:val="0099747C"/>
    <w:rsid w:val="0099771C"/>
    <w:rsid w:val="009A01E4"/>
    <w:rsid w:val="009A0917"/>
    <w:rsid w:val="009A0A33"/>
    <w:rsid w:val="009A1351"/>
    <w:rsid w:val="009A2435"/>
    <w:rsid w:val="009A2CD5"/>
    <w:rsid w:val="009A35DC"/>
    <w:rsid w:val="009A38AB"/>
    <w:rsid w:val="009A3CFB"/>
    <w:rsid w:val="009A3D47"/>
    <w:rsid w:val="009A4D63"/>
    <w:rsid w:val="009A5356"/>
    <w:rsid w:val="009A53D7"/>
    <w:rsid w:val="009A5468"/>
    <w:rsid w:val="009A5C74"/>
    <w:rsid w:val="009A5D99"/>
    <w:rsid w:val="009A608C"/>
    <w:rsid w:val="009A6CA7"/>
    <w:rsid w:val="009A6CD4"/>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547C"/>
    <w:rsid w:val="009D55EB"/>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92E"/>
    <w:rsid w:val="009E5CB1"/>
    <w:rsid w:val="009E5E56"/>
    <w:rsid w:val="009E61EA"/>
    <w:rsid w:val="009E6990"/>
    <w:rsid w:val="009E6FEE"/>
    <w:rsid w:val="009F04AF"/>
    <w:rsid w:val="009F060F"/>
    <w:rsid w:val="009F0781"/>
    <w:rsid w:val="009F0850"/>
    <w:rsid w:val="009F1BDF"/>
    <w:rsid w:val="009F1E5E"/>
    <w:rsid w:val="009F1EAE"/>
    <w:rsid w:val="009F227D"/>
    <w:rsid w:val="009F3513"/>
    <w:rsid w:val="009F369D"/>
    <w:rsid w:val="009F36FE"/>
    <w:rsid w:val="009F4F25"/>
    <w:rsid w:val="009F569B"/>
    <w:rsid w:val="009F59C2"/>
    <w:rsid w:val="009F7263"/>
    <w:rsid w:val="009F7491"/>
    <w:rsid w:val="009F76EA"/>
    <w:rsid w:val="009F78EB"/>
    <w:rsid w:val="009F7F32"/>
    <w:rsid w:val="009F7FEB"/>
    <w:rsid w:val="00A01852"/>
    <w:rsid w:val="00A0188B"/>
    <w:rsid w:val="00A01E73"/>
    <w:rsid w:val="00A023E7"/>
    <w:rsid w:val="00A0259E"/>
    <w:rsid w:val="00A0297F"/>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9C7"/>
    <w:rsid w:val="00A10ACA"/>
    <w:rsid w:val="00A10D08"/>
    <w:rsid w:val="00A11AD3"/>
    <w:rsid w:val="00A12355"/>
    <w:rsid w:val="00A12384"/>
    <w:rsid w:val="00A126AC"/>
    <w:rsid w:val="00A127D2"/>
    <w:rsid w:val="00A12ADA"/>
    <w:rsid w:val="00A12C5E"/>
    <w:rsid w:val="00A12DBD"/>
    <w:rsid w:val="00A135F0"/>
    <w:rsid w:val="00A143EC"/>
    <w:rsid w:val="00A14A60"/>
    <w:rsid w:val="00A1500F"/>
    <w:rsid w:val="00A15621"/>
    <w:rsid w:val="00A15670"/>
    <w:rsid w:val="00A157A0"/>
    <w:rsid w:val="00A1585B"/>
    <w:rsid w:val="00A15C19"/>
    <w:rsid w:val="00A16809"/>
    <w:rsid w:val="00A17486"/>
    <w:rsid w:val="00A17769"/>
    <w:rsid w:val="00A17EA2"/>
    <w:rsid w:val="00A20192"/>
    <w:rsid w:val="00A20264"/>
    <w:rsid w:val="00A20997"/>
    <w:rsid w:val="00A21454"/>
    <w:rsid w:val="00A22025"/>
    <w:rsid w:val="00A22498"/>
    <w:rsid w:val="00A22571"/>
    <w:rsid w:val="00A233C0"/>
    <w:rsid w:val="00A24560"/>
    <w:rsid w:val="00A246C5"/>
    <w:rsid w:val="00A25B0F"/>
    <w:rsid w:val="00A25BBB"/>
    <w:rsid w:val="00A25F8E"/>
    <w:rsid w:val="00A26000"/>
    <w:rsid w:val="00A27F18"/>
    <w:rsid w:val="00A27FB6"/>
    <w:rsid w:val="00A30121"/>
    <w:rsid w:val="00A30368"/>
    <w:rsid w:val="00A3043A"/>
    <w:rsid w:val="00A30E02"/>
    <w:rsid w:val="00A30F6A"/>
    <w:rsid w:val="00A31C3E"/>
    <w:rsid w:val="00A34538"/>
    <w:rsid w:val="00A34677"/>
    <w:rsid w:val="00A35083"/>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1D3E"/>
    <w:rsid w:val="00A52D3F"/>
    <w:rsid w:val="00A52EE5"/>
    <w:rsid w:val="00A53037"/>
    <w:rsid w:val="00A532B9"/>
    <w:rsid w:val="00A5351D"/>
    <w:rsid w:val="00A53E79"/>
    <w:rsid w:val="00A54031"/>
    <w:rsid w:val="00A5426D"/>
    <w:rsid w:val="00A54FC2"/>
    <w:rsid w:val="00A55122"/>
    <w:rsid w:val="00A5582B"/>
    <w:rsid w:val="00A5640C"/>
    <w:rsid w:val="00A56DE7"/>
    <w:rsid w:val="00A577AC"/>
    <w:rsid w:val="00A57EB2"/>
    <w:rsid w:val="00A6009E"/>
    <w:rsid w:val="00A604E5"/>
    <w:rsid w:val="00A60B1F"/>
    <w:rsid w:val="00A6191A"/>
    <w:rsid w:val="00A61C60"/>
    <w:rsid w:val="00A61DEB"/>
    <w:rsid w:val="00A62257"/>
    <w:rsid w:val="00A62589"/>
    <w:rsid w:val="00A62C3A"/>
    <w:rsid w:val="00A63812"/>
    <w:rsid w:val="00A63DF7"/>
    <w:rsid w:val="00A64505"/>
    <w:rsid w:val="00A64DA9"/>
    <w:rsid w:val="00A656A8"/>
    <w:rsid w:val="00A668BA"/>
    <w:rsid w:val="00A66FA7"/>
    <w:rsid w:val="00A67E16"/>
    <w:rsid w:val="00A703CC"/>
    <w:rsid w:val="00A70C5C"/>
    <w:rsid w:val="00A71EA7"/>
    <w:rsid w:val="00A72D3F"/>
    <w:rsid w:val="00A730AD"/>
    <w:rsid w:val="00A73486"/>
    <w:rsid w:val="00A73855"/>
    <w:rsid w:val="00A73D64"/>
    <w:rsid w:val="00A74216"/>
    <w:rsid w:val="00A744B4"/>
    <w:rsid w:val="00A75135"/>
    <w:rsid w:val="00A751E3"/>
    <w:rsid w:val="00A75504"/>
    <w:rsid w:val="00A75CD9"/>
    <w:rsid w:val="00A76438"/>
    <w:rsid w:val="00A76E56"/>
    <w:rsid w:val="00A77168"/>
    <w:rsid w:val="00A7723B"/>
    <w:rsid w:val="00A777BF"/>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640"/>
    <w:rsid w:val="00A90F12"/>
    <w:rsid w:val="00A91780"/>
    <w:rsid w:val="00A93101"/>
    <w:rsid w:val="00A94293"/>
    <w:rsid w:val="00A9496E"/>
    <w:rsid w:val="00A949F0"/>
    <w:rsid w:val="00A94BDE"/>
    <w:rsid w:val="00A94CA5"/>
    <w:rsid w:val="00A94FCA"/>
    <w:rsid w:val="00A95E4C"/>
    <w:rsid w:val="00A969CD"/>
    <w:rsid w:val="00A96C60"/>
    <w:rsid w:val="00A9740B"/>
    <w:rsid w:val="00A9766C"/>
    <w:rsid w:val="00A977F8"/>
    <w:rsid w:val="00A97C93"/>
    <w:rsid w:val="00AA08E7"/>
    <w:rsid w:val="00AA0A06"/>
    <w:rsid w:val="00AA12AC"/>
    <w:rsid w:val="00AA1351"/>
    <w:rsid w:val="00AA1C84"/>
    <w:rsid w:val="00AA3D7B"/>
    <w:rsid w:val="00AA42A0"/>
    <w:rsid w:val="00AA442B"/>
    <w:rsid w:val="00AA46A4"/>
    <w:rsid w:val="00AA5779"/>
    <w:rsid w:val="00AA58A1"/>
    <w:rsid w:val="00AA5E3C"/>
    <w:rsid w:val="00AA61C7"/>
    <w:rsid w:val="00AA669D"/>
    <w:rsid w:val="00AA66ED"/>
    <w:rsid w:val="00AA6AA1"/>
    <w:rsid w:val="00AA6BE1"/>
    <w:rsid w:val="00AA7416"/>
    <w:rsid w:val="00AA7A60"/>
    <w:rsid w:val="00AA7B42"/>
    <w:rsid w:val="00AB041C"/>
    <w:rsid w:val="00AB14E8"/>
    <w:rsid w:val="00AB1B1D"/>
    <w:rsid w:val="00AB2216"/>
    <w:rsid w:val="00AB358D"/>
    <w:rsid w:val="00AB37A1"/>
    <w:rsid w:val="00AB3BAD"/>
    <w:rsid w:val="00AB3CFD"/>
    <w:rsid w:val="00AB4884"/>
    <w:rsid w:val="00AB49BC"/>
    <w:rsid w:val="00AB4DEE"/>
    <w:rsid w:val="00AB4E32"/>
    <w:rsid w:val="00AB579A"/>
    <w:rsid w:val="00AB724B"/>
    <w:rsid w:val="00AB726C"/>
    <w:rsid w:val="00AB72B4"/>
    <w:rsid w:val="00AC02AA"/>
    <w:rsid w:val="00AC0537"/>
    <w:rsid w:val="00AC06CB"/>
    <w:rsid w:val="00AC0A84"/>
    <w:rsid w:val="00AC2A0B"/>
    <w:rsid w:val="00AC2BEE"/>
    <w:rsid w:val="00AC2E53"/>
    <w:rsid w:val="00AC3904"/>
    <w:rsid w:val="00AC4737"/>
    <w:rsid w:val="00AC484F"/>
    <w:rsid w:val="00AC4B20"/>
    <w:rsid w:val="00AC56F2"/>
    <w:rsid w:val="00AC644E"/>
    <w:rsid w:val="00AC6886"/>
    <w:rsid w:val="00AC71C3"/>
    <w:rsid w:val="00AC7FC8"/>
    <w:rsid w:val="00AD034D"/>
    <w:rsid w:val="00AD15D9"/>
    <w:rsid w:val="00AD1C45"/>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649"/>
    <w:rsid w:val="00AE586F"/>
    <w:rsid w:val="00AE5D80"/>
    <w:rsid w:val="00AE6582"/>
    <w:rsid w:val="00AE6B75"/>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071"/>
    <w:rsid w:val="00AF7796"/>
    <w:rsid w:val="00B0035C"/>
    <w:rsid w:val="00B011A9"/>
    <w:rsid w:val="00B02422"/>
    <w:rsid w:val="00B024ED"/>
    <w:rsid w:val="00B02EB3"/>
    <w:rsid w:val="00B02FCB"/>
    <w:rsid w:val="00B033F8"/>
    <w:rsid w:val="00B036AF"/>
    <w:rsid w:val="00B03C1E"/>
    <w:rsid w:val="00B04400"/>
    <w:rsid w:val="00B04835"/>
    <w:rsid w:val="00B05A55"/>
    <w:rsid w:val="00B05DCF"/>
    <w:rsid w:val="00B05DE1"/>
    <w:rsid w:val="00B06595"/>
    <w:rsid w:val="00B10109"/>
    <w:rsid w:val="00B1028F"/>
    <w:rsid w:val="00B1085E"/>
    <w:rsid w:val="00B10FD1"/>
    <w:rsid w:val="00B12735"/>
    <w:rsid w:val="00B129C6"/>
    <w:rsid w:val="00B13386"/>
    <w:rsid w:val="00B13533"/>
    <w:rsid w:val="00B13C48"/>
    <w:rsid w:val="00B13E35"/>
    <w:rsid w:val="00B13EC0"/>
    <w:rsid w:val="00B14102"/>
    <w:rsid w:val="00B148E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1040"/>
    <w:rsid w:val="00B226D6"/>
    <w:rsid w:val="00B22C58"/>
    <w:rsid w:val="00B22E22"/>
    <w:rsid w:val="00B22F5F"/>
    <w:rsid w:val="00B23813"/>
    <w:rsid w:val="00B23FD9"/>
    <w:rsid w:val="00B24591"/>
    <w:rsid w:val="00B245D5"/>
    <w:rsid w:val="00B24BED"/>
    <w:rsid w:val="00B24C36"/>
    <w:rsid w:val="00B24F94"/>
    <w:rsid w:val="00B25126"/>
    <w:rsid w:val="00B252B4"/>
    <w:rsid w:val="00B252BF"/>
    <w:rsid w:val="00B25A52"/>
    <w:rsid w:val="00B25B0A"/>
    <w:rsid w:val="00B25FC3"/>
    <w:rsid w:val="00B27026"/>
    <w:rsid w:val="00B27875"/>
    <w:rsid w:val="00B3008D"/>
    <w:rsid w:val="00B30E11"/>
    <w:rsid w:val="00B30EEB"/>
    <w:rsid w:val="00B31423"/>
    <w:rsid w:val="00B31710"/>
    <w:rsid w:val="00B321A3"/>
    <w:rsid w:val="00B323E0"/>
    <w:rsid w:val="00B32DC0"/>
    <w:rsid w:val="00B32FA4"/>
    <w:rsid w:val="00B3346C"/>
    <w:rsid w:val="00B335E4"/>
    <w:rsid w:val="00B33C23"/>
    <w:rsid w:val="00B345B4"/>
    <w:rsid w:val="00B348B1"/>
    <w:rsid w:val="00B34A28"/>
    <w:rsid w:val="00B35046"/>
    <w:rsid w:val="00B3589B"/>
    <w:rsid w:val="00B35B47"/>
    <w:rsid w:val="00B35B6A"/>
    <w:rsid w:val="00B37657"/>
    <w:rsid w:val="00B37AFD"/>
    <w:rsid w:val="00B37B07"/>
    <w:rsid w:val="00B4046F"/>
    <w:rsid w:val="00B40650"/>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5D62"/>
    <w:rsid w:val="00B56851"/>
    <w:rsid w:val="00B56D6E"/>
    <w:rsid w:val="00B572F7"/>
    <w:rsid w:val="00B57B9D"/>
    <w:rsid w:val="00B57DAF"/>
    <w:rsid w:val="00B60094"/>
    <w:rsid w:val="00B6022C"/>
    <w:rsid w:val="00B614F8"/>
    <w:rsid w:val="00B61994"/>
    <w:rsid w:val="00B61FD4"/>
    <w:rsid w:val="00B6235B"/>
    <w:rsid w:val="00B62880"/>
    <w:rsid w:val="00B63872"/>
    <w:rsid w:val="00B63CB2"/>
    <w:rsid w:val="00B6416D"/>
    <w:rsid w:val="00B64246"/>
    <w:rsid w:val="00B64BFD"/>
    <w:rsid w:val="00B64EDB"/>
    <w:rsid w:val="00B64FDC"/>
    <w:rsid w:val="00B65938"/>
    <w:rsid w:val="00B65C8A"/>
    <w:rsid w:val="00B65CE2"/>
    <w:rsid w:val="00B660AD"/>
    <w:rsid w:val="00B66109"/>
    <w:rsid w:val="00B66349"/>
    <w:rsid w:val="00B67630"/>
    <w:rsid w:val="00B67FBF"/>
    <w:rsid w:val="00B70D74"/>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4007"/>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2CA"/>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A7976"/>
    <w:rsid w:val="00BB0116"/>
    <w:rsid w:val="00BB0888"/>
    <w:rsid w:val="00BB0DF1"/>
    <w:rsid w:val="00BB0E9B"/>
    <w:rsid w:val="00BB1DE8"/>
    <w:rsid w:val="00BB2841"/>
    <w:rsid w:val="00BB300F"/>
    <w:rsid w:val="00BB32C9"/>
    <w:rsid w:val="00BB35C5"/>
    <w:rsid w:val="00BB4C8E"/>
    <w:rsid w:val="00BB57ED"/>
    <w:rsid w:val="00BB65C3"/>
    <w:rsid w:val="00BB662E"/>
    <w:rsid w:val="00BB67A9"/>
    <w:rsid w:val="00BB6C01"/>
    <w:rsid w:val="00BB6D59"/>
    <w:rsid w:val="00BB7942"/>
    <w:rsid w:val="00BB7CD1"/>
    <w:rsid w:val="00BC0F33"/>
    <w:rsid w:val="00BC14A7"/>
    <w:rsid w:val="00BC17CC"/>
    <w:rsid w:val="00BC229E"/>
    <w:rsid w:val="00BC2898"/>
    <w:rsid w:val="00BC2928"/>
    <w:rsid w:val="00BC2BB1"/>
    <w:rsid w:val="00BC34A3"/>
    <w:rsid w:val="00BC3FF9"/>
    <w:rsid w:val="00BC41AA"/>
    <w:rsid w:val="00BC4834"/>
    <w:rsid w:val="00BC4A97"/>
    <w:rsid w:val="00BC525C"/>
    <w:rsid w:val="00BC5A25"/>
    <w:rsid w:val="00BC5FDD"/>
    <w:rsid w:val="00BC68B4"/>
    <w:rsid w:val="00BC71FD"/>
    <w:rsid w:val="00BD0140"/>
    <w:rsid w:val="00BD02CC"/>
    <w:rsid w:val="00BD0460"/>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65DD"/>
    <w:rsid w:val="00BE6898"/>
    <w:rsid w:val="00BE7257"/>
    <w:rsid w:val="00BF020D"/>
    <w:rsid w:val="00BF0839"/>
    <w:rsid w:val="00BF0CA2"/>
    <w:rsid w:val="00BF1BD1"/>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0D90"/>
    <w:rsid w:val="00C01F74"/>
    <w:rsid w:val="00C02558"/>
    <w:rsid w:val="00C0285F"/>
    <w:rsid w:val="00C02F35"/>
    <w:rsid w:val="00C03305"/>
    <w:rsid w:val="00C03515"/>
    <w:rsid w:val="00C03738"/>
    <w:rsid w:val="00C037A6"/>
    <w:rsid w:val="00C043F5"/>
    <w:rsid w:val="00C044E3"/>
    <w:rsid w:val="00C04BDB"/>
    <w:rsid w:val="00C052C6"/>
    <w:rsid w:val="00C05A61"/>
    <w:rsid w:val="00C061BE"/>
    <w:rsid w:val="00C0633F"/>
    <w:rsid w:val="00C06CCF"/>
    <w:rsid w:val="00C108B8"/>
    <w:rsid w:val="00C11503"/>
    <w:rsid w:val="00C1159D"/>
    <w:rsid w:val="00C11683"/>
    <w:rsid w:val="00C118DB"/>
    <w:rsid w:val="00C1233E"/>
    <w:rsid w:val="00C123E6"/>
    <w:rsid w:val="00C125C1"/>
    <w:rsid w:val="00C12D53"/>
    <w:rsid w:val="00C12FB3"/>
    <w:rsid w:val="00C138BC"/>
    <w:rsid w:val="00C13D85"/>
    <w:rsid w:val="00C13F01"/>
    <w:rsid w:val="00C14639"/>
    <w:rsid w:val="00C14E82"/>
    <w:rsid w:val="00C14FF6"/>
    <w:rsid w:val="00C15233"/>
    <w:rsid w:val="00C15A85"/>
    <w:rsid w:val="00C1641B"/>
    <w:rsid w:val="00C165FC"/>
    <w:rsid w:val="00C1739A"/>
    <w:rsid w:val="00C176D5"/>
    <w:rsid w:val="00C205A4"/>
    <w:rsid w:val="00C2082C"/>
    <w:rsid w:val="00C20EB0"/>
    <w:rsid w:val="00C21005"/>
    <w:rsid w:val="00C220B6"/>
    <w:rsid w:val="00C22AB8"/>
    <w:rsid w:val="00C22D7C"/>
    <w:rsid w:val="00C22DDE"/>
    <w:rsid w:val="00C2338B"/>
    <w:rsid w:val="00C233CE"/>
    <w:rsid w:val="00C23661"/>
    <w:rsid w:val="00C237DD"/>
    <w:rsid w:val="00C238BD"/>
    <w:rsid w:val="00C238F4"/>
    <w:rsid w:val="00C23A99"/>
    <w:rsid w:val="00C245EE"/>
    <w:rsid w:val="00C24935"/>
    <w:rsid w:val="00C24AE1"/>
    <w:rsid w:val="00C24B8D"/>
    <w:rsid w:val="00C24BD7"/>
    <w:rsid w:val="00C2561A"/>
    <w:rsid w:val="00C25813"/>
    <w:rsid w:val="00C26EEB"/>
    <w:rsid w:val="00C27143"/>
    <w:rsid w:val="00C27490"/>
    <w:rsid w:val="00C2762D"/>
    <w:rsid w:val="00C27A55"/>
    <w:rsid w:val="00C27D37"/>
    <w:rsid w:val="00C302E5"/>
    <w:rsid w:val="00C309E8"/>
    <w:rsid w:val="00C32017"/>
    <w:rsid w:val="00C325CD"/>
    <w:rsid w:val="00C3322E"/>
    <w:rsid w:val="00C337F5"/>
    <w:rsid w:val="00C33B90"/>
    <w:rsid w:val="00C345B2"/>
    <w:rsid w:val="00C34B5F"/>
    <w:rsid w:val="00C358D4"/>
    <w:rsid w:val="00C36227"/>
    <w:rsid w:val="00C36785"/>
    <w:rsid w:val="00C36845"/>
    <w:rsid w:val="00C368D3"/>
    <w:rsid w:val="00C3711C"/>
    <w:rsid w:val="00C37256"/>
    <w:rsid w:val="00C37A06"/>
    <w:rsid w:val="00C37A7B"/>
    <w:rsid w:val="00C37E19"/>
    <w:rsid w:val="00C37FFE"/>
    <w:rsid w:val="00C40B50"/>
    <w:rsid w:val="00C41858"/>
    <w:rsid w:val="00C419E3"/>
    <w:rsid w:val="00C419F4"/>
    <w:rsid w:val="00C41E6A"/>
    <w:rsid w:val="00C42247"/>
    <w:rsid w:val="00C439BE"/>
    <w:rsid w:val="00C44C8C"/>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5BC"/>
    <w:rsid w:val="00C54640"/>
    <w:rsid w:val="00C547A6"/>
    <w:rsid w:val="00C54A3A"/>
    <w:rsid w:val="00C5503F"/>
    <w:rsid w:val="00C55374"/>
    <w:rsid w:val="00C55479"/>
    <w:rsid w:val="00C55C32"/>
    <w:rsid w:val="00C56A67"/>
    <w:rsid w:val="00C56CC2"/>
    <w:rsid w:val="00C570ED"/>
    <w:rsid w:val="00C57498"/>
    <w:rsid w:val="00C5763C"/>
    <w:rsid w:val="00C5780C"/>
    <w:rsid w:val="00C5796B"/>
    <w:rsid w:val="00C6107C"/>
    <w:rsid w:val="00C619A1"/>
    <w:rsid w:val="00C619A6"/>
    <w:rsid w:val="00C61BBB"/>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3BA"/>
    <w:rsid w:val="00C74BAD"/>
    <w:rsid w:val="00C760DC"/>
    <w:rsid w:val="00C775F0"/>
    <w:rsid w:val="00C8082B"/>
    <w:rsid w:val="00C81A88"/>
    <w:rsid w:val="00C81AEC"/>
    <w:rsid w:val="00C81D46"/>
    <w:rsid w:val="00C8201C"/>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E28"/>
    <w:rsid w:val="00CA0031"/>
    <w:rsid w:val="00CA0413"/>
    <w:rsid w:val="00CA043A"/>
    <w:rsid w:val="00CA04F8"/>
    <w:rsid w:val="00CA1691"/>
    <w:rsid w:val="00CA2E65"/>
    <w:rsid w:val="00CA41E7"/>
    <w:rsid w:val="00CA5520"/>
    <w:rsid w:val="00CA5812"/>
    <w:rsid w:val="00CA5BD4"/>
    <w:rsid w:val="00CA5C08"/>
    <w:rsid w:val="00CA5C14"/>
    <w:rsid w:val="00CA76FC"/>
    <w:rsid w:val="00CA7E7B"/>
    <w:rsid w:val="00CB0236"/>
    <w:rsid w:val="00CB07CA"/>
    <w:rsid w:val="00CB0F0A"/>
    <w:rsid w:val="00CB1231"/>
    <w:rsid w:val="00CB19E3"/>
    <w:rsid w:val="00CB1D66"/>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5C4"/>
    <w:rsid w:val="00CE7F26"/>
    <w:rsid w:val="00CF1226"/>
    <w:rsid w:val="00CF1ABB"/>
    <w:rsid w:val="00CF1E1D"/>
    <w:rsid w:val="00CF24FE"/>
    <w:rsid w:val="00CF35D0"/>
    <w:rsid w:val="00CF3DD5"/>
    <w:rsid w:val="00CF4AF7"/>
    <w:rsid w:val="00CF4D20"/>
    <w:rsid w:val="00CF623E"/>
    <w:rsid w:val="00CF6427"/>
    <w:rsid w:val="00CF6672"/>
    <w:rsid w:val="00CF73F8"/>
    <w:rsid w:val="00CF7928"/>
    <w:rsid w:val="00CF7CA2"/>
    <w:rsid w:val="00D00A8E"/>
    <w:rsid w:val="00D00DE0"/>
    <w:rsid w:val="00D00F79"/>
    <w:rsid w:val="00D012BF"/>
    <w:rsid w:val="00D016CC"/>
    <w:rsid w:val="00D01760"/>
    <w:rsid w:val="00D0368E"/>
    <w:rsid w:val="00D03C5C"/>
    <w:rsid w:val="00D03D2D"/>
    <w:rsid w:val="00D03E7B"/>
    <w:rsid w:val="00D0401A"/>
    <w:rsid w:val="00D0455F"/>
    <w:rsid w:val="00D047E0"/>
    <w:rsid w:val="00D04B9F"/>
    <w:rsid w:val="00D04C60"/>
    <w:rsid w:val="00D04FFB"/>
    <w:rsid w:val="00D058E9"/>
    <w:rsid w:val="00D05C96"/>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104A"/>
    <w:rsid w:val="00D21BB5"/>
    <w:rsid w:val="00D21E06"/>
    <w:rsid w:val="00D21FFC"/>
    <w:rsid w:val="00D22332"/>
    <w:rsid w:val="00D223B6"/>
    <w:rsid w:val="00D223E8"/>
    <w:rsid w:val="00D22DC8"/>
    <w:rsid w:val="00D2522A"/>
    <w:rsid w:val="00D2531C"/>
    <w:rsid w:val="00D25512"/>
    <w:rsid w:val="00D2742F"/>
    <w:rsid w:val="00D2754F"/>
    <w:rsid w:val="00D279D9"/>
    <w:rsid w:val="00D27FBD"/>
    <w:rsid w:val="00D312DC"/>
    <w:rsid w:val="00D31B84"/>
    <w:rsid w:val="00D31C6A"/>
    <w:rsid w:val="00D31EDF"/>
    <w:rsid w:val="00D31FF9"/>
    <w:rsid w:val="00D32149"/>
    <w:rsid w:val="00D32256"/>
    <w:rsid w:val="00D328B0"/>
    <w:rsid w:val="00D32A27"/>
    <w:rsid w:val="00D32ABC"/>
    <w:rsid w:val="00D34B25"/>
    <w:rsid w:val="00D34F4E"/>
    <w:rsid w:val="00D357F3"/>
    <w:rsid w:val="00D35C0E"/>
    <w:rsid w:val="00D35C93"/>
    <w:rsid w:val="00D373A8"/>
    <w:rsid w:val="00D37460"/>
    <w:rsid w:val="00D379A5"/>
    <w:rsid w:val="00D37DE9"/>
    <w:rsid w:val="00D401BE"/>
    <w:rsid w:val="00D4043A"/>
    <w:rsid w:val="00D40A8E"/>
    <w:rsid w:val="00D40DB0"/>
    <w:rsid w:val="00D40F8B"/>
    <w:rsid w:val="00D41858"/>
    <w:rsid w:val="00D422DB"/>
    <w:rsid w:val="00D42AC2"/>
    <w:rsid w:val="00D42EEB"/>
    <w:rsid w:val="00D4498E"/>
    <w:rsid w:val="00D4515F"/>
    <w:rsid w:val="00D451E8"/>
    <w:rsid w:val="00D4636B"/>
    <w:rsid w:val="00D466C9"/>
    <w:rsid w:val="00D467D8"/>
    <w:rsid w:val="00D47275"/>
    <w:rsid w:val="00D474A2"/>
    <w:rsid w:val="00D500C4"/>
    <w:rsid w:val="00D509DB"/>
    <w:rsid w:val="00D50C39"/>
    <w:rsid w:val="00D518A6"/>
    <w:rsid w:val="00D51E15"/>
    <w:rsid w:val="00D52B7E"/>
    <w:rsid w:val="00D52E2F"/>
    <w:rsid w:val="00D52F59"/>
    <w:rsid w:val="00D53E3E"/>
    <w:rsid w:val="00D55904"/>
    <w:rsid w:val="00D5616D"/>
    <w:rsid w:val="00D5616F"/>
    <w:rsid w:val="00D57940"/>
    <w:rsid w:val="00D57CD7"/>
    <w:rsid w:val="00D60327"/>
    <w:rsid w:val="00D61526"/>
    <w:rsid w:val="00D616B2"/>
    <w:rsid w:val="00D61F81"/>
    <w:rsid w:val="00D62193"/>
    <w:rsid w:val="00D62BE6"/>
    <w:rsid w:val="00D63766"/>
    <w:rsid w:val="00D63912"/>
    <w:rsid w:val="00D63923"/>
    <w:rsid w:val="00D6451B"/>
    <w:rsid w:val="00D64B57"/>
    <w:rsid w:val="00D65917"/>
    <w:rsid w:val="00D65DEA"/>
    <w:rsid w:val="00D65DFE"/>
    <w:rsid w:val="00D66E81"/>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3F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14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ADF"/>
    <w:rsid w:val="00D96EE0"/>
    <w:rsid w:val="00D971BB"/>
    <w:rsid w:val="00D97BD1"/>
    <w:rsid w:val="00DA0683"/>
    <w:rsid w:val="00DA06B8"/>
    <w:rsid w:val="00DA088C"/>
    <w:rsid w:val="00DA0A19"/>
    <w:rsid w:val="00DA286D"/>
    <w:rsid w:val="00DA2969"/>
    <w:rsid w:val="00DA29B7"/>
    <w:rsid w:val="00DA4842"/>
    <w:rsid w:val="00DA4E75"/>
    <w:rsid w:val="00DA5989"/>
    <w:rsid w:val="00DA5AB1"/>
    <w:rsid w:val="00DA5F9D"/>
    <w:rsid w:val="00DA69B2"/>
    <w:rsid w:val="00DA7462"/>
    <w:rsid w:val="00DA799C"/>
    <w:rsid w:val="00DA7AD0"/>
    <w:rsid w:val="00DB02CE"/>
    <w:rsid w:val="00DB02D7"/>
    <w:rsid w:val="00DB03CC"/>
    <w:rsid w:val="00DB12D4"/>
    <w:rsid w:val="00DB14F0"/>
    <w:rsid w:val="00DB1745"/>
    <w:rsid w:val="00DB18D2"/>
    <w:rsid w:val="00DB1AFF"/>
    <w:rsid w:val="00DB219A"/>
    <w:rsid w:val="00DB2711"/>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24B"/>
    <w:rsid w:val="00DC5823"/>
    <w:rsid w:val="00DC62E5"/>
    <w:rsid w:val="00DC6F33"/>
    <w:rsid w:val="00DC7349"/>
    <w:rsid w:val="00DD0E0E"/>
    <w:rsid w:val="00DD14D8"/>
    <w:rsid w:val="00DD1599"/>
    <w:rsid w:val="00DD1B03"/>
    <w:rsid w:val="00DD2A62"/>
    <w:rsid w:val="00DD2F2F"/>
    <w:rsid w:val="00DD2F7A"/>
    <w:rsid w:val="00DD3885"/>
    <w:rsid w:val="00DD5056"/>
    <w:rsid w:val="00DD5808"/>
    <w:rsid w:val="00DD5946"/>
    <w:rsid w:val="00DD5B04"/>
    <w:rsid w:val="00DD5DAE"/>
    <w:rsid w:val="00DD5EAA"/>
    <w:rsid w:val="00DD5EC6"/>
    <w:rsid w:val="00DD605F"/>
    <w:rsid w:val="00DD72A0"/>
    <w:rsid w:val="00DD735D"/>
    <w:rsid w:val="00DD79A9"/>
    <w:rsid w:val="00DE0159"/>
    <w:rsid w:val="00DE064A"/>
    <w:rsid w:val="00DE082D"/>
    <w:rsid w:val="00DE1075"/>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2EC6"/>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982"/>
    <w:rsid w:val="00E05E70"/>
    <w:rsid w:val="00E064BC"/>
    <w:rsid w:val="00E07166"/>
    <w:rsid w:val="00E07225"/>
    <w:rsid w:val="00E0729A"/>
    <w:rsid w:val="00E07AAA"/>
    <w:rsid w:val="00E07B30"/>
    <w:rsid w:val="00E109DD"/>
    <w:rsid w:val="00E11229"/>
    <w:rsid w:val="00E114CA"/>
    <w:rsid w:val="00E11CF0"/>
    <w:rsid w:val="00E12511"/>
    <w:rsid w:val="00E1397F"/>
    <w:rsid w:val="00E13AB8"/>
    <w:rsid w:val="00E1482E"/>
    <w:rsid w:val="00E15423"/>
    <w:rsid w:val="00E15BDD"/>
    <w:rsid w:val="00E16382"/>
    <w:rsid w:val="00E1699C"/>
    <w:rsid w:val="00E16B5D"/>
    <w:rsid w:val="00E16E75"/>
    <w:rsid w:val="00E16E84"/>
    <w:rsid w:val="00E1746D"/>
    <w:rsid w:val="00E17D30"/>
    <w:rsid w:val="00E2012A"/>
    <w:rsid w:val="00E205A2"/>
    <w:rsid w:val="00E20BA4"/>
    <w:rsid w:val="00E20C61"/>
    <w:rsid w:val="00E23137"/>
    <w:rsid w:val="00E23195"/>
    <w:rsid w:val="00E23980"/>
    <w:rsid w:val="00E241E9"/>
    <w:rsid w:val="00E257C3"/>
    <w:rsid w:val="00E25CB3"/>
    <w:rsid w:val="00E25DA4"/>
    <w:rsid w:val="00E26553"/>
    <w:rsid w:val="00E26CB8"/>
    <w:rsid w:val="00E26FCF"/>
    <w:rsid w:val="00E27165"/>
    <w:rsid w:val="00E27226"/>
    <w:rsid w:val="00E3044A"/>
    <w:rsid w:val="00E31096"/>
    <w:rsid w:val="00E31A4A"/>
    <w:rsid w:val="00E32F45"/>
    <w:rsid w:val="00E3344A"/>
    <w:rsid w:val="00E33B29"/>
    <w:rsid w:val="00E33B62"/>
    <w:rsid w:val="00E3403D"/>
    <w:rsid w:val="00E34E6C"/>
    <w:rsid w:val="00E350D8"/>
    <w:rsid w:val="00E353E2"/>
    <w:rsid w:val="00E356A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0C78"/>
    <w:rsid w:val="00E5106E"/>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3FC5"/>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FC"/>
    <w:rsid w:val="00E84A71"/>
    <w:rsid w:val="00E86556"/>
    <w:rsid w:val="00E86798"/>
    <w:rsid w:val="00E86D35"/>
    <w:rsid w:val="00E86DC2"/>
    <w:rsid w:val="00E86E32"/>
    <w:rsid w:val="00E8732E"/>
    <w:rsid w:val="00E9011F"/>
    <w:rsid w:val="00E9057B"/>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41B"/>
    <w:rsid w:val="00EA37B9"/>
    <w:rsid w:val="00EA39F7"/>
    <w:rsid w:val="00EA3B27"/>
    <w:rsid w:val="00EA3C0D"/>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301"/>
    <w:rsid w:val="00EB3416"/>
    <w:rsid w:val="00EB4AE1"/>
    <w:rsid w:val="00EB52F4"/>
    <w:rsid w:val="00EB5694"/>
    <w:rsid w:val="00EB5779"/>
    <w:rsid w:val="00EB6098"/>
    <w:rsid w:val="00EB65ED"/>
    <w:rsid w:val="00EB67F1"/>
    <w:rsid w:val="00EB72CD"/>
    <w:rsid w:val="00EB749A"/>
    <w:rsid w:val="00EB76B6"/>
    <w:rsid w:val="00EB7D8A"/>
    <w:rsid w:val="00EC05E2"/>
    <w:rsid w:val="00EC073B"/>
    <w:rsid w:val="00EC08AF"/>
    <w:rsid w:val="00EC0B29"/>
    <w:rsid w:val="00EC0E84"/>
    <w:rsid w:val="00EC16E2"/>
    <w:rsid w:val="00EC1CE7"/>
    <w:rsid w:val="00EC26F1"/>
    <w:rsid w:val="00EC36B1"/>
    <w:rsid w:val="00EC3C94"/>
    <w:rsid w:val="00EC43B9"/>
    <w:rsid w:val="00EC44DF"/>
    <w:rsid w:val="00EC4AB1"/>
    <w:rsid w:val="00EC4FB9"/>
    <w:rsid w:val="00EC5393"/>
    <w:rsid w:val="00EC5741"/>
    <w:rsid w:val="00EC5889"/>
    <w:rsid w:val="00EC59E8"/>
    <w:rsid w:val="00EC5ACE"/>
    <w:rsid w:val="00EC5DA3"/>
    <w:rsid w:val="00EC6014"/>
    <w:rsid w:val="00EC6B34"/>
    <w:rsid w:val="00EC6B3E"/>
    <w:rsid w:val="00EC6F13"/>
    <w:rsid w:val="00EC73DE"/>
    <w:rsid w:val="00EC7637"/>
    <w:rsid w:val="00EC7B50"/>
    <w:rsid w:val="00EC7CF2"/>
    <w:rsid w:val="00ED046B"/>
    <w:rsid w:val="00ED046C"/>
    <w:rsid w:val="00ED053A"/>
    <w:rsid w:val="00ED1F03"/>
    <w:rsid w:val="00ED2D27"/>
    <w:rsid w:val="00ED3347"/>
    <w:rsid w:val="00ED3954"/>
    <w:rsid w:val="00ED3C33"/>
    <w:rsid w:val="00ED43A2"/>
    <w:rsid w:val="00ED455D"/>
    <w:rsid w:val="00ED4967"/>
    <w:rsid w:val="00ED4EC8"/>
    <w:rsid w:val="00ED5140"/>
    <w:rsid w:val="00ED538C"/>
    <w:rsid w:val="00ED5771"/>
    <w:rsid w:val="00ED587F"/>
    <w:rsid w:val="00ED5964"/>
    <w:rsid w:val="00ED5D33"/>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AE0"/>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7C0"/>
    <w:rsid w:val="00EF688A"/>
    <w:rsid w:val="00EF6A03"/>
    <w:rsid w:val="00EF6DC2"/>
    <w:rsid w:val="00EF7580"/>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461"/>
    <w:rsid w:val="00F11768"/>
    <w:rsid w:val="00F11951"/>
    <w:rsid w:val="00F11CED"/>
    <w:rsid w:val="00F12262"/>
    <w:rsid w:val="00F128CF"/>
    <w:rsid w:val="00F12AF8"/>
    <w:rsid w:val="00F12C52"/>
    <w:rsid w:val="00F133BD"/>
    <w:rsid w:val="00F148B7"/>
    <w:rsid w:val="00F14EA9"/>
    <w:rsid w:val="00F15348"/>
    <w:rsid w:val="00F15505"/>
    <w:rsid w:val="00F15BFF"/>
    <w:rsid w:val="00F17127"/>
    <w:rsid w:val="00F207E5"/>
    <w:rsid w:val="00F213A0"/>
    <w:rsid w:val="00F21A51"/>
    <w:rsid w:val="00F21D54"/>
    <w:rsid w:val="00F21E10"/>
    <w:rsid w:val="00F21EF4"/>
    <w:rsid w:val="00F23113"/>
    <w:rsid w:val="00F23255"/>
    <w:rsid w:val="00F23393"/>
    <w:rsid w:val="00F23759"/>
    <w:rsid w:val="00F23A87"/>
    <w:rsid w:val="00F24644"/>
    <w:rsid w:val="00F256AA"/>
    <w:rsid w:val="00F256FD"/>
    <w:rsid w:val="00F25F97"/>
    <w:rsid w:val="00F26148"/>
    <w:rsid w:val="00F26F33"/>
    <w:rsid w:val="00F300A8"/>
    <w:rsid w:val="00F30400"/>
    <w:rsid w:val="00F3079E"/>
    <w:rsid w:val="00F30C7B"/>
    <w:rsid w:val="00F31126"/>
    <w:rsid w:val="00F314BB"/>
    <w:rsid w:val="00F31B23"/>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86"/>
    <w:rsid w:val="00F424B3"/>
    <w:rsid w:val="00F428B1"/>
    <w:rsid w:val="00F428B4"/>
    <w:rsid w:val="00F4345D"/>
    <w:rsid w:val="00F4387B"/>
    <w:rsid w:val="00F44105"/>
    <w:rsid w:val="00F4518D"/>
    <w:rsid w:val="00F453D0"/>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2B73"/>
    <w:rsid w:val="00F65A3C"/>
    <w:rsid w:val="00F65FFA"/>
    <w:rsid w:val="00F66282"/>
    <w:rsid w:val="00F66B4E"/>
    <w:rsid w:val="00F67ACE"/>
    <w:rsid w:val="00F67D8B"/>
    <w:rsid w:val="00F67EE0"/>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51B"/>
    <w:rsid w:val="00F778F3"/>
    <w:rsid w:val="00F77E61"/>
    <w:rsid w:val="00F80AFD"/>
    <w:rsid w:val="00F815AC"/>
    <w:rsid w:val="00F82B1D"/>
    <w:rsid w:val="00F83702"/>
    <w:rsid w:val="00F83B33"/>
    <w:rsid w:val="00F83CAE"/>
    <w:rsid w:val="00F83E17"/>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3A3"/>
    <w:rsid w:val="00F9289C"/>
    <w:rsid w:val="00F929F7"/>
    <w:rsid w:val="00F92C1A"/>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A47"/>
    <w:rsid w:val="00FA6F8B"/>
    <w:rsid w:val="00FA77B3"/>
    <w:rsid w:val="00FA7A30"/>
    <w:rsid w:val="00FA7C55"/>
    <w:rsid w:val="00FB033F"/>
    <w:rsid w:val="00FB12E3"/>
    <w:rsid w:val="00FB1557"/>
    <w:rsid w:val="00FB1570"/>
    <w:rsid w:val="00FB193B"/>
    <w:rsid w:val="00FB1FBC"/>
    <w:rsid w:val="00FB27B7"/>
    <w:rsid w:val="00FB3483"/>
    <w:rsid w:val="00FB35E3"/>
    <w:rsid w:val="00FB583C"/>
    <w:rsid w:val="00FB630E"/>
    <w:rsid w:val="00FB6738"/>
    <w:rsid w:val="00FB691B"/>
    <w:rsid w:val="00FB731C"/>
    <w:rsid w:val="00FB7C6B"/>
    <w:rsid w:val="00FC05A0"/>
    <w:rsid w:val="00FC0811"/>
    <w:rsid w:val="00FC1196"/>
    <w:rsid w:val="00FC15EB"/>
    <w:rsid w:val="00FC18DC"/>
    <w:rsid w:val="00FC299B"/>
    <w:rsid w:val="00FC2AC4"/>
    <w:rsid w:val="00FC2F73"/>
    <w:rsid w:val="00FC3A9B"/>
    <w:rsid w:val="00FC3AE1"/>
    <w:rsid w:val="00FC3DFC"/>
    <w:rsid w:val="00FC3EF4"/>
    <w:rsid w:val="00FC41F0"/>
    <w:rsid w:val="00FC431B"/>
    <w:rsid w:val="00FC434C"/>
    <w:rsid w:val="00FC43AE"/>
    <w:rsid w:val="00FC4FDF"/>
    <w:rsid w:val="00FC5A61"/>
    <w:rsid w:val="00FC5CF4"/>
    <w:rsid w:val="00FC6A39"/>
    <w:rsid w:val="00FC79AB"/>
    <w:rsid w:val="00FC7BE7"/>
    <w:rsid w:val="00FC7DAC"/>
    <w:rsid w:val="00FD04AE"/>
    <w:rsid w:val="00FD1890"/>
    <w:rsid w:val="00FD1994"/>
    <w:rsid w:val="00FD2CA6"/>
    <w:rsid w:val="00FD3508"/>
    <w:rsid w:val="00FD393C"/>
    <w:rsid w:val="00FD43BB"/>
    <w:rsid w:val="00FD4AF3"/>
    <w:rsid w:val="00FD4CAB"/>
    <w:rsid w:val="00FD66E1"/>
    <w:rsid w:val="00FD6F72"/>
    <w:rsid w:val="00FD798D"/>
    <w:rsid w:val="00FD7FB9"/>
    <w:rsid w:val="00FE0B6A"/>
    <w:rsid w:val="00FE129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2AB9"/>
    <w:rsid w:val="00FF3B37"/>
    <w:rsid w:val="00FF3D6F"/>
    <w:rsid w:val="00FF4BD8"/>
    <w:rsid w:val="00FF4D11"/>
    <w:rsid w:val="00FF5214"/>
    <w:rsid w:val="00FF596E"/>
    <w:rsid w:val="00FF5B59"/>
    <w:rsid w:val="00FF5BFD"/>
    <w:rsid w:val="00FF6095"/>
    <w:rsid w:val="00FF6204"/>
    <w:rsid w:val="00FF62FE"/>
    <w:rsid w:val="00FF6553"/>
    <w:rsid w:val="00FF7A39"/>
    <w:rsid w:val="2083CEBD"/>
    <w:rsid w:val="478B8919"/>
    <w:rsid w:val="65B666B4"/>
    <w:rsid w:val="74324C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5">
    <w:name w:val="heading 5"/>
    <w:basedOn w:val="Normal"/>
    <w:next w:val="Normal"/>
    <w:link w:val="Ttulo5Car"/>
    <w:uiPriority w:val="9"/>
    <w:semiHidden/>
    <w:unhideWhenUsed/>
    <w:qFormat/>
    <w:rsid w:val="00AD034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F5AC6"/>
    <w:rPr>
      <w:color w:val="605E5C"/>
      <w:shd w:val="clear" w:color="auto" w:fill="E1DFDD"/>
    </w:rPr>
  </w:style>
  <w:style w:type="character" w:customStyle="1" w:styleId="Ttulo5Car">
    <w:name w:val="Título 5 Car"/>
    <w:basedOn w:val="Fuentedeprrafopredeter"/>
    <w:link w:val="Ttulo5"/>
    <w:uiPriority w:val="9"/>
    <w:semiHidden/>
    <w:rsid w:val="00AD034D"/>
    <w:rPr>
      <w:rFonts w:asciiTheme="majorHAnsi" w:eastAsiaTheme="majorEastAsia" w:hAnsiTheme="majorHAnsi" w:cstheme="majorBidi"/>
      <w:color w:val="365F91" w:themeColor="accent1" w:themeShade="BF"/>
      <w:sz w:val="24"/>
      <w:szCs w:val="24"/>
      <w:lang w:eastAsia="es-ES_tradnl"/>
    </w:rPr>
  </w:style>
  <w:style w:type="character" w:customStyle="1" w:styleId="baj">
    <w:name w:val="b_aj"/>
    <w:basedOn w:val="Fuentedeprrafopredeter"/>
    <w:rsid w:val="00A17486"/>
  </w:style>
  <w:style w:type="paragraph" w:styleId="Revisin">
    <w:name w:val="Revision"/>
    <w:hidden/>
    <w:uiPriority w:val="99"/>
    <w:semiHidden/>
    <w:rsid w:val="003B3AF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372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3308658">
      <w:bodyDiv w:val="1"/>
      <w:marLeft w:val="0"/>
      <w:marRight w:val="0"/>
      <w:marTop w:val="0"/>
      <w:marBottom w:val="0"/>
      <w:divBdr>
        <w:top w:val="none" w:sz="0" w:space="0" w:color="auto"/>
        <w:left w:val="none" w:sz="0" w:space="0" w:color="auto"/>
        <w:bottom w:val="none" w:sz="0" w:space="0" w:color="auto"/>
        <w:right w:val="none" w:sz="0" w:space="0" w:color="auto"/>
      </w:divBdr>
    </w:div>
    <w:div w:id="18397869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851651">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981744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0597019">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69095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760534">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2209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214501">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31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1159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6777258">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149308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420553">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934">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059855">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3684149">
      <w:bodyDiv w:val="1"/>
      <w:marLeft w:val="0"/>
      <w:marRight w:val="0"/>
      <w:marTop w:val="0"/>
      <w:marBottom w:val="0"/>
      <w:divBdr>
        <w:top w:val="none" w:sz="0" w:space="0" w:color="auto"/>
        <w:left w:val="none" w:sz="0" w:space="0" w:color="auto"/>
        <w:bottom w:val="none" w:sz="0" w:space="0" w:color="auto"/>
        <w:right w:val="none" w:sz="0" w:space="0" w:color="auto"/>
      </w:divBdr>
    </w:div>
    <w:div w:id="1927766965">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586601">
      <w:bodyDiv w:val="1"/>
      <w:marLeft w:val="0"/>
      <w:marRight w:val="0"/>
      <w:marTop w:val="0"/>
      <w:marBottom w:val="0"/>
      <w:divBdr>
        <w:top w:val="none" w:sz="0" w:space="0" w:color="auto"/>
        <w:left w:val="none" w:sz="0" w:space="0" w:color="auto"/>
        <w:bottom w:val="none" w:sz="0" w:space="0" w:color="auto"/>
        <w:right w:val="none" w:sz="0" w:space="0" w:color="auto"/>
      </w:divBdr>
    </w:div>
    <w:div w:id="1998997781">
      <w:bodyDiv w:val="1"/>
      <w:marLeft w:val="0"/>
      <w:marRight w:val="0"/>
      <w:marTop w:val="0"/>
      <w:marBottom w:val="0"/>
      <w:divBdr>
        <w:top w:val="none" w:sz="0" w:space="0" w:color="auto"/>
        <w:left w:val="none" w:sz="0" w:space="0" w:color="auto"/>
        <w:bottom w:val="none" w:sz="0" w:space="0" w:color="auto"/>
        <w:right w:val="none" w:sz="0" w:space="0" w:color="auto"/>
      </w:divBdr>
    </w:div>
    <w:div w:id="2005162287">
      <w:bodyDiv w:val="1"/>
      <w:marLeft w:val="0"/>
      <w:marRight w:val="0"/>
      <w:marTop w:val="0"/>
      <w:marBottom w:val="0"/>
      <w:divBdr>
        <w:top w:val="none" w:sz="0" w:space="0" w:color="auto"/>
        <w:left w:val="none" w:sz="0" w:space="0" w:color="auto"/>
        <w:bottom w:val="none" w:sz="0" w:space="0" w:color="auto"/>
        <w:right w:val="none" w:sz="0" w:space="0" w:color="auto"/>
      </w:divBdr>
    </w:div>
    <w:div w:id="200535186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318607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02461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08263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87688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55E2FBC-1CAC-4FCC-9F96-C4AF8B7A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21</Pages>
  <Words>8374</Words>
  <Characters>46057</Characters>
  <Application>Microsoft Office Word</Application>
  <DocSecurity>0</DocSecurity>
  <Lines>383</Lines>
  <Paragraphs>108</Paragraphs>
  <ScaleCrop>false</ScaleCrop>
  <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2022-04-19T19:17:00Z</dcterms:created>
  <dcterms:modified xsi:type="dcterms:W3CDTF">2022-04-19T19:17:00Z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