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B7EAC" w14:textId="77777777" w:rsidR="004E017B" w:rsidRPr="0095632F" w:rsidRDefault="004E017B" w:rsidP="0095632F">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95632F">
        <w:rPr>
          <w:rFonts w:ascii="Arial" w:hAnsi="Arial" w:cs="Arial"/>
          <w:bCs/>
          <w:color w:val="000000" w:themeColor="text1"/>
          <w:sz w:val="16"/>
          <w:szCs w:val="16"/>
          <w:lang w:eastAsia="es-ES"/>
        </w:rPr>
        <w:t>CCE-DES-FM-17</w:t>
      </w:r>
    </w:p>
    <w:p w14:paraId="51E761E7" w14:textId="77777777" w:rsidR="004E017B" w:rsidRPr="0095632F" w:rsidRDefault="004E017B" w:rsidP="0095632F">
      <w:pPr>
        <w:jc w:val="both"/>
        <w:rPr>
          <w:rFonts w:ascii="Arial" w:hAnsi="Arial" w:cs="Arial"/>
          <w:b/>
          <w:bCs/>
          <w:sz w:val="22"/>
          <w:szCs w:val="22"/>
        </w:rPr>
      </w:pPr>
      <w:bookmarkStart w:id="3" w:name="_Hlk66177743"/>
    </w:p>
    <w:p w14:paraId="71AE6871" w14:textId="77777777" w:rsidR="007173B7" w:rsidRPr="0095632F" w:rsidRDefault="007173B7" w:rsidP="0095632F">
      <w:pPr>
        <w:jc w:val="both"/>
        <w:rPr>
          <w:rFonts w:ascii="Arial" w:eastAsia="Calibri" w:hAnsi="Arial" w:cs="Arial"/>
          <w:b/>
          <w:bCs/>
          <w:sz w:val="22"/>
          <w:szCs w:val="22"/>
          <w:lang w:val="es-ES"/>
        </w:rPr>
      </w:pPr>
      <w:r w:rsidRPr="0095632F">
        <w:rPr>
          <w:rFonts w:ascii="Arial" w:eastAsia="Calibri" w:hAnsi="Arial" w:cs="Arial"/>
          <w:b/>
          <w:bCs/>
          <w:sz w:val="22"/>
          <w:szCs w:val="22"/>
          <w:lang w:val="es-ES"/>
        </w:rPr>
        <w:t>COLOMBIA COMPRA EFICIENTE – Decreto Ley 4170 de 2011 – Naturaleza jurídica – Objeto</w:t>
      </w:r>
    </w:p>
    <w:p w14:paraId="4AE9983C" w14:textId="77777777" w:rsidR="007173B7" w:rsidRPr="0095632F" w:rsidRDefault="007173B7" w:rsidP="0095632F">
      <w:pPr>
        <w:jc w:val="both"/>
        <w:rPr>
          <w:rFonts w:ascii="Arial" w:hAnsi="Arial" w:cs="Arial"/>
          <w:sz w:val="22"/>
          <w:szCs w:val="22"/>
        </w:rPr>
      </w:pPr>
    </w:p>
    <w:p w14:paraId="7E81FFE6" w14:textId="03106E04" w:rsidR="007173B7" w:rsidRPr="0095632F" w:rsidRDefault="007173B7" w:rsidP="0095632F">
      <w:pPr>
        <w:jc w:val="both"/>
        <w:rPr>
          <w:rFonts w:ascii="Arial" w:hAnsi="Arial" w:cs="Arial"/>
          <w:sz w:val="20"/>
          <w:szCs w:val="20"/>
        </w:rPr>
      </w:pPr>
      <w:r w:rsidRPr="0095632F">
        <w:rPr>
          <w:rFonts w:ascii="Arial" w:hAnsi="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5C430D0B" w14:textId="77777777" w:rsidR="007173B7" w:rsidRPr="0095632F" w:rsidRDefault="007173B7" w:rsidP="0095632F">
      <w:pPr>
        <w:jc w:val="both"/>
        <w:rPr>
          <w:rFonts w:ascii="Arial" w:hAnsi="Arial" w:cs="Arial"/>
          <w:sz w:val="20"/>
          <w:szCs w:val="20"/>
        </w:rPr>
      </w:pPr>
    </w:p>
    <w:p w14:paraId="13584DD1" w14:textId="77777777" w:rsidR="007173B7" w:rsidRPr="0095632F" w:rsidRDefault="007173B7" w:rsidP="0095632F">
      <w:pPr>
        <w:jc w:val="both"/>
        <w:rPr>
          <w:rFonts w:ascii="Arial" w:hAnsi="Arial" w:cs="Arial"/>
          <w:sz w:val="20"/>
          <w:szCs w:val="20"/>
        </w:rPr>
      </w:pPr>
      <w:r w:rsidRPr="0095632F">
        <w:rPr>
          <w:rFonts w:ascii="Arial" w:hAnsi="Arial" w:cs="Arial"/>
          <w:sz w:val="20"/>
          <w:szCs w:val="20"/>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3DAE1734" w14:textId="77777777" w:rsidR="007173B7" w:rsidRPr="0095632F" w:rsidRDefault="007173B7" w:rsidP="0095632F">
      <w:pPr>
        <w:jc w:val="both"/>
        <w:rPr>
          <w:rFonts w:ascii="Arial" w:hAnsi="Arial" w:cs="Arial"/>
          <w:sz w:val="22"/>
          <w:szCs w:val="22"/>
        </w:rPr>
      </w:pPr>
    </w:p>
    <w:p w14:paraId="5ABCFC48" w14:textId="234F09A2" w:rsidR="007173B7" w:rsidRPr="0095632F" w:rsidRDefault="007173B7" w:rsidP="0095632F">
      <w:pPr>
        <w:jc w:val="both"/>
        <w:rPr>
          <w:rFonts w:ascii="Arial" w:hAnsi="Arial" w:cs="Arial"/>
          <w:b/>
          <w:bCs/>
          <w:sz w:val="22"/>
          <w:szCs w:val="22"/>
        </w:rPr>
      </w:pPr>
      <w:r w:rsidRPr="0095632F">
        <w:rPr>
          <w:rFonts w:ascii="Arial" w:hAnsi="Arial" w:cs="Arial"/>
          <w:b/>
          <w:bCs/>
          <w:sz w:val="22"/>
          <w:szCs w:val="22"/>
        </w:rPr>
        <w:t>COLOM</w:t>
      </w:r>
      <w:r w:rsidR="004519F2" w:rsidRPr="0095632F">
        <w:rPr>
          <w:rFonts w:ascii="Arial" w:hAnsi="Arial" w:cs="Arial"/>
          <w:b/>
          <w:bCs/>
          <w:sz w:val="22"/>
          <w:szCs w:val="22"/>
        </w:rPr>
        <w:t>BIA COMPRA EFICIENTE – Expedición – Instrumentos y herramientas</w:t>
      </w:r>
      <w:r w:rsidRPr="0095632F">
        <w:rPr>
          <w:rFonts w:ascii="Arial" w:hAnsi="Arial" w:cs="Arial"/>
          <w:b/>
          <w:bCs/>
          <w:sz w:val="22"/>
          <w:szCs w:val="22"/>
        </w:rPr>
        <w:t xml:space="preserve"> </w:t>
      </w:r>
      <w:proofErr w:type="gramStart"/>
      <w:r w:rsidRPr="0095632F">
        <w:rPr>
          <w:rFonts w:ascii="Arial" w:hAnsi="Arial" w:cs="Arial"/>
          <w:b/>
          <w:bCs/>
          <w:sz w:val="22"/>
          <w:szCs w:val="22"/>
        </w:rPr>
        <w:t xml:space="preserve">– </w:t>
      </w:r>
      <w:r w:rsidR="004519F2" w:rsidRPr="0095632F">
        <w:rPr>
          <w:rFonts w:ascii="Arial" w:hAnsi="Arial" w:cs="Arial"/>
          <w:b/>
          <w:bCs/>
          <w:sz w:val="22"/>
          <w:szCs w:val="22"/>
        </w:rPr>
        <w:t xml:space="preserve"> Categorías</w:t>
      </w:r>
      <w:proofErr w:type="gramEnd"/>
    </w:p>
    <w:p w14:paraId="1F27408F" w14:textId="77777777" w:rsidR="007173B7" w:rsidRPr="0095632F" w:rsidRDefault="007173B7" w:rsidP="0095632F">
      <w:pPr>
        <w:jc w:val="both"/>
        <w:rPr>
          <w:rFonts w:ascii="Arial" w:hAnsi="Arial" w:cs="Arial"/>
          <w:sz w:val="22"/>
          <w:szCs w:val="22"/>
        </w:rPr>
      </w:pPr>
    </w:p>
    <w:p w14:paraId="3712E8ED" w14:textId="6BAC1BB6" w:rsidR="007173B7" w:rsidRPr="0095632F" w:rsidRDefault="004519F2" w:rsidP="0095632F">
      <w:pPr>
        <w:jc w:val="both"/>
        <w:rPr>
          <w:rFonts w:ascii="Arial" w:eastAsiaTheme="minorEastAsia" w:hAnsi="Arial" w:cs="Arial"/>
          <w:sz w:val="20"/>
          <w:szCs w:val="20"/>
          <w:lang w:eastAsia="es-CO"/>
        </w:rPr>
      </w:pPr>
      <w:r w:rsidRPr="0095632F">
        <w:rPr>
          <w:rFonts w:ascii="Arial" w:eastAsiaTheme="minorEastAsia" w:hAnsi="Arial" w:cs="Arial"/>
          <w:sz w:val="20"/>
          <w:szCs w:val="20"/>
          <w:lang w:eastAsia="es-CO"/>
        </w:rPr>
        <w:t>En conclusión, los instrumentos y herramientas expedidos por Colombia Compra Eficiente en el marco de sus competencias, se pueden clasificar en dos categorías, por un lado, están aquellos de carácter obligatorio y vinculante por ser expedidos con fundamento en una norma de rango legal o reglamentario, que otorgue competencia a Colombia Compra Eficiente. Esto debido a que, atribuciones de competencia en este sentido permiten predicar del respectivo instrumento el elemento subjetivo del acto administrativo, encuadrándolo como un acto administrativo de carácter general con la función de desarrollar el marco jurídico al que se encuentra subordinado, de lo que surge su carácter obligatorio.</w:t>
      </w:r>
      <w:r w:rsidR="00F51E75" w:rsidRPr="0095632F">
        <w:rPr>
          <w:rFonts w:ascii="Arial" w:eastAsiaTheme="minorEastAsia" w:hAnsi="Arial" w:cs="Arial"/>
          <w:sz w:val="20"/>
          <w:szCs w:val="20"/>
          <w:lang w:eastAsia="es-CO"/>
        </w:rPr>
        <w:t xml:space="preserve">  </w:t>
      </w:r>
      <w:r w:rsidRPr="0095632F">
        <w:rPr>
          <w:rFonts w:ascii="Arial" w:eastAsiaTheme="minorEastAsia" w:hAnsi="Arial" w:cs="Arial"/>
          <w:sz w:val="20"/>
          <w:szCs w:val="20"/>
          <w:lang w:eastAsia="es-CO"/>
        </w:rPr>
        <w:t>Por otro lado, se encuentran aquellos documentos que se expidan sin una competencia legal o reglamentaria, diferente de la genérica contenida en el Decreto Ley 4170 de 2011, que confiera a esta Agencia la facultad para su adopción, como ocurre con los manuales y guías para la identificación y cobertura del riesgo, la guía para la determinación de la capacidad residual o la guía para procesos de contratación de obra pública.  Estos instrumentos o herramientas quedan en el ámbito de normas de apoyo y de buenas prácticas para los partícipes del Sistema de Compra Pública, de donde no se puede derivar obligatoriedad.</w:t>
      </w:r>
    </w:p>
    <w:p w14:paraId="3000759F" w14:textId="77777777" w:rsidR="004519F2" w:rsidRPr="0095632F" w:rsidRDefault="004519F2" w:rsidP="0095632F">
      <w:pPr>
        <w:jc w:val="both"/>
        <w:rPr>
          <w:rFonts w:ascii="Arial" w:hAnsi="Arial" w:cs="Arial"/>
          <w:sz w:val="22"/>
          <w:szCs w:val="22"/>
        </w:rPr>
      </w:pPr>
    </w:p>
    <w:p w14:paraId="694816B5" w14:textId="187B495E" w:rsidR="007173B7" w:rsidRPr="0095632F" w:rsidRDefault="00BA260C" w:rsidP="0095632F">
      <w:pPr>
        <w:jc w:val="both"/>
        <w:rPr>
          <w:rFonts w:ascii="Arial" w:hAnsi="Arial" w:cs="Arial"/>
          <w:b/>
          <w:bCs/>
          <w:sz w:val="22"/>
          <w:szCs w:val="22"/>
        </w:rPr>
      </w:pPr>
      <w:r w:rsidRPr="0095632F">
        <w:rPr>
          <w:rFonts w:ascii="Arial" w:hAnsi="Arial" w:cs="Arial"/>
          <w:b/>
          <w:bCs/>
          <w:sz w:val="22"/>
          <w:szCs w:val="22"/>
        </w:rPr>
        <w:t xml:space="preserve">OBLIGATORIEDAD – </w:t>
      </w:r>
      <w:r w:rsidR="005D07DE" w:rsidRPr="0095632F">
        <w:rPr>
          <w:rFonts w:ascii="Arial" w:hAnsi="Arial" w:cs="Arial"/>
          <w:b/>
          <w:bCs/>
          <w:sz w:val="22"/>
          <w:szCs w:val="22"/>
        </w:rPr>
        <w:t>Minutas</w:t>
      </w:r>
      <w:r w:rsidRPr="0095632F">
        <w:rPr>
          <w:rFonts w:ascii="Arial" w:hAnsi="Arial" w:cs="Arial"/>
          <w:b/>
          <w:bCs/>
          <w:sz w:val="22"/>
          <w:szCs w:val="22"/>
        </w:rPr>
        <w:t xml:space="preserve"> Tipo</w:t>
      </w:r>
      <w:r w:rsidR="007173B7" w:rsidRPr="0095632F">
        <w:rPr>
          <w:rFonts w:ascii="Arial" w:hAnsi="Arial" w:cs="Arial"/>
          <w:b/>
          <w:bCs/>
          <w:sz w:val="22"/>
          <w:szCs w:val="22"/>
        </w:rPr>
        <w:t xml:space="preserve"> – Colombia Compra Eficiente</w:t>
      </w:r>
      <w:r w:rsidRPr="0095632F">
        <w:rPr>
          <w:rFonts w:ascii="Arial" w:hAnsi="Arial" w:cs="Arial"/>
          <w:b/>
          <w:bCs/>
          <w:sz w:val="22"/>
          <w:szCs w:val="22"/>
        </w:rPr>
        <w:t xml:space="preserve"> - Nulidad- Consejo de Estado </w:t>
      </w:r>
    </w:p>
    <w:p w14:paraId="0D9C0E73" w14:textId="77777777" w:rsidR="007173B7" w:rsidRPr="0095632F" w:rsidRDefault="007173B7" w:rsidP="0095632F">
      <w:pPr>
        <w:ind w:firstLine="284"/>
        <w:jc w:val="both"/>
        <w:rPr>
          <w:rFonts w:ascii="Arial" w:hAnsi="Arial" w:cs="Arial"/>
          <w:b/>
          <w:bCs/>
          <w:sz w:val="22"/>
          <w:szCs w:val="22"/>
        </w:rPr>
      </w:pPr>
    </w:p>
    <w:p w14:paraId="6B4172BF" w14:textId="5C3C14EB" w:rsidR="00BA260C" w:rsidRPr="0095632F" w:rsidRDefault="00BA260C" w:rsidP="0095632F">
      <w:pPr>
        <w:jc w:val="both"/>
        <w:rPr>
          <w:rFonts w:ascii="Arial" w:hAnsi="Arial" w:cs="Arial"/>
          <w:sz w:val="20"/>
          <w:szCs w:val="20"/>
        </w:rPr>
      </w:pPr>
      <w:r w:rsidRPr="0095632F">
        <w:rPr>
          <w:rFonts w:ascii="Arial" w:hAnsi="Arial" w:cs="Arial"/>
          <w:sz w:val="20"/>
          <w:szCs w:val="20"/>
        </w:rPr>
        <w:t xml:space="preserve">Con la declaratoria de nulidad de los numerales 3 y 4 del artículo 2.2.1.2.5.2 del Decreto 1082 de 2015, los únicos documentos tipo vinculantes son los implementados bajo la competencia del artículo 2, parágrafo 7, de la Ley 1150 de 2007, el cual fue adicionado por el artículo 4 de la Ley 1882 de 2018 y modificado por el artículo 1 de la Ley 2022 de 2020. Desde esta perspectiva, los pliegos y minutas tipo expedidos con anterioridad a las leyes citadas han dejado de ser obligatorios por la decisión del Consejo de Estado.  </w:t>
      </w:r>
    </w:p>
    <w:p w14:paraId="7ABEE34F" w14:textId="0C1EB7C8" w:rsidR="00BA260C" w:rsidRPr="0095632F" w:rsidRDefault="00BA260C" w:rsidP="0095632F">
      <w:pPr>
        <w:jc w:val="both"/>
        <w:rPr>
          <w:rFonts w:ascii="Arial" w:hAnsi="Arial" w:cs="Arial"/>
          <w:sz w:val="20"/>
          <w:szCs w:val="20"/>
        </w:rPr>
      </w:pPr>
    </w:p>
    <w:p w14:paraId="23B98331" w14:textId="53578DD6" w:rsidR="007173B7" w:rsidRPr="0095632F" w:rsidRDefault="00C65239" w:rsidP="0095632F">
      <w:pPr>
        <w:jc w:val="both"/>
        <w:rPr>
          <w:rFonts w:ascii="Arial" w:hAnsi="Arial" w:cs="Arial"/>
          <w:b/>
          <w:bCs/>
          <w:sz w:val="22"/>
          <w:szCs w:val="22"/>
        </w:rPr>
      </w:pPr>
      <w:r w:rsidRPr="0095632F">
        <w:rPr>
          <w:rFonts w:ascii="Arial" w:hAnsi="Arial" w:cs="Arial"/>
          <w:b/>
          <w:bCs/>
          <w:sz w:val="22"/>
          <w:szCs w:val="22"/>
        </w:rPr>
        <w:t>MINUTA</w:t>
      </w:r>
      <w:r w:rsidR="007173B7" w:rsidRPr="0095632F">
        <w:rPr>
          <w:rFonts w:ascii="Arial" w:hAnsi="Arial" w:cs="Arial"/>
          <w:b/>
          <w:bCs/>
          <w:sz w:val="22"/>
          <w:szCs w:val="22"/>
        </w:rPr>
        <w:t xml:space="preserve"> </w:t>
      </w:r>
      <w:r w:rsidRPr="0095632F">
        <w:rPr>
          <w:rFonts w:ascii="Arial" w:hAnsi="Arial" w:cs="Arial"/>
          <w:b/>
          <w:bCs/>
          <w:sz w:val="22"/>
          <w:szCs w:val="22"/>
        </w:rPr>
        <w:t xml:space="preserve">DE CONTRATO DE PRESTACIÓN DE SERVICIOS </w:t>
      </w:r>
      <w:r w:rsidR="00802F22" w:rsidRPr="0095632F">
        <w:rPr>
          <w:rFonts w:ascii="Arial" w:hAnsi="Arial" w:cs="Arial"/>
          <w:b/>
          <w:bCs/>
          <w:sz w:val="22"/>
          <w:szCs w:val="22"/>
        </w:rPr>
        <w:t xml:space="preserve">– No obligatoriedad </w:t>
      </w:r>
    </w:p>
    <w:p w14:paraId="1EEAA533" w14:textId="77777777" w:rsidR="007173B7" w:rsidRPr="0095632F" w:rsidRDefault="007173B7" w:rsidP="0095632F">
      <w:pPr>
        <w:jc w:val="both"/>
        <w:rPr>
          <w:rFonts w:ascii="Arial" w:hAnsi="Arial" w:cs="Arial"/>
          <w:b/>
          <w:bCs/>
          <w:sz w:val="22"/>
          <w:szCs w:val="22"/>
        </w:rPr>
      </w:pPr>
    </w:p>
    <w:bookmarkEnd w:id="0"/>
    <w:bookmarkEnd w:id="3"/>
    <w:p w14:paraId="143077C3" w14:textId="3A48569C" w:rsidR="00802F22" w:rsidRPr="0095632F" w:rsidRDefault="00802F22" w:rsidP="0095632F">
      <w:pPr>
        <w:jc w:val="both"/>
        <w:rPr>
          <w:rFonts w:ascii="Arial" w:hAnsi="Arial" w:cs="Arial"/>
          <w:sz w:val="20"/>
          <w:szCs w:val="20"/>
        </w:rPr>
      </w:pPr>
      <w:r w:rsidRPr="0095632F">
        <w:rPr>
          <w:rFonts w:ascii="Arial" w:hAnsi="Arial" w:cs="Arial"/>
          <w:sz w:val="20"/>
          <w:szCs w:val="20"/>
        </w:rPr>
        <w:lastRenderedPageBreak/>
        <w:t>En el marco del numeral 4 del artículo 2.2.1.2.5.2. del Decreto 1082 de 2015, el cual le asignó a Colombia Compra Eficiente el deber de diseñar minutas tipo de contratos, esta Agencia expidió y publi</w:t>
      </w:r>
      <w:r w:rsidR="00F51E75" w:rsidRPr="0095632F">
        <w:rPr>
          <w:rFonts w:ascii="Arial" w:hAnsi="Arial" w:cs="Arial"/>
          <w:sz w:val="20"/>
          <w:szCs w:val="20"/>
        </w:rPr>
        <w:t>có en su página web la minuta</w:t>
      </w:r>
      <w:r w:rsidRPr="0095632F">
        <w:rPr>
          <w:rFonts w:ascii="Arial" w:hAnsi="Arial" w:cs="Arial"/>
          <w:sz w:val="20"/>
          <w:szCs w:val="20"/>
        </w:rPr>
        <w:t xml:space="preserve"> tipo del contrato de prestación de servicios, sin embargo, como ya se mencionó, al haber sido declarado nulo este numeral por el Consejo de Estado en la sentencia del 11 de abril de 2019, dicho documento deja de ser obligatorio para las entidades estatales sometidas al Estatuto General de Contratación de la Administración Pública.</w:t>
      </w:r>
    </w:p>
    <w:p w14:paraId="226F2FA2" w14:textId="77777777" w:rsidR="00802F22" w:rsidRPr="0095632F" w:rsidRDefault="00802F22" w:rsidP="0095632F">
      <w:pPr>
        <w:jc w:val="both"/>
        <w:rPr>
          <w:rFonts w:ascii="Arial" w:hAnsi="Arial" w:cs="Arial"/>
          <w:sz w:val="20"/>
          <w:szCs w:val="20"/>
        </w:rPr>
      </w:pPr>
    </w:p>
    <w:p w14:paraId="5AA0E4E7" w14:textId="562C2967" w:rsidR="00D168E2" w:rsidRPr="00C25F5E" w:rsidRDefault="00802F22" w:rsidP="00C25F5E">
      <w:pPr>
        <w:jc w:val="both"/>
        <w:rPr>
          <w:rFonts w:ascii="Arial" w:hAnsi="Arial" w:cs="Arial"/>
          <w:sz w:val="20"/>
          <w:szCs w:val="20"/>
        </w:rPr>
      </w:pPr>
      <w:r w:rsidRPr="0095632F">
        <w:rPr>
          <w:rFonts w:ascii="Arial" w:hAnsi="Arial" w:cs="Arial"/>
          <w:sz w:val="20"/>
          <w:szCs w:val="20"/>
        </w:rPr>
        <w:t>Por consiguiente, este documento es un modelo puesto a disposición de las entidades estatales para la celebración de este tipo de contratos.  En este orden de ideas, esta minuta hace parte de aquellos instrumentos o herramientas de carácter orientador o de apoyo para los partícipes de la contratación pública, y como tal, no tiene carácter obligatorio y vinculante.</w:t>
      </w:r>
    </w:p>
    <w:p w14:paraId="697A61B5" w14:textId="77777777" w:rsidR="00D168E2" w:rsidRPr="0095632F" w:rsidRDefault="00D168E2" w:rsidP="0095632F">
      <w:pPr>
        <w:rPr>
          <w:rFonts w:ascii="Arial" w:hAnsi="Arial" w:cs="Arial"/>
          <w:b/>
          <w:sz w:val="22"/>
        </w:rPr>
      </w:pPr>
    </w:p>
    <w:p w14:paraId="0060F472" w14:textId="77777777" w:rsidR="00C25F5E" w:rsidRDefault="00C25F5E" w:rsidP="0ECD9B22">
      <w:pPr>
        <w:jc w:val="right"/>
        <w:rPr>
          <w:rFonts w:ascii="Arial" w:hAnsi="Arial" w:cs="Arial"/>
          <w:b/>
          <w:bCs/>
          <w:sz w:val="22"/>
          <w:szCs w:val="22"/>
        </w:rPr>
      </w:pPr>
      <w:r w:rsidRPr="00C25F5E">
        <w:rPr>
          <w:rFonts w:ascii="Arial" w:hAnsi="Arial" w:cs="Arial"/>
          <w:b/>
          <w:bCs/>
          <w:sz w:val="22"/>
          <w:szCs w:val="22"/>
        </w:rPr>
        <w:drawing>
          <wp:inline distT="0" distB="0" distL="0" distR="0" wp14:anchorId="4A927CC6" wp14:editId="70C9A300">
            <wp:extent cx="2048161" cy="60015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8161" cy="600159"/>
                    </a:xfrm>
                    <a:prstGeom prst="rect">
                      <a:avLst/>
                    </a:prstGeom>
                  </pic:spPr>
                </pic:pic>
              </a:graphicData>
            </a:graphic>
          </wp:inline>
        </w:drawing>
      </w:r>
      <w:r w:rsidR="00D168E2" w:rsidRPr="0ECD9B22">
        <w:rPr>
          <w:rFonts w:ascii="Arial" w:hAnsi="Arial" w:cs="Arial"/>
          <w:b/>
          <w:bCs/>
          <w:sz w:val="22"/>
          <w:szCs w:val="22"/>
        </w:rPr>
        <w:t xml:space="preserve">       </w:t>
      </w:r>
    </w:p>
    <w:p w14:paraId="4EA924D8" w14:textId="77777777" w:rsidR="00C25F5E" w:rsidRDefault="00C25F5E" w:rsidP="0ECD9B22">
      <w:pPr>
        <w:jc w:val="right"/>
        <w:rPr>
          <w:rFonts w:ascii="Arial" w:hAnsi="Arial" w:cs="Arial"/>
          <w:b/>
          <w:bCs/>
          <w:sz w:val="22"/>
          <w:szCs w:val="22"/>
        </w:rPr>
      </w:pPr>
    </w:p>
    <w:p w14:paraId="1A151154" w14:textId="2F6B020B" w:rsidR="004E017B" w:rsidRPr="0095632F" w:rsidRDefault="00D168E2" w:rsidP="0ECD9B22">
      <w:pPr>
        <w:jc w:val="right"/>
        <w:rPr>
          <w:rFonts w:ascii="Arial" w:hAnsi="Arial" w:cs="Arial"/>
          <w:b/>
          <w:bCs/>
          <w:sz w:val="22"/>
          <w:szCs w:val="22"/>
        </w:rPr>
      </w:pPr>
      <w:r w:rsidRPr="0ECD9B22">
        <w:rPr>
          <w:rFonts w:ascii="Arial" w:hAnsi="Arial" w:cs="Arial"/>
          <w:b/>
          <w:bCs/>
          <w:sz w:val="22"/>
          <w:szCs w:val="22"/>
        </w:rPr>
        <w:t xml:space="preserve">                                                                           </w:t>
      </w:r>
    </w:p>
    <w:p w14:paraId="501A14CB" w14:textId="215D1CA7" w:rsidR="00C25F5E" w:rsidRDefault="00C25F5E" w:rsidP="0095632F">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Bogotá, 21 </w:t>
      </w:r>
      <w:proofErr w:type="gramStart"/>
      <w:r>
        <w:rPr>
          <w:rFonts w:ascii="Arial" w:eastAsia="Calibri" w:hAnsi="Arial" w:cs="Arial"/>
          <w:color w:val="000000" w:themeColor="text1"/>
          <w:sz w:val="22"/>
          <w:szCs w:val="22"/>
        </w:rPr>
        <w:t>Febrero</w:t>
      </w:r>
      <w:proofErr w:type="gramEnd"/>
      <w:r>
        <w:rPr>
          <w:rFonts w:ascii="Arial" w:eastAsia="Calibri" w:hAnsi="Arial" w:cs="Arial"/>
          <w:color w:val="000000" w:themeColor="text1"/>
          <w:sz w:val="22"/>
          <w:szCs w:val="22"/>
        </w:rPr>
        <w:t xml:space="preserve"> 2022</w:t>
      </w:r>
    </w:p>
    <w:p w14:paraId="0C21016C" w14:textId="69403C09" w:rsidR="00C25F5E" w:rsidRDefault="00C25F5E" w:rsidP="0095632F">
      <w:pPr>
        <w:rPr>
          <w:rFonts w:ascii="Arial" w:eastAsia="Calibri" w:hAnsi="Arial" w:cs="Arial"/>
          <w:color w:val="000000" w:themeColor="text1"/>
          <w:sz w:val="22"/>
          <w:szCs w:val="22"/>
        </w:rPr>
      </w:pPr>
    </w:p>
    <w:p w14:paraId="604C2120" w14:textId="77777777" w:rsidR="00C25F5E" w:rsidRDefault="00C25F5E" w:rsidP="0095632F">
      <w:pPr>
        <w:rPr>
          <w:rFonts w:ascii="Arial" w:eastAsia="Calibri" w:hAnsi="Arial" w:cs="Arial"/>
          <w:color w:val="000000" w:themeColor="text1"/>
          <w:sz w:val="22"/>
          <w:szCs w:val="22"/>
        </w:rPr>
      </w:pPr>
    </w:p>
    <w:p w14:paraId="6CBFAF64" w14:textId="373A3BEF" w:rsidR="004E017B" w:rsidRPr="0095632F" w:rsidRDefault="004E017B" w:rsidP="0095632F">
      <w:pPr>
        <w:rPr>
          <w:rFonts w:ascii="Arial" w:eastAsia="Calibri" w:hAnsi="Arial" w:cs="Arial"/>
          <w:color w:val="000000" w:themeColor="text1"/>
          <w:sz w:val="22"/>
          <w:szCs w:val="22"/>
        </w:rPr>
      </w:pPr>
      <w:r w:rsidRPr="0095632F">
        <w:rPr>
          <w:rFonts w:ascii="Arial" w:eastAsia="Calibri" w:hAnsi="Arial" w:cs="Arial"/>
          <w:color w:val="000000" w:themeColor="text1"/>
          <w:sz w:val="22"/>
          <w:szCs w:val="22"/>
        </w:rPr>
        <w:t>Señor</w:t>
      </w:r>
    </w:p>
    <w:p w14:paraId="10B87250" w14:textId="4AAE981E" w:rsidR="004E017B" w:rsidRPr="0095632F" w:rsidRDefault="001928F1" w:rsidP="0095632F">
      <w:pPr>
        <w:rPr>
          <w:rFonts w:ascii="Arial" w:eastAsia="Calibri" w:hAnsi="Arial" w:cs="Arial"/>
          <w:b/>
          <w:color w:val="000000" w:themeColor="text1"/>
          <w:sz w:val="22"/>
          <w:szCs w:val="22"/>
        </w:rPr>
      </w:pPr>
      <w:r w:rsidRPr="0095632F">
        <w:rPr>
          <w:rFonts w:ascii="Arial" w:eastAsia="Calibri" w:hAnsi="Arial" w:cs="Arial"/>
          <w:b/>
          <w:color w:val="000000" w:themeColor="text1"/>
          <w:sz w:val="22"/>
          <w:szCs w:val="22"/>
        </w:rPr>
        <w:t>Peticionario anónimo</w:t>
      </w:r>
    </w:p>
    <w:p w14:paraId="0F061898" w14:textId="77C77251" w:rsidR="004E017B" w:rsidRPr="0095632F" w:rsidRDefault="00864D94" w:rsidP="0095632F">
      <w:pPr>
        <w:rPr>
          <w:rFonts w:ascii="Arial" w:eastAsia="Calibri" w:hAnsi="Arial" w:cs="Arial"/>
          <w:bCs/>
          <w:color w:val="000000" w:themeColor="text1"/>
          <w:sz w:val="22"/>
          <w:szCs w:val="22"/>
        </w:rPr>
      </w:pPr>
      <w:r w:rsidRPr="0095632F">
        <w:rPr>
          <w:rFonts w:ascii="Arial" w:hAnsi="Arial" w:cs="Arial"/>
          <w:color w:val="000000" w:themeColor="text1"/>
          <w:sz w:val="22"/>
          <w:szCs w:val="22"/>
        </w:rPr>
        <w:t>El Peñón</w:t>
      </w:r>
      <w:r w:rsidR="001928F1" w:rsidRPr="0095632F">
        <w:rPr>
          <w:rFonts w:ascii="Arial" w:hAnsi="Arial" w:cs="Arial"/>
          <w:color w:val="000000" w:themeColor="text1"/>
          <w:sz w:val="22"/>
          <w:szCs w:val="22"/>
        </w:rPr>
        <w:t xml:space="preserve">, </w:t>
      </w:r>
      <w:r w:rsidRPr="0095632F">
        <w:rPr>
          <w:rFonts w:ascii="Arial" w:hAnsi="Arial" w:cs="Arial"/>
          <w:color w:val="000000" w:themeColor="text1"/>
          <w:sz w:val="22"/>
          <w:szCs w:val="22"/>
        </w:rPr>
        <w:t>Santander</w:t>
      </w:r>
    </w:p>
    <w:p w14:paraId="77EA352A" w14:textId="77777777" w:rsidR="004E017B" w:rsidRPr="0095632F" w:rsidRDefault="004E017B" w:rsidP="0095632F">
      <w:pPr>
        <w:rPr>
          <w:rFonts w:ascii="Arial" w:eastAsia="Calibri" w:hAnsi="Arial" w:cs="Arial"/>
          <w:color w:val="000000" w:themeColor="text1"/>
          <w:sz w:val="22"/>
          <w:szCs w:val="22"/>
        </w:rPr>
      </w:pPr>
    </w:p>
    <w:p w14:paraId="6F068411" w14:textId="77777777" w:rsidR="004E017B" w:rsidRPr="0095632F" w:rsidRDefault="004E017B" w:rsidP="0095632F">
      <w:pPr>
        <w:rPr>
          <w:rFonts w:ascii="Arial" w:eastAsia="Calibri" w:hAnsi="Arial" w:cs="Arial"/>
          <w:color w:val="000000" w:themeColor="text1"/>
          <w:sz w:val="22"/>
          <w:szCs w:val="22"/>
        </w:rPr>
      </w:pPr>
    </w:p>
    <w:p w14:paraId="68056B19" w14:textId="75D0E617" w:rsidR="004E017B" w:rsidRPr="0095632F" w:rsidRDefault="00803F3A" w:rsidP="0095632F">
      <w:pPr>
        <w:rPr>
          <w:rFonts w:ascii="Arial" w:eastAsia="Calibri" w:hAnsi="Arial" w:cs="Arial"/>
          <w:b/>
          <w:color w:val="000000" w:themeColor="text1"/>
          <w:sz w:val="22"/>
          <w:szCs w:val="22"/>
        </w:rPr>
      </w:pPr>
      <w:r w:rsidRPr="0095632F">
        <w:rPr>
          <w:rFonts w:ascii="Arial" w:eastAsia="Calibri" w:hAnsi="Arial" w:cs="Arial"/>
          <w:b/>
          <w:color w:val="000000" w:themeColor="text1"/>
          <w:sz w:val="22"/>
          <w:szCs w:val="22"/>
        </w:rPr>
        <w:t xml:space="preserve">                                            </w:t>
      </w:r>
      <w:r w:rsidR="004E017B" w:rsidRPr="0095632F">
        <w:rPr>
          <w:rFonts w:ascii="Arial" w:eastAsia="Calibri" w:hAnsi="Arial" w:cs="Arial"/>
          <w:b/>
          <w:color w:val="000000" w:themeColor="text1"/>
          <w:sz w:val="22"/>
          <w:szCs w:val="22"/>
        </w:rPr>
        <w:t>Concepto C</w:t>
      </w:r>
      <w:r w:rsidR="001928F1" w:rsidRPr="0095632F">
        <w:rPr>
          <w:rFonts w:ascii="Arial" w:eastAsia="Calibri" w:hAnsi="Arial" w:cs="Arial"/>
          <w:b/>
          <w:color w:val="000000" w:themeColor="text1"/>
          <w:sz w:val="22"/>
          <w:szCs w:val="22"/>
        </w:rPr>
        <w:t xml:space="preserve"> </w:t>
      </w:r>
      <w:r w:rsidR="004E017B" w:rsidRPr="0095632F">
        <w:rPr>
          <w:rFonts w:ascii="Arial" w:eastAsia="Calibri" w:hAnsi="Arial" w:cs="Arial"/>
          <w:b/>
          <w:color w:val="000000" w:themeColor="text1"/>
          <w:sz w:val="22"/>
          <w:szCs w:val="22"/>
        </w:rPr>
        <w:t>–</w:t>
      </w:r>
      <w:r w:rsidR="001928F1" w:rsidRPr="0095632F">
        <w:rPr>
          <w:rFonts w:ascii="Arial" w:eastAsia="Calibri" w:hAnsi="Arial" w:cs="Arial"/>
          <w:b/>
          <w:color w:val="000000" w:themeColor="text1"/>
          <w:sz w:val="22"/>
          <w:szCs w:val="22"/>
        </w:rPr>
        <w:t xml:space="preserve"> </w:t>
      </w:r>
      <w:r w:rsidR="005A4C0A" w:rsidRPr="0095632F">
        <w:rPr>
          <w:rFonts w:ascii="Arial" w:eastAsia="Calibri" w:hAnsi="Arial" w:cs="Arial"/>
          <w:b/>
          <w:color w:val="000000" w:themeColor="text1"/>
          <w:sz w:val="22"/>
          <w:szCs w:val="22"/>
        </w:rPr>
        <w:t>016</w:t>
      </w:r>
      <w:r w:rsidR="00373EEA" w:rsidRPr="0095632F">
        <w:rPr>
          <w:rFonts w:ascii="Arial" w:eastAsia="Calibri" w:hAnsi="Arial" w:cs="Arial"/>
          <w:b/>
          <w:color w:val="000000" w:themeColor="text1"/>
          <w:sz w:val="22"/>
          <w:szCs w:val="22"/>
        </w:rPr>
        <w:t xml:space="preserve"> de 2022</w:t>
      </w:r>
    </w:p>
    <w:p w14:paraId="32EA7FB7" w14:textId="77777777" w:rsidR="004E017B" w:rsidRPr="0095632F" w:rsidRDefault="004E017B" w:rsidP="0095632F">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95632F" w14:paraId="087178C3" w14:textId="77777777" w:rsidTr="00B701BE">
        <w:tc>
          <w:tcPr>
            <w:tcW w:w="2689" w:type="dxa"/>
            <w:hideMark/>
          </w:tcPr>
          <w:p w14:paraId="69325CF4" w14:textId="77777777" w:rsidR="004E017B" w:rsidRPr="0095632F" w:rsidRDefault="004E017B" w:rsidP="0095632F">
            <w:pPr>
              <w:rPr>
                <w:rFonts w:ascii="Arial" w:eastAsia="Calibri" w:hAnsi="Arial" w:cs="Arial"/>
                <w:color w:val="000000" w:themeColor="text1"/>
                <w:sz w:val="22"/>
                <w:szCs w:val="22"/>
              </w:rPr>
            </w:pPr>
            <w:r w:rsidRPr="0095632F">
              <w:rPr>
                <w:rFonts w:ascii="Arial" w:eastAsia="Calibri" w:hAnsi="Arial" w:cs="Arial"/>
                <w:b/>
                <w:color w:val="000000" w:themeColor="text1"/>
                <w:sz w:val="22"/>
                <w:szCs w:val="22"/>
              </w:rPr>
              <w:t>Temas:</w:t>
            </w:r>
            <w:r w:rsidRPr="0095632F">
              <w:rPr>
                <w:rFonts w:ascii="Arial" w:eastAsia="Calibri" w:hAnsi="Arial" w:cs="Arial"/>
                <w:color w:val="000000" w:themeColor="text1"/>
                <w:sz w:val="22"/>
                <w:szCs w:val="22"/>
              </w:rPr>
              <w:t xml:space="preserve">           </w:t>
            </w:r>
          </w:p>
          <w:p w14:paraId="4C24F5CD" w14:textId="77777777" w:rsidR="004E017B" w:rsidRPr="0095632F" w:rsidRDefault="004E017B" w:rsidP="0095632F">
            <w:pPr>
              <w:rPr>
                <w:rFonts w:ascii="Arial" w:eastAsia="Calibri" w:hAnsi="Arial" w:cs="Arial"/>
                <w:color w:val="000000" w:themeColor="text1"/>
                <w:sz w:val="22"/>
                <w:szCs w:val="22"/>
              </w:rPr>
            </w:pPr>
            <w:r w:rsidRPr="0095632F">
              <w:rPr>
                <w:rFonts w:ascii="Arial" w:eastAsia="Calibri" w:hAnsi="Arial" w:cs="Arial"/>
                <w:color w:val="000000" w:themeColor="text1"/>
                <w:sz w:val="22"/>
                <w:szCs w:val="22"/>
              </w:rPr>
              <w:t xml:space="preserve">                           </w:t>
            </w:r>
          </w:p>
        </w:tc>
        <w:tc>
          <w:tcPr>
            <w:tcW w:w="6237" w:type="dxa"/>
            <w:hideMark/>
          </w:tcPr>
          <w:p w14:paraId="6A653C57" w14:textId="72286320" w:rsidR="005D07DE" w:rsidRPr="0095632F" w:rsidRDefault="004E017B" w:rsidP="0095632F">
            <w:pPr>
              <w:jc w:val="both"/>
              <w:rPr>
                <w:rFonts w:ascii="Arial" w:hAnsi="Arial" w:cs="Arial"/>
                <w:b/>
                <w:bCs/>
                <w:sz w:val="22"/>
                <w:szCs w:val="22"/>
              </w:rPr>
            </w:pPr>
            <w:r w:rsidRPr="0095632F">
              <w:rPr>
                <w:rFonts w:ascii="Arial" w:hAnsi="Arial" w:cs="Arial"/>
                <w:sz w:val="22"/>
                <w:szCs w:val="22"/>
              </w:rPr>
              <w:t xml:space="preserve">COLOMBIA COMPRA EFICIENTE – Decreto Ley 4170 de 2011 – Naturaleza jurídica – Objeto / </w:t>
            </w:r>
            <w:r w:rsidR="005D07DE" w:rsidRPr="0095632F">
              <w:rPr>
                <w:rFonts w:ascii="Arial" w:hAnsi="Arial" w:cs="Arial"/>
                <w:sz w:val="22"/>
                <w:szCs w:val="22"/>
              </w:rPr>
              <w:t xml:space="preserve">COLOMBIA COMPRA EFICIENTE – Expedición – Instrumentos y herramientas </w:t>
            </w:r>
            <w:proofErr w:type="gramStart"/>
            <w:r w:rsidR="005D07DE" w:rsidRPr="0095632F">
              <w:rPr>
                <w:rFonts w:ascii="Arial" w:hAnsi="Arial" w:cs="Arial"/>
                <w:sz w:val="22"/>
                <w:szCs w:val="22"/>
              </w:rPr>
              <w:t>–  Categorías</w:t>
            </w:r>
            <w:proofErr w:type="gramEnd"/>
            <w:r w:rsidR="00D168E2" w:rsidRPr="0095632F">
              <w:rPr>
                <w:rFonts w:ascii="Arial" w:hAnsi="Arial" w:cs="Arial"/>
                <w:sz w:val="22"/>
                <w:szCs w:val="22"/>
              </w:rPr>
              <w:t xml:space="preserve"> /</w:t>
            </w:r>
            <w:r w:rsidR="005D07DE" w:rsidRPr="0095632F">
              <w:rPr>
                <w:rFonts w:ascii="Arial" w:hAnsi="Arial" w:cs="Arial"/>
                <w:b/>
                <w:bCs/>
                <w:sz w:val="22"/>
                <w:szCs w:val="22"/>
              </w:rPr>
              <w:t xml:space="preserve"> </w:t>
            </w:r>
            <w:r w:rsidR="005D07DE" w:rsidRPr="0095632F">
              <w:rPr>
                <w:rFonts w:ascii="Arial" w:hAnsi="Arial" w:cs="Arial"/>
                <w:bCs/>
                <w:sz w:val="22"/>
                <w:szCs w:val="22"/>
              </w:rPr>
              <w:t>OBLIGATORIEDAD – Minutas Tipo – Colombia Compra Eficiente - Nulidad- Consejo de Estado</w:t>
            </w:r>
            <w:r w:rsidRPr="0095632F">
              <w:rPr>
                <w:rFonts w:ascii="Arial" w:hAnsi="Arial" w:cs="Arial"/>
                <w:sz w:val="22"/>
                <w:szCs w:val="22"/>
              </w:rPr>
              <w:t xml:space="preserve"> / </w:t>
            </w:r>
            <w:r w:rsidR="005D07DE" w:rsidRPr="0095632F">
              <w:rPr>
                <w:rFonts w:ascii="Arial" w:hAnsi="Arial" w:cs="Arial"/>
                <w:bCs/>
                <w:sz w:val="22"/>
                <w:szCs w:val="22"/>
              </w:rPr>
              <w:t>MINUTA DE CONTRATO DE PRESTACIÓN DE SERVICIOS – No obligatoriedad</w:t>
            </w:r>
            <w:r w:rsidR="005D07DE" w:rsidRPr="0095632F">
              <w:rPr>
                <w:rFonts w:ascii="Arial" w:hAnsi="Arial" w:cs="Arial"/>
                <w:b/>
                <w:bCs/>
                <w:sz w:val="22"/>
                <w:szCs w:val="22"/>
              </w:rPr>
              <w:t xml:space="preserve"> </w:t>
            </w:r>
          </w:p>
          <w:p w14:paraId="4CD7A8BF" w14:textId="383F2B19" w:rsidR="004E017B" w:rsidRPr="0095632F" w:rsidRDefault="004E017B" w:rsidP="0095632F">
            <w:pPr>
              <w:jc w:val="both"/>
              <w:rPr>
                <w:rFonts w:ascii="Arial" w:eastAsia="Calibri" w:hAnsi="Arial" w:cs="Arial"/>
                <w:color w:val="000000" w:themeColor="text1"/>
                <w:sz w:val="22"/>
                <w:szCs w:val="22"/>
              </w:rPr>
            </w:pPr>
          </w:p>
        </w:tc>
      </w:tr>
      <w:tr w:rsidR="004E017B" w:rsidRPr="0095632F" w14:paraId="7378AAD1" w14:textId="77777777" w:rsidTr="00B701BE">
        <w:tc>
          <w:tcPr>
            <w:tcW w:w="2689" w:type="dxa"/>
          </w:tcPr>
          <w:p w14:paraId="04328E5C" w14:textId="77777777" w:rsidR="004E017B" w:rsidRPr="0095632F" w:rsidRDefault="004E017B" w:rsidP="0095632F">
            <w:pPr>
              <w:spacing w:before="120"/>
              <w:rPr>
                <w:rFonts w:ascii="Arial" w:eastAsia="Calibri" w:hAnsi="Arial" w:cs="Arial"/>
                <w:b/>
                <w:color w:val="000000" w:themeColor="text1"/>
                <w:sz w:val="22"/>
                <w:szCs w:val="22"/>
              </w:rPr>
            </w:pPr>
            <w:r w:rsidRPr="0095632F">
              <w:rPr>
                <w:rFonts w:ascii="Arial" w:eastAsia="Calibri" w:hAnsi="Arial" w:cs="Arial"/>
                <w:b/>
                <w:color w:val="000000" w:themeColor="text1"/>
                <w:sz w:val="22"/>
                <w:szCs w:val="22"/>
              </w:rPr>
              <w:t>Radicación:</w:t>
            </w:r>
            <w:r w:rsidRPr="0095632F">
              <w:rPr>
                <w:rFonts w:ascii="Arial" w:eastAsia="Calibri" w:hAnsi="Arial" w:cs="Arial"/>
                <w:color w:val="000000" w:themeColor="text1"/>
                <w:sz w:val="22"/>
                <w:szCs w:val="22"/>
              </w:rPr>
              <w:t xml:space="preserve">                              </w:t>
            </w:r>
          </w:p>
        </w:tc>
        <w:tc>
          <w:tcPr>
            <w:tcW w:w="6237" w:type="dxa"/>
          </w:tcPr>
          <w:p w14:paraId="228C17C5" w14:textId="39798383" w:rsidR="004E017B" w:rsidRPr="0095632F" w:rsidRDefault="004E017B" w:rsidP="0095632F">
            <w:pPr>
              <w:spacing w:before="120"/>
              <w:jc w:val="both"/>
              <w:rPr>
                <w:rFonts w:ascii="Arial" w:eastAsia="Calibri" w:hAnsi="Arial" w:cs="Arial"/>
                <w:color w:val="000000" w:themeColor="text1"/>
                <w:sz w:val="22"/>
                <w:szCs w:val="22"/>
              </w:rPr>
            </w:pPr>
            <w:r w:rsidRPr="0095632F">
              <w:rPr>
                <w:rFonts w:ascii="Arial" w:eastAsia="Calibri" w:hAnsi="Arial" w:cs="Arial"/>
                <w:color w:val="000000" w:themeColor="text1"/>
                <w:sz w:val="22"/>
                <w:szCs w:val="22"/>
              </w:rPr>
              <w:t xml:space="preserve">Respuesta a consulta </w:t>
            </w:r>
            <w:r w:rsidR="00864D94" w:rsidRPr="0095632F">
              <w:rPr>
                <w:rFonts w:ascii="Arial" w:eastAsia="Calibri" w:hAnsi="Arial" w:cs="Arial"/>
                <w:color w:val="000000" w:themeColor="text1"/>
                <w:sz w:val="22"/>
                <w:szCs w:val="22"/>
              </w:rPr>
              <w:t>P20220107000131</w:t>
            </w:r>
          </w:p>
        </w:tc>
      </w:tr>
    </w:tbl>
    <w:p w14:paraId="33C50C82" w14:textId="434728E7" w:rsidR="004E017B" w:rsidRPr="0095632F" w:rsidRDefault="004E017B" w:rsidP="0095632F">
      <w:pPr>
        <w:jc w:val="both"/>
        <w:rPr>
          <w:rFonts w:ascii="Arial" w:eastAsia="Calibri" w:hAnsi="Arial" w:cs="Arial"/>
          <w:color w:val="000000" w:themeColor="text1"/>
          <w:sz w:val="22"/>
          <w:szCs w:val="22"/>
        </w:rPr>
      </w:pPr>
    </w:p>
    <w:p w14:paraId="1BF8FF63" w14:textId="77777777" w:rsidR="00803F3A" w:rsidRPr="0095632F" w:rsidRDefault="00803F3A" w:rsidP="0095632F">
      <w:pPr>
        <w:jc w:val="both"/>
        <w:rPr>
          <w:rFonts w:ascii="Arial" w:eastAsia="Calibri" w:hAnsi="Arial" w:cs="Arial"/>
          <w:color w:val="000000" w:themeColor="text1"/>
          <w:sz w:val="22"/>
          <w:szCs w:val="22"/>
        </w:rPr>
      </w:pPr>
    </w:p>
    <w:p w14:paraId="297D950B" w14:textId="5CD1C60B" w:rsidR="004E017B" w:rsidRPr="0095632F" w:rsidRDefault="00353B52" w:rsidP="0095632F">
      <w:pPr>
        <w:rPr>
          <w:rFonts w:ascii="Arial" w:eastAsia="Calibri" w:hAnsi="Arial" w:cs="Arial"/>
          <w:color w:val="000000" w:themeColor="text1"/>
          <w:sz w:val="22"/>
          <w:szCs w:val="22"/>
        </w:rPr>
      </w:pPr>
      <w:r w:rsidRPr="0095632F">
        <w:rPr>
          <w:rFonts w:ascii="Arial" w:eastAsia="Calibri" w:hAnsi="Arial" w:cs="Arial"/>
          <w:color w:val="000000" w:themeColor="text1"/>
          <w:sz w:val="22"/>
          <w:szCs w:val="22"/>
        </w:rPr>
        <w:t xml:space="preserve">Estimado </w:t>
      </w:r>
      <w:r w:rsidR="001928F1" w:rsidRPr="0095632F">
        <w:rPr>
          <w:rFonts w:ascii="Arial" w:eastAsia="Calibri" w:hAnsi="Arial" w:cs="Arial"/>
          <w:color w:val="000000" w:themeColor="text1"/>
          <w:sz w:val="22"/>
          <w:szCs w:val="22"/>
        </w:rPr>
        <w:t>peticionario</w:t>
      </w:r>
      <w:r w:rsidRPr="0095632F">
        <w:rPr>
          <w:rFonts w:ascii="Arial" w:eastAsia="Calibri" w:hAnsi="Arial" w:cs="Arial"/>
          <w:color w:val="000000" w:themeColor="text1"/>
          <w:sz w:val="22"/>
          <w:szCs w:val="22"/>
        </w:rPr>
        <w:t xml:space="preserve">: </w:t>
      </w:r>
    </w:p>
    <w:p w14:paraId="51CB9B37" w14:textId="77777777" w:rsidR="004E017B" w:rsidRPr="0095632F" w:rsidRDefault="004E017B" w:rsidP="0095632F">
      <w:pPr>
        <w:rPr>
          <w:rFonts w:ascii="Arial" w:eastAsia="Calibri" w:hAnsi="Arial" w:cs="Arial"/>
          <w:color w:val="000000" w:themeColor="text1"/>
          <w:sz w:val="22"/>
          <w:szCs w:val="22"/>
        </w:rPr>
      </w:pPr>
    </w:p>
    <w:p w14:paraId="0B0E6D1E" w14:textId="4D6706AF" w:rsidR="004E017B" w:rsidRPr="0095632F" w:rsidRDefault="004E017B" w:rsidP="0095632F">
      <w:pPr>
        <w:spacing w:line="276" w:lineRule="auto"/>
        <w:jc w:val="both"/>
        <w:rPr>
          <w:rFonts w:ascii="Arial" w:eastAsia="Calibri" w:hAnsi="Arial" w:cs="Arial"/>
          <w:color w:val="000000" w:themeColor="text1"/>
          <w:sz w:val="22"/>
          <w:szCs w:val="22"/>
        </w:rPr>
      </w:pPr>
      <w:r w:rsidRPr="0095632F">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w:t>
      </w:r>
      <w:r w:rsidR="0095677D" w:rsidRPr="0095632F">
        <w:rPr>
          <w:rFonts w:ascii="Arial" w:eastAsia="Calibri" w:hAnsi="Arial" w:cs="Arial"/>
          <w:sz w:val="22"/>
          <w:szCs w:val="22"/>
        </w:rPr>
        <w:t>responde</w:t>
      </w:r>
      <w:r w:rsidRPr="0095632F">
        <w:rPr>
          <w:rFonts w:ascii="Arial" w:eastAsia="Calibri" w:hAnsi="Arial" w:cs="Arial"/>
          <w:sz w:val="22"/>
          <w:szCs w:val="22"/>
        </w:rPr>
        <w:t xml:space="preserve"> </w:t>
      </w:r>
      <w:r w:rsidR="001D1EB8" w:rsidRPr="0095632F">
        <w:rPr>
          <w:rFonts w:ascii="Arial" w:eastAsia="Calibri" w:hAnsi="Arial" w:cs="Arial"/>
          <w:sz w:val="22"/>
          <w:szCs w:val="22"/>
        </w:rPr>
        <w:t xml:space="preserve">la </w:t>
      </w:r>
      <w:r w:rsidRPr="0095632F">
        <w:rPr>
          <w:rFonts w:ascii="Arial" w:eastAsia="Calibri" w:hAnsi="Arial" w:cs="Arial"/>
          <w:sz w:val="22"/>
          <w:szCs w:val="22"/>
        </w:rPr>
        <w:t xml:space="preserve">consulta </w:t>
      </w:r>
      <w:r w:rsidRPr="0095632F">
        <w:rPr>
          <w:rFonts w:ascii="Arial" w:eastAsia="Calibri" w:hAnsi="Arial" w:cs="Arial"/>
          <w:color w:val="000000" w:themeColor="text1"/>
          <w:sz w:val="22"/>
          <w:szCs w:val="22"/>
        </w:rPr>
        <w:t xml:space="preserve">del </w:t>
      </w:r>
      <w:r w:rsidR="00864D94" w:rsidRPr="0095632F">
        <w:rPr>
          <w:rFonts w:ascii="Arial" w:eastAsia="Calibri" w:hAnsi="Arial" w:cs="Arial"/>
          <w:color w:val="000000" w:themeColor="text1"/>
          <w:sz w:val="22"/>
          <w:szCs w:val="22"/>
        </w:rPr>
        <w:t>7</w:t>
      </w:r>
      <w:r w:rsidRPr="0095632F">
        <w:rPr>
          <w:rFonts w:ascii="Arial" w:eastAsia="Calibri" w:hAnsi="Arial" w:cs="Arial"/>
          <w:color w:val="000000" w:themeColor="text1"/>
          <w:sz w:val="22"/>
          <w:szCs w:val="22"/>
        </w:rPr>
        <w:t xml:space="preserve"> de </w:t>
      </w:r>
      <w:r w:rsidR="00864D94" w:rsidRPr="0095632F">
        <w:rPr>
          <w:rFonts w:ascii="Arial" w:eastAsia="Calibri" w:hAnsi="Arial" w:cs="Arial"/>
          <w:color w:val="000000" w:themeColor="text1"/>
          <w:sz w:val="22"/>
          <w:szCs w:val="22"/>
        </w:rPr>
        <w:t>enero</w:t>
      </w:r>
      <w:r w:rsidR="00752E65" w:rsidRPr="0095632F">
        <w:rPr>
          <w:rFonts w:ascii="Arial" w:eastAsia="Calibri" w:hAnsi="Arial" w:cs="Arial"/>
          <w:color w:val="000000" w:themeColor="text1"/>
          <w:sz w:val="22"/>
          <w:szCs w:val="22"/>
        </w:rPr>
        <w:t xml:space="preserve"> </w:t>
      </w:r>
      <w:r w:rsidRPr="0095632F">
        <w:rPr>
          <w:rFonts w:ascii="Arial" w:eastAsia="Calibri" w:hAnsi="Arial" w:cs="Arial"/>
          <w:color w:val="000000" w:themeColor="text1"/>
          <w:sz w:val="22"/>
          <w:szCs w:val="22"/>
        </w:rPr>
        <w:t>de 202</w:t>
      </w:r>
      <w:r w:rsidR="00864D94" w:rsidRPr="0095632F">
        <w:rPr>
          <w:rFonts w:ascii="Arial" w:eastAsia="Calibri" w:hAnsi="Arial" w:cs="Arial"/>
          <w:color w:val="000000" w:themeColor="text1"/>
          <w:sz w:val="22"/>
          <w:szCs w:val="22"/>
        </w:rPr>
        <w:t>2.</w:t>
      </w:r>
      <w:r w:rsidRPr="0095632F">
        <w:rPr>
          <w:rFonts w:ascii="Arial" w:eastAsia="Calibri" w:hAnsi="Arial" w:cs="Arial"/>
          <w:color w:val="000000" w:themeColor="text1"/>
          <w:sz w:val="22"/>
          <w:szCs w:val="22"/>
        </w:rPr>
        <w:t xml:space="preserve"> </w:t>
      </w:r>
    </w:p>
    <w:p w14:paraId="437CCD19" w14:textId="77777777" w:rsidR="004E017B" w:rsidRPr="0095632F" w:rsidRDefault="004E017B" w:rsidP="0095632F">
      <w:pPr>
        <w:spacing w:line="276" w:lineRule="auto"/>
        <w:jc w:val="both"/>
        <w:rPr>
          <w:rFonts w:ascii="Arial" w:eastAsia="Calibri" w:hAnsi="Arial" w:cs="Arial"/>
          <w:color w:val="000000" w:themeColor="text1"/>
          <w:sz w:val="22"/>
          <w:szCs w:val="22"/>
        </w:rPr>
      </w:pPr>
    </w:p>
    <w:p w14:paraId="25D51093" w14:textId="77777777" w:rsidR="004E017B" w:rsidRPr="0095632F" w:rsidRDefault="004E017B" w:rsidP="0095632F">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95632F">
        <w:rPr>
          <w:rFonts w:ascii="Arial" w:eastAsia="Calibri" w:hAnsi="Arial" w:cs="Arial"/>
          <w:b/>
          <w:color w:val="000000" w:themeColor="text1"/>
          <w:sz w:val="22"/>
          <w:szCs w:val="22"/>
        </w:rPr>
        <w:t xml:space="preserve">Problemas planteados </w:t>
      </w:r>
    </w:p>
    <w:p w14:paraId="79E99EBB" w14:textId="77777777" w:rsidR="004E017B" w:rsidRPr="0095632F" w:rsidRDefault="004E017B" w:rsidP="0095632F">
      <w:pPr>
        <w:tabs>
          <w:tab w:val="left" w:pos="426"/>
        </w:tabs>
        <w:spacing w:line="276" w:lineRule="auto"/>
        <w:jc w:val="both"/>
        <w:rPr>
          <w:rFonts w:ascii="Arial" w:eastAsia="Calibri" w:hAnsi="Arial" w:cs="Arial"/>
          <w:b/>
          <w:color w:val="000000" w:themeColor="text1"/>
          <w:sz w:val="22"/>
          <w:szCs w:val="22"/>
        </w:rPr>
      </w:pPr>
    </w:p>
    <w:p w14:paraId="514DC40E" w14:textId="5A8AECCD" w:rsidR="00D168E2" w:rsidRPr="0095632F" w:rsidRDefault="0095677D" w:rsidP="0095632F">
      <w:pPr>
        <w:tabs>
          <w:tab w:val="left" w:pos="426"/>
        </w:tabs>
        <w:spacing w:line="276" w:lineRule="auto"/>
        <w:jc w:val="both"/>
        <w:rPr>
          <w:rFonts w:ascii="Arial" w:hAnsi="Arial" w:cs="Arial"/>
          <w:bCs/>
          <w:sz w:val="22"/>
          <w:szCs w:val="22"/>
        </w:rPr>
      </w:pPr>
      <w:r w:rsidRPr="0095632F">
        <w:rPr>
          <w:rFonts w:ascii="Arial" w:eastAsia="Calibri" w:hAnsi="Arial" w:cs="Arial"/>
          <w:color w:val="000000" w:themeColor="text1"/>
          <w:sz w:val="22"/>
          <w:szCs w:val="22"/>
          <w:lang w:val="es-ES_tradnl"/>
        </w:rPr>
        <w:lastRenderedPageBreak/>
        <w:t>U</w:t>
      </w:r>
      <w:r w:rsidR="00D168E2" w:rsidRPr="0095632F">
        <w:rPr>
          <w:rFonts w:ascii="Arial" w:eastAsia="Calibri" w:hAnsi="Arial" w:cs="Arial"/>
          <w:color w:val="000000" w:themeColor="text1"/>
          <w:sz w:val="22"/>
          <w:szCs w:val="22"/>
          <w:lang w:val="es-ES_tradnl"/>
        </w:rPr>
        <w:t xml:space="preserve">sted realiza la siguiente </w:t>
      </w:r>
      <w:r w:rsidR="001D1EB8" w:rsidRPr="0095632F">
        <w:rPr>
          <w:rFonts w:ascii="Arial" w:eastAsia="Calibri" w:hAnsi="Arial" w:cs="Arial"/>
          <w:color w:val="000000" w:themeColor="text1"/>
          <w:sz w:val="22"/>
          <w:szCs w:val="22"/>
          <w:lang w:val="es-ES_tradnl"/>
        </w:rPr>
        <w:t>pregunta</w:t>
      </w:r>
      <w:r w:rsidR="00D168E2" w:rsidRPr="0095632F">
        <w:rPr>
          <w:rFonts w:ascii="Arial" w:eastAsia="Calibri" w:hAnsi="Arial" w:cs="Arial"/>
          <w:color w:val="000000" w:themeColor="text1"/>
          <w:sz w:val="22"/>
          <w:szCs w:val="22"/>
          <w:lang w:val="es-ES_tradnl"/>
        </w:rPr>
        <w:t>:</w:t>
      </w:r>
      <w:r w:rsidRPr="0095632F">
        <w:rPr>
          <w:rFonts w:ascii="Arial" w:hAnsi="Arial" w:cs="Arial"/>
          <w:bCs/>
          <w:sz w:val="22"/>
          <w:szCs w:val="22"/>
        </w:rPr>
        <w:t xml:space="preserve"> «</w:t>
      </w:r>
      <w:r w:rsidR="001D1EB8" w:rsidRPr="0095632F">
        <w:rPr>
          <w:rFonts w:ascii="Arial" w:hAnsi="Arial" w:cs="Arial"/>
          <w:bCs/>
          <w:sz w:val="22"/>
          <w:szCs w:val="22"/>
        </w:rPr>
        <w:t xml:space="preserve">[¿] </w:t>
      </w:r>
      <w:r w:rsidR="00D168E2" w:rsidRPr="0095632F">
        <w:rPr>
          <w:rFonts w:ascii="Arial" w:hAnsi="Arial" w:cs="Arial"/>
          <w:bCs/>
          <w:sz w:val="22"/>
          <w:szCs w:val="22"/>
        </w:rPr>
        <w:t xml:space="preserve">El uso del formato de minuta del contrato de prestación de servicios que esta publicada en la </w:t>
      </w:r>
      <w:proofErr w:type="spellStart"/>
      <w:r w:rsidR="00D168E2" w:rsidRPr="0095632F">
        <w:rPr>
          <w:rFonts w:ascii="Arial" w:hAnsi="Arial" w:cs="Arial"/>
          <w:bCs/>
          <w:sz w:val="22"/>
          <w:szCs w:val="22"/>
        </w:rPr>
        <w:t>pagina</w:t>
      </w:r>
      <w:proofErr w:type="spellEnd"/>
      <w:r w:rsidR="00D168E2" w:rsidRPr="0095632F">
        <w:rPr>
          <w:rFonts w:ascii="Arial" w:hAnsi="Arial" w:cs="Arial"/>
          <w:bCs/>
          <w:sz w:val="22"/>
          <w:szCs w:val="22"/>
        </w:rPr>
        <w:t xml:space="preserve"> de Colombia Compra Eficiente es de uso obligatorio en las administraciones </w:t>
      </w:r>
      <w:proofErr w:type="spellStart"/>
      <w:r w:rsidR="00D168E2" w:rsidRPr="0095632F">
        <w:rPr>
          <w:rFonts w:ascii="Arial" w:hAnsi="Arial" w:cs="Arial"/>
          <w:bCs/>
          <w:sz w:val="22"/>
          <w:szCs w:val="22"/>
        </w:rPr>
        <w:t>publicas</w:t>
      </w:r>
      <w:proofErr w:type="spellEnd"/>
      <w:r w:rsidR="00D168E2" w:rsidRPr="0095632F">
        <w:rPr>
          <w:rFonts w:ascii="Arial" w:hAnsi="Arial" w:cs="Arial"/>
          <w:bCs/>
          <w:sz w:val="22"/>
          <w:szCs w:val="22"/>
        </w:rPr>
        <w:t xml:space="preserve"> (alcaldía, municipio de sexta categoría)</w:t>
      </w:r>
      <w:r w:rsidR="001D1EB8" w:rsidRPr="0095632F">
        <w:rPr>
          <w:rFonts w:ascii="Arial" w:hAnsi="Arial" w:cs="Arial"/>
          <w:bCs/>
          <w:sz w:val="22"/>
          <w:szCs w:val="22"/>
        </w:rPr>
        <w:t xml:space="preserve"> [</w:t>
      </w:r>
      <w:r w:rsidR="00CE4841" w:rsidRPr="0095632F">
        <w:rPr>
          <w:rFonts w:ascii="Arial" w:hAnsi="Arial" w:cs="Arial"/>
          <w:bCs/>
          <w:sz w:val="22"/>
          <w:szCs w:val="22"/>
        </w:rPr>
        <w:t>?]</w:t>
      </w:r>
      <w:r w:rsidRPr="0095632F">
        <w:rPr>
          <w:rFonts w:ascii="Arial" w:hAnsi="Arial" w:cs="Arial"/>
          <w:bCs/>
          <w:sz w:val="22"/>
          <w:szCs w:val="22"/>
        </w:rPr>
        <w:t>»</w:t>
      </w:r>
      <w:r w:rsidR="00D168E2" w:rsidRPr="0095632F">
        <w:rPr>
          <w:rFonts w:ascii="Arial" w:hAnsi="Arial" w:cs="Arial"/>
          <w:bCs/>
          <w:sz w:val="22"/>
          <w:szCs w:val="22"/>
        </w:rPr>
        <w:t>.</w:t>
      </w:r>
    </w:p>
    <w:p w14:paraId="1639F7C4" w14:textId="1FB3DDAA" w:rsidR="00D168E2" w:rsidRPr="0095632F" w:rsidRDefault="00D168E2" w:rsidP="0095632F">
      <w:pPr>
        <w:tabs>
          <w:tab w:val="left" w:pos="426"/>
        </w:tabs>
        <w:spacing w:line="276" w:lineRule="auto"/>
        <w:jc w:val="both"/>
        <w:rPr>
          <w:rFonts w:ascii="Arial" w:eastAsia="Calibri" w:hAnsi="Arial" w:cs="Arial"/>
          <w:color w:val="000000" w:themeColor="text1"/>
          <w:sz w:val="22"/>
          <w:szCs w:val="22"/>
        </w:rPr>
      </w:pPr>
      <w:r w:rsidRPr="0095632F">
        <w:rPr>
          <w:rFonts w:ascii="Arial" w:eastAsia="Calibri" w:hAnsi="Arial" w:cs="Arial"/>
          <w:color w:val="000000" w:themeColor="text1"/>
          <w:sz w:val="22"/>
          <w:szCs w:val="22"/>
          <w:lang w:val="es-ES_tradnl"/>
        </w:rPr>
        <w:t xml:space="preserve"> </w:t>
      </w:r>
    </w:p>
    <w:p w14:paraId="19B19F9A" w14:textId="571E2A27" w:rsidR="004E017B" w:rsidRPr="0095632F" w:rsidRDefault="004E017B" w:rsidP="0095632F">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95632F">
        <w:rPr>
          <w:rFonts w:ascii="Arial" w:eastAsia="Calibri" w:hAnsi="Arial" w:cs="Arial"/>
          <w:b/>
          <w:color w:val="000000" w:themeColor="text1"/>
          <w:sz w:val="22"/>
          <w:szCs w:val="22"/>
        </w:rPr>
        <w:t>Consideraciones</w:t>
      </w:r>
    </w:p>
    <w:p w14:paraId="3B43ED90" w14:textId="77777777" w:rsidR="0095677D" w:rsidRPr="0095632F" w:rsidRDefault="0095677D" w:rsidP="0095632F">
      <w:pPr>
        <w:tabs>
          <w:tab w:val="left" w:pos="426"/>
        </w:tabs>
        <w:spacing w:line="276" w:lineRule="auto"/>
        <w:contextualSpacing/>
        <w:jc w:val="both"/>
        <w:rPr>
          <w:rFonts w:ascii="Arial" w:eastAsia="Calibri" w:hAnsi="Arial" w:cs="Arial"/>
          <w:b/>
          <w:color w:val="000000" w:themeColor="text1"/>
          <w:sz w:val="22"/>
          <w:szCs w:val="22"/>
        </w:rPr>
      </w:pPr>
    </w:p>
    <w:p w14:paraId="233AAA24" w14:textId="5FD98058" w:rsidR="00FF1823" w:rsidRPr="0095632F" w:rsidRDefault="00FF1823" w:rsidP="0095632F">
      <w:pPr>
        <w:spacing w:after="120" w:line="276" w:lineRule="auto"/>
        <w:jc w:val="both"/>
        <w:rPr>
          <w:rFonts w:ascii="Arial" w:eastAsia="Calibri" w:hAnsi="Arial" w:cs="Arial"/>
          <w:color w:val="000000" w:themeColor="text1"/>
          <w:sz w:val="22"/>
          <w:szCs w:val="22"/>
          <w:lang w:val="es-ES_tradnl"/>
        </w:rPr>
      </w:pPr>
      <w:r w:rsidRPr="0095632F">
        <w:rPr>
          <w:rFonts w:ascii="Arial" w:eastAsia="Calibri" w:hAnsi="Arial" w:cs="Arial"/>
          <w:color w:val="000000" w:themeColor="text1"/>
          <w:sz w:val="22"/>
          <w:lang w:val="es-ES_tradnl"/>
        </w:rPr>
        <w:t xml:space="preserve">Para desarrollar el problema planteado se abordarán los siguientes temas: i) </w:t>
      </w:r>
      <w:r w:rsidR="0095632F" w:rsidRPr="0095632F">
        <w:rPr>
          <w:rFonts w:ascii="Arial" w:eastAsia="Calibri" w:hAnsi="Arial" w:cs="Arial"/>
          <w:color w:val="000000" w:themeColor="text1"/>
          <w:sz w:val="22"/>
          <w:lang w:val="es-ES_tradnl"/>
        </w:rPr>
        <w:t>Guías, Manuales, Circulares y Documentos Tipo</w:t>
      </w:r>
      <w:r w:rsidRPr="0095632F">
        <w:rPr>
          <w:rFonts w:ascii="Arial" w:eastAsia="Calibri" w:hAnsi="Arial" w:cs="Arial"/>
          <w:color w:val="000000" w:themeColor="text1"/>
          <w:sz w:val="22"/>
          <w:szCs w:val="22"/>
          <w:lang w:val="es-ES_tradnl"/>
        </w:rPr>
        <w:t xml:space="preserve"> y </w:t>
      </w:r>
      <w:proofErr w:type="spellStart"/>
      <w:r w:rsidRPr="0095632F">
        <w:rPr>
          <w:rFonts w:ascii="Arial" w:eastAsia="Calibri" w:hAnsi="Arial" w:cs="Arial"/>
          <w:color w:val="000000" w:themeColor="text1"/>
          <w:sz w:val="22"/>
          <w:szCs w:val="22"/>
          <w:lang w:val="es-ES_tradnl"/>
        </w:rPr>
        <w:t>ii</w:t>
      </w:r>
      <w:proofErr w:type="spellEnd"/>
      <w:r w:rsidRPr="0095632F">
        <w:rPr>
          <w:rFonts w:ascii="Arial" w:eastAsia="Calibri" w:hAnsi="Arial" w:cs="Arial"/>
          <w:color w:val="000000" w:themeColor="text1"/>
          <w:sz w:val="22"/>
          <w:szCs w:val="22"/>
          <w:lang w:val="es-ES_tradnl"/>
        </w:rPr>
        <w:t xml:space="preserve">) </w:t>
      </w:r>
      <w:r w:rsidR="0095632F" w:rsidRPr="0095632F">
        <w:rPr>
          <w:rFonts w:ascii="Arial" w:eastAsia="Calibri" w:hAnsi="Arial" w:cs="Arial"/>
          <w:color w:val="000000" w:themeColor="text1"/>
          <w:sz w:val="22"/>
          <w:szCs w:val="22"/>
          <w:lang w:val="es-ES_tradnl"/>
        </w:rPr>
        <w:t>Obligatoriedad de los instrumentos y herramientas expedidas por Colombia Compra Eficiente. Importancia de la competencia</w:t>
      </w:r>
      <w:r w:rsidRPr="0095632F">
        <w:rPr>
          <w:rFonts w:ascii="Arial" w:eastAsia="Calibri" w:hAnsi="Arial" w:cs="Arial"/>
          <w:color w:val="000000" w:themeColor="text1"/>
          <w:sz w:val="22"/>
          <w:szCs w:val="22"/>
          <w:lang w:val="es-ES_tradnl"/>
        </w:rPr>
        <w:t>.</w:t>
      </w:r>
    </w:p>
    <w:p w14:paraId="628A45D8" w14:textId="32DFD502" w:rsidR="001D5027" w:rsidRPr="0095632F" w:rsidRDefault="000B64B0" w:rsidP="0095632F">
      <w:pPr>
        <w:spacing w:before="120" w:line="276" w:lineRule="auto"/>
        <w:ind w:firstLine="708"/>
        <w:jc w:val="both"/>
        <w:rPr>
          <w:rFonts w:ascii="Arial" w:eastAsia="Calibri" w:hAnsi="Arial" w:cs="Arial"/>
          <w:sz w:val="22"/>
        </w:rPr>
      </w:pPr>
      <w:r w:rsidRPr="0095632F">
        <w:rPr>
          <w:rFonts w:ascii="Arial" w:eastAsia="Calibri" w:hAnsi="Arial" w:cs="Arial"/>
          <w:color w:val="000000" w:themeColor="text1"/>
          <w:sz w:val="22"/>
          <w:lang w:val="es-ES_tradnl"/>
        </w:rPr>
        <w:t xml:space="preserve">La Agencia Nacional de Contratación Pública – Colombia Compra Eficiente se pronunció sobre </w:t>
      </w:r>
      <w:r w:rsidRPr="0095632F">
        <w:rPr>
          <w:rFonts w:ascii="Arial" w:eastAsia="Calibri" w:hAnsi="Arial" w:cs="Arial"/>
          <w:color w:val="000000" w:themeColor="text1"/>
          <w:sz w:val="22"/>
          <w:szCs w:val="22"/>
          <w:lang w:val="es-ES_tradnl"/>
        </w:rPr>
        <w:t xml:space="preserve">la obligatoriedad de los documentos por ella expedidos </w:t>
      </w:r>
      <w:r w:rsidR="00BF14D1" w:rsidRPr="0095632F">
        <w:rPr>
          <w:rFonts w:ascii="Arial" w:eastAsia="Calibri" w:hAnsi="Arial" w:cs="Arial"/>
          <w:color w:val="000000" w:themeColor="text1"/>
          <w:sz w:val="22"/>
          <w:szCs w:val="22"/>
          <w:lang w:val="es-ES_tradnl"/>
        </w:rPr>
        <w:t xml:space="preserve">en los </w:t>
      </w:r>
      <w:r w:rsidR="00FF1823" w:rsidRPr="0095632F">
        <w:rPr>
          <w:rFonts w:ascii="Arial" w:eastAsia="Calibri" w:hAnsi="Arial" w:cs="Arial"/>
          <w:color w:val="000000" w:themeColor="text1"/>
          <w:sz w:val="22"/>
          <w:szCs w:val="22"/>
          <w:lang w:val="es-ES_tradnl"/>
        </w:rPr>
        <w:t xml:space="preserve">conceptos C-124 de 5 de abril de 2021, C-451 de 31 de agosto de 2021, C-519 de 23 de septiembre de 2021 y C-615 del 22 de diciembre de 2021. </w:t>
      </w:r>
      <w:r w:rsidR="001D5027" w:rsidRPr="0095632F">
        <w:rPr>
          <w:rFonts w:ascii="Arial" w:eastAsia="Calibri" w:hAnsi="Arial" w:cs="Arial"/>
          <w:sz w:val="22"/>
        </w:rPr>
        <w:t>Las tesis expuestas en estos conceptos se reiteran a continuación y se complementan en lo pertinente</w:t>
      </w:r>
      <w:r w:rsidR="0095677D" w:rsidRPr="0095632F">
        <w:rPr>
          <w:rFonts w:ascii="Arial" w:eastAsia="Calibri" w:hAnsi="Arial" w:cs="Arial"/>
          <w:sz w:val="22"/>
        </w:rPr>
        <w:t>:</w:t>
      </w:r>
    </w:p>
    <w:p w14:paraId="4357B732" w14:textId="77777777" w:rsidR="0095677D" w:rsidRPr="0095632F" w:rsidRDefault="0095677D" w:rsidP="0095632F">
      <w:pPr>
        <w:spacing w:line="276" w:lineRule="auto"/>
        <w:ind w:firstLine="708"/>
        <w:jc w:val="both"/>
        <w:rPr>
          <w:rFonts w:ascii="Arial" w:eastAsia="Calibri" w:hAnsi="Arial" w:cs="Arial"/>
          <w:sz w:val="22"/>
        </w:rPr>
      </w:pPr>
    </w:p>
    <w:p w14:paraId="06C29072" w14:textId="77777777" w:rsidR="0095677D" w:rsidRPr="0095632F" w:rsidRDefault="0095677D" w:rsidP="0095632F">
      <w:pPr>
        <w:tabs>
          <w:tab w:val="left" w:pos="0"/>
        </w:tabs>
        <w:spacing w:line="276" w:lineRule="auto"/>
        <w:jc w:val="both"/>
        <w:rPr>
          <w:rFonts w:ascii="Arial" w:hAnsi="Arial" w:cs="Arial"/>
          <w:b/>
          <w:bCs/>
          <w:sz w:val="22"/>
          <w:szCs w:val="22"/>
        </w:rPr>
      </w:pPr>
      <w:r w:rsidRPr="0095632F">
        <w:rPr>
          <w:rFonts w:ascii="Arial" w:hAnsi="Arial" w:cs="Arial"/>
          <w:b/>
          <w:bCs/>
          <w:sz w:val="22"/>
          <w:szCs w:val="22"/>
        </w:rPr>
        <w:t>2.1.</w:t>
      </w:r>
      <w:r w:rsidRPr="0095632F">
        <w:rPr>
          <w:rFonts w:ascii="Arial" w:eastAsia="Calibri" w:hAnsi="Arial" w:cs="Arial"/>
          <w:b/>
          <w:bCs/>
          <w:color w:val="000000" w:themeColor="text1"/>
          <w:sz w:val="22"/>
          <w:szCs w:val="22"/>
        </w:rPr>
        <w:t xml:space="preserve"> </w:t>
      </w:r>
      <w:r w:rsidRPr="0095632F">
        <w:rPr>
          <w:rFonts w:ascii="Arial" w:hAnsi="Arial" w:cs="Arial"/>
          <w:b/>
          <w:bCs/>
          <w:sz w:val="22"/>
          <w:szCs w:val="22"/>
        </w:rPr>
        <w:t>Guías, Manuales, Circulares y Documentos Tipo</w:t>
      </w:r>
    </w:p>
    <w:p w14:paraId="712C1FEE" w14:textId="77777777" w:rsidR="0095677D" w:rsidRPr="0095632F" w:rsidRDefault="0095677D" w:rsidP="0095632F">
      <w:pPr>
        <w:pStyle w:val="Textoindependiente"/>
        <w:spacing w:before="240"/>
        <w:jc w:val="both"/>
        <w:rPr>
          <w:rFonts w:ascii="Arial" w:hAnsi="Arial" w:cs="Arial"/>
          <w:szCs w:val="22"/>
        </w:rPr>
      </w:pPr>
      <w:r w:rsidRPr="0095632F">
        <w:rPr>
          <w:rFonts w:ascii="Arial" w:hAnsi="Arial" w:cs="Arial"/>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44D1E858" w14:textId="18A8A5C0" w:rsidR="0095677D" w:rsidRPr="0095632F" w:rsidRDefault="0095677D" w:rsidP="0095632F">
      <w:pPr>
        <w:pStyle w:val="Textoindependiente"/>
        <w:ind w:firstLine="708"/>
        <w:jc w:val="both"/>
        <w:rPr>
          <w:rFonts w:ascii="Arial" w:hAnsi="Arial" w:cs="Arial"/>
          <w:szCs w:val="22"/>
        </w:rPr>
      </w:pPr>
      <w:r w:rsidRPr="0095632F">
        <w:rPr>
          <w:rFonts w:ascii="Arial" w:hAnsi="Arial" w:cs="Arial"/>
          <w:szCs w:val="22"/>
        </w:rPr>
        <w:t>En este contexto,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43CB4D9D" w14:textId="5A540002" w:rsidR="0095677D" w:rsidRPr="0095632F" w:rsidRDefault="0095677D" w:rsidP="0095632F">
      <w:pPr>
        <w:pStyle w:val="Textoindependiente"/>
        <w:ind w:firstLine="708"/>
        <w:jc w:val="both"/>
        <w:rPr>
          <w:rFonts w:ascii="Arial" w:hAnsi="Arial" w:cs="Arial"/>
          <w:szCs w:val="22"/>
        </w:rPr>
      </w:pPr>
      <w:bookmarkStart w:id="4" w:name="_Hlk69117524"/>
      <w:r w:rsidRPr="0095632F">
        <w:rPr>
          <w:rFonts w:ascii="Arial" w:hAnsi="Arial" w:cs="Arial"/>
          <w:szCs w:val="22"/>
        </w:rPr>
        <w:t>En ejercicio de estas competencias conferidas por el Decreto Ley 4170 de 2011, Colombia Compra Eficiente ha expedido Guías, Manuales</w:t>
      </w:r>
      <w:r w:rsidR="00205216" w:rsidRPr="0095632F">
        <w:rPr>
          <w:rFonts w:ascii="Arial" w:hAnsi="Arial" w:cs="Arial"/>
          <w:szCs w:val="22"/>
        </w:rPr>
        <w:t xml:space="preserve">, </w:t>
      </w:r>
      <w:r w:rsidRPr="0095632F">
        <w:rPr>
          <w:rFonts w:ascii="Arial" w:hAnsi="Arial" w:cs="Arial"/>
          <w:szCs w:val="22"/>
        </w:rPr>
        <w:t>Circulares</w:t>
      </w:r>
      <w:r w:rsidR="00205216" w:rsidRPr="0095632F">
        <w:rPr>
          <w:rFonts w:ascii="Arial" w:hAnsi="Arial" w:cs="Arial"/>
          <w:szCs w:val="22"/>
        </w:rPr>
        <w:t xml:space="preserve"> y Documentos Tipo</w:t>
      </w:r>
      <w:r w:rsidRPr="0095632F">
        <w:rPr>
          <w:rFonts w:ascii="Arial" w:hAnsi="Arial" w:cs="Arial"/>
          <w:szCs w:val="22"/>
        </w:rPr>
        <w:t xml:space="preserve">, los cuales </w:t>
      </w:r>
      <w:r w:rsidR="00205216" w:rsidRPr="0095632F">
        <w:rPr>
          <w:rFonts w:ascii="Arial" w:hAnsi="Arial" w:cs="Arial"/>
          <w:szCs w:val="22"/>
        </w:rPr>
        <w:t>se califican</w:t>
      </w:r>
      <w:r w:rsidRPr="0095632F">
        <w:rPr>
          <w:rFonts w:ascii="Arial" w:hAnsi="Arial" w:cs="Arial"/>
          <w:szCs w:val="22"/>
        </w:rPr>
        <w:t xml:space="preserve"> como herramientas de apoyo a los partícipes de la contratación </w:t>
      </w:r>
      <w:r w:rsidRPr="0095632F">
        <w:rPr>
          <w:rFonts w:ascii="Arial" w:hAnsi="Arial" w:cs="Arial"/>
          <w:szCs w:val="22"/>
        </w:rPr>
        <w:lastRenderedPageBreak/>
        <w:t xml:space="preserve">pública. </w:t>
      </w:r>
      <w:bookmarkEnd w:id="4"/>
      <w:r w:rsidRPr="0095632F">
        <w:rPr>
          <w:rFonts w:ascii="Arial" w:hAnsi="Arial" w:cs="Arial"/>
          <w:szCs w:val="22"/>
        </w:rPr>
        <w:t xml:space="preserve">Pese a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 </w:t>
      </w:r>
    </w:p>
    <w:p w14:paraId="696D4B1C" w14:textId="77777777" w:rsidR="0095677D" w:rsidRPr="0095632F" w:rsidRDefault="0095677D" w:rsidP="0095632F">
      <w:pPr>
        <w:pStyle w:val="Textoindependiente"/>
        <w:ind w:firstLine="708"/>
        <w:jc w:val="both"/>
        <w:rPr>
          <w:rFonts w:ascii="Arial" w:hAnsi="Arial" w:cs="Arial"/>
          <w:szCs w:val="22"/>
        </w:rPr>
      </w:pPr>
      <w:r w:rsidRPr="0095632F">
        <w:rPr>
          <w:rFonts w:ascii="Arial" w:hAnsi="Arial" w:cs="Arial"/>
          <w:szCs w:val="22"/>
        </w:rPr>
        <w:t>El Decreto 1510 de 2013, por el cual se reglamentó el sistema de compras y contratación pública, compilado por el Decreto 1082 de 2015, a pesar de que se refiere de forma expresa a los Manuales y Guías, no distingue o precisa el concepto de cada uno. 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r w:rsidRPr="0095632F">
        <w:rPr>
          <w:rStyle w:val="Refdenotaalpie"/>
          <w:rFonts w:ascii="Arial" w:hAnsi="Arial" w:cs="Arial"/>
          <w:szCs w:val="22"/>
        </w:rPr>
        <w:footnoteReference w:id="1"/>
      </w:r>
      <w:r w:rsidRPr="0095632F">
        <w:rPr>
          <w:rFonts w:ascii="Arial" w:hAnsi="Arial" w:cs="Arial"/>
          <w:szCs w:val="22"/>
        </w:rPr>
        <w:t>.</w:t>
      </w:r>
    </w:p>
    <w:p w14:paraId="20E77187" w14:textId="77777777" w:rsidR="0095677D" w:rsidRPr="0095632F" w:rsidRDefault="0095677D" w:rsidP="0095632F">
      <w:pPr>
        <w:pStyle w:val="Textoindependiente"/>
        <w:ind w:right="42" w:firstLine="708"/>
        <w:jc w:val="both"/>
        <w:rPr>
          <w:rFonts w:ascii="Arial" w:hAnsi="Arial" w:cs="Arial"/>
          <w:szCs w:val="22"/>
        </w:rPr>
      </w:pPr>
      <w:r w:rsidRPr="0095632F">
        <w:rPr>
          <w:rFonts w:ascii="Arial" w:hAnsi="Arial" w:cs="Arial"/>
          <w:szCs w:val="22"/>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69FB0149" w14:textId="21CE824A" w:rsidR="0095677D" w:rsidRPr="0095632F" w:rsidRDefault="0095677D" w:rsidP="0095632F">
      <w:pPr>
        <w:pStyle w:val="Textoindependiente"/>
        <w:ind w:right="40" w:firstLine="709"/>
        <w:jc w:val="both"/>
        <w:rPr>
          <w:rFonts w:ascii="Arial" w:hAnsi="Arial" w:cs="Arial"/>
          <w:szCs w:val="22"/>
        </w:rPr>
      </w:pPr>
      <w:r w:rsidRPr="0095632F">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la guía para la liquidación de los contratos estatales, la cual fija un procedimiento para el efecto. </w:t>
      </w:r>
    </w:p>
    <w:p w14:paraId="0A691093" w14:textId="589FB2DA" w:rsidR="00205216" w:rsidRPr="0095632F" w:rsidRDefault="00205216" w:rsidP="0095632F">
      <w:pPr>
        <w:pStyle w:val="Textoindependiente"/>
        <w:spacing w:before="1" w:after="0"/>
        <w:ind w:right="42" w:firstLine="708"/>
        <w:jc w:val="both"/>
        <w:rPr>
          <w:rFonts w:ascii="Arial" w:hAnsi="Arial" w:cs="Arial"/>
          <w:szCs w:val="22"/>
        </w:rPr>
      </w:pPr>
      <w:r w:rsidRPr="0095632F">
        <w:rPr>
          <w:rFonts w:ascii="Arial" w:hAnsi="Arial" w:cs="Arial"/>
          <w:szCs w:val="22"/>
        </w:rPr>
        <w:t xml:space="preserve">En cuanto a las circulares externas, se ha considerado que constituyen actos administrativos que contienen mandatos, orientaciones e instrucciones dirigidas a las entidades estatales, y al público en general, de obligatoria observancia y cumplimento. De </w:t>
      </w:r>
      <w:r w:rsidRPr="0095632F">
        <w:rPr>
          <w:rFonts w:ascii="Arial" w:hAnsi="Arial" w:cs="Arial"/>
          <w:szCs w:val="22"/>
        </w:rPr>
        <w:lastRenderedPageBreak/>
        <w:t>otro lado,</w:t>
      </w:r>
      <w:r w:rsidR="008E22F1" w:rsidRPr="0095632F">
        <w:rPr>
          <w:rFonts w:ascii="Arial" w:hAnsi="Arial" w:cs="Arial"/>
          <w:szCs w:val="22"/>
        </w:rPr>
        <w:t xml:space="preserve"> tanto antes como después de la expedición de las Leyes 1882 de 2018 y 2022 de 2020,</w:t>
      </w:r>
      <w:r w:rsidRPr="0095632F">
        <w:rPr>
          <w:rFonts w:ascii="Arial" w:hAnsi="Arial" w:cs="Arial"/>
          <w:szCs w:val="22"/>
        </w:rPr>
        <w:t xml:space="preserve"> los Documentos Tipo se ha entendido como los instrumentos usados en los procesos de contratación, cuyo objetivo es estandarizar sus etapas o requisitos.</w:t>
      </w:r>
    </w:p>
    <w:p w14:paraId="12466BC6" w14:textId="77777777" w:rsidR="00205216" w:rsidRPr="0095632F" w:rsidRDefault="00205216" w:rsidP="0095632F">
      <w:pPr>
        <w:pStyle w:val="Textoindependiente"/>
        <w:spacing w:before="1" w:after="0"/>
        <w:ind w:right="42" w:firstLine="708"/>
        <w:jc w:val="both"/>
        <w:rPr>
          <w:rFonts w:ascii="Arial" w:hAnsi="Arial" w:cs="Arial"/>
          <w:szCs w:val="22"/>
        </w:rPr>
      </w:pPr>
    </w:p>
    <w:p w14:paraId="434CA33C" w14:textId="655D2EEC" w:rsidR="00205216" w:rsidRPr="0095632F" w:rsidRDefault="00205216" w:rsidP="0095632F">
      <w:pPr>
        <w:pStyle w:val="Textoindependiente"/>
        <w:spacing w:after="0"/>
        <w:ind w:right="40"/>
        <w:jc w:val="both"/>
        <w:rPr>
          <w:rFonts w:ascii="Arial" w:hAnsi="Arial" w:cs="Arial"/>
          <w:b/>
          <w:bCs/>
          <w:szCs w:val="22"/>
        </w:rPr>
      </w:pPr>
      <w:r w:rsidRPr="0095632F">
        <w:rPr>
          <w:rFonts w:ascii="Arial" w:hAnsi="Arial" w:cs="Arial"/>
          <w:b/>
          <w:bCs/>
          <w:szCs w:val="22"/>
        </w:rPr>
        <w:t>2.2. Obligatoriedad de los instrumentos y herramientas expedidas por Colombia Compra</w:t>
      </w:r>
      <w:r w:rsidRPr="0095632F">
        <w:rPr>
          <w:rFonts w:ascii="Arial" w:hAnsi="Arial" w:cs="Arial"/>
          <w:b/>
          <w:bCs/>
          <w:spacing w:val="-2"/>
          <w:szCs w:val="22"/>
        </w:rPr>
        <w:t xml:space="preserve"> </w:t>
      </w:r>
      <w:r w:rsidRPr="0095632F">
        <w:rPr>
          <w:rFonts w:ascii="Arial" w:hAnsi="Arial" w:cs="Arial"/>
          <w:b/>
          <w:bCs/>
          <w:szCs w:val="22"/>
        </w:rPr>
        <w:t>Eficiente</w:t>
      </w:r>
      <w:r w:rsidR="00F91B46" w:rsidRPr="0095632F">
        <w:rPr>
          <w:rFonts w:ascii="Arial" w:hAnsi="Arial" w:cs="Arial"/>
          <w:b/>
          <w:bCs/>
          <w:szCs w:val="22"/>
        </w:rPr>
        <w:t>. Importancia de la competencia</w:t>
      </w:r>
    </w:p>
    <w:p w14:paraId="6E1F0245" w14:textId="77777777" w:rsidR="00205216" w:rsidRPr="0095632F" w:rsidRDefault="00205216" w:rsidP="0095632F">
      <w:pPr>
        <w:pStyle w:val="Textoindependiente"/>
        <w:spacing w:after="0"/>
        <w:ind w:right="40"/>
        <w:jc w:val="both"/>
        <w:rPr>
          <w:rFonts w:ascii="Arial" w:hAnsi="Arial" w:cs="Arial"/>
          <w:b/>
          <w:bCs/>
          <w:szCs w:val="22"/>
        </w:rPr>
      </w:pPr>
    </w:p>
    <w:p w14:paraId="36A70A3A" w14:textId="0F03E5BC" w:rsidR="00205216" w:rsidRPr="0095632F" w:rsidRDefault="00205216" w:rsidP="0095632F">
      <w:pPr>
        <w:pStyle w:val="Textoindependiente"/>
        <w:ind w:right="42"/>
        <w:jc w:val="both"/>
        <w:rPr>
          <w:rFonts w:ascii="Arial" w:hAnsi="Arial" w:cs="Arial"/>
          <w:szCs w:val="22"/>
        </w:rPr>
      </w:pPr>
      <w:r w:rsidRPr="0095632F">
        <w:rPr>
          <w:rFonts w:ascii="Arial" w:hAnsi="Arial" w:cs="Arial"/>
          <w:szCs w:val="22"/>
        </w:rPr>
        <w:t>Para el año 2016,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95632F">
        <w:rPr>
          <w:rFonts w:ascii="Arial" w:hAnsi="Arial" w:cs="Arial"/>
          <w:spacing w:val="-8"/>
          <w:szCs w:val="22"/>
        </w:rPr>
        <w:t xml:space="preserve"> </w:t>
      </w:r>
      <w:r w:rsidRPr="0095632F">
        <w:rPr>
          <w:rFonts w:ascii="Arial" w:hAnsi="Arial" w:cs="Arial"/>
          <w:szCs w:val="22"/>
        </w:rPr>
        <w:t>proceso.</w:t>
      </w:r>
    </w:p>
    <w:p w14:paraId="414021F8" w14:textId="6065E57D" w:rsidR="00205216" w:rsidRPr="0095632F" w:rsidRDefault="00205216" w:rsidP="0095632F">
      <w:pPr>
        <w:pStyle w:val="Textoindependiente"/>
        <w:ind w:right="42" w:firstLine="708"/>
        <w:jc w:val="both"/>
        <w:rPr>
          <w:rFonts w:ascii="Arial" w:hAnsi="Arial" w:cs="Arial"/>
          <w:szCs w:val="22"/>
        </w:rPr>
      </w:pPr>
      <w:r w:rsidRPr="0095632F">
        <w:rPr>
          <w:rFonts w:ascii="Arial" w:hAnsi="Arial" w:cs="Arial"/>
          <w:szCs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95632F">
        <w:rPr>
          <w:rStyle w:val="Refdenotaalpie"/>
          <w:rFonts w:ascii="Arial" w:hAnsi="Arial" w:cs="Arial"/>
          <w:szCs w:val="22"/>
        </w:rPr>
        <w:footnoteReference w:id="2"/>
      </w:r>
      <w:r w:rsidRPr="0095632F">
        <w:rPr>
          <w:rFonts w:ascii="Arial" w:hAnsi="Arial" w:cs="Arial"/>
          <w:szCs w:val="22"/>
        </w:rPr>
        <w:t>.</w:t>
      </w:r>
      <w:r w:rsidR="00386DB2" w:rsidRPr="0095632F">
        <w:rPr>
          <w:rFonts w:ascii="Arial" w:hAnsi="Arial" w:cs="Arial"/>
          <w:szCs w:val="22"/>
        </w:rPr>
        <w:t xml:space="preserve"> Por lo demás, antes de la Ley 1882 de 2018 y la Ley 2022 de 2020, los pliegos y minutas tipo también adoptaban buenas prácticas, pero estos, a diferencia de los manuales y guías, no fueron acogidos a través de Circular, motivo por el cual no eran de obligatorio cumplimiento.</w:t>
      </w:r>
    </w:p>
    <w:p w14:paraId="54640B32" w14:textId="77777777" w:rsidR="00205216" w:rsidRPr="0095632F" w:rsidRDefault="00205216" w:rsidP="0095632F">
      <w:pPr>
        <w:pStyle w:val="Textoindependiente"/>
        <w:ind w:right="42" w:firstLine="708"/>
        <w:jc w:val="both"/>
        <w:rPr>
          <w:rFonts w:ascii="Arial" w:hAnsi="Arial" w:cs="Arial"/>
          <w:szCs w:val="22"/>
        </w:rPr>
      </w:pPr>
      <w:r w:rsidRPr="0095632F">
        <w:rPr>
          <w:rFonts w:ascii="Arial" w:hAnsi="Arial" w:cs="Arial"/>
          <w:szCs w:val="22"/>
        </w:rPr>
        <w:t>Así pues, el enfoque que se tuvo sobre la obligatoriedad o vinculatoriedad de las normas proferidas por la Agencia Nacional de Contratación Pública, en ejercicio de sus funciones, le daba prevalencia a la forma mediante la cual se adoptaba la pauta o directriz. Es decir,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1D0E70C8" w14:textId="77777777" w:rsidR="00205216" w:rsidRPr="0095632F" w:rsidRDefault="00205216" w:rsidP="0095632F">
      <w:pPr>
        <w:pStyle w:val="Textoindependiente"/>
        <w:ind w:right="42" w:firstLine="708"/>
        <w:jc w:val="both"/>
        <w:rPr>
          <w:rFonts w:ascii="Arial" w:hAnsi="Arial" w:cs="Arial"/>
          <w:szCs w:val="22"/>
        </w:rPr>
      </w:pPr>
      <w:r w:rsidRPr="0095632F">
        <w:rPr>
          <w:rFonts w:ascii="Arial" w:hAnsi="Arial" w:cs="Arial"/>
          <w:szCs w:val="22"/>
        </w:rPr>
        <w:t>Ahora bien, en el 2017 la Subdirección de Gestión Contractual acogió un enfoque sustantivo sobre el carácter obligatorio de los actos expedidos por la entidad, enfoque que es el que se mantiene en el presento concepto. Esto quiere decir que con</w:t>
      </w:r>
      <w:r w:rsidRPr="0095632F">
        <w:rPr>
          <w:rFonts w:ascii="Arial" w:hAnsi="Arial" w:cs="Arial"/>
          <w:spacing w:val="1"/>
          <w:szCs w:val="22"/>
        </w:rPr>
        <w:t xml:space="preserve"> </w:t>
      </w:r>
      <w:r w:rsidRPr="0095632F">
        <w:rPr>
          <w:rFonts w:ascii="Arial" w:hAnsi="Arial" w:cs="Arial"/>
          <w:szCs w:val="22"/>
        </w:rPr>
        <w:t>independencia de la forma que adopte la directriz, su carácter obligatorio o no está determinado por la existencia de una competencia legal o reglamentaria para regular el asunto en concreto.</w:t>
      </w:r>
    </w:p>
    <w:p w14:paraId="4E09668C" w14:textId="38AF4DE5" w:rsidR="00205216" w:rsidRPr="0095632F" w:rsidRDefault="00205216" w:rsidP="0095632F">
      <w:pPr>
        <w:pStyle w:val="Textoindependiente"/>
        <w:ind w:right="42" w:firstLine="708"/>
        <w:jc w:val="both"/>
        <w:rPr>
          <w:rFonts w:ascii="Arial" w:hAnsi="Arial" w:cs="Arial"/>
          <w:szCs w:val="22"/>
        </w:rPr>
      </w:pPr>
      <w:r w:rsidRPr="0095632F">
        <w:rPr>
          <w:rFonts w:ascii="Arial" w:hAnsi="Arial" w:cs="Arial"/>
          <w:szCs w:val="22"/>
        </w:rPr>
        <w:lastRenderedPageBreak/>
        <w:t xml:space="preserve">En otras palabras, lo que define la obligatoriedad de determinado acto que expida la entidad no es que se adopte mediante Circular Externa, sino que el contenido sea de aquellos cuya regulación ha sido encargada por el legislador o el </w:t>
      </w:r>
      <w:proofErr w:type="gramStart"/>
      <w:r w:rsidRPr="0095632F">
        <w:rPr>
          <w:rFonts w:ascii="Arial" w:hAnsi="Arial" w:cs="Arial"/>
          <w:szCs w:val="22"/>
        </w:rPr>
        <w:t>Presidente</w:t>
      </w:r>
      <w:proofErr w:type="gramEnd"/>
      <w:r w:rsidRPr="0095632F">
        <w:rPr>
          <w:rFonts w:ascii="Arial" w:hAnsi="Arial" w:cs="Arial"/>
          <w:szCs w:val="22"/>
        </w:rPr>
        <w:t xml:space="preserve"> de la República a la Agencia Nacional de Contratación Pública. La anterior postura hace referencia y se fundamenta en </w:t>
      </w:r>
      <w:r w:rsidR="00AA630E" w:rsidRPr="0095632F">
        <w:rPr>
          <w:rFonts w:ascii="Arial" w:hAnsi="Arial" w:cs="Arial"/>
          <w:szCs w:val="22"/>
        </w:rPr>
        <w:t xml:space="preserve">la competencia, como </w:t>
      </w:r>
      <w:r w:rsidRPr="0095632F">
        <w:rPr>
          <w:rFonts w:ascii="Arial" w:hAnsi="Arial" w:cs="Arial"/>
          <w:szCs w:val="22"/>
        </w:rPr>
        <w:t>uno de los elementos de los actos administrativos.</w:t>
      </w:r>
    </w:p>
    <w:p w14:paraId="59AFE40C" w14:textId="77777777" w:rsidR="00205216" w:rsidRPr="0095632F" w:rsidRDefault="00205216" w:rsidP="0095632F">
      <w:pPr>
        <w:pStyle w:val="Textoindependiente"/>
        <w:ind w:right="42" w:firstLine="708"/>
        <w:jc w:val="both"/>
        <w:rPr>
          <w:rFonts w:ascii="Arial" w:hAnsi="Arial" w:cs="Arial"/>
          <w:szCs w:val="22"/>
        </w:rPr>
      </w:pPr>
      <w:r w:rsidRPr="0095632F">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4BCC7C5F" w14:textId="77777777" w:rsidR="00205216" w:rsidRPr="0095632F" w:rsidRDefault="00205216" w:rsidP="0095632F">
      <w:pPr>
        <w:pStyle w:val="Textoindependiente"/>
        <w:spacing w:after="0"/>
        <w:ind w:right="42" w:firstLine="708"/>
        <w:jc w:val="both"/>
        <w:rPr>
          <w:rFonts w:ascii="Arial" w:hAnsi="Arial" w:cs="Arial"/>
          <w:szCs w:val="22"/>
        </w:rPr>
      </w:pPr>
      <w:r w:rsidRPr="0095632F">
        <w:rPr>
          <w:rFonts w:ascii="Arial" w:hAnsi="Arial" w:cs="Arial"/>
          <w:szCs w:val="22"/>
        </w:rPr>
        <w:t>Los llamados elementos del acto administrativo son: la competencia, objeto, forma, causa y finalidad, por lo que reunidos forman un acto administrativo. En relación con lo anterior, el Consejo de Estado ha manifestado:</w:t>
      </w:r>
    </w:p>
    <w:p w14:paraId="7ECC2472" w14:textId="77777777" w:rsidR="00205216" w:rsidRPr="0095632F" w:rsidRDefault="00205216" w:rsidP="0095632F">
      <w:pPr>
        <w:pStyle w:val="Textoindependiente"/>
        <w:spacing w:after="0"/>
        <w:ind w:right="42" w:firstLine="708"/>
        <w:jc w:val="both"/>
        <w:rPr>
          <w:rFonts w:ascii="Arial" w:hAnsi="Arial" w:cs="Arial"/>
          <w:szCs w:val="22"/>
        </w:rPr>
      </w:pPr>
    </w:p>
    <w:p w14:paraId="789F24BE" w14:textId="77777777" w:rsidR="00205216" w:rsidRPr="0095632F" w:rsidRDefault="00205216" w:rsidP="0095632F">
      <w:pPr>
        <w:pStyle w:val="Textoindependiente"/>
        <w:spacing w:after="0" w:line="240" w:lineRule="auto"/>
        <w:ind w:left="709" w:right="709"/>
        <w:jc w:val="both"/>
        <w:rPr>
          <w:rFonts w:ascii="Arial" w:hAnsi="Arial" w:cs="Arial"/>
          <w:sz w:val="21"/>
          <w:szCs w:val="21"/>
        </w:rPr>
      </w:pPr>
      <w:r w:rsidRPr="0095632F">
        <w:rPr>
          <w:rFonts w:ascii="Arial" w:hAnsi="Arial" w:cs="Arial"/>
          <w:sz w:val="21"/>
          <w:szCs w:val="21"/>
        </w:rPr>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w:t>
      </w:r>
      <w:proofErr w:type="spellStart"/>
      <w:r w:rsidRPr="0095632F">
        <w:rPr>
          <w:rFonts w:ascii="Arial" w:hAnsi="Arial" w:cs="Arial"/>
          <w:sz w:val="21"/>
          <w:szCs w:val="21"/>
        </w:rPr>
        <w:t>ii</w:t>
      </w:r>
      <w:proofErr w:type="spellEnd"/>
      <w:r w:rsidRPr="0095632F">
        <w:rPr>
          <w:rFonts w:ascii="Arial" w:hAnsi="Arial" w:cs="Arial"/>
          <w:sz w:val="21"/>
          <w:szCs w:val="21"/>
        </w:rPr>
        <w:t xml:space="preserve">) el objeto o contenido del acto que determina la situación jurídica que se va a afectar con este, que en todo caso debe ser lícito, posible y existente, </w:t>
      </w:r>
      <w:proofErr w:type="spellStart"/>
      <w:r w:rsidRPr="0095632F">
        <w:rPr>
          <w:rFonts w:ascii="Arial" w:hAnsi="Arial" w:cs="Arial"/>
          <w:sz w:val="21"/>
          <w:szCs w:val="21"/>
        </w:rPr>
        <w:t>iii</w:t>
      </w:r>
      <w:proofErr w:type="spellEnd"/>
      <w:r w:rsidRPr="0095632F">
        <w:rPr>
          <w:rFonts w:ascii="Arial" w:hAnsi="Arial" w:cs="Arial"/>
          <w:sz w:val="21"/>
          <w:szCs w:val="21"/>
        </w:rPr>
        <w:t xml:space="preserve">) los motivos o razón de hecho o de derecho determinantes que impulsaron la emisión del acto, </w:t>
      </w:r>
      <w:proofErr w:type="spellStart"/>
      <w:r w:rsidRPr="0095632F">
        <w:rPr>
          <w:rFonts w:ascii="Arial" w:hAnsi="Arial" w:cs="Arial"/>
          <w:sz w:val="21"/>
          <w:szCs w:val="21"/>
        </w:rPr>
        <w:t>iv</w:t>
      </w:r>
      <w:proofErr w:type="spellEnd"/>
      <w:r w:rsidRPr="0095632F">
        <w:rPr>
          <w:rFonts w:ascii="Arial" w:hAnsi="Arial" w:cs="Arial"/>
          <w:sz w:val="21"/>
          <w:szCs w:val="21"/>
        </w:rPr>
        <w:t>)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 expedición</w:t>
      </w:r>
      <w:r w:rsidRPr="0095632F">
        <w:rPr>
          <w:rStyle w:val="Refdenotaalpie"/>
          <w:rFonts w:ascii="Arial" w:hAnsi="Arial" w:cs="Arial"/>
          <w:sz w:val="21"/>
          <w:szCs w:val="21"/>
        </w:rPr>
        <w:footnoteReference w:id="3"/>
      </w:r>
      <w:r w:rsidRPr="0095632F">
        <w:rPr>
          <w:rFonts w:ascii="Arial" w:hAnsi="Arial" w:cs="Arial"/>
          <w:sz w:val="21"/>
          <w:szCs w:val="21"/>
        </w:rPr>
        <w:t>.</w:t>
      </w:r>
    </w:p>
    <w:p w14:paraId="0C518CA1" w14:textId="77777777" w:rsidR="00205216" w:rsidRPr="0095632F" w:rsidRDefault="00205216" w:rsidP="0095632F">
      <w:pPr>
        <w:pStyle w:val="Textoindependiente"/>
        <w:spacing w:after="0"/>
        <w:ind w:left="709" w:right="709"/>
        <w:jc w:val="both"/>
        <w:rPr>
          <w:rFonts w:ascii="Arial" w:hAnsi="Arial" w:cs="Arial"/>
          <w:szCs w:val="22"/>
        </w:rPr>
      </w:pPr>
    </w:p>
    <w:p w14:paraId="2F8CBCDA" w14:textId="77777777" w:rsidR="00205216" w:rsidRPr="0095632F" w:rsidRDefault="00205216" w:rsidP="0095632F">
      <w:pPr>
        <w:pStyle w:val="Textoindependiente"/>
        <w:ind w:right="77" w:firstLine="708"/>
        <w:jc w:val="both"/>
        <w:rPr>
          <w:rFonts w:ascii="Arial" w:hAnsi="Arial" w:cs="Arial"/>
        </w:rPr>
      </w:pPr>
      <w:r w:rsidRPr="0095632F">
        <w:rPr>
          <w:rFonts w:ascii="Arial" w:hAnsi="Arial" w:cs="Arial"/>
        </w:rPr>
        <w:t xml:space="preserve">Al lado del concepto de validez de los actos administrativos se encuentra el de su eficacia, que se refiere no a los elementos que componen el acto sino a la producción de efectos jurídicos. Así, los requisitos de eficacia buscan dar a conocer el contenido del mismo a los destinatarios de la norma, de forma que les sea oponible, a través de la publicación, la comunicación o notificación, según corresponda. Es por ello que el Código de Procedimiento Administrativo y de lo Contencioso Administrativo determina que los </w:t>
      </w:r>
      <w:r w:rsidRPr="0095632F">
        <w:rPr>
          <w:rFonts w:ascii="Arial" w:hAnsi="Arial" w:cs="Arial"/>
        </w:rPr>
        <w:lastRenderedPageBreak/>
        <w:t>actos administrativos de carácter general no serán obligatorios mientras no hayan sido publicados en el Diario Oficial o en las gacetas territoriales, según el caso</w:t>
      </w:r>
      <w:r w:rsidRPr="0095632F">
        <w:rPr>
          <w:rStyle w:val="Refdenotaalpie"/>
          <w:rFonts w:ascii="Arial" w:hAnsi="Arial" w:cs="Arial"/>
        </w:rPr>
        <w:footnoteReference w:id="4"/>
      </w:r>
      <w:r w:rsidRPr="0095632F">
        <w:rPr>
          <w:rFonts w:ascii="Arial" w:hAnsi="Arial" w:cs="Arial"/>
        </w:rPr>
        <w:t>.</w:t>
      </w:r>
    </w:p>
    <w:p w14:paraId="4535D229" w14:textId="77777777" w:rsidR="00205216" w:rsidRPr="0095632F" w:rsidRDefault="00205216" w:rsidP="0095632F">
      <w:pPr>
        <w:pStyle w:val="Textoindependiente"/>
        <w:ind w:right="77" w:firstLine="708"/>
        <w:jc w:val="both"/>
        <w:rPr>
          <w:rFonts w:ascii="Arial" w:hAnsi="Arial" w:cs="Arial"/>
        </w:rPr>
      </w:pPr>
      <w:r w:rsidRPr="0095632F">
        <w:rPr>
          <w:rFonts w:ascii="Arial" w:hAnsi="Arial" w:cs="Arial"/>
        </w:rPr>
        <w:t>El Consejo de Estado ha puntualizado que «la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del mismo»</w:t>
      </w:r>
      <w:r w:rsidRPr="0095632F">
        <w:rPr>
          <w:rStyle w:val="Refdenotaalpie"/>
          <w:rFonts w:ascii="Arial" w:hAnsi="Arial" w:cs="Arial"/>
        </w:rPr>
        <w:footnoteReference w:id="5"/>
      </w:r>
      <w:r w:rsidRPr="0095632F">
        <w:rPr>
          <w:rFonts w:ascii="Arial" w:hAnsi="Arial" w:cs="Arial"/>
        </w:rPr>
        <w:t>.</w:t>
      </w:r>
    </w:p>
    <w:p w14:paraId="3CCC3601" w14:textId="77777777" w:rsidR="00205216" w:rsidRPr="0095632F" w:rsidRDefault="00205216" w:rsidP="0095632F">
      <w:pPr>
        <w:pStyle w:val="Textoindependiente"/>
        <w:spacing w:after="0"/>
        <w:ind w:right="42" w:firstLine="708"/>
        <w:jc w:val="both"/>
        <w:rPr>
          <w:rFonts w:ascii="Arial" w:hAnsi="Arial" w:cs="Arial"/>
          <w:szCs w:val="22"/>
        </w:rPr>
      </w:pPr>
      <w:r w:rsidRPr="0095632F">
        <w:rPr>
          <w:rFonts w:ascii="Arial" w:hAnsi="Arial" w:cs="Arial"/>
          <w:szCs w:val="22"/>
        </w:rPr>
        <w:t>Este enfoque sustantivo o material en relación con la obligatoriedad de las Circulares, Guías, Manuales o Documentos Tipo corresponde al entendimiento que la jurisprudencia del Consejo de Estado ha tenido al momento de determinar si se está ante un acto de la administración sujeto a control por la jurisdicción contencioso administrativa, esto es, si se está en presencia de un acto administrativo. Al respecto, la Sección Tercera del Consejo de Estado ha señalado:</w:t>
      </w:r>
    </w:p>
    <w:p w14:paraId="0140864E" w14:textId="77777777" w:rsidR="00205216" w:rsidRPr="0095632F" w:rsidRDefault="00205216" w:rsidP="0095632F">
      <w:pPr>
        <w:pStyle w:val="Textoindependiente"/>
        <w:spacing w:after="0"/>
        <w:ind w:right="42" w:firstLine="708"/>
        <w:jc w:val="both"/>
        <w:rPr>
          <w:rFonts w:ascii="Arial" w:hAnsi="Arial" w:cs="Arial"/>
          <w:szCs w:val="22"/>
        </w:rPr>
      </w:pPr>
    </w:p>
    <w:p w14:paraId="236D0BD2" w14:textId="77777777" w:rsidR="00205216" w:rsidRPr="0095632F" w:rsidRDefault="00205216" w:rsidP="0095632F">
      <w:pPr>
        <w:pStyle w:val="Textoindependiente"/>
        <w:spacing w:after="0" w:line="240" w:lineRule="auto"/>
        <w:ind w:left="709" w:right="709"/>
        <w:jc w:val="both"/>
        <w:rPr>
          <w:rFonts w:ascii="Arial" w:hAnsi="Arial" w:cs="Arial"/>
          <w:sz w:val="21"/>
          <w:szCs w:val="21"/>
        </w:rPr>
      </w:pPr>
      <w:r w:rsidRPr="0095632F">
        <w:rPr>
          <w:rFonts w:ascii="Arial" w:hAnsi="Arial" w:cs="Arial"/>
          <w:sz w:val="21"/>
          <w:szCs w:val="21"/>
        </w:rPr>
        <w:t>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propias del poder público, de las que carecen los particulares</w:t>
      </w:r>
      <w:r w:rsidRPr="0095632F">
        <w:rPr>
          <w:rStyle w:val="Refdenotaalpie"/>
          <w:rFonts w:ascii="Arial" w:hAnsi="Arial" w:cs="Arial"/>
          <w:sz w:val="21"/>
          <w:szCs w:val="21"/>
        </w:rPr>
        <w:footnoteReference w:id="6"/>
      </w:r>
      <w:r w:rsidRPr="0095632F">
        <w:rPr>
          <w:rFonts w:ascii="Arial" w:hAnsi="Arial" w:cs="Arial"/>
          <w:sz w:val="21"/>
          <w:szCs w:val="21"/>
        </w:rPr>
        <w:t>.</w:t>
      </w:r>
    </w:p>
    <w:p w14:paraId="296B3495" w14:textId="77777777" w:rsidR="00205216" w:rsidRPr="0095632F" w:rsidRDefault="00205216" w:rsidP="0095632F">
      <w:pPr>
        <w:pStyle w:val="Textoindependiente"/>
        <w:spacing w:after="0"/>
        <w:ind w:left="709" w:right="709"/>
        <w:jc w:val="both"/>
        <w:rPr>
          <w:rFonts w:ascii="Arial" w:hAnsi="Arial" w:cs="Arial"/>
          <w:szCs w:val="22"/>
        </w:rPr>
      </w:pPr>
    </w:p>
    <w:p w14:paraId="10CD0D70" w14:textId="77777777" w:rsidR="00205216" w:rsidRPr="0095632F" w:rsidRDefault="00205216" w:rsidP="0095632F">
      <w:pPr>
        <w:pStyle w:val="Textoindependiente"/>
        <w:spacing w:after="0"/>
        <w:ind w:right="77" w:firstLine="708"/>
        <w:jc w:val="both"/>
        <w:rPr>
          <w:rFonts w:ascii="Arial" w:hAnsi="Arial" w:cs="Arial"/>
          <w:szCs w:val="22"/>
        </w:rPr>
      </w:pPr>
      <w:r w:rsidRPr="0095632F">
        <w:rPr>
          <w:rFonts w:ascii="Arial" w:hAnsi="Arial" w:cs="Arial"/>
          <w:szCs w:val="22"/>
        </w:rPr>
        <w:t>Frente al enfoque material en la definición de un acto administrativo, se ha sostenido lo siguiente:</w:t>
      </w:r>
    </w:p>
    <w:p w14:paraId="25894097" w14:textId="77777777" w:rsidR="00205216" w:rsidRPr="0095632F" w:rsidRDefault="00205216" w:rsidP="0095632F">
      <w:pPr>
        <w:pStyle w:val="Textoindependiente"/>
        <w:spacing w:after="0"/>
        <w:ind w:left="709" w:right="709"/>
        <w:jc w:val="both"/>
        <w:rPr>
          <w:rFonts w:ascii="Arial" w:hAnsi="Arial" w:cs="Arial"/>
          <w:szCs w:val="22"/>
        </w:rPr>
      </w:pPr>
    </w:p>
    <w:p w14:paraId="1D7FBA36" w14:textId="77777777" w:rsidR="00205216" w:rsidRPr="0095632F" w:rsidRDefault="00205216" w:rsidP="0095632F">
      <w:pPr>
        <w:pStyle w:val="Textoindependiente"/>
        <w:spacing w:line="240" w:lineRule="auto"/>
        <w:ind w:left="709" w:right="709"/>
        <w:jc w:val="both"/>
        <w:rPr>
          <w:rFonts w:ascii="Arial" w:hAnsi="Arial" w:cs="Arial"/>
          <w:sz w:val="21"/>
          <w:szCs w:val="21"/>
        </w:rPr>
      </w:pPr>
      <w:r w:rsidRPr="0095632F">
        <w:rPr>
          <w:rFonts w:ascii="Arial" w:hAnsi="Arial" w:cs="Arial"/>
          <w:sz w:val="21"/>
          <w:szCs w:val="21"/>
        </w:rPr>
        <w:lastRenderedPageBreak/>
        <w:t xml:space="preserve">Por otro lado, en relación con la definición de acto administrativo, en el ordenamiento jurídico colombiano se ha adoptado una definición material, es decir, </w:t>
      </w:r>
      <w:r w:rsidRPr="0095632F">
        <w:rPr>
          <w:rFonts w:ascii="Arial" w:hAnsi="Arial" w:cs="Arial"/>
          <w:b/>
          <w:bCs/>
          <w:sz w:val="21"/>
          <w:szCs w:val="21"/>
        </w:rPr>
        <w:t>no es la formalidad lo que le da su carácter sino su contenido.</w:t>
      </w:r>
      <w:r w:rsidRPr="0095632F">
        <w:rPr>
          <w:rFonts w:ascii="Arial" w:hAnsi="Arial" w:cs="Arial"/>
          <w:sz w:val="21"/>
          <w:szCs w:val="21"/>
        </w:rPr>
        <w:t xml:space="preserve"> </w:t>
      </w:r>
    </w:p>
    <w:p w14:paraId="4817612D" w14:textId="77777777" w:rsidR="00205216" w:rsidRPr="0095632F" w:rsidRDefault="00205216" w:rsidP="0095632F">
      <w:pPr>
        <w:pStyle w:val="Textoindependiente"/>
        <w:spacing w:after="0" w:line="240" w:lineRule="auto"/>
        <w:ind w:left="709" w:right="709"/>
        <w:jc w:val="both"/>
        <w:rPr>
          <w:rFonts w:ascii="Arial" w:hAnsi="Arial" w:cs="Arial"/>
          <w:sz w:val="21"/>
          <w:szCs w:val="21"/>
        </w:rPr>
      </w:pPr>
      <w:r w:rsidRPr="0095632F">
        <w:rPr>
          <w:rFonts w:ascii="Arial" w:hAnsi="Arial" w:cs="Arial"/>
          <w:sz w:val="21"/>
          <w:szCs w:val="21"/>
        </w:rPr>
        <w:t xml:space="preserve">En consideración a lo anterior y en auxilio de la doctrina, se encuentra la siguiente definición de acto administrativo, </w:t>
      </w:r>
      <w:proofErr w:type="gramStart"/>
      <w:r w:rsidRPr="0095632F">
        <w:rPr>
          <w:rFonts w:ascii="Arial" w:hAnsi="Arial" w:cs="Arial"/>
          <w:sz w:val="21"/>
          <w:szCs w:val="21"/>
        </w:rPr>
        <w:t>que</w:t>
      </w:r>
      <w:proofErr w:type="gramEnd"/>
      <w:r w:rsidRPr="0095632F">
        <w:rPr>
          <w:rFonts w:ascii="Arial" w:hAnsi="Arial" w:cs="Arial"/>
          <w:sz w:val="21"/>
          <w:szCs w:val="21"/>
        </w:rPr>
        <w:t xml:space="preserve"> 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Pr="0095632F">
        <w:rPr>
          <w:rStyle w:val="Refdenotaalpie"/>
          <w:rFonts w:ascii="Arial" w:hAnsi="Arial" w:cs="Arial"/>
          <w:sz w:val="21"/>
          <w:szCs w:val="21"/>
        </w:rPr>
        <w:footnoteReference w:id="7"/>
      </w:r>
      <w:r w:rsidRPr="0095632F">
        <w:rPr>
          <w:rFonts w:ascii="Arial" w:hAnsi="Arial" w:cs="Arial"/>
          <w:sz w:val="21"/>
          <w:szCs w:val="21"/>
        </w:rPr>
        <w:t xml:space="preserve"> (Negrillas fuera de texto).</w:t>
      </w:r>
    </w:p>
    <w:p w14:paraId="43F7DC58" w14:textId="77777777" w:rsidR="00205216" w:rsidRPr="0095632F" w:rsidRDefault="00205216" w:rsidP="0095632F">
      <w:pPr>
        <w:pStyle w:val="Textoindependiente"/>
        <w:spacing w:after="0"/>
        <w:ind w:left="709" w:right="709"/>
        <w:jc w:val="both"/>
        <w:rPr>
          <w:rFonts w:ascii="Arial" w:hAnsi="Arial" w:cs="Arial"/>
          <w:szCs w:val="22"/>
        </w:rPr>
      </w:pPr>
    </w:p>
    <w:p w14:paraId="16CCE7CD" w14:textId="77777777" w:rsidR="00205216" w:rsidRPr="0095632F" w:rsidRDefault="00205216" w:rsidP="0095632F">
      <w:pPr>
        <w:pStyle w:val="Textoindependiente"/>
        <w:spacing w:after="0"/>
        <w:ind w:right="77" w:firstLine="708"/>
        <w:jc w:val="both"/>
        <w:rPr>
          <w:rFonts w:ascii="Arial" w:hAnsi="Arial" w:cs="Arial"/>
          <w:szCs w:val="22"/>
        </w:rPr>
      </w:pPr>
      <w:r w:rsidRPr="0095632F">
        <w:rPr>
          <w:rFonts w:ascii="Arial" w:hAnsi="Arial" w:cs="Arial"/>
          <w:szCs w:val="22"/>
        </w:rPr>
        <w:t>La Corte Constitucional tiene una comprensión similar del acto administrativo:</w:t>
      </w:r>
    </w:p>
    <w:p w14:paraId="4DE5500E" w14:textId="77777777" w:rsidR="00205216" w:rsidRPr="0095632F" w:rsidRDefault="00205216" w:rsidP="0095632F">
      <w:pPr>
        <w:pStyle w:val="Textoindependiente"/>
        <w:spacing w:after="0"/>
        <w:ind w:right="77" w:firstLine="708"/>
        <w:jc w:val="both"/>
        <w:rPr>
          <w:rFonts w:ascii="Arial" w:hAnsi="Arial" w:cs="Arial"/>
          <w:szCs w:val="22"/>
        </w:rPr>
      </w:pPr>
    </w:p>
    <w:p w14:paraId="713D05D8" w14:textId="77777777" w:rsidR="00205216" w:rsidRPr="0095632F" w:rsidRDefault="00205216" w:rsidP="0095632F">
      <w:pPr>
        <w:pStyle w:val="Textoindependiente"/>
        <w:spacing w:after="0" w:line="240" w:lineRule="auto"/>
        <w:ind w:left="709" w:right="709"/>
        <w:jc w:val="both"/>
        <w:rPr>
          <w:rFonts w:ascii="Arial" w:hAnsi="Arial" w:cs="Arial"/>
          <w:sz w:val="21"/>
          <w:szCs w:val="21"/>
        </w:rPr>
      </w:pPr>
      <w:r w:rsidRPr="0095632F">
        <w:rPr>
          <w:rFonts w:ascii="Arial" w:hAnsi="Arial" w:cs="Arial"/>
          <w:sz w:val="21"/>
          <w:szCs w:val="21"/>
        </w:rPr>
        <w:t>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 administrados</w:t>
      </w:r>
      <w:r w:rsidRPr="0095632F">
        <w:rPr>
          <w:rStyle w:val="Refdenotaalpie"/>
          <w:rFonts w:ascii="Arial" w:hAnsi="Arial" w:cs="Arial"/>
          <w:sz w:val="21"/>
          <w:szCs w:val="21"/>
        </w:rPr>
        <w:footnoteReference w:id="8"/>
      </w:r>
      <w:r w:rsidRPr="0095632F">
        <w:rPr>
          <w:rFonts w:ascii="Arial" w:hAnsi="Arial" w:cs="Arial"/>
          <w:sz w:val="21"/>
          <w:szCs w:val="21"/>
        </w:rPr>
        <w:t>.</w:t>
      </w:r>
    </w:p>
    <w:p w14:paraId="4D162ABA" w14:textId="77777777" w:rsidR="00205216" w:rsidRPr="0095632F" w:rsidRDefault="00205216" w:rsidP="0095632F">
      <w:pPr>
        <w:pStyle w:val="Textoindependiente"/>
        <w:spacing w:after="0"/>
        <w:ind w:left="709" w:right="709"/>
        <w:jc w:val="both"/>
        <w:rPr>
          <w:rFonts w:ascii="Arial" w:hAnsi="Arial" w:cs="Arial"/>
          <w:sz w:val="21"/>
          <w:szCs w:val="21"/>
        </w:rPr>
      </w:pPr>
    </w:p>
    <w:p w14:paraId="6671F3C4" w14:textId="77777777" w:rsidR="00205216" w:rsidRPr="0095632F" w:rsidRDefault="00205216" w:rsidP="0095632F">
      <w:pPr>
        <w:pStyle w:val="Textoindependiente"/>
        <w:spacing w:before="1" w:after="0"/>
        <w:ind w:right="77" w:firstLine="708"/>
        <w:jc w:val="both"/>
        <w:rPr>
          <w:rFonts w:ascii="Arial" w:hAnsi="Arial" w:cs="Arial"/>
          <w:szCs w:val="22"/>
        </w:rPr>
      </w:pPr>
      <w:r w:rsidRPr="0095632F">
        <w:rPr>
          <w:rFonts w:ascii="Arial" w:hAnsi="Arial" w:cs="Arial"/>
          <w:szCs w:val="22"/>
        </w:rPr>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 doctrina:</w:t>
      </w:r>
    </w:p>
    <w:p w14:paraId="3CA18A02" w14:textId="77777777" w:rsidR="00205216" w:rsidRPr="0095632F" w:rsidRDefault="00205216" w:rsidP="0095632F">
      <w:pPr>
        <w:pStyle w:val="Textoindependiente"/>
        <w:spacing w:before="1" w:after="0"/>
        <w:ind w:right="77" w:firstLine="708"/>
        <w:jc w:val="both"/>
        <w:rPr>
          <w:rFonts w:ascii="Arial" w:hAnsi="Arial" w:cs="Arial"/>
          <w:szCs w:val="22"/>
        </w:rPr>
      </w:pPr>
    </w:p>
    <w:p w14:paraId="1C384678" w14:textId="77777777" w:rsidR="00205216" w:rsidRPr="0095632F" w:rsidRDefault="00205216" w:rsidP="0095632F">
      <w:pPr>
        <w:pStyle w:val="Textoindependiente"/>
        <w:spacing w:after="0" w:line="240" w:lineRule="auto"/>
        <w:ind w:left="709" w:right="709"/>
        <w:jc w:val="both"/>
        <w:rPr>
          <w:rFonts w:ascii="Arial" w:hAnsi="Arial" w:cs="Arial"/>
          <w:sz w:val="21"/>
          <w:szCs w:val="21"/>
        </w:rPr>
      </w:pPr>
      <w:r w:rsidRPr="0095632F">
        <w:rPr>
          <w:rFonts w:ascii="Arial" w:hAnsi="Arial" w:cs="Arial"/>
          <w:sz w:val="21"/>
          <w:szCs w:val="21"/>
        </w:rPr>
        <w:t xml:space="preserve">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De aquí que no hagamos énfasis en la nominación particular que adquiera el respectivo acto administrativo. Esto es, que para efectos de nuestro estudio no nos interesa si la manifestación se denomina resolución, decreto, directiva o circular; lo importante es si es creadora de situaciones generales, abstractas e impersonales, caso en el cual le daremos el tratamiento de potestad normativa o reglamentaria. Si, por el contrario, es creadora de situaciones individuales, </w:t>
      </w:r>
      <w:r w:rsidRPr="0095632F">
        <w:rPr>
          <w:rFonts w:ascii="Arial" w:hAnsi="Arial" w:cs="Arial"/>
          <w:sz w:val="21"/>
          <w:szCs w:val="21"/>
        </w:rPr>
        <w:lastRenderedPageBreak/>
        <w:t>para todos los efectos será considerada como un simple acto administrativo individual</w:t>
      </w:r>
      <w:r w:rsidRPr="0095632F">
        <w:rPr>
          <w:rStyle w:val="Refdenotaalpie"/>
          <w:rFonts w:ascii="Arial" w:hAnsi="Arial" w:cs="Arial"/>
          <w:sz w:val="21"/>
          <w:szCs w:val="21"/>
        </w:rPr>
        <w:footnoteReference w:id="9"/>
      </w:r>
      <w:r w:rsidRPr="0095632F">
        <w:rPr>
          <w:rFonts w:ascii="Arial" w:hAnsi="Arial" w:cs="Arial"/>
          <w:sz w:val="21"/>
          <w:szCs w:val="21"/>
        </w:rPr>
        <w:t xml:space="preserve">. </w:t>
      </w:r>
    </w:p>
    <w:p w14:paraId="35F437F8" w14:textId="77777777" w:rsidR="00205216" w:rsidRPr="0095632F" w:rsidRDefault="00205216" w:rsidP="0095632F">
      <w:pPr>
        <w:pStyle w:val="Textoindependiente"/>
        <w:spacing w:after="0"/>
        <w:ind w:left="709" w:right="709"/>
        <w:jc w:val="both"/>
        <w:rPr>
          <w:rFonts w:ascii="Arial" w:hAnsi="Arial" w:cs="Arial"/>
          <w:szCs w:val="22"/>
        </w:rPr>
      </w:pPr>
    </w:p>
    <w:p w14:paraId="7513FEC8" w14:textId="75F367B0" w:rsidR="00205216" w:rsidRPr="0095632F" w:rsidRDefault="00205216" w:rsidP="0095632F">
      <w:pPr>
        <w:pStyle w:val="Textoindependiente"/>
        <w:spacing w:before="1" w:after="0"/>
        <w:ind w:right="77" w:firstLine="708"/>
        <w:jc w:val="both"/>
        <w:rPr>
          <w:rFonts w:ascii="Arial" w:hAnsi="Arial" w:cs="Arial"/>
          <w:szCs w:val="22"/>
        </w:rPr>
      </w:pPr>
      <w:r w:rsidRPr="0095632F">
        <w:rPr>
          <w:rFonts w:ascii="Arial" w:hAnsi="Arial" w:cs="Arial"/>
          <w:szCs w:val="22"/>
        </w:rPr>
        <w:t xml:space="preserve">De lo anterior se desprende que para identificar un acto administrativo es indiferente la forma bajo la cual se adopte –resolución, decreto, directiva, guía o circular–, pues lo determinante es su contenido y su potencial para generar efectos jurídicos. </w:t>
      </w:r>
      <w:r w:rsidRPr="0095632F">
        <w:rPr>
          <w:rFonts w:ascii="Arial" w:hAnsi="Arial" w:cs="Arial"/>
          <w:i/>
          <w:iCs/>
          <w:szCs w:val="22"/>
        </w:rPr>
        <w:t>Mutatis mutandis</w:t>
      </w:r>
      <w:r w:rsidRPr="0095632F">
        <w:rPr>
          <w:rFonts w:ascii="Arial" w:hAnsi="Arial" w:cs="Arial"/>
          <w:szCs w:val="22"/>
        </w:rPr>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r w:rsidRPr="0095632F">
        <w:rPr>
          <w:rStyle w:val="Refdenotaalpie"/>
          <w:rFonts w:ascii="Arial" w:hAnsi="Arial" w:cs="Arial"/>
          <w:szCs w:val="22"/>
        </w:rPr>
        <w:footnoteReference w:id="10"/>
      </w:r>
      <w:r w:rsidRPr="0095632F">
        <w:rPr>
          <w:rFonts w:ascii="Arial" w:hAnsi="Arial" w:cs="Arial"/>
          <w:szCs w:val="22"/>
        </w:rPr>
        <w:t>.</w:t>
      </w:r>
    </w:p>
    <w:p w14:paraId="15DDAEAC" w14:textId="77777777" w:rsidR="00F91B46" w:rsidRPr="0095632F" w:rsidRDefault="00F91B46" w:rsidP="0095632F">
      <w:pPr>
        <w:pStyle w:val="Textoindependiente"/>
        <w:spacing w:before="1" w:after="0"/>
        <w:ind w:right="77" w:firstLine="708"/>
        <w:jc w:val="both"/>
        <w:rPr>
          <w:rFonts w:ascii="Arial" w:hAnsi="Arial" w:cs="Arial"/>
          <w:szCs w:val="22"/>
        </w:rPr>
      </w:pPr>
    </w:p>
    <w:p w14:paraId="01DB3CBE" w14:textId="700D93C2" w:rsidR="00F91B46" w:rsidRPr="0095632F" w:rsidRDefault="00F91B46" w:rsidP="0095632F">
      <w:pPr>
        <w:pStyle w:val="Textoindependiente"/>
        <w:spacing w:before="1" w:after="0"/>
        <w:ind w:right="77"/>
        <w:jc w:val="both"/>
        <w:rPr>
          <w:rFonts w:ascii="Arial" w:hAnsi="Arial" w:cs="Arial"/>
          <w:b/>
          <w:bCs/>
          <w:szCs w:val="22"/>
        </w:rPr>
      </w:pPr>
      <w:r w:rsidRPr="0095632F">
        <w:rPr>
          <w:rFonts w:ascii="Arial" w:hAnsi="Arial" w:cs="Arial"/>
          <w:b/>
          <w:bCs/>
          <w:szCs w:val="22"/>
        </w:rPr>
        <w:t>2.3. Fuerza vinculante de los documentos tipo expedidos con posterioridad a la Leyes 1882 de 2018 y 2022 de 2020</w:t>
      </w:r>
      <w:r w:rsidR="007A06CE" w:rsidRPr="0095632F">
        <w:rPr>
          <w:rFonts w:ascii="Arial" w:hAnsi="Arial" w:cs="Arial"/>
          <w:b/>
          <w:bCs/>
          <w:szCs w:val="22"/>
        </w:rPr>
        <w:t>: minuta de contrato de prestación de servicios como pauta de buena práctica contractual</w:t>
      </w:r>
    </w:p>
    <w:p w14:paraId="0067E3C8" w14:textId="65101F3A" w:rsidR="00F91B46" w:rsidRPr="0095632F" w:rsidRDefault="00F91B46" w:rsidP="0095632F">
      <w:pPr>
        <w:pStyle w:val="Textoindependiente"/>
        <w:spacing w:before="1" w:after="0"/>
        <w:ind w:right="77"/>
        <w:jc w:val="both"/>
        <w:rPr>
          <w:rFonts w:ascii="Arial" w:hAnsi="Arial" w:cs="Arial"/>
          <w:szCs w:val="22"/>
        </w:rPr>
      </w:pPr>
    </w:p>
    <w:p w14:paraId="5D8EBC2D" w14:textId="77777777" w:rsidR="00DD00C3" w:rsidRPr="0095632F" w:rsidRDefault="00F91B46" w:rsidP="0095632F">
      <w:pPr>
        <w:spacing w:after="120" w:line="276" w:lineRule="auto"/>
        <w:jc w:val="both"/>
        <w:rPr>
          <w:rStyle w:val="normaltextrun"/>
          <w:rFonts w:ascii="Arial" w:hAnsi="Arial" w:cs="Arial"/>
          <w:color w:val="000000"/>
          <w:sz w:val="22"/>
          <w:szCs w:val="22"/>
          <w:shd w:val="clear" w:color="auto" w:fill="FFFFFF"/>
        </w:rPr>
      </w:pPr>
      <w:r w:rsidRPr="0095632F">
        <w:rPr>
          <w:rFonts w:ascii="Arial" w:hAnsi="Arial" w:cs="Arial"/>
          <w:sz w:val="22"/>
          <w:szCs w:val="22"/>
        </w:rPr>
        <w:t>De acuerdo con el criterio de competencia analizado en el acápite anterior, corresponde precisar si los documentos tipo expedidos antes y después de la Leyes 1882 de 2018 y 2022 de 2020 tienen la misma fuerza normativa. Al respecto,</w:t>
      </w:r>
      <w:r w:rsidRPr="0095632F">
        <w:rPr>
          <w:rFonts w:ascii="Arial" w:hAnsi="Arial" w:cs="Arial"/>
          <w:szCs w:val="22"/>
        </w:rPr>
        <w:t xml:space="preserve"> </w:t>
      </w:r>
      <w:r w:rsidR="00DD00C3" w:rsidRPr="0095632F">
        <w:rPr>
          <w:rStyle w:val="normaltextrun"/>
          <w:rFonts w:ascii="Arial" w:hAnsi="Arial" w:cs="Arial"/>
          <w:color w:val="000000"/>
          <w:sz w:val="22"/>
          <w:szCs w:val="22"/>
          <w:shd w:val="clear" w:color="auto" w:fill="FFFFFF"/>
        </w:rPr>
        <w:t xml:space="preserve">de acuerdo con el artículo 3.2 del Decreto Ley 4170 de 2011, la Agencia es competente para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Igualmente, conforme al artículo 11.12 </w:t>
      </w:r>
      <w:r w:rsidR="00DD00C3" w:rsidRPr="0095632F">
        <w:rPr>
          <w:rStyle w:val="normaltextrun"/>
          <w:rFonts w:ascii="Arial" w:hAnsi="Arial" w:cs="Arial"/>
          <w:i/>
          <w:iCs/>
          <w:color w:val="000000"/>
          <w:sz w:val="22"/>
          <w:szCs w:val="22"/>
          <w:shd w:val="clear" w:color="auto" w:fill="FFFFFF"/>
        </w:rPr>
        <w:t>ibidem</w:t>
      </w:r>
      <w:r w:rsidR="00DD00C3" w:rsidRPr="0095632F">
        <w:rPr>
          <w:rStyle w:val="normaltextrun"/>
          <w:rFonts w:ascii="Arial" w:hAnsi="Arial" w:cs="Arial"/>
          <w:color w:val="000000"/>
          <w:sz w:val="22"/>
          <w:szCs w:val="22"/>
          <w:shd w:val="clear" w:color="auto" w:fill="FFFFFF"/>
        </w:rPr>
        <w:t xml:space="preserve">, la Subdirección de Gestión Contractual está facultada para «Desarrollar e implementar estándares y documentos tipo para las diferentes etapas de la gestión contractual pública». A nivel </w:t>
      </w:r>
      <w:r w:rsidR="00DD00C3" w:rsidRPr="0095632F">
        <w:rPr>
          <w:rStyle w:val="normaltextrun"/>
          <w:rFonts w:ascii="Arial" w:hAnsi="Arial" w:cs="Arial"/>
          <w:color w:val="000000"/>
          <w:sz w:val="22"/>
          <w:szCs w:val="22"/>
          <w:shd w:val="clear" w:color="auto" w:fill="FFFFFF"/>
        </w:rPr>
        <w:lastRenderedPageBreak/>
        <w:t xml:space="preserve">reglamentario, estas competencias se concretaron en </w:t>
      </w:r>
      <w:bookmarkStart w:id="5" w:name="_Hlk96269657"/>
      <w:r w:rsidR="00DD00C3" w:rsidRPr="0095632F">
        <w:rPr>
          <w:rStyle w:val="normaltextrun"/>
          <w:rFonts w:ascii="Arial" w:hAnsi="Arial" w:cs="Arial"/>
          <w:color w:val="000000"/>
          <w:sz w:val="22"/>
          <w:szCs w:val="22"/>
          <w:shd w:val="clear" w:color="auto" w:fill="FFFFFF"/>
        </w:rPr>
        <w:t>los numerales 3 y 4 del artículo 2.2.1.2.5.2 del Decreto 1082 de 2015</w:t>
      </w:r>
      <w:bookmarkEnd w:id="5"/>
      <w:r w:rsidR="00DD00C3" w:rsidRPr="0095632F">
        <w:rPr>
          <w:rStyle w:val="normaltextrun"/>
          <w:rFonts w:ascii="Arial" w:hAnsi="Arial" w:cs="Arial"/>
          <w:color w:val="000000"/>
          <w:sz w:val="22"/>
          <w:szCs w:val="22"/>
          <w:shd w:val="clear" w:color="auto" w:fill="FFFFFF"/>
        </w:rPr>
        <w:t>, los cuales facultaron a la Agencia para adoptar «Pliegos de condiciones tipo para la contratación» y «Minutas tipo de contratos».</w:t>
      </w:r>
    </w:p>
    <w:p w14:paraId="77181A9C" w14:textId="38C612CA" w:rsidR="00DD00C3" w:rsidRPr="0095632F" w:rsidRDefault="00DD00C3" w:rsidP="0095632F">
      <w:pPr>
        <w:spacing w:line="276" w:lineRule="auto"/>
        <w:jc w:val="both"/>
        <w:rPr>
          <w:rStyle w:val="normaltextrun"/>
          <w:rFonts w:ascii="Arial" w:hAnsi="Arial" w:cs="Arial"/>
          <w:color w:val="000000"/>
          <w:sz w:val="22"/>
          <w:szCs w:val="22"/>
          <w:shd w:val="clear" w:color="auto" w:fill="FFFFFF"/>
        </w:rPr>
      </w:pPr>
      <w:r w:rsidRPr="0095632F">
        <w:rPr>
          <w:rStyle w:val="normaltextrun"/>
          <w:rFonts w:ascii="Arial" w:hAnsi="Arial" w:cs="Arial"/>
          <w:color w:val="000000"/>
          <w:sz w:val="22"/>
          <w:szCs w:val="22"/>
          <w:shd w:val="clear" w:color="auto" w:fill="FFFFFF"/>
        </w:rPr>
        <w:tab/>
        <w:t xml:space="preserve">No obstante, </w:t>
      </w:r>
      <w:r w:rsidR="007A06CE" w:rsidRPr="0095632F">
        <w:rPr>
          <w:rStyle w:val="normaltextrun"/>
          <w:rFonts w:ascii="Arial" w:hAnsi="Arial" w:cs="Arial"/>
          <w:color w:val="000000"/>
          <w:sz w:val="22"/>
          <w:szCs w:val="22"/>
          <w:shd w:val="clear" w:color="auto" w:fill="FFFFFF"/>
        </w:rPr>
        <w:t xml:space="preserve">es importante tener en cuenta que </w:t>
      </w:r>
      <w:r w:rsidRPr="0095632F">
        <w:rPr>
          <w:rStyle w:val="normaltextrun"/>
          <w:rFonts w:ascii="Arial" w:hAnsi="Arial" w:cs="Arial"/>
          <w:color w:val="000000"/>
          <w:sz w:val="22"/>
          <w:szCs w:val="22"/>
          <w:shd w:val="clear" w:color="auto" w:fill="FFFFFF"/>
        </w:rPr>
        <w:t xml:space="preserve">la Sentencia </w:t>
      </w:r>
      <w:r w:rsidR="00E50045" w:rsidRPr="0095632F">
        <w:rPr>
          <w:rStyle w:val="normaltextrun"/>
          <w:rFonts w:ascii="Arial" w:hAnsi="Arial" w:cs="Arial"/>
          <w:color w:val="000000"/>
          <w:sz w:val="22"/>
          <w:szCs w:val="22"/>
          <w:shd w:val="clear" w:color="auto" w:fill="FFFFFF"/>
        </w:rPr>
        <w:t xml:space="preserve">del 11 de abril de 2019 </w:t>
      </w:r>
      <w:r w:rsidRPr="0095632F">
        <w:rPr>
          <w:rStyle w:val="normaltextrun"/>
          <w:rFonts w:ascii="Arial" w:hAnsi="Arial" w:cs="Arial"/>
          <w:color w:val="000000"/>
          <w:sz w:val="22"/>
          <w:szCs w:val="22"/>
          <w:shd w:val="clear" w:color="auto" w:fill="FFFFFF"/>
        </w:rPr>
        <w:t xml:space="preserve">de la Sección Tercera, Subsección A, del Consejo de Estado negó el carácter vinculante </w:t>
      </w:r>
      <w:r w:rsidR="0095318D" w:rsidRPr="0095632F">
        <w:rPr>
          <w:rFonts w:ascii="Arial" w:hAnsi="Arial" w:cs="Arial"/>
          <w:color w:val="000000"/>
          <w:sz w:val="22"/>
          <w:szCs w:val="22"/>
          <w:shd w:val="clear" w:color="auto" w:fill="FFFFFF"/>
        </w:rPr>
        <w:t>de los documentos tipo expedidos con anterioridad a la vigencia de la Leyes 1882 de 2018 y 2022 de 2020</w:t>
      </w:r>
      <w:r w:rsidRPr="0095632F">
        <w:rPr>
          <w:rStyle w:val="normaltextrun"/>
          <w:rFonts w:ascii="Arial" w:hAnsi="Arial" w:cs="Arial"/>
          <w:color w:val="000000"/>
          <w:sz w:val="22"/>
          <w:szCs w:val="22"/>
          <w:shd w:val="clear" w:color="auto" w:fill="FFFFFF"/>
        </w:rPr>
        <w:t>. Esta decisión no solo declaró la nulidad de los citados numerales 3 y 4 del artículo 2.2.1.2.5.2 del Decreto 1082 de 2015, sino que interpretó el alcance de las competencias reguladas en los artículos 3.2 y 11.12 del Decreto Ley 4170 de 2011. En relación con los pliegos de condiciones, la jurisprudencia mencionada señaló:</w:t>
      </w:r>
    </w:p>
    <w:p w14:paraId="72C1C2FD" w14:textId="77777777" w:rsidR="00DD00C3" w:rsidRPr="0095632F" w:rsidRDefault="00DD00C3" w:rsidP="0095632F">
      <w:pPr>
        <w:spacing w:line="276" w:lineRule="auto"/>
        <w:jc w:val="both"/>
        <w:rPr>
          <w:rStyle w:val="normaltextrun"/>
          <w:rFonts w:ascii="Arial" w:hAnsi="Arial" w:cs="Arial"/>
          <w:color w:val="000000"/>
          <w:sz w:val="22"/>
          <w:szCs w:val="22"/>
          <w:shd w:val="clear" w:color="auto" w:fill="FFFFFF"/>
        </w:rPr>
      </w:pPr>
    </w:p>
    <w:p w14:paraId="0E62488B" w14:textId="77777777" w:rsidR="00DD00C3" w:rsidRPr="0095632F" w:rsidRDefault="00DD00C3" w:rsidP="0095632F">
      <w:pPr>
        <w:spacing w:after="120"/>
        <w:ind w:left="709" w:right="709"/>
        <w:jc w:val="both"/>
        <w:rPr>
          <w:rStyle w:val="normaltextrun"/>
          <w:rFonts w:ascii="Arial" w:hAnsi="Arial" w:cs="Arial"/>
          <w:color w:val="000000"/>
          <w:sz w:val="21"/>
          <w:szCs w:val="21"/>
          <w:shd w:val="clear" w:color="auto" w:fill="FFFFFF"/>
        </w:rPr>
      </w:pPr>
      <w:r w:rsidRPr="0095632F">
        <w:rPr>
          <w:rStyle w:val="normaltextrun"/>
          <w:rFonts w:ascii="Arial" w:hAnsi="Arial" w:cs="Arial"/>
          <w:color w:val="000000"/>
          <w:sz w:val="21"/>
          <w:szCs w:val="21"/>
          <w:shd w:val="clear" w:color="auto" w:fill="FFFFFF"/>
        </w:rPr>
        <w:t xml:space="preserve">[…] las funciones otorgadas a Colombia Compra Eficiente, no pueden asimilarse a aquella de que trata [el artículo 2, parágrafo 3, de la Ley 1150 de 2007], pues es evidente que mientras en esta se confiere el gobierno nacional la facultad de fijar, con fuerza vinculante, “las condiciones generales de los pliegos de condiciones y los contratos de las entidades estatales” para la adquisición de bienes y servicios de características técnicas uniformes y de común utilización, en la función otorgada a la Agencia, objeto de impugnación en el </w:t>
      </w:r>
      <w:r w:rsidRPr="0095632F">
        <w:rPr>
          <w:rStyle w:val="normaltextrun"/>
          <w:rFonts w:ascii="Arial" w:hAnsi="Arial" w:cs="Arial"/>
          <w:i/>
          <w:iCs/>
          <w:color w:val="000000"/>
          <w:sz w:val="21"/>
          <w:szCs w:val="21"/>
          <w:shd w:val="clear" w:color="auto" w:fill="FFFFFF"/>
        </w:rPr>
        <w:t>sub examine</w:t>
      </w:r>
      <w:r w:rsidRPr="0095632F">
        <w:rPr>
          <w:rStyle w:val="normaltextrun"/>
          <w:rFonts w:ascii="Arial" w:hAnsi="Arial" w:cs="Arial"/>
          <w:color w:val="000000"/>
          <w:sz w:val="21"/>
          <w:szCs w:val="21"/>
          <w:shd w:val="clear" w:color="auto" w:fill="FFFFFF"/>
        </w:rPr>
        <w:t>, se le permite diseñar e implementar pliegos tipo para la contratación, sin que ello comporte una facultad normativa desde el punto de vista reglamentario, tal como se indicó anteriormente en punto de la elaboración de contratos tipo.</w:t>
      </w:r>
    </w:p>
    <w:p w14:paraId="6B85ADDF" w14:textId="77777777" w:rsidR="00DD00C3" w:rsidRPr="0095632F" w:rsidRDefault="00DD00C3" w:rsidP="0095632F">
      <w:pPr>
        <w:spacing w:after="120"/>
        <w:ind w:left="709" w:right="709"/>
        <w:jc w:val="both"/>
        <w:rPr>
          <w:rStyle w:val="normaltextrun"/>
          <w:rFonts w:ascii="Arial" w:hAnsi="Arial" w:cs="Arial"/>
          <w:color w:val="000000"/>
          <w:sz w:val="21"/>
          <w:szCs w:val="21"/>
          <w:shd w:val="clear" w:color="auto" w:fill="FFFFFF"/>
        </w:rPr>
      </w:pPr>
      <w:r w:rsidRPr="0095632F">
        <w:rPr>
          <w:rStyle w:val="normaltextrun"/>
          <w:rFonts w:ascii="Arial" w:hAnsi="Arial" w:cs="Arial"/>
          <w:color w:val="000000"/>
          <w:sz w:val="21"/>
          <w:szCs w:val="21"/>
          <w:shd w:val="clear" w:color="auto" w:fill="FFFFFF"/>
        </w:rPr>
        <w:t xml:space="preserve">No puede compartir la Sala, como consecuencia, el argumento de la coadyuvante, en el sentido de que el Decreto-Ley 4170 de 2011 y su reglamentario 1510 de 2013 ampliaron las facultades otorgadas para efectos de estandarización del pliego de condiciones, pues, como se acaba de señalar, se trata de facultades con sujetos y alcances diferentes. </w:t>
      </w:r>
    </w:p>
    <w:p w14:paraId="026C38C1" w14:textId="77777777" w:rsidR="00DD00C3" w:rsidRPr="0095632F" w:rsidRDefault="00DD00C3" w:rsidP="0095632F">
      <w:pPr>
        <w:ind w:left="709" w:right="709"/>
        <w:jc w:val="both"/>
        <w:rPr>
          <w:rStyle w:val="normaltextrun"/>
          <w:rFonts w:ascii="Arial" w:hAnsi="Arial" w:cs="Arial"/>
          <w:color w:val="000000"/>
          <w:sz w:val="21"/>
          <w:szCs w:val="21"/>
          <w:shd w:val="clear" w:color="auto" w:fill="FFFFFF"/>
        </w:rPr>
      </w:pPr>
      <w:r w:rsidRPr="0095632F">
        <w:rPr>
          <w:rStyle w:val="normaltextrun"/>
          <w:rFonts w:ascii="Arial" w:hAnsi="Arial" w:cs="Arial"/>
          <w:color w:val="000000"/>
          <w:sz w:val="21"/>
          <w:szCs w:val="21"/>
          <w:shd w:val="clear" w:color="auto" w:fill="FFFFFF"/>
        </w:rPr>
        <w:t>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w:t>
      </w:r>
      <w:r w:rsidRPr="0095632F">
        <w:rPr>
          <w:rStyle w:val="Refdenotaalpie"/>
          <w:rFonts w:ascii="Arial" w:hAnsi="Arial" w:cs="Arial"/>
          <w:color w:val="000000"/>
          <w:sz w:val="21"/>
          <w:szCs w:val="21"/>
          <w:shd w:val="clear" w:color="auto" w:fill="FFFFFF"/>
        </w:rPr>
        <w:footnoteReference w:id="11"/>
      </w:r>
      <w:r w:rsidRPr="0095632F">
        <w:rPr>
          <w:rStyle w:val="normaltextrun"/>
          <w:rFonts w:ascii="Arial" w:hAnsi="Arial" w:cs="Arial"/>
          <w:color w:val="000000"/>
          <w:sz w:val="21"/>
          <w:szCs w:val="21"/>
          <w:shd w:val="clear" w:color="auto" w:fill="FFFFFF"/>
        </w:rPr>
        <w:t>. (Corchetes fuera de texto)</w:t>
      </w:r>
    </w:p>
    <w:p w14:paraId="0CC9F798" w14:textId="77777777" w:rsidR="00DD00C3" w:rsidRPr="0095632F" w:rsidRDefault="00DD00C3" w:rsidP="0095632F">
      <w:pPr>
        <w:spacing w:line="276" w:lineRule="auto"/>
        <w:ind w:left="709" w:right="709"/>
        <w:jc w:val="both"/>
        <w:rPr>
          <w:rStyle w:val="normaltextrun"/>
          <w:rFonts w:ascii="Arial" w:hAnsi="Arial" w:cs="Arial"/>
          <w:color w:val="000000"/>
          <w:sz w:val="22"/>
          <w:szCs w:val="22"/>
          <w:shd w:val="clear" w:color="auto" w:fill="FFFFFF"/>
        </w:rPr>
      </w:pPr>
    </w:p>
    <w:p w14:paraId="75ED81C2" w14:textId="14C2D3F2" w:rsidR="00823FB3" w:rsidRPr="0095632F" w:rsidRDefault="00DD00C3" w:rsidP="0095632F">
      <w:pPr>
        <w:spacing w:after="120" w:line="276" w:lineRule="auto"/>
        <w:jc w:val="both"/>
        <w:rPr>
          <w:rFonts w:ascii="Arial" w:eastAsia="Calibri" w:hAnsi="Arial" w:cs="Arial"/>
          <w:sz w:val="22"/>
          <w:szCs w:val="22"/>
          <w:lang w:val="es-ES_tradnl"/>
        </w:rPr>
      </w:pPr>
      <w:r w:rsidRPr="0095632F">
        <w:rPr>
          <w:rStyle w:val="normaltextrun"/>
          <w:rFonts w:ascii="Arial" w:hAnsi="Arial" w:cs="Arial"/>
          <w:color w:val="000000"/>
          <w:sz w:val="22"/>
          <w:szCs w:val="22"/>
          <w:shd w:val="clear" w:color="auto" w:fill="FFFFFF"/>
        </w:rPr>
        <w:tab/>
      </w:r>
      <w:bookmarkStart w:id="6" w:name="_Hlk96272197"/>
      <w:r w:rsidRPr="0095632F">
        <w:rPr>
          <w:rStyle w:val="normaltextrun"/>
          <w:rFonts w:ascii="Arial" w:hAnsi="Arial" w:cs="Arial"/>
          <w:color w:val="000000"/>
          <w:sz w:val="22"/>
          <w:szCs w:val="22"/>
          <w:shd w:val="clear" w:color="auto" w:fill="FFFFFF"/>
        </w:rPr>
        <w:t>Con la declaratoria de nulidad de los numerales 3 y 4 del artículo 2.2.1.2.5.2 del Decreto 1082 de 2015, los únicos documentos tipo vinculantes son los implementados bajo la competencia del artículo 2, parágrafo 7, de la Ley 1150 de 2007, el cual fue adicionado por el artículo 4 de la Ley 1882 de 2018 y modificado por el artículo 1 de la Ley 2022 de 2020</w:t>
      </w:r>
      <w:bookmarkEnd w:id="6"/>
      <w:r w:rsidRPr="0095632F">
        <w:rPr>
          <w:rStyle w:val="Refdenotaalpie"/>
          <w:rFonts w:ascii="Arial" w:hAnsi="Arial" w:cs="Arial"/>
          <w:color w:val="000000"/>
          <w:sz w:val="22"/>
          <w:szCs w:val="22"/>
          <w:shd w:val="clear" w:color="auto" w:fill="FFFFFF"/>
        </w:rPr>
        <w:footnoteReference w:id="12"/>
      </w:r>
      <w:r w:rsidRPr="0095632F">
        <w:rPr>
          <w:rStyle w:val="normaltextrun"/>
          <w:rFonts w:ascii="Arial" w:hAnsi="Arial" w:cs="Arial"/>
          <w:color w:val="000000"/>
          <w:sz w:val="22"/>
          <w:szCs w:val="22"/>
          <w:shd w:val="clear" w:color="auto" w:fill="FFFFFF"/>
        </w:rPr>
        <w:t xml:space="preserve">. </w:t>
      </w:r>
      <w:r w:rsidR="004933DA" w:rsidRPr="0095632F">
        <w:rPr>
          <w:rStyle w:val="normaltextrun"/>
          <w:rFonts w:ascii="Arial" w:hAnsi="Arial" w:cs="Arial"/>
          <w:color w:val="000000"/>
          <w:sz w:val="22"/>
          <w:szCs w:val="22"/>
          <w:shd w:val="clear" w:color="auto" w:fill="FFFFFF"/>
        </w:rPr>
        <w:t xml:space="preserve">En efecto, </w:t>
      </w:r>
      <w:r w:rsidR="004933DA" w:rsidRPr="0095632F">
        <w:rPr>
          <w:rFonts w:ascii="Arial" w:eastAsia="Calibri" w:hAnsi="Arial" w:cs="Arial"/>
          <w:sz w:val="22"/>
          <w:szCs w:val="22"/>
          <w:lang w:val="es-ES_tradnl"/>
        </w:rPr>
        <w:t>dada la relevancia económica y el impacto que tienen en el nivel territorial los proyectos de obra en el sector transporte, el gobierno nacional, en vigencia del artículo 4 de la Ley 1882 de 2018, inició la implementación gradual de documentos tipo mediante el Decreto 342 del 5 de marzo de 2019, relacionado</w:t>
      </w:r>
      <w:r w:rsidR="00CE4841" w:rsidRPr="0095632F">
        <w:rPr>
          <w:rFonts w:ascii="Arial" w:eastAsia="Calibri" w:hAnsi="Arial" w:cs="Arial"/>
          <w:sz w:val="22"/>
          <w:szCs w:val="22"/>
          <w:lang w:val="es-ES_tradnl"/>
        </w:rPr>
        <w:t>s</w:t>
      </w:r>
      <w:r w:rsidR="004933DA" w:rsidRPr="0095632F">
        <w:rPr>
          <w:rFonts w:ascii="Arial" w:eastAsia="Calibri" w:hAnsi="Arial" w:cs="Arial"/>
          <w:sz w:val="22"/>
          <w:szCs w:val="22"/>
          <w:lang w:val="es-ES_tradnl"/>
        </w:rPr>
        <w:t xml:space="preserve"> con los procesos de selección de licitación de obra pública de infraestructura de transporte. </w:t>
      </w:r>
    </w:p>
    <w:p w14:paraId="03894FD4" w14:textId="787152A0" w:rsidR="004933DA" w:rsidRPr="0095632F" w:rsidRDefault="004933DA" w:rsidP="0095632F">
      <w:pPr>
        <w:spacing w:after="120" w:line="276" w:lineRule="auto"/>
        <w:ind w:firstLine="708"/>
        <w:jc w:val="both"/>
        <w:rPr>
          <w:rFonts w:ascii="Arial" w:hAnsi="Arial" w:cs="Arial"/>
          <w:color w:val="000000"/>
          <w:sz w:val="22"/>
          <w:szCs w:val="22"/>
          <w:shd w:val="clear" w:color="auto" w:fill="FFFFFF"/>
        </w:rPr>
      </w:pPr>
      <w:r w:rsidRPr="0095632F">
        <w:rPr>
          <w:rFonts w:ascii="Arial" w:eastAsia="Calibri" w:hAnsi="Arial" w:cs="Arial"/>
          <w:sz w:val="22"/>
          <w:szCs w:val="22"/>
          <w:lang w:val="es-ES_tradnl"/>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95632F" w:rsidDel="00A434AB">
        <w:rPr>
          <w:rFonts w:ascii="Arial" w:eastAsia="Calibri" w:hAnsi="Arial" w:cs="Arial"/>
          <w:sz w:val="22"/>
          <w:szCs w:val="22"/>
          <w:lang w:val="es-ES_tradnl"/>
        </w:rPr>
        <w:t xml:space="preserve"> </w:t>
      </w:r>
      <w:r w:rsidRPr="0095632F">
        <w:rPr>
          <w:rFonts w:ascii="Arial" w:eastAsia="Calibri" w:hAnsi="Arial" w:cs="Arial"/>
          <w:sz w:val="22"/>
          <w:szCs w:val="22"/>
          <w:lang w:val="es-ES_tradnl"/>
        </w:rPr>
        <w:t xml:space="preserve">de infraestructura de transporte que se surtieran por la modalidad de mínima cuantía. Estos documentos fueron implementados y desarrollados por la Agencia Nacional de Contratación Pública </w:t>
      </w:r>
      <w:bookmarkStart w:id="7" w:name="_Hlk37841850"/>
      <w:r w:rsidRPr="0095632F">
        <w:rPr>
          <w:rFonts w:ascii="Arial" w:eastAsia="Calibri" w:hAnsi="Arial" w:cs="Arial"/>
          <w:sz w:val="22"/>
          <w:szCs w:val="22"/>
          <w:lang w:val="es-ES_tradnl"/>
        </w:rPr>
        <w:t xml:space="preserve">– Colombia Compra Eficiente, </w:t>
      </w:r>
      <w:bookmarkEnd w:id="7"/>
      <w:r w:rsidRPr="0095632F">
        <w:rPr>
          <w:rFonts w:ascii="Arial" w:eastAsia="Calibri" w:hAnsi="Arial" w:cs="Arial"/>
          <w:sz w:val="22"/>
          <w:szCs w:val="22"/>
          <w:lang w:val="es-ES_tradnl"/>
        </w:rPr>
        <w:t>por medio de la Resolución 1798 de 1 de abril de 2019 –derogada por la Resolución 045 del 14 de febrero de 2020–, la Resolución 044 del 14 de febrero de 2020 y la Resolución 094 del 21 de mayo de 2020.</w:t>
      </w:r>
    </w:p>
    <w:p w14:paraId="45C835C2" w14:textId="355D0F8B" w:rsidR="004933DA" w:rsidRPr="0095632F" w:rsidRDefault="004933DA" w:rsidP="0095632F">
      <w:pPr>
        <w:pStyle w:val="Normal11pt"/>
        <w:spacing w:before="120" w:line="276" w:lineRule="auto"/>
        <w:ind w:left="0" w:firstLine="709"/>
        <w:rPr>
          <w:rFonts w:eastAsia="Calibri"/>
          <w:color w:val="auto"/>
        </w:rPr>
      </w:pPr>
      <w:r w:rsidRPr="0095632F">
        <w:rPr>
          <w:rFonts w:eastAsia="Calibri"/>
          <w:color w:val="auto"/>
        </w:rPr>
        <w:t xml:space="preserve">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w:t>
      </w:r>
      <w:r w:rsidRPr="0095632F">
        <w:rPr>
          <w:rFonts w:eastAsia="Calibri"/>
          <w:color w:val="auto"/>
        </w:rPr>
        <w:lastRenderedPageBreak/>
        <w:t xml:space="preserve">tipo por parte de las entidades sometidas al Estatuto General de Contratación de la Administración Pública, se atribuyó a la </w:t>
      </w:r>
      <w:r w:rsidRPr="0095632F">
        <w:rPr>
          <w:rFonts w:eastAsia="Calibri"/>
          <w:color w:val="auto"/>
          <w:lang w:eastAsia="en-US"/>
        </w:rPr>
        <w:t xml:space="preserve">Agencia Nacional de Contratación Pública – Colombia Compra Eficiente la competencia para su expedición. </w:t>
      </w:r>
      <w:r w:rsidRPr="0095632F">
        <w:rPr>
          <w:rFonts w:eastAsia="Calibri"/>
          <w:color w:val="auto"/>
        </w:rPr>
        <w:t>En este marco, con la finalidad de realizar un desarrollo armónico y ajustado a la ley que otorga esta competencia, esta Agencia expidió la Resolución 160 del 15 de septiembre de 2020</w:t>
      </w:r>
      <w:r w:rsidR="00823FB3" w:rsidRPr="0095632F">
        <w:rPr>
          <w:rFonts w:eastAsia="Calibri"/>
          <w:color w:val="auto"/>
        </w:rPr>
        <w:t>,</w:t>
      </w:r>
      <w:r w:rsidRPr="0095632F">
        <w:rPr>
          <w:rFonts w:eastAsia="Calibri"/>
          <w:color w:val="auto"/>
        </w:rPr>
        <w:t xml:space="preserve">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2CC320BB" w14:textId="77777777" w:rsidR="004933DA" w:rsidRPr="0095632F" w:rsidRDefault="004933DA" w:rsidP="0095632F">
      <w:pPr>
        <w:pStyle w:val="Normal11pt"/>
        <w:spacing w:before="120" w:line="276" w:lineRule="auto"/>
        <w:ind w:left="0" w:firstLine="709"/>
        <w:rPr>
          <w:rFonts w:eastAsia="Calibri"/>
          <w:color w:val="auto"/>
        </w:rPr>
      </w:pPr>
      <w:r w:rsidRPr="0095632F">
        <w:rPr>
          <w:rFonts w:eastAsia="Calibri"/>
          <w:color w:val="auto"/>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54CB63D3" w14:textId="77777777" w:rsidR="004933DA" w:rsidRPr="0095632F" w:rsidRDefault="004933DA" w:rsidP="0095632F">
      <w:pPr>
        <w:pStyle w:val="Normal11pt"/>
        <w:spacing w:before="120" w:line="276" w:lineRule="auto"/>
        <w:ind w:left="0" w:firstLine="709"/>
        <w:rPr>
          <w:color w:val="auto"/>
        </w:rPr>
      </w:pPr>
      <w:r w:rsidRPr="0095632F">
        <w:rPr>
          <w:rFonts w:eastAsia="Calibri"/>
          <w:color w:val="auto"/>
        </w:rPr>
        <w:t xml:space="preserve">A los actos administrativos mencionados se suman, la Resolución 193 de 14 de julio de 2021, </w:t>
      </w:r>
      <w:r w:rsidRPr="0095632F">
        <w:rPr>
          <w:color w:val="auto"/>
        </w:rPr>
        <w:t>«Por la cual se adoptan los documentos tipo para los procesos de selección de concurso de méritos, para contratar la consultoría de estudios de ingeniería de infraestructura de transporte»,</w:t>
      </w:r>
      <w:r w:rsidRPr="0095632F">
        <w:rPr>
          <w:rFonts w:eastAsia="Calibri"/>
          <w:color w:val="auto"/>
        </w:rPr>
        <w:t xml:space="preserve"> la Resolución 219 de 2020,</w:t>
      </w:r>
      <w:r w:rsidRPr="0095632F">
        <w:rPr>
          <w:color w:val="auto"/>
        </w:rPr>
        <w:t xml:space="preserve"> «Por la cual se adoptan los documentos tipo para los procesos de licitación de obra pública de infraestructura social», la Resolución 220 del 6 de agosto de 2021, «Por la cual se adoptan los documentos tipo complementarios para los procesos de licitación de obra pública de infraestructura social relacionados con el sector educativo», la Resolución 392 del 18 de noviembre de 2021, «Por la cual se adoptan los documentos tipo complementarios para los procesos de licitación de obra pública de infraestructura social relacionados con el sector salud», y la Resolución 454 del 16 de diciembre de 2021, «Por la cual se adoptan los documentos tipo complementarios para los procesos de licitación de obra pública de infraestructura social relacionados con el sector cultura, recreación y deporte». </w:t>
      </w:r>
    </w:p>
    <w:p w14:paraId="19C170D8" w14:textId="77777777" w:rsidR="004933DA" w:rsidRPr="0095632F" w:rsidRDefault="004933DA" w:rsidP="0095632F">
      <w:pPr>
        <w:pStyle w:val="Normal11pt"/>
        <w:spacing w:before="120" w:after="120" w:line="276" w:lineRule="auto"/>
        <w:ind w:left="0" w:firstLine="709"/>
        <w:rPr>
          <w:color w:val="auto"/>
        </w:rPr>
      </w:pPr>
      <w:r w:rsidRPr="0095632F">
        <w:rPr>
          <w:color w:val="auto"/>
        </w:rPr>
        <w:t xml:space="preserve">En cuanto al ámbito de aplicación de estos documentos, es preciso explicar que, cada una de estas resoluciones está relacionada con un sector, un objeto contractual y una modalidad de selección en específico. Esto de tal manera que las entidades estatales </w:t>
      </w:r>
      <w:r w:rsidRPr="0095632F">
        <w:rPr>
          <w:color w:val="auto"/>
        </w:rPr>
        <w:lastRenderedPageBreak/>
        <w:t xml:space="preserve">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2D12C41E" w14:textId="77777777" w:rsidR="004933DA" w:rsidRPr="0095632F" w:rsidRDefault="004933DA" w:rsidP="0095632F">
      <w:pPr>
        <w:spacing w:line="276" w:lineRule="auto"/>
        <w:ind w:firstLine="708"/>
        <w:jc w:val="both"/>
        <w:rPr>
          <w:rFonts w:ascii="Arial" w:hAnsi="Arial" w:cs="Arial"/>
          <w:sz w:val="22"/>
          <w:shd w:val="clear" w:color="auto" w:fill="FFFFFF"/>
          <w:lang w:val="es-ES_tradnl"/>
        </w:rPr>
      </w:pPr>
      <w:r w:rsidRPr="0095632F">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95632F">
        <w:rPr>
          <w:rFonts w:ascii="Arial" w:hAnsi="Arial" w:cs="Arial"/>
          <w:i/>
          <w:iCs/>
          <w:sz w:val="22"/>
          <w:shd w:val="clear" w:color="auto" w:fill="FFFFFF"/>
          <w:lang w:val="es-ES_tradnl"/>
        </w:rPr>
        <w:t>Documentos del Proceso</w:t>
      </w:r>
      <w:r w:rsidRPr="0095632F">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2339B72C" w14:textId="77777777" w:rsidR="008933AE" w:rsidRPr="0095632F" w:rsidRDefault="004933DA" w:rsidP="0095632F">
      <w:pPr>
        <w:pStyle w:val="Normal11pt"/>
        <w:spacing w:before="120" w:line="276" w:lineRule="auto"/>
        <w:ind w:left="0" w:firstLine="709"/>
        <w:rPr>
          <w:rFonts w:eastAsia="Calibri"/>
          <w:color w:val="auto"/>
        </w:rPr>
      </w:pPr>
      <w:r w:rsidRPr="0095632F">
        <w:rPr>
          <w:rFonts w:eastAsia="Calibri"/>
          <w:color w:val="auto"/>
        </w:rPr>
        <w:t>Por último, 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sidR="00823FB3" w:rsidRPr="0095632F">
        <w:rPr>
          <w:rFonts w:eastAsia="Calibri"/>
          <w:color w:val="auto"/>
        </w:rPr>
        <w:t xml:space="preserve"> Desde esta perspectiva, los pliegos y minutas tipo expedidos con anterioridad a las Leyes 1882 de 2018 y 2022 de 2020 </w:t>
      </w:r>
      <w:r w:rsidR="0095318D" w:rsidRPr="0095632F">
        <w:rPr>
          <w:rFonts w:eastAsia="Calibri"/>
          <w:color w:val="auto"/>
        </w:rPr>
        <w:t>carecen de fuerza obligatoria</w:t>
      </w:r>
      <w:r w:rsidR="00823FB3" w:rsidRPr="0095632F">
        <w:rPr>
          <w:rFonts w:eastAsia="Calibri"/>
          <w:color w:val="auto"/>
        </w:rPr>
        <w:t xml:space="preserve">, </w:t>
      </w:r>
      <w:r w:rsidR="0095318D" w:rsidRPr="0095632F">
        <w:rPr>
          <w:rFonts w:eastAsia="Calibri"/>
          <w:color w:val="auto"/>
        </w:rPr>
        <w:t>por lo que son</w:t>
      </w:r>
      <w:r w:rsidR="00823FB3" w:rsidRPr="0095632F">
        <w:rPr>
          <w:rFonts w:eastAsia="Calibri"/>
          <w:color w:val="auto"/>
        </w:rPr>
        <w:t xml:space="preserve"> una mera pauta de buena práctica contractual.</w:t>
      </w:r>
      <w:r w:rsidR="007A06CE" w:rsidRPr="0095632F">
        <w:rPr>
          <w:rFonts w:eastAsia="Calibri"/>
          <w:color w:val="auto"/>
        </w:rPr>
        <w:t xml:space="preserve"> </w:t>
      </w:r>
    </w:p>
    <w:p w14:paraId="43FA8ED6" w14:textId="7580847F" w:rsidR="004933DA" w:rsidRPr="0095632F" w:rsidRDefault="0055347F" w:rsidP="0095632F">
      <w:pPr>
        <w:pStyle w:val="Normal11pt"/>
        <w:spacing w:before="120" w:line="276" w:lineRule="auto"/>
        <w:ind w:left="0" w:firstLine="709"/>
        <w:rPr>
          <w:rFonts w:eastAsia="Calibri"/>
          <w:color w:val="auto"/>
        </w:rPr>
      </w:pPr>
      <w:r w:rsidRPr="0095632F">
        <w:t>De acuerdo con el alcance de los artículos 3.2 y 11.12 del Decreto Ley 4170 de 2011</w:t>
      </w:r>
      <w:r w:rsidR="00FB5B40" w:rsidRPr="0095632F">
        <w:rPr>
          <w:rStyle w:val="normaltextrun"/>
          <w:shd w:val="clear" w:color="auto" w:fill="FFFFFF"/>
        </w:rPr>
        <w:t>, e</w:t>
      </w:r>
      <w:r w:rsidR="008933AE" w:rsidRPr="0095632F">
        <w:rPr>
          <w:rFonts w:eastAsia="Calibri"/>
          <w:color w:val="auto"/>
        </w:rPr>
        <w:t>ste último razonamiento</w:t>
      </w:r>
      <w:r w:rsidR="007A06CE" w:rsidRPr="0095632F">
        <w:rPr>
          <w:rFonts w:eastAsia="Calibri"/>
          <w:color w:val="auto"/>
        </w:rPr>
        <w:t xml:space="preserve"> se aplica a la </w:t>
      </w:r>
      <w:r w:rsidR="001E7126" w:rsidRPr="0095632F">
        <w:rPr>
          <w:rFonts w:eastAsia="Calibri"/>
          <w:color w:val="auto"/>
        </w:rPr>
        <w:t xml:space="preserve">minuta de contrato de prestación servicios publicada en la página web </w:t>
      </w:r>
      <w:hyperlink r:id="rId12" w:history="1">
        <w:r w:rsidR="001E7126" w:rsidRPr="0095632F">
          <w:rPr>
            <w:rStyle w:val="Hipervnculo"/>
            <w:rFonts w:eastAsia="Calibri"/>
          </w:rPr>
          <w:t>https://colombiacompra.gov.co/manuales-guias-y-pliegos-tipo/contratos/contrato-de-prestacion-de-servicios</w:t>
        </w:r>
      </w:hyperlink>
      <w:r w:rsidR="001E7126" w:rsidRPr="0095632F">
        <w:rPr>
          <w:rFonts w:eastAsia="Calibri"/>
          <w:color w:val="auto"/>
        </w:rPr>
        <w:t xml:space="preserve">, la cual fue actualizada el 26 de noviembre de 2016. La parte introductoria de la minuta señala que «Colombia Compra Eficiente pone a disposición el presente documento tipo de contrato de prestación de servicios profesionales y de apoyo a la gestión y </w:t>
      </w:r>
      <w:r w:rsidR="001E7126" w:rsidRPr="0095632F">
        <w:rPr>
          <w:rFonts w:eastAsia="Calibri"/>
          <w:i/>
          <w:iCs/>
          <w:color w:val="auto"/>
        </w:rPr>
        <w:t>recomienda</w:t>
      </w:r>
      <w:r w:rsidR="001E7126" w:rsidRPr="0095632F">
        <w:rPr>
          <w:rFonts w:eastAsia="Calibri"/>
          <w:color w:val="auto"/>
        </w:rPr>
        <w:t xml:space="preserve"> su uso en Procesos de Contratación que tengan dicho objeto</w:t>
      </w:r>
      <w:r w:rsidR="008933AE" w:rsidRPr="0095632F">
        <w:rPr>
          <w:rFonts w:eastAsia="Calibri"/>
          <w:color w:val="auto"/>
        </w:rPr>
        <w:t xml:space="preserve"> […]» (Énfasis fuera de texto). Teniendo en cuenta que –según el diccionario de la RAE– «recomendar» equivale a «</w:t>
      </w:r>
      <w:r w:rsidR="008933AE" w:rsidRPr="0095632F">
        <w:rPr>
          <w:rFonts w:eastAsia="Calibri"/>
          <w:color w:val="auto"/>
          <w:lang w:val="es-CO"/>
        </w:rPr>
        <w:t xml:space="preserve">Aconsejar algo a alguien para bien suyo», </w:t>
      </w:r>
      <w:r w:rsidR="00FB5B40" w:rsidRPr="0095632F">
        <w:rPr>
          <w:rFonts w:eastAsia="Calibri"/>
          <w:color w:val="auto"/>
          <w:lang w:val="es-CO"/>
        </w:rPr>
        <w:t>dicha</w:t>
      </w:r>
      <w:r w:rsidR="008933AE" w:rsidRPr="0095632F">
        <w:rPr>
          <w:rFonts w:eastAsia="Calibri"/>
          <w:color w:val="auto"/>
          <w:lang w:val="es-CO"/>
        </w:rPr>
        <w:t xml:space="preserve"> minuta no es uso obligatorio sino facultativo.</w:t>
      </w:r>
      <w:r w:rsidR="00823FB3" w:rsidRPr="0095632F">
        <w:rPr>
          <w:rFonts w:eastAsia="Calibri"/>
          <w:color w:val="auto"/>
        </w:rPr>
        <w:t xml:space="preserve">  </w:t>
      </w:r>
    </w:p>
    <w:p w14:paraId="68975356" w14:textId="072AB3D1" w:rsidR="00F91B46" w:rsidRPr="0095632F" w:rsidRDefault="00DD00C3" w:rsidP="0095632F">
      <w:pPr>
        <w:spacing w:line="276" w:lineRule="auto"/>
        <w:jc w:val="both"/>
        <w:rPr>
          <w:rFonts w:ascii="Arial" w:hAnsi="Arial" w:cs="Arial"/>
          <w:color w:val="000000"/>
          <w:szCs w:val="22"/>
          <w:shd w:val="clear" w:color="auto" w:fill="FFFFFF"/>
        </w:rPr>
      </w:pPr>
      <w:r w:rsidRPr="0095632F">
        <w:rPr>
          <w:rStyle w:val="normaltextrun"/>
          <w:rFonts w:ascii="Arial" w:hAnsi="Arial" w:cs="Arial"/>
          <w:color w:val="000000"/>
          <w:sz w:val="22"/>
          <w:szCs w:val="22"/>
          <w:shd w:val="clear" w:color="auto" w:fill="FFFFFF"/>
        </w:rPr>
        <w:t xml:space="preserve"> </w:t>
      </w:r>
    </w:p>
    <w:p w14:paraId="56EA438D" w14:textId="77777777" w:rsidR="004E017B" w:rsidRPr="0095632F" w:rsidRDefault="004E017B" w:rsidP="0095632F">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95632F">
        <w:rPr>
          <w:rFonts w:ascii="Arial" w:hAnsi="Arial" w:cs="Arial"/>
          <w:b/>
          <w:bCs/>
          <w:color w:val="000000" w:themeColor="text1"/>
          <w:sz w:val="22"/>
          <w:szCs w:val="22"/>
        </w:rPr>
        <w:lastRenderedPageBreak/>
        <w:t xml:space="preserve">Respuesta </w:t>
      </w:r>
    </w:p>
    <w:p w14:paraId="742E57D4" w14:textId="77777777" w:rsidR="004E017B" w:rsidRPr="0095632F" w:rsidRDefault="004E017B" w:rsidP="0095632F">
      <w:pPr>
        <w:spacing w:line="276" w:lineRule="auto"/>
        <w:ind w:right="709"/>
        <w:jc w:val="both"/>
        <w:rPr>
          <w:rFonts w:ascii="Arial" w:hAnsi="Arial" w:cs="Arial"/>
          <w:color w:val="000000" w:themeColor="text1"/>
          <w:sz w:val="22"/>
          <w:szCs w:val="22"/>
        </w:rPr>
      </w:pPr>
    </w:p>
    <w:p w14:paraId="297225FC" w14:textId="686865E3" w:rsidR="0096498B" w:rsidRPr="0095632F" w:rsidRDefault="0096498B" w:rsidP="0095632F">
      <w:pPr>
        <w:ind w:left="709" w:right="709"/>
        <w:jc w:val="both"/>
        <w:rPr>
          <w:rFonts w:ascii="Arial" w:hAnsi="Arial" w:cs="Arial"/>
          <w:bCs/>
          <w:sz w:val="21"/>
          <w:szCs w:val="21"/>
        </w:rPr>
      </w:pPr>
      <w:r w:rsidRPr="0095632F">
        <w:rPr>
          <w:rFonts w:ascii="Arial" w:hAnsi="Arial" w:cs="Arial"/>
          <w:bCs/>
          <w:sz w:val="22"/>
          <w:szCs w:val="22"/>
        </w:rPr>
        <w:t>«</w:t>
      </w:r>
      <w:r w:rsidR="00CE4841" w:rsidRPr="0095632F">
        <w:rPr>
          <w:rFonts w:ascii="Arial" w:hAnsi="Arial" w:cs="Arial"/>
          <w:bCs/>
          <w:sz w:val="22"/>
          <w:szCs w:val="22"/>
        </w:rPr>
        <w:t xml:space="preserve">[¿] </w:t>
      </w:r>
      <w:r w:rsidRPr="0095632F">
        <w:rPr>
          <w:rFonts w:ascii="Arial" w:hAnsi="Arial" w:cs="Arial"/>
          <w:bCs/>
          <w:sz w:val="21"/>
          <w:szCs w:val="21"/>
        </w:rPr>
        <w:t xml:space="preserve">El uso del formato de minuta del contrato de prestación de servicios que esta publicada en la </w:t>
      </w:r>
      <w:proofErr w:type="spellStart"/>
      <w:r w:rsidRPr="0095632F">
        <w:rPr>
          <w:rFonts w:ascii="Arial" w:hAnsi="Arial" w:cs="Arial"/>
          <w:bCs/>
          <w:sz w:val="21"/>
          <w:szCs w:val="21"/>
        </w:rPr>
        <w:t>pagina</w:t>
      </w:r>
      <w:proofErr w:type="spellEnd"/>
      <w:r w:rsidRPr="0095632F">
        <w:rPr>
          <w:rFonts w:ascii="Arial" w:hAnsi="Arial" w:cs="Arial"/>
          <w:bCs/>
          <w:sz w:val="21"/>
          <w:szCs w:val="21"/>
        </w:rPr>
        <w:t xml:space="preserve"> de Colombia Compra Eficiente es de uso obligatorio en las administraciones </w:t>
      </w:r>
      <w:proofErr w:type="spellStart"/>
      <w:r w:rsidRPr="0095632F">
        <w:rPr>
          <w:rFonts w:ascii="Arial" w:hAnsi="Arial" w:cs="Arial"/>
          <w:bCs/>
          <w:sz w:val="21"/>
          <w:szCs w:val="21"/>
        </w:rPr>
        <w:t>publicas</w:t>
      </w:r>
      <w:proofErr w:type="spellEnd"/>
      <w:r w:rsidRPr="0095632F">
        <w:rPr>
          <w:rFonts w:ascii="Arial" w:hAnsi="Arial" w:cs="Arial"/>
          <w:bCs/>
          <w:sz w:val="21"/>
          <w:szCs w:val="21"/>
        </w:rPr>
        <w:t xml:space="preserve"> (alcaldía, municipio de sexta categoría)</w:t>
      </w:r>
      <w:r w:rsidR="00CE4841" w:rsidRPr="0095632F">
        <w:rPr>
          <w:rFonts w:ascii="Arial" w:hAnsi="Arial" w:cs="Arial"/>
          <w:bCs/>
          <w:sz w:val="21"/>
          <w:szCs w:val="21"/>
        </w:rPr>
        <w:t xml:space="preserve"> [?]</w:t>
      </w:r>
      <w:r w:rsidRPr="0095632F">
        <w:rPr>
          <w:rFonts w:ascii="Arial" w:hAnsi="Arial" w:cs="Arial"/>
          <w:bCs/>
          <w:sz w:val="21"/>
          <w:szCs w:val="21"/>
        </w:rPr>
        <w:t>».</w:t>
      </w:r>
    </w:p>
    <w:p w14:paraId="75E6A517" w14:textId="77777777" w:rsidR="004E017B" w:rsidRPr="0095632F" w:rsidRDefault="004E017B" w:rsidP="0095632F">
      <w:pPr>
        <w:tabs>
          <w:tab w:val="left" w:pos="426"/>
        </w:tabs>
        <w:spacing w:line="276" w:lineRule="auto"/>
        <w:ind w:right="709"/>
        <w:jc w:val="both"/>
        <w:rPr>
          <w:rFonts w:ascii="Arial" w:hAnsi="Arial" w:cs="Arial"/>
          <w:sz w:val="22"/>
          <w:szCs w:val="22"/>
        </w:rPr>
      </w:pPr>
    </w:p>
    <w:p w14:paraId="164981F2" w14:textId="17719FD1" w:rsidR="00BE3DBA" w:rsidRPr="0095632F" w:rsidRDefault="00FB5B40" w:rsidP="0095632F">
      <w:pPr>
        <w:pStyle w:val="Textoindependiente"/>
        <w:ind w:right="-65"/>
        <w:jc w:val="both"/>
        <w:rPr>
          <w:rFonts w:ascii="Arial" w:hAnsi="Arial" w:cs="Arial"/>
          <w:szCs w:val="22"/>
        </w:rPr>
      </w:pPr>
      <w:r w:rsidRPr="0095632F">
        <w:rPr>
          <w:rFonts w:ascii="Arial" w:hAnsi="Arial" w:cs="Arial"/>
          <w:szCs w:val="22"/>
        </w:rPr>
        <w:t>Con la declaratoria de nulidad de los numerales 3 y 4 del artículo 2.2.1.2.5.2 del Decreto 1082 de 2015, los únicos documentos tipo vinculantes son los implementados bajo la competencia del artículo 2, parágrafo 7, de la Ley 1150 de 2007, el cual fue adicionado por el artículo 4 de la Ley 1882 de 2018 y modificado por el artículo 1 de la Ley 2022 de 2020</w:t>
      </w:r>
      <w:r w:rsidR="00F4784F" w:rsidRPr="0095632F">
        <w:rPr>
          <w:rFonts w:ascii="Arial" w:hAnsi="Arial" w:cs="Arial"/>
          <w:szCs w:val="22"/>
        </w:rPr>
        <w:t>.</w:t>
      </w:r>
      <w:r w:rsidR="00BE3DBA" w:rsidRPr="0095632F">
        <w:rPr>
          <w:rFonts w:ascii="Arial" w:hAnsi="Arial" w:cs="Arial"/>
          <w:szCs w:val="22"/>
        </w:rPr>
        <w:t xml:space="preserve"> Desde esta perspectiva, los pliegos y minutas tipo expedidos con anterioridad a estas leyes carecen de fuerza obligatoria, por lo que son una mera pauta de buena práctica contractual. </w:t>
      </w:r>
    </w:p>
    <w:p w14:paraId="1DDEAD1E" w14:textId="0E3C6808" w:rsidR="00F4784F" w:rsidRPr="0095632F" w:rsidRDefault="0055347F" w:rsidP="0095632F">
      <w:pPr>
        <w:pStyle w:val="Textoindependiente"/>
        <w:spacing w:after="0"/>
        <w:ind w:right="-65" w:firstLine="708"/>
        <w:jc w:val="both"/>
        <w:rPr>
          <w:rFonts w:ascii="Arial" w:hAnsi="Arial" w:cs="Arial"/>
          <w:szCs w:val="22"/>
        </w:rPr>
      </w:pPr>
      <w:r w:rsidRPr="0095632F">
        <w:rPr>
          <w:rFonts w:ascii="Arial" w:hAnsi="Arial" w:cs="Arial"/>
          <w:szCs w:val="22"/>
        </w:rPr>
        <w:t>De acuerdo con el alcance de</w:t>
      </w:r>
      <w:r w:rsidR="00BE3DBA" w:rsidRPr="0095632F">
        <w:rPr>
          <w:rFonts w:ascii="Arial" w:hAnsi="Arial" w:cs="Arial"/>
          <w:szCs w:val="22"/>
        </w:rPr>
        <w:t xml:space="preserve"> los artículos 3.2 y 11.12 del Decreto Ley 4170 de 2011, este último razonamiento se aplica a la minuta de contrato de prestación servicios publicada en la página web </w:t>
      </w:r>
      <w:r w:rsidR="00BE3DBA" w:rsidRPr="0095632F">
        <w:rPr>
          <w:rFonts w:ascii="Arial" w:hAnsi="Arial" w:cs="Arial"/>
          <w:color w:val="4472C4" w:themeColor="accent1"/>
          <w:szCs w:val="22"/>
          <w:u w:val="single"/>
        </w:rPr>
        <w:t>https://colombiacompra.gov.co/manuales-guias-y-pliegos-tipo/contratos/contrato-de-prestacion-de-servicios</w:t>
      </w:r>
      <w:r w:rsidR="00BE3DBA" w:rsidRPr="0095632F">
        <w:rPr>
          <w:rFonts w:ascii="Arial" w:hAnsi="Arial" w:cs="Arial"/>
          <w:szCs w:val="22"/>
        </w:rPr>
        <w:t xml:space="preserve">, la cual fue actualizada el 26 de noviembre de 2016. La parte introductoria de la minuta señala que «Colombia Compra Eficiente pone a disposición el presente documento tipo de contrato de prestación de servicios profesionales y de apoyo a la gestión y </w:t>
      </w:r>
      <w:r w:rsidR="00BE3DBA" w:rsidRPr="0095632F">
        <w:rPr>
          <w:rFonts w:ascii="Arial" w:hAnsi="Arial" w:cs="Arial"/>
          <w:i/>
          <w:iCs/>
          <w:szCs w:val="22"/>
        </w:rPr>
        <w:t>recomienda</w:t>
      </w:r>
      <w:r w:rsidR="00BE3DBA" w:rsidRPr="0095632F">
        <w:rPr>
          <w:rFonts w:ascii="Arial" w:hAnsi="Arial" w:cs="Arial"/>
          <w:szCs w:val="22"/>
        </w:rPr>
        <w:t xml:space="preserve"> su uso en Procesos de Contratación que tengan dicho objeto […]» (Énfasis fuera de texto). Teniendo en cuenta que –según el diccionario de la RAE– «recomendar» equivale a «Aconsejar algo a alguien para bien suyo», dicha minuta no es uso obligatorio sino facultativo.</w:t>
      </w:r>
    </w:p>
    <w:p w14:paraId="2CAC4DDA" w14:textId="77777777" w:rsidR="004E6B7D" w:rsidRPr="0095632F" w:rsidRDefault="004E6B7D" w:rsidP="0095632F">
      <w:pPr>
        <w:spacing w:line="276" w:lineRule="auto"/>
        <w:jc w:val="both"/>
        <w:rPr>
          <w:rFonts w:ascii="Arial" w:eastAsia="Calibri" w:hAnsi="Arial" w:cs="Arial"/>
          <w:color w:val="000000" w:themeColor="text1"/>
          <w:sz w:val="22"/>
          <w:szCs w:val="22"/>
        </w:rPr>
      </w:pPr>
    </w:p>
    <w:p w14:paraId="27C5BF1C" w14:textId="700C8DE4" w:rsidR="004E017B" w:rsidRPr="0095632F" w:rsidRDefault="004E017B" w:rsidP="0095632F">
      <w:pPr>
        <w:spacing w:before="120" w:line="276" w:lineRule="auto"/>
        <w:jc w:val="both"/>
        <w:rPr>
          <w:rFonts w:ascii="Arial" w:eastAsia="Calibri" w:hAnsi="Arial" w:cs="Arial"/>
          <w:color w:val="000000" w:themeColor="text1"/>
          <w:sz w:val="22"/>
          <w:szCs w:val="22"/>
        </w:rPr>
      </w:pPr>
      <w:r w:rsidRPr="0095632F">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68416DCF" w14:textId="77777777" w:rsidR="004E017B" w:rsidRPr="0095632F" w:rsidRDefault="004E017B" w:rsidP="0095632F">
      <w:pPr>
        <w:ind w:firstLine="709"/>
        <w:jc w:val="both"/>
        <w:rPr>
          <w:rFonts w:ascii="Arial" w:eastAsia="Calibri" w:hAnsi="Arial" w:cs="Arial"/>
          <w:color w:val="000000" w:themeColor="text1"/>
          <w:sz w:val="22"/>
          <w:szCs w:val="22"/>
        </w:rPr>
      </w:pPr>
    </w:p>
    <w:p w14:paraId="311E99D5" w14:textId="77777777" w:rsidR="004E017B" w:rsidRPr="0095632F" w:rsidRDefault="004E017B" w:rsidP="0095632F">
      <w:pPr>
        <w:jc w:val="both"/>
        <w:rPr>
          <w:rFonts w:ascii="Arial" w:hAnsi="Arial" w:cs="Arial"/>
          <w:color w:val="000000" w:themeColor="text1"/>
          <w:sz w:val="22"/>
          <w:szCs w:val="22"/>
          <w:lang w:eastAsia="es-CO"/>
        </w:rPr>
      </w:pPr>
      <w:r w:rsidRPr="0095632F">
        <w:rPr>
          <w:rFonts w:ascii="Arial" w:hAnsi="Arial" w:cs="Arial"/>
          <w:color w:val="000000" w:themeColor="text1"/>
          <w:sz w:val="22"/>
          <w:szCs w:val="22"/>
          <w:lang w:eastAsia="es-CO"/>
        </w:rPr>
        <w:t>Atentamente,</w:t>
      </w:r>
    </w:p>
    <w:p w14:paraId="7E004EFA" w14:textId="4CA82215" w:rsidR="004E017B" w:rsidRPr="0095632F" w:rsidRDefault="001935C4" w:rsidP="0095632F">
      <w:pPr>
        <w:tabs>
          <w:tab w:val="left" w:pos="426"/>
        </w:tabs>
        <w:spacing w:after="120" w:line="276" w:lineRule="auto"/>
        <w:ind w:firstLine="709"/>
        <w:jc w:val="center"/>
        <w:rPr>
          <w:rFonts w:ascii="Arial" w:eastAsia="Calibri" w:hAnsi="Arial" w:cs="Arial"/>
          <w:color w:val="000000" w:themeColor="text1"/>
        </w:rPr>
      </w:pPr>
      <w:r>
        <w:rPr>
          <w:noProof/>
        </w:rPr>
        <w:drawing>
          <wp:anchor distT="0" distB="0" distL="114300" distR="114300" simplePos="0" relativeHeight="251659264" behindDoc="0" locked="0" layoutInCell="1" allowOverlap="1" wp14:anchorId="693065D4" wp14:editId="7C4BE187">
            <wp:simplePos x="0" y="0"/>
            <wp:positionH relativeFrom="page">
              <wp:posOffset>2891342</wp:posOffset>
            </wp:positionH>
            <wp:positionV relativeFrom="paragraph">
              <wp:posOffset>61072</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4E017B" w:rsidRPr="0095632F" w14:paraId="63AF2CF0" w14:textId="77777777" w:rsidTr="00B701BE">
        <w:trPr>
          <w:trHeight w:val="362"/>
        </w:trPr>
        <w:tc>
          <w:tcPr>
            <w:tcW w:w="886" w:type="dxa"/>
            <w:vAlign w:val="center"/>
            <w:hideMark/>
          </w:tcPr>
          <w:bookmarkEnd w:id="1"/>
          <w:bookmarkEnd w:id="2"/>
          <w:p w14:paraId="6CE2BB69"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56F831C3" w:rsidR="004E017B" w:rsidRPr="0095632F" w:rsidRDefault="002F210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 xml:space="preserve">Guillermo Escolar </w:t>
            </w:r>
            <w:r w:rsidR="00EA4D7D" w:rsidRPr="0095632F">
              <w:rPr>
                <w:rFonts w:ascii="Arial" w:hAnsi="Arial" w:cs="Arial"/>
                <w:color w:val="000000" w:themeColor="text1"/>
                <w:sz w:val="16"/>
                <w:szCs w:val="16"/>
                <w:lang w:eastAsia="es-ES"/>
              </w:rPr>
              <w:t>Flórez</w:t>
            </w:r>
          </w:p>
          <w:p w14:paraId="201BC05B"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Contratista de la Subdirección de Gestión Contractual</w:t>
            </w:r>
          </w:p>
        </w:tc>
      </w:tr>
      <w:tr w:rsidR="004E017B" w:rsidRPr="0095632F" w14:paraId="1FD25EE1" w14:textId="77777777" w:rsidTr="00B701BE">
        <w:trPr>
          <w:trHeight w:val="379"/>
        </w:trPr>
        <w:tc>
          <w:tcPr>
            <w:tcW w:w="886" w:type="dxa"/>
            <w:vAlign w:val="center"/>
            <w:hideMark/>
          </w:tcPr>
          <w:p w14:paraId="525BD0C6"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276510C0" w14:textId="67F7A755" w:rsidR="004E017B" w:rsidRPr="0095632F" w:rsidRDefault="00800FA3" w:rsidP="0095632F">
            <w:pPr>
              <w:rPr>
                <w:rFonts w:ascii="Arial" w:hAnsi="Arial" w:cs="Arial"/>
                <w:color w:val="000000" w:themeColor="text1"/>
                <w:sz w:val="16"/>
                <w:szCs w:val="16"/>
                <w:lang w:val="es-ES_tradnl" w:eastAsia="es-ES"/>
              </w:rPr>
            </w:pPr>
            <w:r w:rsidRPr="0095632F">
              <w:rPr>
                <w:rFonts w:ascii="Arial" w:hAnsi="Arial" w:cs="Arial"/>
                <w:color w:val="000000" w:themeColor="text1"/>
                <w:sz w:val="16"/>
                <w:szCs w:val="16"/>
                <w:lang w:val="es-ES_tradnl" w:eastAsia="es-ES"/>
              </w:rPr>
              <w:t>Juan David Mont</w:t>
            </w:r>
            <w:r w:rsidR="00DC17F4" w:rsidRPr="0095632F">
              <w:rPr>
                <w:rFonts w:ascii="Arial" w:hAnsi="Arial" w:cs="Arial"/>
                <w:color w:val="000000" w:themeColor="text1"/>
                <w:sz w:val="16"/>
                <w:szCs w:val="16"/>
                <w:lang w:val="es-ES_tradnl" w:eastAsia="es-ES"/>
              </w:rPr>
              <w:t>oya Penagos</w:t>
            </w:r>
          </w:p>
          <w:p w14:paraId="6B4060E7"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val="es-ES_tradnl" w:eastAsia="es-ES"/>
              </w:rPr>
              <w:t>Gestor T1 – Grado 15 de la Subdirección de Gestión Contractual</w:t>
            </w:r>
          </w:p>
        </w:tc>
      </w:tr>
      <w:tr w:rsidR="004E017B" w:rsidRPr="009F7826" w14:paraId="41E58E8A" w14:textId="77777777" w:rsidTr="00B701BE">
        <w:trPr>
          <w:trHeight w:val="344"/>
        </w:trPr>
        <w:tc>
          <w:tcPr>
            <w:tcW w:w="886" w:type="dxa"/>
            <w:vAlign w:val="center"/>
            <w:hideMark/>
          </w:tcPr>
          <w:p w14:paraId="648E9303"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4CAAB98C" w14:textId="77777777" w:rsidR="004E017B" w:rsidRPr="0095632F"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Jorge Augusto Tirado Navarro</w:t>
            </w:r>
          </w:p>
          <w:p w14:paraId="4C9D196F" w14:textId="1D30A05B" w:rsidR="004E017B" w:rsidRPr="009F7826" w:rsidRDefault="004E017B" w:rsidP="0095632F">
            <w:pPr>
              <w:rPr>
                <w:rFonts w:ascii="Arial" w:hAnsi="Arial" w:cs="Arial"/>
                <w:color w:val="000000" w:themeColor="text1"/>
                <w:sz w:val="16"/>
                <w:szCs w:val="16"/>
                <w:lang w:eastAsia="es-ES"/>
              </w:rPr>
            </w:pPr>
            <w:r w:rsidRPr="0095632F">
              <w:rPr>
                <w:rFonts w:ascii="Arial" w:hAnsi="Arial" w:cs="Arial"/>
                <w:color w:val="000000" w:themeColor="text1"/>
                <w:sz w:val="16"/>
                <w:szCs w:val="16"/>
                <w:lang w:eastAsia="es-ES"/>
              </w:rPr>
              <w:t>Subdirector de Gestión Contractual</w:t>
            </w:r>
            <w:r w:rsidR="00DC17F4" w:rsidRPr="0095632F">
              <w:rPr>
                <w:rFonts w:ascii="Arial" w:hAnsi="Arial" w:cs="Arial"/>
                <w:color w:val="000000" w:themeColor="text1"/>
                <w:sz w:val="16"/>
                <w:szCs w:val="16"/>
                <w:lang w:eastAsia="es-ES"/>
              </w:rPr>
              <w:t xml:space="preserve"> ANCP – CCE</w:t>
            </w:r>
          </w:p>
        </w:tc>
      </w:tr>
    </w:tbl>
    <w:p w14:paraId="1E9A2E75" w14:textId="77777777" w:rsidR="004E017B" w:rsidRPr="00D06ECB" w:rsidRDefault="004E017B" w:rsidP="0095632F"/>
    <w:p w14:paraId="09FC80E7" w14:textId="77777777" w:rsidR="00CE7CA5" w:rsidRDefault="00774F6A" w:rsidP="0095632F"/>
    <w:sectPr w:rsidR="00CE7CA5" w:rsidSect="00400F13">
      <w:headerReference w:type="even" r:id="rId14"/>
      <w:headerReference w:type="default" r:id="rId15"/>
      <w:footerReference w:type="even" r:id="rId16"/>
      <w:footerReference w:type="default" r:id="rId17"/>
      <w:headerReference w:type="first" r:id="rId18"/>
      <w:footerReference w:type="first" r:id="rId1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D608" w14:textId="77777777" w:rsidR="00774F6A" w:rsidRDefault="00774F6A" w:rsidP="004E017B">
      <w:r>
        <w:separator/>
      </w:r>
    </w:p>
  </w:endnote>
  <w:endnote w:type="continuationSeparator" w:id="0">
    <w:p w14:paraId="1EE0D60D" w14:textId="77777777" w:rsidR="00774F6A" w:rsidRDefault="00774F6A"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419B8" w14:textId="77777777" w:rsidR="00E029E1" w:rsidRDefault="00774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D276" w14:textId="77777777" w:rsidR="00E029E1" w:rsidRDefault="00774F6A" w:rsidP="00322937">
    <w:pPr>
      <w:pStyle w:val="Sinespaciado"/>
      <w:jc w:val="right"/>
      <w:rPr>
        <w:rFonts w:ascii="Arial" w:hAnsi="Arial" w:cs="Arial"/>
        <w:sz w:val="18"/>
        <w:szCs w:val="18"/>
      </w:rPr>
    </w:pPr>
  </w:p>
  <w:p w14:paraId="5FB1E4EA" w14:textId="28A0905E" w:rsidR="00E029E1" w:rsidRPr="008217B7" w:rsidRDefault="000570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272D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272D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6A7BC00" w14:textId="77777777" w:rsidR="00E029E1" w:rsidRDefault="000570AB" w:rsidP="00322937">
    <w:pPr>
      <w:pStyle w:val="Piedepgina"/>
      <w:jc w:val="center"/>
      <w:rPr>
        <w:lang w:val="es-ES"/>
      </w:rPr>
    </w:pPr>
    <w:r>
      <w:rPr>
        <w:noProof/>
        <w:lang w:val="en-US"/>
      </w:rPr>
      <w:drawing>
        <wp:inline distT="0" distB="0" distL="0" distR="0" wp14:anchorId="2FD4367B" wp14:editId="7B3ACB8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BE4216B" w14:textId="77777777" w:rsidR="00E029E1" w:rsidRDefault="00774F6A" w:rsidP="007B0854">
    <w:pPr>
      <w:pStyle w:val="Piedepgina"/>
      <w:jc w:val="center"/>
      <w:rPr>
        <w:lang w:val="es-ES"/>
      </w:rPr>
    </w:pPr>
  </w:p>
  <w:p w14:paraId="69E2E268" w14:textId="77777777" w:rsidR="00E029E1" w:rsidRPr="007B0854" w:rsidRDefault="00774F6A"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7592" w14:textId="77777777" w:rsidR="00E029E1" w:rsidRDefault="00774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B0A32" w14:textId="77777777" w:rsidR="00774F6A" w:rsidRDefault="00774F6A" w:rsidP="004E017B">
      <w:r>
        <w:separator/>
      </w:r>
    </w:p>
  </w:footnote>
  <w:footnote w:type="continuationSeparator" w:id="0">
    <w:p w14:paraId="027FAB00" w14:textId="77777777" w:rsidR="00774F6A" w:rsidRDefault="00774F6A" w:rsidP="004E017B">
      <w:r>
        <w:continuationSeparator/>
      </w:r>
    </w:p>
  </w:footnote>
  <w:footnote w:id="1">
    <w:p w14:paraId="5D6D4507" w14:textId="77777777" w:rsidR="0095677D" w:rsidRPr="00B53C5E" w:rsidRDefault="0095677D" w:rsidP="0095677D">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B53C5E">
        <w:rPr>
          <w:rFonts w:ascii="Arial" w:hAnsi="Arial" w:cs="Arial"/>
          <w:sz w:val="19"/>
          <w:szCs w:val="19"/>
        </w:rPr>
        <w:tab/>
        <w:t>relacionada con los procedimientos de la entidad»: https://www.colciencias.gov.co/sites/default/files/ckeditor_files/G102PR01-procedimiento-elaboracion- control.pdf</w:t>
      </w:r>
    </w:p>
    <w:p w14:paraId="43FE12E1" w14:textId="77777777" w:rsidR="0095677D" w:rsidRPr="00B53C5E" w:rsidRDefault="0095677D" w:rsidP="0095677D">
      <w:pPr>
        <w:ind w:firstLine="408"/>
        <w:jc w:val="both"/>
        <w:rPr>
          <w:rFonts w:ascii="Arial" w:hAnsi="Arial" w:cs="Arial"/>
          <w:sz w:val="19"/>
          <w:szCs w:val="19"/>
        </w:rPr>
      </w:pPr>
      <w:r w:rsidRPr="00B53C5E">
        <w:rPr>
          <w:rFonts w:ascii="Arial" w:eastAsiaTheme="minorEastAsia" w:hAnsi="Arial" w:cs="Arial"/>
          <w:sz w:val="19"/>
          <w:szCs w:val="19"/>
          <w:lang w:eastAsia="es-CO"/>
        </w:rPr>
        <w:tab/>
      </w:r>
      <w:r w:rsidRPr="00B53C5E">
        <w:rPr>
          <w:rFonts w:ascii="Arial" w:hAnsi="Arial" w:cs="Arial"/>
          <w:sz w:val="19"/>
          <w:szCs w:val="19"/>
        </w:rPr>
        <w:t xml:space="preserve">Para la Autoridad Nacional de Licencias Ambientales los manuales y guías </w:t>
      </w:r>
      <w:r w:rsidRPr="00B53C5E">
        <w:rPr>
          <w:rFonts w:ascii="Arial" w:hAnsi="Arial" w:cs="Arial"/>
          <w:sz w:val="19"/>
          <w:szCs w:val="19"/>
          <w:lang w:val="es-MX"/>
        </w:rPr>
        <w:t>«</w:t>
      </w:r>
      <w:r w:rsidRPr="00B53C5E">
        <w:rPr>
          <w:rFonts w:ascii="Arial" w:hAnsi="Arial" w:cs="Arial"/>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B53C5E">
          <w:rPr>
            <w:rFonts w:ascii="Arial" w:hAnsi="Arial" w:cs="Arial"/>
            <w:sz w:val="19"/>
            <w:szCs w:val="19"/>
          </w:rPr>
          <w:t>http://portal.anla.gov.co/manuales-y-guias</w:t>
        </w:r>
      </w:hyperlink>
    </w:p>
    <w:p w14:paraId="05272CD1" w14:textId="77777777" w:rsidR="0095677D" w:rsidRPr="00B53C5E" w:rsidRDefault="0095677D" w:rsidP="0095677D">
      <w:pPr>
        <w:pStyle w:val="Textonotapie"/>
        <w:jc w:val="both"/>
        <w:rPr>
          <w:rFonts w:ascii="Arial" w:hAnsi="Arial" w:cs="Arial"/>
          <w:sz w:val="19"/>
          <w:szCs w:val="19"/>
        </w:rPr>
      </w:pPr>
    </w:p>
  </w:footnote>
  <w:footnote w:id="2">
    <w:p w14:paraId="1B2228C2" w14:textId="77777777" w:rsidR="00205216" w:rsidRPr="00B53C5E" w:rsidRDefault="00205216" w:rsidP="00205216">
      <w:pPr>
        <w:tabs>
          <w:tab w:val="left" w:pos="4805"/>
          <w:tab w:val="left" w:pos="8980"/>
        </w:tabs>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La Circular Externa Única de Colombia Compra Eficiente señala: </w:t>
      </w:r>
      <w:r w:rsidRPr="004C7AC4">
        <w:rPr>
          <w:rFonts w:ascii="Arial" w:hAnsi="Arial" w:cs="Arial"/>
          <w:sz w:val="19"/>
          <w:szCs w:val="19"/>
        </w:rPr>
        <w:t>«</w:t>
      </w:r>
      <w:r w:rsidRPr="00B53C5E">
        <w:rPr>
          <w:rFonts w:ascii="Arial" w:hAnsi="Arial" w:cs="Arial"/>
          <w:sz w:val="19"/>
          <w:szCs w:val="19"/>
        </w:rPr>
        <w:t>Las circulares externas proferidas por Colombia Compra Eficiente son actos administrativos que contienen mandatos, orientaciones e instrucciones que van dirigidas a las Entidades Estatales y al público en general y son de obligatorio cumplimiento</w:t>
      </w:r>
      <w:r w:rsidRPr="004C7AC4">
        <w:rPr>
          <w:rFonts w:ascii="Arial" w:hAnsi="Arial" w:cs="Arial"/>
          <w:sz w:val="19"/>
          <w:szCs w:val="19"/>
        </w:rPr>
        <w:t>»</w:t>
      </w:r>
      <w:r w:rsidRPr="00B53C5E">
        <w:rPr>
          <w:rFonts w:ascii="Arial" w:hAnsi="Arial" w:cs="Arial"/>
          <w:sz w:val="19"/>
          <w:szCs w:val="19"/>
        </w:rPr>
        <w:t>.</w:t>
      </w:r>
      <w:r w:rsidRPr="00B53C5E">
        <w:rPr>
          <w:rFonts w:ascii="Arial" w:hAnsi="Arial" w:cs="Arial"/>
          <w:sz w:val="19"/>
          <w:szCs w:val="19"/>
        </w:rPr>
        <w:tab/>
        <w:t xml:space="preserve">Disponible </w:t>
      </w:r>
      <w:r w:rsidRPr="00B53C5E">
        <w:rPr>
          <w:rFonts w:ascii="Arial" w:hAnsi="Arial" w:cs="Arial"/>
          <w:spacing w:val="-6"/>
          <w:sz w:val="19"/>
          <w:szCs w:val="19"/>
        </w:rPr>
        <w:t xml:space="preserve">en: </w:t>
      </w:r>
      <w:hyperlink r:id="rId2">
        <w:r w:rsidRPr="00B53C5E">
          <w:rPr>
            <w:rFonts w:ascii="Arial" w:hAnsi="Arial" w:cs="Arial"/>
            <w:sz w:val="19"/>
            <w:szCs w:val="19"/>
          </w:rPr>
          <w:t>https://www.colombiacompra.gov.co/sites/cce_public/files/cce_circulares/cce_circular_unica.pdf</w:t>
        </w:r>
      </w:hyperlink>
    </w:p>
    <w:p w14:paraId="088255C0" w14:textId="77777777" w:rsidR="00205216" w:rsidRPr="00B53C5E" w:rsidRDefault="00205216" w:rsidP="00205216">
      <w:pPr>
        <w:pStyle w:val="Textonotapie"/>
        <w:jc w:val="both"/>
        <w:rPr>
          <w:rFonts w:ascii="Arial" w:hAnsi="Arial" w:cs="Arial"/>
          <w:sz w:val="19"/>
          <w:szCs w:val="19"/>
        </w:rPr>
      </w:pPr>
    </w:p>
  </w:footnote>
  <w:footnote w:id="3">
    <w:p w14:paraId="7157EA14" w14:textId="29F1FF7C" w:rsidR="00205216" w:rsidRPr="00B53C5E" w:rsidRDefault="00205216" w:rsidP="00E50045">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Segunda, Sentencia del 17 de mayo de 2018, Radicado N.º 110010325000201601071, C.P. Rafael Francisco Suárez Vargas</w:t>
      </w:r>
    </w:p>
  </w:footnote>
  <w:footnote w:id="4">
    <w:p w14:paraId="54BBF674" w14:textId="77777777" w:rsidR="00205216" w:rsidRPr="00B53C5E" w:rsidRDefault="00205216" w:rsidP="00205216">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Ley 1437 de 2011, artículo 65. Frente a la notificación de los actos administrativos de carácter particular y concreto ver el artículo 66 de la misma ley.</w:t>
      </w:r>
    </w:p>
    <w:p w14:paraId="49EA9D47" w14:textId="77777777" w:rsidR="00205216" w:rsidRPr="00B53C5E" w:rsidRDefault="00205216" w:rsidP="00205216">
      <w:pPr>
        <w:pStyle w:val="Textonotapie"/>
        <w:ind w:firstLine="707"/>
        <w:jc w:val="both"/>
        <w:rPr>
          <w:rFonts w:ascii="Arial" w:hAnsi="Arial" w:cs="Arial"/>
          <w:sz w:val="19"/>
          <w:szCs w:val="19"/>
        </w:rPr>
      </w:pPr>
    </w:p>
  </w:footnote>
  <w:footnote w:id="5">
    <w:p w14:paraId="48A07E2A" w14:textId="77777777" w:rsidR="00205216" w:rsidRPr="004C7AC4" w:rsidRDefault="00205216" w:rsidP="00205216">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Sala de lo Contencioso Administrativo, Sección Tercera, Sentencia del 8 de agosto de 2012, radicado N.º 54001-23-31-000-1999-0111-01 (23358), C.P: Jaime Orlando Santofimio Gamboa.</w:t>
      </w:r>
    </w:p>
    <w:p w14:paraId="5014F523" w14:textId="77777777" w:rsidR="00205216" w:rsidRPr="00B53C5E" w:rsidRDefault="00205216" w:rsidP="00205216">
      <w:pPr>
        <w:pStyle w:val="Textonotapie"/>
        <w:ind w:firstLine="707"/>
        <w:jc w:val="both"/>
        <w:rPr>
          <w:rFonts w:ascii="Arial" w:hAnsi="Arial" w:cs="Arial"/>
          <w:sz w:val="19"/>
          <w:szCs w:val="19"/>
        </w:rPr>
      </w:pPr>
    </w:p>
  </w:footnote>
  <w:footnote w:id="6">
    <w:p w14:paraId="4F0D1E6C" w14:textId="77777777" w:rsidR="00205216" w:rsidRPr="004C7AC4" w:rsidRDefault="00205216" w:rsidP="00205216">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Tercera. Sentencia del 11 de abril de 2002, C.P. Alier Hernández Enríquez, Rad. 2001-0058-01 (21652).</w:t>
      </w:r>
    </w:p>
    <w:p w14:paraId="455505DA" w14:textId="77777777" w:rsidR="00205216" w:rsidRPr="00B53C5E" w:rsidRDefault="00205216" w:rsidP="00205216">
      <w:pPr>
        <w:pStyle w:val="Textonotapie"/>
        <w:ind w:firstLine="707"/>
        <w:jc w:val="both"/>
        <w:rPr>
          <w:rFonts w:ascii="Arial" w:hAnsi="Arial" w:cs="Arial"/>
          <w:sz w:val="19"/>
          <w:szCs w:val="19"/>
        </w:rPr>
      </w:pPr>
    </w:p>
  </w:footnote>
  <w:footnote w:id="7">
    <w:p w14:paraId="2BD0088E" w14:textId="52EF81E4" w:rsidR="00205216" w:rsidRPr="00B53C5E" w:rsidRDefault="00205216" w:rsidP="00E50045">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Quinta. Sentencia del 13 de marzo de 2014, C.P. Alberto Yepes Barreiro, Rad. 2013-00715-01 (ACU).</w:t>
      </w:r>
    </w:p>
  </w:footnote>
  <w:footnote w:id="8">
    <w:p w14:paraId="79BBE262" w14:textId="1576C9F9" w:rsidR="00205216" w:rsidRPr="00B53C5E" w:rsidRDefault="00205216" w:rsidP="00E50045">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Corte Constitucional. Sentencia C-1436 del 2000, M.P. Alfredo Beltrán Sierra.</w:t>
      </w:r>
    </w:p>
  </w:footnote>
  <w:footnote w:id="9">
    <w:p w14:paraId="37E8B127" w14:textId="77777777" w:rsidR="00205216" w:rsidRDefault="00205216" w:rsidP="00205216">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1935C4">
        <w:rPr>
          <w:rFonts w:ascii="Arial" w:hAnsi="Arial" w:cs="Arial"/>
          <w:sz w:val="19"/>
          <w:szCs w:val="19"/>
          <w:lang w:val="pt-BR"/>
        </w:rPr>
        <w:t xml:space="preserve"> SANTOFIMIO GAMBOA, Jaime Orlando. Tratado de </w:t>
      </w:r>
      <w:proofErr w:type="spellStart"/>
      <w:r w:rsidRPr="001935C4">
        <w:rPr>
          <w:rFonts w:ascii="Arial" w:hAnsi="Arial" w:cs="Arial"/>
          <w:sz w:val="19"/>
          <w:szCs w:val="19"/>
          <w:lang w:val="pt-BR"/>
        </w:rPr>
        <w:t>Derecho</w:t>
      </w:r>
      <w:proofErr w:type="spellEnd"/>
      <w:r w:rsidRPr="001935C4">
        <w:rPr>
          <w:rFonts w:ascii="Arial" w:hAnsi="Arial" w:cs="Arial"/>
          <w:sz w:val="19"/>
          <w:szCs w:val="19"/>
          <w:lang w:val="pt-BR"/>
        </w:rPr>
        <w:t xml:space="preserve"> Administrativo. </w:t>
      </w:r>
      <w:r w:rsidRPr="00A43712">
        <w:rPr>
          <w:rFonts w:ascii="Arial" w:hAnsi="Arial" w:cs="Arial"/>
          <w:sz w:val="19"/>
          <w:szCs w:val="19"/>
        </w:rPr>
        <w:t>Introducción a los conceptos de la administración pública y el derecho administrativo. Universidad Externado de Colombia, Bogotá, 2003, 3ra Ed. p. 440.</w:t>
      </w:r>
    </w:p>
    <w:p w14:paraId="74E10034" w14:textId="77777777" w:rsidR="00205216" w:rsidRPr="00B53C5E" w:rsidRDefault="00205216" w:rsidP="00205216">
      <w:pPr>
        <w:pStyle w:val="Textonotapie"/>
        <w:ind w:firstLine="707"/>
        <w:jc w:val="both"/>
        <w:rPr>
          <w:rFonts w:ascii="Arial" w:hAnsi="Arial" w:cs="Arial"/>
          <w:sz w:val="19"/>
          <w:szCs w:val="19"/>
        </w:rPr>
      </w:pPr>
    </w:p>
  </w:footnote>
  <w:footnote w:id="10">
    <w:p w14:paraId="76D1BF54" w14:textId="77777777" w:rsidR="00205216" w:rsidRPr="00B53C5E" w:rsidRDefault="00205216" w:rsidP="00205216">
      <w:pPr>
        <w:pStyle w:val="Textoindependiente"/>
        <w:spacing w:before="1" w:line="240" w:lineRule="auto"/>
        <w:ind w:right="77" w:firstLine="708"/>
        <w:jc w:val="both"/>
        <w:rPr>
          <w:lang w:val="es-ES"/>
        </w:rPr>
      </w:pPr>
      <w:r>
        <w:rPr>
          <w:rStyle w:val="Refdenotaalpie"/>
        </w:rPr>
        <w:footnoteRef/>
      </w:r>
      <w:r>
        <w:t xml:space="preserve"> </w:t>
      </w:r>
      <w:r w:rsidRPr="00B53C5E">
        <w:rPr>
          <w:rFonts w:ascii="Arial" w:eastAsia="Times New Roman" w:hAnsi="Arial" w:cs="Arial"/>
          <w:sz w:val="19"/>
          <w:szCs w:val="19"/>
          <w:lang w:eastAsia="en-US"/>
        </w:rPr>
        <w:t>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Santofimio Gamboa en los siguientes términos:</w:t>
      </w:r>
      <w:r>
        <w:rPr>
          <w:rFonts w:ascii="Arial" w:eastAsia="Times New Roman" w:hAnsi="Arial" w:cs="Arial"/>
          <w:sz w:val="19"/>
          <w:szCs w:val="19"/>
          <w:lang w:eastAsia="en-US"/>
        </w:rPr>
        <w:t xml:space="preserve"> «</w:t>
      </w:r>
      <w:r w:rsidRPr="00B53C5E">
        <w:rPr>
          <w:rFonts w:ascii="Arial" w:eastAsia="Times New Roman" w:hAnsi="Arial" w:cs="Arial"/>
          <w:sz w:val="19"/>
          <w:szCs w:val="19"/>
          <w:lang w:eastAsia="en-US"/>
        </w:rPr>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B53C5E">
        <w:rPr>
          <w:rFonts w:ascii="Arial" w:eastAsia="Times New Roman" w:hAnsi="Arial" w:cs="Arial"/>
          <w:b/>
          <w:bCs/>
          <w:sz w:val="19"/>
          <w:szCs w:val="19"/>
          <w:lang w:eastAsia="en-US"/>
        </w:rPr>
        <w:t>la potestad normativa de la administración o de hacer normas rectoras de la actividad estatal, en cuanto privilegio funcional, es de naturaleza subordinada y dependiente de las normas de carácter superior</w:t>
      </w:r>
      <w:r w:rsidRPr="00B53C5E">
        <w:rPr>
          <w:rFonts w:ascii="Arial" w:eastAsia="Times New Roman" w:hAnsi="Arial" w:cs="Arial"/>
          <w:sz w:val="19"/>
          <w:szCs w:val="19"/>
          <w:lang w:eastAsia="en-US"/>
        </w:rPr>
        <w:t>. Sería absurdo pensar en la posibilidad de una potestad normativa de la administración ausente o inmune al principio de legalidad</w:t>
      </w:r>
      <w:r>
        <w:rPr>
          <w:rFonts w:eastAsia="Times New Roman"/>
          <w:sz w:val="19"/>
          <w:szCs w:val="19"/>
          <w:lang w:eastAsia="en-US"/>
        </w:rPr>
        <w:t>»</w:t>
      </w:r>
      <w:r w:rsidRPr="00B53C5E">
        <w:rPr>
          <w:rFonts w:ascii="Arial" w:eastAsia="Times New Roman" w:hAnsi="Arial" w:cs="Arial"/>
          <w:sz w:val="19"/>
          <w:szCs w:val="19"/>
          <w:lang w:eastAsia="en-US"/>
        </w:rPr>
        <w:t>. (Negrillas fuera de texto).</w:t>
      </w:r>
    </w:p>
  </w:footnote>
  <w:footnote w:id="11">
    <w:p w14:paraId="7C15CA96" w14:textId="77777777" w:rsidR="00DD00C3" w:rsidRPr="00EF3BBE" w:rsidRDefault="00DD00C3" w:rsidP="00DD00C3">
      <w:pPr>
        <w:pStyle w:val="Textonotapie"/>
        <w:ind w:firstLine="708"/>
        <w:jc w:val="both"/>
        <w:rPr>
          <w:rFonts w:ascii="Arial" w:hAnsi="Arial" w:cs="Arial"/>
          <w:sz w:val="19"/>
          <w:szCs w:val="19"/>
        </w:rPr>
      </w:pPr>
      <w:r w:rsidRPr="00E74E33">
        <w:rPr>
          <w:rStyle w:val="Refdenotaalpie"/>
          <w:rFonts w:ascii="Arial" w:hAnsi="Arial" w:cs="Arial"/>
          <w:sz w:val="19"/>
          <w:szCs w:val="19"/>
        </w:rPr>
        <w:footnoteRef/>
      </w:r>
      <w:r w:rsidRPr="00E74E33">
        <w:rPr>
          <w:rFonts w:ascii="Arial" w:hAnsi="Arial" w:cs="Arial"/>
          <w:sz w:val="19"/>
          <w:szCs w:val="19"/>
        </w:rPr>
        <w:t xml:space="preserve"> </w:t>
      </w:r>
      <w:r>
        <w:rPr>
          <w:rFonts w:ascii="Arial" w:hAnsi="Arial" w:cs="Arial"/>
          <w:sz w:val="19"/>
          <w:szCs w:val="19"/>
        </w:rPr>
        <w:t xml:space="preserve">CONSEJO DE ESTADO. Sección Tercera. Subsección A. Sentencia del 11 de abril de 2019. </w:t>
      </w:r>
      <w:proofErr w:type="spellStart"/>
      <w:r>
        <w:rPr>
          <w:rFonts w:ascii="Arial" w:hAnsi="Arial" w:cs="Arial"/>
          <w:sz w:val="19"/>
          <w:szCs w:val="19"/>
        </w:rPr>
        <w:t>Exp</w:t>
      </w:r>
      <w:proofErr w:type="spellEnd"/>
      <w:r>
        <w:rPr>
          <w:rFonts w:ascii="Arial" w:hAnsi="Arial" w:cs="Arial"/>
          <w:sz w:val="19"/>
          <w:szCs w:val="19"/>
        </w:rPr>
        <w:t xml:space="preserve">. 52055. C.P. </w:t>
      </w:r>
      <w:r w:rsidRPr="006D1CC4">
        <w:rPr>
          <w:rFonts w:ascii="Arial" w:hAnsi="Arial" w:cs="Arial"/>
          <w:sz w:val="19"/>
          <w:szCs w:val="19"/>
        </w:rPr>
        <w:t>María Adriana Marín</w:t>
      </w:r>
      <w:r>
        <w:rPr>
          <w:rFonts w:ascii="Arial" w:hAnsi="Arial" w:cs="Arial"/>
          <w:sz w:val="19"/>
          <w:szCs w:val="19"/>
        </w:rPr>
        <w:t xml:space="preserve">. En la misma decisión interpreta el alcance de las atribuciones de Colombia Compra Eficiente al explicar que «[…] </w:t>
      </w:r>
      <w:r w:rsidRPr="00E74E33">
        <w:rPr>
          <w:rFonts w:ascii="Arial" w:hAnsi="Arial" w:cs="Arial"/>
          <w:i/>
          <w:iCs/>
          <w:sz w:val="19"/>
          <w:szCs w:val="19"/>
        </w:rPr>
        <w:t>no cuenta con la competencia jurídica necesaria para diseñar e implementar, con efectos obligatorios para las entidades públicas, documentos contractuales estandarizados para ninguna modalidad de contratación</w:t>
      </w:r>
      <w:r w:rsidRPr="00EF3BBE">
        <w:rPr>
          <w:rFonts w:ascii="Arial" w:hAnsi="Arial" w:cs="Arial"/>
          <w:sz w:val="19"/>
          <w:szCs w:val="19"/>
        </w:rPr>
        <w:t>, pues, ante una orfandad normativa que la sustente, ello reñiría, abiertamente, con el principio de autonomía de la voluntad reconocido a aquellas por la Ley 80 de 1993.</w:t>
      </w:r>
    </w:p>
    <w:p w14:paraId="72FD1AA6" w14:textId="22E91B90" w:rsidR="00DD00C3" w:rsidRPr="0095632F" w:rsidRDefault="00DD00C3" w:rsidP="004933DA">
      <w:pPr>
        <w:pStyle w:val="Textonotapie"/>
        <w:ind w:firstLine="708"/>
        <w:jc w:val="both"/>
        <w:rPr>
          <w:rFonts w:ascii="Arial" w:hAnsi="Arial" w:cs="Arial"/>
          <w:sz w:val="19"/>
          <w:szCs w:val="19"/>
        </w:rPr>
      </w:pPr>
      <w:r>
        <w:rPr>
          <w:rFonts w:ascii="Arial" w:hAnsi="Arial" w:cs="Arial"/>
          <w:sz w:val="19"/>
          <w:szCs w:val="19"/>
        </w:rPr>
        <w:t>»</w:t>
      </w:r>
      <w:r w:rsidRPr="00EF3BBE">
        <w:rPr>
          <w:rFonts w:ascii="Arial" w:hAnsi="Arial" w:cs="Arial"/>
          <w:sz w:val="19"/>
          <w:szCs w:val="19"/>
        </w:rPr>
        <w:t>En efecto, por una parte, una facultad conferida a Colombia Compra Eficiente, dirigida a la definición del contenido de los contratos a celebrar por las entidades públicas, no contaría con el mínimo soporte de legalidad requerido de acuerdo con sus normas de creación, toda vez que ellas suponen la existencia previa de ciertas funciones o competencias que serían reorganizadas entre las diferentes entidades que fueran creadas, fusionadas o escindidas, atendiendo las facultades conferidas en la Ley 1444 de 2011, sin que la estandarización de documentos contractuales tipo, con fuerza obligatoria, fuese una de ellas</w:t>
      </w:r>
      <w:r>
        <w:rPr>
          <w:rFonts w:ascii="Arial" w:hAnsi="Arial" w:cs="Arial"/>
          <w:sz w:val="19"/>
          <w:szCs w:val="19"/>
        </w:rPr>
        <w:t xml:space="preserve"> […]» (Énfasis fuera de texto).</w:t>
      </w:r>
    </w:p>
  </w:footnote>
  <w:footnote w:id="12">
    <w:p w14:paraId="72F44A1D" w14:textId="77777777" w:rsidR="00DD00C3" w:rsidRDefault="00DD00C3" w:rsidP="00DD00C3">
      <w:pPr>
        <w:pStyle w:val="Textonotapie"/>
        <w:ind w:firstLine="708"/>
        <w:jc w:val="both"/>
        <w:rPr>
          <w:rFonts w:ascii="Arial" w:hAnsi="Arial" w:cs="Arial"/>
          <w:sz w:val="19"/>
          <w:szCs w:val="19"/>
        </w:rPr>
      </w:pPr>
      <w:r w:rsidRPr="00E74E33">
        <w:rPr>
          <w:rStyle w:val="Refdenotaalpie"/>
          <w:rFonts w:ascii="Arial" w:hAnsi="Arial" w:cs="Arial"/>
          <w:sz w:val="19"/>
          <w:szCs w:val="19"/>
        </w:rPr>
        <w:footnoteRef/>
      </w:r>
      <w:r w:rsidRPr="00E74E33">
        <w:rPr>
          <w:rFonts w:ascii="Arial" w:hAnsi="Arial" w:cs="Arial"/>
          <w:sz w:val="19"/>
          <w:szCs w:val="19"/>
        </w:rPr>
        <w:t xml:space="preserve"> </w:t>
      </w:r>
      <w:r>
        <w:rPr>
          <w:rFonts w:ascii="Arial" w:hAnsi="Arial" w:cs="Arial"/>
          <w:sz w:val="19"/>
          <w:szCs w:val="19"/>
        </w:rPr>
        <w:t>En lo pertinente, e</w:t>
      </w:r>
      <w:r w:rsidRPr="004A0AD7">
        <w:rPr>
          <w:rFonts w:ascii="Arial" w:hAnsi="Arial" w:cs="Arial"/>
          <w:sz w:val="19"/>
          <w:szCs w:val="19"/>
        </w:rPr>
        <w:t>l artículo 2, parágrafo 7, de la Ley 1150 de 2007</w:t>
      </w:r>
      <w:r>
        <w:rPr>
          <w:rFonts w:ascii="Arial" w:hAnsi="Arial" w:cs="Arial"/>
          <w:sz w:val="19"/>
          <w:szCs w:val="19"/>
        </w:rPr>
        <w:t xml:space="preserve"> dispone que «</w:t>
      </w:r>
      <w:r w:rsidRPr="00D34CA2">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Pr>
          <w:rFonts w:ascii="Arial" w:hAnsi="Arial" w:cs="Arial"/>
          <w:sz w:val="19"/>
          <w:szCs w:val="19"/>
        </w:rPr>
        <w:t>»</w:t>
      </w:r>
      <w:r w:rsidRPr="00D34CA2">
        <w:rPr>
          <w:rFonts w:ascii="Arial" w:hAnsi="Arial" w:cs="Arial"/>
          <w:sz w:val="19"/>
          <w:szCs w:val="19"/>
        </w:rPr>
        <w:t>.</w:t>
      </w:r>
    </w:p>
    <w:p w14:paraId="20CC2576" w14:textId="77777777" w:rsidR="00DD00C3" w:rsidRPr="00E74E33" w:rsidRDefault="00DD00C3" w:rsidP="00DD00C3">
      <w:pPr>
        <w:pStyle w:val="Textonotapie"/>
        <w:ind w:firstLine="708"/>
        <w:jc w:val="both"/>
        <w:rPr>
          <w:rFonts w:ascii="Arial" w:hAnsi="Arial" w:cs="Arial"/>
          <w:sz w:val="19"/>
          <w:szCs w:val="19"/>
          <w:lang w:val="es-ES"/>
        </w:rPr>
      </w:pPr>
      <w:r>
        <w:rPr>
          <w:rFonts w:ascii="Arial" w:hAnsi="Arial" w:cs="Arial"/>
          <w:sz w:val="19"/>
          <w:szCs w:val="19"/>
        </w:rPr>
        <w:t>Si bien el inciso final dispone que «</w:t>
      </w:r>
      <w:r w:rsidRPr="00D613DA">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 es necesario tener en cuenta que –conforme a lo explicado en el Concepto CU-606 del 2 de octubre de 2020– el apartado garantiza la vigencia de los documentos tipo adoptados por el Gobierno Nacional durante la vigencia d</w:t>
      </w:r>
      <w:r w:rsidRPr="00A82D3C">
        <w:rPr>
          <w:rFonts w:ascii="Arial" w:hAnsi="Arial" w:cs="Arial"/>
          <w:sz w:val="19"/>
          <w:szCs w:val="19"/>
        </w:rPr>
        <w:t>el artículo 4 de la Ley 1882 de 2018</w:t>
      </w:r>
      <w:r>
        <w:rPr>
          <w:rFonts w:ascii="Arial" w:hAnsi="Arial" w:cs="Arial"/>
          <w:sz w:val="19"/>
          <w:szCs w:val="19"/>
        </w:rPr>
        <w:t xml:space="preserve">, haciendo especial énfasis en el procedimiento de mínima cuantía para obras públicas de infraestructura de transporte del Decreto 342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20C5" w14:textId="77777777" w:rsidR="00E029E1" w:rsidRDefault="00774F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B132" w14:textId="77777777" w:rsidR="00E029E1" w:rsidRDefault="000570AB">
    <w:pPr>
      <w:pStyle w:val="Encabezado"/>
    </w:pPr>
    <w:r>
      <w:rPr>
        <w:noProof/>
        <w:lang w:val="en-US"/>
      </w:rPr>
      <w:drawing>
        <wp:anchor distT="0" distB="0" distL="114300" distR="114300" simplePos="0" relativeHeight="251659264" behindDoc="1" locked="0" layoutInCell="1" allowOverlap="1" wp14:anchorId="6937C694" wp14:editId="1BCA02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74D5" w14:textId="77777777" w:rsidR="00E029E1" w:rsidRDefault="00774F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7B"/>
    <w:rsid w:val="00005306"/>
    <w:rsid w:val="00005632"/>
    <w:rsid w:val="00037EC4"/>
    <w:rsid w:val="00053DAE"/>
    <w:rsid w:val="000570AB"/>
    <w:rsid w:val="00057463"/>
    <w:rsid w:val="00065C95"/>
    <w:rsid w:val="00074F5E"/>
    <w:rsid w:val="000821D5"/>
    <w:rsid w:val="000B64B0"/>
    <w:rsid w:val="000C3AC6"/>
    <w:rsid w:val="000D6C06"/>
    <w:rsid w:val="000F0CF8"/>
    <w:rsid w:val="0010385D"/>
    <w:rsid w:val="00167E45"/>
    <w:rsid w:val="00171235"/>
    <w:rsid w:val="00183456"/>
    <w:rsid w:val="00184877"/>
    <w:rsid w:val="00184A2B"/>
    <w:rsid w:val="001928F1"/>
    <w:rsid w:val="001935C4"/>
    <w:rsid w:val="001B4E15"/>
    <w:rsid w:val="001D1EB8"/>
    <w:rsid w:val="001D5027"/>
    <w:rsid w:val="001E258B"/>
    <w:rsid w:val="001E2F84"/>
    <w:rsid w:val="001E7126"/>
    <w:rsid w:val="001F7662"/>
    <w:rsid w:val="00201577"/>
    <w:rsid w:val="00205216"/>
    <w:rsid w:val="0021640C"/>
    <w:rsid w:val="0022396C"/>
    <w:rsid w:val="00225CD9"/>
    <w:rsid w:val="002353AE"/>
    <w:rsid w:val="00243563"/>
    <w:rsid w:val="0025333E"/>
    <w:rsid w:val="002A5FAE"/>
    <w:rsid w:val="002C3129"/>
    <w:rsid w:val="002D30FF"/>
    <w:rsid w:val="002E7518"/>
    <w:rsid w:val="002F078F"/>
    <w:rsid w:val="002F210B"/>
    <w:rsid w:val="00324603"/>
    <w:rsid w:val="00353B52"/>
    <w:rsid w:val="00373EEA"/>
    <w:rsid w:val="00376155"/>
    <w:rsid w:val="00386DB2"/>
    <w:rsid w:val="003A51B5"/>
    <w:rsid w:val="004246AA"/>
    <w:rsid w:val="004519F2"/>
    <w:rsid w:val="0047275F"/>
    <w:rsid w:val="00474890"/>
    <w:rsid w:val="00481CF9"/>
    <w:rsid w:val="004933DA"/>
    <w:rsid w:val="00493D7F"/>
    <w:rsid w:val="004B1202"/>
    <w:rsid w:val="004C50E9"/>
    <w:rsid w:val="004D273E"/>
    <w:rsid w:val="004E017B"/>
    <w:rsid w:val="004E6B7D"/>
    <w:rsid w:val="00521713"/>
    <w:rsid w:val="00541BF8"/>
    <w:rsid w:val="0054499E"/>
    <w:rsid w:val="0055347F"/>
    <w:rsid w:val="005574C9"/>
    <w:rsid w:val="005647FE"/>
    <w:rsid w:val="00565556"/>
    <w:rsid w:val="0058047B"/>
    <w:rsid w:val="00580AE4"/>
    <w:rsid w:val="00583DAB"/>
    <w:rsid w:val="005853B9"/>
    <w:rsid w:val="005A4C0A"/>
    <w:rsid w:val="005A638E"/>
    <w:rsid w:val="005D07DE"/>
    <w:rsid w:val="005D641F"/>
    <w:rsid w:val="005D767F"/>
    <w:rsid w:val="005E7DAA"/>
    <w:rsid w:val="006112E8"/>
    <w:rsid w:val="00617E02"/>
    <w:rsid w:val="006308CB"/>
    <w:rsid w:val="00634A16"/>
    <w:rsid w:val="00680486"/>
    <w:rsid w:val="006C7118"/>
    <w:rsid w:val="007006CD"/>
    <w:rsid w:val="007021D3"/>
    <w:rsid w:val="00703498"/>
    <w:rsid w:val="00705279"/>
    <w:rsid w:val="007173B7"/>
    <w:rsid w:val="00752E65"/>
    <w:rsid w:val="0075723E"/>
    <w:rsid w:val="007632A7"/>
    <w:rsid w:val="0077471E"/>
    <w:rsid w:val="00774F6A"/>
    <w:rsid w:val="00780531"/>
    <w:rsid w:val="007A06CE"/>
    <w:rsid w:val="007A39B0"/>
    <w:rsid w:val="007F5771"/>
    <w:rsid w:val="00800FA3"/>
    <w:rsid w:val="00802B6C"/>
    <w:rsid w:val="00802F22"/>
    <w:rsid w:val="00803F3A"/>
    <w:rsid w:val="00806895"/>
    <w:rsid w:val="00823FB3"/>
    <w:rsid w:val="00824E64"/>
    <w:rsid w:val="00850E46"/>
    <w:rsid w:val="0085162D"/>
    <w:rsid w:val="00864D94"/>
    <w:rsid w:val="008933AE"/>
    <w:rsid w:val="008A1114"/>
    <w:rsid w:val="008A2110"/>
    <w:rsid w:val="008B74A9"/>
    <w:rsid w:val="008C1F40"/>
    <w:rsid w:val="008C40B0"/>
    <w:rsid w:val="008E22F1"/>
    <w:rsid w:val="008E2F39"/>
    <w:rsid w:val="00917729"/>
    <w:rsid w:val="009272DB"/>
    <w:rsid w:val="00930FFD"/>
    <w:rsid w:val="00941563"/>
    <w:rsid w:val="00943AD9"/>
    <w:rsid w:val="00946330"/>
    <w:rsid w:val="0095318D"/>
    <w:rsid w:val="0095632F"/>
    <w:rsid w:val="0095677D"/>
    <w:rsid w:val="0096498B"/>
    <w:rsid w:val="00977F01"/>
    <w:rsid w:val="00980572"/>
    <w:rsid w:val="00994028"/>
    <w:rsid w:val="009A3FC3"/>
    <w:rsid w:val="009C3E4C"/>
    <w:rsid w:val="009E046E"/>
    <w:rsid w:val="009F381B"/>
    <w:rsid w:val="00A02BF6"/>
    <w:rsid w:val="00A07F2E"/>
    <w:rsid w:val="00A3199D"/>
    <w:rsid w:val="00A5626D"/>
    <w:rsid w:val="00A86660"/>
    <w:rsid w:val="00AA630E"/>
    <w:rsid w:val="00AB45F3"/>
    <w:rsid w:val="00AD6584"/>
    <w:rsid w:val="00AE6D0C"/>
    <w:rsid w:val="00B158B7"/>
    <w:rsid w:val="00B268F6"/>
    <w:rsid w:val="00B27092"/>
    <w:rsid w:val="00B34068"/>
    <w:rsid w:val="00B421F6"/>
    <w:rsid w:val="00B43A38"/>
    <w:rsid w:val="00B55C50"/>
    <w:rsid w:val="00B724A0"/>
    <w:rsid w:val="00B9140D"/>
    <w:rsid w:val="00BA260C"/>
    <w:rsid w:val="00BA67E3"/>
    <w:rsid w:val="00BC0E54"/>
    <w:rsid w:val="00BC435B"/>
    <w:rsid w:val="00BE3DBA"/>
    <w:rsid w:val="00BF14D1"/>
    <w:rsid w:val="00C25F5E"/>
    <w:rsid w:val="00C318DF"/>
    <w:rsid w:val="00C41402"/>
    <w:rsid w:val="00C46D77"/>
    <w:rsid w:val="00C65239"/>
    <w:rsid w:val="00C7217D"/>
    <w:rsid w:val="00C730EB"/>
    <w:rsid w:val="00C875F2"/>
    <w:rsid w:val="00C934E0"/>
    <w:rsid w:val="00CC3557"/>
    <w:rsid w:val="00CC4597"/>
    <w:rsid w:val="00CC5ACF"/>
    <w:rsid w:val="00CD3033"/>
    <w:rsid w:val="00CE34AB"/>
    <w:rsid w:val="00CE4841"/>
    <w:rsid w:val="00D04D3E"/>
    <w:rsid w:val="00D168E2"/>
    <w:rsid w:val="00D51BB4"/>
    <w:rsid w:val="00D542A9"/>
    <w:rsid w:val="00D63EAD"/>
    <w:rsid w:val="00DC0978"/>
    <w:rsid w:val="00DC17F4"/>
    <w:rsid w:val="00DC3F04"/>
    <w:rsid w:val="00DD00C3"/>
    <w:rsid w:val="00DE2EC9"/>
    <w:rsid w:val="00DF02B8"/>
    <w:rsid w:val="00DF19C1"/>
    <w:rsid w:val="00DF7A25"/>
    <w:rsid w:val="00E156EE"/>
    <w:rsid w:val="00E3300F"/>
    <w:rsid w:val="00E3642C"/>
    <w:rsid w:val="00E50045"/>
    <w:rsid w:val="00EA4D7D"/>
    <w:rsid w:val="00EC50E4"/>
    <w:rsid w:val="00EE1CD2"/>
    <w:rsid w:val="00EE5314"/>
    <w:rsid w:val="00EE6D53"/>
    <w:rsid w:val="00F06AA8"/>
    <w:rsid w:val="00F260DB"/>
    <w:rsid w:val="00F4784F"/>
    <w:rsid w:val="00F50D06"/>
    <w:rsid w:val="00F51E75"/>
    <w:rsid w:val="00F8127A"/>
    <w:rsid w:val="00F91B46"/>
    <w:rsid w:val="00FA1363"/>
    <w:rsid w:val="00FA7A1E"/>
    <w:rsid w:val="00FB5B40"/>
    <w:rsid w:val="00FE3A4B"/>
    <w:rsid w:val="00FF1823"/>
    <w:rsid w:val="00FF519F"/>
    <w:rsid w:val="0ECD9B22"/>
    <w:rsid w:val="55CAF7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D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3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E017B"/>
    <w:pPr>
      <w:ind w:left="720"/>
      <w:contextualSpacing/>
    </w:pPr>
  </w:style>
  <w:style w:type="paragraph" w:styleId="NormalWeb">
    <w:name w:val="Normal (Web)"/>
    <w:basedOn w:val="Normal"/>
    <w:link w:val="NormalWebCar"/>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semiHidden/>
    <w:unhideWhenUsed/>
    <w:rsid w:val="007173B7"/>
    <w:rPr>
      <w:sz w:val="20"/>
      <w:szCs w:val="20"/>
    </w:rPr>
  </w:style>
  <w:style w:type="character" w:customStyle="1" w:styleId="TextocomentarioCar">
    <w:name w:val="Texto comentario Car"/>
    <w:basedOn w:val="Fuentedeprrafopredeter"/>
    <w:link w:val="Textocomentario"/>
    <w:uiPriority w:val="99"/>
    <w:semiHidden/>
    <w:rsid w:val="007173B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129"/>
    <w:rPr>
      <w:b/>
      <w:bCs/>
    </w:rPr>
  </w:style>
  <w:style w:type="character" w:customStyle="1" w:styleId="AsuntodelcomentarioCar">
    <w:name w:val="Asunto del comentario Car"/>
    <w:basedOn w:val="TextocomentarioCar"/>
    <w:link w:val="Asuntodelcomentario"/>
    <w:uiPriority w:val="99"/>
    <w:semiHidden/>
    <w:rsid w:val="002C3129"/>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DC17F4"/>
    <w:rPr>
      <w:color w:val="0563C1" w:themeColor="hyperlink"/>
      <w:u w:val="single"/>
    </w:rPr>
  </w:style>
  <w:style w:type="character" w:customStyle="1" w:styleId="Mencinsinresolver1">
    <w:name w:val="Mención sin resolver1"/>
    <w:basedOn w:val="Fuentedeprrafopredeter"/>
    <w:uiPriority w:val="99"/>
    <w:semiHidden/>
    <w:unhideWhenUsed/>
    <w:rsid w:val="00DC17F4"/>
    <w:rPr>
      <w:color w:val="605E5C"/>
      <w:shd w:val="clear" w:color="auto" w:fill="E1DFDD"/>
    </w:rPr>
  </w:style>
  <w:style w:type="paragraph" w:customStyle="1" w:styleId="Appelnotedebasde">
    <w:name w:val="Appel note de bas de..."/>
    <w:basedOn w:val="Normal"/>
    <w:link w:val="Refdenotaalpie"/>
    <w:uiPriority w:val="99"/>
    <w:rsid w:val="009E046E"/>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Fuentedeprrafopredeter"/>
    <w:rsid w:val="009E046E"/>
  </w:style>
  <w:style w:type="character" w:styleId="Textoennegrita">
    <w:name w:val="Strong"/>
    <w:basedOn w:val="Fuentedeprrafopredeter"/>
    <w:uiPriority w:val="22"/>
    <w:qFormat/>
    <w:rsid w:val="009E046E"/>
    <w:rPr>
      <w:b/>
      <w:bCs/>
    </w:rPr>
  </w:style>
  <w:style w:type="character" w:styleId="nfasis">
    <w:name w:val="Emphasis"/>
    <w:basedOn w:val="Fuentedeprrafopredeter"/>
    <w:uiPriority w:val="20"/>
    <w:qFormat/>
    <w:rsid w:val="009E046E"/>
    <w:rPr>
      <w:i/>
      <w:iCs/>
    </w:rPr>
  </w:style>
  <w:style w:type="character" w:customStyle="1" w:styleId="normaltextrun">
    <w:name w:val="normaltextrun"/>
    <w:basedOn w:val="Fuentedeprrafopredeter"/>
    <w:rsid w:val="00850E46"/>
  </w:style>
  <w:style w:type="paragraph" w:styleId="Revisin">
    <w:name w:val="Revision"/>
    <w:hidden/>
    <w:uiPriority w:val="99"/>
    <w:semiHidden/>
    <w:rsid w:val="000B64B0"/>
    <w:pPr>
      <w:spacing w:after="0" w:line="240" w:lineRule="auto"/>
    </w:pPr>
    <w:rPr>
      <w:rFonts w:ascii="Times New Roman" w:eastAsia="Times New Roman" w:hAnsi="Times New Roman" w:cs="Times New Roman"/>
      <w:sz w:val="24"/>
      <w:szCs w:val="24"/>
    </w:rPr>
  </w:style>
  <w:style w:type="character" w:customStyle="1" w:styleId="NormalWebCar">
    <w:name w:val="Normal (Web) Car"/>
    <w:link w:val="NormalWeb"/>
    <w:uiPriority w:val="99"/>
    <w:rsid w:val="004933DA"/>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4933DA"/>
    <w:pPr>
      <w:ind w:left="-540"/>
      <w:jc w:val="both"/>
    </w:pPr>
    <w:rPr>
      <w:rFonts w:ascii="Arial" w:hAnsi="Arial" w:cs="Arial"/>
      <w:color w:val="000000"/>
      <w:sz w:val="22"/>
      <w:szCs w:val="22"/>
      <w:lang w:val="es-ES_tradnl" w:eastAsia="es-ES"/>
    </w:rPr>
  </w:style>
  <w:style w:type="character" w:styleId="Mencinsinresolver">
    <w:name w:val="Unresolved Mention"/>
    <w:basedOn w:val="Fuentedeprrafopredeter"/>
    <w:uiPriority w:val="99"/>
    <w:semiHidden/>
    <w:unhideWhenUsed/>
    <w:rsid w:val="001E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lombiacompra.gov.co/manuales-guias-y-pliegos-tipo/contratos/contrato-de-prestacion-de-servici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62B2-516A-47AF-9EF7-BA8D751C64D9}">
  <ds:schemaRefs>
    <ds:schemaRef ds:uri="http://schemas.microsoft.com/sharepoint/v3/contenttype/forms"/>
  </ds:schemaRefs>
</ds:datastoreItem>
</file>

<file path=customXml/itemProps2.xml><?xml version="1.0" encoding="utf-8"?>
<ds:datastoreItem xmlns:ds="http://schemas.openxmlformats.org/officeDocument/2006/customXml" ds:itemID="{A2F8ACC3-208A-49D7-9DB3-5AA5A176A22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CEF93AF-1D24-4C18-8AED-C809C8125BF9}">
  <ds:schemaRefs>
    <ds:schemaRef ds:uri="http://schemas.openxmlformats.org/officeDocument/2006/bibliography"/>
  </ds:schemaRefs>
</ds:datastoreItem>
</file>

<file path=customXml/itemProps4.xml><?xml version="1.0" encoding="utf-8"?>
<ds:datastoreItem xmlns:ds="http://schemas.openxmlformats.org/officeDocument/2006/customXml" ds:itemID="{72FAEF7D-ED82-49F6-9510-DB794EE9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5362</Words>
  <Characters>29496</Characters>
  <Application>Microsoft Office Word</Application>
  <DocSecurity>0</DocSecurity>
  <Lines>245</Lines>
  <Paragraphs>69</Paragraphs>
  <ScaleCrop>false</ScaleCrop>
  <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Edwin Johan Chocontá Quintero</cp:lastModifiedBy>
  <cp:revision>2</cp:revision>
  <dcterms:created xsi:type="dcterms:W3CDTF">2022-04-19T19:35:00Z</dcterms:created>
  <dcterms:modified xsi:type="dcterms:W3CDTF">2022-04-19T19:35:00Z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