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5F55" w14:textId="77777777" w:rsidR="00D73348" w:rsidRPr="004553A4" w:rsidRDefault="00DA2883">
      <w:pPr>
        <w:spacing w:after="0" w:line="240" w:lineRule="auto"/>
        <w:rPr>
          <w:rFonts w:ascii="Arial" w:eastAsia="Arial" w:hAnsi="Arial" w:cs="Arial"/>
          <w:b/>
          <w:sz w:val="22"/>
          <w:szCs w:val="22"/>
        </w:rPr>
      </w:pPr>
      <w:bookmarkStart w:id="0" w:name="_gjdgxs" w:colFirst="0" w:colLast="0"/>
      <w:bookmarkEnd w:id="0"/>
      <w:r w:rsidRPr="004553A4">
        <w:rPr>
          <w:rFonts w:ascii="Arial" w:eastAsia="Arial" w:hAnsi="Arial" w:cs="Arial"/>
          <w:b/>
          <w:sz w:val="22"/>
          <w:szCs w:val="22"/>
        </w:rPr>
        <w:t>LEY DE GARANTÍAS ELECTORALES – Finalidad</w:t>
      </w:r>
    </w:p>
    <w:p w14:paraId="146AF4B5" w14:textId="77777777" w:rsidR="00D73348" w:rsidRPr="00D22117" w:rsidRDefault="00D73348">
      <w:pPr>
        <w:spacing w:after="0" w:line="240" w:lineRule="auto"/>
        <w:rPr>
          <w:rFonts w:ascii="Arial" w:eastAsia="Arial" w:hAnsi="Arial" w:cs="Arial"/>
          <w:sz w:val="20"/>
          <w:szCs w:val="20"/>
        </w:rPr>
      </w:pPr>
    </w:p>
    <w:p w14:paraId="663A7967" w14:textId="77777777" w:rsidR="00D73348" w:rsidRPr="00D22117" w:rsidRDefault="00DA2883">
      <w:pPr>
        <w:tabs>
          <w:tab w:val="left" w:pos="426"/>
        </w:tabs>
        <w:spacing w:after="0" w:line="240" w:lineRule="auto"/>
        <w:rPr>
          <w:rFonts w:ascii="Arial" w:eastAsia="Arial" w:hAnsi="Arial" w:cs="Arial"/>
          <w:sz w:val="20"/>
          <w:szCs w:val="20"/>
        </w:rPr>
      </w:pPr>
      <w:bookmarkStart w:id="1" w:name="_30j0zll" w:colFirst="0" w:colLast="0"/>
      <w:bookmarkEnd w:id="1"/>
      <w:r w:rsidRPr="00D22117">
        <w:rPr>
          <w:rFonts w:ascii="Arial" w:eastAsia="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6C50405A" w14:textId="77777777" w:rsidR="00D73348" w:rsidRPr="00D22117" w:rsidRDefault="00D73348">
      <w:pPr>
        <w:tabs>
          <w:tab w:val="left" w:pos="426"/>
        </w:tabs>
        <w:spacing w:after="0" w:line="240" w:lineRule="auto"/>
        <w:rPr>
          <w:rFonts w:ascii="Arial" w:eastAsia="Arial" w:hAnsi="Arial" w:cs="Arial"/>
          <w:sz w:val="20"/>
          <w:szCs w:val="20"/>
        </w:rPr>
      </w:pPr>
      <w:bookmarkStart w:id="2" w:name="_1fob9te" w:colFirst="0" w:colLast="0"/>
      <w:bookmarkEnd w:id="2"/>
    </w:p>
    <w:p w14:paraId="5DC1B807" w14:textId="77777777" w:rsidR="00D73348" w:rsidRPr="004553A4" w:rsidRDefault="00DA2883">
      <w:pPr>
        <w:tabs>
          <w:tab w:val="left" w:pos="426"/>
        </w:tabs>
        <w:spacing w:after="0" w:line="240" w:lineRule="auto"/>
        <w:rPr>
          <w:rFonts w:ascii="Arial" w:eastAsia="Arial" w:hAnsi="Arial" w:cs="Arial"/>
          <w:b/>
          <w:sz w:val="22"/>
          <w:szCs w:val="22"/>
        </w:rPr>
      </w:pPr>
      <w:bookmarkStart w:id="3" w:name="_3znysh7" w:colFirst="0" w:colLast="0"/>
      <w:bookmarkEnd w:id="3"/>
      <w:r w:rsidRPr="004553A4">
        <w:rPr>
          <w:rFonts w:ascii="Arial" w:eastAsia="Arial" w:hAnsi="Arial" w:cs="Arial"/>
          <w:b/>
          <w:sz w:val="22"/>
          <w:szCs w:val="22"/>
        </w:rPr>
        <w:t xml:space="preserve">LEY DE GARANTÍAS ELECTORALES ‒ Tipos de restricciones ‒ Ámbito temporal </w:t>
      </w:r>
    </w:p>
    <w:p w14:paraId="6BBDBDC8" w14:textId="77777777" w:rsidR="00D73348" w:rsidRPr="00D22117" w:rsidRDefault="00D73348">
      <w:pPr>
        <w:tabs>
          <w:tab w:val="left" w:pos="426"/>
        </w:tabs>
        <w:spacing w:after="0" w:line="240" w:lineRule="auto"/>
        <w:rPr>
          <w:rFonts w:ascii="Arial" w:eastAsia="Arial" w:hAnsi="Arial" w:cs="Arial"/>
          <w:b/>
          <w:sz w:val="20"/>
          <w:szCs w:val="20"/>
        </w:rPr>
      </w:pPr>
    </w:p>
    <w:p w14:paraId="6926884E"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064812D9" w14:textId="77777777" w:rsidR="00D73348" w:rsidRPr="00D22117" w:rsidRDefault="00D73348">
      <w:pPr>
        <w:tabs>
          <w:tab w:val="left" w:pos="426"/>
        </w:tabs>
        <w:spacing w:after="0" w:line="240" w:lineRule="auto"/>
        <w:rPr>
          <w:rFonts w:ascii="Arial" w:eastAsia="Arial" w:hAnsi="Arial" w:cs="Arial"/>
          <w:sz w:val="20"/>
          <w:szCs w:val="20"/>
        </w:rPr>
      </w:pPr>
    </w:p>
    <w:p w14:paraId="1607C1A3" w14:textId="77777777" w:rsidR="00D73348" w:rsidRPr="004553A4" w:rsidRDefault="00DA2883">
      <w:pPr>
        <w:tabs>
          <w:tab w:val="left" w:pos="426"/>
        </w:tabs>
        <w:spacing w:after="0" w:line="240" w:lineRule="auto"/>
        <w:rPr>
          <w:rFonts w:ascii="Arial" w:eastAsia="Arial" w:hAnsi="Arial" w:cs="Arial"/>
          <w:b/>
          <w:sz w:val="22"/>
          <w:szCs w:val="22"/>
        </w:rPr>
      </w:pPr>
      <w:bookmarkStart w:id="4" w:name="_2et92p0" w:colFirst="0" w:colLast="0"/>
      <w:bookmarkEnd w:id="4"/>
      <w:r w:rsidRPr="004553A4">
        <w:rPr>
          <w:rFonts w:ascii="Arial" w:eastAsia="Arial" w:hAnsi="Arial" w:cs="Arial"/>
          <w:b/>
          <w:sz w:val="22"/>
          <w:szCs w:val="22"/>
        </w:rPr>
        <w:t xml:space="preserve">LEY DE GARANTÍAS ELECTORALES ─ Prohibición ‒ Contratación directa ‒ Alcance </w:t>
      </w:r>
    </w:p>
    <w:p w14:paraId="429C4389" w14:textId="77777777" w:rsidR="00D73348" w:rsidRPr="00D22117" w:rsidRDefault="00D73348">
      <w:pPr>
        <w:tabs>
          <w:tab w:val="left" w:pos="426"/>
        </w:tabs>
        <w:spacing w:after="0" w:line="240" w:lineRule="auto"/>
        <w:rPr>
          <w:rFonts w:ascii="Arial" w:eastAsia="Arial" w:hAnsi="Arial" w:cs="Arial"/>
          <w:sz w:val="20"/>
          <w:szCs w:val="20"/>
        </w:rPr>
      </w:pPr>
    </w:p>
    <w:p w14:paraId="7FD7B6E2"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18FED52"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 xml:space="preserve">  </w:t>
      </w:r>
    </w:p>
    <w:p w14:paraId="599027F2" w14:textId="77777777" w:rsidR="00D73348" w:rsidRPr="004553A4" w:rsidRDefault="00DA2883">
      <w:pPr>
        <w:shd w:val="clear" w:color="auto" w:fill="FFFFFF"/>
        <w:spacing w:after="0" w:line="240" w:lineRule="auto"/>
        <w:rPr>
          <w:rFonts w:ascii="Arial" w:eastAsia="Arial" w:hAnsi="Arial" w:cs="Arial"/>
          <w:sz w:val="22"/>
          <w:szCs w:val="22"/>
        </w:rPr>
      </w:pPr>
      <w:bookmarkStart w:id="5" w:name="_tyjcwt" w:colFirst="0" w:colLast="0"/>
      <w:bookmarkEnd w:id="5"/>
      <w:r w:rsidRPr="004553A4">
        <w:rPr>
          <w:rFonts w:ascii="Arial" w:eastAsia="Arial" w:hAnsi="Arial" w:cs="Arial"/>
          <w:b/>
          <w:sz w:val="22"/>
          <w:szCs w:val="22"/>
        </w:rPr>
        <w:t>LEY DE GARANTÍAS ELECTORALES ‒ Excepciones</w:t>
      </w:r>
      <w:r w:rsidRPr="004553A4">
        <w:rPr>
          <w:rFonts w:ascii="Arial" w:eastAsia="Arial" w:hAnsi="Arial" w:cs="Arial"/>
          <w:sz w:val="22"/>
          <w:szCs w:val="22"/>
        </w:rPr>
        <w:t xml:space="preserve"> </w:t>
      </w:r>
    </w:p>
    <w:p w14:paraId="0A5961DC" w14:textId="77777777" w:rsidR="00D73348" w:rsidRPr="00D22117" w:rsidRDefault="00D73348">
      <w:pPr>
        <w:shd w:val="clear" w:color="auto" w:fill="FFFFFF"/>
        <w:spacing w:after="0" w:line="240" w:lineRule="auto"/>
        <w:rPr>
          <w:rFonts w:ascii="Arial" w:eastAsia="Arial" w:hAnsi="Arial" w:cs="Arial"/>
          <w:sz w:val="20"/>
          <w:szCs w:val="20"/>
        </w:rPr>
      </w:pPr>
    </w:p>
    <w:p w14:paraId="220BDA77"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w:t>
      </w:r>
      <w:r w:rsidRPr="00D22117">
        <w:rPr>
          <w:rFonts w:ascii="Arial" w:eastAsia="Arial" w:hAnsi="Arial" w:cs="Arial"/>
          <w:sz w:val="20"/>
          <w:szCs w:val="20"/>
        </w:rPr>
        <w:lastRenderedPageBreak/>
        <w:t>acciones terroristas, desastres naturales o casos de fuerza mayor; y, v) los que deban realizar las entidades sanitarias y hospitalarias.</w:t>
      </w:r>
    </w:p>
    <w:p w14:paraId="3BC8BAC8" w14:textId="77777777" w:rsidR="00D73348" w:rsidRPr="004553A4" w:rsidRDefault="00D73348">
      <w:pPr>
        <w:tabs>
          <w:tab w:val="left" w:pos="426"/>
        </w:tabs>
        <w:spacing w:after="0" w:line="240" w:lineRule="auto"/>
        <w:rPr>
          <w:rFonts w:ascii="Arial" w:eastAsia="Arial" w:hAnsi="Arial" w:cs="Arial"/>
          <w:sz w:val="22"/>
          <w:szCs w:val="22"/>
        </w:rPr>
      </w:pPr>
    </w:p>
    <w:p w14:paraId="1EB2634C" w14:textId="77777777" w:rsidR="00D73348" w:rsidRPr="004553A4" w:rsidRDefault="00DA2883">
      <w:pPr>
        <w:spacing w:after="0" w:line="240" w:lineRule="auto"/>
        <w:rPr>
          <w:rFonts w:ascii="Arial" w:eastAsia="Arial" w:hAnsi="Arial" w:cs="Arial"/>
          <w:b/>
          <w:sz w:val="22"/>
          <w:szCs w:val="22"/>
        </w:rPr>
      </w:pPr>
      <w:bookmarkStart w:id="6" w:name="_3dy6vkm" w:colFirst="0" w:colLast="0"/>
      <w:bookmarkEnd w:id="6"/>
      <w:r w:rsidRPr="004553A4">
        <w:rPr>
          <w:rFonts w:ascii="Arial" w:eastAsia="Arial" w:hAnsi="Arial" w:cs="Arial"/>
          <w:b/>
          <w:sz w:val="22"/>
          <w:szCs w:val="22"/>
        </w:rPr>
        <w:t>LEY DE GARANTÍAS ELECTORALES ‒ Prohibición del artículo 33 de la Ley de garantías ‒ Destinatarios</w:t>
      </w:r>
    </w:p>
    <w:p w14:paraId="3C982FE1" w14:textId="77777777" w:rsidR="00D73348" w:rsidRPr="00D22117" w:rsidRDefault="00D73348">
      <w:pPr>
        <w:tabs>
          <w:tab w:val="left" w:pos="426"/>
        </w:tabs>
        <w:spacing w:after="0" w:line="240" w:lineRule="auto"/>
        <w:rPr>
          <w:rFonts w:ascii="Arial" w:eastAsia="Arial" w:hAnsi="Arial" w:cs="Arial"/>
          <w:sz w:val="20"/>
          <w:szCs w:val="20"/>
        </w:rPr>
      </w:pPr>
    </w:p>
    <w:p w14:paraId="35719957"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21466D6" w14:textId="77777777" w:rsidR="00D73348" w:rsidRPr="00D22117" w:rsidRDefault="00D73348">
      <w:pPr>
        <w:tabs>
          <w:tab w:val="left" w:pos="426"/>
        </w:tabs>
        <w:spacing w:after="0" w:line="240" w:lineRule="auto"/>
        <w:rPr>
          <w:rFonts w:ascii="Arial" w:eastAsia="Arial" w:hAnsi="Arial" w:cs="Arial"/>
          <w:sz w:val="20"/>
          <w:szCs w:val="20"/>
        </w:rPr>
      </w:pPr>
    </w:p>
    <w:p w14:paraId="43B9FD7A" w14:textId="77777777" w:rsidR="00D73348" w:rsidRPr="004553A4" w:rsidRDefault="00DA2883">
      <w:pPr>
        <w:tabs>
          <w:tab w:val="left" w:pos="426"/>
        </w:tabs>
        <w:spacing w:after="0" w:line="240" w:lineRule="auto"/>
        <w:rPr>
          <w:rFonts w:ascii="Arial" w:eastAsia="Arial" w:hAnsi="Arial" w:cs="Arial"/>
          <w:b/>
          <w:sz w:val="22"/>
          <w:szCs w:val="22"/>
        </w:rPr>
      </w:pPr>
      <w:r w:rsidRPr="004553A4">
        <w:rPr>
          <w:rFonts w:ascii="Arial" w:eastAsia="Arial" w:hAnsi="Arial" w:cs="Arial"/>
          <w:b/>
          <w:sz w:val="22"/>
          <w:szCs w:val="22"/>
        </w:rPr>
        <w:t>LEY DE GARANTÍAS ELECTORALES ‒ Prohibición comicios cargos de elección popular – Convenios y contratos interadministrativos</w:t>
      </w:r>
    </w:p>
    <w:p w14:paraId="513E1413" w14:textId="77777777" w:rsidR="00D73348" w:rsidRPr="00D22117" w:rsidRDefault="00D73348">
      <w:pPr>
        <w:tabs>
          <w:tab w:val="left" w:pos="426"/>
        </w:tabs>
        <w:spacing w:after="0" w:line="240" w:lineRule="auto"/>
        <w:rPr>
          <w:rFonts w:ascii="Arial" w:eastAsia="Arial" w:hAnsi="Arial" w:cs="Arial"/>
          <w:sz w:val="20"/>
          <w:szCs w:val="20"/>
        </w:rPr>
      </w:pPr>
    </w:p>
    <w:p w14:paraId="5595062D"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11ACE0E" w14:textId="77777777" w:rsidR="00D73348" w:rsidRPr="004553A4" w:rsidRDefault="00D73348">
      <w:pPr>
        <w:spacing w:after="0" w:line="240" w:lineRule="auto"/>
        <w:rPr>
          <w:rFonts w:ascii="Arial" w:eastAsia="Arial" w:hAnsi="Arial" w:cs="Arial"/>
          <w:b/>
          <w:color w:val="000000"/>
          <w:sz w:val="22"/>
          <w:szCs w:val="22"/>
        </w:rPr>
      </w:pPr>
    </w:p>
    <w:p w14:paraId="0C5FC389" w14:textId="77777777" w:rsidR="00D73348" w:rsidRPr="00D22117" w:rsidRDefault="00DA2883">
      <w:pPr>
        <w:spacing w:after="0" w:line="240" w:lineRule="auto"/>
        <w:rPr>
          <w:rFonts w:ascii="Arial" w:eastAsia="Arial" w:hAnsi="Arial" w:cs="Arial"/>
          <w:b/>
          <w:color w:val="000000"/>
          <w:sz w:val="20"/>
          <w:szCs w:val="20"/>
        </w:rPr>
      </w:pPr>
      <w:r w:rsidRPr="004553A4">
        <w:rPr>
          <w:rFonts w:ascii="Arial" w:eastAsia="Arial" w:hAnsi="Arial" w:cs="Arial"/>
          <w:b/>
          <w:color w:val="000000"/>
          <w:sz w:val="22"/>
          <w:szCs w:val="22"/>
        </w:rPr>
        <w:t xml:space="preserve">CONTRATOS Y CONVENIOS INTERADMINISTRATIVOS – Definición – Criterio orgánico </w:t>
      </w:r>
    </w:p>
    <w:p w14:paraId="50DD0715" w14:textId="77777777" w:rsidR="00D73348" w:rsidRPr="00D22117" w:rsidRDefault="00D73348">
      <w:pPr>
        <w:spacing w:after="0" w:line="240" w:lineRule="auto"/>
        <w:rPr>
          <w:rFonts w:ascii="Arial" w:eastAsia="Arial" w:hAnsi="Arial" w:cs="Arial"/>
          <w:color w:val="000000"/>
          <w:sz w:val="20"/>
          <w:szCs w:val="20"/>
        </w:rPr>
      </w:pPr>
    </w:p>
    <w:p w14:paraId="4A657FD4" w14:textId="77777777" w:rsidR="00D73348" w:rsidRPr="00D22117" w:rsidRDefault="00DA2883">
      <w:pPr>
        <w:spacing w:after="0" w:line="240" w:lineRule="auto"/>
        <w:rPr>
          <w:rFonts w:ascii="Arial" w:eastAsia="Arial" w:hAnsi="Arial" w:cs="Arial"/>
          <w:color w:val="000000"/>
          <w:sz w:val="20"/>
          <w:szCs w:val="20"/>
        </w:rPr>
      </w:pPr>
      <w:r w:rsidRPr="00D22117">
        <w:rPr>
          <w:rFonts w:ascii="Arial" w:eastAsia="Arial" w:hAnsi="Arial" w:cs="Arial"/>
          <w:color w:val="000000"/>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2E5C1A2" w14:textId="77777777" w:rsidR="00D73348" w:rsidRPr="004553A4" w:rsidRDefault="00D73348">
      <w:pPr>
        <w:spacing w:after="0" w:line="240" w:lineRule="auto"/>
        <w:rPr>
          <w:rFonts w:ascii="Arial" w:eastAsia="Arial" w:hAnsi="Arial" w:cs="Arial"/>
          <w:color w:val="000000"/>
          <w:sz w:val="22"/>
          <w:szCs w:val="22"/>
        </w:rPr>
      </w:pPr>
    </w:p>
    <w:p w14:paraId="3342209F" w14:textId="77777777" w:rsidR="00D73348" w:rsidRPr="004553A4" w:rsidRDefault="00DA2883">
      <w:pPr>
        <w:spacing w:after="0" w:line="240" w:lineRule="auto"/>
        <w:rPr>
          <w:rFonts w:ascii="Arial" w:eastAsia="Arial" w:hAnsi="Arial" w:cs="Arial"/>
          <w:b/>
          <w:color w:val="000000"/>
          <w:sz w:val="22"/>
          <w:szCs w:val="22"/>
        </w:rPr>
      </w:pPr>
      <w:bookmarkStart w:id="7" w:name="_1t3h5sf" w:colFirst="0" w:colLast="0"/>
      <w:bookmarkEnd w:id="7"/>
      <w:r w:rsidRPr="004553A4">
        <w:rPr>
          <w:rFonts w:ascii="Arial" w:eastAsia="Arial" w:hAnsi="Arial" w:cs="Arial"/>
          <w:b/>
          <w:color w:val="000000"/>
          <w:sz w:val="22"/>
          <w:szCs w:val="22"/>
        </w:rPr>
        <w:t>CONTRATOS Y CONVENIOS INTERADMINISTRATIVOS – Entidades con régimen especial de contratación – Procedencia</w:t>
      </w:r>
    </w:p>
    <w:p w14:paraId="0AEA3328" w14:textId="77777777" w:rsidR="00D73348" w:rsidRPr="00D22117" w:rsidRDefault="00D73348">
      <w:pPr>
        <w:spacing w:after="0" w:line="240" w:lineRule="auto"/>
        <w:rPr>
          <w:rFonts w:ascii="Arial" w:eastAsia="Arial" w:hAnsi="Arial" w:cs="Arial"/>
          <w:color w:val="000000"/>
          <w:sz w:val="20"/>
          <w:szCs w:val="20"/>
        </w:rPr>
      </w:pPr>
    </w:p>
    <w:p w14:paraId="55B92C45" w14:textId="77777777" w:rsidR="00D73348" w:rsidRPr="00D22117" w:rsidRDefault="00DA2883">
      <w:pPr>
        <w:tabs>
          <w:tab w:val="left" w:pos="426"/>
        </w:tabs>
        <w:spacing w:after="0" w:line="240" w:lineRule="auto"/>
        <w:rPr>
          <w:rFonts w:ascii="Arial" w:eastAsia="Arial" w:hAnsi="Arial" w:cs="Arial"/>
          <w:sz w:val="20"/>
          <w:szCs w:val="20"/>
        </w:rPr>
      </w:pPr>
      <w:r w:rsidRPr="00D22117">
        <w:rPr>
          <w:rFonts w:ascii="Arial" w:eastAsia="Arial" w:hAnsi="Arial" w:cs="Arial"/>
          <w:color w:val="000000"/>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BE42962" w14:textId="77777777" w:rsidR="00D73348" w:rsidRPr="00D22117" w:rsidRDefault="00D73348">
      <w:pPr>
        <w:spacing w:after="0" w:line="240" w:lineRule="auto"/>
        <w:rPr>
          <w:rFonts w:ascii="Arial" w:eastAsia="Arial" w:hAnsi="Arial" w:cs="Arial"/>
          <w:b/>
          <w:color w:val="000000"/>
          <w:sz w:val="20"/>
          <w:szCs w:val="20"/>
        </w:rPr>
      </w:pPr>
    </w:p>
    <w:p w14:paraId="3B147808" w14:textId="77777777" w:rsidR="00D73348" w:rsidRPr="004553A4" w:rsidRDefault="00DA2883">
      <w:pPr>
        <w:spacing w:after="0" w:line="240" w:lineRule="auto"/>
        <w:rPr>
          <w:rFonts w:ascii="Arial" w:eastAsia="Arial" w:hAnsi="Arial" w:cs="Arial"/>
          <w:b/>
          <w:color w:val="000000"/>
          <w:sz w:val="22"/>
          <w:szCs w:val="22"/>
        </w:rPr>
      </w:pPr>
      <w:r w:rsidRPr="004553A4">
        <w:rPr>
          <w:rFonts w:ascii="Arial" w:eastAsia="Arial" w:hAnsi="Arial" w:cs="Arial"/>
          <w:b/>
          <w:color w:val="000000"/>
          <w:sz w:val="22"/>
          <w:szCs w:val="22"/>
        </w:rPr>
        <w:lastRenderedPageBreak/>
        <w:t>CONTRATOS Y CONVENIOS INTERADMINISTRATIVOS – Modalidad de selección</w:t>
      </w:r>
    </w:p>
    <w:p w14:paraId="1B4DA62C" w14:textId="77777777" w:rsidR="00D73348" w:rsidRPr="00D22117" w:rsidRDefault="00D73348">
      <w:pPr>
        <w:spacing w:after="0" w:line="240" w:lineRule="auto"/>
        <w:rPr>
          <w:rFonts w:ascii="Arial" w:eastAsia="Arial" w:hAnsi="Arial" w:cs="Arial"/>
          <w:b/>
          <w:color w:val="000000"/>
          <w:sz w:val="20"/>
          <w:szCs w:val="20"/>
        </w:rPr>
      </w:pPr>
    </w:p>
    <w:p w14:paraId="0CECA29B" w14:textId="77777777" w:rsidR="00D73348" w:rsidRPr="00D22117" w:rsidRDefault="00DA2883">
      <w:pPr>
        <w:spacing w:after="0" w:line="240" w:lineRule="auto"/>
        <w:rPr>
          <w:rFonts w:ascii="Arial" w:eastAsia="Arial" w:hAnsi="Arial" w:cs="Arial"/>
          <w:color w:val="000000"/>
          <w:sz w:val="20"/>
          <w:szCs w:val="20"/>
        </w:rPr>
      </w:pPr>
      <w:r w:rsidRPr="00D22117">
        <w:rPr>
          <w:rFonts w:ascii="Arial" w:eastAsia="Arial" w:hAnsi="Arial" w:cs="Arial"/>
          <w:color w:val="000000"/>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6D26C5C2" w14:textId="77777777" w:rsidR="00D73348" w:rsidRPr="00D22117" w:rsidRDefault="00D73348">
      <w:pPr>
        <w:spacing w:after="0" w:line="240" w:lineRule="auto"/>
        <w:rPr>
          <w:rFonts w:ascii="Arial" w:eastAsia="Arial" w:hAnsi="Arial" w:cs="Arial"/>
          <w:color w:val="000000"/>
          <w:sz w:val="20"/>
          <w:szCs w:val="20"/>
        </w:rPr>
      </w:pPr>
    </w:p>
    <w:p w14:paraId="037D9F30" w14:textId="77777777" w:rsidR="00D73348" w:rsidRPr="004553A4" w:rsidRDefault="00DA2883">
      <w:pPr>
        <w:tabs>
          <w:tab w:val="left" w:pos="426"/>
        </w:tabs>
        <w:spacing w:after="0" w:line="240" w:lineRule="auto"/>
        <w:rPr>
          <w:rFonts w:ascii="Arial" w:eastAsia="Arial" w:hAnsi="Arial" w:cs="Arial"/>
          <w:b/>
          <w:sz w:val="22"/>
          <w:szCs w:val="22"/>
        </w:rPr>
      </w:pPr>
      <w:bookmarkStart w:id="8" w:name="_4d34og8" w:colFirst="0" w:colLast="0"/>
      <w:bookmarkEnd w:id="8"/>
      <w:r w:rsidRPr="004553A4">
        <w:rPr>
          <w:rFonts w:ascii="Arial" w:eastAsia="Arial" w:hAnsi="Arial" w:cs="Arial"/>
          <w:b/>
          <w:sz w:val="22"/>
          <w:szCs w:val="22"/>
        </w:rPr>
        <w:t xml:space="preserve">LEY DE GARANTÍAS ELECTORALES – Prohibición – Celebración convenios o contratos interadministrativos – Orden judicial </w:t>
      </w:r>
    </w:p>
    <w:p w14:paraId="0550A3B9" w14:textId="77777777" w:rsidR="00D73348" w:rsidRPr="00D22117" w:rsidRDefault="00D73348">
      <w:pPr>
        <w:spacing w:after="0" w:line="240" w:lineRule="auto"/>
        <w:rPr>
          <w:rFonts w:ascii="Arial" w:eastAsia="Arial" w:hAnsi="Arial" w:cs="Arial"/>
          <w:sz w:val="20"/>
          <w:szCs w:val="20"/>
        </w:rPr>
      </w:pPr>
    </w:p>
    <w:p w14:paraId="01A594ED" w14:textId="77777777" w:rsidR="00D73348" w:rsidRPr="00D22117" w:rsidRDefault="00DA2883">
      <w:pPr>
        <w:spacing w:after="0" w:line="240" w:lineRule="auto"/>
        <w:rPr>
          <w:rFonts w:ascii="Arial" w:eastAsia="Arial" w:hAnsi="Arial" w:cs="Arial"/>
          <w:sz w:val="20"/>
          <w:szCs w:val="20"/>
        </w:rPr>
      </w:pPr>
      <w:r w:rsidRPr="00D22117">
        <w:rPr>
          <w:rFonts w:ascii="Arial" w:eastAsia="Arial" w:hAnsi="Arial" w:cs="Arial"/>
          <w:sz w:val="20"/>
          <w:szCs w:val="20"/>
        </w:rPr>
        <w:t xml:space="preserv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484EFBB9" w14:textId="77777777" w:rsidR="00D73348" w:rsidRPr="00D22117" w:rsidRDefault="00D73348">
      <w:pPr>
        <w:spacing w:after="0" w:line="240" w:lineRule="auto"/>
        <w:rPr>
          <w:rFonts w:ascii="Arial" w:eastAsia="Arial" w:hAnsi="Arial" w:cs="Arial"/>
          <w:sz w:val="20"/>
          <w:szCs w:val="20"/>
        </w:rPr>
      </w:pPr>
    </w:p>
    <w:p w14:paraId="0FB3D0AF" w14:textId="3CB5855E" w:rsidR="000627C0" w:rsidRPr="004553A4" w:rsidRDefault="000627C0">
      <w:pPr>
        <w:spacing w:after="0" w:line="240" w:lineRule="auto"/>
        <w:rPr>
          <w:rFonts w:ascii="Arial" w:eastAsia="Arial" w:hAnsi="Arial" w:cs="Arial"/>
          <w:b/>
          <w:sz w:val="22"/>
          <w:szCs w:val="22"/>
        </w:rPr>
      </w:pPr>
      <w:r w:rsidRPr="004553A4">
        <w:rPr>
          <w:rFonts w:ascii="Arial" w:eastAsia="Arial" w:hAnsi="Arial" w:cs="Arial"/>
          <w:b/>
          <w:sz w:val="22"/>
          <w:szCs w:val="22"/>
        </w:rPr>
        <w:t xml:space="preserve">LEY DE GARANTÍAS ELECTORALES  - Prohibición </w:t>
      </w:r>
      <w:r w:rsidR="00D22117" w:rsidRPr="004553A4">
        <w:rPr>
          <w:rFonts w:ascii="Arial" w:eastAsia="Arial" w:hAnsi="Arial" w:cs="Arial"/>
          <w:b/>
          <w:sz w:val="22"/>
          <w:szCs w:val="22"/>
        </w:rPr>
        <w:t>–</w:t>
      </w:r>
      <w:r w:rsidRPr="004553A4">
        <w:rPr>
          <w:rFonts w:ascii="Arial" w:eastAsia="Arial" w:hAnsi="Arial" w:cs="Arial"/>
          <w:b/>
          <w:sz w:val="22"/>
          <w:szCs w:val="22"/>
        </w:rPr>
        <w:t xml:space="preserve"> Celebrac</w:t>
      </w:r>
      <w:r w:rsidR="00D22117" w:rsidRPr="004553A4">
        <w:rPr>
          <w:rFonts w:ascii="Arial" w:eastAsia="Arial" w:hAnsi="Arial" w:cs="Arial"/>
          <w:b/>
          <w:sz w:val="22"/>
          <w:szCs w:val="22"/>
        </w:rPr>
        <w:t>ión de convenios o contratos interadministrativos – Contrato de donación – Contrato de comodato – Contrato de arrendamiento</w:t>
      </w:r>
    </w:p>
    <w:p w14:paraId="3E945675" w14:textId="77777777" w:rsidR="000627C0" w:rsidRPr="00D22117" w:rsidRDefault="000627C0">
      <w:pPr>
        <w:spacing w:after="0" w:line="240" w:lineRule="auto"/>
        <w:rPr>
          <w:rFonts w:ascii="Arial" w:eastAsia="Arial" w:hAnsi="Arial" w:cs="Arial"/>
          <w:b/>
          <w:sz w:val="20"/>
          <w:szCs w:val="20"/>
        </w:rPr>
      </w:pPr>
    </w:p>
    <w:p w14:paraId="042AACE2" w14:textId="61EF331F" w:rsidR="000627C0" w:rsidRPr="00D22117" w:rsidRDefault="00D22117" w:rsidP="00D22117">
      <w:pPr>
        <w:widowControl w:val="0"/>
        <w:spacing w:after="120" w:line="240" w:lineRule="auto"/>
        <w:rPr>
          <w:rFonts w:ascii="Arial" w:eastAsia="Arial" w:hAnsi="Arial" w:cs="Arial"/>
          <w:color w:val="000000"/>
          <w:sz w:val="20"/>
          <w:szCs w:val="20"/>
        </w:rPr>
      </w:pPr>
      <w:r w:rsidRPr="00D22117">
        <w:rPr>
          <w:rFonts w:ascii="Arial" w:eastAsia="Arial" w:hAnsi="Arial" w:cs="Arial"/>
          <w:color w:val="000000"/>
          <w:sz w:val="20"/>
          <w:szCs w:val="20"/>
        </w:rPr>
        <w:t xml:space="preserve">[…] </w:t>
      </w:r>
      <w:r w:rsidR="000627C0" w:rsidRPr="00D22117">
        <w:rPr>
          <w:rFonts w:ascii="Arial" w:eastAsia="Arial" w:hAnsi="Arial" w:cs="Arial"/>
          <w:color w:val="000000"/>
          <w:sz w:val="20"/>
          <w:szCs w:val="20"/>
        </w:rPr>
        <w:t>la celebración de un contrato de donación se constituye como un verdadero acto traslaticio del dominio</w:t>
      </w:r>
      <w:r w:rsidR="000627C0" w:rsidRPr="00D22117">
        <w:rPr>
          <w:rFonts w:ascii="Arial" w:eastAsia="Arial" w:hAnsi="Arial" w:cs="Arial"/>
          <w:color w:val="4E4D4D"/>
          <w:sz w:val="20"/>
          <w:szCs w:val="20"/>
          <w:vertAlign w:val="superscript"/>
        </w:rPr>
        <w:t xml:space="preserve"> </w:t>
      </w:r>
      <w:r w:rsidR="000627C0" w:rsidRPr="00D22117">
        <w:rPr>
          <w:rFonts w:ascii="Arial" w:eastAsia="Arial" w:hAnsi="Arial" w:cs="Arial"/>
          <w:color w:val="000000"/>
          <w:sz w:val="20"/>
          <w:szCs w:val="20"/>
        </w:rPr>
        <w:t>y en consecuencia como la expresión «ejecución de recursos públicos» del parágrafo del artículo 38 de la Ley 996 de 2005 no solo se entiende a los recursos que integran el ciclo presupuestal de la entidad, sino también los bienes fiscales de los que puede disponer la entidad que se entregan a título gratuito, porque con ello podría influenciarse la intención de voto de quien recibe el bien. En los términos anteriores, pese a tratarse de un contrato de comodato o donación, si se cumplen los presupuestos establecidos en el parágrafo del artículo 38 de la Ley 996 de 2005, se incurriría en la prohibición. Aplicando un razonamiento similar, en relación con los contratos de arrendamiento, el Estatuto General de Contratación de la Administración Pública consagra que el contrato de arrendamiento es una modalidad de contratación directa, conforme a lo previsto en el literal i) del numeral 4 del artículo 2 de la Ley 1150 de 2007. El régimen jurídico de los contratos de arrendamiento está previsto en las disposiciones civiles y comerciales.Por tanto, el contrato de arrendamiento es un acuerdo de voluntades en el que una parte se obliga a conceder el goce de una cosa determinada y la otra a pagar un precio determinado como retribución por el goce que se le ha concedido. Conforme a lo anterior, una de las características propias y principales del contrato de arrendamiento es su onerosidad, porque las partes que lo celebran obtienen utilidad o beneficio de él.</w:t>
      </w:r>
      <w:r w:rsidR="000627C0" w:rsidRPr="00D22117">
        <w:rPr>
          <w:rFonts w:ascii="Arial" w:eastAsia="Arial" w:hAnsi="Arial" w:cs="Arial"/>
          <w:sz w:val="20"/>
          <w:szCs w:val="20"/>
        </w:rPr>
        <w:t xml:space="preserve"> </w:t>
      </w:r>
      <w:r w:rsidR="000627C0" w:rsidRPr="00D22117">
        <w:rPr>
          <w:rFonts w:ascii="Arial" w:eastAsia="Arial" w:hAnsi="Arial" w:cs="Arial"/>
          <w:color w:val="000000"/>
          <w:sz w:val="20"/>
          <w:szCs w:val="20"/>
        </w:rPr>
        <w:t>De lo anterior se desprenden dos consideraciones en relación con la prohibición establecida en el parágrafo del artículo 38 de la Ley 996 de 2005: si una entidad estatal  del orden departamental, distrital o municipal de las incluidas en la prohibición pretende celebrar un contrato de arrendamiento con otra entidad estatal no podrá hacerlo en vigencia de la Ley de garantías, porque lo que determina la existencia de un contrato o convenio interadministrativo es un criterio orgánico, que como se dijo en líneas precedentes es el que sea celebran dos entidades estatales.</w:t>
      </w:r>
      <w:r w:rsidR="000627C0" w:rsidRPr="00D22117">
        <w:rPr>
          <w:rFonts w:ascii="Arial" w:eastAsia="Arial" w:hAnsi="Arial" w:cs="Arial"/>
          <w:sz w:val="20"/>
          <w:szCs w:val="20"/>
        </w:rPr>
        <w:t xml:space="preserve"> </w:t>
      </w:r>
      <w:r w:rsidR="000627C0" w:rsidRPr="00D22117">
        <w:rPr>
          <w:rFonts w:ascii="Arial" w:eastAsia="Arial" w:hAnsi="Arial" w:cs="Arial"/>
          <w:color w:val="000000"/>
          <w:sz w:val="20"/>
          <w:szCs w:val="20"/>
        </w:rPr>
        <w:t xml:space="preserve">Como segunda consideración, la restricción del parágrafo del artículo 38 hace referencia, igualmente, a que dicho contrato ejecute </w:t>
      </w:r>
      <w:r w:rsidR="000627C0" w:rsidRPr="00D22117">
        <w:rPr>
          <w:rFonts w:ascii="Arial" w:eastAsia="Arial" w:hAnsi="Arial" w:cs="Arial"/>
          <w:color w:val="000000"/>
          <w:sz w:val="20"/>
          <w:szCs w:val="20"/>
        </w:rPr>
        <w:lastRenderedPageBreak/>
        <w:t>recursos públicos, lo que se desprende en este caso del carácter oneroso del contrato de arrendamiento, lo que implica la ejecución de recursos públicos. En los términos anteriores, […] siempre que se cumplan con los presupuestos de la prohibición del parágrafo del artículo 38, independientemente del objeto contractual que se celebre, sea que se relacione con un contrato de comodato, donación o arrendamiento de bienes del Estado se incurrirá en la prohibición, bajo el entendimiento de que en dichos contratos también se podrían ejecutar recursos públicos. Lo anterior siempre que se trate de un contrato o convenio interadministrativo, que sea celebrado entre entidades públicas y cuando alguna de ellas sea de las enlistadas en el parágrafo del artículo 38.</w:t>
      </w:r>
    </w:p>
    <w:p w14:paraId="759FAAB4" w14:textId="77777777" w:rsidR="000627C0" w:rsidRPr="00D22117" w:rsidRDefault="000627C0">
      <w:pPr>
        <w:spacing w:after="0" w:line="240" w:lineRule="auto"/>
        <w:rPr>
          <w:rFonts w:ascii="Arial" w:eastAsia="Arial" w:hAnsi="Arial" w:cs="Arial"/>
          <w:b/>
          <w:sz w:val="20"/>
          <w:szCs w:val="20"/>
        </w:rPr>
      </w:pPr>
    </w:p>
    <w:p w14:paraId="191BC7D2" w14:textId="7ADAC80B" w:rsidR="00D73348" w:rsidRPr="00D22117" w:rsidRDefault="00DA2883">
      <w:pPr>
        <w:spacing w:after="0" w:line="240" w:lineRule="auto"/>
        <w:rPr>
          <w:rFonts w:ascii="Arial" w:eastAsia="Arial" w:hAnsi="Arial" w:cs="Arial"/>
          <w:b/>
          <w:sz w:val="20"/>
          <w:szCs w:val="20"/>
        </w:rPr>
      </w:pPr>
      <w:r w:rsidRPr="00D22117">
        <w:rPr>
          <w:rFonts w:ascii="Arial" w:eastAsia="Arial" w:hAnsi="Arial" w:cs="Arial"/>
          <w:b/>
          <w:sz w:val="20"/>
          <w:szCs w:val="20"/>
        </w:rPr>
        <w:t xml:space="preserve">MODIFICACIÓN DE LA LEY 2159 DE 2021 – Ley Anual de Presupuesto - </w:t>
      </w:r>
      <w:r w:rsidR="004553A4">
        <w:rPr>
          <w:rFonts w:ascii="Arial" w:eastAsia="Arial" w:hAnsi="Arial" w:cs="Arial"/>
          <w:b/>
          <w:sz w:val="20"/>
          <w:szCs w:val="20"/>
        </w:rPr>
        <w:t>P</w:t>
      </w:r>
      <w:r w:rsidRPr="00D22117">
        <w:rPr>
          <w:rFonts w:ascii="Arial" w:eastAsia="Arial" w:hAnsi="Arial" w:cs="Arial"/>
          <w:b/>
          <w:sz w:val="20"/>
          <w:szCs w:val="20"/>
        </w:rPr>
        <w:t xml:space="preserve">arágrafo del artículo 38 de la Ley de Garantías – </w:t>
      </w:r>
      <w:r w:rsidR="004553A4">
        <w:rPr>
          <w:rFonts w:ascii="Arial" w:eastAsia="Arial" w:hAnsi="Arial" w:cs="Arial"/>
          <w:b/>
          <w:sz w:val="20"/>
          <w:szCs w:val="20"/>
        </w:rPr>
        <w:t>T</w:t>
      </w:r>
      <w:r w:rsidRPr="00D22117">
        <w:rPr>
          <w:rFonts w:ascii="Arial" w:eastAsia="Arial" w:hAnsi="Arial" w:cs="Arial"/>
          <w:b/>
          <w:sz w:val="20"/>
          <w:szCs w:val="20"/>
        </w:rPr>
        <w:t>ransitoriedad</w:t>
      </w:r>
    </w:p>
    <w:p w14:paraId="59CD7989" w14:textId="77777777" w:rsidR="00D73348" w:rsidRPr="00D22117" w:rsidRDefault="00D73348">
      <w:pPr>
        <w:spacing w:after="0" w:line="240" w:lineRule="auto"/>
        <w:rPr>
          <w:rFonts w:ascii="Arial" w:eastAsia="Arial" w:hAnsi="Arial" w:cs="Arial"/>
          <w:b/>
          <w:sz w:val="20"/>
          <w:szCs w:val="20"/>
        </w:rPr>
      </w:pPr>
    </w:p>
    <w:p w14:paraId="3ABC6A17" w14:textId="77777777" w:rsidR="00D73348" w:rsidRPr="00D22117" w:rsidRDefault="00DA2883">
      <w:pPr>
        <w:shd w:val="clear" w:color="auto" w:fill="FFFFFF"/>
        <w:spacing w:after="0" w:line="240" w:lineRule="auto"/>
        <w:rPr>
          <w:rFonts w:ascii="Arial" w:eastAsia="Arial" w:hAnsi="Arial" w:cs="Arial"/>
          <w:sz w:val="20"/>
          <w:szCs w:val="20"/>
        </w:rPr>
      </w:pPr>
      <w:r w:rsidRPr="00D22117">
        <w:rPr>
          <w:rFonts w:ascii="Arial" w:eastAsia="Arial" w:hAnsi="Arial" w:cs="Arial"/>
          <w:sz w:val="20"/>
          <w:szCs w:val="20"/>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693ECEB8" w14:textId="77777777" w:rsidR="00D73348" w:rsidRPr="00D22117" w:rsidRDefault="00D73348">
      <w:pPr>
        <w:shd w:val="clear" w:color="auto" w:fill="FFFFFF"/>
        <w:spacing w:after="0" w:line="240" w:lineRule="auto"/>
        <w:rPr>
          <w:rFonts w:ascii="Arial" w:eastAsia="Arial" w:hAnsi="Arial" w:cs="Arial"/>
          <w:sz w:val="20"/>
          <w:szCs w:val="20"/>
        </w:rPr>
      </w:pPr>
    </w:p>
    <w:p w14:paraId="298D44EF" w14:textId="4FE9E74E" w:rsidR="00D73348" w:rsidRPr="00D22117" w:rsidRDefault="00DA2883">
      <w:pPr>
        <w:spacing w:after="0" w:line="240" w:lineRule="auto"/>
        <w:rPr>
          <w:rFonts w:ascii="Arial" w:eastAsia="Arial" w:hAnsi="Arial" w:cs="Arial"/>
          <w:b/>
          <w:sz w:val="20"/>
          <w:szCs w:val="20"/>
        </w:rPr>
      </w:pPr>
      <w:r w:rsidRPr="00D22117">
        <w:rPr>
          <w:rFonts w:ascii="Arial" w:eastAsia="Arial" w:hAnsi="Arial" w:cs="Arial"/>
          <w:b/>
          <w:sz w:val="20"/>
          <w:szCs w:val="20"/>
        </w:rPr>
        <w:t xml:space="preserve">MODIFICACIÓN DE LA LEY 2159 DE 2021 – Ley Anual de Presupuesto - </w:t>
      </w:r>
      <w:r w:rsidR="004553A4">
        <w:rPr>
          <w:rFonts w:ascii="Arial" w:eastAsia="Arial" w:hAnsi="Arial" w:cs="Arial"/>
          <w:b/>
          <w:sz w:val="20"/>
          <w:szCs w:val="20"/>
        </w:rPr>
        <w:t>P</w:t>
      </w:r>
      <w:r w:rsidRPr="00D22117">
        <w:rPr>
          <w:rFonts w:ascii="Arial" w:eastAsia="Arial" w:hAnsi="Arial" w:cs="Arial"/>
          <w:b/>
          <w:sz w:val="20"/>
          <w:szCs w:val="20"/>
        </w:rPr>
        <w:t>arágrafo del artículo 38 de la Ley de Garantías</w:t>
      </w:r>
    </w:p>
    <w:p w14:paraId="2B9A415E" w14:textId="77777777" w:rsidR="00D73348" w:rsidRPr="00D22117" w:rsidRDefault="00D73348">
      <w:pPr>
        <w:spacing w:after="0" w:line="240" w:lineRule="auto"/>
        <w:rPr>
          <w:rFonts w:ascii="Arial" w:eastAsia="Arial" w:hAnsi="Arial" w:cs="Arial"/>
          <w:sz w:val="20"/>
          <w:szCs w:val="20"/>
        </w:rPr>
      </w:pPr>
    </w:p>
    <w:p w14:paraId="57CA83FF" w14:textId="77777777" w:rsidR="00D73348" w:rsidRPr="00D22117" w:rsidRDefault="00DA2883">
      <w:pPr>
        <w:shd w:val="clear" w:color="auto" w:fill="FFFFFF"/>
        <w:spacing w:after="0" w:line="240" w:lineRule="auto"/>
        <w:rPr>
          <w:rFonts w:ascii="Arial" w:eastAsia="Arial" w:hAnsi="Arial" w:cs="Arial"/>
          <w:sz w:val="20"/>
          <w:szCs w:val="20"/>
        </w:rPr>
      </w:pPr>
      <w:r w:rsidRPr="00D22117">
        <w:rPr>
          <w:rFonts w:ascii="Arial" w:eastAsia="Arial" w:hAnsi="Arial" w:cs="Arial"/>
          <w:sz w:val="20"/>
          <w:szCs w:val="20"/>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0F36A71B" w14:textId="77777777" w:rsidR="00D73348" w:rsidRPr="00D22117" w:rsidRDefault="00D73348">
      <w:pPr>
        <w:shd w:val="clear" w:color="auto" w:fill="FFFFFF"/>
        <w:spacing w:after="0" w:line="240" w:lineRule="auto"/>
        <w:rPr>
          <w:rFonts w:ascii="Arial" w:eastAsia="Arial" w:hAnsi="Arial" w:cs="Arial"/>
          <w:sz w:val="20"/>
          <w:szCs w:val="20"/>
        </w:rPr>
      </w:pPr>
    </w:p>
    <w:p w14:paraId="3EB565A4" w14:textId="77777777" w:rsidR="00D73348" w:rsidRPr="00D22117" w:rsidRDefault="00DA2883">
      <w:pPr>
        <w:spacing w:after="0" w:line="240" w:lineRule="auto"/>
        <w:rPr>
          <w:rFonts w:ascii="Arial" w:eastAsia="Arial" w:hAnsi="Arial" w:cs="Arial"/>
          <w:b/>
          <w:sz w:val="20"/>
          <w:szCs w:val="20"/>
        </w:rPr>
      </w:pPr>
      <w:r w:rsidRPr="00D22117">
        <w:rPr>
          <w:rFonts w:ascii="Arial" w:eastAsia="Arial" w:hAnsi="Arial" w:cs="Arial"/>
          <w:b/>
          <w:sz w:val="20"/>
          <w:szCs w:val="20"/>
        </w:rPr>
        <w:t>MODIFICACIÓN DE LA LEY 2159 DE 2021 – Ley Anual de Presupuesto - parágrafo del artículo 38 de la Ley de Garantías – Nación – entidades descentralizadas</w:t>
      </w:r>
    </w:p>
    <w:p w14:paraId="50090C35" w14:textId="77777777" w:rsidR="00D73348" w:rsidRPr="00D22117" w:rsidRDefault="00D73348">
      <w:pPr>
        <w:spacing w:after="0" w:line="240" w:lineRule="auto"/>
        <w:rPr>
          <w:rFonts w:ascii="Arial" w:eastAsia="Arial" w:hAnsi="Arial" w:cs="Arial"/>
          <w:sz w:val="20"/>
          <w:szCs w:val="20"/>
        </w:rPr>
      </w:pPr>
    </w:p>
    <w:p w14:paraId="06263FF9" w14:textId="77777777" w:rsidR="00D73348" w:rsidRPr="00D22117" w:rsidRDefault="00DA2883">
      <w:pPr>
        <w:spacing w:after="0" w:line="240" w:lineRule="auto"/>
        <w:rPr>
          <w:rFonts w:ascii="Arial" w:eastAsia="Arial" w:hAnsi="Arial" w:cs="Arial"/>
          <w:sz w:val="20"/>
          <w:szCs w:val="20"/>
        </w:rPr>
      </w:pPr>
      <w:r w:rsidRPr="00D22117">
        <w:rPr>
          <w:rFonts w:ascii="Arial" w:eastAsia="Arial" w:hAnsi="Arial" w:cs="Arial"/>
          <w:sz w:val="20"/>
          <w:szCs w:val="20"/>
        </w:rPr>
        <w:lastRenderedPageBreak/>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 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0470EA75" w14:textId="77777777" w:rsidR="00D73348" w:rsidRPr="00D22117" w:rsidRDefault="00D73348">
      <w:pPr>
        <w:spacing w:after="0" w:line="240" w:lineRule="auto"/>
        <w:rPr>
          <w:rFonts w:ascii="Arial" w:eastAsia="Arial" w:hAnsi="Arial" w:cs="Arial"/>
          <w:sz w:val="20"/>
          <w:szCs w:val="20"/>
        </w:rPr>
      </w:pPr>
    </w:p>
    <w:p w14:paraId="7ADF4A6A" w14:textId="274B8F1C" w:rsidR="00D73348" w:rsidRPr="00D22117" w:rsidRDefault="00DA2883">
      <w:pPr>
        <w:spacing w:after="0" w:line="240" w:lineRule="auto"/>
        <w:rPr>
          <w:rFonts w:ascii="Arial" w:eastAsia="Arial" w:hAnsi="Arial" w:cs="Arial"/>
          <w:b/>
          <w:sz w:val="20"/>
          <w:szCs w:val="20"/>
        </w:rPr>
      </w:pPr>
      <w:r w:rsidRPr="00D22117">
        <w:rPr>
          <w:rFonts w:ascii="Arial" w:eastAsia="Arial" w:hAnsi="Arial" w:cs="Arial"/>
          <w:b/>
          <w:sz w:val="20"/>
          <w:szCs w:val="20"/>
        </w:rPr>
        <w:t xml:space="preserve">MODIFICACIÓN DE LA LEY 2159 DE 2021 – Ley Anual de Presupuesto - </w:t>
      </w:r>
      <w:r w:rsidR="004553A4">
        <w:rPr>
          <w:rFonts w:ascii="Arial" w:eastAsia="Arial" w:hAnsi="Arial" w:cs="Arial"/>
          <w:b/>
          <w:sz w:val="20"/>
          <w:szCs w:val="20"/>
        </w:rPr>
        <w:t>P</w:t>
      </w:r>
      <w:r w:rsidRPr="00D22117">
        <w:rPr>
          <w:rFonts w:ascii="Arial" w:eastAsia="Arial" w:hAnsi="Arial" w:cs="Arial"/>
          <w:b/>
          <w:sz w:val="20"/>
          <w:szCs w:val="20"/>
        </w:rPr>
        <w:t xml:space="preserve">arágrafo del artículo 38 de la Ley de Garantías – </w:t>
      </w:r>
      <w:r w:rsidR="004553A4">
        <w:rPr>
          <w:rFonts w:ascii="Arial" w:eastAsia="Arial" w:hAnsi="Arial" w:cs="Arial"/>
          <w:b/>
          <w:sz w:val="20"/>
          <w:szCs w:val="20"/>
        </w:rPr>
        <w:t>G</w:t>
      </w:r>
      <w:r w:rsidRPr="00D22117">
        <w:rPr>
          <w:rFonts w:ascii="Arial" w:eastAsia="Arial" w:hAnsi="Arial" w:cs="Arial"/>
          <w:b/>
          <w:sz w:val="20"/>
          <w:szCs w:val="20"/>
        </w:rPr>
        <w:t xml:space="preserve">astos de inversión - </w:t>
      </w:r>
      <w:r w:rsidR="004553A4">
        <w:rPr>
          <w:rFonts w:ascii="Arial" w:eastAsia="Arial" w:hAnsi="Arial" w:cs="Arial"/>
          <w:b/>
          <w:sz w:val="20"/>
          <w:szCs w:val="20"/>
        </w:rPr>
        <w:t>P</w:t>
      </w:r>
      <w:r w:rsidRPr="00D22117">
        <w:rPr>
          <w:rFonts w:ascii="Arial" w:eastAsia="Arial" w:hAnsi="Arial" w:cs="Arial"/>
          <w:b/>
          <w:sz w:val="20"/>
          <w:szCs w:val="20"/>
        </w:rPr>
        <w:t xml:space="preserve">royectos y programas de inversión – Plan </w:t>
      </w:r>
      <w:r w:rsidR="004553A4">
        <w:rPr>
          <w:rFonts w:ascii="Arial" w:eastAsia="Arial" w:hAnsi="Arial" w:cs="Arial"/>
          <w:b/>
          <w:sz w:val="20"/>
          <w:szCs w:val="20"/>
        </w:rPr>
        <w:t>n</w:t>
      </w:r>
      <w:r w:rsidRPr="00D22117">
        <w:rPr>
          <w:rFonts w:ascii="Arial" w:eastAsia="Arial" w:hAnsi="Arial" w:cs="Arial"/>
          <w:b/>
          <w:sz w:val="20"/>
          <w:szCs w:val="20"/>
        </w:rPr>
        <w:t xml:space="preserve">acional de </w:t>
      </w:r>
      <w:r w:rsidR="004553A4">
        <w:rPr>
          <w:rFonts w:ascii="Arial" w:eastAsia="Arial" w:hAnsi="Arial" w:cs="Arial"/>
          <w:b/>
          <w:sz w:val="20"/>
          <w:szCs w:val="20"/>
        </w:rPr>
        <w:t>d</w:t>
      </w:r>
      <w:r w:rsidRPr="00D22117">
        <w:rPr>
          <w:rFonts w:ascii="Arial" w:eastAsia="Arial" w:hAnsi="Arial" w:cs="Arial"/>
          <w:b/>
          <w:sz w:val="20"/>
          <w:szCs w:val="20"/>
        </w:rPr>
        <w:t>esarrollo</w:t>
      </w:r>
    </w:p>
    <w:p w14:paraId="6336C263" w14:textId="77777777" w:rsidR="00D73348" w:rsidRPr="00D22117" w:rsidRDefault="00D73348">
      <w:pPr>
        <w:spacing w:after="0" w:line="240" w:lineRule="auto"/>
        <w:rPr>
          <w:rFonts w:ascii="Arial" w:eastAsia="Arial" w:hAnsi="Arial" w:cs="Arial"/>
          <w:b/>
          <w:sz w:val="20"/>
          <w:szCs w:val="20"/>
        </w:rPr>
      </w:pPr>
    </w:p>
    <w:p w14:paraId="46CC2FCC" w14:textId="77777777" w:rsidR="00D73348" w:rsidRPr="00D22117" w:rsidRDefault="00DA2883">
      <w:pPr>
        <w:shd w:val="clear" w:color="auto" w:fill="FFFFFF"/>
        <w:spacing w:after="0" w:line="240" w:lineRule="auto"/>
        <w:rPr>
          <w:rFonts w:ascii="Arial" w:eastAsia="Arial" w:hAnsi="Arial" w:cs="Arial"/>
          <w:sz w:val="20"/>
          <w:szCs w:val="20"/>
        </w:rPr>
      </w:pPr>
      <w:r w:rsidRPr="00D22117">
        <w:rPr>
          <w:rFonts w:ascii="Arial" w:eastAsia="Arial" w:hAnsi="Arial" w:cs="Arial"/>
          <w:sz w:val="20"/>
          <w:szCs w:val="20"/>
        </w:rPr>
        <w:t>En lo que respecta al elemento teleológico o material de la reforma incluida en el artículo 124 de la  2159 de 2021, consistente en que los convenios sean celebrados con el fin de ejecutar programas o proyectos que correspondan al Presupuesto General de la Nación, […] partiendo de las consideraciones contenidas en el acápite 2.5. del presente concepto y dados en relación con la estructura y contenido de la ley anual del presupuesto general de la Nación, […]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22528B2A" w14:textId="77777777" w:rsidR="00D73348" w:rsidRPr="00D22117" w:rsidRDefault="00D73348">
      <w:pPr>
        <w:spacing w:after="0" w:line="240" w:lineRule="auto"/>
        <w:rPr>
          <w:rFonts w:ascii="Arial" w:eastAsia="Arial" w:hAnsi="Arial" w:cs="Arial"/>
          <w:b/>
          <w:sz w:val="20"/>
          <w:szCs w:val="20"/>
        </w:rPr>
      </w:pPr>
    </w:p>
    <w:p w14:paraId="53B18CDE" w14:textId="77777777" w:rsidR="00D73348" w:rsidRPr="00D22117" w:rsidRDefault="00D73348">
      <w:pPr>
        <w:spacing w:after="0"/>
        <w:rPr>
          <w:rFonts w:ascii="Arial" w:eastAsia="Arial" w:hAnsi="Arial" w:cs="Arial"/>
          <w:b/>
          <w:sz w:val="22"/>
          <w:szCs w:val="22"/>
        </w:rPr>
      </w:pPr>
    </w:p>
    <w:p w14:paraId="715A39D5" w14:textId="77777777" w:rsidR="008A1E76" w:rsidRDefault="008A1E76"/>
    <w:p w14:paraId="47A9ECCE" w14:textId="77777777" w:rsidR="008A1E76" w:rsidRDefault="008A1E76"/>
    <w:p w14:paraId="5D760CD8" w14:textId="2D699C9D" w:rsidR="00D73348" w:rsidRPr="00D22117" w:rsidRDefault="00DA2883">
      <w:pPr>
        <w:rPr>
          <w:rFonts w:ascii="Arial" w:eastAsia="Arial" w:hAnsi="Arial" w:cs="Arial"/>
          <w:b/>
          <w:sz w:val="22"/>
          <w:szCs w:val="22"/>
        </w:rPr>
      </w:pPr>
      <w:r w:rsidRPr="00D22117">
        <w:br w:type="page"/>
      </w:r>
    </w:p>
    <w:p w14:paraId="3833EFA2" w14:textId="4A865BEF" w:rsidR="008A1E76" w:rsidRDefault="008A1E76" w:rsidP="008A1E76">
      <w:pPr>
        <w:tabs>
          <w:tab w:val="left" w:pos="3374"/>
        </w:tabs>
        <w:spacing w:after="0"/>
        <w:jc w:val="right"/>
        <w:rPr>
          <w:rFonts w:ascii="Arial" w:eastAsia="Arial" w:hAnsi="Arial" w:cs="Arial"/>
          <w:sz w:val="22"/>
          <w:szCs w:val="22"/>
        </w:rPr>
      </w:pPr>
      <w:bookmarkStart w:id="9" w:name="_2s8eyo1" w:colFirst="0" w:colLast="0"/>
      <w:bookmarkEnd w:id="9"/>
      <w:r>
        <w:rPr>
          <w:noProof/>
        </w:rPr>
        <w:lastRenderedPageBreak/>
        <w:drawing>
          <wp:inline distT="0" distB="0" distL="0" distR="0" wp14:anchorId="1F81C5A7" wp14:editId="6843806A">
            <wp:extent cx="2543175" cy="1133475"/>
            <wp:effectExtent l="0" t="0" r="9525" b="9525"/>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9"/>
                    <a:stretch>
                      <a:fillRect/>
                    </a:stretch>
                  </pic:blipFill>
                  <pic:spPr>
                    <a:xfrm>
                      <a:off x="0" y="0"/>
                      <a:ext cx="2543175" cy="1133475"/>
                    </a:xfrm>
                    <a:prstGeom prst="rect">
                      <a:avLst/>
                    </a:prstGeom>
                  </pic:spPr>
                </pic:pic>
              </a:graphicData>
            </a:graphic>
          </wp:inline>
        </w:drawing>
      </w:r>
    </w:p>
    <w:p w14:paraId="4340FF8C" w14:textId="2F986531" w:rsidR="008A1E76" w:rsidRDefault="008A1E76">
      <w:pPr>
        <w:tabs>
          <w:tab w:val="left" w:pos="3374"/>
        </w:tabs>
        <w:spacing w:after="0"/>
        <w:rPr>
          <w:rFonts w:ascii="Arial" w:eastAsia="Arial" w:hAnsi="Arial" w:cs="Arial"/>
          <w:sz w:val="22"/>
          <w:szCs w:val="22"/>
        </w:rPr>
      </w:pPr>
    </w:p>
    <w:p w14:paraId="046EDFA6" w14:textId="77777777" w:rsidR="008A1E76" w:rsidRDefault="008A1E76">
      <w:pPr>
        <w:tabs>
          <w:tab w:val="left" w:pos="3374"/>
        </w:tabs>
        <w:spacing w:after="0"/>
        <w:rPr>
          <w:rFonts w:ascii="Arial" w:eastAsia="Arial" w:hAnsi="Arial" w:cs="Arial"/>
          <w:sz w:val="22"/>
          <w:szCs w:val="22"/>
        </w:rPr>
      </w:pPr>
    </w:p>
    <w:p w14:paraId="4047E562" w14:textId="77777777" w:rsidR="008A1E76" w:rsidRDefault="008A1E76">
      <w:pPr>
        <w:tabs>
          <w:tab w:val="left" w:pos="3374"/>
        </w:tabs>
        <w:spacing w:after="0"/>
        <w:rPr>
          <w:rFonts w:ascii="Arial" w:eastAsia="Arial" w:hAnsi="Arial" w:cs="Arial"/>
          <w:sz w:val="22"/>
          <w:szCs w:val="22"/>
        </w:rPr>
      </w:pPr>
    </w:p>
    <w:p w14:paraId="4E3C89B8" w14:textId="30D9FC80" w:rsidR="00D73348" w:rsidRDefault="008A1E76">
      <w:pPr>
        <w:spacing w:after="0"/>
        <w:rPr>
          <w:rFonts w:ascii="Arial" w:hAnsi="Arial" w:cs="Arial"/>
          <w:color w:val="4E4D4D"/>
          <w:sz w:val="22"/>
          <w:szCs w:val="22"/>
          <w:lang w:val="es-CO"/>
        </w:rPr>
      </w:pPr>
      <w:r>
        <w:rPr>
          <w:rFonts w:ascii="Arial" w:hAnsi="Arial" w:cs="Arial"/>
          <w:color w:val="4E4D4D"/>
          <w:sz w:val="22"/>
          <w:szCs w:val="22"/>
          <w:lang w:val="es-CO"/>
        </w:rPr>
        <w:t>Bogotá, 21 Enero 2022</w:t>
      </w:r>
    </w:p>
    <w:p w14:paraId="35B896BD" w14:textId="77777777" w:rsidR="008A1E76" w:rsidRPr="00D22117" w:rsidRDefault="008A1E76">
      <w:pPr>
        <w:spacing w:after="0"/>
        <w:rPr>
          <w:rFonts w:ascii="Arial" w:eastAsia="Arial" w:hAnsi="Arial" w:cs="Arial"/>
        </w:rPr>
      </w:pPr>
    </w:p>
    <w:p w14:paraId="037C3728" w14:textId="77777777" w:rsidR="00D73348" w:rsidRPr="00D22117" w:rsidRDefault="00D73348">
      <w:pPr>
        <w:spacing w:after="0"/>
        <w:rPr>
          <w:rFonts w:ascii="Arial" w:eastAsia="Arial" w:hAnsi="Arial" w:cs="Arial"/>
        </w:rPr>
      </w:pPr>
    </w:p>
    <w:p w14:paraId="4F5CAECE" w14:textId="77777777" w:rsidR="00D73348" w:rsidRPr="00D22117" w:rsidRDefault="00DA2883">
      <w:pPr>
        <w:spacing w:after="0"/>
        <w:rPr>
          <w:rFonts w:ascii="Arial" w:eastAsia="Arial" w:hAnsi="Arial" w:cs="Arial"/>
        </w:rPr>
      </w:pPr>
      <w:r w:rsidRPr="00D22117">
        <w:rPr>
          <w:rFonts w:ascii="Arial" w:eastAsia="Arial" w:hAnsi="Arial" w:cs="Arial"/>
          <w:sz w:val="22"/>
          <w:szCs w:val="22"/>
        </w:rPr>
        <w:t>Señora</w:t>
      </w:r>
    </w:p>
    <w:p w14:paraId="31AAF44C" w14:textId="77777777" w:rsidR="00D73348" w:rsidRPr="00D22117" w:rsidRDefault="00DA2883">
      <w:pPr>
        <w:spacing w:after="0"/>
        <w:rPr>
          <w:rFonts w:ascii="Arial" w:eastAsia="Arial" w:hAnsi="Arial" w:cs="Arial"/>
          <w:b/>
          <w:sz w:val="22"/>
          <w:szCs w:val="22"/>
        </w:rPr>
      </w:pPr>
      <w:r w:rsidRPr="00D22117">
        <w:rPr>
          <w:rFonts w:ascii="Arial" w:eastAsia="Arial" w:hAnsi="Arial" w:cs="Arial"/>
          <w:b/>
          <w:sz w:val="22"/>
          <w:szCs w:val="22"/>
        </w:rPr>
        <w:t>Ana Patricia Patiño A.</w:t>
      </w:r>
    </w:p>
    <w:p w14:paraId="066ACAD3" w14:textId="77777777" w:rsidR="00D73348" w:rsidRPr="00D22117" w:rsidRDefault="00DA2883">
      <w:pPr>
        <w:spacing w:after="0"/>
        <w:rPr>
          <w:rFonts w:ascii="Arial" w:eastAsia="Arial" w:hAnsi="Arial" w:cs="Arial"/>
          <w:sz w:val="22"/>
          <w:szCs w:val="22"/>
        </w:rPr>
      </w:pPr>
      <w:r w:rsidRPr="00D22117">
        <w:rPr>
          <w:rFonts w:ascii="Arial" w:eastAsia="Arial" w:hAnsi="Arial" w:cs="Arial"/>
          <w:sz w:val="22"/>
          <w:szCs w:val="22"/>
        </w:rPr>
        <w:t xml:space="preserve">Anapatricia0324@hotmail.com </w:t>
      </w:r>
    </w:p>
    <w:p w14:paraId="49F3B181" w14:textId="77777777" w:rsidR="00D73348" w:rsidRPr="00D22117" w:rsidRDefault="00D73348">
      <w:pPr>
        <w:spacing w:after="0"/>
        <w:rPr>
          <w:rFonts w:ascii="Arial" w:eastAsia="Arial" w:hAnsi="Arial" w:cs="Arial"/>
        </w:rPr>
      </w:pPr>
    </w:p>
    <w:p w14:paraId="24ED8C30" w14:textId="77777777" w:rsidR="00D73348" w:rsidRPr="00D22117" w:rsidRDefault="00D73348">
      <w:pPr>
        <w:spacing w:after="0"/>
        <w:rPr>
          <w:rFonts w:ascii="Arial" w:eastAsia="Arial" w:hAnsi="Arial" w:cs="Arial"/>
        </w:rPr>
      </w:pPr>
    </w:p>
    <w:p w14:paraId="4827DD9C" w14:textId="77777777" w:rsidR="00D73348" w:rsidRPr="00D22117" w:rsidRDefault="00D73348">
      <w:pPr>
        <w:spacing w:after="0"/>
        <w:rPr>
          <w:rFonts w:ascii="Arial" w:eastAsia="Arial" w:hAnsi="Arial" w:cs="Arial"/>
        </w:rPr>
      </w:pPr>
    </w:p>
    <w:p w14:paraId="3C6D9126" w14:textId="77777777" w:rsidR="00D73348" w:rsidRPr="00D22117" w:rsidRDefault="00DA2883">
      <w:pPr>
        <w:spacing w:after="0"/>
        <w:rPr>
          <w:rFonts w:ascii="Arial" w:eastAsia="Arial" w:hAnsi="Arial" w:cs="Arial"/>
        </w:rPr>
      </w:pPr>
      <w:r w:rsidRPr="00D22117">
        <w:rPr>
          <w:rFonts w:ascii="Arial" w:eastAsia="Arial" w:hAnsi="Arial" w:cs="Arial"/>
          <w:sz w:val="22"/>
          <w:szCs w:val="22"/>
        </w:rPr>
        <w:t xml:space="preserve">                                            </w:t>
      </w:r>
      <w:r w:rsidRPr="00D22117">
        <w:rPr>
          <w:rFonts w:ascii="Arial" w:eastAsia="Arial" w:hAnsi="Arial" w:cs="Arial"/>
          <w:b/>
          <w:sz w:val="22"/>
          <w:szCs w:val="22"/>
        </w:rPr>
        <w:t>Concepto C – 715 de 2022</w:t>
      </w:r>
      <w:r w:rsidRPr="00D22117">
        <w:rPr>
          <w:rFonts w:ascii="Arial" w:eastAsia="Arial" w:hAnsi="Arial" w:cs="Arial"/>
          <w:sz w:val="22"/>
          <w:szCs w:val="22"/>
        </w:rPr>
        <w:t xml:space="preserve"> </w:t>
      </w:r>
    </w:p>
    <w:p w14:paraId="526632B9" w14:textId="77777777" w:rsidR="00D73348" w:rsidRPr="00D22117" w:rsidRDefault="00D73348">
      <w:pPr>
        <w:spacing w:after="0"/>
        <w:rPr>
          <w:rFonts w:ascii="Arial" w:eastAsia="Arial" w:hAnsi="Arial" w:cs="Arial"/>
        </w:rPr>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D73348" w:rsidRPr="00D22117" w14:paraId="7B131E97" w14:textId="77777777">
        <w:trPr>
          <w:trHeight w:val="485"/>
        </w:trPr>
        <w:tc>
          <w:tcPr>
            <w:tcW w:w="4419" w:type="dxa"/>
          </w:tcPr>
          <w:p w14:paraId="35B4CDD5" w14:textId="77777777" w:rsidR="00D73348" w:rsidRPr="00D22117" w:rsidRDefault="00DA2883">
            <w:pPr>
              <w:spacing w:line="276" w:lineRule="auto"/>
              <w:rPr>
                <w:rFonts w:ascii="Arial" w:eastAsia="Arial" w:hAnsi="Arial" w:cs="Arial"/>
              </w:rPr>
            </w:pPr>
            <w:r w:rsidRPr="00D22117">
              <w:rPr>
                <w:rFonts w:ascii="Arial" w:eastAsia="Arial" w:hAnsi="Arial" w:cs="Arial"/>
                <w:b/>
                <w:sz w:val="22"/>
                <w:szCs w:val="22"/>
              </w:rPr>
              <w:t>Temas:</w:t>
            </w:r>
            <w:r w:rsidRPr="00D22117">
              <w:rPr>
                <w:rFonts w:ascii="Arial" w:eastAsia="Arial" w:hAnsi="Arial" w:cs="Arial"/>
                <w:sz w:val="22"/>
                <w:szCs w:val="22"/>
              </w:rPr>
              <w:t xml:space="preserve">        </w:t>
            </w:r>
          </w:p>
        </w:tc>
        <w:tc>
          <w:tcPr>
            <w:tcW w:w="4419" w:type="dxa"/>
          </w:tcPr>
          <w:p w14:paraId="2E728989" w14:textId="3D2A6737" w:rsidR="00D73348" w:rsidRPr="00D22117" w:rsidRDefault="00DA2883" w:rsidP="00981BE3">
            <w:pPr>
              <w:spacing w:before="0"/>
              <w:jc w:val="both"/>
            </w:pPr>
            <w:r w:rsidRPr="00D22117">
              <w:rPr>
                <w:rFonts w:ascii="Arial" w:eastAsia="Arial" w:hAnsi="Arial" w:cs="Arial"/>
                <w:sz w:val="22"/>
                <w:szCs w:val="22"/>
              </w:rPr>
              <w:t xml:space="preserve">LEY DE GARANTÍAS ELECTORALES – Finalidad / LEY DE GARANTÍAS ELECTORALES ‒ Tipos de restricciones ‒ Ámbito temporal / LEY DE GARANTÍAS ELECTORALES ─ Prohibición ‒ Contratación directa ‒ Alcance / LEY DE GARANTÍAS ELECTORALES ‒ Excepciones / LEY DE GARANTÍAS ELECTORALES ‒ Prohibición del artículo 33 de la Ley de garantías ‒ Destinatarios / LEY DE GARANTÍAS ELECTORALES ‒ Prohibición comicios cargos de elección popular – Convenios y contratos interadministrativos / CONTRATOS Y CONVENIOS INTERADMINISTRATIVOS – Definición – Criterio orgánico / CONTRATOS Y CONVENIOS INTERADMINISTRATIVOS – Entidades </w:t>
            </w:r>
            <w:r w:rsidRPr="00D22117">
              <w:rPr>
                <w:rFonts w:ascii="Arial" w:eastAsia="Arial" w:hAnsi="Arial" w:cs="Arial"/>
                <w:sz w:val="22"/>
                <w:szCs w:val="22"/>
              </w:rPr>
              <w:lastRenderedPageBreak/>
              <w:t xml:space="preserve">con régimen especial de contratación – Procedencia / CONTRATOS Y CONVENIOS INTERADMINISTRATIVOS – Modalidad de selección / LEY DE GARANTÍAS ELECTORALES – Prohibición – Celebración convenios o contratos interadministrativos – Orden judicial –  / </w:t>
            </w:r>
            <w:r w:rsidR="00D22117">
              <w:rPr>
                <w:rFonts w:ascii="Arial" w:eastAsia="Arial" w:hAnsi="Arial" w:cs="Arial"/>
                <w:sz w:val="22"/>
                <w:szCs w:val="22"/>
              </w:rPr>
              <w:t xml:space="preserve">LEY DE GARANTÍAS ELECTORALES – Prohibición – Celebración de contratos y convenios interadministrativos – Contrato de donación – Contrato de comodato – Contrato de arrendamiento / </w:t>
            </w:r>
            <w:r w:rsidRPr="00D22117">
              <w:rPr>
                <w:rFonts w:ascii="Arial" w:eastAsia="Arial" w:hAnsi="Arial" w:cs="Arial"/>
                <w:sz w:val="22"/>
                <w:szCs w:val="22"/>
              </w:rPr>
              <w:t>MODIFICACIÓN DE LA LEY 2159 DE 2021 – Ley Anual de Presupuesto - parágrafo del artículo 38 de la Ley de Garantías</w:t>
            </w:r>
            <w:r w:rsidR="00D22117">
              <w:rPr>
                <w:rFonts w:ascii="Arial" w:eastAsia="Arial" w:hAnsi="Arial" w:cs="Arial"/>
                <w:sz w:val="22"/>
                <w:szCs w:val="22"/>
              </w:rPr>
              <w:t xml:space="preserve"> </w:t>
            </w:r>
          </w:p>
        </w:tc>
      </w:tr>
      <w:tr w:rsidR="00D73348" w:rsidRPr="00D22117" w14:paraId="756836D2" w14:textId="77777777">
        <w:tc>
          <w:tcPr>
            <w:tcW w:w="4419" w:type="dxa"/>
          </w:tcPr>
          <w:p w14:paraId="27896E2F" w14:textId="77777777" w:rsidR="00D73348" w:rsidRPr="00D22117" w:rsidRDefault="00DA2883">
            <w:pPr>
              <w:spacing w:line="276" w:lineRule="auto"/>
              <w:rPr>
                <w:rFonts w:ascii="Arial" w:eastAsia="Arial" w:hAnsi="Arial" w:cs="Arial"/>
              </w:rPr>
            </w:pPr>
            <w:r w:rsidRPr="00D22117">
              <w:rPr>
                <w:rFonts w:ascii="Arial" w:eastAsia="Arial" w:hAnsi="Arial" w:cs="Arial"/>
                <w:b/>
                <w:sz w:val="22"/>
                <w:szCs w:val="22"/>
              </w:rPr>
              <w:lastRenderedPageBreak/>
              <w:t>Radicación:</w:t>
            </w:r>
            <w:r w:rsidRPr="00D22117">
              <w:rPr>
                <w:rFonts w:ascii="Arial" w:eastAsia="Arial" w:hAnsi="Arial" w:cs="Arial"/>
                <w:sz w:val="22"/>
                <w:szCs w:val="22"/>
              </w:rPr>
              <w:t xml:space="preserve">                              </w:t>
            </w:r>
          </w:p>
        </w:tc>
        <w:tc>
          <w:tcPr>
            <w:tcW w:w="4419" w:type="dxa"/>
          </w:tcPr>
          <w:p w14:paraId="5E54C721" w14:textId="77777777" w:rsidR="00D73348" w:rsidRPr="00D22117" w:rsidRDefault="00DA2883">
            <w:pPr>
              <w:spacing w:line="276" w:lineRule="auto"/>
              <w:jc w:val="both"/>
              <w:rPr>
                <w:rFonts w:ascii="Arial" w:eastAsia="Arial" w:hAnsi="Arial" w:cs="Arial"/>
              </w:rPr>
            </w:pPr>
            <w:r w:rsidRPr="00D22117">
              <w:rPr>
                <w:rFonts w:ascii="Arial" w:eastAsia="Arial" w:hAnsi="Arial" w:cs="Arial"/>
                <w:sz w:val="22"/>
                <w:szCs w:val="22"/>
              </w:rPr>
              <w:t>Respuesta a consulta P</w:t>
            </w:r>
            <w:r w:rsidRPr="00D22117">
              <w:rPr>
                <w:rFonts w:ascii="Arial" w:eastAsia="Arial" w:hAnsi="Arial" w:cs="Arial"/>
                <w:color w:val="000000"/>
                <w:sz w:val="22"/>
                <w:szCs w:val="22"/>
              </w:rPr>
              <w:t>20211207011320</w:t>
            </w:r>
          </w:p>
        </w:tc>
      </w:tr>
    </w:tbl>
    <w:p w14:paraId="3A0BFD77" w14:textId="77777777" w:rsidR="00D73348" w:rsidRPr="00D22117" w:rsidRDefault="00D73348">
      <w:pPr>
        <w:spacing w:after="0"/>
        <w:rPr>
          <w:rFonts w:ascii="Arial" w:eastAsia="Arial" w:hAnsi="Arial" w:cs="Arial"/>
        </w:rPr>
      </w:pPr>
    </w:p>
    <w:p w14:paraId="79079CB6" w14:textId="77777777" w:rsidR="00D73348" w:rsidRPr="00D22117" w:rsidRDefault="00D73348">
      <w:pPr>
        <w:spacing w:after="0"/>
        <w:rPr>
          <w:rFonts w:ascii="Arial" w:eastAsia="Arial" w:hAnsi="Arial" w:cs="Arial"/>
        </w:rPr>
      </w:pPr>
    </w:p>
    <w:p w14:paraId="3413F432" w14:textId="77777777" w:rsidR="00D73348" w:rsidRPr="00D22117" w:rsidRDefault="00DA2883">
      <w:pPr>
        <w:rPr>
          <w:color w:val="000000"/>
          <w:sz w:val="22"/>
          <w:szCs w:val="22"/>
        </w:rPr>
      </w:pPr>
      <w:r w:rsidRPr="00D22117">
        <w:rPr>
          <w:rFonts w:ascii="Arial" w:eastAsia="Arial" w:hAnsi="Arial" w:cs="Arial"/>
          <w:sz w:val="22"/>
          <w:szCs w:val="22"/>
        </w:rPr>
        <w:t>Estimada señora Patiño:</w:t>
      </w:r>
    </w:p>
    <w:p w14:paraId="7C8BE239" w14:textId="77777777" w:rsidR="00D73348" w:rsidRPr="00D22117" w:rsidRDefault="00D73348">
      <w:pPr>
        <w:spacing w:after="0"/>
        <w:rPr>
          <w:rFonts w:ascii="Arial" w:eastAsia="Arial" w:hAnsi="Arial" w:cs="Arial"/>
          <w:sz w:val="22"/>
          <w:szCs w:val="22"/>
        </w:rPr>
      </w:pPr>
    </w:p>
    <w:p w14:paraId="1D72B087" w14:textId="77777777" w:rsidR="00D73348" w:rsidRPr="00D22117" w:rsidRDefault="00DA2883">
      <w:pPr>
        <w:spacing w:after="0"/>
        <w:ind w:right="51"/>
        <w:rPr>
          <w:rFonts w:ascii="Arial" w:eastAsia="Arial" w:hAnsi="Arial" w:cs="Arial"/>
          <w:sz w:val="22"/>
          <w:szCs w:val="22"/>
        </w:rPr>
      </w:pPr>
      <w:r w:rsidRPr="00D22117">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la consulta radicada el 01 de diciembre de 2021. </w:t>
      </w:r>
    </w:p>
    <w:p w14:paraId="53EADC6B" w14:textId="77777777" w:rsidR="00D73348" w:rsidRPr="00D22117" w:rsidRDefault="00D73348">
      <w:pPr>
        <w:spacing w:after="0"/>
        <w:rPr>
          <w:rFonts w:ascii="Arial" w:eastAsia="Arial" w:hAnsi="Arial" w:cs="Arial"/>
          <w:sz w:val="22"/>
          <w:szCs w:val="22"/>
        </w:rPr>
      </w:pPr>
    </w:p>
    <w:p w14:paraId="7416E99B" w14:textId="77777777" w:rsidR="00D73348" w:rsidRPr="00D22117" w:rsidRDefault="00DA2883">
      <w:pPr>
        <w:tabs>
          <w:tab w:val="left" w:pos="284"/>
        </w:tabs>
        <w:spacing w:after="0"/>
        <w:rPr>
          <w:rFonts w:ascii="Arial" w:eastAsia="Arial" w:hAnsi="Arial" w:cs="Arial"/>
          <w:b/>
          <w:sz w:val="22"/>
          <w:szCs w:val="22"/>
        </w:rPr>
      </w:pPr>
      <w:r w:rsidRPr="00D22117">
        <w:rPr>
          <w:rFonts w:ascii="Arial" w:eastAsia="Arial" w:hAnsi="Arial" w:cs="Arial"/>
          <w:b/>
          <w:sz w:val="22"/>
          <w:szCs w:val="22"/>
        </w:rPr>
        <w:t xml:space="preserve">1. Problema planteado </w:t>
      </w:r>
    </w:p>
    <w:p w14:paraId="2E0CDF5D" w14:textId="77777777" w:rsidR="00D73348" w:rsidRPr="00D22117" w:rsidRDefault="00D73348">
      <w:pPr>
        <w:pBdr>
          <w:top w:val="nil"/>
          <w:left w:val="nil"/>
          <w:bottom w:val="nil"/>
          <w:right w:val="nil"/>
          <w:between w:val="nil"/>
        </w:pBdr>
        <w:tabs>
          <w:tab w:val="left" w:pos="284"/>
        </w:tabs>
        <w:spacing w:after="0"/>
        <w:rPr>
          <w:rFonts w:ascii="Arial" w:eastAsia="Arial" w:hAnsi="Arial" w:cs="Arial"/>
          <w:b/>
          <w:color w:val="000000"/>
          <w:sz w:val="22"/>
          <w:szCs w:val="22"/>
        </w:rPr>
      </w:pPr>
    </w:p>
    <w:p w14:paraId="3EE1B698" w14:textId="77777777" w:rsidR="00D73348" w:rsidRPr="00D22117" w:rsidRDefault="00DA2883">
      <w:pPr>
        <w:pBdr>
          <w:top w:val="nil"/>
          <w:left w:val="nil"/>
          <w:bottom w:val="nil"/>
          <w:right w:val="nil"/>
          <w:between w:val="nil"/>
        </w:pBdr>
        <w:tabs>
          <w:tab w:val="left" w:pos="284"/>
        </w:tabs>
        <w:spacing w:after="0"/>
        <w:rPr>
          <w:rFonts w:ascii="Arial" w:eastAsia="Arial" w:hAnsi="Arial" w:cs="Arial"/>
          <w:color w:val="000000"/>
          <w:sz w:val="22"/>
          <w:szCs w:val="22"/>
        </w:rPr>
      </w:pPr>
      <w:r w:rsidRPr="00D22117">
        <w:rPr>
          <w:rFonts w:ascii="Arial" w:eastAsia="Arial" w:hAnsi="Arial" w:cs="Arial"/>
          <w:color w:val="000000"/>
          <w:sz w:val="22"/>
          <w:szCs w:val="22"/>
        </w:rPr>
        <w:t>En su consulta, usted plantea los siguientes interrogantes:</w:t>
      </w:r>
    </w:p>
    <w:p w14:paraId="7426CDD1"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 xml:space="preserve">«1. El arrendamiento de bienes inmuebles entre entidades públicas del nivel territorial, es convenio o contrato y cuál de las restricciones de las consagradas en la Ley 996 de 2005, aplicaría? </w:t>
      </w:r>
    </w:p>
    <w:p w14:paraId="0FB2BAA6"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 xml:space="preserve">2. La donación de bien inmueble, entre entidades públicas, es convenio o contrato y cuál de las restricciones de las consagradas en la Ley 996 de 2005, aplicaría? </w:t>
      </w:r>
    </w:p>
    <w:p w14:paraId="56AF1F30"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 xml:space="preserve">3. El contrato de usufructo entre entidades públicas, es convenio o contrato? </w:t>
      </w:r>
    </w:p>
    <w:p w14:paraId="174C46B6"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lastRenderedPageBreak/>
        <w:t>4. Es posible suscribir escritura pública de donación de bien inmueble y de usufructo, entre entidades públicas, antes del 29 de enero de 2022?»</w:t>
      </w:r>
    </w:p>
    <w:p w14:paraId="64417886" w14:textId="77777777" w:rsidR="00D73348" w:rsidRPr="00D22117" w:rsidRDefault="00D73348">
      <w:pPr>
        <w:tabs>
          <w:tab w:val="left" w:pos="426"/>
        </w:tabs>
        <w:spacing w:after="0"/>
        <w:rPr>
          <w:rFonts w:ascii="Arial" w:eastAsia="Arial" w:hAnsi="Arial" w:cs="Arial"/>
          <w:sz w:val="22"/>
          <w:szCs w:val="22"/>
        </w:rPr>
      </w:pPr>
    </w:p>
    <w:p w14:paraId="3EB9A6AA" w14:textId="77777777" w:rsidR="00D73348" w:rsidRPr="00D22117" w:rsidRDefault="00DA2883">
      <w:pPr>
        <w:tabs>
          <w:tab w:val="left" w:pos="284"/>
        </w:tabs>
        <w:spacing w:after="0"/>
        <w:rPr>
          <w:rFonts w:ascii="Arial" w:eastAsia="Arial" w:hAnsi="Arial" w:cs="Arial"/>
          <w:b/>
          <w:sz w:val="22"/>
          <w:szCs w:val="22"/>
        </w:rPr>
      </w:pPr>
      <w:r w:rsidRPr="00D22117">
        <w:rPr>
          <w:rFonts w:ascii="Arial" w:eastAsia="Arial" w:hAnsi="Arial" w:cs="Arial"/>
          <w:b/>
          <w:sz w:val="22"/>
          <w:szCs w:val="22"/>
        </w:rPr>
        <w:t>2. Consideraciones</w:t>
      </w:r>
    </w:p>
    <w:p w14:paraId="733B9681" w14:textId="77777777" w:rsidR="00D73348" w:rsidRPr="00D22117" w:rsidRDefault="00D73348">
      <w:pPr>
        <w:tabs>
          <w:tab w:val="left" w:pos="426"/>
        </w:tabs>
        <w:spacing w:after="0"/>
        <w:ind w:firstLine="709"/>
        <w:rPr>
          <w:rFonts w:ascii="Arial" w:eastAsia="Arial" w:hAnsi="Arial" w:cs="Arial"/>
          <w:sz w:val="22"/>
          <w:szCs w:val="22"/>
        </w:rPr>
      </w:pPr>
    </w:p>
    <w:p w14:paraId="5009CF65" w14:textId="50433FFA" w:rsidR="00D73348" w:rsidRPr="00D22117" w:rsidRDefault="00DA2883">
      <w:pPr>
        <w:spacing w:after="120"/>
        <w:rPr>
          <w:rFonts w:ascii="Arial" w:eastAsia="Arial" w:hAnsi="Arial" w:cs="Arial"/>
          <w:sz w:val="22"/>
          <w:szCs w:val="22"/>
        </w:rPr>
      </w:pPr>
      <w:r w:rsidRPr="00D22117">
        <w:rPr>
          <w:rFonts w:ascii="Arial" w:eastAsia="Arial" w:hAnsi="Arial" w:cs="Arial"/>
          <w:sz w:val="22"/>
          <w:szCs w:val="22"/>
        </w:rPr>
        <w:t>Para resolver los problemas planteados, la Agencia analizará</w:t>
      </w:r>
      <w:r w:rsidRPr="00D22117">
        <w:rPr>
          <w:rFonts w:ascii="Arial" w:eastAsia="Arial" w:hAnsi="Arial" w:cs="Arial"/>
          <w:color w:val="000000"/>
          <w:sz w:val="22"/>
          <w:szCs w:val="22"/>
        </w:rPr>
        <w:t xml:space="preserve"> los siguientes temas:</w:t>
      </w:r>
      <w:r w:rsidRPr="00D22117">
        <w:rPr>
          <w:rFonts w:ascii="Arial" w:eastAsia="Arial" w:hAnsi="Arial" w:cs="Arial"/>
          <w:sz w:val="22"/>
          <w:szCs w:val="22"/>
        </w:rPr>
        <w:t xml:space="preserve"> i) definición y finalidad de la Ley de Garantías Electorales, donde se expondrán las restricciones en materia contractual establecidas en dicha Ley; ii) restricciones para la celebración de contratos y convenios interadministrativos en los comicios para cargos de elección popular y iii) las modificaciones realizadas por la Ley 2159 de 2021. En desarrollo de dichos contenidos se abordarán las problemáticas expuestas por el peticionario, aclarando que de conformidad con la competencia consultiva otorgada por el numeral 5 del artículo 3 y el numeral 8 del artículo 11 del Decreto 4170 de 2011, la Agencia Nacional de Contratación Pública – Colombia Compra Eficiente está facultada para atender solicitudes relacionadas con temas contractuales, pero solo para «absolver consultas sobre la aplicación de normas de carácter general»</w:t>
      </w:r>
      <w:r w:rsidRPr="00D22117">
        <w:rPr>
          <w:rFonts w:ascii="Arial" w:eastAsia="Arial" w:hAnsi="Arial" w:cs="Arial"/>
          <w:sz w:val="22"/>
          <w:szCs w:val="22"/>
          <w:vertAlign w:val="superscript"/>
        </w:rPr>
        <w:footnoteReference w:id="1"/>
      </w:r>
      <w:r w:rsidRPr="00D22117">
        <w:rPr>
          <w:rFonts w:ascii="Arial" w:eastAsia="Arial" w:hAnsi="Arial" w:cs="Arial"/>
          <w:sz w:val="22"/>
          <w:szCs w:val="22"/>
        </w:rPr>
        <w:t xml:space="preserve">. Por ello, la Agencia no tiene atribuciones para resolver casos particulares y concretos, ni para validar las actuaciones de las entidades estatales.  </w:t>
      </w:r>
    </w:p>
    <w:p w14:paraId="23662B56" w14:textId="77777777" w:rsidR="00D73348" w:rsidRPr="00D22117" w:rsidRDefault="00DA2883">
      <w:pPr>
        <w:tabs>
          <w:tab w:val="left" w:pos="426"/>
        </w:tabs>
        <w:spacing w:after="120"/>
        <w:rPr>
          <w:rFonts w:ascii="Arial" w:eastAsia="Arial" w:hAnsi="Arial" w:cs="Arial"/>
          <w:sz w:val="22"/>
          <w:szCs w:val="22"/>
        </w:rPr>
      </w:pPr>
      <w:r w:rsidRPr="00D22117">
        <w:rPr>
          <w:rFonts w:ascii="Arial" w:eastAsia="Arial" w:hAnsi="Arial" w:cs="Arial"/>
          <w:sz w:val="22"/>
          <w:szCs w:val="22"/>
        </w:rPr>
        <w:tab/>
      </w:r>
      <w:r w:rsidRPr="00D22117">
        <w:rPr>
          <w:rFonts w:ascii="Arial" w:eastAsia="Arial" w:hAnsi="Arial" w:cs="Arial"/>
          <w:sz w:val="22"/>
          <w:szCs w:val="22"/>
        </w:rPr>
        <w:tab/>
        <w:t xml:space="preserve">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w:t>
      </w:r>
      <w:r w:rsidRPr="00D22117">
        <w:rPr>
          <w:rFonts w:ascii="Arial" w:eastAsia="Arial" w:hAnsi="Arial" w:cs="Arial"/>
          <w:sz w:val="22"/>
          <w:szCs w:val="22"/>
        </w:rPr>
        <w:lastRenderedPageBreak/>
        <w:t>esta Subdirección. Además, no son vinculantes o de obligatorio cumplimiento para el destinatario, sino que expresan la posición interpretativa del ente que elabora el concepto.</w:t>
      </w:r>
    </w:p>
    <w:p w14:paraId="21994D53" w14:textId="77777777" w:rsidR="00D73348" w:rsidRPr="00D22117" w:rsidRDefault="00DA2883">
      <w:pPr>
        <w:tabs>
          <w:tab w:val="left" w:pos="426"/>
        </w:tabs>
        <w:spacing w:after="0"/>
        <w:rPr>
          <w:rFonts w:ascii="Arial" w:eastAsia="Arial" w:hAnsi="Arial" w:cs="Arial"/>
          <w:sz w:val="22"/>
          <w:szCs w:val="22"/>
        </w:rPr>
      </w:pPr>
      <w:r w:rsidRPr="00D22117">
        <w:rPr>
          <w:rFonts w:ascii="Arial" w:eastAsia="Arial" w:hAnsi="Arial" w:cs="Arial"/>
          <w:sz w:val="22"/>
          <w:szCs w:val="22"/>
        </w:rPr>
        <w:tab/>
      </w:r>
      <w:r w:rsidRPr="00D22117">
        <w:rPr>
          <w:rFonts w:ascii="Arial" w:eastAsia="Arial" w:hAnsi="Arial" w:cs="Arial"/>
          <w:sz w:val="22"/>
          <w:szCs w:val="22"/>
        </w:rPr>
        <w:tab/>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y C-636 del 16 de noviembre de 2021. En el mismo sentido, </w:t>
      </w:r>
      <w:r w:rsidRPr="00D22117">
        <w:rPr>
          <w:rFonts w:ascii="Arial" w:eastAsia="Arial" w:hAnsi="Arial" w:cs="Arial"/>
          <w:color w:val="000000"/>
          <w:sz w:val="22"/>
          <w:szCs w:val="22"/>
        </w:rPr>
        <w:t xml:space="preserve">en el concepto con C-677 de 2021 se refirió a los alcances de la modificación realizada por la Ley 2159 de 2021. </w:t>
      </w:r>
      <w:r w:rsidRPr="00D22117">
        <w:rPr>
          <w:rFonts w:ascii="Arial" w:eastAsia="Arial" w:hAnsi="Arial" w:cs="Arial"/>
          <w:sz w:val="22"/>
          <w:szCs w:val="22"/>
        </w:rPr>
        <w:t>Las tesis desarrolladas en estos conceptos se reiteran y complementan a continuación.</w:t>
      </w:r>
    </w:p>
    <w:p w14:paraId="11381CC8" w14:textId="77777777" w:rsidR="00D73348" w:rsidRPr="00D22117" w:rsidRDefault="00D73348">
      <w:pPr>
        <w:tabs>
          <w:tab w:val="left" w:pos="426"/>
        </w:tabs>
        <w:spacing w:after="0"/>
        <w:ind w:firstLine="709"/>
        <w:rPr>
          <w:rFonts w:ascii="Arial" w:eastAsia="Arial" w:hAnsi="Arial" w:cs="Arial"/>
          <w:b/>
          <w:sz w:val="22"/>
          <w:szCs w:val="22"/>
        </w:rPr>
      </w:pPr>
    </w:p>
    <w:p w14:paraId="30B4DDE7" w14:textId="77777777" w:rsidR="00D73348" w:rsidRPr="00D22117" w:rsidRDefault="00DA2883">
      <w:pPr>
        <w:tabs>
          <w:tab w:val="left" w:pos="426"/>
        </w:tabs>
        <w:spacing w:after="0"/>
        <w:rPr>
          <w:rFonts w:ascii="Arial" w:eastAsia="Arial" w:hAnsi="Arial" w:cs="Arial"/>
          <w:b/>
          <w:sz w:val="22"/>
          <w:szCs w:val="22"/>
        </w:rPr>
      </w:pPr>
      <w:r w:rsidRPr="00D22117">
        <w:rPr>
          <w:rFonts w:ascii="Arial" w:eastAsia="Arial" w:hAnsi="Arial" w:cs="Arial"/>
          <w:b/>
          <w:sz w:val="22"/>
          <w:szCs w:val="22"/>
        </w:rPr>
        <w:t>2.1. Definición y finalidad de la Ley de Garantías Electorales: alcance de las restricciones</w:t>
      </w:r>
    </w:p>
    <w:p w14:paraId="25B1B811" w14:textId="77777777" w:rsidR="00D73348" w:rsidRPr="00D22117" w:rsidRDefault="00D73348">
      <w:pPr>
        <w:tabs>
          <w:tab w:val="left" w:pos="426"/>
        </w:tabs>
        <w:spacing w:after="0"/>
        <w:ind w:firstLine="709"/>
        <w:rPr>
          <w:rFonts w:ascii="Arial" w:eastAsia="Arial" w:hAnsi="Arial" w:cs="Arial"/>
          <w:sz w:val="22"/>
          <w:szCs w:val="22"/>
        </w:rPr>
      </w:pPr>
    </w:p>
    <w:p w14:paraId="2DEF3327" w14:textId="77777777" w:rsidR="00D73348" w:rsidRPr="00D22117" w:rsidRDefault="00DA2883">
      <w:pPr>
        <w:tabs>
          <w:tab w:val="left" w:pos="426"/>
        </w:tabs>
        <w:spacing w:after="120"/>
        <w:rPr>
          <w:rFonts w:ascii="Arial" w:eastAsia="Arial" w:hAnsi="Arial" w:cs="Arial"/>
          <w:sz w:val="22"/>
          <w:szCs w:val="22"/>
        </w:rPr>
      </w:pPr>
      <w:r w:rsidRPr="00D22117">
        <w:rPr>
          <w:rFonts w:ascii="Arial" w:eastAsia="Arial" w:hAnsi="Arial" w:cs="Arial"/>
          <w:sz w:val="22"/>
          <w:szCs w:val="22"/>
        </w:rPr>
        <w:t>El ordenamiento jurídico colombiano contempla previsiones claras para evitar la obtención de beneficios personales en asuntos propios de la administración pública</w:t>
      </w:r>
      <w:r w:rsidRPr="00D22117">
        <w:rPr>
          <w:rFonts w:ascii="Arial" w:eastAsia="Arial" w:hAnsi="Arial" w:cs="Arial"/>
          <w:i/>
          <w:sz w:val="22"/>
          <w:szCs w:val="22"/>
        </w:rPr>
        <w:t xml:space="preserve">. </w:t>
      </w:r>
      <w:r w:rsidRPr="00D22117">
        <w:rPr>
          <w:rFonts w:ascii="Arial" w:eastAsia="Arial" w:hAnsi="Arial" w:cs="Arial"/>
          <w:sz w:val="22"/>
          <w:szCs w:val="22"/>
        </w:rPr>
        <w:t xml:space="preserve">Por ejemplo, el artículo 127 de la Constitución Política establece una prohibición contractual a los </w:t>
      </w:r>
      <w:r w:rsidRPr="00D22117">
        <w:rPr>
          <w:rFonts w:ascii="Arial" w:eastAsia="Arial" w:hAnsi="Arial" w:cs="Arial"/>
          <w:sz w:val="22"/>
          <w:szCs w:val="22"/>
        </w:rPr>
        <w:lastRenderedPageBreak/>
        <w:t>servidores públicos y en cuanto a aspectos políticos establece restricciones a ciertos empleados del Estado, incluso en época no electoral</w:t>
      </w:r>
      <w:r w:rsidRPr="00D22117">
        <w:rPr>
          <w:rFonts w:ascii="Arial" w:eastAsia="Arial" w:hAnsi="Arial" w:cs="Arial"/>
          <w:sz w:val="22"/>
          <w:szCs w:val="22"/>
          <w:vertAlign w:val="superscript"/>
        </w:rPr>
        <w:footnoteReference w:id="2"/>
      </w:r>
      <w:r w:rsidRPr="00D22117">
        <w:rPr>
          <w:rFonts w:ascii="Arial" w:eastAsia="Arial" w:hAnsi="Arial" w:cs="Arial"/>
          <w:sz w:val="22"/>
          <w:szCs w:val="22"/>
        </w:rPr>
        <w:t xml:space="preserve">. </w:t>
      </w:r>
    </w:p>
    <w:p w14:paraId="4C8A23E0" w14:textId="77777777" w:rsidR="00D73348" w:rsidRPr="00D22117" w:rsidRDefault="00DA2883">
      <w:pPr>
        <w:tabs>
          <w:tab w:val="left" w:pos="426"/>
        </w:tabs>
        <w:spacing w:after="0"/>
        <w:ind w:firstLine="709"/>
        <w:rPr>
          <w:rFonts w:ascii="Arial" w:eastAsia="Arial" w:hAnsi="Arial" w:cs="Arial"/>
          <w:sz w:val="22"/>
          <w:szCs w:val="22"/>
        </w:rPr>
      </w:pPr>
      <w:r w:rsidRPr="00D22117">
        <w:rPr>
          <w:rFonts w:ascii="Arial" w:eastAsia="Arial" w:hAnsi="Arial" w:cs="Arial"/>
          <w:sz w:val="22"/>
          <w:szCs w:val="22"/>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D22117">
        <w:rPr>
          <w:rFonts w:ascii="Arial" w:eastAsia="Arial" w:hAnsi="Arial" w:cs="Arial"/>
          <w:sz w:val="22"/>
          <w:szCs w:val="22"/>
          <w:vertAlign w:val="superscript"/>
        </w:rPr>
        <w:footnoteReference w:id="3"/>
      </w:r>
      <w:r w:rsidRPr="00D22117">
        <w:rPr>
          <w:rFonts w:ascii="Arial" w:eastAsia="Arial" w:hAnsi="Arial" w:cs="Arial"/>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6A8F37DE" w14:textId="77777777" w:rsidR="00D73348" w:rsidRPr="00D22117" w:rsidRDefault="00D73348">
      <w:pPr>
        <w:spacing w:after="0"/>
        <w:ind w:right="709"/>
        <w:rPr>
          <w:rFonts w:ascii="Arial" w:eastAsia="Arial" w:hAnsi="Arial" w:cs="Arial"/>
          <w:sz w:val="21"/>
          <w:szCs w:val="21"/>
        </w:rPr>
      </w:pPr>
    </w:p>
    <w:p w14:paraId="135F2448" w14:textId="77777777" w:rsidR="00D73348" w:rsidRPr="00D22117" w:rsidRDefault="00DA2883">
      <w:pPr>
        <w:spacing w:after="0" w:line="240" w:lineRule="auto"/>
        <w:ind w:left="709" w:right="709"/>
      </w:pPr>
      <w:r w:rsidRPr="00D22117">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43FF8F76" w14:textId="77777777" w:rsidR="00D73348" w:rsidRPr="00D22117" w:rsidRDefault="00DA2883">
      <w:pPr>
        <w:spacing w:after="120" w:line="240" w:lineRule="auto"/>
        <w:ind w:left="709" w:right="709"/>
      </w:pPr>
      <w:r w:rsidRPr="00D22117">
        <w:rPr>
          <w:rFonts w:ascii="Arial" w:eastAsia="Arial" w:hAnsi="Arial" w:cs="Arial"/>
          <w:sz w:val="21"/>
          <w:szCs w:val="21"/>
        </w:rPr>
        <w:t xml:space="preserve">[…] </w:t>
      </w:r>
    </w:p>
    <w:p w14:paraId="3E2F6946" w14:textId="77777777" w:rsidR="00D73348" w:rsidRPr="00D22117" w:rsidRDefault="00DA2883">
      <w:pPr>
        <w:spacing w:after="0" w:line="240" w:lineRule="auto"/>
        <w:ind w:left="709" w:right="709"/>
      </w:pPr>
      <w:r w:rsidRPr="00D22117">
        <w:rPr>
          <w:rFonts w:ascii="Arial" w:eastAsia="Arial" w:hAnsi="Arial" w:cs="Arial"/>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D22117">
        <w:rPr>
          <w:rFonts w:ascii="Arial" w:eastAsia="Arial" w:hAnsi="Arial" w:cs="Arial"/>
          <w:sz w:val="20"/>
          <w:szCs w:val="20"/>
          <w:vertAlign w:val="superscript"/>
        </w:rPr>
        <w:footnoteReference w:id="4"/>
      </w:r>
    </w:p>
    <w:p w14:paraId="3BE6803E" w14:textId="77777777" w:rsidR="00D73348" w:rsidRPr="00D22117" w:rsidRDefault="00D73348">
      <w:pPr>
        <w:spacing w:after="0"/>
        <w:ind w:left="709" w:right="709"/>
        <w:rPr>
          <w:rFonts w:ascii="Arial" w:eastAsia="Arial" w:hAnsi="Arial" w:cs="Arial"/>
          <w:sz w:val="21"/>
          <w:szCs w:val="21"/>
        </w:rPr>
      </w:pPr>
    </w:p>
    <w:p w14:paraId="14D28DE3" w14:textId="77777777" w:rsidR="00D73348" w:rsidRPr="00D22117" w:rsidRDefault="00DA2883">
      <w:pPr>
        <w:spacing w:after="0"/>
        <w:ind w:firstLine="709"/>
        <w:rPr>
          <w:rFonts w:ascii="Arial" w:eastAsia="Arial" w:hAnsi="Arial" w:cs="Arial"/>
          <w:sz w:val="22"/>
          <w:szCs w:val="22"/>
        </w:rPr>
      </w:pPr>
      <w:bookmarkStart w:id="10" w:name="_17dp8vu" w:colFirst="0" w:colLast="0"/>
      <w:bookmarkEnd w:id="10"/>
      <w:r w:rsidRPr="00D22117">
        <w:rPr>
          <w:rFonts w:ascii="Arial" w:eastAsia="Arial" w:hAnsi="Arial" w:cs="Arial"/>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C99FC41" w14:textId="77777777" w:rsidR="00D73348" w:rsidRPr="00D22117" w:rsidRDefault="00D73348">
      <w:pPr>
        <w:spacing w:after="0"/>
        <w:ind w:firstLine="709"/>
        <w:rPr>
          <w:rFonts w:ascii="Arial" w:eastAsia="Arial" w:hAnsi="Arial" w:cs="Arial"/>
          <w:sz w:val="22"/>
          <w:szCs w:val="22"/>
        </w:rPr>
      </w:pPr>
    </w:p>
    <w:p w14:paraId="6A6F2BB1" w14:textId="77777777" w:rsidR="00D73348" w:rsidRPr="00D22117" w:rsidRDefault="00DA2883">
      <w:pPr>
        <w:spacing w:after="120" w:line="240" w:lineRule="auto"/>
        <w:ind w:left="709" w:right="709"/>
      </w:pPr>
      <w:r w:rsidRPr="00D22117">
        <w:rPr>
          <w:rFonts w:ascii="Arial" w:eastAsia="Arial" w:hAnsi="Arial" w:cs="Arial"/>
          <w:sz w:val="21"/>
          <w:szCs w:val="21"/>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5EC1CA9" w14:textId="77777777" w:rsidR="00D73348" w:rsidRPr="00D22117" w:rsidRDefault="00DA2883">
      <w:pPr>
        <w:spacing w:after="0" w:line="240" w:lineRule="auto"/>
        <w:ind w:left="709" w:right="709"/>
      </w:pPr>
      <w:r w:rsidRPr="00D22117">
        <w:rPr>
          <w:rFonts w:ascii="Arial" w:eastAsia="Arial" w:hAnsi="Arial" w:cs="Arial"/>
          <w:sz w:val="21"/>
          <w:szCs w:val="21"/>
        </w:rPr>
        <w:t>La jurisprudencia de la Corte Constitucional</w:t>
      </w:r>
      <w:r w:rsidRPr="00D22117">
        <w:rPr>
          <w:rFonts w:ascii="Arial" w:eastAsia="Arial" w:hAnsi="Arial" w:cs="Arial"/>
          <w:sz w:val="21"/>
          <w:szCs w:val="21"/>
          <w:vertAlign w:val="superscript"/>
        </w:rPr>
        <w:footnoteReference w:id="5"/>
      </w:r>
      <w:r w:rsidRPr="00D22117">
        <w:rPr>
          <w:rFonts w:ascii="Arial" w:eastAsia="Arial" w:hAnsi="Arial" w:cs="Arial"/>
          <w:sz w:val="21"/>
          <w:szCs w:val="21"/>
        </w:rPr>
        <w:t> y del Consejo de Estado</w:t>
      </w:r>
      <w:r w:rsidRPr="00D22117">
        <w:rPr>
          <w:rFonts w:ascii="Arial" w:eastAsia="Arial" w:hAnsi="Arial" w:cs="Arial"/>
          <w:sz w:val="21"/>
          <w:szCs w:val="21"/>
          <w:vertAlign w:val="superscript"/>
        </w:rPr>
        <w:footnoteReference w:id="6"/>
      </w:r>
      <w:r w:rsidRPr="00D22117">
        <w:rPr>
          <w:rFonts w:ascii="Arial" w:eastAsia="Arial" w:hAnsi="Arial" w:cs="Arial"/>
          <w:sz w:val="21"/>
          <w:szCs w:val="21"/>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D22117">
        <w:rPr>
          <w:rFonts w:ascii="Arial" w:eastAsia="Arial" w:hAnsi="Arial" w:cs="Arial"/>
          <w:sz w:val="22"/>
          <w:szCs w:val="22"/>
          <w:vertAlign w:val="superscript"/>
        </w:rPr>
        <w:footnoteReference w:id="7"/>
      </w:r>
      <w:r w:rsidRPr="00D22117">
        <w:rPr>
          <w:rFonts w:ascii="Arial" w:eastAsia="Arial" w:hAnsi="Arial" w:cs="Arial"/>
          <w:sz w:val="21"/>
          <w:szCs w:val="21"/>
        </w:rPr>
        <w:t>.</w:t>
      </w:r>
    </w:p>
    <w:p w14:paraId="0E1466CD" w14:textId="77777777" w:rsidR="00D73348" w:rsidRPr="00D22117" w:rsidRDefault="00D73348">
      <w:pPr>
        <w:spacing w:after="0"/>
        <w:ind w:right="709"/>
        <w:rPr>
          <w:rFonts w:ascii="Arial" w:eastAsia="Arial" w:hAnsi="Arial" w:cs="Arial"/>
          <w:sz w:val="21"/>
          <w:szCs w:val="21"/>
        </w:rPr>
      </w:pPr>
    </w:p>
    <w:p w14:paraId="3FB86D10" w14:textId="77777777" w:rsidR="00D73348" w:rsidRPr="00D22117" w:rsidRDefault="00DA2883">
      <w:pPr>
        <w:spacing w:after="120"/>
        <w:rPr>
          <w:rFonts w:ascii="Arial" w:eastAsia="Arial" w:hAnsi="Arial" w:cs="Arial"/>
          <w:sz w:val="22"/>
          <w:szCs w:val="22"/>
        </w:rPr>
      </w:pPr>
      <w:bookmarkStart w:id="11" w:name="_3rdcrjn" w:colFirst="0" w:colLast="0"/>
      <w:bookmarkEnd w:id="11"/>
      <w:r w:rsidRPr="00D22117">
        <w:rPr>
          <w:rFonts w:ascii="Arial" w:eastAsia="Arial" w:hAnsi="Arial" w:cs="Arial"/>
          <w:sz w:val="22"/>
          <w:szCs w:val="22"/>
        </w:rPr>
        <w:tab/>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13CC732" w14:textId="77777777" w:rsidR="00D73348" w:rsidRPr="00D22117" w:rsidRDefault="00DA2883">
      <w:pPr>
        <w:spacing w:after="120"/>
        <w:ind w:firstLine="708"/>
        <w:rPr>
          <w:rFonts w:ascii="Arial" w:eastAsia="Arial" w:hAnsi="Arial" w:cs="Arial"/>
          <w:sz w:val="22"/>
          <w:szCs w:val="22"/>
        </w:rPr>
      </w:pPr>
      <w:r w:rsidRPr="00D22117">
        <w:rPr>
          <w:rFonts w:ascii="Arial" w:eastAsia="Arial" w:hAnsi="Arial" w:cs="Arial"/>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22117">
        <w:rPr>
          <w:rFonts w:ascii="Arial" w:eastAsia="Arial" w:hAnsi="Arial" w:cs="Arial"/>
          <w:sz w:val="22"/>
          <w:szCs w:val="22"/>
          <w:vertAlign w:val="superscript"/>
        </w:rPr>
        <w:footnoteReference w:id="8"/>
      </w:r>
      <w:r w:rsidRPr="00D22117">
        <w:rPr>
          <w:rFonts w:ascii="Arial" w:eastAsia="Arial" w:hAnsi="Arial" w:cs="Arial"/>
          <w:sz w:val="22"/>
          <w:szCs w:val="22"/>
        </w:rPr>
        <w:t>.</w:t>
      </w:r>
    </w:p>
    <w:p w14:paraId="33B28E79" w14:textId="77777777" w:rsidR="00D73348" w:rsidRPr="00D22117" w:rsidRDefault="00DA2883">
      <w:pPr>
        <w:widowControl w:val="0"/>
        <w:spacing w:after="0"/>
        <w:ind w:right="113" w:firstLine="708"/>
        <w:rPr>
          <w:rFonts w:ascii="Arial" w:eastAsia="Arial" w:hAnsi="Arial" w:cs="Arial"/>
          <w:sz w:val="22"/>
          <w:szCs w:val="22"/>
        </w:rPr>
      </w:pPr>
      <w:r w:rsidRPr="00D22117">
        <w:rPr>
          <w:rFonts w:ascii="Arial" w:eastAsia="Arial" w:hAnsi="Arial" w:cs="Arial"/>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22117">
        <w:rPr>
          <w:rFonts w:ascii="Arial" w:eastAsia="Arial" w:hAnsi="Arial" w:cs="Arial"/>
          <w:sz w:val="19"/>
          <w:szCs w:val="19"/>
        </w:rPr>
        <w:t>»</w:t>
      </w:r>
      <w:r w:rsidRPr="00D22117">
        <w:rPr>
          <w:rFonts w:ascii="Arial" w:eastAsia="Arial" w:hAnsi="Arial" w:cs="Arial"/>
          <w:sz w:val="19"/>
          <w:szCs w:val="19"/>
          <w:vertAlign w:val="superscript"/>
        </w:rPr>
        <w:footnoteReference w:id="9"/>
      </w:r>
      <w:r w:rsidRPr="00D22117">
        <w:rPr>
          <w:rFonts w:ascii="Arial" w:eastAsia="Arial" w:hAnsi="Arial" w:cs="Arial"/>
          <w:sz w:val="22"/>
          <w:szCs w:val="22"/>
        </w:rPr>
        <w:t xml:space="preserve">. La Sala de Consulta y Servicio Civil del Consejo de Estado ha aclarado la </w:t>
      </w:r>
      <w:r w:rsidRPr="00D22117">
        <w:rPr>
          <w:rFonts w:ascii="Arial" w:eastAsia="Arial" w:hAnsi="Arial" w:cs="Arial"/>
          <w:sz w:val="22"/>
          <w:szCs w:val="22"/>
        </w:rPr>
        <w:lastRenderedPageBreak/>
        <w:t>distinción en la aplicación de las prohibiciones de la Ley 996 de 2005, dependiendo del tipo de elección que se trate. Al respecto, considera que:</w:t>
      </w:r>
    </w:p>
    <w:p w14:paraId="64109278" w14:textId="77777777" w:rsidR="00D73348" w:rsidRPr="00D22117" w:rsidRDefault="00D73348">
      <w:pPr>
        <w:widowControl w:val="0"/>
        <w:spacing w:after="0"/>
        <w:ind w:left="805" w:right="812"/>
        <w:rPr>
          <w:rFonts w:ascii="Arial" w:eastAsia="Arial" w:hAnsi="Arial" w:cs="Arial"/>
          <w:sz w:val="22"/>
          <w:szCs w:val="22"/>
        </w:rPr>
      </w:pPr>
    </w:p>
    <w:p w14:paraId="6ACFEF9D" w14:textId="77777777" w:rsidR="00D73348" w:rsidRPr="00D22117" w:rsidRDefault="00DA2883">
      <w:pPr>
        <w:widowControl w:val="0"/>
        <w:spacing w:after="0" w:line="240" w:lineRule="auto"/>
        <w:ind w:left="709" w:right="709"/>
      </w:pPr>
      <w:bookmarkStart w:id="14" w:name="_26in1rg" w:colFirst="0" w:colLast="0"/>
      <w:bookmarkEnd w:id="14"/>
      <w:r w:rsidRPr="00D22117">
        <w:rPr>
          <w:rFonts w:ascii="Arial" w:eastAsia="Arial" w:hAnsi="Arial" w:cs="Arial"/>
          <w:sz w:val="21"/>
          <w:szCs w:val="21"/>
        </w:rPr>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D22117">
        <w:rPr>
          <w:rFonts w:ascii="Arial" w:eastAsia="Arial" w:hAnsi="Arial" w:cs="Arial"/>
          <w:sz w:val="21"/>
          <w:szCs w:val="21"/>
          <w:vertAlign w:val="superscript"/>
        </w:rPr>
        <w:footnoteReference w:id="10"/>
      </w:r>
      <w:r w:rsidRPr="00D22117">
        <w:rPr>
          <w:rFonts w:ascii="Arial" w:eastAsia="Arial" w:hAnsi="Arial" w:cs="Arial"/>
          <w:sz w:val="21"/>
          <w:szCs w:val="21"/>
        </w:rPr>
        <w:t>.</w:t>
      </w:r>
    </w:p>
    <w:p w14:paraId="46285B10" w14:textId="77777777" w:rsidR="00D73348" w:rsidRPr="00D22117" w:rsidRDefault="00D73348">
      <w:pPr>
        <w:widowControl w:val="0"/>
        <w:spacing w:before="8" w:after="0"/>
        <w:jc w:val="left"/>
        <w:rPr>
          <w:rFonts w:ascii="Arial" w:eastAsia="Arial" w:hAnsi="Arial" w:cs="Arial"/>
          <w:sz w:val="22"/>
          <w:szCs w:val="22"/>
        </w:rPr>
      </w:pPr>
    </w:p>
    <w:p w14:paraId="153A4690" w14:textId="77777777" w:rsidR="00D73348" w:rsidRPr="00D22117" w:rsidRDefault="00DA2883">
      <w:pPr>
        <w:spacing w:after="120"/>
        <w:ind w:firstLine="709"/>
        <w:rPr>
          <w:rFonts w:ascii="Arial" w:eastAsia="Arial" w:hAnsi="Arial" w:cs="Arial"/>
          <w:sz w:val="22"/>
          <w:szCs w:val="22"/>
        </w:rPr>
      </w:pPr>
      <w:bookmarkStart w:id="15" w:name="_lnxbz9" w:colFirst="0" w:colLast="0"/>
      <w:bookmarkEnd w:id="15"/>
      <w:r w:rsidRPr="00D22117">
        <w:rPr>
          <w:rFonts w:ascii="Arial" w:eastAsia="Arial" w:hAnsi="Arial" w:cs="Arial"/>
          <w:sz w:val="22"/>
          <w:szCs w:val="22"/>
        </w:rPr>
        <w:t xml:space="preserve">De conformidad con lo anterior, la Ley 996 de 2005 establece dos (2) tipos de restricciones en materia de contratación, las cuales coinciden parcialmente. </w:t>
      </w:r>
      <w:r w:rsidRPr="00D22117">
        <w:rPr>
          <w:rFonts w:ascii="Arial" w:eastAsia="Arial" w:hAnsi="Arial" w:cs="Arial"/>
          <w:i/>
          <w:sz w:val="22"/>
          <w:szCs w:val="22"/>
        </w:rPr>
        <w:t>En primer lugar</w:t>
      </w:r>
      <w:r w:rsidRPr="00D22117">
        <w:rPr>
          <w:rFonts w:ascii="Arial" w:eastAsia="Arial" w:hAnsi="Arial" w:cs="Arial"/>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D22117">
        <w:rPr>
          <w:rFonts w:ascii="Arial" w:eastAsia="Arial" w:hAnsi="Arial" w:cs="Arial"/>
          <w:i/>
          <w:sz w:val="22"/>
          <w:szCs w:val="22"/>
        </w:rPr>
        <w:t>En segundo lugar</w:t>
      </w:r>
      <w:r w:rsidRPr="00D22117">
        <w:rPr>
          <w:rFonts w:ascii="Arial" w:eastAsia="Arial" w:hAnsi="Arial" w:cs="Arial"/>
          <w:sz w:val="22"/>
          <w:szCs w:val="22"/>
        </w:rPr>
        <w:t xml:space="preserve">, también se encuentra la prohibición del parágrafo del artículo 38, el cual debe </w:t>
      </w:r>
      <w:r w:rsidRPr="00D22117">
        <w:rPr>
          <w:rFonts w:ascii="Arial" w:eastAsia="Arial" w:hAnsi="Arial" w:cs="Arial"/>
          <w:sz w:val="22"/>
          <w:szCs w:val="22"/>
        </w:rPr>
        <w:lastRenderedPageBreak/>
        <w:t>aplicarse respecto de cualquier tipo de contienda electoral, y que prohíbe la celebración de convenios interadministrativos que impliquen la ejecución de recursos públicos dentro de los cuatro (4) meses anteriores a la respectiva jornada de votaciones.</w:t>
      </w:r>
    </w:p>
    <w:p w14:paraId="77B1BC4E" w14:textId="77777777" w:rsidR="00D73348" w:rsidRPr="00D22117" w:rsidRDefault="00DA2883">
      <w:pPr>
        <w:spacing w:after="120"/>
        <w:ind w:firstLine="709"/>
        <w:rPr>
          <w:rFonts w:ascii="Arial" w:eastAsia="Arial" w:hAnsi="Arial" w:cs="Arial"/>
          <w:sz w:val="22"/>
          <w:szCs w:val="22"/>
        </w:rPr>
      </w:pPr>
      <w:r w:rsidRPr="00D22117">
        <w:rPr>
          <w:rFonts w:ascii="Arial" w:eastAsia="Arial" w:hAnsi="Arial" w:cs="Arial"/>
          <w:sz w:val="22"/>
          <w:szCs w:val="22"/>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7891ECCD" w14:textId="77777777" w:rsidR="00D73348" w:rsidRPr="00D22117" w:rsidRDefault="00DA2883">
      <w:pPr>
        <w:spacing w:after="0"/>
        <w:ind w:firstLine="708"/>
        <w:rPr>
          <w:rFonts w:ascii="Arial" w:eastAsia="Arial" w:hAnsi="Arial" w:cs="Arial"/>
          <w:sz w:val="22"/>
          <w:szCs w:val="22"/>
        </w:rPr>
      </w:pPr>
      <w:r w:rsidRPr="00D22117">
        <w:rPr>
          <w:rFonts w:ascii="Arial" w:eastAsia="Arial" w:hAnsi="Arial" w:cs="Arial"/>
          <w:sz w:val="22"/>
          <w:szCs w:val="22"/>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136670B" w14:textId="77777777" w:rsidR="00D73348" w:rsidRPr="00D22117" w:rsidRDefault="00D73348">
      <w:pPr>
        <w:spacing w:after="0"/>
        <w:rPr>
          <w:rFonts w:ascii="Arial" w:eastAsia="Arial" w:hAnsi="Arial" w:cs="Arial"/>
          <w:sz w:val="22"/>
          <w:szCs w:val="22"/>
        </w:rPr>
      </w:pPr>
    </w:p>
    <w:p w14:paraId="6F1BBA21" w14:textId="77777777" w:rsidR="00D73348" w:rsidRPr="00D22117" w:rsidRDefault="00DA2883">
      <w:pPr>
        <w:spacing w:after="0"/>
        <w:rPr>
          <w:rFonts w:ascii="Arial" w:eastAsia="Arial" w:hAnsi="Arial" w:cs="Arial"/>
        </w:rPr>
      </w:pPr>
      <w:r w:rsidRPr="00D22117">
        <w:rPr>
          <w:rFonts w:ascii="Arial" w:eastAsia="Arial" w:hAnsi="Arial" w:cs="Arial"/>
          <w:b/>
          <w:sz w:val="22"/>
          <w:szCs w:val="22"/>
        </w:rPr>
        <w:t xml:space="preserve">2.2. Restricciones para la celebración de contratos y convenios interadministrativos en los comicios para cargos de elección popular </w:t>
      </w:r>
    </w:p>
    <w:p w14:paraId="15C0797B" w14:textId="77777777" w:rsidR="00D73348" w:rsidRPr="00D22117" w:rsidRDefault="00D73348">
      <w:pPr>
        <w:tabs>
          <w:tab w:val="left" w:pos="426"/>
        </w:tabs>
        <w:spacing w:after="0"/>
        <w:rPr>
          <w:rFonts w:ascii="Arial" w:eastAsia="Arial" w:hAnsi="Arial" w:cs="Arial"/>
        </w:rPr>
      </w:pPr>
      <w:bookmarkStart w:id="16" w:name="_35nkun2" w:colFirst="0" w:colLast="0"/>
      <w:bookmarkEnd w:id="16"/>
    </w:p>
    <w:p w14:paraId="14010FF8" w14:textId="77777777" w:rsidR="00D73348" w:rsidRPr="00D22117" w:rsidRDefault="00DA2883">
      <w:pPr>
        <w:tabs>
          <w:tab w:val="left" w:pos="426"/>
        </w:tabs>
        <w:spacing w:after="120"/>
        <w:rPr>
          <w:rFonts w:ascii="Arial" w:eastAsia="Arial" w:hAnsi="Arial" w:cs="Arial"/>
          <w:sz w:val="22"/>
          <w:szCs w:val="22"/>
        </w:rPr>
      </w:pPr>
      <w:r w:rsidRPr="00D22117">
        <w:rPr>
          <w:rFonts w:ascii="Arial" w:eastAsia="Arial" w:hAnsi="Arial" w:cs="Arial"/>
          <w:sz w:val="22"/>
          <w:szCs w:val="22"/>
        </w:rPr>
        <w:t xml:space="preserve">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w:t>
      </w:r>
      <w:r w:rsidRPr="00D22117">
        <w:rPr>
          <w:rFonts w:ascii="Arial" w:eastAsia="Arial" w:hAnsi="Arial" w:cs="Arial"/>
          <w:sz w:val="22"/>
          <w:szCs w:val="22"/>
        </w:rPr>
        <w:lastRenderedPageBreak/>
        <w:t>en que se dispone la ejecución de recursos públicos, para evitar que mediante la suscripción de estos se comprometa el erario con fines políticos o partidistas</w:t>
      </w:r>
      <w:r w:rsidRPr="00D22117">
        <w:rPr>
          <w:rFonts w:ascii="Arial" w:eastAsia="Arial" w:hAnsi="Arial" w:cs="Arial"/>
          <w:sz w:val="22"/>
          <w:szCs w:val="22"/>
          <w:vertAlign w:val="superscript"/>
        </w:rPr>
        <w:footnoteReference w:id="11"/>
      </w:r>
      <w:r w:rsidRPr="00D22117">
        <w:rPr>
          <w:rFonts w:ascii="Arial" w:eastAsia="Arial" w:hAnsi="Arial" w:cs="Arial"/>
          <w:sz w:val="22"/>
          <w:szCs w:val="22"/>
        </w:rPr>
        <w:t>.</w:t>
      </w:r>
      <w:r w:rsidRPr="00D22117">
        <w:rPr>
          <w:rFonts w:ascii="Arial" w:eastAsia="Arial" w:hAnsi="Arial" w:cs="Arial"/>
        </w:rPr>
        <w:t xml:space="preserve"> </w:t>
      </w:r>
    </w:p>
    <w:p w14:paraId="07CE5DFC" w14:textId="77777777" w:rsidR="00D73348" w:rsidRPr="00D22117" w:rsidRDefault="00DA2883">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17" w:name="_1ksv4uv" w:colFirst="0" w:colLast="0"/>
      <w:bookmarkEnd w:id="17"/>
      <w:r w:rsidRPr="00D22117">
        <w:rPr>
          <w:rFonts w:ascii="Arial" w:eastAsia="Arial" w:hAnsi="Arial" w:cs="Arial"/>
          <w:color w:val="000000"/>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D22117">
        <w:rPr>
          <w:rFonts w:ascii="Arial" w:eastAsia="Arial" w:hAnsi="Arial" w:cs="Arial"/>
          <w:color w:val="000000"/>
          <w:sz w:val="22"/>
          <w:szCs w:val="22"/>
          <w:vertAlign w:val="superscript"/>
        </w:rPr>
        <w:footnoteReference w:id="12"/>
      </w:r>
      <w:r w:rsidRPr="00D22117">
        <w:rPr>
          <w:rFonts w:ascii="Arial" w:eastAsia="Arial" w:hAnsi="Arial" w:cs="Arial"/>
          <w:color w:val="000000"/>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2F84B91" w14:textId="77777777" w:rsidR="00D73348" w:rsidRPr="00D22117" w:rsidRDefault="00DA2883">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18" w:name="_44sinio" w:colFirst="0" w:colLast="0"/>
      <w:bookmarkEnd w:id="18"/>
      <w:r w:rsidRPr="00D22117">
        <w:rPr>
          <w:rFonts w:ascii="Arial" w:eastAsia="Arial" w:hAnsi="Arial" w:cs="Arial"/>
          <w:color w:val="000000"/>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5A77A3EF" w14:textId="77777777" w:rsidR="00D73348" w:rsidRPr="00D22117" w:rsidRDefault="00DA2883">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sidRPr="00D22117">
        <w:rPr>
          <w:rFonts w:ascii="Arial" w:eastAsia="Arial" w:hAnsi="Arial" w:cs="Arial"/>
          <w:color w:val="000000"/>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D22117">
        <w:rPr>
          <w:rFonts w:ascii="Arial" w:eastAsia="Arial" w:hAnsi="Arial" w:cs="Arial"/>
          <w:color w:val="000000"/>
          <w:sz w:val="22"/>
          <w:szCs w:val="22"/>
          <w:vertAlign w:val="superscript"/>
        </w:rPr>
        <w:footnoteReference w:id="13"/>
      </w:r>
      <w:r w:rsidRPr="00D22117">
        <w:rPr>
          <w:rFonts w:ascii="Arial" w:eastAsia="Arial" w:hAnsi="Arial" w:cs="Arial"/>
          <w:color w:val="000000"/>
          <w:sz w:val="22"/>
          <w:szCs w:val="22"/>
        </w:rPr>
        <w:t xml:space="preserve">. Nótese que, en este caso, lo que cambia es la modalidad de </w:t>
      </w:r>
      <w:r w:rsidRPr="00D22117">
        <w:rPr>
          <w:rFonts w:ascii="Arial" w:eastAsia="Arial" w:hAnsi="Arial" w:cs="Arial"/>
          <w:color w:val="000000"/>
          <w:sz w:val="22"/>
          <w:szCs w:val="22"/>
        </w:rPr>
        <w:lastRenderedPageBreak/>
        <w:t>selección y no la naturaleza de contrato interadministrativo.</w:t>
      </w:r>
    </w:p>
    <w:p w14:paraId="3AD8F2BF" w14:textId="77777777" w:rsidR="00D73348" w:rsidRPr="00D22117" w:rsidRDefault="00DA2883">
      <w:pPr>
        <w:widowControl w:val="0"/>
        <w:pBdr>
          <w:top w:val="nil"/>
          <w:left w:val="nil"/>
          <w:bottom w:val="nil"/>
          <w:right w:val="nil"/>
          <w:between w:val="nil"/>
        </w:pBdr>
        <w:spacing w:before="114" w:after="0"/>
        <w:ind w:firstLine="707"/>
        <w:rPr>
          <w:rFonts w:ascii="Arial" w:eastAsia="Arial" w:hAnsi="Arial" w:cs="Arial"/>
          <w:color w:val="000000"/>
          <w:sz w:val="22"/>
          <w:szCs w:val="22"/>
        </w:rPr>
      </w:pPr>
      <w:r w:rsidRPr="00D22117">
        <w:rPr>
          <w:rFonts w:ascii="Arial" w:eastAsia="Arial" w:hAnsi="Arial" w:cs="Arial"/>
          <w:color w:val="000000"/>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FE56AF2" w14:textId="77777777" w:rsidR="00D73348" w:rsidRPr="00D22117" w:rsidRDefault="00D73348">
      <w:pPr>
        <w:widowControl w:val="0"/>
        <w:pBdr>
          <w:top w:val="nil"/>
          <w:left w:val="nil"/>
          <w:bottom w:val="nil"/>
          <w:right w:val="nil"/>
          <w:between w:val="nil"/>
        </w:pBdr>
        <w:spacing w:after="0"/>
        <w:ind w:firstLine="707"/>
        <w:rPr>
          <w:rFonts w:ascii="Arial" w:eastAsia="Arial" w:hAnsi="Arial" w:cs="Arial"/>
          <w:color w:val="000000"/>
          <w:sz w:val="22"/>
          <w:szCs w:val="22"/>
        </w:rPr>
      </w:pPr>
    </w:p>
    <w:p w14:paraId="0F448C6D" w14:textId="77777777" w:rsidR="00D73348" w:rsidRPr="00D22117" w:rsidRDefault="00DA2883">
      <w:pPr>
        <w:spacing w:after="0" w:line="240" w:lineRule="auto"/>
        <w:ind w:left="709" w:right="709"/>
      </w:pPr>
      <w:r w:rsidRPr="00D22117">
        <w:rPr>
          <w:rFonts w:ascii="Arial" w:eastAsia="Arial" w:hAnsi="Arial"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D22117">
        <w:rPr>
          <w:rFonts w:ascii="Arial" w:eastAsia="Arial" w:hAnsi="Arial" w:cs="Arial"/>
          <w:sz w:val="21"/>
          <w:szCs w:val="21"/>
          <w:vertAlign w:val="superscript"/>
        </w:rPr>
        <w:footnoteReference w:id="14"/>
      </w:r>
      <w:r w:rsidRPr="00D22117">
        <w:rPr>
          <w:rFonts w:ascii="Arial" w:eastAsia="Arial" w:hAnsi="Arial" w:cs="Arial"/>
          <w:sz w:val="21"/>
          <w:szCs w:val="21"/>
        </w:rPr>
        <w:t>.</w:t>
      </w:r>
    </w:p>
    <w:p w14:paraId="53CBE226" w14:textId="77777777" w:rsidR="00D73348" w:rsidRPr="00D22117" w:rsidRDefault="00D73348">
      <w:pPr>
        <w:spacing w:after="0"/>
        <w:ind w:left="709" w:right="709"/>
        <w:rPr>
          <w:rFonts w:ascii="Arial" w:eastAsia="Arial" w:hAnsi="Arial" w:cs="Arial"/>
          <w:sz w:val="22"/>
          <w:szCs w:val="22"/>
        </w:rPr>
      </w:pPr>
    </w:p>
    <w:p w14:paraId="4FAFC09E" w14:textId="77777777" w:rsidR="00D73348" w:rsidRPr="00D22117" w:rsidRDefault="00DA2883">
      <w:pPr>
        <w:widowControl w:val="0"/>
        <w:pBdr>
          <w:top w:val="nil"/>
          <w:left w:val="nil"/>
          <w:bottom w:val="nil"/>
          <w:right w:val="nil"/>
          <w:between w:val="nil"/>
        </w:pBdr>
        <w:spacing w:after="120"/>
        <w:ind w:firstLine="707"/>
        <w:rPr>
          <w:rFonts w:ascii="Arial" w:eastAsia="Arial" w:hAnsi="Arial" w:cs="Arial"/>
          <w:color w:val="000000"/>
          <w:sz w:val="22"/>
          <w:szCs w:val="22"/>
        </w:rPr>
      </w:pPr>
      <w:r w:rsidRPr="00D22117">
        <w:rPr>
          <w:rFonts w:ascii="Arial" w:eastAsia="Arial" w:hAnsi="Arial" w:cs="Arial"/>
          <w:color w:val="000000"/>
          <w:sz w:val="22"/>
          <w:szCs w:val="22"/>
        </w:rPr>
        <w:t xml:space="preserve">En ese sentido, los convenios interadministrativos se caracterizan por los sujetos que intervienen y por la modalidad de selección que la ley permite aplicar para su </w:t>
      </w:r>
      <w:r w:rsidRPr="00D22117">
        <w:rPr>
          <w:rFonts w:ascii="Arial" w:eastAsia="Arial" w:hAnsi="Arial" w:cs="Arial"/>
          <w:color w:val="000000"/>
          <w:sz w:val="22"/>
          <w:szCs w:val="22"/>
        </w:rPr>
        <w:lastRenderedPageBreak/>
        <w:t>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para la celebración de los contratos interadministrativos.</w:t>
      </w:r>
    </w:p>
    <w:p w14:paraId="247D4E0F" w14:textId="77777777" w:rsidR="00D73348" w:rsidRPr="00D22117" w:rsidRDefault="00DA2883">
      <w:pPr>
        <w:widowControl w:val="0"/>
        <w:pBdr>
          <w:top w:val="nil"/>
          <w:left w:val="nil"/>
          <w:bottom w:val="nil"/>
          <w:right w:val="nil"/>
          <w:between w:val="nil"/>
        </w:pBdr>
        <w:spacing w:before="119" w:after="120"/>
        <w:ind w:firstLine="707"/>
        <w:rPr>
          <w:rFonts w:ascii="Arial" w:eastAsia="Arial" w:hAnsi="Arial" w:cs="Arial"/>
          <w:color w:val="000000"/>
          <w:sz w:val="22"/>
          <w:szCs w:val="22"/>
        </w:rPr>
      </w:pPr>
      <w:r w:rsidRPr="00D22117">
        <w:rPr>
          <w:rFonts w:ascii="Arial" w:eastAsia="Arial" w:hAnsi="Arial" w:cs="Arial"/>
          <w:color w:val="000000"/>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7628550F" w14:textId="77777777" w:rsidR="00D73348" w:rsidRPr="00D22117" w:rsidRDefault="00DA2883">
      <w:pPr>
        <w:widowControl w:val="0"/>
        <w:pBdr>
          <w:top w:val="nil"/>
          <w:left w:val="nil"/>
          <w:bottom w:val="nil"/>
          <w:right w:val="nil"/>
          <w:between w:val="nil"/>
        </w:pBdr>
        <w:spacing w:before="120"/>
        <w:ind w:firstLine="709"/>
        <w:rPr>
          <w:rFonts w:ascii="Arial" w:eastAsia="Arial" w:hAnsi="Arial" w:cs="Arial"/>
          <w:color w:val="000000"/>
          <w:sz w:val="22"/>
          <w:szCs w:val="22"/>
        </w:rPr>
      </w:pPr>
      <w:r w:rsidRPr="00D22117">
        <w:rPr>
          <w:rFonts w:ascii="Arial" w:eastAsia="Arial" w:hAnsi="Arial" w:cs="Arial"/>
          <w:color w:val="000000"/>
          <w:sz w:val="22"/>
          <w:szCs w:val="22"/>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045428D3" w14:textId="77777777" w:rsidR="00D73348" w:rsidRPr="00D22117" w:rsidRDefault="00DA2883">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sidRPr="00D22117">
        <w:rPr>
          <w:rFonts w:ascii="Arial" w:eastAsia="Arial" w:hAnsi="Arial" w:cs="Arial"/>
          <w:color w:val="000000"/>
          <w:sz w:val="22"/>
          <w:szCs w:val="22"/>
        </w:rPr>
        <w:t xml:space="preserve">Es bueno destacar que el Decreto 1082 de 2015 dispone que los convenios o contratos interadministrativos, así denominados en el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w:t>
      </w:r>
      <w:r w:rsidRPr="00D22117">
        <w:rPr>
          <w:rFonts w:ascii="Arial" w:eastAsia="Arial" w:hAnsi="Arial" w:cs="Arial"/>
          <w:color w:val="000000"/>
          <w:sz w:val="22"/>
          <w:szCs w:val="22"/>
        </w:rPr>
        <w:lastRenderedPageBreak/>
        <w:t>Civil, puede afirmarse que se trata de figuras equivalentes.</w:t>
      </w:r>
    </w:p>
    <w:p w14:paraId="2BAECA3F" w14:textId="77777777" w:rsidR="00D73348" w:rsidRPr="00D22117" w:rsidRDefault="00DA2883">
      <w:pPr>
        <w:widowControl w:val="0"/>
        <w:pBdr>
          <w:top w:val="nil"/>
          <w:left w:val="nil"/>
          <w:bottom w:val="nil"/>
          <w:right w:val="nil"/>
          <w:between w:val="nil"/>
        </w:pBdr>
        <w:spacing w:after="0"/>
        <w:ind w:firstLine="708"/>
        <w:rPr>
          <w:rFonts w:ascii="Arial" w:eastAsia="Arial" w:hAnsi="Arial" w:cs="Arial"/>
          <w:color w:val="000000"/>
          <w:sz w:val="22"/>
          <w:szCs w:val="22"/>
        </w:rPr>
      </w:pPr>
      <w:bookmarkStart w:id="19" w:name="_2jxsxqh" w:colFirst="0" w:colLast="0"/>
      <w:bookmarkEnd w:id="19"/>
      <w:r w:rsidRPr="00D22117">
        <w:rPr>
          <w:rFonts w:ascii="Arial" w:eastAsia="Arial" w:hAnsi="Arial" w:cs="Arial"/>
          <w:color w:val="000000"/>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D22117">
        <w:rPr>
          <w:rFonts w:ascii="Arial" w:eastAsia="Arial" w:hAnsi="Arial" w:cs="Arial"/>
          <w:color w:val="000000"/>
          <w:sz w:val="22"/>
          <w:szCs w:val="22"/>
          <w:vertAlign w:val="superscript"/>
        </w:rPr>
        <w:footnoteReference w:id="15"/>
      </w:r>
      <w:r w:rsidRPr="00D22117">
        <w:rPr>
          <w:rFonts w:ascii="Arial" w:eastAsia="Arial" w:hAnsi="Arial" w:cs="Arial"/>
          <w:color w:val="000000"/>
          <w:sz w:val="22"/>
          <w:szCs w:val="22"/>
        </w:rPr>
        <w:t>.</w:t>
      </w:r>
    </w:p>
    <w:p w14:paraId="6B919113" w14:textId="77777777" w:rsidR="00D73348" w:rsidRPr="00D22117" w:rsidRDefault="00DA2883">
      <w:pPr>
        <w:widowControl w:val="0"/>
        <w:pBdr>
          <w:top w:val="nil"/>
          <w:left w:val="nil"/>
          <w:bottom w:val="nil"/>
          <w:right w:val="nil"/>
          <w:between w:val="nil"/>
        </w:pBdr>
        <w:spacing w:before="122" w:after="0"/>
        <w:ind w:firstLine="709"/>
        <w:rPr>
          <w:rFonts w:ascii="Arial" w:eastAsia="Arial" w:hAnsi="Arial" w:cs="Arial"/>
          <w:color w:val="000000"/>
          <w:sz w:val="22"/>
          <w:szCs w:val="22"/>
        </w:rPr>
      </w:pPr>
      <w:r w:rsidRPr="00D22117">
        <w:rPr>
          <w:rFonts w:ascii="Arial" w:eastAsia="Arial" w:hAnsi="Arial" w:cs="Arial"/>
          <w:color w:val="000000"/>
          <w:sz w:val="22"/>
          <w:szCs w:val="22"/>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4A777CF7" w14:textId="77777777" w:rsidR="00D73348" w:rsidRPr="00D22117" w:rsidRDefault="00D73348">
      <w:pPr>
        <w:widowControl w:val="0"/>
        <w:pBdr>
          <w:top w:val="nil"/>
          <w:left w:val="nil"/>
          <w:bottom w:val="nil"/>
          <w:right w:val="nil"/>
          <w:between w:val="nil"/>
        </w:pBdr>
        <w:spacing w:after="0"/>
        <w:ind w:firstLine="709"/>
        <w:rPr>
          <w:rFonts w:ascii="Arial" w:eastAsia="Arial" w:hAnsi="Arial" w:cs="Arial"/>
          <w:color w:val="000000"/>
          <w:sz w:val="22"/>
          <w:szCs w:val="22"/>
        </w:rPr>
      </w:pPr>
    </w:p>
    <w:p w14:paraId="6501DB55" w14:textId="77777777" w:rsidR="00D73348" w:rsidRPr="00D22117" w:rsidRDefault="00DA2883">
      <w:pPr>
        <w:spacing w:after="120" w:line="240" w:lineRule="auto"/>
        <w:ind w:left="709" w:right="709"/>
      </w:pPr>
      <w:r w:rsidRPr="00D22117">
        <w:rPr>
          <w:rFonts w:ascii="Arial" w:eastAsia="Arial" w:hAnsi="Arial" w:cs="Arial"/>
          <w:sz w:val="21"/>
          <w:szCs w:val="21"/>
        </w:rPr>
        <w:t>La Sala de Consulta y Servicio Civil</w:t>
      </w:r>
      <w:r w:rsidRPr="00D22117">
        <w:rPr>
          <w:rFonts w:ascii="Arial" w:eastAsia="Arial" w:hAnsi="Arial" w:cs="Arial"/>
          <w:sz w:val="21"/>
          <w:szCs w:val="21"/>
          <w:vertAlign w:val="superscript"/>
        </w:rPr>
        <w:footnoteReference w:id="16"/>
      </w:r>
      <w:r w:rsidRPr="00D22117">
        <w:rPr>
          <w:rFonts w:ascii="Arial" w:eastAsia="Arial" w:hAnsi="Arial" w:cs="Arial"/>
          <w:sz w:val="21"/>
          <w:szCs w:val="21"/>
        </w:rPr>
        <w:t xml:space="preserve"> de esta Corporación se ha referido a los </w:t>
      </w:r>
      <w:r w:rsidRPr="00D22117">
        <w:rPr>
          <w:rFonts w:ascii="Arial" w:eastAsia="Arial" w:hAnsi="Arial" w:cs="Arial"/>
          <w:i/>
          <w:sz w:val="21"/>
          <w:szCs w:val="21"/>
        </w:rPr>
        <w:t>“convenios interadministrativos”</w:t>
      </w:r>
      <w:r w:rsidRPr="00D22117">
        <w:rPr>
          <w:rFonts w:ascii="Arial" w:eastAsia="Arial" w:hAnsi="Arial" w:cs="Arial"/>
          <w:sz w:val="21"/>
          <w:szCs w:val="21"/>
        </w:rPr>
        <w:t xml:space="preserve"> a los cuales alude el artículo 95 de la Ley 489 de 1998, calificándolos de </w:t>
      </w:r>
      <w:r w:rsidRPr="00D22117">
        <w:rPr>
          <w:rFonts w:ascii="Arial" w:eastAsia="Arial" w:hAnsi="Arial" w:cs="Arial"/>
          <w:i/>
          <w:sz w:val="21"/>
          <w:szCs w:val="21"/>
        </w:rPr>
        <w:t xml:space="preserve">“puros” </w:t>
      </w:r>
      <w:r w:rsidRPr="00D22117">
        <w:rPr>
          <w:rFonts w:ascii="Arial" w:eastAsia="Arial" w:hAnsi="Arial" w:cs="Arial"/>
          <w:sz w:val="21"/>
          <w:szCs w:val="21"/>
        </w:rPr>
        <w:t xml:space="preserve">y entendiendo que estos, además de perseguir la finalidad de cooperación antes indicada, no implican intereses contrapuestos ni tampoco se circunscriben a un </w:t>
      </w:r>
      <w:r w:rsidRPr="00D22117">
        <w:rPr>
          <w:rFonts w:ascii="Arial" w:eastAsia="Arial" w:hAnsi="Arial" w:cs="Arial"/>
          <w:i/>
          <w:sz w:val="21"/>
          <w:szCs w:val="21"/>
        </w:rPr>
        <w:t>“intercambio patrimonial”</w:t>
      </w:r>
      <w:r w:rsidRPr="00D22117">
        <w:rPr>
          <w:rFonts w:ascii="Arial" w:eastAsia="Arial" w:hAnsi="Arial" w:cs="Arial"/>
          <w:sz w:val="21"/>
          <w:szCs w:val="21"/>
        </w:rPr>
        <w:t>. Sin perjuicio de lo anterior, en otra oportunidad, la misma Sala</w:t>
      </w:r>
      <w:r w:rsidRPr="00D22117">
        <w:rPr>
          <w:rFonts w:ascii="Arial" w:eastAsia="Arial" w:hAnsi="Arial" w:cs="Arial"/>
          <w:sz w:val="21"/>
          <w:szCs w:val="21"/>
          <w:vertAlign w:val="superscript"/>
        </w:rPr>
        <w:footnoteReference w:id="17"/>
      </w:r>
      <w:r w:rsidRPr="00D22117">
        <w:rPr>
          <w:rFonts w:ascii="Arial" w:eastAsia="Arial" w:hAnsi="Arial" w:cs="Arial"/>
          <w:sz w:val="21"/>
          <w:szCs w:val="21"/>
        </w:rPr>
        <w:t xml:space="preserve"> había indicado que, si bien en dichos convenios no se daba un </w:t>
      </w:r>
      <w:r w:rsidRPr="00D22117">
        <w:rPr>
          <w:rFonts w:ascii="Arial" w:eastAsia="Arial" w:hAnsi="Arial" w:cs="Arial"/>
          <w:i/>
          <w:sz w:val="21"/>
          <w:szCs w:val="21"/>
        </w:rPr>
        <w:t>“verdadero intercambio de bienes o servicios (contrato conmutativo)”</w:t>
      </w:r>
      <w:r w:rsidRPr="00D22117">
        <w:rPr>
          <w:rFonts w:ascii="Arial" w:eastAsia="Arial" w:hAnsi="Arial" w:cs="Arial"/>
          <w:sz w:val="21"/>
          <w:szCs w:val="21"/>
        </w:rPr>
        <w:t>, ello no impedía que se conviniera una remuneración a cargo de alguna(s) entidad(es).</w:t>
      </w:r>
    </w:p>
    <w:p w14:paraId="13483049" w14:textId="77777777" w:rsidR="00D73348" w:rsidRPr="00D22117" w:rsidRDefault="00DA2883">
      <w:pPr>
        <w:widowControl w:val="0"/>
        <w:pBdr>
          <w:top w:val="nil"/>
          <w:left w:val="nil"/>
          <w:bottom w:val="nil"/>
          <w:right w:val="nil"/>
          <w:between w:val="nil"/>
        </w:pBdr>
        <w:spacing w:after="0" w:line="240" w:lineRule="auto"/>
        <w:ind w:left="709" w:right="709"/>
      </w:pPr>
      <w:r w:rsidRPr="00D22117">
        <w:rPr>
          <w:rFonts w:ascii="Arial" w:eastAsia="Arial" w:hAnsi="Arial" w:cs="Arial"/>
          <w:color w:val="000000"/>
          <w:sz w:val="21"/>
          <w:szCs w:val="21"/>
        </w:rPr>
        <w:t xml:space="preserve">Lo expuesto evidencia que, en general, las interpretaciones en torno a los </w:t>
      </w:r>
      <w:r w:rsidRPr="00D22117">
        <w:rPr>
          <w:rFonts w:ascii="Arial" w:eastAsia="Arial" w:hAnsi="Arial" w:cs="Arial"/>
          <w:i/>
          <w:color w:val="000000"/>
          <w:sz w:val="21"/>
          <w:szCs w:val="21"/>
        </w:rPr>
        <w:t>“convenios interadministrativos”</w:t>
      </w:r>
      <w:r w:rsidRPr="00D22117">
        <w:rPr>
          <w:rFonts w:ascii="Arial" w:eastAsia="Arial" w:hAnsi="Arial" w:cs="Arial"/>
          <w:color w:val="000000"/>
          <w:sz w:val="21"/>
          <w:szCs w:val="21"/>
        </w:rPr>
        <w:t xml:space="preserve"> previstos en el artículo 95 de la Ley 489 de 1998, en el propósito de encasillarlos dentro de una categoría normativa delimitada en su estructura, elementos y régimen jurídico, han sido dubitativas </w:t>
      </w:r>
      <w:r w:rsidRPr="00D22117">
        <w:rPr>
          <w:rFonts w:ascii="Arial" w:eastAsia="Arial" w:hAnsi="Arial" w:cs="Arial"/>
          <w:color w:val="000000"/>
          <w:sz w:val="21"/>
          <w:szCs w:val="21"/>
        </w:rPr>
        <w:lastRenderedPageBreak/>
        <w:t>al vincular o no las obligaciones propias de dichos convenios con las de los contratos estatales sometidos al EGCAP, las cuales tienen por objeto prestaciones patrimoniales</w:t>
      </w:r>
      <w:r w:rsidRPr="00D22117">
        <w:rPr>
          <w:rFonts w:ascii="Arial" w:eastAsia="Arial" w:hAnsi="Arial" w:cs="Arial"/>
          <w:color w:val="000000"/>
          <w:sz w:val="21"/>
          <w:szCs w:val="21"/>
          <w:vertAlign w:val="superscript"/>
        </w:rPr>
        <w:footnoteReference w:id="18"/>
      </w:r>
      <w:r w:rsidRPr="00D22117">
        <w:rPr>
          <w:rFonts w:ascii="Arial" w:eastAsia="Arial" w:hAnsi="Arial" w:cs="Arial"/>
          <w:color w:val="000000"/>
          <w:sz w:val="21"/>
          <w:szCs w:val="21"/>
          <w:vertAlign w:val="superscript"/>
        </w:rPr>
        <w:footnoteReference w:id="19"/>
      </w:r>
      <w:r w:rsidRPr="00D22117">
        <w:rPr>
          <w:rFonts w:ascii="Arial" w:eastAsia="Arial" w:hAnsi="Arial" w:cs="Arial"/>
          <w:color w:val="000000"/>
          <w:sz w:val="21"/>
          <w:szCs w:val="21"/>
        </w:rPr>
        <w:t>.</w:t>
      </w:r>
    </w:p>
    <w:p w14:paraId="53712348" w14:textId="77777777" w:rsidR="00D73348" w:rsidRPr="00D22117" w:rsidRDefault="00D73348">
      <w:pPr>
        <w:widowControl w:val="0"/>
        <w:pBdr>
          <w:top w:val="nil"/>
          <w:left w:val="nil"/>
          <w:bottom w:val="nil"/>
          <w:right w:val="nil"/>
          <w:between w:val="nil"/>
        </w:pBdr>
        <w:spacing w:after="0"/>
        <w:rPr>
          <w:rFonts w:ascii="Arial" w:eastAsia="Arial" w:hAnsi="Arial" w:cs="Arial"/>
          <w:color w:val="000000"/>
          <w:sz w:val="22"/>
          <w:szCs w:val="22"/>
        </w:rPr>
      </w:pPr>
    </w:p>
    <w:p w14:paraId="366354ED" w14:textId="3EFA4904" w:rsidR="00D73348" w:rsidRPr="00D22117" w:rsidRDefault="00DA2883">
      <w:pPr>
        <w:widowControl w:val="0"/>
        <w:pBdr>
          <w:top w:val="nil"/>
          <w:left w:val="nil"/>
          <w:bottom w:val="nil"/>
          <w:right w:val="nil"/>
          <w:between w:val="nil"/>
        </w:pBdr>
        <w:spacing w:after="120"/>
        <w:rPr>
          <w:rFonts w:ascii="Arial" w:eastAsia="Arial" w:hAnsi="Arial" w:cs="Arial"/>
          <w:color w:val="000000"/>
          <w:sz w:val="22"/>
          <w:szCs w:val="22"/>
        </w:rPr>
      </w:pPr>
      <w:r w:rsidRPr="00D22117">
        <w:rPr>
          <w:rFonts w:ascii="Arial" w:eastAsia="Arial" w:hAnsi="Arial" w:cs="Arial"/>
          <w:color w:val="000000"/>
          <w:sz w:val="22"/>
          <w:szCs w:val="22"/>
        </w:rPr>
        <w:tab/>
        <w:t>Sin perjuicio de lo indicado, conviene reiterar que el ordenamiento jurídico en distintas disposiciones utiliza de forma indistinta los conceptos de contrato o convenio para referirse a la misma institución jurídica</w:t>
      </w:r>
      <w:r w:rsidRPr="00D22117">
        <w:rPr>
          <w:rFonts w:ascii="Arial" w:eastAsia="Arial" w:hAnsi="Arial" w:cs="Arial"/>
          <w:color w:val="000000"/>
          <w:sz w:val="22"/>
          <w:szCs w:val="22"/>
          <w:vertAlign w:val="superscript"/>
        </w:rPr>
        <w:footnoteReference w:id="20"/>
      </w:r>
      <w:r w:rsidRPr="00D22117">
        <w:rPr>
          <w:rFonts w:ascii="Arial" w:eastAsia="Arial" w:hAnsi="Arial" w:cs="Arial"/>
          <w:color w:val="000000"/>
          <w:sz w:val="22"/>
          <w:szCs w:val="22"/>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D22117">
        <w:rPr>
          <w:rFonts w:ascii="Arial" w:eastAsia="Arial" w:hAnsi="Arial" w:cs="Arial"/>
          <w:color w:val="000000"/>
          <w:sz w:val="22"/>
          <w:szCs w:val="22"/>
          <w:vertAlign w:val="superscript"/>
        </w:rPr>
        <w:footnoteReference w:id="21"/>
      </w:r>
      <w:r w:rsidRPr="00D22117">
        <w:rPr>
          <w:rFonts w:ascii="Arial" w:eastAsia="Arial" w:hAnsi="Arial" w:cs="Arial"/>
          <w:color w:val="000000"/>
          <w:sz w:val="22"/>
          <w:szCs w:val="22"/>
        </w:rPr>
        <w:t>.</w:t>
      </w:r>
    </w:p>
    <w:p w14:paraId="1BBDE4C9" w14:textId="77777777" w:rsidR="00D73348" w:rsidRPr="00D22117" w:rsidRDefault="00DA2883">
      <w:pPr>
        <w:widowControl w:val="0"/>
        <w:pBdr>
          <w:top w:val="nil"/>
          <w:left w:val="nil"/>
          <w:bottom w:val="nil"/>
          <w:right w:val="nil"/>
          <w:between w:val="nil"/>
        </w:pBdr>
        <w:spacing w:after="0"/>
        <w:rPr>
          <w:rFonts w:ascii="Arial" w:eastAsia="Arial" w:hAnsi="Arial" w:cs="Arial"/>
          <w:color w:val="000000"/>
          <w:sz w:val="22"/>
          <w:szCs w:val="22"/>
        </w:rPr>
      </w:pPr>
      <w:r w:rsidRPr="00D22117">
        <w:rPr>
          <w:rFonts w:ascii="Arial" w:eastAsia="Arial" w:hAnsi="Arial" w:cs="Arial"/>
          <w:color w:val="000000"/>
          <w:sz w:val="22"/>
          <w:szCs w:val="22"/>
        </w:rPr>
        <w:tab/>
        <w:t xml:space="preserve">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w:t>
      </w:r>
      <w:r w:rsidRPr="00D22117">
        <w:rPr>
          <w:rFonts w:ascii="Arial" w:eastAsia="Arial" w:hAnsi="Arial" w:cs="Arial"/>
          <w:color w:val="000000"/>
          <w:sz w:val="22"/>
          <w:szCs w:val="22"/>
        </w:rPr>
        <w:lastRenderedPageBreak/>
        <w:t>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EFEC0F2" w14:textId="77777777" w:rsidR="00D73348" w:rsidRPr="00D22117" w:rsidRDefault="00D73348">
      <w:pPr>
        <w:widowControl w:val="0"/>
        <w:pBdr>
          <w:top w:val="nil"/>
          <w:left w:val="nil"/>
          <w:bottom w:val="nil"/>
          <w:right w:val="nil"/>
          <w:between w:val="nil"/>
        </w:pBdr>
        <w:spacing w:after="0"/>
        <w:rPr>
          <w:rFonts w:ascii="Arial" w:eastAsia="Arial" w:hAnsi="Arial" w:cs="Arial"/>
          <w:color w:val="000000"/>
          <w:sz w:val="22"/>
          <w:szCs w:val="22"/>
        </w:rPr>
      </w:pPr>
    </w:p>
    <w:p w14:paraId="6E3CDA27" w14:textId="77777777" w:rsidR="00D73348" w:rsidRPr="00D22117" w:rsidRDefault="00DA2883">
      <w:pPr>
        <w:spacing w:after="120" w:line="240" w:lineRule="auto"/>
        <w:ind w:left="709" w:right="709"/>
      </w:pPr>
      <w:r w:rsidRPr="00D22117">
        <w:rPr>
          <w:rFonts w:ascii="Arial" w:eastAsia="Arial" w:hAnsi="Arial" w:cs="Arial"/>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F8A0CFE" w14:textId="77777777" w:rsidR="00D73348" w:rsidRPr="00D22117" w:rsidRDefault="00DA2883">
      <w:pPr>
        <w:spacing w:after="120" w:line="240" w:lineRule="auto"/>
        <w:ind w:left="709" w:right="709"/>
      </w:pPr>
      <w:bookmarkStart w:id="20" w:name="_z337ya" w:colFirst="0" w:colLast="0"/>
      <w:bookmarkEnd w:id="20"/>
      <w:r w:rsidRPr="00D22117">
        <w:rPr>
          <w:rFonts w:ascii="Arial" w:eastAsia="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E214BCE" w14:textId="77777777" w:rsidR="00D73348" w:rsidRPr="00D22117" w:rsidRDefault="00DA2883">
      <w:pPr>
        <w:spacing w:after="0" w:line="240" w:lineRule="auto"/>
        <w:ind w:left="709" w:right="709"/>
      </w:pPr>
      <w:r w:rsidRPr="00D22117">
        <w:rPr>
          <w:rFonts w:ascii="Arial" w:eastAsia="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E660E61" w14:textId="77777777" w:rsidR="00D73348" w:rsidRPr="00D22117" w:rsidRDefault="00D73348">
      <w:pPr>
        <w:widowControl w:val="0"/>
        <w:pBdr>
          <w:top w:val="nil"/>
          <w:left w:val="nil"/>
          <w:bottom w:val="nil"/>
          <w:right w:val="nil"/>
          <w:between w:val="nil"/>
        </w:pBdr>
        <w:spacing w:before="3" w:after="0"/>
        <w:rPr>
          <w:rFonts w:ascii="Arial" w:eastAsia="Arial" w:hAnsi="Arial" w:cs="Arial"/>
          <w:color w:val="000000"/>
          <w:sz w:val="22"/>
          <w:szCs w:val="22"/>
        </w:rPr>
      </w:pPr>
    </w:p>
    <w:p w14:paraId="6C427255" w14:textId="77777777" w:rsidR="00D73348" w:rsidRPr="00D22117" w:rsidRDefault="00DA2883">
      <w:pPr>
        <w:widowControl w:val="0"/>
        <w:pBdr>
          <w:top w:val="nil"/>
          <w:left w:val="nil"/>
          <w:bottom w:val="nil"/>
          <w:right w:val="nil"/>
          <w:between w:val="nil"/>
        </w:pBdr>
        <w:spacing w:after="120"/>
        <w:rPr>
          <w:rFonts w:ascii="Arial" w:eastAsia="Arial" w:hAnsi="Arial" w:cs="Arial"/>
          <w:color w:val="000000"/>
          <w:sz w:val="22"/>
          <w:szCs w:val="22"/>
        </w:rPr>
      </w:pPr>
      <w:r w:rsidRPr="00D22117">
        <w:rPr>
          <w:rFonts w:ascii="Arial" w:eastAsia="Arial" w:hAnsi="Arial" w:cs="Arial"/>
          <w:color w:val="000000"/>
          <w:sz w:val="25"/>
          <w:szCs w:val="25"/>
        </w:rPr>
        <w:tab/>
      </w:r>
      <w:r w:rsidRPr="00D22117">
        <w:rPr>
          <w:rFonts w:ascii="Arial" w:eastAsia="Arial" w:hAnsi="Arial" w:cs="Arial"/>
          <w:color w:val="000000"/>
          <w:sz w:val="22"/>
          <w:szCs w:val="22"/>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w:t>
      </w:r>
      <w:r w:rsidRPr="00D22117">
        <w:rPr>
          <w:rFonts w:ascii="Arial" w:eastAsia="Arial" w:hAnsi="Arial" w:cs="Arial"/>
          <w:color w:val="000000"/>
          <w:sz w:val="22"/>
          <w:szCs w:val="22"/>
        </w:rPr>
        <w:lastRenderedPageBreak/>
        <w:t>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4C291194" w14:textId="77777777" w:rsidR="00D73348" w:rsidRPr="00D22117" w:rsidRDefault="00DA2883">
      <w:pPr>
        <w:tabs>
          <w:tab w:val="left" w:pos="426"/>
        </w:tabs>
        <w:spacing w:after="120"/>
        <w:ind w:firstLine="709"/>
        <w:rPr>
          <w:rFonts w:ascii="Arial" w:eastAsia="Arial" w:hAnsi="Arial" w:cs="Arial"/>
          <w:sz w:val="22"/>
          <w:szCs w:val="22"/>
        </w:rPr>
      </w:pPr>
      <w:r w:rsidRPr="00D22117">
        <w:rPr>
          <w:rFonts w:ascii="Arial" w:eastAsia="Arial" w:hAnsi="Arial" w:cs="Arial"/>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D22117">
        <w:rPr>
          <w:rFonts w:ascii="Arial" w:eastAsia="Arial" w:hAnsi="Arial" w:cs="Arial"/>
          <w:i/>
          <w:sz w:val="22"/>
          <w:szCs w:val="22"/>
        </w:rPr>
        <w:t>ibidem</w:t>
      </w:r>
      <w:r w:rsidRPr="00D22117">
        <w:rPr>
          <w:rFonts w:ascii="Arial" w:eastAsia="Arial" w:hAnsi="Arial" w:cs="Arial"/>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D22117">
        <w:rPr>
          <w:rFonts w:ascii="Arial" w:eastAsia="Arial" w:hAnsi="Arial" w:cs="Arial"/>
          <w:sz w:val="22"/>
          <w:szCs w:val="22"/>
          <w:vertAlign w:val="superscript"/>
        </w:rPr>
        <w:footnoteReference w:id="22"/>
      </w:r>
      <w:r w:rsidRPr="00D22117">
        <w:rPr>
          <w:rFonts w:ascii="Arial" w:eastAsia="Arial" w:hAnsi="Arial" w:cs="Arial"/>
          <w:sz w:val="22"/>
          <w:szCs w:val="22"/>
        </w:rPr>
        <w:t xml:space="preserve">. </w:t>
      </w:r>
    </w:p>
    <w:p w14:paraId="5E94276A" w14:textId="77777777" w:rsidR="00D73348" w:rsidRPr="00D22117" w:rsidRDefault="00DA2883" w:rsidP="00981BE3">
      <w:pPr>
        <w:widowControl w:val="0"/>
        <w:pBdr>
          <w:top w:val="nil"/>
          <w:left w:val="nil"/>
          <w:bottom w:val="nil"/>
          <w:right w:val="nil"/>
          <w:between w:val="nil"/>
        </w:pBdr>
        <w:spacing w:after="120"/>
        <w:ind w:firstLine="709"/>
      </w:pPr>
      <w:r w:rsidRPr="00D22117">
        <w:rPr>
          <w:rFonts w:ascii="Arial" w:eastAsia="Arial" w:hAnsi="Arial" w:cs="Arial"/>
          <w:color w:val="000000"/>
          <w:sz w:val="22"/>
          <w:szCs w:val="22"/>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D22117">
        <w:rPr>
          <w:rFonts w:ascii="Arial" w:eastAsia="Arial" w:hAnsi="Arial" w:cs="Arial"/>
          <w:color w:val="000000"/>
          <w:sz w:val="22"/>
          <w:szCs w:val="22"/>
          <w:vertAlign w:val="superscript"/>
        </w:rPr>
        <w:footnoteReference w:id="23"/>
      </w:r>
      <w:r w:rsidRPr="00D22117">
        <w:rPr>
          <w:rFonts w:ascii="Arial" w:eastAsia="Arial" w:hAnsi="Arial" w:cs="Arial"/>
          <w:color w:val="000000"/>
          <w:sz w:val="22"/>
          <w:szCs w:val="22"/>
        </w:rPr>
        <w:t>.</w:t>
      </w:r>
      <w:bookmarkStart w:id="21" w:name="_3j2qqm3" w:colFirst="0" w:colLast="0"/>
      <w:bookmarkEnd w:id="21"/>
    </w:p>
    <w:p w14:paraId="74B906BD" w14:textId="35AC8FB1" w:rsidR="00D73348" w:rsidRPr="00D22117" w:rsidRDefault="00DA2883" w:rsidP="00981BE3">
      <w:pPr>
        <w:widowControl w:val="0"/>
        <w:pBdr>
          <w:top w:val="nil"/>
          <w:left w:val="nil"/>
          <w:bottom w:val="nil"/>
          <w:right w:val="nil"/>
          <w:between w:val="nil"/>
        </w:pBdr>
        <w:spacing w:after="120"/>
        <w:ind w:firstLine="709"/>
      </w:pPr>
      <w:r w:rsidRPr="00D22117">
        <w:rPr>
          <w:rFonts w:ascii="Arial" w:eastAsia="Arial" w:hAnsi="Arial" w:cs="Arial"/>
          <w:color w:val="000000"/>
          <w:sz w:val="22"/>
          <w:szCs w:val="22"/>
        </w:rPr>
        <w:t xml:space="preserve">Ahora bien, habiendo precisado el alcance de la prohibición del parágrafo del artículo 38, y teniendo en cuenta las preguntas de la peticionaria, es importante profundizar en un aspecto de la prohibición, toda vez que el parágrafo alude a la ejecución de recursos públicos, como uno de los elementos para la aplicación de la prohibición. Además, la peticionaria pregunta si es posible celebrar contratos o convenios entre entidades públicas que correspondan a contratos de comodato, donación y arrendamiento de bienes inmuebles, en los que sean parte entidades estatales de aquellas incluidas en la prohibición del parágrafo del artículo 38, presupuesto bajo el cual se realizarán las siguientes consideraciones. En relación con este asunto, es importante señalar que estos temas ya fueron objeto de análisis por parte de esta Agencia, por lo que a continuación se reiterará </w:t>
      </w:r>
      <w:r w:rsidRPr="00D22117">
        <w:rPr>
          <w:rFonts w:ascii="Arial" w:eastAsia="Arial" w:hAnsi="Arial" w:cs="Arial"/>
          <w:color w:val="000000"/>
          <w:sz w:val="22"/>
          <w:szCs w:val="22"/>
        </w:rPr>
        <w:lastRenderedPageBreak/>
        <w:t>la postura adoptada en los conceptos 420191300004738  del 28 de agosto de 2019 –radicado de salida 2201913000006306–; 4201913000005789 del 7 de octubre de 2019 –radicado de salida 2201913000007428; 4201913000006036 del 17 de octubre de 2019 –radicado de salida 2201913000007760–; y 4201912000006293 del 6 de noviembre de 2019 –radicado de salida 2201913000008259–</w:t>
      </w:r>
      <w:r w:rsidRPr="00D22117">
        <w:rPr>
          <w:rFonts w:ascii="Arial" w:eastAsia="Arial" w:hAnsi="Arial" w:cs="Arial"/>
          <w:color w:val="000000"/>
          <w:sz w:val="22"/>
          <w:szCs w:val="22"/>
          <w:vertAlign w:val="superscript"/>
        </w:rPr>
        <w:footnoteReference w:id="24"/>
      </w:r>
      <w:r w:rsidRPr="00D22117">
        <w:rPr>
          <w:rFonts w:ascii="Arial" w:eastAsia="Arial" w:hAnsi="Arial" w:cs="Arial"/>
          <w:color w:val="000000"/>
          <w:sz w:val="22"/>
          <w:szCs w:val="22"/>
        </w:rPr>
        <w:t>.</w:t>
      </w:r>
    </w:p>
    <w:p w14:paraId="79447CD0"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Como se indicó en los conceptos citados, en el ordenamiento jurídico no hay norma que defina el alcance de la expresión «recursos públicos», es decir, la disposición analizada no define de forma precisa si se refiere exclusivamente a la ejecución de recursos públicos en dinero o también se refiere a la entrega de bienes muebles o inmuebles a título gratuito, que pertenezcan al Estado, los cuales serían recursos públicos.</w:t>
      </w:r>
    </w:p>
    <w:p w14:paraId="53753704"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La Corte Constitucional y el Consejo de Estado se han pronunciado sobre la situación en la cual en el ordenamiento jurídico se encuentran normas cuyo alcance no está determinado con exactitud en la ley. Refiriéndose a los conceptos jurídicos indeterminados, la doctrina explica que deben ser interpretados por el destinatario de la norma, quien debe precisarlo, de acuerdo con las circunstancias concretas que pesan sobre él</w:t>
      </w:r>
      <w:r w:rsidRPr="00D22117">
        <w:rPr>
          <w:rFonts w:ascii="Arial" w:eastAsia="Arial" w:hAnsi="Arial" w:cs="Arial"/>
          <w:color w:val="4E4D4D"/>
          <w:sz w:val="22"/>
          <w:szCs w:val="22"/>
          <w:vertAlign w:val="superscript"/>
        </w:rPr>
        <w:footnoteReference w:id="25"/>
      </w:r>
      <w:r w:rsidRPr="00D22117">
        <w:rPr>
          <w:rFonts w:ascii="Arial" w:eastAsia="Arial" w:hAnsi="Arial" w:cs="Arial"/>
          <w:color w:val="000000"/>
          <w:sz w:val="22"/>
          <w:szCs w:val="22"/>
        </w:rPr>
        <w:t>. Por lo tanto, ante la</w:t>
      </w:r>
      <w:r w:rsidRPr="00D22117">
        <w:rPr>
          <w:rFonts w:ascii="Arial" w:eastAsia="Arial" w:hAnsi="Arial" w:cs="Arial"/>
          <w:color w:val="000000"/>
          <w:sz w:val="20"/>
          <w:szCs w:val="20"/>
        </w:rPr>
        <w:t xml:space="preserve"> </w:t>
      </w:r>
      <w:r w:rsidRPr="00D22117">
        <w:rPr>
          <w:rFonts w:ascii="Arial" w:eastAsia="Arial" w:hAnsi="Arial" w:cs="Arial"/>
          <w:color w:val="000000"/>
          <w:sz w:val="22"/>
          <w:szCs w:val="22"/>
        </w:rPr>
        <w:t>existencia de conceptos jurídicos indeterminados el intérprete determinará el alcance del concepto de acuerdo con las circunstancias específicas de cada caso</w:t>
      </w:r>
      <w:r w:rsidRPr="00D22117">
        <w:rPr>
          <w:rFonts w:ascii="Arial" w:eastAsia="Arial" w:hAnsi="Arial" w:cs="Arial"/>
          <w:color w:val="4E4D4D"/>
          <w:sz w:val="22"/>
          <w:szCs w:val="22"/>
          <w:vertAlign w:val="superscript"/>
        </w:rPr>
        <w:footnoteReference w:id="26"/>
      </w:r>
      <w:r w:rsidRPr="00D22117">
        <w:rPr>
          <w:rFonts w:ascii="Arial" w:eastAsia="Arial" w:hAnsi="Arial" w:cs="Arial"/>
          <w:color w:val="000000"/>
          <w:sz w:val="22"/>
          <w:szCs w:val="22"/>
        </w:rPr>
        <w:t>.</w:t>
      </w:r>
    </w:p>
    <w:p w14:paraId="52CC6D3E"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lastRenderedPageBreak/>
        <w:t>Conforme a lo anterior, para dotar de contenido la expresión «recursos públicos» y determinar si es posible celebrar un contrato de comodato o un contrato de donación durante la vigencia de la Ley de Garantías, concretamente, frente a la prohibición del parágrafo del artículo 38, se acudirá a la exposición de motivos de la Ley para determinar si la entrega de un bien a título gratuito se enmarca en la ejecución de «recursos públicos».</w:t>
      </w:r>
    </w:p>
    <w:p w14:paraId="0787C6BB"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La Ley 996 de 2005, de acuerdo con la Gaceta No. 71 del 2005</w:t>
      </w:r>
      <w:r w:rsidRPr="00D22117">
        <w:rPr>
          <w:rFonts w:ascii="Arial" w:eastAsia="Arial" w:hAnsi="Arial" w:cs="Arial"/>
          <w:color w:val="4E4D4D"/>
          <w:sz w:val="22"/>
          <w:szCs w:val="22"/>
          <w:vertAlign w:val="superscript"/>
        </w:rPr>
        <w:footnoteReference w:id="27"/>
      </w:r>
      <w:r w:rsidRPr="00D22117">
        <w:rPr>
          <w:rFonts w:ascii="Arial" w:eastAsia="Arial" w:hAnsi="Arial" w:cs="Arial"/>
          <w:color w:val="000000"/>
          <w:sz w:val="22"/>
          <w:szCs w:val="22"/>
        </w:rPr>
        <w:t>, tiene como propósito evitar cualquier tipo de arbitrariedad, de ventaja injustificada, de uso irregular de los recursos del Estado en las campañas o falta de garantías en la elección presidencial. Ahora, en las Gacetas del Congreso de la República No. 71, 231, 312 y 362 del año 2005, si bien se fijaron prohibiciones a los servidores públicos, no se incluyó la prohibición de celebrar convenios o contratos interadministrativos cuatro meses antes a cualquier elección. En efecto, esta prohibición se incorporó en la Gaceta No. 35 de 2006, en la cual se publicó la Ley 996 de 2005, sin embargo, no se explicó el alcance de la expresión «ejecución de recursos públicos». Por su parte, la Gaceta No. 71 del 2 de marzo de 2005 señalaba que este proyecto de ley buscaba impedir que el cargo de una persona se utilizara para promover una candidatura o ejercer presión sobre los subordinados para determinar su voluntad de elección.</w:t>
      </w:r>
    </w:p>
    <w:p w14:paraId="7EDFBA4A" w14:textId="38113ED6"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 xml:space="preserve">Por estas consideraciones, como se explicó anteriormente, el proyecto de ley estatutaria aborda la participación de los servidores públicos en política estableciendo unas prohibiciones aplicables a los servidores públicos no considerados en el inciso segundo del artículo 127 de nuestra Constitución. De esta forma se busca impedir que el cargo que se ostente sea utilizado para promover una candidatura o ejercer presión sobre los subordinados para determinar su voluntad de elección. </w:t>
      </w:r>
    </w:p>
    <w:p w14:paraId="67FA9839"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 xml:space="preserve">En este sentido, el objetivo de la Ley 996 de 2005 es evitar que un funcionario público que se encuentra en campaña electoral o apoyando alguna candidatura, haga uso de su cargo para influenciar a terceros para que voten de una determinada forma, es decir, </w:t>
      </w:r>
      <w:r w:rsidRPr="00D22117">
        <w:rPr>
          <w:rFonts w:ascii="Arial" w:eastAsia="Arial" w:hAnsi="Arial" w:cs="Arial"/>
          <w:color w:val="000000"/>
          <w:sz w:val="22"/>
          <w:szCs w:val="22"/>
        </w:rPr>
        <w:lastRenderedPageBreak/>
        <w:t>que afecte la intención de voto.</w:t>
      </w:r>
    </w:p>
    <w:p w14:paraId="13AEBFEA"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 xml:space="preserve">De acuerdo con el debate legislativo, se afecta el voto de una persona no solo con la entrega de dinero público sino con la entrega de bienes del Estado. Es así como el artículo 3 del Proyecto de Ley Estatutaria Número 216 de 2005 prohibió al presidente, en la campaña presidencial, «entregar personalmente subsidios del Estado o cualquier otro dinero del Estado o producto de donaciones de terceros al Gobierno Nacional». Sin embargo, posteriormente, la Gaceta del Congreso No. 231 del 5 de mayo de 2005 cambió el sentido de la prohibición, incluyendo que el presidente no podrá: «Entregar personalmente recursos </w:t>
      </w:r>
      <w:r w:rsidRPr="00D22117">
        <w:rPr>
          <w:rFonts w:ascii="Arial" w:eastAsia="Arial" w:hAnsi="Arial" w:cs="Arial"/>
          <w:i/>
          <w:color w:val="000000"/>
          <w:sz w:val="22"/>
          <w:szCs w:val="22"/>
        </w:rPr>
        <w:t xml:space="preserve">o bienes estatales </w:t>
      </w:r>
      <w:r w:rsidRPr="00D22117">
        <w:rPr>
          <w:rFonts w:ascii="Arial" w:eastAsia="Arial" w:hAnsi="Arial" w:cs="Arial"/>
          <w:color w:val="000000"/>
          <w:sz w:val="22"/>
          <w:szCs w:val="22"/>
        </w:rPr>
        <w:t>o cualquier otra suma de dinero proveniente del erario o producto de donaciones de terceros al Gobierno Nacional». En este sentido, si el presidente se encuentra en campaña presidencial no podrá entregar personalmente recursos o bienes estatales o cualquier otra suma de dinero proveniente del erario porque este tipo de conductas afectan la voluntad de elección de terceros.</w:t>
      </w:r>
    </w:p>
    <w:p w14:paraId="32053B7E"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Siguiendo la consideración anterior, si el parágrafo del artículo 38 de la Ley 996 de 2005 prohíbe a los gobernadores, alcaldes municipales y/o distritales, secretarios, gerentes y directores de entidades descentralizadas del orden municipal, departamental o distrital celebrar contratos o convenios interadministrativos para 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 uso.</w:t>
      </w:r>
    </w:p>
    <w:p w14:paraId="0DC80F31"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De esta manera, explicado que el término «ejecución de recursos públicos» incluye no solo la entrega de recursos que hacen parte del ciclo presupuestal de la entidad, sino también la entrega de bienes de dominio público, surge el siguiente interrogante: ¿cuáles son los bienes que se pueden entregar o disponer de ellos por parte de los funcionarios públicos?</w:t>
      </w:r>
    </w:p>
    <w:p w14:paraId="4EFB8A0A"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Los bienes de dominio público, de acuerdo con la Corte Constitucional, en la sentencia C-183 de 2003, son «el conjunto de bienes que la administración afecta al uso directo de la comunidad o que lo utiliza para servir a la sociedad». Dentro de esta categoría se encuentran los bienes fiscales y los bienes de uso público.</w:t>
      </w:r>
    </w:p>
    <w:p w14:paraId="22EB872A"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 xml:space="preserve">Los bienes fiscales, de acuerdo con el Alto Tribunal Constitucional, en la sentencia </w:t>
      </w:r>
      <w:r w:rsidRPr="00D22117">
        <w:rPr>
          <w:rFonts w:ascii="Arial" w:eastAsia="Arial" w:hAnsi="Arial" w:cs="Arial"/>
          <w:color w:val="000000"/>
          <w:sz w:val="22"/>
          <w:szCs w:val="22"/>
        </w:rPr>
        <w:lastRenderedPageBreak/>
        <w:t>C-183 de 2003</w:t>
      </w:r>
      <w:r w:rsidRPr="00D22117">
        <w:rPr>
          <w:rFonts w:ascii="Arial" w:eastAsia="Arial" w:hAnsi="Arial" w:cs="Arial"/>
          <w:color w:val="4E4D4D"/>
          <w:sz w:val="22"/>
          <w:szCs w:val="22"/>
          <w:vertAlign w:val="superscript"/>
        </w:rPr>
        <w:footnoteReference w:id="28"/>
      </w:r>
      <w:r w:rsidRPr="00D22117">
        <w:rPr>
          <w:rFonts w:ascii="Arial" w:eastAsia="Arial" w:hAnsi="Arial" w:cs="Arial"/>
          <w:color w:val="000000"/>
          <w:sz w:val="22"/>
          <w:szCs w:val="22"/>
        </w:rPr>
        <w:t>, están destinados a la prestación de servicios públicos que la Administración utiliza de forma inmediata, como los edificios donde funcionan las oficinas públicas. A su vez, el Consejo de Estado, Sección Tercera –radicado 21.699–</w:t>
      </w:r>
      <w:r w:rsidRPr="00D22117">
        <w:rPr>
          <w:rFonts w:ascii="Arial" w:eastAsia="Arial" w:hAnsi="Arial" w:cs="Arial"/>
          <w:color w:val="4E4D4D"/>
          <w:sz w:val="22"/>
          <w:szCs w:val="22"/>
          <w:vertAlign w:val="superscript"/>
        </w:rPr>
        <w:footnoteReference w:id="29"/>
      </w:r>
      <w:r w:rsidRPr="00D22117">
        <w:rPr>
          <w:rFonts w:ascii="Arial" w:eastAsia="Arial" w:hAnsi="Arial" w:cs="Arial"/>
          <w:color w:val="000000"/>
          <w:sz w:val="22"/>
          <w:szCs w:val="22"/>
        </w:rPr>
        <w:t>, los define como aquellos que pertenecen a sujetos de derecho público pero su uso no pertenece generalmente a los habitantes, de tal forma que el Estado los posee y los administra de forma similar a como lo hacen los particulares con los bienes de su propiedad. De esta forma, sobre los bienes fiscales, a pesar de estar destinados a la prestación de servicios públicos, las entidades estatales tienen la facultad de disponer de ellos a través de un acto jurídico como la compraventa, la donación, el arriendo, entre otros.</w:t>
      </w:r>
    </w:p>
    <w:p w14:paraId="40AD0E74"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Ahora, el artículo 674 del Código Civil define los bienes de dominio público como aquellos que «(…) pertenece a todos los habitantes de un Territorio, como el de calles, plazas, puentes y caminos, se llaman bienes de la Unión o de uso público o bienes públicos del Territorio». De acuerdo con la Corte Constitucional –sentencia C-183 de 2003–</w:t>
      </w:r>
      <w:r w:rsidRPr="00D22117">
        <w:rPr>
          <w:rFonts w:ascii="Arial" w:eastAsia="Arial" w:hAnsi="Arial" w:cs="Arial"/>
          <w:color w:val="4E4D4D"/>
          <w:sz w:val="22"/>
          <w:szCs w:val="22"/>
          <w:vertAlign w:val="superscript"/>
        </w:rPr>
        <w:footnoteReference w:id="30"/>
      </w:r>
      <w:r w:rsidRPr="00D22117">
        <w:rPr>
          <w:rFonts w:ascii="Arial" w:eastAsia="Arial" w:hAnsi="Arial" w:cs="Arial"/>
          <w:color w:val="000000"/>
          <w:sz w:val="22"/>
          <w:szCs w:val="22"/>
        </w:rPr>
        <w:t xml:space="preserve">, son bienes que pertenecen al Estado, destinados al uso común de todos los habitantes, y se </w:t>
      </w:r>
      <w:r w:rsidRPr="00D22117">
        <w:rPr>
          <w:rFonts w:ascii="Arial" w:eastAsia="Arial" w:hAnsi="Arial" w:cs="Arial"/>
          <w:color w:val="000000"/>
          <w:sz w:val="22"/>
          <w:szCs w:val="22"/>
        </w:rPr>
        <w:lastRenderedPageBreak/>
        <w:t>encuentran por fuera del comercio. Por su parte, el Consejo de Estado</w:t>
      </w:r>
      <w:r w:rsidRPr="00D22117">
        <w:rPr>
          <w:rFonts w:ascii="Arial" w:eastAsia="Arial" w:hAnsi="Arial" w:cs="Arial"/>
          <w:color w:val="4E4D4D"/>
          <w:sz w:val="22"/>
          <w:szCs w:val="22"/>
          <w:vertAlign w:val="superscript"/>
        </w:rPr>
        <w:footnoteReference w:id="31"/>
      </w:r>
      <w:r w:rsidRPr="00D22117">
        <w:rPr>
          <w:rFonts w:ascii="Arial" w:eastAsia="Arial" w:hAnsi="Arial" w:cs="Arial"/>
          <w:color w:val="000000"/>
          <w:sz w:val="22"/>
          <w:szCs w:val="22"/>
        </w:rPr>
        <w:t>, Sección Tercera –Exp. 36.711–,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w14:paraId="4A105AD2" w14:textId="08A460CD"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ya sea a través de contratos de comodato, donación o arrendamiento y de esta forma harían parte del concepto de ejecución de recursos públicos de que trata el parágrafo del artículo 38 de la Ley 996 de 2005.</w:t>
      </w:r>
    </w:p>
    <w:p w14:paraId="70790C98"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Dado que el objeto de su consulta hace referencia a la aplicación de la restricción del parágrafo del artículo 38 de la Ley 996 de 2005 frente a los contratos de comodato, de donación y de arrendamiento de bienes del Estado, a continuación se expondrán las consideraciones de la Agencia Nacional de Contratación Pública frente a cada una de las tipologías contractuales.</w:t>
      </w:r>
    </w:p>
    <w:p w14:paraId="6EE5090B" w14:textId="77777777" w:rsidR="00D73348" w:rsidRPr="00D22117" w:rsidRDefault="00DA2883" w:rsidP="00981BE3">
      <w:pPr>
        <w:widowControl w:val="0"/>
        <w:spacing w:after="120"/>
        <w:ind w:firstLine="709"/>
        <w:rPr>
          <w:color w:val="000000"/>
        </w:rPr>
      </w:pPr>
      <w:r w:rsidRPr="00D22117">
        <w:rPr>
          <w:rFonts w:ascii="Arial" w:eastAsia="Arial" w:hAnsi="Arial" w:cs="Arial"/>
          <w:color w:val="000000"/>
          <w:sz w:val="22"/>
          <w:szCs w:val="22"/>
        </w:rPr>
        <w:t>De esta manera, el contrato de comodato es un acuerdo de voluntades en virtud del cual una parte presta gratuita a otra el uso de un bien mueble o raíz para que lo use</w:t>
      </w:r>
      <w:r w:rsidRPr="00D22117">
        <w:rPr>
          <w:rFonts w:ascii="Arial" w:eastAsia="Arial" w:hAnsi="Arial" w:cs="Arial"/>
          <w:color w:val="4E4D4D"/>
          <w:sz w:val="22"/>
          <w:szCs w:val="22"/>
          <w:vertAlign w:val="superscript"/>
        </w:rPr>
        <w:footnoteReference w:id="32"/>
      </w:r>
      <w:r w:rsidRPr="00D22117">
        <w:rPr>
          <w:rFonts w:ascii="Arial" w:eastAsia="Arial" w:hAnsi="Arial" w:cs="Arial"/>
          <w:color w:val="000000"/>
          <w:sz w:val="22"/>
          <w:szCs w:val="22"/>
        </w:rPr>
        <w:t xml:space="preserve">. La celebración de este contrato implica que el negocio jurídico esté dirigido a hacer la entrega de un bien, sin que por la entrega se obtenga una contraprestación. Por lo tanto, el contrato es por naturaleza gratuito porque el uso y el goce se entrega al comodatario –persona que </w:t>
      </w:r>
      <w:r w:rsidRPr="00D22117">
        <w:rPr>
          <w:rFonts w:ascii="Arial" w:eastAsia="Arial" w:hAnsi="Arial" w:cs="Arial"/>
          <w:color w:val="000000"/>
          <w:sz w:val="22"/>
          <w:szCs w:val="22"/>
        </w:rPr>
        <w:lastRenderedPageBreak/>
        <w:t>disfruta del bien–. En consecuencia, si se trata de un bien que produce frutos naturales o civiles, es el comodatario quien recibirá dichos frutos</w:t>
      </w:r>
      <w:r w:rsidRPr="00D22117">
        <w:rPr>
          <w:rFonts w:ascii="Arial" w:eastAsia="Arial" w:hAnsi="Arial" w:cs="Arial"/>
          <w:color w:val="4E4D4D"/>
          <w:sz w:val="22"/>
          <w:szCs w:val="22"/>
          <w:vertAlign w:val="superscript"/>
        </w:rPr>
        <w:footnoteReference w:id="33"/>
      </w:r>
      <w:r w:rsidRPr="00D22117">
        <w:rPr>
          <w:rFonts w:ascii="Arial" w:eastAsia="Arial" w:hAnsi="Arial" w:cs="Arial"/>
          <w:color w:val="000000"/>
          <w:sz w:val="22"/>
          <w:szCs w:val="22"/>
        </w:rPr>
        <w:t>.</w:t>
      </w:r>
    </w:p>
    <w:p w14:paraId="6398E581" w14:textId="25224FC6" w:rsidR="00D73348" w:rsidRPr="00D22117" w:rsidRDefault="00DA2883" w:rsidP="00981BE3">
      <w:pPr>
        <w:widowControl w:val="0"/>
        <w:spacing w:after="120"/>
        <w:ind w:firstLine="720"/>
        <w:rPr>
          <w:color w:val="000000"/>
        </w:rPr>
      </w:pPr>
      <w:r w:rsidRPr="00D22117">
        <w:rPr>
          <w:rFonts w:ascii="Arial" w:eastAsia="Arial" w:hAnsi="Arial" w:cs="Arial"/>
          <w:color w:val="000000"/>
          <w:sz w:val="22"/>
          <w:szCs w:val="22"/>
        </w:rPr>
        <w:t>De otro lado, el Código Civil define la donación como «un acto por el cual una persona transfiere, gratuita e irrevocablemente, una parte de sus bienes a otra persona que la acepta»</w:t>
      </w:r>
      <w:r w:rsidRPr="00D22117">
        <w:rPr>
          <w:rFonts w:ascii="Arial" w:eastAsia="Arial" w:hAnsi="Arial" w:cs="Arial"/>
          <w:color w:val="4E4D4D"/>
          <w:sz w:val="22"/>
          <w:szCs w:val="22"/>
          <w:vertAlign w:val="superscript"/>
        </w:rPr>
        <w:footnoteReference w:id="34"/>
      </w:r>
      <w:r w:rsidRPr="00D22117">
        <w:rPr>
          <w:rFonts w:ascii="Arial" w:eastAsia="Arial" w:hAnsi="Arial" w:cs="Arial"/>
          <w:color w:val="000000"/>
          <w:sz w:val="22"/>
          <w:szCs w:val="22"/>
        </w:rPr>
        <w:t>, la Sección Tercera del Consejo de Estado, en sentencia del 25 de mayo de 2016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ii) la aceptación de quien recibirá el beneficio económico –donatario–</w:t>
      </w:r>
      <w:r w:rsidRPr="00D22117">
        <w:rPr>
          <w:rFonts w:ascii="Arial" w:eastAsia="Arial" w:hAnsi="Arial" w:cs="Arial"/>
          <w:color w:val="4E4D4D"/>
          <w:sz w:val="22"/>
          <w:szCs w:val="22"/>
          <w:vertAlign w:val="superscript"/>
        </w:rPr>
        <w:footnoteReference w:id="35"/>
      </w:r>
      <w:r w:rsidRPr="00D22117">
        <w:rPr>
          <w:rFonts w:ascii="Arial" w:eastAsia="Arial" w:hAnsi="Arial" w:cs="Arial"/>
          <w:color w:val="000000"/>
          <w:sz w:val="22"/>
          <w:szCs w:val="22"/>
        </w:rPr>
        <w:t>.</w:t>
      </w:r>
    </w:p>
    <w:p w14:paraId="7BA95F19" w14:textId="77777777" w:rsidR="00D73348" w:rsidRPr="00D22117" w:rsidRDefault="00DA2883">
      <w:pPr>
        <w:widowControl w:val="0"/>
        <w:spacing w:after="120"/>
        <w:ind w:firstLine="720"/>
        <w:rPr>
          <w:rFonts w:ascii="Arial" w:eastAsia="Arial" w:hAnsi="Arial" w:cs="Arial"/>
          <w:color w:val="000000"/>
          <w:sz w:val="22"/>
          <w:szCs w:val="22"/>
        </w:rPr>
      </w:pPr>
      <w:r w:rsidRPr="00D22117">
        <w:rPr>
          <w:rFonts w:ascii="Arial" w:eastAsia="Arial" w:hAnsi="Arial" w:cs="Arial"/>
          <w:color w:val="000000"/>
          <w:sz w:val="22"/>
          <w:szCs w:val="22"/>
        </w:rPr>
        <w:t>Conforme con lo anterior, la celebración de un contrato de donación se constituye como un verdadero acto traslaticio del dominio</w:t>
      </w:r>
      <w:r w:rsidRPr="00D22117">
        <w:rPr>
          <w:rFonts w:ascii="Arial" w:eastAsia="Arial" w:hAnsi="Arial" w:cs="Arial"/>
          <w:color w:val="4E4D4D"/>
          <w:sz w:val="22"/>
          <w:szCs w:val="22"/>
          <w:vertAlign w:val="superscript"/>
        </w:rPr>
        <w:footnoteReference w:id="36"/>
      </w:r>
      <w:r w:rsidRPr="00D22117">
        <w:rPr>
          <w:rFonts w:ascii="Arial" w:eastAsia="Arial" w:hAnsi="Arial" w:cs="Arial"/>
          <w:color w:val="000000"/>
          <w:sz w:val="22"/>
          <w:szCs w:val="22"/>
        </w:rPr>
        <w:t xml:space="preserve"> y en consecuencia como la expresión «ejecución de recursos públicos» del parágrafo del artículo 38 de la Ley 996 de 2005 no solo se entiende a los recursos que integran el ciclo presupuestal de la entidad, sino también </w:t>
      </w:r>
      <w:r w:rsidRPr="00D22117">
        <w:rPr>
          <w:rFonts w:ascii="Arial" w:eastAsia="Arial" w:hAnsi="Arial" w:cs="Arial"/>
          <w:color w:val="000000"/>
          <w:sz w:val="22"/>
          <w:szCs w:val="22"/>
        </w:rPr>
        <w:lastRenderedPageBreak/>
        <w:t>los bienes fiscales de los que puede disponer la entidad que se entregan a título gratuito, porque con ello podría influenciarse la intención de voto de quien recibe el bien.</w:t>
      </w:r>
    </w:p>
    <w:p w14:paraId="2BB24F19" w14:textId="3128AE18" w:rsidR="00D73348" w:rsidRPr="00D22117" w:rsidRDefault="00DA2883" w:rsidP="00981BE3">
      <w:pPr>
        <w:widowControl w:val="0"/>
        <w:pBdr>
          <w:top w:val="nil"/>
          <w:left w:val="nil"/>
          <w:bottom w:val="nil"/>
          <w:right w:val="nil"/>
          <w:between w:val="nil"/>
        </w:pBdr>
        <w:spacing w:after="120"/>
        <w:ind w:firstLine="720"/>
        <w:rPr>
          <w:rFonts w:ascii="Arial" w:eastAsia="Arial" w:hAnsi="Arial" w:cs="Arial"/>
          <w:sz w:val="22"/>
          <w:szCs w:val="22"/>
        </w:rPr>
      </w:pPr>
      <w:r w:rsidRPr="00D22117">
        <w:rPr>
          <w:rFonts w:ascii="Arial" w:eastAsia="Arial" w:hAnsi="Arial" w:cs="Arial"/>
          <w:color w:val="000000"/>
          <w:sz w:val="22"/>
          <w:szCs w:val="22"/>
        </w:rPr>
        <w:t>En los términos anteriores, pese a tratarse de un contrato de comodato o donación, si se cumplen los presupuestos establecidos en el parágrafo del artículo 38 de la Ley 996 de 2005, se incurriría en la prohibición. Aplicando un razonamiento similar, en relación con los contratos de arrendamiento, el Estatuto General de Contratación de la Administración Pública consagra que el contrato de arrendamiento es una modalidad de contratación directa, conforme a lo previsto en el literal i) del numeral 4 del artículo 2 de la Ley 1150 de 2007</w:t>
      </w:r>
      <w:r w:rsidRPr="00D22117">
        <w:rPr>
          <w:rFonts w:ascii="Cambria" w:eastAsia="Cambria" w:hAnsi="Cambria" w:cs="Cambria"/>
          <w:color w:val="000000"/>
          <w:vertAlign w:val="superscript"/>
        </w:rPr>
        <w:footnoteReference w:id="37"/>
      </w:r>
      <w:r w:rsidRPr="00D22117">
        <w:rPr>
          <w:rFonts w:ascii="Arial" w:eastAsia="Arial" w:hAnsi="Arial" w:cs="Arial"/>
          <w:color w:val="000000"/>
          <w:sz w:val="22"/>
          <w:szCs w:val="22"/>
        </w:rPr>
        <w:t>. El régimen jurídico de los contratos de arrendamiento está previsto en las disposiciones civiles y comerciales</w:t>
      </w:r>
      <w:r w:rsidRPr="00D22117">
        <w:rPr>
          <w:rFonts w:ascii="Cambria" w:eastAsia="Cambria" w:hAnsi="Cambria" w:cs="Cambria"/>
          <w:color w:val="000000"/>
          <w:vertAlign w:val="superscript"/>
        </w:rPr>
        <w:footnoteReference w:id="38"/>
      </w:r>
      <w:r w:rsidRPr="00D22117">
        <w:rPr>
          <w:rFonts w:ascii="Arial" w:eastAsia="Arial" w:hAnsi="Arial" w:cs="Arial"/>
          <w:color w:val="000000"/>
          <w:sz w:val="22"/>
          <w:szCs w:val="22"/>
        </w:rPr>
        <w:t>.Por tanto, el contrato de arrendamiento es un acuerdo de voluntades en el que una parte se obliga a conceder el goce de una cosa determinada y la otra a pagar un precio determinado como retribución por el goce que se le ha concedido</w:t>
      </w:r>
      <w:r w:rsidRPr="00D22117">
        <w:rPr>
          <w:rFonts w:ascii="Cambria" w:eastAsia="Cambria" w:hAnsi="Cambria" w:cs="Cambria"/>
          <w:color w:val="000000"/>
          <w:vertAlign w:val="superscript"/>
        </w:rPr>
        <w:footnoteReference w:id="39"/>
      </w:r>
      <w:r w:rsidRPr="00D22117">
        <w:rPr>
          <w:rFonts w:ascii="Arial" w:eastAsia="Arial" w:hAnsi="Arial" w:cs="Arial"/>
          <w:color w:val="000000"/>
          <w:sz w:val="22"/>
          <w:szCs w:val="22"/>
        </w:rPr>
        <w:t>. Conforme a lo anterior, una de las características propias y principales del contrato de arrendamiento es su onerosidad, porque las partes que lo celebran obtienen utilidad o beneficio de él</w:t>
      </w:r>
      <w:r w:rsidRPr="00D22117">
        <w:rPr>
          <w:rFonts w:ascii="Cambria" w:eastAsia="Cambria" w:hAnsi="Cambria" w:cs="Cambria"/>
          <w:color w:val="000000"/>
          <w:vertAlign w:val="superscript"/>
        </w:rPr>
        <w:footnoteReference w:id="40"/>
      </w:r>
      <w:r w:rsidRPr="00D22117">
        <w:rPr>
          <w:rFonts w:ascii="Arial" w:eastAsia="Arial" w:hAnsi="Arial" w:cs="Arial"/>
          <w:color w:val="000000"/>
          <w:sz w:val="22"/>
          <w:szCs w:val="22"/>
        </w:rPr>
        <w:t>.</w:t>
      </w:r>
    </w:p>
    <w:p w14:paraId="72914639" w14:textId="77777777" w:rsidR="00D73348" w:rsidRPr="00D22117" w:rsidRDefault="00DA2883" w:rsidP="00981BE3">
      <w:pPr>
        <w:pBdr>
          <w:top w:val="nil"/>
          <w:left w:val="nil"/>
          <w:bottom w:val="nil"/>
          <w:right w:val="nil"/>
          <w:between w:val="nil"/>
        </w:pBdr>
        <w:spacing w:before="1" w:after="120"/>
        <w:ind w:left="100" w:right="105" w:firstLine="620"/>
        <w:rPr>
          <w:rFonts w:ascii="Arial" w:eastAsia="Arial" w:hAnsi="Arial" w:cs="Arial"/>
          <w:sz w:val="22"/>
          <w:szCs w:val="22"/>
        </w:rPr>
      </w:pPr>
      <w:r w:rsidRPr="00D22117">
        <w:rPr>
          <w:rFonts w:ascii="Arial" w:eastAsia="Arial" w:hAnsi="Arial" w:cs="Arial"/>
          <w:color w:val="000000"/>
          <w:sz w:val="22"/>
          <w:szCs w:val="22"/>
        </w:rPr>
        <w:t xml:space="preserve">De lo anterior se desprenden dos consideraciones en relación con la prohibición establecida en el parágrafo del artículo 38 de la Ley 996 de 2005: si una entidad estatal  </w:t>
      </w:r>
      <w:r w:rsidRPr="00D22117">
        <w:rPr>
          <w:rFonts w:ascii="Arial" w:eastAsia="Arial" w:hAnsi="Arial" w:cs="Arial"/>
          <w:color w:val="000000"/>
          <w:sz w:val="22"/>
          <w:szCs w:val="22"/>
        </w:rPr>
        <w:lastRenderedPageBreak/>
        <w:t>del orden departamental, distrital o municipal de las incluidas en la prohibición pretende celebrar un contrato de arrendamiento con otra entidad estatal no podrá hacerlo en vigencia de la Ley de garantías, porque lo que determina la existencia de un contrato o convenio interadministrativo es un criterio orgánico, que como se dijo en líneas precedentes es el que sea celebran dos entidades estatales.</w:t>
      </w:r>
    </w:p>
    <w:p w14:paraId="4A3FF83C" w14:textId="77777777" w:rsidR="00D73348" w:rsidRPr="00D22117" w:rsidRDefault="00DA2883">
      <w:pPr>
        <w:pBdr>
          <w:top w:val="nil"/>
          <w:left w:val="nil"/>
          <w:bottom w:val="nil"/>
          <w:right w:val="nil"/>
          <w:between w:val="nil"/>
        </w:pBdr>
        <w:spacing w:after="120"/>
        <w:ind w:left="100" w:right="102" w:firstLine="620"/>
        <w:rPr>
          <w:rFonts w:ascii="Arial" w:eastAsia="Arial" w:hAnsi="Arial" w:cs="Arial"/>
          <w:color w:val="000000"/>
          <w:sz w:val="22"/>
          <w:szCs w:val="22"/>
        </w:rPr>
      </w:pPr>
      <w:r w:rsidRPr="00D22117">
        <w:rPr>
          <w:rFonts w:ascii="Arial" w:eastAsia="Arial" w:hAnsi="Arial" w:cs="Arial"/>
          <w:color w:val="000000"/>
          <w:sz w:val="22"/>
          <w:szCs w:val="22"/>
        </w:rPr>
        <w:t>Como segunda consideración, la restricción del parágrafo del artículo 38 hace referencia, igualmente, a que dicho contrato ejecute recursos públicos, lo que se desprende en este caso del carácter oneroso del contrato de arrendamiento, lo que implica la ejecución de recursos públicos.</w:t>
      </w:r>
    </w:p>
    <w:p w14:paraId="1322F5A2" w14:textId="48433651" w:rsidR="00D73348" w:rsidRPr="00D22117" w:rsidRDefault="00DA2883">
      <w:pPr>
        <w:pBdr>
          <w:top w:val="nil"/>
          <w:left w:val="nil"/>
          <w:bottom w:val="nil"/>
          <w:right w:val="nil"/>
          <w:between w:val="nil"/>
        </w:pBdr>
        <w:spacing w:after="120"/>
        <w:ind w:left="100" w:right="102" w:firstLine="620"/>
        <w:rPr>
          <w:rFonts w:ascii="Arial" w:eastAsia="Arial" w:hAnsi="Arial" w:cs="Arial"/>
          <w:color w:val="000000"/>
          <w:sz w:val="22"/>
          <w:szCs w:val="22"/>
        </w:rPr>
      </w:pPr>
      <w:r w:rsidRPr="00D22117">
        <w:rPr>
          <w:rFonts w:ascii="Arial" w:eastAsia="Arial" w:hAnsi="Arial" w:cs="Arial"/>
          <w:color w:val="000000"/>
          <w:sz w:val="22"/>
          <w:szCs w:val="22"/>
        </w:rPr>
        <w:t>En los términos anteriores, atendiendo a las preguntas de la peticionaria, siempre que se cumplan con los presupuestos de la prohibición del parágrafo del artículo 38, independientemente del objeto contractual que se celebre, sea que se relacione con un contrato de comodato, donación o arrendamiento de bienes del Estado se incurrirá en la prohibición, bajo el entendimiento de que en dichos contratos también se podrían ejecutar recursos públicos. Lo anterior siempre que se trate de un contrato o convenio interadministrativo, que sea celebrado entre entidades públicas y cuando alguna de ellas sea de las enlistadas en el parágrafo del artículo 38, aspectos que se desarrollaron de forma precisa anteriormente.</w:t>
      </w:r>
    </w:p>
    <w:p w14:paraId="3F36078A" w14:textId="5587A4A1" w:rsidR="00D73348" w:rsidRPr="00D22117" w:rsidRDefault="00DA2883" w:rsidP="00981BE3">
      <w:pPr>
        <w:pBdr>
          <w:top w:val="nil"/>
          <w:left w:val="nil"/>
          <w:bottom w:val="nil"/>
          <w:right w:val="nil"/>
          <w:between w:val="nil"/>
        </w:pBdr>
        <w:spacing w:after="120"/>
        <w:ind w:left="100" w:right="102" w:firstLine="620"/>
        <w:rPr>
          <w:rFonts w:ascii="Arial" w:eastAsia="Arial" w:hAnsi="Arial" w:cs="Arial"/>
          <w:sz w:val="22"/>
          <w:szCs w:val="22"/>
        </w:rPr>
      </w:pPr>
      <w:r w:rsidRPr="00D22117">
        <w:rPr>
          <w:rFonts w:ascii="Arial" w:eastAsia="Arial" w:hAnsi="Arial" w:cs="Arial"/>
          <w:color w:val="000000"/>
          <w:sz w:val="22"/>
          <w:szCs w:val="22"/>
        </w:rPr>
        <w:t xml:space="preserve">De esta manera, se reitera la conclusión expuesta, en el entendido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los comicios de cargos de elección popular. En este sentido, si una o ambas partes de la relación contractual es una entidad de aquellas descritas en el parágrafo </w:t>
      </w:r>
      <w:r w:rsidRPr="00D22117">
        <w:rPr>
          <w:rFonts w:ascii="Arial" w:eastAsia="Arial" w:hAnsi="Arial" w:cs="Arial"/>
          <w:i/>
          <w:color w:val="000000"/>
          <w:sz w:val="22"/>
          <w:szCs w:val="22"/>
        </w:rPr>
        <w:t>ibidem</w:t>
      </w:r>
      <w:r w:rsidRPr="00D22117">
        <w:rPr>
          <w:rFonts w:ascii="Arial" w:eastAsia="Arial" w:hAnsi="Arial" w:cs="Arial"/>
          <w:color w:val="000000"/>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p w14:paraId="30455202" w14:textId="77777777" w:rsidR="00D73348" w:rsidRPr="00D22117" w:rsidRDefault="00D73348">
      <w:pPr>
        <w:widowControl w:val="0"/>
        <w:pBdr>
          <w:top w:val="nil"/>
          <w:left w:val="nil"/>
          <w:bottom w:val="nil"/>
          <w:right w:val="nil"/>
          <w:between w:val="nil"/>
        </w:pBdr>
        <w:spacing w:after="0"/>
        <w:ind w:right="112"/>
        <w:rPr>
          <w:rFonts w:ascii="Arial" w:eastAsia="Arial" w:hAnsi="Arial" w:cs="Arial"/>
          <w:color w:val="000000"/>
          <w:sz w:val="20"/>
          <w:szCs w:val="20"/>
        </w:rPr>
      </w:pPr>
    </w:p>
    <w:p w14:paraId="6E67D54A" w14:textId="77777777" w:rsidR="00D73348" w:rsidRPr="00D22117" w:rsidRDefault="00DA2883">
      <w:pPr>
        <w:shd w:val="clear" w:color="auto" w:fill="FFFFFF"/>
        <w:spacing w:after="0"/>
        <w:rPr>
          <w:rFonts w:ascii="Arial" w:eastAsia="Arial" w:hAnsi="Arial" w:cs="Arial"/>
          <w:sz w:val="22"/>
          <w:szCs w:val="22"/>
        </w:rPr>
      </w:pPr>
      <w:r w:rsidRPr="00D22117">
        <w:rPr>
          <w:rFonts w:ascii="Arial" w:eastAsia="Arial" w:hAnsi="Arial" w:cs="Arial"/>
          <w:b/>
          <w:color w:val="000000"/>
          <w:sz w:val="22"/>
          <w:szCs w:val="22"/>
        </w:rPr>
        <w:t>2.3.</w:t>
      </w:r>
      <w:r w:rsidRPr="00D22117">
        <w:rPr>
          <w:rFonts w:ascii="Arial" w:eastAsia="Arial" w:hAnsi="Arial" w:cs="Arial"/>
          <w:color w:val="000000"/>
          <w:sz w:val="22"/>
          <w:szCs w:val="22"/>
        </w:rPr>
        <w:t xml:space="preserve"> </w:t>
      </w:r>
      <w:r w:rsidRPr="00D22117">
        <w:rPr>
          <w:rFonts w:ascii="Arial" w:eastAsia="Arial" w:hAnsi="Arial" w:cs="Arial"/>
          <w:b/>
          <w:sz w:val="22"/>
          <w:szCs w:val="22"/>
        </w:rPr>
        <w:t>Modificaciones realizadas por la Ley Anual del Presupuesto para la vigencia fiscal de 2022 a la Ley de Garantías Electorales</w:t>
      </w:r>
      <w:r w:rsidRPr="00D22117">
        <w:rPr>
          <w:rFonts w:ascii="Arial" w:eastAsia="Arial" w:hAnsi="Arial" w:cs="Arial"/>
          <w:sz w:val="22"/>
          <w:szCs w:val="22"/>
        </w:rPr>
        <w:t xml:space="preserve"> </w:t>
      </w:r>
    </w:p>
    <w:p w14:paraId="206E6B6D" w14:textId="77777777" w:rsidR="00D73348" w:rsidRPr="00D22117" w:rsidRDefault="00D73348">
      <w:pPr>
        <w:shd w:val="clear" w:color="auto" w:fill="FFFFFF"/>
        <w:spacing w:after="0"/>
        <w:rPr>
          <w:rFonts w:ascii="Arial" w:eastAsia="Arial" w:hAnsi="Arial" w:cs="Arial"/>
          <w:sz w:val="22"/>
          <w:szCs w:val="22"/>
        </w:rPr>
      </w:pPr>
    </w:p>
    <w:p w14:paraId="471BEBAB" w14:textId="1F0C5D9A" w:rsidR="00D73348" w:rsidRPr="00D22117" w:rsidRDefault="00DA2883">
      <w:pPr>
        <w:shd w:val="clear" w:color="auto" w:fill="FFFFFF"/>
        <w:spacing w:after="0"/>
      </w:pPr>
      <w:bookmarkStart w:id="22" w:name="_1y810tw" w:colFirst="0" w:colLast="0"/>
      <w:bookmarkEnd w:id="22"/>
      <w:r w:rsidRPr="00D22117">
        <w:rPr>
          <w:rFonts w:ascii="Arial" w:eastAsia="Arial" w:hAnsi="Arial" w:cs="Arial"/>
          <w:sz w:val="22"/>
          <w:szCs w:val="22"/>
        </w:rPr>
        <w:t xml:space="preserve">El análisis que a continuación se realizará, fue efectuado por esta Agencia en el concepto C-674 del 6 de diciembre de 2021 y en el C-699 del 6 de enero de 20201, por lo que se reiterará dicha postura. Partiendo de lo anterior, el 12 de noviembre de 2021 el Presidente </w:t>
      </w:r>
      <w:r w:rsidRPr="00D22117">
        <w:rPr>
          <w:rFonts w:ascii="Arial" w:eastAsia="Arial" w:hAnsi="Arial" w:cs="Arial"/>
          <w:sz w:val="22"/>
          <w:szCs w:val="22"/>
        </w:rPr>
        <w:lastRenderedPageBreak/>
        <w:t>de la República sancionó la Ley 2159</w:t>
      </w:r>
      <w:r w:rsidRPr="00D22117">
        <w:rPr>
          <w:rFonts w:ascii="Arial" w:eastAsia="Arial" w:hAnsi="Arial" w:cs="Arial"/>
          <w:sz w:val="22"/>
          <w:szCs w:val="22"/>
          <w:vertAlign w:val="superscript"/>
        </w:rPr>
        <w:footnoteReference w:id="41"/>
      </w:r>
      <w:r w:rsidRPr="00D22117">
        <w:rPr>
          <w:rFonts w:ascii="Arial" w:eastAsia="Arial" w:hAnsi="Arial" w:cs="Arial"/>
          <w:sz w:val="22"/>
          <w:szCs w:val="22"/>
        </w:rPr>
        <w:t>, por la cual se decreta el presupuesto de rentas y recursos de capital y ley de apropiaciones para la vigencia fiscal del 1 de enero al 31 de diciembre de 2022 –Ley Anual del Presupuesto–</w:t>
      </w:r>
      <w:r w:rsidRPr="00D22117">
        <w:rPr>
          <w:rFonts w:ascii="Arial" w:eastAsia="Arial" w:hAnsi="Arial" w:cs="Arial"/>
          <w:sz w:val="22"/>
          <w:szCs w:val="22"/>
          <w:vertAlign w:val="superscript"/>
        </w:rPr>
        <w:footnoteReference w:id="42"/>
      </w:r>
      <w:r w:rsidRPr="00D22117">
        <w:rPr>
          <w:rFonts w:ascii="Arial" w:eastAsia="Arial" w:hAnsi="Arial" w:cs="Arial"/>
          <w:sz w:val="22"/>
          <w:szCs w:val="22"/>
        </w:rPr>
        <w:t xml:space="preserve">. Dentro del Capítulo V sobre «disposiciones varias» contenido en la Tercera Parte, «Disposiciones Generales», se destaca la inclusión del artículo 124, a cuyo tenor: </w:t>
      </w:r>
    </w:p>
    <w:p w14:paraId="152CEC5F" w14:textId="77777777" w:rsidR="00D73348" w:rsidRPr="00D22117" w:rsidRDefault="00D73348">
      <w:pPr>
        <w:shd w:val="clear" w:color="auto" w:fill="FFFFFF"/>
        <w:spacing w:after="0"/>
        <w:rPr>
          <w:rFonts w:ascii="Arial" w:eastAsia="Arial" w:hAnsi="Arial" w:cs="Arial"/>
        </w:rPr>
      </w:pPr>
    </w:p>
    <w:p w14:paraId="7774A58A" w14:textId="77777777" w:rsidR="00D73348" w:rsidRPr="00D22117" w:rsidRDefault="00DA2883">
      <w:pPr>
        <w:shd w:val="clear" w:color="auto" w:fill="FFFFFF"/>
        <w:spacing w:after="120" w:line="240" w:lineRule="auto"/>
        <w:ind w:left="709" w:right="709"/>
      </w:pPr>
      <w:bookmarkStart w:id="23" w:name="_4i7ojhp" w:colFirst="0" w:colLast="0"/>
      <w:bookmarkEnd w:id="23"/>
      <w:r w:rsidRPr="00D22117">
        <w:rPr>
          <w:rFonts w:ascii="Arial" w:eastAsia="Arial" w:hAnsi="Arial" w:cs="Arial"/>
          <w:sz w:val="21"/>
          <w:szCs w:val="21"/>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50FFA5B4" w14:textId="77777777" w:rsidR="00D73348" w:rsidRPr="00D22117" w:rsidRDefault="00DA2883">
      <w:pPr>
        <w:shd w:val="clear" w:color="auto" w:fill="FFFFFF"/>
        <w:spacing w:after="120" w:line="240" w:lineRule="auto"/>
        <w:ind w:left="709" w:right="709"/>
      </w:pPr>
      <w:r w:rsidRPr="00D22117">
        <w:rPr>
          <w:rFonts w:ascii="Arial" w:eastAsia="Arial" w:hAnsi="Arial" w:cs="Arial"/>
          <w:sz w:val="21"/>
          <w:szCs w:val="21"/>
        </w:rPr>
        <w:t xml:space="preserve">La presente disposición modifica únicamente en la parte pertinente el inciso primero del parágrafo del artículo 38 de la Ley 996 de 2005. </w:t>
      </w:r>
    </w:p>
    <w:p w14:paraId="7A84CCEB" w14:textId="77777777" w:rsidR="00D73348" w:rsidRPr="00D22117" w:rsidRDefault="00DA2883">
      <w:pPr>
        <w:shd w:val="clear" w:color="auto" w:fill="FFFFFF"/>
        <w:spacing w:after="0" w:line="240" w:lineRule="auto"/>
        <w:ind w:left="709" w:right="709"/>
      </w:pPr>
      <w:r w:rsidRPr="00D22117">
        <w:rPr>
          <w:rFonts w:ascii="Arial" w:eastAsia="Arial" w:hAnsi="Arial" w:cs="Arial"/>
          <w:sz w:val="21"/>
          <w:szCs w:val="21"/>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53B64E1A" w14:textId="77777777" w:rsidR="00D73348" w:rsidRPr="00D22117" w:rsidRDefault="00D73348">
      <w:pPr>
        <w:shd w:val="clear" w:color="auto" w:fill="FFFFFF"/>
        <w:spacing w:after="0"/>
        <w:rPr>
          <w:rFonts w:ascii="Arial" w:eastAsia="Arial" w:hAnsi="Arial" w:cs="Arial"/>
          <w:sz w:val="22"/>
          <w:szCs w:val="22"/>
        </w:rPr>
      </w:pPr>
    </w:p>
    <w:p w14:paraId="13DF29AB" w14:textId="77777777" w:rsidR="00D73348" w:rsidRPr="00D22117" w:rsidRDefault="00DA2883">
      <w:pPr>
        <w:spacing w:after="120"/>
        <w:ind w:firstLine="709"/>
      </w:pPr>
      <w:r w:rsidRPr="00D22117">
        <w:rPr>
          <w:rFonts w:ascii="Arial" w:eastAsia="Arial" w:hAnsi="Arial" w:cs="Arial"/>
          <w:sz w:val="22"/>
          <w:szCs w:val="22"/>
        </w:rPr>
        <w:t>Al respecto, es importante señalar que los artículos 345 a 355 de la Constitución Política de 1991 desarrollan los asuntos del presupuesto general</w:t>
      </w:r>
      <w:r w:rsidRPr="00D22117">
        <w:rPr>
          <w:rFonts w:ascii="Arial" w:eastAsia="Arial" w:hAnsi="Arial" w:cs="Arial"/>
          <w:sz w:val="22"/>
          <w:szCs w:val="22"/>
          <w:vertAlign w:val="superscript"/>
        </w:rPr>
        <w:footnoteReference w:id="43"/>
      </w:r>
      <w:r w:rsidRPr="00D22117">
        <w:rPr>
          <w:rFonts w:ascii="Arial" w:eastAsia="Arial" w:hAnsi="Arial" w:cs="Arial"/>
          <w:sz w:val="22"/>
          <w:szCs w:val="22"/>
        </w:rPr>
        <w:t xml:space="preserve">. En estas normas se </w:t>
      </w:r>
      <w:r w:rsidRPr="00D22117">
        <w:rPr>
          <w:rFonts w:ascii="Arial" w:eastAsia="Arial" w:hAnsi="Arial" w:cs="Arial"/>
          <w:sz w:val="22"/>
          <w:szCs w:val="22"/>
        </w:rPr>
        <w:lastRenderedPageBreak/>
        <w:t>regula lo concerniente a la Ley Anual de presupuesto o Presupuesto de Rentas y Ley de Apropiaciones a expedir por el Congreso de la República, la cual debe contener la estimación de las rentas nacionales y la autorización de los gastos del Estado para la respectiva vigencia fiscal anual, comprendida entre el 1° de enero y el 31 de diciembre y guardar correspondencia con el Plan Nacional de Desarrollo.</w:t>
      </w:r>
    </w:p>
    <w:p w14:paraId="734E4003" w14:textId="77777777" w:rsidR="00D73348" w:rsidRPr="00D22117" w:rsidRDefault="00DA2883">
      <w:pPr>
        <w:spacing w:after="120"/>
        <w:ind w:firstLine="709"/>
      </w:pPr>
      <w:r w:rsidRPr="00D22117">
        <w:rPr>
          <w:rFonts w:ascii="Arial" w:eastAsia="Arial" w:hAnsi="Arial" w:cs="Arial"/>
          <w:sz w:val="22"/>
          <w:szCs w:val="22"/>
        </w:rPr>
        <w:t>La Ley Anual de presupuesto o Presupuesto de Rentas y Ley de Apropiaciones, no solo responde a un análisis contable de rubros y gastos, sino que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sidRPr="00D22117">
        <w:rPr>
          <w:rFonts w:ascii="Arial" w:eastAsia="Arial" w:hAnsi="Arial" w:cs="Arial"/>
          <w:vertAlign w:val="superscript"/>
        </w:rPr>
        <w:footnoteReference w:id="44"/>
      </w:r>
      <w:r w:rsidRPr="00D22117">
        <w:rPr>
          <w:rFonts w:ascii="Arial" w:eastAsia="Arial" w:hAnsi="Arial" w:cs="Arial"/>
          <w:sz w:val="22"/>
          <w:szCs w:val="22"/>
        </w:rPr>
        <w:t>.</w:t>
      </w:r>
    </w:p>
    <w:p w14:paraId="1BFAAA74" w14:textId="77777777" w:rsidR="00D73348" w:rsidRPr="00D22117" w:rsidRDefault="00DA2883">
      <w:pPr>
        <w:spacing w:after="120"/>
        <w:ind w:firstLine="709"/>
      </w:pPr>
      <w:r w:rsidRPr="00D22117">
        <w:rPr>
          <w:rFonts w:ascii="Arial" w:eastAsia="Arial" w:hAnsi="Arial" w:cs="Arial"/>
          <w:sz w:val="22"/>
          <w:szCs w:val="22"/>
        </w:rPr>
        <w:t>En este sentido, es diferente analizar la ley desde la posición que concibe el presupuesto como un mero requisito para la ejecución de las partidas que contempla, a examinarla bajo la concepción de que, con base en las razones expuestas, al presupuesto le corresponde un contenido material propio y una indiscutible fuerza normativa ligada al logro de importantes objetivos económicos y sociales</w:t>
      </w:r>
      <w:r w:rsidRPr="00D22117">
        <w:rPr>
          <w:rFonts w:ascii="Arial" w:eastAsia="Arial" w:hAnsi="Arial" w:cs="Arial"/>
          <w:sz w:val="22"/>
          <w:szCs w:val="22"/>
          <w:vertAlign w:val="superscript"/>
        </w:rPr>
        <w:footnoteReference w:id="45"/>
      </w:r>
      <w:r w:rsidRPr="00D22117">
        <w:rPr>
          <w:rFonts w:ascii="Arial" w:eastAsia="Arial" w:hAnsi="Arial" w:cs="Arial"/>
          <w:sz w:val="22"/>
          <w:szCs w:val="22"/>
        </w:rPr>
        <w:t xml:space="preserve">, que exige atender su trámite en términos de participación democrática directa y representativa. Vista de esta manera, la ley de presupuesto además de su carácter de herramienta macroeconómica, tiene una </w:t>
      </w:r>
      <w:r w:rsidRPr="00D22117">
        <w:rPr>
          <w:rFonts w:ascii="Arial" w:eastAsia="Arial" w:hAnsi="Arial" w:cs="Arial"/>
          <w:sz w:val="22"/>
          <w:szCs w:val="22"/>
        </w:rPr>
        <w:lastRenderedPageBreak/>
        <w:t>vocación democrática para el manejo de los recursos, la orientación de su gasto y la ejecución de las políticas públicas</w:t>
      </w:r>
      <w:r w:rsidRPr="00D22117">
        <w:rPr>
          <w:rFonts w:ascii="Arial" w:eastAsia="Arial" w:hAnsi="Arial" w:cs="Arial"/>
          <w:sz w:val="22"/>
          <w:szCs w:val="22"/>
          <w:vertAlign w:val="superscript"/>
        </w:rPr>
        <w:footnoteReference w:id="46"/>
      </w:r>
      <w:r w:rsidRPr="00D22117">
        <w:rPr>
          <w:rFonts w:ascii="Arial" w:eastAsia="Arial" w:hAnsi="Arial" w:cs="Arial"/>
          <w:sz w:val="22"/>
          <w:szCs w:val="22"/>
        </w:rPr>
        <w:t>.</w:t>
      </w:r>
    </w:p>
    <w:p w14:paraId="7A69E540" w14:textId="77777777" w:rsidR="00D73348" w:rsidRPr="00D22117" w:rsidRDefault="00DA2883">
      <w:pPr>
        <w:spacing w:after="120"/>
        <w:ind w:firstLine="709"/>
      </w:pPr>
      <w:r w:rsidRPr="00D22117">
        <w:rPr>
          <w:rFonts w:ascii="Arial" w:eastAsia="Arial" w:hAnsi="Arial" w:cs="Arial"/>
          <w:sz w:val="22"/>
          <w:szCs w:val="22"/>
        </w:rPr>
        <w:t xml:space="preserve">Desde la perspectiva más amplia, el Presupuesto General de la Nación está conformado por dos grandes rubros: i) el de los ingresos o rentas y ii) el de los gastos o apropiaciones, denominados, respectivamente, como presupuesto de rentas y presupuesto de gastos o ley de apropiaciones. </w:t>
      </w:r>
    </w:p>
    <w:p w14:paraId="4B8CC288" w14:textId="77777777" w:rsidR="00D73348" w:rsidRPr="00D22117" w:rsidRDefault="00DA2883">
      <w:pPr>
        <w:spacing w:after="120"/>
        <w:ind w:firstLine="709"/>
      </w:pPr>
      <w:r w:rsidRPr="00D22117">
        <w:rPr>
          <w:rFonts w:ascii="Arial" w:eastAsia="Arial" w:hAnsi="Arial" w:cs="Arial"/>
          <w:sz w:val="22"/>
          <w:szCs w:val="22"/>
        </w:rPr>
        <w:t>En lo que refiere al presupuesto de rentas, de conformidad con el artículo 11 del Decreto 111 de 1996</w:t>
      </w:r>
      <w:r w:rsidRPr="00D22117">
        <w:rPr>
          <w:rFonts w:ascii="Arial" w:eastAsia="Arial" w:hAnsi="Arial" w:cs="Arial"/>
          <w:sz w:val="22"/>
          <w:szCs w:val="22"/>
          <w:vertAlign w:val="superscript"/>
        </w:rPr>
        <w:footnoteReference w:id="47"/>
      </w:r>
      <w:r w:rsidRPr="00D22117">
        <w:rPr>
          <w:rFonts w:ascii="Arial" w:eastAsia="Arial" w:hAnsi="Arial" w:cs="Arial"/>
          <w:sz w:val="22"/>
          <w:szCs w:val="22"/>
        </w:rPr>
        <w:t xml:space="preserve"> –estatuto orgánico del presupuesto–, aquel está instituido por:</w:t>
      </w:r>
    </w:p>
    <w:p w14:paraId="720FC607" w14:textId="77777777" w:rsidR="00D73348" w:rsidRPr="00D22117" w:rsidRDefault="00DA2883">
      <w:pPr>
        <w:spacing w:after="120"/>
        <w:ind w:firstLine="709"/>
      </w:pPr>
      <w:r w:rsidRPr="00D22117">
        <w:rPr>
          <w:rFonts w:ascii="Arial" w:eastAsia="Arial" w:hAnsi="Arial" w:cs="Arial"/>
          <w:sz w:val="22"/>
          <w:szCs w:val="22"/>
        </w:rPr>
        <w:t xml:space="preserve">i) Los ingresos corrientes que, a su turno, se clasifican en tributarios, directos o indirectos, y no tributarios, estos últimos, subclasificados en tasas y multas (art.27); </w:t>
      </w:r>
    </w:p>
    <w:p w14:paraId="622CE696" w14:textId="77777777" w:rsidR="00D73348" w:rsidRPr="00D22117" w:rsidRDefault="00DA2883">
      <w:pPr>
        <w:spacing w:after="120"/>
        <w:ind w:firstLine="709"/>
      </w:pPr>
      <w:r w:rsidRPr="00D22117">
        <w:rPr>
          <w:rFonts w:ascii="Arial" w:eastAsia="Arial" w:hAnsi="Arial" w:cs="Arial"/>
          <w:sz w:val="22"/>
          <w:szCs w:val="22"/>
        </w:rPr>
        <w:t>ii) Las contribuciones parafiscales cuando sean administradas por un órgano que haga parte del presupuesto;</w:t>
      </w:r>
    </w:p>
    <w:p w14:paraId="6F9705FF" w14:textId="77777777" w:rsidR="00D73348" w:rsidRPr="00D22117" w:rsidRDefault="00DA2883">
      <w:pPr>
        <w:spacing w:after="120"/>
        <w:ind w:firstLine="709"/>
      </w:pPr>
      <w:r w:rsidRPr="00D22117">
        <w:rPr>
          <w:rFonts w:ascii="Arial" w:eastAsia="Arial" w:hAnsi="Arial" w:cs="Arial"/>
          <w:sz w:val="22"/>
          <w:szCs w:val="22"/>
        </w:rPr>
        <w:t>iii) Los fondos especiales;</w:t>
      </w:r>
    </w:p>
    <w:p w14:paraId="0FCDEAFF" w14:textId="77777777" w:rsidR="00D73348" w:rsidRPr="00D22117" w:rsidRDefault="00DA2883">
      <w:pPr>
        <w:spacing w:after="120"/>
        <w:ind w:firstLine="709"/>
      </w:pPr>
      <w:r w:rsidRPr="00D22117">
        <w:rPr>
          <w:rFonts w:ascii="Arial" w:eastAsia="Arial" w:hAnsi="Arial" w:cs="Arial"/>
          <w:sz w:val="22"/>
          <w:szCs w:val="22"/>
        </w:rPr>
        <w:t>iv) Los recursos de capital, tales como  los recursos del «balance del tesoro nacional, los recursos del crédito externo e interno con vencimiento mayor a un año de acuerdo con los cupos autorizados por el Congreso de la República, los rendimientos financieros, el diferencial cambiario, las donaciones (art. 33), el excedente financiero de los establecimientos públicos del orden nacional y de las empresas industriales y comerciales del Estado del mismo orden, las utilidades del Banco de la República, entre otros (art. 31), y;</w:t>
      </w:r>
    </w:p>
    <w:p w14:paraId="69BCE6B7" w14:textId="77777777" w:rsidR="00D73348" w:rsidRPr="00D22117" w:rsidRDefault="00DA2883">
      <w:pPr>
        <w:spacing w:after="120"/>
        <w:ind w:firstLine="709"/>
      </w:pPr>
      <w:r w:rsidRPr="00D22117">
        <w:rPr>
          <w:rFonts w:ascii="Arial" w:eastAsia="Arial" w:hAnsi="Arial" w:cs="Arial"/>
          <w:sz w:val="22"/>
          <w:szCs w:val="22"/>
        </w:rPr>
        <w:t xml:space="preserve">v) Los ingresos de los establecimientos públicos de origen nacional. </w:t>
      </w:r>
    </w:p>
    <w:p w14:paraId="0EEBEF86" w14:textId="77777777" w:rsidR="00D73348" w:rsidRPr="00D22117" w:rsidRDefault="00DA2883">
      <w:pPr>
        <w:spacing w:after="120"/>
        <w:ind w:firstLine="709"/>
      </w:pPr>
      <w:r w:rsidRPr="00D22117">
        <w:rPr>
          <w:rFonts w:ascii="Arial" w:eastAsia="Arial" w:hAnsi="Arial" w:cs="Arial"/>
          <w:sz w:val="22"/>
          <w:szCs w:val="22"/>
        </w:rPr>
        <w:t xml:space="preserve">En lo que respecta al presupuesto de gastos o ley de apropiaciones, el mismo Decreto 111 de 1996, en el artículo 23, determina que aquel está configurado por tres grandes rubros: </w:t>
      </w:r>
    </w:p>
    <w:p w14:paraId="0C509085" w14:textId="77777777" w:rsidR="00D73348" w:rsidRPr="00D22117" w:rsidRDefault="00DA2883">
      <w:pPr>
        <w:spacing w:after="120"/>
        <w:ind w:firstLine="709"/>
      </w:pPr>
      <w:r w:rsidRPr="00D22117">
        <w:rPr>
          <w:rFonts w:ascii="Arial" w:eastAsia="Arial" w:hAnsi="Arial" w:cs="Arial"/>
          <w:sz w:val="22"/>
          <w:szCs w:val="22"/>
        </w:rPr>
        <w:t>i) Los gastos de funcionamiento que, a su vez, estarán subdivididos en servicios personales, gastos generales y transferencias y gastos de operación;</w:t>
      </w:r>
    </w:p>
    <w:p w14:paraId="09C4F192" w14:textId="77777777" w:rsidR="00D73348" w:rsidRPr="00D22117" w:rsidRDefault="00DA2883">
      <w:pPr>
        <w:spacing w:after="120"/>
        <w:ind w:firstLine="709"/>
      </w:pPr>
      <w:r w:rsidRPr="00D22117">
        <w:rPr>
          <w:rFonts w:ascii="Arial" w:eastAsia="Arial" w:hAnsi="Arial" w:cs="Arial"/>
          <w:sz w:val="22"/>
          <w:szCs w:val="22"/>
        </w:rPr>
        <w:lastRenderedPageBreak/>
        <w:t xml:space="preserve"> ii) El servicio a la deuda, conformado por la deuda interna y externa y; </w:t>
      </w:r>
    </w:p>
    <w:p w14:paraId="63742ACE" w14:textId="77777777" w:rsidR="00D73348" w:rsidRPr="00D22117" w:rsidRDefault="00DA2883">
      <w:pPr>
        <w:spacing w:after="120"/>
        <w:ind w:firstLine="709"/>
      </w:pPr>
      <w:r w:rsidRPr="00D22117">
        <w:rPr>
          <w:rFonts w:ascii="Arial" w:eastAsia="Arial" w:hAnsi="Arial" w:cs="Arial"/>
          <w:sz w:val="22"/>
          <w:szCs w:val="22"/>
        </w:rPr>
        <w:t>iii) Los gastos de inversión, dentro de los cuales se incluirá, según el artículo 36 del Estatuto Orgánico, los proyectos establecidos en el «Plan Operativo Anual de Inversión». Este «Plan Operativo Anual de Inversión» al que hace referencia el artículo 36 mencionado, es, junto al presupuesto anual de la Nación, y al Plan Financiero, uno de los componentes del «Sistema Presupuestal» (art. 6)</w:t>
      </w:r>
      <w:r w:rsidRPr="00D22117">
        <w:rPr>
          <w:rFonts w:ascii="Arial" w:eastAsia="Arial" w:hAnsi="Arial" w:cs="Arial"/>
          <w:sz w:val="22"/>
          <w:szCs w:val="22"/>
          <w:vertAlign w:val="superscript"/>
        </w:rPr>
        <w:footnoteReference w:id="48"/>
      </w:r>
      <w:r w:rsidRPr="00D22117">
        <w:rPr>
          <w:rFonts w:ascii="Arial" w:eastAsia="Arial" w:hAnsi="Arial" w:cs="Arial"/>
          <w:sz w:val="22"/>
          <w:szCs w:val="22"/>
        </w:rPr>
        <w:t>, y dentro de él se señalarán los proyectos de inversión clasificados por sectores, órganos y programas, siempre en concordancia con el Plan Nacional de Inversiones contenido en el Plan Nacional de Desarrollo</w:t>
      </w:r>
      <w:r w:rsidRPr="00D22117">
        <w:rPr>
          <w:rFonts w:ascii="Arial" w:eastAsia="Arial" w:hAnsi="Arial" w:cs="Arial"/>
          <w:sz w:val="22"/>
          <w:szCs w:val="22"/>
          <w:vertAlign w:val="superscript"/>
        </w:rPr>
        <w:footnoteReference w:id="49"/>
      </w:r>
      <w:r w:rsidRPr="00D22117">
        <w:rPr>
          <w:rFonts w:ascii="Arial" w:eastAsia="Arial" w:hAnsi="Arial" w:cs="Arial"/>
          <w:sz w:val="22"/>
          <w:szCs w:val="22"/>
        </w:rPr>
        <w:t xml:space="preserve">. </w:t>
      </w:r>
    </w:p>
    <w:p w14:paraId="7A9B0696" w14:textId="77777777" w:rsidR="00D73348" w:rsidRPr="00D22117" w:rsidRDefault="00DA2883">
      <w:pPr>
        <w:spacing w:after="120"/>
        <w:ind w:firstLine="709"/>
      </w:pPr>
      <w:r w:rsidRPr="00D22117">
        <w:rPr>
          <w:rFonts w:ascii="Arial" w:eastAsia="Arial" w:hAnsi="Arial" w:cs="Arial"/>
          <w:color w:val="4B4949"/>
          <w:sz w:val="18"/>
          <w:szCs w:val="18"/>
        </w:rPr>
        <w:t xml:space="preserve"> </w:t>
      </w:r>
      <w:r w:rsidRPr="00D22117">
        <w:rPr>
          <w:rFonts w:ascii="Arial" w:eastAsia="Arial" w:hAnsi="Arial" w:cs="Arial"/>
          <w:color w:val="000000"/>
          <w:sz w:val="22"/>
          <w:szCs w:val="22"/>
        </w:rPr>
        <w:t>De acuerdo con el</w:t>
      </w:r>
      <w:r w:rsidRPr="00D22117">
        <w:rPr>
          <w:rFonts w:ascii="Arial" w:eastAsia="Arial" w:hAnsi="Arial" w:cs="Arial"/>
          <w:color w:val="4B4949"/>
          <w:sz w:val="22"/>
          <w:szCs w:val="22"/>
        </w:rPr>
        <w:t xml:space="preserve"> </w:t>
      </w:r>
      <w:r w:rsidRPr="00D22117">
        <w:rPr>
          <w:rFonts w:ascii="Arial" w:eastAsia="Arial" w:hAnsi="Arial" w:cs="Arial"/>
          <w:sz w:val="22"/>
          <w:szCs w:val="22"/>
        </w:rPr>
        <w:t>artículo 38 del Estatuto Orgánico del Presupuesto, la ley de gastos o apropiaciones «solo» estará conformada por las apropiaciones que correspondan a los siguientes aspectos:</w:t>
      </w:r>
    </w:p>
    <w:p w14:paraId="28589BF5" w14:textId="77777777" w:rsidR="00D73348" w:rsidRPr="00D22117" w:rsidRDefault="00DA2883">
      <w:pPr>
        <w:spacing w:after="120"/>
        <w:ind w:firstLine="709"/>
      </w:pPr>
      <w:r w:rsidRPr="00D22117">
        <w:rPr>
          <w:rFonts w:ascii="Arial" w:eastAsia="Arial" w:hAnsi="Arial" w:cs="Arial"/>
          <w:sz w:val="22"/>
          <w:szCs w:val="22"/>
        </w:rPr>
        <w:t>1. Los créditos judicialmente reconocidos;</w:t>
      </w:r>
    </w:p>
    <w:p w14:paraId="6A63DC65" w14:textId="77777777" w:rsidR="00D73348" w:rsidRPr="00D22117" w:rsidRDefault="00DA2883">
      <w:pPr>
        <w:spacing w:after="120"/>
        <w:ind w:firstLine="709"/>
      </w:pPr>
      <w:r w:rsidRPr="00D22117">
        <w:rPr>
          <w:rFonts w:ascii="Arial" w:eastAsia="Arial" w:hAnsi="Arial" w:cs="Arial"/>
          <w:sz w:val="22"/>
          <w:szCs w:val="22"/>
        </w:rPr>
        <w:t>2. Los gastos decretados conforme a la ley;</w:t>
      </w:r>
    </w:p>
    <w:p w14:paraId="140AF918" w14:textId="77777777" w:rsidR="00D73348" w:rsidRPr="00D22117" w:rsidRDefault="00DA2883">
      <w:pPr>
        <w:spacing w:after="120"/>
        <w:ind w:firstLine="709"/>
      </w:pPr>
      <w:r w:rsidRPr="00D22117">
        <w:rPr>
          <w:rFonts w:ascii="Arial" w:eastAsia="Arial" w:hAnsi="Arial" w:cs="Arial"/>
          <w:i/>
          <w:sz w:val="22"/>
          <w:szCs w:val="22"/>
        </w:rPr>
        <w:t>3. Las destinadas a dar cumplimiento a los planes y programas de desarrollo económico y social y a las obras públicas tratados en los artículos 339 y 341 de la Constitución Política, siempre que hayan sido aprobadas por el Congreso Nacional,</w:t>
      </w:r>
      <w:r w:rsidRPr="00D22117">
        <w:rPr>
          <w:rFonts w:ascii="Arial" w:eastAsia="Arial" w:hAnsi="Arial" w:cs="Arial"/>
          <w:sz w:val="22"/>
          <w:szCs w:val="22"/>
        </w:rPr>
        <w:t xml:space="preserve"> y;</w:t>
      </w:r>
    </w:p>
    <w:p w14:paraId="0402BE80" w14:textId="77777777" w:rsidR="00D73348" w:rsidRPr="00D22117" w:rsidRDefault="00DA2883">
      <w:pPr>
        <w:spacing w:after="120"/>
        <w:ind w:firstLine="709"/>
      </w:pPr>
      <w:r w:rsidRPr="00D22117">
        <w:rPr>
          <w:rFonts w:ascii="Arial" w:eastAsia="Arial" w:hAnsi="Arial" w:cs="Arial"/>
          <w:sz w:val="22"/>
          <w:szCs w:val="22"/>
        </w:rPr>
        <w:t xml:space="preserve">4. </w:t>
      </w:r>
      <w:r w:rsidRPr="00D22117">
        <w:rPr>
          <w:rFonts w:ascii="Arial" w:eastAsia="Arial" w:hAnsi="Arial" w:cs="Arial"/>
          <w:color w:val="333333"/>
          <w:sz w:val="22"/>
          <w:szCs w:val="22"/>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7852F17D" w14:textId="77777777" w:rsidR="00D73348" w:rsidRPr="00D22117" w:rsidRDefault="00DA2883">
      <w:pPr>
        <w:spacing w:after="120"/>
        <w:ind w:firstLine="709"/>
      </w:pPr>
      <w:r w:rsidRPr="00D22117">
        <w:rPr>
          <w:rFonts w:ascii="Arial" w:eastAsia="Arial" w:hAnsi="Arial" w:cs="Arial"/>
          <w:sz w:val="22"/>
          <w:szCs w:val="22"/>
        </w:rPr>
        <w:lastRenderedPageBreak/>
        <w:t xml:space="preserve">Como se nota, uno de los aspectos que deberán figurar dentro de la ley de apropiaciones o gastos, serán las partidas destinadas a dar cumplimiento a los planes y programas de desarrollo económico y social y a las obras públicas regulados en los artículos 339 y 341 de la Constitución. En ese sentido, recuérdese que el Plan Nacional de Desarrollo, de acuerdo con el artículo 339 de la Constitución Política, cuenta con dos grandes apartados: </w:t>
      </w:r>
      <w:r w:rsidRPr="00D22117">
        <w:rPr>
          <w:rFonts w:ascii="Arial" w:eastAsia="Arial" w:hAnsi="Arial" w:cs="Arial"/>
          <w:i/>
          <w:sz w:val="22"/>
          <w:szCs w:val="22"/>
        </w:rPr>
        <w:t>i)</w:t>
      </w:r>
      <w:r w:rsidRPr="00D22117">
        <w:rPr>
          <w:rFonts w:ascii="Arial" w:eastAsia="Arial" w:hAnsi="Arial" w:cs="Arial"/>
          <w:sz w:val="22"/>
          <w:szCs w:val="22"/>
        </w:rPr>
        <w:t xml:space="preserve"> una parte general o estratégica y </w:t>
      </w:r>
      <w:r w:rsidRPr="00D22117">
        <w:rPr>
          <w:rFonts w:ascii="Arial" w:eastAsia="Arial" w:hAnsi="Arial" w:cs="Arial"/>
          <w:i/>
          <w:sz w:val="22"/>
          <w:szCs w:val="22"/>
        </w:rPr>
        <w:t>ii)</w:t>
      </w:r>
      <w:r w:rsidRPr="00D22117">
        <w:rPr>
          <w:rFonts w:ascii="Arial" w:eastAsia="Arial" w:hAnsi="Arial" w:cs="Arial"/>
          <w:sz w:val="22"/>
          <w:szCs w:val="22"/>
        </w:rPr>
        <w:t xml:space="preserve"> un Plan Nacional de Inversiones de las entidades públicas del orden nacional. </w:t>
      </w:r>
    </w:p>
    <w:p w14:paraId="21074312" w14:textId="77777777" w:rsidR="00D73348" w:rsidRPr="00D22117" w:rsidRDefault="00DA2883">
      <w:pPr>
        <w:spacing w:after="120"/>
        <w:ind w:firstLine="709"/>
      </w:pPr>
      <w:r w:rsidRPr="00D22117">
        <w:rPr>
          <w:rFonts w:ascii="Arial" w:eastAsia="Arial" w:hAnsi="Arial" w:cs="Arial"/>
          <w:sz w:val="22"/>
          <w:szCs w:val="22"/>
        </w:rPr>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Plan de Inversiones Públicas, contendrá «los presupuestos plurianuales de </w:t>
      </w:r>
      <w:r w:rsidRPr="00D22117">
        <w:rPr>
          <w:rFonts w:ascii="Arial" w:eastAsia="Arial" w:hAnsi="Arial" w:cs="Arial"/>
          <w:i/>
          <w:sz w:val="22"/>
          <w:szCs w:val="22"/>
        </w:rPr>
        <w:t>los principales programas y proyectos de inversión pública nacional</w:t>
      </w:r>
      <w:r w:rsidRPr="00D22117">
        <w:rPr>
          <w:rFonts w:ascii="Arial" w:eastAsia="Arial" w:hAnsi="Arial" w:cs="Arial"/>
          <w:sz w:val="22"/>
          <w:szCs w:val="22"/>
        </w:rPr>
        <w:t xml:space="preserve"> y la especificación de los recursos financieros requeridos para su ejecución» (énfasis añadido)</w:t>
      </w:r>
      <w:r w:rsidRPr="00D22117">
        <w:rPr>
          <w:rFonts w:ascii="Arial" w:eastAsia="Arial" w:hAnsi="Arial" w:cs="Arial"/>
          <w:color w:val="4B4949"/>
          <w:sz w:val="18"/>
          <w:szCs w:val="18"/>
        </w:rPr>
        <w:t>.</w:t>
      </w:r>
    </w:p>
    <w:p w14:paraId="2EA4CA5A" w14:textId="77777777" w:rsidR="00D73348" w:rsidRPr="00D22117" w:rsidRDefault="00DA2883">
      <w:pPr>
        <w:spacing w:after="0"/>
        <w:rPr>
          <w:rFonts w:ascii="Arial" w:eastAsia="Arial" w:hAnsi="Arial" w:cs="Arial"/>
          <w:sz w:val="22"/>
          <w:szCs w:val="22"/>
        </w:rPr>
      </w:pPr>
      <w:r w:rsidRPr="00D22117">
        <w:rPr>
          <w:rFonts w:ascii="Arial" w:eastAsia="Arial" w:hAnsi="Arial" w:cs="Arial"/>
          <w:sz w:val="22"/>
          <w:szCs w:val="22"/>
        </w:rPr>
        <w:tab/>
        <w:t>Por otra parte, como producto 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 en los términos y condiciones que, de manera general, establezcan las respectivas asambleas departamentales y concejos municipales o distritales, según el caso</w:t>
      </w:r>
      <w:r w:rsidRPr="00D22117">
        <w:rPr>
          <w:rFonts w:ascii="Arial" w:eastAsia="Arial" w:hAnsi="Arial" w:cs="Arial"/>
          <w:sz w:val="22"/>
          <w:szCs w:val="22"/>
          <w:vertAlign w:val="superscript"/>
        </w:rPr>
        <w:footnoteReference w:id="50"/>
      </w:r>
      <w:r w:rsidRPr="00D22117">
        <w:rPr>
          <w:rFonts w:ascii="Arial" w:eastAsia="Arial" w:hAnsi="Arial" w:cs="Arial"/>
          <w:sz w:val="22"/>
          <w:szCs w:val="22"/>
        </w:rPr>
        <w:t xml:space="preserve">. </w:t>
      </w:r>
    </w:p>
    <w:p w14:paraId="02F3BD1C" w14:textId="77777777" w:rsidR="00D73348" w:rsidRPr="00D22117" w:rsidRDefault="00D73348">
      <w:pPr>
        <w:spacing w:after="0"/>
        <w:rPr>
          <w:rFonts w:ascii="Arial" w:eastAsia="Arial" w:hAnsi="Arial" w:cs="Arial"/>
          <w:sz w:val="22"/>
          <w:szCs w:val="22"/>
        </w:rPr>
      </w:pPr>
    </w:p>
    <w:p w14:paraId="5BAA898D" w14:textId="77777777" w:rsidR="00D73348" w:rsidRPr="00D22117" w:rsidRDefault="00DA2883">
      <w:pPr>
        <w:spacing w:after="0"/>
        <w:rPr>
          <w:rFonts w:ascii="Arial" w:eastAsia="Arial" w:hAnsi="Arial" w:cs="Arial"/>
          <w:b/>
          <w:sz w:val="22"/>
          <w:szCs w:val="22"/>
        </w:rPr>
      </w:pPr>
      <w:r w:rsidRPr="00D22117">
        <w:rPr>
          <w:rFonts w:ascii="Arial" w:eastAsia="Arial" w:hAnsi="Arial" w:cs="Arial"/>
          <w:b/>
          <w:sz w:val="22"/>
          <w:szCs w:val="22"/>
        </w:rPr>
        <w:t>2.3.1.</w:t>
      </w:r>
      <w:r w:rsidRPr="00D22117">
        <w:rPr>
          <w:rFonts w:ascii="Arial" w:eastAsia="Arial" w:hAnsi="Arial" w:cs="Arial"/>
          <w:sz w:val="22"/>
          <w:szCs w:val="22"/>
        </w:rPr>
        <w:t xml:space="preserve"> </w:t>
      </w:r>
      <w:r w:rsidRPr="00D22117">
        <w:rPr>
          <w:rFonts w:ascii="Arial" w:eastAsia="Arial" w:hAnsi="Arial" w:cs="Arial"/>
          <w:b/>
          <w:sz w:val="22"/>
          <w:szCs w:val="22"/>
        </w:rPr>
        <w:t>Alcances y elementos de la reforma a la Ley de Garantías Electorales</w:t>
      </w:r>
    </w:p>
    <w:p w14:paraId="386BD0C6" w14:textId="77777777" w:rsidR="00D73348" w:rsidRPr="00D22117" w:rsidRDefault="00D73348">
      <w:pPr>
        <w:shd w:val="clear" w:color="auto" w:fill="FFFFFF"/>
        <w:spacing w:after="0"/>
        <w:rPr>
          <w:rFonts w:ascii="Arial" w:eastAsia="Arial" w:hAnsi="Arial" w:cs="Arial"/>
          <w:sz w:val="22"/>
          <w:szCs w:val="22"/>
        </w:rPr>
      </w:pPr>
    </w:p>
    <w:p w14:paraId="1B3511A6" w14:textId="77777777" w:rsidR="00D73348" w:rsidRPr="00D22117" w:rsidRDefault="00DA2883">
      <w:pPr>
        <w:shd w:val="clear" w:color="auto" w:fill="FFFFFF"/>
        <w:spacing w:after="120"/>
      </w:pPr>
      <w:r w:rsidRPr="00D22117">
        <w:rPr>
          <w:rFonts w:ascii="Arial" w:eastAsia="Arial" w:hAnsi="Arial" w:cs="Arial"/>
          <w:sz w:val="22"/>
          <w:szCs w:val="22"/>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5DF2DF5A" w14:textId="77777777" w:rsidR="00D73348" w:rsidRPr="00D22117" w:rsidRDefault="00DA2883">
      <w:pPr>
        <w:shd w:val="clear" w:color="auto" w:fill="FFFFFF"/>
        <w:spacing w:after="0"/>
        <w:ind w:firstLine="708"/>
        <w:rPr>
          <w:rFonts w:ascii="Arial" w:eastAsia="Arial" w:hAnsi="Arial" w:cs="Arial"/>
        </w:rPr>
      </w:pPr>
      <w:r w:rsidRPr="00D22117">
        <w:rPr>
          <w:rFonts w:ascii="Arial" w:eastAsia="Arial" w:hAnsi="Arial" w:cs="Arial"/>
          <w:sz w:val="22"/>
          <w:szCs w:val="22"/>
        </w:rPr>
        <w:t xml:space="preserve">Se fijan, entonces, ciertas condiciones temporales, subjetivas y materiales o teleológicas para la celebración de los convenios interadministrativos: i) que sean </w:t>
      </w:r>
      <w:r w:rsidRPr="00D22117">
        <w:rPr>
          <w:rFonts w:ascii="Arial" w:eastAsia="Arial" w:hAnsi="Arial" w:cs="Arial"/>
          <w:sz w:val="22"/>
          <w:szCs w:val="22"/>
        </w:rPr>
        <w:lastRenderedPageBreak/>
        <w:t xml:space="preserve">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A continuación, la Agencia se referirá a cada uno de los aspectos o elementos insertos en la mencionada disposición. </w:t>
      </w:r>
    </w:p>
    <w:p w14:paraId="496F5590" w14:textId="77777777" w:rsidR="00D73348" w:rsidRPr="00D22117" w:rsidRDefault="00D73348">
      <w:pPr>
        <w:shd w:val="clear" w:color="auto" w:fill="FFFFFF"/>
        <w:spacing w:after="0"/>
        <w:rPr>
          <w:rFonts w:ascii="Arial" w:eastAsia="Arial" w:hAnsi="Arial" w:cs="Arial"/>
          <w:sz w:val="22"/>
          <w:szCs w:val="22"/>
        </w:rPr>
      </w:pPr>
    </w:p>
    <w:p w14:paraId="4F32554C" w14:textId="77777777" w:rsidR="00D73348" w:rsidRPr="00D22117" w:rsidRDefault="00DA2883">
      <w:pPr>
        <w:shd w:val="clear" w:color="auto" w:fill="FFFFFF"/>
        <w:spacing w:after="0"/>
        <w:rPr>
          <w:rFonts w:ascii="Arial" w:eastAsia="Arial" w:hAnsi="Arial" w:cs="Arial"/>
          <w:b/>
          <w:sz w:val="22"/>
          <w:szCs w:val="22"/>
        </w:rPr>
      </w:pPr>
      <w:r w:rsidRPr="00D22117">
        <w:rPr>
          <w:rFonts w:ascii="Arial" w:eastAsia="Arial" w:hAnsi="Arial" w:cs="Arial"/>
          <w:b/>
          <w:sz w:val="22"/>
          <w:szCs w:val="22"/>
        </w:rPr>
        <w:t>2.3.1.1. Aspecto temporal</w:t>
      </w:r>
    </w:p>
    <w:p w14:paraId="58FF123C" w14:textId="77777777" w:rsidR="00D73348" w:rsidRPr="00D22117" w:rsidRDefault="00D73348">
      <w:pPr>
        <w:shd w:val="clear" w:color="auto" w:fill="FFFFFF"/>
        <w:spacing w:after="0"/>
        <w:rPr>
          <w:rFonts w:ascii="Arial" w:eastAsia="Arial" w:hAnsi="Arial" w:cs="Arial"/>
          <w:sz w:val="22"/>
          <w:szCs w:val="22"/>
        </w:rPr>
      </w:pPr>
    </w:p>
    <w:p w14:paraId="4C6B6887" w14:textId="77777777" w:rsidR="00D73348" w:rsidRPr="00D22117" w:rsidRDefault="00DA2883">
      <w:pPr>
        <w:shd w:val="clear" w:color="auto" w:fill="FFFFFF"/>
        <w:spacing w:after="120"/>
      </w:pPr>
      <w:r w:rsidRPr="00D22117">
        <w:rPr>
          <w:rFonts w:ascii="Arial" w:eastAsia="Arial" w:hAnsi="Arial" w:cs="Arial"/>
          <w:sz w:val="22"/>
          <w:szCs w:val="22"/>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4F95EFFD" w14:textId="77777777" w:rsidR="00D73348" w:rsidRPr="00D22117" w:rsidRDefault="00DA2883">
      <w:pPr>
        <w:shd w:val="clear" w:color="auto" w:fill="FFFFFF"/>
        <w:spacing w:after="0"/>
        <w:ind w:firstLine="709"/>
        <w:rPr>
          <w:rFonts w:ascii="Arial" w:eastAsia="Arial" w:hAnsi="Arial" w:cs="Arial"/>
          <w:sz w:val="22"/>
          <w:szCs w:val="22"/>
        </w:rPr>
      </w:pPr>
      <w:r w:rsidRPr="00D22117">
        <w:rPr>
          <w:rFonts w:ascii="Arial" w:eastAsia="Arial" w:hAnsi="Arial" w:cs="Arial"/>
          <w:sz w:val="22"/>
          <w:szCs w:val="22"/>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w:t>
      </w:r>
      <w:r w:rsidRPr="00D22117">
        <w:rPr>
          <w:rFonts w:ascii="Arial" w:eastAsia="Arial" w:hAnsi="Arial" w:cs="Arial"/>
        </w:rPr>
        <w:t xml:space="preserve"> </w:t>
      </w:r>
      <w:r w:rsidRPr="00D22117">
        <w:rPr>
          <w:rFonts w:ascii="Arial" w:eastAsia="Arial" w:hAnsi="Arial" w:cs="Arial"/>
          <w:sz w:val="22"/>
          <w:szCs w:val="22"/>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6249ACC" w14:textId="77777777" w:rsidR="00D73348" w:rsidRPr="00D22117" w:rsidRDefault="00D73348">
      <w:pPr>
        <w:shd w:val="clear" w:color="auto" w:fill="FFFFFF"/>
        <w:spacing w:after="0"/>
        <w:rPr>
          <w:rFonts w:ascii="Arial" w:eastAsia="Arial" w:hAnsi="Arial" w:cs="Arial"/>
          <w:sz w:val="22"/>
          <w:szCs w:val="22"/>
        </w:rPr>
      </w:pPr>
    </w:p>
    <w:p w14:paraId="05534E71" w14:textId="77777777" w:rsidR="00D73348" w:rsidRPr="00D22117" w:rsidRDefault="00DA2883">
      <w:pPr>
        <w:shd w:val="clear" w:color="auto" w:fill="FFFFFF"/>
        <w:spacing w:after="0"/>
        <w:rPr>
          <w:rFonts w:ascii="Arial" w:eastAsia="Arial" w:hAnsi="Arial" w:cs="Arial"/>
          <w:b/>
          <w:sz w:val="22"/>
          <w:szCs w:val="22"/>
        </w:rPr>
      </w:pPr>
      <w:r w:rsidRPr="00D22117">
        <w:rPr>
          <w:rFonts w:ascii="Arial" w:eastAsia="Arial" w:hAnsi="Arial" w:cs="Arial"/>
          <w:b/>
          <w:sz w:val="22"/>
          <w:szCs w:val="22"/>
        </w:rPr>
        <w:t>2.3.1.2. Aspecto subjetivo</w:t>
      </w:r>
    </w:p>
    <w:p w14:paraId="67F4FFB8" w14:textId="77777777" w:rsidR="00D73348" w:rsidRPr="00D22117" w:rsidRDefault="00D73348">
      <w:pPr>
        <w:shd w:val="clear" w:color="auto" w:fill="FFFFFF"/>
        <w:spacing w:after="0"/>
        <w:rPr>
          <w:rFonts w:ascii="Arial" w:eastAsia="Arial" w:hAnsi="Arial" w:cs="Arial"/>
          <w:sz w:val="22"/>
          <w:szCs w:val="22"/>
        </w:rPr>
      </w:pPr>
    </w:p>
    <w:p w14:paraId="3D03184D" w14:textId="77777777" w:rsidR="00D73348" w:rsidRPr="00D22117" w:rsidRDefault="00DA2883">
      <w:pPr>
        <w:shd w:val="clear" w:color="auto" w:fill="FFFFFF"/>
        <w:spacing w:after="120"/>
      </w:pPr>
      <w:r w:rsidRPr="00D22117">
        <w:rPr>
          <w:rFonts w:ascii="Arial" w:eastAsia="Arial" w:hAnsi="Arial" w:cs="Arial"/>
          <w:sz w:val="22"/>
          <w:szCs w:val="22"/>
        </w:rPr>
        <w:t xml:space="preserve">Ahora bien, según se señaló atrás, el parágrafo del artículo 38 de la Ley 996 de 2005, en su texto original, establece una prohibición dirigida 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es factible que los contratos o convenios interadministrativos sean celebrados entre entidades territoriales, exclusivamente, o entre ellas y entes nacionales. </w:t>
      </w:r>
    </w:p>
    <w:p w14:paraId="3AC80F60" w14:textId="77777777" w:rsidR="00D73348" w:rsidRPr="00D22117" w:rsidRDefault="00DA2883">
      <w:pPr>
        <w:shd w:val="clear" w:color="auto" w:fill="FFFFFF"/>
        <w:spacing w:after="120"/>
        <w:ind w:firstLine="708"/>
      </w:pPr>
      <w:bookmarkStart w:id="24" w:name="_2xcytpi" w:colFirst="0" w:colLast="0"/>
      <w:bookmarkEnd w:id="24"/>
      <w:r w:rsidRPr="00D22117">
        <w:rPr>
          <w:rFonts w:ascii="Arial" w:eastAsia="Arial" w:hAnsi="Arial" w:cs="Arial"/>
          <w:sz w:val="22"/>
          <w:szCs w:val="22"/>
        </w:rPr>
        <w:lastRenderedPageBreak/>
        <w:t>Como se observa, el artículo 124 de la Ley 2159 de 2021 hace referencia a que la «Nación» podrá celebrar convenios interadministrativos con «las entidades territoriales», razón por la cual en su aplicación resulta relevante el concepto que se tenga de los dos sujetos de derecho autorizados para celebrarlos.</w:t>
      </w:r>
    </w:p>
    <w:p w14:paraId="2802A1B4" w14:textId="77777777" w:rsidR="00D73348" w:rsidRPr="00D22117" w:rsidRDefault="00DA2883">
      <w:pPr>
        <w:shd w:val="clear" w:color="auto" w:fill="FFFFFF"/>
        <w:spacing w:after="120"/>
        <w:ind w:firstLine="708"/>
      </w:pPr>
      <w:r w:rsidRPr="00D22117">
        <w:rPr>
          <w:rFonts w:ascii="Arial" w:eastAsia="Arial" w:hAnsi="Arial" w:cs="Arial"/>
          <w:sz w:val="22"/>
          <w:szCs w:val="22"/>
        </w:rPr>
        <w:t>En cuanto a las entidades territoriales, el artículo 286 de la Constitución Política establece claramente que son «los departamentos, los distritos, los municipios y los territorios indígenas» y la «ley podrá darles el carácter de entidades territoriales a las regiones y provincias que se constituyan en los términos de la Constitución y de la ley».</w:t>
      </w:r>
    </w:p>
    <w:p w14:paraId="08024957" w14:textId="77777777" w:rsidR="00D73348" w:rsidRPr="00D22117" w:rsidRDefault="00DA2883">
      <w:pPr>
        <w:shd w:val="clear" w:color="auto" w:fill="FFFFFF"/>
        <w:spacing w:after="120"/>
        <w:ind w:firstLine="708"/>
      </w:pPr>
      <w:r w:rsidRPr="00D22117">
        <w:rPr>
          <w:rFonts w:ascii="Arial" w:eastAsia="Arial" w:hAnsi="Arial" w:cs="Arial"/>
          <w:sz w:val="22"/>
          <w:szCs w:val="22"/>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D22117">
        <w:rPr>
          <w:rFonts w:ascii="Arial" w:eastAsia="Arial" w:hAnsi="Arial" w:cs="Arial"/>
          <w:sz w:val="22"/>
          <w:szCs w:val="22"/>
          <w:vertAlign w:val="superscript"/>
        </w:rPr>
        <w:footnoteReference w:id="51"/>
      </w:r>
      <w:r w:rsidRPr="00D22117">
        <w:rPr>
          <w:rFonts w:ascii="Arial" w:eastAsia="Arial" w:hAnsi="Arial" w:cs="Arial"/>
          <w:sz w:val="22"/>
          <w:szCs w:val="22"/>
        </w:rPr>
        <w:t xml:space="preserve">. </w:t>
      </w:r>
    </w:p>
    <w:p w14:paraId="5AC44501" w14:textId="77777777" w:rsidR="00D73348" w:rsidRPr="00D22117" w:rsidRDefault="00DA2883">
      <w:pPr>
        <w:shd w:val="clear" w:color="auto" w:fill="FFFFFF"/>
        <w:spacing w:after="0"/>
        <w:ind w:firstLine="708"/>
        <w:rPr>
          <w:rFonts w:ascii="Arial" w:eastAsia="Arial" w:hAnsi="Arial" w:cs="Arial"/>
          <w:sz w:val="22"/>
          <w:szCs w:val="22"/>
        </w:rPr>
      </w:pPr>
      <w:r w:rsidRPr="00D22117">
        <w:rPr>
          <w:rFonts w:ascii="Arial" w:eastAsia="Arial" w:hAnsi="Arial" w:cs="Arial"/>
          <w:sz w:val="22"/>
          <w:szCs w:val="22"/>
        </w:rPr>
        <w:t>Bajo esta óptica, es menester recordar que, conforme al artículo 1 de la Constitución Política, Colombia es un Estado social derecho, organizado en forma de República unitaria pero descentralizada y con autonomía de sus entidades territoriales</w:t>
      </w:r>
      <w:r w:rsidRPr="00D22117">
        <w:rPr>
          <w:rFonts w:ascii="Arial" w:eastAsia="Arial" w:hAnsi="Arial" w:cs="Arial"/>
          <w:sz w:val="22"/>
          <w:szCs w:val="22"/>
          <w:vertAlign w:val="superscript"/>
        </w:rPr>
        <w:footnoteReference w:id="52"/>
      </w:r>
      <w:r w:rsidRPr="00D22117">
        <w:rPr>
          <w:rFonts w:ascii="Arial" w:eastAsia="Arial" w:hAnsi="Arial" w:cs="Arial"/>
          <w:sz w:val="22"/>
          <w:szCs w:val="22"/>
        </w:rPr>
        <w:t>; y que, precisamente, en nuestro ordenamiento jurídico se utiliza la expresión «Nación», en vez de la expresión «Estado», para hacer alusión a las autoridades centrales y diferenciarlas de las autoridades descentralizadas territorialmente y por servicios.</w:t>
      </w:r>
      <w:r w:rsidRPr="00D22117">
        <w:rPr>
          <w:rFonts w:ascii="Arial" w:eastAsia="Arial" w:hAnsi="Arial" w:cs="Arial"/>
          <w:sz w:val="22"/>
          <w:szCs w:val="22"/>
          <w:vertAlign w:val="superscript"/>
        </w:rPr>
        <w:footnoteReference w:id="53"/>
      </w:r>
      <w:r w:rsidRPr="00D22117">
        <w:rPr>
          <w:rFonts w:ascii="Arial" w:eastAsia="Arial" w:hAnsi="Arial" w:cs="Arial"/>
          <w:sz w:val="22"/>
          <w:szCs w:val="22"/>
        </w:rPr>
        <w:t xml:space="preserve"> Así lo ha manifestado la Corte Constitucional:</w:t>
      </w:r>
    </w:p>
    <w:p w14:paraId="36980C42" w14:textId="77777777" w:rsidR="00D73348" w:rsidRPr="00D22117" w:rsidRDefault="00D73348">
      <w:pPr>
        <w:shd w:val="clear" w:color="auto" w:fill="FFFFFF"/>
        <w:spacing w:after="0"/>
        <w:ind w:firstLine="708"/>
        <w:rPr>
          <w:rFonts w:ascii="Arial" w:eastAsia="Arial" w:hAnsi="Arial" w:cs="Arial"/>
          <w:sz w:val="22"/>
          <w:szCs w:val="22"/>
        </w:rPr>
      </w:pPr>
    </w:p>
    <w:p w14:paraId="021B121A" w14:textId="77777777" w:rsidR="00D73348" w:rsidRPr="00D22117" w:rsidRDefault="00DA2883">
      <w:pPr>
        <w:shd w:val="clear" w:color="auto" w:fill="FFFFFF"/>
        <w:spacing w:after="0" w:line="240" w:lineRule="auto"/>
        <w:ind w:left="709" w:right="567"/>
      </w:pPr>
      <w:r w:rsidRPr="00D22117">
        <w:rPr>
          <w:rFonts w:ascii="Arial" w:eastAsia="Arial" w:hAnsi="Arial" w:cs="Arial"/>
          <w:sz w:val="21"/>
          <w:szCs w:val="21"/>
        </w:rPr>
        <w:t xml:space="preserve">[E]n general nuestra normatividad </w:t>
      </w:r>
      <w:r w:rsidRPr="00D22117">
        <w:rPr>
          <w:rFonts w:ascii="Arial" w:eastAsia="Arial" w:hAnsi="Arial" w:cs="Arial"/>
          <w:i/>
          <w:sz w:val="21"/>
          <w:szCs w:val="21"/>
        </w:rPr>
        <w:t>ha reservado la palabra “Nación”</w:t>
      </w:r>
      <w:r w:rsidRPr="00D22117">
        <w:rPr>
          <w:rFonts w:ascii="Arial" w:eastAsia="Arial" w:hAnsi="Arial" w:cs="Arial"/>
          <w:sz w:val="21"/>
          <w:szCs w:val="21"/>
        </w:rPr>
        <w:t xml:space="preserve">, en vez de la palabra “Estado”, </w:t>
      </w:r>
      <w:r w:rsidRPr="00D22117">
        <w:rPr>
          <w:rFonts w:ascii="Arial" w:eastAsia="Arial" w:hAnsi="Arial" w:cs="Arial"/>
          <w:i/>
          <w:sz w:val="21"/>
          <w:szCs w:val="21"/>
        </w:rPr>
        <w:t>para hacer referencia a las autoridades centrales y distinguirlas de las autoridades descentralizadas</w:t>
      </w:r>
      <w:r w:rsidRPr="00D22117">
        <w:rPr>
          <w:rFonts w:ascii="Arial" w:eastAsia="Arial" w:hAnsi="Arial" w:cs="Arial"/>
          <w:sz w:val="21"/>
          <w:szCs w:val="21"/>
        </w:rPr>
        <w:t xml:space="preserve">. Así, el artículo 182 de la Constitución derogada ordenaba a la ley determinar “los servicios a cargo de la Nación y de las </w:t>
      </w:r>
      <w:r w:rsidRPr="00D22117">
        <w:rPr>
          <w:rFonts w:ascii="Arial" w:eastAsia="Arial" w:hAnsi="Arial" w:cs="Arial"/>
          <w:sz w:val="21"/>
          <w:szCs w:val="21"/>
        </w:rPr>
        <w:lastRenderedPageBreak/>
        <w:t xml:space="preserve">entidades descentralizadas”. Ese lenguaje se ha mantenido en la Constitución de 1991, pues </w:t>
      </w:r>
      <w:r w:rsidRPr="00D22117">
        <w:rPr>
          <w:rFonts w:ascii="Arial" w:eastAsia="Arial" w:hAnsi="Arial" w:cs="Arial"/>
          <w:i/>
          <w:sz w:val="21"/>
          <w:szCs w:val="21"/>
        </w:rPr>
        <w:t>la Carta utiliza la palabra Nación cuando se refiere a las competencias propias de las autoridades centrales, mientras que la palabra Estado denota en general el conjunto de todas las autoridades públicas</w:t>
      </w:r>
      <w:r w:rsidRPr="00D22117">
        <w:rPr>
          <w:rFonts w:ascii="Arial" w:eastAsia="Arial" w:hAnsi="Arial" w:cs="Arial"/>
          <w:sz w:val="21"/>
          <w:szCs w:val="21"/>
        </w:rPr>
        <w:t>. (Cursiva fuera del texto).</w:t>
      </w:r>
    </w:p>
    <w:p w14:paraId="639225EB" w14:textId="77777777" w:rsidR="00D73348" w:rsidRPr="00D22117" w:rsidRDefault="00D73348">
      <w:pPr>
        <w:shd w:val="clear" w:color="auto" w:fill="FFFFFF"/>
        <w:spacing w:after="0"/>
        <w:ind w:firstLine="708"/>
        <w:rPr>
          <w:rFonts w:ascii="Arial" w:eastAsia="Arial" w:hAnsi="Arial" w:cs="Arial"/>
          <w:sz w:val="22"/>
          <w:szCs w:val="22"/>
        </w:rPr>
      </w:pPr>
    </w:p>
    <w:p w14:paraId="78C5843B" w14:textId="77777777" w:rsidR="00D73348" w:rsidRPr="00D22117" w:rsidRDefault="00DA2883">
      <w:pPr>
        <w:shd w:val="clear" w:color="auto" w:fill="FFFFFF"/>
        <w:spacing w:after="120"/>
        <w:ind w:firstLine="708"/>
      </w:pPr>
      <w:r w:rsidRPr="00D22117">
        <w:rPr>
          <w:rFonts w:ascii="Arial" w:eastAsia="Arial" w:hAnsi="Arial" w:cs="Arial"/>
          <w:sz w:val="22"/>
          <w:szCs w:val="22"/>
        </w:rPr>
        <w:t>De otro lado, el Estado en su conjunto, esto es, la Nación y otros órganos que realizan las diversas funciones y servicios, actúa en el mundo del Derecho dotado de personalidad jurídica como</w:t>
      </w:r>
      <w:r w:rsidRPr="00D22117">
        <w:rPr>
          <w:rFonts w:ascii="Arial" w:eastAsia="Arial" w:hAnsi="Arial" w:cs="Arial"/>
        </w:rPr>
        <w:t xml:space="preserve"> </w:t>
      </w:r>
      <w:r w:rsidRPr="00D22117">
        <w:rPr>
          <w:rFonts w:ascii="Arial" w:eastAsia="Arial" w:hAnsi="Arial" w:cs="Arial"/>
          <w:sz w:val="22"/>
          <w:szCs w:val="22"/>
        </w:rPr>
        <w:t xml:space="preserve">sujeto de derechos y obligaciones. En efecto, el artículo 80 de la Ley 153 de 1887 establece que </w:t>
      </w:r>
      <w:r w:rsidRPr="00D22117">
        <w:rPr>
          <w:rFonts w:ascii="Arial" w:eastAsia="Arial" w:hAnsi="Arial" w:cs="Arial"/>
          <w:sz w:val="21"/>
          <w:szCs w:val="21"/>
        </w:rPr>
        <w:t>«</w:t>
      </w:r>
      <w:r w:rsidRPr="00D22117">
        <w:rPr>
          <w:rFonts w:ascii="Arial" w:eastAsia="Arial" w:hAnsi="Arial" w:cs="Arial"/>
          <w:sz w:val="22"/>
          <w:szCs w:val="22"/>
        </w:rPr>
        <w:t>[l]a Nación, los Departamentos, los Municipios, los establecimientos de beneficencia y los de instrucción pública, y las corporaciones creadas o reconocidas por la ley, son personas jurídicas</w:t>
      </w:r>
      <w:r w:rsidRPr="00D22117">
        <w:rPr>
          <w:rFonts w:ascii="Arial" w:eastAsia="Arial" w:hAnsi="Arial" w:cs="Arial"/>
          <w:sz w:val="21"/>
          <w:szCs w:val="21"/>
        </w:rPr>
        <w:t>»</w:t>
      </w:r>
      <w:r w:rsidRPr="00D22117">
        <w:rPr>
          <w:rFonts w:ascii="Arial" w:eastAsia="Arial" w:hAnsi="Arial" w:cs="Arial"/>
          <w:sz w:val="22"/>
          <w:szCs w:val="22"/>
        </w:rPr>
        <w:t xml:space="preserve">. </w:t>
      </w:r>
    </w:p>
    <w:p w14:paraId="4C6ED6CD" w14:textId="77777777" w:rsidR="00D73348" w:rsidRPr="00D22117" w:rsidRDefault="00DA2883">
      <w:pPr>
        <w:shd w:val="clear" w:color="auto" w:fill="FFFFFF"/>
        <w:spacing w:after="120"/>
        <w:ind w:firstLine="708"/>
      </w:pPr>
      <w:r w:rsidRPr="00D22117">
        <w:rPr>
          <w:rFonts w:ascii="Arial" w:eastAsia="Arial" w:hAnsi="Arial" w:cs="Arial"/>
          <w:sz w:val="22"/>
          <w:szCs w:val="22"/>
        </w:rPr>
        <w:t>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D22117">
        <w:rPr>
          <w:rFonts w:ascii="Arial" w:eastAsia="Arial" w:hAnsi="Arial" w:cs="Arial"/>
          <w:sz w:val="21"/>
          <w:szCs w:val="21"/>
        </w:rPr>
        <w:t>».</w:t>
      </w:r>
      <w:r w:rsidRPr="00D22117">
        <w:rPr>
          <w:rFonts w:ascii="Arial" w:eastAsia="Arial" w:hAnsi="Arial" w:cs="Arial"/>
          <w:sz w:val="21"/>
          <w:szCs w:val="21"/>
          <w:vertAlign w:val="superscript"/>
        </w:rPr>
        <w:footnoteReference w:id="54"/>
      </w:r>
      <w:r w:rsidRPr="00D22117">
        <w:rPr>
          <w:rFonts w:ascii="Arial" w:eastAsia="Arial" w:hAnsi="Arial" w:cs="Arial"/>
          <w:sz w:val="22"/>
          <w:szCs w:val="22"/>
        </w:rPr>
        <w:t xml:space="preserve">  </w:t>
      </w:r>
    </w:p>
    <w:p w14:paraId="53334A9E" w14:textId="77777777" w:rsidR="00D73348" w:rsidRPr="00D22117" w:rsidRDefault="00DA2883">
      <w:pPr>
        <w:shd w:val="clear" w:color="auto" w:fill="FFFFFF"/>
        <w:spacing w:after="0"/>
        <w:ind w:firstLine="709"/>
        <w:rPr>
          <w:rFonts w:ascii="Arial" w:eastAsia="Arial" w:hAnsi="Arial" w:cs="Arial"/>
          <w:sz w:val="22"/>
          <w:szCs w:val="22"/>
        </w:rPr>
      </w:pPr>
      <w:r w:rsidRPr="00D22117">
        <w:rPr>
          <w:rFonts w:ascii="Arial" w:eastAsia="Arial" w:hAnsi="Arial" w:cs="Arial"/>
          <w:sz w:val="22"/>
          <w:szCs w:val="22"/>
        </w:rPr>
        <w:t xml:space="preserve">En particular, la Rama Ejecutiva del Poder público se manifiesta en dos órdenes o niveles, por un lado, el nivel nacional, o «administración nacional» que a su turno puede contar con entidades descentralizadas por servicios, y por el otro, el nivel descentralizado por virtud del territorio, o «administración territorial». En efecto, el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71C2688F" w14:textId="77777777" w:rsidR="00D73348" w:rsidRPr="00D22117" w:rsidRDefault="00D73348">
      <w:pPr>
        <w:shd w:val="clear" w:color="auto" w:fill="FFFFFF"/>
        <w:spacing w:after="0"/>
        <w:ind w:firstLine="709"/>
      </w:pPr>
    </w:p>
    <w:p w14:paraId="4A323BFF" w14:textId="77777777" w:rsidR="00D73348" w:rsidRPr="00D22117" w:rsidRDefault="00DA2883">
      <w:pPr>
        <w:shd w:val="clear" w:color="auto" w:fill="FFFFFF"/>
        <w:spacing w:after="120"/>
        <w:ind w:left="709" w:right="709"/>
      </w:pPr>
      <w:r w:rsidRPr="00D22117">
        <w:rPr>
          <w:rFonts w:ascii="Arial" w:eastAsia="Arial" w:hAnsi="Arial" w:cs="Arial"/>
          <w:sz w:val="21"/>
          <w:szCs w:val="21"/>
        </w:rPr>
        <w:t>La Rama Ejecutiva del Poder Público del orden nacional, está integrada por los siguientes organismos y entidades:</w:t>
      </w:r>
    </w:p>
    <w:p w14:paraId="04347DD5" w14:textId="77777777" w:rsidR="00D73348" w:rsidRPr="00D22117" w:rsidRDefault="00DA2883">
      <w:pPr>
        <w:shd w:val="clear" w:color="auto" w:fill="FFFFFF"/>
        <w:spacing w:after="120"/>
        <w:ind w:left="709" w:right="709"/>
      </w:pPr>
      <w:r w:rsidRPr="00D22117">
        <w:rPr>
          <w:rFonts w:ascii="Arial" w:eastAsia="Arial" w:hAnsi="Arial" w:cs="Arial"/>
          <w:sz w:val="21"/>
          <w:szCs w:val="21"/>
        </w:rPr>
        <w:t>1. Del Sector Central:</w:t>
      </w:r>
    </w:p>
    <w:p w14:paraId="6CCBFFD6" w14:textId="77777777" w:rsidR="00D73348" w:rsidRPr="00D22117" w:rsidRDefault="00DA2883">
      <w:pPr>
        <w:shd w:val="clear" w:color="auto" w:fill="FFFFFF"/>
        <w:spacing w:after="120"/>
        <w:ind w:left="709" w:right="709"/>
      </w:pPr>
      <w:r w:rsidRPr="00D22117">
        <w:rPr>
          <w:rFonts w:ascii="Arial" w:eastAsia="Arial" w:hAnsi="Arial" w:cs="Arial"/>
          <w:sz w:val="21"/>
          <w:szCs w:val="21"/>
        </w:rPr>
        <w:t>a) La Presidencia de la República;</w:t>
      </w:r>
    </w:p>
    <w:p w14:paraId="69229C11" w14:textId="77777777" w:rsidR="00D73348" w:rsidRPr="00D22117" w:rsidRDefault="00DA2883">
      <w:pPr>
        <w:shd w:val="clear" w:color="auto" w:fill="FFFFFF"/>
        <w:spacing w:after="120"/>
        <w:ind w:left="709" w:right="709"/>
      </w:pPr>
      <w:r w:rsidRPr="00D22117">
        <w:rPr>
          <w:rFonts w:ascii="Arial" w:eastAsia="Arial" w:hAnsi="Arial" w:cs="Arial"/>
          <w:sz w:val="21"/>
          <w:szCs w:val="21"/>
        </w:rPr>
        <w:t>b) La Vicepresidencia de la República;</w:t>
      </w:r>
    </w:p>
    <w:p w14:paraId="6FCA2498" w14:textId="77777777" w:rsidR="00D73348" w:rsidRPr="00D22117" w:rsidRDefault="00DA2883">
      <w:pPr>
        <w:shd w:val="clear" w:color="auto" w:fill="FFFFFF"/>
        <w:spacing w:after="120"/>
        <w:ind w:left="709" w:right="709"/>
      </w:pPr>
      <w:r w:rsidRPr="00D22117">
        <w:rPr>
          <w:rFonts w:ascii="Arial" w:eastAsia="Arial" w:hAnsi="Arial" w:cs="Arial"/>
          <w:sz w:val="21"/>
          <w:szCs w:val="21"/>
        </w:rPr>
        <w:t>c) Los Consejos Superiores de la administración;</w:t>
      </w:r>
    </w:p>
    <w:p w14:paraId="38EAD50E" w14:textId="77777777" w:rsidR="00D73348" w:rsidRPr="00D22117" w:rsidRDefault="00DA2883">
      <w:pPr>
        <w:shd w:val="clear" w:color="auto" w:fill="FFFFFF"/>
        <w:spacing w:after="120"/>
        <w:ind w:left="709" w:right="709"/>
      </w:pPr>
      <w:r w:rsidRPr="00D22117">
        <w:rPr>
          <w:rFonts w:ascii="Arial" w:eastAsia="Arial" w:hAnsi="Arial" w:cs="Arial"/>
          <w:sz w:val="21"/>
          <w:szCs w:val="21"/>
        </w:rPr>
        <w:t>d) Los ministerios y departamentos administrativos;</w:t>
      </w:r>
    </w:p>
    <w:p w14:paraId="23FC3B0D" w14:textId="77777777" w:rsidR="00D73348" w:rsidRPr="00D22117" w:rsidRDefault="00DA2883">
      <w:pPr>
        <w:shd w:val="clear" w:color="auto" w:fill="FFFFFF"/>
        <w:spacing w:after="120"/>
        <w:ind w:left="709" w:right="709"/>
      </w:pPr>
      <w:r w:rsidRPr="00D22117">
        <w:rPr>
          <w:rFonts w:ascii="Arial" w:eastAsia="Arial" w:hAnsi="Arial" w:cs="Arial"/>
          <w:sz w:val="21"/>
          <w:szCs w:val="21"/>
        </w:rPr>
        <w:lastRenderedPageBreak/>
        <w:t>e) Las superintendencias y unidades administrativas especiales sin personería jurídica;</w:t>
      </w:r>
    </w:p>
    <w:p w14:paraId="1E7227B5" w14:textId="77777777" w:rsidR="00D73348" w:rsidRPr="00D22117" w:rsidRDefault="00DA2883">
      <w:pPr>
        <w:shd w:val="clear" w:color="auto" w:fill="FFFFFF"/>
        <w:spacing w:after="120"/>
        <w:ind w:left="709" w:right="709"/>
      </w:pPr>
      <w:r w:rsidRPr="00D22117">
        <w:rPr>
          <w:rFonts w:ascii="Arial" w:eastAsia="Arial" w:hAnsi="Arial" w:cs="Arial"/>
          <w:sz w:val="21"/>
          <w:szCs w:val="21"/>
        </w:rPr>
        <w:t>2. Del Sector Descentralizado por Servicios:</w:t>
      </w:r>
    </w:p>
    <w:p w14:paraId="1C6A1742" w14:textId="77777777" w:rsidR="00D73348" w:rsidRPr="00D22117" w:rsidRDefault="00DA2883">
      <w:pPr>
        <w:shd w:val="clear" w:color="auto" w:fill="FFFFFF"/>
        <w:spacing w:after="120"/>
        <w:ind w:left="709" w:right="709"/>
      </w:pPr>
      <w:r w:rsidRPr="00D22117">
        <w:rPr>
          <w:rFonts w:ascii="Arial" w:eastAsia="Arial" w:hAnsi="Arial" w:cs="Arial"/>
          <w:sz w:val="21"/>
          <w:szCs w:val="21"/>
        </w:rPr>
        <w:t>a) Los establecimientos públicos;</w:t>
      </w:r>
    </w:p>
    <w:p w14:paraId="2D0B03E9" w14:textId="77777777" w:rsidR="00D73348" w:rsidRPr="00D22117" w:rsidRDefault="00DA2883">
      <w:pPr>
        <w:shd w:val="clear" w:color="auto" w:fill="FFFFFF"/>
        <w:spacing w:after="120"/>
        <w:ind w:left="709" w:right="709"/>
      </w:pPr>
      <w:r w:rsidRPr="00D22117">
        <w:rPr>
          <w:rFonts w:ascii="Arial" w:eastAsia="Arial" w:hAnsi="Arial" w:cs="Arial"/>
          <w:sz w:val="21"/>
          <w:szCs w:val="21"/>
        </w:rPr>
        <w:t>b) Las empresas industriales y comerciales del Estado;</w:t>
      </w:r>
    </w:p>
    <w:p w14:paraId="1AA1DFAF" w14:textId="77777777" w:rsidR="00D73348" w:rsidRPr="00D22117" w:rsidRDefault="00DA2883">
      <w:pPr>
        <w:shd w:val="clear" w:color="auto" w:fill="FFFFFF"/>
        <w:spacing w:after="120"/>
        <w:ind w:left="709" w:right="709"/>
      </w:pPr>
      <w:r w:rsidRPr="00D22117">
        <w:rPr>
          <w:rFonts w:ascii="Arial" w:eastAsia="Arial" w:hAnsi="Arial" w:cs="Arial"/>
          <w:sz w:val="21"/>
          <w:szCs w:val="21"/>
        </w:rPr>
        <w:t>c) Las superintendencias y unidades administrativas especiales con personería jurídica;</w:t>
      </w:r>
    </w:p>
    <w:p w14:paraId="4F0EEE7A" w14:textId="77777777" w:rsidR="00D73348" w:rsidRPr="00D22117" w:rsidRDefault="00DA2883">
      <w:pPr>
        <w:shd w:val="clear" w:color="auto" w:fill="FFFFFF"/>
        <w:spacing w:after="120"/>
        <w:ind w:left="709" w:right="709"/>
      </w:pPr>
      <w:r w:rsidRPr="00D22117">
        <w:rPr>
          <w:rFonts w:ascii="Arial" w:eastAsia="Arial" w:hAnsi="Arial" w:cs="Arial"/>
          <w:sz w:val="21"/>
          <w:szCs w:val="21"/>
        </w:rPr>
        <w:t>d) Las empresas sociales del Estado y las empresas oficiales de servicios públicos domiciliarios;</w:t>
      </w:r>
    </w:p>
    <w:p w14:paraId="0ADF971D" w14:textId="77777777" w:rsidR="00D73348" w:rsidRPr="00D22117" w:rsidRDefault="00DA2883">
      <w:pPr>
        <w:shd w:val="clear" w:color="auto" w:fill="FFFFFF"/>
        <w:spacing w:after="120"/>
        <w:ind w:left="709" w:right="709"/>
      </w:pPr>
      <w:r w:rsidRPr="00D22117">
        <w:rPr>
          <w:rFonts w:ascii="Arial" w:eastAsia="Arial" w:hAnsi="Arial" w:cs="Arial"/>
          <w:sz w:val="21"/>
          <w:szCs w:val="21"/>
        </w:rPr>
        <w:t>e) Los institutos científicos y tecnológicos;</w:t>
      </w:r>
    </w:p>
    <w:p w14:paraId="3EB4F061" w14:textId="77777777" w:rsidR="00D73348" w:rsidRPr="00D22117" w:rsidRDefault="00DA2883">
      <w:pPr>
        <w:shd w:val="clear" w:color="auto" w:fill="FFFFFF"/>
        <w:spacing w:after="120"/>
        <w:ind w:left="709" w:right="709"/>
      </w:pPr>
      <w:r w:rsidRPr="00D22117">
        <w:rPr>
          <w:rFonts w:ascii="Arial" w:eastAsia="Arial" w:hAnsi="Arial" w:cs="Arial"/>
          <w:sz w:val="21"/>
          <w:szCs w:val="21"/>
        </w:rPr>
        <w:t>f) Las sociedades públicas y las sociedades de economía mixta;</w:t>
      </w:r>
    </w:p>
    <w:p w14:paraId="3E767F99" w14:textId="77777777" w:rsidR="00D73348" w:rsidRPr="00D22117" w:rsidRDefault="00DA2883">
      <w:pPr>
        <w:shd w:val="clear" w:color="auto" w:fill="FFFFFF"/>
        <w:spacing w:after="0"/>
        <w:ind w:left="709" w:right="709"/>
        <w:rPr>
          <w:rFonts w:ascii="Arial" w:eastAsia="Arial" w:hAnsi="Arial" w:cs="Arial"/>
          <w:sz w:val="21"/>
          <w:szCs w:val="21"/>
        </w:rPr>
      </w:pPr>
      <w:r w:rsidRPr="00D22117">
        <w:rPr>
          <w:rFonts w:ascii="Arial" w:eastAsia="Arial" w:hAnsi="Arial" w:cs="Arial"/>
          <w:sz w:val="21"/>
          <w:szCs w:val="21"/>
        </w:rPr>
        <w:t xml:space="preserve">g) Las demás entidades administrativas nacionales con personería jurídica que cree, organice o autorice la ley para que formen parte de la Rama Ejecutiva del Poder Público. </w:t>
      </w:r>
    </w:p>
    <w:p w14:paraId="6309D98F" w14:textId="77777777" w:rsidR="00D73348" w:rsidRPr="00D22117" w:rsidRDefault="00D73348">
      <w:pPr>
        <w:shd w:val="clear" w:color="auto" w:fill="FFFFFF"/>
        <w:spacing w:after="0"/>
        <w:ind w:left="709" w:right="709"/>
        <w:rPr>
          <w:rFonts w:ascii="Arial" w:eastAsia="Arial" w:hAnsi="Arial" w:cs="Arial"/>
        </w:rPr>
      </w:pPr>
    </w:p>
    <w:p w14:paraId="0BEC4002" w14:textId="77777777" w:rsidR="00D73348" w:rsidRPr="00D22117" w:rsidRDefault="00DA2883">
      <w:pPr>
        <w:shd w:val="clear" w:color="auto" w:fill="FFFFFF"/>
        <w:spacing w:after="120"/>
        <w:ind w:firstLine="708"/>
      </w:pPr>
      <w:r w:rsidRPr="00D22117">
        <w:rPr>
          <w:rFonts w:ascii="Arial" w:eastAsia="Arial" w:hAnsi="Arial" w:cs="Arial"/>
          <w:sz w:val="22"/>
          <w:szCs w:val="22"/>
        </w:rPr>
        <w:t>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D22117">
        <w:rPr>
          <w:rFonts w:ascii="Arial" w:eastAsia="Arial" w:hAnsi="Arial" w:cs="Arial"/>
          <w:sz w:val="22"/>
          <w:szCs w:val="22"/>
          <w:vertAlign w:val="superscript"/>
        </w:rPr>
        <w:footnoteReference w:id="55"/>
      </w:r>
      <w:r w:rsidRPr="00D22117">
        <w:rPr>
          <w:rFonts w:ascii="Arial" w:eastAsia="Arial" w:hAnsi="Arial" w:cs="Arial"/>
          <w:sz w:val="22"/>
          <w:szCs w:val="22"/>
        </w:rPr>
        <w:t>.</w:t>
      </w:r>
    </w:p>
    <w:p w14:paraId="01604647" w14:textId="77777777" w:rsidR="00D73348" w:rsidRPr="00D22117" w:rsidRDefault="00DA2883">
      <w:pPr>
        <w:shd w:val="clear" w:color="auto" w:fill="FFFFFF"/>
        <w:spacing w:after="120"/>
        <w:ind w:firstLine="708"/>
      </w:pPr>
      <w:r w:rsidRPr="00D22117">
        <w:rPr>
          <w:rFonts w:ascii="Arial" w:eastAsia="Arial" w:hAnsi="Arial" w:cs="Arial"/>
          <w:sz w:val="22"/>
          <w:szCs w:val="22"/>
        </w:rPr>
        <w:lastRenderedPageBreak/>
        <w:t xml:space="preserve">A este respecto debe recordarse que la descentralización, como forma de organización administrativa que implica el traslado de competencias a favor de autoridades o personas distintas a la Nación, y a la que hace referencia, entre otros, el artículo 1 de la Constitución arriba aludido, se manifiesta en tres formas o modalidades, a saber: descentralización por territorio, por servicios y por colaboración. </w:t>
      </w:r>
    </w:p>
    <w:p w14:paraId="6574B216"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48E0DAD9" w14:textId="77777777" w:rsidR="00D73348" w:rsidRPr="00D22117" w:rsidRDefault="00DA2883">
      <w:pPr>
        <w:shd w:val="clear" w:color="auto" w:fill="FFFFFF"/>
        <w:spacing w:after="120"/>
        <w:ind w:firstLine="708"/>
      </w:pPr>
      <w:r w:rsidRPr="00D22117">
        <w:rPr>
          <w:rFonts w:ascii="Arial" w:eastAsia="Arial" w:hAnsi="Arial" w:cs="Arial"/>
          <w:sz w:val="22"/>
          <w:szCs w:val="22"/>
        </w:rPr>
        <w:t>En ese sentido, y de acuerdo a lo ya dicho,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75388880"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Se destaca, por ser pertinente de acuerdo con la consulta que ahora conoce la Agencia, que las empresas industriales y comerciales del Estado, así como las sociedades de economía mixta, hacen parte del sector descentralizado por servicios del orden nacional, tal y como claramente lo señalan los artículos 38 y 68 de la Ley 489 de 1998, arriba mencionados. </w:t>
      </w:r>
    </w:p>
    <w:p w14:paraId="14D99641"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Además, las normas reguladoras de su régimen se refieren expresamente a su personería jurídica como atributo que les es propio. Así, el artículo 85 de la Ley 489 define a las empresas industriales y comerciales del Estado como organismos creados por la ley o autorizados por esta, que desarrollen actividades de naturaleza industrial y de gestión económica conforme a las reglas de Derecho privado […]» y que cuenten con personería jurídica. </w:t>
      </w:r>
    </w:p>
    <w:p w14:paraId="7A6609E9" w14:textId="77777777" w:rsidR="00D73348" w:rsidRPr="00D22117" w:rsidRDefault="00DA2883">
      <w:pPr>
        <w:shd w:val="clear" w:color="auto" w:fill="FFFFFF"/>
        <w:spacing w:after="120"/>
        <w:ind w:firstLine="708"/>
      </w:pPr>
      <w:r w:rsidRPr="00D22117">
        <w:rPr>
          <w:rFonts w:ascii="Arial" w:eastAsia="Arial" w:hAnsi="Arial" w:cs="Arial"/>
          <w:sz w:val="22"/>
          <w:szCs w:val="22"/>
        </w:rPr>
        <w:t>Con respecto a las sociedades de economía mixta, como auténticas entidades descentralizadas, también cuentan con personería jurídica, así como, además, por virtud de la aplicación que sobre su actividad se hace del Derecho Privado</w:t>
      </w:r>
      <w:r w:rsidRPr="00D22117">
        <w:rPr>
          <w:rFonts w:ascii="Arial" w:eastAsia="Arial" w:hAnsi="Arial" w:cs="Arial"/>
          <w:sz w:val="22"/>
          <w:szCs w:val="22"/>
          <w:vertAlign w:val="superscript"/>
        </w:rPr>
        <w:footnoteReference w:id="56"/>
      </w:r>
      <w:r w:rsidRPr="00D22117">
        <w:rPr>
          <w:rFonts w:ascii="Arial" w:eastAsia="Arial" w:hAnsi="Arial" w:cs="Arial"/>
          <w:sz w:val="22"/>
          <w:szCs w:val="22"/>
        </w:rPr>
        <w:t xml:space="preserve">, es pertinente lo </w:t>
      </w:r>
      <w:r w:rsidRPr="00D22117">
        <w:rPr>
          <w:rFonts w:ascii="Arial" w:eastAsia="Arial" w:hAnsi="Arial" w:cs="Arial"/>
          <w:sz w:val="22"/>
          <w:szCs w:val="22"/>
        </w:rPr>
        <w:lastRenderedPageBreak/>
        <w:t xml:space="preserve">dispuesto por el inciso segundo del artículo 98 del Código de Comercio al dictar que «la sociedad, una vez constituida legalmente, forma una persona jurídica distinta de los socios individualmente considerados». </w:t>
      </w:r>
    </w:p>
    <w:p w14:paraId="379728BB"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D0255CA" w14:textId="77777777" w:rsidR="00D73348" w:rsidRPr="00D22117" w:rsidRDefault="00DA2883">
      <w:pPr>
        <w:shd w:val="clear" w:color="auto" w:fill="FFFFFF"/>
        <w:spacing w:after="120"/>
        <w:ind w:firstLine="708"/>
      </w:pPr>
      <w:r w:rsidRPr="00D22117">
        <w:rPr>
          <w:rFonts w:ascii="Arial" w:eastAsia="Arial" w:hAnsi="Arial" w:cs="Arial"/>
          <w:sz w:val="22"/>
          <w:szCs w:val="22"/>
        </w:rPr>
        <w:t>Sin embargo, dichas entidades descentralizadas directamente, por ser personas jurídicas, pueden, a su turno, participar con otras personas en la creación de nuevas entidades, correspondiendo estas, entonces, a las denominadas entidades descentralizadas indirectamente o de segundo grado</w:t>
      </w:r>
      <w:r w:rsidRPr="00D22117">
        <w:rPr>
          <w:rFonts w:ascii="Arial" w:eastAsia="Arial" w:hAnsi="Arial" w:cs="Arial"/>
          <w:sz w:val="22"/>
          <w:szCs w:val="22"/>
          <w:vertAlign w:val="superscript"/>
        </w:rPr>
        <w:footnoteReference w:id="57"/>
      </w:r>
      <w:r w:rsidRPr="00D22117">
        <w:rPr>
          <w:rFonts w:ascii="Arial" w:eastAsia="Arial" w:hAnsi="Arial" w:cs="Arial"/>
          <w:sz w:val="22"/>
          <w:szCs w:val="22"/>
        </w:rPr>
        <w:t>. En otras palabras, los entes descentralizados indirectamente son aquellos creados, no por la ley, sino a partir de «la voluntad asociativa de los entes públicos, en unión entre sí o con particulares»</w:t>
      </w:r>
      <w:r w:rsidRPr="00D22117">
        <w:rPr>
          <w:rFonts w:ascii="Arial" w:eastAsia="Arial" w:hAnsi="Arial" w:cs="Arial"/>
          <w:sz w:val="22"/>
          <w:szCs w:val="22"/>
          <w:vertAlign w:val="superscript"/>
        </w:rPr>
        <w:footnoteReference w:id="58"/>
      </w:r>
      <w:r w:rsidRPr="00D22117">
        <w:rPr>
          <w:rFonts w:ascii="Arial" w:eastAsia="Arial" w:hAnsi="Arial" w:cs="Arial"/>
          <w:sz w:val="22"/>
          <w:szCs w:val="22"/>
        </w:rPr>
        <w:t xml:space="preserve">. </w:t>
      </w:r>
    </w:p>
    <w:p w14:paraId="1DA207A4" w14:textId="77777777" w:rsidR="00D73348" w:rsidRPr="00D22117" w:rsidRDefault="00DA2883">
      <w:pPr>
        <w:shd w:val="clear" w:color="auto" w:fill="FFFFFF"/>
        <w:spacing w:after="120"/>
        <w:ind w:firstLine="708"/>
      </w:pPr>
      <w:r w:rsidRPr="00D22117">
        <w:rPr>
          <w:rFonts w:ascii="Arial" w:eastAsia="Arial" w:hAnsi="Arial" w:cs="Arial"/>
          <w:sz w:val="22"/>
          <w:szCs w:val="22"/>
        </w:rPr>
        <w:t>En ese orden de ideas, la descentralización indirecta puede tornar en distintas modalidades, según cual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D22117">
        <w:rPr>
          <w:rFonts w:ascii="Arial" w:eastAsia="Arial" w:hAnsi="Arial" w:cs="Arial"/>
          <w:sz w:val="22"/>
          <w:szCs w:val="22"/>
          <w:vertAlign w:val="superscript"/>
        </w:rPr>
        <w:footnoteReference w:id="59"/>
      </w:r>
      <w:r w:rsidRPr="00D22117">
        <w:rPr>
          <w:rFonts w:ascii="Arial" w:eastAsia="Arial" w:hAnsi="Arial" w:cs="Arial"/>
          <w:sz w:val="22"/>
          <w:szCs w:val="22"/>
        </w:rPr>
        <w:t xml:space="preserve">. </w:t>
      </w:r>
    </w:p>
    <w:p w14:paraId="6C0BEF93"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De conformidad con lo anterior, la Ley 489 de 1998 regula lo concerniente a tres tipos de entidades descentralizadas indirectamente en sus artículos 94, 95 y 96, referidos, respectivamente, a las asociaciones entre empresas industriales y comerciales del Estado, </w:t>
      </w:r>
      <w:r w:rsidRPr="00D22117">
        <w:rPr>
          <w:rFonts w:ascii="Arial" w:eastAsia="Arial" w:hAnsi="Arial" w:cs="Arial"/>
          <w:sz w:val="22"/>
          <w:szCs w:val="22"/>
        </w:rPr>
        <w:lastRenderedPageBreak/>
        <w:t xml:space="preserve">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20F2C1CE" w14:textId="77777777" w:rsidR="00D73348" w:rsidRPr="00D22117" w:rsidRDefault="00DA2883">
      <w:pPr>
        <w:spacing w:after="120"/>
        <w:ind w:firstLine="708"/>
      </w:pPr>
      <w:r w:rsidRPr="00D22117">
        <w:rPr>
          <w:rFonts w:ascii="Arial" w:eastAsia="Arial" w:hAnsi="Arial" w:cs="Arial"/>
          <w:sz w:val="22"/>
          <w:szCs w:val="22"/>
        </w:rPr>
        <w:t xml:space="preserve">Dicho lo anterior, es importante destacar, tal y como lo ha expresado el Consejo de Estado, que las entidades descentralizadas indirectamente, son una especie del género que corresponde a las entidades descentralizadas, y </w:t>
      </w:r>
      <w:r w:rsidRPr="00D22117">
        <w:rPr>
          <w:rFonts w:ascii="Arial" w:eastAsia="Arial" w:hAnsi="Arial" w:cs="Arial"/>
          <w:color w:val="333333"/>
          <w:sz w:val="22"/>
          <w:szCs w:val="22"/>
        </w:rPr>
        <w:t>«[…]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D22117">
        <w:rPr>
          <w:rFonts w:ascii="Arial" w:eastAsia="Arial" w:hAnsi="Arial" w:cs="Arial"/>
          <w:color w:val="333333"/>
          <w:sz w:val="22"/>
          <w:szCs w:val="22"/>
          <w:vertAlign w:val="superscript"/>
        </w:rPr>
        <w:footnoteReference w:id="60"/>
      </w:r>
      <w:r w:rsidRPr="00D22117">
        <w:rPr>
          <w:rFonts w:ascii="Arial" w:eastAsia="Arial" w:hAnsi="Arial" w:cs="Arial"/>
          <w:color w:val="333333"/>
          <w:sz w:val="22"/>
          <w:szCs w:val="22"/>
        </w:rPr>
        <w:t xml:space="preserve">. </w:t>
      </w:r>
    </w:p>
    <w:p w14:paraId="1C01C8CA"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Ahora bien, la Ley 80 de 1993, Estatuto General de Contratación de Administración Pública –EGCAP–,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EGCAP se separan tales nociones y se admite la posibilidad de que entidades que no cuenten con personería jurídica, puedan, sin embargo, ostentar capacidad jurídica para celebrar contratos. </w:t>
      </w:r>
    </w:p>
    <w:p w14:paraId="0B80B5C4"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63C9E583" w14:textId="77777777" w:rsidR="00D73348" w:rsidRPr="00D22117" w:rsidRDefault="00DA2883">
      <w:pPr>
        <w:shd w:val="clear" w:color="auto" w:fill="FFFFFF"/>
        <w:spacing w:after="120"/>
        <w:ind w:firstLine="708"/>
      </w:pPr>
      <w:bookmarkStart w:id="26" w:name="_1ci93xb" w:colFirst="0" w:colLast="0"/>
      <w:bookmarkEnd w:id="26"/>
      <w:r w:rsidRPr="00D22117">
        <w:rPr>
          <w:rFonts w:ascii="Arial" w:eastAsia="Arial" w:hAnsi="Arial" w:cs="Arial"/>
          <w:sz w:val="22"/>
          <w:szCs w:val="22"/>
        </w:rPr>
        <w:t>En este punto, como lo ha dicho la Corte Constitucional, «[e]s claro que si la Nación, los departamentos, municipios y distritos, son personas jurídicas, y las entidades estatales a que se refiere la ley 80, no lo son, por fuerza los contratos que estas últimas celebren corresponden a la Nación, a los departamentos o a los municipios»</w:t>
      </w:r>
      <w:r w:rsidRPr="00D22117">
        <w:rPr>
          <w:rFonts w:ascii="Arial" w:eastAsia="Arial" w:hAnsi="Arial" w:cs="Arial"/>
          <w:sz w:val="22"/>
          <w:szCs w:val="22"/>
          <w:vertAlign w:val="superscript"/>
        </w:rPr>
        <w:footnoteReference w:id="61"/>
      </w:r>
      <w:r w:rsidRPr="00D22117">
        <w:rPr>
          <w:rFonts w:ascii="Arial" w:eastAsia="Arial" w:hAnsi="Arial" w:cs="Arial"/>
          <w:sz w:val="22"/>
          <w:szCs w:val="22"/>
        </w:rPr>
        <w:t xml:space="preserve">, lo que implica que la «actuación del funcionario competente, a nombre de la correspondiente entidad estatal, </w:t>
      </w:r>
      <w:r w:rsidRPr="00D22117">
        <w:rPr>
          <w:rFonts w:ascii="Arial" w:eastAsia="Arial" w:hAnsi="Arial" w:cs="Arial"/>
          <w:sz w:val="22"/>
          <w:szCs w:val="22"/>
        </w:rPr>
        <w:lastRenderedPageBreak/>
        <w:t>vincula a la Nación, al departamento o al municipio como persona jurídica»</w:t>
      </w:r>
      <w:r w:rsidRPr="00D22117">
        <w:rPr>
          <w:rFonts w:ascii="Arial" w:eastAsia="Arial" w:hAnsi="Arial" w:cs="Arial"/>
          <w:sz w:val="22"/>
          <w:szCs w:val="22"/>
          <w:vertAlign w:val="superscript"/>
        </w:rPr>
        <w:footnoteReference w:id="62"/>
      </w:r>
      <w:r w:rsidRPr="00D22117">
        <w:rPr>
          <w:rFonts w:ascii="Arial" w:eastAsia="Arial" w:hAnsi="Arial" w:cs="Arial"/>
          <w:sz w:val="22"/>
          <w:szCs w:val="22"/>
        </w:rPr>
        <w:t xml:space="preserve">, respectivamente.  </w:t>
      </w:r>
    </w:p>
    <w:p w14:paraId="5376AD1A" w14:textId="77777777" w:rsidR="00D73348" w:rsidRPr="00D22117" w:rsidRDefault="00DA2883">
      <w:pPr>
        <w:shd w:val="clear" w:color="auto" w:fill="FFFFFF"/>
        <w:spacing w:after="120"/>
        <w:ind w:firstLine="708"/>
      </w:pPr>
      <w:r w:rsidRPr="00D22117">
        <w:rPr>
          <w:rFonts w:ascii="Arial" w:eastAsia="Arial" w:hAnsi="Arial" w:cs="Arial"/>
          <w:sz w:val="22"/>
          <w:szCs w:val="22"/>
        </w:rPr>
        <w:t>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0ADBA879" w14:textId="77777777" w:rsidR="00D73348" w:rsidRPr="00D22117" w:rsidRDefault="00DA2883">
      <w:pPr>
        <w:shd w:val="clear" w:color="auto" w:fill="FFFFFF"/>
        <w:spacing w:after="120"/>
        <w:ind w:firstLine="708"/>
      </w:pPr>
      <w:r w:rsidRPr="00D22117">
        <w:rPr>
          <w:rFonts w:ascii="Arial" w:eastAsia="Arial" w:hAnsi="Arial" w:cs="Arial"/>
          <w:sz w:val="22"/>
          <w:szCs w:val="22"/>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D22117">
        <w:rPr>
          <w:rFonts w:ascii="Arial" w:eastAsia="Arial" w:hAnsi="Arial" w:cs="Arial"/>
          <w:sz w:val="22"/>
          <w:szCs w:val="22"/>
          <w:vertAlign w:val="superscript"/>
        </w:rPr>
        <w:footnoteReference w:id="63"/>
      </w:r>
      <w:r w:rsidRPr="00D22117">
        <w:rPr>
          <w:rFonts w:ascii="Arial" w:eastAsia="Arial" w:hAnsi="Arial" w:cs="Arial"/>
          <w:sz w:val="22"/>
          <w:szCs w:val="22"/>
        </w:rPr>
        <w:t>, los cuales también hacen parte de la Nación y cuentan con capacidad jurídica para contratar, según las normas del EGCAP,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27DADE42" w14:textId="77777777" w:rsidR="00D73348" w:rsidRPr="00D22117" w:rsidRDefault="00DA2883">
      <w:pPr>
        <w:shd w:val="clear" w:color="auto" w:fill="FFFFFF"/>
        <w:spacing w:after="120"/>
        <w:ind w:firstLine="708"/>
      </w:pPr>
      <w:r w:rsidRPr="00D22117">
        <w:rPr>
          <w:rFonts w:ascii="Arial" w:eastAsia="Arial" w:hAnsi="Arial" w:cs="Arial"/>
          <w:sz w:val="22"/>
          <w:szCs w:val="22"/>
        </w:rPr>
        <w:t>Con fundamento en todo lo dicho,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28D5B94" w14:textId="77777777" w:rsidR="00D73348" w:rsidRPr="00D22117" w:rsidRDefault="00D73348">
      <w:pPr>
        <w:shd w:val="clear" w:color="auto" w:fill="FFFFFF"/>
        <w:spacing w:after="0"/>
        <w:rPr>
          <w:rFonts w:ascii="Arial" w:eastAsia="Arial" w:hAnsi="Arial" w:cs="Arial"/>
          <w:sz w:val="22"/>
          <w:szCs w:val="22"/>
        </w:rPr>
      </w:pPr>
    </w:p>
    <w:p w14:paraId="53FEE8D3" w14:textId="77777777" w:rsidR="00D73348" w:rsidRPr="00D22117" w:rsidRDefault="00DA2883">
      <w:pPr>
        <w:shd w:val="clear" w:color="auto" w:fill="FFFFFF"/>
        <w:spacing w:after="0"/>
        <w:rPr>
          <w:rFonts w:ascii="Arial" w:eastAsia="Arial" w:hAnsi="Arial" w:cs="Arial"/>
          <w:b/>
          <w:sz w:val="22"/>
          <w:szCs w:val="22"/>
        </w:rPr>
      </w:pPr>
      <w:r w:rsidRPr="00D22117">
        <w:rPr>
          <w:rFonts w:ascii="Arial" w:eastAsia="Arial" w:hAnsi="Arial" w:cs="Arial"/>
          <w:b/>
          <w:sz w:val="22"/>
          <w:szCs w:val="22"/>
        </w:rPr>
        <w:t>2.3.1.3. Aspecto teleológico</w:t>
      </w:r>
    </w:p>
    <w:p w14:paraId="7536B8FF" w14:textId="77777777" w:rsidR="00D73348" w:rsidRPr="00D22117" w:rsidRDefault="00D73348">
      <w:pPr>
        <w:shd w:val="clear" w:color="auto" w:fill="FFFFFF"/>
        <w:spacing w:after="0"/>
        <w:rPr>
          <w:rFonts w:ascii="Arial" w:eastAsia="Arial" w:hAnsi="Arial" w:cs="Arial"/>
          <w:sz w:val="22"/>
          <w:szCs w:val="22"/>
        </w:rPr>
      </w:pPr>
    </w:p>
    <w:p w14:paraId="4F640061" w14:textId="77777777" w:rsidR="00D73348" w:rsidRPr="00D22117" w:rsidRDefault="00DA2883">
      <w:pPr>
        <w:shd w:val="clear" w:color="auto" w:fill="FFFFFF"/>
        <w:spacing w:after="120"/>
      </w:pPr>
      <w:r w:rsidRPr="00D22117">
        <w:rPr>
          <w:rFonts w:ascii="Arial" w:eastAsia="Arial" w:hAnsi="Arial" w:cs="Arial"/>
          <w:sz w:val="22"/>
          <w:szCs w:val="22"/>
        </w:rPr>
        <w:lastRenderedPageBreak/>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4A6F58E3" w14:textId="77777777" w:rsidR="00D73348" w:rsidRPr="00D22117" w:rsidRDefault="00DA2883">
      <w:pPr>
        <w:shd w:val="clear" w:color="auto" w:fill="FFFFFF"/>
        <w:spacing w:after="120"/>
        <w:ind w:firstLine="708"/>
      </w:pPr>
      <w:bookmarkStart w:id="27" w:name="_3whwml4" w:colFirst="0" w:colLast="0"/>
      <w:bookmarkEnd w:id="27"/>
      <w:r w:rsidRPr="00D22117">
        <w:rPr>
          <w:rFonts w:ascii="Arial" w:eastAsia="Arial" w:hAnsi="Arial" w:cs="Arial"/>
          <w:sz w:val="22"/>
          <w:szCs w:val="22"/>
        </w:rPr>
        <w:t xml:space="preserve">Como corolario de todo lo anterior, se concluye que 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2CB1D987" w14:textId="77777777" w:rsidR="00D73348" w:rsidRPr="00D22117" w:rsidRDefault="00DA2883">
      <w:pPr>
        <w:shd w:val="clear" w:color="auto" w:fill="FFFFFF"/>
        <w:spacing w:after="120"/>
        <w:ind w:firstLine="708"/>
      </w:pPr>
      <w:r w:rsidRPr="00D22117">
        <w:rPr>
          <w:rFonts w:ascii="Arial" w:eastAsia="Arial" w:hAnsi="Arial" w:cs="Arial"/>
          <w:sz w:val="22"/>
          <w:szCs w:val="22"/>
        </w:rPr>
        <w:t>Es de anotar, por ser relevante para la consulta que se resuelve, que la modificación de la ley del Presupuesto opera, únicamente, frente al parágrafo del artículo 38, y no en relación con las prohibiciones del artículo 33 que, como se dijo, resultan ser distintas, aunque concurrentes, a las del parágrafo, por lo cual, las restricciones a la contratación directa dentro del período preelectoral presidencial y vicepresidencial se mantienen invariables a partir de la publicación de la Ley del Presupuesto.</w:t>
      </w:r>
    </w:p>
    <w:p w14:paraId="3DF2DA72" w14:textId="77777777" w:rsidR="00D73348" w:rsidRPr="00D22117" w:rsidRDefault="00DA2883">
      <w:pPr>
        <w:shd w:val="clear" w:color="auto" w:fill="FFFFFF"/>
        <w:spacing w:after="120"/>
        <w:ind w:firstLine="708"/>
      </w:pPr>
      <w:r w:rsidRPr="00D22117">
        <w:rPr>
          <w:rFonts w:ascii="Arial" w:eastAsia="Arial" w:hAnsi="Arial" w:cs="Arial"/>
          <w:sz w:val="22"/>
          <w:szCs w:val="22"/>
        </w:rPr>
        <w:t>En efecto, la Agencia advierte que para el año 2022 están programadas las elecciones para elegir miembros del Congreso de la República, así como las jornadas para la elección del Presidente y Vicepresidente de la República. Las primeras para el domingo 13 de marzo de 2022</w:t>
      </w:r>
      <w:r w:rsidRPr="00D22117">
        <w:rPr>
          <w:rFonts w:ascii="Arial" w:eastAsia="Arial" w:hAnsi="Arial" w:cs="Arial"/>
          <w:sz w:val="22"/>
          <w:szCs w:val="22"/>
          <w:vertAlign w:val="superscript"/>
        </w:rPr>
        <w:footnoteReference w:id="64"/>
      </w:r>
      <w:r w:rsidRPr="00D22117">
        <w:rPr>
          <w:rFonts w:ascii="Arial" w:eastAsia="Arial" w:hAnsi="Arial" w:cs="Arial"/>
          <w:sz w:val="22"/>
          <w:szCs w:val="22"/>
        </w:rPr>
        <w:t xml:space="preserve"> y las segundas para el 29 de mayo del mismo año</w:t>
      </w:r>
      <w:r w:rsidRPr="00D22117">
        <w:rPr>
          <w:rFonts w:ascii="Arial" w:eastAsia="Arial" w:hAnsi="Arial" w:cs="Arial"/>
          <w:sz w:val="22"/>
          <w:szCs w:val="22"/>
          <w:vertAlign w:val="superscript"/>
        </w:rPr>
        <w:footnoteReference w:id="65"/>
      </w:r>
      <w:r w:rsidRPr="00D22117">
        <w:rPr>
          <w:rFonts w:ascii="Arial" w:eastAsia="Arial" w:hAnsi="Arial" w:cs="Arial"/>
          <w:sz w:val="22"/>
          <w:szCs w:val="22"/>
        </w:rPr>
        <w:t xml:space="preserve">, respectivamente, de manera que resulta palmario que el periodo preelectoral de restricción de cuatro meses anteriores a la correspondiente elección de que tratan los artículos 33 y 38 de la Ley 996, coincidirán parcialmente. En este sentido, las prohibiciones para la </w:t>
      </w:r>
      <w:r w:rsidRPr="00D22117">
        <w:rPr>
          <w:rFonts w:ascii="Arial" w:eastAsia="Arial" w:hAnsi="Arial" w:cs="Arial"/>
          <w:sz w:val="22"/>
          <w:szCs w:val="22"/>
        </w:rPr>
        <w:lastRenderedPageBreak/>
        <w:t xml:space="preserve">contratación directa y para la celebración de convenios y contratos interadministrativos concurren durante la coincidencia de periodos preelectorales. </w:t>
      </w:r>
    </w:p>
    <w:p w14:paraId="28B32F6B"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Así, durante el periodo preelectoral de elección al Congreso de la República aplicará, únicamente, la prohibición del parágrafo 38; sin embargo, una vez inicie el periodo preelectoral para la elección de Presidente y Vicepresidente, deberán ser aplicadas ambas restricciones, es decir, la del parágrafo del artículo 38 y la del artículo 33 de la Ley de Garantías. En este punto, atendiendo a la modificación parcial del parágrafo del artículo 38 realizada por la Ley del Presupuesto, cabría preguntarse cómo se aplicarían las mentadas prohibiciones. </w:t>
      </w:r>
    </w:p>
    <w:p w14:paraId="7D2ED3D7"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 </w:t>
      </w:r>
    </w:p>
    <w:p w14:paraId="0881D33F" w14:textId="77777777" w:rsidR="00D73348" w:rsidRPr="00D22117" w:rsidRDefault="00DA2883">
      <w:pPr>
        <w:shd w:val="clear" w:color="auto" w:fill="FFFFFF"/>
        <w:spacing w:after="120"/>
        <w:ind w:firstLine="708"/>
      </w:pPr>
      <w:r w:rsidRPr="00D22117">
        <w:rPr>
          <w:rFonts w:ascii="Arial" w:eastAsia="Arial" w:hAnsi="Arial" w:cs="Arial"/>
          <w:sz w:val="22"/>
          <w:szCs w:val="22"/>
        </w:rPr>
        <w:t xml:space="preserve">Por ende, cuando empiece el periodo preelectoral de las elecciones presidenciales, se deberá dar aplicación a la prohibición para la contratación directa contenida en el artículo 33 de la Ley de Garantías, así como a la prohibición del parágrafo del artículo 38 que, como se dijo, resulta aplicable a todo tipo de elección popular. </w:t>
      </w:r>
    </w:p>
    <w:p w14:paraId="7791E057" w14:textId="77777777" w:rsidR="00D73348" w:rsidRPr="00D22117" w:rsidRDefault="00DA2883">
      <w:pPr>
        <w:shd w:val="clear" w:color="auto" w:fill="FFFFFF"/>
        <w:spacing w:after="0"/>
        <w:ind w:firstLine="708"/>
        <w:rPr>
          <w:rFonts w:ascii="Arial" w:eastAsia="Arial" w:hAnsi="Arial" w:cs="Arial"/>
          <w:sz w:val="22"/>
          <w:szCs w:val="22"/>
        </w:rPr>
      </w:pPr>
      <w:r w:rsidRPr="00D22117">
        <w:rPr>
          <w:rFonts w:ascii="Arial" w:eastAsia="Arial" w:hAnsi="Arial" w:cs="Arial"/>
          <w:sz w:val="22"/>
          <w:szCs w:val="22"/>
        </w:rPr>
        <w:t xml:space="preserve">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32585C3F" w14:textId="77777777" w:rsidR="00D73348" w:rsidRPr="00D22117" w:rsidRDefault="00D73348">
      <w:pPr>
        <w:shd w:val="clear" w:color="auto" w:fill="FFFFFF"/>
        <w:spacing w:after="0"/>
        <w:rPr>
          <w:rFonts w:ascii="Arial" w:eastAsia="Arial" w:hAnsi="Arial" w:cs="Arial"/>
          <w:sz w:val="22"/>
          <w:szCs w:val="22"/>
        </w:rPr>
      </w:pPr>
    </w:p>
    <w:p w14:paraId="02D7B36F" w14:textId="77777777" w:rsidR="00D73348" w:rsidRPr="00D22117" w:rsidRDefault="00DA2883">
      <w:pPr>
        <w:shd w:val="clear" w:color="auto" w:fill="FFFFFF"/>
        <w:spacing w:after="0"/>
        <w:rPr>
          <w:rFonts w:ascii="Arial" w:eastAsia="Arial" w:hAnsi="Arial" w:cs="Arial"/>
          <w:b/>
          <w:sz w:val="22"/>
          <w:szCs w:val="22"/>
        </w:rPr>
      </w:pPr>
      <w:r w:rsidRPr="00D22117">
        <w:rPr>
          <w:rFonts w:ascii="Arial" w:eastAsia="Arial" w:hAnsi="Arial" w:cs="Arial"/>
          <w:b/>
          <w:sz w:val="22"/>
          <w:szCs w:val="22"/>
        </w:rPr>
        <w:t>3. Consideración transitoria</w:t>
      </w:r>
    </w:p>
    <w:p w14:paraId="280B54EF" w14:textId="77777777" w:rsidR="00D73348" w:rsidRPr="00D22117" w:rsidRDefault="00D73348">
      <w:pPr>
        <w:shd w:val="clear" w:color="auto" w:fill="FFFFFF"/>
        <w:spacing w:after="0"/>
        <w:rPr>
          <w:rFonts w:ascii="Arial" w:eastAsia="Arial" w:hAnsi="Arial" w:cs="Arial"/>
        </w:rPr>
      </w:pPr>
    </w:p>
    <w:p w14:paraId="55C623BA" w14:textId="77777777" w:rsidR="00D73348" w:rsidRPr="00D22117" w:rsidRDefault="00DA2883">
      <w:pPr>
        <w:pBdr>
          <w:top w:val="nil"/>
          <w:left w:val="nil"/>
          <w:bottom w:val="nil"/>
          <w:right w:val="nil"/>
          <w:between w:val="nil"/>
        </w:pBdr>
        <w:rPr>
          <w:rFonts w:ascii="Arial" w:eastAsia="Arial" w:hAnsi="Arial" w:cs="Arial"/>
          <w:color w:val="000000"/>
          <w:sz w:val="22"/>
          <w:szCs w:val="22"/>
        </w:rPr>
      </w:pPr>
      <w:r w:rsidRPr="00D22117">
        <w:rPr>
          <w:rFonts w:ascii="Arial" w:eastAsia="Arial" w:hAnsi="Arial" w:cs="Arial"/>
          <w:color w:val="000000"/>
          <w:sz w:val="22"/>
          <w:szCs w:val="22"/>
        </w:rPr>
        <w:lastRenderedPageBreak/>
        <w:t>Sin perjuicio de todo lo dicho, debe tenerse en cuenta que en el fallo de tutela proferido dentro del proceso nro. 2021-000324 por parte del Juzgado Tercero Administrativo de Bogotá, se decidió, entre otras cosas:</w:t>
      </w:r>
    </w:p>
    <w:p w14:paraId="2D556B51" w14:textId="77777777" w:rsidR="00D73348" w:rsidRPr="00D22117" w:rsidRDefault="00DA2883">
      <w:pPr>
        <w:pBdr>
          <w:top w:val="nil"/>
          <w:left w:val="nil"/>
          <w:bottom w:val="nil"/>
          <w:right w:val="nil"/>
          <w:between w:val="nil"/>
        </w:pBdr>
        <w:spacing w:after="120" w:line="240" w:lineRule="auto"/>
        <w:ind w:left="709" w:right="709"/>
        <w:rPr>
          <w:rFonts w:ascii="Arial" w:eastAsia="Arial" w:hAnsi="Arial" w:cs="Arial"/>
          <w:color w:val="000000"/>
          <w:sz w:val="21"/>
          <w:szCs w:val="21"/>
        </w:rPr>
      </w:pPr>
      <w:r w:rsidRPr="00D22117">
        <w:rPr>
          <w:rFonts w:ascii="Arial" w:eastAsia="Arial" w:hAnsi="Arial" w:cs="Arial"/>
          <w:color w:val="000000"/>
          <w:sz w:val="21"/>
          <w:szCs w:val="21"/>
        </w:rPr>
        <w:t xml:space="preserve">«ORDENAR al presidente de la república y a los representantes legales de las entidades del orden nacional y del sector descentralizado territorialmente, </w:t>
      </w:r>
    </w:p>
    <w:p w14:paraId="4102C69C" w14:textId="77777777" w:rsidR="00D73348" w:rsidRPr="00D22117" w:rsidRDefault="00DA2883">
      <w:pPr>
        <w:spacing w:after="120" w:line="240" w:lineRule="auto"/>
        <w:ind w:left="709" w:right="709"/>
        <w:rPr>
          <w:rFonts w:ascii="Arial" w:eastAsia="Arial" w:hAnsi="Arial" w:cs="Arial"/>
          <w:sz w:val="21"/>
          <w:szCs w:val="21"/>
        </w:rPr>
      </w:pPr>
      <w:r w:rsidRPr="00D22117">
        <w:rPr>
          <w:rFonts w:ascii="Arial" w:eastAsia="Arial" w:hAnsi="Arial" w:cs="Arial"/>
          <w:sz w:val="21"/>
          <w:szCs w:val="21"/>
        </w:rPr>
        <w:t xml:space="preserve">abstenerse de dar aplicación a la modificación realizada al parágrafo 38 de la Ley 996 de 2005. </w:t>
      </w:r>
    </w:p>
    <w:p w14:paraId="228A33C1" w14:textId="77777777" w:rsidR="00D73348" w:rsidRPr="00D22117" w:rsidRDefault="00DA2883">
      <w:pPr>
        <w:spacing w:after="120" w:line="240" w:lineRule="auto"/>
        <w:ind w:left="709" w:right="709"/>
        <w:rPr>
          <w:rFonts w:ascii="Arial" w:eastAsia="Arial" w:hAnsi="Arial" w:cs="Arial"/>
          <w:sz w:val="21"/>
          <w:szCs w:val="21"/>
        </w:rPr>
      </w:pPr>
      <w:r w:rsidRPr="00D22117">
        <w:rPr>
          <w:rFonts w:ascii="Arial" w:eastAsia="Arial" w:hAnsi="Arial" w:cs="Arial"/>
          <w:sz w:val="21"/>
          <w:szCs w:val="21"/>
        </w:rPr>
        <w:t xml:space="preserve">La restricción enunciada tiene como efectos garantizar los derechos al debido proceso, igualdad e imparcialidad en el proceso electoral. </w:t>
      </w:r>
    </w:p>
    <w:p w14:paraId="2AF027DD" w14:textId="77777777" w:rsidR="00D73348" w:rsidRPr="00D22117" w:rsidRDefault="00DA2883">
      <w:pPr>
        <w:spacing w:after="120" w:line="240" w:lineRule="auto"/>
        <w:ind w:left="709" w:right="709"/>
        <w:rPr>
          <w:rFonts w:ascii="Arial" w:eastAsia="Arial" w:hAnsi="Arial" w:cs="Arial"/>
          <w:sz w:val="21"/>
          <w:szCs w:val="21"/>
        </w:rPr>
      </w:pPr>
      <w:r w:rsidRPr="00D22117">
        <w:rPr>
          <w:rFonts w:ascii="Arial" w:eastAsia="Arial" w:hAnsi="Arial" w:cs="Arial"/>
          <w:sz w:val="21"/>
          <w:szCs w:val="21"/>
        </w:rPr>
        <w:t xml:space="preserve">La presente restricción solo estará́ vigente hasta que la Corte Constitucional conozca de la demanda de acción pública de inconstitucionalidad que adelantará el señor Miguel Ángel Bravo Gutiérrez o, que, en el ejercicio de ese derecho, radique cualquier ciudadano en los términos que establece el artículo 241 de la Constitución. </w:t>
      </w:r>
    </w:p>
    <w:p w14:paraId="5A361E54" w14:textId="77777777" w:rsidR="00D73348" w:rsidRPr="00D22117" w:rsidRDefault="00DA2883">
      <w:pPr>
        <w:spacing w:after="120" w:line="240" w:lineRule="auto"/>
        <w:ind w:left="709" w:right="709"/>
        <w:rPr>
          <w:rFonts w:ascii="Arial" w:eastAsia="Arial" w:hAnsi="Arial" w:cs="Arial"/>
          <w:sz w:val="21"/>
          <w:szCs w:val="21"/>
        </w:rPr>
      </w:pPr>
      <w:r w:rsidRPr="00D22117">
        <w:rPr>
          <w:rFonts w:ascii="Arial" w:eastAsia="Arial" w:hAnsi="Arial" w:cs="Arial"/>
          <w:sz w:val="21"/>
          <w:szCs w:val="21"/>
        </w:rPr>
        <w:t xml:space="preserve">En esa medida el amparo transitorio objeto de esta providencia y la restricción enunciada para la celebración de los convenios interadministrativos, la ejecución de recursos públicos, la no participación, promoción y destinación de recursos públicos de las entidades a su cargo, en la forma que lo establece el parágrafo 38 de la Ley 996 de 2005, estará́ vigente por el término improrrogable de treinta (30) días hábiles siguientes a la publicación de la ley, dentro de los cuales no se computará el periodo que comprende la vacancia judicial45. </w:t>
      </w:r>
    </w:p>
    <w:p w14:paraId="69365C92" w14:textId="77777777" w:rsidR="00D73348" w:rsidRPr="00D22117" w:rsidRDefault="00DA2883">
      <w:pPr>
        <w:spacing w:after="120" w:line="240" w:lineRule="auto"/>
        <w:ind w:left="709" w:right="709"/>
        <w:rPr>
          <w:rFonts w:ascii="Arial" w:eastAsia="Arial" w:hAnsi="Arial" w:cs="Arial"/>
          <w:sz w:val="21"/>
          <w:szCs w:val="21"/>
        </w:rPr>
      </w:pPr>
      <w:r w:rsidRPr="00D22117">
        <w:rPr>
          <w:rFonts w:ascii="Arial" w:eastAsia="Arial" w:hAnsi="Arial" w:cs="Arial"/>
          <w:sz w:val="21"/>
          <w:szCs w:val="21"/>
        </w:rPr>
        <w:t xml:space="preserve">El término referido tiene como única finalidad que la Corte Constitucional conozca y se pronuncie conforme a sus competencias y facultades relativas a la guarda de la integridad y supremacía de la Constitución, conforme a lo precisado en la parte motiva de esta providencia. </w:t>
      </w:r>
    </w:p>
    <w:p w14:paraId="658A47FF" w14:textId="77777777" w:rsidR="00D73348" w:rsidRPr="00D22117" w:rsidRDefault="00DA2883">
      <w:pPr>
        <w:spacing w:after="120" w:line="240" w:lineRule="auto"/>
        <w:ind w:left="709" w:right="709"/>
        <w:rPr>
          <w:rFonts w:ascii="Arial" w:eastAsia="Arial" w:hAnsi="Arial" w:cs="Arial"/>
          <w:sz w:val="21"/>
          <w:szCs w:val="21"/>
        </w:rPr>
      </w:pPr>
      <w:r w:rsidRPr="00D22117">
        <w:rPr>
          <w:rFonts w:ascii="Arial" w:eastAsia="Arial" w:hAnsi="Arial" w:cs="Arial"/>
          <w:sz w:val="21"/>
          <w:szCs w:val="21"/>
        </w:rPr>
        <w:t xml:space="preserve">Superado el término de los treinta (30) días hábiles, que se computarán en la forma anunciada, si no se acude a la acción pública de inconstitucionalidad por el accionante o por otros ciudadanos, o si la Corte Constitucional no asume conocimiento del estudio del proyecto de ley, en las hipótesis referidas el amparo transitorio perderá́ efectos de manera inmediata. </w:t>
      </w:r>
    </w:p>
    <w:p w14:paraId="04F8DE41" w14:textId="77777777" w:rsidR="00D73348" w:rsidRPr="00D22117" w:rsidRDefault="00DA2883">
      <w:pPr>
        <w:spacing w:after="0"/>
        <w:ind w:left="709" w:right="567"/>
        <w:rPr>
          <w:rFonts w:ascii="Arial" w:eastAsia="Arial" w:hAnsi="Arial" w:cs="Arial"/>
          <w:sz w:val="21"/>
          <w:szCs w:val="21"/>
        </w:rPr>
      </w:pPr>
      <w:r w:rsidRPr="00D22117">
        <w:rPr>
          <w:rFonts w:ascii="Arial" w:eastAsia="Arial" w:hAnsi="Arial" w:cs="Arial"/>
          <w:sz w:val="21"/>
          <w:szCs w:val="21"/>
        </w:rPr>
        <w:t>La medida de amparo comprende única y exclusivamente al artículo 125 del trámite legislativo del proyecto de la ley 096 de 2021 Senado y 158 de 2021 Cámara, relativo a la modificación del parágrafo del artículo 38 de la Ley Estatutaria 996 de 2005»</w:t>
      </w:r>
      <w:r w:rsidRPr="00D22117">
        <w:rPr>
          <w:rFonts w:ascii="Arial" w:eastAsia="Arial" w:hAnsi="Arial" w:cs="Arial"/>
          <w:sz w:val="21"/>
          <w:szCs w:val="21"/>
          <w:vertAlign w:val="superscript"/>
        </w:rPr>
        <w:footnoteReference w:id="66"/>
      </w:r>
      <w:r w:rsidRPr="00D22117">
        <w:rPr>
          <w:rFonts w:ascii="Arial" w:eastAsia="Arial" w:hAnsi="Arial" w:cs="Arial"/>
          <w:sz w:val="21"/>
          <w:szCs w:val="21"/>
        </w:rPr>
        <w:t xml:space="preserve">. </w:t>
      </w:r>
    </w:p>
    <w:p w14:paraId="5A730435" w14:textId="77777777" w:rsidR="00D73348" w:rsidRPr="00D22117" w:rsidRDefault="00D73348">
      <w:pPr>
        <w:shd w:val="clear" w:color="auto" w:fill="FFFFFF"/>
        <w:spacing w:after="0"/>
        <w:rPr>
          <w:rFonts w:ascii="Arial" w:eastAsia="Arial" w:hAnsi="Arial" w:cs="Arial"/>
          <w:sz w:val="22"/>
          <w:szCs w:val="22"/>
        </w:rPr>
      </w:pPr>
    </w:p>
    <w:p w14:paraId="09753F9F" w14:textId="77777777" w:rsidR="00D73348" w:rsidRPr="00D22117" w:rsidRDefault="00DA2883">
      <w:pPr>
        <w:rPr>
          <w:rFonts w:ascii="Arial" w:eastAsia="Arial" w:hAnsi="Arial" w:cs="Arial"/>
          <w:color w:val="000000"/>
          <w:sz w:val="22"/>
          <w:szCs w:val="22"/>
        </w:rPr>
      </w:pPr>
      <w:r w:rsidRPr="00D22117">
        <w:rPr>
          <w:rFonts w:ascii="Arial" w:eastAsia="Arial" w:hAnsi="Arial" w:cs="Arial"/>
          <w:color w:val="000000"/>
          <w:sz w:val="22"/>
          <w:szCs w:val="22"/>
        </w:rPr>
        <w:t>Sin embargo, posteriormente, el Tribunal Administrativo de Cundinamarca, mediante providencia del 29 de noviembre de 2021, decretó la nulidad de todo lo actuado en el trámite de la acción de tutela mencionada. En consecuencia, ordenó la vinculación del señor Presidente de la República y dio traslado del expediente al Consejo de Estado, por ser el órgano judicial competente, conforme al artículo 1 del Decreto 333 de 2021.</w:t>
      </w:r>
    </w:p>
    <w:p w14:paraId="72166C7C" w14:textId="77777777" w:rsidR="00D73348" w:rsidRPr="00D22117" w:rsidRDefault="00DA2883">
      <w:pPr>
        <w:spacing w:after="0"/>
        <w:rPr>
          <w:rFonts w:ascii="Arial" w:eastAsia="Arial" w:hAnsi="Arial" w:cs="Arial"/>
          <w:b/>
          <w:sz w:val="22"/>
          <w:szCs w:val="22"/>
        </w:rPr>
      </w:pPr>
      <w:bookmarkStart w:id="28" w:name="_2bn6wsx" w:colFirst="0" w:colLast="0"/>
      <w:bookmarkEnd w:id="28"/>
      <w:r w:rsidRPr="00D22117">
        <w:rPr>
          <w:rFonts w:ascii="Arial" w:eastAsia="Arial" w:hAnsi="Arial" w:cs="Arial"/>
          <w:b/>
          <w:sz w:val="22"/>
          <w:szCs w:val="22"/>
        </w:rPr>
        <w:t>3. Respuesta</w:t>
      </w:r>
    </w:p>
    <w:p w14:paraId="614CB3F3"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 xml:space="preserve">«1. El arrendamiento de bienes inmuebles entre entidades públicas del nivel territorial, es convenio o contrato y cuál de las restricciones de las consagradas en la Ley 996 de 2005, aplicaría? </w:t>
      </w:r>
    </w:p>
    <w:p w14:paraId="56A0687D"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 xml:space="preserve">2. La donación de bien inmueble, entre entidades públicas, es convenio o contrato y cuál de las restricciones de las consagradas en la Ley 996 de 2005, aplicaría? </w:t>
      </w:r>
    </w:p>
    <w:p w14:paraId="62D55CDF"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 xml:space="preserve">3. El contrato de usufructo entre entidades públicas, es convenio o contrato? </w:t>
      </w:r>
    </w:p>
    <w:p w14:paraId="2E58D292" w14:textId="77777777" w:rsidR="00D73348" w:rsidRPr="00D22117" w:rsidRDefault="00DA2883" w:rsidP="00981BE3">
      <w:pPr>
        <w:pBdr>
          <w:top w:val="nil"/>
          <w:left w:val="nil"/>
          <w:bottom w:val="nil"/>
          <w:right w:val="nil"/>
          <w:between w:val="nil"/>
        </w:pBdr>
        <w:spacing w:line="240" w:lineRule="auto"/>
        <w:ind w:left="709" w:right="709"/>
        <w:rPr>
          <w:rFonts w:ascii="Times New Roman" w:eastAsia="Times New Roman" w:hAnsi="Times New Roman" w:cs="Times New Roman"/>
        </w:rPr>
      </w:pPr>
      <w:r w:rsidRPr="00D22117">
        <w:rPr>
          <w:rFonts w:ascii="Arial" w:eastAsia="Arial" w:hAnsi="Arial" w:cs="Arial"/>
          <w:color w:val="000000"/>
          <w:sz w:val="21"/>
          <w:szCs w:val="21"/>
        </w:rPr>
        <w:t>4. Es posible suscribir escritura pública de donación de bien inmueble y de usufructo, entre entidades públicas, antes del 29 de enero de 2022?»</w:t>
      </w:r>
    </w:p>
    <w:p w14:paraId="2092F2AC" w14:textId="386F8D46" w:rsidR="00D73348" w:rsidRPr="00D22117" w:rsidRDefault="00DA2883" w:rsidP="00981BE3">
      <w:pPr>
        <w:spacing w:after="120"/>
      </w:pPr>
      <w:r w:rsidRPr="00D22117">
        <w:rPr>
          <w:rFonts w:ascii="Arial" w:eastAsia="Arial" w:hAnsi="Arial" w:cs="Arial"/>
          <w:color w:val="000000"/>
          <w:sz w:val="22"/>
          <w:szCs w:val="22"/>
        </w:rPr>
        <w:t>Lo que define los contratos o convenios interadministrativos es la naturaleza de las partes que los suscriben, de manera que están determinados por un criterio orgánico, en el sentido de que lo serán aquellos celebrados entre entidades estatales. Además, dado que no existe una definición legal que diferencie a los conceptos de contrato y convenio, las prohibiciones establecidas en el parágrafo del artículo 38 de la Ley de Garantías Electorales se aplican, indistintamente, tanto a los unos como a los otros, que pretendan celebrar las entidades públicas enlistadas en la misma norma y siempre que mediante ellos se ejecuten recursos públicos. Lo anterior con independencia del objeto contractual, por lo que sería posible que contratos de arrendamiento, comodato o donación se enmarcaran en la prohibición del parágrafo del artículo 38, siempre que se cumplan los elementos establecidos en dicha disposición, asuntos que se desarrollaron en detalle en el numeral 2.2. de este concepto.</w:t>
      </w:r>
    </w:p>
    <w:p w14:paraId="44DEFAB9" w14:textId="3AC45C4E" w:rsidR="00D73348" w:rsidRPr="00D22117" w:rsidRDefault="00DA2883" w:rsidP="00981BE3">
      <w:pPr>
        <w:spacing w:after="120"/>
        <w:ind w:firstLine="720"/>
      </w:pPr>
      <w:r w:rsidRPr="00D22117">
        <w:rPr>
          <w:rFonts w:ascii="Arial" w:eastAsia="Arial" w:hAnsi="Arial" w:cs="Arial"/>
          <w:color w:val="000000"/>
          <w:sz w:val="22"/>
          <w:szCs w:val="22"/>
        </w:rPr>
        <w:t xml:space="preserve">Por su parte, la prohibición a la contratación directa contenida en el artículo 33 de la Ley de Garantías Electorales restringe a todos los entes del Estado la celebración de contratos que no se encuentre antecedida por algún tipo de convocatoria pública y posibilidad de concurrencia de proponentes, lo que implica materialmente una contratación directa. De esta forma, si un contrato o convenio es celebrado sin previo concurso o convocatoria al público, resultará aplicable la restricción establecida en dicha norma. </w:t>
      </w:r>
    </w:p>
    <w:p w14:paraId="35E9330B" w14:textId="77777777" w:rsidR="00D73348" w:rsidRPr="00D22117" w:rsidRDefault="00DA2883">
      <w:pPr>
        <w:spacing w:after="120"/>
        <w:ind w:firstLine="720"/>
        <w:rPr>
          <w:rFonts w:ascii="Arial" w:eastAsia="Arial" w:hAnsi="Arial" w:cs="Arial"/>
          <w:color w:val="000000"/>
          <w:sz w:val="22"/>
          <w:szCs w:val="22"/>
        </w:rPr>
      </w:pPr>
      <w:r w:rsidRPr="00D22117">
        <w:rPr>
          <w:rFonts w:ascii="Arial" w:eastAsia="Arial" w:hAnsi="Arial" w:cs="Arial"/>
          <w:color w:val="000000"/>
          <w:sz w:val="22"/>
          <w:szCs w:val="22"/>
        </w:rPr>
        <w:lastRenderedPageBreak/>
        <w:t>Lo anterior se debe entender sin perjuicio de la consideración transitoria explicada en el numeral 3 del presente concepto. Además, como se explicó, estas prohibiciones son independientes y aplican en los términos expuestos en este concepto, sin perjuicio de que confluyan en cierto ámbito temporal.</w:t>
      </w:r>
    </w:p>
    <w:p w14:paraId="4E57ECAF" w14:textId="77777777" w:rsidR="00D73348" w:rsidRPr="00D22117" w:rsidRDefault="00D73348" w:rsidP="00981BE3">
      <w:pPr>
        <w:spacing w:after="120"/>
        <w:ind w:firstLine="720"/>
      </w:pPr>
    </w:p>
    <w:p w14:paraId="4DE608CC" w14:textId="77777777" w:rsidR="00D73348" w:rsidRPr="00D22117" w:rsidRDefault="00DA2883">
      <w:pPr>
        <w:spacing w:after="0"/>
        <w:rPr>
          <w:rFonts w:ascii="Arial" w:eastAsia="Arial" w:hAnsi="Arial" w:cs="Arial"/>
        </w:rPr>
      </w:pPr>
      <w:r w:rsidRPr="00D22117">
        <w:rPr>
          <w:rFonts w:ascii="Arial" w:eastAsia="Arial" w:hAnsi="Arial" w:cs="Arial"/>
          <w:sz w:val="22"/>
          <w:szCs w:val="22"/>
        </w:rPr>
        <w:t>Este concepto tiene el alcance previsto en el artículo 28 del Código de Procedimiento Administrativo y de lo Contencioso Administrativo.</w:t>
      </w:r>
    </w:p>
    <w:p w14:paraId="0CEC5992" w14:textId="77777777" w:rsidR="00D73348" w:rsidRPr="00D22117" w:rsidRDefault="00DA2883">
      <w:pPr>
        <w:spacing w:after="120"/>
        <w:rPr>
          <w:rFonts w:ascii="Arial" w:eastAsia="Arial" w:hAnsi="Arial" w:cs="Arial"/>
          <w:sz w:val="22"/>
          <w:szCs w:val="22"/>
        </w:rPr>
      </w:pPr>
      <w:r w:rsidRPr="00D22117">
        <w:rPr>
          <w:noProof/>
        </w:rPr>
        <mc:AlternateContent>
          <mc:Choice Requires="wps">
            <w:drawing>
              <wp:anchor distT="0" distB="0" distL="114300" distR="114300" simplePos="0" relativeHeight="251658240" behindDoc="0" locked="0" layoutInCell="1" hidden="0" allowOverlap="1" wp14:anchorId="4E419AD4" wp14:editId="45DDA59C">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86300" cy="9526"/>
                        </a:xfrm>
                        <a:prstGeom prst="rect"/>
                        <a:ln/>
                      </pic:spPr>
                    </pic:pic>
                  </a:graphicData>
                </a:graphic>
              </wp:anchor>
            </w:drawing>
          </mc:Fallback>
        </mc:AlternateContent>
      </w:r>
    </w:p>
    <w:p w14:paraId="6234F93F" w14:textId="77777777" w:rsidR="00D73348" w:rsidRPr="00D22117" w:rsidRDefault="00DA2883">
      <w:pPr>
        <w:rPr>
          <w:rFonts w:ascii="Arial" w:eastAsia="Arial" w:hAnsi="Arial" w:cs="Arial"/>
          <w:sz w:val="22"/>
          <w:szCs w:val="22"/>
        </w:rPr>
      </w:pPr>
      <w:r w:rsidRPr="00D22117">
        <w:rPr>
          <w:rFonts w:ascii="Arial" w:eastAsia="Arial" w:hAnsi="Arial" w:cs="Arial"/>
          <w:sz w:val="22"/>
          <w:szCs w:val="22"/>
        </w:rPr>
        <w:t>Atentamente,</w:t>
      </w:r>
    </w:p>
    <w:p w14:paraId="254AE378" w14:textId="2B2B39D6" w:rsidR="00D73348" w:rsidRPr="00D22117" w:rsidRDefault="008A1E76">
      <w:pPr>
        <w:jc w:val="center"/>
        <w:rPr>
          <w:rFonts w:ascii="Arial" w:eastAsia="Arial" w:hAnsi="Arial" w:cs="Arial"/>
          <w:color w:val="000000"/>
          <w:sz w:val="18"/>
          <w:szCs w:val="18"/>
        </w:rPr>
      </w:pPr>
      <w:r>
        <w:rPr>
          <w:noProof/>
        </w:rPr>
        <w:drawing>
          <wp:inline distT="0" distB="0" distL="0" distR="0" wp14:anchorId="34568ED3" wp14:editId="77B20473">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D73348" w:rsidRPr="00D22117" w14:paraId="436FF6A3" w14:textId="77777777">
        <w:trPr>
          <w:trHeight w:val="315"/>
        </w:trPr>
        <w:tc>
          <w:tcPr>
            <w:tcW w:w="812" w:type="dxa"/>
            <w:vAlign w:val="center"/>
          </w:tcPr>
          <w:p w14:paraId="4505368E" w14:textId="77777777" w:rsidR="00D73348" w:rsidRPr="00D22117" w:rsidRDefault="00DA2883" w:rsidP="00981BE3">
            <w:pPr>
              <w:spacing w:before="0"/>
            </w:pPr>
            <w:r w:rsidRPr="00D22117">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740AB5C2" w14:textId="77777777" w:rsidR="00D73348" w:rsidRPr="00D22117" w:rsidRDefault="00DA2883" w:rsidP="00981BE3">
            <w:pPr>
              <w:spacing w:before="0"/>
            </w:pPr>
            <w:r w:rsidRPr="00D22117">
              <w:rPr>
                <w:rFonts w:ascii="Arial" w:eastAsia="Arial" w:hAnsi="Arial" w:cs="Arial"/>
                <w:color w:val="000000"/>
                <w:sz w:val="16"/>
                <w:szCs w:val="16"/>
              </w:rPr>
              <w:t>Álvaro Namén Vargas</w:t>
            </w:r>
          </w:p>
          <w:p w14:paraId="59EBBAF4" w14:textId="77777777" w:rsidR="00D73348" w:rsidRPr="00D22117" w:rsidRDefault="00DA2883" w:rsidP="00981BE3">
            <w:pPr>
              <w:spacing w:before="0"/>
            </w:pPr>
            <w:r w:rsidRPr="00D22117">
              <w:rPr>
                <w:rFonts w:ascii="Arial" w:eastAsia="Arial" w:hAnsi="Arial" w:cs="Arial"/>
                <w:color w:val="000000"/>
                <w:sz w:val="16"/>
                <w:szCs w:val="16"/>
              </w:rPr>
              <w:t>Contratista de la Subdirección de Gestión Contractual</w:t>
            </w:r>
          </w:p>
        </w:tc>
      </w:tr>
      <w:tr w:rsidR="00D73348" w:rsidRPr="00D22117" w14:paraId="0D354D56" w14:textId="77777777">
        <w:trPr>
          <w:trHeight w:val="330"/>
        </w:trPr>
        <w:tc>
          <w:tcPr>
            <w:tcW w:w="812" w:type="dxa"/>
            <w:vAlign w:val="center"/>
          </w:tcPr>
          <w:p w14:paraId="39559672" w14:textId="77777777" w:rsidR="00D73348" w:rsidRPr="00D22117" w:rsidRDefault="00DA2883" w:rsidP="00981BE3">
            <w:pPr>
              <w:spacing w:before="0"/>
            </w:pPr>
            <w:r w:rsidRPr="00D22117">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37954FA" w14:textId="2E97AA98" w:rsidR="00D73348" w:rsidRPr="00D22117" w:rsidRDefault="00DA2883" w:rsidP="00981BE3">
            <w:pPr>
              <w:spacing w:before="0"/>
            </w:pPr>
            <w:r w:rsidRPr="00D22117">
              <w:rPr>
                <w:rFonts w:ascii="Arial" w:eastAsia="Arial" w:hAnsi="Arial" w:cs="Arial"/>
                <w:color w:val="000000"/>
                <w:sz w:val="16"/>
                <w:szCs w:val="16"/>
              </w:rPr>
              <w:t>Sebastián Ramírez Grisales</w:t>
            </w:r>
          </w:p>
          <w:p w14:paraId="00BDD231" w14:textId="0B7858CC" w:rsidR="00D73348" w:rsidRPr="00D22117" w:rsidRDefault="00DA2883" w:rsidP="00981BE3">
            <w:pPr>
              <w:spacing w:before="0"/>
            </w:pPr>
            <w:r w:rsidRPr="00D22117">
              <w:rPr>
                <w:rFonts w:ascii="Arial" w:eastAsia="Arial" w:hAnsi="Arial" w:cs="Arial"/>
                <w:color w:val="000000"/>
                <w:sz w:val="16"/>
                <w:szCs w:val="16"/>
              </w:rPr>
              <w:t>Contratista de la Subdirección de Gestión Contractual</w:t>
            </w:r>
          </w:p>
        </w:tc>
      </w:tr>
      <w:tr w:rsidR="00D73348" w14:paraId="332F3FDA" w14:textId="77777777">
        <w:trPr>
          <w:trHeight w:val="300"/>
        </w:trPr>
        <w:tc>
          <w:tcPr>
            <w:tcW w:w="812" w:type="dxa"/>
            <w:vAlign w:val="center"/>
          </w:tcPr>
          <w:p w14:paraId="50E4A42C" w14:textId="77777777" w:rsidR="00D73348" w:rsidRPr="00D22117" w:rsidRDefault="00DA2883" w:rsidP="00981BE3">
            <w:pPr>
              <w:spacing w:before="0"/>
            </w:pPr>
            <w:r w:rsidRPr="00D22117">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E7B1FB5" w14:textId="77777777" w:rsidR="00D73348" w:rsidRPr="00D22117" w:rsidRDefault="00DA2883" w:rsidP="00981BE3">
            <w:pPr>
              <w:spacing w:before="0"/>
            </w:pPr>
            <w:r w:rsidRPr="00D22117">
              <w:rPr>
                <w:rFonts w:ascii="Arial" w:eastAsia="Arial" w:hAnsi="Arial" w:cs="Arial"/>
                <w:color w:val="000000"/>
                <w:sz w:val="16"/>
                <w:szCs w:val="16"/>
              </w:rPr>
              <w:t>Jorge Augusto Tirado Navarro</w:t>
            </w:r>
          </w:p>
          <w:p w14:paraId="047C64AF" w14:textId="77777777" w:rsidR="00D73348" w:rsidRPr="00981BE3" w:rsidRDefault="00DA2883" w:rsidP="00981BE3">
            <w:pPr>
              <w:spacing w:before="0"/>
            </w:pPr>
            <w:r w:rsidRPr="00D22117">
              <w:rPr>
                <w:rFonts w:ascii="Arial" w:eastAsia="Arial" w:hAnsi="Arial" w:cs="Arial"/>
                <w:color w:val="000000"/>
                <w:sz w:val="16"/>
                <w:szCs w:val="16"/>
              </w:rPr>
              <w:t>Subdirector de Gestión Contractual ANCP – CCE</w:t>
            </w:r>
          </w:p>
        </w:tc>
      </w:tr>
    </w:tbl>
    <w:p w14:paraId="36B16377" w14:textId="77777777" w:rsidR="00D73348" w:rsidRDefault="00D73348">
      <w:pPr>
        <w:spacing w:after="120"/>
        <w:rPr>
          <w:rFonts w:ascii="Arial" w:eastAsia="Arial" w:hAnsi="Arial" w:cs="Arial"/>
          <w:b/>
          <w:sz w:val="20"/>
          <w:szCs w:val="20"/>
        </w:rPr>
      </w:pPr>
    </w:p>
    <w:sectPr w:rsidR="00D73348" w:rsidSect="00981BE3">
      <w:headerReference w:type="default" r:id="rId12"/>
      <w:footerReference w:type="default" r:id="rId13"/>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0BCA" w14:textId="77777777" w:rsidR="003E2A7F" w:rsidRDefault="003E2A7F">
      <w:pPr>
        <w:spacing w:after="0" w:line="240" w:lineRule="auto"/>
      </w:pPr>
      <w:r>
        <w:separator/>
      </w:r>
    </w:p>
  </w:endnote>
  <w:endnote w:type="continuationSeparator" w:id="0">
    <w:p w14:paraId="66425923" w14:textId="77777777" w:rsidR="003E2A7F" w:rsidRDefault="003E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6B79" w14:textId="77777777" w:rsidR="00D73348" w:rsidRDefault="00D73348">
    <w:pPr>
      <w:pBdr>
        <w:top w:val="nil"/>
        <w:left w:val="nil"/>
        <w:bottom w:val="nil"/>
        <w:right w:val="nil"/>
        <w:between w:val="nil"/>
      </w:pBdr>
      <w:spacing w:after="0" w:line="240" w:lineRule="auto"/>
      <w:rPr>
        <w:rFonts w:ascii="Arial" w:eastAsia="Arial" w:hAnsi="Arial" w:cs="Arial"/>
        <w:color w:val="000000"/>
        <w:sz w:val="18"/>
        <w:szCs w:val="18"/>
      </w:rPr>
    </w:pPr>
  </w:p>
  <w:p w14:paraId="5DC9020F" w14:textId="77777777" w:rsidR="00D73348" w:rsidRDefault="00DA2883">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81BE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81BE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0360D218" w14:textId="77777777" w:rsidR="00D73348" w:rsidRDefault="00DA2883">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E63D38B" wp14:editId="16B7532A">
          <wp:extent cx="4241994" cy="59516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346891A0" w14:textId="77777777" w:rsidR="00D73348" w:rsidRDefault="00D73348">
    <w:pPr>
      <w:pBdr>
        <w:top w:val="nil"/>
        <w:left w:val="nil"/>
        <w:bottom w:val="nil"/>
        <w:right w:val="nil"/>
        <w:between w:val="nil"/>
      </w:pBdr>
      <w:tabs>
        <w:tab w:val="center" w:pos="4419"/>
        <w:tab w:val="right" w:pos="8838"/>
      </w:tabs>
      <w:spacing w:line="120" w:lineRule="auto"/>
      <w:rPr>
        <w:color w:val="000000"/>
      </w:rPr>
    </w:pPr>
  </w:p>
  <w:p w14:paraId="2AA775BA" w14:textId="77777777" w:rsidR="00D73348" w:rsidRDefault="00D733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FA02" w14:textId="77777777" w:rsidR="003E2A7F" w:rsidRDefault="003E2A7F">
      <w:pPr>
        <w:spacing w:after="0" w:line="240" w:lineRule="auto"/>
      </w:pPr>
      <w:r>
        <w:separator/>
      </w:r>
    </w:p>
  </w:footnote>
  <w:footnote w:type="continuationSeparator" w:id="0">
    <w:p w14:paraId="318F8C71" w14:textId="77777777" w:rsidR="003E2A7F" w:rsidRDefault="003E2A7F">
      <w:pPr>
        <w:spacing w:after="0" w:line="240" w:lineRule="auto"/>
      </w:pPr>
      <w:r>
        <w:continuationSeparator/>
      </w:r>
    </w:p>
  </w:footnote>
  <w:footnote w:id="1">
    <w:p w14:paraId="11FE39AB" w14:textId="77777777" w:rsidR="00D73348" w:rsidRDefault="00DA2883">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ab/>
        <w:t xml:space="preserve"> «Artículo 3°. Funciones. La Agencia Nacional de Contratación Pública –Colombia Compra Eficiente– ejercerá las siguientes funciones: </w:t>
      </w:r>
    </w:p>
    <w:p w14:paraId="60F70C91"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 </w:t>
      </w:r>
    </w:p>
    <w:p w14:paraId="00AA0067"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5. Absolver consultas sobre la aplicación de normas de carácter general y expedir circulares externas en materia de compras y contratación pública».</w:t>
      </w:r>
    </w:p>
    <w:p w14:paraId="14DE2E36"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w:t>
      </w:r>
    </w:p>
    <w:p w14:paraId="2A9F8956"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»Artículo 11. Subdirección de Gestión Contractual. Son funciones de la Subdirección de Gestión Contractual las siguientes: </w:t>
      </w:r>
    </w:p>
    <w:p w14:paraId="456484AB"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 </w:t>
      </w:r>
    </w:p>
    <w:p w14:paraId="3C425CD7"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»8. Absolver consultas sobre la aplicación de normas de carácter general». </w:t>
      </w:r>
    </w:p>
  </w:footnote>
  <w:footnote w:id="2">
    <w:p w14:paraId="58F075A0"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BDD6CF2"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8A93005"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3">
    <w:p w14:paraId="2DA3FAD2"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Gaceta del Congreso de la República No. 71 del 2005.</w:t>
      </w:r>
    </w:p>
    <w:p w14:paraId="06DA1D50"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4">
    <w:p w14:paraId="78A3436D"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C- 1153 de 2005, M.P. Marco Gerardo Monroy Cabra.</w:t>
      </w:r>
    </w:p>
  </w:footnote>
  <w:footnote w:id="5">
    <w:p w14:paraId="2A5EA3BC"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BBC35F2"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6">
    <w:p w14:paraId="4E6E45CD"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778AED9"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7">
    <w:p w14:paraId="6BD8B1D1"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de fecha 24 de julio de 2013, radicado 2166, Consejero Ponente: Álvaro Namén Vargas.  </w:t>
      </w:r>
    </w:p>
  </w:footnote>
  <w:footnote w:id="8">
    <w:p w14:paraId="732A89D8" w14:textId="77777777" w:rsidR="00D73348" w:rsidRDefault="00DA2883">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bookmarkStart w:id="12" w:name="qsh70q" w:colFirst="0" w:colLast="0"/>
      <w:bookmarkEnd w:id="12"/>
      <w:r>
        <w:rPr>
          <w:rFonts w:ascii="Arial" w:eastAsia="Arial" w:hAnsi="Arial" w:cs="Arial"/>
          <w:color w:val="000000"/>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41F72B77" w14:textId="77777777" w:rsidR="00D73348" w:rsidRDefault="00DA2883">
      <w:pP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9">
    <w:p w14:paraId="424B41C8"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bookmarkStart w:id="13" w:name="3as4poj" w:colFirst="0" w:colLast="0"/>
      <w:bookmarkEnd w:id="13"/>
      <w:r>
        <w:rPr>
          <w:rFonts w:ascii="Arial" w:eastAsia="Arial" w:hAnsi="Arial" w:cs="Arial"/>
          <w:color w:val="000000"/>
          <w:sz w:val="19"/>
          <w:szCs w:val="19"/>
        </w:rPr>
        <w:t>«Artículo 38. Prohibiciones para los servidores públicos. A los empleados del Estado les está prohibido:</w:t>
      </w:r>
    </w:p>
    <w:p w14:paraId="5C276F6B"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w:t>
      </w:r>
    </w:p>
    <w:p w14:paraId="6FEA4CEF"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A9670B4"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0">
    <w:p w14:paraId="486E50E1" w14:textId="77777777" w:rsidR="00D73348" w:rsidRPr="00981BE3" w:rsidRDefault="00DA2883">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del 17 de febrero de 2015. C.P. William Zambrano Cetina. Radicación No. 11001-03-06-000-2015-00164-00(2269).</w:t>
      </w:r>
    </w:p>
    <w:p w14:paraId="4B219703"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1">
    <w:p w14:paraId="62AB2EAC"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 20 de febrero de2006. Radicación 11001-03-06-000-2006-00023-00(1724). Consejero Ponente: Flavio Augusto Rodríguez Arce.</w:t>
      </w:r>
    </w:p>
    <w:p w14:paraId="5C2A5B7E"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2">
    <w:p w14:paraId="6004D6E6" w14:textId="77777777" w:rsidR="00D73348" w:rsidRDefault="00DA2883">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B52580" w14:textId="77777777" w:rsidR="00D73348" w:rsidRDefault="00DA2883">
      <w:pP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3">
    <w:p w14:paraId="246C6137" w14:textId="77777777" w:rsidR="00D73348" w:rsidRDefault="00DA2883">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CDA39EB" w14:textId="77777777" w:rsidR="00D73348" w:rsidRDefault="00D73348">
      <w:pPr>
        <w:spacing w:after="0" w:line="240" w:lineRule="auto"/>
        <w:ind w:firstLine="709"/>
        <w:rPr>
          <w:rFonts w:ascii="Arial" w:eastAsia="Arial" w:hAnsi="Arial" w:cs="Arial"/>
          <w:color w:val="000000"/>
          <w:sz w:val="19"/>
          <w:szCs w:val="19"/>
        </w:rPr>
      </w:pPr>
    </w:p>
  </w:footnote>
  <w:footnote w:id="14">
    <w:p w14:paraId="0AECDC64" w14:textId="77777777" w:rsidR="00D73348" w:rsidRPr="00981BE3" w:rsidRDefault="00DA2883">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vertAlign w:val="superscript"/>
        </w:rPr>
        <w:t xml:space="preserve"> </w:t>
      </w:r>
      <w:r>
        <w:rPr>
          <w:rFonts w:ascii="Arial" w:eastAsia="Arial" w:hAnsi="Arial" w:cs="Arial"/>
          <w:color w:val="000000"/>
          <w:sz w:val="19"/>
          <w:szCs w:val="19"/>
        </w:rPr>
        <w:t>Consejo de Estado. Sección Tercera. Sentencia del 23 de junio de 2010. Radicación No. 66001-23-31-000-1998-00261-01(17.860). Consejero Ponente: Mauricio Fajardo Gómez.</w:t>
      </w:r>
    </w:p>
    <w:p w14:paraId="3BCFB116" w14:textId="77777777" w:rsidR="00D73348" w:rsidRDefault="00D73348">
      <w:pPr>
        <w:pBdr>
          <w:top w:val="nil"/>
          <w:left w:val="nil"/>
          <w:bottom w:val="nil"/>
          <w:right w:val="nil"/>
          <w:between w:val="nil"/>
        </w:pBdr>
        <w:spacing w:after="0" w:line="240" w:lineRule="auto"/>
        <w:rPr>
          <w:rFonts w:ascii="Arial" w:eastAsia="Arial" w:hAnsi="Arial" w:cs="Arial"/>
          <w:color w:val="000000"/>
          <w:sz w:val="19"/>
          <w:szCs w:val="19"/>
        </w:rPr>
      </w:pPr>
    </w:p>
  </w:footnote>
  <w:footnote w:id="15">
    <w:p w14:paraId="29C95AC8" w14:textId="77777777" w:rsidR="00D73348" w:rsidRDefault="00DA2883">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C. Sentencia del 11 de diciembre de 2019. Exp. 46.986. C.P. Jaime Enrique Rodríguez Navas.</w:t>
      </w:r>
    </w:p>
  </w:footnote>
  <w:footnote w:id="16">
    <w:p w14:paraId="2CAC7091"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[Referencia propia de la cita] «CE. SCSC. Concepto de 1 de noviembre de 2016 [Rad. 11001-03-06-000-2016-00125-00(2305)]. MP. Germán Alberto Bula Escobar».</w:t>
      </w:r>
    </w:p>
  </w:footnote>
  <w:footnote w:id="17">
    <w:p w14:paraId="6E673035"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[Referencia propia de la cita] «CE. SCSC. Concepto de 30 de abril de 2008 [Rad. 11001-03-06-000-2008-00013-00(1881)]. MP. Enrique José Arboleda Perdomo. En esta oportunidad, la Sala indicó que el contenido </w:t>
      </w:r>
      <w:r>
        <w:rPr>
          <w:rFonts w:ascii="Arial" w:eastAsia="Arial" w:hAnsi="Arial" w:cs="Arial"/>
          <w:i/>
          <w:color w:val="000000"/>
          <w:sz w:val="19"/>
          <w:szCs w:val="19"/>
        </w:rPr>
        <w:t>“obligacional”</w:t>
      </w:r>
      <w:r>
        <w:rPr>
          <w:rFonts w:ascii="Arial" w:eastAsia="Arial" w:hAnsi="Arial" w:cs="Arial"/>
          <w:color w:val="000000"/>
          <w:sz w:val="19"/>
          <w:szCs w:val="19"/>
        </w:rPr>
        <w:t xml:space="preserve"> de los convenios se estructura definiendo el resultado querido por las partes y los medios que cada entidad despliega para la obtención del respectivo objeto».</w:t>
      </w:r>
    </w:p>
  </w:footnote>
  <w:footnote w:id="18">
    <w:p w14:paraId="07B150AD"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[Referencia propia de la cita] «La normativa vigente del EGCAP </w:t>
      </w:r>
      <w:r>
        <w:rPr>
          <w:rFonts w:ascii="Arial" w:eastAsia="Arial" w:hAnsi="Arial" w:cs="Arial"/>
          <w:i/>
          <w:color w:val="000000"/>
          <w:sz w:val="19"/>
          <w:szCs w:val="19"/>
        </w:rPr>
        <w:t>[literal c) del numeral 4. del artículo 2 de la Ley 1150/07]</w:t>
      </w:r>
      <w:r>
        <w:rPr>
          <w:rFonts w:ascii="Arial" w:eastAsia="Arial" w:hAnsi="Arial" w:cs="Arial"/>
          <w:color w:val="000000"/>
          <w:sz w:val="19"/>
          <w:szCs w:val="19"/>
        </w:rPr>
        <w:t xml:space="preserve"> se refiere a </w:t>
      </w:r>
      <w:r>
        <w:rPr>
          <w:rFonts w:ascii="Arial" w:eastAsia="Arial" w:hAnsi="Arial" w:cs="Arial"/>
          <w:i/>
          <w:color w:val="000000"/>
          <w:sz w:val="19"/>
          <w:szCs w:val="19"/>
        </w:rPr>
        <w:t>“contratos interadministrativos”</w:t>
      </w:r>
      <w:r>
        <w:rPr>
          <w:rFonts w:ascii="Arial" w:eastAsia="Arial" w:hAnsi="Arial" w:cs="Arial"/>
          <w:color w:val="000000"/>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9">
    <w:p w14:paraId="3870B438"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20">
    <w:p w14:paraId="56BEAB19"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Es lo que sucede, por ejemplo, con el Decreto 092 de 2017, que en su desarrollo hace referencia tanto a los «contratos» como a los «convenios». </w:t>
      </w:r>
    </w:p>
  </w:footnote>
  <w:footnote w:id="21">
    <w:p w14:paraId="6BB6C75B"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2">
    <w:p w14:paraId="5E0ACFC3"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3">
    <w:p w14:paraId="5FD166A5"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del 15 de noviembre de 2007. Expediente número 1863. Consejero Ponente: Luis Fernando Álvarez Jaramillo.</w:t>
      </w:r>
    </w:p>
    <w:p w14:paraId="7F5BBCFA"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4">
    <w:p w14:paraId="7D6DB861" w14:textId="77777777" w:rsidR="00D73348" w:rsidRDefault="00DA2883">
      <w:pPr>
        <w:pBdr>
          <w:top w:val="nil"/>
          <w:left w:val="nil"/>
          <w:bottom w:val="nil"/>
          <w:right w:val="nil"/>
          <w:between w:val="nil"/>
        </w:pBdr>
        <w:spacing w:after="0" w:line="240" w:lineRule="auto"/>
        <w:ind w:firstLine="707"/>
        <w:jc w:val="left"/>
        <w:rPr>
          <w:color w:val="000000"/>
          <w:sz w:val="20"/>
          <w:szCs w:val="20"/>
        </w:rPr>
      </w:pPr>
      <w:r>
        <w:rPr>
          <w:vertAlign w:val="superscript"/>
        </w:rPr>
        <w:footnoteRef/>
      </w:r>
      <w:r>
        <w:rPr>
          <w:color w:val="000000"/>
          <w:sz w:val="20"/>
          <w:szCs w:val="20"/>
        </w:rPr>
        <w:t xml:space="preserve"> Para mayor claridad se remite al peticionario a los conceptos indicados, los cuales se pueden descargan en la relatoría de los concepto de la Agencia Nacional de Contratación Pública – Colombia Compra Eficiente, disponibles en el siguiente enlace: </w:t>
      </w:r>
      <w:hyperlink r:id="rId1" w:history="1">
        <w:r>
          <w:rPr>
            <w:color w:val="000000"/>
            <w:sz w:val="20"/>
            <w:szCs w:val="20"/>
          </w:rPr>
          <w:t>https://relatoria.colombiacompra.gov.co/busqueda/conceptos</w:t>
        </w:r>
      </w:hyperlink>
      <w:r>
        <w:rPr>
          <w:color w:val="000000"/>
          <w:sz w:val="20"/>
          <w:szCs w:val="20"/>
        </w:rPr>
        <w:t xml:space="preserve"> </w:t>
      </w:r>
    </w:p>
    <w:p w14:paraId="7547614A"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25">
    <w:p w14:paraId="4E6C3E0E" w14:textId="77777777" w:rsidR="00D73348" w:rsidRDefault="00DA2883">
      <w:pPr>
        <w:spacing w:before="87" w:line="244" w:lineRule="auto"/>
        <w:ind w:left="300" w:right="306" w:firstLine="707"/>
        <w:rPr>
          <w:sz w:val="18"/>
          <w:szCs w:val="18"/>
        </w:rPr>
      </w:pPr>
      <w:r>
        <w:rPr>
          <w:vertAlign w:val="superscript"/>
        </w:rPr>
        <w:footnoteRef/>
      </w:r>
      <w:r>
        <w:t xml:space="preserve"> </w:t>
      </w:r>
      <w:r>
        <w:rPr>
          <w:color w:val="4D4D4D"/>
          <w:sz w:val="18"/>
          <w:szCs w:val="18"/>
        </w:rPr>
        <w:t>Ara Pinilla, I., Presupuestos y posibilidades de la doctrina de los conceptos jurídicos indeterminados</w:t>
      </w:r>
      <w:r>
        <w:rPr>
          <w:rFonts w:ascii="Arial" w:eastAsia="Arial" w:hAnsi="Arial" w:cs="Arial"/>
          <w:color w:val="000000"/>
          <w:sz w:val="19"/>
          <w:szCs w:val="19"/>
        </w:rPr>
        <w:t>.</w:t>
      </w:r>
      <w:r>
        <w:rPr>
          <w:color w:val="4D4D4D"/>
          <w:sz w:val="18"/>
          <w:szCs w:val="18"/>
        </w:rPr>
        <w:t xml:space="preserve"> Revista crítica de derecho administrativo, 90/2014, p. 112. </w:t>
      </w:r>
      <w:r>
        <w:rPr>
          <w:rFonts w:ascii="Arial" w:eastAsia="Arial" w:hAnsi="Arial" w:cs="Arial"/>
          <w:color w:val="000000"/>
          <w:sz w:val="19"/>
          <w:szCs w:val="19"/>
        </w:rPr>
        <w:t>«L</w:t>
      </w:r>
      <w:r>
        <w:rPr>
          <w:color w:val="4D4D4D"/>
          <w:sz w:val="18"/>
          <w:szCs w:val="18"/>
        </w:rPr>
        <w:t>os conceptos jurídicos indeterminados no son sino términos jurídicos abiertos que han de ser precisados en los actos de aplicación del derecho que los contiene y, por consiguiente, perfilados por un operador jurídico que es distinto al de su creación</w:t>
      </w:r>
      <w:r>
        <w:rPr>
          <w:rFonts w:ascii="Arial" w:eastAsia="Arial" w:hAnsi="Arial" w:cs="Arial"/>
          <w:color w:val="000000"/>
          <w:sz w:val="19"/>
          <w:szCs w:val="19"/>
        </w:rPr>
        <w:t>»</w:t>
      </w:r>
      <w:r>
        <w:rPr>
          <w:color w:val="4D4D4D"/>
          <w:sz w:val="18"/>
          <w:szCs w:val="18"/>
        </w:rPr>
        <w:t>.</w:t>
      </w:r>
    </w:p>
    <w:p w14:paraId="299587C3"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26">
    <w:p w14:paraId="68861429" w14:textId="77777777" w:rsidR="00D73348" w:rsidRDefault="00DA2883">
      <w:pPr>
        <w:pBdr>
          <w:top w:val="nil"/>
          <w:left w:val="nil"/>
          <w:bottom w:val="nil"/>
          <w:right w:val="nil"/>
          <w:between w:val="nil"/>
        </w:pBdr>
        <w:spacing w:before="7" w:after="120" w:line="240" w:lineRule="auto"/>
        <w:jc w:val="left"/>
        <w:rPr>
          <w:rFonts w:ascii="Cambria" w:eastAsia="Cambria" w:hAnsi="Cambria" w:cs="Cambria"/>
          <w:color w:val="000000"/>
          <w:sz w:val="17"/>
          <w:szCs w:val="17"/>
        </w:rPr>
      </w:pPr>
      <w:r>
        <w:rPr>
          <w:vertAlign w:val="superscript"/>
        </w:rPr>
        <w:footnoteRef/>
      </w:r>
      <w:r>
        <w:rPr>
          <w:rFonts w:ascii="Cambria" w:eastAsia="Cambria" w:hAnsi="Cambria" w:cs="Cambria"/>
          <w:color w:val="000000"/>
        </w:rPr>
        <w:t xml:space="preserve"> </w:t>
      </w:r>
      <w:r>
        <w:rPr>
          <w:rFonts w:ascii="Cambria" w:eastAsia="Cambria" w:hAnsi="Cambria" w:cs="Cambria"/>
          <w:color w:val="4D4D4D"/>
          <w:sz w:val="18"/>
          <w:szCs w:val="18"/>
        </w:rPr>
        <w:t>Corte Constitucional. Sala Plena. Magistrado Ponente: Mauricio González Cuervo. Sentencia C-435 de 10 de julio de 2010.</w:t>
      </w:r>
      <w:r>
        <w:rPr>
          <w:rFonts w:ascii="Arial" w:eastAsia="Arial" w:hAnsi="Arial" w:cs="Arial"/>
          <w:color w:val="000000"/>
          <w:sz w:val="19"/>
          <w:szCs w:val="19"/>
        </w:rPr>
        <w:t xml:space="preserve"> </w:t>
      </w:r>
      <w:r>
        <w:rPr>
          <w:rFonts w:ascii="Cambria" w:eastAsia="Cambria" w:hAnsi="Cambria" w:cs="Cambria"/>
          <w:color w:val="4D4D4D"/>
          <w:sz w:val="18"/>
          <w:szCs w:val="18"/>
        </w:rPr>
        <w:t>Dichos conceptos son aquellos en los que el sentido para la aplicación de la norma, no se encuentra determinado con exactitud en la ley.</w:t>
      </w:r>
      <w:r>
        <w:rPr>
          <w:rFonts w:ascii="Arial" w:eastAsia="Arial" w:hAnsi="Arial" w:cs="Arial"/>
          <w:color w:val="000000"/>
          <w:sz w:val="19"/>
          <w:szCs w:val="19"/>
        </w:rPr>
        <w:t xml:space="preserve"> </w:t>
      </w:r>
    </w:p>
    <w:p w14:paraId="7AC05E4E" w14:textId="77777777" w:rsidR="00D73348" w:rsidRDefault="00DA2883">
      <w:pPr>
        <w:ind w:left="300" w:right="308"/>
        <w:rPr>
          <w:sz w:val="18"/>
          <w:szCs w:val="18"/>
        </w:rPr>
      </w:pPr>
      <w:r>
        <w:rPr>
          <w:color w:val="4D4D4D"/>
          <w:sz w:val="18"/>
          <w:szCs w:val="18"/>
        </w:rPr>
        <w:t>Consejo de Estado. Sala de lo Contencioso Administrativo. Sección Segunda. Subsección A. Consejero Ponente: William Hernández Gómez. Bogotá, D.C., 10 de mayo de 2018. Radicación número: 11001-03-25- 000-2011-00502-00(1.938-11).</w:t>
      </w:r>
      <w:r>
        <w:rPr>
          <w:rFonts w:ascii="Arial" w:eastAsia="Arial" w:hAnsi="Arial" w:cs="Arial"/>
          <w:color w:val="000000"/>
          <w:sz w:val="19"/>
          <w:szCs w:val="19"/>
        </w:rPr>
        <w:t xml:space="preserve"> «[…] </w:t>
      </w:r>
      <w:r>
        <w:rPr>
          <w:color w:val="4D4D4D"/>
          <w:sz w:val="18"/>
          <w:szCs w:val="18"/>
        </w:rPr>
        <w:t>Conviene aclarar que los conceptos jurídicos indeterminados, entendidos como aquellos conceptos de valor o de experiencia utilizados por el legislador, que limitan o restringen el alcance de los derechos y de las obligaciones que asumen los particulares o las autoridades públicas</w:t>
      </w:r>
      <w:r>
        <w:rPr>
          <w:rFonts w:ascii="Arial" w:eastAsia="Arial" w:hAnsi="Arial" w:cs="Arial"/>
          <w:color w:val="000000"/>
          <w:sz w:val="19"/>
          <w:szCs w:val="19"/>
        </w:rPr>
        <w:t>»</w:t>
      </w:r>
      <w:r>
        <w:rPr>
          <w:color w:val="4D4D4D"/>
          <w:sz w:val="18"/>
          <w:szCs w:val="18"/>
        </w:rPr>
        <w:t>.</w:t>
      </w:r>
    </w:p>
    <w:p w14:paraId="40EEC861"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27">
    <w:p w14:paraId="2389F666" w14:textId="77777777" w:rsidR="00D73348" w:rsidRDefault="00DA2883">
      <w:pPr>
        <w:pBdr>
          <w:top w:val="nil"/>
          <w:left w:val="nil"/>
          <w:bottom w:val="nil"/>
          <w:right w:val="nil"/>
          <w:between w:val="nil"/>
        </w:pBdr>
        <w:spacing w:after="0" w:line="240" w:lineRule="auto"/>
        <w:jc w:val="left"/>
        <w:rPr>
          <w:color w:val="000000"/>
          <w:sz w:val="18"/>
          <w:szCs w:val="18"/>
        </w:rPr>
      </w:pPr>
      <w:r>
        <w:rPr>
          <w:vertAlign w:val="superscript"/>
        </w:rPr>
        <w:footnoteRef/>
      </w:r>
      <w:r>
        <w:rPr>
          <w:color w:val="000000"/>
          <w:sz w:val="20"/>
          <w:szCs w:val="20"/>
        </w:rPr>
        <w:t xml:space="preserve"> </w:t>
      </w:r>
      <w:r>
        <w:rPr>
          <w:color w:val="4D4D4D"/>
          <w:sz w:val="18"/>
          <w:szCs w:val="18"/>
        </w:rPr>
        <w:t xml:space="preserve">Gaceta 71 de 2005. Proyecto de Ley Número 216 de 2005, </w:t>
      </w:r>
      <w:r>
        <w:rPr>
          <w:rFonts w:ascii="Arial" w:eastAsia="Arial" w:hAnsi="Arial" w:cs="Arial"/>
          <w:color w:val="000000"/>
          <w:sz w:val="19"/>
          <w:szCs w:val="19"/>
        </w:rPr>
        <w:t>«</w:t>
      </w:r>
      <w:r>
        <w:rPr>
          <w:color w:val="4D4D4D"/>
          <w:sz w:val="18"/>
          <w:szCs w:val="18"/>
        </w:rPr>
        <w:t>por medio del cual se regula la igualdad entre los candidatos a la Presidencia de la República y las demás materias que establece el Acto Legislativo No. 02 de 2004</w:t>
      </w:r>
      <w:r>
        <w:rPr>
          <w:rFonts w:ascii="Arial" w:eastAsia="Arial" w:hAnsi="Arial" w:cs="Arial"/>
          <w:color w:val="000000"/>
          <w:sz w:val="19"/>
          <w:szCs w:val="19"/>
        </w:rPr>
        <w:t>»</w:t>
      </w:r>
      <w:r>
        <w:rPr>
          <w:color w:val="4D4D4D"/>
          <w:sz w:val="18"/>
          <w:szCs w:val="18"/>
        </w:rPr>
        <w:t xml:space="preserve">. Exposición de motivos: </w:t>
      </w:r>
      <w:r>
        <w:rPr>
          <w:rFonts w:ascii="Arial" w:eastAsia="Arial" w:hAnsi="Arial" w:cs="Arial"/>
          <w:color w:val="000000"/>
          <w:sz w:val="19"/>
          <w:szCs w:val="19"/>
        </w:rPr>
        <w:t>«</w:t>
      </w:r>
      <w:r>
        <w:rPr>
          <w:color w:val="4D4D4D"/>
          <w:sz w:val="18"/>
          <w:szCs w:val="18"/>
        </w:rPr>
        <w:t>Es claro que en una campaña electoral en la cual el Presidente en ejercicio aparezca como candidato, deben ofrecerse todas las garantías de igualdad posibles entre candidatos, y por ello la figura de la reelección presidencial debe ir acompañada de previsiones suficientes que eviten cualquier tipo de arbitrariedad, de ventaja injustificada, de uso irregular de los recursos del Estado en las campañas o falta de garantías en la elección. Y así lo contempla este proyecto de ley estatutaria el cual esperamos sirva de punto de partida para una discusión que deberá buscar el máximo consenso posible entre las fuerzas políticas representadas en el Congreso de la República</w:t>
      </w:r>
      <w:r>
        <w:rPr>
          <w:rFonts w:ascii="Arial" w:eastAsia="Arial" w:hAnsi="Arial" w:cs="Arial"/>
          <w:color w:val="000000"/>
          <w:sz w:val="19"/>
          <w:szCs w:val="19"/>
        </w:rPr>
        <w:t>»</w:t>
      </w:r>
      <w:r>
        <w:rPr>
          <w:color w:val="4D4D4D"/>
          <w:sz w:val="18"/>
          <w:szCs w:val="18"/>
        </w:rPr>
        <w:t>.</w:t>
      </w:r>
    </w:p>
  </w:footnote>
  <w:footnote w:id="28">
    <w:p w14:paraId="7EBE73A1" w14:textId="77777777" w:rsidR="00D73348" w:rsidRDefault="00DA2883">
      <w:pPr>
        <w:ind w:left="300" w:right="357" w:firstLine="50"/>
        <w:rPr>
          <w:sz w:val="18"/>
          <w:szCs w:val="18"/>
        </w:rPr>
      </w:pPr>
      <w:r>
        <w:rPr>
          <w:vertAlign w:val="superscript"/>
        </w:rPr>
        <w:footnoteRef/>
      </w:r>
      <w:r>
        <w:t xml:space="preserve"> </w:t>
      </w:r>
      <w:r>
        <w:rPr>
          <w:color w:val="4E4D4D"/>
          <w:sz w:val="18"/>
          <w:szCs w:val="18"/>
        </w:rPr>
        <w:t xml:space="preserve">Corte Constitucional. Sala Plena. Magistrado Ponente: Alfredo Beltrán Sierra. Sentencia C-183 de 2003. </w:t>
      </w:r>
      <w:r>
        <w:rPr>
          <w:rFonts w:ascii="Arial" w:eastAsia="Arial" w:hAnsi="Arial" w:cs="Arial"/>
          <w:color w:val="000000"/>
          <w:sz w:val="19"/>
          <w:szCs w:val="19"/>
        </w:rPr>
        <w:t>«[</w:t>
      </w:r>
      <w:r>
        <w:rPr>
          <w:color w:val="4E4D4D"/>
          <w:sz w:val="18"/>
          <w:szCs w:val="18"/>
        </w:rPr>
        <w:t>…</w:t>
      </w:r>
      <w:r>
        <w:rPr>
          <w:rFonts w:ascii="Arial" w:eastAsia="Arial" w:hAnsi="Arial" w:cs="Arial"/>
          <w:color w:val="000000"/>
          <w:sz w:val="19"/>
          <w:szCs w:val="19"/>
        </w:rPr>
        <w:t xml:space="preserve">] </w:t>
      </w:r>
      <w:r>
        <w:rPr>
          <w:color w:val="4E4D4D"/>
          <w:sz w:val="18"/>
          <w:szCs w:val="18"/>
        </w:rPr>
        <w:t>Los bienes fiscales o patrimoniales se encuentran destinados a la prestación de servicios públicos que la administración utiliza de forma inmediata, como por ejemplo los edificios en que funcionan las oficinas públicas. Dentro de esta clase de bienes, también se encuentra lo que se denomina bienes fiscales adjudicables, que son aquellos que la Nación puede traspasar a los particulares que cumplan con las exigencias establecidas en la ley, como es el caso de los bienes baldíos</w:t>
      </w:r>
      <w:r>
        <w:rPr>
          <w:rFonts w:ascii="Arial" w:eastAsia="Arial" w:hAnsi="Arial" w:cs="Arial"/>
          <w:color w:val="000000"/>
          <w:sz w:val="19"/>
          <w:szCs w:val="19"/>
        </w:rPr>
        <w:t>»</w:t>
      </w:r>
      <w:r>
        <w:rPr>
          <w:color w:val="4E4D4D"/>
          <w:sz w:val="18"/>
          <w:szCs w:val="18"/>
        </w:rPr>
        <w:t>.</w:t>
      </w:r>
    </w:p>
    <w:p w14:paraId="6B66D9C0"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29">
    <w:p w14:paraId="63BC9B1A" w14:textId="77777777" w:rsidR="00D73348" w:rsidRDefault="00DA2883">
      <w:pPr>
        <w:spacing w:line="242" w:lineRule="auto"/>
        <w:rPr>
          <w:sz w:val="18"/>
          <w:szCs w:val="18"/>
        </w:rPr>
      </w:pPr>
      <w:r>
        <w:rPr>
          <w:vertAlign w:val="superscript"/>
        </w:rPr>
        <w:footnoteRef/>
      </w:r>
      <w:r>
        <w:t xml:space="preserve"> </w:t>
      </w:r>
      <w:r>
        <w:rPr>
          <w:color w:val="4E4D4D"/>
          <w:sz w:val="18"/>
          <w:szCs w:val="18"/>
        </w:rPr>
        <w:t xml:space="preserve">Consejo de Estado. Sección Tercera. </w:t>
      </w:r>
      <w:r>
        <w:rPr>
          <w:rFonts w:ascii="Arial" w:eastAsia="Arial" w:hAnsi="Arial" w:cs="Arial"/>
          <w:color w:val="000000"/>
          <w:sz w:val="19"/>
          <w:szCs w:val="19"/>
        </w:rPr>
        <w:t xml:space="preserve">Providencia del 30 de abril de 2012. </w:t>
      </w:r>
      <w:r>
        <w:rPr>
          <w:color w:val="4E4D4D"/>
          <w:sz w:val="18"/>
          <w:szCs w:val="18"/>
        </w:rPr>
        <w:t xml:space="preserve">Radicación número: 25000-23-26-000-1995-00704-00(21.699). </w:t>
      </w:r>
      <w:r>
        <w:rPr>
          <w:rFonts w:ascii="Arial" w:eastAsia="Arial" w:hAnsi="Arial" w:cs="Arial"/>
          <w:color w:val="000000"/>
          <w:sz w:val="19"/>
          <w:szCs w:val="19"/>
        </w:rPr>
        <w:t>M.P. Ruth Stella Correa Palacio. «</w:t>
      </w:r>
      <w:r>
        <w:rPr>
          <w:color w:val="4E4D4D"/>
          <w:sz w:val="18"/>
          <w:szCs w:val="18"/>
        </w:rPr>
        <w:t>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 propiedad</w:t>
      </w:r>
      <w:r>
        <w:rPr>
          <w:rFonts w:ascii="Arial" w:eastAsia="Arial" w:hAnsi="Arial" w:cs="Arial"/>
          <w:color w:val="000000"/>
          <w:sz w:val="19"/>
          <w:szCs w:val="19"/>
        </w:rPr>
        <w:t>»</w:t>
      </w:r>
      <w:r>
        <w:rPr>
          <w:color w:val="4E4D4D"/>
          <w:sz w:val="18"/>
          <w:szCs w:val="18"/>
        </w:rPr>
        <w:t>.</w:t>
      </w:r>
    </w:p>
    <w:p w14:paraId="55971421"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30">
    <w:p w14:paraId="1FEC0E1B" w14:textId="77777777" w:rsidR="00D73348" w:rsidRDefault="00DA2883">
      <w:pPr>
        <w:pBdr>
          <w:top w:val="nil"/>
          <w:left w:val="nil"/>
          <w:bottom w:val="nil"/>
          <w:right w:val="nil"/>
          <w:between w:val="nil"/>
        </w:pBdr>
        <w:spacing w:after="0" w:line="240" w:lineRule="auto"/>
        <w:ind w:firstLine="707"/>
        <w:rPr>
          <w:rFonts w:ascii="Arial" w:eastAsia="Arial" w:hAnsi="Arial" w:cs="Arial"/>
          <w:color w:val="000000"/>
          <w:sz w:val="19"/>
          <w:szCs w:val="19"/>
        </w:rPr>
      </w:pPr>
      <w:r>
        <w:rPr>
          <w:vertAlign w:val="superscript"/>
        </w:rPr>
        <w:footnoteRef/>
      </w:r>
      <w:r>
        <w:rPr>
          <w:color w:val="000000"/>
          <w:sz w:val="20"/>
          <w:szCs w:val="20"/>
        </w:rPr>
        <w:t xml:space="preserve"> </w:t>
      </w:r>
      <w:r>
        <w:rPr>
          <w:color w:val="4E4D4D"/>
          <w:sz w:val="18"/>
          <w:szCs w:val="18"/>
        </w:rPr>
        <w:t xml:space="preserve">Corte Constitucional, sentencia C-183 de 2003: </w:t>
      </w:r>
      <w:r>
        <w:rPr>
          <w:rFonts w:ascii="Arial" w:eastAsia="Arial" w:hAnsi="Arial" w:cs="Arial"/>
          <w:color w:val="000000"/>
          <w:sz w:val="19"/>
          <w:szCs w:val="19"/>
        </w:rPr>
        <w:t>«</w:t>
      </w:r>
      <w:r>
        <w:rPr>
          <w:color w:val="4E4D4D"/>
          <w:sz w:val="18"/>
          <w:szCs w:val="18"/>
        </w:rPr>
        <w:t>Ahora, los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uso público o bienes públicos del Territorio” (art. 674 C.C.)</w:t>
      </w:r>
      <w:r>
        <w:rPr>
          <w:rFonts w:ascii="Arial" w:eastAsia="Arial" w:hAnsi="Arial" w:cs="Arial"/>
          <w:color w:val="000000"/>
          <w:sz w:val="19"/>
          <w:szCs w:val="19"/>
        </w:rPr>
        <w:t>»</w:t>
      </w:r>
      <w:r>
        <w:rPr>
          <w:color w:val="4E4D4D"/>
          <w:sz w:val="18"/>
          <w:szCs w:val="18"/>
        </w:rPr>
        <w:t>.</w:t>
      </w:r>
    </w:p>
    <w:p w14:paraId="3DE5ECAA" w14:textId="77777777" w:rsidR="00D73348" w:rsidRDefault="00D73348">
      <w:pPr>
        <w:pBdr>
          <w:top w:val="nil"/>
          <w:left w:val="nil"/>
          <w:bottom w:val="nil"/>
          <w:right w:val="nil"/>
          <w:between w:val="nil"/>
        </w:pBdr>
        <w:spacing w:after="0" w:line="240" w:lineRule="auto"/>
        <w:jc w:val="left"/>
        <w:rPr>
          <w:color w:val="000000"/>
          <w:sz w:val="18"/>
          <w:szCs w:val="18"/>
        </w:rPr>
      </w:pPr>
    </w:p>
  </w:footnote>
  <w:footnote w:id="31">
    <w:p w14:paraId="38B4FAD8" w14:textId="77777777" w:rsidR="00D73348" w:rsidRDefault="00DA2883">
      <w:pPr>
        <w:spacing w:after="0" w:line="242" w:lineRule="auto"/>
        <w:ind w:firstLine="707"/>
        <w:rPr>
          <w:rFonts w:ascii="Arial" w:eastAsia="Arial" w:hAnsi="Arial" w:cs="Arial"/>
          <w:color w:val="000000"/>
          <w:sz w:val="19"/>
          <w:szCs w:val="19"/>
        </w:rPr>
      </w:pPr>
      <w:r>
        <w:rPr>
          <w:vertAlign w:val="superscript"/>
        </w:rPr>
        <w:footnoteRef/>
      </w:r>
      <w:r>
        <w:t xml:space="preserve"> </w:t>
      </w:r>
      <w:r>
        <w:rPr>
          <w:color w:val="4E4D4D"/>
          <w:sz w:val="18"/>
          <w:szCs w:val="18"/>
        </w:rPr>
        <w:t xml:space="preserve">Consejo de Estado. Sección Tercera. Subsección A. </w:t>
      </w:r>
      <w:r>
        <w:rPr>
          <w:rFonts w:ascii="Arial" w:eastAsia="Arial" w:hAnsi="Arial" w:cs="Arial"/>
          <w:color w:val="000000"/>
          <w:sz w:val="19"/>
          <w:szCs w:val="19"/>
        </w:rPr>
        <w:t xml:space="preserve">Providencia del 19 de julio de 2018. </w:t>
      </w:r>
      <w:r>
        <w:rPr>
          <w:color w:val="4E4D4D"/>
          <w:sz w:val="18"/>
          <w:szCs w:val="18"/>
        </w:rPr>
        <w:t>C</w:t>
      </w:r>
      <w:r>
        <w:rPr>
          <w:rFonts w:ascii="Arial" w:eastAsia="Arial" w:hAnsi="Arial" w:cs="Arial"/>
          <w:color w:val="000000"/>
          <w:sz w:val="19"/>
          <w:szCs w:val="19"/>
        </w:rPr>
        <w:t>.</w:t>
      </w:r>
      <w:r>
        <w:rPr>
          <w:color w:val="4E4D4D"/>
          <w:sz w:val="18"/>
          <w:szCs w:val="18"/>
        </w:rPr>
        <w:t>P</w:t>
      </w:r>
      <w:r>
        <w:rPr>
          <w:rFonts w:ascii="Arial" w:eastAsia="Arial" w:hAnsi="Arial" w:cs="Arial"/>
          <w:color w:val="000000"/>
          <w:sz w:val="19"/>
          <w:szCs w:val="19"/>
        </w:rPr>
        <w:t>.</w:t>
      </w:r>
      <w:r>
        <w:rPr>
          <w:color w:val="4E4D4D"/>
          <w:sz w:val="18"/>
          <w:szCs w:val="18"/>
        </w:rPr>
        <w:t xml:space="preserve"> </w:t>
      </w:r>
      <w:r>
        <w:rPr>
          <w:rFonts w:ascii="Arial" w:eastAsia="Arial" w:hAnsi="Arial" w:cs="Arial"/>
          <w:color w:val="000000"/>
          <w:sz w:val="19"/>
          <w:szCs w:val="19"/>
        </w:rPr>
        <w:t xml:space="preserve">Radicación número: 25000-23-26-000-00821- 01(36.711). </w:t>
      </w:r>
      <w:r>
        <w:rPr>
          <w:color w:val="4E4D4D"/>
          <w:sz w:val="18"/>
          <w:szCs w:val="18"/>
        </w:rPr>
        <w:t xml:space="preserve">Carlos Alberto Zambrano Barrera. </w:t>
      </w:r>
      <w:r>
        <w:rPr>
          <w:rFonts w:ascii="Arial" w:eastAsia="Arial" w:hAnsi="Arial" w:cs="Arial"/>
          <w:color w:val="000000"/>
          <w:sz w:val="19"/>
          <w:szCs w:val="19"/>
        </w:rPr>
        <w:t>«</w:t>
      </w:r>
      <w:r>
        <w:rPr>
          <w:color w:val="4E4D4D"/>
          <w:sz w:val="18"/>
          <w:szCs w:val="18"/>
        </w:rPr>
        <w:t>En este orden de ideas, se ha señalado que los bienes de uso público son 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Pr>
          <w:rFonts w:ascii="Arial" w:eastAsia="Arial" w:hAnsi="Arial" w:cs="Arial"/>
          <w:color w:val="000000"/>
          <w:sz w:val="19"/>
          <w:szCs w:val="19"/>
        </w:rPr>
        <w:t>»</w:t>
      </w:r>
      <w:r>
        <w:rPr>
          <w:color w:val="4E4D4D"/>
          <w:sz w:val="18"/>
          <w:szCs w:val="18"/>
        </w:rPr>
        <w:t>.</w:t>
      </w:r>
    </w:p>
    <w:p w14:paraId="1207F615" w14:textId="77777777" w:rsidR="00D73348" w:rsidRDefault="00D73348">
      <w:pPr>
        <w:spacing w:line="242" w:lineRule="auto"/>
        <w:ind w:left="300" w:right="306" w:firstLine="707"/>
        <w:rPr>
          <w:sz w:val="18"/>
          <w:szCs w:val="18"/>
        </w:rPr>
      </w:pPr>
    </w:p>
  </w:footnote>
  <w:footnote w:id="32">
    <w:p w14:paraId="56782D4A" w14:textId="77777777" w:rsidR="00D73348" w:rsidRDefault="00DA2883">
      <w:pPr>
        <w:pBdr>
          <w:top w:val="nil"/>
          <w:left w:val="nil"/>
          <w:bottom w:val="nil"/>
          <w:right w:val="nil"/>
          <w:between w:val="nil"/>
        </w:pBdr>
        <w:spacing w:before="5" w:after="120" w:line="240" w:lineRule="auto"/>
        <w:jc w:val="left"/>
        <w:rPr>
          <w:rFonts w:ascii="Cambria" w:eastAsia="Cambria" w:hAnsi="Cambria" w:cs="Cambria"/>
          <w:color w:val="000000"/>
          <w:sz w:val="17"/>
          <w:szCs w:val="17"/>
        </w:rPr>
      </w:pPr>
      <w:r>
        <w:rPr>
          <w:vertAlign w:val="superscript"/>
        </w:rPr>
        <w:footnoteRef/>
      </w:r>
      <w:r>
        <w:rPr>
          <w:rFonts w:ascii="Cambria" w:eastAsia="Cambria" w:hAnsi="Cambria" w:cs="Cambria"/>
          <w:color w:val="000000"/>
        </w:rPr>
        <w:t xml:space="preserve"> </w:t>
      </w:r>
      <w:r>
        <w:rPr>
          <w:rFonts w:ascii="Cambria" w:eastAsia="Cambria" w:hAnsi="Cambria" w:cs="Cambria"/>
          <w:color w:val="4E4D4D"/>
          <w:sz w:val="18"/>
          <w:szCs w:val="18"/>
        </w:rPr>
        <w:t xml:space="preserve">Código Civil: </w:t>
      </w:r>
      <w:r>
        <w:rPr>
          <w:rFonts w:ascii="Arial" w:eastAsia="Arial" w:hAnsi="Arial" w:cs="Arial"/>
          <w:color w:val="000000"/>
          <w:sz w:val="19"/>
          <w:szCs w:val="19"/>
        </w:rPr>
        <w:t>«</w:t>
      </w:r>
      <w:r>
        <w:rPr>
          <w:rFonts w:ascii="Cambria" w:eastAsia="Cambria" w:hAnsi="Cambria" w:cs="Cambria"/>
          <w:color w:val="4E4D4D"/>
          <w:sz w:val="18"/>
          <w:szCs w:val="18"/>
        </w:rPr>
        <w:t>Articulo 2200. Definición y perfeccionamiento del comodato o préstamo de uso. El comodato o préstamo de uso es un contrato en que la una de las partes entrega a la otra gratuitamente una especie mueble o raíz, para que haga uso de ella, y con cargo de restituir la misma especie después de terminar el uso.</w:t>
      </w:r>
    </w:p>
    <w:p w14:paraId="5B6E496C" w14:textId="77777777" w:rsidR="00D73348" w:rsidRDefault="00DA2883">
      <w:pPr>
        <w:ind w:left="300"/>
        <w:rPr>
          <w:sz w:val="18"/>
          <w:szCs w:val="18"/>
        </w:rPr>
      </w:pPr>
      <w:r>
        <w:rPr>
          <w:rFonts w:ascii="Arial" w:eastAsia="Arial" w:hAnsi="Arial" w:cs="Arial"/>
          <w:color w:val="000000"/>
          <w:sz w:val="19"/>
          <w:szCs w:val="19"/>
        </w:rPr>
        <w:t>»</w:t>
      </w:r>
      <w:r>
        <w:rPr>
          <w:color w:val="4E4D4D"/>
          <w:sz w:val="18"/>
          <w:szCs w:val="18"/>
        </w:rPr>
        <w:t>Este contrato no se perfecciona sino por la tradición de la cosa</w:t>
      </w:r>
      <w:r>
        <w:rPr>
          <w:rFonts w:ascii="Arial" w:eastAsia="Arial" w:hAnsi="Arial" w:cs="Arial"/>
          <w:color w:val="000000"/>
          <w:sz w:val="19"/>
          <w:szCs w:val="19"/>
        </w:rPr>
        <w:t>»</w:t>
      </w:r>
      <w:r>
        <w:rPr>
          <w:color w:val="4E4D4D"/>
          <w:sz w:val="18"/>
          <w:szCs w:val="18"/>
        </w:rPr>
        <w:t>.</w:t>
      </w:r>
    </w:p>
    <w:p w14:paraId="31039066"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33">
    <w:p w14:paraId="70C75C90" w14:textId="77777777" w:rsidR="00D73348" w:rsidRDefault="00DA2883">
      <w:pPr>
        <w:spacing w:before="87" w:line="246" w:lineRule="auto"/>
        <w:ind w:left="300" w:right="308" w:firstLine="707"/>
        <w:rPr>
          <w:sz w:val="18"/>
          <w:szCs w:val="18"/>
        </w:rPr>
      </w:pPr>
      <w:r>
        <w:rPr>
          <w:vertAlign w:val="superscript"/>
        </w:rPr>
        <w:footnoteRef/>
      </w:r>
      <w:r>
        <w:t xml:space="preserve"> </w:t>
      </w:r>
      <w:r>
        <w:rPr>
          <w:color w:val="4E4D4D"/>
          <w:sz w:val="18"/>
          <w:szCs w:val="18"/>
        </w:rPr>
        <w:t xml:space="preserve">Consejo de Estado. Sección Tercera. Subsección A. </w:t>
      </w:r>
      <w:r>
        <w:rPr>
          <w:rFonts w:ascii="Arial" w:eastAsia="Arial" w:hAnsi="Arial" w:cs="Arial"/>
          <w:color w:val="000000"/>
          <w:sz w:val="19"/>
          <w:szCs w:val="19"/>
        </w:rPr>
        <w:t xml:space="preserve">Sentencia del </w:t>
      </w:r>
      <w:r>
        <w:rPr>
          <w:color w:val="4E4D4D"/>
          <w:sz w:val="18"/>
          <w:szCs w:val="18"/>
        </w:rPr>
        <w:t>9 de abril de 2014. Radicación 85001- 23-31-000-2000-00178-01(23.040).</w:t>
      </w:r>
      <w:r>
        <w:rPr>
          <w:rFonts w:ascii="Arial" w:eastAsia="Arial" w:hAnsi="Arial" w:cs="Arial"/>
          <w:color w:val="000000"/>
          <w:sz w:val="19"/>
          <w:szCs w:val="19"/>
        </w:rPr>
        <w:t xml:space="preserve"> C.P. Carlos Alberto Zambrano Barrera.</w:t>
      </w:r>
    </w:p>
    <w:p w14:paraId="2B36F367"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34">
    <w:p w14:paraId="76249041" w14:textId="77777777" w:rsidR="00D73348" w:rsidRDefault="00DA2883">
      <w:pPr>
        <w:pBdr>
          <w:top w:val="nil"/>
          <w:left w:val="nil"/>
          <w:bottom w:val="nil"/>
          <w:right w:val="nil"/>
          <w:between w:val="nil"/>
        </w:pBdr>
        <w:spacing w:after="0" w:line="240" w:lineRule="auto"/>
        <w:jc w:val="left"/>
        <w:rPr>
          <w:color w:val="000000"/>
          <w:sz w:val="18"/>
          <w:szCs w:val="18"/>
        </w:rPr>
      </w:pPr>
      <w:r>
        <w:rPr>
          <w:vertAlign w:val="superscript"/>
        </w:rPr>
        <w:footnoteRef/>
      </w:r>
      <w:r>
        <w:rPr>
          <w:color w:val="000000"/>
          <w:sz w:val="20"/>
          <w:szCs w:val="20"/>
        </w:rPr>
        <w:t xml:space="preserve"> </w:t>
      </w:r>
      <w:r>
        <w:rPr>
          <w:color w:val="4E4D4D"/>
          <w:sz w:val="18"/>
          <w:szCs w:val="18"/>
        </w:rPr>
        <w:t>Código Civil</w:t>
      </w:r>
      <w:r>
        <w:rPr>
          <w:rFonts w:ascii="Arial" w:eastAsia="Arial" w:hAnsi="Arial" w:cs="Arial"/>
          <w:color w:val="000000"/>
          <w:sz w:val="19"/>
          <w:szCs w:val="19"/>
        </w:rPr>
        <w:t>:</w:t>
      </w:r>
      <w:r>
        <w:rPr>
          <w:color w:val="4E4D4D"/>
          <w:sz w:val="18"/>
          <w:szCs w:val="18"/>
        </w:rPr>
        <w:t xml:space="preserve"> </w:t>
      </w:r>
      <w:r>
        <w:rPr>
          <w:rFonts w:ascii="Arial" w:eastAsia="Arial" w:hAnsi="Arial" w:cs="Arial"/>
          <w:color w:val="000000"/>
          <w:sz w:val="19"/>
          <w:szCs w:val="19"/>
        </w:rPr>
        <w:t>«</w:t>
      </w:r>
      <w:r>
        <w:rPr>
          <w:color w:val="4E4D4D"/>
          <w:sz w:val="18"/>
          <w:szCs w:val="18"/>
        </w:rPr>
        <w:t>Artículo 1443, La donación entre vivos es un acto por el cual una persona transfiere, gratuita e irrevocablemente, una parte de sus bienes a otra persona que la acepta</w:t>
      </w:r>
      <w:r>
        <w:rPr>
          <w:rFonts w:ascii="Arial" w:eastAsia="Arial" w:hAnsi="Arial" w:cs="Arial"/>
          <w:color w:val="000000"/>
          <w:sz w:val="19"/>
          <w:szCs w:val="19"/>
        </w:rPr>
        <w:t>»</w:t>
      </w:r>
      <w:r>
        <w:rPr>
          <w:color w:val="4E4D4D"/>
          <w:sz w:val="18"/>
          <w:szCs w:val="18"/>
        </w:rPr>
        <w:t>.</w:t>
      </w:r>
    </w:p>
  </w:footnote>
  <w:footnote w:id="35">
    <w:p w14:paraId="73BF05A5" w14:textId="77777777" w:rsidR="00D73348" w:rsidRDefault="00DA2883">
      <w:pPr>
        <w:pBdr>
          <w:top w:val="nil"/>
          <w:left w:val="nil"/>
          <w:bottom w:val="nil"/>
          <w:right w:val="nil"/>
          <w:between w:val="nil"/>
        </w:pBdr>
        <w:spacing w:after="0" w:line="240" w:lineRule="auto"/>
        <w:ind w:firstLine="707"/>
        <w:rPr>
          <w:rFonts w:ascii="Arial" w:eastAsia="Arial" w:hAnsi="Arial" w:cs="Arial"/>
          <w:color w:val="000000"/>
          <w:sz w:val="19"/>
          <w:szCs w:val="19"/>
        </w:rPr>
      </w:pPr>
      <w:r>
        <w:rPr>
          <w:vertAlign w:val="superscript"/>
        </w:rPr>
        <w:footnoteRef/>
      </w:r>
    </w:p>
    <w:p w14:paraId="02488AD9" w14:textId="77777777" w:rsidR="00D73348" w:rsidRDefault="00DA2883">
      <w:pPr>
        <w:pBdr>
          <w:top w:val="nil"/>
          <w:left w:val="nil"/>
          <w:bottom w:val="nil"/>
          <w:right w:val="nil"/>
          <w:between w:val="nil"/>
        </w:pBdr>
        <w:spacing w:after="0" w:line="240" w:lineRule="auto"/>
        <w:ind w:firstLine="707"/>
        <w:rPr>
          <w:rFonts w:ascii="Arial" w:eastAsia="Arial" w:hAnsi="Arial" w:cs="Arial"/>
          <w:color w:val="4E4D4D"/>
          <w:sz w:val="19"/>
          <w:szCs w:val="19"/>
        </w:rPr>
      </w:pPr>
      <w:r>
        <w:rPr>
          <w:color w:val="000000"/>
          <w:sz w:val="20"/>
          <w:szCs w:val="20"/>
        </w:rPr>
        <w:t xml:space="preserve"> </w:t>
      </w:r>
      <w:r>
        <w:rPr>
          <w:color w:val="4E4D4D"/>
          <w:sz w:val="18"/>
          <w:szCs w:val="18"/>
        </w:rPr>
        <w:t>Consejo de Estado</w:t>
      </w:r>
      <w:r>
        <w:rPr>
          <w:rFonts w:ascii="Arial" w:eastAsia="Arial" w:hAnsi="Arial" w:cs="Arial"/>
          <w:color w:val="000000"/>
          <w:sz w:val="19"/>
          <w:szCs w:val="19"/>
        </w:rPr>
        <w:t>.</w:t>
      </w:r>
      <w:r>
        <w:rPr>
          <w:color w:val="4E4D4D"/>
          <w:sz w:val="18"/>
          <w:szCs w:val="18"/>
        </w:rPr>
        <w:t xml:space="preserve"> Sección Tercera</w:t>
      </w:r>
      <w:r>
        <w:rPr>
          <w:rFonts w:ascii="Arial" w:eastAsia="Arial" w:hAnsi="Arial" w:cs="Arial"/>
          <w:color w:val="000000"/>
          <w:sz w:val="19"/>
          <w:szCs w:val="19"/>
        </w:rPr>
        <w:t>.</w:t>
      </w:r>
      <w:r>
        <w:rPr>
          <w:color w:val="4E4D4D"/>
          <w:sz w:val="18"/>
          <w:szCs w:val="18"/>
        </w:rPr>
        <w:t xml:space="preserve"> Subsección A</w:t>
      </w:r>
      <w:r>
        <w:rPr>
          <w:rFonts w:ascii="Arial" w:eastAsia="Arial" w:hAnsi="Arial" w:cs="Arial"/>
          <w:color w:val="000000"/>
          <w:sz w:val="19"/>
          <w:szCs w:val="19"/>
        </w:rPr>
        <w:t>.</w:t>
      </w:r>
      <w:r>
        <w:rPr>
          <w:color w:val="4E4D4D"/>
          <w:sz w:val="18"/>
          <w:szCs w:val="18"/>
        </w:rPr>
        <w:t xml:space="preserve"> </w:t>
      </w:r>
      <w:r>
        <w:rPr>
          <w:rFonts w:ascii="Arial" w:eastAsia="Arial" w:hAnsi="Arial" w:cs="Arial"/>
          <w:color w:val="000000"/>
          <w:sz w:val="19"/>
          <w:szCs w:val="19"/>
        </w:rPr>
        <w:t>S</w:t>
      </w:r>
      <w:r>
        <w:rPr>
          <w:color w:val="4E4D4D"/>
          <w:sz w:val="18"/>
          <w:szCs w:val="18"/>
        </w:rPr>
        <w:t>entencia del 25 de mayo de 2016</w:t>
      </w:r>
      <w:r>
        <w:rPr>
          <w:rFonts w:ascii="Arial" w:eastAsia="Arial" w:hAnsi="Arial" w:cs="Arial"/>
          <w:color w:val="000000"/>
          <w:sz w:val="19"/>
          <w:szCs w:val="19"/>
        </w:rPr>
        <w:t>.</w:t>
      </w:r>
      <w:r>
        <w:rPr>
          <w:color w:val="4E4D4D"/>
          <w:sz w:val="18"/>
          <w:szCs w:val="18"/>
        </w:rPr>
        <w:t xml:space="preserve"> radicado: 52001-23-31-000- 2011-00297-01(AP)</w:t>
      </w:r>
      <w:r>
        <w:rPr>
          <w:rFonts w:ascii="Arial" w:eastAsia="Arial" w:hAnsi="Arial" w:cs="Arial"/>
          <w:color w:val="000000"/>
          <w:sz w:val="19"/>
          <w:szCs w:val="19"/>
        </w:rPr>
        <w:t>. C.P. Hernán Andrade Rincón</w:t>
      </w:r>
      <w:r>
        <w:rPr>
          <w:color w:val="4E4D4D"/>
          <w:sz w:val="18"/>
          <w:szCs w:val="18"/>
        </w:rPr>
        <w:t xml:space="preserve">: </w:t>
      </w:r>
      <w:r>
        <w:rPr>
          <w:rFonts w:ascii="Arial" w:eastAsia="Arial" w:hAnsi="Arial" w:cs="Arial"/>
          <w:color w:val="000000"/>
          <w:sz w:val="19"/>
          <w:szCs w:val="19"/>
        </w:rPr>
        <w:t>«</w:t>
      </w:r>
      <w:r>
        <w:rPr>
          <w:color w:val="4E4D4D"/>
          <w:sz w:val="18"/>
          <w:szCs w:val="18"/>
        </w:rPr>
        <w:t>Al momento de su conceptualización la donación corrió igual fortuna, pues el artículo 1443 del Código Civil la define como el acto por el cual una persona transfiere, gratuita e irrevocablemente, una parte de sus bienes a otra que la acepta, lo que resulta de suyo impreciso, en tanto se está ante un verdadero contrato y no un mero acto,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w:t>
      </w:r>
      <w:r>
        <w:rPr>
          <w:rFonts w:ascii="Arial" w:eastAsia="Arial" w:hAnsi="Arial" w:cs="Arial"/>
          <w:color w:val="000000"/>
          <w:sz w:val="19"/>
          <w:szCs w:val="19"/>
        </w:rPr>
        <w:t>»</w:t>
      </w:r>
      <w:r>
        <w:rPr>
          <w:color w:val="4E4D4D"/>
          <w:sz w:val="18"/>
          <w:szCs w:val="18"/>
        </w:rPr>
        <w:t>.</w:t>
      </w:r>
    </w:p>
    <w:p w14:paraId="34035CB5" w14:textId="77777777" w:rsidR="00D73348" w:rsidRDefault="00D73348">
      <w:pPr>
        <w:pBdr>
          <w:top w:val="nil"/>
          <w:left w:val="nil"/>
          <w:bottom w:val="nil"/>
          <w:right w:val="nil"/>
          <w:between w:val="nil"/>
        </w:pBdr>
        <w:spacing w:after="0" w:line="240" w:lineRule="auto"/>
        <w:jc w:val="left"/>
        <w:rPr>
          <w:color w:val="000000"/>
          <w:sz w:val="18"/>
          <w:szCs w:val="18"/>
        </w:rPr>
      </w:pPr>
    </w:p>
  </w:footnote>
  <w:footnote w:id="36">
    <w:p w14:paraId="0008563D" w14:textId="77777777" w:rsidR="00D73348" w:rsidRDefault="00DA2883">
      <w:pPr>
        <w:spacing w:before="1" w:line="254" w:lineRule="auto"/>
        <w:ind w:left="300" w:right="309" w:firstLine="707"/>
        <w:rPr>
          <w:sz w:val="18"/>
          <w:szCs w:val="18"/>
        </w:rPr>
      </w:pPr>
      <w:r>
        <w:rPr>
          <w:vertAlign w:val="superscript"/>
        </w:rPr>
        <w:footnoteRef/>
      </w:r>
      <w:r>
        <w:t xml:space="preserve"> </w:t>
      </w:r>
      <w:r>
        <w:rPr>
          <w:color w:val="4E4D4D"/>
          <w:sz w:val="18"/>
          <w:szCs w:val="18"/>
        </w:rPr>
        <w:t>Código Civil</w:t>
      </w:r>
      <w:r>
        <w:rPr>
          <w:rFonts w:ascii="Arial" w:eastAsia="Arial" w:hAnsi="Arial" w:cs="Arial"/>
          <w:color w:val="000000"/>
          <w:sz w:val="19"/>
          <w:szCs w:val="19"/>
        </w:rPr>
        <w:t>: «</w:t>
      </w:r>
      <w:r>
        <w:rPr>
          <w:color w:val="4E4D4D"/>
          <w:sz w:val="18"/>
          <w:szCs w:val="18"/>
        </w:rPr>
        <w:t>Artículo 745. Para que valga la tradición se requiere un título traslaticio de dominio, como el de venta, permuta, donación, etc.</w:t>
      </w:r>
    </w:p>
    <w:p w14:paraId="5AE11B67" w14:textId="77777777" w:rsidR="00D73348" w:rsidRDefault="00DA2883">
      <w:pPr>
        <w:ind w:left="300" w:right="480"/>
        <w:rPr>
          <w:sz w:val="18"/>
          <w:szCs w:val="18"/>
        </w:rPr>
      </w:pPr>
      <w:r>
        <w:rPr>
          <w:rFonts w:ascii="Arial" w:eastAsia="Arial" w:hAnsi="Arial" w:cs="Arial"/>
          <w:color w:val="000000"/>
          <w:sz w:val="19"/>
          <w:szCs w:val="19"/>
        </w:rPr>
        <w:t>»</w:t>
      </w:r>
      <w:r>
        <w:rPr>
          <w:color w:val="4E4D4D"/>
          <w:sz w:val="18"/>
          <w:szCs w:val="18"/>
        </w:rPr>
        <w:t>Se requiere, además que el título sea válido respecto de la persona a quien se confiere. Aso el título de donación irrevocable no transfiere el dominio entre cónyuges</w:t>
      </w:r>
      <w:r>
        <w:rPr>
          <w:rFonts w:ascii="Arial" w:eastAsia="Arial" w:hAnsi="Arial" w:cs="Arial"/>
          <w:color w:val="000000"/>
          <w:sz w:val="19"/>
          <w:szCs w:val="19"/>
        </w:rPr>
        <w:t>»</w:t>
      </w:r>
      <w:r>
        <w:rPr>
          <w:color w:val="4E4D4D"/>
          <w:sz w:val="18"/>
          <w:szCs w:val="18"/>
        </w:rPr>
        <w:t>.</w:t>
      </w:r>
    </w:p>
    <w:p w14:paraId="08E535EF"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37">
    <w:p w14:paraId="5C52C812" w14:textId="77777777" w:rsidR="00D73348" w:rsidRDefault="00DA2883">
      <w:pPr>
        <w:spacing w:before="1" w:line="249" w:lineRule="auto"/>
        <w:ind w:left="100" w:firstLine="707"/>
        <w:rPr>
          <w:color w:val="000000"/>
          <w:sz w:val="18"/>
          <w:szCs w:val="18"/>
        </w:rPr>
      </w:pPr>
      <w:r>
        <w:rPr>
          <w:vertAlign w:val="superscript"/>
        </w:rPr>
        <w:footnoteRef/>
      </w:r>
      <w:r>
        <w:rPr>
          <w:color w:val="000000"/>
        </w:rPr>
        <w:t xml:space="preserve"> </w:t>
      </w:r>
      <w:r>
        <w:rPr>
          <w:rFonts w:ascii="Arial" w:eastAsia="Arial" w:hAnsi="Arial" w:cs="Arial"/>
          <w:color w:val="000000"/>
          <w:sz w:val="19"/>
          <w:szCs w:val="19"/>
        </w:rPr>
        <w:t>«</w:t>
      </w:r>
      <w:r>
        <w:rPr>
          <w:color w:val="000000"/>
          <w:sz w:val="18"/>
          <w:szCs w:val="18"/>
        </w:rPr>
        <w:t>4. Contratación directa. La modalidad de selección de contratación directa, solamente procederá en los siguientes casos:</w:t>
      </w:r>
    </w:p>
    <w:p w14:paraId="6ED247DB" w14:textId="77777777" w:rsidR="00D73348" w:rsidRDefault="00DA2883">
      <w:pPr>
        <w:spacing w:line="199" w:lineRule="auto"/>
        <w:ind w:left="100"/>
        <w:rPr>
          <w:color w:val="000000"/>
          <w:sz w:val="18"/>
          <w:szCs w:val="18"/>
        </w:rPr>
      </w:pPr>
      <w:r>
        <w:rPr>
          <w:color w:val="000000"/>
          <w:sz w:val="18"/>
          <w:szCs w:val="18"/>
        </w:rPr>
        <w:t>(…)</w:t>
      </w:r>
    </w:p>
    <w:p w14:paraId="141B9D4A" w14:textId="77777777" w:rsidR="00D73348" w:rsidRDefault="00DA2883">
      <w:pPr>
        <w:pBdr>
          <w:top w:val="nil"/>
          <w:left w:val="nil"/>
          <w:bottom w:val="nil"/>
          <w:right w:val="nil"/>
          <w:between w:val="nil"/>
        </w:pBdr>
        <w:spacing w:after="0" w:line="240" w:lineRule="auto"/>
        <w:jc w:val="left"/>
        <w:rPr>
          <w:color w:val="000000"/>
          <w:sz w:val="20"/>
          <w:szCs w:val="20"/>
        </w:rPr>
      </w:pPr>
      <w:r>
        <w:rPr>
          <w:rFonts w:ascii="Arial" w:eastAsia="Arial" w:hAnsi="Arial" w:cs="Arial"/>
          <w:color w:val="000000"/>
          <w:sz w:val="19"/>
          <w:szCs w:val="19"/>
        </w:rPr>
        <w:t>»</w:t>
      </w:r>
      <w:r>
        <w:rPr>
          <w:color w:val="000000"/>
          <w:sz w:val="18"/>
          <w:szCs w:val="18"/>
        </w:rPr>
        <w:t>i) El arrendamiento o adquisición de inmuebles</w:t>
      </w:r>
      <w:r>
        <w:rPr>
          <w:rFonts w:ascii="Arial" w:eastAsia="Arial" w:hAnsi="Arial" w:cs="Arial"/>
          <w:color w:val="000000"/>
          <w:sz w:val="19"/>
          <w:szCs w:val="19"/>
        </w:rPr>
        <w:t>»</w:t>
      </w:r>
      <w:r>
        <w:rPr>
          <w:color w:val="000000"/>
          <w:sz w:val="18"/>
          <w:szCs w:val="18"/>
        </w:rPr>
        <w:t>.</w:t>
      </w:r>
    </w:p>
  </w:footnote>
  <w:footnote w:id="38">
    <w:p w14:paraId="026DD5C3" w14:textId="77777777" w:rsidR="00D73348" w:rsidRDefault="00DA2883">
      <w:pPr>
        <w:pBdr>
          <w:top w:val="nil"/>
          <w:left w:val="nil"/>
          <w:bottom w:val="nil"/>
          <w:right w:val="nil"/>
          <w:between w:val="nil"/>
        </w:pBdr>
        <w:spacing w:after="0" w:line="240" w:lineRule="auto"/>
        <w:jc w:val="left"/>
        <w:rPr>
          <w:color w:val="000000"/>
          <w:sz w:val="20"/>
          <w:szCs w:val="20"/>
        </w:rPr>
      </w:pPr>
      <w:r>
        <w:rPr>
          <w:vertAlign w:val="superscript"/>
        </w:rPr>
        <w:footnoteRef/>
      </w:r>
    </w:p>
    <w:p w14:paraId="4AAE3DF4" w14:textId="77777777" w:rsidR="00D73348" w:rsidRDefault="00DA2883">
      <w:pPr>
        <w:ind w:left="100" w:right="108" w:firstLine="707"/>
        <w:rPr>
          <w:color w:val="000000"/>
          <w:sz w:val="18"/>
          <w:szCs w:val="18"/>
        </w:rPr>
      </w:pPr>
      <w:r>
        <w:rPr>
          <w:color w:val="000000"/>
        </w:rPr>
        <w:t xml:space="preserve"> </w:t>
      </w:r>
      <w:r>
        <w:rPr>
          <w:rFonts w:ascii="Arial" w:eastAsia="Arial" w:hAnsi="Arial" w:cs="Arial"/>
          <w:color w:val="000000"/>
          <w:sz w:val="19"/>
          <w:szCs w:val="19"/>
        </w:rPr>
        <w:t>«</w:t>
      </w:r>
      <w:r>
        <w:rPr>
          <w:color w:val="000000"/>
          <w:sz w:val="18"/>
          <w:szCs w:val="18"/>
        </w:rPr>
        <w:t>Artículo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w:t>
      </w:r>
      <w:r>
        <w:rPr>
          <w:rFonts w:ascii="Arial" w:eastAsia="Arial" w:hAnsi="Arial" w:cs="Arial"/>
          <w:color w:val="000000"/>
          <w:sz w:val="19"/>
          <w:szCs w:val="19"/>
        </w:rPr>
        <w:t>»</w:t>
      </w:r>
      <w:r>
        <w:rPr>
          <w:color w:val="000000"/>
          <w:sz w:val="18"/>
          <w:szCs w:val="18"/>
        </w:rPr>
        <w:t>.</w:t>
      </w:r>
    </w:p>
    <w:p w14:paraId="198BA89D" w14:textId="77777777" w:rsidR="00D73348" w:rsidRDefault="00DA2883">
      <w:pPr>
        <w:pBdr>
          <w:top w:val="nil"/>
          <w:left w:val="nil"/>
          <w:bottom w:val="nil"/>
          <w:right w:val="nil"/>
          <w:between w:val="nil"/>
        </w:pBdr>
        <w:spacing w:after="0" w:line="240" w:lineRule="auto"/>
        <w:jc w:val="left"/>
        <w:rPr>
          <w:color w:val="000000"/>
          <w:sz w:val="20"/>
          <w:szCs w:val="20"/>
        </w:rPr>
      </w:pPr>
      <w:r>
        <w:rPr>
          <w:color w:val="000000"/>
          <w:sz w:val="20"/>
          <w:szCs w:val="20"/>
        </w:rPr>
        <w:t xml:space="preserve"> </w:t>
      </w:r>
    </w:p>
  </w:footnote>
  <w:footnote w:id="39">
    <w:p w14:paraId="1DD059E4" w14:textId="77777777" w:rsidR="00D73348" w:rsidRDefault="00DA2883">
      <w:pPr>
        <w:spacing w:before="84" w:line="242" w:lineRule="auto"/>
        <w:ind w:left="100" w:right="110" w:firstLine="707"/>
        <w:rPr>
          <w:color w:val="000000"/>
          <w:sz w:val="18"/>
          <w:szCs w:val="18"/>
        </w:rPr>
      </w:pPr>
      <w:r>
        <w:rPr>
          <w:vertAlign w:val="superscript"/>
        </w:rPr>
        <w:footnoteRef/>
      </w:r>
      <w:r>
        <w:rPr>
          <w:color w:val="000000"/>
        </w:rPr>
        <w:t xml:space="preserve"> </w:t>
      </w:r>
      <w:r>
        <w:rPr>
          <w:color w:val="000000"/>
          <w:sz w:val="18"/>
          <w:szCs w:val="18"/>
        </w:rPr>
        <w:t xml:space="preserve">Código Civil: </w:t>
      </w:r>
      <w:r>
        <w:rPr>
          <w:rFonts w:ascii="Arial" w:eastAsia="Arial" w:hAnsi="Arial" w:cs="Arial"/>
          <w:color w:val="000000"/>
          <w:sz w:val="19"/>
          <w:szCs w:val="19"/>
        </w:rPr>
        <w:t>«</w:t>
      </w:r>
      <w:r>
        <w:rPr>
          <w:color w:val="000000"/>
          <w:sz w:val="18"/>
          <w:szCs w:val="18"/>
        </w:rPr>
        <w:t>Articulo 1973. Definición de arrendamiento. El arrendamiento es un contrato en que las dos partes se obligan recíprocamente, la una a conceder el goce de una cosa, o a ejecutar una obra o prestar un servicio, y la otra a pagar por este goce, obra o servicio un precio determinado</w:t>
      </w:r>
      <w:r>
        <w:rPr>
          <w:rFonts w:ascii="Arial" w:eastAsia="Arial" w:hAnsi="Arial" w:cs="Arial"/>
          <w:color w:val="000000"/>
          <w:sz w:val="19"/>
          <w:szCs w:val="19"/>
        </w:rPr>
        <w:t>»</w:t>
      </w:r>
      <w:r>
        <w:rPr>
          <w:color w:val="000000"/>
          <w:sz w:val="18"/>
          <w:szCs w:val="18"/>
        </w:rPr>
        <w:t>.</w:t>
      </w:r>
    </w:p>
    <w:p w14:paraId="5D1544E9" w14:textId="77777777" w:rsidR="00D73348" w:rsidRDefault="00D73348">
      <w:pPr>
        <w:pBdr>
          <w:top w:val="nil"/>
          <w:left w:val="nil"/>
          <w:bottom w:val="nil"/>
          <w:right w:val="nil"/>
          <w:between w:val="nil"/>
        </w:pBdr>
        <w:spacing w:after="0" w:line="240" w:lineRule="auto"/>
        <w:jc w:val="left"/>
        <w:rPr>
          <w:color w:val="000000"/>
          <w:sz w:val="20"/>
          <w:szCs w:val="20"/>
        </w:rPr>
      </w:pPr>
    </w:p>
  </w:footnote>
  <w:footnote w:id="40">
    <w:p w14:paraId="14018A9F" w14:textId="77777777" w:rsidR="00D73348" w:rsidRDefault="00DA2883">
      <w:pPr>
        <w:pBdr>
          <w:top w:val="nil"/>
          <w:left w:val="nil"/>
          <w:bottom w:val="nil"/>
          <w:right w:val="nil"/>
          <w:between w:val="nil"/>
        </w:pBdr>
        <w:spacing w:after="0" w:line="240" w:lineRule="auto"/>
        <w:ind w:firstLine="720"/>
        <w:jc w:val="left"/>
        <w:rPr>
          <w:color w:val="000000"/>
          <w:sz w:val="20"/>
          <w:szCs w:val="20"/>
        </w:rPr>
      </w:pPr>
      <w:r>
        <w:rPr>
          <w:vertAlign w:val="superscript"/>
        </w:rPr>
        <w:footnoteRef/>
      </w:r>
      <w:r>
        <w:rPr>
          <w:color w:val="000000"/>
          <w:sz w:val="20"/>
          <w:szCs w:val="20"/>
        </w:rPr>
        <w:t xml:space="preserve"> </w:t>
      </w:r>
      <w:r>
        <w:rPr>
          <w:color w:val="000000"/>
          <w:sz w:val="18"/>
          <w:szCs w:val="18"/>
        </w:rPr>
        <w:t>Consejo de Estado. Sala de lo Contencioso Administrativo. Sección Tercera. Subsección C. Consejero Ponente: Jaime Orlando Santofimio Gamboa. Bogotá, D.C., 4 de junio de 2015. Radicación número: 73001-23-31-000-2003-00634-01(37566).</w:t>
      </w:r>
    </w:p>
  </w:footnote>
  <w:footnote w:id="41">
    <w:p w14:paraId="1A2F9F6D"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Que en su artículo 141 establece: «La presente Ley rige a partir de la fecha de su publicación y surte efectos fiscales a partir del 1 de enero de 2022».</w:t>
      </w:r>
    </w:p>
  </w:footnote>
  <w:footnote w:id="42">
    <w:p w14:paraId="3003CBC6"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Correspondiente al Proyecto de Ley 158/21 Cámara y 096/2021 Senado, cuyo texto definitivo fue aprobado en plenaria del Senado de la República el día 19 de octubre de 2021, según la Gaceta  del Congreso de la República nro. 1496. </w:t>
      </w:r>
    </w:p>
  </w:footnote>
  <w:footnote w:id="43">
    <w:p w14:paraId="1CAD4718"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(artículo 346 C.P.); ii) el proyecto de ley de apropiaciones deberá contener la totalidad de los gastos que el Estado pretenda realizar durante la vigencia fiscal respectiva (artículo 347 C.P.; iii)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(artículo 347 Ibídem); iv) debe contener un componente denominado gasto público social que agrupará las partidas de esa naturaleza (artículo 350 C.P.), iv) el Congreso no puede “aumentar ninguna de las partidas del presupuesto de gastos propuestas por el gobierno, ni incluir una nueva, sino con la aceptación escrita del ministro del ramo” (artículo 351, inciso 1, C.P.).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(artículo 346 inciso 2 C.P.); iv)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(artículo 348 C.P.).</w:t>
      </w:r>
    </w:p>
  </w:footnote>
  <w:footnote w:id="44">
    <w:p w14:paraId="3E8D273B"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La Corte Constitucional ha precisado que es una especie de «contrato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  (Corte Constitucional. Sentencia C - 1064 de 2001. MPs. Manuel José Cepeda Espinosa y Jaime Córdoba Triviño).</w:t>
      </w:r>
    </w:p>
  </w:footnote>
  <w:footnote w:id="45">
    <w:p w14:paraId="4826CF29"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C-1124 de 2008 que analizó la constitucionalidad del artículo 61 de la Ley 1169 de 2007.</w:t>
      </w:r>
    </w:p>
  </w:footnote>
  <w:footnote w:id="46">
    <w:p w14:paraId="13E631BD"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Existe una relación inescindible entre la función democrática, administrativa y política del presupuesto y su carácter de instrumento o herramienta de dirección de la economía y la política macroeconómica. Corte Constitucional, Sentencia C - 438 de 2019, MP: Cristina Pardo Schlesinger.</w:t>
      </w:r>
    </w:p>
  </w:footnote>
  <w:footnote w:id="47">
    <w:p w14:paraId="010ECAF9" w14:textId="77777777" w:rsidR="00D73348" w:rsidRDefault="00DA2883">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«Por medio del cual se compilan las leyes 38 de 1989, 179 de 1994 y 225 de 1995 que conforman el estatuto orgánico del presupuesto».</w:t>
      </w:r>
    </w:p>
  </w:footnote>
  <w:footnote w:id="48">
    <w:p w14:paraId="2F8D657C" w14:textId="77777777" w:rsidR="00D73348" w:rsidRDefault="00DA2883">
      <w:pP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6º: «</w:t>
      </w:r>
      <w:r>
        <w:rPr>
          <w:rFonts w:ascii="Arial" w:eastAsia="Arial" w:hAnsi="Arial" w:cs="Arial"/>
          <w:color w:val="000000"/>
          <w:sz w:val="19"/>
          <w:szCs w:val="19"/>
          <w:highlight w:val="white"/>
        </w:rPr>
        <w:t>Sistema presupuestal. Está constituido por un plan financiero, por un plan operativo anual de inversiones y por el presupuesto anual de la Nación».</w:t>
      </w:r>
    </w:p>
  </w:footnote>
  <w:footnote w:id="49">
    <w:p w14:paraId="5E7B1446" w14:textId="77777777" w:rsidR="00D73348" w:rsidRDefault="00DA2883">
      <w:pP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8º: «</w:t>
      </w:r>
      <w:r>
        <w:rPr>
          <w:rFonts w:ascii="Arial" w:eastAsia="Arial" w:hAnsi="Arial" w:cs="Arial"/>
          <w:color w:val="000000"/>
          <w:sz w:val="19"/>
          <w:szCs w:val="19"/>
          <w:highlight w:val="white"/>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32C598AF" w14:textId="77777777" w:rsidR="00D73348" w:rsidRPr="00981BE3" w:rsidRDefault="00D73348" w:rsidP="00981BE3">
      <w:pPr>
        <w:spacing w:after="0" w:line="240" w:lineRule="auto"/>
      </w:pPr>
    </w:p>
    <w:p w14:paraId="617F4C3C" w14:textId="77777777" w:rsidR="00D73348" w:rsidRDefault="00D73348">
      <w:pPr>
        <w:pBdr>
          <w:top w:val="nil"/>
          <w:left w:val="nil"/>
          <w:bottom w:val="nil"/>
          <w:right w:val="nil"/>
          <w:between w:val="nil"/>
        </w:pBdr>
        <w:spacing w:after="0" w:line="240" w:lineRule="auto"/>
        <w:rPr>
          <w:rFonts w:ascii="Arial" w:eastAsia="Arial" w:hAnsi="Arial" w:cs="Arial"/>
          <w:color w:val="000000"/>
          <w:sz w:val="19"/>
          <w:szCs w:val="19"/>
        </w:rPr>
      </w:pPr>
    </w:p>
  </w:footnote>
  <w:footnote w:id="50">
    <w:p w14:paraId="6B9C91C1" w14:textId="77777777" w:rsidR="00D73348" w:rsidRPr="00981BE3"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31 de la Ley 152 de 1994 –por la cual se establece la Ley Orgánica del Presupuesto–. </w:t>
      </w:r>
    </w:p>
  </w:footnote>
  <w:footnote w:id="51">
    <w:p w14:paraId="709091E5"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7539F6E6"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52">
    <w:p w14:paraId="4BC1C75F"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287. Las entidades territoriales gozan de autonomía para la gestión de sus intereses, y dentro de los límites de la Constitución y la ley. En tal virtud tendrán los siguientes derechos: </w:t>
      </w:r>
    </w:p>
    <w:p w14:paraId="640A5E0D"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1. Gobernarse por autoridades propias. </w:t>
      </w:r>
    </w:p>
    <w:p w14:paraId="7CC7110E"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2. Ejercer las competencias que les correspondan. </w:t>
      </w:r>
    </w:p>
    <w:p w14:paraId="7BE63B58" w14:textId="77777777" w:rsidR="00D73348" w:rsidRPr="00981BE3"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 3. Administrar los recursos y establecer los tributos necesarios para el cumplimiento de sus funciones. </w:t>
      </w:r>
    </w:p>
    <w:p w14:paraId="4A7FA983"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4. Participar en las rentas nacionales,»</w:t>
      </w:r>
    </w:p>
  </w:footnote>
  <w:footnote w:id="53">
    <w:p w14:paraId="1E96DAE3"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C-221 del 29 de abril de 1997. M.P. Alejandro Martínez Caballero.</w:t>
      </w:r>
    </w:p>
  </w:footnote>
  <w:footnote w:id="54">
    <w:p w14:paraId="1C57F735" w14:textId="77777777" w:rsidR="00D73348" w:rsidRDefault="00DA2883">
      <w:pPr>
        <w:shd w:val="clear" w:color="auto" w:fill="FFFFFF"/>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T-247 del 10 de abril de 2007. M.P. Rodrigo Escobar Gil.</w:t>
      </w:r>
    </w:p>
  </w:footnote>
  <w:footnote w:id="55">
    <w:p w14:paraId="75B35D54"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El artículo 68 de la Ley 489 de 1998 sobre este sector preceptúa: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56">
    <w:p w14:paraId="7D105EBE" w14:textId="77777777" w:rsidR="00D73348" w:rsidRDefault="00DA2883">
      <w:pP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w:t>
      </w:r>
      <w:bookmarkStart w:id="25" w:name="1pxezwc" w:colFirst="0" w:colLast="0"/>
      <w:bookmarkEnd w:id="25"/>
      <w:r>
        <w:rPr>
          <w:rFonts w:ascii="Arial" w:eastAsia="Arial" w:hAnsi="Arial" w:cs="Arial"/>
          <w:color w:val="000000"/>
          <w:sz w:val="19"/>
          <w:szCs w:val="19"/>
        </w:rPr>
        <w:t>  97.-</w:t>
      </w:r>
      <w:r>
        <w:rPr>
          <w:rFonts w:ascii="Arial" w:eastAsia="Arial" w:hAnsi="Arial" w:cs="Arial"/>
          <w:i/>
          <w:color w:val="000000"/>
          <w:sz w:val="19"/>
          <w:szCs w:val="19"/>
        </w:rPr>
        <w:t> Sociedades de economía mixta</w:t>
      </w:r>
      <w:r>
        <w:rPr>
          <w:rFonts w:ascii="Arial" w:eastAsia="Arial" w:hAnsi="Arial" w:cs="Arial"/>
          <w:b/>
          <w:i/>
          <w:color w:val="000000"/>
          <w:sz w:val="19"/>
          <w:szCs w:val="19"/>
        </w:rPr>
        <w:t>.</w:t>
      </w:r>
      <w:r>
        <w:rPr>
          <w:rFonts w:ascii="Arial" w:eastAsia="Arial" w:hAnsi="Arial" w:cs="Arial"/>
          <w:color w:val="000000"/>
          <w:sz w:val="19"/>
          <w:szCs w:val="19"/>
          <w:highlight w:val="white"/>
        </w:rPr>
        <w:t>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780F8958" w14:textId="77777777" w:rsidR="00D73348" w:rsidRDefault="00D73348">
      <w:pPr>
        <w:pBdr>
          <w:top w:val="nil"/>
          <w:left w:val="nil"/>
          <w:bottom w:val="nil"/>
          <w:right w:val="nil"/>
          <w:between w:val="nil"/>
        </w:pBdr>
        <w:spacing w:after="0" w:line="240" w:lineRule="auto"/>
        <w:rPr>
          <w:rFonts w:ascii="Arial" w:eastAsia="Arial" w:hAnsi="Arial" w:cs="Arial"/>
          <w:color w:val="000000"/>
          <w:sz w:val="19"/>
          <w:szCs w:val="19"/>
        </w:rPr>
      </w:pPr>
    </w:p>
  </w:footnote>
  <w:footnote w:id="57">
    <w:p w14:paraId="0714EB96"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Rodríguez Libardo, Derecho Administrativo, general y colombiano, Editorial Temis, (2015), Bogotá, Colombia, p. 160.</w:t>
      </w:r>
    </w:p>
  </w:footnote>
  <w:footnote w:id="58">
    <w:p w14:paraId="489E7B49" w14:textId="77777777" w:rsidR="00D73348" w:rsidRDefault="00DA2883">
      <w:pP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Pr>
          <w:rFonts w:ascii="Arial" w:eastAsia="Arial" w:hAnsi="Arial" w:cs="Arial"/>
          <w:color w:val="000000"/>
          <w:sz w:val="19"/>
          <w:szCs w:val="19"/>
          <w:highlight w:val="white"/>
        </w:rPr>
        <w:t>las que surgen por la voluntad asociativa de los entes públicos entre sí o con la intervención de particulares, previa autorización legal» (Concepto del 26 de octubre de 2000, Rad. 1291, M.P. Augusto Trejos Jaramillo).</w:t>
      </w:r>
    </w:p>
  </w:footnote>
  <w:footnote w:id="59">
    <w:p w14:paraId="02EC764A"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Ver, Tafur Galvis Álvaro, las entidades descentralizadas, Bogotá, Editorial, Montoya y Araujo, (1984), p. 205. </w:t>
      </w:r>
    </w:p>
  </w:footnote>
  <w:footnote w:id="60">
    <w:p w14:paraId="4482B565" w14:textId="77777777" w:rsidR="00D73348" w:rsidRDefault="00DA2883">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Sala de Consulta y Servicio Civil, Concepto Rad 1291, Ob. Cit. </w:t>
      </w:r>
    </w:p>
  </w:footnote>
  <w:footnote w:id="61">
    <w:p w14:paraId="6575CC97"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C-374 del 25 de agosto de 1994, M.P. Jorge Arango Mejía. </w:t>
      </w:r>
    </w:p>
  </w:footnote>
  <w:footnote w:id="62">
    <w:p w14:paraId="7336B915"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i/>
          <w:color w:val="000000"/>
          <w:sz w:val="19"/>
          <w:szCs w:val="19"/>
        </w:rPr>
        <w:t>Ibid.</w:t>
      </w:r>
    </w:p>
  </w:footnote>
  <w:footnote w:id="63">
    <w:p w14:paraId="156760FA"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p>
  </w:footnote>
  <w:footnote w:id="64">
    <w:p w14:paraId="3A002486"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Registraduría Nacional del Estado Civil, Resolución 2098 del 12 de marzo de 2021, mediante la cual «se fija el calendario electoral del Congreso de la República que se realizarán el 13 de marzo». </w:t>
      </w:r>
    </w:p>
  </w:footnote>
  <w:footnote w:id="65">
    <w:p w14:paraId="3285EA05"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66">
    <w:p w14:paraId="566F8447" w14:textId="77777777" w:rsidR="00D73348" w:rsidRDefault="00DA2883">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Cuyo texto completo puede ser consultado en el link https:/Iidm.presidencia.gov.co/Documents/2021-354-Fallo-tutela-primera instancia.pdf </w:t>
      </w:r>
    </w:p>
    <w:p w14:paraId="0F32760E" w14:textId="77777777" w:rsidR="00D73348" w:rsidRDefault="00D7334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28" w14:textId="77777777" w:rsidR="00D73348" w:rsidRDefault="00DA2883">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911BA15" wp14:editId="381CA7F2">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2B4A3FD5" w14:textId="77777777" w:rsidR="00D73348" w:rsidRDefault="00D73348">
    <w:pPr>
      <w:pBdr>
        <w:top w:val="nil"/>
        <w:left w:val="nil"/>
        <w:bottom w:val="nil"/>
        <w:right w:val="nil"/>
        <w:between w:val="nil"/>
      </w:pBdr>
      <w:tabs>
        <w:tab w:val="center" w:pos="4252"/>
        <w:tab w:val="right" w:pos="8504"/>
      </w:tabs>
      <w:spacing w:after="0"/>
      <w:rPr>
        <w:color w:val="000000"/>
      </w:rPr>
    </w:pPr>
  </w:p>
  <w:p w14:paraId="5A7F8740" w14:textId="77777777" w:rsidR="00D73348" w:rsidRDefault="00D73348">
    <w:pPr>
      <w:pBdr>
        <w:top w:val="nil"/>
        <w:left w:val="nil"/>
        <w:bottom w:val="nil"/>
        <w:right w:val="nil"/>
        <w:between w:val="nil"/>
      </w:pBdr>
      <w:tabs>
        <w:tab w:val="center" w:pos="4252"/>
        <w:tab w:val="right" w:pos="8504"/>
      </w:tabs>
      <w:rPr>
        <w:color w:val="000000"/>
      </w:rPr>
    </w:pPr>
  </w:p>
  <w:p w14:paraId="697476EB" w14:textId="77777777" w:rsidR="00D73348" w:rsidRDefault="00D733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48"/>
    <w:rsid w:val="000627C0"/>
    <w:rsid w:val="003E2A7F"/>
    <w:rsid w:val="004553A4"/>
    <w:rsid w:val="008A1E76"/>
    <w:rsid w:val="00981BE3"/>
    <w:rsid w:val="009A1C50"/>
    <w:rsid w:val="00CF7C6C"/>
    <w:rsid w:val="00D22117"/>
    <w:rsid w:val="00D73348"/>
    <w:rsid w:val="00DA28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7FBB"/>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6364813-D425-44B0-8B1B-DB8C6BD93036}">
  <ds:schemaRefs>
    <ds:schemaRef ds:uri="http://schemas.microsoft.com/sharepoint/v3/contenttype/forms"/>
  </ds:schemaRefs>
</ds:datastoreItem>
</file>

<file path=customXml/itemProps2.xml><?xml version="1.0" encoding="utf-8"?>
<ds:datastoreItem xmlns:ds="http://schemas.openxmlformats.org/officeDocument/2006/customXml" ds:itemID="{66A48D55-A746-4B59-92E5-D378008B1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99A47-4B44-4060-B1A1-85F2CEC8B8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15261</Words>
  <Characters>83941</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Jorge Eliecer Moran Buitrón</cp:lastModifiedBy>
  <cp:revision>3</cp:revision>
  <dcterms:created xsi:type="dcterms:W3CDTF">2022-01-28T17:46:00Z</dcterms:created>
  <dcterms:modified xsi:type="dcterms:W3CDTF">2022-04-21T14:38:00Z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