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C00312" w:rsidRDefault="003C7067" w:rsidP="009F0A44">
      <w:pPr>
        <w:jc w:val="right"/>
        <w:rPr>
          <w:rFonts w:ascii="Arial" w:hAnsi="Arial" w:cs="Arial"/>
          <w:b/>
          <w:sz w:val="16"/>
          <w:szCs w:val="16"/>
          <w:lang w:val="es-ES" w:eastAsia="es-ES"/>
        </w:rPr>
      </w:pPr>
      <w:r w:rsidRPr="00C00312">
        <w:rPr>
          <w:rFonts w:ascii="Arial" w:hAnsi="Arial" w:cs="Arial"/>
          <w:b/>
          <w:sz w:val="16"/>
          <w:szCs w:val="16"/>
          <w:lang w:val="es-ES" w:eastAsia="es-ES"/>
        </w:rPr>
        <w:t>CCE-DES-FM-17</w:t>
      </w:r>
    </w:p>
    <w:p w14:paraId="513EB405" w14:textId="77777777" w:rsidR="009F0A44" w:rsidRPr="00C00312" w:rsidRDefault="009F0A44" w:rsidP="009F0A44">
      <w:pPr>
        <w:rPr>
          <w:rFonts w:ascii="Arial" w:hAnsi="Arial" w:cs="Arial"/>
          <w:b/>
          <w:sz w:val="16"/>
          <w:szCs w:val="16"/>
          <w:lang w:val="es-ES" w:eastAsia="es-ES"/>
        </w:rPr>
      </w:pPr>
    </w:p>
    <w:p w14:paraId="02376B74" w14:textId="72791317" w:rsidR="00763584" w:rsidRDefault="00763584" w:rsidP="00763584">
      <w:pPr>
        <w:jc w:val="both"/>
        <w:rPr>
          <w:rFonts w:ascii="Arial" w:eastAsia="Calibri" w:hAnsi="Arial" w:cs="Arial"/>
          <w:bCs/>
          <w:sz w:val="22"/>
          <w:szCs w:val="22"/>
          <w:lang w:val="es-MX"/>
        </w:rPr>
      </w:pPr>
    </w:p>
    <w:p w14:paraId="2FC6E4DC" w14:textId="77777777" w:rsidR="00862B07" w:rsidRDefault="00862B07" w:rsidP="00763584">
      <w:pPr>
        <w:jc w:val="both"/>
        <w:rPr>
          <w:rFonts w:ascii="Arial" w:eastAsia="Calibri" w:hAnsi="Arial" w:cs="Arial"/>
          <w:b/>
          <w:sz w:val="22"/>
          <w:szCs w:val="22"/>
          <w:lang w:val="es-MX"/>
        </w:rPr>
      </w:pPr>
      <w:r>
        <w:rPr>
          <w:rFonts w:ascii="Arial" w:eastAsia="Calibri" w:hAnsi="Arial" w:cs="Arial"/>
          <w:b/>
          <w:sz w:val="22"/>
          <w:szCs w:val="22"/>
          <w:lang w:val="es-MX"/>
        </w:rPr>
        <w:t xml:space="preserve">LEY DE GARANTÍAS ELECTORALES – Naturaleza Jurídica </w:t>
      </w:r>
    </w:p>
    <w:p w14:paraId="188C32FC" w14:textId="20CCD82A" w:rsidR="00862B07" w:rsidRDefault="00862B07" w:rsidP="00763584">
      <w:pPr>
        <w:jc w:val="both"/>
        <w:rPr>
          <w:rFonts w:ascii="Arial" w:eastAsia="Calibri" w:hAnsi="Arial" w:cs="Arial"/>
          <w:b/>
          <w:sz w:val="22"/>
          <w:szCs w:val="22"/>
          <w:lang w:val="es-MX"/>
        </w:rPr>
      </w:pPr>
    </w:p>
    <w:p w14:paraId="6D8D7E39" w14:textId="073FD09D" w:rsidR="00862B07" w:rsidRPr="0094584C" w:rsidRDefault="00862B07" w:rsidP="00862B07">
      <w:pPr>
        <w:jc w:val="both"/>
        <w:rPr>
          <w:rFonts w:ascii="Arial" w:eastAsia="Calibri" w:hAnsi="Arial" w:cs="Arial"/>
          <w:b/>
          <w:sz w:val="20"/>
          <w:szCs w:val="20"/>
          <w:lang w:val="es-MX"/>
        </w:rPr>
      </w:pPr>
      <w:r w:rsidRPr="0094584C">
        <w:rPr>
          <w:rFonts w:ascii="Arial"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2FCC2AF8" w14:textId="3F779BAE" w:rsidR="00A425A1" w:rsidRDefault="00A425A1" w:rsidP="00763584">
      <w:pPr>
        <w:jc w:val="both"/>
        <w:rPr>
          <w:rFonts w:ascii="Arial" w:eastAsia="Calibri" w:hAnsi="Arial" w:cs="Arial"/>
          <w:b/>
          <w:sz w:val="22"/>
          <w:szCs w:val="22"/>
          <w:lang w:val="es-MX"/>
        </w:rPr>
      </w:pPr>
    </w:p>
    <w:p w14:paraId="6A9C3454" w14:textId="29B787CA" w:rsidR="00862B07" w:rsidRDefault="00862B07" w:rsidP="00763584">
      <w:pPr>
        <w:jc w:val="both"/>
        <w:rPr>
          <w:rFonts w:ascii="Arial" w:eastAsia="Calibri" w:hAnsi="Arial" w:cs="Arial"/>
          <w:b/>
          <w:sz w:val="22"/>
          <w:szCs w:val="22"/>
          <w:lang w:val="es-MX"/>
        </w:rPr>
      </w:pPr>
      <w:r>
        <w:rPr>
          <w:rFonts w:ascii="Arial" w:eastAsia="Calibri" w:hAnsi="Arial" w:cs="Arial"/>
          <w:b/>
          <w:sz w:val="22"/>
          <w:szCs w:val="22"/>
          <w:lang w:val="es-MX"/>
        </w:rPr>
        <w:t xml:space="preserve">LEY DE GARANTÍAS ELECTORALES – Prohibiciones </w:t>
      </w:r>
    </w:p>
    <w:p w14:paraId="15B0C380" w14:textId="61031006" w:rsidR="00862B07" w:rsidRDefault="00862B07" w:rsidP="00763584">
      <w:pPr>
        <w:jc w:val="both"/>
        <w:rPr>
          <w:rFonts w:ascii="Arial" w:eastAsia="Calibri" w:hAnsi="Arial" w:cs="Arial"/>
          <w:b/>
          <w:sz w:val="22"/>
          <w:szCs w:val="22"/>
          <w:lang w:val="es-MX"/>
        </w:rPr>
      </w:pPr>
    </w:p>
    <w:p w14:paraId="6A0C8A35" w14:textId="77777777" w:rsidR="00862B07" w:rsidRPr="0094584C" w:rsidRDefault="00862B07" w:rsidP="0094584C">
      <w:pPr>
        <w:spacing w:after="120"/>
        <w:jc w:val="both"/>
        <w:rPr>
          <w:rFonts w:ascii="Arial" w:eastAsia="Arial" w:hAnsi="Arial" w:cs="Arial"/>
          <w:sz w:val="20"/>
          <w:szCs w:val="20"/>
          <w:lang w:val="es-ES" w:eastAsia="es-ES" w:bidi="es-ES"/>
        </w:rPr>
      </w:pPr>
      <w:r w:rsidRPr="0094584C">
        <w:rPr>
          <w:rFonts w:ascii="Arial" w:hAnsi="Arial" w:cs="Arial"/>
          <w:bCs/>
          <w:sz w:val="20"/>
          <w:szCs w:val="20"/>
          <w:lang w:val="es-MX" w:eastAsia="es-CO"/>
        </w:rPr>
        <w:t>De</w:t>
      </w:r>
      <w:r w:rsidRPr="0094584C">
        <w:rPr>
          <w:rFonts w:ascii="Arial" w:eastAsia="Arial" w:hAnsi="Arial" w:cs="Arial"/>
          <w:sz w:val="20"/>
          <w:szCs w:val="20"/>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E1EF3E8" w14:textId="6E280C64" w:rsidR="00862B07" w:rsidRPr="0094584C" w:rsidRDefault="00862B07" w:rsidP="0094584C">
      <w:pPr>
        <w:spacing w:after="120"/>
        <w:jc w:val="both"/>
        <w:rPr>
          <w:rFonts w:ascii="Arial" w:eastAsia="Calibri" w:hAnsi="Arial" w:cs="Arial"/>
          <w:sz w:val="20"/>
          <w:szCs w:val="20"/>
        </w:rPr>
      </w:pPr>
      <w:r w:rsidRPr="0094584C">
        <w:rPr>
          <w:rFonts w:ascii="Arial" w:eastAsia="Calibri" w:hAnsi="Arial" w:cs="Arial"/>
          <w:sz w:val="20"/>
          <w:szCs w:val="20"/>
        </w:rPr>
        <w:t xml:space="preserve">Por un lado, el artículo 33 de la Ley 996 de 2005 prohíbe </w:t>
      </w:r>
      <w:r w:rsidRPr="0094584C">
        <w:rPr>
          <w:rFonts w:ascii="Arial" w:eastAsia="Calibri" w:hAnsi="Arial" w:cs="Arial"/>
          <w:bCs/>
          <w:sz w:val="20"/>
          <w:szCs w:val="20"/>
        </w:rPr>
        <w:t xml:space="preserve">«[…] </w:t>
      </w:r>
      <w:r w:rsidRPr="0094584C">
        <w:rPr>
          <w:rFonts w:ascii="Arial" w:eastAsia="Calibri" w:hAnsi="Arial" w:cs="Arial"/>
          <w:sz w:val="20"/>
          <w:szCs w:val="20"/>
        </w:rPr>
        <w:t>la contratación directa por parte de todos los entes del Estado</w:t>
      </w:r>
      <w:r w:rsidRPr="0094584C">
        <w:rPr>
          <w:rFonts w:ascii="Arial" w:eastAsia="Calibri" w:hAnsi="Arial" w:cs="Arial"/>
          <w:bCs/>
          <w:sz w:val="20"/>
          <w:szCs w:val="20"/>
        </w:rPr>
        <w:t>»</w:t>
      </w:r>
      <w:r w:rsidRPr="0094584C">
        <w:rPr>
          <w:rFonts w:ascii="Arial" w:eastAsia="Calibri" w:hAnsi="Arial" w:cs="Arial"/>
          <w:sz w:val="20"/>
          <w:szCs w:val="20"/>
        </w:rPr>
        <w:t xml:space="preserve"> durante los cuatro (4) meses anteriores a las elecciones presidenciales, salvo </w:t>
      </w:r>
      <w:r w:rsidRPr="0094584C">
        <w:rPr>
          <w:rFonts w:ascii="Arial" w:eastAsia="Calibri" w:hAnsi="Arial" w:cs="Arial"/>
          <w:bCs/>
          <w:sz w:val="20"/>
          <w:szCs w:val="20"/>
        </w:rPr>
        <w:t xml:space="preserve">«[…] </w:t>
      </w:r>
      <w:r w:rsidRPr="0094584C">
        <w:rPr>
          <w:rFonts w:ascii="Arial" w:eastAsia="Calibri" w:hAnsi="Arial"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4584C">
        <w:rPr>
          <w:rFonts w:ascii="Arial" w:eastAsia="Calibri" w:hAnsi="Arial" w:cs="Arial"/>
          <w:bCs/>
          <w:sz w:val="20"/>
          <w:szCs w:val="20"/>
        </w:rPr>
        <w:t>»</w:t>
      </w:r>
      <w:r w:rsidRPr="0094584C">
        <w:rPr>
          <w:rFonts w:ascii="Arial" w:eastAsia="Calibri" w:hAnsi="Arial" w:cs="Arial"/>
          <w:sz w:val="20"/>
          <w:szCs w:val="20"/>
        </w:rPr>
        <w:t>.</w:t>
      </w:r>
    </w:p>
    <w:p w14:paraId="4D8AACF1" w14:textId="6A4D0617" w:rsidR="00862B07" w:rsidRPr="0094584C" w:rsidRDefault="00862B07" w:rsidP="00862B07">
      <w:pPr>
        <w:jc w:val="both"/>
        <w:rPr>
          <w:rFonts w:ascii="Arial" w:eastAsia="Calibri" w:hAnsi="Arial" w:cs="Arial"/>
          <w:b/>
          <w:sz w:val="20"/>
          <w:szCs w:val="20"/>
          <w:lang w:val="es-MX"/>
        </w:rPr>
      </w:pPr>
      <w:r w:rsidRPr="0094584C">
        <w:rPr>
          <w:rFonts w:ascii="Arial" w:eastAsia="Calibri" w:hAnsi="Arial" w:cs="Arial"/>
          <w:sz w:val="20"/>
          <w:szCs w:val="20"/>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4584C">
        <w:rPr>
          <w:rFonts w:ascii="Arial" w:eastAsia="Calibri" w:hAnsi="Arial" w:cs="Arial"/>
          <w:bCs/>
          <w:sz w:val="20"/>
          <w:szCs w:val="20"/>
        </w:rPr>
        <w:t xml:space="preserve">«[…] </w:t>
      </w:r>
      <w:r w:rsidRPr="0094584C">
        <w:rPr>
          <w:rFonts w:ascii="Arial" w:eastAsia="Calibri" w:hAnsi="Arial"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4584C">
        <w:rPr>
          <w:rFonts w:ascii="Arial" w:eastAsia="Calibri" w:hAnsi="Arial" w:cs="Arial"/>
          <w:bCs/>
          <w:sz w:val="20"/>
          <w:szCs w:val="20"/>
        </w:rPr>
        <w:t>»</w:t>
      </w:r>
      <w:r w:rsidRPr="0094584C">
        <w:rPr>
          <w:rFonts w:ascii="Arial" w:eastAsia="Calibri" w:hAnsi="Arial" w:cs="Arial"/>
          <w:sz w:val="20"/>
          <w:szCs w:val="20"/>
          <w:lang w:val="es-MX"/>
        </w:rPr>
        <w:t>.</w:t>
      </w:r>
    </w:p>
    <w:p w14:paraId="0EB5BCD2" w14:textId="58D3E1C8" w:rsidR="00862B07" w:rsidRDefault="00862B07" w:rsidP="00763584">
      <w:pPr>
        <w:jc w:val="both"/>
        <w:rPr>
          <w:rFonts w:ascii="Arial" w:eastAsia="Calibri" w:hAnsi="Arial" w:cs="Arial"/>
          <w:b/>
          <w:sz w:val="22"/>
          <w:szCs w:val="22"/>
          <w:lang w:val="es-MX"/>
        </w:rPr>
      </w:pPr>
    </w:p>
    <w:p w14:paraId="5389969D" w14:textId="2BB0B640" w:rsidR="00862B07" w:rsidRDefault="0000763E" w:rsidP="00763584">
      <w:pPr>
        <w:jc w:val="both"/>
        <w:rPr>
          <w:rFonts w:ascii="Arial" w:eastAsia="Calibri" w:hAnsi="Arial" w:cs="Arial"/>
          <w:b/>
          <w:sz w:val="22"/>
          <w:szCs w:val="22"/>
          <w:lang w:val="es-MX"/>
        </w:rPr>
      </w:pPr>
      <w:r>
        <w:rPr>
          <w:rFonts w:ascii="Arial" w:eastAsia="Calibri" w:hAnsi="Arial" w:cs="Arial"/>
          <w:b/>
          <w:sz w:val="22"/>
          <w:szCs w:val="22"/>
          <w:lang w:val="es-MX"/>
        </w:rPr>
        <w:t xml:space="preserve">LEY DE GARANTÍAS ELECTORALES – Aplicación – Destinatarios </w:t>
      </w:r>
    </w:p>
    <w:p w14:paraId="11D4287D" w14:textId="0A6800E4" w:rsidR="0000763E" w:rsidRDefault="0000763E" w:rsidP="00763584">
      <w:pPr>
        <w:jc w:val="both"/>
        <w:rPr>
          <w:rFonts w:ascii="Arial" w:eastAsia="Calibri" w:hAnsi="Arial" w:cs="Arial"/>
          <w:b/>
          <w:sz w:val="22"/>
          <w:szCs w:val="22"/>
          <w:lang w:val="es-MX"/>
        </w:rPr>
      </w:pPr>
    </w:p>
    <w:p w14:paraId="52F6DA42" w14:textId="3705BFAB" w:rsidR="0000763E" w:rsidRPr="0094584C" w:rsidRDefault="0000763E" w:rsidP="0000763E">
      <w:pPr>
        <w:jc w:val="both"/>
        <w:rPr>
          <w:rFonts w:ascii="Arial" w:eastAsia="Calibri" w:hAnsi="Arial" w:cs="Arial"/>
          <w:b/>
          <w:sz w:val="20"/>
          <w:szCs w:val="20"/>
          <w:lang w:val="es-MX"/>
        </w:rPr>
      </w:pPr>
      <w:r w:rsidRPr="0094584C">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4584C">
        <w:rPr>
          <w:sz w:val="20"/>
          <w:szCs w:val="20"/>
          <w:lang w:val="es-MX"/>
        </w:rPr>
        <w:t xml:space="preserve"> </w:t>
      </w:r>
      <w:r w:rsidRPr="0094584C">
        <w:rPr>
          <w:rFonts w:ascii="Arial" w:hAnsi="Arial" w:cs="Arial"/>
          <w:bCs/>
          <w:sz w:val="20"/>
          <w:szCs w:val="20"/>
          <w:lang w:val="es-MX" w:eastAsia="x-none"/>
        </w:rPr>
        <w:t>En efecto, tal como lo ha sostenido el Consejo de Estado, el vocablo «todos» utilizado por el legislador comprende</w:t>
      </w:r>
      <w:r w:rsidRPr="0094584C">
        <w:rPr>
          <w:sz w:val="20"/>
          <w:szCs w:val="20"/>
          <w:lang w:val="es-MX"/>
        </w:rPr>
        <w:t xml:space="preserve"> </w:t>
      </w:r>
      <w:r w:rsidRPr="0094584C">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5CF82F9" w14:textId="66438C43" w:rsidR="0000763E" w:rsidRPr="0094584C" w:rsidRDefault="0000763E" w:rsidP="0000763E">
      <w:pPr>
        <w:jc w:val="both"/>
        <w:rPr>
          <w:rFonts w:ascii="Arial" w:eastAsia="Calibri" w:hAnsi="Arial" w:cs="Arial"/>
          <w:b/>
          <w:sz w:val="20"/>
          <w:szCs w:val="20"/>
          <w:lang w:val="es-MX"/>
        </w:rPr>
      </w:pPr>
    </w:p>
    <w:p w14:paraId="6B625C26" w14:textId="45E48C46" w:rsidR="0000763E" w:rsidRDefault="0000763E" w:rsidP="00957364">
      <w:pPr>
        <w:tabs>
          <w:tab w:val="left" w:pos="426"/>
        </w:tabs>
        <w:jc w:val="both"/>
        <w:rPr>
          <w:rFonts w:ascii="Arial" w:hAnsi="Arial" w:cs="Arial"/>
          <w:sz w:val="20"/>
          <w:szCs w:val="20"/>
          <w:lang w:val="es-MX"/>
        </w:rPr>
      </w:pPr>
      <w:r w:rsidRPr="0094584C">
        <w:rPr>
          <w:rFonts w:ascii="Arial" w:eastAsia="Calibri" w:hAnsi="Arial" w:cs="Arial"/>
          <w:bCs/>
          <w:sz w:val="20"/>
          <w:szCs w:val="20"/>
        </w:rPr>
        <w:lastRenderedPageBreak/>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94584C">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94584C">
        <w:rPr>
          <w:rFonts w:ascii="Arial" w:hAnsi="Arial" w:cs="Arial"/>
          <w:sz w:val="20"/>
          <w:szCs w:val="20"/>
          <w:lang w:val="es-MX"/>
        </w:rPr>
        <w:t xml:space="preserve"> </w:t>
      </w:r>
    </w:p>
    <w:p w14:paraId="6BE6294D" w14:textId="21F2914D" w:rsidR="00957364" w:rsidRDefault="00957364" w:rsidP="00957364">
      <w:pPr>
        <w:tabs>
          <w:tab w:val="left" w:pos="426"/>
        </w:tabs>
        <w:jc w:val="both"/>
        <w:rPr>
          <w:rFonts w:ascii="Arial" w:hAnsi="Arial" w:cs="Arial"/>
          <w:sz w:val="20"/>
          <w:szCs w:val="20"/>
          <w:lang w:val="es-MX"/>
        </w:rPr>
      </w:pPr>
    </w:p>
    <w:p w14:paraId="71BD0904" w14:textId="165EC67A" w:rsidR="00957364" w:rsidRDefault="006C1EB7" w:rsidP="00957364">
      <w:pPr>
        <w:tabs>
          <w:tab w:val="left" w:pos="426"/>
        </w:tabs>
        <w:jc w:val="both"/>
        <w:rPr>
          <w:rFonts w:ascii="Arial" w:eastAsia="Calibri" w:hAnsi="Arial" w:cs="Arial"/>
          <w:b/>
          <w:bCs/>
          <w:sz w:val="22"/>
          <w:szCs w:val="22"/>
        </w:rPr>
      </w:pPr>
      <w:r>
        <w:rPr>
          <w:rFonts w:ascii="Arial" w:eastAsia="Calibri" w:hAnsi="Arial" w:cs="Arial"/>
          <w:b/>
          <w:bCs/>
          <w:sz w:val="22"/>
          <w:szCs w:val="22"/>
        </w:rPr>
        <w:t xml:space="preserve">LEY DE GARANTÍAS ELECTORALES </w:t>
      </w:r>
      <w:r w:rsidR="00957364">
        <w:rPr>
          <w:rFonts w:ascii="Arial" w:eastAsia="Calibri" w:hAnsi="Arial" w:cs="Arial"/>
          <w:b/>
          <w:bCs/>
          <w:sz w:val="22"/>
          <w:szCs w:val="22"/>
        </w:rPr>
        <w:t xml:space="preserve">– Contratos con Cabildos Indígenas y asociaciones de autoridades tradicionales indígenas </w:t>
      </w:r>
      <w:r>
        <w:rPr>
          <w:rFonts w:ascii="Arial" w:eastAsia="Calibri" w:hAnsi="Arial" w:cs="Arial"/>
          <w:b/>
          <w:bCs/>
          <w:sz w:val="22"/>
          <w:szCs w:val="22"/>
        </w:rPr>
        <w:t>– Contratación directa</w:t>
      </w:r>
    </w:p>
    <w:p w14:paraId="54632FBB" w14:textId="422877A3" w:rsidR="00957364" w:rsidRDefault="00957364" w:rsidP="00957364">
      <w:pPr>
        <w:tabs>
          <w:tab w:val="left" w:pos="426"/>
        </w:tabs>
        <w:jc w:val="both"/>
        <w:rPr>
          <w:rFonts w:ascii="Arial" w:eastAsia="Calibri" w:hAnsi="Arial" w:cs="Arial"/>
          <w:b/>
          <w:bCs/>
          <w:sz w:val="22"/>
          <w:szCs w:val="22"/>
        </w:rPr>
      </w:pPr>
    </w:p>
    <w:p w14:paraId="7734DE35" w14:textId="77777777" w:rsidR="0094584C" w:rsidRPr="0094584C" w:rsidRDefault="0094584C" w:rsidP="0094584C">
      <w:pPr>
        <w:spacing w:after="120"/>
        <w:jc w:val="both"/>
        <w:rPr>
          <w:rFonts w:ascii="Arial" w:hAnsi="Arial" w:cs="Arial"/>
          <w:sz w:val="20"/>
          <w:szCs w:val="20"/>
        </w:rPr>
      </w:pPr>
      <w:r w:rsidRPr="00033625">
        <w:rPr>
          <w:rFonts w:ascii="Arial" w:eastAsia="Calibri" w:hAnsi="Arial" w:cs="Arial"/>
          <w:sz w:val="20"/>
          <w:szCs w:val="20"/>
        </w:rPr>
        <w:t xml:space="preserve">[…] </w:t>
      </w:r>
      <w:r w:rsidRPr="0094584C">
        <w:rPr>
          <w:rFonts w:ascii="Arial" w:hAnsi="Arial" w:cs="Arial"/>
          <w:sz w:val="20"/>
          <w:szCs w:val="20"/>
        </w:rPr>
        <w:t xml:space="preserve">La contratación directa es de aplicación restrictiva, esto es, solo procede por las causales señaladas por el legislador, concretamente, en el numeral 4 del artículo 2 de la Ley 1150 de 2007. Además, es una excepción al principio de libre concurrencia y libre competencia, que se aplica en los procesos de contratación, para que cualquier persona interesada en satisfacer la necesidad de una entidad pueda presentar una oferta. </w:t>
      </w:r>
    </w:p>
    <w:p w14:paraId="423D9F8C" w14:textId="77777777" w:rsidR="0094584C" w:rsidRPr="0094584C" w:rsidRDefault="0094584C" w:rsidP="0094584C">
      <w:pPr>
        <w:spacing w:before="120" w:after="120"/>
        <w:jc w:val="both"/>
        <w:rPr>
          <w:rFonts w:ascii="Arial" w:hAnsi="Arial" w:cs="Arial"/>
          <w:sz w:val="20"/>
          <w:szCs w:val="20"/>
        </w:rPr>
      </w:pPr>
      <w:r w:rsidRPr="0094584C">
        <w:rPr>
          <w:rFonts w:ascii="Arial" w:hAnsi="Arial" w:cs="Arial"/>
          <w:sz w:val="20"/>
          <w:szCs w:val="20"/>
        </w:rPr>
        <w:t>De este modo, en la contratación directa no es necesario que la entidad reciba más de una oferta, la cual proviene de la persona que la entidad escoge directamente y, por ende, invita a celebrar el negocio jurídico que la entidad requiere. Lo anterior puede estar basado en que el proponente es único, o en que el legislador privilegió algunos objetos contractuales u oferentes para contratarlos de manera directa.</w:t>
      </w:r>
    </w:p>
    <w:p w14:paraId="511EA748" w14:textId="77777777" w:rsidR="0094584C" w:rsidRPr="0094584C" w:rsidRDefault="0094584C" w:rsidP="0094584C">
      <w:pPr>
        <w:spacing w:before="120" w:after="120"/>
        <w:jc w:val="both"/>
        <w:rPr>
          <w:rFonts w:ascii="Arial" w:hAnsi="Arial" w:cs="Arial"/>
          <w:sz w:val="20"/>
          <w:szCs w:val="20"/>
          <w:lang w:val="es-ES"/>
        </w:rPr>
      </w:pPr>
      <w:r w:rsidRPr="0094584C">
        <w:rPr>
          <w:rFonts w:ascii="Arial" w:hAnsi="Arial" w:cs="Arial"/>
          <w:sz w:val="20"/>
          <w:szCs w:val="20"/>
          <w:lang w:val="es-ES"/>
        </w:rPr>
        <w:t>En este contexto, como ocurre con las demás causales de contratación directa, expuestas en el numeral 4 del artículo 2 de la Ley 1150 de 2007 y salvo que se configure alguna de las excepciones contenidas en el segundo inciso del artículo 33 de la Ley 996 de 2005, los contratos o convenios que las entidades estatales suscriban de forma directa con los cabildos Indígenas y las Asociaciones de Autoridades Tradicionales Indígenas, cuyo objeto esté relacionado con el fortalecimiento del Gobierno Propio, la identidad cultural, el ejercicio de la autonomía, y/o la garantía de los Derechos de los Pueblos Indígenas, quedan incluidos en la prohibición de contratación directa, contenida en el artículo 33 de la Ley 996 de 2005. Lo anterior, además de lo expresado en el numeral de este concepto respecto a la aplicación del parágrafo del artículo 38 de la Ley de Garantías.</w:t>
      </w:r>
    </w:p>
    <w:p w14:paraId="25827578" w14:textId="200464CD" w:rsidR="0094584C" w:rsidRDefault="0094584C" w:rsidP="00957364">
      <w:pPr>
        <w:tabs>
          <w:tab w:val="left" w:pos="426"/>
        </w:tabs>
        <w:jc w:val="both"/>
        <w:rPr>
          <w:rFonts w:ascii="Arial" w:eastAsia="Calibri" w:hAnsi="Arial" w:cs="Arial"/>
          <w:b/>
          <w:bCs/>
          <w:sz w:val="22"/>
          <w:szCs w:val="22"/>
        </w:rPr>
      </w:pPr>
    </w:p>
    <w:p w14:paraId="25ED69EC" w14:textId="77777777" w:rsidR="00957364" w:rsidRDefault="00957364" w:rsidP="00957364">
      <w:pPr>
        <w:tabs>
          <w:tab w:val="left" w:pos="426"/>
        </w:tabs>
        <w:jc w:val="both"/>
        <w:rPr>
          <w:rFonts w:ascii="Arial" w:eastAsia="Calibri" w:hAnsi="Arial" w:cs="Arial"/>
          <w:b/>
          <w:bCs/>
          <w:sz w:val="22"/>
          <w:szCs w:val="22"/>
        </w:rPr>
      </w:pPr>
    </w:p>
    <w:p w14:paraId="36FAFF4B" w14:textId="372C474E" w:rsidR="00957364" w:rsidRDefault="00957364" w:rsidP="00957364">
      <w:pPr>
        <w:tabs>
          <w:tab w:val="left" w:pos="426"/>
        </w:tabs>
        <w:jc w:val="both"/>
        <w:rPr>
          <w:rFonts w:ascii="Arial" w:eastAsia="Calibri" w:hAnsi="Arial" w:cs="Arial"/>
          <w:b/>
          <w:bCs/>
          <w:sz w:val="22"/>
          <w:szCs w:val="22"/>
        </w:rPr>
      </w:pPr>
    </w:p>
    <w:p w14:paraId="38B84969" w14:textId="77777777" w:rsidR="00957364" w:rsidRPr="0094584C" w:rsidRDefault="00957364" w:rsidP="0094584C">
      <w:pPr>
        <w:tabs>
          <w:tab w:val="left" w:pos="426"/>
        </w:tabs>
        <w:jc w:val="both"/>
        <w:rPr>
          <w:rFonts w:ascii="Arial" w:eastAsia="Calibri" w:hAnsi="Arial" w:cs="Arial"/>
          <w:b/>
          <w:bCs/>
          <w:sz w:val="22"/>
          <w:szCs w:val="22"/>
        </w:rPr>
      </w:pPr>
    </w:p>
    <w:p w14:paraId="4868E1D2" w14:textId="77777777" w:rsidR="0000763E" w:rsidRDefault="0000763E" w:rsidP="00763584">
      <w:pPr>
        <w:jc w:val="both"/>
        <w:rPr>
          <w:rFonts w:ascii="Arial" w:eastAsia="Calibri" w:hAnsi="Arial" w:cs="Arial"/>
          <w:b/>
          <w:sz w:val="22"/>
          <w:szCs w:val="22"/>
          <w:lang w:val="es-MX"/>
        </w:rPr>
      </w:pPr>
    </w:p>
    <w:p w14:paraId="02DC1A78" w14:textId="56CC7CFA" w:rsidR="00862B07" w:rsidRDefault="00862B07" w:rsidP="00763584">
      <w:pPr>
        <w:jc w:val="both"/>
        <w:rPr>
          <w:rFonts w:ascii="Arial" w:eastAsia="Calibri" w:hAnsi="Arial" w:cs="Arial"/>
          <w:b/>
          <w:sz w:val="22"/>
          <w:szCs w:val="22"/>
          <w:lang w:val="es-MX"/>
        </w:rPr>
      </w:pPr>
    </w:p>
    <w:p w14:paraId="7DE35B75" w14:textId="77777777" w:rsidR="00862B07" w:rsidRPr="0094584C" w:rsidRDefault="00862B07" w:rsidP="00763584">
      <w:pPr>
        <w:jc w:val="both"/>
        <w:rPr>
          <w:rFonts w:ascii="Arial" w:eastAsia="Calibri" w:hAnsi="Arial" w:cs="Arial"/>
          <w:b/>
          <w:sz w:val="22"/>
          <w:szCs w:val="22"/>
          <w:lang w:val="es-MX"/>
        </w:rPr>
      </w:pPr>
    </w:p>
    <w:p w14:paraId="695F397E" w14:textId="052D750A" w:rsidR="00A425A1" w:rsidRDefault="00A425A1" w:rsidP="00763584">
      <w:pPr>
        <w:jc w:val="both"/>
        <w:rPr>
          <w:rFonts w:ascii="Arial" w:eastAsia="Calibri" w:hAnsi="Arial" w:cs="Arial"/>
          <w:bCs/>
          <w:sz w:val="22"/>
          <w:szCs w:val="22"/>
          <w:lang w:val="es-MX"/>
        </w:rPr>
      </w:pPr>
    </w:p>
    <w:p w14:paraId="3BEFA114" w14:textId="730348B1" w:rsidR="00A425A1" w:rsidRDefault="00A425A1" w:rsidP="00763584">
      <w:pPr>
        <w:jc w:val="both"/>
        <w:rPr>
          <w:rFonts w:ascii="Arial" w:eastAsia="Calibri" w:hAnsi="Arial" w:cs="Arial"/>
          <w:bCs/>
          <w:sz w:val="22"/>
          <w:szCs w:val="22"/>
          <w:lang w:val="es-MX"/>
        </w:rPr>
      </w:pPr>
    </w:p>
    <w:p w14:paraId="600892A1" w14:textId="43EE0CB8" w:rsidR="00A425A1" w:rsidRDefault="00A425A1" w:rsidP="00763584">
      <w:pPr>
        <w:jc w:val="both"/>
        <w:rPr>
          <w:rFonts w:ascii="Arial" w:eastAsia="Calibri" w:hAnsi="Arial" w:cs="Arial"/>
          <w:bCs/>
          <w:sz w:val="22"/>
          <w:szCs w:val="22"/>
          <w:lang w:val="es-MX"/>
        </w:rPr>
      </w:pPr>
    </w:p>
    <w:p w14:paraId="1E6ACDB5" w14:textId="02624A96" w:rsidR="00A425A1" w:rsidRDefault="00A425A1" w:rsidP="00763584">
      <w:pPr>
        <w:jc w:val="both"/>
        <w:rPr>
          <w:rFonts w:ascii="Arial" w:eastAsia="Calibri" w:hAnsi="Arial" w:cs="Arial"/>
          <w:bCs/>
          <w:sz w:val="22"/>
          <w:szCs w:val="22"/>
          <w:lang w:val="es-MX"/>
        </w:rPr>
      </w:pPr>
    </w:p>
    <w:p w14:paraId="0FD407F4" w14:textId="5441DC9B" w:rsidR="00A425A1" w:rsidRDefault="00A425A1" w:rsidP="00763584">
      <w:pPr>
        <w:jc w:val="both"/>
        <w:rPr>
          <w:rFonts w:ascii="Arial" w:eastAsia="Calibri" w:hAnsi="Arial" w:cs="Arial"/>
          <w:bCs/>
          <w:sz w:val="22"/>
          <w:szCs w:val="22"/>
          <w:lang w:val="es-MX"/>
        </w:rPr>
      </w:pPr>
    </w:p>
    <w:p w14:paraId="7DB9034B" w14:textId="3DC03E0C" w:rsidR="00A425A1" w:rsidRDefault="00A425A1" w:rsidP="00763584">
      <w:pPr>
        <w:jc w:val="both"/>
        <w:rPr>
          <w:rFonts w:ascii="Arial" w:eastAsia="Calibri" w:hAnsi="Arial" w:cs="Arial"/>
          <w:bCs/>
          <w:sz w:val="22"/>
          <w:szCs w:val="22"/>
          <w:lang w:val="es-MX"/>
        </w:rPr>
      </w:pPr>
    </w:p>
    <w:p w14:paraId="1319181F" w14:textId="44BF14DC" w:rsidR="00A425A1" w:rsidRDefault="00A425A1" w:rsidP="00763584">
      <w:pPr>
        <w:jc w:val="both"/>
        <w:rPr>
          <w:rFonts w:ascii="Arial" w:eastAsia="Calibri" w:hAnsi="Arial" w:cs="Arial"/>
          <w:bCs/>
          <w:sz w:val="22"/>
          <w:szCs w:val="22"/>
          <w:lang w:val="es-MX"/>
        </w:rPr>
      </w:pPr>
    </w:p>
    <w:p w14:paraId="71900D37" w14:textId="3E57FA41" w:rsidR="00A425A1" w:rsidRDefault="00A425A1" w:rsidP="00763584">
      <w:pPr>
        <w:jc w:val="both"/>
        <w:rPr>
          <w:rFonts w:ascii="Arial" w:eastAsia="Calibri" w:hAnsi="Arial" w:cs="Arial"/>
          <w:bCs/>
          <w:sz w:val="22"/>
          <w:szCs w:val="22"/>
          <w:lang w:val="es-MX"/>
        </w:rPr>
      </w:pPr>
    </w:p>
    <w:p w14:paraId="50287271" w14:textId="3ABB494B" w:rsidR="00A425A1" w:rsidRDefault="00A425A1" w:rsidP="00763584">
      <w:pPr>
        <w:jc w:val="both"/>
        <w:rPr>
          <w:rFonts w:ascii="Arial" w:eastAsia="Calibri" w:hAnsi="Arial" w:cs="Arial"/>
          <w:bCs/>
          <w:sz w:val="22"/>
          <w:szCs w:val="22"/>
          <w:lang w:val="es-MX"/>
        </w:rPr>
      </w:pPr>
    </w:p>
    <w:p w14:paraId="5FCDAD73" w14:textId="77777777" w:rsidR="0094584C" w:rsidRDefault="0094584C" w:rsidP="00763584">
      <w:pPr>
        <w:jc w:val="both"/>
        <w:rPr>
          <w:rFonts w:ascii="Arial" w:eastAsia="Calibri" w:hAnsi="Arial" w:cs="Arial"/>
          <w:bCs/>
          <w:sz w:val="22"/>
          <w:szCs w:val="22"/>
          <w:lang w:val="es-MX"/>
        </w:rPr>
      </w:pPr>
    </w:p>
    <w:p w14:paraId="233E5808" w14:textId="0FB66B8F" w:rsidR="00033625" w:rsidRPr="00033625" w:rsidRDefault="00033625" w:rsidP="00033625">
      <w:pPr>
        <w:jc w:val="right"/>
      </w:pPr>
      <w:r w:rsidRPr="00033625">
        <w:lastRenderedPageBreak/>
        <w:fldChar w:fldCharType="begin"/>
      </w:r>
      <w:r w:rsidRPr="00033625">
        <w:instrText xml:space="preserve"> INCLUDEPICTURE "/var/folders/tb/0fmk9b510f57pz5rwhv8lnpw0000gp/T/com.microsoft.Word/WebArchiveCopyPasteTempFiles/page1image2284642528" \* MERGEFORMATINET </w:instrText>
      </w:r>
      <w:r w:rsidRPr="00033625">
        <w:fldChar w:fldCharType="separate"/>
      </w:r>
      <w:r w:rsidRPr="00033625">
        <w:rPr>
          <w:noProof/>
        </w:rPr>
        <w:drawing>
          <wp:inline distT="0" distB="0" distL="0" distR="0" wp14:anchorId="72CC50A2" wp14:editId="65F8AA9E">
            <wp:extent cx="2405380" cy="606425"/>
            <wp:effectExtent l="0" t="0" r="0" b="3175"/>
            <wp:docPr id="2" name="Imagen 2" descr="page1image228464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846425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5380" cy="606425"/>
                    </a:xfrm>
                    <a:prstGeom prst="rect">
                      <a:avLst/>
                    </a:prstGeom>
                    <a:noFill/>
                    <a:ln>
                      <a:noFill/>
                    </a:ln>
                  </pic:spPr>
                </pic:pic>
              </a:graphicData>
            </a:graphic>
          </wp:inline>
        </w:drawing>
      </w:r>
      <w:r w:rsidRPr="00033625">
        <w:fldChar w:fldCharType="end"/>
      </w:r>
    </w:p>
    <w:p w14:paraId="475152CC" w14:textId="022C6E57" w:rsidR="009F0A44" w:rsidRDefault="009F0A44" w:rsidP="009F0A44">
      <w:pPr>
        <w:spacing w:line="276" w:lineRule="auto"/>
        <w:rPr>
          <w:rFonts w:ascii="Arial" w:hAnsi="Arial" w:cs="Arial"/>
          <w:b/>
          <w:bCs/>
          <w:sz w:val="22"/>
          <w:szCs w:val="22"/>
          <w:lang w:val="es-ES"/>
        </w:rPr>
      </w:pPr>
    </w:p>
    <w:p w14:paraId="7D91AEE2" w14:textId="58EF058B" w:rsidR="00DE3DE9" w:rsidRDefault="00DE3DE9" w:rsidP="009F0A44">
      <w:pPr>
        <w:spacing w:line="276" w:lineRule="auto"/>
        <w:rPr>
          <w:rFonts w:ascii="Arial" w:hAnsi="Arial" w:cs="Arial"/>
          <w:b/>
          <w:bCs/>
          <w:sz w:val="22"/>
          <w:szCs w:val="22"/>
          <w:lang w:val="es-ES"/>
        </w:rPr>
      </w:pPr>
    </w:p>
    <w:p w14:paraId="22886E83" w14:textId="0C4BED34" w:rsidR="00DE3DE9" w:rsidRPr="00DE3DE9" w:rsidRDefault="00DE3DE9" w:rsidP="00DE3DE9">
      <w:pPr>
        <w:rPr>
          <w:rFonts w:ascii="Arial" w:eastAsia="Arial" w:hAnsi="Arial" w:cs="Arial"/>
          <w:color w:val="000000"/>
          <w:sz w:val="22"/>
          <w:szCs w:val="22"/>
          <w:lang w:val="es-MX" w:eastAsia="es-ES_tradnl"/>
        </w:rPr>
      </w:pPr>
      <w:r w:rsidRPr="00DE3DE9">
        <w:rPr>
          <w:rFonts w:ascii="Arial" w:eastAsia="Arial" w:hAnsi="Arial" w:cs="Arial"/>
          <w:color w:val="000000"/>
          <w:sz w:val="22"/>
          <w:szCs w:val="22"/>
          <w:lang w:val="es-MX" w:eastAsia="es-ES_tradnl"/>
        </w:rPr>
        <w:t>Bogotá, 2</w:t>
      </w:r>
      <w:r>
        <w:rPr>
          <w:rFonts w:ascii="Arial" w:eastAsia="Arial" w:hAnsi="Arial" w:cs="Arial"/>
          <w:color w:val="000000"/>
          <w:sz w:val="22"/>
          <w:szCs w:val="22"/>
          <w:lang w:val="es-MX" w:eastAsia="es-ES_tradnl"/>
        </w:rPr>
        <w:t>4</w:t>
      </w:r>
      <w:r w:rsidRPr="00DE3DE9">
        <w:rPr>
          <w:rFonts w:ascii="Arial" w:eastAsia="Arial" w:hAnsi="Arial" w:cs="Arial"/>
          <w:color w:val="000000"/>
          <w:sz w:val="22"/>
          <w:szCs w:val="22"/>
          <w:lang w:val="es-MX" w:eastAsia="es-ES_tradnl"/>
        </w:rPr>
        <w:t xml:space="preserve"> </w:t>
      </w:r>
      <w:proofErr w:type="gramStart"/>
      <w:r w:rsidRPr="00DE3DE9">
        <w:rPr>
          <w:rFonts w:ascii="Arial" w:eastAsia="Arial" w:hAnsi="Arial" w:cs="Arial"/>
          <w:color w:val="000000"/>
          <w:sz w:val="22"/>
          <w:szCs w:val="22"/>
          <w:lang w:val="es-MX" w:eastAsia="es-ES_tradnl"/>
        </w:rPr>
        <w:t>Enero</w:t>
      </w:r>
      <w:proofErr w:type="gramEnd"/>
      <w:r w:rsidRPr="00DE3DE9">
        <w:rPr>
          <w:rFonts w:ascii="Arial" w:eastAsia="Arial" w:hAnsi="Arial" w:cs="Arial"/>
          <w:color w:val="000000"/>
          <w:sz w:val="22"/>
          <w:szCs w:val="22"/>
          <w:lang w:val="es-MX" w:eastAsia="es-ES_tradnl"/>
        </w:rPr>
        <w:t xml:space="preserve"> 2022</w:t>
      </w:r>
    </w:p>
    <w:p w14:paraId="64B49690" w14:textId="7F00EFD2" w:rsidR="00DE3DE9" w:rsidRDefault="00DE3DE9" w:rsidP="009F0A44">
      <w:pPr>
        <w:spacing w:line="276" w:lineRule="auto"/>
        <w:rPr>
          <w:rFonts w:ascii="Arial" w:hAnsi="Arial" w:cs="Arial"/>
          <w:b/>
          <w:bCs/>
          <w:sz w:val="22"/>
          <w:szCs w:val="22"/>
          <w:lang w:val="es-ES"/>
        </w:rPr>
      </w:pPr>
    </w:p>
    <w:p w14:paraId="61FD3F80" w14:textId="77777777" w:rsidR="00DE3DE9" w:rsidRPr="00C00312" w:rsidRDefault="00DE3DE9" w:rsidP="009F0A44">
      <w:pPr>
        <w:spacing w:line="276" w:lineRule="auto"/>
        <w:rPr>
          <w:rFonts w:ascii="Arial" w:hAnsi="Arial" w:cs="Arial"/>
          <w:b/>
          <w:bCs/>
          <w:sz w:val="22"/>
          <w:szCs w:val="22"/>
          <w:lang w:val="es-ES"/>
        </w:rPr>
      </w:pPr>
    </w:p>
    <w:p w14:paraId="2EB81414" w14:textId="7190FA17" w:rsidR="003C7067" w:rsidRPr="00C00312" w:rsidRDefault="003C7067" w:rsidP="003C7067">
      <w:pPr>
        <w:rPr>
          <w:rFonts w:ascii="Arial" w:eastAsia="Calibri" w:hAnsi="Arial" w:cs="Arial"/>
          <w:sz w:val="22"/>
          <w:szCs w:val="22"/>
          <w:lang w:val="es-ES"/>
        </w:rPr>
      </w:pPr>
      <w:r w:rsidRPr="00C00312">
        <w:rPr>
          <w:rFonts w:ascii="Arial" w:eastAsia="Calibri" w:hAnsi="Arial" w:cs="Arial"/>
          <w:sz w:val="22"/>
          <w:szCs w:val="22"/>
          <w:lang w:val="es-ES"/>
        </w:rPr>
        <w:t>Señor</w:t>
      </w:r>
    </w:p>
    <w:p w14:paraId="10837C8F" w14:textId="49AF1062" w:rsidR="003C7067" w:rsidRPr="006151F8" w:rsidRDefault="006151F8" w:rsidP="003C7067">
      <w:pPr>
        <w:rPr>
          <w:rFonts w:ascii="Arial" w:eastAsia="Calibri" w:hAnsi="Arial" w:cs="Arial"/>
          <w:b/>
          <w:sz w:val="22"/>
          <w:szCs w:val="22"/>
          <w:lang w:val="es-ES"/>
        </w:rPr>
      </w:pPr>
      <w:r>
        <w:rPr>
          <w:rFonts w:ascii="Arial" w:eastAsia="Calibri" w:hAnsi="Arial" w:cs="Arial"/>
          <w:b/>
          <w:sz w:val="22"/>
          <w:szCs w:val="22"/>
          <w:lang w:val="es-ES"/>
        </w:rPr>
        <w:t>Carlos Figueroa Narváez</w:t>
      </w:r>
    </w:p>
    <w:p w14:paraId="344FA772" w14:textId="4B976758" w:rsidR="002C56DB" w:rsidRPr="006151F8" w:rsidRDefault="006151F8" w:rsidP="003C7067">
      <w:pPr>
        <w:rPr>
          <w:rFonts w:ascii="Arial" w:eastAsia="Calibri" w:hAnsi="Arial" w:cs="Arial"/>
          <w:bCs/>
          <w:sz w:val="22"/>
          <w:szCs w:val="22"/>
          <w:lang w:val="es-ES"/>
        </w:rPr>
      </w:pPr>
      <w:r>
        <w:rPr>
          <w:rFonts w:ascii="Arial" w:eastAsia="Calibri" w:hAnsi="Arial" w:cs="Arial"/>
          <w:bCs/>
          <w:sz w:val="22"/>
          <w:szCs w:val="22"/>
          <w:lang w:val="es-ES"/>
        </w:rPr>
        <w:t>Pasto - Nariño</w:t>
      </w:r>
    </w:p>
    <w:p w14:paraId="0ABFD0A6" w14:textId="77777777" w:rsidR="002C56DB" w:rsidRPr="00C00312" w:rsidRDefault="002C56DB" w:rsidP="003C7067">
      <w:pPr>
        <w:rPr>
          <w:rFonts w:ascii="Arial" w:eastAsia="Calibri" w:hAnsi="Arial" w:cs="Arial"/>
          <w:b/>
          <w:sz w:val="22"/>
          <w:szCs w:val="22"/>
          <w:lang w:val="es-ES"/>
        </w:rPr>
      </w:pPr>
    </w:p>
    <w:p w14:paraId="1F4E36CB" w14:textId="552ABE73" w:rsidR="003C7067" w:rsidRDefault="003C7067" w:rsidP="003C7067">
      <w:pPr>
        <w:rPr>
          <w:rFonts w:ascii="Arial" w:eastAsia="Calibri" w:hAnsi="Arial" w:cs="Arial"/>
          <w:b/>
          <w:sz w:val="22"/>
          <w:szCs w:val="22"/>
          <w:lang w:val="es-ES"/>
        </w:rPr>
      </w:pPr>
      <w:r w:rsidRPr="00C00312">
        <w:rPr>
          <w:rFonts w:ascii="Arial" w:eastAsia="Calibri" w:hAnsi="Arial" w:cs="Arial"/>
          <w:b/>
          <w:sz w:val="22"/>
          <w:szCs w:val="22"/>
          <w:lang w:val="es-ES"/>
        </w:rPr>
        <w:t xml:space="preserve">                                            Concepto C – </w:t>
      </w:r>
      <w:r w:rsidR="001F772D">
        <w:rPr>
          <w:rFonts w:ascii="Arial" w:eastAsia="Calibri" w:hAnsi="Arial" w:cs="Arial"/>
          <w:b/>
          <w:sz w:val="22"/>
          <w:szCs w:val="22"/>
          <w:lang w:val="es-ES"/>
        </w:rPr>
        <w:t>718</w:t>
      </w:r>
      <w:r w:rsidRPr="00C00312">
        <w:rPr>
          <w:rFonts w:ascii="Arial" w:eastAsia="Calibri" w:hAnsi="Arial" w:cs="Arial"/>
          <w:b/>
          <w:sz w:val="22"/>
          <w:szCs w:val="22"/>
          <w:lang w:val="es-ES"/>
        </w:rPr>
        <w:t xml:space="preserve"> de 2021 </w:t>
      </w:r>
    </w:p>
    <w:p w14:paraId="63D91505" w14:textId="77777777" w:rsidR="0094584C" w:rsidRPr="00C00312" w:rsidRDefault="0094584C"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7067" w:rsidRPr="006C1EB7" w14:paraId="7C1768E2" w14:textId="77777777" w:rsidTr="00C96E18">
        <w:trPr>
          <w:trHeight w:val="735"/>
        </w:trPr>
        <w:tc>
          <w:tcPr>
            <w:tcW w:w="2689" w:type="dxa"/>
          </w:tcPr>
          <w:p w14:paraId="7F7464C9" w14:textId="77777777" w:rsidR="003C7067" w:rsidRPr="00C00312" w:rsidRDefault="003C7067" w:rsidP="00406F4B">
            <w:pPr>
              <w:rPr>
                <w:rFonts w:ascii="Arial" w:eastAsia="Calibri" w:hAnsi="Arial" w:cs="Arial"/>
                <w:lang w:val="es-ES"/>
              </w:rPr>
            </w:pPr>
            <w:r w:rsidRPr="00C00312">
              <w:rPr>
                <w:rFonts w:ascii="Arial" w:eastAsia="Calibri" w:hAnsi="Arial" w:cs="Arial"/>
                <w:b/>
                <w:lang w:val="es-ES"/>
              </w:rPr>
              <w:t>Temas:</w:t>
            </w:r>
            <w:r w:rsidRPr="00C00312">
              <w:rPr>
                <w:rFonts w:ascii="Arial" w:eastAsia="Calibri" w:hAnsi="Arial" w:cs="Arial"/>
                <w:lang w:val="es-ES"/>
              </w:rPr>
              <w:t xml:space="preserve">                                      </w:t>
            </w:r>
          </w:p>
        </w:tc>
        <w:tc>
          <w:tcPr>
            <w:tcW w:w="6237" w:type="dxa"/>
          </w:tcPr>
          <w:p w14:paraId="5742DA73" w14:textId="77777777" w:rsidR="007915CC" w:rsidRDefault="0094584C" w:rsidP="006C1EB7">
            <w:pPr>
              <w:tabs>
                <w:tab w:val="left" w:pos="426"/>
              </w:tabs>
              <w:jc w:val="both"/>
              <w:rPr>
                <w:rFonts w:ascii="Arial" w:eastAsia="Calibri" w:hAnsi="Arial" w:cs="Arial"/>
                <w:bCs/>
              </w:rPr>
            </w:pPr>
            <w:r w:rsidRPr="006C1EB7">
              <w:rPr>
                <w:rFonts w:ascii="Arial" w:eastAsia="Calibri" w:hAnsi="Arial" w:cs="Arial"/>
                <w:bCs/>
                <w:lang w:val="es-MX"/>
              </w:rPr>
              <w:t>LEY DE GARANTÍAS ELECTORALES – Naturaleza Jurídica/ LEY DE GARANTÍAS ELECTORALES – Prohibiciones/ LEY DE GARANTÍAS ELECTORALES – Aplicación – Destinatarios</w:t>
            </w:r>
            <w:r w:rsidR="006C1EB7" w:rsidRPr="006C1EB7">
              <w:rPr>
                <w:rFonts w:ascii="Arial" w:eastAsia="Calibri" w:hAnsi="Arial" w:cs="Arial"/>
                <w:bCs/>
                <w:lang w:val="es-MX"/>
              </w:rPr>
              <w:t xml:space="preserve"> </w:t>
            </w:r>
            <w:r w:rsidRPr="006C1EB7">
              <w:rPr>
                <w:rFonts w:ascii="Arial" w:eastAsia="Calibri" w:hAnsi="Arial" w:cs="Arial"/>
                <w:bCs/>
                <w:lang w:val="es-MX"/>
              </w:rPr>
              <w:t>/</w:t>
            </w:r>
            <w:r w:rsidR="006C1EB7" w:rsidRPr="006C1EB7">
              <w:rPr>
                <w:rFonts w:ascii="Arial" w:eastAsia="Calibri" w:hAnsi="Arial" w:cs="Arial"/>
                <w:bCs/>
                <w:lang w:val="es-MX"/>
              </w:rPr>
              <w:t xml:space="preserve"> </w:t>
            </w:r>
            <w:r w:rsidR="006C1EB7" w:rsidRPr="00033625">
              <w:rPr>
                <w:rFonts w:ascii="Arial" w:eastAsia="Calibri" w:hAnsi="Arial" w:cs="Arial"/>
                <w:bCs/>
              </w:rPr>
              <w:t>LEY DE GARANTÍAS ELECTORALES – Contratos con Cabildos Indígenas y asociaciones de autoridades tradicionales indígenas – Contratación directa</w:t>
            </w:r>
          </w:p>
          <w:p w14:paraId="2F4B7014" w14:textId="1A695DDE" w:rsidR="00033625" w:rsidRPr="006C1EB7" w:rsidRDefault="00033625" w:rsidP="006C1EB7">
            <w:pPr>
              <w:tabs>
                <w:tab w:val="left" w:pos="426"/>
              </w:tabs>
              <w:jc w:val="both"/>
              <w:rPr>
                <w:rFonts w:ascii="Arial" w:eastAsia="Calibri" w:hAnsi="Arial" w:cs="Arial"/>
                <w:bCs/>
              </w:rPr>
            </w:pPr>
          </w:p>
        </w:tc>
      </w:tr>
      <w:tr w:rsidR="003C7067" w:rsidRPr="00C00312" w14:paraId="60D249F0" w14:textId="77777777" w:rsidTr="00406F4B">
        <w:tc>
          <w:tcPr>
            <w:tcW w:w="2689" w:type="dxa"/>
          </w:tcPr>
          <w:p w14:paraId="291F9A18" w14:textId="768E00AF" w:rsidR="003C7067" w:rsidRPr="00C00312" w:rsidRDefault="0094584C" w:rsidP="00406F4B">
            <w:pPr>
              <w:rPr>
                <w:rFonts w:ascii="Arial" w:eastAsia="Calibri" w:hAnsi="Arial" w:cs="Arial"/>
                <w:lang w:val="es-ES"/>
              </w:rPr>
            </w:pPr>
            <w:r>
              <w:rPr>
                <w:rFonts w:ascii="Arial" w:eastAsia="Calibri" w:hAnsi="Arial" w:cs="Arial"/>
                <w:b/>
                <w:lang w:val="es-ES"/>
              </w:rPr>
              <w:t xml:space="preserve">  </w:t>
            </w:r>
            <w:r w:rsidR="003C7067" w:rsidRPr="00C00312">
              <w:rPr>
                <w:rFonts w:ascii="Arial" w:eastAsia="Calibri" w:hAnsi="Arial" w:cs="Arial"/>
                <w:b/>
                <w:lang w:val="es-ES"/>
              </w:rPr>
              <w:t>Radicación:</w:t>
            </w:r>
            <w:r w:rsidR="003C7067" w:rsidRPr="00C00312">
              <w:rPr>
                <w:rFonts w:ascii="Arial" w:eastAsia="Calibri" w:hAnsi="Arial" w:cs="Arial"/>
                <w:lang w:val="es-ES"/>
              </w:rPr>
              <w:t xml:space="preserve">                              </w:t>
            </w:r>
          </w:p>
        </w:tc>
        <w:tc>
          <w:tcPr>
            <w:tcW w:w="6237" w:type="dxa"/>
          </w:tcPr>
          <w:p w14:paraId="3C674517" w14:textId="6D0B0CB4" w:rsidR="003C7067" w:rsidRPr="00C00312" w:rsidRDefault="003C7067" w:rsidP="00406F4B">
            <w:pPr>
              <w:rPr>
                <w:rFonts w:ascii="Arial" w:eastAsia="Calibri" w:hAnsi="Arial" w:cs="Arial"/>
                <w:lang w:val="es-ES"/>
              </w:rPr>
            </w:pPr>
            <w:r w:rsidRPr="00C00312">
              <w:rPr>
                <w:rFonts w:ascii="Arial" w:eastAsia="Calibri" w:hAnsi="Arial" w:cs="Arial"/>
                <w:lang w:val="es-ES"/>
              </w:rPr>
              <w:t xml:space="preserve">Respuesta a consulta </w:t>
            </w:r>
            <w:r w:rsidR="001F772D" w:rsidRPr="00C236EF">
              <w:rPr>
                <w:rFonts w:ascii="Arial" w:hAnsi="Arial" w:cs="Arial"/>
                <w:lang w:val="es-ES"/>
              </w:rPr>
              <w:t>P20211211011400</w:t>
            </w:r>
          </w:p>
        </w:tc>
      </w:tr>
    </w:tbl>
    <w:p w14:paraId="7E6B5A12" w14:textId="77777777" w:rsidR="003C7067" w:rsidRPr="00C00312" w:rsidRDefault="003C7067" w:rsidP="003C7067">
      <w:pPr>
        <w:spacing w:line="276" w:lineRule="auto"/>
        <w:rPr>
          <w:rFonts w:ascii="Arial" w:eastAsia="Calibri" w:hAnsi="Arial" w:cs="Arial"/>
          <w:sz w:val="22"/>
          <w:szCs w:val="22"/>
          <w:lang w:val="es-ES"/>
        </w:rPr>
      </w:pPr>
    </w:p>
    <w:p w14:paraId="776B553A" w14:textId="77777777" w:rsidR="003C7067" w:rsidRPr="00C00312" w:rsidRDefault="003C7067" w:rsidP="003C7067">
      <w:pPr>
        <w:spacing w:line="276" w:lineRule="auto"/>
        <w:rPr>
          <w:rFonts w:ascii="Arial" w:eastAsia="Calibri" w:hAnsi="Arial" w:cs="Arial"/>
          <w:sz w:val="22"/>
          <w:szCs w:val="22"/>
          <w:lang w:val="es-ES"/>
        </w:rPr>
      </w:pPr>
    </w:p>
    <w:p w14:paraId="6BB19977" w14:textId="585AB770" w:rsidR="003C7067" w:rsidRPr="00C00312" w:rsidRDefault="0094584C" w:rsidP="003C7067">
      <w:pPr>
        <w:tabs>
          <w:tab w:val="left" w:pos="3736"/>
        </w:tabs>
        <w:spacing w:line="276" w:lineRule="auto"/>
        <w:rPr>
          <w:rFonts w:ascii="Arial" w:eastAsia="Calibri" w:hAnsi="Arial" w:cs="Arial"/>
          <w:sz w:val="22"/>
          <w:szCs w:val="22"/>
          <w:lang w:val="es-ES"/>
        </w:rPr>
      </w:pPr>
      <w:r w:rsidRPr="00C00312">
        <w:rPr>
          <w:rFonts w:ascii="Arial" w:eastAsia="Calibri" w:hAnsi="Arial" w:cs="Arial"/>
          <w:sz w:val="22"/>
          <w:szCs w:val="22"/>
          <w:lang w:val="es-ES"/>
        </w:rPr>
        <w:t>Estimado señor</w:t>
      </w:r>
      <w:r w:rsidR="003C7067" w:rsidRPr="00C00312">
        <w:rPr>
          <w:rFonts w:ascii="Arial" w:eastAsia="Calibri" w:hAnsi="Arial" w:cs="Arial"/>
          <w:sz w:val="22"/>
          <w:szCs w:val="22"/>
          <w:lang w:val="es-ES"/>
        </w:rPr>
        <w:t>:</w:t>
      </w:r>
      <w:r w:rsidR="003C7067" w:rsidRPr="00C00312">
        <w:rPr>
          <w:rFonts w:ascii="Arial" w:eastAsia="Calibri" w:hAnsi="Arial" w:cs="Arial"/>
          <w:sz w:val="22"/>
          <w:szCs w:val="22"/>
          <w:lang w:val="es-ES"/>
        </w:rPr>
        <w:tab/>
      </w:r>
    </w:p>
    <w:p w14:paraId="17594CC4" w14:textId="77777777" w:rsidR="003C7067" w:rsidRPr="00C00312" w:rsidRDefault="003C7067" w:rsidP="003C7067">
      <w:pPr>
        <w:spacing w:line="276" w:lineRule="auto"/>
        <w:rPr>
          <w:rFonts w:ascii="Arial" w:eastAsia="Calibri" w:hAnsi="Arial" w:cs="Arial"/>
          <w:sz w:val="22"/>
          <w:szCs w:val="22"/>
          <w:lang w:val="es-ES"/>
        </w:rPr>
      </w:pPr>
    </w:p>
    <w:p w14:paraId="57E2A948" w14:textId="5347C3FD"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La Agencia Nacional de Contratación Pública – Colombia Compra Eficiente responde a su consulta del 1</w:t>
      </w:r>
      <w:r w:rsidR="001F772D">
        <w:rPr>
          <w:rFonts w:ascii="Arial" w:eastAsia="Calibri" w:hAnsi="Arial" w:cs="Arial"/>
          <w:sz w:val="22"/>
          <w:szCs w:val="22"/>
          <w:lang w:val="es-ES"/>
        </w:rPr>
        <w:t>1</w:t>
      </w:r>
      <w:r w:rsidRPr="00C00312">
        <w:rPr>
          <w:rFonts w:ascii="Arial" w:eastAsia="Calibri" w:hAnsi="Arial" w:cs="Arial"/>
          <w:sz w:val="22"/>
          <w:szCs w:val="22"/>
          <w:lang w:val="es-ES"/>
        </w:rPr>
        <w:t xml:space="preserve"> de</w:t>
      </w:r>
      <w:r w:rsidR="001F772D">
        <w:rPr>
          <w:rFonts w:ascii="Arial" w:eastAsia="Calibri" w:hAnsi="Arial" w:cs="Arial"/>
          <w:sz w:val="22"/>
          <w:szCs w:val="22"/>
          <w:lang w:val="es-ES"/>
        </w:rPr>
        <w:t xml:space="preserve"> diciembre</w:t>
      </w:r>
      <w:r w:rsidRPr="00C00312">
        <w:rPr>
          <w:rFonts w:ascii="Arial" w:eastAsia="Calibri" w:hAnsi="Arial" w:cs="Arial"/>
          <w:sz w:val="22"/>
          <w:szCs w:val="22"/>
          <w:lang w:val="es-ES"/>
        </w:rPr>
        <w:t xml:space="preserve"> de 2021, en ejercicio de la competencia otorgada por el numeral 8 del artículo 11 y el numeral 5 del artículo 3 del Decreto Ley 4170 de 2011. </w:t>
      </w:r>
    </w:p>
    <w:p w14:paraId="2D852432" w14:textId="77777777" w:rsidR="003C7067" w:rsidRPr="00C00312" w:rsidRDefault="003C7067" w:rsidP="003C7067">
      <w:pPr>
        <w:pStyle w:val="Prrafodelista"/>
        <w:spacing w:line="276" w:lineRule="auto"/>
        <w:ind w:left="0"/>
        <w:rPr>
          <w:rFonts w:ascii="Arial" w:eastAsia="Calibri" w:hAnsi="Arial" w:cs="Arial"/>
          <w:sz w:val="22"/>
          <w:lang w:val="es-ES"/>
        </w:rPr>
      </w:pPr>
    </w:p>
    <w:p w14:paraId="67CA615C" w14:textId="77777777" w:rsidR="003C7067" w:rsidRPr="00C00312" w:rsidRDefault="003C7067" w:rsidP="003C7067">
      <w:pPr>
        <w:tabs>
          <w:tab w:val="left" w:pos="0"/>
        </w:tabs>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1. Problema planteado</w:t>
      </w:r>
    </w:p>
    <w:p w14:paraId="5A060666" w14:textId="77777777" w:rsidR="003C7067" w:rsidRPr="00C00312" w:rsidRDefault="003C7067" w:rsidP="003C7067">
      <w:pPr>
        <w:rPr>
          <w:rFonts w:ascii="Arial" w:eastAsia="Calibri" w:hAnsi="Arial" w:cs="Arial"/>
          <w:sz w:val="22"/>
          <w:szCs w:val="22"/>
          <w:lang w:val="es-ES"/>
        </w:rPr>
      </w:pPr>
    </w:p>
    <w:p w14:paraId="34305A30" w14:textId="77777777" w:rsidR="003C7067" w:rsidRPr="00C00312" w:rsidRDefault="003C7067" w:rsidP="003C7067">
      <w:pPr>
        <w:spacing w:line="276" w:lineRule="auto"/>
        <w:jc w:val="both"/>
        <w:rPr>
          <w:rFonts w:ascii="Arial" w:eastAsia="Calibri" w:hAnsi="Arial" w:cs="Arial"/>
          <w:sz w:val="22"/>
          <w:szCs w:val="22"/>
          <w:lang w:val="es-ES"/>
        </w:rPr>
      </w:pPr>
      <w:r w:rsidRPr="00C00312">
        <w:rPr>
          <w:rFonts w:ascii="Arial" w:eastAsia="Calibri" w:hAnsi="Arial" w:cs="Arial"/>
          <w:sz w:val="22"/>
          <w:szCs w:val="22"/>
          <w:lang w:val="es-ES"/>
        </w:rPr>
        <w:t xml:space="preserve">Usted realiza la siguiente pregunta: </w:t>
      </w:r>
    </w:p>
    <w:p w14:paraId="3E00A2D4" w14:textId="77777777" w:rsidR="003C7067" w:rsidRPr="00C00312" w:rsidRDefault="003C7067" w:rsidP="003C7067">
      <w:pPr>
        <w:spacing w:line="276" w:lineRule="auto"/>
        <w:jc w:val="both"/>
        <w:rPr>
          <w:rFonts w:ascii="Arial" w:eastAsia="Calibri" w:hAnsi="Arial" w:cs="Arial"/>
          <w:sz w:val="22"/>
          <w:szCs w:val="22"/>
          <w:lang w:val="es-ES"/>
        </w:rPr>
      </w:pPr>
    </w:p>
    <w:p w14:paraId="3038E18B" w14:textId="0AB59B16" w:rsidR="001F772D" w:rsidRPr="00A425A1" w:rsidRDefault="003C7067" w:rsidP="00A425A1">
      <w:pPr>
        <w:pStyle w:val="NormalWeb"/>
        <w:spacing w:before="120" w:beforeAutospacing="0" w:after="120" w:afterAutospacing="0"/>
        <w:ind w:left="709" w:right="709"/>
        <w:jc w:val="both"/>
        <w:rPr>
          <w:rFonts w:ascii="Arial" w:hAnsi="Arial" w:cs="Arial"/>
          <w:sz w:val="21"/>
          <w:szCs w:val="21"/>
        </w:rPr>
      </w:pPr>
      <w:r w:rsidRPr="001F772D">
        <w:rPr>
          <w:rFonts w:ascii="Arial" w:eastAsia="Calibri" w:hAnsi="Arial" w:cs="Arial"/>
          <w:sz w:val="21"/>
          <w:szCs w:val="21"/>
          <w:lang w:val="es-ES"/>
        </w:rPr>
        <w:t>«[…]</w:t>
      </w:r>
      <w:r w:rsidR="001F772D" w:rsidRPr="00A425A1">
        <w:rPr>
          <w:rFonts w:ascii="Arial" w:hAnsi="Arial" w:cs="Arial"/>
          <w:sz w:val="21"/>
          <w:szCs w:val="21"/>
        </w:rPr>
        <w:t>Teniendo en cuenta que la Ley 2160 de 2021 faculta para celebrar mediante contratación directa "Los contratos o convenios que las entidades estatales suscriban con los cabildos Indígenas y las Asociaciones de Autoridades Tradicionales Indígenas, cuyo objeto esté relacionado con el fortalecimiento del Gobierno Propio, la identidad cultural, el ejercicio de la autonomía, y/o la garantía de los Derechos de los Pueblos Indígenas</w:t>
      </w:r>
      <w:r w:rsidR="006151F8">
        <w:rPr>
          <w:rFonts w:ascii="Arial" w:hAnsi="Arial" w:cs="Arial"/>
          <w:sz w:val="21"/>
          <w:szCs w:val="21"/>
        </w:rPr>
        <w:t>.</w:t>
      </w:r>
      <w:r w:rsidR="001F772D" w:rsidRPr="00A425A1">
        <w:rPr>
          <w:rFonts w:ascii="Arial" w:hAnsi="Arial" w:cs="Arial"/>
          <w:sz w:val="21"/>
          <w:szCs w:val="21"/>
        </w:rPr>
        <w:t xml:space="preserve"> </w:t>
      </w:r>
    </w:p>
    <w:p w14:paraId="2C4B2B60" w14:textId="67B48C42" w:rsidR="003C7067" w:rsidRPr="00C00312" w:rsidRDefault="001F772D" w:rsidP="00A425A1">
      <w:pPr>
        <w:pStyle w:val="NormalWeb"/>
        <w:ind w:left="709" w:right="709"/>
        <w:jc w:val="both"/>
        <w:rPr>
          <w:rFonts w:ascii="Arial" w:eastAsia="Calibri" w:hAnsi="Arial" w:cs="Arial"/>
          <w:b/>
          <w:sz w:val="22"/>
          <w:szCs w:val="22"/>
          <w:lang w:val="es-ES"/>
        </w:rPr>
      </w:pPr>
      <w:r w:rsidRPr="00A425A1">
        <w:rPr>
          <w:rFonts w:ascii="Arial" w:hAnsi="Arial" w:cs="Arial"/>
          <w:sz w:val="21"/>
          <w:szCs w:val="21"/>
        </w:rPr>
        <w:t xml:space="preserve">Mi interrogante es el siguiente: ¿En el marco de la Ley 996 denominada ley de garantías los contratos o convenios con cabildos indígenas y asociaciones de </w:t>
      </w:r>
      <w:r w:rsidRPr="00A425A1">
        <w:rPr>
          <w:rFonts w:ascii="Arial" w:hAnsi="Arial" w:cs="Arial"/>
          <w:sz w:val="21"/>
          <w:szCs w:val="21"/>
        </w:rPr>
        <w:lastRenderedPageBreak/>
        <w:t>autoridades indígenas se pueden celebrar o se aplican las restricciones de la ley enunciada?</w:t>
      </w:r>
      <w:r w:rsidRPr="001F772D">
        <w:rPr>
          <w:rFonts w:ascii="Arial" w:hAnsi="Arial" w:cs="Arial"/>
          <w:sz w:val="21"/>
          <w:szCs w:val="21"/>
          <w:lang w:val="es-ES"/>
        </w:rPr>
        <w:t>»</w:t>
      </w:r>
      <w:r w:rsidRPr="00A425A1">
        <w:rPr>
          <w:rFonts w:ascii="Arial" w:hAnsi="Arial" w:cs="Arial"/>
          <w:sz w:val="21"/>
          <w:szCs w:val="21"/>
        </w:rPr>
        <w:t xml:space="preserve"> </w:t>
      </w:r>
    </w:p>
    <w:p w14:paraId="5914F486" w14:textId="52BDEE55" w:rsidR="003C7067" w:rsidRDefault="003C7067" w:rsidP="003C7067">
      <w:pPr>
        <w:spacing w:line="276" w:lineRule="auto"/>
        <w:jc w:val="both"/>
        <w:rPr>
          <w:rFonts w:ascii="Arial" w:eastAsia="Calibri" w:hAnsi="Arial" w:cs="Arial"/>
          <w:b/>
          <w:sz w:val="22"/>
          <w:szCs w:val="22"/>
          <w:lang w:val="es-ES"/>
        </w:rPr>
      </w:pPr>
      <w:r w:rsidRPr="00C00312">
        <w:rPr>
          <w:rFonts w:ascii="Arial" w:eastAsia="Calibri" w:hAnsi="Arial" w:cs="Arial"/>
          <w:b/>
          <w:sz w:val="22"/>
          <w:szCs w:val="22"/>
          <w:lang w:val="es-ES"/>
        </w:rPr>
        <w:t>2. Consideraciones</w:t>
      </w:r>
    </w:p>
    <w:p w14:paraId="5B6D1928" w14:textId="77777777" w:rsidR="00F17C3F" w:rsidRPr="00C00312" w:rsidRDefault="00F17C3F" w:rsidP="003C7067">
      <w:pPr>
        <w:spacing w:line="276" w:lineRule="auto"/>
        <w:jc w:val="both"/>
        <w:rPr>
          <w:rFonts w:ascii="Arial" w:eastAsia="Calibri" w:hAnsi="Arial" w:cs="Arial"/>
          <w:b/>
          <w:sz w:val="22"/>
          <w:szCs w:val="22"/>
          <w:lang w:val="es-ES"/>
        </w:rPr>
      </w:pPr>
    </w:p>
    <w:p w14:paraId="6F518A32" w14:textId="59EEFE2F" w:rsidR="006E050F" w:rsidRDefault="00A80366" w:rsidP="003E582E">
      <w:pPr>
        <w:tabs>
          <w:tab w:val="left" w:pos="426"/>
        </w:tabs>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L</w:t>
      </w:r>
      <w:r w:rsidR="004B3476" w:rsidRPr="00C00312">
        <w:rPr>
          <w:rFonts w:ascii="Arial" w:eastAsia="Calibri" w:hAnsi="Arial" w:cs="Arial"/>
          <w:color w:val="000000" w:themeColor="text1"/>
          <w:sz w:val="22"/>
          <w:szCs w:val="22"/>
          <w:lang w:val="es-ES_tradnl"/>
        </w:rPr>
        <w:t>a Agencia Nacional de Contratación Pública – Colombia Compra Eficiente</w:t>
      </w:r>
      <w:r w:rsidR="006E050F" w:rsidRPr="006E050F">
        <w:rPr>
          <w:rFonts w:ascii="Arial" w:eastAsia="Calibri" w:hAnsi="Arial" w:cs="Arial"/>
          <w:color w:val="000000" w:themeColor="text1"/>
          <w:sz w:val="22"/>
          <w:szCs w:val="22"/>
          <w:lang w:val="es-ES_tradn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w:t>
      </w:r>
      <w:r>
        <w:rPr>
          <w:rFonts w:ascii="Arial" w:eastAsia="Calibri" w:hAnsi="Arial" w:cs="Arial"/>
          <w:color w:val="000000" w:themeColor="text1"/>
          <w:sz w:val="22"/>
          <w:szCs w:val="22"/>
          <w:lang w:val="es-ES_tradnl"/>
        </w:rPr>
        <w:t xml:space="preserve"> y</w:t>
      </w:r>
      <w:r w:rsidR="006E050F" w:rsidRPr="006E050F">
        <w:rPr>
          <w:rFonts w:ascii="Arial" w:eastAsia="Calibri" w:hAnsi="Arial" w:cs="Arial"/>
          <w:color w:val="000000" w:themeColor="text1"/>
          <w:sz w:val="22"/>
          <w:szCs w:val="22"/>
          <w:lang w:val="es-ES_tradnl"/>
        </w:rPr>
        <w:t xml:space="preserve"> 681 del 7 de diciembre de 2021. Teniendo en cuenta los conceptos anteriores y analizando la pregunta en cuestión, se realizan las siguientes consideraciones.</w:t>
      </w:r>
    </w:p>
    <w:p w14:paraId="78E1D3FA" w14:textId="409A2A8A" w:rsidR="004B3476" w:rsidRDefault="00A80366" w:rsidP="00F17C3F">
      <w:pPr>
        <w:spacing w:before="120" w:line="276" w:lineRule="auto"/>
        <w:ind w:firstLine="708"/>
        <w:jc w:val="both"/>
        <w:rPr>
          <w:rFonts w:ascii="Arial" w:eastAsia="Calibri" w:hAnsi="Arial" w:cs="Arial"/>
          <w:sz w:val="22"/>
          <w:szCs w:val="22"/>
          <w:lang w:val="es-ES"/>
        </w:rPr>
      </w:pPr>
      <w:r>
        <w:rPr>
          <w:rFonts w:ascii="Arial" w:eastAsia="Calibri" w:hAnsi="Arial" w:cs="Arial"/>
          <w:sz w:val="22"/>
          <w:szCs w:val="22"/>
          <w:lang w:val="es-ES"/>
        </w:rPr>
        <w:t>De esta manera, la</w:t>
      </w:r>
      <w:r w:rsidR="00AD73B1" w:rsidRPr="00C00312">
        <w:rPr>
          <w:rFonts w:ascii="Arial" w:eastAsia="Calibri" w:hAnsi="Arial" w:cs="Arial"/>
          <w:sz w:val="22"/>
          <w:szCs w:val="22"/>
          <w:lang w:val="es-ES"/>
        </w:rPr>
        <w:t xml:space="preserve"> Agencia –dentro de los límites de sus atribuciones– resolverá la consulta conforme a las normas generales en materia de contratación estatal. Con este objetivo se analizarán los siguientes temas:</w:t>
      </w:r>
      <w:r w:rsidR="001E52B9" w:rsidRPr="00C00312">
        <w:rPr>
          <w:rFonts w:ascii="Arial" w:eastAsia="Calibri" w:hAnsi="Arial" w:cs="Arial"/>
          <w:sz w:val="22"/>
          <w:szCs w:val="22"/>
          <w:lang w:val="es-ES"/>
        </w:rPr>
        <w:t xml:space="preserve"> i)</w:t>
      </w:r>
      <w:r w:rsidR="001F772D">
        <w:rPr>
          <w:rFonts w:ascii="Arial" w:eastAsia="Calibri" w:hAnsi="Arial" w:cs="Arial"/>
          <w:sz w:val="22"/>
          <w:szCs w:val="22"/>
          <w:lang w:val="es-ES"/>
        </w:rPr>
        <w:t xml:space="preserve"> definición y finalidad de la Ley de Garantías Electorales: alcance de las restricciones</w:t>
      </w:r>
      <w:r w:rsidR="006151F8">
        <w:rPr>
          <w:rFonts w:ascii="Arial" w:eastAsia="Calibri" w:hAnsi="Arial" w:cs="Arial"/>
          <w:sz w:val="22"/>
          <w:szCs w:val="22"/>
          <w:lang w:val="es-ES"/>
        </w:rPr>
        <w:t>;</w:t>
      </w:r>
      <w:r w:rsidR="001F772D">
        <w:rPr>
          <w:rFonts w:ascii="Arial" w:eastAsia="Calibri" w:hAnsi="Arial" w:cs="Arial"/>
          <w:sz w:val="22"/>
          <w:szCs w:val="22"/>
          <w:lang w:val="es-ES"/>
        </w:rPr>
        <w:t xml:space="preserve"> ii) restricciones en elecciones presidenciales</w:t>
      </w:r>
      <w:r w:rsidR="006151F8">
        <w:rPr>
          <w:rFonts w:ascii="Arial" w:eastAsia="Calibri" w:hAnsi="Arial" w:cs="Arial"/>
          <w:sz w:val="22"/>
          <w:szCs w:val="22"/>
          <w:lang w:val="es-ES"/>
        </w:rPr>
        <w:t>;</w:t>
      </w:r>
      <w:r w:rsidR="001F772D">
        <w:rPr>
          <w:rFonts w:ascii="Arial" w:eastAsia="Calibri" w:hAnsi="Arial" w:cs="Arial"/>
          <w:sz w:val="22"/>
          <w:szCs w:val="22"/>
          <w:lang w:val="es-ES"/>
        </w:rPr>
        <w:t xml:space="preserve"> iii) destinatarios de la restricción del artículo 33 de la Ley 996 de 2005</w:t>
      </w:r>
      <w:r w:rsidR="006151F8">
        <w:rPr>
          <w:rFonts w:ascii="Arial" w:eastAsia="Calibri" w:hAnsi="Arial" w:cs="Arial"/>
          <w:sz w:val="22"/>
          <w:szCs w:val="22"/>
          <w:lang w:val="es-ES"/>
        </w:rPr>
        <w:t>;</w:t>
      </w:r>
      <w:r w:rsidR="00F93C05">
        <w:rPr>
          <w:rFonts w:ascii="Arial" w:eastAsia="Calibri" w:hAnsi="Arial" w:cs="Arial"/>
          <w:sz w:val="22"/>
          <w:szCs w:val="22"/>
          <w:lang w:val="es-ES"/>
        </w:rPr>
        <w:t xml:space="preserve"> iv) restricciones para la celebración de contratos y convenios interadministrativos en los comicios de cargo de elección popular y v) causal de contratación directa con cabildos indígenas y las asociaciones de autoridades tradicionales indígenas.</w:t>
      </w:r>
    </w:p>
    <w:p w14:paraId="1D3542AF" w14:textId="77777777" w:rsidR="00F17C3F" w:rsidRPr="00C00312" w:rsidRDefault="00F17C3F" w:rsidP="003E582E">
      <w:pPr>
        <w:spacing w:line="276" w:lineRule="auto"/>
        <w:ind w:firstLine="708"/>
        <w:jc w:val="both"/>
        <w:rPr>
          <w:rFonts w:ascii="Arial" w:hAnsi="Arial" w:cs="Arial"/>
          <w:sz w:val="22"/>
          <w:szCs w:val="22"/>
          <w:lang w:val="es-MX"/>
        </w:rPr>
      </w:pPr>
    </w:p>
    <w:p w14:paraId="7AA51D16" w14:textId="4CD9043D" w:rsidR="00F93C05" w:rsidRPr="00C84F90" w:rsidRDefault="006151F8" w:rsidP="00F93C05">
      <w:pPr>
        <w:tabs>
          <w:tab w:val="left" w:pos="426"/>
        </w:tabs>
        <w:spacing w:line="276" w:lineRule="auto"/>
        <w:jc w:val="both"/>
        <w:rPr>
          <w:rFonts w:ascii="Arial" w:eastAsia="Calibri" w:hAnsi="Arial" w:cs="Arial"/>
          <w:b/>
          <w:bCs/>
          <w:sz w:val="22"/>
          <w:szCs w:val="22"/>
        </w:rPr>
      </w:pPr>
      <w:r>
        <w:rPr>
          <w:rFonts w:ascii="Arial" w:eastAsia="Calibri" w:hAnsi="Arial" w:cs="Arial"/>
          <w:b/>
          <w:bCs/>
          <w:sz w:val="22"/>
          <w:szCs w:val="22"/>
        </w:rPr>
        <w:t>2.</w:t>
      </w:r>
      <w:r w:rsidR="00F93C05" w:rsidRPr="00C84F90">
        <w:rPr>
          <w:rFonts w:ascii="Arial" w:eastAsia="Calibri" w:hAnsi="Arial" w:cs="Arial"/>
          <w:b/>
          <w:bCs/>
          <w:sz w:val="22"/>
          <w:szCs w:val="22"/>
        </w:rPr>
        <w:t>1. Definición y finalidad de la Ley de Garantías Electorales: alcance de las restricciones</w:t>
      </w:r>
    </w:p>
    <w:p w14:paraId="2B59CED4" w14:textId="77777777" w:rsidR="00F93C05" w:rsidRPr="00C84F90" w:rsidRDefault="00F93C05" w:rsidP="00F93C05">
      <w:pPr>
        <w:tabs>
          <w:tab w:val="left" w:pos="426"/>
        </w:tabs>
        <w:spacing w:line="276" w:lineRule="auto"/>
        <w:ind w:firstLine="709"/>
        <w:jc w:val="both"/>
        <w:rPr>
          <w:rFonts w:ascii="Arial" w:eastAsia="Calibri" w:hAnsi="Arial" w:cs="Arial"/>
          <w:bCs/>
          <w:sz w:val="22"/>
          <w:szCs w:val="22"/>
        </w:rPr>
      </w:pPr>
    </w:p>
    <w:p w14:paraId="2F605BFB" w14:textId="77777777" w:rsidR="00F93C05" w:rsidRPr="00C84F90" w:rsidRDefault="00F93C05" w:rsidP="00F93C05">
      <w:pPr>
        <w:tabs>
          <w:tab w:val="left" w:pos="426"/>
        </w:tabs>
        <w:spacing w:after="120" w:line="276" w:lineRule="auto"/>
        <w:jc w:val="both"/>
        <w:rPr>
          <w:rFonts w:ascii="Arial" w:hAnsi="Arial" w:cs="Arial"/>
          <w:bCs/>
          <w:sz w:val="22"/>
          <w:szCs w:val="22"/>
          <w:lang w:eastAsia="es-CO"/>
        </w:rPr>
      </w:pPr>
      <w:r w:rsidRPr="00C84F90">
        <w:rPr>
          <w:rFonts w:ascii="Arial" w:eastAsia="Calibri" w:hAnsi="Arial" w:cs="Arial"/>
          <w:bCs/>
          <w:sz w:val="22"/>
          <w:szCs w:val="22"/>
        </w:rPr>
        <w:t>El ordenamiento jurídico colombiano contempla previsiones claras para evitar la obtención de beneficios personales en asuntos propios de la administración pública</w:t>
      </w:r>
      <w:r w:rsidRPr="00C84F90">
        <w:rPr>
          <w:rFonts w:ascii="Arial" w:eastAsia="Calibri" w:hAnsi="Arial" w:cs="Arial"/>
          <w:bCs/>
          <w:i/>
          <w:iCs/>
          <w:sz w:val="22"/>
          <w:szCs w:val="22"/>
        </w:rPr>
        <w:t xml:space="preserve">. </w:t>
      </w:r>
      <w:r w:rsidRPr="00C84F90">
        <w:rPr>
          <w:rFonts w:ascii="Arial" w:eastAsia="Calibri" w:hAnsi="Arial" w:cs="Arial"/>
          <w:bCs/>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sidRPr="00C84F90">
        <w:rPr>
          <w:rFonts w:ascii="Arial" w:eastAsia="Calibri" w:hAnsi="Arial" w:cs="Arial"/>
          <w:bCs/>
          <w:sz w:val="22"/>
          <w:szCs w:val="22"/>
          <w:vertAlign w:val="superscript"/>
        </w:rPr>
        <w:footnoteReference w:id="1"/>
      </w:r>
      <w:r w:rsidRPr="00C84F90">
        <w:rPr>
          <w:rFonts w:ascii="Arial" w:eastAsia="Calibri" w:hAnsi="Arial" w:cs="Arial"/>
          <w:bCs/>
          <w:sz w:val="22"/>
          <w:szCs w:val="22"/>
        </w:rPr>
        <w:t xml:space="preserve">. </w:t>
      </w:r>
    </w:p>
    <w:p w14:paraId="1EB5722B" w14:textId="77777777" w:rsidR="00F93C05" w:rsidRPr="00C84F90" w:rsidRDefault="00F93C05" w:rsidP="00F93C05">
      <w:pPr>
        <w:tabs>
          <w:tab w:val="left" w:pos="426"/>
        </w:tabs>
        <w:spacing w:line="276" w:lineRule="auto"/>
        <w:ind w:firstLine="709"/>
        <w:jc w:val="both"/>
        <w:rPr>
          <w:rFonts w:ascii="Arial" w:hAnsi="Arial" w:cs="Arial"/>
          <w:bCs/>
          <w:sz w:val="22"/>
          <w:szCs w:val="22"/>
          <w:lang w:val="es-MX" w:eastAsia="es-CO"/>
        </w:rPr>
      </w:pPr>
      <w:r w:rsidRPr="00C84F90">
        <w:rPr>
          <w:rFonts w:ascii="Arial" w:hAnsi="Arial" w:cs="Arial"/>
          <w:bCs/>
          <w:sz w:val="22"/>
          <w:szCs w:val="22"/>
          <w:lang w:eastAsia="es-CO"/>
        </w:rPr>
        <w:lastRenderedPageBreak/>
        <w:t>En el mismo sentido</w:t>
      </w:r>
      <w:r w:rsidRPr="00C84F90">
        <w:rPr>
          <w:rFonts w:ascii="Arial" w:hAnsi="Arial" w:cs="Arial"/>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C84F90">
        <w:rPr>
          <w:rFonts w:ascii="Arial" w:hAnsi="Arial" w:cs="Arial"/>
          <w:bCs/>
          <w:sz w:val="22"/>
          <w:szCs w:val="22"/>
          <w:vertAlign w:val="superscript"/>
          <w:lang w:val="es-MX" w:eastAsia="es-CO"/>
        </w:rPr>
        <w:footnoteReference w:id="2"/>
      </w:r>
      <w:r w:rsidRPr="00C84F90">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C84F90">
        <w:rPr>
          <w:rFonts w:ascii="Arial" w:eastAsia="Calibri" w:hAnsi="Arial" w:cs="Arial"/>
          <w:noProof/>
          <w:sz w:val="22"/>
          <w:szCs w:val="22"/>
          <w:lang w:val="es-ES_tradnl"/>
        </w:rPr>
        <w:t xml:space="preserve"> </w:t>
      </w:r>
      <w:r w:rsidRPr="00C84F90">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31E9A820" w14:textId="77777777" w:rsidR="00F93C05" w:rsidRPr="00C84F90" w:rsidRDefault="00F93C05" w:rsidP="00F93C05">
      <w:pPr>
        <w:ind w:right="709"/>
        <w:jc w:val="both"/>
        <w:rPr>
          <w:rFonts w:ascii="Arial" w:hAnsi="Arial" w:cs="Arial"/>
          <w:sz w:val="21"/>
          <w:szCs w:val="21"/>
          <w:lang w:val="es-ES" w:eastAsia="es-CO"/>
        </w:rPr>
      </w:pPr>
    </w:p>
    <w:p w14:paraId="6BE3988F" w14:textId="77777777" w:rsidR="00F93C05" w:rsidRPr="00C84F90" w:rsidRDefault="00F93C05" w:rsidP="00F93C05">
      <w:pPr>
        <w:ind w:left="709" w:right="709"/>
        <w:jc w:val="both"/>
        <w:rPr>
          <w:rFonts w:ascii="Arial" w:hAnsi="Arial" w:cs="Arial"/>
          <w:bCs/>
          <w:sz w:val="21"/>
          <w:szCs w:val="21"/>
          <w:lang w:val="es-MX" w:eastAsia="es-CO"/>
        </w:rPr>
      </w:pPr>
      <w:r w:rsidRPr="009F5860">
        <w:rPr>
          <w:rFonts w:ascii="Arial" w:eastAsia="Calibri" w:hAnsi="Arial" w:cs="Arial"/>
          <w:sz w:val="21"/>
          <w:szCs w:val="21"/>
          <w:lang w:val="es-ES"/>
        </w:rPr>
        <w:t>«</w:t>
      </w:r>
      <w:r w:rsidRPr="00C84F90">
        <w:rPr>
          <w:rFonts w:ascii="Arial" w:hAnsi="Arial" w:cs="Arial"/>
          <w:sz w:val="21"/>
          <w:szCs w:val="21"/>
          <w:lang w:val="es-ES" w:eastAsia="es-CO"/>
        </w:rPr>
        <w:t xml:space="preserve">[…] </w:t>
      </w:r>
      <w:r w:rsidRPr="00C84F90">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156083FD" w14:textId="77777777" w:rsidR="00F93C05" w:rsidRPr="00C84F90" w:rsidRDefault="00F93C05" w:rsidP="00F93C05">
      <w:pPr>
        <w:spacing w:after="120"/>
        <w:ind w:left="709" w:right="709"/>
        <w:jc w:val="both"/>
        <w:rPr>
          <w:rFonts w:ascii="Arial" w:hAnsi="Arial" w:cs="Arial"/>
          <w:bCs/>
          <w:sz w:val="21"/>
          <w:szCs w:val="21"/>
          <w:lang w:val="es-MX" w:eastAsia="es-CO"/>
        </w:rPr>
      </w:pPr>
      <w:r w:rsidRPr="00C84F90">
        <w:rPr>
          <w:rFonts w:ascii="Arial" w:hAnsi="Arial" w:cs="Arial"/>
          <w:bCs/>
          <w:sz w:val="21"/>
          <w:szCs w:val="21"/>
          <w:lang w:val="es-MX" w:eastAsia="es-CO"/>
        </w:rPr>
        <w:t xml:space="preserve">[…] </w:t>
      </w:r>
    </w:p>
    <w:p w14:paraId="32B432E3" w14:textId="77777777" w:rsidR="00F93C05" w:rsidRPr="00C84F90" w:rsidRDefault="00F93C05" w:rsidP="00F93C05">
      <w:pPr>
        <w:ind w:left="709" w:right="709"/>
        <w:jc w:val="both"/>
        <w:rPr>
          <w:rFonts w:ascii="Arial" w:hAnsi="Arial" w:cs="Arial"/>
          <w:bCs/>
          <w:sz w:val="21"/>
          <w:szCs w:val="21"/>
          <w:lang w:val="es-MX" w:eastAsia="es-CO"/>
        </w:rPr>
      </w:pPr>
      <w:r w:rsidRPr="00C84F90">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F5860">
        <w:rPr>
          <w:rFonts w:ascii="Arial" w:hAnsi="Arial" w:cs="Arial"/>
          <w:sz w:val="21"/>
          <w:szCs w:val="21"/>
          <w:lang w:val="es-ES"/>
        </w:rPr>
        <w:t>»</w:t>
      </w:r>
      <w:r w:rsidRPr="00C84F90">
        <w:rPr>
          <w:rFonts w:ascii="Arial" w:hAnsi="Arial" w:cs="Arial"/>
          <w:sz w:val="20"/>
          <w:szCs w:val="20"/>
          <w:vertAlign w:val="superscript"/>
          <w:lang w:val="es-MX"/>
        </w:rPr>
        <w:footnoteReference w:id="3"/>
      </w:r>
    </w:p>
    <w:p w14:paraId="46110E39" w14:textId="77777777" w:rsidR="00F93C05" w:rsidRPr="00C84F90" w:rsidRDefault="00F93C05" w:rsidP="00F93C05">
      <w:pPr>
        <w:spacing w:line="276" w:lineRule="auto"/>
        <w:ind w:left="709" w:right="709"/>
        <w:jc w:val="both"/>
        <w:rPr>
          <w:rFonts w:ascii="Arial" w:hAnsi="Arial" w:cs="Arial"/>
          <w:bCs/>
          <w:sz w:val="21"/>
          <w:szCs w:val="21"/>
          <w:lang w:val="es-MX" w:eastAsia="es-CO"/>
        </w:rPr>
      </w:pPr>
    </w:p>
    <w:p w14:paraId="175B7FCB" w14:textId="77777777" w:rsidR="00F93C05" w:rsidRPr="00C84F90" w:rsidRDefault="00F93C05" w:rsidP="00F93C05">
      <w:pPr>
        <w:spacing w:line="276" w:lineRule="auto"/>
        <w:ind w:firstLine="709"/>
        <w:jc w:val="both"/>
        <w:rPr>
          <w:rFonts w:ascii="Arial" w:hAnsi="Arial" w:cs="Arial"/>
          <w:bCs/>
          <w:sz w:val="22"/>
          <w:szCs w:val="22"/>
          <w:lang w:val="es-MX" w:eastAsia="es-CO"/>
        </w:rPr>
      </w:pPr>
      <w:r w:rsidRPr="00C84F90">
        <w:rPr>
          <w:rFonts w:ascii="Arial"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C42557B" w14:textId="77777777" w:rsidR="00F93C05" w:rsidRPr="00C84F90" w:rsidRDefault="00F93C05" w:rsidP="00F93C05">
      <w:pPr>
        <w:spacing w:line="276" w:lineRule="auto"/>
        <w:ind w:firstLine="709"/>
        <w:jc w:val="both"/>
        <w:rPr>
          <w:rFonts w:ascii="Arial" w:hAnsi="Arial" w:cs="Arial"/>
          <w:bCs/>
          <w:sz w:val="22"/>
          <w:szCs w:val="22"/>
          <w:lang w:val="es-MX" w:eastAsia="es-CO"/>
        </w:rPr>
      </w:pPr>
    </w:p>
    <w:p w14:paraId="07D61525" w14:textId="77777777" w:rsidR="00F93C05" w:rsidRPr="00C84F90" w:rsidRDefault="00F93C05" w:rsidP="00F93C05">
      <w:pPr>
        <w:spacing w:after="120"/>
        <w:ind w:left="709" w:right="709"/>
        <w:jc w:val="both"/>
        <w:rPr>
          <w:rFonts w:ascii="Arial" w:hAnsi="Arial" w:cs="Arial"/>
          <w:bCs/>
          <w:sz w:val="21"/>
          <w:szCs w:val="21"/>
          <w:lang w:val="es-MX" w:eastAsia="es-CO"/>
        </w:rPr>
      </w:pPr>
      <w:r w:rsidRPr="009F5860">
        <w:rPr>
          <w:rFonts w:ascii="Arial" w:eastAsia="Calibri" w:hAnsi="Arial" w:cs="Arial"/>
          <w:sz w:val="21"/>
          <w:szCs w:val="21"/>
          <w:lang w:val="es-ES"/>
        </w:rPr>
        <w:lastRenderedPageBreak/>
        <w:t>«</w:t>
      </w:r>
      <w:r w:rsidRPr="00C84F90">
        <w:rPr>
          <w:rFonts w:ascii="Arial"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AF5EE87" w14:textId="77777777" w:rsidR="00F93C05" w:rsidRPr="00C84F90" w:rsidRDefault="00F93C05" w:rsidP="00F93C05">
      <w:pPr>
        <w:ind w:left="709" w:right="709"/>
        <w:jc w:val="both"/>
        <w:rPr>
          <w:rFonts w:ascii="Arial" w:hAnsi="Arial" w:cs="Arial"/>
          <w:bCs/>
          <w:sz w:val="21"/>
          <w:szCs w:val="21"/>
          <w:lang w:val="es-MX" w:eastAsia="es-CO"/>
        </w:rPr>
      </w:pPr>
      <w:r w:rsidRPr="00C84F90">
        <w:rPr>
          <w:rFonts w:ascii="Arial" w:hAnsi="Arial" w:cs="Arial"/>
          <w:bCs/>
          <w:sz w:val="21"/>
          <w:szCs w:val="21"/>
          <w:lang w:val="es-MX" w:eastAsia="es-CO"/>
        </w:rPr>
        <w:t>La jurisprudencia de la Corte Constitucional</w:t>
      </w:r>
      <w:r w:rsidRPr="00C84F90">
        <w:rPr>
          <w:rFonts w:ascii="Arial" w:hAnsi="Arial" w:cs="Arial"/>
          <w:bCs/>
          <w:sz w:val="21"/>
          <w:szCs w:val="21"/>
          <w:vertAlign w:val="superscript"/>
          <w:lang w:val="es-MX" w:eastAsia="es-CO"/>
        </w:rPr>
        <w:footnoteReference w:id="4"/>
      </w:r>
      <w:r w:rsidRPr="00C84F90">
        <w:rPr>
          <w:rFonts w:ascii="Arial" w:hAnsi="Arial" w:cs="Arial"/>
          <w:bCs/>
          <w:sz w:val="21"/>
          <w:szCs w:val="21"/>
          <w:lang w:val="es-MX" w:eastAsia="es-CO"/>
        </w:rPr>
        <w:t> y del Consejo de Estado</w:t>
      </w:r>
      <w:r w:rsidRPr="00C84F90">
        <w:rPr>
          <w:rFonts w:ascii="Arial" w:hAnsi="Arial" w:cs="Arial"/>
          <w:bCs/>
          <w:sz w:val="21"/>
          <w:szCs w:val="21"/>
          <w:vertAlign w:val="superscript"/>
          <w:lang w:val="es-MX" w:eastAsia="es-CO"/>
        </w:rPr>
        <w:footnoteReference w:id="5"/>
      </w:r>
      <w:r w:rsidRPr="00C84F90">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hAnsi="Arial" w:cs="Arial"/>
          <w:bCs/>
          <w:sz w:val="21"/>
          <w:szCs w:val="21"/>
          <w:lang w:val="es-MX" w:eastAsia="es-CO"/>
        </w:rPr>
        <w:t>.</w:t>
      </w:r>
      <w:r w:rsidRPr="009F5860">
        <w:rPr>
          <w:rFonts w:ascii="Arial" w:hAnsi="Arial" w:cs="Arial"/>
          <w:sz w:val="21"/>
          <w:szCs w:val="21"/>
          <w:lang w:val="es-ES"/>
        </w:rPr>
        <w:t>»</w:t>
      </w:r>
      <w:r w:rsidRPr="00C84F90">
        <w:rPr>
          <w:rFonts w:ascii="Arial" w:hAnsi="Arial" w:cs="Arial"/>
          <w:bCs/>
          <w:sz w:val="22"/>
          <w:szCs w:val="22"/>
          <w:vertAlign w:val="superscript"/>
          <w:lang w:val="es-MX" w:eastAsia="es-CO"/>
        </w:rPr>
        <w:footnoteReference w:id="6"/>
      </w:r>
    </w:p>
    <w:p w14:paraId="07CC92D4" w14:textId="77777777" w:rsidR="00F93C05" w:rsidRPr="002F0981" w:rsidRDefault="00F93C05" w:rsidP="00F93C05">
      <w:pPr>
        <w:spacing w:line="276" w:lineRule="auto"/>
        <w:ind w:right="709"/>
        <w:jc w:val="both"/>
        <w:rPr>
          <w:rFonts w:ascii="Arial" w:hAnsi="Arial" w:cs="Arial"/>
          <w:bCs/>
          <w:sz w:val="22"/>
          <w:szCs w:val="22"/>
          <w:lang w:val="es-MX" w:eastAsia="es-CO"/>
        </w:rPr>
      </w:pPr>
    </w:p>
    <w:p w14:paraId="4E298410" w14:textId="77777777" w:rsidR="00F93C05" w:rsidRPr="00C84F90" w:rsidRDefault="00F93C05" w:rsidP="00F93C05">
      <w:pPr>
        <w:spacing w:after="120" w:line="276" w:lineRule="auto"/>
        <w:jc w:val="both"/>
        <w:rPr>
          <w:rFonts w:ascii="Arial" w:eastAsia="Arial" w:hAnsi="Arial" w:cs="Arial"/>
          <w:sz w:val="22"/>
          <w:szCs w:val="22"/>
          <w:lang w:val="es-ES" w:eastAsia="es-ES" w:bidi="es-ES"/>
        </w:rPr>
      </w:pPr>
      <w:r w:rsidRPr="00C84F90">
        <w:rPr>
          <w:rFonts w:ascii="Arial" w:hAnsi="Arial" w:cs="Arial"/>
          <w:bCs/>
          <w:sz w:val="22"/>
          <w:szCs w:val="22"/>
          <w:lang w:val="es-MX" w:eastAsia="es-CO"/>
        </w:rPr>
        <w:tab/>
        <w:t>De</w:t>
      </w:r>
      <w:r w:rsidRPr="00C84F90">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w:t>
      </w:r>
      <w:r>
        <w:rPr>
          <w:rFonts w:ascii="Arial" w:eastAsia="Arial" w:hAnsi="Arial" w:cs="Arial"/>
          <w:sz w:val="22"/>
          <w:szCs w:val="22"/>
          <w:lang w:val="es-ES" w:eastAsia="es-ES" w:bidi="es-ES"/>
        </w:rPr>
        <w:t>í</w:t>
      </w:r>
      <w:r w:rsidRPr="00C84F90">
        <w:rPr>
          <w:rFonts w:ascii="Arial" w:eastAsia="Arial" w:hAnsi="Arial" w:cs="Arial"/>
          <w:sz w:val="22"/>
          <w:szCs w:val="22"/>
          <w:lang w:val="es-ES" w:eastAsia="es-ES" w:bidi="es-ES"/>
        </w:rPr>
        <w:t>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9BC4ABB" w14:textId="77777777" w:rsidR="00F93C05" w:rsidRPr="00C84F90" w:rsidRDefault="00F93C05" w:rsidP="00F93C05">
      <w:pPr>
        <w:spacing w:after="120" w:line="276" w:lineRule="auto"/>
        <w:ind w:firstLine="708"/>
        <w:jc w:val="both"/>
        <w:rPr>
          <w:rFonts w:ascii="Arial" w:eastAsia="Calibri" w:hAnsi="Arial" w:cs="Arial"/>
          <w:sz w:val="22"/>
          <w:szCs w:val="22"/>
        </w:rPr>
      </w:pPr>
      <w:r w:rsidRPr="00C84F90">
        <w:rPr>
          <w:rFonts w:ascii="Arial" w:eastAsia="Calibri" w:hAnsi="Arial" w:cs="Arial"/>
          <w:sz w:val="22"/>
          <w:szCs w:val="22"/>
        </w:rPr>
        <w:t xml:space="preserve">Por un lado, el artículo 33 de la Ley 996 de 2005 prohíbe </w:t>
      </w:r>
      <w:r w:rsidRPr="00C84F90">
        <w:rPr>
          <w:rFonts w:ascii="Arial" w:eastAsia="Calibri" w:hAnsi="Arial" w:cs="Arial"/>
          <w:bCs/>
          <w:sz w:val="22"/>
          <w:szCs w:val="22"/>
        </w:rPr>
        <w:t xml:space="preserve">«[…] </w:t>
      </w:r>
      <w:r w:rsidRPr="00C84F90">
        <w:rPr>
          <w:rFonts w:ascii="Arial" w:eastAsia="Calibri" w:hAnsi="Arial" w:cs="Arial"/>
          <w:sz w:val="22"/>
          <w:szCs w:val="22"/>
        </w:rPr>
        <w:t>la contratación directa por parte de todos los entes del Estado</w:t>
      </w:r>
      <w:r w:rsidRPr="00C84F90">
        <w:rPr>
          <w:rFonts w:ascii="Arial" w:eastAsia="Calibri" w:hAnsi="Arial" w:cs="Arial"/>
          <w:bCs/>
          <w:sz w:val="22"/>
          <w:szCs w:val="22"/>
        </w:rPr>
        <w:t>»</w:t>
      </w:r>
      <w:r w:rsidRPr="00C84F90">
        <w:rPr>
          <w:rFonts w:ascii="Arial" w:eastAsia="Calibri" w:hAnsi="Arial" w:cs="Arial"/>
          <w:sz w:val="22"/>
          <w:szCs w:val="22"/>
        </w:rPr>
        <w:t xml:space="preserve"> durante los cuatro (4) meses anteriores a las elecciones presidenciales, salvo </w:t>
      </w:r>
      <w:r w:rsidRPr="00C84F90">
        <w:rPr>
          <w:rFonts w:ascii="Arial" w:eastAsia="Calibri" w:hAnsi="Arial" w:cs="Arial"/>
          <w:bCs/>
          <w:sz w:val="22"/>
          <w:szCs w:val="22"/>
        </w:rPr>
        <w:t xml:space="preserve">«[…] </w:t>
      </w:r>
      <w:r w:rsidRPr="00C84F90">
        <w:rPr>
          <w:rFonts w:ascii="Arial" w:eastAsia="Calibri" w:hAnsi="Arial" w:cs="Arial"/>
          <w:sz w:val="22"/>
          <w:szCs w:val="22"/>
        </w:rPr>
        <w:t xml:space="preserve">lo referente a la defensa y seguridad del Estado, los </w:t>
      </w:r>
      <w:r w:rsidRPr="00C84F90">
        <w:rPr>
          <w:rFonts w:ascii="Arial" w:eastAsia="Calibri" w:hAnsi="Arial" w:cs="Arial"/>
          <w:sz w:val="22"/>
          <w:szCs w:val="22"/>
        </w:rPr>
        <w:lastRenderedPageBreak/>
        <w:t>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84F90">
        <w:rPr>
          <w:rFonts w:ascii="Arial" w:eastAsia="Calibri" w:hAnsi="Arial" w:cs="Arial"/>
          <w:bCs/>
          <w:sz w:val="22"/>
          <w:szCs w:val="22"/>
        </w:rPr>
        <w:t>»</w:t>
      </w:r>
      <w:r w:rsidRPr="00C84F90">
        <w:rPr>
          <w:rFonts w:ascii="Arial" w:eastAsia="Calibri" w:hAnsi="Arial" w:cs="Arial"/>
          <w:bCs/>
          <w:sz w:val="22"/>
          <w:szCs w:val="22"/>
          <w:vertAlign w:val="superscript"/>
        </w:rPr>
        <w:footnoteReference w:id="7"/>
      </w:r>
      <w:r w:rsidRPr="00C84F90">
        <w:rPr>
          <w:rFonts w:ascii="Arial" w:eastAsia="Calibri" w:hAnsi="Arial" w:cs="Arial"/>
          <w:sz w:val="22"/>
          <w:szCs w:val="22"/>
        </w:rPr>
        <w:t>.</w:t>
      </w:r>
    </w:p>
    <w:p w14:paraId="378BB782" w14:textId="77777777" w:rsidR="00F93C05" w:rsidRPr="00C84F90" w:rsidRDefault="00F93C05" w:rsidP="00F93C05">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C84F90">
        <w:rPr>
          <w:rFonts w:ascii="Arial" w:eastAsia="Calibri" w:hAnsi="Arial"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C84F90">
        <w:rPr>
          <w:rFonts w:ascii="Arial" w:eastAsia="Calibri" w:hAnsi="Arial" w:cs="Arial"/>
          <w:bCs/>
          <w:sz w:val="22"/>
          <w:szCs w:val="22"/>
        </w:rPr>
        <w:t xml:space="preserve">«[…] </w:t>
      </w:r>
      <w:r w:rsidRPr="00C84F90">
        <w:rPr>
          <w:rFonts w:ascii="Arial" w:eastAsia="Calibri" w:hAnsi="Arial"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84F90">
        <w:rPr>
          <w:rFonts w:ascii="Arial" w:eastAsia="Calibri" w:hAnsi="Arial" w:cs="Arial"/>
          <w:bCs/>
          <w:sz w:val="19"/>
          <w:szCs w:val="19"/>
        </w:rPr>
        <w:t>»</w:t>
      </w:r>
      <w:r w:rsidRPr="00C84F90">
        <w:rPr>
          <w:rFonts w:ascii="Arial" w:eastAsia="Calibri" w:hAnsi="Arial" w:cs="Arial"/>
          <w:bCs/>
          <w:sz w:val="19"/>
          <w:szCs w:val="19"/>
          <w:vertAlign w:val="superscript"/>
        </w:rPr>
        <w:footnoteReference w:id="8"/>
      </w:r>
      <w:r w:rsidRPr="00C84F90">
        <w:rPr>
          <w:rFonts w:ascii="Arial" w:eastAsia="Calibri" w:hAnsi="Arial" w:cs="Arial"/>
          <w:sz w:val="22"/>
          <w:szCs w:val="22"/>
          <w:lang w:val="es-MX"/>
        </w:rPr>
        <w:t>.</w:t>
      </w:r>
      <w:r w:rsidRPr="00C84F90">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060BCC53" w14:textId="77777777" w:rsidR="00F93C05" w:rsidRPr="00C84F90" w:rsidRDefault="00F93C05" w:rsidP="00F93C05">
      <w:pPr>
        <w:widowControl w:val="0"/>
        <w:autoSpaceDE w:val="0"/>
        <w:autoSpaceDN w:val="0"/>
        <w:ind w:left="805" w:right="812"/>
        <w:jc w:val="both"/>
        <w:rPr>
          <w:rFonts w:ascii="Arial" w:eastAsia="Arial" w:hAnsi="Arial" w:cs="Arial"/>
          <w:sz w:val="22"/>
          <w:szCs w:val="22"/>
          <w:lang w:val="es-ES" w:eastAsia="es-ES" w:bidi="es-ES"/>
        </w:rPr>
      </w:pPr>
    </w:p>
    <w:p w14:paraId="0DAA3451" w14:textId="77777777" w:rsidR="00F93C05" w:rsidRPr="00C84F90" w:rsidRDefault="00F93C05" w:rsidP="00F93C05">
      <w:pPr>
        <w:widowControl w:val="0"/>
        <w:autoSpaceDE w:val="0"/>
        <w:autoSpaceDN w:val="0"/>
        <w:ind w:left="709" w:right="709"/>
        <w:jc w:val="both"/>
        <w:rPr>
          <w:rFonts w:ascii="Arial" w:eastAsia="Arial" w:hAnsi="Arial" w:cs="Arial"/>
          <w:sz w:val="21"/>
          <w:szCs w:val="21"/>
          <w:lang w:val="es-ES" w:eastAsia="es-ES" w:bidi="es-ES"/>
        </w:rPr>
      </w:pPr>
      <w:r w:rsidRPr="009F5860">
        <w:rPr>
          <w:rFonts w:ascii="Arial" w:eastAsia="Calibri" w:hAnsi="Arial" w:cs="Arial"/>
          <w:sz w:val="21"/>
          <w:szCs w:val="21"/>
          <w:lang w:val="es-ES"/>
        </w:rPr>
        <w:t>«</w:t>
      </w:r>
      <w:r w:rsidRPr="00C84F90">
        <w:rPr>
          <w:rFonts w:ascii="Arial" w:eastAsia="Arial" w:hAnsi="Arial" w:cs="Arial"/>
          <w:sz w:val="21"/>
          <w:szCs w:val="21"/>
          <w:lang w:val="es-ES" w:eastAsia="es-ES" w:bidi="es-ES"/>
        </w:rPr>
        <w:t>La interpretación sistemática de las disposiciones consagradas en los artículos 32, 33 y el parágrafo del artículo 38 de la ley 996 de 2.005 lleva a concluir que dichas normas contienen restricciones y prohibiciones para per</w:t>
      </w:r>
      <w:r>
        <w:rPr>
          <w:rFonts w:ascii="Arial" w:eastAsia="Arial" w:hAnsi="Arial" w:cs="Arial"/>
          <w:sz w:val="21"/>
          <w:szCs w:val="21"/>
          <w:lang w:val="es-ES" w:eastAsia="es-ES" w:bidi="es-ES"/>
        </w:rPr>
        <w:t>í</w:t>
      </w:r>
      <w:r w:rsidRPr="00C84F90">
        <w:rPr>
          <w:rFonts w:ascii="Arial" w:eastAsia="Arial" w:hAnsi="Arial" w:cs="Arial"/>
          <w:sz w:val="21"/>
          <w:szCs w:val="21"/>
          <w:lang w:val="es-ES" w:eastAsia="es-ES" w:bidi="es-ES"/>
        </w:rPr>
        <w:t xml:space="preserve">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C84F90">
        <w:rPr>
          <w:rFonts w:ascii="Arial" w:eastAsia="Arial" w:hAnsi="Arial" w:cs="Arial"/>
          <w:bCs/>
          <w:sz w:val="21"/>
          <w:szCs w:val="21"/>
          <w:lang w:val="es-ES" w:eastAsia="es-ES" w:bidi="es-ES"/>
        </w:rPr>
        <w:t xml:space="preserve">En cambio, para </w:t>
      </w:r>
      <w:r w:rsidRPr="00C84F90">
        <w:rPr>
          <w:rFonts w:ascii="Arial" w:eastAsia="Arial" w:hAnsi="Arial" w:cs="Arial"/>
          <w:bCs/>
          <w:sz w:val="21"/>
          <w:szCs w:val="21"/>
          <w:lang w:val="es-ES" w:eastAsia="es-ES" w:bidi="es-ES"/>
        </w:rPr>
        <w:lastRenderedPageBreak/>
        <w:t xml:space="preserve">elecciones en general, excluyendo las correspondientes a </w:t>
      </w:r>
      <w:proofErr w:type="gramStart"/>
      <w:r w:rsidRPr="00C84F90">
        <w:rPr>
          <w:rFonts w:ascii="Arial" w:eastAsia="Arial" w:hAnsi="Arial" w:cs="Arial"/>
          <w:bCs/>
          <w:sz w:val="21"/>
          <w:szCs w:val="21"/>
          <w:lang w:val="es-ES" w:eastAsia="es-ES" w:bidi="es-ES"/>
        </w:rPr>
        <w:t>Presidente</w:t>
      </w:r>
      <w:proofErr w:type="gramEnd"/>
      <w:r w:rsidRPr="00C84F90">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Pr>
          <w:rFonts w:ascii="Arial" w:eastAsia="Arial" w:hAnsi="Arial" w:cs="Arial"/>
          <w:bCs/>
          <w:sz w:val="21"/>
          <w:szCs w:val="21"/>
          <w:lang w:val="es-ES" w:eastAsia="es-ES" w:bidi="es-ES"/>
        </w:rPr>
        <w:t>.</w:t>
      </w:r>
      <w:r w:rsidRPr="009F5860">
        <w:rPr>
          <w:rFonts w:ascii="Arial" w:hAnsi="Arial" w:cs="Arial"/>
          <w:sz w:val="21"/>
          <w:szCs w:val="21"/>
          <w:lang w:val="es-ES"/>
        </w:rPr>
        <w:t>»</w:t>
      </w:r>
      <w:r w:rsidRPr="00C84F90">
        <w:rPr>
          <w:rFonts w:ascii="Arial" w:eastAsia="Arial" w:hAnsi="Arial" w:cs="Arial"/>
          <w:sz w:val="21"/>
          <w:szCs w:val="21"/>
          <w:vertAlign w:val="superscript"/>
          <w:lang w:val="es-ES" w:eastAsia="es-ES" w:bidi="es-ES"/>
        </w:rPr>
        <w:footnoteReference w:id="9"/>
      </w:r>
    </w:p>
    <w:p w14:paraId="55A5C8B0" w14:textId="77777777" w:rsidR="00F93C05" w:rsidRPr="00C84F90" w:rsidRDefault="00F93C05" w:rsidP="00F93C05">
      <w:pPr>
        <w:widowControl w:val="0"/>
        <w:autoSpaceDE w:val="0"/>
        <w:autoSpaceDN w:val="0"/>
        <w:spacing w:before="8"/>
        <w:rPr>
          <w:rFonts w:ascii="Arial" w:eastAsia="Arial" w:hAnsi="Arial" w:cs="Arial"/>
          <w:sz w:val="26"/>
          <w:szCs w:val="22"/>
          <w:lang w:val="es-ES" w:eastAsia="es-ES" w:bidi="es-ES"/>
        </w:rPr>
      </w:pPr>
    </w:p>
    <w:p w14:paraId="5410E9CB" w14:textId="77777777" w:rsidR="00F93C05" w:rsidRPr="00C84F90" w:rsidRDefault="00F93C05" w:rsidP="00F93C05">
      <w:pPr>
        <w:spacing w:after="12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De conformidad con lo anterior, la Ley 996 de 2005 establece dos (2) tipos de restricciones en materia de contratación, las cuales coinciden parcialmente. </w:t>
      </w:r>
      <w:r w:rsidRPr="00C84F90">
        <w:rPr>
          <w:rFonts w:ascii="Arial" w:eastAsia="Arial" w:hAnsi="Arial" w:cs="Arial"/>
          <w:i/>
          <w:iCs/>
          <w:sz w:val="22"/>
          <w:szCs w:val="22"/>
          <w:lang w:val="es-ES" w:eastAsia="es-ES" w:bidi="es-ES"/>
        </w:rPr>
        <w:t>En primer lugar</w:t>
      </w:r>
      <w:r w:rsidRPr="00C84F90">
        <w:rPr>
          <w:rFonts w:ascii="Arial" w:eastAsia="Arial" w:hAnsi="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C84F90">
        <w:rPr>
          <w:rFonts w:ascii="Arial" w:eastAsia="Arial" w:hAnsi="Arial" w:cs="Arial"/>
          <w:i/>
          <w:iCs/>
          <w:sz w:val="22"/>
          <w:szCs w:val="22"/>
          <w:lang w:val="es-ES" w:eastAsia="es-ES" w:bidi="es-ES"/>
        </w:rPr>
        <w:t>En segundo lugar</w:t>
      </w:r>
      <w:r w:rsidRPr="00C84F90">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7E5F321" w14:textId="77777777" w:rsidR="00F93C05" w:rsidRPr="00C84F90" w:rsidRDefault="00F93C05" w:rsidP="00F93C05">
      <w:pPr>
        <w:spacing w:after="12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C84F90">
        <w:rPr>
          <w:rFonts w:ascii="Arial" w:eastAsia="Arial" w:hAnsi="Arial" w:cs="Arial"/>
          <w:sz w:val="22"/>
          <w:szCs w:val="22"/>
          <w:lang w:val="es-ES" w:eastAsia="es-ES" w:bidi="es-ES"/>
        </w:rPr>
        <w:t>Presidente</w:t>
      </w:r>
      <w:proofErr w:type="gramEnd"/>
      <w:r w:rsidRPr="00C84F90">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C84F90">
        <w:rPr>
          <w:rFonts w:ascii="Arial" w:eastAsia="Arial" w:hAnsi="Arial" w:cs="Arial"/>
          <w:sz w:val="22"/>
          <w:szCs w:val="22"/>
          <w:lang w:val="es-ES" w:eastAsia="es-ES" w:bidi="es-ES"/>
        </w:rPr>
        <w:t>Presidente</w:t>
      </w:r>
      <w:proofErr w:type="gramEnd"/>
      <w:r w:rsidRPr="00C84F90">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p w14:paraId="3BACFF6C" w14:textId="77777777" w:rsidR="00F93C05" w:rsidRPr="00A17AB5" w:rsidRDefault="00F93C05" w:rsidP="00F93C05">
      <w:pPr>
        <w:spacing w:before="120" w:after="12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C84F90">
        <w:rPr>
          <w:rFonts w:ascii="Arial" w:eastAsia="Arial" w:hAnsi="Arial" w:cs="Arial"/>
          <w:sz w:val="22"/>
          <w:szCs w:val="22"/>
          <w:lang w:val="es-ES" w:eastAsia="es-ES" w:bidi="es-ES"/>
        </w:rPr>
        <w:t>Presidente</w:t>
      </w:r>
      <w:proofErr w:type="gramEnd"/>
      <w:r w:rsidRPr="00C84F90">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w:t>
      </w:r>
      <w:r w:rsidRPr="00A17AB5">
        <w:rPr>
          <w:rFonts w:ascii="Arial" w:eastAsia="Arial" w:hAnsi="Arial" w:cs="Arial"/>
          <w:sz w:val="22"/>
          <w:szCs w:val="22"/>
          <w:lang w:val="es-ES" w:eastAsia="es-ES" w:bidi="es-ES"/>
        </w:rPr>
        <w:t xml:space="preserve">presidencia o que la haya ejercido por un tiempo inferior a tres (3) meses durante el respectivo cuatrienio, en forma continua o discontinua, conforme al artículo 197 de la Constitución Política.  </w:t>
      </w:r>
    </w:p>
    <w:p w14:paraId="76CFA22E" w14:textId="3FDC0C2E" w:rsidR="00F93C05" w:rsidRPr="00A17AB5" w:rsidRDefault="00F93C05" w:rsidP="00F93C05">
      <w:pPr>
        <w:spacing w:before="120" w:after="120" w:line="276" w:lineRule="auto"/>
        <w:ind w:firstLine="709"/>
        <w:jc w:val="both"/>
        <w:rPr>
          <w:rFonts w:ascii="Arial" w:eastAsia="Arial" w:hAnsi="Arial" w:cs="Arial"/>
          <w:sz w:val="22"/>
          <w:szCs w:val="22"/>
          <w:lang w:val="es-ES" w:eastAsia="es-ES" w:bidi="es-ES"/>
        </w:rPr>
      </w:pPr>
      <w:r w:rsidRPr="00A17AB5">
        <w:rPr>
          <w:rFonts w:ascii="Arial" w:eastAsia="Arial" w:hAnsi="Arial" w:cs="Arial"/>
          <w:sz w:val="22"/>
          <w:szCs w:val="22"/>
          <w:lang w:val="es-ES" w:eastAsia="es-ES" w:bidi="es-ES"/>
        </w:rPr>
        <w:lastRenderedPageBreak/>
        <w:t xml:space="preserve">Por último, es importante resaltar que el artículo 124 de la Ley 2159 de 2021, </w:t>
      </w:r>
      <w:r w:rsidR="00520C5E" w:rsidRPr="00A17AB5">
        <w:rPr>
          <w:rFonts w:ascii="Arial" w:eastAsia="Arial" w:hAnsi="Arial" w:cs="Arial"/>
          <w:sz w:val="22"/>
          <w:szCs w:val="22"/>
          <w:lang w:val="es-ES" w:eastAsia="es-ES" w:bidi="es-ES"/>
        </w:rPr>
        <w:t>d</w:t>
      </w:r>
      <w:r w:rsidR="002C7C73" w:rsidRPr="00A17AB5">
        <w:rPr>
          <w:rFonts w:ascii="Arial" w:eastAsia="Arial" w:hAnsi="Arial" w:cs="Arial"/>
          <w:sz w:val="22"/>
          <w:szCs w:val="22"/>
          <w:lang w:val="es-ES" w:eastAsia="es-ES" w:bidi="es-ES"/>
        </w:rPr>
        <w:t xml:space="preserve">esde su expedición y </w:t>
      </w:r>
      <w:r w:rsidRPr="00A17AB5">
        <w:rPr>
          <w:rFonts w:ascii="Arial" w:eastAsia="Arial" w:hAnsi="Arial" w:cs="Arial"/>
          <w:sz w:val="22"/>
          <w:szCs w:val="22"/>
          <w:lang w:val="es-ES" w:eastAsia="es-ES" w:bidi="es-ES"/>
        </w:rPr>
        <w:t xml:space="preserve">durante la vigencia fiscal 2022, con el propósito de promover la reactivación económica y la generación de empleo en las regiones, introdujo una excepción </w:t>
      </w:r>
      <w:r w:rsidR="002C7C73" w:rsidRPr="00A17AB5">
        <w:rPr>
          <w:rFonts w:ascii="Arial" w:eastAsia="Arial" w:hAnsi="Arial" w:cs="Arial"/>
          <w:sz w:val="22"/>
          <w:szCs w:val="22"/>
          <w:lang w:val="es-ES" w:eastAsia="es-ES" w:bidi="es-ES"/>
        </w:rPr>
        <w:t xml:space="preserve">parcial y temporal </w:t>
      </w:r>
      <w:r w:rsidRPr="00A17AB5">
        <w:rPr>
          <w:rFonts w:ascii="Arial" w:eastAsia="Arial" w:hAnsi="Arial" w:cs="Arial"/>
          <w:sz w:val="22"/>
          <w:szCs w:val="22"/>
          <w:lang w:val="es-ES" w:eastAsia="es-ES" w:bidi="es-ES"/>
        </w:rPr>
        <w:t xml:space="preserve">a la prohibición contenida en el inciso 1 del parágrafo del artículo 38 de la Ley 966 de 2005. En efecto, la citada disposición </w:t>
      </w:r>
      <w:r w:rsidR="002C7C73" w:rsidRPr="00A17AB5">
        <w:rPr>
          <w:rFonts w:ascii="Arial" w:eastAsia="Arial" w:hAnsi="Arial" w:cs="Arial"/>
          <w:sz w:val="22"/>
          <w:szCs w:val="22"/>
          <w:lang w:val="es-ES" w:eastAsia="es-ES" w:bidi="es-ES"/>
        </w:rPr>
        <w:t>establece</w:t>
      </w:r>
      <w:r w:rsidRPr="00A17AB5">
        <w:rPr>
          <w:rFonts w:ascii="Arial" w:eastAsia="Arial" w:hAnsi="Arial" w:cs="Arial"/>
          <w:sz w:val="22"/>
          <w:szCs w:val="22"/>
          <w:lang w:val="es-ES" w:eastAsia="es-ES" w:bidi="es-ES"/>
        </w:rPr>
        <w:t>:</w:t>
      </w:r>
    </w:p>
    <w:p w14:paraId="168DB7A6" w14:textId="46ED0422" w:rsidR="00F93C05" w:rsidRPr="00A17AB5" w:rsidRDefault="00F93C05" w:rsidP="002C7C73">
      <w:pPr>
        <w:ind w:left="709" w:right="902"/>
        <w:jc w:val="both"/>
        <w:rPr>
          <w:rFonts w:ascii="Arial" w:eastAsia="Arial" w:hAnsi="Arial" w:cs="Arial"/>
          <w:sz w:val="21"/>
          <w:szCs w:val="21"/>
          <w:lang w:val="es-ES" w:eastAsia="es-ES" w:bidi="es-ES"/>
        </w:rPr>
      </w:pPr>
      <w:r w:rsidRPr="00A17AB5">
        <w:rPr>
          <w:rFonts w:ascii="Arial" w:eastAsia="Calibri" w:hAnsi="Arial" w:cs="Arial"/>
          <w:sz w:val="21"/>
          <w:szCs w:val="21"/>
          <w:lang w:val="es-ES"/>
        </w:rPr>
        <w:t>«</w:t>
      </w:r>
      <w:r w:rsidRPr="00A17AB5">
        <w:rPr>
          <w:rFonts w:ascii="Arial" w:eastAsia="Arial" w:hAnsi="Arial" w:cs="Arial"/>
          <w:sz w:val="21"/>
          <w:szCs w:val="21"/>
          <w:lang w:val="es-ES" w:eastAsia="es-ES" w:bidi="es-ES"/>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0DC45E40" w14:textId="77777777" w:rsidR="002C7C73" w:rsidRPr="00A17AB5" w:rsidRDefault="002C7C73" w:rsidP="00033625">
      <w:pPr>
        <w:ind w:left="709" w:right="902"/>
        <w:jc w:val="both"/>
        <w:rPr>
          <w:rFonts w:ascii="Arial" w:eastAsia="Arial" w:hAnsi="Arial" w:cs="Arial"/>
          <w:sz w:val="21"/>
          <w:szCs w:val="21"/>
          <w:lang w:val="es-ES" w:eastAsia="es-ES" w:bidi="es-ES"/>
        </w:rPr>
      </w:pPr>
    </w:p>
    <w:p w14:paraId="55CB1560" w14:textId="15EA771F" w:rsidR="00F93C05" w:rsidRPr="00A17AB5" w:rsidRDefault="00F93C05" w:rsidP="002C7C73">
      <w:pPr>
        <w:ind w:left="709" w:right="902"/>
        <w:jc w:val="both"/>
        <w:rPr>
          <w:rFonts w:ascii="Arial" w:eastAsia="Arial" w:hAnsi="Arial" w:cs="Arial"/>
          <w:sz w:val="21"/>
          <w:szCs w:val="21"/>
          <w:lang w:val="es-ES" w:eastAsia="es-ES" w:bidi="es-ES"/>
        </w:rPr>
      </w:pPr>
      <w:r w:rsidRPr="00A17AB5">
        <w:rPr>
          <w:rFonts w:ascii="Arial" w:eastAsia="Arial" w:hAnsi="Arial" w:cs="Arial"/>
          <w:sz w:val="21"/>
          <w:szCs w:val="21"/>
          <w:lang w:val="es-ES" w:eastAsia="es-ES" w:bidi="es-ES"/>
        </w:rPr>
        <w:t>La presente disposición modifica únicamente en la parte pertinente el inciso primero del parágrafo del artículo 38 de la Ley 996 de 2005.</w:t>
      </w:r>
    </w:p>
    <w:p w14:paraId="5EE899BB" w14:textId="77777777" w:rsidR="002C7C73" w:rsidRPr="00A17AB5" w:rsidRDefault="002C7C73" w:rsidP="00033625">
      <w:pPr>
        <w:ind w:left="709" w:right="902"/>
        <w:jc w:val="both"/>
        <w:rPr>
          <w:rFonts w:ascii="Arial" w:eastAsia="Arial" w:hAnsi="Arial" w:cs="Arial"/>
          <w:sz w:val="21"/>
          <w:szCs w:val="21"/>
          <w:lang w:val="es-ES" w:eastAsia="es-ES" w:bidi="es-ES"/>
        </w:rPr>
      </w:pPr>
    </w:p>
    <w:p w14:paraId="6AFFD4F2" w14:textId="77777777" w:rsidR="00F93C05" w:rsidRPr="00A17AB5" w:rsidRDefault="00F93C05" w:rsidP="00033625">
      <w:pPr>
        <w:ind w:left="709" w:right="902"/>
        <w:jc w:val="both"/>
        <w:rPr>
          <w:rFonts w:ascii="Arial" w:eastAsia="Arial" w:hAnsi="Arial" w:cs="Arial"/>
          <w:sz w:val="21"/>
          <w:szCs w:val="21"/>
          <w:lang w:val="es-ES" w:eastAsia="es-ES" w:bidi="es-ES"/>
        </w:rPr>
      </w:pPr>
      <w:r w:rsidRPr="00A17AB5">
        <w:rPr>
          <w:rFonts w:ascii="Arial" w:eastAsia="Arial" w:hAnsi="Arial" w:cs="Arial"/>
          <w:sz w:val="21"/>
          <w:szCs w:val="21"/>
          <w:lang w:val="es-ES" w:eastAsia="es-ES" w:bidi="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A17AB5">
        <w:rPr>
          <w:rFonts w:ascii="Arial" w:hAnsi="Arial" w:cs="Arial"/>
          <w:sz w:val="21"/>
          <w:szCs w:val="21"/>
          <w:lang w:val="es-ES"/>
        </w:rPr>
        <w:t>»</w:t>
      </w:r>
    </w:p>
    <w:p w14:paraId="73993648" w14:textId="4C0455E5" w:rsidR="00F93C05" w:rsidRPr="00A17AB5" w:rsidRDefault="00F93C05" w:rsidP="003E582E">
      <w:pPr>
        <w:spacing w:before="120" w:line="276" w:lineRule="auto"/>
        <w:jc w:val="both"/>
        <w:rPr>
          <w:rFonts w:ascii="Arial" w:eastAsia="Arial" w:hAnsi="Arial" w:cs="Arial"/>
          <w:sz w:val="22"/>
          <w:szCs w:val="22"/>
          <w:lang w:val="es-ES" w:eastAsia="es-ES" w:bidi="es-ES"/>
        </w:rPr>
      </w:pPr>
      <w:r w:rsidRPr="00A17AB5">
        <w:rPr>
          <w:rFonts w:ascii="Arial" w:eastAsia="Arial" w:hAnsi="Arial" w:cs="Arial"/>
          <w:sz w:val="22"/>
          <w:szCs w:val="22"/>
          <w:lang w:val="es-ES" w:eastAsia="es-ES" w:bidi="es-ES"/>
        </w:rPr>
        <w:t xml:space="preserve">De este modo, </w:t>
      </w:r>
      <w:r w:rsidR="002C7C73" w:rsidRPr="00A17AB5">
        <w:rPr>
          <w:rFonts w:ascii="Arial" w:eastAsia="Arial" w:hAnsi="Arial" w:cs="Arial"/>
          <w:sz w:val="22"/>
          <w:szCs w:val="22"/>
          <w:lang w:val="es-ES" w:eastAsia="es-ES" w:bidi="es-ES"/>
        </w:rPr>
        <w:t xml:space="preserve">desde la expedición de la citada ley y </w:t>
      </w:r>
      <w:r w:rsidRPr="00A17AB5">
        <w:rPr>
          <w:rFonts w:ascii="Arial" w:eastAsia="Arial" w:hAnsi="Arial" w:cs="Arial"/>
          <w:sz w:val="22"/>
          <w:szCs w:val="22"/>
          <w:lang w:val="es-ES" w:eastAsia="es-ES" w:bidi="es-ES"/>
        </w:rPr>
        <w:t>durante la vigencia fiscal 2022,</w:t>
      </w:r>
      <w:r w:rsidR="00520C5E" w:rsidRPr="00A17AB5">
        <w:rPr>
          <w:rFonts w:ascii="Arial" w:eastAsia="Arial" w:hAnsi="Arial" w:cs="Arial"/>
          <w:sz w:val="22"/>
          <w:szCs w:val="22"/>
          <w:lang w:val="es-ES" w:eastAsia="es-ES" w:bidi="es-ES"/>
        </w:rPr>
        <w:t xml:space="preserve"> se estableció una excepción parcial a la prohibición establecida en el inciso primero del parágrafo del artículo 38 de la Ley 996 de 2005, consistente en que la Nación podrá celebrar convenios interadministrativos con las entidades territoriales para ejecutar programas y proyectos correspondientes al Presupuesto General de la Nación</w:t>
      </w:r>
      <w:r w:rsidRPr="00A17AB5">
        <w:rPr>
          <w:rFonts w:ascii="Arial" w:eastAsia="Arial" w:hAnsi="Arial" w:cs="Arial"/>
          <w:sz w:val="22"/>
          <w:szCs w:val="22"/>
          <w:lang w:val="es-ES" w:eastAsia="es-ES" w:bidi="es-ES"/>
        </w:rPr>
        <w:t>.</w:t>
      </w:r>
      <w:r w:rsidR="00520C5E" w:rsidRPr="00A17AB5">
        <w:rPr>
          <w:rFonts w:ascii="Arial" w:eastAsia="Arial" w:hAnsi="Arial" w:cs="Arial"/>
          <w:sz w:val="22"/>
          <w:szCs w:val="22"/>
          <w:lang w:val="es-ES" w:eastAsia="es-ES" w:bidi="es-ES"/>
        </w:rPr>
        <w:t xml:space="preserve"> No </w:t>
      </w:r>
      <w:proofErr w:type="gramStart"/>
      <w:r w:rsidR="00520C5E" w:rsidRPr="00A17AB5">
        <w:rPr>
          <w:rFonts w:ascii="Arial" w:eastAsia="Arial" w:hAnsi="Arial" w:cs="Arial"/>
          <w:sz w:val="22"/>
          <w:szCs w:val="22"/>
          <w:lang w:val="es-ES" w:eastAsia="es-ES" w:bidi="es-ES"/>
        </w:rPr>
        <w:t>obstante</w:t>
      </w:r>
      <w:proofErr w:type="gramEnd"/>
      <w:r w:rsidR="00520C5E" w:rsidRPr="00A17AB5">
        <w:rPr>
          <w:rFonts w:ascii="Arial" w:eastAsia="Arial" w:hAnsi="Arial" w:cs="Arial"/>
          <w:sz w:val="22"/>
          <w:szCs w:val="22"/>
          <w:lang w:val="es-ES" w:eastAsia="es-ES" w:bidi="es-ES"/>
        </w:rPr>
        <w:t xml:space="preserve"> la excepción solo opera cuando se cumplan dichos ele</w:t>
      </w:r>
      <w:r w:rsidR="004118E7" w:rsidRPr="00A17AB5">
        <w:rPr>
          <w:rFonts w:ascii="Arial" w:eastAsia="Arial" w:hAnsi="Arial" w:cs="Arial"/>
          <w:sz w:val="22"/>
          <w:szCs w:val="22"/>
          <w:lang w:val="es-ES" w:eastAsia="es-ES" w:bidi="es-ES"/>
        </w:rPr>
        <w:t>mentos, de manera que en principio se mantiene la prohibición general con esta excepción concreta.</w:t>
      </w:r>
    </w:p>
    <w:p w14:paraId="57C4576C" w14:textId="77777777" w:rsidR="00F93C05" w:rsidRPr="00A17AB5" w:rsidRDefault="00F93C05" w:rsidP="00F93C05">
      <w:pPr>
        <w:spacing w:line="276" w:lineRule="auto"/>
        <w:jc w:val="both"/>
        <w:rPr>
          <w:rFonts w:ascii="Arial" w:hAnsi="Arial" w:cs="Arial"/>
          <w:bCs/>
          <w:sz w:val="22"/>
          <w:szCs w:val="22"/>
          <w:lang w:val="es-ES" w:eastAsia="es-CO"/>
        </w:rPr>
      </w:pPr>
    </w:p>
    <w:p w14:paraId="225AC066" w14:textId="5D6013AC" w:rsidR="00F93C05" w:rsidRPr="00C84F90" w:rsidRDefault="00F93C05" w:rsidP="00F93C05">
      <w:pPr>
        <w:spacing w:line="276" w:lineRule="auto"/>
        <w:jc w:val="both"/>
        <w:rPr>
          <w:rFonts w:ascii="Arial" w:hAnsi="Arial" w:cs="Arial"/>
          <w:b/>
          <w:sz w:val="22"/>
          <w:szCs w:val="22"/>
          <w:lang w:val="es-ES" w:eastAsia="es-CO"/>
        </w:rPr>
      </w:pPr>
      <w:r w:rsidRPr="00A17AB5">
        <w:rPr>
          <w:rFonts w:ascii="Arial" w:hAnsi="Arial" w:cs="Arial"/>
          <w:b/>
          <w:sz w:val="22"/>
          <w:szCs w:val="22"/>
          <w:lang w:val="es-ES" w:eastAsia="es-CO"/>
        </w:rPr>
        <w:t>2.</w:t>
      </w:r>
      <w:r w:rsidR="006151F8" w:rsidRPr="00A17AB5">
        <w:rPr>
          <w:rFonts w:ascii="Arial" w:hAnsi="Arial" w:cs="Arial"/>
          <w:b/>
          <w:sz w:val="22"/>
          <w:szCs w:val="22"/>
          <w:lang w:val="es-ES" w:eastAsia="es-CO"/>
        </w:rPr>
        <w:t>2.</w:t>
      </w:r>
      <w:r w:rsidRPr="00A17AB5">
        <w:rPr>
          <w:rFonts w:ascii="Arial" w:hAnsi="Arial" w:cs="Arial"/>
          <w:b/>
          <w:sz w:val="22"/>
          <w:szCs w:val="22"/>
          <w:lang w:val="es-ES" w:eastAsia="es-CO"/>
        </w:rPr>
        <w:t xml:space="preserve"> </w:t>
      </w:r>
      <w:r w:rsidR="00C4563A" w:rsidRPr="00A17AB5">
        <w:rPr>
          <w:rFonts w:ascii="Arial" w:hAnsi="Arial" w:cs="Arial"/>
          <w:b/>
          <w:color w:val="000000" w:themeColor="text1"/>
          <w:sz w:val="22"/>
        </w:rPr>
        <w:t>Restricciones para la suscripción de contratos de forma directa por parte</w:t>
      </w:r>
      <w:r w:rsidR="00C4563A">
        <w:rPr>
          <w:rFonts w:ascii="Arial" w:hAnsi="Arial" w:cs="Arial"/>
          <w:b/>
          <w:color w:val="000000" w:themeColor="text1"/>
          <w:sz w:val="22"/>
        </w:rPr>
        <w:t xml:space="preserve"> de los entes del Estado –artículo 33 de la Ley 996 de 2005–</w:t>
      </w:r>
      <w:r w:rsidRPr="00C84F90">
        <w:rPr>
          <w:rFonts w:ascii="Arial" w:hAnsi="Arial" w:cs="Arial"/>
          <w:b/>
          <w:bCs/>
          <w:sz w:val="22"/>
          <w:szCs w:val="22"/>
          <w:lang w:val="es-MX" w:eastAsia="es-CO"/>
        </w:rPr>
        <w:t xml:space="preserve"> </w:t>
      </w:r>
    </w:p>
    <w:p w14:paraId="0E93CDB1" w14:textId="77777777" w:rsidR="00F93C05" w:rsidRPr="00C84F90" w:rsidRDefault="00F93C05" w:rsidP="00F93C05">
      <w:pPr>
        <w:spacing w:line="276" w:lineRule="auto"/>
        <w:jc w:val="both"/>
        <w:rPr>
          <w:rFonts w:ascii="Arial" w:hAnsi="Arial" w:cs="Arial"/>
          <w:bCs/>
          <w:sz w:val="22"/>
          <w:szCs w:val="22"/>
          <w:lang w:val="es-MX" w:eastAsia="x-none"/>
        </w:rPr>
      </w:pPr>
    </w:p>
    <w:p w14:paraId="5746C176" w14:textId="77777777" w:rsidR="00F93C05" w:rsidRPr="00C84F90" w:rsidRDefault="00F93C05" w:rsidP="00F93C05">
      <w:pPr>
        <w:spacing w:line="276" w:lineRule="auto"/>
        <w:jc w:val="both"/>
        <w:rPr>
          <w:rFonts w:ascii="Arial" w:hAnsi="Arial" w:cs="Arial"/>
          <w:bCs/>
          <w:sz w:val="22"/>
          <w:szCs w:val="22"/>
          <w:lang w:val="es-MX" w:eastAsia="es-CO"/>
        </w:rPr>
      </w:pPr>
      <w:r w:rsidRPr="00C84F90">
        <w:rPr>
          <w:rFonts w:ascii="Arial" w:hAnsi="Arial" w:cs="Arial"/>
          <w:bCs/>
          <w:sz w:val="22"/>
          <w:szCs w:val="22"/>
          <w:lang w:val="es-MX" w:eastAsia="x-none"/>
        </w:rPr>
        <w:t xml:space="preserve">El ámbito material de la prohibición contenida en el artículo 33 de la ley 996 de 2005 está delimitado por la expresión </w:t>
      </w:r>
      <w:r w:rsidRPr="00C84F90">
        <w:rPr>
          <w:rFonts w:ascii="Arial" w:eastAsia="Calibri" w:hAnsi="Arial" w:cs="Arial"/>
          <w:bCs/>
          <w:sz w:val="20"/>
          <w:szCs w:val="20"/>
          <w:lang w:val="es-MX"/>
        </w:rPr>
        <w:t>«</w:t>
      </w:r>
      <w:r w:rsidRPr="00C84F90">
        <w:rPr>
          <w:rFonts w:ascii="Arial" w:hAnsi="Arial" w:cs="Arial"/>
          <w:bCs/>
          <w:sz w:val="22"/>
          <w:szCs w:val="22"/>
          <w:lang w:val="es-MX" w:eastAsia="x-none"/>
        </w:rPr>
        <w:t>queda prohibida la contratación directa</w:t>
      </w:r>
      <w:r w:rsidRPr="00C84F90">
        <w:rPr>
          <w:rFonts w:ascii="Arial" w:hAnsi="Arial" w:cs="Arial"/>
          <w:sz w:val="20"/>
          <w:szCs w:val="20"/>
          <w:lang w:val="es-MX"/>
        </w:rPr>
        <w:t>»</w:t>
      </w:r>
      <w:r w:rsidRPr="00C84F90">
        <w:rPr>
          <w:rFonts w:ascii="Arial" w:hAnsi="Arial" w:cs="Arial"/>
          <w:bCs/>
          <w:sz w:val="22"/>
          <w:szCs w:val="22"/>
          <w:lang w:val="es-MX" w:eastAsia="x-none"/>
        </w:rPr>
        <w:t xml:space="preserve">. </w:t>
      </w:r>
      <w:r w:rsidRPr="00C84F90">
        <w:rPr>
          <w:rFonts w:ascii="Arial" w:hAnsi="Arial" w:cs="Arial"/>
          <w:sz w:val="22"/>
          <w:szCs w:val="22"/>
          <w:lang w:val="es-MX" w:eastAsia="es-CO"/>
        </w:rPr>
        <w:t xml:space="preserve"> A propósito de </w:t>
      </w:r>
      <w:r w:rsidRPr="00C84F90">
        <w:rPr>
          <w:rFonts w:ascii="Arial" w:hAnsi="Arial" w:cs="Arial"/>
          <w:sz w:val="22"/>
          <w:szCs w:val="22"/>
          <w:lang w:eastAsia="es-CO"/>
        </w:rPr>
        <w:t>esta restricción de la Ley de Garantías Electorales, la Sala de Consulta y Servicio Civil del Consejo de Estado ha considerado que:</w:t>
      </w:r>
    </w:p>
    <w:p w14:paraId="5078B49E" w14:textId="77777777" w:rsidR="00F93C05" w:rsidRPr="00C84F90" w:rsidRDefault="00F93C05" w:rsidP="00F93C05">
      <w:pPr>
        <w:ind w:left="708" w:right="709"/>
        <w:jc w:val="both"/>
        <w:rPr>
          <w:rFonts w:ascii="Arial" w:hAnsi="Arial" w:cs="Arial"/>
          <w:sz w:val="21"/>
          <w:szCs w:val="21"/>
          <w:lang w:val="es-MX"/>
        </w:rPr>
      </w:pPr>
    </w:p>
    <w:p w14:paraId="41B5E8B1" w14:textId="77777777" w:rsidR="00F93C05" w:rsidRPr="00C84F90" w:rsidRDefault="00F93C05" w:rsidP="00F93C05">
      <w:pPr>
        <w:spacing w:after="120"/>
        <w:ind w:left="709" w:right="709"/>
        <w:jc w:val="both"/>
        <w:rPr>
          <w:rFonts w:ascii="Arial" w:hAnsi="Arial" w:cs="Arial"/>
          <w:sz w:val="21"/>
          <w:szCs w:val="21"/>
          <w:lang w:val="es-MX"/>
        </w:rPr>
      </w:pPr>
      <w:r w:rsidRPr="009F5860">
        <w:rPr>
          <w:rFonts w:ascii="Arial" w:eastAsia="Calibri" w:hAnsi="Arial" w:cs="Arial"/>
          <w:sz w:val="21"/>
          <w:szCs w:val="21"/>
          <w:lang w:val="es-ES"/>
        </w:rPr>
        <w:t>«</w:t>
      </w:r>
      <w:r w:rsidRPr="00C84F90">
        <w:rPr>
          <w:rFonts w:ascii="Arial" w:hAnsi="Arial" w:cs="Arial"/>
          <w:sz w:val="21"/>
          <w:szCs w:val="21"/>
          <w:lang w:val="es-MX"/>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C84F90">
        <w:rPr>
          <w:rFonts w:ascii="Arial" w:hAnsi="Arial" w:cs="Arial"/>
          <w:sz w:val="21"/>
          <w:szCs w:val="21"/>
          <w:lang w:val="es-MX"/>
        </w:rPr>
        <w:lastRenderedPageBreak/>
        <w:t>taxativamente señale la ley (numeral 4, artículo 2, ley 1150 de 2007), y cumpliendo siempre los principios que rigen la contratación pública</w:t>
      </w:r>
      <w:r w:rsidRPr="00C84F90">
        <w:rPr>
          <w:rFonts w:ascii="Arial" w:hAnsi="Arial" w:cs="Arial"/>
          <w:sz w:val="22"/>
          <w:szCs w:val="22"/>
          <w:vertAlign w:val="superscript"/>
          <w:lang w:eastAsia="es-CO"/>
        </w:rPr>
        <w:footnoteReference w:id="10"/>
      </w:r>
      <w:r w:rsidRPr="00C84F90">
        <w:rPr>
          <w:rFonts w:ascii="Arial" w:hAnsi="Arial" w:cs="Arial"/>
          <w:sz w:val="21"/>
          <w:szCs w:val="21"/>
          <w:lang w:val="es-MX"/>
        </w:rPr>
        <w:t>.</w:t>
      </w:r>
    </w:p>
    <w:p w14:paraId="7AAC993A" w14:textId="77777777" w:rsidR="00F93C05" w:rsidRPr="00C84F90" w:rsidRDefault="00F93C05" w:rsidP="00F93C05">
      <w:pPr>
        <w:ind w:left="708" w:right="709"/>
        <w:jc w:val="both"/>
        <w:rPr>
          <w:rFonts w:ascii="Arial" w:hAnsi="Arial" w:cs="Arial"/>
          <w:sz w:val="21"/>
          <w:szCs w:val="21"/>
          <w:lang w:val="es-MX"/>
        </w:rPr>
      </w:pPr>
      <w:r w:rsidRPr="00C84F90">
        <w:rPr>
          <w:rFonts w:ascii="Arial" w:hAnsi="Arial" w:cs="Arial"/>
          <w:sz w:val="21"/>
          <w:szCs w:val="21"/>
          <w:lang w:val="es-MX"/>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C84F90">
        <w:rPr>
          <w:rFonts w:ascii="Arial" w:hAnsi="Arial" w:cs="Arial"/>
          <w:sz w:val="21"/>
          <w:szCs w:val="21"/>
          <w:vertAlign w:val="superscript"/>
          <w:lang w:val="es-MX"/>
        </w:rPr>
        <w:footnoteReference w:id="11"/>
      </w:r>
      <w:r w:rsidRPr="00C84F90">
        <w:rPr>
          <w:rFonts w:ascii="Arial" w:hAnsi="Arial" w:cs="Arial"/>
          <w:sz w:val="21"/>
          <w:szCs w:val="21"/>
          <w:vertAlign w:val="superscript"/>
          <w:lang w:val="es-MX"/>
        </w:rPr>
        <w:t>.</w:t>
      </w:r>
      <w:r w:rsidRPr="00C84F90">
        <w:rPr>
          <w:rFonts w:ascii="Arial"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Pr>
          <w:rFonts w:ascii="Arial" w:hAnsi="Arial" w:cs="Arial"/>
          <w:sz w:val="21"/>
          <w:szCs w:val="21"/>
          <w:lang w:val="es-MX"/>
        </w:rPr>
        <w:t>.</w:t>
      </w:r>
      <w:r w:rsidRPr="009F5860">
        <w:rPr>
          <w:rFonts w:ascii="Arial" w:hAnsi="Arial" w:cs="Arial"/>
          <w:sz w:val="21"/>
          <w:szCs w:val="21"/>
          <w:lang w:val="es-ES"/>
        </w:rPr>
        <w:t>»</w:t>
      </w:r>
      <w:r w:rsidRPr="00C84F90">
        <w:rPr>
          <w:rFonts w:ascii="Arial" w:hAnsi="Arial" w:cs="Arial"/>
          <w:sz w:val="22"/>
          <w:szCs w:val="22"/>
          <w:vertAlign w:val="superscript"/>
          <w:lang w:eastAsia="es-CO"/>
        </w:rPr>
        <w:footnoteReference w:id="12"/>
      </w:r>
    </w:p>
    <w:p w14:paraId="4A7F387C" w14:textId="77777777" w:rsidR="00F93C05" w:rsidRPr="00C84F90" w:rsidRDefault="00F93C05" w:rsidP="00F93C05">
      <w:pPr>
        <w:shd w:val="clear" w:color="auto" w:fill="FFFFFF"/>
        <w:spacing w:line="276" w:lineRule="auto"/>
        <w:ind w:firstLine="709"/>
        <w:jc w:val="both"/>
        <w:rPr>
          <w:rFonts w:ascii="Arial" w:hAnsi="Arial" w:cs="Arial"/>
          <w:sz w:val="22"/>
          <w:szCs w:val="22"/>
          <w:lang w:eastAsia="x-none"/>
        </w:rPr>
      </w:pPr>
    </w:p>
    <w:p w14:paraId="0DA6D4FA" w14:textId="41297F0D" w:rsidR="00F93C05" w:rsidRPr="00C84F90" w:rsidRDefault="00100B7E" w:rsidP="00F93C05">
      <w:pPr>
        <w:spacing w:after="120" w:line="276" w:lineRule="auto"/>
        <w:ind w:firstLine="708"/>
        <w:jc w:val="both"/>
        <w:rPr>
          <w:rFonts w:ascii="Arial" w:hAnsi="Arial" w:cs="Arial"/>
          <w:bCs/>
          <w:sz w:val="22"/>
          <w:szCs w:val="22"/>
          <w:lang w:eastAsia="x-none"/>
        </w:rPr>
      </w:pPr>
      <w:r w:rsidRPr="005641DC">
        <w:rPr>
          <w:rFonts w:ascii="Arial" w:hAnsi="Arial" w:cs="Arial"/>
          <w:sz w:val="22"/>
          <w:szCs w:val="22"/>
          <w:lang w:eastAsia="x-none"/>
        </w:rPr>
        <w:t xml:space="preserve">De conformidad con el citado concepto, </w:t>
      </w:r>
      <w:bookmarkStart w:id="0" w:name="_Hlk78818702"/>
      <w:r w:rsidRPr="005641DC">
        <w:rPr>
          <w:rFonts w:ascii="Arial" w:hAnsi="Arial" w:cs="Arial"/>
          <w:sz w:val="22"/>
          <w:szCs w:val="22"/>
          <w:lang w:eastAsia="x-none"/>
        </w:rPr>
        <w:t xml:space="preserve">la prohibición del artículo 33 de la Ley de Garantías Electorales se refiere a </w:t>
      </w:r>
      <w:bookmarkStart w:id="1" w:name="_Hlk74294635"/>
      <w:r w:rsidRPr="005641DC">
        <w:rPr>
          <w:rFonts w:ascii="Arial" w:hAnsi="Arial" w:cs="Arial"/>
          <w:sz w:val="19"/>
          <w:szCs w:val="19"/>
          <w:lang w:eastAsia="en-GB"/>
        </w:rPr>
        <w:t>«</w:t>
      </w:r>
      <w:bookmarkEnd w:id="1"/>
      <w:r w:rsidRPr="005641DC">
        <w:rPr>
          <w:rFonts w:ascii="Arial" w:hAnsi="Arial" w:cs="Arial"/>
          <w:sz w:val="22"/>
          <w:szCs w:val="22"/>
          <w:lang w:eastAsia="x-none"/>
        </w:rPr>
        <w:t>cualquier sistema que no implique convocatoria pública y posibilidad de pluralidad de oferentes</w:t>
      </w:r>
      <w:bookmarkStart w:id="2" w:name="_Hlk74404754"/>
      <w:r w:rsidRPr="005641DC">
        <w:rPr>
          <w:rFonts w:ascii="Arial" w:hAnsi="Arial" w:cs="Arial"/>
          <w:sz w:val="22"/>
          <w:szCs w:val="22"/>
          <w:lang w:eastAsia="en-GB"/>
        </w:rPr>
        <w:t>»</w:t>
      </w:r>
      <w:bookmarkEnd w:id="2"/>
      <w:r w:rsidRPr="005641DC">
        <w:rPr>
          <w:rFonts w:ascii="Arial" w:hAnsi="Arial" w:cs="Arial"/>
          <w:sz w:val="22"/>
          <w:szCs w:val="22"/>
          <w:lang w:eastAsia="x-none"/>
        </w:rPr>
        <w:t xml:space="preserve">, por lo que excluye las demás modalidades de contratación previstas en la Ley 1150 de 2007, es decir, la licitación pública, la selección abreviada, el concurso de méritos, la mínima cuantía u otros previstos en normas especiales. </w:t>
      </w:r>
      <w:bookmarkEnd w:id="0"/>
      <w:r w:rsidRPr="005641DC">
        <w:rPr>
          <w:rFonts w:ascii="Arial" w:hAnsi="Arial" w:cs="Arial"/>
          <w:sz w:val="22"/>
          <w:szCs w:val="22"/>
          <w:lang w:eastAsia="x-none"/>
        </w:rPr>
        <w:t>Esta posición es congruente con la expedición de la Ley 1150 de 2007 que, entre otras reformas, introdujo la selección abreviada, rediseñó el concurso de méritos</w:t>
      </w:r>
      <w:r w:rsidRPr="005641DC">
        <w:rPr>
          <w:rFonts w:ascii="Arial" w:hAnsi="Arial" w:cs="Arial"/>
          <w:sz w:val="22"/>
          <w:szCs w:val="22"/>
          <w:vertAlign w:val="superscript"/>
          <w:lang w:val="en-GB" w:eastAsia="x-none"/>
        </w:rPr>
        <w:footnoteReference w:id="13"/>
      </w:r>
      <w:r w:rsidRPr="005641DC">
        <w:rPr>
          <w:rFonts w:ascii="Arial" w:hAnsi="Arial" w:cs="Arial"/>
          <w:sz w:val="22"/>
          <w:szCs w:val="22"/>
          <w:lang w:eastAsia="x-none"/>
        </w:rPr>
        <w:t xml:space="preserve"> y sistematizó las causales de contratación directa</w:t>
      </w:r>
      <w:r w:rsidRPr="005641DC">
        <w:rPr>
          <w:rFonts w:ascii="Arial" w:hAnsi="Arial" w:cs="Arial"/>
          <w:sz w:val="22"/>
          <w:szCs w:val="22"/>
          <w:vertAlign w:val="superscript"/>
          <w:lang w:val="en-GB" w:eastAsia="x-none"/>
        </w:rPr>
        <w:footnoteReference w:id="14"/>
      </w:r>
      <w:r w:rsidRPr="005641DC">
        <w:rPr>
          <w:rFonts w:ascii="Arial" w:hAnsi="Arial" w:cs="Arial"/>
          <w:sz w:val="22"/>
          <w:szCs w:val="22"/>
          <w:lang w:eastAsia="x-none"/>
        </w:rPr>
        <w:t xml:space="preserve">, </w:t>
      </w:r>
      <w:r w:rsidRPr="005641DC">
        <w:rPr>
          <w:rFonts w:ascii="Arial" w:hAnsi="Arial" w:cs="Arial"/>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54452BD3" w14:textId="77777777" w:rsidR="00F93C05" w:rsidRPr="00C84F90" w:rsidRDefault="00F93C05" w:rsidP="00F93C05">
      <w:pPr>
        <w:spacing w:after="120" w:line="276" w:lineRule="auto"/>
        <w:ind w:firstLine="708"/>
        <w:jc w:val="both"/>
        <w:rPr>
          <w:rFonts w:ascii="Arial" w:hAnsi="Arial" w:cs="Arial"/>
          <w:sz w:val="22"/>
          <w:szCs w:val="22"/>
          <w:lang w:val="es-MX" w:eastAsia="x-none"/>
        </w:rPr>
      </w:pPr>
      <w:r w:rsidRPr="00C84F90">
        <w:rPr>
          <w:rFonts w:ascii="Arial" w:hAnsi="Arial" w:cs="Arial"/>
          <w:sz w:val="22"/>
          <w:szCs w:val="22"/>
          <w:lang w:eastAsia="x-none"/>
        </w:rPr>
        <w:t xml:space="preserve">De esta forma, con fundamento en la evolución de la normativa sobre la contratación pública, se ha depurado la noción de </w:t>
      </w:r>
      <w:r w:rsidRPr="00C84F90">
        <w:rPr>
          <w:rFonts w:ascii="Arial" w:hAnsi="Arial" w:cs="Arial"/>
          <w:sz w:val="19"/>
          <w:szCs w:val="19"/>
          <w:lang w:eastAsia="en-GB"/>
        </w:rPr>
        <w:t>«</w:t>
      </w:r>
      <w:r w:rsidRPr="00C84F90">
        <w:rPr>
          <w:rFonts w:ascii="Arial" w:hAnsi="Arial" w:cs="Arial"/>
          <w:sz w:val="22"/>
          <w:szCs w:val="22"/>
          <w:lang w:eastAsia="x-none"/>
        </w:rPr>
        <w:t>contratación directa</w:t>
      </w:r>
      <w:r w:rsidRPr="00C84F90">
        <w:rPr>
          <w:rFonts w:ascii="Arial" w:hAnsi="Arial" w:cs="Arial"/>
          <w:sz w:val="22"/>
          <w:szCs w:val="22"/>
          <w:lang w:eastAsia="en-GB"/>
        </w:rPr>
        <w:t>»</w:t>
      </w:r>
      <w:r w:rsidRPr="00C84F90">
        <w:rPr>
          <w:rFonts w:ascii="Arial" w:hAnsi="Arial" w:cs="Arial"/>
          <w:sz w:val="22"/>
          <w:szCs w:val="22"/>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w:t>
      </w:r>
      <w:r w:rsidRPr="00C84F90">
        <w:rPr>
          <w:rFonts w:ascii="Arial" w:hAnsi="Arial" w:cs="Arial"/>
          <w:sz w:val="22"/>
          <w:szCs w:val="22"/>
          <w:lang w:eastAsia="x-none"/>
        </w:rPr>
        <w:lastRenderedPageBreak/>
        <w:t>especiales e, incluso, en el derecho privado</w:t>
      </w:r>
      <w:r w:rsidRPr="00C84F90">
        <w:rPr>
          <w:rFonts w:ascii="Arial" w:hAnsi="Arial" w:cs="Arial"/>
          <w:sz w:val="22"/>
          <w:szCs w:val="22"/>
          <w:vertAlign w:val="superscript"/>
          <w:lang w:val="en-GB" w:eastAsia="x-none"/>
        </w:rPr>
        <w:footnoteReference w:id="15"/>
      </w:r>
      <w:r w:rsidRPr="00C84F90">
        <w:rPr>
          <w:rFonts w:ascii="Arial" w:hAnsi="Arial" w:cs="Arial"/>
          <w:sz w:val="22"/>
          <w:szCs w:val="22"/>
          <w:lang w:eastAsia="x-none"/>
        </w:rPr>
        <w:t>, han establecido sistemas de contratación que implican convocatoria pública y participación de varios oferentes</w:t>
      </w:r>
      <w:r w:rsidRPr="00C84F90">
        <w:rPr>
          <w:rFonts w:ascii="Arial" w:hAnsi="Arial" w:cs="Arial"/>
          <w:sz w:val="22"/>
          <w:szCs w:val="22"/>
          <w:lang w:eastAsia="en-GB"/>
        </w:rPr>
        <w:t>»</w:t>
      </w:r>
      <w:r w:rsidRPr="00C84F90">
        <w:rPr>
          <w:rFonts w:ascii="Arial" w:hAnsi="Arial" w:cs="Arial"/>
          <w:sz w:val="22"/>
          <w:szCs w:val="22"/>
          <w:lang w:eastAsia="x-none"/>
        </w:rPr>
        <w:t xml:space="preserve">. </w:t>
      </w:r>
    </w:p>
    <w:p w14:paraId="7CAF0F8C" w14:textId="77777777" w:rsidR="00F93C05" w:rsidRPr="00C84F90" w:rsidRDefault="00F93C05" w:rsidP="00F93C05">
      <w:pPr>
        <w:spacing w:after="120" w:line="276" w:lineRule="auto"/>
        <w:ind w:firstLine="708"/>
        <w:jc w:val="both"/>
        <w:rPr>
          <w:rFonts w:ascii="Arial" w:hAnsi="Arial" w:cs="Arial"/>
          <w:bCs/>
          <w:sz w:val="22"/>
          <w:szCs w:val="22"/>
          <w:lang w:val="es-MX" w:eastAsia="es-CO"/>
        </w:rPr>
      </w:pPr>
      <w:r w:rsidRPr="00C84F90">
        <w:rPr>
          <w:rFonts w:ascii="Arial" w:hAnsi="Arial" w:cs="Arial"/>
          <w:bCs/>
          <w:sz w:val="22"/>
          <w:szCs w:val="22"/>
          <w:lang w:val="es-MX" w:eastAsia="x-none"/>
        </w:rPr>
        <w:t>E</w:t>
      </w:r>
      <w:r w:rsidRPr="00C84F90">
        <w:rPr>
          <w:rFonts w:ascii="Arial"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C84F90">
        <w:rPr>
          <w:rFonts w:ascii="Arial" w:hAnsi="Arial" w:cs="Arial"/>
          <w:sz w:val="22"/>
          <w:szCs w:val="22"/>
          <w:vertAlign w:val="superscript"/>
          <w:lang w:eastAsia="x-none"/>
        </w:rPr>
        <w:footnoteReference w:id="16"/>
      </w:r>
      <w:r w:rsidRPr="00C84F90">
        <w:rPr>
          <w:rFonts w:ascii="Arial" w:hAnsi="Arial" w:cs="Arial"/>
          <w:sz w:val="22"/>
          <w:szCs w:val="22"/>
          <w:lang w:eastAsia="x-none"/>
        </w:rPr>
        <w:t xml:space="preserve">. </w:t>
      </w:r>
    </w:p>
    <w:p w14:paraId="62F45C27" w14:textId="6FFBF34E" w:rsidR="00F93C05" w:rsidRPr="00C84F90" w:rsidRDefault="00F93C05" w:rsidP="00F93C05">
      <w:pPr>
        <w:spacing w:after="120" w:line="276" w:lineRule="auto"/>
        <w:ind w:firstLine="708"/>
        <w:jc w:val="both"/>
        <w:rPr>
          <w:rFonts w:ascii="Arial" w:hAnsi="Arial" w:cs="Arial"/>
          <w:bCs/>
          <w:sz w:val="22"/>
          <w:szCs w:val="22"/>
          <w:lang w:val="es-MX" w:eastAsia="es-CO"/>
        </w:rPr>
      </w:pPr>
      <w:r w:rsidRPr="00C84F90">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53802C64" w14:textId="2FB1F285" w:rsidR="00F93C05" w:rsidRPr="00C84F90" w:rsidRDefault="00F93C05" w:rsidP="00F93C05">
      <w:pPr>
        <w:spacing w:after="120" w:line="276" w:lineRule="auto"/>
        <w:ind w:firstLine="708"/>
        <w:jc w:val="both"/>
        <w:rPr>
          <w:rFonts w:ascii="Arial" w:hAnsi="Arial" w:cs="Arial"/>
          <w:bCs/>
          <w:sz w:val="22"/>
          <w:szCs w:val="22"/>
          <w:lang w:val="es-MX" w:eastAsia="x-none"/>
        </w:rPr>
      </w:pPr>
      <w:r w:rsidRPr="00C84F90">
        <w:rPr>
          <w:rFonts w:ascii="Arial" w:hAnsi="Arial" w:cs="Arial"/>
          <w:bCs/>
          <w:sz w:val="22"/>
          <w:szCs w:val="22"/>
          <w:lang w:val="es-MX" w:eastAsia="x-none"/>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C84F90">
        <w:rPr>
          <w:rFonts w:ascii="Arial" w:hAnsi="Arial" w:cs="Arial"/>
          <w:sz w:val="22"/>
          <w:szCs w:val="22"/>
          <w:vertAlign w:val="superscript"/>
          <w:lang w:eastAsia="x-none"/>
        </w:rPr>
        <w:footnoteReference w:id="17"/>
      </w:r>
      <w:r w:rsidRPr="00C84F90">
        <w:rPr>
          <w:rFonts w:ascii="Arial" w:hAnsi="Arial" w:cs="Arial"/>
          <w:bCs/>
          <w:sz w:val="22"/>
          <w:szCs w:val="22"/>
          <w:lang w:val="es-MX" w:eastAsia="x-none"/>
        </w:rPr>
        <w:t>.</w:t>
      </w:r>
      <w:r w:rsidRPr="00C84F90">
        <w:rPr>
          <w:rFonts w:ascii="Arial" w:hAnsi="Arial" w:cs="Arial"/>
          <w:sz w:val="22"/>
          <w:szCs w:val="22"/>
          <w:vertAlign w:val="superscript"/>
          <w:lang w:eastAsia="x-none"/>
        </w:rPr>
        <w:t xml:space="preserve"> </w:t>
      </w:r>
    </w:p>
    <w:p w14:paraId="7733EB91" w14:textId="31D9138D" w:rsidR="00F93C05" w:rsidRPr="00C84F90" w:rsidRDefault="00F93C05" w:rsidP="00F93C05">
      <w:pPr>
        <w:spacing w:after="120" w:line="276" w:lineRule="auto"/>
        <w:ind w:firstLine="708"/>
        <w:jc w:val="both"/>
        <w:rPr>
          <w:rFonts w:ascii="Arial" w:hAnsi="Arial" w:cs="Arial"/>
          <w:sz w:val="22"/>
          <w:szCs w:val="22"/>
          <w:lang w:eastAsia="x-none"/>
        </w:rPr>
      </w:pPr>
      <w:r w:rsidRPr="00C84F90">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C84F90">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w:t>
      </w:r>
      <w:r w:rsidR="00100B7E">
        <w:rPr>
          <w:rFonts w:ascii="Arial" w:hAnsi="Arial" w:cs="Arial"/>
          <w:sz w:val="22"/>
          <w:szCs w:val="22"/>
          <w:lang w:eastAsia="x-none"/>
        </w:rPr>
        <w:t>a</w:t>
      </w:r>
      <w:r w:rsidRPr="00C84F90">
        <w:rPr>
          <w:rFonts w:ascii="Arial" w:hAnsi="Arial" w:cs="Arial"/>
          <w:sz w:val="22"/>
          <w:szCs w:val="22"/>
          <w:lang w:eastAsia="x-none"/>
        </w:rPr>
        <w:t xml:space="preserve">s </w:t>
      </w:r>
      <w:r w:rsidR="00100B7E">
        <w:rPr>
          <w:rFonts w:ascii="Arial" w:hAnsi="Arial" w:cs="Arial"/>
          <w:sz w:val="22"/>
          <w:szCs w:val="22"/>
          <w:lang w:eastAsia="x-none"/>
        </w:rPr>
        <w:t>modalidades</w:t>
      </w:r>
      <w:r w:rsidRPr="00C84F90">
        <w:rPr>
          <w:rFonts w:ascii="Arial" w:hAnsi="Arial" w:cs="Arial"/>
          <w:sz w:val="22"/>
          <w:szCs w:val="22"/>
          <w:lang w:eastAsia="x-none"/>
        </w:rPr>
        <w:t>.</w:t>
      </w:r>
    </w:p>
    <w:p w14:paraId="1DE10174" w14:textId="77777777" w:rsidR="00F93C05" w:rsidRPr="00C84F90" w:rsidRDefault="00F93C05" w:rsidP="00F93C05">
      <w:pPr>
        <w:spacing w:after="120" w:line="276" w:lineRule="auto"/>
        <w:ind w:firstLine="708"/>
        <w:jc w:val="both"/>
        <w:rPr>
          <w:rFonts w:ascii="Arial" w:hAnsi="Arial" w:cs="Arial"/>
          <w:bCs/>
          <w:sz w:val="22"/>
          <w:szCs w:val="22"/>
          <w:lang w:val="es-MX" w:eastAsia="x-none"/>
        </w:rPr>
      </w:pPr>
      <w:bookmarkStart w:id="3" w:name="_Hlk77237094"/>
      <w:r w:rsidRPr="00C84F90">
        <w:rPr>
          <w:rFonts w:ascii="Arial" w:hAnsi="Arial" w:cs="Arial"/>
          <w:bCs/>
          <w:sz w:val="22"/>
          <w:szCs w:val="22"/>
          <w:lang w:val="es-MX" w:eastAsia="es-CO"/>
        </w:rPr>
        <w:t xml:space="preserve">Como en otras oportunidades lo ha manifestado esta Agencia, las prórrogas, modificaciones o adiciones de los contratos suscritos antes de la entrada en vigencia de las prohibiciones anotadas, así como la cesión de los mismos, pueden tener lugar en el período </w:t>
      </w:r>
      <w:r w:rsidRPr="00C84F90">
        <w:rPr>
          <w:rFonts w:ascii="Arial" w:hAnsi="Arial" w:cs="Arial"/>
          <w:bCs/>
          <w:sz w:val="22"/>
          <w:szCs w:val="22"/>
          <w:lang w:val="es-MX" w:eastAsia="es-CO"/>
        </w:rPr>
        <w:lastRenderedPageBreak/>
        <w:t>de aplicación de la Ley de Garantías, sin que ello haga nugatoria la restricción de la contratación directa y siempre que cumplan los principios de planeación, transparencia y responsabilidad.</w:t>
      </w:r>
      <w:bookmarkEnd w:id="3"/>
    </w:p>
    <w:p w14:paraId="5C0188A5" w14:textId="77777777" w:rsidR="00F93C05" w:rsidRPr="00C84F90" w:rsidRDefault="00F93C05" w:rsidP="00F93C05">
      <w:pPr>
        <w:spacing w:after="120" w:line="276" w:lineRule="auto"/>
        <w:ind w:firstLine="708"/>
        <w:jc w:val="both"/>
        <w:rPr>
          <w:rFonts w:ascii="Arial" w:hAnsi="Arial" w:cs="Arial"/>
          <w:bCs/>
          <w:sz w:val="22"/>
          <w:szCs w:val="22"/>
          <w:lang w:val="es-MX" w:eastAsia="es-CO"/>
        </w:rPr>
      </w:pPr>
      <w:r w:rsidRPr="00C84F90">
        <w:rPr>
          <w:rFonts w:ascii="Arial" w:hAnsi="Arial" w:cs="Arial"/>
          <w:bCs/>
          <w:sz w:val="22"/>
          <w:szCs w:val="22"/>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C84F90">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9B99487" w14:textId="4DBEC473" w:rsidR="00100B7E" w:rsidRDefault="00100B7E" w:rsidP="00033625">
      <w:pPr>
        <w:spacing w:after="120" w:line="276" w:lineRule="auto"/>
        <w:ind w:firstLine="709"/>
        <w:jc w:val="both"/>
        <w:rPr>
          <w:rFonts w:ascii="Arial" w:hAnsi="Arial" w:cs="Arial"/>
          <w:bCs/>
          <w:sz w:val="22"/>
          <w:szCs w:val="22"/>
          <w:lang w:val="es-MX" w:eastAsia="x-none"/>
        </w:rPr>
      </w:pPr>
      <w:r w:rsidRPr="005641DC">
        <w:rPr>
          <w:rFonts w:ascii="Arial" w:hAnsi="Arial" w:cs="Arial"/>
          <w:bCs/>
          <w:sz w:val="22"/>
          <w:szCs w:val="22"/>
          <w:lang w:val="es-MX"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641DC">
        <w:rPr>
          <w:rFonts w:ascii="Arial" w:eastAsia="Calibri" w:hAnsi="Arial" w:cs="Arial"/>
          <w:sz w:val="22"/>
          <w:szCs w:val="22"/>
          <w:vertAlign w:val="superscript"/>
          <w:lang w:val="es-MX" w:eastAsia="en-US"/>
        </w:rPr>
        <w:footnoteReference w:id="18"/>
      </w:r>
      <w:r w:rsidRPr="005641DC">
        <w:rPr>
          <w:rFonts w:ascii="Arial" w:hAnsi="Arial" w:cs="Arial"/>
          <w:bCs/>
          <w:sz w:val="22"/>
          <w:szCs w:val="22"/>
          <w:lang w:val="es-MX"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 w:name="_Hlk75783800"/>
    </w:p>
    <w:p w14:paraId="4ED5F533" w14:textId="0B892E9B" w:rsidR="00100B7E" w:rsidRPr="005641DC" w:rsidRDefault="00100B7E" w:rsidP="00100B7E">
      <w:pPr>
        <w:spacing w:line="276" w:lineRule="auto"/>
        <w:ind w:firstLine="708"/>
        <w:jc w:val="both"/>
        <w:rPr>
          <w:rFonts w:ascii="Arial" w:hAnsi="Arial" w:cs="Arial"/>
          <w:bCs/>
          <w:sz w:val="22"/>
          <w:szCs w:val="22"/>
          <w:lang w:val="es-MX" w:eastAsia="x-none"/>
        </w:rPr>
      </w:pPr>
      <w:r w:rsidRPr="005641DC">
        <w:rPr>
          <w:rFonts w:ascii="Arial" w:hAnsi="Arial" w:cs="Arial"/>
          <w:bCs/>
          <w:sz w:val="22"/>
          <w:szCs w:val="22"/>
          <w:lang w:val="es-MX" w:eastAsia="x-none"/>
        </w:rPr>
        <w:t>De conformidad con lo expuesto, se concluye que durante los cuatro (4) meses anteriores a la elección presidencial y hasta la realización de la elección en la segunda vuelta, queda prohibida la contratación directa por parte de todos los entes del Estado</w:t>
      </w:r>
      <w:r w:rsidR="006C4D8B">
        <w:rPr>
          <w:rFonts w:ascii="Arial" w:hAnsi="Arial" w:cs="Arial"/>
          <w:bCs/>
          <w:sz w:val="22"/>
          <w:szCs w:val="22"/>
          <w:lang w:val="es-MX" w:eastAsia="x-none"/>
        </w:rPr>
        <w:t>. Lo anterior</w:t>
      </w:r>
      <w:r w:rsidR="00B073DF">
        <w:rPr>
          <w:rFonts w:ascii="Arial" w:hAnsi="Arial" w:cs="Arial"/>
          <w:bCs/>
          <w:sz w:val="22"/>
          <w:szCs w:val="22"/>
          <w:lang w:val="es-MX" w:eastAsia="x-none"/>
        </w:rPr>
        <w:t>,</w:t>
      </w:r>
      <w:r w:rsidRPr="005641DC">
        <w:rPr>
          <w:rFonts w:ascii="Arial" w:hAnsi="Arial" w:cs="Arial"/>
          <w:bCs/>
          <w:sz w:val="22"/>
          <w:szCs w:val="22"/>
          <w:lang w:val="es-MX" w:eastAsia="x-none"/>
        </w:rPr>
        <w:t xml:space="preserve"> entendi</w:t>
      </w:r>
      <w:r w:rsidR="00B073DF">
        <w:rPr>
          <w:rFonts w:ascii="Arial" w:hAnsi="Arial" w:cs="Arial"/>
          <w:bCs/>
          <w:sz w:val="22"/>
          <w:szCs w:val="22"/>
          <w:lang w:val="es-MX" w:eastAsia="x-none"/>
        </w:rPr>
        <w:t>en</w:t>
      </w:r>
      <w:r w:rsidRPr="005641DC">
        <w:rPr>
          <w:rFonts w:ascii="Arial" w:hAnsi="Arial" w:cs="Arial"/>
          <w:bCs/>
          <w:sz w:val="22"/>
          <w:szCs w:val="22"/>
          <w:lang w:val="es-MX" w:eastAsia="x-none"/>
        </w:rPr>
        <w:t>do el término contratación directa como cualquier sistema de selección o procedimiento de contratación utilizado por las entidades estatales que no incluya la convocatoria pública en alguna de sus etapas, ni permita la participación de una pluralidad de oferentes, sin perjuicio de las excepciones contempladas en el ordenamiento jurídico.</w:t>
      </w:r>
    </w:p>
    <w:p w14:paraId="1257DA29" w14:textId="77777777" w:rsidR="00100B7E" w:rsidRPr="00C84F90" w:rsidRDefault="00100B7E" w:rsidP="00F93C05">
      <w:pPr>
        <w:spacing w:line="276" w:lineRule="auto"/>
        <w:ind w:firstLine="708"/>
        <w:jc w:val="both"/>
        <w:rPr>
          <w:rFonts w:ascii="Arial" w:hAnsi="Arial" w:cs="Arial"/>
          <w:bCs/>
          <w:sz w:val="22"/>
          <w:szCs w:val="22"/>
          <w:lang w:val="es-MX" w:eastAsia="x-none"/>
        </w:rPr>
      </w:pPr>
    </w:p>
    <w:p w14:paraId="6D9E044C" w14:textId="28CDA9C8" w:rsidR="00F93C05" w:rsidRPr="00C84F90" w:rsidRDefault="006151F8" w:rsidP="00F93C05">
      <w:pPr>
        <w:spacing w:line="276" w:lineRule="auto"/>
        <w:jc w:val="both"/>
        <w:rPr>
          <w:rFonts w:ascii="Arial" w:hAnsi="Arial" w:cs="Arial"/>
          <w:b/>
          <w:sz w:val="22"/>
          <w:szCs w:val="22"/>
          <w:lang w:val="es-MX" w:eastAsia="x-none"/>
        </w:rPr>
      </w:pPr>
      <w:r>
        <w:rPr>
          <w:rFonts w:ascii="Arial" w:hAnsi="Arial" w:cs="Arial"/>
          <w:b/>
          <w:sz w:val="22"/>
          <w:szCs w:val="22"/>
          <w:lang w:val="es-MX" w:eastAsia="x-none"/>
        </w:rPr>
        <w:t>2.</w:t>
      </w:r>
      <w:r w:rsidR="00C4563A">
        <w:rPr>
          <w:rFonts w:ascii="Arial" w:hAnsi="Arial" w:cs="Arial"/>
          <w:b/>
          <w:sz w:val="22"/>
          <w:szCs w:val="22"/>
          <w:lang w:val="es-MX" w:eastAsia="x-none"/>
        </w:rPr>
        <w:t>2</w:t>
      </w:r>
      <w:r w:rsidR="00F93C05" w:rsidRPr="00C84F90">
        <w:rPr>
          <w:rFonts w:ascii="Arial" w:hAnsi="Arial" w:cs="Arial"/>
          <w:b/>
          <w:sz w:val="22"/>
          <w:szCs w:val="22"/>
          <w:lang w:val="es-MX" w:eastAsia="x-none"/>
        </w:rPr>
        <w:t>.</w:t>
      </w:r>
      <w:r w:rsidR="00C4563A">
        <w:rPr>
          <w:rFonts w:ascii="Arial" w:hAnsi="Arial" w:cs="Arial"/>
          <w:b/>
          <w:sz w:val="22"/>
          <w:szCs w:val="22"/>
          <w:lang w:val="es-MX" w:eastAsia="x-none"/>
        </w:rPr>
        <w:t>1.</w:t>
      </w:r>
      <w:r w:rsidR="00F93C05" w:rsidRPr="00C84F90">
        <w:rPr>
          <w:rFonts w:ascii="Arial" w:hAnsi="Arial" w:cs="Arial"/>
          <w:b/>
          <w:sz w:val="22"/>
          <w:szCs w:val="22"/>
          <w:lang w:val="es-MX" w:eastAsia="x-none"/>
        </w:rPr>
        <w:t xml:space="preserve">  Destinatarios de la restricción del artículo 33 de la Ley 996 de 2005</w:t>
      </w:r>
    </w:p>
    <w:p w14:paraId="6217CA2C" w14:textId="77777777" w:rsidR="00F93C05" w:rsidRPr="00C84F90" w:rsidRDefault="00F93C05" w:rsidP="00F93C05">
      <w:pPr>
        <w:spacing w:line="276" w:lineRule="auto"/>
        <w:jc w:val="both"/>
        <w:rPr>
          <w:rFonts w:ascii="Arial" w:hAnsi="Arial" w:cs="Arial"/>
          <w:bCs/>
          <w:sz w:val="22"/>
          <w:szCs w:val="22"/>
          <w:lang w:val="es-MX" w:eastAsia="x-none"/>
        </w:rPr>
      </w:pPr>
    </w:p>
    <w:p w14:paraId="45B3EFD9" w14:textId="77777777" w:rsidR="00F93C05" w:rsidRPr="00C84F90" w:rsidRDefault="00F93C05" w:rsidP="00F93C05">
      <w:pPr>
        <w:spacing w:line="276" w:lineRule="auto"/>
        <w:jc w:val="both"/>
        <w:rPr>
          <w:rFonts w:ascii="Arial" w:hAnsi="Arial" w:cs="Arial"/>
          <w:bCs/>
          <w:sz w:val="22"/>
          <w:szCs w:val="22"/>
          <w:lang w:val="es-MX" w:eastAsia="x-none"/>
        </w:rPr>
      </w:pPr>
      <w:r w:rsidRPr="00C84F90">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C84F90">
        <w:rPr>
          <w:szCs w:val="22"/>
          <w:lang w:val="es-MX"/>
        </w:rPr>
        <w:t xml:space="preserve"> </w:t>
      </w:r>
      <w:r w:rsidRPr="00C84F90">
        <w:rPr>
          <w:rFonts w:ascii="Arial" w:hAnsi="Arial" w:cs="Arial"/>
          <w:bCs/>
          <w:sz w:val="22"/>
          <w:szCs w:val="22"/>
          <w:lang w:val="es-MX" w:eastAsia="x-none"/>
        </w:rPr>
        <w:t>En efecto, tal como lo ha sostenido el Consejo de Estado, el vocablo «todos» utilizado por el legislador comprende</w:t>
      </w:r>
      <w:r w:rsidRPr="00C84F90">
        <w:rPr>
          <w:szCs w:val="22"/>
          <w:lang w:val="es-MX"/>
        </w:rPr>
        <w:t xml:space="preserve"> </w:t>
      </w:r>
      <w:r w:rsidRPr="00C84F90">
        <w:rPr>
          <w:rFonts w:ascii="Arial" w:hAnsi="Arial" w:cs="Arial"/>
          <w:bCs/>
          <w:sz w:val="22"/>
          <w:szCs w:val="22"/>
          <w:lang w:val="es-MX" w:eastAsia="x-none"/>
        </w:rPr>
        <w:t>a la totalidad de los entes del Estado, sin distinción del régimen jurídico, forma de organización o naturaleza, su pertenencia a una u otra rama del poder público o su autonomía</w:t>
      </w:r>
      <w:bookmarkEnd w:id="4"/>
      <w:r w:rsidRPr="00C84F90">
        <w:rPr>
          <w:rFonts w:ascii="Arial" w:hAnsi="Arial" w:cs="Arial"/>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230526F5" w14:textId="77777777" w:rsidR="00F93C05" w:rsidRPr="00C84F90" w:rsidRDefault="00F93C05" w:rsidP="00F93C05">
      <w:pPr>
        <w:spacing w:line="276" w:lineRule="auto"/>
        <w:ind w:firstLine="708"/>
        <w:jc w:val="both"/>
        <w:rPr>
          <w:rFonts w:ascii="Arial" w:hAnsi="Arial" w:cs="Arial"/>
          <w:bCs/>
          <w:sz w:val="22"/>
          <w:szCs w:val="22"/>
          <w:lang w:val="es-MX" w:eastAsia="x-none"/>
        </w:rPr>
      </w:pPr>
    </w:p>
    <w:p w14:paraId="17B457A7" w14:textId="77777777" w:rsidR="00F93C05" w:rsidRPr="00C84F90" w:rsidRDefault="00F93C05" w:rsidP="00F93C05">
      <w:pPr>
        <w:ind w:left="708" w:right="709"/>
        <w:jc w:val="both"/>
        <w:rPr>
          <w:rFonts w:ascii="Arial" w:hAnsi="Arial" w:cs="Arial"/>
          <w:bCs/>
          <w:sz w:val="21"/>
          <w:szCs w:val="21"/>
          <w:lang w:val="es-MX" w:eastAsia="es-CO"/>
        </w:rPr>
      </w:pPr>
      <w:r w:rsidRPr="009F5860">
        <w:rPr>
          <w:rFonts w:ascii="Arial" w:eastAsia="Calibri" w:hAnsi="Arial" w:cs="Arial"/>
          <w:sz w:val="21"/>
          <w:szCs w:val="21"/>
          <w:lang w:val="es-ES"/>
        </w:rPr>
        <w:t>«</w:t>
      </w:r>
      <w:r w:rsidRPr="00C84F90">
        <w:rPr>
          <w:rFonts w:ascii="Arial" w:hAnsi="Arial" w:cs="Arial"/>
          <w:bCs/>
          <w:sz w:val="21"/>
          <w:szCs w:val="21"/>
          <w:lang w:val="es-MX" w:eastAsia="x-none"/>
        </w:rPr>
        <w:t xml:space="preserve">El artículo 33 de la ley 996 de 2005, </w:t>
      </w:r>
      <w:bookmarkStart w:id="5" w:name="_Hlk75787147"/>
      <w:r w:rsidRPr="00C84F90">
        <w:rPr>
          <w:rFonts w:ascii="Arial" w:hAnsi="Arial" w:cs="Arial"/>
          <w:bCs/>
          <w:sz w:val="21"/>
          <w:szCs w:val="21"/>
          <w:lang w:val="es-MX"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Pr>
          <w:rFonts w:ascii="Arial" w:hAnsi="Arial" w:cs="Arial"/>
          <w:bCs/>
          <w:sz w:val="21"/>
          <w:szCs w:val="21"/>
          <w:lang w:val="es-MX" w:eastAsia="x-none"/>
        </w:rPr>
        <w:t>.</w:t>
      </w:r>
      <w:r w:rsidRPr="009F5860">
        <w:rPr>
          <w:rFonts w:ascii="Arial" w:hAnsi="Arial" w:cs="Arial"/>
          <w:sz w:val="21"/>
          <w:szCs w:val="21"/>
          <w:lang w:val="es-ES"/>
        </w:rPr>
        <w:t>»</w:t>
      </w:r>
      <w:r w:rsidRPr="00C84F90">
        <w:rPr>
          <w:rFonts w:ascii="Arial" w:hAnsi="Arial" w:cs="Arial"/>
          <w:bCs/>
          <w:sz w:val="21"/>
          <w:szCs w:val="21"/>
          <w:vertAlign w:val="superscript"/>
          <w:lang w:val="es-MX" w:eastAsia="x-none"/>
        </w:rPr>
        <w:footnoteReference w:id="19"/>
      </w:r>
      <w:r w:rsidRPr="00C84F90">
        <w:rPr>
          <w:rFonts w:ascii="Arial" w:hAnsi="Arial" w:cs="Arial"/>
          <w:bCs/>
          <w:sz w:val="21"/>
          <w:szCs w:val="21"/>
          <w:lang w:val="es-MX" w:eastAsia="es-CO"/>
        </w:rPr>
        <w:t xml:space="preserve"> </w:t>
      </w:r>
    </w:p>
    <w:p w14:paraId="7C93628D" w14:textId="77777777" w:rsidR="00F93C05" w:rsidRPr="00C84F90" w:rsidRDefault="00F93C05" w:rsidP="00F93C05">
      <w:pPr>
        <w:spacing w:line="276" w:lineRule="auto"/>
        <w:ind w:firstLine="708"/>
        <w:jc w:val="both"/>
        <w:rPr>
          <w:rFonts w:ascii="Arial" w:hAnsi="Arial" w:cs="Arial"/>
          <w:bCs/>
          <w:sz w:val="22"/>
          <w:szCs w:val="22"/>
          <w:lang w:val="es-MX" w:eastAsia="es-CO"/>
        </w:rPr>
      </w:pPr>
    </w:p>
    <w:p w14:paraId="3D38C6F7" w14:textId="77777777" w:rsidR="00F93C05" w:rsidRPr="00C84F90" w:rsidRDefault="00F93C05" w:rsidP="00F93C05">
      <w:pPr>
        <w:spacing w:line="276" w:lineRule="auto"/>
        <w:ind w:firstLine="708"/>
        <w:jc w:val="both"/>
        <w:rPr>
          <w:rFonts w:ascii="Arial" w:hAnsi="Arial" w:cs="Arial"/>
          <w:sz w:val="22"/>
          <w:szCs w:val="22"/>
          <w:lang w:val="es-MX"/>
        </w:rPr>
      </w:pPr>
      <w:r>
        <w:rPr>
          <w:rFonts w:ascii="Arial" w:hAnsi="Arial" w:cs="Arial"/>
          <w:bCs/>
          <w:sz w:val="22"/>
          <w:szCs w:val="22"/>
          <w:lang w:val="es-MX" w:eastAsia="x-none"/>
        </w:rPr>
        <w:t>De igual forma, e</w:t>
      </w:r>
      <w:r w:rsidRPr="00C84F90">
        <w:rPr>
          <w:rFonts w:ascii="Arial" w:hAnsi="Arial" w:cs="Arial"/>
          <w:bCs/>
          <w:sz w:val="22"/>
          <w:szCs w:val="22"/>
          <w:lang w:val="es-MX" w:eastAsia="x-none"/>
        </w:rPr>
        <w:t>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6" w:name="_Hlk75635823"/>
      <w:r w:rsidRPr="00C84F90">
        <w:rPr>
          <w:rFonts w:ascii="Arial" w:hAnsi="Arial" w:cs="Arial"/>
          <w:bCs/>
          <w:sz w:val="22"/>
          <w:szCs w:val="22"/>
          <w:lang w:val="es-MX" w:eastAsia="x-none"/>
        </w:rPr>
        <w:t>»</w:t>
      </w:r>
      <w:bookmarkStart w:id="7" w:name="_Hlk75758868"/>
      <w:bookmarkStart w:id="8" w:name="_Hlk75741220"/>
      <w:bookmarkEnd w:id="6"/>
      <w:r w:rsidRPr="00C84F90">
        <w:rPr>
          <w:rFonts w:ascii="Arial" w:hAnsi="Arial" w:cs="Arial"/>
          <w:szCs w:val="22"/>
          <w:vertAlign w:val="superscript"/>
          <w:lang w:val="es-MX"/>
        </w:rPr>
        <w:footnoteReference w:id="20"/>
      </w:r>
      <w:bookmarkEnd w:id="7"/>
      <w:bookmarkEnd w:id="8"/>
      <w:r w:rsidRPr="00C84F90">
        <w:rPr>
          <w:rFonts w:ascii="Arial" w:hAnsi="Arial" w:cs="Arial"/>
          <w:bCs/>
          <w:sz w:val="22"/>
          <w:szCs w:val="22"/>
          <w:lang w:val="es-MX" w:eastAsia="x-none"/>
        </w:rPr>
        <w:t>.</w:t>
      </w:r>
      <w:r w:rsidRPr="00C84F90">
        <w:rPr>
          <w:rFonts w:ascii="Arial" w:hAnsi="Arial" w:cs="Arial"/>
          <w:sz w:val="22"/>
          <w:szCs w:val="22"/>
          <w:lang w:val="es-MX"/>
        </w:rPr>
        <w:t xml:space="preserve"> Sin embargo, debe precisarse el siguiente aspecto que distinguió la Sala de Consulta y Servicio Civil:</w:t>
      </w:r>
    </w:p>
    <w:p w14:paraId="4635C26E" w14:textId="77777777" w:rsidR="00F93C05" w:rsidRPr="00C84F90" w:rsidRDefault="00F93C05" w:rsidP="00F93C05">
      <w:pPr>
        <w:spacing w:line="276" w:lineRule="auto"/>
        <w:jc w:val="both"/>
        <w:rPr>
          <w:rFonts w:ascii="Arial" w:hAnsi="Arial" w:cs="Arial"/>
          <w:sz w:val="22"/>
          <w:szCs w:val="22"/>
          <w:lang w:val="es-MX"/>
        </w:rPr>
      </w:pPr>
    </w:p>
    <w:p w14:paraId="1770C17E" w14:textId="77777777" w:rsidR="00F93C05" w:rsidRPr="00C84F90" w:rsidRDefault="00F93C05" w:rsidP="00F93C05">
      <w:pPr>
        <w:ind w:left="708" w:right="709"/>
        <w:jc w:val="both"/>
        <w:rPr>
          <w:rFonts w:ascii="Arial" w:hAnsi="Arial" w:cs="Arial"/>
          <w:sz w:val="21"/>
          <w:szCs w:val="21"/>
          <w:lang w:val="es-MX"/>
        </w:rPr>
      </w:pPr>
      <w:bookmarkStart w:id="10" w:name="_Hlk75811446"/>
      <w:r w:rsidRPr="009F5860">
        <w:rPr>
          <w:rFonts w:ascii="Arial" w:eastAsia="Calibri" w:hAnsi="Arial" w:cs="Arial"/>
          <w:sz w:val="21"/>
          <w:szCs w:val="21"/>
          <w:lang w:val="es-ES"/>
        </w:rPr>
        <w:lastRenderedPageBreak/>
        <w:t>«</w:t>
      </w:r>
      <w:r w:rsidRPr="00C84F90">
        <w:rPr>
          <w:rFonts w:ascii="Arial"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0"/>
      <w:r>
        <w:rPr>
          <w:rFonts w:ascii="Arial" w:hAnsi="Arial" w:cs="Arial"/>
          <w:sz w:val="21"/>
          <w:szCs w:val="21"/>
          <w:lang w:val="es-MX"/>
        </w:rPr>
        <w:t>.</w:t>
      </w:r>
      <w:r w:rsidRPr="009F5860">
        <w:rPr>
          <w:rFonts w:ascii="Arial" w:hAnsi="Arial" w:cs="Arial"/>
          <w:sz w:val="21"/>
          <w:szCs w:val="21"/>
          <w:lang w:val="es-ES"/>
        </w:rPr>
        <w:t>»</w:t>
      </w:r>
      <w:r w:rsidRPr="00C84F90">
        <w:rPr>
          <w:rFonts w:ascii="Arial" w:hAnsi="Arial" w:cs="Arial"/>
          <w:szCs w:val="22"/>
          <w:vertAlign w:val="superscript"/>
          <w:lang w:val="es-MX"/>
        </w:rPr>
        <w:footnoteReference w:id="21"/>
      </w:r>
      <w:r w:rsidRPr="009F1B7D">
        <w:rPr>
          <w:rFonts w:ascii="Arial" w:hAnsi="Arial" w:cs="Arial"/>
          <w:sz w:val="21"/>
          <w:szCs w:val="21"/>
          <w:lang w:val="es-ES"/>
        </w:rPr>
        <w:t xml:space="preserve"> </w:t>
      </w:r>
    </w:p>
    <w:p w14:paraId="5BBBB5D8" w14:textId="77777777" w:rsidR="00F93C05" w:rsidRPr="00C84F90" w:rsidRDefault="00F93C05" w:rsidP="00F93C05">
      <w:pPr>
        <w:spacing w:line="276" w:lineRule="auto"/>
        <w:jc w:val="both"/>
        <w:rPr>
          <w:rFonts w:ascii="Arial" w:hAnsi="Arial" w:cs="Arial"/>
          <w:sz w:val="22"/>
          <w:szCs w:val="22"/>
          <w:lang w:val="es-MX"/>
        </w:rPr>
      </w:pPr>
    </w:p>
    <w:p w14:paraId="4B3C0CB7" w14:textId="77777777" w:rsidR="00F93C05" w:rsidRPr="00C84F90" w:rsidRDefault="00F93C05" w:rsidP="00F93C05">
      <w:pPr>
        <w:spacing w:after="120" w:line="276" w:lineRule="auto"/>
        <w:ind w:firstLine="709"/>
        <w:jc w:val="both"/>
        <w:rPr>
          <w:rFonts w:ascii="Arial" w:hAnsi="Arial" w:cs="Arial"/>
          <w:bCs/>
          <w:sz w:val="22"/>
          <w:szCs w:val="22"/>
          <w:lang w:val="es-MX" w:eastAsia="x-none"/>
        </w:rPr>
      </w:pPr>
      <w:r w:rsidRPr="00C84F90">
        <w:rPr>
          <w:rFonts w:ascii="Arial" w:hAnsi="Arial" w:cs="Arial"/>
          <w:sz w:val="22"/>
          <w:szCs w:val="22"/>
          <w:lang w:val="es-MX"/>
        </w:rPr>
        <w:t>Aplicando este razonamiento,</w:t>
      </w:r>
      <w:bookmarkStart w:id="11" w:name="_Hlk75811096"/>
      <w:r w:rsidRPr="00C84F90">
        <w:rPr>
          <w:rFonts w:ascii="Arial" w:hAnsi="Arial" w:cs="Arial"/>
          <w:sz w:val="22"/>
          <w:szCs w:val="22"/>
          <w:lang w:val="es-MX"/>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1"/>
      <w:r w:rsidRPr="00C84F90">
        <w:rPr>
          <w:rFonts w:ascii="Arial" w:hAnsi="Arial" w:cs="Arial"/>
          <w:sz w:val="22"/>
          <w:szCs w:val="22"/>
          <w:lang w:val="es-MX"/>
        </w:rPr>
        <w:t>»</w:t>
      </w:r>
      <w:r w:rsidRPr="00C84F90">
        <w:rPr>
          <w:rFonts w:ascii="Arial" w:hAnsi="Arial" w:cs="Arial"/>
          <w:szCs w:val="22"/>
          <w:vertAlign w:val="superscript"/>
          <w:lang w:val="es-MX"/>
        </w:rPr>
        <w:t xml:space="preserve"> </w:t>
      </w:r>
      <w:r w:rsidRPr="00C84F90">
        <w:rPr>
          <w:rFonts w:ascii="Arial" w:hAnsi="Arial" w:cs="Arial"/>
          <w:sz w:val="22"/>
          <w:szCs w:val="22"/>
          <w:vertAlign w:val="superscript"/>
          <w:lang w:val="es-MX"/>
        </w:rPr>
        <w:footnoteReference w:id="22"/>
      </w:r>
      <w:r w:rsidRPr="00C84F90">
        <w:rPr>
          <w:rFonts w:ascii="Arial" w:hAnsi="Arial" w:cs="Arial"/>
          <w:sz w:val="22"/>
          <w:szCs w:val="22"/>
          <w:lang w:val="es-MX"/>
        </w:rPr>
        <w:t>.</w:t>
      </w:r>
    </w:p>
    <w:bookmarkEnd w:id="5"/>
    <w:p w14:paraId="59C09BE0" w14:textId="77777777" w:rsidR="00F93C05" w:rsidRDefault="00F93C05" w:rsidP="00033625">
      <w:pPr>
        <w:spacing w:after="200" w:line="276" w:lineRule="auto"/>
        <w:ind w:firstLine="708"/>
        <w:jc w:val="both"/>
        <w:rPr>
          <w:rFonts w:ascii="Arial" w:hAnsi="Arial" w:cs="Arial"/>
          <w:bCs/>
          <w:sz w:val="22"/>
          <w:szCs w:val="22"/>
          <w:lang w:val="es-MX" w:eastAsia="x-none"/>
        </w:rPr>
      </w:pPr>
      <w:r w:rsidRPr="00C84F90">
        <w:rPr>
          <w:rFonts w:ascii="Arial" w:hAnsi="Arial" w:cs="Arial"/>
          <w:sz w:val="22"/>
          <w:szCs w:val="22"/>
          <w:lang w:val="es-MX"/>
        </w:rPr>
        <w:t xml:space="preserve">Por lo tanto, la restricción prevista en la Ley 996 de 2005, </w:t>
      </w:r>
      <w:r w:rsidRPr="00C84F90">
        <w:rPr>
          <w:rFonts w:ascii="Arial" w:hAnsi="Arial" w:cs="Arial"/>
          <w:bCs/>
          <w:sz w:val="22"/>
          <w:szCs w:val="22"/>
          <w:lang w:val="es-MX" w:eastAsia="x-none"/>
        </w:rPr>
        <w:t xml:space="preserve">teniendo en cuenta la finalidad de la ley de garantías electorales, cobija a cualquier ente público que pueda a través de la contratación directa romper el equilibrio entre los candidatos en </w:t>
      </w:r>
      <w:r>
        <w:rPr>
          <w:rFonts w:ascii="Arial" w:hAnsi="Arial" w:cs="Arial"/>
          <w:bCs/>
          <w:sz w:val="22"/>
          <w:szCs w:val="22"/>
          <w:lang w:val="es-MX" w:eastAsia="x-none"/>
        </w:rPr>
        <w:t xml:space="preserve">desarrollo de </w:t>
      </w:r>
      <w:r w:rsidRPr="00C84F90">
        <w:rPr>
          <w:rFonts w:ascii="Arial" w:hAnsi="Arial" w:cs="Arial"/>
          <w:bCs/>
          <w:sz w:val="22"/>
          <w:szCs w:val="22"/>
          <w:lang w:val="es-MX" w:eastAsia="x-none"/>
        </w:rPr>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4D28C095" w14:textId="08122ED6" w:rsidR="00F93C05" w:rsidRPr="00C84F90" w:rsidRDefault="006151F8" w:rsidP="00F93C05">
      <w:pPr>
        <w:spacing w:after="200" w:line="276" w:lineRule="auto"/>
        <w:jc w:val="both"/>
        <w:rPr>
          <w:rFonts w:ascii="Arial" w:hAnsi="Arial" w:cs="Arial"/>
          <w:b/>
          <w:bCs/>
          <w:sz w:val="22"/>
          <w:szCs w:val="22"/>
          <w:lang w:val="es-MX"/>
        </w:rPr>
      </w:pPr>
      <w:r>
        <w:rPr>
          <w:rFonts w:ascii="Arial" w:hAnsi="Arial" w:cs="Arial"/>
          <w:b/>
          <w:bCs/>
          <w:sz w:val="22"/>
          <w:szCs w:val="22"/>
          <w:lang w:val="es-MX"/>
        </w:rPr>
        <w:t>2.</w:t>
      </w:r>
      <w:r w:rsidR="00C4563A">
        <w:rPr>
          <w:rFonts w:ascii="Arial" w:hAnsi="Arial" w:cs="Arial"/>
          <w:b/>
          <w:bCs/>
          <w:sz w:val="22"/>
          <w:szCs w:val="22"/>
          <w:lang w:val="es-MX"/>
        </w:rPr>
        <w:t>3</w:t>
      </w:r>
      <w:r w:rsidR="00F93C05" w:rsidRPr="00C84F90">
        <w:rPr>
          <w:rFonts w:ascii="Arial" w:hAnsi="Arial" w:cs="Arial"/>
          <w:b/>
          <w:bCs/>
          <w:sz w:val="22"/>
          <w:szCs w:val="22"/>
          <w:lang w:val="es-MX"/>
        </w:rPr>
        <w:t xml:space="preserve">. </w:t>
      </w:r>
      <w:bookmarkStart w:id="12" w:name="_Hlk77153296"/>
      <w:r w:rsidR="00F93C05" w:rsidRPr="00C84F90">
        <w:rPr>
          <w:rFonts w:ascii="Arial" w:hAnsi="Arial" w:cs="Arial"/>
          <w:b/>
          <w:bCs/>
          <w:sz w:val="22"/>
          <w:szCs w:val="22"/>
          <w:lang w:val="es-MX" w:eastAsia="es-CO"/>
        </w:rPr>
        <w:t xml:space="preserve">Restricciones </w:t>
      </w:r>
      <w:bookmarkStart w:id="13" w:name="_Hlk75643279"/>
      <w:r w:rsidR="00F93C05" w:rsidRPr="00C84F90">
        <w:rPr>
          <w:rFonts w:ascii="Arial" w:hAnsi="Arial" w:cs="Arial"/>
          <w:b/>
          <w:bCs/>
          <w:sz w:val="22"/>
          <w:szCs w:val="22"/>
          <w:lang w:val="es-MX" w:eastAsia="es-CO"/>
        </w:rPr>
        <w:t xml:space="preserve">para la celebración de contratos y convenios interadministrativos en los comicios de cargos de elección popular </w:t>
      </w:r>
    </w:p>
    <w:bookmarkEnd w:id="12"/>
    <w:bookmarkEnd w:id="13"/>
    <w:p w14:paraId="2F70F6A9" w14:textId="77777777" w:rsidR="00F93C05" w:rsidRPr="00C84F90" w:rsidRDefault="00F93C05" w:rsidP="00F93C05">
      <w:pPr>
        <w:tabs>
          <w:tab w:val="left" w:pos="426"/>
        </w:tabs>
        <w:spacing w:after="120" w:line="276" w:lineRule="auto"/>
        <w:jc w:val="both"/>
        <w:rPr>
          <w:rFonts w:ascii="Arial" w:eastAsia="Calibri" w:hAnsi="Arial" w:cs="Arial"/>
          <w:bCs/>
          <w:sz w:val="22"/>
          <w:szCs w:val="22"/>
        </w:rPr>
      </w:pPr>
      <w:r w:rsidRPr="00C84F90">
        <w:rPr>
          <w:rFonts w:ascii="Arial" w:eastAsia="Calibri" w:hAnsi="Arial" w:cs="Arial"/>
          <w:bCs/>
          <w:sz w:val="22"/>
          <w:szCs w:val="22"/>
        </w:rPr>
        <w:lastRenderedPageBreak/>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84F90">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C84F90">
        <w:rPr>
          <w:rFonts w:ascii="Arial" w:hAnsi="Arial" w:cs="Arial"/>
          <w:bCs/>
          <w:iCs/>
          <w:sz w:val="22"/>
          <w:szCs w:val="22"/>
          <w:vertAlign w:val="superscript"/>
          <w:lang w:val="es-MX" w:eastAsia="x-none"/>
        </w:rPr>
        <w:footnoteReference w:id="23"/>
      </w:r>
      <w:r w:rsidRPr="00C84F90">
        <w:rPr>
          <w:rFonts w:ascii="Arial" w:hAnsi="Arial" w:cs="Arial"/>
          <w:bCs/>
          <w:iCs/>
          <w:sz w:val="22"/>
          <w:szCs w:val="22"/>
          <w:lang w:val="es-MX" w:eastAsia="x-none"/>
        </w:rPr>
        <w:t>.</w:t>
      </w:r>
      <w:r w:rsidRPr="00C84F90">
        <w:rPr>
          <w:rFonts w:ascii="Arial" w:hAnsi="Arial" w:cs="Arial"/>
          <w:szCs w:val="22"/>
          <w:lang w:val="es-MX"/>
        </w:rPr>
        <w:t xml:space="preserve"> </w:t>
      </w:r>
    </w:p>
    <w:p w14:paraId="1BB385C4" w14:textId="77777777" w:rsidR="00F93C05" w:rsidRPr="00C84F90" w:rsidRDefault="00F93C05" w:rsidP="00F93C05">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Calibri" w:hAnsi="Arial" w:cs="Arial"/>
          <w:bCs/>
          <w:sz w:val="22"/>
          <w:szCs w:val="22"/>
          <w:lang w:eastAsia="es-ES" w:bidi="es-ES"/>
        </w:rPr>
        <w:t xml:space="preserve">Ahora bien, </w:t>
      </w:r>
      <w:bookmarkStart w:id="14" w:name="_Hlk78820161"/>
      <w:r w:rsidRPr="00C84F90">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C84F90">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C84F90">
        <w:rPr>
          <w:rFonts w:ascii="Arial" w:eastAsia="Arial" w:hAnsi="Arial" w:cs="Arial"/>
          <w:sz w:val="22"/>
          <w:szCs w:val="22"/>
          <w:vertAlign w:val="superscript"/>
          <w:lang w:val="es-ES" w:eastAsia="es-ES" w:bidi="es-ES"/>
        </w:rPr>
        <w:footnoteReference w:id="24"/>
      </w:r>
      <w:r w:rsidRPr="00C84F90">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84F90">
        <w:rPr>
          <w:rFonts w:ascii="Arial" w:eastAsia="Arial" w:hAnsi="Arial" w:cs="Arial"/>
          <w:spacing w:val="-6"/>
          <w:sz w:val="22"/>
          <w:szCs w:val="22"/>
          <w:lang w:val="es-ES" w:eastAsia="es-ES" w:bidi="es-ES"/>
        </w:rPr>
        <w:t xml:space="preserve"> </w:t>
      </w:r>
      <w:r w:rsidRPr="00C84F90">
        <w:rPr>
          <w:rFonts w:ascii="Arial" w:eastAsia="Arial" w:hAnsi="Arial" w:cs="Arial"/>
          <w:sz w:val="22"/>
          <w:szCs w:val="22"/>
          <w:lang w:val="es-ES" w:eastAsia="es-ES" w:bidi="es-ES"/>
        </w:rPr>
        <w:t>estatales.</w:t>
      </w:r>
    </w:p>
    <w:p w14:paraId="511F77E9" w14:textId="77777777" w:rsidR="00F93C05" w:rsidRPr="00C84F90" w:rsidRDefault="00F93C05" w:rsidP="00F93C05">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15" w:name="_Hlk78820654"/>
      <w:bookmarkEnd w:id="14"/>
      <w:r w:rsidRPr="00C84F90">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5"/>
    <w:p w14:paraId="3F47F8F7" w14:textId="77777777" w:rsidR="00F93C05" w:rsidRPr="00C84F90" w:rsidRDefault="00F93C05" w:rsidP="00F93C05">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w:t>
      </w:r>
      <w:r w:rsidRPr="00C84F90">
        <w:rPr>
          <w:rFonts w:ascii="Arial" w:eastAsia="Arial" w:hAnsi="Arial" w:cs="Arial"/>
          <w:sz w:val="22"/>
          <w:szCs w:val="22"/>
          <w:lang w:val="es-ES" w:eastAsia="es-ES" w:bidi="es-ES"/>
        </w:rPr>
        <w:lastRenderedPageBreak/>
        <w:t>pluralidad de oferentes</w:t>
      </w:r>
      <w:r w:rsidRPr="00C84F90">
        <w:rPr>
          <w:rFonts w:ascii="Arial" w:eastAsia="Arial" w:hAnsi="Arial" w:cs="Arial"/>
          <w:sz w:val="22"/>
          <w:szCs w:val="22"/>
          <w:vertAlign w:val="superscript"/>
          <w:lang w:val="es-ES" w:eastAsia="es-ES" w:bidi="es-ES"/>
        </w:rPr>
        <w:footnoteReference w:id="25"/>
      </w:r>
      <w:r w:rsidRPr="00C84F90">
        <w:rPr>
          <w:rFonts w:ascii="Arial" w:eastAsia="Arial" w:hAnsi="Arial" w:cs="Arial"/>
          <w:sz w:val="22"/>
          <w:szCs w:val="22"/>
          <w:lang w:val="es-ES" w:eastAsia="es-ES" w:bidi="es-ES"/>
        </w:rPr>
        <w:t>. Nótese que, en este caso, lo que cambia es la modalidad de selección y no la naturaleza de contrato</w:t>
      </w:r>
      <w:r w:rsidRPr="00C84F90">
        <w:rPr>
          <w:rFonts w:ascii="Arial" w:eastAsia="Arial" w:hAnsi="Arial" w:cs="Arial"/>
          <w:spacing w:val="-18"/>
          <w:sz w:val="22"/>
          <w:szCs w:val="22"/>
          <w:lang w:val="es-ES" w:eastAsia="es-ES" w:bidi="es-ES"/>
        </w:rPr>
        <w:t xml:space="preserve"> </w:t>
      </w:r>
      <w:r w:rsidRPr="00C84F90">
        <w:rPr>
          <w:rFonts w:ascii="Arial" w:eastAsia="Arial" w:hAnsi="Arial" w:cs="Arial"/>
          <w:sz w:val="22"/>
          <w:szCs w:val="22"/>
          <w:lang w:val="es-ES" w:eastAsia="es-ES" w:bidi="es-ES"/>
        </w:rPr>
        <w:t>interadministrativo.</w:t>
      </w:r>
    </w:p>
    <w:p w14:paraId="4726F4F8" w14:textId="77777777" w:rsidR="00F93C05" w:rsidRPr="00C84F90" w:rsidRDefault="00F93C05" w:rsidP="00F93C05">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84F90">
        <w:rPr>
          <w:rFonts w:ascii="Arial" w:eastAsia="Arial" w:hAnsi="Arial" w:cs="Arial"/>
          <w:spacing w:val="-13"/>
          <w:sz w:val="22"/>
          <w:szCs w:val="22"/>
          <w:lang w:val="es-ES" w:eastAsia="es-ES" w:bidi="es-ES"/>
        </w:rPr>
        <w:t xml:space="preserve"> </w:t>
      </w:r>
      <w:r w:rsidRPr="00C84F90">
        <w:rPr>
          <w:rFonts w:ascii="Arial" w:eastAsia="Arial" w:hAnsi="Arial" w:cs="Arial"/>
          <w:sz w:val="22"/>
          <w:szCs w:val="22"/>
          <w:lang w:val="es-ES" w:eastAsia="es-ES" w:bidi="es-ES"/>
        </w:rPr>
        <w:t>que:</w:t>
      </w:r>
    </w:p>
    <w:p w14:paraId="3C90B4BF" w14:textId="77777777" w:rsidR="00F93C05" w:rsidRPr="00C84F90" w:rsidRDefault="00F93C05" w:rsidP="00F93C05">
      <w:pPr>
        <w:widowControl w:val="0"/>
        <w:autoSpaceDE w:val="0"/>
        <w:autoSpaceDN w:val="0"/>
        <w:spacing w:line="276" w:lineRule="auto"/>
        <w:ind w:firstLine="707"/>
        <w:jc w:val="both"/>
        <w:rPr>
          <w:rFonts w:ascii="Arial" w:eastAsia="Arial" w:hAnsi="Arial" w:cs="Arial"/>
          <w:sz w:val="22"/>
          <w:szCs w:val="22"/>
          <w:lang w:val="es-ES" w:eastAsia="es-ES" w:bidi="es-ES"/>
        </w:rPr>
      </w:pPr>
    </w:p>
    <w:p w14:paraId="1672D762" w14:textId="77777777" w:rsidR="00F93C05" w:rsidRPr="00C84F90" w:rsidRDefault="00F93C05" w:rsidP="00F93C05">
      <w:pPr>
        <w:ind w:left="709" w:right="709"/>
        <w:jc w:val="both"/>
        <w:rPr>
          <w:rFonts w:ascii="Arial" w:hAnsi="Arial" w:cs="Arial"/>
          <w:sz w:val="21"/>
          <w:szCs w:val="22"/>
          <w:lang w:val="es-MX"/>
        </w:rPr>
      </w:pPr>
      <w:r w:rsidRPr="009F5860">
        <w:rPr>
          <w:rFonts w:ascii="Arial" w:eastAsia="Calibri" w:hAnsi="Arial" w:cs="Arial"/>
          <w:sz w:val="21"/>
          <w:szCs w:val="21"/>
          <w:lang w:val="es-ES"/>
        </w:rPr>
        <w:t>«</w:t>
      </w:r>
      <w:r w:rsidRPr="00C84F90">
        <w:rPr>
          <w:rFonts w:ascii="Arial" w:hAnsi="Arial" w:cs="Arial"/>
          <w:sz w:val="21"/>
          <w:szCs w:val="22"/>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Pr>
          <w:rFonts w:ascii="Arial" w:hAnsi="Arial" w:cs="Arial"/>
          <w:sz w:val="21"/>
          <w:szCs w:val="22"/>
          <w:lang w:val="es-MX"/>
        </w:rPr>
        <w:t>.</w:t>
      </w:r>
      <w:r w:rsidRPr="009F5860">
        <w:rPr>
          <w:rFonts w:ascii="Arial" w:hAnsi="Arial" w:cs="Arial"/>
          <w:sz w:val="21"/>
          <w:szCs w:val="21"/>
          <w:lang w:val="es-ES"/>
        </w:rPr>
        <w:t>»</w:t>
      </w:r>
      <w:r w:rsidRPr="00C84F90">
        <w:rPr>
          <w:rFonts w:ascii="Arial" w:hAnsi="Arial" w:cs="Arial"/>
          <w:sz w:val="21"/>
          <w:szCs w:val="22"/>
          <w:vertAlign w:val="superscript"/>
          <w:lang w:val="es-MX"/>
        </w:rPr>
        <w:footnoteReference w:id="26"/>
      </w:r>
    </w:p>
    <w:p w14:paraId="4EBD95D4" w14:textId="77777777" w:rsidR="00F93C05" w:rsidRPr="00C84F90" w:rsidRDefault="00F93C05" w:rsidP="00F93C05">
      <w:pPr>
        <w:spacing w:line="276" w:lineRule="auto"/>
        <w:ind w:left="709" w:right="709"/>
        <w:jc w:val="both"/>
        <w:rPr>
          <w:sz w:val="22"/>
          <w:szCs w:val="22"/>
          <w:lang w:val="es-MX"/>
        </w:rPr>
      </w:pPr>
    </w:p>
    <w:p w14:paraId="5A29CDF1" w14:textId="77777777" w:rsidR="00F93C05" w:rsidRPr="00C84F90" w:rsidRDefault="00F93C05" w:rsidP="00F93C05">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w:t>
      </w:r>
      <w:r w:rsidRPr="00C84F90">
        <w:rPr>
          <w:rFonts w:ascii="Arial" w:eastAsia="Arial" w:hAnsi="Arial" w:cs="Arial"/>
          <w:sz w:val="22"/>
          <w:szCs w:val="22"/>
          <w:lang w:val="es-ES" w:eastAsia="es-ES" w:bidi="es-ES"/>
        </w:rPr>
        <w:lastRenderedPageBreak/>
        <w:t>Pública establece la contratación directa como la modalidad de selección aplicable, por regla general, a la celebración de los contratos interadministrativos.</w:t>
      </w:r>
    </w:p>
    <w:p w14:paraId="10CE6DEC" w14:textId="77777777" w:rsidR="00F93C05" w:rsidRPr="00C84F90" w:rsidRDefault="00F93C05" w:rsidP="00F93C05">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C84F90">
        <w:rPr>
          <w:rFonts w:ascii="Arial" w:eastAsia="Arial" w:hAnsi="Arial" w:cs="Arial"/>
          <w:spacing w:val="-3"/>
          <w:sz w:val="22"/>
          <w:szCs w:val="22"/>
          <w:lang w:val="es-ES" w:eastAsia="es-ES" w:bidi="es-ES"/>
        </w:rPr>
        <w:t xml:space="preserve"> </w:t>
      </w:r>
      <w:r w:rsidRPr="00C84F90">
        <w:rPr>
          <w:rFonts w:ascii="Arial" w:eastAsia="Arial" w:hAnsi="Arial" w:cs="Arial"/>
          <w:sz w:val="22"/>
          <w:szCs w:val="22"/>
          <w:lang w:val="es-ES" w:eastAsia="es-ES" w:bidi="es-ES"/>
        </w:rPr>
        <w:t>estatales.</w:t>
      </w:r>
    </w:p>
    <w:p w14:paraId="5A5BA244" w14:textId="77777777" w:rsidR="00F93C05" w:rsidRPr="00C84F90" w:rsidRDefault="00F93C05" w:rsidP="00F93C05">
      <w:pPr>
        <w:widowControl w:val="0"/>
        <w:autoSpaceDE w:val="0"/>
        <w:autoSpaceDN w:val="0"/>
        <w:spacing w:before="120"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estatales.</w:t>
      </w:r>
    </w:p>
    <w:p w14:paraId="086CF900" w14:textId="77777777" w:rsidR="00F93C05" w:rsidRPr="00C84F90" w:rsidRDefault="00F93C05" w:rsidP="00F93C05">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579936DC" w14:textId="77777777" w:rsidR="00F93C05" w:rsidRPr="00C84F90" w:rsidRDefault="00F93C05" w:rsidP="00F93C05">
      <w:pPr>
        <w:widowControl w:val="0"/>
        <w:autoSpaceDE w:val="0"/>
        <w:autoSpaceDN w:val="0"/>
        <w:spacing w:line="276" w:lineRule="auto"/>
        <w:ind w:firstLine="708"/>
        <w:jc w:val="both"/>
        <w:rPr>
          <w:rFonts w:ascii="Arial" w:eastAsia="Calibri" w:hAnsi="Arial" w:cs="Arial"/>
          <w:bCs/>
          <w:sz w:val="22"/>
          <w:szCs w:val="22"/>
          <w:lang w:eastAsia="es-ES" w:bidi="es-ES"/>
        </w:rPr>
      </w:pPr>
      <w:r w:rsidRPr="00C84F90">
        <w:rPr>
          <w:rFonts w:ascii="Arial" w:eastAsia="Arial" w:hAnsi="Arial" w:cs="Arial"/>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w:t>
      </w:r>
      <w:r w:rsidRPr="00C84F90">
        <w:rPr>
          <w:rFonts w:ascii="Arial" w:eastAsia="Arial" w:hAnsi="Arial" w:cs="Arial"/>
          <w:sz w:val="22"/>
          <w:szCs w:val="22"/>
          <w:lang w:val="es-ES" w:eastAsia="es-ES" w:bidi="es-ES"/>
        </w:rPr>
        <w:lastRenderedPageBreak/>
        <w:t>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C84F90">
        <w:rPr>
          <w:rFonts w:ascii="Arial" w:eastAsia="Arial" w:hAnsi="Arial" w:cs="Arial"/>
          <w:spacing w:val="-4"/>
          <w:sz w:val="22"/>
          <w:szCs w:val="22"/>
          <w:lang w:val="es-ES" w:eastAsia="es-ES" w:bidi="es-ES"/>
        </w:rPr>
        <w:t xml:space="preserve"> </w:t>
      </w:r>
      <w:r w:rsidRPr="00C84F90">
        <w:rPr>
          <w:rFonts w:ascii="Arial" w:eastAsia="Arial" w:hAnsi="Arial" w:cs="Arial"/>
          <w:sz w:val="22"/>
          <w:szCs w:val="22"/>
          <w:lang w:val="es-ES" w:eastAsia="es-ES" w:bidi="es-ES"/>
        </w:rPr>
        <w:t>[…]»</w:t>
      </w:r>
      <w:r w:rsidRPr="00C84F90">
        <w:rPr>
          <w:rFonts w:ascii="Arial" w:eastAsia="Arial" w:hAnsi="Arial" w:cs="Arial"/>
          <w:sz w:val="22"/>
          <w:szCs w:val="22"/>
          <w:vertAlign w:val="superscript"/>
          <w:lang w:val="es-ES" w:eastAsia="es-ES" w:bidi="es-ES"/>
        </w:rPr>
        <w:footnoteReference w:id="27"/>
      </w:r>
      <w:r w:rsidRPr="00C84F90">
        <w:rPr>
          <w:rFonts w:ascii="Arial" w:eastAsia="Arial" w:hAnsi="Arial" w:cs="Arial"/>
          <w:sz w:val="22"/>
          <w:szCs w:val="22"/>
          <w:lang w:val="es-ES" w:eastAsia="es-ES" w:bidi="es-ES"/>
        </w:rPr>
        <w:t>.</w:t>
      </w:r>
      <w:bookmarkStart w:id="16" w:name="_Hlk77171241"/>
    </w:p>
    <w:p w14:paraId="2BDA892A" w14:textId="77777777" w:rsidR="00F93C05" w:rsidRPr="00C84F90" w:rsidRDefault="00F93C05" w:rsidP="00F93C05">
      <w:pPr>
        <w:widowControl w:val="0"/>
        <w:autoSpaceDE w:val="0"/>
        <w:autoSpaceDN w:val="0"/>
        <w:spacing w:before="122" w:after="200" w:line="276" w:lineRule="auto"/>
        <w:ind w:firstLine="709"/>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79CCD1AB" w14:textId="77777777" w:rsidR="00F93C05" w:rsidRPr="00C84F90" w:rsidRDefault="00F93C05" w:rsidP="00F93C05">
      <w:pPr>
        <w:spacing w:after="120"/>
        <w:ind w:left="709" w:right="709"/>
        <w:jc w:val="both"/>
        <w:rPr>
          <w:rFonts w:ascii="Arial" w:hAnsi="Arial" w:cs="Arial"/>
          <w:sz w:val="21"/>
          <w:szCs w:val="21"/>
          <w:lang w:val="es-ES_tradnl"/>
        </w:rPr>
      </w:pPr>
      <w:r w:rsidRPr="009F5860">
        <w:rPr>
          <w:rFonts w:ascii="Arial" w:eastAsia="Calibri" w:hAnsi="Arial" w:cs="Arial"/>
          <w:sz w:val="21"/>
          <w:szCs w:val="21"/>
          <w:lang w:val="es-ES"/>
        </w:rPr>
        <w:t>«</w:t>
      </w:r>
      <w:r w:rsidRPr="00C84F90">
        <w:rPr>
          <w:rFonts w:ascii="Arial" w:hAnsi="Arial" w:cs="Arial"/>
          <w:sz w:val="21"/>
          <w:szCs w:val="21"/>
          <w:lang w:val="es-ES_tradnl"/>
        </w:rPr>
        <w:t>La Sala de Consulta y Servicio Civil</w:t>
      </w:r>
      <w:r w:rsidRPr="00C84F90">
        <w:rPr>
          <w:rFonts w:ascii="Arial" w:hAnsi="Arial" w:cs="Arial"/>
          <w:sz w:val="21"/>
          <w:szCs w:val="21"/>
          <w:vertAlign w:val="superscript"/>
          <w:lang w:val="es-ES_tradnl"/>
        </w:rPr>
        <w:footnoteReference w:id="28"/>
      </w:r>
      <w:r w:rsidRPr="00C84F90">
        <w:rPr>
          <w:rFonts w:ascii="Arial" w:hAnsi="Arial" w:cs="Arial"/>
          <w:sz w:val="21"/>
          <w:szCs w:val="21"/>
          <w:lang w:val="es-ES_tradnl"/>
        </w:rPr>
        <w:t xml:space="preserve"> de esta Corporación se ha referido a los </w:t>
      </w:r>
      <w:r w:rsidRPr="00C84F90">
        <w:rPr>
          <w:rFonts w:ascii="Arial" w:hAnsi="Arial" w:cs="Arial"/>
          <w:i/>
          <w:sz w:val="21"/>
          <w:szCs w:val="21"/>
          <w:lang w:val="es-ES_tradnl"/>
        </w:rPr>
        <w:t>“convenios interadministrativos”</w:t>
      </w:r>
      <w:r w:rsidRPr="00C84F90">
        <w:rPr>
          <w:rFonts w:ascii="Arial" w:hAnsi="Arial" w:cs="Arial"/>
          <w:sz w:val="21"/>
          <w:szCs w:val="21"/>
          <w:lang w:val="es-ES_tradnl"/>
        </w:rPr>
        <w:t xml:space="preserve"> a los cuales alude el artículo 95 de la Ley 489 de 1998, calificándolos de </w:t>
      </w:r>
      <w:r w:rsidRPr="00C84F90">
        <w:rPr>
          <w:rFonts w:ascii="Arial" w:hAnsi="Arial" w:cs="Arial"/>
          <w:i/>
          <w:sz w:val="21"/>
          <w:szCs w:val="21"/>
          <w:lang w:val="es-ES_tradnl"/>
        </w:rPr>
        <w:t xml:space="preserve">“puros” </w:t>
      </w:r>
      <w:r w:rsidRPr="00C84F90">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C84F90">
        <w:rPr>
          <w:rFonts w:ascii="Arial" w:hAnsi="Arial" w:cs="Arial"/>
          <w:i/>
          <w:sz w:val="21"/>
          <w:szCs w:val="21"/>
          <w:lang w:val="es-ES_tradnl"/>
        </w:rPr>
        <w:t>“intercambio patrimonial”</w:t>
      </w:r>
      <w:r w:rsidRPr="00C84F90">
        <w:rPr>
          <w:rFonts w:ascii="Arial" w:hAnsi="Arial" w:cs="Arial"/>
          <w:sz w:val="21"/>
          <w:szCs w:val="21"/>
          <w:lang w:val="es-ES_tradnl"/>
        </w:rPr>
        <w:t>. Sin perjuicio de lo anterior, en otra oportunidad, la misma Sala</w:t>
      </w:r>
      <w:r w:rsidRPr="00C84F90">
        <w:rPr>
          <w:rFonts w:ascii="Arial" w:hAnsi="Arial" w:cs="Arial"/>
          <w:sz w:val="21"/>
          <w:szCs w:val="21"/>
          <w:vertAlign w:val="superscript"/>
          <w:lang w:val="es-ES_tradnl"/>
        </w:rPr>
        <w:footnoteReference w:id="29"/>
      </w:r>
      <w:r w:rsidRPr="00C84F90">
        <w:rPr>
          <w:rFonts w:ascii="Arial" w:hAnsi="Arial" w:cs="Arial"/>
          <w:sz w:val="21"/>
          <w:szCs w:val="21"/>
          <w:lang w:val="es-ES_tradnl"/>
        </w:rPr>
        <w:t xml:space="preserve"> había indicado que, si bien en dichos convenios no se daba un </w:t>
      </w:r>
      <w:r w:rsidRPr="00C84F90">
        <w:rPr>
          <w:rFonts w:ascii="Arial" w:hAnsi="Arial" w:cs="Arial"/>
          <w:i/>
          <w:sz w:val="21"/>
          <w:szCs w:val="21"/>
          <w:lang w:val="es-ES_tradnl"/>
        </w:rPr>
        <w:t>“verdadero intercambio de bienes o servicios (contrato conmutativo)”</w:t>
      </w:r>
      <w:r w:rsidRPr="00C84F90">
        <w:rPr>
          <w:rFonts w:ascii="Arial" w:hAnsi="Arial" w:cs="Arial"/>
          <w:sz w:val="21"/>
          <w:szCs w:val="21"/>
          <w:lang w:val="es-ES_tradnl"/>
        </w:rPr>
        <w:t>, ello no impedía que se conviniera una remuneración a cargo de alguna(s) entidad(es).</w:t>
      </w:r>
    </w:p>
    <w:p w14:paraId="41947CEA" w14:textId="77777777" w:rsidR="00F93C05" w:rsidRPr="00C84F90" w:rsidRDefault="00F93C05" w:rsidP="00F93C05">
      <w:pPr>
        <w:widowControl w:val="0"/>
        <w:autoSpaceDE w:val="0"/>
        <w:autoSpaceDN w:val="0"/>
        <w:ind w:left="709" w:right="709"/>
        <w:jc w:val="both"/>
        <w:rPr>
          <w:rFonts w:ascii="Arial" w:eastAsia="Arial" w:hAnsi="Arial" w:cs="Arial"/>
          <w:sz w:val="21"/>
          <w:szCs w:val="21"/>
          <w:lang w:val="es-ES" w:eastAsia="es-ES" w:bidi="es-ES"/>
        </w:rPr>
      </w:pPr>
      <w:r w:rsidRPr="00C84F90">
        <w:rPr>
          <w:rFonts w:ascii="Arial" w:eastAsia="Arial" w:hAnsi="Arial" w:cs="Arial"/>
          <w:sz w:val="21"/>
          <w:szCs w:val="21"/>
          <w:lang w:val="es-ES_tradnl" w:eastAsia="es-ES" w:bidi="es-ES"/>
        </w:rPr>
        <w:t xml:space="preserve">Lo expuesto evidencia que, en general, las interpretaciones en torno a los </w:t>
      </w:r>
      <w:r w:rsidRPr="00C84F90">
        <w:rPr>
          <w:rFonts w:ascii="Arial" w:eastAsia="Arial" w:hAnsi="Arial" w:cs="Arial"/>
          <w:i/>
          <w:sz w:val="21"/>
          <w:szCs w:val="21"/>
          <w:lang w:val="es-ES_tradnl" w:eastAsia="es-ES" w:bidi="es-ES"/>
        </w:rPr>
        <w:t>“convenios interadministrativos”</w:t>
      </w:r>
      <w:r w:rsidRPr="00C84F90">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Pr>
          <w:rFonts w:ascii="Arial" w:eastAsia="Arial" w:hAnsi="Arial" w:cs="Arial"/>
          <w:sz w:val="21"/>
          <w:szCs w:val="21"/>
          <w:lang w:val="es-ES_tradnl" w:eastAsia="es-ES" w:bidi="es-ES"/>
        </w:rPr>
        <w:t>.</w:t>
      </w:r>
      <w:r w:rsidRPr="009F5860">
        <w:rPr>
          <w:rFonts w:ascii="Arial" w:hAnsi="Arial" w:cs="Arial"/>
          <w:sz w:val="21"/>
          <w:szCs w:val="21"/>
          <w:lang w:val="es-ES"/>
        </w:rPr>
        <w:t>»</w:t>
      </w:r>
      <w:r w:rsidRPr="00C84F90">
        <w:rPr>
          <w:rFonts w:ascii="Arial" w:eastAsia="Arial" w:hAnsi="Arial" w:cs="Arial"/>
          <w:sz w:val="21"/>
          <w:szCs w:val="21"/>
          <w:vertAlign w:val="superscript"/>
          <w:lang w:val="es-ES_tradnl" w:eastAsia="es-ES" w:bidi="es-ES"/>
        </w:rPr>
        <w:footnoteReference w:id="30"/>
      </w:r>
      <w:r w:rsidRPr="003E2281">
        <w:rPr>
          <w:rFonts w:ascii="Arial" w:hAnsi="Arial" w:cs="Arial"/>
          <w:sz w:val="21"/>
          <w:szCs w:val="21"/>
          <w:vertAlign w:val="superscript"/>
          <w:lang w:val="es-ES"/>
        </w:rPr>
        <w:t>-</w:t>
      </w:r>
      <w:r w:rsidRPr="00C84F90">
        <w:rPr>
          <w:rFonts w:ascii="Arial" w:eastAsia="Arial" w:hAnsi="Arial" w:cs="Arial"/>
          <w:sz w:val="21"/>
          <w:szCs w:val="21"/>
          <w:vertAlign w:val="superscript"/>
          <w:lang w:val="es-ES_tradnl" w:eastAsia="es-ES" w:bidi="es-ES"/>
        </w:rPr>
        <w:footnoteReference w:id="31"/>
      </w:r>
    </w:p>
    <w:p w14:paraId="7888F725" w14:textId="77777777" w:rsidR="00F93C05" w:rsidRPr="00C84F90" w:rsidRDefault="00F93C05" w:rsidP="00F93C05">
      <w:pPr>
        <w:widowControl w:val="0"/>
        <w:autoSpaceDE w:val="0"/>
        <w:autoSpaceDN w:val="0"/>
        <w:spacing w:line="276" w:lineRule="auto"/>
        <w:jc w:val="both"/>
        <w:rPr>
          <w:rFonts w:ascii="Arial" w:eastAsia="Arial" w:hAnsi="Arial" w:cs="Arial"/>
          <w:sz w:val="22"/>
          <w:szCs w:val="22"/>
          <w:lang w:val="es-ES" w:eastAsia="es-ES" w:bidi="es-ES"/>
        </w:rPr>
      </w:pPr>
    </w:p>
    <w:p w14:paraId="397E33FD" w14:textId="3C9B772C" w:rsidR="00F93C05" w:rsidRPr="00C84F90" w:rsidRDefault="00F93C05" w:rsidP="00F93C05">
      <w:pPr>
        <w:widowControl w:val="0"/>
        <w:autoSpaceDE w:val="0"/>
        <w:autoSpaceDN w:val="0"/>
        <w:spacing w:after="120"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b/>
      </w:r>
      <w:r w:rsidR="00C4563A" w:rsidRPr="0033543D">
        <w:rPr>
          <w:rFonts w:ascii="Arial" w:eastAsia="Arial" w:hAnsi="Arial" w:cs="Arial"/>
          <w:color w:val="000000"/>
          <w:sz w:val="22"/>
          <w:szCs w:val="22"/>
        </w:rPr>
        <w:t xml:space="preserve">Sin perjuicio de lo indicado, conviene reiterar que el ordenamiento jurídico en distintas </w:t>
      </w:r>
      <w:r w:rsidR="00C4563A">
        <w:rPr>
          <w:rFonts w:ascii="Arial" w:eastAsia="Arial" w:hAnsi="Arial" w:cs="Arial"/>
          <w:color w:val="000000"/>
          <w:sz w:val="22"/>
          <w:szCs w:val="22"/>
        </w:rPr>
        <w:t>disposiciones</w:t>
      </w:r>
      <w:r w:rsidR="00C4563A" w:rsidRPr="0033543D">
        <w:rPr>
          <w:rFonts w:ascii="Arial" w:eastAsia="Arial" w:hAnsi="Arial" w:cs="Arial"/>
          <w:color w:val="000000"/>
          <w:sz w:val="22"/>
          <w:szCs w:val="22"/>
        </w:rPr>
        <w:t xml:space="preserve"> utiliza de forma indistinta </w:t>
      </w:r>
      <w:r w:rsidRPr="00C84F90">
        <w:rPr>
          <w:rFonts w:ascii="Arial" w:eastAsia="Arial" w:hAnsi="Arial" w:cs="Arial"/>
          <w:sz w:val="22"/>
          <w:szCs w:val="22"/>
          <w:lang w:val="es-ES" w:eastAsia="es-ES" w:bidi="es-ES"/>
        </w:rPr>
        <w:t>los conceptos de contrato o convenio para referirse a la misma institución jurídica</w:t>
      </w:r>
      <w:r w:rsidRPr="00C84F90">
        <w:rPr>
          <w:rFonts w:ascii="Arial" w:eastAsia="Arial" w:hAnsi="Arial" w:cs="Arial"/>
          <w:sz w:val="22"/>
          <w:szCs w:val="22"/>
          <w:vertAlign w:val="superscript"/>
          <w:lang w:val="es-ES" w:eastAsia="es-ES" w:bidi="es-ES"/>
        </w:rPr>
        <w:footnoteReference w:id="32"/>
      </w:r>
      <w:r w:rsidRPr="00C84F90">
        <w:rPr>
          <w:rFonts w:ascii="Arial" w:eastAsia="Arial" w:hAnsi="Arial" w:cs="Arial"/>
          <w:sz w:val="22"/>
          <w:szCs w:val="22"/>
          <w:lang w:val="es-ES" w:eastAsia="es-ES" w:bidi="es-ES"/>
        </w:rPr>
        <w:t xml:space="preserve">. Incluso la Corte Constitucional </w:t>
      </w:r>
      <w:r>
        <w:rPr>
          <w:rFonts w:ascii="Arial" w:eastAsia="Arial" w:hAnsi="Arial" w:cs="Arial"/>
          <w:sz w:val="22"/>
          <w:szCs w:val="22"/>
          <w:lang w:val="es-ES" w:eastAsia="es-ES" w:bidi="es-ES"/>
        </w:rPr>
        <w:t>explica</w:t>
      </w:r>
      <w:r w:rsidRPr="00C84F90">
        <w:rPr>
          <w:rFonts w:ascii="Arial" w:eastAsia="Arial" w:hAnsi="Arial" w:cs="Arial"/>
          <w:sz w:val="22"/>
          <w:szCs w:val="22"/>
          <w:lang w:val="es-ES" w:eastAsia="es-ES" w:bidi="es-ES"/>
        </w:rPr>
        <w:t xml:space="preserve"> la posibilidad de celebrar convenios interadministrativos de forma directa, con fundamento en la causal establecida en la Ley 1150 de 2007 respecto a los contratos interadministrativos</w:t>
      </w:r>
      <w:r w:rsidRPr="00C84F90">
        <w:rPr>
          <w:rFonts w:ascii="Arial" w:eastAsia="Arial" w:hAnsi="Arial" w:cs="Arial"/>
          <w:sz w:val="22"/>
          <w:szCs w:val="22"/>
          <w:vertAlign w:val="superscript"/>
          <w:lang w:val="es-ES" w:eastAsia="es-ES" w:bidi="es-ES"/>
        </w:rPr>
        <w:footnoteReference w:id="33"/>
      </w:r>
      <w:r w:rsidRPr="00C84F90">
        <w:rPr>
          <w:rFonts w:ascii="Arial" w:eastAsia="Arial" w:hAnsi="Arial" w:cs="Arial"/>
          <w:sz w:val="22"/>
          <w:szCs w:val="22"/>
          <w:lang w:val="es-ES" w:eastAsia="es-ES" w:bidi="es-ES"/>
        </w:rPr>
        <w:t>.</w:t>
      </w:r>
    </w:p>
    <w:p w14:paraId="399D39F7" w14:textId="77777777" w:rsidR="00F93C05" w:rsidRPr="00C84F90" w:rsidRDefault="00F93C05" w:rsidP="00F93C05">
      <w:pPr>
        <w:widowControl w:val="0"/>
        <w:autoSpaceDE w:val="0"/>
        <w:autoSpaceDN w:val="0"/>
        <w:spacing w:line="276" w:lineRule="auto"/>
        <w:jc w:val="both"/>
        <w:rPr>
          <w:rFonts w:ascii="Arial" w:eastAsia="Arial" w:hAnsi="Arial" w:cs="Arial"/>
          <w:sz w:val="22"/>
          <w:szCs w:val="22"/>
          <w:lang w:val="es-ES" w:eastAsia="es-ES" w:bidi="es-ES"/>
        </w:rPr>
      </w:pPr>
      <w:r w:rsidRPr="00C84F90">
        <w:rPr>
          <w:rFonts w:ascii="Arial" w:eastAsia="Arial" w:hAnsi="Arial" w:cs="Arial"/>
          <w:sz w:val="22"/>
          <w:szCs w:val="22"/>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5FC59664" w14:textId="77777777" w:rsidR="00F93C05" w:rsidRPr="00C84F90" w:rsidRDefault="00F93C05" w:rsidP="00F93C05">
      <w:pPr>
        <w:widowControl w:val="0"/>
        <w:autoSpaceDE w:val="0"/>
        <w:autoSpaceDN w:val="0"/>
        <w:spacing w:line="276" w:lineRule="auto"/>
        <w:jc w:val="both"/>
        <w:rPr>
          <w:rFonts w:ascii="Arial" w:eastAsia="Arial" w:hAnsi="Arial" w:cs="Arial"/>
          <w:sz w:val="22"/>
          <w:szCs w:val="22"/>
          <w:lang w:val="es-ES" w:eastAsia="es-ES" w:bidi="es-ES"/>
        </w:rPr>
      </w:pPr>
    </w:p>
    <w:p w14:paraId="3A27561E" w14:textId="77777777" w:rsidR="00F93C05" w:rsidRPr="00C84F90" w:rsidRDefault="00F93C05" w:rsidP="00F93C05">
      <w:pPr>
        <w:spacing w:after="120"/>
        <w:ind w:left="709" w:right="709"/>
        <w:jc w:val="both"/>
        <w:rPr>
          <w:rFonts w:ascii="Arial" w:hAnsi="Arial" w:cs="Arial"/>
          <w:sz w:val="21"/>
          <w:szCs w:val="21"/>
          <w:lang w:val="es-MX"/>
        </w:rPr>
      </w:pPr>
      <w:r w:rsidRPr="009F5860">
        <w:rPr>
          <w:rFonts w:ascii="Arial" w:eastAsia="Calibri" w:hAnsi="Arial" w:cs="Arial"/>
          <w:sz w:val="21"/>
          <w:szCs w:val="21"/>
          <w:lang w:val="es-ES"/>
        </w:rPr>
        <w:t>«</w:t>
      </w:r>
      <w:r w:rsidRPr="00C84F90">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C84F90">
        <w:rPr>
          <w:rFonts w:ascii="Arial" w:hAnsi="Arial" w:cs="Arial"/>
          <w:sz w:val="21"/>
          <w:szCs w:val="21"/>
          <w:lang w:val="es-MX"/>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121F83EF" w14:textId="77777777" w:rsidR="00F93C05" w:rsidRPr="00C84F90" w:rsidRDefault="00F93C05" w:rsidP="00F93C05">
      <w:pPr>
        <w:spacing w:after="120"/>
        <w:ind w:left="709" w:right="709"/>
        <w:jc w:val="both"/>
        <w:rPr>
          <w:rFonts w:ascii="Arial" w:hAnsi="Arial" w:cs="Arial"/>
          <w:sz w:val="21"/>
          <w:szCs w:val="21"/>
          <w:lang w:val="es-MX"/>
        </w:rPr>
      </w:pPr>
      <w:r w:rsidRPr="00C84F90">
        <w:rPr>
          <w:rFonts w:ascii="Arial" w:hAnsi="Arial" w:cs="Arial"/>
          <w:sz w:val="21"/>
          <w:szCs w:val="21"/>
          <w:lang w:val="es-MX"/>
        </w:rPr>
        <w:lastRenderedPageBreak/>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E1522CB" w14:textId="77777777" w:rsidR="00F93C05" w:rsidRPr="003E2281" w:rsidRDefault="00F93C05" w:rsidP="00F93C05">
      <w:pPr>
        <w:ind w:left="709" w:right="709"/>
        <w:jc w:val="both"/>
        <w:rPr>
          <w:szCs w:val="22"/>
          <w:vertAlign w:val="superscript"/>
          <w:lang w:val="es-MX"/>
        </w:rPr>
      </w:pPr>
      <w:r w:rsidRPr="00C84F90">
        <w:rPr>
          <w:rFonts w:ascii="Arial"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Pr="009F5860">
        <w:rPr>
          <w:rFonts w:ascii="Arial" w:hAnsi="Arial" w:cs="Arial"/>
          <w:sz w:val="21"/>
          <w:szCs w:val="21"/>
          <w:lang w:val="es-ES"/>
        </w:rPr>
        <w:t>»</w:t>
      </w:r>
    </w:p>
    <w:p w14:paraId="6BE49DB6" w14:textId="77777777" w:rsidR="00F93C05" w:rsidRPr="00C84F90" w:rsidRDefault="00F93C05" w:rsidP="00F93C05">
      <w:pPr>
        <w:widowControl w:val="0"/>
        <w:autoSpaceDE w:val="0"/>
        <w:autoSpaceDN w:val="0"/>
        <w:spacing w:before="3" w:line="276" w:lineRule="auto"/>
        <w:jc w:val="both"/>
        <w:rPr>
          <w:rFonts w:ascii="Arial" w:eastAsia="Arial" w:hAnsi="Arial" w:cs="Arial"/>
          <w:sz w:val="25"/>
          <w:szCs w:val="22"/>
          <w:lang w:val="es-ES" w:eastAsia="es-ES" w:bidi="es-ES"/>
        </w:rPr>
      </w:pPr>
    </w:p>
    <w:p w14:paraId="3C833266" w14:textId="77777777" w:rsidR="00F93C05" w:rsidRPr="00C84F90" w:rsidRDefault="00F93C05" w:rsidP="00F93C05">
      <w:pPr>
        <w:widowControl w:val="0"/>
        <w:shd w:val="clear" w:color="auto" w:fill="FFFFFF" w:themeFill="background1"/>
        <w:autoSpaceDE w:val="0"/>
        <w:autoSpaceDN w:val="0"/>
        <w:spacing w:after="120" w:line="276" w:lineRule="auto"/>
        <w:jc w:val="both"/>
        <w:rPr>
          <w:rFonts w:ascii="Arial" w:eastAsia="Calibri" w:hAnsi="Arial" w:cs="Arial"/>
          <w:bCs/>
          <w:sz w:val="22"/>
          <w:szCs w:val="22"/>
          <w:lang w:eastAsia="es-ES" w:bidi="es-ES"/>
        </w:rPr>
      </w:pPr>
      <w:r w:rsidRPr="00C84F90">
        <w:rPr>
          <w:rFonts w:ascii="Arial" w:eastAsia="Arial" w:hAnsi="Arial" w:cs="Arial"/>
          <w:sz w:val="25"/>
          <w:szCs w:val="22"/>
          <w:lang w:val="es-ES" w:eastAsia="es-ES" w:bidi="es-ES"/>
        </w:rPr>
        <w:tab/>
      </w:r>
      <w:r w:rsidRPr="00C84F90">
        <w:rPr>
          <w:rFonts w:ascii="Arial" w:eastAsia="Arial" w:hAnsi="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w:t>
      </w:r>
      <w:r>
        <w:rPr>
          <w:rFonts w:ascii="Arial" w:eastAsia="Arial" w:hAnsi="Arial" w:cs="Arial"/>
          <w:sz w:val="22"/>
          <w:szCs w:val="22"/>
          <w:lang w:val="es-ES" w:eastAsia="es-ES" w:bidi="es-ES"/>
        </w:rPr>
        <w:t>ron</w:t>
      </w:r>
      <w:r w:rsidRPr="00C84F90">
        <w:rPr>
          <w:rFonts w:ascii="Arial" w:eastAsia="Arial" w:hAnsi="Arial" w:cs="Arial"/>
          <w:sz w:val="22"/>
          <w:szCs w:val="22"/>
          <w:lang w:val="es-ES" w:eastAsia="es-ES" w:bidi="es-ES"/>
        </w:rPr>
        <w:t xml:space="preserve">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6"/>
    </w:p>
    <w:p w14:paraId="10314075" w14:textId="22DF01FE" w:rsidR="00F93C05" w:rsidRPr="00DE3DE9" w:rsidRDefault="00F93C05" w:rsidP="00F93C05">
      <w:pPr>
        <w:shd w:val="clear" w:color="auto" w:fill="FFFFFF" w:themeFill="background1"/>
        <w:tabs>
          <w:tab w:val="left" w:pos="426"/>
        </w:tabs>
        <w:spacing w:after="120" w:line="276" w:lineRule="auto"/>
        <w:ind w:firstLine="709"/>
        <w:jc w:val="both"/>
        <w:rPr>
          <w:rFonts w:ascii="Arial" w:hAnsi="Arial" w:cs="Arial"/>
          <w:bCs/>
          <w:sz w:val="22"/>
          <w:szCs w:val="22"/>
          <w:lang w:val="es-MX" w:eastAsia="es-CO"/>
        </w:rPr>
      </w:pPr>
      <w:r w:rsidRPr="00DE3DE9">
        <w:rPr>
          <w:rFonts w:ascii="Arial" w:hAnsi="Arial" w:cs="Arial"/>
          <w:bCs/>
          <w:sz w:val="22"/>
          <w:szCs w:val="22"/>
          <w:lang w:eastAsia="es-CO"/>
        </w:rPr>
        <w:t xml:space="preserve">Se observa entonces que </w:t>
      </w:r>
      <w:r w:rsidR="00984890" w:rsidRPr="00DE3DE9">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4 meses anteriores a los comicios de cargos de elección popular; pero no incluye en la prohibición a los Cabildos Indígenas y las Asociaciones de Autoridades Tradicionales Indígenas. De esta manera, solo si una de las partes de la relación contractual es una entidad de aquellas descritas en el parágrafo </w:t>
      </w:r>
      <w:r w:rsidR="00984890" w:rsidRPr="00DE3DE9">
        <w:rPr>
          <w:rFonts w:ascii="Arial" w:hAnsi="Arial" w:cs="Arial"/>
          <w:bCs/>
          <w:i/>
          <w:iCs/>
          <w:sz w:val="22"/>
          <w:szCs w:val="22"/>
          <w:lang w:val="es-MX" w:eastAsia="es-CO"/>
        </w:rPr>
        <w:t>ibidem</w:t>
      </w:r>
      <w:r w:rsidR="00984890" w:rsidRPr="00DE3DE9">
        <w:rPr>
          <w:rFonts w:ascii="Arial" w:hAnsi="Arial" w:cs="Arial"/>
          <w:bCs/>
          <w:sz w:val="22"/>
          <w:szCs w:val="22"/>
          <w:lang w:val="es-MX" w:eastAsia="es-CO"/>
        </w:rPr>
        <w:t xml:space="preserve">, no se podrán celebrar tales convenios o contratos mientras rija la restricción del parágrafo indiciado, toda vez que la citada disposición hace referencia a dicha tipología contractual –contratos o convenios interadministrativos–, sin que el legislador hubiere contemplado excepción alguna frente a la modalidad de selección o naturaleza de su objeto. En este sentido, si bien la prohibición no incluyó a los Cabildos Indígenas y las Asociaciones de Autoridades Tradicionales Indígenas, la prohibición del parágrafo del artículo 38 aplicará </w:t>
      </w:r>
      <w:r w:rsidR="00984890" w:rsidRPr="00DE3DE9">
        <w:rPr>
          <w:rFonts w:ascii="Arial" w:hAnsi="Arial" w:cs="Arial"/>
          <w:bCs/>
          <w:sz w:val="22"/>
          <w:szCs w:val="22"/>
          <w:lang w:val="es-MX" w:eastAsia="es-CO"/>
        </w:rPr>
        <w:lastRenderedPageBreak/>
        <w:t>si la otra entidad que va a celebrar el convenio o contrato interadministrativo con aquellos es una de las incluidas en dicho parágrafo, esto es, los alcaldes, gobernadores, secretarios, gerentes y directores de las entidades del orden municipal, departamental o distrital.</w:t>
      </w:r>
    </w:p>
    <w:p w14:paraId="4C829455" w14:textId="77777777" w:rsidR="00F93C05" w:rsidRPr="00DE3DE9" w:rsidRDefault="00F93C05" w:rsidP="00F93C05">
      <w:pPr>
        <w:shd w:val="clear" w:color="auto" w:fill="FFFFFF" w:themeFill="background1"/>
        <w:tabs>
          <w:tab w:val="left" w:pos="426"/>
        </w:tabs>
        <w:spacing w:after="120" w:line="276" w:lineRule="auto"/>
        <w:ind w:firstLine="709"/>
        <w:jc w:val="both"/>
        <w:rPr>
          <w:rFonts w:ascii="Arial" w:hAnsi="Arial" w:cs="Arial"/>
          <w:bCs/>
          <w:sz w:val="22"/>
          <w:szCs w:val="22"/>
          <w:lang w:val="es-MX" w:eastAsia="es-CO"/>
        </w:rPr>
      </w:pPr>
      <w:r w:rsidRPr="00DE3DE9">
        <w:rPr>
          <w:rFonts w:ascii="Arial" w:hAnsi="Arial" w:cs="Arial"/>
          <w:bCs/>
          <w:sz w:val="22"/>
          <w:szCs w:val="22"/>
          <w:lang w:val="es-MX" w:eastAsia="es-CO"/>
        </w:rPr>
        <w:t xml:space="preserve">Con todo, se reitera </w:t>
      </w:r>
      <w:r w:rsidRPr="00DE3DE9">
        <w:rPr>
          <w:rFonts w:ascii="Arial" w:eastAsia="Arial" w:hAnsi="Arial" w:cs="Arial"/>
          <w:sz w:val="22"/>
          <w:szCs w:val="22"/>
          <w:lang w:val="es-ES" w:eastAsia="es-ES" w:bidi="es-ES"/>
        </w:rPr>
        <w:t>que el artículo 124 de la Ley 2159 de 2021, desde la expedición de dicha ley y durante la vigencia fiscal 2022, con el propósito de promover la reactivación económica y la generación de empleo en las regiones, introdujo una excepción a la prohibición contenida en el inciso 1 del parágrafo del artículo 38 de la Ley 966 de 2005, en virtud del cual, durante la vigencia 2022, la Nación podrá celebrar convenios interadministrativos con las entidades territoriales con el fin de ejecutar programas y proyectos correspondientes al Presupuesto General de la Nación.</w:t>
      </w:r>
    </w:p>
    <w:p w14:paraId="488153D3" w14:textId="77777777" w:rsidR="00F93C05" w:rsidRPr="00DE3DE9" w:rsidRDefault="00F93C05" w:rsidP="003E582E">
      <w:pPr>
        <w:spacing w:line="276" w:lineRule="auto"/>
        <w:ind w:firstLine="708"/>
        <w:jc w:val="both"/>
        <w:rPr>
          <w:rFonts w:ascii="Arial" w:hAnsi="Arial" w:cs="Arial"/>
          <w:sz w:val="22"/>
          <w:szCs w:val="22"/>
          <w:lang w:eastAsia="x-none"/>
        </w:rPr>
      </w:pPr>
      <w:bookmarkStart w:id="17" w:name="_Hlk77154098"/>
      <w:r w:rsidRPr="00DE3DE9">
        <w:rPr>
          <w:rFonts w:ascii="Arial" w:hAnsi="Arial" w:cs="Arial"/>
          <w:bCs/>
          <w:sz w:val="22"/>
          <w:szCs w:val="22"/>
          <w:lang w:val="es-ES" w:eastAsia="es-CO" w:bidi="es-ES"/>
        </w:rPr>
        <w:t>Por último</w:t>
      </w:r>
      <w:r w:rsidRPr="00DE3DE9">
        <w:rPr>
          <w:rFonts w:ascii="Arial" w:eastAsia="Arial" w:hAnsi="Arial" w:cs="Arial"/>
          <w:sz w:val="22"/>
          <w:szCs w:val="22"/>
          <w:lang w:val="es-ES" w:eastAsia="es-ES" w:bidi="es-ES"/>
        </w:rPr>
        <w:t xml:space="preserve">, es importante resaltar que la Sala de Consulta y Servicio Civil del Consejo de Estado se ha pronunciado en el sentido de que </w:t>
      </w:r>
      <w:bookmarkStart w:id="18" w:name="_Hlk78820889"/>
      <w:r w:rsidRPr="00DE3DE9">
        <w:rPr>
          <w:rFonts w:ascii="Arial" w:eastAsia="Arial" w:hAnsi="Arial" w:cs="Arial"/>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8"/>
      <w:r w:rsidRPr="00DE3DE9">
        <w:rPr>
          <w:rFonts w:ascii="Arial" w:eastAsia="Arial" w:hAnsi="Arial" w:cs="Arial"/>
          <w:sz w:val="22"/>
          <w:szCs w:val="22"/>
          <w:vertAlign w:val="superscript"/>
          <w:lang w:val="es-ES" w:eastAsia="es-ES" w:bidi="es-ES"/>
        </w:rPr>
        <w:footnoteReference w:id="34"/>
      </w:r>
      <w:r w:rsidRPr="00DE3DE9">
        <w:rPr>
          <w:rFonts w:ascii="Arial" w:eastAsia="Calibri" w:hAnsi="Arial" w:cs="Arial"/>
          <w:sz w:val="22"/>
          <w:szCs w:val="22"/>
          <w:lang w:eastAsia="es-ES" w:bidi="es-ES"/>
        </w:rPr>
        <w:t>.</w:t>
      </w:r>
      <w:bookmarkEnd w:id="17"/>
    </w:p>
    <w:p w14:paraId="2479A26A" w14:textId="77777777" w:rsidR="00F93C05" w:rsidRPr="00DE3DE9" w:rsidRDefault="00F93C05" w:rsidP="00F93C05">
      <w:pPr>
        <w:spacing w:line="276" w:lineRule="auto"/>
        <w:jc w:val="both"/>
        <w:rPr>
          <w:rFonts w:ascii="Arial" w:hAnsi="Arial" w:cs="Arial"/>
          <w:b/>
          <w:bCs/>
          <w:sz w:val="22"/>
          <w:szCs w:val="22"/>
          <w:lang w:val="es-ES"/>
        </w:rPr>
      </w:pPr>
    </w:p>
    <w:p w14:paraId="69589166" w14:textId="4A8C29F9" w:rsidR="00F93C05" w:rsidRPr="00DE3DE9" w:rsidRDefault="006151F8" w:rsidP="00F93C05">
      <w:pPr>
        <w:spacing w:line="276" w:lineRule="auto"/>
        <w:jc w:val="both"/>
        <w:rPr>
          <w:rFonts w:ascii="Arial" w:hAnsi="Arial" w:cs="Arial"/>
          <w:b/>
          <w:bCs/>
          <w:sz w:val="22"/>
          <w:szCs w:val="22"/>
          <w:lang w:val="es-ES"/>
        </w:rPr>
      </w:pPr>
      <w:r w:rsidRPr="00DE3DE9">
        <w:rPr>
          <w:rFonts w:ascii="Arial" w:hAnsi="Arial" w:cs="Arial"/>
          <w:b/>
          <w:bCs/>
          <w:sz w:val="22"/>
          <w:szCs w:val="22"/>
          <w:lang w:val="es-ES"/>
        </w:rPr>
        <w:t>2.</w:t>
      </w:r>
      <w:r w:rsidR="002B56B1" w:rsidRPr="00DE3DE9">
        <w:rPr>
          <w:rFonts w:ascii="Arial" w:hAnsi="Arial" w:cs="Arial"/>
          <w:b/>
          <w:bCs/>
          <w:sz w:val="22"/>
          <w:szCs w:val="22"/>
          <w:lang w:val="es-ES"/>
        </w:rPr>
        <w:t>4</w:t>
      </w:r>
      <w:r w:rsidR="00F93C05" w:rsidRPr="00DE3DE9">
        <w:rPr>
          <w:rFonts w:ascii="Arial" w:hAnsi="Arial" w:cs="Arial"/>
          <w:b/>
          <w:bCs/>
          <w:sz w:val="22"/>
          <w:szCs w:val="22"/>
          <w:lang w:val="es-ES"/>
        </w:rPr>
        <w:t>. Causal de contratación directa con cabildos Indígenas y las Asociaciones de Autoridades Tradicionales Indígenas</w:t>
      </w:r>
    </w:p>
    <w:p w14:paraId="12912A3F" w14:textId="77777777" w:rsidR="004D7BB0" w:rsidRPr="00DE3DE9" w:rsidRDefault="004D7BB0" w:rsidP="00F93C05">
      <w:pPr>
        <w:spacing w:line="276" w:lineRule="auto"/>
        <w:jc w:val="both"/>
        <w:rPr>
          <w:rFonts w:ascii="Arial" w:hAnsi="Arial" w:cs="Arial"/>
          <w:b/>
          <w:bCs/>
          <w:sz w:val="22"/>
          <w:szCs w:val="22"/>
          <w:lang w:val="es-ES"/>
        </w:rPr>
      </w:pPr>
    </w:p>
    <w:p w14:paraId="57391D7A" w14:textId="7E330840" w:rsidR="009211AF" w:rsidRPr="00DE3DE9" w:rsidRDefault="00F93C05" w:rsidP="003E582E">
      <w:pPr>
        <w:spacing w:after="120" w:line="276" w:lineRule="auto"/>
        <w:jc w:val="both"/>
        <w:rPr>
          <w:rFonts w:ascii="Arial" w:hAnsi="Arial" w:cs="Arial"/>
          <w:sz w:val="22"/>
          <w:szCs w:val="22"/>
          <w:lang w:val="es-ES"/>
        </w:rPr>
      </w:pPr>
      <w:r w:rsidRPr="00DE3DE9">
        <w:rPr>
          <w:rFonts w:ascii="Arial" w:hAnsi="Arial" w:cs="Arial"/>
          <w:sz w:val="22"/>
          <w:szCs w:val="22"/>
          <w:lang w:val="es-ES"/>
        </w:rPr>
        <w:t>El artículo 2 de la Ley 2160 de 2020 introdujo nuevas causales de contratación directa, dentro de las cuales se encuentra, en el literal L), la siguiente:</w:t>
      </w:r>
      <w:r w:rsidRPr="00DE3DE9">
        <w:rPr>
          <w:rFonts w:ascii="Arial" w:hAnsi="Arial" w:cs="Arial"/>
          <w:b/>
          <w:bCs/>
          <w:sz w:val="22"/>
          <w:szCs w:val="22"/>
          <w:lang w:val="es-ES"/>
        </w:rPr>
        <w:t xml:space="preserve"> </w:t>
      </w:r>
      <w:r w:rsidRPr="00DE3DE9">
        <w:rPr>
          <w:rFonts w:ascii="Arial" w:eastAsia="Calibri" w:hAnsi="Arial" w:cs="Arial"/>
          <w:sz w:val="22"/>
          <w:szCs w:val="22"/>
          <w:lang w:val="es-ES"/>
        </w:rPr>
        <w:t>«</w:t>
      </w:r>
      <w:r w:rsidRPr="00DE3DE9">
        <w:rPr>
          <w:rFonts w:ascii="Arial" w:hAnsi="Arial" w:cs="Arial"/>
          <w:sz w:val="22"/>
          <w:szCs w:val="22"/>
          <w:lang w:val="es-ES"/>
        </w:rPr>
        <w:t>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r w:rsidR="009211AF" w:rsidRPr="00DE3DE9">
        <w:rPr>
          <w:rFonts w:ascii="Arial" w:hAnsi="Arial" w:cs="Arial"/>
          <w:sz w:val="22"/>
          <w:szCs w:val="22"/>
          <w:lang w:val="es-ES"/>
        </w:rPr>
        <w:t xml:space="preserve"> </w:t>
      </w:r>
    </w:p>
    <w:p w14:paraId="580C05F4" w14:textId="06D07471" w:rsidR="00F93C05" w:rsidRPr="00DE3DE9" w:rsidRDefault="009211AF" w:rsidP="00033625">
      <w:pPr>
        <w:spacing w:after="120" w:line="276" w:lineRule="auto"/>
        <w:ind w:firstLine="708"/>
        <w:jc w:val="both"/>
        <w:rPr>
          <w:rFonts w:ascii="Arial" w:hAnsi="Arial" w:cs="Arial"/>
          <w:sz w:val="22"/>
        </w:rPr>
      </w:pPr>
      <w:r w:rsidRPr="00DE3DE9">
        <w:rPr>
          <w:rFonts w:ascii="Arial" w:hAnsi="Arial" w:cs="Arial"/>
          <w:sz w:val="22"/>
          <w:szCs w:val="22"/>
          <w:lang w:val="es-ES"/>
        </w:rPr>
        <w:t>Teniendo en cuenta lo anterior, c</w:t>
      </w:r>
      <w:r w:rsidR="00F93C05" w:rsidRPr="00DE3DE9">
        <w:rPr>
          <w:rFonts w:ascii="Arial" w:hAnsi="Arial" w:cs="Arial"/>
          <w:sz w:val="22"/>
          <w:szCs w:val="22"/>
          <w:lang w:val="es-ES"/>
        </w:rPr>
        <w:t xml:space="preserve">omo se enunció atrás, </w:t>
      </w:r>
      <w:r w:rsidR="00F93C05" w:rsidRPr="00DE3DE9">
        <w:rPr>
          <w:rFonts w:ascii="Arial" w:hAnsi="Arial" w:cs="Arial"/>
          <w:sz w:val="22"/>
        </w:rPr>
        <w:t xml:space="preserve">la Ley 1150 de 2007, en el artículo 2, establece 5 modalidades de selección para la escogencia del contratista, y fija las reglas de cada modalidad: licitación pública, selección abreviada, concurso de méritos, mínima cuantía y contratación directa. Ahora bien, las modalidades de selección se pueden dividir en i) competitivas y ii) no competitivas. La Guía de competencia en las compras públicas de la Agencia Nacional de Contratación Pública – Colombia Compra Eficiente señala que: «[…] la competencia, entendida como rivalidad efectiva entre empresas de un </w:t>
      </w:r>
      <w:r w:rsidR="00F93C05" w:rsidRPr="00DE3DE9">
        <w:rPr>
          <w:rFonts w:ascii="Arial" w:hAnsi="Arial" w:cs="Arial"/>
          <w:sz w:val="22"/>
        </w:rPr>
        <w:lastRenderedPageBreak/>
        <w:t xml:space="preserve">mismo mercado, incentiva la reducción de precios, el aumento de la calidad, la lucha contra la corrupción y la innovación por parte del sector privado». </w:t>
      </w:r>
    </w:p>
    <w:p w14:paraId="604D5627" w14:textId="10586FEB" w:rsidR="00F93C05" w:rsidRPr="00DE3DE9" w:rsidRDefault="00F93C05" w:rsidP="00F93C05">
      <w:pPr>
        <w:spacing w:after="120" w:line="276" w:lineRule="auto"/>
        <w:ind w:firstLine="709"/>
        <w:jc w:val="both"/>
        <w:rPr>
          <w:rFonts w:ascii="Arial" w:hAnsi="Arial" w:cs="Arial"/>
          <w:sz w:val="22"/>
        </w:rPr>
      </w:pPr>
      <w:r w:rsidRPr="00DE3DE9">
        <w:rPr>
          <w:rFonts w:ascii="Arial" w:hAnsi="Arial" w:cs="Arial"/>
          <w:sz w:val="22"/>
        </w:rPr>
        <w:t>Por tanto, modalidades como la licitación pública</w:t>
      </w:r>
      <w:r w:rsidR="0086673C" w:rsidRPr="00DE3DE9">
        <w:rPr>
          <w:rFonts w:ascii="Arial" w:hAnsi="Arial" w:cs="Arial"/>
          <w:sz w:val="22"/>
        </w:rPr>
        <w:t xml:space="preserve">, </w:t>
      </w:r>
      <w:r w:rsidRPr="00DE3DE9">
        <w:rPr>
          <w:rFonts w:ascii="Arial" w:hAnsi="Arial" w:cs="Arial"/>
          <w:sz w:val="22"/>
        </w:rPr>
        <w:t>el concurso de méritos</w:t>
      </w:r>
      <w:r w:rsidR="0086673C" w:rsidRPr="00DE3DE9">
        <w:rPr>
          <w:rFonts w:ascii="Arial" w:hAnsi="Arial" w:cs="Arial"/>
          <w:sz w:val="22"/>
        </w:rPr>
        <w:t xml:space="preserve">, </w:t>
      </w:r>
      <w:r w:rsidR="00442947" w:rsidRPr="00DE3DE9">
        <w:rPr>
          <w:rFonts w:ascii="Arial" w:hAnsi="Arial" w:cs="Arial"/>
          <w:sz w:val="22"/>
        </w:rPr>
        <w:t xml:space="preserve">la </w:t>
      </w:r>
      <w:r w:rsidR="0086673C" w:rsidRPr="00DE3DE9">
        <w:rPr>
          <w:rFonts w:ascii="Arial" w:hAnsi="Arial" w:cs="Arial"/>
          <w:sz w:val="22"/>
        </w:rPr>
        <w:t xml:space="preserve">selección abreviada y </w:t>
      </w:r>
      <w:r w:rsidR="00442947" w:rsidRPr="00DE3DE9">
        <w:rPr>
          <w:rFonts w:ascii="Arial" w:hAnsi="Arial" w:cs="Arial"/>
          <w:sz w:val="22"/>
        </w:rPr>
        <w:t xml:space="preserve">la </w:t>
      </w:r>
      <w:r w:rsidR="0086673C" w:rsidRPr="00DE3DE9">
        <w:rPr>
          <w:rFonts w:ascii="Arial" w:hAnsi="Arial" w:cs="Arial"/>
          <w:sz w:val="22"/>
        </w:rPr>
        <w:t>mínima cuantía</w:t>
      </w:r>
      <w:r w:rsidRPr="00DE3DE9">
        <w:rPr>
          <w:rFonts w:ascii="Arial" w:hAnsi="Arial" w:cs="Arial"/>
          <w:sz w:val="22"/>
        </w:rPr>
        <w:t xml:space="preserve"> son modalidades de selección competitivas o abiertas a competencia, ya que en ellas tiene lugar la participación de varios proponentes en una fase pública de presentación de ofertas. Esto permite que todas las personas interesadas concurran al proceso en igualdad de condiciones y compitan en el mismo. </w:t>
      </w:r>
    </w:p>
    <w:p w14:paraId="11EF0152" w14:textId="77777777" w:rsidR="00F93C05" w:rsidRPr="00DE3DE9" w:rsidRDefault="00F93C05" w:rsidP="00F93C05">
      <w:pPr>
        <w:spacing w:after="120" w:line="276" w:lineRule="auto"/>
        <w:ind w:firstLine="709"/>
        <w:jc w:val="both"/>
        <w:rPr>
          <w:rFonts w:ascii="Arial" w:hAnsi="Arial" w:cs="Arial"/>
          <w:sz w:val="22"/>
        </w:rPr>
      </w:pPr>
      <w:r w:rsidRPr="00DE3DE9">
        <w:rPr>
          <w:rFonts w:ascii="Arial" w:hAnsi="Arial" w:cs="Arial"/>
          <w:sz w:val="22"/>
        </w:rPr>
        <w:t>Lo contrario es la modalidad de selección de contratación directa, que no es competitiva, es decir, que no es abierta a los proponentes para que presenten sus ofertas. En esta, es la entidad la que determina, de forma directa y no pública, la persona que puede participar y que será seleccionada.</w:t>
      </w:r>
    </w:p>
    <w:p w14:paraId="19125087" w14:textId="77777777" w:rsidR="00F93C05" w:rsidRPr="00DE3DE9" w:rsidRDefault="00F93C05" w:rsidP="00F93C05">
      <w:pPr>
        <w:spacing w:after="120" w:line="276" w:lineRule="auto"/>
        <w:ind w:firstLine="708"/>
        <w:jc w:val="both"/>
        <w:rPr>
          <w:rFonts w:ascii="Arial" w:hAnsi="Arial" w:cs="Arial"/>
          <w:sz w:val="22"/>
        </w:rPr>
      </w:pPr>
      <w:r w:rsidRPr="00DE3DE9">
        <w:rPr>
          <w:rFonts w:ascii="Arial" w:hAnsi="Arial" w:cs="Arial"/>
          <w:sz w:val="22"/>
        </w:rPr>
        <w:t xml:space="preserve">La contratación directa es de aplicación restrictiva, esto es, solo procede por las causales señaladas por el legislador, concretamente, en el numeral 4 del artículo 2 de la Ley 1150 de 2007. Además, es una excepción al principio de libre concurrencia y libre competencia, que se aplica en los procesos de contratación, para que cualquier persona interesada en satisfacer la necesidad de una entidad pueda presentar una oferta. </w:t>
      </w:r>
    </w:p>
    <w:p w14:paraId="6EA8052F" w14:textId="77777777" w:rsidR="00F93C05" w:rsidRPr="00DE3DE9" w:rsidRDefault="00F93C05" w:rsidP="00F93C05">
      <w:pPr>
        <w:spacing w:before="120" w:after="120" w:line="276" w:lineRule="auto"/>
        <w:ind w:firstLine="708"/>
        <w:jc w:val="both"/>
        <w:rPr>
          <w:rFonts w:ascii="Arial" w:hAnsi="Arial" w:cs="Arial"/>
          <w:sz w:val="22"/>
        </w:rPr>
      </w:pPr>
      <w:r w:rsidRPr="00DE3DE9">
        <w:rPr>
          <w:rFonts w:ascii="Arial" w:hAnsi="Arial" w:cs="Arial"/>
          <w:sz w:val="22"/>
        </w:rPr>
        <w:t>De este modo, en la contratación directa no es necesario que la entidad reciba más de una oferta, la cual proviene de la persona que la entidad escoge directamente y, por ende, invita a celebrar el negocio jurídico que la entidad requiere. Lo anterior puede estar basado en que el proponente es único, o en que el legislador privilegió algunos objetos contractuales u oferentes para contratarlos de manera directa.</w:t>
      </w:r>
    </w:p>
    <w:p w14:paraId="3EDBDA7B" w14:textId="26BE7507" w:rsidR="00F93C05" w:rsidRPr="00DE3DE9" w:rsidRDefault="00F93C05" w:rsidP="00F93C05">
      <w:pPr>
        <w:spacing w:before="120" w:after="120" w:line="276" w:lineRule="auto"/>
        <w:ind w:firstLine="708"/>
        <w:jc w:val="both"/>
        <w:rPr>
          <w:rFonts w:ascii="Arial" w:hAnsi="Arial" w:cs="Arial"/>
          <w:sz w:val="22"/>
          <w:szCs w:val="22"/>
          <w:lang w:val="es-ES"/>
        </w:rPr>
      </w:pPr>
      <w:r w:rsidRPr="00DE3DE9">
        <w:rPr>
          <w:rFonts w:ascii="Arial" w:hAnsi="Arial" w:cs="Arial"/>
          <w:sz w:val="22"/>
          <w:szCs w:val="22"/>
          <w:lang w:val="es-ES"/>
        </w:rPr>
        <w:t>En este contexto, como ocurre con las demás causales de contratación directa,</w:t>
      </w:r>
      <w:r w:rsidR="0086673C" w:rsidRPr="00DE3DE9">
        <w:rPr>
          <w:rFonts w:ascii="Arial" w:hAnsi="Arial" w:cs="Arial"/>
          <w:sz w:val="22"/>
          <w:szCs w:val="22"/>
          <w:lang w:val="es-ES"/>
        </w:rPr>
        <w:t xml:space="preserve"> </w:t>
      </w:r>
      <w:r w:rsidR="002B56B1" w:rsidRPr="00DE3DE9">
        <w:rPr>
          <w:rFonts w:ascii="Arial" w:hAnsi="Arial" w:cs="Arial"/>
          <w:sz w:val="22"/>
          <w:szCs w:val="22"/>
          <w:lang w:val="es-ES"/>
        </w:rPr>
        <w:t xml:space="preserve">establecidas </w:t>
      </w:r>
      <w:r w:rsidR="0086673C" w:rsidRPr="00DE3DE9">
        <w:rPr>
          <w:rFonts w:ascii="Arial" w:hAnsi="Arial" w:cs="Arial"/>
          <w:sz w:val="22"/>
          <w:szCs w:val="22"/>
          <w:lang w:val="es-ES"/>
        </w:rPr>
        <w:t>en el numeral 4 del artículo 2 de la Ley 1150 de 2007</w:t>
      </w:r>
      <w:r w:rsidRPr="00DE3DE9">
        <w:rPr>
          <w:rFonts w:ascii="Arial" w:hAnsi="Arial" w:cs="Arial"/>
          <w:sz w:val="22"/>
          <w:szCs w:val="22"/>
          <w:lang w:val="es-ES"/>
        </w:rPr>
        <w:t xml:space="preserve"> y salvo que se configure alguna de las excepciones contenidas en el segundo inciso del artículo 33 de la Ley 996 de 2005, los contratos o convenios que las entidades estatales suscriban de forma directa con los </w:t>
      </w:r>
      <w:r w:rsidR="002B56B1" w:rsidRPr="00DE3DE9">
        <w:rPr>
          <w:rFonts w:ascii="Arial" w:hAnsi="Arial" w:cs="Arial"/>
          <w:sz w:val="22"/>
          <w:szCs w:val="22"/>
          <w:lang w:val="es-ES"/>
        </w:rPr>
        <w:t>C</w:t>
      </w:r>
      <w:r w:rsidRPr="00DE3DE9">
        <w:rPr>
          <w:rFonts w:ascii="Arial" w:hAnsi="Arial" w:cs="Arial"/>
          <w:sz w:val="22"/>
          <w:szCs w:val="22"/>
          <w:lang w:val="es-ES"/>
        </w:rPr>
        <w:t xml:space="preserve">abildos Indígenas y las Asociaciones de Autoridades Tradicionales Indígenas, cuyo objeto esté relacionado con el fortalecimiento del Gobierno Propio, la identidad cultural, el ejercicio de la autonomía, y/o la garantía de los Derechos de los Pueblos Indígenas, quedan incluidos en la prohibición de contratación directa, contenida en el artículo 33 de la Ley 996 de 2005. Lo anterior, además de lo expresado en el numeral </w:t>
      </w:r>
      <w:r w:rsidR="002B56B1" w:rsidRPr="00DE3DE9">
        <w:rPr>
          <w:rFonts w:ascii="Arial" w:hAnsi="Arial" w:cs="Arial"/>
          <w:sz w:val="22"/>
          <w:szCs w:val="22"/>
          <w:lang w:val="es-ES"/>
        </w:rPr>
        <w:t xml:space="preserve">2.3 </w:t>
      </w:r>
      <w:r w:rsidRPr="00DE3DE9">
        <w:rPr>
          <w:rFonts w:ascii="Arial" w:hAnsi="Arial" w:cs="Arial"/>
          <w:sz w:val="22"/>
          <w:szCs w:val="22"/>
          <w:lang w:val="es-ES"/>
        </w:rPr>
        <w:t>de este concepto respecto a la aplicación del parágrafo del artículo 38 de la Ley de Garantías.</w:t>
      </w:r>
    </w:p>
    <w:p w14:paraId="3BA31B2F" w14:textId="77777777" w:rsidR="00892B5A" w:rsidRPr="00DE3DE9" w:rsidRDefault="00892B5A" w:rsidP="00033625">
      <w:pPr>
        <w:spacing w:before="120" w:after="120" w:line="276" w:lineRule="auto"/>
        <w:ind w:firstLine="708"/>
        <w:jc w:val="both"/>
        <w:rPr>
          <w:rFonts w:ascii="Arial" w:hAnsi="Arial" w:cs="Arial"/>
          <w:sz w:val="22"/>
          <w:szCs w:val="22"/>
          <w:lang w:val="es-ES"/>
        </w:rPr>
      </w:pPr>
      <w:r w:rsidRPr="00DE3DE9">
        <w:rPr>
          <w:rFonts w:ascii="Arial" w:hAnsi="Arial" w:cs="Arial"/>
          <w:sz w:val="22"/>
          <w:szCs w:val="22"/>
          <w:lang w:val="es-ES"/>
        </w:rPr>
        <w:t xml:space="preserve">Lo anterior, toda vez que </w:t>
      </w:r>
      <w:r w:rsidRPr="00DE3DE9">
        <w:rPr>
          <w:rFonts w:ascii="Arial" w:hAnsi="Arial" w:cs="Arial"/>
          <w:bCs/>
          <w:sz w:val="22"/>
          <w:szCs w:val="22"/>
          <w:lang w:val="es-MX" w:eastAsia="x-none"/>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y, además, el ámbito material de dicha prohibición está delimitado por la expresión </w:t>
      </w:r>
      <w:r w:rsidRPr="00DE3DE9">
        <w:rPr>
          <w:rFonts w:ascii="Arial" w:eastAsia="Calibri" w:hAnsi="Arial" w:cs="Arial"/>
          <w:bCs/>
          <w:sz w:val="20"/>
          <w:szCs w:val="20"/>
          <w:lang w:val="es-MX"/>
        </w:rPr>
        <w:t>«</w:t>
      </w:r>
      <w:r w:rsidRPr="00DE3DE9">
        <w:rPr>
          <w:rFonts w:ascii="Arial" w:hAnsi="Arial" w:cs="Arial"/>
          <w:bCs/>
          <w:sz w:val="22"/>
          <w:szCs w:val="22"/>
          <w:lang w:val="es-MX" w:eastAsia="x-none"/>
        </w:rPr>
        <w:t>queda prohibida la contratación directa</w:t>
      </w:r>
      <w:r w:rsidRPr="00DE3DE9">
        <w:rPr>
          <w:rFonts w:ascii="Arial" w:hAnsi="Arial" w:cs="Arial"/>
          <w:sz w:val="20"/>
          <w:szCs w:val="20"/>
          <w:lang w:val="es-MX"/>
        </w:rPr>
        <w:t>»</w:t>
      </w:r>
      <w:r w:rsidRPr="00DE3DE9">
        <w:rPr>
          <w:rFonts w:ascii="Arial" w:hAnsi="Arial" w:cs="Arial"/>
          <w:bCs/>
          <w:sz w:val="22"/>
          <w:szCs w:val="22"/>
          <w:lang w:val="es-MX" w:eastAsia="x-none"/>
        </w:rPr>
        <w:t xml:space="preserve">. Por tanto, dado que los contratos y convenios estudiados no están incluidos dentro de las excepciones que contempla el </w:t>
      </w:r>
      <w:r w:rsidRPr="00DE3DE9">
        <w:rPr>
          <w:rFonts w:ascii="Arial" w:hAnsi="Arial" w:cs="Arial"/>
          <w:bCs/>
          <w:sz w:val="22"/>
          <w:szCs w:val="22"/>
          <w:lang w:val="es-MX" w:eastAsia="x-none"/>
        </w:rPr>
        <w:lastRenderedPageBreak/>
        <w:t xml:space="preserve">segundo inciso del mismo artículo 33, resulta forzoso concluir que la prohibición les aplica. Así las cosas, </w:t>
      </w:r>
      <w:r w:rsidRPr="00DE3DE9">
        <w:rPr>
          <w:rFonts w:ascii="Arial" w:hAnsi="Arial" w:cs="Arial"/>
          <w:sz w:val="22"/>
          <w:szCs w:val="22"/>
          <w:lang w:val="es-ES"/>
        </w:rPr>
        <w:t>durante los cuatro (4) meses anteriores a la elección presidencial, es decir, desde el 29 de enero de 2022, de conformidad con la Resolución No. 4371 del 18 de mayo de 2021 de la Registraduría General del Estado Civil, y hasta la realización de la elección en la segunda vuelta, si fuere el caso, queda prohibida la contratación directa con base en la causal contenida en el literal L) del numeral 4 del artículo 2 de la Ley 1150 de 2007.</w:t>
      </w:r>
    </w:p>
    <w:p w14:paraId="4912C03D" w14:textId="739C4B0E" w:rsidR="00892B5A" w:rsidRPr="00DE3DE9" w:rsidRDefault="00892B5A" w:rsidP="00033625">
      <w:pPr>
        <w:spacing w:before="120" w:after="120" w:line="276" w:lineRule="auto"/>
        <w:jc w:val="both"/>
        <w:rPr>
          <w:rFonts w:ascii="Arial" w:hAnsi="Arial" w:cs="Arial"/>
          <w:bCs/>
          <w:sz w:val="22"/>
          <w:szCs w:val="22"/>
          <w:lang w:val="es-MX" w:eastAsia="x-none"/>
        </w:rPr>
      </w:pPr>
      <w:r w:rsidRPr="00DE3DE9">
        <w:rPr>
          <w:rFonts w:ascii="Arial" w:hAnsi="Arial" w:cs="Arial"/>
          <w:sz w:val="22"/>
          <w:szCs w:val="22"/>
          <w:lang w:val="es-ES"/>
        </w:rPr>
        <w:tab/>
        <w:t xml:space="preserve">Por su parte, </w:t>
      </w:r>
      <w:r w:rsidR="005A3065" w:rsidRPr="00DE3DE9">
        <w:rPr>
          <w:rFonts w:ascii="Arial" w:hAnsi="Arial" w:cs="Arial"/>
          <w:sz w:val="22"/>
          <w:szCs w:val="22"/>
          <w:lang w:val="es-ES"/>
        </w:rPr>
        <w:t xml:space="preserve">como se señaló anteriormente, </w:t>
      </w:r>
      <w:r w:rsidR="00984890" w:rsidRPr="00DE3DE9">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4 meses anteriores a los comicios de cargos de elección popular; pero no incluye en la prohibición a los Cabildos Indígenas y las Asociaciones de Autoridades Tradicionales Indígenas. De esta manera, solo si una de las partes de la relación contractual es una entidad de aquellas descritas en el parágrafo </w:t>
      </w:r>
      <w:r w:rsidR="00984890" w:rsidRPr="00DE3DE9">
        <w:rPr>
          <w:rFonts w:ascii="Arial" w:hAnsi="Arial" w:cs="Arial"/>
          <w:bCs/>
          <w:i/>
          <w:iCs/>
          <w:sz w:val="22"/>
          <w:szCs w:val="22"/>
          <w:lang w:val="es-MX" w:eastAsia="es-CO"/>
        </w:rPr>
        <w:t>ibidem</w:t>
      </w:r>
      <w:r w:rsidR="00984890" w:rsidRPr="00DE3DE9">
        <w:rPr>
          <w:rFonts w:ascii="Arial" w:hAnsi="Arial" w:cs="Arial"/>
          <w:bCs/>
          <w:sz w:val="22"/>
          <w:szCs w:val="22"/>
          <w:lang w:val="es-MX" w:eastAsia="es-CO"/>
        </w:rPr>
        <w:t>, no se podrán celebrar tales convenios o contratos mientras rija la restricción del parágrafo indicado, toda vez que la citada disposición hace referencia a dicha tipología contractual –contratos o convenios interadministrativos–, sin que el legislador hubiere contemplado excepción alguna frente a la modalidad de selección o naturaleza de su objeto. En este sentido, si bien la prohibición no incluyó a los Cabildos Indígenas y las Asociaciones de Autoridades Tradicionales Indígenas, la prohibición del parágrafo del artículo 38 aplicará si la otra entidad que va a celebrar el convenio o contrato interadministrativo con aquellos es una de las incluidas en dicho parágrafo, esto es, los alcaldes, gobernadores, secretarios, gerentes y directores de las entidades del orden municipal, departamental o distrital.</w:t>
      </w:r>
    </w:p>
    <w:p w14:paraId="7F0A51E3" w14:textId="77777777" w:rsidR="003037F6" w:rsidRPr="00DE3DE9" w:rsidRDefault="003037F6" w:rsidP="003E582E">
      <w:pPr>
        <w:spacing w:line="276" w:lineRule="auto"/>
        <w:ind w:firstLine="709"/>
        <w:jc w:val="both"/>
        <w:rPr>
          <w:rFonts w:ascii="Arial" w:eastAsia="Arial" w:hAnsi="Arial" w:cs="Arial"/>
          <w:sz w:val="22"/>
          <w:szCs w:val="22"/>
          <w:lang w:val="es-ES" w:eastAsia="es-ES" w:bidi="es-ES"/>
        </w:rPr>
      </w:pPr>
    </w:p>
    <w:p w14:paraId="1C1BEAFF" w14:textId="77777777" w:rsidR="003C7067" w:rsidRPr="00DE3DE9" w:rsidRDefault="003C7067" w:rsidP="003C7067">
      <w:pPr>
        <w:tabs>
          <w:tab w:val="left" w:pos="709"/>
        </w:tabs>
        <w:spacing w:line="276" w:lineRule="auto"/>
        <w:jc w:val="both"/>
        <w:rPr>
          <w:rFonts w:ascii="Arial" w:eastAsia="Calibri" w:hAnsi="Arial" w:cs="Arial"/>
          <w:b/>
          <w:sz w:val="22"/>
          <w:szCs w:val="22"/>
          <w:lang w:val="es-ES"/>
        </w:rPr>
      </w:pPr>
      <w:r w:rsidRPr="00DE3DE9">
        <w:rPr>
          <w:rFonts w:ascii="Arial" w:eastAsia="Calibri" w:hAnsi="Arial" w:cs="Arial"/>
          <w:b/>
          <w:sz w:val="22"/>
          <w:szCs w:val="22"/>
          <w:lang w:val="es-ES"/>
        </w:rPr>
        <w:t>3. Respuesta</w:t>
      </w:r>
    </w:p>
    <w:p w14:paraId="7612FEFE" w14:textId="77777777" w:rsidR="003C7067" w:rsidRPr="00DE3DE9" w:rsidRDefault="003C7067" w:rsidP="003C7067">
      <w:pPr>
        <w:tabs>
          <w:tab w:val="left" w:pos="709"/>
        </w:tabs>
        <w:spacing w:line="276" w:lineRule="auto"/>
        <w:ind w:left="709" w:right="709"/>
        <w:jc w:val="both"/>
        <w:rPr>
          <w:rFonts w:ascii="Arial" w:eastAsia="Calibri" w:hAnsi="Arial" w:cs="Arial"/>
          <w:b/>
          <w:sz w:val="22"/>
          <w:szCs w:val="22"/>
          <w:lang w:val="es-ES"/>
        </w:rPr>
      </w:pPr>
    </w:p>
    <w:p w14:paraId="28E5FCE8" w14:textId="77777777" w:rsidR="002B56B1" w:rsidRPr="00DE3DE9" w:rsidRDefault="002B56B1" w:rsidP="00033625">
      <w:pPr>
        <w:tabs>
          <w:tab w:val="left" w:pos="709"/>
        </w:tabs>
        <w:spacing w:after="120"/>
        <w:ind w:left="709" w:right="709"/>
        <w:jc w:val="both"/>
        <w:rPr>
          <w:rFonts w:ascii="Arial" w:eastAsia="Calibri" w:hAnsi="Arial" w:cs="Arial"/>
          <w:sz w:val="21"/>
          <w:szCs w:val="21"/>
          <w:lang w:val="es-ES"/>
        </w:rPr>
      </w:pPr>
      <w:r w:rsidRPr="00DE3DE9">
        <w:rPr>
          <w:rFonts w:ascii="Arial" w:eastAsia="Calibri" w:hAnsi="Arial" w:cs="Arial"/>
          <w:sz w:val="21"/>
          <w:szCs w:val="21"/>
          <w:lang w:val="es-ES"/>
        </w:rPr>
        <w:t xml:space="preserve">«[…]Teniendo en cuenta que la Ley 2160 de 2021 faculta para celebrar mediante contratación directa "Los contratos o convenios que las entidades estatales suscriban con los cabildos Indígenas y las Asociaciones de Autoridades Tradicionales Indígenas, cuyo objeto esté relacionado con el fortalecimiento del Gobierno Propio, la identidad cultural, el ejercicio de la autonomía, y/o la garantía de los Derechos de los Pueblos Indígenas. </w:t>
      </w:r>
    </w:p>
    <w:p w14:paraId="4FC79224" w14:textId="4E9B808B" w:rsidR="003C7067" w:rsidRPr="00DE3DE9" w:rsidRDefault="002B56B1" w:rsidP="002B56B1">
      <w:pPr>
        <w:ind w:left="709" w:right="709"/>
        <w:jc w:val="both"/>
        <w:rPr>
          <w:rFonts w:ascii="Arial" w:hAnsi="Arial" w:cs="Arial"/>
          <w:sz w:val="21"/>
          <w:szCs w:val="21"/>
          <w:lang w:val="es-ES"/>
        </w:rPr>
      </w:pPr>
      <w:r w:rsidRPr="00DE3DE9">
        <w:rPr>
          <w:rFonts w:ascii="Arial" w:eastAsia="Calibri" w:hAnsi="Arial" w:cs="Arial"/>
          <w:sz w:val="21"/>
          <w:szCs w:val="21"/>
          <w:lang w:val="es-ES"/>
        </w:rPr>
        <w:t>Mi interrogante es el siguiente: ¿En el marco de la Ley 996 denominada ley de garantías los contratos o convenios con cabildos indígenas y asociaciones de autoridades indígenas se pueden celebrar o se aplican las restricciones de la ley enunciada?»</w:t>
      </w:r>
    </w:p>
    <w:p w14:paraId="6CC17091" w14:textId="7CFABCD0" w:rsidR="00F93C05" w:rsidRPr="00DE3DE9" w:rsidRDefault="00F93C05" w:rsidP="00F93C05">
      <w:pPr>
        <w:spacing w:before="120" w:after="120" w:line="276" w:lineRule="auto"/>
        <w:jc w:val="both"/>
        <w:rPr>
          <w:rFonts w:ascii="Arial" w:hAnsi="Arial" w:cs="Arial"/>
          <w:sz w:val="22"/>
          <w:szCs w:val="22"/>
          <w:lang w:val="es-ES"/>
        </w:rPr>
      </w:pPr>
      <w:r w:rsidRPr="00DE3DE9">
        <w:rPr>
          <w:rFonts w:ascii="Arial" w:hAnsi="Arial" w:cs="Arial"/>
          <w:sz w:val="22"/>
          <w:szCs w:val="22"/>
          <w:lang w:val="es-ES"/>
        </w:rPr>
        <w:t xml:space="preserve">Con base en lo expuesto, es posible concluir que a los contratos o convenios que las entidades estatales suscriban de forma directa con los cabildos Indígenas y las Asociaciones de Autoridades Tradicionales Indígenas, cuyo objeto esté relacionado con el fortalecimiento del Gobierno Propio, la identidad cultural, el ejercicio de la autonomía, y/o la </w:t>
      </w:r>
      <w:r w:rsidRPr="00DE3DE9">
        <w:rPr>
          <w:rFonts w:ascii="Arial" w:hAnsi="Arial" w:cs="Arial"/>
          <w:sz w:val="22"/>
          <w:szCs w:val="22"/>
          <w:lang w:val="es-ES"/>
        </w:rPr>
        <w:lastRenderedPageBreak/>
        <w:t>garantía de los Derechos de los Pueblos Indígenas, le es aplicable la prohibición contenida en el artículo 33 de la Ley 996 de 2005 para la</w:t>
      </w:r>
      <w:r w:rsidR="002B56B1" w:rsidRPr="00DE3DE9">
        <w:rPr>
          <w:rFonts w:ascii="Arial" w:hAnsi="Arial" w:cs="Arial"/>
          <w:sz w:val="22"/>
          <w:szCs w:val="22"/>
          <w:lang w:val="es-ES"/>
        </w:rPr>
        <w:t>s</w:t>
      </w:r>
      <w:r w:rsidRPr="00DE3DE9">
        <w:rPr>
          <w:rFonts w:ascii="Arial" w:hAnsi="Arial" w:cs="Arial"/>
          <w:sz w:val="22"/>
          <w:szCs w:val="22"/>
          <w:lang w:val="es-ES"/>
        </w:rPr>
        <w:t xml:space="preserve"> elecci</w:t>
      </w:r>
      <w:r w:rsidR="002B56B1" w:rsidRPr="00DE3DE9">
        <w:rPr>
          <w:rFonts w:ascii="Arial" w:hAnsi="Arial" w:cs="Arial"/>
          <w:sz w:val="22"/>
          <w:szCs w:val="22"/>
          <w:lang w:val="es-ES"/>
        </w:rPr>
        <w:t>o</w:t>
      </w:r>
      <w:r w:rsidRPr="00DE3DE9">
        <w:rPr>
          <w:rFonts w:ascii="Arial" w:hAnsi="Arial" w:cs="Arial"/>
          <w:sz w:val="22"/>
          <w:szCs w:val="22"/>
          <w:lang w:val="es-ES"/>
        </w:rPr>
        <w:t>n</w:t>
      </w:r>
      <w:r w:rsidR="002B56B1" w:rsidRPr="00DE3DE9">
        <w:rPr>
          <w:rFonts w:ascii="Arial" w:hAnsi="Arial" w:cs="Arial"/>
          <w:sz w:val="22"/>
          <w:szCs w:val="22"/>
          <w:lang w:val="es-ES"/>
        </w:rPr>
        <w:t>es</w:t>
      </w:r>
      <w:r w:rsidRPr="00DE3DE9">
        <w:rPr>
          <w:rFonts w:ascii="Arial" w:hAnsi="Arial" w:cs="Arial"/>
          <w:sz w:val="22"/>
          <w:szCs w:val="22"/>
          <w:lang w:val="es-ES"/>
        </w:rPr>
        <w:t xml:space="preserve"> presidencial</w:t>
      </w:r>
      <w:r w:rsidR="002B56B1" w:rsidRPr="00DE3DE9">
        <w:rPr>
          <w:rFonts w:ascii="Arial" w:hAnsi="Arial" w:cs="Arial"/>
          <w:sz w:val="22"/>
          <w:szCs w:val="22"/>
          <w:lang w:val="es-ES"/>
        </w:rPr>
        <w:t>es</w:t>
      </w:r>
      <w:r w:rsidRPr="00DE3DE9">
        <w:rPr>
          <w:rFonts w:ascii="Arial" w:hAnsi="Arial" w:cs="Arial"/>
          <w:sz w:val="22"/>
          <w:szCs w:val="22"/>
          <w:lang w:val="es-ES"/>
        </w:rPr>
        <w:t xml:space="preserve">. Pero la prohibición contenida en el parágrafo del artículo 38 de la Ley 996 de 2005, para </w:t>
      </w:r>
      <w:r w:rsidRPr="00DE3DE9">
        <w:rPr>
          <w:rFonts w:ascii="Arial" w:eastAsia="Arial" w:hAnsi="Arial" w:cs="Arial"/>
          <w:sz w:val="22"/>
          <w:szCs w:val="22"/>
          <w:lang w:val="es-ES" w:eastAsia="es-ES" w:bidi="es-ES"/>
        </w:rPr>
        <w:t xml:space="preserve">la elección de los demás cargos de elección popular, solo será aplicable cuando la otra parte contractual sea una de las enunciadas en el mismo </w:t>
      </w:r>
      <w:r w:rsidR="005A3065" w:rsidRPr="00DE3DE9">
        <w:rPr>
          <w:rFonts w:ascii="Arial" w:eastAsia="Arial" w:hAnsi="Arial" w:cs="Arial"/>
          <w:sz w:val="22"/>
          <w:szCs w:val="22"/>
          <w:lang w:val="es-ES" w:eastAsia="es-ES" w:bidi="es-ES"/>
        </w:rPr>
        <w:t xml:space="preserve">parágrafo del </w:t>
      </w:r>
      <w:r w:rsidRPr="00DE3DE9">
        <w:rPr>
          <w:rFonts w:ascii="Arial" w:eastAsia="Arial" w:hAnsi="Arial" w:cs="Arial"/>
          <w:sz w:val="22"/>
          <w:szCs w:val="22"/>
          <w:lang w:val="es-ES" w:eastAsia="es-ES" w:bidi="es-ES"/>
        </w:rPr>
        <w:t>artículo 38</w:t>
      </w:r>
      <w:r w:rsidR="002B56B1" w:rsidRPr="00DE3DE9">
        <w:rPr>
          <w:rFonts w:ascii="Arial" w:eastAsia="Arial" w:hAnsi="Arial" w:cs="Arial"/>
          <w:sz w:val="22"/>
          <w:szCs w:val="22"/>
          <w:lang w:val="es-ES" w:eastAsia="es-ES" w:bidi="es-ES"/>
        </w:rPr>
        <w:t>, como se explicó en el numeral 2.3 de este concepto.</w:t>
      </w:r>
    </w:p>
    <w:p w14:paraId="54084C62" w14:textId="31192216" w:rsidR="00F93C05" w:rsidRPr="00DE3DE9" w:rsidRDefault="00F93C05" w:rsidP="00F93C05">
      <w:pPr>
        <w:spacing w:before="120" w:after="120" w:line="276" w:lineRule="auto"/>
        <w:jc w:val="both"/>
        <w:rPr>
          <w:rFonts w:ascii="Arial" w:hAnsi="Arial" w:cs="Arial"/>
          <w:sz w:val="22"/>
          <w:szCs w:val="22"/>
          <w:lang w:val="es-ES"/>
        </w:rPr>
      </w:pPr>
      <w:r w:rsidRPr="00DE3DE9">
        <w:rPr>
          <w:rFonts w:ascii="Arial" w:hAnsi="Arial" w:cs="Arial"/>
          <w:sz w:val="22"/>
          <w:szCs w:val="22"/>
          <w:lang w:val="es-ES"/>
        </w:rPr>
        <w:tab/>
        <w:t xml:space="preserve">Lo anterior, toda vez que </w:t>
      </w:r>
      <w:r w:rsidRPr="00DE3DE9">
        <w:rPr>
          <w:rFonts w:ascii="Arial" w:hAnsi="Arial" w:cs="Arial"/>
          <w:bCs/>
          <w:sz w:val="22"/>
          <w:szCs w:val="22"/>
          <w:lang w:val="es-MX" w:eastAsia="x-none"/>
        </w:rPr>
        <w:t xml:space="preserve">el artículo 33 de la Ley 996 de 2005 señala expresamente a los destinatarios de la prohibición, en el sentido de que son «todos los entes del Estado», expresión que contempla a los diferentes organismos o entidades autorizadas por la ley para suscribir contratos y, además, el ámbito material de dicha prohibición está delimitado por la expresión </w:t>
      </w:r>
      <w:r w:rsidRPr="00DE3DE9">
        <w:rPr>
          <w:rFonts w:ascii="Arial" w:eastAsia="Calibri" w:hAnsi="Arial" w:cs="Arial"/>
          <w:bCs/>
          <w:sz w:val="20"/>
          <w:szCs w:val="20"/>
          <w:lang w:val="es-MX"/>
        </w:rPr>
        <w:t>«</w:t>
      </w:r>
      <w:r w:rsidRPr="00DE3DE9">
        <w:rPr>
          <w:rFonts w:ascii="Arial" w:hAnsi="Arial" w:cs="Arial"/>
          <w:bCs/>
          <w:sz w:val="22"/>
          <w:szCs w:val="22"/>
          <w:lang w:val="es-MX" w:eastAsia="x-none"/>
        </w:rPr>
        <w:t>queda prohibida la contratación directa</w:t>
      </w:r>
      <w:r w:rsidRPr="00DE3DE9">
        <w:rPr>
          <w:rFonts w:ascii="Arial" w:hAnsi="Arial" w:cs="Arial"/>
          <w:sz w:val="20"/>
          <w:szCs w:val="20"/>
          <w:lang w:val="es-MX"/>
        </w:rPr>
        <w:t>»</w:t>
      </w:r>
      <w:r w:rsidRPr="00DE3DE9">
        <w:rPr>
          <w:rFonts w:ascii="Arial" w:hAnsi="Arial" w:cs="Arial"/>
          <w:bCs/>
          <w:sz w:val="22"/>
          <w:szCs w:val="22"/>
          <w:lang w:val="es-MX" w:eastAsia="x-none"/>
        </w:rPr>
        <w:t xml:space="preserve">. Por tanto, dado que los contratos y convenios estudiados no están incluidos dentro de las excepciones que contempla el segundo inciso del mismo artículo 33, resulta forzoso concluir que la prohibición les aplica. Así las cosas, </w:t>
      </w:r>
      <w:r w:rsidRPr="00DE3DE9">
        <w:rPr>
          <w:rFonts w:ascii="Arial" w:hAnsi="Arial" w:cs="Arial"/>
          <w:sz w:val="22"/>
          <w:szCs w:val="22"/>
          <w:lang w:val="es-ES"/>
        </w:rPr>
        <w:t>durante los cuatro (4) meses anteriores a la elección presidencial, es decir, desde el 29 de enero de 2022</w:t>
      </w:r>
      <w:r w:rsidR="002B56B1" w:rsidRPr="00DE3DE9">
        <w:rPr>
          <w:rFonts w:ascii="Arial" w:hAnsi="Arial" w:cs="Arial"/>
          <w:sz w:val="22"/>
          <w:szCs w:val="22"/>
          <w:lang w:val="es-ES"/>
        </w:rPr>
        <w:t>,</w:t>
      </w:r>
      <w:r w:rsidRPr="00DE3DE9">
        <w:rPr>
          <w:rFonts w:ascii="Arial" w:hAnsi="Arial" w:cs="Arial"/>
          <w:sz w:val="22"/>
          <w:szCs w:val="22"/>
          <w:lang w:val="es-ES"/>
        </w:rPr>
        <w:t xml:space="preserve"> de conformidad con la Resolución No. 4371 del 18 de mayo de 2021 de la Registraduría General del Estado Civil, y hasta la realización de la elección en la segunda vuelta, si fuere el caso, queda prohibida la contratación directa con base en la causal contenida en el literal L) del numeral 4 del artículo 2 de la Ley 1150 de 2007.</w:t>
      </w:r>
    </w:p>
    <w:p w14:paraId="58453B08" w14:textId="5F05E2D1" w:rsidR="00F93C05" w:rsidRPr="00DE3DE9" w:rsidRDefault="00F93C05" w:rsidP="00033625">
      <w:pPr>
        <w:spacing w:before="120" w:after="120" w:line="276" w:lineRule="auto"/>
        <w:jc w:val="both"/>
        <w:rPr>
          <w:rFonts w:ascii="Arial" w:hAnsi="Arial" w:cs="Arial"/>
          <w:bCs/>
          <w:sz w:val="22"/>
          <w:szCs w:val="22"/>
          <w:lang w:val="es-MX" w:eastAsia="x-none"/>
        </w:rPr>
      </w:pPr>
      <w:r w:rsidRPr="00DE3DE9">
        <w:rPr>
          <w:rFonts w:ascii="Arial" w:hAnsi="Arial" w:cs="Arial"/>
          <w:sz w:val="22"/>
          <w:szCs w:val="22"/>
          <w:lang w:val="es-ES"/>
        </w:rPr>
        <w:tab/>
        <w:t xml:space="preserve">Por su parte, </w:t>
      </w:r>
      <w:r w:rsidR="00CC48A3" w:rsidRPr="00DE3DE9">
        <w:rPr>
          <w:rFonts w:ascii="Arial" w:hAnsi="Arial" w:cs="Arial"/>
          <w:bCs/>
          <w:sz w:val="22"/>
          <w:szCs w:val="22"/>
          <w:lang w:val="es-MX" w:eastAsia="es-CO"/>
        </w:rPr>
        <w:t>el parágrafo del artículo 38 de la Ley 996 de 2005 prohíbe a los alcaldes, gobernadores, secretarios, gerentes y directores de las entidades del orden municipal, departamental o distrital celebrar convenios y contratos interadministrativos para la ejecución de recursos públicos</w:t>
      </w:r>
      <w:r w:rsidR="005A3065" w:rsidRPr="00DE3DE9">
        <w:rPr>
          <w:rFonts w:ascii="Arial" w:hAnsi="Arial" w:cs="Arial"/>
          <w:bCs/>
          <w:sz w:val="22"/>
          <w:szCs w:val="22"/>
          <w:lang w:val="es-MX" w:eastAsia="es-CO"/>
        </w:rPr>
        <w:t>, dentro de los 4 meses anteriores a los comicios de cargos de elección popular</w:t>
      </w:r>
      <w:r w:rsidR="00CC48A3" w:rsidRPr="00DE3DE9">
        <w:rPr>
          <w:rFonts w:ascii="Arial" w:hAnsi="Arial" w:cs="Arial"/>
          <w:bCs/>
          <w:sz w:val="22"/>
          <w:szCs w:val="22"/>
          <w:lang w:val="es-MX" w:eastAsia="es-CO"/>
        </w:rPr>
        <w:t xml:space="preserve">; pero no incluye </w:t>
      </w:r>
      <w:r w:rsidR="005A3065" w:rsidRPr="00DE3DE9">
        <w:rPr>
          <w:rFonts w:ascii="Arial" w:hAnsi="Arial" w:cs="Arial"/>
          <w:bCs/>
          <w:sz w:val="22"/>
          <w:szCs w:val="22"/>
          <w:lang w:val="es-MX" w:eastAsia="es-CO"/>
        </w:rPr>
        <w:t>en la prohibición a</w:t>
      </w:r>
      <w:r w:rsidR="00CC48A3" w:rsidRPr="00DE3DE9">
        <w:rPr>
          <w:rFonts w:ascii="Arial" w:hAnsi="Arial" w:cs="Arial"/>
          <w:bCs/>
          <w:sz w:val="22"/>
          <w:szCs w:val="22"/>
          <w:lang w:val="es-MX" w:eastAsia="es-CO"/>
        </w:rPr>
        <w:t xml:space="preserve"> los Cabildos Indígenas y las Asociaciones de Autoridades Tradicionales Indígenas. </w:t>
      </w:r>
      <w:r w:rsidR="005A3065" w:rsidRPr="00DE3DE9">
        <w:rPr>
          <w:rFonts w:ascii="Arial" w:hAnsi="Arial" w:cs="Arial"/>
          <w:bCs/>
          <w:sz w:val="22"/>
          <w:szCs w:val="22"/>
          <w:lang w:val="es-MX" w:eastAsia="es-CO"/>
        </w:rPr>
        <w:t>De esta manera</w:t>
      </w:r>
      <w:r w:rsidR="00CC48A3" w:rsidRPr="00DE3DE9">
        <w:rPr>
          <w:rFonts w:ascii="Arial" w:hAnsi="Arial" w:cs="Arial"/>
          <w:bCs/>
          <w:sz w:val="22"/>
          <w:szCs w:val="22"/>
          <w:lang w:val="es-MX" w:eastAsia="es-CO"/>
        </w:rPr>
        <w:t>,</w:t>
      </w:r>
      <w:r w:rsidR="005A3065" w:rsidRPr="00DE3DE9">
        <w:rPr>
          <w:rFonts w:ascii="Arial" w:hAnsi="Arial" w:cs="Arial"/>
          <w:bCs/>
          <w:sz w:val="22"/>
          <w:szCs w:val="22"/>
          <w:lang w:val="es-MX" w:eastAsia="es-CO"/>
        </w:rPr>
        <w:t xml:space="preserve"> solo</w:t>
      </w:r>
      <w:r w:rsidR="00CC48A3" w:rsidRPr="00DE3DE9">
        <w:rPr>
          <w:rFonts w:ascii="Arial" w:hAnsi="Arial" w:cs="Arial"/>
          <w:bCs/>
          <w:sz w:val="22"/>
          <w:szCs w:val="22"/>
          <w:lang w:val="es-MX" w:eastAsia="es-CO"/>
        </w:rPr>
        <w:t xml:space="preserve"> si una </w:t>
      </w:r>
      <w:r w:rsidR="005A3065" w:rsidRPr="00DE3DE9">
        <w:rPr>
          <w:rFonts w:ascii="Arial" w:hAnsi="Arial" w:cs="Arial"/>
          <w:bCs/>
          <w:sz w:val="22"/>
          <w:szCs w:val="22"/>
          <w:lang w:val="es-MX" w:eastAsia="es-CO"/>
        </w:rPr>
        <w:t xml:space="preserve">de las </w:t>
      </w:r>
      <w:r w:rsidR="00CC48A3" w:rsidRPr="00DE3DE9">
        <w:rPr>
          <w:rFonts w:ascii="Arial" w:hAnsi="Arial" w:cs="Arial"/>
          <w:bCs/>
          <w:sz w:val="22"/>
          <w:szCs w:val="22"/>
          <w:lang w:val="es-MX" w:eastAsia="es-CO"/>
        </w:rPr>
        <w:t xml:space="preserve">partes de la relación contractual es una entidad de aquellas descritas en el parágrafo </w:t>
      </w:r>
      <w:r w:rsidR="00CC48A3" w:rsidRPr="00DE3DE9">
        <w:rPr>
          <w:rFonts w:ascii="Arial" w:hAnsi="Arial" w:cs="Arial"/>
          <w:bCs/>
          <w:i/>
          <w:iCs/>
          <w:sz w:val="22"/>
          <w:szCs w:val="22"/>
          <w:lang w:val="es-MX" w:eastAsia="es-CO"/>
        </w:rPr>
        <w:t>ibidem</w:t>
      </w:r>
      <w:r w:rsidR="00CC48A3" w:rsidRPr="00DE3DE9">
        <w:rPr>
          <w:rFonts w:ascii="Arial" w:hAnsi="Arial" w:cs="Arial"/>
          <w:bCs/>
          <w:sz w:val="22"/>
          <w:szCs w:val="22"/>
          <w:lang w:val="es-MX" w:eastAsia="es-CO"/>
        </w:rPr>
        <w:t xml:space="preserve">, no se podrán celebrar tales convenios o contratos mientras rija la restricción </w:t>
      </w:r>
      <w:r w:rsidR="005A3065" w:rsidRPr="00DE3DE9">
        <w:rPr>
          <w:rFonts w:ascii="Arial" w:hAnsi="Arial" w:cs="Arial"/>
          <w:bCs/>
          <w:sz w:val="22"/>
          <w:szCs w:val="22"/>
          <w:lang w:val="es-MX" w:eastAsia="es-CO"/>
        </w:rPr>
        <w:t>del parágrafo indicado</w:t>
      </w:r>
      <w:r w:rsidR="00CC48A3" w:rsidRPr="00DE3DE9">
        <w:rPr>
          <w:rFonts w:ascii="Arial" w:hAnsi="Arial" w:cs="Arial"/>
          <w:bCs/>
          <w:sz w:val="22"/>
          <w:szCs w:val="22"/>
          <w:lang w:val="es-MX" w:eastAsia="es-CO"/>
        </w:rPr>
        <w:t>, toda vez que la citada disposición hace referencia a dicha tipología contractual</w:t>
      </w:r>
      <w:r w:rsidR="005A3065" w:rsidRPr="00DE3DE9">
        <w:rPr>
          <w:rFonts w:ascii="Arial" w:hAnsi="Arial" w:cs="Arial"/>
          <w:bCs/>
          <w:sz w:val="22"/>
          <w:szCs w:val="22"/>
          <w:lang w:val="es-MX" w:eastAsia="es-CO"/>
        </w:rPr>
        <w:t xml:space="preserve"> –contratos o convenios interadministrativos–</w:t>
      </w:r>
      <w:r w:rsidR="00CC48A3" w:rsidRPr="00DE3DE9">
        <w:rPr>
          <w:rFonts w:ascii="Arial" w:hAnsi="Arial" w:cs="Arial"/>
          <w:bCs/>
          <w:sz w:val="22"/>
          <w:szCs w:val="22"/>
          <w:lang w:val="es-MX" w:eastAsia="es-CO"/>
        </w:rPr>
        <w:t>, sin que el legislador hubiere contemplado excepción alguna frente a la modalidad de selección o naturaleza de su objeto. En este sentido, si bien la prohibición no incluyó a los Cabildos Indígenas y las Asociaciones de Autoridades Tradicionales Indígenas, la prohibición del parágrafo del artículo 38 aplicará si la otra entidad que va a celebrar el convenio o contrato interadministrativo con aquellos es una de las incluidas en dicho parágrafo, esto es, los alcaldes, gobernadores, secretarios, gerentes y directores de las entidades del orden municipal, departamental o distrital.</w:t>
      </w:r>
    </w:p>
    <w:p w14:paraId="31DA7007" w14:textId="77777777" w:rsidR="003C7067" w:rsidRPr="00DE3DE9" w:rsidRDefault="003C7067" w:rsidP="003C7067">
      <w:pPr>
        <w:spacing w:line="276" w:lineRule="auto"/>
        <w:jc w:val="both"/>
        <w:rPr>
          <w:rFonts w:ascii="Arial" w:eastAsia="Calibri" w:hAnsi="Arial" w:cs="Arial"/>
          <w:sz w:val="22"/>
          <w:szCs w:val="22"/>
          <w:lang w:val="es-ES"/>
        </w:rPr>
      </w:pPr>
      <w:r w:rsidRPr="00DE3DE9">
        <w:rPr>
          <w:rFonts w:ascii="Arial" w:eastAsia="Calibri" w:hAnsi="Arial" w:cs="Arial"/>
          <w:sz w:val="22"/>
          <w:szCs w:val="22"/>
          <w:lang w:val="es-ES"/>
        </w:rPr>
        <w:t>Este concepto tiene el alcance previsto en el artículo 28 del Código de Procedimiento Administrativo y de lo Contencioso Administrativo.</w:t>
      </w:r>
    </w:p>
    <w:p w14:paraId="2408787D" w14:textId="77777777" w:rsidR="003C7067" w:rsidRPr="00DE3DE9" w:rsidRDefault="003C7067" w:rsidP="003C7067">
      <w:pPr>
        <w:jc w:val="both"/>
        <w:rPr>
          <w:rFonts w:ascii="Arial" w:eastAsia="Calibri" w:hAnsi="Arial" w:cs="Arial"/>
          <w:sz w:val="22"/>
          <w:szCs w:val="22"/>
          <w:lang w:val="es-ES"/>
        </w:rPr>
      </w:pPr>
    </w:p>
    <w:p w14:paraId="740312DF" w14:textId="77777777" w:rsidR="003C7067" w:rsidRPr="00C00312" w:rsidRDefault="003C7067" w:rsidP="003C7067">
      <w:pPr>
        <w:jc w:val="both"/>
        <w:rPr>
          <w:rFonts w:ascii="Arial" w:hAnsi="Arial" w:cs="Arial"/>
          <w:sz w:val="22"/>
          <w:szCs w:val="22"/>
          <w:lang w:val="es-ES" w:eastAsia="es-CO"/>
        </w:rPr>
      </w:pPr>
      <w:r w:rsidRPr="00DE3DE9">
        <w:rPr>
          <w:rFonts w:ascii="Arial" w:hAnsi="Arial" w:cs="Arial"/>
          <w:sz w:val="22"/>
          <w:szCs w:val="22"/>
          <w:lang w:val="es-ES" w:eastAsia="es-CO"/>
        </w:rPr>
        <w:t>Atentamente,</w:t>
      </w:r>
    </w:p>
    <w:p w14:paraId="34F7EF72" w14:textId="6D1C7127" w:rsidR="003C7067" w:rsidRDefault="00DE3DE9" w:rsidP="003C7067">
      <w:pPr>
        <w:jc w:val="center"/>
        <w:rPr>
          <w:rFonts w:ascii="Arial" w:hAnsi="Arial" w:cs="Arial"/>
          <w:sz w:val="18"/>
          <w:szCs w:val="20"/>
          <w:lang w:val="es-ES" w:eastAsia="es-CO"/>
        </w:rPr>
      </w:pPr>
      <w:r>
        <w:rPr>
          <w:noProof/>
        </w:rPr>
        <w:lastRenderedPageBreak/>
        <w:drawing>
          <wp:inline distT="0" distB="0" distL="0" distR="0" wp14:anchorId="2F9296C3" wp14:editId="25AE79D4">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772DD735" w14:textId="77777777" w:rsidR="00DE3DE9" w:rsidRPr="00C00312" w:rsidRDefault="00DE3DE9"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067" w:rsidRPr="00C00312" w14:paraId="67DFEBDD" w14:textId="77777777" w:rsidTr="00406F4B">
        <w:trPr>
          <w:trHeight w:val="315"/>
        </w:trPr>
        <w:tc>
          <w:tcPr>
            <w:tcW w:w="812" w:type="dxa"/>
            <w:vAlign w:val="center"/>
            <w:hideMark/>
          </w:tcPr>
          <w:p w14:paraId="586E9637"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 xml:space="preserve">Camilo Perdomo Villamil </w:t>
            </w:r>
          </w:p>
          <w:p w14:paraId="15047A99"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Contratista de la Subdirección de Gestión Contractual</w:t>
            </w:r>
          </w:p>
        </w:tc>
      </w:tr>
      <w:tr w:rsidR="003C7067" w:rsidRPr="00C00312" w14:paraId="5E040385" w14:textId="77777777" w:rsidTr="00406F4B">
        <w:trPr>
          <w:trHeight w:val="330"/>
        </w:trPr>
        <w:tc>
          <w:tcPr>
            <w:tcW w:w="812" w:type="dxa"/>
            <w:vAlign w:val="center"/>
            <w:hideMark/>
          </w:tcPr>
          <w:p w14:paraId="1468648A"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0D1B6940" w:rsidR="003C7067" w:rsidRPr="00C00312" w:rsidRDefault="00F93C05" w:rsidP="00406F4B">
            <w:pPr>
              <w:rPr>
                <w:rFonts w:ascii="Arial" w:hAnsi="Arial" w:cs="Arial"/>
                <w:sz w:val="16"/>
                <w:szCs w:val="16"/>
                <w:lang w:val="es-ES" w:eastAsia="es-ES"/>
              </w:rPr>
            </w:pPr>
            <w:r>
              <w:rPr>
                <w:rFonts w:ascii="Arial" w:hAnsi="Arial" w:cs="Arial"/>
                <w:sz w:val="16"/>
                <w:szCs w:val="16"/>
                <w:lang w:val="es-ES" w:eastAsia="es-ES"/>
              </w:rPr>
              <w:t>Sebastián Ramírez Granados</w:t>
            </w:r>
          </w:p>
          <w:p w14:paraId="75F78D0C" w14:textId="7FDB4816" w:rsidR="003C7067" w:rsidRDefault="00DE212A" w:rsidP="00406F4B">
            <w:pPr>
              <w:rPr>
                <w:rFonts w:ascii="Arial" w:hAnsi="Arial" w:cs="Arial"/>
                <w:sz w:val="16"/>
                <w:szCs w:val="16"/>
                <w:lang w:val="es-ES" w:eastAsia="es-ES"/>
              </w:rPr>
            </w:pPr>
            <w:r w:rsidRPr="00C00312">
              <w:rPr>
                <w:rFonts w:ascii="Arial" w:hAnsi="Arial" w:cs="Arial"/>
                <w:sz w:val="16"/>
                <w:szCs w:val="16"/>
                <w:lang w:val="es-ES" w:eastAsia="es-ES"/>
              </w:rPr>
              <w:t xml:space="preserve">Contratista </w:t>
            </w:r>
            <w:r w:rsidR="003C7067" w:rsidRPr="00C00312">
              <w:rPr>
                <w:rFonts w:ascii="Arial" w:hAnsi="Arial" w:cs="Arial"/>
                <w:sz w:val="16"/>
                <w:szCs w:val="16"/>
                <w:lang w:val="es-ES" w:eastAsia="es-ES"/>
              </w:rPr>
              <w:t>de la Subdirección de Gestión Contractual</w:t>
            </w:r>
          </w:p>
          <w:p w14:paraId="202F9F6E" w14:textId="216A2BAC" w:rsidR="007D2560" w:rsidRPr="00C00312" w:rsidRDefault="007D2560" w:rsidP="00406F4B">
            <w:pPr>
              <w:rPr>
                <w:rFonts w:ascii="Arial" w:hAnsi="Arial" w:cs="Arial"/>
                <w:sz w:val="16"/>
                <w:szCs w:val="16"/>
                <w:lang w:val="es-ES" w:eastAsia="es-ES"/>
              </w:rPr>
            </w:pPr>
          </w:p>
        </w:tc>
      </w:tr>
      <w:tr w:rsidR="003C7067" w:rsidRPr="00C00312" w14:paraId="65581C44" w14:textId="77777777" w:rsidTr="00406F4B">
        <w:trPr>
          <w:trHeight w:val="300"/>
        </w:trPr>
        <w:tc>
          <w:tcPr>
            <w:tcW w:w="812" w:type="dxa"/>
            <w:vAlign w:val="center"/>
            <w:hideMark/>
          </w:tcPr>
          <w:p w14:paraId="5B07E6DF"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Jorge Augusto Tirado Navarro</w:t>
            </w:r>
          </w:p>
          <w:p w14:paraId="43EFE605" w14:textId="77777777" w:rsidR="003C7067" w:rsidRPr="00C00312" w:rsidRDefault="003C7067" w:rsidP="00406F4B">
            <w:pPr>
              <w:rPr>
                <w:rFonts w:ascii="Arial" w:hAnsi="Arial" w:cs="Arial"/>
                <w:sz w:val="16"/>
                <w:szCs w:val="16"/>
                <w:lang w:val="es-ES" w:eastAsia="es-ES"/>
              </w:rPr>
            </w:pPr>
            <w:r w:rsidRPr="00C00312">
              <w:rPr>
                <w:rFonts w:ascii="Arial" w:hAnsi="Arial" w:cs="Arial"/>
                <w:sz w:val="16"/>
                <w:szCs w:val="16"/>
                <w:lang w:val="es-ES" w:eastAsia="es-ES"/>
              </w:rPr>
              <w:t>Subdirector de Gestión Contractual ANCP – CCE</w:t>
            </w:r>
          </w:p>
        </w:tc>
      </w:tr>
    </w:tbl>
    <w:p w14:paraId="019B7BEC" w14:textId="77777777" w:rsidR="003C7067" w:rsidRPr="00C00312" w:rsidRDefault="003C7067" w:rsidP="005256F8">
      <w:pPr>
        <w:rPr>
          <w:rFonts w:ascii="Arial" w:hAnsi="Arial" w:cs="Arial"/>
        </w:rPr>
      </w:pPr>
    </w:p>
    <w:sectPr w:rsidR="003C7067" w:rsidRPr="00C00312" w:rsidSect="007F1895">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581F" w14:textId="77777777" w:rsidR="00EC54C7" w:rsidRDefault="00EC54C7" w:rsidP="003C7067">
      <w:r>
        <w:separator/>
      </w:r>
    </w:p>
  </w:endnote>
  <w:endnote w:type="continuationSeparator" w:id="0">
    <w:p w14:paraId="408574B4" w14:textId="77777777" w:rsidR="00EC54C7" w:rsidRDefault="00EC54C7"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387886" w:rsidRDefault="00EC54C7" w:rsidP="007F1895">
    <w:pPr>
      <w:pStyle w:val="Sinespaciado"/>
      <w:jc w:val="right"/>
      <w:rPr>
        <w:rFonts w:ascii="Arial" w:hAnsi="Arial" w:cs="Arial"/>
        <w:sz w:val="18"/>
        <w:szCs w:val="18"/>
      </w:rPr>
    </w:pPr>
  </w:p>
  <w:p w14:paraId="7EE0D30C" w14:textId="77777777" w:rsidR="00387886" w:rsidRDefault="00EC54C7" w:rsidP="007F1895">
    <w:pPr>
      <w:pStyle w:val="Sinespaciado"/>
      <w:jc w:val="right"/>
      <w:rPr>
        <w:rFonts w:ascii="Arial" w:hAnsi="Arial" w:cs="Arial"/>
        <w:sz w:val="18"/>
        <w:szCs w:val="18"/>
      </w:rPr>
    </w:pPr>
  </w:p>
  <w:p w14:paraId="120D6A59" w14:textId="77777777" w:rsidR="00387886" w:rsidRPr="008217B7" w:rsidRDefault="000965D3"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387886" w:rsidRDefault="000965D3" w:rsidP="007F1895">
    <w:pPr>
      <w:pStyle w:val="Piedepgina"/>
      <w:jc w:val="center"/>
      <w:rPr>
        <w:lang w:val="es-ES"/>
      </w:rPr>
    </w:pPr>
    <w:r>
      <w:rPr>
        <w:noProof/>
      </w:rPr>
      <w:drawing>
        <wp:inline distT="0" distB="0" distL="0" distR="0" wp14:anchorId="467852E1" wp14:editId="11106060">
          <wp:extent cx="3700130" cy="51913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387886" w:rsidRPr="00E756AC" w:rsidRDefault="00EC54C7" w:rsidP="007F1895">
    <w:pPr>
      <w:pStyle w:val="Piedepgina"/>
      <w:jc w:val="center"/>
      <w:rPr>
        <w:sz w:val="18"/>
        <w:szCs w:val="18"/>
        <w:lang w:val="es-ES"/>
      </w:rPr>
    </w:pPr>
  </w:p>
  <w:p w14:paraId="1CBE747A" w14:textId="77777777" w:rsidR="00387886" w:rsidRPr="00E756AC" w:rsidRDefault="00EC54C7"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8B57" w14:textId="77777777" w:rsidR="00EC54C7" w:rsidRDefault="00EC54C7" w:rsidP="003C7067">
      <w:r>
        <w:separator/>
      </w:r>
    </w:p>
  </w:footnote>
  <w:footnote w:type="continuationSeparator" w:id="0">
    <w:p w14:paraId="3D72BE21" w14:textId="77777777" w:rsidR="00EC54C7" w:rsidRDefault="00EC54C7" w:rsidP="003C7067">
      <w:r>
        <w:continuationSeparator/>
      </w:r>
    </w:p>
  </w:footnote>
  <w:footnote w:id="1">
    <w:p w14:paraId="00F7985B"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59C7A61" w14:textId="77777777" w:rsidR="00F93C05" w:rsidRDefault="00F93C05" w:rsidP="00F93C05">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F0FB23B" w14:textId="77777777" w:rsidR="00F93C05" w:rsidRPr="00EC20D7" w:rsidRDefault="00F93C05" w:rsidP="00F93C05">
      <w:pPr>
        <w:pStyle w:val="Textonotapie"/>
        <w:ind w:firstLine="709"/>
        <w:jc w:val="both"/>
        <w:rPr>
          <w:rFonts w:ascii="Arial" w:hAnsi="Arial" w:cs="Arial"/>
          <w:sz w:val="19"/>
          <w:szCs w:val="19"/>
        </w:rPr>
      </w:pPr>
    </w:p>
  </w:footnote>
  <w:footnote w:id="2">
    <w:p w14:paraId="28356251" w14:textId="77777777" w:rsidR="00F93C05" w:rsidRDefault="00F93C05" w:rsidP="00F93C05">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p w14:paraId="230991F2" w14:textId="77777777" w:rsidR="00F93C05" w:rsidRPr="002F0981" w:rsidRDefault="00F93C05" w:rsidP="00F93C05">
      <w:pPr>
        <w:pStyle w:val="Textonotapie"/>
        <w:ind w:firstLine="709"/>
        <w:jc w:val="both"/>
        <w:rPr>
          <w:rFonts w:ascii="Arial" w:hAnsi="Arial" w:cs="Arial"/>
          <w:sz w:val="19"/>
          <w:szCs w:val="19"/>
          <w:lang w:val="es-CO"/>
        </w:rPr>
      </w:pPr>
    </w:p>
  </w:footnote>
  <w:footnote w:id="3">
    <w:p w14:paraId="4130C68F"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4">
    <w:p w14:paraId="073E2708" w14:textId="77777777" w:rsidR="00F93C05" w:rsidRDefault="00F93C05" w:rsidP="00F93C05">
      <w:pPr>
        <w:pStyle w:val="Textonotapie"/>
        <w:ind w:firstLine="709"/>
        <w:jc w:val="both"/>
        <w:rPr>
          <w:rFonts w:ascii="Arial" w:hAnsi="Arial" w:cs="Arial"/>
          <w:sz w:val="19"/>
          <w:szCs w:val="19"/>
        </w:rPr>
      </w:pPr>
    </w:p>
    <w:p w14:paraId="766C1187"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AE96E04" w14:textId="77777777" w:rsidR="00F93C05" w:rsidRPr="00EC20D7" w:rsidRDefault="00F93C05" w:rsidP="00F93C05">
      <w:pPr>
        <w:pStyle w:val="Textonotapie"/>
        <w:ind w:firstLine="709"/>
        <w:jc w:val="both"/>
        <w:rPr>
          <w:rFonts w:ascii="Arial" w:hAnsi="Arial" w:cs="Arial"/>
          <w:sz w:val="19"/>
          <w:szCs w:val="19"/>
        </w:rPr>
      </w:pPr>
    </w:p>
  </w:footnote>
  <w:footnote w:id="5">
    <w:p w14:paraId="582E6099" w14:textId="77777777" w:rsidR="00F93C05" w:rsidRPr="00EC20D7" w:rsidRDefault="00F93C05" w:rsidP="00F93C05">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063CC2EC" w14:textId="77777777" w:rsidR="00F93C05" w:rsidRPr="00EC20D7" w:rsidRDefault="00F93C05" w:rsidP="00F93C05">
      <w:pPr>
        <w:pStyle w:val="Textonotapie"/>
        <w:ind w:firstLine="709"/>
        <w:jc w:val="both"/>
        <w:rPr>
          <w:rFonts w:ascii="Arial" w:hAnsi="Arial" w:cs="Arial"/>
          <w:sz w:val="19"/>
          <w:szCs w:val="19"/>
          <w:lang w:val="es-CO"/>
        </w:rPr>
      </w:pPr>
    </w:p>
  </w:footnote>
  <w:footnote w:id="6">
    <w:p w14:paraId="640E9C71"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footnote>
  <w:footnote w:id="7">
    <w:p w14:paraId="1F948A8C" w14:textId="77777777" w:rsidR="00F93C05" w:rsidRPr="00EC20D7" w:rsidRDefault="00F93C05" w:rsidP="00F93C05">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093DB21" w14:textId="77777777" w:rsidR="00F93C05" w:rsidRPr="00EC20D7" w:rsidRDefault="00F93C05" w:rsidP="00F93C05">
      <w:pPr>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footnote>
  <w:footnote w:id="8">
    <w:p w14:paraId="634A324A" w14:textId="77777777" w:rsidR="00F93C05" w:rsidRPr="00EC20D7" w:rsidRDefault="00F93C05" w:rsidP="00F93C05">
      <w:pPr>
        <w:pStyle w:val="NormalWeb"/>
        <w:spacing w:before="0" w:beforeAutospacing="0" w:after="0" w:afterAutospacing="0"/>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14:paraId="30782EA7" w14:textId="77777777" w:rsidR="00F93C05" w:rsidRPr="00EC20D7" w:rsidRDefault="00F93C05" w:rsidP="00F93C05">
      <w:pPr>
        <w:pStyle w:val="NormalWeb"/>
        <w:spacing w:before="0" w:beforeAutospacing="0" w:after="0" w:afterAutospacing="0"/>
        <w:ind w:firstLine="709"/>
        <w:jc w:val="both"/>
        <w:rPr>
          <w:rFonts w:ascii="Arial" w:hAnsi="Arial" w:cs="Arial"/>
          <w:sz w:val="19"/>
          <w:szCs w:val="19"/>
          <w:lang w:val="es-MX"/>
        </w:rPr>
      </w:pPr>
      <w:r w:rsidRPr="00EC20D7">
        <w:rPr>
          <w:rFonts w:ascii="Arial" w:eastAsia="Calibri" w:hAnsi="Arial" w:cs="Arial"/>
          <w:bCs/>
          <w:color w:val="000000"/>
          <w:sz w:val="19"/>
          <w:szCs w:val="19"/>
        </w:rPr>
        <w:t>»</w:t>
      </w:r>
      <w:r w:rsidRPr="00EC20D7">
        <w:rPr>
          <w:rFonts w:ascii="Arial" w:hAnsi="Arial" w:cs="Arial"/>
          <w:sz w:val="19"/>
          <w:szCs w:val="19"/>
          <w:lang w:val="es-MX"/>
        </w:rPr>
        <w:t xml:space="preserve"> […]</w:t>
      </w:r>
    </w:p>
    <w:p w14:paraId="0DA29A7B" w14:textId="77777777" w:rsidR="00F93C05" w:rsidRPr="002F0981" w:rsidRDefault="00F93C05" w:rsidP="00F93C05">
      <w:pPr>
        <w:ind w:firstLine="709"/>
        <w:jc w:val="both"/>
        <w:rPr>
          <w:rFonts w:ascii="Arial" w:hAnsi="Arial" w:cs="Arial"/>
          <w:sz w:val="19"/>
          <w:szCs w:val="19"/>
          <w:lang w:val="es-MX"/>
        </w:rPr>
      </w:pPr>
      <w:r w:rsidRPr="0026728E">
        <w:rPr>
          <w:rFonts w:ascii="Arial" w:eastAsia="Calibri" w:hAnsi="Arial" w:cs="Arial"/>
          <w:bCs/>
          <w:color w:val="000000"/>
          <w:sz w:val="19"/>
          <w:szCs w:val="19"/>
        </w:rPr>
        <w:t>»</w:t>
      </w:r>
      <w:r w:rsidRPr="002F0981">
        <w:rPr>
          <w:rStyle w:val="baj"/>
          <w:rFonts w:ascii="Arial" w:hAnsi="Arial" w:cs="Arial"/>
          <w:sz w:val="19"/>
          <w:szCs w:val="19"/>
        </w:rPr>
        <w:t xml:space="preserve"> Parágrafo.</w:t>
      </w:r>
      <w:r w:rsidRPr="002F098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lang w:val="es-MX"/>
        </w:rPr>
        <w:t>.</w:t>
      </w:r>
    </w:p>
  </w:footnote>
  <w:footnote w:id="9">
    <w:p w14:paraId="320D240C" w14:textId="77777777" w:rsidR="00F93C05" w:rsidRPr="002F0981" w:rsidRDefault="00F93C05" w:rsidP="00F93C05">
      <w:pPr>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3D2C9F26" w14:textId="77777777" w:rsidR="00F93C05" w:rsidRPr="00EC20D7" w:rsidRDefault="00F93C05" w:rsidP="00F93C05">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73E256E2" w14:textId="77777777" w:rsidR="00F93C05" w:rsidRPr="00EC20D7" w:rsidRDefault="00F93C05" w:rsidP="00F93C05">
      <w:pPr>
        <w:pStyle w:val="Textonotapie"/>
        <w:ind w:right="51" w:firstLine="709"/>
        <w:jc w:val="both"/>
        <w:rPr>
          <w:rFonts w:ascii="Arial" w:hAnsi="Arial" w:cs="Arial"/>
          <w:sz w:val="19"/>
          <w:szCs w:val="19"/>
        </w:rPr>
      </w:pPr>
    </w:p>
  </w:footnote>
  <w:footnote w:id="11">
    <w:p w14:paraId="4D2C1363" w14:textId="77777777" w:rsidR="00F93C05" w:rsidRPr="00EC20D7" w:rsidRDefault="00F93C05" w:rsidP="00F93C05">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2EF09D66" w14:textId="77777777" w:rsidR="00F93C05" w:rsidRPr="00EC20D7" w:rsidRDefault="00F93C05" w:rsidP="00F93C05">
      <w:pPr>
        <w:pStyle w:val="Textonotapie"/>
        <w:ind w:right="51" w:firstLine="709"/>
        <w:jc w:val="both"/>
        <w:rPr>
          <w:rFonts w:ascii="Arial" w:hAnsi="Arial" w:cs="Arial"/>
          <w:sz w:val="19"/>
          <w:szCs w:val="19"/>
        </w:rPr>
      </w:pPr>
    </w:p>
  </w:footnote>
  <w:footnote w:id="12">
    <w:p w14:paraId="5FD32320"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14:paraId="6A341C84" w14:textId="77777777" w:rsidR="00100B7E" w:rsidRPr="00360A25" w:rsidRDefault="00100B7E" w:rsidP="00100B7E">
      <w:pPr>
        <w:pStyle w:val="Textonotapie"/>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hAnsi="Arial" w:cs="Arial"/>
          <w:sz w:val="18"/>
          <w:szCs w:val="18"/>
          <w:lang w:val="es-ES"/>
        </w:rPr>
        <w:t xml:space="preserve">Artículo 2. </w:t>
      </w:r>
    </w:p>
  </w:footnote>
  <w:footnote w:id="14">
    <w:p w14:paraId="6C36E192" w14:textId="77777777" w:rsidR="00100B7E" w:rsidRPr="00360A25" w:rsidRDefault="00100B7E" w:rsidP="00100B7E">
      <w:pPr>
        <w:pStyle w:val="Textonotapie"/>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hAnsi="Arial" w:cs="Arial"/>
          <w:i/>
          <w:sz w:val="18"/>
          <w:szCs w:val="18"/>
          <w:lang w:val="es-ES"/>
        </w:rPr>
        <w:t>Ídem</w:t>
      </w:r>
      <w:r w:rsidRPr="00360A25">
        <w:rPr>
          <w:rFonts w:ascii="Arial" w:hAnsi="Arial" w:cs="Arial"/>
          <w:sz w:val="18"/>
          <w:szCs w:val="18"/>
          <w:lang w:val="es-ES"/>
        </w:rPr>
        <w:t>.</w:t>
      </w:r>
    </w:p>
  </w:footnote>
  <w:footnote w:id="15">
    <w:p w14:paraId="0C012FF5" w14:textId="77777777" w:rsidR="00F93C05" w:rsidRPr="00EC20D7" w:rsidRDefault="00F93C05" w:rsidP="00F93C05">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24998F8A" w14:textId="77777777" w:rsidR="00F93C05" w:rsidRPr="00EC20D7" w:rsidRDefault="00F93C05" w:rsidP="00F93C05">
      <w:pPr>
        <w:pStyle w:val="Textonotapie"/>
        <w:ind w:firstLine="709"/>
        <w:jc w:val="both"/>
        <w:rPr>
          <w:rFonts w:ascii="Arial" w:hAnsi="Arial" w:cs="Arial"/>
          <w:sz w:val="19"/>
          <w:szCs w:val="19"/>
          <w:lang w:val="es-ES"/>
        </w:rPr>
      </w:pPr>
    </w:p>
  </w:footnote>
  <w:footnote w:id="16">
    <w:p w14:paraId="32246A30" w14:textId="77777777" w:rsidR="00F93C05" w:rsidRPr="00EC20D7" w:rsidRDefault="00F93C05" w:rsidP="00F93C05">
      <w:pPr>
        <w:shd w:val="clear" w:color="auto" w:fill="FFFFFF"/>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7">
    <w:p w14:paraId="3A0A9119"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8">
    <w:p w14:paraId="11917736" w14:textId="77777777" w:rsidR="00100B7E" w:rsidRPr="00360A25" w:rsidRDefault="00100B7E" w:rsidP="00100B7E">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14:paraId="247A7054" w14:textId="77777777" w:rsidR="00F93C05" w:rsidRPr="00EC20D7" w:rsidRDefault="00F93C05" w:rsidP="00F93C05">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14:paraId="08341E8F" w14:textId="77777777" w:rsidR="00F93C05" w:rsidRPr="00EC20D7" w:rsidRDefault="00F93C05" w:rsidP="00F93C05">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bookmarkStart w:id="9" w:name="_Hlk75633115"/>
      <w:r w:rsidRPr="00EC20D7">
        <w:rPr>
          <w:rFonts w:ascii="Arial" w:hAnsi="Arial" w:cs="Arial"/>
          <w:sz w:val="19"/>
          <w:szCs w:val="19"/>
        </w:rPr>
        <w:t xml:space="preserve">Consejo de Estado. Sala de Consulta y Servicio Civil. Concepto </w:t>
      </w:r>
      <w:bookmarkEnd w:id="9"/>
      <w:r w:rsidRPr="00EC20D7">
        <w:rPr>
          <w:rFonts w:ascii="Arial" w:hAnsi="Arial" w:cs="Arial"/>
          <w:sz w:val="19"/>
          <w:szCs w:val="19"/>
        </w:rPr>
        <w:t>de 6 de abril de 2006. Radicación Número: 11001-03-06-000-2006-00038-00(1738). Consejero Ponente: Enrique José Arboleda Perdomo:</w:t>
      </w:r>
      <w:r w:rsidRPr="00EC20D7">
        <w:rPr>
          <w:rFonts w:ascii="Arial" w:eastAsia="Times New Roman" w:hAnsi="Arial"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eastAsia="Times New Roman" w:hAnsi="Arial" w:cs="Arial"/>
          <w:bCs/>
          <w:sz w:val="19"/>
          <w:szCs w:val="19"/>
          <w:lang w:eastAsia="x-none"/>
        </w:rPr>
        <w:t>».</w:t>
      </w:r>
    </w:p>
  </w:footnote>
  <w:footnote w:id="21">
    <w:p w14:paraId="528517D5" w14:textId="77777777" w:rsidR="00F93C05" w:rsidRPr="00EC20D7" w:rsidRDefault="00F93C05" w:rsidP="00F93C05">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56F035F2" w14:textId="77777777" w:rsidR="00F93C05" w:rsidRPr="00EC20D7" w:rsidRDefault="00F93C05" w:rsidP="00F93C05">
      <w:pPr>
        <w:pStyle w:val="Textonotapie"/>
        <w:ind w:right="51" w:firstLine="709"/>
        <w:jc w:val="both"/>
        <w:rPr>
          <w:rFonts w:ascii="Arial" w:hAnsi="Arial" w:cs="Arial"/>
          <w:sz w:val="19"/>
          <w:szCs w:val="19"/>
        </w:rPr>
      </w:pPr>
    </w:p>
  </w:footnote>
  <w:footnote w:id="22">
    <w:p w14:paraId="58527083" w14:textId="77777777" w:rsidR="00F93C05" w:rsidRPr="00EC20D7" w:rsidRDefault="00F93C05" w:rsidP="00F93C05">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3">
    <w:p w14:paraId="6DB32522"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0CA47780" w14:textId="77777777" w:rsidR="00F93C05" w:rsidRPr="00EC20D7" w:rsidRDefault="00F93C05" w:rsidP="00F93C05">
      <w:pPr>
        <w:pStyle w:val="Textonotapie"/>
        <w:ind w:firstLine="709"/>
        <w:jc w:val="both"/>
        <w:rPr>
          <w:rFonts w:ascii="Arial" w:hAnsi="Arial" w:cs="Arial"/>
          <w:sz w:val="19"/>
          <w:szCs w:val="19"/>
        </w:rPr>
      </w:pPr>
    </w:p>
  </w:footnote>
  <w:footnote w:id="24">
    <w:p w14:paraId="1C891D94" w14:textId="77777777" w:rsidR="00F93C05" w:rsidRPr="00EC20D7" w:rsidRDefault="00F93C05" w:rsidP="00F93C05">
      <w:pPr>
        <w:spacing w:before="78"/>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3407375" w14:textId="77777777" w:rsidR="00F93C05" w:rsidRPr="00EC20D7" w:rsidRDefault="00F93C05" w:rsidP="00F93C05">
      <w:pPr>
        <w:ind w:firstLine="709"/>
        <w:jc w:val="both"/>
        <w:rPr>
          <w:rFonts w:ascii="Arial" w:hAnsi="Arial" w:cs="Arial"/>
          <w:sz w:val="19"/>
          <w:szCs w:val="19"/>
        </w:rPr>
      </w:pPr>
      <w:r w:rsidRPr="00EC20D7">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C20D7">
        <w:rPr>
          <w:rFonts w:ascii="Arial" w:hAnsi="Arial" w:cs="Arial"/>
          <w:spacing w:val="-1"/>
          <w:sz w:val="19"/>
          <w:szCs w:val="19"/>
        </w:rPr>
        <w:t xml:space="preserve"> </w:t>
      </w:r>
      <w:r w:rsidRPr="00EC20D7">
        <w:rPr>
          <w:rFonts w:ascii="Arial" w:hAnsi="Arial" w:cs="Arial"/>
          <w:sz w:val="19"/>
          <w:szCs w:val="19"/>
        </w:rPr>
        <w:t>Estatales».</w:t>
      </w:r>
    </w:p>
  </w:footnote>
  <w:footnote w:id="25">
    <w:p w14:paraId="6A9A2E49" w14:textId="77777777" w:rsidR="00F93C05" w:rsidRPr="00EC20D7" w:rsidRDefault="00F93C05" w:rsidP="00F93C05">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C20D7">
        <w:rPr>
          <w:rFonts w:ascii="Arial" w:hAnsi="Arial" w:cs="Arial"/>
          <w:spacing w:val="-6"/>
          <w:sz w:val="19"/>
          <w:szCs w:val="19"/>
        </w:rPr>
        <w:t xml:space="preserve"> </w:t>
      </w:r>
      <w:r w:rsidRPr="00EC20D7">
        <w:rPr>
          <w:rFonts w:ascii="Arial" w:hAnsi="Arial" w:cs="Arial"/>
          <w:sz w:val="19"/>
          <w:szCs w:val="19"/>
        </w:rPr>
        <w:t>artículo».</w:t>
      </w:r>
    </w:p>
  </w:footnote>
  <w:footnote w:id="26">
    <w:p w14:paraId="37EE9E1B" w14:textId="77777777" w:rsidR="00F93C05" w:rsidRPr="002F0981" w:rsidRDefault="00F93C05" w:rsidP="00F93C05">
      <w:pPr>
        <w:ind w:firstLine="709"/>
        <w:jc w:val="both"/>
        <w:rPr>
          <w:rFonts w:ascii="Arial" w:hAnsi="Arial" w:cs="Arial"/>
          <w:sz w:val="19"/>
          <w:szCs w:val="19"/>
        </w:rPr>
      </w:pPr>
      <w:r w:rsidRPr="0026728E">
        <w:rPr>
          <w:rStyle w:val="Refdenotaalpie"/>
          <w:rFonts w:ascii="Arial" w:hAnsi="Arial" w:cs="Arial"/>
          <w:sz w:val="19"/>
          <w:szCs w:val="19"/>
        </w:rPr>
        <w:footnoteRef/>
      </w:r>
      <w:r w:rsidRPr="00AC7007">
        <w:rPr>
          <w:rFonts w:ascii="Arial" w:hAnsi="Arial" w:cs="Arial"/>
          <w:position w:val="7"/>
          <w:sz w:val="19"/>
          <w:szCs w:val="19"/>
        </w:rPr>
        <w:t xml:space="preserve"> </w:t>
      </w:r>
      <w:r w:rsidRPr="00A27246">
        <w:rPr>
          <w:rFonts w:ascii="Arial" w:hAnsi="Arial" w:cs="Arial"/>
          <w:sz w:val="19"/>
          <w:szCs w:val="19"/>
        </w:rPr>
        <w:t>Consejo de Estado. Sección Tercera. Sentencia del 23 de junio de 2010. Radicación No. 66001-23-31-000-1998-00261-01(17.860). Consejero Ponente: Mauricio Fajardo Gómez.</w:t>
      </w:r>
    </w:p>
  </w:footnote>
  <w:footnote w:id="27">
    <w:p w14:paraId="583447C0" w14:textId="77777777" w:rsidR="00F93C05" w:rsidRDefault="00F93C05" w:rsidP="00F93C05">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Sección Tercera. Subsección C. Sentencia del 11 de diciembre de 2019. Exp. 46.986. C.P. Jaime Enrique Rodríguez Navas.</w:t>
      </w:r>
    </w:p>
    <w:p w14:paraId="68B177B3" w14:textId="77777777" w:rsidR="00F93C05" w:rsidRPr="00EC20D7" w:rsidRDefault="00F93C05" w:rsidP="00F93C05">
      <w:pPr>
        <w:ind w:firstLine="709"/>
        <w:jc w:val="both"/>
        <w:rPr>
          <w:rFonts w:ascii="Arial" w:hAnsi="Arial" w:cs="Arial"/>
          <w:sz w:val="19"/>
          <w:szCs w:val="19"/>
        </w:rPr>
      </w:pPr>
    </w:p>
  </w:footnote>
  <w:footnote w:id="28">
    <w:p w14:paraId="7B49FDE4" w14:textId="77777777" w:rsidR="00F93C05" w:rsidRDefault="00F93C05" w:rsidP="00F93C05">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1 de noviembre de 2016 [Rad. 11001-03-06-000-2016-00125-00(2305)]. MP. Germán Alberto Bula Escobar».</w:t>
      </w:r>
    </w:p>
    <w:p w14:paraId="609E1B4C" w14:textId="77777777" w:rsidR="00F93C05" w:rsidRPr="00EC20D7" w:rsidRDefault="00F93C05" w:rsidP="00F93C05">
      <w:pPr>
        <w:pStyle w:val="Textonotapie"/>
        <w:ind w:firstLine="708"/>
        <w:jc w:val="both"/>
        <w:rPr>
          <w:rFonts w:ascii="Arial" w:hAnsi="Arial" w:cs="Arial"/>
          <w:sz w:val="19"/>
          <w:szCs w:val="19"/>
        </w:rPr>
      </w:pPr>
    </w:p>
  </w:footnote>
  <w:footnote w:id="29">
    <w:p w14:paraId="2C8A1C09" w14:textId="77777777" w:rsidR="00F93C05" w:rsidRPr="00EC20D7" w:rsidRDefault="00F93C05" w:rsidP="00F93C05">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C20D7">
        <w:rPr>
          <w:rFonts w:ascii="Arial" w:hAnsi="Arial" w:cs="Arial"/>
          <w:i/>
          <w:sz w:val="19"/>
          <w:szCs w:val="19"/>
        </w:rPr>
        <w:t>“obligacional”</w:t>
      </w:r>
      <w:r w:rsidRPr="00EC20D7">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0">
    <w:p w14:paraId="49624E8D" w14:textId="77777777" w:rsidR="00F93C05" w:rsidRDefault="00F93C05" w:rsidP="00F93C05">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«La normativa vigente del EGCAP </w:t>
      </w:r>
      <w:r w:rsidRPr="00EC20D7">
        <w:rPr>
          <w:rFonts w:ascii="Arial" w:hAnsi="Arial" w:cs="Arial"/>
          <w:i/>
          <w:sz w:val="19"/>
          <w:szCs w:val="19"/>
        </w:rPr>
        <w:t>[literal c) del numeral 4. del artículo 2 de la Ley 1150/07]</w:t>
      </w:r>
      <w:r w:rsidRPr="00EC20D7">
        <w:rPr>
          <w:rFonts w:ascii="Arial" w:hAnsi="Arial" w:cs="Arial"/>
          <w:sz w:val="19"/>
          <w:szCs w:val="19"/>
        </w:rPr>
        <w:t xml:space="preserve"> se refiere a </w:t>
      </w:r>
      <w:r w:rsidRPr="00EC20D7">
        <w:rPr>
          <w:rFonts w:ascii="Arial" w:hAnsi="Arial" w:cs="Arial"/>
          <w:i/>
          <w:sz w:val="19"/>
          <w:szCs w:val="19"/>
        </w:rPr>
        <w:t>“contratos interadministrativos”</w:t>
      </w:r>
      <w:r w:rsidRPr="00EC20D7">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5B6C436C" w14:textId="77777777" w:rsidR="00F93C05" w:rsidRPr="00EC20D7" w:rsidRDefault="00F93C05" w:rsidP="00F93C05">
      <w:pPr>
        <w:pStyle w:val="Textonotapie"/>
        <w:ind w:firstLine="708"/>
        <w:jc w:val="both"/>
        <w:rPr>
          <w:rFonts w:ascii="Arial" w:hAnsi="Arial" w:cs="Arial"/>
          <w:sz w:val="19"/>
          <w:szCs w:val="19"/>
        </w:rPr>
      </w:pPr>
    </w:p>
  </w:footnote>
  <w:footnote w:id="31">
    <w:p w14:paraId="63637C05" w14:textId="77777777" w:rsidR="00F93C05" w:rsidRDefault="00F93C05" w:rsidP="00F93C05">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7A99BA55" w14:textId="77777777" w:rsidR="00F93C05" w:rsidRPr="00EC20D7" w:rsidRDefault="00F93C05" w:rsidP="00F93C05">
      <w:pPr>
        <w:pStyle w:val="Textonotapie"/>
        <w:ind w:firstLine="708"/>
        <w:jc w:val="both"/>
        <w:rPr>
          <w:rFonts w:ascii="Arial" w:hAnsi="Arial" w:cs="Arial"/>
          <w:sz w:val="19"/>
          <w:szCs w:val="19"/>
        </w:rPr>
      </w:pPr>
    </w:p>
  </w:footnote>
  <w:footnote w:id="32">
    <w:p w14:paraId="768E4C02" w14:textId="77777777" w:rsidR="00F93C05" w:rsidRPr="00EC20D7" w:rsidRDefault="00F93C05" w:rsidP="00F93C05">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Es lo que sucede, por ejemplo, con el Decreto 092 de 2017, que en su desarrollo hace referencia tanto a los «contratos» como a los «convenios». </w:t>
      </w:r>
    </w:p>
    <w:p w14:paraId="4C06CFC1" w14:textId="77777777" w:rsidR="00F93C05" w:rsidRPr="00EC20D7" w:rsidRDefault="00F93C05" w:rsidP="00F93C05">
      <w:pPr>
        <w:pStyle w:val="Textonotapie"/>
        <w:ind w:firstLine="708"/>
        <w:jc w:val="both"/>
        <w:rPr>
          <w:rFonts w:ascii="Arial" w:hAnsi="Arial" w:cs="Arial"/>
          <w:sz w:val="19"/>
          <w:szCs w:val="19"/>
          <w:lang w:val="es-CO"/>
        </w:rPr>
      </w:pPr>
    </w:p>
  </w:footnote>
  <w:footnote w:id="33">
    <w:p w14:paraId="3C5CEFA9" w14:textId="77777777" w:rsidR="00F93C05" w:rsidRPr="00EC20D7" w:rsidRDefault="00F93C05" w:rsidP="00F93C05">
      <w:pPr>
        <w:pStyle w:val="Textonotapie"/>
        <w:ind w:firstLine="708"/>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54630A59" w14:textId="77777777" w:rsidR="00F93C05" w:rsidRPr="00EC20D7" w:rsidRDefault="00F93C05" w:rsidP="00F93C05">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7690DE02" w14:textId="77777777" w:rsidR="00F93C05" w:rsidRPr="00EC20D7" w:rsidRDefault="00F93C05" w:rsidP="00F93C05">
      <w:pPr>
        <w:pStyle w:val="Textonotapie"/>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387886"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763E"/>
    <w:rsid w:val="0001035D"/>
    <w:rsid w:val="000161DA"/>
    <w:rsid w:val="00033625"/>
    <w:rsid w:val="000549D1"/>
    <w:rsid w:val="000965D3"/>
    <w:rsid w:val="000A6CC7"/>
    <w:rsid w:val="000B322A"/>
    <w:rsid w:val="00100B7E"/>
    <w:rsid w:val="00101763"/>
    <w:rsid w:val="00103032"/>
    <w:rsid w:val="001313E6"/>
    <w:rsid w:val="0016642F"/>
    <w:rsid w:val="00172E23"/>
    <w:rsid w:val="00193899"/>
    <w:rsid w:val="001E52B9"/>
    <w:rsid w:val="001F772D"/>
    <w:rsid w:val="00207B71"/>
    <w:rsid w:val="002B56B1"/>
    <w:rsid w:val="002C56DB"/>
    <w:rsid w:val="002C7C73"/>
    <w:rsid w:val="002D55E0"/>
    <w:rsid w:val="002E1C4A"/>
    <w:rsid w:val="002E7608"/>
    <w:rsid w:val="003037F6"/>
    <w:rsid w:val="00365F74"/>
    <w:rsid w:val="00395B41"/>
    <w:rsid w:val="003A0131"/>
    <w:rsid w:val="003C0050"/>
    <w:rsid w:val="003C7067"/>
    <w:rsid w:val="003D2D2A"/>
    <w:rsid w:val="003D36CE"/>
    <w:rsid w:val="003E060B"/>
    <w:rsid w:val="003E368C"/>
    <w:rsid w:val="003E582E"/>
    <w:rsid w:val="003E7261"/>
    <w:rsid w:val="004079E3"/>
    <w:rsid w:val="004118E7"/>
    <w:rsid w:val="00424FDE"/>
    <w:rsid w:val="004416C7"/>
    <w:rsid w:val="00442947"/>
    <w:rsid w:val="004662C1"/>
    <w:rsid w:val="00470EFA"/>
    <w:rsid w:val="0048244C"/>
    <w:rsid w:val="00491798"/>
    <w:rsid w:val="00492BE0"/>
    <w:rsid w:val="004A1498"/>
    <w:rsid w:val="004B3476"/>
    <w:rsid w:val="004C11F0"/>
    <w:rsid w:val="004D7BB0"/>
    <w:rsid w:val="0051003B"/>
    <w:rsid w:val="00512F87"/>
    <w:rsid w:val="00513EEE"/>
    <w:rsid w:val="00520C5E"/>
    <w:rsid w:val="005256F8"/>
    <w:rsid w:val="005556E0"/>
    <w:rsid w:val="005A3065"/>
    <w:rsid w:val="005F6429"/>
    <w:rsid w:val="006151F8"/>
    <w:rsid w:val="00645FB0"/>
    <w:rsid w:val="006C1EB7"/>
    <w:rsid w:val="006C4D8B"/>
    <w:rsid w:val="006E050F"/>
    <w:rsid w:val="0072347E"/>
    <w:rsid w:val="00756C59"/>
    <w:rsid w:val="00763584"/>
    <w:rsid w:val="00774CB1"/>
    <w:rsid w:val="007915CC"/>
    <w:rsid w:val="00793E8F"/>
    <w:rsid w:val="007A1E56"/>
    <w:rsid w:val="007A48A1"/>
    <w:rsid w:val="007C14A7"/>
    <w:rsid w:val="007C3E50"/>
    <w:rsid w:val="007C57D2"/>
    <w:rsid w:val="007D2560"/>
    <w:rsid w:val="00831710"/>
    <w:rsid w:val="00833A9F"/>
    <w:rsid w:val="00862B07"/>
    <w:rsid w:val="0086673C"/>
    <w:rsid w:val="00892B5A"/>
    <w:rsid w:val="008A5998"/>
    <w:rsid w:val="008C14C7"/>
    <w:rsid w:val="008F66B0"/>
    <w:rsid w:val="009211AF"/>
    <w:rsid w:val="0094584C"/>
    <w:rsid w:val="00957364"/>
    <w:rsid w:val="00984890"/>
    <w:rsid w:val="009B557F"/>
    <w:rsid w:val="009B5E61"/>
    <w:rsid w:val="009F0A44"/>
    <w:rsid w:val="00A17AB5"/>
    <w:rsid w:val="00A24C7E"/>
    <w:rsid w:val="00A425A1"/>
    <w:rsid w:val="00A558C4"/>
    <w:rsid w:val="00A80366"/>
    <w:rsid w:val="00AC79EC"/>
    <w:rsid w:val="00AD73B1"/>
    <w:rsid w:val="00AE4F53"/>
    <w:rsid w:val="00B073DF"/>
    <w:rsid w:val="00B24B11"/>
    <w:rsid w:val="00BA0C7F"/>
    <w:rsid w:val="00BE7294"/>
    <w:rsid w:val="00C00312"/>
    <w:rsid w:val="00C37B4E"/>
    <w:rsid w:val="00C4563A"/>
    <w:rsid w:val="00C621D4"/>
    <w:rsid w:val="00C7267B"/>
    <w:rsid w:val="00C84F70"/>
    <w:rsid w:val="00C87384"/>
    <w:rsid w:val="00C96E18"/>
    <w:rsid w:val="00CC48A3"/>
    <w:rsid w:val="00D7628C"/>
    <w:rsid w:val="00DE212A"/>
    <w:rsid w:val="00DE3DE9"/>
    <w:rsid w:val="00E00576"/>
    <w:rsid w:val="00E03801"/>
    <w:rsid w:val="00E416E6"/>
    <w:rsid w:val="00E700EA"/>
    <w:rsid w:val="00EA4609"/>
    <w:rsid w:val="00EC54C7"/>
    <w:rsid w:val="00EC5869"/>
    <w:rsid w:val="00F00588"/>
    <w:rsid w:val="00F17C3F"/>
    <w:rsid w:val="00F8617A"/>
    <w:rsid w:val="00F93C05"/>
    <w:rsid w:val="00F97AE4"/>
    <w:rsid w:val="00FB43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chartTrackingRefBased/>
  <w15:docId w15:val="{714D969C-E74C-7348-842B-D1DEAF5C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Hipervnculo">
    <w:name w:val="Hyperlink"/>
    <w:basedOn w:val="Fuentedeprrafopredeter"/>
    <w:uiPriority w:val="99"/>
    <w:unhideWhenUsed/>
    <w:rsid w:val="00C84F70"/>
    <w:rPr>
      <w:color w:val="0563C1" w:themeColor="hyperlink"/>
      <w:u w:val="single"/>
    </w:rPr>
  </w:style>
  <w:style w:type="character" w:styleId="Mencinsinresolver">
    <w:name w:val="Unresolved Mention"/>
    <w:basedOn w:val="Fuentedeprrafopredeter"/>
    <w:uiPriority w:val="99"/>
    <w:semiHidden/>
    <w:unhideWhenUsed/>
    <w:rsid w:val="00C84F70"/>
    <w:rPr>
      <w:color w:val="605E5C"/>
      <w:shd w:val="clear" w:color="auto" w:fill="E1DFDD"/>
    </w:rPr>
  </w:style>
  <w:style w:type="character" w:styleId="Hipervnculovisitado">
    <w:name w:val="FollowedHyperlink"/>
    <w:basedOn w:val="Fuentedeprrafopredeter"/>
    <w:uiPriority w:val="99"/>
    <w:semiHidden/>
    <w:unhideWhenUsed/>
    <w:rsid w:val="00EA4609"/>
    <w:rPr>
      <w:color w:val="954F72" w:themeColor="followedHyperlink"/>
      <w:u w:val="single"/>
    </w:rPr>
  </w:style>
  <w:style w:type="paragraph" w:styleId="Revisin">
    <w:name w:val="Revision"/>
    <w:hidden/>
    <w:uiPriority w:val="99"/>
    <w:semiHidden/>
    <w:rsid w:val="00E700EA"/>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C7267B"/>
    <w:rPr>
      <w:sz w:val="16"/>
      <w:szCs w:val="16"/>
    </w:rPr>
  </w:style>
  <w:style w:type="paragraph" w:styleId="Asuntodelcomentario">
    <w:name w:val="annotation subject"/>
    <w:basedOn w:val="Textocomentario"/>
    <w:next w:val="Textocomentario"/>
    <w:link w:val="AsuntodelcomentarioCar"/>
    <w:uiPriority w:val="99"/>
    <w:semiHidden/>
    <w:unhideWhenUsed/>
    <w:rsid w:val="00C7267B"/>
    <w:rPr>
      <w:b/>
      <w:bCs/>
    </w:rPr>
  </w:style>
  <w:style w:type="character" w:customStyle="1" w:styleId="AsuntodelcomentarioCar">
    <w:name w:val="Asunto del comentario Car"/>
    <w:basedOn w:val="TextocomentarioCar"/>
    <w:link w:val="Asuntodelcomentario"/>
    <w:uiPriority w:val="99"/>
    <w:semiHidden/>
    <w:rsid w:val="00C7267B"/>
    <w:rPr>
      <w:rFonts w:ascii="Times New Roman" w:eastAsia="Times New Roman" w:hAnsi="Times New Roman" w:cs="Times New Roman"/>
      <w:b/>
      <w:bCs/>
      <w:sz w:val="20"/>
      <w:szCs w:val="20"/>
      <w:lang w:eastAsia="es-MX"/>
    </w:rPr>
  </w:style>
  <w:style w:type="paragraph" w:styleId="NormalWeb">
    <w:name w:val="Normal (Web)"/>
    <w:basedOn w:val="Normal"/>
    <w:link w:val="NormalWebCar"/>
    <w:uiPriority w:val="99"/>
    <w:unhideWhenUsed/>
    <w:rsid w:val="001F772D"/>
    <w:pPr>
      <w:spacing w:before="100" w:beforeAutospacing="1" w:after="100" w:afterAutospacing="1"/>
    </w:pPr>
  </w:style>
  <w:style w:type="character" w:customStyle="1" w:styleId="NormalWebCar">
    <w:name w:val="Normal (Web) Car"/>
    <w:link w:val="NormalWeb"/>
    <w:uiPriority w:val="99"/>
    <w:rsid w:val="001F772D"/>
    <w:rPr>
      <w:rFonts w:ascii="Times New Roman" w:eastAsia="Times New Roman" w:hAnsi="Times New Roman" w:cs="Times New Roman"/>
      <w:lang w:eastAsia="es-MX"/>
    </w:rPr>
  </w:style>
  <w:style w:type="character" w:customStyle="1" w:styleId="baj">
    <w:name w:val="b_aj"/>
    <w:basedOn w:val="Fuentedeprrafopredeter"/>
    <w:rsid w:val="00F9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1003782136">
      <w:bodyDiv w:val="1"/>
      <w:marLeft w:val="0"/>
      <w:marRight w:val="0"/>
      <w:marTop w:val="0"/>
      <w:marBottom w:val="0"/>
      <w:divBdr>
        <w:top w:val="none" w:sz="0" w:space="0" w:color="auto"/>
        <w:left w:val="none" w:sz="0" w:space="0" w:color="auto"/>
        <w:bottom w:val="none" w:sz="0" w:space="0" w:color="auto"/>
        <w:right w:val="none" w:sz="0" w:space="0" w:color="auto"/>
      </w:divBdr>
      <w:divsChild>
        <w:div w:id="80002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C197705-AA6C-46BA-AE8D-1B5511A8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154E7-1832-4FC8-A021-1D8FAD94ECC8}">
  <ds:schemaRefs>
    <ds:schemaRef ds:uri="http://schemas.microsoft.com/sharepoint/v3/contenttype/forms"/>
  </ds:schemaRefs>
</ds:datastoreItem>
</file>

<file path=customXml/itemProps3.xml><?xml version="1.0" encoding="utf-8"?>
<ds:datastoreItem xmlns:ds="http://schemas.openxmlformats.org/officeDocument/2006/customXml" ds:itemID="{4D5E5F2F-E601-453B-8C08-B9BAE9F84B0D}">
  <ds:schemaRefs>
    <ds:schemaRef ds:uri="http://schemas.openxmlformats.org/officeDocument/2006/bibliography"/>
  </ds:schemaRefs>
</ds:datastoreItem>
</file>

<file path=customXml/itemProps4.xml><?xml version="1.0" encoding="utf-8"?>
<ds:datastoreItem xmlns:ds="http://schemas.openxmlformats.org/officeDocument/2006/customXml" ds:itemID="{3B501547-28FD-40B3-83D6-30EA3C68D2A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25</Pages>
  <Words>9676</Words>
  <Characters>53220</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Jorge Eliecer Moran Buitrón</cp:lastModifiedBy>
  <cp:revision>45</cp:revision>
  <dcterms:created xsi:type="dcterms:W3CDTF">2022-01-24T15:07:00Z</dcterms:created>
  <dcterms:modified xsi:type="dcterms:W3CDTF">2022-04-21T14:55:00Z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