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C3B7" w14:textId="3D097C6E" w:rsidR="49B02CA2" w:rsidRDefault="49B02CA2" w:rsidP="49B02CA2">
      <w:pPr>
        <w:pStyle w:val="Sinespaciado"/>
      </w:pPr>
    </w:p>
    <w:p w14:paraId="43B20FAA" w14:textId="77777777" w:rsidR="00861543" w:rsidRPr="00861543" w:rsidRDefault="00861543" w:rsidP="00861543">
      <w:pPr>
        <w:jc w:val="both"/>
        <w:rPr>
          <w:rFonts w:ascii="Arial" w:eastAsia="Calibri" w:hAnsi="Arial" w:cs="Arial"/>
          <w:sz w:val="22"/>
          <w:szCs w:val="22"/>
          <w:lang w:val="es-MX" w:eastAsia="en-US"/>
        </w:rPr>
      </w:pPr>
      <w:r w:rsidRPr="00861543">
        <w:rPr>
          <w:rFonts w:ascii="Arial" w:eastAsia="Calibri" w:hAnsi="Arial" w:cs="Arial"/>
          <w:b/>
          <w:sz w:val="22"/>
          <w:szCs w:val="22"/>
          <w:lang w:val="es-MX" w:eastAsia="en-US"/>
        </w:rPr>
        <w:t>PLAN ANUAL DE ADQUISICIONES – Plan de acción</w:t>
      </w:r>
    </w:p>
    <w:p w14:paraId="210FC10E" w14:textId="77777777" w:rsidR="00861543" w:rsidRPr="00861543" w:rsidRDefault="00861543" w:rsidP="00861543">
      <w:pPr>
        <w:jc w:val="both"/>
        <w:rPr>
          <w:rFonts w:ascii="Arial" w:eastAsia="Calibri" w:hAnsi="Arial" w:cs="Arial"/>
          <w:bCs/>
          <w:sz w:val="22"/>
          <w:szCs w:val="22"/>
          <w:lang w:val="es-MX" w:eastAsia="en-GB"/>
        </w:rPr>
      </w:pPr>
    </w:p>
    <w:p w14:paraId="746DF6D2" w14:textId="77777777" w:rsidR="00861543" w:rsidRPr="00861543" w:rsidRDefault="00861543" w:rsidP="00861543">
      <w:pPr>
        <w:jc w:val="both"/>
        <w:rPr>
          <w:rFonts w:ascii="Arial" w:eastAsia="Calibri" w:hAnsi="Arial" w:cs="Arial"/>
          <w:sz w:val="20"/>
          <w:szCs w:val="20"/>
          <w:lang w:val="es-ES" w:eastAsia="en-GB"/>
        </w:rPr>
      </w:pPr>
      <w:r w:rsidRPr="00861543">
        <w:rPr>
          <w:rFonts w:ascii="Arial" w:eastAsia="Calibri" w:hAnsi="Arial" w:cs="Arial"/>
          <w:sz w:val="20"/>
          <w:szCs w:val="20"/>
          <w:lang w:val="es-ES" w:eastAsia="en-GB"/>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68254688" w14:textId="25AEED10" w:rsidR="00861543" w:rsidRDefault="00861543" w:rsidP="00861543">
      <w:pPr>
        <w:widowControl w:val="0"/>
        <w:autoSpaceDE w:val="0"/>
        <w:autoSpaceDN w:val="0"/>
        <w:spacing w:before="94"/>
        <w:ind w:right="533"/>
        <w:jc w:val="both"/>
        <w:rPr>
          <w:rFonts w:ascii="Arial" w:eastAsia="Arial MT" w:hAnsi="Arial MT" w:cs="Arial MT"/>
          <w:b/>
          <w:color w:val="585858"/>
          <w:sz w:val="18"/>
          <w:szCs w:val="22"/>
          <w:lang w:val="es-ES" w:eastAsia="en-US"/>
        </w:rPr>
      </w:pPr>
    </w:p>
    <w:p w14:paraId="0445D337" w14:textId="77777777" w:rsidR="00861543" w:rsidRPr="00861543" w:rsidRDefault="00861543" w:rsidP="00861543">
      <w:pPr>
        <w:jc w:val="both"/>
        <w:rPr>
          <w:rFonts w:ascii="Arial" w:eastAsia="Calibri" w:hAnsi="Arial" w:cs="Arial"/>
          <w:b/>
          <w:sz w:val="22"/>
          <w:szCs w:val="22"/>
          <w:lang w:val="es-ES" w:eastAsia="en-GB"/>
        </w:rPr>
      </w:pPr>
      <w:r w:rsidRPr="00861543">
        <w:rPr>
          <w:rFonts w:ascii="Arial" w:eastAsia="Calibri" w:hAnsi="Arial" w:cs="Arial"/>
          <w:b/>
          <w:sz w:val="22"/>
          <w:szCs w:val="22"/>
          <w:lang w:val="es-ES" w:eastAsia="en-GB"/>
        </w:rPr>
        <w:t xml:space="preserve">PLAN ANUAL DE ADQUISICIONES – Publicidad </w:t>
      </w:r>
      <w:r w:rsidRPr="00861543">
        <w:rPr>
          <w:rFonts w:ascii="Arial" w:eastAsia="Calibri" w:hAnsi="Arial" w:cs="Arial"/>
          <w:b/>
          <w:bCs/>
          <w:sz w:val="22"/>
          <w:szCs w:val="22"/>
          <w:lang w:val="es-ES" w:eastAsia="en-GB"/>
        </w:rPr>
        <w:t>– Entidades estatales obligadas</w:t>
      </w:r>
    </w:p>
    <w:p w14:paraId="05C49D41" w14:textId="77777777" w:rsidR="00861543" w:rsidRPr="00861543" w:rsidRDefault="00861543" w:rsidP="00861543">
      <w:pPr>
        <w:jc w:val="both"/>
        <w:rPr>
          <w:rFonts w:ascii="Arial" w:eastAsia="Calibri" w:hAnsi="Arial" w:cs="Arial"/>
          <w:sz w:val="22"/>
          <w:szCs w:val="22"/>
          <w:lang w:val="es-ES" w:eastAsia="en-GB"/>
        </w:rPr>
      </w:pPr>
    </w:p>
    <w:p w14:paraId="62D189E6" w14:textId="1298C10A" w:rsidR="00861543" w:rsidRPr="00861543" w:rsidRDefault="00861543" w:rsidP="00861543">
      <w:pPr>
        <w:jc w:val="both"/>
        <w:rPr>
          <w:rFonts w:ascii="Arial" w:eastAsia="Calibri" w:hAnsi="Arial" w:cs="Arial"/>
          <w:sz w:val="20"/>
          <w:szCs w:val="20"/>
          <w:lang w:val="es-ES" w:eastAsia="en-GB"/>
        </w:rPr>
      </w:pPr>
      <w:r w:rsidRPr="00861543">
        <w:rPr>
          <w:rFonts w:ascii="Arial" w:eastAsia="Calibri" w:hAnsi="Arial" w:cs="Arial"/>
          <w:sz w:val="20"/>
          <w:szCs w:val="20"/>
          <w:lang w:val="es-ES" w:eastAsia="en-GB"/>
        </w:rPr>
        <w:t>El artículo 9, literal e), prescribe que todo sujeto obligado deberá publicar, en los sistemas de información del Estado o herramientas que lo sustituyan, su respectivo plan de compras anual</w:t>
      </w:r>
      <w:r w:rsidR="009E2E5B">
        <w:rPr>
          <w:rFonts w:ascii="Arial" w:eastAsia="Calibri" w:hAnsi="Arial" w:cs="Arial"/>
          <w:sz w:val="20"/>
          <w:szCs w:val="20"/>
          <w:lang w:val="es-ES" w:eastAsia="en-GB"/>
        </w:rPr>
        <w:t>.</w:t>
      </w:r>
      <w:r w:rsidRPr="00861543">
        <w:rPr>
          <w:rFonts w:ascii="Arial" w:eastAsia="Calibri" w:hAnsi="Arial" w:cs="Arial"/>
          <w:sz w:val="20"/>
          <w:szCs w:val="20"/>
          <w:lang w:val="es-ES" w:eastAsia="en-GB"/>
        </w:rPr>
        <w:t xml:space="preserve"> Para determinar los sujetos obligados a publicarlo es necesario remitirse al artículo 5 de la Ley 1712 de 2014. </w:t>
      </w:r>
    </w:p>
    <w:p w14:paraId="1BA41ABE" w14:textId="77777777" w:rsidR="00861543" w:rsidRPr="00861543" w:rsidRDefault="00861543" w:rsidP="00861543">
      <w:pPr>
        <w:jc w:val="both"/>
        <w:rPr>
          <w:rFonts w:ascii="Arial" w:eastAsia="Calibri" w:hAnsi="Arial" w:cs="Arial"/>
          <w:sz w:val="20"/>
          <w:szCs w:val="20"/>
          <w:lang w:val="es-ES" w:eastAsia="en-GB"/>
        </w:rPr>
      </w:pPr>
      <w:r w:rsidRPr="00861543">
        <w:rPr>
          <w:rFonts w:ascii="Arial" w:eastAsia="Calibri" w:hAnsi="Arial" w:cs="Arial"/>
          <w:sz w:val="20"/>
          <w:szCs w:val="20"/>
          <w:lang w:val="es-ES" w:eastAsia="en-GB"/>
        </w:rPr>
        <w:t>[…]</w:t>
      </w:r>
    </w:p>
    <w:p w14:paraId="01A2AADE" w14:textId="77777777" w:rsidR="00861543" w:rsidRPr="00861543" w:rsidRDefault="00861543" w:rsidP="00861543">
      <w:pPr>
        <w:jc w:val="both"/>
        <w:rPr>
          <w:rFonts w:ascii="Arial" w:eastAsia="Calibri" w:hAnsi="Arial" w:cs="Arial"/>
          <w:sz w:val="20"/>
          <w:szCs w:val="20"/>
          <w:lang w:val="es-ES" w:eastAsia="en-GB"/>
        </w:rPr>
      </w:pPr>
    </w:p>
    <w:p w14:paraId="5881B0D5" w14:textId="3B3FD14C" w:rsidR="00861543" w:rsidRDefault="00861543" w:rsidP="00861543">
      <w:pPr>
        <w:jc w:val="both"/>
        <w:rPr>
          <w:rFonts w:ascii="Arial" w:eastAsia="Calibri" w:hAnsi="Arial" w:cs="Arial"/>
          <w:sz w:val="20"/>
          <w:szCs w:val="20"/>
          <w:lang w:val="es-ES" w:eastAsia="en-GB"/>
        </w:rPr>
      </w:pPr>
      <w:r w:rsidRPr="00861543">
        <w:rPr>
          <w:rFonts w:ascii="Arial" w:eastAsia="Calibri" w:hAnsi="Arial" w:cs="Arial"/>
          <w:sz w:val="20"/>
          <w:szCs w:val="20"/>
          <w:lang w:val="es-ES" w:eastAsia="en-GB"/>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1A4D3158" w14:textId="1E6AC38E" w:rsidR="00861543" w:rsidRDefault="00861543" w:rsidP="00861543">
      <w:pPr>
        <w:jc w:val="both"/>
        <w:rPr>
          <w:rFonts w:ascii="Arial" w:eastAsia="Calibri" w:hAnsi="Arial" w:cs="Arial"/>
          <w:sz w:val="20"/>
          <w:szCs w:val="20"/>
          <w:lang w:val="es-ES" w:eastAsia="en-GB"/>
        </w:rPr>
      </w:pPr>
    </w:p>
    <w:p w14:paraId="4DC48A2E" w14:textId="77777777" w:rsidR="009E2E5B" w:rsidRPr="009E2E5B" w:rsidRDefault="009E2E5B" w:rsidP="009E2E5B">
      <w:pPr>
        <w:spacing w:line="276" w:lineRule="auto"/>
        <w:jc w:val="both"/>
        <w:rPr>
          <w:rFonts w:ascii="Arial" w:eastAsia="Calibri" w:hAnsi="Arial" w:cs="Arial"/>
          <w:b/>
          <w:sz w:val="22"/>
          <w:szCs w:val="22"/>
          <w:lang w:val="es-ES" w:eastAsia="en-US"/>
        </w:rPr>
      </w:pPr>
      <w:r w:rsidRPr="009E2E5B">
        <w:rPr>
          <w:rFonts w:ascii="Arial" w:eastAsia="Calibri" w:hAnsi="Arial" w:cs="Arial"/>
          <w:b/>
          <w:sz w:val="22"/>
          <w:szCs w:val="22"/>
          <w:lang w:val="es-ES" w:eastAsia="en-US"/>
        </w:rPr>
        <w:t xml:space="preserve">PLAN ANUAL DE ADQUISICIONES – Contenido </w:t>
      </w:r>
    </w:p>
    <w:p w14:paraId="07F5E101" w14:textId="77777777" w:rsidR="009E2E5B" w:rsidRPr="009E2E5B" w:rsidRDefault="009E2E5B" w:rsidP="009E2E5B">
      <w:pPr>
        <w:spacing w:line="276" w:lineRule="auto"/>
        <w:jc w:val="both"/>
        <w:rPr>
          <w:rFonts w:ascii="Arial" w:eastAsia="Calibri" w:hAnsi="Arial" w:cs="Arial"/>
          <w:b/>
          <w:sz w:val="20"/>
          <w:szCs w:val="20"/>
          <w:lang w:val="es-ES" w:eastAsia="en-US"/>
        </w:rPr>
      </w:pPr>
    </w:p>
    <w:p w14:paraId="7EC5921D" w14:textId="77777777" w:rsidR="009E2E5B" w:rsidRPr="009E2E5B" w:rsidRDefault="009E2E5B" w:rsidP="009E2E5B">
      <w:pPr>
        <w:jc w:val="both"/>
        <w:rPr>
          <w:rFonts w:ascii="Arial" w:eastAsia="Calibri" w:hAnsi="Arial" w:cs="Arial"/>
          <w:sz w:val="20"/>
          <w:szCs w:val="20"/>
          <w:lang w:val="es-ES" w:eastAsia="en-US"/>
        </w:rPr>
      </w:pPr>
      <w:r w:rsidRPr="009E2E5B">
        <w:rPr>
          <w:rFonts w:ascii="Arial" w:eastAsia="Calibri" w:hAnsi="Arial" w:cs="Arial"/>
          <w:sz w:val="20"/>
          <w:szCs w:val="20"/>
          <w:lang w:val="es-ES" w:eastAsia="en-U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9E2E5B">
        <w:rPr>
          <w:rFonts w:ascii="Arial" w:eastAsia="Calibri" w:hAnsi="Arial" w:cs="Arial"/>
          <w:sz w:val="20"/>
          <w:szCs w:val="20"/>
          <w:lang w:val="es-ES" w:eastAsia="en-US"/>
        </w:rPr>
        <w:t>ii</w:t>
      </w:r>
      <w:proofErr w:type="spellEnd"/>
      <w:r w:rsidRPr="009E2E5B">
        <w:rPr>
          <w:rFonts w:ascii="Arial" w:eastAsia="Calibri" w:hAnsi="Arial" w:cs="Arial"/>
          <w:sz w:val="20"/>
          <w:szCs w:val="20"/>
          <w:lang w:val="es-ES" w:eastAsia="en-US"/>
        </w:rPr>
        <w:t xml:space="preserve">) valor estimado del contrato, </w:t>
      </w:r>
      <w:proofErr w:type="spellStart"/>
      <w:r w:rsidRPr="009E2E5B">
        <w:rPr>
          <w:rFonts w:ascii="Arial" w:eastAsia="Calibri" w:hAnsi="Arial" w:cs="Arial"/>
          <w:sz w:val="20"/>
          <w:szCs w:val="20"/>
          <w:lang w:val="es-ES" w:eastAsia="en-US"/>
        </w:rPr>
        <w:t>iii</w:t>
      </w:r>
      <w:proofErr w:type="spellEnd"/>
      <w:r w:rsidRPr="009E2E5B">
        <w:rPr>
          <w:rFonts w:ascii="Arial" w:eastAsia="Calibri" w:hAnsi="Arial" w:cs="Arial"/>
          <w:sz w:val="20"/>
          <w:szCs w:val="20"/>
          <w:lang w:val="es-ES" w:eastAsia="en-US"/>
        </w:rPr>
        <w:t xml:space="preserve">) tipo de recursos, </w:t>
      </w:r>
      <w:proofErr w:type="spellStart"/>
      <w:r w:rsidRPr="009E2E5B">
        <w:rPr>
          <w:rFonts w:ascii="Arial" w:eastAsia="Calibri" w:hAnsi="Arial" w:cs="Arial"/>
          <w:sz w:val="20"/>
          <w:szCs w:val="20"/>
          <w:lang w:val="es-ES" w:eastAsia="en-US"/>
        </w:rPr>
        <w:t>iv</w:t>
      </w:r>
      <w:proofErr w:type="spellEnd"/>
      <w:r w:rsidRPr="009E2E5B">
        <w:rPr>
          <w:rFonts w:ascii="Arial" w:eastAsia="Calibri" w:hAnsi="Arial" w:cs="Arial"/>
          <w:sz w:val="20"/>
          <w:szCs w:val="20"/>
          <w:lang w:val="es-ES" w:eastAsia="en-US"/>
        </w:rPr>
        <w:t>) modalidad de selección y v) fecha de inicio del proceso contractual.</w:t>
      </w:r>
    </w:p>
    <w:p w14:paraId="00DCD61D" w14:textId="77777777" w:rsidR="00861543" w:rsidRPr="00861543" w:rsidRDefault="00861543" w:rsidP="00861543">
      <w:pPr>
        <w:jc w:val="both"/>
        <w:rPr>
          <w:rFonts w:ascii="Arial" w:eastAsia="Calibri" w:hAnsi="Arial" w:cs="Arial"/>
          <w:sz w:val="20"/>
          <w:szCs w:val="20"/>
          <w:lang w:val="es-ES" w:eastAsia="en-GB"/>
        </w:rPr>
      </w:pPr>
    </w:p>
    <w:p w14:paraId="0FFE14B7" w14:textId="77777777" w:rsidR="009E2E5B" w:rsidRPr="009E2E5B" w:rsidRDefault="009E2E5B" w:rsidP="009E2E5B">
      <w:pPr>
        <w:jc w:val="both"/>
        <w:rPr>
          <w:rFonts w:ascii="Arial" w:eastAsia="Calibri" w:hAnsi="Arial" w:cs="Arial"/>
          <w:b/>
          <w:sz w:val="22"/>
          <w:szCs w:val="22"/>
          <w:lang w:val="es-ES" w:eastAsia="en-US"/>
        </w:rPr>
      </w:pPr>
      <w:r w:rsidRPr="009E2E5B">
        <w:rPr>
          <w:rFonts w:ascii="Arial" w:eastAsia="Calibri" w:hAnsi="Arial" w:cs="Arial"/>
          <w:b/>
          <w:sz w:val="22"/>
          <w:szCs w:val="22"/>
          <w:lang w:val="es-ES" w:eastAsia="en-US"/>
        </w:rPr>
        <w:t xml:space="preserve">PLAN ANUAL DE ADQUISICIONES – Carácter estimativo </w:t>
      </w:r>
    </w:p>
    <w:p w14:paraId="216D5CFD" w14:textId="77777777" w:rsidR="009E2E5B" w:rsidRPr="009E2E5B" w:rsidRDefault="009E2E5B" w:rsidP="009E2E5B">
      <w:pPr>
        <w:jc w:val="both"/>
        <w:rPr>
          <w:rFonts w:ascii="Arial" w:eastAsia="Calibri" w:hAnsi="Arial" w:cs="Arial"/>
          <w:sz w:val="20"/>
          <w:szCs w:val="20"/>
          <w:lang w:val="es-ES" w:eastAsia="en-US"/>
        </w:rPr>
      </w:pPr>
    </w:p>
    <w:p w14:paraId="7B952BB3" w14:textId="77777777" w:rsidR="009E2E5B" w:rsidRPr="009E2E5B" w:rsidRDefault="009E2E5B" w:rsidP="009E2E5B">
      <w:pPr>
        <w:jc w:val="both"/>
        <w:rPr>
          <w:rFonts w:ascii="Arial" w:eastAsia="Calibri" w:hAnsi="Arial" w:cs="Arial"/>
          <w:sz w:val="20"/>
          <w:szCs w:val="20"/>
          <w:lang w:val="es-ES" w:eastAsia="en-US"/>
        </w:rPr>
      </w:pPr>
      <w:r w:rsidRPr="009E2E5B">
        <w:rPr>
          <w:rFonts w:ascii="Arial" w:eastAsia="Calibri" w:hAnsi="Arial" w:cs="Arial"/>
          <w:sz w:val="20"/>
          <w:szCs w:val="20"/>
          <w:lang w:val="es-ES" w:eastAsia="en-U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42C936C9" w14:textId="3FE42812" w:rsidR="00861543" w:rsidRDefault="00861543" w:rsidP="00861543">
      <w:pPr>
        <w:widowControl w:val="0"/>
        <w:autoSpaceDE w:val="0"/>
        <w:autoSpaceDN w:val="0"/>
        <w:spacing w:before="94"/>
        <w:ind w:right="533"/>
        <w:jc w:val="both"/>
        <w:rPr>
          <w:rFonts w:ascii="Arial" w:eastAsia="Arial MT" w:hAnsi="Arial MT" w:cs="Arial MT"/>
          <w:b/>
          <w:color w:val="585858"/>
          <w:sz w:val="18"/>
          <w:szCs w:val="22"/>
          <w:lang w:val="es-ES" w:eastAsia="en-US"/>
        </w:rPr>
      </w:pPr>
    </w:p>
    <w:p w14:paraId="35E08441" w14:textId="77777777" w:rsidR="00F065C6" w:rsidRPr="00F065C6" w:rsidRDefault="00F065C6" w:rsidP="00F065C6">
      <w:pPr>
        <w:jc w:val="both"/>
        <w:rPr>
          <w:rFonts w:ascii="Arial" w:eastAsia="Calibri" w:hAnsi="Arial" w:cs="Arial"/>
          <w:b/>
          <w:sz w:val="21"/>
          <w:szCs w:val="21"/>
          <w:lang w:val="es-MX" w:eastAsia="en-US"/>
        </w:rPr>
      </w:pPr>
      <w:r w:rsidRPr="00F065C6">
        <w:rPr>
          <w:rFonts w:ascii="Arial" w:eastAsia="Calibri" w:hAnsi="Arial" w:cs="Arial"/>
          <w:b/>
          <w:sz w:val="22"/>
          <w:szCs w:val="22"/>
          <w:lang w:val="es-MX" w:eastAsia="en-US"/>
        </w:rPr>
        <w:t>SECOP – Publicación – Contratos sin erogación presupuestal</w:t>
      </w:r>
      <w:r w:rsidRPr="00F065C6">
        <w:rPr>
          <w:rFonts w:ascii="Arial" w:eastAsia="Calibri" w:hAnsi="Arial" w:cs="Arial"/>
          <w:b/>
          <w:sz w:val="21"/>
          <w:szCs w:val="21"/>
          <w:lang w:val="es-MX" w:eastAsia="en-US"/>
        </w:rPr>
        <w:t xml:space="preserve"> </w:t>
      </w:r>
    </w:p>
    <w:p w14:paraId="013E81CA" w14:textId="77777777" w:rsidR="00F065C6" w:rsidRPr="00F065C6" w:rsidRDefault="00F065C6" w:rsidP="00F065C6">
      <w:pPr>
        <w:jc w:val="both"/>
        <w:rPr>
          <w:rFonts w:ascii="Arial" w:eastAsia="Calibri" w:hAnsi="Arial" w:cs="Arial"/>
          <w:b/>
          <w:sz w:val="21"/>
          <w:szCs w:val="21"/>
          <w:lang w:val="es-MX" w:eastAsia="en-US"/>
        </w:rPr>
      </w:pPr>
    </w:p>
    <w:p w14:paraId="7080362C" w14:textId="56F5EB8F" w:rsidR="00F065C6" w:rsidRPr="00F065C6" w:rsidRDefault="00F065C6" w:rsidP="00F065C6">
      <w:pPr>
        <w:spacing w:after="120"/>
        <w:jc w:val="both"/>
        <w:rPr>
          <w:rFonts w:ascii="Arial" w:eastAsia="Calibri" w:hAnsi="Arial" w:cs="Arial"/>
          <w:sz w:val="20"/>
          <w:szCs w:val="20"/>
          <w:lang w:val="es-MX" w:eastAsia="en-US"/>
        </w:rPr>
      </w:pPr>
      <w:r w:rsidRPr="00F065C6">
        <w:rPr>
          <w:rFonts w:ascii="Arial" w:eastAsia="Calibri" w:hAnsi="Arial" w:cs="Arial"/>
          <w:sz w:val="20"/>
          <w:szCs w:val="20"/>
          <w:lang w:val="es-MX" w:eastAsia="en-US"/>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 No obstante, es necesario aclarar que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su actividad contractual, sin que sea relevante en el cumplimiento de </w:t>
      </w:r>
      <w:r w:rsidRPr="00F065C6">
        <w:rPr>
          <w:rFonts w:ascii="Arial" w:eastAsia="Calibri" w:hAnsi="Arial" w:cs="Arial"/>
          <w:sz w:val="20"/>
          <w:szCs w:val="20"/>
          <w:lang w:val="es-MX" w:eastAsia="en-US"/>
        </w:rPr>
        <w:lastRenderedPageBreak/>
        <w:t>este deber la ejecución o no de recursos públicos, a pesar de que cuando se ejecutan cobra mayor importancia que se cumpla el principio de publicidad por involucrar un interés principal de la ciudadanía.</w:t>
      </w:r>
    </w:p>
    <w:p w14:paraId="01AB1A05" w14:textId="77777777" w:rsidR="00F065C6" w:rsidRPr="00F065C6" w:rsidRDefault="00F065C6" w:rsidP="00F065C6">
      <w:pPr>
        <w:jc w:val="both"/>
        <w:rPr>
          <w:rFonts w:ascii="Arial" w:eastAsia="Calibri" w:hAnsi="Arial" w:cs="Arial"/>
          <w:sz w:val="20"/>
          <w:szCs w:val="20"/>
          <w:lang w:val="es-MX" w:eastAsia="en-US"/>
        </w:rPr>
      </w:pPr>
      <w:r w:rsidRPr="00F065C6">
        <w:rPr>
          <w:rFonts w:ascii="Arial" w:eastAsia="Calibri" w:hAnsi="Arial" w:cs="Arial"/>
          <w:sz w:val="20"/>
          <w:szCs w:val="20"/>
          <w:lang w:val="es-MX" w:eastAsia="en-US"/>
        </w:rPr>
        <w:t xml:space="preserve">Además, es preciso analizar en detalle el artículo 3 de la Ley 1150 de 2007 citado, ya que al observar la literalidad de la norma se señala la obligación de que la actividad contractual de las entidades se publique en el SECOP, sin que esta, necesariamente,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 […] Así, analizando las normas sobre publicidad en el SECOP, se concluye que no existen disposiciones de las que se pueda inferir el interés de la ley en exigir la publicación de los actos que evidencien la ejecución de recursos públicos, puesto que su objetivo es general y se refiere a la actividad precontractual, contractual y poscontractual de las entidades, sin que pueda existir una interpretación diferente, debido a la finalidad de la ley respecto de la ciudadanía y su derecho a conocer las decisiones de la Administración pública. </w:t>
      </w:r>
    </w:p>
    <w:p w14:paraId="1C11D1D0" w14:textId="77777777" w:rsidR="00F065C6" w:rsidRPr="00F065C6" w:rsidRDefault="00F065C6" w:rsidP="00F065C6">
      <w:pPr>
        <w:jc w:val="both"/>
        <w:rPr>
          <w:rFonts w:ascii="Arial" w:eastAsia="Calibri" w:hAnsi="Arial" w:cs="Arial"/>
          <w:sz w:val="20"/>
          <w:szCs w:val="20"/>
          <w:lang w:val="es-MX" w:eastAsia="en-US"/>
        </w:rPr>
      </w:pPr>
    </w:p>
    <w:p w14:paraId="72AAE18B" w14:textId="49EED77C" w:rsidR="00F065C6" w:rsidRPr="00F065C6" w:rsidRDefault="00F065C6" w:rsidP="00F065C6">
      <w:pPr>
        <w:jc w:val="both"/>
        <w:rPr>
          <w:rFonts w:ascii="Arial" w:eastAsia="Calibri" w:hAnsi="Arial" w:cs="Arial"/>
          <w:b/>
          <w:bCs/>
          <w:sz w:val="22"/>
          <w:szCs w:val="22"/>
          <w:lang w:val="es-MX" w:eastAsia="en-US"/>
        </w:rPr>
      </w:pPr>
      <w:r w:rsidRPr="00F065C6">
        <w:rPr>
          <w:rFonts w:ascii="Arial" w:eastAsia="Calibri" w:hAnsi="Arial" w:cs="Arial"/>
          <w:b/>
          <w:bCs/>
          <w:sz w:val="22"/>
          <w:szCs w:val="22"/>
          <w:lang w:val="es-MX" w:eastAsia="en-US"/>
        </w:rPr>
        <w:t>SECOP – Publicación – Régimen aplicable – Contratos –</w:t>
      </w:r>
      <w:r w:rsidR="009F2A68">
        <w:rPr>
          <w:rFonts w:ascii="Arial" w:eastAsia="Calibri" w:hAnsi="Arial" w:cs="Arial"/>
          <w:b/>
          <w:bCs/>
          <w:sz w:val="22"/>
          <w:szCs w:val="22"/>
          <w:lang w:val="es-MX" w:eastAsia="en-US"/>
        </w:rPr>
        <w:t xml:space="preserve"> </w:t>
      </w:r>
      <w:r w:rsidRPr="00F065C6">
        <w:rPr>
          <w:rFonts w:ascii="Arial" w:eastAsia="Calibri" w:hAnsi="Arial" w:cs="Arial"/>
          <w:b/>
          <w:bCs/>
          <w:sz w:val="22"/>
          <w:szCs w:val="22"/>
          <w:lang w:val="es-MX" w:eastAsia="en-US"/>
        </w:rPr>
        <w:t xml:space="preserve">Comodato </w:t>
      </w:r>
    </w:p>
    <w:p w14:paraId="209B7F31" w14:textId="77777777" w:rsidR="00F065C6" w:rsidRPr="00F065C6" w:rsidRDefault="00F065C6" w:rsidP="00F065C6">
      <w:pPr>
        <w:jc w:val="both"/>
        <w:rPr>
          <w:rFonts w:ascii="Arial" w:eastAsia="Calibri" w:hAnsi="Arial" w:cs="Arial"/>
          <w:sz w:val="20"/>
          <w:szCs w:val="20"/>
          <w:lang w:val="es-MX" w:eastAsia="en-US"/>
        </w:rPr>
      </w:pPr>
    </w:p>
    <w:p w14:paraId="086B51A5" w14:textId="77777777" w:rsidR="00F065C6" w:rsidRPr="00F065C6" w:rsidRDefault="00F065C6" w:rsidP="00F065C6">
      <w:pPr>
        <w:spacing w:after="120"/>
        <w:jc w:val="both"/>
        <w:rPr>
          <w:rFonts w:ascii="Arial" w:eastAsia="Calibri" w:hAnsi="Arial" w:cs="Arial"/>
          <w:sz w:val="20"/>
          <w:szCs w:val="20"/>
          <w:lang w:val="es-MX" w:eastAsia="en-US"/>
        </w:rPr>
      </w:pPr>
      <w:r w:rsidRPr="00F065C6">
        <w:rPr>
          <w:rFonts w:ascii="Arial" w:eastAsia="Calibri" w:hAnsi="Arial" w:cs="Arial"/>
          <w:sz w:val="20"/>
          <w:szCs w:val="20"/>
          <w:lang w:val="es-MX" w:eastAsia="en-US"/>
        </w:rPr>
        <w:t>[La] publicidad de los contratos estatales debe realizarse a través de SECOP, independientemente de cual sea el régimen aplicable al contrato o que este implique o no la erogación de recursos públicos, comoquiera que las referidas normas no sujetan la obligación de publicar en dicha plataforma a tales condiciones. Esto en la medida en que, independientemente de que se realice alguna erogación o se apliquen normas de derecho privado, los contratos estatales involucran un interés público, por lo que deben publicarse en el SECOP que fue el mecanismo establecido por el legislador y el reglamento para garantizar que se cumplan los principios de publicidad y transparencia respecto de los estos.</w:t>
      </w:r>
    </w:p>
    <w:p w14:paraId="1827EE6D" w14:textId="77777777" w:rsidR="00F065C6" w:rsidRPr="00F065C6" w:rsidRDefault="00F065C6" w:rsidP="00F065C6">
      <w:pPr>
        <w:jc w:val="both"/>
        <w:rPr>
          <w:rFonts w:ascii="Arial" w:eastAsia="Calibri" w:hAnsi="Arial" w:cs="Arial"/>
          <w:sz w:val="20"/>
          <w:szCs w:val="20"/>
          <w:lang w:val="es-MX" w:eastAsia="en-US"/>
        </w:rPr>
      </w:pPr>
      <w:r w:rsidRPr="00F065C6">
        <w:rPr>
          <w:rFonts w:ascii="Arial" w:eastAsia="Calibri" w:hAnsi="Arial" w:cs="Arial"/>
          <w:sz w:val="20"/>
          <w:szCs w:val="20"/>
          <w:lang w:val="es-MX" w:eastAsia="en-US"/>
        </w:rPr>
        <w:t>De acuerdo con lo anterior, las entidades estatales están obligadas a publicar en el SECOP I sus actuaciones contractuales. En el caso de las entidades incluidas en el Anexo 1 de la Circular No. 01 de 2019, la obligación de dar publicidad a la contratación implica realizar la gestión contractual a través del SECOP II, plataforma de naturaleza transaccional en la que el proceso de formación del contrato y su suscripción suceden de forma electrónica, dándose publicidad a cada actuación conforme se va produciendo, sin que sea necesario adelantar el proceso en medio físico, ni realizar publicaciones adicionales.</w:t>
      </w:r>
    </w:p>
    <w:p w14:paraId="2EE20D30" w14:textId="77777777" w:rsidR="009E2E5B" w:rsidRPr="009E2E5B" w:rsidRDefault="009E2E5B" w:rsidP="00861543">
      <w:pPr>
        <w:widowControl w:val="0"/>
        <w:autoSpaceDE w:val="0"/>
        <w:autoSpaceDN w:val="0"/>
        <w:spacing w:before="94"/>
        <w:ind w:right="533"/>
        <w:jc w:val="both"/>
        <w:rPr>
          <w:rFonts w:ascii="Arial" w:eastAsia="Arial MT" w:hAnsi="Arial MT" w:cs="Arial MT"/>
          <w:b/>
          <w:color w:val="585858"/>
          <w:sz w:val="18"/>
          <w:szCs w:val="22"/>
          <w:lang w:val="es-MX" w:eastAsia="en-US"/>
        </w:rPr>
      </w:pPr>
    </w:p>
    <w:p w14:paraId="13A44A0B" w14:textId="18A380AA" w:rsidR="009E2E5B" w:rsidRDefault="009E2E5B"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538BBDB8" w14:textId="32FA0C05"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3DABDCEE" w14:textId="05476A62"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1FC8F5DD" w14:textId="7B8CE4F7"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6738D515" w14:textId="0A53827D"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40C1B28D" w14:textId="61EBAD74"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296A1A00" w14:textId="66744A30"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164F0BA0" w14:textId="717DBA16"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7F58CA56" w14:textId="0C573843"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09160EED" w14:textId="2E47507F"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00E7ED09" w14:textId="5C7D1E07"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46F5CF61" w14:textId="5F21A390"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288CB7A9" w14:textId="335AB134" w:rsidR="00F065C6" w:rsidRDefault="00F065C6"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394CF314" w14:textId="58162247" w:rsidR="00804AC4" w:rsidRDefault="00804AC4"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642DD9BA" w14:textId="4E06AFE7" w:rsidR="00804AC4" w:rsidRDefault="00804AC4"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71970A01" w14:textId="77777777" w:rsidR="00804AC4" w:rsidRDefault="00804AC4" w:rsidP="00EA47C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38E74EF5" w14:textId="67358812" w:rsidR="00EA47CC" w:rsidRPr="00C455BE" w:rsidRDefault="00EA47CC" w:rsidP="00EA47CC">
      <w:pPr>
        <w:widowControl w:val="0"/>
        <w:autoSpaceDE w:val="0"/>
        <w:autoSpaceDN w:val="0"/>
        <w:spacing w:before="94"/>
        <w:ind w:right="533"/>
        <w:jc w:val="right"/>
        <w:rPr>
          <w:rFonts w:ascii="Arial" w:eastAsia="Arial MT" w:hAnsi="Arial MT" w:cs="Arial MT"/>
          <w:b/>
          <w:sz w:val="18"/>
          <w:szCs w:val="22"/>
          <w:lang w:val="es-ES" w:eastAsia="en-US"/>
        </w:rPr>
      </w:pPr>
      <w:r w:rsidRPr="00C455BE">
        <w:rPr>
          <w:rFonts w:ascii="Arial" w:eastAsia="Arial MT" w:hAnsi="Arial MT" w:cs="Arial MT"/>
          <w:b/>
          <w:color w:val="585858"/>
          <w:sz w:val="18"/>
          <w:szCs w:val="22"/>
          <w:lang w:val="es-ES" w:eastAsia="en-US"/>
        </w:rPr>
        <w:lastRenderedPageBreak/>
        <w:t>CCE-DES-FM-17</w:t>
      </w:r>
    </w:p>
    <w:p w14:paraId="5C4B33A5" w14:textId="379D806F" w:rsidR="00804AC4" w:rsidRDefault="00804AC4" w:rsidP="00EA47CC">
      <w:pPr>
        <w:spacing w:line="276" w:lineRule="auto"/>
        <w:jc w:val="both"/>
        <w:rPr>
          <w:rFonts w:ascii="Arial" w:hAnsi="Arial" w:cs="Arial"/>
          <w:b/>
          <w:color w:val="000000"/>
          <w:sz w:val="22"/>
        </w:rPr>
      </w:pPr>
    </w:p>
    <w:p w14:paraId="3054FDBD" w14:textId="77777777" w:rsidR="008867BE" w:rsidRDefault="008867BE" w:rsidP="00EA47CC">
      <w:pPr>
        <w:spacing w:line="276" w:lineRule="auto"/>
        <w:jc w:val="both"/>
        <w:rPr>
          <w:rFonts w:ascii="Arial" w:hAnsi="Arial" w:cs="Arial"/>
          <w:b/>
          <w:color w:val="000000"/>
          <w:sz w:val="22"/>
        </w:rPr>
      </w:pPr>
    </w:p>
    <w:p w14:paraId="4DD8E339" w14:textId="55D76FEB" w:rsidR="00C10E62" w:rsidRPr="008867BE" w:rsidRDefault="001D595F" w:rsidP="001D595F">
      <w:pPr>
        <w:spacing w:line="276" w:lineRule="auto"/>
        <w:jc w:val="right"/>
        <w:rPr>
          <w:rFonts w:ascii="Arial" w:hAnsi="Arial" w:cs="Arial"/>
          <w:bCs/>
          <w:color w:val="000000"/>
          <w:sz w:val="22"/>
        </w:rPr>
      </w:pPr>
      <w:r>
        <w:rPr>
          <w:noProof/>
        </w:rPr>
        <w:drawing>
          <wp:inline distT="0" distB="0" distL="0" distR="0" wp14:anchorId="47FD8B4E" wp14:editId="0E77494E">
            <wp:extent cx="2619375" cy="828675"/>
            <wp:effectExtent l="0" t="0" r="9525" b="0"/>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rotWithShape="1">
                    <a:blip r:embed="rId11"/>
                    <a:srcRect l="18155" t="43750" b="-4167"/>
                    <a:stretch/>
                  </pic:blipFill>
                  <pic:spPr bwMode="auto">
                    <a:xfrm>
                      <a:off x="0" y="0"/>
                      <a:ext cx="2619375" cy="828675"/>
                    </a:xfrm>
                    <a:prstGeom prst="rect">
                      <a:avLst/>
                    </a:prstGeom>
                    <a:ln>
                      <a:noFill/>
                    </a:ln>
                    <a:extLst>
                      <a:ext uri="{53640926-AAD7-44D8-BBD7-CCE9431645EC}">
                        <a14:shadowObscured xmlns:a14="http://schemas.microsoft.com/office/drawing/2010/main"/>
                      </a:ext>
                    </a:extLst>
                  </pic:spPr>
                </pic:pic>
              </a:graphicData>
            </a:graphic>
          </wp:inline>
        </w:drawing>
      </w:r>
    </w:p>
    <w:p w14:paraId="4EDB148F" w14:textId="1597C31F" w:rsidR="00882E22" w:rsidRPr="00882E22" w:rsidRDefault="00882E22" w:rsidP="00882E22">
      <w:pPr>
        <w:rPr>
          <w:rFonts w:ascii="Arial" w:eastAsia="Arial" w:hAnsi="Arial" w:cs="Arial"/>
          <w:color w:val="000000"/>
          <w:sz w:val="22"/>
          <w:szCs w:val="22"/>
          <w:lang w:val="es-MX"/>
        </w:rPr>
      </w:pPr>
      <w:r w:rsidRPr="00882E22">
        <w:rPr>
          <w:rFonts w:ascii="Arial" w:eastAsia="Arial" w:hAnsi="Arial" w:cs="Arial"/>
          <w:color w:val="000000"/>
          <w:sz w:val="22"/>
          <w:szCs w:val="22"/>
          <w:lang w:val="es-MX"/>
        </w:rPr>
        <w:t xml:space="preserve">Bogotá, </w:t>
      </w:r>
      <w:r>
        <w:rPr>
          <w:rFonts w:ascii="Arial" w:eastAsia="Arial" w:hAnsi="Arial" w:cs="Arial"/>
          <w:color w:val="000000"/>
          <w:sz w:val="22"/>
          <w:szCs w:val="22"/>
          <w:lang w:val="es-MX"/>
        </w:rPr>
        <w:t>18</w:t>
      </w:r>
      <w:r w:rsidRPr="00882E22">
        <w:rPr>
          <w:rFonts w:ascii="Arial" w:eastAsia="Arial" w:hAnsi="Arial" w:cs="Arial"/>
          <w:color w:val="000000"/>
          <w:sz w:val="22"/>
          <w:szCs w:val="22"/>
          <w:lang w:val="es-MX"/>
        </w:rPr>
        <w:t xml:space="preserve"> </w:t>
      </w:r>
      <w:proofErr w:type="gramStart"/>
      <w:r>
        <w:rPr>
          <w:rFonts w:ascii="Arial" w:eastAsia="Arial" w:hAnsi="Arial" w:cs="Arial"/>
          <w:color w:val="000000"/>
          <w:sz w:val="22"/>
          <w:szCs w:val="22"/>
          <w:lang w:val="es-MX"/>
        </w:rPr>
        <w:t>Febrero</w:t>
      </w:r>
      <w:proofErr w:type="gramEnd"/>
      <w:r w:rsidRPr="00882E22">
        <w:rPr>
          <w:rFonts w:ascii="Arial" w:eastAsia="Arial" w:hAnsi="Arial" w:cs="Arial"/>
          <w:color w:val="000000"/>
          <w:sz w:val="22"/>
          <w:szCs w:val="22"/>
          <w:lang w:val="es-MX"/>
        </w:rPr>
        <w:t xml:space="preserve"> 2022</w:t>
      </w:r>
    </w:p>
    <w:p w14:paraId="3C2D09AF" w14:textId="47970637" w:rsidR="00C10E62" w:rsidRDefault="00C10E62" w:rsidP="00EA47CC">
      <w:pPr>
        <w:spacing w:line="276" w:lineRule="auto"/>
        <w:jc w:val="both"/>
        <w:rPr>
          <w:rFonts w:ascii="Arial" w:hAnsi="Arial" w:cs="Arial"/>
          <w:b/>
          <w:color w:val="000000"/>
          <w:sz w:val="22"/>
        </w:rPr>
      </w:pPr>
    </w:p>
    <w:p w14:paraId="07D63B8F" w14:textId="77777777" w:rsidR="008867BE" w:rsidRPr="00142199" w:rsidRDefault="008867BE" w:rsidP="00EA47CC">
      <w:pPr>
        <w:spacing w:line="276" w:lineRule="auto"/>
        <w:jc w:val="both"/>
        <w:rPr>
          <w:rFonts w:ascii="Arial" w:hAnsi="Arial" w:cs="Arial"/>
          <w:b/>
          <w:color w:val="000000"/>
          <w:sz w:val="22"/>
        </w:rPr>
      </w:pPr>
    </w:p>
    <w:p w14:paraId="268AA3C7" w14:textId="77777777" w:rsidR="00EA47CC" w:rsidRPr="00142199" w:rsidRDefault="00EA47CC" w:rsidP="00EA47CC">
      <w:pPr>
        <w:jc w:val="both"/>
        <w:rPr>
          <w:rFonts w:ascii="Arial" w:eastAsia="Calibri" w:hAnsi="Arial" w:cs="Arial"/>
          <w:color w:val="000000"/>
          <w:sz w:val="22"/>
          <w:lang w:val="es-ES_tradnl"/>
        </w:rPr>
      </w:pPr>
      <w:r w:rsidRPr="00142199">
        <w:rPr>
          <w:rFonts w:ascii="Arial" w:eastAsia="Calibri" w:hAnsi="Arial" w:cs="Arial"/>
          <w:color w:val="000000"/>
          <w:sz w:val="22"/>
          <w:lang w:val="es-ES_tradnl"/>
        </w:rPr>
        <w:t>Señora</w:t>
      </w:r>
    </w:p>
    <w:p w14:paraId="2FB9CE3A" w14:textId="71BEAFDC" w:rsidR="00EA47CC" w:rsidRPr="00142199" w:rsidRDefault="00EA47CC" w:rsidP="00EA47CC">
      <w:pPr>
        <w:jc w:val="both"/>
        <w:rPr>
          <w:rFonts w:ascii="Arial" w:eastAsia="Calibri" w:hAnsi="Arial" w:cs="Arial"/>
          <w:b/>
          <w:color w:val="000000"/>
          <w:sz w:val="22"/>
        </w:rPr>
      </w:pPr>
      <w:r>
        <w:rPr>
          <w:rFonts w:ascii="Arial" w:eastAsia="Calibri" w:hAnsi="Arial" w:cs="Arial"/>
          <w:b/>
          <w:color w:val="000000"/>
          <w:sz w:val="22"/>
        </w:rPr>
        <w:t>Sara Johanna Rojas Ocampo</w:t>
      </w:r>
    </w:p>
    <w:p w14:paraId="0629651C" w14:textId="6CF7A32F" w:rsidR="00EA47CC" w:rsidRPr="00142199" w:rsidRDefault="00EA47CC" w:rsidP="00EA47CC">
      <w:pPr>
        <w:jc w:val="both"/>
        <w:rPr>
          <w:rFonts w:ascii="Arial" w:eastAsia="Calibri" w:hAnsi="Arial" w:cs="Arial"/>
          <w:color w:val="000000"/>
          <w:sz w:val="22"/>
          <w:lang w:val="pt-BR"/>
        </w:rPr>
      </w:pPr>
      <w:proofErr w:type="spellStart"/>
      <w:r>
        <w:rPr>
          <w:rFonts w:ascii="Arial" w:eastAsia="Calibri" w:hAnsi="Arial" w:cs="Arial"/>
          <w:color w:val="000000"/>
          <w:sz w:val="22"/>
          <w:lang w:val="pt-BR"/>
        </w:rPr>
        <w:t>Villavicencio</w:t>
      </w:r>
      <w:proofErr w:type="spellEnd"/>
      <w:r w:rsidRPr="00142199">
        <w:rPr>
          <w:rFonts w:ascii="Arial" w:eastAsia="Calibri" w:hAnsi="Arial" w:cs="Arial"/>
          <w:color w:val="000000"/>
          <w:sz w:val="22"/>
          <w:lang w:val="pt-BR"/>
        </w:rPr>
        <w:t xml:space="preserve">, </w:t>
      </w:r>
      <w:r>
        <w:rPr>
          <w:rFonts w:ascii="Arial" w:eastAsia="Calibri" w:hAnsi="Arial" w:cs="Arial"/>
          <w:color w:val="000000"/>
          <w:sz w:val="22"/>
          <w:lang w:val="pt-BR"/>
        </w:rPr>
        <w:t>Meta</w:t>
      </w:r>
    </w:p>
    <w:p w14:paraId="7D189512" w14:textId="72E979F7" w:rsidR="00EA47CC" w:rsidRDefault="00EA47CC" w:rsidP="00EA47CC">
      <w:pPr>
        <w:jc w:val="both"/>
        <w:rPr>
          <w:rFonts w:ascii="Arial" w:eastAsia="Calibri" w:hAnsi="Arial" w:cs="Arial"/>
          <w:color w:val="000000"/>
          <w:sz w:val="22"/>
          <w:lang w:val="pt-BR"/>
        </w:rPr>
      </w:pPr>
    </w:p>
    <w:p w14:paraId="01F8FBDC" w14:textId="77777777" w:rsidR="008867BE" w:rsidRPr="00142199" w:rsidRDefault="008867BE" w:rsidP="00EA47CC">
      <w:pPr>
        <w:jc w:val="both"/>
        <w:rPr>
          <w:rFonts w:ascii="Arial" w:eastAsia="Calibri" w:hAnsi="Arial" w:cs="Arial"/>
          <w:color w:val="000000"/>
          <w:sz w:val="22"/>
          <w:lang w:val="pt-BR"/>
        </w:rPr>
      </w:pPr>
    </w:p>
    <w:p w14:paraId="331BD2B2" w14:textId="12D3F6CB" w:rsidR="00EA47CC" w:rsidRPr="00142199" w:rsidRDefault="008C5F94" w:rsidP="008C5F94">
      <w:pPr>
        <w:ind w:left="2694"/>
        <w:jc w:val="both"/>
        <w:rPr>
          <w:rFonts w:ascii="Arial" w:eastAsia="Calibri" w:hAnsi="Arial" w:cs="Arial"/>
          <w:color w:val="000000"/>
          <w:sz w:val="22"/>
          <w:lang w:val="pt-BR"/>
        </w:rPr>
      </w:pPr>
      <w:r w:rsidRPr="00142199">
        <w:rPr>
          <w:rFonts w:ascii="Arial" w:eastAsia="Calibri" w:hAnsi="Arial" w:cs="Arial"/>
          <w:b/>
          <w:bCs/>
          <w:color w:val="000000"/>
          <w:sz w:val="22"/>
          <w:lang w:val="pt-BR"/>
        </w:rPr>
        <w:t xml:space="preserve">Concepto C ‒ </w:t>
      </w:r>
      <w:r>
        <w:rPr>
          <w:rFonts w:ascii="Arial" w:eastAsia="Calibri" w:hAnsi="Arial" w:cs="Arial"/>
          <w:b/>
          <w:bCs/>
          <w:color w:val="000000"/>
          <w:sz w:val="22"/>
          <w:lang w:val="pt-BR"/>
        </w:rPr>
        <w:t xml:space="preserve">026 </w:t>
      </w:r>
      <w:r w:rsidRPr="00142199">
        <w:rPr>
          <w:rFonts w:ascii="Arial" w:eastAsia="Calibri" w:hAnsi="Arial" w:cs="Arial"/>
          <w:b/>
          <w:bCs/>
          <w:color w:val="000000"/>
          <w:sz w:val="22"/>
          <w:lang w:val="pt-BR"/>
        </w:rPr>
        <w:t>de 202</w:t>
      </w:r>
      <w:r>
        <w:rPr>
          <w:rFonts w:ascii="Arial" w:eastAsia="Calibri" w:hAnsi="Arial" w:cs="Arial"/>
          <w:b/>
          <w:bCs/>
          <w:color w:val="000000"/>
          <w:sz w:val="22"/>
          <w:lang w:val="pt-BR"/>
        </w:rPr>
        <w:t>2</w:t>
      </w:r>
    </w:p>
    <w:p w14:paraId="2AEC2875" w14:textId="77777777" w:rsidR="00EA47CC" w:rsidRPr="00142199" w:rsidRDefault="00EA47CC" w:rsidP="00EA47CC">
      <w:pPr>
        <w:jc w:val="both"/>
        <w:rPr>
          <w:rFonts w:ascii="Arial" w:eastAsia="Calibri" w:hAnsi="Arial" w:cs="Arial"/>
          <w:color w:val="000000"/>
          <w:sz w:val="22"/>
          <w:lang w:val="pt-BR"/>
        </w:rPr>
      </w:pPr>
    </w:p>
    <w:tbl>
      <w:tblPr>
        <w:tblStyle w:val="Tablaconcuadrcula3"/>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A47CC" w:rsidRPr="00142199" w14:paraId="57CBB295" w14:textId="77777777" w:rsidTr="00EA47CC">
        <w:tc>
          <w:tcPr>
            <w:tcW w:w="2689" w:type="dxa"/>
          </w:tcPr>
          <w:p w14:paraId="40D8D55D" w14:textId="77777777" w:rsidR="00EA47CC" w:rsidRPr="003A7107" w:rsidRDefault="00EA47CC" w:rsidP="00EA47CC">
            <w:pPr>
              <w:jc w:val="both"/>
              <w:rPr>
                <w:rFonts w:ascii="Arial" w:eastAsia="Calibri" w:hAnsi="Arial" w:cs="Arial"/>
                <w:color w:val="000000"/>
                <w:sz w:val="22"/>
                <w:szCs w:val="22"/>
                <w:lang w:val="es-ES_tradnl"/>
              </w:rPr>
            </w:pPr>
            <w:r w:rsidRPr="003A7107">
              <w:rPr>
                <w:rFonts w:ascii="Arial" w:eastAsia="Calibri" w:hAnsi="Arial" w:cs="Arial"/>
                <w:b/>
                <w:color w:val="000000"/>
                <w:sz w:val="22"/>
                <w:szCs w:val="22"/>
                <w:lang w:val="es-ES_tradnl"/>
              </w:rPr>
              <w:t>Temas:</w:t>
            </w:r>
            <w:r w:rsidRPr="003A7107">
              <w:rPr>
                <w:rFonts w:ascii="Arial" w:eastAsia="Calibri" w:hAnsi="Arial" w:cs="Arial"/>
                <w:color w:val="000000"/>
                <w:sz w:val="22"/>
                <w:szCs w:val="22"/>
                <w:lang w:val="es-ES_tradnl"/>
              </w:rPr>
              <w:t xml:space="preserve">                                      </w:t>
            </w:r>
          </w:p>
        </w:tc>
        <w:tc>
          <w:tcPr>
            <w:tcW w:w="6237" w:type="dxa"/>
          </w:tcPr>
          <w:p w14:paraId="597E27DA" w14:textId="395D5B4E" w:rsidR="00C10E62" w:rsidRPr="003A7107" w:rsidRDefault="009E2E5B" w:rsidP="003A7107">
            <w:pPr>
              <w:spacing w:after="120"/>
              <w:jc w:val="both"/>
              <w:rPr>
                <w:rFonts w:ascii="Arial" w:eastAsia="Calibri" w:hAnsi="Arial" w:cs="Arial"/>
                <w:bCs/>
                <w:sz w:val="22"/>
                <w:szCs w:val="22"/>
                <w:lang w:eastAsia="en-US"/>
              </w:rPr>
            </w:pPr>
            <w:r w:rsidRPr="003A7107">
              <w:rPr>
                <w:rFonts w:ascii="Arial" w:eastAsia="Calibri" w:hAnsi="Arial" w:cs="Arial"/>
                <w:bCs/>
                <w:color w:val="000000"/>
                <w:sz w:val="22"/>
                <w:szCs w:val="22"/>
                <w:lang w:eastAsia="en-US"/>
              </w:rPr>
              <w:t xml:space="preserve">PLAN ANUAL DE ADQUISICIONES – Plan de acción/ PLAN ANUAL DE ADQUISICIONES – Publicidad – Entidades estatales obligadas/ PLAN ANUAL DE ADQUISICIONES – Contenido/ PLAN ANUAL DE ADQUISICIONES – Carácter estimativo/ </w:t>
            </w:r>
            <w:r w:rsidR="00F065C6" w:rsidRPr="00A82122">
              <w:rPr>
                <w:rFonts w:ascii="Arial" w:eastAsia="Calibri" w:hAnsi="Arial" w:cs="Arial"/>
                <w:sz w:val="22"/>
                <w:szCs w:val="22"/>
              </w:rPr>
              <w:t>SECOP – Publicación – Contratos sin erogación presupuestal / SECOP – Publicación – Régimen aplicable – Contratos</w:t>
            </w:r>
            <w:r w:rsidR="009F2A68">
              <w:rPr>
                <w:rFonts w:ascii="Arial" w:eastAsia="Calibri" w:hAnsi="Arial" w:cs="Arial"/>
                <w:sz w:val="22"/>
                <w:szCs w:val="22"/>
              </w:rPr>
              <w:t xml:space="preserve"> </w:t>
            </w:r>
            <w:r w:rsidR="00F065C6" w:rsidRPr="00A82122">
              <w:rPr>
                <w:rFonts w:ascii="Arial" w:eastAsia="Calibri" w:hAnsi="Arial" w:cs="Arial"/>
                <w:sz w:val="22"/>
                <w:szCs w:val="22"/>
              </w:rPr>
              <w:t xml:space="preserve">– Comodato </w:t>
            </w:r>
          </w:p>
        </w:tc>
      </w:tr>
      <w:tr w:rsidR="00EA47CC" w:rsidRPr="00142199" w14:paraId="223C5AAC" w14:textId="77777777" w:rsidTr="00EA47CC">
        <w:tc>
          <w:tcPr>
            <w:tcW w:w="2689" w:type="dxa"/>
          </w:tcPr>
          <w:p w14:paraId="3C8ED68B" w14:textId="396E9AE6" w:rsidR="00EA47CC" w:rsidRPr="003A7107" w:rsidRDefault="00EA47CC" w:rsidP="00EA47CC">
            <w:pPr>
              <w:spacing w:before="120"/>
              <w:jc w:val="both"/>
              <w:rPr>
                <w:rFonts w:ascii="Arial" w:eastAsia="Calibri" w:hAnsi="Arial" w:cs="Arial"/>
                <w:b/>
                <w:color w:val="000000"/>
                <w:sz w:val="22"/>
                <w:szCs w:val="22"/>
                <w:lang w:val="es-ES_tradnl"/>
              </w:rPr>
            </w:pPr>
            <w:r w:rsidRPr="003A7107">
              <w:rPr>
                <w:rFonts w:ascii="Arial" w:eastAsia="Calibri" w:hAnsi="Arial" w:cs="Arial"/>
                <w:b/>
                <w:color w:val="000000"/>
                <w:sz w:val="22"/>
                <w:szCs w:val="22"/>
                <w:lang w:val="es-ES_tradnl"/>
              </w:rPr>
              <w:t>Radicación:</w:t>
            </w:r>
            <w:r w:rsidRPr="003A7107">
              <w:rPr>
                <w:rFonts w:ascii="Arial" w:eastAsia="Calibri" w:hAnsi="Arial" w:cs="Arial"/>
                <w:color w:val="000000"/>
                <w:sz w:val="22"/>
                <w:szCs w:val="22"/>
                <w:lang w:val="es-ES_tradnl"/>
              </w:rPr>
              <w:t xml:space="preserve">                              </w:t>
            </w:r>
          </w:p>
        </w:tc>
        <w:tc>
          <w:tcPr>
            <w:tcW w:w="6237" w:type="dxa"/>
          </w:tcPr>
          <w:p w14:paraId="4EC97939" w14:textId="7F59EA18" w:rsidR="00EA47CC" w:rsidRPr="003A7107" w:rsidRDefault="00EA47CC" w:rsidP="00EA47CC">
            <w:pPr>
              <w:spacing w:before="120"/>
              <w:jc w:val="both"/>
              <w:rPr>
                <w:rFonts w:ascii="Arial" w:eastAsia="Calibri" w:hAnsi="Arial" w:cs="Arial"/>
                <w:color w:val="000000"/>
                <w:sz w:val="22"/>
                <w:szCs w:val="22"/>
                <w:lang w:val="es-ES_tradnl"/>
              </w:rPr>
            </w:pPr>
            <w:r w:rsidRPr="003A7107">
              <w:rPr>
                <w:rFonts w:ascii="Arial" w:eastAsia="Calibri" w:hAnsi="Arial" w:cs="Arial"/>
                <w:color w:val="000000"/>
                <w:sz w:val="22"/>
                <w:szCs w:val="22"/>
                <w:lang w:val="es-ES_tradnl"/>
              </w:rPr>
              <w:t xml:space="preserve">Respuesta a consulta </w:t>
            </w:r>
            <w:r w:rsidRPr="003A7107">
              <w:rPr>
                <w:rFonts w:ascii="Arial" w:eastAsia="Calibri" w:hAnsi="Arial" w:cs="Arial"/>
                <w:color w:val="000000"/>
                <w:sz w:val="22"/>
                <w:szCs w:val="22"/>
              </w:rPr>
              <w:t>P20220107000111</w:t>
            </w:r>
          </w:p>
        </w:tc>
      </w:tr>
    </w:tbl>
    <w:p w14:paraId="46E76C28" w14:textId="5167D6A1" w:rsidR="00EA47CC" w:rsidRDefault="00EA47CC" w:rsidP="00EA47CC">
      <w:pPr>
        <w:jc w:val="both"/>
        <w:rPr>
          <w:rFonts w:ascii="Arial" w:eastAsia="Calibri" w:hAnsi="Arial" w:cs="Arial"/>
          <w:color w:val="000000"/>
          <w:sz w:val="22"/>
          <w:lang w:val="es-ES_tradnl"/>
        </w:rPr>
      </w:pPr>
    </w:p>
    <w:p w14:paraId="17A1C465" w14:textId="77777777" w:rsidR="00C10E62" w:rsidRPr="00142199" w:rsidRDefault="00C10E62" w:rsidP="00EA47CC">
      <w:pPr>
        <w:jc w:val="both"/>
        <w:rPr>
          <w:rFonts w:ascii="Arial" w:eastAsia="Calibri" w:hAnsi="Arial" w:cs="Arial"/>
          <w:color w:val="000000"/>
          <w:sz w:val="22"/>
          <w:lang w:val="es-ES_tradnl"/>
        </w:rPr>
      </w:pPr>
    </w:p>
    <w:p w14:paraId="372D0E61" w14:textId="0FDD2EED" w:rsidR="00EA47CC" w:rsidRPr="00142199" w:rsidRDefault="00EA47CC" w:rsidP="00EA47CC">
      <w:pPr>
        <w:jc w:val="both"/>
        <w:rPr>
          <w:rFonts w:ascii="Arial" w:eastAsia="Calibri" w:hAnsi="Arial" w:cs="Arial"/>
          <w:color w:val="000000"/>
          <w:sz w:val="22"/>
          <w:lang w:val="es-ES_tradnl"/>
        </w:rPr>
      </w:pPr>
      <w:r w:rsidRPr="00142199">
        <w:rPr>
          <w:rFonts w:ascii="Arial" w:eastAsia="Calibri" w:hAnsi="Arial" w:cs="Arial"/>
          <w:color w:val="000000"/>
          <w:sz w:val="22"/>
          <w:lang w:val="es-ES_tradnl"/>
        </w:rPr>
        <w:t xml:space="preserve">Estimada señora </w:t>
      </w:r>
      <w:r w:rsidR="00AC7FE2">
        <w:rPr>
          <w:rFonts w:ascii="Arial" w:eastAsia="Calibri" w:hAnsi="Arial" w:cs="Arial"/>
          <w:color w:val="000000"/>
          <w:sz w:val="22"/>
          <w:lang w:val="es-ES_tradnl"/>
        </w:rPr>
        <w:t>Rojas</w:t>
      </w:r>
      <w:r w:rsidRPr="00142199">
        <w:rPr>
          <w:rFonts w:ascii="Arial" w:eastAsia="Calibri" w:hAnsi="Arial" w:cs="Arial"/>
          <w:color w:val="000000"/>
          <w:sz w:val="22"/>
          <w:lang w:val="es-ES_tradnl"/>
        </w:rPr>
        <w:t>:</w:t>
      </w:r>
    </w:p>
    <w:p w14:paraId="568D67FE" w14:textId="77777777" w:rsidR="00EA47CC" w:rsidRPr="00142199" w:rsidRDefault="00EA47CC" w:rsidP="00EA47CC">
      <w:pPr>
        <w:jc w:val="both"/>
        <w:rPr>
          <w:rFonts w:ascii="Arial" w:eastAsia="Calibri" w:hAnsi="Arial" w:cs="Arial"/>
          <w:color w:val="000000"/>
          <w:sz w:val="22"/>
          <w:lang w:val="es-ES_tradnl"/>
        </w:rPr>
      </w:pPr>
    </w:p>
    <w:p w14:paraId="09DB636D" w14:textId="10734EC6" w:rsidR="00EA47CC" w:rsidRPr="00142199" w:rsidRDefault="00EA47CC" w:rsidP="00EA47CC">
      <w:pPr>
        <w:spacing w:line="276" w:lineRule="auto"/>
        <w:jc w:val="both"/>
        <w:rPr>
          <w:rFonts w:ascii="Arial" w:eastAsia="Calibri" w:hAnsi="Arial" w:cs="Arial"/>
          <w:color w:val="000000"/>
          <w:sz w:val="22"/>
          <w:lang w:val="es-ES_tradnl"/>
        </w:rPr>
      </w:pPr>
      <w:r w:rsidRPr="00142199">
        <w:rPr>
          <w:rFonts w:ascii="Arial" w:eastAsia="Calibri" w:hAnsi="Arial" w:cs="Arial"/>
          <w:color w:val="000000"/>
          <w:sz w:val="22"/>
          <w:lang w:val="es-ES_tradnl"/>
        </w:rPr>
        <w:t xml:space="preserve">En ejercicio de la competencia otorgada por el numeral 8 del artículo 11 y el numeral 5 del artículo 3 del Decreto Ley 4170 de 2011, la Agencia Nacional de Contratación Pública </w:t>
      </w:r>
      <w:r w:rsidR="0084673B">
        <w:rPr>
          <w:rFonts w:ascii="Arial" w:eastAsia="Calibri" w:hAnsi="Arial" w:cs="Arial"/>
          <w:color w:val="000000"/>
          <w:sz w:val="22"/>
          <w:lang w:val="es-ES_tradnl"/>
        </w:rPr>
        <w:t>–</w:t>
      </w:r>
      <w:r w:rsidRPr="00142199">
        <w:rPr>
          <w:rFonts w:ascii="Arial" w:eastAsia="Calibri" w:hAnsi="Arial" w:cs="Arial"/>
          <w:color w:val="000000"/>
          <w:sz w:val="22"/>
          <w:lang w:val="es-ES_tradnl"/>
        </w:rPr>
        <w:t xml:space="preserve"> Colombia Compra Eficiente</w:t>
      </w:r>
      <w:r w:rsidR="0084673B">
        <w:rPr>
          <w:rFonts w:ascii="Arial" w:eastAsia="Calibri" w:hAnsi="Arial" w:cs="Arial"/>
          <w:color w:val="000000"/>
          <w:sz w:val="22"/>
          <w:lang w:val="es-ES_tradnl"/>
        </w:rPr>
        <w:t xml:space="preserve"> </w:t>
      </w:r>
      <w:r w:rsidRPr="00142199">
        <w:rPr>
          <w:rFonts w:ascii="Arial" w:eastAsia="Calibri" w:hAnsi="Arial" w:cs="Arial"/>
          <w:color w:val="000000"/>
          <w:sz w:val="22"/>
          <w:lang w:val="es-ES_tradnl"/>
        </w:rPr>
        <w:t xml:space="preserve">responde </w:t>
      </w:r>
      <w:r w:rsidR="0084673B">
        <w:rPr>
          <w:rFonts w:ascii="Arial" w:eastAsia="Calibri" w:hAnsi="Arial" w:cs="Arial"/>
          <w:color w:val="000000"/>
          <w:sz w:val="22"/>
          <w:lang w:val="es-ES_tradnl"/>
        </w:rPr>
        <w:t>la petición de consulta</w:t>
      </w:r>
      <w:r w:rsidRPr="00142199">
        <w:rPr>
          <w:rFonts w:ascii="Arial" w:eastAsia="Calibri" w:hAnsi="Arial" w:cs="Arial"/>
          <w:color w:val="000000"/>
          <w:sz w:val="22"/>
          <w:lang w:val="es-ES_tradnl"/>
        </w:rPr>
        <w:t xml:space="preserve"> del </w:t>
      </w:r>
      <w:r w:rsidR="00C10E62">
        <w:rPr>
          <w:rFonts w:ascii="Arial" w:eastAsia="Calibri" w:hAnsi="Arial" w:cs="Arial"/>
          <w:color w:val="000000"/>
          <w:sz w:val="22"/>
          <w:lang w:val="es-ES_tradnl"/>
        </w:rPr>
        <w:t>6 de enero de 2022</w:t>
      </w:r>
      <w:r w:rsidRPr="00142199">
        <w:rPr>
          <w:rFonts w:ascii="Arial" w:eastAsia="Calibri" w:hAnsi="Arial" w:cs="Arial"/>
          <w:color w:val="000000"/>
          <w:sz w:val="22"/>
          <w:lang w:val="es-ES_tradnl"/>
        </w:rPr>
        <w:t xml:space="preserve">. </w:t>
      </w:r>
    </w:p>
    <w:p w14:paraId="40821282" w14:textId="77777777" w:rsidR="00EA47CC" w:rsidRPr="00142199" w:rsidRDefault="00EA47CC" w:rsidP="00EA47CC">
      <w:pPr>
        <w:spacing w:line="276" w:lineRule="auto"/>
        <w:jc w:val="both"/>
        <w:rPr>
          <w:rFonts w:ascii="Arial" w:eastAsia="Calibri" w:hAnsi="Arial" w:cs="Arial"/>
          <w:b/>
          <w:color w:val="000000"/>
          <w:sz w:val="22"/>
          <w:lang w:val="es-ES_tradnl"/>
        </w:rPr>
      </w:pPr>
    </w:p>
    <w:p w14:paraId="590CCAC2" w14:textId="77777777" w:rsidR="00EA47CC" w:rsidRPr="00142199" w:rsidRDefault="00EA47CC" w:rsidP="00EA47CC">
      <w:pPr>
        <w:numPr>
          <w:ilvl w:val="0"/>
          <w:numId w:val="1"/>
        </w:numPr>
        <w:tabs>
          <w:tab w:val="left" w:pos="0"/>
          <w:tab w:val="left" w:pos="142"/>
          <w:tab w:val="left" w:pos="284"/>
        </w:tabs>
        <w:spacing w:line="276" w:lineRule="auto"/>
        <w:ind w:left="0" w:firstLine="0"/>
        <w:contextualSpacing/>
        <w:jc w:val="both"/>
        <w:rPr>
          <w:rFonts w:ascii="Arial" w:eastAsia="Calibri" w:hAnsi="Arial" w:cs="Arial"/>
          <w:b/>
          <w:color w:val="000000"/>
          <w:sz w:val="22"/>
          <w:szCs w:val="22"/>
          <w:lang w:val="es-ES_tradnl" w:eastAsia="en-US"/>
        </w:rPr>
      </w:pPr>
      <w:r w:rsidRPr="00142199">
        <w:rPr>
          <w:rFonts w:ascii="Arial" w:eastAsia="Calibri" w:hAnsi="Arial" w:cs="Arial"/>
          <w:b/>
          <w:color w:val="000000"/>
          <w:sz w:val="22"/>
          <w:szCs w:val="22"/>
          <w:lang w:val="es-ES_tradnl" w:eastAsia="en-US"/>
        </w:rPr>
        <w:t xml:space="preserve">Problema planteado </w:t>
      </w:r>
    </w:p>
    <w:p w14:paraId="5ACB63E5" w14:textId="77777777" w:rsidR="00EA47CC" w:rsidRPr="00142199" w:rsidRDefault="00EA47CC" w:rsidP="00EA47CC">
      <w:pPr>
        <w:tabs>
          <w:tab w:val="left" w:pos="426"/>
        </w:tabs>
        <w:spacing w:line="276" w:lineRule="auto"/>
        <w:jc w:val="both"/>
        <w:rPr>
          <w:rFonts w:ascii="Arial" w:eastAsia="Calibri" w:hAnsi="Arial" w:cs="Arial"/>
          <w:b/>
          <w:color w:val="000000"/>
          <w:sz w:val="22"/>
          <w:lang w:val="es-ES_tradnl"/>
        </w:rPr>
      </w:pPr>
    </w:p>
    <w:p w14:paraId="47C425DA" w14:textId="32A1AF0A" w:rsidR="00EA47CC" w:rsidRDefault="009273DE" w:rsidP="00EA47CC">
      <w:pPr>
        <w:tabs>
          <w:tab w:val="left" w:pos="426"/>
        </w:tabs>
        <w:spacing w:line="276" w:lineRule="auto"/>
        <w:jc w:val="both"/>
        <w:rPr>
          <w:rFonts w:ascii="Arial" w:hAnsi="Arial" w:cs="Arial"/>
          <w:color w:val="000000"/>
          <w:sz w:val="22"/>
          <w:lang w:val="es-ES_tradnl"/>
        </w:rPr>
      </w:pPr>
      <w:r>
        <w:rPr>
          <w:rFonts w:ascii="Arial" w:hAnsi="Arial" w:cs="Arial"/>
          <w:color w:val="000000"/>
          <w:sz w:val="22"/>
          <w:lang w:val="es-ES_tradnl"/>
        </w:rPr>
        <w:t xml:space="preserve">Usted </w:t>
      </w:r>
      <w:r w:rsidR="001E7D30">
        <w:rPr>
          <w:rFonts w:ascii="Arial" w:hAnsi="Arial" w:cs="Arial"/>
          <w:color w:val="000000"/>
          <w:sz w:val="22"/>
          <w:lang w:val="es-ES_tradnl"/>
        </w:rPr>
        <w:t>realizada</w:t>
      </w:r>
      <w:r>
        <w:rPr>
          <w:rFonts w:ascii="Arial" w:hAnsi="Arial" w:cs="Arial"/>
          <w:color w:val="000000"/>
          <w:sz w:val="22"/>
          <w:lang w:val="es-ES_tradnl"/>
        </w:rPr>
        <w:t xml:space="preserve"> la siguiente pregunta: </w:t>
      </w:r>
      <w:r>
        <w:rPr>
          <w:rFonts w:ascii="Arial" w:eastAsia="Calibri" w:hAnsi="Arial" w:cs="Arial"/>
          <w:sz w:val="22"/>
        </w:rPr>
        <w:t>«</w:t>
      </w:r>
      <w:r>
        <w:rPr>
          <w:rFonts w:ascii="Arial" w:hAnsi="Arial" w:cs="Arial"/>
          <w:color w:val="000000"/>
          <w:sz w:val="22"/>
          <w:lang w:val="es-ES_tradnl"/>
        </w:rPr>
        <w:t>[¿]</w:t>
      </w:r>
      <w:r w:rsidR="006A5AA4" w:rsidRPr="006A5AA4">
        <w:t xml:space="preserve"> </w:t>
      </w:r>
      <w:r w:rsidR="006A5AA4" w:rsidRPr="006A5AA4">
        <w:rPr>
          <w:rFonts w:ascii="Arial" w:hAnsi="Arial" w:cs="Arial"/>
          <w:color w:val="000000"/>
          <w:sz w:val="22"/>
        </w:rPr>
        <w:t>Los contratos de comodato se deben registra</w:t>
      </w:r>
      <w:r w:rsidR="00790B61">
        <w:rPr>
          <w:rFonts w:ascii="Arial" w:hAnsi="Arial" w:cs="Arial"/>
          <w:color w:val="000000"/>
          <w:sz w:val="22"/>
        </w:rPr>
        <w:t>r</w:t>
      </w:r>
      <w:r w:rsidR="006A5AA4" w:rsidRPr="006A5AA4">
        <w:rPr>
          <w:rFonts w:ascii="Arial" w:hAnsi="Arial" w:cs="Arial"/>
          <w:color w:val="000000"/>
          <w:sz w:val="22"/>
        </w:rPr>
        <w:t xml:space="preserve"> en el plan de compras de las entidades y se deben publicar en el </w:t>
      </w:r>
      <w:proofErr w:type="spellStart"/>
      <w:r w:rsidR="006A5AA4" w:rsidRPr="006A5AA4">
        <w:rPr>
          <w:rFonts w:ascii="Arial" w:hAnsi="Arial" w:cs="Arial"/>
          <w:color w:val="000000"/>
          <w:sz w:val="22"/>
        </w:rPr>
        <w:t>secop</w:t>
      </w:r>
      <w:proofErr w:type="spellEnd"/>
      <w:r w:rsidR="006A5AA4">
        <w:rPr>
          <w:rFonts w:ascii="Arial" w:hAnsi="Arial" w:cs="Arial"/>
          <w:color w:val="000000"/>
          <w:sz w:val="22"/>
        </w:rPr>
        <w:t xml:space="preserve"> (sic)?</w:t>
      </w:r>
      <w:r w:rsidR="006A5AA4">
        <w:rPr>
          <w:rFonts w:ascii="Arial" w:hAnsi="Arial" w:cs="Arial"/>
          <w:sz w:val="22"/>
        </w:rPr>
        <w:t>».</w:t>
      </w:r>
      <w:r w:rsidR="006A5AA4">
        <w:rPr>
          <w:rFonts w:ascii="Arial" w:hAnsi="Arial" w:cs="Arial"/>
          <w:color w:val="000000"/>
          <w:sz w:val="22"/>
          <w:lang w:val="es-ES_tradnl"/>
        </w:rPr>
        <w:t xml:space="preserve"> </w:t>
      </w:r>
    </w:p>
    <w:p w14:paraId="07679C09" w14:textId="2CD9BCF1" w:rsidR="0004592F" w:rsidRDefault="0004592F" w:rsidP="00EA47CC">
      <w:pPr>
        <w:tabs>
          <w:tab w:val="left" w:pos="426"/>
        </w:tabs>
        <w:spacing w:line="276" w:lineRule="auto"/>
        <w:jc w:val="both"/>
        <w:rPr>
          <w:rFonts w:ascii="Arial" w:hAnsi="Arial" w:cs="Arial"/>
          <w:color w:val="000000"/>
          <w:sz w:val="22"/>
          <w:lang w:val="es-ES_tradnl"/>
        </w:rPr>
      </w:pPr>
    </w:p>
    <w:p w14:paraId="29F8184C" w14:textId="77777777" w:rsidR="0004592F" w:rsidRPr="0004592F" w:rsidRDefault="0004592F" w:rsidP="0004592F">
      <w:pPr>
        <w:tabs>
          <w:tab w:val="left" w:pos="426"/>
        </w:tabs>
        <w:spacing w:line="276" w:lineRule="auto"/>
        <w:jc w:val="both"/>
        <w:rPr>
          <w:rFonts w:ascii="Arial" w:eastAsia="Calibri" w:hAnsi="Arial" w:cs="Arial"/>
          <w:b/>
          <w:sz w:val="22"/>
          <w:szCs w:val="22"/>
          <w:lang w:val="es-MX" w:eastAsia="en-US"/>
        </w:rPr>
      </w:pPr>
      <w:r w:rsidRPr="0004592F">
        <w:rPr>
          <w:rFonts w:ascii="Arial" w:eastAsia="Calibri" w:hAnsi="Arial" w:cs="Arial"/>
          <w:b/>
          <w:sz w:val="22"/>
          <w:szCs w:val="22"/>
          <w:lang w:val="es-MX" w:eastAsia="en-US"/>
        </w:rPr>
        <w:t>2. Consideraciones</w:t>
      </w:r>
    </w:p>
    <w:p w14:paraId="2DC8E497" w14:textId="2D92AD9F" w:rsidR="0004592F" w:rsidRDefault="0004592F" w:rsidP="0004592F">
      <w:pPr>
        <w:tabs>
          <w:tab w:val="left" w:pos="426"/>
        </w:tabs>
        <w:spacing w:line="276" w:lineRule="auto"/>
        <w:jc w:val="both"/>
        <w:rPr>
          <w:rFonts w:ascii="Arial" w:eastAsia="Calibri" w:hAnsi="Arial" w:cs="Arial"/>
          <w:b/>
          <w:sz w:val="22"/>
          <w:szCs w:val="22"/>
          <w:lang w:val="es-MX" w:eastAsia="en-US"/>
        </w:rPr>
      </w:pPr>
    </w:p>
    <w:p w14:paraId="6F1B86D3" w14:textId="7FC4D371" w:rsidR="00F06761" w:rsidRPr="0004592F" w:rsidRDefault="00F06761" w:rsidP="003A7107">
      <w:pPr>
        <w:spacing w:after="120" w:line="276" w:lineRule="auto"/>
        <w:jc w:val="both"/>
        <w:rPr>
          <w:rFonts w:ascii="Arial" w:eastAsia="Calibri" w:hAnsi="Arial" w:cs="Arial"/>
          <w:b/>
          <w:sz w:val="22"/>
          <w:szCs w:val="22"/>
          <w:lang w:val="es-MX" w:eastAsia="en-US"/>
        </w:rPr>
      </w:pPr>
      <w:r w:rsidRPr="00B017C6">
        <w:rPr>
          <w:rFonts w:ascii="Arial" w:hAnsi="Arial" w:cs="Arial"/>
          <w:color w:val="000000"/>
          <w:sz w:val="22"/>
        </w:rPr>
        <w:t xml:space="preserve">Para resolver la pregunta planteada </w:t>
      </w:r>
      <w:r w:rsidRPr="00B017C6">
        <w:rPr>
          <w:rFonts w:ascii="Arial" w:eastAsia="Calibri" w:hAnsi="Arial" w:cs="Arial"/>
          <w:color w:val="000000"/>
          <w:sz w:val="22"/>
        </w:rPr>
        <w:t xml:space="preserve">se estudiarán los siguientes temas: i) </w:t>
      </w:r>
      <w:r w:rsidR="00B017C6" w:rsidRPr="00B017C6">
        <w:rPr>
          <w:rFonts w:ascii="Arial" w:eastAsia="Calibri" w:hAnsi="Arial" w:cs="Arial"/>
          <w:color w:val="000000"/>
          <w:sz w:val="22"/>
        </w:rPr>
        <w:t>Sujetos obligados a publicar el plan anual de adquisiciones</w:t>
      </w:r>
      <w:r w:rsidRPr="00B017C6">
        <w:rPr>
          <w:rFonts w:ascii="Arial" w:eastAsia="Calibri" w:hAnsi="Arial" w:cs="Arial"/>
          <w:color w:val="000000"/>
          <w:sz w:val="22"/>
        </w:rPr>
        <w:t xml:space="preserve">, </w:t>
      </w:r>
      <w:proofErr w:type="spellStart"/>
      <w:r w:rsidR="00B017C6" w:rsidRPr="00B017C6">
        <w:rPr>
          <w:rFonts w:ascii="Arial" w:eastAsia="Calibri" w:hAnsi="Arial" w:cs="Arial"/>
          <w:color w:val="000000"/>
          <w:sz w:val="22"/>
        </w:rPr>
        <w:t>ii</w:t>
      </w:r>
      <w:proofErr w:type="spellEnd"/>
      <w:r w:rsidR="00B017C6" w:rsidRPr="00B017C6">
        <w:rPr>
          <w:rFonts w:ascii="Arial" w:eastAsia="Calibri" w:hAnsi="Arial" w:cs="Arial"/>
          <w:color w:val="000000"/>
          <w:sz w:val="22"/>
        </w:rPr>
        <w:t xml:space="preserve">) </w:t>
      </w:r>
      <w:r w:rsidR="00B017C6" w:rsidRPr="00EF0CA6">
        <w:rPr>
          <w:rFonts w:ascii="Arial" w:eastAsia="Calibri" w:hAnsi="Arial" w:cs="Arial"/>
          <w:color w:val="000000"/>
          <w:sz w:val="22"/>
          <w:lang w:val="es-ES"/>
        </w:rPr>
        <w:t>Carácter estimativo del plan anual de adquisiciones respecto al régimen jurídico para su expedición</w:t>
      </w:r>
      <w:r w:rsidR="00B017C6" w:rsidRPr="00B017C6">
        <w:rPr>
          <w:rFonts w:ascii="Arial" w:eastAsia="Calibri" w:hAnsi="Arial" w:cs="Arial"/>
          <w:color w:val="000000"/>
          <w:sz w:val="22"/>
          <w:lang w:val="es-ES"/>
        </w:rPr>
        <w:t xml:space="preserve"> y</w:t>
      </w:r>
      <w:r w:rsidR="00B017C6" w:rsidRPr="00EF0CA6">
        <w:rPr>
          <w:rFonts w:ascii="Arial" w:eastAsia="Calibri" w:hAnsi="Arial" w:cs="Arial"/>
          <w:color w:val="000000"/>
          <w:sz w:val="22"/>
          <w:lang w:val="es-ES"/>
        </w:rPr>
        <w:t xml:space="preserve"> publicación</w:t>
      </w:r>
      <w:r w:rsidR="00197DA8">
        <w:rPr>
          <w:rFonts w:ascii="Arial" w:eastAsia="Calibri" w:hAnsi="Arial" w:cs="Arial"/>
          <w:color w:val="000000"/>
          <w:sz w:val="22"/>
          <w:lang w:val="es-ES"/>
        </w:rPr>
        <w:t>, y,</w:t>
      </w:r>
      <w:r w:rsidR="00B017C6" w:rsidRPr="00B017C6">
        <w:rPr>
          <w:rFonts w:ascii="Arial" w:eastAsia="Calibri" w:hAnsi="Arial" w:cs="Arial"/>
          <w:color w:val="000000"/>
          <w:sz w:val="22"/>
        </w:rPr>
        <w:t xml:space="preserve"> </w:t>
      </w:r>
      <w:proofErr w:type="spellStart"/>
      <w:r w:rsidRPr="00B017C6">
        <w:rPr>
          <w:rFonts w:ascii="Arial" w:eastAsia="Calibri" w:hAnsi="Arial" w:cs="Arial"/>
          <w:color w:val="000000"/>
          <w:sz w:val="22"/>
        </w:rPr>
        <w:t>i</w:t>
      </w:r>
      <w:r w:rsidR="00B017C6" w:rsidRPr="00B017C6">
        <w:rPr>
          <w:rFonts w:ascii="Arial" w:eastAsia="Calibri" w:hAnsi="Arial" w:cs="Arial"/>
          <w:color w:val="000000"/>
          <w:sz w:val="22"/>
        </w:rPr>
        <w:t>i</w:t>
      </w:r>
      <w:r w:rsidRPr="00B017C6">
        <w:rPr>
          <w:rFonts w:ascii="Arial" w:eastAsia="Calibri" w:hAnsi="Arial" w:cs="Arial"/>
          <w:color w:val="000000"/>
          <w:sz w:val="22"/>
        </w:rPr>
        <w:t>i</w:t>
      </w:r>
      <w:proofErr w:type="spellEnd"/>
      <w:r w:rsidRPr="00B017C6">
        <w:rPr>
          <w:rFonts w:ascii="Arial" w:eastAsia="Calibri" w:hAnsi="Arial" w:cs="Arial"/>
          <w:color w:val="000000"/>
          <w:sz w:val="22"/>
        </w:rPr>
        <w:t>)</w:t>
      </w:r>
      <w:r w:rsidR="00790B61" w:rsidRPr="00B017C6">
        <w:t xml:space="preserve"> </w:t>
      </w:r>
      <w:r w:rsidR="00790B61" w:rsidRPr="00B017C6">
        <w:rPr>
          <w:rFonts w:ascii="Arial" w:eastAsia="Calibri" w:hAnsi="Arial" w:cs="Arial"/>
          <w:color w:val="000000"/>
          <w:sz w:val="22"/>
        </w:rPr>
        <w:t>el SECOP como mecanismo para garantizar el principio de publicidad en la contratación estatal.</w:t>
      </w:r>
    </w:p>
    <w:p w14:paraId="6EC240AC" w14:textId="75706565" w:rsidR="001E7D30" w:rsidRDefault="001E7D30" w:rsidP="003A7107">
      <w:pPr>
        <w:tabs>
          <w:tab w:val="left" w:pos="426"/>
        </w:tabs>
        <w:spacing w:after="120" w:line="276" w:lineRule="auto"/>
        <w:contextualSpacing/>
        <w:jc w:val="both"/>
        <w:rPr>
          <w:rFonts w:ascii="Arial" w:eastAsia="Calibri" w:hAnsi="Arial" w:cs="Arial"/>
          <w:sz w:val="22"/>
          <w:szCs w:val="22"/>
          <w:lang w:val="es-ES_tradnl" w:eastAsia="en-US"/>
        </w:rPr>
      </w:pPr>
      <w:r>
        <w:rPr>
          <w:rFonts w:ascii="Arial" w:eastAsia="Calibri" w:hAnsi="Arial" w:cs="Arial"/>
          <w:sz w:val="22"/>
          <w:szCs w:val="22"/>
          <w:lang w:eastAsia="en-US"/>
        </w:rPr>
        <w:lastRenderedPageBreak/>
        <w:tab/>
      </w:r>
      <w:r>
        <w:rPr>
          <w:rFonts w:ascii="Arial" w:eastAsia="Calibri" w:hAnsi="Arial" w:cs="Arial"/>
          <w:sz w:val="22"/>
          <w:szCs w:val="22"/>
          <w:lang w:eastAsia="en-US"/>
        </w:rPr>
        <w:tab/>
      </w:r>
      <w:r w:rsidR="0004592F" w:rsidRPr="0004592F">
        <w:rPr>
          <w:rFonts w:ascii="Arial" w:eastAsia="Calibri" w:hAnsi="Arial" w:cs="Arial"/>
          <w:sz w:val="22"/>
          <w:szCs w:val="22"/>
          <w:lang w:eastAsia="en-US"/>
        </w:rPr>
        <w:t>La Agencia Nacional de Contratación Pública – Colombia Compra Eficiente</w:t>
      </w:r>
      <w:r w:rsidR="00F06761">
        <w:rPr>
          <w:rFonts w:ascii="Arial" w:eastAsia="Calibri" w:hAnsi="Arial" w:cs="Arial"/>
          <w:sz w:val="22"/>
          <w:szCs w:val="22"/>
          <w:lang w:eastAsia="en-US"/>
        </w:rPr>
        <w:t xml:space="preserve"> </w:t>
      </w:r>
      <w:r w:rsidR="00F06761" w:rsidRPr="0004592F">
        <w:rPr>
          <w:rFonts w:ascii="Arial" w:eastAsia="Calibri" w:hAnsi="Arial" w:cs="Arial"/>
          <w:sz w:val="22"/>
          <w:szCs w:val="22"/>
          <w:lang w:val="es-ES_tradnl" w:eastAsia="en-US"/>
        </w:rPr>
        <w:t xml:space="preserve">analizó el plan anual de </w:t>
      </w:r>
      <w:r w:rsidR="00F06761" w:rsidRPr="0004592F">
        <w:rPr>
          <w:rFonts w:ascii="Arial" w:eastAsia="Calibri" w:hAnsi="Arial" w:cs="Arial"/>
          <w:bCs/>
          <w:sz w:val="22"/>
          <w:szCs w:val="22"/>
          <w:lang w:val="es-ES_tradnl" w:eastAsia="en-US"/>
        </w:rPr>
        <w:t>adquisiciones</w:t>
      </w:r>
      <w:r w:rsidR="00F06761">
        <w:rPr>
          <w:rFonts w:ascii="Arial" w:eastAsia="Calibri" w:hAnsi="Arial" w:cs="Arial"/>
          <w:bCs/>
          <w:sz w:val="22"/>
          <w:szCs w:val="22"/>
          <w:lang w:val="es-ES_tradnl" w:eastAsia="en-US"/>
        </w:rPr>
        <w:t xml:space="preserve"> en los siguientes conceptos</w:t>
      </w:r>
      <w:r w:rsidR="000C78C7">
        <w:rPr>
          <w:rFonts w:ascii="Arial" w:eastAsia="Calibri" w:hAnsi="Arial" w:cs="Arial"/>
          <w:sz w:val="22"/>
          <w:szCs w:val="22"/>
          <w:lang w:val="es-ES_tradnl" w:eastAsia="en-US"/>
        </w:rPr>
        <w:t xml:space="preserve"> </w:t>
      </w:r>
      <w:r w:rsidR="0004592F" w:rsidRPr="0004592F">
        <w:rPr>
          <w:rFonts w:ascii="Arial" w:eastAsia="Calibri" w:hAnsi="Arial" w:cs="Arial"/>
          <w:sz w:val="22"/>
          <w:szCs w:val="22"/>
          <w:lang w:val="es-ES_tradnl" w:eastAsia="en-US"/>
        </w:rPr>
        <w:t>4201913000006571 del 8 de noviembre de 2019, reiterado y desarrollado en los conceptos</w:t>
      </w:r>
      <w:r w:rsidR="00F06761">
        <w:rPr>
          <w:rFonts w:ascii="Arial" w:eastAsia="Calibri" w:hAnsi="Arial" w:cs="Arial"/>
          <w:sz w:val="22"/>
          <w:szCs w:val="22"/>
          <w:lang w:val="es-ES_tradnl" w:eastAsia="en-US"/>
        </w:rPr>
        <w:t xml:space="preserve"> </w:t>
      </w:r>
      <w:r w:rsidR="0004592F" w:rsidRPr="0004592F">
        <w:rPr>
          <w:rFonts w:ascii="Arial" w:eastAsia="Calibri" w:hAnsi="Arial" w:cs="Arial"/>
          <w:sz w:val="22"/>
          <w:szCs w:val="22"/>
          <w:lang w:val="es-ES_tradnl" w:eastAsia="en-US"/>
        </w:rPr>
        <w:t>4201912000007258 del 4 de diciembre de 2019, C-048 del 13 de enero de 2020, C</w:t>
      </w:r>
      <w:r w:rsidR="0004592F" w:rsidRPr="0004592F">
        <w:rPr>
          <w:rFonts w:ascii="Arial" w:eastAsia="Calibri" w:hAnsi="Arial" w:cs="Arial"/>
          <w:bCs/>
          <w:sz w:val="22"/>
          <w:szCs w:val="22"/>
          <w:lang w:val="es-ES_tradnl" w:eastAsia="en-US"/>
        </w:rPr>
        <w:t>-</w:t>
      </w:r>
      <w:r w:rsidR="0004592F" w:rsidRPr="0004592F">
        <w:rPr>
          <w:rFonts w:ascii="Arial" w:eastAsia="Calibri" w:hAnsi="Arial" w:cs="Arial"/>
          <w:sz w:val="22"/>
          <w:szCs w:val="22"/>
          <w:lang w:val="es-ES_tradnl" w:eastAsia="en-US"/>
        </w:rPr>
        <w:t>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w:t>
      </w:r>
      <w:r w:rsidR="00790B61">
        <w:rPr>
          <w:rFonts w:ascii="Arial" w:eastAsia="Calibri" w:hAnsi="Arial" w:cs="Arial"/>
          <w:sz w:val="22"/>
          <w:szCs w:val="22"/>
          <w:lang w:val="es-ES_tradnl" w:eastAsia="en-US"/>
        </w:rPr>
        <w:t xml:space="preserve">, </w:t>
      </w:r>
      <w:r w:rsidR="0004592F" w:rsidRPr="0004592F">
        <w:rPr>
          <w:rFonts w:ascii="Arial" w:eastAsia="Calibri" w:hAnsi="Arial" w:cs="Arial"/>
          <w:sz w:val="22"/>
          <w:szCs w:val="22"/>
          <w:lang w:val="es-ES_tradnl" w:eastAsia="en-US"/>
        </w:rPr>
        <w:t>C-637 del 7 de diciembre de 2021</w:t>
      </w:r>
      <w:r w:rsidR="00790B61">
        <w:rPr>
          <w:rFonts w:ascii="Arial" w:eastAsia="Calibri" w:hAnsi="Arial" w:cs="Arial"/>
          <w:sz w:val="22"/>
          <w:szCs w:val="22"/>
          <w:lang w:val="es-ES_tradnl" w:eastAsia="en-US"/>
        </w:rPr>
        <w:t xml:space="preserve"> y C-733 del 13 de enero de 202</w:t>
      </w:r>
      <w:r w:rsidR="000C78C7">
        <w:rPr>
          <w:rFonts w:ascii="Arial" w:eastAsia="Calibri" w:hAnsi="Arial" w:cs="Arial"/>
          <w:sz w:val="22"/>
          <w:szCs w:val="22"/>
          <w:lang w:val="es-ES_tradnl" w:eastAsia="en-US"/>
        </w:rPr>
        <w:t>2.</w:t>
      </w:r>
    </w:p>
    <w:p w14:paraId="2E7E2C73" w14:textId="77777777" w:rsidR="00790B61" w:rsidRPr="003A7107" w:rsidRDefault="00790B61" w:rsidP="003A7107">
      <w:pPr>
        <w:tabs>
          <w:tab w:val="left" w:pos="426"/>
        </w:tabs>
        <w:spacing w:after="120" w:line="276" w:lineRule="auto"/>
        <w:contextualSpacing/>
        <w:jc w:val="both"/>
        <w:rPr>
          <w:rFonts w:ascii="Arial" w:eastAsia="Calibri" w:hAnsi="Arial" w:cs="Arial"/>
          <w:sz w:val="12"/>
          <w:szCs w:val="12"/>
          <w:lang w:val="es-ES_tradnl" w:eastAsia="en-US"/>
        </w:rPr>
      </w:pPr>
    </w:p>
    <w:p w14:paraId="383241D1" w14:textId="4FEC34B5" w:rsidR="0004592F" w:rsidRDefault="001E7D30" w:rsidP="00EA47CC">
      <w:pPr>
        <w:tabs>
          <w:tab w:val="left" w:pos="426"/>
        </w:tabs>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ab/>
      </w:r>
      <w:r>
        <w:rPr>
          <w:rFonts w:ascii="Arial" w:eastAsia="Calibri" w:hAnsi="Arial" w:cs="Arial"/>
          <w:sz w:val="22"/>
          <w:szCs w:val="22"/>
          <w:lang w:val="es-MX" w:eastAsia="en-US"/>
        </w:rPr>
        <w:tab/>
      </w:r>
      <w:r w:rsidR="00790B61">
        <w:rPr>
          <w:rFonts w:ascii="Arial" w:eastAsia="Calibri" w:hAnsi="Arial" w:cs="Arial"/>
          <w:sz w:val="22"/>
          <w:szCs w:val="22"/>
          <w:lang w:val="es-MX" w:eastAsia="en-US"/>
        </w:rPr>
        <w:t xml:space="preserve">De otra parte, </w:t>
      </w:r>
      <w:r w:rsidR="00790B61" w:rsidRPr="00790B61">
        <w:rPr>
          <w:rFonts w:ascii="Arial" w:eastAsia="Calibri" w:hAnsi="Arial" w:cs="Arial"/>
          <w:sz w:val="22"/>
          <w:szCs w:val="22"/>
          <w:lang w:val="es-MX" w:eastAsia="en-US"/>
        </w:rPr>
        <w:t xml:space="preserve">en </w:t>
      </w:r>
      <w:r w:rsidR="00790B61" w:rsidRPr="00790B61">
        <w:rPr>
          <w:rFonts w:ascii="Arial" w:eastAsia="Calibri" w:hAnsi="Arial" w:cs="Arial"/>
          <w:sz w:val="22"/>
          <w:szCs w:val="22"/>
          <w:lang w:val="es-ES" w:eastAsia="en-US"/>
        </w:rPr>
        <w:t xml:space="preserve">los conceptos C-046 del 19 de febrero de 2020, C-095 del 16 de marzo de 2020, C-197 del 26 de marzo de 2020, C-170 del 6 de abril de 2020, C-172 del 6 de abril de 2020, C-176  del 6 de abril de 2020, C-009 del 27 de abril de 2020, y C-015 del 29 de abril de 2020, se estudiaron temas como el SECOP I como medio de publicidad de las actuaciones contractuales, la naturaleza transaccional y obligatoriedad de SECOP II, así como los documentos que deben publicarse en estas plataformas. En los conceptos con radicados Nos. 4201912000007253 del 4 de diciembre de 2019, reiterado en el concepto con radicado No. 4201912000007289 de la misma fecha, así como en el C-336 del 2 de junio de 2020, se realizaron consideraciones relativas a la publicidad en SECOP en lo concerniente a las entidades regidas por el Estatuto General de Contratación de la Administración Pública. Todos estos conceptos fueron unificados en el concepto CU-367 del </w:t>
      </w:r>
      <w:r w:rsidR="00790B61" w:rsidRPr="00790B61">
        <w:rPr>
          <w:rFonts w:ascii="Arial" w:eastAsia="Calibri" w:hAnsi="Arial" w:cs="Arial"/>
          <w:sz w:val="22"/>
          <w:szCs w:val="22"/>
          <w:lang w:val="es-MX" w:eastAsia="en-US"/>
        </w:rPr>
        <w:t>23 de julio de 2020,  el cual fue reiterado en los conceptos C-433 del 24 de julio de 2020, C-474 del 24 de julio de 2020, C-504 del 31 de julio de 2020, C-508 del 31 de julio de 2020, C-521 del 11 de agosto de 2020, C-543 del 19 de agosto de 2020, C-544 del 21 de agosto de 2020, C-604 del 9 de septiembre de 2020, C-554 del 17 de septiembre de 2020, C-672 del 11 de noviembre de 2020, C-661 del 17 de noviembre de 2020</w:t>
      </w:r>
      <w:r w:rsidR="00790B61">
        <w:rPr>
          <w:rFonts w:ascii="Arial" w:eastAsia="Calibri" w:hAnsi="Arial" w:cs="Arial"/>
          <w:sz w:val="22"/>
          <w:szCs w:val="22"/>
          <w:lang w:val="es-MX" w:eastAsia="en-US"/>
        </w:rPr>
        <w:t xml:space="preserve">, </w:t>
      </w:r>
      <w:r w:rsidR="00790B61" w:rsidRPr="00790B61">
        <w:rPr>
          <w:rFonts w:ascii="Arial" w:eastAsia="Calibri" w:hAnsi="Arial" w:cs="Arial"/>
          <w:sz w:val="22"/>
          <w:szCs w:val="22"/>
          <w:lang w:val="es-MX" w:eastAsia="en-US"/>
        </w:rPr>
        <w:t>C-680 del 18 de noviembre de 2020</w:t>
      </w:r>
      <w:r w:rsidR="00790B61">
        <w:rPr>
          <w:rFonts w:ascii="Arial" w:eastAsia="Calibri" w:hAnsi="Arial" w:cs="Arial"/>
          <w:sz w:val="22"/>
          <w:szCs w:val="22"/>
          <w:lang w:val="es-MX" w:eastAsia="en-US"/>
        </w:rPr>
        <w:t xml:space="preserve"> y C-780 </w:t>
      </w:r>
      <w:r w:rsidR="000C78C7">
        <w:rPr>
          <w:rFonts w:ascii="Arial" w:eastAsia="Calibri" w:hAnsi="Arial" w:cs="Arial"/>
          <w:sz w:val="22"/>
          <w:szCs w:val="22"/>
          <w:lang w:val="es-MX" w:eastAsia="en-US"/>
        </w:rPr>
        <w:t>del 18 de enero de 2021.</w:t>
      </w:r>
      <w:r w:rsidR="00790B61" w:rsidRPr="00790B61">
        <w:rPr>
          <w:rFonts w:ascii="Arial" w:eastAsia="Calibri" w:hAnsi="Arial" w:cs="Arial"/>
          <w:sz w:val="22"/>
          <w:szCs w:val="22"/>
          <w:lang w:val="es-MX" w:eastAsia="en-US"/>
        </w:rPr>
        <w:t xml:space="preserve"> La tesis desarrollada en estos conceptos se reitera a continuación:</w:t>
      </w:r>
    </w:p>
    <w:p w14:paraId="7DD4A6A1" w14:textId="62096A7E" w:rsidR="004F398F" w:rsidRDefault="004F398F" w:rsidP="00EA47CC">
      <w:pPr>
        <w:tabs>
          <w:tab w:val="left" w:pos="426"/>
        </w:tabs>
        <w:spacing w:line="276" w:lineRule="auto"/>
        <w:jc w:val="both"/>
        <w:rPr>
          <w:rFonts w:ascii="Arial" w:eastAsia="Calibri" w:hAnsi="Arial" w:cs="Arial"/>
          <w:sz w:val="22"/>
          <w:szCs w:val="22"/>
          <w:lang w:val="es-MX" w:eastAsia="en-US"/>
        </w:rPr>
      </w:pPr>
    </w:p>
    <w:p w14:paraId="3A7651DB" w14:textId="77777777" w:rsidR="004F398F" w:rsidRPr="004F398F" w:rsidRDefault="004F398F" w:rsidP="004F398F">
      <w:pPr>
        <w:rPr>
          <w:rFonts w:ascii="Arial" w:eastAsia="Calibri" w:hAnsi="Arial" w:cs="Arial"/>
          <w:b/>
          <w:color w:val="000000"/>
          <w:sz w:val="22"/>
          <w:szCs w:val="22"/>
          <w:lang w:val="es-ES" w:eastAsia="en-US"/>
        </w:rPr>
      </w:pPr>
      <w:r w:rsidRPr="004F398F">
        <w:rPr>
          <w:rFonts w:ascii="Arial" w:eastAsia="Calibri" w:hAnsi="Arial" w:cs="Arial"/>
          <w:b/>
          <w:color w:val="000000"/>
          <w:sz w:val="22"/>
          <w:szCs w:val="22"/>
          <w:lang w:val="es-ES" w:eastAsia="en-US"/>
        </w:rPr>
        <w:t xml:space="preserve">2.1. </w:t>
      </w:r>
      <w:bookmarkStart w:id="0" w:name="_Hlk93995318"/>
      <w:r w:rsidRPr="004F398F">
        <w:rPr>
          <w:rFonts w:ascii="Arial" w:eastAsia="Calibri" w:hAnsi="Arial" w:cs="Arial"/>
          <w:b/>
          <w:color w:val="000000"/>
          <w:sz w:val="22"/>
          <w:szCs w:val="22"/>
          <w:lang w:val="es-ES" w:eastAsia="en-US"/>
        </w:rPr>
        <w:t xml:space="preserve">Sujetos obligados a publicar el plan anual de adquisiciones </w:t>
      </w:r>
    </w:p>
    <w:bookmarkEnd w:id="0"/>
    <w:p w14:paraId="682F0AD6" w14:textId="77777777" w:rsidR="004F398F" w:rsidRPr="004F398F" w:rsidRDefault="004F398F" w:rsidP="003A7107">
      <w:pPr>
        <w:spacing w:line="276" w:lineRule="auto"/>
        <w:rPr>
          <w:rFonts w:ascii="Arial" w:eastAsia="Calibri" w:hAnsi="Arial" w:cs="Arial"/>
          <w:b/>
          <w:color w:val="000000"/>
          <w:sz w:val="22"/>
          <w:szCs w:val="22"/>
          <w:lang w:val="es-ES" w:eastAsia="en-US"/>
        </w:rPr>
      </w:pPr>
    </w:p>
    <w:p w14:paraId="39305466" w14:textId="77777777" w:rsidR="00D00C40" w:rsidRDefault="00D00C40" w:rsidP="00D00C40">
      <w:pPr>
        <w:tabs>
          <w:tab w:val="left" w:pos="426"/>
          <w:tab w:val="left" w:pos="8505"/>
        </w:tabs>
        <w:spacing w:after="120" w:line="276" w:lineRule="auto"/>
        <w:ind w:right="51"/>
        <w:jc w:val="both"/>
        <w:rPr>
          <w:rFonts w:ascii="Arial" w:eastAsia="Calibri" w:hAnsi="Arial" w:cs="Arial"/>
          <w:sz w:val="22"/>
          <w:szCs w:val="22"/>
          <w:lang w:val="es-ES"/>
        </w:rPr>
      </w:pPr>
      <w:r>
        <w:rPr>
          <w:rFonts w:ascii="Arial" w:eastAsia="Calibri" w:hAnsi="Arial" w:cs="Arial"/>
          <w:sz w:val="22"/>
          <w:szCs w:val="22"/>
          <w:lang w:val="es-ES"/>
        </w:rPr>
        <w:t>El artículo 74 de la Ley 1474 dispone que «todas las entidades del Estado» deben publicar, a más tardar el 31 de enero de cada año, en su respectiva página web, el plan de acción, en el cual se incluye el plan general de compras</w:t>
      </w:r>
      <w:r>
        <w:rPr>
          <w:rStyle w:val="Refdenotaalpie"/>
          <w:rFonts w:ascii="Arial" w:eastAsia="Calibri" w:hAnsi="Arial" w:cs="Arial"/>
          <w:sz w:val="22"/>
          <w:szCs w:val="22"/>
          <w:lang w:val="es-ES"/>
        </w:rPr>
        <w:footnoteReference w:id="1"/>
      </w:r>
      <w:r>
        <w:rPr>
          <w:rFonts w:ascii="Arial" w:eastAsia="Calibri" w:hAnsi="Arial" w:cs="Arial"/>
          <w:sz w:val="22"/>
          <w:szCs w:val="22"/>
          <w:lang w:val="es-ES"/>
        </w:rPr>
        <w:t>.</w:t>
      </w:r>
      <w:r w:rsidRPr="00406E40">
        <w:rPr>
          <w:rFonts w:ascii="Arial" w:eastAsia="Calibri" w:hAnsi="Arial" w:cs="Arial"/>
          <w:sz w:val="22"/>
          <w:szCs w:val="22"/>
          <w:lang w:val="es-ES"/>
        </w:rPr>
        <w:t xml:space="preserve"> </w:t>
      </w:r>
      <w:r>
        <w:rPr>
          <w:rFonts w:ascii="Arial" w:eastAsia="Calibri" w:hAnsi="Arial" w:cs="Arial"/>
          <w:sz w:val="22"/>
          <w:szCs w:val="22"/>
          <w:lang w:val="es-ES"/>
        </w:rPr>
        <w:t>E</w:t>
      </w:r>
      <w:r w:rsidRPr="00406E40">
        <w:rPr>
          <w:rFonts w:ascii="Arial" w:eastAsia="Calibri" w:hAnsi="Arial" w:cs="Arial"/>
          <w:sz w:val="22"/>
          <w:szCs w:val="22"/>
          <w:lang w:val="es-ES"/>
        </w:rPr>
        <w:t xml:space="preserve">l plan general de compras para el </w:t>
      </w:r>
      <w:r w:rsidRPr="00406E40">
        <w:rPr>
          <w:rFonts w:ascii="Arial" w:eastAsia="Calibri" w:hAnsi="Arial" w:cs="Arial"/>
          <w:sz w:val="22"/>
          <w:szCs w:val="22"/>
          <w:lang w:val="es-ES"/>
        </w:rPr>
        <w:lastRenderedPageBreak/>
        <w:t xml:space="preserve">ordenamiento vigente corresponde con el concepto de </w:t>
      </w:r>
      <w:r>
        <w:rPr>
          <w:rFonts w:ascii="Arial" w:eastAsia="Calibri" w:hAnsi="Arial" w:cs="Arial"/>
          <w:sz w:val="22"/>
          <w:szCs w:val="22"/>
          <w:lang w:val="es-ES"/>
        </w:rPr>
        <w:t>plan anual de adquisiciones</w:t>
      </w:r>
      <w:r w:rsidRPr="00406E40">
        <w:rPr>
          <w:rFonts w:ascii="Arial" w:eastAsia="Calibri" w:hAnsi="Arial" w:cs="Arial"/>
          <w:sz w:val="22"/>
          <w:szCs w:val="22"/>
          <w:lang w:val="es-ES"/>
        </w:rPr>
        <w:t xml:space="preserve"> como lo establece el artículo 2.2.1.1.1.3.1. del Decreto 1082 de 2015</w:t>
      </w:r>
      <w:r w:rsidRPr="00406E40">
        <w:rPr>
          <w:rStyle w:val="Refdenotaalpie"/>
          <w:rFonts w:ascii="Arial" w:eastAsia="Calibri" w:hAnsi="Arial" w:cs="Arial"/>
          <w:sz w:val="22"/>
          <w:szCs w:val="22"/>
          <w:lang w:val="es-ES"/>
        </w:rPr>
        <w:footnoteReference w:id="2"/>
      </w:r>
      <w:r w:rsidRPr="00406E40">
        <w:rPr>
          <w:rFonts w:ascii="Arial" w:eastAsia="Calibri" w:hAnsi="Arial" w:cs="Arial"/>
          <w:sz w:val="22"/>
          <w:szCs w:val="22"/>
          <w:lang w:val="es-ES"/>
        </w:rPr>
        <w:t xml:space="preserve">. </w:t>
      </w:r>
      <w:r>
        <w:rPr>
          <w:rFonts w:ascii="Arial" w:eastAsia="Calibri" w:hAnsi="Arial" w:cs="Arial"/>
          <w:sz w:val="22"/>
          <w:szCs w:val="22"/>
          <w:lang w:val="es-ES"/>
        </w:rPr>
        <w:t xml:space="preserve"> </w:t>
      </w:r>
    </w:p>
    <w:p w14:paraId="0E22985C" w14:textId="77777777" w:rsidR="00D00C40" w:rsidRDefault="00D00C40" w:rsidP="00D00C40">
      <w:pPr>
        <w:tabs>
          <w:tab w:val="left" w:pos="426"/>
          <w:tab w:val="left" w:pos="709"/>
        </w:tabs>
        <w:spacing w:line="276" w:lineRule="auto"/>
        <w:ind w:right="51" w:firstLine="709"/>
        <w:jc w:val="both"/>
        <w:rPr>
          <w:rFonts w:ascii="Arial" w:eastAsia="Calibri" w:hAnsi="Arial" w:cs="Arial"/>
          <w:sz w:val="22"/>
          <w:szCs w:val="22"/>
          <w:lang w:val="es-ES"/>
        </w:rPr>
      </w:pPr>
      <w:r w:rsidRPr="00406E40">
        <w:rPr>
          <w:rFonts w:ascii="Arial" w:eastAsia="Calibri" w:hAnsi="Arial" w:cs="Arial"/>
          <w:sz w:val="22"/>
          <w:szCs w:val="22"/>
          <w:lang w:val="es-ES"/>
        </w:rPr>
        <w:t>Para continuar con las normas generales sobre la publicidad del plan de compras, debe analizar</w:t>
      </w:r>
      <w:r>
        <w:rPr>
          <w:rFonts w:ascii="Arial" w:eastAsia="Calibri" w:hAnsi="Arial" w:cs="Arial"/>
          <w:sz w:val="22"/>
          <w:szCs w:val="22"/>
          <w:lang w:val="es-ES"/>
        </w:rPr>
        <w:t>se</w:t>
      </w:r>
      <w:r w:rsidRPr="00406E40">
        <w:rPr>
          <w:rFonts w:ascii="Arial" w:eastAsia="Calibri" w:hAnsi="Arial" w:cs="Arial"/>
          <w:sz w:val="22"/>
          <w:szCs w:val="22"/>
          <w:lang w:val="es-ES"/>
        </w:rPr>
        <w:t xml:space="preserve"> la Ley 1712 de 2014. El artículo 9</w:t>
      </w:r>
      <w:r>
        <w:rPr>
          <w:rFonts w:ascii="Arial" w:eastAsia="Calibri" w:hAnsi="Arial" w:cs="Arial"/>
          <w:sz w:val="22"/>
          <w:szCs w:val="22"/>
          <w:lang w:val="es-ES"/>
        </w:rPr>
        <w:t>, literal e),</w:t>
      </w:r>
      <w:r w:rsidRPr="00406E40">
        <w:rPr>
          <w:rFonts w:ascii="Arial" w:eastAsia="Calibri" w:hAnsi="Arial" w:cs="Arial"/>
          <w:sz w:val="22"/>
          <w:szCs w:val="22"/>
          <w:lang w:val="es-ES"/>
        </w:rPr>
        <w:t xml:space="preserve"> prescribe</w:t>
      </w:r>
      <w:r>
        <w:rPr>
          <w:rFonts w:ascii="Arial" w:eastAsia="Calibri" w:hAnsi="Arial" w:cs="Arial"/>
          <w:sz w:val="22"/>
          <w:szCs w:val="22"/>
          <w:lang w:val="es-ES"/>
        </w:rPr>
        <w:t xml:space="preserve"> que </w:t>
      </w:r>
      <w:r w:rsidRPr="00C32E6E">
        <w:rPr>
          <w:rFonts w:ascii="Arial" w:eastAsia="Calibri" w:hAnsi="Arial" w:cs="Arial"/>
          <w:sz w:val="22"/>
          <w:szCs w:val="22"/>
          <w:lang w:val="es-ES"/>
        </w:rPr>
        <w:t>todo sujeto obligado deberá publicar</w:t>
      </w:r>
      <w:r>
        <w:rPr>
          <w:rFonts w:ascii="Arial" w:eastAsia="Calibri" w:hAnsi="Arial" w:cs="Arial"/>
          <w:sz w:val="22"/>
          <w:szCs w:val="22"/>
          <w:lang w:val="es-ES"/>
        </w:rPr>
        <w:t>,</w:t>
      </w:r>
      <w:r w:rsidRPr="00C32E6E">
        <w:rPr>
          <w:rFonts w:ascii="Arial" w:eastAsia="Calibri" w:hAnsi="Arial" w:cs="Arial"/>
          <w:sz w:val="22"/>
          <w:szCs w:val="22"/>
          <w:lang w:val="es-ES"/>
        </w:rPr>
        <w:t xml:space="preserve"> en los sistemas de información del Estado o herramientas que lo sustituyan</w:t>
      </w:r>
      <w:r>
        <w:rPr>
          <w:rFonts w:ascii="Arial" w:eastAsia="Calibri" w:hAnsi="Arial" w:cs="Arial"/>
          <w:sz w:val="22"/>
          <w:szCs w:val="22"/>
          <w:lang w:val="es-ES"/>
        </w:rPr>
        <w:t>,</w:t>
      </w:r>
      <w:r w:rsidRPr="00C32E6E">
        <w:rPr>
          <w:rFonts w:ascii="Arial" w:eastAsia="Calibri" w:hAnsi="Arial" w:cs="Arial"/>
          <w:sz w:val="22"/>
          <w:szCs w:val="22"/>
          <w:lang w:val="es-ES"/>
        </w:rPr>
        <w:t xml:space="preserve"> su respectivo plan de compras anual</w:t>
      </w:r>
      <w:r>
        <w:rPr>
          <w:rStyle w:val="Refdenotaalpie"/>
          <w:rFonts w:ascii="Arial" w:eastAsia="Calibri" w:hAnsi="Arial" w:cs="Arial"/>
          <w:sz w:val="22"/>
          <w:szCs w:val="22"/>
          <w:lang w:val="es-ES"/>
        </w:rPr>
        <w:footnoteReference w:id="3"/>
      </w:r>
      <w:r>
        <w:rPr>
          <w:rFonts w:ascii="Arial" w:eastAsia="Calibri" w:hAnsi="Arial" w:cs="Arial"/>
          <w:sz w:val="22"/>
          <w:szCs w:val="22"/>
          <w:lang w:val="es-ES"/>
        </w:rPr>
        <w:t>.</w:t>
      </w:r>
      <w:r w:rsidRPr="00C32E6E">
        <w:rPr>
          <w:rFonts w:ascii="Arial" w:eastAsia="Calibri" w:hAnsi="Arial" w:cs="Arial"/>
          <w:sz w:val="22"/>
          <w:szCs w:val="22"/>
          <w:lang w:val="es-ES"/>
        </w:rPr>
        <w:t xml:space="preserve"> </w:t>
      </w:r>
      <w:r>
        <w:rPr>
          <w:rFonts w:ascii="Arial" w:eastAsia="Calibri" w:hAnsi="Arial" w:cs="Arial"/>
          <w:sz w:val="22"/>
          <w:szCs w:val="22"/>
          <w:lang w:val="es-ES"/>
        </w:rPr>
        <w:t>P</w:t>
      </w:r>
      <w:r w:rsidRPr="00C32E6E">
        <w:rPr>
          <w:rFonts w:ascii="Arial" w:eastAsia="Calibri" w:hAnsi="Arial" w:cs="Arial"/>
          <w:sz w:val="22"/>
          <w:szCs w:val="22"/>
          <w:lang w:val="es-ES"/>
        </w:rPr>
        <w:t xml:space="preserve">ara determinar </w:t>
      </w:r>
      <w:r>
        <w:rPr>
          <w:rFonts w:ascii="Arial" w:eastAsia="Calibri" w:hAnsi="Arial" w:cs="Arial"/>
          <w:sz w:val="22"/>
          <w:szCs w:val="22"/>
          <w:lang w:val="es-ES"/>
        </w:rPr>
        <w:t xml:space="preserve">los sujetos obligados a publicarlo </w:t>
      </w:r>
      <w:r w:rsidRPr="00C32E6E">
        <w:rPr>
          <w:rFonts w:ascii="Arial" w:eastAsia="Calibri" w:hAnsi="Arial" w:cs="Arial"/>
          <w:sz w:val="22"/>
          <w:szCs w:val="22"/>
          <w:lang w:val="es-ES"/>
        </w:rPr>
        <w:t xml:space="preserve">es necesario </w:t>
      </w:r>
      <w:r>
        <w:rPr>
          <w:rFonts w:ascii="Arial" w:eastAsia="Calibri" w:hAnsi="Arial" w:cs="Arial"/>
          <w:sz w:val="22"/>
          <w:szCs w:val="22"/>
          <w:lang w:val="es-ES"/>
        </w:rPr>
        <w:t xml:space="preserve">remitirse al artículo 5 de la Ley 1712 de 2014. Esta norma prescribe lo siguiente: </w:t>
      </w:r>
    </w:p>
    <w:p w14:paraId="603BC9F3" w14:textId="77777777" w:rsidR="00D00C40" w:rsidRPr="006C2B00" w:rsidRDefault="00D00C40" w:rsidP="00D00C40">
      <w:pPr>
        <w:tabs>
          <w:tab w:val="left" w:pos="426"/>
        </w:tabs>
        <w:ind w:left="426" w:right="760"/>
        <w:jc w:val="both"/>
        <w:rPr>
          <w:rFonts w:ascii="Arial" w:eastAsia="Calibri" w:hAnsi="Arial" w:cs="Arial"/>
          <w:color w:val="000000" w:themeColor="text1"/>
          <w:sz w:val="21"/>
          <w:szCs w:val="21"/>
          <w:lang w:val="es-ES"/>
        </w:rPr>
      </w:pPr>
    </w:p>
    <w:p w14:paraId="70BF68E2" w14:textId="77777777" w:rsidR="00D00C40" w:rsidRPr="005532D4" w:rsidRDefault="00D00C40" w:rsidP="00D00C40">
      <w:pPr>
        <w:tabs>
          <w:tab w:val="left" w:pos="709"/>
        </w:tabs>
        <w:spacing w:after="120"/>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Artículo 5. </w:t>
      </w:r>
      <w:r w:rsidRPr="005532D4">
        <w:rPr>
          <w:rFonts w:ascii="Arial" w:eastAsia="Calibri" w:hAnsi="Arial" w:cs="Arial"/>
          <w:color w:val="000000" w:themeColor="text1"/>
          <w:sz w:val="21"/>
          <w:szCs w:val="21"/>
          <w:lang w:val="es-ES"/>
        </w:rPr>
        <w:t>Las disposiciones de esta ley serán aplicables a las siguientes personas en calidad de sujetos obligados:</w:t>
      </w:r>
    </w:p>
    <w:p w14:paraId="7A279EBC" w14:textId="77777777" w:rsidR="00D00C40" w:rsidRPr="005532D4" w:rsidRDefault="00D00C40" w:rsidP="00D00C40">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D017D38" w14:textId="77777777" w:rsidR="00D00C40" w:rsidRPr="005532D4" w:rsidRDefault="00D00C40" w:rsidP="00D00C40">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b) Los órganos, organismos y entidades estatales independientes o autónomos y de control.</w:t>
      </w:r>
    </w:p>
    <w:p w14:paraId="1D2DAEFA" w14:textId="77777777" w:rsidR="00D00C40" w:rsidRPr="005532D4" w:rsidRDefault="00D00C40" w:rsidP="00D00C40">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c) Las personas naturales y jurídicas, públicas o privadas, que presten función pública, que presten servicios públicos respecto de la información directamente relacionada con la prestación del servicio público.</w:t>
      </w:r>
    </w:p>
    <w:p w14:paraId="7C9E7A4B" w14:textId="77777777" w:rsidR="00D00C40" w:rsidRDefault="00D00C40" w:rsidP="00D00C40">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 xml:space="preserve">d) Cualquier persona natural, jurídica o dependencia de persona jurídica que desempeñe función pública o de </w:t>
      </w:r>
      <w:proofErr w:type="gramStart"/>
      <w:r w:rsidRPr="005532D4">
        <w:rPr>
          <w:rFonts w:ascii="Arial" w:eastAsia="Calibri" w:hAnsi="Arial" w:cs="Arial"/>
          <w:color w:val="000000" w:themeColor="text1"/>
          <w:sz w:val="21"/>
          <w:szCs w:val="21"/>
          <w:lang w:val="es-ES"/>
        </w:rPr>
        <w:t>autoridad pública</w:t>
      </w:r>
      <w:proofErr w:type="gramEnd"/>
      <w:r w:rsidRPr="005532D4">
        <w:rPr>
          <w:rFonts w:ascii="Arial" w:eastAsia="Calibri" w:hAnsi="Arial" w:cs="Arial"/>
          <w:color w:val="000000" w:themeColor="text1"/>
          <w:sz w:val="21"/>
          <w:szCs w:val="21"/>
          <w:lang w:val="es-ES"/>
        </w:rPr>
        <w:t>, respecto de la información directamente relacionada con el desempeño de su función</w:t>
      </w:r>
    </w:p>
    <w:p w14:paraId="66C68867" w14:textId="77777777" w:rsidR="00D00C40" w:rsidRDefault="00D00C40" w:rsidP="00D00C40">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e)</w:t>
      </w:r>
      <w:r>
        <w:rPr>
          <w:rFonts w:ascii="Arial" w:eastAsia="Calibri" w:hAnsi="Arial" w:cs="Arial"/>
          <w:color w:val="000000" w:themeColor="text1"/>
          <w:sz w:val="21"/>
          <w:szCs w:val="21"/>
          <w:lang w:val="es-ES"/>
        </w:rPr>
        <w:t xml:space="preserve"> </w:t>
      </w:r>
      <w:r w:rsidRPr="00854D44">
        <w:rPr>
          <w:rFonts w:ascii="Arial" w:eastAsia="Calibri" w:hAnsi="Arial" w:cs="Arial"/>
          <w:color w:val="000000" w:themeColor="text1"/>
          <w:sz w:val="21"/>
          <w:szCs w:val="21"/>
          <w:lang w:val="es-ES"/>
        </w:rPr>
        <w:t xml:space="preserve"> Las empresas públicas creadas por ley, las empresas del Estado y sociedades en que este tenga participación.</w:t>
      </w:r>
    </w:p>
    <w:p w14:paraId="696BCCAE" w14:textId="77777777" w:rsidR="00D00C40" w:rsidRPr="00854D44" w:rsidRDefault="00D00C40" w:rsidP="00D00C40">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f) Los partidos o movimientos políticos y los grupos significativos de ciudadanos.</w:t>
      </w:r>
    </w:p>
    <w:p w14:paraId="67981350" w14:textId="77777777" w:rsidR="00D00C40" w:rsidRPr="00854D44" w:rsidRDefault="00D00C40" w:rsidP="00D00C40">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lastRenderedPageBreak/>
        <w:t>g) Las entidades que administren instituciones parafiscales, fondos o recursos de naturaleza u origen público.</w:t>
      </w:r>
    </w:p>
    <w:p w14:paraId="5029D7AD" w14:textId="77777777" w:rsidR="00D00C40" w:rsidRPr="00854D44" w:rsidRDefault="00D00C40" w:rsidP="00D00C40">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7043EC19" w14:textId="77777777" w:rsidR="00D00C40" w:rsidRPr="006C2B00" w:rsidRDefault="00D00C40" w:rsidP="00D00C40">
      <w:pPr>
        <w:tabs>
          <w:tab w:val="left" w:pos="709"/>
        </w:tabs>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PARÁGRAFO 1o. No serán sujetos obligados aquellas personas naturales o jurídicas de carácter privado que sean usuarios de información pública.</w:t>
      </w:r>
    </w:p>
    <w:p w14:paraId="78C57CA1" w14:textId="77777777" w:rsidR="00D00C40" w:rsidRPr="00AE7779" w:rsidRDefault="00D00C40" w:rsidP="00D00C40">
      <w:pPr>
        <w:tabs>
          <w:tab w:val="left" w:pos="426"/>
        </w:tabs>
        <w:ind w:right="758"/>
        <w:jc w:val="both"/>
        <w:rPr>
          <w:rFonts w:ascii="Arial" w:eastAsia="Calibri" w:hAnsi="Arial" w:cs="Arial"/>
          <w:color w:val="000000" w:themeColor="text1"/>
          <w:sz w:val="22"/>
          <w:szCs w:val="22"/>
          <w:lang w:val="es-ES"/>
        </w:rPr>
      </w:pPr>
    </w:p>
    <w:p w14:paraId="4B4B2EF0" w14:textId="77777777" w:rsidR="00D00C40" w:rsidRDefault="00D00C40" w:rsidP="00D00C40">
      <w:pPr>
        <w:spacing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 xml:space="preserve">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la Agencia ha señalado que son sujetos obligados las empresas públicas, las empresas del Estado y las sociedades en las que el Estado tenga participación, sin que importe su monto. Esta </w:t>
      </w:r>
      <w:r w:rsidRPr="00406E40">
        <w:rPr>
          <w:rFonts w:ascii="Arial" w:eastAsia="Calibri" w:hAnsi="Arial" w:cs="Arial"/>
          <w:sz w:val="22"/>
          <w:szCs w:val="22"/>
          <w:lang w:val="es-ES"/>
        </w:rPr>
        <w:t>obligación de origen legal</w:t>
      </w:r>
      <w:r>
        <w:rPr>
          <w:rFonts w:ascii="Arial" w:eastAsia="Calibri" w:hAnsi="Arial" w:cs="Arial"/>
          <w:sz w:val="22"/>
          <w:szCs w:val="22"/>
          <w:lang w:val="es-ES"/>
        </w:rPr>
        <w:t xml:space="preserve"> tiene</w:t>
      </w:r>
      <w:r w:rsidRPr="00406E40">
        <w:rPr>
          <w:rFonts w:ascii="Arial" w:eastAsia="Calibri" w:hAnsi="Arial" w:cs="Arial"/>
          <w:sz w:val="22"/>
          <w:szCs w:val="22"/>
          <w:lang w:val="es-ES"/>
        </w:rPr>
        <w:t xml:space="preserve"> desarrollo reglamentario en el </w:t>
      </w:r>
      <w:r w:rsidRPr="00B02774">
        <w:rPr>
          <w:rFonts w:ascii="Arial" w:eastAsia="Calibri" w:hAnsi="Arial" w:cs="Arial"/>
          <w:sz w:val="22"/>
          <w:szCs w:val="22"/>
          <w:lang w:val="es-ES"/>
        </w:rPr>
        <w:t>Decreto 103 de 2015</w:t>
      </w:r>
      <w:r w:rsidRPr="00406E40">
        <w:rPr>
          <w:rFonts w:ascii="Arial" w:eastAsia="Calibri" w:hAnsi="Arial" w:cs="Arial"/>
          <w:sz w:val="22"/>
          <w:szCs w:val="22"/>
          <w:lang w:val="es-ES"/>
        </w:rPr>
        <w:t xml:space="preserve">, compilado por el Decreto 1081 de 2015. </w:t>
      </w:r>
      <w:r>
        <w:rPr>
          <w:rFonts w:ascii="Arial" w:eastAsia="Calibri" w:hAnsi="Arial" w:cs="Arial"/>
          <w:sz w:val="22"/>
          <w:szCs w:val="22"/>
          <w:lang w:val="es-ES"/>
        </w:rPr>
        <w:t xml:space="preserve">El artículo 2.1.1.2.1.10 del Decreto 1082 de 2015 dispone que: </w:t>
      </w:r>
    </w:p>
    <w:p w14:paraId="1E54902C" w14:textId="77777777" w:rsidR="00D00C40" w:rsidRPr="00406E40" w:rsidRDefault="00D00C40" w:rsidP="00D00C40">
      <w:pPr>
        <w:ind w:firstLine="709"/>
        <w:rPr>
          <w:rFonts w:ascii="Arial" w:eastAsia="Calibri" w:hAnsi="Arial" w:cs="Arial"/>
          <w:sz w:val="22"/>
          <w:szCs w:val="22"/>
          <w:lang w:val="es-ES"/>
        </w:rPr>
      </w:pPr>
    </w:p>
    <w:p w14:paraId="2D2B9970" w14:textId="77777777" w:rsidR="00D00C40" w:rsidRPr="00345705" w:rsidRDefault="00D00C40" w:rsidP="00D00C40">
      <w:pPr>
        <w:tabs>
          <w:tab w:val="left" w:pos="426"/>
        </w:tabs>
        <w:spacing w:after="120"/>
        <w:ind w:left="709" w:right="709"/>
        <w:jc w:val="both"/>
        <w:rPr>
          <w:rFonts w:ascii="Arial" w:eastAsia="Calibri" w:hAnsi="Arial" w:cs="Arial"/>
          <w:color w:val="000000" w:themeColor="text1"/>
          <w:sz w:val="21"/>
          <w:szCs w:val="21"/>
          <w:lang w:val="es-ES"/>
        </w:rPr>
      </w:pPr>
      <w:r w:rsidRPr="00416308">
        <w:rPr>
          <w:rFonts w:ascii="Arial" w:eastAsia="Calibri" w:hAnsi="Arial" w:cs="Arial"/>
          <w:color w:val="000000" w:themeColor="text1"/>
          <w:sz w:val="21"/>
          <w:szCs w:val="21"/>
          <w:lang w:val="es-ES"/>
        </w:rPr>
        <w:t xml:space="preserve">Los sujetos obligados que contratan con cargo a recursos públicos deben publicar </w:t>
      </w:r>
      <w:r w:rsidRPr="00345705">
        <w:rPr>
          <w:rFonts w:ascii="Arial" w:eastAsia="Calibri" w:hAnsi="Arial" w:cs="Arial"/>
          <w:color w:val="000000" w:themeColor="text1"/>
          <w:sz w:val="21"/>
          <w:szCs w:val="21"/>
          <w:lang w:val="es-ES"/>
        </w:rPr>
        <w:t xml:space="preserve">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w:t>
      </w:r>
      <w:r w:rsidRPr="00416308">
        <w:rPr>
          <w:rFonts w:ascii="Arial" w:eastAsia="Calibri" w:hAnsi="Arial" w:cs="Arial"/>
          <w:color w:val="000000" w:themeColor="text1"/>
          <w:sz w:val="21"/>
          <w:szCs w:val="21"/>
          <w:lang w:val="es-ES"/>
        </w:rPr>
        <w:t>de acuerdo con lo previsto</w:t>
      </w:r>
      <w:r w:rsidRPr="00345705">
        <w:rPr>
          <w:rFonts w:ascii="Arial" w:eastAsia="Calibri" w:hAnsi="Arial" w:cs="Arial"/>
          <w:color w:val="000000" w:themeColor="text1"/>
          <w:sz w:val="21"/>
          <w:szCs w:val="21"/>
          <w:lang w:val="es-ES"/>
        </w:rPr>
        <w:t xml:space="preserve"> en el artículo 74 de la Ley 1474 de 2011, el literal e) del artículo 9° de la Ley 1712 de 2014 y </w:t>
      </w:r>
      <w:r w:rsidRPr="00416308">
        <w:rPr>
          <w:rFonts w:ascii="Arial" w:eastAsia="Calibri" w:hAnsi="Arial" w:cs="Arial"/>
          <w:color w:val="000000" w:themeColor="text1"/>
          <w:sz w:val="21"/>
          <w:szCs w:val="21"/>
          <w:lang w:val="es-ES"/>
        </w:rPr>
        <w:t>el Decreto 1510 de 2013</w:t>
      </w:r>
      <w:r w:rsidRPr="00345705">
        <w:rPr>
          <w:rFonts w:ascii="Arial" w:eastAsia="Calibri" w:hAnsi="Arial" w:cs="Arial"/>
          <w:color w:val="000000" w:themeColor="text1"/>
          <w:sz w:val="21"/>
          <w:szCs w:val="21"/>
          <w:lang w:val="es-ES"/>
        </w:rPr>
        <w:t>, o el que lo modifique, sustituya o adicione.</w:t>
      </w:r>
    </w:p>
    <w:p w14:paraId="7CAA3307" w14:textId="77777777" w:rsidR="00D00C40" w:rsidRPr="00345705" w:rsidRDefault="00D00C40" w:rsidP="00D00C40">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28748F7A" w14:textId="77777777" w:rsidR="00D00C40" w:rsidRPr="00345705" w:rsidRDefault="00D00C40" w:rsidP="00D00C40">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contratan con cargo a recursos públicos y recursos </w:t>
      </w:r>
      <w:proofErr w:type="gramStart"/>
      <w:r w:rsidRPr="00345705">
        <w:rPr>
          <w:rFonts w:ascii="Arial" w:eastAsia="Calibri" w:hAnsi="Arial" w:cs="Arial"/>
          <w:color w:val="000000" w:themeColor="text1"/>
          <w:sz w:val="21"/>
          <w:szCs w:val="21"/>
          <w:lang w:val="es-ES"/>
        </w:rPr>
        <w:t>privados,</w:t>
      </w:r>
      <w:proofErr w:type="gramEnd"/>
      <w:r w:rsidRPr="00345705">
        <w:rPr>
          <w:rFonts w:ascii="Arial" w:eastAsia="Calibri" w:hAnsi="Arial" w:cs="Arial"/>
          <w:color w:val="000000" w:themeColor="text1"/>
          <w:sz w:val="21"/>
          <w:szCs w:val="21"/>
          <w:lang w:val="es-ES"/>
        </w:rPr>
        <w:t xml:space="preserve"> deben publicar 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1AB0FF95" w14:textId="77777777" w:rsidR="00D00C40" w:rsidRPr="00345705" w:rsidRDefault="00D00C40" w:rsidP="00D00C40">
      <w:pPr>
        <w:tabs>
          <w:tab w:val="left" w:pos="426"/>
        </w:tabs>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1349BCD1" w14:textId="77777777" w:rsidR="00D00C40" w:rsidRPr="00406E40" w:rsidRDefault="00D00C40" w:rsidP="00D00C40">
      <w:pPr>
        <w:tabs>
          <w:tab w:val="left" w:pos="8505"/>
        </w:tabs>
        <w:ind w:rightChars="709" w:right="1702"/>
        <w:rPr>
          <w:rFonts w:ascii="Arial" w:eastAsia="Calibri" w:hAnsi="Arial" w:cs="Arial"/>
          <w:sz w:val="22"/>
          <w:szCs w:val="22"/>
          <w:lang w:val="es-ES"/>
        </w:rPr>
      </w:pPr>
    </w:p>
    <w:p w14:paraId="0EDD4E8F" w14:textId="77777777" w:rsidR="00D00C40" w:rsidRPr="0071224B" w:rsidRDefault="00D00C40" w:rsidP="00D00C40">
      <w:pPr>
        <w:spacing w:line="276" w:lineRule="auto"/>
        <w:ind w:firstLine="709"/>
        <w:jc w:val="both"/>
        <w:rPr>
          <w:rFonts w:ascii="Arial" w:eastAsia="Calibri" w:hAnsi="Arial" w:cs="Arial"/>
          <w:sz w:val="22"/>
          <w:lang w:val="es-ES"/>
        </w:rPr>
      </w:pPr>
      <w:r w:rsidRPr="00FC5A6B">
        <w:rPr>
          <w:rFonts w:ascii="Arial" w:eastAsia="Calibri" w:hAnsi="Arial" w:cs="Arial"/>
          <w:sz w:val="22"/>
          <w:lang w:val="es-ES"/>
        </w:rPr>
        <w:t xml:space="preserve">El artículo </w:t>
      </w:r>
      <w:r>
        <w:rPr>
          <w:rFonts w:ascii="Arial" w:eastAsia="Calibri" w:hAnsi="Arial" w:cs="Arial"/>
          <w:sz w:val="22"/>
          <w:lang w:val="es-ES"/>
        </w:rPr>
        <w:t xml:space="preserve">citado prescribe </w:t>
      </w:r>
      <w:r w:rsidRPr="00FC5A6B">
        <w:rPr>
          <w:rFonts w:ascii="Arial" w:eastAsia="Calibri" w:hAnsi="Arial" w:cs="Arial"/>
          <w:sz w:val="22"/>
          <w:lang w:val="es-ES"/>
        </w:rPr>
        <w:t>que los sujetos obligados que contraten con cargo a rec</w:t>
      </w:r>
      <w:r>
        <w:rPr>
          <w:rFonts w:ascii="Arial" w:eastAsia="Calibri" w:hAnsi="Arial" w:cs="Arial"/>
          <w:sz w:val="22"/>
          <w:lang w:val="es-ES"/>
        </w:rPr>
        <w:t>u</w:t>
      </w:r>
      <w:r w:rsidRPr="00FC5A6B">
        <w:rPr>
          <w:rFonts w:ascii="Arial" w:eastAsia="Calibri" w:hAnsi="Arial" w:cs="Arial"/>
          <w:sz w:val="22"/>
          <w:lang w:val="es-ES"/>
        </w:rPr>
        <w:t xml:space="preserve">rsos públicos tienen la obligación de publicar el </w:t>
      </w:r>
      <w:r>
        <w:rPr>
          <w:rFonts w:ascii="Arial" w:eastAsia="Calibri" w:hAnsi="Arial" w:cs="Arial"/>
          <w:sz w:val="22"/>
          <w:lang w:val="es-ES"/>
        </w:rPr>
        <w:t>plan anual de adquisiciones</w:t>
      </w:r>
      <w:r w:rsidRPr="00FC5A6B">
        <w:rPr>
          <w:rFonts w:ascii="Arial" w:eastAsia="Calibri" w:hAnsi="Arial" w:cs="Arial"/>
          <w:sz w:val="22"/>
          <w:lang w:val="es-ES"/>
        </w:rPr>
        <w:t xml:space="preserve"> en e</w:t>
      </w:r>
      <w:r>
        <w:rPr>
          <w:rFonts w:ascii="Arial" w:eastAsia="Calibri" w:hAnsi="Arial" w:cs="Arial"/>
          <w:sz w:val="22"/>
          <w:lang w:val="es-ES"/>
        </w:rPr>
        <w:t>l</w:t>
      </w:r>
      <w:r w:rsidRPr="00FC5A6B">
        <w:rPr>
          <w:rFonts w:ascii="Arial" w:eastAsia="Calibri" w:hAnsi="Arial" w:cs="Arial"/>
          <w:sz w:val="22"/>
          <w:lang w:val="es-ES"/>
        </w:rPr>
        <w:t xml:space="preserve"> SECO</w:t>
      </w:r>
      <w:r>
        <w:rPr>
          <w:rFonts w:ascii="Arial" w:eastAsia="Calibri" w:hAnsi="Arial" w:cs="Arial"/>
          <w:sz w:val="22"/>
          <w:lang w:val="es-ES"/>
        </w:rPr>
        <w:t xml:space="preserve">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20766766" w14:textId="77777777" w:rsidR="00EF0CA6" w:rsidRPr="00EF0CA6" w:rsidRDefault="00EF0CA6" w:rsidP="00EF0CA6">
      <w:pPr>
        <w:tabs>
          <w:tab w:val="left" w:pos="709"/>
        </w:tabs>
        <w:ind w:right="142"/>
        <w:jc w:val="both"/>
        <w:rPr>
          <w:rFonts w:ascii="Arial" w:eastAsia="Calibri" w:hAnsi="Arial" w:cs="Arial"/>
          <w:bCs/>
          <w:sz w:val="22"/>
          <w:szCs w:val="22"/>
          <w:lang w:val="es-ES" w:eastAsia="en-US"/>
        </w:rPr>
      </w:pPr>
    </w:p>
    <w:p w14:paraId="79696581" w14:textId="7EED0AB7" w:rsidR="00EF0CA6" w:rsidRPr="00EF0CA6" w:rsidRDefault="00EF0CA6" w:rsidP="00EF0CA6">
      <w:pPr>
        <w:jc w:val="both"/>
        <w:rPr>
          <w:rFonts w:ascii="Arial" w:eastAsia="Calibri" w:hAnsi="Arial" w:cs="Arial"/>
          <w:b/>
          <w:sz w:val="22"/>
          <w:szCs w:val="22"/>
          <w:lang w:val="es-ES" w:eastAsia="en-US"/>
        </w:rPr>
      </w:pPr>
      <w:r w:rsidRPr="00EF0CA6">
        <w:rPr>
          <w:rFonts w:ascii="Arial" w:eastAsia="Calibri" w:hAnsi="Arial" w:cs="Arial"/>
          <w:b/>
          <w:sz w:val="22"/>
          <w:szCs w:val="22"/>
          <w:lang w:val="es-ES" w:eastAsia="en-US"/>
        </w:rPr>
        <w:t>2.</w:t>
      </w:r>
      <w:r>
        <w:rPr>
          <w:rFonts w:ascii="Arial" w:eastAsia="Calibri" w:hAnsi="Arial" w:cs="Arial"/>
          <w:b/>
          <w:sz w:val="22"/>
          <w:szCs w:val="22"/>
          <w:lang w:val="es-ES" w:eastAsia="en-US"/>
        </w:rPr>
        <w:t>2</w:t>
      </w:r>
      <w:r w:rsidRPr="00EF0CA6">
        <w:rPr>
          <w:rFonts w:ascii="Arial" w:eastAsia="Calibri" w:hAnsi="Arial" w:cs="Arial"/>
          <w:b/>
          <w:sz w:val="22"/>
          <w:szCs w:val="22"/>
          <w:lang w:val="es-ES" w:eastAsia="en-US"/>
        </w:rPr>
        <w:t xml:space="preserve">. </w:t>
      </w:r>
      <w:bookmarkStart w:id="1" w:name="_Hlk93995371"/>
      <w:r w:rsidRPr="00EF0CA6">
        <w:rPr>
          <w:rFonts w:ascii="Arial" w:eastAsia="Calibri" w:hAnsi="Arial" w:cs="Arial"/>
          <w:b/>
          <w:sz w:val="22"/>
          <w:szCs w:val="22"/>
          <w:lang w:val="es-ES" w:eastAsia="en-US"/>
        </w:rPr>
        <w:t>Carácter estimativo del plan anual de adquisiciones respecto al régimen jurídico para su expedición</w:t>
      </w:r>
      <w:r w:rsidR="00B017C6">
        <w:rPr>
          <w:rFonts w:ascii="Arial" w:eastAsia="Calibri" w:hAnsi="Arial" w:cs="Arial"/>
          <w:b/>
          <w:sz w:val="22"/>
          <w:szCs w:val="22"/>
          <w:lang w:val="es-ES" w:eastAsia="en-US"/>
        </w:rPr>
        <w:t xml:space="preserve"> y</w:t>
      </w:r>
      <w:r w:rsidRPr="00EF0CA6">
        <w:rPr>
          <w:rFonts w:ascii="Arial" w:eastAsia="Calibri" w:hAnsi="Arial" w:cs="Arial"/>
          <w:b/>
          <w:sz w:val="22"/>
          <w:szCs w:val="22"/>
          <w:lang w:val="es-ES" w:eastAsia="en-US"/>
        </w:rPr>
        <w:t xml:space="preserve"> publicación</w:t>
      </w:r>
      <w:bookmarkEnd w:id="1"/>
    </w:p>
    <w:p w14:paraId="5B680192" w14:textId="77777777" w:rsidR="00EF0CA6" w:rsidRPr="00FE126D" w:rsidRDefault="00EF0CA6" w:rsidP="00EF0CA6">
      <w:pPr>
        <w:rPr>
          <w:rFonts w:ascii="Arial" w:eastAsia="Calibri" w:hAnsi="Arial" w:cs="Arial"/>
          <w:bCs/>
          <w:sz w:val="22"/>
          <w:szCs w:val="22"/>
          <w:lang w:val="es-ES" w:eastAsia="en-US"/>
        </w:rPr>
      </w:pPr>
    </w:p>
    <w:p w14:paraId="4CAF58F5" w14:textId="77777777" w:rsidR="00FE126D" w:rsidRPr="00092B6A" w:rsidRDefault="00FE126D" w:rsidP="00FE126D">
      <w:pPr>
        <w:spacing w:line="276" w:lineRule="auto"/>
        <w:jc w:val="both"/>
        <w:rPr>
          <w:rFonts w:ascii="Arial" w:eastAsia="Calibri" w:hAnsi="Arial" w:cs="Arial"/>
          <w:color w:val="000000" w:themeColor="text1"/>
          <w:sz w:val="22"/>
          <w:lang w:val="es-ES"/>
        </w:rPr>
      </w:pPr>
      <w:r w:rsidRPr="0053170C">
        <w:rPr>
          <w:rFonts w:ascii="Arial" w:eastAsia="Calibri" w:hAnsi="Arial" w:cs="Arial"/>
          <w:sz w:val="22"/>
          <w:lang w:val="es-ES"/>
        </w:rPr>
        <w:lastRenderedPageBreak/>
        <w:t>Precisar el grado de vinculatoriedad del plan anual de adquisiciones supone el análisis de lo dispuesto en los artículos 2.2.1.1.1.4.1, 2.2.1.1.1.4.3</w:t>
      </w:r>
      <w:r w:rsidRPr="00737DB6">
        <w:rPr>
          <w:rStyle w:val="Refdenotaalpie"/>
          <w:rFonts w:ascii="Arial" w:eastAsia="Calibri" w:hAnsi="Arial" w:cs="Arial"/>
          <w:sz w:val="22"/>
        </w:rPr>
        <w:footnoteReference w:id="4"/>
      </w:r>
      <w:r w:rsidRPr="0053170C">
        <w:rPr>
          <w:rFonts w:ascii="Arial" w:eastAsia="Calibri" w:hAnsi="Arial" w:cs="Arial"/>
          <w:sz w:val="22"/>
          <w:lang w:val="es-ES"/>
        </w:rPr>
        <w:t xml:space="preserve"> y 2.2.1.1.1.4.4</w:t>
      </w:r>
      <w:r w:rsidRPr="00737DB6">
        <w:rPr>
          <w:rStyle w:val="Refdenotaalpie"/>
          <w:rFonts w:ascii="Arial" w:eastAsia="Calibri" w:hAnsi="Arial" w:cs="Arial"/>
          <w:sz w:val="22"/>
        </w:rPr>
        <w:footnoteReference w:id="5"/>
      </w:r>
      <w:r w:rsidRPr="0053170C">
        <w:rPr>
          <w:rFonts w:ascii="Arial" w:eastAsia="Calibri" w:hAnsi="Arial" w:cs="Arial"/>
          <w:sz w:val="22"/>
          <w:lang w:val="es-ES"/>
        </w:rPr>
        <w:t xml:space="preserve"> del Decreto 1082 de 2015. </w:t>
      </w:r>
      <w:r w:rsidRPr="00092B6A">
        <w:rPr>
          <w:rFonts w:ascii="Arial" w:eastAsia="Calibri" w:hAnsi="Arial" w:cs="Arial"/>
          <w:color w:val="000000" w:themeColor="text1"/>
          <w:sz w:val="22"/>
          <w:lang w:val="es-ES"/>
        </w:rPr>
        <w:t xml:space="preserve">El primer artículo establece el deber de las entidades de «elaborar el plan anual de adquisiciones, el cual debe contener la lista de bienes, obras y servicios que pretenden adquirir durante el año». </w:t>
      </w:r>
      <w:r>
        <w:rPr>
          <w:rFonts w:ascii="Arial" w:eastAsia="Calibri" w:hAnsi="Arial" w:cs="Arial"/>
          <w:color w:val="000000" w:themeColor="text1"/>
          <w:sz w:val="22"/>
          <w:lang w:val="es-ES"/>
        </w:rPr>
        <w:t>E</w:t>
      </w:r>
      <w:r w:rsidRPr="00092B6A">
        <w:rPr>
          <w:rFonts w:ascii="Arial" w:eastAsia="Calibri" w:hAnsi="Arial" w:cs="Arial"/>
          <w:color w:val="000000" w:themeColor="text1"/>
          <w:sz w:val="22"/>
          <w:lang w:val="es-ES"/>
        </w:rPr>
        <w:t xml:space="preserv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Pr="00092B6A">
        <w:rPr>
          <w:rFonts w:ascii="Arial" w:eastAsia="Calibri" w:hAnsi="Arial" w:cs="Arial"/>
          <w:color w:val="000000" w:themeColor="text1"/>
          <w:sz w:val="22"/>
          <w:lang w:val="es-ES"/>
        </w:rPr>
        <w:t>ii</w:t>
      </w:r>
      <w:proofErr w:type="spellEnd"/>
      <w:r w:rsidRPr="00092B6A">
        <w:rPr>
          <w:rFonts w:ascii="Arial" w:eastAsia="Calibri" w:hAnsi="Arial" w:cs="Arial"/>
          <w:color w:val="000000" w:themeColor="text1"/>
          <w:sz w:val="22"/>
          <w:lang w:val="es-ES"/>
        </w:rPr>
        <w:t xml:space="preserve">) la identificación en el clasificador si la entidad conoce el bien, obra o servicio que satisface la necesidad; </w:t>
      </w:r>
      <w:proofErr w:type="spellStart"/>
      <w:r w:rsidRPr="00092B6A">
        <w:rPr>
          <w:rFonts w:ascii="Arial" w:eastAsia="Calibri" w:hAnsi="Arial" w:cs="Arial"/>
          <w:color w:val="000000" w:themeColor="text1"/>
          <w:sz w:val="22"/>
          <w:lang w:val="es-ES"/>
        </w:rPr>
        <w:t>iii</w:t>
      </w:r>
      <w:proofErr w:type="spellEnd"/>
      <w:r w:rsidRPr="00092B6A">
        <w:rPr>
          <w:rFonts w:ascii="Arial" w:eastAsia="Calibri" w:hAnsi="Arial" w:cs="Arial"/>
          <w:color w:val="000000" w:themeColor="text1"/>
          <w:sz w:val="22"/>
          <w:lang w:val="es-ES"/>
        </w:rPr>
        <w:t xml:space="preserve">) el valor estimado del contrato; </w:t>
      </w:r>
      <w:proofErr w:type="spellStart"/>
      <w:r w:rsidRPr="00092B6A">
        <w:rPr>
          <w:rFonts w:ascii="Arial" w:eastAsia="Calibri" w:hAnsi="Arial" w:cs="Arial"/>
          <w:color w:val="000000" w:themeColor="text1"/>
          <w:sz w:val="22"/>
          <w:lang w:val="es-ES"/>
        </w:rPr>
        <w:t>iv</w:t>
      </w:r>
      <w:proofErr w:type="spellEnd"/>
      <w:r w:rsidRPr="00092B6A">
        <w:rPr>
          <w:rFonts w:ascii="Arial" w:eastAsia="Calibri" w:hAnsi="Arial" w:cs="Arial"/>
          <w:color w:val="000000" w:themeColor="text1"/>
          <w:sz w:val="22"/>
          <w:lang w:val="es-ES"/>
        </w:rPr>
        <w:t xml:space="preserve">) el tipo de recursos con cargo a los cuales la entidad pagará el bien, obra o servicio; v) la modalidad de selección del contratista y vi) la fecha aproximada en la cual la entidad indicará el procedimiento de selección. </w:t>
      </w:r>
    </w:p>
    <w:p w14:paraId="7DF47B81" w14:textId="77777777" w:rsidR="00FE126D" w:rsidRPr="00092B6A" w:rsidRDefault="00FE126D" w:rsidP="00FE126D">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Colombia Compra Eficiente en la guía </w:t>
      </w:r>
      <w:r>
        <w:rPr>
          <w:rFonts w:ascii="Arial" w:eastAsia="Calibri" w:hAnsi="Arial" w:cs="Arial"/>
          <w:color w:val="000000" w:themeColor="text1"/>
          <w:sz w:val="22"/>
          <w:lang w:val="es-ES"/>
        </w:rPr>
        <w:t>sobre el tema</w:t>
      </w:r>
      <w:r w:rsidRPr="00092B6A">
        <w:rPr>
          <w:rFonts w:ascii="Arial" w:eastAsia="Calibri" w:hAnsi="Arial" w:cs="Arial"/>
          <w:color w:val="000000" w:themeColor="text1"/>
          <w:sz w:val="22"/>
          <w:lang w:val="es-ES"/>
        </w:rPr>
        <w:t>, donde precisó, como un</w:t>
      </w:r>
      <w:r>
        <w:rPr>
          <w:rFonts w:ascii="Arial" w:eastAsia="Calibri" w:hAnsi="Arial" w:cs="Arial"/>
          <w:color w:val="000000" w:themeColor="text1"/>
          <w:sz w:val="22"/>
          <w:lang w:val="es-ES"/>
        </w:rPr>
        <w:t>a</w:t>
      </w:r>
      <w:r w:rsidRPr="00092B6A">
        <w:rPr>
          <w:rFonts w:ascii="Arial" w:eastAsia="Calibri" w:hAnsi="Arial" w:cs="Arial"/>
          <w:color w:val="000000" w:themeColor="text1"/>
          <w:sz w:val="22"/>
          <w:lang w:val="es-ES"/>
        </w:rPr>
        <w:t xml:space="preserve"> de sus </w:t>
      </w:r>
      <w:r>
        <w:rPr>
          <w:rFonts w:ascii="Arial" w:eastAsia="Calibri" w:hAnsi="Arial" w:cs="Arial"/>
          <w:color w:val="000000" w:themeColor="text1"/>
          <w:sz w:val="22"/>
          <w:lang w:val="es-ES"/>
        </w:rPr>
        <w:t>finalidades</w:t>
      </w:r>
      <w:r w:rsidRPr="00092B6A">
        <w:rPr>
          <w:rFonts w:ascii="Arial" w:eastAsia="Calibri" w:hAnsi="Arial" w:cs="Arial"/>
          <w:color w:val="000000" w:themeColor="text1"/>
          <w:sz w:val="22"/>
          <w:lang w:val="es-ES"/>
        </w:rPr>
        <w:t>, «servir como referente inicial para evaluar la ejecución de presupuesto y pronosticar la demanda de bienes y servicios de la entidad durante el año referido del plan»</w:t>
      </w:r>
      <w:r w:rsidRPr="00A830DF">
        <w:rPr>
          <w:rStyle w:val="Refdenotaalpie"/>
          <w:rFonts w:ascii="Arial" w:eastAsia="Calibri" w:hAnsi="Arial" w:cs="Arial"/>
          <w:color w:val="000000" w:themeColor="text1"/>
          <w:sz w:val="22"/>
        </w:rPr>
        <w:footnoteReference w:id="6"/>
      </w:r>
      <w:r w:rsidRPr="00092B6A">
        <w:rPr>
          <w:rFonts w:ascii="Arial" w:eastAsia="Calibri" w:hAnsi="Arial" w:cs="Arial"/>
          <w:color w:val="000000" w:themeColor="text1"/>
          <w:sz w:val="22"/>
          <w:lang w:val="es-ES"/>
        </w:rPr>
        <w:t xml:space="preserve">. </w:t>
      </w:r>
    </w:p>
    <w:p w14:paraId="2732EF2A" w14:textId="77777777" w:rsidR="00FE126D" w:rsidRPr="00092B6A" w:rsidRDefault="00FE126D" w:rsidP="00FE126D">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La segunda disposición relevante </w:t>
      </w:r>
      <w:r w:rsidRPr="00092B6A">
        <w:rPr>
          <w:rFonts w:ascii="Arial" w:eastAsia="Calibri" w:hAnsi="Arial" w:cs="Arial"/>
          <w:bCs/>
          <w:color w:val="000000" w:themeColor="text1"/>
          <w:sz w:val="22"/>
          <w:lang w:val="es-ES"/>
        </w:rPr>
        <w:t xml:space="preserve">–esto es, el artículo </w:t>
      </w:r>
      <w:r w:rsidRPr="00092B6A">
        <w:rPr>
          <w:rFonts w:ascii="Arial" w:eastAsia="Calibri" w:hAnsi="Arial" w:cs="Arial"/>
          <w:color w:val="000000" w:themeColor="text1"/>
          <w:sz w:val="22"/>
          <w:lang w:val="es-ES"/>
        </w:rPr>
        <w:t>2.2.1.1.1.4.3 del Decreto 1082 de 2015</w:t>
      </w:r>
      <w:r w:rsidRPr="00092B6A">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establece el deber de publicidad de las entidades públicas del plan anual de adquisiciones, en sus páginas web y en el SECOP II, con la información mínima señalada en el artículo 2.2.1.1.1.4.1. del Decreto 1082 de 2015. La norma impone a las entidades el deber de publicar las actualizaciones que realicen al plan anual. De esta manera, </w:t>
      </w:r>
      <w:r>
        <w:rPr>
          <w:rFonts w:ascii="Arial" w:eastAsia="Calibri" w:hAnsi="Arial" w:cs="Arial"/>
          <w:color w:val="000000" w:themeColor="text1"/>
          <w:sz w:val="22"/>
          <w:lang w:val="es-ES"/>
        </w:rPr>
        <w:t>se</w:t>
      </w:r>
      <w:r w:rsidRPr="00092B6A">
        <w:rPr>
          <w:rFonts w:ascii="Arial" w:eastAsia="Calibri" w:hAnsi="Arial" w:cs="Arial"/>
          <w:color w:val="000000" w:themeColor="text1"/>
          <w:sz w:val="22"/>
          <w:lang w:val="es-ES"/>
        </w:rPr>
        <w:t xml:space="preserve"> faculta a la Administración para realizar cambios y modificaciones, por lo que no es un documento rígido que vincule la </w:t>
      </w:r>
      <w:proofErr w:type="gramStart"/>
      <w:r w:rsidRPr="00092B6A">
        <w:rPr>
          <w:rFonts w:ascii="Arial" w:eastAsia="Calibri" w:hAnsi="Arial" w:cs="Arial"/>
          <w:color w:val="000000" w:themeColor="text1"/>
          <w:sz w:val="22"/>
          <w:lang w:val="es-ES"/>
        </w:rPr>
        <w:t>contratación</w:t>
      </w:r>
      <w:proofErr w:type="gramEnd"/>
      <w:r w:rsidRPr="00092B6A">
        <w:rPr>
          <w:rFonts w:ascii="Arial" w:eastAsia="Calibri" w:hAnsi="Arial" w:cs="Arial"/>
          <w:color w:val="000000" w:themeColor="text1"/>
          <w:sz w:val="22"/>
          <w:lang w:val="es-ES"/>
        </w:rPr>
        <w:t xml:space="preserve"> sino que, por el contrario, se trata de un instrumento de planificación que orienta y </w:t>
      </w:r>
      <w:r>
        <w:rPr>
          <w:rFonts w:ascii="Arial" w:eastAsia="Calibri" w:hAnsi="Arial" w:cs="Arial"/>
          <w:color w:val="000000" w:themeColor="text1"/>
          <w:sz w:val="22"/>
          <w:lang w:val="es-ES"/>
        </w:rPr>
        <w:t>permite tener</w:t>
      </w:r>
      <w:r w:rsidRPr="00092B6A">
        <w:rPr>
          <w:rFonts w:ascii="Arial" w:eastAsia="Calibri" w:hAnsi="Arial" w:cs="Arial"/>
          <w:color w:val="000000" w:themeColor="text1"/>
          <w:sz w:val="22"/>
          <w:lang w:val="es-ES"/>
        </w:rPr>
        <w:t xml:space="preserve"> un referente de las necesidades de bienes, obras y servicio que debe contratar para la respectiva anualidad, y que además puede ser actualizado. </w:t>
      </w:r>
    </w:p>
    <w:p w14:paraId="680DD5ED" w14:textId="77777777" w:rsidR="00FE126D" w:rsidRPr="00092B6A" w:rsidRDefault="00FE126D" w:rsidP="00FE126D">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tercera norma mencionada, el artículo 2.2.1.1.1.4.4. del Decreto 1082 de 2015, en el inciso 1, fijó, en criterio de esta Subdirección, el alcance de la facultad otorgada a las </w:t>
      </w:r>
      <w:r w:rsidRPr="00092B6A">
        <w:rPr>
          <w:rFonts w:ascii="Arial" w:eastAsia="Calibri" w:hAnsi="Arial" w:cs="Arial"/>
          <w:color w:val="000000" w:themeColor="text1"/>
          <w:sz w:val="22"/>
          <w:lang w:val="es-ES"/>
        </w:rPr>
        <w:lastRenderedPageBreak/>
        <w:t xml:space="preserve">entidades para actualizar el plan anual de adquisiciones. Por ello es pertinente consultar el significado natural del verbo rector de la disposición y luego establecer los límites establecidos en la norma. </w:t>
      </w:r>
    </w:p>
    <w:p w14:paraId="75D4E3B9" w14:textId="77777777" w:rsidR="00FE126D" w:rsidRDefault="00FE126D" w:rsidP="00FE126D">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w:t>
      </w:r>
      <w:r w:rsidRPr="00EF64D8">
        <w:rPr>
          <w:rFonts w:ascii="Arial" w:eastAsia="Calibri" w:hAnsi="Arial" w:cs="Arial"/>
          <w:color w:val="000000" w:themeColor="text1"/>
          <w:sz w:val="22"/>
          <w:lang w:val="es-ES"/>
        </w:rPr>
        <w:t>Aplicada esta definición a la norma citada, se tendría que el reglamento facultó a las entidades públicas para poner al día la información contenida en el documento del plan anual de adquisiciones.</w:t>
      </w:r>
    </w:p>
    <w:p w14:paraId="03312F5D" w14:textId="77777777" w:rsidR="00FE126D" w:rsidRPr="00EC42EE" w:rsidRDefault="00FE126D" w:rsidP="00FE126D">
      <w:pPr>
        <w:spacing w:line="276" w:lineRule="auto"/>
        <w:ind w:firstLine="709"/>
        <w:jc w:val="both"/>
        <w:rPr>
          <w:rFonts w:ascii="Arial" w:hAnsi="Arial" w:cs="Arial"/>
          <w:color w:val="000000" w:themeColor="text1"/>
          <w:sz w:val="22"/>
        </w:rPr>
      </w:pPr>
      <w:r>
        <w:rPr>
          <w:rFonts w:ascii="Arial" w:eastAsia="Calibri" w:hAnsi="Arial" w:cs="Arial"/>
          <w:color w:val="000000" w:themeColor="text1"/>
          <w:sz w:val="22"/>
        </w:rPr>
        <w:t>El numeral 4.6 de l</w:t>
      </w:r>
      <w:r w:rsidRPr="00793F73">
        <w:rPr>
          <w:rFonts w:ascii="Arial" w:eastAsia="Calibri" w:hAnsi="Arial" w:cs="Arial"/>
          <w:color w:val="000000" w:themeColor="text1"/>
          <w:sz w:val="22"/>
        </w:rPr>
        <w:t>a Circular Externa Única</w:t>
      </w:r>
      <w:r>
        <w:rPr>
          <w:rFonts w:ascii="Arial" w:eastAsia="Calibri" w:hAnsi="Arial" w:cs="Arial"/>
          <w:color w:val="000000" w:themeColor="text1"/>
          <w:sz w:val="22"/>
        </w:rPr>
        <w:t>,</w:t>
      </w:r>
      <w:r w:rsidRPr="00793F73">
        <w:rPr>
          <w:rFonts w:ascii="Arial" w:eastAsia="Calibri" w:hAnsi="Arial" w:cs="Arial"/>
          <w:color w:val="000000" w:themeColor="text1"/>
          <w:sz w:val="22"/>
        </w:rPr>
        <w:t xml:space="preserve"> expedida por Agencia Nacional de Contratación Pública </w:t>
      </w:r>
      <w:r w:rsidRPr="00022DD0">
        <w:rPr>
          <w:rFonts w:ascii="Arial" w:eastAsia="Calibri" w:hAnsi="Arial" w:cs="Arial"/>
          <w:bCs/>
          <w:color w:val="000000" w:themeColor="text1"/>
          <w:sz w:val="22"/>
        </w:rPr>
        <w:t>–</w:t>
      </w:r>
      <w:r>
        <w:rPr>
          <w:rFonts w:ascii="Arial" w:eastAsia="Calibri" w:hAnsi="Arial" w:cs="Arial"/>
          <w:b/>
          <w:color w:val="000000" w:themeColor="text1"/>
          <w:sz w:val="22"/>
        </w:rPr>
        <w:t xml:space="preserve"> </w:t>
      </w:r>
      <w:r w:rsidRPr="00793F73">
        <w:rPr>
          <w:rFonts w:ascii="Arial" w:eastAsia="Calibri" w:hAnsi="Arial" w:cs="Arial"/>
          <w:color w:val="000000" w:themeColor="text1"/>
          <w:sz w:val="22"/>
        </w:rPr>
        <w:t xml:space="preserve">Colombia Compra Eficiente, </w:t>
      </w:r>
      <w:r>
        <w:rPr>
          <w:rFonts w:ascii="Arial" w:eastAsia="Calibri" w:hAnsi="Arial" w:cs="Arial"/>
          <w:color w:val="000000" w:themeColor="text1"/>
          <w:sz w:val="22"/>
        </w:rPr>
        <w:t>dispone</w:t>
      </w:r>
      <w:r w:rsidRPr="00793F73">
        <w:rPr>
          <w:rFonts w:ascii="Arial" w:eastAsia="Calibri" w:hAnsi="Arial" w:cs="Arial"/>
          <w:color w:val="000000" w:themeColor="text1"/>
          <w:sz w:val="22"/>
        </w:rPr>
        <w:t xml:space="preserve"> que </w:t>
      </w:r>
      <w:r w:rsidRPr="00793F73">
        <w:rPr>
          <w:rFonts w:ascii="Arial" w:hAnsi="Arial" w:cs="Arial"/>
          <w:color w:val="000000" w:themeColor="text1"/>
          <w:sz w:val="22"/>
        </w:rPr>
        <w:t>las Entidades Estatales deben actualizar su Plan Anual de Adquisiciones en el mes de julio de cada año. La actualización debe publica</w:t>
      </w:r>
      <w:r>
        <w:rPr>
          <w:rFonts w:ascii="Arial" w:hAnsi="Arial" w:cs="Arial"/>
          <w:color w:val="000000" w:themeColor="text1"/>
          <w:sz w:val="22"/>
        </w:rPr>
        <w:t>rse</w:t>
      </w:r>
      <w:r w:rsidRPr="00793F73">
        <w:rPr>
          <w:rFonts w:ascii="Arial" w:hAnsi="Arial" w:cs="Arial"/>
          <w:color w:val="000000" w:themeColor="text1"/>
          <w:sz w:val="22"/>
        </w:rPr>
        <w:t xml:space="preserve"> en la página web y en el SECOP, de tal manera que sólo será́ visible el Plan Anual de Adquisiciones actualizado</w:t>
      </w:r>
      <w:r>
        <w:rPr>
          <w:rFonts w:ascii="Arial" w:hAnsi="Arial" w:cs="Arial"/>
          <w:color w:val="000000" w:themeColor="text1"/>
          <w:sz w:val="22"/>
        </w:rPr>
        <w:t>. Esto en concordancia con</w:t>
      </w:r>
      <w:r w:rsidRPr="00793F73">
        <w:rPr>
          <w:rFonts w:ascii="Arial" w:hAnsi="Arial" w:cs="Arial"/>
          <w:color w:val="000000" w:themeColor="text1"/>
          <w:sz w:val="22"/>
        </w:rPr>
        <w:t xml:space="preserve"> </w:t>
      </w:r>
      <w:r>
        <w:rPr>
          <w:rFonts w:ascii="Arial" w:hAnsi="Arial" w:cs="Arial"/>
          <w:color w:val="000000" w:themeColor="text1"/>
          <w:sz w:val="22"/>
        </w:rPr>
        <w:t>el a</w:t>
      </w:r>
      <w:r w:rsidRPr="00EC42EE">
        <w:rPr>
          <w:rFonts w:ascii="Arial" w:hAnsi="Arial" w:cs="Arial"/>
          <w:color w:val="000000" w:themeColor="text1"/>
          <w:sz w:val="22"/>
        </w:rPr>
        <w:t xml:space="preserve">rtículo 2.2.1.1.1.4.4 </w:t>
      </w:r>
      <w:r>
        <w:rPr>
          <w:rFonts w:ascii="Arial" w:hAnsi="Arial" w:cs="Arial"/>
          <w:color w:val="000000" w:themeColor="text1"/>
          <w:sz w:val="22"/>
        </w:rPr>
        <w:t>del Decreto 1082 de 2015</w:t>
      </w:r>
      <w:r>
        <w:rPr>
          <w:rFonts w:ascii="Arial" w:hAnsi="Arial" w:cs="Arial"/>
          <w:b/>
          <w:bCs/>
          <w:i/>
          <w:iCs/>
          <w:color w:val="000000" w:themeColor="text1"/>
          <w:sz w:val="22"/>
        </w:rPr>
        <w:t xml:space="preserve">, </w:t>
      </w:r>
      <w:r>
        <w:rPr>
          <w:rFonts w:ascii="Arial" w:hAnsi="Arial" w:cs="Arial"/>
          <w:color w:val="000000" w:themeColor="text1"/>
          <w:sz w:val="22"/>
        </w:rPr>
        <w:t>el cual señala que l</w:t>
      </w:r>
      <w:r w:rsidRPr="00793F73">
        <w:rPr>
          <w:rFonts w:ascii="Arial" w:hAnsi="Arial" w:cs="Arial"/>
          <w:color w:val="000000" w:themeColor="text1"/>
          <w:sz w:val="22"/>
        </w:rPr>
        <w:t>a Entidad Estatal debe actualizar el Plan Anual de Adquisiciones por lo menos una vez durante su vigencia, en la forma y la oportunidad que para el efecto disponga Colombia Compra Eficiente.</w:t>
      </w:r>
    </w:p>
    <w:p w14:paraId="10F2BFB4" w14:textId="77777777" w:rsidR="00FE126D" w:rsidRPr="00EF64D8" w:rsidRDefault="00FE126D" w:rsidP="00FE126D">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4BB129B8" w14:textId="77777777" w:rsidR="00FE126D" w:rsidRPr="00EF64D8" w:rsidRDefault="00FE126D" w:rsidP="00FE126D">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El inciso 2 del artículo citado estableció cuatro (4) eventos en los que procede </w:t>
      </w:r>
      <w:r>
        <w:rPr>
          <w:rFonts w:ascii="Arial" w:eastAsia="Calibri" w:hAnsi="Arial" w:cs="Arial"/>
          <w:color w:val="000000" w:themeColor="text1"/>
          <w:sz w:val="22"/>
          <w:lang w:val="es-ES"/>
        </w:rPr>
        <w:t>actualizar</w:t>
      </w:r>
      <w:r w:rsidRPr="00EF64D8">
        <w:rPr>
          <w:rFonts w:ascii="Arial" w:eastAsia="Calibri" w:hAnsi="Arial" w:cs="Arial"/>
          <w:color w:val="000000" w:themeColor="text1"/>
          <w:sz w:val="22"/>
          <w:lang w:val="es-ES"/>
        </w:rPr>
        <w:t xml:space="preserve"> el plan anual de adquisiciones: i) ajustes en los cronogramas de adquisición, valores, modalidad de selección</w:t>
      </w:r>
      <w:r>
        <w:rPr>
          <w:rFonts w:ascii="Arial" w:eastAsia="Calibri" w:hAnsi="Arial" w:cs="Arial"/>
          <w:color w:val="000000" w:themeColor="text1"/>
          <w:sz w:val="22"/>
          <w:lang w:val="es-ES"/>
        </w:rPr>
        <w:t xml:space="preserve"> y</w:t>
      </w:r>
      <w:r w:rsidRPr="00EF64D8">
        <w:rPr>
          <w:rFonts w:ascii="Arial" w:eastAsia="Calibri" w:hAnsi="Arial" w:cs="Arial"/>
          <w:color w:val="000000" w:themeColor="text1"/>
          <w:sz w:val="22"/>
          <w:lang w:val="es-ES"/>
        </w:rPr>
        <w:t xml:space="preserve"> origen de los recursos; </w:t>
      </w:r>
      <w:proofErr w:type="spellStart"/>
      <w:r w:rsidRPr="00EF64D8">
        <w:rPr>
          <w:rFonts w:ascii="Arial" w:eastAsia="Calibri" w:hAnsi="Arial" w:cs="Arial"/>
          <w:color w:val="000000" w:themeColor="text1"/>
          <w:sz w:val="22"/>
          <w:lang w:val="es-ES"/>
        </w:rPr>
        <w:t>ii</w:t>
      </w:r>
      <w:proofErr w:type="spellEnd"/>
      <w:r w:rsidRPr="00EF64D8">
        <w:rPr>
          <w:rFonts w:ascii="Arial" w:eastAsia="Calibri" w:hAnsi="Arial" w:cs="Arial"/>
          <w:color w:val="000000" w:themeColor="text1"/>
          <w:sz w:val="22"/>
          <w:lang w:val="es-ES"/>
        </w:rPr>
        <w:t xml:space="preserve">) para incluir nuevas obras, bienes o servicios; </w:t>
      </w:r>
      <w:proofErr w:type="spellStart"/>
      <w:r w:rsidRPr="00EF64D8">
        <w:rPr>
          <w:rFonts w:ascii="Arial" w:eastAsia="Calibri" w:hAnsi="Arial" w:cs="Arial"/>
          <w:color w:val="000000" w:themeColor="text1"/>
          <w:sz w:val="22"/>
          <w:lang w:val="es-ES"/>
        </w:rPr>
        <w:t>iii</w:t>
      </w:r>
      <w:proofErr w:type="spellEnd"/>
      <w:r w:rsidRPr="00EF64D8">
        <w:rPr>
          <w:rFonts w:ascii="Arial" w:eastAsia="Calibri" w:hAnsi="Arial" w:cs="Arial"/>
          <w:color w:val="000000" w:themeColor="text1"/>
          <w:sz w:val="22"/>
          <w:lang w:val="es-ES"/>
        </w:rPr>
        <w:t xml:space="preserve">) excluir obras, bienes o servicios y </w:t>
      </w:r>
      <w:proofErr w:type="spellStart"/>
      <w:r w:rsidRPr="00EF64D8">
        <w:rPr>
          <w:rFonts w:ascii="Arial" w:eastAsia="Calibri" w:hAnsi="Arial" w:cs="Arial"/>
          <w:color w:val="000000" w:themeColor="text1"/>
          <w:sz w:val="22"/>
          <w:lang w:val="es-ES"/>
        </w:rPr>
        <w:t>iv</w:t>
      </w:r>
      <w:proofErr w:type="spellEnd"/>
      <w:r w:rsidRPr="00EF64D8">
        <w:rPr>
          <w:rFonts w:ascii="Arial" w:eastAsia="Calibri" w:hAnsi="Arial" w:cs="Arial"/>
          <w:color w:val="000000" w:themeColor="text1"/>
          <w:sz w:val="22"/>
          <w:lang w:val="es-ES"/>
        </w:rPr>
        <w:t xml:space="preserve">) modificar el presupuesto anual de adquisiciones. El inciso citado solo estableció los eventos en los que </w:t>
      </w:r>
      <w:r>
        <w:rPr>
          <w:rFonts w:ascii="Arial" w:eastAsia="Calibri" w:hAnsi="Arial" w:cs="Arial"/>
          <w:color w:val="000000" w:themeColor="text1"/>
          <w:sz w:val="22"/>
          <w:lang w:val="es-ES"/>
        </w:rPr>
        <w:t>tiene que</w:t>
      </w:r>
      <w:r w:rsidRPr="00EF64D8">
        <w:rPr>
          <w:rFonts w:ascii="Arial" w:eastAsia="Calibri" w:hAnsi="Arial" w:cs="Arial"/>
          <w:color w:val="000000" w:themeColor="text1"/>
          <w:sz w:val="22"/>
          <w:lang w:val="es-ES"/>
        </w:rPr>
        <w:t xml:space="preserve"> actualizarse, sin limitar la modificación a ciertos topes, como, por ejemplo, aumentar o disminuir valores. La norma no enfatizó en este punto, por lo cual, en principio, podrá modificarse. </w:t>
      </w:r>
    </w:p>
    <w:p w14:paraId="669A53B4" w14:textId="77777777" w:rsidR="00FE126D" w:rsidRPr="00EF64D8" w:rsidRDefault="00FE126D" w:rsidP="00FE126D">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Así las cosas</w:t>
      </w:r>
      <w:r w:rsidRPr="00EF64D8">
        <w:rPr>
          <w:rFonts w:ascii="Arial" w:eastAsia="Calibri" w:hAnsi="Arial" w:cs="Arial"/>
          <w:color w:val="000000" w:themeColor="text1"/>
          <w:sz w:val="22"/>
          <w:lang w:val="es-ES"/>
        </w:rPr>
        <w:t xml:space="preserve">,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498A14C1" w14:textId="77777777" w:rsidR="00FE126D" w:rsidRDefault="00FE126D" w:rsidP="00FE126D">
      <w:pPr>
        <w:spacing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w:t>
      </w:r>
      <w:r w:rsidRPr="00EF64D8">
        <w:rPr>
          <w:rFonts w:ascii="Arial" w:eastAsia="Calibri" w:hAnsi="Arial" w:cs="Arial"/>
          <w:color w:val="000000" w:themeColor="text1"/>
          <w:sz w:val="22"/>
          <w:lang w:val="es-ES"/>
        </w:rPr>
        <w:lastRenderedPageBreak/>
        <w:t>su modalidad de contratación. Por tanto, bastará con que la entidad identifique la necesidad contractual para que</w:t>
      </w:r>
      <w:r>
        <w:rPr>
          <w:rFonts w:ascii="Arial" w:eastAsia="Calibri" w:hAnsi="Arial" w:cs="Arial"/>
          <w:color w:val="000000" w:themeColor="text1"/>
          <w:sz w:val="22"/>
          <w:lang w:val="es-ES"/>
        </w:rPr>
        <w:t xml:space="preserve"> deba</w:t>
      </w:r>
      <w:r w:rsidRPr="00EF64D8">
        <w:rPr>
          <w:rFonts w:ascii="Arial" w:eastAsia="Calibri" w:hAnsi="Arial" w:cs="Arial"/>
          <w:color w:val="000000" w:themeColor="text1"/>
          <w:sz w:val="22"/>
          <w:lang w:val="es-ES"/>
        </w:rPr>
        <w:t xml:space="preserve"> incluirlo en el listado. </w:t>
      </w:r>
    </w:p>
    <w:p w14:paraId="514B0D53" w14:textId="77777777" w:rsidR="00FE126D" w:rsidRDefault="00FE126D" w:rsidP="00FE126D">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Un interrogante surge de lo anterior: ¿cómo la entidad puede definir si debe o no incluir un bien, obra o servicio en el plan? Basta consultar el artículo 2.2.1.1.1.4.1. del Decreto 1082 de 2015, donde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r>
        <w:rPr>
          <w:rStyle w:val="eop"/>
          <w:rFonts w:ascii="Arial" w:hAnsi="Arial" w:cs="Arial"/>
          <w:color w:val="000000"/>
          <w:sz w:val="22"/>
          <w:szCs w:val="22"/>
        </w:rPr>
        <w:t> </w:t>
      </w:r>
    </w:p>
    <w:p w14:paraId="474B017E" w14:textId="77777777" w:rsidR="00FE126D" w:rsidRDefault="00FE126D" w:rsidP="00FE126D">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La norma citada en el párrafo precedente dispone que el plan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Pr>
          <w:rStyle w:val="eop"/>
          <w:rFonts w:ascii="Arial" w:hAnsi="Arial" w:cs="Arial"/>
          <w:color w:val="000000"/>
          <w:sz w:val="22"/>
          <w:szCs w:val="22"/>
        </w:rPr>
        <w:t> </w:t>
      </w:r>
    </w:p>
    <w:p w14:paraId="23851E89" w14:textId="77777777" w:rsidR="00FE126D" w:rsidRDefault="00FE126D" w:rsidP="00FE126D">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Del primer aparte de la norma, se observa que su finalidad es clara: todo los bienes, obras o servicios que la entidad tenga intención de </w:t>
      </w:r>
      <w:r>
        <w:rPr>
          <w:rStyle w:val="normaltextrun"/>
          <w:rFonts w:ascii="Arial" w:hAnsi="Arial" w:cs="Arial"/>
          <w:i/>
          <w:iCs/>
          <w:color w:val="000000"/>
          <w:sz w:val="22"/>
          <w:szCs w:val="22"/>
          <w:lang w:val="es-ES"/>
        </w:rPr>
        <w:t>adquirir</w:t>
      </w:r>
      <w:r>
        <w:rPr>
          <w:rStyle w:val="normaltextrun"/>
          <w:rFonts w:ascii="Arial" w:hAnsi="Arial" w:cs="Arial"/>
          <w:color w:val="000000"/>
          <w:sz w:val="22"/>
          <w:szCs w:val="22"/>
          <w:lang w:val="es-ES"/>
        </w:rPr>
        <w:t> deben incluirse en el plan. Es decir, la obligación de incluir un contenido específico en el plan se fundamenta únicamente en que se trate de un bien, obra o servicio que la entidad pretenda </w:t>
      </w:r>
      <w:r>
        <w:rPr>
          <w:rStyle w:val="normaltextrun"/>
          <w:rFonts w:ascii="Arial" w:hAnsi="Arial" w:cs="Arial"/>
          <w:i/>
          <w:iCs/>
          <w:color w:val="000000"/>
          <w:sz w:val="22"/>
          <w:szCs w:val="22"/>
          <w:lang w:val="es-ES"/>
        </w:rPr>
        <w:t>adquirir. </w:t>
      </w:r>
      <w:r>
        <w:rPr>
          <w:rStyle w:val="normaltextrun"/>
          <w:rFonts w:ascii="Arial" w:hAnsi="Arial" w:cs="Arial"/>
          <w:color w:val="000000"/>
          <w:sz w:val="22"/>
          <w:szCs w:val="22"/>
          <w:lang w:val="es-ES"/>
        </w:rPr>
        <w:t>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r>
        <w:rPr>
          <w:rStyle w:val="eop"/>
          <w:rFonts w:ascii="Arial" w:hAnsi="Arial" w:cs="Arial"/>
          <w:color w:val="000000"/>
          <w:sz w:val="22"/>
          <w:szCs w:val="22"/>
        </w:rPr>
        <w:t> </w:t>
      </w:r>
    </w:p>
    <w:p w14:paraId="44F1267E" w14:textId="77777777" w:rsidR="00FE126D" w:rsidRDefault="00FE126D" w:rsidP="00FE126D">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Lo anterior, también permite entender que la actividad de «adquirir», como el criterio rector</w:t>
      </w:r>
      <w:r>
        <w:rPr>
          <w:rStyle w:val="normaltextrun"/>
          <w:rFonts w:ascii="Arial" w:hAnsi="Arial" w:cs="Arial"/>
          <w:b/>
          <w:bCs/>
          <w:color w:val="000000"/>
          <w:sz w:val="22"/>
          <w:szCs w:val="22"/>
          <w:lang w:val="es-ES"/>
        </w:rPr>
        <w:t> </w:t>
      </w:r>
      <w:r>
        <w:rPr>
          <w:rStyle w:val="normaltextrun"/>
          <w:rFonts w:ascii="Arial" w:hAnsi="Arial" w:cs="Arial"/>
          <w:color w:val="000000"/>
          <w:sz w:val="22"/>
          <w:szCs w:val="22"/>
          <w:lang w:val="es-ES"/>
        </w:rPr>
        <w:t>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qué se debe enlistar un bien, obra o servicio en el plan. Esto, muy a pesar de que la misma disposición establezca otra información adicional que debe incluir este documento –modalidad, valor estimado–, pero que para esta Subdirección es complementaria o descriptiva a la señalada como información mínima o esencialísima del plan. </w:t>
      </w:r>
      <w:r>
        <w:rPr>
          <w:rStyle w:val="eop"/>
          <w:rFonts w:ascii="Arial" w:hAnsi="Arial" w:cs="Arial"/>
          <w:color w:val="000000"/>
          <w:sz w:val="22"/>
          <w:szCs w:val="22"/>
        </w:rPr>
        <w:t> </w:t>
      </w:r>
    </w:p>
    <w:p w14:paraId="725E7681" w14:textId="77777777" w:rsidR="00FE126D" w:rsidRDefault="00FE126D" w:rsidP="00FE126D">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Así las cosas, la obligación de incluir información en el plan se fundamenta en que se trate de la adquisición de bienes, obras o servicios por parte de la entidad, y no se encuentra condicionada por la naturaleza de la información complementaria </w:t>
      </w:r>
      <w:r>
        <w:rPr>
          <w:rStyle w:val="normaltextrun"/>
          <w:rFonts w:ascii="Arial" w:hAnsi="Arial" w:cs="Arial"/>
          <w:b/>
          <w:bCs/>
          <w:color w:val="000000"/>
          <w:sz w:val="22"/>
          <w:szCs w:val="22"/>
          <w:lang w:val="es-ES"/>
        </w:rPr>
        <w:t>─</w:t>
      </w:r>
      <w:r>
        <w:rPr>
          <w:rStyle w:val="normaltextrun"/>
          <w:rFonts w:ascii="Arial" w:hAnsi="Arial" w:cs="Arial"/>
          <w:color w:val="000000"/>
          <w:sz w:val="22"/>
          <w:szCs w:val="22"/>
          <w:lang w:val="es-ES"/>
        </w:rPr>
        <w:t>modalidad de contratación, valor, forma de pago, etc.</w:t>
      </w:r>
      <w:r>
        <w:rPr>
          <w:rStyle w:val="normaltextrun"/>
          <w:rFonts w:ascii="Arial" w:hAnsi="Arial" w:cs="Arial"/>
          <w:b/>
          <w:bCs/>
          <w:color w:val="000000"/>
          <w:sz w:val="22"/>
          <w:szCs w:val="22"/>
          <w:lang w:val="es-ES"/>
        </w:rPr>
        <w:t>─ </w:t>
      </w:r>
      <w:r>
        <w:rPr>
          <w:rStyle w:val="normaltextrun"/>
          <w:rFonts w:ascii="Arial" w:hAnsi="Arial" w:cs="Arial"/>
          <w:color w:val="000000"/>
          <w:sz w:val="22"/>
          <w:szCs w:val="22"/>
          <w:lang w:val="es-ES"/>
        </w:rPr>
        <w:t xml:space="preserve">relacionada con la información principal, máxime </w:t>
      </w:r>
      <w:r>
        <w:rPr>
          <w:rStyle w:val="normaltextrun"/>
          <w:rFonts w:ascii="Arial" w:hAnsi="Arial" w:cs="Arial"/>
          <w:color w:val="000000"/>
          <w:sz w:val="22"/>
          <w:szCs w:val="22"/>
          <w:lang w:val="es-ES"/>
        </w:rPr>
        <w:lastRenderedPageBreak/>
        <w:t>cuando la obligación de enlistar está consagrada en la norma respecto de los bienes, obras o servicios a adquirir, y no respecto de los procesos de contratación, lo cual otorga cierta importancia a ese primer aspecto, más que a su forma de contratación.  </w:t>
      </w:r>
      <w:r>
        <w:rPr>
          <w:rStyle w:val="eop"/>
          <w:rFonts w:ascii="Arial" w:hAnsi="Arial" w:cs="Arial"/>
          <w:color w:val="000000"/>
          <w:sz w:val="22"/>
          <w:szCs w:val="22"/>
        </w:rPr>
        <w:t> </w:t>
      </w:r>
    </w:p>
    <w:p w14:paraId="2CF51EB0" w14:textId="77777777" w:rsidR="00FE126D" w:rsidRDefault="00FE126D" w:rsidP="00FE126D">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r>
        <w:rPr>
          <w:rStyle w:val="eop"/>
          <w:rFonts w:ascii="Arial" w:hAnsi="Arial" w:cs="Arial"/>
          <w:color w:val="000000"/>
          <w:sz w:val="22"/>
          <w:szCs w:val="22"/>
        </w:rPr>
        <w:t> </w:t>
      </w:r>
    </w:p>
    <w:p w14:paraId="52A70819" w14:textId="77777777" w:rsidR="00FE126D" w:rsidRPr="008803D3" w:rsidRDefault="00FE126D" w:rsidP="00FE126D">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De modo que el elemento rector para anunciar la posible contratación en el plan anual de adquisiciones es la intención de </w:t>
      </w:r>
      <w:r>
        <w:rPr>
          <w:rStyle w:val="normaltextrun"/>
          <w:rFonts w:ascii="Arial" w:hAnsi="Arial" w:cs="Arial"/>
          <w:i/>
          <w:iCs/>
          <w:color w:val="000000"/>
          <w:sz w:val="22"/>
          <w:szCs w:val="22"/>
          <w:lang w:val="es-ES"/>
        </w:rPr>
        <w:t>adquirir</w:t>
      </w:r>
      <w:r>
        <w:rPr>
          <w:rStyle w:val="normaltextrun"/>
          <w:rFonts w:ascii="Arial" w:hAnsi="Arial" w:cs="Arial"/>
          <w:color w:val="000000"/>
          <w:sz w:val="22"/>
          <w:szCs w:val="22"/>
          <w:lang w:val="es-ES"/>
        </w:rPr>
        <w:t> el 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Por tanto, las entidades deben incluir en su plan anual de adquisición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r>
        <w:rPr>
          <w:rStyle w:val="eop"/>
          <w:rFonts w:ascii="Arial" w:hAnsi="Arial" w:cs="Arial"/>
          <w:color w:val="000000"/>
          <w:sz w:val="22"/>
          <w:szCs w:val="22"/>
        </w:rPr>
        <w:t> </w:t>
      </w:r>
    </w:p>
    <w:p w14:paraId="6CEE8FD4" w14:textId="77777777" w:rsidR="00FE126D" w:rsidRPr="00AD4139" w:rsidRDefault="00FE126D" w:rsidP="00FE126D">
      <w:pPr>
        <w:spacing w:after="120" w:line="276" w:lineRule="auto"/>
        <w:ind w:firstLine="709"/>
        <w:jc w:val="both"/>
        <w:rPr>
          <w:rFonts w:ascii="Arial" w:eastAsia="Calibri" w:hAnsi="Arial" w:cs="Arial"/>
          <w:sz w:val="22"/>
        </w:rPr>
      </w:pPr>
      <w:r w:rsidRPr="00AD4139">
        <w:rPr>
          <w:rFonts w:ascii="Arial" w:eastAsia="Calibri" w:hAnsi="Arial" w:cs="Arial"/>
          <w:sz w:val="22"/>
        </w:rPr>
        <w:t xml:space="preserve">Asimismo, aunque </w:t>
      </w:r>
      <w:r>
        <w:rPr>
          <w:rFonts w:ascii="Arial" w:eastAsia="Calibri" w:hAnsi="Arial" w:cs="Arial"/>
          <w:sz w:val="22"/>
        </w:rPr>
        <w:t>–</w:t>
      </w:r>
      <w:r w:rsidRPr="00AD4139">
        <w:rPr>
          <w:rFonts w:ascii="Arial" w:eastAsia="Calibri" w:hAnsi="Arial" w:cs="Arial"/>
          <w:sz w:val="22"/>
        </w:rPr>
        <w:t>por expresa disposición del reglamento</w:t>
      </w:r>
      <w:r>
        <w:rPr>
          <w:rFonts w:ascii="Arial" w:eastAsia="Calibri" w:hAnsi="Arial" w:cs="Arial"/>
          <w:sz w:val="22"/>
        </w:rPr>
        <w:t>–</w:t>
      </w:r>
      <w:r w:rsidRPr="00AD4139">
        <w:rPr>
          <w:rFonts w:ascii="Arial" w:eastAsia="Calibri" w:hAnsi="Arial" w:cs="Arial"/>
          <w:sz w:val="22"/>
        </w:rPr>
        <w:t xml:space="preserve">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w:t>
      </w:r>
      <w:proofErr w:type="spellStart"/>
      <w:r w:rsidRPr="00AD4139">
        <w:rPr>
          <w:rFonts w:ascii="Arial" w:eastAsia="Calibri" w:hAnsi="Arial" w:cs="Arial"/>
          <w:sz w:val="22"/>
        </w:rPr>
        <w:t>ii</w:t>
      </w:r>
      <w:proofErr w:type="spellEnd"/>
      <w:r w:rsidRPr="00AD4139">
        <w:rPr>
          <w:rFonts w:ascii="Arial" w:eastAsia="Calibri" w:hAnsi="Arial" w:cs="Arial"/>
          <w:sz w:val="22"/>
        </w:rPr>
        <w:t xml:space="preserve">) el reglamento autorizó incluir en el plan información estimativa, como cuando en el artículo 2.2.1.1.1.4.1. utiliza expresiones como: «indicar el valor estimado del contrato». </w:t>
      </w:r>
    </w:p>
    <w:p w14:paraId="1710B5AC" w14:textId="77777777" w:rsidR="00FE126D" w:rsidRPr="00AD4139" w:rsidRDefault="00FE126D" w:rsidP="00FE126D">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De manera que </w:t>
      </w:r>
      <w:r w:rsidRPr="00EF64D8">
        <w:rPr>
          <w:rFonts w:ascii="Arial" w:eastAsia="Calibri" w:hAnsi="Arial" w:cs="Arial"/>
          <w:color w:val="000000" w:themeColor="text1"/>
          <w:sz w:val="22"/>
          <w:lang w:val="es-ES"/>
        </w:rPr>
        <w:t xml:space="preserve">la norma no señaló un </w:t>
      </w:r>
      <w:r>
        <w:rPr>
          <w:rFonts w:ascii="Arial" w:eastAsia="Calibri" w:hAnsi="Arial" w:cs="Arial"/>
          <w:color w:val="000000" w:themeColor="text1"/>
          <w:sz w:val="22"/>
          <w:lang w:val="es-ES"/>
        </w:rPr>
        <w:t>número</w:t>
      </w:r>
      <w:r w:rsidRPr="00EF64D8">
        <w:rPr>
          <w:rFonts w:ascii="Arial" w:eastAsia="Calibri" w:hAnsi="Arial" w:cs="Arial"/>
          <w:color w:val="000000" w:themeColor="text1"/>
          <w:sz w:val="22"/>
          <w:lang w:val="es-ES"/>
        </w:rPr>
        <w:t xml:space="preserve"> máximo de oportunidades para actualizar el plan anual de adquisiciones, por lo cual la entidad podrá modificarlo las veces que considere pertinente</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P</w:t>
      </w:r>
      <w:r w:rsidRPr="00EF64D8">
        <w:rPr>
          <w:rFonts w:ascii="Arial" w:eastAsia="Calibri" w:hAnsi="Arial" w:cs="Arial"/>
          <w:color w:val="000000" w:themeColor="text1"/>
          <w:sz w:val="22"/>
          <w:lang w:val="es-ES"/>
        </w:rPr>
        <w:t>ero el reglamento, al establecer cierto margen de laxitud en relación con la información incluida en el plan anual de adquisiciones,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Pr="00AD4139">
        <w:rPr>
          <w:rFonts w:ascii="Arial" w:eastAsia="Calibri" w:hAnsi="Arial" w:cs="Arial"/>
          <w:sz w:val="22"/>
        </w:rPr>
        <w:t>.</w:t>
      </w:r>
      <w:r>
        <w:rPr>
          <w:rFonts w:ascii="Arial" w:eastAsia="Calibri" w:hAnsi="Arial" w:cs="Arial"/>
          <w:sz w:val="22"/>
        </w:rPr>
        <w:t xml:space="preserve">  </w:t>
      </w:r>
    </w:p>
    <w:p w14:paraId="7716527C" w14:textId="77777777" w:rsidR="00FE126D" w:rsidRDefault="00FE126D" w:rsidP="00FE126D">
      <w:pPr>
        <w:spacing w:line="276" w:lineRule="auto"/>
        <w:ind w:firstLine="709"/>
        <w:jc w:val="both"/>
        <w:rPr>
          <w:rFonts w:ascii="Arial" w:eastAsia="Calibri" w:hAnsi="Arial" w:cs="Arial"/>
          <w:color w:val="000000" w:themeColor="text1"/>
          <w:sz w:val="22"/>
          <w:lang w:val="es-ES"/>
        </w:rPr>
      </w:pPr>
      <w:r w:rsidRPr="00AD4139">
        <w:rPr>
          <w:rFonts w:ascii="Arial" w:eastAsia="Calibri" w:hAnsi="Arial" w:cs="Arial"/>
          <w:sz w:val="22"/>
        </w:rPr>
        <w:t>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w:t>
      </w:r>
      <w:r>
        <w:rPr>
          <w:rFonts w:ascii="Arial" w:eastAsia="Calibri" w:hAnsi="Arial" w:cs="Arial"/>
          <w:sz w:val="22"/>
        </w:rPr>
        <w:t>a</w:t>
      </w:r>
      <w:r w:rsidRPr="00AD4139">
        <w:rPr>
          <w:rFonts w:ascii="Arial" w:eastAsia="Calibri" w:hAnsi="Arial" w:cs="Arial"/>
          <w:sz w:val="22"/>
        </w:rPr>
        <w:t xml:space="preserve">s las necesidades de contratación, sin importar que generen o no erogación, la fecha aproximada en que se </w:t>
      </w:r>
      <w:r w:rsidRPr="00AD4139">
        <w:rPr>
          <w:rFonts w:ascii="Arial" w:eastAsia="Calibri" w:hAnsi="Arial" w:cs="Arial"/>
          <w:sz w:val="22"/>
        </w:rPr>
        <w:lastRenderedPageBreak/>
        <w:t>iniciará el proceso de contratación y, en general, para todo el contenido del plan.</w:t>
      </w:r>
      <w:r>
        <w:rPr>
          <w:rFonts w:ascii="Arial" w:eastAsia="Calibri" w:hAnsi="Arial" w:cs="Arial"/>
          <w:sz w:val="22"/>
        </w:rPr>
        <w:t xml:space="preserve"> </w:t>
      </w:r>
      <w:r w:rsidRPr="00EF64D8">
        <w:rPr>
          <w:rFonts w:ascii="Arial" w:eastAsia="Calibri" w:hAnsi="Arial" w:cs="Arial"/>
          <w:color w:val="000000" w:themeColor="text1"/>
          <w:sz w:val="22"/>
          <w:lang w:val="es-ES"/>
        </w:rPr>
        <w:t>Incluso, por esta misma razón, es innecesaria la identidad entre el valor señalado en el plan y el monto por el cual finalmente se suscribe el contrato, pues lo usual es que luego de realiza</w:t>
      </w:r>
      <w:r>
        <w:rPr>
          <w:rFonts w:ascii="Arial" w:eastAsia="Calibri" w:hAnsi="Arial" w:cs="Arial"/>
          <w:color w:val="000000" w:themeColor="text1"/>
          <w:sz w:val="22"/>
          <w:lang w:val="es-ES"/>
        </w:rPr>
        <w:t>r</w:t>
      </w:r>
      <w:r w:rsidRPr="00EF64D8">
        <w:rPr>
          <w:rFonts w:ascii="Arial" w:eastAsia="Calibri" w:hAnsi="Arial" w:cs="Arial"/>
          <w:color w:val="000000" w:themeColor="text1"/>
          <w:sz w:val="22"/>
          <w:lang w:val="es-ES"/>
        </w:rPr>
        <w:t xml:space="preserve"> el procedimiento de selección, el valor </w:t>
      </w:r>
      <w:r>
        <w:rPr>
          <w:rFonts w:ascii="Arial" w:eastAsia="Calibri" w:hAnsi="Arial" w:cs="Arial"/>
          <w:color w:val="000000" w:themeColor="text1"/>
          <w:sz w:val="22"/>
          <w:lang w:val="es-ES"/>
        </w:rPr>
        <w:t>del ofrecimiento beneficiado con la adjudicación</w:t>
      </w:r>
      <w:r w:rsidRPr="00EF64D8">
        <w:rPr>
          <w:rFonts w:ascii="Arial" w:eastAsia="Calibri" w:hAnsi="Arial" w:cs="Arial"/>
          <w:color w:val="000000" w:themeColor="text1"/>
          <w:sz w:val="22"/>
          <w:lang w:val="es-ES"/>
        </w:rPr>
        <w:t xml:space="preserve"> se</w:t>
      </w:r>
      <w:r>
        <w:rPr>
          <w:rFonts w:ascii="Arial" w:eastAsia="Calibri" w:hAnsi="Arial" w:cs="Arial"/>
          <w:color w:val="000000" w:themeColor="text1"/>
          <w:sz w:val="22"/>
          <w:lang w:val="es-ES"/>
        </w:rPr>
        <w:t>a</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el</w:t>
      </w:r>
      <w:r w:rsidRPr="00EF64D8">
        <w:rPr>
          <w:rFonts w:ascii="Arial" w:eastAsia="Calibri" w:hAnsi="Arial" w:cs="Arial"/>
          <w:color w:val="000000" w:themeColor="text1"/>
          <w:sz w:val="22"/>
          <w:lang w:val="es-ES"/>
        </w:rPr>
        <w:t xml:space="preserve"> valor </w:t>
      </w:r>
      <w:r>
        <w:rPr>
          <w:rFonts w:ascii="Arial" w:eastAsia="Calibri" w:hAnsi="Arial" w:cs="Arial"/>
          <w:color w:val="000000" w:themeColor="text1"/>
          <w:sz w:val="22"/>
          <w:lang w:val="es-ES"/>
        </w:rPr>
        <w:t xml:space="preserve">por el </w:t>
      </w:r>
      <w:r w:rsidRPr="00EF64D8">
        <w:rPr>
          <w:rFonts w:ascii="Arial" w:eastAsia="Calibri" w:hAnsi="Arial" w:cs="Arial"/>
          <w:color w:val="000000" w:themeColor="text1"/>
          <w:sz w:val="22"/>
          <w:lang w:val="es-ES"/>
        </w:rPr>
        <w:t>que finalmente se suscrib</w:t>
      </w:r>
      <w:r>
        <w:rPr>
          <w:rFonts w:ascii="Arial" w:eastAsia="Calibri" w:hAnsi="Arial" w:cs="Arial"/>
          <w:color w:val="000000" w:themeColor="text1"/>
          <w:sz w:val="22"/>
          <w:lang w:val="es-ES"/>
        </w:rPr>
        <w:t>e</w:t>
      </w:r>
      <w:r w:rsidRPr="00EF64D8">
        <w:rPr>
          <w:rFonts w:ascii="Arial" w:eastAsia="Calibri" w:hAnsi="Arial" w:cs="Arial"/>
          <w:color w:val="000000" w:themeColor="text1"/>
          <w:sz w:val="22"/>
          <w:lang w:val="es-ES"/>
        </w:rPr>
        <w:t xml:space="preserve"> el contrato</w:t>
      </w:r>
      <w:r>
        <w:rPr>
          <w:rFonts w:ascii="Arial" w:eastAsia="Calibri" w:hAnsi="Arial" w:cs="Arial"/>
          <w:color w:val="000000" w:themeColor="text1"/>
          <w:sz w:val="22"/>
          <w:lang w:val="es-ES"/>
        </w:rPr>
        <w:t>.</w:t>
      </w:r>
    </w:p>
    <w:p w14:paraId="219CBA6B" w14:textId="77777777" w:rsidR="00FE126D" w:rsidRDefault="00FE126D">
      <w:pPr>
        <w:rPr>
          <w:lang w:val="es-ES"/>
        </w:rPr>
      </w:pPr>
    </w:p>
    <w:p w14:paraId="32C4657E" w14:textId="38D88208" w:rsidR="00EF0A61" w:rsidRPr="00EF0A61" w:rsidRDefault="00EF0A61" w:rsidP="00EF0A61">
      <w:pPr>
        <w:tabs>
          <w:tab w:val="left" w:pos="426"/>
        </w:tabs>
        <w:spacing w:line="276" w:lineRule="auto"/>
        <w:jc w:val="both"/>
        <w:rPr>
          <w:rFonts w:ascii="Arial" w:eastAsia="Calibri" w:hAnsi="Arial" w:cs="Arial"/>
          <w:b/>
          <w:sz w:val="22"/>
          <w:szCs w:val="22"/>
          <w:lang w:val="es-MX" w:eastAsia="en-US"/>
        </w:rPr>
      </w:pPr>
      <w:r>
        <w:rPr>
          <w:rFonts w:ascii="Arial" w:eastAsia="Calibri" w:hAnsi="Arial" w:cs="Arial"/>
          <w:b/>
          <w:sz w:val="22"/>
          <w:szCs w:val="22"/>
          <w:lang w:val="es-MX" w:eastAsia="en-US"/>
        </w:rPr>
        <w:t>3</w:t>
      </w:r>
      <w:r w:rsidRPr="00EF0A61">
        <w:rPr>
          <w:rFonts w:ascii="Arial" w:eastAsia="Calibri" w:hAnsi="Arial" w:cs="Arial"/>
          <w:b/>
          <w:sz w:val="22"/>
          <w:szCs w:val="22"/>
          <w:lang w:val="es-MX" w:eastAsia="en-US"/>
        </w:rPr>
        <w:t xml:space="preserve">. El SECOP como mecanismo para garantizar el principio de publicidad en la contratación estatal </w:t>
      </w:r>
    </w:p>
    <w:p w14:paraId="3376516A" w14:textId="77777777" w:rsidR="00EF0A61" w:rsidRPr="00EF0A61" w:rsidRDefault="00EF0A61" w:rsidP="00EF0A61">
      <w:pPr>
        <w:spacing w:line="276" w:lineRule="auto"/>
        <w:jc w:val="both"/>
        <w:rPr>
          <w:rFonts w:ascii="Arial" w:eastAsia="Calibri" w:hAnsi="Arial" w:cs="Arial"/>
          <w:sz w:val="22"/>
          <w:szCs w:val="22"/>
          <w:lang w:val="es-MX" w:eastAsia="en-US"/>
        </w:rPr>
      </w:pPr>
    </w:p>
    <w:p w14:paraId="5D1E23A7" w14:textId="77777777" w:rsidR="00EF0A61" w:rsidRPr="00EF0A61" w:rsidRDefault="00EF0A61" w:rsidP="00EF0A61">
      <w:pPr>
        <w:spacing w:after="120" w:line="276" w:lineRule="auto"/>
        <w:jc w:val="both"/>
        <w:rPr>
          <w:rFonts w:ascii="Arial" w:eastAsia="Calibri" w:hAnsi="Arial" w:cs="Arial"/>
          <w:sz w:val="22"/>
          <w:szCs w:val="22"/>
          <w:lang w:val="es-MX" w:eastAsia="en-US"/>
        </w:rPr>
      </w:pPr>
      <w:r w:rsidRPr="00EF0A61">
        <w:rPr>
          <w:rFonts w:ascii="Arial" w:eastAsia="Calibri" w:hAnsi="Arial" w:cs="Arial"/>
          <w:sz w:val="22"/>
          <w:szCs w:val="22"/>
          <w:lang w:val="es-MX" w:eastAsia="en-US"/>
        </w:rPr>
        <w:t>El artículo 3 de la Ley 1150 de 2007 señala que los actos relacionados con los procedimientos de contratación de las entidades estatales pueden ser electrónicos, al igual que su publicidad, por lo que el Gobierno nacional debe definir los medios para llevarlo a cabo, y tiene la obligación de desarrollar el SECOP</w:t>
      </w:r>
      <w:r w:rsidRPr="00EF0A61">
        <w:rPr>
          <w:rFonts w:ascii="Arial" w:eastAsia="Calibri" w:hAnsi="Arial" w:cs="Arial"/>
          <w:sz w:val="22"/>
          <w:szCs w:val="22"/>
          <w:vertAlign w:val="superscript"/>
          <w:lang w:val="es-MX" w:eastAsia="en-US"/>
        </w:rPr>
        <w:footnoteReference w:id="7"/>
      </w:r>
      <w:r w:rsidRPr="00EF0A61">
        <w:rPr>
          <w:rFonts w:ascii="Arial" w:eastAsia="Calibri" w:hAnsi="Arial" w:cs="Arial"/>
          <w:sz w:val="22"/>
          <w:szCs w:val="22"/>
          <w:lang w:val="es-MX" w:eastAsia="en-US"/>
        </w:rPr>
        <w:t>. Este sistema 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684A96D5" w14:textId="77777777" w:rsidR="00EF0A61" w:rsidRPr="00EF0A61" w:rsidRDefault="00EF0A61" w:rsidP="00EF0A61">
      <w:pPr>
        <w:spacing w:before="120" w:after="120" w:line="276" w:lineRule="auto"/>
        <w:ind w:firstLine="709"/>
        <w:jc w:val="both"/>
        <w:rPr>
          <w:rFonts w:ascii="Arial" w:eastAsia="Calibri" w:hAnsi="Arial" w:cs="Arial"/>
          <w:sz w:val="22"/>
          <w:szCs w:val="22"/>
          <w:lang w:val="es-MX" w:eastAsia="en-US"/>
        </w:rPr>
      </w:pPr>
      <w:r w:rsidRPr="00EF0A61">
        <w:rPr>
          <w:rFonts w:ascii="Arial" w:eastAsia="Calibri" w:hAnsi="Arial" w:cs="Arial"/>
          <w:sz w:val="22"/>
          <w:szCs w:val="22"/>
          <w:lang w:val="es-MX" w:eastAsia="en-US"/>
        </w:rPr>
        <w:t>La norma citada genera un cambio en la contratación pública, donde las actuaciones de las entidades se realizaban por escrito y en papel, y ahora se cuenta con un mecanismo eficiente que reduce costos para que se cumpla el principio de publicidad, como un deber de las autoridades públicas en el ejercicio de las funciones administrativas que la ley les otorga. No obstante, es necesario aclarar que la norma no impone como requisito que únicamente se deba publicar en el SECOP cuando se ejecuten recursos públicos, ya que el deber de publicidad es amplio. Esto teniendo en cuenta que la obligación está prevista en una norma que aplica a las entidades, sin que sea relevante en el cumplimiento de este deber la ejecución o no de recursos públicos.</w:t>
      </w:r>
    </w:p>
    <w:p w14:paraId="10894911" w14:textId="77777777" w:rsidR="00EF0A61" w:rsidRPr="00EF0A61" w:rsidRDefault="00EF0A61" w:rsidP="00EF0A61">
      <w:pPr>
        <w:spacing w:before="120" w:after="120" w:line="276" w:lineRule="auto"/>
        <w:ind w:firstLine="708"/>
        <w:jc w:val="both"/>
        <w:rPr>
          <w:rFonts w:ascii="Arial" w:eastAsia="Calibri" w:hAnsi="Arial" w:cs="Arial"/>
          <w:sz w:val="22"/>
          <w:szCs w:val="22"/>
          <w:lang w:val="es-MX" w:eastAsia="en-US"/>
        </w:rPr>
      </w:pPr>
      <w:r w:rsidRPr="00EF0A61">
        <w:rPr>
          <w:rFonts w:ascii="Arial" w:eastAsia="Calibri" w:hAnsi="Arial" w:cs="Arial"/>
          <w:sz w:val="22"/>
          <w:szCs w:val="22"/>
          <w:lang w:val="es-MX" w:eastAsia="en-US"/>
        </w:rPr>
        <w:lastRenderedPageBreak/>
        <w:t xml:space="preserve">Además, es preciso analizar en detalle el artículo 3 de la Ley 1150 de 2007, ya que prescribe la obligación de que la actividad contractual de las entidades se publique en el SECOP, sin que esta, necesaria y exclusivamente,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 Esto debe armonizarse con el artículo 2.2.1.1.1.7.1. del Decreto 1082 de 2015, que relacionan los documentos que se deben publicar en el SECOP, sin que se haga referencia a aquellos actos que ejecuten recursos públicos. </w:t>
      </w:r>
    </w:p>
    <w:p w14:paraId="7DC4C2ED" w14:textId="77777777" w:rsidR="00EF0A61" w:rsidRPr="00EF0A61" w:rsidRDefault="00EF0A61" w:rsidP="00EF0A61">
      <w:pPr>
        <w:spacing w:before="120" w:after="120" w:line="276" w:lineRule="auto"/>
        <w:ind w:firstLine="708"/>
        <w:jc w:val="both"/>
        <w:rPr>
          <w:rFonts w:ascii="Arial" w:eastAsia="Calibri" w:hAnsi="Arial" w:cs="Arial"/>
          <w:sz w:val="22"/>
          <w:szCs w:val="22"/>
          <w:lang w:val="es-MX" w:eastAsia="en-US"/>
        </w:rPr>
      </w:pPr>
      <w:r w:rsidRPr="00EF0A61">
        <w:rPr>
          <w:rFonts w:ascii="Arial" w:eastAsia="Calibri" w:hAnsi="Arial" w:cs="Arial"/>
          <w:sz w:val="22"/>
          <w:szCs w:val="22"/>
          <w:lang w:val="es-MX" w:eastAsia="en-US"/>
        </w:rPr>
        <w:t>Así, analizando las normas sobre publicidad en el SECOP, se concluye que no existen disposiciones de las que se pueda inferir el interés de la ley en exigir la publicación exclusiva de los actos que comprometan la ejecución de recursos públicos, puesto que su objetivo es general y se refiere a la actividad precontractual, contractual y poscontractual de las entidades, sin que quepa interpretación diferente, debido a la finalidad de la ley respecto de la ciudadanía y su derecho a conocer las decisiones de la Administración pública.</w:t>
      </w:r>
    </w:p>
    <w:p w14:paraId="0076EF52" w14:textId="77777777" w:rsidR="00EF0A61" w:rsidRPr="00EF0A61" w:rsidRDefault="00EF0A61" w:rsidP="00EF0A61">
      <w:pPr>
        <w:spacing w:line="276" w:lineRule="auto"/>
        <w:ind w:firstLine="708"/>
        <w:jc w:val="both"/>
        <w:rPr>
          <w:rFonts w:ascii="Arial" w:eastAsia="Calibri" w:hAnsi="Arial" w:cs="Arial"/>
          <w:sz w:val="22"/>
          <w:szCs w:val="22"/>
          <w:lang w:val="es-MX" w:eastAsia="en-US"/>
        </w:rPr>
      </w:pPr>
      <w:r w:rsidRPr="00EF0A61">
        <w:rPr>
          <w:rFonts w:ascii="Arial" w:eastAsia="Calibri" w:hAnsi="Arial" w:cs="Arial"/>
          <w:sz w:val="22"/>
          <w:szCs w:val="22"/>
          <w:lang w:val="es-MX" w:eastAsia="en-US"/>
        </w:rPr>
        <w:t>La Corte Constitucional hizo énfasis en la transición de la actividad contractual impresa, que se publicaba en el Diario Único de Contratación, a una contratación pública electrónica desarrollada mediante el SECOP:</w:t>
      </w:r>
    </w:p>
    <w:p w14:paraId="6DC7BB95" w14:textId="77777777" w:rsidR="00EF0A61" w:rsidRPr="00EF0A61" w:rsidRDefault="00EF0A61" w:rsidP="00EF0A61">
      <w:pPr>
        <w:spacing w:line="276" w:lineRule="auto"/>
        <w:jc w:val="both"/>
        <w:rPr>
          <w:rFonts w:ascii="Arial" w:eastAsia="Calibri" w:hAnsi="Arial" w:cs="Arial"/>
          <w:sz w:val="22"/>
          <w:szCs w:val="22"/>
          <w:lang w:val="es-MX" w:eastAsia="en-US"/>
        </w:rPr>
      </w:pPr>
    </w:p>
    <w:p w14:paraId="22743612" w14:textId="77777777" w:rsidR="00EF0A61" w:rsidRPr="00EF0A61" w:rsidRDefault="00EF0A61" w:rsidP="00EF0A61">
      <w:pPr>
        <w:ind w:left="708" w:right="680"/>
        <w:jc w:val="both"/>
        <w:rPr>
          <w:rFonts w:ascii="Arial" w:eastAsia="Calibri" w:hAnsi="Arial" w:cs="Arial"/>
          <w:sz w:val="21"/>
          <w:szCs w:val="21"/>
          <w:lang w:val="es-MX" w:eastAsia="en-US"/>
        </w:rPr>
      </w:pPr>
      <w:r w:rsidRPr="00EF0A61">
        <w:rPr>
          <w:rFonts w:ascii="Arial" w:eastAsia="Calibri" w:hAnsi="Arial" w:cs="Arial"/>
          <w:sz w:val="21"/>
          <w:szCs w:val="21"/>
          <w:lang w:val="es-MX" w:eastAsia="en-U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w:t>
      </w:r>
      <w:r w:rsidRPr="00EF0A61">
        <w:rPr>
          <w:rFonts w:ascii="Arial" w:eastAsia="Calibri" w:hAnsi="Arial" w:cs="Arial"/>
          <w:szCs w:val="22"/>
          <w:lang w:val="es-MX" w:eastAsia="en-US"/>
        </w:rPr>
        <w:t xml:space="preserve"> </w:t>
      </w:r>
      <w:r w:rsidRPr="00EF0A61">
        <w:rPr>
          <w:rFonts w:ascii="Arial" w:eastAsia="Calibri" w:hAnsi="Arial" w:cs="Arial"/>
          <w:sz w:val="21"/>
          <w:szCs w:val="21"/>
          <w:lang w:val="es-MX" w:eastAsia="en-US"/>
        </w:rPr>
        <w:t>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w:t>
      </w:r>
    </w:p>
    <w:p w14:paraId="5F4B27FB" w14:textId="77777777" w:rsidR="00EF0A61" w:rsidRPr="00EF0A61" w:rsidRDefault="00EF0A61" w:rsidP="00EF0A61">
      <w:pPr>
        <w:ind w:left="708" w:right="680"/>
        <w:jc w:val="both"/>
        <w:rPr>
          <w:rFonts w:ascii="Arial" w:eastAsia="Calibri" w:hAnsi="Arial" w:cs="Arial"/>
          <w:sz w:val="21"/>
          <w:szCs w:val="21"/>
          <w:lang w:val="es-MX" w:eastAsia="en-US"/>
        </w:rPr>
      </w:pPr>
    </w:p>
    <w:p w14:paraId="6149A10C" w14:textId="77777777" w:rsidR="00EF0A61" w:rsidRPr="00EF0A61" w:rsidRDefault="00EF0A61" w:rsidP="00EF0A61">
      <w:pPr>
        <w:ind w:left="708" w:right="680"/>
        <w:jc w:val="both"/>
        <w:rPr>
          <w:rFonts w:ascii="Arial" w:eastAsia="Calibri" w:hAnsi="Arial" w:cs="Arial"/>
          <w:sz w:val="21"/>
          <w:szCs w:val="21"/>
          <w:lang w:val="es-MX" w:eastAsia="en-US"/>
        </w:rPr>
      </w:pPr>
      <w:r w:rsidRPr="00EF0A61">
        <w:rPr>
          <w:rFonts w:ascii="Arial" w:eastAsia="Calibri" w:hAnsi="Arial" w:cs="Arial"/>
          <w:sz w:val="21"/>
          <w:szCs w:val="21"/>
          <w:lang w:val="es-MX" w:eastAsia="en-US"/>
        </w:rPr>
        <w:t>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Y, de conteras, suple algunas de las limitaciones de las que adolecía el Diario Único de Contratación, en términos de cobertura geográfica, de cantidad de ejemplares y de posibilidad de acceso por parte de la ciudadanía</w:t>
      </w:r>
      <w:r w:rsidRPr="00EF0A61">
        <w:rPr>
          <w:rFonts w:ascii="Arial" w:eastAsia="Calibri" w:hAnsi="Arial" w:cs="Arial"/>
          <w:sz w:val="22"/>
          <w:szCs w:val="22"/>
          <w:vertAlign w:val="superscript"/>
          <w:lang w:val="es-MX" w:eastAsia="en-US"/>
        </w:rPr>
        <w:footnoteReference w:id="8"/>
      </w:r>
      <w:r w:rsidRPr="00EF0A61">
        <w:rPr>
          <w:rFonts w:ascii="Arial" w:eastAsia="Calibri" w:hAnsi="Arial" w:cs="Arial"/>
          <w:sz w:val="21"/>
          <w:szCs w:val="21"/>
          <w:lang w:val="es-MX" w:eastAsia="en-US"/>
        </w:rPr>
        <w:t>.</w:t>
      </w:r>
    </w:p>
    <w:p w14:paraId="60B43388" w14:textId="77777777" w:rsidR="00EF0A61" w:rsidRPr="00EF0A61" w:rsidRDefault="00EF0A61" w:rsidP="00EF0A61">
      <w:pPr>
        <w:spacing w:line="276" w:lineRule="auto"/>
        <w:ind w:left="708" w:right="680"/>
        <w:jc w:val="both"/>
        <w:rPr>
          <w:rFonts w:ascii="Arial" w:eastAsia="Calibri" w:hAnsi="Arial" w:cs="Arial"/>
          <w:sz w:val="21"/>
          <w:szCs w:val="21"/>
          <w:lang w:val="es-MX" w:eastAsia="en-US"/>
        </w:rPr>
      </w:pPr>
    </w:p>
    <w:p w14:paraId="7C29D101" w14:textId="77777777" w:rsidR="00EF0A61" w:rsidRPr="00EF0A61" w:rsidRDefault="00EF0A61" w:rsidP="00EF0A61">
      <w:pPr>
        <w:spacing w:line="276" w:lineRule="auto"/>
        <w:ind w:right="49" w:firstLine="708"/>
        <w:jc w:val="both"/>
        <w:rPr>
          <w:rFonts w:ascii="Arial" w:eastAsia="Calibri" w:hAnsi="Arial" w:cs="Arial"/>
          <w:sz w:val="22"/>
          <w:szCs w:val="22"/>
          <w:lang w:val="es-MX" w:eastAsia="en-US"/>
        </w:rPr>
      </w:pPr>
      <w:r w:rsidRPr="00EF0A61">
        <w:rPr>
          <w:rFonts w:ascii="Arial" w:eastAsia="Calibri" w:hAnsi="Arial" w:cs="Arial"/>
          <w:sz w:val="22"/>
          <w:szCs w:val="22"/>
          <w:lang w:val="es-MX" w:eastAsia="en-US"/>
        </w:rPr>
        <w:t xml:space="preserve">De acuerdo con lo anterior, sobre la obligatoriedad de publicar en el SECOP contratos de arrendamiento y de comodato ya se había pronunciado esta Agencia en el </w:t>
      </w:r>
      <w:r w:rsidRPr="00EF0A61">
        <w:rPr>
          <w:rFonts w:ascii="Arial" w:eastAsia="Calibri" w:hAnsi="Arial" w:cs="Arial"/>
          <w:sz w:val="22"/>
          <w:szCs w:val="22"/>
          <w:lang w:val="es-MX" w:eastAsia="en-US"/>
        </w:rPr>
        <w:lastRenderedPageBreak/>
        <w:t>concepto C-087 del 4 marzo de 2020, en el que al responder a la pregunta «¿Se debe publicar en el SECOP II los contratos de arrendamiento o comodato donde el municipio no desembolsa recursos?» consideró que:</w:t>
      </w:r>
    </w:p>
    <w:p w14:paraId="6B440314" w14:textId="77777777" w:rsidR="00EF0A61" w:rsidRPr="00EF0A61" w:rsidRDefault="00EF0A61" w:rsidP="00EF0A61">
      <w:pPr>
        <w:spacing w:line="276" w:lineRule="auto"/>
        <w:ind w:right="49" w:firstLine="708"/>
        <w:jc w:val="both"/>
        <w:rPr>
          <w:rFonts w:ascii="Arial" w:eastAsia="Calibri" w:hAnsi="Arial" w:cs="Arial"/>
          <w:sz w:val="22"/>
          <w:szCs w:val="22"/>
          <w:lang w:val="es-MX" w:eastAsia="en-US"/>
        </w:rPr>
      </w:pPr>
    </w:p>
    <w:p w14:paraId="2B370FE0" w14:textId="77777777" w:rsidR="00EF0A61" w:rsidRPr="00EF0A61" w:rsidRDefault="00EF0A61" w:rsidP="00EF0A61">
      <w:pPr>
        <w:ind w:left="709" w:right="709"/>
        <w:jc w:val="both"/>
        <w:rPr>
          <w:rFonts w:ascii="Arial" w:eastAsia="Calibri" w:hAnsi="Arial" w:cs="Arial"/>
          <w:sz w:val="21"/>
          <w:szCs w:val="21"/>
          <w:lang w:val="es-MX" w:eastAsia="en-US"/>
        </w:rPr>
      </w:pPr>
      <w:r w:rsidRPr="00EF0A61">
        <w:rPr>
          <w:rFonts w:ascii="Arial" w:eastAsia="Calibri" w:hAnsi="Arial" w:cs="Arial"/>
          <w:sz w:val="21"/>
          <w:szCs w:val="21"/>
          <w:lang w:val="es-MX" w:eastAsia="en-US"/>
        </w:rPr>
        <w:t>[…] la obligatoriedad de publicar las actuaciones contractuales de las entidades no está sujeta a la ejecución de recursos públicos, por ende, las entidades deben publicar los documentos relacionados con sus procedimientos contractuales, que según el artículo 2.2.1.1.1.3.1. del Decreto 1082 de 2015, incluyen el contrato y cualquier otro documento expedido por la entidad en el desarrollo de esa actividad</w:t>
      </w:r>
      <w:r w:rsidRPr="00EF0A61">
        <w:rPr>
          <w:rFonts w:ascii="Arial" w:eastAsia="Calibri" w:hAnsi="Arial" w:cs="Arial"/>
          <w:sz w:val="21"/>
          <w:szCs w:val="21"/>
          <w:vertAlign w:val="superscript"/>
          <w:lang w:val="es-MX" w:eastAsia="en-US"/>
        </w:rPr>
        <w:footnoteReference w:id="9"/>
      </w:r>
      <w:r w:rsidRPr="00EF0A61">
        <w:rPr>
          <w:rFonts w:ascii="Arial" w:eastAsia="Calibri" w:hAnsi="Arial" w:cs="Arial"/>
          <w:sz w:val="21"/>
          <w:szCs w:val="21"/>
          <w:lang w:val="es-MX" w:eastAsia="en-US"/>
        </w:rPr>
        <w:t>.</w:t>
      </w:r>
    </w:p>
    <w:p w14:paraId="7A68D6B8" w14:textId="77777777" w:rsidR="00EF0A61" w:rsidRPr="00EF0A61" w:rsidRDefault="00EF0A61" w:rsidP="00EF0A61">
      <w:pPr>
        <w:spacing w:line="276" w:lineRule="auto"/>
        <w:ind w:left="708" w:right="680"/>
        <w:jc w:val="both"/>
        <w:rPr>
          <w:rFonts w:ascii="Arial" w:eastAsia="Calibri" w:hAnsi="Arial" w:cs="Arial"/>
          <w:sz w:val="21"/>
          <w:szCs w:val="21"/>
          <w:lang w:val="es-MX" w:eastAsia="en-US"/>
        </w:rPr>
      </w:pPr>
    </w:p>
    <w:p w14:paraId="23024296" w14:textId="77777777" w:rsidR="00EF0A61" w:rsidRPr="00EF0A61" w:rsidRDefault="00EF0A61" w:rsidP="00EF0A61">
      <w:pPr>
        <w:spacing w:after="120" w:line="276" w:lineRule="auto"/>
        <w:ind w:firstLine="709"/>
        <w:jc w:val="both"/>
        <w:rPr>
          <w:rFonts w:ascii="Arial" w:eastAsia="Calibri" w:hAnsi="Arial" w:cs="Arial"/>
          <w:sz w:val="22"/>
          <w:szCs w:val="22"/>
          <w:lang w:val="es-MX" w:eastAsia="en-US"/>
        </w:rPr>
      </w:pPr>
      <w:r w:rsidRPr="00EF0A61">
        <w:rPr>
          <w:rFonts w:ascii="Arial" w:eastAsia="Calibri" w:hAnsi="Arial" w:cs="Arial"/>
          <w:sz w:val="22"/>
          <w:szCs w:val="22"/>
          <w:lang w:val="es-MX" w:eastAsia="en-US"/>
        </w:rPr>
        <w:t>Debe precisarse que la calidad de contrato estatal obedece a un criterio eminentemente orgánico</w:t>
      </w:r>
      <w:r w:rsidRPr="00EF0A61">
        <w:rPr>
          <w:rFonts w:ascii="Arial" w:eastAsia="Calibri" w:hAnsi="Arial" w:cs="Arial"/>
          <w:sz w:val="22"/>
          <w:szCs w:val="22"/>
          <w:vertAlign w:val="superscript"/>
          <w:lang w:val="es-MX" w:eastAsia="en-US"/>
        </w:rPr>
        <w:footnoteReference w:id="10"/>
      </w:r>
      <w:r w:rsidRPr="00EF0A61">
        <w:rPr>
          <w:rFonts w:ascii="Arial" w:eastAsia="Calibri" w:hAnsi="Arial" w:cs="Arial"/>
          <w:sz w:val="22"/>
          <w:szCs w:val="22"/>
          <w:lang w:val="es-MX" w:eastAsia="en-US"/>
        </w:rPr>
        <w:t xml:space="preserve">, por lo que son todos aquellos celebrados por alguna de entidad estatal, de las cuales, las enlistadas en el artículo 2 de la Ley 80 de 1993, están obligadas a aplicar las normas contenidas en dicha ley. No obstante, la Ley 80 de 1993, la Ley 1150 de 1993 y su reglamentación, no constituyen un conjunto de normas que por sí solas gobiernen el grueso de las relaciones contractuales de las entidades estatales –de acuerdo con el artículo 2 </w:t>
      </w:r>
      <w:r w:rsidRPr="00EF0A61">
        <w:rPr>
          <w:rFonts w:ascii="Arial" w:eastAsia="Calibri" w:hAnsi="Arial" w:cs="Arial"/>
          <w:i/>
          <w:iCs/>
          <w:sz w:val="22"/>
          <w:szCs w:val="22"/>
          <w:lang w:val="es-MX" w:eastAsia="en-US"/>
        </w:rPr>
        <w:t>Ibídem</w:t>
      </w:r>
      <w:r w:rsidRPr="00EF0A61">
        <w:rPr>
          <w:rFonts w:ascii="Arial" w:eastAsia="Calibri" w:hAnsi="Arial" w:cs="Arial"/>
          <w:sz w:val="22"/>
          <w:szCs w:val="22"/>
          <w:lang w:val="es-MX" w:eastAsia="en-US"/>
        </w:rPr>
        <w:t>–. Por el contrario, constituyen una serie de reglas y principios que deben aplicarse de manera prevalente en los contratos que celebren dichos entes, pero que deben complementarse con el derecho privado, –tal como se desprende de los artículos 13 y 40 de la Ley 80 de 1993</w:t>
      </w:r>
      <w:r w:rsidRPr="00EF0A61">
        <w:rPr>
          <w:rFonts w:ascii="Arial" w:eastAsia="Calibri" w:hAnsi="Arial" w:cs="Arial"/>
          <w:sz w:val="22"/>
          <w:szCs w:val="22"/>
          <w:vertAlign w:val="superscript"/>
          <w:lang w:val="es-MX" w:eastAsia="en-US"/>
        </w:rPr>
        <w:footnoteReference w:id="11"/>
      </w:r>
      <w:r w:rsidRPr="00EF0A61">
        <w:rPr>
          <w:rFonts w:ascii="Arial" w:eastAsia="Calibri" w:hAnsi="Arial" w:cs="Arial"/>
          <w:sz w:val="22"/>
          <w:szCs w:val="22"/>
          <w:lang w:val="es-MX" w:eastAsia="en-US"/>
        </w:rPr>
        <w:t>– ámbito jurídico del que surgen la gran mayoría de tipologías contractuales celebradas por las entidades públicas.</w:t>
      </w:r>
    </w:p>
    <w:p w14:paraId="28C14425" w14:textId="18E488B6" w:rsidR="00EF0A61" w:rsidRPr="00EF0A61" w:rsidRDefault="00EF0A61" w:rsidP="00EF0A61">
      <w:pPr>
        <w:spacing w:after="120" w:line="276" w:lineRule="auto"/>
        <w:ind w:firstLine="709"/>
        <w:jc w:val="both"/>
        <w:rPr>
          <w:rFonts w:ascii="Arial" w:eastAsia="Calibri" w:hAnsi="Arial" w:cs="Arial"/>
          <w:sz w:val="22"/>
          <w:szCs w:val="22"/>
          <w:lang w:val="es-MX" w:eastAsia="en-US"/>
        </w:rPr>
      </w:pPr>
      <w:r w:rsidRPr="00EF0A61">
        <w:rPr>
          <w:rFonts w:ascii="Arial" w:eastAsia="Calibri" w:hAnsi="Arial" w:cs="Arial"/>
          <w:sz w:val="22"/>
          <w:szCs w:val="22"/>
          <w:lang w:val="es-MX" w:eastAsia="en-US"/>
        </w:rPr>
        <w:t xml:space="preserve">De acuerdo con esto, las entidades estatales regidas por el EGCAP están habilitadas para celebrar los contratos que suelen celebrar los particulares entre sí, en ejercicio de la autonomía de la voluntad privada. En ese sentido, puede ocurrir que dentro </w:t>
      </w:r>
      <w:r w:rsidRPr="00EF0A61">
        <w:rPr>
          <w:rFonts w:ascii="Arial" w:eastAsia="Calibri" w:hAnsi="Arial" w:cs="Arial"/>
          <w:sz w:val="22"/>
          <w:szCs w:val="22"/>
          <w:lang w:val="es-MX" w:eastAsia="en-US"/>
        </w:rPr>
        <w:lastRenderedPageBreak/>
        <w:t xml:space="preserve">de la gestión ordinaria de sus competencias las entidades tengan necesidades que deban ser satisfechas a través de contratos </w:t>
      </w:r>
      <w:r w:rsidR="009F2A68">
        <w:rPr>
          <w:rFonts w:ascii="Arial" w:eastAsia="Calibri" w:hAnsi="Arial" w:cs="Arial"/>
          <w:sz w:val="22"/>
          <w:szCs w:val="22"/>
          <w:lang w:val="es-MX" w:eastAsia="en-US"/>
        </w:rPr>
        <w:t>d</w:t>
      </w:r>
      <w:r w:rsidRPr="00EF0A61">
        <w:rPr>
          <w:rFonts w:ascii="Arial" w:eastAsia="Calibri" w:hAnsi="Arial" w:cs="Arial"/>
          <w:sz w:val="22"/>
          <w:szCs w:val="22"/>
          <w:lang w:val="es-MX" w:eastAsia="en-US"/>
        </w:rPr>
        <w:t>e</w:t>
      </w:r>
      <w:r w:rsidR="009F2A68">
        <w:rPr>
          <w:rFonts w:ascii="Arial" w:eastAsia="Calibri" w:hAnsi="Arial" w:cs="Arial"/>
          <w:sz w:val="22"/>
          <w:szCs w:val="22"/>
          <w:lang w:val="es-MX" w:eastAsia="en-US"/>
        </w:rPr>
        <w:t xml:space="preserve"> </w:t>
      </w:r>
      <w:r w:rsidRPr="00EF0A61">
        <w:rPr>
          <w:rFonts w:ascii="Arial" w:eastAsia="Calibri" w:hAnsi="Arial" w:cs="Arial"/>
          <w:sz w:val="22"/>
          <w:szCs w:val="22"/>
          <w:lang w:val="es-MX" w:eastAsia="en-US"/>
        </w:rPr>
        <w:t xml:space="preserve">comodato, en los que además de las disposiciones del EGCAP deberán aplicarse en su mayoría normas de derecho privado, lo que de ninguna manera desvirtúa la calidad de estatal de dichos contratos. </w:t>
      </w:r>
    </w:p>
    <w:p w14:paraId="195FF624" w14:textId="125D67AA" w:rsidR="00EF0A61" w:rsidRPr="00EF0A61" w:rsidRDefault="00EF0A61" w:rsidP="00EF0A61">
      <w:pPr>
        <w:spacing w:line="276" w:lineRule="auto"/>
        <w:ind w:firstLine="709"/>
        <w:jc w:val="both"/>
        <w:rPr>
          <w:rFonts w:ascii="Arial" w:eastAsia="Calibri" w:hAnsi="Arial" w:cs="Arial"/>
          <w:sz w:val="22"/>
          <w:szCs w:val="22"/>
          <w:lang w:val="es-MX" w:eastAsia="en-US"/>
        </w:rPr>
      </w:pPr>
      <w:r w:rsidRPr="00EF0A61">
        <w:rPr>
          <w:rFonts w:ascii="Arial" w:eastAsia="Calibri" w:hAnsi="Arial" w:cs="Arial"/>
          <w:sz w:val="22"/>
          <w:szCs w:val="22"/>
          <w:lang w:val="es-MX" w:eastAsia="en-US"/>
        </w:rPr>
        <w:t xml:space="preserve">Dicha calidad de contrato estatal tampoco depende de que la relación contractual implique o no la erogación de recursos públicos, </w:t>
      </w:r>
      <w:r w:rsidR="00C324B0">
        <w:rPr>
          <w:rFonts w:ascii="Arial" w:eastAsia="Calibri" w:hAnsi="Arial" w:cs="Arial"/>
          <w:sz w:val="22"/>
          <w:szCs w:val="22"/>
          <w:lang w:val="es-MX" w:eastAsia="en-US"/>
        </w:rPr>
        <w:t>pues</w:t>
      </w:r>
      <w:r w:rsidRPr="00EF0A61">
        <w:rPr>
          <w:rFonts w:ascii="Arial" w:eastAsia="Calibri" w:hAnsi="Arial" w:cs="Arial"/>
          <w:sz w:val="22"/>
          <w:szCs w:val="22"/>
          <w:lang w:val="es-MX" w:eastAsia="en-US"/>
        </w:rPr>
        <w:t xml:space="preserv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En razón a dicho interés, el legislador mediante el artículo 3 de la Ley 1150 de 2007 y la normativa de la transparencia y el acceso a la información pública, materializa los principios de publicidad y transparencia en el ámbito de la contratación estatal, estableciendo el SECOP como medio de publicidad principal de las actuaciones contractuales públicas. </w:t>
      </w:r>
    </w:p>
    <w:p w14:paraId="5E3AA0CF" w14:textId="6092D9C9" w:rsidR="00EF0A61" w:rsidRPr="003A7107" w:rsidRDefault="00EF0A61">
      <w:pPr>
        <w:rPr>
          <w:rFonts w:ascii="Arial" w:hAnsi="Arial" w:cs="Arial"/>
          <w:sz w:val="22"/>
          <w:szCs w:val="22"/>
          <w:lang w:val="es-MX"/>
        </w:rPr>
      </w:pPr>
    </w:p>
    <w:p w14:paraId="2D644412" w14:textId="77777777" w:rsidR="00A35361" w:rsidRPr="00A35361" w:rsidRDefault="00A35361" w:rsidP="00A35361">
      <w:pPr>
        <w:spacing w:line="276" w:lineRule="auto"/>
        <w:jc w:val="both"/>
        <w:rPr>
          <w:rFonts w:ascii="Arial" w:eastAsia="Calibri" w:hAnsi="Arial" w:cs="Arial"/>
          <w:b/>
          <w:sz w:val="22"/>
          <w:szCs w:val="22"/>
          <w:lang w:val="es-MX" w:eastAsia="en-US"/>
        </w:rPr>
      </w:pPr>
      <w:r w:rsidRPr="00A35361">
        <w:rPr>
          <w:rFonts w:ascii="Arial" w:eastAsia="Calibri" w:hAnsi="Arial" w:cs="Arial"/>
          <w:b/>
          <w:sz w:val="22"/>
          <w:szCs w:val="22"/>
          <w:lang w:val="es-MX" w:eastAsia="en-US"/>
        </w:rPr>
        <w:t>3. Respuesta</w:t>
      </w:r>
    </w:p>
    <w:p w14:paraId="7A943C8E" w14:textId="77777777" w:rsidR="00A35361" w:rsidRPr="00A35361" w:rsidRDefault="00A35361" w:rsidP="00A35361">
      <w:pPr>
        <w:spacing w:line="276" w:lineRule="auto"/>
        <w:jc w:val="both"/>
        <w:rPr>
          <w:rFonts w:ascii="Arial" w:eastAsia="Calibri" w:hAnsi="Arial" w:cs="Arial"/>
          <w:sz w:val="22"/>
          <w:szCs w:val="22"/>
          <w:highlight w:val="yellow"/>
          <w:lang w:val="es-MX" w:eastAsia="en-US"/>
        </w:rPr>
      </w:pPr>
    </w:p>
    <w:p w14:paraId="75D7C7F4" w14:textId="6DFF8373" w:rsidR="00FC2F20" w:rsidRDefault="00A35361" w:rsidP="003A7107">
      <w:pPr>
        <w:ind w:left="709" w:right="709"/>
        <w:jc w:val="both"/>
        <w:rPr>
          <w:rFonts w:ascii="Arial" w:eastAsia="Calibri" w:hAnsi="Arial" w:cs="Arial"/>
          <w:sz w:val="21"/>
          <w:szCs w:val="21"/>
          <w:lang w:val="es-MX" w:eastAsia="en-US"/>
        </w:rPr>
      </w:pPr>
      <w:r w:rsidRPr="00A35361">
        <w:rPr>
          <w:rFonts w:ascii="Arial" w:eastAsia="Calibri" w:hAnsi="Arial" w:cs="Arial"/>
          <w:sz w:val="21"/>
          <w:szCs w:val="21"/>
          <w:lang w:val="es-MX" w:eastAsia="en-US"/>
        </w:rPr>
        <w:t>i</w:t>
      </w:r>
      <w:r w:rsidR="00FC2F20" w:rsidRPr="00FC2F20">
        <w:rPr>
          <w:rFonts w:ascii="Arial" w:eastAsia="Calibri" w:hAnsi="Arial" w:cs="Arial"/>
          <w:sz w:val="21"/>
          <w:szCs w:val="21"/>
          <w:lang w:eastAsia="en-US"/>
        </w:rPr>
        <w:t>«</w:t>
      </w:r>
      <w:r w:rsidR="00FC2F20" w:rsidRPr="00FC2F20">
        <w:rPr>
          <w:rFonts w:ascii="Arial" w:eastAsia="Calibri" w:hAnsi="Arial" w:cs="Arial"/>
          <w:sz w:val="21"/>
          <w:szCs w:val="21"/>
          <w:lang w:val="es-ES_tradnl" w:eastAsia="en-US"/>
        </w:rPr>
        <w:t>[¿]</w:t>
      </w:r>
      <w:r w:rsidR="00FC2F20" w:rsidRPr="00FC2F20">
        <w:rPr>
          <w:rFonts w:ascii="Arial" w:eastAsia="Calibri" w:hAnsi="Arial" w:cs="Arial"/>
          <w:sz w:val="21"/>
          <w:szCs w:val="21"/>
          <w:lang w:eastAsia="en-US"/>
        </w:rPr>
        <w:t xml:space="preserve"> Los contratos de comodato se deben registrar en el plan de compras de las entidades y se deben publicar en el </w:t>
      </w:r>
      <w:proofErr w:type="spellStart"/>
      <w:r w:rsidR="00FC2F20" w:rsidRPr="00FC2F20">
        <w:rPr>
          <w:rFonts w:ascii="Arial" w:eastAsia="Calibri" w:hAnsi="Arial" w:cs="Arial"/>
          <w:sz w:val="21"/>
          <w:szCs w:val="21"/>
          <w:lang w:eastAsia="en-US"/>
        </w:rPr>
        <w:t>secop</w:t>
      </w:r>
      <w:proofErr w:type="spellEnd"/>
      <w:r w:rsidR="00FC2F20" w:rsidRPr="00FC2F20">
        <w:rPr>
          <w:rFonts w:ascii="Arial" w:eastAsia="Calibri" w:hAnsi="Arial" w:cs="Arial"/>
          <w:sz w:val="21"/>
          <w:szCs w:val="21"/>
          <w:lang w:eastAsia="en-US"/>
        </w:rPr>
        <w:t xml:space="preserve"> (sic)?».</w:t>
      </w:r>
    </w:p>
    <w:p w14:paraId="4A1F671C" w14:textId="77777777" w:rsidR="00A35361" w:rsidRPr="00A35361" w:rsidRDefault="00A35361" w:rsidP="00A35361">
      <w:pPr>
        <w:spacing w:line="276" w:lineRule="auto"/>
        <w:jc w:val="both"/>
        <w:rPr>
          <w:rFonts w:ascii="Arial" w:eastAsia="Calibri" w:hAnsi="Arial" w:cs="Arial"/>
          <w:sz w:val="22"/>
          <w:szCs w:val="22"/>
          <w:highlight w:val="yellow"/>
          <w:lang w:val="es-MX" w:eastAsia="en-US"/>
        </w:rPr>
      </w:pPr>
    </w:p>
    <w:p w14:paraId="5DD684D8" w14:textId="5EE2E65C" w:rsidR="00FC2F20" w:rsidRDefault="00A607E4" w:rsidP="00A35361">
      <w:pPr>
        <w:spacing w:after="120" w:line="276" w:lineRule="auto"/>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 w:eastAsia="en-US"/>
        </w:rPr>
        <w:t>De acuerdo con la explicación precedente, e</w:t>
      </w:r>
      <w:r w:rsidR="00FC2F20" w:rsidRPr="00EF0CA6">
        <w:rPr>
          <w:rFonts w:ascii="Arial" w:eastAsia="Calibri" w:hAnsi="Arial" w:cs="Arial"/>
          <w:color w:val="000000"/>
          <w:sz w:val="22"/>
          <w:szCs w:val="22"/>
          <w:lang w:val="es-ES" w:eastAsia="en-US"/>
        </w:rPr>
        <w:t>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w:t>
      </w:r>
    </w:p>
    <w:p w14:paraId="2BE8C6D2" w14:textId="1BC5DC9A" w:rsidR="00C752BC" w:rsidRPr="00C752BC" w:rsidRDefault="00401D6B" w:rsidP="003A7107">
      <w:pPr>
        <w:spacing w:after="120" w:line="276" w:lineRule="auto"/>
        <w:ind w:firstLine="708"/>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 w:eastAsia="en-US"/>
        </w:rPr>
        <w:t>El marco normativo expuesto en el apartado 2.2 del presente oficio</w:t>
      </w:r>
      <w:r w:rsidR="00C752BC" w:rsidRPr="00C752BC">
        <w:rPr>
          <w:rFonts w:ascii="Arial" w:eastAsia="Calibri" w:hAnsi="Arial" w:cs="Arial"/>
          <w:color w:val="000000"/>
          <w:sz w:val="22"/>
          <w:szCs w:val="22"/>
          <w:lang w:val="es-ES" w:eastAsia="en-US"/>
        </w:rPr>
        <w:t xml:space="preserve"> permite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w:t>
      </w:r>
      <w:r w:rsidR="00C752BC">
        <w:rPr>
          <w:rFonts w:ascii="Arial" w:eastAsia="Calibri" w:hAnsi="Arial" w:cs="Arial"/>
          <w:color w:val="000000"/>
          <w:sz w:val="22"/>
          <w:szCs w:val="22"/>
          <w:lang w:val="es-ES" w:eastAsia="en-US"/>
        </w:rPr>
        <w:t xml:space="preserve"> En ese sentido, </w:t>
      </w:r>
      <w:r w:rsidR="00C752BC" w:rsidRPr="00C752BC">
        <w:rPr>
          <w:rFonts w:ascii="Arial" w:eastAsia="Calibri" w:hAnsi="Arial" w:cs="Arial"/>
          <w:color w:val="000000"/>
          <w:sz w:val="22"/>
          <w:szCs w:val="22"/>
          <w:lang w:val="es-ES" w:eastAsia="en-US"/>
        </w:rPr>
        <w:t>todo</w:t>
      </w:r>
      <w:r w:rsidR="00554F62">
        <w:rPr>
          <w:rFonts w:ascii="Arial" w:eastAsia="Calibri" w:hAnsi="Arial" w:cs="Arial"/>
          <w:color w:val="000000"/>
          <w:sz w:val="22"/>
          <w:szCs w:val="22"/>
          <w:lang w:val="es-ES" w:eastAsia="en-US"/>
        </w:rPr>
        <w:t>s</w:t>
      </w:r>
      <w:r w:rsidR="00C752BC" w:rsidRPr="00C752BC">
        <w:rPr>
          <w:rFonts w:ascii="Arial" w:eastAsia="Calibri" w:hAnsi="Arial" w:cs="Arial"/>
          <w:color w:val="000000"/>
          <w:sz w:val="22"/>
          <w:szCs w:val="22"/>
          <w:lang w:val="es-ES" w:eastAsia="en-US"/>
        </w:rPr>
        <w:t xml:space="preserve"> los bienes, obras o servicios que la entidad tenga intención de </w:t>
      </w:r>
      <w:r w:rsidR="00C752BC" w:rsidRPr="00C752BC">
        <w:rPr>
          <w:rFonts w:ascii="Arial" w:eastAsia="Calibri" w:hAnsi="Arial" w:cs="Arial"/>
          <w:i/>
          <w:iCs/>
          <w:color w:val="000000"/>
          <w:sz w:val="22"/>
          <w:szCs w:val="22"/>
          <w:lang w:val="es-ES" w:eastAsia="en-US"/>
        </w:rPr>
        <w:t>adquirir</w:t>
      </w:r>
      <w:r w:rsidR="00C752BC" w:rsidRPr="00C752BC">
        <w:rPr>
          <w:rFonts w:ascii="Arial" w:eastAsia="Calibri" w:hAnsi="Arial" w:cs="Arial"/>
          <w:color w:val="000000"/>
          <w:sz w:val="22"/>
          <w:szCs w:val="22"/>
          <w:lang w:val="es-ES" w:eastAsia="en-US"/>
        </w:rPr>
        <w:t> deben incluirse en el plan. Es decir, la obligación de incluir un contenido específico en el plan se fundamenta únicamente en que se trate de un bien, obra o servicio que la entidad pretenda </w:t>
      </w:r>
      <w:r w:rsidR="00C752BC" w:rsidRPr="00C752BC">
        <w:rPr>
          <w:rFonts w:ascii="Arial" w:eastAsia="Calibri" w:hAnsi="Arial" w:cs="Arial"/>
          <w:i/>
          <w:iCs/>
          <w:color w:val="000000"/>
          <w:sz w:val="22"/>
          <w:szCs w:val="22"/>
          <w:lang w:val="es-ES" w:eastAsia="en-US"/>
        </w:rPr>
        <w:t>adquirir. </w:t>
      </w:r>
      <w:r w:rsidR="00C752BC" w:rsidRPr="00C752BC">
        <w:rPr>
          <w:rFonts w:ascii="Arial" w:eastAsia="Calibri" w:hAnsi="Arial" w:cs="Arial"/>
          <w:color w:val="000000"/>
          <w:sz w:val="22"/>
          <w:szCs w:val="22"/>
          <w:lang w:val="es-ES" w:eastAsia="en-US"/>
        </w:rPr>
        <w:t xml:space="preserve"> De manera que, para </w:t>
      </w:r>
      <w:r w:rsidR="00841495">
        <w:rPr>
          <w:rFonts w:ascii="Arial" w:eastAsia="Calibri" w:hAnsi="Arial" w:cs="Arial"/>
          <w:color w:val="000000"/>
          <w:sz w:val="22"/>
          <w:szCs w:val="22"/>
          <w:lang w:val="es-ES" w:eastAsia="en-US"/>
        </w:rPr>
        <w:t>definir</w:t>
      </w:r>
      <w:r w:rsidR="00C752BC" w:rsidRPr="00C752BC">
        <w:rPr>
          <w:rFonts w:ascii="Arial" w:eastAsia="Calibri" w:hAnsi="Arial" w:cs="Arial"/>
          <w:color w:val="000000"/>
          <w:sz w:val="22"/>
          <w:szCs w:val="22"/>
          <w:lang w:val="es-ES" w:eastAsia="en-US"/>
        </w:rPr>
        <w:t xml:space="preserve"> si una entidad está o no obligada a incluir un contenido en particular dentro del plan anual de adquisiciones, bastará con tener claro que aquellos sean objeto de adquisición, sin consideración a la forma en que la entidad planee obtenerlos. </w:t>
      </w:r>
      <w:r w:rsidR="00C752BC" w:rsidRPr="00C752BC">
        <w:rPr>
          <w:rFonts w:ascii="Arial" w:eastAsia="Calibri" w:hAnsi="Arial" w:cs="Arial"/>
          <w:color w:val="000000"/>
          <w:sz w:val="22"/>
          <w:szCs w:val="22"/>
          <w:lang w:eastAsia="en-US"/>
        </w:rPr>
        <w:t> </w:t>
      </w:r>
    </w:p>
    <w:p w14:paraId="7F9EA94F" w14:textId="6600429C" w:rsidR="00FC2F20" w:rsidRPr="00841495" w:rsidRDefault="00841495" w:rsidP="003A7107">
      <w:pPr>
        <w:spacing w:after="120" w:line="276" w:lineRule="auto"/>
        <w:ind w:firstLine="708"/>
        <w:jc w:val="both"/>
        <w:rPr>
          <w:rFonts w:ascii="Arial" w:eastAsia="Calibri" w:hAnsi="Arial" w:cs="Arial"/>
          <w:color w:val="000000"/>
          <w:sz w:val="28"/>
          <w:szCs w:val="28"/>
          <w:lang w:eastAsia="en-US"/>
        </w:rPr>
      </w:pPr>
      <w:r>
        <w:rPr>
          <w:rFonts w:ascii="Arial" w:eastAsia="Calibri" w:hAnsi="Arial" w:cs="Arial"/>
          <w:sz w:val="22"/>
          <w:szCs w:val="22"/>
          <w:lang w:val="es-MX" w:eastAsia="en-US"/>
        </w:rPr>
        <w:t>De igual forma,</w:t>
      </w:r>
      <w:r w:rsidR="00C752BC" w:rsidRPr="00EF0CA6">
        <w:rPr>
          <w:rFonts w:ascii="Arial" w:eastAsia="Calibri" w:hAnsi="Arial" w:cs="Arial"/>
          <w:sz w:val="22"/>
          <w:szCs w:val="22"/>
          <w:lang w:val="es-MX" w:eastAsia="en-US"/>
        </w:rPr>
        <w:t xml:space="preserve"> todas las modalidades de contratación deberán ser incluidas en el Plan Anual de Adquisiciones, porque la norma señala que deben incluirse todas las necesidades de contratación, sin importar que generen o no erogación, la fecha aproximada en que se iniciará el proceso de contratación y, en general, para todo el contenido del plan. </w:t>
      </w:r>
      <w:r w:rsidR="00C752BC" w:rsidRPr="00EF0CA6">
        <w:rPr>
          <w:rFonts w:ascii="Arial" w:eastAsia="Calibri" w:hAnsi="Arial" w:cs="Arial"/>
          <w:color w:val="000000"/>
          <w:sz w:val="22"/>
          <w:szCs w:val="22"/>
          <w:lang w:val="es-ES" w:eastAsia="en-US"/>
        </w:rPr>
        <w:lastRenderedPageBreak/>
        <w:t>Incluso, por esta misma razón, es innecesaria la identidad entre el valor señalado en el plan y el monto por el cual finalmente se suscribe el contrato, pues</w:t>
      </w:r>
      <w:r w:rsidR="00C752BC" w:rsidRPr="00C752BC">
        <w:rPr>
          <w:rFonts w:ascii="Arial" w:eastAsia="Calibri" w:hAnsi="Arial" w:cs="Arial"/>
          <w:color w:val="000000"/>
          <w:sz w:val="22"/>
          <w:szCs w:val="22"/>
          <w:lang w:val="es-ES" w:eastAsia="en-US"/>
        </w:rPr>
        <w:t xml:space="preserve"> </w:t>
      </w:r>
      <w:r w:rsidR="00C752BC" w:rsidRPr="00EF0CA6">
        <w:rPr>
          <w:rFonts w:ascii="Arial" w:eastAsia="Calibri" w:hAnsi="Arial" w:cs="Arial"/>
          <w:color w:val="000000"/>
          <w:sz w:val="22"/>
          <w:szCs w:val="22"/>
          <w:lang w:val="es-ES" w:eastAsia="en-US"/>
        </w:rPr>
        <w:t>lo usual es que luego de realizar el procedimiento de selección, el valor del ofrecimiento beneficiado con la adjudicación sea el valor por el que finalmente se suscribe el contrato</w:t>
      </w:r>
      <w:r w:rsidR="00C752BC" w:rsidRPr="00C752BC">
        <w:rPr>
          <w:rFonts w:ascii="Arial" w:eastAsia="Calibri" w:hAnsi="Arial" w:cs="Arial"/>
          <w:color w:val="000000"/>
          <w:sz w:val="22"/>
          <w:szCs w:val="22"/>
          <w:lang w:val="es-ES" w:eastAsia="en-US"/>
        </w:rPr>
        <w:t xml:space="preserve">. Por lo tanto, en el Plan Anual de </w:t>
      </w:r>
      <w:r w:rsidR="00C752BC" w:rsidRPr="00C752BC">
        <w:rPr>
          <w:rFonts w:ascii="Arial" w:eastAsia="Calibri" w:hAnsi="Arial" w:cs="Arial"/>
          <w:color w:val="000000"/>
          <w:sz w:val="22"/>
          <w:szCs w:val="22"/>
          <w:lang w:eastAsia="en-US"/>
        </w:rPr>
        <w:t>de Adquisiciones se debe registrar todo tipo de contrato independientemente de que se ejecuten recursos públicos a través de él o no.</w:t>
      </w:r>
    </w:p>
    <w:p w14:paraId="350C9075" w14:textId="505A1AA4" w:rsidR="00A35361" w:rsidRPr="00A35361" w:rsidRDefault="00841495" w:rsidP="003A7107">
      <w:pPr>
        <w:spacing w:after="120" w:line="276" w:lineRule="auto"/>
        <w:ind w:firstLine="708"/>
        <w:jc w:val="both"/>
        <w:rPr>
          <w:rFonts w:ascii="Arial" w:eastAsia="Calibri" w:hAnsi="Arial" w:cs="Arial"/>
          <w:sz w:val="22"/>
          <w:szCs w:val="22"/>
          <w:lang w:val="es-MX" w:eastAsia="en-US"/>
        </w:rPr>
      </w:pPr>
      <w:r>
        <w:rPr>
          <w:rFonts w:ascii="Arial" w:eastAsia="Calibri" w:hAnsi="Arial" w:cs="Arial"/>
          <w:color w:val="000000"/>
          <w:sz w:val="22"/>
          <w:szCs w:val="22"/>
          <w:lang w:eastAsia="en-US"/>
        </w:rPr>
        <w:t xml:space="preserve">Por otro lado, </w:t>
      </w:r>
      <w:r>
        <w:rPr>
          <w:rFonts w:ascii="Arial" w:eastAsia="Calibri" w:hAnsi="Arial" w:cs="Arial"/>
          <w:sz w:val="22"/>
          <w:szCs w:val="22"/>
          <w:lang w:val="es-MX" w:eastAsia="en-US"/>
        </w:rPr>
        <w:t>l</w:t>
      </w:r>
      <w:r w:rsidR="00FC2F20">
        <w:rPr>
          <w:rFonts w:ascii="Arial" w:eastAsia="Calibri" w:hAnsi="Arial" w:cs="Arial"/>
          <w:sz w:val="22"/>
          <w:szCs w:val="22"/>
          <w:lang w:val="es-MX" w:eastAsia="en-US"/>
        </w:rPr>
        <w:t>a</w:t>
      </w:r>
      <w:r w:rsidR="00A35361" w:rsidRPr="00A35361">
        <w:rPr>
          <w:rFonts w:ascii="Arial" w:eastAsia="Calibri" w:hAnsi="Arial" w:cs="Arial"/>
          <w:sz w:val="22"/>
          <w:szCs w:val="22"/>
          <w:lang w:val="es-MX" w:eastAsia="en-US"/>
        </w:rPr>
        <w:t xml:space="preserve"> publicidad de los contratos estatales debe realizarse a través de SECOP, independientemente del régimen aplicable al contrato o que este implique o no la erogación de recursos públicos, comoquiera que las referidas normas no sujetan la obligación de publicar en dicha plataforma a tales condiciones. Esto en la medida en que, independientemente de que se realice alguna erogación o se apliquen normas de derecho privado, los contratos estatales involucran un interés público, por lo que deben publicarse en el SECOP que fue el mecanismo establecido por el legislador y el reglamento para garantizar que se cumplan los principios de publicidad y transparencia respecto de los estos. En consecuencia, los contratos de comodato que tengan como parte a una entidad estatal, deberán publicarse en el SECOP independientemente del régimen aplicable o que impliquen o no erogación de recursos públicos.</w:t>
      </w:r>
    </w:p>
    <w:p w14:paraId="3E0EA0CF" w14:textId="77777777" w:rsidR="00A35361" w:rsidRPr="00A35361" w:rsidRDefault="00A35361" w:rsidP="00A35361">
      <w:pPr>
        <w:shd w:val="clear" w:color="auto" w:fill="FFFFFF"/>
        <w:spacing w:line="276" w:lineRule="auto"/>
        <w:jc w:val="both"/>
        <w:rPr>
          <w:rFonts w:ascii="Arial" w:eastAsia="Calibri" w:hAnsi="Arial" w:cs="Arial"/>
          <w:sz w:val="22"/>
          <w:szCs w:val="22"/>
          <w:lang w:val="es-MX" w:eastAsia="en-US"/>
        </w:rPr>
      </w:pPr>
    </w:p>
    <w:p w14:paraId="523C09E7" w14:textId="77777777" w:rsidR="00A35361" w:rsidRPr="00A35361" w:rsidRDefault="00A35361" w:rsidP="00A35361">
      <w:pPr>
        <w:shd w:val="clear" w:color="auto" w:fill="FFFFFF"/>
        <w:spacing w:after="120" w:line="276" w:lineRule="auto"/>
        <w:jc w:val="both"/>
        <w:rPr>
          <w:rFonts w:ascii="Arial" w:eastAsia="Calibri" w:hAnsi="Arial" w:cs="Arial"/>
          <w:sz w:val="22"/>
          <w:szCs w:val="22"/>
          <w:lang w:val="es-ES_tradnl" w:eastAsia="en-US"/>
        </w:rPr>
      </w:pPr>
      <w:r w:rsidRPr="0D6D5E88">
        <w:rPr>
          <w:rFonts w:ascii="Arial" w:eastAsia="Calibri" w:hAnsi="Arial" w:cs="Arial"/>
          <w:sz w:val="22"/>
          <w:szCs w:val="22"/>
          <w:lang w:val="es-MX" w:eastAsia="en-US"/>
        </w:rPr>
        <w:t>Este concepto tiene el alcance previsto en el artículo 28 del Código de Procedimiento Administrativo y de lo Contencioso Administrativo.</w:t>
      </w:r>
    </w:p>
    <w:p w14:paraId="72EA4EB2" w14:textId="10DFD697" w:rsidR="00A35361" w:rsidRPr="00A35361" w:rsidRDefault="0D6D5E88" w:rsidP="0D6D5E88">
      <w:pPr>
        <w:jc w:val="center"/>
        <w:rPr>
          <w:lang w:val="es-ES_tradnl" w:eastAsia="es-CO"/>
        </w:rPr>
      </w:pPr>
      <w:r>
        <w:rPr>
          <w:noProof/>
        </w:rPr>
        <w:drawing>
          <wp:inline distT="0" distB="0" distL="0" distR="0" wp14:anchorId="405D99E1" wp14:editId="3B5AB140">
            <wp:extent cx="2514600" cy="1114425"/>
            <wp:effectExtent l="0" t="0" r="0" b="0"/>
            <wp:docPr id="1674466894" name="Imagen 16744668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A35361">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A35361" w:rsidRPr="00A35361" w14:paraId="2CD75797" w14:textId="77777777" w:rsidTr="00A35361">
        <w:trPr>
          <w:trHeight w:val="315"/>
        </w:trPr>
        <w:tc>
          <w:tcPr>
            <w:tcW w:w="1044" w:type="dxa"/>
            <w:vAlign w:val="center"/>
          </w:tcPr>
          <w:p w14:paraId="21D9E6B2" w14:textId="77777777" w:rsidR="00A35361" w:rsidRPr="00A35361" w:rsidRDefault="00A35361" w:rsidP="00A35361">
            <w:pPr>
              <w:jc w:val="both"/>
              <w:rPr>
                <w:rFonts w:ascii="Arial" w:eastAsia="Calibri" w:hAnsi="Arial" w:cs="Arial"/>
                <w:sz w:val="16"/>
                <w:szCs w:val="16"/>
                <w:lang w:val="es-ES_tradnl" w:eastAsia="es-ES"/>
              </w:rPr>
            </w:pPr>
            <w:r w:rsidRPr="00A35361">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tcPr>
          <w:p w14:paraId="3F740106" w14:textId="6EFE3A40" w:rsidR="00A35361" w:rsidRPr="00A35361" w:rsidRDefault="00A35361" w:rsidP="00A35361">
            <w:pPr>
              <w:jc w:val="both"/>
              <w:rPr>
                <w:rFonts w:ascii="Arial" w:eastAsia="Calibri" w:hAnsi="Arial" w:cs="Arial"/>
                <w:sz w:val="16"/>
                <w:szCs w:val="16"/>
                <w:lang w:val="es-ES_tradnl" w:eastAsia="es-ES"/>
              </w:rPr>
            </w:pPr>
            <w:r>
              <w:rPr>
                <w:rFonts w:ascii="Arial" w:eastAsia="Calibri" w:hAnsi="Arial" w:cs="Arial"/>
                <w:sz w:val="16"/>
                <w:szCs w:val="16"/>
                <w:lang w:val="es-ES_tradnl" w:eastAsia="es-ES"/>
              </w:rPr>
              <w:t>Melissa Fernández Reinoso</w:t>
            </w:r>
          </w:p>
          <w:p w14:paraId="60580C28" w14:textId="32D17A59" w:rsidR="00A35361" w:rsidRPr="00A35361" w:rsidRDefault="00A35361" w:rsidP="00A35361">
            <w:pPr>
              <w:jc w:val="both"/>
              <w:rPr>
                <w:rFonts w:ascii="Arial" w:eastAsia="Calibri" w:hAnsi="Arial" w:cs="Arial"/>
                <w:sz w:val="16"/>
                <w:szCs w:val="16"/>
                <w:lang w:val="es-ES_tradnl" w:eastAsia="es-ES"/>
              </w:rPr>
            </w:pPr>
            <w:r>
              <w:rPr>
                <w:rFonts w:ascii="Arial" w:eastAsia="Calibri" w:hAnsi="Arial" w:cs="Arial"/>
                <w:sz w:val="16"/>
                <w:szCs w:val="16"/>
                <w:lang w:val="es-ES_tradnl" w:eastAsia="es-ES"/>
              </w:rPr>
              <w:t>Analista T2- 2</w:t>
            </w:r>
            <w:r w:rsidRPr="00A35361">
              <w:rPr>
                <w:rFonts w:ascii="Arial" w:eastAsia="Calibri" w:hAnsi="Arial" w:cs="Arial"/>
                <w:sz w:val="16"/>
                <w:szCs w:val="16"/>
                <w:lang w:val="es-ES_tradnl" w:eastAsia="es-ES"/>
              </w:rPr>
              <w:t xml:space="preserve"> de la Subdirección de Gestión Contractual</w:t>
            </w:r>
          </w:p>
        </w:tc>
      </w:tr>
      <w:tr w:rsidR="00A35361" w:rsidRPr="00A35361" w14:paraId="20C3B0B0" w14:textId="77777777" w:rsidTr="00A35361">
        <w:trPr>
          <w:trHeight w:val="330"/>
        </w:trPr>
        <w:tc>
          <w:tcPr>
            <w:tcW w:w="1044" w:type="dxa"/>
            <w:vAlign w:val="center"/>
            <w:hideMark/>
          </w:tcPr>
          <w:p w14:paraId="5C47F566" w14:textId="77777777" w:rsidR="00A35361" w:rsidRPr="00A35361" w:rsidRDefault="00A35361" w:rsidP="00A35361">
            <w:pPr>
              <w:jc w:val="both"/>
              <w:rPr>
                <w:rFonts w:ascii="Arial" w:eastAsia="Calibri" w:hAnsi="Arial" w:cs="Arial"/>
                <w:sz w:val="16"/>
                <w:szCs w:val="16"/>
                <w:lang w:val="es-ES_tradnl" w:eastAsia="es-ES"/>
              </w:rPr>
            </w:pPr>
            <w:r w:rsidRPr="00A35361">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4F9E3713" w14:textId="77777777" w:rsidR="00A35361" w:rsidRPr="00A35361" w:rsidRDefault="00A35361" w:rsidP="00A35361">
            <w:pPr>
              <w:jc w:val="both"/>
              <w:rPr>
                <w:rFonts w:ascii="Arial" w:eastAsia="Calibri" w:hAnsi="Arial" w:cs="Arial"/>
                <w:sz w:val="16"/>
                <w:szCs w:val="16"/>
                <w:lang w:val="es-ES_tradnl" w:eastAsia="es-ES"/>
              </w:rPr>
            </w:pPr>
            <w:r w:rsidRPr="00A35361">
              <w:rPr>
                <w:rFonts w:ascii="Arial" w:eastAsia="Calibri" w:hAnsi="Arial" w:cs="Arial"/>
                <w:sz w:val="16"/>
                <w:szCs w:val="16"/>
                <w:lang w:val="es-ES_tradnl" w:eastAsia="es-ES"/>
              </w:rPr>
              <w:t>Juan David Montoya Penagos</w:t>
            </w:r>
          </w:p>
          <w:p w14:paraId="03B3B8C3" w14:textId="197EEDFE" w:rsidR="00A35361" w:rsidRPr="00A35361" w:rsidRDefault="00A35361" w:rsidP="00A35361">
            <w:pPr>
              <w:jc w:val="both"/>
              <w:rPr>
                <w:rFonts w:ascii="Arial" w:eastAsia="Calibri" w:hAnsi="Arial" w:cs="Arial"/>
                <w:sz w:val="16"/>
                <w:szCs w:val="16"/>
                <w:lang w:val="es-ES_tradnl" w:eastAsia="es-ES"/>
              </w:rPr>
            </w:pPr>
            <w:r w:rsidRPr="00A35361">
              <w:rPr>
                <w:rFonts w:ascii="Arial" w:eastAsia="Calibri" w:hAnsi="Arial" w:cs="Arial"/>
                <w:sz w:val="16"/>
                <w:szCs w:val="16"/>
                <w:lang w:val="es-ES_tradnl" w:eastAsia="es-ES"/>
              </w:rPr>
              <w:t xml:space="preserve">Gestor T1-15 de la </w:t>
            </w:r>
            <w:r w:rsidR="00026545" w:rsidRPr="00A35361">
              <w:rPr>
                <w:rFonts w:ascii="Arial" w:eastAsia="Calibri" w:hAnsi="Arial" w:cs="Arial"/>
                <w:sz w:val="16"/>
                <w:szCs w:val="16"/>
                <w:lang w:val="es-ES_tradnl" w:eastAsia="es-ES"/>
              </w:rPr>
              <w:t>Subdirección de Gestión Contractual</w:t>
            </w:r>
            <w:r w:rsidR="00026545" w:rsidRPr="00A35361" w:rsidDel="00026545">
              <w:rPr>
                <w:rFonts w:ascii="Arial" w:eastAsia="Calibri" w:hAnsi="Arial" w:cs="Arial"/>
                <w:sz w:val="16"/>
                <w:szCs w:val="16"/>
                <w:lang w:val="es-ES_tradnl" w:eastAsia="es-ES"/>
              </w:rPr>
              <w:t xml:space="preserve"> </w:t>
            </w:r>
          </w:p>
        </w:tc>
      </w:tr>
      <w:tr w:rsidR="00A35361" w:rsidRPr="00A35361" w14:paraId="2627C127" w14:textId="77777777" w:rsidTr="00A35361">
        <w:trPr>
          <w:trHeight w:val="300"/>
        </w:trPr>
        <w:tc>
          <w:tcPr>
            <w:tcW w:w="1044" w:type="dxa"/>
            <w:vAlign w:val="center"/>
            <w:hideMark/>
          </w:tcPr>
          <w:p w14:paraId="0E5E0AFC" w14:textId="77777777" w:rsidR="00A35361" w:rsidRPr="00A35361" w:rsidRDefault="00A35361" w:rsidP="00A35361">
            <w:pPr>
              <w:jc w:val="both"/>
              <w:rPr>
                <w:rFonts w:ascii="Arial" w:eastAsia="Calibri" w:hAnsi="Arial" w:cs="Arial"/>
                <w:sz w:val="16"/>
                <w:szCs w:val="16"/>
                <w:lang w:val="es-ES_tradnl" w:eastAsia="es-ES"/>
              </w:rPr>
            </w:pPr>
            <w:r w:rsidRPr="00A35361">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8D81E1E" w14:textId="77777777" w:rsidR="00A35361" w:rsidRPr="00A35361" w:rsidRDefault="00A35361" w:rsidP="00A35361">
            <w:pPr>
              <w:jc w:val="both"/>
              <w:rPr>
                <w:rFonts w:ascii="Arial" w:eastAsia="Calibri" w:hAnsi="Arial" w:cs="Arial"/>
                <w:sz w:val="16"/>
                <w:szCs w:val="16"/>
                <w:lang w:val="es-ES_tradnl" w:eastAsia="es-ES"/>
              </w:rPr>
            </w:pPr>
            <w:r w:rsidRPr="00A35361">
              <w:rPr>
                <w:rFonts w:ascii="Arial" w:eastAsia="Calibri" w:hAnsi="Arial" w:cs="Arial"/>
                <w:sz w:val="16"/>
                <w:szCs w:val="16"/>
                <w:lang w:val="es-ES_tradnl" w:eastAsia="es-ES"/>
              </w:rPr>
              <w:t>Jorge Augusto Tirado Navarro</w:t>
            </w:r>
          </w:p>
          <w:p w14:paraId="2608440F" w14:textId="77777777" w:rsidR="00A35361" w:rsidRPr="00A35361" w:rsidRDefault="00A35361" w:rsidP="00A35361">
            <w:pPr>
              <w:jc w:val="both"/>
              <w:rPr>
                <w:rFonts w:ascii="Arial" w:eastAsia="Calibri" w:hAnsi="Arial" w:cs="Arial"/>
                <w:sz w:val="16"/>
                <w:szCs w:val="16"/>
                <w:lang w:val="es-ES_tradnl" w:eastAsia="es-ES"/>
              </w:rPr>
            </w:pPr>
            <w:r w:rsidRPr="00A35361">
              <w:rPr>
                <w:rFonts w:ascii="Arial" w:eastAsia="Calibri" w:hAnsi="Arial" w:cs="Arial"/>
                <w:sz w:val="16"/>
                <w:szCs w:val="16"/>
                <w:lang w:val="es-ES_tradnl" w:eastAsia="es-ES"/>
              </w:rPr>
              <w:t>Subdirector de Gestión Contractual ANCP – CCE</w:t>
            </w:r>
          </w:p>
        </w:tc>
      </w:tr>
    </w:tbl>
    <w:p w14:paraId="5E29B681" w14:textId="77777777" w:rsidR="00A35361" w:rsidRPr="00A35361" w:rsidRDefault="00A35361" w:rsidP="00A35361">
      <w:pPr>
        <w:spacing w:before="120" w:after="120" w:line="276" w:lineRule="auto"/>
        <w:jc w:val="both"/>
        <w:rPr>
          <w:rFonts w:ascii="Arial" w:hAnsi="Arial" w:cs="Arial"/>
          <w:sz w:val="18"/>
          <w:szCs w:val="18"/>
          <w:lang w:val="es-ES_tradnl" w:eastAsia="es-CO"/>
        </w:rPr>
      </w:pPr>
    </w:p>
    <w:p w14:paraId="7CB9E0D0" w14:textId="77777777" w:rsidR="00A35361" w:rsidRPr="00A35361" w:rsidRDefault="00A35361">
      <w:pPr>
        <w:rPr>
          <w:lang w:val="es-ES_tradnl"/>
        </w:rPr>
      </w:pPr>
    </w:p>
    <w:sectPr w:rsidR="00A35361" w:rsidRPr="00A353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BC20" w14:textId="77777777" w:rsidR="00AC453B" w:rsidRDefault="00AC453B" w:rsidP="004F398F">
      <w:r>
        <w:separator/>
      </w:r>
    </w:p>
  </w:endnote>
  <w:endnote w:type="continuationSeparator" w:id="0">
    <w:p w14:paraId="6935A706" w14:textId="77777777" w:rsidR="00AC453B" w:rsidRDefault="00AC453B" w:rsidP="004F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E13A" w14:textId="77777777" w:rsidR="00AC453B" w:rsidRDefault="00AC453B" w:rsidP="004F398F">
      <w:r>
        <w:separator/>
      </w:r>
    </w:p>
  </w:footnote>
  <w:footnote w:type="continuationSeparator" w:id="0">
    <w:p w14:paraId="3823BB1B" w14:textId="77777777" w:rsidR="00AC453B" w:rsidRDefault="00AC453B" w:rsidP="004F398F">
      <w:r>
        <w:continuationSeparator/>
      </w:r>
    </w:p>
  </w:footnote>
  <w:footnote w:id="1">
    <w:p w14:paraId="5B1B7301" w14:textId="77777777" w:rsidR="00D00C40" w:rsidRPr="004D7944" w:rsidRDefault="00D00C40" w:rsidP="00D00C40">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4717C9E6" w14:textId="77777777" w:rsidR="00D00C40" w:rsidRPr="004D7944" w:rsidRDefault="00D00C40" w:rsidP="00D00C40">
      <w:pPr>
        <w:pStyle w:val="Textonotapie"/>
        <w:ind w:firstLine="708"/>
        <w:jc w:val="both"/>
        <w:rPr>
          <w:rFonts w:ascii="Arial" w:hAnsi="Arial" w:cs="Arial"/>
          <w:sz w:val="19"/>
          <w:szCs w:val="19"/>
          <w:lang w:val="es-ES"/>
        </w:rPr>
      </w:pPr>
      <w:r w:rsidRPr="004D7944">
        <w:rPr>
          <w:rFonts w:ascii="Arial" w:hAnsi="Arial" w:cs="Arial"/>
          <w:sz w:val="19"/>
          <w:szCs w:val="19"/>
          <w:lang w:val="es-ES"/>
        </w:rPr>
        <w:t>»A partir del año siguiente, el Plan de Acción deberá estar acompañado del informe de gestión del año inmediatamente anterior.</w:t>
      </w:r>
    </w:p>
    <w:p w14:paraId="76A962E7" w14:textId="77777777" w:rsidR="00D00C40" w:rsidRPr="004D7944" w:rsidRDefault="00D00C40" w:rsidP="00D00C40">
      <w:pPr>
        <w:pStyle w:val="Textonotapie"/>
        <w:ind w:firstLine="708"/>
        <w:jc w:val="both"/>
        <w:rPr>
          <w:rFonts w:ascii="Arial" w:hAnsi="Arial" w:cs="Arial"/>
          <w:sz w:val="19"/>
          <w:szCs w:val="19"/>
          <w:lang w:val="es-ES"/>
        </w:rPr>
      </w:pPr>
      <w:r w:rsidRPr="004D7944">
        <w:rPr>
          <w:rFonts w:ascii="Arial" w:hAnsi="Arial" w:cs="Arial"/>
          <w:sz w:val="19"/>
          <w:szCs w:val="19"/>
          <w:lang w:val="es-ES"/>
        </w:rPr>
        <w:t>»Igualmente publicarán por dicho medio su presupuesto debidamente desagregado, así como las modificaciones a este o a su desagregación.</w:t>
      </w:r>
      <w:r w:rsidRPr="004D7944">
        <w:rPr>
          <w:rFonts w:ascii="Arial" w:hAnsi="Arial" w:cs="Arial"/>
          <w:sz w:val="19"/>
          <w:szCs w:val="19"/>
          <w:lang w:val="es-ES"/>
        </w:rPr>
        <w:tab/>
      </w:r>
    </w:p>
    <w:p w14:paraId="63DC06FD" w14:textId="2D71B994" w:rsidR="00D00C40" w:rsidRPr="004D7944" w:rsidRDefault="00D00C40" w:rsidP="00FE126D">
      <w:pPr>
        <w:pStyle w:val="Textonotapie"/>
        <w:ind w:firstLine="708"/>
        <w:jc w:val="both"/>
        <w:rPr>
          <w:rFonts w:ascii="Arial" w:hAnsi="Arial" w:cs="Arial"/>
          <w:sz w:val="19"/>
          <w:szCs w:val="19"/>
          <w:lang w:val="es-ES"/>
        </w:rPr>
      </w:pPr>
      <w:r w:rsidRPr="00416308">
        <w:rPr>
          <w:rFonts w:ascii="Arial" w:hAnsi="Arial" w:cs="Arial"/>
          <w:sz w:val="19"/>
          <w:szCs w:val="19"/>
          <w:lang w:val="es-ES"/>
        </w:rPr>
        <w:t>»Parágrafo.</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footnote>
  <w:footnote w:id="2">
    <w:p w14:paraId="0B05054F" w14:textId="77777777" w:rsidR="00D00C40" w:rsidRPr="004D7944" w:rsidRDefault="00D00C40" w:rsidP="00D00C40">
      <w:pPr>
        <w:pStyle w:val="Textonotapie"/>
        <w:ind w:firstLine="709"/>
        <w:jc w:val="both"/>
        <w:rPr>
          <w:rFonts w:ascii="Arial" w:hAnsi="Arial" w:cs="Arial"/>
          <w:color w:val="000000" w:themeColor="text1"/>
          <w:sz w:val="19"/>
          <w:szCs w:val="19"/>
          <w:shd w:val="clear" w:color="auto" w:fill="FFFFFF"/>
        </w:rPr>
      </w:pPr>
      <w:r w:rsidRPr="004D7944">
        <w:rPr>
          <w:rStyle w:val="Refdenotaalpie"/>
          <w:rFonts w:ascii="Arial" w:hAnsi="Arial" w:cs="Arial"/>
          <w:color w:val="000000" w:themeColor="text1"/>
          <w:sz w:val="19"/>
          <w:szCs w:val="19"/>
        </w:rPr>
        <w:footnoteRef/>
      </w:r>
      <w:r w:rsidRPr="004D7944">
        <w:rPr>
          <w:rFonts w:ascii="Arial" w:hAnsi="Arial" w:cs="Arial"/>
          <w:color w:val="000000" w:themeColor="text1"/>
          <w:sz w:val="19"/>
          <w:szCs w:val="19"/>
        </w:rPr>
        <w:t xml:space="preserve"> </w:t>
      </w:r>
      <w:r w:rsidRPr="00416308">
        <w:rPr>
          <w:rFonts w:ascii="Arial" w:hAnsi="Arial" w:cs="Arial"/>
          <w:color w:val="000000" w:themeColor="text1"/>
          <w:sz w:val="19"/>
          <w:szCs w:val="19"/>
        </w:rPr>
        <w:t>«</w:t>
      </w:r>
      <w:r w:rsidRPr="004D7944">
        <w:rPr>
          <w:rStyle w:val="Textoennegrita"/>
          <w:rFonts w:ascii="Arial" w:hAnsi="Arial" w:cs="Arial"/>
          <w:color w:val="000000" w:themeColor="text1"/>
          <w:sz w:val="19"/>
          <w:szCs w:val="19"/>
          <w:shd w:val="clear" w:color="auto" w:fill="FFFFFF"/>
        </w:rPr>
        <w:t>Artículo 2.2.1.1.1.3.1.</w:t>
      </w:r>
      <w:r w:rsidRPr="00416308">
        <w:rPr>
          <w:rStyle w:val="Textoennegrita"/>
          <w:rFonts w:ascii="Arial" w:hAnsi="Arial" w:cs="Arial"/>
          <w:color w:val="000000" w:themeColor="text1"/>
          <w:sz w:val="19"/>
          <w:szCs w:val="19"/>
          <w:shd w:val="clear" w:color="auto" w:fill="FFFFFF"/>
        </w:rPr>
        <w:t> </w:t>
      </w:r>
      <w:r w:rsidRPr="00416308">
        <w:rPr>
          <w:rStyle w:val="nfasis"/>
          <w:rFonts w:ascii="Arial" w:hAnsi="Arial" w:cs="Arial"/>
          <w:color w:val="000000" w:themeColor="text1"/>
          <w:sz w:val="19"/>
          <w:szCs w:val="19"/>
          <w:shd w:val="clear" w:color="auto" w:fill="FFFFFF"/>
        </w:rPr>
        <w:t>Definiciones. </w:t>
      </w:r>
      <w:r w:rsidRPr="004D794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AA962AB" w14:textId="77777777" w:rsidR="00D00C40" w:rsidRPr="004D7944" w:rsidRDefault="00D00C40" w:rsidP="00D00C40">
      <w:pPr>
        <w:pStyle w:val="Textonotapie"/>
        <w:ind w:firstLine="709"/>
        <w:jc w:val="both"/>
        <w:rPr>
          <w:rFonts w:ascii="Arial" w:hAnsi="Arial" w:cs="Arial"/>
          <w:color w:val="000000" w:themeColor="text1"/>
          <w:sz w:val="19"/>
          <w:szCs w:val="19"/>
          <w:shd w:val="clear" w:color="auto" w:fill="FFFFFF"/>
        </w:rPr>
      </w:pPr>
      <w:r w:rsidRPr="004D7944">
        <w:rPr>
          <w:rFonts w:ascii="Arial" w:hAnsi="Arial" w:cs="Arial"/>
          <w:color w:val="000000" w:themeColor="text1"/>
          <w:sz w:val="19"/>
          <w:szCs w:val="19"/>
          <w:shd w:val="clear" w:color="auto" w:fill="FFFFFF"/>
        </w:rPr>
        <w:t>[…]</w:t>
      </w:r>
    </w:p>
    <w:p w14:paraId="0831B947" w14:textId="245DBA32" w:rsidR="00D00C40" w:rsidRPr="004D7944" w:rsidRDefault="00D00C40" w:rsidP="00FE126D">
      <w:pPr>
        <w:pStyle w:val="NormalWeb"/>
        <w:shd w:val="clear" w:color="auto" w:fill="FFFFFF"/>
        <w:ind w:firstLine="709"/>
        <w:jc w:val="both"/>
        <w:rPr>
          <w:rFonts w:ascii="Arial" w:hAnsi="Arial" w:cs="Arial"/>
          <w:color w:val="000000" w:themeColor="text1"/>
          <w:sz w:val="19"/>
          <w:szCs w:val="19"/>
        </w:rPr>
      </w:pPr>
      <w:r w:rsidRPr="00416308">
        <w:rPr>
          <w:rStyle w:val="nfasis"/>
          <w:rFonts w:ascii="Arial" w:hAnsi="Arial" w:cs="Arial"/>
          <w:color w:val="000000" w:themeColor="text1"/>
          <w:sz w:val="19"/>
          <w:szCs w:val="19"/>
        </w:rPr>
        <w:t>»Plan Anual de Adquisiciones: </w:t>
      </w:r>
      <w:r w:rsidRPr="004D7944">
        <w:rPr>
          <w:rFonts w:ascii="Arial" w:hAnsi="Arial" w:cs="Arial"/>
          <w:color w:val="000000" w:themeColor="text1"/>
          <w:sz w:val="19"/>
          <w:szCs w:val="19"/>
        </w:rPr>
        <w:t>Plan general de compras al que se refiere el </w:t>
      </w:r>
      <w:hyperlink r:id="rId1" w:history="1">
        <w:r w:rsidRPr="004D7944">
          <w:rPr>
            <w:rStyle w:val="Hipervnculo"/>
            <w:rFonts w:ascii="Arial" w:hAnsi="Arial" w:cs="Arial"/>
            <w:color w:val="000000" w:themeColor="text1"/>
            <w:sz w:val="19"/>
            <w:szCs w:val="19"/>
          </w:rPr>
          <w:t>artículo 74 de la Ley 1474 de 2011</w:t>
        </w:r>
      </w:hyperlink>
      <w:r w:rsidRPr="004D794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footnote>
  <w:footnote w:id="3">
    <w:p w14:paraId="769D7FC1" w14:textId="77777777" w:rsidR="00D00C40" w:rsidRPr="00205753" w:rsidRDefault="00D00C40" w:rsidP="00D00C40">
      <w:pPr>
        <w:pStyle w:val="NormalWeb"/>
        <w:shd w:val="clear" w:color="auto" w:fill="FFFFFF"/>
        <w:ind w:firstLine="709"/>
        <w:jc w:val="both"/>
        <w:rPr>
          <w:rStyle w:val="nfasis"/>
          <w:rFonts w:ascii="Arial" w:hAnsi="Arial" w:cs="Arial"/>
          <w:i w:val="0"/>
          <w:iCs w:val="0"/>
          <w:color w:val="000000" w:themeColor="text1"/>
          <w:sz w:val="19"/>
          <w:szCs w:val="19"/>
        </w:rPr>
      </w:pPr>
      <w:r w:rsidRPr="00205753">
        <w:rPr>
          <w:rStyle w:val="Refdenotaalpie"/>
          <w:rFonts w:ascii="Arial" w:hAnsi="Arial" w:cs="Arial"/>
          <w:color w:val="000000" w:themeColor="text1"/>
          <w:sz w:val="19"/>
          <w:szCs w:val="19"/>
        </w:rPr>
        <w:footnoteRef/>
      </w:r>
      <w:r w:rsidRPr="00205753">
        <w:rPr>
          <w:rFonts w:ascii="Arial" w:hAnsi="Arial" w:cs="Arial"/>
          <w:color w:val="000000" w:themeColor="text1"/>
          <w:sz w:val="19"/>
          <w:szCs w:val="19"/>
        </w:rPr>
        <w:t xml:space="preserve"> </w:t>
      </w:r>
      <w:r w:rsidRPr="00205753">
        <w:rPr>
          <w:rFonts w:ascii="Arial" w:hAnsi="Arial" w:cs="Arial"/>
          <w:b/>
          <w:color w:val="000000" w:themeColor="text1"/>
          <w:sz w:val="19"/>
          <w:szCs w:val="19"/>
        </w:rPr>
        <w:t>«</w:t>
      </w:r>
      <w:r w:rsidRPr="00205753">
        <w:rPr>
          <w:rStyle w:val="nfasis"/>
          <w:rFonts w:ascii="Arial" w:hAnsi="Arial" w:cs="Arial"/>
          <w:color w:val="000000" w:themeColor="text1"/>
          <w:sz w:val="19"/>
          <w:szCs w:val="19"/>
        </w:rPr>
        <w:t>Todo sujeto obligado deberá publicar la siguiente información mínima obligatoria de manera proactiva en los sistemas de información del Estado o herramientas que lo sustituyan:</w:t>
      </w:r>
    </w:p>
    <w:p w14:paraId="133AFA57" w14:textId="77777777" w:rsidR="00D00C40" w:rsidRPr="00205753" w:rsidRDefault="00D00C40" w:rsidP="00D00C40">
      <w:pPr>
        <w:pStyle w:val="NormalWeb"/>
        <w:shd w:val="clear" w:color="auto" w:fill="FFFFFF"/>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w:t>
      </w:r>
    </w:p>
    <w:p w14:paraId="58A28C62" w14:textId="77777777" w:rsidR="00D00C40" w:rsidRPr="00205753" w:rsidRDefault="00D00C40" w:rsidP="00D00C40">
      <w:pPr>
        <w:pStyle w:val="NormalWeb"/>
        <w:shd w:val="clear" w:color="auto" w:fill="FFFFFF"/>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05753">
        <w:rPr>
          <w:rFonts w:ascii="Arial" w:hAnsi="Arial" w:cs="Arial"/>
          <w:color w:val="000000" w:themeColor="text1"/>
          <w:sz w:val="19"/>
          <w:szCs w:val="19"/>
        </w:rPr>
        <w:t>»</w:t>
      </w:r>
      <w:r w:rsidRPr="00205753">
        <w:rPr>
          <w:rStyle w:val="nfasis"/>
          <w:rFonts w:ascii="Arial" w:hAnsi="Arial" w:cs="Arial"/>
          <w:color w:val="000000" w:themeColor="text1"/>
          <w:sz w:val="19"/>
          <w:szCs w:val="19"/>
        </w:rPr>
        <w:t>.</w:t>
      </w:r>
    </w:p>
  </w:footnote>
  <w:footnote w:id="4">
    <w:p w14:paraId="4DB857B1" w14:textId="4E1B4119" w:rsidR="00FE126D" w:rsidRPr="00205753" w:rsidRDefault="00FE126D" w:rsidP="00FE126D">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footnote>
  <w:footnote w:id="5">
    <w:p w14:paraId="3408F213" w14:textId="77777777" w:rsidR="00FE126D" w:rsidRPr="00205753" w:rsidRDefault="00FE126D" w:rsidP="00FE126D">
      <w:pPr>
        <w:pStyle w:val="NormalWeb"/>
        <w:shd w:val="clear" w:color="auto" w:fill="FFFFFF"/>
        <w:ind w:firstLine="708"/>
        <w:jc w:val="both"/>
        <w:rPr>
          <w:rFonts w:ascii="Arial" w:eastAsiaTheme="minorHAnsi" w:hAnsi="Arial" w:cs="Arial"/>
          <w:sz w:val="19"/>
          <w:szCs w:val="19"/>
          <w:lang w:val="es-MX" w:eastAsia="en-US"/>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46DF435E" w14:textId="22E8765D" w:rsidR="00FE126D" w:rsidRPr="000B0E61" w:rsidRDefault="00FE126D" w:rsidP="00FE126D">
      <w:pPr>
        <w:pStyle w:val="NormalWeb"/>
        <w:shd w:val="clear" w:color="auto" w:fill="FFFFFF"/>
        <w:ind w:firstLine="708"/>
        <w:jc w:val="both"/>
        <w:rPr>
          <w:rFonts w:ascii="Arial" w:eastAsiaTheme="minorHAnsi" w:hAnsi="Arial" w:cs="Arial"/>
          <w:sz w:val="19"/>
          <w:szCs w:val="19"/>
          <w:lang w:val="es-MX" w:eastAsia="en-US"/>
        </w:rPr>
      </w:pPr>
      <w:r w:rsidRPr="00205753">
        <w:rPr>
          <w:rFonts w:ascii="Arial" w:eastAsiaTheme="minorHAnsi" w:hAnsi="Arial" w:cs="Arial"/>
          <w:sz w:val="19"/>
          <w:szCs w:val="19"/>
          <w:lang w:val="es-MX" w:eastAsia="en-US"/>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footnote>
  <w:footnote w:id="6">
    <w:p w14:paraId="7E285AC4" w14:textId="77777777" w:rsidR="00FE126D" w:rsidRPr="009A7EAF" w:rsidRDefault="00FE126D" w:rsidP="00FE126D">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 w:id="7">
    <w:p w14:paraId="11728D7C" w14:textId="77777777" w:rsidR="00EF0A61" w:rsidRPr="00EF0A61" w:rsidRDefault="00EF0A61" w:rsidP="00EF0A61">
      <w:pPr>
        <w:pStyle w:val="Textonotapie"/>
        <w:ind w:firstLine="708"/>
        <w:jc w:val="both"/>
        <w:rPr>
          <w:rFonts w:ascii="Arial" w:hAnsi="Arial" w:cs="Arial"/>
          <w:color w:val="000000"/>
          <w:sz w:val="18"/>
          <w:szCs w:val="18"/>
        </w:rPr>
      </w:pPr>
      <w:r w:rsidRPr="00EF0A61">
        <w:rPr>
          <w:rStyle w:val="Refdenotaalpie"/>
          <w:rFonts w:ascii="Arial" w:hAnsi="Arial" w:cs="Arial"/>
          <w:color w:val="000000"/>
          <w:sz w:val="18"/>
          <w:szCs w:val="18"/>
        </w:rPr>
        <w:footnoteRef/>
      </w:r>
      <w:r w:rsidRPr="00EF0A61">
        <w:rPr>
          <w:rFonts w:ascii="Arial" w:hAnsi="Arial" w:cs="Arial"/>
          <w:color w:val="000000"/>
          <w:sz w:val="18"/>
          <w:szCs w:val="18"/>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2AA8FAE" w14:textId="77777777" w:rsidR="00EF0A61" w:rsidRPr="00EF0A61" w:rsidRDefault="00EF0A61" w:rsidP="00EF0A61">
      <w:pPr>
        <w:ind w:firstLine="708"/>
        <w:jc w:val="both"/>
        <w:rPr>
          <w:rFonts w:ascii="Arial" w:hAnsi="Arial" w:cs="Arial"/>
          <w:color w:val="000000"/>
          <w:sz w:val="18"/>
          <w:szCs w:val="18"/>
        </w:rPr>
      </w:pPr>
      <w:r w:rsidRPr="00EF0A61">
        <w:rPr>
          <w:rFonts w:ascii="Arial" w:hAnsi="Arial" w:cs="Arial"/>
          <w:color w:val="000000"/>
          <w:sz w:val="18"/>
          <w:szCs w:val="18"/>
        </w:rPr>
        <w:t>»Lo anterior, sin perjuicio de las publicaciones previstas en el numeral 3 del artículo 30 de la Ley 80 de 1993.</w:t>
      </w:r>
    </w:p>
    <w:p w14:paraId="14570AE9" w14:textId="77777777" w:rsidR="00EF0A61" w:rsidRPr="00EF0A61" w:rsidRDefault="00EF0A61" w:rsidP="00EF0A61">
      <w:pPr>
        <w:pStyle w:val="Textonotapie"/>
        <w:ind w:firstLine="708"/>
        <w:jc w:val="both"/>
        <w:rPr>
          <w:rFonts w:ascii="Arial" w:hAnsi="Arial" w:cs="Arial"/>
          <w:color w:val="000000"/>
          <w:sz w:val="18"/>
          <w:szCs w:val="18"/>
        </w:rPr>
      </w:pPr>
      <w:r w:rsidRPr="00EF0A61">
        <w:rPr>
          <w:rFonts w:ascii="Arial" w:hAnsi="Arial" w:cs="Arial"/>
          <w:color w:val="000000"/>
          <w:sz w:val="18"/>
          <w:szCs w:val="18"/>
        </w:rPr>
        <w:t>»Con el fin de materializar los objetivos a que se refiere el inciso anterior, el Gobierno Nacional desarrollará el Sistema Electrónico para la Contratación Pública, Secop, el cual:</w:t>
      </w:r>
    </w:p>
    <w:p w14:paraId="6A4A5A7E" w14:textId="77777777" w:rsidR="00EF0A61" w:rsidRPr="00EF0A61" w:rsidRDefault="00EF0A61" w:rsidP="00EF0A61">
      <w:pPr>
        <w:pStyle w:val="Textonotapie"/>
        <w:ind w:firstLine="708"/>
        <w:jc w:val="both"/>
        <w:rPr>
          <w:rFonts w:ascii="Arial" w:hAnsi="Arial" w:cs="Arial"/>
          <w:color w:val="000000"/>
          <w:sz w:val="18"/>
          <w:szCs w:val="18"/>
        </w:rPr>
      </w:pPr>
      <w:r w:rsidRPr="00EF0A61">
        <w:rPr>
          <w:rFonts w:ascii="Arial" w:hAnsi="Arial" w:cs="Arial"/>
          <w:color w:val="000000"/>
          <w:sz w:val="18"/>
          <w:szCs w:val="18"/>
        </w:rPr>
        <w:t>»a) Dispondrá de las funcionalidades tecnológicas para realizar procesos de contratación electrónicos bajo los métodos de selección señalados en el artículo 2o de la presente ley según lo defina el reglamento;</w:t>
      </w:r>
    </w:p>
    <w:p w14:paraId="417E8969" w14:textId="77777777" w:rsidR="00EF0A61" w:rsidRPr="00EF0A61" w:rsidRDefault="00EF0A61" w:rsidP="00EF0A61">
      <w:pPr>
        <w:pStyle w:val="Textonotapie"/>
        <w:ind w:firstLine="708"/>
        <w:jc w:val="both"/>
        <w:rPr>
          <w:rFonts w:ascii="Arial" w:hAnsi="Arial" w:cs="Arial"/>
          <w:color w:val="000000"/>
          <w:sz w:val="18"/>
          <w:szCs w:val="18"/>
        </w:rPr>
      </w:pPr>
      <w:r w:rsidRPr="00EF0A61">
        <w:rPr>
          <w:rFonts w:ascii="Arial" w:hAnsi="Arial" w:cs="Arial"/>
          <w:color w:val="000000"/>
          <w:sz w:val="18"/>
          <w:szCs w:val="18"/>
        </w:rPr>
        <w:t>»b) Servirá de punto único de ingreso de información y de generación de reportes para las entidades estatales y la ciudadanía;</w:t>
      </w:r>
    </w:p>
    <w:p w14:paraId="2E6A61BA" w14:textId="77777777" w:rsidR="00EF0A61" w:rsidRPr="00EF0A61" w:rsidRDefault="00EF0A61" w:rsidP="00EF0A61">
      <w:pPr>
        <w:pStyle w:val="Textonotapie"/>
        <w:ind w:firstLine="708"/>
        <w:jc w:val="both"/>
        <w:rPr>
          <w:rFonts w:ascii="Arial" w:hAnsi="Arial" w:cs="Arial"/>
          <w:color w:val="000000"/>
          <w:sz w:val="18"/>
          <w:szCs w:val="18"/>
        </w:rPr>
      </w:pPr>
      <w:r w:rsidRPr="00EF0A61">
        <w:rPr>
          <w:rFonts w:ascii="Arial" w:hAnsi="Arial" w:cs="Arial"/>
          <w:color w:val="000000"/>
          <w:sz w:val="18"/>
          <w:szCs w:val="18"/>
        </w:rPr>
        <w:t>»c) Contará con la información oficial de la contratación realizada con dineros públicos, para lo cual establecerá los patrones a que haya lugar y se encargará de su difusión a través de canales electrónicos y;</w:t>
      </w:r>
    </w:p>
    <w:p w14:paraId="4233FB94" w14:textId="77777777" w:rsidR="00EF0A61" w:rsidRPr="00EF0A61" w:rsidRDefault="00EF0A61" w:rsidP="00EF0A61">
      <w:pPr>
        <w:pStyle w:val="Textonotapie"/>
        <w:ind w:firstLine="708"/>
        <w:jc w:val="both"/>
        <w:rPr>
          <w:rFonts w:ascii="Arial" w:hAnsi="Arial" w:cs="Arial"/>
          <w:color w:val="000000"/>
          <w:sz w:val="18"/>
          <w:szCs w:val="18"/>
        </w:rPr>
      </w:pPr>
      <w:r w:rsidRPr="00EF0A61">
        <w:rPr>
          <w:rFonts w:ascii="Arial" w:hAnsi="Arial" w:cs="Arial"/>
          <w:color w:val="000000"/>
          <w:sz w:val="18"/>
          <w:szCs w:val="18"/>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5F4742E4" w14:textId="77777777" w:rsidR="00EF0A61" w:rsidRPr="00EF0A61" w:rsidRDefault="00EF0A61" w:rsidP="00EF0A61">
      <w:pPr>
        <w:pStyle w:val="Textonotapie"/>
        <w:jc w:val="both"/>
        <w:rPr>
          <w:rFonts w:ascii="Arial" w:hAnsi="Arial" w:cs="Arial"/>
          <w:color w:val="000000"/>
          <w:sz w:val="18"/>
          <w:szCs w:val="18"/>
        </w:rPr>
      </w:pPr>
    </w:p>
  </w:footnote>
  <w:footnote w:id="8">
    <w:p w14:paraId="4BDE14C5" w14:textId="77777777" w:rsidR="00EF0A61" w:rsidRPr="00EF0A61" w:rsidRDefault="00EF0A61" w:rsidP="00EF0A61">
      <w:pPr>
        <w:pStyle w:val="Textonotapie"/>
        <w:ind w:firstLine="708"/>
        <w:jc w:val="both"/>
        <w:rPr>
          <w:rFonts w:ascii="Arial" w:hAnsi="Arial" w:cs="Arial"/>
          <w:color w:val="000000"/>
          <w:sz w:val="18"/>
          <w:szCs w:val="18"/>
          <w:lang w:val="es-CO"/>
        </w:rPr>
      </w:pPr>
      <w:r w:rsidRPr="00EF0A61">
        <w:rPr>
          <w:rStyle w:val="Refdenotaalpie"/>
          <w:rFonts w:ascii="Arial" w:hAnsi="Arial" w:cs="Arial"/>
          <w:color w:val="000000"/>
          <w:sz w:val="18"/>
          <w:szCs w:val="18"/>
        </w:rPr>
        <w:footnoteRef/>
      </w:r>
      <w:r w:rsidRPr="00EF0A61">
        <w:rPr>
          <w:rFonts w:ascii="Arial" w:hAnsi="Arial" w:cs="Arial"/>
          <w:color w:val="000000"/>
          <w:sz w:val="18"/>
          <w:szCs w:val="18"/>
        </w:rPr>
        <w:t xml:space="preserve"> Corte Constitucional. </w:t>
      </w:r>
      <w:r w:rsidRPr="00EF0A61">
        <w:rPr>
          <w:rFonts w:ascii="Arial" w:hAnsi="Arial" w:cs="Arial"/>
          <w:color w:val="000000"/>
          <w:sz w:val="18"/>
          <w:szCs w:val="18"/>
          <w:lang w:val="es-CO"/>
        </w:rPr>
        <w:t xml:space="preserve">Sentencia C 711 del 11 de marzo de 2011. M.P. Mauricio González Cuervo. </w:t>
      </w:r>
    </w:p>
    <w:p w14:paraId="21CFB1A5" w14:textId="77777777" w:rsidR="00EF0A61" w:rsidRPr="00EF0A61" w:rsidRDefault="00EF0A61" w:rsidP="00EF0A61">
      <w:pPr>
        <w:pStyle w:val="Textonotapie"/>
        <w:ind w:firstLine="708"/>
        <w:jc w:val="both"/>
        <w:rPr>
          <w:rFonts w:ascii="Arial" w:hAnsi="Arial" w:cs="Arial"/>
          <w:color w:val="000000"/>
          <w:sz w:val="18"/>
          <w:szCs w:val="18"/>
          <w:lang w:val="es-CO"/>
        </w:rPr>
      </w:pPr>
    </w:p>
  </w:footnote>
  <w:footnote w:id="9">
    <w:p w14:paraId="37DEC5E2" w14:textId="77777777" w:rsidR="00EF0A61" w:rsidRPr="00606E0A" w:rsidRDefault="00EF0A61" w:rsidP="00EF0A61">
      <w:pPr>
        <w:pStyle w:val="Textonotapie"/>
        <w:ind w:firstLine="708"/>
        <w:jc w:val="both"/>
        <w:rPr>
          <w:rFonts w:ascii="Arial" w:hAnsi="Arial" w:cs="Arial"/>
          <w:sz w:val="18"/>
          <w:szCs w:val="18"/>
        </w:rPr>
      </w:pPr>
      <w:r w:rsidRPr="00606E0A">
        <w:rPr>
          <w:rStyle w:val="Refdenotaalpie"/>
          <w:rFonts w:ascii="Arial" w:hAnsi="Arial" w:cs="Arial"/>
          <w:sz w:val="18"/>
          <w:szCs w:val="18"/>
        </w:rPr>
        <w:footnoteRef/>
      </w:r>
      <w:r w:rsidRPr="00606E0A">
        <w:rPr>
          <w:rFonts w:ascii="Arial" w:hAnsi="Arial" w:cs="Arial"/>
          <w:sz w:val="18"/>
          <w:szCs w:val="18"/>
        </w:rPr>
        <w:t xml:space="preserve"> Agencia Nacional de Contratación Pública – Colombia Compra Eficiente. Concepto C-087 del del 4 de marzo de 2020. Radicado de entrada No. 4202012000000579. Radicado de salida No. 2202013000001598.</w:t>
      </w:r>
    </w:p>
  </w:footnote>
  <w:footnote w:id="10">
    <w:p w14:paraId="785A38C1" w14:textId="77777777" w:rsidR="00EF0A61" w:rsidRPr="00606E0A" w:rsidRDefault="00EF0A61" w:rsidP="00EF0A61">
      <w:pPr>
        <w:pStyle w:val="Textonotapie"/>
        <w:jc w:val="both"/>
        <w:rPr>
          <w:rFonts w:ascii="Arial" w:hAnsi="Arial" w:cs="Arial"/>
          <w:sz w:val="18"/>
          <w:szCs w:val="18"/>
        </w:rPr>
      </w:pPr>
    </w:p>
    <w:p w14:paraId="38403328" w14:textId="77777777" w:rsidR="00EF0A61" w:rsidRPr="00606E0A" w:rsidRDefault="00EF0A61" w:rsidP="00EF0A61">
      <w:pPr>
        <w:pStyle w:val="Textonotapie"/>
        <w:ind w:firstLine="708"/>
        <w:jc w:val="both"/>
        <w:rPr>
          <w:rFonts w:ascii="Arial" w:hAnsi="Arial" w:cs="Arial"/>
          <w:sz w:val="18"/>
          <w:szCs w:val="18"/>
        </w:rPr>
      </w:pPr>
      <w:r w:rsidRPr="00606E0A">
        <w:rPr>
          <w:rStyle w:val="Refdenotaalpie"/>
          <w:rFonts w:ascii="Arial" w:hAnsi="Arial" w:cs="Arial"/>
          <w:sz w:val="18"/>
          <w:szCs w:val="18"/>
        </w:rPr>
        <w:footnoteRef/>
      </w:r>
      <w:r w:rsidRPr="00606E0A">
        <w:rPr>
          <w:rFonts w:ascii="Arial" w:hAnsi="Arial" w:cs="Arial"/>
          <w:sz w:val="18"/>
          <w:szCs w:val="18"/>
        </w:rPr>
        <w:t xml:space="preserve"> Ley 80 de 1993 «</w:t>
      </w:r>
      <w:r w:rsidRPr="00606E0A">
        <w:rPr>
          <w:rStyle w:val="Textoennegrita"/>
          <w:rFonts w:ascii="Arial" w:hAnsi="Arial" w:cs="Arial"/>
          <w:color w:val="000000"/>
          <w:sz w:val="18"/>
          <w:szCs w:val="18"/>
        </w:rPr>
        <w:t>Articulo 32. De los contratos estatales. </w:t>
      </w:r>
      <w:r w:rsidRPr="00606E0A">
        <w:rPr>
          <w:rFonts w:ascii="Arial" w:hAnsi="Arial" w:cs="Arial"/>
          <w:color w:val="000000"/>
          <w:sz w:val="18"/>
          <w:szCs w:val="18"/>
        </w:rPr>
        <w:t>Son contratos estatales todos los actos jurídicos generadores de obligaciones que celebren las entidades a que se refiere el presente estatuto, previstos en el derecho privado o en disposiciones especiales, o derivados del ejercicio de la autonomía de la voluntad […]».</w:t>
      </w:r>
    </w:p>
  </w:footnote>
  <w:footnote w:id="11">
    <w:p w14:paraId="11F766DE" w14:textId="77777777" w:rsidR="00EF0A61" w:rsidRPr="00606E0A" w:rsidRDefault="00EF0A61" w:rsidP="00EF0A61">
      <w:pPr>
        <w:pStyle w:val="NormalWeb"/>
        <w:ind w:firstLine="708"/>
        <w:jc w:val="both"/>
        <w:rPr>
          <w:rFonts w:ascii="Arial" w:hAnsi="Arial" w:cs="Arial"/>
          <w:color w:val="000000"/>
          <w:sz w:val="18"/>
          <w:szCs w:val="18"/>
        </w:rPr>
      </w:pPr>
      <w:r w:rsidRPr="00606E0A">
        <w:rPr>
          <w:rStyle w:val="Refdenotaalpie"/>
          <w:rFonts w:ascii="Arial" w:hAnsi="Arial" w:cs="Arial"/>
          <w:sz w:val="18"/>
          <w:szCs w:val="18"/>
        </w:rPr>
        <w:footnoteRef/>
      </w:r>
      <w:r w:rsidRPr="00606E0A">
        <w:rPr>
          <w:rFonts w:ascii="Arial" w:hAnsi="Arial" w:cs="Arial"/>
          <w:sz w:val="18"/>
          <w:szCs w:val="18"/>
        </w:rPr>
        <w:t xml:space="preserve"> Ley 80 de 1993 «</w:t>
      </w:r>
      <w:r w:rsidRPr="00606E0A">
        <w:rPr>
          <w:rFonts w:ascii="Arial" w:hAnsi="Arial" w:cs="Arial"/>
          <w:color w:val="000000"/>
          <w:sz w:val="18"/>
          <w:szCs w:val="18"/>
        </w:rPr>
        <w:t>Artículo 13</w:t>
      </w:r>
      <w:r w:rsidRPr="00606E0A">
        <w:rPr>
          <w:rFonts w:ascii="Arial" w:hAnsi="Arial" w:cs="Arial"/>
          <w:b/>
          <w:bCs/>
          <w:color w:val="000000"/>
          <w:sz w:val="18"/>
          <w:szCs w:val="18"/>
        </w:rPr>
        <w:t xml:space="preserve">. </w:t>
      </w:r>
      <w:r w:rsidRPr="00606E0A">
        <w:rPr>
          <w:rFonts w:ascii="Arial" w:hAnsi="Arial" w:cs="Arial"/>
          <w:color w:val="000000"/>
          <w:sz w:val="18"/>
          <w:szCs w:val="18"/>
        </w:rPr>
        <w:t>De la normatividad aplicable a los contratos estatales. Los contratos que celebren las entidades a que se refiere el artículo 2o. del presente estatuto se regirán por las disposiciones comerciales y civiles pertinentes, salvo en las materias particularmente reguladas en esta ley. </w:t>
      </w:r>
    </w:p>
    <w:p w14:paraId="5B320440" w14:textId="77777777" w:rsidR="00EF0A61" w:rsidRPr="00F73006" w:rsidRDefault="00EF0A61" w:rsidP="00EF0A61">
      <w:pPr>
        <w:jc w:val="both"/>
        <w:rPr>
          <w:rFonts w:ascii="Arial" w:hAnsi="Arial" w:cs="Arial"/>
          <w:color w:val="000000"/>
          <w:sz w:val="18"/>
          <w:szCs w:val="18"/>
          <w:lang w:eastAsia="es-CO"/>
        </w:rPr>
      </w:pPr>
      <w:r w:rsidRPr="00F73006">
        <w:rPr>
          <w:rFonts w:ascii="Arial" w:hAnsi="Arial" w:cs="Arial"/>
          <w:color w:val="000000"/>
          <w:sz w:val="18"/>
          <w:szCs w:val="18"/>
          <w:lang w:eastAsia="es-CO"/>
        </w:rPr>
        <w:t> </w:t>
      </w:r>
      <w:r w:rsidRPr="00606E0A">
        <w:rPr>
          <w:rFonts w:ascii="Arial" w:hAnsi="Arial" w:cs="Arial"/>
          <w:color w:val="000000"/>
          <w:sz w:val="18"/>
          <w:szCs w:val="18"/>
          <w:lang w:eastAsia="es-CO"/>
        </w:rPr>
        <w:tab/>
        <w:t>»</w:t>
      </w:r>
      <w:r w:rsidRPr="00F73006">
        <w:rPr>
          <w:rFonts w:ascii="Arial" w:hAnsi="Arial" w:cs="Arial"/>
          <w:color w:val="000000"/>
          <w:sz w:val="18"/>
          <w:szCs w:val="18"/>
          <w:lang w:eastAsia="es-CO"/>
        </w:rPr>
        <w:t>Los contratos celebrados en el exterior se podrán regir en su ejecución por las reglas del país en donde se hayan suscrito, a menos que deban cumplirse en Colombia. </w:t>
      </w:r>
    </w:p>
    <w:p w14:paraId="28D9EE88" w14:textId="77777777" w:rsidR="00EF0A61" w:rsidRPr="00F73006" w:rsidRDefault="00EF0A61" w:rsidP="00EF0A61">
      <w:pPr>
        <w:jc w:val="both"/>
        <w:rPr>
          <w:rFonts w:ascii="Arial" w:hAnsi="Arial" w:cs="Arial"/>
          <w:color w:val="000000"/>
          <w:sz w:val="18"/>
          <w:szCs w:val="18"/>
          <w:lang w:eastAsia="es-CO"/>
        </w:rPr>
      </w:pPr>
      <w:r w:rsidRPr="00F73006">
        <w:rPr>
          <w:rFonts w:ascii="Arial" w:hAnsi="Arial" w:cs="Arial"/>
          <w:color w:val="000000"/>
          <w:sz w:val="18"/>
          <w:szCs w:val="18"/>
          <w:lang w:eastAsia="es-CO"/>
        </w:rPr>
        <w:t>  </w:t>
      </w:r>
      <w:r w:rsidRPr="00606E0A">
        <w:rPr>
          <w:rFonts w:ascii="Arial" w:hAnsi="Arial" w:cs="Arial"/>
          <w:color w:val="000000"/>
          <w:sz w:val="18"/>
          <w:szCs w:val="18"/>
          <w:lang w:eastAsia="es-CO"/>
        </w:rPr>
        <w:tab/>
        <w:t>»</w:t>
      </w:r>
      <w:r w:rsidRPr="00F73006">
        <w:rPr>
          <w:rFonts w:ascii="Arial" w:hAnsi="Arial" w:cs="Arial"/>
          <w:color w:val="000000"/>
          <w:sz w:val="18"/>
          <w:szCs w:val="18"/>
          <w:lang w:eastAsia="es-CO"/>
        </w:rPr>
        <w:t>Los contratos que se celebren en Colombia y deban ejecutarse o cumplirse en el extranjero, podrán someterse a la ley extranjera. </w:t>
      </w:r>
    </w:p>
    <w:p w14:paraId="4BA0A4BB" w14:textId="77777777" w:rsidR="00EF0A61" w:rsidRPr="00606E0A" w:rsidRDefault="00EF0A61" w:rsidP="00EF0A61">
      <w:pPr>
        <w:pStyle w:val="NormalWeb"/>
        <w:ind w:firstLine="708"/>
        <w:jc w:val="both"/>
        <w:rPr>
          <w:rFonts w:ascii="Arial" w:hAnsi="Arial" w:cs="Arial"/>
          <w:sz w:val="18"/>
          <w:szCs w:val="18"/>
        </w:rPr>
      </w:pPr>
      <w:r w:rsidRPr="00606E0A">
        <w:rPr>
          <w:rFonts w:ascii="Arial" w:hAnsi="Arial" w:cs="Arial"/>
          <w:sz w:val="18"/>
          <w:szCs w:val="18"/>
        </w:rPr>
        <w:t>[…]</w:t>
      </w:r>
    </w:p>
    <w:p w14:paraId="6CDC8527" w14:textId="77777777" w:rsidR="00EF0A61" w:rsidRPr="00606E0A" w:rsidRDefault="00EF0A61" w:rsidP="00EF0A61">
      <w:pPr>
        <w:pStyle w:val="NormalWeb"/>
        <w:ind w:firstLine="708"/>
        <w:jc w:val="both"/>
        <w:rPr>
          <w:rFonts w:ascii="Arial" w:hAnsi="Arial" w:cs="Arial"/>
          <w:color w:val="000000"/>
          <w:sz w:val="18"/>
          <w:szCs w:val="18"/>
        </w:rPr>
      </w:pPr>
      <w:r w:rsidRPr="00606E0A">
        <w:rPr>
          <w:rFonts w:ascii="Arial" w:hAnsi="Arial" w:cs="Arial"/>
          <w:b/>
          <w:bCs/>
          <w:color w:val="000000"/>
          <w:sz w:val="18"/>
          <w:szCs w:val="18"/>
        </w:rPr>
        <w:t>»</w:t>
      </w:r>
      <w:r w:rsidRPr="00606E0A">
        <w:rPr>
          <w:rFonts w:ascii="Arial" w:hAnsi="Arial" w:cs="Arial"/>
          <w:color w:val="000000"/>
          <w:sz w:val="18"/>
          <w:szCs w:val="18"/>
        </w:rPr>
        <w:t>Artículo 40. Del contenido del contrato estatal. Las estipulaciones de los contratos serán las que de acuerdo con las normas civiles, comerciales y las previstas en esta ley, correspondan a su esencia y naturaleza. </w:t>
      </w:r>
    </w:p>
    <w:p w14:paraId="62ED2699" w14:textId="77777777" w:rsidR="00EF0A61" w:rsidRPr="0033115D" w:rsidRDefault="00EF0A61" w:rsidP="00EF0A61">
      <w:pPr>
        <w:jc w:val="both"/>
        <w:rPr>
          <w:rFonts w:ascii="Arial" w:hAnsi="Arial" w:cs="Arial"/>
          <w:color w:val="000000"/>
          <w:sz w:val="18"/>
          <w:szCs w:val="18"/>
          <w:lang w:eastAsia="es-CO"/>
        </w:rPr>
      </w:pPr>
      <w:r w:rsidRPr="0033115D">
        <w:rPr>
          <w:rFonts w:ascii="Arial" w:hAnsi="Arial" w:cs="Arial"/>
          <w:color w:val="000000"/>
          <w:sz w:val="18"/>
          <w:szCs w:val="18"/>
          <w:lang w:eastAsia="es-CO"/>
        </w:rPr>
        <w:t>  </w:t>
      </w:r>
      <w:r w:rsidRPr="00606E0A">
        <w:rPr>
          <w:rFonts w:ascii="Arial" w:hAnsi="Arial" w:cs="Arial"/>
          <w:color w:val="000000"/>
          <w:sz w:val="18"/>
          <w:szCs w:val="18"/>
          <w:lang w:eastAsia="es-CO"/>
        </w:rPr>
        <w:tab/>
        <w:t>»</w:t>
      </w:r>
      <w:r w:rsidRPr="0033115D">
        <w:rPr>
          <w:rFonts w:ascii="Arial" w:hAnsi="Arial" w:cs="Arial"/>
          <w:color w:val="000000"/>
          <w:sz w:val="18"/>
          <w:szCs w:val="18"/>
          <w:lang w:eastAsia="es-CO"/>
        </w:rPr>
        <w:t>Las entidades podrán celebrar los contratos y acuerdos que permitan la autonomía de la voluntad y requieran el cumplimiento de los fines estatales. </w:t>
      </w:r>
    </w:p>
    <w:p w14:paraId="3EEE981E" w14:textId="77777777" w:rsidR="00EF0A61" w:rsidRPr="0033115D" w:rsidRDefault="00EF0A61" w:rsidP="00EF0A61">
      <w:pPr>
        <w:jc w:val="both"/>
        <w:rPr>
          <w:rFonts w:ascii="Arial" w:hAnsi="Arial" w:cs="Arial"/>
          <w:color w:val="000000"/>
          <w:sz w:val="18"/>
          <w:szCs w:val="18"/>
          <w:lang w:eastAsia="es-CO"/>
        </w:rPr>
      </w:pPr>
      <w:r w:rsidRPr="0033115D">
        <w:rPr>
          <w:rFonts w:ascii="Arial" w:hAnsi="Arial" w:cs="Arial"/>
          <w:color w:val="000000"/>
          <w:sz w:val="18"/>
          <w:szCs w:val="18"/>
          <w:lang w:eastAsia="es-CO"/>
        </w:rPr>
        <w:t>  </w:t>
      </w:r>
      <w:r w:rsidRPr="00606E0A">
        <w:rPr>
          <w:rFonts w:ascii="Arial" w:hAnsi="Arial" w:cs="Arial"/>
          <w:color w:val="000000"/>
          <w:sz w:val="18"/>
          <w:szCs w:val="18"/>
          <w:lang w:eastAsia="es-CO"/>
        </w:rPr>
        <w:t xml:space="preserve"> </w:t>
      </w:r>
      <w:r w:rsidRPr="00606E0A">
        <w:rPr>
          <w:rFonts w:ascii="Arial" w:hAnsi="Arial" w:cs="Arial"/>
          <w:color w:val="000000"/>
          <w:sz w:val="18"/>
          <w:szCs w:val="18"/>
          <w:lang w:eastAsia="es-CO"/>
        </w:rPr>
        <w:tab/>
        <w:t>»</w:t>
      </w:r>
      <w:r w:rsidRPr="0033115D">
        <w:rPr>
          <w:rFonts w:ascii="Arial" w:hAnsi="Arial" w:cs="Arial"/>
          <w:color w:val="000000"/>
          <w:sz w:val="18"/>
          <w:szCs w:val="18"/>
          <w:lang w:eastAsia="es-CO"/>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624E9D40" w14:textId="77777777" w:rsidR="00EF0A61" w:rsidRPr="0033115D" w:rsidRDefault="00EF0A61" w:rsidP="00EF0A61">
      <w:pPr>
        <w:jc w:val="both"/>
        <w:rPr>
          <w:rFonts w:ascii="Arial" w:hAnsi="Arial" w:cs="Arial"/>
          <w:color w:val="000000"/>
          <w:sz w:val="18"/>
          <w:szCs w:val="18"/>
          <w:lang w:eastAsia="es-CO"/>
        </w:rPr>
      </w:pPr>
      <w:r w:rsidRPr="0033115D">
        <w:rPr>
          <w:rFonts w:ascii="Arial" w:hAnsi="Arial" w:cs="Arial"/>
          <w:color w:val="000000"/>
          <w:sz w:val="18"/>
          <w:szCs w:val="18"/>
          <w:lang w:eastAsia="es-CO"/>
        </w:rPr>
        <w:t>  </w:t>
      </w:r>
      <w:r w:rsidRPr="00606E0A">
        <w:rPr>
          <w:rFonts w:ascii="Arial" w:hAnsi="Arial" w:cs="Arial"/>
          <w:color w:val="000000"/>
          <w:sz w:val="18"/>
          <w:szCs w:val="18"/>
          <w:lang w:eastAsia="es-CO"/>
        </w:rPr>
        <w:tab/>
        <w:t>»</w:t>
      </w:r>
      <w:r w:rsidRPr="0033115D">
        <w:rPr>
          <w:rFonts w:ascii="Arial" w:hAnsi="Arial" w:cs="Arial"/>
          <w:color w:val="000000"/>
          <w:sz w:val="18"/>
          <w:szCs w:val="18"/>
          <w:lang w:eastAsia="es-CO"/>
        </w:rPr>
        <w:t>En los contratos de empréstito o cualquier otra forma de financiación de organismos multilaterales, podrán incluirse las previsiones y particularidades contempladas en los reglamentos de tales entidades, que no sean contrarias a la Constitución o a la ley</w:t>
      </w:r>
      <w:r w:rsidRPr="00606E0A">
        <w:rPr>
          <w:rFonts w:ascii="Arial" w:hAnsi="Arial" w:cs="Arial"/>
          <w:color w:val="000000"/>
          <w:sz w:val="18"/>
          <w:szCs w:val="18"/>
          <w:lang w:eastAsia="es-CO"/>
        </w:rPr>
        <w:t xml:space="preserve"> […]»</w:t>
      </w:r>
      <w:r w:rsidRPr="0033115D">
        <w:rPr>
          <w:rFonts w:ascii="Arial" w:hAnsi="Arial" w:cs="Arial"/>
          <w:color w:val="000000"/>
          <w:sz w:val="18"/>
          <w:szCs w:val="18"/>
          <w:lang w:eastAsia="es-CO"/>
        </w:rPr>
        <w:t>. </w:t>
      </w:r>
    </w:p>
    <w:p w14:paraId="7CF37EBB" w14:textId="77777777" w:rsidR="00EF0A61" w:rsidRPr="00606E0A" w:rsidRDefault="00EF0A61" w:rsidP="00EF0A61">
      <w:pPr>
        <w:pStyle w:val="Textonotapie"/>
        <w:ind w:firstLine="708"/>
        <w:jc w:val="both"/>
        <w:rPr>
          <w:rFonts w:ascii="Arial" w:hAnsi="Arial" w:cs="Arial"/>
          <w:sz w:val="18"/>
          <w:szCs w:val="18"/>
        </w:rPr>
      </w:pPr>
    </w:p>
  </w:footnote>
</w:footnotes>
</file>

<file path=word/intelligence.xml><?xml version="1.0" encoding="utf-8"?>
<int:Intelligence xmlns:int="http://schemas.microsoft.com/office/intelligence/2019/intelligence">
  <int:IntelligenceSettings/>
  <int:Manifest>
    <int:ParagraphRange paragraphId="1135742890" textId="2004318071" start="0" length="44" invalidationStart="0" invalidationLength="44" id="pft5BSaQ"/>
  </int:Manifest>
  <int:Observations>
    <int:Content id="pft5BSaQ">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03796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CC"/>
    <w:rsid w:val="00026545"/>
    <w:rsid w:val="0004592F"/>
    <w:rsid w:val="000C78C7"/>
    <w:rsid w:val="0013494F"/>
    <w:rsid w:val="00197DA8"/>
    <w:rsid w:val="001D595F"/>
    <w:rsid w:val="001E7D30"/>
    <w:rsid w:val="001F2FA4"/>
    <w:rsid w:val="002024F3"/>
    <w:rsid w:val="00382970"/>
    <w:rsid w:val="00384EF3"/>
    <w:rsid w:val="003A7107"/>
    <w:rsid w:val="003C0A68"/>
    <w:rsid w:val="00401D6B"/>
    <w:rsid w:val="00483186"/>
    <w:rsid w:val="004C3B87"/>
    <w:rsid w:val="004F398F"/>
    <w:rsid w:val="00554F62"/>
    <w:rsid w:val="00572ECB"/>
    <w:rsid w:val="00575BB3"/>
    <w:rsid w:val="005D5049"/>
    <w:rsid w:val="00612360"/>
    <w:rsid w:val="0063350E"/>
    <w:rsid w:val="006708D7"/>
    <w:rsid w:val="006A5AA4"/>
    <w:rsid w:val="006B63F3"/>
    <w:rsid w:val="00775123"/>
    <w:rsid w:val="00790B61"/>
    <w:rsid w:val="00804AC4"/>
    <w:rsid w:val="00841495"/>
    <w:rsid w:val="0084673B"/>
    <w:rsid w:val="00861543"/>
    <w:rsid w:val="00882E22"/>
    <w:rsid w:val="008834EA"/>
    <w:rsid w:val="008867BE"/>
    <w:rsid w:val="008C5F94"/>
    <w:rsid w:val="009273DE"/>
    <w:rsid w:val="00951947"/>
    <w:rsid w:val="009B4985"/>
    <w:rsid w:val="009D3CFB"/>
    <w:rsid w:val="009E2E5B"/>
    <w:rsid w:val="009F2A68"/>
    <w:rsid w:val="00A00C58"/>
    <w:rsid w:val="00A35361"/>
    <w:rsid w:val="00A607E4"/>
    <w:rsid w:val="00A82122"/>
    <w:rsid w:val="00A82EC8"/>
    <w:rsid w:val="00AB7CBC"/>
    <w:rsid w:val="00AC453B"/>
    <w:rsid w:val="00AC7FE2"/>
    <w:rsid w:val="00AF029E"/>
    <w:rsid w:val="00AF6859"/>
    <w:rsid w:val="00B017C6"/>
    <w:rsid w:val="00B47889"/>
    <w:rsid w:val="00B63DA5"/>
    <w:rsid w:val="00C03C9F"/>
    <w:rsid w:val="00C10E62"/>
    <w:rsid w:val="00C324B0"/>
    <w:rsid w:val="00C752BC"/>
    <w:rsid w:val="00D00C40"/>
    <w:rsid w:val="00D02AD9"/>
    <w:rsid w:val="00D76B78"/>
    <w:rsid w:val="00E1596E"/>
    <w:rsid w:val="00EA47CC"/>
    <w:rsid w:val="00EB7334"/>
    <w:rsid w:val="00EF0A61"/>
    <w:rsid w:val="00EF0CA6"/>
    <w:rsid w:val="00F065C6"/>
    <w:rsid w:val="00F06761"/>
    <w:rsid w:val="00F10C54"/>
    <w:rsid w:val="00F80C9C"/>
    <w:rsid w:val="00FC2F20"/>
    <w:rsid w:val="00FE126D"/>
    <w:rsid w:val="012B3944"/>
    <w:rsid w:val="0D6D5E88"/>
    <w:rsid w:val="49B02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E853"/>
  <w15:docId w15:val="{B55EB87A-4F49-4AEC-9B38-524C8523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7C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3">
    <w:name w:val="Tabla con cuadrícula3"/>
    <w:basedOn w:val="Tablanormal"/>
    <w:next w:val="Tablaconcuadrcula"/>
    <w:uiPriority w:val="59"/>
    <w:rsid w:val="00EA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A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F398F"/>
  </w:style>
  <w:style w:type="character" w:customStyle="1" w:styleId="Hipervnculo1">
    <w:name w:val="Hipervínculo1"/>
    <w:basedOn w:val="Fuentedeprrafopredeter"/>
    <w:uiPriority w:val="99"/>
    <w:unhideWhenUsed/>
    <w:rsid w:val="004F398F"/>
    <w:rPr>
      <w:color w:val="F2F2F2"/>
      <w:u w:val="singl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F398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F398F"/>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4F398F"/>
    <w:rPr>
      <w:rFonts w:ascii="Times New Roman" w:eastAsia="Times New Roman" w:hAnsi="Times New Roman" w:cs="Times New Roman"/>
      <w:sz w:val="20"/>
      <w:szCs w:val="20"/>
      <w:lang w:eastAsia="es-ES_tradnl"/>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4F398F"/>
    <w:rPr>
      <w:vertAlign w:val="superscript"/>
    </w:rPr>
  </w:style>
  <w:style w:type="character" w:styleId="Textoennegrita">
    <w:name w:val="Strong"/>
    <w:basedOn w:val="Fuentedeprrafopredeter"/>
    <w:uiPriority w:val="22"/>
    <w:qFormat/>
    <w:rsid w:val="004F398F"/>
    <w:rPr>
      <w:b/>
      <w:bCs/>
    </w:rPr>
  </w:style>
  <w:style w:type="character" w:styleId="nfasis">
    <w:name w:val="Emphasis"/>
    <w:basedOn w:val="Fuentedeprrafopredeter"/>
    <w:uiPriority w:val="20"/>
    <w:qFormat/>
    <w:rsid w:val="004F398F"/>
    <w:rPr>
      <w:i/>
      <w:iCs/>
    </w:rPr>
  </w:style>
  <w:style w:type="paragraph" w:customStyle="1" w:styleId="Appelnotedebasde">
    <w:name w:val="Appel note de bas de..."/>
    <w:basedOn w:val="Normal"/>
    <w:link w:val="Refdenotaalpie"/>
    <w:uiPriority w:val="99"/>
    <w:rsid w:val="004F398F"/>
    <w:pPr>
      <w:spacing w:after="160" w:line="240" w:lineRule="exact"/>
    </w:pPr>
    <w:rPr>
      <w:rFonts w:asciiTheme="minorHAnsi" w:eastAsiaTheme="minorHAnsi" w:hAnsiTheme="minorHAnsi" w:cstheme="minorBidi"/>
      <w:sz w:val="22"/>
      <w:szCs w:val="22"/>
      <w:vertAlign w:val="superscript"/>
      <w:lang w:eastAsia="en-US"/>
    </w:rPr>
  </w:style>
  <w:style w:type="character" w:styleId="Hipervnculo">
    <w:name w:val="Hyperlink"/>
    <w:basedOn w:val="Fuentedeprrafopredeter"/>
    <w:uiPriority w:val="99"/>
    <w:unhideWhenUsed/>
    <w:rsid w:val="004F398F"/>
    <w:rPr>
      <w:color w:val="0563C1" w:themeColor="hyperlink"/>
      <w:u w:val="single"/>
    </w:rPr>
  </w:style>
  <w:style w:type="paragraph" w:styleId="Revisin">
    <w:name w:val="Revision"/>
    <w:hidden/>
    <w:uiPriority w:val="99"/>
    <w:semiHidden/>
    <w:rsid w:val="008867B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8867BE"/>
    <w:rPr>
      <w:sz w:val="16"/>
      <w:szCs w:val="16"/>
    </w:rPr>
  </w:style>
  <w:style w:type="paragraph" w:styleId="Textocomentario">
    <w:name w:val="annotation text"/>
    <w:basedOn w:val="Normal"/>
    <w:link w:val="TextocomentarioCar"/>
    <w:uiPriority w:val="99"/>
    <w:unhideWhenUsed/>
    <w:rsid w:val="008867BE"/>
    <w:rPr>
      <w:sz w:val="20"/>
      <w:szCs w:val="20"/>
    </w:rPr>
  </w:style>
  <w:style w:type="character" w:customStyle="1" w:styleId="TextocomentarioCar">
    <w:name w:val="Texto comentario Car"/>
    <w:basedOn w:val="Fuentedeprrafopredeter"/>
    <w:link w:val="Textocomentario"/>
    <w:uiPriority w:val="99"/>
    <w:rsid w:val="008867BE"/>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8867BE"/>
    <w:rPr>
      <w:b/>
      <w:bCs/>
    </w:rPr>
  </w:style>
  <w:style w:type="character" w:customStyle="1" w:styleId="AsuntodelcomentarioCar">
    <w:name w:val="Asunto del comentario Car"/>
    <w:basedOn w:val="TextocomentarioCar"/>
    <w:link w:val="Asuntodelcomentario"/>
    <w:uiPriority w:val="99"/>
    <w:semiHidden/>
    <w:rsid w:val="008867BE"/>
    <w:rPr>
      <w:rFonts w:ascii="Times New Roman" w:eastAsia="Times New Roman" w:hAnsi="Times New Roman" w:cs="Times New Roman"/>
      <w:b/>
      <w:bCs/>
      <w:sz w:val="20"/>
      <w:szCs w:val="20"/>
      <w:lang w:eastAsia="es-ES_tradnl"/>
    </w:rPr>
  </w:style>
  <w:style w:type="character" w:customStyle="1" w:styleId="NormalWebCar">
    <w:name w:val="Normal (Web) Car"/>
    <w:link w:val="NormalWeb"/>
    <w:uiPriority w:val="99"/>
    <w:rsid w:val="00D00C40"/>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FE126D"/>
  </w:style>
  <w:style w:type="paragraph" w:customStyle="1" w:styleId="paragraph">
    <w:name w:val="paragraph"/>
    <w:basedOn w:val="Normal"/>
    <w:rsid w:val="00FE126D"/>
    <w:pPr>
      <w:spacing w:before="100" w:beforeAutospacing="1" w:after="100" w:afterAutospacing="1"/>
    </w:pPr>
    <w:rPr>
      <w:lang w:eastAsia="es-CO"/>
    </w:rPr>
  </w:style>
  <w:style w:type="character" w:customStyle="1" w:styleId="eop">
    <w:name w:val="eop"/>
    <w:basedOn w:val="Fuentedeprrafopredeter"/>
    <w:rsid w:val="00FE126D"/>
  </w:style>
  <w:style w:type="paragraph" w:styleId="Sinespaciad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0408be12b74a42cb" Type="http://schemas.microsoft.com/office/2019/09/relationships/intelligence" Target="intelligence.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María Claudia de la Ossa Bobadilla</DisplayName>
        <AccountId>393</AccountId>
        <AccountType/>
      </UserInfo>
    </SharedWithUsers>
  </documentManagement>
</p:properties>
</file>

<file path=customXml/itemProps1.xml><?xml version="1.0" encoding="utf-8"?>
<ds:datastoreItem xmlns:ds="http://schemas.openxmlformats.org/officeDocument/2006/customXml" ds:itemID="{E5F233F4-115A-40F2-A0B8-4801C6E66008}">
  <ds:schemaRefs>
    <ds:schemaRef ds:uri="http://schemas.microsoft.com/sharepoint/v3/contenttype/forms"/>
  </ds:schemaRefs>
</ds:datastoreItem>
</file>

<file path=customXml/itemProps2.xml><?xml version="1.0" encoding="utf-8"?>
<ds:datastoreItem xmlns:ds="http://schemas.openxmlformats.org/officeDocument/2006/customXml" ds:itemID="{B153A281-018C-4419-8543-B4E0361BA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9693C-0F09-4F98-BA82-8283FE90C6BD}">
  <ds:schemaRefs>
    <ds:schemaRef ds:uri="http://schemas.openxmlformats.org/officeDocument/2006/bibliography"/>
  </ds:schemaRefs>
</ds:datastoreItem>
</file>

<file path=customXml/itemProps4.xml><?xml version="1.0" encoding="utf-8"?>
<ds:datastoreItem xmlns:ds="http://schemas.openxmlformats.org/officeDocument/2006/customXml" ds:itemID="{810EE11E-C8FA-4881-B554-59133F679A1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6288</Words>
  <Characters>34589</Characters>
  <Application>Microsoft Office Word</Application>
  <DocSecurity>0</DocSecurity>
  <Lines>288</Lines>
  <Paragraphs>81</Paragraphs>
  <ScaleCrop>false</ScaleCrop>
  <Company/>
  <LinksUpToDate>false</LinksUpToDate>
  <CharactersWithSpaces>40796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Jorge Eliecer Moran Buitrón</cp:lastModifiedBy>
  <cp:revision>3</cp:revision>
  <dcterms:created xsi:type="dcterms:W3CDTF">2022-04-19T17:12:00Z</dcterms:created>
  <dcterms:modified xsi:type="dcterms:W3CDTF">2022-04-21T15:12:00Z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