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B0052"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B0052">
        <w:rPr>
          <w:rFonts w:ascii="Arial" w:hAnsi="Arial" w:cs="Arial"/>
          <w:b/>
          <w:color w:val="000000" w:themeColor="text1"/>
          <w:sz w:val="16"/>
          <w:szCs w:val="16"/>
          <w:lang w:val="es-ES_tradnl" w:eastAsia="es-ES"/>
        </w:rPr>
        <w:t>CCE-DES-FM-17</w:t>
      </w:r>
    </w:p>
    <w:bookmarkEnd w:id="0"/>
    <w:bookmarkEnd w:id="1"/>
    <w:p w14:paraId="019C5463" w14:textId="77777777" w:rsidR="002E3CCF" w:rsidRPr="008B0052" w:rsidRDefault="002E3CCF" w:rsidP="002E3CCF">
      <w:pPr>
        <w:jc w:val="both"/>
        <w:rPr>
          <w:rFonts w:ascii="Arial" w:eastAsia="Calibri" w:hAnsi="Arial" w:cs="Arial"/>
          <w:b/>
          <w:bCs/>
          <w:sz w:val="22"/>
          <w:szCs w:val="22"/>
          <w:lang w:val="es-ES" w:eastAsia="en-US"/>
        </w:rPr>
      </w:pPr>
    </w:p>
    <w:p w14:paraId="1C454245" w14:textId="77777777" w:rsidR="0026723E" w:rsidRPr="008B0052" w:rsidRDefault="0026723E" w:rsidP="004B7623">
      <w:pPr>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FACTORES DE DESEMPATE – Características – Límites</w:t>
      </w:r>
    </w:p>
    <w:p w14:paraId="2E253175" w14:textId="77777777" w:rsidR="004B7623" w:rsidRPr="008B0052" w:rsidRDefault="004B7623" w:rsidP="004B7623">
      <w:pPr>
        <w:jc w:val="both"/>
        <w:rPr>
          <w:rFonts w:ascii="Arial" w:eastAsia="Calibri" w:hAnsi="Arial" w:cs="Arial"/>
          <w:color w:val="000000" w:themeColor="text1"/>
          <w:sz w:val="20"/>
          <w:szCs w:val="20"/>
          <w:lang w:val="es-ES_tradnl"/>
        </w:rPr>
      </w:pPr>
    </w:p>
    <w:p w14:paraId="79A1F22E" w14:textId="527BDB2F" w:rsidR="008F60F7" w:rsidRPr="008B0052" w:rsidRDefault="004B7623" w:rsidP="004B7623">
      <w:pPr>
        <w:jc w:val="both"/>
        <w:rPr>
          <w:rFonts w:ascii="Arial" w:eastAsia="Calibri" w:hAnsi="Arial" w:cs="Arial"/>
          <w:color w:val="000000" w:themeColor="text1"/>
          <w:sz w:val="20"/>
          <w:szCs w:val="20"/>
          <w:lang w:val="es-ES_tradnl"/>
        </w:rPr>
      </w:pPr>
      <w:r w:rsidRPr="008B0052">
        <w:rPr>
          <w:rFonts w:ascii="Arial" w:eastAsia="Calibri" w:hAnsi="Arial" w:cs="Arial"/>
          <w:color w:val="000000" w:themeColor="text1"/>
          <w:sz w:val="20"/>
          <w:szCs w:val="20"/>
          <w:lang w:val="es-ES_tradnl"/>
        </w:rPr>
        <w:t xml:space="preserve">[…] </w:t>
      </w:r>
      <w:r w:rsidR="00BD3667" w:rsidRPr="008B0052">
        <w:rPr>
          <w:rFonts w:ascii="Arial" w:eastAsia="Calibri" w:hAnsi="Arial" w:cs="Arial"/>
          <w:color w:val="000000" w:themeColor="text1"/>
          <w:sz w:val="20"/>
          <w:szCs w:val="20"/>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0026723E" w:rsidRPr="008B0052">
        <w:rPr>
          <w:rFonts w:ascii="Arial" w:eastAsia="Calibri" w:hAnsi="Arial" w:cs="Arial"/>
          <w:color w:val="000000" w:themeColor="text1"/>
          <w:sz w:val="20"/>
          <w:szCs w:val="20"/>
          <w:lang w:val="es-ES_tradnl"/>
        </w:rPr>
        <w:t xml:space="preserve">. </w:t>
      </w:r>
      <w:bookmarkStart w:id="2" w:name="_Hlk66173765"/>
    </w:p>
    <w:p w14:paraId="312D4870" w14:textId="77777777" w:rsidR="00876B20" w:rsidRPr="008B0052" w:rsidRDefault="00876B20" w:rsidP="004B7623">
      <w:pPr>
        <w:jc w:val="both"/>
        <w:rPr>
          <w:rFonts w:ascii="Arial" w:eastAsia="Calibri" w:hAnsi="Arial" w:cs="Arial"/>
          <w:color w:val="000000" w:themeColor="text1"/>
          <w:sz w:val="20"/>
          <w:szCs w:val="20"/>
          <w:lang w:val="es-ES_tradnl"/>
        </w:rPr>
      </w:pPr>
    </w:p>
    <w:p w14:paraId="39264DE2" w14:textId="48DAFCA2" w:rsidR="00A0117E" w:rsidRPr="008B0052" w:rsidRDefault="00A0117E" w:rsidP="004B7623">
      <w:pPr>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FACTORES DE DESEMPATE – Ley 2069</w:t>
      </w:r>
      <w:r w:rsidR="00A01974" w:rsidRPr="008B0052">
        <w:rPr>
          <w:rFonts w:ascii="Arial" w:eastAsia="Calibri" w:hAnsi="Arial" w:cs="Arial"/>
          <w:b/>
          <w:color w:val="000000" w:themeColor="text1"/>
          <w:sz w:val="22"/>
          <w:lang w:val="es-ES_tradnl"/>
        </w:rPr>
        <w:t xml:space="preserve"> de 2020</w:t>
      </w:r>
      <w:r w:rsidRPr="008B0052">
        <w:rPr>
          <w:rFonts w:ascii="Arial" w:eastAsia="Calibri" w:hAnsi="Arial" w:cs="Arial"/>
          <w:b/>
          <w:color w:val="000000" w:themeColor="text1"/>
          <w:sz w:val="22"/>
          <w:lang w:val="es-ES_tradnl"/>
        </w:rPr>
        <w:t xml:space="preserve"> – Artículo 35 </w:t>
      </w:r>
      <w:r w:rsidR="00876B20" w:rsidRPr="008B0052">
        <w:rPr>
          <w:rFonts w:ascii="Arial" w:eastAsia="Calibri" w:hAnsi="Arial" w:cs="Arial"/>
          <w:b/>
          <w:color w:val="000000" w:themeColor="text1"/>
          <w:sz w:val="22"/>
          <w:lang w:val="es-ES_tradnl"/>
        </w:rPr>
        <w:t>– Ámbito de aplicación</w:t>
      </w:r>
    </w:p>
    <w:p w14:paraId="048E27B0" w14:textId="5C953E0A" w:rsidR="008F60F7" w:rsidRPr="008B0052" w:rsidRDefault="008F60F7" w:rsidP="004B7623">
      <w:pPr>
        <w:jc w:val="both"/>
        <w:rPr>
          <w:rFonts w:ascii="Arial" w:hAnsi="Arial" w:cs="Arial"/>
          <w:noProof/>
          <w:color w:val="000000" w:themeColor="text1"/>
          <w:sz w:val="22"/>
        </w:rPr>
      </w:pPr>
    </w:p>
    <w:p w14:paraId="6479DAD3" w14:textId="7F8943C7" w:rsidR="008F60F7" w:rsidRPr="008B0052" w:rsidRDefault="00876B20" w:rsidP="004B7623">
      <w:pPr>
        <w:jc w:val="both"/>
        <w:rPr>
          <w:rFonts w:ascii="Arial" w:eastAsia="Calibri" w:hAnsi="Arial" w:cs="Arial"/>
          <w:color w:val="000000" w:themeColor="text1"/>
          <w:sz w:val="20"/>
          <w:szCs w:val="20"/>
          <w:lang w:val="es-ES_tradnl"/>
        </w:rPr>
      </w:pPr>
      <w:r w:rsidRPr="008B0052">
        <w:rPr>
          <w:rFonts w:ascii="Arial" w:eastAsia="Calibri" w:hAnsi="Arial" w:cs="Arial"/>
          <w:color w:val="000000" w:themeColor="text1"/>
          <w:sz w:val="20"/>
          <w:szCs w:val="20"/>
          <w:lang w:val="es-ES_tradnl"/>
        </w:rPr>
        <w:t>Las causales del artículo 35 de la Ley 2069 de 2020 aplican a los «[…]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De este modo, los factores de desempate del artículo 35 de la Ley de Emprendimiento no solo son aplicables a la contratación de las entidades regidas por el EGCAP, sino que extiende su aplicación a los procesos de selección de las entidades independientemente de su régimen de contratación,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celebren los sujetos mencionados.</w:t>
      </w:r>
    </w:p>
    <w:p w14:paraId="16BAB2A9" w14:textId="1364B465" w:rsidR="008F60F7" w:rsidRPr="008B0052" w:rsidRDefault="008F60F7" w:rsidP="004B7623">
      <w:pPr>
        <w:jc w:val="both"/>
        <w:rPr>
          <w:rFonts w:ascii="Arial" w:hAnsi="Arial" w:cs="Arial"/>
          <w:noProof/>
          <w:color w:val="000000" w:themeColor="text1"/>
          <w:sz w:val="22"/>
        </w:rPr>
      </w:pPr>
    </w:p>
    <w:p w14:paraId="7430A7A9" w14:textId="3AB05936" w:rsidR="00876B20" w:rsidRPr="008B0052" w:rsidRDefault="00876B20" w:rsidP="004B7623">
      <w:pPr>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 xml:space="preserve">FACTORES DE DESEMPATE – </w:t>
      </w:r>
      <w:r w:rsidR="000C4176" w:rsidRPr="008B0052">
        <w:rPr>
          <w:rFonts w:ascii="Arial" w:eastAsia="Calibri" w:hAnsi="Arial" w:cs="Arial"/>
          <w:b/>
          <w:color w:val="000000" w:themeColor="text1"/>
          <w:sz w:val="22"/>
          <w:lang w:val="es-ES_tradnl"/>
        </w:rPr>
        <w:t xml:space="preserve">Artículo 35 – </w:t>
      </w:r>
      <w:r w:rsidR="00A01974" w:rsidRPr="008B0052">
        <w:rPr>
          <w:rFonts w:ascii="Arial" w:eastAsia="Calibri" w:hAnsi="Arial" w:cs="Arial"/>
          <w:b/>
          <w:color w:val="000000" w:themeColor="text1"/>
          <w:sz w:val="22"/>
          <w:lang w:val="es-ES_tradnl"/>
        </w:rPr>
        <w:t>Procesos contractuales – Corredores de seguros</w:t>
      </w:r>
    </w:p>
    <w:p w14:paraId="1969469C" w14:textId="76C67FD2" w:rsidR="008F60F7" w:rsidRPr="008B0052" w:rsidRDefault="008F60F7" w:rsidP="004B7623">
      <w:pPr>
        <w:jc w:val="both"/>
        <w:rPr>
          <w:rFonts w:ascii="Arial" w:eastAsia="Calibri" w:hAnsi="Arial" w:cs="Arial"/>
          <w:color w:val="000000" w:themeColor="text1"/>
          <w:sz w:val="20"/>
          <w:szCs w:val="20"/>
          <w:lang w:val="es-ES_tradnl"/>
        </w:rPr>
      </w:pPr>
    </w:p>
    <w:p w14:paraId="398BED83" w14:textId="77777777" w:rsidR="00A01974" w:rsidRPr="008B0052" w:rsidRDefault="00A01974" w:rsidP="00A01974">
      <w:pPr>
        <w:spacing w:after="120"/>
        <w:jc w:val="both"/>
        <w:rPr>
          <w:rFonts w:ascii="Arial" w:eastAsia="Calibri" w:hAnsi="Arial" w:cs="Arial"/>
          <w:color w:val="000000" w:themeColor="text1"/>
          <w:sz w:val="20"/>
          <w:szCs w:val="20"/>
          <w:lang w:val="es-ES_tradnl"/>
        </w:rPr>
      </w:pPr>
      <w:r w:rsidRPr="008B0052">
        <w:rPr>
          <w:rFonts w:ascii="Arial" w:eastAsia="Calibri" w:hAnsi="Arial" w:cs="Arial"/>
          <w:color w:val="000000" w:themeColor="text1"/>
          <w:sz w:val="20"/>
          <w:szCs w:val="20"/>
          <w:lang w:val="es-ES_tradnl"/>
        </w:rPr>
        <w:t xml:space="preserve">De acuerdo con el artículo 35 de la Ley de Emprendimiento, los factores de desempate aplican en tres (3) supuestos diferentes: i) para los procesos de contratación realizados con cargo a recursos públicos, </w:t>
      </w:r>
      <w:proofErr w:type="spellStart"/>
      <w:r w:rsidRPr="008B0052">
        <w:rPr>
          <w:rFonts w:ascii="Arial" w:eastAsia="Calibri" w:hAnsi="Arial" w:cs="Arial"/>
          <w:color w:val="000000" w:themeColor="text1"/>
          <w:sz w:val="20"/>
          <w:szCs w:val="20"/>
          <w:lang w:val="es-ES_tradnl"/>
        </w:rPr>
        <w:t>ii</w:t>
      </w:r>
      <w:proofErr w:type="spellEnd"/>
      <w:r w:rsidRPr="008B0052">
        <w:rPr>
          <w:rFonts w:ascii="Arial" w:eastAsia="Calibri" w:hAnsi="Arial" w:cs="Arial"/>
          <w:color w:val="000000" w:themeColor="text1"/>
          <w:sz w:val="20"/>
          <w:szCs w:val="20"/>
          <w:lang w:val="es-ES_tradnl"/>
        </w:rPr>
        <w:t xml:space="preserve">) para los procesos de contratación realizados por las entidades estatales indistintamente de su régimen de contratación y </w:t>
      </w:r>
      <w:proofErr w:type="spellStart"/>
      <w:r w:rsidRPr="008B0052">
        <w:rPr>
          <w:rFonts w:ascii="Arial" w:eastAsia="Calibri" w:hAnsi="Arial" w:cs="Arial"/>
          <w:color w:val="000000" w:themeColor="text1"/>
          <w:sz w:val="20"/>
          <w:szCs w:val="20"/>
          <w:lang w:val="es-ES_tradnl"/>
        </w:rPr>
        <w:t>iii</w:t>
      </w:r>
      <w:proofErr w:type="spellEnd"/>
      <w:r w:rsidRPr="008B0052">
        <w:rPr>
          <w:rFonts w:ascii="Arial" w:eastAsia="Calibri" w:hAnsi="Arial" w:cs="Arial"/>
          <w:color w:val="000000" w:themeColor="text1"/>
          <w:sz w:val="20"/>
          <w:szCs w:val="20"/>
          <w:lang w:val="es-ES_tradnl"/>
        </w:rPr>
        <w:t xml:space="preserve">) para los procesos de contratación de los patrimonios autónomos constituidos por entidades estatales. En esta medida, el hecho de que los factores de desempate no apliquen en virtud del </w:t>
      </w:r>
      <w:r w:rsidRPr="008B0052">
        <w:rPr>
          <w:rFonts w:ascii="Arial" w:eastAsia="Calibri" w:hAnsi="Arial" w:cs="Arial"/>
          <w:i/>
          <w:iCs/>
          <w:color w:val="000000" w:themeColor="text1"/>
          <w:sz w:val="20"/>
          <w:szCs w:val="20"/>
          <w:lang w:val="es-ES_tradnl"/>
        </w:rPr>
        <w:t>primer supuesto</w:t>
      </w:r>
      <w:r w:rsidRPr="008B0052">
        <w:rPr>
          <w:rFonts w:ascii="Arial" w:eastAsia="Calibri" w:hAnsi="Arial" w:cs="Arial"/>
          <w:color w:val="000000" w:themeColor="text1"/>
          <w:sz w:val="20"/>
          <w:szCs w:val="20"/>
          <w:lang w:val="es-ES_tradnl"/>
        </w:rPr>
        <w:t>, no significa que dejen de regir por lo previsto en los dos (2) restantes. Lo anterior en la medida que son tres (3) hipótesis distintas de aplicación de los factores de desempate en el sistema de compras y contratación pública.</w:t>
      </w:r>
    </w:p>
    <w:p w14:paraId="3822A17D" w14:textId="283BE327" w:rsidR="008F60F7" w:rsidRPr="008B0052" w:rsidRDefault="00E70CF9" w:rsidP="00A01974">
      <w:pPr>
        <w:jc w:val="both"/>
        <w:rPr>
          <w:rFonts w:ascii="Arial" w:eastAsia="Calibri" w:hAnsi="Arial" w:cs="Arial"/>
          <w:color w:val="000000" w:themeColor="text1"/>
          <w:sz w:val="20"/>
          <w:szCs w:val="20"/>
          <w:lang w:val="es-ES_tradnl"/>
        </w:rPr>
      </w:pPr>
      <w:r w:rsidRPr="008B0052">
        <w:rPr>
          <w:rFonts w:ascii="Arial" w:eastAsia="Calibri" w:hAnsi="Arial" w:cs="Arial"/>
          <w:color w:val="000000" w:themeColor="text1"/>
          <w:sz w:val="20"/>
          <w:szCs w:val="20"/>
          <w:lang w:val="es-ES_tradnl"/>
        </w:rPr>
        <w:t xml:space="preserve">Aunque para el </w:t>
      </w:r>
      <w:r w:rsidRPr="008B0052">
        <w:rPr>
          <w:rFonts w:ascii="Arial" w:eastAsia="Calibri" w:hAnsi="Arial" w:cs="Arial"/>
          <w:i/>
          <w:iCs/>
          <w:color w:val="000000" w:themeColor="text1"/>
          <w:sz w:val="20"/>
          <w:szCs w:val="20"/>
          <w:lang w:val="es-ES_tradnl"/>
        </w:rPr>
        <w:t>primer supuesto</w:t>
      </w:r>
      <w:r w:rsidRPr="008B0052">
        <w:rPr>
          <w:rFonts w:ascii="Arial" w:eastAsia="Calibri" w:hAnsi="Arial" w:cs="Arial"/>
          <w:color w:val="000000" w:themeColor="text1"/>
          <w:sz w:val="20"/>
          <w:szCs w:val="20"/>
          <w:lang w:val="es-ES_tradnl"/>
        </w:rPr>
        <w:t xml:space="preserve"> es jurídicamente relevante la naturaleza pública de los recursos, el </w:t>
      </w:r>
      <w:r w:rsidRPr="008B0052">
        <w:rPr>
          <w:rFonts w:ascii="Arial" w:eastAsia="Calibri" w:hAnsi="Arial" w:cs="Arial"/>
          <w:i/>
          <w:iCs/>
          <w:color w:val="000000" w:themeColor="text1"/>
          <w:sz w:val="20"/>
          <w:szCs w:val="20"/>
          <w:lang w:val="es-ES_tradnl"/>
        </w:rPr>
        <w:t>segundo supuesto</w:t>
      </w:r>
      <w:r w:rsidRPr="008B0052">
        <w:rPr>
          <w:rFonts w:ascii="Arial" w:eastAsia="Calibri" w:hAnsi="Arial" w:cs="Arial"/>
          <w:color w:val="000000" w:themeColor="text1"/>
          <w:sz w:val="20"/>
          <w:szCs w:val="20"/>
          <w:lang w:val="es-ES_tradnl"/>
        </w:rPr>
        <w:t xml:space="preserve"> hace abstracción de este requisito cuando dispone que los factores de desempate rigen también en «[…] </w:t>
      </w:r>
      <w:r w:rsidRPr="008B0052">
        <w:rPr>
          <w:rFonts w:ascii="Arial" w:eastAsia="Calibri" w:hAnsi="Arial" w:cs="Arial"/>
          <w:i/>
          <w:iCs/>
          <w:color w:val="000000" w:themeColor="text1"/>
          <w:sz w:val="20"/>
          <w:szCs w:val="20"/>
          <w:lang w:val="es-ES_tradnl"/>
        </w:rPr>
        <w:t>los Procesos de Contratación realizados por las Entidades Estatales indistintamente de su régimen de contratación</w:t>
      </w:r>
      <w:r w:rsidRPr="008B0052">
        <w:rPr>
          <w:rFonts w:ascii="Arial" w:eastAsia="Calibri" w:hAnsi="Arial" w:cs="Arial"/>
          <w:color w:val="000000" w:themeColor="text1"/>
          <w:sz w:val="20"/>
          <w:szCs w:val="20"/>
          <w:lang w:val="es-ES_tradnl"/>
        </w:rPr>
        <w:t xml:space="preserve"> […]» (Énfasis fuera de texto). Dado que este apartado de la norma no distingue si existe o no ejecución de recursos públicos, la Agencia entiende que aplica a ambos supuestos bajo la máxima hermenéutica según la cual donde el legislador no distingue, no le es lícito al intérprete distinguir. Por tanto, si bien es cierto que en los procesos de los corredores de seguros no existe ejecución de recursos públicos, la Agencia considera que aplican los factores de desempate en virtud del segundo supuesto previsto en el artículo 35 de la Ley 2069 de 2020</w:t>
      </w:r>
      <w:r w:rsidR="00A01974" w:rsidRPr="008B0052">
        <w:rPr>
          <w:rFonts w:ascii="Arial" w:eastAsia="Calibri" w:hAnsi="Arial" w:cs="Arial"/>
          <w:color w:val="000000" w:themeColor="text1"/>
          <w:sz w:val="20"/>
          <w:szCs w:val="20"/>
          <w:lang w:val="es-ES_tradnl"/>
        </w:rPr>
        <w:t xml:space="preserve">.   </w:t>
      </w:r>
    </w:p>
    <w:p w14:paraId="7E676BFD" w14:textId="77777777" w:rsidR="000C4176" w:rsidRPr="008B0052" w:rsidRDefault="000C4176" w:rsidP="004B7623">
      <w:pPr>
        <w:jc w:val="both"/>
        <w:rPr>
          <w:rFonts w:ascii="Arial" w:eastAsia="Calibri" w:hAnsi="Arial" w:cs="Arial"/>
          <w:color w:val="000000" w:themeColor="text1"/>
          <w:sz w:val="20"/>
          <w:szCs w:val="20"/>
          <w:lang w:val="es-ES_tradnl"/>
        </w:rPr>
      </w:pPr>
    </w:p>
    <w:p w14:paraId="60A6B4F5" w14:textId="3EB76394" w:rsidR="000C4176" w:rsidRPr="008B0052" w:rsidRDefault="000C4176" w:rsidP="004B7623">
      <w:pPr>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lastRenderedPageBreak/>
        <w:t>FACTORES DE DESEMPATE</w:t>
      </w:r>
      <w:r w:rsidR="00A01974" w:rsidRPr="008B0052">
        <w:rPr>
          <w:rFonts w:ascii="Arial" w:eastAsia="Calibri" w:hAnsi="Arial" w:cs="Arial"/>
          <w:b/>
          <w:color w:val="000000" w:themeColor="text1"/>
          <w:sz w:val="22"/>
          <w:lang w:val="es-ES_tradnl"/>
        </w:rPr>
        <w:t xml:space="preserve"> </w:t>
      </w:r>
      <w:r w:rsidRPr="008B0052">
        <w:rPr>
          <w:rFonts w:ascii="Arial" w:eastAsia="Calibri" w:hAnsi="Arial" w:cs="Arial"/>
          <w:b/>
          <w:color w:val="000000" w:themeColor="text1"/>
          <w:sz w:val="22"/>
          <w:lang w:val="es-ES_tradnl"/>
        </w:rPr>
        <w:t xml:space="preserve">– </w:t>
      </w:r>
      <w:r w:rsidR="00A01974" w:rsidRPr="008B0052">
        <w:rPr>
          <w:rFonts w:ascii="Arial" w:eastAsia="Calibri" w:hAnsi="Arial" w:cs="Arial"/>
          <w:b/>
          <w:color w:val="000000" w:themeColor="text1"/>
          <w:sz w:val="22"/>
          <w:lang w:val="es-ES_tradnl"/>
        </w:rPr>
        <w:t>Postead reglamentaria – Límites – Decreto 1860 de 2021 – Alcance</w:t>
      </w:r>
    </w:p>
    <w:p w14:paraId="64D29FED" w14:textId="7F4E2F2B" w:rsidR="008F60F7" w:rsidRPr="008B0052" w:rsidRDefault="008F60F7" w:rsidP="004B7623">
      <w:pPr>
        <w:jc w:val="both"/>
        <w:rPr>
          <w:rFonts w:ascii="Arial" w:hAnsi="Arial" w:cs="Arial"/>
          <w:noProof/>
          <w:color w:val="000000" w:themeColor="text1"/>
          <w:sz w:val="22"/>
        </w:rPr>
      </w:pPr>
    </w:p>
    <w:p w14:paraId="684AC914" w14:textId="16C34959" w:rsidR="00A01974" w:rsidRPr="008B0052" w:rsidRDefault="00A01974" w:rsidP="00A01974">
      <w:pPr>
        <w:spacing w:after="120"/>
        <w:jc w:val="both"/>
        <w:rPr>
          <w:rFonts w:ascii="Arial" w:eastAsia="Calibri" w:hAnsi="Arial" w:cs="Arial"/>
          <w:color w:val="000000" w:themeColor="text1"/>
          <w:sz w:val="20"/>
          <w:szCs w:val="20"/>
          <w:lang w:val="es-ES_tradnl"/>
        </w:rPr>
      </w:pPr>
      <w:r w:rsidRPr="008B0052">
        <w:rPr>
          <w:rFonts w:ascii="Arial" w:eastAsia="Calibri" w:hAnsi="Arial" w:cs="Arial"/>
          <w:color w:val="000000" w:themeColor="text1"/>
          <w:sz w:val="20"/>
          <w:szCs w:val="20"/>
          <w:lang w:val="es-ES_tradnl"/>
        </w:rPr>
        <w:t>Aunque en la solicitud se alude a la posibilidad de limitar la aplicación de los factores de desempate por lo previsto en el parágrafo 3 del artículo 35 de la Ley 2069 de 2020, la potestad reglamentaria no puede ejercerse para ampliar o reducir el ámbito de aplicación de la ley. De hecho, si bien la norma permite reglamentar los factores de desempate en los casos en que concurran dos o más de los criterios allí previstos, es necesario tener en cuenta que –de acuerdo con el inciso primero– los factores se aplican en orden sucesivo y excluyente, por lo que queda descartada su concurrencia.</w:t>
      </w:r>
    </w:p>
    <w:p w14:paraId="181104B2" w14:textId="2E44C1C1" w:rsidR="00A01974" w:rsidRPr="008B0052" w:rsidRDefault="009B76E9" w:rsidP="00A01974">
      <w:pPr>
        <w:jc w:val="both"/>
        <w:rPr>
          <w:rFonts w:ascii="Arial" w:eastAsia="Calibri" w:hAnsi="Arial" w:cs="Arial"/>
          <w:color w:val="000000" w:themeColor="text1"/>
          <w:sz w:val="20"/>
          <w:szCs w:val="20"/>
        </w:rPr>
      </w:pPr>
      <w:r w:rsidRPr="008B0052">
        <w:rPr>
          <w:rFonts w:ascii="Arial" w:eastAsia="Calibri" w:hAnsi="Arial" w:cs="Arial"/>
          <w:color w:val="000000" w:themeColor="text1"/>
          <w:sz w:val="20"/>
          <w:szCs w:val="20"/>
        </w:rPr>
        <w:t xml:space="preserve">Por tanto, no es posible modificar el ámbito de aplicación de la norma, los criterios de desempate ni el orden de su aplicación sucesivo y excluyente. A lo sumo, como dispone el Decreto 1860 del 24 de diciembre de 2021 que adicionó el artículo 2.2.1.2.4.2.17 al Decreto 1082 de 2015, puede determinarse cómo se acredita cada criterio. De hecho, la disposición adicionada es congruente con el ámbito de aplicación del artículo 35 de la Ley 2069 de 2020, ya que –conforme a los tres (3) supuestos explicados </w:t>
      </w:r>
      <w:r w:rsidRPr="008B0052">
        <w:rPr>
          <w:rFonts w:ascii="Arial" w:eastAsia="Calibri" w:hAnsi="Arial" w:cs="Arial"/>
          <w:i/>
          <w:iCs/>
          <w:color w:val="000000" w:themeColor="text1"/>
          <w:sz w:val="20"/>
          <w:szCs w:val="20"/>
        </w:rPr>
        <w:t>ut supra</w:t>
      </w:r>
      <w:r w:rsidRPr="008B0052">
        <w:rPr>
          <w:rFonts w:ascii="Arial" w:eastAsia="Calibri" w:hAnsi="Arial" w:cs="Arial"/>
          <w:color w:val="000000" w:themeColor="text1"/>
          <w:sz w:val="20"/>
          <w:szCs w:val="20"/>
        </w:rPr>
        <w:t xml:space="preserve">– la reglamentación que entrará en vigencia tres (3) meses contados a partir de su fecha de expedición también aplica «[…] en los Procesos de Contratación realizados con cargo a recursos públicos, </w:t>
      </w:r>
      <w:r w:rsidRPr="008B0052">
        <w:rPr>
          <w:rFonts w:ascii="Arial" w:eastAsia="Calibri" w:hAnsi="Arial" w:cs="Arial"/>
          <w:i/>
          <w:iCs/>
          <w:color w:val="000000" w:themeColor="text1"/>
          <w:sz w:val="20"/>
          <w:szCs w:val="20"/>
        </w:rPr>
        <w:t>en los Procesos de Contratación realizados por las Entidades Estatales indistintamente de su régimen de contratación</w:t>
      </w:r>
      <w:r w:rsidRPr="008B0052">
        <w:rPr>
          <w:rFonts w:ascii="Arial" w:eastAsia="Calibri" w:hAnsi="Arial" w:cs="Arial"/>
          <w:color w:val="000000" w:themeColor="text1"/>
          <w:sz w:val="20"/>
          <w:szCs w:val="20"/>
        </w:rPr>
        <w:t>, así como los celebrados por los Procesos de Contratación de los patrimonios autónomos constituidos por Entidades Estatales […]» (Énfasis fuera de texto).</w:t>
      </w:r>
      <w:r w:rsidRPr="008B0052">
        <w:rPr>
          <w:rFonts w:ascii="Arial" w:eastAsia="Calibri" w:hAnsi="Arial" w:cs="Arial"/>
          <w:color w:val="000000" w:themeColor="text1"/>
          <w:sz w:val="20"/>
          <w:szCs w:val="20"/>
          <w:lang w:val="es-ES_tradnl"/>
        </w:rPr>
        <w:t xml:space="preserve">     </w:t>
      </w:r>
      <w:r w:rsidR="00A01974" w:rsidRPr="008B0052">
        <w:rPr>
          <w:rFonts w:ascii="Arial" w:eastAsia="Calibri" w:hAnsi="Arial" w:cs="Arial"/>
          <w:color w:val="000000" w:themeColor="text1"/>
          <w:sz w:val="20"/>
          <w:szCs w:val="20"/>
          <w:lang w:val="es-ES_tradnl"/>
        </w:rPr>
        <w:t xml:space="preserve">         </w:t>
      </w:r>
    </w:p>
    <w:p w14:paraId="75749049" w14:textId="13D0308A" w:rsidR="008F60F7" w:rsidRPr="008B0052" w:rsidRDefault="008F60F7" w:rsidP="004B7623">
      <w:pPr>
        <w:jc w:val="both"/>
        <w:rPr>
          <w:rFonts w:ascii="Arial" w:hAnsi="Arial" w:cs="Arial"/>
          <w:noProof/>
          <w:color w:val="000000" w:themeColor="text1"/>
          <w:sz w:val="22"/>
        </w:rPr>
      </w:pPr>
    </w:p>
    <w:p w14:paraId="2EA7AB2B" w14:textId="1DB58C84" w:rsidR="00153DE4" w:rsidRPr="008B0052" w:rsidRDefault="00153DE4">
      <w:pPr>
        <w:spacing w:after="200" w:line="276" w:lineRule="auto"/>
        <w:rPr>
          <w:rFonts w:ascii="Arial" w:hAnsi="Arial" w:cs="Arial"/>
          <w:noProof/>
          <w:color w:val="000000" w:themeColor="text1"/>
          <w:sz w:val="22"/>
        </w:rPr>
      </w:pPr>
      <w:r w:rsidRPr="008B0052">
        <w:rPr>
          <w:rFonts w:ascii="Arial" w:hAnsi="Arial" w:cs="Arial"/>
          <w:noProof/>
          <w:color w:val="000000" w:themeColor="text1"/>
          <w:sz w:val="22"/>
        </w:rPr>
        <w:br w:type="page"/>
      </w:r>
    </w:p>
    <w:p w14:paraId="58DC5C4C" w14:textId="77777777" w:rsidR="00A52EF0" w:rsidRPr="008B0052" w:rsidRDefault="00A52EF0" w:rsidP="00C118DB">
      <w:pPr>
        <w:spacing w:line="276" w:lineRule="auto"/>
        <w:jc w:val="both"/>
        <w:rPr>
          <w:rFonts w:ascii="Arial" w:hAnsi="Arial" w:cs="Arial"/>
          <w:noProof/>
          <w:color w:val="000000" w:themeColor="text1"/>
          <w:sz w:val="22"/>
        </w:rPr>
      </w:pPr>
    </w:p>
    <w:p w14:paraId="279F0495" w14:textId="7C29BB8D" w:rsidR="00D97CF1" w:rsidRPr="008B0052" w:rsidRDefault="008C2B54" w:rsidP="008C2B54">
      <w:pPr>
        <w:spacing w:line="276" w:lineRule="auto"/>
        <w:jc w:val="right"/>
        <w:rPr>
          <w:rFonts w:ascii="Arial" w:hAnsi="Arial" w:cs="Arial"/>
          <w:noProof/>
          <w:color w:val="000000" w:themeColor="text1"/>
          <w:sz w:val="22"/>
        </w:rPr>
      </w:pPr>
      <w:r w:rsidRPr="008C2B54">
        <w:rPr>
          <w:rFonts w:ascii="Arial" w:hAnsi="Arial" w:cs="Arial"/>
          <w:noProof/>
          <w:color w:val="000000" w:themeColor="text1"/>
          <w:sz w:val="22"/>
        </w:rPr>
        <w:drawing>
          <wp:inline distT="0" distB="0" distL="0" distR="0" wp14:anchorId="680D1225" wp14:editId="587E1472">
            <wp:extent cx="2429214" cy="628738"/>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29214" cy="628738"/>
                    </a:xfrm>
                    <a:prstGeom prst="rect">
                      <a:avLst/>
                    </a:prstGeom>
                  </pic:spPr>
                </pic:pic>
              </a:graphicData>
            </a:graphic>
          </wp:inline>
        </w:drawing>
      </w:r>
    </w:p>
    <w:bookmarkEnd w:id="2"/>
    <w:p w14:paraId="73E1AC56" w14:textId="77777777" w:rsidR="002A4B80" w:rsidRPr="002A4B80" w:rsidRDefault="002A4B80" w:rsidP="002A4B80">
      <w:pPr>
        <w:rPr>
          <w:rFonts w:ascii="Arial" w:eastAsia="Arial" w:hAnsi="Arial" w:cs="Arial"/>
          <w:color w:val="000000"/>
          <w:sz w:val="20"/>
          <w:szCs w:val="20"/>
          <w:lang w:val="es-MX"/>
        </w:rPr>
      </w:pPr>
    </w:p>
    <w:p w14:paraId="339D4C6A" w14:textId="491F2B2D" w:rsidR="002A4B80" w:rsidRPr="002A4B80" w:rsidRDefault="002A4B80" w:rsidP="002A4B80">
      <w:pPr>
        <w:rPr>
          <w:rFonts w:ascii="Arial" w:eastAsia="Arial" w:hAnsi="Arial" w:cs="Arial"/>
          <w:color w:val="000000"/>
          <w:sz w:val="22"/>
          <w:szCs w:val="22"/>
          <w:lang w:val="es-MX"/>
        </w:rPr>
      </w:pPr>
      <w:r w:rsidRPr="002A4B80">
        <w:rPr>
          <w:rFonts w:ascii="Arial" w:eastAsia="Arial" w:hAnsi="Arial" w:cs="Arial"/>
          <w:color w:val="000000"/>
          <w:sz w:val="22"/>
          <w:szCs w:val="22"/>
          <w:lang w:val="es-MX"/>
        </w:rPr>
        <w:t>Bogotá, 2</w:t>
      </w:r>
      <w:r w:rsidR="008C2B54" w:rsidRPr="008C2B54">
        <w:rPr>
          <w:rFonts w:ascii="Arial" w:eastAsia="Arial" w:hAnsi="Arial" w:cs="Arial"/>
          <w:color w:val="000000"/>
          <w:sz w:val="22"/>
          <w:szCs w:val="22"/>
          <w:lang w:val="es-MX"/>
        </w:rPr>
        <w:t>7</w:t>
      </w:r>
      <w:r w:rsidRPr="002A4B80">
        <w:rPr>
          <w:rFonts w:ascii="Arial" w:eastAsia="Arial" w:hAnsi="Arial" w:cs="Arial"/>
          <w:color w:val="000000"/>
          <w:sz w:val="22"/>
          <w:szCs w:val="22"/>
          <w:lang w:val="es-MX"/>
        </w:rPr>
        <w:t xml:space="preserve"> </w:t>
      </w:r>
      <w:proofErr w:type="gramStart"/>
      <w:r w:rsidRPr="002A4B80">
        <w:rPr>
          <w:rFonts w:ascii="Arial" w:eastAsia="Arial" w:hAnsi="Arial" w:cs="Arial"/>
          <w:color w:val="000000"/>
          <w:sz w:val="22"/>
          <w:szCs w:val="22"/>
          <w:lang w:val="es-MX"/>
        </w:rPr>
        <w:t>Enero</w:t>
      </w:r>
      <w:proofErr w:type="gramEnd"/>
      <w:r w:rsidRPr="002A4B80">
        <w:rPr>
          <w:rFonts w:ascii="Arial" w:eastAsia="Arial" w:hAnsi="Arial" w:cs="Arial"/>
          <w:color w:val="000000"/>
          <w:sz w:val="22"/>
          <w:szCs w:val="22"/>
          <w:lang w:val="es-MX"/>
        </w:rPr>
        <w:t xml:space="preserve"> 2022</w:t>
      </w:r>
    </w:p>
    <w:p w14:paraId="1D2A79F4" w14:textId="18E1F403" w:rsidR="009D18F8" w:rsidRPr="008B0052" w:rsidRDefault="009D18F8" w:rsidP="00B95C30">
      <w:pPr>
        <w:jc w:val="both"/>
        <w:rPr>
          <w:rFonts w:ascii="Arial" w:hAnsi="Arial" w:cs="Arial"/>
          <w:b/>
          <w:color w:val="000000" w:themeColor="text1"/>
          <w:sz w:val="22"/>
        </w:rPr>
      </w:pPr>
    </w:p>
    <w:p w14:paraId="2F5AE83D" w14:textId="77777777" w:rsidR="00FF10AF" w:rsidRPr="008B0052" w:rsidRDefault="00FF10AF" w:rsidP="00B95C30">
      <w:pPr>
        <w:jc w:val="both"/>
        <w:rPr>
          <w:rFonts w:ascii="Arial" w:hAnsi="Arial" w:cs="Arial"/>
          <w:b/>
          <w:color w:val="000000" w:themeColor="text1"/>
          <w:sz w:val="22"/>
        </w:rPr>
      </w:pPr>
    </w:p>
    <w:p w14:paraId="66C7949E" w14:textId="759BB240" w:rsidR="00513AA0" w:rsidRPr="008B0052" w:rsidRDefault="00153DE4" w:rsidP="00B95C30">
      <w:pPr>
        <w:jc w:val="both"/>
        <w:rPr>
          <w:rFonts w:ascii="Arial" w:eastAsia="Calibri" w:hAnsi="Arial" w:cs="Arial"/>
          <w:color w:val="000000" w:themeColor="text1"/>
          <w:sz w:val="22"/>
          <w:lang w:val="es-ES_tradnl"/>
        </w:rPr>
      </w:pPr>
      <w:bookmarkStart w:id="3" w:name="_Hlk74295142"/>
      <w:bookmarkStart w:id="4" w:name="_Hlk86079905"/>
      <w:r w:rsidRPr="008B0052">
        <w:rPr>
          <w:rFonts w:ascii="Arial" w:eastAsia="Calibri" w:hAnsi="Arial" w:cs="Arial"/>
          <w:color w:val="000000" w:themeColor="text1"/>
          <w:sz w:val="22"/>
          <w:lang w:val="es-ES_tradnl"/>
        </w:rPr>
        <w:t>Doctora</w:t>
      </w:r>
    </w:p>
    <w:p w14:paraId="1FCB8EA0" w14:textId="2E098CC3" w:rsidR="008B436A" w:rsidRPr="008B0052" w:rsidRDefault="00153DE4" w:rsidP="00B95C30">
      <w:pPr>
        <w:jc w:val="both"/>
        <w:rPr>
          <w:rFonts w:ascii="Arial" w:eastAsia="Calibri" w:hAnsi="Arial" w:cs="Arial"/>
          <w:b/>
          <w:bCs/>
          <w:color w:val="000000" w:themeColor="text1"/>
          <w:sz w:val="22"/>
          <w:lang w:val="es-ES_tradnl"/>
        </w:rPr>
      </w:pPr>
      <w:r w:rsidRPr="008B0052">
        <w:rPr>
          <w:rFonts w:ascii="Arial" w:eastAsia="Calibri" w:hAnsi="Arial" w:cs="Arial"/>
          <w:b/>
          <w:bCs/>
          <w:color w:val="000000" w:themeColor="text1"/>
          <w:sz w:val="22"/>
          <w:lang w:val="es-ES_tradnl"/>
        </w:rPr>
        <w:t>Claudia González Sánchez</w:t>
      </w:r>
    </w:p>
    <w:p w14:paraId="3F69CF49" w14:textId="32D894AB" w:rsidR="00153DE4" w:rsidRPr="008B0052" w:rsidRDefault="00153DE4" w:rsidP="00B95C30">
      <w:pPr>
        <w:jc w:val="both"/>
        <w:rPr>
          <w:rFonts w:ascii="Arial" w:eastAsia="Calibri" w:hAnsi="Arial" w:cs="Arial"/>
          <w:color w:val="000000" w:themeColor="text1"/>
          <w:sz w:val="22"/>
          <w:lang w:val="es-ES_tradnl"/>
        </w:rPr>
      </w:pPr>
      <w:r w:rsidRPr="008B0052">
        <w:rPr>
          <w:rFonts w:ascii="Arial" w:eastAsia="Calibri" w:hAnsi="Arial" w:cs="Arial"/>
          <w:color w:val="000000" w:themeColor="text1"/>
          <w:sz w:val="22"/>
          <w:lang w:val="es-ES_tradnl"/>
        </w:rPr>
        <w:t xml:space="preserve">Presidente </w:t>
      </w:r>
      <w:r w:rsidR="00564520" w:rsidRPr="008B0052">
        <w:rPr>
          <w:rFonts w:ascii="Arial" w:eastAsia="Calibri" w:hAnsi="Arial" w:cs="Arial"/>
          <w:color w:val="000000" w:themeColor="text1"/>
          <w:sz w:val="22"/>
          <w:lang w:val="es-ES_tradnl"/>
        </w:rPr>
        <w:t>E</w:t>
      </w:r>
      <w:r w:rsidRPr="008B0052">
        <w:rPr>
          <w:rFonts w:ascii="Arial" w:eastAsia="Calibri" w:hAnsi="Arial" w:cs="Arial"/>
          <w:color w:val="000000" w:themeColor="text1"/>
          <w:sz w:val="22"/>
          <w:lang w:val="es-ES_tradnl"/>
        </w:rPr>
        <w:t xml:space="preserve">jecutiva de </w:t>
      </w:r>
      <w:bookmarkStart w:id="5" w:name="_Hlk92437029"/>
      <w:r w:rsidRPr="008B0052">
        <w:rPr>
          <w:rFonts w:ascii="Arial" w:eastAsia="Calibri" w:hAnsi="Arial" w:cs="Arial"/>
          <w:color w:val="000000" w:themeColor="text1"/>
          <w:sz w:val="22"/>
          <w:lang w:val="es-ES_tradnl"/>
        </w:rPr>
        <w:t>la Asociación Colombiana de Corredores de Seguros</w:t>
      </w:r>
      <w:bookmarkEnd w:id="5"/>
      <w:r w:rsidR="00432445" w:rsidRPr="008B0052">
        <w:rPr>
          <w:rFonts w:ascii="Arial" w:eastAsia="Calibri" w:hAnsi="Arial" w:cs="Arial"/>
          <w:color w:val="000000" w:themeColor="text1"/>
          <w:sz w:val="22"/>
          <w:lang w:val="es-ES_tradnl"/>
        </w:rPr>
        <w:t xml:space="preserve"> </w:t>
      </w:r>
    </w:p>
    <w:p w14:paraId="1C2ABD83" w14:textId="6A751A87" w:rsidR="00483B7D" w:rsidRPr="008B0052" w:rsidRDefault="008B436A" w:rsidP="00B95C30">
      <w:pPr>
        <w:jc w:val="both"/>
        <w:rPr>
          <w:rFonts w:ascii="Arial" w:eastAsia="Calibri" w:hAnsi="Arial" w:cs="Arial"/>
          <w:color w:val="000000" w:themeColor="text1"/>
          <w:sz w:val="22"/>
          <w:lang w:val="es-ES_tradnl"/>
        </w:rPr>
      </w:pPr>
      <w:r w:rsidRPr="008B0052">
        <w:rPr>
          <w:rFonts w:ascii="Arial" w:eastAsia="Calibri" w:hAnsi="Arial" w:cs="Arial"/>
          <w:color w:val="000000" w:themeColor="text1"/>
          <w:sz w:val="22"/>
          <w:lang w:val="es-ES_tradnl"/>
        </w:rPr>
        <w:t xml:space="preserve">Bogotá D.C. </w:t>
      </w:r>
    </w:p>
    <w:p w14:paraId="5EA507D9" w14:textId="77777777" w:rsidR="00FF10AF" w:rsidRPr="008B0052" w:rsidRDefault="00FF10AF" w:rsidP="00B95C30">
      <w:pPr>
        <w:jc w:val="both"/>
        <w:rPr>
          <w:rFonts w:ascii="Arial" w:eastAsia="Calibri" w:hAnsi="Arial" w:cs="Arial"/>
          <w:color w:val="000000" w:themeColor="text1"/>
          <w:sz w:val="22"/>
          <w:lang w:val="es-ES_tradnl"/>
        </w:rPr>
      </w:pPr>
    </w:p>
    <w:p w14:paraId="525F1A77" w14:textId="77777777" w:rsidR="008B436A" w:rsidRPr="008B0052" w:rsidRDefault="008B436A" w:rsidP="0081325C">
      <w:pPr>
        <w:rPr>
          <w:rFonts w:ascii="Arial" w:eastAsia="Calibri" w:hAnsi="Arial" w:cs="Arial"/>
          <w:b/>
          <w:bCs/>
          <w:color w:val="000000" w:themeColor="text1"/>
          <w:sz w:val="22"/>
          <w:lang w:val="es-ES_tradnl"/>
        </w:rPr>
      </w:pPr>
    </w:p>
    <w:p w14:paraId="1BD594F9" w14:textId="5C8B5DC3" w:rsidR="00B95C30" w:rsidRPr="008B0052" w:rsidRDefault="009D18F8" w:rsidP="00BE59E9">
      <w:pPr>
        <w:rPr>
          <w:rFonts w:ascii="Arial" w:eastAsia="Calibri" w:hAnsi="Arial" w:cs="Arial"/>
          <w:color w:val="000000" w:themeColor="text1"/>
          <w:sz w:val="22"/>
          <w:lang w:val="es-ES_tradnl"/>
        </w:rPr>
      </w:pPr>
      <w:r w:rsidRPr="008B0052">
        <w:rPr>
          <w:rFonts w:ascii="Arial" w:eastAsia="Calibri" w:hAnsi="Arial" w:cs="Arial"/>
          <w:b/>
          <w:bCs/>
          <w:color w:val="000000" w:themeColor="text1"/>
          <w:sz w:val="22"/>
          <w:lang w:val="es-ES_tradnl"/>
        </w:rPr>
        <w:t xml:space="preserve">                                            </w:t>
      </w:r>
      <w:r w:rsidR="00513AA0" w:rsidRPr="008B0052">
        <w:rPr>
          <w:rFonts w:ascii="Arial" w:eastAsia="Calibri" w:hAnsi="Arial" w:cs="Arial"/>
          <w:b/>
          <w:bCs/>
          <w:color w:val="000000" w:themeColor="text1"/>
          <w:sz w:val="22"/>
          <w:lang w:val="es-ES_tradnl"/>
        </w:rPr>
        <w:t xml:space="preserve">Concepto C ‒ </w:t>
      </w:r>
      <w:r w:rsidR="00564520" w:rsidRPr="008B0052">
        <w:rPr>
          <w:rFonts w:ascii="Arial" w:eastAsia="Calibri" w:hAnsi="Arial" w:cs="Arial"/>
          <w:b/>
          <w:bCs/>
          <w:color w:val="000000" w:themeColor="text1"/>
          <w:sz w:val="22"/>
          <w:lang w:val="es-ES_tradnl"/>
        </w:rPr>
        <w:t>730</w:t>
      </w:r>
      <w:r w:rsidR="00F26002" w:rsidRPr="008B0052">
        <w:rPr>
          <w:rFonts w:ascii="Arial" w:eastAsia="Calibri" w:hAnsi="Arial" w:cs="Arial"/>
          <w:b/>
          <w:bCs/>
          <w:color w:val="000000" w:themeColor="text1"/>
          <w:sz w:val="22"/>
          <w:lang w:val="es-ES_tradnl"/>
        </w:rPr>
        <w:t xml:space="preserve"> </w:t>
      </w:r>
      <w:r w:rsidR="00275FBF" w:rsidRPr="008B0052">
        <w:rPr>
          <w:rFonts w:ascii="Arial" w:eastAsia="Calibri" w:hAnsi="Arial" w:cs="Arial"/>
          <w:b/>
          <w:bCs/>
          <w:color w:val="000000" w:themeColor="text1"/>
          <w:sz w:val="22"/>
          <w:lang w:val="es-ES_tradnl"/>
        </w:rPr>
        <w:t>de 202</w:t>
      </w:r>
      <w:r w:rsidR="00C273C9" w:rsidRPr="008B0052">
        <w:rPr>
          <w:rFonts w:ascii="Arial" w:eastAsia="Calibri" w:hAnsi="Arial" w:cs="Arial"/>
          <w:b/>
          <w:bCs/>
          <w:color w:val="000000" w:themeColor="text1"/>
          <w:sz w:val="22"/>
          <w:lang w:val="es-ES_tradnl"/>
        </w:rPr>
        <w:t>2</w:t>
      </w:r>
    </w:p>
    <w:p w14:paraId="7267652D" w14:textId="77777777" w:rsidR="00BE59E9" w:rsidRPr="008B0052" w:rsidRDefault="00BE59E9" w:rsidP="00BE59E9">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B0052" w14:paraId="19DFC051" w14:textId="77777777" w:rsidTr="00735B49">
        <w:tc>
          <w:tcPr>
            <w:tcW w:w="2689" w:type="dxa"/>
          </w:tcPr>
          <w:p w14:paraId="6BC0D1AC" w14:textId="77777777" w:rsidR="00B95C30" w:rsidRPr="008B0052" w:rsidRDefault="00B95C30" w:rsidP="00D15356">
            <w:pPr>
              <w:jc w:val="both"/>
              <w:rPr>
                <w:rFonts w:ascii="Arial" w:eastAsia="Calibri" w:hAnsi="Arial" w:cs="Arial"/>
                <w:color w:val="000000" w:themeColor="text1"/>
                <w:sz w:val="22"/>
                <w:lang w:val="es-ES_tradnl"/>
              </w:rPr>
            </w:pPr>
            <w:r w:rsidRPr="008B0052">
              <w:rPr>
                <w:rFonts w:ascii="Arial" w:eastAsia="Calibri" w:hAnsi="Arial" w:cs="Arial"/>
                <w:b/>
                <w:color w:val="000000" w:themeColor="text1"/>
                <w:sz w:val="22"/>
                <w:lang w:val="es-ES_tradnl"/>
              </w:rPr>
              <w:t>Temas:</w:t>
            </w:r>
            <w:r w:rsidRPr="008B0052">
              <w:rPr>
                <w:rFonts w:ascii="Arial" w:eastAsia="Calibri" w:hAnsi="Arial" w:cs="Arial"/>
                <w:color w:val="000000" w:themeColor="text1"/>
                <w:sz w:val="22"/>
                <w:lang w:val="es-ES_tradnl"/>
              </w:rPr>
              <w:t xml:space="preserve">                                      </w:t>
            </w:r>
          </w:p>
        </w:tc>
        <w:tc>
          <w:tcPr>
            <w:tcW w:w="6237" w:type="dxa"/>
          </w:tcPr>
          <w:p w14:paraId="5F389CAF" w14:textId="724D7188" w:rsidR="00B95C30" w:rsidRPr="008B0052" w:rsidRDefault="00A01974" w:rsidP="00D97CF1">
            <w:pPr>
              <w:jc w:val="both"/>
              <w:rPr>
                <w:rFonts w:ascii="Arial" w:eastAsia="Calibri" w:hAnsi="Arial" w:cs="Arial"/>
                <w:color w:val="000000" w:themeColor="text1"/>
                <w:sz w:val="22"/>
                <w:szCs w:val="22"/>
                <w:lang w:val="es-ES_tradnl"/>
              </w:rPr>
            </w:pPr>
            <w:r w:rsidRPr="008B0052">
              <w:rPr>
                <w:rFonts w:ascii="Arial" w:eastAsia="Calibri" w:hAnsi="Arial" w:cs="Arial"/>
                <w:sz w:val="22"/>
                <w:szCs w:val="22"/>
                <w:lang w:val="es-ES" w:eastAsia="en-US"/>
              </w:rPr>
              <w:t>FACTORES DE DESEMPATE – Características – Límites / FACTORES DE DESEMPATE – Ley 2069 de 2020 – Artículo 35 – Ámbito de aplicación / FACTORES DE DESEMPATE – Artículo 35 – Procesos contractuales – Corredores de seguros / FACTORES DE DESEMPATE – Postead reglamentaria – Límites – Decreto 1860 de 2021 – Alcance</w:t>
            </w:r>
          </w:p>
        </w:tc>
      </w:tr>
      <w:tr w:rsidR="00B95C30" w:rsidRPr="008B0052" w14:paraId="27CD52AB" w14:textId="77777777" w:rsidTr="00735B49">
        <w:tc>
          <w:tcPr>
            <w:tcW w:w="2689" w:type="dxa"/>
          </w:tcPr>
          <w:p w14:paraId="37E195A1" w14:textId="02EBA7ED" w:rsidR="00B95C30" w:rsidRPr="008B0052" w:rsidRDefault="00B95C30" w:rsidP="00D15356">
            <w:pPr>
              <w:spacing w:before="120"/>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Radicación:</w:t>
            </w:r>
            <w:r w:rsidRPr="008B0052">
              <w:rPr>
                <w:rFonts w:ascii="Arial" w:eastAsia="Calibri" w:hAnsi="Arial" w:cs="Arial"/>
                <w:color w:val="000000" w:themeColor="text1"/>
                <w:sz w:val="22"/>
                <w:lang w:val="es-ES_tradnl"/>
              </w:rPr>
              <w:t xml:space="preserve">                              </w:t>
            </w:r>
          </w:p>
        </w:tc>
        <w:tc>
          <w:tcPr>
            <w:tcW w:w="6237" w:type="dxa"/>
          </w:tcPr>
          <w:p w14:paraId="09088B1B" w14:textId="50BB6107" w:rsidR="00B95C30" w:rsidRPr="008B0052" w:rsidRDefault="00B95C30" w:rsidP="00D15356">
            <w:pPr>
              <w:spacing w:before="120"/>
              <w:jc w:val="both"/>
              <w:rPr>
                <w:rFonts w:ascii="Arial" w:eastAsia="Calibri" w:hAnsi="Arial" w:cs="Arial"/>
                <w:color w:val="000000" w:themeColor="text1"/>
                <w:sz w:val="22"/>
                <w:lang w:val="es-ES_tradnl"/>
              </w:rPr>
            </w:pPr>
            <w:r w:rsidRPr="008B0052">
              <w:rPr>
                <w:rFonts w:ascii="Arial" w:eastAsia="Calibri" w:hAnsi="Arial" w:cs="Arial"/>
                <w:color w:val="000000" w:themeColor="text1"/>
                <w:sz w:val="22"/>
                <w:lang w:val="es-ES_tradnl"/>
              </w:rPr>
              <w:t xml:space="preserve">Respuesta a consulta </w:t>
            </w:r>
            <w:r w:rsidR="00153DE4" w:rsidRPr="008B0052">
              <w:rPr>
                <w:rFonts w:ascii="Arial" w:eastAsia="Calibri" w:hAnsi="Arial" w:cs="Arial"/>
                <w:color w:val="000000" w:themeColor="text1"/>
                <w:sz w:val="22"/>
              </w:rPr>
              <w:t>P20211215011543</w:t>
            </w:r>
          </w:p>
        </w:tc>
      </w:tr>
    </w:tbl>
    <w:p w14:paraId="635FAA34" w14:textId="34115651" w:rsidR="006D69FA" w:rsidRPr="008B0052" w:rsidRDefault="006D69FA" w:rsidP="003C3339">
      <w:pPr>
        <w:jc w:val="both"/>
        <w:rPr>
          <w:rFonts w:ascii="Arial" w:eastAsia="Calibri" w:hAnsi="Arial" w:cs="Arial"/>
          <w:color w:val="000000" w:themeColor="text1"/>
          <w:sz w:val="22"/>
          <w:lang w:val="es-ES_tradnl"/>
        </w:rPr>
      </w:pPr>
    </w:p>
    <w:p w14:paraId="182935B9" w14:textId="77777777" w:rsidR="00427C77" w:rsidRPr="008B0052" w:rsidRDefault="00427C77" w:rsidP="003C3339">
      <w:pPr>
        <w:jc w:val="both"/>
        <w:rPr>
          <w:rFonts w:ascii="Arial" w:eastAsia="Calibri" w:hAnsi="Arial" w:cs="Arial"/>
          <w:color w:val="000000" w:themeColor="text1"/>
          <w:sz w:val="22"/>
          <w:lang w:val="es-ES_tradnl"/>
        </w:rPr>
      </w:pPr>
    </w:p>
    <w:p w14:paraId="1CF4AEA0" w14:textId="2023FEE0" w:rsidR="003C3339" w:rsidRPr="008B0052" w:rsidRDefault="003C3339" w:rsidP="003C3339">
      <w:pPr>
        <w:jc w:val="both"/>
        <w:rPr>
          <w:rFonts w:ascii="Arial" w:eastAsia="Calibri" w:hAnsi="Arial" w:cs="Arial"/>
          <w:color w:val="000000" w:themeColor="text1"/>
          <w:sz w:val="22"/>
          <w:lang w:val="es-ES_tradnl"/>
        </w:rPr>
      </w:pPr>
      <w:r w:rsidRPr="008B0052">
        <w:rPr>
          <w:rFonts w:ascii="Arial" w:eastAsia="Calibri" w:hAnsi="Arial" w:cs="Arial"/>
          <w:color w:val="000000" w:themeColor="text1"/>
          <w:sz w:val="22"/>
          <w:lang w:val="es-ES_tradnl"/>
        </w:rPr>
        <w:t>Estimad</w:t>
      </w:r>
      <w:r w:rsidR="008B436A" w:rsidRPr="008B0052">
        <w:rPr>
          <w:rFonts w:ascii="Arial" w:eastAsia="Calibri" w:hAnsi="Arial" w:cs="Arial"/>
          <w:color w:val="000000" w:themeColor="text1"/>
          <w:sz w:val="22"/>
          <w:lang w:val="es-ES_tradnl"/>
        </w:rPr>
        <w:t>a</w:t>
      </w:r>
      <w:r w:rsidRPr="008B0052">
        <w:rPr>
          <w:rFonts w:ascii="Arial" w:eastAsia="Calibri" w:hAnsi="Arial" w:cs="Arial"/>
          <w:color w:val="000000" w:themeColor="text1"/>
          <w:sz w:val="22"/>
          <w:lang w:val="es-ES_tradnl"/>
        </w:rPr>
        <w:t xml:space="preserve"> </w:t>
      </w:r>
      <w:r w:rsidR="00564520" w:rsidRPr="008B0052">
        <w:rPr>
          <w:rFonts w:ascii="Arial" w:eastAsia="Calibri" w:hAnsi="Arial" w:cs="Arial"/>
          <w:color w:val="000000" w:themeColor="text1"/>
          <w:sz w:val="22"/>
          <w:lang w:val="es-ES_tradnl"/>
        </w:rPr>
        <w:t>doctora</w:t>
      </w:r>
      <w:r w:rsidR="008B436A" w:rsidRPr="008B0052">
        <w:rPr>
          <w:rFonts w:ascii="Arial" w:eastAsia="Calibri" w:hAnsi="Arial" w:cs="Arial"/>
          <w:color w:val="000000" w:themeColor="text1"/>
          <w:sz w:val="22"/>
          <w:lang w:val="es-ES_tradnl"/>
        </w:rPr>
        <w:t xml:space="preserve"> </w:t>
      </w:r>
      <w:r w:rsidR="00564520" w:rsidRPr="008B0052">
        <w:rPr>
          <w:rFonts w:ascii="Arial" w:eastAsia="Calibri" w:hAnsi="Arial" w:cs="Arial"/>
          <w:color w:val="000000" w:themeColor="text1"/>
          <w:sz w:val="22"/>
          <w:lang w:val="es-ES_tradnl"/>
        </w:rPr>
        <w:t>González</w:t>
      </w:r>
      <w:r w:rsidRPr="008B0052">
        <w:rPr>
          <w:rFonts w:ascii="Arial" w:eastAsia="Calibri" w:hAnsi="Arial" w:cs="Arial"/>
          <w:color w:val="000000" w:themeColor="text1"/>
          <w:sz w:val="22"/>
          <w:lang w:val="es-ES_tradnl"/>
        </w:rPr>
        <w:t>:</w:t>
      </w:r>
    </w:p>
    <w:p w14:paraId="1EAE5543" w14:textId="77777777" w:rsidR="00DD5B04" w:rsidRPr="008B0052" w:rsidRDefault="00DD5B04" w:rsidP="00DF76A2">
      <w:pPr>
        <w:jc w:val="both"/>
        <w:rPr>
          <w:rFonts w:ascii="Arial" w:eastAsia="Calibri" w:hAnsi="Arial" w:cs="Arial"/>
          <w:color w:val="000000" w:themeColor="text1"/>
          <w:sz w:val="22"/>
          <w:lang w:val="es-ES_tradnl"/>
        </w:rPr>
      </w:pPr>
    </w:p>
    <w:p w14:paraId="2109B2D3" w14:textId="7E822C26" w:rsidR="00DD5B04" w:rsidRPr="008B0052" w:rsidRDefault="00DD5B04" w:rsidP="00DF76A2">
      <w:pPr>
        <w:spacing w:line="276" w:lineRule="auto"/>
        <w:jc w:val="both"/>
        <w:rPr>
          <w:rFonts w:ascii="Arial" w:eastAsia="Calibri" w:hAnsi="Arial" w:cs="Arial"/>
          <w:color w:val="000000" w:themeColor="text1"/>
          <w:sz w:val="22"/>
          <w:lang w:val="es-ES_tradnl"/>
        </w:rPr>
      </w:pPr>
      <w:r w:rsidRPr="008B0052">
        <w:rPr>
          <w:rFonts w:ascii="Arial" w:eastAsia="Calibri" w:hAnsi="Arial" w:cs="Arial"/>
          <w:color w:val="000000" w:themeColor="text1"/>
          <w:sz w:val="22"/>
          <w:lang w:val="es-ES_tradnl"/>
        </w:rPr>
        <w:t>En ejercicio de la competencia o</w:t>
      </w:r>
      <w:r w:rsidR="00C91147" w:rsidRPr="008B0052">
        <w:rPr>
          <w:rFonts w:ascii="Arial" w:eastAsia="Calibri" w:hAnsi="Arial" w:cs="Arial"/>
          <w:color w:val="000000" w:themeColor="text1"/>
          <w:sz w:val="22"/>
          <w:lang w:val="es-ES_tradnl"/>
        </w:rPr>
        <w:t xml:space="preserve"> </w:t>
      </w:r>
      <w:r w:rsidRPr="008B0052">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2B6725" w:rsidRPr="008B0052">
        <w:rPr>
          <w:rFonts w:ascii="Arial" w:eastAsia="Calibri" w:hAnsi="Arial" w:cs="Arial"/>
          <w:color w:val="000000" w:themeColor="text1"/>
          <w:sz w:val="22"/>
          <w:lang w:val="es-ES_tradnl"/>
        </w:rPr>
        <w:t>–</w:t>
      </w:r>
      <w:r w:rsidRPr="008B0052">
        <w:rPr>
          <w:rFonts w:ascii="Arial" w:eastAsia="Calibri" w:hAnsi="Arial" w:cs="Arial"/>
          <w:color w:val="000000" w:themeColor="text1"/>
          <w:sz w:val="22"/>
          <w:lang w:val="es-ES_tradnl"/>
        </w:rPr>
        <w:t xml:space="preserve"> Colombia Compra Eficiente</w:t>
      </w:r>
      <w:r w:rsidR="00CE69CC" w:rsidRPr="008B0052">
        <w:rPr>
          <w:rFonts w:ascii="Arial" w:eastAsia="Calibri" w:hAnsi="Arial" w:cs="Arial"/>
          <w:color w:val="000000" w:themeColor="text1"/>
          <w:sz w:val="22"/>
          <w:lang w:val="es-ES_tradnl"/>
        </w:rPr>
        <w:t>,</w:t>
      </w:r>
      <w:r w:rsidRPr="008B0052">
        <w:rPr>
          <w:rFonts w:ascii="Arial" w:eastAsia="Calibri" w:hAnsi="Arial" w:cs="Arial"/>
          <w:color w:val="000000" w:themeColor="text1"/>
          <w:sz w:val="22"/>
          <w:lang w:val="es-ES_tradnl"/>
        </w:rPr>
        <w:t xml:space="preserve"> responde su consulta del</w:t>
      </w:r>
      <w:r w:rsidR="008B436A" w:rsidRPr="008B0052">
        <w:rPr>
          <w:rFonts w:ascii="Arial" w:eastAsia="Calibri" w:hAnsi="Arial" w:cs="Arial"/>
          <w:color w:val="000000" w:themeColor="text1"/>
          <w:sz w:val="22"/>
          <w:lang w:val="es-ES_tradnl"/>
        </w:rPr>
        <w:t xml:space="preserve"> </w:t>
      </w:r>
      <w:r w:rsidR="00564520" w:rsidRPr="008B0052">
        <w:rPr>
          <w:rFonts w:ascii="Arial" w:eastAsia="Calibri" w:hAnsi="Arial" w:cs="Arial"/>
          <w:color w:val="000000" w:themeColor="text1"/>
          <w:sz w:val="22"/>
          <w:lang w:val="es-ES_tradnl"/>
        </w:rPr>
        <w:t>15 de diciembre</w:t>
      </w:r>
      <w:r w:rsidR="00F26002" w:rsidRPr="008B0052">
        <w:rPr>
          <w:rFonts w:ascii="Arial" w:eastAsia="Calibri" w:hAnsi="Arial" w:cs="Arial"/>
          <w:color w:val="000000" w:themeColor="text1"/>
          <w:sz w:val="22"/>
          <w:lang w:val="es-ES_tradnl"/>
        </w:rPr>
        <w:t xml:space="preserve"> </w:t>
      </w:r>
      <w:r w:rsidR="00947A24" w:rsidRPr="008B0052">
        <w:rPr>
          <w:rFonts w:ascii="Arial" w:eastAsia="Calibri" w:hAnsi="Arial" w:cs="Arial"/>
          <w:color w:val="000000" w:themeColor="text1"/>
          <w:sz w:val="22"/>
          <w:lang w:val="es-ES_tradnl"/>
        </w:rPr>
        <w:t>de</w:t>
      </w:r>
      <w:r w:rsidR="005B5120" w:rsidRPr="008B0052">
        <w:rPr>
          <w:rFonts w:ascii="Arial" w:eastAsia="Calibri" w:hAnsi="Arial" w:cs="Arial"/>
          <w:color w:val="000000" w:themeColor="text1"/>
          <w:sz w:val="22"/>
          <w:lang w:val="es-ES_tradnl"/>
        </w:rPr>
        <w:t xml:space="preserve"> </w:t>
      </w:r>
      <w:r w:rsidR="006D69FA" w:rsidRPr="008B0052">
        <w:rPr>
          <w:rFonts w:ascii="Arial" w:eastAsia="Calibri" w:hAnsi="Arial" w:cs="Arial"/>
          <w:color w:val="000000" w:themeColor="text1"/>
          <w:sz w:val="22"/>
          <w:lang w:val="es-ES_tradnl"/>
        </w:rPr>
        <w:t xml:space="preserve">2021. </w:t>
      </w:r>
    </w:p>
    <w:p w14:paraId="0C1E0712" w14:textId="77777777" w:rsidR="00DD5B04" w:rsidRPr="008B0052" w:rsidRDefault="00DD5B04" w:rsidP="00DF76A2">
      <w:pPr>
        <w:spacing w:line="276" w:lineRule="auto"/>
        <w:jc w:val="both"/>
        <w:rPr>
          <w:rFonts w:ascii="Arial" w:eastAsia="Calibri" w:hAnsi="Arial" w:cs="Arial"/>
          <w:b/>
          <w:color w:val="000000" w:themeColor="text1"/>
          <w:sz w:val="22"/>
          <w:lang w:val="es-ES_tradnl"/>
        </w:rPr>
      </w:pPr>
    </w:p>
    <w:p w14:paraId="7701FCC7" w14:textId="1D5CB57A" w:rsidR="00DD5B04" w:rsidRPr="008B005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Problema</w:t>
      </w:r>
      <w:r w:rsidR="004E42E7" w:rsidRPr="008B0052">
        <w:rPr>
          <w:rFonts w:ascii="Arial" w:eastAsia="Calibri" w:hAnsi="Arial" w:cs="Arial"/>
          <w:b/>
          <w:color w:val="000000" w:themeColor="text1"/>
          <w:sz w:val="22"/>
          <w:lang w:val="es-ES_tradnl"/>
        </w:rPr>
        <w:t>s</w:t>
      </w:r>
      <w:r w:rsidRPr="008B0052">
        <w:rPr>
          <w:rFonts w:ascii="Arial" w:eastAsia="Calibri" w:hAnsi="Arial" w:cs="Arial"/>
          <w:b/>
          <w:color w:val="000000" w:themeColor="text1"/>
          <w:sz w:val="22"/>
          <w:lang w:val="es-ES_tradnl"/>
        </w:rPr>
        <w:t xml:space="preserve"> planteado</w:t>
      </w:r>
      <w:r w:rsidR="004E42E7" w:rsidRPr="008B0052">
        <w:rPr>
          <w:rFonts w:ascii="Arial" w:eastAsia="Calibri" w:hAnsi="Arial" w:cs="Arial"/>
          <w:b/>
          <w:color w:val="000000" w:themeColor="text1"/>
          <w:sz w:val="22"/>
          <w:lang w:val="es-ES_tradnl"/>
        </w:rPr>
        <w:t>s</w:t>
      </w:r>
      <w:r w:rsidRPr="008B0052">
        <w:rPr>
          <w:rFonts w:ascii="Arial" w:eastAsia="Calibri" w:hAnsi="Arial" w:cs="Arial"/>
          <w:b/>
          <w:color w:val="000000" w:themeColor="text1"/>
          <w:sz w:val="22"/>
          <w:lang w:val="es-ES_tradnl"/>
        </w:rPr>
        <w:t xml:space="preserve"> </w:t>
      </w:r>
    </w:p>
    <w:p w14:paraId="224B43D3" w14:textId="77777777" w:rsidR="00DD5B04" w:rsidRPr="008B0052"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0748F87C" w14:textId="03651C85" w:rsidR="002F2F58" w:rsidRPr="008B0052" w:rsidRDefault="008B436A" w:rsidP="00331E39">
      <w:pPr>
        <w:spacing w:line="276" w:lineRule="auto"/>
        <w:jc w:val="both"/>
        <w:rPr>
          <w:rFonts w:ascii="Arial" w:eastAsia="Calibri" w:hAnsi="Arial" w:cs="Arial"/>
          <w:sz w:val="22"/>
        </w:rPr>
      </w:pPr>
      <w:r w:rsidRPr="008B0052">
        <w:rPr>
          <w:rFonts w:ascii="Arial" w:eastAsia="Calibri" w:hAnsi="Arial" w:cs="Arial"/>
          <w:sz w:val="22"/>
        </w:rPr>
        <w:t xml:space="preserve">En relación con los factores de desempate </w:t>
      </w:r>
      <w:r w:rsidR="004E42E7" w:rsidRPr="008B0052">
        <w:rPr>
          <w:rFonts w:ascii="Arial" w:eastAsia="Calibri" w:hAnsi="Arial" w:cs="Arial"/>
          <w:sz w:val="22"/>
        </w:rPr>
        <w:t>d</w:t>
      </w:r>
      <w:r w:rsidRPr="008B0052">
        <w:rPr>
          <w:rFonts w:ascii="Arial" w:eastAsia="Calibri" w:hAnsi="Arial" w:cs="Arial"/>
          <w:sz w:val="22"/>
        </w:rPr>
        <w:t>el artículo 35 de la Ley 2069 de 2069 de 2020</w:t>
      </w:r>
      <w:r w:rsidR="004E42E7" w:rsidRPr="008B0052">
        <w:rPr>
          <w:rFonts w:ascii="Arial" w:eastAsia="Calibri" w:hAnsi="Arial" w:cs="Arial"/>
          <w:sz w:val="22"/>
        </w:rPr>
        <w:t>,</w:t>
      </w:r>
      <w:r w:rsidR="00432445" w:rsidRPr="008B0052">
        <w:rPr>
          <w:rFonts w:ascii="Arial" w:eastAsia="Calibri" w:hAnsi="Arial" w:cs="Arial"/>
          <w:sz w:val="22"/>
        </w:rPr>
        <w:t xml:space="preserve"> los cuales rigen «En caso de empate en el puntaje total de dos o más ofertas en los Procesos de Contratación realizados con cargo a recursos públicos […]»</w:t>
      </w:r>
      <w:r w:rsidR="00AD682C" w:rsidRPr="008B0052">
        <w:rPr>
          <w:rFonts w:ascii="Arial" w:eastAsia="Calibri" w:hAnsi="Arial" w:cs="Arial"/>
          <w:sz w:val="22"/>
        </w:rPr>
        <w:t xml:space="preserve"> y </w:t>
      </w:r>
      <w:proofErr w:type="gramStart"/>
      <w:r w:rsidR="00AD682C" w:rsidRPr="008B0052">
        <w:rPr>
          <w:rFonts w:ascii="Arial" w:eastAsia="Calibri" w:hAnsi="Arial" w:cs="Arial"/>
          <w:sz w:val="22"/>
        </w:rPr>
        <w:t>en razón de</w:t>
      </w:r>
      <w:proofErr w:type="gramEnd"/>
      <w:r w:rsidR="00AD682C" w:rsidRPr="008B0052">
        <w:rPr>
          <w:rFonts w:ascii="Arial" w:eastAsia="Calibri" w:hAnsi="Arial" w:cs="Arial"/>
          <w:sz w:val="22"/>
        </w:rPr>
        <w:t xml:space="preserve"> que «El Gobierno Nacional podrá reglamentar la aplicación de factores de desempate en casos en que concurran dos o más de los factores aquí previstos»</w:t>
      </w:r>
      <w:r w:rsidR="00432445" w:rsidRPr="008B0052">
        <w:rPr>
          <w:rFonts w:ascii="Arial" w:eastAsia="Calibri" w:hAnsi="Arial" w:cs="Arial"/>
          <w:sz w:val="22"/>
        </w:rPr>
        <w:t>,</w:t>
      </w:r>
      <w:r w:rsidRPr="008B0052">
        <w:rPr>
          <w:rFonts w:ascii="Arial" w:eastAsia="Calibri" w:hAnsi="Arial" w:cs="Arial"/>
          <w:sz w:val="22"/>
        </w:rPr>
        <w:t xml:space="preserve"> </w:t>
      </w:r>
      <w:bookmarkStart w:id="6" w:name="_Hlk84497954"/>
      <w:r w:rsidR="00432445" w:rsidRPr="008B0052">
        <w:rPr>
          <w:rFonts w:ascii="Arial" w:eastAsia="Calibri" w:hAnsi="Arial" w:cs="Arial"/>
          <w:sz w:val="22"/>
        </w:rPr>
        <w:t>manifiesta</w:t>
      </w:r>
      <w:r w:rsidR="00564520" w:rsidRPr="008B0052">
        <w:rPr>
          <w:rFonts w:ascii="Arial" w:eastAsia="Calibri" w:hAnsi="Arial" w:cs="Arial"/>
          <w:sz w:val="22"/>
        </w:rPr>
        <w:t xml:space="preserve"> que estos no </w:t>
      </w:r>
      <w:r w:rsidR="00590307" w:rsidRPr="008B0052">
        <w:rPr>
          <w:rFonts w:ascii="Arial" w:eastAsia="Calibri" w:hAnsi="Arial" w:cs="Arial"/>
          <w:sz w:val="22"/>
        </w:rPr>
        <w:t xml:space="preserve">deberían </w:t>
      </w:r>
      <w:r w:rsidR="007A5B3F" w:rsidRPr="008B0052">
        <w:rPr>
          <w:rFonts w:ascii="Arial" w:eastAsia="Calibri" w:hAnsi="Arial" w:cs="Arial"/>
          <w:sz w:val="22"/>
        </w:rPr>
        <w:t>aplicarse</w:t>
      </w:r>
      <w:r w:rsidR="00564520" w:rsidRPr="008B0052">
        <w:rPr>
          <w:rFonts w:ascii="Arial" w:eastAsia="Calibri" w:hAnsi="Arial" w:cs="Arial"/>
          <w:sz w:val="22"/>
        </w:rPr>
        <w:t xml:space="preserve"> a los procesos de los corredores de seguros</w:t>
      </w:r>
      <w:r w:rsidR="00432445" w:rsidRPr="008B0052">
        <w:rPr>
          <w:rFonts w:ascii="Arial" w:eastAsia="Calibri" w:hAnsi="Arial" w:cs="Arial"/>
          <w:sz w:val="22"/>
        </w:rPr>
        <w:t>. Lo anterior, en la medida que</w:t>
      </w:r>
      <w:r w:rsidR="00564520" w:rsidRPr="008B0052">
        <w:rPr>
          <w:rFonts w:ascii="Arial" w:eastAsia="Calibri" w:hAnsi="Arial" w:cs="Arial"/>
          <w:sz w:val="22"/>
        </w:rPr>
        <w:t xml:space="preserve"> «[…] se está frente a procesos atípicos toda vez que estos NO tienen propuesta económica y no implica erogación a cargo de las entidades o personas contratantes»</w:t>
      </w:r>
      <w:r w:rsidR="00432445" w:rsidRPr="008B0052">
        <w:rPr>
          <w:rFonts w:ascii="Arial" w:eastAsia="Calibri" w:hAnsi="Arial" w:cs="Arial"/>
          <w:sz w:val="22"/>
        </w:rPr>
        <w:t xml:space="preserve">, agregando que «[…] La comisión que devenga el corredor de seguros no se paga con </w:t>
      </w:r>
      <w:r w:rsidR="00432445" w:rsidRPr="008B0052">
        <w:rPr>
          <w:rFonts w:ascii="Arial" w:eastAsia="Calibri" w:hAnsi="Arial" w:cs="Arial"/>
          <w:sz w:val="22"/>
        </w:rPr>
        <w:lastRenderedPageBreak/>
        <w:t>recursos públicos, sino que estos provienen del pacto privado realizado con la Compañía de Seguros».</w:t>
      </w:r>
      <w:r w:rsidR="00564520" w:rsidRPr="008B0052">
        <w:rPr>
          <w:rFonts w:ascii="Arial" w:eastAsia="Calibri" w:hAnsi="Arial" w:cs="Arial"/>
          <w:sz w:val="22"/>
        </w:rPr>
        <w:t xml:space="preserve"> </w:t>
      </w:r>
      <w:r w:rsidR="002F2F58" w:rsidRPr="008B0052">
        <w:rPr>
          <w:rFonts w:ascii="Arial" w:eastAsia="Calibri" w:hAnsi="Arial" w:cs="Arial"/>
          <w:sz w:val="22"/>
        </w:rPr>
        <w:t xml:space="preserve">En </w:t>
      </w:r>
      <w:r w:rsidR="00AD682C" w:rsidRPr="008B0052">
        <w:rPr>
          <w:rFonts w:ascii="Arial" w:eastAsia="Calibri" w:hAnsi="Arial" w:cs="Arial"/>
          <w:sz w:val="22"/>
        </w:rPr>
        <w:t>este contexto:</w:t>
      </w:r>
    </w:p>
    <w:p w14:paraId="31C88A24" w14:textId="54BB4D43" w:rsidR="00AD682C" w:rsidRPr="008B0052" w:rsidRDefault="00AD682C" w:rsidP="00331E39">
      <w:pPr>
        <w:spacing w:line="276" w:lineRule="auto"/>
        <w:jc w:val="both"/>
        <w:rPr>
          <w:rFonts w:ascii="Arial" w:eastAsia="Calibri" w:hAnsi="Arial" w:cs="Arial"/>
          <w:sz w:val="22"/>
        </w:rPr>
      </w:pPr>
    </w:p>
    <w:p w14:paraId="078146E0" w14:textId="20AE556D" w:rsidR="00AD682C" w:rsidRPr="008B0052" w:rsidRDefault="00AD682C" w:rsidP="00AD682C">
      <w:pPr>
        <w:spacing w:after="120"/>
        <w:ind w:left="709" w:right="709"/>
        <w:jc w:val="both"/>
        <w:rPr>
          <w:rFonts w:ascii="Arial" w:eastAsia="Calibri" w:hAnsi="Arial" w:cs="Arial"/>
          <w:sz w:val="21"/>
          <w:szCs w:val="21"/>
        </w:rPr>
      </w:pPr>
      <w:r w:rsidRPr="008B0052">
        <w:rPr>
          <w:rFonts w:ascii="Arial" w:eastAsia="Calibri" w:hAnsi="Arial" w:cs="Arial"/>
          <w:sz w:val="21"/>
          <w:szCs w:val="21"/>
        </w:rPr>
        <w:t xml:space="preserve">No es admisible indicar que la comisión de intermediación proviene de los recursos públicos con que las entidades han pagado o pagarán la prima de las pólizas de seguros que contraten, pues eso </w:t>
      </w:r>
      <w:r w:rsidR="00590307" w:rsidRPr="008B0052">
        <w:rPr>
          <w:rFonts w:ascii="Arial" w:eastAsia="Calibri" w:hAnsi="Arial" w:cs="Arial"/>
          <w:sz w:val="21"/>
          <w:szCs w:val="21"/>
        </w:rPr>
        <w:t>sería</w:t>
      </w:r>
      <w:r w:rsidRPr="008B0052">
        <w:rPr>
          <w:rFonts w:ascii="Arial" w:eastAsia="Calibri" w:hAnsi="Arial" w:cs="Arial"/>
          <w:sz w:val="21"/>
          <w:szCs w:val="21"/>
        </w:rPr>
        <w:t xml:space="preserve"> darle el carácter de recurso público (y mal entendido como parafiscal) a un pacto privado, lo cual afectaría todo el sistema asegurador, desconociendo lo dispuesto en la ley y cambiando la naturaleza de unos recursos que son esencialmente privados. </w:t>
      </w:r>
    </w:p>
    <w:p w14:paraId="308FE6FF" w14:textId="4BEE13FA" w:rsidR="00AD682C" w:rsidRPr="008B0052" w:rsidRDefault="00AD682C" w:rsidP="00AD682C">
      <w:pPr>
        <w:ind w:left="709" w:right="709"/>
        <w:jc w:val="both"/>
        <w:rPr>
          <w:rFonts w:ascii="Arial" w:eastAsia="Calibri" w:hAnsi="Arial" w:cs="Arial"/>
          <w:sz w:val="21"/>
          <w:szCs w:val="21"/>
        </w:rPr>
      </w:pPr>
      <w:r w:rsidRPr="008B0052">
        <w:rPr>
          <w:rFonts w:ascii="Arial" w:eastAsia="Calibri" w:hAnsi="Arial" w:cs="Arial"/>
          <w:sz w:val="21"/>
          <w:szCs w:val="21"/>
        </w:rPr>
        <w:t>Es por eso, que desde la agremiación he insistido en afirmar que tener un intermediario no significa mayor costo para la entidad o persona contratante, pero sí representa, para los tomadores de los seguros, importantes beneficios y ventajas y tratándose de entidades estatales, estas encontrarán un apoyo indispensable para el cumplimiento de sus funciones y en lo relacionado con el programa de seguros que requieren contratar.</w:t>
      </w:r>
    </w:p>
    <w:p w14:paraId="37D33A66" w14:textId="77777777" w:rsidR="002F2F58" w:rsidRPr="008B0052" w:rsidRDefault="002F2F58" w:rsidP="00331E39">
      <w:pPr>
        <w:spacing w:line="276" w:lineRule="auto"/>
        <w:jc w:val="both"/>
        <w:rPr>
          <w:rFonts w:ascii="Arial" w:eastAsia="Calibri" w:hAnsi="Arial" w:cs="Arial"/>
          <w:sz w:val="22"/>
        </w:rPr>
      </w:pPr>
    </w:p>
    <w:p w14:paraId="2A1A620D" w14:textId="157154E9" w:rsidR="002B23CC" w:rsidRPr="008B0052" w:rsidRDefault="00331E39" w:rsidP="002A4B80">
      <w:pPr>
        <w:spacing w:line="276" w:lineRule="auto"/>
        <w:jc w:val="both"/>
        <w:rPr>
          <w:rFonts w:ascii="Arial" w:eastAsia="Calibri" w:hAnsi="Arial" w:cs="Arial"/>
          <w:sz w:val="22"/>
        </w:rPr>
      </w:pPr>
      <w:r w:rsidRPr="008B0052">
        <w:rPr>
          <w:rFonts w:ascii="Arial" w:eastAsia="Calibri" w:hAnsi="Arial" w:cs="Arial"/>
          <w:sz w:val="22"/>
        </w:rPr>
        <w:t>Por tanto, usted realiza la siguiente pregunta: «¿el entendimiento de ACOAS es correcto, y por ende no les es aplicable los factores de desempate dispuestos en el artículo 35 de la Ley 2069 del 2020 al proceso de selección del corredor de seguros?».</w:t>
      </w:r>
      <w:r w:rsidR="00564520" w:rsidRPr="008B0052">
        <w:rPr>
          <w:rFonts w:ascii="Arial" w:eastAsia="Calibri" w:hAnsi="Arial" w:cs="Arial"/>
          <w:sz w:val="22"/>
        </w:rPr>
        <w:t xml:space="preserve"> </w:t>
      </w:r>
    </w:p>
    <w:bookmarkEnd w:id="6"/>
    <w:p w14:paraId="4A10CD13" w14:textId="77777777" w:rsidR="00FF10AF" w:rsidRPr="008B0052" w:rsidRDefault="00FF10AF" w:rsidP="00D40F8B">
      <w:pPr>
        <w:spacing w:line="276" w:lineRule="auto"/>
        <w:jc w:val="both"/>
        <w:rPr>
          <w:rFonts w:ascii="Arial" w:hAnsi="Arial" w:cs="Arial"/>
          <w:color w:val="000000" w:themeColor="text1"/>
          <w:sz w:val="22"/>
          <w:szCs w:val="22"/>
        </w:rPr>
      </w:pPr>
    </w:p>
    <w:p w14:paraId="5FAF4A13" w14:textId="26A9379F" w:rsidR="005C65DA" w:rsidRPr="008B0052" w:rsidRDefault="00DD5B04" w:rsidP="00934C79">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B0052">
        <w:rPr>
          <w:rFonts w:ascii="Arial" w:eastAsia="Calibri" w:hAnsi="Arial" w:cs="Arial"/>
          <w:b/>
          <w:color w:val="000000" w:themeColor="text1"/>
          <w:sz w:val="22"/>
          <w:lang w:val="es-ES_tradnl"/>
        </w:rPr>
        <w:t>Consideraciones</w:t>
      </w:r>
    </w:p>
    <w:p w14:paraId="44C791AC" w14:textId="77777777" w:rsidR="00934C79" w:rsidRPr="008B0052" w:rsidRDefault="00934C79" w:rsidP="00934C79">
      <w:pPr>
        <w:pStyle w:val="Prrafodelista"/>
        <w:tabs>
          <w:tab w:val="left" w:pos="0"/>
          <w:tab w:val="left" w:pos="284"/>
        </w:tabs>
        <w:ind w:left="0"/>
        <w:jc w:val="both"/>
        <w:rPr>
          <w:rFonts w:ascii="Arial" w:eastAsia="Calibri" w:hAnsi="Arial" w:cs="Arial"/>
          <w:b/>
          <w:color w:val="000000" w:themeColor="text1"/>
          <w:sz w:val="22"/>
          <w:lang w:val="es-ES_tradnl"/>
        </w:rPr>
      </w:pPr>
    </w:p>
    <w:p w14:paraId="0506CFB2" w14:textId="57750072" w:rsidR="008843C2" w:rsidRPr="008B0052" w:rsidRDefault="00331E39" w:rsidP="003E108C">
      <w:pPr>
        <w:spacing w:line="276" w:lineRule="auto"/>
        <w:jc w:val="both"/>
        <w:rPr>
          <w:rFonts w:ascii="Arial" w:eastAsia="Calibri" w:hAnsi="Arial" w:cs="Arial"/>
          <w:sz w:val="22"/>
          <w:szCs w:val="22"/>
          <w:lang w:val="es-ES_tradnl" w:eastAsia="en-US"/>
        </w:rPr>
      </w:pPr>
      <w:r w:rsidRPr="008B0052">
        <w:rPr>
          <w:rFonts w:ascii="Arial" w:eastAsia="Calibri" w:hAnsi="Arial" w:cs="Arial"/>
          <w:sz w:val="22"/>
          <w:szCs w:val="22"/>
          <w:lang w:val="es-ES_tradnl" w:eastAsia="en-US"/>
        </w:rPr>
        <w:t>Para resolver el problema plant</w:t>
      </w:r>
      <w:r w:rsidR="0016748C" w:rsidRPr="008B0052">
        <w:rPr>
          <w:rFonts w:ascii="Arial" w:eastAsia="Calibri" w:hAnsi="Arial" w:cs="Arial"/>
          <w:sz w:val="22"/>
          <w:szCs w:val="22"/>
          <w:lang w:val="es-ES_tradnl" w:eastAsia="en-US"/>
        </w:rPr>
        <w:t>e</w:t>
      </w:r>
      <w:r w:rsidRPr="008B0052">
        <w:rPr>
          <w:rFonts w:ascii="Arial" w:eastAsia="Calibri" w:hAnsi="Arial" w:cs="Arial"/>
          <w:sz w:val="22"/>
          <w:szCs w:val="22"/>
          <w:lang w:val="es-ES_tradnl" w:eastAsia="en-US"/>
        </w:rPr>
        <w:t>ado</w:t>
      </w:r>
      <w:r w:rsidR="00934C79" w:rsidRPr="008B0052">
        <w:rPr>
          <w:rFonts w:ascii="Arial" w:eastAsia="Calibri" w:hAnsi="Arial" w:cs="Arial"/>
          <w:sz w:val="22"/>
          <w:szCs w:val="22"/>
          <w:lang w:val="es-ES_tradnl" w:eastAsia="en-US"/>
        </w:rPr>
        <w:t xml:space="preserve">, se analizarán los siguientes temas: </w:t>
      </w:r>
      <w:r w:rsidR="00882986" w:rsidRPr="008B0052">
        <w:rPr>
          <w:rFonts w:ascii="Arial" w:eastAsia="Calibri" w:hAnsi="Arial" w:cs="Arial"/>
          <w:sz w:val="22"/>
          <w:szCs w:val="22"/>
          <w:lang w:val="es-ES_tradnl" w:eastAsia="en-US"/>
        </w:rPr>
        <w:t xml:space="preserve">i) </w:t>
      </w:r>
      <w:r w:rsidR="00F34D12" w:rsidRPr="008B0052">
        <w:rPr>
          <w:rFonts w:ascii="Arial" w:eastAsia="Calibri" w:hAnsi="Arial" w:cs="Arial"/>
          <w:color w:val="000000" w:themeColor="text1"/>
          <w:sz w:val="22"/>
          <w:szCs w:val="22"/>
          <w:lang w:val="es-ES_tradnl"/>
        </w:rPr>
        <w:t>definición de los criterios de desempate en la contratación estatal,</w:t>
      </w:r>
      <w:r w:rsidR="00F34D12" w:rsidRPr="008B0052">
        <w:rPr>
          <w:rFonts w:ascii="Arial" w:eastAsia="Calibri" w:hAnsi="Arial" w:cs="Arial"/>
          <w:sz w:val="22"/>
          <w:szCs w:val="22"/>
          <w:lang w:val="es-ES_tradnl" w:eastAsia="en-US"/>
        </w:rPr>
        <w:t xml:space="preserve"> </w:t>
      </w:r>
      <w:proofErr w:type="spellStart"/>
      <w:r w:rsidR="00F66292" w:rsidRPr="008B0052">
        <w:rPr>
          <w:rFonts w:ascii="Arial" w:eastAsia="Calibri" w:hAnsi="Arial" w:cs="Arial"/>
          <w:sz w:val="22"/>
          <w:szCs w:val="22"/>
          <w:lang w:val="es-ES_tradnl" w:eastAsia="en-US"/>
        </w:rPr>
        <w:t>i</w:t>
      </w:r>
      <w:r w:rsidRPr="008B0052">
        <w:rPr>
          <w:rFonts w:ascii="Arial" w:eastAsia="Calibri" w:hAnsi="Arial" w:cs="Arial"/>
          <w:sz w:val="22"/>
          <w:szCs w:val="22"/>
          <w:lang w:val="es-ES_tradnl" w:eastAsia="en-US"/>
        </w:rPr>
        <w:t>i</w:t>
      </w:r>
      <w:proofErr w:type="spellEnd"/>
      <w:r w:rsidR="00F66292" w:rsidRPr="008B0052">
        <w:rPr>
          <w:rFonts w:ascii="Arial" w:eastAsia="Calibri" w:hAnsi="Arial" w:cs="Arial"/>
          <w:sz w:val="22"/>
          <w:szCs w:val="22"/>
          <w:lang w:val="es-ES_tradnl" w:eastAsia="en-US"/>
        </w:rPr>
        <w:t>) vigencia y ámbito de aplicación de la Ley 2069 de 2020</w:t>
      </w:r>
      <w:r w:rsidR="008843C2" w:rsidRPr="008B0052">
        <w:rPr>
          <w:rFonts w:ascii="Arial" w:eastAsia="Calibri" w:hAnsi="Arial" w:cs="Arial"/>
          <w:sz w:val="22"/>
          <w:szCs w:val="22"/>
          <w:lang w:val="es-ES_tradnl" w:eastAsia="en-US"/>
        </w:rPr>
        <w:t>,</w:t>
      </w:r>
      <w:r w:rsidR="00882986" w:rsidRPr="008B0052">
        <w:rPr>
          <w:rFonts w:ascii="Arial" w:eastAsia="Calibri" w:hAnsi="Arial" w:cs="Arial"/>
          <w:sz w:val="22"/>
          <w:szCs w:val="22"/>
          <w:lang w:val="es-ES_tradnl" w:eastAsia="en-US"/>
        </w:rPr>
        <w:t xml:space="preserve"> </w:t>
      </w:r>
      <w:proofErr w:type="spellStart"/>
      <w:r w:rsidRPr="008B0052">
        <w:rPr>
          <w:rFonts w:ascii="Arial" w:eastAsia="Calibri" w:hAnsi="Arial" w:cs="Arial"/>
          <w:sz w:val="22"/>
          <w:szCs w:val="22"/>
          <w:lang w:val="es-ES_tradnl" w:eastAsia="en-US"/>
        </w:rPr>
        <w:t>iii</w:t>
      </w:r>
      <w:proofErr w:type="spellEnd"/>
      <w:r w:rsidR="00F66292" w:rsidRPr="008B0052">
        <w:rPr>
          <w:rFonts w:ascii="Arial" w:eastAsia="Calibri" w:hAnsi="Arial" w:cs="Arial"/>
          <w:sz w:val="22"/>
          <w:szCs w:val="22"/>
          <w:lang w:val="es-ES_tradnl" w:eastAsia="en-US"/>
        </w:rPr>
        <w:t xml:space="preserve">) </w:t>
      </w:r>
      <w:r w:rsidR="008843C2" w:rsidRPr="008B0052">
        <w:rPr>
          <w:rFonts w:ascii="Arial" w:eastAsia="Calibri" w:hAnsi="Arial" w:cs="Arial"/>
          <w:sz w:val="22"/>
          <w:szCs w:val="22"/>
          <w:lang w:val="es-ES_tradnl" w:eastAsia="en-US"/>
        </w:rPr>
        <w:t>aplicabilidad de los factores de desempate del artículo 35 de la Ley 2069 de 2015</w:t>
      </w:r>
      <w:r w:rsidRPr="008B0052">
        <w:rPr>
          <w:rFonts w:ascii="Arial" w:eastAsia="Calibri" w:hAnsi="Arial" w:cs="Arial"/>
          <w:sz w:val="22"/>
          <w:szCs w:val="22"/>
          <w:lang w:val="es-ES_tradnl" w:eastAsia="en-US"/>
        </w:rPr>
        <w:t xml:space="preserve"> a los procedimientos contractuales para la selección de corredores de seguros</w:t>
      </w:r>
      <w:r w:rsidR="008843C2" w:rsidRPr="008B0052">
        <w:rPr>
          <w:rFonts w:ascii="Arial" w:eastAsia="Calibri" w:hAnsi="Arial" w:cs="Arial"/>
          <w:sz w:val="22"/>
          <w:szCs w:val="22"/>
          <w:lang w:val="es-ES_tradnl" w:eastAsia="en-US"/>
        </w:rPr>
        <w:t xml:space="preserve">. </w:t>
      </w:r>
    </w:p>
    <w:p w14:paraId="318EB5D0" w14:textId="1B80B8ED" w:rsidR="00BC6D69" w:rsidRPr="008B0052" w:rsidRDefault="00BC6D69" w:rsidP="002A4B80">
      <w:pPr>
        <w:spacing w:before="120" w:line="276" w:lineRule="auto"/>
        <w:jc w:val="both"/>
        <w:rPr>
          <w:rFonts w:ascii="Arial" w:eastAsia="Calibri" w:hAnsi="Arial" w:cs="Arial"/>
          <w:sz w:val="22"/>
          <w:szCs w:val="22"/>
          <w:lang w:val="es-ES_tradnl" w:eastAsia="en-US"/>
        </w:rPr>
      </w:pPr>
      <w:r w:rsidRPr="008B0052">
        <w:rPr>
          <w:rFonts w:ascii="Arial" w:hAnsi="Arial" w:cs="Arial"/>
          <w:sz w:val="22"/>
          <w:shd w:val="clear" w:color="auto" w:fill="FFFFFF"/>
          <w:lang w:val="es-ES"/>
        </w:rPr>
        <w:t xml:space="preserve">La Agencia Nacional de Contratación Pública – Colombia Compra Eficiente </w:t>
      </w:r>
      <w:r w:rsidR="003E108C" w:rsidRPr="008B0052">
        <w:rPr>
          <w:rFonts w:ascii="Arial" w:eastAsia="Calibri" w:hAnsi="Arial" w:cs="Arial"/>
          <w:sz w:val="22"/>
          <w:szCs w:val="22"/>
          <w:lang w:val="es-ES_tradnl"/>
        </w:rPr>
        <w:t xml:space="preserve">estudió los factores de desempate del artículo 35 de la Ley 2069 de 2020 en los </w:t>
      </w:r>
      <w:r w:rsidR="004E42E7" w:rsidRPr="008B0052">
        <w:rPr>
          <w:rFonts w:ascii="Arial" w:eastAsia="Calibri" w:hAnsi="Arial" w:cs="Arial"/>
          <w:sz w:val="22"/>
          <w:szCs w:val="22"/>
          <w:lang w:val="es-ES_tradnl"/>
        </w:rPr>
        <w:t>C</w:t>
      </w:r>
      <w:r w:rsidR="003E108C" w:rsidRPr="008B0052">
        <w:rPr>
          <w:rFonts w:ascii="Arial" w:eastAsia="Calibri" w:hAnsi="Arial" w:cs="Arial"/>
          <w:sz w:val="22"/>
          <w:szCs w:val="22"/>
          <w:lang w:val="es-ES_tradnl"/>
        </w:rPr>
        <w:t xml:space="preserve">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w:t>
      </w:r>
      <w:r w:rsidR="003E108C" w:rsidRPr="008B0052">
        <w:rPr>
          <w:rFonts w:ascii="Arial" w:eastAsia="Calibri" w:hAnsi="Arial" w:cs="Arial"/>
          <w:bCs/>
          <w:sz w:val="22"/>
        </w:rPr>
        <w:t>C-437 del 24 de agosto de 2021, C-518 el 20 de septiembre de 2021, C-438 del 28 de septiembre de 2021</w:t>
      </w:r>
      <w:r w:rsidR="007F2CD8" w:rsidRPr="008B0052">
        <w:rPr>
          <w:rFonts w:ascii="Arial" w:eastAsia="Calibri" w:hAnsi="Arial" w:cs="Arial"/>
          <w:bCs/>
          <w:sz w:val="22"/>
        </w:rPr>
        <w:t xml:space="preserve">, </w:t>
      </w:r>
      <w:r w:rsidR="003E108C" w:rsidRPr="008B0052">
        <w:rPr>
          <w:rFonts w:ascii="Arial" w:eastAsia="Calibri" w:hAnsi="Arial" w:cs="Arial"/>
          <w:bCs/>
          <w:sz w:val="22"/>
        </w:rPr>
        <w:t>C-586 del 14 de octubre de 2021</w:t>
      </w:r>
      <w:r w:rsidR="007F2CD8" w:rsidRPr="008B0052">
        <w:rPr>
          <w:rFonts w:ascii="Arial" w:eastAsia="Calibri" w:hAnsi="Arial" w:cs="Arial"/>
          <w:bCs/>
          <w:sz w:val="22"/>
        </w:rPr>
        <w:t xml:space="preserve"> y C-617 del 12 de </w:t>
      </w:r>
      <w:r w:rsidR="007F2CD8" w:rsidRPr="008B0052">
        <w:rPr>
          <w:rFonts w:ascii="Arial" w:eastAsia="Calibri" w:hAnsi="Arial" w:cs="Arial"/>
          <w:bCs/>
          <w:sz w:val="22"/>
        </w:rPr>
        <w:lastRenderedPageBreak/>
        <w:t>diciembre de 2021,</w:t>
      </w:r>
      <w:r w:rsidR="003E108C" w:rsidRPr="008B0052">
        <w:rPr>
          <w:rFonts w:ascii="Arial" w:eastAsia="Calibri" w:hAnsi="Arial" w:cs="Arial"/>
          <w:bCs/>
          <w:sz w:val="22"/>
        </w:rPr>
        <w:t xml:space="preserve"> </w:t>
      </w:r>
      <w:r w:rsidR="003E108C" w:rsidRPr="008B0052">
        <w:rPr>
          <w:rFonts w:ascii="Arial" w:eastAsia="Calibri" w:hAnsi="Arial" w:cs="Arial"/>
          <w:sz w:val="22"/>
          <w:szCs w:val="22"/>
          <w:lang w:val="es-ES_tradnl"/>
        </w:rPr>
        <w:t>entre otros</w:t>
      </w:r>
      <w:r w:rsidR="003E108C" w:rsidRPr="008B0052">
        <w:rPr>
          <w:rStyle w:val="Refdenotaalpie"/>
          <w:rFonts w:ascii="Arial" w:eastAsia="Calibri" w:hAnsi="Arial" w:cs="Arial"/>
          <w:sz w:val="22"/>
          <w:szCs w:val="22"/>
          <w:lang w:val="es-ES_tradnl"/>
        </w:rPr>
        <w:footnoteReference w:id="2"/>
      </w:r>
      <w:r w:rsidR="003E108C" w:rsidRPr="008B0052">
        <w:rPr>
          <w:rFonts w:ascii="Arial" w:eastAsia="Calibri" w:hAnsi="Arial" w:cs="Arial"/>
          <w:sz w:val="22"/>
          <w:szCs w:val="22"/>
          <w:lang w:val="es-ES_tradnl"/>
        </w:rPr>
        <w:t xml:space="preserve">. </w:t>
      </w:r>
      <w:r w:rsidR="00331E39" w:rsidRPr="008B0052">
        <w:rPr>
          <w:rFonts w:ascii="Arial" w:eastAsia="Calibri" w:hAnsi="Arial" w:cs="Arial"/>
          <w:sz w:val="22"/>
          <w:szCs w:val="22"/>
          <w:lang w:val="es-ES_tradnl"/>
        </w:rPr>
        <w:t>L</w:t>
      </w:r>
      <w:r w:rsidRPr="008B0052">
        <w:rPr>
          <w:rFonts w:ascii="Arial" w:hAnsi="Arial" w:cs="Arial"/>
          <w:sz w:val="22"/>
          <w:shd w:val="clear" w:color="auto" w:fill="FFFFFF"/>
        </w:rPr>
        <w:t xml:space="preserve">os argumentos expuestos en estos conceptos </w:t>
      </w:r>
      <w:r w:rsidRPr="008B0052">
        <w:rPr>
          <w:rFonts w:ascii="Arial" w:hAnsi="Arial" w:cs="Arial"/>
          <w:sz w:val="22"/>
          <w:bdr w:val="none" w:sz="0" w:space="0" w:color="auto" w:frame="1"/>
        </w:rPr>
        <w:t>se reiteran a continuación</w:t>
      </w:r>
      <w:r w:rsidR="00331E39" w:rsidRPr="008B0052">
        <w:rPr>
          <w:rFonts w:ascii="Arial" w:hAnsi="Arial" w:cs="Arial"/>
          <w:sz w:val="22"/>
          <w:bdr w:val="none" w:sz="0" w:space="0" w:color="auto" w:frame="1"/>
        </w:rPr>
        <w:t xml:space="preserve"> y se complementaran en lo pertinente</w:t>
      </w:r>
      <w:r w:rsidR="004E42E7" w:rsidRPr="008B0052">
        <w:rPr>
          <w:rFonts w:ascii="Arial" w:hAnsi="Arial" w:cs="Arial"/>
          <w:sz w:val="22"/>
          <w:bdr w:val="none" w:sz="0" w:space="0" w:color="auto" w:frame="1"/>
        </w:rPr>
        <w:t>:</w:t>
      </w:r>
    </w:p>
    <w:p w14:paraId="2427DFC4" w14:textId="338F37A8" w:rsidR="004427AC" w:rsidRPr="008B0052" w:rsidRDefault="004427AC" w:rsidP="000E5F9B">
      <w:pPr>
        <w:tabs>
          <w:tab w:val="left" w:pos="0"/>
        </w:tabs>
        <w:spacing w:line="276" w:lineRule="auto"/>
        <w:jc w:val="both"/>
        <w:rPr>
          <w:rFonts w:ascii="Arial" w:eastAsia="Calibri" w:hAnsi="Arial" w:cs="Arial"/>
          <w:b/>
          <w:color w:val="000000" w:themeColor="text1"/>
          <w:sz w:val="22"/>
        </w:rPr>
      </w:pPr>
    </w:p>
    <w:p w14:paraId="4BB7730B" w14:textId="680EE313" w:rsidR="00425E2F" w:rsidRPr="008B0052" w:rsidRDefault="00B419ED" w:rsidP="00425E2F">
      <w:pPr>
        <w:spacing w:line="276" w:lineRule="auto"/>
        <w:jc w:val="both"/>
        <w:rPr>
          <w:rFonts w:ascii="Arial" w:eastAsia="Calibri" w:hAnsi="Arial" w:cs="Arial"/>
          <w:b/>
          <w:color w:val="000000" w:themeColor="text1"/>
          <w:sz w:val="22"/>
          <w:lang w:val="es-ES_tradnl"/>
        </w:rPr>
      </w:pPr>
      <w:r w:rsidRPr="008B0052">
        <w:rPr>
          <w:rFonts w:ascii="Arial" w:eastAsia="Calibri" w:hAnsi="Arial" w:cs="Arial"/>
          <w:b/>
          <w:bCs/>
          <w:color w:val="000000" w:themeColor="text1"/>
          <w:sz w:val="22"/>
          <w:szCs w:val="22"/>
          <w:lang w:val="es-ES_tradnl"/>
        </w:rPr>
        <w:t xml:space="preserve">2.1. </w:t>
      </w:r>
      <w:r w:rsidR="00425E2F" w:rsidRPr="008B0052">
        <w:rPr>
          <w:rFonts w:ascii="Arial" w:eastAsia="Calibri" w:hAnsi="Arial" w:cs="Arial"/>
          <w:b/>
          <w:bCs/>
          <w:color w:val="000000" w:themeColor="text1"/>
          <w:sz w:val="22"/>
          <w:szCs w:val="22"/>
          <w:lang w:val="es-ES_tradnl"/>
        </w:rPr>
        <w:t>Factores de desempate en la contratación estatal: concepto y características</w:t>
      </w:r>
    </w:p>
    <w:p w14:paraId="57C54436" w14:textId="77777777" w:rsidR="00425E2F" w:rsidRPr="008B0052" w:rsidRDefault="00425E2F" w:rsidP="00425E2F">
      <w:pPr>
        <w:spacing w:line="276" w:lineRule="auto"/>
        <w:jc w:val="both"/>
        <w:rPr>
          <w:rFonts w:ascii="Arial" w:eastAsia="Calibri" w:hAnsi="Arial" w:cs="Arial"/>
          <w:color w:val="000000" w:themeColor="text1"/>
          <w:sz w:val="22"/>
          <w:szCs w:val="22"/>
          <w:lang w:val="es-ES_tradnl"/>
        </w:rPr>
      </w:pPr>
    </w:p>
    <w:p w14:paraId="45D6B5F1" w14:textId="77777777" w:rsidR="00425E2F" w:rsidRPr="008B0052" w:rsidRDefault="00425E2F" w:rsidP="00425E2F">
      <w:pPr>
        <w:spacing w:line="276" w:lineRule="auto"/>
        <w:jc w:val="both"/>
        <w:rPr>
          <w:rFonts w:ascii="Arial" w:eastAsia="Calibri"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B0052">
        <w:rPr>
          <w:rFonts w:ascii="Arial" w:eastAsia="Calibri" w:hAnsi="Arial" w:cs="Arial"/>
          <w:color w:val="000000" w:themeColor="text1"/>
          <w:sz w:val="22"/>
          <w:szCs w:val="22"/>
          <w:lang w:val="es-ES_tradnl"/>
        </w:rPr>
        <w:t>equivalentes,</w:t>
      </w:r>
      <w:proofErr w:type="gramEnd"/>
      <w:r w:rsidRPr="008B0052">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590EAEB9" w14:textId="77777777" w:rsidR="00425E2F" w:rsidRPr="008B0052" w:rsidRDefault="00425E2F" w:rsidP="002A4B80">
      <w:pPr>
        <w:spacing w:before="120" w:line="276" w:lineRule="auto"/>
        <w:jc w:val="both"/>
        <w:rPr>
          <w:rFonts w:ascii="Arial" w:eastAsia="Calibri"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2351D6AF" w14:textId="77777777" w:rsidR="00425E2F" w:rsidRPr="008B0052" w:rsidRDefault="00425E2F" w:rsidP="002A4B80">
      <w:pPr>
        <w:spacing w:before="120" w:line="276" w:lineRule="auto"/>
        <w:jc w:val="both"/>
        <w:rPr>
          <w:rFonts w:ascii="Arial" w:eastAsia="Calibri"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w:t>
      </w:r>
      <w:r w:rsidRPr="008B0052">
        <w:rPr>
          <w:rFonts w:ascii="Arial" w:eastAsia="Calibri" w:hAnsi="Arial" w:cs="Arial"/>
          <w:color w:val="000000" w:themeColor="text1"/>
          <w:sz w:val="22"/>
          <w:szCs w:val="22"/>
          <w:lang w:val="es-ES_tradnl"/>
        </w:rPr>
        <w:lastRenderedPageBreak/>
        <w:t>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8B0052">
        <w:rPr>
          <w:rStyle w:val="Refdenotaalpie"/>
          <w:rFonts w:ascii="Arial" w:hAnsi="Arial" w:cs="Arial"/>
          <w:color w:val="000000" w:themeColor="text1"/>
          <w:sz w:val="21"/>
          <w:szCs w:val="21"/>
          <w:lang w:val="es-ES_tradnl"/>
        </w:rPr>
        <w:footnoteReference w:id="3"/>
      </w:r>
      <w:r w:rsidRPr="008B0052">
        <w:rPr>
          <w:rFonts w:ascii="Arial" w:eastAsia="Calibri" w:hAnsi="Arial" w:cs="Arial"/>
          <w:color w:val="000000" w:themeColor="text1"/>
          <w:sz w:val="22"/>
          <w:szCs w:val="22"/>
          <w:lang w:val="es-ES_tradnl"/>
        </w:rPr>
        <w:t xml:space="preserve">. </w:t>
      </w:r>
    </w:p>
    <w:p w14:paraId="15A5CB7F" w14:textId="77777777" w:rsidR="00425E2F" w:rsidRPr="008B0052" w:rsidRDefault="00425E2F" w:rsidP="002A4B80">
      <w:pPr>
        <w:spacing w:before="120" w:line="276" w:lineRule="auto"/>
        <w:jc w:val="both"/>
        <w:rPr>
          <w:rFonts w:ascii="Arial" w:eastAsia="Calibri"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8B0052">
        <w:rPr>
          <w:rFonts w:ascii="Arial" w:eastAsia="Calibri" w:hAnsi="Arial" w:cs="Arial"/>
          <w:color w:val="000000" w:themeColor="text1"/>
          <w:sz w:val="22"/>
          <w:szCs w:val="22"/>
          <w:lang w:val="es-ES_tradnl"/>
        </w:rPr>
        <w:t>inaplicarlos</w:t>
      </w:r>
      <w:proofErr w:type="spellEnd"/>
      <w:r w:rsidRPr="008B0052">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8B0052">
        <w:rPr>
          <w:rStyle w:val="Refdenotaalpie"/>
          <w:rFonts w:ascii="Arial" w:eastAsia="Calibri" w:hAnsi="Arial" w:cs="Arial"/>
          <w:color w:val="000000" w:themeColor="text1"/>
          <w:sz w:val="22"/>
          <w:szCs w:val="22"/>
          <w:lang w:val="es-ES_tradnl"/>
        </w:rPr>
        <w:footnoteReference w:id="4"/>
      </w:r>
      <w:r w:rsidRPr="008B0052">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8B0052">
        <w:rPr>
          <w:rStyle w:val="Refdenotaalpie"/>
          <w:rFonts w:ascii="Arial" w:eastAsia="Calibri" w:hAnsi="Arial" w:cs="Arial"/>
          <w:color w:val="000000" w:themeColor="text1"/>
          <w:sz w:val="22"/>
          <w:szCs w:val="22"/>
          <w:lang w:val="es-ES_tradnl"/>
        </w:rPr>
        <w:footnoteReference w:id="5"/>
      </w:r>
      <w:r w:rsidRPr="008B0052">
        <w:rPr>
          <w:rFonts w:ascii="Arial" w:eastAsia="Calibri" w:hAnsi="Arial" w:cs="Arial"/>
          <w:color w:val="000000" w:themeColor="text1"/>
          <w:sz w:val="22"/>
          <w:szCs w:val="22"/>
          <w:lang w:val="es-ES_tradnl"/>
        </w:rPr>
        <w:t>.</w:t>
      </w:r>
    </w:p>
    <w:p w14:paraId="147C8B66" w14:textId="77777777" w:rsidR="00425E2F" w:rsidRPr="008B0052" w:rsidRDefault="00425E2F" w:rsidP="002A4B80">
      <w:pPr>
        <w:spacing w:before="120" w:line="276" w:lineRule="auto"/>
        <w:jc w:val="both"/>
        <w:rPr>
          <w:rFonts w:ascii="Arial" w:eastAsia="Calibri"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 xml:space="preserve">Ahora bien, en cumplimiento de los principios de reciprocidad y de </w:t>
      </w:r>
      <w:r w:rsidRPr="008B0052">
        <w:rPr>
          <w:rFonts w:ascii="Arial" w:eastAsia="Calibri" w:hAnsi="Arial" w:cs="Arial"/>
          <w:i/>
          <w:iCs/>
          <w:color w:val="000000" w:themeColor="text1"/>
          <w:sz w:val="22"/>
          <w:szCs w:val="22"/>
          <w:lang w:val="es-ES_tradnl"/>
        </w:rPr>
        <w:t xml:space="preserve">pacta sunt </w:t>
      </w:r>
      <w:proofErr w:type="spellStart"/>
      <w:r w:rsidRPr="008B0052">
        <w:rPr>
          <w:rFonts w:ascii="Arial" w:eastAsia="Calibri" w:hAnsi="Arial" w:cs="Arial"/>
          <w:i/>
          <w:iCs/>
          <w:color w:val="000000" w:themeColor="text1"/>
          <w:sz w:val="22"/>
          <w:szCs w:val="22"/>
          <w:lang w:val="es-ES_tradnl"/>
        </w:rPr>
        <w:t>servanda</w:t>
      </w:r>
      <w:proofErr w:type="spellEnd"/>
      <w:r w:rsidRPr="008B0052">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8FC8DBE" w14:textId="77777777" w:rsidR="00425E2F" w:rsidRPr="008B0052" w:rsidRDefault="00425E2F" w:rsidP="00425E2F">
      <w:pPr>
        <w:spacing w:line="276" w:lineRule="auto"/>
        <w:jc w:val="both"/>
        <w:rPr>
          <w:rFonts w:ascii="Arial" w:eastAsia="Calibri" w:hAnsi="Arial" w:cs="Arial"/>
          <w:b/>
          <w:color w:val="000000" w:themeColor="text1"/>
          <w:sz w:val="22"/>
          <w:szCs w:val="22"/>
        </w:rPr>
      </w:pPr>
    </w:p>
    <w:p w14:paraId="5BD662A7" w14:textId="564A84C2" w:rsidR="00425E2F" w:rsidRPr="008B0052" w:rsidRDefault="00425E2F" w:rsidP="00425E2F">
      <w:pPr>
        <w:spacing w:line="276" w:lineRule="auto"/>
        <w:jc w:val="both"/>
        <w:rPr>
          <w:rFonts w:ascii="Arial" w:eastAsia="Calibri" w:hAnsi="Arial" w:cs="Arial"/>
          <w:b/>
          <w:bCs/>
          <w:sz w:val="22"/>
          <w:szCs w:val="22"/>
          <w:lang w:val="es-ES_tradnl"/>
        </w:rPr>
      </w:pPr>
      <w:r w:rsidRPr="008B0052">
        <w:rPr>
          <w:rFonts w:ascii="Arial" w:eastAsia="Calibri" w:hAnsi="Arial" w:cs="Arial"/>
          <w:b/>
          <w:bCs/>
          <w:sz w:val="22"/>
          <w:szCs w:val="22"/>
          <w:lang w:val="es-ES_tradnl"/>
        </w:rPr>
        <w:t>2.</w:t>
      </w:r>
      <w:r w:rsidR="00B419ED" w:rsidRPr="008B0052">
        <w:rPr>
          <w:rFonts w:ascii="Arial" w:eastAsia="Calibri" w:hAnsi="Arial" w:cs="Arial"/>
          <w:b/>
          <w:bCs/>
          <w:sz w:val="22"/>
          <w:szCs w:val="22"/>
          <w:lang w:val="es-ES_tradnl"/>
        </w:rPr>
        <w:t>2</w:t>
      </w:r>
      <w:r w:rsidRPr="008B0052">
        <w:rPr>
          <w:rFonts w:ascii="Arial" w:eastAsia="Calibri" w:hAnsi="Arial" w:cs="Arial"/>
          <w:b/>
          <w:bCs/>
          <w:sz w:val="22"/>
          <w:szCs w:val="22"/>
          <w:lang w:val="es-ES_tradnl"/>
        </w:rPr>
        <w:t>. Vigencia y ámbito de aplicación de la Ley 2069 de 2020</w:t>
      </w:r>
    </w:p>
    <w:p w14:paraId="4A937616" w14:textId="77777777" w:rsidR="00425E2F" w:rsidRPr="008B0052" w:rsidRDefault="00425E2F" w:rsidP="00425E2F">
      <w:pPr>
        <w:spacing w:line="276" w:lineRule="auto"/>
        <w:jc w:val="both"/>
        <w:rPr>
          <w:rFonts w:ascii="Arial" w:eastAsia="Calibri" w:hAnsi="Arial" w:cs="Arial"/>
          <w:sz w:val="22"/>
          <w:szCs w:val="22"/>
          <w:lang w:val="es-ES_tradnl"/>
        </w:rPr>
      </w:pPr>
    </w:p>
    <w:p w14:paraId="16260688" w14:textId="10EF793E" w:rsidR="00425E2F" w:rsidRPr="008B0052" w:rsidRDefault="00425E2F" w:rsidP="00425E2F">
      <w:pPr>
        <w:spacing w:line="276" w:lineRule="auto"/>
        <w:jc w:val="both"/>
        <w:rPr>
          <w:rFonts w:ascii="Arial" w:eastAsia="Calibri" w:hAnsi="Arial" w:cs="Arial"/>
          <w:sz w:val="22"/>
          <w:szCs w:val="22"/>
          <w:lang w:val="es-ES_tradnl"/>
        </w:rPr>
      </w:pPr>
      <w:r w:rsidRPr="008B0052">
        <w:rPr>
          <w:rFonts w:ascii="Arial" w:eastAsia="Calibri" w:hAnsi="Arial" w:cs="Arial"/>
          <w:sz w:val="22"/>
          <w:szCs w:val="22"/>
          <w:lang w:val="es-ES_tradnl"/>
        </w:rPr>
        <w:t xml:space="preserve">El 31 de diciembre de 2020 se promulgó la Ley 2069, «Por medio de la cual se impulsa el emprendimiento en Colombia». De acuerdo con el artículo 84 de </w:t>
      </w:r>
      <w:r w:rsidR="008432E8" w:rsidRPr="008B0052">
        <w:rPr>
          <w:rFonts w:ascii="Arial" w:eastAsia="Calibri" w:hAnsi="Arial" w:cs="Arial"/>
          <w:sz w:val="22"/>
          <w:szCs w:val="22"/>
          <w:lang w:val="es-ES_tradnl"/>
        </w:rPr>
        <w:t>esa Ley</w:t>
      </w:r>
      <w:r w:rsidRPr="008B0052">
        <w:rPr>
          <w:rFonts w:ascii="Arial" w:eastAsia="Calibri" w:hAnsi="Arial" w:cs="Arial"/>
          <w:sz w:val="22"/>
          <w:szCs w:val="22"/>
          <w:lang w:val="es-ES_tradnl"/>
        </w:rPr>
        <w:t>,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BD54F65" w14:textId="77777777" w:rsidR="00425E2F" w:rsidRPr="008B0052" w:rsidRDefault="00425E2F" w:rsidP="002A4B80">
      <w:pPr>
        <w:spacing w:before="120" w:line="276" w:lineRule="auto"/>
        <w:jc w:val="both"/>
        <w:rPr>
          <w:rFonts w:ascii="Arial" w:eastAsia="Calibri" w:hAnsi="Arial" w:cs="Arial"/>
          <w:sz w:val="22"/>
          <w:szCs w:val="22"/>
          <w:lang w:val="es-ES_tradnl"/>
        </w:rPr>
      </w:pPr>
      <w:r w:rsidRPr="008B0052">
        <w:rPr>
          <w:rFonts w:ascii="Arial" w:eastAsia="Calibri" w:hAnsi="Arial" w:cs="Arial"/>
          <w:sz w:val="22"/>
          <w:szCs w:val="22"/>
          <w:lang w:val="es-ES_tradnl"/>
        </w:rPr>
        <w:lastRenderedPageBreak/>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B0052">
        <w:rPr>
          <w:rFonts w:ascii="Arial" w:eastAsia="Calibri" w:hAnsi="Arial" w:cs="Arial"/>
          <w:sz w:val="22"/>
          <w:szCs w:val="22"/>
          <w:lang w:val="es-ES_tradnl"/>
        </w:rPr>
        <w:t>de acuerdo a</w:t>
      </w:r>
      <w:proofErr w:type="gramEnd"/>
      <w:r w:rsidRPr="008B0052">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8B0052">
        <w:rPr>
          <w:rFonts w:ascii="Arial" w:eastAsia="Calibri" w:hAnsi="Arial" w:cs="Arial"/>
          <w:sz w:val="22"/>
          <w:szCs w:val="22"/>
          <w:lang w:val="es-ES_tradnl"/>
        </w:rPr>
        <w:t>mipymes</w:t>
      </w:r>
      <w:proofErr w:type="spellEnd"/>
      <w:r w:rsidRPr="008B0052">
        <w:rPr>
          <w:rFonts w:ascii="Arial" w:eastAsia="Calibri" w:hAnsi="Arial" w:cs="Arial"/>
          <w:sz w:val="22"/>
          <w:szCs w:val="22"/>
          <w:lang w:val="es-ES_tradnl"/>
        </w:rPr>
        <w:t>–, mediante la racionalización y simplificación de los trámites y tarifas</w:t>
      </w:r>
      <w:r w:rsidRPr="008B0052">
        <w:rPr>
          <w:rStyle w:val="Refdenotaalpie"/>
          <w:rFonts w:ascii="Arial" w:eastAsia="Calibri" w:hAnsi="Arial" w:cs="Arial"/>
          <w:sz w:val="22"/>
          <w:szCs w:val="22"/>
          <w:lang w:val="es-ES_tradnl"/>
        </w:rPr>
        <w:footnoteReference w:id="6"/>
      </w:r>
      <w:r w:rsidRPr="008B0052">
        <w:rPr>
          <w:rFonts w:ascii="Arial" w:eastAsia="Calibri" w:hAnsi="Arial" w:cs="Arial"/>
          <w:sz w:val="22"/>
          <w:szCs w:val="22"/>
          <w:lang w:val="es-ES_tradnl"/>
        </w:rPr>
        <w:t>, así como incentivos a favor de aquellas dentro del sistema de compras y contratación pública</w:t>
      </w:r>
      <w:r w:rsidRPr="008B0052">
        <w:rPr>
          <w:rStyle w:val="Refdenotaalpie"/>
          <w:rFonts w:ascii="Arial" w:eastAsia="Calibri" w:hAnsi="Arial" w:cs="Arial"/>
          <w:sz w:val="22"/>
          <w:szCs w:val="22"/>
          <w:lang w:val="es-ES_tradnl"/>
        </w:rPr>
        <w:footnoteReference w:id="7"/>
      </w:r>
      <w:r w:rsidRPr="008B0052">
        <w:rPr>
          <w:rFonts w:ascii="Arial" w:eastAsia="Calibri" w:hAnsi="Arial" w:cs="Arial"/>
          <w:sz w:val="22"/>
          <w:szCs w:val="22"/>
          <w:lang w:val="es-ES_tradnl"/>
        </w:rPr>
        <w:t>. De igual forma, se consagran mecanismos de acceso al financiamiento</w:t>
      </w:r>
      <w:r w:rsidRPr="008B0052">
        <w:rPr>
          <w:rStyle w:val="Refdenotaalpie"/>
          <w:rFonts w:ascii="Arial" w:eastAsia="Calibri" w:hAnsi="Arial" w:cs="Arial"/>
          <w:sz w:val="22"/>
          <w:szCs w:val="22"/>
          <w:lang w:val="es-ES_tradnl"/>
        </w:rPr>
        <w:footnoteReference w:id="8"/>
      </w:r>
      <w:r w:rsidRPr="008B0052">
        <w:rPr>
          <w:rFonts w:ascii="Arial" w:eastAsia="Calibri" w:hAnsi="Arial" w:cs="Arial"/>
          <w:sz w:val="22"/>
          <w:szCs w:val="22"/>
          <w:lang w:val="es-ES_tradnl"/>
        </w:rPr>
        <w:t>, se unifican las fuentes de emprendimiento y de desarrollo empresarial, para fortalecer y promover los distintos sectores de la economía</w:t>
      </w:r>
      <w:r w:rsidRPr="008B0052">
        <w:rPr>
          <w:rStyle w:val="Refdenotaalpie"/>
          <w:rFonts w:ascii="Arial" w:eastAsia="Calibri" w:hAnsi="Arial" w:cs="Arial"/>
          <w:sz w:val="22"/>
          <w:szCs w:val="22"/>
          <w:lang w:val="es-ES_tradnl"/>
        </w:rPr>
        <w:footnoteReference w:id="9"/>
      </w:r>
      <w:r w:rsidRPr="008B0052">
        <w:rPr>
          <w:rFonts w:ascii="Arial" w:eastAsia="Calibri" w:hAnsi="Arial" w:cs="Arial"/>
          <w:sz w:val="22"/>
          <w:szCs w:val="22"/>
          <w:lang w:val="es-ES_tradnl"/>
        </w:rPr>
        <w:t xml:space="preserve"> y se prevén medidas de educación para el emprendimiento y la innovación</w:t>
      </w:r>
      <w:r w:rsidRPr="008B0052">
        <w:rPr>
          <w:rStyle w:val="Refdenotaalpie"/>
          <w:rFonts w:ascii="Arial" w:eastAsia="Calibri" w:hAnsi="Arial" w:cs="Arial"/>
          <w:sz w:val="22"/>
          <w:szCs w:val="22"/>
          <w:lang w:val="es-ES_tradnl"/>
        </w:rPr>
        <w:footnoteReference w:id="10"/>
      </w:r>
      <w:r w:rsidRPr="008B0052">
        <w:rPr>
          <w:rFonts w:ascii="Arial" w:eastAsia="Calibri" w:hAnsi="Arial" w:cs="Arial"/>
          <w:sz w:val="22"/>
          <w:szCs w:val="22"/>
          <w:lang w:val="es-ES_tradnl"/>
        </w:rPr>
        <w:t>.</w:t>
      </w:r>
    </w:p>
    <w:p w14:paraId="5153B42D" w14:textId="184201C5" w:rsidR="00425E2F" w:rsidRPr="008B0052" w:rsidRDefault="00425E2F" w:rsidP="002A4B80">
      <w:pPr>
        <w:spacing w:before="120" w:line="276" w:lineRule="auto"/>
        <w:jc w:val="both"/>
        <w:rPr>
          <w:rFonts w:ascii="Arial" w:eastAsia="Calibri" w:hAnsi="Arial" w:cs="Arial"/>
          <w:sz w:val="22"/>
          <w:szCs w:val="22"/>
          <w:lang w:val="es-ES_tradnl"/>
        </w:rPr>
      </w:pPr>
      <w:r w:rsidRPr="008B0052">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B0052">
        <w:rPr>
          <w:rFonts w:ascii="Arial" w:eastAsia="Calibri" w:hAnsi="Arial" w:cs="Arial"/>
          <w:sz w:val="22"/>
          <w:szCs w:val="22"/>
          <w:lang w:val="es-ES_tradnl"/>
        </w:rPr>
        <w:t>mipymes</w:t>
      </w:r>
      <w:proofErr w:type="spellEnd"/>
      <w:r w:rsidRPr="008B0052">
        <w:rPr>
          <w:rFonts w:ascii="Arial" w:eastAsia="Calibri" w:hAnsi="Arial" w:cs="Arial"/>
          <w:sz w:val="22"/>
          <w:szCs w:val="22"/>
          <w:lang w:val="es-ES_tradnl"/>
        </w:rPr>
        <w:t xml:space="preserve"> en el procedimiento de mínima cuantía, </w:t>
      </w:r>
      <w:proofErr w:type="spellStart"/>
      <w:r w:rsidRPr="008B0052">
        <w:rPr>
          <w:rFonts w:ascii="Arial" w:eastAsia="Calibri" w:hAnsi="Arial" w:cs="Arial"/>
          <w:sz w:val="22"/>
          <w:szCs w:val="22"/>
          <w:lang w:val="es-ES_tradnl"/>
        </w:rPr>
        <w:t>ii</w:t>
      </w:r>
      <w:proofErr w:type="spellEnd"/>
      <w:r w:rsidRPr="008B0052">
        <w:rPr>
          <w:rFonts w:ascii="Arial" w:eastAsia="Calibri" w:hAnsi="Arial" w:cs="Arial"/>
          <w:sz w:val="22"/>
          <w:szCs w:val="22"/>
          <w:lang w:val="es-ES_tradnl"/>
        </w:rPr>
        <w:t xml:space="preserve">) criterios diferenciales para </w:t>
      </w:r>
      <w:proofErr w:type="spellStart"/>
      <w:r w:rsidRPr="008B0052">
        <w:rPr>
          <w:rFonts w:ascii="Arial" w:eastAsia="Calibri" w:hAnsi="Arial" w:cs="Arial"/>
          <w:sz w:val="22"/>
          <w:szCs w:val="22"/>
          <w:lang w:val="es-ES_tradnl"/>
        </w:rPr>
        <w:t>mipymes</w:t>
      </w:r>
      <w:proofErr w:type="spellEnd"/>
      <w:r w:rsidRPr="008B0052">
        <w:rPr>
          <w:rFonts w:ascii="Arial" w:eastAsia="Calibri" w:hAnsi="Arial" w:cs="Arial"/>
          <w:sz w:val="22"/>
          <w:szCs w:val="22"/>
          <w:lang w:val="es-ES_tradnl"/>
        </w:rPr>
        <w:t xml:space="preserve"> en el sistema de compras públicas, </w:t>
      </w:r>
      <w:proofErr w:type="spellStart"/>
      <w:r w:rsidRPr="008B0052">
        <w:rPr>
          <w:rFonts w:ascii="Arial" w:eastAsia="Calibri" w:hAnsi="Arial" w:cs="Arial"/>
          <w:sz w:val="22"/>
          <w:szCs w:val="22"/>
          <w:lang w:val="es-ES_tradnl"/>
        </w:rPr>
        <w:t>iii</w:t>
      </w:r>
      <w:proofErr w:type="spellEnd"/>
      <w:r w:rsidRPr="008B0052">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8B0052">
        <w:rPr>
          <w:rFonts w:ascii="Arial" w:eastAsia="Calibri" w:hAnsi="Arial" w:cs="Arial"/>
          <w:sz w:val="22"/>
          <w:szCs w:val="22"/>
          <w:lang w:val="es-ES_tradnl"/>
        </w:rPr>
        <w:t>iv</w:t>
      </w:r>
      <w:proofErr w:type="spellEnd"/>
      <w:r w:rsidRPr="008B0052">
        <w:rPr>
          <w:rFonts w:ascii="Arial" w:eastAsia="Calibri" w:hAnsi="Arial" w:cs="Arial"/>
          <w:sz w:val="22"/>
          <w:szCs w:val="22"/>
          <w:lang w:val="es-ES_tradnl"/>
        </w:rPr>
        <w:t xml:space="preserve">) promoción del acceso de las </w:t>
      </w:r>
      <w:proofErr w:type="spellStart"/>
      <w:r w:rsidRPr="008B0052">
        <w:rPr>
          <w:rFonts w:ascii="Arial" w:eastAsia="Calibri" w:hAnsi="Arial" w:cs="Arial"/>
          <w:sz w:val="22"/>
          <w:szCs w:val="22"/>
          <w:lang w:val="es-ES_tradnl"/>
        </w:rPr>
        <w:t>mipymes</w:t>
      </w:r>
      <w:proofErr w:type="spellEnd"/>
      <w:r w:rsidRPr="008B0052">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w:t>
      </w:r>
      <w:r w:rsidR="00C12868" w:rsidRPr="008B0052">
        <w:rPr>
          <w:rFonts w:ascii="Arial" w:eastAsia="Calibri" w:hAnsi="Arial" w:cs="Arial"/>
          <w:sz w:val="22"/>
          <w:szCs w:val="22"/>
          <w:lang w:val="es-ES_tradnl"/>
        </w:rPr>
        <w:t xml:space="preserve"> </w:t>
      </w:r>
      <w:r w:rsidRPr="008B0052">
        <w:rPr>
          <w:rFonts w:ascii="Arial" w:eastAsia="Calibri" w:hAnsi="Arial" w:cs="Arial"/>
          <w:sz w:val="22"/>
          <w:szCs w:val="22"/>
          <w:lang w:val="es-ES_tradnl"/>
        </w:rPr>
        <w:t xml:space="preserve">el artículo 35 de la referida ley, a </w:t>
      </w:r>
      <w:proofErr w:type="gramStart"/>
      <w:r w:rsidRPr="008B0052">
        <w:rPr>
          <w:rFonts w:ascii="Arial" w:eastAsia="Calibri" w:hAnsi="Arial" w:cs="Arial"/>
          <w:sz w:val="22"/>
          <w:szCs w:val="22"/>
          <w:lang w:val="es-ES_tradnl"/>
        </w:rPr>
        <w:t>continuación</w:t>
      </w:r>
      <w:proofErr w:type="gramEnd"/>
      <w:r w:rsidRPr="008B0052">
        <w:rPr>
          <w:rFonts w:ascii="Arial" w:eastAsia="Calibri" w:hAnsi="Arial" w:cs="Arial"/>
          <w:sz w:val="22"/>
          <w:szCs w:val="22"/>
          <w:lang w:val="es-ES_tradnl"/>
        </w:rPr>
        <w:t xml:space="preserve"> se estudiará el contenido y alcance de dicha norma.  </w:t>
      </w:r>
    </w:p>
    <w:p w14:paraId="1333FE10" w14:textId="77777777" w:rsidR="00425E2F" w:rsidRPr="008B0052" w:rsidRDefault="00425E2F" w:rsidP="00425E2F">
      <w:pPr>
        <w:spacing w:line="276" w:lineRule="auto"/>
        <w:jc w:val="both"/>
        <w:rPr>
          <w:rFonts w:ascii="Arial" w:eastAsia="Calibri" w:hAnsi="Arial" w:cs="Arial"/>
          <w:b/>
          <w:color w:val="000000" w:themeColor="text1"/>
          <w:sz w:val="22"/>
          <w:szCs w:val="22"/>
        </w:rPr>
      </w:pPr>
    </w:p>
    <w:p w14:paraId="3ECA1581" w14:textId="46027372" w:rsidR="00CC4A1D" w:rsidRPr="008B0052" w:rsidRDefault="00425E2F" w:rsidP="00CC4A1D">
      <w:pPr>
        <w:spacing w:line="276" w:lineRule="auto"/>
        <w:jc w:val="both"/>
        <w:rPr>
          <w:rFonts w:ascii="Arial" w:eastAsia="Calibri" w:hAnsi="Arial" w:cs="Arial"/>
          <w:b/>
          <w:bCs/>
          <w:color w:val="000000" w:themeColor="text1"/>
          <w:sz w:val="22"/>
          <w:szCs w:val="22"/>
          <w:lang w:val="es-ES_tradnl"/>
        </w:rPr>
      </w:pPr>
      <w:r w:rsidRPr="008B0052">
        <w:rPr>
          <w:rFonts w:ascii="Arial" w:eastAsia="Calibri" w:hAnsi="Arial" w:cs="Arial"/>
          <w:b/>
          <w:bCs/>
          <w:sz w:val="22"/>
          <w:szCs w:val="22"/>
          <w:lang w:val="es-ES_tradnl"/>
        </w:rPr>
        <w:t>2.</w:t>
      </w:r>
      <w:r w:rsidR="00B419ED" w:rsidRPr="008B0052">
        <w:rPr>
          <w:rFonts w:ascii="Arial" w:eastAsia="Calibri" w:hAnsi="Arial" w:cs="Arial"/>
          <w:b/>
          <w:bCs/>
          <w:sz w:val="22"/>
          <w:szCs w:val="22"/>
          <w:lang w:val="es-ES_tradnl"/>
        </w:rPr>
        <w:t>3</w:t>
      </w:r>
      <w:r w:rsidRPr="008B0052">
        <w:rPr>
          <w:rFonts w:ascii="Arial" w:eastAsia="Calibri" w:hAnsi="Arial" w:cs="Arial"/>
          <w:b/>
          <w:bCs/>
          <w:sz w:val="22"/>
          <w:szCs w:val="22"/>
          <w:lang w:val="es-ES_tradnl"/>
        </w:rPr>
        <w:t xml:space="preserve">. </w:t>
      </w:r>
      <w:r w:rsidR="0013592A" w:rsidRPr="008B0052">
        <w:rPr>
          <w:rFonts w:ascii="Arial" w:eastAsia="Calibri" w:hAnsi="Arial" w:cs="Arial"/>
          <w:b/>
          <w:bCs/>
          <w:sz w:val="22"/>
          <w:szCs w:val="22"/>
          <w:lang w:val="es-ES_tradnl"/>
        </w:rPr>
        <w:t xml:space="preserve">Aplicabilidad de los factores de desempate del artículo 35 de la Ley 2069 de 2015 </w:t>
      </w:r>
      <w:bookmarkStart w:id="7" w:name="_Hlk92438540"/>
      <w:r w:rsidR="00B419ED" w:rsidRPr="008B0052">
        <w:rPr>
          <w:rFonts w:ascii="Arial" w:eastAsia="Calibri" w:hAnsi="Arial" w:cs="Arial"/>
          <w:b/>
          <w:bCs/>
          <w:sz w:val="22"/>
          <w:szCs w:val="22"/>
          <w:lang w:val="es-ES_tradnl"/>
        </w:rPr>
        <w:t xml:space="preserve">a los procedimientos contractuales para la </w:t>
      </w:r>
      <w:bookmarkStart w:id="8" w:name="_Hlk92445781"/>
      <w:r w:rsidR="00B419ED" w:rsidRPr="008B0052">
        <w:rPr>
          <w:rFonts w:ascii="Arial" w:eastAsia="Calibri" w:hAnsi="Arial" w:cs="Arial"/>
          <w:b/>
          <w:bCs/>
          <w:sz w:val="22"/>
          <w:szCs w:val="22"/>
          <w:lang w:val="es-ES_tradnl"/>
        </w:rPr>
        <w:t>selección de corredores de seguros</w:t>
      </w:r>
      <w:bookmarkEnd w:id="7"/>
      <w:bookmarkEnd w:id="8"/>
      <w:r w:rsidR="001A15F4" w:rsidRPr="008B0052">
        <w:rPr>
          <w:rFonts w:ascii="Arial" w:eastAsia="Calibri" w:hAnsi="Arial" w:cs="Arial"/>
          <w:b/>
          <w:bCs/>
          <w:sz w:val="22"/>
          <w:szCs w:val="22"/>
          <w:lang w:val="es-ES_tradnl"/>
        </w:rPr>
        <w:t>: imposibilidad del limitar su alcance por vía reglamentaria</w:t>
      </w:r>
    </w:p>
    <w:p w14:paraId="69A7CBA7" w14:textId="77777777" w:rsidR="00CC4A1D" w:rsidRPr="008B0052" w:rsidRDefault="00CC4A1D" w:rsidP="00CC4A1D">
      <w:pPr>
        <w:spacing w:line="276" w:lineRule="auto"/>
        <w:jc w:val="both"/>
        <w:rPr>
          <w:rFonts w:ascii="Arial" w:eastAsia="Calibri" w:hAnsi="Arial" w:cs="Arial"/>
          <w:color w:val="000000" w:themeColor="text1"/>
          <w:sz w:val="22"/>
          <w:szCs w:val="22"/>
          <w:lang w:val="es-ES_tradnl"/>
        </w:rPr>
      </w:pPr>
    </w:p>
    <w:p w14:paraId="3EC5BE09" w14:textId="0BA10ED2" w:rsidR="00377653" w:rsidRPr="008B0052" w:rsidRDefault="00CC4A1D" w:rsidP="00153DE4">
      <w:pPr>
        <w:spacing w:line="276" w:lineRule="auto"/>
        <w:jc w:val="both"/>
        <w:rPr>
          <w:rFonts w:ascii="Arial" w:hAnsi="Arial" w:cs="Arial"/>
          <w:color w:val="000000" w:themeColor="text1"/>
          <w:sz w:val="22"/>
          <w:szCs w:val="22"/>
          <w:lang w:val="es-ES_tradnl"/>
        </w:rPr>
      </w:pPr>
      <w:r w:rsidRPr="008B0052">
        <w:rPr>
          <w:rFonts w:ascii="Arial" w:eastAsia="Calibri" w:hAnsi="Arial" w:cs="Arial"/>
          <w:color w:val="000000" w:themeColor="text1"/>
          <w:sz w:val="22"/>
          <w:szCs w:val="22"/>
          <w:lang w:val="es-ES_tradnl"/>
        </w:rPr>
        <w:t>El artículo 35 de la Ley 2069 de 2020</w:t>
      </w:r>
      <w:r w:rsidR="007F2FB0" w:rsidRPr="008B0052">
        <w:rPr>
          <w:rFonts w:ascii="Arial" w:eastAsia="Calibri" w:hAnsi="Arial" w:cs="Arial"/>
          <w:color w:val="000000" w:themeColor="text1"/>
          <w:sz w:val="22"/>
          <w:szCs w:val="22"/>
          <w:lang w:val="es-ES_tradnl"/>
        </w:rPr>
        <w:t xml:space="preserve">, </w:t>
      </w:r>
      <w:bookmarkStart w:id="9" w:name="_Hlk92262220"/>
      <w:r w:rsidR="007F2FB0" w:rsidRPr="008B0052">
        <w:rPr>
          <w:rFonts w:ascii="Arial" w:eastAsia="Calibri" w:hAnsi="Arial" w:cs="Arial"/>
          <w:color w:val="000000" w:themeColor="text1"/>
          <w:sz w:val="22"/>
          <w:szCs w:val="22"/>
          <w:lang w:val="es-ES_tradnl"/>
        </w:rPr>
        <w:t xml:space="preserve">reglamentado por el </w:t>
      </w:r>
      <w:r w:rsidR="00513FA1" w:rsidRPr="008B0052">
        <w:rPr>
          <w:rFonts w:ascii="Arial" w:eastAsia="Calibri" w:hAnsi="Arial" w:cs="Arial"/>
          <w:color w:val="000000" w:themeColor="text1"/>
          <w:sz w:val="22"/>
          <w:szCs w:val="22"/>
          <w:lang w:val="es-ES_tradnl"/>
        </w:rPr>
        <w:t xml:space="preserve">Decreto 1860 de 2021 que adicionó el </w:t>
      </w:r>
      <w:r w:rsidR="007F2FB0" w:rsidRPr="008B0052">
        <w:rPr>
          <w:rFonts w:ascii="Arial" w:eastAsia="Calibri" w:hAnsi="Arial" w:cs="Arial"/>
          <w:color w:val="000000" w:themeColor="text1"/>
          <w:sz w:val="22"/>
          <w:szCs w:val="22"/>
          <w:lang w:val="es-ES_tradnl"/>
        </w:rPr>
        <w:t xml:space="preserve">artículo 2.2.1.2.4.2.17 </w:t>
      </w:r>
      <w:r w:rsidR="00513FA1" w:rsidRPr="008B0052">
        <w:rPr>
          <w:rFonts w:ascii="Arial" w:eastAsia="Calibri" w:hAnsi="Arial" w:cs="Arial"/>
          <w:color w:val="000000" w:themeColor="text1"/>
          <w:sz w:val="22"/>
          <w:szCs w:val="22"/>
          <w:lang w:val="es-ES_tradnl"/>
        </w:rPr>
        <w:t>a</w:t>
      </w:r>
      <w:r w:rsidR="007F2FB0" w:rsidRPr="008B0052">
        <w:rPr>
          <w:rFonts w:ascii="Arial" w:eastAsia="Calibri" w:hAnsi="Arial" w:cs="Arial"/>
          <w:color w:val="000000" w:themeColor="text1"/>
          <w:sz w:val="22"/>
          <w:szCs w:val="22"/>
          <w:lang w:val="es-ES_tradnl"/>
        </w:rPr>
        <w:t>l Decreto 1082 de 2015</w:t>
      </w:r>
      <w:bookmarkEnd w:id="9"/>
      <w:r w:rsidR="007F2FB0" w:rsidRPr="008B0052">
        <w:rPr>
          <w:rFonts w:ascii="Arial" w:eastAsia="Calibri" w:hAnsi="Arial" w:cs="Arial"/>
          <w:color w:val="000000" w:themeColor="text1"/>
          <w:sz w:val="22"/>
          <w:szCs w:val="22"/>
          <w:lang w:val="es-ES_tradnl"/>
        </w:rPr>
        <w:t>,</w:t>
      </w:r>
      <w:r w:rsidRPr="008B0052">
        <w:rPr>
          <w:rFonts w:ascii="Arial" w:eastAsia="Calibri" w:hAnsi="Arial" w:cs="Arial"/>
          <w:color w:val="000000" w:themeColor="text1"/>
          <w:sz w:val="22"/>
          <w:szCs w:val="22"/>
          <w:lang w:val="es-ES_tradnl"/>
        </w:rPr>
        <w:t xml:space="preserve"> modifica la regulación de los factores de desempate en la contratación estatal. </w:t>
      </w:r>
      <w:r w:rsidR="007F2FB0" w:rsidRPr="008B0052">
        <w:rPr>
          <w:rFonts w:ascii="Arial" w:eastAsia="Calibri" w:hAnsi="Arial" w:cs="Arial"/>
          <w:color w:val="000000" w:themeColor="text1"/>
          <w:sz w:val="22"/>
          <w:szCs w:val="22"/>
          <w:lang w:val="es-ES_tradnl"/>
        </w:rPr>
        <w:t>De esta manera</w:t>
      </w:r>
      <w:r w:rsidR="00377653" w:rsidRPr="008B0052">
        <w:rPr>
          <w:rFonts w:ascii="Arial" w:hAnsi="Arial" w:cs="Arial"/>
          <w:color w:val="000000" w:themeColor="text1"/>
          <w:sz w:val="22"/>
          <w:szCs w:val="22"/>
          <w:lang w:val="es-ES_tradnl"/>
        </w:rPr>
        <w:t xml:space="preserve">, hasta la promulgación de la Ley </w:t>
      </w:r>
      <w:r w:rsidR="007F2FB0" w:rsidRPr="008B0052">
        <w:rPr>
          <w:rFonts w:ascii="Arial" w:hAnsi="Arial" w:cs="Arial"/>
          <w:color w:val="000000" w:themeColor="text1"/>
          <w:sz w:val="22"/>
          <w:szCs w:val="22"/>
          <w:lang w:val="es-ES_tradnl"/>
        </w:rPr>
        <w:t>de Emprendimiento</w:t>
      </w:r>
      <w:r w:rsidR="00377653" w:rsidRPr="008B0052">
        <w:rPr>
          <w:rFonts w:ascii="Arial" w:hAnsi="Arial" w:cs="Arial"/>
          <w:color w:val="000000" w:themeColor="text1"/>
          <w:sz w:val="22"/>
          <w:szCs w:val="22"/>
          <w:lang w:val="es-ES_tradnl"/>
        </w:rPr>
        <w:t xml:space="preserve">, el artículo 2.2.1.1.2.2.9. del Decreto 1082 de 2015 regulaba </w:t>
      </w:r>
      <w:r w:rsidR="00377653" w:rsidRPr="008B0052">
        <w:rPr>
          <w:rFonts w:ascii="Arial" w:hAnsi="Arial" w:cs="Arial"/>
          <w:color w:val="000000" w:themeColor="text1"/>
          <w:sz w:val="22"/>
          <w:szCs w:val="22"/>
          <w:lang w:val="es-ES_tradnl"/>
        </w:rPr>
        <w:lastRenderedPageBreak/>
        <w:t>los factores de desempate que debían aplicarse en los procesos de selección</w:t>
      </w:r>
      <w:r w:rsidR="00377653" w:rsidRPr="008B0052">
        <w:rPr>
          <w:rStyle w:val="Refdenotaalpie"/>
          <w:rFonts w:ascii="Arial" w:hAnsi="Arial" w:cs="Arial"/>
          <w:color w:val="000000" w:themeColor="text1"/>
          <w:sz w:val="22"/>
          <w:szCs w:val="22"/>
          <w:lang w:val="es-ES_tradnl"/>
        </w:rPr>
        <w:footnoteReference w:id="11"/>
      </w:r>
      <w:r w:rsidR="00377653" w:rsidRPr="008B0052">
        <w:rPr>
          <w:rFonts w:ascii="Arial" w:hAnsi="Arial" w:cs="Arial"/>
          <w:color w:val="000000" w:themeColor="text1"/>
          <w:sz w:val="22"/>
          <w:szCs w:val="22"/>
          <w:lang w:val="es-ES_tradnl"/>
        </w:rPr>
        <w:t xml:space="preserve">. En criterio de esta Agencia, dicha norma debe entenderse derogada por el artículo 35 de la Ley 2069 de 2020. Ello no solo porque el artículo 84 de esta Ley </w:t>
      </w:r>
      <w:r w:rsidR="00951DA4" w:rsidRPr="008B0052">
        <w:rPr>
          <w:rFonts w:ascii="Arial" w:hAnsi="Arial" w:cs="Arial"/>
          <w:color w:val="000000" w:themeColor="text1"/>
          <w:sz w:val="22"/>
          <w:szCs w:val="22"/>
          <w:lang w:val="es-ES_tradnl"/>
        </w:rPr>
        <w:t>dispone</w:t>
      </w:r>
      <w:r w:rsidR="00377653" w:rsidRPr="008B0052">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w:t>
      </w:r>
      <w:r w:rsidR="00951DA4" w:rsidRPr="008B0052">
        <w:rPr>
          <w:rStyle w:val="Refdenotaalpie"/>
          <w:rFonts w:ascii="Arial" w:hAnsi="Arial" w:cs="Arial"/>
          <w:color w:val="000000" w:themeColor="text1"/>
          <w:sz w:val="22"/>
          <w:szCs w:val="22"/>
          <w:lang w:val="es-ES_tradnl"/>
        </w:rPr>
        <w:footnoteReference w:id="12"/>
      </w:r>
      <w:r w:rsidR="00377653" w:rsidRPr="008B0052">
        <w:rPr>
          <w:rFonts w:ascii="Arial" w:hAnsi="Arial" w:cs="Arial"/>
          <w:color w:val="000000" w:themeColor="text1"/>
          <w:sz w:val="22"/>
          <w:szCs w:val="22"/>
          <w:lang w:val="es-ES_tradnl"/>
        </w:rPr>
        <w:t xml:space="preserve">. </w:t>
      </w:r>
    </w:p>
    <w:p w14:paraId="7CB32B5D" w14:textId="4E0AEE21" w:rsidR="00272553" w:rsidRPr="008B0052" w:rsidRDefault="00805979" w:rsidP="002A4B80">
      <w:pPr>
        <w:spacing w:before="120" w:line="276" w:lineRule="auto"/>
        <w:jc w:val="both"/>
        <w:rPr>
          <w:rFonts w:ascii="Arial" w:eastAsia="Calibri" w:hAnsi="Arial" w:cs="Arial"/>
          <w:sz w:val="22"/>
          <w:szCs w:val="22"/>
          <w:lang w:val="es-ES_tradnl"/>
        </w:rPr>
      </w:pPr>
      <w:r w:rsidRPr="008B0052">
        <w:rPr>
          <w:rFonts w:ascii="Arial" w:eastAsia="Calibri" w:hAnsi="Arial" w:cs="Arial"/>
          <w:sz w:val="22"/>
          <w:szCs w:val="22"/>
          <w:lang w:val="es-ES_tradnl"/>
        </w:rPr>
        <w:lastRenderedPageBreak/>
        <w:t xml:space="preserve">Luego de aclarar que el artículo 35 de la Ley 2069 de 2020 se encuentra vigente, es </w:t>
      </w:r>
      <w:r w:rsidR="00531AE4" w:rsidRPr="008B0052">
        <w:rPr>
          <w:rFonts w:ascii="Arial" w:eastAsia="Calibri" w:hAnsi="Arial" w:cs="Arial"/>
          <w:sz w:val="22"/>
          <w:szCs w:val="22"/>
          <w:lang w:val="es-ES_tradnl"/>
        </w:rPr>
        <w:t>necesario</w:t>
      </w:r>
      <w:r w:rsidRPr="008B0052">
        <w:rPr>
          <w:rFonts w:ascii="Arial" w:eastAsia="Calibri" w:hAnsi="Arial" w:cs="Arial"/>
          <w:sz w:val="22"/>
          <w:szCs w:val="22"/>
          <w:lang w:val="es-ES_tradnl"/>
        </w:rPr>
        <w:t xml:space="preserve"> hacer referencia al objeto de la consulta. Al respecto, se indaga en torno a la aplicación de los factores de desempate del artículo 35</w:t>
      </w:r>
      <w:r w:rsidR="00535E31" w:rsidRPr="008B0052">
        <w:rPr>
          <w:rFonts w:ascii="Arial" w:eastAsia="Calibri" w:hAnsi="Arial" w:cs="Arial"/>
          <w:sz w:val="22"/>
          <w:szCs w:val="22"/>
          <w:lang w:val="es-ES_tradnl"/>
        </w:rPr>
        <w:t xml:space="preserve"> </w:t>
      </w:r>
      <w:r w:rsidR="00272553" w:rsidRPr="008B0052">
        <w:rPr>
          <w:rFonts w:ascii="Arial" w:eastAsia="Calibri" w:hAnsi="Arial" w:cs="Arial"/>
          <w:sz w:val="22"/>
          <w:szCs w:val="22"/>
          <w:lang w:val="es-ES_tradnl"/>
        </w:rPr>
        <w:t>a los procedimientos contractuales para la selección de corredores de seguros</w:t>
      </w:r>
      <w:r w:rsidR="00535E31" w:rsidRPr="008B0052">
        <w:rPr>
          <w:rFonts w:ascii="Arial" w:eastAsia="Calibri" w:hAnsi="Arial" w:cs="Arial"/>
          <w:sz w:val="22"/>
          <w:szCs w:val="22"/>
          <w:lang w:val="es-ES_tradnl"/>
        </w:rPr>
        <w:t xml:space="preserve">. </w:t>
      </w:r>
      <w:r w:rsidR="00535E31" w:rsidRPr="008B0052">
        <w:rPr>
          <w:rFonts w:ascii="Arial" w:eastAsia="Calibri" w:hAnsi="Arial" w:cs="Arial"/>
          <w:sz w:val="22"/>
          <w:szCs w:val="22"/>
          <w:lang w:val="es-ES_tradnl" w:eastAsia="en-US"/>
        </w:rPr>
        <w:t>Para resolver esta inquietud es necesario tener en cuenta lo</w:t>
      </w:r>
      <w:r w:rsidR="000861E5" w:rsidRPr="008B0052">
        <w:rPr>
          <w:rFonts w:ascii="Arial" w:eastAsia="Calibri" w:hAnsi="Arial" w:cs="Arial"/>
          <w:sz w:val="22"/>
          <w:szCs w:val="22"/>
          <w:lang w:val="es-ES_tradnl" w:eastAsia="en-US"/>
        </w:rPr>
        <w:t xml:space="preserve"> dispuesto en e</w:t>
      </w:r>
      <w:r w:rsidR="00535E31" w:rsidRPr="008B0052">
        <w:rPr>
          <w:rFonts w:ascii="Arial" w:eastAsia="Calibri" w:hAnsi="Arial" w:cs="Arial"/>
          <w:sz w:val="22"/>
          <w:szCs w:val="22"/>
          <w:lang w:val="es-ES_tradnl" w:eastAsia="en-US"/>
        </w:rPr>
        <w:t>l artículo 35</w:t>
      </w:r>
      <w:r w:rsidR="007D32A7" w:rsidRPr="008B0052">
        <w:rPr>
          <w:rFonts w:ascii="Arial" w:eastAsia="Calibri" w:hAnsi="Arial" w:cs="Arial"/>
          <w:sz w:val="22"/>
          <w:szCs w:val="22"/>
          <w:lang w:val="es-ES_tradnl" w:eastAsia="en-US"/>
        </w:rPr>
        <w:t xml:space="preserve"> de la Ley de Emprendimiento</w:t>
      </w:r>
      <w:r w:rsidR="00535E31" w:rsidRPr="008B0052">
        <w:rPr>
          <w:rFonts w:ascii="Arial" w:eastAsia="Calibri" w:hAnsi="Arial" w:cs="Arial"/>
          <w:sz w:val="22"/>
          <w:szCs w:val="22"/>
          <w:lang w:val="es-ES_tradnl" w:eastAsia="en-US"/>
        </w:rPr>
        <w:t xml:space="preserve">, </w:t>
      </w:r>
      <w:r w:rsidR="00272553" w:rsidRPr="008B0052">
        <w:rPr>
          <w:rFonts w:ascii="Arial" w:eastAsia="Calibri" w:hAnsi="Arial" w:cs="Arial"/>
          <w:sz w:val="22"/>
          <w:szCs w:val="22"/>
          <w:lang w:val="es-ES_tradnl" w:eastAsia="en-US"/>
        </w:rPr>
        <w:t>pues las causales</w:t>
      </w:r>
      <w:r w:rsidR="00CD37FB" w:rsidRPr="008B0052">
        <w:rPr>
          <w:rFonts w:ascii="Arial" w:eastAsia="Calibri" w:hAnsi="Arial" w:cs="Arial"/>
          <w:sz w:val="22"/>
          <w:szCs w:val="22"/>
          <w:lang w:val="es-ES_tradnl"/>
        </w:rPr>
        <w:t xml:space="preserve"> aplican a los «[…]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w:t>
      </w:r>
    </w:p>
    <w:p w14:paraId="029F7389" w14:textId="00939896" w:rsidR="00CD37FB" w:rsidRPr="008B0052" w:rsidRDefault="002211DD" w:rsidP="002A4B80">
      <w:pPr>
        <w:spacing w:before="120" w:line="276" w:lineRule="auto"/>
        <w:jc w:val="both"/>
        <w:rPr>
          <w:rFonts w:ascii="Arial" w:eastAsia="Calibri" w:hAnsi="Arial" w:cs="Arial"/>
          <w:sz w:val="22"/>
          <w:szCs w:val="22"/>
          <w:lang w:val="es-ES_tradnl"/>
        </w:rPr>
      </w:pPr>
      <w:r w:rsidRPr="008B0052">
        <w:rPr>
          <w:rFonts w:ascii="Arial" w:eastAsia="Calibri" w:hAnsi="Arial" w:cs="Arial"/>
          <w:sz w:val="22"/>
          <w:szCs w:val="22"/>
          <w:lang w:val="es-ES_tradnl"/>
        </w:rPr>
        <w:t>De este modo</w:t>
      </w:r>
      <w:r w:rsidR="00CD37FB" w:rsidRPr="008B0052">
        <w:rPr>
          <w:rFonts w:ascii="Arial" w:eastAsia="Calibri" w:hAnsi="Arial" w:cs="Arial"/>
          <w:sz w:val="22"/>
          <w:szCs w:val="22"/>
          <w:lang w:val="es-ES_tradnl"/>
        </w:rPr>
        <w:t>, los factores de desempate del artículo 35 de la Ley de Emprendimiento</w:t>
      </w:r>
      <w:r w:rsidR="00CD37FB" w:rsidRPr="008B0052">
        <w:rPr>
          <w:rFonts w:ascii="Arial" w:eastAsia="Calibri" w:hAnsi="Arial" w:cs="Arial"/>
          <w:i/>
          <w:iCs/>
          <w:sz w:val="22"/>
          <w:szCs w:val="22"/>
          <w:lang w:val="es-ES_tradnl"/>
        </w:rPr>
        <w:t xml:space="preserve"> </w:t>
      </w:r>
      <w:r w:rsidR="00CD37FB" w:rsidRPr="008B0052">
        <w:rPr>
          <w:rFonts w:ascii="Arial" w:eastAsia="Calibri" w:hAnsi="Arial" w:cs="Arial"/>
          <w:sz w:val="22"/>
          <w:szCs w:val="22"/>
          <w:lang w:val="es-ES_tradnl"/>
        </w:rPr>
        <w:t>no solo son aplicables a la contratación de las entidades regidas por el EGCAP,</w:t>
      </w:r>
      <w:r w:rsidR="00557DAF" w:rsidRPr="008B0052">
        <w:rPr>
          <w:rFonts w:ascii="Arial" w:eastAsia="Calibri" w:hAnsi="Arial" w:cs="Arial"/>
          <w:sz w:val="22"/>
          <w:szCs w:val="22"/>
          <w:lang w:val="es-ES_tradnl"/>
        </w:rPr>
        <w:t xml:space="preserve"> sino que extiende su aplicación</w:t>
      </w:r>
      <w:r w:rsidR="00CD37FB" w:rsidRPr="008B0052">
        <w:rPr>
          <w:rFonts w:ascii="Arial" w:eastAsia="Calibri" w:hAnsi="Arial" w:cs="Arial"/>
          <w:sz w:val="22"/>
          <w:szCs w:val="22"/>
          <w:lang w:val="es-ES_tradnl"/>
        </w:rPr>
        <w:t xml:space="preserve"> a los procesos de selección de las entidades</w:t>
      </w:r>
      <w:r w:rsidRPr="008B0052">
        <w:rPr>
          <w:rFonts w:ascii="Arial" w:eastAsia="Calibri" w:hAnsi="Arial" w:cs="Arial"/>
          <w:sz w:val="22"/>
          <w:szCs w:val="22"/>
          <w:lang w:val="es-ES_tradnl"/>
        </w:rPr>
        <w:t xml:space="preserve"> independientemente de su régimen de contratación</w:t>
      </w:r>
      <w:r w:rsidR="00CD37FB" w:rsidRPr="008B0052">
        <w:rPr>
          <w:rFonts w:ascii="Arial" w:eastAsia="Calibri" w:hAnsi="Arial" w:cs="Arial"/>
          <w:sz w:val="22"/>
          <w:szCs w:val="22"/>
          <w:lang w:val="es-ES_tradnl"/>
        </w:rPr>
        <w:t>,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celebren los sujetos mencionados</w:t>
      </w:r>
      <w:r w:rsidRPr="008B0052">
        <w:rPr>
          <w:rFonts w:ascii="Arial" w:eastAsia="Calibri" w:hAnsi="Arial" w:cs="Arial"/>
          <w:sz w:val="22"/>
          <w:szCs w:val="22"/>
          <w:lang w:val="es-ES_tradnl"/>
        </w:rPr>
        <w:t xml:space="preserve">. </w:t>
      </w:r>
    </w:p>
    <w:p w14:paraId="3795C3D6" w14:textId="7232157D" w:rsidR="00D438AD" w:rsidRPr="008B0052" w:rsidRDefault="000861E5" w:rsidP="002A4B80">
      <w:pPr>
        <w:spacing w:before="120" w:line="276" w:lineRule="auto"/>
        <w:jc w:val="both"/>
        <w:rPr>
          <w:rFonts w:ascii="Arial" w:eastAsia="Calibri" w:hAnsi="Arial" w:cs="Arial"/>
          <w:sz w:val="22"/>
          <w:szCs w:val="22"/>
        </w:rPr>
      </w:pPr>
      <w:r w:rsidRPr="008B0052">
        <w:rPr>
          <w:rFonts w:ascii="Arial" w:eastAsia="Calibri" w:hAnsi="Arial" w:cs="Arial"/>
          <w:sz w:val="22"/>
          <w:szCs w:val="22"/>
          <w:lang w:val="es-ES_tradnl"/>
        </w:rPr>
        <w:t>R</w:t>
      </w:r>
      <w:r w:rsidR="002B241A" w:rsidRPr="008B0052">
        <w:rPr>
          <w:rFonts w:ascii="Arial" w:eastAsia="Calibri" w:hAnsi="Arial" w:cs="Arial"/>
          <w:sz w:val="22"/>
          <w:szCs w:val="22"/>
          <w:lang w:val="es-ES_tradnl"/>
        </w:rPr>
        <w:t>especto de l</w:t>
      </w:r>
      <w:r w:rsidRPr="008B0052">
        <w:rPr>
          <w:rFonts w:ascii="Arial" w:eastAsia="Calibri" w:hAnsi="Arial" w:cs="Arial"/>
          <w:sz w:val="22"/>
          <w:szCs w:val="22"/>
          <w:lang w:val="es-ES_tradnl"/>
        </w:rPr>
        <w:t>o</w:t>
      </w:r>
      <w:r w:rsidR="002B241A" w:rsidRPr="008B0052">
        <w:rPr>
          <w:rFonts w:ascii="Arial" w:eastAsia="Calibri" w:hAnsi="Arial" w:cs="Arial"/>
          <w:sz w:val="22"/>
          <w:szCs w:val="22"/>
          <w:lang w:val="es-ES_tradnl"/>
        </w:rPr>
        <w:t xml:space="preserve">s </w:t>
      </w:r>
      <w:r w:rsidRPr="008B0052">
        <w:rPr>
          <w:rFonts w:ascii="Arial" w:eastAsia="Calibri" w:hAnsi="Arial" w:cs="Arial"/>
          <w:sz w:val="22"/>
          <w:szCs w:val="22"/>
          <w:lang w:val="es-ES_tradnl"/>
        </w:rPr>
        <w:t>procesos de contratación</w:t>
      </w:r>
      <w:r w:rsidR="002B241A" w:rsidRPr="008B0052">
        <w:rPr>
          <w:rFonts w:ascii="Arial" w:eastAsia="Calibri" w:hAnsi="Arial" w:cs="Arial"/>
          <w:sz w:val="22"/>
          <w:szCs w:val="22"/>
          <w:lang w:val="es-ES_tradnl"/>
        </w:rPr>
        <w:t xml:space="preserve"> en </w:t>
      </w:r>
      <w:r w:rsidRPr="008B0052">
        <w:rPr>
          <w:rFonts w:ascii="Arial" w:eastAsia="Calibri" w:hAnsi="Arial" w:cs="Arial"/>
          <w:sz w:val="22"/>
          <w:szCs w:val="22"/>
          <w:lang w:val="es-ES_tradnl"/>
        </w:rPr>
        <w:t>el</w:t>
      </w:r>
      <w:r w:rsidR="002B241A" w:rsidRPr="008B0052">
        <w:rPr>
          <w:rFonts w:ascii="Arial" w:eastAsia="Calibri" w:hAnsi="Arial" w:cs="Arial"/>
          <w:sz w:val="22"/>
          <w:szCs w:val="22"/>
          <w:lang w:val="es-ES_tradnl"/>
        </w:rPr>
        <w:t xml:space="preserve"> que son aplicables los factores de selección del artículo 35 de la Ley 2069 de 2020, se advierte que en el texto </w:t>
      </w:r>
      <w:proofErr w:type="gramStart"/>
      <w:r w:rsidR="002B241A" w:rsidRPr="008B0052">
        <w:rPr>
          <w:rFonts w:ascii="Arial" w:eastAsia="Calibri" w:hAnsi="Arial" w:cs="Arial"/>
          <w:sz w:val="22"/>
          <w:szCs w:val="22"/>
          <w:lang w:val="es-ES_tradnl"/>
        </w:rPr>
        <w:t>del mismo</w:t>
      </w:r>
      <w:proofErr w:type="gramEnd"/>
      <w:r w:rsidR="002B241A" w:rsidRPr="008B0052">
        <w:rPr>
          <w:rFonts w:ascii="Arial" w:eastAsia="Calibri" w:hAnsi="Arial" w:cs="Arial"/>
          <w:sz w:val="22"/>
          <w:szCs w:val="22"/>
          <w:lang w:val="es-ES_tradnl"/>
        </w:rPr>
        <w:t xml:space="preserve"> no se hace referencia a ningún procedimiento en específico. Por el contrario, el deber de aplicar los aludidos factores de desempate es el establecido de manera general, para resolver las circunstancias de empate que se presenten en los procesos de contratación adelantados por las entidades públicas, sin consideración a su régimen de contratación, así como en los procesos de los patrimonios autónomos constituidos por entidades estatales. Esto significa que los factores de desempate establecidos por el artículo 35 </w:t>
      </w:r>
      <w:proofErr w:type="spellStart"/>
      <w:r w:rsidR="002B241A" w:rsidRPr="008B0052">
        <w:rPr>
          <w:rFonts w:ascii="Arial" w:eastAsia="Calibri" w:hAnsi="Arial" w:cs="Arial"/>
          <w:i/>
          <w:iCs/>
          <w:sz w:val="22"/>
          <w:szCs w:val="22"/>
          <w:lang w:val="es-ES_tradnl"/>
        </w:rPr>
        <w:t>ejusdem</w:t>
      </w:r>
      <w:proofErr w:type="spellEnd"/>
      <w:r w:rsidR="002B241A" w:rsidRPr="008B0052">
        <w:rPr>
          <w:rFonts w:ascii="Arial" w:eastAsia="Calibri" w:hAnsi="Arial" w:cs="Arial"/>
          <w:i/>
          <w:iCs/>
          <w:sz w:val="22"/>
          <w:szCs w:val="22"/>
          <w:lang w:val="es-ES_tradnl"/>
        </w:rPr>
        <w:t xml:space="preserve"> </w:t>
      </w:r>
      <w:r w:rsidR="002B241A" w:rsidRPr="008B0052">
        <w:rPr>
          <w:rFonts w:ascii="Arial" w:eastAsia="Calibri" w:hAnsi="Arial" w:cs="Arial"/>
          <w:sz w:val="22"/>
          <w:szCs w:val="22"/>
          <w:lang w:val="es-ES_tradnl"/>
        </w:rPr>
        <w:t>deben aplicarse no solo en los procesos competitivos regulados por el EGCAP, sino también en aquellos adelantados por las entidades estatales, o patrimonios autónomos constituidos por estas, en los procesos adelantados en el marco de los regímenes exceptuados</w:t>
      </w:r>
      <w:r w:rsidR="00557DAF" w:rsidRPr="008B0052">
        <w:rPr>
          <w:rFonts w:ascii="Arial" w:eastAsia="Calibri" w:hAnsi="Arial" w:cs="Arial"/>
          <w:sz w:val="22"/>
          <w:szCs w:val="22"/>
          <w:lang w:val="es-ES_tradnl"/>
        </w:rPr>
        <w:t xml:space="preserve"> </w:t>
      </w:r>
      <w:r w:rsidR="002B241A" w:rsidRPr="008B0052">
        <w:rPr>
          <w:rFonts w:ascii="Arial" w:eastAsia="Calibri" w:hAnsi="Arial" w:cs="Arial"/>
          <w:sz w:val="22"/>
          <w:szCs w:val="22"/>
          <w:lang w:val="es-ES_tradnl"/>
        </w:rPr>
        <w:t>en los que prevalece la aplicación del derecho privado</w:t>
      </w:r>
      <w:r w:rsidR="00557DAF" w:rsidRPr="008B0052">
        <w:rPr>
          <w:rFonts w:ascii="Arial" w:eastAsia="Calibri" w:hAnsi="Arial" w:cs="Arial"/>
          <w:sz w:val="22"/>
          <w:szCs w:val="22"/>
          <w:lang w:val="es-ES_tradnl"/>
        </w:rPr>
        <w:t xml:space="preserve"> o </w:t>
      </w:r>
      <w:r w:rsidR="001531DE" w:rsidRPr="008B0052">
        <w:rPr>
          <w:rFonts w:ascii="Arial" w:eastAsia="Calibri" w:hAnsi="Arial" w:cs="Arial"/>
          <w:sz w:val="22"/>
          <w:szCs w:val="22"/>
          <w:lang w:val="es-ES_tradnl"/>
        </w:rPr>
        <w:t>de los</w:t>
      </w:r>
      <w:r w:rsidR="005269A0" w:rsidRPr="008B0052">
        <w:rPr>
          <w:rFonts w:ascii="Arial" w:eastAsia="Calibri" w:hAnsi="Arial" w:cs="Arial"/>
          <w:sz w:val="22"/>
          <w:szCs w:val="22"/>
          <w:lang w:val="es-ES_tradnl"/>
        </w:rPr>
        <w:t xml:space="preserve"> </w:t>
      </w:r>
      <w:r w:rsidR="00557DAF" w:rsidRPr="008B0052">
        <w:rPr>
          <w:rFonts w:ascii="Arial" w:eastAsia="Calibri" w:hAnsi="Arial" w:cs="Arial"/>
          <w:sz w:val="22"/>
          <w:szCs w:val="22"/>
          <w:lang w:val="es-ES_tradnl"/>
        </w:rPr>
        <w:t>regímenes especiales, como lo es el establecido en el Decreto 092 de 2017</w:t>
      </w:r>
      <w:r w:rsidR="00D438AD" w:rsidRPr="008B0052">
        <w:rPr>
          <w:rFonts w:ascii="Arial" w:eastAsia="Calibri" w:hAnsi="Arial" w:cs="Arial"/>
          <w:sz w:val="22"/>
          <w:szCs w:val="22"/>
          <w:lang w:val="es-ES_tradnl"/>
        </w:rPr>
        <w:t xml:space="preserve"> en relación con las ESAL. </w:t>
      </w:r>
    </w:p>
    <w:p w14:paraId="360A4E37" w14:textId="7EF374FA" w:rsidR="006048AA" w:rsidRPr="008B0052" w:rsidRDefault="002B241A" w:rsidP="002A4B80">
      <w:pPr>
        <w:spacing w:before="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eastAsia="en-US"/>
        </w:rPr>
        <w:t xml:space="preserve">Conforme a lo anterior, la aplicación del artículo 35 de la Ley 2069 de 2020 es transversal a los diferentes </w:t>
      </w:r>
      <w:r w:rsidR="00CF6B2D" w:rsidRPr="008B0052">
        <w:rPr>
          <w:rFonts w:ascii="Arial" w:hAnsi="Arial" w:cs="Arial"/>
          <w:color w:val="000000" w:themeColor="text1"/>
          <w:sz w:val="22"/>
          <w:szCs w:val="22"/>
          <w:lang w:val="es-ES_tradnl"/>
        </w:rPr>
        <w:t>procesos de selección de las entidades públicas,</w:t>
      </w:r>
      <w:r w:rsidR="00897EF3" w:rsidRPr="008B0052">
        <w:rPr>
          <w:rFonts w:ascii="Arial" w:eastAsiaTheme="minorHAnsi" w:hAnsi="Arial" w:cs="Arial"/>
          <w:sz w:val="22"/>
          <w:szCs w:val="22"/>
          <w:lang w:eastAsia="en-US"/>
        </w:rPr>
        <w:t xml:space="preserve"> </w:t>
      </w:r>
      <w:r w:rsidRPr="008B0052">
        <w:rPr>
          <w:rFonts w:ascii="Arial" w:eastAsiaTheme="minorHAnsi" w:hAnsi="Arial" w:cs="Arial"/>
          <w:sz w:val="22"/>
          <w:szCs w:val="22"/>
          <w:lang w:eastAsia="en-US"/>
        </w:rPr>
        <w:t>quienes –indistintamente del régimen contractual y el proceso de selección– deben aplicar los criterios de desempate de esta norma</w:t>
      </w:r>
      <w:r w:rsidR="00130370" w:rsidRPr="008B0052">
        <w:rPr>
          <w:rFonts w:ascii="Arial" w:eastAsiaTheme="minorHAnsi" w:hAnsi="Arial" w:cs="Arial"/>
          <w:sz w:val="22"/>
          <w:szCs w:val="22"/>
          <w:lang w:eastAsia="en-US"/>
        </w:rPr>
        <w:t>. Este artículo</w:t>
      </w:r>
      <w:r w:rsidR="00D529F1" w:rsidRPr="008B0052">
        <w:rPr>
          <w:rFonts w:ascii="Arial" w:eastAsiaTheme="minorHAnsi" w:hAnsi="Arial" w:cs="Arial"/>
          <w:sz w:val="22"/>
          <w:szCs w:val="22"/>
          <w:lang w:eastAsia="en-US"/>
        </w:rPr>
        <w:t xml:space="preserve"> </w:t>
      </w:r>
      <w:r w:rsidR="00D529F1" w:rsidRPr="008B0052">
        <w:rPr>
          <w:rFonts w:ascii="Arial" w:eastAsiaTheme="minorHAnsi" w:hAnsi="Arial" w:cs="Arial"/>
          <w:bCs/>
          <w:sz w:val="22"/>
          <w:szCs w:val="22"/>
          <w:lang w:eastAsia="en-US"/>
        </w:rPr>
        <w:t>obliga a todas las entidades</w:t>
      </w:r>
      <w:r w:rsidR="00130370" w:rsidRPr="008B0052">
        <w:rPr>
          <w:rFonts w:ascii="Arial" w:eastAsiaTheme="minorHAnsi" w:hAnsi="Arial" w:cs="Arial"/>
          <w:bCs/>
          <w:sz w:val="22"/>
          <w:szCs w:val="22"/>
          <w:lang w:eastAsia="en-US"/>
        </w:rPr>
        <w:t xml:space="preserve"> estatales</w:t>
      </w:r>
      <w:r w:rsidR="00D529F1" w:rsidRPr="008B0052">
        <w:rPr>
          <w:rFonts w:ascii="Arial" w:eastAsiaTheme="minorHAnsi" w:hAnsi="Arial" w:cs="Arial"/>
          <w:bCs/>
          <w:sz w:val="22"/>
          <w:szCs w:val="22"/>
          <w:lang w:eastAsia="en-US"/>
        </w:rPr>
        <w:t xml:space="preserve"> a aplicar </w:t>
      </w:r>
      <w:r w:rsidR="00130370" w:rsidRPr="008B0052">
        <w:rPr>
          <w:rFonts w:ascii="Arial" w:eastAsiaTheme="minorHAnsi" w:hAnsi="Arial" w:cs="Arial"/>
          <w:bCs/>
          <w:sz w:val="22"/>
          <w:szCs w:val="22"/>
          <w:lang w:eastAsia="en-US"/>
        </w:rPr>
        <w:t xml:space="preserve">los factores de desempate allí previstos </w:t>
      </w:r>
      <w:r w:rsidR="00D529F1" w:rsidRPr="008B0052">
        <w:rPr>
          <w:rFonts w:ascii="Arial" w:eastAsiaTheme="minorHAnsi" w:hAnsi="Arial" w:cs="Arial"/>
          <w:bCs/>
          <w:sz w:val="22"/>
          <w:szCs w:val="22"/>
          <w:lang w:eastAsia="en-US"/>
        </w:rPr>
        <w:t xml:space="preserve">en los procesos de selección </w:t>
      </w:r>
      <w:r w:rsidR="00D529F1" w:rsidRPr="008B0052">
        <w:rPr>
          <w:rFonts w:ascii="Arial" w:eastAsia="Calibri" w:hAnsi="Arial" w:cs="Arial"/>
          <w:sz w:val="22"/>
          <w:szCs w:val="22"/>
          <w:lang w:val="es-ES_tradnl"/>
        </w:rPr>
        <w:t>independientemente de su régimen de contratació</w:t>
      </w:r>
      <w:r w:rsidR="00130370" w:rsidRPr="008B0052">
        <w:rPr>
          <w:rFonts w:ascii="Arial" w:eastAsia="Calibri" w:hAnsi="Arial" w:cs="Arial"/>
          <w:sz w:val="22"/>
          <w:szCs w:val="22"/>
          <w:lang w:val="es-ES_tradnl"/>
        </w:rPr>
        <w:t>n</w:t>
      </w:r>
      <w:r w:rsidR="00D529F1" w:rsidRPr="008B0052">
        <w:rPr>
          <w:rFonts w:ascii="Arial" w:eastAsiaTheme="minorHAnsi" w:hAnsi="Arial" w:cs="Arial"/>
          <w:bCs/>
          <w:sz w:val="22"/>
          <w:szCs w:val="22"/>
          <w:lang w:eastAsia="en-US"/>
        </w:rPr>
        <w:t>.</w:t>
      </w:r>
      <w:r w:rsidR="00130370" w:rsidRPr="008B0052">
        <w:rPr>
          <w:rFonts w:ascii="Arial" w:eastAsiaTheme="minorHAnsi" w:hAnsi="Arial" w:cs="Arial"/>
          <w:bCs/>
          <w:sz w:val="22"/>
          <w:szCs w:val="22"/>
          <w:lang w:eastAsia="en-US"/>
        </w:rPr>
        <w:t xml:space="preserve"> Por ello</w:t>
      </w:r>
      <w:r w:rsidR="00D529F1" w:rsidRPr="008B0052">
        <w:rPr>
          <w:rFonts w:ascii="Arial" w:eastAsiaTheme="minorHAnsi" w:hAnsi="Arial" w:cs="Arial"/>
          <w:bCs/>
          <w:sz w:val="22"/>
          <w:szCs w:val="22"/>
          <w:lang w:eastAsia="en-US"/>
        </w:rPr>
        <w:t xml:space="preserve">, se concluye que el artículo </w:t>
      </w:r>
      <w:r w:rsidR="00D529F1" w:rsidRPr="008B0052">
        <w:rPr>
          <w:rFonts w:ascii="Arial" w:eastAsiaTheme="minorHAnsi" w:hAnsi="Arial" w:cs="Arial"/>
          <w:sz w:val="22"/>
          <w:szCs w:val="22"/>
          <w:lang w:val="es-ES_tradnl" w:eastAsia="en-US"/>
        </w:rPr>
        <w:t>35 de la Ley 2069 de 2020</w:t>
      </w:r>
      <w:r w:rsidR="007D32A7" w:rsidRPr="008B0052">
        <w:rPr>
          <w:rFonts w:ascii="Arial" w:eastAsia="Calibri" w:hAnsi="Arial" w:cs="Arial"/>
          <w:color w:val="000000" w:themeColor="text1"/>
          <w:sz w:val="22"/>
          <w:szCs w:val="22"/>
          <w:lang w:val="es-ES_tradnl"/>
        </w:rPr>
        <w:t xml:space="preserve">, </w:t>
      </w:r>
      <w:r w:rsidR="00513FA1" w:rsidRPr="008B0052">
        <w:rPr>
          <w:rFonts w:ascii="Arial" w:eastAsia="Calibri" w:hAnsi="Arial" w:cs="Arial"/>
          <w:color w:val="000000" w:themeColor="text1"/>
          <w:sz w:val="22"/>
          <w:szCs w:val="22"/>
          <w:lang w:val="es-ES_tradnl"/>
        </w:rPr>
        <w:t>reglamentado por el Decreto 1860 de 2021 que adicionó el artículo 2.2.1.2.4.2.17 al Decreto 1082 de 2015</w:t>
      </w:r>
      <w:r w:rsidR="007D32A7" w:rsidRPr="008B0052">
        <w:rPr>
          <w:rFonts w:ascii="Arial" w:eastAsia="Calibri" w:hAnsi="Arial" w:cs="Arial"/>
          <w:color w:val="000000" w:themeColor="text1"/>
          <w:sz w:val="22"/>
          <w:szCs w:val="22"/>
          <w:lang w:val="es-ES_tradnl"/>
        </w:rPr>
        <w:t>,</w:t>
      </w:r>
      <w:r w:rsidR="00D529F1" w:rsidRPr="008B0052">
        <w:rPr>
          <w:rFonts w:ascii="Arial" w:eastAsiaTheme="minorHAnsi" w:hAnsi="Arial" w:cs="Arial"/>
          <w:sz w:val="22"/>
          <w:szCs w:val="22"/>
          <w:lang w:val="es-ES_tradnl" w:eastAsia="en-US"/>
        </w:rPr>
        <w:t xml:space="preserve"> es aplicable</w:t>
      </w:r>
      <w:r w:rsidR="00272553" w:rsidRPr="008B0052">
        <w:rPr>
          <w:rFonts w:ascii="Arial" w:eastAsiaTheme="minorHAnsi" w:hAnsi="Arial" w:cs="Arial"/>
          <w:sz w:val="22"/>
          <w:szCs w:val="22"/>
          <w:lang w:val="es-ES_tradnl" w:eastAsia="en-US"/>
        </w:rPr>
        <w:t xml:space="preserve"> a los procedimientos contractuales para la selección de corredores de seguros</w:t>
      </w:r>
      <w:r w:rsidR="000F1C13" w:rsidRPr="008B0052">
        <w:rPr>
          <w:rFonts w:ascii="Arial" w:eastAsiaTheme="minorHAnsi" w:hAnsi="Arial" w:cs="Arial"/>
          <w:sz w:val="22"/>
          <w:szCs w:val="22"/>
          <w:lang w:val="es-ES_tradnl" w:eastAsia="en-US"/>
        </w:rPr>
        <w:t xml:space="preserve">. </w:t>
      </w:r>
    </w:p>
    <w:p w14:paraId="4CC09059" w14:textId="0A0EF5E7" w:rsidR="002A769D" w:rsidRPr="008B0052" w:rsidRDefault="00500092" w:rsidP="002A4B80">
      <w:pPr>
        <w:spacing w:before="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lastRenderedPageBreak/>
        <w:t xml:space="preserve">Al respecto, la peticionaria manifiesta que </w:t>
      </w:r>
      <w:r w:rsidRPr="008B0052">
        <w:rPr>
          <w:rFonts w:ascii="Arial" w:eastAsia="Calibri" w:hAnsi="Arial" w:cs="Arial"/>
          <w:sz w:val="22"/>
        </w:rPr>
        <w:t xml:space="preserve">«[…] se está frente a procesos atípicos toda vez que estos NO tienen propuesta económica y no implica erogación a cargo de las entidades o personas contratantes», agregando que «[…] La comisión que devenga el corredor de seguros no se paga con recursos públicos, sino que estos provienen del pacto privado realizado con la Compañía de Seguros». </w:t>
      </w:r>
      <w:r w:rsidR="00E47A2C" w:rsidRPr="008B0052">
        <w:rPr>
          <w:rFonts w:ascii="Arial" w:eastAsia="Calibri" w:hAnsi="Arial" w:cs="Arial"/>
          <w:sz w:val="22"/>
        </w:rPr>
        <w:t xml:space="preserve">La Agencia no desconoce la veracidad de estas afirmaciones, teniendo en cuenta que el artículo 1341 del Código de Comercio –aplicable a los contratos estatales </w:t>
      </w:r>
      <w:r w:rsidR="00011A33" w:rsidRPr="008B0052">
        <w:rPr>
          <w:rFonts w:ascii="Arial" w:eastAsia="Calibri" w:hAnsi="Arial" w:cs="Arial"/>
          <w:sz w:val="22"/>
        </w:rPr>
        <w:t xml:space="preserve">de las entidades sometidas </w:t>
      </w:r>
      <w:r w:rsidR="00E47A2C" w:rsidRPr="008B0052">
        <w:rPr>
          <w:rFonts w:ascii="Arial" w:eastAsia="Calibri" w:hAnsi="Arial" w:cs="Arial"/>
          <w:sz w:val="22"/>
        </w:rPr>
        <w:t xml:space="preserve">por remisión de los artículos 13, 32 y 40 de la Ley 80 de 1993– </w:t>
      </w:r>
      <w:r w:rsidR="00011A33" w:rsidRPr="008B0052">
        <w:rPr>
          <w:rFonts w:ascii="Arial" w:eastAsia="Calibri" w:hAnsi="Arial" w:cs="Arial"/>
          <w:sz w:val="22"/>
        </w:rPr>
        <w:t xml:space="preserve">dispone </w:t>
      </w:r>
      <w:r w:rsidR="00FD2D7C" w:rsidRPr="008B0052">
        <w:rPr>
          <w:rFonts w:ascii="Arial" w:eastAsia="Calibri" w:hAnsi="Arial" w:cs="Arial"/>
          <w:sz w:val="22"/>
        </w:rPr>
        <w:t xml:space="preserve">que </w:t>
      </w:r>
      <w:r w:rsidR="00011A33" w:rsidRPr="008B0052">
        <w:rPr>
          <w:rFonts w:ascii="Arial" w:eastAsia="Calibri" w:hAnsi="Arial" w:cs="Arial"/>
          <w:sz w:val="22"/>
        </w:rPr>
        <w:t>la comisión a los corredores es pagada directamente por la compañía de seguros</w:t>
      </w:r>
      <w:r w:rsidR="00D402D2" w:rsidRPr="008B0052">
        <w:rPr>
          <w:rFonts w:ascii="Arial" w:eastAsia="Calibri" w:hAnsi="Arial" w:cs="Arial"/>
          <w:sz w:val="22"/>
        </w:rPr>
        <w:t xml:space="preserve">, por lo que es claro que la remuneración </w:t>
      </w:r>
      <w:r w:rsidR="00F83C65" w:rsidRPr="008B0052">
        <w:rPr>
          <w:rFonts w:ascii="Arial" w:eastAsia="Calibri" w:hAnsi="Arial" w:cs="Arial"/>
          <w:sz w:val="22"/>
        </w:rPr>
        <w:t>no proviene del</w:t>
      </w:r>
      <w:r w:rsidR="00D402D2" w:rsidRPr="008B0052">
        <w:rPr>
          <w:rFonts w:ascii="Arial" w:eastAsia="Calibri" w:hAnsi="Arial" w:cs="Arial"/>
          <w:sz w:val="22"/>
        </w:rPr>
        <w:t xml:space="preserve"> erario</w:t>
      </w:r>
      <w:r w:rsidR="00011A33" w:rsidRPr="008B0052">
        <w:rPr>
          <w:rStyle w:val="Refdenotaalpie"/>
          <w:rFonts w:ascii="Arial" w:eastAsia="Calibri" w:hAnsi="Arial" w:cs="Arial"/>
          <w:sz w:val="22"/>
        </w:rPr>
        <w:footnoteReference w:id="13"/>
      </w:r>
      <w:r w:rsidR="00011A33" w:rsidRPr="008B0052">
        <w:rPr>
          <w:rFonts w:ascii="Arial" w:eastAsia="Calibri" w:hAnsi="Arial" w:cs="Arial"/>
          <w:sz w:val="22"/>
        </w:rPr>
        <w:t>.</w:t>
      </w:r>
      <w:r w:rsidRPr="008B0052">
        <w:rPr>
          <w:rFonts w:ascii="Arial" w:eastAsiaTheme="minorHAnsi" w:hAnsi="Arial" w:cs="Arial"/>
          <w:sz w:val="22"/>
          <w:szCs w:val="22"/>
          <w:lang w:val="es-ES_tradnl" w:eastAsia="en-US"/>
        </w:rPr>
        <w:t xml:space="preserve"> </w:t>
      </w:r>
      <w:r w:rsidR="00D402D2" w:rsidRPr="008B0052">
        <w:rPr>
          <w:rFonts w:ascii="Arial" w:eastAsiaTheme="minorHAnsi" w:hAnsi="Arial" w:cs="Arial"/>
          <w:sz w:val="22"/>
          <w:szCs w:val="22"/>
          <w:lang w:val="es-ES_tradnl" w:eastAsia="en-US"/>
        </w:rPr>
        <w:t xml:space="preserve">No obstante, de acuerdo con el artículo 35 de la Ley de Emprendimiento, </w:t>
      </w:r>
      <w:r w:rsidR="002A769D" w:rsidRPr="008B0052">
        <w:rPr>
          <w:rFonts w:ascii="Arial" w:eastAsiaTheme="minorHAnsi" w:hAnsi="Arial" w:cs="Arial"/>
          <w:sz w:val="22"/>
          <w:szCs w:val="22"/>
          <w:lang w:val="es-ES_tradnl" w:eastAsia="en-US"/>
        </w:rPr>
        <w:t xml:space="preserve">los factores de desempate aplican en tres (3) supuestos diferentes: i) para los procesos de contratación realizados con cargo a recursos públicos, </w:t>
      </w:r>
      <w:proofErr w:type="spellStart"/>
      <w:r w:rsidR="002A769D" w:rsidRPr="008B0052">
        <w:rPr>
          <w:rFonts w:ascii="Arial" w:eastAsiaTheme="minorHAnsi" w:hAnsi="Arial" w:cs="Arial"/>
          <w:sz w:val="22"/>
          <w:szCs w:val="22"/>
          <w:lang w:val="es-ES_tradnl" w:eastAsia="en-US"/>
        </w:rPr>
        <w:t>ii</w:t>
      </w:r>
      <w:proofErr w:type="spellEnd"/>
      <w:r w:rsidR="002A769D" w:rsidRPr="008B0052">
        <w:rPr>
          <w:rFonts w:ascii="Arial" w:eastAsiaTheme="minorHAnsi" w:hAnsi="Arial" w:cs="Arial"/>
          <w:sz w:val="22"/>
          <w:szCs w:val="22"/>
          <w:lang w:val="es-ES_tradnl" w:eastAsia="en-US"/>
        </w:rPr>
        <w:t xml:space="preserve">) para los procesos de contratación realizados por las entidades estatales indistintamente de su régimen de contratación y </w:t>
      </w:r>
      <w:proofErr w:type="spellStart"/>
      <w:r w:rsidR="002A769D" w:rsidRPr="008B0052">
        <w:rPr>
          <w:rFonts w:ascii="Arial" w:eastAsiaTheme="minorHAnsi" w:hAnsi="Arial" w:cs="Arial"/>
          <w:sz w:val="22"/>
          <w:szCs w:val="22"/>
          <w:lang w:val="es-ES_tradnl" w:eastAsia="en-US"/>
        </w:rPr>
        <w:t>iii</w:t>
      </w:r>
      <w:proofErr w:type="spellEnd"/>
      <w:r w:rsidR="002A769D" w:rsidRPr="008B0052">
        <w:rPr>
          <w:rFonts w:ascii="Arial" w:eastAsiaTheme="minorHAnsi" w:hAnsi="Arial" w:cs="Arial"/>
          <w:sz w:val="22"/>
          <w:szCs w:val="22"/>
          <w:lang w:val="es-ES_tradnl" w:eastAsia="en-US"/>
        </w:rPr>
        <w:t xml:space="preserve">) para los procesos de contratación de los patrimonios autónomos constituidos por entidades estatales. En esta medida, el hecho de que los factores de desempate no apliquen en virtud del </w:t>
      </w:r>
      <w:r w:rsidR="002A769D" w:rsidRPr="008B0052">
        <w:rPr>
          <w:rFonts w:ascii="Arial" w:eastAsiaTheme="minorHAnsi" w:hAnsi="Arial" w:cs="Arial"/>
          <w:i/>
          <w:iCs/>
          <w:sz w:val="22"/>
          <w:szCs w:val="22"/>
          <w:lang w:val="es-ES_tradnl" w:eastAsia="en-US"/>
        </w:rPr>
        <w:t>primer supuesto</w:t>
      </w:r>
      <w:r w:rsidR="002A769D" w:rsidRPr="008B0052">
        <w:rPr>
          <w:rFonts w:ascii="Arial" w:eastAsiaTheme="minorHAnsi" w:hAnsi="Arial" w:cs="Arial"/>
          <w:sz w:val="22"/>
          <w:szCs w:val="22"/>
          <w:lang w:val="es-ES_tradnl" w:eastAsia="en-US"/>
        </w:rPr>
        <w:t>, no significa que dejen de regir por lo previsto en los dos (2) restantes. Lo anterior en la medida que son tres (3) hipótesis distintas de aplicación de los factores de desempate en el sistema de compras y contratación pública.</w:t>
      </w:r>
    </w:p>
    <w:p w14:paraId="7AF02586" w14:textId="7CE22CC9" w:rsidR="001A15F4" w:rsidRPr="008B0052" w:rsidRDefault="00DC0AA4" w:rsidP="002A4B80">
      <w:pPr>
        <w:spacing w:before="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t xml:space="preserve">Aunque para el </w:t>
      </w:r>
      <w:r w:rsidRPr="008B0052">
        <w:rPr>
          <w:rFonts w:ascii="Arial" w:eastAsiaTheme="minorHAnsi" w:hAnsi="Arial" w:cs="Arial"/>
          <w:i/>
          <w:iCs/>
          <w:sz w:val="22"/>
          <w:szCs w:val="22"/>
          <w:lang w:val="es-ES_tradnl" w:eastAsia="en-US"/>
        </w:rPr>
        <w:t>primer supuesto</w:t>
      </w:r>
      <w:r w:rsidRPr="008B0052">
        <w:rPr>
          <w:rFonts w:ascii="Arial" w:eastAsiaTheme="minorHAnsi" w:hAnsi="Arial" w:cs="Arial"/>
          <w:sz w:val="22"/>
          <w:szCs w:val="22"/>
          <w:lang w:val="es-ES_tradnl" w:eastAsia="en-US"/>
        </w:rPr>
        <w:t xml:space="preserve"> es jurídicamente relevante la naturaleza pública de los recursos, el </w:t>
      </w:r>
      <w:r w:rsidRPr="008B0052">
        <w:rPr>
          <w:rFonts w:ascii="Arial" w:eastAsiaTheme="minorHAnsi" w:hAnsi="Arial" w:cs="Arial"/>
          <w:i/>
          <w:iCs/>
          <w:sz w:val="22"/>
          <w:szCs w:val="22"/>
          <w:lang w:val="es-ES_tradnl" w:eastAsia="en-US"/>
        </w:rPr>
        <w:t>segundo supuesto</w:t>
      </w:r>
      <w:r w:rsidRPr="008B0052">
        <w:rPr>
          <w:rFonts w:ascii="Arial" w:eastAsiaTheme="minorHAnsi" w:hAnsi="Arial" w:cs="Arial"/>
          <w:sz w:val="22"/>
          <w:szCs w:val="22"/>
          <w:lang w:val="es-ES_tradnl" w:eastAsia="en-US"/>
        </w:rPr>
        <w:t xml:space="preserve"> hace abstracción de este requisito cuando dispone que los factores de desempate </w:t>
      </w:r>
      <w:r w:rsidR="001A15F4" w:rsidRPr="008B0052">
        <w:rPr>
          <w:rFonts w:ascii="Arial" w:eastAsiaTheme="minorHAnsi" w:hAnsi="Arial" w:cs="Arial"/>
          <w:sz w:val="22"/>
          <w:szCs w:val="22"/>
          <w:lang w:val="es-ES_tradnl" w:eastAsia="en-US"/>
        </w:rPr>
        <w:t>rigen</w:t>
      </w:r>
      <w:r w:rsidR="00F83C65" w:rsidRPr="008B0052">
        <w:rPr>
          <w:rFonts w:ascii="Arial" w:eastAsiaTheme="minorHAnsi" w:hAnsi="Arial" w:cs="Arial"/>
          <w:sz w:val="22"/>
          <w:szCs w:val="22"/>
          <w:lang w:val="es-ES_tradnl" w:eastAsia="en-US"/>
        </w:rPr>
        <w:t xml:space="preserve"> también</w:t>
      </w:r>
      <w:r w:rsidRPr="008B0052">
        <w:rPr>
          <w:rFonts w:ascii="Arial" w:eastAsiaTheme="minorHAnsi" w:hAnsi="Arial" w:cs="Arial"/>
          <w:sz w:val="22"/>
          <w:szCs w:val="22"/>
          <w:lang w:val="es-ES_tradnl" w:eastAsia="en-US"/>
        </w:rPr>
        <w:t xml:space="preserve"> en «[…] </w:t>
      </w:r>
      <w:r w:rsidRPr="008B0052">
        <w:rPr>
          <w:rFonts w:ascii="Arial" w:eastAsiaTheme="minorHAnsi" w:hAnsi="Arial" w:cs="Arial"/>
          <w:i/>
          <w:iCs/>
          <w:sz w:val="22"/>
          <w:szCs w:val="22"/>
          <w:lang w:val="es-ES_tradnl" w:eastAsia="en-US"/>
        </w:rPr>
        <w:t>los Procesos de Contratación realizados por las Entidades Estatales indistintamente de su régimen de contratación</w:t>
      </w:r>
      <w:r w:rsidRPr="008B0052">
        <w:rPr>
          <w:rFonts w:ascii="Arial" w:eastAsiaTheme="minorHAnsi" w:hAnsi="Arial" w:cs="Arial"/>
          <w:sz w:val="22"/>
          <w:szCs w:val="22"/>
          <w:lang w:val="es-ES_tradnl" w:eastAsia="en-US"/>
        </w:rPr>
        <w:t xml:space="preserve"> […]» (Énfasis fuera de texto). Dado que este apartado de la norma no distingue si existe o no ejecución de recursos públicos, la Agencia entiende que aplica a ambos supuestos bajo la máxima hermenéutica según la cual donde el legislador no distingue, no le</w:t>
      </w:r>
      <w:r w:rsidR="00745B3F" w:rsidRPr="008B0052">
        <w:rPr>
          <w:rFonts w:ascii="Arial" w:eastAsiaTheme="minorHAnsi" w:hAnsi="Arial" w:cs="Arial"/>
          <w:sz w:val="22"/>
          <w:szCs w:val="22"/>
          <w:lang w:val="es-ES_tradnl" w:eastAsia="en-US"/>
        </w:rPr>
        <w:t xml:space="preserve"> e</w:t>
      </w:r>
      <w:r w:rsidRPr="008B0052">
        <w:rPr>
          <w:rFonts w:ascii="Arial" w:eastAsiaTheme="minorHAnsi" w:hAnsi="Arial" w:cs="Arial"/>
          <w:sz w:val="22"/>
          <w:szCs w:val="22"/>
          <w:lang w:val="es-ES_tradnl" w:eastAsia="en-US"/>
        </w:rPr>
        <w:t>s lícito al int</w:t>
      </w:r>
      <w:r w:rsidR="00F83C65" w:rsidRPr="008B0052">
        <w:rPr>
          <w:rFonts w:ascii="Arial" w:eastAsiaTheme="minorHAnsi" w:hAnsi="Arial" w:cs="Arial"/>
          <w:sz w:val="22"/>
          <w:szCs w:val="22"/>
          <w:lang w:val="es-ES_tradnl" w:eastAsia="en-US"/>
        </w:rPr>
        <w:t>é</w:t>
      </w:r>
      <w:r w:rsidRPr="008B0052">
        <w:rPr>
          <w:rFonts w:ascii="Arial" w:eastAsiaTheme="minorHAnsi" w:hAnsi="Arial" w:cs="Arial"/>
          <w:sz w:val="22"/>
          <w:szCs w:val="22"/>
          <w:lang w:val="es-ES_tradnl" w:eastAsia="en-US"/>
        </w:rPr>
        <w:t xml:space="preserve">rprete distinguir. Por tanto, si bien en cierto que en los procesos de los corredores de seguros no existe ejecución de recursos públicos, </w:t>
      </w:r>
      <w:r w:rsidR="001A15F4" w:rsidRPr="008B0052">
        <w:rPr>
          <w:rFonts w:ascii="Arial" w:eastAsiaTheme="minorHAnsi" w:hAnsi="Arial" w:cs="Arial"/>
          <w:sz w:val="22"/>
          <w:szCs w:val="22"/>
          <w:lang w:val="es-ES_tradnl" w:eastAsia="en-US"/>
        </w:rPr>
        <w:t>la Agencia considera</w:t>
      </w:r>
      <w:r w:rsidRPr="008B0052">
        <w:rPr>
          <w:rFonts w:ascii="Arial" w:eastAsiaTheme="minorHAnsi" w:hAnsi="Arial" w:cs="Arial"/>
          <w:sz w:val="22"/>
          <w:szCs w:val="22"/>
          <w:lang w:val="es-ES_tradnl" w:eastAsia="en-US"/>
        </w:rPr>
        <w:t xml:space="preserve"> que aplican los factores de desempate en virtud del segundo supuesto previsto en el artículo 35 de la Ley 2069 de 2020.   </w:t>
      </w:r>
    </w:p>
    <w:p w14:paraId="20882C25" w14:textId="6FFECEF4" w:rsidR="002A6E9F" w:rsidRPr="008B0052" w:rsidRDefault="001A15F4" w:rsidP="00011A33">
      <w:pPr>
        <w:spacing w:before="120" w:line="276" w:lineRule="auto"/>
        <w:ind w:firstLine="709"/>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t>Por otra parte, en la solicitud se alude a la posibilidad de limitar la aplicación de los factores de desemp</w:t>
      </w:r>
      <w:r w:rsidR="00DC504C" w:rsidRPr="008B0052">
        <w:rPr>
          <w:rFonts w:ascii="Arial" w:eastAsiaTheme="minorHAnsi" w:hAnsi="Arial" w:cs="Arial"/>
          <w:sz w:val="22"/>
          <w:szCs w:val="22"/>
          <w:lang w:val="es-ES_tradnl" w:eastAsia="en-US"/>
        </w:rPr>
        <w:t xml:space="preserve">ate, </w:t>
      </w:r>
      <w:r w:rsidR="00283FD7" w:rsidRPr="008B0052">
        <w:rPr>
          <w:rFonts w:ascii="Arial" w:eastAsiaTheme="minorHAnsi" w:hAnsi="Arial" w:cs="Arial"/>
          <w:sz w:val="22"/>
          <w:szCs w:val="22"/>
          <w:lang w:val="es-ES_tradnl" w:eastAsia="en-US"/>
        </w:rPr>
        <w:t>pues</w:t>
      </w:r>
      <w:r w:rsidR="00DC504C" w:rsidRPr="008B0052">
        <w:rPr>
          <w:rFonts w:ascii="Arial" w:eastAsiaTheme="minorHAnsi" w:hAnsi="Arial" w:cs="Arial"/>
          <w:sz w:val="22"/>
          <w:szCs w:val="22"/>
          <w:lang w:val="es-ES_tradnl" w:eastAsia="en-US"/>
        </w:rPr>
        <w:t xml:space="preserve"> el parágrafo 3 de la norma citada en el párrafo precedente dispone que «El Gobierno Nacional podrá reglamentar la aplicación de factores de desempate en casos en que concurran dos o más de los factores aquí previstos». Sobre </w:t>
      </w:r>
      <w:r w:rsidR="00DC504C" w:rsidRPr="008B0052">
        <w:rPr>
          <w:rFonts w:ascii="Arial" w:eastAsiaTheme="minorHAnsi" w:hAnsi="Arial" w:cs="Arial"/>
          <w:sz w:val="22"/>
          <w:szCs w:val="22"/>
          <w:lang w:val="es-ES_tradnl" w:eastAsia="en-US"/>
        </w:rPr>
        <w:lastRenderedPageBreak/>
        <w:t xml:space="preserve">este punto, </w:t>
      </w:r>
      <w:r w:rsidR="002A6E9F" w:rsidRPr="008B0052">
        <w:rPr>
          <w:rFonts w:ascii="Arial" w:eastAsiaTheme="minorHAnsi" w:hAnsi="Arial" w:cs="Arial"/>
          <w:sz w:val="22"/>
          <w:szCs w:val="22"/>
          <w:lang w:val="es-ES_tradnl" w:eastAsia="en-US"/>
        </w:rPr>
        <w:t>tanto l</w:t>
      </w:r>
      <w:r w:rsidR="002A6E9F" w:rsidRPr="008B0052">
        <w:rPr>
          <w:rFonts w:ascii="Arial" w:eastAsiaTheme="minorHAnsi" w:hAnsi="Arial" w:cs="Arial"/>
          <w:sz w:val="22"/>
          <w:szCs w:val="22"/>
          <w:lang w:val="es-ES" w:eastAsia="en-US"/>
        </w:rPr>
        <w:t>a jurisprudencia de la Corte Constitucional</w:t>
      </w:r>
      <w:r w:rsidR="002A6E9F" w:rsidRPr="008B0052">
        <w:rPr>
          <w:rFonts w:ascii="Arial" w:eastAsiaTheme="minorHAnsi" w:hAnsi="Arial" w:cs="Arial"/>
          <w:sz w:val="22"/>
          <w:szCs w:val="22"/>
          <w:vertAlign w:val="superscript"/>
          <w:lang w:val="es-ES" w:eastAsia="en-US"/>
        </w:rPr>
        <w:footnoteReference w:id="14"/>
      </w:r>
      <w:r w:rsidR="002A6E9F" w:rsidRPr="008B0052">
        <w:rPr>
          <w:rFonts w:ascii="Arial" w:eastAsiaTheme="minorHAnsi" w:hAnsi="Arial" w:cs="Arial"/>
          <w:sz w:val="22"/>
          <w:szCs w:val="22"/>
          <w:lang w:val="es-ES" w:eastAsia="en-US"/>
        </w:rPr>
        <w:t xml:space="preserve"> como del Consejo de Estado</w:t>
      </w:r>
      <w:r w:rsidR="002A6E9F" w:rsidRPr="008B0052">
        <w:rPr>
          <w:rFonts w:ascii="Arial" w:eastAsiaTheme="minorHAnsi" w:hAnsi="Arial" w:cs="Arial"/>
          <w:sz w:val="22"/>
          <w:szCs w:val="22"/>
          <w:vertAlign w:val="superscript"/>
          <w:lang w:val="es-ES" w:eastAsia="en-US"/>
        </w:rPr>
        <w:footnoteReference w:id="15"/>
      </w:r>
      <w:r w:rsidR="002A6E9F" w:rsidRPr="008B0052">
        <w:rPr>
          <w:rFonts w:ascii="Arial" w:eastAsiaTheme="minorHAnsi" w:hAnsi="Arial" w:cs="Arial"/>
          <w:sz w:val="22"/>
          <w:szCs w:val="22"/>
          <w:lang w:val="es-ES" w:eastAsia="en-US"/>
        </w:rPr>
        <w:t xml:space="preserve"> señalan que los elementos fundamentales de la potestad reglamentaria consisten en la necesidad y la finalidad.</w:t>
      </w:r>
      <w:r w:rsidR="00DC504C" w:rsidRPr="008B0052">
        <w:rPr>
          <w:rFonts w:ascii="Arial" w:eastAsiaTheme="minorHAnsi" w:hAnsi="Arial" w:cs="Arial"/>
          <w:sz w:val="22"/>
          <w:szCs w:val="22"/>
          <w:lang w:val="es-ES_tradnl" w:eastAsia="en-US"/>
        </w:rPr>
        <w:t xml:space="preserve"> </w:t>
      </w:r>
    </w:p>
    <w:p w14:paraId="723D3B28" w14:textId="77777777" w:rsidR="003E4338" w:rsidRPr="008B0052" w:rsidRDefault="002A6E9F" w:rsidP="002A4B80">
      <w:pPr>
        <w:spacing w:before="120" w:line="276" w:lineRule="auto"/>
        <w:jc w:val="both"/>
        <w:rPr>
          <w:rFonts w:ascii="Arial" w:eastAsiaTheme="minorHAnsi" w:hAnsi="Arial" w:cs="Arial"/>
          <w:sz w:val="22"/>
          <w:szCs w:val="22"/>
          <w:lang w:val="es-ES" w:eastAsia="en-US"/>
        </w:rPr>
      </w:pPr>
      <w:r w:rsidRPr="008B0052">
        <w:rPr>
          <w:rFonts w:ascii="Arial" w:eastAsiaTheme="minorHAnsi" w:hAnsi="Arial" w:cs="Arial"/>
          <w:sz w:val="22"/>
          <w:szCs w:val="22"/>
          <w:lang w:val="es-ES_tradnl" w:eastAsia="en-US"/>
        </w:rPr>
        <w:t xml:space="preserve">De acuerdo con el </w:t>
      </w:r>
      <w:r w:rsidRPr="008B0052">
        <w:rPr>
          <w:rFonts w:ascii="Arial" w:eastAsiaTheme="minorHAnsi" w:hAnsi="Arial" w:cs="Arial"/>
          <w:i/>
          <w:iCs/>
          <w:sz w:val="22"/>
          <w:szCs w:val="22"/>
          <w:lang w:val="es-ES_tradnl" w:eastAsia="en-US"/>
        </w:rPr>
        <w:t>criterio de necesidad</w:t>
      </w:r>
      <w:r w:rsidRPr="008B0052">
        <w:rPr>
          <w:rFonts w:ascii="Arial" w:eastAsiaTheme="minorHAnsi" w:hAnsi="Arial" w:cs="Arial"/>
          <w:sz w:val="22"/>
          <w:szCs w:val="22"/>
          <w:lang w:val="es-ES_tradnl" w:eastAsia="en-US"/>
        </w:rPr>
        <w:t xml:space="preserve">, </w:t>
      </w:r>
      <w:r w:rsidRPr="008B0052">
        <w:rPr>
          <w:rFonts w:ascii="Arial" w:eastAsiaTheme="minorHAnsi" w:hAnsi="Arial" w:cs="Arial"/>
          <w:sz w:val="22"/>
          <w:szCs w:val="22"/>
          <w:lang w:val="es-ES" w:eastAsia="en-US"/>
        </w:rPr>
        <w:t>el ejercicio de la potestad reglamentaria se justifica en la medida en que la ley haya dejado espacios de regulación que necesitan ser llenados para la ejecución de esta mediante la expedición de actos jurídicos de contenido normativo, pues el legislador puede, en virtud del principio de libertad de configuración legislativa, determinar libremente hasta dónde regula la materia respectiva</w:t>
      </w:r>
      <w:r w:rsidRPr="008B0052">
        <w:rPr>
          <w:rFonts w:ascii="Arial" w:eastAsiaTheme="minorHAnsi" w:hAnsi="Arial" w:cs="Arial"/>
          <w:sz w:val="22"/>
          <w:szCs w:val="22"/>
          <w:vertAlign w:val="superscript"/>
          <w:lang w:val="es-ES" w:eastAsia="en-US"/>
        </w:rPr>
        <w:footnoteReference w:id="16"/>
      </w:r>
      <w:r w:rsidRPr="008B0052">
        <w:rPr>
          <w:rFonts w:ascii="Arial" w:eastAsiaTheme="minorHAnsi" w:hAnsi="Arial" w:cs="Arial"/>
          <w:sz w:val="22"/>
          <w:szCs w:val="22"/>
          <w:lang w:val="es-ES" w:eastAsia="en-US"/>
        </w:rPr>
        <w:t xml:space="preserve">. Por su parte, el </w:t>
      </w:r>
      <w:r w:rsidRPr="008B0052">
        <w:rPr>
          <w:rFonts w:ascii="Arial" w:eastAsiaTheme="minorHAnsi" w:hAnsi="Arial" w:cs="Arial"/>
          <w:i/>
          <w:iCs/>
          <w:sz w:val="22"/>
          <w:szCs w:val="22"/>
          <w:lang w:val="es-ES" w:eastAsia="en-US"/>
        </w:rPr>
        <w:t>criterio de finalidad</w:t>
      </w:r>
      <w:r w:rsidRPr="008B0052">
        <w:rPr>
          <w:rFonts w:ascii="Arial" w:eastAsiaTheme="minorHAnsi" w:hAnsi="Arial" w:cs="Arial"/>
          <w:sz w:val="22"/>
          <w:szCs w:val="22"/>
          <w:lang w:val="es-ES" w:eastAsia="en-US"/>
        </w:rPr>
        <w:t xml:space="preserve"> se relaciona con el contenido de los actos que se dicten en ejercicio de la potestad reglamentaria, pues los decretos y resoluciones expedidos por el Gobierno Nacional en ejercicio de dicha potestad están subordinados a la ley, de manera que el reglamento no puede modificarla, ampliarla o restringir sus efectos. Este último elemento, se encuentra asociado por demás al respeto del principio de supremacía normativa, pues el ordenamiento jurídico colombiano supone una jerarquía que emana de la propia Constitución</w:t>
      </w:r>
      <w:r w:rsidRPr="008B0052">
        <w:rPr>
          <w:rFonts w:ascii="Arial" w:eastAsiaTheme="minorHAnsi" w:hAnsi="Arial" w:cs="Arial"/>
          <w:sz w:val="22"/>
          <w:szCs w:val="22"/>
          <w:vertAlign w:val="superscript"/>
          <w:lang w:val="es-ES" w:eastAsia="en-US"/>
        </w:rPr>
        <w:footnoteReference w:id="17"/>
      </w:r>
      <w:r w:rsidR="003E4338" w:rsidRPr="008B0052">
        <w:rPr>
          <w:rFonts w:ascii="Arial" w:eastAsiaTheme="minorHAnsi" w:hAnsi="Arial" w:cs="Arial"/>
          <w:sz w:val="22"/>
          <w:szCs w:val="22"/>
          <w:lang w:val="es-ES" w:eastAsia="en-US"/>
        </w:rPr>
        <w:t>.</w:t>
      </w:r>
    </w:p>
    <w:p w14:paraId="466624B1" w14:textId="5164AF5D" w:rsidR="003E4338" w:rsidRPr="008B0052" w:rsidRDefault="003E4338" w:rsidP="002A4B80">
      <w:pPr>
        <w:spacing w:before="120" w:line="276" w:lineRule="auto"/>
        <w:jc w:val="both"/>
        <w:rPr>
          <w:rFonts w:ascii="Arial" w:eastAsiaTheme="minorHAnsi" w:hAnsi="Arial" w:cs="Arial"/>
          <w:sz w:val="22"/>
          <w:szCs w:val="22"/>
          <w:lang w:val="es-ES" w:eastAsia="en-US"/>
        </w:rPr>
      </w:pPr>
      <w:r w:rsidRPr="008B0052">
        <w:rPr>
          <w:rFonts w:ascii="Arial" w:eastAsiaTheme="minorHAnsi" w:hAnsi="Arial" w:cs="Arial"/>
          <w:sz w:val="22"/>
          <w:szCs w:val="22"/>
          <w:lang w:val="es-ES" w:eastAsia="en-US"/>
        </w:rPr>
        <w:t xml:space="preserve">En efecto, </w:t>
      </w:r>
      <w:r w:rsidR="00242EFD" w:rsidRPr="008B0052">
        <w:rPr>
          <w:rFonts w:ascii="Arial" w:eastAsiaTheme="minorHAnsi" w:hAnsi="Arial" w:cs="Arial"/>
          <w:sz w:val="22"/>
          <w:szCs w:val="22"/>
          <w:lang w:val="es-ES" w:eastAsia="en-US"/>
        </w:rPr>
        <w:t xml:space="preserve">tratándose de la competencia prevista en el artículo 189.11 de la Constitución Política de 1991, </w:t>
      </w:r>
      <w:r w:rsidRPr="008B0052">
        <w:rPr>
          <w:rFonts w:ascii="Arial" w:eastAsiaTheme="minorHAnsi" w:hAnsi="Arial" w:cs="Arial"/>
          <w:sz w:val="22"/>
          <w:szCs w:val="22"/>
          <w:lang w:val="es-ES" w:eastAsia="en-US"/>
        </w:rPr>
        <w:t>el desarrollo de la potestad reglamentaria exige que la ley haya configurado una materialidad legislativa básica, pues busca convertir en realidad un enunciado normativo abstracto. Los parámetros de esta facultad han sido desarrollados por la jurisprudencia de las Altas Cortes, en especial por la Corte Constitucional, quien a modo de subreglas</w:t>
      </w:r>
      <w:r w:rsidRPr="008B0052">
        <w:rPr>
          <w:rFonts w:ascii="Arial" w:eastAsiaTheme="minorHAnsi" w:hAnsi="Arial" w:cs="Arial"/>
          <w:sz w:val="22"/>
          <w:szCs w:val="22"/>
          <w:vertAlign w:val="superscript"/>
          <w:lang w:val="es-ES" w:eastAsia="en-US"/>
        </w:rPr>
        <w:footnoteReference w:id="18"/>
      </w:r>
      <w:r w:rsidRPr="008B0052">
        <w:rPr>
          <w:rFonts w:ascii="Arial" w:eastAsiaTheme="minorHAnsi" w:hAnsi="Arial" w:cs="Arial"/>
          <w:sz w:val="22"/>
          <w:szCs w:val="22"/>
          <w:lang w:val="es-ES" w:eastAsia="en-US"/>
        </w:rPr>
        <w:t xml:space="preserve"> ha establecido ciertas limitaciones en el ejercicio de esta </w:t>
      </w:r>
      <w:r w:rsidR="00242EFD" w:rsidRPr="008B0052">
        <w:rPr>
          <w:rFonts w:ascii="Arial" w:eastAsiaTheme="minorHAnsi" w:hAnsi="Arial" w:cs="Arial"/>
          <w:sz w:val="22"/>
          <w:szCs w:val="22"/>
          <w:lang w:val="es-ES" w:eastAsia="en-US"/>
        </w:rPr>
        <w:t>atribución</w:t>
      </w:r>
      <w:r w:rsidRPr="008B0052">
        <w:rPr>
          <w:rFonts w:ascii="Arial" w:eastAsiaTheme="minorHAnsi" w:hAnsi="Arial" w:cs="Arial"/>
          <w:sz w:val="22"/>
          <w:szCs w:val="22"/>
          <w:lang w:val="es-ES" w:eastAsia="en-US"/>
        </w:rPr>
        <w:t>:</w:t>
      </w:r>
    </w:p>
    <w:p w14:paraId="1EA8585B" w14:textId="77777777" w:rsidR="00242EFD" w:rsidRPr="008B0052" w:rsidRDefault="00242EFD" w:rsidP="00242EFD">
      <w:pPr>
        <w:spacing w:line="276" w:lineRule="auto"/>
        <w:ind w:firstLine="709"/>
        <w:jc w:val="both"/>
        <w:rPr>
          <w:rFonts w:ascii="Arial" w:eastAsiaTheme="minorHAnsi" w:hAnsi="Arial" w:cs="Arial"/>
          <w:sz w:val="22"/>
          <w:szCs w:val="22"/>
          <w:lang w:val="es-ES" w:eastAsia="en-US"/>
        </w:rPr>
      </w:pPr>
    </w:p>
    <w:p w14:paraId="6EC09D8D" w14:textId="4412EAD1" w:rsidR="003E4338" w:rsidRPr="008B0052" w:rsidRDefault="003E4338" w:rsidP="00242EFD">
      <w:pPr>
        <w:ind w:left="709" w:right="709"/>
        <w:jc w:val="both"/>
        <w:rPr>
          <w:rFonts w:ascii="Arial" w:eastAsiaTheme="minorHAnsi" w:hAnsi="Arial" w:cs="Arial"/>
          <w:sz w:val="21"/>
          <w:szCs w:val="21"/>
          <w:lang w:val="es-ES_tradnl" w:eastAsia="en-US"/>
        </w:rPr>
      </w:pPr>
      <w:r w:rsidRPr="008B0052">
        <w:rPr>
          <w:rFonts w:ascii="Arial" w:eastAsiaTheme="minorHAnsi" w:hAnsi="Arial" w:cs="Arial"/>
          <w:sz w:val="21"/>
          <w:szCs w:val="21"/>
          <w:lang w:val="es-ES_tradnl" w:eastAsia="en-US"/>
        </w:rPr>
        <w:t xml:space="preserve">i) La potestad reglamentaria se ve restringida en la medida en que el Congreso de la República utilice en mayor o menor grado sus poderes jurídicos. Tanto así, que se ha manifestado que la misma es inversamente proporcional a la extensión de la ley. </w:t>
      </w:r>
    </w:p>
    <w:p w14:paraId="6E69227B" w14:textId="1A0071AC" w:rsidR="003E4338" w:rsidRPr="008B0052" w:rsidRDefault="003E4338" w:rsidP="00242EFD">
      <w:pPr>
        <w:spacing w:before="120"/>
        <w:ind w:left="709" w:right="709"/>
        <w:jc w:val="both"/>
        <w:rPr>
          <w:rFonts w:ascii="Arial" w:eastAsiaTheme="minorHAnsi" w:hAnsi="Arial" w:cs="Arial"/>
          <w:sz w:val="21"/>
          <w:szCs w:val="21"/>
          <w:lang w:val="es-ES_tradnl" w:eastAsia="en-US"/>
        </w:rPr>
      </w:pPr>
      <w:proofErr w:type="spellStart"/>
      <w:r w:rsidRPr="008B0052">
        <w:rPr>
          <w:rFonts w:ascii="Arial" w:eastAsiaTheme="minorHAnsi" w:hAnsi="Arial" w:cs="Arial"/>
          <w:sz w:val="21"/>
          <w:szCs w:val="21"/>
          <w:lang w:val="es-ES_tradnl" w:eastAsia="en-US"/>
        </w:rPr>
        <w:t>ii</w:t>
      </w:r>
      <w:proofErr w:type="spellEnd"/>
      <w:r w:rsidRPr="008B0052">
        <w:rPr>
          <w:rFonts w:ascii="Arial" w:eastAsiaTheme="minorHAnsi" w:hAnsi="Arial" w:cs="Arial"/>
          <w:sz w:val="21"/>
          <w:szCs w:val="21"/>
          <w:lang w:val="es-ES_tradnl" w:eastAsia="en-US"/>
        </w:rPr>
        <w:t xml:space="preserve">) El </w:t>
      </w:r>
      <w:proofErr w:type="gramStart"/>
      <w:r w:rsidRPr="008B0052">
        <w:rPr>
          <w:rFonts w:ascii="Arial" w:eastAsiaTheme="minorHAnsi" w:hAnsi="Arial" w:cs="Arial"/>
          <w:sz w:val="21"/>
          <w:szCs w:val="21"/>
          <w:lang w:val="es-ES_tradnl" w:eastAsia="en-US"/>
        </w:rPr>
        <w:t>Presidente</w:t>
      </w:r>
      <w:proofErr w:type="gramEnd"/>
      <w:r w:rsidRPr="008B0052">
        <w:rPr>
          <w:rFonts w:ascii="Arial" w:eastAsiaTheme="minorHAnsi" w:hAnsi="Arial" w:cs="Arial"/>
          <w:sz w:val="21"/>
          <w:szCs w:val="21"/>
          <w:lang w:val="es-ES_tradnl" w:eastAsia="en-US"/>
        </w:rPr>
        <w:t xml:space="preserve"> no podrá establecer por vía de decreto reglamentario una excepción, aun cuando la misma fuera supuestamente temporal, sin que previa y expresamente el legislador lo hubiere autorizado para ello y fijado un límite temporal específico. </w:t>
      </w:r>
    </w:p>
    <w:p w14:paraId="525CB70D" w14:textId="79111912" w:rsidR="003E4338" w:rsidRPr="008B0052" w:rsidRDefault="003E4338" w:rsidP="00242EFD">
      <w:pPr>
        <w:spacing w:before="120"/>
        <w:ind w:left="709" w:right="709"/>
        <w:jc w:val="both"/>
        <w:rPr>
          <w:rFonts w:ascii="Arial" w:eastAsiaTheme="minorHAnsi" w:hAnsi="Arial" w:cs="Arial"/>
          <w:sz w:val="21"/>
          <w:szCs w:val="21"/>
          <w:lang w:val="es-ES_tradnl" w:eastAsia="en-US"/>
        </w:rPr>
      </w:pPr>
      <w:proofErr w:type="spellStart"/>
      <w:r w:rsidRPr="008B0052">
        <w:rPr>
          <w:rFonts w:ascii="Arial" w:eastAsiaTheme="minorHAnsi" w:hAnsi="Arial" w:cs="Arial"/>
          <w:sz w:val="21"/>
          <w:szCs w:val="21"/>
          <w:lang w:val="es-ES_tradnl" w:eastAsia="en-US"/>
        </w:rPr>
        <w:t>iii</w:t>
      </w:r>
      <w:proofErr w:type="spellEnd"/>
      <w:r w:rsidRPr="008B0052">
        <w:rPr>
          <w:rFonts w:ascii="Arial" w:eastAsiaTheme="minorHAnsi" w:hAnsi="Arial" w:cs="Arial"/>
          <w:sz w:val="21"/>
          <w:szCs w:val="21"/>
          <w:lang w:val="es-ES_tradnl" w:eastAsia="en-US"/>
        </w:rPr>
        <w:t xml:space="preserve">) Cualquier determinación sobre la vigencia de las leyes solo puede ser definida por el propio legislador. </w:t>
      </w:r>
    </w:p>
    <w:p w14:paraId="0322EC92" w14:textId="2C896678" w:rsidR="00242EFD" w:rsidRPr="008B0052" w:rsidRDefault="003E4338" w:rsidP="00242EFD">
      <w:pPr>
        <w:spacing w:before="120"/>
        <w:ind w:left="709" w:right="709"/>
        <w:jc w:val="both"/>
        <w:rPr>
          <w:rFonts w:ascii="Arial" w:eastAsiaTheme="minorHAnsi" w:hAnsi="Arial" w:cs="Arial"/>
          <w:sz w:val="21"/>
          <w:szCs w:val="21"/>
          <w:lang w:val="es-ES_tradnl" w:eastAsia="en-US"/>
        </w:rPr>
      </w:pPr>
      <w:proofErr w:type="spellStart"/>
      <w:r w:rsidRPr="008B0052">
        <w:rPr>
          <w:rFonts w:ascii="Arial" w:eastAsiaTheme="minorHAnsi" w:hAnsi="Arial" w:cs="Arial"/>
          <w:sz w:val="21"/>
          <w:szCs w:val="21"/>
          <w:lang w:val="es-ES_tradnl" w:eastAsia="en-US"/>
        </w:rPr>
        <w:t>iv</w:t>
      </w:r>
      <w:proofErr w:type="spellEnd"/>
      <w:r w:rsidRPr="008B0052">
        <w:rPr>
          <w:rFonts w:ascii="Arial" w:eastAsiaTheme="minorHAnsi" w:hAnsi="Arial" w:cs="Arial"/>
          <w:sz w:val="21"/>
          <w:szCs w:val="21"/>
          <w:lang w:val="es-ES_tradnl" w:eastAsia="en-US"/>
        </w:rPr>
        <w:t>) El ejercicio de la función reglamentaria no debe sobrepasar ni invadir la competencia del Legislativo, en el sentido de que el reglamento no puede desfigurar la situación regulada por la ley ni hacerla nugatoria.</w:t>
      </w:r>
    </w:p>
    <w:p w14:paraId="4BE74BFF" w14:textId="6DDA5DD9" w:rsidR="003E4338" w:rsidRPr="008B0052" w:rsidRDefault="003E4338" w:rsidP="00242EFD">
      <w:pPr>
        <w:spacing w:before="120"/>
        <w:ind w:left="709" w:right="709"/>
        <w:jc w:val="both"/>
        <w:rPr>
          <w:rFonts w:ascii="Arial" w:eastAsiaTheme="minorHAnsi" w:hAnsi="Arial" w:cs="Arial"/>
          <w:sz w:val="21"/>
          <w:szCs w:val="21"/>
          <w:lang w:val="es-ES_tradnl" w:eastAsia="en-US"/>
        </w:rPr>
      </w:pPr>
      <w:r w:rsidRPr="008B0052">
        <w:rPr>
          <w:rFonts w:ascii="Arial" w:eastAsiaTheme="minorHAnsi" w:hAnsi="Arial" w:cs="Arial"/>
          <w:sz w:val="21"/>
          <w:szCs w:val="21"/>
          <w:lang w:val="es-ES_tradnl" w:eastAsia="en-US"/>
        </w:rPr>
        <w:t>v) La potestad reglamentaria no puede incluir requisitos adicionales a los previstos en la ley, y no le es posible al Gobierno desconocer la Constitución ni el contenido o las pautas trazadas en la ley ni reglamentar normas que no ejecuta la administración.</w:t>
      </w:r>
    </w:p>
    <w:p w14:paraId="6D4F529B" w14:textId="77777777" w:rsidR="00242EFD" w:rsidRPr="008B0052" w:rsidRDefault="00242EFD" w:rsidP="00242EFD">
      <w:pPr>
        <w:spacing w:line="276" w:lineRule="auto"/>
        <w:ind w:left="709" w:right="709"/>
        <w:jc w:val="both"/>
        <w:rPr>
          <w:rFonts w:ascii="Arial" w:eastAsiaTheme="minorHAnsi" w:hAnsi="Arial" w:cs="Arial"/>
          <w:sz w:val="22"/>
          <w:szCs w:val="22"/>
          <w:lang w:val="es-ES_tradnl" w:eastAsia="en-US"/>
        </w:rPr>
      </w:pPr>
    </w:p>
    <w:p w14:paraId="340FF823" w14:textId="25F6D9D1" w:rsidR="003E4338" w:rsidRPr="008B0052" w:rsidRDefault="003E4338" w:rsidP="007911D2">
      <w:pPr>
        <w:spacing w:after="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t>De acuerdo con lo anterior, la potestad reglamentaria no puede ejercerse para ampliar o reducir el ámbito de aplicación de la ley.</w:t>
      </w:r>
      <w:r w:rsidR="00242EFD" w:rsidRPr="008B0052">
        <w:rPr>
          <w:rFonts w:ascii="Arial" w:eastAsiaTheme="minorHAnsi" w:hAnsi="Arial" w:cs="Arial"/>
          <w:sz w:val="22"/>
          <w:szCs w:val="22"/>
          <w:lang w:val="es-ES_tradnl" w:eastAsia="en-US"/>
        </w:rPr>
        <w:t xml:space="preserve"> Por </w:t>
      </w:r>
      <w:r w:rsidR="003C0388" w:rsidRPr="008B0052">
        <w:rPr>
          <w:rFonts w:ascii="Arial" w:eastAsiaTheme="minorHAnsi" w:hAnsi="Arial" w:cs="Arial"/>
          <w:sz w:val="22"/>
          <w:szCs w:val="22"/>
          <w:lang w:val="es-ES_tradnl" w:eastAsia="en-US"/>
        </w:rPr>
        <w:t>ello</w:t>
      </w:r>
      <w:r w:rsidR="00242EFD" w:rsidRPr="008B0052">
        <w:rPr>
          <w:rFonts w:ascii="Arial" w:eastAsiaTheme="minorHAnsi" w:hAnsi="Arial" w:cs="Arial"/>
          <w:sz w:val="22"/>
          <w:szCs w:val="22"/>
          <w:lang w:val="es-ES_tradnl" w:eastAsia="en-US"/>
        </w:rPr>
        <w:t xml:space="preserve">, aunque el parágrafo 3 del artículo 35 de la Ley de Emprendimiento permite reglamentar los factores de desempate en los casos en que concurran dos o más de los criterios allí previstos, es necesario tener en cuenta que –de acuerdo con el inciso primero– los factores se aplican en orden sucesivo y excluyente, </w:t>
      </w:r>
      <w:r w:rsidR="008A4155" w:rsidRPr="008B0052">
        <w:rPr>
          <w:rFonts w:ascii="Arial" w:eastAsiaTheme="minorHAnsi" w:hAnsi="Arial" w:cs="Arial"/>
          <w:sz w:val="22"/>
          <w:szCs w:val="22"/>
          <w:lang w:val="es-ES_tradnl" w:eastAsia="en-US"/>
        </w:rPr>
        <w:t>por lo que queda descartada su concurrencia</w:t>
      </w:r>
      <w:r w:rsidR="00242EFD" w:rsidRPr="008B0052">
        <w:rPr>
          <w:rFonts w:ascii="Arial" w:eastAsiaTheme="minorHAnsi" w:hAnsi="Arial" w:cs="Arial"/>
          <w:sz w:val="22"/>
          <w:szCs w:val="22"/>
          <w:lang w:val="es-ES_tradnl" w:eastAsia="en-US"/>
        </w:rPr>
        <w:t>.</w:t>
      </w:r>
    </w:p>
    <w:p w14:paraId="351CF5C0" w14:textId="0AC0EAA8" w:rsidR="00D402D2" w:rsidRPr="008B0052" w:rsidRDefault="007911D2" w:rsidP="00965375">
      <w:pPr>
        <w:spacing w:line="276" w:lineRule="auto"/>
        <w:jc w:val="both"/>
        <w:rPr>
          <w:rFonts w:ascii="Arial" w:eastAsia="Calibri" w:hAnsi="Arial" w:cs="Arial"/>
          <w:sz w:val="22"/>
        </w:rPr>
      </w:pPr>
      <w:r w:rsidRPr="008B0052">
        <w:rPr>
          <w:rFonts w:ascii="Arial" w:eastAsiaTheme="minorHAnsi" w:hAnsi="Arial" w:cs="Arial"/>
          <w:sz w:val="22"/>
          <w:szCs w:val="22"/>
          <w:lang w:eastAsia="en-US"/>
        </w:rPr>
        <w:t xml:space="preserve">Por tanto, no es posible modificar el ámbito de aplicación de la norma, los criterios de desempate ni el orden de </w:t>
      </w:r>
      <w:r w:rsidR="00EA7549" w:rsidRPr="008B0052">
        <w:rPr>
          <w:rFonts w:ascii="Arial" w:eastAsiaTheme="minorHAnsi" w:hAnsi="Arial" w:cs="Arial"/>
          <w:sz w:val="22"/>
          <w:szCs w:val="22"/>
          <w:lang w:eastAsia="en-US"/>
        </w:rPr>
        <w:t xml:space="preserve">su </w:t>
      </w:r>
      <w:r w:rsidRPr="008B0052">
        <w:rPr>
          <w:rFonts w:ascii="Arial" w:eastAsiaTheme="minorHAnsi" w:hAnsi="Arial" w:cs="Arial"/>
          <w:sz w:val="22"/>
          <w:szCs w:val="22"/>
          <w:lang w:eastAsia="en-US"/>
        </w:rPr>
        <w:t>aplicación</w:t>
      </w:r>
      <w:r w:rsidR="00EA7549" w:rsidRPr="008B0052">
        <w:rPr>
          <w:rFonts w:ascii="Arial" w:eastAsiaTheme="minorHAnsi" w:hAnsi="Arial" w:cs="Arial"/>
          <w:sz w:val="22"/>
          <w:szCs w:val="22"/>
          <w:lang w:eastAsia="en-US"/>
        </w:rPr>
        <w:t xml:space="preserve"> sucesiva y excluyente</w:t>
      </w:r>
      <w:r w:rsidRPr="008B0052">
        <w:rPr>
          <w:rFonts w:ascii="Arial" w:eastAsiaTheme="minorHAnsi" w:hAnsi="Arial" w:cs="Arial"/>
          <w:sz w:val="22"/>
          <w:szCs w:val="22"/>
          <w:lang w:eastAsia="en-US"/>
        </w:rPr>
        <w:t xml:space="preserve">. A lo sumo, como dispone el Decreto 1860 del 24 de diciembre de 2021 que adicionó el artículo 2.2.1.2.4.2.17 al Decreto 1082 de 2015, </w:t>
      </w:r>
      <w:r w:rsidR="009900D4" w:rsidRPr="008B0052">
        <w:rPr>
          <w:rFonts w:ascii="Arial" w:eastAsiaTheme="minorHAnsi" w:hAnsi="Arial" w:cs="Arial"/>
          <w:sz w:val="22"/>
          <w:szCs w:val="22"/>
          <w:lang w:eastAsia="en-US"/>
        </w:rPr>
        <w:t xml:space="preserve">puede determinarse </w:t>
      </w:r>
      <w:r w:rsidR="00965375" w:rsidRPr="008B0052">
        <w:rPr>
          <w:rFonts w:ascii="Arial" w:eastAsiaTheme="minorHAnsi" w:hAnsi="Arial" w:cs="Arial"/>
          <w:sz w:val="22"/>
          <w:szCs w:val="22"/>
          <w:lang w:eastAsia="en-US"/>
        </w:rPr>
        <w:t>cómo se</w:t>
      </w:r>
      <w:r w:rsidRPr="008B0052">
        <w:rPr>
          <w:rFonts w:ascii="Arial" w:eastAsiaTheme="minorHAnsi" w:hAnsi="Arial" w:cs="Arial"/>
          <w:sz w:val="22"/>
          <w:szCs w:val="22"/>
          <w:lang w:eastAsia="en-US"/>
        </w:rPr>
        <w:t xml:space="preserve"> acredita cada criterio. De hecho, la disposición adicionada es congruente con el ámbito de aplicación del artículo 35 de la Ley 2069 de 2020</w:t>
      </w:r>
      <w:r w:rsidR="00965375" w:rsidRPr="008B0052">
        <w:rPr>
          <w:rFonts w:ascii="Arial" w:eastAsiaTheme="minorHAnsi" w:hAnsi="Arial" w:cs="Arial"/>
          <w:sz w:val="22"/>
          <w:szCs w:val="22"/>
          <w:lang w:eastAsia="en-US"/>
        </w:rPr>
        <w:t xml:space="preserve">, </w:t>
      </w:r>
      <w:r w:rsidR="009900D4" w:rsidRPr="008B0052">
        <w:rPr>
          <w:rFonts w:ascii="Arial" w:eastAsiaTheme="minorHAnsi" w:hAnsi="Arial" w:cs="Arial"/>
          <w:sz w:val="22"/>
          <w:szCs w:val="22"/>
          <w:lang w:eastAsia="en-US"/>
        </w:rPr>
        <w:t>ya que</w:t>
      </w:r>
      <w:r w:rsidR="00965375" w:rsidRPr="008B0052">
        <w:rPr>
          <w:rFonts w:ascii="Arial" w:eastAsiaTheme="minorHAnsi" w:hAnsi="Arial" w:cs="Arial"/>
          <w:sz w:val="22"/>
          <w:szCs w:val="22"/>
          <w:lang w:eastAsia="en-US"/>
        </w:rPr>
        <w:t xml:space="preserve"> –conforme a los tres (3) supuestos explicados </w:t>
      </w:r>
      <w:r w:rsidR="00965375" w:rsidRPr="008B0052">
        <w:rPr>
          <w:rFonts w:ascii="Arial" w:eastAsiaTheme="minorHAnsi" w:hAnsi="Arial" w:cs="Arial"/>
          <w:i/>
          <w:iCs/>
          <w:sz w:val="22"/>
          <w:szCs w:val="22"/>
          <w:lang w:eastAsia="en-US"/>
        </w:rPr>
        <w:t>ut supra</w:t>
      </w:r>
      <w:r w:rsidR="00965375" w:rsidRPr="008B0052">
        <w:rPr>
          <w:rFonts w:ascii="Arial" w:eastAsiaTheme="minorHAnsi" w:hAnsi="Arial" w:cs="Arial"/>
          <w:sz w:val="22"/>
          <w:szCs w:val="22"/>
          <w:lang w:eastAsia="en-US"/>
        </w:rPr>
        <w:t>–</w:t>
      </w:r>
      <w:r w:rsidRPr="008B0052">
        <w:rPr>
          <w:rFonts w:ascii="Arial" w:eastAsiaTheme="minorHAnsi" w:hAnsi="Arial" w:cs="Arial"/>
          <w:sz w:val="22"/>
          <w:szCs w:val="22"/>
          <w:lang w:eastAsia="en-US"/>
        </w:rPr>
        <w:t> </w:t>
      </w:r>
      <w:r w:rsidR="00965375" w:rsidRPr="008B0052">
        <w:rPr>
          <w:rFonts w:ascii="Arial" w:eastAsiaTheme="minorHAnsi" w:hAnsi="Arial" w:cs="Arial"/>
          <w:sz w:val="22"/>
          <w:szCs w:val="22"/>
          <w:lang w:eastAsia="en-US"/>
        </w:rPr>
        <w:t>la reglamentación que entrará en vigencia tres (3) meses contados a partir de su fecha de expedición también aplica «[…]</w:t>
      </w:r>
      <w:r w:rsidR="00965375" w:rsidRPr="008B0052">
        <w:t xml:space="preserve"> </w:t>
      </w:r>
      <w:r w:rsidR="00965375" w:rsidRPr="008B0052">
        <w:rPr>
          <w:rFonts w:ascii="Arial" w:eastAsiaTheme="minorHAnsi" w:hAnsi="Arial" w:cs="Arial"/>
          <w:sz w:val="22"/>
          <w:szCs w:val="22"/>
          <w:lang w:eastAsia="en-US"/>
        </w:rPr>
        <w:t xml:space="preserve">en los Procesos de Contratación realizados con cargo a recursos públicos, </w:t>
      </w:r>
      <w:r w:rsidR="00965375" w:rsidRPr="008B0052">
        <w:rPr>
          <w:rFonts w:ascii="Arial" w:eastAsiaTheme="minorHAnsi" w:hAnsi="Arial" w:cs="Arial"/>
          <w:i/>
          <w:iCs/>
          <w:sz w:val="22"/>
          <w:szCs w:val="22"/>
          <w:lang w:eastAsia="en-US"/>
        </w:rPr>
        <w:t>en los Procesos de Contratación realizados por las Entidades Estatales indistintamente de su régimen de contratación</w:t>
      </w:r>
      <w:r w:rsidR="00965375" w:rsidRPr="008B0052">
        <w:rPr>
          <w:rFonts w:ascii="Arial" w:eastAsiaTheme="minorHAnsi" w:hAnsi="Arial" w:cs="Arial"/>
          <w:sz w:val="22"/>
          <w:szCs w:val="22"/>
          <w:lang w:eastAsia="en-US"/>
        </w:rPr>
        <w:t>, así como los celebrados por los Procesos de Contratación de los patrimonios autónomos constituidos por Entidades Estatales</w:t>
      </w:r>
      <w:r w:rsidRPr="008B0052">
        <w:rPr>
          <w:rFonts w:ascii="Arial" w:eastAsiaTheme="minorHAnsi" w:hAnsi="Arial" w:cs="Arial"/>
          <w:sz w:val="22"/>
          <w:szCs w:val="22"/>
          <w:lang w:eastAsia="en-US"/>
        </w:rPr>
        <w:t> </w:t>
      </w:r>
      <w:r w:rsidR="00965375" w:rsidRPr="008B0052">
        <w:rPr>
          <w:rFonts w:ascii="Arial" w:eastAsiaTheme="minorHAnsi" w:hAnsi="Arial" w:cs="Arial"/>
          <w:sz w:val="22"/>
          <w:szCs w:val="22"/>
          <w:lang w:eastAsia="en-US"/>
        </w:rPr>
        <w:t>[…]»</w:t>
      </w:r>
      <w:r w:rsidR="009900D4" w:rsidRPr="008B0052">
        <w:rPr>
          <w:rFonts w:ascii="Arial" w:eastAsiaTheme="minorHAnsi" w:hAnsi="Arial" w:cs="Arial"/>
          <w:sz w:val="22"/>
          <w:szCs w:val="22"/>
          <w:lang w:eastAsia="en-US"/>
        </w:rPr>
        <w:t xml:space="preserve"> (Énfasis fuera de texto)</w:t>
      </w:r>
      <w:r w:rsidR="00965375" w:rsidRPr="008B0052">
        <w:rPr>
          <w:rFonts w:ascii="Arial" w:eastAsiaTheme="minorHAnsi" w:hAnsi="Arial" w:cs="Arial"/>
          <w:sz w:val="22"/>
          <w:szCs w:val="22"/>
          <w:lang w:eastAsia="en-US"/>
        </w:rPr>
        <w:t>.</w:t>
      </w:r>
      <w:r w:rsidR="002A6E9F" w:rsidRPr="008B0052">
        <w:rPr>
          <w:rFonts w:ascii="Arial" w:eastAsiaTheme="minorHAnsi" w:hAnsi="Arial" w:cs="Arial"/>
          <w:sz w:val="22"/>
          <w:szCs w:val="22"/>
          <w:lang w:val="es-ES_tradnl" w:eastAsia="en-US"/>
        </w:rPr>
        <w:t xml:space="preserve"> </w:t>
      </w:r>
      <w:r w:rsidR="00DC504C" w:rsidRPr="008B0052">
        <w:rPr>
          <w:rFonts w:ascii="Arial" w:eastAsiaTheme="minorHAnsi" w:hAnsi="Arial" w:cs="Arial"/>
          <w:sz w:val="22"/>
          <w:szCs w:val="22"/>
          <w:lang w:val="es-ES_tradnl" w:eastAsia="en-US"/>
        </w:rPr>
        <w:t xml:space="preserve">  </w:t>
      </w:r>
      <w:r w:rsidR="00DC0AA4" w:rsidRPr="008B0052">
        <w:rPr>
          <w:rFonts w:ascii="Arial" w:eastAsiaTheme="minorHAnsi" w:hAnsi="Arial" w:cs="Arial"/>
          <w:sz w:val="22"/>
          <w:szCs w:val="22"/>
          <w:lang w:val="es-ES_tradnl" w:eastAsia="en-US"/>
        </w:rPr>
        <w:t xml:space="preserve">    </w:t>
      </w:r>
      <w:r w:rsidR="002A769D" w:rsidRPr="008B0052">
        <w:rPr>
          <w:rFonts w:ascii="Arial" w:eastAsiaTheme="minorHAnsi" w:hAnsi="Arial" w:cs="Arial"/>
          <w:sz w:val="22"/>
          <w:szCs w:val="22"/>
          <w:lang w:val="es-ES_tradnl" w:eastAsia="en-US"/>
        </w:rPr>
        <w:t xml:space="preserve"> </w:t>
      </w:r>
      <w:r w:rsidR="00D402D2" w:rsidRPr="008B0052">
        <w:rPr>
          <w:rFonts w:ascii="Arial" w:eastAsiaTheme="minorHAnsi" w:hAnsi="Arial" w:cs="Arial"/>
          <w:sz w:val="22"/>
          <w:szCs w:val="22"/>
          <w:lang w:val="es-ES_tradnl" w:eastAsia="en-US"/>
        </w:rPr>
        <w:t xml:space="preserve"> </w:t>
      </w:r>
    </w:p>
    <w:p w14:paraId="69988611" w14:textId="77777777" w:rsidR="000857B4" w:rsidRPr="008B0052" w:rsidRDefault="000857B4" w:rsidP="000857B4">
      <w:pPr>
        <w:tabs>
          <w:tab w:val="left" w:pos="0"/>
        </w:tabs>
        <w:spacing w:line="276" w:lineRule="auto"/>
        <w:jc w:val="both"/>
        <w:rPr>
          <w:rFonts w:ascii="Arial" w:eastAsia="Calibri" w:hAnsi="Arial" w:cs="Arial"/>
          <w:bCs/>
          <w:color w:val="000000" w:themeColor="text1"/>
          <w:sz w:val="22"/>
          <w:lang w:val="es-ES_tradnl"/>
        </w:rPr>
      </w:pPr>
    </w:p>
    <w:p w14:paraId="37CA9805" w14:textId="46FF161F" w:rsidR="00DD5B04" w:rsidRPr="008B0052" w:rsidRDefault="004177A6" w:rsidP="00153DE4">
      <w:pPr>
        <w:spacing w:line="276" w:lineRule="auto"/>
        <w:jc w:val="both"/>
        <w:rPr>
          <w:rFonts w:ascii="Arial" w:eastAsia="Calibri" w:hAnsi="Arial" w:cs="Arial"/>
          <w:bCs/>
          <w:sz w:val="22"/>
          <w:szCs w:val="22"/>
          <w:lang w:eastAsia="en-US"/>
        </w:rPr>
      </w:pPr>
      <w:r w:rsidRPr="008B0052">
        <w:rPr>
          <w:rFonts w:ascii="Arial" w:eastAsia="Calibri" w:hAnsi="Arial" w:cs="Arial"/>
          <w:b/>
          <w:color w:val="000000" w:themeColor="text1"/>
          <w:sz w:val="22"/>
          <w:lang w:val="es-ES_tradnl"/>
        </w:rPr>
        <w:t>3</w:t>
      </w:r>
      <w:r w:rsidR="00B011A9" w:rsidRPr="008B0052">
        <w:rPr>
          <w:rFonts w:ascii="Arial" w:eastAsia="Calibri" w:hAnsi="Arial" w:cs="Arial"/>
          <w:b/>
          <w:color w:val="000000" w:themeColor="text1"/>
          <w:sz w:val="22"/>
          <w:lang w:val="es-ES_tradnl"/>
        </w:rPr>
        <w:t xml:space="preserve">. </w:t>
      </w:r>
      <w:r w:rsidR="00DD5B04" w:rsidRPr="008B0052">
        <w:rPr>
          <w:rFonts w:ascii="Arial" w:eastAsia="Calibri" w:hAnsi="Arial" w:cs="Arial"/>
          <w:b/>
          <w:color w:val="000000" w:themeColor="text1"/>
          <w:sz w:val="22"/>
          <w:lang w:val="es-ES_tradnl"/>
        </w:rPr>
        <w:t>Respuesta</w:t>
      </w:r>
    </w:p>
    <w:p w14:paraId="3C2B20C9" w14:textId="77777777" w:rsidR="007B18FD" w:rsidRPr="008B0052" w:rsidRDefault="007B18FD" w:rsidP="00861F0F">
      <w:pPr>
        <w:tabs>
          <w:tab w:val="left" w:pos="0"/>
        </w:tabs>
        <w:spacing w:line="276" w:lineRule="auto"/>
        <w:jc w:val="both"/>
        <w:rPr>
          <w:rFonts w:ascii="Arial" w:eastAsia="Calibri" w:hAnsi="Arial" w:cs="Arial"/>
          <w:b/>
          <w:color w:val="000000" w:themeColor="text1"/>
          <w:sz w:val="22"/>
          <w:lang w:val="es-ES_tradnl"/>
        </w:rPr>
      </w:pPr>
    </w:p>
    <w:p w14:paraId="3C4EEFF7" w14:textId="35B6EF63" w:rsidR="00B5411A" w:rsidRPr="008B0052" w:rsidRDefault="009900D4" w:rsidP="009B23CB">
      <w:pPr>
        <w:ind w:left="709" w:right="709"/>
        <w:jc w:val="both"/>
        <w:rPr>
          <w:rFonts w:ascii="Arial" w:hAnsi="Arial" w:cs="Arial"/>
          <w:color w:val="000000" w:themeColor="text1"/>
          <w:sz w:val="21"/>
          <w:szCs w:val="21"/>
          <w:lang w:val="es-ES_tradnl"/>
        </w:rPr>
      </w:pPr>
      <w:r w:rsidRPr="008B0052">
        <w:rPr>
          <w:rFonts w:ascii="Arial" w:hAnsi="Arial" w:cs="Arial"/>
          <w:color w:val="000000" w:themeColor="text1"/>
          <w:sz w:val="21"/>
          <w:szCs w:val="21"/>
          <w:lang w:val="es-ES_tradnl"/>
        </w:rPr>
        <w:lastRenderedPageBreak/>
        <w:t>«¿el entendimiento de ACOAS es correcto, y por ende no les es aplicable los factores de desempate dispuestos en el artículo 35 de la Ley 2069 del 2020 al proceso de selección del corredor de seguros?»</w:t>
      </w:r>
      <w:r w:rsidR="00245FDB" w:rsidRPr="008B0052">
        <w:rPr>
          <w:rFonts w:ascii="Arial" w:hAnsi="Arial" w:cs="Arial"/>
          <w:color w:val="000000" w:themeColor="text1"/>
          <w:sz w:val="21"/>
          <w:szCs w:val="21"/>
          <w:lang w:val="es-ES_tradnl"/>
        </w:rPr>
        <w:t>.</w:t>
      </w:r>
      <w:r w:rsidR="00B5411A" w:rsidRPr="008B0052">
        <w:rPr>
          <w:rFonts w:ascii="Arial" w:hAnsi="Arial" w:cs="Arial"/>
          <w:color w:val="000000" w:themeColor="text1"/>
          <w:sz w:val="21"/>
          <w:szCs w:val="21"/>
          <w:lang w:val="es-ES_tradnl"/>
        </w:rPr>
        <w:t xml:space="preserve"> </w:t>
      </w:r>
    </w:p>
    <w:p w14:paraId="51EB4032" w14:textId="13C69043" w:rsidR="00B5411A" w:rsidRPr="008B0052" w:rsidRDefault="00B5411A" w:rsidP="009900D4">
      <w:pPr>
        <w:spacing w:line="276" w:lineRule="auto"/>
        <w:ind w:left="709" w:right="709"/>
        <w:jc w:val="both"/>
        <w:rPr>
          <w:rFonts w:ascii="Arial" w:hAnsi="Arial" w:cs="Arial"/>
          <w:color w:val="000000" w:themeColor="text1"/>
          <w:sz w:val="22"/>
          <w:szCs w:val="22"/>
          <w:lang w:val="es-ES_tradnl"/>
        </w:rPr>
      </w:pPr>
    </w:p>
    <w:p w14:paraId="57D68A54" w14:textId="2B85586F" w:rsidR="0016475F" w:rsidRPr="008B0052" w:rsidRDefault="0016475F" w:rsidP="0016475F">
      <w:pPr>
        <w:spacing w:line="276" w:lineRule="auto"/>
        <w:jc w:val="both"/>
        <w:rPr>
          <w:rFonts w:ascii="Arial" w:eastAsiaTheme="minorHAnsi" w:hAnsi="Arial" w:cs="Arial"/>
          <w:sz w:val="22"/>
          <w:szCs w:val="22"/>
          <w:lang w:val="es-ES_tradnl" w:eastAsia="en-US"/>
        </w:rPr>
      </w:pPr>
      <w:bookmarkStart w:id="10" w:name="_Hlk92445814"/>
      <w:r w:rsidRPr="008B0052">
        <w:rPr>
          <w:rFonts w:ascii="Arial" w:eastAsiaTheme="minorHAnsi" w:hAnsi="Arial" w:cs="Arial"/>
          <w:sz w:val="22"/>
          <w:szCs w:val="22"/>
          <w:lang w:val="es-ES_tradnl" w:eastAsia="en-US"/>
        </w:rPr>
        <w:t xml:space="preserve">De acuerdo con el artículo 35 de la Ley de Emprendimiento, los factores de desempate aplican en tres (3) supuestos diferentes: i) para los procesos de contratación realizados con cargo a recursos públicos, </w:t>
      </w:r>
      <w:proofErr w:type="spellStart"/>
      <w:r w:rsidRPr="008B0052">
        <w:rPr>
          <w:rFonts w:ascii="Arial" w:eastAsiaTheme="minorHAnsi" w:hAnsi="Arial" w:cs="Arial"/>
          <w:sz w:val="22"/>
          <w:szCs w:val="22"/>
          <w:lang w:val="es-ES_tradnl" w:eastAsia="en-US"/>
        </w:rPr>
        <w:t>ii</w:t>
      </w:r>
      <w:proofErr w:type="spellEnd"/>
      <w:r w:rsidRPr="008B0052">
        <w:rPr>
          <w:rFonts w:ascii="Arial" w:eastAsiaTheme="minorHAnsi" w:hAnsi="Arial" w:cs="Arial"/>
          <w:sz w:val="22"/>
          <w:szCs w:val="22"/>
          <w:lang w:val="es-ES_tradnl" w:eastAsia="en-US"/>
        </w:rPr>
        <w:t xml:space="preserve">) para los procesos de contratación realizados por las entidades estatales indistintamente de su régimen de contratación y </w:t>
      </w:r>
      <w:proofErr w:type="spellStart"/>
      <w:r w:rsidRPr="008B0052">
        <w:rPr>
          <w:rFonts w:ascii="Arial" w:eastAsiaTheme="minorHAnsi" w:hAnsi="Arial" w:cs="Arial"/>
          <w:sz w:val="22"/>
          <w:szCs w:val="22"/>
          <w:lang w:val="es-ES_tradnl" w:eastAsia="en-US"/>
        </w:rPr>
        <w:t>iii</w:t>
      </w:r>
      <w:proofErr w:type="spellEnd"/>
      <w:r w:rsidRPr="008B0052">
        <w:rPr>
          <w:rFonts w:ascii="Arial" w:eastAsiaTheme="minorHAnsi" w:hAnsi="Arial" w:cs="Arial"/>
          <w:sz w:val="22"/>
          <w:szCs w:val="22"/>
          <w:lang w:val="es-ES_tradnl" w:eastAsia="en-US"/>
        </w:rPr>
        <w:t xml:space="preserve">) para los procesos de contratación de los patrimonios autónomos constituidos por entidades estatales. En esta medida, el hecho de que los factores de desempate no apliquen en virtud del </w:t>
      </w:r>
      <w:r w:rsidRPr="008B0052">
        <w:rPr>
          <w:rFonts w:ascii="Arial" w:eastAsiaTheme="minorHAnsi" w:hAnsi="Arial" w:cs="Arial"/>
          <w:i/>
          <w:iCs/>
          <w:sz w:val="22"/>
          <w:szCs w:val="22"/>
          <w:lang w:val="es-ES_tradnl" w:eastAsia="en-US"/>
        </w:rPr>
        <w:t>primer supuesto</w:t>
      </w:r>
      <w:r w:rsidRPr="008B0052">
        <w:rPr>
          <w:rFonts w:ascii="Arial" w:eastAsiaTheme="minorHAnsi" w:hAnsi="Arial" w:cs="Arial"/>
          <w:sz w:val="22"/>
          <w:szCs w:val="22"/>
          <w:lang w:val="es-ES_tradnl" w:eastAsia="en-US"/>
        </w:rPr>
        <w:t>, no significa que dejen de regir por lo previsto en los dos (2) restantes. Lo anterior en la medida que son tres (3) hipótesis distintas de aplicación de los factores de desempate en el sistema de compras y contratación pública.</w:t>
      </w:r>
    </w:p>
    <w:p w14:paraId="5C85AE60" w14:textId="162A446D" w:rsidR="0016475F" w:rsidRPr="008B0052" w:rsidRDefault="0016475F" w:rsidP="002A4B80">
      <w:pPr>
        <w:spacing w:before="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t xml:space="preserve">Aunque para el </w:t>
      </w:r>
      <w:r w:rsidRPr="008B0052">
        <w:rPr>
          <w:rFonts w:ascii="Arial" w:eastAsiaTheme="minorHAnsi" w:hAnsi="Arial" w:cs="Arial"/>
          <w:i/>
          <w:iCs/>
          <w:sz w:val="22"/>
          <w:szCs w:val="22"/>
          <w:lang w:val="es-ES_tradnl" w:eastAsia="en-US"/>
        </w:rPr>
        <w:t>primer supuesto</w:t>
      </w:r>
      <w:r w:rsidRPr="008B0052">
        <w:rPr>
          <w:rFonts w:ascii="Arial" w:eastAsiaTheme="minorHAnsi" w:hAnsi="Arial" w:cs="Arial"/>
          <w:sz w:val="22"/>
          <w:szCs w:val="22"/>
          <w:lang w:val="es-ES_tradnl" w:eastAsia="en-US"/>
        </w:rPr>
        <w:t xml:space="preserve"> es jurídicamente relevante la naturaleza pública de los recursos, el </w:t>
      </w:r>
      <w:r w:rsidRPr="008B0052">
        <w:rPr>
          <w:rFonts w:ascii="Arial" w:eastAsiaTheme="minorHAnsi" w:hAnsi="Arial" w:cs="Arial"/>
          <w:i/>
          <w:iCs/>
          <w:sz w:val="22"/>
          <w:szCs w:val="22"/>
          <w:lang w:val="es-ES_tradnl" w:eastAsia="en-US"/>
        </w:rPr>
        <w:t>segundo supuesto</w:t>
      </w:r>
      <w:r w:rsidRPr="008B0052">
        <w:rPr>
          <w:rFonts w:ascii="Arial" w:eastAsiaTheme="minorHAnsi" w:hAnsi="Arial" w:cs="Arial"/>
          <w:sz w:val="22"/>
          <w:szCs w:val="22"/>
          <w:lang w:val="es-ES_tradnl" w:eastAsia="en-US"/>
        </w:rPr>
        <w:t xml:space="preserve"> hace abstracción de este requisito cuando dispone que los factores de desempate rigen también en «[…] </w:t>
      </w:r>
      <w:r w:rsidRPr="008B0052">
        <w:rPr>
          <w:rFonts w:ascii="Arial" w:eastAsiaTheme="minorHAnsi" w:hAnsi="Arial" w:cs="Arial"/>
          <w:i/>
          <w:iCs/>
          <w:sz w:val="22"/>
          <w:szCs w:val="22"/>
          <w:lang w:val="es-ES_tradnl" w:eastAsia="en-US"/>
        </w:rPr>
        <w:t>los Procesos de Contratación realizados por las Entidades Estatales indistintamente de su régimen de contratación</w:t>
      </w:r>
      <w:r w:rsidRPr="008B0052">
        <w:rPr>
          <w:rFonts w:ascii="Arial" w:eastAsiaTheme="minorHAnsi" w:hAnsi="Arial" w:cs="Arial"/>
          <w:sz w:val="22"/>
          <w:szCs w:val="22"/>
          <w:lang w:val="es-ES_tradnl" w:eastAsia="en-US"/>
        </w:rPr>
        <w:t xml:space="preserve"> […]» (Énfasis fuera de texto). Dado que este apartado de la norma no distingue si existe o no ejecución de recursos públicos, la Agencia entiende que aplica a ambos supuestos bajo la máxima hermenéutica según la cual donde el legislador no distingue, no le</w:t>
      </w:r>
      <w:r w:rsidR="00BE31BF" w:rsidRPr="008B0052">
        <w:rPr>
          <w:rFonts w:ascii="Arial" w:eastAsiaTheme="minorHAnsi" w:hAnsi="Arial" w:cs="Arial"/>
          <w:sz w:val="22"/>
          <w:szCs w:val="22"/>
          <w:lang w:val="es-ES_tradnl" w:eastAsia="en-US"/>
        </w:rPr>
        <w:t xml:space="preserve"> e</w:t>
      </w:r>
      <w:r w:rsidRPr="008B0052">
        <w:rPr>
          <w:rFonts w:ascii="Arial" w:eastAsiaTheme="minorHAnsi" w:hAnsi="Arial" w:cs="Arial"/>
          <w:sz w:val="22"/>
          <w:szCs w:val="22"/>
          <w:lang w:val="es-ES_tradnl" w:eastAsia="en-US"/>
        </w:rPr>
        <w:t>s lícito al intérprete distinguir. Por tanto, si bien e</w:t>
      </w:r>
      <w:r w:rsidR="00BE31BF" w:rsidRPr="008B0052">
        <w:rPr>
          <w:rFonts w:ascii="Arial" w:eastAsiaTheme="minorHAnsi" w:hAnsi="Arial" w:cs="Arial"/>
          <w:sz w:val="22"/>
          <w:szCs w:val="22"/>
          <w:lang w:val="es-ES_tradnl" w:eastAsia="en-US"/>
        </w:rPr>
        <w:t>s</w:t>
      </w:r>
      <w:r w:rsidRPr="008B0052">
        <w:rPr>
          <w:rFonts w:ascii="Arial" w:eastAsiaTheme="minorHAnsi" w:hAnsi="Arial" w:cs="Arial"/>
          <w:sz w:val="22"/>
          <w:szCs w:val="22"/>
          <w:lang w:val="es-ES_tradnl" w:eastAsia="en-US"/>
        </w:rPr>
        <w:t xml:space="preserve"> cierto que en los procesos de los corredores de seguros no existe ejecución de recursos públicos, la Agencia considera que aplican los factores de desempate en virtud del segundo supuesto previsto en el artículo 35 de la Ley 2069 de 2020.   </w:t>
      </w:r>
      <w:bookmarkEnd w:id="10"/>
    </w:p>
    <w:p w14:paraId="173AAC19" w14:textId="2ADFB100" w:rsidR="008A4155" w:rsidRPr="008B0052" w:rsidRDefault="008A4155" w:rsidP="002A4B80">
      <w:pPr>
        <w:spacing w:after="120" w:line="276" w:lineRule="auto"/>
        <w:jc w:val="both"/>
        <w:rPr>
          <w:rFonts w:ascii="Arial" w:eastAsiaTheme="minorHAnsi" w:hAnsi="Arial" w:cs="Arial"/>
          <w:sz w:val="22"/>
          <w:szCs w:val="22"/>
          <w:lang w:val="es-ES_tradnl" w:eastAsia="en-US"/>
        </w:rPr>
      </w:pPr>
      <w:r w:rsidRPr="008B0052">
        <w:rPr>
          <w:rFonts w:ascii="Arial" w:eastAsiaTheme="minorHAnsi" w:hAnsi="Arial" w:cs="Arial"/>
          <w:sz w:val="22"/>
          <w:szCs w:val="22"/>
          <w:lang w:val="es-ES_tradnl" w:eastAsia="en-US"/>
        </w:rPr>
        <w:t>Igualmente</w:t>
      </w:r>
      <w:r w:rsidR="0016475F" w:rsidRPr="008B0052">
        <w:rPr>
          <w:rFonts w:ascii="Arial" w:eastAsiaTheme="minorHAnsi" w:hAnsi="Arial" w:cs="Arial"/>
          <w:sz w:val="22"/>
          <w:szCs w:val="22"/>
          <w:lang w:val="es-ES_tradnl" w:eastAsia="en-US"/>
        </w:rPr>
        <w:t>, aunque en la solicitud se alude a la posibilidad de limitar la aplicación de los factores de desempate</w:t>
      </w:r>
      <w:r w:rsidRPr="008B0052">
        <w:rPr>
          <w:rFonts w:ascii="Arial" w:eastAsiaTheme="minorHAnsi" w:hAnsi="Arial" w:cs="Arial"/>
          <w:sz w:val="22"/>
          <w:szCs w:val="22"/>
          <w:lang w:val="es-ES_tradnl" w:eastAsia="en-US"/>
        </w:rPr>
        <w:t xml:space="preserve"> por lo previsto en el</w:t>
      </w:r>
      <w:r w:rsidR="0016475F" w:rsidRPr="008B0052">
        <w:rPr>
          <w:rFonts w:ascii="Arial" w:eastAsiaTheme="minorHAnsi" w:hAnsi="Arial" w:cs="Arial"/>
          <w:sz w:val="22"/>
          <w:szCs w:val="22"/>
          <w:lang w:val="es-ES_tradnl" w:eastAsia="en-US"/>
        </w:rPr>
        <w:t xml:space="preserve"> parágrafo 3 de la norma citada en el párrafo precedente</w:t>
      </w:r>
      <w:r w:rsidRPr="008B0052">
        <w:rPr>
          <w:rFonts w:ascii="Arial" w:eastAsiaTheme="minorHAnsi" w:hAnsi="Arial" w:cs="Arial"/>
          <w:sz w:val="22"/>
          <w:szCs w:val="22"/>
          <w:lang w:val="es-ES_tradnl" w:eastAsia="en-US"/>
        </w:rPr>
        <w:t>, la potestad reglamentaria no puede ejercerse para ampliar o reducir el ámbito de aplicación de la ley. De hecho, si bien la norma permite reglamentar los factores de desempate en los casos en que concurran dos o más de los criterios allí previstos, es necesario tener en cuenta que –de acuerdo con el inciso primero– los factores se aplican en orden sucesivo y excluyente, por lo que queda descartada su concurrencia.</w:t>
      </w:r>
    </w:p>
    <w:p w14:paraId="40E8EF88" w14:textId="77581F97" w:rsidR="008A4155" w:rsidRPr="008B0052" w:rsidRDefault="008A4155" w:rsidP="008A4155">
      <w:pPr>
        <w:spacing w:line="276" w:lineRule="auto"/>
        <w:jc w:val="both"/>
        <w:rPr>
          <w:rFonts w:ascii="Arial" w:eastAsia="Calibri" w:hAnsi="Arial" w:cs="Arial"/>
          <w:sz w:val="22"/>
        </w:rPr>
      </w:pPr>
      <w:bookmarkStart w:id="11" w:name="_Hlk94186346"/>
      <w:r w:rsidRPr="008B0052">
        <w:rPr>
          <w:rFonts w:ascii="Arial" w:eastAsiaTheme="minorHAnsi" w:hAnsi="Arial" w:cs="Arial"/>
          <w:sz w:val="22"/>
          <w:szCs w:val="22"/>
          <w:lang w:eastAsia="en-US"/>
        </w:rPr>
        <w:t>Por tanto, no es posible modificar el ámbito de aplicación de la norma, los criterios de desempate ni el orden de</w:t>
      </w:r>
      <w:r w:rsidR="009B76E9" w:rsidRPr="008B0052">
        <w:rPr>
          <w:rFonts w:ascii="Arial" w:eastAsiaTheme="minorHAnsi" w:hAnsi="Arial" w:cs="Arial"/>
          <w:sz w:val="22"/>
          <w:szCs w:val="22"/>
          <w:lang w:eastAsia="en-US"/>
        </w:rPr>
        <w:t xml:space="preserve"> su</w:t>
      </w:r>
      <w:r w:rsidRPr="008B0052">
        <w:rPr>
          <w:rFonts w:ascii="Arial" w:eastAsiaTheme="minorHAnsi" w:hAnsi="Arial" w:cs="Arial"/>
          <w:sz w:val="22"/>
          <w:szCs w:val="22"/>
          <w:lang w:eastAsia="en-US"/>
        </w:rPr>
        <w:t xml:space="preserve"> aplicación</w:t>
      </w:r>
      <w:r w:rsidR="00BE31BF" w:rsidRPr="008B0052">
        <w:rPr>
          <w:rFonts w:ascii="Arial" w:eastAsiaTheme="minorHAnsi" w:hAnsi="Arial" w:cs="Arial"/>
          <w:sz w:val="22"/>
          <w:szCs w:val="22"/>
          <w:lang w:eastAsia="en-US"/>
        </w:rPr>
        <w:t xml:space="preserve"> sucesivo y excluyente</w:t>
      </w:r>
      <w:r w:rsidRPr="008B0052">
        <w:rPr>
          <w:rFonts w:ascii="Arial" w:eastAsiaTheme="minorHAnsi" w:hAnsi="Arial" w:cs="Arial"/>
          <w:sz w:val="22"/>
          <w:szCs w:val="22"/>
          <w:lang w:eastAsia="en-US"/>
        </w:rPr>
        <w:t xml:space="preserve">. A lo sumo, como dispone el Decreto 1860 del 24 de diciembre de 2021 que adicionó el artículo 2.2.1.2.4.2.17 al Decreto 1082 de 2015, puede determinarse cómo se acredita cada criterio. De hecho, la disposición adicionada es congruente con el ámbito de aplicación del artículo 35 de la Ley 2069 de 2020, ya que –conforme a los tres (3) supuestos explicados </w:t>
      </w:r>
      <w:r w:rsidRPr="008B0052">
        <w:rPr>
          <w:rFonts w:ascii="Arial" w:eastAsiaTheme="minorHAnsi" w:hAnsi="Arial" w:cs="Arial"/>
          <w:i/>
          <w:iCs/>
          <w:sz w:val="22"/>
          <w:szCs w:val="22"/>
          <w:lang w:eastAsia="en-US"/>
        </w:rPr>
        <w:t>ut supra</w:t>
      </w:r>
      <w:r w:rsidRPr="008B0052">
        <w:rPr>
          <w:rFonts w:ascii="Arial" w:eastAsiaTheme="minorHAnsi" w:hAnsi="Arial" w:cs="Arial"/>
          <w:sz w:val="22"/>
          <w:szCs w:val="22"/>
          <w:lang w:eastAsia="en-US"/>
        </w:rPr>
        <w:t>– la reglamentación que entrará en vigencia tres (3) meses contados a partir de su fecha de expedición también aplica «[…]</w:t>
      </w:r>
      <w:r w:rsidRPr="008B0052">
        <w:t xml:space="preserve"> </w:t>
      </w:r>
      <w:r w:rsidRPr="008B0052">
        <w:rPr>
          <w:rFonts w:ascii="Arial" w:eastAsiaTheme="minorHAnsi" w:hAnsi="Arial" w:cs="Arial"/>
          <w:sz w:val="22"/>
          <w:szCs w:val="22"/>
          <w:lang w:eastAsia="en-US"/>
        </w:rPr>
        <w:t xml:space="preserve">en los Procesos de Contratación realizados con cargo a recursos públicos, </w:t>
      </w:r>
      <w:r w:rsidRPr="008B0052">
        <w:rPr>
          <w:rFonts w:ascii="Arial" w:eastAsiaTheme="minorHAnsi" w:hAnsi="Arial" w:cs="Arial"/>
          <w:i/>
          <w:iCs/>
          <w:sz w:val="22"/>
          <w:szCs w:val="22"/>
          <w:lang w:eastAsia="en-US"/>
        </w:rPr>
        <w:t xml:space="preserve">en los Procesos de Contratación realizados por las Entidades Estatales indistintamente de su </w:t>
      </w:r>
      <w:r w:rsidRPr="008B0052">
        <w:rPr>
          <w:rFonts w:ascii="Arial" w:eastAsiaTheme="minorHAnsi" w:hAnsi="Arial" w:cs="Arial"/>
          <w:i/>
          <w:iCs/>
          <w:sz w:val="22"/>
          <w:szCs w:val="22"/>
          <w:lang w:eastAsia="en-US"/>
        </w:rPr>
        <w:lastRenderedPageBreak/>
        <w:t>régimen de contratación</w:t>
      </w:r>
      <w:r w:rsidRPr="008B0052">
        <w:rPr>
          <w:rFonts w:ascii="Arial" w:eastAsiaTheme="minorHAnsi" w:hAnsi="Arial" w:cs="Arial"/>
          <w:sz w:val="22"/>
          <w:szCs w:val="22"/>
          <w:lang w:eastAsia="en-US"/>
        </w:rPr>
        <w:t>, así como los celebrados por los Procesos de Contratación de los patrimonios autónomos constituidos por Entidades Estatales […]» (Énfasis fuera de texto).</w:t>
      </w:r>
      <w:r w:rsidRPr="008B0052">
        <w:rPr>
          <w:rFonts w:ascii="Arial" w:eastAsiaTheme="minorHAnsi" w:hAnsi="Arial" w:cs="Arial"/>
          <w:sz w:val="22"/>
          <w:szCs w:val="22"/>
          <w:lang w:val="es-ES_tradnl" w:eastAsia="en-US"/>
        </w:rPr>
        <w:t xml:space="preserve">     </w:t>
      </w:r>
      <w:bookmarkEnd w:id="11"/>
      <w:r w:rsidRPr="008B0052">
        <w:rPr>
          <w:rFonts w:ascii="Arial" w:eastAsiaTheme="minorHAnsi" w:hAnsi="Arial" w:cs="Arial"/>
          <w:sz w:val="22"/>
          <w:szCs w:val="22"/>
          <w:lang w:val="es-ES_tradnl" w:eastAsia="en-US"/>
        </w:rPr>
        <w:t xml:space="preserve">    </w:t>
      </w:r>
    </w:p>
    <w:p w14:paraId="290EFC6F" w14:textId="348E2A81" w:rsidR="00E53A90" w:rsidRPr="008B0052" w:rsidRDefault="00E53A90" w:rsidP="008A4155">
      <w:pPr>
        <w:spacing w:before="120" w:line="276" w:lineRule="auto"/>
        <w:jc w:val="both"/>
        <w:rPr>
          <w:rFonts w:ascii="Arial" w:eastAsia="Calibri" w:hAnsi="Arial" w:cs="Arial"/>
          <w:sz w:val="22"/>
          <w:szCs w:val="22"/>
          <w:lang w:val="es-ES_tradnl" w:eastAsia="en-US"/>
        </w:rPr>
      </w:pPr>
    </w:p>
    <w:p w14:paraId="77EE5912" w14:textId="1792E8CD" w:rsidR="00DD5B04" w:rsidRPr="008B0052" w:rsidRDefault="00DD5B04" w:rsidP="0081325C">
      <w:pPr>
        <w:spacing w:line="276" w:lineRule="auto"/>
        <w:jc w:val="both"/>
        <w:rPr>
          <w:rFonts w:ascii="Arial" w:hAnsi="Arial" w:cs="Arial"/>
          <w:color w:val="000000" w:themeColor="text1"/>
          <w:sz w:val="22"/>
          <w:lang w:val="es-ES_tradnl"/>
        </w:rPr>
      </w:pPr>
      <w:r w:rsidRPr="008B0052">
        <w:rPr>
          <w:rFonts w:ascii="Arial" w:hAnsi="Arial" w:cs="Arial"/>
          <w:color w:val="000000" w:themeColor="text1"/>
          <w:sz w:val="22"/>
          <w:lang w:val="es-ES_tradnl"/>
        </w:rPr>
        <w:t>Este concepto tiene el alcance previsto en el artículo 28 del Código de Procedimiento Administrativo y de</w:t>
      </w:r>
      <w:r w:rsidR="00D40F8B" w:rsidRPr="008B0052">
        <w:rPr>
          <w:rFonts w:ascii="Arial" w:hAnsi="Arial" w:cs="Arial"/>
          <w:color w:val="000000" w:themeColor="text1"/>
          <w:sz w:val="22"/>
          <w:lang w:val="es-ES_tradnl"/>
        </w:rPr>
        <w:t xml:space="preserve"> lo Contencioso Administrativo.</w:t>
      </w:r>
    </w:p>
    <w:p w14:paraId="056816F7" w14:textId="77777777" w:rsidR="00D40F8B" w:rsidRPr="008B0052" w:rsidRDefault="00D40F8B" w:rsidP="00D40F8B">
      <w:pPr>
        <w:spacing w:before="120" w:line="276" w:lineRule="auto"/>
        <w:jc w:val="both"/>
        <w:rPr>
          <w:rFonts w:ascii="Arial" w:hAnsi="Arial" w:cs="Arial"/>
          <w:color w:val="000000" w:themeColor="text1"/>
          <w:sz w:val="22"/>
          <w:lang w:val="es-ES_tradnl"/>
        </w:rPr>
      </w:pPr>
    </w:p>
    <w:p w14:paraId="349855C9" w14:textId="03E35D79" w:rsidR="00D40F8B" w:rsidRPr="008B0052"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B0052">
        <w:rPr>
          <w:rFonts w:ascii="Arial" w:hAnsi="Arial" w:cs="Arial"/>
          <w:color w:val="000000" w:themeColor="text1"/>
          <w:sz w:val="22"/>
          <w:szCs w:val="22"/>
          <w:lang w:val="es-ES_tradnl"/>
        </w:rPr>
        <w:t>Atentamente,</w:t>
      </w:r>
    </w:p>
    <w:p w14:paraId="71818395" w14:textId="757CAF1F" w:rsidR="00D40F8B" w:rsidRPr="008B0052" w:rsidRDefault="00137D27" w:rsidP="004356C0">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B5721FC" wp14:editId="4028C69C">
            <wp:extent cx="2124075" cy="1114425"/>
            <wp:effectExtent l="0" t="0" r="9525"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124075" cy="1114425"/>
                    </a:xfrm>
                    <a:prstGeom prst="rect">
                      <a:avLst/>
                    </a:prstGeom>
                  </pic:spPr>
                </pic:pic>
              </a:graphicData>
            </a:graphic>
          </wp:inline>
        </w:drawing>
      </w:r>
    </w:p>
    <w:p w14:paraId="10A1E411" w14:textId="77777777" w:rsidR="00D40F8B" w:rsidRPr="008B0052"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B0052" w14:paraId="0C7DC5F7" w14:textId="77777777" w:rsidTr="00D40F8B">
        <w:trPr>
          <w:trHeight w:val="160"/>
        </w:trPr>
        <w:tc>
          <w:tcPr>
            <w:tcW w:w="812" w:type="dxa"/>
            <w:vAlign w:val="center"/>
            <w:hideMark/>
          </w:tcPr>
          <w:p w14:paraId="5BDB1AC9" w14:textId="77777777" w:rsidR="00DD5B04" w:rsidRPr="008B0052" w:rsidRDefault="00DD5B04" w:rsidP="00DF76A2">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43F964" w14:textId="77777777" w:rsidR="00EC7FD6" w:rsidRPr="008B0052" w:rsidRDefault="00EC7FD6" w:rsidP="00EC7FD6">
            <w:pPr>
              <w:rPr>
                <w:rFonts w:ascii="Arial" w:hAnsi="Arial" w:cs="Arial"/>
                <w:color w:val="000000" w:themeColor="text1"/>
                <w:sz w:val="16"/>
                <w:szCs w:val="16"/>
                <w:lang w:val="es-ES" w:eastAsia="es-ES"/>
              </w:rPr>
            </w:pPr>
            <w:r w:rsidRPr="008B0052">
              <w:rPr>
                <w:rFonts w:ascii="Arial" w:hAnsi="Arial" w:cs="Arial"/>
                <w:color w:val="000000" w:themeColor="text1"/>
                <w:sz w:val="16"/>
                <w:szCs w:val="16"/>
                <w:lang w:val="es-ES" w:eastAsia="es-ES"/>
              </w:rPr>
              <w:t>Juan David Montoya Penagos</w:t>
            </w:r>
          </w:p>
          <w:p w14:paraId="240C71FD" w14:textId="18C32BB3" w:rsidR="00DD5B04" w:rsidRPr="008B0052" w:rsidRDefault="00EC7FD6" w:rsidP="00EC7FD6">
            <w:pPr>
              <w:jc w:val="both"/>
              <w:rPr>
                <w:rFonts w:ascii="Arial" w:hAnsi="Arial" w:cs="Arial"/>
                <w:color w:val="000000" w:themeColor="text1"/>
                <w:sz w:val="16"/>
                <w:szCs w:val="16"/>
                <w:lang w:val="es-ES_tradnl" w:eastAsia="es-ES"/>
              </w:rPr>
            </w:pPr>
            <w:r w:rsidRPr="008B0052">
              <w:rPr>
                <w:rFonts w:ascii="Arial" w:hAnsi="Arial" w:cs="Arial"/>
                <w:color w:val="000000"/>
                <w:sz w:val="16"/>
                <w:szCs w:val="16"/>
                <w:shd w:val="clear" w:color="auto" w:fill="FFFFFF"/>
              </w:rPr>
              <w:t>Gestor T1-15 de la </w:t>
            </w:r>
            <w:r w:rsidRPr="008B0052">
              <w:rPr>
                <w:rFonts w:ascii="Arial" w:hAnsi="Arial" w:cs="Arial"/>
                <w:color w:val="000000" w:themeColor="text1"/>
                <w:sz w:val="16"/>
                <w:szCs w:val="16"/>
                <w:lang w:val="es-ES" w:eastAsia="es-ES"/>
              </w:rPr>
              <w:t>Subdirección de Gestión Contractual</w:t>
            </w:r>
          </w:p>
        </w:tc>
      </w:tr>
      <w:tr w:rsidR="00DD5B04" w:rsidRPr="008B0052" w14:paraId="2F8FD650" w14:textId="77777777" w:rsidTr="004356C0">
        <w:trPr>
          <w:trHeight w:val="70"/>
        </w:trPr>
        <w:tc>
          <w:tcPr>
            <w:tcW w:w="812" w:type="dxa"/>
            <w:vAlign w:val="center"/>
            <w:hideMark/>
          </w:tcPr>
          <w:p w14:paraId="50203A0B" w14:textId="77777777" w:rsidR="00DD5B04" w:rsidRPr="008B0052" w:rsidRDefault="00DD5B04" w:rsidP="00DF76A2">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D05B2E" w14:textId="77777777" w:rsidR="00EC7FD6" w:rsidRPr="008B0052" w:rsidRDefault="00EC7FD6" w:rsidP="00EC7FD6">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Jorge Augusto Tirado Navarro</w:t>
            </w:r>
          </w:p>
          <w:p w14:paraId="130B3228" w14:textId="2746EE72" w:rsidR="00F83702" w:rsidRPr="008B0052" w:rsidRDefault="00EC7FD6" w:rsidP="00EC7FD6">
            <w:pPr>
              <w:jc w:val="both"/>
              <w:rPr>
                <w:rFonts w:ascii="Arial" w:hAnsi="Arial" w:cs="Arial"/>
                <w:color w:val="000000" w:themeColor="text1"/>
                <w:sz w:val="16"/>
                <w:szCs w:val="16"/>
                <w:lang w:val="es-ES" w:eastAsia="es-ES"/>
              </w:rPr>
            </w:pPr>
            <w:r w:rsidRPr="008B0052">
              <w:rPr>
                <w:rFonts w:ascii="Arial" w:hAnsi="Arial" w:cs="Arial"/>
                <w:color w:val="000000" w:themeColor="text1"/>
                <w:sz w:val="16"/>
                <w:szCs w:val="16"/>
                <w:lang w:val="es-ES_tradnl" w:eastAsia="es-ES"/>
              </w:rPr>
              <w:t xml:space="preserve">Subdirector de Gestión Contractual </w:t>
            </w:r>
            <w:r w:rsidRPr="008B0052">
              <w:rPr>
                <w:rFonts w:ascii="Arial" w:hAnsi="Arial" w:cs="Arial"/>
                <w:color w:val="000000" w:themeColor="text1"/>
                <w:sz w:val="16"/>
                <w:szCs w:val="16"/>
                <w:lang w:eastAsia="es-ES"/>
              </w:rPr>
              <w:t>ANCP – CCE</w:t>
            </w:r>
          </w:p>
        </w:tc>
      </w:tr>
      <w:tr w:rsidR="00DD5B04" w:rsidRPr="00DC5823" w14:paraId="0FCBCA4A" w14:textId="77777777" w:rsidTr="0087496E">
        <w:trPr>
          <w:trHeight w:val="193"/>
        </w:trPr>
        <w:tc>
          <w:tcPr>
            <w:tcW w:w="812" w:type="dxa"/>
            <w:vAlign w:val="center"/>
            <w:hideMark/>
          </w:tcPr>
          <w:p w14:paraId="3C1D943A" w14:textId="77777777" w:rsidR="00DD5B04" w:rsidRPr="008B0052" w:rsidRDefault="00DD5B04" w:rsidP="00DF76A2">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B0052" w:rsidRDefault="00C05A61" w:rsidP="00DF76A2">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 xml:space="preserve">Jorge </w:t>
            </w:r>
            <w:r w:rsidR="00647A36" w:rsidRPr="008B0052">
              <w:rPr>
                <w:rFonts w:ascii="Arial" w:hAnsi="Arial" w:cs="Arial"/>
                <w:color w:val="000000" w:themeColor="text1"/>
                <w:sz w:val="16"/>
                <w:szCs w:val="16"/>
                <w:lang w:val="es-ES_tradnl" w:eastAsia="es-ES"/>
              </w:rPr>
              <w:t xml:space="preserve">Augusto </w:t>
            </w:r>
            <w:r w:rsidRPr="008B0052">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8B0052">
              <w:rPr>
                <w:rFonts w:ascii="Arial" w:hAnsi="Arial" w:cs="Arial"/>
                <w:color w:val="000000" w:themeColor="text1"/>
                <w:sz w:val="16"/>
                <w:szCs w:val="16"/>
                <w:lang w:val="es-ES_tradnl" w:eastAsia="es-ES"/>
              </w:rPr>
              <w:t>Subdirector de Gestión Contractual</w:t>
            </w:r>
            <w:r w:rsidR="00973AA2" w:rsidRPr="008B0052">
              <w:rPr>
                <w:rFonts w:ascii="Arial" w:hAnsi="Arial" w:cs="Arial"/>
                <w:color w:val="000000" w:themeColor="text1"/>
                <w:sz w:val="16"/>
                <w:szCs w:val="16"/>
                <w:lang w:val="es-ES_tradnl" w:eastAsia="es-ES"/>
              </w:rPr>
              <w:t xml:space="preserve"> </w:t>
            </w:r>
            <w:r w:rsidR="00973AA2" w:rsidRPr="008B0052">
              <w:rPr>
                <w:rFonts w:ascii="Arial" w:hAnsi="Arial" w:cs="Arial"/>
                <w:color w:val="000000" w:themeColor="text1"/>
                <w:sz w:val="16"/>
                <w:szCs w:val="16"/>
                <w:lang w:eastAsia="es-ES"/>
              </w:rPr>
              <w:t>ANCP – CCE</w:t>
            </w:r>
          </w:p>
        </w:tc>
      </w:tr>
      <w:bookmarkEnd w:id="3"/>
      <w:bookmarkEnd w:id="4"/>
    </w:tbl>
    <w:p w14:paraId="491DE49E" w14:textId="62233FB7"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F788" w14:textId="77777777" w:rsidR="00470366" w:rsidRDefault="00470366">
      <w:r>
        <w:separator/>
      </w:r>
    </w:p>
  </w:endnote>
  <w:endnote w:type="continuationSeparator" w:id="0">
    <w:p w14:paraId="7CC457F7" w14:textId="77777777" w:rsidR="00470366" w:rsidRDefault="00470366">
      <w:r>
        <w:continuationSeparator/>
      </w:r>
    </w:p>
  </w:endnote>
  <w:endnote w:type="continuationNotice" w:id="1">
    <w:p w14:paraId="38EF6E14" w14:textId="77777777" w:rsidR="00470366" w:rsidRDefault="00470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7A14" w14:textId="77777777" w:rsidR="00470366" w:rsidRDefault="00470366">
      <w:r>
        <w:separator/>
      </w:r>
    </w:p>
  </w:footnote>
  <w:footnote w:type="continuationSeparator" w:id="0">
    <w:p w14:paraId="51979B85" w14:textId="77777777" w:rsidR="00470366" w:rsidRDefault="00470366">
      <w:r>
        <w:continuationSeparator/>
      </w:r>
    </w:p>
  </w:footnote>
  <w:footnote w:type="continuationNotice" w:id="1">
    <w:p w14:paraId="74CFFA76" w14:textId="77777777" w:rsidR="00470366" w:rsidRDefault="00470366"/>
  </w:footnote>
  <w:footnote w:id="2">
    <w:p w14:paraId="73D1107A" w14:textId="6DD338B8" w:rsidR="003E108C" w:rsidRDefault="003E108C" w:rsidP="008B0052">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3">
    <w:p w14:paraId="7700976A" w14:textId="5B33E92C" w:rsidR="00425E2F" w:rsidRPr="00534503" w:rsidRDefault="00425E2F" w:rsidP="008B0052">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29 de octubre de 2.015. Consejera Ponente: Stella Conto Díaz Del Castillo. Expediente: 31.918.</w:t>
      </w:r>
    </w:p>
  </w:footnote>
  <w:footnote w:id="4">
    <w:p w14:paraId="43831F20" w14:textId="71852069" w:rsidR="00425E2F" w:rsidRPr="00534503" w:rsidRDefault="00425E2F" w:rsidP="008B0052">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Corte Constitucional. Sentencia T-684A del 14 de septiembre de 2011. Magistrado Ponente: Mauricio González Cuervo.</w:t>
      </w:r>
    </w:p>
  </w:footnote>
  <w:footnote w:id="5">
    <w:p w14:paraId="184DF44E" w14:textId="77777777" w:rsidR="00425E2F" w:rsidRPr="00534503" w:rsidRDefault="00425E2F" w:rsidP="00425E2F">
      <w:pPr>
        <w:pStyle w:val="Textonotapie"/>
        <w:ind w:firstLine="709"/>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Consejo de Estado. Sección Tercera. Sentencia del 6 de diciembre de 2.013. Consejera </w:t>
      </w:r>
      <w:proofErr w:type="spellStart"/>
      <w:r w:rsidRPr="00534503">
        <w:rPr>
          <w:rFonts w:ascii="Arial" w:hAnsi="Arial" w:cs="Arial"/>
          <w:sz w:val="19"/>
          <w:szCs w:val="19"/>
          <w:lang w:val="es-ES"/>
        </w:rPr>
        <w:t>Ponent</w:t>
      </w:r>
      <w:r>
        <w:rPr>
          <w:rFonts w:ascii="Arial" w:hAnsi="Arial" w:cs="Arial"/>
          <w:sz w:val="19"/>
          <w:szCs w:val="19"/>
          <w:lang w:val="es-ES"/>
        </w:rPr>
        <w:t>g</w:t>
      </w:r>
      <w:r w:rsidRPr="00534503">
        <w:rPr>
          <w:rFonts w:ascii="Arial" w:hAnsi="Arial" w:cs="Arial"/>
          <w:sz w:val="19"/>
          <w:szCs w:val="19"/>
          <w:lang w:val="es-ES"/>
        </w:rPr>
        <w:t>e</w:t>
      </w:r>
      <w:proofErr w:type="spellEnd"/>
      <w:r w:rsidRPr="00534503">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42DE4808" w14:textId="1B395DC6" w:rsidR="00425E2F" w:rsidRDefault="00425E2F" w:rsidP="008B005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2 al 29.</w:t>
      </w:r>
    </w:p>
  </w:footnote>
  <w:footnote w:id="7">
    <w:p w14:paraId="5A1BF09D" w14:textId="02CF31B3" w:rsidR="00425E2F" w:rsidRDefault="00425E2F" w:rsidP="008B005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30 al 36.</w:t>
      </w:r>
    </w:p>
  </w:footnote>
  <w:footnote w:id="8">
    <w:p w14:paraId="51064D8B" w14:textId="61B25F6A" w:rsidR="00425E2F" w:rsidRDefault="00425E2F" w:rsidP="008B005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37 al 45.</w:t>
      </w:r>
    </w:p>
  </w:footnote>
  <w:footnote w:id="9">
    <w:p w14:paraId="2D03EAC7" w14:textId="130358FA" w:rsidR="00425E2F" w:rsidRDefault="00425E2F" w:rsidP="008B005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46 al 73.</w:t>
      </w:r>
    </w:p>
  </w:footnote>
  <w:footnote w:id="10">
    <w:p w14:paraId="21061EFE" w14:textId="027935C8" w:rsidR="00425E2F" w:rsidRDefault="00425E2F" w:rsidP="008B0052">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74 al 83.</w:t>
      </w:r>
    </w:p>
  </w:footnote>
  <w:footnote w:id="11">
    <w:p w14:paraId="12EC3D81" w14:textId="77777777" w:rsidR="00377653" w:rsidRDefault="00377653" w:rsidP="00377653">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C002BCC" w14:textId="77777777" w:rsidR="00377653" w:rsidRDefault="00377653" w:rsidP="00377653">
      <w:pPr>
        <w:pStyle w:val="Textonotapie"/>
        <w:ind w:firstLine="709"/>
        <w:jc w:val="both"/>
        <w:rPr>
          <w:rFonts w:ascii="Arial" w:hAnsi="Arial" w:cs="Arial"/>
          <w:sz w:val="19"/>
          <w:szCs w:val="19"/>
          <w:lang w:val="es-ES"/>
        </w:rPr>
      </w:pPr>
      <w:proofErr w:type="gramStart"/>
      <w:r>
        <w:rPr>
          <w:rFonts w:ascii="Arial" w:hAnsi="Arial" w:cs="Arial"/>
          <w:sz w:val="19"/>
          <w:szCs w:val="19"/>
          <w:lang w:val="es-ES"/>
        </w:rPr>
        <w:t>»Si</w:t>
      </w:r>
      <w:proofErr w:type="gramEnd"/>
      <w:r>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7D9CF1D8"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»1. Preferir la oferta de bienes o servicios nacionales frente a la oferta de bienes o servicios extranjeros.</w:t>
      </w:r>
    </w:p>
    <w:p w14:paraId="08F6E947"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 xml:space="preserve">»2. Preferir las ofertas presentada por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w:t>
      </w:r>
    </w:p>
    <w:p w14:paraId="035FFB60"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 que tenga una participación de por lo menos el veinticinco por ciento (25%); (b) la </w:t>
      </w:r>
      <w:proofErr w:type="spellStart"/>
      <w:r>
        <w:rPr>
          <w:rFonts w:ascii="Arial" w:hAnsi="Arial" w:cs="Arial"/>
          <w:sz w:val="19"/>
          <w:szCs w:val="19"/>
          <w:lang w:val="es-ES"/>
        </w:rPr>
        <w:t>Mipyme</w:t>
      </w:r>
      <w:proofErr w:type="spellEnd"/>
      <w:r>
        <w:rPr>
          <w:rFonts w:ascii="Arial" w:hAnsi="Arial" w:cs="Arial"/>
          <w:sz w:val="19"/>
          <w:szCs w:val="19"/>
          <w:lang w:val="es-ES"/>
        </w:rPr>
        <w:t xml:space="preserve"> aporte mínimo el veinticinco por ciento (25%) de la experiencia acreditada en la oferta; y (c) ni la </w:t>
      </w:r>
      <w:proofErr w:type="spellStart"/>
      <w:r>
        <w:rPr>
          <w:rFonts w:ascii="Arial" w:hAnsi="Arial" w:cs="Arial"/>
          <w:sz w:val="19"/>
          <w:szCs w:val="19"/>
          <w:lang w:val="es-ES"/>
        </w:rPr>
        <w:t>Mipyme</w:t>
      </w:r>
      <w:proofErr w:type="spellEnd"/>
      <w:r>
        <w:rPr>
          <w:rFonts w:ascii="Arial" w:hAnsi="Arial" w:cs="Arial"/>
          <w:sz w:val="19"/>
          <w:szCs w:val="19"/>
          <w:lang w:val="es-ES"/>
        </w:rPr>
        <w:t>, ni sus accionistas, socios o representantes legales sean empleados, socios o accionistas de los miembros del consorcio, unión temporal o promesa de sociedad futura.</w:t>
      </w:r>
    </w:p>
    <w:p w14:paraId="143B364B"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47A0327" w14:textId="7F10EDA7" w:rsidR="00951DA4" w:rsidRPr="008B0052" w:rsidRDefault="00377653" w:rsidP="008B0052">
      <w:pPr>
        <w:pStyle w:val="Textonotapie"/>
        <w:ind w:firstLine="709"/>
        <w:jc w:val="both"/>
        <w:rPr>
          <w:rFonts w:ascii="Arial" w:hAnsi="Arial" w:cs="Arial"/>
          <w:sz w:val="19"/>
          <w:szCs w:val="19"/>
          <w:lang w:val="es-ES"/>
        </w:rPr>
      </w:pPr>
      <w:r>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2">
    <w:p w14:paraId="770FC187" w14:textId="0D906FC7" w:rsidR="00951DA4" w:rsidRPr="00153DE4" w:rsidRDefault="00951DA4" w:rsidP="00153DE4">
      <w:pPr>
        <w:pStyle w:val="Textonotapie"/>
        <w:ind w:firstLine="708"/>
        <w:jc w:val="both"/>
        <w:rPr>
          <w:rFonts w:ascii="Arial" w:hAnsi="Arial" w:cs="Arial"/>
          <w:sz w:val="19"/>
          <w:szCs w:val="19"/>
        </w:rPr>
      </w:pPr>
      <w:r w:rsidRPr="00153DE4">
        <w:rPr>
          <w:rStyle w:val="Refdenotaalpie"/>
          <w:rFonts w:ascii="Arial" w:hAnsi="Arial" w:cs="Arial"/>
          <w:sz w:val="19"/>
          <w:szCs w:val="19"/>
        </w:rPr>
        <w:footnoteRef/>
      </w:r>
      <w:r w:rsidRPr="00153DE4">
        <w:rPr>
          <w:rFonts w:ascii="Arial" w:hAnsi="Arial" w:cs="Arial"/>
          <w:sz w:val="19"/>
          <w:szCs w:val="19"/>
        </w:rPr>
        <w:t xml:space="preserve"> </w:t>
      </w:r>
      <w:r>
        <w:rPr>
          <w:rFonts w:ascii="Arial" w:hAnsi="Arial" w:cs="Arial"/>
          <w:sz w:val="19"/>
          <w:szCs w:val="19"/>
        </w:rPr>
        <w:t>Esto se ratifica expresamente en el artículo 8 del Decreto 1860 del 24 de diciembre de 2021, «</w:t>
      </w:r>
      <w:r w:rsidRPr="00951DA4">
        <w:rPr>
          <w:rFonts w:ascii="Arial" w:hAnsi="Arial" w:cs="Arial"/>
          <w:sz w:val="19"/>
          <w:szCs w:val="19"/>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hAnsi="Arial" w:cs="Arial"/>
          <w:sz w:val="19"/>
          <w:szCs w:val="19"/>
        </w:rPr>
        <w:t>», el cual dispone que «</w:t>
      </w:r>
      <w:r w:rsidRPr="00951DA4">
        <w:rPr>
          <w:rFonts w:ascii="Arial" w:hAnsi="Arial" w:cs="Arial"/>
          <w:sz w:val="19"/>
          <w:szCs w:val="19"/>
        </w:rPr>
        <w:t xml:space="preserve">Las disposiciones contenidas en el presente Decreto se aplicarán a los procedimientos de selección cuya invitación, aviso de convocatoria o documento equivalente se publique a los tres (3) meses contados a partir de su expedición. </w:t>
      </w:r>
      <w:r w:rsidRPr="00153DE4">
        <w:rPr>
          <w:rFonts w:ascii="Arial" w:hAnsi="Arial" w:cs="Arial"/>
          <w:i/>
          <w:iCs/>
          <w:sz w:val="19"/>
          <w:szCs w:val="19"/>
        </w:rPr>
        <w:t>Este Decreto</w:t>
      </w:r>
      <w:r w:rsidRPr="00951DA4">
        <w:rPr>
          <w:rFonts w:ascii="Arial" w:hAnsi="Arial" w:cs="Arial"/>
          <w:sz w:val="19"/>
          <w:szCs w:val="19"/>
        </w:rPr>
        <w:t xml:space="preserve"> </w:t>
      </w:r>
      <w:r>
        <w:rPr>
          <w:rFonts w:ascii="Arial" w:hAnsi="Arial" w:cs="Arial"/>
          <w:sz w:val="19"/>
          <w:szCs w:val="19"/>
        </w:rPr>
        <w:t>[…]</w:t>
      </w:r>
      <w:r w:rsidRPr="00951DA4">
        <w:rPr>
          <w:rFonts w:ascii="Arial" w:hAnsi="Arial" w:cs="Arial"/>
          <w:sz w:val="19"/>
          <w:szCs w:val="19"/>
        </w:rPr>
        <w:t xml:space="preserve"> </w:t>
      </w:r>
      <w:r w:rsidRPr="00153DE4">
        <w:rPr>
          <w:rFonts w:ascii="Arial" w:hAnsi="Arial" w:cs="Arial"/>
          <w:i/>
          <w:iCs/>
          <w:sz w:val="19"/>
          <w:szCs w:val="19"/>
        </w:rPr>
        <w:t>deroga el artículo 2.2.1.1.2.2.9. del Decreto 1082 de 2015, Único Reglamentario del Sector Administrativo de Planeación Nacional</w:t>
      </w:r>
      <w:r>
        <w:rPr>
          <w:rFonts w:ascii="Arial" w:hAnsi="Arial" w:cs="Arial"/>
          <w:sz w:val="19"/>
          <w:szCs w:val="19"/>
        </w:rPr>
        <w:t>» (Énfasis fuera de texto).</w:t>
      </w:r>
    </w:p>
  </w:footnote>
  <w:footnote w:id="13">
    <w:p w14:paraId="65B86572" w14:textId="77777777" w:rsidR="00D402D2" w:rsidRPr="00D402D2" w:rsidRDefault="00011A33" w:rsidP="00D402D2">
      <w:pPr>
        <w:pStyle w:val="Textonotapie"/>
        <w:ind w:firstLine="708"/>
        <w:jc w:val="both"/>
        <w:rPr>
          <w:rFonts w:ascii="Arial" w:hAnsi="Arial" w:cs="Arial"/>
          <w:sz w:val="19"/>
          <w:szCs w:val="19"/>
          <w:lang w:val="es-CO"/>
        </w:rPr>
      </w:pPr>
      <w:r w:rsidRPr="00011A33">
        <w:rPr>
          <w:rStyle w:val="Refdenotaalpie"/>
          <w:rFonts w:ascii="Arial" w:hAnsi="Arial" w:cs="Arial"/>
          <w:sz w:val="19"/>
          <w:szCs w:val="19"/>
        </w:rPr>
        <w:footnoteRef/>
      </w:r>
      <w:r w:rsidRPr="00011A33">
        <w:rPr>
          <w:rFonts w:ascii="Arial" w:hAnsi="Arial" w:cs="Arial"/>
          <w:sz w:val="19"/>
          <w:szCs w:val="19"/>
        </w:rPr>
        <w:t xml:space="preserve"> </w:t>
      </w:r>
      <w:r>
        <w:rPr>
          <w:rFonts w:ascii="Arial" w:hAnsi="Arial" w:cs="Arial"/>
          <w:sz w:val="19"/>
          <w:szCs w:val="19"/>
        </w:rPr>
        <w:t>El artículo 1341 del Código de Comercio dispone que «</w:t>
      </w:r>
      <w:r w:rsidR="00D402D2" w:rsidRPr="00D402D2">
        <w:rPr>
          <w:rFonts w:ascii="Arial" w:hAnsi="Arial" w:cs="Arial"/>
          <w:sz w:val="19"/>
          <w:szCs w:val="19"/>
          <w:lang w:val="es-CO"/>
        </w:rPr>
        <w:t>El corredor tendrá derecho a la remuneración estipulada; a falta de estipulación, a la usual y, en su defecto, a la que se fije por peritos.</w:t>
      </w:r>
    </w:p>
    <w:p w14:paraId="6E18BE00" w14:textId="77777777" w:rsidR="00D402D2" w:rsidRPr="00D402D2" w:rsidRDefault="00D402D2" w:rsidP="00D402D2">
      <w:pPr>
        <w:pStyle w:val="Textonotapie"/>
        <w:ind w:firstLine="708"/>
        <w:jc w:val="both"/>
        <w:rPr>
          <w:rFonts w:ascii="Arial" w:hAnsi="Arial" w:cs="Arial"/>
          <w:sz w:val="19"/>
          <w:szCs w:val="19"/>
          <w:lang w:val="es-CO"/>
        </w:rPr>
      </w:pPr>
      <w:r w:rsidRPr="00D402D2">
        <w:rPr>
          <w:rFonts w:ascii="Arial" w:hAnsi="Arial" w:cs="Arial"/>
          <w:i/>
          <w:iCs/>
          <w:sz w:val="19"/>
          <w:szCs w:val="19"/>
          <w:lang w:val="es-CO"/>
        </w:rPr>
        <w:t>Salvo estipulación en contrario, la remuneración del corredor será pagada por las partes, por partes iguales, y la del corredor de seguros por el asegurador</w:t>
      </w:r>
      <w:r w:rsidRPr="00D402D2">
        <w:rPr>
          <w:rFonts w:ascii="Arial" w:hAnsi="Arial" w:cs="Arial"/>
          <w:sz w:val="19"/>
          <w:szCs w:val="19"/>
          <w:lang w:val="es-CO"/>
        </w:rPr>
        <w:t>. El corredor tendrá derecho a su remuneración en todos los casos en que sea celebrado el negocio en que intervenga.</w:t>
      </w:r>
    </w:p>
    <w:p w14:paraId="193FADA8" w14:textId="4C7B2ED2" w:rsidR="00011A33" w:rsidRPr="00D402D2" w:rsidRDefault="00D402D2" w:rsidP="00D402D2">
      <w:pPr>
        <w:pStyle w:val="Textonotapie"/>
        <w:ind w:firstLine="708"/>
        <w:jc w:val="both"/>
        <w:rPr>
          <w:rFonts w:ascii="Arial" w:hAnsi="Arial" w:cs="Arial"/>
          <w:sz w:val="19"/>
          <w:szCs w:val="19"/>
          <w:lang w:val="es-CO"/>
        </w:rPr>
      </w:pPr>
      <w:r w:rsidRPr="00D402D2">
        <w:rPr>
          <w:rFonts w:ascii="Arial" w:hAnsi="Arial" w:cs="Arial"/>
          <w:sz w:val="19"/>
          <w:szCs w:val="19"/>
          <w:lang w:val="es-CO"/>
        </w:rPr>
        <w:t>Cuando en un mismo negocio intervengan varios corredores, la remuneración se distribuirá entre ellos por partes iguales, salvo pacto en contrario</w:t>
      </w:r>
      <w:r>
        <w:rPr>
          <w:rFonts w:ascii="Arial" w:hAnsi="Arial" w:cs="Arial"/>
          <w:sz w:val="19"/>
          <w:szCs w:val="19"/>
          <w:lang w:val="es-CO"/>
        </w:rPr>
        <w:t>» (Énfasis fuera de texto).</w:t>
      </w:r>
    </w:p>
  </w:footnote>
  <w:footnote w:id="14">
    <w:p w14:paraId="3488D77D" w14:textId="477A221F" w:rsidR="002A6E9F" w:rsidRPr="002A6E9F" w:rsidRDefault="002A6E9F" w:rsidP="008B0052">
      <w:pPr>
        <w:pStyle w:val="Textonotapie"/>
        <w:ind w:firstLine="708"/>
        <w:rPr>
          <w:rFonts w:ascii="Arial" w:hAnsi="Arial" w:cs="Arial"/>
          <w:color w:val="000000" w:themeColor="text1"/>
          <w:sz w:val="19"/>
          <w:szCs w:val="19"/>
          <w:lang w:val="es-CO"/>
        </w:rPr>
      </w:pPr>
      <w:r w:rsidRPr="002A6E9F">
        <w:rPr>
          <w:rStyle w:val="Refdenotaalpie"/>
          <w:rFonts w:ascii="Arial" w:hAnsi="Arial" w:cs="Arial"/>
          <w:color w:val="000000" w:themeColor="text1"/>
          <w:sz w:val="19"/>
          <w:szCs w:val="19"/>
        </w:rPr>
        <w:footnoteRef/>
      </w:r>
      <w:r w:rsidRPr="002A6E9F">
        <w:rPr>
          <w:rFonts w:ascii="Arial" w:hAnsi="Arial" w:cs="Arial"/>
          <w:color w:val="000000" w:themeColor="text1"/>
          <w:sz w:val="19"/>
          <w:szCs w:val="19"/>
          <w:lang w:val="pt-BR"/>
        </w:rPr>
        <w:t xml:space="preserve"> Sentencia C-1005 de 2008, Corte Constitucional. </w:t>
      </w:r>
      <w:r w:rsidRPr="002A6E9F">
        <w:rPr>
          <w:rFonts w:ascii="Arial" w:hAnsi="Arial" w:cs="Arial"/>
          <w:color w:val="000000" w:themeColor="text1"/>
          <w:sz w:val="19"/>
          <w:szCs w:val="19"/>
        </w:rPr>
        <w:t>M.P: Humberto Antonio Sierra Porto.</w:t>
      </w:r>
    </w:p>
  </w:footnote>
  <w:footnote w:id="15">
    <w:p w14:paraId="53A8A6A1" w14:textId="337BD2CF" w:rsidR="002A6E9F" w:rsidRPr="008B0052" w:rsidRDefault="002A6E9F" w:rsidP="008B0052">
      <w:pPr>
        <w:pStyle w:val="Textonotapie"/>
        <w:ind w:firstLine="708"/>
        <w:jc w:val="both"/>
        <w:rPr>
          <w:rFonts w:ascii="Arial" w:hAnsi="Arial" w:cs="Arial"/>
          <w:color w:val="000000" w:themeColor="text1"/>
          <w:sz w:val="19"/>
          <w:szCs w:val="19"/>
        </w:rPr>
      </w:pPr>
      <w:r w:rsidRPr="002A6E9F">
        <w:rPr>
          <w:rStyle w:val="Refdenotaalpie"/>
          <w:rFonts w:ascii="Arial" w:hAnsi="Arial" w:cs="Arial"/>
          <w:color w:val="000000" w:themeColor="text1"/>
          <w:sz w:val="19"/>
          <w:szCs w:val="19"/>
        </w:rPr>
        <w:footnoteRef/>
      </w:r>
      <w:r w:rsidRPr="002A6E9F">
        <w:rPr>
          <w:rFonts w:ascii="Arial" w:hAnsi="Arial" w:cs="Arial"/>
          <w:color w:val="000000" w:themeColor="text1"/>
          <w:sz w:val="19"/>
          <w:szCs w:val="19"/>
        </w:rPr>
        <w:t xml:space="preserve"> Consejo de Estado. Sección Primera. Sentencia del 20 de noviembre de 2014. Rad. 1101-03-24-000-2010-00119-00. C.P. Guillermo Vargas Ayala.</w:t>
      </w:r>
    </w:p>
  </w:footnote>
  <w:footnote w:id="16">
    <w:p w14:paraId="55ACB65F" w14:textId="305316FB" w:rsidR="002A6E9F" w:rsidRPr="008B0052" w:rsidRDefault="002A6E9F" w:rsidP="008B0052">
      <w:pPr>
        <w:ind w:firstLine="708"/>
        <w:jc w:val="both"/>
        <w:rPr>
          <w:rFonts w:ascii="Arial" w:eastAsiaTheme="minorHAnsi" w:hAnsi="Arial" w:cs="Arial"/>
          <w:color w:val="000000" w:themeColor="text1"/>
          <w:sz w:val="19"/>
          <w:szCs w:val="19"/>
          <w:lang w:val="es-MX" w:eastAsia="en-US"/>
        </w:rPr>
      </w:pPr>
      <w:r w:rsidRPr="003E4338">
        <w:rPr>
          <w:rStyle w:val="Refdenotaalpie"/>
          <w:rFonts w:ascii="Arial" w:hAnsi="Arial" w:cs="Arial"/>
          <w:color w:val="000000" w:themeColor="text1"/>
          <w:sz w:val="19"/>
          <w:szCs w:val="19"/>
          <w:lang w:val="es-MX" w:eastAsia="en-US"/>
        </w:rPr>
        <w:footnoteRef/>
      </w:r>
      <w:r w:rsidRPr="002A6E9F">
        <w:rPr>
          <w:rFonts w:ascii="Arial" w:eastAsiaTheme="minorHAnsi" w:hAnsi="Arial" w:cs="Arial"/>
          <w:color w:val="000000" w:themeColor="text1"/>
          <w:sz w:val="19"/>
          <w:szCs w:val="19"/>
          <w:lang w:val="es-MX" w:eastAsia="en-US"/>
        </w:rPr>
        <w:t xml:space="preserve"> Al respecto, el Congreso puede dictar normas minuciosamente detalladas, en cuyo caso no será necesaria la expedición de decretos reglamentarios; o puede limitarse a dictar una ley de contenidos generales y dejar al Gobierno nacional la potestad de completar todos los aspectos que sean necesarios para su correcta ejecución. Por su parte, no puede el presidente saturar el ordenamiento, reglamentando lo que ya ha sido objeto de reglamentación por el legislador, pues si se repite con exactitud el contenido de las normas reglamentadas se violaría el principio conocido como «prohibición de tautología legal». Ver Consejo de Estado. Sección Cuarta. Sentencia del 11 de febrero de 2014. Rad. 11001-03-27-000-2011-00023-00(18973). C.P. Carmen Teresa Ortiz De Rodríguez. </w:t>
      </w:r>
    </w:p>
  </w:footnote>
  <w:footnote w:id="17">
    <w:p w14:paraId="0C211E01" w14:textId="7EA57578" w:rsidR="002A6E9F" w:rsidRPr="003E4338" w:rsidRDefault="002A6E9F" w:rsidP="008B0052">
      <w:pPr>
        <w:pStyle w:val="Textonotapie"/>
        <w:ind w:firstLine="708"/>
        <w:jc w:val="both"/>
        <w:rPr>
          <w:rFonts w:ascii="Arial" w:hAnsi="Arial" w:cs="Arial"/>
          <w:color w:val="000000" w:themeColor="text1"/>
          <w:sz w:val="19"/>
          <w:szCs w:val="19"/>
        </w:rPr>
      </w:pPr>
      <w:r w:rsidRPr="003E4338">
        <w:rPr>
          <w:rStyle w:val="Refdenotaalpie"/>
          <w:rFonts w:ascii="Arial" w:hAnsi="Arial" w:cs="Arial"/>
          <w:color w:val="000000" w:themeColor="text1"/>
          <w:sz w:val="19"/>
          <w:szCs w:val="19"/>
        </w:rPr>
        <w:footnoteRef/>
      </w:r>
      <w:r w:rsidRPr="003E4338">
        <w:rPr>
          <w:rFonts w:ascii="Arial" w:hAnsi="Arial" w:cs="Arial"/>
          <w:color w:val="000000" w:themeColor="text1"/>
          <w:sz w:val="19"/>
          <w:szCs w:val="19"/>
        </w:rPr>
        <w:t xml:space="preserve"> De acuerdo con la Sentencia C 037 de 2000, si bien la Constitución Política no contiene disposición expresa que determine dicho orden, de su articulado puede deducirse su existencia, así no siempre resulte sencilla esta tarea.  En efecto, diversas disposiciones superiores se refieren a la sujeción de cierto rango de normas frente a otras. Además de ser evidente que las normas constitucionales ocupan, sin discusión, el primer lugar dentro de la jerarquía del ordenamiento jurídico, dentro de la propia Carta, no todas las normas son igualmente prevalentes.</w:t>
      </w:r>
    </w:p>
  </w:footnote>
  <w:footnote w:id="18">
    <w:p w14:paraId="59F38B6F" w14:textId="60F904BD" w:rsidR="003E4338" w:rsidRPr="008B0052" w:rsidRDefault="003E4338" w:rsidP="008B0052">
      <w:pPr>
        <w:pStyle w:val="Textonotapie"/>
        <w:ind w:firstLine="708"/>
        <w:jc w:val="both"/>
        <w:rPr>
          <w:rFonts w:ascii="Arial" w:hAnsi="Arial" w:cs="Arial"/>
          <w:color w:val="000000" w:themeColor="text1"/>
          <w:sz w:val="19"/>
          <w:szCs w:val="19"/>
        </w:rPr>
      </w:pPr>
      <w:r w:rsidRPr="003E4338">
        <w:rPr>
          <w:rStyle w:val="Refdenotaalpie"/>
          <w:rFonts w:ascii="Arial" w:hAnsi="Arial" w:cs="Arial"/>
          <w:color w:val="000000" w:themeColor="text1"/>
          <w:sz w:val="19"/>
          <w:szCs w:val="19"/>
        </w:rPr>
        <w:footnoteRef/>
      </w:r>
      <w:r w:rsidRPr="003E4338">
        <w:rPr>
          <w:rFonts w:ascii="Arial" w:hAnsi="Arial" w:cs="Arial"/>
          <w:color w:val="000000" w:themeColor="text1"/>
          <w:sz w:val="19"/>
          <w:szCs w:val="19"/>
        </w:rPr>
        <w:t xml:space="preserve"> Ver entre otras, las Sentencias de la Corte Constitucional C–162 de 2008; C–823 de 2011; C–810 de 2014. Consejo de Estado. Sección Segunda. Sentencia del 21 de octubre de 2010. Rad. 11001-03-25-000-2005-00125-00(5242-05). C.P. Alfonso Vargas Rincón; Consejo de Estado. Sección Tercera. Subsección B. Sentencia del 29 de abril de 2015. Rad. 11001-03-26-000-2004-00044-00(28615). C.P. Stella Conto Díaz del Castillo.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4C2A5F"/>
    <w:multiLevelType w:val="hybridMultilevel"/>
    <w:tmpl w:val="622ED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46001119">
    <w:abstractNumId w:val="10"/>
  </w:num>
  <w:num w:numId="2" w16cid:durableId="930238559">
    <w:abstractNumId w:val="7"/>
  </w:num>
  <w:num w:numId="3" w16cid:durableId="283463724">
    <w:abstractNumId w:val="16"/>
  </w:num>
  <w:num w:numId="4" w16cid:durableId="2069378167">
    <w:abstractNumId w:val="20"/>
  </w:num>
  <w:num w:numId="5" w16cid:durableId="223613129">
    <w:abstractNumId w:val="25"/>
  </w:num>
  <w:num w:numId="6" w16cid:durableId="123662875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167914">
    <w:abstractNumId w:val="21"/>
  </w:num>
  <w:num w:numId="8" w16cid:durableId="957302232">
    <w:abstractNumId w:val="0"/>
  </w:num>
  <w:num w:numId="9" w16cid:durableId="1900165620">
    <w:abstractNumId w:val="3"/>
  </w:num>
  <w:num w:numId="10" w16cid:durableId="2129279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458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767998">
    <w:abstractNumId w:val="9"/>
  </w:num>
  <w:num w:numId="13" w16cid:durableId="530342602">
    <w:abstractNumId w:val="15"/>
  </w:num>
  <w:num w:numId="14" w16cid:durableId="392973643">
    <w:abstractNumId w:val="6"/>
  </w:num>
  <w:num w:numId="15" w16cid:durableId="174340317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45649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142042">
    <w:abstractNumId w:val="27"/>
  </w:num>
  <w:num w:numId="18" w16cid:durableId="1775586828">
    <w:abstractNumId w:val="17"/>
  </w:num>
  <w:num w:numId="19" w16cid:durableId="780420073">
    <w:abstractNumId w:val="2"/>
  </w:num>
  <w:num w:numId="20" w16cid:durableId="1079671442">
    <w:abstractNumId w:val="28"/>
  </w:num>
  <w:num w:numId="21" w16cid:durableId="1549679778">
    <w:abstractNumId w:val="19"/>
  </w:num>
  <w:num w:numId="22" w16cid:durableId="1619138463">
    <w:abstractNumId w:val="5"/>
  </w:num>
  <w:num w:numId="23" w16cid:durableId="207300953">
    <w:abstractNumId w:val="4"/>
  </w:num>
  <w:num w:numId="24" w16cid:durableId="227692273">
    <w:abstractNumId w:val="22"/>
  </w:num>
  <w:num w:numId="25" w16cid:durableId="1613047863">
    <w:abstractNumId w:val="11"/>
  </w:num>
  <w:num w:numId="26" w16cid:durableId="616643648">
    <w:abstractNumId w:val="26"/>
  </w:num>
  <w:num w:numId="27" w16cid:durableId="1691300787">
    <w:abstractNumId w:val="14"/>
  </w:num>
  <w:num w:numId="28" w16cid:durableId="1422527634">
    <w:abstractNumId w:val="23"/>
  </w:num>
  <w:num w:numId="29" w16cid:durableId="110514650">
    <w:abstractNumId w:val="12"/>
  </w:num>
  <w:num w:numId="30" w16cid:durableId="490289048">
    <w:abstractNumId w:val="29"/>
    <w:lvlOverride w:ilvl="0">
      <w:startOverride w:val="4"/>
    </w:lvlOverride>
    <w:lvlOverride w:ilvl="1"/>
    <w:lvlOverride w:ilvl="2"/>
    <w:lvlOverride w:ilvl="3"/>
    <w:lvlOverride w:ilvl="4"/>
    <w:lvlOverride w:ilvl="5"/>
    <w:lvlOverride w:ilvl="6"/>
    <w:lvlOverride w:ilvl="7"/>
    <w:lvlOverride w:ilvl="8"/>
  </w:num>
  <w:num w:numId="31" w16cid:durableId="167066051">
    <w:abstractNumId w:val="8"/>
    <w:lvlOverride w:ilvl="0">
      <w:startOverride w:val="4"/>
    </w:lvlOverride>
    <w:lvlOverride w:ilvl="1"/>
    <w:lvlOverride w:ilvl="2"/>
    <w:lvlOverride w:ilvl="3"/>
    <w:lvlOverride w:ilvl="4"/>
    <w:lvlOverride w:ilvl="5"/>
    <w:lvlOverride w:ilvl="6"/>
    <w:lvlOverride w:ilvl="7"/>
    <w:lvlOverride w:ilvl="8"/>
  </w:num>
  <w:num w:numId="32" w16cid:durableId="1290015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A33"/>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17BDD"/>
    <w:rsid w:val="00020158"/>
    <w:rsid w:val="000207E0"/>
    <w:rsid w:val="00020F8F"/>
    <w:rsid w:val="00021A95"/>
    <w:rsid w:val="00021DF9"/>
    <w:rsid w:val="0002256F"/>
    <w:rsid w:val="00023641"/>
    <w:rsid w:val="00023DAE"/>
    <w:rsid w:val="00024592"/>
    <w:rsid w:val="00024896"/>
    <w:rsid w:val="00025F82"/>
    <w:rsid w:val="00026092"/>
    <w:rsid w:val="000263F0"/>
    <w:rsid w:val="00026407"/>
    <w:rsid w:val="000264F6"/>
    <w:rsid w:val="00026608"/>
    <w:rsid w:val="00027787"/>
    <w:rsid w:val="000278D2"/>
    <w:rsid w:val="00030B44"/>
    <w:rsid w:val="00031384"/>
    <w:rsid w:val="000315E1"/>
    <w:rsid w:val="00031B59"/>
    <w:rsid w:val="0003236E"/>
    <w:rsid w:val="00032C84"/>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4D9B"/>
    <w:rsid w:val="00046717"/>
    <w:rsid w:val="00046A63"/>
    <w:rsid w:val="00046C09"/>
    <w:rsid w:val="0004716A"/>
    <w:rsid w:val="00047385"/>
    <w:rsid w:val="000473E8"/>
    <w:rsid w:val="000504DE"/>
    <w:rsid w:val="00051074"/>
    <w:rsid w:val="000510A4"/>
    <w:rsid w:val="00052972"/>
    <w:rsid w:val="00052B79"/>
    <w:rsid w:val="00052C38"/>
    <w:rsid w:val="00052EA0"/>
    <w:rsid w:val="000536E3"/>
    <w:rsid w:val="00054252"/>
    <w:rsid w:val="0005474D"/>
    <w:rsid w:val="00055CB9"/>
    <w:rsid w:val="00056F66"/>
    <w:rsid w:val="0005702F"/>
    <w:rsid w:val="0005779C"/>
    <w:rsid w:val="00061D06"/>
    <w:rsid w:val="0006294B"/>
    <w:rsid w:val="00062CDD"/>
    <w:rsid w:val="000637C7"/>
    <w:rsid w:val="00063FA5"/>
    <w:rsid w:val="000640AF"/>
    <w:rsid w:val="00064940"/>
    <w:rsid w:val="00064CAE"/>
    <w:rsid w:val="00064DB7"/>
    <w:rsid w:val="00064FA7"/>
    <w:rsid w:val="00065195"/>
    <w:rsid w:val="00065B22"/>
    <w:rsid w:val="00067BD1"/>
    <w:rsid w:val="00067D95"/>
    <w:rsid w:val="00070A4E"/>
    <w:rsid w:val="00070AB0"/>
    <w:rsid w:val="00070AF1"/>
    <w:rsid w:val="00071129"/>
    <w:rsid w:val="000714DE"/>
    <w:rsid w:val="0007254F"/>
    <w:rsid w:val="00073C30"/>
    <w:rsid w:val="00074026"/>
    <w:rsid w:val="00074305"/>
    <w:rsid w:val="00074B2A"/>
    <w:rsid w:val="0007588C"/>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2A0"/>
    <w:rsid w:val="000856DE"/>
    <w:rsid w:val="000857B4"/>
    <w:rsid w:val="00085F17"/>
    <w:rsid w:val="00085FB3"/>
    <w:rsid w:val="000861E5"/>
    <w:rsid w:val="0008686B"/>
    <w:rsid w:val="00086B2A"/>
    <w:rsid w:val="00086ED2"/>
    <w:rsid w:val="00087719"/>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1FAD"/>
    <w:rsid w:val="000A20D7"/>
    <w:rsid w:val="000A2128"/>
    <w:rsid w:val="000A362F"/>
    <w:rsid w:val="000A3B49"/>
    <w:rsid w:val="000A3C17"/>
    <w:rsid w:val="000A455A"/>
    <w:rsid w:val="000A4ACD"/>
    <w:rsid w:val="000A5AAF"/>
    <w:rsid w:val="000A5F97"/>
    <w:rsid w:val="000A630F"/>
    <w:rsid w:val="000A648E"/>
    <w:rsid w:val="000A73BB"/>
    <w:rsid w:val="000A7BE9"/>
    <w:rsid w:val="000A7EF4"/>
    <w:rsid w:val="000B04EA"/>
    <w:rsid w:val="000B07A8"/>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87A"/>
    <w:rsid w:val="000C1D4B"/>
    <w:rsid w:val="000C3260"/>
    <w:rsid w:val="000C3580"/>
    <w:rsid w:val="000C3803"/>
    <w:rsid w:val="000C3B77"/>
    <w:rsid w:val="000C4176"/>
    <w:rsid w:val="000C454E"/>
    <w:rsid w:val="000C4F49"/>
    <w:rsid w:val="000C5861"/>
    <w:rsid w:val="000C639D"/>
    <w:rsid w:val="000C6C31"/>
    <w:rsid w:val="000C6DBC"/>
    <w:rsid w:val="000C6F79"/>
    <w:rsid w:val="000C7476"/>
    <w:rsid w:val="000C7711"/>
    <w:rsid w:val="000C7AA2"/>
    <w:rsid w:val="000D0462"/>
    <w:rsid w:val="000D053D"/>
    <w:rsid w:val="000D0BD3"/>
    <w:rsid w:val="000D0ED2"/>
    <w:rsid w:val="000D1CEB"/>
    <w:rsid w:val="000D2563"/>
    <w:rsid w:val="000D25BF"/>
    <w:rsid w:val="000D3FDC"/>
    <w:rsid w:val="000D4E38"/>
    <w:rsid w:val="000D50DB"/>
    <w:rsid w:val="000D61AA"/>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79A"/>
    <w:rsid w:val="000E5843"/>
    <w:rsid w:val="000E5CBF"/>
    <w:rsid w:val="000E5F9B"/>
    <w:rsid w:val="000E6118"/>
    <w:rsid w:val="000E6139"/>
    <w:rsid w:val="000E6BE1"/>
    <w:rsid w:val="000E773A"/>
    <w:rsid w:val="000E7E0B"/>
    <w:rsid w:val="000E7EA4"/>
    <w:rsid w:val="000F02FF"/>
    <w:rsid w:val="000F078A"/>
    <w:rsid w:val="000F0997"/>
    <w:rsid w:val="000F122D"/>
    <w:rsid w:val="000F1450"/>
    <w:rsid w:val="000F14E8"/>
    <w:rsid w:val="000F1BBD"/>
    <w:rsid w:val="000F1C13"/>
    <w:rsid w:val="000F2739"/>
    <w:rsid w:val="000F3138"/>
    <w:rsid w:val="000F4403"/>
    <w:rsid w:val="000F4E17"/>
    <w:rsid w:val="000F5768"/>
    <w:rsid w:val="000F622C"/>
    <w:rsid w:val="000F6578"/>
    <w:rsid w:val="000F6831"/>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5844"/>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0370"/>
    <w:rsid w:val="00131B5A"/>
    <w:rsid w:val="00132BA9"/>
    <w:rsid w:val="00132C30"/>
    <w:rsid w:val="00132EFD"/>
    <w:rsid w:val="00133AED"/>
    <w:rsid w:val="00134B61"/>
    <w:rsid w:val="00134FF9"/>
    <w:rsid w:val="0013592A"/>
    <w:rsid w:val="00135E88"/>
    <w:rsid w:val="0013691F"/>
    <w:rsid w:val="0013695C"/>
    <w:rsid w:val="00136BF7"/>
    <w:rsid w:val="001378B9"/>
    <w:rsid w:val="00137D27"/>
    <w:rsid w:val="00137FFA"/>
    <w:rsid w:val="00140109"/>
    <w:rsid w:val="0014029B"/>
    <w:rsid w:val="00140A4F"/>
    <w:rsid w:val="001413AB"/>
    <w:rsid w:val="00141B89"/>
    <w:rsid w:val="00141D1F"/>
    <w:rsid w:val="00144335"/>
    <w:rsid w:val="0014502F"/>
    <w:rsid w:val="00145282"/>
    <w:rsid w:val="001453B0"/>
    <w:rsid w:val="001454D9"/>
    <w:rsid w:val="00145D8E"/>
    <w:rsid w:val="00145DFD"/>
    <w:rsid w:val="00146083"/>
    <w:rsid w:val="001462F7"/>
    <w:rsid w:val="001466F0"/>
    <w:rsid w:val="00146729"/>
    <w:rsid w:val="00147798"/>
    <w:rsid w:val="00150005"/>
    <w:rsid w:val="00151B99"/>
    <w:rsid w:val="001521B2"/>
    <w:rsid w:val="00152288"/>
    <w:rsid w:val="00152EDD"/>
    <w:rsid w:val="001531DE"/>
    <w:rsid w:val="00153491"/>
    <w:rsid w:val="0015361C"/>
    <w:rsid w:val="0015372F"/>
    <w:rsid w:val="00153BFB"/>
    <w:rsid w:val="00153DE4"/>
    <w:rsid w:val="0015402E"/>
    <w:rsid w:val="0015407E"/>
    <w:rsid w:val="0015448E"/>
    <w:rsid w:val="00154A6F"/>
    <w:rsid w:val="00155D08"/>
    <w:rsid w:val="00156BE5"/>
    <w:rsid w:val="00157232"/>
    <w:rsid w:val="00160401"/>
    <w:rsid w:val="00160D4E"/>
    <w:rsid w:val="00161E62"/>
    <w:rsid w:val="00161F1C"/>
    <w:rsid w:val="0016200B"/>
    <w:rsid w:val="00162756"/>
    <w:rsid w:val="001637E2"/>
    <w:rsid w:val="00163D7A"/>
    <w:rsid w:val="00164281"/>
    <w:rsid w:val="0016475F"/>
    <w:rsid w:val="001665C7"/>
    <w:rsid w:val="0016748C"/>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0AA6"/>
    <w:rsid w:val="001813AF"/>
    <w:rsid w:val="00181437"/>
    <w:rsid w:val="001829CD"/>
    <w:rsid w:val="00182F01"/>
    <w:rsid w:val="00184F27"/>
    <w:rsid w:val="0018519B"/>
    <w:rsid w:val="00185AFE"/>
    <w:rsid w:val="00185E78"/>
    <w:rsid w:val="00186493"/>
    <w:rsid w:val="00187148"/>
    <w:rsid w:val="00187177"/>
    <w:rsid w:val="00187443"/>
    <w:rsid w:val="00187ABD"/>
    <w:rsid w:val="00190466"/>
    <w:rsid w:val="001904E3"/>
    <w:rsid w:val="0019087A"/>
    <w:rsid w:val="00191C5A"/>
    <w:rsid w:val="00191CEB"/>
    <w:rsid w:val="00191E63"/>
    <w:rsid w:val="00192368"/>
    <w:rsid w:val="0019278A"/>
    <w:rsid w:val="00192D68"/>
    <w:rsid w:val="0019388B"/>
    <w:rsid w:val="00193B9A"/>
    <w:rsid w:val="001946AE"/>
    <w:rsid w:val="001946D5"/>
    <w:rsid w:val="00194E8C"/>
    <w:rsid w:val="001962EC"/>
    <w:rsid w:val="001963DD"/>
    <w:rsid w:val="001965DB"/>
    <w:rsid w:val="00196DC9"/>
    <w:rsid w:val="0019736C"/>
    <w:rsid w:val="001A0236"/>
    <w:rsid w:val="001A0AF8"/>
    <w:rsid w:val="001A15F4"/>
    <w:rsid w:val="001A18D5"/>
    <w:rsid w:val="001A1D4A"/>
    <w:rsid w:val="001A3011"/>
    <w:rsid w:val="001A3099"/>
    <w:rsid w:val="001A3F8D"/>
    <w:rsid w:val="001A4DAF"/>
    <w:rsid w:val="001A66DF"/>
    <w:rsid w:val="001A67D0"/>
    <w:rsid w:val="001A7591"/>
    <w:rsid w:val="001A75A7"/>
    <w:rsid w:val="001A75B1"/>
    <w:rsid w:val="001B0366"/>
    <w:rsid w:val="001B0444"/>
    <w:rsid w:val="001B096B"/>
    <w:rsid w:val="001B0F9F"/>
    <w:rsid w:val="001B123C"/>
    <w:rsid w:val="001B15B8"/>
    <w:rsid w:val="001B1679"/>
    <w:rsid w:val="001B1A0D"/>
    <w:rsid w:val="001B1BF1"/>
    <w:rsid w:val="001B2452"/>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9BD"/>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0A6"/>
    <w:rsid w:val="001D2970"/>
    <w:rsid w:val="001D30F3"/>
    <w:rsid w:val="001D31A0"/>
    <w:rsid w:val="001D338E"/>
    <w:rsid w:val="001D3881"/>
    <w:rsid w:val="001D3D0E"/>
    <w:rsid w:val="001D4141"/>
    <w:rsid w:val="001D56E9"/>
    <w:rsid w:val="001D5CDA"/>
    <w:rsid w:val="001D5E54"/>
    <w:rsid w:val="001D6B19"/>
    <w:rsid w:val="001D7923"/>
    <w:rsid w:val="001D796A"/>
    <w:rsid w:val="001D7A84"/>
    <w:rsid w:val="001D7C79"/>
    <w:rsid w:val="001E109E"/>
    <w:rsid w:val="001E15F0"/>
    <w:rsid w:val="001E184E"/>
    <w:rsid w:val="001E1B18"/>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3DCD"/>
    <w:rsid w:val="001F4180"/>
    <w:rsid w:val="001F4773"/>
    <w:rsid w:val="001F4CB2"/>
    <w:rsid w:val="001F5008"/>
    <w:rsid w:val="001F512D"/>
    <w:rsid w:val="001F56AA"/>
    <w:rsid w:val="001F58AA"/>
    <w:rsid w:val="001F59B7"/>
    <w:rsid w:val="001F5EF6"/>
    <w:rsid w:val="001F657F"/>
    <w:rsid w:val="001F6FB6"/>
    <w:rsid w:val="001F713B"/>
    <w:rsid w:val="001F7978"/>
    <w:rsid w:val="001F7A0E"/>
    <w:rsid w:val="0020022E"/>
    <w:rsid w:val="0020054E"/>
    <w:rsid w:val="00200B51"/>
    <w:rsid w:val="00201BE3"/>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9B9"/>
    <w:rsid w:val="00217DB8"/>
    <w:rsid w:val="00217DE2"/>
    <w:rsid w:val="0022032A"/>
    <w:rsid w:val="0022112B"/>
    <w:rsid w:val="002211DD"/>
    <w:rsid w:val="002221CE"/>
    <w:rsid w:val="0022267B"/>
    <w:rsid w:val="00222BE8"/>
    <w:rsid w:val="00223102"/>
    <w:rsid w:val="002232CB"/>
    <w:rsid w:val="002233C3"/>
    <w:rsid w:val="00224022"/>
    <w:rsid w:val="002257D0"/>
    <w:rsid w:val="00226055"/>
    <w:rsid w:val="0022613F"/>
    <w:rsid w:val="00226236"/>
    <w:rsid w:val="00226BAE"/>
    <w:rsid w:val="002270C9"/>
    <w:rsid w:val="00227A8B"/>
    <w:rsid w:val="0023146B"/>
    <w:rsid w:val="002315A0"/>
    <w:rsid w:val="00231EC7"/>
    <w:rsid w:val="00232E15"/>
    <w:rsid w:val="00233079"/>
    <w:rsid w:val="0023375A"/>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2EFD"/>
    <w:rsid w:val="002431D7"/>
    <w:rsid w:val="00244058"/>
    <w:rsid w:val="00245718"/>
    <w:rsid w:val="00245E07"/>
    <w:rsid w:val="00245FDB"/>
    <w:rsid w:val="00247712"/>
    <w:rsid w:val="002509F7"/>
    <w:rsid w:val="00250EC6"/>
    <w:rsid w:val="00251866"/>
    <w:rsid w:val="00251A9F"/>
    <w:rsid w:val="00252492"/>
    <w:rsid w:val="00252B35"/>
    <w:rsid w:val="002530DD"/>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6723E"/>
    <w:rsid w:val="0026734C"/>
    <w:rsid w:val="00271027"/>
    <w:rsid w:val="002711A4"/>
    <w:rsid w:val="00271C2E"/>
    <w:rsid w:val="00271F13"/>
    <w:rsid w:val="00272553"/>
    <w:rsid w:val="00272CF9"/>
    <w:rsid w:val="00274DB5"/>
    <w:rsid w:val="00275BB1"/>
    <w:rsid w:val="00275FBF"/>
    <w:rsid w:val="0027605F"/>
    <w:rsid w:val="00276373"/>
    <w:rsid w:val="00276573"/>
    <w:rsid w:val="00277259"/>
    <w:rsid w:val="00277933"/>
    <w:rsid w:val="00277F8D"/>
    <w:rsid w:val="00277FA7"/>
    <w:rsid w:val="00280F3D"/>
    <w:rsid w:val="00280FE0"/>
    <w:rsid w:val="0028106A"/>
    <w:rsid w:val="00281EB4"/>
    <w:rsid w:val="0028308E"/>
    <w:rsid w:val="002834E9"/>
    <w:rsid w:val="00283A52"/>
    <w:rsid w:val="00283C5E"/>
    <w:rsid w:val="00283E26"/>
    <w:rsid w:val="00283FD7"/>
    <w:rsid w:val="0028428F"/>
    <w:rsid w:val="00284CFC"/>
    <w:rsid w:val="00285832"/>
    <w:rsid w:val="00285969"/>
    <w:rsid w:val="0028663B"/>
    <w:rsid w:val="00286CEC"/>
    <w:rsid w:val="002871A9"/>
    <w:rsid w:val="00290781"/>
    <w:rsid w:val="00290B64"/>
    <w:rsid w:val="00291280"/>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53"/>
    <w:rsid w:val="002A28FC"/>
    <w:rsid w:val="002A2B44"/>
    <w:rsid w:val="002A2EA5"/>
    <w:rsid w:val="002A3D94"/>
    <w:rsid w:val="002A468B"/>
    <w:rsid w:val="002A4736"/>
    <w:rsid w:val="002A4B1C"/>
    <w:rsid w:val="002A4B80"/>
    <w:rsid w:val="002A4CC8"/>
    <w:rsid w:val="002A6AFB"/>
    <w:rsid w:val="002A6E9F"/>
    <w:rsid w:val="002A733D"/>
    <w:rsid w:val="002A769D"/>
    <w:rsid w:val="002A774A"/>
    <w:rsid w:val="002A7E5C"/>
    <w:rsid w:val="002A7F6D"/>
    <w:rsid w:val="002B1342"/>
    <w:rsid w:val="002B23CC"/>
    <w:rsid w:val="002B241A"/>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31A"/>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287"/>
    <w:rsid w:val="002D5A1B"/>
    <w:rsid w:val="002D65BC"/>
    <w:rsid w:val="002D6D7E"/>
    <w:rsid w:val="002E055C"/>
    <w:rsid w:val="002E0FBC"/>
    <w:rsid w:val="002E1050"/>
    <w:rsid w:val="002E18E5"/>
    <w:rsid w:val="002E1953"/>
    <w:rsid w:val="002E2548"/>
    <w:rsid w:val="002E2D7D"/>
    <w:rsid w:val="002E34B4"/>
    <w:rsid w:val="002E3AB5"/>
    <w:rsid w:val="002E3CCF"/>
    <w:rsid w:val="002E3D76"/>
    <w:rsid w:val="002E40A1"/>
    <w:rsid w:val="002E48EC"/>
    <w:rsid w:val="002E4B44"/>
    <w:rsid w:val="002E4ECB"/>
    <w:rsid w:val="002E4F23"/>
    <w:rsid w:val="002E6E2C"/>
    <w:rsid w:val="002E7847"/>
    <w:rsid w:val="002F0073"/>
    <w:rsid w:val="002F0618"/>
    <w:rsid w:val="002F240B"/>
    <w:rsid w:val="002F2F50"/>
    <w:rsid w:val="002F2F58"/>
    <w:rsid w:val="002F3601"/>
    <w:rsid w:val="002F45F6"/>
    <w:rsid w:val="002F4922"/>
    <w:rsid w:val="002F6181"/>
    <w:rsid w:val="002F692F"/>
    <w:rsid w:val="002F705D"/>
    <w:rsid w:val="002F7B66"/>
    <w:rsid w:val="003007CF"/>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B73"/>
    <w:rsid w:val="00313EA3"/>
    <w:rsid w:val="00315067"/>
    <w:rsid w:val="00315457"/>
    <w:rsid w:val="003161A4"/>
    <w:rsid w:val="00316955"/>
    <w:rsid w:val="00316D2A"/>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5B4E"/>
    <w:rsid w:val="00325D98"/>
    <w:rsid w:val="0032682A"/>
    <w:rsid w:val="003273D7"/>
    <w:rsid w:val="00327A5C"/>
    <w:rsid w:val="0033090C"/>
    <w:rsid w:val="0033092C"/>
    <w:rsid w:val="0033122A"/>
    <w:rsid w:val="003315AC"/>
    <w:rsid w:val="00331932"/>
    <w:rsid w:val="00331E39"/>
    <w:rsid w:val="00333A88"/>
    <w:rsid w:val="00335B15"/>
    <w:rsid w:val="00335B21"/>
    <w:rsid w:val="00335D3F"/>
    <w:rsid w:val="00335F3D"/>
    <w:rsid w:val="00336104"/>
    <w:rsid w:val="00336729"/>
    <w:rsid w:val="00336EFE"/>
    <w:rsid w:val="0033726D"/>
    <w:rsid w:val="00337362"/>
    <w:rsid w:val="00337CA8"/>
    <w:rsid w:val="0034177C"/>
    <w:rsid w:val="00342345"/>
    <w:rsid w:val="00342C27"/>
    <w:rsid w:val="003430C8"/>
    <w:rsid w:val="003432C8"/>
    <w:rsid w:val="003434B3"/>
    <w:rsid w:val="00343536"/>
    <w:rsid w:val="00343EFB"/>
    <w:rsid w:val="00344760"/>
    <w:rsid w:val="00345586"/>
    <w:rsid w:val="00346331"/>
    <w:rsid w:val="0034680A"/>
    <w:rsid w:val="00346C62"/>
    <w:rsid w:val="0034778E"/>
    <w:rsid w:val="003501E2"/>
    <w:rsid w:val="00351E10"/>
    <w:rsid w:val="0035273A"/>
    <w:rsid w:val="003533F4"/>
    <w:rsid w:val="003536F6"/>
    <w:rsid w:val="00353DD5"/>
    <w:rsid w:val="00353F2B"/>
    <w:rsid w:val="00353FB5"/>
    <w:rsid w:val="00355131"/>
    <w:rsid w:val="00356438"/>
    <w:rsid w:val="00357167"/>
    <w:rsid w:val="00361A59"/>
    <w:rsid w:val="00362D31"/>
    <w:rsid w:val="00363348"/>
    <w:rsid w:val="00363857"/>
    <w:rsid w:val="00363D59"/>
    <w:rsid w:val="003640F7"/>
    <w:rsid w:val="00365D3A"/>
    <w:rsid w:val="003664FF"/>
    <w:rsid w:val="0036673E"/>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135"/>
    <w:rsid w:val="00377653"/>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54F4"/>
    <w:rsid w:val="00395960"/>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5E52"/>
    <w:rsid w:val="003A6160"/>
    <w:rsid w:val="003A65A5"/>
    <w:rsid w:val="003A72F5"/>
    <w:rsid w:val="003A73B1"/>
    <w:rsid w:val="003A76B0"/>
    <w:rsid w:val="003A78E5"/>
    <w:rsid w:val="003B0341"/>
    <w:rsid w:val="003B120F"/>
    <w:rsid w:val="003B1E57"/>
    <w:rsid w:val="003B26C9"/>
    <w:rsid w:val="003B2EF3"/>
    <w:rsid w:val="003B353F"/>
    <w:rsid w:val="003B4B1C"/>
    <w:rsid w:val="003B4CB2"/>
    <w:rsid w:val="003B534F"/>
    <w:rsid w:val="003B5391"/>
    <w:rsid w:val="003B65D7"/>
    <w:rsid w:val="003B65E0"/>
    <w:rsid w:val="003B6BD4"/>
    <w:rsid w:val="003B6F4D"/>
    <w:rsid w:val="003B6FE7"/>
    <w:rsid w:val="003C0388"/>
    <w:rsid w:val="003C0AF8"/>
    <w:rsid w:val="003C0D1F"/>
    <w:rsid w:val="003C116A"/>
    <w:rsid w:val="003C1AF4"/>
    <w:rsid w:val="003C1B63"/>
    <w:rsid w:val="003C1CB8"/>
    <w:rsid w:val="003C2550"/>
    <w:rsid w:val="003C287F"/>
    <w:rsid w:val="003C3339"/>
    <w:rsid w:val="003C375A"/>
    <w:rsid w:val="003C3CBD"/>
    <w:rsid w:val="003C4D9F"/>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B8F"/>
    <w:rsid w:val="003D7566"/>
    <w:rsid w:val="003E09BB"/>
    <w:rsid w:val="003E108C"/>
    <w:rsid w:val="003E159D"/>
    <w:rsid w:val="003E20EA"/>
    <w:rsid w:val="003E210C"/>
    <w:rsid w:val="003E2F55"/>
    <w:rsid w:val="003E34DB"/>
    <w:rsid w:val="003E3833"/>
    <w:rsid w:val="003E3AF9"/>
    <w:rsid w:val="003E4338"/>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962"/>
    <w:rsid w:val="00401B31"/>
    <w:rsid w:val="0040202B"/>
    <w:rsid w:val="00402624"/>
    <w:rsid w:val="00402B3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A99"/>
    <w:rsid w:val="00415B88"/>
    <w:rsid w:val="00415D32"/>
    <w:rsid w:val="004160A2"/>
    <w:rsid w:val="00416D53"/>
    <w:rsid w:val="00416FC5"/>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5E2F"/>
    <w:rsid w:val="00426C69"/>
    <w:rsid w:val="004273FA"/>
    <w:rsid w:val="00427C77"/>
    <w:rsid w:val="00430186"/>
    <w:rsid w:val="0043030F"/>
    <w:rsid w:val="00432445"/>
    <w:rsid w:val="0043269A"/>
    <w:rsid w:val="004333C2"/>
    <w:rsid w:val="00433ACB"/>
    <w:rsid w:val="00434787"/>
    <w:rsid w:val="004347DA"/>
    <w:rsid w:val="00434C13"/>
    <w:rsid w:val="004356C0"/>
    <w:rsid w:val="00436323"/>
    <w:rsid w:val="0043683F"/>
    <w:rsid w:val="00436BE5"/>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6F79"/>
    <w:rsid w:val="004678CC"/>
    <w:rsid w:val="00470366"/>
    <w:rsid w:val="00470A6A"/>
    <w:rsid w:val="00470B45"/>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21A"/>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2C3B"/>
    <w:rsid w:val="004B578D"/>
    <w:rsid w:val="004B5BE7"/>
    <w:rsid w:val="004B5E2D"/>
    <w:rsid w:val="004B6C07"/>
    <w:rsid w:val="004B74D3"/>
    <w:rsid w:val="004B7623"/>
    <w:rsid w:val="004B76D3"/>
    <w:rsid w:val="004B788E"/>
    <w:rsid w:val="004B7E5D"/>
    <w:rsid w:val="004C0DD8"/>
    <w:rsid w:val="004C22F7"/>
    <w:rsid w:val="004C2B27"/>
    <w:rsid w:val="004C3450"/>
    <w:rsid w:val="004C36BB"/>
    <w:rsid w:val="004C3929"/>
    <w:rsid w:val="004C4DCB"/>
    <w:rsid w:val="004C5212"/>
    <w:rsid w:val="004C5EF0"/>
    <w:rsid w:val="004C7226"/>
    <w:rsid w:val="004C74C9"/>
    <w:rsid w:val="004C7D70"/>
    <w:rsid w:val="004D02F9"/>
    <w:rsid w:val="004D03FE"/>
    <w:rsid w:val="004D0446"/>
    <w:rsid w:val="004D08C4"/>
    <w:rsid w:val="004D0F95"/>
    <w:rsid w:val="004D106A"/>
    <w:rsid w:val="004D200F"/>
    <w:rsid w:val="004D2968"/>
    <w:rsid w:val="004D31EE"/>
    <w:rsid w:val="004D3583"/>
    <w:rsid w:val="004D36AF"/>
    <w:rsid w:val="004D3BD1"/>
    <w:rsid w:val="004D4BA1"/>
    <w:rsid w:val="004D584D"/>
    <w:rsid w:val="004D6826"/>
    <w:rsid w:val="004D688C"/>
    <w:rsid w:val="004D7938"/>
    <w:rsid w:val="004E023F"/>
    <w:rsid w:val="004E0742"/>
    <w:rsid w:val="004E0C64"/>
    <w:rsid w:val="004E0F6B"/>
    <w:rsid w:val="004E10ED"/>
    <w:rsid w:val="004E1545"/>
    <w:rsid w:val="004E15E1"/>
    <w:rsid w:val="004E1EC0"/>
    <w:rsid w:val="004E1F1C"/>
    <w:rsid w:val="004E2A35"/>
    <w:rsid w:val="004E323D"/>
    <w:rsid w:val="004E40CE"/>
    <w:rsid w:val="004E42E7"/>
    <w:rsid w:val="004E518D"/>
    <w:rsid w:val="004E5736"/>
    <w:rsid w:val="004E5B36"/>
    <w:rsid w:val="004E6045"/>
    <w:rsid w:val="004E6323"/>
    <w:rsid w:val="004E6DCE"/>
    <w:rsid w:val="004E6F43"/>
    <w:rsid w:val="004E7200"/>
    <w:rsid w:val="004F034D"/>
    <w:rsid w:val="004F091D"/>
    <w:rsid w:val="004F0960"/>
    <w:rsid w:val="004F0A5C"/>
    <w:rsid w:val="004F163F"/>
    <w:rsid w:val="004F18A0"/>
    <w:rsid w:val="004F1A08"/>
    <w:rsid w:val="004F2B0B"/>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092"/>
    <w:rsid w:val="0050062F"/>
    <w:rsid w:val="00500696"/>
    <w:rsid w:val="005012E2"/>
    <w:rsid w:val="0050160F"/>
    <w:rsid w:val="005027C1"/>
    <w:rsid w:val="0050284E"/>
    <w:rsid w:val="005028D1"/>
    <w:rsid w:val="005031B3"/>
    <w:rsid w:val="00504F64"/>
    <w:rsid w:val="005054CB"/>
    <w:rsid w:val="00505DCB"/>
    <w:rsid w:val="0050736B"/>
    <w:rsid w:val="005075CA"/>
    <w:rsid w:val="0051074C"/>
    <w:rsid w:val="00510DE9"/>
    <w:rsid w:val="005111E2"/>
    <w:rsid w:val="00511231"/>
    <w:rsid w:val="00512779"/>
    <w:rsid w:val="00512BC5"/>
    <w:rsid w:val="00512C4F"/>
    <w:rsid w:val="00513042"/>
    <w:rsid w:val="0051334F"/>
    <w:rsid w:val="00513399"/>
    <w:rsid w:val="00513AA0"/>
    <w:rsid w:val="00513AF2"/>
    <w:rsid w:val="00513FA1"/>
    <w:rsid w:val="00514575"/>
    <w:rsid w:val="005145AB"/>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69A0"/>
    <w:rsid w:val="00527E57"/>
    <w:rsid w:val="00530405"/>
    <w:rsid w:val="00530522"/>
    <w:rsid w:val="005305E5"/>
    <w:rsid w:val="00530CC5"/>
    <w:rsid w:val="00530F38"/>
    <w:rsid w:val="005314A4"/>
    <w:rsid w:val="00531AE4"/>
    <w:rsid w:val="00531B91"/>
    <w:rsid w:val="00531F26"/>
    <w:rsid w:val="0053277C"/>
    <w:rsid w:val="005327C0"/>
    <w:rsid w:val="00533101"/>
    <w:rsid w:val="00533CA9"/>
    <w:rsid w:val="005346AD"/>
    <w:rsid w:val="00534EFB"/>
    <w:rsid w:val="00534F60"/>
    <w:rsid w:val="005357F1"/>
    <w:rsid w:val="00535E3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298"/>
    <w:rsid w:val="00551598"/>
    <w:rsid w:val="0055162B"/>
    <w:rsid w:val="00551BFF"/>
    <w:rsid w:val="00551D68"/>
    <w:rsid w:val="00552B3E"/>
    <w:rsid w:val="0055327B"/>
    <w:rsid w:val="00553296"/>
    <w:rsid w:val="005551AA"/>
    <w:rsid w:val="005564CA"/>
    <w:rsid w:val="005568EA"/>
    <w:rsid w:val="00557140"/>
    <w:rsid w:val="00557DAF"/>
    <w:rsid w:val="00560C87"/>
    <w:rsid w:val="00560EF9"/>
    <w:rsid w:val="00560F51"/>
    <w:rsid w:val="00561249"/>
    <w:rsid w:val="0056182B"/>
    <w:rsid w:val="00561AF3"/>
    <w:rsid w:val="00561E0B"/>
    <w:rsid w:val="00562141"/>
    <w:rsid w:val="00562D86"/>
    <w:rsid w:val="005642EC"/>
    <w:rsid w:val="00564520"/>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3DA9"/>
    <w:rsid w:val="00574708"/>
    <w:rsid w:val="00574D81"/>
    <w:rsid w:val="005756AA"/>
    <w:rsid w:val="00576233"/>
    <w:rsid w:val="0057696F"/>
    <w:rsid w:val="00577132"/>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64C"/>
    <w:rsid w:val="00590307"/>
    <w:rsid w:val="00590F1A"/>
    <w:rsid w:val="00591C03"/>
    <w:rsid w:val="00591E2A"/>
    <w:rsid w:val="005920C1"/>
    <w:rsid w:val="005923C4"/>
    <w:rsid w:val="00593F75"/>
    <w:rsid w:val="005940A0"/>
    <w:rsid w:val="0059429A"/>
    <w:rsid w:val="00594F6B"/>
    <w:rsid w:val="00595634"/>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3F1E"/>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5606"/>
    <w:rsid w:val="005B74AD"/>
    <w:rsid w:val="005B7E96"/>
    <w:rsid w:val="005C0429"/>
    <w:rsid w:val="005C084F"/>
    <w:rsid w:val="005C0EE9"/>
    <w:rsid w:val="005C1716"/>
    <w:rsid w:val="005C1954"/>
    <w:rsid w:val="005C1C0B"/>
    <w:rsid w:val="005C2011"/>
    <w:rsid w:val="005C2297"/>
    <w:rsid w:val="005C3044"/>
    <w:rsid w:val="005C3EA3"/>
    <w:rsid w:val="005C5011"/>
    <w:rsid w:val="005C506E"/>
    <w:rsid w:val="005C529E"/>
    <w:rsid w:val="005C57BA"/>
    <w:rsid w:val="005C5C52"/>
    <w:rsid w:val="005C5D3D"/>
    <w:rsid w:val="005C5F05"/>
    <w:rsid w:val="005C65DA"/>
    <w:rsid w:val="005C7F3E"/>
    <w:rsid w:val="005C7FB2"/>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63B"/>
    <w:rsid w:val="005E43BB"/>
    <w:rsid w:val="005E76F1"/>
    <w:rsid w:val="005E79A4"/>
    <w:rsid w:val="005F1D89"/>
    <w:rsid w:val="005F2E0D"/>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47D1"/>
    <w:rsid w:val="006048AA"/>
    <w:rsid w:val="00604969"/>
    <w:rsid w:val="00604A55"/>
    <w:rsid w:val="006057A3"/>
    <w:rsid w:val="00605AC3"/>
    <w:rsid w:val="00606908"/>
    <w:rsid w:val="00607996"/>
    <w:rsid w:val="00607A37"/>
    <w:rsid w:val="00607E9F"/>
    <w:rsid w:val="0061085E"/>
    <w:rsid w:val="00611398"/>
    <w:rsid w:val="0061202B"/>
    <w:rsid w:val="00612322"/>
    <w:rsid w:val="006123C0"/>
    <w:rsid w:val="00612C66"/>
    <w:rsid w:val="00613191"/>
    <w:rsid w:val="006133F9"/>
    <w:rsid w:val="006134B3"/>
    <w:rsid w:val="006138A1"/>
    <w:rsid w:val="00613DE1"/>
    <w:rsid w:val="0061401F"/>
    <w:rsid w:val="00614166"/>
    <w:rsid w:val="00614817"/>
    <w:rsid w:val="006149CC"/>
    <w:rsid w:val="00614AA5"/>
    <w:rsid w:val="006157A9"/>
    <w:rsid w:val="0061591D"/>
    <w:rsid w:val="00615D2F"/>
    <w:rsid w:val="00615ED0"/>
    <w:rsid w:val="0061604C"/>
    <w:rsid w:val="00616C2B"/>
    <w:rsid w:val="00616D91"/>
    <w:rsid w:val="006174FA"/>
    <w:rsid w:val="006178D1"/>
    <w:rsid w:val="00617A80"/>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0AF4"/>
    <w:rsid w:val="00640F62"/>
    <w:rsid w:val="00641078"/>
    <w:rsid w:val="00641242"/>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4EA2"/>
    <w:rsid w:val="00655301"/>
    <w:rsid w:val="00655371"/>
    <w:rsid w:val="00655657"/>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4D0"/>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785"/>
    <w:rsid w:val="00677F26"/>
    <w:rsid w:val="006802A7"/>
    <w:rsid w:val="006811C9"/>
    <w:rsid w:val="006812CE"/>
    <w:rsid w:val="006823DC"/>
    <w:rsid w:val="00682791"/>
    <w:rsid w:val="00682C89"/>
    <w:rsid w:val="006832B8"/>
    <w:rsid w:val="006835EF"/>
    <w:rsid w:val="006837B2"/>
    <w:rsid w:val="00683800"/>
    <w:rsid w:val="00684411"/>
    <w:rsid w:val="00684434"/>
    <w:rsid w:val="00684770"/>
    <w:rsid w:val="00684C8A"/>
    <w:rsid w:val="00684CF5"/>
    <w:rsid w:val="0068553E"/>
    <w:rsid w:val="00685E7B"/>
    <w:rsid w:val="006864EE"/>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68E"/>
    <w:rsid w:val="006A575B"/>
    <w:rsid w:val="006A59DE"/>
    <w:rsid w:val="006A6655"/>
    <w:rsid w:val="006A68F4"/>
    <w:rsid w:val="006A6BF9"/>
    <w:rsid w:val="006A73BC"/>
    <w:rsid w:val="006A7CB5"/>
    <w:rsid w:val="006A7FD0"/>
    <w:rsid w:val="006B025C"/>
    <w:rsid w:val="006B2534"/>
    <w:rsid w:val="006B2B86"/>
    <w:rsid w:val="006B2CB2"/>
    <w:rsid w:val="006B30D3"/>
    <w:rsid w:val="006B347D"/>
    <w:rsid w:val="006B3E19"/>
    <w:rsid w:val="006B4375"/>
    <w:rsid w:val="006B4488"/>
    <w:rsid w:val="006B47D2"/>
    <w:rsid w:val="006B67AC"/>
    <w:rsid w:val="006B786A"/>
    <w:rsid w:val="006B7E4E"/>
    <w:rsid w:val="006C003A"/>
    <w:rsid w:val="006C0409"/>
    <w:rsid w:val="006C2240"/>
    <w:rsid w:val="006C2454"/>
    <w:rsid w:val="006C2551"/>
    <w:rsid w:val="006C37CA"/>
    <w:rsid w:val="006C3ED0"/>
    <w:rsid w:val="006C40D2"/>
    <w:rsid w:val="006C4F4B"/>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49"/>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16E"/>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6F776A"/>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A87"/>
    <w:rsid w:val="00716CAD"/>
    <w:rsid w:val="00716F18"/>
    <w:rsid w:val="00717140"/>
    <w:rsid w:val="00717363"/>
    <w:rsid w:val="00717786"/>
    <w:rsid w:val="00717ACB"/>
    <w:rsid w:val="007205A6"/>
    <w:rsid w:val="0072142B"/>
    <w:rsid w:val="0072168C"/>
    <w:rsid w:val="00721BFF"/>
    <w:rsid w:val="00722D9D"/>
    <w:rsid w:val="00722FD8"/>
    <w:rsid w:val="007236C4"/>
    <w:rsid w:val="00723E85"/>
    <w:rsid w:val="00724635"/>
    <w:rsid w:val="0072554B"/>
    <w:rsid w:val="00725AFD"/>
    <w:rsid w:val="00726603"/>
    <w:rsid w:val="00727DDC"/>
    <w:rsid w:val="00730CD6"/>
    <w:rsid w:val="00730F74"/>
    <w:rsid w:val="0073114B"/>
    <w:rsid w:val="007330C2"/>
    <w:rsid w:val="00733A3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26D"/>
    <w:rsid w:val="0074531C"/>
    <w:rsid w:val="00745322"/>
    <w:rsid w:val="00745547"/>
    <w:rsid w:val="007459D0"/>
    <w:rsid w:val="00745B3F"/>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265F"/>
    <w:rsid w:val="00753BAC"/>
    <w:rsid w:val="00754A0B"/>
    <w:rsid w:val="00754D11"/>
    <w:rsid w:val="007552DB"/>
    <w:rsid w:val="00755B08"/>
    <w:rsid w:val="00755DD0"/>
    <w:rsid w:val="00756068"/>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38F"/>
    <w:rsid w:val="007634AD"/>
    <w:rsid w:val="00766ECC"/>
    <w:rsid w:val="007672F3"/>
    <w:rsid w:val="007677B5"/>
    <w:rsid w:val="007678B1"/>
    <w:rsid w:val="007705E9"/>
    <w:rsid w:val="007708A8"/>
    <w:rsid w:val="007721DC"/>
    <w:rsid w:val="00772275"/>
    <w:rsid w:val="00772CA1"/>
    <w:rsid w:val="007734E4"/>
    <w:rsid w:val="0077380D"/>
    <w:rsid w:val="00773BC8"/>
    <w:rsid w:val="00773EDD"/>
    <w:rsid w:val="0077466F"/>
    <w:rsid w:val="007752B7"/>
    <w:rsid w:val="007759A8"/>
    <w:rsid w:val="00775D98"/>
    <w:rsid w:val="00776FE5"/>
    <w:rsid w:val="00777101"/>
    <w:rsid w:val="007774E7"/>
    <w:rsid w:val="0077768C"/>
    <w:rsid w:val="00777696"/>
    <w:rsid w:val="007779A7"/>
    <w:rsid w:val="00777FF4"/>
    <w:rsid w:val="00780251"/>
    <w:rsid w:val="007804FE"/>
    <w:rsid w:val="00780F32"/>
    <w:rsid w:val="0078122E"/>
    <w:rsid w:val="00781939"/>
    <w:rsid w:val="00781D29"/>
    <w:rsid w:val="007825EF"/>
    <w:rsid w:val="0078286B"/>
    <w:rsid w:val="00782D2C"/>
    <w:rsid w:val="00782FC2"/>
    <w:rsid w:val="00783908"/>
    <w:rsid w:val="00784FC4"/>
    <w:rsid w:val="007856FA"/>
    <w:rsid w:val="00785BBB"/>
    <w:rsid w:val="00786FAD"/>
    <w:rsid w:val="007873C9"/>
    <w:rsid w:val="00787D90"/>
    <w:rsid w:val="00787F5E"/>
    <w:rsid w:val="00790164"/>
    <w:rsid w:val="007906E2"/>
    <w:rsid w:val="00790A24"/>
    <w:rsid w:val="00790A37"/>
    <w:rsid w:val="00790A60"/>
    <w:rsid w:val="007911AC"/>
    <w:rsid w:val="007911D2"/>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23B2"/>
    <w:rsid w:val="007A38A1"/>
    <w:rsid w:val="007A3967"/>
    <w:rsid w:val="007A3BBE"/>
    <w:rsid w:val="007A3E3D"/>
    <w:rsid w:val="007A4766"/>
    <w:rsid w:val="007A5816"/>
    <w:rsid w:val="007A5947"/>
    <w:rsid w:val="007A5B3F"/>
    <w:rsid w:val="007A731E"/>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228"/>
    <w:rsid w:val="007C55FF"/>
    <w:rsid w:val="007C6339"/>
    <w:rsid w:val="007C76FB"/>
    <w:rsid w:val="007C7C43"/>
    <w:rsid w:val="007C7F0D"/>
    <w:rsid w:val="007D1134"/>
    <w:rsid w:val="007D23F7"/>
    <w:rsid w:val="007D2566"/>
    <w:rsid w:val="007D2C18"/>
    <w:rsid w:val="007D2D74"/>
    <w:rsid w:val="007D32A7"/>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0F16"/>
    <w:rsid w:val="007F10CC"/>
    <w:rsid w:val="007F14D3"/>
    <w:rsid w:val="007F1D9D"/>
    <w:rsid w:val="007F1E28"/>
    <w:rsid w:val="007F1F63"/>
    <w:rsid w:val="007F22A0"/>
    <w:rsid w:val="007F2CD8"/>
    <w:rsid w:val="007F2F90"/>
    <w:rsid w:val="007F2FB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A2A"/>
    <w:rsid w:val="00802F9E"/>
    <w:rsid w:val="0080311E"/>
    <w:rsid w:val="00803700"/>
    <w:rsid w:val="00803D9D"/>
    <w:rsid w:val="00804A75"/>
    <w:rsid w:val="00805979"/>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84A"/>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661"/>
    <w:rsid w:val="00827CC0"/>
    <w:rsid w:val="00831026"/>
    <w:rsid w:val="0083119B"/>
    <w:rsid w:val="0083139D"/>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C0D"/>
    <w:rsid w:val="00837D82"/>
    <w:rsid w:val="00840893"/>
    <w:rsid w:val="00840E88"/>
    <w:rsid w:val="0084104F"/>
    <w:rsid w:val="00841454"/>
    <w:rsid w:val="008421FE"/>
    <w:rsid w:val="008423EC"/>
    <w:rsid w:val="00843060"/>
    <w:rsid w:val="008432E8"/>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74E"/>
    <w:rsid w:val="00864827"/>
    <w:rsid w:val="00864E11"/>
    <w:rsid w:val="008650BE"/>
    <w:rsid w:val="0086519C"/>
    <w:rsid w:val="0086633B"/>
    <w:rsid w:val="00866495"/>
    <w:rsid w:val="00866931"/>
    <w:rsid w:val="00867512"/>
    <w:rsid w:val="0087033C"/>
    <w:rsid w:val="00870B44"/>
    <w:rsid w:val="008715ED"/>
    <w:rsid w:val="008717D8"/>
    <w:rsid w:val="0087190F"/>
    <w:rsid w:val="00871E3C"/>
    <w:rsid w:val="00872F97"/>
    <w:rsid w:val="00873863"/>
    <w:rsid w:val="00874607"/>
    <w:rsid w:val="00874915"/>
    <w:rsid w:val="0087496E"/>
    <w:rsid w:val="00874B89"/>
    <w:rsid w:val="00875403"/>
    <w:rsid w:val="00875434"/>
    <w:rsid w:val="00876123"/>
    <w:rsid w:val="00876215"/>
    <w:rsid w:val="0087646C"/>
    <w:rsid w:val="00876815"/>
    <w:rsid w:val="00876B20"/>
    <w:rsid w:val="00877932"/>
    <w:rsid w:val="008808C7"/>
    <w:rsid w:val="0088106B"/>
    <w:rsid w:val="0088107D"/>
    <w:rsid w:val="0088168A"/>
    <w:rsid w:val="00881E64"/>
    <w:rsid w:val="00882986"/>
    <w:rsid w:val="00882E39"/>
    <w:rsid w:val="008843C2"/>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1DA"/>
    <w:rsid w:val="008935CF"/>
    <w:rsid w:val="00893750"/>
    <w:rsid w:val="00894436"/>
    <w:rsid w:val="008949A2"/>
    <w:rsid w:val="00894BB1"/>
    <w:rsid w:val="008950CB"/>
    <w:rsid w:val="008951D0"/>
    <w:rsid w:val="00895509"/>
    <w:rsid w:val="0089582D"/>
    <w:rsid w:val="008959C6"/>
    <w:rsid w:val="00895C87"/>
    <w:rsid w:val="0089606D"/>
    <w:rsid w:val="00896129"/>
    <w:rsid w:val="008965DF"/>
    <w:rsid w:val="0089774F"/>
    <w:rsid w:val="00897875"/>
    <w:rsid w:val="00897B8F"/>
    <w:rsid w:val="00897E1B"/>
    <w:rsid w:val="00897EF3"/>
    <w:rsid w:val="008A00D8"/>
    <w:rsid w:val="008A00D9"/>
    <w:rsid w:val="008A01F6"/>
    <w:rsid w:val="008A07D5"/>
    <w:rsid w:val="008A2A23"/>
    <w:rsid w:val="008A2AF5"/>
    <w:rsid w:val="008A2B5A"/>
    <w:rsid w:val="008A365A"/>
    <w:rsid w:val="008A3F9D"/>
    <w:rsid w:val="008A4155"/>
    <w:rsid w:val="008A5474"/>
    <w:rsid w:val="008A589A"/>
    <w:rsid w:val="008A5C9A"/>
    <w:rsid w:val="008A6144"/>
    <w:rsid w:val="008A6A55"/>
    <w:rsid w:val="008A6DF0"/>
    <w:rsid w:val="008A6F6E"/>
    <w:rsid w:val="008A7888"/>
    <w:rsid w:val="008A796E"/>
    <w:rsid w:val="008B0052"/>
    <w:rsid w:val="008B0862"/>
    <w:rsid w:val="008B088C"/>
    <w:rsid w:val="008B1BF5"/>
    <w:rsid w:val="008B263F"/>
    <w:rsid w:val="008B2DB5"/>
    <w:rsid w:val="008B436A"/>
    <w:rsid w:val="008B47A6"/>
    <w:rsid w:val="008B672C"/>
    <w:rsid w:val="008B6C57"/>
    <w:rsid w:val="008B74BF"/>
    <w:rsid w:val="008C0178"/>
    <w:rsid w:val="008C036D"/>
    <w:rsid w:val="008C0743"/>
    <w:rsid w:val="008C0B4C"/>
    <w:rsid w:val="008C11F0"/>
    <w:rsid w:val="008C1DBA"/>
    <w:rsid w:val="008C24E7"/>
    <w:rsid w:val="008C2500"/>
    <w:rsid w:val="008C2B54"/>
    <w:rsid w:val="008C2CAC"/>
    <w:rsid w:val="008C3E2A"/>
    <w:rsid w:val="008C3F42"/>
    <w:rsid w:val="008C45BD"/>
    <w:rsid w:val="008C4B19"/>
    <w:rsid w:val="008C568F"/>
    <w:rsid w:val="008C62D4"/>
    <w:rsid w:val="008C6B89"/>
    <w:rsid w:val="008D175A"/>
    <w:rsid w:val="008D18AA"/>
    <w:rsid w:val="008D1A2A"/>
    <w:rsid w:val="008D226C"/>
    <w:rsid w:val="008D286D"/>
    <w:rsid w:val="008D2894"/>
    <w:rsid w:val="008D29B1"/>
    <w:rsid w:val="008D35D9"/>
    <w:rsid w:val="008D3B85"/>
    <w:rsid w:val="008D3C72"/>
    <w:rsid w:val="008D462D"/>
    <w:rsid w:val="008D5DA2"/>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858"/>
    <w:rsid w:val="008F2E8D"/>
    <w:rsid w:val="008F387B"/>
    <w:rsid w:val="008F3DD9"/>
    <w:rsid w:val="008F4737"/>
    <w:rsid w:val="008F4814"/>
    <w:rsid w:val="008F4DA6"/>
    <w:rsid w:val="008F538E"/>
    <w:rsid w:val="008F5A20"/>
    <w:rsid w:val="008F5ABA"/>
    <w:rsid w:val="008F60F7"/>
    <w:rsid w:val="008F6A4C"/>
    <w:rsid w:val="008F7905"/>
    <w:rsid w:val="008F7989"/>
    <w:rsid w:val="00902207"/>
    <w:rsid w:val="009026AF"/>
    <w:rsid w:val="009028E8"/>
    <w:rsid w:val="00902E5C"/>
    <w:rsid w:val="00903451"/>
    <w:rsid w:val="0090350D"/>
    <w:rsid w:val="009046E5"/>
    <w:rsid w:val="009047C5"/>
    <w:rsid w:val="00910683"/>
    <w:rsid w:val="00910E00"/>
    <w:rsid w:val="009116CE"/>
    <w:rsid w:val="00911714"/>
    <w:rsid w:val="00911A5B"/>
    <w:rsid w:val="00911D18"/>
    <w:rsid w:val="00913396"/>
    <w:rsid w:val="009136D4"/>
    <w:rsid w:val="00914B9A"/>
    <w:rsid w:val="00914C3F"/>
    <w:rsid w:val="00914F33"/>
    <w:rsid w:val="009153F6"/>
    <w:rsid w:val="00915863"/>
    <w:rsid w:val="00915A59"/>
    <w:rsid w:val="00915CD2"/>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A6E"/>
    <w:rsid w:val="00931BF3"/>
    <w:rsid w:val="00931C55"/>
    <w:rsid w:val="00932844"/>
    <w:rsid w:val="00933333"/>
    <w:rsid w:val="0093349A"/>
    <w:rsid w:val="009337B2"/>
    <w:rsid w:val="00933FCB"/>
    <w:rsid w:val="00934C79"/>
    <w:rsid w:val="00934E64"/>
    <w:rsid w:val="00934E69"/>
    <w:rsid w:val="00935D46"/>
    <w:rsid w:val="009367D5"/>
    <w:rsid w:val="00937401"/>
    <w:rsid w:val="00937581"/>
    <w:rsid w:val="009376FB"/>
    <w:rsid w:val="00937D6B"/>
    <w:rsid w:val="00940477"/>
    <w:rsid w:val="00940876"/>
    <w:rsid w:val="00940A53"/>
    <w:rsid w:val="00940F3C"/>
    <w:rsid w:val="009410E0"/>
    <w:rsid w:val="00942181"/>
    <w:rsid w:val="009432DF"/>
    <w:rsid w:val="009444B4"/>
    <w:rsid w:val="00944644"/>
    <w:rsid w:val="0094513A"/>
    <w:rsid w:val="009460F9"/>
    <w:rsid w:val="00946A24"/>
    <w:rsid w:val="009470D4"/>
    <w:rsid w:val="00947337"/>
    <w:rsid w:val="009478CA"/>
    <w:rsid w:val="00947A24"/>
    <w:rsid w:val="0095048F"/>
    <w:rsid w:val="009512FA"/>
    <w:rsid w:val="00951DA4"/>
    <w:rsid w:val="00951E57"/>
    <w:rsid w:val="00953018"/>
    <w:rsid w:val="009533E2"/>
    <w:rsid w:val="00953554"/>
    <w:rsid w:val="0095385A"/>
    <w:rsid w:val="00953928"/>
    <w:rsid w:val="00953F56"/>
    <w:rsid w:val="00954D22"/>
    <w:rsid w:val="00956226"/>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5375"/>
    <w:rsid w:val="00966214"/>
    <w:rsid w:val="00967DA0"/>
    <w:rsid w:val="00971441"/>
    <w:rsid w:val="009715D4"/>
    <w:rsid w:val="0097221F"/>
    <w:rsid w:val="009739A9"/>
    <w:rsid w:val="00973AA2"/>
    <w:rsid w:val="0097494E"/>
    <w:rsid w:val="00974B58"/>
    <w:rsid w:val="009761ED"/>
    <w:rsid w:val="009801E7"/>
    <w:rsid w:val="0098022F"/>
    <w:rsid w:val="00981054"/>
    <w:rsid w:val="009810DE"/>
    <w:rsid w:val="009822D7"/>
    <w:rsid w:val="009827E6"/>
    <w:rsid w:val="00982B76"/>
    <w:rsid w:val="00982F84"/>
    <w:rsid w:val="00983883"/>
    <w:rsid w:val="0098427D"/>
    <w:rsid w:val="00984567"/>
    <w:rsid w:val="00984CCB"/>
    <w:rsid w:val="00985102"/>
    <w:rsid w:val="009865D5"/>
    <w:rsid w:val="009876F2"/>
    <w:rsid w:val="00987C77"/>
    <w:rsid w:val="009900D4"/>
    <w:rsid w:val="00990345"/>
    <w:rsid w:val="00990701"/>
    <w:rsid w:val="0099119C"/>
    <w:rsid w:val="0099137A"/>
    <w:rsid w:val="0099211C"/>
    <w:rsid w:val="00993B78"/>
    <w:rsid w:val="00993F20"/>
    <w:rsid w:val="00994074"/>
    <w:rsid w:val="009942FC"/>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2435"/>
    <w:rsid w:val="009A33EF"/>
    <w:rsid w:val="009A35DC"/>
    <w:rsid w:val="009A38AB"/>
    <w:rsid w:val="009A3CFB"/>
    <w:rsid w:val="009A3D47"/>
    <w:rsid w:val="009A4D63"/>
    <w:rsid w:val="009A4DD2"/>
    <w:rsid w:val="009A5356"/>
    <w:rsid w:val="009A5468"/>
    <w:rsid w:val="009A5D99"/>
    <w:rsid w:val="009A608C"/>
    <w:rsid w:val="009A6CA7"/>
    <w:rsid w:val="009A6FDF"/>
    <w:rsid w:val="009A76D6"/>
    <w:rsid w:val="009B199E"/>
    <w:rsid w:val="009B23CB"/>
    <w:rsid w:val="009B2D60"/>
    <w:rsid w:val="009B2E29"/>
    <w:rsid w:val="009B3163"/>
    <w:rsid w:val="009B3C2B"/>
    <w:rsid w:val="009B422F"/>
    <w:rsid w:val="009B46BC"/>
    <w:rsid w:val="009B4D1A"/>
    <w:rsid w:val="009B558B"/>
    <w:rsid w:val="009B6801"/>
    <w:rsid w:val="009B6D21"/>
    <w:rsid w:val="009B76E9"/>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365"/>
    <w:rsid w:val="009D789A"/>
    <w:rsid w:val="009D7ADB"/>
    <w:rsid w:val="009D7B33"/>
    <w:rsid w:val="009E0703"/>
    <w:rsid w:val="009E0D67"/>
    <w:rsid w:val="009E16DA"/>
    <w:rsid w:val="009E1B04"/>
    <w:rsid w:val="009E1CD4"/>
    <w:rsid w:val="009E2391"/>
    <w:rsid w:val="009E3BF7"/>
    <w:rsid w:val="009E4041"/>
    <w:rsid w:val="009E476A"/>
    <w:rsid w:val="009E4E05"/>
    <w:rsid w:val="009E56FF"/>
    <w:rsid w:val="009E5BD5"/>
    <w:rsid w:val="009E5CB1"/>
    <w:rsid w:val="009E5E56"/>
    <w:rsid w:val="009E61EA"/>
    <w:rsid w:val="009E6594"/>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96B"/>
    <w:rsid w:val="009F7F32"/>
    <w:rsid w:val="009F7FEB"/>
    <w:rsid w:val="00A0117E"/>
    <w:rsid w:val="00A013CE"/>
    <w:rsid w:val="00A01852"/>
    <w:rsid w:val="00A0188B"/>
    <w:rsid w:val="00A01974"/>
    <w:rsid w:val="00A01E73"/>
    <w:rsid w:val="00A023E7"/>
    <w:rsid w:val="00A02B88"/>
    <w:rsid w:val="00A02F84"/>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AE6"/>
    <w:rsid w:val="00A15C19"/>
    <w:rsid w:val="00A16809"/>
    <w:rsid w:val="00A17769"/>
    <w:rsid w:val="00A17EA2"/>
    <w:rsid w:val="00A201BE"/>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469F5"/>
    <w:rsid w:val="00A500B1"/>
    <w:rsid w:val="00A50C4D"/>
    <w:rsid w:val="00A5241B"/>
    <w:rsid w:val="00A52D3F"/>
    <w:rsid w:val="00A52EE5"/>
    <w:rsid w:val="00A52EF0"/>
    <w:rsid w:val="00A53037"/>
    <w:rsid w:val="00A532B9"/>
    <w:rsid w:val="00A5351D"/>
    <w:rsid w:val="00A53E79"/>
    <w:rsid w:val="00A54031"/>
    <w:rsid w:val="00A5426D"/>
    <w:rsid w:val="00A54F6E"/>
    <w:rsid w:val="00A54FC2"/>
    <w:rsid w:val="00A55122"/>
    <w:rsid w:val="00A56DE7"/>
    <w:rsid w:val="00A57EB2"/>
    <w:rsid w:val="00A6009E"/>
    <w:rsid w:val="00A604E5"/>
    <w:rsid w:val="00A60912"/>
    <w:rsid w:val="00A60B1F"/>
    <w:rsid w:val="00A6191A"/>
    <w:rsid w:val="00A61C60"/>
    <w:rsid w:val="00A61DEB"/>
    <w:rsid w:val="00A62589"/>
    <w:rsid w:val="00A62C3A"/>
    <w:rsid w:val="00A63812"/>
    <w:rsid w:val="00A63DF7"/>
    <w:rsid w:val="00A64363"/>
    <w:rsid w:val="00A64505"/>
    <w:rsid w:val="00A64DA9"/>
    <w:rsid w:val="00A668BA"/>
    <w:rsid w:val="00A66FA7"/>
    <w:rsid w:val="00A67E16"/>
    <w:rsid w:val="00A703CC"/>
    <w:rsid w:val="00A70C5C"/>
    <w:rsid w:val="00A71594"/>
    <w:rsid w:val="00A71EA7"/>
    <w:rsid w:val="00A721C8"/>
    <w:rsid w:val="00A72867"/>
    <w:rsid w:val="00A730AD"/>
    <w:rsid w:val="00A73855"/>
    <w:rsid w:val="00A73A0A"/>
    <w:rsid w:val="00A73D64"/>
    <w:rsid w:val="00A74216"/>
    <w:rsid w:val="00A742DF"/>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2CC7"/>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489"/>
    <w:rsid w:val="00A9766C"/>
    <w:rsid w:val="00A977F8"/>
    <w:rsid w:val="00A97C93"/>
    <w:rsid w:val="00AA08E7"/>
    <w:rsid w:val="00AA0A06"/>
    <w:rsid w:val="00AA0F25"/>
    <w:rsid w:val="00AA1351"/>
    <w:rsid w:val="00AA16AD"/>
    <w:rsid w:val="00AA1C84"/>
    <w:rsid w:val="00AA3D7B"/>
    <w:rsid w:val="00AA42A0"/>
    <w:rsid w:val="00AA4361"/>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1DDF"/>
    <w:rsid w:val="00AB2216"/>
    <w:rsid w:val="00AB2925"/>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4FDE"/>
    <w:rsid w:val="00AC56F2"/>
    <w:rsid w:val="00AC644E"/>
    <w:rsid w:val="00AC6886"/>
    <w:rsid w:val="00AC71C3"/>
    <w:rsid w:val="00AC76FC"/>
    <w:rsid w:val="00AD1E16"/>
    <w:rsid w:val="00AD1EFA"/>
    <w:rsid w:val="00AD2072"/>
    <w:rsid w:val="00AD2204"/>
    <w:rsid w:val="00AD2DBD"/>
    <w:rsid w:val="00AD2FBF"/>
    <w:rsid w:val="00AD455D"/>
    <w:rsid w:val="00AD463C"/>
    <w:rsid w:val="00AD46A2"/>
    <w:rsid w:val="00AD484C"/>
    <w:rsid w:val="00AD4F60"/>
    <w:rsid w:val="00AD5044"/>
    <w:rsid w:val="00AD5114"/>
    <w:rsid w:val="00AD6236"/>
    <w:rsid w:val="00AD682C"/>
    <w:rsid w:val="00AD7619"/>
    <w:rsid w:val="00AD7770"/>
    <w:rsid w:val="00AE1772"/>
    <w:rsid w:val="00AE1990"/>
    <w:rsid w:val="00AE25E8"/>
    <w:rsid w:val="00AE2AD4"/>
    <w:rsid w:val="00AE2CA7"/>
    <w:rsid w:val="00AE2F1D"/>
    <w:rsid w:val="00AE4580"/>
    <w:rsid w:val="00AE586F"/>
    <w:rsid w:val="00AE6582"/>
    <w:rsid w:val="00AE6DC5"/>
    <w:rsid w:val="00AE7686"/>
    <w:rsid w:val="00AE7760"/>
    <w:rsid w:val="00AE799A"/>
    <w:rsid w:val="00AF0E81"/>
    <w:rsid w:val="00AF117A"/>
    <w:rsid w:val="00AF186E"/>
    <w:rsid w:val="00AF19DF"/>
    <w:rsid w:val="00AF26CF"/>
    <w:rsid w:val="00AF2AC2"/>
    <w:rsid w:val="00AF4E92"/>
    <w:rsid w:val="00AF554B"/>
    <w:rsid w:val="00AF5C9B"/>
    <w:rsid w:val="00AF5D53"/>
    <w:rsid w:val="00AF5E2D"/>
    <w:rsid w:val="00AF644B"/>
    <w:rsid w:val="00AF6CA6"/>
    <w:rsid w:val="00AF6EB6"/>
    <w:rsid w:val="00AF7796"/>
    <w:rsid w:val="00B011A9"/>
    <w:rsid w:val="00B024ED"/>
    <w:rsid w:val="00B02E47"/>
    <w:rsid w:val="00B02EB3"/>
    <w:rsid w:val="00B02FCB"/>
    <w:rsid w:val="00B033F8"/>
    <w:rsid w:val="00B03C1E"/>
    <w:rsid w:val="00B04400"/>
    <w:rsid w:val="00B04835"/>
    <w:rsid w:val="00B04BFF"/>
    <w:rsid w:val="00B05A55"/>
    <w:rsid w:val="00B05DE1"/>
    <w:rsid w:val="00B06595"/>
    <w:rsid w:val="00B0787B"/>
    <w:rsid w:val="00B10109"/>
    <w:rsid w:val="00B1085E"/>
    <w:rsid w:val="00B10FD1"/>
    <w:rsid w:val="00B12735"/>
    <w:rsid w:val="00B129C6"/>
    <w:rsid w:val="00B13386"/>
    <w:rsid w:val="00B13533"/>
    <w:rsid w:val="00B13C48"/>
    <w:rsid w:val="00B13E35"/>
    <w:rsid w:val="00B13EC0"/>
    <w:rsid w:val="00B14102"/>
    <w:rsid w:val="00B145C8"/>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7007"/>
    <w:rsid w:val="00B27026"/>
    <w:rsid w:val="00B27875"/>
    <w:rsid w:val="00B3008D"/>
    <w:rsid w:val="00B308DF"/>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9ED"/>
    <w:rsid w:val="00B41D39"/>
    <w:rsid w:val="00B420BA"/>
    <w:rsid w:val="00B42231"/>
    <w:rsid w:val="00B422C0"/>
    <w:rsid w:val="00B426CA"/>
    <w:rsid w:val="00B426E1"/>
    <w:rsid w:val="00B42A66"/>
    <w:rsid w:val="00B437F8"/>
    <w:rsid w:val="00B4387A"/>
    <w:rsid w:val="00B44260"/>
    <w:rsid w:val="00B44746"/>
    <w:rsid w:val="00B44854"/>
    <w:rsid w:val="00B44871"/>
    <w:rsid w:val="00B458D0"/>
    <w:rsid w:val="00B45DE0"/>
    <w:rsid w:val="00B4792C"/>
    <w:rsid w:val="00B50CAE"/>
    <w:rsid w:val="00B512AD"/>
    <w:rsid w:val="00B5196C"/>
    <w:rsid w:val="00B525CB"/>
    <w:rsid w:val="00B52697"/>
    <w:rsid w:val="00B53EA6"/>
    <w:rsid w:val="00B5411A"/>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872"/>
    <w:rsid w:val="00B63CB2"/>
    <w:rsid w:val="00B6416D"/>
    <w:rsid w:val="00B64246"/>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B2"/>
    <w:rsid w:val="00B73BFE"/>
    <w:rsid w:val="00B73C7C"/>
    <w:rsid w:val="00B7423D"/>
    <w:rsid w:val="00B74D05"/>
    <w:rsid w:val="00B75496"/>
    <w:rsid w:val="00B76819"/>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4A6B"/>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FC5"/>
    <w:rsid w:val="00BA4771"/>
    <w:rsid w:val="00BA5027"/>
    <w:rsid w:val="00BA665B"/>
    <w:rsid w:val="00BA68C3"/>
    <w:rsid w:val="00BA7370"/>
    <w:rsid w:val="00BA753D"/>
    <w:rsid w:val="00BA778B"/>
    <w:rsid w:val="00BB0888"/>
    <w:rsid w:val="00BB0DF1"/>
    <w:rsid w:val="00BB0E9B"/>
    <w:rsid w:val="00BB164A"/>
    <w:rsid w:val="00BB2841"/>
    <w:rsid w:val="00BB300F"/>
    <w:rsid w:val="00BB32C9"/>
    <w:rsid w:val="00BB35C5"/>
    <w:rsid w:val="00BB4278"/>
    <w:rsid w:val="00BB4C8E"/>
    <w:rsid w:val="00BB57ED"/>
    <w:rsid w:val="00BB5993"/>
    <w:rsid w:val="00BB65C3"/>
    <w:rsid w:val="00BB662E"/>
    <w:rsid w:val="00BB67A9"/>
    <w:rsid w:val="00BB6C01"/>
    <w:rsid w:val="00BB7222"/>
    <w:rsid w:val="00BB7942"/>
    <w:rsid w:val="00BB7CD1"/>
    <w:rsid w:val="00BC0F33"/>
    <w:rsid w:val="00BC14A7"/>
    <w:rsid w:val="00BC17CC"/>
    <w:rsid w:val="00BC229E"/>
    <w:rsid w:val="00BC2898"/>
    <w:rsid w:val="00BC2928"/>
    <w:rsid w:val="00BC2BB1"/>
    <w:rsid w:val="00BC3300"/>
    <w:rsid w:val="00BC34A3"/>
    <w:rsid w:val="00BC3FF9"/>
    <w:rsid w:val="00BC4834"/>
    <w:rsid w:val="00BC4A97"/>
    <w:rsid w:val="00BC5A25"/>
    <w:rsid w:val="00BC5FDD"/>
    <w:rsid w:val="00BC68B4"/>
    <w:rsid w:val="00BC6D69"/>
    <w:rsid w:val="00BD0140"/>
    <w:rsid w:val="00BD02CC"/>
    <w:rsid w:val="00BD1675"/>
    <w:rsid w:val="00BD2063"/>
    <w:rsid w:val="00BD2B17"/>
    <w:rsid w:val="00BD33D9"/>
    <w:rsid w:val="00BD3667"/>
    <w:rsid w:val="00BD38C5"/>
    <w:rsid w:val="00BD3CF1"/>
    <w:rsid w:val="00BD3DEA"/>
    <w:rsid w:val="00BD3E97"/>
    <w:rsid w:val="00BD40E4"/>
    <w:rsid w:val="00BD52FE"/>
    <w:rsid w:val="00BD62CF"/>
    <w:rsid w:val="00BD67B2"/>
    <w:rsid w:val="00BD77E5"/>
    <w:rsid w:val="00BD78AB"/>
    <w:rsid w:val="00BD78FE"/>
    <w:rsid w:val="00BE0149"/>
    <w:rsid w:val="00BE0767"/>
    <w:rsid w:val="00BE12D7"/>
    <w:rsid w:val="00BE1372"/>
    <w:rsid w:val="00BE1775"/>
    <w:rsid w:val="00BE18DA"/>
    <w:rsid w:val="00BE26C0"/>
    <w:rsid w:val="00BE2C63"/>
    <w:rsid w:val="00BE31BF"/>
    <w:rsid w:val="00BE3442"/>
    <w:rsid w:val="00BE36F2"/>
    <w:rsid w:val="00BE45DF"/>
    <w:rsid w:val="00BE4717"/>
    <w:rsid w:val="00BE47B2"/>
    <w:rsid w:val="00BE4803"/>
    <w:rsid w:val="00BE48C7"/>
    <w:rsid w:val="00BE4F66"/>
    <w:rsid w:val="00BE5238"/>
    <w:rsid w:val="00BE59E9"/>
    <w:rsid w:val="00BE6074"/>
    <w:rsid w:val="00BE7257"/>
    <w:rsid w:val="00BE77E7"/>
    <w:rsid w:val="00BE7BD6"/>
    <w:rsid w:val="00BF020D"/>
    <w:rsid w:val="00BF0E66"/>
    <w:rsid w:val="00BF1DD2"/>
    <w:rsid w:val="00BF23A3"/>
    <w:rsid w:val="00BF2A7E"/>
    <w:rsid w:val="00BF3331"/>
    <w:rsid w:val="00BF3A45"/>
    <w:rsid w:val="00BF436F"/>
    <w:rsid w:val="00BF55F0"/>
    <w:rsid w:val="00BF5723"/>
    <w:rsid w:val="00BF5C05"/>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43F5"/>
    <w:rsid w:val="00C044E3"/>
    <w:rsid w:val="00C04BDB"/>
    <w:rsid w:val="00C052C6"/>
    <w:rsid w:val="00C05A61"/>
    <w:rsid w:val="00C0633F"/>
    <w:rsid w:val="00C0642D"/>
    <w:rsid w:val="00C06CCF"/>
    <w:rsid w:val="00C108B8"/>
    <w:rsid w:val="00C11503"/>
    <w:rsid w:val="00C1159D"/>
    <w:rsid w:val="00C11683"/>
    <w:rsid w:val="00C118DB"/>
    <w:rsid w:val="00C1233E"/>
    <w:rsid w:val="00C125C1"/>
    <w:rsid w:val="00C12868"/>
    <w:rsid w:val="00C12FB3"/>
    <w:rsid w:val="00C138BC"/>
    <w:rsid w:val="00C13D85"/>
    <w:rsid w:val="00C14639"/>
    <w:rsid w:val="00C14E82"/>
    <w:rsid w:val="00C14FF6"/>
    <w:rsid w:val="00C15A85"/>
    <w:rsid w:val="00C1641B"/>
    <w:rsid w:val="00C165FC"/>
    <w:rsid w:val="00C16779"/>
    <w:rsid w:val="00C176D5"/>
    <w:rsid w:val="00C202A2"/>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67AD"/>
    <w:rsid w:val="00C26EEB"/>
    <w:rsid w:val="00C27143"/>
    <w:rsid w:val="00C273C9"/>
    <w:rsid w:val="00C27490"/>
    <w:rsid w:val="00C27A55"/>
    <w:rsid w:val="00C27D37"/>
    <w:rsid w:val="00C27DD5"/>
    <w:rsid w:val="00C302E5"/>
    <w:rsid w:val="00C306C6"/>
    <w:rsid w:val="00C309E8"/>
    <w:rsid w:val="00C32017"/>
    <w:rsid w:val="00C322D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D02"/>
    <w:rsid w:val="00C41E6A"/>
    <w:rsid w:val="00C42247"/>
    <w:rsid w:val="00C439BE"/>
    <w:rsid w:val="00C44E61"/>
    <w:rsid w:val="00C4539B"/>
    <w:rsid w:val="00C45466"/>
    <w:rsid w:val="00C455C1"/>
    <w:rsid w:val="00C4579A"/>
    <w:rsid w:val="00C4581D"/>
    <w:rsid w:val="00C46032"/>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134"/>
    <w:rsid w:val="00C6325B"/>
    <w:rsid w:val="00C63E99"/>
    <w:rsid w:val="00C64161"/>
    <w:rsid w:val="00C64183"/>
    <w:rsid w:val="00C641BD"/>
    <w:rsid w:val="00C649B8"/>
    <w:rsid w:val="00C649D5"/>
    <w:rsid w:val="00C64A64"/>
    <w:rsid w:val="00C65151"/>
    <w:rsid w:val="00C657F4"/>
    <w:rsid w:val="00C66119"/>
    <w:rsid w:val="00C66292"/>
    <w:rsid w:val="00C672A3"/>
    <w:rsid w:val="00C672F1"/>
    <w:rsid w:val="00C673D0"/>
    <w:rsid w:val="00C6742E"/>
    <w:rsid w:val="00C70012"/>
    <w:rsid w:val="00C70C9C"/>
    <w:rsid w:val="00C71E2A"/>
    <w:rsid w:val="00C7309C"/>
    <w:rsid w:val="00C733BA"/>
    <w:rsid w:val="00C74BAD"/>
    <w:rsid w:val="00C760DC"/>
    <w:rsid w:val="00C77609"/>
    <w:rsid w:val="00C8082B"/>
    <w:rsid w:val="00C80B8D"/>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2C9"/>
    <w:rsid w:val="00CA4D82"/>
    <w:rsid w:val="00CA5520"/>
    <w:rsid w:val="00CA5812"/>
    <w:rsid w:val="00CA5B7F"/>
    <w:rsid w:val="00CA5BD4"/>
    <w:rsid w:val="00CA5C14"/>
    <w:rsid w:val="00CA722E"/>
    <w:rsid w:val="00CA76FC"/>
    <w:rsid w:val="00CA7E7B"/>
    <w:rsid w:val="00CB0236"/>
    <w:rsid w:val="00CB0F0A"/>
    <w:rsid w:val="00CB1231"/>
    <w:rsid w:val="00CB172E"/>
    <w:rsid w:val="00CB19E3"/>
    <w:rsid w:val="00CB2C3A"/>
    <w:rsid w:val="00CB2D38"/>
    <w:rsid w:val="00CB4137"/>
    <w:rsid w:val="00CB495E"/>
    <w:rsid w:val="00CB52D0"/>
    <w:rsid w:val="00CB5578"/>
    <w:rsid w:val="00CB5671"/>
    <w:rsid w:val="00CB591C"/>
    <w:rsid w:val="00CB5943"/>
    <w:rsid w:val="00CB61B3"/>
    <w:rsid w:val="00CB6616"/>
    <w:rsid w:val="00CB6E4D"/>
    <w:rsid w:val="00CB6F83"/>
    <w:rsid w:val="00CB71D3"/>
    <w:rsid w:val="00CB72AE"/>
    <w:rsid w:val="00CB78AD"/>
    <w:rsid w:val="00CB7E84"/>
    <w:rsid w:val="00CB7FDE"/>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A1D"/>
    <w:rsid w:val="00CC4E5D"/>
    <w:rsid w:val="00CC50AE"/>
    <w:rsid w:val="00CC61B7"/>
    <w:rsid w:val="00CC61CA"/>
    <w:rsid w:val="00CC69EC"/>
    <w:rsid w:val="00CC71D3"/>
    <w:rsid w:val="00CC743D"/>
    <w:rsid w:val="00CD050A"/>
    <w:rsid w:val="00CD205D"/>
    <w:rsid w:val="00CD275C"/>
    <w:rsid w:val="00CD2A22"/>
    <w:rsid w:val="00CD2B50"/>
    <w:rsid w:val="00CD37FB"/>
    <w:rsid w:val="00CD44CB"/>
    <w:rsid w:val="00CD4506"/>
    <w:rsid w:val="00CD520B"/>
    <w:rsid w:val="00CD592E"/>
    <w:rsid w:val="00CD5982"/>
    <w:rsid w:val="00CD5A1A"/>
    <w:rsid w:val="00CD7EFA"/>
    <w:rsid w:val="00CD7EFC"/>
    <w:rsid w:val="00CE020E"/>
    <w:rsid w:val="00CE0566"/>
    <w:rsid w:val="00CE12AD"/>
    <w:rsid w:val="00CE1CD4"/>
    <w:rsid w:val="00CE1E30"/>
    <w:rsid w:val="00CE2761"/>
    <w:rsid w:val="00CE314E"/>
    <w:rsid w:val="00CE3D5C"/>
    <w:rsid w:val="00CE3E14"/>
    <w:rsid w:val="00CE44C7"/>
    <w:rsid w:val="00CE53CC"/>
    <w:rsid w:val="00CE5DA8"/>
    <w:rsid w:val="00CE65A7"/>
    <w:rsid w:val="00CE68FE"/>
    <w:rsid w:val="00CE69CC"/>
    <w:rsid w:val="00CE6EC4"/>
    <w:rsid w:val="00CE7154"/>
    <w:rsid w:val="00CE75E9"/>
    <w:rsid w:val="00CE7F26"/>
    <w:rsid w:val="00CF019F"/>
    <w:rsid w:val="00CF1226"/>
    <w:rsid w:val="00CF1ABB"/>
    <w:rsid w:val="00CF1E1D"/>
    <w:rsid w:val="00CF24FE"/>
    <w:rsid w:val="00CF3565"/>
    <w:rsid w:val="00CF35D0"/>
    <w:rsid w:val="00CF3DD5"/>
    <w:rsid w:val="00CF4AF7"/>
    <w:rsid w:val="00CF4D20"/>
    <w:rsid w:val="00CF623E"/>
    <w:rsid w:val="00CF6672"/>
    <w:rsid w:val="00CF6B2D"/>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C84"/>
    <w:rsid w:val="00D11DB3"/>
    <w:rsid w:val="00D1289F"/>
    <w:rsid w:val="00D12D82"/>
    <w:rsid w:val="00D1306E"/>
    <w:rsid w:val="00D134CD"/>
    <w:rsid w:val="00D14B5F"/>
    <w:rsid w:val="00D14E13"/>
    <w:rsid w:val="00D14F23"/>
    <w:rsid w:val="00D15356"/>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5D3D"/>
    <w:rsid w:val="00D2742F"/>
    <w:rsid w:val="00D2754F"/>
    <w:rsid w:val="00D279D9"/>
    <w:rsid w:val="00D27FBD"/>
    <w:rsid w:val="00D312DC"/>
    <w:rsid w:val="00D31B84"/>
    <w:rsid w:val="00D31C6A"/>
    <w:rsid w:val="00D31EDF"/>
    <w:rsid w:val="00D31FF9"/>
    <w:rsid w:val="00D32149"/>
    <w:rsid w:val="00D32256"/>
    <w:rsid w:val="00D327ED"/>
    <w:rsid w:val="00D32A27"/>
    <w:rsid w:val="00D32ABC"/>
    <w:rsid w:val="00D34B25"/>
    <w:rsid w:val="00D34F4E"/>
    <w:rsid w:val="00D357F3"/>
    <w:rsid w:val="00D35C0E"/>
    <w:rsid w:val="00D35C71"/>
    <w:rsid w:val="00D35C93"/>
    <w:rsid w:val="00D373A8"/>
    <w:rsid w:val="00D37460"/>
    <w:rsid w:val="00D379A5"/>
    <w:rsid w:val="00D401BE"/>
    <w:rsid w:val="00D402D2"/>
    <w:rsid w:val="00D4043A"/>
    <w:rsid w:val="00D40A8E"/>
    <w:rsid w:val="00D40DB0"/>
    <w:rsid w:val="00D40F8B"/>
    <w:rsid w:val="00D41858"/>
    <w:rsid w:val="00D41F04"/>
    <w:rsid w:val="00D422DB"/>
    <w:rsid w:val="00D42AC2"/>
    <w:rsid w:val="00D438AD"/>
    <w:rsid w:val="00D4498E"/>
    <w:rsid w:val="00D4515F"/>
    <w:rsid w:val="00D451E8"/>
    <w:rsid w:val="00D4636B"/>
    <w:rsid w:val="00D466C9"/>
    <w:rsid w:val="00D467D8"/>
    <w:rsid w:val="00D47275"/>
    <w:rsid w:val="00D50C39"/>
    <w:rsid w:val="00D518A6"/>
    <w:rsid w:val="00D51E15"/>
    <w:rsid w:val="00D529F1"/>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90A"/>
    <w:rsid w:val="00D70E00"/>
    <w:rsid w:val="00D715AC"/>
    <w:rsid w:val="00D71851"/>
    <w:rsid w:val="00D718CF"/>
    <w:rsid w:val="00D72025"/>
    <w:rsid w:val="00D720D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F22"/>
    <w:rsid w:val="00D85494"/>
    <w:rsid w:val="00D8582C"/>
    <w:rsid w:val="00D85D61"/>
    <w:rsid w:val="00D8616D"/>
    <w:rsid w:val="00D86476"/>
    <w:rsid w:val="00D8711B"/>
    <w:rsid w:val="00D87384"/>
    <w:rsid w:val="00D90683"/>
    <w:rsid w:val="00D915C8"/>
    <w:rsid w:val="00D9261C"/>
    <w:rsid w:val="00D9310B"/>
    <w:rsid w:val="00D93726"/>
    <w:rsid w:val="00D93DD3"/>
    <w:rsid w:val="00D93F3E"/>
    <w:rsid w:val="00D9405B"/>
    <w:rsid w:val="00D94942"/>
    <w:rsid w:val="00D95145"/>
    <w:rsid w:val="00D967CB"/>
    <w:rsid w:val="00D968DC"/>
    <w:rsid w:val="00D96EE0"/>
    <w:rsid w:val="00D97BD1"/>
    <w:rsid w:val="00D97CF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0ADF"/>
    <w:rsid w:val="00DB12D4"/>
    <w:rsid w:val="00DB14F0"/>
    <w:rsid w:val="00DB1745"/>
    <w:rsid w:val="00DB1AFF"/>
    <w:rsid w:val="00DB219A"/>
    <w:rsid w:val="00DB3165"/>
    <w:rsid w:val="00DB3EEB"/>
    <w:rsid w:val="00DB4292"/>
    <w:rsid w:val="00DB60A2"/>
    <w:rsid w:val="00DB6E46"/>
    <w:rsid w:val="00DB7117"/>
    <w:rsid w:val="00DB7204"/>
    <w:rsid w:val="00DB7760"/>
    <w:rsid w:val="00DB7DD4"/>
    <w:rsid w:val="00DC00B4"/>
    <w:rsid w:val="00DC055B"/>
    <w:rsid w:val="00DC056C"/>
    <w:rsid w:val="00DC0954"/>
    <w:rsid w:val="00DC0AA4"/>
    <w:rsid w:val="00DC1296"/>
    <w:rsid w:val="00DC15BA"/>
    <w:rsid w:val="00DC18CD"/>
    <w:rsid w:val="00DC1A68"/>
    <w:rsid w:val="00DC30B8"/>
    <w:rsid w:val="00DC32C6"/>
    <w:rsid w:val="00DC478F"/>
    <w:rsid w:val="00DC504C"/>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BBF"/>
    <w:rsid w:val="00DD5DAE"/>
    <w:rsid w:val="00DD5EC6"/>
    <w:rsid w:val="00DD605F"/>
    <w:rsid w:val="00DD7259"/>
    <w:rsid w:val="00DD72A0"/>
    <w:rsid w:val="00DD735D"/>
    <w:rsid w:val="00DD7F0E"/>
    <w:rsid w:val="00DE0159"/>
    <w:rsid w:val="00DE064A"/>
    <w:rsid w:val="00DE082D"/>
    <w:rsid w:val="00DE1410"/>
    <w:rsid w:val="00DE19D7"/>
    <w:rsid w:val="00DE3119"/>
    <w:rsid w:val="00DE3FF0"/>
    <w:rsid w:val="00DE4105"/>
    <w:rsid w:val="00DE5189"/>
    <w:rsid w:val="00DE57BD"/>
    <w:rsid w:val="00DE623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7E"/>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27966"/>
    <w:rsid w:val="00E3044A"/>
    <w:rsid w:val="00E31A4A"/>
    <w:rsid w:val="00E31B51"/>
    <w:rsid w:val="00E32F45"/>
    <w:rsid w:val="00E3344A"/>
    <w:rsid w:val="00E33B29"/>
    <w:rsid w:val="00E33B62"/>
    <w:rsid w:val="00E3403D"/>
    <w:rsid w:val="00E346FC"/>
    <w:rsid w:val="00E34E6C"/>
    <w:rsid w:val="00E350D8"/>
    <w:rsid w:val="00E353E2"/>
    <w:rsid w:val="00E35A14"/>
    <w:rsid w:val="00E36345"/>
    <w:rsid w:val="00E36C86"/>
    <w:rsid w:val="00E36CEB"/>
    <w:rsid w:val="00E37A28"/>
    <w:rsid w:val="00E4021C"/>
    <w:rsid w:val="00E40430"/>
    <w:rsid w:val="00E40690"/>
    <w:rsid w:val="00E40AEB"/>
    <w:rsid w:val="00E4143A"/>
    <w:rsid w:val="00E424C8"/>
    <w:rsid w:val="00E4251D"/>
    <w:rsid w:val="00E4255B"/>
    <w:rsid w:val="00E43D00"/>
    <w:rsid w:val="00E445E4"/>
    <w:rsid w:val="00E457CB"/>
    <w:rsid w:val="00E45D47"/>
    <w:rsid w:val="00E45DE4"/>
    <w:rsid w:val="00E45E63"/>
    <w:rsid w:val="00E47A2C"/>
    <w:rsid w:val="00E50A7B"/>
    <w:rsid w:val="00E50B0B"/>
    <w:rsid w:val="00E510FE"/>
    <w:rsid w:val="00E51E25"/>
    <w:rsid w:val="00E5205B"/>
    <w:rsid w:val="00E521AE"/>
    <w:rsid w:val="00E53A90"/>
    <w:rsid w:val="00E53BCA"/>
    <w:rsid w:val="00E53F02"/>
    <w:rsid w:val="00E54534"/>
    <w:rsid w:val="00E548C3"/>
    <w:rsid w:val="00E54F27"/>
    <w:rsid w:val="00E55FF1"/>
    <w:rsid w:val="00E56090"/>
    <w:rsid w:val="00E565B9"/>
    <w:rsid w:val="00E56CF6"/>
    <w:rsid w:val="00E5733B"/>
    <w:rsid w:val="00E5756C"/>
    <w:rsid w:val="00E57B00"/>
    <w:rsid w:val="00E601BE"/>
    <w:rsid w:val="00E60242"/>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A3"/>
    <w:rsid w:val="00E679C8"/>
    <w:rsid w:val="00E70314"/>
    <w:rsid w:val="00E70CF9"/>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23F9"/>
    <w:rsid w:val="00E82C1F"/>
    <w:rsid w:val="00E82DE3"/>
    <w:rsid w:val="00E83671"/>
    <w:rsid w:val="00E83DA6"/>
    <w:rsid w:val="00E83EFC"/>
    <w:rsid w:val="00E847CE"/>
    <w:rsid w:val="00E84A71"/>
    <w:rsid w:val="00E86556"/>
    <w:rsid w:val="00E86798"/>
    <w:rsid w:val="00E86D35"/>
    <w:rsid w:val="00E86DC2"/>
    <w:rsid w:val="00E86E32"/>
    <w:rsid w:val="00E8732E"/>
    <w:rsid w:val="00E9011F"/>
    <w:rsid w:val="00E906EB"/>
    <w:rsid w:val="00E91FB8"/>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19A9"/>
    <w:rsid w:val="00EA2726"/>
    <w:rsid w:val="00EA2744"/>
    <w:rsid w:val="00EA2A7E"/>
    <w:rsid w:val="00EA37B9"/>
    <w:rsid w:val="00EA390A"/>
    <w:rsid w:val="00EA39F7"/>
    <w:rsid w:val="00EA3B27"/>
    <w:rsid w:val="00EA3DC2"/>
    <w:rsid w:val="00EA434E"/>
    <w:rsid w:val="00EA4757"/>
    <w:rsid w:val="00EA53D3"/>
    <w:rsid w:val="00EA560B"/>
    <w:rsid w:val="00EA5669"/>
    <w:rsid w:val="00EA58DC"/>
    <w:rsid w:val="00EA5C05"/>
    <w:rsid w:val="00EA63EF"/>
    <w:rsid w:val="00EA6750"/>
    <w:rsid w:val="00EA7549"/>
    <w:rsid w:val="00EB0A89"/>
    <w:rsid w:val="00EB1573"/>
    <w:rsid w:val="00EB1650"/>
    <w:rsid w:val="00EB1910"/>
    <w:rsid w:val="00EB1D24"/>
    <w:rsid w:val="00EB2259"/>
    <w:rsid w:val="00EB2A03"/>
    <w:rsid w:val="00EB2CD2"/>
    <w:rsid w:val="00EB2E97"/>
    <w:rsid w:val="00EB3416"/>
    <w:rsid w:val="00EB3622"/>
    <w:rsid w:val="00EB4AE1"/>
    <w:rsid w:val="00EB52F4"/>
    <w:rsid w:val="00EB5694"/>
    <w:rsid w:val="00EB5779"/>
    <w:rsid w:val="00EB6098"/>
    <w:rsid w:val="00EB65ED"/>
    <w:rsid w:val="00EB67F1"/>
    <w:rsid w:val="00EB6943"/>
    <w:rsid w:val="00EB72CD"/>
    <w:rsid w:val="00EB749A"/>
    <w:rsid w:val="00EB76B6"/>
    <w:rsid w:val="00EB7D8A"/>
    <w:rsid w:val="00EC05E2"/>
    <w:rsid w:val="00EC08AF"/>
    <w:rsid w:val="00EC0A98"/>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C7FD6"/>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0FAE"/>
    <w:rsid w:val="00EF1E97"/>
    <w:rsid w:val="00EF2436"/>
    <w:rsid w:val="00EF2547"/>
    <w:rsid w:val="00EF2650"/>
    <w:rsid w:val="00EF2B2B"/>
    <w:rsid w:val="00EF2E1C"/>
    <w:rsid w:val="00EF2FD6"/>
    <w:rsid w:val="00EF3148"/>
    <w:rsid w:val="00EF3241"/>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00"/>
    <w:rsid w:val="00F04ECA"/>
    <w:rsid w:val="00F06963"/>
    <w:rsid w:val="00F06E19"/>
    <w:rsid w:val="00F06E58"/>
    <w:rsid w:val="00F06F84"/>
    <w:rsid w:val="00F076E7"/>
    <w:rsid w:val="00F07AA1"/>
    <w:rsid w:val="00F105AE"/>
    <w:rsid w:val="00F10618"/>
    <w:rsid w:val="00F1108B"/>
    <w:rsid w:val="00F11768"/>
    <w:rsid w:val="00F11951"/>
    <w:rsid w:val="00F12262"/>
    <w:rsid w:val="00F12672"/>
    <w:rsid w:val="00F12AF8"/>
    <w:rsid w:val="00F12C52"/>
    <w:rsid w:val="00F148B7"/>
    <w:rsid w:val="00F14EA9"/>
    <w:rsid w:val="00F15505"/>
    <w:rsid w:val="00F15BFF"/>
    <w:rsid w:val="00F17082"/>
    <w:rsid w:val="00F207E5"/>
    <w:rsid w:val="00F213A0"/>
    <w:rsid w:val="00F21A51"/>
    <w:rsid w:val="00F21CE8"/>
    <w:rsid w:val="00F21D54"/>
    <w:rsid w:val="00F21EF4"/>
    <w:rsid w:val="00F23113"/>
    <w:rsid w:val="00F23255"/>
    <w:rsid w:val="00F23393"/>
    <w:rsid w:val="00F23759"/>
    <w:rsid w:val="00F23A87"/>
    <w:rsid w:val="00F24644"/>
    <w:rsid w:val="00F256FD"/>
    <w:rsid w:val="00F257E9"/>
    <w:rsid w:val="00F26002"/>
    <w:rsid w:val="00F26F33"/>
    <w:rsid w:val="00F27878"/>
    <w:rsid w:val="00F300A8"/>
    <w:rsid w:val="00F30400"/>
    <w:rsid w:val="00F30641"/>
    <w:rsid w:val="00F3079E"/>
    <w:rsid w:val="00F314BB"/>
    <w:rsid w:val="00F33980"/>
    <w:rsid w:val="00F3399B"/>
    <w:rsid w:val="00F33C1A"/>
    <w:rsid w:val="00F33C29"/>
    <w:rsid w:val="00F3461B"/>
    <w:rsid w:val="00F346ED"/>
    <w:rsid w:val="00F34945"/>
    <w:rsid w:val="00F34B5B"/>
    <w:rsid w:val="00F34D12"/>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528"/>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1E57"/>
    <w:rsid w:val="00F624A7"/>
    <w:rsid w:val="00F62AB6"/>
    <w:rsid w:val="00F65A3C"/>
    <w:rsid w:val="00F65BB9"/>
    <w:rsid w:val="00F65FFA"/>
    <w:rsid w:val="00F66282"/>
    <w:rsid w:val="00F66292"/>
    <w:rsid w:val="00F67ACE"/>
    <w:rsid w:val="00F67D8B"/>
    <w:rsid w:val="00F67DED"/>
    <w:rsid w:val="00F7018A"/>
    <w:rsid w:val="00F70961"/>
    <w:rsid w:val="00F70A8F"/>
    <w:rsid w:val="00F711CA"/>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58A8"/>
    <w:rsid w:val="00F76C11"/>
    <w:rsid w:val="00F77021"/>
    <w:rsid w:val="00F77E61"/>
    <w:rsid w:val="00F815AC"/>
    <w:rsid w:val="00F82FC7"/>
    <w:rsid w:val="00F83702"/>
    <w:rsid w:val="00F83B33"/>
    <w:rsid w:val="00F83C65"/>
    <w:rsid w:val="00F83CAE"/>
    <w:rsid w:val="00F83DD5"/>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999"/>
    <w:rsid w:val="00F90C4D"/>
    <w:rsid w:val="00F9167D"/>
    <w:rsid w:val="00F91CB2"/>
    <w:rsid w:val="00F9289C"/>
    <w:rsid w:val="00F929F7"/>
    <w:rsid w:val="00F93DBC"/>
    <w:rsid w:val="00F93E41"/>
    <w:rsid w:val="00F94644"/>
    <w:rsid w:val="00F9537B"/>
    <w:rsid w:val="00F962FC"/>
    <w:rsid w:val="00F963FC"/>
    <w:rsid w:val="00FA015F"/>
    <w:rsid w:val="00FA0247"/>
    <w:rsid w:val="00FA0946"/>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2599"/>
    <w:rsid w:val="00FC299B"/>
    <w:rsid w:val="00FC2AC4"/>
    <w:rsid w:val="00FC2F73"/>
    <w:rsid w:val="00FC3A9B"/>
    <w:rsid w:val="00FC3AE1"/>
    <w:rsid w:val="00FC3DFC"/>
    <w:rsid w:val="00FC3EF4"/>
    <w:rsid w:val="00FC431B"/>
    <w:rsid w:val="00FC434C"/>
    <w:rsid w:val="00FC43AE"/>
    <w:rsid w:val="00FC4FDF"/>
    <w:rsid w:val="00FC5CF4"/>
    <w:rsid w:val="00FC6A39"/>
    <w:rsid w:val="00FC79AB"/>
    <w:rsid w:val="00FC7BE7"/>
    <w:rsid w:val="00FC7DAC"/>
    <w:rsid w:val="00FD04AE"/>
    <w:rsid w:val="00FD12B5"/>
    <w:rsid w:val="00FD1890"/>
    <w:rsid w:val="00FD1994"/>
    <w:rsid w:val="00FD2CA6"/>
    <w:rsid w:val="00FD2D7C"/>
    <w:rsid w:val="00FD3508"/>
    <w:rsid w:val="00FD393C"/>
    <w:rsid w:val="00FD43BB"/>
    <w:rsid w:val="00FD4AF3"/>
    <w:rsid w:val="00FD66E1"/>
    <w:rsid w:val="00FD6F72"/>
    <w:rsid w:val="00FD7040"/>
    <w:rsid w:val="00FD798D"/>
    <w:rsid w:val="00FD7FB9"/>
    <w:rsid w:val="00FE0B6E"/>
    <w:rsid w:val="00FE141E"/>
    <w:rsid w:val="00FE144E"/>
    <w:rsid w:val="00FE1768"/>
    <w:rsid w:val="00FE24F4"/>
    <w:rsid w:val="00FE2560"/>
    <w:rsid w:val="00FE29F3"/>
    <w:rsid w:val="00FE35D0"/>
    <w:rsid w:val="00FE41AC"/>
    <w:rsid w:val="00FE42ED"/>
    <w:rsid w:val="00FE55A7"/>
    <w:rsid w:val="00FE55E6"/>
    <w:rsid w:val="00FE56D5"/>
    <w:rsid w:val="00FE5C5A"/>
    <w:rsid w:val="00FE6432"/>
    <w:rsid w:val="00FE72A0"/>
    <w:rsid w:val="00FE72C6"/>
    <w:rsid w:val="00FF0050"/>
    <w:rsid w:val="00FF045F"/>
    <w:rsid w:val="00FF10AF"/>
    <w:rsid w:val="00FF13D4"/>
    <w:rsid w:val="00FF2053"/>
    <w:rsid w:val="00FF2AB9"/>
    <w:rsid w:val="00FF2C32"/>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paragraph" w:styleId="Revisin">
    <w:name w:val="Revision"/>
    <w:hidden/>
    <w:uiPriority w:val="99"/>
    <w:semiHidden/>
    <w:rsid w:val="00E4021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7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9385655">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0404">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849759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609241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986280">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1995">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932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9039277">
      <w:bodyDiv w:val="1"/>
      <w:marLeft w:val="0"/>
      <w:marRight w:val="0"/>
      <w:marTop w:val="0"/>
      <w:marBottom w:val="0"/>
      <w:divBdr>
        <w:top w:val="none" w:sz="0" w:space="0" w:color="auto"/>
        <w:left w:val="none" w:sz="0" w:space="0" w:color="auto"/>
        <w:bottom w:val="none" w:sz="0" w:space="0" w:color="auto"/>
        <w:right w:val="none" w:sz="0" w:space="0" w:color="auto"/>
      </w:divBdr>
    </w:div>
    <w:div w:id="73330886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56310552">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199916">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5386212">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456929">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256587">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5753">
      <w:bodyDiv w:val="1"/>
      <w:marLeft w:val="0"/>
      <w:marRight w:val="0"/>
      <w:marTop w:val="0"/>
      <w:marBottom w:val="0"/>
      <w:divBdr>
        <w:top w:val="none" w:sz="0" w:space="0" w:color="auto"/>
        <w:left w:val="none" w:sz="0" w:space="0" w:color="auto"/>
        <w:bottom w:val="none" w:sz="0" w:space="0" w:color="auto"/>
        <w:right w:val="none" w:sz="0" w:space="0" w:color="auto"/>
      </w:divBdr>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8115561">
      <w:bodyDiv w:val="1"/>
      <w:marLeft w:val="0"/>
      <w:marRight w:val="0"/>
      <w:marTop w:val="0"/>
      <w:marBottom w:val="0"/>
      <w:divBdr>
        <w:top w:val="none" w:sz="0" w:space="0" w:color="auto"/>
        <w:left w:val="none" w:sz="0" w:space="0" w:color="auto"/>
        <w:bottom w:val="none" w:sz="0" w:space="0" w:color="auto"/>
        <w:right w:val="none" w:sz="0" w:space="0" w:color="auto"/>
      </w:divBdr>
    </w:div>
    <w:div w:id="109628900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078750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11549">
      <w:bodyDiv w:val="1"/>
      <w:marLeft w:val="0"/>
      <w:marRight w:val="0"/>
      <w:marTop w:val="0"/>
      <w:marBottom w:val="0"/>
      <w:divBdr>
        <w:top w:val="none" w:sz="0" w:space="0" w:color="auto"/>
        <w:left w:val="none" w:sz="0" w:space="0" w:color="auto"/>
        <w:bottom w:val="none" w:sz="0" w:space="0" w:color="auto"/>
        <w:right w:val="none" w:sz="0" w:space="0" w:color="auto"/>
      </w:divBdr>
    </w:div>
    <w:div w:id="1240679585">
      <w:bodyDiv w:val="1"/>
      <w:marLeft w:val="0"/>
      <w:marRight w:val="0"/>
      <w:marTop w:val="0"/>
      <w:marBottom w:val="0"/>
      <w:divBdr>
        <w:top w:val="none" w:sz="0" w:space="0" w:color="auto"/>
        <w:left w:val="none" w:sz="0" w:space="0" w:color="auto"/>
        <w:bottom w:val="none" w:sz="0" w:space="0" w:color="auto"/>
        <w:right w:val="none" w:sz="0" w:space="0" w:color="auto"/>
      </w:divBdr>
    </w:div>
    <w:div w:id="1251697543">
      <w:bodyDiv w:val="1"/>
      <w:marLeft w:val="0"/>
      <w:marRight w:val="0"/>
      <w:marTop w:val="0"/>
      <w:marBottom w:val="0"/>
      <w:divBdr>
        <w:top w:val="none" w:sz="0" w:space="0" w:color="auto"/>
        <w:left w:val="none" w:sz="0" w:space="0" w:color="auto"/>
        <w:bottom w:val="none" w:sz="0" w:space="0" w:color="auto"/>
        <w:right w:val="none" w:sz="0" w:space="0" w:color="auto"/>
      </w:divBdr>
    </w:div>
    <w:div w:id="127450863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45425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6930617">
      <w:bodyDiv w:val="1"/>
      <w:marLeft w:val="0"/>
      <w:marRight w:val="0"/>
      <w:marTop w:val="0"/>
      <w:marBottom w:val="0"/>
      <w:divBdr>
        <w:top w:val="none" w:sz="0" w:space="0" w:color="auto"/>
        <w:left w:val="none" w:sz="0" w:space="0" w:color="auto"/>
        <w:bottom w:val="none" w:sz="0" w:space="0" w:color="auto"/>
        <w:right w:val="none" w:sz="0" w:space="0" w:color="auto"/>
      </w:divBdr>
    </w:div>
    <w:div w:id="1399667857">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08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101892">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8901139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68257492">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7095685">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95345C5-1173-4518-86B9-307BC57C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172</TotalTime>
  <Pages>14</Pages>
  <Words>4917</Words>
  <Characters>27049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192</cp:revision>
  <cp:lastPrinted>2020-01-30T15:05:00Z</cp:lastPrinted>
  <dcterms:created xsi:type="dcterms:W3CDTF">2022-01-27T14:42:00Z</dcterms:created>
  <dcterms:modified xsi:type="dcterms:W3CDTF">2022-04-21T15:39:00Z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