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91C4" w14:textId="77777777" w:rsidR="00FC3AF6" w:rsidRPr="00EE063E" w:rsidRDefault="00FC3AF6" w:rsidP="00FC3AF6">
      <w:pPr>
        <w:jc w:val="both"/>
        <w:rPr>
          <w:rFonts w:ascii="Arial" w:hAnsi="Arial" w:cs="Arial"/>
          <w:b/>
          <w:bCs/>
          <w:color w:val="000000" w:themeColor="text1"/>
          <w:sz w:val="22"/>
          <w:lang w:val="es-CO"/>
        </w:rPr>
      </w:pPr>
      <w:r w:rsidRPr="00EE063E">
        <w:rPr>
          <w:rFonts w:ascii="Arial" w:hAnsi="Arial" w:cs="Arial"/>
          <w:b/>
          <w:bCs/>
          <w:color w:val="000000" w:themeColor="text1"/>
          <w:sz w:val="22"/>
          <w:lang w:val="es-CO"/>
        </w:rPr>
        <w:t>SERVICIO PÚBLICO DE GESTIÓN CATASTRAL ‒ Concepto</w:t>
      </w:r>
    </w:p>
    <w:p w14:paraId="770CD45B" w14:textId="77777777" w:rsidR="00FC3AF6" w:rsidRPr="00FC3AF6" w:rsidRDefault="00FC3AF6" w:rsidP="00FC3AF6">
      <w:pPr>
        <w:jc w:val="both"/>
        <w:rPr>
          <w:rFonts w:ascii="Arial" w:hAnsi="Arial" w:cs="Arial"/>
          <w:color w:val="000000" w:themeColor="text1"/>
          <w:sz w:val="20"/>
          <w:szCs w:val="20"/>
          <w:lang w:val="es-CO"/>
        </w:rPr>
      </w:pPr>
    </w:p>
    <w:p w14:paraId="423BA430" w14:textId="77777777" w:rsidR="00FC3AF6" w:rsidRPr="00FC3AF6" w:rsidRDefault="00FC3AF6" w:rsidP="00FC3AF6">
      <w:pPr>
        <w:jc w:val="both"/>
        <w:rPr>
          <w:rFonts w:ascii="Arial" w:hAnsi="Arial" w:cs="Arial"/>
          <w:color w:val="000000" w:themeColor="text1"/>
          <w:sz w:val="20"/>
          <w:szCs w:val="20"/>
        </w:rPr>
      </w:pPr>
      <w:r w:rsidRPr="00FC3AF6">
        <w:rPr>
          <w:rFonts w:ascii="Arial" w:hAnsi="Arial" w:cs="Arial"/>
          <w:color w:val="000000" w:themeColor="text1"/>
          <w:sz w:val="20"/>
          <w:szCs w:val="20"/>
        </w:rPr>
        <w:t xml:space="preserve">Conforme al artículo 79 de la Ley 1955 de 2019, la gestión catastral es un servicio público que tiene como propósito la adecuada formación, actualización, conservación y difusión de la información catastral, así como los procedimientos del enfoque catastral multipropósito que sean adoptados. De conformidad con la norma citada, la gestión catastral será prestada por: i) una autoridad nacional que regulará la gestión catastral, y estará a cargo del Instituto Geográfico Agustín Codazzi; </w:t>
      </w:r>
      <w:proofErr w:type="spellStart"/>
      <w:r w:rsidRPr="00FC3AF6">
        <w:rPr>
          <w:rFonts w:ascii="Arial" w:hAnsi="Arial" w:cs="Arial"/>
          <w:color w:val="000000" w:themeColor="text1"/>
          <w:sz w:val="20"/>
          <w:szCs w:val="20"/>
        </w:rPr>
        <w:t>ii</w:t>
      </w:r>
      <w:proofErr w:type="spellEnd"/>
      <w:r w:rsidRPr="00FC3AF6">
        <w:rPr>
          <w:rFonts w:ascii="Arial" w:hAnsi="Arial" w:cs="Arial"/>
          <w:color w:val="000000" w:themeColor="text1"/>
          <w:sz w:val="20"/>
          <w:szCs w:val="20"/>
        </w:rPr>
        <w:t xml:space="preserve">) por gestores catastrales, encargados de adelantar la formación, actualización, conservación y difusión catastral, así como los procedimientos del enfoque catastral multipropósito adoptados para el efecto; y </w:t>
      </w:r>
      <w:proofErr w:type="spellStart"/>
      <w:r w:rsidRPr="00FC3AF6">
        <w:rPr>
          <w:rFonts w:ascii="Arial" w:hAnsi="Arial" w:cs="Arial"/>
          <w:color w:val="000000" w:themeColor="text1"/>
          <w:sz w:val="20"/>
          <w:szCs w:val="20"/>
        </w:rPr>
        <w:t>iii</w:t>
      </w:r>
      <w:proofErr w:type="spellEnd"/>
      <w:r w:rsidRPr="00FC3AF6">
        <w:rPr>
          <w:rFonts w:ascii="Arial" w:hAnsi="Arial" w:cs="Arial"/>
          <w:color w:val="000000" w:themeColor="text1"/>
          <w:sz w:val="20"/>
          <w:szCs w:val="20"/>
        </w:rPr>
        <w:t>) por operadores catastrales, quienes desarrollarán labores operativas relativas a la gestión catastral. A su vez, asigna al Instituto Geográfico Agustín Codazzi –IGAC– la función de habilitar como gestores catastrales para la prestación del servicio catastral a las entidades públicas nacionales o territoriales, incluyendo, entre otros, esquemas asociativos de entidades territoriales.</w:t>
      </w:r>
    </w:p>
    <w:p w14:paraId="0516AC78" w14:textId="77777777" w:rsidR="00FC3AF6" w:rsidRPr="00FC3AF6" w:rsidRDefault="00FC3AF6" w:rsidP="00FC3AF6">
      <w:pPr>
        <w:jc w:val="both"/>
        <w:rPr>
          <w:rFonts w:ascii="Arial" w:hAnsi="Arial" w:cs="Arial"/>
          <w:color w:val="000000" w:themeColor="text1"/>
          <w:sz w:val="20"/>
          <w:szCs w:val="20"/>
          <w:lang w:val="es-CO"/>
        </w:rPr>
      </w:pPr>
    </w:p>
    <w:p w14:paraId="51E321B4" w14:textId="77777777" w:rsidR="00FC3AF6" w:rsidRPr="00EE063E" w:rsidRDefault="00FC3AF6" w:rsidP="00FC3AF6">
      <w:pPr>
        <w:jc w:val="both"/>
        <w:rPr>
          <w:rFonts w:ascii="Arial" w:hAnsi="Arial" w:cs="Arial"/>
          <w:b/>
          <w:bCs/>
          <w:color w:val="000000" w:themeColor="text1"/>
          <w:sz w:val="22"/>
          <w:lang w:val="es-CO"/>
        </w:rPr>
      </w:pPr>
      <w:r w:rsidRPr="00EE063E">
        <w:rPr>
          <w:rFonts w:ascii="Arial" w:hAnsi="Arial" w:cs="Arial"/>
          <w:b/>
          <w:bCs/>
          <w:color w:val="000000" w:themeColor="text1"/>
          <w:sz w:val="22"/>
          <w:lang w:val="es-CO"/>
        </w:rPr>
        <w:t>GESTORES CATASTRALES ‒ Requisitos ‒ Entidades públicas ‒ Contratación</w:t>
      </w:r>
    </w:p>
    <w:p w14:paraId="1190D361" w14:textId="77777777" w:rsidR="00FC3AF6" w:rsidRPr="00FC3AF6" w:rsidRDefault="00FC3AF6" w:rsidP="00FC3AF6">
      <w:pPr>
        <w:jc w:val="both"/>
        <w:rPr>
          <w:rFonts w:ascii="Arial" w:hAnsi="Arial" w:cs="Arial"/>
          <w:color w:val="000000" w:themeColor="text1"/>
          <w:sz w:val="20"/>
          <w:szCs w:val="20"/>
          <w:lang w:val="es-CO"/>
        </w:rPr>
      </w:pPr>
    </w:p>
    <w:p w14:paraId="7C09F3AC" w14:textId="77777777" w:rsidR="00FC3AF6" w:rsidRPr="00FC3AF6" w:rsidRDefault="00FC3AF6" w:rsidP="00FC3AF6">
      <w:pPr>
        <w:jc w:val="both"/>
        <w:rPr>
          <w:rFonts w:ascii="Arial" w:hAnsi="Arial" w:cs="Arial"/>
          <w:color w:val="000000" w:themeColor="text1"/>
          <w:sz w:val="20"/>
          <w:szCs w:val="20"/>
        </w:rPr>
      </w:pPr>
      <w:r w:rsidRPr="00FC3AF6">
        <w:rPr>
          <w:rFonts w:ascii="Arial" w:hAnsi="Arial" w:cs="Arial"/>
          <w:color w:val="000000" w:themeColor="text1"/>
          <w:sz w:val="20"/>
          <w:szCs w:val="20"/>
        </w:rPr>
        <w:t xml:space="preserve">El artículo 2.2.2.1.5 del Decreto 148 de 2020 prescribe que los gestores catastrales son las entidades públicas del orden nacional o territorial, así como los esquemas asociativos de entidades territoriales que hayan sido habilitadas por el Instituto Geográfico Agustín Codazzi –IGAC–. Por tanto, los requisitos para la prestación del servicio de gestión catastral en calidad de gestor catastral son dos (2): i) ser una entidad pública del orden nacional o territorial o esquema asociativo de entidades territoriales y </w:t>
      </w:r>
      <w:proofErr w:type="spellStart"/>
      <w:r w:rsidRPr="00FC3AF6">
        <w:rPr>
          <w:rFonts w:ascii="Arial" w:hAnsi="Arial" w:cs="Arial"/>
          <w:color w:val="000000" w:themeColor="text1"/>
          <w:sz w:val="20"/>
          <w:szCs w:val="20"/>
        </w:rPr>
        <w:t>ii</w:t>
      </w:r>
      <w:proofErr w:type="spellEnd"/>
      <w:r w:rsidRPr="00FC3AF6">
        <w:rPr>
          <w:rFonts w:ascii="Arial" w:hAnsi="Arial" w:cs="Arial"/>
          <w:color w:val="000000" w:themeColor="text1"/>
          <w:sz w:val="20"/>
          <w:szCs w:val="20"/>
        </w:rPr>
        <w:t>) estar habilitado como gestor catastral por parte del IGAC. Lo anterior, sin perjuicio de que el IGAC actúe como prestador por excepción.</w:t>
      </w:r>
    </w:p>
    <w:p w14:paraId="24D5F99C" w14:textId="77777777" w:rsidR="00FC3AF6" w:rsidRPr="00FC3AF6" w:rsidRDefault="00FC3AF6" w:rsidP="00FC3AF6">
      <w:pPr>
        <w:jc w:val="both"/>
        <w:rPr>
          <w:rFonts w:ascii="Arial" w:hAnsi="Arial" w:cs="Arial"/>
          <w:color w:val="000000" w:themeColor="text1"/>
          <w:sz w:val="20"/>
          <w:szCs w:val="20"/>
        </w:rPr>
      </w:pPr>
    </w:p>
    <w:p w14:paraId="3FD58D58" w14:textId="77777777" w:rsidR="00FC3AF6" w:rsidRPr="00EE063E" w:rsidRDefault="00FC3AF6" w:rsidP="00FC3AF6">
      <w:pPr>
        <w:jc w:val="both"/>
        <w:rPr>
          <w:rFonts w:ascii="Arial" w:hAnsi="Arial" w:cs="Arial"/>
          <w:b/>
          <w:bCs/>
          <w:color w:val="000000" w:themeColor="text1"/>
          <w:sz w:val="22"/>
          <w:lang w:val="es-CO"/>
        </w:rPr>
      </w:pPr>
      <w:r w:rsidRPr="00EE063E">
        <w:rPr>
          <w:rFonts w:ascii="Arial" w:hAnsi="Arial" w:cs="Arial"/>
          <w:b/>
          <w:bCs/>
          <w:color w:val="000000" w:themeColor="text1"/>
          <w:sz w:val="22"/>
          <w:lang w:val="es-CO"/>
        </w:rPr>
        <w:t>OPERADORES CATASTRALES – Requisitos – Contratación</w:t>
      </w:r>
    </w:p>
    <w:p w14:paraId="7E9C413B" w14:textId="77777777" w:rsidR="00FC3AF6" w:rsidRPr="00FC3AF6" w:rsidRDefault="00FC3AF6" w:rsidP="00FC3AF6">
      <w:pPr>
        <w:jc w:val="both"/>
        <w:rPr>
          <w:rFonts w:ascii="Arial" w:hAnsi="Arial" w:cs="Arial"/>
          <w:color w:val="000000" w:themeColor="text1"/>
          <w:sz w:val="20"/>
          <w:szCs w:val="20"/>
          <w:lang w:val="es-CO"/>
        </w:rPr>
      </w:pPr>
    </w:p>
    <w:p w14:paraId="4B7F7396" w14:textId="77777777" w:rsidR="00FC3AF6" w:rsidRPr="00EE063E" w:rsidRDefault="00FC3AF6" w:rsidP="00FC3AF6">
      <w:pPr>
        <w:jc w:val="both"/>
        <w:rPr>
          <w:rFonts w:ascii="Arial" w:hAnsi="Arial" w:cs="Arial"/>
          <w:color w:val="000000" w:themeColor="text1"/>
          <w:sz w:val="20"/>
          <w:szCs w:val="20"/>
        </w:rPr>
      </w:pPr>
      <w:r w:rsidRPr="00EE063E">
        <w:rPr>
          <w:rFonts w:ascii="Arial" w:hAnsi="Arial" w:cs="Arial"/>
          <w:color w:val="000000" w:themeColor="text1"/>
          <w:sz w:val="20"/>
          <w:szCs w:val="20"/>
          <w:lang w:val="es-CO"/>
        </w:rPr>
        <w:t xml:space="preserve">Por su parte, </w:t>
      </w:r>
      <w:r w:rsidRPr="00EE063E">
        <w:rPr>
          <w:rFonts w:ascii="Arial" w:hAnsi="Arial" w:cs="Arial"/>
          <w:color w:val="000000" w:themeColor="text1"/>
          <w:sz w:val="20"/>
          <w:szCs w:val="20"/>
        </w:rPr>
        <w:t xml:space="preserve">el artículo 2.2.2.5.11. del Decreto 1983 de 2019 prevé los requisitos necesarios que deberán verificar los gestores catastrales para contratar a los operadores catastrales. Estos requisitos son: i) jurídicos: estar constituido como una persona jurídica de derecho público o privado y acreditar que dentro de su objeto social se contemple cualquiera de las actividades que sirvan de insumos para adelantar los procesos de formación, actualización y conservación catastral, </w:t>
      </w:r>
      <w:proofErr w:type="spellStart"/>
      <w:r w:rsidRPr="00EE063E">
        <w:rPr>
          <w:rFonts w:ascii="Arial" w:hAnsi="Arial" w:cs="Arial"/>
          <w:color w:val="000000" w:themeColor="text1"/>
          <w:sz w:val="20"/>
          <w:szCs w:val="20"/>
        </w:rPr>
        <w:t>ii</w:t>
      </w:r>
      <w:proofErr w:type="spellEnd"/>
      <w:r w:rsidRPr="00EE063E">
        <w:rPr>
          <w:rFonts w:ascii="Arial" w:hAnsi="Arial" w:cs="Arial"/>
          <w:color w:val="000000" w:themeColor="text1"/>
          <w:sz w:val="20"/>
          <w:szCs w:val="20"/>
        </w:rPr>
        <w:t xml:space="preserve">) técnicos: contar con profesionales y/o técnicos que contribuyan al desarrollo de los procesos de formación, actualización y conservación catastral y, </w:t>
      </w:r>
      <w:proofErr w:type="spellStart"/>
      <w:r w:rsidRPr="00EE063E">
        <w:rPr>
          <w:rFonts w:ascii="Arial" w:hAnsi="Arial" w:cs="Arial"/>
          <w:color w:val="000000" w:themeColor="text1"/>
          <w:sz w:val="20"/>
          <w:szCs w:val="20"/>
        </w:rPr>
        <w:t>iii</w:t>
      </w:r>
      <w:proofErr w:type="spellEnd"/>
      <w:r w:rsidRPr="00EE063E">
        <w:rPr>
          <w:rFonts w:ascii="Arial" w:hAnsi="Arial" w:cs="Arial"/>
          <w:color w:val="000000" w:themeColor="text1"/>
          <w:sz w:val="20"/>
          <w:szCs w:val="20"/>
        </w:rPr>
        <w:t xml:space="preserve">) financieros: contar con la capacidad financiera necesaria para desarrollar las actividades que sirvan de insumo para adelantar los procesos de formación, actualización y conservación catastral, así como los procedimientos del enfoque catastral multipropósito. </w:t>
      </w:r>
    </w:p>
    <w:p w14:paraId="738224C5" w14:textId="77777777" w:rsidR="00FC3AF6" w:rsidRPr="00FC3AF6" w:rsidRDefault="00FC3AF6" w:rsidP="00FC3AF6">
      <w:pPr>
        <w:jc w:val="both"/>
        <w:rPr>
          <w:rFonts w:ascii="Arial" w:hAnsi="Arial" w:cs="Arial"/>
          <w:color w:val="000000" w:themeColor="text1"/>
          <w:sz w:val="20"/>
          <w:szCs w:val="20"/>
          <w:lang w:val="es-CO"/>
        </w:rPr>
      </w:pPr>
    </w:p>
    <w:p w14:paraId="62C98D41" w14:textId="77777777" w:rsidR="00FC3AF6" w:rsidRPr="00EE063E" w:rsidRDefault="00FC3AF6" w:rsidP="00FC3AF6">
      <w:pPr>
        <w:jc w:val="both"/>
        <w:rPr>
          <w:rFonts w:ascii="Arial" w:hAnsi="Arial" w:cs="Arial"/>
          <w:b/>
          <w:bCs/>
          <w:color w:val="000000" w:themeColor="text1"/>
          <w:sz w:val="22"/>
          <w:lang w:val="es-CO"/>
        </w:rPr>
      </w:pPr>
      <w:r w:rsidRPr="00EE063E">
        <w:rPr>
          <w:rFonts w:ascii="Arial" w:hAnsi="Arial" w:cs="Arial"/>
          <w:b/>
          <w:bCs/>
          <w:color w:val="000000" w:themeColor="text1"/>
          <w:sz w:val="22"/>
          <w:lang w:val="es-CO"/>
        </w:rPr>
        <w:t>CAPACIDAD PARA CONTRATAR – Ley 2160 de 2021 – Propósito de la norma</w:t>
      </w:r>
    </w:p>
    <w:p w14:paraId="693CE1D5" w14:textId="77777777" w:rsidR="00FC3AF6" w:rsidRPr="00FC3AF6" w:rsidRDefault="00FC3AF6" w:rsidP="00FC3AF6">
      <w:pPr>
        <w:jc w:val="both"/>
        <w:rPr>
          <w:rFonts w:ascii="Arial" w:hAnsi="Arial" w:cs="Arial"/>
          <w:color w:val="000000" w:themeColor="text1"/>
          <w:sz w:val="20"/>
          <w:szCs w:val="20"/>
          <w:lang w:val="es-CO"/>
        </w:rPr>
      </w:pPr>
    </w:p>
    <w:p w14:paraId="5FB0A5CF" w14:textId="77777777" w:rsidR="00FC3AF6" w:rsidRPr="00FC3AF6" w:rsidRDefault="00FC3AF6" w:rsidP="00FC3AF6">
      <w:pPr>
        <w:jc w:val="both"/>
        <w:rPr>
          <w:rFonts w:ascii="Arial" w:hAnsi="Arial" w:cs="Arial"/>
          <w:color w:val="000000" w:themeColor="text1"/>
          <w:sz w:val="20"/>
          <w:szCs w:val="20"/>
        </w:rPr>
      </w:pPr>
      <w:r w:rsidRPr="00FC3AF6">
        <w:rPr>
          <w:rFonts w:ascii="Arial" w:hAnsi="Arial" w:cs="Arial"/>
          <w:color w:val="000000" w:themeColor="text1"/>
          <w:sz w:val="20"/>
          <w:szCs w:val="20"/>
          <w:lang w:val="es-CO"/>
        </w:rPr>
        <w:t xml:space="preserve">[…] </w:t>
      </w:r>
      <w:r w:rsidRPr="00FC3AF6">
        <w:rPr>
          <w:rFonts w:ascii="Arial" w:hAnsi="Arial" w:cs="Arial"/>
          <w:color w:val="000000" w:themeColor="text1"/>
          <w:sz w:val="20"/>
          <w:szCs w:val="20"/>
        </w:rPr>
        <w:t>el Congreso de la República expidió la Ley 2160 de 2021, por la cual se modifica la Ley 80 de 1993 y la Ley 1150 de 2007. Esta norma tuvo como propósito principal otorgar capacidad contractual a los cabildos indígenas para celebrar contratos con entidades estatales y, además, autorizar a las entidades del Estado la suscripción de negocios jurídicos de forma directa con esta forma de gobierno indígena.</w:t>
      </w:r>
    </w:p>
    <w:p w14:paraId="16D5D297" w14:textId="77777777" w:rsidR="00FC3AF6" w:rsidRPr="00FC3AF6" w:rsidRDefault="00FC3AF6" w:rsidP="00FC3AF6">
      <w:pPr>
        <w:jc w:val="both"/>
        <w:rPr>
          <w:rFonts w:ascii="Arial" w:hAnsi="Arial" w:cs="Arial"/>
          <w:color w:val="000000" w:themeColor="text1"/>
          <w:sz w:val="20"/>
          <w:szCs w:val="20"/>
          <w:lang w:val="es-CO"/>
        </w:rPr>
      </w:pPr>
    </w:p>
    <w:p w14:paraId="23FC9CE9" w14:textId="49D3B634" w:rsidR="00FC3AF6" w:rsidRPr="00EE063E" w:rsidRDefault="00FC3AF6" w:rsidP="00FC3AF6">
      <w:pPr>
        <w:jc w:val="both"/>
        <w:rPr>
          <w:rFonts w:ascii="Arial" w:hAnsi="Arial" w:cs="Arial"/>
          <w:b/>
          <w:bCs/>
          <w:color w:val="000000" w:themeColor="text1"/>
          <w:sz w:val="22"/>
          <w:lang w:val="es-CO"/>
        </w:rPr>
      </w:pPr>
      <w:r w:rsidRPr="00EE063E">
        <w:rPr>
          <w:rFonts w:ascii="Arial" w:hAnsi="Arial" w:cs="Arial"/>
          <w:b/>
          <w:bCs/>
          <w:color w:val="000000" w:themeColor="text1"/>
          <w:sz w:val="22"/>
          <w:lang w:val="es-CO"/>
        </w:rPr>
        <w:t xml:space="preserve">CAPACIDAD PARA CONTRATAR – Ley 2160 de 2021 – Modificación del artículo 6 </w:t>
      </w:r>
      <w:r w:rsidR="00600DEE">
        <w:rPr>
          <w:rFonts w:ascii="Arial" w:hAnsi="Arial" w:cs="Arial"/>
          <w:b/>
          <w:bCs/>
          <w:color w:val="000000" w:themeColor="text1"/>
          <w:sz w:val="22"/>
          <w:lang w:val="es-CO"/>
        </w:rPr>
        <w:t>–</w:t>
      </w:r>
      <w:r w:rsidRPr="00EE063E">
        <w:rPr>
          <w:rFonts w:ascii="Arial" w:hAnsi="Arial" w:cs="Arial"/>
          <w:b/>
          <w:bCs/>
          <w:color w:val="000000" w:themeColor="text1"/>
          <w:sz w:val="22"/>
          <w:lang w:val="es-CO"/>
        </w:rPr>
        <w:t>Ley 80 de 1993</w:t>
      </w:r>
    </w:p>
    <w:p w14:paraId="2D1C5702" w14:textId="77777777" w:rsidR="00FC3AF6" w:rsidRPr="00FC3AF6" w:rsidRDefault="00FC3AF6" w:rsidP="00FC3AF6">
      <w:pPr>
        <w:jc w:val="both"/>
        <w:rPr>
          <w:rFonts w:ascii="Arial" w:hAnsi="Arial" w:cs="Arial"/>
          <w:b/>
          <w:bCs/>
          <w:color w:val="000000" w:themeColor="text1"/>
          <w:sz w:val="20"/>
          <w:szCs w:val="20"/>
          <w:lang w:val="es-CO"/>
        </w:rPr>
      </w:pPr>
    </w:p>
    <w:p w14:paraId="3342C2B1" w14:textId="77777777" w:rsidR="00FC3AF6" w:rsidRPr="00FC3AF6" w:rsidRDefault="00FC3AF6" w:rsidP="00FC3AF6">
      <w:pPr>
        <w:jc w:val="both"/>
        <w:rPr>
          <w:rFonts w:ascii="Arial" w:hAnsi="Arial" w:cs="Arial"/>
          <w:color w:val="000000" w:themeColor="text1"/>
          <w:sz w:val="20"/>
          <w:szCs w:val="20"/>
        </w:rPr>
      </w:pPr>
      <w:r w:rsidRPr="00FC3AF6">
        <w:rPr>
          <w:rFonts w:ascii="Arial" w:hAnsi="Arial" w:cs="Arial"/>
          <w:color w:val="000000" w:themeColor="text1"/>
          <w:sz w:val="20"/>
          <w:szCs w:val="20"/>
        </w:rPr>
        <w:t xml:space="preserve">[…] en el artículo 1 de la Ley 2160 de 2021, por la cual se modificó el artículo 6 de la Ley 80 de 1993, establece que tienen capacidad para celebrar contratos con las entidades estatales: i) los cabildos indígenas, </w:t>
      </w:r>
      <w:proofErr w:type="spellStart"/>
      <w:r w:rsidRPr="00FC3AF6">
        <w:rPr>
          <w:rFonts w:ascii="Arial" w:hAnsi="Arial" w:cs="Arial"/>
          <w:color w:val="000000" w:themeColor="text1"/>
          <w:sz w:val="20"/>
          <w:szCs w:val="20"/>
        </w:rPr>
        <w:t>ii</w:t>
      </w:r>
      <w:proofErr w:type="spellEnd"/>
      <w:r w:rsidRPr="00FC3AF6">
        <w:rPr>
          <w:rFonts w:ascii="Arial" w:hAnsi="Arial" w:cs="Arial"/>
          <w:color w:val="000000" w:themeColor="text1"/>
          <w:sz w:val="20"/>
          <w:szCs w:val="20"/>
        </w:rPr>
        <w:t xml:space="preserve">) las asociaciones de Autoridades Tradicionales Indígenas y, </w:t>
      </w:r>
      <w:proofErr w:type="spellStart"/>
      <w:r w:rsidRPr="00FC3AF6">
        <w:rPr>
          <w:rFonts w:ascii="Arial" w:hAnsi="Arial" w:cs="Arial"/>
          <w:color w:val="000000" w:themeColor="text1"/>
          <w:sz w:val="20"/>
          <w:szCs w:val="20"/>
        </w:rPr>
        <w:t>iii</w:t>
      </w:r>
      <w:proofErr w:type="spellEnd"/>
      <w:r w:rsidRPr="00FC3AF6">
        <w:rPr>
          <w:rFonts w:ascii="Arial" w:hAnsi="Arial" w:cs="Arial"/>
          <w:color w:val="000000" w:themeColor="text1"/>
          <w:sz w:val="20"/>
          <w:szCs w:val="20"/>
        </w:rPr>
        <w:t xml:space="preserve">) los consejos comunitarios de las comunidades negras regulados por la Ley 70 de 1993. Por su parte, esta norma </w:t>
      </w:r>
      <w:r w:rsidRPr="00FC3AF6">
        <w:rPr>
          <w:rFonts w:ascii="Arial" w:hAnsi="Arial" w:cs="Arial"/>
          <w:color w:val="000000" w:themeColor="text1"/>
          <w:sz w:val="20"/>
          <w:szCs w:val="20"/>
        </w:rPr>
        <w:lastRenderedPageBreak/>
        <w:t>también faculta a las organizaciones de base de comunidades negras, afrocolombianas, raizales y palenqueras y las demás formas y expresiones organizativos que cuenten con diez (10) años o más de haber sido incorporados por el Ministerio de Interior en el correspondiente Registro Público Único Nacional y que hayan cumplido con el deber de actualización.</w:t>
      </w:r>
    </w:p>
    <w:p w14:paraId="2333C769" w14:textId="77777777" w:rsidR="00FC3AF6" w:rsidRPr="00FC3AF6" w:rsidRDefault="00FC3AF6" w:rsidP="00FC3AF6">
      <w:pPr>
        <w:jc w:val="both"/>
        <w:rPr>
          <w:rFonts w:ascii="Arial" w:hAnsi="Arial" w:cs="Arial"/>
          <w:color w:val="000000" w:themeColor="text1"/>
          <w:sz w:val="20"/>
          <w:szCs w:val="20"/>
        </w:rPr>
      </w:pPr>
      <w:r w:rsidRPr="00FC3AF6">
        <w:rPr>
          <w:rFonts w:ascii="Arial" w:hAnsi="Arial" w:cs="Arial"/>
          <w:color w:val="000000" w:themeColor="text1"/>
          <w:sz w:val="20"/>
          <w:szCs w:val="20"/>
        </w:rPr>
        <w:t xml:space="preserve">En este sentido, a partir de la expedición de la Ley 2160 de 2021 se amplía la facultad de celebrar contratos con entidades estatales a determinadas comunidades indígenas y a las comunidades afrodescendientes, particularmente, a los cabildos indígenas, las asociaciones de autoridades tradicionales indígenas y los consejos comunitarios de comunidades negras. De igual forma, permite a las organizaciones de base de comunidades negras, afrocolombianas, raizales y palenqueras y las demás formas y expresiones organizativas que cuenten con diez (10) años o más de haber sido incorporadas en el Registro Público Único Nacional del Ministerio del Interior para celebrar contratos con entidades estatales.   </w:t>
      </w:r>
    </w:p>
    <w:p w14:paraId="1475C916" w14:textId="77777777" w:rsidR="00FC3AF6" w:rsidRPr="00FC3AF6" w:rsidRDefault="00FC3AF6" w:rsidP="00FC3AF6">
      <w:pPr>
        <w:jc w:val="both"/>
        <w:rPr>
          <w:rFonts w:ascii="Arial" w:hAnsi="Arial" w:cs="Arial"/>
          <w:color w:val="000000" w:themeColor="text1"/>
          <w:sz w:val="20"/>
          <w:szCs w:val="20"/>
        </w:rPr>
      </w:pPr>
    </w:p>
    <w:p w14:paraId="05AFFE7A" w14:textId="77777777" w:rsidR="00FC3AF6" w:rsidRPr="00EE063E" w:rsidRDefault="00FC3AF6" w:rsidP="00FC3AF6">
      <w:pPr>
        <w:jc w:val="both"/>
        <w:rPr>
          <w:rFonts w:ascii="Arial" w:hAnsi="Arial" w:cs="Arial"/>
          <w:color w:val="000000" w:themeColor="text1"/>
          <w:sz w:val="22"/>
          <w:lang w:val="es-CO"/>
        </w:rPr>
      </w:pPr>
      <w:r w:rsidRPr="00EE063E">
        <w:rPr>
          <w:rFonts w:ascii="Arial" w:hAnsi="Arial" w:cs="Arial"/>
          <w:b/>
          <w:bCs/>
          <w:color w:val="000000" w:themeColor="text1"/>
          <w:sz w:val="22"/>
          <w:lang w:val="es-CO"/>
        </w:rPr>
        <w:t>CAPACIDAD PARA CONTRATAR – Comunidades étnicas – Operadores catastrales</w:t>
      </w:r>
    </w:p>
    <w:p w14:paraId="4BC24B9C" w14:textId="77777777" w:rsidR="00FC3AF6" w:rsidRPr="00FC3AF6" w:rsidRDefault="00FC3AF6" w:rsidP="00FC3AF6">
      <w:pPr>
        <w:jc w:val="both"/>
        <w:rPr>
          <w:rFonts w:ascii="Arial" w:hAnsi="Arial" w:cs="Arial"/>
          <w:color w:val="000000" w:themeColor="text1"/>
          <w:sz w:val="20"/>
          <w:szCs w:val="20"/>
          <w:lang w:val="es-CO"/>
        </w:rPr>
      </w:pPr>
    </w:p>
    <w:p w14:paraId="3D2A01B9" w14:textId="19F03EB6" w:rsidR="00FC3AF6" w:rsidRPr="00EE063E" w:rsidRDefault="00FC3AF6" w:rsidP="00FC3AF6">
      <w:pPr>
        <w:jc w:val="both"/>
        <w:rPr>
          <w:rFonts w:ascii="Arial" w:hAnsi="Arial" w:cs="Arial"/>
          <w:color w:val="000000" w:themeColor="text1"/>
          <w:sz w:val="20"/>
          <w:szCs w:val="20"/>
        </w:rPr>
      </w:pPr>
      <w:r w:rsidRPr="00EE063E">
        <w:rPr>
          <w:rFonts w:ascii="Arial" w:hAnsi="Arial" w:cs="Arial"/>
          <w:color w:val="000000" w:themeColor="text1"/>
          <w:sz w:val="20"/>
          <w:szCs w:val="20"/>
        </w:rPr>
        <w:t xml:space="preserve">La Agencia Nacional de Contratación Pública considera que, si bien a partir de la expedición de la Ley 2160 de 2021 se permite a los cabildos indígenas, a las asociaciones de Autoridades Tradicionales Indígenas, a los consejos comunitarios de las comunidades negras, incluso a organizaciones de base de comunidades negras, afrocolombianas, raizales y palenquera, entre otros, para celebrar contratos con las entidades estatales, esta norma no faculta per se a que estas entidades sean operadores catastrales. </w:t>
      </w:r>
    </w:p>
    <w:p w14:paraId="0F90EF26" w14:textId="77777777" w:rsidR="00FC3AF6" w:rsidRPr="00EE063E" w:rsidRDefault="00FC3AF6" w:rsidP="00FC3AF6">
      <w:pPr>
        <w:jc w:val="both"/>
        <w:rPr>
          <w:rFonts w:ascii="Arial" w:hAnsi="Arial" w:cs="Arial"/>
          <w:color w:val="000000" w:themeColor="text1"/>
          <w:sz w:val="20"/>
          <w:szCs w:val="20"/>
        </w:rPr>
      </w:pPr>
      <w:r w:rsidRPr="00EE063E">
        <w:rPr>
          <w:rFonts w:ascii="Arial" w:hAnsi="Arial" w:cs="Arial"/>
          <w:color w:val="000000" w:themeColor="text1"/>
          <w:sz w:val="20"/>
          <w:szCs w:val="20"/>
        </w:rPr>
        <w:t xml:space="preserve">Lo anterior, debido a que tal y como se explicó previamente, el artículo 2.2.2.5.11 del Decreto 1983 de 2019 prevé los requisitos necesarios que deberán verificar los gestores catastrales para contratar a los operadores catastrales. Estos requisitos son: i) jurídicos estar constituido como una persona jurídica de derecho público o privado y acreditar que dentro de su objeto social se contemple cualquiera de las actividades que sirvan de insumos para adelantar los procesos de formación, actualización y conservación catastral, </w:t>
      </w:r>
      <w:proofErr w:type="spellStart"/>
      <w:r w:rsidRPr="00EE063E">
        <w:rPr>
          <w:rFonts w:ascii="Arial" w:hAnsi="Arial" w:cs="Arial"/>
          <w:color w:val="000000" w:themeColor="text1"/>
          <w:sz w:val="20"/>
          <w:szCs w:val="20"/>
        </w:rPr>
        <w:t>ii</w:t>
      </w:r>
      <w:proofErr w:type="spellEnd"/>
      <w:r w:rsidRPr="00EE063E">
        <w:rPr>
          <w:rFonts w:ascii="Arial" w:hAnsi="Arial" w:cs="Arial"/>
          <w:color w:val="000000" w:themeColor="text1"/>
          <w:sz w:val="20"/>
          <w:szCs w:val="20"/>
        </w:rPr>
        <w:t xml:space="preserve">) técnicos contar con profesionales y/o técnicos que contribuyan al desarrollo de los procesos de formación, actualización y conservación catastral y, </w:t>
      </w:r>
      <w:proofErr w:type="spellStart"/>
      <w:r w:rsidRPr="00EE063E">
        <w:rPr>
          <w:rFonts w:ascii="Arial" w:hAnsi="Arial" w:cs="Arial"/>
          <w:color w:val="000000" w:themeColor="text1"/>
          <w:sz w:val="20"/>
          <w:szCs w:val="20"/>
        </w:rPr>
        <w:t>iii</w:t>
      </w:r>
      <w:proofErr w:type="spellEnd"/>
      <w:r w:rsidRPr="00EE063E">
        <w:rPr>
          <w:rFonts w:ascii="Arial" w:hAnsi="Arial" w:cs="Arial"/>
          <w:color w:val="000000" w:themeColor="text1"/>
          <w:sz w:val="20"/>
          <w:szCs w:val="20"/>
        </w:rPr>
        <w:t>) financieras contar con la capacidad financiera necesaria para desarrollar las actividades que sirvan de insumo para adelantar los procesos de formación, actualización y conservación catastral, así como los procedimientos del enfoque catastral multipropósito. De esta manera, dada la especialidad de la gestión catastral, el Gobierno nacional estableció algunos requisitos particulares de idoneidad que deben reunir los operadores catastrales, los cuales corresponde verificar a los gestores catastrales cuando deseen contratarlos, por lo que no basta con tener capacidad contractual, sino que se deben cumplir los requisitos especiales establecidos en el Decreto 1983 de 2019 –compilado en el Decreto 1170 de 2015–.</w:t>
      </w:r>
    </w:p>
    <w:p w14:paraId="46334F95" w14:textId="77777777" w:rsidR="00FC3AF6" w:rsidRPr="00FC3AF6" w:rsidRDefault="00FC3AF6" w:rsidP="00FC3AF6">
      <w:pPr>
        <w:jc w:val="both"/>
        <w:rPr>
          <w:rFonts w:ascii="Arial" w:hAnsi="Arial" w:cs="Arial"/>
          <w:color w:val="000000" w:themeColor="text1"/>
          <w:sz w:val="20"/>
          <w:szCs w:val="20"/>
        </w:rPr>
      </w:pPr>
    </w:p>
    <w:p w14:paraId="56497820" w14:textId="77777777" w:rsidR="00884796" w:rsidRPr="00884796" w:rsidRDefault="00884796" w:rsidP="001F0B64">
      <w:pPr>
        <w:jc w:val="both"/>
        <w:rPr>
          <w:rFonts w:ascii="Arial" w:hAnsi="Arial" w:cs="Arial"/>
          <w:color w:val="000000" w:themeColor="text1"/>
          <w:sz w:val="20"/>
          <w:szCs w:val="20"/>
        </w:rPr>
      </w:pPr>
    </w:p>
    <w:p w14:paraId="161E7AF4" w14:textId="77777777" w:rsidR="00884796" w:rsidRDefault="00884796" w:rsidP="001F0B64">
      <w:pPr>
        <w:jc w:val="both"/>
        <w:rPr>
          <w:rFonts w:ascii="Arial" w:hAnsi="Arial" w:cs="Arial"/>
          <w:color w:val="000000" w:themeColor="text1"/>
          <w:sz w:val="20"/>
          <w:szCs w:val="20"/>
          <w:lang w:val="es-CO"/>
        </w:rPr>
      </w:pPr>
    </w:p>
    <w:p w14:paraId="4D2E0337" w14:textId="77777777" w:rsidR="00884796" w:rsidRDefault="00884796" w:rsidP="001F0B64">
      <w:pPr>
        <w:jc w:val="both"/>
        <w:rPr>
          <w:rFonts w:ascii="Arial" w:hAnsi="Arial" w:cs="Arial"/>
          <w:color w:val="000000" w:themeColor="text1"/>
          <w:sz w:val="20"/>
          <w:szCs w:val="20"/>
          <w:lang w:val="es-CO"/>
        </w:rPr>
      </w:pPr>
    </w:p>
    <w:p w14:paraId="64A7BCA7" w14:textId="77777777" w:rsidR="00884796" w:rsidRDefault="00884796" w:rsidP="001F0B64">
      <w:pPr>
        <w:jc w:val="both"/>
        <w:rPr>
          <w:rFonts w:ascii="Arial" w:hAnsi="Arial" w:cs="Arial"/>
          <w:color w:val="000000" w:themeColor="text1"/>
          <w:sz w:val="20"/>
          <w:szCs w:val="20"/>
          <w:lang w:val="es-CO"/>
        </w:rPr>
      </w:pPr>
    </w:p>
    <w:p w14:paraId="3C729CEE" w14:textId="77777777" w:rsidR="00884796" w:rsidRDefault="00884796" w:rsidP="001F0B64">
      <w:pPr>
        <w:jc w:val="both"/>
        <w:rPr>
          <w:rFonts w:ascii="Arial" w:hAnsi="Arial" w:cs="Arial"/>
          <w:color w:val="000000" w:themeColor="text1"/>
          <w:sz w:val="20"/>
          <w:szCs w:val="20"/>
          <w:lang w:val="es-CO"/>
        </w:rPr>
      </w:pPr>
    </w:p>
    <w:p w14:paraId="23652F15" w14:textId="77777777" w:rsidR="00884796" w:rsidRDefault="00884796" w:rsidP="001F0B64">
      <w:pPr>
        <w:jc w:val="both"/>
        <w:rPr>
          <w:rFonts w:ascii="Arial" w:hAnsi="Arial" w:cs="Arial"/>
          <w:color w:val="000000" w:themeColor="text1"/>
          <w:sz w:val="20"/>
          <w:szCs w:val="20"/>
          <w:lang w:val="es-CO"/>
        </w:rPr>
      </w:pPr>
    </w:p>
    <w:p w14:paraId="5B9A7D8B" w14:textId="77777777" w:rsidR="00884796" w:rsidRDefault="00884796" w:rsidP="001F0B64">
      <w:pPr>
        <w:jc w:val="both"/>
        <w:rPr>
          <w:rFonts w:ascii="Arial" w:hAnsi="Arial" w:cs="Arial"/>
          <w:color w:val="000000" w:themeColor="text1"/>
          <w:sz w:val="20"/>
          <w:szCs w:val="20"/>
          <w:lang w:val="es-CO"/>
        </w:rPr>
      </w:pPr>
    </w:p>
    <w:p w14:paraId="38485BAB" w14:textId="77777777" w:rsidR="00884796" w:rsidRDefault="00884796" w:rsidP="001F0B64">
      <w:pPr>
        <w:jc w:val="both"/>
        <w:rPr>
          <w:rFonts w:ascii="Arial" w:hAnsi="Arial" w:cs="Arial"/>
          <w:color w:val="000000" w:themeColor="text1"/>
          <w:sz w:val="20"/>
          <w:szCs w:val="20"/>
          <w:lang w:val="es-CO"/>
        </w:rPr>
      </w:pPr>
    </w:p>
    <w:p w14:paraId="2CC47233" w14:textId="77777777" w:rsidR="00884796" w:rsidRDefault="00884796" w:rsidP="001F0B64">
      <w:pPr>
        <w:jc w:val="both"/>
        <w:rPr>
          <w:rFonts w:ascii="Arial" w:hAnsi="Arial" w:cs="Arial"/>
          <w:color w:val="000000" w:themeColor="text1"/>
          <w:sz w:val="20"/>
          <w:szCs w:val="20"/>
          <w:lang w:val="es-CO"/>
        </w:rPr>
      </w:pPr>
    </w:p>
    <w:p w14:paraId="360D4DD3" w14:textId="77777777" w:rsidR="00884796" w:rsidRDefault="00884796" w:rsidP="001F0B64">
      <w:pPr>
        <w:jc w:val="both"/>
        <w:rPr>
          <w:rFonts w:ascii="Arial" w:hAnsi="Arial" w:cs="Arial"/>
          <w:color w:val="000000" w:themeColor="text1"/>
          <w:sz w:val="20"/>
          <w:szCs w:val="20"/>
          <w:lang w:val="es-CO"/>
        </w:rPr>
      </w:pPr>
    </w:p>
    <w:p w14:paraId="48DD8665" w14:textId="77777777" w:rsidR="00884796" w:rsidRDefault="00884796" w:rsidP="001F0B64">
      <w:pPr>
        <w:jc w:val="both"/>
        <w:rPr>
          <w:rFonts w:ascii="Arial" w:hAnsi="Arial" w:cs="Arial"/>
          <w:color w:val="000000" w:themeColor="text1"/>
          <w:sz w:val="20"/>
          <w:szCs w:val="20"/>
          <w:lang w:val="es-CO"/>
        </w:rPr>
      </w:pPr>
    </w:p>
    <w:p w14:paraId="572879BC" w14:textId="77777777" w:rsidR="00884796" w:rsidRDefault="00884796" w:rsidP="001F0B64">
      <w:pPr>
        <w:jc w:val="both"/>
        <w:rPr>
          <w:rFonts w:ascii="Arial" w:hAnsi="Arial" w:cs="Arial"/>
          <w:color w:val="000000" w:themeColor="text1"/>
          <w:sz w:val="20"/>
          <w:szCs w:val="20"/>
          <w:lang w:val="es-CO"/>
        </w:rPr>
      </w:pPr>
    </w:p>
    <w:p w14:paraId="262A48B3" w14:textId="77777777" w:rsidR="00884796" w:rsidRDefault="00884796" w:rsidP="001F0B64">
      <w:pPr>
        <w:jc w:val="both"/>
        <w:rPr>
          <w:rFonts w:ascii="Arial" w:hAnsi="Arial" w:cs="Arial"/>
          <w:color w:val="000000" w:themeColor="text1"/>
          <w:sz w:val="20"/>
          <w:szCs w:val="20"/>
          <w:lang w:val="es-CO"/>
        </w:rPr>
      </w:pPr>
    </w:p>
    <w:p w14:paraId="40E1ECAF" w14:textId="77777777" w:rsidR="00884796" w:rsidRDefault="00884796" w:rsidP="001F0B64">
      <w:pPr>
        <w:jc w:val="both"/>
        <w:rPr>
          <w:rFonts w:ascii="Arial" w:hAnsi="Arial" w:cs="Arial"/>
          <w:color w:val="000000" w:themeColor="text1"/>
          <w:sz w:val="20"/>
          <w:szCs w:val="20"/>
          <w:lang w:val="es-CO"/>
        </w:rPr>
      </w:pPr>
    </w:p>
    <w:p w14:paraId="17235725" w14:textId="77777777" w:rsidR="00884796" w:rsidRDefault="00884796" w:rsidP="001F0B64">
      <w:pPr>
        <w:jc w:val="both"/>
        <w:rPr>
          <w:rFonts w:ascii="Arial" w:hAnsi="Arial" w:cs="Arial"/>
          <w:color w:val="000000" w:themeColor="text1"/>
          <w:sz w:val="20"/>
          <w:szCs w:val="20"/>
          <w:lang w:val="es-CO"/>
        </w:rPr>
      </w:pPr>
    </w:p>
    <w:p w14:paraId="54D5F1D0" w14:textId="77777777" w:rsidR="00884796" w:rsidRDefault="00884796" w:rsidP="001F0B64">
      <w:pPr>
        <w:jc w:val="both"/>
        <w:rPr>
          <w:rFonts w:ascii="Arial" w:hAnsi="Arial" w:cs="Arial"/>
          <w:color w:val="000000" w:themeColor="text1"/>
          <w:sz w:val="20"/>
          <w:szCs w:val="20"/>
          <w:lang w:val="es-CO"/>
        </w:rPr>
      </w:pPr>
    </w:p>
    <w:p w14:paraId="27A646BF" w14:textId="77777777" w:rsidR="001F0B64" w:rsidRPr="001C7398" w:rsidRDefault="001F0B64" w:rsidP="001F0B64">
      <w:pPr>
        <w:jc w:val="right"/>
        <w:rPr>
          <w:rFonts w:ascii="Arial" w:hAnsi="Arial" w:cs="Arial"/>
          <w:b/>
          <w:color w:val="000000" w:themeColor="text1"/>
          <w:sz w:val="22"/>
          <w:lang w:val="es-CO"/>
        </w:rPr>
      </w:pPr>
    </w:p>
    <w:p w14:paraId="30F4D2FF" w14:textId="35BADDCD" w:rsidR="001F0B64" w:rsidRPr="001C7398" w:rsidRDefault="001F0B64" w:rsidP="001F0B64">
      <w:pPr>
        <w:tabs>
          <w:tab w:val="left" w:pos="1535"/>
        </w:tabs>
        <w:jc w:val="right"/>
        <w:rPr>
          <w:rFonts w:ascii="Arial" w:eastAsia="Calibri" w:hAnsi="Arial" w:cs="Arial"/>
          <w:color w:val="000000" w:themeColor="text1"/>
          <w:sz w:val="22"/>
          <w:lang w:val="es-CO"/>
        </w:rPr>
      </w:pPr>
    </w:p>
    <w:p w14:paraId="6CD63CEE" w14:textId="5669480F" w:rsidR="001F0B64" w:rsidRPr="001C7398" w:rsidRDefault="00A56E51" w:rsidP="00A56E51">
      <w:pPr>
        <w:tabs>
          <w:tab w:val="left" w:pos="1535"/>
        </w:tabs>
        <w:jc w:val="right"/>
        <w:rPr>
          <w:rFonts w:ascii="Arial" w:eastAsia="Calibri" w:hAnsi="Arial" w:cs="Arial"/>
          <w:color w:val="000000" w:themeColor="text1"/>
          <w:sz w:val="22"/>
          <w:lang w:val="es-CO"/>
        </w:rPr>
      </w:pPr>
      <w:r>
        <w:rPr>
          <w:noProof/>
        </w:rPr>
        <w:drawing>
          <wp:inline distT="0" distB="0" distL="0" distR="0" wp14:anchorId="5892211F" wp14:editId="27549D8B">
            <wp:extent cx="2399558" cy="666544"/>
            <wp:effectExtent l="0" t="0" r="1270"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09940" cy="669428"/>
                    </a:xfrm>
                    <a:prstGeom prst="rect">
                      <a:avLst/>
                    </a:prstGeom>
                  </pic:spPr>
                </pic:pic>
              </a:graphicData>
            </a:graphic>
          </wp:inline>
        </w:drawing>
      </w:r>
    </w:p>
    <w:p w14:paraId="2F6C45C2" w14:textId="77777777" w:rsidR="00D80A89" w:rsidRDefault="00D80A89" w:rsidP="001F0B64">
      <w:pPr>
        <w:tabs>
          <w:tab w:val="left" w:pos="1535"/>
        </w:tabs>
        <w:jc w:val="both"/>
        <w:rPr>
          <w:rFonts w:ascii="Arial" w:eastAsia="Calibri" w:hAnsi="Arial" w:cs="Arial"/>
          <w:color w:val="000000" w:themeColor="text1"/>
          <w:sz w:val="22"/>
          <w:lang w:val="es-ES_tradnl"/>
        </w:rPr>
      </w:pPr>
    </w:p>
    <w:p w14:paraId="5D0FAE37" w14:textId="4DA56C0E" w:rsidR="00D80A89" w:rsidRPr="00D80A89" w:rsidRDefault="00D80A89" w:rsidP="00D80A89">
      <w:pPr>
        <w:rPr>
          <w:rFonts w:ascii="Arial" w:eastAsia="Arial" w:hAnsi="Arial" w:cs="Arial"/>
          <w:color w:val="000000"/>
          <w:sz w:val="22"/>
          <w:lang w:eastAsia="es-ES_tradnl"/>
        </w:rPr>
      </w:pPr>
      <w:r w:rsidRPr="00D80A89">
        <w:rPr>
          <w:rFonts w:ascii="Arial" w:eastAsia="Arial" w:hAnsi="Arial" w:cs="Arial"/>
          <w:color w:val="000000"/>
          <w:sz w:val="22"/>
          <w:lang w:eastAsia="es-ES_tradnl"/>
        </w:rPr>
        <w:t>Bogotá, 2</w:t>
      </w:r>
      <w:r>
        <w:rPr>
          <w:rFonts w:ascii="Arial" w:eastAsia="Arial" w:hAnsi="Arial" w:cs="Arial"/>
          <w:color w:val="000000"/>
          <w:sz w:val="22"/>
          <w:lang w:eastAsia="es-ES_tradnl"/>
        </w:rPr>
        <w:t>6</w:t>
      </w:r>
      <w:r w:rsidRPr="00D80A89">
        <w:rPr>
          <w:rFonts w:ascii="Arial" w:eastAsia="Arial" w:hAnsi="Arial" w:cs="Arial"/>
          <w:color w:val="000000"/>
          <w:sz w:val="22"/>
          <w:lang w:eastAsia="es-ES_tradnl"/>
        </w:rPr>
        <w:t xml:space="preserve"> </w:t>
      </w:r>
      <w:proofErr w:type="gramStart"/>
      <w:r w:rsidRPr="00D80A89">
        <w:rPr>
          <w:rFonts w:ascii="Arial" w:eastAsia="Arial" w:hAnsi="Arial" w:cs="Arial"/>
          <w:color w:val="000000"/>
          <w:sz w:val="22"/>
          <w:lang w:eastAsia="es-ES_tradnl"/>
        </w:rPr>
        <w:t>Enero</w:t>
      </w:r>
      <w:proofErr w:type="gramEnd"/>
      <w:r w:rsidRPr="00D80A89">
        <w:rPr>
          <w:rFonts w:ascii="Arial" w:eastAsia="Arial" w:hAnsi="Arial" w:cs="Arial"/>
          <w:color w:val="000000"/>
          <w:sz w:val="22"/>
          <w:lang w:eastAsia="es-ES_tradnl"/>
        </w:rPr>
        <w:t xml:space="preserve"> 2022</w:t>
      </w:r>
    </w:p>
    <w:p w14:paraId="56B0F0B8" w14:textId="77777777" w:rsidR="00D80A89" w:rsidRDefault="00D80A89" w:rsidP="001F0B64">
      <w:pPr>
        <w:tabs>
          <w:tab w:val="left" w:pos="1535"/>
        </w:tabs>
        <w:jc w:val="both"/>
        <w:rPr>
          <w:rFonts w:ascii="Arial" w:eastAsia="Calibri" w:hAnsi="Arial" w:cs="Arial"/>
          <w:color w:val="000000" w:themeColor="text1"/>
          <w:sz w:val="22"/>
          <w:lang w:val="es-ES_tradnl"/>
        </w:rPr>
      </w:pPr>
    </w:p>
    <w:p w14:paraId="71EC78FC" w14:textId="67BCF286" w:rsidR="001F0B64" w:rsidRDefault="001F0B64" w:rsidP="001F0B64">
      <w:pPr>
        <w:tabs>
          <w:tab w:val="left" w:pos="1535"/>
        </w:tabs>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Señor</w:t>
      </w:r>
      <w:r>
        <w:rPr>
          <w:rFonts w:ascii="Arial" w:eastAsia="Calibri" w:hAnsi="Arial" w:cs="Arial"/>
          <w:color w:val="000000" w:themeColor="text1"/>
          <w:sz w:val="22"/>
          <w:lang w:val="es-ES_tradnl"/>
        </w:rPr>
        <w:t>a</w:t>
      </w:r>
    </w:p>
    <w:p w14:paraId="17EA4593" w14:textId="1DEB2BDF" w:rsidR="001F0B64" w:rsidRPr="00C3441A" w:rsidRDefault="001F0B64" w:rsidP="001F0B64">
      <w:pPr>
        <w:tabs>
          <w:tab w:val="left" w:pos="1535"/>
        </w:tabs>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Ana María Aljure Reales</w:t>
      </w:r>
    </w:p>
    <w:p w14:paraId="06282588" w14:textId="2AF12683" w:rsidR="001F0B64" w:rsidRDefault="001F0B64" w:rsidP="001F0B64">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Directora General </w:t>
      </w:r>
    </w:p>
    <w:p w14:paraId="6096E964" w14:textId="37A42174" w:rsidR="001F0B64" w:rsidRDefault="001F0B64" w:rsidP="001F0B64">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Instituto Geográfico Agustín Codazzi</w:t>
      </w:r>
    </w:p>
    <w:p w14:paraId="117BCCC8" w14:textId="076AC2FA" w:rsidR="001F0B64" w:rsidRPr="0069239E" w:rsidRDefault="001F0B64" w:rsidP="001F0B64">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556BC6DB" w14:textId="77777777" w:rsidR="001F0B64" w:rsidRDefault="001F0B64" w:rsidP="001F0B64">
      <w:pPr>
        <w:jc w:val="both"/>
        <w:rPr>
          <w:rFonts w:ascii="Arial" w:eastAsia="Calibri" w:hAnsi="Arial" w:cs="Arial"/>
          <w:color w:val="000000" w:themeColor="text1"/>
          <w:sz w:val="22"/>
          <w:lang w:val="es-ES_tradnl"/>
        </w:rPr>
      </w:pPr>
    </w:p>
    <w:p w14:paraId="22B8B439" w14:textId="77777777" w:rsidR="001F0B64" w:rsidRPr="0069239E" w:rsidRDefault="001F0B64" w:rsidP="001F0B64">
      <w:pPr>
        <w:jc w:val="both"/>
        <w:rPr>
          <w:rFonts w:ascii="Arial" w:eastAsia="Calibri" w:hAnsi="Arial" w:cs="Arial"/>
          <w:color w:val="000000" w:themeColor="text1"/>
          <w:sz w:val="22"/>
          <w:lang w:val="es-ES_tradnl"/>
        </w:rPr>
      </w:pPr>
    </w:p>
    <w:p w14:paraId="22E6C16E" w14:textId="1CCD5CB2" w:rsidR="001F0B64" w:rsidRDefault="001F0B64" w:rsidP="001F0B64">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Pr="0069239E">
        <w:rPr>
          <w:rFonts w:ascii="Arial" w:eastAsia="Calibri" w:hAnsi="Arial" w:cs="Arial"/>
          <w:b/>
          <w:bCs/>
          <w:color w:val="000000" w:themeColor="text1"/>
          <w:sz w:val="22"/>
          <w:lang w:val="es-ES_tradnl"/>
        </w:rPr>
        <w:t xml:space="preserve">Concepto C ‒ </w:t>
      </w:r>
      <w:r w:rsidR="006B4389">
        <w:rPr>
          <w:rFonts w:ascii="Arial" w:eastAsia="Calibri" w:hAnsi="Arial" w:cs="Arial"/>
          <w:b/>
          <w:bCs/>
          <w:color w:val="000000" w:themeColor="text1"/>
          <w:sz w:val="22"/>
          <w:lang w:val="es-ES_tradnl"/>
        </w:rPr>
        <w:t>731</w:t>
      </w:r>
      <w:r w:rsidRPr="0069239E">
        <w:rPr>
          <w:rFonts w:ascii="Arial" w:eastAsia="Calibri" w:hAnsi="Arial" w:cs="Arial"/>
          <w:b/>
          <w:bCs/>
          <w:color w:val="000000" w:themeColor="text1"/>
          <w:sz w:val="22"/>
          <w:lang w:val="es-ES_tradnl"/>
        </w:rPr>
        <w:t xml:space="preserve"> de 202</w:t>
      </w:r>
      <w:r>
        <w:rPr>
          <w:rFonts w:ascii="Arial" w:eastAsia="Calibri" w:hAnsi="Arial" w:cs="Arial"/>
          <w:b/>
          <w:bCs/>
          <w:color w:val="000000" w:themeColor="text1"/>
          <w:sz w:val="22"/>
          <w:lang w:val="es-ES_tradnl"/>
        </w:rPr>
        <w:t>1</w:t>
      </w:r>
    </w:p>
    <w:p w14:paraId="099760D2" w14:textId="77777777" w:rsidR="001F0B64" w:rsidRPr="0069239E" w:rsidRDefault="001F0B64" w:rsidP="001F0B64">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F0B64" w:rsidRPr="00884796" w14:paraId="257F9A81" w14:textId="77777777" w:rsidTr="00D02BAC">
        <w:trPr>
          <w:trHeight w:val="1174"/>
        </w:trPr>
        <w:tc>
          <w:tcPr>
            <w:tcW w:w="2689" w:type="dxa"/>
          </w:tcPr>
          <w:p w14:paraId="0F6A1330" w14:textId="77777777" w:rsidR="001F0B64" w:rsidRPr="0069239E" w:rsidRDefault="001F0B64" w:rsidP="00D02BAC">
            <w:pPr>
              <w:jc w:val="both"/>
              <w:rPr>
                <w:rFonts w:ascii="Arial" w:eastAsia="Calibri" w:hAnsi="Arial" w:cs="Arial"/>
                <w:color w:val="000000" w:themeColor="text1"/>
                <w:sz w:val="22"/>
                <w:lang w:val="es-ES_tradnl"/>
              </w:rPr>
            </w:pPr>
            <w:r w:rsidRPr="0069239E">
              <w:rPr>
                <w:rFonts w:ascii="Arial" w:eastAsia="Calibri" w:hAnsi="Arial" w:cs="Arial"/>
                <w:b/>
                <w:color w:val="000000" w:themeColor="text1"/>
                <w:sz w:val="22"/>
                <w:lang w:val="es-ES_tradnl"/>
              </w:rPr>
              <w:t>Temas:</w:t>
            </w:r>
            <w:r w:rsidRPr="0069239E">
              <w:rPr>
                <w:rFonts w:ascii="Arial" w:eastAsia="Calibri" w:hAnsi="Arial" w:cs="Arial"/>
                <w:color w:val="000000" w:themeColor="text1"/>
                <w:sz w:val="22"/>
                <w:lang w:val="es-ES_tradnl"/>
              </w:rPr>
              <w:t xml:space="preserve"> </w:t>
            </w:r>
          </w:p>
        </w:tc>
        <w:tc>
          <w:tcPr>
            <w:tcW w:w="6237" w:type="dxa"/>
          </w:tcPr>
          <w:p w14:paraId="28B0E0B4" w14:textId="77777777" w:rsidR="00884796" w:rsidRPr="00884796" w:rsidRDefault="001F0B64" w:rsidP="00884796">
            <w:pPr>
              <w:jc w:val="both"/>
              <w:rPr>
                <w:rFonts w:ascii="Arial" w:hAnsi="Arial" w:cs="Arial"/>
                <w:color w:val="000000" w:themeColor="text1"/>
                <w:sz w:val="20"/>
                <w:szCs w:val="20"/>
                <w:lang w:val="es-CO"/>
              </w:rPr>
            </w:pPr>
            <w:r w:rsidRPr="00884796">
              <w:rPr>
                <w:rFonts w:ascii="Arial" w:hAnsi="Arial" w:cs="Arial"/>
                <w:color w:val="000000" w:themeColor="text1"/>
                <w:sz w:val="22"/>
                <w:lang w:val="es-CO"/>
              </w:rPr>
              <w:t xml:space="preserve">SERVICIO PÚBLICO DE GESTIÓN CATASTRAL ‒ Concepto / </w:t>
            </w:r>
            <w:bookmarkStart w:id="0" w:name="_Hlk92963465"/>
            <w:r w:rsidRPr="00884796">
              <w:rPr>
                <w:rFonts w:ascii="Arial" w:hAnsi="Arial" w:cs="Arial"/>
                <w:color w:val="000000" w:themeColor="text1"/>
                <w:sz w:val="22"/>
                <w:lang w:val="es-CO"/>
              </w:rPr>
              <w:t>GESTORES CATASTRALES ‒ Requisitos ‒ Entidades públicas ‒ Contratación</w:t>
            </w:r>
            <w:bookmarkEnd w:id="0"/>
            <w:r w:rsidRPr="00884796">
              <w:rPr>
                <w:rFonts w:ascii="Arial" w:hAnsi="Arial" w:cs="Arial"/>
                <w:color w:val="000000" w:themeColor="text1"/>
                <w:sz w:val="22"/>
                <w:lang w:val="es-CO"/>
              </w:rPr>
              <w:t xml:space="preserve"> /</w:t>
            </w:r>
            <w:r w:rsidR="00BB609D" w:rsidRPr="00884796">
              <w:rPr>
                <w:rFonts w:ascii="Arial" w:hAnsi="Arial" w:cs="Arial"/>
                <w:color w:val="000000" w:themeColor="text1"/>
                <w:sz w:val="22"/>
                <w:lang w:val="es-CO"/>
              </w:rPr>
              <w:t xml:space="preserve"> OPERADORES CATASTRALES – Requisitos – Contratación /</w:t>
            </w:r>
            <w:r w:rsidRPr="00884796">
              <w:rPr>
                <w:rFonts w:ascii="Arial" w:hAnsi="Arial" w:cs="Arial"/>
                <w:color w:val="000000" w:themeColor="text1"/>
                <w:sz w:val="22"/>
                <w:lang w:val="es-CO"/>
              </w:rPr>
              <w:t xml:space="preserve"> </w:t>
            </w:r>
            <w:r w:rsidR="00884796" w:rsidRPr="00884796">
              <w:rPr>
                <w:rFonts w:ascii="Arial" w:hAnsi="Arial" w:cs="Arial"/>
                <w:color w:val="000000" w:themeColor="text1"/>
                <w:sz w:val="22"/>
                <w:lang w:val="es-CO"/>
              </w:rPr>
              <w:t>CAPACIDAD PARA CONTRATAR – Ley 2160 de 2021 – Propósito de la norma</w:t>
            </w:r>
            <w:r w:rsidR="00884796">
              <w:rPr>
                <w:rFonts w:ascii="Arial" w:hAnsi="Arial" w:cs="Arial"/>
                <w:color w:val="000000" w:themeColor="text1"/>
                <w:sz w:val="22"/>
                <w:lang w:val="es-CO"/>
              </w:rPr>
              <w:t xml:space="preserve"> / </w:t>
            </w:r>
            <w:r w:rsidR="00884796" w:rsidRPr="00884796">
              <w:rPr>
                <w:rFonts w:ascii="Arial" w:hAnsi="Arial" w:cs="Arial"/>
                <w:color w:val="000000" w:themeColor="text1"/>
                <w:sz w:val="22"/>
                <w:lang w:val="es-CO"/>
              </w:rPr>
              <w:t>CAPACIDAD PARA CONTRATAR – Ley 2160 de 2021 – Modificación del artículo 6 de la Ley 80 de 1993</w:t>
            </w:r>
            <w:r w:rsidR="00884796">
              <w:rPr>
                <w:rFonts w:ascii="Arial" w:hAnsi="Arial" w:cs="Arial"/>
                <w:color w:val="000000" w:themeColor="text1"/>
                <w:sz w:val="22"/>
                <w:lang w:val="es-CO"/>
              </w:rPr>
              <w:t xml:space="preserve"> / </w:t>
            </w:r>
            <w:r w:rsidR="00884796" w:rsidRPr="00884796">
              <w:rPr>
                <w:rFonts w:ascii="Arial" w:hAnsi="Arial" w:cs="Arial"/>
                <w:color w:val="000000" w:themeColor="text1"/>
                <w:sz w:val="22"/>
                <w:lang w:val="es-CO"/>
              </w:rPr>
              <w:t>CAPACIDAD PARA CONTRATAR – Comunidades étnicas – Operadores catastrales</w:t>
            </w:r>
          </w:p>
          <w:p w14:paraId="7B3E70F0" w14:textId="24A92811" w:rsidR="001F0B64" w:rsidRPr="00884796" w:rsidRDefault="001F0B64" w:rsidP="00C67DDF">
            <w:pPr>
              <w:jc w:val="both"/>
              <w:rPr>
                <w:rFonts w:ascii="Arial" w:hAnsi="Arial" w:cs="Arial"/>
                <w:color w:val="000000" w:themeColor="text1"/>
                <w:sz w:val="22"/>
                <w:lang w:val="es-CO"/>
              </w:rPr>
            </w:pPr>
          </w:p>
        </w:tc>
      </w:tr>
      <w:tr w:rsidR="001F0B64" w:rsidRPr="0069239E" w14:paraId="2ADE2792" w14:textId="77777777" w:rsidTr="00D02BAC">
        <w:tc>
          <w:tcPr>
            <w:tcW w:w="2689" w:type="dxa"/>
          </w:tcPr>
          <w:p w14:paraId="2B570F52" w14:textId="77777777" w:rsidR="001F0B64" w:rsidRPr="0069239E" w:rsidRDefault="001F0B64" w:rsidP="00D02BAC">
            <w:pPr>
              <w:spacing w:before="12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Radicación:</w:t>
            </w:r>
            <w:r w:rsidRPr="0069239E">
              <w:rPr>
                <w:rFonts w:ascii="Arial" w:eastAsia="Calibri" w:hAnsi="Arial" w:cs="Arial"/>
                <w:color w:val="000000" w:themeColor="text1"/>
                <w:sz w:val="22"/>
                <w:lang w:val="es-ES_tradnl"/>
              </w:rPr>
              <w:t xml:space="preserve"> </w:t>
            </w:r>
          </w:p>
        </w:tc>
        <w:tc>
          <w:tcPr>
            <w:tcW w:w="6237" w:type="dxa"/>
          </w:tcPr>
          <w:p w14:paraId="45F38911" w14:textId="0D509CE9" w:rsidR="001F0B64" w:rsidRPr="0069239E" w:rsidRDefault="001F0B64" w:rsidP="00D02BAC">
            <w:pPr>
              <w:spacing w:before="120"/>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 xml:space="preserve">Respuesta a la consulta </w:t>
            </w:r>
            <w:r w:rsidR="00EC715A" w:rsidRPr="00EC715A">
              <w:rPr>
                <w:rFonts w:ascii="Arial" w:eastAsia="Calibri" w:hAnsi="Arial" w:cs="Arial"/>
                <w:color w:val="000000" w:themeColor="text1"/>
                <w:sz w:val="22"/>
              </w:rPr>
              <w:t>P20211215011536</w:t>
            </w:r>
            <w:r w:rsidRPr="0069239E">
              <w:rPr>
                <w:rFonts w:ascii="Arial" w:eastAsia="Calibri" w:hAnsi="Arial" w:cs="Arial"/>
                <w:color w:val="000000" w:themeColor="text1"/>
                <w:sz w:val="22"/>
                <w:lang w:val="es-ES_tradnl"/>
              </w:rPr>
              <w:t xml:space="preserve"> </w:t>
            </w:r>
          </w:p>
        </w:tc>
      </w:tr>
    </w:tbl>
    <w:p w14:paraId="27A0D013" w14:textId="77777777" w:rsidR="001F0B64" w:rsidRDefault="001F0B64" w:rsidP="001F0B64">
      <w:pPr>
        <w:jc w:val="both"/>
        <w:rPr>
          <w:rFonts w:ascii="Arial" w:eastAsia="Calibri" w:hAnsi="Arial" w:cs="Arial"/>
          <w:color w:val="000000" w:themeColor="text1"/>
          <w:sz w:val="22"/>
          <w:lang w:val="es-ES_tradnl"/>
        </w:rPr>
      </w:pPr>
    </w:p>
    <w:p w14:paraId="5F5B400B" w14:textId="77777777" w:rsidR="001F0B64" w:rsidRDefault="001F0B64" w:rsidP="001F0B64">
      <w:pPr>
        <w:jc w:val="both"/>
        <w:rPr>
          <w:rFonts w:ascii="Arial" w:eastAsia="Calibri" w:hAnsi="Arial" w:cs="Arial"/>
          <w:color w:val="000000" w:themeColor="text1"/>
          <w:sz w:val="22"/>
          <w:lang w:val="es-ES_tradnl"/>
        </w:rPr>
      </w:pPr>
    </w:p>
    <w:p w14:paraId="4AB4C95A" w14:textId="7B5F0B76" w:rsidR="001F0B64" w:rsidRPr="0069239E" w:rsidRDefault="001F0B64" w:rsidP="001F0B64">
      <w:pPr>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a</w:t>
      </w:r>
      <w:r w:rsidRPr="0069239E">
        <w:rPr>
          <w:rFonts w:ascii="Arial" w:eastAsia="Calibri" w:hAnsi="Arial" w:cs="Arial"/>
          <w:color w:val="000000" w:themeColor="text1"/>
          <w:sz w:val="22"/>
          <w:lang w:val="es-ES_tradnl"/>
        </w:rPr>
        <w:t xml:space="preserve"> señor</w:t>
      </w:r>
      <w:r>
        <w:rPr>
          <w:rFonts w:ascii="Arial" w:eastAsia="Calibri" w:hAnsi="Arial" w:cs="Arial"/>
          <w:color w:val="000000" w:themeColor="text1"/>
          <w:sz w:val="22"/>
          <w:lang w:val="es-ES_tradnl"/>
        </w:rPr>
        <w:t xml:space="preserve">a </w:t>
      </w:r>
      <w:r w:rsidR="00EC715A">
        <w:rPr>
          <w:rFonts w:ascii="Arial" w:eastAsia="Calibri" w:hAnsi="Arial" w:cs="Arial"/>
          <w:color w:val="000000" w:themeColor="text1"/>
          <w:sz w:val="22"/>
          <w:lang w:val="es-ES_tradnl"/>
        </w:rPr>
        <w:t>Aljure</w:t>
      </w:r>
      <w:r w:rsidRPr="0069239E">
        <w:rPr>
          <w:rFonts w:ascii="Arial" w:eastAsia="Calibri" w:hAnsi="Arial" w:cs="Arial"/>
          <w:color w:val="000000" w:themeColor="text1"/>
          <w:sz w:val="22"/>
          <w:lang w:val="es-ES_tradnl"/>
        </w:rPr>
        <w:t>:</w:t>
      </w:r>
    </w:p>
    <w:p w14:paraId="149D55FE" w14:textId="77777777" w:rsidR="001F0B64" w:rsidRPr="0069239E" w:rsidRDefault="001F0B64" w:rsidP="001F0B64">
      <w:pPr>
        <w:jc w:val="both"/>
        <w:rPr>
          <w:rFonts w:ascii="Arial" w:eastAsia="Calibri" w:hAnsi="Arial" w:cs="Arial"/>
          <w:color w:val="000000" w:themeColor="text1"/>
          <w:sz w:val="22"/>
          <w:lang w:val="es-ES_tradnl"/>
        </w:rPr>
      </w:pPr>
    </w:p>
    <w:p w14:paraId="72F8B202" w14:textId="2C58633F" w:rsidR="001F0B64" w:rsidRPr="0069239E" w:rsidRDefault="001F0B64" w:rsidP="001F0B64">
      <w:pPr>
        <w:spacing w:line="276" w:lineRule="auto"/>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w:t>
      </w:r>
      <w:r>
        <w:rPr>
          <w:rFonts w:ascii="Arial" w:eastAsia="Calibri" w:hAnsi="Arial" w:cs="Arial"/>
          <w:color w:val="000000" w:themeColor="text1"/>
          <w:sz w:val="22"/>
          <w:lang w:val="es-ES_tradnl"/>
        </w:rPr>
        <w:t>u consulta</w:t>
      </w:r>
      <w:r w:rsidRPr="0069239E">
        <w:rPr>
          <w:rFonts w:ascii="Arial" w:eastAsia="Calibri" w:hAnsi="Arial" w:cs="Arial"/>
          <w:color w:val="000000" w:themeColor="text1"/>
          <w:sz w:val="22"/>
          <w:lang w:val="es-ES_tradnl"/>
        </w:rPr>
        <w:t xml:space="preserve"> del </w:t>
      </w:r>
      <w:r w:rsidR="001B7F62">
        <w:rPr>
          <w:rFonts w:ascii="Arial" w:eastAsia="Calibri" w:hAnsi="Arial" w:cs="Arial"/>
          <w:color w:val="000000" w:themeColor="text1"/>
          <w:sz w:val="22"/>
          <w:lang w:val="es-ES_tradnl"/>
        </w:rPr>
        <w:t>1</w:t>
      </w:r>
      <w:r w:rsidR="001C7398">
        <w:rPr>
          <w:rFonts w:ascii="Arial" w:eastAsia="Calibri" w:hAnsi="Arial" w:cs="Arial"/>
          <w:color w:val="000000" w:themeColor="text1"/>
          <w:sz w:val="22"/>
          <w:lang w:val="es-ES_tradnl"/>
        </w:rPr>
        <w:t>4</w:t>
      </w:r>
      <w:r w:rsidRPr="0069239E">
        <w:rPr>
          <w:rFonts w:ascii="Arial" w:eastAsia="Calibri" w:hAnsi="Arial" w:cs="Arial"/>
          <w:color w:val="000000" w:themeColor="text1"/>
          <w:sz w:val="22"/>
          <w:lang w:val="es-ES_tradnl"/>
        </w:rPr>
        <w:t xml:space="preserve"> de </w:t>
      </w:r>
      <w:r w:rsidR="001B7F62">
        <w:rPr>
          <w:rFonts w:ascii="Arial" w:eastAsia="Calibri" w:hAnsi="Arial" w:cs="Arial"/>
          <w:color w:val="000000" w:themeColor="text1"/>
          <w:sz w:val="22"/>
          <w:lang w:val="es-ES_tradnl"/>
        </w:rPr>
        <w:t>diciembre</w:t>
      </w:r>
      <w:r w:rsidRPr="0069239E">
        <w:rPr>
          <w:rFonts w:ascii="Arial" w:eastAsia="Calibri" w:hAnsi="Arial" w:cs="Arial"/>
          <w:color w:val="000000" w:themeColor="text1"/>
          <w:sz w:val="22"/>
          <w:lang w:val="es-ES_tradnl"/>
        </w:rPr>
        <w:t xml:space="preserve"> de 2021.</w:t>
      </w:r>
    </w:p>
    <w:p w14:paraId="49D1F488" w14:textId="77777777" w:rsidR="001F0B64" w:rsidRPr="0069239E" w:rsidRDefault="001F0B64" w:rsidP="001F0B64">
      <w:pPr>
        <w:spacing w:line="276" w:lineRule="auto"/>
        <w:jc w:val="both"/>
        <w:rPr>
          <w:rFonts w:ascii="Arial" w:eastAsia="Calibri" w:hAnsi="Arial" w:cs="Arial"/>
          <w:b/>
          <w:color w:val="000000" w:themeColor="text1"/>
          <w:sz w:val="22"/>
          <w:lang w:val="es-ES_tradnl"/>
        </w:rPr>
      </w:pPr>
    </w:p>
    <w:p w14:paraId="169EDE59" w14:textId="77777777" w:rsidR="001F0B64" w:rsidRPr="0069239E" w:rsidRDefault="001F0B64" w:rsidP="001F0B64">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 xml:space="preserve">Problema planteado </w:t>
      </w:r>
    </w:p>
    <w:p w14:paraId="67C4C71C" w14:textId="77777777" w:rsidR="001F0B64" w:rsidRPr="0069239E" w:rsidRDefault="001F0B64" w:rsidP="001F0B64">
      <w:pPr>
        <w:tabs>
          <w:tab w:val="left" w:pos="426"/>
        </w:tabs>
        <w:spacing w:line="276" w:lineRule="auto"/>
        <w:jc w:val="both"/>
        <w:rPr>
          <w:rFonts w:ascii="Arial" w:eastAsia="Calibri" w:hAnsi="Arial" w:cs="Arial"/>
          <w:b/>
          <w:color w:val="000000" w:themeColor="text1"/>
          <w:sz w:val="22"/>
          <w:lang w:val="es-ES_tradnl"/>
        </w:rPr>
      </w:pPr>
    </w:p>
    <w:p w14:paraId="7C6B12DC" w14:textId="6D8B8B44" w:rsidR="002F5079" w:rsidRPr="00BB609D" w:rsidRDefault="001F0B64" w:rsidP="00BB609D">
      <w:pPr>
        <w:pStyle w:val="Sinespaciado"/>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relación </w:t>
      </w:r>
      <w:r w:rsidRPr="00C3441A">
        <w:rPr>
          <w:rFonts w:ascii="Arial" w:eastAsia="Calibri" w:hAnsi="Arial" w:cs="Arial"/>
          <w:bCs/>
          <w:color w:val="000000" w:themeColor="text1"/>
          <w:sz w:val="22"/>
        </w:rPr>
        <w:t xml:space="preserve">con </w:t>
      </w:r>
      <w:r w:rsidR="00B55C2D">
        <w:rPr>
          <w:rFonts w:ascii="Arial" w:eastAsia="Calibri" w:hAnsi="Arial" w:cs="Arial"/>
          <w:bCs/>
          <w:color w:val="000000" w:themeColor="text1"/>
          <w:sz w:val="22"/>
        </w:rPr>
        <w:t xml:space="preserve">la prestación del servicio </w:t>
      </w:r>
      <w:r w:rsidR="004C4D9C">
        <w:rPr>
          <w:rFonts w:ascii="Arial" w:eastAsia="Calibri" w:hAnsi="Arial" w:cs="Arial"/>
          <w:bCs/>
          <w:color w:val="000000" w:themeColor="text1"/>
          <w:sz w:val="22"/>
        </w:rPr>
        <w:t>de actualización de gestión catastral</w:t>
      </w:r>
      <w:r w:rsidRPr="00C3441A">
        <w:rPr>
          <w:rFonts w:ascii="Arial" w:eastAsia="Calibri" w:hAnsi="Arial" w:cs="Arial"/>
          <w:bCs/>
          <w:color w:val="000000" w:themeColor="text1"/>
          <w:sz w:val="22"/>
        </w:rPr>
        <w:t>,</w:t>
      </w:r>
      <w:r>
        <w:rPr>
          <w:rFonts w:ascii="Arial" w:eastAsia="Calibri" w:hAnsi="Arial" w:cs="Arial"/>
          <w:bCs/>
          <w:color w:val="000000" w:themeColor="text1"/>
          <w:sz w:val="22"/>
          <w:lang w:val="es-ES_tradnl"/>
        </w:rPr>
        <w:t xml:space="preserve"> usted pregunta lo siguiente</w:t>
      </w:r>
      <w:r w:rsidRPr="0069239E">
        <w:rPr>
          <w:rFonts w:ascii="Arial" w:eastAsia="Calibri" w:hAnsi="Arial" w:cs="Arial"/>
          <w:bCs/>
          <w:color w:val="000000" w:themeColor="text1"/>
          <w:sz w:val="22"/>
          <w:lang w:val="es-ES_tradnl"/>
        </w:rPr>
        <w:t xml:space="preserve">: </w:t>
      </w:r>
      <w:r>
        <w:rPr>
          <w:rFonts w:ascii="Arial" w:hAnsi="Arial" w:cs="Arial"/>
          <w:bCs/>
          <w:sz w:val="22"/>
          <w:shd w:val="clear" w:color="auto" w:fill="FFFFFF"/>
        </w:rPr>
        <w:t>«</w:t>
      </w:r>
      <w:r w:rsidRPr="00ED57E8">
        <w:rPr>
          <w:rFonts w:ascii="Arial" w:hAnsi="Arial" w:cs="Arial"/>
          <w:sz w:val="22"/>
          <w:shd w:val="clear" w:color="auto" w:fill="FFFFFF"/>
          <w:lang w:val="es-ES_tradnl"/>
        </w:rPr>
        <w:t>¿</w:t>
      </w:r>
      <w:r w:rsidR="00227C1F">
        <w:rPr>
          <w:rFonts w:ascii="Arial" w:hAnsi="Arial" w:cs="Arial"/>
          <w:sz w:val="22"/>
          <w:shd w:val="clear" w:color="auto" w:fill="FFFFFF"/>
          <w:lang w:val="es-ES_tradnl"/>
        </w:rPr>
        <w:t>p</w:t>
      </w:r>
      <w:r w:rsidRPr="00ED57E8">
        <w:rPr>
          <w:rFonts w:ascii="Arial" w:hAnsi="Arial" w:cs="Arial"/>
          <w:sz w:val="22"/>
          <w:shd w:val="clear" w:color="auto" w:fill="FFFFFF"/>
          <w:lang w:val="es-ES_tradnl"/>
        </w:rPr>
        <w:t xml:space="preserve">uede </w:t>
      </w:r>
      <w:r w:rsidR="008602F0">
        <w:rPr>
          <w:rFonts w:ascii="Arial" w:hAnsi="Arial" w:cs="Arial"/>
          <w:sz w:val="22"/>
          <w:shd w:val="clear" w:color="auto" w:fill="FFFFFF"/>
          <w:lang w:val="es-ES_tradnl"/>
        </w:rPr>
        <w:t>el Instituto Geográfico Agustín</w:t>
      </w:r>
      <w:r w:rsidR="00462481">
        <w:rPr>
          <w:rFonts w:ascii="Arial" w:hAnsi="Arial" w:cs="Arial"/>
          <w:sz w:val="22"/>
          <w:shd w:val="clear" w:color="auto" w:fill="FFFFFF"/>
          <w:lang w:val="es-ES_tradnl"/>
        </w:rPr>
        <w:t xml:space="preserve"> Codazzi </w:t>
      </w:r>
      <w:r w:rsidR="002E4257">
        <w:rPr>
          <w:rFonts w:ascii="Arial" w:hAnsi="Arial" w:cs="Arial"/>
          <w:sz w:val="22"/>
          <w:shd w:val="clear" w:color="auto" w:fill="FFFFFF"/>
          <w:lang w:val="es-ES_tradnl"/>
        </w:rPr>
        <w:t>en el marco de los procesos contractuales que adelante para la ejecución de procesos de actualización catastral incorpor</w:t>
      </w:r>
      <w:r w:rsidR="00227C1F">
        <w:rPr>
          <w:rFonts w:ascii="Arial" w:hAnsi="Arial" w:cs="Arial"/>
          <w:sz w:val="22"/>
          <w:shd w:val="clear" w:color="auto" w:fill="FFFFFF"/>
          <w:lang w:val="es-ES_tradnl"/>
        </w:rPr>
        <w:t>ar (sic)</w:t>
      </w:r>
      <w:r w:rsidR="002E4257">
        <w:rPr>
          <w:rFonts w:ascii="Arial" w:hAnsi="Arial" w:cs="Arial"/>
          <w:sz w:val="22"/>
          <w:shd w:val="clear" w:color="auto" w:fill="FFFFFF"/>
          <w:lang w:val="es-ES_tradnl"/>
        </w:rPr>
        <w:t xml:space="preserve"> acc</w:t>
      </w:r>
      <w:r w:rsidR="00DC028A">
        <w:rPr>
          <w:rFonts w:ascii="Arial" w:hAnsi="Arial" w:cs="Arial"/>
          <w:sz w:val="22"/>
          <w:shd w:val="clear" w:color="auto" w:fill="FFFFFF"/>
          <w:lang w:val="es-ES_tradnl"/>
        </w:rPr>
        <w:t xml:space="preserve">iones afirmativas con enfoque diferencial dirigidas a comunidades étnicas con capacidad para contratar conforme </w:t>
      </w:r>
      <w:r w:rsidR="003F5406">
        <w:rPr>
          <w:rFonts w:ascii="Arial" w:hAnsi="Arial" w:cs="Arial"/>
          <w:sz w:val="22"/>
          <w:shd w:val="clear" w:color="auto" w:fill="FFFFFF"/>
          <w:lang w:val="es-ES_tradnl"/>
        </w:rPr>
        <w:t>lo establece el artículo 6 de la Ley 80 de 1993 y q</w:t>
      </w:r>
      <w:r w:rsidR="000D25B4">
        <w:rPr>
          <w:rFonts w:ascii="Arial" w:hAnsi="Arial" w:cs="Arial"/>
          <w:sz w:val="22"/>
          <w:shd w:val="clear" w:color="auto" w:fill="FFFFFF"/>
          <w:lang w:val="es-ES_tradnl"/>
        </w:rPr>
        <w:t>ue se encuentren en capacidad de prestar el servicio pú</w:t>
      </w:r>
      <w:r w:rsidR="00405EB3">
        <w:rPr>
          <w:rFonts w:ascii="Arial" w:hAnsi="Arial" w:cs="Arial"/>
          <w:sz w:val="22"/>
          <w:shd w:val="clear" w:color="auto" w:fill="FFFFFF"/>
          <w:lang w:val="es-ES_tradnl"/>
        </w:rPr>
        <w:t>blico de catastro como operadores catastrales</w:t>
      </w:r>
      <w:r w:rsidR="00477466">
        <w:rPr>
          <w:rFonts w:ascii="Arial" w:hAnsi="Arial" w:cs="Arial"/>
          <w:sz w:val="22"/>
          <w:shd w:val="clear" w:color="auto" w:fill="FFFFFF"/>
          <w:lang w:val="es-ES_tradnl"/>
        </w:rPr>
        <w:t xml:space="preserve"> […]</w:t>
      </w:r>
      <w:r w:rsidR="004004EB">
        <w:rPr>
          <w:rFonts w:ascii="Arial" w:hAnsi="Arial" w:cs="Arial"/>
          <w:sz w:val="22"/>
          <w:shd w:val="clear" w:color="auto" w:fill="FFFFFF"/>
          <w:lang w:val="es-ES_tradnl"/>
        </w:rPr>
        <w:t>?</w:t>
      </w:r>
      <w:r w:rsidRPr="00ED57E8">
        <w:rPr>
          <w:rFonts w:ascii="Arial" w:hAnsi="Arial" w:cs="Arial"/>
          <w:sz w:val="22"/>
          <w:shd w:val="clear" w:color="auto" w:fill="FFFFFF"/>
        </w:rPr>
        <w:t>»</w:t>
      </w:r>
      <w:r>
        <w:rPr>
          <w:rFonts w:ascii="Arial" w:hAnsi="Arial" w:cs="Arial"/>
          <w:sz w:val="22"/>
          <w:shd w:val="clear" w:color="auto" w:fill="FFFFFF"/>
        </w:rPr>
        <w:t>.</w:t>
      </w:r>
    </w:p>
    <w:p w14:paraId="7906AAC0" w14:textId="77777777" w:rsidR="002F5079" w:rsidRPr="0069239E" w:rsidRDefault="002F5079" w:rsidP="001F0B64">
      <w:pPr>
        <w:spacing w:line="276" w:lineRule="auto"/>
        <w:jc w:val="both"/>
        <w:rPr>
          <w:rFonts w:ascii="Arial" w:hAnsi="Arial" w:cs="Arial"/>
          <w:color w:val="000000" w:themeColor="text1"/>
          <w:sz w:val="22"/>
          <w:lang w:val="es-ES_tradnl"/>
        </w:rPr>
      </w:pPr>
    </w:p>
    <w:p w14:paraId="23B0D1B5" w14:textId="77777777" w:rsidR="001F0B64" w:rsidRPr="0069239E" w:rsidRDefault="001F0B64" w:rsidP="001F0B64">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lastRenderedPageBreak/>
        <w:t>Consideraciones</w:t>
      </w:r>
    </w:p>
    <w:p w14:paraId="5169DA74" w14:textId="77777777" w:rsidR="001F0B64" w:rsidRPr="0069239E" w:rsidRDefault="001F0B64" w:rsidP="001F0B64">
      <w:pPr>
        <w:tabs>
          <w:tab w:val="left" w:pos="0"/>
          <w:tab w:val="left" w:pos="284"/>
        </w:tabs>
        <w:spacing w:line="276" w:lineRule="auto"/>
        <w:jc w:val="both"/>
        <w:rPr>
          <w:rFonts w:ascii="Arial" w:eastAsia="Calibri" w:hAnsi="Arial" w:cs="Arial"/>
          <w:b/>
          <w:color w:val="000000" w:themeColor="text1"/>
          <w:sz w:val="22"/>
          <w:lang w:val="es-ES_tradnl"/>
        </w:rPr>
      </w:pPr>
    </w:p>
    <w:p w14:paraId="64EE7BD7" w14:textId="77777777" w:rsidR="001F0B64" w:rsidRDefault="001F0B64" w:rsidP="001F0B64">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2C11CFEF" w14:textId="2C64F92B" w:rsidR="001F0B64" w:rsidRPr="00162BC5" w:rsidRDefault="001F0B64" w:rsidP="001F0B64">
      <w:pPr>
        <w:spacing w:after="120" w:line="276" w:lineRule="auto"/>
        <w:ind w:firstLine="708"/>
        <w:jc w:val="both"/>
        <w:rPr>
          <w:rFonts w:ascii="Arial" w:hAnsi="Arial" w:cs="Arial"/>
          <w:sz w:val="22"/>
          <w:lang w:val="es-ES"/>
        </w:rPr>
      </w:pPr>
      <w:bookmarkStart w:id="1" w:name="_Hlk61701014"/>
      <w:bookmarkStart w:id="2"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3"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w:t>
      </w:r>
      <w:r w:rsidR="00C97B83">
        <w:rPr>
          <w:rFonts w:ascii="Arial" w:hAnsi="Arial" w:cs="Arial"/>
          <w:sz w:val="22"/>
          <w:lang w:val="es-ES"/>
        </w:rPr>
        <w:t xml:space="preserve"> la Agencia Nacional de Contratación Pública </w:t>
      </w:r>
      <w:r w:rsidR="00F73B50">
        <w:rPr>
          <w:rFonts w:ascii="Arial" w:hAnsi="Arial" w:cs="Arial"/>
          <w:sz w:val="22"/>
          <w:lang w:val="es-ES"/>
        </w:rPr>
        <w:t>–</w:t>
      </w:r>
      <w:r w:rsidRPr="00162BC5">
        <w:rPr>
          <w:rFonts w:ascii="Arial" w:hAnsi="Arial" w:cs="Arial"/>
          <w:sz w:val="22"/>
          <w:lang w:val="es-ES"/>
        </w:rPr>
        <w:t xml:space="preserve"> Colombia Compra Eficiente como una autoridad para solucionar problemas jurídicos particulares</w:t>
      </w:r>
      <w:r>
        <w:rPr>
          <w:rFonts w:ascii="Arial" w:hAnsi="Arial" w:cs="Arial"/>
          <w:bCs/>
          <w:sz w:val="22"/>
        </w:rPr>
        <w:t xml:space="preserve"> de todos los partícipes de la contratación estatal.</w:t>
      </w:r>
    </w:p>
    <w:p w14:paraId="4262BBB9" w14:textId="77777777" w:rsidR="001F0B64" w:rsidRDefault="001F0B64" w:rsidP="001F0B64">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proofErr w:type="gramStart"/>
      <w:r w:rsidRPr="00162BC5">
        <w:rPr>
          <w:rFonts w:ascii="Arial" w:hAnsi="Arial" w:cs="Arial"/>
          <w:sz w:val="22"/>
          <w:lang w:val="es-ES"/>
        </w:rPr>
        <w:t>que</w:t>
      </w:r>
      <w:proofErr w:type="gramEnd"/>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3"/>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bookmarkEnd w:id="2"/>
    <w:p w14:paraId="345C7411" w14:textId="06091BA9" w:rsidR="001F0B64" w:rsidRPr="00DE3224" w:rsidRDefault="001F0B64" w:rsidP="00DE3224">
      <w:pPr>
        <w:spacing w:line="276" w:lineRule="auto"/>
        <w:ind w:firstLine="708"/>
        <w:jc w:val="both"/>
        <w:rPr>
          <w:rStyle w:val="normaltextrun"/>
          <w:rFonts w:ascii="Arial" w:hAnsi="Arial" w:cs="Arial"/>
          <w:bCs/>
          <w:sz w:val="22"/>
          <w:lang w:bidi="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4" w:name="_Hlk61025408"/>
      <w:r>
        <w:rPr>
          <w:rFonts w:ascii="Arial" w:eastAsia="Calibri" w:hAnsi="Arial" w:cs="Arial"/>
          <w:color w:val="000000" w:themeColor="text1"/>
          <w:sz w:val="22"/>
          <w:lang w:val="es-ES"/>
        </w:rPr>
        <w:t xml:space="preserve">haciendo abstracción </w:t>
      </w:r>
      <w:bookmarkEnd w:id="4"/>
      <w:r>
        <w:rPr>
          <w:rFonts w:ascii="Arial" w:eastAsia="Calibri" w:hAnsi="Arial" w:cs="Arial"/>
          <w:color w:val="000000" w:themeColor="text1"/>
          <w:sz w:val="22"/>
          <w:lang w:val="es-ES"/>
        </w:rPr>
        <w:t>de la situación particular expuesta– resolverá la consulta conforme a las normas generales en materia de contratación estatal. Con este objetivo se analizarán los siguientes temas</w:t>
      </w:r>
      <w:r w:rsidRPr="00356C27">
        <w:rPr>
          <w:rFonts w:ascii="Arial" w:hAnsi="Arial" w:cs="Arial"/>
          <w:sz w:val="22"/>
          <w:lang w:bidi="es-ES"/>
        </w:rPr>
        <w:t>:</w:t>
      </w:r>
      <w:r>
        <w:rPr>
          <w:rFonts w:ascii="Arial" w:hAnsi="Arial" w:cs="Arial"/>
          <w:sz w:val="22"/>
          <w:lang w:bidi="es-ES"/>
        </w:rPr>
        <w:t xml:space="preserve"> i) </w:t>
      </w:r>
      <w:r>
        <w:rPr>
          <w:rFonts w:ascii="Arial" w:hAnsi="Arial" w:cs="Arial"/>
          <w:bCs/>
          <w:sz w:val="22"/>
          <w:lang w:val="es-ES" w:bidi="es-ES"/>
        </w:rPr>
        <w:t>la c</w:t>
      </w:r>
      <w:r w:rsidRPr="00356C27">
        <w:rPr>
          <w:rFonts w:ascii="Arial" w:hAnsi="Arial" w:cs="Arial"/>
          <w:bCs/>
          <w:sz w:val="22"/>
          <w:lang w:val="es-ES" w:bidi="es-ES"/>
        </w:rPr>
        <w:t xml:space="preserve">ontratación </w:t>
      </w:r>
      <w:r w:rsidR="00F73B50">
        <w:rPr>
          <w:rFonts w:ascii="Arial" w:hAnsi="Arial" w:cs="Arial"/>
          <w:bCs/>
          <w:sz w:val="22"/>
          <w:lang w:val="es-ES" w:bidi="es-ES"/>
        </w:rPr>
        <w:t xml:space="preserve">de </w:t>
      </w:r>
      <w:r>
        <w:rPr>
          <w:rFonts w:ascii="Arial" w:hAnsi="Arial" w:cs="Arial"/>
          <w:bCs/>
          <w:sz w:val="22"/>
          <w:lang w:val="es-ES" w:bidi="es-ES"/>
        </w:rPr>
        <w:t>la</w:t>
      </w:r>
      <w:r w:rsidRPr="00356C27">
        <w:rPr>
          <w:rFonts w:ascii="Arial" w:hAnsi="Arial" w:cs="Arial"/>
          <w:bCs/>
          <w:sz w:val="22"/>
          <w:lang w:val="es-ES" w:bidi="es-ES"/>
        </w:rPr>
        <w:t xml:space="preserve"> prestación del servicio público de gestión catastral</w:t>
      </w:r>
      <w:r>
        <w:rPr>
          <w:rFonts w:ascii="Arial" w:hAnsi="Arial" w:cs="Arial"/>
          <w:bCs/>
          <w:sz w:val="22"/>
          <w:lang w:val="es-ES" w:bidi="es-ES"/>
        </w:rPr>
        <w:t xml:space="preserve"> integral y </w:t>
      </w:r>
      <w:proofErr w:type="spellStart"/>
      <w:r>
        <w:rPr>
          <w:rFonts w:ascii="Arial" w:hAnsi="Arial" w:cs="Arial"/>
          <w:bCs/>
          <w:sz w:val="22"/>
          <w:lang w:val="es-ES" w:bidi="es-ES"/>
        </w:rPr>
        <w:t>ii</w:t>
      </w:r>
      <w:proofErr w:type="spellEnd"/>
      <w:r>
        <w:rPr>
          <w:rFonts w:ascii="Arial" w:hAnsi="Arial" w:cs="Arial"/>
          <w:bCs/>
          <w:sz w:val="22"/>
          <w:lang w:val="es-ES" w:bidi="es-ES"/>
        </w:rPr>
        <w:t xml:space="preserve">) </w:t>
      </w:r>
      <w:r w:rsidR="00C04519">
        <w:rPr>
          <w:rFonts w:ascii="Arial" w:hAnsi="Arial" w:cs="Arial"/>
          <w:bCs/>
          <w:sz w:val="22"/>
          <w:lang w:val="es-ES" w:bidi="es-ES"/>
        </w:rPr>
        <w:t xml:space="preserve">la capacidad para contratar por parte </w:t>
      </w:r>
      <w:r w:rsidR="00204DC8">
        <w:rPr>
          <w:rFonts w:ascii="Arial" w:hAnsi="Arial" w:cs="Arial"/>
          <w:bCs/>
          <w:sz w:val="22"/>
          <w:lang w:val="es-ES" w:bidi="es-ES"/>
        </w:rPr>
        <w:t>de l</w:t>
      </w:r>
      <w:r w:rsidR="00D70146">
        <w:rPr>
          <w:rFonts w:ascii="Arial" w:hAnsi="Arial" w:cs="Arial"/>
          <w:bCs/>
          <w:sz w:val="22"/>
          <w:lang w:val="es-ES" w:bidi="es-ES"/>
        </w:rPr>
        <w:t>a</w:t>
      </w:r>
      <w:r w:rsidR="00204DC8">
        <w:rPr>
          <w:rFonts w:ascii="Arial" w:hAnsi="Arial" w:cs="Arial"/>
          <w:bCs/>
          <w:sz w:val="22"/>
          <w:lang w:val="es-ES" w:bidi="es-ES"/>
        </w:rPr>
        <w:t xml:space="preserve">s </w:t>
      </w:r>
      <w:r w:rsidR="00D70146">
        <w:rPr>
          <w:rFonts w:ascii="Arial" w:hAnsi="Arial" w:cs="Arial"/>
          <w:bCs/>
          <w:sz w:val="22"/>
          <w:lang w:val="es-ES" w:bidi="es-ES"/>
        </w:rPr>
        <w:t>comunidades étnicas</w:t>
      </w:r>
      <w:r w:rsidR="001F4848">
        <w:rPr>
          <w:rFonts w:ascii="Arial" w:hAnsi="Arial" w:cs="Arial"/>
          <w:bCs/>
          <w:sz w:val="22"/>
          <w:lang w:val="es-ES" w:bidi="es-ES"/>
        </w:rPr>
        <w:t xml:space="preserve">, de acuerdo </w:t>
      </w:r>
      <w:r w:rsidR="00A45691">
        <w:rPr>
          <w:rFonts w:ascii="Arial" w:hAnsi="Arial" w:cs="Arial"/>
          <w:bCs/>
          <w:sz w:val="22"/>
          <w:lang w:val="es-ES" w:bidi="es-ES"/>
        </w:rPr>
        <w:t>con</w:t>
      </w:r>
      <w:r w:rsidR="001F4848">
        <w:rPr>
          <w:rFonts w:ascii="Arial" w:hAnsi="Arial" w:cs="Arial"/>
          <w:bCs/>
          <w:sz w:val="22"/>
          <w:lang w:val="es-ES" w:bidi="es-ES"/>
        </w:rPr>
        <w:t xml:space="preserve"> </w:t>
      </w:r>
      <w:r w:rsidR="00F977C3">
        <w:rPr>
          <w:rFonts w:ascii="Arial" w:hAnsi="Arial" w:cs="Arial"/>
          <w:bCs/>
          <w:sz w:val="22"/>
          <w:lang w:val="es-ES" w:bidi="es-ES"/>
        </w:rPr>
        <w:t>las modificaciones incorporadas mediante la Ley 2160 de 2021</w:t>
      </w:r>
      <w:r>
        <w:rPr>
          <w:rFonts w:ascii="Arial" w:eastAsia="Calibri" w:hAnsi="Arial" w:cs="Arial"/>
          <w:bCs/>
          <w:iCs/>
          <w:color w:val="000000" w:themeColor="text1"/>
          <w:sz w:val="22"/>
        </w:rPr>
        <w:t>.</w:t>
      </w:r>
    </w:p>
    <w:p w14:paraId="71DE2A0A" w14:textId="77777777" w:rsidR="002F5079" w:rsidRPr="00623A6B" w:rsidRDefault="002F5079" w:rsidP="001F0B64">
      <w:pPr>
        <w:spacing w:line="276" w:lineRule="auto"/>
        <w:ind w:firstLine="709"/>
        <w:jc w:val="both"/>
        <w:rPr>
          <w:rStyle w:val="normaltextrun"/>
          <w:rFonts w:ascii="Arial" w:hAnsi="Arial" w:cs="Arial"/>
          <w:bCs/>
          <w:sz w:val="22"/>
          <w:lang w:val="es-ES" w:bidi="es-ES"/>
        </w:rPr>
      </w:pPr>
    </w:p>
    <w:p w14:paraId="59DD9255" w14:textId="2676E1DC" w:rsidR="001F0B64" w:rsidRPr="0069239E" w:rsidRDefault="001F0B64" w:rsidP="001F0B64">
      <w:pPr>
        <w:spacing w:line="276" w:lineRule="auto"/>
        <w:jc w:val="both"/>
        <w:rPr>
          <w:rStyle w:val="normaltextrun"/>
          <w:rFonts w:ascii="Arial" w:hAnsi="Arial" w:cs="Arial"/>
          <w:b/>
          <w:bCs/>
          <w:color w:val="000000"/>
          <w:sz w:val="22"/>
          <w:shd w:val="clear" w:color="auto" w:fill="FFFFFF"/>
        </w:rPr>
      </w:pPr>
      <w:r w:rsidRPr="0069239E">
        <w:rPr>
          <w:rStyle w:val="normaltextrun"/>
          <w:rFonts w:ascii="Arial" w:hAnsi="Arial" w:cs="Arial"/>
          <w:b/>
          <w:bCs/>
          <w:color w:val="000000"/>
          <w:sz w:val="22"/>
          <w:shd w:val="clear" w:color="auto" w:fill="FFFFFF"/>
        </w:rPr>
        <w:lastRenderedPageBreak/>
        <w:t xml:space="preserve">2.1. </w:t>
      </w:r>
      <w:r>
        <w:rPr>
          <w:rStyle w:val="normaltextrun"/>
          <w:rFonts w:ascii="Arial" w:hAnsi="Arial" w:cs="Arial"/>
          <w:b/>
          <w:bCs/>
          <w:color w:val="000000"/>
          <w:sz w:val="22"/>
          <w:shd w:val="clear" w:color="auto" w:fill="FFFFFF"/>
        </w:rPr>
        <w:t>C</w:t>
      </w:r>
      <w:r w:rsidRPr="0069239E">
        <w:rPr>
          <w:rStyle w:val="normaltextrun"/>
          <w:rFonts w:ascii="Arial" w:hAnsi="Arial" w:cs="Arial"/>
          <w:b/>
          <w:bCs/>
          <w:color w:val="000000"/>
          <w:sz w:val="22"/>
          <w:shd w:val="clear" w:color="auto" w:fill="FFFFFF"/>
        </w:rPr>
        <w:t>ontrata</w:t>
      </w:r>
      <w:r>
        <w:rPr>
          <w:rStyle w:val="normaltextrun"/>
          <w:rFonts w:ascii="Arial" w:hAnsi="Arial" w:cs="Arial"/>
          <w:b/>
          <w:bCs/>
          <w:color w:val="000000"/>
          <w:sz w:val="22"/>
          <w:shd w:val="clear" w:color="auto" w:fill="FFFFFF"/>
        </w:rPr>
        <w:t xml:space="preserve">ción </w:t>
      </w:r>
      <w:r w:rsidR="0011144C">
        <w:rPr>
          <w:rStyle w:val="normaltextrun"/>
          <w:rFonts w:ascii="Arial" w:hAnsi="Arial" w:cs="Arial"/>
          <w:b/>
          <w:bCs/>
          <w:color w:val="000000"/>
          <w:sz w:val="22"/>
          <w:shd w:val="clear" w:color="auto" w:fill="FFFFFF"/>
        </w:rPr>
        <w:t xml:space="preserve">de </w:t>
      </w:r>
      <w:r>
        <w:rPr>
          <w:rStyle w:val="normaltextrun"/>
          <w:rFonts w:ascii="Arial" w:hAnsi="Arial" w:cs="Arial"/>
          <w:b/>
          <w:bCs/>
          <w:color w:val="000000"/>
          <w:sz w:val="22"/>
          <w:shd w:val="clear" w:color="auto" w:fill="FFFFFF"/>
        </w:rPr>
        <w:t>la</w:t>
      </w:r>
      <w:r w:rsidRPr="0069239E">
        <w:rPr>
          <w:rStyle w:val="normaltextrun"/>
          <w:rFonts w:ascii="Arial" w:hAnsi="Arial" w:cs="Arial"/>
          <w:b/>
          <w:bCs/>
          <w:color w:val="000000"/>
          <w:sz w:val="22"/>
          <w:shd w:val="clear" w:color="auto" w:fill="FFFFFF"/>
        </w:rPr>
        <w:t xml:space="preserve"> prestación del servicio público de gestión catastral</w:t>
      </w:r>
      <w:r w:rsidRPr="0069239E" w:rsidDel="00862009">
        <w:rPr>
          <w:rStyle w:val="normaltextrun"/>
          <w:rFonts w:ascii="Arial" w:hAnsi="Arial" w:cs="Arial"/>
          <w:b/>
          <w:bCs/>
          <w:color w:val="000000"/>
          <w:sz w:val="22"/>
          <w:shd w:val="clear" w:color="auto" w:fill="FFFFFF"/>
        </w:rPr>
        <w:t xml:space="preserve"> </w:t>
      </w:r>
      <w:r>
        <w:rPr>
          <w:rStyle w:val="normaltextrun"/>
          <w:rFonts w:ascii="Arial" w:hAnsi="Arial" w:cs="Arial"/>
          <w:b/>
          <w:bCs/>
          <w:color w:val="000000"/>
          <w:sz w:val="22"/>
          <w:shd w:val="clear" w:color="auto" w:fill="FFFFFF"/>
        </w:rPr>
        <w:t>integral</w:t>
      </w:r>
      <w:r w:rsidR="00942475">
        <w:rPr>
          <w:rStyle w:val="normaltextrun"/>
          <w:rFonts w:ascii="Arial" w:hAnsi="Arial" w:cs="Arial"/>
          <w:b/>
          <w:bCs/>
          <w:color w:val="000000"/>
          <w:sz w:val="22"/>
          <w:shd w:val="clear" w:color="auto" w:fill="FFFFFF"/>
        </w:rPr>
        <w:t xml:space="preserve"> y de los operadores catastrales</w:t>
      </w:r>
    </w:p>
    <w:p w14:paraId="24439EC6" w14:textId="77777777" w:rsidR="001F0B64" w:rsidRPr="0069239E" w:rsidRDefault="001F0B64" w:rsidP="001F0B64">
      <w:pPr>
        <w:pStyle w:val="Prrafodelista"/>
        <w:spacing w:line="276" w:lineRule="auto"/>
        <w:ind w:left="1080"/>
        <w:jc w:val="both"/>
        <w:rPr>
          <w:rStyle w:val="normaltextrun"/>
          <w:rFonts w:ascii="Arial" w:hAnsi="Arial" w:cs="Arial"/>
          <w:b/>
          <w:bCs/>
          <w:color w:val="000000"/>
          <w:sz w:val="22"/>
          <w:shd w:val="clear" w:color="auto" w:fill="FFFFFF"/>
        </w:rPr>
      </w:pPr>
    </w:p>
    <w:p w14:paraId="512EC7E1" w14:textId="1D6B4A79" w:rsidR="001F0B64" w:rsidRDefault="001F0B64" w:rsidP="001F0B64">
      <w:pPr>
        <w:spacing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Conforme al artículo 79 de la </w:t>
      </w:r>
      <w:r w:rsidRPr="004821FD">
        <w:rPr>
          <w:rStyle w:val="normaltextrun"/>
          <w:rFonts w:ascii="Arial" w:hAnsi="Arial" w:cs="Arial"/>
          <w:color w:val="000000"/>
          <w:sz w:val="22"/>
          <w:shd w:val="clear" w:color="auto" w:fill="FFFFFF"/>
        </w:rPr>
        <w:t>Ley 1955 de 2019</w:t>
      </w:r>
      <w:r w:rsidR="00124A4E">
        <w:rPr>
          <w:rStyle w:val="normaltextrun"/>
          <w:rFonts w:ascii="Arial" w:hAnsi="Arial" w:cs="Arial"/>
          <w:color w:val="000000"/>
          <w:sz w:val="22"/>
          <w:shd w:val="clear" w:color="auto" w:fill="FFFFFF"/>
        </w:rPr>
        <w:t>,</w:t>
      </w:r>
      <w:r w:rsidRPr="004821FD">
        <w:rPr>
          <w:rStyle w:val="normaltextrun"/>
          <w:rFonts w:ascii="Arial" w:hAnsi="Arial" w:cs="Arial"/>
          <w:color w:val="000000"/>
          <w:sz w:val="22"/>
          <w:shd w:val="clear" w:color="auto" w:fill="FFFFFF"/>
        </w:rPr>
        <w:t xml:space="preserve"> </w:t>
      </w:r>
      <w:r>
        <w:rPr>
          <w:rFonts w:ascii="Arial" w:hAnsi="Arial" w:cs="Arial"/>
          <w:color w:val="000000"/>
          <w:sz w:val="22"/>
          <w:shd w:val="clear" w:color="auto" w:fill="FFFFFF"/>
        </w:rPr>
        <w:t>l</w:t>
      </w:r>
      <w:r w:rsidRPr="00F20CC1">
        <w:rPr>
          <w:rFonts w:ascii="Arial" w:hAnsi="Arial" w:cs="Arial"/>
          <w:color w:val="000000"/>
          <w:sz w:val="22"/>
          <w:shd w:val="clear" w:color="auto" w:fill="FFFFFF"/>
        </w:rPr>
        <w:t xml:space="preserve">a gestión catastral es un servicio público </w:t>
      </w:r>
      <w:r>
        <w:rPr>
          <w:rFonts w:ascii="Arial" w:hAnsi="Arial" w:cs="Arial"/>
          <w:color w:val="000000"/>
          <w:sz w:val="22"/>
          <w:shd w:val="clear" w:color="auto" w:fill="FFFFFF"/>
        </w:rPr>
        <w:t xml:space="preserve">que tiene como propósito </w:t>
      </w:r>
      <w:r w:rsidRPr="00F20CC1">
        <w:rPr>
          <w:rFonts w:ascii="Arial" w:hAnsi="Arial" w:cs="Arial"/>
          <w:color w:val="000000"/>
          <w:sz w:val="22"/>
          <w:shd w:val="clear" w:color="auto" w:fill="FFFFFF"/>
        </w:rPr>
        <w:t>la adecuada formación, actualización, conservación y difusión de la información catastral, así como los procedimientos del enfoque catastral multipropósito que sean adoptados</w:t>
      </w:r>
      <w:r>
        <w:rPr>
          <w:rFonts w:ascii="Arial" w:hAnsi="Arial" w:cs="Arial"/>
          <w:sz w:val="22"/>
          <w:shd w:val="clear" w:color="auto" w:fill="FFFFFF"/>
        </w:rPr>
        <w:t xml:space="preserve">. </w:t>
      </w:r>
      <w:r>
        <w:rPr>
          <w:rFonts w:ascii="Arial" w:hAnsi="Arial" w:cs="Arial"/>
          <w:color w:val="000000"/>
          <w:sz w:val="22"/>
          <w:shd w:val="clear" w:color="auto" w:fill="FFFFFF"/>
        </w:rPr>
        <w:t xml:space="preserve">De conformidad con la norma citada, </w:t>
      </w:r>
      <w:r w:rsidRPr="00F20CC1">
        <w:rPr>
          <w:rFonts w:ascii="Arial" w:hAnsi="Arial" w:cs="Arial"/>
          <w:color w:val="000000"/>
          <w:sz w:val="22"/>
          <w:shd w:val="clear" w:color="auto" w:fill="FFFFFF"/>
        </w:rPr>
        <w:t>la gestión catastral será pres</w:t>
      </w:r>
      <w:r>
        <w:rPr>
          <w:rFonts w:ascii="Arial" w:hAnsi="Arial" w:cs="Arial"/>
          <w:color w:val="000000"/>
          <w:sz w:val="22"/>
          <w:shd w:val="clear" w:color="auto" w:fill="FFFFFF"/>
        </w:rPr>
        <w:t>t</w:t>
      </w:r>
      <w:r w:rsidRPr="00F20CC1">
        <w:rPr>
          <w:rFonts w:ascii="Arial" w:hAnsi="Arial" w:cs="Arial"/>
          <w:color w:val="000000"/>
          <w:sz w:val="22"/>
          <w:shd w:val="clear" w:color="auto" w:fill="FFFFFF"/>
        </w:rPr>
        <w:t>ada</w:t>
      </w:r>
      <w:r>
        <w:rPr>
          <w:rFonts w:ascii="Arial" w:hAnsi="Arial" w:cs="Arial"/>
          <w:color w:val="000000"/>
          <w:sz w:val="22"/>
          <w:shd w:val="clear" w:color="auto" w:fill="FFFFFF"/>
        </w:rPr>
        <w:t xml:space="preserve"> </w:t>
      </w:r>
      <w:r w:rsidRPr="00F20CC1">
        <w:rPr>
          <w:rFonts w:ascii="Arial" w:hAnsi="Arial" w:cs="Arial"/>
          <w:color w:val="000000"/>
          <w:sz w:val="22"/>
          <w:shd w:val="clear" w:color="auto" w:fill="FFFFFF"/>
        </w:rPr>
        <w:t xml:space="preserve">por: i) una autoridad nacional que regulará la gestión catastral, y estará a cargo del </w:t>
      </w:r>
      <w:r>
        <w:rPr>
          <w:rFonts w:ascii="Arial" w:hAnsi="Arial" w:cs="Arial"/>
          <w:color w:val="000000"/>
          <w:sz w:val="22"/>
          <w:shd w:val="clear" w:color="auto" w:fill="FFFFFF"/>
        </w:rPr>
        <w:t>I</w:t>
      </w:r>
      <w:r w:rsidRPr="00F20CC1">
        <w:rPr>
          <w:rFonts w:ascii="Arial" w:hAnsi="Arial" w:cs="Arial"/>
          <w:color w:val="000000"/>
          <w:sz w:val="22"/>
          <w:shd w:val="clear" w:color="auto" w:fill="FFFFFF"/>
        </w:rPr>
        <w:t>nstituto Geográfico Agustín Codazzi</w:t>
      </w:r>
      <w:r>
        <w:rPr>
          <w:rFonts w:ascii="Arial" w:hAnsi="Arial" w:cs="Arial"/>
          <w:color w:val="000000"/>
          <w:sz w:val="22"/>
          <w:shd w:val="clear" w:color="auto" w:fill="FFFFFF"/>
        </w:rPr>
        <w:t xml:space="preserve">; </w:t>
      </w:r>
      <w:proofErr w:type="spellStart"/>
      <w:r>
        <w:rPr>
          <w:rFonts w:ascii="Arial" w:hAnsi="Arial" w:cs="Arial"/>
          <w:color w:val="000000"/>
          <w:sz w:val="22"/>
          <w:shd w:val="clear" w:color="auto" w:fill="FFFFFF"/>
        </w:rPr>
        <w:t>ii</w:t>
      </w:r>
      <w:proofErr w:type="spellEnd"/>
      <w:r>
        <w:rPr>
          <w:rFonts w:ascii="Arial" w:hAnsi="Arial" w:cs="Arial"/>
          <w:color w:val="000000"/>
          <w:sz w:val="22"/>
          <w:shd w:val="clear" w:color="auto" w:fill="FFFFFF"/>
        </w:rPr>
        <w:t>)</w:t>
      </w:r>
      <w:r w:rsidRPr="00F20CC1">
        <w:rPr>
          <w:rFonts w:ascii="Arial" w:hAnsi="Arial" w:cs="Arial"/>
          <w:color w:val="000000"/>
          <w:sz w:val="22"/>
          <w:shd w:val="clear" w:color="auto" w:fill="FFFFFF"/>
        </w:rPr>
        <w:t xml:space="preserve"> </w:t>
      </w:r>
      <w:r>
        <w:rPr>
          <w:rFonts w:ascii="Arial" w:hAnsi="Arial" w:cs="Arial"/>
          <w:color w:val="000000"/>
          <w:sz w:val="22"/>
          <w:shd w:val="clear" w:color="auto" w:fill="FFFFFF"/>
        </w:rPr>
        <w:t xml:space="preserve">por </w:t>
      </w:r>
      <w:r w:rsidRPr="00F20CC1">
        <w:rPr>
          <w:rFonts w:ascii="Arial" w:hAnsi="Arial" w:cs="Arial"/>
          <w:color w:val="000000"/>
          <w:sz w:val="22"/>
          <w:shd w:val="clear" w:color="auto" w:fill="FFFFFF"/>
        </w:rPr>
        <w:t>gestores catas</w:t>
      </w:r>
      <w:r>
        <w:rPr>
          <w:rFonts w:ascii="Arial" w:hAnsi="Arial" w:cs="Arial"/>
          <w:color w:val="000000"/>
          <w:sz w:val="22"/>
          <w:shd w:val="clear" w:color="auto" w:fill="FFFFFF"/>
        </w:rPr>
        <w:t>t</w:t>
      </w:r>
      <w:r w:rsidRPr="00F20CC1">
        <w:rPr>
          <w:rFonts w:ascii="Arial" w:hAnsi="Arial" w:cs="Arial"/>
          <w:color w:val="000000"/>
          <w:sz w:val="22"/>
          <w:shd w:val="clear" w:color="auto" w:fill="FFFFFF"/>
        </w:rPr>
        <w:t xml:space="preserve">rales, encargados de adelantar la formación, actualización, conservación y difusión catastral, así como los procedimientos del enfoque catastral multipropósito adoptados para el efecto; y </w:t>
      </w:r>
      <w:proofErr w:type="spellStart"/>
      <w:r w:rsidRPr="00F20CC1">
        <w:rPr>
          <w:rFonts w:ascii="Arial" w:hAnsi="Arial" w:cs="Arial"/>
          <w:color w:val="000000"/>
          <w:sz w:val="22"/>
          <w:shd w:val="clear" w:color="auto" w:fill="FFFFFF"/>
        </w:rPr>
        <w:t>ii</w:t>
      </w:r>
      <w:r>
        <w:rPr>
          <w:rFonts w:ascii="Arial" w:hAnsi="Arial" w:cs="Arial"/>
          <w:color w:val="000000"/>
          <w:sz w:val="22"/>
          <w:shd w:val="clear" w:color="auto" w:fill="FFFFFF"/>
        </w:rPr>
        <w:t>i</w:t>
      </w:r>
      <w:proofErr w:type="spellEnd"/>
      <w:r w:rsidRPr="00F20CC1">
        <w:rPr>
          <w:rFonts w:ascii="Arial" w:hAnsi="Arial" w:cs="Arial"/>
          <w:color w:val="000000"/>
          <w:sz w:val="22"/>
          <w:shd w:val="clear" w:color="auto" w:fill="FFFFFF"/>
        </w:rPr>
        <w:t>) por operadores catastrales, quienes desarrollarán labores operativas relativas a la gestión catastral.</w:t>
      </w:r>
      <w:r>
        <w:rPr>
          <w:rFonts w:ascii="Arial" w:hAnsi="Arial" w:cs="Arial"/>
          <w:color w:val="000000"/>
          <w:sz w:val="22"/>
          <w:shd w:val="clear" w:color="auto" w:fill="FFFFFF"/>
        </w:rPr>
        <w:t xml:space="preserve"> A su vez, </w:t>
      </w:r>
      <w:r w:rsidR="00A5252A">
        <w:rPr>
          <w:rFonts w:ascii="Arial" w:hAnsi="Arial" w:cs="Arial"/>
          <w:color w:val="000000"/>
          <w:sz w:val="22"/>
          <w:shd w:val="clear" w:color="auto" w:fill="FFFFFF"/>
        </w:rPr>
        <w:t>asigna al</w:t>
      </w:r>
      <w:r w:rsidRPr="00F47975">
        <w:rPr>
          <w:rFonts w:ascii="Arial" w:hAnsi="Arial" w:cs="Arial"/>
          <w:color w:val="000000"/>
          <w:sz w:val="22"/>
          <w:shd w:val="clear" w:color="auto" w:fill="FFFFFF"/>
        </w:rPr>
        <w:t xml:space="preserve"> Instituto Geográfico Agustín Codazzi </w:t>
      </w:r>
      <w:r>
        <w:rPr>
          <w:rFonts w:ascii="Arial" w:hAnsi="Arial" w:cs="Arial"/>
          <w:color w:val="000000"/>
          <w:sz w:val="22"/>
          <w:shd w:val="clear" w:color="auto" w:fill="FFFFFF"/>
        </w:rPr>
        <w:t>–</w:t>
      </w:r>
      <w:r w:rsidRPr="00F47975">
        <w:rPr>
          <w:rFonts w:ascii="Arial" w:hAnsi="Arial" w:cs="Arial"/>
          <w:color w:val="000000"/>
          <w:sz w:val="22"/>
          <w:shd w:val="clear" w:color="auto" w:fill="FFFFFF"/>
        </w:rPr>
        <w:t>IGAC</w:t>
      </w:r>
      <w:r>
        <w:rPr>
          <w:rFonts w:ascii="Arial" w:hAnsi="Arial" w:cs="Arial"/>
          <w:color w:val="000000"/>
          <w:sz w:val="22"/>
          <w:shd w:val="clear" w:color="auto" w:fill="FFFFFF"/>
        </w:rPr>
        <w:t>–</w:t>
      </w:r>
      <w:r w:rsidRPr="00F47975">
        <w:rPr>
          <w:rFonts w:ascii="Arial" w:hAnsi="Arial" w:cs="Arial"/>
          <w:color w:val="000000"/>
          <w:sz w:val="22"/>
          <w:shd w:val="clear" w:color="auto" w:fill="FFFFFF"/>
        </w:rPr>
        <w:t xml:space="preserve"> </w:t>
      </w:r>
      <w:r>
        <w:rPr>
          <w:rFonts w:ascii="Arial" w:hAnsi="Arial" w:cs="Arial"/>
          <w:color w:val="000000"/>
          <w:sz w:val="22"/>
          <w:shd w:val="clear" w:color="auto" w:fill="FFFFFF"/>
        </w:rPr>
        <w:t xml:space="preserve">la función de habilitar como </w:t>
      </w:r>
      <w:r w:rsidRPr="00F47975">
        <w:rPr>
          <w:rFonts w:ascii="Arial" w:hAnsi="Arial" w:cs="Arial"/>
          <w:color w:val="000000"/>
          <w:sz w:val="22"/>
          <w:shd w:val="clear" w:color="auto" w:fill="FFFFFF"/>
        </w:rPr>
        <w:t>gestores catastrales</w:t>
      </w:r>
      <w:r w:rsidRPr="00C34808">
        <w:rPr>
          <w:rFonts w:ascii="Arial" w:hAnsi="Arial" w:cs="Arial"/>
          <w:color w:val="000000"/>
          <w:sz w:val="22"/>
          <w:shd w:val="clear" w:color="auto" w:fill="FFFFFF"/>
        </w:rPr>
        <w:t xml:space="preserve"> </w:t>
      </w:r>
      <w:r w:rsidRPr="00F47975">
        <w:rPr>
          <w:rFonts w:ascii="Arial" w:hAnsi="Arial" w:cs="Arial"/>
          <w:color w:val="000000"/>
          <w:sz w:val="22"/>
          <w:shd w:val="clear" w:color="auto" w:fill="FFFFFF"/>
        </w:rPr>
        <w:t>para la prestación del servicio catastral a las entidades públicas nacionales o territoriales, incluyendo, entre otros, esquemas asociativos de entidades territoriales.</w:t>
      </w:r>
    </w:p>
    <w:p w14:paraId="0AB6D430" w14:textId="3A046EF7" w:rsidR="001F0B64" w:rsidRDefault="001F0B64" w:rsidP="001F0B64">
      <w:pPr>
        <w:spacing w:before="120" w:line="276" w:lineRule="auto"/>
        <w:ind w:firstLine="709"/>
        <w:jc w:val="both"/>
        <w:rPr>
          <w:rFonts w:ascii="Arial" w:hAnsi="Arial" w:cs="Arial"/>
          <w:color w:val="000000"/>
          <w:sz w:val="22"/>
          <w:shd w:val="clear" w:color="auto" w:fill="FFFFFF"/>
        </w:rPr>
      </w:pPr>
      <w:r>
        <w:rPr>
          <w:rStyle w:val="normaltextrun"/>
          <w:rFonts w:ascii="Arial" w:hAnsi="Arial" w:cs="Arial"/>
          <w:color w:val="000000"/>
          <w:sz w:val="22"/>
          <w:shd w:val="clear" w:color="auto" w:fill="FFFFFF"/>
        </w:rPr>
        <w:t>L</w:t>
      </w:r>
      <w:r w:rsidRPr="004821FD">
        <w:rPr>
          <w:rStyle w:val="normaltextrun"/>
          <w:rFonts w:ascii="Arial" w:hAnsi="Arial" w:cs="Arial"/>
          <w:color w:val="000000"/>
          <w:sz w:val="22"/>
          <w:shd w:val="clear" w:color="auto" w:fill="FFFFFF"/>
        </w:rPr>
        <w:t xml:space="preserve">os </w:t>
      </w:r>
      <w:r>
        <w:rPr>
          <w:rStyle w:val="normaltextrun"/>
          <w:rFonts w:ascii="Arial" w:hAnsi="Arial" w:cs="Arial"/>
          <w:color w:val="000000"/>
          <w:sz w:val="22"/>
          <w:shd w:val="clear" w:color="auto" w:fill="FFFFFF"/>
        </w:rPr>
        <w:t>D</w:t>
      </w:r>
      <w:r w:rsidRPr="004821FD">
        <w:rPr>
          <w:rStyle w:val="normaltextrun"/>
          <w:rFonts w:ascii="Arial" w:hAnsi="Arial" w:cs="Arial"/>
          <w:color w:val="000000"/>
          <w:sz w:val="22"/>
          <w:shd w:val="clear" w:color="auto" w:fill="FFFFFF"/>
        </w:rPr>
        <w:t>ecretos 1983 de 2019 y 148 de 2020</w:t>
      </w:r>
      <w:r>
        <w:rPr>
          <w:rStyle w:val="normaltextrun"/>
          <w:rFonts w:ascii="Arial" w:hAnsi="Arial" w:cs="Arial"/>
          <w:color w:val="000000"/>
          <w:sz w:val="22"/>
          <w:shd w:val="clear" w:color="auto" w:fill="FFFFFF"/>
        </w:rPr>
        <w:t xml:space="preserve"> </w:t>
      </w:r>
      <w:r w:rsidR="00A5252A">
        <w:rPr>
          <w:rStyle w:val="normaltextrun"/>
          <w:rFonts w:ascii="Arial" w:hAnsi="Arial" w:cs="Arial"/>
          <w:color w:val="000000"/>
          <w:sz w:val="22"/>
          <w:shd w:val="clear" w:color="auto" w:fill="FFFFFF"/>
        </w:rPr>
        <w:t>–compilados en el Decreto 1170 de 2015</w:t>
      </w:r>
      <w:r w:rsidR="0011144C">
        <w:rPr>
          <w:rStyle w:val="normaltextrun"/>
          <w:rFonts w:ascii="Arial" w:hAnsi="Arial" w:cs="Arial"/>
          <w:color w:val="000000"/>
          <w:sz w:val="22"/>
          <w:shd w:val="clear" w:color="auto" w:fill="FFFFFF"/>
        </w:rPr>
        <w:t>; sin embargo, para mayor claridad se hará referencia a los Decreto 1983 y 148</w:t>
      </w:r>
      <w:r w:rsidR="00A5252A">
        <w:rPr>
          <w:rStyle w:val="normaltextrun"/>
          <w:rFonts w:ascii="Arial" w:hAnsi="Arial" w:cs="Arial"/>
          <w:color w:val="000000"/>
          <w:sz w:val="22"/>
          <w:shd w:val="clear" w:color="auto" w:fill="FFFFFF"/>
        </w:rPr>
        <w:t>–</w:t>
      </w:r>
      <w:r w:rsidR="0011144C">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se ocupan de reglamentar la materia. El primero </w:t>
      </w:r>
      <w:r w:rsidRPr="003D4542">
        <w:rPr>
          <w:rStyle w:val="normaltextrun"/>
          <w:rFonts w:ascii="Arial" w:hAnsi="Arial" w:cs="Arial"/>
          <w:color w:val="000000"/>
          <w:sz w:val="22"/>
          <w:shd w:val="clear" w:color="auto" w:fill="FFFFFF"/>
        </w:rPr>
        <w:t>define el marco de las condiciones jurídicas,</w:t>
      </w:r>
      <w:r>
        <w:rPr>
          <w:rStyle w:val="normaltextrun"/>
          <w:rFonts w:ascii="Arial" w:hAnsi="Arial" w:cs="Arial"/>
          <w:color w:val="000000"/>
          <w:sz w:val="22"/>
          <w:shd w:val="clear" w:color="auto" w:fill="FFFFFF"/>
        </w:rPr>
        <w:t xml:space="preserve"> </w:t>
      </w:r>
      <w:r w:rsidRPr="003D4542">
        <w:rPr>
          <w:rStyle w:val="normaltextrun"/>
          <w:rFonts w:ascii="Arial" w:hAnsi="Arial" w:cs="Arial"/>
          <w:color w:val="000000"/>
          <w:sz w:val="22"/>
          <w:shd w:val="clear" w:color="auto" w:fill="FFFFFF"/>
        </w:rPr>
        <w:t>técnicas, económicas y financieras para habilitar a los gestores catastrales que efectuarán la</w:t>
      </w:r>
      <w:r>
        <w:rPr>
          <w:rStyle w:val="normaltextrun"/>
          <w:rFonts w:ascii="Arial" w:hAnsi="Arial" w:cs="Arial"/>
          <w:color w:val="000000"/>
          <w:sz w:val="22"/>
          <w:shd w:val="clear" w:color="auto" w:fill="FFFFFF"/>
        </w:rPr>
        <w:t xml:space="preserve"> </w:t>
      </w:r>
      <w:r w:rsidRPr="003D4542">
        <w:rPr>
          <w:rStyle w:val="normaltextrun"/>
          <w:rFonts w:ascii="Arial" w:hAnsi="Arial" w:cs="Arial"/>
          <w:color w:val="000000"/>
          <w:sz w:val="22"/>
          <w:shd w:val="clear" w:color="auto" w:fill="FFFFFF"/>
        </w:rPr>
        <w:t>gestión catastral</w:t>
      </w:r>
      <w:r>
        <w:rPr>
          <w:rStyle w:val="normaltextrun"/>
          <w:rFonts w:ascii="Arial" w:hAnsi="Arial" w:cs="Arial"/>
          <w:color w:val="000000"/>
          <w:sz w:val="22"/>
          <w:shd w:val="clear" w:color="auto" w:fill="FFFFFF"/>
        </w:rPr>
        <w:t>, la forma de contratación de estos y la contratación de los operadores catastrales. Por su parte, e</w:t>
      </w:r>
      <w:r w:rsidRPr="006B1C97">
        <w:rPr>
          <w:rFonts w:ascii="Arial" w:hAnsi="Arial" w:cs="Arial"/>
          <w:color w:val="000000"/>
          <w:sz w:val="22"/>
          <w:shd w:val="clear" w:color="auto" w:fill="FFFFFF"/>
        </w:rPr>
        <w:t>l Decreto 148 de 2020</w:t>
      </w:r>
      <w:r>
        <w:rPr>
          <w:rFonts w:ascii="Arial" w:hAnsi="Arial" w:cs="Arial"/>
          <w:color w:val="000000"/>
          <w:sz w:val="22"/>
          <w:shd w:val="clear" w:color="auto" w:fill="FFFFFF"/>
        </w:rPr>
        <w:t xml:space="preserve"> regula aspectos como </w:t>
      </w:r>
      <w:r w:rsidRPr="006B1C97">
        <w:rPr>
          <w:rFonts w:ascii="Arial" w:hAnsi="Arial" w:cs="Arial"/>
          <w:color w:val="000000"/>
          <w:sz w:val="22"/>
          <w:shd w:val="clear" w:color="auto" w:fill="FFFFFF"/>
        </w:rPr>
        <w:t>los principios de la gestión catastral, sus objetivos,</w:t>
      </w:r>
      <w:r>
        <w:rPr>
          <w:rFonts w:ascii="Arial" w:hAnsi="Arial" w:cs="Arial"/>
          <w:color w:val="000000"/>
          <w:sz w:val="22"/>
          <w:shd w:val="clear" w:color="auto" w:fill="FFFFFF"/>
        </w:rPr>
        <w:t xml:space="preserve"> </w:t>
      </w:r>
      <w:r w:rsidRPr="006B1C97">
        <w:rPr>
          <w:rFonts w:ascii="Arial" w:hAnsi="Arial" w:cs="Arial"/>
          <w:color w:val="000000"/>
          <w:sz w:val="22"/>
          <w:shd w:val="clear" w:color="auto" w:fill="FFFFFF"/>
        </w:rPr>
        <w:t>sus intervinientes en el proceso,</w:t>
      </w:r>
      <w:r>
        <w:rPr>
          <w:rFonts w:ascii="Arial" w:hAnsi="Arial" w:cs="Arial"/>
          <w:color w:val="000000"/>
          <w:sz w:val="22"/>
          <w:shd w:val="clear" w:color="auto" w:fill="FFFFFF"/>
        </w:rPr>
        <w:t xml:space="preserve"> </w:t>
      </w:r>
      <w:r w:rsidRPr="006B1C97">
        <w:rPr>
          <w:rFonts w:ascii="Arial" w:hAnsi="Arial" w:cs="Arial"/>
          <w:color w:val="000000"/>
          <w:sz w:val="22"/>
          <w:shd w:val="clear" w:color="auto" w:fill="FFFFFF"/>
        </w:rPr>
        <w:t>obligaciones generales de los gestores catas</w:t>
      </w:r>
      <w:r>
        <w:rPr>
          <w:rFonts w:ascii="Arial" w:hAnsi="Arial" w:cs="Arial"/>
          <w:color w:val="000000"/>
          <w:sz w:val="22"/>
          <w:shd w:val="clear" w:color="auto" w:fill="FFFFFF"/>
        </w:rPr>
        <w:t>t</w:t>
      </w:r>
      <w:r w:rsidRPr="006B1C97">
        <w:rPr>
          <w:rFonts w:ascii="Arial" w:hAnsi="Arial" w:cs="Arial"/>
          <w:color w:val="000000"/>
          <w:sz w:val="22"/>
          <w:shd w:val="clear" w:color="auto" w:fill="FFFFFF"/>
        </w:rPr>
        <w:t>rales,</w:t>
      </w:r>
      <w:r>
        <w:rPr>
          <w:rFonts w:ascii="Arial" w:hAnsi="Arial" w:cs="Arial"/>
          <w:color w:val="000000"/>
          <w:sz w:val="22"/>
          <w:shd w:val="clear" w:color="auto" w:fill="FFFFFF"/>
        </w:rPr>
        <w:t xml:space="preserve"> los </w:t>
      </w:r>
      <w:r w:rsidRPr="006B1C97">
        <w:rPr>
          <w:rFonts w:ascii="Arial" w:hAnsi="Arial" w:cs="Arial"/>
          <w:color w:val="000000"/>
          <w:sz w:val="22"/>
          <w:shd w:val="clear" w:color="auto" w:fill="FFFFFF"/>
        </w:rPr>
        <w:t>procesos de la gestión catastral, entre otros temas</w:t>
      </w:r>
      <w:r>
        <w:rPr>
          <w:rFonts w:ascii="Arial" w:hAnsi="Arial" w:cs="Arial"/>
          <w:color w:val="000000"/>
          <w:sz w:val="22"/>
          <w:shd w:val="clear" w:color="auto" w:fill="FFFFFF"/>
        </w:rPr>
        <w:t xml:space="preserve">. </w:t>
      </w:r>
    </w:p>
    <w:p w14:paraId="22F6F9ED" w14:textId="7AEB897B" w:rsidR="001F0B64" w:rsidRPr="0069239E" w:rsidRDefault="001F0B64" w:rsidP="001F0B64">
      <w:pPr>
        <w:spacing w:before="120" w:after="120" w:line="276" w:lineRule="auto"/>
        <w:ind w:firstLine="705"/>
        <w:jc w:val="both"/>
        <w:rPr>
          <w:rStyle w:val="normaltextrun"/>
          <w:rFonts w:ascii="Arial" w:hAnsi="Arial" w:cs="Arial"/>
          <w:color w:val="000000"/>
          <w:sz w:val="22"/>
        </w:rPr>
      </w:pPr>
      <w:bookmarkStart w:id="5" w:name="_Hlk75266779"/>
      <w:bookmarkStart w:id="6" w:name="_Hlk92963624"/>
      <w:r>
        <w:rPr>
          <w:rStyle w:val="normaltextrun"/>
          <w:rFonts w:ascii="Arial" w:hAnsi="Arial" w:cs="Arial"/>
          <w:color w:val="000000"/>
          <w:sz w:val="22"/>
          <w:szCs w:val="20"/>
        </w:rPr>
        <w:t>E</w:t>
      </w:r>
      <w:r w:rsidRPr="0069239E">
        <w:rPr>
          <w:rStyle w:val="normaltextrun"/>
          <w:rFonts w:ascii="Arial" w:hAnsi="Arial" w:cs="Arial"/>
          <w:color w:val="000000"/>
          <w:sz w:val="22"/>
          <w:szCs w:val="20"/>
        </w:rPr>
        <w:t>l artículo 2.2.2.1.5</w:t>
      </w:r>
      <w:r>
        <w:rPr>
          <w:rStyle w:val="normaltextrun"/>
          <w:rFonts w:ascii="Arial" w:hAnsi="Arial" w:cs="Arial"/>
          <w:color w:val="000000"/>
          <w:sz w:val="22"/>
          <w:szCs w:val="20"/>
        </w:rPr>
        <w:t xml:space="preserve"> del </w:t>
      </w:r>
      <w:r w:rsidRPr="0069239E">
        <w:rPr>
          <w:rStyle w:val="normaltextrun"/>
          <w:rFonts w:ascii="Arial" w:hAnsi="Arial" w:cs="Arial"/>
          <w:color w:val="000000"/>
          <w:sz w:val="22"/>
          <w:szCs w:val="20"/>
        </w:rPr>
        <w:t>Decreto 148 de 2020</w:t>
      </w:r>
      <w:r w:rsidR="00A5252A">
        <w:rPr>
          <w:rStyle w:val="normaltextrun"/>
          <w:rFonts w:ascii="Arial" w:hAnsi="Arial" w:cs="Arial"/>
          <w:color w:val="000000"/>
          <w:sz w:val="22"/>
          <w:szCs w:val="20"/>
        </w:rPr>
        <w:t xml:space="preserve"> </w:t>
      </w:r>
      <w:r>
        <w:rPr>
          <w:rStyle w:val="normaltextrun"/>
          <w:rFonts w:ascii="Arial" w:hAnsi="Arial" w:cs="Arial"/>
          <w:color w:val="000000"/>
          <w:sz w:val="22"/>
          <w:szCs w:val="20"/>
        </w:rPr>
        <w:t>prescribe que l</w:t>
      </w:r>
      <w:r w:rsidRPr="0069239E">
        <w:rPr>
          <w:rStyle w:val="normaltextrun"/>
          <w:rFonts w:ascii="Arial" w:hAnsi="Arial" w:cs="Arial"/>
          <w:color w:val="000000"/>
          <w:sz w:val="22"/>
          <w:szCs w:val="20"/>
        </w:rPr>
        <w:t>os gestores catastrales son las entidades públicas del orden nacional o territorial, así como los esquemas asociativos de entidades territoriales que hayan sido habilitadas por el Instituto Geográfico Agustín Codazzi –IGAC–. Por tanto, los requisitos para la prestación del servicio de gestión catastral en calidad de gestor</w:t>
      </w:r>
      <w:r>
        <w:rPr>
          <w:rStyle w:val="normaltextrun"/>
          <w:rFonts w:ascii="Arial" w:hAnsi="Arial" w:cs="Arial"/>
          <w:color w:val="000000"/>
          <w:sz w:val="22"/>
          <w:szCs w:val="20"/>
        </w:rPr>
        <w:t xml:space="preserve"> </w:t>
      </w:r>
      <w:r w:rsidR="00A5252A">
        <w:rPr>
          <w:rStyle w:val="normaltextrun"/>
          <w:rFonts w:ascii="Arial" w:hAnsi="Arial" w:cs="Arial"/>
          <w:color w:val="000000"/>
          <w:sz w:val="22"/>
          <w:szCs w:val="20"/>
        </w:rPr>
        <w:t xml:space="preserve">catastral </w:t>
      </w:r>
      <w:r w:rsidRPr="0069239E">
        <w:rPr>
          <w:rStyle w:val="normaltextrun"/>
          <w:rFonts w:ascii="Arial" w:hAnsi="Arial" w:cs="Arial"/>
          <w:color w:val="000000"/>
          <w:sz w:val="22"/>
          <w:szCs w:val="20"/>
        </w:rPr>
        <w:t>son dos</w:t>
      </w:r>
      <w:r>
        <w:rPr>
          <w:rStyle w:val="normaltextrun"/>
          <w:rFonts w:ascii="Arial" w:hAnsi="Arial" w:cs="Arial"/>
          <w:color w:val="000000"/>
          <w:sz w:val="22"/>
          <w:szCs w:val="20"/>
        </w:rPr>
        <w:t xml:space="preserve"> (2)</w:t>
      </w:r>
      <w:r w:rsidRPr="0069239E">
        <w:rPr>
          <w:rStyle w:val="normaltextrun"/>
          <w:rFonts w:ascii="Arial" w:hAnsi="Arial" w:cs="Arial"/>
          <w:color w:val="000000"/>
          <w:sz w:val="22"/>
          <w:szCs w:val="20"/>
        </w:rPr>
        <w:t xml:space="preserve">: i) ser una entidad pública del orden nacional o territorial o esquema asociativo de entidades territoriales y </w:t>
      </w:r>
      <w:proofErr w:type="spellStart"/>
      <w:r w:rsidRPr="0069239E">
        <w:rPr>
          <w:rStyle w:val="normaltextrun"/>
          <w:rFonts w:ascii="Arial" w:hAnsi="Arial" w:cs="Arial"/>
          <w:color w:val="000000"/>
          <w:sz w:val="22"/>
          <w:szCs w:val="20"/>
        </w:rPr>
        <w:t>ii</w:t>
      </w:r>
      <w:proofErr w:type="spellEnd"/>
      <w:r w:rsidRPr="0069239E">
        <w:rPr>
          <w:rStyle w:val="normaltextrun"/>
          <w:rFonts w:ascii="Arial" w:hAnsi="Arial" w:cs="Arial"/>
          <w:color w:val="000000"/>
          <w:sz w:val="22"/>
          <w:szCs w:val="20"/>
        </w:rPr>
        <w:t>) estar habilitado como gestor catastral por parte del IGAC</w:t>
      </w:r>
      <w:r w:rsidRPr="0069239E">
        <w:rPr>
          <w:rStyle w:val="Refdenotaalpie"/>
          <w:rFonts w:ascii="Arial" w:hAnsi="Arial" w:cs="Arial"/>
          <w:color w:val="000000"/>
          <w:sz w:val="22"/>
          <w:szCs w:val="20"/>
        </w:rPr>
        <w:footnoteReference w:id="2"/>
      </w:r>
      <w:r w:rsidRPr="0069239E">
        <w:rPr>
          <w:rStyle w:val="normaltextrun"/>
          <w:rFonts w:ascii="Arial" w:hAnsi="Arial" w:cs="Arial"/>
          <w:color w:val="000000"/>
          <w:sz w:val="22"/>
          <w:szCs w:val="20"/>
        </w:rPr>
        <w:t xml:space="preserve">. Lo anterior, sin perjuicio </w:t>
      </w:r>
      <w:r w:rsidR="00A5252A">
        <w:rPr>
          <w:rStyle w:val="normaltextrun"/>
          <w:rFonts w:ascii="Arial" w:hAnsi="Arial" w:cs="Arial"/>
          <w:color w:val="000000"/>
          <w:sz w:val="22"/>
          <w:szCs w:val="20"/>
        </w:rPr>
        <w:t>de que el</w:t>
      </w:r>
      <w:r w:rsidR="00A5252A" w:rsidRPr="0069239E">
        <w:rPr>
          <w:rStyle w:val="normaltextrun"/>
          <w:rFonts w:ascii="Arial" w:hAnsi="Arial" w:cs="Arial"/>
          <w:color w:val="000000"/>
          <w:sz w:val="22"/>
          <w:szCs w:val="20"/>
        </w:rPr>
        <w:t xml:space="preserve"> </w:t>
      </w:r>
      <w:r w:rsidRPr="0069239E">
        <w:rPr>
          <w:rStyle w:val="normaltextrun"/>
          <w:rFonts w:ascii="Arial" w:hAnsi="Arial" w:cs="Arial"/>
          <w:color w:val="000000"/>
          <w:sz w:val="22"/>
          <w:szCs w:val="20"/>
        </w:rPr>
        <w:t>IGAC</w:t>
      </w:r>
      <w:r>
        <w:rPr>
          <w:rStyle w:val="normaltextrun"/>
          <w:rFonts w:ascii="Arial" w:hAnsi="Arial" w:cs="Arial"/>
          <w:color w:val="000000"/>
          <w:sz w:val="22"/>
          <w:szCs w:val="20"/>
        </w:rPr>
        <w:t xml:space="preserve"> actúe</w:t>
      </w:r>
      <w:r w:rsidRPr="0069239E">
        <w:rPr>
          <w:rStyle w:val="normaltextrun"/>
          <w:rFonts w:ascii="Arial" w:hAnsi="Arial" w:cs="Arial"/>
          <w:color w:val="000000"/>
          <w:sz w:val="22"/>
          <w:szCs w:val="20"/>
        </w:rPr>
        <w:t xml:space="preserve"> como prestador por excepción.</w:t>
      </w:r>
      <w:bookmarkEnd w:id="5"/>
    </w:p>
    <w:bookmarkEnd w:id="6"/>
    <w:p w14:paraId="77DEAD52" w14:textId="77777777" w:rsidR="001F0B64" w:rsidRPr="0069239E" w:rsidRDefault="001F0B64" w:rsidP="001F0B64">
      <w:pPr>
        <w:spacing w:after="120" w:line="276" w:lineRule="auto"/>
        <w:ind w:firstLine="705"/>
        <w:jc w:val="both"/>
        <w:rPr>
          <w:rStyle w:val="normaltextrun"/>
          <w:rFonts w:ascii="Arial" w:hAnsi="Arial" w:cs="Arial"/>
          <w:color w:val="000000"/>
          <w:sz w:val="22"/>
          <w:szCs w:val="20"/>
        </w:rPr>
      </w:pPr>
      <w:r w:rsidRPr="0069239E">
        <w:rPr>
          <w:rStyle w:val="normaltextrun"/>
          <w:rFonts w:ascii="Arial" w:hAnsi="Arial" w:cs="Arial"/>
          <w:color w:val="000000"/>
          <w:sz w:val="22"/>
          <w:szCs w:val="20"/>
        </w:rPr>
        <w:t xml:space="preserve">Por su parte, el artículo 2.2.2.5.1 del Decreto 1983 de 2019, </w:t>
      </w:r>
      <w:r>
        <w:rPr>
          <w:rStyle w:val="normaltextrun"/>
          <w:rFonts w:ascii="Arial" w:hAnsi="Arial" w:cs="Arial"/>
          <w:color w:val="000000"/>
          <w:sz w:val="22"/>
          <w:szCs w:val="20"/>
        </w:rPr>
        <w:t>dispone</w:t>
      </w:r>
      <w:r w:rsidRPr="0069239E">
        <w:rPr>
          <w:rStyle w:val="normaltextrun"/>
          <w:rFonts w:ascii="Arial" w:hAnsi="Arial" w:cs="Arial"/>
          <w:color w:val="000000"/>
          <w:sz w:val="22"/>
          <w:szCs w:val="20"/>
        </w:rPr>
        <w:t xml:space="preserve"> las condiciones que el IGAC verifica frente a las entidades territoriales y los esquemas asociativos para </w:t>
      </w:r>
      <w:r w:rsidRPr="0069239E">
        <w:rPr>
          <w:rStyle w:val="normaltextrun"/>
          <w:rFonts w:ascii="Arial" w:hAnsi="Arial" w:cs="Arial"/>
          <w:color w:val="000000"/>
          <w:sz w:val="22"/>
          <w:szCs w:val="20"/>
        </w:rPr>
        <w:lastRenderedPageBreak/>
        <w:t>habilitarlos como gestores catastrales. Es así como estas entidades territoriales o esquemas asociativos deben cumplir condiciones jurídicas, técnicas, económicas y financieras para prestar el servicio público de gestión catastral. En consecuencia, este servicio únicamente pueden prestar</w:t>
      </w:r>
      <w:r>
        <w:rPr>
          <w:rStyle w:val="normaltextrun"/>
          <w:rFonts w:ascii="Arial" w:hAnsi="Arial" w:cs="Arial"/>
          <w:color w:val="000000"/>
          <w:sz w:val="22"/>
          <w:szCs w:val="20"/>
        </w:rPr>
        <w:t>lo</w:t>
      </w:r>
      <w:r w:rsidRPr="0069239E">
        <w:rPr>
          <w:rStyle w:val="normaltextrun"/>
          <w:rFonts w:ascii="Arial" w:hAnsi="Arial" w:cs="Arial"/>
          <w:color w:val="000000"/>
          <w:sz w:val="22"/>
          <w:szCs w:val="20"/>
        </w:rPr>
        <w:t xml:space="preserve"> las entidades que previamente se hayan habilitado como gestores catastrales por parte del IGAC</w:t>
      </w:r>
      <w:r w:rsidRPr="0069239E">
        <w:rPr>
          <w:rStyle w:val="Refdenotaalpie"/>
          <w:rFonts w:ascii="Arial" w:hAnsi="Arial" w:cs="Arial"/>
          <w:color w:val="000000"/>
          <w:sz w:val="22"/>
          <w:szCs w:val="20"/>
        </w:rPr>
        <w:footnoteReference w:id="3"/>
      </w:r>
      <w:r w:rsidRPr="0069239E">
        <w:rPr>
          <w:rStyle w:val="normaltextrun"/>
          <w:rFonts w:ascii="Arial" w:hAnsi="Arial" w:cs="Arial"/>
          <w:color w:val="000000"/>
          <w:sz w:val="22"/>
          <w:szCs w:val="20"/>
        </w:rPr>
        <w:t>.</w:t>
      </w:r>
    </w:p>
    <w:p w14:paraId="34AC13C8" w14:textId="77777777" w:rsidR="001F0B64" w:rsidRDefault="001F0B64" w:rsidP="001F0B64">
      <w:pPr>
        <w:spacing w:before="120" w:line="276" w:lineRule="auto"/>
        <w:ind w:firstLine="709"/>
        <w:jc w:val="both"/>
        <w:rPr>
          <w:rStyle w:val="normaltextrun"/>
          <w:rFonts w:ascii="Arial" w:hAnsi="Arial" w:cs="Arial"/>
          <w:color w:val="000000"/>
          <w:sz w:val="22"/>
          <w:shd w:val="clear" w:color="auto" w:fill="FFFFFF"/>
        </w:rPr>
      </w:pPr>
      <w:bookmarkStart w:id="7" w:name="_Hlk75266876"/>
      <w:r>
        <w:rPr>
          <w:rFonts w:ascii="Arial" w:hAnsi="Arial" w:cs="Arial"/>
          <w:color w:val="000000"/>
          <w:sz w:val="22"/>
          <w:shd w:val="clear" w:color="auto" w:fill="FFFFFF"/>
        </w:rPr>
        <w:t xml:space="preserve">En lo relacionado con la contratación de los gestores catastrales, </w:t>
      </w:r>
      <w:r w:rsidRPr="0069239E">
        <w:rPr>
          <w:rStyle w:val="normaltextrun"/>
          <w:rFonts w:ascii="Arial" w:hAnsi="Arial" w:cs="Arial"/>
          <w:color w:val="000000"/>
          <w:sz w:val="22"/>
          <w:shd w:val="clear" w:color="auto" w:fill="FFFFFF"/>
        </w:rPr>
        <w:t>el artículo 2.2.2.5.6 del Decreto 1983 de 2019</w:t>
      </w:r>
      <w:r>
        <w:rPr>
          <w:rStyle w:val="normaltextrun"/>
          <w:rFonts w:ascii="Arial" w:hAnsi="Arial" w:cs="Arial"/>
          <w:color w:val="000000"/>
          <w:sz w:val="22"/>
          <w:shd w:val="clear" w:color="auto" w:fill="FFFFFF"/>
        </w:rPr>
        <w:t xml:space="preserve"> dispone</w:t>
      </w:r>
      <w:r w:rsidRPr="0069239E">
        <w:rPr>
          <w:rStyle w:val="normaltextrun"/>
          <w:rFonts w:ascii="Arial" w:hAnsi="Arial" w:cs="Arial"/>
          <w:color w:val="000000"/>
          <w:sz w:val="22"/>
          <w:shd w:val="clear" w:color="auto" w:fill="FFFFFF"/>
        </w:rPr>
        <w:t xml:space="preserve"> que las entidades territoriales que no estén habilitadas podrán contratar a un gestor catastral en los términos de dicho Decreto para la prestación del servicio público en su territorio.</w:t>
      </w:r>
      <w:r>
        <w:rPr>
          <w:rStyle w:val="normaltextrun"/>
          <w:rFonts w:ascii="Arial" w:hAnsi="Arial" w:cs="Arial"/>
          <w:color w:val="000000"/>
          <w:sz w:val="22"/>
          <w:shd w:val="clear" w:color="auto" w:fill="FFFFFF"/>
        </w:rPr>
        <w:t xml:space="preserve"> Así mismo, prescribe que</w:t>
      </w:r>
      <w:r w:rsidRPr="00EB1D59">
        <w:rPr>
          <w:rFonts w:ascii="Arial" w:hAnsi="Arial" w:cs="Arial"/>
          <w:color w:val="000000"/>
          <w:sz w:val="22"/>
          <w:shd w:val="clear" w:color="auto" w:fill="FFFFFF"/>
        </w:rPr>
        <w:t xml:space="preserve"> el gestor catastral contratado </w:t>
      </w:r>
      <w:r w:rsidRPr="0069239E">
        <w:rPr>
          <w:rStyle w:val="normaltextrun"/>
          <w:rFonts w:ascii="Arial" w:hAnsi="Arial" w:cs="Arial"/>
          <w:color w:val="000000"/>
          <w:sz w:val="22"/>
        </w:rPr>
        <w:t>«</w:t>
      </w:r>
      <w:r w:rsidRPr="00EB1D59">
        <w:rPr>
          <w:rFonts w:ascii="Arial" w:hAnsi="Arial" w:cs="Arial"/>
          <w:color w:val="000000"/>
          <w:sz w:val="22"/>
          <w:shd w:val="clear" w:color="auto" w:fill="FFFFFF"/>
        </w:rPr>
        <w:t>deberá asegurar la prestación integral del servicio, es decir, incluyendo las actividades de formación, actualización y conservación, así como los procedimientos del enfoque catastral multipropósito que sean adoptados</w:t>
      </w:r>
      <w:r w:rsidRPr="0069239E">
        <w:rPr>
          <w:rStyle w:val="normaltextrun"/>
          <w:rFonts w:ascii="Arial" w:hAnsi="Arial" w:cs="Arial"/>
          <w:color w:val="000000"/>
          <w:sz w:val="22"/>
        </w:rPr>
        <w:t>».</w:t>
      </w:r>
      <w:r>
        <w:rPr>
          <w:rStyle w:val="normaltextrun"/>
          <w:rFonts w:ascii="Arial" w:hAnsi="Arial" w:cs="Arial"/>
          <w:color w:val="000000"/>
          <w:sz w:val="22"/>
          <w:shd w:val="clear" w:color="auto" w:fill="FFFFFF"/>
        </w:rPr>
        <w:t xml:space="preserve"> </w:t>
      </w:r>
      <w:r w:rsidRPr="0069239E">
        <w:rPr>
          <w:rStyle w:val="normaltextrun"/>
          <w:rFonts w:ascii="Arial" w:hAnsi="Arial" w:cs="Arial"/>
          <w:color w:val="000000"/>
          <w:sz w:val="22"/>
          <w:shd w:val="clear" w:color="auto" w:fill="FFFFFF"/>
        </w:rPr>
        <w:t xml:space="preserve">Además, </w:t>
      </w:r>
      <w:r>
        <w:rPr>
          <w:rStyle w:val="normaltextrun"/>
          <w:rFonts w:ascii="Arial" w:hAnsi="Arial" w:cs="Arial"/>
          <w:color w:val="000000"/>
          <w:sz w:val="22"/>
          <w:shd w:val="clear" w:color="auto" w:fill="FFFFFF"/>
        </w:rPr>
        <w:t xml:space="preserve">según </w:t>
      </w:r>
      <w:r w:rsidRPr="0069239E">
        <w:rPr>
          <w:rStyle w:val="normaltextrun"/>
          <w:rFonts w:ascii="Arial" w:hAnsi="Arial" w:cs="Arial"/>
          <w:color w:val="000000"/>
          <w:sz w:val="22"/>
          <w:shd w:val="clear" w:color="auto" w:fill="FFFFFF"/>
        </w:rPr>
        <w:t xml:space="preserve">el artículo 2.2.2.5.7 la contratación del gestor catastral se sujetará a las siguientes reglas, prescribiendo explícitamente que se realizará mediante </w:t>
      </w:r>
      <w:r w:rsidRPr="0069239E">
        <w:rPr>
          <w:rStyle w:val="normaltextrun"/>
          <w:rFonts w:ascii="Arial" w:hAnsi="Arial" w:cs="Arial"/>
          <w:i/>
          <w:iCs/>
          <w:color w:val="000000"/>
          <w:sz w:val="22"/>
          <w:shd w:val="clear" w:color="auto" w:fill="FFFFFF"/>
        </w:rPr>
        <w:t>contrato interadministrativo</w:t>
      </w:r>
      <w:bookmarkEnd w:id="7"/>
      <w:r w:rsidRPr="0069239E">
        <w:rPr>
          <w:rStyle w:val="normaltextrun"/>
          <w:rFonts w:ascii="Arial" w:hAnsi="Arial" w:cs="Arial"/>
          <w:color w:val="000000"/>
          <w:sz w:val="22"/>
          <w:shd w:val="clear" w:color="auto" w:fill="FFFFFF"/>
        </w:rPr>
        <w:t xml:space="preserve">:  </w:t>
      </w:r>
    </w:p>
    <w:p w14:paraId="487FB633" w14:textId="77777777" w:rsidR="001F0B64" w:rsidRPr="0069239E" w:rsidRDefault="001F0B64" w:rsidP="001F0B64">
      <w:pPr>
        <w:spacing w:line="276" w:lineRule="auto"/>
        <w:ind w:firstLine="703"/>
        <w:jc w:val="both"/>
        <w:rPr>
          <w:rStyle w:val="normaltextrun"/>
          <w:rFonts w:ascii="Arial" w:hAnsi="Arial" w:cs="Arial"/>
          <w:color w:val="000000"/>
          <w:sz w:val="22"/>
          <w:shd w:val="clear" w:color="auto" w:fill="FFFFFF"/>
        </w:rPr>
      </w:pPr>
    </w:p>
    <w:p w14:paraId="667D947F" w14:textId="77777777" w:rsidR="001F0B64" w:rsidRPr="0069239E" w:rsidRDefault="001F0B64" w:rsidP="001F0B64">
      <w:pPr>
        <w:spacing w:after="120"/>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Artículo 2.2.2.5.7. Condiciones de la contratación de gestores catastrales. La contratación de que habla el artículo anterior deberá sujetarse a las siguientes condiciones:</w:t>
      </w:r>
    </w:p>
    <w:p w14:paraId="7AB6C165" w14:textId="77777777" w:rsidR="001F0B64" w:rsidRPr="0069239E" w:rsidRDefault="001F0B64" w:rsidP="001F0B64">
      <w:pPr>
        <w:spacing w:after="120"/>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1. El gestor catastral contratado debe contar con una habilitación vigente para prestar el servicio público de gestión catastral. </w:t>
      </w:r>
    </w:p>
    <w:p w14:paraId="50264A29" w14:textId="77777777" w:rsidR="001F0B64" w:rsidRPr="0069239E" w:rsidRDefault="001F0B64" w:rsidP="001F0B64">
      <w:pPr>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2. Teniendo en cuenta la naturaleza de las partes, la selección del contratista para la prestación del servicio público catastral podrá realizarse a través de contratación directa, observando los principios de selección objetiva y transparencia, </w:t>
      </w:r>
      <w:r w:rsidRPr="0069239E">
        <w:rPr>
          <w:rFonts w:ascii="Arial" w:hAnsi="Arial" w:cs="Arial"/>
          <w:i/>
          <w:iCs/>
          <w:sz w:val="21"/>
          <w:szCs w:val="21"/>
          <w:shd w:val="clear" w:color="auto" w:fill="FFFFFF"/>
        </w:rPr>
        <w:t>por tratarse de un contrato interadministrativo</w:t>
      </w:r>
      <w:r w:rsidRPr="0069239E">
        <w:rPr>
          <w:rFonts w:ascii="Arial" w:hAnsi="Arial" w:cs="Arial"/>
          <w:sz w:val="21"/>
          <w:szCs w:val="21"/>
          <w:shd w:val="clear" w:color="auto" w:fill="FFFFFF"/>
        </w:rPr>
        <w:t>.</w:t>
      </w:r>
    </w:p>
    <w:p w14:paraId="67F7D425" w14:textId="77777777" w:rsidR="001F0B64" w:rsidRDefault="001F0B64" w:rsidP="001F0B64">
      <w:pPr>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 </w:t>
      </w:r>
    </w:p>
    <w:p w14:paraId="299273B2" w14:textId="77777777" w:rsidR="001F0B64" w:rsidRPr="0069239E" w:rsidRDefault="001F0B64" w:rsidP="001F0B64">
      <w:pPr>
        <w:spacing w:line="276" w:lineRule="auto"/>
        <w:ind w:left="703" w:right="709"/>
        <w:jc w:val="both"/>
        <w:rPr>
          <w:rFonts w:ascii="Arial" w:hAnsi="Arial" w:cs="Arial"/>
          <w:sz w:val="21"/>
          <w:szCs w:val="21"/>
          <w:shd w:val="clear" w:color="auto" w:fill="FFFFFF"/>
        </w:rPr>
      </w:pPr>
    </w:p>
    <w:p w14:paraId="726D4ED9" w14:textId="7190BA28" w:rsidR="001F0B64" w:rsidRDefault="001F0B64" w:rsidP="001F0B64">
      <w:pPr>
        <w:spacing w:line="276" w:lineRule="auto"/>
        <w:ind w:firstLine="705"/>
        <w:jc w:val="both"/>
        <w:rPr>
          <w:rFonts w:ascii="Arial" w:hAnsi="Arial" w:cs="Arial"/>
          <w:color w:val="000000"/>
          <w:sz w:val="22"/>
          <w:shd w:val="clear" w:color="auto" w:fill="FFFFFF"/>
        </w:rPr>
      </w:pPr>
      <w:r w:rsidRPr="003D4542">
        <w:rPr>
          <w:rStyle w:val="normaltextrun"/>
          <w:rFonts w:ascii="Arial" w:hAnsi="Arial" w:cs="Arial"/>
          <w:color w:val="000000"/>
          <w:sz w:val="22"/>
          <w:shd w:val="clear" w:color="auto" w:fill="FFFFFF"/>
        </w:rPr>
        <w:t xml:space="preserve">De conformidad con lo anterior, el Decreto 1983 de 2019 –artículos 2.2.2.5.6 y </w:t>
      </w:r>
      <w:r w:rsidRPr="003D4542">
        <w:rPr>
          <w:rFonts w:ascii="Arial" w:hAnsi="Arial" w:cs="Arial"/>
          <w:bCs/>
          <w:sz w:val="22"/>
          <w:lang w:eastAsia="es-ES"/>
        </w:rPr>
        <w:t xml:space="preserve">2.2.2.5.7– </w:t>
      </w:r>
      <w:r w:rsidRPr="003D4542">
        <w:rPr>
          <w:rStyle w:val="normaltextrun"/>
          <w:rFonts w:ascii="Arial" w:hAnsi="Arial" w:cs="Arial"/>
          <w:color w:val="000000"/>
          <w:sz w:val="22"/>
          <w:shd w:val="clear" w:color="auto" w:fill="FFFFFF"/>
        </w:rPr>
        <w:t>establece que el esquema para contratar la prestación del servicio público de gestión catastral, a través de la contratación de un gestor debidamente habilitado, debe realizar</w:t>
      </w:r>
      <w:r>
        <w:rPr>
          <w:rStyle w:val="normaltextrun"/>
          <w:rFonts w:ascii="Arial" w:hAnsi="Arial" w:cs="Arial"/>
          <w:color w:val="000000"/>
          <w:sz w:val="22"/>
          <w:shd w:val="clear" w:color="auto" w:fill="FFFFFF"/>
        </w:rPr>
        <w:t>se</w:t>
      </w:r>
      <w:r w:rsidRPr="003D4542">
        <w:rPr>
          <w:rStyle w:val="normaltextrun"/>
          <w:rFonts w:ascii="Arial" w:hAnsi="Arial" w:cs="Arial"/>
          <w:color w:val="000000"/>
          <w:sz w:val="22"/>
          <w:shd w:val="clear" w:color="auto" w:fill="FFFFFF"/>
        </w:rPr>
        <w:t xml:space="preserve"> mediante la celebración de un contrato interadministrativo.</w:t>
      </w:r>
      <w:r w:rsidRPr="003D4542" w:rsidDel="00AF750A">
        <w:rPr>
          <w:rFonts w:ascii="Arial" w:hAnsi="Arial" w:cs="Arial"/>
          <w:sz w:val="22"/>
          <w:shd w:val="clear" w:color="auto" w:fill="FFFFFF"/>
        </w:rPr>
        <w:t xml:space="preserve"> </w:t>
      </w:r>
      <w:r>
        <w:rPr>
          <w:rFonts w:ascii="Arial" w:hAnsi="Arial" w:cs="Arial"/>
          <w:sz w:val="22"/>
          <w:shd w:val="clear" w:color="auto" w:fill="FFFFFF"/>
        </w:rPr>
        <w:t xml:space="preserve">Igualmente, en este </w:t>
      </w:r>
      <w:r>
        <w:rPr>
          <w:rFonts w:ascii="Arial" w:hAnsi="Arial" w:cs="Arial"/>
          <w:sz w:val="22"/>
          <w:shd w:val="clear" w:color="auto" w:fill="FFFFFF"/>
        </w:rPr>
        <w:lastRenderedPageBreak/>
        <w:t>contrato se debe garantizar la</w:t>
      </w:r>
      <w:r w:rsidRPr="00B5649B">
        <w:rPr>
          <w:rFonts w:ascii="Arial" w:hAnsi="Arial" w:cs="Arial"/>
          <w:color w:val="000000"/>
          <w:sz w:val="22"/>
          <w:shd w:val="clear" w:color="auto" w:fill="FFFFFF"/>
        </w:rPr>
        <w:t xml:space="preserve"> </w:t>
      </w:r>
      <w:r w:rsidRPr="00EB1D59">
        <w:rPr>
          <w:rFonts w:ascii="Arial" w:hAnsi="Arial" w:cs="Arial"/>
          <w:color w:val="000000"/>
          <w:sz w:val="22"/>
          <w:shd w:val="clear" w:color="auto" w:fill="FFFFFF"/>
        </w:rPr>
        <w:t>prestación integral del servicio, es decir, incluyendo las actividades de formación</w:t>
      </w:r>
      <w:r w:rsidR="0011144C">
        <w:rPr>
          <w:rFonts w:ascii="Arial" w:hAnsi="Arial" w:cs="Arial"/>
          <w:color w:val="000000"/>
          <w:sz w:val="22"/>
          <w:shd w:val="clear" w:color="auto" w:fill="FFFFFF"/>
        </w:rPr>
        <w:t xml:space="preserve"> o</w:t>
      </w:r>
      <w:r w:rsidRPr="00EB1D59">
        <w:rPr>
          <w:rFonts w:ascii="Arial" w:hAnsi="Arial" w:cs="Arial"/>
          <w:color w:val="000000"/>
          <w:sz w:val="22"/>
          <w:shd w:val="clear" w:color="auto" w:fill="FFFFFF"/>
        </w:rPr>
        <w:t xml:space="preserve"> actualización y conservación</w:t>
      </w:r>
      <w:r>
        <w:rPr>
          <w:rFonts w:ascii="Arial" w:hAnsi="Arial" w:cs="Arial"/>
          <w:color w:val="000000"/>
          <w:sz w:val="22"/>
          <w:shd w:val="clear" w:color="auto" w:fill="FFFFFF"/>
        </w:rPr>
        <w:t xml:space="preserve">. </w:t>
      </w:r>
    </w:p>
    <w:p w14:paraId="6676DD35" w14:textId="77777777" w:rsidR="001F0B64" w:rsidRDefault="001F0B64" w:rsidP="001F0B64">
      <w:pPr>
        <w:spacing w:before="120" w:line="276" w:lineRule="auto"/>
        <w:ind w:firstLine="705"/>
        <w:jc w:val="both"/>
        <w:rPr>
          <w:rStyle w:val="normaltextrun"/>
          <w:rFonts w:ascii="Arial" w:hAnsi="Arial" w:cs="Arial"/>
          <w:color w:val="000000"/>
          <w:sz w:val="22"/>
        </w:rPr>
      </w:pPr>
      <w:r>
        <w:rPr>
          <w:rStyle w:val="normaltextrun"/>
          <w:rFonts w:ascii="Arial" w:hAnsi="Arial" w:cs="Arial"/>
          <w:color w:val="000000"/>
          <w:sz w:val="22"/>
        </w:rPr>
        <w:t>De esta manera</w:t>
      </w:r>
      <w:r w:rsidRPr="0069239E">
        <w:rPr>
          <w:rStyle w:val="normaltextrun"/>
          <w:rFonts w:ascii="Arial" w:hAnsi="Arial" w:cs="Arial"/>
          <w:color w:val="000000"/>
          <w:sz w:val="22"/>
        </w:rPr>
        <w:t xml:space="preserve">, el esquema establecido en </w:t>
      </w:r>
      <w:r>
        <w:rPr>
          <w:rStyle w:val="normaltextrun"/>
          <w:rFonts w:ascii="Arial" w:hAnsi="Arial" w:cs="Arial"/>
          <w:color w:val="000000"/>
          <w:sz w:val="22"/>
        </w:rPr>
        <w:t>los artículos señalados</w:t>
      </w:r>
      <w:r w:rsidRPr="0069239E">
        <w:rPr>
          <w:rStyle w:val="normaltextrun"/>
          <w:rFonts w:ascii="Arial" w:hAnsi="Arial" w:cs="Arial"/>
          <w:color w:val="000000"/>
          <w:sz w:val="22"/>
        </w:rPr>
        <w:t xml:space="preserve">, respecto a las entidades territoriales que no están habilitadas como gestores catastrales, consiste en celebrar un contrato con un gestor catastral, para que este se ocupe de prestar el servicio de forma integral, de </w:t>
      </w:r>
      <w:r>
        <w:rPr>
          <w:rStyle w:val="normaltextrun"/>
          <w:rFonts w:ascii="Arial" w:hAnsi="Arial" w:cs="Arial"/>
          <w:color w:val="000000"/>
          <w:sz w:val="22"/>
        </w:rPr>
        <w:t>modo</w:t>
      </w:r>
      <w:r w:rsidRPr="0069239E">
        <w:rPr>
          <w:rStyle w:val="normaltextrun"/>
          <w:rFonts w:ascii="Arial" w:hAnsi="Arial" w:cs="Arial"/>
          <w:color w:val="000000"/>
          <w:sz w:val="22"/>
        </w:rPr>
        <w:t xml:space="preserve"> que estos son los únicos sujetos habilitados para desarrollar estas actividades</w:t>
      </w:r>
      <w:r>
        <w:rPr>
          <w:rStyle w:val="normaltextrun"/>
          <w:rFonts w:ascii="Arial" w:hAnsi="Arial" w:cs="Arial"/>
          <w:color w:val="000000"/>
          <w:sz w:val="22"/>
        </w:rPr>
        <w:t>. Lo anterior</w:t>
      </w:r>
      <w:r w:rsidRPr="0069239E">
        <w:rPr>
          <w:rStyle w:val="normaltextrun"/>
          <w:rFonts w:ascii="Arial" w:hAnsi="Arial" w:cs="Arial"/>
          <w:color w:val="000000"/>
          <w:sz w:val="22"/>
        </w:rPr>
        <w:t xml:space="preserve"> sin perjuicio de que los gestores puedan contratar «operadores catastrales».</w:t>
      </w:r>
    </w:p>
    <w:p w14:paraId="41485212" w14:textId="04617C97" w:rsidR="001F64C4" w:rsidRDefault="00586ABE" w:rsidP="001F64C4">
      <w:pPr>
        <w:spacing w:before="120" w:line="276" w:lineRule="auto"/>
        <w:ind w:firstLine="705"/>
        <w:jc w:val="both"/>
        <w:rPr>
          <w:rFonts w:ascii="Arial" w:hAnsi="Arial" w:cs="Arial"/>
          <w:color w:val="000000"/>
          <w:sz w:val="22"/>
          <w:lang w:val="es-CO"/>
        </w:rPr>
      </w:pPr>
      <w:r>
        <w:rPr>
          <w:rStyle w:val="normaltextrun"/>
          <w:rFonts w:ascii="Arial" w:hAnsi="Arial" w:cs="Arial"/>
          <w:color w:val="000000"/>
          <w:sz w:val="22"/>
        </w:rPr>
        <w:t>Al respecto</w:t>
      </w:r>
      <w:r w:rsidR="007F46A0">
        <w:rPr>
          <w:rStyle w:val="normaltextrun"/>
          <w:rFonts w:ascii="Arial" w:hAnsi="Arial" w:cs="Arial"/>
          <w:color w:val="000000"/>
          <w:sz w:val="22"/>
        </w:rPr>
        <w:t xml:space="preserve">, el artículo 2.2.2.1.5 del Decreto 148 de 2020 define </w:t>
      </w:r>
      <w:r w:rsidR="00893015">
        <w:rPr>
          <w:rStyle w:val="normaltextrun"/>
          <w:rFonts w:ascii="Arial" w:hAnsi="Arial" w:cs="Arial"/>
          <w:color w:val="000000"/>
          <w:sz w:val="22"/>
        </w:rPr>
        <w:t>que</w:t>
      </w:r>
      <w:r w:rsidR="000315B9">
        <w:rPr>
          <w:rStyle w:val="normaltextrun"/>
          <w:rFonts w:ascii="Arial" w:hAnsi="Arial" w:cs="Arial"/>
          <w:color w:val="000000"/>
          <w:sz w:val="22"/>
        </w:rPr>
        <w:t xml:space="preserve"> </w:t>
      </w:r>
      <w:r w:rsidR="007F46A0">
        <w:rPr>
          <w:rStyle w:val="normaltextrun"/>
          <w:rFonts w:ascii="Arial" w:hAnsi="Arial" w:cs="Arial"/>
          <w:color w:val="000000"/>
          <w:sz w:val="22"/>
        </w:rPr>
        <w:t xml:space="preserve">los </w:t>
      </w:r>
      <w:r w:rsidR="007F46A0" w:rsidRPr="00410C4C">
        <w:rPr>
          <w:rStyle w:val="normaltextrun"/>
          <w:rFonts w:ascii="Arial" w:hAnsi="Arial" w:cs="Arial"/>
          <w:i/>
          <w:iCs/>
          <w:color w:val="000000"/>
          <w:sz w:val="22"/>
        </w:rPr>
        <w:t>operadores catastrales</w:t>
      </w:r>
      <w:r w:rsidR="007F46A0">
        <w:rPr>
          <w:rStyle w:val="normaltextrun"/>
          <w:rFonts w:ascii="Arial" w:hAnsi="Arial" w:cs="Arial"/>
          <w:color w:val="000000"/>
          <w:sz w:val="22"/>
        </w:rPr>
        <w:t xml:space="preserve"> </w:t>
      </w:r>
      <w:r w:rsidR="00893015">
        <w:rPr>
          <w:rStyle w:val="normaltextrun"/>
          <w:rFonts w:ascii="Arial" w:hAnsi="Arial" w:cs="Arial"/>
          <w:color w:val="000000"/>
          <w:sz w:val="22"/>
        </w:rPr>
        <w:t>son</w:t>
      </w:r>
      <w:r w:rsidR="00E86CA9">
        <w:rPr>
          <w:rStyle w:val="normaltextrun"/>
          <w:rFonts w:ascii="Arial" w:hAnsi="Arial" w:cs="Arial"/>
          <w:color w:val="000000"/>
          <w:sz w:val="22"/>
        </w:rPr>
        <w:t xml:space="preserve"> personas jurídicas</w:t>
      </w:r>
      <w:r w:rsidR="001F64C4">
        <w:rPr>
          <w:rStyle w:val="normaltextrun"/>
          <w:rFonts w:ascii="Arial" w:hAnsi="Arial" w:cs="Arial"/>
          <w:color w:val="000000"/>
          <w:sz w:val="22"/>
        </w:rPr>
        <w:t xml:space="preserve">, </w:t>
      </w:r>
      <w:r w:rsidR="001F64C4" w:rsidRPr="001F64C4">
        <w:rPr>
          <w:rFonts w:ascii="Arial" w:hAnsi="Arial" w:cs="Arial"/>
          <w:color w:val="000000"/>
          <w:sz w:val="22"/>
          <w:lang w:val="es-CO"/>
        </w:rPr>
        <w:t>de derecho público o privado que, mediante contrato suscrito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w:t>
      </w:r>
      <w:r w:rsidR="00ED3B12">
        <w:rPr>
          <w:rFonts w:ascii="Arial" w:hAnsi="Arial" w:cs="Arial"/>
          <w:color w:val="000000"/>
          <w:sz w:val="22"/>
          <w:lang w:val="es-CO"/>
        </w:rPr>
        <w:t xml:space="preserve"> </w:t>
      </w:r>
      <w:r w:rsidR="00893015">
        <w:rPr>
          <w:rFonts w:ascii="Arial" w:hAnsi="Arial" w:cs="Arial"/>
          <w:color w:val="000000"/>
          <w:sz w:val="22"/>
          <w:lang w:val="es-CO"/>
        </w:rPr>
        <w:t xml:space="preserve">En este sentido, </w:t>
      </w:r>
      <w:r w:rsidR="00F36608">
        <w:rPr>
          <w:rFonts w:ascii="Arial" w:hAnsi="Arial" w:cs="Arial"/>
          <w:color w:val="000000"/>
          <w:sz w:val="22"/>
          <w:lang w:val="es-CO"/>
        </w:rPr>
        <w:t xml:space="preserve">son </w:t>
      </w:r>
      <w:r w:rsidR="009E7F13">
        <w:rPr>
          <w:rFonts w:ascii="Arial" w:hAnsi="Arial" w:cs="Arial"/>
          <w:color w:val="000000"/>
          <w:sz w:val="22"/>
          <w:lang w:val="es-CO"/>
        </w:rPr>
        <w:t>tres</w:t>
      </w:r>
      <w:r w:rsidR="00F36608">
        <w:rPr>
          <w:rFonts w:ascii="Arial" w:hAnsi="Arial" w:cs="Arial"/>
          <w:color w:val="000000"/>
          <w:sz w:val="22"/>
          <w:lang w:val="es-CO"/>
        </w:rPr>
        <w:t xml:space="preserve"> (</w:t>
      </w:r>
      <w:r w:rsidR="009E7F13">
        <w:rPr>
          <w:rFonts w:ascii="Arial" w:hAnsi="Arial" w:cs="Arial"/>
          <w:color w:val="000000"/>
          <w:sz w:val="22"/>
          <w:lang w:val="es-CO"/>
        </w:rPr>
        <w:t>3</w:t>
      </w:r>
      <w:r w:rsidR="00F36608">
        <w:rPr>
          <w:rFonts w:ascii="Arial" w:hAnsi="Arial" w:cs="Arial"/>
          <w:color w:val="000000"/>
          <w:sz w:val="22"/>
          <w:lang w:val="es-CO"/>
        </w:rPr>
        <w:t xml:space="preserve">) </w:t>
      </w:r>
      <w:r w:rsidR="009E7F13">
        <w:rPr>
          <w:rFonts w:ascii="Arial" w:hAnsi="Arial" w:cs="Arial"/>
          <w:color w:val="000000"/>
          <w:sz w:val="22"/>
          <w:lang w:val="es-CO"/>
        </w:rPr>
        <w:t>elementos</w:t>
      </w:r>
      <w:r w:rsidR="00F36608">
        <w:rPr>
          <w:rFonts w:ascii="Arial" w:hAnsi="Arial" w:cs="Arial"/>
          <w:color w:val="000000"/>
          <w:sz w:val="22"/>
          <w:lang w:val="es-CO"/>
        </w:rPr>
        <w:t xml:space="preserve"> que </w:t>
      </w:r>
      <w:r w:rsidR="009E7F13">
        <w:rPr>
          <w:rFonts w:ascii="Arial" w:hAnsi="Arial" w:cs="Arial"/>
          <w:color w:val="000000"/>
          <w:sz w:val="22"/>
          <w:lang w:val="es-CO"/>
        </w:rPr>
        <w:t xml:space="preserve">los </w:t>
      </w:r>
      <w:r w:rsidR="0090541D">
        <w:rPr>
          <w:rFonts w:ascii="Arial" w:hAnsi="Arial" w:cs="Arial"/>
          <w:color w:val="000000"/>
          <w:sz w:val="22"/>
          <w:lang w:val="es-CO"/>
        </w:rPr>
        <w:t xml:space="preserve">define: </w:t>
      </w:r>
      <w:r w:rsidR="009E7F13">
        <w:rPr>
          <w:rFonts w:ascii="Arial" w:hAnsi="Arial" w:cs="Arial"/>
          <w:color w:val="000000"/>
          <w:sz w:val="22"/>
          <w:lang w:val="es-CO"/>
        </w:rPr>
        <w:t xml:space="preserve">i) son personas jurídicas de derecho público o privado, </w:t>
      </w:r>
      <w:proofErr w:type="spellStart"/>
      <w:r w:rsidR="009E7F13">
        <w:rPr>
          <w:rFonts w:ascii="Arial" w:hAnsi="Arial" w:cs="Arial"/>
          <w:color w:val="000000"/>
          <w:sz w:val="22"/>
          <w:lang w:val="es-CO"/>
        </w:rPr>
        <w:t>i</w:t>
      </w:r>
      <w:r w:rsidR="0090541D">
        <w:rPr>
          <w:rFonts w:ascii="Arial" w:hAnsi="Arial" w:cs="Arial"/>
          <w:color w:val="000000"/>
          <w:sz w:val="22"/>
          <w:lang w:val="es-CO"/>
        </w:rPr>
        <w:t>i</w:t>
      </w:r>
      <w:proofErr w:type="spellEnd"/>
      <w:r w:rsidR="0090541D">
        <w:rPr>
          <w:rFonts w:ascii="Arial" w:hAnsi="Arial" w:cs="Arial"/>
          <w:color w:val="000000"/>
          <w:sz w:val="22"/>
          <w:lang w:val="es-CO"/>
        </w:rPr>
        <w:t xml:space="preserve">) </w:t>
      </w:r>
      <w:r w:rsidR="00F27A92" w:rsidRPr="00F27A92">
        <w:rPr>
          <w:rFonts w:ascii="Arial" w:hAnsi="Arial" w:cs="Arial"/>
          <w:color w:val="000000"/>
          <w:sz w:val="22"/>
          <w:lang w:val="es-CO"/>
        </w:rPr>
        <w:t xml:space="preserve">los contratan los gestores catastrales </w:t>
      </w:r>
      <w:r w:rsidR="001202C9">
        <w:rPr>
          <w:rFonts w:ascii="Arial" w:hAnsi="Arial" w:cs="Arial"/>
          <w:color w:val="000000"/>
          <w:sz w:val="22"/>
          <w:lang w:val="es-CO"/>
        </w:rPr>
        <w:t>y</w:t>
      </w:r>
      <w:r w:rsidR="009E7F13">
        <w:rPr>
          <w:rFonts w:ascii="Arial" w:hAnsi="Arial" w:cs="Arial"/>
          <w:color w:val="000000"/>
          <w:sz w:val="22"/>
          <w:lang w:val="es-CO"/>
        </w:rPr>
        <w:t xml:space="preserve"> </w:t>
      </w:r>
      <w:proofErr w:type="spellStart"/>
      <w:r w:rsidR="009E7F13">
        <w:rPr>
          <w:rFonts w:ascii="Arial" w:hAnsi="Arial" w:cs="Arial"/>
          <w:color w:val="000000"/>
          <w:sz w:val="22"/>
          <w:lang w:val="es-CO"/>
        </w:rPr>
        <w:t>i</w:t>
      </w:r>
      <w:r w:rsidR="001202C9">
        <w:rPr>
          <w:rFonts w:ascii="Arial" w:hAnsi="Arial" w:cs="Arial"/>
          <w:color w:val="000000"/>
          <w:sz w:val="22"/>
          <w:lang w:val="es-CO"/>
        </w:rPr>
        <w:t>ii</w:t>
      </w:r>
      <w:proofErr w:type="spellEnd"/>
      <w:r w:rsidR="001202C9">
        <w:rPr>
          <w:rFonts w:ascii="Arial" w:hAnsi="Arial" w:cs="Arial"/>
          <w:color w:val="000000"/>
          <w:sz w:val="22"/>
          <w:lang w:val="es-CO"/>
        </w:rPr>
        <w:t>)</w:t>
      </w:r>
      <w:r w:rsidR="00F27A92">
        <w:rPr>
          <w:rFonts w:ascii="Arial" w:hAnsi="Arial" w:cs="Arial"/>
          <w:color w:val="000000"/>
          <w:sz w:val="22"/>
          <w:lang w:val="es-CO"/>
        </w:rPr>
        <w:t xml:space="preserve"> </w:t>
      </w:r>
      <w:r w:rsidR="00F27A92" w:rsidRPr="00F27A92">
        <w:rPr>
          <w:rFonts w:ascii="Arial" w:hAnsi="Arial" w:cs="Arial"/>
          <w:color w:val="000000"/>
          <w:sz w:val="22"/>
          <w:lang w:val="es-CO"/>
        </w:rPr>
        <w:t>su función principal es ejecutar labores operativas para el proceso de formación, actualización y conservación catastral</w:t>
      </w:r>
      <w:r w:rsidR="00775595">
        <w:rPr>
          <w:rFonts w:ascii="Arial" w:hAnsi="Arial" w:cs="Arial"/>
          <w:color w:val="000000"/>
          <w:sz w:val="22"/>
          <w:lang w:val="es-CO"/>
        </w:rPr>
        <w:t>.</w:t>
      </w:r>
    </w:p>
    <w:p w14:paraId="37C40E2A" w14:textId="7F0F6E44" w:rsidR="007F20B6" w:rsidRDefault="00780374" w:rsidP="005F231C">
      <w:pPr>
        <w:spacing w:before="120" w:line="276" w:lineRule="auto"/>
        <w:ind w:firstLine="705"/>
        <w:jc w:val="both"/>
        <w:rPr>
          <w:rStyle w:val="normaltextrun"/>
          <w:rFonts w:ascii="Arial" w:hAnsi="Arial" w:cs="Arial"/>
          <w:color w:val="000000"/>
          <w:sz w:val="22"/>
        </w:rPr>
      </w:pPr>
      <w:r>
        <w:rPr>
          <w:rFonts w:ascii="Arial" w:hAnsi="Arial" w:cs="Arial"/>
          <w:color w:val="000000"/>
          <w:sz w:val="22"/>
          <w:lang w:val="es-CO"/>
        </w:rPr>
        <w:t>Por su parte,</w:t>
      </w:r>
      <w:r w:rsidR="005F231C">
        <w:rPr>
          <w:rFonts w:ascii="Arial" w:hAnsi="Arial" w:cs="Arial"/>
          <w:color w:val="000000"/>
          <w:sz w:val="22"/>
          <w:lang w:val="es-CO"/>
        </w:rPr>
        <w:t xml:space="preserve"> </w:t>
      </w:r>
      <w:r w:rsidR="00216FDE">
        <w:rPr>
          <w:rStyle w:val="normaltextrun"/>
          <w:rFonts w:ascii="Arial" w:hAnsi="Arial" w:cs="Arial"/>
          <w:color w:val="000000"/>
          <w:sz w:val="22"/>
        </w:rPr>
        <w:t>el artículo 2.2.2.5.11</w:t>
      </w:r>
      <w:r w:rsidR="00942475">
        <w:rPr>
          <w:rStyle w:val="normaltextrun"/>
          <w:rFonts w:ascii="Arial" w:hAnsi="Arial" w:cs="Arial"/>
          <w:color w:val="000000"/>
          <w:sz w:val="22"/>
        </w:rPr>
        <w:t>.</w:t>
      </w:r>
      <w:r w:rsidR="00216FDE">
        <w:rPr>
          <w:rStyle w:val="normaltextrun"/>
          <w:rFonts w:ascii="Arial" w:hAnsi="Arial" w:cs="Arial"/>
          <w:color w:val="000000"/>
          <w:sz w:val="22"/>
        </w:rPr>
        <w:t xml:space="preserve"> </w:t>
      </w:r>
      <w:r w:rsidR="00FC2296">
        <w:rPr>
          <w:rStyle w:val="normaltextrun"/>
          <w:rFonts w:ascii="Arial" w:hAnsi="Arial" w:cs="Arial"/>
          <w:color w:val="000000"/>
          <w:sz w:val="22"/>
        </w:rPr>
        <w:t xml:space="preserve">del Decreto 1983 de 2019 prevé </w:t>
      </w:r>
      <w:r w:rsidR="005F231C">
        <w:rPr>
          <w:rStyle w:val="normaltextrun"/>
          <w:rFonts w:ascii="Arial" w:hAnsi="Arial" w:cs="Arial"/>
          <w:color w:val="000000"/>
          <w:sz w:val="22"/>
        </w:rPr>
        <w:t>los requisitos necesarios que deberá</w:t>
      </w:r>
      <w:r w:rsidR="007A1D83">
        <w:rPr>
          <w:rStyle w:val="normaltextrun"/>
          <w:rFonts w:ascii="Arial" w:hAnsi="Arial" w:cs="Arial"/>
          <w:color w:val="000000"/>
          <w:sz w:val="22"/>
        </w:rPr>
        <w:t>n</w:t>
      </w:r>
      <w:r w:rsidR="005F231C">
        <w:rPr>
          <w:rStyle w:val="normaltextrun"/>
          <w:rFonts w:ascii="Arial" w:hAnsi="Arial" w:cs="Arial"/>
          <w:color w:val="000000"/>
          <w:sz w:val="22"/>
        </w:rPr>
        <w:t xml:space="preserve"> verificar </w:t>
      </w:r>
      <w:r w:rsidR="00FC2296">
        <w:rPr>
          <w:rStyle w:val="normaltextrun"/>
          <w:rFonts w:ascii="Arial" w:hAnsi="Arial" w:cs="Arial"/>
          <w:color w:val="000000"/>
          <w:sz w:val="22"/>
        </w:rPr>
        <w:t>los gestores catastrales</w:t>
      </w:r>
      <w:r w:rsidR="005F231C">
        <w:rPr>
          <w:rStyle w:val="normaltextrun"/>
          <w:rFonts w:ascii="Arial" w:hAnsi="Arial" w:cs="Arial"/>
          <w:color w:val="000000"/>
          <w:sz w:val="22"/>
        </w:rPr>
        <w:t xml:space="preserve"> para contratar a los </w:t>
      </w:r>
      <w:r w:rsidR="00FC2296">
        <w:rPr>
          <w:rStyle w:val="normaltextrun"/>
          <w:rFonts w:ascii="Arial" w:hAnsi="Arial" w:cs="Arial"/>
          <w:color w:val="000000"/>
          <w:sz w:val="22"/>
        </w:rPr>
        <w:t>operadores</w:t>
      </w:r>
      <w:r w:rsidR="00942475">
        <w:rPr>
          <w:rStyle w:val="normaltextrun"/>
          <w:rFonts w:ascii="Arial" w:hAnsi="Arial" w:cs="Arial"/>
          <w:color w:val="000000"/>
          <w:sz w:val="22"/>
        </w:rPr>
        <w:t xml:space="preserve"> catastrales</w:t>
      </w:r>
      <w:r w:rsidR="00394EE8">
        <w:rPr>
          <w:rStyle w:val="normaltextrun"/>
          <w:rFonts w:ascii="Arial" w:hAnsi="Arial" w:cs="Arial"/>
          <w:color w:val="000000"/>
          <w:sz w:val="22"/>
        </w:rPr>
        <w:t xml:space="preserve">. </w:t>
      </w:r>
      <w:r w:rsidR="007A1D83">
        <w:rPr>
          <w:rStyle w:val="normaltextrun"/>
          <w:rFonts w:ascii="Arial" w:hAnsi="Arial" w:cs="Arial"/>
          <w:color w:val="000000"/>
          <w:sz w:val="22"/>
        </w:rPr>
        <w:t>Estos requis</w:t>
      </w:r>
      <w:r w:rsidR="00346687">
        <w:rPr>
          <w:rStyle w:val="normaltextrun"/>
          <w:rFonts w:ascii="Arial" w:hAnsi="Arial" w:cs="Arial"/>
          <w:color w:val="000000"/>
          <w:sz w:val="22"/>
        </w:rPr>
        <w:t xml:space="preserve">itos son: </w:t>
      </w:r>
      <w:r w:rsidR="00264237">
        <w:rPr>
          <w:rStyle w:val="normaltextrun"/>
          <w:rFonts w:ascii="Arial" w:hAnsi="Arial" w:cs="Arial"/>
          <w:color w:val="000000"/>
          <w:sz w:val="22"/>
        </w:rPr>
        <w:t xml:space="preserve">i) </w:t>
      </w:r>
      <w:r w:rsidR="00264237" w:rsidRPr="0027184F">
        <w:rPr>
          <w:rStyle w:val="normaltextrun"/>
          <w:rFonts w:ascii="Arial" w:hAnsi="Arial" w:cs="Arial"/>
          <w:i/>
          <w:iCs/>
          <w:color w:val="000000"/>
          <w:sz w:val="22"/>
        </w:rPr>
        <w:t>jurídicos</w:t>
      </w:r>
      <w:r w:rsidR="00BA3A78">
        <w:rPr>
          <w:rStyle w:val="normaltextrun"/>
          <w:rFonts w:ascii="Arial" w:hAnsi="Arial" w:cs="Arial"/>
          <w:i/>
          <w:iCs/>
          <w:color w:val="000000"/>
          <w:sz w:val="22"/>
        </w:rPr>
        <w:t>:</w:t>
      </w:r>
      <w:r w:rsidR="00FC2296">
        <w:rPr>
          <w:rStyle w:val="normaltextrun"/>
          <w:rFonts w:ascii="Arial" w:hAnsi="Arial" w:cs="Arial"/>
          <w:color w:val="000000"/>
          <w:sz w:val="22"/>
        </w:rPr>
        <w:t xml:space="preserve"> </w:t>
      </w:r>
      <w:r w:rsidR="003B2D2B">
        <w:rPr>
          <w:rStyle w:val="normaltextrun"/>
          <w:rFonts w:ascii="Arial" w:hAnsi="Arial" w:cs="Arial"/>
          <w:color w:val="000000"/>
          <w:sz w:val="22"/>
        </w:rPr>
        <w:t xml:space="preserve">estar constituido como una persona jurídica de derecho público o privado y acreditar que dentro de su objeto </w:t>
      </w:r>
      <w:r w:rsidR="0027184F">
        <w:rPr>
          <w:rStyle w:val="normaltextrun"/>
          <w:rFonts w:ascii="Arial" w:hAnsi="Arial" w:cs="Arial"/>
          <w:color w:val="000000"/>
          <w:sz w:val="22"/>
        </w:rPr>
        <w:t xml:space="preserve">social se contemple cualquiera de las actividades que sirvan de insumos para adelantar los procesos de formación, actualización y conservación catastral, </w:t>
      </w:r>
      <w:proofErr w:type="spellStart"/>
      <w:r w:rsidR="0027184F">
        <w:rPr>
          <w:rStyle w:val="normaltextrun"/>
          <w:rFonts w:ascii="Arial" w:hAnsi="Arial" w:cs="Arial"/>
          <w:color w:val="000000"/>
          <w:sz w:val="22"/>
        </w:rPr>
        <w:t>ii</w:t>
      </w:r>
      <w:proofErr w:type="spellEnd"/>
      <w:r w:rsidR="0027184F">
        <w:rPr>
          <w:rStyle w:val="normaltextrun"/>
          <w:rFonts w:ascii="Arial" w:hAnsi="Arial" w:cs="Arial"/>
          <w:color w:val="000000"/>
          <w:sz w:val="22"/>
        </w:rPr>
        <w:t xml:space="preserve">) </w:t>
      </w:r>
      <w:r w:rsidR="00B64D4A" w:rsidRPr="00B64D4A">
        <w:rPr>
          <w:rStyle w:val="normaltextrun"/>
          <w:rFonts w:ascii="Arial" w:hAnsi="Arial" w:cs="Arial"/>
          <w:i/>
          <w:iCs/>
          <w:color w:val="000000"/>
          <w:sz w:val="22"/>
        </w:rPr>
        <w:t>técnicos</w:t>
      </w:r>
      <w:r w:rsidR="00BA3A78">
        <w:rPr>
          <w:rStyle w:val="normaltextrun"/>
          <w:rFonts w:ascii="Arial" w:hAnsi="Arial" w:cs="Arial"/>
          <w:i/>
          <w:iCs/>
          <w:color w:val="000000"/>
          <w:sz w:val="22"/>
        </w:rPr>
        <w:t>:</w:t>
      </w:r>
      <w:r w:rsidR="00B64D4A">
        <w:rPr>
          <w:rStyle w:val="normaltextrun"/>
          <w:rFonts w:ascii="Arial" w:hAnsi="Arial" w:cs="Arial"/>
          <w:i/>
          <w:iCs/>
          <w:color w:val="000000"/>
          <w:sz w:val="22"/>
        </w:rPr>
        <w:t xml:space="preserve"> </w:t>
      </w:r>
      <w:r w:rsidR="00B64D4A">
        <w:rPr>
          <w:rStyle w:val="normaltextrun"/>
          <w:rFonts w:ascii="Arial" w:hAnsi="Arial" w:cs="Arial"/>
          <w:color w:val="000000"/>
          <w:sz w:val="22"/>
        </w:rPr>
        <w:t xml:space="preserve">contar con profesionales y/o técnicos que contribuyan al desarrollo de los procesos de formación, actualización y conservación catastral y, </w:t>
      </w:r>
      <w:proofErr w:type="spellStart"/>
      <w:r w:rsidR="00B64D4A">
        <w:rPr>
          <w:rStyle w:val="normaltextrun"/>
          <w:rFonts w:ascii="Arial" w:hAnsi="Arial" w:cs="Arial"/>
          <w:color w:val="000000"/>
          <w:sz w:val="22"/>
        </w:rPr>
        <w:t>iii</w:t>
      </w:r>
      <w:proofErr w:type="spellEnd"/>
      <w:r w:rsidR="00B64D4A">
        <w:rPr>
          <w:rStyle w:val="normaltextrun"/>
          <w:rFonts w:ascii="Arial" w:hAnsi="Arial" w:cs="Arial"/>
          <w:color w:val="000000"/>
          <w:sz w:val="22"/>
        </w:rPr>
        <w:t xml:space="preserve">) </w:t>
      </w:r>
      <w:r w:rsidR="00B64D4A" w:rsidRPr="00B64D4A">
        <w:rPr>
          <w:rStyle w:val="normaltextrun"/>
          <w:rFonts w:ascii="Arial" w:hAnsi="Arial" w:cs="Arial"/>
          <w:i/>
          <w:iCs/>
          <w:color w:val="000000"/>
          <w:sz w:val="22"/>
        </w:rPr>
        <w:t>financier</w:t>
      </w:r>
      <w:r w:rsidR="00BA3A78">
        <w:rPr>
          <w:rStyle w:val="normaltextrun"/>
          <w:rFonts w:ascii="Arial" w:hAnsi="Arial" w:cs="Arial"/>
          <w:i/>
          <w:iCs/>
          <w:color w:val="000000"/>
          <w:sz w:val="22"/>
        </w:rPr>
        <w:t>o</w:t>
      </w:r>
      <w:r w:rsidR="00B64D4A" w:rsidRPr="00B64D4A">
        <w:rPr>
          <w:rStyle w:val="normaltextrun"/>
          <w:rFonts w:ascii="Arial" w:hAnsi="Arial" w:cs="Arial"/>
          <w:i/>
          <w:iCs/>
          <w:color w:val="000000"/>
          <w:sz w:val="22"/>
        </w:rPr>
        <w:t>s</w:t>
      </w:r>
      <w:r w:rsidR="00BA3A78">
        <w:rPr>
          <w:rStyle w:val="normaltextrun"/>
          <w:rFonts w:ascii="Arial" w:hAnsi="Arial" w:cs="Arial"/>
          <w:i/>
          <w:iCs/>
          <w:color w:val="000000"/>
          <w:sz w:val="22"/>
        </w:rPr>
        <w:t>:</w:t>
      </w:r>
      <w:r w:rsidR="00B64D4A">
        <w:rPr>
          <w:rStyle w:val="normaltextrun"/>
          <w:rFonts w:ascii="Arial" w:hAnsi="Arial" w:cs="Arial"/>
          <w:color w:val="000000"/>
          <w:sz w:val="22"/>
        </w:rPr>
        <w:t xml:space="preserve"> contar con la capacidad financiera necesaria para desarrollar las actividades que sirvan de insumo</w:t>
      </w:r>
      <w:r w:rsidR="00933DF5">
        <w:rPr>
          <w:rStyle w:val="normaltextrun"/>
          <w:rFonts w:ascii="Arial" w:hAnsi="Arial" w:cs="Arial"/>
          <w:color w:val="000000"/>
          <w:sz w:val="22"/>
        </w:rPr>
        <w:t xml:space="preserve"> para adelantar los procesos de formación, actualización y conservación catastral, así como los procedimientos del enfoque catastral multipropósito</w:t>
      </w:r>
      <w:r w:rsidR="00942475">
        <w:rPr>
          <w:rStyle w:val="Refdenotaalpie"/>
          <w:rFonts w:ascii="Arial" w:hAnsi="Arial" w:cs="Arial"/>
          <w:color w:val="000000"/>
          <w:sz w:val="22"/>
        </w:rPr>
        <w:footnoteReference w:id="4"/>
      </w:r>
      <w:r w:rsidR="003D6325">
        <w:rPr>
          <w:rStyle w:val="normaltextrun"/>
          <w:rFonts w:ascii="Arial" w:hAnsi="Arial" w:cs="Arial"/>
          <w:color w:val="000000"/>
          <w:sz w:val="22"/>
        </w:rPr>
        <w:t xml:space="preserve">. </w:t>
      </w:r>
    </w:p>
    <w:p w14:paraId="79ED79D1" w14:textId="1DC19C03" w:rsidR="001A6092" w:rsidRDefault="00A556B0" w:rsidP="00FF7E0E">
      <w:pPr>
        <w:spacing w:before="120" w:line="276" w:lineRule="auto"/>
        <w:ind w:firstLine="705"/>
        <w:jc w:val="both"/>
        <w:rPr>
          <w:rStyle w:val="normaltextrun"/>
          <w:rFonts w:ascii="Arial" w:hAnsi="Arial" w:cs="Arial"/>
          <w:color w:val="000000"/>
          <w:sz w:val="22"/>
        </w:rPr>
      </w:pPr>
      <w:r>
        <w:rPr>
          <w:rStyle w:val="normaltextrun"/>
          <w:rFonts w:ascii="Arial" w:hAnsi="Arial" w:cs="Arial"/>
          <w:color w:val="000000"/>
          <w:sz w:val="22"/>
        </w:rPr>
        <w:lastRenderedPageBreak/>
        <w:t>Al respecto, el</w:t>
      </w:r>
      <w:r w:rsidR="009C1B81">
        <w:rPr>
          <w:rStyle w:val="normaltextrun"/>
          <w:rFonts w:ascii="Arial" w:hAnsi="Arial" w:cs="Arial"/>
          <w:color w:val="000000"/>
          <w:sz w:val="22"/>
        </w:rPr>
        <w:t xml:space="preserve"> artículo </w:t>
      </w:r>
      <w:r w:rsidR="009C1B81" w:rsidRPr="009C1B81">
        <w:rPr>
          <w:rStyle w:val="normaltextrun"/>
          <w:rFonts w:ascii="Arial" w:hAnsi="Arial" w:cs="Arial"/>
          <w:color w:val="000000"/>
          <w:sz w:val="22"/>
        </w:rPr>
        <w:t>2.2.2.5.12.</w:t>
      </w:r>
      <w:r>
        <w:rPr>
          <w:rStyle w:val="normaltextrun"/>
          <w:rFonts w:ascii="Arial" w:hAnsi="Arial" w:cs="Arial"/>
          <w:color w:val="000000"/>
          <w:sz w:val="22"/>
        </w:rPr>
        <w:t xml:space="preserve"> prevé que los gestores catastrales podrán con</w:t>
      </w:r>
      <w:r w:rsidR="00663B2B">
        <w:rPr>
          <w:rStyle w:val="normaltextrun"/>
          <w:rFonts w:ascii="Arial" w:hAnsi="Arial" w:cs="Arial"/>
          <w:color w:val="000000"/>
          <w:sz w:val="22"/>
        </w:rPr>
        <w:t xml:space="preserve">tratar con los operadores catastrales </w:t>
      </w:r>
      <w:r w:rsidR="004D236A">
        <w:rPr>
          <w:rStyle w:val="normaltextrun"/>
          <w:rFonts w:ascii="Arial" w:hAnsi="Arial" w:cs="Arial"/>
          <w:color w:val="000000"/>
          <w:sz w:val="22"/>
        </w:rPr>
        <w:t xml:space="preserve">siempre </w:t>
      </w:r>
      <w:r w:rsidR="00663B2B">
        <w:rPr>
          <w:rStyle w:val="normaltextrun"/>
          <w:rFonts w:ascii="Arial" w:hAnsi="Arial" w:cs="Arial"/>
          <w:color w:val="000000"/>
          <w:sz w:val="22"/>
        </w:rPr>
        <w:t xml:space="preserve">que cumplan con los requisitos establecidos en el artículo </w:t>
      </w:r>
      <w:r w:rsidR="00D943EC">
        <w:rPr>
          <w:rStyle w:val="normaltextrun"/>
          <w:rFonts w:ascii="Arial" w:hAnsi="Arial" w:cs="Arial"/>
          <w:color w:val="000000"/>
          <w:sz w:val="22"/>
        </w:rPr>
        <w:t xml:space="preserve">señalado en el párrafo </w:t>
      </w:r>
      <w:r w:rsidR="00663B2B">
        <w:rPr>
          <w:rStyle w:val="normaltextrun"/>
          <w:rFonts w:ascii="Arial" w:hAnsi="Arial" w:cs="Arial"/>
          <w:color w:val="000000"/>
          <w:sz w:val="22"/>
        </w:rPr>
        <w:t xml:space="preserve">anterior. </w:t>
      </w:r>
      <w:r w:rsidR="004D0B8F">
        <w:rPr>
          <w:rStyle w:val="normaltextrun"/>
          <w:rFonts w:ascii="Arial" w:hAnsi="Arial" w:cs="Arial"/>
          <w:color w:val="000000"/>
          <w:sz w:val="22"/>
        </w:rPr>
        <w:t xml:space="preserve">Además, es fundamental que </w:t>
      </w:r>
      <w:r w:rsidR="00B30320">
        <w:rPr>
          <w:rStyle w:val="normaltextrun"/>
          <w:rFonts w:ascii="Arial" w:hAnsi="Arial" w:cs="Arial"/>
          <w:color w:val="000000"/>
          <w:sz w:val="22"/>
        </w:rPr>
        <w:t xml:space="preserve">en el contrato </w:t>
      </w:r>
      <w:r w:rsidR="004D0B8F">
        <w:rPr>
          <w:rStyle w:val="normaltextrun"/>
          <w:rFonts w:ascii="Arial" w:hAnsi="Arial" w:cs="Arial"/>
          <w:color w:val="000000"/>
          <w:sz w:val="22"/>
        </w:rPr>
        <w:t>se identifique de manera clara el alcance de las obligaciones a cargo del operador catastral, las actividades, productos y subproductos</w:t>
      </w:r>
      <w:r w:rsidR="00D943EC">
        <w:rPr>
          <w:rStyle w:val="normaltextrun"/>
          <w:rFonts w:ascii="Arial" w:hAnsi="Arial" w:cs="Arial"/>
          <w:color w:val="000000"/>
          <w:sz w:val="22"/>
        </w:rPr>
        <w:t>,</w:t>
      </w:r>
      <w:r w:rsidR="004D0B8F">
        <w:rPr>
          <w:rStyle w:val="normaltextrun"/>
          <w:rFonts w:ascii="Arial" w:hAnsi="Arial" w:cs="Arial"/>
          <w:color w:val="000000"/>
          <w:sz w:val="22"/>
        </w:rPr>
        <w:t xml:space="preserve"> que deberán guardar relación directa con </w:t>
      </w:r>
      <w:r w:rsidR="00E75B31">
        <w:rPr>
          <w:rStyle w:val="normaltextrun"/>
          <w:rFonts w:ascii="Arial" w:hAnsi="Arial" w:cs="Arial"/>
          <w:color w:val="000000"/>
          <w:sz w:val="22"/>
        </w:rPr>
        <w:t>la prestación del servicio público de gestión catastra</w:t>
      </w:r>
      <w:r w:rsidR="001A6092">
        <w:rPr>
          <w:rStyle w:val="normaltextrun"/>
          <w:rFonts w:ascii="Arial" w:hAnsi="Arial" w:cs="Arial"/>
          <w:color w:val="000000"/>
          <w:sz w:val="22"/>
        </w:rPr>
        <w:t xml:space="preserve">l. </w:t>
      </w:r>
      <w:r w:rsidR="00B30320">
        <w:rPr>
          <w:rStyle w:val="normaltextrun"/>
          <w:rFonts w:ascii="Arial" w:hAnsi="Arial" w:cs="Arial"/>
          <w:color w:val="000000"/>
          <w:sz w:val="22"/>
        </w:rPr>
        <w:t>De igual manera</w:t>
      </w:r>
      <w:r w:rsidR="00D943EC">
        <w:rPr>
          <w:rStyle w:val="normaltextrun"/>
          <w:rFonts w:ascii="Arial" w:hAnsi="Arial" w:cs="Arial"/>
          <w:color w:val="000000"/>
          <w:sz w:val="22"/>
        </w:rPr>
        <w:t>,</w:t>
      </w:r>
      <w:r w:rsidR="00B30320">
        <w:rPr>
          <w:rStyle w:val="normaltextrun"/>
          <w:rFonts w:ascii="Arial" w:hAnsi="Arial" w:cs="Arial"/>
          <w:color w:val="000000"/>
          <w:sz w:val="22"/>
        </w:rPr>
        <w:t xml:space="preserve"> la remuneración de los operadores catastrales contratados por los gestores catastrales deberá fundarse en un estudio de mercado que tenga un análisis de costo–beneficio</w:t>
      </w:r>
      <w:r w:rsidR="00D943EC">
        <w:rPr>
          <w:rStyle w:val="Refdenotaalpie"/>
          <w:rFonts w:ascii="Arial" w:hAnsi="Arial" w:cs="Arial"/>
          <w:color w:val="000000"/>
          <w:sz w:val="22"/>
        </w:rPr>
        <w:footnoteReference w:id="5"/>
      </w:r>
      <w:r w:rsidR="00B30320">
        <w:rPr>
          <w:rStyle w:val="normaltextrun"/>
          <w:rFonts w:ascii="Arial" w:hAnsi="Arial" w:cs="Arial"/>
          <w:color w:val="000000"/>
          <w:sz w:val="22"/>
        </w:rPr>
        <w:t xml:space="preserve">. </w:t>
      </w:r>
    </w:p>
    <w:p w14:paraId="76AB4221" w14:textId="46B5655B" w:rsidR="002A2A7E" w:rsidRDefault="00B30320" w:rsidP="00B31BC5">
      <w:pPr>
        <w:spacing w:before="120" w:line="276" w:lineRule="auto"/>
        <w:ind w:firstLine="705"/>
        <w:jc w:val="both"/>
        <w:rPr>
          <w:rStyle w:val="normaltextrun"/>
          <w:rFonts w:ascii="Arial" w:hAnsi="Arial" w:cs="Arial"/>
          <w:color w:val="000000"/>
          <w:sz w:val="22"/>
        </w:rPr>
      </w:pPr>
      <w:r>
        <w:rPr>
          <w:rStyle w:val="normaltextrun"/>
          <w:rFonts w:ascii="Arial" w:hAnsi="Arial" w:cs="Arial"/>
          <w:color w:val="000000"/>
          <w:sz w:val="22"/>
        </w:rPr>
        <w:t>Identificad</w:t>
      </w:r>
      <w:r w:rsidR="00262DBB">
        <w:rPr>
          <w:rStyle w:val="normaltextrun"/>
          <w:rFonts w:ascii="Arial" w:hAnsi="Arial" w:cs="Arial"/>
          <w:color w:val="000000"/>
          <w:sz w:val="22"/>
        </w:rPr>
        <w:t>os los aspectos generales de quienes puede</w:t>
      </w:r>
      <w:r w:rsidR="00AE601E">
        <w:rPr>
          <w:rStyle w:val="normaltextrun"/>
          <w:rFonts w:ascii="Arial" w:hAnsi="Arial" w:cs="Arial"/>
          <w:color w:val="000000"/>
          <w:sz w:val="22"/>
        </w:rPr>
        <w:t>n</w:t>
      </w:r>
      <w:r w:rsidR="00262DBB">
        <w:rPr>
          <w:rStyle w:val="normaltextrun"/>
          <w:rFonts w:ascii="Arial" w:hAnsi="Arial" w:cs="Arial"/>
          <w:color w:val="000000"/>
          <w:sz w:val="22"/>
        </w:rPr>
        <w:t xml:space="preserve"> ser </w:t>
      </w:r>
      <w:r w:rsidR="00525A6F">
        <w:rPr>
          <w:rStyle w:val="normaltextrun"/>
          <w:rFonts w:ascii="Arial" w:hAnsi="Arial" w:cs="Arial"/>
          <w:color w:val="000000"/>
          <w:sz w:val="22"/>
        </w:rPr>
        <w:t>gestores y operadores catastrales</w:t>
      </w:r>
      <w:r w:rsidR="00262DBB">
        <w:rPr>
          <w:rStyle w:val="normaltextrun"/>
          <w:rFonts w:ascii="Arial" w:hAnsi="Arial" w:cs="Arial"/>
          <w:color w:val="000000"/>
          <w:sz w:val="22"/>
        </w:rPr>
        <w:t xml:space="preserve"> y, además, </w:t>
      </w:r>
      <w:r w:rsidR="00291225">
        <w:rPr>
          <w:rStyle w:val="normaltextrun"/>
          <w:rFonts w:ascii="Arial" w:hAnsi="Arial" w:cs="Arial"/>
          <w:color w:val="000000"/>
          <w:sz w:val="22"/>
        </w:rPr>
        <w:t xml:space="preserve">definidos </w:t>
      </w:r>
      <w:r w:rsidR="006823E1">
        <w:rPr>
          <w:rStyle w:val="normaltextrun"/>
          <w:rFonts w:ascii="Arial" w:hAnsi="Arial" w:cs="Arial"/>
          <w:color w:val="000000"/>
          <w:sz w:val="22"/>
        </w:rPr>
        <w:t>los requisitos para su contratación</w:t>
      </w:r>
      <w:r w:rsidR="005A4098">
        <w:rPr>
          <w:rStyle w:val="normaltextrun"/>
          <w:rFonts w:ascii="Arial" w:hAnsi="Arial" w:cs="Arial"/>
          <w:color w:val="000000"/>
          <w:sz w:val="22"/>
        </w:rPr>
        <w:t xml:space="preserve">, </w:t>
      </w:r>
      <w:r w:rsidR="00D0440C">
        <w:rPr>
          <w:rStyle w:val="normaltextrun"/>
          <w:rFonts w:ascii="Arial" w:hAnsi="Arial" w:cs="Arial"/>
          <w:color w:val="000000"/>
          <w:sz w:val="22"/>
        </w:rPr>
        <w:t>la peticionaria formula el siguiente interrogante</w:t>
      </w:r>
      <w:r w:rsidR="005A4098">
        <w:rPr>
          <w:rStyle w:val="normaltextrun"/>
          <w:rFonts w:ascii="Arial" w:hAnsi="Arial" w:cs="Arial"/>
          <w:color w:val="000000"/>
          <w:sz w:val="22"/>
        </w:rPr>
        <w:t xml:space="preserve">: ¿es posible </w:t>
      </w:r>
      <w:r w:rsidR="00DD54F4">
        <w:rPr>
          <w:rStyle w:val="normaltextrun"/>
          <w:rFonts w:ascii="Arial" w:hAnsi="Arial" w:cs="Arial"/>
          <w:color w:val="000000"/>
          <w:sz w:val="22"/>
        </w:rPr>
        <w:t xml:space="preserve">contratar a las comunidades </w:t>
      </w:r>
      <w:r w:rsidR="00D509A2">
        <w:rPr>
          <w:rStyle w:val="normaltextrun"/>
          <w:rFonts w:ascii="Arial" w:hAnsi="Arial" w:cs="Arial"/>
          <w:color w:val="000000"/>
          <w:sz w:val="22"/>
        </w:rPr>
        <w:t xml:space="preserve">étnicas </w:t>
      </w:r>
      <w:r w:rsidR="00C668DF">
        <w:rPr>
          <w:rStyle w:val="normaltextrun"/>
          <w:rFonts w:ascii="Arial" w:hAnsi="Arial" w:cs="Arial"/>
          <w:color w:val="000000"/>
          <w:sz w:val="22"/>
        </w:rPr>
        <w:t>como operador</w:t>
      </w:r>
      <w:r w:rsidR="00A67E26">
        <w:rPr>
          <w:rStyle w:val="normaltextrun"/>
          <w:rFonts w:ascii="Arial" w:hAnsi="Arial" w:cs="Arial"/>
          <w:color w:val="000000"/>
          <w:sz w:val="22"/>
        </w:rPr>
        <w:t>es</w:t>
      </w:r>
      <w:r w:rsidR="00C668DF">
        <w:rPr>
          <w:rStyle w:val="normaltextrun"/>
          <w:rFonts w:ascii="Arial" w:hAnsi="Arial" w:cs="Arial"/>
          <w:color w:val="000000"/>
          <w:sz w:val="22"/>
        </w:rPr>
        <w:t xml:space="preserve"> catastral</w:t>
      </w:r>
      <w:r w:rsidR="00A67E26">
        <w:rPr>
          <w:rStyle w:val="normaltextrun"/>
          <w:rFonts w:ascii="Arial" w:hAnsi="Arial" w:cs="Arial"/>
          <w:color w:val="000000"/>
          <w:sz w:val="22"/>
        </w:rPr>
        <w:t>es</w:t>
      </w:r>
      <w:r w:rsidR="00C668DF">
        <w:rPr>
          <w:rStyle w:val="normaltextrun"/>
          <w:rFonts w:ascii="Arial" w:hAnsi="Arial" w:cs="Arial"/>
          <w:color w:val="000000"/>
          <w:sz w:val="22"/>
        </w:rPr>
        <w:t>?</w:t>
      </w:r>
      <w:r w:rsidR="006077AF">
        <w:rPr>
          <w:rStyle w:val="normaltextrun"/>
          <w:rFonts w:ascii="Arial" w:hAnsi="Arial" w:cs="Arial"/>
          <w:color w:val="000000"/>
          <w:sz w:val="22"/>
        </w:rPr>
        <w:t xml:space="preserve"> </w:t>
      </w:r>
      <w:r w:rsidR="00D509A2">
        <w:rPr>
          <w:rStyle w:val="normaltextrun"/>
          <w:rFonts w:ascii="Arial" w:hAnsi="Arial" w:cs="Arial"/>
          <w:color w:val="000000"/>
          <w:sz w:val="22"/>
        </w:rPr>
        <w:t xml:space="preserve">Para responder el interrogante anterior, </w:t>
      </w:r>
      <w:r w:rsidR="00B63536">
        <w:rPr>
          <w:rStyle w:val="normaltextrun"/>
          <w:rFonts w:ascii="Arial" w:hAnsi="Arial" w:cs="Arial"/>
          <w:color w:val="000000"/>
          <w:sz w:val="22"/>
        </w:rPr>
        <w:t>en</w:t>
      </w:r>
      <w:r w:rsidR="00D607D0">
        <w:rPr>
          <w:rStyle w:val="normaltextrun"/>
          <w:rFonts w:ascii="Arial" w:hAnsi="Arial" w:cs="Arial"/>
          <w:color w:val="000000"/>
          <w:sz w:val="22"/>
        </w:rPr>
        <w:t xml:space="preserve"> el siguiente acápite se</w:t>
      </w:r>
      <w:r w:rsidR="00827048">
        <w:rPr>
          <w:rStyle w:val="normaltextrun"/>
          <w:rFonts w:ascii="Arial" w:hAnsi="Arial" w:cs="Arial"/>
          <w:color w:val="000000"/>
          <w:sz w:val="22"/>
        </w:rPr>
        <w:t xml:space="preserve"> identificará quienes pertenecen a las comunidades étnicas y, además, </w:t>
      </w:r>
      <w:r w:rsidR="00D607D0">
        <w:rPr>
          <w:rStyle w:val="normaltextrun"/>
          <w:rFonts w:ascii="Arial" w:hAnsi="Arial" w:cs="Arial"/>
          <w:color w:val="000000"/>
          <w:sz w:val="22"/>
        </w:rPr>
        <w:t>la capacidad</w:t>
      </w:r>
      <w:r w:rsidR="00DF2FC4">
        <w:rPr>
          <w:rStyle w:val="normaltextrun"/>
          <w:rFonts w:ascii="Arial" w:hAnsi="Arial" w:cs="Arial"/>
          <w:color w:val="000000"/>
          <w:sz w:val="22"/>
        </w:rPr>
        <w:t xml:space="preserve"> que tiene el IGAC</w:t>
      </w:r>
      <w:r w:rsidR="00FF43FC">
        <w:rPr>
          <w:rStyle w:val="normaltextrun"/>
          <w:rFonts w:ascii="Arial" w:hAnsi="Arial" w:cs="Arial"/>
          <w:color w:val="000000"/>
          <w:sz w:val="22"/>
        </w:rPr>
        <w:t xml:space="preserve"> </w:t>
      </w:r>
      <w:r w:rsidR="00D0440C">
        <w:rPr>
          <w:rStyle w:val="normaltextrun"/>
          <w:rFonts w:ascii="Arial" w:hAnsi="Arial" w:cs="Arial"/>
          <w:color w:val="000000"/>
          <w:sz w:val="22"/>
        </w:rPr>
        <w:t>–</w:t>
      </w:r>
      <w:r w:rsidR="00FF43FC">
        <w:rPr>
          <w:rStyle w:val="normaltextrun"/>
          <w:rFonts w:ascii="Arial" w:hAnsi="Arial" w:cs="Arial"/>
          <w:color w:val="000000"/>
          <w:sz w:val="22"/>
        </w:rPr>
        <w:t>en calidad de gestor catastral por excepción</w:t>
      </w:r>
      <w:r w:rsidR="00D0440C">
        <w:rPr>
          <w:rStyle w:val="normaltextrun"/>
          <w:rFonts w:ascii="Arial" w:hAnsi="Arial" w:cs="Arial"/>
          <w:color w:val="000000"/>
          <w:sz w:val="22"/>
        </w:rPr>
        <w:t>–</w:t>
      </w:r>
      <w:r w:rsidR="00FF43FC">
        <w:rPr>
          <w:rStyle w:val="normaltextrun"/>
          <w:rFonts w:ascii="Arial" w:hAnsi="Arial" w:cs="Arial"/>
          <w:color w:val="000000"/>
          <w:sz w:val="22"/>
        </w:rPr>
        <w:t xml:space="preserve"> </w:t>
      </w:r>
      <w:r w:rsidR="00DF2FC4">
        <w:rPr>
          <w:rStyle w:val="normaltextrun"/>
          <w:rFonts w:ascii="Arial" w:hAnsi="Arial" w:cs="Arial"/>
          <w:color w:val="000000"/>
          <w:sz w:val="22"/>
        </w:rPr>
        <w:t>para contratar</w:t>
      </w:r>
      <w:r w:rsidR="00F84729">
        <w:rPr>
          <w:rStyle w:val="normaltextrun"/>
          <w:rFonts w:ascii="Arial" w:hAnsi="Arial" w:cs="Arial"/>
          <w:color w:val="000000"/>
          <w:sz w:val="22"/>
        </w:rPr>
        <w:t xml:space="preserve"> a estos grupos étnicos</w:t>
      </w:r>
      <w:r w:rsidR="00E37448">
        <w:rPr>
          <w:rStyle w:val="normaltextrun"/>
          <w:rFonts w:ascii="Arial" w:hAnsi="Arial" w:cs="Arial"/>
          <w:color w:val="000000"/>
          <w:sz w:val="22"/>
        </w:rPr>
        <w:t xml:space="preserve"> </w:t>
      </w:r>
      <w:r w:rsidR="00DF2FC4">
        <w:rPr>
          <w:rStyle w:val="normaltextrun"/>
          <w:rFonts w:ascii="Arial" w:hAnsi="Arial" w:cs="Arial"/>
          <w:color w:val="000000"/>
          <w:sz w:val="22"/>
        </w:rPr>
        <w:t xml:space="preserve">como operadores catastrales. </w:t>
      </w:r>
    </w:p>
    <w:p w14:paraId="1E337C33" w14:textId="00EAAC2B" w:rsidR="00275AF4" w:rsidRPr="00275AF4" w:rsidRDefault="00275AF4" w:rsidP="009A63F5">
      <w:pPr>
        <w:spacing w:before="120" w:line="276" w:lineRule="auto"/>
        <w:jc w:val="both"/>
        <w:rPr>
          <w:rStyle w:val="normaltextrun"/>
          <w:rFonts w:ascii="Arial" w:hAnsi="Arial" w:cs="Arial"/>
          <w:b/>
          <w:bCs/>
          <w:color w:val="000000"/>
          <w:sz w:val="22"/>
        </w:rPr>
      </w:pPr>
      <w:r w:rsidRPr="00275AF4">
        <w:rPr>
          <w:rStyle w:val="normaltextrun"/>
          <w:rFonts w:ascii="Arial" w:hAnsi="Arial" w:cs="Arial"/>
          <w:b/>
          <w:bCs/>
          <w:color w:val="000000"/>
          <w:sz w:val="22"/>
        </w:rPr>
        <w:t xml:space="preserve">1.2 Capacidad para contratar de las comunidades étnicas </w:t>
      </w:r>
      <w:r w:rsidR="00FC0304">
        <w:rPr>
          <w:rStyle w:val="normaltextrun"/>
          <w:rFonts w:ascii="Arial" w:hAnsi="Arial" w:cs="Arial"/>
          <w:b/>
          <w:bCs/>
          <w:color w:val="000000"/>
          <w:sz w:val="22"/>
        </w:rPr>
        <w:t>como operadores catastrales</w:t>
      </w:r>
    </w:p>
    <w:p w14:paraId="2CFC253D" w14:textId="77777777" w:rsidR="00AA399E" w:rsidRDefault="00AA399E" w:rsidP="00FC0304">
      <w:pPr>
        <w:spacing w:line="276" w:lineRule="auto"/>
        <w:jc w:val="both"/>
        <w:rPr>
          <w:rStyle w:val="normaltextrun"/>
          <w:rFonts w:ascii="Arial" w:hAnsi="Arial" w:cs="Arial"/>
          <w:color w:val="000000"/>
          <w:sz w:val="22"/>
        </w:rPr>
      </w:pPr>
    </w:p>
    <w:p w14:paraId="02698B01" w14:textId="37FE2163" w:rsidR="00A80C59" w:rsidRDefault="0067010A" w:rsidP="00FC0304">
      <w:pPr>
        <w:spacing w:line="276" w:lineRule="auto"/>
        <w:jc w:val="both"/>
        <w:rPr>
          <w:rStyle w:val="normaltextrun"/>
          <w:rFonts w:ascii="Arial" w:hAnsi="Arial" w:cs="Arial"/>
          <w:color w:val="000000"/>
          <w:sz w:val="22"/>
        </w:rPr>
      </w:pPr>
      <w:r>
        <w:rPr>
          <w:rStyle w:val="normaltextrun"/>
          <w:rFonts w:ascii="Arial" w:hAnsi="Arial" w:cs="Arial"/>
          <w:color w:val="000000"/>
          <w:sz w:val="22"/>
        </w:rPr>
        <w:t>La Constitución Política de 1991</w:t>
      </w:r>
      <w:r w:rsidR="00865240">
        <w:rPr>
          <w:rStyle w:val="normaltextrun"/>
          <w:rFonts w:ascii="Arial" w:hAnsi="Arial" w:cs="Arial"/>
          <w:color w:val="000000"/>
          <w:sz w:val="22"/>
        </w:rPr>
        <w:t xml:space="preserve"> reconoce distintos derechos en favor de l</w:t>
      </w:r>
      <w:r w:rsidR="009418F6">
        <w:rPr>
          <w:rStyle w:val="normaltextrun"/>
          <w:rFonts w:ascii="Arial" w:hAnsi="Arial" w:cs="Arial"/>
          <w:color w:val="000000"/>
          <w:sz w:val="22"/>
        </w:rPr>
        <w:t>a</w:t>
      </w:r>
      <w:r w:rsidR="00865240">
        <w:rPr>
          <w:rStyle w:val="normaltextrun"/>
          <w:rFonts w:ascii="Arial" w:hAnsi="Arial" w:cs="Arial"/>
          <w:color w:val="000000"/>
          <w:sz w:val="22"/>
        </w:rPr>
        <w:t xml:space="preserve">s </w:t>
      </w:r>
      <w:r w:rsidR="009418F6">
        <w:rPr>
          <w:rStyle w:val="normaltextrun"/>
          <w:rFonts w:ascii="Arial" w:hAnsi="Arial" w:cs="Arial"/>
          <w:color w:val="000000"/>
          <w:sz w:val="22"/>
        </w:rPr>
        <w:t>comunidades étnicas</w:t>
      </w:r>
      <w:r w:rsidR="00865240">
        <w:rPr>
          <w:rStyle w:val="normaltextrun"/>
          <w:rFonts w:ascii="Arial" w:hAnsi="Arial" w:cs="Arial"/>
          <w:color w:val="000000"/>
          <w:sz w:val="22"/>
        </w:rPr>
        <w:t>, tales como</w:t>
      </w:r>
      <w:r w:rsidR="002F51FD">
        <w:rPr>
          <w:rStyle w:val="normaltextrun"/>
          <w:rFonts w:ascii="Arial" w:hAnsi="Arial" w:cs="Arial"/>
          <w:color w:val="000000"/>
          <w:sz w:val="22"/>
        </w:rPr>
        <w:t>:</w:t>
      </w:r>
      <w:r w:rsidR="00865240">
        <w:rPr>
          <w:rStyle w:val="normaltextrun"/>
          <w:rFonts w:ascii="Arial" w:hAnsi="Arial" w:cs="Arial"/>
          <w:color w:val="000000"/>
          <w:sz w:val="22"/>
        </w:rPr>
        <w:t xml:space="preserve"> </w:t>
      </w:r>
      <w:r w:rsidR="004B2679">
        <w:rPr>
          <w:rStyle w:val="normaltextrun"/>
          <w:rFonts w:ascii="Arial" w:hAnsi="Arial" w:cs="Arial"/>
          <w:color w:val="000000"/>
          <w:sz w:val="22"/>
        </w:rPr>
        <w:t xml:space="preserve">i) </w:t>
      </w:r>
      <w:r w:rsidR="00C063FE">
        <w:rPr>
          <w:rStyle w:val="normaltextrun"/>
          <w:rFonts w:ascii="Arial" w:hAnsi="Arial" w:cs="Arial"/>
          <w:color w:val="000000"/>
          <w:sz w:val="22"/>
        </w:rPr>
        <w:t>proteger la diversidad étnica y cultural de la Nación</w:t>
      </w:r>
      <w:r w:rsidR="00C20BD8">
        <w:rPr>
          <w:rStyle w:val="Refdenotaalpie"/>
          <w:rFonts w:ascii="Arial" w:hAnsi="Arial" w:cs="Arial"/>
          <w:color w:val="000000"/>
          <w:sz w:val="22"/>
        </w:rPr>
        <w:footnoteReference w:id="6"/>
      </w:r>
      <w:r w:rsidR="00C063FE">
        <w:rPr>
          <w:rStyle w:val="normaltextrun"/>
          <w:rFonts w:ascii="Arial" w:hAnsi="Arial" w:cs="Arial"/>
          <w:color w:val="000000"/>
          <w:sz w:val="22"/>
        </w:rPr>
        <w:t xml:space="preserve">, </w:t>
      </w:r>
      <w:proofErr w:type="spellStart"/>
      <w:r w:rsidR="00C063FE">
        <w:rPr>
          <w:rStyle w:val="normaltextrun"/>
          <w:rFonts w:ascii="Arial" w:hAnsi="Arial" w:cs="Arial"/>
          <w:color w:val="000000"/>
          <w:sz w:val="22"/>
        </w:rPr>
        <w:t>ii</w:t>
      </w:r>
      <w:proofErr w:type="spellEnd"/>
      <w:r w:rsidR="005C774A">
        <w:rPr>
          <w:rStyle w:val="normaltextrun"/>
          <w:rFonts w:ascii="Arial" w:hAnsi="Arial" w:cs="Arial"/>
          <w:color w:val="000000"/>
          <w:sz w:val="22"/>
        </w:rPr>
        <w:t>)</w:t>
      </w:r>
      <w:r w:rsidR="0002108B">
        <w:rPr>
          <w:rStyle w:val="normaltextrun"/>
          <w:rFonts w:ascii="Arial" w:hAnsi="Arial" w:cs="Arial"/>
          <w:color w:val="000000"/>
          <w:sz w:val="22"/>
        </w:rPr>
        <w:t xml:space="preserve"> l</w:t>
      </w:r>
      <w:r w:rsidR="005E48CA">
        <w:rPr>
          <w:rStyle w:val="normaltextrun"/>
          <w:rFonts w:ascii="Arial" w:hAnsi="Arial" w:cs="Arial"/>
          <w:color w:val="000000"/>
          <w:sz w:val="22"/>
        </w:rPr>
        <w:t>as lenguas y sus dialectos</w:t>
      </w:r>
      <w:r w:rsidR="00910117">
        <w:rPr>
          <w:rStyle w:val="normaltextrun"/>
          <w:rFonts w:ascii="Arial" w:hAnsi="Arial" w:cs="Arial"/>
          <w:color w:val="000000"/>
          <w:sz w:val="22"/>
        </w:rPr>
        <w:t xml:space="preserve"> </w:t>
      </w:r>
      <w:r w:rsidR="0002108B">
        <w:rPr>
          <w:rStyle w:val="normaltextrun"/>
          <w:rFonts w:ascii="Arial" w:hAnsi="Arial" w:cs="Arial"/>
          <w:color w:val="000000"/>
          <w:sz w:val="22"/>
        </w:rPr>
        <w:t>son</w:t>
      </w:r>
      <w:r w:rsidR="00910117">
        <w:rPr>
          <w:rStyle w:val="normaltextrun"/>
          <w:rFonts w:ascii="Arial" w:hAnsi="Arial" w:cs="Arial"/>
          <w:color w:val="000000"/>
          <w:sz w:val="22"/>
        </w:rPr>
        <w:t xml:space="preserve"> idiomas oficiales en el territorio colombiano</w:t>
      </w:r>
      <w:r w:rsidR="009753FB">
        <w:rPr>
          <w:rStyle w:val="Refdenotaalpie"/>
          <w:rFonts w:ascii="Arial" w:hAnsi="Arial" w:cs="Arial"/>
          <w:color w:val="000000"/>
          <w:sz w:val="22"/>
        </w:rPr>
        <w:footnoteReference w:id="7"/>
      </w:r>
      <w:r w:rsidR="005E48CA">
        <w:rPr>
          <w:rStyle w:val="normaltextrun"/>
          <w:rFonts w:ascii="Arial" w:hAnsi="Arial" w:cs="Arial"/>
          <w:color w:val="000000"/>
          <w:sz w:val="22"/>
        </w:rPr>
        <w:t xml:space="preserve">, </w:t>
      </w:r>
      <w:proofErr w:type="spellStart"/>
      <w:r w:rsidR="00910117">
        <w:rPr>
          <w:rStyle w:val="normaltextrun"/>
          <w:rFonts w:ascii="Arial" w:hAnsi="Arial" w:cs="Arial"/>
          <w:color w:val="000000"/>
          <w:sz w:val="22"/>
        </w:rPr>
        <w:t>ii</w:t>
      </w:r>
      <w:r w:rsidR="00C063FE">
        <w:rPr>
          <w:rStyle w:val="normaltextrun"/>
          <w:rFonts w:ascii="Arial" w:hAnsi="Arial" w:cs="Arial"/>
          <w:color w:val="000000"/>
          <w:sz w:val="22"/>
        </w:rPr>
        <w:t>i</w:t>
      </w:r>
      <w:proofErr w:type="spellEnd"/>
      <w:r w:rsidR="00910117">
        <w:rPr>
          <w:rStyle w:val="normaltextrun"/>
          <w:rFonts w:ascii="Arial" w:hAnsi="Arial" w:cs="Arial"/>
          <w:color w:val="000000"/>
          <w:sz w:val="22"/>
        </w:rPr>
        <w:t xml:space="preserve">) </w:t>
      </w:r>
      <w:r w:rsidR="00B8333A">
        <w:rPr>
          <w:rStyle w:val="normaltextrun"/>
          <w:rFonts w:ascii="Arial" w:hAnsi="Arial" w:cs="Arial"/>
          <w:color w:val="000000"/>
          <w:sz w:val="22"/>
        </w:rPr>
        <w:t>las tierras comunales de grupos étnicos son inalienables, imprescriptibles e inembarg</w:t>
      </w:r>
      <w:r w:rsidR="009753FB">
        <w:rPr>
          <w:rStyle w:val="normaltextrun"/>
          <w:rFonts w:ascii="Arial" w:hAnsi="Arial" w:cs="Arial"/>
          <w:color w:val="000000"/>
          <w:sz w:val="22"/>
        </w:rPr>
        <w:t>ables</w:t>
      </w:r>
      <w:r w:rsidR="008D15C1">
        <w:rPr>
          <w:rStyle w:val="Refdenotaalpie"/>
          <w:rFonts w:ascii="Arial" w:hAnsi="Arial" w:cs="Arial"/>
          <w:color w:val="000000"/>
          <w:sz w:val="22"/>
        </w:rPr>
        <w:footnoteReference w:id="8"/>
      </w:r>
      <w:r w:rsidR="009753FB">
        <w:rPr>
          <w:rStyle w:val="normaltextrun"/>
          <w:rFonts w:ascii="Arial" w:hAnsi="Arial" w:cs="Arial"/>
          <w:color w:val="000000"/>
          <w:sz w:val="22"/>
        </w:rPr>
        <w:t xml:space="preserve">, </w:t>
      </w:r>
      <w:proofErr w:type="spellStart"/>
      <w:r w:rsidR="00C063FE">
        <w:rPr>
          <w:rStyle w:val="normaltextrun"/>
          <w:rFonts w:ascii="Arial" w:hAnsi="Arial" w:cs="Arial"/>
          <w:color w:val="000000"/>
          <w:sz w:val="22"/>
        </w:rPr>
        <w:t>iv</w:t>
      </w:r>
      <w:proofErr w:type="spellEnd"/>
      <w:r w:rsidR="009753FB">
        <w:rPr>
          <w:rStyle w:val="normaltextrun"/>
          <w:rFonts w:ascii="Arial" w:hAnsi="Arial" w:cs="Arial"/>
          <w:color w:val="000000"/>
          <w:sz w:val="22"/>
        </w:rPr>
        <w:t>)</w:t>
      </w:r>
      <w:r w:rsidR="00794812">
        <w:rPr>
          <w:rStyle w:val="normaltextrun"/>
          <w:rFonts w:ascii="Arial" w:hAnsi="Arial" w:cs="Arial"/>
          <w:color w:val="000000"/>
          <w:sz w:val="22"/>
        </w:rPr>
        <w:t xml:space="preserve"> los integrantes de </w:t>
      </w:r>
      <w:r w:rsidR="00794812">
        <w:rPr>
          <w:rStyle w:val="normaltextrun"/>
          <w:rFonts w:ascii="Arial" w:hAnsi="Arial" w:cs="Arial"/>
          <w:color w:val="000000"/>
          <w:sz w:val="22"/>
        </w:rPr>
        <w:lastRenderedPageBreak/>
        <w:t>los grupos étnicos t</w:t>
      </w:r>
      <w:r w:rsidR="00CC4DF7">
        <w:rPr>
          <w:rStyle w:val="normaltextrun"/>
          <w:rFonts w:ascii="Arial" w:hAnsi="Arial" w:cs="Arial"/>
          <w:color w:val="000000"/>
          <w:sz w:val="22"/>
        </w:rPr>
        <w:t xml:space="preserve">ienen </w:t>
      </w:r>
      <w:r w:rsidR="00794812">
        <w:rPr>
          <w:rStyle w:val="normaltextrun"/>
          <w:rFonts w:ascii="Arial" w:hAnsi="Arial" w:cs="Arial"/>
          <w:color w:val="000000"/>
          <w:sz w:val="22"/>
        </w:rPr>
        <w:t>derecho a una formación que respete y desarrolle su identidad cultural</w:t>
      </w:r>
      <w:r w:rsidR="00794812">
        <w:rPr>
          <w:rStyle w:val="Refdenotaalpie"/>
          <w:rFonts w:ascii="Arial" w:hAnsi="Arial" w:cs="Arial"/>
          <w:color w:val="000000"/>
          <w:sz w:val="22"/>
        </w:rPr>
        <w:footnoteReference w:id="9"/>
      </w:r>
      <w:r w:rsidR="007C77DB">
        <w:rPr>
          <w:rStyle w:val="normaltextrun"/>
          <w:rFonts w:ascii="Arial" w:hAnsi="Arial" w:cs="Arial"/>
          <w:color w:val="000000"/>
          <w:sz w:val="22"/>
        </w:rPr>
        <w:t>, entre otros. Sin embargo, esta norma constitucional no identifica qui</w:t>
      </w:r>
      <w:r w:rsidR="00AC21BF">
        <w:rPr>
          <w:rStyle w:val="normaltextrun"/>
          <w:rFonts w:ascii="Arial" w:hAnsi="Arial" w:cs="Arial"/>
          <w:color w:val="000000"/>
          <w:sz w:val="22"/>
        </w:rPr>
        <w:t>é</w:t>
      </w:r>
      <w:r w:rsidR="007C77DB">
        <w:rPr>
          <w:rStyle w:val="normaltextrun"/>
          <w:rFonts w:ascii="Arial" w:hAnsi="Arial" w:cs="Arial"/>
          <w:color w:val="000000"/>
          <w:sz w:val="22"/>
        </w:rPr>
        <w:t>nes pertenecen a estos grupos étnicos</w:t>
      </w:r>
      <w:r w:rsidR="00561BC5">
        <w:rPr>
          <w:rStyle w:val="normaltextrun"/>
          <w:rFonts w:ascii="Arial" w:hAnsi="Arial" w:cs="Arial"/>
          <w:color w:val="000000"/>
          <w:sz w:val="22"/>
        </w:rPr>
        <w:t>.</w:t>
      </w:r>
    </w:p>
    <w:p w14:paraId="746CE2CE" w14:textId="2B5397D3" w:rsidR="00C64EC5" w:rsidRDefault="00934FEB" w:rsidP="00A80C59">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En </w:t>
      </w:r>
      <w:r w:rsidR="00776983">
        <w:rPr>
          <w:rStyle w:val="normaltextrun"/>
          <w:rFonts w:ascii="Arial" w:hAnsi="Arial" w:cs="Arial"/>
          <w:color w:val="000000"/>
          <w:sz w:val="22"/>
        </w:rPr>
        <w:t>razón a lo anterior</w:t>
      </w:r>
      <w:r w:rsidR="00315700">
        <w:rPr>
          <w:rStyle w:val="normaltextrun"/>
          <w:rFonts w:ascii="Arial" w:hAnsi="Arial" w:cs="Arial"/>
          <w:color w:val="000000"/>
          <w:sz w:val="22"/>
        </w:rPr>
        <w:t xml:space="preserve">, </w:t>
      </w:r>
      <w:r w:rsidR="00D5267A">
        <w:rPr>
          <w:rStyle w:val="normaltextrun"/>
          <w:rFonts w:ascii="Arial" w:hAnsi="Arial" w:cs="Arial"/>
          <w:color w:val="000000"/>
          <w:sz w:val="22"/>
        </w:rPr>
        <w:t>distintas normas</w:t>
      </w:r>
      <w:r w:rsidR="00561BC5">
        <w:rPr>
          <w:rStyle w:val="normaltextrun"/>
          <w:rFonts w:ascii="Arial" w:hAnsi="Arial" w:cs="Arial"/>
          <w:color w:val="000000"/>
          <w:sz w:val="22"/>
        </w:rPr>
        <w:t xml:space="preserve"> y la jurisprudencia de la Corte Constituciona</w:t>
      </w:r>
      <w:r w:rsidR="00205DAC">
        <w:rPr>
          <w:rStyle w:val="normaltextrun"/>
          <w:rFonts w:ascii="Arial" w:hAnsi="Arial" w:cs="Arial"/>
          <w:color w:val="000000"/>
          <w:sz w:val="22"/>
        </w:rPr>
        <w:t>l</w:t>
      </w:r>
      <w:r w:rsidR="005D3726">
        <w:rPr>
          <w:rStyle w:val="normaltextrun"/>
          <w:rFonts w:ascii="Arial" w:hAnsi="Arial" w:cs="Arial"/>
          <w:color w:val="000000"/>
          <w:sz w:val="22"/>
        </w:rPr>
        <w:t xml:space="preserve"> </w:t>
      </w:r>
      <w:r w:rsidR="00D5267A">
        <w:rPr>
          <w:rStyle w:val="normaltextrun"/>
          <w:rFonts w:ascii="Arial" w:hAnsi="Arial" w:cs="Arial"/>
          <w:color w:val="000000"/>
          <w:sz w:val="22"/>
        </w:rPr>
        <w:t xml:space="preserve">ha reconocido </w:t>
      </w:r>
      <w:r w:rsidR="009C6B5E">
        <w:rPr>
          <w:rStyle w:val="normaltextrun"/>
          <w:rFonts w:ascii="Arial" w:hAnsi="Arial" w:cs="Arial"/>
          <w:color w:val="000000"/>
          <w:sz w:val="22"/>
        </w:rPr>
        <w:t xml:space="preserve">e identificado </w:t>
      </w:r>
      <w:r w:rsidR="00DC7DE0">
        <w:rPr>
          <w:rStyle w:val="normaltextrun"/>
          <w:rFonts w:ascii="Arial" w:hAnsi="Arial" w:cs="Arial"/>
          <w:color w:val="000000"/>
          <w:sz w:val="22"/>
        </w:rPr>
        <w:t>qui</w:t>
      </w:r>
      <w:r w:rsidR="00AC21BF">
        <w:rPr>
          <w:rStyle w:val="normaltextrun"/>
          <w:rFonts w:ascii="Arial" w:hAnsi="Arial" w:cs="Arial"/>
          <w:color w:val="000000"/>
          <w:sz w:val="22"/>
        </w:rPr>
        <w:t>é</w:t>
      </w:r>
      <w:r w:rsidR="00DC7DE0">
        <w:rPr>
          <w:rStyle w:val="normaltextrun"/>
          <w:rFonts w:ascii="Arial" w:hAnsi="Arial" w:cs="Arial"/>
          <w:color w:val="000000"/>
          <w:sz w:val="22"/>
        </w:rPr>
        <w:t>nes pertenecen a</w:t>
      </w:r>
      <w:r w:rsidR="00D10486">
        <w:rPr>
          <w:rStyle w:val="normaltextrun"/>
          <w:rFonts w:ascii="Arial" w:hAnsi="Arial" w:cs="Arial"/>
          <w:color w:val="000000"/>
          <w:sz w:val="22"/>
        </w:rPr>
        <w:t xml:space="preserve"> estos grupos étnicos</w:t>
      </w:r>
      <w:r w:rsidR="00A56403">
        <w:rPr>
          <w:rStyle w:val="normaltextrun"/>
          <w:rFonts w:ascii="Arial" w:hAnsi="Arial" w:cs="Arial"/>
          <w:color w:val="000000"/>
          <w:sz w:val="22"/>
        </w:rPr>
        <w:t xml:space="preserve">. La </w:t>
      </w:r>
      <w:r w:rsidR="0087766A">
        <w:rPr>
          <w:rStyle w:val="normaltextrun"/>
          <w:rFonts w:ascii="Arial" w:hAnsi="Arial" w:cs="Arial"/>
          <w:color w:val="000000"/>
          <w:sz w:val="22"/>
        </w:rPr>
        <w:t xml:space="preserve">Ley 170 de 1993 y el </w:t>
      </w:r>
      <w:r w:rsidR="00A56403">
        <w:rPr>
          <w:rStyle w:val="normaltextrun"/>
          <w:rFonts w:ascii="Arial" w:hAnsi="Arial" w:cs="Arial"/>
          <w:color w:val="000000"/>
          <w:sz w:val="22"/>
        </w:rPr>
        <w:t>Conven</w:t>
      </w:r>
      <w:r w:rsidR="0087766A">
        <w:rPr>
          <w:rStyle w:val="normaltextrun"/>
          <w:rFonts w:ascii="Arial" w:hAnsi="Arial" w:cs="Arial"/>
          <w:color w:val="000000"/>
          <w:sz w:val="22"/>
        </w:rPr>
        <w:t xml:space="preserve">io 169 de la OIT </w:t>
      </w:r>
      <w:r w:rsidR="0056665F">
        <w:rPr>
          <w:rStyle w:val="normaltextrun"/>
          <w:rFonts w:ascii="Arial" w:hAnsi="Arial" w:cs="Arial"/>
          <w:color w:val="000000"/>
          <w:sz w:val="22"/>
        </w:rPr>
        <w:t>determina</w:t>
      </w:r>
      <w:r w:rsidR="00A237DB">
        <w:rPr>
          <w:rStyle w:val="normaltextrun"/>
          <w:rFonts w:ascii="Arial" w:hAnsi="Arial" w:cs="Arial"/>
          <w:color w:val="000000"/>
          <w:sz w:val="22"/>
        </w:rPr>
        <w:t xml:space="preserve"> </w:t>
      </w:r>
      <w:r w:rsidR="0087766A">
        <w:rPr>
          <w:rStyle w:val="normaltextrun"/>
          <w:rFonts w:ascii="Arial" w:hAnsi="Arial" w:cs="Arial"/>
          <w:color w:val="000000"/>
          <w:sz w:val="22"/>
        </w:rPr>
        <w:t>que las comunidades negras</w:t>
      </w:r>
      <w:r w:rsidR="00A237DB">
        <w:rPr>
          <w:rStyle w:val="normaltextrun"/>
          <w:rFonts w:ascii="Arial" w:hAnsi="Arial" w:cs="Arial"/>
          <w:color w:val="000000"/>
          <w:sz w:val="22"/>
        </w:rPr>
        <w:t xml:space="preserve"> se definen como: </w:t>
      </w:r>
      <w:r w:rsidR="00A13366">
        <w:rPr>
          <w:rStyle w:val="normaltextrun"/>
          <w:rFonts w:ascii="Arial" w:hAnsi="Arial" w:cs="Arial"/>
          <w:color w:val="000000"/>
          <w:sz w:val="22"/>
        </w:rPr>
        <w:t xml:space="preserve">«el </w:t>
      </w:r>
      <w:r w:rsidR="00A13366" w:rsidRPr="00A13366">
        <w:rPr>
          <w:rStyle w:val="normaltextrun"/>
          <w:rFonts w:ascii="Arial" w:hAnsi="Arial" w:cs="Arial"/>
          <w:color w:val="000000"/>
          <w:sz w:val="22"/>
        </w:rPr>
        <w:t xml:space="preserve">conjunto de familias de ascendencia afrocolombiana que poseen una cultura propia, </w:t>
      </w:r>
      <w:proofErr w:type="gramStart"/>
      <w:r w:rsidR="00A13366" w:rsidRPr="00A13366">
        <w:rPr>
          <w:rStyle w:val="normaltextrun"/>
          <w:rFonts w:ascii="Arial" w:hAnsi="Arial" w:cs="Arial"/>
          <w:color w:val="000000"/>
          <w:sz w:val="22"/>
        </w:rPr>
        <w:t>comparten</w:t>
      </w:r>
      <w:proofErr w:type="gramEnd"/>
      <w:r w:rsidR="00A13366" w:rsidRPr="00A13366">
        <w:rPr>
          <w:rStyle w:val="normaltextrun"/>
          <w:rFonts w:ascii="Arial" w:hAnsi="Arial" w:cs="Arial"/>
          <w:color w:val="000000"/>
          <w:sz w:val="22"/>
        </w:rPr>
        <w:t xml:space="preserve"> una historia y tienen sus propias tradiciones y costumbres dentro de la relación campo-poblado, […] revelan y conservan conciencia de identidad que las distinguen de otros grupos étnico</w:t>
      </w:r>
      <w:r w:rsidR="00A80C59">
        <w:rPr>
          <w:rStyle w:val="normaltextrun"/>
          <w:rFonts w:ascii="Arial" w:hAnsi="Arial" w:cs="Arial"/>
          <w:color w:val="000000"/>
          <w:sz w:val="22"/>
        </w:rPr>
        <w:t>s</w:t>
      </w:r>
      <w:r w:rsidR="00546669">
        <w:rPr>
          <w:rStyle w:val="Refdenotaalpie"/>
          <w:rFonts w:ascii="Arial" w:hAnsi="Arial" w:cs="Arial"/>
          <w:color w:val="000000"/>
          <w:sz w:val="22"/>
        </w:rPr>
        <w:footnoteReference w:id="10"/>
      </w:r>
      <w:r w:rsidR="00A80C59">
        <w:rPr>
          <w:rStyle w:val="normaltextrun"/>
          <w:rFonts w:ascii="Arial" w:hAnsi="Arial" w:cs="Arial"/>
          <w:color w:val="000000"/>
          <w:sz w:val="22"/>
        </w:rPr>
        <w:t>»</w:t>
      </w:r>
      <w:r w:rsidR="00EC484C">
        <w:rPr>
          <w:rStyle w:val="normaltextrun"/>
          <w:rFonts w:ascii="Arial" w:hAnsi="Arial" w:cs="Arial"/>
          <w:color w:val="000000"/>
          <w:sz w:val="22"/>
        </w:rPr>
        <w:t xml:space="preserve">. </w:t>
      </w:r>
      <w:r w:rsidR="009C6B5E">
        <w:rPr>
          <w:rStyle w:val="normaltextrun"/>
          <w:rFonts w:ascii="Arial" w:hAnsi="Arial" w:cs="Arial"/>
          <w:color w:val="000000"/>
          <w:sz w:val="22"/>
        </w:rPr>
        <w:t xml:space="preserve">Esto significa que la legislación interna </w:t>
      </w:r>
      <w:r w:rsidR="00385153">
        <w:rPr>
          <w:rStyle w:val="normaltextrun"/>
          <w:rFonts w:ascii="Arial" w:hAnsi="Arial" w:cs="Arial"/>
          <w:color w:val="000000"/>
          <w:sz w:val="22"/>
        </w:rPr>
        <w:t>identifica a las comunidades afrodes</w:t>
      </w:r>
      <w:r w:rsidR="00267830">
        <w:rPr>
          <w:rStyle w:val="normaltextrun"/>
          <w:rFonts w:ascii="Arial" w:hAnsi="Arial" w:cs="Arial"/>
          <w:color w:val="000000"/>
          <w:sz w:val="22"/>
        </w:rPr>
        <w:t>cendientes pertenecientes a las comunidades étnicas y</w:t>
      </w:r>
      <w:r w:rsidR="00BC7C36">
        <w:rPr>
          <w:rStyle w:val="normaltextrun"/>
          <w:rFonts w:ascii="Arial" w:hAnsi="Arial" w:cs="Arial"/>
          <w:color w:val="000000"/>
          <w:sz w:val="22"/>
        </w:rPr>
        <w:t>,</w:t>
      </w:r>
      <w:r w:rsidR="00267830">
        <w:rPr>
          <w:rStyle w:val="normaltextrun"/>
          <w:rFonts w:ascii="Arial" w:hAnsi="Arial" w:cs="Arial"/>
          <w:color w:val="000000"/>
          <w:sz w:val="22"/>
        </w:rPr>
        <w:t xml:space="preserve"> por tanto, son sujetos de protección constitucional. </w:t>
      </w:r>
    </w:p>
    <w:p w14:paraId="687B0964" w14:textId="77C97F3A" w:rsidR="00EC484C" w:rsidRDefault="00BC7C36" w:rsidP="00A80C59">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Por otro lado, </w:t>
      </w:r>
      <w:r w:rsidR="00C64EC5">
        <w:rPr>
          <w:rStyle w:val="normaltextrun"/>
          <w:rFonts w:ascii="Arial" w:hAnsi="Arial" w:cs="Arial"/>
          <w:color w:val="000000"/>
          <w:sz w:val="22"/>
        </w:rPr>
        <w:t>la Corte Constitucional</w:t>
      </w:r>
      <w:r w:rsidR="00BF7F11">
        <w:rPr>
          <w:rStyle w:val="normaltextrun"/>
          <w:rFonts w:ascii="Arial" w:hAnsi="Arial" w:cs="Arial"/>
          <w:color w:val="000000"/>
          <w:sz w:val="22"/>
        </w:rPr>
        <w:t>, en la Sentencia T-</w:t>
      </w:r>
      <w:r w:rsidR="003D4F73">
        <w:rPr>
          <w:rStyle w:val="normaltextrun"/>
          <w:rFonts w:ascii="Arial" w:hAnsi="Arial" w:cs="Arial"/>
          <w:color w:val="000000"/>
          <w:sz w:val="22"/>
        </w:rPr>
        <w:t>704</w:t>
      </w:r>
      <w:r w:rsidR="00BF7F11">
        <w:rPr>
          <w:rStyle w:val="normaltextrun"/>
          <w:rFonts w:ascii="Arial" w:hAnsi="Arial" w:cs="Arial"/>
          <w:color w:val="000000"/>
          <w:sz w:val="22"/>
        </w:rPr>
        <w:t xml:space="preserve"> de 2016, reconoce que </w:t>
      </w:r>
      <w:r w:rsidR="00EF6139">
        <w:rPr>
          <w:rStyle w:val="normaltextrun"/>
          <w:rFonts w:ascii="Arial" w:hAnsi="Arial" w:cs="Arial"/>
          <w:color w:val="000000"/>
          <w:sz w:val="22"/>
        </w:rPr>
        <w:t>la población indígena pertenece a</w:t>
      </w:r>
      <w:r w:rsidR="00BF7F11">
        <w:rPr>
          <w:rStyle w:val="normaltextrun"/>
          <w:rFonts w:ascii="Arial" w:hAnsi="Arial" w:cs="Arial"/>
          <w:color w:val="000000"/>
          <w:sz w:val="22"/>
        </w:rPr>
        <w:t xml:space="preserve"> l</w:t>
      </w:r>
      <w:r w:rsidR="00EF6139">
        <w:rPr>
          <w:rStyle w:val="normaltextrun"/>
          <w:rFonts w:ascii="Arial" w:hAnsi="Arial" w:cs="Arial"/>
          <w:color w:val="000000"/>
          <w:sz w:val="22"/>
        </w:rPr>
        <w:t>o</w:t>
      </w:r>
      <w:r w:rsidR="00BF7F11">
        <w:rPr>
          <w:rStyle w:val="normaltextrun"/>
          <w:rFonts w:ascii="Arial" w:hAnsi="Arial" w:cs="Arial"/>
          <w:color w:val="000000"/>
          <w:sz w:val="22"/>
        </w:rPr>
        <w:t xml:space="preserve">s </w:t>
      </w:r>
      <w:r w:rsidR="00EF6139">
        <w:rPr>
          <w:rStyle w:val="normaltextrun"/>
          <w:rFonts w:ascii="Arial" w:hAnsi="Arial" w:cs="Arial"/>
          <w:color w:val="000000"/>
          <w:sz w:val="22"/>
        </w:rPr>
        <w:t>grupos</w:t>
      </w:r>
      <w:r w:rsidR="00BF7F11">
        <w:rPr>
          <w:rStyle w:val="normaltextrun"/>
          <w:rFonts w:ascii="Arial" w:hAnsi="Arial" w:cs="Arial"/>
          <w:color w:val="000000"/>
          <w:sz w:val="22"/>
        </w:rPr>
        <w:t xml:space="preserve"> étnic</w:t>
      </w:r>
      <w:r w:rsidR="00EF6139">
        <w:rPr>
          <w:rStyle w:val="normaltextrun"/>
          <w:rFonts w:ascii="Arial" w:hAnsi="Arial" w:cs="Arial"/>
          <w:color w:val="000000"/>
          <w:sz w:val="22"/>
        </w:rPr>
        <w:t>o</w:t>
      </w:r>
      <w:r w:rsidR="00BF7F11">
        <w:rPr>
          <w:rStyle w:val="normaltextrun"/>
          <w:rFonts w:ascii="Arial" w:hAnsi="Arial" w:cs="Arial"/>
          <w:color w:val="000000"/>
          <w:sz w:val="22"/>
        </w:rPr>
        <w:t>s</w:t>
      </w:r>
      <w:r w:rsidR="00254F89">
        <w:rPr>
          <w:rStyle w:val="Refdenotaalpie"/>
          <w:rFonts w:ascii="Arial" w:hAnsi="Arial" w:cs="Arial"/>
          <w:color w:val="000000"/>
          <w:sz w:val="22"/>
        </w:rPr>
        <w:footnoteReference w:id="11"/>
      </w:r>
      <w:r w:rsidR="00F67E2D">
        <w:rPr>
          <w:rStyle w:val="normaltextrun"/>
          <w:rFonts w:ascii="Arial" w:hAnsi="Arial" w:cs="Arial"/>
          <w:color w:val="000000"/>
          <w:sz w:val="22"/>
        </w:rPr>
        <w:t>.</w:t>
      </w:r>
      <w:r w:rsidR="00627A39">
        <w:rPr>
          <w:rStyle w:val="normaltextrun"/>
          <w:rFonts w:ascii="Arial" w:hAnsi="Arial" w:cs="Arial"/>
          <w:color w:val="000000"/>
          <w:sz w:val="22"/>
        </w:rPr>
        <w:t xml:space="preserve"> </w:t>
      </w:r>
      <w:r w:rsidR="0036174B">
        <w:rPr>
          <w:rStyle w:val="normaltextrun"/>
          <w:rFonts w:ascii="Arial" w:hAnsi="Arial" w:cs="Arial"/>
          <w:color w:val="000000"/>
          <w:sz w:val="22"/>
        </w:rPr>
        <w:t>Así las cosas,</w:t>
      </w:r>
      <w:r w:rsidR="006D6837">
        <w:rPr>
          <w:rStyle w:val="normaltextrun"/>
          <w:rFonts w:ascii="Arial" w:hAnsi="Arial" w:cs="Arial"/>
          <w:color w:val="000000"/>
          <w:sz w:val="22"/>
        </w:rPr>
        <w:t xml:space="preserve"> </w:t>
      </w:r>
      <w:r w:rsidR="00AE4588">
        <w:rPr>
          <w:rStyle w:val="normaltextrun"/>
          <w:rFonts w:ascii="Arial" w:hAnsi="Arial" w:cs="Arial"/>
          <w:color w:val="000000"/>
          <w:sz w:val="22"/>
        </w:rPr>
        <w:t xml:space="preserve">por ejemplo, </w:t>
      </w:r>
      <w:r w:rsidR="006D6837">
        <w:rPr>
          <w:rStyle w:val="normaltextrun"/>
          <w:rFonts w:ascii="Arial" w:hAnsi="Arial" w:cs="Arial"/>
          <w:color w:val="000000"/>
          <w:sz w:val="22"/>
        </w:rPr>
        <w:t xml:space="preserve">el Ministerio de Salud </w:t>
      </w:r>
      <w:r w:rsidR="003D4F73">
        <w:rPr>
          <w:rStyle w:val="normaltextrun"/>
          <w:rFonts w:ascii="Arial" w:hAnsi="Arial" w:cs="Arial"/>
          <w:color w:val="000000"/>
          <w:sz w:val="22"/>
        </w:rPr>
        <w:t>define a</w:t>
      </w:r>
      <w:r w:rsidR="00AD4A1A">
        <w:rPr>
          <w:rStyle w:val="normaltextrun"/>
          <w:rFonts w:ascii="Arial" w:hAnsi="Arial" w:cs="Arial"/>
          <w:color w:val="000000"/>
          <w:sz w:val="22"/>
        </w:rPr>
        <w:t xml:space="preserve"> estas comunidades</w:t>
      </w:r>
      <w:r w:rsidR="003D4F73">
        <w:rPr>
          <w:rStyle w:val="normaltextrun"/>
          <w:rFonts w:ascii="Arial" w:hAnsi="Arial" w:cs="Arial"/>
          <w:color w:val="000000"/>
          <w:sz w:val="22"/>
        </w:rPr>
        <w:t xml:space="preserve"> </w:t>
      </w:r>
      <w:r w:rsidR="00627A39">
        <w:rPr>
          <w:rStyle w:val="normaltextrun"/>
          <w:rFonts w:ascii="Arial" w:hAnsi="Arial" w:cs="Arial"/>
          <w:color w:val="000000"/>
          <w:sz w:val="22"/>
        </w:rPr>
        <w:t>como: «</w:t>
      </w:r>
      <w:r w:rsidR="00627A39" w:rsidRPr="00627A39">
        <w:rPr>
          <w:rStyle w:val="normaltextrun"/>
          <w:rFonts w:ascii="Arial" w:hAnsi="Arial" w:cs="Arial"/>
          <w:color w:val="000000"/>
          <w:sz w:val="22"/>
        </w:rPr>
        <w:t>conjunto de familias de ascendencia amerindia que comparten sentimientos de identificación con su pasado aborigen, manteniendo rasgos y valores propios de su cultura tradicional, así como formas de organización y control social propios que los distinguen de otros grupos étnicos</w:t>
      </w:r>
      <w:r w:rsidR="00AE4588">
        <w:rPr>
          <w:rStyle w:val="normaltextrun"/>
          <w:rFonts w:ascii="Arial" w:hAnsi="Arial" w:cs="Arial"/>
          <w:color w:val="000000"/>
          <w:sz w:val="22"/>
        </w:rPr>
        <w:t>»</w:t>
      </w:r>
      <w:r w:rsidR="00AD4A1A">
        <w:rPr>
          <w:rStyle w:val="Refdenotaalpie"/>
          <w:rFonts w:ascii="Arial" w:hAnsi="Arial" w:cs="Arial"/>
          <w:color w:val="000000"/>
          <w:sz w:val="22"/>
        </w:rPr>
        <w:footnoteReference w:id="12"/>
      </w:r>
      <w:r w:rsidR="00627A39">
        <w:rPr>
          <w:rStyle w:val="normaltextrun"/>
          <w:rFonts w:ascii="Arial" w:hAnsi="Arial" w:cs="Arial"/>
          <w:color w:val="000000"/>
          <w:sz w:val="22"/>
        </w:rPr>
        <w:t>.</w:t>
      </w:r>
    </w:p>
    <w:p w14:paraId="304C1795" w14:textId="0949FAC1" w:rsidR="00EC484C" w:rsidRDefault="00946B8F" w:rsidP="00B2123C">
      <w:pPr>
        <w:spacing w:before="120" w:after="120" w:line="276" w:lineRule="auto"/>
        <w:ind w:firstLine="708"/>
        <w:jc w:val="both"/>
        <w:rPr>
          <w:rStyle w:val="normaltextrun"/>
          <w:rFonts w:ascii="Arial" w:hAnsi="Arial" w:cs="Arial"/>
          <w:color w:val="000000"/>
          <w:sz w:val="22"/>
        </w:rPr>
      </w:pPr>
      <w:r w:rsidRPr="005419DA">
        <w:rPr>
          <w:rFonts w:ascii="Arial" w:eastAsia="Calibri" w:hAnsi="Arial" w:cs="Arial"/>
          <w:color w:val="000000" w:themeColor="text1"/>
          <w:sz w:val="22"/>
          <w:lang w:val="es-ES_tradnl"/>
        </w:rPr>
        <w:t>En cuanto al Pueblo «</w:t>
      </w:r>
      <w:proofErr w:type="spellStart"/>
      <w:r w:rsidRPr="005419DA">
        <w:rPr>
          <w:rFonts w:ascii="Arial" w:eastAsia="Calibri" w:hAnsi="Arial" w:cs="Arial"/>
          <w:color w:val="000000" w:themeColor="text1"/>
          <w:sz w:val="22"/>
          <w:lang w:val="es-ES_tradnl"/>
        </w:rPr>
        <w:t>Rrom</w:t>
      </w:r>
      <w:proofErr w:type="spellEnd"/>
      <w:r w:rsidRPr="005419DA">
        <w:rPr>
          <w:rFonts w:ascii="Arial" w:eastAsia="Calibri" w:hAnsi="Arial" w:cs="Arial"/>
          <w:color w:val="000000" w:themeColor="text1"/>
          <w:sz w:val="22"/>
          <w:lang w:val="es-ES_tradnl"/>
        </w:rPr>
        <w:t xml:space="preserve">» o «gitano» conviene indicar que, de acuerdo con el artículo 6 del Decreto 2957 del 6 de agosto de 2010, «El Estado colombiano reconoce a los Rom o Gitanos como </w:t>
      </w:r>
      <w:r w:rsidRPr="00F32F5A">
        <w:rPr>
          <w:rFonts w:ascii="Arial" w:eastAsia="Calibri" w:hAnsi="Arial" w:cs="Arial"/>
          <w:b/>
          <w:bCs/>
          <w:i/>
          <w:iCs/>
          <w:color w:val="000000" w:themeColor="text1"/>
          <w:sz w:val="22"/>
          <w:lang w:val="es-ES_tradnl"/>
        </w:rPr>
        <w:t>un grupo étnico</w:t>
      </w:r>
      <w:r w:rsidRPr="005419DA">
        <w:rPr>
          <w:rFonts w:ascii="Arial" w:eastAsia="Calibri" w:hAnsi="Arial" w:cs="Arial"/>
          <w:color w:val="000000" w:themeColor="text1"/>
          <w:sz w:val="22"/>
          <w:lang w:val="es-ES_tradnl"/>
        </w:rPr>
        <w:t xml:space="preserve"> con una identidad cultural propia, que mantiene una conciencia étnica particular, que posee su propia forma de organización social, posee su propia lengua y que ha definido históricamente sus propias instituciones políticas y </w:t>
      </w:r>
      <w:r w:rsidRPr="005419DA">
        <w:rPr>
          <w:rFonts w:ascii="Arial" w:eastAsia="Calibri" w:hAnsi="Arial" w:cs="Arial"/>
          <w:color w:val="000000" w:themeColor="text1"/>
          <w:sz w:val="22"/>
          <w:lang w:val="es-ES_tradnl"/>
        </w:rPr>
        <w:lastRenderedPageBreak/>
        <w:t>sociales»</w:t>
      </w:r>
      <w:r w:rsidRPr="005419DA">
        <w:rPr>
          <w:rStyle w:val="Refdenotaalpie"/>
          <w:rFonts w:ascii="Arial" w:eastAsia="Calibri" w:hAnsi="Arial" w:cs="Arial"/>
          <w:color w:val="000000" w:themeColor="text1"/>
          <w:sz w:val="22"/>
          <w:lang w:val="es-ES_tradnl"/>
        </w:rPr>
        <w:footnoteReference w:id="13"/>
      </w:r>
      <w:r w:rsidR="00F32F5A">
        <w:rPr>
          <w:rFonts w:ascii="Arial" w:eastAsia="Calibri" w:hAnsi="Arial" w:cs="Arial"/>
          <w:color w:val="000000" w:themeColor="text1"/>
          <w:sz w:val="22"/>
          <w:lang w:val="es-ES_tradnl"/>
        </w:rPr>
        <w:t xml:space="preserve"> </w:t>
      </w:r>
      <w:r w:rsidR="00C8596C">
        <w:rPr>
          <w:rFonts w:ascii="Arial" w:eastAsia="Calibri" w:hAnsi="Arial" w:cs="Arial"/>
          <w:color w:val="000000" w:themeColor="text1"/>
          <w:sz w:val="22"/>
          <w:lang w:val="es-ES_tradnl"/>
        </w:rPr>
        <w:t xml:space="preserve">. </w:t>
      </w:r>
      <w:r w:rsidR="00B2123C">
        <w:rPr>
          <w:rStyle w:val="normaltextrun"/>
          <w:rFonts w:ascii="Arial" w:hAnsi="Arial" w:cs="Arial"/>
          <w:color w:val="000000"/>
          <w:sz w:val="22"/>
        </w:rPr>
        <w:t>Por su parte</w:t>
      </w:r>
      <w:r w:rsidR="005309AF">
        <w:rPr>
          <w:rStyle w:val="normaltextrun"/>
          <w:rFonts w:ascii="Arial" w:hAnsi="Arial" w:cs="Arial"/>
          <w:color w:val="000000"/>
          <w:sz w:val="22"/>
        </w:rPr>
        <w:t>, la Cor</w:t>
      </w:r>
      <w:r w:rsidR="00EB67A4">
        <w:rPr>
          <w:rStyle w:val="normaltextrun"/>
          <w:rFonts w:ascii="Arial" w:hAnsi="Arial" w:cs="Arial"/>
          <w:color w:val="000000"/>
          <w:sz w:val="22"/>
        </w:rPr>
        <w:t>t</w:t>
      </w:r>
      <w:r w:rsidR="005309AF">
        <w:rPr>
          <w:rStyle w:val="normaltextrun"/>
          <w:rFonts w:ascii="Arial" w:hAnsi="Arial" w:cs="Arial"/>
          <w:color w:val="000000"/>
          <w:sz w:val="22"/>
        </w:rPr>
        <w:t>e Constitucional, en la sentencia C-359 de 2</w:t>
      </w:r>
      <w:r w:rsidR="00821B98">
        <w:rPr>
          <w:rStyle w:val="normaltextrun"/>
          <w:rFonts w:ascii="Arial" w:hAnsi="Arial" w:cs="Arial"/>
          <w:color w:val="000000"/>
          <w:sz w:val="22"/>
        </w:rPr>
        <w:t xml:space="preserve">013, reconoce </w:t>
      </w:r>
      <w:r w:rsidR="0091566C">
        <w:rPr>
          <w:rStyle w:val="normaltextrun"/>
          <w:rFonts w:ascii="Arial" w:hAnsi="Arial" w:cs="Arial"/>
          <w:color w:val="000000"/>
          <w:sz w:val="22"/>
        </w:rPr>
        <w:t xml:space="preserve">que </w:t>
      </w:r>
      <w:r w:rsidR="00DE3980">
        <w:rPr>
          <w:rStyle w:val="normaltextrun"/>
          <w:rFonts w:ascii="Arial" w:hAnsi="Arial" w:cs="Arial"/>
          <w:color w:val="000000"/>
          <w:sz w:val="22"/>
        </w:rPr>
        <w:t xml:space="preserve">el pueblo </w:t>
      </w:r>
      <w:proofErr w:type="spellStart"/>
      <w:r w:rsidR="00DE3980">
        <w:rPr>
          <w:rStyle w:val="normaltextrun"/>
          <w:rFonts w:ascii="Arial" w:hAnsi="Arial" w:cs="Arial"/>
          <w:color w:val="000000"/>
          <w:sz w:val="22"/>
        </w:rPr>
        <w:t>Rrom</w:t>
      </w:r>
      <w:proofErr w:type="spellEnd"/>
      <w:r w:rsidR="00DE3980">
        <w:rPr>
          <w:rStyle w:val="normaltextrun"/>
          <w:rFonts w:ascii="Arial" w:hAnsi="Arial" w:cs="Arial"/>
          <w:color w:val="000000"/>
          <w:sz w:val="22"/>
        </w:rPr>
        <w:t xml:space="preserve"> o Gitano</w:t>
      </w:r>
      <w:r w:rsidR="00613A94">
        <w:rPr>
          <w:rStyle w:val="normaltextrun"/>
          <w:rFonts w:ascii="Arial" w:hAnsi="Arial" w:cs="Arial"/>
          <w:color w:val="000000"/>
          <w:sz w:val="22"/>
        </w:rPr>
        <w:t xml:space="preserve"> en Colombia ostenta una identidad étnica y cultura</w:t>
      </w:r>
      <w:r w:rsidR="00C31EC8">
        <w:rPr>
          <w:rStyle w:val="normaltextrun"/>
          <w:rFonts w:ascii="Arial" w:hAnsi="Arial" w:cs="Arial"/>
          <w:color w:val="000000"/>
          <w:sz w:val="22"/>
        </w:rPr>
        <w:t>l</w:t>
      </w:r>
      <w:r w:rsidR="00613A94">
        <w:rPr>
          <w:rStyle w:val="normaltextrun"/>
          <w:rFonts w:ascii="Arial" w:hAnsi="Arial" w:cs="Arial"/>
          <w:color w:val="000000"/>
          <w:sz w:val="22"/>
        </w:rPr>
        <w:t xml:space="preserve"> que lo </w:t>
      </w:r>
      <w:r w:rsidR="00B83352">
        <w:rPr>
          <w:rStyle w:val="normaltextrun"/>
          <w:rFonts w:ascii="Arial" w:hAnsi="Arial" w:cs="Arial"/>
          <w:color w:val="000000"/>
          <w:sz w:val="22"/>
        </w:rPr>
        <w:t>diferencia de otros pu</w:t>
      </w:r>
      <w:r w:rsidR="0024753D">
        <w:rPr>
          <w:rStyle w:val="normaltextrun"/>
          <w:rFonts w:ascii="Arial" w:hAnsi="Arial" w:cs="Arial"/>
          <w:color w:val="000000"/>
          <w:sz w:val="22"/>
        </w:rPr>
        <w:t>eblos y grupos</w:t>
      </w:r>
      <w:r w:rsidR="00DE6B10">
        <w:rPr>
          <w:rStyle w:val="Refdenotaalpie"/>
          <w:rFonts w:ascii="Arial" w:hAnsi="Arial" w:cs="Arial"/>
          <w:color w:val="000000"/>
          <w:sz w:val="22"/>
        </w:rPr>
        <w:footnoteReference w:id="14"/>
      </w:r>
      <w:r w:rsidR="0024753D">
        <w:rPr>
          <w:rStyle w:val="normaltextrun"/>
          <w:rFonts w:ascii="Arial" w:hAnsi="Arial" w:cs="Arial"/>
          <w:color w:val="000000"/>
          <w:sz w:val="22"/>
        </w:rPr>
        <w:t xml:space="preserve">. </w:t>
      </w:r>
    </w:p>
    <w:p w14:paraId="4BE62C53" w14:textId="0822D2DA" w:rsidR="00BC7C36" w:rsidRDefault="0036174B" w:rsidP="00B2123C">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Finalmente, </w:t>
      </w:r>
      <w:r w:rsidR="00DC1E40">
        <w:rPr>
          <w:rStyle w:val="normaltextrun"/>
          <w:rFonts w:ascii="Arial" w:hAnsi="Arial" w:cs="Arial"/>
          <w:color w:val="000000"/>
          <w:sz w:val="22"/>
        </w:rPr>
        <w:t xml:space="preserve">la Corte Constitucional, en la sentencia </w:t>
      </w:r>
      <w:r w:rsidR="0063680B">
        <w:rPr>
          <w:rStyle w:val="normaltextrun"/>
          <w:rFonts w:ascii="Arial" w:hAnsi="Arial" w:cs="Arial"/>
          <w:color w:val="000000"/>
          <w:sz w:val="22"/>
        </w:rPr>
        <w:t xml:space="preserve">C – 530 de 1993, </w:t>
      </w:r>
      <w:r w:rsidR="00DE4439">
        <w:rPr>
          <w:rStyle w:val="normaltextrun"/>
          <w:rFonts w:ascii="Arial" w:hAnsi="Arial" w:cs="Arial"/>
          <w:color w:val="000000"/>
          <w:sz w:val="22"/>
        </w:rPr>
        <w:t>reconoce que</w:t>
      </w:r>
      <w:r w:rsidR="00AF4195">
        <w:rPr>
          <w:rStyle w:val="normaltextrun"/>
          <w:rFonts w:ascii="Arial" w:hAnsi="Arial" w:cs="Arial"/>
          <w:color w:val="000000"/>
          <w:sz w:val="22"/>
        </w:rPr>
        <w:t>: «</w:t>
      </w:r>
      <w:r w:rsidR="00DE4439">
        <w:rPr>
          <w:rStyle w:val="normaltextrun"/>
          <w:rFonts w:ascii="Arial" w:hAnsi="Arial" w:cs="Arial"/>
          <w:color w:val="000000"/>
          <w:sz w:val="22"/>
        </w:rPr>
        <w:t xml:space="preserve">la </w:t>
      </w:r>
      <w:r w:rsidR="006D4256">
        <w:rPr>
          <w:rStyle w:val="normaltextrun"/>
          <w:rFonts w:ascii="Arial" w:hAnsi="Arial" w:cs="Arial"/>
          <w:color w:val="000000"/>
          <w:sz w:val="22"/>
        </w:rPr>
        <w:t xml:space="preserve">cultura de las personas raizales de las Islas es diferente de la cultura del resto de los colombianos, particularmente en materia de </w:t>
      </w:r>
      <w:r w:rsidR="00A25E4D">
        <w:rPr>
          <w:rStyle w:val="normaltextrun"/>
          <w:rFonts w:ascii="Arial" w:hAnsi="Arial" w:cs="Arial"/>
          <w:color w:val="000000"/>
          <w:sz w:val="22"/>
        </w:rPr>
        <w:t xml:space="preserve">lengua, religión y costumbres, que le confieren al raizal una cierta identidad». </w:t>
      </w:r>
      <w:r w:rsidR="000C4F79">
        <w:rPr>
          <w:rStyle w:val="normaltextrun"/>
          <w:rFonts w:ascii="Arial" w:hAnsi="Arial" w:cs="Arial"/>
          <w:color w:val="000000"/>
          <w:sz w:val="22"/>
        </w:rPr>
        <w:t xml:space="preserve">En este sentido, a partir de esta sentencia </w:t>
      </w:r>
      <w:r w:rsidR="00E332A5">
        <w:rPr>
          <w:rStyle w:val="normaltextrun"/>
          <w:rFonts w:ascii="Arial" w:hAnsi="Arial" w:cs="Arial"/>
          <w:color w:val="000000"/>
          <w:sz w:val="22"/>
        </w:rPr>
        <w:t>se protege la identidad cultural de la comunidad raizal</w:t>
      </w:r>
      <w:r w:rsidR="00AB4397">
        <w:rPr>
          <w:rStyle w:val="normaltextrun"/>
          <w:rFonts w:ascii="Arial" w:hAnsi="Arial" w:cs="Arial"/>
          <w:color w:val="000000"/>
          <w:sz w:val="22"/>
        </w:rPr>
        <w:t>.</w:t>
      </w:r>
    </w:p>
    <w:p w14:paraId="08B7A6D4" w14:textId="02688EFC" w:rsidR="009672A5" w:rsidRDefault="00AE601E" w:rsidP="00EC70D2">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Por lo anterior</w:t>
      </w:r>
      <w:r w:rsidR="00250D34">
        <w:rPr>
          <w:rStyle w:val="normaltextrun"/>
          <w:rFonts w:ascii="Arial" w:hAnsi="Arial" w:cs="Arial"/>
          <w:color w:val="000000"/>
          <w:sz w:val="22"/>
        </w:rPr>
        <w:t>, para responder a su inquietud</w:t>
      </w:r>
      <w:r w:rsidR="007B6D6A">
        <w:rPr>
          <w:rStyle w:val="normaltextrun"/>
          <w:rFonts w:ascii="Arial" w:hAnsi="Arial" w:cs="Arial"/>
          <w:color w:val="000000"/>
          <w:sz w:val="22"/>
        </w:rPr>
        <w:t xml:space="preserve"> </w:t>
      </w:r>
      <w:r w:rsidR="003F5158">
        <w:rPr>
          <w:rStyle w:val="normaltextrun"/>
          <w:rFonts w:ascii="Arial" w:hAnsi="Arial" w:cs="Arial"/>
          <w:color w:val="000000"/>
          <w:sz w:val="22"/>
        </w:rPr>
        <w:t xml:space="preserve">pertenecen a las </w:t>
      </w:r>
      <w:r w:rsidR="00250D34">
        <w:rPr>
          <w:rStyle w:val="normaltextrun"/>
          <w:rFonts w:ascii="Arial" w:hAnsi="Arial" w:cs="Arial"/>
          <w:color w:val="000000"/>
          <w:sz w:val="22"/>
        </w:rPr>
        <w:t>comunidades étnicas</w:t>
      </w:r>
      <w:r w:rsidR="003F5158">
        <w:rPr>
          <w:rStyle w:val="normaltextrun"/>
          <w:rFonts w:ascii="Arial" w:hAnsi="Arial" w:cs="Arial"/>
          <w:color w:val="000000"/>
          <w:sz w:val="22"/>
        </w:rPr>
        <w:t xml:space="preserve">: i) los afrodescendientes, </w:t>
      </w:r>
      <w:proofErr w:type="spellStart"/>
      <w:r w:rsidR="003F5158">
        <w:rPr>
          <w:rStyle w:val="normaltextrun"/>
          <w:rFonts w:ascii="Arial" w:hAnsi="Arial" w:cs="Arial"/>
          <w:color w:val="000000"/>
          <w:sz w:val="22"/>
        </w:rPr>
        <w:t>ii</w:t>
      </w:r>
      <w:proofErr w:type="spellEnd"/>
      <w:r w:rsidR="003F5158">
        <w:rPr>
          <w:rStyle w:val="normaltextrun"/>
          <w:rFonts w:ascii="Arial" w:hAnsi="Arial" w:cs="Arial"/>
          <w:color w:val="000000"/>
          <w:sz w:val="22"/>
        </w:rPr>
        <w:t xml:space="preserve">) la población indígena, </w:t>
      </w:r>
      <w:proofErr w:type="spellStart"/>
      <w:r w:rsidR="003F5158">
        <w:rPr>
          <w:rStyle w:val="normaltextrun"/>
          <w:rFonts w:ascii="Arial" w:hAnsi="Arial" w:cs="Arial"/>
          <w:color w:val="000000"/>
          <w:sz w:val="22"/>
        </w:rPr>
        <w:t>iii</w:t>
      </w:r>
      <w:proofErr w:type="spellEnd"/>
      <w:r w:rsidR="003F5158">
        <w:rPr>
          <w:rStyle w:val="normaltextrun"/>
          <w:rFonts w:ascii="Arial" w:hAnsi="Arial" w:cs="Arial"/>
          <w:color w:val="000000"/>
          <w:sz w:val="22"/>
        </w:rPr>
        <w:t xml:space="preserve">) los </w:t>
      </w:r>
      <w:proofErr w:type="spellStart"/>
      <w:r w:rsidR="003F5158">
        <w:rPr>
          <w:rStyle w:val="normaltextrun"/>
          <w:rFonts w:ascii="Arial" w:hAnsi="Arial" w:cs="Arial"/>
          <w:color w:val="000000"/>
          <w:sz w:val="22"/>
        </w:rPr>
        <w:t>Rrom</w:t>
      </w:r>
      <w:proofErr w:type="spellEnd"/>
      <w:r w:rsidR="003F5158">
        <w:rPr>
          <w:rStyle w:val="normaltextrun"/>
          <w:rFonts w:ascii="Arial" w:hAnsi="Arial" w:cs="Arial"/>
          <w:color w:val="000000"/>
          <w:sz w:val="22"/>
        </w:rPr>
        <w:t xml:space="preserve"> o </w:t>
      </w:r>
      <w:r w:rsidR="007C5BE8">
        <w:rPr>
          <w:rStyle w:val="normaltextrun"/>
          <w:rFonts w:ascii="Arial" w:hAnsi="Arial" w:cs="Arial"/>
          <w:color w:val="000000"/>
          <w:sz w:val="22"/>
        </w:rPr>
        <w:t xml:space="preserve">gitanos y </w:t>
      </w:r>
      <w:proofErr w:type="spellStart"/>
      <w:r w:rsidR="007C5BE8">
        <w:rPr>
          <w:rStyle w:val="normaltextrun"/>
          <w:rFonts w:ascii="Arial" w:hAnsi="Arial" w:cs="Arial"/>
          <w:color w:val="000000"/>
          <w:sz w:val="22"/>
        </w:rPr>
        <w:t>iv</w:t>
      </w:r>
      <w:proofErr w:type="spellEnd"/>
      <w:r w:rsidR="007C5BE8">
        <w:rPr>
          <w:rStyle w:val="normaltextrun"/>
          <w:rFonts w:ascii="Arial" w:hAnsi="Arial" w:cs="Arial"/>
          <w:color w:val="000000"/>
          <w:sz w:val="22"/>
        </w:rPr>
        <w:t>) los raizales</w:t>
      </w:r>
      <w:r w:rsidR="008F7854">
        <w:rPr>
          <w:rStyle w:val="normaltextrun"/>
          <w:rFonts w:ascii="Arial" w:hAnsi="Arial" w:cs="Arial"/>
          <w:color w:val="000000"/>
          <w:sz w:val="22"/>
        </w:rPr>
        <w:t>;</w:t>
      </w:r>
      <w:r w:rsidR="00250D34">
        <w:rPr>
          <w:rStyle w:val="normaltextrun"/>
          <w:rFonts w:ascii="Arial" w:hAnsi="Arial" w:cs="Arial"/>
          <w:color w:val="000000"/>
          <w:sz w:val="22"/>
        </w:rPr>
        <w:t xml:space="preserve"> </w:t>
      </w:r>
      <w:r w:rsidR="008F7854">
        <w:rPr>
          <w:rStyle w:val="normaltextrun"/>
          <w:rFonts w:ascii="Arial" w:hAnsi="Arial" w:cs="Arial"/>
          <w:color w:val="000000"/>
          <w:sz w:val="22"/>
        </w:rPr>
        <w:t>s</w:t>
      </w:r>
      <w:r w:rsidR="009A1C52">
        <w:rPr>
          <w:rStyle w:val="normaltextrun"/>
          <w:rFonts w:ascii="Arial" w:hAnsi="Arial" w:cs="Arial"/>
          <w:color w:val="000000"/>
          <w:sz w:val="22"/>
        </w:rPr>
        <w:t xml:space="preserve">in perjuicio de los demás grupos étnicos que se identifiquen con posterioridad </w:t>
      </w:r>
      <w:r w:rsidR="009F5204">
        <w:rPr>
          <w:rStyle w:val="normaltextrun"/>
          <w:rFonts w:ascii="Arial" w:hAnsi="Arial" w:cs="Arial"/>
          <w:color w:val="000000"/>
          <w:sz w:val="22"/>
        </w:rPr>
        <w:t xml:space="preserve">en </w:t>
      </w:r>
      <w:r w:rsidR="009A1C52">
        <w:rPr>
          <w:rStyle w:val="normaltextrun"/>
          <w:rFonts w:ascii="Arial" w:hAnsi="Arial" w:cs="Arial"/>
          <w:color w:val="000000"/>
          <w:sz w:val="22"/>
        </w:rPr>
        <w:t xml:space="preserve">otra norma o </w:t>
      </w:r>
      <w:r w:rsidR="00EC70D2">
        <w:rPr>
          <w:rStyle w:val="normaltextrun"/>
          <w:rFonts w:ascii="Arial" w:hAnsi="Arial" w:cs="Arial"/>
          <w:color w:val="000000"/>
          <w:sz w:val="22"/>
        </w:rPr>
        <w:t xml:space="preserve">por parte de </w:t>
      </w:r>
      <w:r w:rsidR="009A1C52">
        <w:rPr>
          <w:rStyle w:val="normaltextrun"/>
          <w:rFonts w:ascii="Arial" w:hAnsi="Arial" w:cs="Arial"/>
          <w:color w:val="000000"/>
          <w:sz w:val="22"/>
        </w:rPr>
        <w:t xml:space="preserve">la Corte </w:t>
      </w:r>
      <w:r w:rsidR="00EF73E3">
        <w:rPr>
          <w:rStyle w:val="normaltextrun"/>
          <w:rFonts w:ascii="Arial" w:hAnsi="Arial" w:cs="Arial"/>
          <w:color w:val="000000"/>
          <w:sz w:val="22"/>
        </w:rPr>
        <w:t xml:space="preserve">Constitucional. </w:t>
      </w:r>
    </w:p>
    <w:p w14:paraId="3B9E03F5" w14:textId="2C8158CA" w:rsidR="008F6CF5" w:rsidRDefault="00483957" w:rsidP="009672A5">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Identificad</w:t>
      </w:r>
      <w:r w:rsidR="00CF4D52">
        <w:rPr>
          <w:rStyle w:val="normaltextrun"/>
          <w:rFonts w:ascii="Arial" w:hAnsi="Arial" w:cs="Arial"/>
          <w:color w:val="000000"/>
          <w:sz w:val="22"/>
        </w:rPr>
        <w:t>o quienes pertenecen a los grupos étnicos, surge el siguiente interrogante: ¿</w:t>
      </w:r>
      <w:r w:rsidR="00FC7489">
        <w:rPr>
          <w:rStyle w:val="normaltextrun"/>
          <w:rFonts w:ascii="Arial" w:hAnsi="Arial" w:cs="Arial"/>
          <w:color w:val="000000"/>
          <w:sz w:val="22"/>
        </w:rPr>
        <w:t xml:space="preserve">estas comunidades </w:t>
      </w:r>
      <w:r w:rsidR="00C31EC8">
        <w:rPr>
          <w:rStyle w:val="normaltextrun"/>
          <w:rFonts w:ascii="Arial" w:hAnsi="Arial" w:cs="Arial"/>
          <w:color w:val="000000"/>
          <w:sz w:val="22"/>
        </w:rPr>
        <w:t xml:space="preserve">directamente </w:t>
      </w:r>
      <w:r w:rsidR="00FC7489">
        <w:rPr>
          <w:rStyle w:val="normaltextrun"/>
          <w:rFonts w:ascii="Arial" w:hAnsi="Arial" w:cs="Arial"/>
          <w:color w:val="000000"/>
          <w:sz w:val="22"/>
        </w:rPr>
        <w:t xml:space="preserve">tienen la capacidad para celebrar un contrato con una Entidad Estatal? </w:t>
      </w:r>
      <w:r w:rsidR="00CF4D52">
        <w:rPr>
          <w:rStyle w:val="normaltextrun"/>
          <w:rFonts w:ascii="Arial" w:hAnsi="Arial" w:cs="Arial"/>
          <w:color w:val="000000"/>
          <w:sz w:val="22"/>
        </w:rPr>
        <w:t xml:space="preserve"> </w:t>
      </w:r>
      <w:r w:rsidR="00FC7489">
        <w:rPr>
          <w:rStyle w:val="normaltextrun"/>
          <w:rFonts w:ascii="Arial" w:hAnsi="Arial" w:cs="Arial"/>
          <w:color w:val="000000"/>
          <w:sz w:val="22"/>
        </w:rPr>
        <w:t xml:space="preserve">Al respecto, es importante </w:t>
      </w:r>
      <w:r w:rsidR="00C96890">
        <w:rPr>
          <w:rStyle w:val="normaltextrun"/>
          <w:rFonts w:ascii="Arial" w:hAnsi="Arial" w:cs="Arial"/>
          <w:color w:val="000000"/>
          <w:sz w:val="22"/>
        </w:rPr>
        <w:t xml:space="preserve">resaltar </w:t>
      </w:r>
      <w:r w:rsidR="00FC7489">
        <w:rPr>
          <w:rStyle w:val="normaltextrun"/>
          <w:rFonts w:ascii="Arial" w:hAnsi="Arial" w:cs="Arial"/>
          <w:color w:val="000000"/>
          <w:sz w:val="22"/>
        </w:rPr>
        <w:t>q</w:t>
      </w:r>
      <w:r w:rsidR="007F5034">
        <w:rPr>
          <w:rStyle w:val="normaltextrun"/>
          <w:rFonts w:ascii="Arial" w:hAnsi="Arial" w:cs="Arial"/>
          <w:color w:val="000000"/>
          <w:sz w:val="22"/>
        </w:rPr>
        <w:t>ue</w:t>
      </w:r>
      <w:r w:rsidR="004B3DF3">
        <w:rPr>
          <w:rStyle w:val="normaltextrun"/>
          <w:rFonts w:ascii="Arial" w:hAnsi="Arial" w:cs="Arial"/>
          <w:color w:val="000000"/>
          <w:sz w:val="22"/>
        </w:rPr>
        <w:t>, el Congreso de la República</w:t>
      </w:r>
      <w:r w:rsidR="006A17DA">
        <w:rPr>
          <w:rStyle w:val="normaltextrun"/>
          <w:rFonts w:ascii="Arial" w:hAnsi="Arial" w:cs="Arial"/>
          <w:color w:val="000000"/>
          <w:sz w:val="22"/>
        </w:rPr>
        <w:t xml:space="preserve"> expidió la Ley 2160 de 2021, por la cu</w:t>
      </w:r>
      <w:r w:rsidR="002F58C2">
        <w:rPr>
          <w:rStyle w:val="normaltextrun"/>
          <w:rFonts w:ascii="Arial" w:hAnsi="Arial" w:cs="Arial"/>
          <w:color w:val="000000"/>
          <w:sz w:val="22"/>
        </w:rPr>
        <w:t xml:space="preserve">al se modifica </w:t>
      </w:r>
      <w:r w:rsidR="003649B1">
        <w:rPr>
          <w:rStyle w:val="normaltextrun"/>
          <w:rFonts w:ascii="Arial" w:hAnsi="Arial" w:cs="Arial"/>
          <w:color w:val="000000"/>
          <w:sz w:val="22"/>
        </w:rPr>
        <w:t>la Ley 80 de 1993</w:t>
      </w:r>
      <w:r w:rsidR="00924E87">
        <w:rPr>
          <w:rStyle w:val="normaltextrun"/>
          <w:rFonts w:ascii="Arial" w:hAnsi="Arial" w:cs="Arial"/>
          <w:color w:val="000000"/>
          <w:sz w:val="22"/>
        </w:rPr>
        <w:t xml:space="preserve"> y la Ley 1150 de 2007</w:t>
      </w:r>
      <w:r w:rsidR="009A4B3C">
        <w:rPr>
          <w:rStyle w:val="normaltextrun"/>
          <w:rFonts w:ascii="Arial" w:hAnsi="Arial" w:cs="Arial"/>
          <w:color w:val="000000"/>
          <w:sz w:val="22"/>
        </w:rPr>
        <w:t xml:space="preserve">. Esta norma tuvo como propósito principal </w:t>
      </w:r>
      <w:r w:rsidR="008B0357">
        <w:rPr>
          <w:rStyle w:val="normaltextrun"/>
          <w:rFonts w:ascii="Arial" w:hAnsi="Arial" w:cs="Arial"/>
          <w:color w:val="000000"/>
          <w:sz w:val="22"/>
        </w:rPr>
        <w:t>otorgar</w:t>
      </w:r>
      <w:r w:rsidR="00924E87">
        <w:rPr>
          <w:rStyle w:val="normaltextrun"/>
          <w:rFonts w:ascii="Arial" w:hAnsi="Arial" w:cs="Arial"/>
          <w:color w:val="000000"/>
          <w:sz w:val="22"/>
        </w:rPr>
        <w:t xml:space="preserve"> </w:t>
      </w:r>
      <w:r w:rsidR="00A731BE">
        <w:rPr>
          <w:rStyle w:val="normaltextrun"/>
          <w:rFonts w:ascii="Arial" w:hAnsi="Arial" w:cs="Arial"/>
          <w:color w:val="000000"/>
          <w:sz w:val="22"/>
        </w:rPr>
        <w:t xml:space="preserve">capacidad </w:t>
      </w:r>
      <w:r w:rsidR="00C31EC8">
        <w:rPr>
          <w:rStyle w:val="normaltextrun"/>
          <w:rFonts w:ascii="Arial" w:hAnsi="Arial" w:cs="Arial"/>
          <w:color w:val="000000"/>
          <w:sz w:val="22"/>
        </w:rPr>
        <w:t xml:space="preserve">contractual </w:t>
      </w:r>
      <w:r w:rsidR="00A731BE">
        <w:rPr>
          <w:rStyle w:val="normaltextrun"/>
          <w:rFonts w:ascii="Arial" w:hAnsi="Arial" w:cs="Arial"/>
          <w:color w:val="000000"/>
          <w:sz w:val="22"/>
        </w:rPr>
        <w:t>a</w:t>
      </w:r>
      <w:r w:rsidR="008B0357">
        <w:rPr>
          <w:rStyle w:val="normaltextrun"/>
          <w:rFonts w:ascii="Arial" w:hAnsi="Arial" w:cs="Arial"/>
          <w:color w:val="000000"/>
          <w:sz w:val="22"/>
        </w:rPr>
        <w:t xml:space="preserve"> los cabildos indígenas </w:t>
      </w:r>
      <w:r w:rsidR="00A731BE">
        <w:rPr>
          <w:rStyle w:val="normaltextrun"/>
          <w:rFonts w:ascii="Arial" w:hAnsi="Arial" w:cs="Arial"/>
          <w:color w:val="000000"/>
          <w:sz w:val="22"/>
        </w:rPr>
        <w:t xml:space="preserve">para celebrar contratos </w:t>
      </w:r>
      <w:r w:rsidR="00BF50C3">
        <w:rPr>
          <w:rStyle w:val="normaltextrun"/>
          <w:rFonts w:ascii="Arial" w:hAnsi="Arial" w:cs="Arial"/>
          <w:color w:val="000000"/>
          <w:sz w:val="22"/>
        </w:rPr>
        <w:t>con entidades estatales y, además, autoriza</w:t>
      </w:r>
      <w:r w:rsidR="005473CA">
        <w:rPr>
          <w:rStyle w:val="normaltextrun"/>
          <w:rFonts w:ascii="Arial" w:hAnsi="Arial" w:cs="Arial"/>
          <w:color w:val="000000"/>
          <w:sz w:val="22"/>
        </w:rPr>
        <w:t>r a las entidades del Estado la suscripción de negocios jurídicos de forma directa con esta forma de gobierno indígena</w:t>
      </w:r>
      <w:r w:rsidR="00924E87">
        <w:rPr>
          <w:rStyle w:val="Refdenotaalpie"/>
          <w:rFonts w:ascii="Arial" w:hAnsi="Arial" w:cs="Arial"/>
          <w:color w:val="000000"/>
          <w:sz w:val="22"/>
        </w:rPr>
        <w:footnoteReference w:id="15"/>
      </w:r>
      <w:r w:rsidR="00757BE3">
        <w:rPr>
          <w:rStyle w:val="normaltextrun"/>
          <w:rFonts w:ascii="Arial" w:hAnsi="Arial" w:cs="Arial"/>
          <w:color w:val="000000"/>
          <w:sz w:val="22"/>
        </w:rPr>
        <w:t>.</w:t>
      </w:r>
    </w:p>
    <w:p w14:paraId="5DE46948" w14:textId="09D8D6ED" w:rsidR="00757BE3" w:rsidRDefault="00757BE3" w:rsidP="006E42AF">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lastRenderedPageBreak/>
        <w:t>De esta manera, en el a</w:t>
      </w:r>
      <w:r w:rsidR="004F340C">
        <w:rPr>
          <w:rStyle w:val="normaltextrun"/>
          <w:rFonts w:ascii="Arial" w:hAnsi="Arial" w:cs="Arial"/>
          <w:color w:val="000000"/>
          <w:sz w:val="22"/>
        </w:rPr>
        <w:t xml:space="preserve">rtículo </w:t>
      </w:r>
      <w:r w:rsidR="007A6C80">
        <w:rPr>
          <w:rStyle w:val="normaltextrun"/>
          <w:rFonts w:ascii="Arial" w:hAnsi="Arial" w:cs="Arial"/>
          <w:color w:val="000000"/>
          <w:sz w:val="22"/>
        </w:rPr>
        <w:t>1 de la Ley 2160 de 2021</w:t>
      </w:r>
      <w:r w:rsidR="00DF3BB3">
        <w:rPr>
          <w:rStyle w:val="normaltextrun"/>
          <w:rFonts w:ascii="Arial" w:hAnsi="Arial" w:cs="Arial"/>
          <w:color w:val="000000"/>
          <w:sz w:val="22"/>
        </w:rPr>
        <w:t xml:space="preserve">, por la cual se modificó el artículo 6 de la Ley 80 de 1993, </w:t>
      </w:r>
      <w:r w:rsidR="008C27B3">
        <w:rPr>
          <w:rStyle w:val="normaltextrun"/>
          <w:rFonts w:ascii="Arial" w:hAnsi="Arial" w:cs="Arial"/>
          <w:color w:val="000000"/>
          <w:sz w:val="22"/>
        </w:rPr>
        <w:t xml:space="preserve">establece que </w:t>
      </w:r>
      <w:r w:rsidR="00F776C0">
        <w:rPr>
          <w:rStyle w:val="normaltextrun"/>
          <w:rFonts w:ascii="Arial" w:hAnsi="Arial" w:cs="Arial"/>
          <w:color w:val="000000"/>
          <w:sz w:val="22"/>
        </w:rPr>
        <w:t>tienen capacidad para celebrar contratos con las entidades estatales</w:t>
      </w:r>
      <w:r w:rsidR="00CD0E82">
        <w:rPr>
          <w:rStyle w:val="normaltextrun"/>
          <w:rFonts w:ascii="Arial" w:hAnsi="Arial" w:cs="Arial"/>
          <w:color w:val="000000"/>
          <w:sz w:val="22"/>
        </w:rPr>
        <w:t>: i) los ca</w:t>
      </w:r>
      <w:r w:rsidR="00D97A3B">
        <w:rPr>
          <w:rStyle w:val="normaltextrun"/>
          <w:rFonts w:ascii="Arial" w:hAnsi="Arial" w:cs="Arial"/>
          <w:color w:val="000000"/>
          <w:sz w:val="22"/>
        </w:rPr>
        <w:t xml:space="preserve">bildos indígenas, </w:t>
      </w:r>
      <w:proofErr w:type="spellStart"/>
      <w:r w:rsidR="00D97A3B">
        <w:rPr>
          <w:rStyle w:val="normaltextrun"/>
          <w:rFonts w:ascii="Arial" w:hAnsi="Arial" w:cs="Arial"/>
          <w:color w:val="000000"/>
          <w:sz w:val="22"/>
        </w:rPr>
        <w:t>ii</w:t>
      </w:r>
      <w:proofErr w:type="spellEnd"/>
      <w:r w:rsidR="00D97A3B">
        <w:rPr>
          <w:rStyle w:val="normaltextrun"/>
          <w:rFonts w:ascii="Arial" w:hAnsi="Arial" w:cs="Arial"/>
          <w:color w:val="000000"/>
          <w:sz w:val="22"/>
        </w:rPr>
        <w:t xml:space="preserve">) las asociaciones de Autoridades </w:t>
      </w:r>
      <w:r w:rsidR="00F471B8">
        <w:rPr>
          <w:rStyle w:val="normaltextrun"/>
          <w:rFonts w:ascii="Arial" w:hAnsi="Arial" w:cs="Arial"/>
          <w:color w:val="000000"/>
          <w:sz w:val="22"/>
        </w:rPr>
        <w:t xml:space="preserve">Tradicionales Indígenas y, </w:t>
      </w:r>
      <w:proofErr w:type="spellStart"/>
      <w:r w:rsidR="00F471B8">
        <w:rPr>
          <w:rStyle w:val="normaltextrun"/>
          <w:rFonts w:ascii="Arial" w:hAnsi="Arial" w:cs="Arial"/>
          <w:color w:val="000000"/>
          <w:sz w:val="22"/>
        </w:rPr>
        <w:t>iii</w:t>
      </w:r>
      <w:proofErr w:type="spellEnd"/>
      <w:r w:rsidR="00F471B8">
        <w:rPr>
          <w:rStyle w:val="normaltextrun"/>
          <w:rFonts w:ascii="Arial" w:hAnsi="Arial" w:cs="Arial"/>
          <w:color w:val="000000"/>
          <w:sz w:val="22"/>
        </w:rPr>
        <w:t>) los consejos comunitarios de las comunidades negras regulados por la Ley 70 de 1993</w:t>
      </w:r>
      <w:r w:rsidR="002B0CE4">
        <w:rPr>
          <w:rStyle w:val="Refdenotaalpie"/>
          <w:rFonts w:ascii="Arial" w:hAnsi="Arial" w:cs="Arial"/>
          <w:color w:val="000000"/>
          <w:sz w:val="22"/>
        </w:rPr>
        <w:footnoteReference w:id="16"/>
      </w:r>
      <w:r w:rsidR="00D57F67">
        <w:rPr>
          <w:rStyle w:val="normaltextrun"/>
          <w:rFonts w:ascii="Arial" w:hAnsi="Arial" w:cs="Arial"/>
          <w:color w:val="000000"/>
          <w:sz w:val="22"/>
        </w:rPr>
        <w:t xml:space="preserve">. </w:t>
      </w:r>
      <w:r w:rsidR="00C31405">
        <w:rPr>
          <w:rStyle w:val="normaltextrun"/>
          <w:rFonts w:ascii="Arial" w:hAnsi="Arial" w:cs="Arial"/>
          <w:color w:val="000000"/>
          <w:sz w:val="22"/>
        </w:rPr>
        <w:t xml:space="preserve">Por su parte, esta norma </w:t>
      </w:r>
      <w:r w:rsidR="001F2735">
        <w:rPr>
          <w:rStyle w:val="normaltextrun"/>
          <w:rFonts w:ascii="Arial" w:hAnsi="Arial" w:cs="Arial"/>
          <w:color w:val="000000"/>
          <w:sz w:val="22"/>
        </w:rPr>
        <w:t xml:space="preserve">también faculta a las </w:t>
      </w:r>
      <w:r w:rsidR="00DC19E8">
        <w:rPr>
          <w:rStyle w:val="normaltextrun"/>
          <w:rFonts w:ascii="Arial" w:hAnsi="Arial" w:cs="Arial"/>
          <w:color w:val="000000"/>
          <w:sz w:val="22"/>
        </w:rPr>
        <w:t xml:space="preserve">organizaciones </w:t>
      </w:r>
      <w:r w:rsidR="00C31EC8">
        <w:rPr>
          <w:rStyle w:val="normaltextrun"/>
          <w:rFonts w:ascii="Arial" w:hAnsi="Arial" w:cs="Arial"/>
          <w:color w:val="000000"/>
          <w:sz w:val="22"/>
        </w:rPr>
        <w:t xml:space="preserve">de base de comunidades </w:t>
      </w:r>
      <w:r w:rsidR="00AC1C7A">
        <w:rPr>
          <w:rStyle w:val="normaltextrun"/>
          <w:rFonts w:ascii="Arial" w:hAnsi="Arial" w:cs="Arial"/>
          <w:color w:val="000000"/>
          <w:sz w:val="22"/>
        </w:rPr>
        <w:t>negras, afrocolombianas, raizales y palenqueras y las demás formas y expresiones organizativos que cuenten con diez (10)</w:t>
      </w:r>
      <w:r w:rsidR="000E6EBE">
        <w:rPr>
          <w:rStyle w:val="normaltextrun"/>
          <w:rFonts w:ascii="Arial" w:hAnsi="Arial" w:cs="Arial"/>
          <w:color w:val="000000"/>
          <w:sz w:val="22"/>
        </w:rPr>
        <w:t xml:space="preserve"> años o más de haber sido incorporados por el Ministerio de Interior en el correspondiente Registro Público Único Nacional y </w:t>
      </w:r>
      <w:r w:rsidR="00696364">
        <w:rPr>
          <w:rStyle w:val="normaltextrun"/>
          <w:rFonts w:ascii="Arial" w:hAnsi="Arial" w:cs="Arial"/>
          <w:color w:val="000000"/>
          <w:sz w:val="22"/>
        </w:rPr>
        <w:t xml:space="preserve">que hayan cumplido </w:t>
      </w:r>
      <w:r w:rsidR="002B0CE4">
        <w:rPr>
          <w:rStyle w:val="normaltextrun"/>
          <w:rFonts w:ascii="Arial" w:hAnsi="Arial" w:cs="Arial"/>
          <w:color w:val="000000"/>
          <w:sz w:val="22"/>
        </w:rPr>
        <w:t>con el deber de actualización</w:t>
      </w:r>
      <w:r w:rsidR="0056423F">
        <w:rPr>
          <w:rStyle w:val="Refdenotaalpie"/>
          <w:rFonts w:ascii="Arial" w:hAnsi="Arial" w:cs="Arial"/>
          <w:color w:val="000000"/>
          <w:sz w:val="22"/>
        </w:rPr>
        <w:footnoteReference w:id="17"/>
      </w:r>
      <w:r w:rsidR="002B0CE4">
        <w:rPr>
          <w:rStyle w:val="normaltextrun"/>
          <w:rFonts w:ascii="Arial" w:hAnsi="Arial" w:cs="Arial"/>
          <w:color w:val="000000"/>
          <w:sz w:val="22"/>
        </w:rPr>
        <w:t xml:space="preserve"> </w:t>
      </w:r>
      <w:r w:rsidR="00087944">
        <w:rPr>
          <w:rStyle w:val="normaltextrun"/>
          <w:rFonts w:ascii="Arial" w:hAnsi="Arial" w:cs="Arial"/>
          <w:color w:val="000000"/>
          <w:sz w:val="22"/>
        </w:rPr>
        <w:t>.</w:t>
      </w:r>
    </w:p>
    <w:p w14:paraId="0DD96E84" w14:textId="5DC1A0BA" w:rsidR="00836DB5" w:rsidRDefault="00087944" w:rsidP="00446A49">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En este sentido, a partir de la expedición de la Ley 2160 de 2021</w:t>
      </w:r>
      <w:r w:rsidR="006E42AF">
        <w:rPr>
          <w:rStyle w:val="normaltextrun"/>
          <w:rFonts w:ascii="Arial" w:hAnsi="Arial" w:cs="Arial"/>
          <w:color w:val="000000"/>
          <w:sz w:val="22"/>
        </w:rPr>
        <w:t xml:space="preserve"> se amplía la facultad de celebrar contratos con entidades </w:t>
      </w:r>
      <w:r w:rsidR="00535BCC">
        <w:rPr>
          <w:rStyle w:val="normaltextrun"/>
          <w:rFonts w:ascii="Arial" w:hAnsi="Arial" w:cs="Arial"/>
          <w:color w:val="000000"/>
          <w:sz w:val="22"/>
        </w:rPr>
        <w:t xml:space="preserve">estatales a </w:t>
      </w:r>
      <w:r w:rsidR="00C31EC8">
        <w:rPr>
          <w:rStyle w:val="normaltextrun"/>
          <w:rFonts w:ascii="Arial" w:hAnsi="Arial" w:cs="Arial"/>
          <w:color w:val="000000"/>
          <w:sz w:val="22"/>
        </w:rPr>
        <w:t>determinada</w:t>
      </w:r>
      <w:r w:rsidR="001E0B56">
        <w:rPr>
          <w:rStyle w:val="normaltextrun"/>
          <w:rFonts w:ascii="Arial" w:hAnsi="Arial" w:cs="Arial"/>
          <w:color w:val="000000"/>
          <w:sz w:val="22"/>
        </w:rPr>
        <w:t>s</w:t>
      </w:r>
      <w:r w:rsidR="00C31EC8">
        <w:rPr>
          <w:rStyle w:val="normaltextrun"/>
          <w:rFonts w:ascii="Arial" w:hAnsi="Arial" w:cs="Arial"/>
          <w:color w:val="000000"/>
          <w:sz w:val="22"/>
        </w:rPr>
        <w:t xml:space="preserve"> </w:t>
      </w:r>
      <w:r w:rsidR="001E0B56">
        <w:rPr>
          <w:rStyle w:val="normaltextrun"/>
          <w:rFonts w:ascii="Arial" w:hAnsi="Arial" w:cs="Arial"/>
          <w:color w:val="000000"/>
          <w:sz w:val="22"/>
        </w:rPr>
        <w:t xml:space="preserve">comunidades </w:t>
      </w:r>
      <w:r w:rsidR="00F36602">
        <w:rPr>
          <w:rStyle w:val="normaltextrun"/>
          <w:rFonts w:ascii="Arial" w:hAnsi="Arial" w:cs="Arial"/>
          <w:color w:val="000000"/>
          <w:sz w:val="22"/>
        </w:rPr>
        <w:t>indígena</w:t>
      </w:r>
      <w:r w:rsidR="001E0B56">
        <w:rPr>
          <w:rStyle w:val="normaltextrun"/>
          <w:rFonts w:ascii="Arial" w:hAnsi="Arial" w:cs="Arial"/>
          <w:color w:val="000000"/>
          <w:sz w:val="22"/>
        </w:rPr>
        <w:t>s</w:t>
      </w:r>
      <w:r w:rsidR="00F36602">
        <w:rPr>
          <w:rStyle w:val="normaltextrun"/>
          <w:rFonts w:ascii="Arial" w:hAnsi="Arial" w:cs="Arial"/>
          <w:color w:val="000000"/>
          <w:sz w:val="22"/>
        </w:rPr>
        <w:t xml:space="preserve"> y a las comunidades afrodescendientes, particularmente</w:t>
      </w:r>
      <w:r w:rsidR="00D5094F">
        <w:rPr>
          <w:rStyle w:val="normaltextrun"/>
          <w:rFonts w:ascii="Arial" w:hAnsi="Arial" w:cs="Arial"/>
          <w:color w:val="000000"/>
          <w:sz w:val="22"/>
        </w:rPr>
        <w:t>,</w:t>
      </w:r>
      <w:r w:rsidR="00F36602">
        <w:rPr>
          <w:rStyle w:val="normaltextrun"/>
          <w:rFonts w:ascii="Arial" w:hAnsi="Arial" w:cs="Arial"/>
          <w:color w:val="000000"/>
          <w:sz w:val="22"/>
        </w:rPr>
        <w:t xml:space="preserve"> </w:t>
      </w:r>
      <w:r w:rsidR="000439A8">
        <w:rPr>
          <w:rStyle w:val="normaltextrun"/>
          <w:rFonts w:ascii="Arial" w:hAnsi="Arial" w:cs="Arial"/>
          <w:color w:val="000000"/>
          <w:sz w:val="22"/>
        </w:rPr>
        <w:t>a</w:t>
      </w:r>
      <w:r w:rsidR="00F36602">
        <w:rPr>
          <w:rStyle w:val="normaltextrun"/>
          <w:rFonts w:ascii="Arial" w:hAnsi="Arial" w:cs="Arial"/>
          <w:color w:val="000000"/>
          <w:sz w:val="22"/>
        </w:rPr>
        <w:t xml:space="preserve"> los cabildos indígenas,</w:t>
      </w:r>
      <w:r w:rsidR="000439A8">
        <w:rPr>
          <w:rStyle w:val="normaltextrun"/>
          <w:rFonts w:ascii="Arial" w:hAnsi="Arial" w:cs="Arial"/>
          <w:color w:val="000000"/>
          <w:sz w:val="22"/>
        </w:rPr>
        <w:t xml:space="preserve"> las asociaciones de autoridades tradicionales indígenas</w:t>
      </w:r>
      <w:r w:rsidR="002A6E4A">
        <w:rPr>
          <w:rStyle w:val="normaltextrun"/>
          <w:rFonts w:ascii="Arial" w:hAnsi="Arial" w:cs="Arial"/>
          <w:color w:val="000000"/>
          <w:sz w:val="22"/>
        </w:rPr>
        <w:t xml:space="preserve"> y</w:t>
      </w:r>
      <w:r w:rsidR="00446A49">
        <w:rPr>
          <w:rStyle w:val="normaltextrun"/>
          <w:rFonts w:ascii="Arial" w:hAnsi="Arial" w:cs="Arial"/>
          <w:color w:val="000000"/>
          <w:sz w:val="22"/>
        </w:rPr>
        <w:t xml:space="preserve"> </w:t>
      </w:r>
      <w:r w:rsidR="000439A8">
        <w:rPr>
          <w:rStyle w:val="normaltextrun"/>
          <w:rFonts w:ascii="Arial" w:hAnsi="Arial" w:cs="Arial"/>
          <w:color w:val="000000"/>
          <w:sz w:val="22"/>
        </w:rPr>
        <w:t>los consejos comunitarios de comunidades negras</w:t>
      </w:r>
      <w:r w:rsidR="002A6E4A">
        <w:rPr>
          <w:rStyle w:val="normaltextrun"/>
          <w:rFonts w:ascii="Arial" w:hAnsi="Arial" w:cs="Arial"/>
          <w:color w:val="000000"/>
          <w:sz w:val="22"/>
        </w:rPr>
        <w:t>. De igual form</w:t>
      </w:r>
      <w:r w:rsidR="005808F6">
        <w:rPr>
          <w:rStyle w:val="normaltextrun"/>
          <w:rFonts w:ascii="Arial" w:hAnsi="Arial" w:cs="Arial"/>
          <w:color w:val="000000"/>
          <w:sz w:val="22"/>
        </w:rPr>
        <w:t>a</w:t>
      </w:r>
      <w:r w:rsidR="001E0B56">
        <w:rPr>
          <w:rStyle w:val="normaltextrun"/>
          <w:rFonts w:ascii="Arial" w:hAnsi="Arial" w:cs="Arial"/>
          <w:color w:val="000000"/>
          <w:sz w:val="22"/>
        </w:rPr>
        <w:t>,</w:t>
      </w:r>
      <w:r w:rsidR="002A6E4A">
        <w:rPr>
          <w:rStyle w:val="normaltextrun"/>
          <w:rFonts w:ascii="Arial" w:hAnsi="Arial" w:cs="Arial"/>
          <w:color w:val="000000"/>
          <w:sz w:val="22"/>
        </w:rPr>
        <w:t xml:space="preserve"> permite</w:t>
      </w:r>
      <w:r w:rsidR="00446A49">
        <w:rPr>
          <w:rStyle w:val="normaltextrun"/>
          <w:rFonts w:ascii="Arial" w:hAnsi="Arial" w:cs="Arial"/>
          <w:color w:val="000000"/>
          <w:sz w:val="22"/>
        </w:rPr>
        <w:t xml:space="preserve"> a las organizaciones </w:t>
      </w:r>
      <w:r w:rsidR="001E0B56">
        <w:rPr>
          <w:rStyle w:val="normaltextrun"/>
          <w:rFonts w:ascii="Arial" w:hAnsi="Arial" w:cs="Arial"/>
          <w:color w:val="000000"/>
          <w:sz w:val="22"/>
        </w:rPr>
        <w:t xml:space="preserve">de base de comunidades </w:t>
      </w:r>
      <w:r w:rsidR="00446A49">
        <w:rPr>
          <w:rStyle w:val="normaltextrun"/>
          <w:rFonts w:ascii="Arial" w:hAnsi="Arial" w:cs="Arial"/>
          <w:color w:val="000000"/>
          <w:sz w:val="22"/>
        </w:rPr>
        <w:t>negras, afrocolombianas, raizales y palenqueras y las demás formas y expresiones organizativ</w:t>
      </w:r>
      <w:r w:rsidR="001E0B56">
        <w:rPr>
          <w:rStyle w:val="normaltextrun"/>
          <w:rFonts w:ascii="Arial" w:hAnsi="Arial" w:cs="Arial"/>
          <w:color w:val="000000"/>
          <w:sz w:val="22"/>
        </w:rPr>
        <w:t>a</w:t>
      </w:r>
      <w:r w:rsidR="00446A49">
        <w:rPr>
          <w:rStyle w:val="normaltextrun"/>
          <w:rFonts w:ascii="Arial" w:hAnsi="Arial" w:cs="Arial"/>
          <w:color w:val="000000"/>
          <w:sz w:val="22"/>
        </w:rPr>
        <w:t>s que cuenten con diez (10) años o más de haber sido incorporad</w:t>
      </w:r>
      <w:r w:rsidR="001E0B56">
        <w:rPr>
          <w:rStyle w:val="normaltextrun"/>
          <w:rFonts w:ascii="Arial" w:hAnsi="Arial" w:cs="Arial"/>
          <w:color w:val="000000"/>
          <w:sz w:val="22"/>
        </w:rPr>
        <w:t>a</w:t>
      </w:r>
      <w:r w:rsidR="00446A49">
        <w:rPr>
          <w:rStyle w:val="normaltextrun"/>
          <w:rFonts w:ascii="Arial" w:hAnsi="Arial" w:cs="Arial"/>
          <w:color w:val="000000"/>
          <w:sz w:val="22"/>
        </w:rPr>
        <w:t xml:space="preserve">s </w:t>
      </w:r>
      <w:r w:rsidR="00D07C5A">
        <w:rPr>
          <w:rStyle w:val="normaltextrun"/>
          <w:rFonts w:ascii="Arial" w:hAnsi="Arial" w:cs="Arial"/>
          <w:color w:val="000000"/>
          <w:sz w:val="22"/>
        </w:rPr>
        <w:t>en el Registro Público Único Nacional</w:t>
      </w:r>
      <w:r w:rsidR="00E66B66">
        <w:rPr>
          <w:rStyle w:val="normaltextrun"/>
          <w:rFonts w:ascii="Arial" w:hAnsi="Arial" w:cs="Arial"/>
          <w:color w:val="000000"/>
          <w:sz w:val="22"/>
        </w:rPr>
        <w:t xml:space="preserve"> del Ministerio del Interior</w:t>
      </w:r>
      <w:r w:rsidR="002A6E4A">
        <w:rPr>
          <w:rStyle w:val="normaltextrun"/>
          <w:rFonts w:ascii="Arial" w:hAnsi="Arial" w:cs="Arial"/>
          <w:color w:val="000000"/>
          <w:sz w:val="22"/>
        </w:rPr>
        <w:t xml:space="preserve"> para celebrar contratos con entidades estatales. </w:t>
      </w:r>
      <w:r w:rsidR="000439A8">
        <w:rPr>
          <w:rStyle w:val="normaltextrun"/>
          <w:rFonts w:ascii="Arial" w:hAnsi="Arial" w:cs="Arial"/>
          <w:color w:val="000000"/>
          <w:sz w:val="22"/>
        </w:rPr>
        <w:t xml:space="preserve"> </w:t>
      </w:r>
      <w:r w:rsidR="00F36602">
        <w:rPr>
          <w:rStyle w:val="normaltextrun"/>
          <w:rFonts w:ascii="Arial" w:hAnsi="Arial" w:cs="Arial"/>
          <w:color w:val="000000"/>
          <w:sz w:val="22"/>
        </w:rPr>
        <w:t xml:space="preserve"> </w:t>
      </w:r>
    </w:p>
    <w:p w14:paraId="0C93929C" w14:textId="683FF295" w:rsidR="008F6CF5" w:rsidRDefault="00836DB5" w:rsidP="009672A5">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Ahora bien, el artículo </w:t>
      </w:r>
      <w:r w:rsidR="00C61FA0">
        <w:rPr>
          <w:rStyle w:val="normaltextrun"/>
          <w:rFonts w:ascii="Arial" w:hAnsi="Arial" w:cs="Arial"/>
          <w:color w:val="000000"/>
          <w:sz w:val="22"/>
        </w:rPr>
        <w:t xml:space="preserve">3 de la Ley 2160 de 2021, </w:t>
      </w:r>
      <w:r w:rsidR="001E0B56">
        <w:rPr>
          <w:rStyle w:val="normaltextrun"/>
          <w:rFonts w:ascii="Arial" w:hAnsi="Arial" w:cs="Arial"/>
          <w:color w:val="000000"/>
          <w:sz w:val="22"/>
        </w:rPr>
        <w:t xml:space="preserve">mediante el </w:t>
      </w:r>
      <w:r w:rsidR="00527CAF">
        <w:rPr>
          <w:rStyle w:val="normaltextrun"/>
          <w:rFonts w:ascii="Arial" w:hAnsi="Arial" w:cs="Arial"/>
          <w:color w:val="000000"/>
          <w:sz w:val="22"/>
        </w:rPr>
        <w:t xml:space="preserve">cual se </w:t>
      </w:r>
      <w:r w:rsidR="00C61FA0">
        <w:rPr>
          <w:rStyle w:val="normaltextrun"/>
          <w:rFonts w:ascii="Arial" w:hAnsi="Arial" w:cs="Arial"/>
          <w:color w:val="000000"/>
          <w:sz w:val="22"/>
        </w:rPr>
        <w:t>modificó el artículo 7 de la Ley 80 de 1993,</w:t>
      </w:r>
      <w:r w:rsidR="006B7C16">
        <w:rPr>
          <w:rStyle w:val="normaltextrun"/>
          <w:rFonts w:ascii="Arial" w:hAnsi="Arial" w:cs="Arial"/>
          <w:color w:val="000000"/>
          <w:sz w:val="22"/>
        </w:rPr>
        <w:t xml:space="preserve"> </w:t>
      </w:r>
      <w:r w:rsidR="00095145">
        <w:rPr>
          <w:rStyle w:val="normaltextrun"/>
          <w:rFonts w:ascii="Arial" w:hAnsi="Arial" w:cs="Arial"/>
          <w:color w:val="000000"/>
          <w:sz w:val="22"/>
        </w:rPr>
        <w:t>define el alcance de cada una de las entidades que a partir de esta norma tienen capacidad para celebrar contratos con las entidades estatales: los cabildos indígenas, los consejos com</w:t>
      </w:r>
      <w:r w:rsidR="00447651">
        <w:rPr>
          <w:rStyle w:val="normaltextrun"/>
          <w:rFonts w:ascii="Arial" w:hAnsi="Arial" w:cs="Arial"/>
          <w:color w:val="000000"/>
          <w:sz w:val="22"/>
        </w:rPr>
        <w:t xml:space="preserve">unitarios de las comunidades negras, </w:t>
      </w:r>
      <w:r w:rsidR="00A15475">
        <w:rPr>
          <w:rStyle w:val="normaltextrun"/>
          <w:rFonts w:ascii="Arial" w:hAnsi="Arial" w:cs="Arial"/>
          <w:color w:val="000000"/>
          <w:sz w:val="22"/>
        </w:rPr>
        <w:t xml:space="preserve">las formas o expresiones organizativas, </w:t>
      </w:r>
      <w:r w:rsidR="00BD36DD">
        <w:rPr>
          <w:rStyle w:val="normaltextrun"/>
          <w:rFonts w:ascii="Arial" w:hAnsi="Arial" w:cs="Arial"/>
          <w:color w:val="000000"/>
          <w:sz w:val="22"/>
        </w:rPr>
        <w:t>las organizaciones de base de comunidades negras, afrocolombianas, raizales y palenqueras,</w:t>
      </w:r>
      <w:r w:rsidR="000E4F8B">
        <w:rPr>
          <w:rStyle w:val="normaltextrun"/>
          <w:rFonts w:ascii="Arial" w:hAnsi="Arial" w:cs="Arial"/>
          <w:color w:val="000000"/>
          <w:sz w:val="22"/>
        </w:rPr>
        <w:t xml:space="preserve"> organizaciones de segundo nivel, consorcio, unión temporal y las asociaciones de autoridades tradicionales indígenas</w:t>
      </w:r>
      <w:r w:rsidR="006B7C16">
        <w:rPr>
          <w:rStyle w:val="Refdenotaalpie"/>
          <w:rFonts w:ascii="Arial" w:hAnsi="Arial" w:cs="Arial"/>
          <w:color w:val="000000"/>
          <w:sz w:val="22"/>
        </w:rPr>
        <w:footnoteReference w:id="18"/>
      </w:r>
      <w:r w:rsidR="000E4F8B">
        <w:rPr>
          <w:rStyle w:val="normaltextrun"/>
          <w:rFonts w:ascii="Arial" w:hAnsi="Arial" w:cs="Arial"/>
          <w:color w:val="000000"/>
          <w:sz w:val="22"/>
        </w:rPr>
        <w:t xml:space="preserve">. </w:t>
      </w:r>
    </w:p>
    <w:p w14:paraId="58740E8F" w14:textId="6C77F66F" w:rsidR="00A841CA" w:rsidRDefault="006B3898" w:rsidP="000B0AE3">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lastRenderedPageBreak/>
        <w:t xml:space="preserve">Conforme </w:t>
      </w:r>
      <w:r w:rsidR="001E0B56">
        <w:rPr>
          <w:rStyle w:val="normaltextrun"/>
          <w:rFonts w:ascii="Arial" w:hAnsi="Arial" w:cs="Arial"/>
          <w:color w:val="000000"/>
          <w:sz w:val="22"/>
        </w:rPr>
        <w:t>con</w:t>
      </w:r>
      <w:r>
        <w:rPr>
          <w:rStyle w:val="normaltextrun"/>
          <w:rFonts w:ascii="Arial" w:hAnsi="Arial" w:cs="Arial"/>
          <w:color w:val="000000"/>
          <w:sz w:val="22"/>
        </w:rPr>
        <w:t xml:space="preserve"> lo anterior, se identifica que, a partir de la Ley 2160 de 2021 </w:t>
      </w:r>
      <w:r w:rsidR="00A83059">
        <w:rPr>
          <w:rStyle w:val="normaltextrun"/>
          <w:rFonts w:ascii="Arial" w:hAnsi="Arial" w:cs="Arial"/>
          <w:color w:val="000000"/>
          <w:sz w:val="22"/>
        </w:rPr>
        <w:t>los cabildos indígenas, las a</w:t>
      </w:r>
      <w:r w:rsidR="00BE3A8F">
        <w:rPr>
          <w:rStyle w:val="normaltextrun"/>
          <w:rFonts w:ascii="Arial" w:hAnsi="Arial" w:cs="Arial"/>
          <w:color w:val="000000"/>
          <w:sz w:val="22"/>
        </w:rPr>
        <w:t>sociaciones de Autoridades Tradicionales Indígenas</w:t>
      </w:r>
      <w:r w:rsidR="00E361CC">
        <w:rPr>
          <w:rStyle w:val="normaltextrun"/>
          <w:rFonts w:ascii="Arial" w:hAnsi="Arial" w:cs="Arial"/>
          <w:color w:val="000000"/>
          <w:sz w:val="22"/>
        </w:rPr>
        <w:t>,</w:t>
      </w:r>
      <w:r w:rsidR="00BE3A8F">
        <w:rPr>
          <w:rStyle w:val="normaltextrun"/>
          <w:rFonts w:ascii="Arial" w:hAnsi="Arial" w:cs="Arial"/>
          <w:color w:val="000000"/>
          <w:sz w:val="22"/>
        </w:rPr>
        <w:t xml:space="preserve"> los consejos comunitarios de las comunidades negras</w:t>
      </w:r>
      <w:r w:rsidR="00E361CC">
        <w:rPr>
          <w:rStyle w:val="normaltextrun"/>
          <w:rFonts w:ascii="Arial" w:hAnsi="Arial" w:cs="Arial"/>
          <w:color w:val="000000"/>
          <w:sz w:val="22"/>
        </w:rPr>
        <w:t>,</w:t>
      </w:r>
      <w:r w:rsidR="009202A9">
        <w:rPr>
          <w:rStyle w:val="normaltextrun"/>
          <w:rFonts w:ascii="Arial" w:hAnsi="Arial" w:cs="Arial"/>
          <w:color w:val="000000"/>
          <w:sz w:val="22"/>
        </w:rPr>
        <w:t xml:space="preserve"> las organizaciones </w:t>
      </w:r>
      <w:r w:rsidR="001E0B56">
        <w:rPr>
          <w:rStyle w:val="normaltextrun"/>
          <w:rFonts w:ascii="Arial" w:hAnsi="Arial" w:cs="Arial"/>
          <w:color w:val="000000"/>
          <w:sz w:val="22"/>
        </w:rPr>
        <w:t xml:space="preserve">de base de comunidades </w:t>
      </w:r>
      <w:r w:rsidR="009202A9">
        <w:rPr>
          <w:rStyle w:val="normaltextrun"/>
          <w:rFonts w:ascii="Arial" w:hAnsi="Arial" w:cs="Arial"/>
          <w:color w:val="000000"/>
          <w:sz w:val="22"/>
        </w:rPr>
        <w:t xml:space="preserve">negras, afrocolombianas, raizales y palenqueras y las demás formas </w:t>
      </w:r>
      <w:r w:rsidR="00F2598E">
        <w:rPr>
          <w:rStyle w:val="normaltextrun"/>
          <w:rFonts w:ascii="Arial" w:hAnsi="Arial" w:cs="Arial"/>
          <w:color w:val="000000"/>
          <w:sz w:val="22"/>
        </w:rPr>
        <w:t>y expresiones organizativ</w:t>
      </w:r>
      <w:r w:rsidR="001E0B56">
        <w:rPr>
          <w:rStyle w:val="normaltextrun"/>
          <w:rFonts w:ascii="Arial" w:hAnsi="Arial" w:cs="Arial"/>
          <w:color w:val="000000"/>
          <w:sz w:val="22"/>
        </w:rPr>
        <w:t>a</w:t>
      </w:r>
      <w:r w:rsidR="00F2598E">
        <w:rPr>
          <w:rStyle w:val="normaltextrun"/>
          <w:rFonts w:ascii="Arial" w:hAnsi="Arial" w:cs="Arial"/>
          <w:color w:val="000000"/>
          <w:sz w:val="22"/>
        </w:rPr>
        <w:t>s que cuenten con diez (10) años o más de haber sido inc</w:t>
      </w:r>
      <w:r w:rsidR="008352C9">
        <w:rPr>
          <w:rStyle w:val="normaltextrun"/>
          <w:rFonts w:ascii="Arial" w:hAnsi="Arial" w:cs="Arial"/>
          <w:color w:val="000000"/>
          <w:sz w:val="22"/>
        </w:rPr>
        <w:t xml:space="preserve">orporados en el Registro Público </w:t>
      </w:r>
      <w:r w:rsidR="001E0B56">
        <w:rPr>
          <w:rStyle w:val="normaltextrun"/>
          <w:rFonts w:ascii="Arial" w:hAnsi="Arial" w:cs="Arial"/>
          <w:color w:val="000000"/>
          <w:sz w:val="22"/>
        </w:rPr>
        <w:t>Ú</w:t>
      </w:r>
      <w:r w:rsidR="008352C9">
        <w:rPr>
          <w:rStyle w:val="normaltextrun"/>
          <w:rFonts w:ascii="Arial" w:hAnsi="Arial" w:cs="Arial"/>
          <w:color w:val="000000"/>
          <w:sz w:val="22"/>
        </w:rPr>
        <w:t>nico Nacional</w:t>
      </w:r>
      <w:r w:rsidR="00BE3A8F">
        <w:rPr>
          <w:rStyle w:val="normaltextrun"/>
          <w:rFonts w:ascii="Arial" w:hAnsi="Arial" w:cs="Arial"/>
          <w:color w:val="000000"/>
          <w:sz w:val="22"/>
        </w:rPr>
        <w:t xml:space="preserve"> tienen </w:t>
      </w:r>
      <w:r>
        <w:rPr>
          <w:rStyle w:val="normaltextrun"/>
          <w:rFonts w:ascii="Arial" w:hAnsi="Arial" w:cs="Arial"/>
          <w:color w:val="000000"/>
          <w:sz w:val="22"/>
        </w:rPr>
        <w:t>capacidad para celebrar contratos con las entidades estatales</w:t>
      </w:r>
      <w:r w:rsidR="00B618E4">
        <w:rPr>
          <w:rStyle w:val="normaltextrun"/>
          <w:rFonts w:ascii="Arial" w:hAnsi="Arial" w:cs="Arial"/>
          <w:color w:val="000000"/>
          <w:sz w:val="22"/>
        </w:rPr>
        <w:t xml:space="preserve">. </w:t>
      </w:r>
      <w:r w:rsidR="00891FFF">
        <w:rPr>
          <w:rStyle w:val="normaltextrun"/>
          <w:rFonts w:ascii="Arial" w:hAnsi="Arial" w:cs="Arial"/>
          <w:color w:val="000000"/>
          <w:sz w:val="22"/>
        </w:rPr>
        <w:t xml:space="preserve">Sin embargo, la Ley 80 de 1993 </w:t>
      </w:r>
      <w:r w:rsidR="00731719">
        <w:rPr>
          <w:rStyle w:val="normaltextrun"/>
          <w:rFonts w:ascii="Arial" w:hAnsi="Arial" w:cs="Arial"/>
          <w:color w:val="000000"/>
          <w:sz w:val="22"/>
        </w:rPr>
        <w:t xml:space="preserve">–modificada por la Ley 2160 de 2021– </w:t>
      </w:r>
      <w:r w:rsidR="00891FFF">
        <w:rPr>
          <w:rStyle w:val="normaltextrun"/>
          <w:rFonts w:ascii="Arial" w:hAnsi="Arial" w:cs="Arial"/>
          <w:color w:val="000000"/>
          <w:sz w:val="22"/>
        </w:rPr>
        <w:t xml:space="preserve">no menciona a </w:t>
      </w:r>
      <w:r w:rsidR="00731719">
        <w:rPr>
          <w:rStyle w:val="normaltextrun"/>
          <w:rFonts w:ascii="Arial" w:hAnsi="Arial" w:cs="Arial"/>
          <w:color w:val="000000"/>
          <w:sz w:val="22"/>
        </w:rPr>
        <w:t xml:space="preserve">las comunidades </w:t>
      </w:r>
      <w:proofErr w:type="spellStart"/>
      <w:r w:rsidR="004818C7">
        <w:rPr>
          <w:rStyle w:val="normaltextrun"/>
          <w:rFonts w:ascii="Arial" w:hAnsi="Arial" w:cs="Arial"/>
          <w:color w:val="000000"/>
          <w:sz w:val="22"/>
        </w:rPr>
        <w:t>Rrom</w:t>
      </w:r>
      <w:proofErr w:type="spellEnd"/>
      <w:r w:rsidR="004818C7">
        <w:rPr>
          <w:rStyle w:val="normaltextrun"/>
          <w:rFonts w:ascii="Arial" w:hAnsi="Arial" w:cs="Arial"/>
          <w:color w:val="000000"/>
          <w:sz w:val="22"/>
        </w:rPr>
        <w:t xml:space="preserve"> o gitan</w:t>
      </w:r>
      <w:r w:rsidR="00731719">
        <w:rPr>
          <w:rStyle w:val="normaltextrun"/>
          <w:rFonts w:ascii="Arial" w:hAnsi="Arial" w:cs="Arial"/>
          <w:color w:val="000000"/>
          <w:sz w:val="22"/>
        </w:rPr>
        <w:t>a</w:t>
      </w:r>
      <w:r w:rsidR="004818C7">
        <w:rPr>
          <w:rStyle w:val="normaltextrun"/>
          <w:rFonts w:ascii="Arial" w:hAnsi="Arial" w:cs="Arial"/>
          <w:color w:val="000000"/>
          <w:sz w:val="22"/>
        </w:rPr>
        <w:t>s</w:t>
      </w:r>
      <w:r w:rsidR="008352C9">
        <w:rPr>
          <w:rStyle w:val="normaltextrun"/>
          <w:rFonts w:ascii="Arial" w:hAnsi="Arial" w:cs="Arial"/>
          <w:color w:val="000000"/>
          <w:sz w:val="22"/>
        </w:rPr>
        <w:t xml:space="preserve"> y</w:t>
      </w:r>
      <w:r w:rsidR="00C50DCF">
        <w:rPr>
          <w:rStyle w:val="normaltextrun"/>
          <w:rFonts w:ascii="Arial" w:hAnsi="Arial" w:cs="Arial"/>
          <w:color w:val="000000"/>
          <w:sz w:val="22"/>
        </w:rPr>
        <w:t>, por tanto,</w:t>
      </w:r>
      <w:r w:rsidR="008352C9">
        <w:rPr>
          <w:rStyle w:val="normaltextrun"/>
          <w:rFonts w:ascii="Arial" w:hAnsi="Arial" w:cs="Arial"/>
          <w:color w:val="000000"/>
          <w:sz w:val="22"/>
        </w:rPr>
        <w:t xml:space="preserve"> estas comunidades étnicas</w:t>
      </w:r>
      <w:r w:rsidR="00C50DCF">
        <w:rPr>
          <w:rStyle w:val="normaltextrun"/>
          <w:rFonts w:ascii="Arial" w:hAnsi="Arial" w:cs="Arial"/>
          <w:color w:val="000000"/>
          <w:sz w:val="22"/>
        </w:rPr>
        <w:t xml:space="preserve"> no tendrían capacidad para celebrar </w:t>
      </w:r>
      <w:r w:rsidR="00A841CA">
        <w:rPr>
          <w:rStyle w:val="normaltextrun"/>
          <w:rFonts w:ascii="Arial" w:hAnsi="Arial" w:cs="Arial"/>
          <w:color w:val="000000"/>
          <w:sz w:val="22"/>
        </w:rPr>
        <w:t xml:space="preserve">contratos con las entidades estatales. </w:t>
      </w:r>
    </w:p>
    <w:p w14:paraId="3221BCCD" w14:textId="77777777" w:rsidR="00A777E1" w:rsidRDefault="00891FFF" w:rsidP="00190FC0">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Ahora, frente a su inquietud particular si</w:t>
      </w:r>
      <w:r w:rsidR="000B0AE3">
        <w:rPr>
          <w:rStyle w:val="normaltextrun"/>
          <w:rFonts w:ascii="Arial" w:hAnsi="Arial" w:cs="Arial"/>
          <w:color w:val="000000"/>
          <w:sz w:val="22"/>
        </w:rPr>
        <w:t>: ¿</w:t>
      </w:r>
      <w:r w:rsidR="001D5221">
        <w:rPr>
          <w:rStyle w:val="normaltextrun"/>
          <w:rFonts w:ascii="Arial" w:hAnsi="Arial" w:cs="Arial"/>
          <w:color w:val="000000"/>
          <w:sz w:val="22"/>
        </w:rPr>
        <w:t>e</w:t>
      </w:r>
      <w:r w:rsidR="000B0AE3">
        <w:rPr>
          <w:rStyle w:val="normaltextrun"/>
          <w:rFonts w:ascii="Arial" w:hAnsi="Arial" w:cs="Arial"/>
          <w:color w:val="000000"/>
          <w:sz w:val="22"/>
        </w:rPr>
        <w:t xml:space="preserve">l Instituto Geográfico Agustín Codazzi puede </w:t>
      </w:r>
      <w:r w:rsidR="0042594D">
        <w:rPr>
          <w:rStyle w:val="normaltextrun"/>
          <w:rFonts w:ascii="Arial" w:hAnsi="Arial" w:cs="Arial"/>
          <w:color w:val="000000"/>
          <w:sz w:val="22"/>
        </w:rPr>
        <w:t xml:space="preserve">durante la ejecución de procesos de actualización catastral incorporar acciones </w:t>
      </w:r>
      <w:r w:rsidR="0042594D">
        <w:rPr>
          <w:rStyle w:val="normaltextrun"/>
          <w:rFonts w:ascii="Arial" w:hAnsi="Arial" w:cs="Arial"/>
          <w:color w:val="000000"/>
          <w:sz w:val="22"/>
        </w:rPr>
        <w:lastRenderedPageBreak/>
        <w:t>afi</w:t>
      </w:r>
      <w:r w:rsidR="00D21D72">
        <w:rPr>
          <w:rStyle w:val="normaltextrun"/>
          <w:rFonts w:ascii="Arial" w:hAnsi="Arial" w:cs="Arial"/>
          <w:color w:val="000000"/>
          <w:sz w:val="22"/>
        </w:rPr>
        <w:t xml:space="preserve">rmativas </w:t>
      </w:r>
      <w:r w:rsidR="00B02495">
        <w:rPr>
          <w:rStyle w:val="normaltextrun"/>
          <w:rFonts w:ascii="Arial" w:hAnsi="Arial" w:cs="Arial"/>
          <w:color w:val="000000"/>
          <w:sz w:val="22"/>
        </w:rPr>
        <w:t>d</w:t>
      </w:r>
      <w:r w:rsidR="007959E6">
        <w:rPr>
          <w:rStyle w:val="normaltextrun"/>
          <w:rFonts w:ascii="Arial" w:hAnsi="Arial" w:cs="Arial"/>
          <w:color w:val="000000"/>
          <w:sz w:val="22"/>
        </w:rPr>
        <w:t xml:space="preserve">irigidas a comunidades </w:t>
      </w:r>
      <w:r w:rsidR="00D144CF">
        <w:rPr>
          <w:rStyle w:val="normaltextrun"/>
          <w:rFonts w:ascii="Arial" w:hAnsi="Arial" w:cs="Arial"/>
          <w:color w:val="000000"/>
          <w:sz w:val="22"/>
        </w:rPr>
        <w:t xml:space="preserve">étnicas para </w:t>
      </w:r>
      <w:r w:rsidR="007959E6">
        <w:rPr>
          <w:rStyle w:val="normaltextrun"/>
          <w:rFonts w:ascii="Arial" w:hAnsi="Arial" w:cs="Arial"/>
          <w:color w:val="000000"/>
          <w:sz w:val="22"/>
        </w:rPr>
        <w:t>prestar el servicio público de catastro como operadores catastrales?</w:t>
      </w:r>
      <w:r w:rsidR="00524C93">
        <w:rPr>
          <w:rStyle w:val="normaltextrun"/>
          <w:rFonts w:ascii="Arial" w:hAnsi="Arial" w:cs="Arial"/>
          <w:color w:val="000000"/>
          <w:sz w:val="22"/>
        </w:rPr>
        <w:t xml:space="preserve"> </w:t>
      </w:r>
    </w:p>
    <w:p w14:paraId="72D41BC4" w14:textId="3FCFA7F3" w:rsidR="00190FC0" w:rsidRDefault="00524C93" w:rsidP="00190FC0">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La Agencia Nacional de Contratación Pública </w:t>
      </w:r>
      <w:r w:rsidR="00666573">
        <w:rPr>
          <w:rStyle w:val="normaltextrun"/>
          <w:rFonts w:ascii="Arial" w:hAnsi="Arial" w:cs="Arial"/>
          <w:color w:val="000000"/>
          <w:sz w:val="22"/>
        </w:rPr>
        <w:t xml:space="preserve">considera </w:t>
      </w:r>
      <w:r>
        <w:rPr>
          <w:rStyle w:val="normaltextrun"/>
          <w:rFonts w:ascii="Arial" w:hAnsi="Arial" w:cs="Arial"/>
          <w:color w:val="000000"/>
          <w:sz w:val="22"/>
        </w:rPr>
        <w:t>q</w:t>
      </w:r>
      <w:r w:rsidR="00420EAB">
        <w:rPr>
          <w:rStyle w:val="normaltextrun"/>
          <w:rFonts w:ascii="Arial" w:hAnsi="Arial" w:cs="Arial"/>
          <w:color w:val="000000"/>
          <w:sz w:val="22"/>
        </w:rPr>
        <w:t>ue</w:t>
      </w:r>
      <w:r w:rsidR="006A00F0">
        <w:rPr>
          <w:rStyle w:val="normaltextrun"/>
          <w:rFonts w:ascii="Arial" w:hAnsi="Arial" w:cs="Arial"/>
          <w:color w:val="000000"/>
          <w:sz w:val="22"/>
        </w:rPr>
        <w:t>,</w:t>
      </w:r>
      <w:r w:rsidR="00420EAB">
        <w:rPr>
          <w:rStyle w:val="normaltextrun"/>
          <w:rFonts w:ascii="Arial" w:hAnsi="Arial" w:cs="Arial"/>
          <w:color w:val="000000"/>
          <w:sz w:val="22"/>
        </w:rPr>
        <w:t xml:space="preserve"> si bien</w:t>
      </w:r>
      <w:r w:rsidR="00C915F2">
        <w:rPr>
          <w:rStyle w:val="normaltextrun"/>
          <w:rFonts w:ascii="Arial" w:hAnsi="Arial" w:cs="Arial"/>
          <w:color w:val="000000"/>
          <w:sz w:val="22"/>
        </w:rPr>
        <w:t xml:space="preserve"> a partir de la expedición de la Ley 2160 de 2021 se permite a</w:t>
      </w:r>
      <w:r w:rsidR="006A00F0">
        <w:rPr>
          <w:rStyle w:val="normaltextrun"/>
          <w:rFonts w:ascii="Arial" w:hAnsi="Arial" w:cs="Arial"/>
          <w:color w:val="000000"/>
          <w:sz w:val="22"/>
        </w:rPr>
        <w:t xml:space="preserve"> los cabildos indígenas, a la</w:t>
      </w:r>
      <w:r w:rsidR="001B1234">
        <w:rPr>
          <w:rStyle w:val="normaltextrun"/>
          <w:rFonts w:ascii="Arial" w:hAnsi="Arial" w:cs="Arial"/>
          <w:color w:val="000000"/>
          <w:sz w:val="22"/>
        </w:rPr>
        <w:t>s asociaciones de Autoridades Tradicionales Indígenas, a los consejos comunitarios de las comunidades negras</w:t>
      </w:r>
      <w:r w:rsidR="00912BDF">
        <w:rPr>
          <w:rStyle w:val="normaltextrun"/>
          <w:rFonts w:ascii="Arial" w:hAnsi="Arial" w:cs="Arial"/>
          <w:color w:val="000000"/>
          <w:sz w:val="22"/>
        </w:rPr>
        <w:t xml:space="preserve">, incluso a organizaciones </w:t>
      </w:r>
      <w:r w:rsidR="00731719">
        <w:rPr>
          <w:rStyle w:val="normaltextrun"/>
          <w:rFonts w:ascii="Arial" w:hAnsi="Arial" w:cs="Arial"/>
          <w:color w:val="000000"/>
          <w:sz w:val="22"/>
        </w:rPr>
        <w:t xml:space="preserve">de base de comunidades </w:t>
      </w:r>
      <w:r w:rsidR="00912BDF">
        <w:rPr>
          <w:rStyle w:val="normaltextrun"/>
          <w:rFonts w:ascii="Arial" w:hAnsi="Arial" w:cs="Arial"/>
          <w:color w:val="000000"/>
          <w:sz w:val="22"/>
        </w:rPr>
        <w:t>negras, afrocolombianas, raizales y palenquera</w:t>
      </w:r>
      <w:r w:rsidR="00DA1393">
        <w:rPr>
          <w:rStyle w:val="normaltextrun"/>
          <w:rFonts w:ascii="Arial" w:hAnsi="Arial" w:cs="Arial"/>
          <w:color w:val="000000"/>
          <w:sz w:val="22"/>
        </w:rPr>
        <w:t>,</w:t>
      </w:r>
      <w:r w:rsidR="00190FC0">
        <w:rPr>
          <w:rStyle w:val="normaltextrun"/>
          <w:rFonts w:ascii="Arial" w:hAnsi="Arial" w:cs="Arial"/>
          <w:color w:val="000000"/>
          <w:sz w:val="22"/>
        </w:rPr>
        <w:t xml:space="preserve"> entre otros, </w:t>
      </w:r>
      <w:r w:rsidR="000B1C4F">
        <w:rPr>
          <w:rStyle w:val="normaltextrun"/>
          <w:rFonts w:ascii="Arial" w:hAnsi="Arial" w:cs="Arial"/>
          <w:color w:val="000000"/>
          <w:sz w:val="22"/>
        </w:rPr>
        <w:t xml:space="preserve">para </w:t>
      </w:r>
      <w:r w:rsidR="001B1234">
        <w:rPr>
          <w:rStyle w:val="normaltextrun"/>
          <w:rFonts w:ascii="Arial" w:hAnsi="Arial" w:cs="Arial"/>
          <w:color w:val="000000"/>
          <w:sz w:val="22"/>
        </w:rPr>
        <w:t xml:space="preserve">celebrar contratos con las entidades estatales, esta norma no faculta </w:t>
      </w:r>
      <w:r w:rsidR="00190FC0" w:rsidRPr="00190FC0">
        <w:rPr>
          <w:rStyle w:val="normaltextrun"/>
          <w:rFonts w:ascii="Arial" w:hAnsi="Arial" w:cs="Arial"/>
          <w:i/>
          <w:iCs/>
          <w:color w:val="000000"/>
          <w:sz w:val="22"/>
        </w:rPr>
        <w:t>per se</w:t>
      </w:r>
      <w:r w:rsidR="00190FC0" w:rsidRPr="00190FC0">
        <w:rPr>
          <w:rStyle w:val="normaltextrun"/>
          <w:rFonts w:ascii="Arial" w:hAnsi="Arial" w:cs="Arial"/>
          <w:color w:val="000000"/>
          <w:sz w:val="22"/>
        </w:rPr>
        <w:t xml:space="preserve"> </w:t>
      </w:r>
      <w:r w:rsidR="00190FC0">
        <w:rPr>
          <w:rStyle w:val="normaltextrun"/>
          <w:rFonts w:ascii="Arial" w:hAnsi="Arial" w:cs="Arial"/>
          <w:color w:val="000000"/>
          <w:sz w:val="22"/>
        </w:rPr>
        <w:t xml:space="preserve">a que estas entidades sean operadores catastrales. </w:t>
      </w:r>
    </w:p>
    <w:p w14:paraId="6CE2977E" w14:textId="4D8F41A1" w:rsidR="00EC484C" w:rsidRDefault="00190FC0" w:rsidP="00190FC0">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Lo anterior, </w:t>
      </w:r>
      <w:r w:rsidR="00666573">
        <w:rPr>
          <w:rStyle w:val="normaltextrun"/>
          <w:rFonts w:ascii="Arial" w:hAnsi="Arial" w:cs="Arial"/>
          <w:color w:val="000000"/>
          <w:sz w:val="22"/>
        </w:rPr>
        <w:t>debido a</w:t>
      </w:r>
      <w:r>
        <w:rPr>
          <w:rStyle w:val="normaltextrun"/>
          <w:rFonts w:ascii="Arial" w:hAnsi="Arial" w:cs="Arial"/>
          <w:color w:val="000000"/>
          <w:sz w:val="22"/>
        </w:rPr>
        <w:t xml:space="preserve"> que tal y c</w:t>
      </w:r>
      <w:r w:rsidR="000B1C4F">
        <w:rPr>
          <w:rStyle w:val="normaltextrun"/>
          <w:rFonts w:ascii="Arial" w:hAnsi="Arial" w:cs="Arial"/>
          <w:color w:val="000000"/>
          <w:sz w:val="22"/>
        </w:rPr>
        <w:t>o</w:t>
      </w:r>
      <w:r>
        <w:rPr>
          <w:rStyle w:val="normaltextrun"/>
          <w:rFonts w:ascii="Arial" w:hAnsi="Arial" w:cs="Arial"/>
          <w:color w:val="000000"/>
          <w:sz w:val="22"/>
        </w:rPr>
        <w:t>mo se explicó previamente, el artículo 2.2.2.5.11 del Decreto 1983 de 2019 prevé los requisitos necesarios que deberán verificar los gestores catastrales para contratar a los operadores</w:t>
      </w:r>
      <w:r w:rsidR="000B1C4F">
        <w:rPr>
          <w:rStyle w:val="normaltextrun"/>
          <w:rFonts w:ascii="Arial" w:hAnsi="Arial" w:cs="Arial"/>
          <w:color w:val="000000"/>
          <w:sz w:val="22"/>
        </w:rPr>
        <w:t xml:space="preserve"> catastrales</w:t>
      </w:r>
      <w:r>
        <w:rPr>
          <w:rStyle w:val="normaltextrun"/>
          <w:rFonts w:ascii="Arial" w:hAnsi="Arial" w:cs="Arial"/>
          <w:color w:val="000000"/>
          <w:sz w:val="22"/>
        </w:rPr>
        <w:t xml:space="preserve">. Estos requisitos son: i) </w:t>
      </w:r>
      <w:r w:rsidRPr="0027184F">
        <w:rPr>
          <w:rStyle w:val="normaltextrun"/>
          <w:rFonts w:ascii="Arial" w:hAnsi="Arial" w:cs="Arial"/>
          <w:i/>
          <w:iCs/>
          <w:color w:val="000000"/>
          <w:sz w:val="22"/>
        </w:rPr>
        <w:t>jurídicos</w:t>
      </w:r>
      <w:r>
        <w:rPr>
          <w:rStyle w:val="normaltextrun"/>
          <w:rFonts w:ascii="Arial" w:hAnsi="Arial" w:cs="Arial"/>
          <w:color w:val="000000"/>
          <w:sz w:val="22"/>
        </w:rPr>
        <w:t xml:space="preserve"> estar constituido como una persona jurídica de derecho público o privado y acreditar que dentro de su objeto social se contemple cualquiera de las actividades que sirvan de insumos para adelantar los procesos de formación, actualización y conservación catastral, </w:t>
      </w:r>
      <w:proofErr w:type="spellStart"/>
      <w:r>
        <w:rPr>
          <w:rStyle w:val="normaltextrun"/>
          <w:rFonts w:ascii="Arial" w:hAnsi="Arial" w:cs="Arial"/>
          <w:color w:val="000000"/>
          <w:sz w:val="22"/>
        </w:rPr>
        <w:t>ii</w:t>
      </w:r>
      <w:proofErr w:type="spellEnd"/>
      <w:r>
        <w:rPr>
          <w:rStyle w:val="normaltextrun"/>
          <w:rFonts w:ascii="Arial" w:hAnsi="Arial" w:cs="Arial"/>
          <w:color w:val="000000"/>
          <w:sz w:val="22"/>
        </w:rPr>
        <w:t xml:space="preserve">) </w:t>
      </w:r>
      <w:r w:rsidRPr="00B64D4A">
        <w:rPr>
          <w:rStyle w:val="normaltextrun"/>
          <w:rFonts w:ascii="Arial" w:hAnsi="Arial" w:cs="Arial"/>
          <w:i/>
          <w:iCs/>
          <w:color w:val="000000"/>
          <w:sz w:val="22"/>
        </w:rPr>
        <w:t>técnicos</w:t>
      </w:r>
      <w:r>
        <w:rPr>
          <w:rStyle w:val="normaltextrun"/>
          <w:rFonts w:ascii="Arial" w:hAnsi="Arial" w:cs="Arial"/>
          <w:i/>
          <w:iCs/>
          <w:color w:val="000000"/>
          <w:sz w:val="22"/>
        </w:rPr>
        <w:t xml:space="preserve"> </w:t>
      </w:r>
      <w:r>
        <w:rPr>
          <w:rStyle w:val="normaltextrun"/>
          <w:rFonts w:ascii="Arial" w:hAnsi="Arial" w:cs="Arial"/>
          <w:color w:val="000000"/>
          <w:sz w:val="22"/>
        </w:rPr>
        <w:t xml:space="preserve">contar con profesionales y/o técnicos que contribuyan al desarrollo de los procesos de formación, actualización y conservación catastral y, </w:t>
      </w:r>
      <w:proofErr w:type="spellStart"/>
      <w:r>
        <w:rPr>
          <w:rStyle w:val="normaltextrun"/>
          <w:rFonts w:ascii="Arial" w:hAnsi="Arial" w:cs="Arial"/>
          <w:color w:val="000000"/>
          <w:sz w:val="22"/>
        </w:rPr>
        <w:t>iii</w:t>
      </w:r>
      <w:proofErr w:type="spellEnd"/>
      <w:r>
        <w:rPr>
          <w:rStyle w:val="normaltextrun"/>
          <w:rFonts w:ascii="Arial" w:hAnsi="Arial" w:cs="Arial"/>
          <w:color w:val="000000"/>
          <w:sz w:val="22"/>
        </w:rPr>
        <w:t xml:space="preserve">) </w:t>
      </w:r>
      <w:r w:rsidRPr="00B64D4A">
        <w:rPr>
          <w:rStyle w:val="normaltextrun"/>
          <w:rFonts w:ascii="Arial" w:hAnsi="Arial" w:cs="Arial"/>
          <w:i/>
          <w:iCs/>
          <w:color w:val="000000"/>
          <w:sz w:val="22"/>
        </w:rPr>
        <w:t>financieras</w:t>
      </w:r>
      <w:r>
        <w:rPr>
          <w:rStyle w:val="normaltextrun"/>
          <w:rFonts w:ascii="Arial" w:hAnsi="Arial" w:cs="Arial"/>
          <w:color w:val="000000"/>
          <w:sz w:val="22"/>
        </w:rPr>
        <w:t xml:space="preserve"> contar con la capacidad financiera necesaria para desarrollar las actividades que sirvan de insumo para adelantar los procesos de formación, actualización y conservación catastral, así como los procedimientos del enfoque catastral multipropósito</w:t>
      </w:r>
      <w:r w:rsidR="00760D9F">
        <w:rPr>
          <w:rStyle w:val="normaltextrun"/>
          <w:rFonts w:ascii="Arial" w:hAnsi="Arial" w:cs="Arial"/>
          <w:color w:val="000000"/>
          <w:sz w:val="22"/>
        </w:rPr>
        <w:t>.</w:t>
      </w:r>
      <w:r w:rsidR="00666573">
        <w:rPr>
          <w:rStyle w:val="normaltextrun"/>
          <w:rFonts w:ascii="Arial" w:hAnsi="Arial" w:cs="Arial"/>
          <w:color w:val="000000"/>
          <w:sz w:val="22"/>
        </w:rPr>
        <w:t xml:space="preserve"> De esta manera, dada la especialidad de la gestión catastral, el Gobierno nacional estableció algunos requisitos particulares de idoneidad que deben reunir los operadores catastrales, los cuales corresponde verificar a los gestores catastrales </w:t>
      </w:r>
      <w:r w:rsidR="00A777E1">
        <w:rPr>
          <w:rStyle w:val="normaltextrun"/>
          <w:rFonts w:ascii="Arial" w:hAnsi="Arial" w:cs="Arial"/>
          <w:color w:val="000000"/>
          <w:sz w:val="22"/>
        </w:rPr>
        <w:t xml:space="preserve">cuando </w:t>
      </w:r>
      <w:r w:rsidR="00666573">
        <w:rPr>
          <w:rStyle w:val="normaltextrun"/>
          <w:rFonts w:ascii="Arial" w:hAnsi="Arial" w:cs="Arial"/>
          <w:color w:val="000000"/>
          <w:sz w:val="22"/>
        </w:rPr>
        <w:t xml:space="preserve">deseen </w:t>
      </w:r>
      <w:r w:rsidR="00A777E1">
        <w:rPr>
          <w:rStyle w:val="normaltextrun"/>
          <w:rFonts w:ascii="Arial" w:hAnsi="Arial" w:cs="Arial"/>
          <w:color w:val="000000"/>
          <w:sz w:val="22"/>
        </w:rPr>
        <w:t>contratarlos</w:t>
      </w:r>
      <w:r w:rsidR="00666573">
        <w:rPr>
          <w:rStyle w:val="normaltextrun"/>
          <w:rFonts w:ascii="Arial" w:hAnsi="Arial" w:cs="Arial"/>
          <w:color w:val="000000"/>
          <w:sz w:val="22"/>
        </w:rPr>
        <w:t>, por lo que no basta con tener capacidad contractual, sino que se deben cumplir los requisitos especiales establecidos en el Decreto 1983 de 2019 –compilado en el Decreto 1170 de 2015–.</w:t>
      </w:r>
    </w:p>
    <w:p w14:paraId="0A409BED" w14:textId="2D5A047F" w:rsidR="00067F4B" w:rsidRDefault="004E26DB" w:rsidP="00A80C59">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En este sentido, </w:t>
      </w:r>
      <w:r w:rsidR="00F30838">
        <w:rPr>
          <w:rStyle w:val="normaltextrun"/>
          <w:rFonts w:ascii="Arial" w:hAnsi="Arial" w:cs="Arial"/>
          <w:color w:val="000000"/>
          <w:sz w:val="22"/>
        </w:rPr>
        <w:t>para que los gestores catastrales</w:t>
      </w:r>
      <w:r w:rsidR="00985670">
        <w:rPr>
          <w:rStyle w:val="normaltextrun"/>
          <w:rFonts w:ascii="Arial" w:hAnsi="Arial" w:cs="Arial"/>
          <w:color w:val="000000"/>
          <w:sz w:val="22"/>
        </w:rPr>
        <w:t xml:space="preserve"> puedan contratar a las comunidades étnicas para ser </w:t>
      </w:r>
      <w:r w:rsidR="00F30838">
        <w:rPr>
          <w:rStyle w:val="normaltextrun"/>
          <w:rFonts w:ascii="Arial" w:hAnsi="Arial" w:cs="Arial"/>
          <w:color w:val="000000"/>
          <w:sz w:val="22"/>
        </w:rPr>
        <w:t>operadores catastrales</w:t>
      </w:r>
      <w:r w:rsidR="00A777E1">
        <w:rPr>
          <w:rStyle w:val="normaltextrun"/>
          <w:rFonts w:ascii="Arial" w:hAnsi="Arial" w:cs="Arial"/>
          <w:color w:val="000000"/>
          <w:sz w:val="22"/>
        </w:rPr>
        <w:t xml:space="preserve">, </w:t>
      </w:r>
      <w:r w:rsidR="00AE13D1">
        <w:rPr>
          <w:rStyle w:val="normaltextrun"/>
          <w:rFonts w:ascii="Arial" w:hAnsi="Arial" w:cs="Arial"/>
          <w:color w:val="000000"/>
          <w:sz w:val="22"/>
        </w:rPr>
        <w:t xml:space="preserve">como sucede con cualquier otro tipo de posible operador catastral, </w:t>
      </w:r>
      <w:r w:rsidR="00A777E1">
        <w:rPr>
          <w:rStyle w:val="normaltextrun"/>
          <w:rFonts w:ascii="Arial" w:hAnsi="Arial" w:cs="Arial"/>
          <w:color w:val="000000"/>
          <w:sz w:val="22"/>
        </w:rPr>
        <w:t>es necesario que se cumplan los siguientes requisitos</w:t>
      </w:r>
      <w:r w:rsidR="00F30838">
        <w:rPr>
          <w:rStyle w:val="normaltextrun"/>
          <w:rFonts w:ascii="Arial" w:hAnsi="Arial" w:cs="Arial"/>
          <w:color w:val="000000"/>
          <w:sz w:val="22"/>
        </w:rPr>
        <w:t xml:space="preserve">. En primer lugar, </w:t>
      </w:r>
      <w:r w:rsidR="00985670">
        <w:rPr>
          <w:rStyle w:val="normaltextrun"/>
          <w:rFonts w:ascii="Arial" w:hAnsi="Arial" w:cs="Arial"/>
          <w:color w:val="000000"/>
          <w:sz w:val="22"/>
        </w:rPr>
        <w:t>que tengan capacidad para celebrar contratos con las entidades estatales</w:t>
      </w:r>
      <w:r w:rsidR="00EE71E1">
        <w:rPr>
          <w:rStyle w:val="normaltextrun"/>
          <w:rFonts w:ascii="Arial" w:hAnsi="Arial" w:cs="Arial"/>
          <w:color w:val="000000"/>
          <w:sz w:val="22"/>
        </w:rPr>
        <w:t>,</w:t>
      </w:r>
      <w:r w:rsidR="00985670">
        <w:rPr>
          <w:rStyle w:val="normaltextrun"/>
          <w:rFonts w:ascii="Arial" w:hAnsi="Arial" w:cs="Arial"/>
          <w:color w:val="000000"/>
          <w:sz w:val="22"/>
        </w:rPr>
        <w:t xml:space="preserve"> </w:t>
      </w:r>
      <w:r w:rsidR="000103BA">
        <w:rPr>
          <w:rStyle w:val="normaltextrun"/>
          <w:rFonts w:ascii="Arial" w:hAnsi="Arial" w:cs="Arial"/>
          <w:color w:val="000000"/>
          <w:sz w:val="22"/>
        </w:rPr>
        <w:t>y</w:t>
      </w:r>
      <w:r w:rsidR="00DA1393">
        <w:rPr>
          <w:rStyle w:val="normaltextrun"/>
          <w:rFonts w:ascii="Arial" w:hAnsi="Arial" w:cs="Arial"/>
          <w:color w:val="000000"/>
          <w:sz w:val="22"/>
        </w:rPr>
        <w:t>, en segundo lug</w:t>
      </w:r>
      <w:r w:rsidR="00DE7650">
        <w:rPr>
          <w:rStyle w:val="normaltextrun"/>
          <w:rFonts w:ascii="Arial" w:hAnsi="Arial" w:cs="Arial"/>
          <w:color w:val="000000"/>
          <w:sz w:val="22"/>
        </w:rPr>
        <w:t xml:space="preserve">ar, </w:t>
      </w:r>
      <w:r w:rsidR="00D30BB6">
        <w:rPr>
          <w:rStyle w:val="normaltextrun"/>
          <w:rFonts w:ascii="Arial" w:hAnsi="Arial" w:cs="Arial"/>
          <w:color w:val="000000"/>
          <w:sz w:val="22"/>
        </w:rPr>
        <w:t xml:space="preserve">que </w:t>
      </w:r>
      <w:r w:rsidR="00DA1393">
        <w:rPr>
          <w:rStyle w:val="normaltextrun"/>
          <w:rFonts w:ascii="Arial" w:hAnsi="Arial" w:cs="Arial"/>
          <w:color w:val="000000"/>
          <w:sz w:val="22"/>
        </w:rPr>
        <w:t xml:space="preserve">los gestores catastrales verifiquen el cumplimiento de los requisitos </w:t>
      </w:r>
      <w:r w:rsidR="000B1C4F">
        <w:rPr>
          <w:rStyle w:val="normaltextrun"/>
          <w:rFonts w:ascii="Arial" w:hAnsi="Arial" w:cs="Arial"/>
          <w:color w:val="000000"/>
          <w:sz w:val="22"/>
        </w:rPr>
        <w:t xml:space="preserve">establecidos </w:t>
      </w:r>
      <w:r w:rsidR="00DA1393">
        <w:rPr>
          <w:rStyle w:val="normaltextrun"/>
          <w:rFonts w:ascii="Arial" w:hAnsi="Arial" w:cs="Arial"/>
          <w:color w:val="000000"/>
          <w:sz w:val="22"/>
        </w:rPr>
        <w:t>en el artículo 2.2.2.5.11 del Decreto 1983 de 2019</w:t>
      </w:r>
      <w:r w:rsidR="000B1C4F">
        <w:rPr>
          <w:rStyle w:val="normaltextrun"/>
          <w:rFonts w:ascii="Arial" w:hAnsi="Arial" w:cs="Arial"/>
          <w:color w:val="000000"/>
          <w:sz w:val="22"/>
        </w:rPr>
        <w:t xml:space="preserve"> –compilado en el Decreto 1170 de 2015–</w:t>
      </w:r>
      <w:r w:rsidR="00DA1393">
        <w:rPr>
          <w:rStyle w:val="normaltextrun"/>
          <w:rFonts w:ascii="Arial" w:hAnsi="Arial" w:cs="Arial"/>
          <w:color w:val="000000"/>
          <w:sz w:val="22"/>
        </w:rPr>
        <w:t xml:space="preserve">. Esto significa que, es </w:t>
      </w:r>
      <w:r w:rsidR="002E5A8E">
        <w:rPr>
          <w:rStyle w:val="normaltextrun"/>
          <w:rFonts w:ascii="Arial" w:hAnsi="Arial" w:cs="Arial"/>
          <w:color w:val="000000"/>
          <w:sz w:val="22"/>
        </w:rPr>
        <w:t>fundamental que la persona jurídica de derecho públic</w:t>
      </w:r>
      <w:r w:rsidR="006E2BDF">
        <w:rPr>
          <w:rStyle w:val="normaltextrun"/>
          <w:rFonts w:ascii="Arial" w:hAnsi="Arial" w:cs="Arial"/>
          <w:color w:val="000000"/>
          <w:sz w:val="22"/>
        </w:rPr>
        <w:t>o</w:t>
      </w:r>
      <w:r w:rsidR="002E5A8E">
        <w:rPr>
          <w:rStyle w:val="normaltextrun"/>
          <w:rFonts w:ascii="Arial" w:hAnsi="Arial" w:cs="Arial"/>
          <w:color w:val="000000"/>
          <w:sz w:val="22"/>
        </w:rPr>
        <w:t xml:space="preserve"> acredite</w:t>
      </w:r>
      <w:r w:rsidR="006E2BDF">
        <w:rPr>
          <w:rStyle w:val="normaltextrun"/>
          <w:rFonts w:ascii="Arial" w:hAnsi="Arial" w:cs="Arial"/>
          <w:color w:val="000000"/>
          <w:sz w:val="22"/>
        </w:rPr>
        <w:t xml:space="preserve"> que dentro de su objeto social </w:t>
      </w:r>
      <w:r w:rsidR="00B37C0B">
        <w:rPr>
          <w:rStyle w:val="normaltextrun"/>
          <w:rFonts w:ascii="Arial" w:hAnsi="Arial" w:cs="Arial"/>
          <w:color w:val="000000"/>
          <w:sz w:val="22"/>
        </w:rPr>
        <w:t>se contemple alguna de las actividades que sirvan de insumo para la formación, actualización y conservación catastral</w:t>
      </w:r>
      <w:r w:rsidR="00B509E9">
        <w:rPr>
          <w:rStyle w:val="normaltextrun"/>
          <w:rFonts w:ascii="Arial" w:hAnsi="Arial" w:cs="Arial"/>
          <w:color w:val="000000"/>
          <w:sz w:val="22"/>
        </w:rPr>
        <w:t>. A</w:t>
      </w:r>
      <w:r w:rsidR="00B37C0B">
        <w:rPr>
          <w:rStyle w:val="normaltextrun"/>
          <w:rFonts w:ascii="Arial" w:hAnsi="Arial" w:cs="Arial"/>
          <w:color w:val="000000"/>
          <w:sz w:val="22"/>
        </w:rPr>
        <w:t xml:space="preserve">demás, </w:t>
      </w:r>
      <w:r w:rsidR="00B509E9">
        <w:rPr>
          <w:rStyle w:val="normaltextrun"/>
          <w:rFonts w:ascii="Arial" w:hAnsi="Arial" w:cs="Arial"/>
          <w:color w:val="000000"/>
          <w:sz w:val="22"/>
        </w:rPr>
        <w:t>deben contar con los profesionales</w:t>
      </w:r>
      <w:r w:rsidR="00DA1393">
        <w:rPr>
          <w:rStyle w:val="normaltextrun"/>
          <w:rFonts w:ascii="Arial" w:hAnsi="Arial" w:cs="Arial"/>
          <w:color w:val="000000"/>
          <w:sz w:val="22"/>
        </w:rPr>
        <w:t xml:space="preserve"> </w:t>
      </w:r>
      <w:r w:rsidR="00DC2073">
        <w:rPr>
          <w:rStyle w:val="normaltextrun"/>
          <w:rFonts w:ascii="Arial" w:hAnsi="Arial" w:cs="Arial"/>
          <w:color w:val="000000"/>
          <w:sz w:val="22"/>
        </w:rPr>
        <w:t xml:space="preserve">técnicos que contribuyan al desarrollo de los procesos de formación, actualización y conservación catastral. </w:t>
      </w:r>
      <w:r w:rsidR="00965141">
        <w:rPr>
          <w:rStyle w:val="normaltextrun"/>
          <w:rFonts w:ascii="Arial" w:hAnsi="Arial" w:cs="Arial"/>
          <w:color w:val="000000"/>
          <w:sz w:val="22"/>
        </w:rPr>
        <w:t>F</w:t>
      </w:r>
      <w:r w:rsidR="00DC2073">
        <w:rPr>
          <w:rStyle w:val="normaltextrun"/>
          <w:rFonts w:ascii="Arial" w:hAnsi="Arial" w:cs="Arial"/>
          <w:color w:val="000000"/>
          <w:sz w:val="22"/>
        </w:rPr>
        <w:t>inalmente,</w:t>
      </w:r>
      <w:r w:rsidR="00CA1795">
        <w:rPr>
          <w:rStyle w:val="normaltextrun"/>
          <w:rFonts w:ascii="Arial" w:hAnsi="Arial" w:cs="Arial"/>
          <w:color w:val="000000"/>
          <w:sz w:val="22"/>
        </w:rPr>
        <w:t xml:space="preserve"> </w:t>
      </w:r>
      <w:r w:rsidR="00965141">
        <w:rPr>
          <w:rStyle w:val="normaltextrun"/>
          <w:rFonts w:ascii="Arial" w:hAnsi="Arial" w:cs="Arial"/>
          <w:color w:val="000000"/>
          <w:sz w:val="22"/>
        </w:rPr>
        <w:t xml:space="preserve">debe </w:t>
      </w:r>
      <w:r w:rsidR="00CA1795">
        <w:rPr>
          <w:rStyle w:val="normaltextrun"/>
          <w:rFonts w:ascii="Arial" w:hAnsi="Arial" w:cs="Arial"/>
          <w:color w:val="000000"/>
          <w:sz w:val="22"/>
        </w:rPr>
        <w:t>verificar</w:t>
      </w:r>
      <w:r w:rsidR="00965141">
        <w:rPr>
          <w:rStyle w:val="normaltextrun"/>
          <w:rFonts w:ascii="Arial" w:hAnsi="Arial" w:cs="Arial"/>
          <w:color w:val="000000"/>
          <w:sz w:val="22"/>
        </w:rPr>
        <w:t>se</w:t>
      </w:r>
      <w:r w:rsidR="00CA1795">
        <w:rPr>
          <w:rStyle w:val="normaltextrun"/>
          <w:rFonts w:ascii="Arial" w:hAnsi="Arial" w:cs="Arial"/>
          <w:color w:val="000000"/>
          <w:sz w:val="22"/>
        </w:rPr>
        <w:t xml:space="preserve"> que cuenta con la capacidad financiera</w:t>
      </w:r>
      <w:r w:rsidR="00815486">
        <w:rPr>
          <w:rStyle w:val="normaltextrun"/>
          <w:rFonts w:ascii="Arial" w:hAnsi="Arial" w:cs="Arial"/>
          <w:color w:val="000000"/>
          <w:sz w:val="22"/>
        </w:rPr>
        <w:t xml:space="preserve"> para adelantar el proceso de formación, actualización y/o conservación catastral. </w:t>
      </w:r>
    </w:p>
    <w:p w14:paraId="684A8060" w14:textId="6FE916DC" w:rsidR="001F0B64" w:rsidRPr="00BF2D3E" w:rsidRDefault="00815486" w:rsidP="00BF2D3E">
      <w:pPr>
        <w:spacing w:before="120" w:after="120" w:line="276" w:lineRule="auto"/>
        <w:jc w:val="both"/>
        <w:rPr>
          <w:rStyle w:val="normaltextrun"/>
          <w:rFonts w:ascii="Arial" w:hAnsi="Arial" w:cs="Arial"/>
          <w:color w:val="000000"/>
          <w:sz w:val="22"/>
        </w:rPr>
      </w:pPr>
      <w:r>
        <w:rPr>
          <w:rStyle w:val="normaltextrun"/>
          <w:rFonts w:ascii="Arial" w:hAnsi="Arial" w:cs="Arial"/>
          <w:color w:val="000000"/>
          <w:sz w:val="22"/>
        </w:rPr>
        <w:tab/>
        <w:t xml:space="preserve">En este sentido, los gestores catastrales, en este caso el Instituto </w:t>
      </w:r>
      <w:r w:rsidR="00D90E36">
        <w:rPr>
          <w:rStyle w:val="normaltextrun"/>
          <w:rFonts w:ascii="Arial" w:hAnsi="Arial" w:cs="Arial"/>
          <w:color w:val="000000"/>
          <w:sz w:val="22"/>
        </w:rPr>
        <w:t xml:space="preserve">Geográfico </w:t>
      </w:r>
      <w:r w:rsidR="000C5878">
        <w:rPr>
          <w:rStyle w:val="normaltextrun"/>
          <w:rFonts w:ascii="Arial" w:hAnsi="Arial" w:cs="Arial"/>
          <w:color w:val="000000"/>
          <w:sz w:val="22"/>
        </w:rPr>
        <w:t xml:space="preserve">Agustín Codazzi, verificará </w:t>
      </w:r>
      <w:r w:rsidR="002775F9">
        <w:rPr>
          <w:rStyle w:val="normaltextrun"/>
          <w:rFonts w:ascii="Arial" w:hAnsi="Arial" w:cs="Arial"/>
          <w:color w:val="000000"/>
          <w:sz w:val="22"/>
        </w:rPr>
        <w:t xml:space="preserve">que las </w:t>
      </w:r>
      <w:r w:rsidR="00397AAE">
        <w:rPr>
          <w:rStyle w:val="normaltextrun"/>
          <w:rFonts w:ascii="Arial" w:hAnsi="Arial" w:cs="Arial"/>
          <w:color w:val="000000"/>
          <w:sz w:val="22"/>
        </w:rPr>
        <w:t xml:space="preserve">comunidades étnicas </w:t>
      </w:r>
      <w:r w:rsidR="002775F9">
        <w:rPr>
          <w:rStyle w:val="normaltextrun"/>
          <w:rFonts w:ascii="Arial" w:hAnsi="Arial" w:cs="Arial"/>
          <w:color w:val="000000"/>
          <w:sz w:val="22"/>
        </w:rPr>
        <w:t>cumpl</w:t>
      </w:r>
      <w:r w:rsidR="000B1C4F">
        <w:rPr>
          <w:rStyle w:val="normaltextrun"/>
          <w:rFonts w:ascii="Arial" w:hAnsi="Arial" w:cs="Arial"/>
          <w:color w:val="000000"/>
          <w:sz w:val="22"/>
        </w:rPr>
        <w:t>a</w:t>
      </w:r>
      <w:r w:rsidR="002775F9">
        <w:rPr>
          <w:rStyle w:val="normaltextrun"/>
          <w:rFonts w:ascii="Arial" w:hAnsi="Arial" w:cs="Arial"/>
          <w:color w:val="000000"/>
          <w:sz w:val="22"/>
        </w:rPr>
        <w:t xml:space="preserve">n los requisitos mencionados </w:t>
      </w:r>
      <w:r w:rsidR="004C048C">
        <w:rPr>
          <w:rStyle w:val="normaltextrun"/>
          <w:rFonts w:ascii="Arial" w:hAnsi="Arial" w:cs="Arial"/>
          <w:color w:val="000000"/>
          <w:sz w:val="22"/>
        </w:rPr>
        <w:t xml:space="preserve">anteriormente para poder contratarlos </w:t>
      </w:r>
      <w:r w:rsidR="00B26673">
        <w:rPr>
          <w:rStyle w:val="normaltextrun"/>
          <w:rFonts w:ascii="Arial" w:hAnsi="Arial" w:cs="Arial"/>
          <w:color w:val="000000"/>
          <w:sz w:val="22"/>
        </w:rPr>
        <w:t>como operadores catastrale</w:t>
      </w:r>
      <w:r w:rsidR="001F1008">
        <w:rPr>
          <w:rStyle w:val="normaltextrun"/>
          <w:rFonts w:ascii="Arial" w:hAnsi="Arial" w:cs="Arial"/>
          <w:color w:val="000000"/>
          <w:sz w:val="22"/>
        </w:rPr>
        <w:t>s</w:t>
      </w:r>
      <w:r w:rsidR="002C47F9">
        <w:rPr>
          <w:rStyle w:val="normaltextrun"/>
          <w:rFonts w:ascii="Arial" w:hAnsi="Arial" w:cs="Arial"/>
          <w:color w:val="000000"/>
          <w:sz w:val="22"/>
        </w:rPr>
        <w:t>, a saber</w:t>
      </w:r>
      <w:r w:rsidR="00164E06">
        <w:rPr>
          <w:rStyle w:val="normaltextrun"/>
          <w:rFonts w:ascii="Arial" w:hAnsi="Arial" w:cs="Arial"/>
          <w:color w:val="000000"/>
          <w:sz w:val="22"/>
        </w:rPr>
        <w:t>:</w:t>
      </w:r>
      <w:r w:rsidR="00B26673">
        <w:rPr>
          <w:rStyle w:val="normaltextrun"/>
          <w:rFonts w:ascii="Arial" w:hAnsi="Arial" w:cs="Arial"/>
          <w:color w:val="000000"/>
          <w:sz w:val="22"/>
        </w:rPr>
        <w:t xml:space="preserve"> </w:t>
      </w:r>
      <w:r w:rsidR="00B26673">
        <w:rPr>
          <w:rStyle w:val="normaltextrun"/>
          <w:rFonts w:ascii="Arial" w:hAnsi="Arial" w:cs="Arial"/>
          <w:color w:val="000000"/>
          <w:sz w:val="22"/>
        </w:rPr>
        <w:lastRenderedPageBreak/>
        <w:t xml:space="preserve">i) </w:t>
      </w:r>
      <w:r w:rsidR="00F53398">
        <w:rPr>
          <w:rStyle w:val="normaltextrun"/>
          <w:rFonts w:ascii="Arial" w:hAnsi="Arial" w:cs="Arial"/>
          <w:color w:val="000000"/>
          <w:sz w:val="22"/>
        </w:rPr>
        <w:t xml:space="preserve">que efectivamente </w:t>
      </w:r>
      <w:r w:rsidR="00B26673">
        <w:rPr>
          <w:rStyle w:val="normaltextrun"/>
          <w:rFonts w:ascii="Arial" w:hAnsi="Arial" w:cs="Arial"/>
          <w:color w:val="000000"/>
          <w:sz w:val="22"/>
        </w:rPr>
        <w:t>t</w:t>
      </w:r>
      <w:r w:rsidR="001F1008">
        <w:rPr>
          <w:rStyle w:val="normaltextrun"/>
          <w:rFonts w:ascii="Arial" w:hAnsi="Arial" w:cs="Arial"/>
          <w:color w:val="000000"/>
          <w:sz w:val="22"/>
        </w:rPr>
        <w:t>engan</w:t>
      </w:r>
      <w:r w:rsidR="00B26673">
        <w:rPr>
          <w:rStyle w:val="normaltextrun"/>
          <w:rFonts w:ascii="Arial" w:hAnsi="Arial" w:cs="Arial"/>
          <w:color w:val="000000"/>
          <w:sz w:val="22"/>
        </w:rPr>
        <w:t xml:space="preserve"> la capacidad para celebrar contratos con las entidades estatales y </w:t>
      </w:r>
      <w:proofErr w:type="spellStart"/>
      <w:r w:rsidR="00B26673">
        <w:rPr>
          <w:rStyle w:val="normaltextrun"/>
          <w:rFonts w:ascii="Arial" w:hAnsi="Arial" w:cs="Arial"/>
          <w:color w:val="000000"/>
          <w:sz w:val="22"/>
        </w:rPr>
        <w:t>ii</w:t>
      </w:r>
      <w:proofErr w:type="spellEnd"/>
      <w:r w:rsidR="00B26673">
        <w:rPr>
          <w:rStyle w:val="normaltextrun"/>
          <w:rFonts w:ascii="Arial" w:hAnsi="Arial" w:cs="Arial"/>
          <w:color w:val="000000"/>
          <w:sz w:val="22"/>
        </w:rPr>
        <w:t xml:space="preserve">) </w:t>
      </w:r>
      <w:r w:rsidR="000B1C4F">
        <w:rPr>
          <w:rStyle w:val="normaltextrun"/>
          <w:rFonts w:ascii="Arial" w:hAnsi="Arial" w:cs="Arial"/>
          <w:color w:val="000000"/>
          <w:sz w:val="22"/>
        </w:rPr>
        <w:t xml:space="preserve">que </w:t>
      </w:r>
      <w:r w:rsidR="00B26673">
        <w:rPr>
          <w:rStyle w:val="normaltextrun"/>
          <w:rFonts w:ascii="Arial" w:hAnsi="Arial" w:cs="Arial"/>
          <w:color w:val="000000"/>
          <w:sz w:val="22"/>
        </w:rPr>
        <w:t>cumpl</w:t>
      </w:r>
      <w:r w:rsidR="001F1008">
        <w:rPr>
          <w:rStyle w:val="normaltextrun"/>
          <w:rFonts w:ascii="Arial" w:hAnsi="Arial" w:cs="Arial"/>
          <w:color w:val="000000"/>
          <w:sz w:val="22"/>
        </w:rPr>
        <w:t>a</w:t>
      </w:r>
      <w:r w:rsidR="00B26673">
        <w:rPr>
          <w:rStyle w:val="normaltextrun"/>
          <w:rFonts w:ascii="Arial" w:hAnsi="Arial" w:cs="Arial"/>
          <w:color w:val="000000"/>
          <w:sz w:val="22"/>
        </w:rPr>
        <w:t xml:space="preserve">n los requisitos </w:t>
      </w:r>
      <w:r w:rsidR="000B1C4F">
        <w:rPr>
          <w:rStyle w:val="normaltextrun"/>
          <w:rFonts w:ascii="Arial" w:hAnsi="Arial" w:cs="Arial"/>
          <w:color w:val="000000"/>
          <w:sz w:val="22"/>
        </w:rPr>
        <w:t xml:space="preserve">establecidos </w:t>
      </w:r>
      <w:r w:rsidR="00B26673">
        <w:rPr>
          <w:rStyle w:val="normaltextrun"/>
          <w:rFonts w:ascii="Arial" w:hAnsi="Arial" w:cs="Arial"/>
          <w:color w:val="000000"/>
          <w:sz w:val="22"/>
        </w:rPr>
        <w:t>en el artículo</w:t>
      </w:r>
      <w:r w:rsidR="00BF2D3E">
        <w:rPr>
          <w:rStyle w:val="normaltextrun"/>
          <w:rFonts w:ascii="Arial" w:hAnsi="Arial" w:cs="Arial"/>
          <w:color w:val="000000"/>
          <w:sz w:val="22"/>
        </w:rPr>
        <w:t xml:space="preserve"> 2.2.2.5.11 del Decreto 1983 de 2019</w:t>
      </w:r>
      <w:r w:rsidR="000B1C4F">
        <w:rPr>
          <w:rStyle w:val="normaltextrun"/>
          <w:rFonts w:ascii="Arial" w:hAnsi="Arial" w:cs="Arial"/>
          <w:color w:val="000000"/>
          <w:sz w:val="22"/>
        </w:rPr>
        <w:t xml:space="preserve"> –compilado en el Decreto 1170 de 2015–, que como se explicó </w:t>
      </w:r>
      <w:r w:rsidR="00CF0EAF">
        <w:rPr>
          <w:rStyle w:val="normaltextrun"/>
          <w:rFonts w:ascii="Arial" w:hAnsi="Arial" w:cs="Arial"/>
          <w:color w:val="000000"/>
          <w:sz w:val="22"/>
        </w:rPr>
        <w:t xml:space="preserve">establece los requisitos </w:t>
      </w:r>
      <w:r w:rsidR="00CF0EAF" w:rsidRPr="00CF0EAF">
        <w:rPr>
          <w:rStyle w:val="normaltextrun"/>
          <w:rFonts w:ascii="Arial" w:hAnsi="Arial" w:cs="Arial"/>
          <w:color w:val="000000"/>
          <w:sz w:val="22"/>
        </w:rPr>
        <w:t>para la contratación de operadores catastrales</w:t>
      </w:r>
      <w:r w:rsidR="00BF2D3E">
        <w:rPr>
          <w:rStyle w:val="normaltextrun"/>
          <w:rFonts w:ascii="Arial" w:hAnsi="Arial" w:cs="Arial"/>
          <w:color w:val="000000"/>
          <w:sz w:val="22"/>
        </w:rPr>
        <w:t>.</w:t>
      </w:r>
    </w:p>
    <w:p w14:paraId="0D2BC542" w14:textId="6FE39B19" w:rsidR="001F0B64" w:rsidRPr="0069239E" w:rsidRDefault="001F0B64" w:rsidP="001F0B64">
      <w:pPr>
        <w:tabs>
          <w:tab w:val="left" w:pos="0"/>
        </w:tabs>
        <w:spacing w:line="276" w:lineRule="auto"/>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3. Respuesta</w:t>
      </w:r>
    </w:p>
    <w:p w14:paraId="633B3B68" w14:textId="77777777" w:rsidR="001F0B64" w:rsidRPr="00B879E4" w:rsidRDefault="001F0B64" w:rsidP="001F0B64">
      <w:pPr>
        <w:tabs>
          <w:tab w:val="left" w:pos="567"/>
        </w:tabs>
        <w:spacing w:line="276" w:lineRule="auto"/>
        <w:ind w:left="709" w:right="476"/>
        <w:jc w:val="both"/>
        <w:rPr>
          <w:rFonts w:ascii="Arial" w:eastAsia="Calibri" w:hAnsi="Arial" w:cs="Arial"/>
          <w:color w:val="000000" w:themeColor="text1"/>
          <w:sz w:val="21"/>
          <w:szCs w:val="21"/>
          <w:lang w:val="es-ES_tradnl"/>
        </w:rPr>
      </w:pPr>
    </w:p>
    <w:p w14:paraId="46C997D8" w14:textId="51FC87B4" w:rsidR="00F76B1E" w:rsidRPr="00F76B1E" w:rsidRDefault="002545C6" w:rsidP="00F76B1E">
      <w:pPr>
        <w:spacing w:after="120"/>
        <w:ind w:left="708" w:right="1183"/>
        <w:jc w:val="both"/>
        <w:rPr>
          <w:rStyle w:val="normaltextrun"/>
          <w:rFonts w:ascii="Arial" w:hAnsi="Arial" w:cs="Arial"/>
          <w:sz w:val="21"/>
          <w:szCs w:val="21"/>
          <w:shd w:val="clear" w:color="auto" w:fill="FFFFFF"/>
          <w:lang w:val="es-ES_tradnl"/>
        </w:rPr>
      </w:pPr>
      <w:r w:rsidRPr="002545C6">
        <w:rPr>
          <w:rFonts w:ascii="Arial" w:hAnsi="Arial" w:cs="Arial"/>
          <w:bCs/>
          <w:sz w:val="21"/>
          <w:szCs w:val="21"/>
          <w:shd w:val="clear" w:color="auto" w:fill="FFFFFF"/>
        </w:rPr>
        <w:t>«</w:t>
      </w:r>
      <w:r w:rsidRPr="002545C6">
        <w:rPr>
          <w:rFonts w:ascii="Arial" w:hAnsi="Arial" w:cs="Arial"/>
          <w:sz w:val="21"/>
          <w:szCs w:val="21"/>
          <w:shd w:val="clear" w:color="auto" w:fill="FFFFFF"/>
          <w:lang w:val="es-ES_tradnl"/>
        </w:rPr>
        <w:t>¿puede el Instituto Geográfico Agustín Codazzi en el marco de los procesos contractuales que adelante para la ejecución de procesos de actualización catastral incorporar (sic) acciones afirmativas con enfoque diferencial dirigidas a comunidades étnicas con capacidad para contratar conforme lo establece el artículo 6 de la Ley 80 de 1993 y que se encuentren en capacidad de prestar el servicio público de catastro como operadores catastrales […]?</w:t>
      </w:r>
    </w:p>
    <w:p w14:paraId="7279E7EE" w14:textId="666D2685" w:rsidR="006B49E2" w:rsidRDefault="006B49E2" w:rsidP="007130F2">
      <w:pPr>
        <w:spacing w:before="120" w:after="120" w:line="276" w:lineRule="auto"/>
        <w:jc w:val="both"/>
        <w:rPr>
          <w:rStyle w:val="normaltextrun"/>
          <w:rFonts w:ascii="Arial" w:hAnsi="Arial" w:cs="Arial"/>
          <w:color w:val="000000"/>
          <w:sz w:val="22"/>
        </w:rPr>
      </w:pPr>
      <w:r>
        <w:rPr>
          <w:rStyle w:val="normaltextrun"/>
          <w:rFonts w:ascii="Arial" w:hAnsi="Arial" w:cs="Arial"/>
          <w:color w:val="000000"/>
          <w:sz w:val="22"/>
        </w:rPr>
        <w:t xml:space="preserve">La Agencia Nacional de Contratación Pública </w:t>
      </w:r>
      <w:r w:rsidR="00A777E1">
        <w:rPr>
          <w:rStyle w:val="normaltextrun"/>
          <w:rFonts w:ascii="Arial" w:hAnsi="Arial" w:cs="Arial"/>
          <w:color w:val="000000"/>
          <w:sz w:val="22"/>
        </w:rPr>
        <w:t>considera</w:t>
      </w:r>
      <w:r>
        <w:rPr>
          <w:rStyle w:val="normaltextrun"/>
          <w:rFonts w:ascii="Arial" w:hAnsi="Arial" w:cs="Arial"/>
          <w:color w:val="000000"/>
          <w:sz w:val="22"/>
        </w:rPr>
        <w:t xml:space="preserve"> que, si bien a partir de la expedición de la Ley 2160 de 2021 se permite a los cabildos indígenas, a las asociaciones de Autoridades Tradicionales Indígenas, a los consejos comunitarios de las comunidades negras, incluso a organizaciones</w:t>
      </w:r>
      <w:r w:rsidR="00E67387">
        <w:rPr>
          <w:rStyle w:val="normaltextrun"/>
          <w:rFonts w:ascii="Arial" w:hAnsi="Arial" w:cs="Arial"/>
          <w:color w:val="000000"/>
          <w:sz w:val="22"/>
        </w:rPr>
        <w:t xml:space="preserve"> de base de comunidades</w:t>
      </w:r>
      <w:r>
        <w:rPr>
          <w:rStyle w:val="normaltextrun"/>
          <w:rFonts w:ascii="Arial" w:hAnsi="Arial" w:cs="Arial"/>
          <w:color w:val="000000"/>
          <w:sz w:val="22"/>
        </w:rPr>
        <w:t xml:space="preserve"> negras, afrocolombianas, raizales y palenquera</w:t>
      </w:r>
      <w:r w:rsidR="00953DBA">
        <w:rPr>
          <w:rStyle w:val="normaltextrun"/>
          <w:rFonts w:ascii="Arial" w:hAnsi="Arial" w:cs="Arial"/>
          <w:color w:val="000000"/>
          <w:sz w:val="22"/>
        </w:rPr>
        <w:t>s y las demás formas y expresiones organizativas</w:t>
      </w:r>
      <w:r>
        <w:rPr>
          <w:rStyle w:val="normaltextrun"/>
          <w:rFonts w:ascii="Arial" w:hAnsi="Arial" w:cs="Arial"/>
          <w:color w:val="000000"/>
          <w:sz w:val="22"/>
        </w:rPr>
        <w:t xml:space="preserve">, entre otros, </w:t>
      </w:r>
      <w:r w:rsidR="00953DBA">
        <w:rPr>
          <w:rStyle w:val="normaltextrun"/>
          <w:rFonts w:ascii="Arial" w:hAnsi="Arial" w:cs="Arial"/>
          <w:color w:val="000000"/>
          <w:sz w:val="22"/>
        </w:rPr>
        <w:t xml:space="preserve">bajo el cumplimiento de ciertos requisitos, para </w:t>
      </w:r>
      <w:r>
        <w:rPr>
          <w:rStyle w:val="normaltextrun"/>
          <w:rFonts w:ascii="Arial" w:hAnsi="Arial" w:cs="Arial"/>
          <w:color w:val="000000"/>
          <w:sz w:val="22"/>
        </w:rPr>
        <w:t>celebrar contratos con las entidades estatales, esta norma no faculta de</w:t>
      </w:r>
      <w:r w:rsidRPr="00190FC0">
        <w:rPr>
          <w:rStyle w:val="normaltextrun"/>
          <w:rFonts w:ascii="Arial" w:hAnsi="Arial" w:cs="Arial"/>
          <w:i/>
          <w:iCs/>
          <w:color w:val="000000"/>
          <w:sz w:val="22"/>
        </w:rPr>
        <w:t xml:space="preserve"> per se</w:t>
      </w:r>
      <w:r w:rsidRPr="00190FC0">
        <w:rPr>
          <w:rStyle w:val="normaltextrun"/>
          <w:rFonts w:ascii="Arial" w:hAnsi="Arial" w:cs="Arial"/>
          <w:color w:val="000000"/>
          <w:sz w:val="22"/>
        </w:rPr>
        <w:t xml:space="preserve"> </w:t>
      </w:r>
      <w:r>
        <w:rPr>
          <w:rStyle w:val="normaltextrun"/>
          <w:rFonts w:ascii="Arial" w:hAnsi="Arial" w:cs="Arial"/>
          <w:color w:val="000000"/>
          <w:sz w:val="22"/>
        </w:rPr>
        <w:t xml:space="preserve">a que estas entidades </w:t>
      </w:r>
      <w:r w:rsidR="00953DBA">
        <w:rPr>
          <w:rStyle w:val="normaltextrun"/>
          <w:rFonts w:ascii="Arial" w:hAnsi="Arial" w:cs="Arial"/>
          <w:color w:val="000000"/>
          <w:sz w:val="22"/>
        </w:rPr>
        <w:t xml:space="preserve">funjan como </w:t>
      </w:r>
      <w:r>
        <w:rPr>
          <w:rStyle w:val="normaltextrun"/>
          <w:rFonts w:ascii="Arial" w:hAnsi="Arial" w:cs="Arial"/>
          <w:color w:val="000000"/>
          <w:sz w:val="22"/>
        </w:rPr>
        <w:t xml:space="preserve">operadores catastrales. </w:t>
      </w:r>
    </w:p>
    <w:p w14:paraId="49C38661" w14:textId="651D4ED7" w:rsidR="006B49E2" w:rsidRDefault="006B49E2" w:rsidP="006B49E2">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 xml:space="preserve">Lo anterior, </w:t>
      </w:r>
      <w:r w:rsidR="0034014A">
        <w:rPr>
          <w:rStyle w:val="normaltextrun"/>
          <w:rFonts w:ascii="Arial" w:hAnsi="Arial" w:cs="Arial"/>
          <w:color w:val="000000"/>
          <w:sz w:val="22"/>
        </w:rPr>
        <w:t>debido</w:t>
      </w:r>
      <w:r>
        <w:rPr>
          <w:rStyle w:val="normaltextrun"/>
          <w:rFonts w:ascii="Arial" w:hAnsi="Arial" w:cs="Arial"/>
          <w:color w:val="000000"/>
          <w:sz w:val="22"/>
        </w:rPr>
        <w:t xml:space="preserve"> a que</w:t>
      </w:r>
      <w:r w:rsidR="00835CAF">
        <w:rPr>
          <w:rStyle w:val="normaltextrun"/>
          <w:rFonts w:ascii="Arial" w:hAnsi="Arial" w:cs="Arial"/>
          <w:color w:val="000000"/>
          <w:sz w:val="22"/>
        </w:rPr>
        <w:t xml:space="preserve"> </w:t>
      </w:r>
      <w:r w:rsidR="0034014A">
        <w:rPr>
          <w:rStyle w:val="normaltextrun"/>
          <w:rFonts w:ascii="Arial" w:hAnsi="Arial" w:cs="Arial"/>
          <w:color w:val="000000"/>
          <w:sz w:val="22"/>
        </w:rPr>
        <w:t xml:space="preserve">los </w:t>
      </w:r>
      <w:r>
        <w:rPr>
          <w:rStyle w:val="normaltextrun"/>
          <w:rFonts w:ascii="Arial" w:hAnsi="Arial" w:cs="Arial"/>
          <w:color w:val="000000"/>
          <w:sz w:val="22"/>
        </w:rPr>
        <w:t>artículo</w:t>
      </w:r>
      <w:r w:rsidR="0034014A">
        <w:rPr>
          <w:rStyle w:val="normaltextrun"/>
          <w:rFonts w:ascii="Arial" w:hAnsi="Arial" w:cs="Arial"/>
          <w:color w:val="000000"/>
          <w:sz w:val="22"/>
        </w:rPr>
        <w:t>s</w:t>
      </w:r>
      <w:r>
        <w:rPr>
          <w:rStyle w:val="normaltextrun"/>
          <w:rFonts w:ascii="Arial" w:hAnsi="Arial" w:cs="Arial"/>
          <w:color w:val="000000"/>
          <w:sz w:val="22"/>
        </w:rPr>
        <w:t xml:space="preserve"> 2.2.2.5.11 </w:t>
      </w:r>
      <w:r w:rsidR="0034014A">
        <w:rPr>
          <w:rStyle w:val="normaltextrun"/>
          <w:rFonts w:ascii="Arial" w:hAnsi="Arial" w:cs="Arial"/>
          <w:color w:val="000000"/>
          <w:sz w:val="22"/>
        </w:rPr>
        <w:t xml:space="preserve">y </w:t>
      </w:r>
      <w:r w:rsidR="0034014A" w:rsidRPr="0034014A">
        <w:rPr>
          <w:rStyle w:val="normaltextrun"/>
          <w:rFonts w:ascii="Arial" w:hAnsi="Arial" w:cs="Arial"/>
          <w:color w:val="000000"/>
          <w:sz w:val="22"/>
        </w:rPr>
        <w:t xml:space="preserve">2.2.2.5.12. </w:t>
      </w:r>
      <w:r>
        <w:rPr>
          <w:rStyle w:val="normaltextrun"/>
          <w:rFonts w:ascii="Arial" w:hAnsi="Arial" w:cs="Arial"/>
          <w:color w:val="000000"/>
          <w:sz w:val="22"/>
        </w:rPr>
        <w:t xml:space="preserve">del Decreto 1983 de 2019 </w:t>
      </w:r>
      <w:r w:rsidR="00953DBA">
        <w:rPr>
          <w:rStyle w:val="normaltextrun"/>
          <w:rFonts w:ascii="Arial" w:hAnsi="Arial" w:cs="Arial"/>
          <w:color w:val="000000"/>
          <w:sz w:val="22"/>
        </w:rPr>
        <w:t>–compilado</w:t>
      </w:r>
      <w:r w:rsidR="0034014A">
        <w:rPr>
          <w:rStyle w:val="normaltextrun"/>
          <w:rFonts w:ascii="Arial" w:hAnsi="Arial" w:cs="Arial"/>
          <w:color w:val="000000"/>
          <w:sz w:val="22"/>
        </w:rPr>
        <w:t>s</w:t>
      </w:r>
      <w:r w:rsidR="00953DBA">
        <w:rPr>
          <w:rStyle w:val="normaltextrun"/>
          <w:rFonts w:ascii="Arial" w:hAnsi="Arial" w:cs="Arial"/>
          <w:color w:val="000000"/>
          <w:sz w:val="22"/>
        </w:rPr>
        <w:t xml:space="preserve"> en el Decreto 1170 de 2015– </w:t>
      </w:r>
      <w:r>
        <w:rPr>
          <w:rStyle w:val="normaltextrun"/>
          <w:rFonts w:ascii="Arial" w:hAnsi="Arial" w:cs="Arial"/>
          <w:color w:val="000000"/>
          <w:sz w:val="22"/>
        </w:rPr>
        <w:t>prevé</w:t>
      </w:r>
      <w:r w:rsidR="0034014A">
        <w:rPr>
          <w:rStyle w:val="normaltextrun"/>
          <w:rFonts w:ascii="Arial" w:hAnsi="Arial" w:cs="Arial"/>
          <w:color w:val="000000"/>
          <w:sz w:val="22"/>
        </w:rPr>
        <w:t>n</w:t>
      </w:r>
      <w:r>
        <w:rPr>
          <w:rStyle w:val="normaltextrun"/>
          <w:rFonts w:ascii="Arial" w:hAnsi="Arial" w:cs="Arial"/>
          <w:color w:val="000000"/>
          <w:sz w:val="22"/>
        </w:rPr>
        <w:t xml:space="preserve"> los requisitos necesarios que deberán verificar los gestores catastrales para contratar a los </w:t>
      </w:r>
      <w:r w:rsidRPr="00410C4C">
        <w:rPr>
          <w:rStyle w:val="normaltextrun"/>
          <w:rFonts w:ascii="Arial" w:hAnsi="Arial" w:cs="Arial"/>
          <w:i/>
          <w:iCs/>
          <w:color w:val="000000"/>
          <w:sz w:val="22"/>
        </w:rPr>
        <w:t>operadores</w:t>
      </w:r>
      <w:r w:rsidR="00953DBA" w:rsidRPr="00410C4C">
        <w:rPr>
          <w:rStyle w:val="normaltextrun"/>
          <w:rFonts w:ascii="Arial" w:hAnsi="Arial" w:cs="Arial"/>
          <w:i/>
          <w:iCs/>
          <w:color w:val="000000"/>
          <w:sz w:val="22"/>
        </w:rPr>
        <w:t xml:space="preserve"> cata</w:t>
      </w:r>
      <w:r w:rsidR="00953DBA">
        <w:rPr>
          <w:rStyle w:val="normaltextrun"/>
          <w:rFonts w:ascii="Arial" w:hAnsi="Arial" w:cs="Arial"/>
          <w:i/>
          <w:iCs/>
          <w:color w:val="000000"/>
          <w:sz w:val="22"/>
        </w:rPr>
        <w:t>s</w:t>
      </w:r>
      <w:r w:rsidR="00953DBA" w:rsidRPr="00410C4C">
        <w:rPr>
          <w:rStyle w:val="normaltextrun"/>
          <w:rFonts w:ascii="Arial" w:hAnsi="Arial" w:cs="Arial"/>
          <w:i/>
          <w:iCs/>
          <w:color w:val="000000"/>
          <w:sz w:val="22"/>
        </w:rPr>
        <w:t>trales</w:t>
      </w:r>
      <w:r>
        <w:rPr>
          <w:rStyle w:val="normaltextrun"/>
          <w:rFonts w:ascii="Arial" w:hAnsi="Arial" w:cs="Arial"/>
          <w:color w:val="000000"/>
          <w:sz w:val="22"/>
        </w:rPr>
        <w:t xml:space="preserve">. Estos requisitos son: i) </w:t>
      </w:r>
      <w:r w:rsidRPr="0027184F">
        <w:rPr>
          <w:rStyle w:val="normaltextrun"/>
          <w:rFonts w:ascii="Arial" w:hAnsi="Arial" w:cs="Arial"/>
          <w:i/>
          <w:iCs/>
          <w:color w:val="000000"/>
          <w:sz w:val="22"/>
        </w:rPr>
        <w:t>jurídicos</w:t>
      </w:r>
      <w:r w:rsidR="0034014A">
        <w:rPr>
          <w:rStyle w:val="normaltextrun"/>
          <w:rFonts w:ascii="Arial" w:hAnsi="Arial" w:cs="Arial"/>
          <w:i/>
          <w:iCs/>
          <w:color w:val="000000"/>
          <w:sz w:val="22"/>
        </w:rPr>
        <w:t>:</w:t>
      </w:r>
      <w:r>
        <w:rPr>
          <w:rStyle w:val="normaltextrun"/>
          <w:rFonts w:ascii="Arial" w:hAnsi="Arial" w:cs="Arial"/>
          <w:color w:val="000000"/>
          <w:sz w:val="22"/>
        </w:rPr>
        <w:t xml:space="preserve"> estar constituido como una persona jurídica de derecho público o privado y acreditar que dentro de su objeto social se contemple cualquiera de las actividades que sirvan de insumos para adelantar los procesos de formación, actualización y conservación catastral, </w:t>
      </w:r>
      <w:proofErr w:type="spellStart"/>
      <w:r>
        <w:rPr>
          <w:rStyle w:val="normaltextrun"/>
          <w:rFonts w:ascii="Arial" w:hAnsi="Arial" w:cs="Arial"/>
          <w:color w:val="000000"/>
          <w:sz w:val="22"/>
        </w:rPr>
        <w:t>ii</w:t>
      </w:r>
      <w:proofErr w:type="spellEnd"/>
      <w:r>
        <w:rPr>
          <w:rStyle w:val="normaltextrun"/>
          <w:rFonts w:ascii="Arial" w:hAnsi="Arial" w:cs="Arial"/>
          <w:color w:val="000000"/>
          <w:sz w:val="22"/>
        </w:rPr>
        <w:t xml:space="preserve">) </w:t>
      </w:r>
      <w:r w:rsidRPr="00B64D4A">
        <w:rPr>
          <w:rStyle w:val="normaltextrun"/>
          <w:rFonts w:ascii="Arial" w:hAnsi="Arial" w:cs="Arial"/>
          <w:i/>
          <w:iCs/>
          <w:color w:val="000000"/>
          <w:sz w:val="22"/>
        </w:rPr>
        <w:t>técnicos</w:t>
      </w:r>
      <w:r w:rsidR="0034014A">
        <w:rPr>
          <w:rStyle w:val="normaltextrun"/>
          <w:rFonts w:ascii="Arial" w:hAnsi="Arial" w:cs="Arial"/>
          <w:i/>
          <w:iCs/>
          <w:color w:val="000000"/>
          <w:sz w:val="22"/>
        </w:rPr>
        <w:t>:</w:t>
      </w:r>
      <w:r>
        <w:rPr>
          <w:rStyle w:val="normaltextrun"/>
          <w:rFonts w:ascii="Arial" w:hAnsi="Arial" w:cs="Arial"/>
          <w:i/>
          <w:iCs/>
          <w:color w:val="000000"/>
          <w:sz w:val="22"/>
        </w:rPr>
        <w:t xml:space="preserve"> </w:t>
      </w:r>
      <w:r>
        <w:rPr>
          <w:rStyle w:val="normaltextrun"/>
          <w:rFonts w:ascii="Arial" w:hAnsi="Arial" w:cs="Arial"/>
          <w:color w:val="000000"/>
          <w:sz w:val="22"/>
        </w:rPr>
        <w:t xml:space="preserve">contar con profesionales y/o técnicos que contribuyan al desarrollo de los procesos de formación, actualización y conservación catastral y, </w:t>
      </w:r>
      <w:proofErr w:type="spellStart"/>
      <w:r>
        <w:rPr>
          <w:rStyle w:val="normaltextrun"/>
          <w:rFonts w:ascii="Arial" w:hAnsi="Arial" w:cs="Arial"/>
          <w:color w:val="000000"/>
          <w:sz w:val="22"/>
        </w:rPr>
        <w:t>iii</w:t>
      </w:r>
      <w:proofErr w:type="spellEnd"/>
      <w:r>
        <w:rPr>
          <w:rStyle w:val="normaltextrun"/>
          <w:rFonts w:ascii="Arial" w:hAnsi="Arial" w:cs="Arial"/>
          <w:color w:val="000000"/>
          <w:sz w:val="22"/>
        </w:rPr>
        <w:t xml:space="preserve">) </w:t>
      </w:r>
      <w:r w:rsidRPr="00B64D4A">
        <w:rPr>
          <w:rStyle w:val="normaltextrun"/>
          <w:rFonts w:ascii="Arial" w:hAnsi="Arial" w:cs="Arial"/>
          <w:i/>
          <w:iCs/>
          <w:color w:val="000000"/>
          <w:sz w:val="22"/>
        </w:rPr>
        <w:t>financier</w:t>
      </w:r>
      <w:r w:rsidR="0034014A">
        <w:rPr>
          <w:rStyle w:val="normaltextrun"/>
          <w:rFonts w:ascii="Arial" w:hAnsi="Arial" w:cs="Arial"/>
          <w:i/>
          <w:iCs/>
          <w:color w:val="000000"/>
          <w:sz w:val="22"/>
        </w:rPr>
        <w:t>o</w:t>
      </w:r>
      <w:r w:rsidRPr="00B64D4A">
        <w:rPr>
          <w:rStyle w:val="normaltextrun"/>
          <w:rFonts w:ascii="Arial" w:hAnsi="Arial" w:cs="Arial"/>
          <w:i/>
          <w:iCs/>
          <w:color w:val="000000"/>
          <w:sz w:val="22"/>
        </w:rPr>
        <w:t>s</w:t>
      </w:r>
      <w:r w:rsidR="0034014A">
        <w:rPr>
          <w:rStyle w:val="normaltextrun"/>
          <w:rFonts w:ascii="Arial" w:hAnsi="Arial" w:cs="Arial"/>
          <w:i/>
          <w:iCs/>
          <w:color w:val="000000"/>
          <w:sz w:val="22"/>
        </w:rPr>
        <w:t>:</w:t>
      </w:r>
      <w:r>
        <w:rPr>
          <w:rStyle w:val="normaltextrun"/>
          <w:rFonts w:ascii="Arial" w:hAnsi="Arial" w:cs="Arial"/>
          <w:color w:val="000000"/>
          <w:sz w:val="22"/>
        </w:rPr>
        <w:t xml:space="preserve"> contar con la capacidad financiera necesaria para desarrollar las actividades que sirvan de insumo para adelantar los procesos de formación, actualización y conservación catastral, así como los procedimientos del enfoque catastral multipropósito</w:t>
      </w:r>
      <w:r w:rsidR="00760D9F">
        <w:rPr>
          <w:rStyle w:val="normaltextrun"/>
          <w:rFonts w:ascii="Arial" w:hAnsi="Arial" w:cs="Arial"/>
          <w:color w:val="000000"/>
          <w:sz w:val="22"/>
        </w:rPr>
        <w:t>.</w:t>
      </w:r>
      <w:r w:rsidR="00A777E1">
        <w:rPr>
          <w:rStyle w:val="normaltextrun"/>
          <w:rFonts w:ascii="Arial" w:hAnsi="Arial" w:cs="Arial"/>
          <w:color w:val="000000"/>
          <w:sz w:val="22"/>
        </w:rPr>
        <w:t xml:space="preserve"> De esta manera, dada la especialidad de la gestión catastral, el Gobierno nacional estableció algunos requisitos particulares de idoneidad que deben reunir los operadores catastrales, los cuales corresponde verificar a los gestores catastrales cuando deseen contratarlos, por lo que no basta con tener capacidad contractual, sino que se deben cumplir los requisitos especiales establecidos en el Decreto 1983 de 2019 –compilado en el Decreto 1170 de 2015–.</w:t>
      </w:r>
    </w:p>
    <w:p w14:paraId="22FC1E08" w14:textId="2C234F55" w:rsidR="00953DBA" w:rsidRDefault="006B49E2" w:rsidP="00884796">
      <w:pPr>
        <w:spacing w:before="120" w:after="120" w:line="276" w:lineRule="auto"/>
        <w:ind w:firstLine="708"/>
        <w:jc w:val="both"/>
        <w:rPr>
          <w:rStyle w:val="normaltextrun"/>
          <w:rFonts w:ascii="Arial" w:hAnsi="Arial" w:cs="Arial"/>
          <w:color w:val="000000"/>
          <w:sz w:val="22"/>
        </w:rPr>
      </w:pPr>
      <w:r>
        <w:rPr>
          <w:rStyle w:val="normaltextrun"/>
          <w:rFonts w:ascii="Arial" w:hAnsi="Arial" w:cs="Arial"/>
          <w:color w:val="000000"/>
          <w:sz w:val="22"/>
        </w:rPr>
        <w:t>En este sentido, para que los gestores catastrales puedan contratar a las comunidades étnicas para ser operadores catastrales</w:t>
      </w:r>
      <w:r w:rsidR="00953DBA">
        <w:rPr>
          <w:rStyle w:val="normaltextrun"/>
          <w:rFonts w:ascii="Arial" w:hAnsi="Arial" w:cs="Arial"/>
          <w:color w:val="000000"/>
          <w:sz w:val="22"/>
        </w:rPr>
        <w:t>,</w:t>
      </w:r>
      <w:r w:rsidR="00AE13D1">
        <w:rPr>
          <w:rStyle w:val="normaltextrun"/>
          <w:rFonts w:ascii="Arial" w:hAnsi="Arial" w:cs="Arial"/>
          <w:color w:val="000000"/>
          <w:sz w:val="22"/>
        </w:rPr>
        <w:t xml:space="preserve"> como sucede con cualquier otro tipo de posible operador catastral, es necesario que se cumplan los siguientes requisitos</w:t>
      </w:r>
      <w:r>
        <w:rPr>
          <w:rStyle w:val="normaltextrun"/>
          <w:rFonts w:ascii="Arial" w:hAnsi="Arial" w:cs="Arial"/>
          <w:color w:val="000000"/>
          <w:sz w:val="22"/>
        </w:rPr>
        <w:t xml:space="preserve">. En primer lugar, que tengan capacidad para celebrar contratos con las entidades estatales. Y, en segundo lugar, que los gestores catastrales verifiquen el cumplimiento de los requisitos </w:t>
      </w:r>
      <w:r w:rsidR="00953DBA">
        <w:rPr>
          <w:rStyle w:val="normaltextrun"/>
          <w:rFonts w:ascii="Arial" w:hAnsi="Arial" w:cs="Arial"/>
          <w:color w:val="000000"/>
          <w:sz w:val="22"/>
        </w:rPr>
        <w:lastRenderedPageBreak/>
        <w:t xml:space="preserve">establecidos </w:t>
      </w:r>
      <w:r>
        <w:rPr>
          <w:rStyle w:val="normaltextrun"/>
          <w:rFonts w:ascii="Arial" w:hAnsi="Arial" w:cs="Arial"/>
          <w:color w:val="000000"/>
          <w:sz w:val="22"/>
        </w:rPr>
        <w:t>en el artículo 2.2.2.5.11 del Decreto 1983 de 2019</w:t>
      </w:r>
      <w:r w:rsidR="00953DBA">
        <w:rPr>
          <w:rStyle w:val="normaltextrun"/>
          <w:rFonts w:ascii="Arial" w:hAnsi="Arial" w:cs="Arial"/>
          <w:color w:val="000000"/>
          <w:sz w:val="22"/>
        </w:rPr>
        <w:t xml:space="preserve"> –compilado en el Decreto 1170 de 2015–</w:t>
      </w:r>
      <w:r>
        <w:rPr>
          <w:rStyle w:val="normaltextrun"/>
          <w:rFonts w:ascii="Arial" w:hAnsi="Arial" w:cs="Arial"/>
          <w:color w:val="000000"/>
          <w:sz w:val="22"/>
        </w:rPr>
        <w:t>. Esto significa</w:t>
      </w:r>
      <w:r w:rsidR="00692B35">
        <w:rPr>
          <w:rStyle w:val="normaltextrun"/>
          <w:rFonts w:ascii="Arial" w:hAnsi="Arial" w:cs="Arial"/>
          <w:color w:val="000000"/>
          <w:sz w:val="22"/>
        </w:rPr>
        <w:t>, como lo establece la disposición citada,</w:t>
      </w:r>
      <w:r>
        <w:rPr>
          <w:rStyle w:val="normaltextrun"/>
          <w:rFonts w:ascii="Arial" w:hAnsi="Arial" w:cs="Arial"/>
          <w:color w:val="000000"/>
          <w:sz w:val="22"/>
        </w:rPr>
        <w:t xml:space="preserve"> que es </w:t>
      </w:r>
      <w:r w:rsidR="00953DBA">
        <w:rPr>
          <w:rStyle w:val="normaltextrun"/>
          <w:rFonts w:ascii="Arial" w:hAnsi="Arial" w:cs="Arial"/>
          <w:color w:val="000000"/>
          <w:sz w:val="22"/>
        </w:rPr>
        <w:t xml:space="preserve">necesario </w:t>
      </w:r>
      <w:r>
        <w:rPr>
          <w:rStyle w:val="normaltextrun"/>
          <w:rFonts w:ascii="Arial" w:hAnsi="Arial" w:cs="Arial"/>
          <w:color w:val="000000"/>
          <w:sz w:val="22"/>
        </w:rPr>
        <w:t>que la persona jurídica acredite que dentro de su objeto social contemple alguna de las actividades que sirvan de insumo para la formación, actualización y conservación catastral. Además, deben contar con profesionales técnicos que contribuyan al desarrollo de los procesos de formación, actualización y conservación catastral. Y finalmente, verificar que cuenta</w:t>
      </w:r>
      <w:r w:rsidR="004A6AF2">
        <w:rPr>
          <w:rStyle w:val="normaltextrun"/>
          <w:rFonts w:ascii="Arial" w:hAnsi="Arial" w:cs="Arial"/>
          <w:color w:val="000000"/>
          <w:sz w:val="22"/>
        </w:rPr>
        <w:t>n</w:t>
      </w:r>
      <w:r>
        <w:rPr>
          <w:rStyle w:val="normaltextrun"/>
          <w:rFonts w:ascii="Arial" w:hAnsi="Arial" w:cs="Arial"/>
          <w:color w:val="000000"/>
          <w:sz w:val="22"/>
        </w:rPr>
        <w:t xml:space="preserve"> con la capacidad financiera para adelantar el proceso de formación, actualización y/o conservación catastral</w:t>
      </w:r>
      <w:r w:rsidR="00953DBA">
        <w:rPr>
          <w:rStyle w:val="normaltextrun"/>
          <w:rFonts w:ascii="Arial" w:hAnsi="Arial" w:cs="Arial"/>
          <w:color w:val="000000"/>
          <w:sz w:val="22"/>
        </w:rPr>
        <w:t xml:space="preserve">. </w:t>
      </w:r>
    </w:p>
    <w:p w14:paraId="4D7D5B2D" w14:textId="1CCDECA4" w:rsidR="001F1008" w:rsidRPr="001F1008" w:rsidRDefault="006B49E2" w:rsidP="00884796">
      <w:pPr>
        <w:spacing w:before="120" w:after="120" w:line="276" w:lineRule="auto"/>
        <w:ind w:firstLine="708"/>
        <w:jc w:val="both"/>
        <w:rPr>
          <w:rFonts w:ascii="Arial" w:hAnsi="Arial" w:cs="Arial"/>
          <w:color w:val="000000"/>
          <w:sz w:val="22"/>
        </w:rPr>
      </w:pPr>
      <w:r>
        <w:rPr>
          <w:rStyle w:val="normaltextrun"/>
          <w:rFonts w:ascii="Arial" w:hAnsi="Arial" w:cs="Arial"/>
          <w:color w:val="000000"/>
          <w:sz w:val="22"/>
        </w:rPr>
        <w:t xml:space="preserve"> </w:t>
      </w:r>
    </w:p>
    <w:p w14:paraId="157DD91C" w14:textId="77777777" w:rsidR="00B27FD9" w:rsidRPr="00CE4620" w:rsidRDefault="00B27FD9" w:rsidP="00410C4C">
      <w:pPr>
        <w:widowControl w:val="0"/>
        <w:autoSpaceDE w:val="0"/>
        <w:autoSpaceDN w:val="0"/>
        <w:spacing w:line="276" w:lineRule="auto"/>
        <w:ind w:right="49"/>
        <w:jc w:val="both"/>
        <w:rPr>
          <w:rFonts w:ascii="Arial" w:eastAsia="Arial" w:hAnsi="Arial" w:cs="Arial"/>
          <w:sz w:val="22"/>
          <w:lang w:val="es-ES"/>
        </w:rPr>
      </w:pPr>
      <w:r w:rsidRPr="4A97BB37">
        <w:rPr>
          <w:rFonts w:ascii="Arial" w:eastAsia="Arial" w:hAnsi="Arial" w:cs="Arial"/>
          <w:sz w:val="22"/>
          <w:lang w:val="es-ES"/>
        </w:rPr>
        <w:t>Este concepto tiene el alcance previsto en el artículo 28 del Código de Procedimiento Administrativo y de lo Contencioso Administrativo.</w:t>
      </w:r>
    </w:p>
    <w:p w14:paraId="17FEC55D" w14:textId="77777777" w:rsidR="00B27FD9" w:rsidRPr="00CE4620" w:rsidRDefault="00B27FD9" w:rsidP="00B27FD9">
      <w:pPr>
        <w:widowControl w:val="0"/>
        <w:autoSpaceDE w:val="0"/>
        <w:autoSpaceDN w:val="0"/>
        <w:rPr>
          <w:rFonts w:ascii="Arial" w:eastAsia="Arial" w:hAnsi="Arial" w:cs="Arial"/>
          <w:sz w:val="22"/>
          <w:lang w:val="es-ES"/>
        </w:rPr>
      </w:pPr>
    </w:p>
    <w:p w14:paraId="59A3E97B" w14:textId="77777777" w:rsidR="009C3B28" w:rsidRPr="00E91076" w:rsidRDefault="009C3B28" w:rsidP="009C3B28">
      <w:pPr>
        <w:spacing w:line="276" w:lineRule="auto"/>
        <w:jc w:val="both"/>
        <w:rPr>
          <w:rFonts w:ascii="Arial" w:eastAsia="Calibri" w:hAnsi="Arial" w:cs="Arial"/>
          <w:sz w:val="22"/>
        </w:rPr>
      </w:pPr>
    </w:p>
    <w:p w14:paraId="0040F7A4" w14:textId="77777777" w:rsidR="009C3B28" w:rsidRPr="00682E08" w:rsidRDefault="009C3B28" w:rsidP="009C3B28">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690DE4" w14:textId="77777777" w:rsidR="009C3B28" w:rsidRDefault="009C3B28" w:rsidP="009C3B28">
      <w:pPr>
        <w:spacing w:line="276" w:lineRule="auto"/>
        <w:jc w:val="center"/>
        <w:rPr>
          <w:rFonts w:ascii="Arial" w:hAnsi="Arial" w:cs="Arial"/>
          <w:noProof/>
          <w:lang w:val="en-US"/>
        </w:rPr>
      </w:pPr>
    </w:p>
    <w:p w14:paraId="7446D053" w14:textId="77777777" w:rsidR="009C3B28" w:rsidRDefault="009C3B28" w:rsidP="009C3B28">
      <w:pPr>
        <w:spacing w:line="276" w:lineRule="auto"/>
        <w:jc w:val="center"/>
        <w:rPr>
          <w:rFonts w:ascii="Arial" w:hAnsi="Arial" w:cs="Arial"/>
          <w:noProof/>
          <w:lang w:val="en-US"/>
        </w:rPr>
      </w:pPr>
    </w:p>
    <w:p w14:paraId="5BB2E8FA" w14:textId="5C796724" w:rsidR="009C3B28" w:rsidRDefault="00FD7A05" w:rsidP="009C3B28">
      <w:pPr>
        <w:spacing w:line="276" w:lineRule="auto"/>
        <w:jc w:val="center"/>
        <w:rPr>
          <w:rFonts w:ascii="Arial" w:hAnsi="Arial" w:cs="Arial"/>
          <w:noProof/>
          <w:lang w:val="en-US"/>
        </w:rPr>
      </w:pPr>
      <w:r w:rsidRPr="00083784">
        <w:rPr>
          <w:noProof/>
        </w:rPr>
        <w:drawing>
          <wp:inline distT="0" distB="0" distL="0" distR="0" wp14:anchorId="264F33EC" wp14:editId="66A71744">
            <wp:extent cx="2466975" cy="917575"/>
            <wp:effectExtent l="0" t="0" r="9525"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1019" cy="919079"/>
                    </a:xfrm>
                    <a:prstGeom prst="rect">
                      <a:avLst/>
                    </a:prstGeom>
                    <a:noFill/>
                    <a:ln>
                      <a:noFill/>
                    </a:ln>
                  </pic:spPr>
                </pic:pic>
              </a:graphicData>
            </a:graphic>
          </wp:inline>
        </w:drawing>
      </w:r>
    </w:p>
    <w:p w14:paraId="79A09D27" w14:textId="77777777" w:rsidR="009C3B28" w:rsidRDefault="009C3B28" w:rsidP="009C3B28">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C3B28" w:rsidRPr="00E91076" w14:paraId="35BC3DBE" w14:textId="77777777" w:rsidTr="003E4643">
        <w:trPr>
          <w:trHeight w:val="315"/>
        </w:trPr>
        <w:tc>
          <w:tcPr>
            <w:tcW w:w="812" w:type="dxa"/>
            <w:vAlign w:val="center"/>
          </w:tcPr>
          <w:p w14:paraId="21B9D54F"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71390027" w14:textId="77777777" w:rsidR="009C3B28" w:rsidRPr="00E91076" w:rsidRDefault="009C3B28" w:rsidP="003E4643">
            <w:pPr>
              <w:rPr>
                <w:rFonts w:ascii="Arial" w:eastAsia="Times New Roman" w:hAnsi="Arial" w:cs="Arial"/>
                <w:sz w:val="14"/>
                <w:szCs w:val="14"/>
                <w:lang w:eastAsia="es-ES"/>
              </w:rPr>
            </w:pPr>
            <w:r>
              <w:rPr>
                <w:rFonts w:ascii="Arial" w:eastAsia="Times New Roman" w:hAnsi="Arial" w:cs="Arial"/>
                <w:sz w:val="14"/>
                <w:szCs w:val="14"/>
                <w:lang w:eastAsia="es-ES"/>
              </w:rPr>
              <w:t>Sara Milena Núñez Aldana</w:t>
            </w:r>
          </w:p>
          <w:p w14:paraId="32C7CACF" w14:textId="77777777" w:rsidR="009C3B28" w:rsidRPr="00E91076" w:rsidRDefault="009C3B28" w:rsidP="003E4643">
            <w:pPr>
              <w:rPr>
                <w:rFonts w:ascii="Arial" w:eastAsia="Times New Roman" w:hAnsi="Arial" w:cs="Arial"/>
                <w:sz w:val="14"/>
                <w:szCs w:val="14"/>
                <w:lang w:eastAsia="es-ES"/>
              </w:rPr>
            </w:pPr>
            <w:r>
              <w:rPr>
                <w:rFonts w:ascii="Arial" w:hAnsi="Arial" w:cs="Arial"/>
                <w:sz w:val="14"/>
                <w:szCs w:val="14"/>
                <w:lang w:eastAsia="es-ES"/>
              </w:rPr>
              <w:t>G</w:t>
            </w:r>
            <w:r w:rsidRPr="00E91076">
              <w:rPr>
                <w:rFonts w:ascii="Arial" w:hAnsi="Arial" w:cs="Arial"/>
                <w:sz w:val="14"/>
                <w:szCs w:val="14"/>
                <w:lang w:eastAsia="es-ES"/>
              </w:rPr>
              <w:t>estor T1-15 de la Subdirección de Gestión Contractual</w:t>
            </w:r>
            <w:r w:rsidRPr="00E91076">
              <w:rPr>
                <w:rFonts w:ascii="Arial" w:eastAsia="Times New Roman" w:hAnsi="Arial" w:cs="Arial"/>
                <w:sz w:val="14"/>
                <w:szCs w:val="14"/>
                <w:lang w:eastAsia="es-ES"/>
              </w:rPr>
              <w:t xml:space="preserve"> </w:t>
            </w:r>
          </w:p>
        </w:tc>
      </w:tr>
      <w:tr w:rsidR="009C3B28" w:rsidRPr="00E91076" w14:paraId="2FCB69A1" w14:textId="77777777" w:rsidTr="003E4643">
        <w:trPr>
          <w:trHeight w:val="330"/>
        </w:trPr>
        <w:tc>
          <w:tcPr>
            <w:tcW w:w="812" w:type="dxa"/>
            <w:vAlign w:val="center"/>
          </w:tcPr>
          <w:p w14:paraId="11997400"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703CC89" w14:textId="77777777" w:rsidR="009C3B28" w:rsidRPr="00E91076" w:rsidRDefault="009C3B28" w:rsidP="003E4643">
            <w:pPr>
              <w:rPr>
                <w:rFonts w:ascii="Arial" w:hAnsi="Arial" w:cs="Arial"/>
                <w:sz w:val="14"/>
                <w:szCs w:val="14"/>
                <w:lang w:eastAsia="es-ES"/>
              </w:rPr>
            </w:pPr>
            <w:r>
              <w:rPr>
                <w:rFonts w:ascii="Arial" w:hAnsi="Arial" w:cs="Arial"/>
                <w:sz w:val="14"/>
                <w:szCs w:val="14"/>
                <w:lang w:eastAsia="es-ES"/>
              </w:rPr>
              <w:t>Sebastián Ramírez Grisales</w:t>
            </w:r>
          </w:p>
          <w:p w14:paraId="77CA87DF" w14:textId="4A58102D" w:rsidR="009C3B28" w:rsidRPr="00E91076" w:rsidRDefault="009C114C" w:rsidP="003E4643">
            <w:pPr>
              <w:rPr>
                <w:rFonts w:ascii="Arial" w:eastAsia="Times New Roman" w:hAnsi="Arial" w:cs="Arial"/>
                <w:sz w:val="14"/>
                <w:szCs w:val="14"/>
                <w:lang w:eastAsia="es-ES"/>
              </w:rPr>
            </w:pPr>
            <w:r>
              <w:rPr>
                <w:rFonts w:ascii="Arial" w:hAnsi="Arial" w:cs="Arial"/>
                <w:sz w:val="14"/>
                <w:szCs w:val="14"/>
                <w:lang w:eastAsia="es-ES"/>
              </w:rPr>
              <w:t>Contratista</w:t>
            </w:r>
            <w:r w:rsidR="009C3B28" w:rsidRPr="00E91076">
              <w:rPr>
                <w:rFonts w:ascii="Arial" w:hAnsi="Arial" w:cs="Arial"/>
                <w:sz w:val="14"/>
                <w:szCs w:val="14"/>
                <w:lang w:eastAsia="es-ES"/>
              </w:rPr>
              <w:t xml:space="preserve"> de la Subdirección de Gestión Contractual</w:t>
            </w:r>
          </w:p>
        </w:tc>
      </w:tr>
      <w:tr w:rsidR="009C3B28" w:rsidRPr="006E54A1" w14:paraId="361EECE3" w14:textId="77777777" w:rsidTr="003E4643">
        <w:trPr>
          <w:trHeight w:val="300"/>
        </w:trPr>
        <w:tc>
          <w:tcPr>
            <w:tcW w:w="812" w:type="dxa"/>
            <w:vAlign w:val="center"/>
          </w:tcPr>
          <w:p w14:paraId="29A00375"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AB15B4B" w14:textId="77777777" w:rsidR="009C3B28" w:rsidRPr="00E91076" w:rsidRDefault="009C3B28" w:rsidP="003E4643">
            <w:pPr>
              <w:rPr>
                <w:rFonts w:ascii="Arial" w:hAnsi="Arial" w:cs="Arial"/>
                <w:sz w:val="14"/>
                <w:szCs w:val="14"/>
                <w:lang w:eastAsia="es-ES"/>
              </w:rPr>
            </w:pPr>
            <w:r w:rsidRPr="00E91076">
              <w:rPr>
                <w:rFonts w:ascii="Arial" w:hAnsi="Arial" w:cs="Arial"/>
                <w:sz w:val="14"/>
                <w:szCs w:val="14"/>
                <w:lang w:eastAsia="es-ES"/>
              </w:rPr>
              <w:t>Jorge Augusto Tirado Navarro</w:t>
            </w:r>
          </w:p>
          <w:p w14:paraId="01084A81" w14:textId="77777777" w:rsidR="009C3B28" w:rsidRPr="006E54A1" w:rsidRDefault="009C3B28" w:rsidP="003E4643">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tbl>
    <w:p w14:paraId="27AC848B" w14:textId="77777777" w:rsidR="009C3B28" w:rsidRPr="0014392D" w:rsidRDefault="009C3B28" w:rsidP="009C3B28">
      <w:pPr>
        <w:spacing w:before="120" w:after="160" w:line="276" w:lineRule="auto"/>
        <w:rPr>
          <w:rFonts w:ascii="Arial" w:hAnsi="Arial" w:cs="Arial"/>
        </w:rPr>
      </w:pPr>
    </w:p>
    <w:p w14:paraId="55D0CD93" w14:textId="77777777" w:rsidR="00B27FD9" w:rsidRPr="00CE4620" w:rsidRDefault="00B27FD9" w:rsidP="00B27FD9">
      <w:pPr>
        <w:widowControl w:val="0"/>
        <w:autoSpaceDE w:val="0"/>
        <w:autoSpaceDN w:val="0"/>
        <w:rPr>
          <w:rFonts w:ascii="Arial" w:eastAsia="Arial" w:hAnsi="Arial" w:cs="Arial"/>
          <w:sz w:val="20"/>
          <w:lang w:val="es-ES"/>
        </w:rPr>
      </w:pPr>
    </w:p>
    <w:p w14:paraId="466B5DD6" w14:textId="77777777" w:rsidR="00B27FD9" w:rsidRPr="00CE4620" w:rsidRDefault="00B27FD9" w:rsidP="00B27FD9">
      <w:pPr>
        <w:widowControl w:val="0"/>
        <w:autoSpaceDE w:val="0"/>
        <w:autoSpaceDN w:val="0"/>
        <w:rPr>
          <w:rFonts w:ascii="Arial" w:eastAsia="Arial" w:hAnsi="Arial" w:cs="Arial"/>
          <w:sz w:val="20"/>
          <w:lang w:val="es-ES"/>
        </w:rPr>
      </w:pPr>
    </w:p>
    <w:p w14:paraId="3E8F2B53" w14:textId="77777777" w:rsidR="00B27FD9" w:rsidRDefault="00B27FD9" w:rsidP="006B49E2">
      <w:pPr>
        <w:spacing w:after="120" w:line="276" w:lineRule="auto"/>
        <w:jc w:val="both"/>
      </w:pPr>
    </w:p>
    <w:sectPr w:rsidR="00B27FD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A8D5" w14:textId="77777777" w:rsidR="00324F7A" w:rsidRDefault="00324F7A" w:rsidP="001F0B64">
      <w:r>
        <w:separator/>
      </w:r>
    </w:p>
  </w:endnote>
  <w:endnote w:type="continuationSeparator" w:id="0">
    <w:p w14:paraId="1102CF17" w14:textId="77777777" w:rsidR="00324F7A" w:rsidRDefault="00324F7A" w:rsidP="001F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79D" w14:textId="77777777" w:rsidR="001F0B64" w:rsidRDefault="001F0B64" w:rsidP="001F0B64">
    <w:pPr>
      <w:pStyle w:val="Piedepgina"/>
      <w:jc w:val="right"/>
    </w:pPr>
    <w:r>
      <w:tab/>
    </w:r>
    <w:r>
      <w:tab/>
    </w:r>
  </w:p>
  <w:p w14:paraId="3463ADF2" w14:textId="04C3B61D" w:rsidR="001F0B64" w:rsidRPr="008217B7" w:rsidRDefault="001F0B64" w:rsidP="001F0B6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6481E07C" w14:textId="289DBDF5" w:rsidR="001F0B64" w:rsidRDefault="001F0B64" w:rsidP="001F0B64">
    <w:pPr>
      <w:pStyle w:val="Piedepgina"/>
      <w:jc w:val="center"/>
    </w:pPr>
    <w:r>
      <w:rPr>
        <w:noProof/>
        <w:lang w:val="es-ES_tradnl" w:eastAsia="es-ES_tradnl"/>
      </w:rPr>
      <w:drawing>
        <wp:inline distT="0" distB="0" distL="0" distR="0" wp14:anchorId="468D37F8" wp14:editId="32A90860">
          <wp:extent cx="3700130" cy="519139"/>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8C8E" w14:textId="77777777" w:rsidR="00324F7A" w:rsidRDefault="00324F7A" w:rsidP="001F0B64">
      <w:r>
        <w:separator/>
      </w:r>
    </w:p>
  </w:footnote>
  <w:footnote w:type="continuationSeparator" w:id="0">
    <w:p w14:paraId="0EAFAEDA" w14:textId="77777777" w:rsidR="00324F7A" w:rsidRDefault="00324F7A" w:rsidP="001F0B64">
      <w:r>
        <w:continuationSeparator/>
      </w:r>
    </w:p>
  </w:footnote>
  <w:footnote w:id="1">
    <w:p w14:paraId="68EC0451" w14:textId="77777777" w:rsidR="001F0B64" w:rsidRPr="00211FC9" w:rsidRDefault="001F0B64" w:rsidP="00211FC9">
      <w:pPr>
        <w:pStyle w:val="Textonotapie"/>
        <w:ind w:firstLine="708"/>
        <w:jc w:val="both"/>
        <w:rPr>
          <w:rFonts w:ascii="Arial" w:hAnsi="Arial" w:cs="Arial"/>
          <w:sz w:val="19"/>
          <w:szCs w:val="19"/>
          <w:lang w:val="es-ES"/>
        </w:rPr>
      </w:pPr>
      <w:r w:rsidRPr="00211FC9">
        <w:rPr>
          <w:rStyle w:val="Refdenotaalpie"/>
          <w:rFonts w:ascii="Arial" w:hAnsi="Arial" w:cs="Arial"/>
          <w:sz w:val="19"/>
          <w:szCs w:val="19"/>
        </w:rPr>
        <w:footnoteRef/>
      </w:r>
      <w:r w:rsidRPr="00211FC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11FC9">
        <w:rPr>
          <w:rFonts w:ascii="Arial" w:hAnsi="Arial" w:cs="Arial"/>
          <w:i/>
          <w:iCs/>
          <w:sz w:val="19"/>
          <w:szCs w:val="19"/>
        </w:rPr>
        <w:t xml:space="preserve">ibidem </w:t>
      </w:r>
      <w:r w:rsidRPr="00211FC9">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211FC9">
        <w:rPr>
          <w:rFonts w:ascii="Arial" w:hAnsi="Arial" w:cs="Arial"/>
          <w:sz w:val="19"/>
          <w:szCs w:val="19"/>
        </w:rPr>
        <w:t>bsolver</w:t>
      </w:r>
      <w:proofErr w:type="spellEnd"/>
      <w:r w:rsidRPr="00211FC9">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11FC9">
        <w:rPr>
          <w:rFonts w:ascii="Arial" w:hAnsi="Arial" w:cs="Arial"/>
          <w:sz w:val="19"/>
          <w:szCs w:val="19"/>
        </w:rPr>
        <w:t>bsolver</w:t>
      </w:r>
      <w:proofErr w:type="spellEnd"/>
      <w:r w:rsidRPr="00211FC9">
        <w:rPr>
          <w:rFonts w:ascii="Arial" w:hAnsi="Arial" w:cs="Arial"/>
          <w:sz w:val="19"/>
          <w:szCs w:val="19"/>
        </w:rPr>
        <w:t xml:space="preserve"> consultas sobre la aplicación de normas de carácter general».</w:t>
      </w:r>
    </w:p>
  </w:footnote>
  <w:footnote w:id="2">
    <w:p w14:paraId="416E9142" w14:textId="3D6E8E7F" w:rsidR="001F0B64" w:rsidRPr="00211FC9" w:rsidRDefault="001F0B64" w:rsidP="00211FC9">
      <w:pPr>
        <w:pStyle w:val="Default"/>
        <w:ind w:firstLine="708"/>
        <w:jc w:val="both"/>
        <w:rPr>
          <w:sz w:val="19"/>
          <w:szCs w:val="19"/>
        </w:rPr>
      </w:pPr>
      <w:r w:rsidRPr="00211FC9">
        <w:rPr>
          <w:rStyle w:val="Refdenotaalpie"/>
          <w:sz w:val="19"/>
          <w:szCs w:val="19"/>
        </w:rPr>
        <w:footnoteRef/>
      </w:r>
      <w:r w:rsidRPr="00211FC9">
        <w:rPr>
          <w:sz w:val="19"/>
          <w:szCs w:val="19"/>
        </w:rPr>
        <w:t xml:space="preserve"> Decreto 148 de 2020: </w:t>
      </w:r>
      <w:r w:rsidR="008D68CF" w:rsidRPr="00211FC9">
        <w:rPr>
          <w:sz w:val="19"/>
          <w:szCs w:val="19"/>
        </w:rPr>
        <w:t>«</w:t>
      </w:r>
      <w:r w:rsidRPr="00211FC9">
        <w:rPr>
          <w:sz w:val="19"/>
          <w:szCs w:val="19"/>
        </w:rPr>
        <w:t xml:space="preserve">Artículo 2.2.2.1.5. Intervinientes en la gestión catastral: […] </w:t>
      </w:r>
      <w:r w:rsidR="008D68CF" w:rsidRPr="00211FC9">
        <w:rPr>
          <w:sz w:val="19"/>
          <w:szCs w:val="19"/>
        </w:rPr>
        <w:t>»</w:t>
      </w:r>
      <w:r w:rsidRPr="00211FC9">
        <w:rPr>
          <w:sz w:val="19"/>
          <w:szCs w:val="19"/>
        </w:rPr>
        <w:t>3. Los gestores catastrales: Son las entidades públicas del orden nacional o territo</w:t>
      </w:r>
      <w:r w:rsidRPr="00211FC9">
        <w:rPr>
          <w:sz w:val="19"/>
          <w:szCs w:val="19"/>
        </w:rPr>
        <w:softHyphen/>
        <w:t>rial, así como los esquemas asociativos de entidades territoriales, que hayan sido habilitadas por el Instituto Geográfico Agustín Codazzi (IGAC) según la reglamen</w:t>
      </w:r>
      <w:r w:rsidRPr="00211FC9">
        <w:rPr>
          <w:sz w:val="19"/>
          <w:szCs w:val="19"/>
        </w:rPr>
        <w:softHyphen/>
        <w:t>tación dispuesta para tal efecto, así como el IGAC por excepción. De igual mane</w:t>
      </w:r>
      <w:r w:rsidRPr="00211FC9">
        <w:rPr>
          <w:sz w:val="19"/>
          <w:szCs w:val="19"/>
        </w:rPr>
        <w:softHyphen/>
        <w:t>ra, se consideran gestores catastrales, los catastros descentralizados y delegados titulares de la gestión catastral. Así mismo, es gestor catastral la Agencia Nacional de Tierras en los términos del artículo 80 de la Ley 1955 de 2019. Los gestores ca</w:t>
      </w:r>
      <w:r w:rsidRPr="00211FC9">
        <w:rPr>
          <w:sz w:val="19"/>
          <w:szCs w:val="19"/>
        </w:rPr>
        <w:softHyphen/>
        <w:t>tastrales, independientemente de su jurisdicción, podrán prestar el servicio público catastral en cualquier parte del territorio nacional</w:t>
      </w:r>
      <w:r w:rsidR="008D68CF" w:rsidRPr="00211FC9">
        <w:rPr>
          <w:sz w:val="19"/>
          <w:szCs w:val="19"/>
        </w:rPr>
        <w:t>»</w:t>
      </w:r>
      <w:r w:rsidRPr="00211FC9">
        <w:rPr>
          <w:sz w:val="19"/>
          <w:szCs w:val="19"/>
        </w:rPr>
        <w:t>. </w:t>
      </w:r>
    </w:p>
    <w:p w14:paraId="49C77827" w14:textId="77777777" w:rsidR="001F0B64" w:rsidRPr="00211FC9" w:rsidRDefault="001F0B64" w:rsidP="00211FC9">
      <w:pPr>
        <w:pStyle w:val="Default"/>
        <w:jc w:val="both"/>
        <w:rPr>
          <w:sz w:val="19"/>
          <w:szCs w:val="19"/>
        </w:rPr>
      </w:pPr>
    </w:p>
  </w:footnote>
  <w:footnote w:id="3">
    <w:p w14:paraId="04594E95" w14:textId="46239AE0" w:rsidR="001F0B64" w:rsidRPr="00211FC9" w:rsidRDefault="001F0B64" w:rsidP="00211FC9">
      <w:pPr>
        <w:pStyle w:val="NormalWeb"/>
        <w:shd w:val="clear" w:color="auto" w:fill="FFFFFF"/>
        <w:spacing w:before="0" w:beforeAutospacing="0" w:after="0" w:afterAutospacing="0"/>
        <w:ind w:firstLine="708"/>
        <w:jc w:val="both"/>
        <w:rPr>
          <w:rFonts w:ascii="Arial" w:eastAsiaTheme="minorHAnsi" w:hAnsi="Arial" w:cs="Arial"/>
          <w:color w:val="000000"/>
          <w:sz w:val="19"/>
          <w:szCs w:val="19"/>
          <w:lang w:eastAsia="en-US"/>
        </w:rPr>
      </w:pPr>
      <w:r w:rsidRPr="00211FC9">
        <w:rPr>
          <w:rStyle w:val="Refdenotaalpie"/>
          <w:rFonts w:ascii="Arial" w:eastAsiaTheme="minorHAnsi" w:hAnsi="Arial" w:cs="Arial"/>
          <w:color w:val="000000"/>
          <w:sz w:val="19"/>
          <w:szCs w:val="19"/>
          <w:lang w:eastAsia="en-US"/>
        </w:rPr>
        <w:footnoteRef/>
      </w:r>
      <w:r w:rsidRPr="00211FC9">
        <w:rPr>
          <w:rStyle w:val="Refdenotaalpie"/>
          <w:rFonts w:ascii="Arial" w:hAnsi="Arial" w:cs="Arial"/>
          <w:color w:val="000000"/>
          <w:sz w:val="19"/>
          <w:szCs w:val="19"/>
        </w:rPr>
        <w:t xml:space="preserve"> </w:t>
      </w:r>
      <w:r w:rsidRPr="00211FC9">
        <w:rPr>
          <w:rFonts w:ascii="Arial" w:eastAsiaTheme="minorHAnsi" w:hAnsi="Arial" w:cs="Arial"/>
          <w:sz w:val="19"/>
          <w:szCs w:val="19"/>
          <w:lang w:eastAsia="en-US"/>
        </w:rPr>
        <w:t>D</w:t>
      </w:r>
      <w:r w:rsidRPr="00211FC9">
        <w:rPr>
          <w:rFonts w:ascii="Arial" w:hAnsi="Arial" w:cs="Arial"/>
          <w:color w:val="000000"/>
          <w:sz w:val="19"/>
          <w:szCs w:val="19"/>
        </w:rPr>
        <w:t>ecreto 1983 de 2020:</w:t>
      </w:r>
      <w:r w:rsidRPr="00211FC9">
        <w:rPr>
          <w:rFonts w:ascii="Arial" w:hAnsi="Arial" w:cs="Arial"/>
          <w:sz w:val="19"/>
          <w:szCs w:val="19"/>
        </w:rPr>
        <w:t xml:space="preserve"> </w:t>
      </w:r>
      <w:r w:rsidR="00C535F5" w:rsidRPr="00211FC9">
        <w:rPr>
          <w:rFonts w:ascii="Arial" w:hAnsi="Arial" w:cs="Arial"/>
          <w:sz w:val="19"/>
          <w:szCs w:val="19"/>
        </w:rPr>
        <w:t>«</w:t>
      </w:r>
      <w:r w:rsidRPr="00211FC9">
        <w:rPr>
          <w:rFonts w:ascii="Arial" w:eastAsiaTheme="minorHAnsi" w:hAnsi="Arial" w:cs="Arial"/>
          <w:color w:val="000000"/>
          <w:sz w:val="19"/>
          <w:szCs w:val="19"/>
          <w:lang w:eastAsia="en-US"/>
        </w:rPr>
        <w:t>Artículo 2.2.2.5.1. Habilitación de entidades territoriales y esquemas asociativos de entidades territoriales como gestores catastrales. Para la habilitación de las entidades territoriales y de los esquemas asociativos de entidades territoriales como gestores catastrales, el IGAC deberá verificar el cumplimiento de las siguientes condiciones:</w:t>
      </w:r>
    </w:p>
    <w:p w14:paraId="71285882" w14:textId="0A6B2CB2" w:rsidR="001F0B64" w:rsidRPr="00211FC9" w:rsidRDefault="00C535F5" w:rsidP="00211FC9">
      <w:pPr>
        <w:shd w:val="clear" w:color="auto" w:fill="FFFFFF"/>
        <w:ind w:firstLine="708"/>
        <w:jc w:val="both"/>
        <w:rPr>
          <w:rFonts w:ascii="Arial" w:hAnsi="Arial" w:cs="Arial"/>
          <w:color w:val="000000"/>
          <w:sz w:val="19"/>
          <w:szCs w:val="19"/>
          <w:lang w:val="es-CO"/>
        </w:rPr>
      </w:pPr>
      <w:r w:rsidRPr="00211FC9">
        <w:rPr>
          <w:rFonts w:ascii="Arial" w:hAnsi="Arial" w:cs="Arial"/>
          <w:color w:val="000000"/>
          <w:sz w:val="19"/>
          <w:szCs w:val="19"/>
          <w:lang w:val="es-CO"/>
        </w:rPr>
        <w:t>»</w:t>
      </w:r>
      <w:r w:rsidR="001F0B64" w:rsidRPr="00211FC9">
        <w:rPr>
          <w:rFonts w:ascii="Arial" w:hAnsi="Arial" w:cs="Arial"/>
          <w:color w:val="000000"/>
          <w:sz w:val="19"/>
          <w:szCs w:val="19"/>
          <w:lang w:val="es-CO"/>
        </w:rPr>
        <w:t>1 Jurídicas: El documento mediante el cual se acredite la representación legal de la entidad territorial o del esquema asociativo de conformidad con lo previsto en el artículo 249 de la Ley 1955 de 2019 o la reglamentación vigente.</w:t>
      </w:r>
    </w:p>
    <w:p w14:paraId="33D85DC7" w14:textId="18279FD2" w:rsidR="001F0B64" w:rsidRPr="00211FC9" w:rsidRDefault="00C535F5" w:rsidP="00211FC9">
      <w:pPr>
        <w:shd w:val="clear" w:color="auto" w:fill="FFFFFF"/>
        <w:ind w:firstLine="708"/>
        <w:jc w:val="both"/>
        <w:rPr>
          <w:rFonts w:ascii="Arial" w:hAnsi="Arial" w:cs="Arial"/>
          <w:color w:val="000000"/>
          <w:sz w:val="19"/>
          <w:szCs w:val="19"/>
          <w:lang w:val="es-CO"/>
        </w:rPr>
      </w:pPr>
      <w:r w:rsidRPr="00211FC9">
        <w:rPr>
          <w:rFonts w:ascii="Arial" w:hAnsi="Arial" w:cs="Arial"/>
          <w:color w:val="000000"/>
          <w:sz w:val="19"/>
          <w:szCs w:val="19"/>
          <w:lang w:val="es-CO"/>
        </w:rPr>
        <w:t>»</w:t>
      </w:r>
      <w:r w:rsidR="001F0B64" w:rsidRPr="00211FC9">
        <w:rPr>
          <w:rFonts w:ascii="Arial" w:hAnsi="Arial" w:cs="Arial"/>
          <w:color w:val="000000"/>
          <w:sz w:val="19"/>
          <w:szCs w:val="19"/>
          <w:lang w:val="es-CO"/>
        </w:rPr>
        <w:t>2. Técnicas: presentar. la descripción general de las condiciones en las que se llevará a cabo la prestación del servicio público de gestión catastral en relación con la formación; actualización, conservación y difusión catastral. […]</w:t>
      </w:r>
    </w:p>
    <w:p w14:paraId="0E925A29" w14:textId="38AA00CF" w:rsidR="001F0B64" w:rsidRPr="00211FC9" w:rsidRDefault="00C535F5" w:rsidP="00211FC9">
      <w:pPr>
        <w:shd w:val="clear" w:color="auto" w:fill="FFFFFF"/>
        <w:ind w:firstLine="708"/>
        <w:jc w:val="both"/>
        <w:rPr>
          <w:rFonts w:ascii="Arial" w:hAnsi="Arial" w:cs="Arial"/>
          <w:color w:val="000000"/>
          <w:sz w:val="19"/>
          <w:szCs w:val="19"/>
          <w:lang w:val="es-CO"/>
        </w:rPr>
      </w:pPr>
      <w:r w:rsidRPr="00211FC9">
        <w:rPr>
          <w:rFonts w:ascii="Arial" w:hAnsi="Arial" w:cs="Arial"/>
          <w:color w:val="000000"/>
          <w:sz w:val="19"/>
          <w:szCs w:val="19"/>
          <w:lang w:val="es-CO"/>
        </w:rPr>
        <w:t>»</w:t>
      </w:r>
      <w:r w:rsidR="001F0B64" w:rsidRPr="00211FC9">
        <w:rPr>
          <w:rFonts w:ascii="Arial" w:hAnsi="Arial" w:cs="Arial"/>
          <w:color w:val="000000"/>
          <w:sz w:val="19"/>
          <w:szCs w:val="19"/>
          <w:lang w:val="es-CO"/>
        </w:rPr>
        <w:t>3. Económicas y financieras: la entidad solicitante deberá presentar una proyección de ingresos y gastos con los cuales vaya a asumir la prestación del servicio. La proyección debe estar contemplada en el marco fiscal y de gasto de mediano plazo o en documento semejante, según corresponda. Así mismo, deberá precisar las fuentes de financiación de la prestación del servicio de gestión catastral. […]</w:t>
      </w:r>
      <w:r w:rsidRPr="00211FC9">
        <w:rPr>
          <w:rFonts w:ascii="Arial" w:hAnsi="Arial" w:cs="Arial"/>
          <w:color w:val="000000"/>
          <w:sz w:val="19"/>
          <w:szCs w:val="19"/>
          <w:lang w:val="es-CO"/>
        </w:rPr>
        <w:t>».</w:t>
      </w:r>
    </w:p>
  </w:footnote>
  <w:footnote w:id="4">
    <w:p w14:paraId="69EDDA09" w14:textId="77777777" w:rsidR="00942475" w:rsidRPr="00410C4C" w:rsidRDefault="00942475" w:rsidP="00410C4C">
      <w:pPr>
        <w:pStyle w:val="Textonotapie"/>
        <w:ind w:firstLine="708"/>
        <w:jc w:val="both"/>
        <w:rPr>
          <w:rFonts w:ascii="Arial" w:hAnsi="Arial" w:cs="Arial"/>
          <w:sz w:val="19"/>
          <w:szCs w:val="19"/>
        </w:rPr>
      </w:pPr>
      <w:r w:rsidRPr="00410C4C">
        <w:rPr>
          <w:rStyle w:val="Refdenotaalpie"/>
          <w:rFonts w:ascii="Arial" w:hAnsi="Arial" w:cs="Arial"/>
          <w:sz w:val="19"/>
          <w:szCs w:val="19"/>
        </w:rPr>
        <w:footnoteRef/>
      </w:r>
      <w:r w:rsidRPr="00410C4C">
        <w:rPr>
          <w:rFonts w:ascii="Arial" w:hAnsi="Arial" w:cs="Arial"/>
          <w:sz w:val="19"/>
          <w:szCs w:val="19"/>
        </w:rPr>
        <w:t xml:space="preserve"> Por su importancia para el objeto de la consulta se transcribe íntegramente la disposición: Decreto 1983 de 2019, compilado en el Decreto 1170 de 2015: «Artículo 2.2.2.5.11. </w:t>
      </w:r>
      <w:r w:rsidRPr="00410C4C">
        <w:rPr>
          <w:rFonts w:ascii="Arial" w:hAnsi="Arial" w:cs="Arial"/>
          <w:i/>
          <w:iCs/>
          <w:sz w:val="19"/>
          <w:szCs w:val="19"/>
        </w:rPr>
        <w:t>Requisitos de idoneidad de los operadores catastrales</w:t>
      </w:r>
      <w:r w:rsidRPr="00410C4C">
        <w:rPr>
          <w:rFonts w:ascii="Arial" w:hAnsi="Arial" w:cs="Arial"/>
          <w:sz w:val="19"/>
          <w:szCs w:val="19"/>
        </w:rPr>
        <w:t xml:space="preserve">. La idoneidad de los operadores catastrales deberá ser verificada por los gestores catastrales dentro del proceso de selección que adelanten para contratar sus servicios, teniendo en cuenta los siguientes requisitos:  </w:t>
      </w:r>
    </w:p>
    <w:p w14:paraId="0FF928B1" w14:textId="3DD28540" w:rsidR="00942475" w:rsidRPr="00410C4C" w:rsidRDefault="00942475" w:rsidP="00410C4C">
      <w:pPr>
        <w:pStyle w:val="Textonotapie"/>
        <w:ind w:firstLine="708"/>
        <w:jc w:val="both"/>
        <w:rPr>
          <w:rFonts w:ascii="Arial" w:hAnsi="Arial" w:cs="Arial"/>
          <w:sz w:val="19"/>
          <w:szCs w:val="19"/>
        </w:rPr>
      </w:pPr>
      <w:r w:rsidRPr="00211FC9">
        <w:rPr>
          <w:rFonts w:ascii="Arial" w:hAnsi="Arial" w:cs="Arial"/>
          <w:sz w:val="19"/>
          <w:szCs w:val="19"/>
        </w:rPr>
        <w:t>»</w:t>
      </w:r>
      <w:r w:rsidRPr="00410C4C">
        <w:rPr>
          <w:rFonts w:ascii="Arial" w:hAnsi="Arial" w:cs="Arial"/>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14:paraId="42E7CCB1" w14:textId="7D3AECA1" w:rsidR="00942475" w:rsidRPr="00410C4C" w:rsidRDefault="00942475" w:rsidP="00410C4C">
      <w:pPr>
        <w:pStyle w:val="Textonotapie"/>
        <w:ind w:firstLine="708"/>
        <w:jc w:val="both"/>
        <w:rPr>
          <w:rFonts w:ascii="Arial" w:hAnsi="Arial" w:cs="Arial"/>
          <w:sz w:val="19"/>
          <w:szCs w:val="19"/>
        </w:rPr>
      </w:pPr>
      <w:r w:rsidRPr="00211FC9">
        <w:rPr>
          <w:rFonts w:ascii="Arial" w:hAnsi="Arial" w:cs="Arial"/>
          <w:sz w:val="19"/>
          <w:szCs w:val="19"/>
        </w:rPr>
        <w:t>»</w:t>
      </w:r>
      <w:r w:rsidRPr="00410C4C">
        <w:rPr>
          <w:rFonts w:ascii="Arial" w:hAnsi="Arial" w:cs="Arial"/>
          <w:sz w:val="19"/>
          <w:szCs w:val="19"/>
        </w:rPr>
        <w:t xml:space="preserve">2. Técnicas: contar con profesionales y/o técnicos que contribuyan al desarrollo de los procesos de formación, actualización y conservación catastral.  </w:t>
      </w:r>
    </w:p>
    <w:p w14:paraId="67922EB3" w14:textId="5F590BCE" w:rsidR="00942475" w:rsidRPr="00410C4C" w:rsidRDefault="00942475" w:rsidP="00410C4C">
      <w:pPr>
        <w:pStyle w:val="Textonotapie"/>
        <w:ind w:firstLine="708"/>
        <w:jc w:val="both"/>
        <w:rPr>
          <w:rFonts w:ascii="Arial" w:hAnsi="Arial" w:cs="Arial"/>
          <w:sz w:val="19"/>
          <w:szCs w:val="19"/>
        </w:rPr>
      </w:pPr>
      <w:r w:rsidRPr="00211FC9">
        <w:rPr>
          <w:rFonts w:ascii="Arial" w:hAnsi="Arial" w:cs="Arial"/>
          <w:sz w:val="19"/>
          <w:szCs w:val="19"/>
        </w:rPr>
        <w:t>»</w:t>
      </w:r>
      <w:r w:rsidRPr="00410C4C">
        <w:rPr>
          <w:rFonts w:ascii="Arial" w:hAnsi="Arial" w:cs="Arial"/>
          <w:sz w:val="19"/>
          <w:szCs w:val="19"/>
        </w:rPr>
        <w:t>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y/o servicios contratados</w:t>
      </w:r>
      <w:r w:rsidRPr="00211FC9">
        <w:rPr>
          <w:rFonts w:ascii="Arial" w:hAnsi="Arial" w:cs="Arial"/>
          <w:sz w:val="19"/>
          <w:szCs w:val="19"/>
        </w:rPr>
        <w:t>»</w:t>
      </w:r>
      <w:r w:rsidRPr="00410C4C">
        <w:rPr>
          <w:rFonts w:ascii="Arial" w:hAnsi="Arial" w:cs="Arial"/>
          <w:sz w:val="19"/>
          <w:szCs w:val="19"/>
        </w:rPr>
        <w:t>.</w:t>
      </w:r>
    </w:p>
  </w:footnote>
  <w:footnote w:id="5">
    <w:p w14:paraId="41D9DCD2" w14:textId="3BC7BC9B" w:rsidR="00D943EC" w:rsidRPr="00211FC9" w:rsidRDefault="00D943EC" w:rsidP="00410C4C">
      <w:pPr>
        <w:pStyle w:val="Textonotapie"/>
        <w:ind w:firstLine="708"/>
        <w:jc w:val="both"/>
        <w:rPr>
          <w:rFonts w:ascii="Arial" w:hAnsi="Arial" w:cs="Arial"/>
          <w:sz w:val="19"/>
          <w:szCs w:val="19"/>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211FC9">
        <w:rPr>
          <w:rFonts w:ascii="Arial" w:hAnsi="Arial" w:cs="Arial"/>
          <w:sz w:val="19"/>
          <w:szCs w:val="19"/>
        </w:rPr>
        <w:t xml:space="preserve">Decreto 1983 de 2019, compilado en el Decreto 1170 de 2015: «Artículo 2.2.2.5.12. Contratación de operadores catastrales. 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14:paraId="0F270813" w14:textId="7AEFAD1D" w:rsidR="00D943EC" w:rsidRPr="00211FC9" w:rsidRDefault="00D943EC" w:rsidP="00410C4C">
      <w:pPr>
        <w:pStyle w:val="Textonotapie"/>
        <w:ind w:firstLine="708"/>
        <w:jc w:val="both"/>
        <w:rPr>
          <w:rFonts w:ascii="Arial" w:hAnsi="Arial" w:cs="Arial"/>
          <w:sz w:val="19"/>
          <w:szCs w:val="19"/>
        </w:rPr>
      </w:pPr>
      <w:proofErr w:type="gramStart"/>
      <w:r w:rsidRPr="00211FC9">
        <w:rPr>
          <w:rFonts w:ascii="Arial" w:hAnsi="Arial" w:cs="Arial"/>
          <w:sz w:val="19"/>
          <w:szCs w:val="19"/>
        </w:rPr>
        <w:t>»Parágrafo</w:t>
      </w:r>
      <w:proofErr w:type="gramEnd"/>
      <w:r w:rsidRPr="00211FC9">
        <w:rPr>
          <w:rFonts w:ascii="Arial" w:hAnsi="Arial" w:cs="Arial"/>
          <w:sz w:val="19"/>
          <w:szCs w:val="19"/>
        </w:rPr>
        <w:t xml:space="preserve">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14:paraId="7320245E" w14:textId="32CE9769" w:rsidR="00D943EC" w:rsidRPr="00211FC9" w:rsidRDefault="00D943EC" w:rsidP="00211FC9">
      <w:pPr>
        <w:pStyle w:val="Textonotapie"/>
        <w:ind w:firstLine="708"/>
        <w:jc w:val="both"/>
        <w:rPr>
          <w:rFonts w:ascii="Arial" w:hAnsi="Arial" w:cs="Arial"/>
          <w:sz w:val="19"/>
          <w:szCs w:val="19"/>
        </w:rPr>
      </w:pPr>
      <w:proofErr w:type="gramStart"/>
      <w:r w:rsidRPr="00211FC9">
        <w:rPr>
          <w:rFonts w:ascii="Arial" w:hAnsi="Arial" w:cs="Arial"/>
          <w:sz w:val="19"/>
          <w:szCs w:val="19"/>
        </w:rPr>
        <w:t>»Parágrafo</w:t>
      </w:r>
      <w:proofErr w:type="gramEnd"/>
      <w:r w:rsidRPr="00211FC9">
        <w:rPr>
          <w:rFonts w:ascii="Arial" w:hAnsi="Arial" w:cs="Arial"/>
          <w:sz w:val="19"/>
          <w:szCs w:val="19"/>
        </w:rPr>
        <w:t xml:space="preserve">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w:t>
      </w:r>
    </w:p>
    <w:p w14:paraId="22B7934B" w14:textId="77777777" w:rsidR="00D943EC" w:rsidRPr="00410C4C" w:rsidRDefault="00D943EC" w:rsidP="00410C4C">
      <w:pPr>
        <w:pStyle w:val="Textonotapie"/>
        <w:ind w:firstLine="708"/>
        <w:jc w:val="both"/>
        <w:rPr>
          <w:rFonts w:ascii="Arial" w:hAnsi="Arial" w:cs="Arial"/>
          <w:sz w:val="19"/>
          <w:szCs w:val="19"/>
        </w:rPr>
      </w:pPr>
    </w:p>
  </w:footnote>
  <w:footnote w:id="6">
    <w:p w14:paraId="53DEE412" w14:textId="46E2EE33" w:rsidR="00C20BD8" w:rsidRPr="00211FC9" w:rsidRDefault="00C20BD8" w:rsidP="00410C4C">
      <w:pPr>
        <w:pStyle w:val="Textonotapie"/>
        <w:ind w:firstLine="708"/>
        <w:jc w:val="both"/>
        <w:rPr>
          <w:rFonts w:ascii="Arial" w:hAnsi="Arial" w:cs="Arial"/>
          <w:color w:val="000000"/>
          <w:sz w:val="19"/>
          <w:szCs w:val="19"/>
          <w:lang w:val="es-CO"/>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211FC9">
        <w:rPr>
          <w:rFonts w:ascii="Arial" w:hAnsi="Arial" w:cs="Arial"/>
          <w:color w:val="000000"/>
          <w:sz w:val="19"/>
          <w:szCs w:val="19"/>
          <w:lang w:val="es-CO"/>
        </w:rPr>
        <w:t>Constitución Política de 199</w:t>
      </w:r>
      <w:r w:rsidR="00FF410D" w:rsidRPr="00211FC9">
        <w:rPr>
          <w:rFonts w:ascii="Arial" w:hAnsi="Arial" w:cs="Arial"/>
          <w:color w:val="000000"/>
          <w:sz w:val="19"/>
          <w:szCs w:val="19"/>
          <w:lang w:val="es-CO"/>
        </w:rPr>
        <w:t xml:space="preserve">1. </w:t>
      </w:r>
      <w:r w:rsidR="00211FC9" w:rsidRPr="00211FC9">
        <w:rPr>
          <w:rFonts w:ascii="Arial" w:hAnsi="Arial" w:cs="Arial"/>
          <w:color w:val="000000"/>
          <w:sz w:val="19"/>
          <w:szCs w:val="19"/>
          <w:lang w:val="es-CO"/>
        </w:rPr>
        <w:t>«</w:t>
      </w:r>
      <w:r w:rsidR="00FF410D" w:rsidRPr="00211FC9">
        <w:rPr>
          <w:rFonts w:ascii="Arial" w:hAnsi="Arial" w:cs="Arial"/>
          <w:color w:val="000000"/>
          <w:sz w:val="19"/>
          <w:szCs w:val="19"/>
          <w:lang w:val="es-CO"/>
        </w:rPr>
        <w:t>Artículo 7. El Estado reconoce y protege la diversidad étnica y cultural de la Nación colombiana</w:t>
      </w:r>
      <w:r w:rsidR="00211FC9" w:rsidRPr="00211FC9">
        <w:rPr>
          <w:rFonts w:ascii="Arial" w:hAnsi="Arial" w:cs="Arial"/>
          <w:color w:val="000000"/>
          <w:sz w:val="19"/>
          <w:szCs w:val="19"/>
          <w:lang w:val="es-CO"/>
        </w:rPr>
        <w:t>»</w:t>
      </w:r>
      <w:r w:rsidR="00FF410D" w:rsidRPr="00211FC9">
        <w:rPr>
          <w:rFonts w:ascii="Arial" w:hAnsi="Arial" w:cs="Arial"/>
          <w:color w:val="000000"/>
          <w:sz w:val="19"/>
          <w:szCs w:val="19"/>
          <w:lang w:val="es-CO"/>
        </w:rPr>
        <w:t>.</w:t>
      </w:r>
    </w:p>
  </w:footnote>
  <w:footnote w:id="7">
    <w:p w14:paraId="5251DD6B" w14:textId="77777777" w:rsidR="00FF410D" w:rsidRPr="00410C4C" w:rsidRDefault="00FF410D" w:rsidP="00410C4C">
      <w:pPr>
        <w:pStyle w:val="Textonotapie"/>
        <w:ind w:firstLine="708"/>
        <w:jc w:val="both"/>
        <w:rPr>
          <w:rFonts w:ascii="Arial" w:hAnsi="Arial" w:cs="Arial"/>
          <w:sz w:val="19"/>
          <w:szCs w:val="19"/>
        </w:rPr>
      </w:pPr>
    </w:p>
    <w:p w14:paraId="2D958CD6" w14:textId="768525D1" w:rsidR="009753FB" w:rsidRPr="00211FC9" w:rsidRDefault="009753FB" w:rsidP="00410C4C">
      <w:pPr>
        <w:pStyle w:val="Textonotapie"/>
        <w:ind w:firstLine="708"/>
        <w:jc w:val="both"/>
        <w:rPr>
          <w:rFonts w:ascii="Arial" w:hAnsi="Arial" w:cs="Arial"/>
          <w:color w:val="000000"/>
          <w:sz w:val="19"/>
          <w:szCs w:val="19"/>
          <w:lang w:val="es-CO"/>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211FC9">
        <w:rPr>
          <w:rFonts w:ascii="Arial" w:hAnsi="Arial" w:cs="Arial"/>
          <w:color w:val="000000"/>
          <w:sz w:val="19"/>
          <w:szCs w:val="19"/>
          <w:lang w:val="es-CO"/>
        </w:rPr>
        <w:t>Constitución Política de 1991.</w:t>
      </w:r>
      <w:r w:rsidR="003015C8" w:rsidRPr="00211FC9">
        <w:rPr>
          <w:rFonts w:ascii="Arial" w:hAnsi="Arial" w:cs="Arial"/>
          <w:color w:val="000000"/>
          <w:sz w:val="19"/>
          <w:szCs w:val="19"/>
          <w:lang w:val="es-CO"/>
        </w:rPr>
        <w:t xml:space="preserve"> </w:t>
      </w:r>
      <w:r w:rsidR="00AC21BF">
        <w:rPr>
          <w:rFonts w:ascii="Arial" w:hAnsi="Arial" w:cs="Arial"/>
          <w:color w:val="000000"/>
          <w:sz w:val="19"/>
          <w:szCs w:val="19"/>
          <w:lang w:val="es-CO"/>
        </w:rPr>
        <w:t>«</w:t>
      </w:r>
      <w:r w:rsidRPr="00211FC9">
        <w:rPr>
          <w:rFonts w:ascii="Arial" w:hAnsi="Arial" w:cs="Arial"/>
          <w:color w:val="000000"/>
          <w:sz w:val="19"/>
          <w:szCs w:val="19"/>
          <w:lang w:val="es-CO"/>
        </w:rPr>
        <w:t>Artículo 10</w:t>
      </w:r>
      <w:r w:rsidR="003015C8" w:rsidRPr="00211FC9">
        <w:rPr>
          <w:rFonts w:ascii="Arial" w:hAnsi="Arial" w:cs="Arial"/>
          <w:color w:val="000000"/>
          <w:sz w:val="19"/>
          <w:szCs w:val="19"/>
          <w:lang w:val="es-CO"/>
        </w:rPr>
        <w:t>. El castellano es el idioma oficial de Colombia. Las lenguas y dialectos de los </w:t>
      </w:r>
      <w:r w:rsidR="003015C8" w:rsidRPr="00410C4C">
        <w:rPr>
          <w:rFonts w:ascii="Arial" w:hAnsi="Arial" w:cs="Arial"/>
          <w:color w:val="000000"/>
          <w:sz w:val="19"/>
          <w:szCs w:val="19"/>
          <w:lang w:val="es-CO"/>
        </w:rPr>
        <w:t>grupo</w:t>
      </w:r>
      <w:r w:rsidR="003015C8" w:rsidRPr="00211FC9">
        <w:rPr>
          <w:rFonts w:ascii="Arial" w:hAnsi="Arial" w:cs="Arial"/>
          <w:color w:val="000000"/>
          <w:sz w:val="19"/>
          <w:szCs w:val="19"/>
          <w:lang w:val="es-CO"/>
        </w:rPr>
        <w:t>s étnicos son también oficiales en sus territorios. La enseñanza que se imparta en las comunidades con tradiciones lingüísticas propias será bilingüe</w:t>
      </w:r>
      <w:r w:rsidR="00AC21BF">
        <w:rPr>
          <w:rFonts w:ascii="Arial" w:hAnsi="Arial" w:cs="Arial"/>
          <w:color w:val="000000"/>
          <w:sz w:val="19"/>
          <w:szCs w:val="19"/>
          <w:lang w:val="es-CO"/>
        </w:rPr>
        <w:t>»</w:t>
      </w:r>
      <w:r w:rsidR="003015C8" w:rsidRPr="00211FC9">
        <w:rPr>
          <w:rFonts w:ascii="Arial" w:hAnsi="Arial" w:cs="Arial"/>
          <w:color w:val="000000"/>
          <w:sz w:val="19"/>
          <w:szCs w:val="19"/>
          <w:lang w:val="es-CO"/>
        </w:rPr>
        <w:t>.</w:t>
      </w:r>
    </w:p>
  </w:footnote>
  <w:footnote w:id="8">
    <w:p w14:paraId="622FD580" w14:textId="77777777" w:rsidR="008D15C1" w:rsidRPr="00211FC9" w:rsidRDefault="008D15C1" w:rsidP="00211FC9">
      <w:pPr>
        <w:pStyle w:val="Textonotapie"/>
        <w:ind w:firstLine="708"/>
        <w:jc w:val="both"/>
        <w:rPr>
          <w:rFonts w:ascii="Arial" w:hAnsi="Arial" w:cs="Arial"/>
          <w:color w:val="000000"/>
          <w:sz w:val="19"/>
          <w:szCs w:val="19"/>
          <w:lang w:val="es-CO"/>
        </w:rPr>
      </w:pPr>
    </w:p>
    <w:p w14:paraId="7E4A891E" w14:textId="63E25641" w:rsidR="008D15C1" w:rsidRPr="00410C4C" w:rsidRDefault="008D15C1" w:rsidP="00211FC9">
      <w:pPr>
        <w:pStyle w:val="Textonotapie"/>
        <w:ind w:firstLine="708"/>
        <w:jc w:val="both"/>
        <w:rPr>
          <w:rFonts w:ascii="Arial" w:hAnsi="Arial" w:cs="Arial"/>
          <w:sz w:val="19"/>
          <w:szCs w:val="19"/>
          <w:lang w:val="es-ES"/>
        </w:rPr>
      </w:pPr>
      <w:r w:rsidRPr="00410C4C">
        <w:rPr>
          <w:rStyle w:val="Refdenotaalpie"/>
          <w:rFonts w:ascii="Arial" w:hAnsi="Arial" w:cs="Arial"/>
          <w:sz w:val="19"/>
          <w:szCs w:val="19"/>
        </w:rPr>
        <w:footnoteRef/>
      </w:r>
      <w:r w:rsidRPr="00410C4C">
        <w:rPr>
          <w:rStyle w:val="Refdenotaalpie"/>
          <w:rFonts w:ascii="Arial" w:hAnsi="Arial" w:cs="Arial"/>
          <w:sz w:val="19"/>
          <w:szCs w:val="19"/>
        </w:rPr>
        <w:t xml:space="preserve"> </w:t>
      </w:r>
      <w:r w:rsidRPr="00211FC9">
        <w:rPr>
          <w:rFonts w:ascii="Arial" w:hAnsi="Arial" w:cs="Arial"/>
          <w:color w:val="000000"/>
          <w:sz w:val="19"/>
          <w:szCs w:val="19"/>
          <w:lang w:val="es-CO"/>
        </w:rPr>
        <w:t xml:space="preserve">Constitución Política de 1991. </w:t>
      </w:r>
      <w:r w:rsidR="00AC21BF">
        <w:rPr>
          <w:rFonts w:ascii="Arial" w:hAnsi="Arial" w:cs="Arial"/>
          <w:color w:val="000000"/>
          <w:sz w:val="19"/>
          <w:szCs w:val="19"/>
          <w:lang w:val="es-CO"/>
        </w:rPr>
        <w:t>«</w:t>
      </w:r>
      <w:r w:rsidRPr="00211FC9">
        <w:rPr>
          <w:rFonts w:ascii="Arial" w:hAnsi="Arial" w:cs="Arial"/>
          <w:color w:val="000000"/>
          <w:sz w:val="19"/>
          <w:szCs w:val="19"/>
          <w:lang w:val="es-CO"/>
        </w:rPr>
        <w:t xml:space="preserve">Artículo 63. </w:t>
      </w:r>
      <w:r w:rsidR="008878C5" w:rsidRPr="00211FC9">
        <w:rPr>
          <w:rFonts w:ascii="Arial" w:hAnsi="Arial" w:cs="Arial"/>
          <w:color w:val="000000"/>
          <w:sz w:val="19"/>
          <w:szCs w:val="19"/>
          <w:lang w:val="es-CO"/>
        </w:rPr>
        <w:t>Los bienes de uso público, los parques naturales, las tierras comunales de </w:t>
      </w:r>
      <w:r w:rsidR="008878C5" w:rsidRPr="00410C4C">
        <w:rPr>
          <w:rFonts w:ascii="Arial" w:hAnsi="Arial" w:cs="Arial"/>
          <w:color w:val="000000"/>
          <w:sz w:val="19"/>
          <w:szCs w:val="19"/>
          <w:lang w:val="es-CO"/>
        </w:rPr>
        <w:t>grupo</w:t>
      </w:r>
      <w:r w:rsidR="008878C5" w:rsidRPr="00211FC9">
        <w:rPr>
          <w:rFonts w:ascii="Arial" w:hAnsi="Arial" w:cs="Arial"/>
          <w:color w:val="000000"/>
          <w:sz w:val="19"/>
          <w:szCs w:val="19"/>
          <w:lang w:val="es-CO"/>
        </w:rPr>
        <w:t>s étnicos, las tierras de resguardo, el patrimonio arqueológico de la Nación y los demás bienes que determine la ley, son inalienables, imprescriptibles e inembargables</w:t>
      </w:r>
      <w:r w:rsidR="00AC21BF">
        <w:rPr>
          <w:rFonts w:ascii="Arial" w:hAnsi="Arial" w:cs="Arial"/>
          <w:color w:val="000000"/>
          <w:sz w:val="19"/>
          <w:szCs w:val="19"/>
          <w:lang w:val="es-CO"/>
        </w:rPr>
        <w:t>»</w:t>
      </w:r>
      <w:r w:rsidR="008878C5" w:rsidRPr="00211FC9">
        <w:rPr>
          <w:rFonts w:ascii="Arial" w:hAnsi="Arial" w:cs="Arial"/>
          <w:color w:val="000000"/>
          <w:sz w:val="19"/>
          <w:szCs w:val="19"/>
          <w:lang w:val="es-CO"/>
        </w:rPr>
        <w:t>.</w:t>
      </w:r>
    </w:p>
  </w:footnote>
  <w:footnote w:id="9">
    <w:p w14:paraId="3F3EB4B9" w14:textId="77777777" w:rsidR="00794812" w:rsidRPr="00410C4C" w:rsidRDefault="00794812" w:rsidP="00410C4C">
      <w:pPr>
        <w:pStyle w:val="Textonotapie"/>
        <w:jc w:val="both"/>
        <w:rPr>
          <w:rFonts w:ascii="Arial" w:hAnsi="Arial" w:cs="Arial"/>
          <w:sz w:val="19"/>
          <w:szCs w:val="19"/>
        </w:rPr>
      </w:pPr>
    </w:p>
    <w:p w14:paraId="59D858F4" w14:textId="698619AC" w:rsidR="00794812" w:rsidRPr="00211FC9" w:rsidRDefault="00794812" w:rsidP="00410C4C">
      <w:pPr>
        <w:pStyle w:val="Textonotapie"/>
        <w:ind w:firstLine="708"/>
        <w:jc w:val="both"/>
        <w:rPr>
          <w:rFonts w:ascii="Arial" w:hAnsi="Arial" w:cs="Arial"/>
          <w:color w:val="000000"/>
          <w:sz w:val="19"/>
          <w:szCs w:val="19"/>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410C4C">
        <w:rPr>
          <w:rStyle w:val="Refdenotaalpie"/>
          <w:rFonts w:ascii="Arial" w:hAnsi="Arial" w:cs="Arial"/>
          <w:sz w:val="19"/>
          <w:szCs w:val="19"/>
        </w:rPr>
        <w:t xml:space="preserve"> </w:t>
      </w:r>
      <w:r w:rsidRPr="00211FC9">
        <w:rPr>
          <w:rFonts w:ascii="Arial" w:hAnsi="Arial" w:cs="Arial"/>
          <w:color w:val="000000"/>
          <w:sz w:val="19"/>
          <w:szCs w:val="19"/>
          <w:lang w:val="es-CO"/>
        </w:rPr>
        <w:t xml:space="preserve">Constitución Política de 1991. Artículo 68. […] </w:t>
      </w:r>
      <w:r w:rsidR="007C77DB" w:rsidRPr="00211FC9">
        <w:rPr>
          <w:rFonts w:ascii="Arial" w:hAnsi="Arial" w:cs="Arial"/>
          <w:color w:val="000000"/>
          <w:sz w:val="19"/>
          <w:szCs w:val="19"/>
        </w:rPr>
        <w:t>Las integrantes de los grupos étnicos tendrán derecho a una formación que respete y desarrolle su identidad cultural.</w:t>
      </w:r>
    </w:p>
    <w:p w14:paraId="761A6463" w14:textId="6D8A30FC" w:rsidR="00546669" w:rsidRPr="00410C4C" w:rsidRDefault="00546669" w:rsidP="00410C4C">
      <w:pPr>
        <w:pStyle w:val="Textonotapie"/>
        <w:ind w:firstLine="708"/>
        <w:jc w:val="both"/>
        <w:rPr>
          <w:rFonts w:ascii="Arial" w:hAnsi="Arial" w:cs="Arial"/>
          <w:sz w:val="19"/>
          <w:szCs w:val="19"/>
          <w:lang w:val="es-ES"/>
        </w:rPr>
      </w:pPr>
      <w:r w:rsidRPr="00211FC9">
        <w:rPr>
          <w:rFonts w:ascii="Arial" w:hAnsi="Arial" w:cs="Arial"/>
          <w:color w:val="000000"/>
          <w:sz w:val="19"/>
          <w:szCs w:val="19"/>
        </w:rPr>
        <w:tab/>
      </w:r>
    </w:p>
  </w:footnote>
  <w:footnote w:id="10">
    <w:p w14:paraId="2B95BE9E" w14:textId="2F2E9445" w:rsidR="008B07E4" w:rsidRPr="00211FC9" w:rsidRDefault="00546669" w:rsidP="00211FC9">
      <w:pPr>
        <w:pStyle w:val="Textonotapie"/>
        <w:ind w:firstLine="708"/>
        <w:jc w:val="both"/>
        <w:rPr>
          <w:rFonts w:ascii="Arial" w:hAnsi="Arial" w:cs="Arial"/>
          <w:color w:val="000000"/>
          <w:sz w:val="19"/>
          <w:szCs w:val="19"/>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211FC9">
        <w:rPr>
          <w:rFonts w:ascii="Arial" w:hAnsi="Arial" w:cs="Arial"/>
          <w:color w:val="000000"/>
          <w:sz w:val="19"/>
          <w:szCs w:val="19"/>
          <w:lang w:val="es-CO"/>
        </w:rPr>
        <w:t xml:space="preserve">Ley 70 de 1993. </w:t>
      </w:r>
      <w:r w:rsidR="00AE4588">
        <w:rPr>
          <w:rFonts w:ascii="Arial" w:hAnsi="Arial" w:cs="Arial"/>
          <w:color w:val="000000"/>
          <w:sz w:val="19"/>
          <w:szCs w:val="19"/>
          <w:lang w:val="es-CO"/>
        </w:rPr>
        <w:t>«</w:t>
      </w:r>
      <w:r w:rsidRPr="00211FC9">
        <w:rPr>
          <w:rFonts w:ascii="Arial" w:hAnsi="Arial" w:cs="Arial"/>
          <w:color w:val="000000"/>
          <w:sz w:val="19"/>
          <w:szCs w:val="19"/>
          <w:lang w:val="es-CO"/>
        </w:rPr>
        <w:t xml:space="preserve">Artículo 2. </w:t>
      </w:r>
      <w:r w:rsidR="00BE32B6" w:rsidRPr="00211FC9">
        <w:rPr>
          <w:rFonts w:ascii="Arial" w:hAnsi="Arial" w:cs="Arial"/>
          <w:color w:val="000000"/>
          <w:sz w:val="19"/>
          <w:szCs w:val="19"/>
          <w:lang w:val="es-CO"/>
        </w:rPr>
        <w:t xml:space="preserve">Para los efectos de la presente ley se entiende </w:t>
      </w:r>
      <w:r w:rsidR="00BE32B6" w:rsidRPr="00211FC9">
        <w:rPr>
          <w:rFonts w:ascii="Arial" w:hAnsi="Arial" w:cs="Arial"/>
          <w:color w:val="000000"/>
          <w:sz w:val="19"/>
          <w:szCs w:val="19"/>
        </w:rPr>
        <w:t>por: </w:t>
      </w:r>
    </w:p>
    <w:p w14:paraId="3DC19915" w14:textId="471A9BE3" w:rsidR="008B07E4" w:rsidRPr="00211FC9" w:rsidRDefault="008B07E4" w:rsidP="00211FC9">
      <w:pPr>
        <w:pStyle w:val="Textonotapie"/>
        <w:ind w:firstLine="708"/>
        <w:jc w:val="both"/>
        <w:rPr>
          <w:rFonts w:ascii="Arial" w:hAnsi="Arial" w:cs="Arial"/>
          <w:color w:val="000000"/>
          <w:sz w:val="19"/>
          <w:szCs w:val="19"/>
        </w:rPr>
      </w:pPr>
      <w:r w:rsidRPr="00211FC9">
        <w:rPr>
          <w:rFonts w:ascii="Arial" w:hAnsi="Arial" w:cs="Arial"/>
          <w:color w:val="000000"/>
          <w:sz w:val="19"/>
          <w:szCs w:val="19"/>
        </w:rPr>
        <w:t>[...]</w:t>
      </w:r>
    </w:p>
    <w:p w14:paraId="0677D0C4" w14:textId="50940B0D" w:rsidR="00546669" w:rsidRPr="00410C4C" w:rsidRDefault="00AE4588" w:rsidP="00211FC9">
      <w:pPr>
        <w:pStyle w:val="Textonotapie"/>
        <w:ind w:firstLine="708"/>
        <w:jc w:val="both"/>
        <w:rPr>
          <w:rFonts w:ascii="Arial" w:hAnsi="Arial" w:cs="Arial"/>
          <w:sz w:val="19"/>
          <w:szCs w:val="19"/>
          <w:lang w:val="es-ES"/>
        </w:rPr>
      </w:pPr>
      <w:r>
        <w:rPr>
          <w:rFonts w:ascii="Arial" w:hAnsi="Arial" w:cs="Arial"/>
          <w:color w:val="000000"/>
          <w:sz w:val="19"/>
          <w:szCs w:val="19"/>
        </w:rPr>
        <w:t>»</w:t>
      </w:r>
      <w:r w:rsidR="008B07E4" w:rsidRPr="00211FC9">
        <w:rPr>
          <w:rFonts w:ascii="Arial" w:hAnsi="Arial" w:cs="Arial"/>
          <w:color w:val="000000"/>
          <w:sz w:val="19"/>
          <w:szCs w:val="19"/>
        </w:rPr>
        <w:t>5. Comunidad negra. Es 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r w:rsidR="008B07E4" w:rsidRPr="00410C4C">
        <w:rPr>
          <w:rFonts w:ascii="Arial" w:hAnsi="Arial" w:cs="Arial"/>
          <w:sz w:val="19"/>
          <w:szCs w:val="19"/>
        </w:rPr>
        <w:t> </w:t>
      </w:r>
    </w:p>
  </w:footnote>
  <w:footnote w:id="11">
    <w:p w14:paraId="43224ABF" w14:textId="77777777" w:rsidR="00254F89" w:rsidRPr="00410C4C" w:rsidRDefault="00254F89" w:rsidP="00410C4C">
      <w:pPr>
        <w:pStyle w:val="Textonotapie"/>
        <w:jc w:val="both"/>
        <w:rPr>
          <w:rFonts w:ascii="Arial" w:hAnsi="Arial" w:cs="Arial"/>
          <w:sz w:val="19"/>
          <w:szCs w:val="19"/>
        </w:rPr>
      </w:pPr>
    </w:p>
    <w:p w14:paraId="7A968D60" w14:textId="1D037DE6" w:rsidR="00254F89" w:rsidRDefault="00254F89" w:rsidP="00211FC9">
      <w:pPr>
        <w:pStyle w:val="Textonotapie"/>
        <w:ind w:firstLine="708"/>
        <w:jc w:val="both"/>
        <w:rPr>
          <w:rFonts w:ascii="Arial" w:hAnsi="Arial" w:cs="Arial"/>
          <w:color w:val="000000"/>
          <w:sz w:val="19"/>
          <w:szCs w:val="19"/>
          <w:lang w:val="es-CO"/>
        </w:rPr>
      </w:pPr>
      <w:r w:rsidRPr="00410C4C">
        <w:rPr>
          <w:rStyle w:val="Refdenotaalpie"/>
          <w:rFonts w:ascii="Arial" w:hAnsi="Arial" w:cs="Arial"/>
          <w:sz w:val="19"/>
          <w:szCs w:val="19"/>
        </w:rPr>
        <w:footnoteRef/>
      </w:r>
      <w:r w:rsidRPr="00410C4C">
        <w:rPr>
          <w:rFonts w:ascii="Arial" w:hAnsi="Arial" w:cs="Arial"/>
          <w:sz w:val="19"/>
          <w:szCs w:val="19"/>
          <w:lang w:val="pt-BR"/>
        </w:rPr>
        <w:t xml:space="preserve"> </w:t>
      </w:r>
      <w:r w:rsidRPr="00211FC9">
        <w:rPr>
          <w:rFonts w:ascii="Arial" w:hAnsi="Arial" w:cs="Arial"/>
          <w:color w:val="000000"/>
          <w:sz w:val="19"/>
          <w:szCs w:val="19"/>
          <w:lang w:val="pt-BR"/>
        </w:rPr>
        <w:t xml:space="preserve">Corte Constitucional. Sentencia T-704 </w:t>
      </w:r>
      <w:r w:rsidR="007F45C8" w:rsidRPr="00211FC9">
        <w:rPr>
          <w:rFonts w:ascii="Arial" w:hAnsi="Arial" w:cs="Arial"/>
          <w:color w:val="000000"/>
          <w:sz w:val="19"/>
          <w:szCs w:val="19"/>
          <w:lang w:val="pt-BR"/>
        </w:rPr>
        <w:t>de</w:t>
      </w:r>
      <w:r w:rsidRPr="00211FC9">
        <w:rPr>
          <w:rFonts w:ascii="Arial" w:hAnsi="Arial" w:cs="Arial"/>
          <w:color w:val="000000"/>
          <w:sz w:val="19"/>
          <w:szCs w:val="19"/>
          <w:lang w:val="pt-BR"/>
        </w:rPr>
        <w:t xml:space="preserve"> 2016. </w:t>
      </w:r>
      <w:r w:rsidR="00587B74" w:rsidRPr="00211FC9">
        <w:rPr>
          <w:rFonts w:ascii="Arial" w:hAnsi="Arial" w:cs="Arial"/>
          <w:color w:val="000000"/>
          <w:sz w:val="19"/>
          <w:szCs w:val="19"/>
          <w:lang w:val="es-CO"/>
        </w:rPr>
        <w:t>M.P. Luis Ernesto Vargas Silva: «11 Esta Corte entiende que el término comunidades o pueblos étnicos incluye tanto a población afro como indígena».</w:t>
      </w:r>
    </w:p>
    <w:p w14:paraId="2A0195D5" w14:textId="77777777" w:rsidR="00AE4588" w:rsidRPr="00211FC9" w:rsidRDefault="00AE4588" w:rsidP="00211FC9">
      <w:pPr>
        <w:pStyle w:val="Textonotapie"/>
        <w:ind w:firstLine="708"/>
        <w:jc w:val="both"/>
        <w:rPr>
          <w:rFonts w:ascii="Arial" w:hAnsi="Arial" w:cs="Arial"/>
          <w:color w:val="000000"/>
          <w:sz w:val="19"/>
          <w:szCs w:val="19"/>
          <w:lang w:val="es-CO"/>
        </w:rPr>
      </w:pPr>
    </w:p>
  </w:footnote>
  <w:footnote w:id="12">
    <w:p w14:paraId="430E1B44" w14:textId="65F13B1E" w:rsidR="00AD4A1A" w:rsidRPr="00211FC9" w:rsidRDefault="00AD4A1A" w:rsidP="00211FC9">
      <w:pPr>
        <w:pStyle w:val="Textonotapie"/>
        <w:ind w:firstLine="708"/>
        <w:jc w:val="both"/>
        <w:rPr>
          <w:rFonts w:ascii="Arial" w:hAnsi="Arial" w:cs="Arial"/>
          <w:color w:val="000000"/>
          <w:sz w:val="19"/>
          <w:szCs w:val="19"/>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211FC9">
        <w:rPr>
          <w:rFonts w:ascii="Arial" w:hAnsi="Arial" w:cs="Arial"/>
          <w:color w:val="000000"/>
          <w:sz w:val="19"/>
          <w:szCs w:val="19"/>
        </w:rPr>
        <w:t xml:space="preserve">Ministerio de Salud. </w:t>
      </w:r>
      <w:r w:rsidR="005008EE" w:rsidRPr="00211FC9">
        <w:rPr>
          <w:rFonts w:ascii="Arial" w:hAnsi="Arial" w:cs="Arial"/>
          <w:color w:val="000000"/>
          <w:sz w:val="19"/>
          <w:szCs w:val="19"/>
        </w:rPr>
        <w:t xml:space="preserve">Boletines Poblacionales: Población Indígena Oficina de Promoción Social. </w:t>
      </w:r>
      <w:r w:rsidR="00682BFE" w:rsidRPr="00211FC9">
        <w:rPr>
          <w:rFonts w:ascii="Arial" w:hAnsi="Arial" w:cs="Arial"/>
          <w:color w:val="000000"/>
          <w:sz w:val="19"/>
          <w:szCs w:val="19"/>
        </w:rPr>
        <w:t xml:space="preserve">Corte a </w:t>
      </w:r>
      <w:proofErr w:type="gramStart"/>
      <w:r w:rsidR="00682BFE" w:rsidRPr="00211FC9">
        <w:rPr>
          <w:rFonts w:ascii="Arial" w:hAnsi="Arial" w:cs="Arial"/>
          <w:color w:val="000000"/>
          <w:sz w:val="19"/>
          <w:szCs w:val="19"/>
        </w:rPr>
        <w:t>Diciembre</w:t>
      </w:r>
      <w:proofErr w:type="gramEnd"/>
      <w:r w:rsidR="00682BFE" w:rsidRPr="00211FC9">
        <w:rPr>
          <w:rFonts w:ascii="Arial" w:hAnsi="Arial" w:cs="Arial"/>
          <w:color w:val="000000"/>
          <w:sz w:val="19"/>
          <w:szCs w:val="19"/>
        </w:rPr>
        <w:t xml:space="preserve"> de 2019. Disponible en el siguiente enlace: </w:t>
      </w:r>
      <w:hyperlink r:id="rId1" w:history="1">
        <w:r w:rsidR="00682BFE" w:rsidRPr="00211FC9">
          <w:rPr>
            <w:rFonts w:ascii="Arial" w:hAnsi="Arial" w:cs="Arial"/>
            <w:color w:val="000000"/>
            <w:sz w:val="19"/>
            <w:szCs w:val="19"/>
          </w:rPr>
          <w:t>https://www.minsalud.gov.co/sites/rid/Lists/BibliotecaDigital/RIDE/DE/PS/boletines-poblacionales-poblacion-indigena.pdf</w:t>
        </w:r>
      </w:hyperlink>
      <w:r w:rsidR="00682BFE" w:rsidRPr="00211FC9">
        <w:rPr>
          <w:rFonts w:ascii="Arial" w:hAnsi="Arial" w:cs="Arial"/>
          <w:color w:val="000000"/>
          <w:sz w:val="19"/>
          <w:szCs w:val="19"/>
        </w:rPr>
        <w:t xml:space="preserve"> </w:t>
      </w:r>
    </w:p>
  </w:footnote>
  <w:footnote w:id="13">
    <w:p w14:paraId="5B2D7EED" w14:textId="77777777" w:rsidR="00946B8F" w:rsidRPr="00211FC9" w:rsidRDefault="00946B8F" w:rsidP="00211FC9">
      <w:pPr>
        <w:pStyle w:val="Textonotapie"/>
        <w:ind w:firstLine="709"/>
        <w:jc w:val="both"/>
        <w:rPr>
          <w:rFonts w:ascii="Arial" w:hAnsi="Arial" w:cs="Arial"/>
          <w:sz w:val="19"/>
          <w:szCs w:val="19"/>
        </w:rPr>
      </w:pPr>
    </w:p>
    <w:p w14:paraId="5BCF5782" w14:textId="6EFFAF6D" w:rsidR="00946B8F" w:rsidRPr="00211FC9" w:rsidRDefault="00946B8F" w:rsidP="00211FC9">
      <w:pPr>
        <w:pStyle w:val="Textonotapie"/>
        <w:ind w:firstLine="709"/>
        <w:jc w:val="both"/>
        <w:rPr>
          <w:rFonts w:ascii="Arial" w:hAnsi="Arial" w:cs="Arial"/>
          <w:sz w:val="19"/>
          <w:szCs w:val="19"/>
          <w:lang w:val="es-ES"/>
        </w:rPr>
      </w:pPr>
      <w:r w:rsidRPr="00211FC9">
        <w:rPr>
          <w:rStyle w:val="Refdenotaalpie"/>
          <w:rFonts w:ascii="Arial" w:hAnsi="Arial" w:cs="Arial"/>
          <w:sz w:val="19"/>
          <w:szCs w:val="19"/>
        </w:rPr>
        <w:footnoteRef/>
      </w:r>
      <w:r w:rsidRPr="00211FC9">
        <w:rPr>
          <w:rFonts w:ascii="Arial" w:hAnsi="Arial" w:cs="Arial"/>
          <w:sz w:val="19"/>
          <w:szCs w:val="19"/>
        </w:rPr>
        <w:t xml:space="preserve"> </w:t>
      </w:r>
      <w:r w:rsidRPr="00211FC9">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footnote>
  <w:footnote w:id="14">
    <w:p w14:paraId="3DA6C8A0" w14:textId="77777777" w:rsidR="00DE6B10" w:rsidRPr="00410C4C" w:rsidRDefault="00DE6B10" w:rsidP="00410C4C">
      <w:pPr>
        <w:pStyle w:val="Textonotapie"/>
        <w:jc w:val="both"/>
        <w:rPr>
          <w:rFonts w:ascii="Arial" w:hAnsi="Arial" w:cs="Arial"/>
          <w:sz w:val="19"/>
          <w:szCs w:val="19"/>
        </w:rPr>
      </w:pPr>
    </w:p>
    <w:p w14:paraId="20348870" w14:textId="10C48FE5" w:rsidR="00DE6B10" w:rsidRPr="00211FC9" w:rsidRDefault="00DE6B10" w:rsidP="00211FC9">
      <w:pPr>
        <w:shd w:val="clear" w:color="auto" w:fill="FFFFFF"/>
        <w:ind w:firstLine="708"/>
        <w:jc w:val="both"/>
        <w:textAlignment w:val="baseline"/>
        <w:rPr>
          <w:rFonts w:ascii="Arial" w:hAnsi="Arial" w:cs="Arial"/>
          <w:color w:val="000000"/>
          <w:sz w:val="19"/>
          <w:szCs w:val="19"/>
        </w:rPr>
      </w:pPr>
      <w:r w:rsidRPr="00410C4C">
        <w:rPr>
          <w:rStyle w:val="Refdenotaalpie"/>
          <w:rFonts w:ascii="Arial" w:hAnsi="Arial" w:cs="Arial"/>
          <w:sz w:val="19"/>
          <w:szCs w:val="19"/>
        </w:rPr>
        <w:footnoteRef/>
      </w:r>
      <w:r w:rsidRPr="00410C4C">
        <w:rPr>
          <w:rStyle w:val="Refdenotaalpie"/>
          <w:rFonts w:ascii="Arial" w:hAnsi="Arial" w:cs="Arial"/>
          <w:sz w:val="19"/>
          <w:szCs w:val="19"/>
          <w:lang w:val="pt-BR"/>
        </w:rPr>
        <w:t xml:space="preserve"> </w:t>
      </w:r>
      <w:r w:rsidRPr="00211FC9">
        <w:rPr>
          <w:rFonts w:ascii="Arial" w:hAnsi="Arial" w:cs="Arial"/>
          <w:color w:val="000000"/>
          <w:sz w:val="19"/>
          <w:szCs w:val="19"/>
          <w:lang w:val="pt-BR"/>
        </w:rPr>
        <w:t xml:space="preserve">Corte Constitucional. Sentencia C-359 de 2013. </w:t>
      </w:r>
      <w:r w:rsidRPr="00211FC9">
        <w:rPr>
          <w:rFonts w:ascii="Arial" w:hAnsi="Arial" w:cs="Arial"/>
          <w:color w:val="000000"/>
          <w:sz w:val="19"/>
          <w:szCs w:val="19"/>
        </w:rPr>
        <w:t xml:space="preserve">«El pueblo </w:t>
      </w:r>
      <w:proofErr w:type="spellStart"/>
      <w:r w:rsidRPr="00211FC9">
        <w:rPr>
          <w:rFonts w:ascii="Arial" w:hAnsi="Arial" w:cs="Arial"/>
          <w:color w:val="000000"/>
          <w:sz w:val="19"/>
          <w:szCs w:val="19"/>
        </w:rPr>
        <w:t>Rrom</w:t>
      </w:r>
      <w:proofErr w:type="spellEnd"/>
      <w:r w:rsidRPr="00211FC9">
        <w:rPr>
          <w:rFonts w:ascii="Arial" w:hAnsi="Arial" w:cs="Arial"/>
          <w:color w:val="000000"/>
          <w:sz w:val="19"/>
          <w:szCs w:val="19"/>
        </w:rPr>
        <w:t xml:space="preserve"> o Gitano en Colombia ostenta un </w:t>
      </w:r>
      <w:proofErr w:type="spellStart"/>
      <w:r w:rsidRPr="00211FC9">
        <w:rPr>
          <w:rFonts w:ascii="Arial" w:hAnsi="Arial" w:cs="Arial"/>
          <w:color w:val="000000"/>
          <w:sz w:val="19"/>
          <w:szCs w:val="19"/>
        </w:rPr>
        <w:t>zakono</w:t>
      </w:r>
      <w:proofErr w:type="spellEnd"/>
      <w:r w:rsidRPr="00211FC9">
        <w:rPr>
          <w:rFonts w:ascii="Arial" w:hAnsi="Arial" w:cs="Arial"/>
          <w:color w:val="000000"/>
          <w:sz w:val="19"/>
          <w:szCs w:val="19"/>
        </w:rPr>
        <w:t> o </w:t>
      </w:r>
      <w:proofErr w:type="spellStart"/>
      <w:r w:rsidRPr="00211FC9">
        <w:rPr>
          <w:rFonts w:ascii="Arial" w:hAnsi="Arial" w:cs="Arial"/>
          <w:color w:val="000000"/>
          <w:sz w:val="19"/>
          <w:szCs w:val="19"/>
        </w:rPr>
        <w:t>rromipen</w:t>
      </w:r>
      <w:proofErr w:type="spellEnd"/>
      <w:r w:rsidRPr="00211FC9">
        <w:rPr>
          <w:rFonts w:ascii="Arial" w:hAnsi="Arial" w:cs="Arial"/>
          <w:color w:val="000000"/>
          <w:sz w:val="19"/>
          <w:szCs w:val="19"/>
        </w:rPr>
        <w:t>, esto es, una identidad étnica y cultural, que lo diferencia de otros pueblos y grupos, según puede apreciarse: a. La pertenencia al grupo es por nacimiento por lo que no constituye una opción individual o colectiva, ni un estilo de vida; b.</w:t>
      </w:r>
      <w:r w:rsidR="00110654" w:rsidRPr="00211FC9">
        <w:rPr>
          <w:rFonts w:ascii="Arial" w:hAnsi="Arial" w:cs="Arial"/>
          <w:color w:val="000000"/>
          <w:sz w:val="19"/>
          <w:szCs w:val="19"/>
        </w:rPr>
        <w:t xml:space="preserve"> t</w:t>
      </w:r>
      <w:r w:rsidRPr="00211FC9">
        <w:rPr>
          <w:rFonts w:ascii="Arial" w:hAnsi="Arial" w:cs="Arial"/>
          <w:color w:val="000000"/>
          <w:sz w:val="19"/>
          <w:szCs w:val="19"/>
        </w:rPr>
        <w:t>radición nómada y reconversión en nuevas maneras de itinerar. Más allá del hecho físico de desplazarse de un lugar a otro, el nomadismo refiere fundamentalmente a una concepción mental, que identifica movilidad con bienestar, entre otras cosas.</w:t>
      </w:r>
      <w:r w:rsidR="00110654" w:rsidRPr="00211FC9">
        <w:rPr>
          <w:rFonts w:ascii="Arial" w:hAnsi="Arial" w:cs="Arial"/>
          <w:color w:val="000000"/>
          <w:sz w:val="19"/>
          <w:szCs w:val="19"/>
        </w:rPr>
        <w:t xml:space="preserve"> […]». </w:t>
      </w:r>
    </w:p>
  </w:footnote>
  <w:footnote w:id="15">
    <w:p w14:paraId="5C3377FE" w14:textId="77777777" w:rsidR="004F340C" w:rsidRPr="00410C4C" w:rsidRDefault="00924E87" w:rsidP="00211FC9">
      <w:pPr>
        <w:pStyle w:val="Textonotapie"/>
        <w:ind w:firstLine="708"/>
        <w:jc w:val="both"/>
        <w:rPr>
          <w:rFonts w:ascii="Arial" w:hAnsi="Arial" w:cs="Arial"/>
          <w:sz w:val="19"/>
          <w:szCs w:val="19"/>
          <w:lang w:val="es-ES"/>
        </w:rPr>
      </w:pPr>
      <w:r w:rsidRPr="00410C4C">
        <w:rPr>
          <w:rStyle w:val="Refdenotaalpie"/>
          <w:rFonts w:ascii="Arial" w:hAnsi="Arial" w:cs="Arial"/>
          <w:sz w:val="19"/>
          <w:szCs w:val="19"/>
        </w:rPr>
        <w:footnoteRef/>
      </w:r>
      <w:r w:rsidRPr="00410C4C">
        <w:rPr>
          <w:rFonts w:ascii="Arial" w:hAnsi="Arial" w:cs="Arial"/>
          <w:sz w:val="19"/>
          <w:szCs w:val="19"/>
        </w:rPr>
        <w:t xml:space="preserve"> </w:t>
      </w:r>
      <w:r w:rsidR="000244F7" w:rsidRPr="00410C4C">
        <w:rPr>
          <w:rFonts w:ascii="Arial" w:hAnsi="Arial" w:cs="Arial"/>
          <w:sz w:val="19"/>
          <w:szCs w:val="19"/>
          <w:lang w:val="es-ES"/>
        </w:rPr>
        <w:t xml:space="preserve">Gaceta del Congreso </w:t>
      </w:r>
      <w:proofErr w:type="spellStart"/>
      <w:r w:rsidR="000244F7" w:rsidRPr="00410C4C">
        <w:rPr>
          <w:rFonts w:ascii="Arial" w:hAnsi="Arial" w:cs="Arial"/>
          <w:sz w:val="19"/>
          <w:szCs w:val="19"/>
          <w:lang w:val="es-ES"/>
        </w:rPr>
        <w:t>N</w:t>
      </w:r>
      <w:r w:rsidR="0078316A" w:rsidRPr="00410C4C">
        <w:rPr>
          <w:rFonts w:ascii="Arial" w:hAnsi="Arial" w:cs="Arial"/>
          <w:sz w:val="19"/>
          <w:szCs w:val="19"/>
          <w:lang w:val="es-ES"/>
        </w:rPr>
        <w:t>°</w:t>
      </w:r>
      <w:proofErr w:type="spellEnd"/>
      <w:r w:rsidR="0078316A" w:rsidRPr="00410C4C">
        <w:rPr>
          <w:rFonts w:ascii="Arial" w:hAnsi="Arial" w:cs="Arial"/>
          <w:sz w:val="19"/>
          <w:szCs w:val="19"/>
          <w:lang w:val="es-ES"/>
        </w:rPr>
        <w:t xml:space="preserve"> 1526 del 18 de diciembre de 20</w:t>
      </w:r>
      <w:r w:rsidR="00FB5043" w:rsidRPr="00410C4C">
        <w:rPr>
          <w:rFonts w:ascii="Arial" w:hAnsi="Arial" w:cs="Arial"/>
          <w:sz w:val="19"/>
          <w:szCs w:val="19"/>
          <w:lang w:val="es-ES"/>
        </w:rPr>
        <w:t>20</w:t>
      </w:r>
      <w:r w:rsidR="004F340C" w:rsidRPr="00410C4C">
        <w:rPr>
          <w:rFonts w:ascii="Arial" w:hAnsi="Arial" w:cs="Arial"/>
          <w:sz w:val="19"/>
          <w:szCs w:val="19"/>
          <w:lang w:val="es-ES"/>
        </w:rPr>
        <w:t xml:space="preserve">. Exposición de motivos: «Bajo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w:t>
      </w:r>
    </w:p>
    <w:p w14:paraId="522B9EE9" w14:textId="47FA439E" w:rsidR="00924E87" w:rsidRPr="00410C4C" w:rsidRDefault="004F340C" w:rsidP="00211FC9">
      <w:pPr>
        <w:pStyle w:val="Textonotapie"/>
        <w:ind w:firstLine="708"/>
        <w:jc w:val="both"/>
        <w:rPr>
          <w:rFonts w:ascii="Arial" w:hAnsi="Arial" w:cs="Arial"/>
          <w:sz w:val="19"/>
          <w:szCs w:val="19"/>
          <w:lang w:val="es-ES"/>
        </w:rPr>
      </w:pPr>
      <w:proofErr w:type="gramStart"/>
      <w:r w:rsidRPr="00410C4C">
        <w:rPr>
          <w:rFonts w:ascii="Arial" w:hAnsi="Arial" w:cs="Arial"/>
          <w:sz w:val="19"/>
          <w:szCs w:val="19"/>
          <w:lang w:val="es-ES"/>
        </w:rPr>
        <w:t>»En</w:t>
      </w:r>
      <w:proofErr w:type="gramEnd"/>
      <w:r w:rsidRPr="00410C4C">
        <w:rPr>
          <w:rFonts w:ascii="Arial" w:hAnsi="Arial" w:cs="Arial"/>
          <w:sz w:val="19"/>
          <w:szCs w:val="19"/>
          <w:lang w:val="es-ES"/>
        </w:rPr>
        <w:t xml:space="preserve"> virtud de lo anterior, es necesario crear una disposición que otorgue plena capacidad jurídica a los cabildos indígenas y autorice a las entidades del Estado la suscripción de negocios jurídicos directamente con esta forma de gobierno indígena».</w:t>
      </w:r>
    </w:p>
  </w:footnote>
  <w:footnote w:id="16">
    <w:p w14:paraId="08B84C2E" w14:textId="77777777" w:rsidR="002B0CE4" w:rsidRPr="00410C4C" w:rsidRDefault="002B0CE4" w:rsidP="00410C4C">
      <w:pPr>
        <w:pStyle w:val="Textonotapie"/>
        <w:jc w:val="both"/>
        <w:rPr>
          <w:rFonts w:ascii="Arial" w:hAnsi="Arial" w:cs="Arial"/>
          <w:sz w:val="19"/>
          <w:szCs w:val="19"/>
        </w:rPr>
      </w:pPr>
    </w:p>
    <w:p w14:paraId="4EB3DE12" w14:textId="49A144D3" w:rsidR="00C31EC8" w:rsidRDefault="002B0CE4" w:rsidP="00211FC9">
      <w:pPr>
        <w:pStyle w:val="NormalWeb"/>
        <w:shd w:val="clear" w:color="auto" w:fill="FFFFFF"/>
        <w:spacing w:before="0" w:beforeAutospacing="0" w:after="0" w:afterAutospacing="0"/>
        <w:ind w:firstLine="708"/>
        <w:jc w:val="both"/>
        <w:rPr>
          <w:rFonts w:ascii="Arial" w:eastAsiaTheme="minorHAnsi" w:hAnsi="Arial" w:cs="Arial"/>
          <w:sz w:val="19"/>
          <w:szCs w:val="19"/>
          <w:lang w:val="es-ES" w:eastAsia="en-US"/>
        </w:rPr>
      </w:pPr>
      <w:r w:rsidRPr="00410C4C">
        <w:rPr>
          <w:rStyle w:val="Refdenotaalpie"/>
          <w:rFonts w:ascii="Arial" w:eastAsiaTheme="minorHAnsi" w:hAnsi="Arial" w:cs="Arial"/>
          <w:sz w:val="19"/>
          <w:szCs w:val="19"/>
          <w:lang w:val="es-MX" w:eastAsia="en-US"/>
        </w:rPr>
        <w:footnoteRef/>
      </w:r>
      <w:r w:rsidRPr="00410C4C">
        <w:rPr>
          <w:rStyle w:val="Refdenotaalpie"/>
          <w:rFonts w:ascii="Arial" w:eastAsiaTheme="minorHAnsi" w:hAnsi="Arial" w:cs="Arial"/>
          <w:sz w:val="19"/>
          <w:szCs w:val="19"/>
          <w:lang w:val="es-MX" w:eastAsia="en-US"/>
        </w:rPr>
        <w:t xml:space="preserve"> </w:t>
      </w:r>
      <w:r w:rsidRPr="00410C4C">
        <w:rPr>
          <w:rFonts w:ascii="Arial" w:hAnsi="Arial" w:cs="Arial"/>
          <w:sz w:val="19"/>
          <w:szCs w:val="19"/>
          <w:lang w:val="es-ES"/>
        </w:rPr>
        <w:t xml:space="preserve">Ley 2160 de 2021. </w:t>
      </w:r>
      <w:r w:rsidR="00C31EC8">
        <w:rPr>
          <w:rFonts w:ascii="Arial" w:hAnsi="Arial" w:cs="Arial"/>
          <w:sz w:val="19"/>
          <w:szCs w:val="19"/>
          <w:lang w:val="es-ES"/>
        </w:rPr>
        <w:t>«</w:t>
      </w:r>
      <w:r w:rsidRPr="00410C4C">
        <w:rPr>
          <w:rFonts w:ascii="Arial" w:hAnsi="Arial" w:cs="Arial"/>
          <w:sz w:val="19"/>
          <w:szCs w:val="19"/>
          <w:lang w:val="es-ES"/>
        </w:rPr>
        <w:t xml:space="preserve">Artículo </w:t>
      </w:r>
      <w:r w:rsidR="00A111D4" w:rsidRPr="00410C4C">
        <w:rPr>
          <w:rFonts w:ascii="Arial" w:hAnsi="Arial" w:cs="Arial"/>
          <w:sz w:val="19"/>
          <w:szCs w:val="19"/>
          <w:lang w:val="es-ES"/>
        </w:rPr>
        <w:t xml:space="preserve">1. </w:t>
      </w:r>
      <w:r w:rsidR="00A111D4" w:rsidRPr="00410C4C">
        <w:rPr>
          <w:rFonts w:ascii="Arial" w:eastAsiaTheme="minorHAnsi" w:hAnsi="Arial" w:cs="Arial"/>
          <w:sz w:val="19"/>
          <w:szCs w:val="19"/>
          <w:lang w:val="es-ES" w:eastAsia="en-US"/>
        </w:rPr>
        <w:t>Modifíquese el Artículo </w:t>
      </w:r>
      <w:bookmarkStart w:id="8" w:name="6"/>
      <w:r w:rsidR="00A111D4" w:rsidRPr="00410C4C">
        <w:rPr>
          <w:rFonts w:ascii="Arial" w:eastAsiaTheme="minorHAnsi" w:hAnsi="Arial" w:cs="Arial"/>
          <w:sz w:val="19"/>
          <w:szCs w:val="19"/>
          <w:lang w:val="es-ES" w:eastAsia="en-US"/>
        </w:rPr>
        <w:fldChar w:fldCharType="begin"/>
      </w:r>
      <w:r w:rsidR="00A111D4" w:rsidRPr="00410C4C">
        <w:rPr>
          <w:rFonts w:ascii="Arial" w:eastAsiaTheme="minorHAnsi" w:hAnsi="Arial" w:cs="Arial"/>
          <w:sz w:val="19"/>
          <w:szCs w:val="19"/>
          <w:lang w:val="es-ES" w:eastAsia="en-US"/>
        </w:rPr>
        <w:instrText xml:space="preserve"> HYPERLINK "https://www.funcionpublica.gov.co/eva/gestornormativo/norma.php?i=304" \l "6" \o "vinculo" </w:instrText>
      </w:r>
      <w:r w:rsidR="00A111D4" w:rsidRPr="00410C4C">
        <w:rPr>
          <w:rFonts w:ascii="Arial" w:eastAsiaTheme="minorHAnsi" w:hAnsi="Arial" w:cs="Arial"/>
          <w:sz w:val="19"/>
          <w:szCs w:val="19"/>
          <w:lang w:val="es-ES" w:eastAsia="en-US"/>
        </w:rPr>
        <w:fldChar w:fldCharType="separate"/>
      </w:r>
      <w:r w:rsidR="00A111D4" w:rsidRPr="00410C4C">
        <w:rPr>
          <w:rFonts w:ascii="Arial" w:eastAsiaTheme="minorHAnsi" w:hAnsi="Arial" w:cs="Arial"/>
          <w:sz w:val="19"/>
          <w:szCs w:val="19"/>
          <w:lang w:val="es-ES" w:eastAsia="en-US"/>
        </w:rPr>
        <w:t>6</w:t>
      </w:r>
      <w:r w:rsidR="00A111D4" w:rsidRPr="00410C4C">
        <w:rPr>
          <w:rFonts w:ascii="Arial" w:eastAsiaTheme="minorHAnsi" w:hAnsi="Arial" w:cs="Arial"/>
          <w:sz w:val="19"/>
          <w:szCs w:val="19"/>
          <w:lang w:val="es-ES" w:eastAsia="en-US"/>
        </w:rPr>
        <w:fldChar w:fldCharType="end"/>
      </w:r>
      <w:bookmarkEnd w:id="8"/>
      <w:r w:rsidR="00A111D4" w:rsidRPr="00410C4C">
        <w:rPr>
          <w:rFonts w:ascii="Arial" w:eastAsiaTheme="minorHAnsi" w:hAnsi="Arial" w:cs="Arial"/>
          <w:sz w:val="19"/>
          <w:szCs w:val="19"/>
          <w:lang w:val="es-ES" w:eastAsia="en-US"/>
        </w:rPr>
        <w:t> de la </w:t>
      </w:r>
      <w:hyperlink r:id="rId2" w:tgtFrame="_blank" w:history="1">
        <w:r w:rsidR="00A111D4" w:rsidRPr="00410C4C">
          <w:rPr>
            <w:rFonts w:ascii="Arial" w:eastAsiaTheme="minorHAnsi" w:hAnsi="Arial" w:cs="Arial"/>
            <w:sz w:val="19"/>
            <w:szCs w:val="19"/>
            <w:lang w:val="es-ES" w:eastAsia="en-US"/>
          </w:rPr>
          <w:t>Ley 80 de 1993</w:t>
        </w:r>
      </w:hyperlink>
      <w:r w:rsidR="00A111D4" w:rsidRPr="00410C4C">
        <w:rPr>
          <w:rFonts w:ascii="Arial" w:eastAsiaTheme="minorHAnsi" w:hAnsi="Arial" w:cs="Arial"/>
          <w:sz w:val="19"/>
          <w:szCs w:val="19"/>
          <w:lang w:val="es-ES" w:eastAsia="en-US"/>
        </w:rPr>
        <w:t>, el cual quedar</w:t>
      </w:r>
      <w:r w:rsidR="00C31EC8">
        <w:rPr>
          <w:rFonts w:ascii="Arial" w:eastAsiaTheme="minorHAnsi" w:hAnsi="Arial" w:cs="Arial"/>
          <w:sz w:val="19"/>
          <w:szCs w:val="19"/>
          <w:lang w:val="es-ES" w:eastAsia="en-US"/>
        </w:rPr>
        <w:t>á</w:t>
      </w:r>
      <w:r w:rsidR="00A111D4" w:rsidRPr="00410C4C">
        <w:rPr>
          <w:rFonts w:ascii="Arial" w:eastAsiaTheme="minorHAnsi" w:hAnsi="Arial" w:cs="Arial"/>
          <w:sz w:val="19"/>
          <w:szCs w:val="19"/>
          <w:lang w:val="es-ES" w:eastAsia="en-US"/>
        </w:rPr>
        <w:t xml:space="preserve"> así: </w:t>
      </w:r>
    </w:p>
    <w:p w14:paraId="7D445761" w14:textId="4ADA3974" w:rsidR="002B0CE4" w:rsidRPr="00410C4C" w:rsidRDefault="00C31EC8" w:rsidP="00410C4C">
      <w:pPr>
        <w:pStyle w:val="NormalWeb"/>
        <w:shd w:val="clear" w:color="auto" w:fill="FFFFFF"/>
        <w:spacing w:before="0" w:beforeAutospacing="0" w:after="0" w:afterAutospacing="0"/>
        <w:ind w:firstLine="708"/>
        <w:jc w:val="both"/>
        <w:rPr>
          <w:rFonts w:ascii="Arial" w:eastAsiaTheme="minorHAnsi" w:hAnsi="Arial" w:cs="Arial"/>
          <w:sz w:val="19"/>
          <w:szCs w:val="19"/>
          <w:lang w:val="es-ES" w:eastAsia="en-US"/>
        </w:rPr>
      </w:pPr>
      <w:proofErr w:type="gramStart"/>
      <w:r>
        <w:rPr>
          <w:rFonts w:ascii="Arial" w:eastAsiaTheme="minorHAnsi" w:hAnsi="Arial" w:cs="Arial"/>
          <w:sz w:val="19"/>
          <w:szCs w:val="19"/>
          <w:lang w:val="es-ES" w:eastAsia="en-US"/>
        </w:rPr>
        <w:t>»</w:t>
      </w:r>
      <w:r w:rsidR="0095642D" w:rsidRPr="00410C4C">
        <w:rPr>
          <w:rFonts w:ascii="Arial" w:eastAsiaTheme="minorHAnsi" w:hAnsi="Arial" w:cs="Arial"/>
          <w:sz w:val="19"/>
          <w:szCs w:val="19"/>
          <w:lang w:val="es-ES" w:eastAsia="en-US"/>
        </w:rPr>
        <w:t>Artículo</w:t>
      </w:r>
      <w:proofErr w:type="gramEnd"/>
      <w:r w:rsidR="00A111D4" w:rsidRPr="00410C4C">
        <w:rPr>
          <w:rFonts w:ascii="Arial" w:eastAsiaTheme="minorHAnsi" w:hAnsi="Arial" w:cs="Arial"/>
          <w:sz w:val="19"/>
          <w:szCs w:val="19"/>
          <w:lang w:val="es-ES" w:eastAsia="en-US"/>
        </w:rPr>
        <w:t xml:space="preserve"> 6°. D</w:t>
      </w:r>
      <w:r w:rsidR="0095642D" w:rsidRPr="00410C4C">
        <w:rPr>
          <w:rFonts w:ascii="Arial" w:eastAsiaTheme="minorHAnsi" w:hAnsi="Arial" w:cs="Arial"/>
          <w:sz w:val="19"/>
          <w:szCs w:val="19"/>
          <w:lang w:val="es-ES" w:eastAsia="en-US"/>
        </w:rPr>
        <w:t>e la capacidad para contratar</w:t>
      </w:r>
      <w:r w:rsidR="00A111D4" w:rsidRPr="00410C4C">
        <w:rPr>
          <w:rFonts w:ascii="Arial" w:eastAsiaTheme="minorHAnsi" w:hAnsi="Arial" w:cs="Arial"/>
          <w:b/>
          <w:bCs/>
          <w:sz w:val="19"/>
          <w:szCs w:val="19"/>
          <w:lang w:val="es-ES" w:eastAsia="en-US"/>
        </w:rPr>
        <w:t>.</w:t>
      </w:r>
      <w:r w:rsidR="00A111D4" w:rsidRPr="00410C4C">
        <w:rPr>
          <w:rFonts w:ascii="Arial" w:eastAsiaTheme="minorHAnsi" w:hAnsi="Arial" w:cs="Arial"/>
          <w:sz w:val="19"/>
          <w:szCs w:val="19"/>
          <w:lang w:val="es-ES" w:eastAsia="en-US"/>
        </w:rPr>
        <w: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bookmarkStart w:id="9" w:name="70"/>
      <w:r w:rsidR="00A111D4" w:rsidRPr="00410C4C">
        <w:rPr>
          <w:rFonts w:ascii="Arial" w:eastAsiaTheme="minorHAnsi" w:hAnsi="Arial" w:cs="Arial"/>
          <w:sz w:val="19"/>
          <w:szCs w:val="19"/>
          <w:lang w:val="es-ES" w:eastAsia="en-US"/>
        </w:rPr>
        <w:fldChar w:fldCharType="begin"/>
      </w:r>
      <w:r w:rsidR="00A111D4" w:rsidRPr="00410C4C">
        <w:rPr>
          <w:rFonts w:ascii="Arial" w:eastAsiaTheme="minorHAnsi" w:hAnsi="Arial" w:cs="Arial"/>
          <w:sz w:val="19"/>
          <w:szCs w:val="19"/>
          <w:lang w:val="es-ES" w:eastAsia="en-US"/>
        </w:rPr>
        <w:instrText xml:space="preserve"> HYPERLINK "https://www.funcionpublica.gov.co/eva/gestornormativo/norma.php?i=7388" \l "70" \o "vinculo" </w:instrText>
      </w:r>
      <w:r w:rsidR="00A111D4" w:rsidRPr="00410C4C">
        <w:rPr>
          <w:rFonts w:ascii="Arial" w:eastAsiaTheme="minorHAnsi" w:hAnsi="Arial" w:cs="Arial"/>
          <w:sz w:val="19"/>
          <w:szCs w:val="19"/>
          <w:lang w:val="es-ES" w:eastAsia="en-US"/>
        </w:rPr>
        <w:fldChar w:fldCharType="separate"/>
      </w:r>
      <w:r w:rsidR="00A111D4" w:rsidRPr="00410C4C">
        <w:rPr>
          <w:rFonts w:ascii="Arial" w:eastAsiaTheme="minorHAnsi" w:hAnsi="Arial" w:cs="Arial"/>
          <w:sz w:val="19"/>
          <w:szCs w:val="19"/>
          <w:lang w:val="es-ES" w:eastAsia="en-US"/>
        </w:rPr>
        <w:t>70</w:t>
      </w:r>
      <w:r w:rsidR="00A111D4" w:rsidRPr="00410C4C">
        <w:rPr>
          <w:rFonts w:ascii="Arial" w:eastAsiaTheme="minorHAnsi" w:hAnsi="Arial" w:cs="Arial"/>
          <w:sz w:val="19"/>
          <w:szCs w:val="19"/>
          <w:lang w:val="es-ES" w:eastAsia="en-US"/>
        </w:rPr>
        <w:fldChar w:fldCharType="end"/>
      </w:r>
      <w:bookmarkEnd w:id="9"/>
      <w:r w:rsidR="00A111D4" w:rsidRPr="00410C4C">
        <w:rPr>
          <w:rFonts w:ascii="Arial" w:eastAsiaTheme="minorHAnsi" w:hAnsi="Arial" w:cs="Arial"/>
          <w:sz w:val="19"/>
          <w:szCs w:val="19"/>
          <w:lang w:val="es-ES" w:eastAsia="en-US"/>
        </w:rPr>
        <w:t> de 1993</w:t>
      </w:r>
      <w:r w:rsidR="0095642D" w:rsidRPr="00410C4C">
        <w:rPr>
          <w:rFonts w:ascii="Arial" w:eastAsiaTheme="minorHAnsi" w:hAnsi="Arial" w:cs="Arial"/>
          <w:sz w:val="19"/>
          <w:szCs w:val="19"/>
          <w:lang w:val="es-ES" w:eastAsia="en-US"/>
        </w:rPr>
        <w:t>»</w:t>
      </w:r>
      <w:r>
        <w:rPr>
          <w:rFonts w:ascii="Arial" w:eastAsiaTheme="minorHAnsi" w:hAnsi="Arial" w:cs="Arial"/>
          <w:sz w:val="19"/>
          <w:szCs w:val="19"/>
          <w:lang w:val="es-ES" w:eastAsia="en-US"/>
        </w:rPr>
        <w:t>.</w:t>
      </w:r>
    </w:p>
  </w:footnote>
  <w:footnote w:id="17">
    <w:p w14:paraId="109E99B9" w14:textId="78AAE06E" w:rsidR="00E361CC" w:rsidRPr="00410C4C" w:rsidRDefault="0056423F" w:rsidP="00410C4C">
      <w:pPr>
        <w:pStyle w:val="Textonotapie"/>
        <w:ind w:firstLine="708"/>
        <w:jc w:val="both"/>
        <w:rPr>
          <w:rFonts w:ascii="Arial" w:hAnsi="Arial" w:cs="Arial"/>
          <w:sz w:val="19"/>
          <w:szCs w:val="19"/>
          <w:lang w:val="es-ES"/>
        </w:rPr>
      </w:pPr>
      <w:r w:rsidRPr="00410C4C">
        <w:rPr>
          <w:rStyle w:val="Refdenotaalpie"/>
          <w:rFonts w:ascii="Arial" w:hAnsi="Arial" w:cs="Arial"/>
          <w:sz w:val="19"/>
          <w:szCs w:val="19"/>
        </w:rPr>
        <w:footnoteRef/>
      </w:r>
      <w:r w:rsidRPr="00410C4C">
        <w:rPr>
          <w:rFonts w:ascii="Arial" w:hAnsi="Arial" w:cs="Arial"/>
          <w:sz w:val="19"/>
          <w:szCs w:val="19"/>
        </w:rPr>
        <w:t xml:space="preserve"> </w:t>
      </w:r>
      <w:r w:rsidRPr="00410C4C">
        <w:rPr>
          <w:rFonts w:ascii="Arial" w:hAnsi="Arial" w:cs="Arial"/>
          <w:sz w:val="19"/>
          <w:szCs w:val="19"/>
          <w:lang w:val="es-ES"/>
        </w:rPr>
        <w:t xml:space="preserve">Ley 2160 de 2021. </w:t>
      </w:r>
      <w:r w:rsidR="00C31EC8">
        <w:rPr>
          <w:rFonts w:ascii="Arial" w:hAnsi="Arial" w:cs="Arial"/>
          <w:sz w:val="19"/>
          <w:szCs w:val="19"/>
          <w:lang w:val="es-ES"/>
        </w:rPr>
        <w:t>«</w:t>
      </w:r>
      <w:r w:rsidRPr="00410C4C">
        <w:rPr>
          <w:rFonts w:ascii="Arial" w:hAnsi="Arial" w:cs="Arial"/>
          <w:sz w:val="19"/>
          <w:szCs w:val="19"/>
          <w:lang w:val="es-ES"/>
        </w:rPr>
        <w:t>Artículo 1. […]</w:t>
      </w:r>
      <w:r w:rsidR="00C31EC8">
        <w:rPr>
          <w:rFonts w:ascii="Arial" w:hAnsi="Arial" w:cs="Arial"/>
          <w:sz w:val="19"/>
          <w:szCs w:val="19"/>
          <w:lang w:val="es-ES"/>
        </w:rPr>
        <w:t xml:space="preserve"> </w:t>
      </w:r>
      <w:r w:rsidR="0071688B" w:rsidRPr="00410C4C">
        <w:rPr>
          <w:rFonts w:ascii="Arial" w:hAnsi="Arial" w:cs="Arial"/>
          <w:sz w:val="19"/>
          <w:szCs w:val="19"/>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C31EC8">
        <w:rPr>
          <w:rFonts w:ascii="Arial" w:hAnsi="Arial" w:cs="Arial"/>
          <w:sz w:val="19"/>
          <w:szCs w:val="19"/>
          <w:lang w:val="es-ES"/>
        </w:rPr>
        <w:t>»</w:t>
      </w:r>
      <w:r w:rsidR="0071688B" w:rsidRPr="00410C4C">
        <w:rPr>
          <w:rFonts w:ascii="Arial" w:hAnsi="Arial" w:cs="Arial"/>
          <w:sz w:val="19"/>
          <w:szCs w:val="19"/>
          <w:lang w:val="es-ES"/>
        </w:rPr>
        <w:t>.</w:t>
      </w:r>
    </w:p>
    <w:p w14:paraId="436207DC" w14:textId="77777777" w:rsidR="00E361CC" w:rsidRPr="00410C4C" w:rsidRDefault="00E361CC" w:rsidP="00410C4C">
      <w:pPr>
        <w:pStyle w:val="Textonotapie"/>
        <w:ind w:firstLine="708"/>
        <w:jc w:val="both"/>
        <w:rPr>
          <w:rFonts w:ascii="Arial" w:hAnsi="Arial" w:cs="Arial"/>
          <w:sz w:val="19"/>
          <w:szCs w:val="19"/>
          <w:lang w:val="es-ES"/>
        </w:rPr>
      </w:pPr>
    </w:p>
  </w:footnote>
  <w:footnote w:id="18">
    <w:p w14:paraId="1BD2A3B0" w14:textId="147822B0" w:rsidR="000F7C85" w:rsidRPr="00410C4C" w:rsidRDefault="006B7C16" w:rsidP="00211FC9">
      <w:pPr>
        <w:pStyle w:val="Textonotapie"/>
        <w:ind w:firstLine="708"/>
        <w:jc w:val="both"/>
        <w:rPr>
          <w:rFonts w:ascii="Arial" w:hAnsi="Arial" w:cs="Arial"/>
          <w:sz w:val="19"/>
          <w:szCs w:val="19"/>
          <w:lang w:val="es-CO"/>
        </w:rPr>
      </w:pPr>
      <w:r w:rsidRPr="00410C4C">
        <w:rPr>
          <w:rStyle w:val="Refdenotaalpie"/>
          <w:rFonts w:ascii="Arial" w:hAnsi="Arial" w:cs="Arial"/>
          <w:sz w:val="19"/>
          <w:szCs w:val="19"/>
        </w:rPr>
        <w:footnoteRef/>
      </w:r>
      <w:r w:rsidRPr="00410C4C">
        <w:rPr>
          <w:rFonts w:ascii="Arial" w:hAnsi="Arial" w:cs="Arial"/>
          <w:sz w:val="19"/>
          <w:szCs w:val="19"/>
        </w:rPr>
        <w:t xml:space="preserve"> Ley 2160 de 2021. </w:t>
      </w:r>
      <w:r w:rsidR="00C31EC8">
        <w:rPr>
          <w:rFonts w:ascii="Arial" w:hAnsi="Arial" w:cs="Arial"/>
          <w:sz w:val="19"/>
          <w:szCs w:val="19"/>
        </w:rPr>
        <w:t>«</w:t>
      </w:r>
      <w:r w:rsidRPr="00410C4C">
        <w:rPr>
          <w:rFonts w:ascii="Arial" w:hAnsi="Arial" w:cs="Arial"/>
          <w:sz w:val="19"/>
          <w:szCs w:val="19"/>
        </w:rPr>
        <w:t xml:space="preserve">Artículo 3. </w:t>
      </w:r>
      <w:r w:rsidR="000F7C85" w:rsidRPr="00410C4C">
        <w:rPr>
          <w:rFonts w:ascii="Arial" w:hAnsi="Arial" w:cs="Arial"/>
          <w:sz w:val="19"/>
          <w:szCs w:val="19"/>
          <w:lang w:val="es-CO"/>
        </w:rPr>
        <w:t>Modifíquese el artículo </w:t>
      </w:r>
      <w:bookmarkStart w:id="10" w:name="7"/>
      <w:r w:rsidR="000F7C85" w:rsidRPr="00410C4C">
        <w:rPr>
          <w:rFonts w:ascii="Arial" w:hAnsi="Arial" w:cs="Arial"/>
          <w:sz w:val="19"/>
          <w:szCs w:val="19"/>
          <w:lang w:val="es-CO"/>
        </w:rPr>
        <w:fldChar w:fldCharType="begin"/>
      </w:r>
      <w:r w:rsidR="000F7C85" w:rsidRPr="00410C4C">
        <w:rPr>
          <w:rFonts w:ascii="Arial" w:hAnsi="Arial" w:cs="Arial"/>
          <w:sz w:val="19"/>
          <w:szCs w:val="19"/>
          <w:lang w:val="es-CO"/>
        </w:rPr>
        <w:instrText xml:space="preserve"> HYPERLINK "https://www.funcionpublica.gov.co/eva/gestornormativo/norma.php?i=304" \l "7" \o "vinculo" </w:instrText>
      </w:r>
      <w:r w:rsidR="000F7C85" w:rsidRPr="00410C4C">
        <w:rPr>
          <w:rFonts w:ascii="Arial" w:hAnsi="Arial" w:cs="Arial"/>
          <w:sz w:val="19"/>
          <w:szCs w:val="19"/>
          <w:lang w:val="es-CO"/>
        </w:rPr>
        <w:fldChar w:fldCharType="separate"/>
      </w:r>
      <w:r w:rsidR="000F7C85" w:rsidRPr="00410C4C">
        <w:rPr>
          <w:rFonts w:ascii="Arial" w:hAnsi="Arial" w:cs="Arial"/>
          <w:sz w:val="19"/>
          <w:szCs w:val="19"/>
          <w:lang w:val="es-CO"/>
        </w:rPr>
        <w:t>7</w:t>
      </w:r>
      <w:r w:rsidR="000F7C85" w:rsidRPr="00410C4C">
        <w:rPr>
          <w:rFonts w:ascii="Arial" w:hAnsi="Arial" w:cs="Arial"/>
          <w:sz w:val="19"/>
          <w:szCs w:val="19"/>
          <w:lang w:val="es-CO"/>
        </w:rPr>
        <w:fldChar w:fldCharType="end"/>
      </w:r>
      <w:bookmarkEnd w:id="10"/>
      <w:r w:rsidR="000F7C85" w:rsidRPr="00410C4C">
        <w:rPr>
          <w:rFonts w:ascii="Arial" w:hAnsi="Arial" w:cs="Arial"/>
          <w:sz w:val="19"/>
          <w:szCs w:val="19"/>
          <w:lang w:val="es-CO"/>
        </w:rPr>
        <w:t> de la </w:t>
      </w:r>
      <w:hyperlink r:id="rId3" w:tgtFrame="_blank" w:history="1">
        <w:r w:rsidR="000F7C85" w:rsidRPr="00410C4C">
          <w:rPr>
            <w:rFonts w:ascii="Arial" w:hAnsi="Arial" w:cs="Arial"/>
            <w:sz w:val="19"/>
            <w:szCs w:val="19"/>
            <w:lang w:val="es-CO"/>
          </w:rPr>
          <w:t>Ley 80 de 1993</w:t>
        </w:r>
      </w:hyperlink>
      <w:r w:rsidR="000F7C85" w:rsidRPr="00410C4C">
        <w:rPr>
          <w:rFonts w:ascii="Arial" w:hAnsi="Arial" w:cs="Arial"/>
          <w:sz w:val="19"/>
          <w:szCs w:val="19"/>
          <w:lang w:val="es-CO"/>
        </w:rPr>
        <w:t>, el cual quedar</w:t>
      </w:r>
      <w:r w:rsidR="00C31EC8">
        <w:rPr>
          <w:rFonts w:ascii="Arial" w:hAnsi="Arial" w:cs="Arial"/>
          <w:sz w:val="19"/>
          <w:szCs w:val="19"/>
          <w:lang w:val="es-CO"/>
        </w:rPr>
        <w:t>á</w:t>
      </w:r>
      <w:r w:rsidR="000F7C85" w:rsidRPr="00410C4C">
        <w:rPr>
          <w:rFonts w:ascii="Arial" w:hAnsi="Arial" w:cs="Arial"/>
          <w:sz w:val="19"/>
          <w:szCs w:val="19"/>
          <w:lang w:val="es-CO"/>
        </w:rPr>
        <w:t xml:space="preserve"> así:</w:t>
      </w:r>
    </w:p>
    <w:p w14:paraId="0B7A38ED" w14:textId="54B4D554" w:rsidR="002F3C27" w:rsidRPr="00410C4C" w:rsidRDefault="001E0B56" w:rsidP="00211FC9">
      <w:pPr>
        <w:pStyle w:val="Textonotapie"/>
        <w:ind w:firstLine="360"/>
        <w:jc w:val="both"/>
        <w:rPr>
          <w:rFonts w:ascii="Arial" w:hAnsi="Arial" w:cs="Arial"/>
          <w:sz w:val="19"/>
          <w:szCs w:val="19"/>
          <w:lang w:val="es-CO"/>
        </w:rPr>
      </w:pPr>
      <w:proofErr w:type="gramStart"/>
      <w:r>
        <w:rPr>
          <w:rFonts w:ascii="Arial" w:hAnsi="Arial" w:cs="Arial"/>
          <w:sz w:val="19"/>
          <w:szCs w:val="19"/>
          <w:lang w:val="es-CO"/>
        </w:rPr>
        <w:t>»</w:t>
      </w:r>
      <w:r w:rsidR="000F7C85" w:rsidRPr="00410C4C">
        <w:rPr>
          <w:rFonts w:ascii="Arial" w:hAnsi="Arial" w:cs="Arial"/>
          <w:sz w:val="19"/>
          <w:szCs w:val="19"/>
          <w:lang w:val="es-CO"/>
        </w:rPr>
        <w:t>Artículo</w:t>
      </w:r>
      <w:proofErr w:type="gramEnd"/>
      <w:r w:rsidR="000F7C85" w:rsidRPr="00410C4C">
        <w:rPr>
          <w:rFonts w:ascii="Arial" w:hAnsi="Arial" w:cs="Arial"/>
          <w:sz w:val="19"/>
          <w:szCs w:val="19"/>
          <w:lang w:val="es-CO"/>
        </w:rPr>
        <w:t xml:space="preserve"> 7°. </w:t>
      </w:r>
      <w:proofErr w:type="gramStart"/>
      <w:r w:rsidR="00A62156" w:rsidRPr="00410C4C">
        <w:rPr>
          <w:rFonts w:ascii="Arial" w:hAnsi="Arial" w:cs="Arial"/>
          <w:sz w:val="19"/>
          <w:szCs w:val="19"/>
          <w:lang w:val="es-CO"/>
        </w:rPr>
        <w:t>Entidades a contratar</w:t>
      </w:r>
      <w:proofErr w:type="gramEnd"/>
      <w:r w:rsidR="000F7C85" w:rsidRPr="00410C4C">
        <w:rPr>
          <w:rFonts w:ascii="Arial" w:hAnsi="Arial" w:cs="Arial"/>
          <w:sz w:val="19"/>
          <w:szCs w:val="19"/>
          <w:lang w:val="es-CO"/>
        </w:rPr>
        <w:t>. Para los efectos de esta ley se entiende por:</w:t>
      </w:r>
    </w:p>
    <w:p w14:paraId="58C7B0E3" w14:textId="650F0D47" w:rsidR="000F7C85" w:rsidRPr="00410C4C" w:rsidRDefault="001E0B56" w:rsidP="00211FC9">
      <w:pPr>
        <w:pStyle w:val="Textonotapie"/>
        <w:ind w:firstLine="360"/>
        <w:jc w:val="both"/>
        <w:rPr>
          <w:rFonts w:ascii="Arial" w:hAnsi="Arial" w:cs="Arial"/>
          <w:sz w:val="19"/>
          <w:szCs w:val="19"/>
          <w:lang w:val="es-CO"/>
        </w:rPr>
      </w:pPr>
      <w:r>
        <w:rPr>
          <w:rFonts w:ascii="Arial" w:hAnsi="Arial" w:cs="Arial"/>
          <w:sz w:val="19"/>
          <w:szCs w:val="19"/>
          <w:lang w:val="es-CO"/>
        </w:rPr>
        <w:t>»</w:t>
      </w:r>
      <w:r w:rsidR="002F3C27" w:rsidRPr="00410C4C">
        <w:rPr>
          <w:rFonts w:ascii="Arial" w:hAnsi="Arial" w:cs="Arial"/>
          <w:sz w:val="19"/>
          <w:szCs w:val="19"/>
          <w:lang w:val="es-CO"/>
        </w:rPr>
        <w:t xml:space="preserve">1. </w:t>
      </w:r>
      <w:r w:rsidR="000F7C85" w:rsidRPr="00410C4C">
        <w:rPr>
          <w:rFonts w:ascii="Arial" w:hAnsi="Arial" w:cs="Arial"/>
          <w:sz w:val="19"/>
          <w:szCs w:val="19"/>
          <w:lang w:val="es-CO"/>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61E916B6" w14:textId="0C29C7C2" w:rsidR="000F7C85" w:rsidRPr="00410C4C" w:rsidRDefault="001E0B56" w:rsidP="00211FC9">
      <w:pPr>
        <w:pStyle w:val="Textonotapie"/>
        <w:ind w:firstLine="360"/>
        <w:jc w:val="both"/>
        <w:rPr>
          <w:rFonts w:ascii="Arial" w:hAnsi="Arial" w:cs="Arial"/>
          <w:sz w:val="19"/>
          <w:szCs w:val="19"/>
          <w:lang w:val="es-CO"/>
        </w:rPr>
      </w:pPr>
      <w:r>
        <w:rPr>
          <w:rFonts w:ascii="Arial" w:hAnsi="Arial" w:cs="Arial"/>
          <w:sz w:val="19"/>
          <w:szCs w:val="19"/>
          <w:lang w:val="es-CO"/>
        </w:rPr>
        <w:t>»</w:t>
      </w:r>
      <w:r w:rsidR="002F3C27" w:rsidRPr="00410C4C">
        <w:rPr>
          <w:rFonts w:ascii="Arial" w:hAnsi="Arial" w:cs="Arial"/>
          <w:sz w:val="19"/>
          <w:szCs w:val="19"/>
          <w:lang w:val="es-CO"/>
        </w:rPr>
        <w:t xml:space="preserve">2. </w:t>
      </w:r>
      <w:r w:rsidR="000F7C85" w:rsidRPr="00410C4C">
        <w:rPr>
          <w:rFonts w:ascii="Arial" w:hAnsi="Arial" w:cs="Arial"/>
          <w:sz w:val="19"/>
          <w:szCs w:val="19"/>
          <w:lang w:val="es-CO"/>
        </w:rPr>
        <w:t xml:space="preserve">Consejo comunitario de las comunidades negras: Es </w:t>
      </w:r>
      <w:proofErr w:type="spellStart"/>
      <w:r w:rsidR="000F7C85" w:rsidRPr="00410C4C">
        <w:rPr>
          <w:rFonts w:ascii="Arial" w:hAnsi="Arial" w:cs="Arial"/>
          <w:sz w:val="19"/>
          <w:szCs w:val="19"/>
          <w:lang w:val="es-CO"/>
        </w:rPr>
        <w:t>Ia</w:t>
      </w:r>
      <w:proofErr w:type="spellEnd"/>
      <w:r w:rsidR="000F7C85" w:rsidRPr="00410C4C">
        <w:rPr>
          <w:rFonts w:ascii="Arial" w:hAnsi="Arial" w:cs="Arial"/>
          <w:sz w:val="19"/>
          <w:szCs w:val="19"/>
          <w:lang w:val="es-CO"/>
        </w:rPr>
        <w:t xml:space="preserve"> persona jurídica que ejerce la máxima autoridad de administración Interna dentro de las Tierras de las Comunidades Negras, de acuerdo con los mandatos constitucionales y legales que lo rigen y los demás que le asigne el sistema de derecho propio de cada comunidad.</w:t>
      </w:r>
    </w:p>
    <w:p w14:paraId="51E05527" w14:textId="301BC786" w:rsidR="000F7C85"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2F3C27" w:rsidRPr="00410C4C">
        <w:rPr>
          <w:rFonts w:ascii="Arial" w:hAnsi="Arial" w:cs="Arial"/>
          <w:sz w:val="19"/>
          <w:szCs w:val="19"/>
          <w:lang w:val="es-CO"/>
        </w:rPr>
        <w:t xml:space="preserve">3. </w:t>
      </w:r>
      <w:r w:rsidR="000F7C85" w:rsidRPr="00410C4C">
        <w:rPr>
          <w:rFonts w:ascii="Arial" w:hAnsi="Arial" w:cs="Arial"/>
          <w:sz w:val="19"/>
          <w:szCs w:val="19"/>
          <w:lang w:val="es-CO"/>
        </w:rPr>
        <w:t>Formas o expresiones organizativas.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w:t>
      </w:r>
    </w:p>
    <w:p w14:paraId="450D0F68" w14:textId="55D8387D" w:rsidR="000F7C85"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2F3C27" w:rsidRPr="00410C4C">
        <w:rPr>
          <w:rFonts w:ascii="Arial" w:hAnsi="Arial" w:cs="Arial"/>
          <w:sz w:val="19"/>
          <w:szCs w:val="19"/>
          <w:lang w:val="es-CO"/>
        </w:rPr>
        <w:t xml:space="preserve">4. </w:t>
      </w:r>
      <w:r w:rsidR="000F7C85" w:rsidRPr="00410C4C">
        <w:rPr>
          <w:rFonts w:ascii="Arial" w:hAnsi="Arial" w:cs="Arial"/>
          <w:sz w:val="19"/>
          <w:szCs w:val="19"/>
          <w:lang w:val="es-CO"/>
        </w:rPr>
        <w:t>Organizaciones de Base de Comunidades Negras, Afrocolombianas, Raizales y Palenqueras. Son asociaciones comunitarias integradas por personas de las Comunidades Negras, Afrocolombianas, Raizales o Palenqueras; que reivindican y promueven los derechos étnicos y humanos de estas comunidades. </w:t>
      </w:r>
    </w:p>
    <w:p w14:paraId="41AD681B" w14:textId="3DCD9136" w:rsidR="00A62156"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A62156" w:rsidRPr="00410C4C">
        <w:rPr>
          <w:rFonts w:ascii="Arial" w:hAnsi="Arial" w:cs="Arial"/>
          <w:sz w:val="19"/>
          <w:szCs w:val="19"/>
          <w:lang w:val="es-CO"/>
        </w:rPr>
        <w:t xml:space="preserve">5. </w:t>
      </w:r>
      <w:r w:rsidR="000F7C85" w:rsidRPr="00410C4C">
        <w:rPr>
          <w:rFonts w:ascii="Arial" w:hAnsi="Arial" w:cs="Arial"/>
          <w:sz w:val="19"/>
          <w:szCs w:val="19"/>
          <w:lang w:val="es-CO"/>
        </w:rPr>
        <w:t>Organizaciones de Segundo Nivel. Son asociaciones de Consejos Comunitarios, formas y expresiones organizativas y/</w:t>
      </w:r>
      <w:proofErr w:type="spellStart"/>
      <w:r w:rsidR="000F7C85" w:rsidRPr="00410C4C">
        <w:rPr>
          <w:rFonts w:ascii="Arial" w:hAnsi="Arial" w:cs="Arial"/>
          <w:sz w:val="19"/>
          <w:szCs w:val="19"/>
          <w:lang w:val="es-CO"/>
        </w:rPr>
        <w:t>o</w:t>
      </w:r>
      <w:proofErr w:type="spellEnd"/>
      <w:r w:rsidR="000F7C85" w:rsidRPr="00410C4C">
        <w:rPr>
          <w:rFonts w:ascii="Arial" w:hAnsi="Arial" w:cs="Arial"/>
          <w:sz w:val="19"/>
          <w:szCs w:val="19"/>
          <w:lang w:val="es-CO"/>
        </w:rPr>
        <w:t xml:space="preserve"> organizaciones de base que agrupan a _</w:t>
      </w:r>
      <w:proofErr w:type="spellStart"/>
      <w:r w:rsidR="000F7C85" w:rsidRPr="00410C4C">
        <w:rPr>
          <w:rFonts w:ascii="Arial" w:hAnsi="Arial" w:cs="Arial"/>
          <w:sz w:val="19"/>
          <w:szCs w:val="19"/>
          <w:lang w:val="es-CO"/>
        </w:rPr>
        <w:t>mas</w:t>
      </w:r>
      <w:proofErr w:type="spellEnd"/>
      <w:r w:rsidR="000F7C85" w:rsidRPr="00410C4C">
        <w:rPr>
          <w:rFonts w:ascii="Arial" w:hAnsi="Arial" w:cs="Arial"/>
          <w:sz w:val="19"/>
          <w:szCs w:val="19"/>
          <w:lang w:val="es-CO"/>
        </w:rPr>
        <w:t xml:space="preserve"> de dos (2), inscritas en el Registro Único de </w:t>
      </w:r>
      <w:proofErr w:type="spellStart"/>
      <w:r w:rsidR="000F7C85" w:rsidRPr="00410C4C">
        <w:rPr>
          <w:rFonts w:ascii="Arial" w:hAnsi="Arial" w:cs="Arial"/>
          <w:sz w:val="19"/>
          <w:szCs w:val="19"/>
          <w:lang w:val="es-CO"/>
        </w:rPr>
        <w:t>Ia</w:t>
      </w:r>
      <w:proofErr w:type="spellEnd"/>
      <w:r w:rsidR="000F7C85" w:rsidRPr="00410C4C">
        <w:rPr>
          <w:rFonts w:ascii="Arial" w:hAnsi="Arial" w:cs="Arial"/>
          <w:sz w:val="19"/>
          <w:szCs w:val="19"/>
          <w:lang w:val="es-CO"/>
        </w:rPr>
        <w:t xml:space="preserve">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 </w:t>
      </w:r>
    </w:p>
    <w:p w14:paraId="2EC3AE39" w14:textId="6DB4B403" w:rsidR="00A62156"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A62156" w:rsidRPr="00410C4C">
        <w:rPr>
          <w:rFonts w:ascii="Arial" w:hAnsi="Arial" w:cs="Arial"/>
          <w:sz w:val="19"/>
          <w:szCs w:val="19"/>
          <w:lang w:val="es-CO"/>
        </w:rPr>
        <w:t xml:space="preserve">6. </w:t>
      </w:r>
      <w:r w:rsidR="000F7C85" w:rsidRPr="00410C4C">
        <w:rPr>
          <w:rFonts w:ascii="Arial" w:hAnsi="Arial" w:cs="Arial"/>
          <w:sz w:val="19"/>
          <w:szCs w:val="19"/>
          <w:lang w:val="es-CO"/>
        </w:rPr>
        <w:t xml:space="preserve">Consorcio: Cuando dos o más personas en forma conjunta presentan una misma propuesta para </w:t>
      </w:r>
      <w:proofErr w:type="spellStart"/>
      <w:r w:rsidR="000F7C85" w:rsidRPr="00410C4C">
        <w:rPr>
          <w:rFonts w:ascii="Arial" w:hAnsi="Arial" w:cs="Arial"/>
          <w:sz w:val="19"/>
          <w:szCs w:val="19"/>
          <w:lang w:val="es-CO"/>
        </w:rPr>
        <w:t>Ia</w:t>
      </w:r>
      <w:proofErr w:type="spellEnd"/>
      <w:r w:rsidR="000F7C85" w:rsidRPr="00410C4C">
        <w:rPr>
          <w:rFonts w:ascii="Arial" w:hAnsi="Arial" w:cs="Arial"/>
          <w:sz w:val="19"/>
          <w:szCs w:val="19"/>
          <w:lang w:val="es-CO"/>
        </w:rPr>
        <w:t xml:space="preserve"> adjudicación, celebración y ejecución de un contrato, respondiendo solidariamente de todas y cada una de las obligaciones derivadas de </w:t>
      </w:r>
      <w:proofErr w:type="spellStart"/>
      <w:r w:rsidR="000F7C85" w:rsidRPr="00410C4C">
        <w:rPr>
          <w:rFonts w:ascii="Arial" w:hAnsi="Arial" w:cs="Arial"/>
          <w:sz w:val="19"/>
          <w:szCs w:val="19"/>
          <w:lang w:val="es-CO"/>
        </w:rPr>
        <w:t>Ia</w:t>
      </w:r>
      <w:proofErr w:type="spellEnd"/>
      <w:r w:rsidR="000F7C85" w:rsidRPr="00410C4C">
        <w:rPr>
          <w:rFonts w:ascii="Arial" w:hAnsi="Arial" w:cs="Arial"/>
          <w:sz w:val="19"/>
          <w:szCs w:val="19"/>
          <w:lang w:val="es-CO"/>
        </w:rPr>
        <w:t xml:space="preserve"> propuesta y del contrato. En consecuencia, las actuaciones, hechos y omisiones que se presenten en desarrollo de la propuesta y del contrato, afectaran a todos los miembros que lo conforman.</w:t>
      </w:r>
    </w:p>
    <w:p w14:paraId="541E6CE4" w14:textId="23C295E5" w:rsidR="000F7C85"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A62156" w:rsidRPr="00410C4C">
        <w:rPr>
          <w:rFonts w:ascii="Arial" w:hAnsi="Arial" w:cs="Arial"/>
          <w:sz w:val="19"/>
          <w:szCs w:val="19"/>
          <w:lang w:val="es-CO"/>
        </w:rPr>
        <w:t xml:space="preserve">7. </w:t>
      </w:r>
      <w:r w:rsidR="000F7C85" w:rsidRPr="00410C4C">
        <w:rPr>
          <w:rFonts w:ascii="Arial" w:hAnsi="Arial" w:cs="Arial"/>
          <w:sz w:val="19"/>
          <w:szCs w:val="19"/>
          <w:lang w:val="es-CO"/>
        </w:rPr>
        <w:t xml:space="preserve">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w:t>
      </w:r>
      <w:proofErr w:type="spellStart"/>
      <w:r w:rsidR="000F7C85" w:rsidRPr="00410C4C">
        <w:rPr>
          <w:rFonts w:ascii="Arial" w:hAnsi="Arial" w:cs="Arial"/>
          <w:sz w:val="19"/>
          <w:szCs w:val="19"/>
          <w:lang w:val="es-CO"/>
        </w:rPr>
        <w:t>as</w:t>
      </w:r>
      <w:proofErr w:type="spellEnd"/>
      <w:r w:rsidR="000F7C85" w:rsidRPr="00410C4C">
        <w:rPr>
          <w:rFonts w:ascii="Arial" w:hAnsi="Arial" w:cs="Arial"/>
          <w:sz w:val="19"/>
          <w:szCs w:val="19"/>
          <w:lang w:val="es-CO"/>
        </w:rPr>
        <w:t xml:space="preserve"> obligaciones derivadas de la propuesta y del contrato se impondrán de acuerdo con </w:t>
      </w:r>
      <w:proofErr w:type="spellStart"/>
      <w:r w:rsidR="000F7C85" w:rsidRPr="00410C4C">
        <w:rPr>
          <w:rFonts w:ascii="Arial" w:hAnsi="Arial" w:cs="Arial"/>
          <w:sz w:val="19"/>
          <w:szCs w:val="19"/>
          <w:lang w:val="es-CO"/>
        </w:rPr>
        <w:t>Ia</w:t>
      </w:r>
      <w:proofErr w:type="spellEnd"/>
      <w:r w:rsidR="000F7C85" w:rsidRPr="00410C4C">
        <w:rPr>
          <w:rFonts w:ascii="Arial" w:hAnsi="Arial" w:cs="Arial"/>
          <w:sz w:val="19"/>
          <w:szCs w:val="19"/>
          <w:lang w:val="es-CO"/>
        </w:rPr>
        <w:t xml:space="preserve"> participación en la ejecución de cada uno de los miembros de la unión temporal.</w:t>
      </w:r>
    </w:p>
    <w:p w14:paraId="0AB6DA34" w14:textId="2BFB7082" w:rsidR="000F7C85" w:rsidRPr="00410C4C" w:rsidRDefault="001E0B56" w:rsidP="00410C4C">
      <w:pPr>
        <w:pStyle w:val="Textonotapie"/>
        <w:ind w:firstLine="708"/>
        <w:jc w:val="both"/>
        <w:rPr>
          <w:rFonts w:ascii="Arial" w:hAnsi="Arial" w:cs="Arial"/>
          <w:sz w:val="19"/>
          <w:szCs w:val="19"/>
          <w:lang w:val="es-CO"/>
        </w:rPr>
      </w:pPr>
      <w:r>
        <w:rPr>
          <w:rFonts w:ascii="Arial" w:hAnsi="Arial" w:cs="Arial"/>
          <w:sz w:val="19"/>
          <w:szCs w:val="19"/>
          <w:lang w:val="es-CO"/>
        </w:rPr>
        <w:t>»</w:t>
      </w:r>
      <w:r w:rsidR="00A62156" w:rsidRPr="00410C4C">
        <w:rPr>
          <w:rFonts w:ascii="Arial" w:hAnsi="Arial" w:cs="Arial"/>
          <w:sz w:val="19"/>
          <w:szCs w:val="19"/>
          <w:lang w:val="es-CO"/>
        </w:rPr>
        <w:t xml:space="preserve">8. </w:t>
      </w:r>
      <w:r w:rsidR="000F7C85" w:rsidRPr="00410C4C">
        <w:rPr>
          <w:rFonts w:ascii="Arial" w:hAnsi="Arial" w:cs="Arial"/>
          <w:sz w:val="19"/>
          <w:szCs w:val="19"/>
          <w:lang w:val="es-CO"/>
        </w:rPr>
        <w:t>Asociaciones de autoridades tradicionales indígenas. Entidad de derecho público, encargada de fomentar y coordinar con las autoridades locales, regionales y nacionales, la ejecución de proyectos en salad, educación y vivienda. Esta entidad estará conformada por diez (10) organizaciones regionales indígenas.</w:t>
      </w:r>
    </w:p>
    <w:p w14:paraId="23DDAF3F" w14:textId="77777777" w:rsidR="000F7C85" w:rsidRPr="00410C4C" w:rsidRDefault="000F7C85" w:rsidP="00211FC9">
      <w:pPr>
        <w:pStyle w:val="Textonotapie"/>
        <w:ind w:firstLine="708"/>
        <w:jc w:val="both"/>
        <w:rPr>
          <w:rFonts w:ascii="Arial" w:hAnsi="Arial" w:cs="Arial"/>
          <w:sz w:val="19"/>
          <w:szCs w:val="19"/>
          <w:lang w:val="es-CO"/>
        </w:rPr>
      </w:pPr>
      <w:r w:rsidRPr="00410C4C">
        <w:rPr>
          <w:rFonts w:ascii="Arial" w:hAnsi="Arial" w:cs="Arial"/>
          <w:b/>
          <w:bCs/>
          <w:sz w:val="19"/>
          <w:szCs w:val="19"/>
          <w:lang w:val="es-CO"/>
        </w:rPr>
        <w:t> </w:t>
      </w:r>
    </w:p>
    <w:p w14:paraId="67468C6A" w14:textId="0A98B9C4" w:rsidR="006B7C16" w:rsidRPr="00410C4C" w:rsidRDefault="006B7C16" w:rsidP="00211FC9">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81FF" w14:textId="1ED7BE31" w:rsidR="001F0B64" w:rsidRDefault="001F0B64" w:rsidP="001F0B64">
    <w:pPr>
      <w:pStyle w:val="Encabezado"/>
      <w:jc w:val="right"/>
    </w:pPr>
    <w:r>
      <w:rPr>
        <w:noProof/>
      </w:rPr>
      <w:drawing>
        <wp:inline distT="0" distB="0" distL="0" distR="0" wp14:anchorId="7A28BF86" wp14:editId="3A670FD9">
          <wp:extent cx="1256030" cy="511810"/>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AF0320"/>
    <w:multiLevelType w:val="hybridMultilevel"/>
    <w:tmpl w:val="7AE4EAD0"/>
    <w:lvl w:ilvl="0" w:tplc="AD7296B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9C25887"/>
    <w:multiLevelType w:val="hybridMultilevel"/>
    <w:tmpl w:val="6A244B8C"/>
    <w:lvl w:ilvl="0" w:tplc="5900E928">
      <w:start w:val="1"/>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3" w15:restartNumberingAfterBreak="0">
    <w:nsid w:val="3B7C4182"/>
    <w:multiLevelType w:val="hybridMultilevel"/>
    <w:tmpl w:val="ECEE0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B372B5"/>
    <w:multiLevelType w:val="multilevel"/>
    <w:tmpl w:val="9FD4F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33F71"/>
    <w:multiLevelType w:val="hybridMultilevel"/>
    <w:tmpl w:val="9D14ACCC"/>
    <w:lvl w:ilvl="0" w:tplc="945E6F70">
      <w:start w:val="1"/>
      <w:numFmt w:val="decimal"/>
      <w:lvlText w:val="CLÁUSULA %1."/>
      <w:lvlJc w:val="left"/>
      <w:pPr>
        <w:ind w:left="1766" w:hanging="360"/>
      </w:pPr>
      <w:rPr>
        <w:rFonts w:ascii="Arial" w:hAnsi="Arial" w:cs="Arial" w:hint="default"/>
        <w:b/>
        <w:i w:val="0"/>
        <w:color w:val="000000"/>
        <w:sz w:val="20"/>
        <w:szCs w:val="20"/>
      </w:rPr>
    </w:lvl>
    <w:lvl w:ilvl="1" w:tplc="240A0019" w:tentative="1">
      <w:start w:val="1"/>
      <w:numFmt w:val="lowerLetter"/>
      <w:lvlText w:val="%2."/>
      <w:lvlJc w:val="left"/>
      <w:pPr>
        <w:ind w:left="2486" w:hanging="360"/>
      </w:pPr>
    </w:lvl>
    <w:lvl w:ilvl="2" w:tplc="240A001B" w:tentative="1">
      <w:start w:val="1"/>
      <w:numFmt w:val="lowerRoman"/>
      <w:lvlText w:val="%3."/>
      <w:lvlJc w:val="right"/>
      <w:pPr>
        <w:ind w:left="3206" w:hanging="180"/>
      </w:pPr>
    </w:lvl>
    <w:lvl w:ilvl="3" w:tplc="240A000F" w:tentative="1">
      <w:start w:val="1"/>
      <w:numFmt w:val="decimal"/>
      <w:lvlText w:val="%4."/>
      <w:lvlJc w:val="left"/>
      <w:pPr>
        <w:ind w:left="3926" w:hanging="360"/>
      </w:pPr>
    </w:lvl>
    <w:lvl w:ilvl="4" w:tplc="240A0019" w:tentative="1">
      <w:start w:val="1"/>
      <w:numFmt w:val="lowerLetter"/>
      <w:lvlText w:val="%5."/>
      <w:lvlJc w:val="left"/>
      <w:pPr>
        <w:ind w:left="4646" w:hanging="360"/>
      </w:pPr>
    </w:lvl>
    <w:lvl w:ilvl="5" w:tplc="240A001B" w:tentative="1">
      <w:start w:val="1"/>
      <w:numFmt w:val="lowerRoman"/>
      <w:lvlText w:val="%6."/>
      <w:lvlJc w:val="right"/>
      <w:pPr>
        <w:ind w:left="5366" w:hanging="180"/>
      </w:pPr>
    </w:lvl>
    <w:lvl w:ilvl="6" w:tplc="240A000F" w:tentative="1">
      <w:start w:val="1"/>
      <w:numFmt w:val="decimal"/>
      <w:lvlText w:val="%7."/>
      <w:lvlJc w:val="left"/>
      <w:pPr>
        <w:ind w:left="6086" w:hanging="360"/>
      </w:pPr>
    </w:lvl>
    <w:lvl w:ilvl="7" w:tplc="240A0019" w:tentative="1">
      <w:start w:val="1"/>
      <w:numFmt w:val="lowerLetter"/>
      <w:lvlText w:val="%8."/>
      <w:lvlJc w:val="left"/>
      <w:pPr>
        <w:ind w:left="6806" w:hanging="360"/>
      </w:pPr>
    </w:lvl>
    <w:lvl w:ilvl="8" w:tplc="240A001B" w:tentative="1">
      <w:start w:val="1"/>
      <w:numFmt w:val="lowerRoman"/>
      <w:lvlText w:val="%9."/>
      <w:lvlJc w:val="right"/>
      <w:pPr>
        <w:ind w:left="7526" w:hanging="180"/>
      </w:pPr>
    </w:lvl>
  </w:abstractNum>
  <w:abstractNum w:abstractNumId="6" w15:restartNumberingAfterBreak="0">
    <w:nsid w:val="4DEB72BE"/>
    <w:multiLevelType w:val="multilevel"/>
    <w:tmpl w:val="6DF247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30362"/>
    <w:multiLevelType w:val="multilevel"/>
    <w:tmpl w:val="AB1CE264"/>
    <w:lvl w:ilvl="0">
      <w:start w:val="6"/>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5B6C7AE5"/>
    <w:multiLevelType w:val="multilevel"/>
    <w:tmpl w:val="085E8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751F2"/>
    <w:multiLevelType w:val="multilevel"/>
    <w:tmpl w:val="10DC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AB3016"/>
    <w:multiLevelType w:val="hybridMultilevel"/>
    <w:tmpl w:val="560A3696"/>
    <w:lvl w:ilvl="0" w:tplc="21369FB4">
      <w:start w:val="2"/>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1" w15:restartNumberingAfterBreak="0">
    <w:nsid w:val="691470D1"/>
    <w:multiLevelType w:val="hybridMultilevel"/>
    <w:tmpl w:val="F0F48A54"/>
    <w:lvl w:ilvl="0" w:tplc="991427FA">
      <w:start w:val="3"/>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2" w15:restartNumberingAfterBreak="0">
    <w:nsid w:val="72CA7173"/>
    <w:multiLevelType w:val="hybridMultilevel"/>
    <w:tmpl w:val="8A54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0E2494"/>
    <w:multiLevelType w:val="multilevel"/>
    <w:tmpl w:val="D8EA1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64620"/>
    <w:multiLevelType w:val="multilevel"/>
    <w:tmpl w:val="E48ED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A2B2E"/>
    <w:multiLevelType w:val="hybridMultilevel"/>
    <w:tmpl w:val="CFEE5B28"/>
    <w:lvl w:ilvl="0" w:tplc="A192D4B6">
      <w:start w:val="4"/>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num w:numId="1" w16cid:durableId="782774484">
    <w:abstractNumId w:val="0"/>
  </w:num>
  <w:num w:numId="2" w16cid:durableId="1753237000">
    <w:abstractNumId w:val="5"/>
  </w:num>
  <w:num w:numId="3" w16cid:durableId="305818129">
    <w:abstractNumId w:val="9"/>
  </w:num>
  <w:num w:numId="4" w16cid:durableId="2055152299">
    <w:abstractNumId w:val="8"/>
  </w:num>
  <w:num w:numId="5" w16cid:durableId="1294020920">
    <w:abstractNumId w:val="14"/>
  </w:num>
  <w:num w:numId="6" w16cid:durableId="1689527140">
    <w:abstractNumId w:val="4"/>
  </w:num>
  <w:num w:numId="7" w16cid:durableId="1934511513">
    <w:abstractNumId w:val="13"/>
  </w:num>
  <w:num w:numId="8" w16cid:durableId="1153177876">
    <w:abstractNumId w:val="7"/>
  </w:num>
  <w:num w:numId="9" w16cid:durableId="411313191">
    <w:abstractNumId w:val="6"/>
  </w:num>
  <w:num w:numId="10" w16cid:durableId="1793862794">
    <w:abstractNumId w:val="2"/>
  </w:num>
  <w:num w:numId="11" w16cid:durableId="1636257633">
    <w:abstractNumId w:val="12"/>
  </w:num>
  <w:num w:numId="12" w16cid:durableId="1136340676">
    <w:abstractNumId w:val="3"/>
  </w:num>
  <w:num w:numId="13" w16cid:durableId="1892770156">
    <w:abstractNumId w:val="1"/>
  </w:num>
  <w:num w:numId="14" w16cid:durableId="72553295">
    <w:abstractNumId w:val="10"/>
  </w:num>
  <w:num w:numId="15" w16cid:durableId="1580753423">
    <w:abstractNumId w:val="11"/>
  </w:num>
  <w:num w:numId="16" w16cid:durableId="1317764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4"/>
    <w:rsid w:val="000103BA"/>
    <w:rsid w:val="0002108B"/>
    <w:rsid w:val="000244F7"/>
    <w:rsid w:val="000315B9"/>
    <w:rsid w:val="000439A8"/>
    <w:rsid w:val="00045431"/>
    <w:rsid w:val="00053305"/>
    <w:rsid w:val="00067F4B"/>
    <w:rsid w:val="000807FD"/>
    <w:rsid w:val="00087944"/>
    <w:rsid w:val="00095145"/>
    <w:rsid w:val="000A7CAE"/>
    <w:rsid w:val="000B0AE3"/>
    <w:rsid w:val="000B1C4F"/>
    <w:rsid w:val="000C4F79"/>
    <w:rsid w:val="000C5878"/>
    <w:rsid w:val="000D1EF8"/>
    <w:rsid w:val="000D25B4"/>
    <w:rsid w:val="000E4F8B"/>
    <w:rsid w:val="000E6EBE"/>
    <w:rsid w:val="000F7C85"/>
    <w:rsid w:val="00110654"/>
    <w:rsid w:val="0011144C"/>
    <w:rsid w:val="001202C9"/>
    <w:rsid w:val="00120F14"/>
    <w:rsid w:val="00124A4E"/>
    <w:rsid w:val="00143E35"/>
    <w:rsid w:val="00164E06"/>
    <w:rsid w:val="00186BAA"/>
    <w:rsid w:val="00190FC0"/>
    <w:rsid w:val="00193B24"/>
    <w:rsid w:val="001A6092"/>
    <w:rsid w:val="001B1234"/>
    <w:rsid w:val="001B40FD"/>
    <w:rsid w:val="001B5CDB"/>
    <w:rsid w:val="001B7F62"/>
    <w:rsid w:val="001C7398"/>
    <w:rsid w:val="001D2B9A"/>
    <w:rsid w:val="001D5221"/>
    <w:rsid w:val="001E0B56"/>
    <w:rsid w:val="001F0B64"/>
    <w:rsid w:val="001F1008"/>
    <w:rsid w:val="001F2735"/>
    <w:rsid w:val="001F4848"/>
    <w:rsid w:val="001F64C4"/>
    <w:rsid w:val="00203D17"/>
    <w:rsid w:val="00204DC8"/>
    <w:rsid w:val="00205DAC"/>
    <w:rsid w:val="00206A08"/>
    <w:rsid w:val="00211FC9"/>
    <w:rsid w:val="00216FDE"/>
    <w:rsid w:val="00227C1F"/>
    <w:rsid w:val="00232BFB"/>
    <w:rsid w:val="0024753D"/>
    <w:rsid w:val="00250D34"/>
    <w:rsid w:val="002538AE"/>
    <w:rsid w:val="002545C6"/>
    <w:rsid w:val="00254F89"/>
    <w:rsid w:val="00262DBB"/>
    <w:rsid w:val="00263CCA"/>
    <w:rsid w:val="00264237"/>
    <w:rsid w:val="00267830"/>
    <w:rsid w:val="0027184F"/>
    <w:rsid w:val="00275AF4"/>
    <w:rsid w:val="002775F9"/>
    <w:rsid w:val="00282C51"/>
    <w:rsid w:val="00291225"/>
    <w:rsid w:val="002A2A7E"/>
    <w:rsid w:val="002A6E4A"/>
    <w:rsid w:val="002B0CE4"/>
    <w:rsid w:val="002B766D"/>
    <w:rsid w:val="002C47F9"/>
    <w:rsid w:val="002E4257"/>
    <w:rsid w:val="002E4AEE"/>
    <w:rsid w:val="002E5A8E"/>
    <w:rsid w:val="002F3C27"/>
    <w:rsid w:val="002F5079"/>
    <w:rsid w:val="002F51FD"/>
    <w:rsid w:val="002F58C2"/>
    <w:rsid w:val="003015C8"/>
    <w:rsid w:val="00315700"/>
    <w:rsid w:val="00324F7A"/>
    <w:rsid w:val="00325678"/>
    <w:rsid w:val="00335DFC"/>
    <w:rsid w:val="0034014A"/>
    <w:rsid w:val="00346687"/>
    <w:rsid w:val="0036174B"/>
    <w:rsid w:val="00362D98"/>
    <w:rsid w:val="003649B1"/>
    <w:rsid w:val="00366801"/>
    <w:rsid w:val="00385153"/>
    <w:rsid w:val="00394EE8"/>
    <w:rsid w:val="00397AAE"/>
    <w:rsid w:val="003B2D2B"/>
    <w:rsid w:val="003C6CEA"/>
    <w:rsid w:val="003D4A39"/>
    <w:rsid w:val="003D4F73"/>
    <w:rsid w:val="003D6325"/>
    <w:rsid w:val="003F5158"/>
    <w:rsid w:val="003F5406"/>
    <w:rsid w:val="003F5693"/>
    <w:rsid w:val="004004EB"/>
    <w:rsid w:val="004027BF"/>
    <w:rsid w:val="00405EB3"/>
    <w:rsid w:val="00410C4C"/>
    <w:rsid w:val="00420EAB"/>
    <w:rsid w:val="0042594D"/>
    <w:rsid w:val="00431233"/>
    <w:rsid w:val="0043250B"/>
    <w:rsid w:val="00446A49"/>
    <w:rsid w:val="00447651"/>
    <w:rsid w:val="00451EEC"/>
    <w:rsid w:val="00462481"/>
    <w:rsid w:val="00463C55"/>
    <w:rsid w:val="00477466"/>
    <w:rsid w:val="004806E3"/>
    <w:rsid w:val="004818C7"/>
    <w:rsid w:val="00483957"/>
    <w:rsid w:val="004A6AF2"/>
    <w:rsid w:val="004B2679"/>
    <w:rsid w:val="004B3DF3"/>
    <w:rsid w:val="004C048C"/>
    <w:rsid w:val="004C3C7B"/>
    <w:rsid w:val="004C4D9C"/>
    <w:rsid w:val="004D0B8F"/>
    <w:rsid w:val="004D236A"/>
    <w:rsid w:val="004E26DB"/>
    <w:rsid w:val="004E3B01"/>
    <w:rsid w:val="004F32EB"/>
    <w:rsid w:val="004F340C"/>
    <w:rsid w:val="005008EE"/>
    <w:rsid w:val="005102F6"/>
    <w:rsid w:val="00524C93"/>
    <w:rsid w:val="00525A6F"/>
    <w:rsid w:val="00527CAF"/>
    <w:rsid w:val="005309AF"/>
    <w:rsid w:val="0053240A"/>
    <w:rsid w:val="00535BCC"/>
    <w:rsid w:val="00541625"/>
    <w:rsid w:val="005428CD"/>
    <w:rsid w:val="00546669"/>
    <w:rsid w:val="005473CA"/>
    <w:rsid w:val="005514DB"/>
    <w:rsid w:val="00561BC5"/>
    <w:rsid w:val="0056423F"/>
    <w:rsid w:val="0056665F"/>
    <w:rsid w:val="005808F6"/>
    <w:rsid w:val="00582706"/>
    <w:rsid w:val="00586ABE"/>
    <w:rsid w:val="00587B74"/>
    <w:rsid w:val="00595CB5"/>
    <w:rsid w:val="005A043B"/>
    <w:rsid w:val="005A4098"/>
    <w:rsid w:val="005C628A"/>
    <w:rsid w:val="005C774A"/>
    <w:rsid w:val="005D3726"/>
    <w:rsid w:val="005D5EFF"/>
    <w:rsid w:val="005E48CA"/>
    <w:rsid w:val="005F231C"/>
    <w:rsid w:val="00600DEE"/>
    <w:rsid w:val="006077AF"/>
    <w:rsid w:val="00607971"/>
    <w:rsid w:val="0061353A"/>
    <w:rsid w:val="00613A94"/>
    <w:rsid w:val="00627A39"/>
    <w:rsid w:val="0063501D"/>
    <w:rsid w:val="0063680B"/>
    <w:rsid w:val="006455EE"/>
    <w:rsid w:val="00654338"/>
    <w:rsid w:val="00656C88"/>
    <w:rsid w:val="00663B2B"/>
    <w:rsid w:val="00666573"/>
    <w:rsid w:val="0067010A"/>
    <w:rsid w:val="00680A74"/>
    <w:rsid w:val="006823E1"/>
    <w:rsid w:val="00682BFE"/>
    <w:rsid w:val="00692B35"/>
    <w:rsid w:val="00696364"/>
    <w:rsid w:val="006A00F0"/>
    <w:rsid w:val="006A17DA"/>
    <w:rsid w:val="006B3898"/>
    <w:rsid w:val="006B4120"/>
    <w:rsid w:val="006B4389"/>
    <w:rsid w:val="006B49E2"/>
    <w:rsid w:val="006B50F4"/>
    <w:rsid w:val="006B7C16"/>
    <w:rsid w:val="006D4256"/>
    <w:rsid w:val="006D6837"/>
    <w:rsid w:val="006E2BDF"/>
    <w:rsid w:val="006E387C"/>
    <w:rsid w:val="006E42AF"/>
    <w:rsid w:val="007130F2"/>
    <w:rsid w:val="0071688B"/>
    <w:rsid w:val="00720167"/>
    <w:rsid w:val="00720B7A"/>
    <w:rsid w:val="007304F1"/>
    <w:rsid w:val="00731719"/>
    <w:rsid w:val="0075114B"/>
    <w:rsid w:val="00757BE3"/>
    <w:rsid w:val="00760D9F"/>
    <w:rsid w:val="00763502"/>
    <w:rsid w:val="00772B38"/>
    <w:rsid w:val="00775595"/>
    <w:rsid w:val="00776983"/>
    <w:rsid w:val="00780374"/>
    <w:rsid w:val="00780CCA"/>
    <w:rsid w:val="00782560"/>
    <w:rsid w:val="0078316A"/>
    <w:rsid w:val="00794812"/>
    <w:rsid w:val="007959E6"/>
    <w:rsid w:val="007A172F"/>
    <w:rsid w:val="007A1D83"/>
    <w:rsid w:val="007A6C80"/>
    <w:rsid w:val="007B6D6A"/>
    <w:rsid w:val="007C5BE8"/>
    <w:rsid w:val="007C77DB"/>
    <w:rsid w:val="007E5998"/>
    <w:rsid w:val="007F20B6"/>
    <w:rsid w:val="007F45C8"/>
    <w:rsid w:val="007F46A0"/>
    <w:rsid w:val="007F5034"/>
    <w:rsid w:val="00813EA6"/>
    <w:rsid w:val="00815486"/>
    <w:rsid w:val="00821B98"/>
    <w:rsid w:val="00827048"/>
    <w:rsid w:val="008352C9"/>
    <w:rsid w:val="00835CAF"/>
    <w:rsid w:val="00836DB5"/>
    <w:rsid w:val="008602F0"/>
    <w:rsid w:val="00865240"/>
    <w:rsid w:val="00873667"/>
    <w:rsid w:val="008762F2"/>
    <w:rsid w:val="0087766A"/>
    <w:rsid w:val="00884796"/>
    <w:rsid w:val="008878C5"/>
    <w:rsid w:val="00887C3D"/>
    <w:rsid w:val="00890C9E"/>
    <w:rsid w:val="00891FFF"/>
    <w:rsid w:val="00893015"/>
    <w:rsid w:val="008A784C"/>
    <w:rsid w:val="008B0357"/>
    <w:rsid w:val="008B07E4"/>
    <w:rsid w:val="008B1DE8"/>
    <w:rsid w:val="008C27B3"/>
    <w:rsid w:val="008C7D6D"/>
    <w:rsid w:val="008D15C1"/>
    <w:rsid w:val="008D68CF"/>
    <w:rsid w:val="008E7B3B"/>
    <w:rsid w:val="008F6CF5"/>
    <w:rsid w:val="008F7854"/>
    <w:rsid w:val="0090541D"/>
    <w:rsid w:val="00910117"/>
    <w:rsid w:val="00912BDF"/>
    <w:rsid w:val="0091566C"/>
    <w:rsid w:val="009202A9"/>
    <w:rsid w:val="00922CCD"/>
    <w:rsid w:val="00924E87"/>
    <w:rsid w:val="00933DF5"/>
    <w:rsid w:val="00934FEB"/>
    <w:rsid w:val="009418F6"/>
    <w:rsid w:val="009421D3"/>
    <w:rsid w:val="00942475"/>
    <w:rsid w:val="00946B8F"/>
    <w:rsid w:val="00953DBA"/>
    <w:rsid w:val="009547BB"/>
    <w:rsid w:val="0095642D"/>
    <w:rsid w:val="00965141"/>
    <w:rsid w:val="0096631F"/>
    <w:rsid w:val="009672A5"/>
    <w:rsid w:val="009753FB"/>
    <w:rsid w:val="00985670"/>
    <w:rsid w:val="009931BF"/>
    <w:rsid w:val="00993FCF"/>
    <w:rsid w:val="009945BA"/>
    <w:rsid w:val="009A1C52"/>
    <w:rsid w:val="009A4B3C"/>
    <w:rsid w:val="009A63F5"/>
    <w:rsid w:val="009C114C"/>
    <w:rsid w:val="009C1B81"/>
    <w:rsid w:val="009C3B28"/>
    <w:rsid w:val="009C6B5E"/>
    <w:rsid w:val="009E3BE2"/>
    <w:rsid w:val="009E7F13"/>
    <w:rsid w:val="009F5204"/>
    <w:rsid w:val="00A0411E"/>
    <w:rsid w:val="00A111D4"/>
    <w:rsid w:val="00A13366"/>
    <w:rsid w:val="00A15475"/>
    <w:rsid w:val="00A22E98"/>
    <w:rsid w:val="00A237DB"/>
    <w:rsid w:val="00A25E4D"/>
    <w:rsid w:val="00A45691"/>
    <w:rsid w:val="00A5252A"/>
    <w:rsid w:val="00A556B0"/>
    <w:rsid w:val="00A56403"/>
    <w:rsid w:val="00A56E51"/>
    <w:rsid w:val="00A5715A"/>
    <w:rsid w:val="00A62156"/>
    <w:rsid w:val="00A67E26"/>
    <w:rsid w:val="00A731BE"/>
    <w:rsid w:val="00A777E1"/>
    <w:rsid w:val="00A80C59"/>
    <w:rsid w:val="00A83059"/>
    <w:rsid w:val="00A841CA"/>
    <w:rsid w:val="00A95147"/>
    <w:rsid w:val="00AA0906"/>
    <w:rsid w:val="00AA399E"/>
    <w:rsid w:val="00AA5160"/>
    <w:rsid w:val="00AB4397"/>
    <w:rsid w:val="00AC1C7A"/>
    <w:rsid w:val="00AC21BF"/>
    <w:rsid w:val="00AD345C"/>
    <w:rsid w:val="00AD4A1A"/>
    <w:rsid w:val="00AE13D1"/>
    <w:rsid w:val="00AE4588"/>
    <w:rsid w:val="00AE601E"/>
    <w:rsid w:val="00AF4195"/>
    <w:rsid w:val="00B02495"/>
    <w:rsid w:val="00B05B31"/>
    <w:rsid w:val="00B2123C"/>
    <w:rsid w:val="00B26673"/>
    <w:rsid w:val="00B27FD9"/>
    <w:rsid w:val="00B30320"/>
    <w:rsid w:val="00B31BC5"/>
    <w:rsid w:val="00B366A3"/>
    <w:rsid w:val="00B37C0B"/>
    <w:rsid w:val="00B509E9"/>
    <w:rsid w:val="00B55C2D"/>
    <w:rsid w:val="00B618E4"/>
    <w:rsid w:val="00B63536"/>
    <w:rsid w:val="00B64D4A"/>
    <w:rsid w:val="00B74B04"/>
    <w:rsid w:val="00B75264"/>
    <w:rsid w:val="00B7528F"/>
    <w:rsid w:val="00B8333A"/>
    <w:rsid w:val="00B83352"/>
    <w:rsid w:val="00BA3A78"/>
    <w:rsid w:val="00BA5AD1"/>
    <w:rsid w:val="00BB609D"/>
    <w:rsid w:val="00BC2663"/>
    <w:rsid w:val="00BC54AB"/>
    <w:rsid w:val="00BC7C36"/>
    <w:rsid w:val="00BD36DD"/>
    <w:rsid w:val="00BE32B6"/>
    <w:rsid w:val="00BE3A8F"/>
    <w:rsid w:val="00BE68CB"/>
    <w:rsid w:val="00BF2D3E"/>
    <w:rsid w:val="00BF2E83"/>
    <w:rsid w:val="00BF50C3"/>
    <w:rsid w:val="00BF7F11"/>
    <w:rsid w:val="00C04519"/>
    <w:rsid w:val="00C063FE"/>
    <w:rsid w:val="00C20BD8"/>
    <w:rsid w:val="00C224BB"/>
    <w:rsid w:val="00C31405"/>
    <w:rsid w:val="00C31EC8"/>
    <w:rsid w:val="00C50DCF"/>
    <w:rsid w:val="00C535F5"/>
    <w:rsid w:val="00C61FA0"/>
    <w:rsid w:val="00C64EC5"/>
    <w:rsid w:val="00C668DF"/>
    <w:rsid w:val="00C67DDF"/>
    <w:rsid w:val="00C83309"/>
    <w:rsid w:val="00C83C18"/>
    <w:rsid w:val="00C8596C"/>
    <w:rsid w:val="00C907C3"/>
    <w:rsid w:val="00C90943"/>
    <w:rsid w:val="00C915F2"/>
    <w:rsid w:val="00C92C82"/>
    <w:rsid w:val="00C96890"/>
    <w:rsid w:val="00C97B83"/>
    <w:rsid w:val="00CA1795"/>
    <w:rsid w:val="00CA641E"/>
    <w:rsid w:val="00CC4DF7"/>
    <w:rsid w:val="00CD0E82"/>
    <w:rsid w:val="00CE4E78"/>
    <w:rsid w:val="00CF0EAF"/>
    <w:rsid w:val="00CF4D52"/>
    <w:rsid w:val="00D0440C"/>
    <w:rsid w:val="00D07C5A"/>
    <w:rsid w:val="00D10486"/>
    <w:rsid w:val="00D144CF"/>
    <w:rsid w:val="00D21D72"/>
    <w:rsid w:val="00D30BB6"/>
    <w:rsid w:val="00D412AA"/>
    <w:rsid w:val="00D5094F"/>
    <w:rsid w:val="00D509A2"/>
    <w:rsid w:val="00D5267A"/>
    <w:rsid w:val="00D56FCB"/>
    <w:rsid w:val="00D57F67"/>
    <w:rsid w:val="00D607D0"/>
    <w:rsid w:val="00D70146"/>
    <w:rsid w:val="00D713DB"/>
    <w:rsid w:val="00D80A89"/>
    <w:rsid w:val="00D90E36"/>
    <w:rsid w:val="00D93DC5"/>
    <w:rsid w:val="00D943EC"/>
    <w:rsid w:val="00D97A3B"/>
    <w:rsid w:val="00DA1393"/>
    <w:rsid w:val="00DB7D74"/>
    <w:rsid w:val="00DC028A"/>
    <w:rsid w:val="00DC19E8"/>
    <w:rsid w:val="00DC1E40"/>
    <w:rsid w:val="00DC2073"/>
    <w:rsid w:val="00DC7DE0"/>
    <w:rsid w:val="00DD54F4"/>
    <w:rsid w:val="00DE1B88"/>
    <w:rsid w:val="00DE3224"/>
    <w:rsid w:val="00DE3980"/>
    <w:rsid w:val="00DE4439"/>
    <w:rsid w:val="00DE4778"/>
    <w:rsid w:val="00DE6B10"/>
    <w:rsid w:val="00DE7650"/>
    <w:rsid w:val="00DF2122"/>
    <w:rsid w:val="00DF2FC4"/>
    <w:rsid w:val="00DF3BB3"/>
    <w:rsid w:val="00E21703"/>
    <w:rsid w:val="00E332A5"/>
    <w:rsid w:val="00E361CC"/>
    <w:rsid w:val="00E37448"/>
    <w:rsid w:val="00E66B66"/>
    <w:rsid w:val="00E67387"/>
    <w:rsid w:val="00E75B31"/>
    <w:rsid w:val="00E86CA9"/>
    <w:rsid w:val="00E94462"/>
    <w:rsid w:val="00E944BB"/>
    <w:rsid w:val="00EA6FC9"/>
    <w:rsid w:val="00EB4BD0"/>
    <w:rsid w:val="00EB67A4"/>
    <w:rsid w:val="00EC484C"/>
    <w:rsid w:val="00EC70D2"/>
    <w:rsid w:val="00EC715A"/>
    <w:rsid w:val="00ED3B12"/>
    <w:rsid w:val="00EE063E"/>
    <w:rsid w:val="00EE71E1"/>
    <w:rsid w:val="00EF6139"/>
    <w:rsid w:val="00EF73E3"/>
    <w:rsid w:val="00EF77E9"/>
    <w:rsid w:val="00F16AA0"/>
    <w:rsid w:val="00F213D2"/>
    <w:rsid w:val="00F2598E"/>
    <w:rsid w:val="00F27A92"/>
    <w:rsid w:val="00F30838"/>
    <w:rsid w:val="00F32F5A"/>
    <w:rsid w:val="00F36602"/>
    <w:rsid w:val="00F36608"/>
    <w:rsid w:val="00F4131A"/>
    <w:rsid w:val="00F422F3"/>
    <w:rsid w:val="00F471B8"/>
    <w:rsid w:val="00F5075D"/>
    <w:rsid w:val="00F53398"/>
    <w:rsid w:val="00F67E2D"/>
    <w:rsid w:val="00F73B50"/>
    <w:rsid w:val="00F76B1E"/>
    <w:rsid w:val="00F776C0"/>
    <w:rsid w:val="00F84729"/>
    <w:rsid w:val="00F977C3"/>
    <w:rsid w:val="00FB5043"/>
    <w:rsid w:val="00FC0304"/>
    <w:rsid w:val="00FC08A0"/>
    <w:rsid w:val="00FC2296"/>
    <w:rsid w:val="00FC3AF6"/>
    <w:rsid w:val="00FC7489"/>
    <w:rsid w:val="00FD7A05"/>
    <w:rsid w:val="00FE193A"/>
    <w:rsid w:val="00FF02C6"/>
    <w:rsid w:val="00FF410D"/>
    <w:rsid w:val="00FF43FC"/>
    <w:rsid w:val="00FF7E0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8751"/>
  <w15:chartTrackingRefBased/>
  <w15:docId w15:val="{131C1372-3F37-4D5E-962C-47DE683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9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F0B64"/>
    <w:pPr>
      <w:ind w:left="720"/>
      <w:contextualSpacing/>
    </w:pPr>
  </w:style>
  <w:style w:type="paragraph" w:styleId="NormalWeb">
    <w:name w:val="Normal (Web)"/>
    <w:basedOn w:val="Normal"/>
    <w:uiPriority w:val="99"/>
    <w:unhideWhenUsed/>
    <w:rsid w:val="001F0B6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1F0B6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F0B6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F0B64"/>
    <w:rPr>
      <w:sz w:val="20"/>
      <w:szCs w:val="20"/>
    </w:rPr>
  </w:style>
  <w:style w:type="character" w:customStyle="1" w:styleId="TextonotapieCar1">
    <w:name w:val="Texto nota pie Car1"/>
    <w:basedOn w:val="Fuentedeprrafopredeter"/>
    <w:uiPriority w:val="99"/>
    <w:semiHidden/>
    <w:rsid w:val="001F0B6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0B6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F0B64"/>
    <w:rPr>
      <w:vertAlign w:val="superscript"/>
    </w:rPr>
  </w:style>
  <w:style w:type="paragraph" w:customStyle="1" w:styleId="Default">
    <w:name w:val="Default"/>
    <w:rsid w:val="001F0B6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1F0B64"/>
  </w:style>
  <w:style w:type="paragraph" w:customStyle="1" w:styleId="Appelnotedebasde">
    <w:name w:val="Appel note de bas de..."/>
    <w:basedOn w:val="Normal"/>
    <w:link w:val="Refdenotaalpie"/>
    <w:uiPriority w:val="99"/>
    <w:rsid w:val="001F0B64"/>
    <w:pPr>
      <w:spacing w:after="160" w:line="240" w:lineRule="exact"/>
    </w:pPr>
    <w:rPr>
      <w:sz w:val="22"/>
      <w:vertAlign w:val="superscript"/>
      <w:lang w:val="es-CO"/>
    </w:rPr>
  </w:style>
  <w:style w:type="paragraph" w:styleId="Encabezado">
    <w:name w:val="header"/>
    <w:basedOn w:val="Normal"/>
    <w:link w:val="EncabezadoCar"/>
    <w:uiPriority w:val="99"/>
    <w:unhideWhenUsed/>
    <w:rsid w:val="001F0B64"/>
    <w:pPr>
      <w:tabs>
        <w:tab w:val="center" w:pos="4419"/>
        <w:tab w:val="right" w:pos="8838"/>
      </w:tabs>
    </w:pPr>
  </w:style>
  <w:style w:type="character" w:customStyle="1" w:styleId="EncabezadoCar">
    <w:name w:val="Encabezado Car"/>
    <w:basedOn w:val="Fuentedeprrafopredeter"/>
    <w:link w:val="Encabezado"/>
    <w:uiPriority w:val="99"/>
    <w:rsid w:val="001F0B64"/>
    <w:rPr>
      <w:sz w:val="24"/>
      <w:lang w:val="es-MX"/>
    </w:rPr>
  </w:style>
  <w:style w:type="paragraph" w:styleId="Piedepgina">
    <w:name w:val="footer"/>
    <w:basedOn w:val="Normal"/>
    <w:link w:val="PiedepginaCar"/>
    <w:uiPriority w:val="99"/>
    <w:unhideWhenUsed/>
    <w:rsid w:val="001F0B64"/>
    <w:pPr>
      <w:tabs>
        <w:tab w:val="center" w:pos="4419"/>
        <w:tab w:val="right" w:pos="8838"/>
      </w:tabs>
    </w:pPr>
  </w:style>
  <w:style w:type="character" w:customStyle="1" w:styleId="PiedepginaCar">
    <w:name w:val="Pie de página Car"/>
    <w:basedOn w:val="Fuentedeprrafopredeter"/>
    <w:link w:val="Piedepgina"/>
    <w:uiPriority w:val="99"/>
    <w:rsid w:val="001F0B64"/>
    <w:rPr>
      <w:sz w:val="24"/>
      <w:lang w:val="es-MX"/>
    </w:rPr>
  </w:style>
  <w:style w:type="character" w:customStyle="1" w:styleId="highlight">
    <w:name w:val="highlight"/>
    <w:basedOn w:val="Fuentedeprrafopredeter"/>
    <w:rsid w:val="003015C8"/>
  </w:style>
  <w:style w:type="character" w:styleId="Refdecomentario">
    <w:name w:val="annotation reference"/>
    <w:basedOn w:val="Fuentedeprrafopredeter"/>
    <w:uiPriority w:val="99"/>
    <w:semiHidden/>
    <w:unhideWhenUsed/>
    <w:rsid w:val="0056665F"/>
    <w:rPr>
      <w:sz w:val="16"/>
      <w:szCs w:val="16"/>
    </w:rPr>
  </w:style>
  <w:style w:type="paragraph" w:styleId="Textocomentario">
    <w:name w:val="annotation text"/>
    <w:basedOn w:val="Normal"/>
    <w:link w:val="TextocomentarioCar"/>
    <w:uiPriority w:val="99"/>
    <w:unhideWhenUsed/>
    <w:rsid w:val="0056665F"/>
    <w:rPr>
      <w:sz w:val="20"/>
      <w:szCs w:val="20"/>
    </w:rPr>
  </w:style>
  <w:style w:type="character" w:customStyle="1" w:styleId="TextocomentarioCar">
    <w:name w:val="Texto comentario Car"/>
    <w:basedOn w:val="Fuentedeprrafopredeter"/>
    <w:link w:val="Textocomentario"/>
    <w:uiPriority w:val="99"/>
    <w:rsid w:val="0056665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6665F"/>
    <w:rPr>
      <w:b/>
      <w:bCs/>
    </w:rPr>
  </w:style>
  <w:style w:type="character" w:customStyle="1" w:styleId="AsuntodelcomentarioCar">
    <w:name w:val="Asunto del comentario Car"/>
    <w:basedOn w:val="TextocomentarioCar"/>
    <w:link w:val="Asuntodelcomentario"/>
    <w:uiPriority w:val="99"/>
    <w:semiHidden/>
    <w:rsid w:val="0056665F"/>
    <w:rPr>
      <w:b/>
      <w:bCs/>
      <w:sz w:val="20"/>
      <w:szCs w:val="20"/>
      <w:lang w:val="es-MX"/>
    </w:rPr>
  </w:style>
  <w:style w:type="character" w:styleId="Hipervnculo">
    <w:name w:val="Hyperlink"/>
    <w:basedOn w:val="Fuentedeprrafopredeter"/>
    <w:uiPriority w:val="99"/>
    <w:unhideWhenUsed/>
    <w:rsid w:val="00682BFE"/>
    <w:rPr>
      <w:color w:val="0563C1" w:themeColor="hyperlink"/>
      <w:u w:val="single"/>
    </w:rPr>
  </w:style>
  <w:style w:type="character" w:styleId="Mencinsinresolver">
    <w:name w:val="Unresolved Mention"/>
    <w:basedOn w:val="Fuentedeprrafopredeter"/>
    <w:uiPriority w:val="99"/>
    <w:semiHidden/>
    <w:unhideWhenUsed/>
    <w:rsid w:val="00682BFE"/>
    <w:rPr>
      <w:color w:val="605E5C"/>
      <w:shd w:val="clear" w:color="auto" w:fill="E1DFDD"/>
    </w:rPr>
  </w:style>
  <w:style w:type="character" w:styleId="Textoennegrita">
    <w:name w:val="Strong"/>
    <w:basedOn w:val="Fuentedeprrafopredeter"/>
    <w:uiPriority w:val="22"/>
    <w:qFormat/>
    <w:rsid w:val="00A111D4"/>
    <w:rPr>
      <w:b/>
      <w:bCs/>
    </w:rPr>
  </w:style>
  <w:style w:type="paragraph" w:styleId="Revisin">
    <w:name w:val="Revision"/>
    <w:hidden/>
    <w:uiPriority w:val="99"/>
    <w:semiHidden/>
    <w:rsid w:val="00F73B5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8217">
      <w:bodyDiv w:val="1"/>
      <w:marLeft w:val="0"/>
      <w:marRight w:val="0"/>
      <w:marTop w:val="0"/>
      <w:marBottom w:val="0"/>
      <w:divBdr>
        <w:top w:val="none" w:sz="0" w:space="0" w:color="auto"/>
        <w:left w:val="none" w:sz="0" w:space="0" w:color="auto"/>
        <w:bottom w:val="none" w:sz="0" w:space="0" w:color="auto"/>
        <w:right w:val="none" w:sz="0" w:space="0" w:color="auto"/>
      </w:divBdr>
    </w:div>
    <w:div w:id="212665737">
      <w:bodyDiv w:val="1"/>
      <w:marLeft w:val="0"/>
      <w:marRight w:val="0"/>
      <w:marTop w:val="0"/>
      <w:marBottom w:val="0"/>
      <w:divBdr>
        <w:top w:val="none" w:sz="0" w:space="0" w:color="auto"/>
        <w:left w:val="none" w:sz="0" w:space="0" w:color="auto"/>
        <w:bottom w:val="none" w:sz="0" w:space="0" w:color="auto"/>
        <w:right w:val="none" w:sz="0" w:space="0" w:color="auto"/>
      </w:divBdr>
    </w:div>
    <w:div w:id="630133249">
      <w:bodyDiv w:val="1"/>
      <w:marLeft w:val="0"/>
      <w:marRight w:val="0"/>
      <w:marTop w:val="0"/>
      <w:marBottom w:val="0"/>
      <w:divBdr>
        <w:top w:val="none" w:sz="0" w:space="0" w:color="auto"/>
        <w:left w:val="none" w:sz="0" w:space="0" w:color="auto"/>
        <w:bottom w:val="none" w:sz="0" w:space="0" w:color="auto"/>
        <w:right w:val="none" w:sz="0" w:space="0" w:color="auto"/>
      </w:divBdr>
    </w:div>
    <w:div w:id="939875032">
      <w:bodyDiv w:val="1"/>
      <w:marLeft w:val="0"/>
      <w:marRight w:val="0"/>
      <w:marTop w:val="0"/>
      <w:marBottom w:val="0"/>
      <w:divBdr>
        <w:top w:val="none" w:sz="0" w:space="0" w:color="auto"/>
        <w:left w:val="none" w:sz="0" w:space="0" w:color="auto"/>
        <w:bottom w:val="none" w:sz="0" w:space="0" w:color="auto"/>
        <w:right w:val="none" w:sz="0" w:space="0" w:color="auto"/>
      </w:divBdr>
    </w:div>
    <w:div w:id="1902783991">
      <w:bodyDiv w:val="1"/>
      <w:marLeft w:val="0"/>
      <w:marRight w:val="0"/>
      <w:marTop w:val="0"/>
      <w:marBottom w:val="0"/>
      <w:divBdr>
        <w:top w:val="none" w:sz="0" w:space="0" w:color="auto"/>
        <w:left w:val="none" w:sz="0" w:space="0" w:color="auto"/>
        <w:bottom w:val="none" w:sz="0" w:space="0" w:color="auto"/>
        <w:right w:val="none" w:sz="0" w:space="0" w:color="auto"/>
      </w:divBdr>
    </w:div>
    <w:div w:id="21265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o.vlex.com/vid/58472389?fbt=webapp_preview" TargetMode="External"/><Relationship Id="rId2" Type="http://schemas.openxmlformats.org/officeDocument/2006/relationships/hyperlink" Target="https://go.vlex.com/vid/58472389?fbt=webapp_preview" TargetMode="External"/><Relationship Id="rId1" Type="http://schemas.openxmlformats.org/officeDocument/2006/relationships/hyperlink" Target="https://www.minsalud.gov.co/sites/rid/Lists/BibliotecaDigital/RIDE/DE/PS/boletines-poblacionales-poblacion-indige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5F28AC-2593-42CA-9BCB-CC255144464E}">
  <ds:schemaRefs>
    <ds:schemaRef ds:uri="http://schemas.microsoft.com/sharepoint/v3/contenttype/forms"/>
  </ds:schemaRefs>
</ds:datastoreItem>
</file>

<file path=customXml/itemProps2.xml><?xml version="1.0" encoding="utf-8"?>
<ds:datastoreItem xmlns:ds="http://schemas.openxmlformats.org/officeDocument/2006/customXml" ds:itemID="{F7F16B30-2178-44FB-A056-583362CC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9E229-CA6E-4773-BC92-6EEC3E646622}">
  <ds:schemaRefs>
    <ds:schemaRef ds:uri="http://schemas.openxmlformats.org/officeDocument/2006/bibliography"/>
  </ds:schemaRefs>
</ds:datastoreItem>
</file>

<file path=customXml/itemProps4.xml><?xml version="1.0" encoding="utf-8"?>
<ds:datastoreItem xmlns:ds="http://schemas.openxmlformats.org/officeDocument/2006/customXml" ds:itemID="{5A950390-3AB1-4584-B8BC-DC5BAA2A15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5196</Words>
  <Characters>28584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Jorge Eliecer Moran Buitrón</cp:lastModifiedBy>
  <cp:revision>5</cp:revision>
  <dcterms:created xsi:type="dcterms:W3CDTF">2022-01-28T13:07:00Z</dcterms:created>
  <dcterms:modified xsi:type="dcterms:W3CDTF">2022-04-21T15:42:00Z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