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6BC2" w14:textId="77777777" w:rsidR="009E3AC0" w:rsidRPr="00A5537E" w:rsidRDefault="00622B0F">
      <w:pPr>
        <w:rPr>
          <w:rFonts w:ascii="Arial" w:eastAsia="Arial" w:hAnsi="Arial" w:cs="Arial"/>
          <w:b/>
          <w:sz w:val="22"/>
          <w:szCs w:val="22"/>
        </w:rPr>
      </w:pPr>
      <w:bookmarkStart w:id="0" w:name="_gjdgxs" w:colFirst="0" w:colLast="0"/>
      <w:bookmarkEnd w:id="0"/>
      <w:r w:rsidRPr="00A5537E">
        <w:rPr>
          <w:rFonts w:ascii="Arial" w:eastAsia="Arial" w:hAnsi="Arial" w:cs="Arial"/>
          <w:b/>
          <w:sz w:val="22"/>
          <w:szCs w:val="22"/>
        </w:rPr>
        <w:t>LEY DE GARANTÍAS ELECTORALES – Finalidad</w:t>
      </w:r>
    </w:p>
    <w:p w14:paraId="193957DA" w14:textId="77777777" w:rsidR="009E3AC0" w:rsidRPr="00A5537E" w:rsidRDefault="00622B0F">
      <w:pPr>
        <w:tabs>
          <w:tab w:val="left" w:pos="426"/>
        </w:tabs>
        <w:spacing w:after="0" w:line="240" w:lineRule="auto"/>
        <w:rPr>
          <w:rFonts w:ascii="Arial" w:eastAsia="Arial" w:hAnsi="Arial" w:cs="Arial"/>
          <w:sz w:val="20"/>
          <w:szCs w:val="20"/>
        </w:rPr>
      </w:pPr>
      <w:bookmarkStart w:id="1" w:name="_30j0zll" w:colFirst="0" w:colLast="0"/>
      <w:bookmarkEnd w:id="1"/>
      <w:r w:rsidRPr="00A5537E">
        <w:rPr>
          <w:rFonts w:ascii="Arial" w:eastAsia="Arial" w:hAnsi="Arial" w:cs="Arial"/>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47EBFDA4" w14:textId="77777777" w:rsidR="009E3AC0" w:rsidRPr="00A5537E" w:rsidRDefault="009E3AC0">
      <w:pPr>
        <w:tabs>
          <w:tab w:val="left" w:pos="426"/>
        </w:tabs>
        <w:spacing w:after="0" w:line="240" w:lineRule="auto"/>
        <w:rPr>
          <w:rFonts w:ascii="Arial" w:eastAsia="Arial" w:hAnsi="Arial" w:cs="Arial"/>
          <w:sz w:val="20"/>
          <w:szCs w:val="20"/>
        </w:rPr>
      </w:pPr>
      <w:bookmarkStart w:id="2" w:name="_1fob9te" w:colFirst="0" w:colLast="0"/>
      <w:bookmarkEnd w:id="2"/>
    </w:p>
    <w:p w14:paraId="436E664D" w14:textId="77777777" w:rsidR="009E3AC0" w:rsidRPr="002942DE" w:rsidRDefault="00622B0F">
      <w:pPr>
        <w:tabs>
          <w:tab w:val="left" w:pos="426"/>
        </w:tabs>
        <w:spacing w:after="0" w:line="240" w:lineRule="auto"/>
        <w:rPr>
          <w:rFonts w:ascii="Arial" w:eastAsia="Arial" w:hAnsi="Arial" w:cs="Arial"/>
          <w:b/>
          <w:sz w:val="22"/>
          <w:szCs w:val="22"/>
        </w:rPr>
      </w:pPr>
      <w:bookmarkStart w:id="3" w:name="_3znysh7" w:colFirst="0" w:colLast="0"/>
      <w:bookmarkEnd w:id="3"/>
      <w:r w:rsidRPr="002942DE">
        <w:rPr>
          <w:rFonts w:ascii="Arial" w:eastAsia="Arial" w:hAnsi="Arial" w:cs="Arial"/>
          <w:b/>
          <w:sz w:val="22"/>
          <w:szCs w:val="22"/>
        </w:rPr>
        <w:t xml:space="preserve">LEY DE GARANTÍAS ELECTORALES ‒ Tipos de restricciones ‒ Ámbito temporal </w:t>
      </w:r>
    </w:p>
    <w:p w14:paraId="7D577D1F" w14:textId="77777777" w:rsidR="009E3AC0" w:rsidRPr="00A5537E" w:rsidRDefault="009E3AC0">
      <w:pPr>
        <w:tabs>
          <w:tab w:val="left" w:pos="426"/>
        </w:tabs>
        <w:spacing w:after="0" w:line="240" w:lineRule="auto"/>
        <w:rPr>
          <w:rFonts w:ascii="Arial" w:eastAsia="Arial" w:hAnsi="Arial" w:cs="Arial"/>
          <w:b/>
          <w:sz w:val="20"/>
          <w:szCs w:val="20"/>
        </w:rPr>
      </w:pPr>
    </w:p>
    <w:p w14:paraId="206816B5" w14:textId="77777777" w:rsidR="009E3AC0" w:rsidRPr="00A5537E" w:rsidRDefault="00622B0F">
      <w:pPr>
        <w:tabs>
          <w:tab w:val="left" w:pos="426"/>
        </w:tabs>
        <w:spacing w:after="0" w:line="240" w:lineRule="auto"/>
        <w:rPr>
          <w:rFonts w:ascii="Arial" w:eastAsia="Arial" w:hAnsi="Arial" w:cs="Arial"/>
          <w:sz w:val="20"/>
          <w:szCs w:val="20"/>
        </w:rPr>
      </w:pPr>
      <w:r w:rsidRPr="00A5537E">
        <w:rPr>
          <w:rFonts w:ascii="Arial" w:eastAsia="Arial" w:hAnsi="Arial" w:cs="Arial"/>
          <w:sz w:val="20"/>
          <w:szCs w:val="20"/>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43BEEC0" w14:textId="77777777" w:rsidR="009E3AC0" w:rsidRPr="002942DE" w:rsidRDefault="009E3AC0">
      <w:pPr>
        <w:tabs>
          <w:tab w:val="left" w:pos="426"/>
        </w:tabs>
        <w:spacing w:after="0" w:line="240" w:lineRule="auto"/>
        <w:rPr>
          <w:rFonts w:ascii="Arial" w:eastAsia="Arial" w:hAnsi="Arial" w:cs="Arial"/>
          <w:sz w:val="22"/>
          <w:szCs w:val="22"/>
        </w:rPr>
      </w:pPr>
    </w:p>
    <w:p w14:paraId="1A432327" w14:textId="77777777" w:rsidR="009E3AC0" w:rsidRPr="002942DE" w:rsidRDefault="00622B0F">
      <w:pPr>
        <w:tabs>
          <w:tab w:val="left" w:pos="426"/>
        </w:tabs>
        <w:spacing w:after="0" w:line="240" w:lineRule="auto"/>
        <w:rPr>
          <w:rFonts w:ascii="Arial" w:eastAsia="Arial" w:hAnsi="Arial" w:cs="Arial"/>
          <w:b/>
          <w:sz w:val="22"/>
          <w:szCs w:val="22"/>
        </w:rPr>
      </w:pPr>
      <w:bookmarkStart w:id="4" w:name="_2et92p0" w:colFirst="0" w:colLast="0"/>
      <w:bookmarkEnd w:id="4"/>
      <w:r w:rsidRPr="002942DE">
        <w:rPr>
          <w:rFonts w:ascii="Arial" w:eastAsia="Arial" w:hAnsi="Arial" w:cs="Arial"/>
          <w:b/>
          <w:sz w:val="22"/>
          <w:szCs w:val="22"/>
        </w:rPr>
        <w:t xml:space="preserve">LEY DE GARANTÍAS ELECTORALES ─ Prohibición ‒ Contratación directa ‒ Alcance </w:t>
      </w:r>
    </w:p>
    <w:p w14:paraId="1CA85C1F" w14:textId="77777777" w:rsidR="009E3AC0" w:rsidRPr="00A5537E" w:rsidRDefault="009E3AC0">
      <w:pPr>
        <w:tabs>
          <w:tab w:val="left" w:pos="426"/>
        </w:tabs>
        <w:spacing w:after="0" w:line="240" w:lineRule="auto"/>
        <w:rPr>
          <w:rFonts w:ascii="Arial" w:eastAsia="Arial" w:hAnsi="Arial" w:cs="Arial"/>
          <w:sz w:val="20"/>
          <w:szCs w:val="20"/>
        </w:rPr>
      </w:pPr>
    </w:p>
    <w:p w14:paraId="01E2D9A6" w14:textId="77777777" w:rsidR="009E3AC0" w:rsidRPr="00A5537E" w:rsidRDefault="00622B0F">
      <w:pPr>
        <w:tabs>
          <w:tab w:val="left" w:pos="426"/>
        </w:tabs>
        <w:spacing w:after="0" w:line="240" w:lineRule="auto"/>
        <w:rPr>
          <w:rFonts w:ascii="Arial" w:eastAsia="Arial" w:hAnsi="Arial" w:cs="Arial"/>
          <w:sz w:val="20"/>
          <w:szCs w:val="20"/>
        </w:rPr>
      </w:pPr>
      <w:r w:rsidRPr="00A5537E">
        <w:rPr>
          <w:rFonts w:ascii="Arial" w:eastAsia="Arial" w:hAnsi="Arial" w:cs="Arial"/>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76C4543F" w14:textId="77777777" w:rsidR="009E3AC0" w:rsidRPr="002942DE" w:rsidRDefault="00622B0F">
      <w:pPr>
        <w:tabs>
          <w:tab w:val="left" w:pos="426"/>
        </w:tabs>
        <w:spacing w:after="0" w:line="240" w:lineRule="auto"/>
        <w:rPr>
          <w:rFonts w:ascii="Arial" w:eastAsia="Arial" w:hAnsi="Arial" w:cs="Arial"/>
          <w:sz w:val="22"/>
          <w:szCs w:val="22"/>
        </w:rPr>
      </w:pPr>
      <w:r w:rsidRPr="00A5537E">
        <w:rPr>
          <w:rFonts w:ascii="Arial" w:eastAsia="Arial" w:hAnsi="Arial" w:cs="Arial"/>
          <w:sz w:val="20"/>
          <w:szCs w:val="20"/>
        </w:rPr>
        <w:t xml:space="preserve">  </w:t>
      </w:r>
    </w:p>
    <w:p w14:paraId="64E0F5C4" w14:textId="419D6BFC" w:rsidR="009E3AC0" w:rsidRPr="002942DE" w:rsidRDefault="00622B0F">
      <w:pPr>
        <w:shd w:val="clear" w:color="auto" w:fill="FFFFFF"/>
        <w:spacing w:after="0" w:line="240" w:lineRule="auto"/>
        <w:rPr>
          <w:rFonts w:ascii="Arial" w:eastAsia="Arial" w:hAnsi="Arial" w:cs="Arial"/>
          <w:sz w:val="22"/>
          <w:szCs w:val="22"/>
        </w:rPr>
      </w:pPr>
      <w:bookmarkStart w:id="5" w:name="_tyjcwt" w:colFirst="0" w:colLast="0"/>
      <w:bookmarkEnd w:id="5"/>
      <w:r w:rsidRPr="002942DE">
        <w:rPr>
          <w:rFonts w:ascii="Arial" w:eastAsia="Arial" w:hAnsi="Arial" w:cs="Arial"/>
          <w:b/>
          <w:sz w:val="22"/>
          <w:szCs w:val="22"/>
        </w:rPr>
        <w:t>LEY DE GARANTÍAS ELECTORALES ‒ Excepciones</w:t>
      </w:r>
      <w:r w:rsidRPr="002942DE">
        <w:rPr>
          <w:rFonts w:ascii="Arial" w:eastAsia="Arial" w:hAnsi="Arial" w:cs="Arial"/>
          <w:sz w:val="22"/>
          <w:szCs w:val="22"/>
        </w:rPr>
        <w:t xml:space="preserve"> </w:t>
      </w:r>
    </w:p>
    <w:p w14:paraId="4F447D0F" w14:textId="77777777" w:rsidR="002942DE" w:rsidRPr="00A5537E" w:rsidRDefault="002942DE">
      <w:pPr>
        <w:shd w:val="clear" w:color="auto" w:fill="FFFFFF"/>
        <w:spacing w:after="0" w:line="240" w:lineRule="auto"/>
        <w:rPr>
          <w:rFonts w:ascii="Arial" w:eastAsia="Arial" w:hAnsi="Arial" w:cs="Arial"/>
          <w:sz w:val="20"/>
          <w:szCs w:val="20"/>
        </w:rPr>
      </w:pPr>
    </w:p>
    <w:p w14:paraId="25413AF1" w14:textId="77777777" w:rsidR="009E3AC0" w:rsidRPr="00A5537E" w:rsidRDefault="00622B0F">
      <w:pPr>
        <w:tabs>
          <w:tab w:val="left" w:pos="426"/>
        </w:tabs>
        <w:spacing w:after="0" w:line="240" w:lineRule="auto"/>
        <w:rPr>
          <w:rFonts w:ascii="Arial" w:eastAsia="Arial" w:hAnsi="Arial" w:cs="Arial"/>
          <w:sz w:val="20"/>
          <w:szCs w:val="20"/>
        </w:rPr>
      </w:pPr>
      <w:r w:rsidRPr="00A5537E">
        <w:rPr>
          <w:rFonts w:ascii="Arial" w:eastAsia="Arial" w:hAnsi="Arial" w:cs="Arial"/>
          <w:sz w:val="20"/>
          <w:szCs w:val="20"/>
        </w:rPr>
        <w:t>[…]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527F081D" w14:textId="77777777" w:rsidR="009E3AC0" w:rsidRPr="00A5537E" w:rsidRDefault="009E3AC0">
      <w:pPr>
        <w:tabs>
          <w:tab w:val="left" w:pos="426"/>
        </w:tabs>
        <w:spacing w:after="0" w:line="240" w:lineRule="auto"/>
        <w:rPr>
          <w:rFonts w:ascii="Arial" w:eastAsia="Arial" w:hAnsi="Arial" w:cs="Arial"/>
          <w:sz w:val="20"/>
          <w:szCs w:val="20"/>
        </w:rPr>
      </w:pPr>
    </w:p>
    <w:p w14:paraId="6E673532" w14:textId="77777777" w:rsidR="009E3AC0" w:rsidRPr="002942DE" w:rsidRDefault="00622B0F">
      <w:pPr>
        <w:spacing w:after="0" w:line="240" w:lineRule="auto"/>
        <w:rPr>
          <w:rFonts w:ascii="Arial" w:eastAsia="Arial" w:hAnsi="Arial" w:cs="Arial"/>
          <w:b/>
          <w:sz w:val="22"/>
          <w:szCs w:val="22"/>
        </w:rPr>
      </w:pPr>
      <w:bookmarkStart w:id="6" w:name="_3dy6vkm" w:colFirst="0" w:colLast="0"/>
      <w:bookmarkEnd w:id="6"/>
      <w:r w:rsidRPr="002942DE">
        <w:rPr>
          <w:rFonts w:ascii="Arial" w:eastAsia="Arial" w:hAnsi="Arial" w:cs="Arial"/>
          <w:b/>
          <w:sz w:val="22"/>
          <w:szCs w:val="22"/>
        </w:rPr>
        <w:t>LEY DE GARANTÍAS ELECTORALES ‒ Prohibición del artículo 33 de la Ley de garantías ‒ Destinatarios</w:t>
      </w:r>
    </w:p>
    <w:p w14:paraId="0870B840" w14:textId="77777777" w:rsidR="009E3AC0" w:rsidRPr="00A5537E" w:rsidRDefault="009E3AC0">
      <w:pPr>
        <w:tabs>
          <w:tab w:val="left" w:pos="426"/>
        </w:tabs>
        <w:spacing w:after="0" w:line="240" w:lineRule="auto"/>
        <w:rPr>
          <w:rFonts w:ascii="Arial" w:eastAsia="Arial" w:hAnsi="Arial" w:cs="Arial"/>
          <w:sz w:val="20"/>
          <w:szCs w:val="20"/>
        </w:rPr>
      </w:pPr>
    </w:p>
    <w:p w14:paraId="6759371B" w14:textId="77777777" w:rsidR="009E3AC0" w:rsidRPr="00A5537E" w:rsidRDefault="00622B0F">
      <w:pPr>
        <w:tabs>
          <w:tab w:val="left" w:pos="426"/>
        </w:tabs>
        <w:spacing w:after="0" w:line="240" w:lineRule="auto"/>
        <w:rPr>
          <w:rFonts w:ascii="Arial" w:eastAsia="Arial" w:hAnsi="Arial" w:cs="Arial"/>
          <w:sz w:val="20"/>
          <w:szCs w:val="20"/>
        </w:rPr>
      </w:pPr>
      <w:r w:rsidRPr="00A5537E">
        <w:rPr>
          <w:rFonts w:ascii="Arial" w:eastAsia="Arial" w:hAnsi="Arial" w:cs="Arial"/>
          <w:sz w:val="20"/>
          <w:szCs w:val="20"/>
        </w:rPr>
        <w:lastRenderedPageBreak/>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4A3E810" w14:textId="77777777" w:rsidR="009E3AC0" w:rsidRPr="002942DE" w:rsidRDefault="009E3AC0">
      <w:pPr>
        <w:tabs>
          <w:tab w:val="left" w:pos="426"/>
        </w:tabs>
        <w:spacing w:after="0" w:line="240" w:lineRule="auto"/>
        <w:rPr>
          <w:rFonts w:ascii="Arial" w:eastAsia="Arial" w:hAnsi="Arial" w:cs="Arial"/>
          <w:sz w:val="22"/>
          <w:szCs w:val="22"/>
        </w:rPr>
      </w:pPr>
    </w:p>
    <w:p w14:paraId="7F0AA52B" w14:textId="77777777" w:rsidR="009E3AC0" w:rsidRPr="002942DE" w:rsidRDefault="00622B0F">
      <w:pPr>
        <w:tabs>
          <w:tab w:val="left" w:pos="426"/>
        </w:tabs>
        <w:spacing w:after="0" w:line="240" w:lineRule="auto"/>
        <w:rPr>
          <w:rFonts w:ascii="Arial" w:eastAsia="Arial" w:hAnsi="Arial" w:cs="Arial"/>
          <w:b/>
          <w:sz w:val="22"/>
          <w:szCs w:val="22"/>
        </w:rPr>
      </w:pPr>
      <w:r w:rsidRPr="002942DE">
        <w:rPr>
          <w:rFonts w:ascii="Arial" w:eastAsia="Arial" w:hAnsi="Arial" w:cs="Arial"/>
          <w:b/>
          <w:sz w:val="22"/>
          <w:szCs w:val="22"/>
        </w:rPr>
        <w:t>LEY DE GARANTÍAS ELECTORALES ‒ Prohibición comicios cargos de elección popular – Convenios y contratos interadministrativos</w:t>
      </w:r>
    </w:p>
    <w:p w14:paraId="566F7062" w14:textId="77777777" w:rsidR="009E3AC0" w:rsidRPr="00A5537E" w:rsidRDefault="009E3AC0">
      <w:pPr>
        <w:tabs>
          <w:tab w:val="left" w:pos="426"/>
        </w:tabs>
        <w:spacing w:after="0" w:line="240" w:lineRule="auto"/>
        <w:rPr>
          <w:rFonts w:ascii="Arial" w:eastAsia="Arial" w:hAnsi="Arial" w:cs="Arial"/>
          <w:sz w:val="20"/>
          <w:szCs w:val="20"/>
        </w:rPr>
      </w:pPr>
    </w:p>
    <w:p w14:paraId="0C3752EB" w14:textId="77777777" w:rsidR="009E3AC0" w:rsidRPr="00A5537E" w:rsidRDefault="00622B0F">
      <w:pPr>
        <w:tabs>
          <w:tab w:val="left" w:pos="426"/>
        </w:tabs>
        <w:spacing w:after="0" w:line="240" w:lineRule="auto"/>
        <w:rPr>
          <w:rFonts w:ascii="Arial" w:eastAsia="Arial" w:hAnsi="Arial" w:cs="Arial"/>
          <w:sz w:val="20"/>
          <w:szCs w:val="20"/>
        </w:rPr>
      </w:pPr>
      <w:r w:rsidRPr="00A5537E">
        <w:rPr>
          <w:rFonts w:ascii="Arial" w:eastAsia="Arial"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4174C9C1" w14:textId="77777777" w:rsidR="009E3AC0" w:rsidRPr="002942DE" w:rsidRDefault="009E3AC0">
      <w:pPr>
        <w:spacing w:after="0" w:line="240" w:lineRule="auto"/>
        <w:rPr>
          <w:rFonts w:ascii="Arial" w:eastAsia="Arial" w:hAnsi="Arial" w:cs="Arial"/>
          <w:b/>
          <w:color w:val="000000"/>
          <w:sz w:val="22"/>
          <w:szCs w:val="22"/>
        </w:rPr>
      </w:pPr>
    </w:p>
    <w:p w14:paraId="386CB66C" w14:textId="77777777" w:rsidR="009E3AC0" w:rsidRPr="002942DE" w:rsidRDefault="00622B0F">
      <w:pPr>
        <w:spacing w:after="0" w:line="240" w:lineRule="auto"/>
        <w:rPr>
          <w:rFonts w:ascii="Arial" w:eastAsia="Arial" w:hAnsi="Arial" w:cs="Arial"/>
          <w:b/>
          <w:color w:val="000000"/>
          <w:sz w:val="22"/>
          <w:szCs w:val="22"/>
        </w:rPr>
      </w:pPr>
      <w:r w:rsidRPr="002942DE">
        <w:rPr>
          <w:rFonts w:ascii="Arial" w:eastAsia="Arial" w:hAnsi="Arial" w:cs="Arial"/>
          <w:b/>
          <w:color w:val="000000"/>
          <w:sz w:val="22"/>
          <w:szCs w:val="22"/>
        </w:rPr>
        <w:t xml:space="preserve">CONTRATOS Y CONVENIOS INTERADMINISTRATIVOS – Definición – Criterio orgánico </w:t>
      </w:r>
    </w:p>
    <w:p w14:paraId="3D9F27C0" w14:textId="77777777" w:rsidR="009E3AC0" w:rsidRPr="00A5537E" w:rsidRDefault="009E3AC0">
      <w:pPr>
        <w:spacing w:after="0" w:line="240" w:lineRule="auto"/>
        <w:rPr>
          <w:rFonts w:ascii="Arial" w:eastAsia="Arial" w:hAnsi="Arial" w:cs="Arial"/>
          <w:color w:val="000000"/>
          <w:sz w:val="20"/>
          <w:szCs w:val="20"/>
        </w:rPr>
      </w:pPr>
    </w:p>
    <w:p w14:paraId="1DC4B46A" w14:textId="77777777" w:rsidR="009E3AC0" w:rsidRPr="00A5537E" w:rsidRDefault="00622B0F">
      <w:pPr>
        <w:spacing w:after="0" w:line="240" w:lineRule="auto"/>
        <w:rPr>
          <w:rFonts w:ascii="Arial" w:eastAsia="Arial" w:hAnsi="Arial" w:cs="Arial"/>
          <w:color w:val="000000"/>
          <w:sz w:val="20"/>
          <w:szCs w:val="20"/>
        </w:rPr>
      </w:pPr>
      <w:r w:rsidRPr="00A5537E">
        <w:rPr>
          <w:rFonts w:ascii="Arial" w:eastAsia="Arial" w:hAnsi="Arial" w:cs="Arial"/>
          <w:color w:val="000000"/>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1E49FACF" w14:textId="77777777" w:rsidR="009E3AC0" w:rsidRPr="00A5537E" w:rsidRDefault="009E3AC0">
      <w:pPr>
        <w:spacing w:after="0" w:line="240" w:lineRule="auto"/>
        <w:rPr>
          <w:rFonts w:ascii="Arial" w:eastAsia="Arial" w:hAnsi="Arial" w:cs="Arial"/>
          <w:color w:val="000000"/>
          <w:sz w:val="20"/>
          <w:szCs w:val="20"/>
        </w:rPr>
      </w:pPr>
    </w:p>
    <w:p w14:paraId="1727A8CD" w14:textId="77777777" w:rsidR="009E3AC0" w:rsidRPr="002942DE" w:rsidRDefault="00622B0F">
      <w:pPr>
        <w:spacing w:after="0" w:line="240" w:lineRule="auto"/>
        <w:rPr>
          <w:rFonts w:ascii="Arial" w:eastAsia="Arial" w:hAnsi="Arial" w:cs="Arial"/>
          <w:b/>
          <w:color w:val="000000"/>
          <w:sz w:val="22"/>
          <w:szCs w:val="22"/>
        </w:rPr>
      </w:pPr>
      <w:bookmarkStart w:id="7" w:name="_1t3h5sf" w:colFirst="0" w:colLast="0"/>
      <w:bookmarkEnd w:id="7"/>
      <w:r w:rsidRPr="002942DE">
        <w:rPr>
          <w:rFonts w:ascii="Arial" w:eastAsia="Arial" w:hAnsi="Arial" w:cs="Arial"/>
          <w:b/>
          <w:color w:val="000000"/>
          <w:sz w:val="22"/>
          <w:szCs w:val="22"/>
        </w:rPr>
        <w:t>CONTRATOS Y CONVENIOS INTERADMINISTRATIVOS – Entidades con régimen especial de contratación – Procedencia</w:t>
      </w:r>
    </w:p>
    <w:p w14:paraId="67836C87" w14:textId="77777777" w:rsidR="009E3AC0" w:rsidRPr="00A5537E" w:rsidRDefault="009E3AC0">
      <w:pPr>
        <w:spacing w:after="0" w:line="240" w:lineRule="auto"/>
        <w:rPr>
          <w:rFonts w:ascii="Arial" w:eastAsia="Arial" w:hAnsi="Arial" w:cs="Arial"/>
          <w:color w:val="000000"/>
          <w:sz w:val="20"/>
          <w:szCs w:val="20"/>
        </w:rPr>
      </w:pPr>
    </w:p>
    <w:p w14:paraId="37E76FC1" w14:textId="77777777" w:rsidR="009E3AC0" w:rsidRPr="00A5537E" w:rsidRDefault="00622B0F">
      <w:pPr>
        <w:tabs>
          <w:tab w:val="left" w:pos="426"/>
        </w:tabs>
        <w:spacing w:after="0" w:line="240" w:lineRule="auto"/>
        <w:rPr>
          <w:rFonts w:ascii="Arial" w:eastAsia="Arial" w:hAnsi="Arial" w:cs="Arial"/>
          <w:sz w:val="20"/>
          <w:szCs w:val="20"/>
        </w:rPr>
      </w:pPr>
      <w:r w:rsidRPr="00A5537E">
        <w:rPr>
          <w:rFonts w:ascii="Arial" w:eastAsia="Arial" w:hAnsi="Arial" w:cs="Arial"/>
          <w:color w:val="000000"/>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44B70A7E" w14:textId="77777777" w:rsidR="009E3AC0" w:rsidRPr="002942DE" w:rsidRDefault="009E3AC0">
      <w:pPr>
        <w:spacing w:after="0" w:line="240" w:lineRule="auto"/>
        <w:rPr>
          <w:rFonts w:ascii="Arial" w:eastAsia="Arial" w:hAnsi="Arial" w:cs="Arial"/>
          <w:b/>
          <w:color w:val="000000"/>
          <w:sz w:val="22"/>
          <w:szCs w:val="22"/>
        </w:rPr>
      </w:pPr>
    </w:p>
    <w:p w14:paraId="3D1A5346" w14:textId="77777777" w:rsidR="009E3AC0" w:rsidRPr="002942DE" w:rsidRDefault="00622B0F">
      <w:pPr>
        <w:spacing w:after="0" w:line="240" w:lineRule="auto"/>
        <w:rPr>
          <w:rFonts w:ascii="Arial" w:eastAsia="Arial" w:hAnsi="Arial" w:cs="Arial"/>
          <w:b/>
          <w:color w:val="000000"/>
          <w:sz w:val="22"/>
          <w:szCs w:val="22"/>
        </w:rPr>
      </w:pPr>
      <w:r w:rsidRPr="002942DE">
        <w:rPr>
          <w:rFonts w:ascii="Arial" w:eastAsia="Arial" w:hAnsi="Arial" w:cs="Arial"/>
          <w:b/>
          <w:color w:val="000000"/>
          <w:sz w:val="22"/>
          <w:szCs w:val="22"/>
        </w:rPr>
        <w:t>CONTRATOS Y CONVENIOS INTERADMINISTRATIVOS – Modalidad de selección</w:t>
      </w:r>
    </w:p>
    <w:p w14:paraId="35F9738E" w14:textId="77777777" w:rsidR="009E3AC0" w:rsidRPr="00A5537E" w:rsidRDefault="009E3AC0">
      <w:pPr>
        <w:spacing w:after="0" w:line="240" w:lineRule="auto"/>
        <w:rPr>
          <w:rFonts w:ascii="Arial" w:eastAsia="Arial" w:hAnsi="Arial" w:cs="Arial"/>
          <w:b/>
          <w:color w:val="000000"/>
          <w:sz w:val="20"/>
          <w:szCs w:val="20"/>
        </w:rPr>
      </w:pPr>
    </w:p>
    <w:p w14:paraId="3DD2E13B" w14:textId="77777777" w:rsidR="009E3AC0" w:rsidRPr="00A5537E" w:rsidRDefault="00622B0F">
      <w:pPr>
        <w:spacing w:after="0" w:line="240" w:lineRule="auto"/>
        <w:rPr>
          <w:rFonts w:ascii="Arial" w:eastAsia="Arial" w:hAnsi="Arial" w:cs="Arial"/>
          <w:color w:val="000000"/>
          <w:sz w:val="20"/>
          <w:szCs w:val="20"/>
        </w:rPr>
      </w:pPr>
      <w:r w:rsidRPr="00A5537E">
        <w:rPr>
          <w:rFonts w:ascii="Arial" w:eastAsia="Arial" w:hAnsi="Arial" w:cs="Arial"/>
          <w:color w:val="000000"/>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5E177BAF" w14:textId="77777777" w:rsidR="009E3AC0" w:rsidRPr="00A5537E" w:rsidRDefault="009E3AC0">
      <w:pPr>
        <w:spacing w:after="0" w:line="240" w:lineRule="auto"/>
        <w:rPr>
          <w:rFonts w:ascii="Arial" w:eastAsia="Arial" w:hAnsi="Arial" w:cs="Arial"/>
          <w:color w:val="000000"/>
          <w:sz w:val="20"/>
          <w:szCs w:val="20"/>
        </w:rPr>
      </w:pPr>
    </w:p>
    <w:p w14:paraId="45F0CDF4" w14:textId="77777777" w:rsidR="009E3AC0" w:rsidRPr="002942DE" w:rsidRDefault="00622B0F">
      <w:pPr>
        <w:tabs>
          <w:tab w:val="left" w:pos="426"/>
        </w:tabs>
        <w:spacing w:after="0" w:line="240" w:lineRule="auto"/>
        <w:rPr>
          <w:rFonts w:ascii="Arial" w:eastAsia="Arial" w:hAnsi="Arial" w:cs="Arial"/>
          <w:b/>
          <w:sz w:val="22"/>
          <w:szCs w:val="22"/>
        </w:rPr>
      </w:pPr>
      <w:bookmarkStart w:id="8" w:name="_4d34og8" w:colFirst="0" w:colLast="0"/>
      <w:bookmarkEnd w:id="8"/>
      <w:r w:rsidRPr="002942DE">
        <w:rPr>
          <w:rFonts w:ascii="Arial" w:eastAsia="Arial" w:hAnsi="Arial" w:cs="Arial"/>
          <w:b/>
          <w:sz w:val="22"/>
          <w:szCs w:val="22"/>
        </w:rPr>
        <w:lastRenderedPageBreak/>
        <w:t xml:space="preserve">LEY DE GARANTÍAS ELECTORALES – Prohibición – Celebración convenios o contratos interadministrativos – Orden judicial </w:t>
      </w:r>
    </w:p>
    <w:p w14:paraId="4219DA43" w14:textId="77777777" w:rsidR="009E3AC0" w:rsidRPr="00A5537E" w:rsidRDefault="009E3AC0">
      <w:pPr>
        <w:spacing w:after="0" w:line="240" w:lineRule="auto"/>
        <w:rPr>
          <w:rFonts w:ascii="Arial" w:eastAsia="Arial" w:hAnsi="Arial" w:cs="Arial"/>
          <w:sz w:val="20"/>
          <w:szCs w:val="20"/>
        </w:rPr>
      </w:pPr>
    </w:p>
    <w:p w14:paraId="74D72742" w14:textId="77777777" w:rsidR="009E3AC0" w:rsidRPr="00A5537E" w:rsidRDefault="00622B0F">
      <w:pPr>
        <w:spacing w:after="0" w:line="240" w:lineRule="auto"/>
        <w:rPr>
          <w:rFonts w:ascii="Arial" w:eastAsia="Arial" w:hAnsi="Arial" w:cs="Arial"/>
          <w:sz w:val="20"/>
          <w:szCs w:val="20"/>
        </w:rPr>
      </w:pPr>
      <w:r w:rsidRPr="00A5537E">
        <w:rPr>
          <w:rFonts w:ascii="Arial" w:eastAsia="Arial" w:hAnsi="Arial" w:cs="Arial"/>
          <w:sz w:val="20"/>
          <w:szCs w:val="20"/>
        </w:rPr>
        <w:t xml:space="preserv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 </w:t>
      </w:r>
    </w:p>
    <w:p w14:paraId="7D0A16E5" w14:textId="77777777" w:rsidR="009E3AC0" w:rsidRPr="00A5537E" w:rsidRDefault="009E3AC0">
      <w:pPr>
        <w:spacing w:after="0" w:line="240" w:lineRule="auto"/>
        <w:rPr>
          <w:rFonts w:ascii="Arial" w:eastAsia="Arial" w:hAnsi="Arial" w:cs="Arial"/>
          <w:sz w:val="20"/>
          <w:szCs w:val="20"/>
        </w:rPr>
      </w:pPr>
    </w:p>
    <w:p w14:paraId="071D3C37" w14:textId="77777777" w:rsidR="009E3AC0" w:rsidRPr="002942DE" w:rsidRDefault="00622B0F">
      <w:pPr>
        <w:spacing w:after="0" w:line="240" w:lineRule="auto"/>
        <w:rPr>
          <w:rFonts w:ascii="Arial" w:eastAsia="Arial" w:hAnsi="Arial" w:cs="Arial"/>
          <w:b/>
          <w:sz w:val="22"/>
          <w:szCs w:val="22"/>
        </w:rPr>
      </w:pPr>
      <w:r w:rsidRPr="002942DE">
        <w:rPr>
          <w:rFonts w:ascii="Arial" w:eastAsia="Arial" w:hAnsi="Arial" w:cs="Arial"/>
          <w:b/>
          <w:sz w:val="22"/>
          <w:szCs w:val="22"/>
        </w:rPr>
        <w:t>MODIFICACIÓN DE LA LEY 2159 DE 2021 – Ley Anual de Presupuesto - parágrafo del artículo 38 de la Ley de Garantías – transitoriedad</w:t>
      </w:r>
    </w:p>
    <w:p w14:paraId="079BC88D" w14:textId="77777777" w:rsidR="009E3AC0" w:rsidRPr="00A5537E" w:rsidRDefault="009E3AC0">
      <w:pPr>
        <w:spacing w:after="0" w:line="240" w:lineRule="auto"/>
        <w:rPr>
          <w:rFonts w:ascii="Arial" w:eastAsia="Arial" w:hAnsi="Arial" w:cs="Arial"/>
          <w:b/>
          <w:sz w:val="20"/>
          <w:szCs w:val="20"/>
        </w:rPr>
      </w:pPr>
    </w:p>
    <w:p w14:paraId="7E697008" w14:textId="77777777" w:rsidR="009E3AC0" w:rsidRPr="00A5537E" w:rsidRDefault="00622B0F">
      <w:pPr>
        <w:shd w:val="clear" w:color="auto" w:fill="FFFFFF"/>
        <w:spacing w:after="0" w:line="240" w:lineRule="auto"/>
        <w:rPr>
          <w:rFonts w:ascii="Arial" w:eastAsia="Arial" w:hAnsi="Arial" w:cs="Arial"/>
          <w:sz w:val="20"/>
          <w:szCs w:val="20"/>
        </w:rPr>
      </w:pPr>
      <w:r w:rsidRPr="00A5537E">
        <w:rPr>
          <w:rFonts w:ascii="Arial" w:eastAsia="Arial" w:hAnsi="Arial" w:cs="Arial"/>
          <w:sz w:val="20"/>
          <w:szCs w:val="20"/>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2DFBE68F" w14:textId="77777777" w:rsidR="009E3AC0" w:rsidRPr="00A5537E" w:rsidRDefault="009E3AC0">
      <w:pPr>
        <w:shd w:val="clear" w:color="auto" w:fill="FFFFFF"/>
        <w:spacing w:after="0" w:line="240" w:lineRule="auto"/>
        <w:rPr>
          <w:rFonts w:ascii="Arial" w:eastAsia="Arial" w:hAnsi="Arial" w:cs="Arial"/>
          <w:sz w:val="20"/>
          <w:szCs w:val="20"/>
        </w:rPr>
      </w:pPr>
    </w:p>
    <w:p w14:paraId="33C8B4F9" w14:textId="77777777" w:rsidR="009E3AC0" w:rsidRPr="002942DE" w:rsidRDefault="00622B0F">
      <w:pPr>
        <w:spacing w:after="0" w:line="240" w:lineRule="auto"/>
        <w:rPr>
          <w:rFonts w:ascii="Arial" w:eastAsia="Arial" w:hAnsi="Arial" w:cs="Arial"/>
          <w:b/>
          <w:sz w:val="22"/>
          <w:szCs w:val="22"/>
        </w:rPr>
      </w:pPr>
      <w:r w:rsidRPr="002942DE">
        <w:rPr>
          <w:rFonts w:ascii="Arial" w:eastAsia="Arial" w:hAnsi="Arial" w:cs="Arial"/>
          <w:b/>
          <w:sz w:val="22"/>
          <w:szCs w:val="22"/>
        </w:rPr>
        <w:t>MODIFICACIÓN DE LA LEY 2159 DE 2021 – Ley Anual de Presupuesto - parágrafo del artículo 38 de la Ley de Garantías</w:t>
      </w:r>
    </w:p>
    <w:p w14:paraId="35D370B3" w14:textId="77777777" w:rsidR="009E3AC0" w:rsidRPr="00A5537E" w:rsidRDefault="009E3AC0">
      <w:pPr>
        <w:spacing w:after="0" w:line="240" w:lineRule="auto"/>
        <w:rPr>
          <w:rFonts w:ascii="Arial" w:eastAsia="Arial" w:hAnsi="Arial" w:cs="Arial"/>
          <w:sz w:val="20"/>
          <w:szCs w:val="20"/>
        </w:rPr>
      </w:pPr>
    </w:p>
    <w:p w14:paraId="0B975E5E" w14:textId="77777777" w:rsidR="009E3AC0" w:rsidRPr="00A5537E" w:rsidRDefault="00622B0F">
      <w:pPr>
        <w:shd w:val="clear" w:color="auto" w:fill="FFFFFF"/>
        <w:spacing w:after="0" w:line="240" w:lineRule="auto"/>
        <w:rPr>
          <w:rFonts w:ascii="Arial" w:eastAsia="Arial" w:hAnsi="Arial" w:cs="Arial"/>
          <w:sz w:val="20"/>
          <w:szCs w:val="20"/>
        </w:rPr>
      </w:pPr>
      <w:r w:rsidRPr="00A5537E">
        <w:rPr>
          <w:rFonts w:ascii="Arial" w:eastAsia="Arial" w:hAnsi="Arial" w:cs="Arial"/>
          <w:sz w:val="20"/>
          <w:szCs w:val="20"/>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490BFFBC" w14:textId="77777777" w:rsidR="009E3AC0" w:rsidRPr="00A5537E" w:rsidRDefault="009E3AC0">
      <w:pPr>
        <w:shd w:val="clear" w:color="auto" w:fill="FFFFFF"/>
        <w:spacing w:after="0" w:line="240" w:lineRule="auto"/>
        <w:rPr>
          <w:rFonts w:ascii="Arial" w:eastAsia="Arial" w:hAnsi="Arial" w:cs="Arial"/>
          <w:sz w:val="20"/>
          <w:szCs w:val="20"/>
        </w:rPr>
      </w:pPr>
    </w:p>
    <w:p w14:paraId="6C5EA2FD" w14:textId="77777777" w:rsidR="009E3AC0" w:rsidRPr="002942DE" w:rsidRDefault="00622B0F">
      <w:pPr>
        <w:spacing w:after="0" w:line="240" w:lineRule="auto"/>
        <w:rPr>
          <w:rFonts w:ascii="Arial" w:eastAsia="Arial" w:hAnsi="Arial" w:cs="Arial"/>
          <w:b/>
          <w:sz w:val="22"/>
          <w:szCs w:val="22"/>
        </w:rPr>
      </w:pPr>
      <w:r w:rsidRPr="002942DE">
        <w:rPr>
          <w:rFonts w:ascii="Arial" w:eastAsia="Arial" w:hAnsi="Arial" w:cs="Arial"/>
          <w:b/>
          <w:sz w:val="22"/>
          <w:szCs w:val="22"/>
        </w:rPr>
        <w:t>MODIFICACIÓN DE LA LEY 2159 DE 2021 – Ley Anual de Presupuesto - parágrafo del artículo 38 de la Ley de Garantías – Nación – entidades descentralizadas</w:t>
      </w:r>
    </w:p>
    <w:p w14:paraId="059FBFFF" w14:textId="77777777" w:rsidR="009E3AC0" w:rsidRPr="00A5537E" w:rsidRDefault="009E3AC0">
      <w:pPr>
        <w:spacing w:after="0" w:line="240" w:lineRule="auto"/>
        <w:rPr>
          <w:rFonts w:ascii="Arial" w:eastAsia="Arial" w:hAnsi="Arial" w:cs="Arial"/>
          <w:sz w:val="20"/>
          <w:szCs w:val="20"/>
        </w:rPr>
      </w:pPr>
    </w:p>
    <w:p w14:paraId="5C954552" w14:textId="77777777" w:rsidR="009E3AC0" w:rsidRPr="00A5537E" w:rsidRDefault="00622B0F">
      <w:pPr>
        <w:spacing w:after="0" w:line="240" w:lineRule="auto"/>
        <w:rPr>
          <w:rFonts w:ascii="Arial" w:eastAsia="Arial" w:hAnsi="Arial" w:cs="Arial"/>
          <w:sz w:val="20"/>
          <w:szCs w:val="20"/>
        </w:rPr>
      </w:pPr>
      <w:r w:rsidRPr="00A5537E">
        <w:rPr>
          <w:rFonts w:ascii="Arial" w:eastAsia="Arial" w:hAnsi="Arial" w:cs="Arial"/>
          <w:sz w:val="20"/>
          <w:szCs w:val="20"/>
        </w:rPr>
        <w:t xml:space="preserv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 les cuentan con capacidad para celebrar contratos en nombre de ella, pues comparten su personería jurídica. En caso contrario, esto es, </w:t>
      </w:r>
      <w:r w:rsidRPr="00A5537E">
        <w:rPr>
          <w:rFonts w:ascii="Arial" w:eastAsia="Arial" w:hAnsi="Arial" w:cs="Arial"/>
          <w:sz w:val="20"/>
          <w:szCs w:val="20"/>
        </w:rPr>
        <w:lastRenderedPageBreak/>
        <w:t>cuando la entidad tenga personería jurídica propia y, por tanto, no celebre contratos en nombre de la Nación, permanecerá incólume la prohibición establecida en el parágrafo del artículo 38 de la Ley de Garantías Electorales.</w:t>
      </w:r>
    </w:p>
    <w:p w14:paraId="659130A8" w14:textId="77777777" w:rsidR="009E3AC0" w:rsidRPr="00A5537E" w:rsidRDefault="009E3AC0">
      <w:pPr>
        <w:spacing w:after="0" w:line="240" w:lineRule="auto"/>
        <w:rPr>
          <w:rFonts w:ascii="Arial" w:eastAsia="Arial" w:hAnsi="Arial" w:cs="Arial"/>
          <w:sz w:val="20"/>
          <w:szCs w:val="20"/>
        </w:rPr>
      </w:pPr>
    </w:p>
    <w:p w14:paraId="0E047D05" w14:textId="05F42E92" w:rsidR="009E3AC0" w:rsidRPr="00A5537E" w:rsidRDefault="00622B0F" w:rsidP="00A5537E">
      <w:pPr>
        <w:spacing w:after="0" w:line="240" w:lineRule="auto"/>
        <w:rPr>
          <w:rFonts w:ascii="Arial" w:eastAsia="Arial" w:hAnsi="Arial" w:cs="Arial"/>
          <w:b/>
          <w:sz w:val="22"/>
          <w:szCs w:val="22"/>
        </w:rPr>
      </w:pPr>
      <w:r w:rsidRPr="00A5537E">
        <w:rPr>
          <w:rFonts w:ascii="Arial" w:eastAsia="Arial" w:hAnsi="Arial" w:cs="Arial"/>
          <w:b/>
          <w:sz w:val="22"/>
          <w:szCs w:val="22"/>
        </w:rPr>
        <w:t xml:space="preserve">MODIFICACIÓN DE LA LEY 2159 DE 2021 – Entidades territoriales </w:t>
      </w:r>
    </w:p>
    <w:p w14:paraId="5D3CD014" w14:textId="77777777" w:rsidR="009E3AC0" w:rsidRPr="00A5537E" w:rsidRDefault="009E3AC0" w:rsidP="00A5537E">
      <w:pPr>
        <w:spacing w:after="0" w:line="240" w:lineRule="auto"/>
        <w:rPr>
          <w:rFonts w:ascii="Arial" w:eastAsia="Arial" w:hAnsi="Arial" w:cs="Arial"/>
          <w:sz w:val="22"/>
          <w:szCs w:val="22"/>
        </w:rPr>
      </w:pPr>
    </w:p>
    <w:p w14:paraId="38DBBED0" w14:textId="2A431A55" w:rsidR="00A5537E" w:rsidRPr="00A5537E" w:rsidRDefault="00A5537E" w:rsidP="00A5537E">
      <w:pPr>
        <w:shd w:val="clear" w:color="auto" w:fill="FFFFFF"/>
        <w:spacing w:after="0" w:line="240" w:lineRule="auto"/>
        <w:rPr>
          <w:rFonts w:ascii="Arial" w:eastAsia="Arial" w:hAnsi="Arial" w:cs="Arial"/>
          <w:sz w:val="20"/>
          <w:szCs w:val="20"/>
        </w:rPr>
      </w:pPr>
      <w:r w:rsidRPr="00A5537E">
        <w:rPr>
          <w:rFonts w:ascii="Arial" w:eastAsia="Arial" w:hAnsi="Arial" w:cs="Arial"/>
          <w:sz w:val="20"/>
          <w:szCs w:val="20"/>
        </w:rPr>
        <w:t>[…] la administración territorial también está compuesta por entidades tanto del nivel central como descentralizado y estas últimas pueden ser producto o bien de la descentralización directa o de primer nivel o de la de segundo nivel o indirecta. Sin embargo, en la medida que la norma del artículo 124 de la Ley 2159 de 2021 no diferencia ni se refiere expresamente a las entidades descentralizadas del orden territorial,</w:t>
      </w:r>
      <w:r>
        <w:rPr>
          <w:rFonts w:ascii="Arial" w:eastAsia="Arial" w:hAnsi="Arial" w:cs="Arial"/>
          <w:sz w:val="20"/>
          <w:szCs w:val="20"/>
        </w:rPr>
        <w:t xml:space="preserve"> […] </w:t>
      </w:r>
      <w:r w:rsidRPr="00A5537E">
        <w:rPr>
          <w:rFonts w:ascii="Arial" w:eastAsia="Arial" w:hAnsi="Arial" w:cs="Arial"/>
          <w:sz w:val="20"/>
          <w:szCs w:val="20"/>
        </w:rPr>
        <w:t xml:space="preserve">debe entenderse que la expresión «entidades territoriales» contenida en dicha disposición, incluye únicamente a las establecidas en el artículo 286 de la Constitución Política, que prescribe: «Son entidades territoriales los departamentos, los distritos, los municipios y los territorios indígenas». Lo anterior también se fundamenta en que el artículo 124 realiza una excepción a una prohibición, por lo que corresponde realizar una interpretación estricta. De esta manera, es importante tener en cuenta que en el contexto del parágrafo del artículo 38 de la Ley 996 de 2005, la prohibición se encuentra dirigida a: «Los gobernadores, alcaldes municipales y/o distritales, secretarios, gerentes y directores de entidades descentralizadas del orden municipal, departamental o distrital»; pese a ello, el artículo 124 de la Ley 2159 únicamente opta por incluir en la excepción a las «entidades territoriales», sin hacer referencia a las entidades descentralizadas. Incluso, resulta importante destacar cómo la misma Ley 2159 de 2021 en otras disposiciones opta por incluir expresamente a las entidades descentralizadas del orden territorial como parte del ámbito de aplicación de su contenido normativo, lo que no sucede con el artículo 124. Adicionalmente, los elementos anteriores respaldan el argumento de acudir al artículo 286 de la Constitución, para efectos de interpretar el concepto de «entidades territoriales». </w:t>
      </w:r>
    </w:p>
    <w:p w14:paraId="15607696" w14:textId="77777777" w:rsidR="009E3AC0" w:rsidRPr="00A5537E" w:rsidRDefault="009E3AC0">
      <w:pPr>
        <w:spacing w:after="0" w:line="240" w:lineRule="auto"/>
        <w:rPr>
          <w:rFonts w:ascii="Arial" w:eastAsia="Arial" w:hAnsi="Arial" w:cs="Arial"/>
          <w:b/>
          <w:sz w:val="20"/>
          <w:szCs w:val="20"/>
        </w:rPr>
      </w:pPr>
    </w:p>
    <w:p w14:paraId="30B21004" w14:textId="77777777" w:rsidR="009E3AC0" w:rsidRPr="002942DE" w:rsidRDefault="00622B0F">
      <w:pPr>
        <w:spacing w:after="0" w:line="240" w:lineRule="auto"/>
        <w:rPr>
          <w:rFonts w:ascii="Arial" w:eastAsia="Arial" w:hAnsi="Arial" w:cs="Arial"/>
          <w:b/>
          <w:sz w:val="22"/>
          <w:szCs w:val="22"/>
        </w:rPr>
      </w:pPr>
      <w:r w:rsidRPr="002942DE">
        <w:rPr>
          <w:rFonts w:ascii="Arial" w:eastAsia="Arial" w:hAnsi="Arial" w:cs="Arial"/>
          <w:b/>
          <w:sz w:val="22"/>
          <w:szCs w:val="22"/>
        </w:rPr>
        <w:t>MODIFICACIÓN DE LA LEY 2159 DE 2021 – Ley Anual de Presupuesto - parágrafo del artículo 38 de la Ley de Garantías – gastos de inversión - proyectos y programas de inversión – Plan Nacional de Desarrollo</w:t>
      </w:r>
    </w:p>
    <w:p w14:paraId="3A1D3F49" w14:textId="77777777" w:rsidR="009E3AC0" w:rsidRPr="00A5537E" w:rsidRDefault="009E3AC0">
      <w:pPr>
        <w:spacing w:after="0" w:line="240" w:lineRule="auto"/>
        <w:rPr>
          <w:rFonts w:ascii="Arial" w:eastAsia="Arial" w:hAnsi="Arial" w:cs="Arial"/>
          <w:b/>
          <w:sz w:val="20"/>
          <w:szCs w:val="20"/>
        </w:rPr>
      </w:pPr>
    </w:p>
    <w:p w14:paraId="0F119CD7" w14:textId="77777777" w:rsidR="009E3AC0" w:rsidRPr="00A5537E" w:rsidRDefault="00622B0F">
      <w:pPr>
        <w:shd w:val="clear" w:color="auto" w:fill="FFFFFF"/>
        <w:spacing w:after="0" w:line="240" w:lineRule="auto"/>
        <w:rPr>
          <w:rFonts w:ascii="Arial" w:eastAsia="Arial" w:hAnsi="Arial" w:cs="Arial"/>
          <w:sz w:val="20"/>
          <w:szCs w:val="20"/>
        </w:rPr>
      </w:pPr>
      <w:r w:rsidRPr="00A5537E">
        <w:rPr>
          <w:rFonts w:ascii="Arial" w:eastAsia="Arial" w:hAnsi="Arial" w:cs="Arial"/>
          <w:sz w:val="20"/>
          <w:szCs w:val="20"/>
        </w:rPr>
        <w:t>En lo que respecta al elemento teleológico o material de la reforma incluida en el artículo 124 de la  2159 de 2021, consistente en que los convenios sean celebrados con el fin de ejecutar programas o proyectos que correspondan al Presupuesto General de la Nación, […] partiendo de las consideraciones contenidas en el acápite 2.5. del presente concepto y dados en relación con la estructura y contenido de la ley anual del presupuesto general de la Nación, […]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31BAA0A6" w14:textId="77777777" w:rsidR="009E3AC0" w:rsidRPr="00A5537E" w:rsidRDefault="009E3AC0">
      <w:pPr>
        <w:shd w:val="clear" w:color="auto" w:fill="FFFFFF"/>
        <w:spacing w:after="0"/>
        <w:rPr>
          <w:rFonts w:ascii="Arial" w:eastAsia="Arial" w:hAnsi="Arial" w:cs="Arial"/>
          <w:b/>
          <w:sz w:val="22"/>
          <w:szCs w:val="22"/>
        </w:rPr>
      </w:pPr>
    </w:p>
    <w:p w14:paraId="5FB1D127" w14:textId="77777777" w:rsidR="009E3AC0" w:rsidRPr="00A5537E" w:rsidRDefault="00622B0F">
      <w:pPr>
        <w:rPr>
          <w:rFonts w:ascii="Arial" w:eastAsia="Arial" w:hAnsi="Arial" w:cs="Arial"/>
          <w:b/>
          <w:sz w:val="22"/>
          <w:szCs w:val="22"/>
        </w:rPr>
      </w:pPr>
      <w:r w:rsidRPr="00A5537E">
        <w:br w:type="page"/>
      </w:r>
    </w:p>
    <w:p w14:paraId="43B19EA2" w14:textId="2C377327" w:rsidR="009E3AC0" w:rsidRPr="00A5537E" w:rsidRDefault="00976C8A" w:rsidP="00976C8A">
      <w:pPr>
        <w:spacing w:after="0"/>
        <w:jc w:val="right"/>
        <w:rPr>
          <w:rFonts w:ascii="Arial" w:eastAsia="Arial" w:hAnsi="Arial" w:cs="Arial"/>
          <w:b/>
          <w:sz w:val="22"/>
          <w:szCs w:val="22"/>
        </w:rPr>
      </w:pPr>
      <w:r>
        <w:rPr>
          <w:noProof/>
        </w:rPr>
        <w:lastRenderedPageBreak/>
        <w:drawing>
          <wp:inline distT="0" distB="0" distL="0" distR="0" wp14:anchorId="66496992" wp14:editId="03565CE0">
            <wp:extent cx="2686050" cy="1171575"/>
            <wp:effectExtent l="0" t="0" r="0" b="9525"/>
            <wp:docPr id="5" name="Imagen 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10;&#10;Descripción generada automáticamente"/>
                    <pic:cNvPicPr/>
                  </pic:nvPicPr>
                  <pic:blipFill>
                    <a:blip r:embed="rId9"/>
                    <a:stretch>
                      <a:fillRect/>
                    </a:stretch>
                  </pic:blipFill>
                  <pic:spPr>
                    <a:xfrm>
                      <a:off x="0" y="0"/>
                      <a:ext cx="2686050" cy="1171575"/>
                    </a:xfrm>
                    <a:prstGeom prst="rect">
                      <a:avLst/>
                    </a:prstGeom>
                  </pic:spPr>
                </pic:pic>
              </a:graphicData>
            </a:graphic>
          </wp:inline>
        </w:drawing>
      </w:r>
    </w:p>
    <w:p w14:paraId="23CCCDFE" w14:textId="77777777" w:rsidR="009E3AC0" w:rsidRPr="00A5537E" w:rsidRDefault="009E3AC0">
      <w:pPr>
        <w:tabs>
          <w:tab w:val="left" w:pos="3374"/>
        </w:tabs>
        <w:spacing w:after="0"/>
        <w:rPr>
          <w:rFonts w:ascii="Arial" w:eastAsia="Arial" w:hAnsi="Arial" w:cs="Arial"/>
          <w:sz w:val="22"/>
          <w:szCs w:val="22"/>
        </w:rPr>
      </w:pPr>
      <w:bookmarkStart w:id="9" w:name="_2s8eyo1" w:colFirst="0" w:colLast="0"/>
      <w:bookmarkEnd w:id="9"/>
    </w:p>
    <w:p w14:paraId="24EE5354" w14:textId="40AAB3B4" w:rsidR="009E3AC0" w:rsidRDefault="00976C8A">
      <w:pPr>
        <w:spacing w:after="0"/>
        <w:rPr>
          <w:rFonts w:ascii="Arial" w:hAnsi="Arial" w:cs="Arial"/>
          <w:color w:val="4E4D4D"/>
          <w:sz w:val="22"/>
          <w:szCs w:val="22"/>
          <w:lang w:val="es-CO"/>
        </w:rPr>
      </w:pPr>
      <w:r>
        <w:rPr>
          <w:rFonts w:ascii="Arial" w:hAnsi="Arial" w:cs="Arial"/>
          <w:color w:val="4E4D4D"/>
          <w:sz w:val="22"/>
          <w:szCs w:val="22"/>
          <w:lang w:val="es-CO"/>
        </w:rPr>
        <w:t xml:space="preserve">Bogotá, 31 </w:t>
      </w:r>
      <w:proofErr w:type="gramStart"/>
      <w:r>
        <w:rPr>
          <w:rFonts w:ascii="Arial" w:hAnsi="Arial" w:cs="Arial"/>
          <w:color w:val="4E4D4D"/>
          <w:sz w:val="22"/>
          <w:szCs w:val="22"/>
          <w:lang w:val="es-CO"/>
        </w:rPr>
        <w:t>Enero</w:t>
      </w:r>
      <w:proofErr w:type="gramEnd"/>
      <w:r>
        <w:rPr>
          <w:rFonts w:ascii="Arial" w:hAnsi="Arial" w:cs="Arial"/>
          <w:color w:val="4E4D4D"/>
          <w:sz w:val="22"/>
          <w:szCs w:val="22"/>
          <w:lang w:val="es-CO"/>
        </w:rPr>
        <w:t xml:space="preserve"> 2022</w:t>
      </w:r>
    </w:p>
    <w:p w14:paraId="6FBCD821" w14:textId="77777777" w:rsidR="00976C8A" w:rsidRPr="00A5537E" w:rsidRDefault="00976C8A">
      <w:pPr>
        <w:spacing w:after="0"/>
        <w:rPr>
          <w:rFonts w:ascii="Arial" w:eastAsia="Arial" w:hAnsi="Arial" w:cs="Arial"/>
          <w:sz w:val="22"/>
          <w:szCs w:val="22"/>
        </w:rPr>
      </w:pPr>
    </w:p>
    <w:p w14:paraId="65FF85AB" w14:textId="77777777" w:rsidR="009E3AC0" w:rsidRPr="00A5537E" w:rsidRDefault="009E3AC0">
      <w:pPr>
        <w:spacing w:after="0"/>
        <w:rPr>
          <w:rFonts w:ascii="Arial" w:eastAsia="Arial" w:hAnsi="Arial" w:cs="Arial"/>
          <w:sz w:val="22"/>
          <w:szCs w:val="22"/>
        </w:rPr>
      </w:pPr>
    </w:p>
    <w:p w14:paraId="16B7EE41" w14:textId="77777777" w:rsidR="009E3AC0" w:rsidRPr="00A5537E" w:rsidRDefault="00622B0F">
      <w:pPr>
        <w:spacing w:after="0"/>
        <w:rPr>
          <w:rFonts w:ascii="Arial" w:eastAsia="Arial" w:hAnsi="Arial" w:cs="Arial"/>
          <w:sz w:val="22"/>
          <w:szCs w:val="22"/>
        </w:rPr>
      </w:pPr>
      <w:r w:rsidRPr="00A5537E">
        <w:rPr>
          <w:rFonts w:ascii="Arial" w:eastAsia="Arial" w:hAnsi="Arial" w:cs="Arial"/>
          <w:sz w:val="22"/>
          <w:szCs w:val="22"/>
        </w:rPr>
        <w:t>Señora</w:t>
      </w:r>
    </w:p>
    <w:p w14:paraId="293BF421" w14:textId="77777777" w:rsidR="009E3AC0" w:rsidRPr="00A5537E" w:rsidRDefault="00622B0F">
      <w:pPr>
        <w:spacing w:after="0"/>
        <w:rPr>
          <w:rFonts w:ascii="Arial" w:eastAsia="Arial" w:hAnsi="Arial" w:cs="Arial"/>
          <w:b/>
          <w:sz w:val="22"/>
          <w:szCs w:val="22"/>
        </w:rPr>
      </w:pPr>
      <w:r w:rsidRPr="00A5537E">
        <w:rPr>
          <w:rFonts w:ascii="Arial" w:eastAsia="Arial" w:hAnsi="Arial" w:cs="Arial"/>
          <w:b/>
          <w:sz w:val="22"/>
          <w:szCs w:val="22"/>
        </w:rPr>
        <w:t>Laura Daniela Londoño Fandiño</w:t>
      </w:r>
    </w:p>
    <w:p w14:paraId="7C115885" w14:textId="77777777" w:rsidR="009E3AC0" w:rsidRPr="00A5537E" w:rsidRDefault="00622B0F">
      <w:pPr>
        <w:spacing w:after="0"/>
        <w:rPr>
          <w:rFonts w:ascii="Arial" w:eastAsia="Arial" w:hAnsi="Arial" w:cs="Arial"/>
          <w:sz w:val="22"/>
          <w:szCs w:val="22"/>
        </w:rPr>
      </w:pPr>
      <w:r w:rsidRPr="00A5537E">
        <w:rPr>
          <w:rFonts w:ascii="Arial" w:eastAsia="Arial" w:hAnsi="Arial" w:cs="Arial"/>
          <w:sz w:val="22"/>
          <w:szCs w:val="22"/>
        </w:rPr>
        <w:t>Bogotá D.C.</w:t>
      </w:r>
    </w:p>
    <w:p w14:paraId="407DF1E8" w14:textId="77777777" w:rsidR="009E3AC0" w:rsidRPr="00A5537E" w:rsidRDefault="009E3AC0">
      <w:pPr>
        <w:spacing w:after="0"/>
        <w:rPr>
          <w:rFonts w:ascii="Arial" w:eastAsia="Arial" w:hAnsi="Arial" w:cs="Arial"/>
          <w:sz w:val="22"/>
          <w:szCs w:val="22"/>
        </w:rPr>
      </w:pPr>
    </w:p>
    <w:p w14:paraId="3AB63A68" w14:textId="77777777" w:rsidR="009E3AC0" w:rsidRPr="00A5537E" w:rsidRDefault="009E3AC0">
      <w:pPr>
        <w:spacing w:after="0"/>
        <w:rPr>
          <w:rFonts w:ascii="Arial" w:eastAsia="Arial" w:hAnsi="Arial" w:cs="Arial"/>
          <w:sz w:val="22"/>
          <w:szCs w:val="22"/>
        </w:rPr>
      </w:pPr>
    </w:p>
    <w:p w14:paraId="7BEB7B8C" w14:textId="77777777" w:rsidR="009E3AC0" w:rsidRPr="00A5537E" w:rsidRDefault="00622B0F">
      <w:pPr>
        <w:spacing w:after="0"/>
        <w:rPr>
          <w:rFonts w:ascii="Arial" w:eastAsia="Arial" w:hAnsi="Arial" w:cs="Arial"/>
          <w:sz w:val="22"/>
          <w:szCs w:val="22"/>
        </w:rPr>
      </w:pPr>
      <w:r w:rsidRPr="00A5537E">
        <w:rPr>
          <w:rFonts w:ascii="Arial" w:eastAsia="Arial" w:hAnsi="Arial" w:cs="Arial"/>
          <w:sz w:val="22"/>
          <w:szCs w:val="22"/>
        </w:rPr>
        <w:t xml:space="preserve">                                            </w:t>
      </w:r>
      <w:r w:rsidRPr="00A5537E">
        <w:rPr>
          <w:rFonts w:ascii="Arial" w:eastAsia="Arial" w:hAnsi="Arial" w:cs="Arial"/>
          <w:b/>
          <w:sz w:val="22"/>
          <w:szCs w:val="22"/>
        </w:rPr>
        <w:t>Concepto C –736 de 2022</w:t>
      </w:r>
      <w:r w:rsidRPr="00A5537E">
        <w:rPr>
          <w:rFonts w:ascii="Arial" w:eastAsia="Arial" w:hAnsi="Arial" w:cs="Arial"/>
          <w:sz w:val="22"/>
          <w:szCs w:val="22"/>
        </w:rPr>
        <w:t xml:space="preserve"> </w:t>
      </w:r>
    </w:p>
    <w:p w14:paraId="13EFACE9" w14:textId="77777777" w:rsidR="009E3AC0" w:rsidRPr="00A5537E" w:rsidRDefault="009E3AC0">
      <w:pPr>
        <w:spacing w:after="0"/>
        <w:rPr>
          <w:rFonts w:ascii="Arial" w:eastAsia="Arial" w:hAnsi="Arial" w:cs="Arial"/>
          <w:b/>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9E3AC0" w:rsidRPr="00A5537E" w14:paraId="2CC8CC28" w14:textId="77777777">
        <w:trPr>
          <w:trHeight w:val="1038"/>
        </w:trPr>
        <w:tc>
          <w:tcPr>
            <w:tcW w:w="2689" w:type="dxa"/>
          </w:tcPr>
          <w:p w14:paraId="6CC934A4" w14:textId="77777777" w:rsidR="009E3AC0" w:rsidRPr="00A5537E" w:rsidRDefault="00622B0F">
            <w:pPr>
              <w:spacing w:line="276" w:lineRule="auto"/>
              <w:rPr>
                <w:rFonts w:ascii="Arial" w:eastAsia="Arial" w:hAnsi="Arial" w:cs="Arial"/>
              </w:rPr>
            </w:pPr>
            <w:r w:rsidRPr="00A5537E">
              <w:rPr>
                <w:rFonts w:ascii="Arial" w:eastAsia="Arial" w:hAnsi="Arial" w:cs="Arial"/>
                <w:b/>
              </w:rPr>
              <w:t>Temas:</w:t>
            </w:r>
            <w:r w:rsidRPr="00A5537E">
              <w:rPr>
                <w:rFonts w:ascii="Arial" w:eastAsia="Arial" w:hAnsi="Arial" w:cs="Arial"/>
              </w:rPr>
              <w:t xml:space="preserve">        </w:t>
            </w:r>
          </w:p>
        </w:tc>
        <w:tc>
          <w:tcPr>
            <w:tcW w:w="6237" w:type="dxa"/>
          </w:tcPr>
          <w:p w14:paraId="7DF57B26" w14:textId="49FED078" w:rsidR="009E3AC0" w:rsidRPr="00A5537E" w:rsidRDefault="00622B0F">
            <w:pPr>
              <w:jc w:val="both"/>
              <w:rPr>
                <w:rFonts w:ascii="Arial" w:eastAsia="Arial" w:hAnsi="Arial" w:cs="Arial"/>
                <w:b/>
                <w:sz w:val="20"/>
                <w:szCs w:val="20"/>
              </w:rPr>
            </w:pPr>
            <w:r w:rsidRPr="00A5537E">
              <w:rPr>
                <w:rFonts w:ascii="Arial" w:eastAsia="Arial" w:hAnsi="Arial" w:cs="Arial"/>
                <w:sz w:val="20"/>
                <w:szCs w:val="20"/>
              </w:rPr>
              <w:t xml:space="preserve">LEY DE GARANTÍAS ELECTORALES – Finalidad / LEY DE GARANTÍAS ELECTORALES ‒ Tipos de restricciones ‒ Ámbito temporal / LEY DE GARANTÍAS ELECTORALES ─ Prohibición ‒ Contratación directa ‒ Alcance / LEY DE GARANTÍAS ELECTORALES ‒ Excepciones / LEY DE GARANTÍAS ELECTORALES ‒ Prohibición del artículo 33 de la Ley de garantías ‒ Destinatarios / LEY DE GARANTÍAS ELECTORALES ‒ Prohibición comicios cargos de elección popular – Convenios y contratos interadministrativos / </w:t>
            </w:r>
            <w:r w:rsidRPr="00A5537E">
              <w:rPr>
                <w:rFonts w:ascii="Arial" w:eastAsia="Arial" w:hAnsi="Arial" w:cs="Arial"/>
                <w:color w:val="000000"/>
                <w:sz w:val="20"/>
                <w:szCs w:val="20"/>
              </w:rPr>
              <w:t>CONTRATOS Y CONVENIOS INTERADMINISTRATIVOS – Definición – Criterio orgánico / CONTRATOS Y CONVENIOS INTERADMINISTRATIVOS – Entidades con régimen especial de contratación – Procedencia</w:t>
            </w:r>
            <w:r w:rsidRPr="00A5537E">
              <w:rPr>
                <w:rFonts w:ascii="Arial" w:eastAsia="Arial" w:hAnsi="Arial" w:cs="Arial"/>
                <w:sz w:val="20"/>
                <w:szCs w:val="20"/>
              </w:rPr>
              <w:t xml:space="preserve"> / </w:t>
            </w:r>
            <w:r w:rsidRPr="00A5537E">
              <w:rPr>
                <w:rFonts w:ascii="Arial" w:eastAsia="Arial" w:hAnsi="Arial" w:cs="Arial"/>
                <w:color w:val="000000"/>
                <w:sz w:val="20"/>
                <w:szCs w:val="20"/>
              </w:rPr>
              <w:t>CONTRATOS Y CONVENIOS INTERADMINISTRATIVOS – Modalidad de selección</w:t>
            </w:r>
            <w:r w:rsidRPr="00A5537E">
              <w:rPr>
                <w:rFonts w:ascii="Arial" w:eastAsia="Arial" w:hAnsi="Arial" w:cs="Arial"/>
                <w:sz w:val="20"/>
                <w:szCs w:val="20"/>
              </w:rPr>
              <w:t xml:space="preserve"> / LEY DE GARANTÍAS ELECTORALES – Prohibición – Celebración convenios o contratos interadministrativos – Orden judicial –  / MODIFICACIÓN DE LA LEY 2159 DE 2021- Entidades territoriales / MODIFICACIÓN DE LA LEY 2159 DE 2021 – Ley Anual de Presupuesto - parágrafo del artículo 38 de la Ley de Garantías </w:t>
            </w:r>
          </w:p>
          <w:p w14:paraId="3FD1CB80" w14:textId="77777777" w:rsidR="009E3AC0" w:rsidRPr="00A5537E" w:rsidRDefault="009E3AC0">
            <w:pPr>
              <w:jc w:val="both"/>
              <w:rPr>
                <w:rFonts w:ascii="Arial" w:eastAsia="Arial" w:hAnsi="Arial" w:cs="Arial"/>
              </w:rPr>
            </w:pPr>
          </w:p>
          <w:p w14:paraId="6E78D679" w14:textId="77777777" w:rsidR="009E3AC0" w:rsidRPr="00A5537E" w:rsidRDefault="009E3AC0">
            <w:pPr>
              <w:spacing w:after="120" w:line="276" w:lineRule="auto"/>
              <w:jc w:val="both"/>
              <w:rPr>
                <w:rFonts w:ascii="Arial" w:eastAsia="Arial" w:hAnsi="Arial" w:cs="Arial"/>
              </w:rPr>
            </w:pPr>
          </w:p>
        </w:tc>
      </w:tr>
      <w:tr w:rsidR="009E3AC0" w:rsidRPr="00A5537E" w14:paraId="626CFE43" w14:textId="77777777">
        <w:tc>
          <w:tcPr>
            <w:tcW w:w="2689" w:type="dxa"/>
          </w:tcPr>
          <w:p w14:paraId="2E4CD919" w14:textId="77777777" w:rsidR="009E3AC0" w:rsidRPr="00A5537E" w:rsidRDefault="00622B0F">
            <w:pPr>
              <w:spacing w:line="276" w:lineRule="auto"/>
              <w:rPr>
                <w:rFonts w:ascii="Arial" w:eastAsia="Arial" w:hAnsi="Arial" w:cs="Arial"/>
                <w:b/>
                <w:sz w:val="22"/>
                <w:szCs w:val="22"/>
              </w:rPr>
            </w:pPr>
            <w:r w:rsidRPr="00A5537E">
              <w:rPr>
                <w:rFonts w:ascii="Arial" w:eastAsia="Arial" w:hAnsi="Arial" w:cs="Arial"/>
                <w:b/>
                <w:sz w:val="22"/>
                <w:szCs w:val="22"/>
              </w:rPr>
              <w:t>Radicación:</w:t>
            </w:r>
            <w:r w:rsidRPr="00A5537E">
              <w:rPr>
                <w:rFonts w:ascii="Arial" w:eastAsia="Arial" w:hAnsi="Arial" w:cs="Arial"/>
                <w:sz w:val="22"/>
                <w:szCs w:val="22"/>
              </w:rPr>
              <w:t xml:space="preserve">                              </w:t>
            </w:r>
          </w:p>
        </w:tc>
        <w:tc>
          <w:tcPr>
            <w:tcW w:w="6237" w:type="dxa"/>
          </w:tcPr>
          <w:p w14:paraId="55316142" w14:textId="77777777" w:rsidR="009E3AC0" w:rsidRPr="00A5537E" w:rsidRDefault="00622B0F">
            <w:pPr>
              <w:spacing w:line="276" w:lineRule="auto"/>
              <w:jc w:val="both"/>
              <w:rPr>
                <w:rFonts w:ascii="Arial" w:eastAsia="Arial" w:hAnsi="Arial" w:cs="Arial"/>
                <w:sz w:val="22"/>
                <w:szCs w:val="22"/>
              </w:rPr>
            </w:pPr>
            <w:r w:rsidRPr="00A5537E">
              <w:rPr>
                <w:rFonts w:ascii="Arial" w:eastAsia="Arial" w:hAnsi="Arial" w:cs="Arial"/>
                <w:sz w:val="22"/>
                <w:szCs w:val="22"/>
              </w:rPr>
              <w:t>Respuesta a consulta P20211217011583</w:t>
            </w:r>
          </w:p>
        </w:tc>
      </w:tr>
    </w:tbl>
    <w:p w14:paraId="0A632FA7" w14:textId="77777777" w:rsidR="009E3AC0" w:rsidRPr="00A5537E" w:rsidRDefault="009E3AC0">
      <w:pPr>
        <w:spacing w:after="0"/>
        <w:rPr>
          <w:rFonts w:ascii="Arial" w:eastAsia="Arial" w:hAnsi="Arial" w:cs="Arial"/>
          <w:sz w:val="22"/>
          <w:szCs w:val="22"/>
        </w:rPr>
      </w:pPr>
    </w:p>
    <w:p w14:paraId="1A27CEF2" w14:textId="77777777" w:rsidR="009E3AC0" w:rsidRPr="00A5537E" w:rsidRDefault="009E3AC0">
      <w:pPr>
        <w:spacing w:after="0"/>
        <w:rPr>
          <w:rFonts w:ascii="Arial" w:eastAsia="Arial" w:hAnsi="Arial" w:cs="Arial"/>
          <w:sz w:val="22"/>
          <w:szCs w:val="22"/>
        </w:rPr>
      </w:pPr>
    </w:p>
    <w:p w14:paraId="043AD303" w14:textId="77777777" w:rsidR="009E3AC0" w:rsidRPr="00A5537E" w:rsidRDefault="00622B0F">
      <w:pPr>
        <w:spacing w:after="0"/>
        <w:rPr>
          <w:rFonts w:ascii="Arial" w:eastAsia="Arial" w:hAnsi="Arial" w:cs="Arial"/>
          <w:sz w:val="22"/>
          <w:szCs w:val="22"/>
        </w:rPr>
      </w:pPr>
      <w:r w:rsidRPr="00A5537E">
        <w:rPr>
          <w:rFonts w:ascii="Arial" w:eastAsia="Arial" w:hAnsi="Arial" w:cs="Arial"/>
          <w:sz w:val="22"/>
          <w:szCs w:val="22"/>
        </w:rPr>
        <w:t>Estimada señora Londoño:</w:t>
      </w:r>
    </w:p>
    <w:p w14:paraId="5FBDDD4D" w14:textId="77777777" w:rsidR="009E3AC0" w:rsidRPr="00A5537E" w:rsidRDefault="009E3AC0">
      <w:pPr>
        <w:spacing w:after="0"/>
        <w:ind w:firstLine="709"/>
        <w:rPr>
          <w:rFonts w:ascii="Arial" w:eastAsia="Arial" w:hAnsi="Arial" w:cs="Arial"/>
          <w:sz w:val="22"/>
          <w:szCs w:val="22"/>
        </w:rPr>
      </w:pPr>
    </w:p>
    <w:p w14:paraId="11DFAA31" w14:textId="77777777" w:rsidR="009E3AC0" w:rsidRPr="00A5537E" w:rsidRDefault="00622B0F">
      <w:pPr>
        <w:spacing w:after="0"/>
        <w:ind w:right="51"/>
        <w:rPr>
          <w:rFonts w:ascii="Arial" w:eastAsia="Arial" w:hAnsi="Arial" w:cs="Arial"/>
          <w:sz w:val="22"/>
          <w:szCs w:val="22"/>
        </w:rPr>
      </w:pPr>
      <w:r w:rsidRPr="00A5537E">
        <w:rPr>
          <w:rFonts w:ascii="Arial" w:eastAsia="Arial" w:hAnsi="Arial" w:cs="Arial"/>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13 de diciembre de 2021. </w:t>
      </w:r>
    </w:p>
    <w:p w14:paraId="4C90DDC3" w14:textId="77777777" w:rsidR="009E3AC0" w:rsidRPr="00A5537E" w:rsidRDefault="009E3AC0">
      <w:pPr>
        <w:spacing w:after="0"/>
        <w:rPr>
          <w:rFonts w:ascii="Arial" w:eastAsia="Arial" w:hAnsi="Arial" w:cs="Arial"/>
          <w:sz w:val="22"/>
          <w:szCs w:val="22"/>
        </w:rPr>
      </w:pPr>
    </w:p>
    <w:p w14:paraId="6C985203" w14:textId="77777777" w:rsidR="009E3AC0" w:rsidRPr="00A5537E" w:rsidRDefault="00622B0F">
      <w:pPr>
        <w:tabs>
          <w:tab w:val="left" w:pos="284"/>
        </w:tabs>
        <w:spacing w:after="0"/>
        <w:rPr>
          <w:rFonts w:ascii="Arial" w:eastAsia="Arial" w:hAnsi="Arial" w:cs="Arial"/>
          <w:b/>
          <w:sz w:val="22"/>
          <w:szCs w:val="22"/>
        </w:rPr>
      </w:pPr>
      <w:r w:rsidRPr="00A5537E">
        <w:rPr>
          <w:rFonts w:ascii="Arial" w:eastAsia="Arial" w:hAnsi="Arial" w:cs="Arial"/>
          <w:b/>
          <w:sz w:val="22"/>
          <w:szCs w:val="22"/>
        </w:rPr>
        <w:t xml:space="preserve">1. Problema planteado </w:t>
      </w:r>
    </w:p>
    <w:p w14:paraId="2A8F2491" w14:textId="64AC54ED" w:rsidR="009E3AC0" w:rsidRPr="00A5537E" w:rsidRDefault="00622B0F">
      <w:pPr>
        <w:pBdr>
          <w:top w:val="nil"/>
          <w:left w:val="nil"/>
          <w:bottom w:val="nil"/>
          <w:right w:val="nil"/>
          <w:between w:val="nil"/>
        </w:pBdr>
        <w:shd w:val="clear" w:color="auto" w:fill="FFFFFF"/>
        <w:rPr>
          <w:rFonts w:ascii="Times New Roman" w:eastAsia="Times New Roman" w:hAnsi="Times New Roman" w:cs="Times New Roman"/>
          <w:color w:val="000000"/>
        </w:rPr>
      </w:pPr>
      <w:bookmarkStart w:id="10" w:name="_17dp8vu" w:colFirst="0" w:colLast="0"/>
      <w:bookmarkEnd w:id="10"/>
      <w:r w:rsidRPr="00A5537E">
        <w:rPr>
          <w:rFonts w:ascii="Arial" w:eastAsia="Arial" w:hAnsi="Arial" w:cs="Arial"/>
          <w:color w:val="000000"/>
          <w:sz w:val="22"/>
          <w:szCs w:val="22"/>
        </w:rPr>
        <w:t>Usted solicita a la Agencia que se emita concepto «relacionado a la facultad de suscribir convenios o contratos interadministrativos entre la nación y las sociedad [sic] de economía mixta indirecta, del orden municipal, de segundo grado para la vigencia 2022».</w:t>
      </w:r>
      <w:r w:rsidRPr="00A5537E">
        <w:rPr>
          <w:color w:val="000000"/>
          <w:sz w:val="20"/>
          <w:szCs w:val="20"/>
        </w:rPr>
        <w:t xml:space="preserve"> </w:t>
      </w:r>
    </w:p>
    <w:p w14:paraId="507AA2AB" w14:textId="77777777" w:rsidR="009E3AC0" w:rsidRPr="00A5537E" w:rsidRDefault="00622B0F">
      <w:pPr>
        <w:tabs>
          <w:tab w:val="left" w:pos="284"/>
        </w:tabs>
        <w:spacing w:after="0"/>
        <w:rPr>
          <w:rFonts w:ascii="Arial" w:eastAsia="Arial" w:hAnsi="Arial" w:cs="Arial"/>
          <w:b/>
          <w:sz w:val="22"/>
          <w:szCs w:val="22"/>
        </w:rPr>
      </w:pPr>
      <w:r w:rsidRPr="00A5537E">
        <w:rPr>
          <w:rFonts w:ascii="Arial" w:eastAsia="Arial" w:hAnsi="Arial" w:cs="Arial"/>
          <w:b/>
          <w:sz w:val="22"/>
          <w:szCs w:val="22"/>
        </w:rPr>
        <w:t>2. Consideraciones</w:t>
      </w:r>
    </w:p>
    <w:p w14:paraId="0BBF6BB7" w14:textId="77777777" w:rsidR="009E3AC0" w:rsidRPr="00A5537E" w:rsidRDefault="009E3AC0">
      <w:pPr>
        <w:tabs>
          <w:tab w:val="left" w:pos="426"/>
        </w:tabs>
        <w:spacing w:after="0"/>
        <w:ind w:firstLine="709"/>
        <w:rPr>
          <w:rFonts w:ascii="Arial" w:eastAsia="Arial" w:hAnsi="Arial" w:cs="Arial"/>
          <w:sz w:val="22"/>
          <w:szCs w:val="22"/>
        </w:rPr>
      </w:pPr>
    </w:p>
    <w:p w14:paraId="49940D0B" w14:textId="77777777" w:rsidR="009E3AC0" w:rsidRPr="00A5537E" w:rsidRDefault="00622B0F">
      <w:pPr>
        <w:spacing w:after="120"/>
        <w:rPr>
          <w:rFonts w:ascii="Arial" w:eastAsia="Arial" w:hAnsi="Arial" w:cs="Arial"/>
          <w:sz w:val="22"/>
          <w:szCs w:val="22"/>
        </w:rPr>
      </w:pPr>
      <w:r w:rsidRPr="00A5537E">
        <w:rPr>
          <w:rFonts w:ascii="Arial" w:eastAsia="Arial" w:hAnsi="Arial" w:cs="Arial"/>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A5537E">
        <w:rPr>
          <w:rFonts w:ascii="Arial" w:eastAsia="Arial" w:hAnsi="Arial" w:cs="Arial"/>
          <w:sz w:val="22"/>
          <w:szCs w:val="22"/>
          <w:vertAlign w:val="superscript"/>
        </w:rPr>
        <w:footnoteReference w:id="1"/>
      </w:r>
      <w:r w:rsidRPr="00A5537E">
        <w:rPr>
          <w:rFonts w:ascii="Arial" w:eastAsia="Arial" w:hAnsi="Arial" w:cs="Arial"/>
          <w:sz w:val="22"/>
          <w:szCs w:val="22"/>
        </w:rPr>
        <w:t>.</w:t>
      </w:r>
    </w:p>
    <w:p w14:paraId="4FC5365D" w14:textId="77777777" w:rsidR="009E3AC0" w:rsidRPr="00A5537E" w:rsidRDefault="00622B0F">
      <w:pPr>
        <w:tabs>
          <w:tab w:val="left" w:pos="426"/>
        </w:tabs>
        <w:spacing w:after="120"/>
        <w:rPr>
          <w:rFonts w:ascii="Arial" w:eastAsia="Arial" w:hAnsi="Arial" w:cs="Arial"/>
          <w:sz w:val="22"/>
          <w:szCs w:val="22"/>
        </w:rPr>
      </w:pPr>
      <w:bookmarkStart w:id="12" w:name="_3rdcrjn" w:colFirst="0" w:colLast="0"/>
      <w:bookmarkEnd w:id="12"/>
      <w:r w:rsidRPr="00A5537E">
        <w:rPr>
          <w:rFonts w:ascii="Arial" w:eastAsia="Arial" w:hAnsi="Arial" w:cs="Arial"/>
          <w:color w:val="000000"/>
          <w:sz w:val="22"/>
          <w:szCs w:val="22"/>
        </w:rPr>
        <w:tab/>
      </w:r>
      <w:r w:rsidRPr="00A5537E">
        <w:rPr>
          <w:rFonts w:ascii="Arial" w:eastAsia="Arial" w:hAnsi="Arial" w:cs="Arial"/>
          <w:color w:val="000000"/>
          <w:sz w:val="22"/>
          <w:szCs w:val="22"/>
        </w:rPr>
        <w:tab/>
        <w:t>Por ello, esta Subdirección –dentro de los límites de sus atribuciones</w:t>
      </w:r>
      <w:r w:rsidRPr="00A5537E">
        <w:rPr>
          <w:rFonts w:ascii="Arial" w:eastAsia="Arial" w:hAnsi="Arial" w:cs="Arial"/>
          <w:color w:val="000000"/>
          <w:sz w:val="22"/>
          <w:szCs w:val="22"/>
          <w:vertAlign w:val="superscript"/>
        </w:rPr>
        <w:footnoteReference w:id="2"/>
      </w:r>
      <w:r w:rsidRPr="00A5537E">
        <w:rPr>
          <w:rFonts w:ascii="Arial" w:eastAsia="Arial" w:hAnsi="Arial" w:cs="Arial"/>
          <w:color w:val="000000"/>
          <w:sz w:val="22"/>
          <w:szCs w:val="22"/>
        </w:rPr>
        <w:t>– resolverá la consulta conforme a las normas generales en materia de contratación estatal. Con este objetivo se analizarán los siguientes temas:</w:t>
      </w:r>
      <w:r w:rsidRPr="00A5537E">
        <w:rPr>
          <w:rFonts w:ascii="Arial" w:eastAsia="Arial" w:hAnsi="Arial" w:cs="Arial"/>
          <w:sz w:val="22"/>
          <w:szCs w:val="22"/>
        </w:rPr>
        <w:t xml:space="preserve"> i) definición y finalidad de la Ley de Garantías Electorales, ii) restricciones para elecciones presidenciales, iii) destinatarios de la prohibición del artículo 33 de la Ley 996 de 2005, iv) las restricciones en los comicios de cargos de elección popular y v) las modificaciones de la Ley de Garantías Electorales realizadas por la ley anual del presupuesto de la vigencia fiscal 2022. </w:t>
      </w:r>
    </w:p>
    <w:p w14:paraId="5BC35FAE" w14:textId="67A6A36C" w:rsidR="009E3AC0" w:rsidRPr="00A5537E" w:rsidRDefault="00622B0F">
      <w:pPr>
        <w:tabs>
          <w:tab w:val="left" w:pos="426"/>
        </w:tabs>
        <w:spacing w:after="0"/>
        <w:ind w:firstLine="709"/>
        <w:rPr>
          <w:rFonts w:ascii="Arial" w:eastAsia="Arial" w:hAnsi="Arial" w:cs="Arial"/>
          <w:sz w:val="22"/>
          <w:szCs w:val="22"/>
        </w:rPr>
      </w:pPr>
      <w:r w:rsidRPr="00A5537E">
        <w:rPr>
          <w:rFonts w:ascii="Arial" w:eastAsia="Arial" w:hAnsi="Arial" w:cs="Arial"/>
          <w:sz w:val="22"/>
          <w:szCs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w:t>
      </w:r>
      <w:r w:rsidRPr="00A5537E">
        <w:rPr>
          <w:rFonts w:ascii="Arial" w:eastAsia="Arial" w:hAnsi="Arial" w:cs="Arial"/>
          <w:sz w:val="22"/>
          <w:szCs w:val="22"/>
        </w:rPr>
        <w:lastRenderedPageBreak/>
        <w:t>6 de septiembre de 2019, 2201913000006639 del 9 de septiembre de 2019, 2201913000007430 del 7 de octubre de 2019, 2201913000007565 del 10 de octubre de 2019, 2201913000008259 del 6 de noviembre de 2019, C-227 de 2021 del 5 de mayo de 2021, C-296 del 22 de junio de 2021</w:t>
      </w:r>
      <w:r w:rsidRPr="00A5537E">
        <w:t xml:space="preserve"> </w:t>
      </w:r>
      <w:r w:rsidRPr="00A5537E">
        <w:rPr>
          <w:rFonts w:ascii="Arial" w:eastAsia="Arial" w:hAnsi="Arial" w:cs="Arial"/>
          <w:sz w:val="22"/>
          <w:szCs w:val="22"/>
        </w:rPr>
        <w:t>y C-381 del 02 de julio de 2021. Por otro lado, la Agencia se ha referido a los alcances de las modificaciones realizadas por la Ley 2159 de 2021, entre otros, a través de los conceptos C-674 de 2021, C-723 del 28 de diciembre de 2021, C-693 del 9 de diciembre de 2021 y C-726 del 24 de enero de 2022. Las tesis desarrolladas en estos conceptos se reiteran y complementan a continuación:</w:t>
      </w:r>
    </w:p>
    <w:p w14:paraId="713A8481" w14:textId="77777777" w:rsidR="009E3AC0" w:rsidRPr="00A5537E" w:rsidRDefault="009E3AC0">
      <w:pPr>
        <w:tabs>
          <w:tab w:val="left" w:pos="426"/>
        </w:tabs>
        <w:spacing w:after="0"/>
        <w:ind w:firstLine="709"/>
        <w:rPr>
          <w:rFonts w:ascii="Arial" w:eastAsia="Arial" w:hAnsi="Arial" w:cs="Arial"/>
          <w:b/>
          <w:sz w:val="22"/>
          <w:szCs w:val="22"/>
        </w:rPr>
      </w:pPr>
    </w:p>
    <w:p w14:paraId="6CFA3116" w14:textId="77777777" w:rsidR="009E3AC0" w:rsidRPr="00A5537E" w:rsidRDefault="00622B0F">
      <w:pPr>
        <w:tabs>
          <w:tab w:val="left" w:pos="426"/>
        </w:tabs>
        <w:spacing w:after="0"/>
        <w:rPr>
          <w:rFonts w:ascii="Arial" w:eastAsia="Arial" w:hAnsi="Arial" w:cs="Arial"/>
          <w:b/>
          <w:sz w:val="22"/>
          <w:szCs w:val="22"/>
        </w:rPr>
      </w:pPr>
      <w:r w:rsidRPr="00A5537E">
        <w:rPr>
          <w:rFonts w:ascii="Arial" w:eastAsia="Arial" w:hAnsi="Arial" w:cs="Arial"/>
          <w:b/>
          <w:sz w:val="22"/>
          <w:szCs w:val="22"/>
        </w:rPr>
        <w:t>2.1. Definición y finalidad de la Ley de Garantías Electorales: alcance de las restricciones</w:t>
      </w:r>
    </w:p>
    <w:p w14:paraId="553A0C4E" w14:textId="77777777" w:rsidR="009E3AC0" w:rsidRPr="00A5537E" w:rsidRDefault="009E3AC0">
      <w:pPr>
        <w:tabs>
          <w:tab w:val="left" w:pos="426"/>
        </w:tabs>
        <w:spacing w:after="0"/>
        <w:ind w:firstLine="709"/>
        <w:rPr>
          <w:rFonts w:ascii="Arial" w:eastAsia="Arial" w:hAnsi="Arial" w:cs="Arial"/>
          <w:sz w:val="22"/>
          <w:szCs w:val="22"/>
        </w:rPr>
      </w:pPr>
    </w:p>
    <w:p w14:paraId="2EF6FB28" w14:textId="77777777" w:rsidR="009E3AC0" w:rsidRPr="00A5537E" w:rsidRDefault="00622B0F">
      <w:pPr>
        <w:tabs>
          <w:tab w:val="left" w:pos="426"/>
        </w:tabs>
        <w:spacing w:after="120"/>
        <w:rPr>
          <w:rFonts w:ascii="Arial" w:eastAsia="Arial" w:hAnsi="Arial" w:cs="Arial"/>
          <w:sz w:val="22"/>
          <w:szCs w:val="22"/>
        </w:rPr>
      </w:pPr>
      <w:r w:rsidRPr="00A5537E">
        <w:rPr>
          <w:rFonts w:ascii="Arial" w:eastAsia="Arial" w:hAnsi="Arial" w:cs="Arial"/>
          <w:sz w:val="22"/>
          <w:szCs w:val="22"/>
        </w:rPr>
        <w:t>El ordenamiento jurídico colombiano contempla previsiones claras para evitar la obtención de beneficios personales en asuntos propios de la administración pública</w:t>
      </w:r>
      <w:r w:rsidRPr="00A5537E">
        <w:rPr>
          <w:rFonts w:ascii="Arial" w:eastAsia="Arial" w:hAnsi="Arial" w:cs="Arial"/>
          <w:i/>
          <w:sz w:val="22"/>
          <w:szCs w:val="22"/>
        </w:rPr>
        <w:t xml:space="preserve">. </w:t>
      </w:r>
      <w:r w:rsidRPr="00A5537E">
        <w:rPr>
          <w:rFonts w:ascii="Arial" w:eastAsia="Arial" w:hAnsi="Arial" w:cs="Arial"/>
          <w:sz w:val="22"/>
          <w:szCs w:val="22"/>
        </w:rPr>
        <w:t>Por ejemplo, el artículo 127 de la Constitución Política establece una prohibición contractual a los servidores públicos y en cuanto a aspectos políticos establece restricciones a ciertos empleados del Estado, incluso en época no electoral</w:t>
      </w:r>
      <w:r w:rsidRPr="00A5537E">
        <w:rPr>
          <w:rFonts w:ascii="Arial" w:eastAsia="Arial" w:hAnsi="Arial" w:cs="Arial"/>
          <w:sz w:val="22"/>
          <w:szCs w:val="22"/>
          <w:vertAlign w:val="superscript"/>
        </w:rPr>
        <w:footnoteReference w:id="3"/>
      </w:r>
      <w:r w:rsidRPr="00A5537E">
        <w:rPr>
          <w:rFonts w:ascii="Arial" w:eastAsia="Arial" w:hAnsi="Arial" w:cs="Arial"/>
          <w:sz w:val="22"/>
          <w:szCs w:val="22"/>
        </w:rPr>
        <w:t xml:space="preserve">. </w:t>
      </w:r>
    </w:p>
    <w:p w14:paraId="540DF9CF" w14:textId="77777777" w:rsidR="009E3AC0" w:rsidRPr="00A5537E" w:rsidRDefault="00622B0F">
      <w:pPr>
        <w:tabs>
          <w:tab w:val="left" w:pos="426"/>
        </w:tabs>
        <w:spacing w:after="0"/>
        <w:ind w:firstLine="709"/>
        <w:rPr>
          <w:rFonts w:ascii="Arial" w:eastAsia="Arial" w:hAnsi="Arial" w:cs="Arial"/>
          <w:sz w:val="22"/>
          <w:szCs w:val="22"/>
        </w:rPr>
      </w:pPr>
      <w:r w:rsidRPr="00A5537E">
        <w:rPr>
          <w:rFonts w:ascii="Arial" w:eastAsia="Arial" w:hAnsi="Arial" w:cs="Arial"/>
          <w:sz w:val="22"/>
          <w:szCs w:val="22"/>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A5537E">
        <w:rPr>
          <w:rFonts w:ascii="Arial" w:eastAsia="Arial" w:hAnsi="Arial" w:cs="Arial"/>
          <w:sz w:val="22"/>
          <w:szCs w:val="22"/>
          <w:vertAlign w:val="superscript"/>
        </w:rPr>
        <w:footnoteReference w:id="4"/>
      </w:r>
      <w:r w:rsidRPr="00A5537E">
        <w:rPr>
          <w:rFonts w:ascii="Arial" w:eastAsia="Arial" w:hAnsi="Arial" w:cs="Arial"/>
          <w:sz w:val="22"/>
          <w:szCs w:val="22"/>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37355098" w14:textId="77777777" w:rsidR="009E3AC0" w:rsidRPr="00A5537E" w:rsidRDefault="009E3AC0">
      <w:pPr>
        <w:spacing w:after="0"/>
        <w:ind w:right="709"/>
        <w:rPr>
          <w:rFonts w:ascii="Arial" w:eastAsia="Arial" w:hAnsi="Arial" w:cs="Arial"/>
          <w:sz w:val="21"/>
          <w:szCs w:val="21"/>
        </w:rPr>
      </w:pPr>
    </w:p>
    <w:p w14:paraId="13619B42" w14:textId="77777777" w:rsidR="009E3AC0" w:rsidRPr="00A5537E" w:rsidRDefault="00622B0F">
      <w:pPr>
        <w:spacing w:after="0" w:line="240" w:lineRule="auto"/>
        <w:ind w:left="709" w:right="709"/>
        <w:rPr>
          <w:rFonts w:ascii="Arial" w:eastAsia="Arial" w:hAnsi="Arial" w:cs="Arial"/>
          <w:sz w:val="21"/>
          <w:szCs w:val="21"/>
        </w:rPr>
      </w:pPr>
      <w:r w:rsidRPr="00A5537E">
        <w:rPr>
          <w:rFonts w:ascii="Arial" w:eastAsia="Arial" w:hAnsi="Arial" w:cs="Arial"/>
          <w:sz w:val="21"/>
          <w:szCs w:val="21"/>
        </w:rPr>
        <w:t>[…] la definición de reglas claras que permitan acceder a los canales de expresión democrática de manera efectiva e igualitaria. El objetivo de una ley de garantías es definir esas reglas.</w:t>
      </w:r>
    </w:p>
    <w:p w14:paraId="228DE3C2" w14:textId="77777777" w:rsidR="009E3AC0" w:rsidRPr="00A5537E" w:rsidRDefault="00622B0F">
      <w:pPr>
        <w:spacing w:before="120" w:after="0" w:line="240" w:lineRule="auto"/>
        <w:ind w:left="709" w:right="709"/>
        <w:rPr>
          <w:rFonts w:ascii="Arial" w:eastAsia="Arial" w:hAnsi="Arial" w:cs="Arial"/>
          <w:sz w:val="21"/>
          <w:szCs w:val="21"/>
        </w:rPr>
      </w:pPr>
      <w:r w:rsidRPr="00A5537E">
        <w:rPr>
          <w:rFonts w:ascii="Arial" w:eastAsia="Arial" w:hAnsi="Arial" w:cs="Arial"/>
          <w:sz w:val="21"/>
          <w:szCs w:val="21"/>
        </w:rPr>
        <w:lastRenderedPageBreak/>
        <w:t xml:space="preserve">[…] </w:t>
      </w:r>
    </w:p>
    <w:p w14:paraId="38674678" w14:textId="7ED855F3" w:rsidR="009E3AC0" w:rsidRPr="00A5537E" w:rsidRDefault="00622B0F">
      <w:pPr>
        <w:spacing w:before="120" w:after="0" w:line="240" w:lineRule="auto"/>
        <w:ind w:left="709" w:right="709"/>
        <w:rPr>
          <w:rFonts w:ascii="Arial" w:eastAsia="Arial" w:hAnsi="Arial" w:cs="Arial"/>
          <w:sz w:val="21"/>
          <w:szCs w:val="21"/>
        </w:rPr>
      </w:pPr>
      <w:r w:rsidRPr="00A5537E">
        <w:rPr>
          <w:rFonts w:ascii="Arial" w:eastAsia="Arial" w:hAnsi="Arial" w:cs="Arial"/>
          <w:sz w:val="21"/>
          <w:szCs w:val="21"/>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A5537E">
        <w:rPr>
          <w:rFonts w:ascii="Arial" w:eastAsia="Arial" w:hAnsi="Arial" w:cs="Arial"/>
          <w:sz w:val="20"/>
          <w:szCs w:val="20"/>
          <w:vertAlign w:val="superscript"/>
        </w:rPr>
        <w:footnoteReference w:id="5"/>
      </w:r>
      <w:r w:rsidRPr="00A5537E">
        <w:rPr>
          <w:rFonts w:ascii="Arial" w:eastAsia="Arial" w:hAnsi="Arial" w:cs="Arial"/>
          <w:sz w:val="21"/>
          <w:szCs w:val="21"/>
        </w:rPr>
        <w:t>.</w:t>
      </w:r>
    </w:p>
    <w:p w14:paraId="6D073DE3" w14:textId="77777777" w:rsidR="009E3AC0" w:rsidRPr="00A5537E" w:rsidRDefault="009E3AC0">
      <w:pPr>
        <w:spacing w:after="0"/>
        <w:ind w:left="709" w:right="709"/>
        <w:rPr>
          <w:rFonts w:ascii="Arial" w:eastAsia="Arial" w:hAnsi="Arial" w:cs="Arial"/>
          <w:sz w:val="21"/>
          <w:szCs w:val="21"/>
        </w:rPr>
      </w:pPr>
    </w:p>
    <w:p w14:paraId="49DE1491" w14:textId="77777777" w:rsidR="009E3AC0" w:rsidRPr="00A5537E" w:rsidRDefault="00622B0F">
      <w:pPr>
        <w:spacing w:after="0"/>
        <w:ind w:firstLine="709"/>
        <w:rPr>
          <w:rFonts w:ascii="Arial" w:eastAsia="Arial" w:hAnsi="Arial" w:cs="Arial"/>
          <w:sz w:val="22"/>
          <w:szCs w:val="22"/>
        </w:rPr>
      </w:pPr>
      <w:bookmarkStart w:id="14" w:name="_26in1rg" w:colFirst="0" w:colLast="0"/>
      <w:bookmarkEnd w:id="14"/>
      <w:r w:rsidRPr="00A5537E">
        <w:rPr>
          <w:rFonts w:ascii="Arial" w:eastAsia="Arial" w:hAnsi="Arial" w:cs="Arial"/>
          <w:sz w:val="22"/>
          <w:szCs w:val="22"/>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67C7D61D" w14:textId="77777777" w:rsidR="009E3AC0" w:rsidRPr="00A5537E" w:rsidRDefault="009E3AC0">
      <w:pPr>
        <w:spacing w:after="0"/>
        <w:ind w:firstLine="709"/>
        <w:rPr>
          <w:rFonts w:ascii="Arial" w:eastAsia="Arial" w:hAnsi="Arial" w:cs="Arial"/>
          <w:sz w:val="22"/>
          <w:szCs w:val="22"/>
        </w:rPr>
      </w:pPr>
    </w:p>
    <w:p w14:paraId="786E15C3" w14:textId="77777777" w:rsidR="009E3AC0" w:rsidRPr="00A5537E" w:rsidRDefault="00622B0F">
      <w:pPr>
        <w:spacing w:after="120" w:line="240" w:lineRule="auto"/>
        <w:ind w:left="709" w:right="709"/>
        <w:rPr>
          <w:rFonts w:ascii="Arial" w:eastAsia="Arial" w:hAnsi="Arial" w:cs="Arial"/>
          <w:sz w:val="21"/>
          <w:szCs w:val="21"/>
        </w:rPr>
      </w:pPr>
      <w:r w:rsidRPr="00A5537E">
        <w:rPr>
          <w:rFonts w:ascii="Arial" w:eastAsia="Arial" w:hAnsi="Arial" w:cs="Arial"/>
          <w:sz w:val="21"/>
          <w:szCs w:val="21"/>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245C404" w14:textId="77777777" w:rsidR="009E3AC0" w:rsidRPr="00A5537E" w:rsidRDefault="00622B0F">
      <w:pPr>
        <w:spacing w:after="0" w:line="240" w:lineRule="auto"/>
        <w:ind w:left="709" w:right="709"/>
        <w:rPr>
          <w:rFonts w:ascii="Arial" w:eastAsia="Arial" w:hAnsi="Arial" w:cs="Arial"/>
          <w:sz w:val="21"/>
          <w:szCs w:val="21"/>
        </w:rPr>
      </w:pPr>
      <w:r w:rsidRPr="00A5537E">
        <w:rPr>
          <w:rFonts w:ascii="Arial" w:eastAsia="Arial" w:hAnsi="Arial" w:cs="Arial"/>
          <w:sz w:val="21"/>
          <w:szCs w:val="21"/>
        </w:rPr>
        <w:t>La jurisprudencia de la Corte Constitucional</w:t>
      </w:r>
      <w:r w:rsidRPr="00A5537E">
        <w:rPr>
          <w:rFonts w:ascii="Arial" w:eastAsia="Arial" w:hAnsi="Arial" w:cs="Arial"/>
          <w:sz w:val="21"/>
          <w:szCs w:val="21"/>
          <w:vertAlign w:val="superscript"/>
        </w:rPr>
        <w:footnoteReference w:id="6"/>
      </w:r>
      <w:r w:rsidRPr="00A5537E">
        <w:rPr>
          <w:rFonts w:ascii="Arial" w:eastAsia="Arial" w:hAnsi="Arial" w:cs="Arial"/>
          <w:sz w:val="21"/>
          <w:szCs w:val="21"/>
        </w:rPr>
        <w:t> y del Consejo de Estado</w:t>
      </w:r>
      <w:r w:rsidRPr="00A5537E">
        <w:rPr>
          <w:rFonts w:ascii="Arial" w:eastAsia="Arial" w:hAnsi="Arial" w:cs="Arial"/>
          <w:sz w:val="21"/>
          <w:szCs w:val="21"/>
          <w:vertAlign w:val="superscript"/>
        </w:rPr>
        <w:footnoteReference w:id="7"/>
      </w:r>
      <w:r w:rsidRPr="00A5537E">
        <w:rPr>
          <w:rFonts w:ascii="Arial" w:eastAsia="Arial" w:hAnsi="Arial" w:cs="Arial"/>
          <w:sz w:val="21"/>
          <w:szCs w:val="21"/>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w:t>
      </w:r>
      <w:r w:rsidRPr="00A5537E">
        <w:rPr>
          <w:rFonts w:ascii="Arial" w:eastAsia="Arial" w:hAnsi="Arial" w:cs="Arial"/>
          <w:sz w:val="21"/>
          <w:szCs w:val="21"/>
        </w:rPr>
        <w:lastRenderedPageBreak/>
        <w:t>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A5537E">
        <w:rPr>
          <w:rFonts w:ascii="Arial" w:eastAsia="Arial" w:hAnsi="Arial" w:cs="Arial"/>
          <w:sz w:val="22"/>
          <w:szCs w:val="22"/>
          <w:vertAlign w:val="superscript"/>
        </w:rPr>
        <w:footnoteReference w:id="8"/>
      </w:r>
      <w:r w:rsidRPr="00A5537E">
        <w:rPr>
          <w:rFonts w:ascii="Arial" w:eastAsia="Arial" w:hAnsi="Arial" w:cs="Arial"/>
          <w:sz w:val="21"/>
          <w:szCs w:val="21"/>
        </w:rPr>
        <w:t>.</w:t>
      </w:r>
    </w:p>
    <w:p w14:paraId="397D8FC4" w14:textId="77777777" w:rsidR="009E3AC0" w:rsidRPr="00A5537E" w:rsidRDefault="009E3AC0">
      <w:pPr>
        <w:spacing w:after="0"/>
        <w:ind w:right="709"/>
        <w:rPr>
          <w:rFonts w:ascii="Arial" w:eastAsia="Arial" w:hAnsi="Arial" w:cs="Arial"/>
          <w:sz w:val="21"/>
          <w:szCs w:val="21"/>
        </w:rPr>
      </w:pPr>
    </w:p>
    <w:p w14:paraId="21012287" w14:textId="77777777" w:rsidR="009E3AC0" w:rsidRPr="00A5537E" w:rsidRDefault="00622B0F">
      <w:pPr>
        <w:spacing w:after="120"/>
        <w:rPr>
          <w:rFonts w:ascii="Arial" w:eastAsia="Arial" w:hAnsi="Arial" w:cs="Arial"/>
          <w:sz w:val="22"/>
          <w:szCs w:val="22"/>
        </w:rPr>
      </w:pPr>
      <w:bookmarkStart w:id="15" w:name="_lnxbz9" w:colFirst="0" w:colLast="0"/>
      <w:bookmarkEnd w:id="15"/>
      <w:r w:rsidRPr="00A5537E">
        <w:rPr>
          <w:rFonts w:ascii="Arial" w:eastAsia="Arial" w:hAnsi="Arial" w:cs="Arial"/>
          <w:sz w:val="22"/>
          <w:szCs w:val="22"/>
        </w:rPr>
        <w:tab/>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43966418" w14:textId="77777777" w:rsidR="009E3AC0" w:rsidRPr="00A5537E" w:rsidRDefault="00622B0F">
      <w:pPr>
        <w:spacing w:after="120"/>
        <w:ind w:firstLine="708"/>
        <w:rPr>
          <w:rFonts w:ascii="Arial" w:eastAsia="Arial" w:hAnsi="Arial" w:cs="Arial"/>
          <w:sz w:val="22"/>
          <w:szCs w:val="22"/>
        </w:rPr>
      </w:pPr>
      <w:r w:rsidRPr="00A5537E">
        <w:rPr>
          <w:rFonts w:ascii="Arial" w:eastAsia="Arial" w:hAnsi="Arial" w:cs="Arial"/>
          <w:sz w:val="22"/>
          <w:szCs w:val="22"/>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5537E">
        <w:rPr>
          <w:rFonts w:ascii="Arial" w:eastAsia="Arial" w:hAnsi="Arial" w:cs="Arial"/>
          <w:sz w:val="22"/>
          <w:szCs w:val="22"/>
          <w:vertAlign w:val="superscript"/>
        </w:rPr>
        <w:footnoteReference w:id="9"/>
      </w:r>
      <w:r w:rsidRPr="00A5537E">
        <w:rPr>
          <w:rFonts w:ascii="Arial" w:eastAsia="Arial" w:hAnsi="Arial" w:cs="Arial"/>
          <w:sz w:val="22"/>
          <w:szCs w:val="22"/>
        </w:rPr>
        <w:t>.</w:t>
      </w:r>
    </w:p>
    <w:p w14:paraId="7B8AB865" w14:textId="77777777" w:rsidR="009E3AC0" w:rsidRPr="00A5537E" w:rsidRDefault="00622B0F">
      <w:pPr>
        <w:widowControl w:val="0"/>
        <w:spacing w:after="0"/>
        <w:ind w:right="113" w:firstLine="708"/>
        <w:rPr>
          <w:rFonts w:ascii="Arial" w:eastAsia="Arial" w:hAnsi="Arial" w:cs="Arial"/>
          <w:sz w:val="22"/>
          <w:szCs w:val="22"/>
        </w:rPr>
      </w:pPr>
      <w:r w:rsidRPr="00A5537E">
        <w:rPr>
          <w:rFonts w:ascii="Arial" w:eastAsia="Arial" w:hAnsi="Arial" w:cs="Arial"/>
          <w:sz w:val="22"/>
          <w:szCs w:val="22"/>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5537E">
        <w:rPr>
          <w:rFonts w:ascii="Arial" w:eastAsia="Arial" w:hAnsi="Arial" w:cs="Arial"/>
          <w:sz w:val="19"/>
          <w:szCs w:val="19"/>
        </w:rPr>
        <w:t>»</w:t>
      </w:r>
      <w:r w:rsidRPr="00A5537E">
        <w:rPr>
          <w:rFonts w:ascii="Arial" w:eastAsia="Arial" w:hAnsi="Arial" w:cs="Arial"/>
          <w:sz w:val="19"/>
          <w:szCs w:val="19"/>
          <w:vertAlign w:val="superscript"/>
        </w:rPr>
        <w:footnoteReference w:id="10"/>
      </w:r>
      <w:r w:rsidRPr="00A5537E">
        <w:rPr>
          <w:rFonts w:ascii="Arial" w:eastAsia="Arial" w:hAnsi="Arial" w:cs="Arial"/>
          <w:sz w:val="22"/>
          <w:szCs w:val="22"/>
        </w:rPr>
        <w:t xml:space="preserve">. La Sala de Consulta y Servicio Civil del Consejo de Estado ha aclarado la </w:t>
      </w:r>
      <w:r w:rsidRPr="00A5537E">
        <w:rPr>
          <w:rFonts w:ascii="Arial" w:eastAsia="Arial" w:hAnsi="Arial" w:cs="Arial"/>
          <w:sz w:val="22"/>
          <w:szCs w:val="22"/>
        </w:rPr>
        <w:lastRenderedPageBreak/>
        <w:t>distinción en la aplicación de las prohibiciones de la Ley 996 de 2005, dependiendo del tipo de elección que se trate. Al respecto, considera que:</w:t>
      </w:r>
    </w:p>
    <w:p w14:paraId="13D0E611" w14:textId="77777777" w:rsidR="009E3AC0" w:rsidRPr="00A5537E" w:rsidRDefault="009E3AC0">
      <w:pPr>
        <w:widowControl w:val="0"/>
        <w:spacing w:after="0"/>
        <w:ind w:left="805" w:right="812"/>
        <w:rPr>
          <w:rFonts w:ascii="Arial" w:eastAsia="Arial" w:hAnsi="Arial" w:cs="Arial"/>
          <w:sz w:val="22"/>
          <w:szCs w:val="22"/>
        </w:rPr>
      </w:pPr>
    </w:p>
    <w:p w14:paraId="5016D8E4" w14:textId="77777777" w:rsidR="009E3AC0" w:rsidRPr="00A5537E" w:rsidRDefault="00622B0F">
      <w:pPr>
        <w:widowControl w:val="0"/>
        <w:spacing w:after="0" w:line="240" w:lineRule="auto"/>
        <w:ind w:left="709" w:right="709"/>
        <w:rPr>
          <w:rFonts w:ascii="Arial" w:eastAsia="Arial" w:hAnsi="Arial" w:cs="Arial"/>
          <w:sz w:val="21"/>
          <w:szCs w:val="21"/>
        </w:rPr>
      </w:pPr>
      <w:bookmarkStart w:id="18" w:name="_35nkun2" w:colFirst="0" w:colLast="0"/>
      <w:bookmarkEnd w:id="18"/>
      <w:r w:rsidRPr="00A5537E">
        <w:rPr>
          <w:rFonts w:ascii="Arial" w:eastAsia="Arial" w:hAnsi="Arial" w:cs="Arial"/>
          <w:sz w:val="21"/>
          <w:szCs w:val="21"/>
        </w:rPr>
        <w:t>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A5537E">
        <w:rPr>
          <w:rFonts w:ascii="Arial" w:eastAsia="Arial" w:hAnsi="Arial" w:cs="Arial"/>
          <w:sz w:val="21"/>
          <w:szCs w:val="21"/>
          <w:vertAlign w:val="superscript"/>
        </w:rPr>
        <w:footnoteReference w:id="11"/>
      </w:r>
    </w:p>
    <w:p w14:paraId="178B7DF2" w14:textId="77777777" w:rsidR="009E3AC0" w:rsidRPr="00A5537E" w:rsidRDefault="009E3AC0">
      <w:pPr>
        <w:widowControl w:val="0"/>
        <w:spacing w:before="8" w:after="0"/>
        <w:jc w:val="left"/>
        <w:rPr>
          <w:rFonts w:ascii="Arial" w:eastAsia="Arial" w:hAnsi="Arial" w:cs="Arial"/>
          <w:sz w:val="26"/>
          <w:szCs w:val="26"/>
        </w:rPr>
      </w:pPr>
    </w:p>
    <w:p w14:paraId="5D6B5B98" w14:textId="77777777" w:rsidR="009E3AC0" w:rsidRPr="00A5537E" w:rsidRDefault="00622B0F">
      <w:pPr>
        <w:spacing w:after="120"/>
        <w:ind w:firstLine="709"/>
        <w:rPr>
          <w:rFonts w:ascii="Arial" w:eastAsia="Arial" w:hAnsi="Arial" w:cs="Arial"/>
          <w:sz w:val="22"/>
          <w:szCs w:val="22"/>
        </w:rPr>
      </w:pPr>
      <w:bookmarkStart w:id="20" w:name="_1ksv4uv" w:colFirst="0" w:colLast="0"/>
      <w:bookmarkEnd w:id="20"/>
      <w:r w:rsidRPr="00A5537E">
        <w:rPr>
          <w:rFonts w:ascii="Arial" w:eastAsia="Arial" w:hAnsi="Arial" w:cs="Arial"/>
          <w:sz w:val="22"/>
          <w:szCs w:val="22"/>
        </w:rPr>
        <w:t xml:space="preserve">De conformidad con lo anterior, la Ley 996 de 2005 establece dos (2) tipos de restricciones en materia de contratación, las cuales coinciden parcialmente. </w:t>
      </w:r>
      <w:r w:rsidRPr="00A5537E">
        <w:rPr>
          <w:rFonts w:ascii="Arial" w:eastAsia="Arial" w:hAnsi="Arial" w:cs="Arial"/>
          <w:i/>
          <w:sz w:val="22"/>
          <w:szCs w:val="22"/>
        </w:rPr>
        <w:t>En primer lugar</w:t>
      </w:r>
      <w:r w:rsidRPr="00A5537E">
        <w:rPr>
          <w:rFonts w:ascii="Arial" w:eastAsia="Arial" w:hAnsi="Arial" w:cs="Arial"/>
          <w:sz w:val="22"/>
          <w:szCs w:val="22"/>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A5537E">
        <w:rPr>
          <w:rFonts w:ascii="Arial" w:eastAsia="Arial" w:hAnsi="Arial" w:cs="Arial"/>
          <w:i/>
          <w:sz w:val="22"/>
          <w:szCs w:val="22"/>
        </w:rPr>
        <w:t>En segundo lugar</w:t>
      </w:r>
      <w:r w:rsidRPr="00A5537E">
        <w:rPr>
          <w:rFonts w:ascii="Arial" w:eastAsia="Arial" w:hAnsi="Arial" w:cs="Arial"/>
          <w:sz w:val="22"/>
          <w:szCs w:val="22"/>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AA5B646" w14:textId="77777777" w:rsidR="009E3AC0" w:rsidRPr="00A5537E" w:rsidRDefault="00622B0F">
      <w:pPr>
        <w:spacing w:after="120"/>
        <w:ind w:firstLine="709"/>
        <w:rPr>
          <w:rFonts w:ascii="Arial" w:eastAsia="Arial" w:hAnsi="Arial" w:cs="Arial"/>
          <w:sz w:val="22"/>
          <w:szCs w:val="22"/>
        </w:rPr>
      </w:pPr>
      <w:r w:rsidRPr="00A5537E">
        <w:rPr>
          <w:rFonts w:ascii="Arial" w:eastAsia="Arial" w:hAnsi="Arial" w:cs="Arial"/>
          <w:sz w:val="22"/>
          <w:szCs w:val="22"/>
        </w:rPr>
        <w:lastRenderedPageBreak/>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424E9663" w14:textId="77777777" w:rsidR="009E3AC0" w:rsidRPr="00A5537E" w:rsidRDefault="00622B0F">
      <w:pPr>
        <w:spacing w:after="0"/>
        <w:ind w:firstLine="708"/>
        <w:rPr>
          <w:rFonts w:ascii="Arial" w:eastAsia="Arial" w:hAnsi="Arial" w:cs="Arial"/>
          <w:sz w:val="22"/>
          <w:szCs w:val="22"/>
        </w:rPr>
      </w:pPr>
      <w:r w:rsidRPr="00A5537E">
        <w:rPr>
          <w:rFonts w:ascii="Arial" w:eastAsia="Arial" w:hAnsi="Arial" w:cs="Arial"/>
          <w:sz w:val="22"/>
          <w:szCs w:val="22"/>
        </w:rPr>
        <w:t xml:space="preserve">La Corte Constitucional, en la Sentencia C-1153 del 11 de noviembre de 2005, señaló que, para que la garantía sea plena, era necesario que la prohibición se aplicara para el Presidente o el Vicepresidente desde que estos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BEC30A6" w14:textId="77777777" w:rsidR="009E3AC0" w:rsidRPr="00A5537E" w:rsidRDefault="009E3AC0">
      <w:pPr>
        <w:spacing w:after="0"/>
        <w:rPr>
          <w:rFonts w:ascii="Arial" w:eastAsia="Arial" w:hAnsi="Arial" w:cs="Arial"/>
          <w:sz w:val="22"/>
          <w:szCs w:val="22"/>
        </w:rPr>
      </w:pPr>
    </w:p>
    <w:p w14:paraId="0F134499" w14:textId="0A6AAB05" w:rsidR="009E3AC0" w:rsidRPr="00A5537E" w:rsidRDefault="00622B0F">
      <w:pPr>
        <w:spacing w:after="0"/>
        <w:rPr>
          <w:rFonts w:ascii="Arial" w:eastAsia="Arial" w:hAnsi="Arial" w:cs="Arial"/>
          <w:b/>
          <w:sz w:val="22"/>
          <w:szCs w:val="22"/>
        </w:rPr>
      </w:pPr>
      <w:r w:rsidRPr="00A5537E">
        <w:rPr>
          <w:rFonts w:ascii="Arial" w:eastAsia="Arial" w:hAnsi="Arial" w:cs="Arial"/>
          <w:b/>
          <w:sz w:val="22"/>
          <w:szCs w:val="22"/>
        </w:rPr>
        <w:t>2.2. Restricciones en elecciones presidenciales: prohibición del artículo 33 de la Ley 996 de 2005</w:t>
      </w:r>
    </w:p>
    <w:p w14:paraId="713B5175" w14:textId="77777777" w:rsidR="009E3AC0" w:rsidRPr="00A5537E" w:rsidRDefault="009E3AC0">
      <w:pPr>
        <w:spacing w:after="0"/>
        <w:rPr>
          <w:rFonts w:ascii="Arial" w:eastAsia="Arial" w:hAnsi="Arial" w:cs="Arial"/>
          <w:sz w:val="22"/>
          <w:szCs w:val="22"/>
        </w:rPr>
      </w:pPr>
    </w:p>
    <w:p w14:paraId="0BB0F855" w14:textId="77777777" w:rsidR="009E3AC0" w:rsidRPr="00A5537E" w:rsidRDefault="00622B0F">
      <w:pPr>
        <w:spacing w:after="0"/>
        <w:rPr>
          <w:rFonts w:ascii="Arial" w:eastAsia="Arial" w:hAnsi="Arial" w:cs="Arial"/>
          <w:sz w:val="22"/>
          <w:szCs w:val="22"/>
        </w:rPr>
      </w:pPr>
      <w:bookmarkStart w:id="21" w:name="_44sinio" w:colFirst="0" w:colLast="0"/>
      <w:bookmarkEnd w:id="21"/>
      <w:r w:rsidRPr="00A5537E">
        <w:rPr>
          <w:rFonts w:ascii="Arial" w:eastAsia="Arial" w:hAnsi="Arial" w:cs="Arial"/>
          <w:sz w:val="22"/>
          <w:szCs w:val="22"/>
        </w:rPr>
        <w:t xml:space="preserve">El ámbito material de la prohibición contenida en el artículo 33 de la ley 996 de 2005 está delimitado por la expresión </w:t>
      </w:r>
      <w:r w:rsidRPr="00A5537E">
        <w:rPr>
          <w:rFonts w:ascii="Arial" w:eastAsia="Arial" w:hAnsi="Arial" w:cs="Arial"/>
          <w:sz w:val="20"/>
          <w:szCs w:val="20"/>
        </w:rPr>
        <w:t>«</w:t>
      </w:r>
      <w:r w:rsidRPr="00A5537E">
        <w:rPr>
          <w:rFonts w:ascii="Arial" w:eastAsia="Arial" w:hAnsi="Arial" w:cs="Arial"/>
          <w:sz w:val="22"/>
          <w:szCs w:val="22"/>
        </w:rPr>
        <w:t>queda prohibida la contratación directa</w:t>
      </w:r>
      <w:r w:rsidRPr="00A5537E">
        <w:rPr>
          <w:rFonts w:ascii="Arial" w:eastAsia="Arial" w:hAnsi="Arial" w:cs="Arial"/>
          <w:sz w:val="20"/>
          <w:szCs w:val="20"/>
        </w:rPr>
        <w:t>»</w:t>
      </w:r>
      <w:r w:rsidRPr="00A5537E">
        <w:rPr>
          <w:rFonts w:ascii="Arial" w:eastAsia="Arial" w:hAnsi="Arial" w:cs="Arial"/>
          <w:sz w:val="22"/>
          <w:szCs w:val="22"/>
        </w:rPr>
        <w:t>.  A propósito de esta restricción de la Ley de Garantías Electorales, la Sala de Consulta y Servicio Civil del Consejo de Estado ha considerado que:</w:t>
      </w:r>
    </w:p>
    <w:p w14:paraId="1F338E0D" w14:textId="77777777" w:rsidR="009E3AC0" w:rsidRPr="00A5537E" w:rsidRDefault="009E3AC0">
      <w:pPr>
        <w:spacing w:after="0"/>
        <w:ind w:left="708" w:right="709"/>
        <w:rPr>
          <w:rFonts w:ascii="Arial" w:eastAsia="Arial" w:hAnsi="Arial" w:cs="Arial"/>
          <w:sz w:val="21"/>
          <w:szCs w:val="21"/>
        </w:rPr>
      </w:pPr>
    </w:p>
    <w:p w14:paraId="17DD52E8" w14:textId="77777777" w:rsidR="009E3AC0" w:rsidRPr="00A5537E" w:rsidRDefault="00622B0F">
      <w:pPr>
        <w:spacing w:after="120" w:line="240" w:lineRule="auto"/>
        <w:ind w:left="709" w:right="709"/>
        <w:rPr>
          <w:rFonts w:ascii="Arial" w:eastAsia="Arial" w:hAnsi="Arial" w:cs="Arial"/>
          <w:sz w:val="21"/>
          <w:szCs w:val="21"/>
        </w:rPr>
      </w:pPr>
      <w:r w:rsidRPr="00A5537E">
        <w:rPr>
          <w:rFonts w:ascii="Arial" w:eastAsia="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A5537E">
        <w:rPr>
          <w:rFonts w:ascii="Arial" w:eastAsia="Arial" w:hAnsi="Arial" w:cs="Arial"/>
          <w:sz w:val="22"/>
          <w:szCs w:val="22"/>
          <w:vertAlign w:val="superscript"/>
        </w:rPr>
        <w:footnoteReference w:id="12"/>
      </w:r>
      <w:r w:rsidRPr="00A5537E">
        <w:rPr>
          <w:rFonts w:ascii="Arial" w:eastAsia="Arial" w:hAnsi="Arial" w:cs="Arial"/>
          <w:sz w:val="21"/>
          <w:szCs w:val="21"/>
        </w:rPr>
        <w:t>.</w:t>
      </w:r>
    </w:p>
    <w:p w14:paraId="20C23B04" w14:textId="77777777" w:rsidR="009E3AC0" w:rsidRPr="00A5537E" w:rsidRDefault="00622B0F">
      <w:pPr>
        <w:spacing w:after="0" w:line="240" w:lineRule="auto"/>
        <w:ind w:left="708" w:right="709"/>
        <w:rPr>
          <w:rFonts w:ascii="Arial" w:eastAsia="Arial" w:hAnsi="Arial" w:cs="Arial"/>
          <w:sz w:val="21"/>
          <w:szCs w:val="21"/>
        </w:rPr>
      </w:pPr>
      <w:bookmarkStart w:id="24" w:name="_2jxsxqh" w:colFirst="0" w:colLast="0"/>
      <w:bookmarkEnd w:id="24"/>
      <w:r w:rsidRPr="00A5537E">
        <w:rPr>
          <w:rFonts w:ascii="Arial" w:eastAsia="Arial" w:hAnsi="Arial" w:cs="Arial"/>
          <w:sz w:val="21"/>
          <w:szCs w:val="21"/>
        </w:rPr>
        <w:t xml:space="preserve">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w:t>
      </w:r>
      <w:r w:rsidRPr="00A5537E">
        <w:rPr>
          <w:rFonts w:ascii="Arial" w:eastAsia="Arial" w:hAnsi="Arial" w:cs="Arial"/>
          <w:sz w:val="21"/>
          <w:szCs w:val="21"/>
        </w:rPr>
        <w:lastRenderedPageBreak/>
        <w:t>de un proceso de licitación pública o concurso</w:t>
      </w:r>
      <w:r w:rsidRPr="00A5537E">
        <w:rPr>
          <w:rFonts w:ascii="Arial" w:eastAsia="Arial" w:hAnsi="Arial" w:cs="Arial"/>
          <w:sz w:val="21"/>
          <w:szCs w:val="21"/>
          <w:vertAlign w:val="superscript"/>
        </w:rPr>
        <w:footnoteReference w:id="13"/>
      </w:r>
      <w:r w:rsidRPr="00A5537E">
        <w:rPr>
          <w:rFonts w:ascii="Arial" w:eastAsia="Arial" w:hAnsi="Arial" w:cs="Arial"/>
          <w:sz w:val="21"/>
          <w:szCs w:val="21"/>
          <w:vertAlign w:val="superscript"/>
        </w:rPr>
        <w:t>.</w:t>
      </w:r>
      <w:r w:rsidRPr="00A5537E">
        <w:rPr>
          <w:rFonts w:ascii="Arial" w:eastAsia="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A5537E">
        <w:rPr>
          <w:rFonts w:ascii="Arial" w:eastAsia="Arial" w:hAnsi="Arial" w:cs="Arial"/>
          <w:sz w:val="22"/>
          <w:szCs w:val="22"/>
          <w:vertAlign w:val="superscript"/>
        </w:rPr>
        <w:footnoteReference w:id="14"/>
      </w:r>
      <w:r w:rsidRPr="00A5537E">
        <w:rPr>
          <w:rFonts w:ascii="Arial" w:eastAsia="Arial" w:hAnsi="Arial" w:cs="Arial"/>
          <w:sz w:val="21"/>
          <w:szCs w:val="21"/>
        </w:rPr>
        <w:t xml:space="preserve"> .</w:t>
      </w:r>
    </w:p>
    <w:p w14:paraId="565ECCC9" w14:textId="77777777" w:rsidR="009E3AC0" w:rsidRPr="00A5537E" w:rsidRDefault="009E3AC0">
      <w:pPr>
        <w:shd w:val="clear" w:color="auto" w:fill="FFFFFF"/>
        <w:spacing w:after="0"/>
        <w:ind w:firstLine="709"/>
        <w:rPr>
          <w:rFonts w:ascii="Arial" w:eastAsia="Arial" w:hAnsi="Arial" w:cs="Arial"/>
          <w:sz w:val="22"/>
          <w:szCs w:val="22"/>
        </w:rPr>
      </w:pPr>
    </w:p>
    <w:p w14:paraId="0DE32E0A" w14:textId="15C42BAF" w:rsidR="009E3AC0" w:rsidRPr="00A5537E" w:rsidRDefault="00622B0F">
      <w:pPr>
        <w:spacing w:after="120"/>
        <w:ind w:firstLine="708"/>
        <w:rPr>
          <w:rFonts w:ascii="Arial" w:eastAsia="Arial" w:hAnsi="Arial" w:cs="Arial"/>
          <w:sz w:val="22"/>
          <w:szCs w:val="22"/>
        </w:rPr>
      </w:pPr>
      <w:bookmarkStart w:id="26" w:name="_z337ya" w:colFirst="0" w:colLast="0"/>
      <w:bookmarkEnd w:id="26"/>
      <w:r w:rsidRPr="00A5537E">
        <w:rPr>
          <w:rFonts w:ascii="Arial" w:eastAsia="Arial" w:hAnsi="Arial" w:cs="Arial"/>
          <w:sz w:val="22"/>
          <w:szCs w:val="22"/>
        </w:rPr>
        <w:t xml:space="preserve">De conformidad con el citado concepto, la prohibición del artículo 33 de la Ley de Garantías Electorales se refiere a </w:t>
      </w:r>
      <w:r w:rsidRPr="00A5537E">
        <w:rPr>
          <w:rFonts w:ascii="Arial" w:eastAsia="Arial" w:hAnsi="Arial" w:cs="Arial"/>
          <w:sz w:val="19"/>
          <w:szCs w:val="19"/>
        </w:rPr>
        <w:t>«</w:t>
      </w:r>
      <w:r w:rsidRPr="00A5537E">
        <w:rPr>
          <w:rFonts w:ascii="Arial" w:eastAsia="Arial" w:hAnsi="Arial" w:cs="Arial"/>
          <w:sz w:val="22"/>
          <w:szCs w:val="22"/>
        </w:rPr>
        <w:t>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A5537E">
        <w:rPr>
          <w:rFonts w:ascii="Arial" w:eastAsia="Arial" w:hAnsi="Arial" w:cs="Arial"/>
          <w:sz w:val="22"/>
          <w:szCs w:val="22"/>
          <w:vertAlign w:val="superscript"/>
        </w:rPr>
        <w:footnoteReference w:id="15"/>
      </w:r>
      <w:r w:rsidRPr="00A5537E">
        <w:rPr>
          <w:rFonts w:ascii="Arial" w:eastAsia="Arial" w:hAnsi="Arial" w:cs="Arial"/>
          <w:sz w:val="22"/>
          <w:szCs w:val="22"/>
        </w:rPr>
        <w:t xml:space="preserve"> y sistematizó las causales de contratación directa</w:t>
      </w:r>
      <w:r w:rsidRPr="00A5537E">
        <w:rPr>
          <w:rFonts w:ascii="Arial" w:eastAsia="Arial" w:hAnsi="Arial" w:cs="Arial"/>
          <w:sz w:val="22"/>
          <w:szCs w:val="22"/>
          <w:vertAlign w:val="superscript"/>
        </w:rPr>
        <w:footnoteReference w:id="16"/>
      </w:r>
      <w:r w:rsidRPr="00A5537E">
        <w:rPr>
          <w:rFonts w:ascii="Arial" w:eastAsia="Arial" w:hAnsi="Arial" w:cs="Arial"/>
          <w:sz w:val="22"/>
          <w:szCs w:val="22"/>
        </w:rPr>
        <w:t xml:space="preserve">, además lo es con la posterior creación de la modalidad de mínima cuantía establecida actualmente en el numeral 5 del artículo 2 de la Ley 1150 de 2007, de acuerdo con las modificaciones realizadas por leyes posteriores. </w:t>
      </w:r>
    </w:p>
    <w:p w14:paraId="5F69E223" w14:textId="40A10F53" w:rsidR="009E3AC0" w:rsidRPr="00A5537E" w:rsidRDefault="00622B0F">
      <w:pPr>
        <w:spacing w:after="120"/>
        <w:ind w:firstLine="708"/>
        <w:rPr>
          <w:rFonts w:ascii="Arial" w:eastAsia="Arial" w:hAnsi="Arial" w:cs="Arial"/>
          <w:sz w:val="22"/>
          <w:szCs w:val="22"/>
        </w:rPr>
      </w:pPr>
      <w:r w:rsidRPr="00A5537E">
        <w:rPr>
          <w:rFonts w:ascii="Arial" w:eastAsia="Arial" w:hAnsi="Arial" w:cs="Arial"/>
          <w:sz w:val="22"/>
          <w:szCs w:val="22"/>
        </w:rPr>
        <w:t xml:space="preserve">De esta forma, con fundamento en la evolución normativa de la contratación pública, se ha depurado la noción de </w:t>
      </w:r>
      <w:r w:rsidRPr="00A5537E">
        <w:rPr>
          <w:rFonts w:ascii="Arial" w:eastAsia="Arial" w:hAnsi="Arial" w:cs="Arial"/>
          <w:sz w:val="19"/>
          <w:szCs w:val="19"/>
        </w:rPr>
        <w:t>«</w:t>
      </w:r>
      <w:r w:rsidRPr="00A5537E">
        <w:rPr>
          <w:rFonts w:ascii="Arial" w:eastAsia="Arial" w:hAnsi="Arial" w:cs="Arial"/>
          <w:sz w:val="22"/>
          <w:szCs w:val="22"/>
        </w:rPr>
        <w:t>contratación directa»,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A5537E">
        <w:rPr>
          <w:rFonts w:ascii="Arial" w:eastAsia="Arial" w:hAnsi="Arial" w:cs="Arial"/>
          <w:sz w:val="22"/>
          <w:szCs w:val="22"/>
          <w:vertAlign w:val="superscript"/>
        </w:rPr>
        <w:footnoteReference w:id="17"/>
      </w:r>
      <w:r w:rsidRPr="00A5537E">
        <w:rPr>
          <w:rFonts w:ascii="Arial" w:eastAsia="Arial" w:hAnsi="Arial" w:cs="Arial"/>
          <w:sz w:val="22"/>
          <w:szCs w:val="22"/>
        </w:rPr>
        <w:t xml:space="preserve">, han establecido sistemas de contratación que implican convocatoria pública y participación de varios oferentes». </w:t>
      </w:r>
    </w:p>
    <w:p w14:paraId="7C1554DE" w14:textId="77777777" w:rsidR="009E3AC0" w:rsidRPr="00A5537E" w:rsidRDefault="00622B0F">
      <w:pPr>
        <w:spacing w:after="120"/>
        <w:ind w:firstLine="708"/>
        <w:rPr>
          <w:rFonts w:ascii="Arial" w:eastAsia="Arial" w:hAnsi="Arial" w:cs="Arial"/>
          <w:sz w:val="22"/>
          <w:szCs w:val="22"/>
        </w:rPr>
      </w:pPr>
      <w:bookmarkStart w:id="29" w:name="_3j2qqm3" w:colFirst="0" w:colLast="0"/>
      <w:bookmarkEnd w:id="29"/>
      <w:r w:rsidRPr="00A5537E">
        <w:rPr>
          <w:rFonts w:ascii="Arial" w:eastAsia="Arial" w:hAnsi="Arial" w:cs="Arial"/>
          <w:sz w:val="22"/>
          <w:szCs w:val="22"/>
        </w:rPr>
        <w:t xml:space="preserve">En efecto, vale la pena mencionar que, en algunos sistemas de contratación, utilizados por entidades públicas con regímenes especiales, o sujetas al derecho privado, la convocatoria o invitación para contratar puede limitarse a aquellas personas que </w:t>
      </w:r>
      <w:r w:rsidRPr="00A5537E">
        <w:rPr>
          <w:rFonts w:ascii="Arial" w:eastAsia="Arial" w:hAnsi="Arial" w:cs="Arial"/>
          <w:sz w:val="22"/>
          <w:szCs w:val="22"/>
        </w:rPr>
        <w:lastRenderedPageBreak/>
        <w:t>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A5537E">
        <w:rPr>
          <w:rFonts w:ascii="Arial" w:eastAsia="Arial" w:hAnsi="Arial" w:cs="Arial"/>
          <w:sz w:val="22"/>
          <w:szCs w:val="22"/>
          <w:vertAlign w:val="superscript"/>
        </w:rPr>
        <w:footnoteReference w:id="18"/>
      </w:r>
      <w:r w:rsidRPr="00A5537E">
        <w:rPr>
          <w:rFonts w:ascii="Arial" w:eastAsia="Arial" w:hAnsi="Arial" w:cs="Arial"/>
          <w:sz w:val="22"/>
          <w:szCs w:val="22"/>
        </w:rPr>
        <w:t xml:space="preserve">. </w:t>
      </w:r>
    </w:p>
    <w:p w14:paraId="5965C806" w14:textId="7DD5B5A5" w:rsidR="009E3AC0" w:rsidRPr="00A5537E" w:rsidRDefault="00622B0F">
      <w:pPr>
        <w:spacing w:after="120"/>
        <w:ind w:firstLine="708"/>
        <w:rPr>
          <w:rFonts w:ascii="Arial" w:eastAsia="Arial" w:hAnsi="Arial" w:cs="Arial"/>
          <w:sz w:val="22"/>
          <w:szCs w:val="22"/>
        </w:rPr>
      </w:pPr>
      <w:r w:rsidRPr="00A5537E">
        <w:rPr>
          <w:rFonts w:ascii="Arial" w:eastAsia="Arial" w:hAnsi="Arial" w:cs="Arial"/>
          <w:sz w:val="22"/>
          <w:szCs w:val="22"/>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30B7864A" w14:textId="0AA67A9F" w:rsidR="009E3AC0" w:rsidRPr="00A5537E" w:rsidRDefault="00622B0F">
      <w:pPr>
        <w:spacing w:after="120"/>
        <w:ind w:firstLine="708"/>
        <w:rPr>
          <w:rFonts w:ascii="Arial" w:eastAsia="Arial" w:hAnsi="Arial" w:cs="Arial"/>
          <w:sz w:val="22"/>
          <w:szCs w:val="22"/>
        </w:rPr>
      </w:pPr>
      <w:bookmarkStart w:id="30" w:name="_1y810tw" w:colFirst="0" w:colLast="0"/>
      <w:bookmarkEnd w:id="30"/>
      <w:r w:rsidRPr="00A5537E">
        <w:rPr>
          <w:rFonts w:ascii="Arial" w:eastAsia="Arial" w:hAnsi="Arial" w:cs="Arial"/>
          <w:sz w:val="22"/>
          <w:szCs w:val="22"/>
        </w:rPr>
        <w:t xml:space="preserve"> Así las cosas, 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A5537E">
        <w:rPr>
          <w:rFonts w:ascii="Arial" w:eastAsia="Arial" w:hAnsi="Arial" w:cs="Arial"/>
          <w:sz w:val="22"/>
          <w:szCs w:val="22"/>
          <w:vertAlign w:val="superscript"/>
        </w:rPr>
        <w:footnoteReference w:id="19"/>
      </w:r>
      <w:r w:rsidRPr="00A5537E">
        <w:rPr>
          <w:rFonts w:ascii="Arial" w:eastAsia="Arial" w:hAnsi="Arial" w:cs="Arial"/>
          <w:sz w:val="22"/>
          <w:szCs w:val="22"/>
        </w:rPr>
        <w:t>.</w:t>
      </w:r>
      <w:r w:rsidRPr="00A5537E">
        <w:rPr>
          <w:rFonts w:ascii="Arial" w:eastAsia="Arial" w:hAnsi="Arial" w:cs="Arial"/>
          <w:sz w:val="22"/>
          <w:szCs w:val="22"/>
          <w:vertAlign w:val="superscript"/>
        </w:rPr>
        <w:t xml:space="preserve"> </w:t>
      </w:r>
    </w:p>
    <w:p w14:paraId="0BA7A53E" w14:textId="3123A8B1" w:rsidR="009E3AC0" w:rsidRPr="00A5537E" w:rsidRDefault="00622B0F">
      <w:pPr>
        <w:spacing w:after="120"/>
        <w:ind w:firstLine="708"/>
        <w:rPr>
          <w:rFonts w:ascii="Arial" w:eastAsia="Arial" w:hAnsi="Arial" w:cs="Arial"/>
          <w:sz w:val="22"/>
          <w:szCs w:val="22"/>
        </w:rPr>
      </w:pPr>
      <w:r w:rsidRPr="00A5537E">
        <w:rPr>
          <w:rFonts w:ascii="Arial" w:eastAsia="Arial" w:hAnsi="Arial" w:cs="Arial"/>
          <w:sz w:val="22"/>
          <w:szCs w:val="22"/>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estas modalidades.</w:t>
      </w:r>
    </w:p>
    <w:p w14:paraId="397B05A1" w14:textId="77777777" w:rsidR="009E3AC0" w:rsidRPr="00A5537E" w:rsidRDefault="00622B0F">
      <w:pPr>
        <w:spacing w:after="120"/>
        <w:ind w:firstLine="708"/>
        <w:rPr>
          <w:rFonts w:ascii="Arial" w:eastAsia="Arial" w:hAnsi="Arial" w:cs="Arial"/>
          <w:sz w:val="22"/>
          <w:szCs w:val="22"/>
        </w:rPr>
      </w:pPr>
      <w:bookmarkStart w:id="31" w:name="_4i7ojhp" w:colFirst="0" w:colLast="0"/>
      <w:bookmarkEnd w:id="31"/>
      <w:r w:rsidRPr="00A5537E">
        <w:rPr>
          <w:rFonts w:ascii="Arial" w:eastAsia="Arial" w:hAnsi="Arial" w:cs="Arial"/>
          <w:sz w:val="22"/>
          <w:szCs w:val="22"/>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3F93BD9E" w14:textId="400B59E7" w:rsidR="009E3AC0" w:rsidRPr="00A5537E" w:rsidRDefault="00622B0F">
      <w:pPr>
        <w:spacing w:after="120"/>
        <w:ind w:firstLine="708"/>
        <w:rPr>
          <w:rFonts w:ascii="Arial" w:eastAsia="Arial" w:hAnsi="Arial" w:cs="Arial"/>
          <w:sz w:val="22"/>
          <w:szCs w:val="22"/>
        </w:rPr>
      </w:pPr>
      <w:r w:rsidRPr="00A5537E">
        <w:rPr>
          <w:rFonts w:ascii="Arial" w:eastAsia="Arial" w:hAnsi="Arial" w:cs="Arial"/>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w:t>
      </w:r>
      <w:r w:rsidRPr="00A5537E">
        <w:rPr>
          <w:rFonts w:ascii="Arial" w:eastAsia="Arial" w:hAnsi="Arial" w:cs="Arial"/>
          <w:sz w:val="22"/>
          <w:szCs w:val="22"/>
        </w:rPr>
        <w:lastRenderedPageBreak/>
        <w:t>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1DE1EDB" w14:textId="77777777" w:rsidR="009E3AC0" w:rsidRPr="00A5537E" w:rsidRDefault="00622B0F" w:rsidP="00A5537E">
      <w:pPr>
        <w:spacing w:after="120"/>
        <w:ind w:firstLine="709"/>
      </w:pPr>
      <w:r w:rsidRPr="00A5537E">
        <w:rPr>
          <w:rFonts w:ascii="Arial" w:eastAsia="Arial" w:hAnsi="Arial" w:cs="Arial"/>
          <w:sz w:val="22"/>
          <w:szCs w:val="22"/>
        </w:rPr>
        <w:t>En esta labor es importante tener en cuenta, como lo anotó la Corte Constitucional, en Sentencia C-1153 de noviembre 11 de 2005</w:t>
      </w:r>
      <w:r w:rsidRPr="00A5537E">
        <w:rPr>
          <w:vertAlign w:val="superscript"/>
        </w:rPr>
        <w:t>,</w:t>
      </w:r>
      <w:r w:rsidRPr="00A5537E">
        <w:rPr>
          <w:rFonts w:ascii="Arial" w:eastAsia="Arial" w:hAnsi="Arial" w:cs="Arial"/>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A5537E">
        <w:rPr>
          <w:rFonts w:ascii="Arial" w:eastAsia="Arial" w:hAnsi="Arial" w:cs="Arial"/>
          <w:sz w:val="22"/>
          <w:szCs w:val="22"/>
          <w:vertAlign w:val="superscript"/>
        </w:rPr>
        <w:footnoteReference w:id="20"/>
      </w:r>
      <w:r w:rsidRPr="00A5537E">
        <w:rPr>
          <w:rFonts w:ascii="Arial" w:eastAsia="Arial" w:hAnsi="Arial" w:cs="Arial"/>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2" w:name="_2xcytpi" w:colFirst="0" w:colLast="0"/>
      <w:bookmarkEnd w:id="32"/>
    </w:p>
    <w:p w14:paraId="615283D5" w14:textId="77777777" w:rsidR="009E3AC0" w:rsidRPr="00A5537E" w:rsidRDefault="00622B0F">
      <w:pPr>
        <w:spacing w:after="0"/>
        <w:ind w:firstLine="708"/>
        <w:rPr>
          <w:rFonts w:ascii="Arial" w:eastAsia="Arial" w:hAnsi="Arial" w:cs="Arial"/>
          <w:sz w:val="22"/>
          <w:szCs w:val="22"/>
        </w:rPr>
      </w:pPr>
      <w:r w:rsidRPr="00A5537E">
        <w:rPr>
          <w:rFonts w:ascii="Arial" w:eastAsia="Arial" w:hAnsi="Arial" w:cs="Arial"/>
          <w:sz w:val="22"/>
          <w:szCs w:val="22"/>
        </w:rPr>
        <w:t>De conformidad con lo expuesto, se concluye que durante los cuatro (4) meses anteriores a la elección presidencial y hasta la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w:t>
      </w:r>
    </w:p>
    <w:p w14:paraId="35987F23" w14:textId="77777777" w:rsidR="009E3AC0" w:rsidRPr="00A5537E" w:rsidRDefault="009E3AC0">
      <w:pPr>
        <w:spacing w:after="0"/>
        <w:ind w:firstLine="708"/>
        <w:rPr>
          <w:rFonts w:ascii="Arial" w:eastAsia="Arial" w:hAnsi="Arial" w:cs="Arial"/>
          <w:sz w:val="22"/>
          <w:szCs w:val="22"/>
        </w:rPr>
      </w:pPr>
    </w:p>
    <w:p w14:paraId="365225C0" w14:textId="77777777" w:rsidR="009E3AC0" w:rsidRPr="00A5537E" w:rsidRDefault="00622B0F">
      <w:pPr>
        <w:spacing w:after="0"/>
        <w:rPr>
          <w:rFonts w:ascii="Arial" w:eastAsia="Arial" w:hAnsi="Arial" w:cs="Arial"/>
          <w:b/>
          <w:sz w:val="22"/>
          <w:szCs w:val="22"/>
        </w:rPr>
      </w:pPr>
      <w:r w:rsidRPr="00A5537E">
        <w:rPr>
          <w:rFonts w:ascii="Arial" w:eastAsia="Arial" w:hAnsi="Arial" w:cs="Arial"/>
          <w:b/>
          <w:sz w:val="22"/>
          <w:szCs w:val="22"/>
        </w:rPr>
        <w:t>2.3.  Destinatarios de la restricción del artículo 33 de la Ley 996 de 2005</w:t>
      </w:r>
    </w:p>
    <w:p w14:paraId="087F0DE5" w14:textId="77777777" w:rsidR="009E3AC0" w:rsidRPr="00A5537E" w:rsidRDefault="009E3AC0">
      <w:pPr>
        <w:spacing w:after="0"/>
        <w:rPr>
          <w:rFonts w:ascii="Arial" w:eastAsia="Arial" w:hAnsi="Arial" w:cs="Arial"/>
          <w:sz w:val="22"/>
          <w:szCs w:val="22"/>
        </w:rPr>
      </w:pPr>
    </w:p>
    <w:p w14:paraId="0D44C730" w14:textId="77777777" w:rsidR="009E3AC0" w:rsidRPr="00A5537E" w:rsidRDefault="00622B0F">
      <w:pPr>
        <w:spacing w:after="0"/>
        <w:rPr>
          <w:rFonts w:ascii="Arial" w:eastAsia="Arial" w:hAnsi="Arial" w:cs="Arial"/>
          <w:sz w:val="22"/>
          <w:szCs w:val="22"/>
        </w:rPr>
      </w:pPr>
      <w:bookmarkStart w:id="33" w:name="_1ci93xb" w:colFirst="0" w:colLast="0"/>
      <w:bookmarkEnd w:id="33"/>
      <w:r w:rsidRPr="00A5537E">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A5537E">
        <w:t xml:space="preserve"> </w:t>
      </w:r>
      <w:r w:rsidRPr="00A5537E">
        <w:rPr>
          <w:rFonts w:ascii="Arial" w:eastAsia="Arial" w:hAnsi="Arial" w:cs="Arial"/>
          <w:sz w:val="22"/>
          <w:szCs w:val="22"/>
        </w:rPr>
        <w:t>En efecto, tal como lo ha sostenido el Consejo de Estado, el vocablo «todos» utilizado por el legislador comprende</w:t>
      </w:r>
      <w:r w:rsidRPr="00A5537E">
        <w:t xml:space="preserve"> </w:t>
      </w:r>
      <w:r w:rsidRPr="00A5537E">
        <w:rPr>
          <w:rFonts w:ascii="Arial" w:eastAsia="Arial" w:hAnsi="Arial" w:cs="Arial"/>
          <w:sz w:val="22"/>
          <w:szCs w:val="22"/>
        </w:rPr>
        <w:t xml:space="preserve">a la totalidad de los entes del Estado, sin distinción del régimen </w:t>
      </w:r>
      <w:r w:rsidRPr="00A5537E">
        <w:rPr>
          <w:rFonts w:ascii="Arial" w:eastAsia="Arial" w:hAnsi="Arial" w:cs="Arial"/>
          <w:sz w:val="22"/>
          <w:szCs w:val="22"/>
        </w:rPr>
        <w:lastRenderedPageBreak/>
        <w:t xml:space="preserve">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229A2A5F" w14:textId="77777777" w:rsidR="009E3AC0" w:rsidRPr="00A5537E" w:rsidRDefault="009E3AC0">
      <w:pPr>
        <w:spacing w:after="0"/>
        <w:ind w:firstLine="708"/>
        <w:rPr>
          <w:rFonts w:ascii="Arial" w:eastAsia="Arial" w:hAnsi="Arial" w:cs="Arial"/>
          <w:sz w:val="22"/>
          <w:szCs w:val="22"/>
        </w:rPr>
      </w:pPr>
    </w:p>
    <w:p w14:paraId="0F583F41" w14:textId="77777777" w:rsidR="009E3AC0" w:rsidRPr="00A5537E" w:rsidRDefault="00622B0F">
      <w:pPr>
        <w:spacing w:after="0" w:line="240" w:lineRule="auto"/>
        <w:ind w:left="708" w:right="709"/>
        <w:rPr>
          <w:rFonts w:ascii="Arial" w:eastAsia="Arial" w:hAnsi="Arial" w:cs="Arial"/>
          <w:sz w:val="21"/>
          <w:szCs w:val="21"/>
        </w:rPr>
      </w:pPr>
      <w:bookmarkStart w:id="34" w:name="_3whwml4" w:colFirst="0" w:colLast="0"/>
      <w:bookmarkEnd w:id="34"/>
      <w:r w:rsidRPr="00A5537E">
        <w:rPr>
          <w:rFonts w:ascii="Arial" w:eastAsia="Arial" w:hAnsi="Arial" w:cs="Arial"/>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A5537E">
        <w:rPr>
          <w:rFonts w:ascii="Arial" w:eastAsia="Arial" w:hAnsi="Arial" w:cs="Arial"/>
          <w:sz w:val="21"/>
          <w:szCs w:val="21"/>
          <w:vertAlign w:val="superscript"/>
        </w:rPr>
        <w:footnoteReference w:id="21"/>
      </w:r>
      <w:r w:rsidRPr="00A5537E">
        <w:rPr>
          <w:rFonts w:ascii="Arial" w:eastAsia="Arial" w:hAnsi="Arial" w:cs="Arial"/>
          <w:sz w:val="21"/>
          <w:szCs w:val="21"/>
        </w:rPr>
        <w:t xml:space="preserve">. </w:t>
      </w:r>
    </w:p>
    <w:p w14:paraId="477F51B1" w14:textId="77777777" w:rsidR="009E3AC0" w:rsidRPr="00A5537E" w:rsidRDefault="009E3AC0">
      <w:pPr>
        <w:spacing w:after="0"/>
        <w:ind w:firstLine="708"/>
        <w:rPr>
          <w:rFonts w:ascii="Arial" w:eastAsia="Arial" w:hAnsi="Arial" w:cs="Arial"/>
          <w:sz w:val="22"/>
          <w:szCs w:val="22"/>
        </w:rPr>
      </w:pPr>
    </w:p>
    <w:p w14:paraId="7A6DCC2A" w14:textId="77777777" w:rsidR="009E3AC0" w:rsidRPr="00A5537E" w:rsidRDefault="00622B0F">
      <w:pPr>
        <w:spacing w:after="0"/>
        <w:ind w:firstLine="708"/>
        <w:rPr>
          <w:rFonts w:ascii="Arial" w:eastAsia="Arial" w:hAnsi="Arial" w:cs="Arial"/>
          <w:sz w:val="22"/>
          <w:szCs w:val="22"/>
        </w:rPr>
      </w:pPr>
      <w:bookmarkStart w:id="36" w:name="_2bn6wsx" w:colFirst="0" w:colLast="0"/>
      <w:bookmarkEnd w:id="36"/>
      <w:r w:rsidRPr="00A5537E">
        <w:rPr>
          <w:rFonts w:ascii="Arial" w:eastAsia="Arial" w:hAnsi="Arial" w:cs="Arial"/>
          <w:sz w:val="22"/>
          <w:szCs w:val="22"/>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A5537E">
        <w:rPr>
          <w:rFonts w:ascii="Arial" w:eastAsia="Arial" w:hAnsi="Arial" w:cs="Arial"/>
          <w:vertAlign w:val="superscript"/>
        </w:rPr>
        <w:footnoteReference w:id="22"/>
      </w:r>
      <w:r w:rsidRPr="00A5537E">
        <w:rPr>
          <w:rFonts w:ascii="Arial" w:eastAsia="Arial" w:hAnsi="Arial" w:cs="Arial"/>
          <w:sz w:val="22"/>
          <w:szCs w:val="22"/>
        </w:rPr>
        <w:t>. Sin embargo, debe precisarse el siguiente aspecto que distinguió la Sala de Consulta y Servicio Civil:</w:t>
      </w:r>
    </w:p>
    <w:p w14:paraId="613E516E" w14:textId="77777777" w:rsidR="009E3AC0" w:rsidRPr="00A5537E" w:rsidRDefault="009E3AC0">
      <w:pPr>
        <w:spacing w:after="0"/>
        <w:rPr>
          <w:rFonts w:ascii="Arial" w:eastAsia="Arial" w:hAnsi="Arial" w:cs="Arial"/>
          <w:sz w:val="22"/>
          <w:szCs w:val="22"/>
        </w:rPr>
      </w:pPr>
    </w:p>
    <w:p w14:paraId="2EC6D1A3" w14:textId="77777777" w:rsidR="009E3AC0" w:rsidRPr="00A5537E" w:rsidRDefault="00622B0F">
      <w:pPr>
        <w:spacing w:after="0" w:line="240" w:lineRule="auto"/>
        <w:ind w:left="708" w:right="709"/>
        <w:rPr>
          <w:rFonts w:ascii="Arial" w:eastAsia="Arial" w:hAnsi="Arial" w:cs="Arial"/>
          <w:sz w:val="21"/>
          <w:szCs w:val="21"/>
        </w:rPr>
      </w:pPr>
      <w:bookmarkStart w:id="38" w:name="_qsh70q" w:colFirst="0" w:colLast="0"/>
      <w:bookmarkEnd w:id="38"/>
      <w:r w:rsidRPr="00A5537E">
        <w:rPr>
          <w:rFonts w:ascii="Arial" w:eastAsia="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w:t>
      </w:r>
      <w:r w:rsidRPr="00A5537E">
        <w:rPr>
          <w:rFonts w:ascii="Arial" w:eastAsia="Arial" w:hAnsi="Arial" w:cs="Arial"/>
          <w:sz w:val="21"/>
          <w:szCs w:val="21"/>
        </w:rPr>
        <w:lastRenderedPageBreak/>
        <w:t>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A5537E">
        <w:rPr>
          <w:rFonts w:ascii="Arial" w:eastAsia="Arial" w:hAnsi="Arial" w:cs="Arial"/>
          <w:vertAlign w:val="superscript"/>
        </w:rPr>
        <w:footnoteReference w:id="23"/>
      </w:r>
      <w:r w:rsidRPr="00A5537E">
        <w:rPr>
          <w:rFonts w:ascii="Arial" w:eastAsia="Arial" w:hAnsi="Arial" w:cs="Arial"/>
          <w:sz w:val="22"/>
          <w:szCs w:val="22"/>
        </w:rPr>
        <w:t>.</w:t>
      </w:r>
    </w:p>
    <w:p w14:paraId="1C652A8A" w14:textId="77777777" w:rsidR="009E3AC0" w:rsidRPr="00A5537E" w:rsidRDefault="009E3AC0">
      <w:pPr>
        <w:spacing w:after="0"/>
        <w:rPr>
          <w:rFonts w:ascii="Arial" w:eastAsia="Arial" w:hAnsi="Arial" w:cs="Arial"/>
          <w:sz w:val="22"/>
          <w:szCs w:val="22"/>
        </w:rPr>
      </w:pPr>
    </w:p>
    <w:p w14:paraId="701DBF2E" w14:textId="0E84D753" w:rsidR="009E3AC0" w:rsidRPr="00A5537E" w:rsidRDefault="00622B0F">
      <w:pPr>
        <w:spacing w:after="120"/>
        <w:ind w:firstLine="709"/>
        <w:rPr>
          <w:rFonts w:ascii="Arial" w:eastAsia="Arial" w:hAnsi="Arial" w:cs="Arial"/>
          <w:sz w:val="22"/>
          <w:szCs w:val="22"/>
        </w:rPr>
      </w:pPr>
      <w:bookmarkStart w:id="39" w:name="_3as4poj" w:colFirst="0" w:colLast="0"/>
      <w:bookmarkEnd w:id="39"/>
      <w:r w:rsidRPr="00A5537E">
        <w:rPr>
          <w:rFonts w:ascii="Arial" w:eastAsia="Arial" w:hAnsi="Arial" w:cs="Arial"/>
          <w:sz w:val="22"/>
          <w:szCs w:val="22"/>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A5537E">
        <w:rPr>
          <w:rFonts w:ascii="Arial" w:eastAsia="Arial" w:hAnsi="Arial" w:cs="Arial"/>
          <w:vertAlign w:val="superscript"/>
        </w:rPr>
        <w:t xml:space="preserve"> </w:t>
      </w:r>
      <w:r w:rsidRPr="00A5537E">
        <w:rPr>
          <w:rFonts w:ascii="Arial" w:eastAsia="Arial" w:hAnsi="Arial" w:cs="Arial"/>
          <w:sz w:val="22"/>
          <w:szCs w:val="22"/>
          <w:vertAlign w:val="superscript"/>
        </w:rPr>
        <w:footnoteReference w:id="24"/>
      </w:r>
      <w:r w:rsidRPr="00A5537E">
        <w:rPr>
          <w:rFonts w:ascii="Arial" w:eastAsia="Arial" w:hAnsi="Arial" w:cs="Arial"/>
          <w:sz w:val="22"/>
          <w:szCs w:val="22"/>
        </w:rPr>
        <w:t>.</w:t>
      </w:r>
    </w:p>
    <w:p w14:paraId="403C39C1" w14:textId="77777777" w:rsidR="009E3AC0" w:rsidRPr="00A5537E" w:rsidRDefault="00622B0F">
      <w:pPr>
        <w:spacing w:after="0"/>
        <w:ind w:firstLine="708"/>
        <w:rPr>
          <w:rFonts w:ascii="Arial" w:eastAsia="Arial" w:hAnsi="Arial" w:cs="Arial"/>
          <w:sz w:val="22"/>
          <w:szCs w:val="22"/>
        </w:rPr>
      </w:pPr>
      <w:bookmarkStart w:id="40" w:name="_1pxezwc" w:colFirst="0" w:colLast="0"/>
      <w:bookmarkEnd w:id="40"/>
      <w:r w:rsidRPr="00A5537E">
        <w:rPr>
          <w:rFonts w:ascii="Arial" w:eastAsia="Arial" w:hAnsi="Arial" w:cs="Arial"/>
          <w:sz w:val="22"/>
          <w:szCs w:val="22"/>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1806645" w14:textId="77777777" w:rsidR="009E3AC0" w:rsidRPr="00A5537E" w:rsidRDefault="009E3AC0">
      <w:pPr>
        <w:spacing w:after="0"/>
        <w:rPr>
          <w:rFonts w:ascii="Arial" w:eastAsia="Arial" w:hAnsi="Arial" w:cs="Arial"/>
          <w:sz w:val="22"/>
          <w:szCs w:val="22"/>
        </w:rPr>
      </w:pPr>
    </w:p>
    <w:p w14:paraId="15E05802" w14:textId="19454DEB" w:rsidR="009E3AC0" w:rsidRPr="00A5537E" w:rsidRDefault="00622B0F">
      <w:pPr>
        <w:rPr>
          <w:rFonts w:ascii="Arial" w:eastAsia="Arial" w:hAnsi="Arial" w:cs="Arial"/>
          <w:b/>
          <w:sz w:val="22"/>
          <w:szCs w:val="22"/>
        </w:rPr>
      </w:pPr>
      <w:bookmarkStart w:id="41" w:name="_49x2ik5" w:colFirst="0" w:colLast="0"/>
      <w:bookmarkEnd w:id="41"/>
      <w:r w:rsidRPr="00A5537E">
        <w:rPr>
          <w:rFonts w:ascii="Arial" w:eastAsia="Arial" w:hAnsi="Arial" w:cs="Arial"/>
          <w:b/>
          <w:sz w:val="22"/>
          <w:szCs w:val="22"/>
        </w:rPr>
        <w:t>2.4. Restricciones para la celebración de contratos y convenios interadministrativos en los comicios de cargos de elección popular: prohibición del parágrafo del artículo 38 de la Ley 996 de 2005</w:t>
      </w:r>
    </w:p>
    <w:p w14:paraId="5A9D10A1" w14:textId="77777777" w:rsidR="009E3AC0" w:rsidRPr="00A5537E" w:rsidRDefault="00622B0F">
      <w:pPr>
        <w:tabs>
          <w:tab w:val="left" w:pos="426"/>
        </w:tabs>
        <w:spacing w:after="120"/>
        <w:rPr>
          <w:rFonts w:ascii="Arial" w:eastAsia="Arial" w:hAnsi="Arial" w:cs="Arial"/>
          <w:sz w:val="22"/>
          <w:szCs w:val="22"/>
        </w:rPr>
      </w:pPr>
      <w:r w:rsidRPr="00A5537E">
        <w:rPr>
          <w:rFonts w:ascii="Arial" w:eastAsia="Arial" w:hAnsi="Arial" w:cs="Arial"/>
          <w:sz w:val="22"/>
          <w:szCs w:val="22"/>
        </w:rPr>
        <w:t xml:space="preserve">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w:t>
      </w:r>
      <w:r w:rsidRPr="00A5537E">
        <w:rPr>
          <w:rFonts w:ascii="Arial" w:eastAsia="Arial" w:hAnsi="Arial" w:cs="Arial"/>
          <w:sz w:val="22"/>
          <w:szCs w:val="22"/>
        </w:rPr>
        <w:lastRenderedPageBreak/>
        <w:t>en que se dispone la ejecución de recursos públicos, para evitar que mediante la suscripción de estos se comprometa el erario con fines políticos o partidistas</w:t>
      </w:r>
      <w:r w:rsidRPr="00A5537E">
        <w:rPr>
          <w:rFonts w:ascii="Arial" w:eastAsia="Arial" w:hAnsi="Arial" w:cs="Arial"/>
          <w:sz w:val="22"/>
          <w:szCs w:val="22"/>
          <w:vertAlign w:val="superscript"/>
        </w:rPr>
        <w:footnoteReference w:id="25"/>
      </w:r>
      <w:r w:rsidRPr="00A5537E">
        <w:rPr>
          <w:rFonts w:ascii="Arial" w:eastAsia="Arial" w:hAnsi="Arial" w:cs="Arial"/>
          <w:sz w:val="22"/>
          <w:szCs w:val="22"/>
        </w:rPr>
        <w:t>.</w:t>
      </w:r>
      <w:r w:rsidRPr="00A5537E">
        <w:rPr>
          <w:rFonts w:ascii="Arial" w:eastAsia="Arial" w:hAnsi="Arial" w:cs="Arial"/>
        </w:rPr>
        <w:t xml:space="preserve"> </w:t>
      </w:r>
    </w:p>
    <w:p w14:paraId="5693CA67" w14:textId="77777777" w:rsidR="009E3AC0" w:rsidRPr="00A5537E" w:rsidRDefault="00622B0F">
      <w:pPr>
        <w:widowControl w:val="0"/>
        <w:pBdr>
          <w:top w:val="nil"/>
          <w:left w:val="nil"/>
          <w:bottom w:val="nil"/>
          <w:right w:val="nil"/>
          <w:between w:val="nil"/>
        </w:pBdr>
        <w:spacing w:after="120"/>
        <w:ind w:firstLine="707"/>
        <w:rPr>
          <w:rFonts w:ascii="Arial" w:eastAsia="Arial" w:hAnsi="Arial" w:cs="Arial"/>
          <w:color w:val="000000"/>
          <w:sz w:val="22"/>
          <w:szCs w:val="22"/>
        </w:rPr>
      </w:pPr>
      <w:bookmarkStart w:id="42" w:name="_2p2csry" w:colFirst="0" w:colLast="0"/>
      <w:bookmarkEnd w:id="42"/>
      <w:r w:rsidRPr="00A5537E">
        <w:rPr>
          <w:rFonts w:ascii="Arial" w:eastAsia="Arial" w:hAnsi="Arial" w:cs="Arial"/>
          <w:color w:val="000000"/>
          <w:sz w:val="22"/>
          <w:szCs w:val="22"/>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A5537E">
        <w:rPr>
          <w:rFonts w:ascii="Arial" w:eastAsia="Arial" w:hAnsi="Arial" w:cs="Arial"/>
          <w:color w:val="000000"/>
          <w:sz w:val="22"/>
          <w:szCs w:val="22"/>
          <w:vertAlign w:val="superscript"/>
        </w:rPr>
        <w:footnoteReference w:id="26"/>
      </w:r>
      <w:r w:rsidRPr="00A5537E">
        <w:rPr>
          <w:rFonts w:ascii="Arial" w:eastAsia="Arial" w:hAnsi="Arial" w:cs="Arial"/>
          <w:color w:val="000000"/>
          <w:sz w:val="22"/>
          <w:szCs w:val="22"/>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EC8AA0E" w14:textId="77777777" w:rsidR="009E3AC0" w:rsidRPr="00A5537E" w:rsidRDefault="00622B0F">
      <w:pPr>
        <w:widowControl w:val="0"/>
        <w:pBdr>
          <w:top w:val="nil"/>
          <w:left w:val="nil"/>
          <w:bottom w:val="nil"/>
          <w:right w:val="nil"/>
          <w:between w:val="nil"/>
        </w:pBdr>
        <w:spacing w:before="117" w:after="120"/>
        <w:ind w:firstLine="707"/>
        <w:rPr>
          <w:rFonts w:ascii="Arial" w:eastAsia="Arial" w:hAnsi="Arial" w:cs="Arial"/>
          <w:color w:val="000000"/>
          <w:sz w:val="22"/>
          <w:szCs w:val="22"/>
        </w:rPr>
      </w:pPr>
      <w:bookmarkStart w:id="43" w:name="_147n2zr" w:colFirst="0" w:colLast="0"/>
      <w:bookmarkEnd w:id="43"/>
      <w:r w:rsidRPr="00A5537E">
        <w:rPr>
          <w:rFonts w:ascii="Arial" w:eastAsia="Arial" w:hAnsi="Arial" w:cs="Arial"/>
          <w:color w:val="000000"/>
          <w:sz w:val="22"/>
          <w:szCs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7330D6B7" w14:textId="77777777" w:rsidR="009E3AC0" w:rsidRPr="00A5537E" w:rsidRDefault="00622B0F">
      <w:pPr>
        <w:widowControl w:val="0"/>
        <w:pBdr>
          <w:top w:val="nil"/>
          <w:left w:val="nil"/>
          <w:bottom w:val="nil"/>
          <w:right w:val="nil"/>
          <w:between w:val="nil"/>
        </w:pBdr>
        <w:spacing w:before="121" w:after="120"/>
        <w:ind w:firstLine="707"/>
        <w:rPr>
          <w:rFonts w:ascii="Arial" w:eastAsia="Arial" w:hAnsi="Arial" w:cs="Arial"/>
          <w:color w:val="000000"/>
          <w:sz w:val="22"/>
          <w:szCs w:val="22"/>
        </w:rPr>
      </w:pPr>
      <w:r w:rsidRPr="00A5537E">
        <w:rPr>
          <w:rFonts w:ascii="Arial" w:eastAsia="Arial" w:hAnsi="Arial" w:cs="Arial"/>
          <w:color w:val="000000"/>
          <w:sz w:val="22"/>
          <w:szCs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A5537E">
        <w:rPr>
          <w:rFonts w:ascii="Arial" w:eastAsia="Arial" w:hAnsi="Arial" w:cs="Arial"/>
          <w:color w:val="000000"/>
          <w:sz w:val="22"/>
          <w:szCs w:val="22"/>
          <w:vertAlign w:val="superscript"/>
        </w:rPr>
        <w:footnoteReference w:id="27"/>
      </w:r>
      <w:r w:rsidRPr="00A5537E">
        <w:rPr>
          <w:rFonts w:ascii="Arial" w:eastAsia="Arial" w:hAnsi="Arial" w:cs="Arial"/>
          <w:color w:val="000000"/>
          <w:sz w:val="22"/>
          <w:szCs w:val="22"/>
        </w:rPr>
        <w:t xml:space="preserve">. Nótese que, en este caso, lo que cambia es la modalidad de </w:t>
      </w:r>
      <w:r w:rsidRPr="00A5537E">
        <w:rPr>
          <w:rFonts w:ascii="Arial" w:eastAsia="Arial" w:hAnsi="Arial" w:cs="Arial"/>
          <w:color w:val="000000"/>
          <w:sz w:val="22"/>
          <w:szCs w:val="22"/>
        </w:rPr>
        <w:lastRenderedPageBreak/>
        <w:t>selección y no la naturaleza de contrato interadministrativo.</w:t>
      </w:r>
    </w:p>
    <w:p w14:paraId="33AA1F98" w14:textId="77777777" w:rsidR="009E3AC0" w:rsidRPr="00A5537E" w:rsidRDefault="00622B0F">
      <w:pPr>
        <w:widowControl w:val="0"/>
        <w:pBdr>
          <w:top w:val="nil"/>
          <w:left w:val="nil"/>
          <w:bottom w:val="nil"/>
          <w:right w:val="nil"/>
          <w:between w:val="nil"/>
        </w:pBdr>
        <w:spacing w:before="114" w:after="0"/>
        <w:ind w:firstLine="707"/>
        <w:rPr>
          <w:rFonts w:ascii="Arial" w:eastAsia="Arial" w:hAnsi="Arial" w:cs="Arial"/>
          <w:color w:val="000000"/>
          <w:sz w:val="22"/>
          <w:szCs w:val="22"/>
        </w:rPr>
      </w:pPr>
      <w:r w:rsidRPr="00A5537E">
        <w:rPr>
          <w:rFonts w:ascii="Arial" w:eastAsia="Arial" w:hAnsi="Arial" w:cs="Arial"/>
          <w:color w:val="000000"/>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208AE077" w14:textId="77777777" w:rsidR="009E3AC0" w:rsidRPr="00A5537E" w:rsidRDefault="009E3AC0">
      <w:pPr>
        <w:widowControl w:val="0"/>
        <w:pBdr>
          <w:top w:val="nil"/>
          <w:left w:val="nil"/>
          <w:bottom w:val="nil"/>
          <w:right w:val="nil"/>
          <w:between w:val="nil"/>
        </w:pBdr>
        <w:spacing w:after="0"/>
        <w:ind w:firstLine="707"/>
        <w:rPr>
          <w:rFonts w:ascii="Arial" w:eastAsia="Arial" w:hAnsi="Arial" w:cs="Arial"/>
          <w:color w:val="000000"/>
          <w:sz w:val="22"/>
          <w:szCs w:val="22"/>
        </w:rPr>
      </w:pPr>
    </w:p>
    <w:p w14:paraId="0AD1EB55" w14:textId="77777777" w:rsidR="009E3AC0" w:rsidRPr="00A5537E" w:rsidRDefault="00622B0F">
      <w:pPr>
        <w:spacing w:after="0" w:line="240" w:lineRule="auto"/>
        <w:ind w:left="709" w:right="709"/>
        <w:rPr>
          <w:rFonts w:ascii="Arial" w:eastAsia="Arial" w:hAnsi="Arial" w:cs="Arial"/>
          <w:sz w:val="21"/>
          <w:szCs w:val="21"/>
        </w:rPr>
      </w:pPr>
      <w:r w:rsidRPr="00A5537E">
        <w:rPr>
          <w:rFonts w:ascii="Arial" w:eastAsia="Arial" w:hAnsi="Arial" w:cs="Arial"/>
          <w:sz w:val="21"/>
          <w:szCs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A5537E">
        <w:rPr>
          <w:rFonts w:ascii="Arial" w:eastAsia="Arial" w:hAnsi="Arial" w:cs="Arial"/>
          <w:sz w:val="21"/>
          <w:szCs w:val="21"/>
          <w:vertAlign w:val="superscript"/>
        </w:rPr>
        <w:footnoteReference w:id="28"/>
      </w:r>
      <w:r w:rsidRPr="00A5537E">
        <w:rPr>
          <w:rFonts w:ascii="Arial" w:eastAsia="Arial" w:hAnsi="Arial" w:cs="Arial"/>
          <w:sz w:val="21"/>
          <w:szCs w:val="21"/>
        </w:rPr>
        <w:t>.</w:t>
      </w:r>
    </w:p>
    <w:p w14:paraId="323DD4E7" w14:textId="77777777" w:rsidR="009E3AC0" w:rsidRPr="00A5537E" w:rsidRDefault="009E3AC0">
      <w:pPr>
        <w:spacing w:after="0"/>
        <w:ind w:left="709" w:right="709"/>
        <w:rPr>
          <w:sz w:val="22"/>
          <w:szCs w:val="22"/>
        </w:rPr>
      </w:pPr>
    </w:p>
    <w:p w14:paraId="091D5E2A" w14:textId="77777777" w:rsidR="009E3AC0" w:rsidRPr="00A5537E" w:rsidRDefault="00622B0F">
      <w:pPr>
        <w:widowControl w:val="0"/>
        <w:pBdr>
          <w:top w:val="nil"/>
          <w:left w:val="nil"/>
          <w:bottom w:val="nil"/>
          <w:right w:val="nil"/>
          <w:between w:val="nil"/>
        </w:pBdr>
        <w:spacing w:after="120"/>
        <w:ind w:firstLine="707"/>
        <w:rPr>
          <w:rFonts w:ascii="Arial" w:eastAsia="Arial" w:hAnsi="Arial" w:cs="Arial"/>
          <w:color w:val="000000"/>
          <w:sz w:val="22"/>
          <w:szCs w:val="22"/>
        </w:rPr>
      </w:pPr>
      <w:r w:rsidRPr="00A5537E">
        <w:rPr>
          <w:rFonts w:ascii="Arial" w:eastAsia="Arial" w:hAnsi="Arial" w:cs="Arial"/>
          <w:color w:val="000000"/>
          <w:sz w:val="22"/>
          <w:szCs w:val="22"/>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46B2263B" w14:textId="77777777" w:rsidR="009E3AC0" w:rsidRPr="00A5537E" w:rsidRDefault="00622B0F">
      <w:pPr>
        <w:widowControl w:val="0"/>
        <w:pBdr>
          <w:top w:val="nil"/>
          <w:left w:val="nil"/>
          <w:bottom w:val="nil"/>
          <w:right w:val="nil"/>
          <w:between w:val="nil"/>
        </w:pBdr>
        <w:spacing w:before="119" w:after="120"/>
        <w:ind w:firstLine="707"/>
        <w:rPr>
          <w:rFonts w:ascii="Arial" w:eastAsia="Arial" w:hAnsi="Arial" w:cs="Arial"/>
          <w:color w:val="000000"/>
          <w:sz w:val="22"/>
          <w:szCs w:val="22"/>
        </w:rPr>
      </w:pPr>
      <w:r w:rsidRPr="00A5537E">
        <w:rPr>
          <w:rFonts w:ascii="Arial" w:eastAsia="Arial" w:hAnsi="Arial" w:cs="Arial"/>
          <w:color w:val="000000"/>
          <w:sz w:val="22"/>
          <w:szCs w:val="22"/>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w:t>
      </w:r>
      <w:r w:rsidRPr="00A5537E">
        <w:rPr>
          <w:rFonts w:ascii="Arial" w:eastAsia="Arial" w:hAnsi="Arial" w:cs="Arial"/>
          <w:color w:val="000000"/>
          <w:sz w:val="22"/>
          <w:szCs w:val="22"/>
        </w:rPr>
        <w:lastRenderedPageBreak/>
        <w:t>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3B718F62" w14:textId="77777777" w:rsidR="009E3AC0" w:rsidRPr="00A5537E" w:rsidRDefault="00622B0F">
      <w:pPr>
        <w:widowControl w:val="0"/>
        <w:pBdr>
          <w:top w:val="nil"/>
          <w:left w:val="nil"/>
          <w:bottom w:val="nil"/>
          <w:right w:val="nil"/>
          <w:between w:val="nil"/>
        </w:pBdr>
        <w:spacing w:before="120"/>
        <w:ind w:firstLine="709"/>
        <w:rPr>
          <w:rFonts w:ascii="Arial" w:eastAsia="Arial" w:hAnsi="Arial" w:cs="Arial"/>
          <w:color w:val="000000"/>
          <w:sz w:val="22"/>
          <w:szCs w:val="22"/>
        </w:rPr>
      </w:pPr>
      <w:r w:rsidRPr="00A5537E">
        <w:rPr>
          <w:rFonts w:ascii="Arial" w:eastAsia="Arial" w:hAnsi="Arial" w:cs="Arial"/>
          <w:color w:val="000000"/>
          <w:sz w:val="22"/>
          <w:szCs w:val="22"/>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0E96764D" w14:textId="77777777" w:rsidR="009E3AC0" w:rsidRPr="00A5537E" w:rsidRDefault="00622B0F">
      <w:pPr>
        <w:widowControl w:val="0"/>
        <w:pBdr>
          <w:top w:val="nil"/>
          <w:left w:val="nil"/>
          <w:bottom w:val="nil"/>
          <w:right w:val="nil"/>
          <w:between w:val="nil"/>
        </w:pBdr>
        <w:spacing w:before="122" w:after="120"/>
        <w:ind w:firstLine="708"/>
        <w:rPr>
          <w:rFonts w:ascii="Arial" w:eastAsia="Arial" w:hAnsi="Arial" w:cs="Arial"/>
          <w:color w:val="000000"/>
          <w:sz w:val="22"/>
          <w:szCs w:val="22"/>
        </w:rPr>
      </w:pPr>
      <w:r w:rsidRPr="00A5537E">
        <w:rPr>
          <w:rFonts w:ascii="Arial" w:eastAsia="Arial" w:hAnsi="Arial" w:cs="Arial"/>
          <w:color w:val="000000"/>
          <w:sz w:val="22"/>
          <w:szCs w:val="22"/>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D451754" w14:textId="77777777" w:rsidR="009E3AC0" w:rsidRPr="00A5537E" w:rsidRDefault="00622B0F">
      <w:pPr>
        <w:widowControl w:val="0"/>
        <w:pBdr>
          <w:top w:val="nil"/>
          <w:left w:val="nil"/>
          <w:bottom w:val="nil"/>
          <w:right w:val="nil"/>
          <w:between w:val="nil"/>
        </w:pBdr>
        <w:spacing w:after="0"/>
        <w:ind w:firstLine="708"/>
        <w:rPr>
          <w:rFonts w:ascii="Arial" w:eastAsia="Arial" w:hAnsi="Arial" w:cs="Arial"/>
          <w:color w:val="000000"/>
          <w:sz w:val="22"/>
          <w:szCs w:val="22"/>
        </w:rPr>
      </w:pPr>
      <w:bookmarkStart w:id="44" w:name="_3o7alnk" w:colFirst="0" w:colLast="0"/>
      <w:bookmarkEnd w:id="44"/>
      <w:r w:rsidRPr="00A5537E">
        <w:rPr>
          <w:rFonts w:ascii="Arial" w:eastAsia="Arial" w:hAnsi="Arial" w:cs="Arial"/>
          <w:color w:val="000000"/>
          <w:sz w:val="22"/>
          <w:szCs w:val="22"/>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A5537E">
        <w:rPr>
          <w:rFonts w:ascii="Arial" w:eastAsia="Arial" w:hAnsi="Arial" w:cs="Arial"/>
          <w:color w:val="000000"/>
          <w:sz w:val="22"/>
          <w:szCs w:val="22"/>
          <w:vertAlign w:val="superscript"/>
        </w:rPr>
        <w:footnoteReference w:id="29"/>
      </w:r>
      <w:r w:rsidRPr="00A5537E">
        <w:rPr>
          <w:rFonts w:ascii="Arial" w:eastAsia="Arial" w:hAnsi="Arial" w:cs="Arial"/>
          <w:color w:val="000000"/>
          <w:sz w:val="22"/>
          <w:szCs w:val="22"/>
        </w:rPr>
        <w:t>.</w:t>
      </w:r>
    </w:p>
    <w:p w14:paraId="1E9CC391" w14:textId="12CADDC8" w:rsidR="009E3AC0" w:rsidRPr="00A5537E" w:rsidRDefault="00622B0F">
      <w:pPr>
        <w:widowControl w:val="0"/>
        <w:pBdr>
          <w:top w:val="nil"/>
          <w:left w:val="nil"/>
          <w:bottom w:val="nil"/>
          <w:right w:val="nil"/>
          <w:between w:val="nil"/>
        </w:pBdr>
        <w:spacing w:before="122"/>
        <w:ind w:firstLine="709"/>
        <w:rPr>
          <w:rFonts w:ascii="Arial" w:eastAsia="Arial" w:hAnsi="Arial" w:cs="Arial"/>
          <w:color w:val="000000"/>
          <w:sz w:val="22"/>
          <w:szCs w:val="22"/>
        </w:rPr>
      </w:pPr>
      <w:r w:rsidRPr="00A5537E">
        <w:rPr>
          <w:rFonts w:ascii="Arial" w:eastAsia="Arial" w:hAnsi="Arial" w:cs="Arial"/>
          <w:color w:val="000000"/>
          <w:sz w:val="22"/>
          <w:szCs w:val="22"/>
        </w:rPr>
        <w:lastRenderedPageBreak/>
        <w:t>Sin perjuicio de lo anterior, vale la pena tener en cuenta que un sector de la doctrina y la jurisprudencia ha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F07412D" w14:textId="77777777" w:rsidR="009E3AC0" w:rsidRPr="00A5537E" w:rsidRDefault="00622B0F">
      <w:pPr>
        <w:spacing w:after="0" w:line="240" w:lineRule="auto"/>
        <w:ind w:left="709" w:right="709"/>
        <w:rPr>
          <w:rFonts w:ascii="Arial" w:eastAsia="Arial" w:hAnsi="Arial" w:cs="Arial"/>
          <w:sz w:val="21"/>
          <w:szCs w:val="21"/>
        </w:rPr>
      </w:pPr>
      <w:r w:rsidRPr="00A5537E">
        <w:rPr>
          <w:rFonts w:ascii="Arial" w:eastAsia="Arial" w:hAnsi="Arial" w:cs="Arial"/>
          <w:sz w:val="21"/>
          <w:szCs w:val="21"/>
        </w:rPr>
        <w:t>La Sala de Consulta y Servicio Civil</w:t>
      </w:r>
      <w:r w:rsidRPr="00A5537E">
        <w:rPr>
          <w:rFonts w:ascii="Arial" w:eastAsia="Arial" w:hAnsi="Arial" w:cs="Arial"/>
          <w:sz w:val="21"/>
          <w:szCs w:val="21"/>
          <w:vertAlign w:val="superscript"/>
        </w:rPr>
        <w:footnoteReference w:id="30"/>
      </w:r>
      <w:r w:rsidRPr="00A5537E">
        <w:rPr>
          <w:rFonts w:ascii="Arial" w:eastAsia="Arial" w:hAnsi="Arial" w:cs="Arial"/>
          <w:sz w:val="21"/>
          <w:szCs w:val="21"/>
        </w:rPr>
        <w:t xml:space="preserve"> de esta Corporación se ha referido a los </w:t>
      </w:r>
      <w:r w:rsidRPr="00A5537E">
        <w:rPr>
          <w:rFonts w:ascii="Arial" w:eastAsia="Arial" w:hAnsi="Arial" w:cs="Arial"/>
          <w:i/>
          <w:sz w:val="21"/>
          <w:szCs w:val="21"/>
        </w:rPr>
        <w:t>“convenios interadministrativos”</w:t>
      </w:r>
      <w:r w:rsidRPr="00A5537E">
        <w:rPr>
          <w:rFonts w:ascii="Arial" w:eastAsia="Arial" w:hAnsi="Arial" w:cs="Arial"/>
          <w:sz w:val="21"/>
          <w:szCs w:val="21"/>
        </w:rPr>
        <w:t xml:space="preserve"> a los cuales alude el artículo 95 de la Ley 489 de 1998, calificándolos de </w:t>
      </w:r>
      <w:r w:rsidRPr="00A5537E">
        <w:rPr>
          <w:rFonts w:ascii="Arial" w:eastAsia="Arial" w:hAnsi="Arial" w:cs="Arial"/>
          <w:i/>
          <w:sz w:val="21"/>
          <w:szCs w:val="21"/>
        </w:rPr>
        <w:t xml:space="preserve">“puros” </w:t>
      </w:r>
      <w:r w:rsidRPr="00A5537E">
        <w:rPr>
          <w:rFonts w:ascii="Arial" w:eastAsia="Arial" w:hAnsi="Arial" w:cs="Arial"/>
          <w:sz w:val="21"/>
          <w:szCs w:val="21"/>
        </w:rPr>
        <w:t xml:space="preserve">y entendiendo que estos, además de perseguir la finalidad de cooperación antes indicada, no implican intereses contrapuestos ni tampoco se circunscriben a un </w:t>
      </w:r>
      <w:r w:rsidRPr="00A5537E">
        <w:rPr>
          <w:rFonts w:ascii="Arial" w:eastAsia="Arial" w:hAnsi="Arial" w:cs="Arial"/>
          <w:i/>
          <w:sz w:val="21"/>
          <w:szCs w:val="21"/>
        </w:rPr>
        <w:t>“intercambio patrimonial”</w:t>
      </w:r>
      <w:r w:rsidRPr="00A5537E">
        <w:rPr>
          <w:rFonts w:ascii="Arial" w:eastAsia="Arial" w:hAnsi="Arial" w:cs="Arial"/>
          <w:sz w:val="21"/>
          <w:szCs w:val="21"/>
        </w:rPr>
        <w:t>. Sin perjuicio de lo anterior, en otra oportunidad, la misma Sala</w:t>
      </w:r>
      <w:r w:rsidRPr="00A5537E">
        <w:rPr>
          <w:rFonts w:ascii="Arial" w:eastAsia="Arial" w:hAnsi="Arial" w:cs="Arial"/>
          <w:sz w:val="21"/>
          <w:szCs w:val="21"/>
          <w:vertAlign w:val="superscript"/>
        </w:rPr>
        <w:footnoteReference w:id="31"/>
      </w:r>
      <w:r w:rsidRPr="00A5537E">
        <w:rPr>
          <w:rFonts w:ascii="Arial" w:eastAsia="Arial" w:hAnsi="Arial" w:cs="Arial"/>
          <w:sz w:val="21"/>
          <w:szCs w:val="21"/>
        </w:rPr>
        <w:t xml:space="preserve"> había indicado que, si bien en dichos convenios no se daba un </w:t>
      </w:r>
      <w:r w:rsidRPr="00A5537E">
        <w:rPr>
          <w:rFonts w:ascii="Arial" w:eastAsia="Arial" w:hAnsi="Arial" w:cs="Arial"/>
          <w:i/>
          <w:sz w:val="21"/>
          <w:szCs w:val="21"/>
        </w:rPr>
        <w:t>“verdadero intercambio de bienes o servicios (contrato conmutativo)”</w:t>
      </w:r>
      <w:r w:rsidRPr="00A5537E">
        <w:rPr>
          <w:rFonts w:ascii="Arial" w:eastAsia="Arial" w:hAnsi="Arial" w:cs="Arial"/>
          <w:sz w:val="21"/>
          <w:szCs w:val="21"/>
        </w:rPr>
        <w:t>, ello no impedía que se conviniera una remuneración a cargo de alguna(s) entidad(es).</w:t>
      </w:r>
    </w:p>
    <w:p w14:paraId="545C61B1" w14:textId="77777777" w:rsidR="009E3AC0" w:rsidRPr="00A5537E" w:rsidRDefault="009E3AC0">
      <w:pPr>
        <w:spacing w:after="0" w:line="240" w:lineRule="auto"/>
        <w:ind w:left="709" w:right="709"/>
        <w:rPr>
          <w:rFonts w:ascii="Arial" w:eastAsia="Arial" w:hAnsi="Arial" w:cs="Arial"/>
          <w:sz w:val="21"/>
          <w:szCs w:val="21"/>
        </w:rPr>
      </w:pPr>
    </w:p>
    <w:p w14:paraId="771CB75D" w14:textId="77777777" w:rsidR="009E3AC0" w:rsidRPr="00A5537E" w:rsidRDefault="00622B0F">
      <w:pPr>
        <w:widowControl w:val="0"/>
        <w:pBdr>
          <w:top w:val="nil"/>
          <w:left w:val="nil"/>
          <w:bottom w:val="nil"/>
          <w:right w:val="nil"/>
          <w:between w:val="nil"/>
        </w:pBdr>
        <w:spacing w:after="0" w:line="240" w:lineRule="auto"/>
        <w:ind w:left="709" w:right="709"/>
        <w:rPr>
          <w:rFonts w:ascii="Arial" w:eastAsia="Arial" w:hAnsi="Arial" w:cs="Arial"/>
          <w:color w:val="000000"/>
          <w:sz w:val="21"/>
          <w:szCs w:val="21"/>
        </w:rPr>
      </w:pPr>
      <w:r w:rsidRPr="00A5537E">
        <w:rPr>
          <w:rFonts w:ascii="Arial" w:eastAsia="Arial" w:hAnsi="Arial" w:cs="Arial"/>
          <w:color w:val="000000"/>
          <w:sz w:val="21"/>
          <w:szCs w:val="21"/>
        </w:rPr>
        <w:t xml:space="preserve">Lo expuesto evidencia que, en general, las interpretaciones en torno a los </w:t>
      </w:r>
      <w:r w:rsidRPr="00A5537E">
        <w:rPr>
          <w:rFonts w:ascii="Arial" w:eastAsia="Arial" w:hAnsi="Arial" w:cs="Arial"/>
          <w:i/>
          <w:color w:val="000000"/>
          <w:sz w:val="21"/>
          <w:szCs w:val="21"/>
        </w:rPr>
        <w:t>“convenios interadministrativos”</w:t>
      </w:r>
      <w:r w:rsidRPr="00A5537E">
        <w:rPr>
          <w:rFonts w:ascii="Arial" w:eastAsia="Arial" w:hAnsi="Arial" w:cs="Arial"/>
          <w:color w:val="000000"/>
          <w:sz w:val="21"/>
          <w:szCs w:val="21"/>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A5537E">
        <w:rPr>
          <w:rFonts w:ascii="Arial" w:eastAsia="Arial" w:hAnsi="Arial" w:cs="Arial"/>
          <w:color w:val="000000"/>
          <w:sz w:val="21"/>
          <w:szCs w:val="21"/>
          <w:vertAlign w:val="superscript"/>
        </w:rPr>
        <w:footnoteReference w:id="32"/>
      </w:r>
      <w:r w:rsidRPr="00A5537E">
        <w:rPr>
          <w:rFonts w:ascii="Arial" w:eastAsia="Arial" w:hAnsi="Arial" w:cs="Arial"/>
          <w:color w:val="000000"/>
          <w:sz w:val="21"/>
          <w:szCs w:val="21"/>
          <w:vertAlign w:val="superscript"/>
        </w:rPr>
        <w:footnoteReference w:id="33"/>
      </w:r>
      <w:r w:rsidRPr="00A5537E">
        <w:rPr>
          <w:rFonts w:ascii="Arial" w:eastAsia="Arial" w:hAnsi="Arial" w:cs="Arial"/>
          <w:color w:val="000000"/>
          <w:sz w:val="21"/>
          <w:szCs w:val="21"/>
        </w:rPr>
        <w:t>.</w:t>
      </w:r>
    </w:p>
    <w:p w14:paraId="23B3527D" w14:textId="77777777" w:rsidR="009E3AC0" w:rsidRPr="00A5537E" w:rsidRDefault="009E3AC0">
      <w:pPr>
        <w:widowControl w:val="0"/>
        <w:pBdr>
          <w:top w:val="nil"/>
          <w:left w:val="nil"/>
          <w:bottom w:val="nil"/>
          <w:right w:val="nil"/>
          <w:between w:val="nil"/>
        </w:pBdr>
        <w:spacing w:after="0" w:line="240" w:lineRule="auto"/>
        <w:rPr>
          <w:rFonts w:ascii="Arial" w:eastAsia="Arial" w:hAnsi="Arial" w:cs="Arial"/>
          <w:color w:val="000000"/>
          <w:sz w:val="22"/>
          <w:szCs w:val="22"/>
        </w:rPr>
      </w:pPr>
    </w:p>
    <w:p w14:paraId="317047DF" w14:textId="38F8261C" w:rsidR="009E3AC0" w:rsidRPr="00A5537E" w:rsidRDefault="00622B0F">
      <w:pPr>
        <w:widowControl w:val="0"/>
        <w:pBdr>
          <w:top w:val="nil"/>
          <w:left w:val="nil"/>
          <w:bottom w:val="nil"/>
          <w:right w:val="nil"/>
          <w:between w:val="nil"/>
        </w:pBdr>
        <w:spacing w:after="120"/>
        <w:rPr>
          <w:rFonts w:ascii="Arial" w:eastAsia="Arial" w:hAnsi="Arial" w:cs="Arial"/>
          <w:color w:val="000000"/>
          <w:sz w:val="22"/>
          <w:szCs w:val="22"/>
        </w:rPr>
      </w:pPr>
      <w:r w:rsidRPr="00A5537E">
        <w:rPr>
          <w:rFonts w:ascii="Arial" w:eastAsia="Arial" w:hAnsi="Arial" w:cs="Arial"/>
          <w:color w:val="000000"/>
          <w:sz w:val="22"/>
          <w:szCs w:val="22"/>
        </w:rPr>
        <w:tab/>
        <w:t xml:space="preserve">Sin perjuicio de lo indicado, debe reiterarse que el ordenamiento jurídico, en distintas ocasiones, utiliza de forma indistinta los conceptos de contrato o convenio para referirse a </w:t>
      </w:r>
      <w:r w:rsidRPr="00A5537E">
        <w:rPr>
          <w:rFonts w:ascii="Arial" w:eastAsia="Arial" w:hAnsi="Arial" w:cs="Arial"/>
          <w:color w:val="000000"/>
          <w:sz w:val="22"/>
          <w:szCs w:val="22"/>
        </w:rPr>
        <w:lastRenderedPageBreak/>
        <w:t>la misma institución jurídica</w:t>
      </w:r>
      <w:r w:rsidRPr="00A5537E">
        <w:rPr>
          <w:rFonts w:ascii="Arial" w:eastAsia="Arial" w:hAnsi="Arial" w:cs="Arial"/>
          <w:color w:val="000000"/>
          <w:sz w:val="22"/>
          <w:szCs w:val="22"/>
          <w:vertAlign w:val="superscript"/>
        </w:rPr>
        <w:footnoteReference w:id="34"/>
      </w:r>
      <w:r w:rsidRPr="00A5537E">
        <w:rPr>
          <w:rFonts w:ascii="Arial" w:eastAsia="Arial" w:hAnsi="Arial" w:cs="Arial"/>
          <w:color w:val="000000"/>
          <w:sz w:val="22"/>
          <w:szCs w:val="22"/>
        </w:rPr>
        <w:t>. Incluso vale la pena tener en cuenta cómo la Corte Constitucional fundamenta la posibilidad de celebrar convenios interadministrativos de forma directa, con fundamento en la causal establecida en la Ley 1150 de 2007 respecto a los contratos interadministrativos</w:t>
      </w:r>
      <w:r w:rsidRPr="00A5537E">
        <w:rPr>
          <w:rFonts w:ascii="Arial" w:eastAsia="Arial" w:hAnsi="Arial" w:cs="Arial"/>
          <w:color w:val="000000"/>
          <w:sz w:val="22"/>
          <w:szCs w:val="22"/>
          <w:vertAlign w:val="superscript"/>
        </w:rPr>
        <w:footnoteReference w:id="35"/>
      </w:r>
      <w:r w:rsidRPr="00A5537E">
        <w:rPr>
          <w:rFonts w:ascii="Arial" w:eastAsia="Arial" w:hAnsi="Arial" w:cs="Arial"/>
          <w:color w:val="000000"/>
          <w:sz w:val="22"/>
          <w:szCs w:val="22"/>
        </w:rPr>
        <w:t>.</w:t>
      </w:r>
    </w:p>
    <w:p w14:paraId="3B821446" w14:textId="22DAD66B" w:rsidR="009E3AC0" w:rsidRPr="00A5537E" w:rsidRDefault="00622B0F">
      <w:pPr>
        <w:widowControl w:val="0"/>
        <w:pBdr>
          <w:top w:val="nil"/>
          <w:left w:val="nil"/>
          <w:bottom w:val="nil"/>
          <w:right w:val="nil"/>
          <w:between w:val="nil"/>
        </w:pBdr>
        <w:spacing w:after="0"/>
        <w:rPr>
          <w:rFonts w:ascii="Arial" w:eastAsia="Arial" w:hAnsi="Arial" w:cs="Arial"/>
          <w:color w:val="000000"/>
          <w:sz w:val="22"/>
          <w:szCs w:val="22"/>
        </w:rPr>
      </w:pPr>
      <w:r w:rsidRPr="00A5537E">
        <w:rPr>
          <w:rFonts w:ascii="Arial" w:eastAsia="Arial" w:hAnsi="Arial" w:cs="Arial"/>
          <w:color w:val="000000"/>
          <w:sz w:val="22"/>
          <w:szCs w:val="22"/>
        </w:rPr>
        <w:tab/>
        <w:t>En desarrollo de lo anterior, es importante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0850883E" w14:textId="77777777" w:rsidR="009E3AC0" w:rsidRPr="00A5537E" w:rsidRDefault="009E3AC0">
      <w:pPr>
        <w:widowControl w:val="0"/>
        <w:pBdr>
          <w:top w:val="nil"/>
          <w:left w:val="nil"/>
          <w:bottom w:val="nil"/>
          <w:right w:val="nil"/>
          <w:between w:val="nil"/>
        </w:pBdr>
        <w:spacing w:after="0"/>
        <w:rPr>
          <w:rFonts w:ascii="Arial" w:eastAsia="Arial" w:hAnsi="Arial" w:cs="Arial"/>
          <w:color w:val="000000"/>
          <w:sz w:val="22"/>
          <w:szCs w:val="22"/>
        </w:rPr>
      </w:pPr>
    </w:p>
    <w:p w14:paraId="14875897" w14:textId="77777777" w:rsidR="009E3AC0" w:rsidRPr="00A5537E" w:rsidRDefault="00622B0F">
      <w:pPr>
        <w:spacing w:after="0" w:line="240" w:lineRule="auto"/>
        <w:ind w:left="709" w:right="709"/>
        <w:rPr>
          <w:rFonts w:ascii="Arial" w:eastAsia="Arial" w:hAnsi="Arial" w:cs="Arial"/>
          <w:sz w:val="21"/>
          <w:szCs w:val="21"/>
        </w:rPr>
      </w:pPr>
      <w:r w:rsidRPr="00A5537E">
        <w:rPr>
          <w:rFonts w:ascii="Arial" w:eastAsia="Arial" w:hAnsi="Arial" w:cs="Arial"/>
          <w:sz w:val="21"/>
          <w:szCs w:val="21"/>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75E56D3" w14:textId="77777777" w:rsidR="009E3AC0" w:rsidRPr="00A5537E" w:rsidRDefault="009E3AC0">
      <w:pPr>
        <w:spacing w:after="0" w:line="240" w:lineRule="auto"/>
        <w:ind w:left="709" w:right="709"/>
        <w:rPr>
          <w:rFonts w:ascii="Arial" w:eastAsia="Arial" w:hAnsi="Arial" w:cs="Arial"/>
          <w:sz w:val="21"/>
          <w:szCs w:val="21"/>
        </w:rPr>
      </w:pPr>
    </w:p>
    <w:p w14:paraId="69359871" w14:textId="77777777" w:rsidR="009E3AC0" w:rsidRPr="00A5537E" w:rsidRDefault="00622B0F">
      <w:pPr>
        <w:spacing w:after="0" w:line="240" w:lineRule="auto"/>
        <w:ind w:left="709" w:right="709"/>
        <w:rPr>
          <w:rFonts w:ascii="Arial" w:eastAsia="Arial" w:hAnsi="Arial" w:cs="Arial"/>
          <w:sz w:val="21"/>
          <w:szCs w:val="21"/>
        </w:rPr>
      </w:pPr>
      <w:r w:rsidRPr="00A5537E">
        <w:rPr>
          <w:rFonts w:ascii="Arial" w:eastAsia="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826254E" w14:textId="77777777" w:rsidR="009E3AC0" w:rsidRPr="00A5537E" w:rsidRDefault="009E3AC0">
      <w:pPr>
        <w:spacing w:after="0" w:line="240" w:lineRule="auto"/>
        <w:ind w:left="709" w:right="709"/>
        <w:rPr>
          <w:rFonts w:ascii="Arial" w:eastAsia="Arial" w:hAnsi="Arial" w:cs="Arial"/>
          <w:sz w:val="21"/>
          <w:szCs w:val="21"/>
        </w:rPr>
      </w:pPr>
    </w:p>
    <w:p w14:paraId="7A71FDA5" w14:textId="77777777" w:rsidR="009E3AC0" w:rsidRPr="00A5537E" w:rsidRDefault="00622B0F">
      <w:pPr>
        <w:spacing w:after="0" w:line="240" w:lineRule="auto"/>
        <w:ind w:left="709" w:right="709"/>
      </w:pPr>
      <w:r w:rsidRPr="00A5537E">
        <w:rPr>
          <w:rFonts w:ascii="Arial" w:eastAsia="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21C9AC1" w14:textId="77777777" w:rsidR="009E3AC0" w:rsidRPr="00A5537E" w:rsidRDefault="009E3AC0">
      <w:pPr>
        <w:widowControl w:val="0"/>
        <w:pBdr>
          <w:top w:val="nil"/>
          <w:left w:val="nil"/>
          <w:bottom w:val="nil"/>
          <w:right w:val="nil"/>
          <w:between w:val="nil"/>
        </w:pBdr>
        <w:spacing w:before="3" w:after="0" w:line="240" w:lineRule="auto"/>
        <w:rPr>
          <w:rFonts w:ascii="Arial" w:eastAsia="Arial" w:hAnsi="Arial" w:cs="Arial"/>
          <w:color w:val="000000"/>
          <w:sz w:val="25"/>
          <w:szCs w:val="25"/>
        </w:rPr>
      </w:pPr>
    </w:p>
    <w:p w14:paraId="1E69A2AD" w14:textId="77777777" w:rsidR="009E3AC0" w:rsidRPr="00A5537E" w:rsidRDefault="00622B0F">
      <w:pPr>
        <w:widowControl w:val="0"/>
        <w:pBdr>
          <w:top w:val="nil"/>
          <w:left w:val="nil"/>
          <w:bottom w:val="nil"/>
          <w:right w:val="nil"/>
          <w:between w:val="nil"/>
        </w:pBdr>
        <w:spacing w:after="120"/>
        <w:rPr>
          <w:rFonts w:ascii="Arial" w:eastAsia="Arial" w:hAnsi="Arial" w:cs="Arial"/>
          <w:color w:val="000000"/>
          <w:sz w:val="22"/>
          <w:szCs w:val="22"/>
        </w:rPr>
      </w:pPr>
      <w:r w:rsidRPr="00A5537E">
        <w:rPr>
          <w:rFonts w:ascii="Arial" w:eastAsia="Arial" w:hAnsi="Arial" w:cs="Arial"/>
          <w:color w:val="000000"/>
          <w:sz w:val="25"/>
          <w:szCs w:val="25"/>
        </w:rPr>
        <w:tab/>
      </w:r>
      <w:r w:rsidRPr="00A5537E">
        <w:rPr>
          <w:rFonts w:ascii="Arial" w:eastAsia="Arial" w:hAnsi="Arial" w:cs="Arial"/>
          <w:color w:val="000000"/>
          <w:sz w:val="22"/>
          <w:szCs w:val="22"/>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5592820B" w14:textId="77777777" w:rsidR="009E3AC0" w:rsidRPr="00A5537E" w:rsidRDefault="00622B0F">
      <w:pPr>
        <w:tabs>
          <w:tab w:val="left" w:pos="426"/>
        </w:tabs>
        <w:spacing w:after="120"/>
        <w:ind w:firstLine="709"/>
        <w:rPr>
          <w:rFonts w:ascii="Arial" w:eastAsia="Arial" w:hAnsi="Arial" w:cs="Arial"/>
          <w:sz w:val="22"/>
          <w:szCs w:val="22"/>
        </w:rPr>
      </w:pPr>
      <w:r w:rsidRPr="00A5537E">
        <w:rPr>
          <w:rFonts w:ascii="Arial" w:eastAsia="Arial" w:hAnsi="Arial" w:cs="Arial"/>
          <w:sz w:val="22"/>
          <w:szCs w:val="22"/>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A5537E">
        <w:rPr>
          <w:rFonts w:ascii="Arial" w:eastAsia="Arial" w:hAnsi="Arial" w:cs="Arial"/>
          <w:i/>
          <w:sz w:val="22"/>
          <w:szCs w:val="22"/>
        </w:rPr>
        <w:t>ibidem</w:t>
      </w:r>
      <w:r w:rsidRPr="00A5537E">
        <w:rPr>
          <w:rFonts w:ascii="Arial" w:eastAsia="Arial" w:hAnsi="Arial" w:cs="Arial"/>
          <w:sz w:val="22"/>
          <w:szCs w:val="22"/>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p>
    <w:p w14:paraId="7093BD81" w14:textId="50A7157A" w:rsidR="009E3AC0" w:rsidRPr="00A5537E" w:rsidRDefault="00622B0F" w:rsidP="00A5537E">
      <w:pPr>
        <w:widowControl w:val="0"/>
        <w:pBdr>
          <w:top w:val="nil"/>
          <w:left w:val="nil"/>
          <w:bottom w:val="nil"/>
          <w:right w:val="nil"/>
          <w:between w:val="nil"/>
        </w:pBdr>
      </w:pPr>
      <w:r w:rsidRPr="00A5537E">
        <w:rPr>
          <w:rFonts w:ascii="Arial" w:eastAsia="Arial" w:hAnsi="Arial" w:cs="Arial"/>
          <w:color w:val="000000"/>
          <w:sz w:val="22"/>
          <w:szCs w:val="22"/>
        </w:rPr>
        <w:tab/>
        <w:t>Ahora bien, es importante señalar que de acuerdo con la Ley 489 de 1998, las sociedades de economía mixta son organismos autorizados por la ley, constituidos como sociedades comerciales con aportes de capital público y privado. Así lo estableció el artículo 97 en los siguientes términos:</w:t>
      </w:r>
    </w:p>
    <w:p w14:paraId="3A28B89E" w14:textId="77777777" w:rsidR="009E3AC0" w:rsidRPr="00A5537E" w:rsidRDefault="00622B0F" w:rsidP="00A5537E">
      <w:pPr>
        <w:spacing w:before="1" w:line="240" w:lineRule="auto"/>
        <w:ind w:left="709" w:right="709"/>
      </w:pPr>
      <w:r w:rsidRPr="00A5537E">
        <w:rPr>
          <w:rFonts w:ascii="Arial" w:eastAsia="Arial" w:hAnsi="Arial" w:cs="Arial"/>
          <w:sz w:val="21"/>
          <w:szCs w:val="21"/>
        </w:rPr>
        <w:t>Artículo 97.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p>
    <w:p w14:paraId="473F46A9" w14:textId="37EF7246" w:rsidR="009E3AC0" w:rsidRPr="00A5537E" w:rsidRDefault="00622B0F" w:rsidP="00A5537E">
      <w:pPr>
        <w:widowControl w:val="0"/>
        <w:pBdr>
          <w:top w:val="nil"/>
          <w:left w:val="nil"/>
          <w:bottom w:val="nil"/>
          <w:right w:val="nil"/>
          <w:between w:val="nil"/>
        </w:pBdr>
        <w:ind w:left="100" w:right="107" w:firstLine="608"/>
      </w:pPr>
      <w:r w:rsidRPr="00A5537E">
        <w:rPr>
          <w:rFonts w:ascii="Arial" w:eastAsia="Arial" w:hAnsi="Arial" w:cs="Arial"/>
          <w:color w:val="000000"/>
          <w:sz w:val="22"/>
          <w:szCs w:val="22"/>
        </w:rPr>
        <w:t xml:space="preserve">La Ley 489 de 1998 clasifica a las sociedades de economía mixta como entidades descentralizadas por servicios, con personería jurídica, autonomía administrativa y </w:t>
      </w:r>
      <w:r w:rsidRPr="00A5537E">
        <w:rPr>
          <w:rFonts w:ascii="Arial" w:eastAsia="Arial" w:hAnsi="Arial" w:cs="Arial"/>
          <w:color w:val="000000"/>
          <w:sz w:val="22"/>
          <w:szCs w:val="22"/>
        </w:rPr>
        <w:lastRenderedPageBreak/>
        <w:t>patrimonio propio</w:t>
      </w:r>
      <w:r w:rsidRPr="00A5537E">
        <w:rPr>
          <w:rFonts w:ascii="Arial" w:eastAsia="Arial" w:hAnsi="Arial" w:cs="Arial"/>
          <w:color w:val="000000"/>
          <w:sz w:val="22"/>
          <w:szCs w:val="22"/>
          <w:vertAlign w:val="superscript"/>
        </w:rPr>
        <w:footnoteReference w:id="36"/>
      </w:r>
      <w:r w:rsidRPr="00A5537E">
        <w:rPr>
          <w:rFonts w:ascii="Arial" w:eastAsia="Arial" w:hAnsi="Arial" w:cs="Arial"/>
          <w:color w:val="000000"/>
          <w:sz w:val="22"/>
          <w:szCs w:val="22"/>
        </w:rPr>
        <w:t>, que pueden ser del orden nacional, departamental o municipal, según su órgano de creación</w:t>
      </w:r>
      <w:r w:rsidRPr="00A5537E">
        <w:rPr>
          <w:rFonts w:ascii="Arial" w:eastAsia="Arial" w:hAnsi="Arial" w:cs="Arial"/>
          <w:color w:val="000000"/>
          <w:sz w:val="22"/>
          <w:szCs w:val="22"/>
          <w:vertAlign w:val="superscript"/>
        </w:rPr>
        <w:footnoteReference w:id="37"/>
      </w:r>
      <w:r w:rsidRPr="00A5537E">
        <w:rPr>
          <w:rFonts w:ascii="Arial" w:eastAsia="Arial" w:hAnsi="Arial" w:cs="Arial"/>
          <w:color w:val="000000"/>
          <w:sz w:val="22"/>
          <w:szCs w:val="22"/>
        </w:rPr>
        <w:t>. Al respecto, la Corte Constitucional en sentencia C–737 del 19 de septiembre de 2019, consideró las siguientes características de las sociedades de economía mixta:</w:t>
      </w:r>
    </w:p>
    <w:p w14:paraId="6186A340" w14:textId="28C05016" w:rsidR="009E3AC0" w:rsidRPr="00A5537E" w:rsidRDefault="00622B0F" w:rsidP="00A5537E">
      <w:pPr>
        <w:widowControl w:val="0"/>
        <w:pBdr>
          <w:top w:val="nil"/>
          <w:left w:val="nil"/>
          <w:bottom w:val="nil"/>
          <w:right w:val="nil"/>
          <w:between w:val="nil"/>
        </w:pBdr>
        <w:spacing w:line="240" w:lineRule="auto"/>
        <w:ind w:left="808" w:right="533"/>
        <w:rPr>
          <w:sz w:val="22"/>
          <w:szCs w:val="22"/>
        </w:rPr>
      </w:pPr>
      <w:r w:rsidRPr="00A5537E">
        <w:rPr>
          <w:rFonts w:ascii="Arial" w:eastAsia="Arial" w:hAnsi="Arial" w:cs="Arial"/>
          <w:color w:val="000000"/>
          <w:sz w:val="21"/>
          <w:szCs w:val="21"/>
        </w:rPr>
        <w:t>Ahora bien, la vinculación de las sociedades de economía mixta a la Rama Ejecutiva, y su condición de entidades descentralizadas, implica consecuencias que emergen de la propia Constitución cuales son particularmente las siguientes: (i) que están sujetas un control fiscal en cabeza de la Contraloría General de la República, que toma pie en lo reglado por el artículo 267 de la Constitución, y que incluye el ejercicio de un control financiero, de gestión y de resultados; (ii) que están sujetas a un control político, que ejerce directamente el Congreso de la República en virtud de lo reglado por el último inciso del artículo 208 de la Constitución Política, (iii) que de conformidad con lo prescrito por el artículo 150 numeral 7, según el cual al Congreso le corresponde “crear o autorizar la constitución de … sociedades de economía mixta” del orden nacional, su creación o autorización tiene que producirse mediante ley. Correlativamente, en los órdenes departamental y municipal esta misma facultad se le reconoce a las asambleas y concejos, según lo prescriben lo artículos 300 numeral 7 y 313 numeral 6, respectivamente, por cual en dichos niveles las empresas de servicios públicos que asumieran la forma de sociedades de economía mixta deben ser creadas o autorizadas mediante ordenanza o acuerdo, según sea el caso; (iv) que les son aplicables las inhabilidades para la integración de órganos directivos a que aluden los artículos 180- 3, 292 y 323 de la Carta; (v) que en materia presupuestal quedan sujetas a las reglas de la ley orgánica del presupuesto; (vi) que en materia contable quedan sujetas a las reglas de contabilidad oficial</w:t>
      </w:r>
      <w:r w:rsidRPr="00A5537E">
        <w:rPr>
          <w:rFonts w:ascii="Arial" w:eastAsia="Arial" w:hAnsi="Arial" w:cs="Arial"/>
          <w:color w:val="000000"/>
          <w:sz w:val="21"/>
          <w:szCs w:val="21"/>
          <w:vertAlign w:val="superscript"/>
        </w:rPr>
        <w:footnoteReference w:id="38"/>
      </w:r>
    </w:p>
    <w:p w14:paraId="0531B0A2" w14:textId="0C4D6172" w:rsidR="009E3AC0" w:rsidRPr="00A5537E" w:rsidRDefault="00622B0F" w:rsidP="00A5537E">
      <w:pPr>
        <w:widowControl w:val="0"/>
        <w:pBdr>
          <w:top w:val="nil"/>
          <w:left w:val="nil"/>
          <w:bottom w:val="nil"/>
          <w:right w:val="nil"/>
          <w:between w:val="nil"/>
        </w:pBdr>
        <w:ind w:left="100" w:right="107" w:firstLine="608"/>
      </w:pPr>
      <w:r w:rsidRPr="00A5537E">
        <w:rPr>
          <w:rFonts w:ascii="Arial" w:eastAsia="Arial" w:hAnsi="Arial" w:cs="Arial"/>
          <w:color w:val="000000"/>
          <w:sz w:val="22"/>
          <w:szCs w:val="22"/>
        </w:rPr>
        <w:t>Así mismo, esta Corporación, en sentencia C–529 del 12 de julio de 2006, se pronunció sobre las sociedades de economía mixta como entidades descentralizadas, expresando:</w:t>
      </w:r>
    </w:p>
    <w:p w14:paraId="5E51FD48" w14:textId="77777777" w:rsidR="009E3AC0" w:rsidRPr="00A5537E" w:rsidRDefault="00622B0F" w:rsidP="00A5537E">
      <w:pPr>
        <w:widowControl w:val="0"/>
        <w:pBdr>
          <w:top w:val="nil"/>
          <w:left w:val="nil"/>
          <w:bottom w:val="nil"/>
          <w:right w:val="nil"/>
          <w:between w:val="nil"/>
        </w:pBdr>
        <w:spacing w:line="240" w:lineRule="auto"/>
        <w:ind w:left="808" w:right="537"/>
        <w:rPr>
          <w:sz w:val="22"/>
          <w:szCs w:val="22"/>
        </w:rPr>
      </w:pPr>
      <w:r w:rsidRPr="00A5537E">
        <w:rPr>
          <w:rFonts w:ascii="Arial" w:eastAsia="Arial" w:hAnsi="Arial" w:cs="Arial"/>
          <w:color w:val="000000"/>
          <w:sz w:val="21"/>
          <w:szCs w:val="21"/>
        </w:rPr>
        <w:t xml:space="preserve">es posible concluir que las sociedades de economía mixta, pese su naturaleza jurídica específica (regulación basada en las normas del derecho privado, </w:t>
      </w:r>
      <w:r w:rsidRPr="00A5537E">
        <w:rPr>
          <w:rFonts w:ascii="Arial" w:eastAsia="Arial" w:hAnsi="Arial" w:cs="Arial"/>
          <w:color w:val="000000"/>
          <w:sz w:val="21"/>
          <w:szCs w:val="21"/>
        </w:rPr>
        <w:lastRenderedPageBreak/>
        <w:t>ejecución de actividades industriales o comerciales, ánimo de lucro, entre otros aspectos) no pierden su carácter de expresiones de la actividad estatal, amén del aporte público en la constitución del capital social y la consiguiente pertenencia a la administración pública, en la condición de entidades descentralizadas</w:t>
      </w:r>
      <w:r w:rsidRPr="00A5537E">
        <w:rPr>
          <w:rFonts w:ascii="Arial" w:eastAsia="Arial" w:hAnsi="Arial" w:cs="Arial"/>
          <w:color w:val="000000"/>
          <w:sz w:val="21"/>
          <w:szCs w:val="21"/>
          <w:vertAlign w:val="superscript"/>
        </w:rPr>
        <w:footnoteReference w:id="39"/>
      </w:r>
      <w:r w:rsidRPr="00A5537E">
        <w:rPr>
          <w:rFonts w:ascii="Arial" w:eastAsia="Arial" w:hAnsi="Arial" w:cs="Arial"/>
          <w:color w:val="000000"/>
          <w:sz w:val="21"/>
          <w:szCs w:val="21"/>
        </w:rPr>
        <w:t>.</w:t>
      </w:r>
    </w:p>
    <w:p w14:paraId="0A6EA979" w14:textId="0FA00598" w:rsidR="009E3AC0" w:rsidRPr="00A5537E" w:rsidRDefault="00622B0F">
      <w:pPr>
        <w:widowControl w:val="0"/>
        <w:pBdr>
          <w:top w:val="nil"/>
          <w:left w:val="nil"/>
          <w:bottom w:val="nil"/>
          <w:right w:val="nil"/>
          <w:between w:val="nil"/>
        </w:pBdr>
        <w:ind w:left="100" w:right="105" w:firstLine="608"/>
        <w:rPr>
          <w:rFonts w:ascii="Arial" w:eastAsia="Arial" w:hAnsi="Arial" w:cs="Arial"/>
          <w:color w:val="000000"/>
          <w:sz w:val="22"/>
          <w:szCs w:val="22"/>
        </w:rPr>
      </w:pPr>
      <w:r w:rsidRPr="00A5537E">
        <w:rPr>
          <w:rFonts w:ascii="Arial" w:eastAsia="Arial" w:hAnsi="Arial" w:cs="Arial"/>
          <w:color w:val="000000"/>
          <w:sz w:val="22"/>
          <w:szCs w:val="22"/>
        </w:rPr>
        <w:t xml:space="preserve">En este orden de ideas, si bien las sociedades de economía mixta tienen personería jurídica, autonomía administrativa y patrimonio propio, esto no significa que pierdan su características de ser entidades descentralizadas, que hacen parte de la rama ejecutiva y, por lo tanto, cuando se trate de una sociedad de economía mixta departamental o municipal, no podrá celebrar dentro de los cuatro (4) meses anteriores a las elecciones territoriales, contratos y convenios interadministrativos por tratarse de una entidad descentralizada del nivel territorial, haciendo parte de las incluidas en el parágrafo del artículo 38 de la Ley de Garantías Electorales. </w:t>
      </w:r>
    </w:p>
    <w:p w14:paraId="5268332A" w14:textId="77777777" w:rsidR="009E3AC0" w:rsidRPr="00A5537E" w:rsidRDefault="00622B0F">
      <w:pPr>
        <w:widowControl w:val="0"/>
        <w:pBdr>
          <w:top w:val="nil"/>
          <w:left w:val="nil"/>
          <w:bottom w:val="nil"/>
          <w:right w:val="nil"/>
          <w:between w:val="nil"/>
        </w:pBdr>
        <w:spacing w:after="0"/>
        <w:ind w:firstLine="709"/>
        <w:rPr>
          <w:rFonts w:ascii="Arial" w:eastAsia="Arial" w:hAnsi="Arial" w:cs="Arial"/>
          <w:color w:val="000000"/>
          <w:sz w:val="22"/>
          <w:szCs w:val="22"/>
        </w:rPr>
      </w:pPr>
      <w:bookmarkStart w:id="45" w:name="_23ckvvd" w:colFirst="0" w:colLast="0"/>
      <w:bookmarkEnd w:id="45"/>
      <w:r w:rsidRPr="00A5537E">
        <w:rPr>
          <w:rFonts w:ascii="Arial" w:eastAsia="Arial" w:hAnsi="Arial" w:cs="Arial"/>
          <w:color w:val="000000"/>
          <w:sz w:val="22"/>
          <w:szCs w:val="22"/>
        </w:rPr>
        <w:t>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Pr="00A5537E">
        <w:rPr>
          <w:rFonts w:ascii="Arial" w:eastAsia="Arial" w:hAnsi="Arial" w:cs="Arial"/>
          <w:color w:val="000000"/>
          <w:sz w:val="22"/>
          <w:szCs w:val="22"/>
          <w:vertAlign w:val="superscript"/>
        </w:rPr>
        <w:footnoteReference w:id="40"/>
      </w:r>
      <w:r w:rsidRPr="00A5537E">
        <w:rPr>
          <w:rFonts w:ascii="Arial" w:eastAsia="Arial" w:hAnsi="Arial" w:cs="Arial"/>
          <w:color w:val="000000"/>
          <w:sz w:val="22"/>
          <w:szCs w:val="22"/>
        </w:rPr>
        <w:t>.</w:t>
      </w:r>
    </w:p>
    <w:p w14:paraId="027FB28B" w14:textId="77777777" w:rsidR="009E3AC0" w:rsidRPr="00A5537E" w:rsidRDefault="009E3AC0">
      <w:pPr>
        <w:widowControl w:val="0"/>
        <w:pBdr>
          <w:top w:val="nil"/>
          <w:left w:val="nil"/>
          <w:bottom w:val="nil"/>
          <w:right w:val="nil"/>
          <w:between w:val="nil"/>
        </w:pBdr>
        <w:spacing w:after="0"/>
        <w:rPr>
          <w:rFonts w:ascii="Arial" w:eastAsia="Arial" w:hAnsi="Arial" w:cs="Arial"/>
          <w:color w:val="000000"/>
          <w:sz w:val="22"/>
          <w:szCs w:val="22"/>
        </w:rPr>
      </w:pPr>
    </w:p>
    <w:p w14:paraId="77F141A1" w14:textId="09034E05" w:rsidR="009E3AC0" w:rsidRPr="00A5537E" w:rsidRDefault="00622B0F">
      <w:pPr>
        <w:shd w:val="clear" w:color="auto" w:fill="FFFFFF"/>
        <w:spacing w:after="0"/>
        <w:rPr>
          <w:rFonts w:ascii="Arial" w:eastAsia="Arial" w:hAnsi="Arial" w:cs="Arial"/>
          <w:sz w:val="22"/>
          <w:szCs w:val="22"/>
        </w:rPr>
      </w:pPr>
      <w:r w:rsidRPr="00A5537E">
        <w:rPr>
          <w:rFonts w:ascii="Arial" w:eastAsia="Arial" w:hAnsi="Arial" w:cs="Arial"/>
          <w:b/>
          <w:sz w:val="22"/>
          <w:szCs w:val="22"/>
        </w:rPr>
        <w:t>2.5.</w:t>
      </w:r>
      <w:r w:rsidRPr="00A5537E">
        <w:rPr>
          <w:rFonts w:ascii="Arial" w:eastAsia="Arial" w:hAnsi="Arial" w:cs="Arial"/>
          <w:sz w:val="22"/>
          <w:szCs w:val="22"/>
        </w:rPr>
        <w:tab/>
      </w:r>
      <w:r w:rsidRPr="00A5537E">
        <w:rPr>
          <w:rFonts w:ascii="Arial" w:eastAsia="Arial" w:hAnsi="Arial" w:cs="Arial"/>
          <w:b/>
          <w:sz w:val="22"/>
          <w:szCs w:val="22"/>
        </w:rPr>
        <w:t>Modificaciones realizadas por la Ley Anual del Presupuesto para la vigencia fiscal de 2022 a la Ley de Garantías Electorales</w:t>
      </w:r>
      <w:r w:rsidRPr="00A5537E">
        <w:rPr>
          <w:rFonts w:ascii="Arial" w:eastAsia="Arial" w:hAnsi="Arial" w:cs="Arial"/>
          <w:sz w:val="22"/>
          <w:szCs w:val="22"/>
        </w:rPr>
        <w:t xml:space="preserve"> </w:t>
      </w:r>
    </w:p>
    <w:p w14:paraId="7D6FB419" w14:textId="77777777" w:rsidR="009E3AC0" w:rsidRPr="00A5537E" w:rsidRDefault="009E3AC0">
      <w:pPr>
        <w:shd w:val="clear" w:color="auto" w:fill="FFFFFF"/>
        <w:spacing w:after="0"/>
        <w:rPr>
          <w:rFonts w:ascii="Arial" w:eastAsia="Arial" w:hAnsi="Arial" w:cs="Arial"/>
          <w:sz w:val="22"/>
          <w:szCs w:val="22"/>
        </w:rPr>
      </w:pPr>
    </w:p>
    <w:p w14:paraId="2DE8B037" w14:textId="1C33CD76" w:rsidR="009E3AC0" w:rsidRPr="00A5537E" w:rsidRDefault="00622B0F" w:rsidP="00A5537E">
      <w:pPr>
        <w:shd w:val="clear" w:color="auto" w:fill="FFFFFF"/>
        <w:spacing w:after="0"/>
      </w:pPr>
      <w:r w:rsidRPr="00A5537E">
        <w:rPr>
          <w:rFonts w:ascii="Arial" w:eastAsia="Arial" w:hAnsi="Arial" w:cs="Arial"/>
          <w:sz w:val="22"/>
          <w:szCs w:val="22"/>
        </w:rPr>
        <w:t>El análisis que a continuación se realizará, fue efectuado por esta Agencia en el concepto C-674 del 6 de diciembre de 2021</w:t>
      </w:r>
      <w:r w:rsidRPr="00A5537E">
        <w:rPr>
          <w:rFonts w:ascii="Arial" w:eastAsia="Arial" w:hAnsi="Arial" w:cs="Arial"/>
          <w:sz w:val="22"/>
          <w:szCs w:val="22"/>
          <w:vertAlign w:val="superscript"/>
        </w:rPr>
        <w:footnoteReference w:id="41"/>
      </w:r>
      <w:r w:rsidRPr="00A5537E">
        <w:rPr>
          <w:rFonts w:ascii="Arial" w:eastAsia="Arial" w:hAnsi="Arial" w:cs="Arial"/>
          <w:sz w:val="22"/>
          <w:szCs w:val="22"/>
        </w:rPr>
        <w:t>, por lo que se reiterará dicha postura complementándola con los cuestionamientos formulados por el peticionario. Partiendo de lo anterior, el 12 de noviembre de 2021 el Presidente de la República sancionó la Ley 2159</w:t>
      </w:r>
      <w:r w:rsidRPr="00A5537E">
        <w:rPr>
          <w:rFonts w:ascii="Arial" w:eastAsia="Arial" w:hAnsi="Arial" w:cs="Arial"/>
          <w:sz w:val="22"/>
          <w:szCs w:val="22"/>
          <w:vertAlign w:val="superscript"/>
        </w:rPr>
        <w:footnoteReference w:id="42"/>
      </w:r>
      <w:r w:rsidRPr="00A5537E">
        <w:rPr>
          <w:rFonts w:ascii="Arial" w:eastAsia="Arial" w:hAnsi="Arial" w:cs="Arial"/>
          <w:sz w:val="22"/>
          <w:szCs w:val="22"/>
        </w:rPr>
        <w:t xml:space="preserve">,  por la cual se decreta el presupuesto de rentas y recursos de capital y ley de apropiaciones para la </w:t>
      </w:r>
      <w:r w:rsidRPr="00A5537E">
        <w:rPr>
          <w:rFonts w:ascii="Arial" w:eastAsia="Arial" w:hAnsi="Arial" w:cs="Arial"/>
          <w:sz w:val="22"/>
          <w:szCs w:val="22"/>
        </w:rPr>
        <w:lastRenderedPageBreak/>
        <w:t>vigencia fiscal del 1 de enero al 31 de diciembre de 2022 –Ley Anual del Presupuesto–</w:t>
      </w:r>
      <w:r w:rsidRPr="00A5537E">
        <w:rPr>
          <w:rFonts w:ascii="Arial" w:eastAsia="Arial" w:hAnsi="Arial" w:cs="Arial"/>
          <w:sz w:val="22"/>
          <w:szCs w:val="22"/>
          <w:vertAlign w:val="superscript"/>
        </w:rPr>
        <w:footnoteReference w:id="43"/>
      </w:r>
      <w:r w:rsidRPr="00A5537E">
        <w:rPr>
          <w:rFonts w:ascii="Arial" w:eastAsia="Arial" w:hAnsi="Arial" w:cs="Arial"/>
          <w:sz w:val="22"/>
          <w:szCs w:val="22"/>
        </w:rPr>
        <w:t xml:space="preserve">. </w:t>
      </w:r>
      <w:bookmarkStart w:id="46" w:name="_ihv636" w:colFirst="0" w:colLast="0"/>
      <w:bookmarkEnd w:id="46"/>
      <w:r w:rsidRPr="00A5537E">
        <w:rPr>
          <w:rFonts w:ascii="Arial" w:eastAsia="Arial" w:hAnsi="Arial" w:cs="Arial"/>
          <w:sz w:val="22"/>
          <w:szCs w:val="22"/>
        </w:rPr>
        <w:t xml:space="preserve">Dentro del Capítulo V sobre «disposiciones varias» contenido en la Tercera Parte, «Disposiciones Generales», se destaca la inclusión del artículo 124, a cuyo tenor: </w:t>
      </w:r>
    </w:p>
    <w:p w14:paraId="52BCFA68" w14:textId="77777777" w:rsidR="009E3AC0" w:rsidRPr="00A5537E" w:rsidRDefault="009E3AC0">
      <w:pPr>
        <w:shd w:val="clear" w:color="auto" w:fill="FFFFFF"/>
        <w:spacing w:after="0" w:line="240" w:lineRule="auto"/>
        <w:rPr>
          <w:rFonts w:ascii="Arial" w:eastAsia="Arial" w:hAnsi="Arial" w:cs="Arial"/>
          <w:sz w:val="22"/>
          <w:szCs w:val="22"/>
        </w:rPr>
      </w:pPr>
    </w:p>
    <w:p w14:paraId="36DF4C1C" w14:textId="77777777" w:rsidR="009E3AC0" w:rsidRPr="00A5537E" w:rsidRDefault="00622B0F">
      <w:pPr>
        <w:shd w:val="clear" w:color="auto" w:fill="FFFFFF"/>
        <w:spacing w:after="0" w:line="240" w:lineRule="auto"/>
        <w:ind w:left="709" w:right="709"/>
        <w:rPr>
          <w:rFonts w:ascii="Arial" w:eastAsia="Arial" w:hAnsi="Arial" w:cs="Arial"/>
          <w:sz w:val="21"/>
          <w:szCs w:val="21"/>
        </w:rPr>
      </w:pPr>
      <w:r w:rsidRPr="00A5537E">
        <w:rPr>
          <w:rFonts w:ascii="Arial" w:eastAsia="Arial" w:hAnsi="Arial" w:cs="Arial"/>
          <w:sz w:val="21"/>
          <w:szCs w:val="21"/>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F77B054" w14:textId="77777777" w:rsidR="009E3AC0" w:rsidRPr="00A5537E" w:rsidRDefault="009E3AC0">
      <w:pPr>
        <w:shd w:val="clear" w:color="auto" w:fill="FFFFFF"/>
        <w:spacing w:after="0" w:line="240" w:lineRule="auto"/>
        <w:ind w:left="709" w:right="709"/>
        <w:rPr>
          <w:rFonts w:ascii="Arial" w:eastAsia="Arial" w:hAnsi="Arial" w:cs="Arial"/>
          <w:sz w:val="21"/>
          <w:szCs w:val="21"/>
        </w:rPr>
      </w:pPr>
    </w:p>
    <w:p w14:paraId="1DB45E69" w14:textId="77777777" w:rsidR="009E3AC0" w:rsidRPr="00A5537E" w:rsidRDefault="00622B0F">
      <w:pPr>
        <w:shd w:val="clear" w:color="auto" w:fill="FFFFFF"/>
        <w:spacing w:after="0" w:line="240" w:lineRule="auto"/>
        <w:ind w:left="709" w:right="709"/>
        <w:rPr>
          <w:rFonts w:ascii="Arial" w:eastAsia="Arial" w:hAnsi="Arial" w:cs="Arial"/>
          <w:sz w:val="21"/>
          <w:szCs w:val="21"/>
        </w:rPr>
      </w:pPr>
      <w:r w:rsidRPr="00A5537E">
        <w:rPr>
          <w:rFonts w:ascii="Arial" w:eastAsia="Arial" w:hAnsi="Arial" w:cs="Arial"/>
          <w:sz w:val="21"/>
          <w:szCs w:val="21"/>
        </w:rPr>
        <w:t xml:space="preserve">La presente disposición modifica únicamente en la parte pertinente el inciso primero del parágrafo del artículo 38 de la Ley 996 de 2005. </w:t>
      </w:r>
    </w:p>
    <w:p w14:paraId="2B969818" w14:textId="77777777" w:rsidR="009E3AC0" w:rsidRPr="00A5537E" w:rsidRDefault="009E3AC0">
      <w:pPr>
        <w:shd w:val="clear" w:color="auto" w:fill="FFFFFF"/>
        <w:spacing w:after="0" w:line="240" w:lineRule="auto"/>
        <w:ind w:left="709" w:right="709"/>
        <w:rPr>
          <w:rFonts w:ascii="Arial" w:eastAsia="Arial" w:hAnsi="Arial" w:cs="Arial"/>
          <w:sz w:val="21"/>
          <w:szCs w:val="21"/>
        </w:rPr>
      </w:pPr>
    </w:p>
    <w:p w14:paraId="4B55A22A" w14:textId="77777777" w:rsidR="009E3AC0" w:rsidRPr="00A5537E" w:rsidRDefault="00622B0F">
      <w:pPr>
        <w:shd w:val="clear" w:color="auto" w:fill="FFFFFF"/>
        <w:spacing w:after="0" w:line="240" w:lineRule="auto"/>
        <w:ind w:left="709" w:right="709"/>
        <w:rPr>
          <w:rFonts w:ascii="Arial" w:eastAsia="Arial" w:hAnsi="Arial" w:cs="Arial"/>
          <w:sz w:val="22"/>
          <w:szCs w:val="22"/>
        </w:rPr>
      </w:pPr>
      <w:r w:rsidRPr="00A5537E">
        <w:rPr>
          <w:rFonts w:ascii="Arial" w:eastAsia="Arial" w:hAnsi="Arial" w:cs="Arial"/>
          <w:sz w:val="21"/>
          <w:szCs w:val="21"/>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2F3B101B" w14:textId="77777777" w:rsidR="009E3AC0" w:rsidRPr="00A5537E" w:rsidRDefault="009E3AC0">
      <w:pPr>
        <w:shd w:val="clear" w:color="auto" w:fill="FFFFFF"/>
        <w:spacing w:after="0"/>
        <w:rPr>
          <w:rFonts w:ascii="Arial" w:eastAsia="Arial" w:hAnsi="Arial" w:cs="Arial"/>
          <w:sz w:val="22"/>
          <w:szCs w:val="22"/>
        </w:rPr>
      </w:pPr>
    </w:p>
    <w:p w14:paraId="07E5B667" w14:textId="77777777" w:rsidR="009E3AC0" w:rsidRPr="00A5537E" w:rsidRDefault="00622B0F" w:rsidP="00A5537E">
      <w:pPr>
        <w:spacing w:after="120"/>
        <w:ind w:firstLine="709"/>
      </w:pPr>
      <w:r w:rsidRPr="00A5537E">
        <w:rPr>
          <w:rFonts w:ascii="Arial" w:eastAsia="Arial" w:hAnsi="Arial" w:cs="Arial"/>
          <w:sz w:val="22"/>
          <w:szCs w:val="22"/>
        </w:rPr>
        <w:t>Al respecto, es importante señalar que los artículos 345 a 355 de la Constitución Política de 1991 desarrollan los asuntos del presupuesto general</w:t>
      </w:r>
      <w:r w:rsidRPr="00A5537E">
        <w:rPr>
          <w:rFonts w:ascii="Arial" w:eastAsia="Arial" w:hAnsi="Arial" w:cs="Arial"/>
          <w:sz w:val="22"/>
          <w:szCs w:val="22"/>
          <w:vertAlign w:val="superscript"/>
        </w:rPr>
        <w:footnoteReference w:id="44"/>
      </w:r>
      <w:r w:rsidRPr="00A5537E">
        <w:rPr>
          <w:rFonts w:ascii="Arial" w:eastAsia="Arial" w:hAnsi="Arial" w:cs="Arial"/>
          <w:sz w:val="22"/>
          <w:szCs w:val="22"/>
        </w:rPr>
        <w:t xml:space="preserve">. En estas normas se regula lo concerniente a la Ley Anual de presupuesto o Presupuesto de Rentas y Ley de Apropiaciones a expedir por el Congreso de la República, la cual debe contener la estimación de las rentas nacionales y la autorización de los gastos del Estado para la </w:t>
      </w:r>
      <w:r w:rsidRPr="00A5537E">
        <w:rPr>
          <w:rFonts w:ascii="Arial" w:eastAsia="Arial" w:hAnsi="Arial" w:cs="Arial"/>
          <w:sz w:val="22"/>
          <w:szCs w:val="22"/>
        </w:rPr>
        <w:lastRenderedPageBreak/>
        <w:t>respectiva vigencia fiscal anual, comprendida entre el 1° de enero y el 31 de diciembre y guardar correspondencia con el Plan Nacional de Desarrollo.</w:t>
      </w:r>
    </w:p>
    <w:p w14:paraId="33E5DD1E" w14:textId="77777777" w:rsidR="009E3AC0" w:rsidRPr="00A5537E" w:rsidRDefault="00622B0F" w:rsidP="00A5537E">
      <w:pPr>
        <w:spacing w:after="120"/>
        <w:ind w:firstLine="709"/>
      </w:pPr>
      <w:r w:rsidRPr="00A5537E">
        <w:rPr>
          <w:rFonts w:ascii="Arial" w:eastAsia="Arial" w:hAnsi="Arial" w:cs="Arial"/>
          <w:sz w:val="22"/>
          <w:szCs w:val="22"/>
        </w:rPr>
        <w:t>La Ley Anual de presupuesto o Presupuesto de Rentas y Ley de Apropiaciones, no solo responde a un análisis contable de rubros y gastos, sino que también es el resultado de un debate democrático connatural a la discusión, elaboración y aprobación de las leyes por el Congreso de la República, por cuanto con ella se pretende responder a la realidad económica y a las necesidades sociales de los colombianos y materializar las acciones de política pública</w:t>
      </w:r>
      <w:r w:rsidRPr="00A5537E">
        <w:rPr>
          <w:vertAlign w:val="superscript"/>
        </w:rPr>
        <w:footnoteReference w:id="45"/>
      </w:r>
      <w:r w:rsidRPr="00A5537E">
        <w:rPr>
          <w:rFonts w:ascii="Arial" w:eastAsia="Arial" w:hAnsi="Arial" w:cs="Arial"/>
          <w:sz w:val="22"/>
          <w:szCs w:val="22"/>
        </w:rPr>
        <w:t>.</w:t>
      </w:r>
    </w:p>
    <w:p w14:paraId="58FBCEE9" w14:textId="77777777" w:rsidR="009E3AC0" w:rsidRPr="00A5537E" w:rsidRDefault="00622B0F" w:rsidP="00A5537E">
      <w:pPr>
        <w:spacing w:after="120"/>
        <w:ind w:firstLine="709"/>
      </w:pPr>
      <w:r w:rsidRPr="00A5537E">
        <w:rPr>
          <w:rFonts w:ascii="Arial" w:eastAsia="Arial" w:hAnsi="Arial" w:cs="Arial"/>
          <w:sz w:val="22"/>
          <w:szCs w:val="22"/>
        </w:rPr>
        <w:t>En este sentido, es diferente analizar la ley desde la posición que concibe el presupuesto como un mero requisito para la ejecución de las partidas que contempla, a examinarla bajo la concepción de que, con base en las razones expuestas, al presupuesto le corresponde un contenido material propio y una indiscutible fuerza normativa ligada al logro de importantes objetivos económicos y sociales</w:t>
      </w:r>
      <w:r w:rsidRPr="00A5537E">
        <w:rPr>
          <w:rFonts w:ascii="Arial" w:eastAsia="Arial" w:hAnsi="Arial" w:cs="Arial"/>
          <w:sz w:val="22"/>
          <w:szCs w:val="22"/>
          <w:vertAlign w:val="superscript"/>
        </w:rPr>
        <w:footnoteReference w:id="46"/>
      </w:r>
      <w:r w:rsidRPr="00A5537E">
        <w:rPr>
          <w:rFonts w:ascii="Arial" w:eastAsia="Arial" w:hAnsi="Arial" w:cs="Arial"/>
          <w:sz w:val="22"/>
          <w:szCs w:val="22"/>
        </w:rPr>
        <w:t>, que exige atender su trámite en términos de participación democrática directa y representativa. Vista de esta manera, la ley de presupuesto además de su carácter de herramienta macroeconómica, tiene una vocación democrática para el manejo de los recursos, la orientación de su gasto y la ejecución de las políticas públicas</w:t>
      </w:r>
      <w:r w:rsidRPr="00A5537E">
        <w:rPr>
          <w:rFonts w:ascii="Arial" w:eastAsia="Arial" w:hAnsi="Arial" w:cs="Arial"/>
          <w:sz w:val="22"/>
          <w:szCs w:val="22"/>
          <w:vertAlign w:val="superscript"/>
        </w:rPr>
        <w:footnoteReference w:id="47"/>
      </w:r>
      <w:r w:rsidRPr="00A5537E">
        <w:rPr>
          <w:rFonts w:ascii="Arial" w:eastAsia="Arial" w:hAnsi="Arial" w:cs="Arial"/>
          <w:sz w:val="22"/>
          <w:szCs w:val="22"/>
        </w:rPr>
        <w:t>.</w:t>
      </w:r>
    </w:p>
    <w:p w14:paraId="0AE62701" w14:textId="77777777" w:rsidR="009E3AC0" w:rsidRPr="00A5537E" w:rsidRDefault="00622B0F" w:rsidP="00A5537E">
      <w:pPr>
        <w:spacing w:after="120"/>
        <w:ind w:firstLine="709"/>
      </w:pPr>
      <w:r w:rsidRPr="00A5537E">
        <w:rPr>
          <w:rFonts w:ascii="Arial" w:eastAsia="Arial" w:hAnsi="Arial" w:cs="Arial"/>
          <w:sz w:val="22"/>
          <w:szCs w:val="22"/>
        </w:rPr>
        <w:t xml:space="preserve">Desde la perspectiva más amplia, el Presupuesto General de la Nación está conformado por dos grandes rubros: i) el de los ingresos o rentas y ii) el de los gastos o apropiaciones, denominados, respectivamente, como presupuesto de rentas y presupuesto de gastos o ley de apropiaciones. </w:t>
      </w:r>
    </w:p>
    <w:p w14:paraId="6B1D0BCC" w14:textId="4DA3516B" w:rsidR="009E3AC0" w:rsidRPr="00A5537E" w:rsidRDefault="00622B0F" w:rsidP="00A5537E">
      <w:pPr>
        <w:spacing w:after="120"/>
        <w:ind w:firstLine="709"/>
      </w:pPr>
      <w:r w:rsidRPr="00A5537E">
        <w:rPr>
          <w:rFonts w:ascii="Arial" w:eastAsia="Arial" w:hAnsi="Arial" w:cs="Arial"/>
          <w:sz w:val="22"/>
          <w:szCs w:val="22"/>
        </w:rPr>
        <w:t>En lo que refiere al presupuesto de rentas, de conformidad con el artículo 11 del Decreto 111 de 1996</w:t>
      </w:r>
      <w:r w:rsidRPr="00A5537E">
        <w:rPr>
          <w:rFonts w:ascii="Arial" w:eastAsia="Arial" w:hAnsi="Arial" w:cs="Arial"/>
          <w:sz w:val="22"/>
          <w:szCs w:val="22"/>
          <w:vertAlign w:val="superscript"/>
        </w:rPr>
        <w:footnoteReference w:id="48"/>
      </w:r>
      <w:r w:rsidRPr="00A5537E">
        <w:rPr>
          <w:rFonts w:ascii="Arial" w:eastAsia="Arial" w:hAnsi="Arial" w:cs="Arial"/>
          <w:sz w:val="22"/>
          <w:szCs w:val="22"/>
        </w:rPr>
        <w:t xml:space="preserve"> –estatuto orgánico del presupuesto–, aquel está instituido por:</w:t>
      </w:r>
    </w:p>
    <w:p w14:paraId="31D8D7FC" w14:textId="77777777" w:rsidR="009E3AC0" w:rsidRPr="00A5537E" w:rsidRDefault="00622B0F" w:rsidP="00A5537E">
      <w:pPr>
        <w:spacing w:after="120"/>
        <w:ind w:firstLine="709"/>
      </w:pPr>
      <w:r w:rsidRPr="00A5537E">
        <w:rPr>
          <w:rFonts w:ascii="Arial" w:eastAsia="Arial" w:hAnsi="Arial" w:cs="Arial"/>
          <w:sz w:val="22"/>
          <w:szCs w:val="22"/>
        </w:rPr>
        <w:lastRenderedPageBreak/>
        <w:t xml:space="preserve">i) Los ingresos corrientes que, a su turno, se clasifican en tributarios, directos o indirectos, y no tributarios, estos últimos, subclasificados en tasas y multas (art.27); </w:t>
      </w:r>
    </w:p>
    <w:p w14:paraId="220DA80C" w14:textId="77777777" w:rsidR="009E3AC0" w:rsidRPr="00A5537E" w:rsidRDefault="00622B0F" w:rsidP="00A5537E">
      <w:pPr>
        <w:spacing w:after="120"/>
        <w:ind w:firstLine="709"/>
      </w:pPr>
      <w:r w:rsidRPr="00A5537E">
        <w:rPr>
          <w:rFonts w:ascii="Arial" w:eastAsia="Arial" w:hAnsi="Arial" w:cs="Arial"/>
          <w:sz w:val="22"/>
          <w:szCs w:val="22"/>
        </w:rPr>
        <w:t>ii) Las contribuciones parafiscales cuando sean administradas por un órgano que haga parte del presupuesto;</w:t>
      </w:r>
    </w:p>
    <w:p w14:paraId="3FE0D05B" w14:textId="77777777" w:rsidR="009E3AC0" w:rsidRPr="00A5537E" w:rsidRDefault="00622B0F" w:rsidP="00A5537E">
      <w:pPr>
        <w:spacing w:after="120"/>
        <w:ind w:firstLine="709"/>
      </w:pPr>
      <w:r w:rsidRPr="00A5537E">
        <w:rPr>
          <w:rFonts w:ascii="Arial" w:eastAsia="Arial" w:hAnsi="Arial" w:cs="Arial"/>
          <w:sz w:val="22"/>
          <w:szCs w:val="22"/>
        </w:rPr>
        <w:t>iii) Los fondos especiales;</w:t>
      </w:r>
    </w:p>
    <w:p w14:paraId="30FC6B34" w14:textId="77777777" w:rsidR="009E3AC0" w:rsidRPr="00A5537E" w:rsidRDefault="00622B0F" w:rsidP="00A5537E">
      <w:pPr>
        <w:spacing w:after="120"/>
        <w:ind w:firstLine="709"/>
      </w:pPr>
      <w:r w:rsidRPr="00A5537E">
        <w:rPr>
          <w:rFonts w:ascii="Arial" w:eastAsia="Arial" w:hAnsi="Arial" w:cs="Arial"/>
          <w:sz w:val="22"/>
          <w:szCs w:val="22"/>
        </w:rPr>
        <w:t>iv) Los recursos de capital, tales como  los recursos del «balance del tesoro nacional, los recursos del crédito externo e interno con vencimiento mayor a un año de acuerdo con los cupos autorizados por el Congreso de la República, los rendimientos financieros, el diferencial cambiario, las donaciones (art. 33), el excedente financiero de los establecimientos públicos del orden nacional y de las empresas industriales y comerciales del Estado del mismo orden, las utilidades del Banco de la República, entre otros (art. 31), y;</w:t>
      </w:r>
    </w:p>
    <w:p w14:paraId="270A3BCC" w14:textId="77777777" w:rsidR="009E3AC0" w:rsidRPr="00A5537E" w:rsidRDefault="00622B0F" w:rsidP="00A5537E">
      <w:pPr>
        <w:spacing w:after="120"/>
        <w:ind w:firstLine="709"/>
      </w:pPr>
      <w:r w:rsidRPr="00A5537E">
        <w:rPr>
          <w:rFonts w:ascii="Arial" w:eastAsia="Arial" w:hAnsi="Arial" w:cs="Arial"/>
          <w:sz w:val="22"/>
          <w:szCs w:val="22"/>
        </w:rPr>
        <w:t xml:space="preserve">v) Los ingresos de los establecimientos públicos de origen nacional. </w:t>
      </w:r>
    </w:p>
    <w:p w14:paraId="251FF193" w14:textId="77777777" w:rsidR="009E3AC0" w:rsidRPr="00A5537E" w:rsidRDefault="00622B0F" w:rsidP="00A5537E">
      <w:pPr>
        <w:spacing w:after="120"/>
        <w:ind w:firstLine="709"/>
      </w:pPr>
      <w:r w:rsidRPr="00A5537E">
        <w:rPr>
          <w:rFonts w:ascii="Arial" w:eastAsia="Arial" w:hAnsi="Arial" w:cs="Arial"/>
          <w:sz w:val="22"/>
          <w:szCs w:val="22"/>
        </w:rPr>
        <w:t xml:space="preserve">En lo que respecta al presupuesto de gastos o ley de apropiaciones, el mismo Decreto 111 de 1996, en el artículo 23, determina que aquel está configurado por tres grandes rubros: </w:t>
      </w:r>
    </w:p>
    <w:p w14:paraId="286394AC" w14:textId="77777777" w:rsidR="009E3AC0" w:rsidRPr="00A5537E" w:rsidRDefault="00622B0F" w:rsidP="00A5537E">
      <w:pPr>
        <w:spacing w:after="120"/>
        <w:ind w:firstLine="709"/>
      </w:pPr>
      <w:r w:rsidRPr="00A5537E">
        <w:rPr>
          <w:rFonts w:ascii="Arial" w:eastAsia="Arial" w:hAnsi="Arial" w:cs="Arial"/>
          <w:sz w:val="22"/>
          <w:szCs w:val="22"/>
        </w:rPr>
        <w:t>i) Los gastos de funcionamiento que, a su vez, estarán subdivididos en servicios personales, gastos generales y transferencias y gastos de operación;</w:t>
      </w:r>
    </w:p>
    <w:p w14:paraId="55BFCA97" w14:textId="0D7741A1" w:rsidR="009E3AC0" w:rsidRPr="00A5537E" w:rsidRDefault="00622B0F" w:rsidP="00A5537E">
      <w:pPr>
        <w:spacing w:after="120"/>
        <w:ind w:firstLine="709"/>
      </w:pPr>
      <w:r w:rsidRPr="00A5537E">
        <w:rPr>
          <w:rFonts w:ascii="Arial" w:eastAsia="Arial" w:hAnsi="Arial" w:cs="Arial"/>
          <w:sz w:val="22"/>
          <w:szCs w:val="22"/>
        </w:rPr>
        <w:t xml:space="preserve">ii) El servicio a la deuda, conformado por la deuda interna y externa y; </w:t>
      </w:r>
    </w:p>
    <w:p w14:paraId="5BD0367E" w14:textId="77777777" w:rsidR="009E3AC0" w:rsidRPr="00A5537E" w:rsidRDefault="00622B0F" w:rsidP="00A5537E">
      <w:pPr>
        <w:spacing w:after="120"/>
        <w:ind w:firstLine="709"/>
      </w:pPr>
      <w:r w:rsidRPr="00A5537E">
        <w:rPr>
          <w:rFonts w:ascii="Arial" w:eastAsia="Arial" w:hAnsi="Arial" w:cs="Arial"/>
          <w:sz w:val="22"/>
          <w:szCs w:val="22"/>
        </w:rPr>
        <w:t>iii) Los gastos de inversión, dentro de los cuales se incluirá, según el artículo 36 del Estatuto Orgánico, los proyectos establecidos en el «Plan Operativo Anual de Inversión». Este «Plan Operativo Anual de Inversión» al que hace referencia el artículo 36 mencionado, es, junto al presupuesto anual de la Nación, y al Plan Financiero, uno de los componentes del «Sistema Presupuestal» (art. 6)</w:t>
      </w:r>
      <w:r w:rsidRPr="00A5537E">
        <w:rPr>
          <w:rFonts w:ascii="Arial" w:eastAsia="Arial" w:hAnsi="Arial" w:cs="Arial"/>
          <w:sz w:val="22"/>
          <w:szCs w:val="22"/>
          <w:vertAlign w:val="superscript"/>
        </w:rPr>
        <w:footnoteReference w:id="49"/>
      </w:r>
      <w:r w:rsidRPr="00A5537E">
        <w:rPr>
          <w:rFonts w:ascii="Arial" w:eastAsia="Arial" w:hAnsi="Arial" w:cs="Arial"/>
          <w:sz w:val="22"/>
          <w:szCs w:val="22"/>
        </w:rPr>
        <w:t>, y dentro de él se señalarán los proyectos de inversión clasificados por sectores, órganos y programas, siempre en concordancia con el Plan Nacional de Inversiones contenido en el Plan Nacional de Desarrollo</w:t>
      </w:r>
      <w:r w:rsidRPr="00A5537E">
        <w:rPr>
          <w:rFonts w:ascii="Arial" w:eastAsia="Arial" w:hAnsi="Arial" w:cs="Arial"/>
          <w:sz w:val="22"/>
          <w:szCs w:val="22"/>
          <w:vertAlign w:val="superscript"/>
        </w:rPr>
        <w:footnoteReference w:id="50"/>
      </w:r>
      <w:r w:rsidRPr="00A5537E">
        <w:rPr>
          <w:rFonts w:ascii="Arial" w:eastAsia="Arial" w:hAnsi="Arial" w:cs="Arial"/>
          <w:sz w:val="22"/>
          <w:szCs w:val="22"/>
        </w:rPr>
        <w:t xml:space="preserve">. </w:t>
      </w:r>
    </w:p>
    <w:p w14:paraId="44442804" w14:textId="096FBD55" w:rsidR="009E3AC0" w:rsidRPr="00A5537E" w:rsidRDefault="00622B0F" w:rsidP="00A5537E">
      <w:pPr>
        <w:spacing w:after="120"/>
        <w:ind w:firstLine="709"/>
      </w:pPr>
      <w:r w:rsidRPr="00A5537E">
        <w:rPr>
          <w:rFonts w:ascii="Open Sans" w:eastAsia="Open Sans" w:hAnsi="Open Sans" w:cs="Open Sans"/>
          <w:color w:val="4B4949"/>
          <w:sz w:val="18"/>
          <w:szCs w:val="18"/>
        </w:rPr>
        <w:lastRenderedPageBreak/>
        <w:t xml:space="preserve"> </w:t>
      </w:r>
      <w:r w:rsidRPr="00A5537E">
        <w:rPr>
          <w:rFonts w:ascii="Arial" w:eastAsia="Arial" w:hAnsi="Arial" w:cs="Arial"/>
          <w:color w:val="000000"/>
          <w:sz w:val="22"/>
          <w:szCs w:val="22"/>
        </w:rPr>
        <w:t>De acuerdo con el</w:t>
      </w:r>
      <w:r w:rsidRPr="00A5537E">
        <w:rPr>
          <w:rFonts w:ascii="Arial" w:eastAsia="Arial" w:hAnsi="Arial" w:cs="Arial"/>
          <w:color w:val="4B4949"/>
          <w:sz w:val="22"/>
          <w:szCs w:val="22"/>
        </w:rPr>
        <w:t xml:space="preserve"> </w:t>
      </w:r>
      <w:r w:rsidRPr="00A5537E">
        <w:rPr>
          <w:rFonts w:ascii="Arial" w:eastAsia="Arial" w:hAnsi="Arial" w:cs="Arial"/>
          <w:sz w:val="22"/>
          <w:szCs w:val="22"/>
        </w:rPr>
        <w:t>artículo 38 del Estatuto Orgánico del Presupuesto, la ley de gastos o apropiaciones «solo» estará conformada por las apropiaciones que correspondan a los siguientes aspectos:</w:t>
      </w:r>
    </w:p>
    <w:p w14:paraId="32996C97" w14:textId="77777777" w:rsidR="009E3AC0" w:rsidRPr="00A5537E" w:rsidRDefault="00622B0F" w:rsidP="00A5537E">
      <w:pPr>
        <w:spacing w:after="120"/>
        <w:ind w:firstLine="709"/>
      </w:pPr>
      <w:r w:rsidRPr="00A5537E">
        <w:rPr>
          <w:rFonts w:ascii="Arial" w:eastAsia="Arial" w:hAnsi="Arial" w:cs="Arial"/>
          <w:sz w:val="22"/>
          <w:szCs w:val="22"/>
        </w:rPr>
        <w:t>1. Los créditos judicialmente reconocidos;</w:t>
      </w:r>
    </w:p>
    <w:p w14:paraId="4C02B73C" w14:textId="77777777" w:rsidR="009E3AC0" w:rsidRPr="00A5537E" w:rsidRDefault="00622B0F" w:rsidP="00A5537E">
      <w:pPr>
        <w:spacing w:after="120"/>
        <w:ind w:firstLine="709"/>
      </w:pPr>
      <w:r w:rsidRPr="00A5537E">
        <w:rPr>
          <w:rFonts w:ascii="Arial" w:eastAsia="Arial" w:hAnsi="Arial" w:cs="Arial"/>
          <w:sz w:val="22"/>
          <w:szCs w:val="22"/>
        </w:rPr>
        <w:t>2. Los gastos decretados conforme a la ley;</w:t>
      </w:r>
    </w:p>
    <w:p w14:paraId="6A23B2E6" w14:textId="77777777" w:rsidR="009E3AC0" w:rsidRPr="00A5537E" w:rsidRDefault="00622B0F" w:rsidP="00A5537E">
      <w:pPr>
        <w:spacing w:after="120"/>
        <w:ind w:firstLine="709"/>
      </w:pPr>
      <w:r w:rsidRPr="00A5537E">
        <w:rPr>
          <w:rFonts w:ascii="Arial" w:eastAsia="Arial" w:hAnsi="Arial" w:cs="Arial"/>
          <w:i/>
          <w:sz w:val="22"/>
          <w:szCs w:val="22"/>
        </w:rPr>
        <w:t>3. Las destinadas a dar cumplimiento a los planes y programas de desarrollo económico y social y a las obras públicas tratados en los artículos 339 y 341 de la Constitución Política, siempre que hayan sido aprobadas por el Congreso Nacional,</w:t>
      </w:r>
      <w:r w:rsidRPr="00A5537E">
        <w:rPr>
          <w:rFonts w:ascii="Arial" w:eastAsia="Arial" w:hAnsi="Arial" w:cs="Arial"/>
          <w:sz w:val="22"/>
          <w:szCs w:val="22"/>
        </w:rPr>
        <w:t xml:space="preserve"> y;</w:t>
      </w:r>
    </w:p>
    <w:p w14:paraId="03F07342" w14:textId="77777777" w:rsidR="009E3AC0" w:rsidRPr="00A5537E" w:rsidRDefault="00622B0F" w:rsidP="00A5537E">
      <w:pPr>
        <w:spacing w:after="120"/>
        <w:ind w:firstLine="709"/>
      </w:pPr>
      <w:r w:rsidRPr="00A5537E">
        <w:rPr>
          <w:rFonts w:ascii="Arial" w:eastAsia="Arial" w:hAnsi="Arial" w:cs="Arial"/>
          <w:sz w:val="22"/>
          <w:szCs w:val="22"/>
        </w:rPr>
        <w:t xml:space="preserve">4. </w:t>
      </w:r>
      <w:r w:rsidRPr="00A5537E">
        <w:rPr>
          <w:rFonts w:ascii="Arial" w:eastAsia="Arial" w:hAnsi="Arial" w:cs="Arial"/>
          <w:color w:val="333333"/>
          <w:sz w:val="22"/>
          <w:szCs w:val="22"/>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369C57BF" w14:textId="77777777" w:rsidR="009E3AC0" w:rsidRPr="00A5537E" w:rsidRDefault="00622B0F" w:rsidP="00A5537E">
      <w:pPr>
        <w:spacing w:after="120"/>
        <w:ind w:firstLine="709"/>
      </w:pPr>
      <w:r w:rsidRPr="00A5537E">
        <w:rPr>
          <w:rFonts w:ascii="Arial" w:eastAsia="Arial" w:hAnsi="Arial" w:cs="Arial"/>
          <w:sz w:val="22"/>
          <w:szCs w:val="22"/>
        </w:rPr>
        <w:t xml:space="preserve">De lo anterior se desprende que uno de los aspectos que deberán figurar dentro de la ley de apropiaciones o gastos, serán las partidas destinadas a dar cumplimiento a los planes y programas de desarrollo económico y social y a las obras públicas regulados en los artículos 339 y 341 de la Constitución. En ese sentido, recuérdese que el Plan Nacional de Desarrollo, de acuerdo con el artículo 339 de la Constitución Política, cuenta con dos grandes apartados: </w:t>
      </w:r>
      <w:r w:rsidRPr="00A5537E">
        <w:rPr>
          <w:rFonts w:ascii="Arial" w:eastAsia="Arial" w:hAnsi="Arial" w:cs="Arial"/>
          <w:i/>
          <w:sz w:val="22"/>
          <w:szCs w:val="22"/>
        </w:rPr>
        <w:t>i)</w:t>
      </w:r>
      <w:r w:rsidRPr="00A5537E">
        <w:rPr>
          <w:rFonts w:ascii="Arial" w:eastAsia="Arial" w:hAnsi="Arial" w:cs="Arial"/>
          <w:sz w:val="22"/>
          <w:szCs w:val="22"/>
        </w:rPr>
        <w:t xml:space="preserve"> una parte general o estratégica y </w:t>
      </w:r>
      <w:r w:rsidRPr="00A5537E">
        <w:rPr>
          <w:rFonts w:ascii="Arial" w:eastAsia="Arial" w:hAnsi="Arial" w:cs="Arial"/>
          <w:i/>
          <w:sz w:val="22"/>
          <w:szCs w:val="22"/>
        </w:rPr>
        <w:t>ii)</w:t>
      </w:r>
      <w:r w:rsidRPr="00A5537E">
        <w:rPr>
          <w:rFonts w:ascii="Arial" w:eastAsia="Arial" w:hAnsi="Arial" w:cs="Arial"/>
          <w:sz w:val="22"/>
          <w:szCs w:val="22"/>
        </w:rPr>
        <w:t xml:space="preserve"> un Plan Nacional de Inversiones de las entidades públicas del orden nacional. </w:t>
      </w:r>
    </w:p>
    <w:p w14:paraId="52E4B71C" w14:textId="77777777" w:rsidR="009E3AC0" w:rsidRPr="00A5537E" w:rsidRDefault="00622B0F" w:rsidP="00A5537E">
      <w:pPr>
        <w:spacing w:after="120"/>
        <w:ind w:firstLine="709"/>
      </w:pPr>
      <w:r w:rsidRPr="00A5537E">
        <w:rPr>
          <w:rFonts w:ascii="Arial" w:eastAsia="Arial" w:hAnsi="Arial" w:cs="Arial"/>
          <w:sz w:val="22"/>
          <w:szCs w:val="22"/>
        </w:rPr>
        <w:t xml:space="preserve">En la primera parte, se señalarán los propósitos y objetivos nacionales de largo plazo, así como las metas y prioridades estatales a mediano plazo y las estrategias generales de la política social, económica y ambiental que adoptará el Gobierno Nacional. Por su parte, el Plan de Inversiones Públicas, contendrá «los presupuestos plurianuales de </w:t>
      </w:r>
      <w:r w:rsidRPr="00A5537E">
        <w:rPr>
          <w:rFonts w:ascii="Arial" w:eastAsia="Arial" w:hAnsi="Arial" w:cs="Arial"/>
          <w:i/>
          <w:sz w:val="22"/>
          <w:szCs w:val="22"/>
        </w:rPr>
        <w:t>los principales programas y proyectos de inversión pública nacional</w:t>
      </w:r>
      <w:r w:rsidRPr="00A5537E">
        <w:rPr>
          <w:rFonts w:ascii="Arial" w:eastAsia="Arial" w:hAnsi="Arial" w:cs="Arial"/>
          <w:sz w:val="22"/>
          <w:szCs w:val="22"/>
        </w:rPr>
        <w:t xml:space="preserve"> y la especificación de los recursos financieros requeridos para su ejecución» (énfasis añadido)</w:t>
      </w:r>
      <w:r w:rsidRPr="00A5537E">
        <w:rPr>
          <w:rFonts w:ascii="Open Sans" w:eastAsia="Open Sans" w:hAnsi="Open Sans" w:cs="Open Sans"/>
          <w:color w:val="4B4949"/>
          <w:sz w:val="18"/>
          <w:szCs w:val="18"/>
        </w:rPr>
        <w:t>.</w:t>
      </w:r>
    </w:p>
    <w:p w14:paraId="72A6C4E5" w14:textId="77777777" w:rsidR="009E3AC0" w:rsidRPr="00A5537E" w:rsidRDefault="00622B0F">
      <w:pPr>
        <w:spacing w:after="0"/>
        <w:rPr>
          <w:rFonts w:ascii="Arial" w:eastAsia="Arial" w:hAnsi="Arial" w:cs="Arial"/>
          <w:sz w:val="22"/>
          <w:szCs w:val="22"/>
        </w:rPr>
      </w:pPr>
      <w:r w:rsidRPr="00A5537E">
        <w:rPr>
          <w:rFonts w:ascii="Arial" w:eastAsia="Arial" w:hAnsi="Arial" w:cs="Arial"/>
          <w:sz w:val="22"/>
          <w:szCs w:val="22"/>
        </w:rPr>
        <w:tab/>
        <w:t xml:space="preserve">Por otra parte, como producto natural de la descentralización territorial y la autonomía de las entidades territoriales que rigen la estructura del Estado colombiano, el inciso 2 del artículo 339 de la Constitución Política, autoriza a las autoridades territoriales para que elaboren y adopten, de manera concertada entre ellas y el Gobierno Nacional, sus propios planes de desarrollo. Al igual que el Plan Nacional de Desarrollo, los planes de desarrollo territoriales estarán constituidos por una primera parte estratégica y una segunda contentiva del plan de inversiones a mediano y corto plazo, en los términos y condiciones </w:t>
      </w:r>
      <w:r w:rsidRPr="00A5537E">
        <w:rPr>
          <w:rFonts w:ascii="Arial" w:eastAsia="Arial" w:hAnsi="Arial" w:cs="Arial"/>
          <w:sz w:val="22"/>
          <w:szCs w:val="22"/>
        </w:rPr>
        <w:lastRenderedPageBreak/>
        <w:t>que, de manera general, establezcan las respectivas asambleas departamentales y concejos municipales o distritales, según el caso</w:t>
      </w:r>
      <w:r w:rsidRPr="00A5537E">
        <w:rPr>
          <w:rFonts w:ascii="Arial" w:eastAsia="Arial" w:hAnsi="Arial" w:cs="Arial"/>
          <w:sz w:val="22"/>
          <w:szCs w:val="22"/>
          <w:vertAlign w:val="superscript"/>
        </w:rPr>
        <w:footnoteReference w:id="51"/>
      </w:r>
      <w:r w:rsidRPr="00A5537E">
        <w:rPr>
          <w:rFonts w:ascii="Arial" w:eastAsia="Arial" w:hAnsi="Arial" w:cs="Arial"/>
          <w:sz w:val="22"/>
          <w:szCs w:val="22"/>
        </w:rPr>
        <w:t xml:space="preserve">. </w:t>
      </w:r>
    </w:p>
    <w:p w14:paraId="02DC840D" w14:textId="77777777" w:rsidR="009E3AC0" w:rsidRPr="00A5537E" w:rsidRDefault="009E3AC0">
      <w:pPr>
        <w:spacing w:after="0"/>
        <w:rPr>
          <w:rFonts w:ascii="Arial" w:eastAsia="Arial" w:hAnsi="Arial" w:cs="Arial"/>
          <w:sz w:val="22"/>
          <w:szCs w:val="22"/>
        </w:rPr>
      </w:pPr>
    </w:p>
    <w:p w14:paraId="60C287C4" w14:textId="77777777" w:rsidR="009E3AC0" w:rsidRPr="00A5537E" w:rsidRDefault="00622B0F">
      <w:pPr>
        <w:spacing w:after="0"/>
        <w:rPr>
          <w:rFonts w:ascii="Arial" w:eastAsia="Arial" w:hAnsi="Arial" w:cs="Arial"/>
          <w:b/>
          <w:sz w:val="22"/>
          <w:szCs w:val="22"/>
        </w:rPr>
      </w:pPr>
      <w:r w:rsidRPr="00A5537E">
        <w:rPr>
          <w:rFonts w:ascii="Arial" w:eastAsia="Arial" w:hAnsi="Arial" w:cs="Arial"/>
          <w:b/>
          <w:sz w:val="22"/>
          <w:szCs w:val="22"/>
        </w:rPr>
        <w:t>2.5.1.</w:t>
      </w:r>
      <w:r w:rsidRPr="00A5537E">
        <w:rPr>
          <w:rFonts w:ascii="Arial" w:eastAsia="Arial" w:hAnsi="Arial" w:cs="Arial"/>
          <w:sz w:val="22"/>
          <w:szCs w:val="22"/>
        </w:rPr>
        <w:t xml:space="preserve"> </w:t>
      </w:r>
      <w:r w:rsidRPr="00A5537E">
        <w:rPr>
          <w:rFonts w:ascii="Arial" w:eastAsia="Arial" w:hAnsi="Arial" w:cs="Arial"/>
          <w:b/>
          <w:sz w:val="22"/>
          <w:szCs w:val="22"/>
        </w:rPr>
        <w:t>Alcances y elementos de la reforma a la Ley de Garantías Electorales</w:t>
      </w:r>
    </w:p>
    <w:p w14:paraId="21DF4805" w14:textId="77777777" w:rsidR="009E3AC0" w:rsidRPr="00A5537E" w:rsidRDefault="009E3AC0" w:rsidP="00A5537E">
      <w:pPr>
        <w:shd w:val="clear" w:color="auto" w:fill="FFFFFF"/>
        <w:spacing w:after="120"/>
      </w:pPr>
    </w:p>
    <w:p w14:paraId="0DDA9BD2" w14:textId="77777777" w:rsidR="009E3AC0" w:rsidRPr="00A5537E" w:rsidRDefault="00622B0F" w:rsidP="00A5537E">
      <w:pPr>
        <w:shd w:val="clear" w:color="auto" w:fill="FFFFFF"/>
        <w:spacing w:after="120"/>
      </w:pPr>
      <w:r w:rsidRPr="00A5537E">
        <w:rPr>
          <w:rFonts w:ascii="Arial" w:eastAsia="Arial" w:hAnsi="Arial" w:cs="Arial"/>
          <w:sz w:val="22"/>
          <w:szCs w:val="22"/>
        </w:rPr>
        <w:t>En este contexto, como se puede apreciar, el artículo 124 de la Ley del Presupuesto para la vigencia fiscal del 2022 que arriba se citó,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7300BEFE"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p>
    <w:p w14:paraId="298E2796" w14:textId="77777777" w:rsidR="009E3AC0" w:rsidRPr="00A5537E" w:rsidRDefault="00622B0F">
      <w:pPr>
        <w:shd w:val="clear" w:color="auto" w:fill="FFFFFF"/>
        <w:spacing w:after="0"/>
        <w:ind w:firstLine="708"/>
        <w:rPr>
          <w:rFonts w:ascii="Arial" w:eastAsia="Arial" w:hAnsi="Arial" w:cs="Arial"/>
          <w:sz w:val="22"/>
          <w:szCs w:val="22"/>
        </w:rPr>
      </w:pPr>
      <w:r w:rsidRPr="00A5537E">
        <w:rPr>
          <w:rFonts w:ascii="Arial" w:eastAsia="Arial" w:hAnsi="Arial" w:cs="Arial"/>
          <w:sz w:val="22"/>
          <w:szCs w:val="22"/>
        </w:rPr>
        <w:t xml:space="preserve">A continuación, la Agencia se referirá a cada uno de los aspectos o elementos insertos en la mencionada disposición. </w:t>
      </w:r>
    </w:p>
    <w:p w14:paraId="4D9181BA" w14:textId="77777777" w:rsidR="009E3AC0" w:rsidRPr="00A5537E" w:rsidRDefault="009E3AC0">
      <w:pPr>
        <w:shd w:val="clear" w:color="auto" w:fill="FFFFFF"/>
        <w:spacing w:after="0"/>
        <w:rPr>
          <w:rFonts w:ascii="Arial" w:eastAsia="Arial" w:hAnsi="Arial" w:cs="Arial"/>
          <w:sz w:val="22"/>
          <w:szCs w:val="22"/>
        </w:rPr>
      </w:pPr>
    </w:p>
    <w:p w14:paraId="622AAD69" w14:textId="77777777" w:rsidR="009E3AC0" w:rsidRPr="00A5537E" w:rsidRDefault="00622B0F">
      <w:pPr>
        <w:shd w:val="clear" w:color="auto" w:fill="FFFFFF"/>
        <w:spacing w:after="0"/>
        <w:rPr>
          <w:rFonts w:ascii="Arial" w:eastAsia="Arial" w:hAnsi="Arial" w:cs="Arial"/>
          <w:b/>
          <w:sz w:val="22"/>
          <w:szCs w:val="22"/>
        </w:rPr>
      </w:pPr>
      <w:r w:rsidRPr="00A5537E">
        <w:rPr>
          <w:rFonts w:ascii="Arial" w:eastAsia="Arial" w:hAnsi="Arial" w:cs="Arial"/>
          <w:b/>
          <w:sz w:val="22"/>
          <w:szCs w:val="22"/>
        </w:rPr>
        <w:t>2.5.1.1. Aspecto temporal</w:t>
      </w:r>
    </w:p>
    <w:p w14:paraId="1A4B841E" w14:textId="77777777" w:rsidR="009E3AC0" w:rsidRPr="00A5537E" w:rsidRDefault="009E3AC0">
      <w:pPr>
        <w:shd w:val="clear" w:color="auto" w:fill="FFFFFF"/>
        <w:spacing w:after="0"/>
        <w:rPr>
          <w:rFonts w:ascii="Arial" w:eastAsia="Arial" w:hAnsi="Arial" w:cs="Arial"/>
          <w:sz w:val="22"/>
          <w:szCs w:val="22"/>
        </w:rPr>
      </w:pPr>
    </w:p>
    <w:p w14:paraId="5E1826BF" w14:textId="77777777" w:rsidR="009E3AC0" w:rsidRPr="00A5537E" w:rsidRDefault="00622B0F" w:rsidP="00A5537E">
      <w:pPr>
        <w:shd w:val="clear" w:color="auto" w:fill="FFFFFF"/>
        <w:spacing w:after="120"/>
      </w:pPr>
      <w:r w:rsidRPr="00A5537E">
        <w:rPr>
          <w:rFonts w:ascii="Arial" w:eastAsia="Arial" w:hAnsi="Arial" w:cs="Arial"/>
          <w:sz w:val="22"/>
          <w:szCs w:val="22"/>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341F9FB4" w14:textId="77777777" w:rsidR="009E3AC0" w:rsidRPr="00A5537E" w:rsidRDefault="00622B0F">
      <w:pPr>
        <w:shd w:val="clear" w:color="auto" w:fill="FFFFFF"/>
        <w:spacing w:after="0"/>
        <w:ind w:firstLine="709"/>
        <w:rPr>
          <w:rFonts w:ascii="Arial" w:eastAsia="Arial" w:hAnsi="Arial" w:cs="Arial"/>
          <w:sz w:val="22"/>
          <w:szCs w:val="22"/>
        </w:rPr>
      </w:pPr>
      <w:r w:rsidRPr="00A5537E">
        <w:rPr>
          <w:rFonts w:ascii="Arial" w:eastAsia="Arial" w:hAnsi="Arial" w:cs="Arial"/>
          <w:sz w:val="22"/>
          <w:szCs w:val="22"/>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y parcial de la prohibición,</w:t>
      </w:r>
      <w:r w:rsidRPr="00A5537E">
        <w:t xml:space="preserve"> </w:t>
      </w:r>
      <w:r w:rsidRPr="00A5537E">
        <w:rPr>
          <w:rFonts w:ascii="Arial" w:eastAsia="Arial" w:hAnsi="Arial" w:cs="Arial"/>
          <w:sz w:val="22"/>
          <w:szCs w:val="22"/>
        </w:rPr>
        <w:t xml:space="preserve">teniendo en cuenta que la norma es de carácter temporal y que en realidad no varía o cambia de forma permanente una norma general prevista en la Ley 996 de 2005, sino que </w:t>
      </w:r>
      <w:r w:rsidRPr="00A5537E">
        <w:rPr>
          <w:rFonts w:ascii="Arial" w:eastAsia="Arial" w:hAnsi="Arial" w:cs="Arial"/>
          <w:sz w:val="22"/>
          <w:szCs w:val="22"/>
        </w:rPr>
        <w:lastRenderedPageBreak/>
        <w:t>prevé su inaplicación desde que comience a regir la Ley de Presupuesto y durante la vigencia fiscal 2022.</w:t>
      </w:r>
    </w:p>
    <w:p w14:paraId="3C3E8C7D" w14:textId="77777777" w:rsidR="009E3AC0" w:rsidRPr="00A5537E" w:rsidRDefault="009E3AC0">
      <w:pPr>
        <w:shd w:val="clear" w:color="auto" w:fill="FFFFFF"/>
        <w:spacing w:after="0"/>
        <w:rPr>
          <w:rFonts w:ascii="Arial" w:eastAsia="Arial" w:hAnsi="Arial" w:cs="Arial"/>
          <w:sz w:val="22"/>
          <w:szCs w:val="22"/>
        </w:rPr>
      </w:pPr>
    </w:p>
    <w:p w14:paraId="46A077EB" w14:textId="77777777" w:rsidR="009E3AC0" w:rsidRPr="00A5537E" w:rsidRDefault="00622B0F">
      <w:pPr>
        <w:shd w:val="clear" w:color="auto" w:fill="FFFFFF"/>
        <w:spacing w:after="0"/>
        <w:rPr>
          <w:rFonts w:ascii="Arial" w:eastAsia="Arial" w:hAnsi="Arial" w:cs="Arial"/>
          <w:b/>
          <w:sz w:val="22"/>
          <w:szCs w:val="22"/>
        </w:rPr>
      </w:pPr>
      <w:r w:rsidRPr="00A5537E">
        <w:rPr>
          <w:rFonts w:ascii="Arial" w:eastAsia="Arial" w:hAnsi="Arial" w:cs="Arial"/>
          <w:b/>
          <w:sz w:val="22"/>
          <w:szCs w:val="22"/>
        </w:rPr>
        <w:t>2.5.1.2. Aspecto subjetivo</w:t>
      </w:r>
    </w:p>
    <w:p w14:paraId="15254A6A" w14:textId="77777777" w:rsidR="009E3AC0" w:rsidRPr="00A5537E" w:rsidRDefault="009E3AC0">
      <w:pPr>
        <w:shd w:val="clear" w:color="auto" w:fill="FFFFFF"/>
        <w:spacing w:after="0"/>
        <w:rPr>
          <w:rFonts w:ascii="Arial" w:eastAsia="Arial" w:hAnsi="Arial" w:cs="Arial"/>
          <w:sz w:val="22"/>
          <w:szCs w:val="22"/>
        </w:rPr>
      </w:pPr>
    </w:p>
    <w:p w14:paraId="52A48864" w14:textId="77777777" w:rsidR="009E3AC0" w:rsidRPr="00A5537E" w:rsidRDefault="00622B0F" w:rsidP="00A5537E">
      <w:pPr>
        <w:shd w:val="clear" w:color="auto" w:fill="FFFFFF"/>
        <w:spacing w:after="120"/>
      </w:pPr>
      <w:r w:rsidRPr="00A5537E">
        <w:rPr>
          <w:rFonts w:ascii="Arial" w:eastAsia="Arial" w:hAnsi="Arial" w:cs="Arial"/>
          <w:sz w:val="22"/>
          <w:szCs w:val="22"/>
        </w:rPr>
        <w:t xml:space="preserve">Ahora bien, según se señaló atrás, el parágrafo del artículo 38 de la Ley 996 de 2005, en su texto original, establece una prohibición dirigida a los alcaldes, gobernadores, secretarios, gerentes y directores de las entidades del orden municipal, departamental o distrital, quienes no podrán celebrar convenios y contratos interadministrativos para la ejecución de recursos públicos durante el periodo establecido en ese mismo parágrafo,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6CCC63C9" w14:textId="77777777" w:rsidR="009E3AC0" w:rsidRPr="00A5537E" w:rsidRDefault="00622B0F" w:rsidP="00A5537E">
      <w:pPr>
        <w:shd w:val="clear" w:color="auto" w:fill="FFFFFF"/>
        <w:spacing w:after="120"/>
        <w:ind w:firstLine="708"/>
      </w:pPr>
      <w:bookmarkStart w:id="47" w:name="_32hioqz" w:colFirst="0" w:colLast="0"/>
      <w:bookmarkEnd w:id="47"/>
      <w:r w:rsidRPr="00A5537E">
        <w:rPr>
          <w:rFonts w:ascii="Arial" w:eastAsia="Arial" w:hAnsi="Arial" w:cs="Arial"/>
          <w:sz w:val="22"/>
          <w:szCs w:val="22"/>
        </w:rPr>
        <w:t>Como se observa, el artículo 124 de la Ley 2159 de 2021 hace referencia a que la «Nación» podrá celebrar convenios interadministrativos con «las entidades territoriales», razón por la cual en su aplicación resulta relevante el concepto que se tenga de los dos sujetos de derecho autorizados para celebrarlos.</w:t>
      </w:r>
    </w:p>
    <w:p w14:paraId="0DF8E552"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En cuanto a las entidades territoriales, el artículo 286 de la Constitución Política establece claramente que son «los departamentos, los distritos, los municipios y los territorios indígenas» y la «ley podrá darles el carácter de entidades territoriales a las regiones y provincias que se constituyan en los términos de la Constitución y de la ley». Es a estas entidades a los que, en opinión de esta Agencia, hace referencia el artículo 124 de la Ley 2159 de 2021 al expresar «las entidades territoriales».  </w:t>
      </w:r>
    </w:p>
    <w:p w14:paraId="3E552B71"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Por su parte,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A5537E">
        <w:rPr>
          <w:rFonts w:ascii="Arial" w:eastAsia="Arial" w:hAnsi="Arial" w:cs="Arial"/>
          <w:sz w:val="22"/>
          <w:szCs w:val="22"/>
          <w:vertAlign w:val="superscript"/>
        </w:rPr>
        <w:footnoteReference w:id="52"/>
      </w:r>
      <w:r w:rsidRPr="00A5537E">
        <w:rPr>
          <w:rFonts w:ascii="Arial" w:eastAsia="Arial" w:hAnsi="Arial" w:cs="Arial"/>
          <w:sz w:val="22"/>
          <w:szCs w:val="22"/>
        </w:rPr>
        <w:t xml:space="preserve">. </w:t>
      </w:r>
    </w:p>
    <w:p w14:paraId="6C8D911C" w14:textId="237072EA" w:rsidR="009E3AC0" w:rsidRPr="00A5537E" w:rsidRDefault="00622B0F" w:rsidP="00A5537E">
      <w:pPr>
        <w:shd w:val="clear" w:color="auto" w:fill="FFFFFF"/>
        <w:spacing w:after="120"/>
        <w:ind w:firstLine="708"/>
      </w:pPr>
      <w:r w:rsidRPr="00A5537E">
        <w:rPr>
          <w:rFonts w:ascii="Arial" w:eastAsia="Arial" w:hAnsi="Arial" w:cs="Arial"/>
          <w:sz w:val="22"/>
          <w:szCs w:val="22"/>
        </w:rPr>
        <w:t>Bajo esta óptica, es menester recordar que, conforme al artículo 1 de la Constitución Política, Colombia es un Estado social derecho, organizado en forma de República unitaria pero descentralizada y con autonomía de sus entidades territoriales</w:t>
      </w:r>
      <w:r w:rsidRPr="00A5537E">
        <w:rPr>
          <w:rFonts w:ascii="Arial" w:eastAsia="Arial" w:hAnsi="Arial" w:cs="Arial"/>
          <w:sz w:val="22"/>
          <w:szCs w:val="22"/>
          <w:vertAlign w:val="superscript"/>
        </w:rPr>
        <w:footnoteReference w:id="53"/>
      </w:r>
      <w:r w:rsidRPr="00A5537E">
        <w:rPr>
          <w:rFonts w:ascii="Arial" w:eastAsia="Arial" w:hAnsi="Arial" w:cs="Arial"/>
          <w:sz w:val="22"/>
          <w:szCs w:val="22"/>
        </w:rPr>
        <w:t xml:space="preserve">; y que, precisamente, </w:t>
      </w:r>
      <w:r w:rsidRPr="00A5537E">
        <w:rPr>
          <w:rFonts w:ascii="Arial" w:eastAsia="Arial" w:hAnsi="Arial" w:cs="Arial"/>
          <w:sz w:val="22"/>
          <w:szCs w:val="22"/>
        </w:rPr>
        <w:lastRenderedPageBreak/>
        <w:t>en nuestro ordenamiento jurídico se utiliza la expresión «Nación», en vez de la expresión «Estado», para hacer alusión a las autoridades centrales y diferenciarlas de las autoridades descentralizadas territorialmente y por servicios</w:t>
      </w:r>
      <w:r w:rsidRPr="00A5537E">
        <w:rPr>
          <w:rFonts w:ascii="Arial" w:eastAsia="Arial" w:hAnsi="Arial" w:cs="Arial"/>
          <w:sz w:val="22"/>
          <w:szCs w:val="22"/>
          <w:vertAlign w:val="superscript"/>
        </w:rPr>
        <w:footnoteReference w:id="54"/>
      </w:r>
      <w:r w:rsidRPr="00A5537E">
        <w:rPr>
          <w:rFonts w:ascii="Arial" w:eastAsia="Arial" w:hAnsi="Arial" w:cs="Arial"/>
          <w:sz w:val="22"/>
          <w:szCs w:val="22"/>
        </w:rPr>
        <w:t>. Así lo ha manifestado la Corte Constitucional:</w:t>
      </w:r>
    </w:p>
    <w:p w14:paraId="0E04DC9B" w14:textId="77777777" w:rsidR="009E3AC0" w:rsidRPr="00A5537E" w:rsidRDefault="00622B0F">
      <w:pPr>
        <w:shd w:val="clear" w:color="auto" w:fill="FFFFFF"/>
        <w:spacing w:after="0" w:line="240" w:lineRule="auto"/>
        <w:ind w:left="709" w:right="567"/>
        <w:rPr>
          <w:rFonts w:ascii="Arial" w:eastAsia="Arial" w:hAnsi="Arial" w:cs="Arial"/>
          <w:sz w:val="21"/>
          <w:szCs w:val="21"/>
        </w:rPr>
      </w:pPr>
      <w:r w:rsidRPr="00A5537E">
        <w:rPr>
          <w:rFonts w:ascii="Arial" w:eastAsia="Arial" w:hAnsi="Arial" w:cs="Arial"/>
          <w:sz w:val="21"/>
          <w:szCs w:val="21"/>
        </w:rPr>
        <w:t xml:space="preserve">[E]n general nuestra normatividad </w:t>
      </w:r>
      <w:r w:rsidRPr="00A5537E">
        <w:rPr>
          <w:rFonts w:ascii="Arial" w:eastAsia="Arial" w:hAnsi="Arial" w:cs="Arial"/>
          <w:i/>
          <w:sz w:val="21"/>
          <w:szCs w:val="21"/>
        </w:rPr>
        <w:t>ha reservado la palabra “Nación”</w:t>
      </w:r>
      <w:r w:rsidRPr="00A5537E">
        <w:rPr>
          <w:rFonts w:ascii="Arial" w:eastAsia="Arial" w:hAnsi="Arial" w:cs="Arial"/>
          <w:sz w:val="21"/>
          <w:szCs w:val="21"/>
        </w:rPr>
        <w:t xml:space="preserve">, en vez de la palabra “Estado”, </w:t>
      </w:r>
      <w:r w:rsidRPr="00A5537E">
        <w:rPr>
          <w:rFonts w:ascii="Arial" w:eastAsia="Arial" w:hAnsi="Arial" w:cs="Arial"/>
          <w:i/>
          <w:sz w:val="21"/>
          <w:szCs w:val="21"/>
        </w:rPr>
        <w:t>para hacer referencia a las autoridades centrales y distinguirlas de las autoridades descentralizadas</w:t>
      </w:r>
      <w:r w:rsidRPr="00A5537E">
        <w:rPr>
          <w:rFonts w:ascii="Arial" w:eastAsia="Arial" w:hAnsi="Arial" w:cs="Arial"/>
          <w:sz w:val="21"/>
          <w:szCs w:val="21"/>
        </w:rPr>
        <w:t xml:space="preserve">. Así, el artículo 182 de la Constitución derogada ordenaba a la ley determinar “los servicios a cargo de la Nación y de las entidades descentralizadas”. Ese lenguaje se ha mantenido en la Constitución de 1991, pues </w:t>
      </w:r>
      <w:r w:rsidRPr="00A5537E">
        <w:rPr>
          <w:rFonts w:ascii="Arial" w:eastAsia="Arial" w:hAnsi="Arial" w:cs="Arial"/>
          <w:i/>
          <w:sz w:val="21"/>
          <w:szCs w:val="21"/>
        </w:rPr>
        <w:t>la Carta utiliza la palabra Nación cuando se refiere a las competencias propias de las autoridades centrales, mientras que la palabra Estado denota en general el conjunto de todas las autoridades públicas</w:t>
      </w:r>
      <w:r w:rsidRPr="00A5537E">
        <w:rPr>
          <w:rFonts w:ascii="Arial" w:eastAsia="Arial" w:hAnsi="Arial" w:cs="Arial"/>
          <w:sz w:val="21"/>
          <w:szCs w:val="21"/>
        </w:rPr>
        <w:t>. (Cursiva fuera del texto).</w:t>
      </w:r>
    </w:p>
    <w:p w14:paraId="6B8FDC7B" w14:textId="77777777" w:rsidR="009E3AC0" w:rsidRPr="00A5537E" w:rsidRDefault="009E3AC0" w:rsidP="00A5537E">
      <w:pPr>
        <w:shd w:val="clear" w:color="auto" w:fill="FFFFFF"/>
        <w:spacing w:after="0" w:line="240" w:lineRule="auto"/>
        <w:ind w:left="709" w:right="567"/>
      </w:pPr>
    </w:p>
    <w:p w14:paraId="696DD4E7"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De otro lado, el Estado en su conjunto, esto es, la Nación y otros órganos que realizan las diversas funciones y servicios, actúa en el mundo del Derecho dotado de personalidad jurídica como</w:t>
      </w:r>
      <w:r w:rsidRPr="00A5537E">
        <w:t xml:space="preserve"> </w:t>
      </w:r>
      <w:r w:rsidRPr="00A5537E">
        <w:rPr>
          <w:rFonts w:ascii="Arial" w:eastAsia="Arial" w:hAnsi="Arial" w:cs="Arial"/>
          <w:sz w:val="22"/>
          <w:szCs w:val="22"/>
        </w:rPr>
        <w:t xml:space="preserve">sujeto de derechos y obligaciones. En efecto, el artículo 80 de la Ley 153 de 1887 establece que </w:t>
      </w:r>
      <w:r w:rsidRPr="00A5537E">
        <w:rPr>
          <w:rFonts w:ascii="Arial" w:eastAsia="Arial" w:hAnsi="Arial" w:cs="Arial"/>
          <w:sz w:val="21"/>
          <w:szCs w:val="21"/>
        </w:rPr>
        <w:t>«</w:t>
      </w:r>
      <w:r w:rsidRPr="00A5537E">
        <w:rPr>
          <w:rFonts w:ascii="Arial" w:eastAsia="Arial" w:hAnsi="Arial" w:cs="Arial"/>
          <w:sz w:val="22"/>
          <w:szCs w:val="22"/>
        </w:rPr>
        <w:t>[l]a Nación, los Departamentos, los Municipios, los establecimientos de beneficencia y los de instrucción pública, y las corporaciones creadas o reconocidas por la ley, son personas jurídicas</w:t>
      </w:r>
      <w:r w:rsidRPr="00A5537E">
        <w:rPr>
          <w:rFonts w:ascii="Arial" w:eastAsia="Arial" w:hAnsi="Arial" w:cs="Arial"/>
          <w:sz w:val="21"/>
          <w:szCs w:val="21"/>
        </w:rPr>
        <w:t>»</w:t>
      </w:r>
      <w:r w:rsidRPr="00A5537E">
        <w:rPr>
          <w:rFonts w:ascii="Arial" w:eastAsia="Arial" w:hAnsi="Arial" w:cs="Arial"/>
          <w:sz w:val="22"/>
          <w:szCs w:val="22"/>
        </w:rPr>
        <w:t xml:space="preserve">. </w:t>
      </w:r>
    </w:p>
    <w:p w14:paraId="123017DD" w14:textId="2BF54616" w:rsidR="009E3AC0" w:rsidRPr="00A5537E" w:rsidRDefault="00622B0F" w:rsidP="00A5537E">
      <w:pPr>
        <w:shd w:val="clear" w:color="auto" w:fill="FFFFFF"/>
        <w:spacing w:after="120"/>
        <w:ind w:firstLine="708"/>
      </w:pPr>
      <w:r w:rsidRPr="00A5537E">
        <w:rPr>
          <w:rFonts w:ascii="Arial" w:eastAsia="Arial" w:hAnsi="Arial" w:cs="Arial"/>
          <w:sz w:val="22"/>
          <w:szCs w:val="22"/>
        </w:rPr>
        <w:t>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A5537E">
        <w:rPr>
          <w:rFonts w:ascii="Arial" w:eastAsia="Arial" w:hAnsi="Arial" w:cs="Arial"/>
          <w:sz w:val="21"/>
          <w:szCs w:val="21"/>
        </w:rPr>
        <w:t>»</w:t>
      </w:r>
      <w:r w:rsidRPr="00A5537E">
        <w:rPr>
          <w:rFonts w:ascii="Arial" w:eastAsia="Arial" w:hAnsi="Arial" w:cs="Arial"/>
          <w:sz w:val="21"/>
          <w:szCs w:val="21"/>
          <w:vertAlign w:val="superscript"/>
        </w:rPr>
        <w:footnoteReference w:id="55"/>
      </w:r>
      <w:r w:rsidRPr="00A5537E">
        <w:rPr>
          <w:rFonts w:ascii="Arial" w:eastAsia="Arial" w:hAnsi="Arial" w:cs="Arial"/>
          <w:sz w:val="21"/>
          <w:szCs w:val="21"/>
        </w:rPr>
        <w:t>.</w:t>
      </w:r>
      <w:r w:rsidRPr="00A5537E">
        <w:rPr>
          <w:rFonts w:ascii="Arial" w:eastAsia="Arial" w:hAnsi="Arial" w:cs="Arial"/>
          <w:sz w:val="22"/>
          <w:szCs w:val="22"/>
        </w:rPr>
        <w:t xml:space="preserve">  </w:t>
      </w:r>
    </w:p>
    <w:p w14:paraId="3B6C512C"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En particular, la Rama Ejecutiva del Poder público se manifiesta en dos órdenes o niveles, por un lado, el nivel nacional, o «administración nacional» que a su turno puede contar con entidades descentralizadas por servicios, y por el otro, el nivel descentralizado por virtud del territorio, o «administración territorial». En efecto, el artículo 38 de la Ley 489 de 1998, por medio de la cual se dictan normas sobre la organización y funcionamiento de las entidades del orden nacional, se expiden las disposiciones, principios y reglas para el ejercicio de las atribuciones previstas en los numerales 15 y 16 del artículo 189 de la Constitución, al respecto dispone: </w:t>
      </w:r>
    </w:p>
    <w:p w14:paraId="645F24DD"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La Rama Ejecutiva del Poder Público del orden nacional, está integrada por los siguientes organismos y entidades:</w:t>
      </w:r>
    </w:p>
    <w:p w14:paraId="38A7B918"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1. Del Sector Central:</w:t>
      </w:r>
    </w:p>
    <w:p w14:paraId="38AE7AB7"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a) La Presidencia de la República;</w:t>
      </w:r>
    </w:p>
    <w:p w14:paraId="18A68FB5"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lastRenderedPageBreak/>
        <w:t>b) La Vicepresidencia de la República;</w:t>
      </w:r>
    </w:p>
    <w:p w14:paraId="48E3C255" w14:textId="7B8E93FA"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c) Los Consejos Superiores de la administración;</w:t>
      </w:r>
    </w:p>
    <w:p w14:paraId="64A31DD4"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d) Los ministerios y departamentos administrativos;</w:t>
      </w:r>
    </w:p>
    <w:p w14:paraId="60BC3DE2"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e) Las superintendencias y unidades administrativas especiales sin personería jurídica;</w:t>
      </w:r>
    </w:p>
    <w:p w14:paraId="5B3F22AD"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2. Del Sector Descentralizado por Servicios:</w:t>
      </w:r>
    </w:p>
    <w:p w14:paraId="5B914BF9"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a) Los establecimientos públicos;</w:t>
      </w:r>
    </w:p>
    <w:p w14:paraId="701C853E"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b) Las empresas industriales y comerciales del Estado;</w:t>
      </w:r>
    </w:p>
    <w:p w14:paraId="11308A0C"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c) Las superintendencias y unidades administrativas especiales con personería jurídica;</w:t>
      </w:r>
    </w:p>
    <w:p w14:paraId="0E2C9ED7"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d) Las empresas sociales del Estado y las empresas oficiales de servicios públicos domiciliarios;</w:t>
      </w:r>
    </w:p>
    <w:p w14:paraId="60D66596"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e) Los institutos científicos y tecnológicos;</w:t>
      </w:r>
    </w:p>
    <w:p w14:paraId="1C041046" w14:textId="77777777" w:rsidR="009E3AC0" w:rsidRPr="00A5537E" w:rsidRDefault="00622B0F" w:rsidP="00A5537E">
      <w:pPr>
        <w:shd w:val="clear" w:color="auto" w:fill="FFFFFF"/>
        <w:spacing w:after="120" w:line="240" w:lineRule="auto"/>
        <w:ind w:left="709" w:right="709"/>
      </w:pPr>
      <w:r w:rsidRPr="00A5537E">
        <w:rPr>
          <w:rFonts w:ascii="Arial" w:eastAsia="Arial" w:hAnsi="Arial" w:cs="Arial"/>
          <w:sz w:val="21"/>
          <w:szCs w:val="21"/>
        </w:rPr>
        <w:t>f) Las sociedades públicas y las sociedades de economía mixta;</w:t>
      </w:r>
    </w:p>
    <w:p w14:paraId="62F10CAB" w14:textId="77777777" w:rsidR="009E3AC0" w:rsidRPr="00A5537E" w:rsidRDefault="00622B0F">
      <w:pPr>
        <w:shd w:val="clear" w:color="auto" w:fill="FFFFFF"/>
        <w:spacing w:after="0" w:line="240" w:lineRule="auto"/>
        <w:ind w:left="709" w:right="709"/>
        <w:rPr>
          <w:rFonts w:ascii="Arial" w:eastAsia="Arial" w:hAnsi="Arial" w:cs="Arial"/>
          <w:sz w:val="21"/>
          <w:szCs w:val="21"/>
        </w:rPr>
      </w:pPr>
      <w:r w:rsidRPr="00A5537E">
        <w:rPr>
          <w:rFonts w:ascii="Arial" w:eastAsia="Arial" w:hAnsi="Arial" w:cs="Arial"/>
          <w:sz w:val="21"/>
          <w:szCs w:val="21"/>
        </w:rPr>
        <w:t xml:space="preserve">g) Las demás entidades administrativas nacionales con personería jurídica que cree, organice o autorice la ley para que formen parte de la Rama Ejecutiva del Poder Público. </w:t>
      </w:r>
    </w:p>
    <w:p w14:paraId="547FE1A6" w14:textId="77777777" w:rsidR="009E3AC0" w:rsidRPr="00A5537E" w:rsidRDefault="009E3AC0" w:rsidP="00A5537E">
      <w:pPr>
        <w:shd w:val="clear" w:color="auto" w:fill="FFFFFF"/>
        <w:spacing w:after="0" w:line="240" w:lineRule="auto"/>
        <w:ind w:left="709" w:right="709"/>
      </w:pPr>
    </w:p>
    <w:p w14:paraId="329CAFF8"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Según la norma transcrita, la organización de la Rama Ejecutiva del Poder Público, en su nivel nacional, cuenta con dos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A5537E">
        <w:rPr>
          <w:rFonts w:ascii="Arial" w:eastAsia="Arial" w:hAnsi="Arial" w:cs="Arial"/>
          <w:sz w:val="22"/>
          <w:szCs w:val="22"/>
          <w:vertAlign w:val="superscript"/>
        </w:rPr>
        <w:footnoteReference w:id="56"/>
      </w:r>
      <w:r w:rsidRPr="00A5537E">
        <w:rPr>
          <w:rFonts w:ascii="Arial" w:eastAsia="Arial" w:hAnsi="Arial" w:cs="Arial"/>
          <w:sz w:val="22"/>
          <w:szCs w:val="22"/>
        </w:rPr>
        <w:t>.</w:t>
      </w:r>
    </w:p>
    <w:p w14:paraId="7A5A7726" w14:textId="27CFE3CB"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A este respecto debe recordarse que la descentralización, como forma de organización administrativa que implica el traslado de competencias a favor de autoridades o personas distintas a la Nación, y a la que hace referencia, entre otros, el artículo 1 de la </w:t>
      </w:r>
      <w:r w:rsidRPr="00A5537E">
        <w:rPr>
          <w:rFonts w:ascii="Arial" w:eastAsia="Arial" w:hAnsi="Arial" w:cs="Arial"/>
          <w:sz w:val="22"/>
          <w:szCs w:val="22"/>
        </w:rPr>
        <w:lastRenderedPageBreak/>
        <w:t xml:space="preserve">Constitución arriba aludido, se manifiesta en tres formas o modalidades, a saber: descentralización por territorio, por servicios y por colaboración. </w:t>
      </w:r>
    </w:p>
    <w:p w14:paraId="7B99E55C"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41CCC8A"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En ese sentido, y de acuerdo a lo ya dicho, en el nivel nacional de la Rama Ejecutiva existe la posibilidad de que existan entidades que pertenezcan o bien al sector central, precisamente, por no encontrarse descentralizadas y hacer parte, por ende, a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161785CA"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4D3957F6"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Sin embargo, dichas entidades descentralizadas directamente, por ser personas jurídicas, pueden, a su turno, participar con otras personas en la creación de nuevas entidades, correspondiendo estas, entonces, a las denominadas entidades descentralizadas indirectamente o de segundo grado</w:t>
      </w:r>
      <w:r w:rsidRPr="00A5537E">
        <w:rPr>
          <w:rFonts w:ascii="Arial" w:eastAsia="Arial" w:hAnsi="Arial" w:cs="Arial"/>
          <w:sz w:val="22"/>
          <w:szCs w:val="22"/>
          <w:vertAlign w:val="superscript"/>
        </w:rPr>
        <w:footnoteReference w:id="57"/>
      </w:r>
      <w:r w:rsidRPr="00A5537E">
        <w:rPr>
          <w:rFonts w:ascii="Arial" w:eastAsia="Arial" w:hAnsi="Arial" w:cs="Arial"/>
          <w:sz w:val="22"/>
          <w:szCs w:val="22"/>
        </w:rPr>
        <w:t>. En otras palabras, los entes descentralizados indirectamente son aquellos creados, no por la ley, sino a partir de «la voluntad asociativa de los entes públicos, en unión entre sí o con particulares»</w:t>
      </w:r>
      <w:r w:rsidRPr="00A5537E">
        <w:rPr>
          <w:rFonts w:ascii="Arial" w:eastAsia="Arial" w:hAnsi="Arial" w:cs="Arial"/>
          <w:sz w:val="22"/>
          <w:szCs w:val="22"/>
          <w:vertAlign w:val="superscript"/>
        </w:rPr>
        <w:footnoteReference w:id="58"/>
      </w:r>
      <w:r w:rsidRPr="00A5537E">
        <w:rPr>
          <w:rFonts w:ascii="Arial" w:eastAsia="Arial" w:hAnsi="Arial" w:cs="Arial"/>
          <w:sz w:val="22"/>
          <w:szCs w:val="22"/>
        </w:rPr>
        <w:t xml:space="preserve">. </w:t>
      </w:r>
    </w:p>
    <w:p w14:paraId="3EA56062"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En ese orden de ideas, la descentralización indirecta puede expresarse en distintas modalidades, según cual sea la calidad de las entidades participantes. Así, habrán entes descentralizados indirectamente conformados por entidades del nivel nacional y territorial, o por entidades descentralizadas por servicios y nacionales, o por participación de entes </w:t>
      </w:r>
      <w:r w:rsidRPr="00A5537E">
        <w:rPr>
          <w:rFonts w:ascii="Arial" w:eastAsia="Arial" w:hAnsi="Arial" w:cs="Arial"/>
          <w:sz w:val="22"/>
          <w:szCs w:val="22"/>
        </w:rPr>
        <w:lastRenderedPageBreak/>
        <w:t>nacionales, territoriales y descentralizados por servicios, por asociaciones de entidades descentralizadas del nivel nacional etc.</w:t>
      </w:r>
      <w:r w:rsidRPr="00A5537E">
        <w:rPr>
          <w:rFonts w:ascii="Arial" w:eastAsia="Arial" w:hAnsi="Arial" w:cs="Arial"/>
          <w:sz w:val="22"/>
          <w:szCs w:val="22"/>
          <w:vertAlign w:val="superscript"/>
        </w:rPr>
        <w:footnoteReference w:id="59"/>
      </w:r>
      <w:r w:rsidRPr="00A5537E">
        <w:rPr>
          <w:rFonts w:ascii="Arial" w:eastAsia="Arial" w:hAnsi="Arial" w:cs="Arial"/>
          <w:sz w:val="22"/>
          <w:szCs w:val="22"/>
        </w:rPr>
        <w:t xml:space="preserve"> </w:t>
      </w:r>
    </w:p>
    <w:p w14:paraId="6FB1A24D"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De conformidad con lo anterior, la Ley 489 de 1998 regula lo concerniente a tres tipos de entidades descentralizadas indirectamente en sus artículos 94, 95 y 96, referidos, respectivamente, a las asociaciones entre empresas industriales y comerciales del Estado, o entre estas y entidades territoriales o descentralizadas, a la conformación de personas jurídicas sin ánimo de lucro entre entidades estatales y a la constitución de asociaciones y fundaciones a través de los convenios de asociación suscritos entre entidades estatales y personas jurídicas particulares. </w:t>
      </w:r>
    </w:p>
    <w:p w14:paraId="4AFC55FF" w14:textId="77777777" w:rsidR="009E3AC0" w:rsidRPr="00A5537E" w:rsidRDefault="00622B0F" w:rsidP="00A5537E">
      <w:pPr>
        <w:spacing w:after="120"/>
        <w:ind w:firstLine="708"/>
      </w:pPr>
      <w:r w:rsidRPr="00A5537E">
        <w:rPr>
          <w:rFonts w:ascii="Arial" w:eastAsia="Arial" w:hAnsi="Arial" w:cs="Arial"/>
          <w:sz w:val="22"/>
          <w:szCs w:val="22"/>
        </w:rPr>
        <w:t xml:space="preserve">Dicho lo anterior, es importante destacar, tal y como lo ha señalado el Consejo de Estado, que las entidades descentralizadas indirectamente, son una especie del género que corresponde a las entidades descentralizadas, y </w:t>
      </w:r>
      <w:r w:rsidRPr="00A5537E">
        <w:rPr>
          <w:rFonts w:ascii="Arial" w:eastAsia="Arial" w:hAnsi="Arial" w:cs="Arial"/>
          <w:color w:val="000000"/>
          <w:sz w:val="22"/>
          <w:szCs w:val="22"/>
        </w:rPr>
        <w:t>«[…]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A5537E">
        <w:rPr>
          <w:rFonts w:ascii="Arial" w:eastAsia="Arial" w:hAnsi="Arial" w:cs="Arial"/>
          <w:color w:val="000000"/>
          <w:sz w:val="22"/>
          <w:szCs w:val="22"/>
          <w:vertAlign w:val="superscript"/>
        </w:rPr>
        <w:footnoteReference w:id="60"/>
      </w:r>
      <w:r w:rsidRPr="00A5537E">
        <w:rPr>
          <w:rFonts w:ascii="Arial" w:eastAsia="Arial" w:hAnsi="Arial" w:cs="Arial"/>
          <w:color w:val="000000"/>
          <w:sz w:val="22"/>
          <w:szCs w:val="22"/>
        </w:rPr>
        <w:t xml:space="preserve">. </w:t>
      </w:r>
    </w:p>
    <w:p w14:paraId="2675CC4C" w14:textId="77777777" w:rsidR="009E3AC0" w:rsidRPr="00A5537E" w:rsidRDefault="00622B0F" w:rsidP="00A5537E">
      <w:pPr>
        <w:spacing w:after="120"/>
        <w:ind w:firstLine="709"/>
      </w:pPr>
      <w:r w:rsidRPr="00A5537E">
        <w:rPr>
          <w:rFonts w:ascii="Arial" w:eastAsia="Arial" w:hAnsi="Arial" w:cs="Arial"/>
          <w:color w:val="000000"/>
          <w:sz w:val="22"/>
          <w:szCs w:val="22"/>
        </w:rPr>
        <w:t>Ahora bien, es necesario destacar, por ser propuesto en la consulta que ahora conoce la Agencia, que lo que acaba de decirse con respecto a las entidades administrativas descentralizadas del orden nacional, resulta aplicable a las de la misma naturaleza del nivel territorial. Así lo dispone expresamente el parágrafo del artículo 68 de la Ley 489 de 1998, según el cual «[…] el régimen jurídico aquí previsto para las entidades descentralizadas es aplicable a las de las entidades territoriales sin perjuicio de las competencias asignadas por la Constitución y la ley a las autoridades del orden territorial».</w:t>
      </w:r>
    </w:p>
    <w:p w14:paraId="66956AAB" w14:textId="4797617B" w:rsidR="009E3AC0" w:rsidRPr="00A5537E" w:rsidRDefault="00622B0F" w:rsidP="00A5537E">
      <w:pPr>
        <w:spacing w:after="120"/>
        <w:ind w:firstLine="708"/>
      </w:pPr>
      <w:r w:rsidRPr="00A5537E">
        <w:rPr>
          <w:rFonts w:ascii="Arial" w:eastAsia="Arial" w:hAnsi="Arial" w:cs="Arial"/>
          <w:color w:val="000000"/>
          <w:sz w:val="22"/>
          <w:szCs w:val="22"/>
        </w:rPr>
        <w:t xml:space="preserve">En ese sentido, el artículo 300, numeral 7 de la Constitución Política, determina, entre las funciones de las asambleas departamentales, la de crear a los establecimientos públicos, las empresas industriales y comerciales del estado y sociedades de economía mixta. En igual sentido, pero respecto a los concejos municipales, determina el numeral 6 del artículo 313 </w:t>
      </w:r>
      <w:r w:rsidRPr="00A5537E">
        <w:rPr>
          <w:rFonts w:ascii="Arial" w:eastAsia="Arial" w:hAnsi="Arial" w:cs="Arial"/>
          <w:i/>
          <w:color w:val="000000"/>
          <w:sz w:val="22"/>
          <w:szCs w:val="22"/>
        </w:rPr>
        <w:t>ejusdem</w:t>
      </w:r>
      <w:r w:rsidRPr="00A5537E">
        <w:rPr>
          <w:rFonts w:ascii="Arial" w:eastAsia="Arial" w:hAnsi="Arial" w:cs="Arial"/>
          <w:color w:val="000000"/>
          <w:sz w:val="22"/>
          <w:szCs w:val="22"/>
        </w:rPr>
        <w:t xml:space="preserve">. En el nivel legal, encontramos múltiples normas que, como la Ley 3 de 1986, el Decreto Ley 1221 de 1986, el Decreto Ley 1333 de 1986, entre otras, que se refieren a las entidades descentralizadas del orden departamental y municipal, conforman su régimen jurídico, junto a las normas constitucionales y las respectivas regulaciones territoriales mediante ordenanzas y acuerdos. </w:t>
      </w:r>
    </w:p>
    <w:p w14:paraId="0D2A0B2D" w14:textId="0EBF6D06" w:rsidR="009E3AC0" w:rsidRPr="00A5537E" w:rsidRDefault="00622B0F">
      <w:pPr>
        <w:shd w:val="clear" w:color="auto" w:fill="FFFFFF"/>
        <w:spacing w:after="120"/>
        <w:ind w:firstLine="708"/>
        <w:rPr>
          <w:rFonts w:ascii="Arial" w:eastAsia="Arial" w:hAnsi="Arial" w:cs="Arial"/>
          <w:sz w:val="22"/>
          <w:szCs w:val="22"/>
        </w:rPr>
      </w:pPr>
      <w:r w:rsidRPr="00A5537E">
        <w:rPr>
          <w:rFonts w:ascii="Arial" w:eastAsia="Arial" w:hAnsi="Arial" w:cs="Arial"/>
          <w:sz w:val="22"/>
          <w:szCs w:val="22"/>
        </w:rPr>
        <w:t xml:space="preserve">De esa forma, cabe decirse, por ser relevante de acuerdo con la consulta planteada a la Agencia, que la administración territorial también está compuesta por entidades tanto </w:t>
      </w:r>
      <w:r w:rsidRPr="00A5537E">
        <w:rPr>
          <w:rFonts w:ascii="Arial" w:eastAsia="Arial" w:hAnsi="Arial" w:cs="Arial"/>
          <w:sz w:val="22"/>
          <w:szCs w:val="22"/>
        </w:rPr>
        <w:lastRenderedPageBreak/>
        <w:t>del nivel central como descentralizado y estas últimas pueden ser producto o bien de la descentralización directa o de primer nivel o de la de segundo nivel o indirecta. Sin embargo, en la medida que la norma del artículo 124 de la Ley 2159 de 2021 no diferencia ni se refiere expresamente a las entidades descentralizadas del orden territorial, como se dijo arriba, en opinión de esta Agencia, debe entenderse que la expresión «entidades territoriales» contenida en dicha disposición, incluye únicamente a las establecidas en el artículo 286 de la Constitución Política, que prescribe: «Son entidades territoriales los departamentos, los distritos, los municipios y los territorios indígenas».</w:t>
      </w:r>
    </w:p>
    <w:p w14:paraId="20FB63CA" w14:textId="3091D1AF" w:rsidR="009E3AC0" w:rsidRPr="00A5537E" w:rsidRDefault="00622B0F" w:rsidP="00A5537E">
      <w:pPr>
        <w:shd w:val="clear" w:color="auto" w:fill="FFFFFF"/>
        <w:spacing w:after="120"/>
        <w:ind w:firstLine="708"/>
      </w:pPr>
      <w:r w:rsidRPr="00A5537E">
        <w:rPr>
          <w:rFonts w:ascii="Arial" w:eastAsia="Arial" w:hAnsi="Arial" w:cs="Arial"/>
          <w:sz w:val="22"/>
          <w:szCs w:val="22"/>
        </w:rPr>
        <w:t>Lo anterior también se fundamenta en que el artículo 124 realiza una excepción a una prohibición, por lo que corresponde realizar una interpretación estricta. De esta manera, es importante tener en cuenta que en el contexto del parágrafo del artículo 38 de la Ley 996 de 2005, la prohibición se encuentra dirigida a: «Los gobernadores, alcaldes municipales y/o distritales, secretarios, gerentes y directores de entidades descentralizadas del orden municipal, departamental o distrital»; pese a ello, el artículo 124 de la Ley 2159 únicamente opta por incluir en la excepción a las «entidades territoriales», sin hacer referencia a las entidades descentralizadas. Incluso, resulta importante destacar cómo la misma Ley 2159 de 2021 en otras disposiciones opta por incluir expresamente a las entidades descentralizadas del orden territorial como parte del ámbito de aplicación de su contenido normativo, lo que no sucede con el artículo 124</w:t>
      </w:r>
      <w:r w:rsidRPr="00A5537E">
        <w:rPr>
          <w:rFonts w:ascii="Arial" w:eastAsia="Arial" w:hAnsi="Arial" w:cs="Arial"/>
          <w:sz w:val="22"/>
          <w:szCs w:val="22"/>
          <w:vertAlign w:val="superscript"/>
        </w:rPr>
        <w:footnoteReference w:id="61"/>
      </w:r>
      <w:r w:rsidRPr="00A5537E">
        <w:rPr>
          <w:rFonts w:ascii="Arial" w:eastAsia="Arial" w:hAnsi="Arial" w:cs="Arial"/>
          <w:sz w:val="22"/>
          <w:szCs w:val="22"/>
        </w:rPr>
        <w:t>. Adicionalmente, los elementos anteriores respaldan el argumento de acudir al artículo 286 de la Constitución, para efectos de interpretar el concepto de «entidades territoriales»</w:t>
      </w:r>
      <w:r w:rsidRPr="00A5537E">
        <w:rPr>
          <w:rFonts w:ascii="Arial" w:eastAsia="Arial" w:hAnsi="Arial" w:cs="Arial"/>
          <w:sz w:val="22"/>
          <w:szCs w:val="22"/>
          <w:vertAlign w:val="superscript"/>
        </w:rPr>
        <w:footnoteReference w:id="62"/>
      </w:r>
      <w:r w:rsidRPr="00A5537E">
        <w:rPr>
          <w:rFonts w:ascii="Arial" w:eastAsia="Arial" w:hAnsi="Arial" w:cs="Arial"/>
          <w:sz w:val="22"/>
          <w:szCs w:val="22"/>
        </w:rPr>
        <w:t xml:space="preserve">. </w:t>
      </w:r>
    </w:p>
    <w:p w14:paraId="361CF091" w14:textId="6DBA785F"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Ahora bien, también resulta importante destacar que la Ley 80 de 1993, Estatuto General de Contratación de Administración Pública –EGCAP–, rompió con la noción ortodoxa que venía del régimen anterior respecto a lo que se entendería como «entidad </w:t>
      </w:r>
      <w:r w:rsidRPr="00A5537E">
        <w:rPr>
          <w:rFonts w:ascii="Arial" w:eastAsia="Arial" w:hAnsi="Arial" w:cs="Arial"/>
          <w:sz w:val="22"/>
          <w:szCs w:val="22"/>
        </w:rPr>
        <w:lastRenderedPageBreak/>
        <w:t>estatal» para efectos de la contratación del Estado, y que se fundaba bajo la égida de la personalidad jurídica como elemento determinante para la capacidad o competencia para contratar. Con el EGCAP se separan tales nociones y se admite la posibilidad de que entidades que no cuenten con personería jurídica, puedan, sin embargo, ostentar capacidad jurídica para celebrar contratos. Esto cobra importancia, toda vez que hay órganos del nivel nacional que no tienen personería jurídica, pero que cuentan con capacidad contractual, como pasará a explicarse más adelante.</w:t>
      </w:r>
    </w:p>
    <w:p w14:paraId="028DEDC2"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Así, el artículo 2 de la Ley 80 determinó que ciertas entidades que no tienen personalidad jurídica diferente a la Nación, como por ejemplo, los ministerios, departamentos administrativos, las superintendencias y las unidades administrativas especiales sin personería jurídica pueden celebrar contratos y, en su artículo 11, señaló que los funcionarios con competencia para hacerlo en la entidad respectiva son: los ministros, los directores de los departamentos administrativos, los superintendentes y los presidentes de las unidades administrativas especiales, respectivamente. </w:t>
      </w:r>
    </w:p>
    <w:p w14:paraId="4990E1FA" w14:textId="77777777" w:rsidR="009E3AC0" w:rsidRPr="00A5537E" w:rsidRDefault="00622B0F" w:rsidP="00A5537E">
      <w:pPr>
        <w:shd w:val="clear" w:color="auto" w:fill="FFFFFF"/>
        <w:spacing w:after="120"/>
        <w:ind w:firstLine="708"/>
      </w:pPr>
      <w:bookmarkStart w:id="48" w:name="_1hmsyys" w:colFirst="0" w:colLast="0"/>
      <w:bookmarkEnd w:id="48"/>
      <w:r w:rsidRPr="00A5537E">
        <w:rPr>
          <w:rFonts w:ascii="Arial" w:eastAsia="Arial" w:hAnsi="Arial" w:cs="Arial"/>
          <w:sz w:val="22"/>
          <w:szCs w:val="22"/>
        </w:rPr>
        <w:t>En este punto, como lo ha dicho la Corte Constitucional, «[e]s claro que si la Nación, los departamentos, municipios y distritos, son personas jurídicas, y las entidades estatales a que se refiere la ley 80, no lo son, por fuerza los contratos que estas últimas celebren corresponden a la Nación, a los departamentos o a los municipios»</w:t>
      </w:r>
      <w:r w:rsidRPr="00A5537E">
        <w:rPr>
          <w:rFonts w:ascii="Arial" w:eastAsia="Arial" w:hAnsi="Arial" w:cs="Arial"/>
          <w:sz w:val="22"/>
          <w:szCs w:val="22"/>
          <w:vertAlign w:val="superscript"/>
        </w:rPr>
        <w:footnoteReference w:id="63"/>
      </w:r>
      <w:r w:rsidRPr="00A5537E">
        <w:rPr>
          <w:rFonts w:ascii="Arial" w:eastAsia="Arial" w:hAnsi="Arial" w:cs="Arial"/>
          <w:sz w:val="22"/>
          <w:szCs w:val="22"/>
        </w:rPr>
        <w:t>, lo que implica que la «actuación del funcionario competente, a nombre de la correspondiente entidad estatal, vincula a la Nación, al departamento o al municipio como persona jurídica»</w:t>
      </w:r>
      <w:r w:rsidRPr="00A5537E">
        <w:rPr>
          <w:rFonts w:ascii="Arial" w:eastAsia="Arial" w:hAnsi="Arial" w:cs="Arial"/>
          <w:sz w:val="22"/>
          <w:szCs w:val="22"/>
          <w:vertAlign w:val="superscript"/>
        </w:rPr>
        <w:footnoteReference w:id="64"/>
      </w:r>
      <w:r w:rsidRPr="00A5537E">
        <w:rPr>
          <w:rFonts w:ascii="Arial" w:eastAsia="Arial" w:hAnsi="Arial" w:cs="Arial"/>
          <w:sz w:val="22"/>
          <w:szCs w:val="22"/>
        </w:rPr>
        <w:t xml:space="preserve">, respectivamente.  </w:t>
      </w:r>
    </w:p>
    <w:p w14:paraId="0E08089A" w14:textId="25A8B492" w:rsidR="009E3AC0" w:rsidRPr="00A5537E" w:rsidRDefault="00622B0F" w:rsidP="00A5537E">
      <w:pPr>
        <w:shd w:val="clear" w:color="auto" w:fill="FFFFFF"/>
        <w:spacing w:after="120"/>
        <w:ind w:firstLine="708"/>
      </w:pPr>
      <w:r w:rsidRPr="00A5537E">
        <w:rPr>
          <w:rFonts w:ascii="Arial" w:eastAsia="Arial" w:hAnsi="Arial" w:cs="Arial"/>
          <w:sz w:val="22"/>
          <w:szCs w:val="22"/>
        </w:rPr>
        <w:t>Por ejemplo, cuando la presidencia de la república, o un ministerio o departamento administrativo celebren contratos,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 Estos órganos si bien son parte del Estado, no lo son de la Nación, porque cuentan con personería distinta de esta.</w:t>
      </w:r>
    </w:p>
    <w:p w14:paraId="31C28990" w14:textId="542419C8" w:rsidR="009E3AC0" w:rsidRPr="00A5537E" w:rsidRDefault="00622B0F" w:rsidP="00A5537E">
      <w:pPr>
        <w:shd w:val="clear" w:color="auto" w:fill="FFFFFF"/>
        <w:spacing w:after="120"/>
        <w:ind w:firstLine="708"/>
      </w:pPr>
      <w:r w:rsidRPr="00A5537E">
        <w:rPr>
          <w:rFonts w:ascii="Arial" w:eastAsia="Arial" w:hAnsi="Arial" w:cs="Arial"/>
          <w:sz w:val="22"/>
          <w:szCs w:val="22"/>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A5537E">
        <w:rPr>
          <w:rFonts w:ascii="Arial" w:eastAsia="Arial" w:hAnsi="Arial" w:cs="Arial"/>
          <w:sz w:val="22"/>
          <w:szCs w:val="22"/>
          <w:vertAlign w:val="superscript"/>
        </w:rPr>
        <w:footnoteReference w:id="65"/>
      </w:r>
      <w:r w:rsidRPr="00A5537E">
        <w:rPr>
          <w:rFonts w:ascii="Arial" w:eastAsia="Arial" w:hAnsi="Arial" w:cs="Arial"/>
          <w:sz w:val="22"/>
          <w:szCs w:val="22"/>
        </w:rPr>
        <w:t xml:space="preserve">, los cuales también hacen parte de la Nación y cuentan con </w:t>
      </w:r>
      <w:r w:rsidRPr="00A5537E">
        <w:rPr>
          <w:rFonts w:ascii="Arial" w:eastAsia="Arial" w:hAnsi="Arial" w:cs="Arial"/>
          <w:sz w:val="22"/>
          <w:szCs w:val="22"/>
        </w:rPr>
        <w:lastRenderedPageBreak/>
        <w:t>capacidad jurídica para contratar, según las normas del EGCAP,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775018EE" w14:textId="77777777" w:rsidR="009E3AC0" w:rsidRPr="00A5537E" w:rsidRDefault="00622B0F">
      <w:pPr>
        <w:shd w:val="clear" w:color="auto" w:fill="FFFFFF"/>
        <w:spacing w:after="0"/>
        <w:ind w:firstLine="708"/>
        <w:rPr>
          <w:rFonts w:ascii="Arial" w:eastAsia="Arial" w:hAnsi="Arial" w:cs="Arial"/>
          <w:sz w:val="22"/>
          <w:szCs w:val="22"/>
        </w:rPr>
      </w:pPr>
      <w:r w:rsidRPr="00A5537E">
        <w:rPr>
          <w:rFonts w:ascii="Arial" w:eastAsia="Arial" w:hAnsi="Arial" w:cs="Arial"/>
          <w:sz w:val="22"/>
          <w:szCs w:val="22"/>
        </w:rPr>
        <w:t>Con fundamento en todo lo dicho, la Agencia considera que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56D94763" w14:textId="77777777" w:rsidR="009E3AC0" w:rsidRPr="00A5537E" w:rsidRDefault="009E3AC0">
      <w:pPr>
        <w:shd w:val="clear" w:color="auto" w:fill="FFFFFF"/>
        <w:spacing w:after="0"/>
        <w:rPr>
          <w:rFonts w:ascii="Arial" w:eastAsia="Arial" w:hAnsi="Arial" w:cs="Arial"/>
          <w:sz w:val="22"/>
          <w:szCs w:val="22"/>
        </w:rPr>
      </w:pPr>
    </w:p>
    <w:p w14:paraId="68949494" w14:textId="77777777" w:rsidR="009E3AC0" w:rsidRPr="00A5537E" w:rsidRDefault="00622B0F">
      <w:pPr>
        <w:shd w:val="clear" w:color="auto" w:fill="FFFFFF"/>
        <w:spacing w:after="0"/>
        <w:rPr>
          <w:rFonts w:ascii="Arial" w:eastAsia="Arial" w:hAnsi="Arial" w:cs="Arial"/>
          <w:b/>
          <w:sz w:val="22"/>
          <w:szCs w:val="22"/>
        </w:rPr>
      </w:pPr>
      <w:r w:rsidRPr="00A5537E">
        <w:rPr>
          <w:rFonts w:ascii="Arial" w:eastAsia="Arial" w:hAnsi="Arial" w:cs="Arial"/>
          <w:b/>
          <w:sz w:val="22"/>
          <w:szCs w:val="22"/>
        </w:rPr>
        <w:t>2.5.1.3. Aspecto teleológico</w:t>
      </w:r>
    </w:p>
    <w:p w14:paraId="2714D606" w14:textId="77777777" w:rsidR="009E3AC0" w:rsidRPr="00A5537E" w:rsidRDefault="009E3AC0">
      <w:pPr>
        <w:shd w:val="clear" w:color="auto" w:fill="FFFFFF"/>
        <w:spacing w:after="0"/>
        <w:rPr>
          <w:rFonts w:ascii="Arial" w:eastAsia="Arial" w:hAnsi="Arial" w:cs="Arial"/>
          <w:sz w:val="22"/>
          <w:szCs w:val="22"/>
        </w:rPr>
      </w:pPr>
    </w:p>
    <w:p w14:paraId="65635901" w14:textId="77777777" w:rsidR="009E3AC0" w:rsidRPr="00A5537E" w:rsidRDefault="00622B0F" w:rsidP="00A5537E">
      <w:pPr>
        <w:shd w:val="clear" w:color="auto" w:fill="FFFFFF"/>
        <w:spacing w:after="120"/>
      </w:pPr>
      <w:r w:rsidRPr="00A5537E">
        <w:rPr>
          <w:rFonts w:ascii="Arial" w:eastAsia="Arial" w:hAnsi="Arial" w:cs="Arial"/>
          <w:sz w:val="22"/>
          <w:szCs w:val="22"/>
        </w:rPr>
        <w:t>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dados en 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37D6D9D0" w14:textId="3527C7F8" w:rsidR="009E3AC0" w:rsidRPr="00A5537E" w:rsidRDefault="00622B0F" w:rsidP="00A5537E">
      <w:pPr>
        <w:shd w:val="clear" w:color="auto" w:fill="FFFFFF"/>
        <w:spacing w:after="120"/>
        <w:ind w:firstLine="708"/>
      </w:pPr>
      <w:bookmarkStart w:id="49" w:name="_41mghml" w:colFirst="0" w:colLast="0"/>
      <w:bookmarkEnd w:id="49"/>
      <w:r w:rsidRPr="00A5537E">
        <w:rPr>
          <w:rFonts w:ascii="Arial" w:eastAsia="Arial" w:hAnsi="Arial" w:cs="Arial"/>
          <w:sz w:val="22"/>
          <w:szCs w:val="22"/>
        </w:rPr>
        <w:t xml:space="preserve">Como corolario de todo lo anterior, se concluye que la Ley 2159 de 2021 –Ley del Presupuesto– modificó parcial y transitoriamente el parágrafo del artículo 38 de la Ley 996 de 2005, en aspectos temporales, subjetivos, materiales o teleológicos y procedimentales o de control; 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5F029B7F"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Es de anotar, por ser relevante para la consulta que se resuelve, que la modificación de la ley del Presupuesto opera, únicamente, frente al parágrafo del artículo 38, y no en relación con las prohibiciones del artículo 33 que, como se dijo, resultan ser distintas, aunque concurrentes, a las del parágrafo, por lo cual, las restricciones a la contratación directa dentro del período preelectoral presidencial y vicepresidencial se mantienen invariables a partir de la publicación de la Ley del Presupuesto.</w:t>
      </w:r>
    </w:p>
    <w:p w14:paraId="5B7C9A6E"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lastRenderedPageBreak/>
        <w:t>En efecto, la Agencia advierte que para el año 2022 están programadas las elecciones para elegir miembros del Congreso de la República, así como las jornadas para la elección del Presidente y Vicepresidente de la República. Las primeras para el domingo 13 de marzo de 2022</w:t>
      </w:r>
      <w:r w:rsidRPr="00A5537E">
        <w:rPr>
          <w:rFonts w:ascii="Arial" w:eastAsia="Arial" w:hAnsi="Arial" w:cs="Arial"/>
          <w:sz w:val="22"/>
          <w:szCs w:val="22"/>
          <w:vertAlign w:val="superscript"/>
        </w:rPr>
        <w:footnoteReference w:id="66"/>
      </w:r>
      <w:r w:rsidRPr="00A5537E">
        <w:rPr>
          <w:rFonts w:ascii="Arial" w:eastAsia="Arial" w:hAnsi="Arial" w:cs="Arial"/>
          <w:sz w:val="22"/>
          <w:szCs w:val="22"/>
        </w:rPr>
        <w:t xml:space="preserve"> y las segundas para el 29 de mayo del mismo año</w:t>
      </w:r>
      <w:r w:rsidRPr="00A5537E">
        <w:rPr>
          <w:rFonts w:ascii="Arial" w:eastAsia="Arial" w:hAnsi="Arial" w:cs="Arial"/>
          <w:sz w:val="22"/>
          <w:szCs w:val="22"/>
          <w:vertAlign w:val="superscript"/>
        </w:rPr>
        <w:footnoteReference w:id="67"/>
      </w:r>
      <w:r w:rsidRPr="00A5537E">
        <w:rPr>
          <w:rFonts w:ascii="Arial" w:eastAsia="Arial" w:hAnsi="Arial" w:cs="Arial"/>
          <w:sz w:val="22"/>
          <w:szCs w:val="22"/>
        </w:rPr>
        <w:t xml:space="preserve">, respectivamente, de manera que resulta palmario que el periodo preelectoral de restricción de cuatro meses anteriores a la correspondiente elección de que tratan los artículos 33 y 38 de la Ley 996, coincidirán parcialmente. En este sentido, las prohibiciones para la contratación directa y para la celebración de convenios y contratos interadministrativos concurren durante la coincidencia de periodos preelectorales. </w:t>
      </w:r>
    </w:p>
    <w:p w14:paraId="0B6AE473"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Así, durante el periodo preelectoral de elección al Congreso de la República aplicará, únicamente, la prohibición del parágrafo 38, sin embargo, una vez inicie el periodo preelectoral para la elección de Presidente y Vicepresidente, deberán ser aplicadas ambas restricciones, es decir, la del parágrafo del artículo 38 y la del artículo 33 de la Ley de Garantías. En este punto, atendiendo a la modificación parcial del parágrafo del artículo 38 realizada por la Ley del Presupuesto, cabría preguntarse como se aplicarían las prohibiciones mencionadas. </w:t>
      </w:r>
    </w:p>
    <w:p w14:paraId="6263F549"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En opinión de esta Agencia, con el fin de armonizar los textos de los artículos comentados, luego de la modificación realizada por la Ley del Presupuesto, en el evento mencionado en el párrafo anterior se podrán celebrar convenios y contratos interadministrativos, de acuerdo con el parágrafo del artículo 38, siempre y cuando estos se lleven a cabo a través de modalidades de selección que impliquen convocatoria pública y, además, por virtud del artículo 124 de la Ley del Presupuesto cuando dichos contratos y convenios sean suscritos entre entidades del orden nacional y territorial. No sucederá lo mismo cuando sean celebrados entre entidades del orden territorial, en cuyo caso aplicará la prohibición plena sin la modificación en mención. Esto por cuanto, se insiste, la prohibición del artículo 33 de la Ley de Garantías permanece incólume ante la expedición de la Ley del Presupuesto. </w:t>
      </w:r>
    </w:p>
    <w:p w14:paraId="54AC7C59" w14:textId="77777777" w:rsidR="009E3AC0" w:rsidRPr="00A5537E" w:rsidRDefault="00622B0F" w:rsidP="00A5537E">
      <w:pPr>
        <w:shd w:val="clear" w:color="auto" w:fill="FFFFFF"/>
        <w:spacing w:after="120"/>
        <w:ind w:firstLine="708"/>
      </w:pPr>
      <w:r w:rsidRPr="00A5537E">
        <w:rPr>
          <w:rFonts w:ascii="Arial" w:eastAsia="Arial" w:hAnsi="Arial" w:cs="Arial"/>
          <w:sz w:val="22"/>
          <w:szCs w:val="22"/>
        </w:rPr>
        <w:t xml:space="preserve">Por ende, cuando empiece el periodo preelectoral de las elecciones presidenciales, se deberá dar aplicación a la prohibición para la contratación directa contenida en el artículo 33 de la Ley de Garantías, así como a la prohibición del parágrafo del artículo 38 que, como se dijo, resulta aplicable a todo tipo de elección popular. </w:t>
      </w:r>
    </w:p>
    <w:p w14:paraId="2F4E2309" w14:textId="77777777" w:rsidR="009E3AC0" w:rsidRPr="00A5537E" w:rsidRDefault="00622B0F">
      <w:pPr>
        <w:shd w:val="clear" w:color="auto" w:fill="FFFFFF"/>
        <w:spacing w:after="0"/>
        <w:ind w:firstLine="708"/>
        <w:rPr>
          <w:rFonts w:ascii="Arial" w:eastAsia="Arial" w:hAnsi="Arial" w:cs="Arial"/>
          <w:sz w:val="22"/>
          <w:szCs w:val="22"/>
        </w:rPr>
      </w:pPr>
      <w:r w:rsidRPr="00A5537E">
        <w:rPr>
          <w:rFonts w:ascii="Arial" w:eastAsia="Arial" w:hAnsi="Arial" w:cs="Arial"/>
          <w:sz w:val="22"/>
          <w:szCs w:val="22"/>
        </w:rPr>
        <w:t xml:space="preserve">En tal sentido, dentro de los cuatro meses anteriores a las elecciones de presidente y vicepresidente de la república no se podrán celebrar convenios y contratos </w:t>
      </w:r>
      <w:r w:rsidRPr="00A5537E">
        <w:rPr>
          <w:rFonts w:ascii="Arial" w:eastAsia="Arial" w:hAnsi="Arial" w:cs="Arial"/>
          <w:sz w:val="22"/>
          <w:szCs w:val="22"/>
        </w:rPr>
        <w:lastRenderedPageBreak/>
        <w:t xml:space="preserve">interadministrativos a través de contratación directa, y solo podrán ser suscritos a través de mecanismos de selección que impliquen convocatoria pública y, además, siempre que se cumplan con los requisitos establecidos en el artículo 124 de la Ley 2159 de 2021. </w:t>
      </w:r>
    </w:p>
    <w:p w14:paraId="63A2D7D3" w14:textId="77777777" w:rsidR="009E3AC0" w:rsidRPr="00A5537E" w:rsidRDefault="009E3AC0">
      <w:pPr>
        <w:shd w:val="clear" w:color="auto" w:fill="FFFFFF"/>
        <w:spacing w:after="0"/>
        <w:rPr>
          <w:rFonts w:ascii="Arial" w:eastAsia="Arial" w:hAnsi="Arial" w:cs="Arial"/>
          <w:sz w:val="22"/>
          <w:szCs w:val="22"/>
        </w:rPr>
      </w:pPr>
    </w:p>
    <w:p w14:paraId="793EA565" w14:textId="77777777" w:rsidR="009E3AC0" w:rsidRPr="00A5537E" w:rsidRDefault="00622B0F" w:rsidP="00A5537E">
      <w:pPr>
        <w:shd w:val="clear" w:color="auto" w:fill="FFFFFF"/>
        <w:spacing w:after="120"/>
      </w:pPr>
      <w:r w:rsidRPr="00A5537E">
        <w:rPr>
          <w:rFonts w:ascii="Arial" w:eastAsia="Arial" w:hAnsi="Arial" w:cs="Arial"/>
          <w:b/>
          <w:sz w:val="22"/>
          <w:szCs w:val="22"/>
        </w:rPr>
        <w:t>3. Consideración transitoria</w:t>
      </w:r>
    </w:p>
    <w:p w14:paraId="735C1B89" w14:textId="77777777" w:rsidR="009E3AC0" w:rsidRPr="00A5537E" w:rsidRDefault="00622B0F" w:rsidP="00A5537E">
      <w:pPr>
        <w:pBdr>
          <w:top w:val="nil"/>
          <w:left w:val="nil"/>
          <w:bottom w:val="nil"/>
          <w:right w:val="nil"/>
          <w:between w:val="nil"/>
        </w:pBdr>
        <w:spacing w:before="280" w:after="120"/>
        <w:rPr>
          <w:rFonts w:ascii="Times New Roman" w:eastAsia="Times New Roman" w:hAnsi="Times New Roman" w:cs="Times New Roman"/>
        </w:rPr>
      </w:pPr>
      <w:r w:rsidRPr="00A5537E">
        <w:rPr>
          <w:rFonts w:ascii="Arial" w:eastAsia="Arial" w:hAnsi="Arial" w:cs="Arial"/>
          <w:color w:val="000000"/>
          <w:sz w:val="22"/>
          <w:szCs w:val="22"/>
        </w:rPr>
        <w:t>Sin perjuicio de todo lo dicho, debe tenerse en cuenta que en el fallo de tutela proferido dentro del proceso nro. 2021-000324 por parte del Juzgado Tercero Administrativo de Bogotá, se decidió, entre otras cosas:</w:t>
      </w:r>
    </w:p>
    <w:p w14:paraId="2F993CC0" w14:textId="77777777" w:rsidR="009E3AC0" w:rsidRPr="00A5537E" w:rsidRDefault="00622B0F" w:rsidP="00A5537E">
      <w:pPr>
        <w:pBdr>
          <w:top w:val="nil"/>
          <w:left w:val="nil"/>
          <w:bottom w:val="nil"/>
          <w:right w:val="nil"/>
          <w:between w:val="nil"/>
        </w:pBdr>
        <w:spacing w:after="120" w:line="240" w:lineRule="auto"/>
        <w:ind w:left="709" w:right="567"/>
        <w:rPr>
          <w:rFonts w:ascii="Times New Roman" w:eastAsia="Times New Roman" w:hAnsi="Times New Roman" w:cs="Times New Roman"/>
        </w:rPr>
      </w:pPr>
      <w:r w:rsidRPr="00A5537E">
        <w:rPr>
          <w:rFonts w:ascii="Arial" w:eastAsia="Arial" w:hAnsi="Arial" w:cs="Arial"/>
          <w:color w:val="000000"/>
          <w:sz w:val="21"/>
          <w:szCs w:val="21"/>
        </w:rPr>
        <w:t xml:space="preserve">«ORDENAR al presidente de la república y a los representantes legales de las entidades del orden nacional y del sector descentralizado territorialmente, </w:t>
      </w:r>
    </w:p>
    <w:p w14:paraId="24BC4D78" w14:textId="77777777" w:rsidR="009E3AC0" w:rsidRPr="00A5537E" w:rsidRDefault="00622B0F" w:rsidP="00A5537E">
      <w:pPr>
        <w:spacing w:after="120" w:line="240" w:lineRule="auto"/>
        <w:ind w:left="709" w:right="567"/>
      </w:pPr>
      <w:r w:rsidRPr="00A5537E">
        <w:rPr>
          <w:rFonts w:ascii="Arial" w:eastAsia="Arial" w:hAnsi="Arial" w:cs="Arial"/>
          <w:sz w:val="21"/>
          <w:szCs w:val="21"/>
        </w:rPr>
        <w:t xml:space="preserve">abstenerse de dar aplicación a la modificación realizada al parágrafo 38 de la Ley 996 de 2005. </w:t>
      </w:r>
    </w:p>
    <w:p w14:paraId="574A3962" w14:textId="77777777" w:rsidR="009E3AC0" w:rsidRPr="00A5537E" w:rsidRDefault="00622B0F" w:rsidP="00A5537E">
      <w:pPr>
        <w:spacing w:after="120" w:line="240" w:lineRule="auto"/>
        <w:ind w:left="709" w:right="567"/>
      </w:pPr>
      <w:r w:rsidRPr="00A5537E">
        <w:rPr>
          <w:rFonts w:ascii="Arial" w:eastAsia="Arial" w:hAnsi="Arial" w:cs="Arial"/>
          <w:sz w:val="21"/>
          <w:szCs w:val="21"/>
        </w:rPr>
        <w:t xml:space="preserve">La restricción enunciada tiene como efectos garantizar los derechos al debido proceso, igualdad e imparcialidad en el proceso electoral. </w:t>
      </w:r>
    </w:p>
    <w:p w14:paraId="6B3FB3A3" w14:textId="77777777" w:rsidR="009E3AC0" w:rsidRPr="00A5537E" w:rsidRDefault="00622B0F" w:rsidP="00A5537E">
      <w:pPr>
        <w:spacing w:after="120" w:line="240" w:lineRule="auto"/>
        <w:ind w:left="709" w:right="567"/>
      </w:pPr>
      <w:r w:rsidRPr="00A5537E">
        <w:rPr>
          <w:rFonts w:ascii="Arial" w:eastAsia="Arial" w:hAnsi="Arial" w:cs="Arial"/>
          <w:sz w:val="21"/>
          <w:szCs w:val="21"/>
        </w:rPr>
        <w:t xml:space="preserve">La presente restricción solo estará́ vigente hasta que la Corte Constitucional conozca de la demanda de acción pública de inconstitucionalidad que adelantará el señor Miguel Ángel Bravo Gutiérrez o, que, en el ejercicio de ese derecho, radique cualquier ciudadano en los términos que establece el artículo 241 de la Constitución. </w:t>
      </w:r>
    </w:p>
    <w:p w14:paraId="4C817BE6" w14:textId="77777777" w:rsidR="009E3AC0" w:rsidRPr="00A5537E" w:rsidRDefault="00622B0F" w:rsidP="00A5537E">
      <w:pPr>
        <w:spacing w:after="120" w:line="240" w:lineRule="auto"/>
        <w:ind w:left="709" w:right="567"/>
      </w:pPr>
      <w:r w:rsidRPr="00A5537E">
        <w:rPr>
          <w:rFonts w:ascii="Arial" w:eastAsia="Arial" w:hAnsi="Arial" w:cs="Arial"/>
          <w:sz w:val="21"/>
          <w:szCs w:val="21"/>
        </w:rPr>
        <w:t xml:space="preserve">En esa medida el amparo transitorio objeto de esta providencia y la restricción enunciada para la celebración de los convenios interadministrativos, la ejecución de recursos públicos, la no participación, promoción y destinación de recursos públicos de las entidades a su cargo, en la forma que lo establece el parágrafo 38 de la Ley 996 de 2005, estará́ vigente por el término improrrogable de treinta (30) días hábiles siguientes a la publicación de la ley, dentro de los cuales no se computará el periodo que comprende la vacancia judicial45. </w:t>
      </w:r>
    </w:p>
    <w:p w14:paraId="71EFFBA9" w14:textId="77777777" w:rsidR="009E3AC0" w:rsidRPr="00A5537E" w:rsidRDefault="00622B0F" w:rsidP="00A5537E">
      <w:pPr>
        <w:spacing w:after="120" w:line="240" w:lineRule="auto"/>
        <w:ind w:left="709" w:right="567"/>
      </w:pPr>
      <w:r w:rsidRPr="00A5537E">
        <w:rPr>
          <w:rFonts w:ascii="Arial" w:eastAsia="Arial" w:hAnsi="Arial" w:cs="Arial"/>
          <w:sz w:val="21"/>
          <w:szCs w:val="21"/>
        </w:rPr>
        <w:t xml:space="preserve">El término referido tiene como única finalidad que la Corte Constitucional conozca y se pronuncie conforme a sus competencias y facultades relativas a la guarda de la integridad y supremacía de la Constitución, conforme a lo precisado en la parte motiva de esta providencia. </w:t>
      </w:r>
    </w:p>
    <w:p w14:paraId="0C11FC4E" w14:textId="77777777" w:rsidR="009E3AC0" w:rsidRPr="00A5537E" w:rsidRDefault="00622B0F" w:rsidP="00A5537E">
      <w:pPr>
        <w:spacing w:after="120" w:line="240" w:lineRule="auto"/>
        <w:ind w:left="709" w:right="567"/>
      </w:pPr>
      <w:r w:rsidRPr="00A5537E">
        <w:rPr>
          <w:rFonts w:ascii="Arial" w:eastAsia="Arial" w:hAnsi="Arial" w:cs="Arial"/>
          <w:sz w:val="21"/>
          <w:szCs w:val="21"/>
        </w:rPr>
        <w:t xml:space="preserve">Superado el término de los treinta (30) días hábiles, que se computarán en la forma anunciada, si no se acude a la acción pública de inconstitucionalidad por el accionante o por otros ciudadanos, o si la Corte Constitucional no asume conocimiento del estudio del proyecto de ley, en las hipótesis referidas el amparo transitorio perderá́ efectos de manera inmediata. </w:t>
      </w:r>
    </w:p>
    <w:p w14:paraId="577769A3" w14:textId="77777777" w:rsidR="009E3AC0" w:rsidRPr="00A5537E" w:rsidRDefault="00622B0F" w:rsidP="00A5537E">
      <w:pPr>
        <w:spacing w:after="0" w:line="240" w:lineRule="auto"/>
        <w:ind w:left="709" w:right="567"/>
      </w:pPr>
      <w:r w:rsidRPr="00A5537E">
        <w:rPr>
          <w:rFonts w:ascii="Arial" w:eastAsia="Arial" w:hAnsi="Arial" w:cs="Arial"/>
          <w:sz w:val="21"/>
          <w:szCs w:val="21"/>
        </w:rPr>
        <w:t xml:space="preserve">La medida de amparo comprende única y exclusivamente al artículo 125 del trámite legislativo del proyecto de la ley 096 de 2021 Senado y 158 de 2021 </w:t>
      </w:r>
      <w:r w:rsidRPr="00A5537E">
        <w:rPr>
          <w:rFonts w:ascii="Arial" w:eastAsia="Arial" w:hAnsi="Arial" w:cs="Arial"/>
          <w:sz w:val="21"/>
          <w:szCs w:val="21"/>
        </w:rPr>
        <w:lastRenderedPageBreak/>
        <w:t>Cámara, relativo a la modificación del parágrafo del artículo 38 de la Ley Estatutaria 996 de 2005»</w:t>
      </w:r>
      <w:r w:rsidRPr="00A5537E">
        <w:rPr>
          <w:rFonts w:ascii="Arial" w:eastAsia="Arial" w:hAnsi="Arial" w:cs="Arial"/>
          <w:sz w:val="21"/>
          <w:szCs w:val="21"/>
          <w:vertAlign w:val="superscript"/>
        </w:rPr>
        <w:footnoteReference w:id="68"/>
      </w:r>
      <w:r w:rsidRPr="00A5537E">
        <w:rPr>
          <w:rFonts w:ascii="Arial" w:eastAsia="Arial" w:hAnsi="Arial" w:cs="Arial"/>
          <w:sz w:val="21"/>
          <w:szCs w:val="21"/>
        </w:rPr>
        <w:t xml:space="preserve">. </w:t>
      </w:r>
    </w:p>
    <w:p w14:paraId="1B1C7F9D" w14:textId="77777777" w:rsidR="009E3AC0" w:rsidRPr="00A5537E" w:rsidRDefault="009E3AC0">
      <w:pPr>
        <w:shd w:val="clear" w:color="auto" w:fill="FFFFFF"/>
        <w:spacing w:after="0"/>
        <w:rPr>
          <w:rFonts w:ascii="Arial" w:eastAsia="Arial" w:hAnsi="Arial" w:cs="Arial"/>
          <w:sz w:val="22"/>
          <w:szCs w:val="22"/>
        </w:rPr>
      </w:pPr>
    </w:p>
    <w:p w14:paraId="2F586501" w14:textId="77777777" w:rsidR="009E3AC0" w:rsidRPr="00A5537E" w:rsidRDefault="00622B0F" w:rsidP="00A5537E">
      <w:pPr>
        <w:pBdr>
          <w:top w:val="nil"/>
          <w:left w:val="nil"/>
          <w:bottom w:val="nil"/>
          <w:right w:val="nil"/>
          <w:between w:val="nil"/>
        </w:pBdr>
        <w:spacing w:after="120"/>
        <w:ind w:firstLine="709"/>
        <w:rPr>
          <w:rFonts w:ascii="Times New Roman" w:eastAsia="Times New Roman" w:hAnsi="Times New Roman" w:cs="Times New Roman"/>
        </w:rPr>
      </w:pPr>
      <w:r w:rsidRPr="00A5537E">
        <w:rPr>
          <w:rFonts w:ascii="Arial" w:eastAsia="Arial" w:hAnsi="Arial" w:cs="Arial"/>
          <w:color w:val="000000"/>
          <w:sz w:val="22"/>
          <w:szCs w:val="22"/>
        </w:rPr>
        <w:t xml:space="preserve">Sin embargo, posteriormente, el Tribunal Administrativo de Cundinamarca, mediante providencia del 29 de noviembre de 2021, decretó la nulidad de todo lo actuado en el trámite de la acción de tutela mencionada. En consecuencia, ordenó la vinculación del señor Presidente de la República y dio traslado del expediente al Consejo de Estado, por ser el órgano judicial competente, conforme al artículo 1 del Decreto 333 de 2021. </w:t>
      </w:r>
    </w:p>
    <w:p w14:paraId="6D27AF54" w14:textId="77777777" w:rsidR="009E3AC0" w:rsidRPr="00A5537E" w:rsidRDefault="009E3AC0">
      <w:pPr>
        <w:shd w:val="clear" w:color="auto" w:fill="FFFFFF"/>
        <w:spacing w:after="0"/>
        <w:rPr>
          <w:rFonts w:ascii="Arial" w:eastAsia="Arial" w:hAnsi="Arial" w:cs="Arial"/>
          <w:sz w:val="22"/>
          <w:szCs w:val="22"/>
        </w:rPr>
      </w:pPr>
    </w:p>
    <w:p w14:paraId="267E0CCC" w14:textId="77777777" w:rsidR="009E3AC0" w:rsidRPr="00A5537E" w:rsidRDefault="00622B0F">
      <w:pPr>
        <w:tabs>
          <w:tab w:val="left" w:pos="284"/>
        </w:tabs>
        <w:spacing w:after="0"/>
        <w:rPr>
          <w:rFonts w:ascii="Arial" w:eastAsia="Arial" w:hAnsi="Arial" w:cs="Arial"/>
          <w:b/>
          <w:sz w:val="22"/>
          <w:szCs w:val="22"/>
        </w:rPr>
      </w:pPr>
      <w:r w:rsidRPr="00A5537E">
        <w:rPr>
          <w:rFonts w:ascii="Arial" w:eastAsia="Arial" w:hAnsi="Arial" w:cs="Arial"/>
          <w:b/>
          <w:sz w:val="22"/>
          <w:szCs w:val="22"/>
        </w:rPr>
        <w:t>4. Respuesta</w:t>
      </w:r>
    </w:p>
    <w:p w14:paraId="4CBDBB83" w14:textId="77777777" w:rsidR="009E3AC0" w:rsidRPr="00A5537E" w:rsidRDefault="009E3AC0">
      <w:pPr>
        <w:tabs>
          <w:tab w:val="left" w:pos="284"/>
        </w:tabs>
        <w:spacing w:after="0"/>
        <w:rPr>
          <w:rFonts w:ascii="Arial" w:eastAsia="Arial" w:hAnsi="Arial" w:cs="Arial"/>
          <w:b/>
          <w:sz w:val="22"/>
          <w:szCs w:val="22"/>
        </w:rPr>
      </w:pPr>
    </w:p>
    <w:p w14:paraId="1F1947D2" w14:textId="2C3E01AB" w:rsidR="009E3AC0" w:rsidRPr="00A5537E" w:rsidRDefault="00622B0F" w:rsidP="00A5537E">
      <w:pPr>
        <w:spacing w:after="0" w:line="240" w:lineRule="auto"/>
        <w:ind w:left="709" w:right="567"/>
        <w:rPr>
          <w:sz w:val="21"/>
          <w:szCs w:val="21"/>
        </w:rPr>
      </w:pPr>
      <w:r w:rsidRPr="00A5537E">
        <w:rPr>
          <w:rFonts w:ascii="Arial" w:eastAsia="Arial" w:hAnsi="Arial" w:cs="Arial"/>
          <w:b/>
          <w:sz w:val="22"/>
          <w:szCs w:val="22"/>
        </w:rPr>
        <w:t xml:space="preserve">Usted solicita a la Agencia que se emita concepto </w:t>
      </w:r>
      <w:r w:rsidRPr="00A5537E">
        <w:rPr>
          <w:rFonts w:ascii="Arial" w:eastAsia="Arial" w:hAnsi="Arial" w:cs="Arial"/>
          <w:sz w:val="22"/>
          <w:szCs w:val="22"/>
        </w:rPr>
        <w:t xml:space="preserve">«la facultad de suscribir convenios o contratos interadministrativos entre la nación y las sociedad [sic] de economía mixta indirecta [sic], del orden municipal, de segundo grado para la vigencia 2022». </w:t>
      </w:r>
    </w:p>
    <w:p w14:paraId="27E4F9B0" w14:textId="77777777" w:rsidR="009E3AC0" w:rsidRPr="00A5537E" w:rsidRDefault="009E3AC0" w:rsidP="00A5537E">
      <w:pPr>
        <w:spacing w:after="0"/>
      </w:pPr>
    </w:p>
    <w:p w14:paraId="164BA9D6" w14:textId="54C41AD2" w:rsidR="009E3AC0" w:rsidRPr="00A5537E" w:rsidRDefault="00622B0F">
      <w:pPr>
        <w:spacing w:after="120"/>
        <w:rPr>
          <w:rFonts w:ascii="Arial" w:eastAsia="Arial" w:hAnsi="Arial" w:cs="Arial"/>
          <w:sz w:val="22"/>
          <w:szCs w:val="22"/>
        </w:rPr>
      </w:pPr>
      <w:r w:rsidRPr="00A5537E">
        <w:rPr>
          <w:rFonts w:ascii="Arial" w:eastAsia="Arial" w:hAnsi="Arial" w:cs="Arial"/>
          <w:sz w:val="22"/>
          <w:szCs w:val="22"/>
        </w:rPr>
        <w:t>Esta Agencia considera que si bien la administración territorial también está compuesta por entidades tanto del nivel central como descentralizado y estas últimas pueden ser producto o bien de la descentralización directa o de primer nivel o de la de segundo nivel o indirecta, siendo un ejemplo de aquellas las sociedades de economía mixta territoriales, de acuerdo con lo explicado en las consideraciones, el artículo 124 de la Ley 2159 de 2021 no diferencia ni se refiere expresamente a las entidades descentralizadas del orden territorial. Por ello, debe entenderse que la expresión «entidades territoriales» contenida en dicha disposición, incluye únicamente a las establecidas en el artículo 286 de la Constitución Política</w:t>
      </w:r>
      <w:r w:rsidRPr="00A5537E">
        <w:rPr>
          <w:rFonts w:ascii="Arial" w:eastAsia="Arial" w:hAnsi="Arial" w:cs="Arial"/>
          <w:sz w:val="22"/>
          <w:szCs w:val="22"/>
          <w:vertAlign w:val="superscript"/>
        </w:rPr>
        <w:footnoteReference w:id="69"/>
      </w:r>
      <w:r w:rsidRPr="00A5537E">
        <w:rPr>
          <w:rFonts w:ascii="Arial" w:eastAsia="Arial" w:hAnsi="Arial" w:cs="Arial"/>
          <w:sz w:val="22"/>
          <w:szCs w:val="22"/>
        </w:rPr>
        <w:t>, concretamente, los departamentos, los distritos, los municipios y los territorios indígenas.</w:t>
      </w:r>
    </w:p>
    <w:p w14:paraId="765B69AD" w14:textId="3AC015B1" w:rsidR="009E3AC0" w:rsidRPr="00A5537E" w:rsidRDefault="00622B0F" w:rsidP="00A5537E">
      <w:pPr>
        <w:spacing w:after="120"/>
        <w:ind w:firstLine="709"/>
      </w:pPr>
      <w:r w:rsidRPr="00A5537E">
        <w:rPr>
          <w:rFonts w:ascii="Arial" w:eastAsia="Arial" w:hAnsi="Arial" w:cs="Arial"/>
          <w:sz w:val="22"/>
          <w:szCs w:val="22"/>
        </w:rPr>
        <w:t xml:space="preserve">En ese sentido, solo con dichas entidades podrían celebrarse convenios y contratos interadministrativos, siempre y cuando el otro extremo contractual sea la Nación y cumplan los demás requisitos de orden temporal y teleológico exigidos por la norma mencionada y explicados en este concepto. En caso contrario, de no cumplirse cabalmente con tales requerimientos, aplicarán, íntegramente, las prohibiciones establecidas en la Ley de Garantías Electorales. </w:t>
      </w:r>
    </w:p>
    <w:p w14:paraId="2BF21174" w14:textId="77777777" w:rsidR="009E3AC0" w:rsidRPr="00A5537E" w:rsidRDefault="009E3AC0" w:rsidP="00A5537E">
      <w:pPr>
        <w:spacing w:after="120"/>
        <w:ind w:firstLine="709"/>
      </w:pPr>
    </w:p>
    <w:p w14:paraId="00944F82" w14:textId="77777777" w:rsidR="009E3AC0" w:rsidRPr="00A5537E" w:rsidRDefault="00622B0F">
      <w:pPr>
        <w:spacing w:after="120"/>
        <w:rPr>
          <w:rFonts w:ascii="Arial" w:eastAsia="Arial" w:hAnsi="Arial" w:cs="Arial"/>
          <w:sz w:val="22"/>
          <w:szCs w:val="22"/>
        </w:rPr>
      </w:pPr>
      <w:bookmarkStart w:id="50" w:name="_2grqrue" w:colFirst="0" w:colLast="0"/>
      <w:bookmarkEnd w:id="50"/>
      <w:r w:rsidRPr="00A5537E">
        <w:rPr>
          <w:rFonts w:ascii="Arial" w:eastAsia="Arial" w:hAnsi="Arial" w:cs="Arial"/>
          <w:sz w:val="22"/>
          <w:szCs w:val="22"/>
        </w:rPr>
        <w:t>Este concepto tiene el alcance previsto en el artículo 28 del Código de Procedimiento Administrativo y de lo Contencioso Administrativo.</w:t>
      </w:r>
    </w:p>
    <w:p w14:paraId="54BAE2D3" w14:textId="77777777" w:rsidR="009E3AC0" w:rsidRPr="00A5537E" w:rsidRDefault="00622B0F">
      <w:pPr>
        <w:spacing w:after="120"/>
        <w:rPr>
          <w:rFonts w:ascii="Arial" w:eastAsia="Arial" w:hAnsi="Arial" w:cs="Arial"/>
          <w:sz w:val="22"/>
          <w:szCs w:val="22"/>
        </w:rPr>
      </w:pPr>
      <w:r w:rsidRPr="00A5537E">
        <w:rPr>
          <w:noProof/>
        </w:rPr>
        <mc:AlternateContent>
          <mc:Choice Requires="wps">
            <w:drawing>
              <wp:anchor distT="4294967260" distB="4294967260" distL="114300" distR="114300" simplePos="0" relativeHeight="251658240" behindDoc="0" locked="0" layoutInCell="1" hidden="0" allowOverlap="1" wp14:anchorId="4601CB63" wp14:editId="4DE471CD">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60" distT="4294967260" distL="114300" distR="114300" hidden="0" layoutInCell="1" locked="0" relativeHeight="0" simplePos="0">
                <wp:simplePos x="0" y="0"/>
                <wp:positionH relativeFrom="column">
                  <wp:posOffset>434340</wp:posOffset>
                </wp:positionH>
                <wp:positionV relativeFrom="paragraph">
                  <wp:posOffset>10205</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686300" cy="9526"/>
                        </a:xfrm>
                        <a:prstGeom prst="rect"/>
                        <a:ln/>
                      </pic:spPr>
                    </pic:pic>
                  </a:graphicData>
                </a:graphic>
              </wp:anchor>
            </w:drawing>
          </mc:Fallback>
        </mc:AlternateContent>
      </w:r>
    </w:p>
    <w:p w14:paraId="209CA620" w14:textId="77777777" w:rsidR="009E3AC0" w:rsidRPr="00A5537E" w:rsidRDefault="00622B0F">
      <w:pPr>
        <w:rPr>
          <w:rFonts w:ascii="Arial" w:eastAsia="Arial" w:hAnsi="Arial" w:cs="Arial"/>
          <w:sz w:val="22"/>
          <w:szCs w:val="22"/>
        </w:rPr>
      </w:pPr>
      <w:r w:rsidRPr="00A5537E">
        <w:rPr>
          <w:rFonts w:ascii="Arial" w:eastAsia="Arial" w:hAnsi="Arial" w:cs="Arial"/>
          <w:sz w:val="22"/>
          <w:szCs w:val="22"/>
        </w:rPr>
        <w:t>Atentamente,</w:t>
      </w:r>
    </w:p>
    <w:p w14:paraId="349DE707" w14:textId="0237F26D" w:rsidR="009E3AC0" w:rsidRPr="00A5537E" w:rsidRDefault="00976C8A">
      <w:pPr>
        <w:jc w:val="center"/>
        <w:rPr>
          <w:rFonts w:ascii="Arial" w:eastAsia="Arial" w:hAnsi="Arial" w:cs="Arial"/>
          <w:color w:val="000000"/>
          <w:sz w:val="18"/>
          <w:szCs w:val="18"/>
        </w:rPr>
      </w:pPr>
      <w:r>
        <w:rPr>
          <w:noProof/>
        </w:rPr>
        <w:drawing>
          <wp:inline distT="0" distB="0" distL="0" distR="0" wp14:anchorId="375BE536" wp14:editId="5B752980">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9E3AC0" w:rsidRPr="00A5537E" w14:paraId="28514C99" w14:textId="77777777">
        <w:trPr>
          <w:trHeight w:val="315"/>
        </w:trPr>
        <w:tc>
          <w:tcPr>
            <w:tcW w:w="812" w:type="dxa"/>
            <w:vAlign w:val="center"/>
          </w:tcPr>
          <w:p w14:paraId="28B4C35F" w14:textId="77777777" w:rsidR="009E3AC0" w:rsidRPr="00A5537E"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39B7E675" w14:textId="77777777" w:rsidR="009E3AC0" w:rsidRPr="00A5537E"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Álvaro Namén Vargas</w:t>
            </w:r>
          </w:p>
          <w:p w14:paraId="5F10F343" w14:textId="77777777" w:rsidR="009E3AC0" w:rsidRPr="00A5537E"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Contratista de la Subdirección de Gestión Contractual</w:t>
            </w:r>
          </w:p>
        </w:tc>
      </w:tr>
      <w:tr w:rsidR="009E3AC0" w:rsidRPr="00A5537E" w14:paraId="0BEF47D4" w14:textId="77777777">
        <w:trPr>
          <w:trHeight w:val="330"/>
        </w:trPr>
        <w:tc>
          <w:tcPr>
            <w:tcW w:w="812" w:type="dxa"/>
            <w:vAlign w:val="center"/>
          </w:tcPr>
          <w:p w14:paraId="51F45BB4" w14:textId="77777777" w:rsidR="009E3AC0" w:rsidRPr="00A5537E"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266EE53B" w14:textId="77777777" w:rsidR="009E3AC0" w:rsidRPr="00A5537E"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Sebastián Ramírez Grisales</w:t>
            </w:r>
          </w:p>
          <w:p w14:paraId="075CBDF0" w14:textId="77777777" w:rsidR="009E3AC0" w:rsidRPr="00A5537E"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Contratista de la Subdirección de Gestión Contractual</w:t>
            </w:r>
          </w:p>
        </w:tc>
      </w:tr>
      <w:tr w:rsidR="009E3AC0" w14:paraId="4C5EF60E" w14:textId="77777777">
        <w:trPr>
          <w:trHeight w:val="300"/>
        </w:trPr>
        <w:tc>
          <w:tcPr>
            <w:tcW w:w="812" w:type="dxa"/>
            <w:vAlign w:val="center"/>
          </w:tcPr>
          <w:p w14:paraId="75A346DC" w14:textId="77777777" w:rsidR="009E3AC0" w:rsidRPr="00A5537E"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13E264A1" w14:textId="77777777" w:rsidR="009E3AC0" w:rsidRPr="00A5537E"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Jorge Augusto Tirado Navarro</w:t>
            </w:r>
          </w:p>
          <w:p w14:paraId="6F3B2DF5" w14:textId="77777777" w:rsidR="009E3AC0" w:rsidRDefault="00622B0F">
            <w:pPr>
              <w:spacing w:line="276" w:lineRule="auto"/>
              <w:rPr>
                <w:rFonts w:ascii="Arial" w:eastAsia="Arial" w:hAnsi="Arial" w:cs="Arial"/>
                <w:color w:val="000000"/>
                <w:sz w:val="16"/>
                <w:szCs w:val="16"/>
              </w:rPr>
            </w:pPr>
            <w:r w:rsidRPr="00A5537E">
              <w:rPr>
                <w:rFonts w:ascii="Arial" w:eastAsia="Arial" w:hAnsi="Arial" w:cs="Arial"/>
                <w:color w:val="000000"/>
                <w:sz w:val="16"/>
                <w:szCs w:val="16"/>
              </w:rPr>
              <w:t>Subdirector de Gestión Contractual ANCP – CCE</w:t>
            </w:r>
          </w:p>
        </w:tc>
      </w:tr>
    </w:tbl>
    <w:p w14:paraId="72126035" w14:textId="77777777" w:rsidR="009E3AC0" w:rsidRDefault="009E3AC0">
      <w:pPr>
        <w:spacing w:after="120"/>
        <w:rPr>
          <w:rFonts w:ascii="Arial" w:eastAsia="Arial" w:hAnsi="Arial" w:cs="Arial"/>
          <w:b/>
          <w:sz w:val="20"/>
          <w:szCs w:val="20"/>
        </w:rPr>
      </w:pPr>
    </w:p>
    <w:sectPr w:rsidR="009E3AC0">
      <w:headerReference w:type="default" r:id="rId12"/>
      <w:footerReference w:type="default" r:id="rId13"/>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FA6E" w14:textId="77777777" w:rsidR="006061D3" w:rsidRDefault="006061D3">
      <w:pPr>
        <w:spacing w:after="0" w:line="240" w:lineRule="auto"/>
      </w:pPr>
      <w:r>
        <w:separator/>
      </w:r>
    </w:p>
  </w:endnote>
  <w:endnote w:type="continuationSeparator" w:id="0">
    <w:p w14:paraId="043270F0" w14:textId="77777777" w:rsidR="006061D3" w:rsidRDefault="0060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F97E" w14:textId="77777777" w:rsidR="009E3AC0" w:rsidRDefault="009E3AC0">
    <w:pPr>
      <w:pBdr>
        <w:top w:val="nil"/>
        <w:left w:val="nil"/>
        <w:bottom w:val="nil"/>
        <w:right w:val="nil"/>
        <w:between w:val="nil"/>
      </w:pBdr>
      <w:spacing w:after="0" w:line="240" w:lineRule="auto"/>
      <w:rPr>
        <w:rFonts w:ascii="Arial" w:eastAsia="Arial" w:hAnsi="Arial" w:cs="Arial"/>
        <w:color w:val="000000"/>
        <w:sz w:val="18"/>
        <w:szCs w:val="18"/>
      </w:rPr>
    </w:pPr>
  </w:p>
  <w:p w14:paraId="5B2A21DA" w14:textId="77777777" w:rsidR="009E3AC0" w:rsidRDefault="00622B0F">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A5537E">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A5537E">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7A61822E" w14:textId="77777777" w:rsidR="009E3AC0" w:rsidRDefault="00622B0F">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66635F5D" wp14:editId="0D4E5924">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09CC24B0" w14:textId="77777777" w:rsidR="009E3AC0" w:rsidRDefault="009E3AC0">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285C" w14:textId="77777777" w:rsidR="006061D3" w:rsidRDefault="006061D3">
      <w:pPr>
        <w:spacing w:after="0" w:line="240" w:lineRule="auto"/>
      </w:pPr>
      <w:r>
        <w:separator/>
      </w:r>
    </w:p>
  </w:footnote>
  <w:footnote w:type="continuationSeparator" w:id="0">
    <w:p w14:paraId="5BF21A91" w14:textId="77777777" w:rsidR="006061D3" w:rsidRDefault="006061D3">
      <w:pPr>
        <w:spacing w:after="0" w:line="240" w:lineRule="auto"/>
      </w:pPr>
      <w:r>
        <w:continuationSeparator/>
      </w:r>
    </w:p>
  </w:footnote>
  <w:footnote w:id="1">
    <w:p w14:paraId="11BE7DAB"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76C8A">
        <w:rPr>
          <w:rFonts w:ascii="Arial" w:eastAsia="Arial" w:hAnsi="Arial" w:cs="Arial"/>
          <w:i/>
          <w:color w:val="000000"/>
          <w:sz w:val="18"/>
          <w:szCs w:val="18"/>
        </w:rPr>
        <w:t xml:space="preserve">ibidem </w:t>
      </w:r>
      <w:r w:rsidRPr="00976C8A">
        <w:rPr>
          <w:rFonts w:ascii="Arial" w:eastAsia="Arial" w:hAnsi="Arial" w:cs="Arial"/>
          <w:color w:val="000000"/>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bookmarkStart w:id="11" w:name="_vx1227" w:colFirst="0" w:colLast="0"/>
    <w:bookmarkEnd w:id="11"/>
  </w:footnote>
  <w:footnote w:id="2">
    <w:p w14:paraId="53E7B674"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bookmarkStart w:id="13" w:name="_vx1227" w:colFirst="0" w:colLast="0"/>
      <w:bookmarkEnd w:id="13"/>
      <w:r w:rsidRPr="00976C8A">
        <w:rPr>
          <w:sz w:val="18"/>
          <w:szCs w:val="18"/>
          <w:vertAlign w:val="superscript"/>
        </w:rPr>
        <w:footnoteRef/>
      </w:r>
      <w:r w:rsidRPr="00976C8A">
        <w:rPr>
          <w:rFonts w:ascii="Arial" w:eastAsia="Arial" w:hAnsi="Arial" w:cs="Arial"/>
          <w:color w:val="000000"/>
          <w:sz w:val="18"/>
          <w:szCs w:val="18"/>
        </w:rPr>
        <w:t xml:space="preserve"> Seguidamente, el numeral 8º del artículo 11 Decreto Ley 4170 de 2011 señala que es función de la Subdirección de Gestión Contractual: «[a]bsolver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7B4F55DB"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D9DAAF8"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rFonts w:ascii="Arial" w:eastAsia="Arial" w:hAnsi="Arial" w:cs="Arial"/>
          <w:color w:val="000000"/>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14B4C20A"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Gaceta del Congreso de la República No. 71 del 2005.</w:t>
      </w:r>
    </w:p>
  </w:footnote>
  <w:footnote w:id="5">
    <w:p w14:paraId="7584BA38"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Corte Constitucional, Sentencia C- 1153 de 2005, M.P. Marco Gerardo Monroy Cabra.</w:t>
      </w:r>
    </w:p>
  </w:footnote>
  <w:footnote w:id="6">
    <w:p w14:paraId="7FE8E635"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4D486CD"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7">
    <w:p w14:paraId="08443095"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B0869E5"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8">
    <w:p w14:paraId="4CD33EA6"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Consejo de Estado, Sala de Consulta y Servicio Civil de fecha 24 de julio de 2013, radicado 2166, </w:t>
      </w:r>
      <w:r w:rsidRPr="00976C8A">
        <w:rPr>
          <w:rFonts w:ascii="Arial" w:eastAsia="Arial" w:hAnsi="Arial" w:cs="Arial"/>
          <w:color w:val="000000"/>
          <w:sz w:val="18"/>
          <w:szCs w:val="18"/>
        </w:rPr>
        <w:t xml:space="preserve">Consejero Ponente: Álvaro Namén Vargas.  </w:t>
      </w:r>
    </w:p>
  </w:footnote>
  <w:footnote w:id="9">
    <w:p w14:paraId="5F173295" w14:textId="77777777" w:rsidR="009E3AC0" w:rsidRPr="00976C8A" w:rsidRDefault="00622B0F">
      <w:pPr>
        <w:spacing w:after="0" w:line="240" w:lineRule="auto"/>
        <w:ind w:firstLine="709"/>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w:t>
      </w:r>
      <w:bookmarkStart w:id="16" w:name="3fwokq0" w:colFirst="0" w:colLast="0"/>
      <w:bookmarkEnd w:id="16"/>
      <w:r w:rsidRPr="00976C8A">
        <w:rPr>
          <w:rFonts w:ascii="Arial" w:eastAsia="Arial" w:hAnsi="Arial" w:cs="Arial"/>
          <w:color w:val="000000"/>
          <w:sz w:val="18"/>
          <w:szCs w:val="18"/>
        </w:rPr>
        <w:t>«</w:t>
      </w:r>
      <w:r w:rsidRPr="00976C8A">
        <w:rPr>
          <w:rFonts w:ascii="Arial" w:eastAsia="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7FC5486" w14:textId="77777777" w:rsidR="009E3AC0" w:rsidRPr="00976C8A" w:rsidRDefault="00622B0F">
      <w:pPr>
        <w:spacing w:after="0" w:line="240" w:lineRule="auto"/>
        <w:ind w:firstLine="709"/>
        <w:rPr>
          <w:rFonts w:ascii="Arial" w:eastAsia="Arial" w:hAnsi="Arial" w:cs="Arial"/>
          <w:sz w:val="18"/>
          <w:szCs w:val="18"/>
        </w:rPr>
      </w:pPr>
      <w:r w:rsidRPr="00976C8A">
        <w:rPr>
          <w:rFonts w:ascii="Arial" w:eastAsia="Arial" w:hAnsi="Arial" w:cs="Arial"/>
          <w:color w:val="000000"/>
          <w:sz w:val="18"/>
          <w:szCs w:val="18"/>
        </w:rPr>
        <w:t>»</w:t>
      </w:r>
      <w:r w:rsidRPr="00976C8A">
        <w:rPr>
          <w:rFonts w:ascii="Arial" w:eastAsia="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76C8A">
        <w:rPr>
          <w:rFonts w:ascii="Arial" w:eastAsia="Arial" w:hAnsi="Arial" w:cs="Arial"/>
          <w:color w:val="000000"/>
          <w:sz w:val="18"/>
          <w:szCs w:val="18"/>
        </w:rPr>
        <w:t>»</w:t>
      </w:r>
      <w:r w:rsidRPr="00976C8A">
        <w:rPr>
          <w:rFonts w:ascii="Arial" w:eastAsia="Arial" w:hAnsi="Arial" w:cs="Arial"/>
          <w:sz w:val="18"/>
          <w:szCs w:val="18"/>
        </w:rPr>
        <w:t>.</w:t>
      </w:r>
    </w:p>
  </w:footnote>
  <w:footnote w:id="10">
    <w:p w14:paraId="46435CB7"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w:t>
      </w:r>
      <w:bookmarkStart w:id="17" w:name="1v1yuxt" w:colFirst="0" w:colLast="0"/>
      <w:bookmarkEnd w:id="17"/>
      <w:r w:rsidRPr="00976C8A">
        <w:rPr>
          <w:rFonts w:ascii="Arial" w:eastAsia="Arial" w:hAnsi="Arial" w:cs="Arial"/>
          <w:color w:val="000000"/>
          <w:sz w:val="18"/>
          <w:szCs w:val="18"/>
        </w:rPr>
        <w:t>«Artículo 38. Prohibiciones para los servidores públicos. A los empleados del Estado les está prohibido:</w:t>
      </w:r>
    </w:p>
    <w:p w14:paraId="2148AFA0"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rFonts w:ascii="Arial" w:eastAsia="Arial" w:hAnsi="Arial" w:cs="Arial"/>
          <w:color w:val="000000"/>
          <w:sz w:val="18"/>
          <w:szCs w:val="18"/>
        </w:rPr>
        <w:t>» […]</w:t>
      </w:r>
    </w:p>
    <w:p w14:paraId="7C864A1D"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rFonts w:ascii="Arial" w:eastAsia="Arial" w:hAnsi="Arial" w:cs="Arial"/>
          <w:color w:val="000000"/>
          <w:sz w:val="18"/>
          <w:szCs w:val="18"/>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46D63531"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1">
    <w:p w14:paraId="22C37FFB" w14:textId="77777777" w:rsidR="009E3AC0" w:rsidRPr="00976C8A" w:rsidRDefault="00622B0F" w:rsidP="00A5537E">
      <w:pPr>
        <w:spacing w:after="0" w:line="240" w:lineRule="auto"/>
        <w:ind w:firstLine="709"/>
        <w:rPr>
          <w:color w:val="000000"/>
          <w:sz w:val="18"/>
          <w:szCs w:val="18"/>
        </w:rPr>
      </w:pPr>
      <w:r w:rsidRPr="00976C8A">
        <w:rPr>
          <w:sz w:val="18"/>
          <w:szCs w:val="18"/>
          <w:vertAlign w:val="superscript"/>
        </w:rPr>
        <w:footnoteRef/>
      </w:r>
      <w:r w:rsidRPr="00976C8A">
        <w:rPr>
          <w:rFonts w:ascii="Arial" w:eastAsia="Arial" w:hAnsi="Arial" w:cs="Arial"/>
          <w:sz w:val="18"/>
          <w:szCs w:val="18"/>
        </w:rPr>
        <w:t xml:space="preserve"> Consejo de Estado. Sala de Consulta y Servicio Civil. Concepto del 17 de febrero de 2015. C.P. William Zambrano Cetina. Radicación No. 11001-03-06-000-2015-00164-00(2269).</w:t>
      </w:r>
    </w:p>
    <w:p w14:paraId="4111783B"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bookmarkStart w:id="19" w:name="_4f1mdlm" w:colFirst="0" w:colLast="0"/>
    <w:bookmarkEnd w:id="19"/>
  </w:footnote>
  <w:footnote w:id="12">
    <w:p w14:paraId="563E442D" w14:textId="77777777" w:rsidR="009E3AC0" w:rsidRPr="00976C8A" w:rsidRDefault="00622B0F" w:rsidP="00A5537E">
      <w:pPr>
        <w:pBdr>
          <w:top w:val="nil"/>
          <w:left w:val="nil"/>
          <w:bottom w:val="nil"/>
          <w:right w:val="nil"/>
          <w:between w:val="nil"/>
        </w:pBdr>
        <w:spacing w:after="0" w:line="240" w:lineRule="auto"/>
        <w:ind w:firstLine="709"/>
        <w:rPr>
          <w:sz w:val="18"/>
          <w:szCs w:val="18"/>
        </w:rPr>
      </w:pPr>
      <w:bookmarkStart w:id="22" w:name="_4f1mdlm" w:colFirst="0" w:colLast="0"/>
      <w:bookmarkEnd w:id="22"/>
      <w:r w:rsidRPr="00976C8A">
        <w:rPr>
          <w:sz w:val="18"/>
          <w:szCs w:val="18"/>
          <w:vertAlign w:val="superscript"/>
        </w:rPr>
        <w:footnoteRef/>
      </w:r>
      <w:r w:rsidRPr="00976C8A">
        <w:rPr>
          <w:rFonts w:ascii="Arial" w:eastAsia="Arial" w:hAnsi="Arial" w:cs="Arial"/>
          <w:color w:val="000000"/>
          <w:sz w:val="18"/>
          <w:szCs w:val="18"/>
        </w:rPr>
        <w:t xml:space="preserve"> «[25] Cfr. Consejo de Estado. Sección Tercera. Sentencia de 3 de diciembre de 2007. Radicados: 24.715, 25.206, 25.409, 24.524, 27.834, 25.410, 26.105, 28.244, 31.447 -acumulados-».</w:t>
      </w:r>
    </w:p>
    <w:p w14:paraId="2DCA5CE6" w14:textId="77777777" w:rsidR="009E3AC0" w:rsidRPr="00976C8A" w:rsidRDefault="009E3AC0" w:rsidP="00A5537E">
      <w:pPr>
        <w:pBdr>
          <w:top w:val="nil"/>
          <w:left w:val="nil"/>
          <w:bottom w:val="nil"/>
          <w:right w:val="nil"/>
          <w:between w:val="nil"/>
        </w:pBdr>
        <w:spacing w:after="0" w:line="240" w:lineRule="auto"/>
        <w:ind w:firstLine="709"/>
        <w:rPr>
          <w:sz w:val="18"/>
          <w:szCs w:val="18"/>
        </w:rPr>
      </w:pPr>
    </w:p>
    <w:bookmarkStart w:id="23" w:name="_2u6wntf" w:colFirst="0" w:colLast="0"/>
    <w:bookmarkEnd w:id="23"/>
  </w:footnote>
  <w:footnote w:id="13">
    <w:p w14:paraId="475AA245" w14:textId="77777777" w:rsidR="009E3AC0" w:rsidRPr="00976C8A" w:rsidRDefault="00622B0F" w:rsidP="00A5537E">
      <w:pPr>
        <w:pBdr>
          <w:top w:val="nil"/>
          <w:left w:val="nil"/>
          <w:bottom w:val="nil"/>
          <w:right w:val="nil"/>
          <w:between w:val="nil"/>
        </w:pBdr>
        <w:spacing w:after="0" w:line="240" w:lineRule="auto"/>
        <w:ind w:firstLine="709"/>
        <w:rPr>
          <w:sz w:val="18"/>
          <w:szCs w:val="18"/>
        </w:rPr>
      </w:pPr>
      <w:bookmarkStart w:id="25" w:name="_2u6wntf" w:colFirst="0" w:colLast="0"/>
      <w:bookmarkEnd w:id="25"/>
      <w:r w:rsidRPr="00976C8A">
        <w:rPr>
          <w:sz w:val="18"/>
          <w:szCs w:val="18"/>
          <w:vertAlign w:val="superscript"/>
        </w:rPr>
        <w:footnoteRef/>
      </w:r>
      <w:r w:rsidRPr="00976C8A">
        <w:rPr>
          <w:rFonts w:ascii="Arial" w:eastAsia="Arial" w:hAnsi="Arial" w:cs="Arial"/>
          <w:color w:val="000000"/>
          <w:sz w:val="18"/>
          <w:szCs w:val="18"/>
        </w:rPr>
        <w:t xml:space="preserve"> «[26] Al respecto ver el concepto 1712 de 2 de febrero de 2006. Consejo de Estado Sala de Consulta y Servicio Civil».</w:t>
      </w:r>
    </w:p>
    <w:p w14:paraId="7B100C2D" w14:textId="77777777" w:rsidR="009E3AC0" w:rsidRPr="00976C8A" w:rsidRDefault="009E3AC0" w:rsidP="00A5537E">
      <w:pPr>
        <w:pBdr>
          <w:top w:val="nil"/>
          <w:left w:val="nil"/>
          <w:bottom w:val="nil"/>
          <w:right w:val="nil"/>
          <w:between w:val="nil"/>
        </w:pBdr>
        <w:spacing w:after="0" w:line="240" w:lineRule="auto"/>
        <w:ind w:firstLine="709"/>
        <w:rPr>
          <w:sz w:val="18"/>
          <w:szCs w:val="18"/>
        </w:rPr>
      </w:pPr>
    </w:p>
  </w:footnote>
  <w:footnote w:id="14">
    <w:p w14:paraId="31B015C1"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Consejo de Estado. Sala de Consulta y Servicio Civil. Concepto del 2 de septiembre de 2013. Radicación número: 11001-03-06-000-2013-00412-00 (2168). Consejero Ponente: Álvaro Namén Vargas.</w:t>
      </w:r>
    </w:p>
  </w:footnote>
  <w:footnote w:id="15">
    <w:p w14:paraId="4B3F6D3F"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p>
    <w:p w14:paraId="5B4EE573"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rFonts w:ascii="Arial" w:eastAsia="Arial" w:hAnsi="Arial" w:cs="Arial"/>
          <w:color w:val="000000"/>
          <w:sz w:val="18"/>
          <w:szCs w:val="18"/>
        </w:rPr>
        <w:t xml:space="preserve"> Artículo 2. </w:t>
      </w:r>
    </w:p>
    <w:p w14:paraId="7CC54544"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6">
    <w:p w14:paraId="36FF2F66"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w:t>
      </w:r>
      <w:r w:rsidRPr="00976C8A">
        <w:rPr>
          <w:rFonts w:ascii="Arial" w:eastAsia="Arial" w:hAnsi="Arial" w:cs="Arial"/>
          <w:i/>
          <w:color w:val="000000"/>
          <w:sz w:val="18"/>
          <w:szCs w:val="18"/>
        </w:rPr>
        <w:t>Ídem</w:t>
      </w:r>
      <w:r w:rsidRPr="00976C8A">
        <w:rPr>
          <w:rFonts w:ascii="Arial" w:eastAsia="Arial" w:hAnsi="Arial" w:cs="Arial"/>
          <w:color w:val="000000"/>
          <w:sz w:val="18"/>
          <w:szCs w:val="18"/>
        </w:rPr>
        <w:t>.</w:t>
      </w:r>
    </w:p>
    <w:p w14:paraId="76CA32E5"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bookmarkStart w:id="27" w:name="_19c6y18" w:colFirst="0" w:colLast="0"/>
    <w:bookmarkEnd w:id="27"/>
  </w:footnote>
  <w:footnote w:id="17">
    <w:p w14:paraId="460F6909"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bookmarkStart w:id="28" w:name="_19c6y18" w:colFirst="0" w:colLast="0"/>
      <w:bookmarkEnd w:id="28"/>
      <w:r w:rsidRPr="00976C8A">
        <w:rPr>
          <w:sz w:val="18"/>
          <w:szCs w:val="18"/>
          <w:vertAlign w:val="superscript"/>
        </w:rPr>
        <w:footnoteRef/>
      </w:r>
      <w:r w:rsidRPr="00976C8A">
        <w:rPr>
          <w:rFonts w:ascii="Arial" w:eastAsia="Arial" w:hAnsi="Arial" w:cs="Arial"/>
          <w:color w:val="000000"/>
          <w:sz w:val="18"/>
          <w:szCs w:val="18"/>
        </w:rPr>
        <w:t xml:space="preserve"> «[…] A este respecto, cabe recordar que el artículo 860 del Código de Comercio regula la licitación en el derecho privado». </w:t>
      </w:r>
    </w:p>
    <w:p w14:paraId="583D6332"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8">
    <w:p w14:paraId="461368B4" w14:textId="77777777" w:rsidR="009E3AC0" w:rsidRPr="00976C8A" w:rsidRDefault="00622B0F">
      <w:pPr>
        <w:shd w:val="clear" w:color="auto" w:fill="FFFFFF"/>
        <w:spacing w:after="0" w:line="240" w:lineRule="auto"/>
        <w:ind w:firstLine="709"/>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Consejo de Estado. Sala de Consulta y Servicio Civil, Concepto de 8 de mayo de 2018. Radicación Número: 11001-03-06-000-2018-00095-00(2382). Consejero Ponente: Álvaro Namén Vargas.</w:t>
      </w:r>
    </w:p>
    <w:p w14:paraId="71A49EAC" w14:textId="77777777" w:rsidR="009E3AC0" w:rsidRPr="00976C8A" w:rsidRDefault="009E3AC0">
      <w:pPr>
        <w:shd w:val="clear" w:color="auto" w:fill="FFFFFF"/>
        <w:spacing w:after="0" w:line="240" w:lineRule="auto"/>
        <w:ind w:firstLine="709"/>
        <w:rPr>
          <w:rFonts w:ascii="Arial" w:eastAsia="Arial" w:hAnsi="Arial" w:cs="Arial"/>
          <w:sz w:val="18"/>
          <w:szCs w:val="18"/>
        </w:rPr>
      </w:pPr>
    </w:p>
  </w:footnote>
  <w:footnote w:id="19">
    <w:p w14:paraId="53683228"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Consejo de Estado. Sala de Consulta y Servicio Civil. Concepto del 08 de mayo de 2018. Exp. 2.382. C.P. Álvaro Namén Vargas.</w:t>
      </w:r>
    </w:p>
  </w:footnote>
  <w:footnote w:id="20">
    <w:p w14:paraId="5F59042B"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7501C514" w14:textId="77777777" w:rsidR="009E3AC0" w:rsidRPr="00976C8A" w:rsidRDefault="00622B0F">
      <w:pPr>
        <w:spacing w:after="0" w:line="240" w:lineRule="auto"/>
        <w:ind w:firstLine="709"/>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5FF279D7" w14:textId="77777777" w:rsidR="009E3AC0" w:rsidRPr="00976C8A" w:rsidRDefault="009E3AC0">
      <w:pPr>
        <w:spacing w:after="0" w:line="240" w:lineRule="auto"/>
        <w:ind w:firstLine="709"/>
        <w:rPr>
          <w:rFonts w:ascii="Arial" w:eastAsia="Arial" w:hAnsi="Arial" w:cs="Arial"/>
          <w:sz w:val="18"/>
          <w:szCs w:val="18"/>
        </w:rPr>
      </w:pPr>
    </w:p>
    <w:bookmarkStart w:id="35" w:name="_3tbugp1" w:colFirst="0" w:colLast="0"/>
    <w:bookmarkEnd w:id="35"/>
  </w:footnote>
  <w:footnote w:id="22">
    <w:p w14:paraId="74390465" w14:textId="77777777" w:rsidR="009E3AC0" w:rsidRPr="00976C8A" w:rsidRDefault="00622B0F" w:rsidP="00A5537E">
      <w:pPr>
        <w:pBdr>
          <w:top w:val="nil"/>
          <w:left w:val="nil"/>
          <w:bottom w:val="nil"/>
          <w:right w:val="nil"/>
          <w:between w:val="nil"/>
        </w:pBdr>
        <w:spacing w:after="0" w:line="240" w:lineRule="auto"/>
        <w:ind w:firstLine="709"/>
        <w:rPr>
          <w:sz w:val="18"/>
          <w:szCs w:val="18"/>
        </w:rPr>
      </w:pPr>
      <w:bookmarkStart w:id="37" w:name="_3tbugp1" w:colFirst="0" w:colLast="0"/>
      <w:bookmarkEnd w:id="37"/>
      <w:r w:rsidRPr="00976C8A">
        <w:rPr>
          <w:sz w:val="18"/>
          <w:szCs w:val="18"/>
          <w:vertAlign w:val="superscript"/>
        </w:rPr>
        <w:footnoteRef/>
      </w:r>
      <w:r w:rsidRPr="00976C8A">
        <w:rPr>
          <w:rFonts w:ascii="Arial" w:eastAsia="Arial" w:hAnsi="Arial" w:cs="Arial"/>
          <w:color w:val="000000"/>
          <w:sz w:val="18"/>
          <w:szCs w:val="18"/>
        </w:rPr>
        <w:t xml:space="preserve"> Consejo de Estado. Sala de Consulta y Servicio Civil. Concepto de 6 de abril de 2006. Radicación Número: 11001-03-06-000-2006-00038-00(1738). Consejero Ponente: Enrique José Arboleda Perdomo: «Si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p>
  </w:footnote>
  <w:footnote w:id="23">
    <w:p w14:paraId="4A6A87FC" w14:textId="77777777" w:rsidR="009E3AC0" w:rsidRPr="00976C8A" w:rsidRDefault="00622B0F" w:rsidP="00A5537E">
      <w:pPr>
        <w:pBdr>
          <w:top w:val="nil"/>
          <w:left w:val="nil"/>
          <w:bottom w:val="nil"/>
          <w:right w:val="nil"/>
          <w:between w:val="nil"/>
        </w:pBdr>
        <w:spacing w:after="0" w:line="240" w:lineRule="auto"/>
        <w:ind w:firstLine="709"/>
        <w:rPr>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Consejo de Estado. Sala de Consulta y Servicio Civil. Concepto de 6 de abril de 2006. Radicación Número: 11001-03-06-000-2006-00038-00(1738). Consejero Ponente: Enrique José Arboleda Perdomo.</w:t>
      </w:r>
    </w:p>
    <w:p w14:paraId="73EF9A99" w14:textId="77777777" w:rsidR="009E3AC0" w:rsidRPr="00976C8A" w:rsidRDefault="009E3AC0" w:rsidP="00A5537E">
      <w:pPr>
        <w:pBdr>
          <w:top w:val="nil"/>
          <w:left w:val="nil"/>
          <w:bottom w:val="nil"/>
          <w:right w:val="nil"/>
          <w:between w:val="nil"/>
        </w:pBdr>
        <w:spacing w:after="0" w:line="240" w:lineRule="auto"/>
        <w:ind w:firstLine="709"/>
        <w:rPr>
          <w:sz w:val="18"/>
          <w:szCs w:val="18"/>
        </w:rPr>
      </w:pPr>
    </w:p>
  </w:footnote>
  <w:footnote w:id="24">
    <w:p w14:paraId="4A0AC76F" w14:textId="77777777" w:rsidR="009E3AC0" w:rsidRPr="00976C8A" w:rsidRDefault="00622B0F" w:rsidP="00A5537E">
      <w:pPr>
        <w:pBdr>
          <w:top w:val="nil"/>
          <w:left w:val="nil"/>
          <w:bottom w:val="nil"/>
          <w:right w:val="nil"/>
          <w:between w:val="nil"/>
        </w:pBdr>
        <w:spacing w:after="0" w:line="240" w:lineRule="auto"/>
        <w:ind w:firstLine="709"/>
        <w:rPr>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Consejo de Estado. Sala de Consulta y Servicio Civil, ídem.</w:t>
      </w:r>
    </w:p>
  </w:footnote>
  <w:footnote w:id="25">
    <w:p w14:paraId="1A91BDE0"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Consejo de Estado. Sala de Consulta y Servicio Civil. Concepto de 20 de febrero de2006. Radicación 11001-03-06-000-2006-00023-00(1724). Consejero Ponente: Flavio Augusto Rodríguez Arce.</w:t>
      </w:r>
    </w:p>
    <w:p w14:paraId="642DF7F7"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26">
    <w:p w14:paraId="528EA468" w14:textId="77777777" w:rsidR="009E3AC0" w:rsidRPr="00976C8A" w:rsidRDefault="00622B0F">
      <w:pPr>
        <w:spacing w:after="0" w:line="240" w:lineRule="auto"/>
        <w:ind w:firstLine="709"/>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Decreto 1082 de 2015: «Artículo 2.2.1.2.1.4.4. Convenios o contratos interadministrativos. La modalidad de selección para la contratación entre Entidades Estatales es la contratación directa; </w:t>
      </w:r>
      <w:r w:rsidRPr="00976C8A">
        <w:rPr>
          <w:rFonts w:ascii="Arial" w:eastAsia="Arial" w:hAnsi="Arial" w:cs="Arial"/>
          <w:sz w:val="18"/>
          <w:szCs w:val="18"/>
        </w:rPr>
        <w:t>y en consecuencia, le es aplicable lo establecido en el artículo 2.2.1.2.1.4.1 del presente decreto.</w:t>
      </w:r>
    </w:p>
    <w:p w14:paraId="45461647" w14:textId="77777777" w:rsidR="009E3AC0" w:rsidRPr="00976C8A" w:rsidRDefault="00622B0F">
      <w:pPr>
        <w:spacing w:after="0" w:line="240" w:lineRule="auto"/>
        <w:ind w:firstLine="709"/>
        <w:rPr>
          <w:rFonts w:ascii="Arial" w:eastAsia="Arial" w:hAnsi="Arial" w:cs="Arial"/>
          <w:sz w:val="18"/>
          <w:szCs w:val="18"/>
        </w:rPr>
      </w:pPr>
      <w:r w:rsidRPr="00976C8A">
        <w:rPr>
          <w:rFonts w:ascii="Arial" w:eastAsia="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27">
    <w:p w14:paraId="2CD17C3C" w14:textId="77777777" w:rsidR="009E3AC0" w:rsidRPr="00976C8A" w:rsidRDefault="00622B0F">
      <w:pPr>
        <w:spacing w:after="0" w:line="240" w:lineRule="auto"/>
        <w:ind w:firstLine="709"/>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B97C67C" w14:textId="77777777" w:rsidR="009E3AC0" w:rsidRPr="00976C8A" w:rsidRDefault="009E3AC0">
      <w:pPr>
        <w:spacing w:after="0" w:line="240" w:lineRule="auto"/>
        <w:ind w:firstLine="709"/>
        <w:rPr>
          <w:rFonts w:ascii="Arial" w:eastAsia="Arial" w:hAnsi="Arial" w:cs="Arial"/>
          <w:sz w:val="18"/>
          <w:szCs w:val="18"/>
        </w:rPr>
      </w:pPr>
    </w:p>
  </w:footnote>
  <w:footnote w:id="28">
    <w:p w14:paraId="08A68833" w14:textId="77777777" w:rsidR="009E3AC0" w:rsidRPr="00976C8A" w:rsidRDefault="00622B0F" w:rsidP="00A5537E">
      <w:pPr>
        <w:spacing w:after="0" w:line="240" w:lineRule="auto"/>
        <w:ind w:firstLine="709"/>
        <w:rPr>
          <w:color w:val="000000"/>
          <w:sz w:val="18"/>
          <w:szCs w:val="18"/>
        </w:rPr>
      </w:pPr>
      <w:r w:rsidRPr="00976C8A">
        <w:rPr>
          <w:sz w:val="18"/>
          <w:szCs w:val="18"/>
          <w:vertAlign w:val="superscript"/>
        </w:rPr>
        <w:footnoteRef/>
      </w:r>
      <w:r w:rsidRPr="00976C8A">
        <w:rPr>
          <w:rFonts w:ascii="Arial" w:eastAsia="Arial" w:hAnsi="Arial" w:cs="Arial"/>
          <w:sz w:val="18"/>
          <w:szCs w:val="18"/>
          <w:vertAlign w:val="superscript"/>
        </w:rPr>
        <w:t xml:space="preserve"> </w:t>
      </w:r>
      <w:r w:rsidRPr="00976C8A">
        <w:rPr>
          <w:rFonts w:ascii="Arial" w:eastAsia="Arial" w:hAnsi="Arial" w:cs="Arial"/>
          <w:sz w:val="18"/>
          <w:szCs w:val="18"/>
        </w:rPr>
        <w:t>Consejo de Estado. Sección Tercera. Sentencia del 23 de junio de 2010. Radicación No. 66001-23-31-000-1998-00261-01(17.860). Consejero Ponente: Mauricio Fajardo Gómez.</w:t>
      </w:r>
    </w:p>
    <w:p w14:paraId="77C3B775"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29">
    <w:p w14:paraId="2A6206C8" w14:textId="77777777" w:rsidR="009E3AC0" w:rsidRPr="00976C8A" w:rsidRDefault="00622B0F">
      <w:pPr>
        <w:spacing w:after="0" w:line="240" w:lineRule="auto"/>
        <w:ind w:firstLine="709"/>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Consejo de Estado. Sección Tercera. Subsección C. Sentencia del 11 de diciembre de 2019. Exp. 46.986. C.P. Jaime Enrique Rodríguez Navas.</w:t>
      </w:r>
    </w:p>
  </w:footnote>
  <w:footnote w:id="30">
    <w:p w14:paraId="0DAAE320"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[Referencia propia de la cita] «CE. SCSC. Concepto de 1 de noviembre de 2016 [Rad. 11001-03-06-000-2016-00125-00(2305)]. MP. Germán Alberto Bula Escobar».</w:t>
      </w:r>
    </w:p>
  </w:footnote>
  <w:footnote w:id="31">
    <w:p w14:paraId="6FD80C80"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[Referencia propia de la cita] «CE. SCSC. Concepto de 30 de abril de 2008 [Rad. 11001-03-06-000-2008-00013-00(1881)]. MP. Enrique José Arboleda Perdomo. En esta oportunidad, la Sala indicó que el contenido </w:t>
      </w:r>
      <w:r w:rsidRPr="00976C8A">
        <w:rPr>
          <w:rFonts w:ascii="Arial" w:eastAsia="Arial" w:hAnsi="Arial" w:cs="Arial"/>
          <w:i/>
          <w:color w:val="000000"/>
          <w:sz w:val="18"/>
          <w:szCs w:val="18"/>
        </w:rPr>
        <w:t>“obligacional”</w:t>
      </w:r>
      <w:r w:rsidRPr="00976C8A">
        <w:rPr>
          <w:rFonts w:ascii="Arial" w:eastAsia="Arial" w:hAnsi="Arial" w:cs="Arial"/>
          <w:color w:val="000000"/>
          <w:sz w:val="18"/>
          <w:szCs w:val="18"/>
        </w:rPr>
        <w:t xml:space="preserve"> de los convenios se estructura definiendo el resultado querido por las partes y los medios que cada entidad despliega para la obtención del respectivo objeto».</w:t>
      </w:r>
    </w:p>
  </w:footnote>
  <w:footnote w:id="32">
    <w:p w14:paraId="4E648E73"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[Referencia propia de la cita] «La normativa vigente del EGCAP </w:t>
      </w:r>
      <w:r w:rsidRPr="00976C8A">
        <w:rPr>
          <w:rFonts w:ascii="Arial" w:eastAsia="Arial" w:hAnsi="Arial" w:cs="Arial"/>
          <w:i/>
          <w:color w:val="000000"/>
          <w:sz w:val="18"/>
          <w:szCs w:val="18"/>
        </w:rPr>
        <w:t>[literal c) del numeral 4. del artículo 2 de la Ley 1150/07]</w:t>
      </w:r>
      <w:r w:rsidRPr="00976C8A">
        <w:rPr>
          <w:rFonts w:ascii="Arial" w:eastAsia="Arial" w:hAnsi="Arial" w:cs="Arial"/>
          <w:color w:val="000000"/>
          <w:sz w:val="18"/>
          <w:szCs w:val="18"/>
        </w:rPr>
        <w:t xml:space="preserve"> se refiere a </w:t>
      </w:r>
      <w:r w:rsidRPr="00976C8A">
        <w:rPr>
          <w:rFonts w:ascii="Arial" w:eastAsia="Arial" w:hAnsi="Arial" w:cs="Arial"/>
          <w:i/>
          <w:color w:val="000000"/>
          <w:sz w:val="18"/>
          <w:szCs w:val="18"/>
        </w:rPr>
        <w:t>“contratos interadministrativos”</w:t>
      </w:r>
      <w:r w:rsidRPr="00976C8A">
        <w:rPr>
          <w:rFonts w:ascii="Arial" w:eastAsia="Arial" w:hAnsi="Arial" w:cs="Arial"/>
          <w:color w:val="000000"/>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02B9A6AD"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273BE69C"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34">
    <w:p w14:paraId="400AA526"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Es lo que sucede, por ejemplo, con el Decreto 092 de 2017, que en su desarrollo hace referencia tanto a los «contratos» como a los «convenios». </w:t>
      </w:r>
    </w:p>
    <w:p w14:paraId="736E6F4E"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35">
    <w:p w14:paraId="6EB0EEA1"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14BF9AE4" w14:textId="7A67117C" w:rsidR="009E3AC0" w:rsidRPr="00976C8A" w:rsidRDefault="00622B0F" w:rsidP="00A5537E">
      <w:pPr>
        <w:tabs>
          <w:tab w:val="left" w:pos="933"/>
        </w:tabs>
        <w:spacing w:after="0" w:line="240" w:lineRule="auto"/>
        <w:rPr>
          <w:rFonts w:ascii="Arial" w:eastAsia="Arial" w:hAnsi="Arial" w:cs="Arial"/>
          <w:color w:val="000000"/>
          <w:sz w:val="18"/>
          <w:szCs w:val="18"/>
        </w:rPr>
      </w:pPr>
      <w:r w:rsidRPr="00976C8A">
        <w:rPr>
          <w:sz w:val="18"/>
          <w:szCs w:val="18"/>
          <w:vertAlign w:val="superscript"/>
        </w:rPr>
        <w:footnoteRef/>
      </w:r>
      <w:r w:rsidRPr="00976C8A">
        <w:rPr>
          <w:sz w:val="18"/>
          <w:szCs w:val="18"/>
        </w:rPr>
        <w:tab/>
        <w:t xml:space="preserve"> </w:t>
      </w:r>
      <w:r w:rsidRPr="00976C8A">
        <w:rPr>
          <w:color w:val="4E4D4D"/>
          <w:sz w:val="18"/>
          <w:szCs w:val="18"/>
        </w:rPr>
        <w:t xml:space="preserve">Ley 489 de 1998, artículo 68: </w:t>
      </w:r>
      <w:r w:rsidRPr="00976C8A">
        <w:rPr>
          <w:rFonts w:ascii="Arial" w:eastAsia="Arial" w:hAnsi="Arial" w:cs="Arial"/>
          <w:color w:val="000000"/>
          <w:sz w:val="18"/>
          <w:szCs w:val="18"/>
        </w:rPr>
        <w:t>«</w:t>
      </w:r>
      <w:r w:rsidRPr="00976C8A">
        <w:rPr>
          <w:color w:val="4E4D4D"/>
          <w:sz w:val="18"/>
          <w:szCs w:val="18"/>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976C8A">
        <w:rPr>
          <w:rFonts w:ascii="Arial" w:eastAsia="Arial" w:hAnsi="Arial" w:cs="Arial"/>
          <w:color w:val="000000"/>
          <w:sz w:val="18"/>
          <w:szCs w:val="18"/>
        </w:rPr>
        <w:t>»</w:t>
      </w:r>
      <w:r w:rsidRPr="00976C8A">
        <w:rPr>
          <w:color w:val="4E4D4D"/>
          <w:sz w:val="18"/>
          <w:szCs w:val="18"/>
        </w:rPr>
        <w:t>.</w:t>
      </w:r>
      <w:r w:rsidRPr="00976C8A">
        <w:rPr>
          <w:rFonts w:ascii="Arial" w:eastAsia="Arial" w:hAnsi="Arial" w:cs="Arial"/>
          <w:color w:val="000000"/>
          <w:sz w:val="18"/>
          <w:szCs w:val="18"/>
        </w:rPr>
        <w:t xml:space="preserve"> En similar sentido, ver artículo 38, numeral 2, literal f de la misma ley.</w:t>
      </w:r>
    </w:p>
    <w:p w14:paraId="15A5CECF" w14:textId="77777777" w:rsidR="009E3AC0" w:rsidRPr="00976C8A" w:rsidRDefault="009E3AC0" w:rsidP="00A5537E">
      <w:pPr>
        <w:pBdr>
          <w:top w:val="nil"/>
          <w:left w:val="nil"/>
          <w:bottom w:val="nil"/>
          <w:right w:val="nil"/>
          <w:between w:val="nil"/>
        </w:pBdr>
        <w:spacing w:after="0" w:line="240" w:lineRule="auto"/>
        <w:rPr>
          <w:rFonts w:ascii="Arial" w:eastAsia="Arial" w:hAnsi="Arial" w:cs="Arial"/>
          <w:sz w:val="18"/>
          <w:szCs w:val="18"/>
        </w:rPr>
      </w:pPr>
    </w:p>
  </w:footnote>
  <w:footnote w:id="37">
    <w:p w14:paraId="14FB9499" w14:textId="77777777" w:rsidR="009E3AC0" w:rsidRPr="00976C8A" w:rsidRDefault="00622B0F" w:rsidP="00A5537E">
      <w:pPr>
        <w:pBdr>
          <w:top w:val="nil"/>
          <w:left w:val="nil"/>
          <w:bottom w:val="nil"/>
          <w:right w:val="nil"/>
          <w:between w:val="nil"/>
        </w:pBdr>
        <w:tabs>
          <w:tab w:val="left" w:pos="918"/>
        </w:tabs>
        <w:spacing w:after="0" w:line="240" w:lineRule="auto"/>
        <w:rPr>
          <w:rFonts w:ascii="Arial" w:eastAsia="Arial" w:hAnsi="Arial" w:cs="Arial"/>
          <w:sz w:val="18"/>
          <w:szCs w:val="18"/>
        </w:rPr>
      </w:pPr>
      <w:r w:rsidRPr="00976C8A">
        <w:rPr>
          <w:sz w:val="18"/>
          <w:szCs w:val="18"/>
          <w:vertAlign w:val="superscript"/>
        </w:rPr>
        <w:footnoteRef/>
      </w:r>
      <w:r w:rsidRPr="00976C8A">
        <w:rPr>
          <w:rFonts w:ascii="Arial" w:eastAsia="Arial" w:hAnsi="Arial" w:cs="Arial"/>
          <w:color w:val="000000"/>
          <w:sz w:val="18"/>
          <w:szCs w:val="18"/>
        </w:rPr>
        <w:tab/>
      </w:r>
      <w:r w:rsidRPr="00976C8A">
        <w:rPr>
          <w:color w:val="000000"/>
          <w:sz w:val="18"/>
          <w:szCs w:val="18"/>
        </w:rPr>
        <w:t xml:space="preserve"> </w:t>
      </w:r>
      <w:r w:rsidRPr="00976C8A">
        <w:rPr>
          <w:color w:val="4E4D4D"/>
          <w:sz w:val="18"/>
          <w:szCs w:val="18"/>
        </w:rPr>
        <w:t>Constitución Política de Colombia. Artículo 150, numeral 7; artículo 300, numeral 7; y artículo 313, numeral 6.</w:t>
      </w:r>
    </w:p>
    <w:p w14:paraId="12806A4E" w14:textId="77777777" w:rsidR="009E3AC0" w:rsidRPr="00976C8A" w:rsidRDefault="009E3AC0" w:rsidP="00A5537E">
      <w:pPr>
        <w:pBdr>
          <w:top w:val="nil"/>
          <w:left w:val="nil"/>
          <w:bottom w:val="nil"/>
          <w:right w:val="nil"/>
          <w:between w:val="nil"/>
        </w:pBdr>
        <w:spacing w:after="0" w:line="240" w:lineRule="auto"/>
        <w:rPr>
          <w:rFonts w:ascii="Arial" w:eastAsia="Arial" w:hAnsi="Arial" w:cs="Arial"/>
          <w:sz w:val="18"/>
          <w:szCs w:val="18"/>
        </w:rPr>
      </w:pPr>
    </w:p>
  </w:footnote>
  <w:footnote w:id="38">
    <w:p w14:paraId="637AF911" w14:textId="77777777" w:rsidR="009E3AC0" w:rsidRPr="00976C8A" w:rsidRDefault="00622B0F">
      <w:pPr>
        <w:pBdr>
          <w:top w:val="nil"/>
          <w:left w:val="nil"/>
          <w:bottom w:val="nil"/>
          <w:right w:val="nil"/>
          <w:between w:val="nil"/>
        </w:pBdr>
        <w:rPr>
          <w:color w:val="000000"/>
          <w:sz w:val="18"/>
          <w:szCs w:val="18"/>
        </w:rPr>
      </w:pPr>
      <w:r w:rsidRPr="00976C8A">
        <w:rPr>
          <w:sz w:val="18"/>
          <w:szCs w:val="18"/>
          <w:vertAlign w:val="superscript"/>
        </w:rPr>
        <w:footnoteRef/>
      </w:r>
      <w:r w:rsidRPr="00976C8A">
        <w:rPr>
          <w:color w:val="000000"/>
          <w:sz w:val="18"/>
          <w:szCs w:val="18"/>
        </w:rPr>
        <w:t xml:space="preserve"> Corte Constitucional. Sentencia C–737 del 19 de septiembre de 2019. M.P.  Marco Gerardo Monroy Cabra</w:t>
      </w:r>
      <w:r w:rsidRPr="00976C8A">
        <w:rPr>
          <w:rFonts w:ascii="Arial" w:eastAsia="Arial" w:hAnsi="Arial" w:cs="Arial"/>
          <w:color w:val="000000"/>
          <w:sz w:val="18"/>
          <w:szCs w:val="18"/>
        </w:rPr>
        <w:t>.</w:t>
      </w:r>
    </w:p>
  </w:footnote>
  <w:footnote w:id="39">
    <w:p w14:paraId="7FB1ECFE" w14:textId="77777777" w:rsidR="009E3AC0" w:rsidRPr="00976C8A" w:rsidRDefault="00622B0F">
      <w:pPr>
        <w:pBdr>
          <w:top w:val="nil"/>
          <w:left w:val="nil"/>
          <w:bottom w:val="nil"/>
          <w:right w:val="nil"/>
          <w:between w:val="nil"/>
        </w:pBdr>
        <w:rPr>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Corte Constitucional. S</w:t>
      </w:r>
      <w:r w:rsidRPr="00976C8A">
        <w:rPr>
          <w:color w:val="000000"/>
          <w:sz w:val="18"/>
          <w:szCs w:val="18"/>
        </w:rPr>
        <w:t>entencia C–529 del 12 de julio de 2006. M.P. Jaime Córdoba Triviño</w:t>
      </w:r>
      <w:r w:rsidRPr="00976C8A">
        <w:rPr>
          <w:rFonts w:ascii="Arial" w:eastAsia="Arial" w:hAnsi="Arial" w:cs="Arial"/>
          <w:color w:val="000000"/>
          <w:sz w:val="18"/>
          <w:szCs w:val="18"/>
        </w:rPr>
        <w:t>.</w:t>
      </w:r>
    </w:p>
  </w:footnote>
  <w:footnote w:id="40">
    <w:p w14:paraId="67DDDB16"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Consejo de Estado. Sala de Consulta y Servicio Civil. Concepto del 15 de noviembre de 2007. Expediente número 1863. Consejero Ponente: Luis Fernando Álvarez Jaramillo.</w:t>
      </w:r>
    </w:p>
    <w:p w14:paraId="452ABCEC"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41">
    <w:p w14:paraId="139E9316" w14:textId="77777777" w:rsidR="009E3AC0" w:rsidRPr="00976C8A" w:rsidRDefault="00622B0F">
      <w:pPr>
        <w:pBdr>
          <w:top w:val="nil"/>
          <w:left w:val="nil"/>
          <w:bottom w:val="nil"/>
          <w:right w:val="nil"/>
          <w:between w:val="nil"/>
        </w:pBdr>
        <w:rPr>
          <w:color w:val="000000"/>
          <w:sz w:val="18"/>
          <w:szCs w:val="18"/>
        </w:rPr>
      </w:pPr>
      <w:r w:rsidRPr="00976C8A">
        <w:rPr>
          <w:sz w:val="18"/>
          <w:szCs w:val="18"/>
          <w:vertAlign w:val="superscript"/>
        </w:rPr>
        <w:footnoteRef/>
      </w:r>
      <w:r w:rsidRPr="00976C8A">
        <w:rPr>
          <w:color w:val="000000"/>
          <w:sz w:val="18"/>
          <w:szCs w:val="18"/>
        </w:rPr>
        <w:t xml:space="preserve"> Reiterado, entre otros, en el concepto C-699 del 6 de enero de 2022, C-715 del 21 de enero de 2022 y C-724 del 26 de enero de 2022.</w:t>
      </w:r>
    </w:p>
  </w:footnote>
  <w:footnote w:id="42">
    <w:p w14:paraId="457D754E"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Que en su artículo 141 establece: «La presente Ley rige a partir de la feecha de su publicación y surte efectos fiscales a partir del 1 de enero de 2022».</w:t>
      </w:r>
    </w:p>
  </w:footnote>
  <w:footnote w:id="43">
    <w:p w14:paraId="790A01A8"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Correspondiente al Proyecto de Ley 158/21 Cámara y 096/2021 Senado, cuyo texto definitivo fue aprobado en plenaria del Senado de la República el día 19 de octubre de 2021, según la </w:t>
      </w:r>
      <w:r w:rsidRPr="00976C8A">
        <w:rPr>
          <w:rFonts w:ascii="Arial" w:eastAsia="Arial" w:hAnsi="Arial" w:cs="Arial"/>
          <w:color w:val="000000"/>
          <w:sz w:val="18"/>
          <w:szCs w:val="18"/>
        </w:rPr>
        <w:t xml:space="preserve">Gaceta  del Congreso de la República nro. 1496. </w:t>
      </w:r>
    </w:p>
  </w:footnote>
  <w:footnote w:id="44">
    <w:p w14:paraId="0FEE7F72"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En su contenido y trámite el proyecto de ley se sujeta a las siguientes reglas: i) no es posible incluir partida alguna que no corresponda a un crédito judicialmente reconocido, a un gasto decretado conforme a ley anterior, a uno propuesto por el gobierno para atender el funcionamiento de las ramas del poder público, al servicio de la deuda, o a dar cumplimiento al plan nacional de desarrollo (artículo 346 C.P.); ii) el proyecto de ley de apropiaciones deberá contener la totalidad de los gastos que el Estado pretenda realizar durante la vigencia fiscal respectiva (artículo 347 C.P.; iii) si los ingresos legalmente autorizados no fueren suficientes para atender los gastos proyectados, el Gobierno deberá proponer, en forma separada, ante las comisiones encargadas de estudiar el proyecto de presupuesto, la creación de nuevas rentas o la modificación de las existentes para financiar el monto de gastos contemplados (artículo 347 Ibídem); iv) debe contener un componente denominado gasto público social que agrupará las partidas de esa naturaleza (artículo 350 C.P.), iv) el Congreso no puede “aumentar ninguna de las partidas del presupuesto de gastos propuestas por el gobierno, ni incluir una nueva, sino con la aceptación escrita del ministro del ramo” (artículo 351, inciso 1, C.P.). En cambio, el Congreso “podrá eliminar y reducir partidas de gastos propuestas por el gobierno”, con las excepciones que señala el artículo 351 en su inciso segundo; v) recibido el proyecto respectivo en el Congreso, corresponde a las Comisiones de Asuntos Económicos tanto del Senado como de la Cámara discutirlo y aprobarlo en primer debate, para lo cual la Constitución las autoriza sesionar conjuntamente (artículo 346 inciso 2 C.P.); iv) si el Congreso no expide el presupuesto, regirá el presentado por el gobierno en los términos señalados por el artículo 347 Superior, y si el gobierno no lo presenta dentro del plazo constitucional, regirá el del año anterior. Pero el Gobierno podrá reducir gastos, y, en consecuencia, suprimir o refundir empleos, cuando así lo aconsejen los cálculos de rentas del nuevo ejercicio (artículo 348 C.P.).</w:t>
      </w:r>
    </w:p>
  </w:footnote>
  <w:footnote w:id="45">
    <w:p w14:paraId="4B9C042B"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La Corte Constitucional ha precisado que es una especie de «contrato democrático anual sobre la asignación de recursos escasos y la fijación de prioridades, mediante el cual el Estado concreta no sólo un instrumento medular en la dirección de la economía y la política macroeconómica, sino la herramienta jurídica que expresa cuantitativamente el cumplimiento de fines esenciales del Estado y la política social para alcanzarlos. De este modo, el servicio a la comunidad, la promoción de la prosperidad general, la garantía y efectividad de los principios, derechos y deberes consagrados en la Constitución, y el aseguramiento en condiciones de igualdad y equidad de un orden justo, tienen un correlato real y específico en la ley de presupuesto que explican la necesidad de un proceso de creación y reforma calificado que permita la discusión amplia y la mayor participación posible a través de los representantes legítimos del pueblo reunidos en el Congreso.»  (Corte Constitucional. Sentencia C - 1064 de 2001. MPs. Manuel José Cepeda Espinosa y Jaime Córdoba Triviño).</w:t>
      </w:r>
    </w:p>
  </w:footnote>
  <w:footnote w:id="46">
    <w:p w14:paraId="3B58B199"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Corte Constitucional. Sentencia C-1124 de 2008 que analizó la constitucionalidad del artículo 61 de la Ley 1169 de 2007.</w:t>
      </w:r>
    </w:p>
  </w:footnote>
  <w:footnote w:id="47">
    <w:p w14:paraId="54A21B77"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Existe una relación inescindible entre la función democrática, administrativa y política del presupuesto y su carácter de instrumento o herramienta de dirección de la economía y la política macroeconómica. Corte Constitucional, Sentencia C - 438 de 2019, MP: Cristina Pardo Schlesinger.</w:t>
      </w:r>
    </w:p>
  </w:footnote>
  <w:footnote w:id="48">
    <w:p w14:paraId="6A0478BF" w14:textId="77777777" w:rsidR="009E3AC0" w:rsidRPr="00976C8A" w:rsidRDefault="00622B0F">
      <w:pPr>
        <w:pBdr>
          <w:top w:val="nil"/>
          <w:left w:val="nil"/>
          <w:bottom w:val="nil"/>
          <w:right w:val="nil"/>
          <w:between w:val="nil"/>
        </w:pBdr>
        <w:spacing w:after="0" w:line="240" w:lineRule="auto"/>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«Por medio del cual se compilan las leyes 38 de 1989, 179 de 1994 y 225 de 1995 que conforman el estatuto orgánico del presupuesto».</w:t>
      </w:r>
    </w:p>
  </w:footnote>
  <w:footnote w:id="49">
    <w:p w14:paraId="48993365" w14:textId="77777777" w:rsidR="009E3AC0" w:rsidRPr="00976C8A" w:rsidRDefault="00622B0F">
      <w:pPr>
        <w:spacing w:after="0" w:line="240" w:lineRule="auto"/>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w:t>
      </w:r>
      <w:r w:rsidRPr="00976C8A">
        <w:rPr>
          <w:rFonts w:ascii="Arial" w:eastAsia="Arial" w:hAnsi="Arial" w:cs="Arial"/>
          <w:color w:val="333333"/>
          <w:sz w:val="18"/>
          <w:szCs w:val="18"/>
        </w:rPr>
        <w:t>ARTÍCULO 6º: «Sistema presupuestal. Está constituido por un plan financiero, por un plan operativo anual de inversiones y por el presupuesto anual de la Nación».</w:t>
      </w:r>
    </w:p>
  </w:footnote>
  <w:footnote w:id="50">
    <w:p w14:paraId="385574C5" w14:textId="77777777" w:rsidR="009E3AC0" w:rsidRPr="00976C8A" w:rsidRDefault="00622B0F">
      <w:pPr>
        <w:spacing w:after="0" w:line="240" w:lineRule="auto"/>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w:t>
      </w:r>
      <w:r w:rsidRPr="00976C8A">
        <w:rPr>
          <w:rFonts w:ascii="Arial" w:eastAsia="Arial" w:hAnsi="Arial" w:cs="Arial"/>
          <w:color w:val="333333"/>
          <w:sz w:val="18"/>
          <w:szCs w:val="18"/>
        </w:rPr>
        <w:t xml:space="preserve">ARTÍCULO 8º: «El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416D838E" w14:textId="77777777" w:rsidR="009E3AC0" w:rsidRPr="00976C8A" w:rsidRDefault="009E3AC0" w:rsidP="00A5537E">
      <w:pPr>
        <w:spacing w:after="0" w:line="240" w:lineRule="auto"/>
        <w:rPr>
          <w:color w:val="000000"/>
          <w:sz w:val="18"/>
          <w:szCs w:val="18"/>
        </w:rPr>
      </w:pPr>
    </w:p>
    <w:p w14:paraId="215CBE32" w14:textId="77777777" w:rsidR="009E3AC0" w:rsidRPr="00976C8A" w:rsidRDefault="009E3AC0">
      <w:pPr>
        <w:pBdr>
          <w:top w:val="nil"/>
          <w:left w:val="nil"/>
          <w:bottom w:val="nil"/>
          <w:right w:val="nil"/>
          <w:between w:val="nil"/>
        </w:pBdr>
        <w:spacing w:after="0" w:line="240" w:lineRule="auto"/>
        <w:rPr>
          <w:rFonts w:ascii="Arial" w:eastAsia="Arial" w:hAnsi="Arial" w:cs="Arial"/>
          <w:color w:val="000000"/>
          <w:sz w:val="18"/>
          <w:szCs w:val="18"/>
        </w:rPr>
      </w:pPr>
    </w:p>
  </w:footnote>
  <w:footnote w:id="51">
    <w:p w14:paraId="7DF9554F" w14:textId="77777777" w:rsidR="009E3AC0" w:rsidRPr="00976C8A" w:rsidRDefault="00622B0F">
      <w:pPr>
        <w:pBdr>
          <w:top w:val="nil"/>
          <w:left w:val="nil"/>
          <w:bottom w:val="nil"/>
          <w:right w:val="nil"/>
          <w:between w:val="nil"/>
        </w:pBdr>
        <w:spacing w:after="0" w:line="240" w:lineRule="auto"/>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Artículo 31 de la Ley 152 de 1994 -por la cual se establece la Ley Orgánica del Presupuesto-. </w:t>
      </w:r>
    </w:p>
  </w:footnote>
  <w:footnote w:id="52">
    <w:p w14:paraId="614AAD09"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Aunque el Estado sea un concepto más amplio que comprende al conjunto de órganos que realizan las diversas funciones y servicios estatales, ya sea en el orden nacional, o ya sea en los otros niveles territoriales.</w:t>
      </w:r>
    </w:p>
    <w:p w14:paraId="08DD1D7F"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53">
    <w:p w14:paraId="25C141D8"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«Artículo 287. Las entidades territoriales gozan de autonomía para la gestión de sus intereses, y dentro de los límites de la Constitución y la ley. En tal virtud tendrán los siguientes derechos: </w:t>
      </w:r>
    </w:p>
    <w:p w14:paraId="0207B17F" w14:textId="5F16C685"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rFonts w:ascii="Arial" w:eastAsia="Arial" w:hAnsi="Arial" w:cs="Arial"/>
          <w:color w:val="000000"/>
          <w:sz w:val="18"/>
          <w:szCs w:val="18"/>
        </w:rPr>
        <w:t xml:space="preserve">»1. Gobernarse por autoridades propias. </w:t>
      </w:r>
    </w:p>
    <w:p w14:paraId="7C31072F" w14:textId="07CABB8E"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rFonts w:ascii="Arial" w:eastAsia="Arial" w:hAnsi="Arial" w:cs="Arial"/>
          <w:color w:val="000000"/>
          <w:sz w:val="18"/>
          <w:szCs w:val="18"/>
        </w:rPr>
        <w:t xml:space="preserve">»2. Ejercer las competencias que les correspondan. </w:t>
      </w:r>
    </w:p>
    <w:p w14:paraId="7FEDA32A" w14:textId="0789E4E5" w:rsidR="009E3AC0" w:rsidRPr="00976C8A" w:rsidRDefault="00622B0F" w:rsidP="00A5537E">
      <w:pPr>
        <w:pBdr>
          <w:top w:val="nil"/>
          <w:left w:val="nil"/>
          <w:bottom w:val="nil"/>
          <w:right w:val="nil"/>
          <w:between w:val="nil"/>
        </w:pBdr>
        <w:spacing w:after="0" w:line="240" w:lineRule="auto"/>
        <w:ind w:firstLine="709"/>
        <w:rPr>
          <w:sz w:val="18"/>
          <w:szCs w:val="18"/>
        </w:rPr>
      </w:pPr>
      <w:r w:rsidRPr="00976C8A">
        <w:rPr>
          <w:rFonts w:ascii="Arial" w:eastAsia="Arial" w:hAnsi="Arial" w:cs="Arial"/>
          <w:color w:val="000000"/>
          <w:sz w:val="18"/>
          <w:szCs w:val="18"/>
        </w:rPr>
        <w:t xml:space="preserve">»3. Administrar los recursos y establecer los tributos necesarios para el cumplimiento de sus funciones. </w:t>
      </w:r>
    </w:p>
    <w:p w14:paraId="5A997439" w14:textId="4BE098FB"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rFonts w:ascii="Arial" w:eastAsia="Arial" w:hAnsi="Arial" w:cs="Arial"/>
          <w:color w:val="000000"/>
          <w:sz w:val="18"/>
          <w:szCs w:val="18"/>
        </w:rPr>
        <w:t>»4. Participar en las rentas nacionales»</w:t>
      </w:r>
    </w:p>
  </w:footnote>
  <w:footnote w:id="54">
    <w:p w14:paraId="4C0C932F"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Corte Constitucional, Sentencia C-221 del 29 de abril de 1997. M.P. Alejandro Martínez Caballero.</w:t>
      </w:r>
    </w:p>
  </w:footnote>
  <w:footnote w:id="55">
    <w:p w14:paraId="1977622B" w14:textId="77777777" w:rsidR="009E3AC0" w:rsidRPr="00976C8A" w:rsidRDefault="00622B0F">
      <w:pPr>
        <w:shd w:val="clear" w:color="auto" w:fill="FFFFFF"/>
        <w:spacing w:after="0" w:line="240" w:lineRule="auto"/>
        <w:ind w:firstLine="709"/>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Corte Constitucional, Sentencia T-247 del 10 de abril de 2007. M.P. Rodrigo Escobar Gil.</w:t>
      </w:r>
    </w:p>
  </w:footnote>
  <w:footnote w:id="56">
    <w:p w14:paraId="13FDDB46" w14:textId="0259AFED"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El artículo 68 de la Ley 489 de 1998 sobre este sector preceptúa: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footnote>
  <w:footnote w:id="57">
    <w:p w14:paraId="0CD1C321" w14:textId="77777777" w:rsidR="009E3AC0" w:rsidRPr="00976C8A" w:rsidRDefault="00622B0F">
      <w:pPr>
        <w:pBdr>
          <w:top w:val="nil"/>
          <w:left w:val="nil"/>
          <w:bottom w:val="nil"/>
          <w:right w:val="nil"/>
          <w:between w:val="nil"/>
        </w:pBdr>
        <w:spacing w:after="0" w:line="240" w:lineRule="auto"/>
        <w:ind w:firstLine="708"/>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Rodríguez Libardo, Derecho Administrativo, general y colombiano, Editorial Temis, (2015), Bogotá, Colombia, p. 160.</w:t>
      </w:r>
    </w:p>
  </w:footnote>
  <w:footnote w:id="58">
    <w:p w14:paraId="66379364" w14:textId="77777777" w:rsidR="009E3AC0" w:rsidRPr="00976C8A" w:rsidRDefault="00622B0F">
      <w:pPr>
        <w:spacing w:after="0" w:line="240" w:lineRule="auto"/>
        <w:ind w:firstLine="708"/>
        <w:rPr>
          <w:rFonts w:ascii="Arial" w:eastAsia="Arial" w:hAnsi="Arial" w:cs="Arial"/>
          <w:sz w:val="18"/>
          <w:szCs w:val="18"/>
        </w:rPr>
      </w:pPr>
      <w:r w:rsidRPr="00976C8A">
        <w:rPr>
          <w:sz w:val="18"/>
          <w:szCs w:val="18"/>
          <w:vertAlign w:val="superscript"/>
        </w:rPr>
        <w:footnoteRef/>
      </w:r>
      <w:r w:rsidRPr="00976C8A">
        <w:rPr>
          <w:rFonts w:ascii="Arial" w:eastAsia="Arial" w:hAnsi="Arial" w:cs="Arial"/>
          <w:sz w:val="18"/>
          <w:szCs w:val="18"/>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976C8A">
        <w:rPr>
          <w:rFonts w:ascii="Arial" w:eastAsia="Arial" w:hAnsi="Arial" w:cs="Arial"/>
          <w:color w:val="333333"/>
          <w:sz w:val="18"/>
          <w:szCs w:val="18"/>
        </w:rPr>
        <w:t>las que surgen por la voluntad asociativa de los entes públicos entre sí o con la intervención de particulares, previa autorización legal» (Concepto del 26 de octubre de 2000, Rad. 1291, M.P. Augusto Trejos Jaramillo).</w:t>
      </w:r>
    </w:p>
  </w:footnote>
  <w:footnote w:id="59">
    <w:p w14:paraId="7D1E4B53" w14:textId="77777777" w:rsidR="009E3AC0" w:rsidRPr="00976C8A" w:rsidRDefault="00622B0F">
      <w:pPr>
        <w:pBdr>
          <w:top w:val="nil"/>
          <w:left w:val="nil"/>
          <w:bottom w:val="nil"/>
          <w:right w:val="nil"/>
          <w:between w:val="nil"/>
        </w:pBdr>
        <w:spacing w:after="0" w:line="240" w:lineRule="auto"/>
        <w:ind w:firstLine="708"/>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Ver, Tafur Galvis Álvaro, las entidades descentralizadas, Bogotá, Editorial, Montoya y Araujo, (1984), p. 205. </w:t>
      </w:r>
    </w:p>
  </w:footnote>
  <w:footnote w:id="60">
    <w:p w14:paraId="0E3CB3DB" w14:textId="77777777" w:rsidR="009E3AC0" w:rsidRPr="00976C8A" w:rsidRDefault="00622B0F">
      <w:pPr>
        <w:pBdr>
          <w:top w:val="nil"/>
          <w:left w:val="nil"/>
          <w:bottom w:val="nil"/>
          <w:right w:val="nil"/>
          <w:between w:val="nil"/>
        </w:pBdr>
        <w:spacing w:after="0" w:line="240" w:lineRule="auto"/>
        <w:ind w:firstLine="708"/>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Sala de Consulta y Servicio Civil, Concepto Rad 1291, Ob. Cit. </w:t>
      </w:r>
    </w:p>
  </w:footnote>
  <w:footnote w:id="61">
    <w:p w14:paraId="49CC800C" w14:textId="77777777" w:rsidR="009E3AC0" w:rsidRPr="00976C8A" w:rsidRDefault="00622B0F">
      <w:pPr>
        <w:pBdr>
          <w:top w:val="nil"/>
          <w:left w:val="nil"/>
          <w:bottom w:val="nil"/>
          <w:right w:val="nil"/>
          <w:between w:val="nil"/>
        </w:pBdr>
        <w:spacing w:after="0" w:line="240" w:lineRule="auto"/>
        <w:ind w:firstLine="708"/>
        <w:rPr>
          <w:rFonts w:ascii="Arial" w:eastAsia="Arial" w:hAnsi="Arial" w:cs="Arial"/>
          <w:color w:val="000000"/>
          <w:sz w:val="18"/>
          <w:szCs w:val="18"/>
        </w:rPr>
      </w:pPr>
      <w:r w:rsidRPr="00976C8A">
        <w:rPr>
          <w:sz w:val="18"/>
          <w:szCs w:val="18"/>
          <w:vertAlign w:val="superscript"/>
        </w:rPr>
        <w:footnoteRef/>
      </w:r>
      <w:r w:rsidRPr="00976C8A">
        <w:rPr>
          <w:color w:val="000000"/>
          <w:sz w:val="18"/>
          <w:szCs w:val="18"/>
        </w:rPr>
        <w:t xml:space="preserve"> En efecto, por tratarse de la misma ley, resulta importante destacar como, por ejemplo, el artículo 39 de la Ley 2159 de 2021 incluye a las entidades descentralizadas en su regulación, mientras que en el artículo 124 no se realiza dicha inclusión: «Artículo 39. Autorícese a la Nación y sus entidades descentralizadas, para efectuar cruces de cuentas entre sí, con entidades territoriales y sus descentralizadas y con las Empresas de Servicios Públicos con participación estatal, sobre las obligaciones que recíprocamente tengan causadas. Para estos efectos se requerirá acuerdo previo entre las partes […]»</w:t>
      </w:r>
      <w:r w:rsidRPr="00976C8A">
        <w:rPr>
          <w:rFonts w:ascii="Arial" w:eastAsia="Arial" w:hAnsi="Arial" w:cs="Arial"/>
          <w:color w:val="000000"/>
          <w:sz w:val="18"/>
          <w:szCs w:val="18"/>
        </w:rPr>
        <w:t xml:space="preserve"> (Cursiva fuera del original)</w:t>
      </w:r>
      <w:r w:rsidRPr="00976C8A">
        <w:rPr>
          <w:color w:val="000000"/>
          <w:sz w:val="18"/>
          <w:szCs w:val="18"/>
        </w:rPr>
        <w:t>.</w:t>
      </w:r>
    </w:p>
    <w:p w14:paraId="45591BA2" w14:textId="77777777" w:rsidR="009E3AC0" w:rsidRPr="00976C8A" w:rsidRDefault="009E3AC0">
      <w:pPr>
        <w:pBdr>
          <w:top w:val="nil"/>
          <w:left w:val="nil"/>
          <w:bottom w:val="nil"/>
          <w:right w:val="nil"/>
          <w:between w:val="nil"/>
        </w:pBdr>
        <w:rPr>
          <w:color w:val="000000"/>
          <w:sz w:val="18"/>
          <w:szCs w:val="18"/>
        </w:rPr>
      </w:pPr>
    </w:p>
  </w:footnote>
  <w:footnote w:id="62">
    <w:p w14:paraId="0685F670" w14:textId="77777777" w:rsidR="009E3AC0" w:rsidRPr="00976C8A" w:rsidRDefault="00622B0F">
      <w:pPr>
        <w:pBdr>
          <w:top w:val="nil"/>
          <w:left w:val="nil"/>
          <w:bottom w:val="nil"/>
          <w:right w:val="nil"/>
          <w:between w:val="nil"/>
        </w:pBdr>
        <w:spacing w:after="280"/>
        <w:rPr>
          <w:rFonts w:ascii="Open Sans" w:eastAsia="Open Sans" w:hAnsi="Open Sans" w:cs="Open Sans"/>
          <w:color w:val="4B4949"/>
          <w:sz w:val="18"/>
          <w:szCs w:val="18"/>
        </w:rPr>
      </w:pPr>
      <w:r w:rsidRPr="00976C8A">
        <w:rPr>
          <w:sz w:val="18"/>
          <w:szCs w:val="18"/>
          <w:vertAlign w:val="superscript"/>
        </w:rPr>
        <w:footnoteRef/>
      </w:r>
      <w:r w:rsidRPr="00976C8A">
        <w:rPr>
          <w:rFonts w:ascii="Times New Roman" w:eastAsia="Times New Roman" w:hAnsi="Times New Roman" w:cs="Times New Roman"/>
          <w:color w:val="000000"/>
          <w:sz w:val="18"/>
          <w:szCs w:val="18"/>
        </w:rPr>
        <w:t xml:space="preserve"> </w:t>
      </w:r>
      <w:r w:rsidRPr="00976C8A">
        <w:rPr>
          <w:rFonts w:ascii="Arial" w:eastAsia="Arial" w:hAnsi="Arial" w:cs="Arial"/>
          <w:color w:val="000000"/>
          <w:sz w:val="18"/>
          <w:szCs w:val="18"/>
        </w:rPr>
        <w:t>«Artículo</w:t>
      </w:r>
      <w:r w:rsidRPr="00976C8A">
        <w:rPr>
          <w:rFonts w:ascii="Open Sans" w:eastAsia="Open Sans" w:hAnsi="Open Sans" w:cs="Open Sans"/>
          <w:b/>
          <w:color w:val="BE9E55"/>
          <w:sz w:val="18"/>
          <w:szCs w:val="18"/>
        </w:rPr>
        <w:t xml:space="preserve"> 286. </w:t>
      </w:r>
      <w:r w:rsidRPr="00976C8A">
        <w:rPr>
          <w:rFonts w:ascii="Open Sans" w:eastAsia="Open Sans" w:hAnsi="Open Sans" w:cs="Open Sans"/>
          <w:color w:val="4B4949"/>
          <w:sz w:val="18"/>
          <w:szCs w:val="18"/>
        </w:rPr>
        <w:t>Son entidades territoriales los departamentos, los distritos, los municipios y los territorios indígenas.</w:t>
      </w:r>
    </w:p>
    <w:p w14:paraId="5C4BDF55" w14:textId="77777777" w:rsidR="009E3AC0" w:rsidRPr="00976C8A" w:rsidRDefault="00622B0F">
      <w:pPr>
        <w:spacing w:before="280" w:after="280"/>
        <w:rPr>
          <w:rFonts w:ascii="Open Sans" w:eastAsia="Open Sans" w:hAnsi="Open Sans" w:cs="Open Sans"/>
          <w:color w:val="4B4949"/>
          <w:sz w:val="18"/>
          <w:szCs w:val="18"/>
        </w:rPr>
      </w:pPr>
      <w:r w:rsidRPr="00976C8A">
        <w:rPr>
          <w:rFonts w:ascii="Arial" w:eastAsia="Arial" w:hAnsi="Arial" w:cs="Arial"/>
          <w:color w:val="000000"/>
          <w:sz w:val="18"/>
          <w:szCs w:val="18"/>
        </w:rPr>
        <w:t>»</w:t>
      </w:r>
      <w:r w:rsidRPr="00976C8A">
        <w:rPr>
          <w:rFonts w:ascii="Open Sans" w:eastAsia="Open Sans" w:hAnsi="Open Sans" w:cs="Open Sans"/>
          <w:color w:val="4B4949"/>
          <w:sz w:val="18"/>
          <w:szCs w:val="18"/>
        </w:rPr>
        <w:t>La ley podrá darles el carácter de entidades territoriales a las regiones y provincias que se constituyan en los términos de la Constitución y de la ley</w:t>
      </w:r>
      <w:r w:rsidRPr="00976C8A">
        <w:rPr>
          <w:rFonts w:ascii="Arial" w:eastAsia="Arial" w:hAnsi="Arial" w:cs="Arial"/>
          <w:color w:val="000000"/>
          <w:sz w:val="18"/>
          <w:szCs w:val="18"/>
        </w:rPr>
        <w:t>»</w:t>
      </w:r>
      <w:r w:rsidRPr="00976C8A">
        <w:rPr>
          <w:rFonts w:ascii="Open Sans" w:eastAsia="Open Sans" w:hAnsi="Open Sans" w:cs="Open Sans"/>
          <w:color w:val="4B4949"/>
          <w:sz w:val="18"/>
          <w:szCs w:val="18"/>
        </w:rPr>
        <w:t>.</w:t>
      </w:r>
    </w:p>
    <w:p w14:paraId="65C3A601" w14:textId="77777777" w:rsidR="009E3AC0" w:rsidRPr="00976C8A" w:rsidRDefault="009E3AC0">
      <w:pPr>
        <w:pBdr>
          <w:top w:val="nil"/>
          <w:left w:val="nil"/>
          <w:bottom w:val="nil"/>
          <w:right w:val="nil"/>
          <w:between w:val="nil"/>
        </w:pBdr>
        <w:rPr>
          <w:color w:val="000000"/>
          <w:sz w:val="18"/>
          <w:szCs w:val="18"/>
        </w:rPr>
      </w:pPr>
    </w:p>
  </w:footnote>
  <w:footnote w:id="63">
    <w:p w14:paraId="1DC4644F"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Corte Constitucional, Sentencia C-374 del 25 de agosto de 1994, M.P. Jorge Arango Mejía. </w:t>
      </w:r>
    </w:p>
  </w:footnote>
  <w:footnote w:id="64">
    <w:p w14:paraId="12A25D73" w14:textId="433D5D46"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w:t>
      </w:r>
      <w:r w:rsidRPr="00976C8A">
        <w:rPr>
          <w:rFonts w:ascii="Arial" w:eastAsia="Arial" w:hAnsi="Arial" w:cs="Arial"/>
          <w:i/>
          <w:color w:val="000000"/>
          <w:sz w:val="18"/>
          <w:szCs w:val="18"/>
        </w:rPr>
        <w:t>Ibid.</w:t>
      </w:r>
    </w:p>
  </w:footnote>
  <w:footnote w:id="65">
    <w:p w14:paraId="79E7CE6E"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r w:rsidRPr="00976C8A">
        <w:rPr>
          <w:rFonts w:ascii="Arial" w:eastAsia="Arial" w:hAnsi="Arial" w:cs="Arial"/>
          <w:color w:val="000000"/>
          <w:sz w:val="18"/>
          <w:szCs w:val="18"/>
        </w:rPr>
        <w:t>separadas pero colaboran armónicamente para la realización de sus fines.»</w:t>
      </w:r>
    </w:p>
  </w:footnote>
  <w:footnote w:id="66">
    <w:p w14:paraId="4CE74101"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Registraduría Nacional del Estado Civil, Resolución 2098 del 12 de marzo de 2021, mediante la cual «se fija el calendario electoral del Congreso de la República que se realizarán el 13 de marzo». </w:t>
      </w:r>
    </w:p>
  </w:footnote>
  <w:footnote w:id="67">
    <w:p w14:paraId="5EB5A4B2"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p>
    <w:p w14:paraId="797C18A0"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rFonts w:ascii="Arial" w:eastAsia="Arial" w:hAnsi="Arial" w:cs="Arial"/>
          <w:color w:val="000000"/>
          <w:sz w:val="18"/>
          <w:szCs w:val="18"/>
        </w:rPr>
        <w:t xml:space="preserve"> Registraduría Nacional del Estado Civil, Resolución 4371 del 18 de mayo de 2021, «por la cual se fija el calendario electoral para las elecciones de </w:t>
      </w:r>
      <w:r w:rsidRPr="00976C8A">
        <w:rPr>
          <w:rFonts w:ascii="Arial" w:eastAsia="Arial" w:hAnsi="Arial" w:cs="Arial"/>
          <w:color w:val="000000"/>
          <w:sz w:val="18"/>
          <w:szCs w:val="18"/>
        </w:rPr>
        <w:t>Presidente y Vicepresidente de la República (primera vuelta) para el periodo constitucional 2022-2026.</w:t>
      </w:r>
    </w:p>
  </w:footnote>
  <w:footnote w:id="68">
    <w:p w14:paraId="28C9BBC5" w14:textId="77777777" w:rsidR="009E3AC0" w:rsidRPr="00976C8A" w:rsidRDefault="00622B0F">
      <w:pPr>
        <w:pBdr>
          <w:top w:val="nil"/>
          <w:left w:val="nil"/>
          <w:bottom w:val="nil"/>
          <w:right w:val="nil"/>
          <w:between w:val="nil"/>
        </w:pBdr>
        <w:spacing w:after="0" w:line="240" w:lineRule="auto"/>
        <w:ind w:firstLine="709"/>
        <w:rPr>
          <w:rFonts w:ascii="Arial" w:eastAsia="Arial" w:hAnsi="Arial" w:cs="Arial"/>
          <w:color w:val="000000"/>
          <w:sz w:val="18"/>
          <w:szCs w:val="18"/>
        </w:rPr>
      </w:pPr>
      <w:r w:rsidRPr="00976C8A">
        <w:rPr>
          <w:sz w:val="18"/>
          <w:szCs w:val="18"/>
          <w:vertAlign w:val="superscript"/>
        </w:rPr>
        <w:footnoteRef/>
      </w:r>
      <w:r w:rsidRPr="00976C8A">
        <w:rPr>
          <w:rFonts w:ascii="Arial" w:eastAsia="Arial" w:hAnsi="Arial" w:cs="Arial"/>
          <w:color w:val="000000"/>
          <w:sz w:val="18"/>
          <w:szCs w:val="18"/>
        </w:rPr>
        <w:t xml:space="preserve"> Cuyo texto completo puede ser consultado en el </w:t>
      </w:r>
      <w:r w:rsidRPr="00976C8A">
        <w:rPr>
          <w:rFonts w:ascii="Arial" w:eastAsia="Arial" w:hAnsi="Arial" w:cs="Arial"/>
          <w:color w:val="000000"/>
          <w:sz w:val="18"/>
          <w:szCs w:val="18"/>
        </w:rPr>
        <w:t xml:space="preserve">link https:/Iidm.presidencia.gov.co/Documents/2021-354-Fallo-tutela-primera instancia.pdf </w:t>
      </w:r>
    </w:p>
    <w:p w14:paraId="5E3541F7" w14:textId="77777777" w:rsidR="009E3AC0" w:rsidRPr="00976C8A" w:rsidRDefault="009E3AC0">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69">
    <w:p w14:paraId="3C3092EC" w14:textId="77777777" w:rsidR="009E3AC0" w:rsidRPr="00976C8A" w:rsidRDefault="00622B0F">
      <w:pPr>
        <w:pBdr>
          <w:top w:val="nil"/>
          <w:left w:val="nil"/>
          <w:bottom w:val="nil"/>
          <w:right w:val="nil"/>
          <w:between w:val="nil"/>
        </w:pBdr>
        <w:ind w:firstLine="708"/>
        <w:rPr>
          <w:color w:val="000000"/>
          <w:sz w:val="18"/>
          <w:szCs w:val="18"/>
        </w:rPr>
      </w:pPr>
      <w:r w:rsidRPr="00976C8A">
        <w:rPr>
          <w:sz w:val="18"/>
          <w:szCs w:val="18"/>
          <w:vertAlign w:val="superscript"/>
        </w:rPr>
        <w:footnoteRef/>
      </w:r>
      <w:r w:rsidRPr="00976C8A">
        <w:rPr>
          <w:color w:val="000000"/>
          <w:sz w:val="18"/>
          <w:szCs w:val="18"/>
        </w:rPr>
        <w:t xml:space="preserve"> </w:t>
      </w:r>
      <w:r w:rsidRPr="00976C8A">
        <w:rPr>
          <w:rFonts w:ascii="Arial" w:eastAsia="Arial" w:hAnsi="Arial" w:cs="Arial"/>
          <w:color w:val="000000"/>
          <w:sz w:val="18"/>
          <w:szCs w:val="18"/>
        </w:rPr>
        <w:t>«</w:t>
      </w:r>
      <w:r w:rsidRPr="00976C8A">
        <w:rPr>
          <w:color w:val="000000"/>
          <w:sz w:val="18"/>
          <w:szCs w:val="18"/>
        </w:rPr>
        <w:t>A</w:t>
      </w:r>
      <w:r w:rsidRPr="00976C8A">
        <w:rPr>
          <w:rFonts w:ascii="Arial" w:eastAsia="Arial" w:hAnsi="Arial" w:cs="Arial"/>
          <w:color w:val="000000"/>
          <w:sz w:val="18"/>
          <w:szCs w:val="18"/>
        </w:rPr>
        <w:t>rtículo</w:t>
      </w:r>
      <w:r w:rsidRPr="00976C8A">
        <w:rPr>
          <w:color w:val="000000"/>
          <w:sz w:val="18"/>
          <w:szCs w:val="18"/>
        </w:rPr>
        <w:t xml:space="preserve"> 286. Son entidades territoriales los departamentos, los distritos, los municipios y los territorios indígenas.</w:t>
      </w:r>
    </w:p>
    <w:p w14:paraId="2E813AAE" w14:textId="77777777" w:rsidR="009E3AC0" w:rsidRPr="00976C8A" w:rsidRDefault="00622B0F">
      <w:pPr>
        <w:pBdr>
          <w:top w:val="nil"/>
          <w:left w:val="nil"/>
          <w:bottom w:val="nil"/>
          <w:right w:val="nil"/>
          <w:between w:val="nil"/>
        </w:pBdr>
        <w:rPr>
          <w:color w:val="000000"/>
          <w:sz w:val="18"/>
          <w:szCs w:val="18"/>
        </w:rPr>
      </w:pPr>
      <w:r w:rsidRPr="00976C8A">
        <w:rPr>
          <w:rFonts w:ascii="Arial" w:eastAsia="Arial" w:hAnsi="Arial" w:cs="Arial"/>
          <w:color w:val="000000"/>
          <w:sz w:val="18"/>
          <w:szCs w:val="18"/>
        </w:rPr>
        <w:t>»</w:t>
      </w:r>
      <w:r w:rsidRPr="00976C8A">
        <w:rPr>
          <w:color w:val="000000"/>
          <w:sz w:val="18"/>
          <w:szCs w:val="18"/>
        </w:rPr>
        <w:t>La ley podrá darles el carácter de entidades territoriales a las regiones y provincias que se constituyan en los términos de la Constitución y de la ley</w:t>
      </w:r>
      <w:r w:rsidRPr="00976C8A">
        <w:rPr>
          <w:rFonts w:ascii="Arial" w:eastAsia="Arial" w:hAnsi="Arial" w:cs="Arial"/>
          <w:color w:val="000000"/>
          <w:sz w:val="18"/>
          <w:szCs w:val="18"/>
        </w:rPr>
        <w:t>»</w:t>
      </w:r>
      <w:r w:rsidRPr="00976C8A">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D7F4" w14:textId="77777777" w:rsidR="009E3AC0" w:rsidRDefault="00622B0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022C5EE" wp14:editId="011038E5">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D10779E" w14:textId="77777777" w:rsidR="009E3AC0" w:rsidRDefault="009E3AC0">
    <w:pPr>
      <w:pBdr>
        <w:top w:val="nil"/>
        <w:left w:val="nil"/>
        <w:bottom w:val="nil"/>
        <w:right w:val="nil"/>
        <w:between w:val="nil"/>
      </w:pBdr>
      <w:tabs>
        <w:tab w:val="center" w:pos="4252"/>
        <w:tab w:val="right" w:pos="8504"/>
      </w:tabs>
      <w:spacing w:after="0"/>
      <w:rPr>
        <w:color w:val="000000"/>
      </w:rPr>
    </w:pPr>
  </w:p>
  <w:p w14:paraId="0BC9C949" w14:textId="77777777" w:rsidR="009E3AC0" w:rsidRDefault="009E3AC0">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C0"/>
    <w:rsid w:val="002942DE"/>
    <w:rsid w:val="00326177"/>
    <w:rsid w:val="006061D3"/>
    <w:rsid w:val="00622B0F"/>
    <w:rsid w:val="0065593E"/>
    <w:rsid w:val="009571CC"/>
    <w:rsid w:val="00976C8A"/>
    <w:rsid w:val="009E3AC0"/>
    <w:rsid w:val="00A5537E"/>
    <w:rsid w:val="00EB39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88D0"/>
  <w15:docId w15:val="{E6845EB0-BC12-5C44-B6C7-E6EE3F9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251B9A5-408C-4334-80C7-903E5D89372A}">
  <ds:schemaRefs>
    <ds:schemaRef ds:uri="http://schemas.microsoft.com/sharepoint/v3/contenttype/forms"/>
  </ds:schemaRefs>
</ds:datastoreItem>
</file>

<file path=customXml/itemProps2.xml><?xml version="1.0" encoding="utf-8"?>
<ds:datastoreItem xmlns:ds="http://schemas.openxmlformats.org/officeDocument/2006/customXml" ds:itemID="{4C2883CC-6B83-40D9-AAFF-11EA2072B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0CCC0-352E-49C2-8E09-DBA6F713130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15313</Words>
  <Characters>84227</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Jorge Eliecer Moran Buitrón</cp:lastModifiedBy>
  <cp:revision>3</cp:revision>
  <dcterms:created xsi:type="dcterms:W3CDTF">2022-02-14T20:52:00Z</dcterms:created>
  <dcterms:modified xsi:type="dcterms:W3CDTF">2022-04-21T15:49:00Z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