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FD37D9" w:rsidRDefault="00714833" w:rsidP="00714833">
      <w:pPr>
        <w:tabs>
          <w:tab w:val="left" w:pos="426"/>
        </w:tabs>
        <w:spacing w:after="0" w:line="240" w:lineRule="auto"/>
        <w:rPr>
          <w:rFonts w:ascii="Arial" w:eastAsia="Calibri" w:hAnsi="Arial" w:cs="Arial"/>
          <w:b/>
          <w:bCs/>
          <w:sz w:val="20"/>
          <w:szCs w:val="20"/>
        </w:rPr>
      </w:pPr>
      <w:bookmarkStart w:id="0" w:name="_Hlk77152637"/>
      <w:bookmarkStart w:id="1" w:name="_Hlk77157066"/>
      <w:bookmarkStart w:id="2" w:name="_Hlk78821436"/>
      <w:r w:rsidRPr="00FD37D9">
        <w:rPr>
          <w:rFonts w:ascii="Arial" w:eastAsia="Calibri" w:hAnsi="Arial" w:cs="Arial"/>
          <w:b/>
          <w:bCs/>
          <w:sz w:val="20"/>
          <w:szCs w:val="20"/>
        </w:rPr>
        <w:t>LEY DE GARANTÍAS ELECTORALES ‒</w:t>
      </w:r>
      <w:bookmarkEnd w:id="0"/>
      <w:r w:rsidRPr="00FD37D9">
        <w:rPr>
          <w:rFonts w:ascii="Arial" w:eastAsia="Calibri" w:hAnsi="Arial" w:cs="Arial"/>
          <w:b/>
          <w:bCs/>
          <w:sz w:val="20"/>
          <w:szCs w:val="20"/>
        </w:rPr>
        <w:t xml:space="preserve"> Tipos de restricciones </w:t>
      </w:r>
      <w:bookmarkStart w:id="3" w:name="_Hlk77157034"/>
      <w:r w:rsidRPr="00FD37D9">
        <w:rPr>
          <w:rFonts w:ascii="Arial" w:eastAsia="Calibri" w:hAnsi="Arial" w:cs="Arial"/>
          <w:b/>
          <w:bCs/>
          <w:sz w:val="20"/>
          <w:szCs w:val="20"/>
        </w:rPr>
        <w:t xml:space="preserve">‒ </w:t>
      </w:r>
      <w:bookmarkStart w:id="4" w:name="_Hlk77153098"/>
      <w:bookmarkEnd w:id="3"/>
      <w:r w:rsidRPr="00FD37D9">
        <w:rPr>
          <w:rFonts w:ascii="Arial" w:eastAsia="Calibri" w:hAnsi="Arial" w:cs="Arial"/>
          <w:b/>
          <w:bCs/>
          <w:sz w:val="20"/>
          <w:szCs w:val="20"/>
        </w:rPr>
        <w:t xml:space="preserve">Ámbito temporal </w:t>
      </w:r>
      <w:bookmarkEnd w:id="4"/>
    </w:p>
    <w:p w14:paraId="7413A20D" w14:textId="77777777" w:rsidR="00714833" w:rsidRPr="00FD37D9"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FD37D9" w:rsidRDefault="00714833" w:rsidP="00714833">
      <w:pPr>
        <w:tabs>
          <w:tab w:val="left" w:pos="426"/>
        </w:tabs>
        <w:spacing w:after="0" w:line="240" w:lineRule="auto"/>
        <w:rPr>
          <w:rFonts w:ascii="Arial" w:eastAsia="Calibri" w:hAnsi="Arial" w:cs="Arial"/>
          <w:noProof/>
          <w:sz w:val="20"/>
          <w:szCs w:val="20"/>
          <w:lang w:val="es-ES_tradnl"/>
        </w:rPr>
      </w:pPr>
      <w:r w:rsidRPr="00FD37D9">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FD37D9"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FD37D9" w:rsidRDefault="00714833" w:rsidP="00714833">
      <w:pPr>
        <w:tabs>
          <w:tab w:val="left" w:pos="426"/>
        </w:tabs>
        <w:spacing w:after="0" w:line="240" w:lineRule="auto"/>
        <w:rPr>
          <w:rFonts w:ascii="Arial" w:eastAsia="Calibri" w:hAnsi="Arial" w:cs="Arial"/>
          <w:b/>
          <w:bCs/>
          <w:sz w:val="20"/>
          <w:szCs w:val="20"/>
        </w:rPr>
      </w:pPr>
      <w:bookmarkStart w:id="5" w:name="_Hlk77165666"/>
      <w:r w:rsidRPr="00FD37D9">
        <w:rPr>
          <w:rFonts w:ascii="Arial" w:eastAsia="Calibri" w:hAnsi="Arial" w:cs="Arial"/>
          <w:b/>
          <w:bCs/>
          <w:sz w:val="20"/>
          <w:szCs w:val="20"/>
        </w:rPr>
        <w:t xml:space="preserve">LEY DE GARANTÍAS ELECTORALES ─ Prohibición ‒ </w:t>
      </w:r>
      <w:bookmarkEnd w:id="5"/>
      <w:r w:rsidRPr="00FD37D9">
        <w:rPr>
          <w:rFonts w:ascii="Arial" w:eastAsia="Calibri" w:hAnsi="Arial" w:cs="Arial"/>
          <w:b/>
          <w:bCs/>
          <w:sz w:val="20"/>
          <w:szCs w:val="20"/>
        </w:rPr>
        <w:t>Contratación directa ‒ Alcance</w:t>
      </w:r>
      <w:r w:rsidR="00AC1839">
        <w:rPr>
          <w:rFonts w:ascii="Arial" w:eastAsia="Calibri" w:hAnsi="Arial" w:cs="Arial"/>
          <w:b/>
          <w:bCs/>
          <w:sz w:val="20"/>
          <w:szCs w:val="20"/>
        </w:rPr>
        <w:t xml:space="preserve"> – </w:t>
      </w:r>
      <w:r w:rsidR="00AC1839" w:rsidRPr="00FD37D9">
        <w:rPr>
          <w:rFonts w:ascii="Arial" w:eastAsia="Times New Roman" w:hAnsi="Arial" w:cs="Arial"/>
          <w:b/>
          <w:bCs/>
          <w:sz w:val="20"/>
          <w:szCs w:val="20"/>
          <w:lang w:val="es-CO" w:eastAsia="es-CO"/>
        </w:rPr>
        <w:t>Excepciones</w:t>
      </w:r>
      <w:r w:rsidRPr="00FD37D9">
        <w:rPr>
          <w:rFonts w:ascii="Arial" w:eastAsia="Calibri" w:hAnsi="Arial" w:cs="Arial"/>
          <w:b/>
          <w:bCs/>
          <w:sz w:val="20"/>
          <w:szCs w:val="20"/>
        </w:rPr>
        <w:t xml:space="preserve"> </w:t>
      </w:r>
    </w:p>
    <w:p w14:paraId="17331853" w14:textId="77777777" w:rsidR="00714833" w:rsidRPr="00FD37D9"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AC1839" w:rsidRDefault="00714833" w:rsidP="00AC1839">
      <w:pPr>
        <w:tabs>
          <w:tab w:val="left" w:pos="426"/>
        </w:tabs>
        <w:spacing w:after="0" w:line="240" w:lineRule="auto"/>
        <w:rPr>
          <w:rFonts w:ascii="Arial" w:eastAsia="Times New Roman" w:hAnsi="Arial" w:cs="Arial"/>
          <w:sz w:val="20"/>
          <w:szCs w:val="20"/>
          <w:lang w:eastAsia="es-ES"/>
        </w:rPr>
      </w:pPr>
      <w:r w:rsidRPr="00FD37D9">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FD37D9"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FD37D9" w:rsidRDefault="00714833" w:rsidP="00714833">
      <w:pPr>
        <w:tabs>
          <w:tab w:val="left" w:pos="426"/>
        </w:tabs>
        <w:spacing w:after="0" w:line="240" w:lineRule="auto"/>
        <w:rPr>
          <w:rFonts w:ascii="Arial" w:hAnsi="Arial" w:cs="Arial"/>
          <w:sz w:val="20"/>
          <w:szCs w:val="20"/>
        </w:rPr>
      </w:pPr>
      <w:r w:rsidRPr="00FD37D9">
        <w:rPr>
          <w:rFonts w:ascii="Arial" w:eastAsia="Times New Roman" w:hAnsi="Arial" w:cs="Arial"/>
          <w:sz w:val="20"/>
          <w:szCs w:val="20"/>
          <w:lang w:val="es-CO" w:eastAsia="x-none"/>
        </w:rPr>
        <w:t xml:space="preserve">[…] </w:t>
      </w:r>
      <w:r w:rsidRPr="00FD37D9">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FD37D9"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FD37D9" w:rsidRDefault="00714833" w:rsidP="00714833">
      <w:pPr>
        <w:spacing w:after="0" w:line="240" w:lineRule="auto"/>
        <w:rPr>
          <w:rFonts w:ascii="Arial" w:eastAsia="Times New Roman" w:hAnsi="Arial" w:cs="Arial"/>
          <w:b/>
          <w:sz w:val="20"/>
          <w:szCs w:val="20"/>
          <w:lang w:val="es-ES" w:eastAsia="es-CO"/>
        </w:rPr>
      </w:pPr>
      <w:r w:rsidRPr="00FD37D9">
        <w:rPr>
          <w:rFonts w:ascii="Arial" w:eastAsia="Times New Roman" w:hAnsi="Arial" w:cs="Arial"/>
          <w:b/>
          <w:bCs/>
          <w:sz w:val="20"/>
          <w:szCs w:val="20"/>
          <w:lang w:val="es-CO" w:eastAsia="es-CO"/>
        </w:rPr>
        <w:t xml:space="preserve">LEY DE GARANTÍAS ELECTORALES </w:t>
      </w:r>
      <w:bookmarkStart w:id="6" w:name="_Hlk77166669"/>
      <w:r w:rsidRPr="00FD37D9">
        <w:rPr>
          <w:rFonts w:ascii="Arial" w:eastAsia="Times New Roman" w:hAnsi="Arial" w:cs="Arial"/>
          <w:b/>
          <w:bCs/>
          <w:sz w:val="20"/>
          <w:szCs w:val="20"/>
          <w:lang w:val="es-CO" w:eastAsia="es-CO"/>
        </w:rPr>
        <w:t>‒</w:t>
      </w:r>
      <w:bookmarkEnd w:id="6"/>
      <w:r w:rsidRPr="00FD37D9">
        <w:rPr>
          <w:rFonts w:ascii="Arial" w:eastAsia="Times New Roman" w:hAnsi="Arial" w:cs="Arial"/>
          <w:b/>
          <w:bCs/>
          <w:sz w:val="20"/>
          <w:szCs w:val="20"/>
          <w:lang w:val="es-CO" w:eastAsia="es-CO"/>
        </w:rPr>
        <w:t xml:space="preserve"> </w:t>
      </w:r>
      <w:r w:rsidRPr="00FD37D9">
        <w:rPr>
          <w:rFonts w:ascii="Arial" w:eastAsia="Times New Roman" w:hAnsi="Arial" w:cs="Arial"/>
          <w:b/>
          <w:sz w:val="20"/>
          <w:szCs w:val="20"/>
          <w:lang w:val="es-ES" w:eastAsia="es-CO"/>
        </w:rPr>
        <w:t xml:space="preserve">Prohibición del artículo 33 </w:t>
      </w:r>
      <w:r w:rsidRPr="00FD37D9">
        <w:rPr>
          <w:rFonts w:ascii="Arial" w:eastAsia="Times New Roman" w:hAnsi="Arial" w:cs="Arial"/>
          <w:b/>
          <w:bCs/>
          <w:sz w:val="20"/>
          <w:szCs w:val="20"/>
          <w:lang w:val="es-CO" w:eastAsia="es-CO"/>
        </w:rPr>
        <w:t>‒ Destinatarios</w:t>
      </w:r>
    </w:p>
    <w:p w14:paraId="0DB44496" w14:textId="77777777" w:rsidR="00714833" w:rsidRPr="00FD37D9" w:rsidRDefault="00714833" w:rsidP="00714833">
      <w:pPr>
        <w:tabs>
          <w:tab w:val="left" w:pos="426"/>
        </w:tabs>
        <w:spacing w:after="0" w:line="240" w:lineRule="auto"/>
        <w:rPr>
          <w:rFonts w:ascii="Arial" w:eastAsia="Calibri" w:hAnsi="Arial" w:cs="Arial"/>
          <w:noProof/>
          <w:sz w:val="20"/>
          <w:szCs w:val="20"/>
          <w:lang w:val="es-ES"/>
        </w:rPr>
      </w:pPr>
    </w:p>
    <w:p w14:paraId="57B7D4EE" w14:textId="77777777" w:rsidR="00714833" w:rsidRPr="00FD37D9" w:rsidRDefault="00714833" w:rsidP="00714833">
      <w:pPr>
        <w:tabs>
          <w:tab w:val="left" w:pos="426"/>
        </w:tabs>
        <w:spacing w:after="0" w:line="240" w:lineRule="auto"/>
        <w:rPr>
          <w:rFonts w:ascii="Arial" w:eastAsia="Calibri" w:hAnsi="Arial" w:cs="Arial"/>
          <w:noProof/>
          <w:sz w:val="20"/>
          <w:szCs w:val="20"/>
          <w:lang w:val="es-CO"/>
        </w:rPr>
      </w:pPr>
      <w:r w:rsidRPr="00FD37D9">
        <w:rPr>
          <w:rFonts w:ascii="Arial" w:eastAsia="Calibri" w:hAnsi="Arial"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2708F45" w14:textId="77777777" w:rsidR="00714833" w:rsidRPr="00FD37D9" w:rsidRDefault="00714833" w:rsidP="00714833">
      <w:pPr>
        <w:tabs>
          <w:tab w:val="left" w:pos="426"/>
        </w:tabs>
        <w:spacing w:after="0" w:line="240" w:lineRule="auto"/>
        <w:rPr>
          <w:rFonts w:ascii="Arial" w:eastAsia="Calibri" w:hAnsi="Arial" w:cs="Arial"/>
          <w:noProof/>
          <w:sz w:val="20"/>
          <w:szCs w:val="20"/>
          <w:lang w:val="es-ES"/>
        </w:rPr>
      </w:pPr>
    </w:p>
    <w:p w14:paraId="7335179D" w14:textId="7C1AC003" w:rsidR="00714833" w:rsidRPr="00FD37D9" w:rsidRDefault="00714833" w:rsidP="00714833">
      <w:pPr>
        <w:tabs>
          <w:tab w:val="left" w:pos="426"/>
        </w:tabs>
        <w:spacing w:after="0" w:line="240" w:lineRule="auto"/>
        <w:rPr>
          <w:rFonts w:ascii="Arial" w:eastAsia="Calibri" w:hAnsi="Arial" w:cs="Arial"/>
          <w:b/>
          <w:bCs/>
          <w:sz w:val="20"/>
          <w:szCs w:val="20"/>
        </w:rPr>
      </w:pPr>
      <w:r w:rsidRPr="00FD37D9">
        <w:rPr>
          <w:rFonts w:ascii="Arial" w:eastAsia="Calibri" w:hAnsi="Arial" w:cs="Arial"/>
          <w:b/>
          <w:bCs/>
          <w:sz w:val="20"/>
          <w:szCs w:val="20"/>
        </w:rPr>
        <w:t>LEY DE GARANTÍAS ELECTORALES ‒ Prohibición</w:t>
      </w:r>
      <w:r w:rsidR="009217EE">
        <w:rPr>
          <w:rFonts w:ascii="Arial" w:eastAsia="Calibri" w:hAnsi="Arial" w:cs="Arial"/>
          <w:b/>
          <w:bCs/>
          <w:sz w:val="20"/>
          <w:szCs w:val="20"/>
        </w:rPr>
        <w:t xml:space="preserve"> por</w:t>
      </w:r>
      <w:r w:rsidRPr="00FD37D9">
        <w:rPr>
          <w:rFonts w:ascii="Arial" w:eastAsia="Calibri" w:hAnsi="Arial" w:cs="Arial"/>
          <w:b/>
          <w:bCs/>
          <w:sz w:val="20"/>
          <w:szCs w:val="20"/>
        </w:rPr>
        <w:t xml:space="preserve"> </w:t>
      </w:r>
      <w:r w:rsidR="006916C0">
        <w:rPr>
          <w:rFonts w:ascii="Arial" w:eastAsia="Calibri" w:hAnsi="Arial" w:cs="Arial"/>
          <w:b/>
          <w:bCs/>
          <w:sz w:val="20"/>
          <w:szCs w:val="20"/>
        </w:rPr>
        <w:t>elección de cargos populares</w:t>
      </w:r>
      <w:r w:rsidRPr="00FD37D9">
        <w:rPr>
          <w:rFonts w:ascii="Arial" w:eastAsia="Calibri" w:hAnsi="Arial" w:cs="Arial"/>
          <w:b/>
          <w:bCs/>
          <w:sz w:val="20"/>
          <w:szCs w:val="20"/>
        </w:rPr>
        <w:t xml:space="preserve"> – Convenios y contratos interadministrativos</w:t>
      </w:r>
      <w:r w:rsidR="00CA2B13">
        <w:rPr>
          <w:rFonts w:ascii="Arial" w:eastAsia="Calibri" w:hAnsi="Arial" w:cs="Arial"/>
          <w:b/>
          <w:bCs/>
          <w:sz w:val="20"/>
          <w:szCs w:val="20"/>
        </w:rPr>
        <w:t xml:space="preserve"> </w:t>
      </w:r>
      <w:r w:rsidR="00CA2B13" w:rsidRPr="00FD37D9">
        <w:rPr>
          <w:rFonts w:ascii="Arial" w:eastAsia="Calibri" w:hAnsi="Arial" w:cs="Arial"/>
          <w:b/>
          <w:color w:val="000000" w:themeColor="text1"/>
          <w:sz w:val="20"/>
          <w:szCs w:val="20"/>
        </w:rPr>
        <w:t>– Definición – Criterio orgánico</w:t>
      </w:r>
    </w:p>
    <w:p w14:paraId="56D7E229" w14:textId="77777777" w:rsidR="00714833" w:rsidRPr="00FD37D9" w:rsidRDefault="00714833" w:rsidP="00714833">
      <w:pPr>
        <w:tabs>
          <w:tab w:val="left" w:pos="426"/>
        </w:tabs>
        <w:spacing w:after="0" w:line="240" w:lineRule="auto"/>
        <w:rPr>
          <w:rFonts w:ascii="Arial" w:eastAsia="Calibri" w:hAnsi="Arial" w:cs="Arial"/>
          <w:sz w:val="20"/>
          <w:szCs w:val="20"/>
        </w:rPr>
      </w:pPr>
    </w:p>
    <w:p w14:paraId="330C301D" w14:textId="77777777" w:rsidR="00714833" w:rsidRPr="00FD37D9" w:rsidRDefault="00714833" w:rsidP="00714833">
      <w:pPr>
        <w:tabs>
          <w:tab w:val="left" w:pos="426"/>
        </w:tabs>
        <w:spacing w:after="0" w:line="240" w:lineRule="auto"/>
        <w:rPr>
          <w:rFonts w:ascii="Arial" w:eastAsia="Calibri" w:hAnsi="Arial" w:cs="Arial"/>
          <w:sz w:val="20"/>
          <w:szCs w:val="20"/>
        </w:rPr>
      </w:pPr>
      <w:r w:rsidRPr="00FD37D9">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FD37D9" w:rsidRDefault="00714833" w:rsidP="00714833">
      <w:pPr>
        <w:spacing w:after="0" w:line="240" w:lineRule="auto"/>
        <w:rPr>
          <w:rFonts w:ascii="Arial" w:eastAsia="Calibri" w:hAnsi="Arial" w:cs="Arial"/>
          <w:bCs/>
          <w:color w:val="000000" w:themeColor="text1"/>
          <w:sz w:val="20"/>
          <w:szCs w:val="20"/>
        </w:rPr>
      </w:pPr>
    </w:p>
    <w:p w14:paraId="54B17F2E" w14:textId="77777777" w:rsidR="00714833" w:rsidRPr="00FD37D9" w:rsidRDefault="00714833" w:rsidP="00714833">
      <w:pPr>
        <w:spacing w:after="0" w:line="240" w:lineRule="auto"/>
        <w:rPr>
          <w:rFonts w:ascii="Arial" w:eastAsia="Calibri" w:hAnsi="Arial" w:cs="Arial"/>
          <w:bCs/>
          <w:color w:val="000000" w:themeColor="text1"/>
          <w:sz w:val="20"/>
          <w:szCs w:val="20"/>
        </w:rPr>
      </w:pPr>
      <w:r w:rsidRPr="00FD37D9">
        <w:rPr>
          <w:rFonts w:ascii="Arial" w:eastAsia="Calibri" w:hAnsi="Arial"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FD37D9" w:rsidRDefault="00714833" w:rsidP="00714833">
      <w:pPr>
        <w:spacing w:after="0" w:line="240" w:lineRule="auto"/>
        <w:rPr>
          <w:rFonts w:ascii="Arial" w:eastAsia="Calibri" w:hAnsi="Arial" w:cs="Arial"/>
          <w:b/>
          <w:color w:val="000000" w:themeColor="text1"/>
          <w:sz w:val="20"/>
          <w:szCs w:val="20"/>
          <w:lang w:val="es-ES"/>
        </w:rPr>
      </w:pPr>
    </w:p>
    <w:p w14:paraId="6378C23D" w14:textId="77777777" w:rsidR="00714833" w:rsidRPr="00FD37D9" w:rsidRDefault="00714833" w:rsidP="00714833">
      <w:pPr>
        <w:spacing w:after="0" w:line="240" w:lineRule="auto"/>
        <w:rPr>
          <w:rFonts w:ascii="Arial" w:hAnsi="Arial" w:cs="Arial"/>
          <w:b/>
          <w:color w:val="000000" w:themeColor="text1"/>
          <w:sz w:val="20"/>
          <w:szCs w:val="20"/>
        </w:rPr>
      </w:pPr>
      <w:r w:rsidRPr="00FD37D9">
        <w:rPr>
          <w:rFonts w:ascii="Arial" w:eastAsia="Calibri" w:hAnsi="Arial" w:cs="Arial"/>
          <w:b/>
          <w:color w:val="000000" w:themeColor="text1"/>
          <w:sz w:val="20"/>
          <w:szCs w:val="20"/>
        </w:rPr>
        <w:t xml:space="preserve">CONTRATOS Y </w:t>
      </w:r>
      <w:r w:rsidRPr="00FD37D9">
        <w:rPr>
          <w:rFonts w:ascii="Arial" w:hAnsi="Arial" w:cs="Arial"/>
          <w:b/>
          <w:color w:val="000000" w:themeColor="text1"/>
          <w:sz w:val="20"/>
          <w:szCs w:val="20"/>
        </w:rPr>
        <w:t>CONVENIOS INTERADMINISTRATIVOS – Modalidad de selección</w:t>
      </w:r>
    </w:p>
    <w:p w14:paraId="2AC097FF" w14:textId="77777777" w:rsidR="00714833" w:rsidRPr="00FD37D9" w:rsidRDefault="00714833" w:rsidP="00714833">
      <w:pPr>
        <w:spacing w:after="0" w:line="240" w:lineRule="auto"/>
        <w:rPr>
          <w:rFonts w:ascii="Arial" w:hAnsi="Arial" w:cs="Arial"/>
          <w:b/>
          <w:color w:val="000000" w:themeColor="text1"/>
          <w:sz w:val="20"/>
          <w:szCs w:val="20"/>
        </w:rPr>
      </w:pPr>
    </w:p>
    <w:p w14:paraId="3993D273" w14:textId="77777777" w:rsidR="00714833" w:rsidRPr="00FD37D9" w:rsidRDefault="00714833" w:rsidP="00714833">
      <w:pPr>
        <w:spacing w:after="0" w:line="240" w:lineRule="auto"/>
        <w:rPr>
          <w:rFonts w:ascii="Arial" w:eastAsia="Calibri" w:hAnsi="Arial" w:cs="Arial"/>
          <w:bCs/>
          <w:color w:val="000000" w:themeColor="text1"/>
          <w:sz w:val="20"/>
          <w:szCs w:val="20"/>
        </w:rPr>
      </w:pPr>
      <w:r w:rsidRPr="00FD37D9">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FD37D9" w:rsidRDefault="00714833" w:rsidP="00714833">
      <w:pPr>
        <w:spacing w:after="0" w:line="240" w:lineRule="auto"/>
        <w:rPr>
          <w:rFonts w:ascii="Arial" w:hAnsi="Arial" w:cs="Arial"/>
          <w:sz w:val="20"/>
          <w:szCs w:val="20"/>
        </w:rPr>
      </w:pPr>
    </w:p>
    <w:p w14:paraId="657A2DAA" w14:textId="6EF25353" w:rsidR="00714833" w:rsidRPr="00A05663" w:rsidRDefault="00714833" w:rsidP="00714833">
      <w:pPr>
        <w:spacing w:after="0" w:line="240" w:lineRule="auto"/>
        <w:rPr>
          <w:rFonts w:ascii="Arial" w:eastAsia="Calibri" w:hAnsi="Arial" w:cs="Arial"/>
          <w:b/>
          <w:bCs/>
          <w:sz w:val="20"/>
          <w:szCs w:val="20"/>
        </w:rPr>
      </w:pPr>
      <w:r w:rsidRPr="00A05663">
        <w:rPr>
          <w:rFonts w:ascii="Arial" w:eastAsia="Calibri" w:hAnsi="Arial" w:cs="Arial"/>
          <w:b/>
          <w:bCs/>
          <w:sz w:val="20"/>
          <w:szCs w:val="20"/>
        </w:rPr>
        <w:t xml:space="preserve">LA LEY 2159 DE 2021 – Ley Anual de Presupuesto </w:t>
      </w:r>
      <w:r w:rsidR="00392F63">
        <w:rPr>
          <w:rFonts w:ascii="Arial" w:eastAsia="Calibri" w:hAnsi="Arial" w:cs="Arial"/>
          <w:b/>
          <w:bCs/>
          <w:sz w:val="20"/>
          <w:szCs w:val="20"/>
        </w:rPr>
        <w:t>–</w:t>
      </w:r>
      <w:r w:rsidRPr="00A05663">
        <w:rPr>
          <w:rFonts w:ascii="Arial" w:eastAsia="Calibri" w:hAnsi="Arial" w:cs="Arial"/>
          <w:b/>
          <w:bCs/>
          <w:sz w:val="20"/>
          <w:szCs w:val="20"/>
        </w:rPr>
        <w:t xml:space="preserve"> </w:t>
      </w:r>
      <w:r w:rsidR="00392F63">
        <w:rPr>
          <w:rFonts w:ascii="Arial" w:eastAsia="Calibri" w:hAnsi="Arial" w:cs="Arial"/>
          <w:b/>
          <w:bCs/>
          <w:sz w:val="20"/>
          <w:szCs w:val="20"/>
        </w:rPr>
        <w:t xml:space="preserve">Modificación </w:t>
      </w:r>
      <w:r w:rsidRPr="00A05663">
        <w:rPr>
          <w:rFonts w:ascii="Arial" w:eastAsia="Calibri" w:hAnsi="Arial" w:cs="Arial"/>
          <w:b/>
          <w:bCs/>
          <w:sz w:val="20"/>
          <w:szCs w:val="20"/>
        </w:rPr>
        <w:t xml:space="preserve">artículo 38 Ley de Garantías – </w:t>
      </w:r>
      <w:r w:rsidR="007125A7">
        <w:rPr>
          <w:rFonts w:ascii="Arial" w:eastAsia="Calibri" w:hAnsi="Arial" w:cs="Arial"/>
          <w:b/>
          <w:bCs/>
          <w:sz w:val="20"/>
          <w:szCs w:val="20"/>
        </w:rPr>
        <w:t>T</w:t>
      </w:r>
      <w:r w:rsidRPr="00A05663">
        <w:rPr>
          <w:rFonts w:ascii="Arial" w:eastAsia="Calibri" w:hAnsi="Arial" w:cs="Arial"/>
          <w:b/>
          <w:bCs/>
          <w:sz w:val="20"/>
          <w:szCs w:val="20"/>
        </w:rPr>
        <w:t>ransitoriedad</w:t>
      </w:r>
    </w:p>
    <w:p w14:paraId="1B36AFAC" w14:textId="77777777" w:rsidR="00714833" w:rsidRPr="00A05663" w:rsidRDefault="00714833" w:rsidP="00714833">
      <w:pPr>
        <w:spacing w:after="0" w:line="240" w:lineRule="auto"/>
        <w:rPr>
          <w:rFonts w:ascii="Arial" w:eastAsia="Calibri" w:hAnsi="Arial" w:cs="Arial"/>
          <w:b/>
          <w:bCs/>
          <w:sz w:val="20"/>
          <w:szCs w:val="20"/>
        </w:rPr>
      </w:pPr>
    </w:p>
    <w:p w14:paraId="1BFE15F4" w14:textId="77777777" w:rsidR="00714833" w:rsidRPr="00A05663" w:rsidRDefault="00714833" w:rsidP="00714833">
      <w:pPr>
        <w:shd w:val="clear" w:color="auto" w:fill="FFFFFF"/>
        <w:spacing w:after="0" w:line="240" w:lineRule="auto"/>
        <w:rPr>
          <w:rFonts w:ascii="Arial" w:eastAsia="Times New Roman" w:hAnsi="Arial" w:cs="Arial"/>
          <w:sz w:val="20"/>
          <w:szCs w:val="20"/>
          <w:lang w:val="es-CO" w:eastAsia="es-CO"/>
        </w:rPr>
      </w:pPr>
      <w:r w:rsidRPr="00A05663">
        <w:rPr>
          <w:rFonts w:ascii="Arial" w:eastAsia="Times New Roman" w:hAnsi="Arial"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A05663">
        <w:rPr>
          <w:rFonts w:ascii="Arial" w:hAnsi="Arial" w:cs="Arial"/>
          <w:sz w:val="20"/>
          <w:szCs w:val="20"/>
        </w:rPr>
        <w:t xml:space="preserve"> </w:t>
      </w:r>
      <w:r w:rsidRPr="00A05663">
        <w:rPr>
          <w:rFonts w:ascii="Arial" w:eastAsia="Times New Roman" w:hAnsi="Arial" w:cs="Arial"/>
          <w:sz w:val="20"/>
          <w:szCs w:val="20"/>
          <w:lang w:val="es-CO" w:eastAsia="es-CO"/>
        </w:rPr>
        <w:t xml:space="preserve">teniendo en cuenta que la norma es de carácter temporal y que en realidad no varía o cambia de forma permanente una norma general prevista en la Ley 996 de 2005, sino </w:t>
      </w:r>
      <w:r w:rsidRPr="00A05663">
        <w:rPr>
          <w:rFonts w:ascii="Arial" w:eastAsia="Times New Roman" w:hAnsi="Arial" w:cs="Arial"/>
          <w:sz w:val="20"/>
          <w:szCs w:val="20"/>
          <w:lang w:val="es-CO" w:eastAsia="es-CO"/>
        </w:rPr>
        <w:lastRenderedPageBreak/>
        <w:t>que prevé su inaplicación desde que comience a regir la Ley de Presupuesto y durante la vigencia fiscal 2022.</w:t>
      </w:r>
    </w:p>
    <w:p w14:paraId="1ECB44D0" w14:textId="77777777" w:rsidR="00714833" w:rsidRPr="00A05663" w:rsidRDefault="00714833" w:rsidP="00714833">
      <w:pPr>
        <w:spacing w:after="0" w:line="240" w:lineRule="auto"/>
        <w:rPr>
          <w:rFonts w:ascii="Arial" w:hAnsi="Arial" w:cs="Arial"/>
          <w:sz w:val="20"/>
          <w:szCs w:val="20"/>
        </w:rPr>
      </w:pPr>
    </w:p>
    <w:p w14:paraId="771BB1AE" w14:textId="77777777" w:rsidR="00714833" w:rsidRPr="00A05663" w:rsidRDefault="00714833" w:rsidP="00714833">
      <w:pPr>
        <w:shd w:val="clear" w:color="auto" w:fill="FFFFFF"/>
        <w:spacing w:after="0" w:line="240" w:lineRule="auto"/>
        <w:rPr>
          <w:rFonts w:ascii="Arial" w:eastAsia="Times New Roman" w:hAnsi="Arial" w:cs="Arial"/>
          <w:bCs/>
          <w:sz w:val="20"/>
          <w:szCs w:val="20"/>
          <w:lang w:eastAsia="es-CO"/>
        </w:rPr>
      </w:pPr>
      <w:r w:rsidRPr="00A05663">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C7C6368" w14:textId="77777777" w:rsidR="00714833" w:rsidRPr="00A05663" w:rsidRDefault="00714833" w:rsidP="00714833">
      <w:pPr>
        <w:shd w:val="clear" w:color="auto" w:fill="FFFFFF"/>
        <w:spacing w:after="0" w:line="240" w:lineRule="auto"/>
        <w:rPr>
          <w:rFonts w:ascii="Arial" w:eastAsia="Times New Roman" w:hAnsi="Arial" w:cs="Arial"/>
          <w:bCs/>
          <w:sz w:val="20"/>
          <w:szCs w:val="20"/>
          <w:lang w:eastAsia="es-CO"/>
        </w:rPr>
      </w:pPr>
    </w:p>
    <w:p w14:paraId="4AFE8F15" w14:textId="26DC301A" w:rsidR="00714833" w:rsidRPr="00A05663" w:rsidRDefault="00714833" w:rsidP="00714833">
      <w:pPr>
        <w:spacing w:after="0" w:line="240" w:lineRule="auto"/>
        <w:rPr>
          <w:rFonts w:ascii="Arial" w:hAnsi="Arial" w:cs="Arial"/>
          <w:sz w:val="20"/>
          <w:szCs w:val="20"/>
        </w:rPr>
      </w:pPr>
      <w:r w:rsidRPr="00A05663">
        <w:rPr>
          <w:rFonts w:ascii="Arial" w:eastAsia="Calibri" w:hAnsi="Arial" w:cs="Arial"/>
          <w:b/>
          <w:bCs/>
          <w:sz w:val="20"/>
          <w:szCs w:val="20"/>
        </w:rPr>
        <w:t xml:space="preserve">LEY 2159 DE 2021 – Ley Anual de Presupuesto </w:t>
      </w:r>
      <w:r w:rsidR="004C7677">
        <w:rPr>
          <w:rFonts w:ascii="Arial" w:eastAsia="Calibri" w:hAnsi="Arial" w:cs="Arial"/>
          <w:b/>
          <w:bCs/>
          <w:sz w:val="20"/>
          <w:szCs w:val="20"/>
        </w:rPr>
        <w:t>–</w:t>
      </w:r>
      <w:r w:rsidRPr="00A05663">
        <w:rPr>
          <w:rFonts w:ascii="Arial" w:eastAsia="Calibri" w:hAnsi="Arial" w:cs="Arial"/>
          <w:b/>
          <w:bCs/>
          <w:sz w:val="20"/>
          <w:szCs w:val="20"/>
        </w:rPr>
        <w:t xml:space="preserve"> </w:t>
      </w:r>
      <w:r w:rsidR="004C7677">
        <w:rPr>
          <w:rFonts w:ascii="Arial" w:eastAsia="Calibri" w:hAnsi="Arial" w:cs="Arial"/>
          <w:b/>
          <w:bCs/>
          <w:sz w:val="20"/>
          <w:szCs w:val="20"/>
        </w:rPr>
        <w:t>Modificación</w:t>
      </w:r>
      <w:r w:rsidRPr="00A05663">
        <w:rPr>
          <w:rFonts w:ascii="Arial" w:eastAsia="Calibri" w:hAnsi="Arial" w:cs="Arial"/>
          <w:b/>
          <w:bCs/>
          <w:sz w:val="20"/>
          <w:szCs w:val="20"/>
        </w:rPr>
        <w:t xml:space="preserve"> artículo 38 Ley de Garantías – Nación – </w:t>
      </w:r>
      <w:r w:rsidR="004C7677">
        <w:rPr>
          <w:rFonts w:ascii="Arial" w:eastAsia="Calibri" w:hAnsi="Arial" w:cs="Arial"/>
          <w:b/>
          <w:bCs/>
          <w:sz w:val="20"/>
          <w:szCs w:val="20"/>
        </w:rPr>
        <w:t>E</w:t>
      </w:r>
      <w:r w:rsidRPr="00A05663">
        <w:rPr>
          <w:rFonts w:ascii="Arial" w:eastAsia="Calibri" w:hAnsi="Arial" w:cs="Arial"/>
          <w:b/>
          <w:bCs/>
          <w:sz w:val="20"/>
          <w:szCs w:val="20"/>
        </w:rPr>
        <w:t>ntidades descentralizadas</w:t>
      </w:r>
    </w:p>
    <w:p w14:paraId="50225D97" w14:textId="77777777" w:rsidR="00AC1839" w:rsidRDefault="00AC1839" w:rsidP="00714833">
      <w:pPr>
        <w:spacing w:after="0" w:line="240" w:lineRule="auto"/>
        <w:rPr>
          <w:rFonts w:ascii="Arial" w:eastAsia="Times New Roman" w:hAnsi="Arial" w:cs="Arial"/>
          <w:bCs/>
          <w:sz w:val="20"/>
          <w:szCs w:val="20"/>
          <w:lang w:eastAsia="es-CO"/>
        </w:rPr>
      </w:pPr>
    </w:p>
    <w:p w14:paraId="22C3EDAD" w14:textId="5C1DB918" w:rsidR="00714833" w:rsidRDefault="00714833" w:rsidP="00714833">
      <w:pPr>
        <w:spacing w:after="0" w:line="240" w:lineRule="auto"/>
        <w:rPr>
          <w:rFonts w:ascii="Arial" w:eastAsia="Times New Roman" w:hAnsi="Arial" w:cs="Arial"/>
          <w:bCs/>
          <w:sz w:val="20"/>
          <w:szCs w:val="20"/>
          <w:lang w:eastAsia="es-CO"/>
        </w:rPr>
      </w:pPr>
      <w:r w:rsidRPr="00A05663">
        <w:rPr>
          <w:rFonts w:ascii="Arial" w:eastAsia="Times New Roman" w:hAnsi="Arial" w:cs="Arial"/>
          <w:bCs/>
          <w:sz w:val="20"/>
          <w:szCs w:val="20"/>
          <w:lang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7B52B7F7" w14:textId="2F686E4D" w:rsidR="00B751B4" w:rsidRDefault="00B751B4" w:rsidP="00714833">
      <w:pPr>
        <w:spacing w:after="0" w:line="240" w:lineRule="auto"/>
        <w:rPr>
          <w:rFonts w:ascii="Arial" w:eastAsia="Times New Roman" w:hAnsi="Arial" w:cs="Arial"/>
          <w:bCs/>
          <w:sz w:val="20"/>
          <w:szCs w:val="20"/>
          <w:lang w:eastAsia="es-CO"/>
        </w:rPr>
      </w:pPr>
    </w:p>
    <w:p w14:paraId="545C4548" w14:textId="7048D01D" w:rsidR="00B751B4" w:rsidRPr="00B751B4" w:rsidRDefault="00B751B4" w:rsidP="00714833">
      <w:pPr>
        <w:spacing w:after="0" w:line="240" w:lineRule="auto"/>
        <w:rPr>
          <w:rFonts w:ascii="Arial" w:eastAsia="Calibri" w:hAnsi="Arial" w:cs="Arial"/>
          <w:b/>
          <w:bCs/>
          <w:sz w:val="20"/>
          <w:szCs w:val="20"/>
        </w:rPr>
      </w:pPr>
      <w:r>
        <w:rPr>
          <w:rFonts w:ascii="Arial" w:eastAsia="Calibri" w:hAnsi="Arial" w:cs="Arial"/>
          <w:b/>
          <w:bCs/>
          <w:sz w:val="20"/>
          <w:szCs w:val="20"/>
        </w:rPr>
        <w:t>C</w:t>
      </w:r>
      <w:r w:rsidRPr="00B751B4">
        <w:rPr>
          <w:rFonts w:ascii="Arial" w:eastAsia="Calibri" w:hAnsi="Arial" w:cs="Arial"/>
          <w:b/>
          <w:bCs/>
          <w:sz w:val="20"/>
          <w:szCs w:val="20"/>
        </w:rPr>
        <w:t xml:space="preserve">ONVENIOS </w:t>
      </w:r>
      <w:r>
        <w:rPr>
          <w:rFonts w:ascii="Arial" w:eastAsia="Calibri" w:hAnsi="Arial" w:cs="Arial"/>
          <w:b/>
          <w:bCs/>
          <w:sz w:val="20"/>
          <w:szCs w:val="20"/>
        </w:rPr>
        <w:t>DE</w:t>
      </w:r>
      <w:r w:rsidRPr="00B751B4">
        <w:rPr>
          <w:rFonts w:ascii="Arial" w:eastAsia="Calibri" w:hAnsi="Arial" w:cs="Arial"/>
          <w:b/>
          <w:bCs/>
          <w:sz w:val="20"/>
          <w:szCs w:val="20"/>
        </w:rPr>
        <w:t xml:space="preserve"> ENTIDADES TERRITORIALES </w:t>
      </w:r>
      <w:r>
        <w:rPr>
          <w:rFonts w:ascii="Arial" w:eastAsia="Calibri" w:hAnsi="Arial" w:cs="Arial"/>
          <w:b/>
          <w:bCs/>
          <w:sz w:val="20"/>
          <w:szCs w:val="20"/>
        </w:rPr>
        <w:t>E</w:t>
      </w:r>
      <w:r w:rsidRPr="00B751B4">
        <w:rPr>
          <w:rFonts w:ascii="Arial" w:eastAsia="Calibri" w:hAnsi="Arial" w:cs="Arial"/>
          <w:b/>
          <w:bCs/>
          <w:sz w:val="20"/>
          <w:szCs w:val="20"/>
        </w:rPr>
        <w:t xml:space="preserve"> INSTITUCIONES CULTURALES PRIVADAS SIN ÁNIMO DE LUCRO </w:t>
      </w:r>
      <w:r>
        <w:rPr>
          <w:rFonts w:ascii="Arial" w:eastAsia="Calibri" w:hAnsi="Arial" w:cs="Arial"/>
          <w:b/>
          <w:bCs/>
          <w:sz w:val="20"/>
          <w:szCs w:val="20"/>
        </w:rPr>
        <w:t xml:space="preserve">– Artículo </w:t>
      </w:r>
      <w:r w:rsidRPr="00B751B4">
        <w:rPr>
          <w:rFonts w:ascii="Arial" w:eastAsia="Calibri" w:hAnsi="Arial" w:cs="Arial"/>
          <w:b/>
          <w:bCs/>
          <w:sz w:val="20"/>
          <w:szCs w:val="20"/>
        </w:rPr>
        <w:t>26 de la Ley 397 de 1997</w:t>
      </w:r>
      <w:r>
        <w:rPr>
          <w:rFonts w:ascii="Arial" w:eastAsia="Calibri" w:hAnsi="Arial" w:cs="Arial"/>
          <w:b/>
          <w:bCs/>
          <w:sz w:val="20"/>
          <w:szCs w:val="20"/>
        </w:rPr>
        <w:t xml:space="preserve"> - </w:t>
      </w:r>
    </w:p>
    <w:p w14:paraId="3294A672" w14:textId="0BC22C2C" w:rsidR="00B751B4" w:rsidRDefault="00B751B4" w:rsidP="00714833">
      <w:pPr>
        <w:spacing w:after="0" w:line="240" w:lineRule="auto"/>
        <w:rPr>
          <w:rFonts w:ascii="Arial" w:eastAsia="Times New Roman" w:hAnsi="Arial" w:cs="Arial"/>
          <w:bCs/>
          <w:sz w:val="20"/>
          <w:szCs w:val="20"/>
          <w:lang w:eastAsia="es-CO"/>
        </w:rPr>
      </w:pPr>
    </w:p>
    <w:p w14:paraId="332555C6" w14:textId="2A8942C5" w:rsidR="00B751B4" w:rsidRDefault="00B848E3" w:rsidP="00714833">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L</w:t>
      </w:r>
      <w:r w:rsidRPr="00B848E3">
        <w:rPr>
          <w:rFonts w:ascii="Arial" w:eastAsia="Times New Roman" w:hAnsi="Arial" w:cs="Arial"/>
          <w:bCs/>
          <w:sz w:val="20"/>
          <w:szCs w:val="20"/>
          <w:lang w:eastAsia="es-CO"/>
        </w:rPr>
        <w:t>os convenios entre las entidades territoriales y las instituciones culturales privadas sin ánimo de lucro tienen fundamento en el artículo 26 de la Ley 397 de 1997, «Por la cual se desarrollan los artículos 70, 71 y 72 y demás artículos concordantes de la Constitución Política y se dictan normas sobre patrimonio cultural, fomentos y estímulos a la cultura, se crea el Ministerio de la Cultura y se trasladan algunas dependencias». De conformidad con esta disposición, «El Ministerio de Cultura orientará y apoyará a las gobernaciones, las alcaldías municipales y distritales y a los cabildos indígenas en la realización de convenios con instituciones culturales sin ánimo de lucro que fomenten el arte y la cultura, con el objeto de rescatar, defender y promover el talento nacional, democratizar el acceso de las personas a los bienes, servicios y manifestaciones de la cultura y el arte con énfasis en el público infantil y juvenil, tercera edad y discapacitados físicos, psíquicos y sensoriales; así como consolidará las instituciones culturales y contribuirá a profundizar su relación interactuante con la comunidad».</w:t>
      </w:r>
    </w:p>
    <w:p w14:paraId="6ED3544F" w14:textId="551F9B35" w:rsidR="00B848E3" w:rsidRDefault="00B848E3" w:rsidP="00714833">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w:t>
      </w:r>
    </w:p>
    <w:p w14:paraId="4E9FAC96" w14:textId="77777777" w:rsidR="00B848E3" w:rsidRPr="00B848E3" w:rsidRDefault="00B848E3" w:rsidP="00B848E3">
      <w:pPr>
        <w:spacing w:after="0" w:line="240" w:lineRule="auto"/>
        <w:rPr>
          <w:rFonts w:ascii="Arial" w:eastAsia="Times New Roman" w:hAnsi="Arial" w:cs="Arial"/>
          <w:bCs/>
          <w:sz w:val="20"/>
          <w:szCs w:val="20"/>
          <w:lang w:eastAsia="es-CO"/>
        </w:rPr>
      </w:pPr>
      <w:r w:rsidRPr="00B848E3">
        <w:rPr>
          <w:rFonts w:ascii="Arial" w:eastAsia="Times New Roman" w:hAnsi="Arial" w:cs="Arial"/>
          <w:bCs/>
          <w:sz w:val="20"/>
          <w:szCs w:val="20"/>
          <w:lang w:eastAsia="es-CO"/>
        </w:rPr>
        <w:t xml:space="preserve">ni el artículo 26 de la Ley 397 de 1997 ni el numeral 5.4.3 del artículo 5 del Decreto 1589 de 1998 disponen si estos convenios corresponden a la modalidad de contratación directa o se califican como contratos interadministrativos para efectos de la aplicación de la Ley de </w:t>
      </w:r>
      <w:r w:rsidRPr="00B848E3">
        <w:rPr>
          <w:rFonts w:ascii="Arial" w:eastAsia="Times New Roman" w:hAnsi="Arial" w:cs="Arial"/>
          <w:bCs/>
          <w:sz w:val="20"/>
          <w:szCs w:val="20"/>
          <w:lang w:eastAsia="es-CO"/>
        </w:rPr>
        <w:lastRenderedPageBreak/>
        <w:t xml:space="preserve">Garantías. Por el contrario, solo disponen que estos se celebran con entidades culturales privadas sin ánimo de lucro. En este contexto, el procedimiento de selección y la tipología contractual de los convenios objeto de consulta corresponde a la del Decreto 92 de 2017. </w:t>
      </w:r>
    </w:p>
    <w:p w14:paraId="54AB671D" w14:textId="268031FB" w:rsidR="00B848E3" w:rsidRPr="00B848E3" w:rsidRDefault="00B848E3" w:rsidP="00B848E3">
      <w:pPr>
        <w:spacing w:after="0" w:line="240" w:lineRule="auto"/>
        <w:rPr>
          <w:rFonts w:ascii="Arial" w:eastAsia="Times New Roman" w:hAnsi="Arial" w:cs="Arial"/>
          <w:bCs/>
          <w:sz w:val="20"/>
          <w:szCs w:val="20"/>
          <w:lang w:eastAsia="es-CO"/>
        </w:rPr>
      </w:pPr>
      <w:r w:rsidRPr="00B848E3">
        <w:rPr>
          <w:rFonts w:ascii="Arial" w:eastAsia="Times New Roman" w:hAnsi="Arial" w:cs="Arial"/>
          <w:bCs/>
          <w:sz w:val="20"/>
          <w:szCs w:val="20"/>
          <w:lang w:eastAsia="es-CO"/>
        </w:rPr>
        <w:t>De esta manera, la prohibición de contratación directa del artículo 33 de la Ley de Garantías aplica únicamente a los procedimientos no competitivos.</w:t>
      </w:r>
    </w:p>
    <w:p w14:paraId="1F0A34E4" w14:textId="43AD4909" w:rsidR="00B848E3" w:rsidRPr="00B848E3" w:rsidRDefault="00B848E3" w:rsidP="00B848E3">
      <w:pPr>
        <w:spacing w:after="0" w:line="240" w:lineRule="auto"/>
        <w:rPr>
          <w:rFonts w:ascii="Arial" w:eastAsia="Times New Roman" w:hAnsi="Arial" w:cs="Arial"/>
          <w:bCs/>
          <w:sz w:val="20"/>
          <w:szCs w:val="20"/>
          <w:lang w:eastAsia="es-CO"/>
        </w:rPr>
      </w:pPr>
      <w:r w:rsidRPr="00B848E3">
        <w:rPr>
          <w:rFonts w:ascii="Arial" w:eastAsia="Times New Roman" w:hAnsi="Arial" w:cs="Arial"/>
          <w:bCs/>
          <w:sz w:val="20"/>
          <w:szCs w:val="20"/>
          <w:lang w:eastAsia="es-CO"/>
        </w:rPr>
        <w:t>[…]</w:t>
      </w:r>
    </w:p>
    <w:p w14:paraId="1576A80F" w14:textId="77777777" w:rsidR="00B848E3" w:rsidRPr="00B848E3" w:rsidRDefault="00B848E3" w:rsidP="00B848E3">
      <w:pPr>
        <w:spacing w:after="0" w:line="240" w:lineRule="auto"/>
        <w:rPr>
          <w:rFonts w:ascii="Arial" w:eastAsia="Times New Roman" w:hAnsi="Arial" w:cs="Arial"/>
          <w:bCs/>
          <w:sz w:val="20"/>
          <w:szCs w:val="20"/>
          <w:lang w:eastAsia="es-CO"/>
        </w:rPr>
      </w:pPr>
      <w:r w:rsidRPr="00B848E3">
        <w:rPr>
          <w:rFonts w:ascii="Arial" w:eastAsia="Times New Roman" w:hAnsi="Arial" w:cs="Arial"/>
          <w:bCs/>
          <w:sz w:val="20"/>
          <w:szCs w:val="20"/>
          <w:lang w:eastAsia="es-CO"/>
        </w:rPr>
        <w:t>los convenios del artículo 26 de la Ley 397 de 1997 y el artículo 5.4.3 del Decreto 1589 de 1998 entre las entidades territoriales y las entidades culturales privadas sin ánimo de lucro no están dentro de la restricción del artículo 38 de la Ley de Garantías, modificado transitoriamente por el artículo 124 de la Ley de Presupuesto, ya que –de acuerdo con la calidad de las partes– no corresponden a la tipología de contratos o convenios interadministrativos.</w:t>
      </w:r>
    </w:p>
    <w:p w14:paraId="69D7C392" w14:textId="77777777" w:rsidR="00B848E3" w:rsidRPr="00A05663" w:rsidRDefault="00B848E3" w:rsidP="00B848E3">
      <w:pPr>
        <w:spacing w:after="0" w:line="240" w:lineRule="auto"/>
        <w:rPr>
          <w:rFonts w:ascii="Arial" w:eastAsia="Times New Roman" w:hAnsi="Arial" w:cs="Arial"/>
          <w:bCs/>
          <w:sz w:val="20"/>
          <w:szCs w:val="20"/>
          <w:lang w:eastAsia="es-CO"/>
        </w:rPr>
      </w:pPr>
    </w:p>
    <w:p w14:paraId="14152CFE" w14:textId="52E61E7A" w:rsidR="00A31AAB" w:rsidRDefault="00A31AAB" w:rsidP="00E7700C">
      <w:pPr>
        <w:spacing w:after="120"/>
        <w:contextualSpacing/>
        <w:rPr>
          <w:rFonts w:ascii="Arial" w:eastAsia="Calibri" w:hAnsi="Arial" w:cs="Arial"/>
          <w:b/>
          <w:bCs/>
          <w:sz w:val="22"/>
        </w:rPr>
      </w:pPr>
    </w:p>
    <w:p w14:paraId="5207C4F0" w14:textId="3A26337F" w:rsidR="00C8577F" w:rsidRPr="0061564E" w:rsidRDefault="00CC4A96" w:rsidP="000E190F">
      <w:pPr>
        <w:rPr>
          <w:rFonts w:ascii="Arial" w:eastAsia="Calibri" w:hAnsi="Arial" w:cs="Arial"/>
          <w:b/>
          <w:bCs/>
          <w:sz w:val="22"/>
        </w:rPr>
      </w:pPr>
      <w:r>
        <w:rPr>
          <w:rFonts w:ascii="Arial" w:eastAsia="Calibri" w:hAnsi="Arial" w:cs="Arial"/>
          <w:b/>
          <w:bCs/>
          <w:sz w:val="22"/>
        </w:rPr>
        <w:br w:type="page"/>
      </w:r>
    </w:p>
    <w:p w14:paraId="0A4D72BF" w14:textId="77777777" w:rsidR="00AA55DC" w:rsidRDefault="00AA55DC" w:rsidP="00E7700C">
      <w:pPr>
        <w:spacing w:after="0"/>
        <w:jc w:val="right"/>
        <w:rPr>
          <w:rFonts w:ascii="Arial" w:eastAsia="Times New Roman" w:hAnsi="Arial" w:cs="Arial"/>
          <w:b/>
          <w:bCs/>
          <w:sz w:val="16"/>
          <w:szCs w:val="16"/>
          <w:lang w:val="es-CO" w:eastAsia="es-ES"/>
        </w:rPr>
      </w:pPr>
      <w:bookmarkStart w:id="7" w:name="_Hlk29890381"/>
      <w:bookmarkEnd w:id="7"/>
    </w:p>
    <w:p w14:paraId="6F8B827A" w14:textId="77777777" w:rsidR="00AA55DC" w:rsidRDefault="00AA55DC" w:rsidP="00E7700C">
      <w:pPr>
        <w:spacing w:after="0"/>
        <w:jc w:val="right"/>
        <w:rPr>
          <w:rFonts w:ascii="Arial" w:eastAsia="Times New Roman" w:hAnsi="Arial" w:cs="Arial"/>
          <w:b/>
          <w:bCs/>
          <w:sz w:val="16"/>
          <w:szCs w:val="16"/>
          <w:lang w:val="es-CO" w:eastAsia="es-ES"/>
        </w:rPr>
      </w:pPr>
    </w:p>
    <w:p w14:paraId="2AB14C03" w14:textId="77777777" w:rsidR="00AA55DC" w:rsidRDefault="00AA55DC" w:rsidP="00E7700C">
      <w:pPr>
        <w:spacing w:after="0"/>
        <w:jc w:val="right"/>
        <w:rPr>
          <w:rFonts w:ascii="Arial" w:eastAsia="Times New Roman" w:hAnsi="Arial" w:cs="Arial"/>
          <w:b/>
          <w:bCs/>
          <w:sz w:val="16"/>
          <w:szCs w:val="16"/>
          <w:lang w:val="es-CO" w:eastAsia="es-ES"/>
        </w:rPr>
      </w:pPr>
    </w:p>
    <w:p w14:paraId="347BD081" w14:textId="6EBDE58E" w:rsidR="00AA55DC" w:rsidRPr="00AA55DC" w:rsidRDefault="00152CA8" w:rsidP="00AA55DC">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t>CCE-DES-FM-17</w:t>
      </w:r>
    </w:p>
    <w:p w14:paraId="0B1988BD" w14:textId="38A0BA21" w:rsidR="00AA55DC" w:rsidRPr="00703694" w:rsidRDefault="00703694" w:rsidP="000641BE">
      <w:pPr>
        <w:spacing w:after="0" w:line="240" w:lineRule="auto"/>
        <w:rPr>
          <w:rFonts w:ascii="_’”±ò" w:hAnsi="_’”±ò" w:cs="_’”±ò"/>
          <w:color w:val="4E4D4D"/>
          <w:sz w:val="22"/>
          <w:lang w:val="es-ES_tradnl"/>
        </w:rPr>
      </w:pP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Pr>
          <w:rFonts w:ascii="_’”±ò" w:hAnsi="_’”±ò" w:cs="_’”±ò"/>
          <w:color w:val="4E4D4D"/>
          <w:sz w:val="22"/>
          <w:lang w:val="es-ES_tradnl"/>
        </w:rPr>
        <w:tab/>
      </w:r>
      <w:r w:rsidRPr="00703694">
        <w:rPr>
          <w:rFonts w:ascii="_’”±ò" w:hAnsi="_’”±ò" w:cs="_’”±ò"/>
          <w:color w:val="4E4D4D"/>
          <w:sz w:val="22"/>
          <w:lang w:val="es-ES_tradnl"/>
        </w:rPr>
        <w:drawing>
          <wp:inline distT="0" distB="0" distL="0" distR="0" wp14:anchorId="1555821C" wp14:editId="0C6D1F0D">
            <wp:extent cx="1930400" cy="5080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930400" cy="508000"/>
                    </a:xfrm>
                    <a:prstGeom prst="rect">
                      <a:avLst/>
                    </a:prstGeom>
                  </pic:spPr>
                </pic:pic>
              </a:graphicData>
            </a:graphic>
          </wp:inline>
        </w:drawing>
      </w:r>
      <w:r w:rsidR="00AA55DC">
        <w:rPr>
          <w:rFonts w:ascii="_’”±ò" w:hAnsi="_’”±ò" w:cs="_’”±ò"/>
          <w:color w:val="4E4D4D"/>
          <w:sz w:val="22"/>
          <w:lang w:val="es-ES_tradnl"/>
        </w:rPr>
        <w:t>Bogo</w:t>
      </w:r>
      <w:r w:rsidR="00AA55DC">
        <w:rPr>
          <w:rFonts w:ascii="_’”±ò" w:hAnsi="_’”±ò" w:cs="_’”±ò"/>
          <w:color w:val="4E4D4D"/>
          <w:sz w:val="22"/>
          <w:lang w:val="es-ES_tradnl"/>
        </w:rPr>
        <w:t>tá</w:t>
      </w:r>
      <w:r w:rsidR="00AA55DC">
        <w:rPr>
          <w:rFonts w:ascii="_’”±ò" w:hAnsi="_’”±ò" w:cs="_’”±ò"/>
          <w:color w:val="4E4D4D"/>
          <w:sz w:val="22"/>
          <w:lang w:val="es-ES_tradnl"/>
        </w:rPr>
        <w:t xml:space="preserve">, 01 </w:t>
      </w:r>
      <w:proofErr w:type="gramStart"/>
      <w:r w:rsidR="00AA55DC">
        <w:rPr>
          <w:rFonts w:ascii="_’”±ò" w:hAnsi="_’”±ò" w:cs="_’”±ò"/>
          <w:color w:val="4E4D4D"/>
          <w:sz w:val="22"/>
          <w:lang w:val="es-ES_tradnl"/>
        </w:rPr>
        <w:t>Febrero</w:t>
      </w:r>
      <w:proofErr w:type="gramEnd"/>
      <w:r w:rsidR="00AA55DC">
        <w:rPr>
          <w:rFonts w:ascii="_’”±ò" w:hAnsi="_’”±ò" w:cs="_’”±ò"/>
          <w:color w:val="4E4D4D"/>
          <w:sz w:val="22"/>
          <w:lang w:val="es-ES_tradnl"/>
        </w:rPr>
        <w:t xml:space="preserve"> 2022</w:t>
      </w:r>
      <w:r>
        <w:rPr>
          <w:rFonts w:ascii="_’”±ò" w:hAnsi="_’”±ò" w:cs="_’”±ò"/>
          <w:color w:val="4E4D4D"/>
          <w:sz w:val="22"/>
          <w:lang w:val="es-ES_tradnl"/>
        </w:rPr>
        <w:t xml:space="preserve">.                                                </w:t>
      </w:r>
    </w:p>
    <w:p w14:paraId="1AD7C94A" w14:textId="77777777" w:rsidR="00AA55DC" w:rsidRDefault="00AA55DC" w:rsidP="000641BE">
      <w:pPr>
        <w:spacing w:after="0" w:line="240" w:lineRule="auto"/>
        <w:rPr>
          <w:rFonts w:ascii="Arial" w:eastAsia="Calibri" w:hAnsi="Arial" w:cs="Arial"/>
          <w:sz w:val="22"/>
          <w:lang w:val="es-CO"/>
        </w:rPr>
      </w:pPr>
    </w:p>
    <w:p w14:paraId="0C04D954" w14:textId="061C69F5" w:rsidR="00E206ED" w:rsidRPr="00446B03" w:rsidRDefault="001640BC" w:rsidP="000641BE">
      <w:pPr>
        <w:spacing w:after="0" w:line="240" w:lineRule="auto"/>
        <w:rPr>
          <w:rFonts w:ascii="Arial" w:eastAsia="Calibri" w:hAnsi="Arial" w:cs="Arial"/>
          <w:sz w:val="22"/>
          <w:lang w:val="es-CO"/>
        </w:rPr>
      </w:pPr>
      <w:r>
        <w:rPr>
          <w:rFonts w:ascii="Arial" w:eastAsia="Calibri" w:hAnsi="Arial" w:cs="Arial"/>
          <w:sz w:val="22"/>
          <w:lang w:val="es-CO"/>
        </w:rPr>
        <w:t xml:space="preserve">Doctor </w:t>
      </w:r>
    </w:p>
    <w:p w14:paraId="69FEA94F" w14:textId="0CF446F5" w:rsidR="0098054E" w:rsidRPr="00446B03" w:rsidRDefault="001640BC" w:rsidP="000641BE">
      <w:pPr>
        <w:spacing w:after="0" w:line="240" w:lineRule="auto"/>
        <w:rPr>
          <w:rFonts w:ascii="Arial" w:eastAsia="Calibri" w:hAnsi="Arial" w:cs="Arial"/>
          <w:b/>
          <w:sz w:val="22"/>
          <w:lang w:val="es-CO"/>
        </w:rPr>
      </w:pPr>
      <w:r>
        <w:rPr>
          <w:rFonts w:ascii="Arial" w:eastAsia="Calibri" w:hAnsi="Arial" w:cs="Arial"/>
          <w:b/>
          <w:sz w:val="22"/>
          <w:lang w:val="es-CO"/>
        </w:rPr>
        <w:t>Juan Manuel Rodríguez Brito</w:t>
      </w:r>
    </w:p>
    <w:p w14:paraId="72352372" w14:textId="1182F236" w:rsidR="00303D47" w:rsidRDefault="001640BC">
      <w:pPr>
        <w:spacing w:after="0" w:line="240" w:lineRule="auto"/>
        <w:rPr>
          <w:rFonts w:ascii="Arial" w:eastAsia="Calibri" w:hAnsi="Arial" w:cs="Arial"/>
          <w:sz w:val="22"/>
          <w:lang w:val="es-CO"/>
        </w:rPr>
      </w:pPr>
      <w:r>
        <w:rPr>
          <w:rFonts w:ascii="Arial" w:eastAsia="Calibri" w:hAnsi="Arial" w:cs="Arial"/>
          <w:sz w:val="22"/>
          <w:lang w:val="es-CO"/>
        </w:rPr>
        <w:t xml:space="preserve">Secretario de Cultura del Departamento del Quindío </w:t>
      </w:r>
    </w:p>
    <w:p w14:paraId="6AC2AE5F" w14:textId="77777777" w:rsidR="00975490" w:rsidRPr="00446B03" w:rsidRDefault="00975490" w:rsidP="00975490">
      <w:pPr>
        <w:spacing w:after="0" w:line="240" w:lineRule="auto"/>
        <w:rPr>
          <w:rFonts w:ascii="Arial" w:eastAsia="Calibri" w:hAnsi="Arial" w:cs="Arial"/>
          <w:sz w:val="22"/>
          <w:lang w:val="es-CO"/>
        </w:rPr>
      </w:pPr>
    </w:p>
    <w:p w14:paraId="20C73A65" w14:textId="77777777" w:rsidR="002B72C0" w:rsidRPr="00446B03" w:rsidRDefault="002B72C0" w:rsidP="000641BE">
      <w:pPr>
        <w:spacing w:after="0" w:line="240" w:lineRule="auto"/>
        <w:rPr>
          <w:rFonts w:ascii="Arial" w:eastAsia="Calibri" w:hAnsi="Arial" w:cs="Arial"/>
          <w:sz w:val="22"/>
          <w:lang w:val="es-CO"/>
        </w:rPr>
      </w:pPr>
    </w:p>
    <w:p w14:paraId="6316E3D6" w14:textId="4054224E"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7303E0">
        <w:rPr>
          <w:rFonts w:ascii="Arial" w:eastAsia="Calibri" w:hAnsi="Arial" w:cs="Arial"/>
          <w:b/>
          <w:sz w:val="22"/>
          <w:lang w:val="es-CO"/>
        </w:rPr>
        <w:t>7</w:t>
      </w:r>
      <w:r w:rsidR="001640BC">
        <w:rPr>
          <w:rFonts w:ascii="Arial" w:eastAsia="Calibri" w:hAnsi="Arial" w:cs="Arial"/>
          <w:b/>
          <w:sz w:val="22"/>
          <w:lang w:val="es-CO"/>
        </w:rPr>
        <w:t>4</w:t>
      </w:r>
      <w:r w:rsidR="007303E0">
        <w:rPr>
          <w:rFonts w:ascii="Arial" w:eastAsia="Calibri" w:hAnsi="Arial" w:cs="Arial"/>
          <w:b/>
          <w:sz w:val="22"/>
          <w:lang w:val="es-CO"/>
        </w:rPr>
        <w:t>3</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1640BC">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A77440D" w14:textId="62881D4D" w:rsidR="00AC1839" w:rsidRPr="00AC1839" w:rsidRDefault="00AC1839" w:rsidP="003630B0">
            <w:pPr>
              <w:spacing w:after="120"/>
              <w:ind w:right="703"/>
              <w:jc w:val="both"/>
              <w:rPr>
                <w:rFonts w:ascii="Arial" w:eastAsia="Calibri" w:hAnsi="Arial" w:cs="Arial"/>
                <w:bCs/>
                <w:sz w:val="22"/>
              </w:rPr>
            </w:pPr>
            <w:r w:rsidRPr="00AC1839">
              <w:rPr>
                <w:rFonts w:ascii="Arial" w:eastAsia="Calibri" w:hAnsi="Arial" w:cs="Arial"/>
                <w:bCs/>
                <w:sz w:val="22"/>
              </w:rPr>
              <w:t>LEY DE GARANTÍAS ELECTORALES ‒ Tipos de restricciones ‒ Ámbito temporal</w:t>
            </w:r>
            <w:r>
              <w:rPr>
                <w:rFonts w:ascii="Arial" w:eastAsia="Calibri" w:hAnsi="Arial" w:cs="Arial"/>
                <w:bCs/>
                <w:sz w:val="22"/>
              </w:rPr>
              <w:t xml:space="preserve"> / </w:t>
            </w:r>
            <w:r w:rsidRPr="00AC1839">
              <w:rPr>
                <w:rFonts w:ascii="Arial" w:eastAsia="Calibri" w:hAnsi="Arial" w:cs="Arial"/>
                <w:bCs/>
                <w:sz w:val="22"/>
              </w:rPr>
              <w:t>LEY DE GARANTÍAS ELECTORALES ─ Prohibición ‒ Contratación directa ‒ Alcance – Excepciones</w:t>
            </w:r>
            <w:r>
              <w:rPr>
                <w:rFonts w:ascii="Arial" w:eastAsia="Calibri" w:hAnsi="Arial" w:cs="Arial"/>
                <w:bCs/>
                <w:sz w:val="22"/>
              </w:rPr>
              <w:t xml:space="preserve"> /</w:t>
            </w:r>
            <w:r w:rsidRPr="00AC1839">
              <w:rPr>
                <w:rFonts w:ascii="Arial" w:eastAsia="Calibri" w:hAnsi="Arial" w:cs="Arial"/>
                <w:bCs/>
                <w:sz w:val="22"/>
              </w:rPr>
              <w:t xml:space="preserve"> LEY DE GARANTÍAS ELECTORALES ‒ Prohibición del artículo 33 ‒ Destinatarios</w:t>
            </w:r>
            <w:r>
              <w:rPr>
                <w:rFonts w:ascii="Arial" w:eastAsia="Calibri" w:hAnsi="Arial" w:cs="Arial"/>
                <w:bCs/>
                <w:sz w:val="22"/>
              </w:rPr>
              <w:t xml:space="preserve"> / </w:t>
            </w:r>
            <w:r w:rsidR="00CA2B13" w:rsidRPr="00CA2B13">
              <w:rPr>
                <w:rFonts w:ascii="Arial" w:eastAsia="Calibri" w:hAnsi="Arial" w:cs="Arial"/>
                <w:bCs/>
                <w:sz w:val="22"/>
              </w:rPr>
              <w:t>LEY DE GARANTÍAS ELECTORALES ‒ Prohibición comicios cargos de elección popular – Convenios y contratos interadministrativos – Definición – Criterio orgánico</w:t>
            </w:r>
            <w:r w:rsidR="00CA2B13">
              <w:rPr>
                <w:rFonts w:ascii="Arial" w:eastAsia="Calibri" w:hAnsi="Arial" w:cs="Arial"/>
                <w:bCs/>
                <w:sz w:val="22"/>
              </w:rPr>
              <w:t xml:space="preserve"> / </w:t>
            </w:r>
            <w:r w:rsidR="00CA2B13" w:rsidRPr="00CA2B13">
              <w:rPr>
                <w:rFonts w:ascii="Arial" w:eastAsia="Calibri" w:hAnsi="Arial" w:cs="Arial"/>
                <w:bCs/>
                <w:sz w:val="22"/>
              </w:rPr>
              <w:t>CONTRATOS Y CONVENIOS INTERADMINISTRATIVOS – Modalidad de selección</w:t>
            </w:r>
            <w:r w:rsidR="00CA2B13">
              <w:rPr>
                <w:rFonts w:ascii="Arial" w:eastAsia="Calibri" w:hAnsi="Arial" w:cs="Arial"/>
                <w:bCs/>
                <w:sz w:val="22"/>
              </w:rPr>
              <w:t xml:space="preserve"> / </w:t>
            </w:r>
            <w:r w:rsidR="00CA2B13" w:rsidRPr="00CA2B13">
              <w:rPr>
                <w:rFonts w:ascii="Arial" w:eastAsia="Calibri" w:hAnsi="Arial" w:cs="Arial"/>
                <w:bCs/>
                <w:sz w:val="22"/>
              </w:rPr>
              <w:t>MODIFICACIÓN DE LA LEY 2159 DE 2021 – Ley Anual de Presupuesto - parágrafo del artículo 38 de la Ley de Garantías – transitoriedad</w:t>
            </w:r>
            <w:r w:rsidR="00CA2B13">
              <w:rPr>
                <w:rFonts w:ascii="Arial" w:eastAsia="Calibri" w:hAnsi="Arial" w:cs="Arial"/>
                <w:bCs/>
                <w:sz w:val="22"/>
              </w:rPr>
              <w:t xml:space="preserve"> </w:t>
            </w:r>
            <w:r w:rsidR="007372C3">
              <w:rPr>
                <w:rFonts w:ascii="Arial" w:eastAsia="Calibri" w:hAnsi="Arial" w:cs="Arial"/>
                <w:bCs/>
                <w:sz w:val="22"/>
              </w:rPr>
              <w:t xml:space="preserve">/ </w:t>
            </w:r>
            <w:r w:rsidR="007372C3" w:rsidRPr="007372C3">
              <w:rPr>
                <w:rFonts w:ascii="Arial" w:eastAsia="Calibri" w:hAnsi="Arial" w:cs="Arial"/>
                <w:bCs/>
                <w:sz w:val="22"/>
              </w:rPr>
              <w:t>MODIFICACIÓN DE LA LEY 2159 DE 2021 – Ley Anual de Presupuesto - parágrafo del artículo 38 de la Ley de Garantías – Nación – entidades descentralizadas</w:t>
            </w:r>
            <w:r w:rsidR="00B848E3">
              <w:rPr>
                <w:rFonts w:ascii="Arial" w:eastAsia="Calibri" w:hAnsi="Arial" w:cs="Arial"/>
                <w:bCs/>
                <w:sz w:val="22"/>
              </w:rPr>
              <w:t xml:space="preserve"> / </w:t>
            </w:r>
            <w:r w:rsidR="00B848E3" w:rsidRPr="00B848E3">
              <w:rPr>
                <w:rFonts w:ascii="Arial" w:eastAsia="Calibri" w:hAnsi="Arial" w:cs="Arial"/>
                <w:bCs/>
                <w:sz w:val="22"/>
              </w:rPr>
              <w:t>CONVENIOS DE ENTIDADES TERRITORIALES E INSTITUCIONES CULTURALES PRIVADAS SIN ÁNIMO DE LUCRO – Artículo 26 de la Ley 397 de 1997 -</w:t>
            </w:r>
          </w:p>
          <w:p w14:paraId="641BBBD5" w14:textId="7C7AA2BA" w:rsidR="00714833" w:rsidRPr="00AC1839" w:rsidRDefault="00714833" w:rsidP="000641BE">
            <w:pPr>
              <w:spacing w:after="120"/>
              <w:rPr>
                <w:rFonts w:ascii="Arial" w:eastAsia="Calibri" w:hAnsi="Arial" w:cs="Arial"/>
                <w:bCs/>
                <w:sz w:val="22"/>
              </w:rPr>
            </w:pP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69F04793"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282175" w:rsidRPr="005118B2">
              <w:rPr>
                <w:rFonts w:ascii="Arial" w:eastAsia="Calibri" w:hAnsi="Arial" w:cs="Arial"/>
                <w:sz w:val="22"/>
                <w:lang w:val="es-CO"/>
              </w:rPr>
              <w:t>P20211222011672</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3842E23F"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975490">
        <w:rPr>
          <w:rFonts w:ascii="Arial" w:eastAsia="Calibri" w:hAnsi="Arial" w:cs="Arial"/>
          <w:sz w:val="22"/>
          <w:lang w:val="es-CO"/>
        </w:rPr>
        <w:t>o</w:t>
      </w:r>
      <w:r w:rsidR="009D7290" w:rsidRPr="00446B03">
        <w:rPr>
          <w:rFonts w:ascii="Arial" w:eastAsia="Calibri" w:hAnsi="Arial" w:cs="Arial"/>
          <w:sz w:val="22"/>
          <w:lang w:val="es-CO"/>
        </w:rPr>
        <w:t xml:space="preserve"> </w:t>
      </w:r>
      <w:r w:rsidR="001640BC">
        <w:rPr>
          <w:rFonts w:ascii="Arial" w:eastAsia="Calibri" w:hAnsi="Arial" w:cs="Arial"/>
          <w:sz w:val="22"/>
          <w:lang w:val="es-CO"/>
        </w:rPr>
        <w:t>doctor Rodríguez</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65F04036"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w:t>
      </w:r>
      <w:r w:rsidRPr="00446B03">
        <w:rPr>
          <w:rFonts w:ascii="Arial" w:eastAsia="Calibri" w:hAnsi="Arial" w:cs="Arial"/>
          <w:sz w:val="22"/>
          <w:lang w:val="es-CO"/>
        </w:rPr>
        <w:lastRenderedPageBreak/>
        <w:t>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1640BC">
        <w:rPr>
          <w:rFonts w:ascii="Arial" w:eastAsia="Calibri" w:hAnsi="Arial" w:cs="Arial"/>
          <w:sz w:val="22"/>
          <w:lang w:val="es-CO"/>
        </w:rPr>
        <w:t>2</w:t>
      </w:r>
      <w:r w:rsidR="004F6CC2">
        <w:rPr>
          <w:rFonts w:ascii="Arial" w:eastAsia="Calibri" w:hAnsi="Arial" w:cs="Arial"/>
          <w:sz w:val="22"/>
          <w:lang w:val="es-CO"/>
        </w:rPr>
        <w:t>1</w:t>
      </w:r>
      <w:r w:rsidR="00975490">
        <w:rPr>
          <w:rFonts w:ascii="Arial" w:eastAsia="Calibri" w:hAnsi="Arial" w:cs="Arial"/>
          <w:sz w:val="22"/>
          <w:lang w:val="es-CO"/>
        </w:rPr>
        <w:t xml:space="preserve"> de </w:t>
      </w:r>
      <w:r w:rsidR="001640BC">
        <w:rPr>
          <w:rFonts w:ascii="Arial" w:eastAsia="Calibri" w:hAnsi="Arial" w:cs="Arial"/>
          <w:sz w:val="22"/>
          <w:lang w:val="es-CO"/>
        </w:rPr>
        <w:t>diciembre</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570BD6" w:rsidRPr="00446B03">
        <w:rPr>
          <w:rFonts w:ascii="Arial" w:eastAsia="Calibri" w:hAnsi="Arial" w:cs="Arial"/>
          <w:sz w:val="22"/>
          <w:lang w:val="es-CO"/>
        </w:rPr>
        <w:t>1</w:t>
      </w:r>
      <w:r w:rsidRPr="00446B03">
        <w:rPr>
          <w:rFonts w:ascii="Arial" w:eastAsia="Calibri" w:hAnsi="Arial" w:cs="Arial"/>
          <w:sz w:val="22"/>
          <w:lang w:val="es-CO"/>
        </w:rPr>
        <w:t xml:space="preserve">. </w:t>
      </w:r>
    </w:p>
    <w:p w14:paraId="6512D341" w14:textId="77777777" w:rsidR="00303D47" w:rsidRPr="00446B03" w:rsidRDefault="00303D47" w:rsidP="00E7700C">
      <w:pPr>
        <w:spacing w:after="0"/>
        <w:rPr>
          <w:rFonts w:ascii="Arial" w:eastAsia="Calibri" w:hAnsi="Arial" w:cs="Arial"/>
          <w:sz w:val="22"/>
          <w:lang w:val="es-CO"/>
        </w:rPr>
      </w:pPr>
    </w:p>
    <w:p w14:paraId="3B0D1063" w14:textId="4937E09D"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Problema</w:t>
      </w:r>
      <w:r w:rsidR="004652E5">
        <w:rPr>
          <w:rFonts w:ascii="Arial" w:eastAsia="Calibri" w:hAnsi="Arial" w:cs="Arial"/>
          <w:b/>
          <w:sz w:val="22"/>
          <w:lang w:val="es-CO"/>
        </w:rPr>
        <w:t>s</w:t>
      </w:r>
      <w:r w:rsidR="00990612" w:rsidRPr="00446B03">
        <w:rPr>
          <w:rFonts w:ascii="Arial" w:eastAsia="Calibri" w:hAnsi="Arial" w:cs="Arial"/>
          <w:b/>
          <w:sz w:val="22"/>
          <w:lang w:val="es-CO"/>
        </w:rPr>
        <w:t xml:space="preserve"> planteado</w:t>
      </w:r>
      <w:r w:rsidR="004652E5">
        <w:rPr>
          <w:rFonts w:ascii="Arial" w:eastAsia="Calibri" w:hAnsi="Arial" w:cs="Arial"/>
          <w:b/>
          <w:sz w:val="22"/>
          <w:lang w:val="es-CO"/>
        </w:rPr>
        <w:t>s</w:t>
      </w:r>
      <w:r w:rsidR="00990612" w:rsidRPr="00446B03">
        <w:rPr>
          <w:rFonts w:ascii="Arial" w:eastAsia="Calibri" w:hAnsi="Arial" w:cs="Arial"/>
          <w:b/>
          <w:sz w:val="22"/>
          <w:lang w:val="es-CO"/>
        </w:rPr>
        <w:t xml:space="preserve">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5B6FA983" w:rsidR="00714833" w:rsidRPr="001C5292" w:rsidRDefault="004652E5" w:rsidP="001F4316">
      <w:pPr>
        <w:pStyle w:val="NormalWeb"/>
        <w:spacing w:before="0" w:beforeAutospacing="0" w:after="0" w:afterAutospacing="0"/>
      </w:pPr>
      <w:bookmarkStart w:id="8" w:name="_Hlk58917991"/>
      <w:bookmarkStart w:id="9" w:name="_Hlk56103000"/>
      <w:r>
        <w:rPr>
          <w:rFonts w:ascii="Arial" w:hAnsi="Arial" w:cs="Arial"/>
          <w:sz w:val="22"/>
        </w:rPr>
        <w:t xml:space="preserve">Respecto al artículo 26 de la Ley 397 de 1997 y el numeral </w:t>
      </w:r>
      <w:r w:rsidRPr="004652E5">
        <w:rPr>
          <w:rFonts w:ascii="Arial" w:hAnsi="Arial" w:cs="Arial"/>
          <w:sz w:val="22"/>
        </w:rPr>
        <w:t>5.4.3</w:t>
      </w:r>
      <w:r>
        <w:rPr>
          <w:rFonts w:ascii="Arial" w:hAnsi="Arial" w:cs="Arial"/>
          <w:sz w:val="22"/>
        </w:rPr>
        <w:t xml:space="preserve"> del artículo 5 del Decreto 1589 de 1998,</w:t>
      </w:r>
      <w:r w:rsidR="00D84F1E">
        <w:rPr>
          <w:rFonts w:ascii="Arial" w:hAnsi="Arial" w:cs="Arial"/>
          <w:sz w:val="22"/>
        </w:rPr>
        <w:t xml:space="preserve"> sobre los convenios entre las entidades territoriales y las </w:t>
      </w:r>
      <w:r w:rsidR="00D84F1E" w:rsidRPr="00D84F1E">
        <w:rPr>
          <w:rFonts w:ascii="Arial" w:hAnsi="Arial" w:cs="Arial"/>
          <w:sz w:val="22"/>
        </w:rPr>
        <w:t>entidades culturales privadas sin ánimo de lucro</w:t>
      </w:r>
      <w:r w:rsidR="00D84F1E">
        <w:rPr>
          <w:rFonts w:ascii="Arial" w:hAnsi="Arial" w:cs="Arial"/>
          <w:sz w:val="22"/>
        </w:rPr>
        <w:t xml:space="preserve">, </w:t>
      </w:r>
      <w:r>
        <w:rPr>
          <w:rFonts w:ascii="Arial" w:hAnsi="Arial" w:cs="Arial"/>
          <w:sz w:val="22"/>
        </w:rPr>
        <w:t>u</w:t>
      </w:r>
      <w:r w:rsidR="00F6156F" w:rsidRPr="00E23478">
        <w:rPr>
          <w:rFonts w:ascii="Arial" w:hAnsi="Arial" w:cs="Arial"/>
          <w:sz w:val="22"/>
        </w:rPr>
        <w:t xml:space="preserve">sted </w:t>
      </w:r>
      <w:r w:rsidR="00633633">
        <w:rPr>
          <w:rFonts w:ascii="Arial" w:hAnsi="Arial" w:cs="Arial"/>
          <w:sz w:val="22"/>
          <w:szCs w:val="22"/>
          <w:shd w:val="clear" w:color="auto" w:fill="FFFFFF"/>
        </w:rPr>
        <w:t>realiza</w:t>
      </w:r>
      <w:r w:rsidR="00633633" w:rsidRPr="00E23478">
        <w:rPr>
          <w:rFonts w:ascii="Arial" w:hAnsi="Arial" w:cs="Arial"/>
          <w:sz w:val="22"/>
          <w:szCs w:val="22"/>
          <w:shd w:val="clear" w:color="auto" w:fill="FFFFFF"/>
        </w:rPr>
        <w:t xml:space="preserve"> </w:t>
      </w:r>
      <w:r w:rsidR="00F6156F">
        <w:rPr>
          <w:rFonts w:ascii="Arial" w:hAnsi="Arial" w:cs="Arial"/>
          <w:sz w:val="22"/>
          <w:szCs w:val="22"/>
          <w:shd w:val="clear" w:color="auto" w:fill="FFFFFF"/>
        </w:rPr>
        <w:t>l</w:t>
      </w:r>
      <w:r w:rsidR="00310422">
        <w:rPr>
          <w:rFonts w:ascii="Arial" w:hAnsi="Arial" w:cs="Arial"/>
          <w:sz w:val="22"/>
          <w:szCs w:val="22"/>
          <w:shd w:val="clear" w:color="auto" w:fill="FFFFFF"/>
        </w:rPr>
        <w:t>a</w:t>
      </w:r>
      <w:r>
        <w:rPr>
          <w:rFonts w:ascii="Arial" w:hAnsi="Arial" w:cs="Arial"/>
          <w:sz w:val="22"/>
          <w:szCs w:val="22"/>
          <w:shd w:val="clear" w:color="auto" w:fill="FFFFFF"/>
        </w:rPr>
        <w:t>s</w:t>
      </w:r>
      <w:r w:rsidR="00F6156F">
        <w:rPr>
          <w:rFonts w:ascii="Arial" w:hAnsi="Arial" w:cs="Arial"/>
          <w:sz w:val="22"/>
          <w:szCs w:val="22"/>
          <w:shd w:val="clear" w:color="auto" w:fill="FFFFFF"/>
        </w:rPr>
        <w:t xml:space="preserve"> siguiente</w:t>
      </w:r>
      <w:r>
        <w:rPr>
          <w:rFonts w:ascii="Arial" w:hAnsi="Arial" w:cs="Arial"/>
          <w:sz w:val="22"/>
          <w:szCs w:val="22"/>
          <w:shd w:val="clear" w:color="auto" w:fill="FFFFFF"/>
        </w:rPr>
        <w:t>s</w:t>
      </w:r>
      <w:r w:rsidR="00F6156F" w:rsidRPr="00E23478">
        <w:rPr>
          <w:rFonts w:ascii="Arial" w:hAnsi="Arial" w:cs="Arial"/>
          <w:sz w:val="22"/>
          <w:szCs w:val="22"/>
          <w:shd w:val="clear" w:color="auto" w:fill="FFFFFF"/>
        </w:rPr>
        <w:t xml:space="preserve"> </w:t>
      </w:r>
      <w:r w:rsidR="00310422">
        <w:rPr>
          <w:rFonts w:ascii="Arial" w:hAnsi="Arial" w:cs="Arial"/>
          <w:sz w:val="22"/>
          <w:szCs w:val="22"/>
          <w:shd w:val="clear" w:color="auto" w:fill="FFFFFF"/>
        </w:rPr>
        <w:t>pregunta</w:t>
      </w:r>
      <w:r>
        <w:rPr>
          <w:rFonts w:ascii="Arial" w:hAnsi="Arial" w:cs="Arial"/>
          <w:sz w:val="22"/>
          <w:szCs w:val="22"/>
          <w:shd w:val="clear" w:color="auto" w:fill="FFFFFF"/>
        </w:rPr>
        <w:t>s</w:t>
      </w:r>
      <w:r w:rsidR="00F6156F" w:rsidRPr="00E23478">
        <w:rPr>
          <w:rFonts w:ascii="Arial" w:hAnsi="Arial" w:cs="Arial"/>
          <w:sz w:val="22"/>
          <w:szCs w:val="22"/>
          <w:shd w:val="clear" w:color="auto" w:fill="FFFFFF"/>
        </w:rPr>
        <w:t>:</w:t>
      </w:r>
      <w:r w:rsidR="00E11FC1">
        <w:rPr>
          <w:rFonts w:ascii="Arial" w:hAnsi="Arial" w:cs="Arial"/>
          <w:sz w:val="22"/>
          <w:szCs w:val="22"/>
          <w:shd w:val="clear" w:color="auto" w:fill="FFFFFF"/>
        </w:rPr>
        <w:t xml:space="preserve"> </w:t>
      </w:r>
      <w:r>
        <w:rPr>
          <w:rFonts w:ascii="Arial" w:hAnsi="Arial" w:cs="Arial"/>
          <w:sz w:val="22"/>
          <w:szCs w:val="22"/>
          <w:shd w:val="clear" w:color="auto" w:fill="FFFFFF"/>
        </w:rPr>
        <w:t>i) «</w:t>
      </w:r>
      <w:r w:rsidR="00617066" w:rsidRPr="00617066">
        <w:rPr>
          <w:rFonts w:ascii="Arial" w:hAnsi="Arial" w:cs="Arial"/>
          <w:sz w:val="22"/>
          <w:szCs w:val="22"/>
          <w:shd w:val="clear" w:color="auto" w:fill="FFFFFF"/>
          <w:lang w:val="es-MX"/>
        </w:rPr>
        <w:t>Se indique si los procedimientos de selección anteriormente descritos (convocatoria pública) y de acuerdo a las normas especiales que fueron señaladas, se constituyen dentro de alguna causal de selección dentro del Estatuto General de Contratación Pública, especialmente una causal de contratación directa, o si constituyen conforme a lo indicado un régimen especial de contratación</w:t>
      </w:r>
      <w:r w:rsidR="00617066">
        <w:rPr>
          <w:rFonts w:ascii="Arial" w:hAnsi="Arial" w:cs="Arial"/>
          <w:sz w:val="22"/>
          <w:szCs w:val="22"/>
          <w:shd w:val="clear" w:color="auto" w:fill="FFFFFF"/>
          <w:lang w:val="es-MX"/>
        </w:rPr>
        <w:t>», ii) «</w:t>
      </w:r>
      <w:r w:rsidR="00617066" w:rsidRPr="00617066">
        <w:rPr>
          <w:rFonts w:ascii="Arial" w:hAnsi="Arial" w:cs="Arial"/>
          <w:sz w:val="22"/>
          <w:szCs w:val="22"/>
          <w:shd w:val="clear" w:color="auto" w:fill="FFFFFF"/>
          <w:lang w:val="es-MX"/>
        </w:rPr>
        <w:t>Teniendo en cuenta que desde el pasado 12 de diciembre de 2021 conforme a lo establecido en el parágrafo del artículo 38 de la Ley 996 de 2005 las entidades del estado no pueden suscribir convenios interadministrativos, se requiere indicar si de acuerdo al procedimiento descrito dicha restricción aplica para la celebración de convenios de asociación y/o interadministrativos derivados de convocatoria pública</w:t>
      </w:r>
      <w:r w:rsidR="00617066">
        <w:rPr>
          <w:rFonts w:ascii="Arial" w:hAnsi="Arial" w:cs="Arial"/>
          <w:sz w:val="22"/>
          <w:szCs w:val="22"/>
          <w:shd w:val="clear" w:color="auto" w:fill="FFFFFF"/>
          <w:lang w:val="es-MX"/>
        </w:rPr>
        <w:t>» y iii) «</w:t>
      </w:r>
      <w:r w:rsidR="00617066" w:rsidRPr="00617066">
        <w:rPr>
          <w:rFonts w:ascii="Arial" w:hAnsi="Arial" w:cs="Arial"/>
          <w:sz w:val="22"/>
          <w:szCs w:val="22"/>
          <w:shd w:val="clear" w:color="auto" w:fill="FFFFFF"/>
          <w:lang w:val="es-MX"/>
        </w:rPr>
        <w:t>Teniendo en cuenta que conforme con el artículo 33 de la Ley 996 de 2005 a partir del 23 de enero de 2022, la entidad estatal les queda prohibido la celebración de contratos a través de cualquier modalidad de contratación directa,</w:t>
      </w:r>
      <w:r w:rsidR="00617066">
        <w:rPr>
          <w:rFonts w:ascii="Arial" w:hAnsi="Arial" w:cs="Arial"/>
          <w:sz w:val="22"/>
          <w:szCs w:val="22"/>
          <w:shd w:val="clear" w:color="auto" w:fill="FFFFFF"/>
          <w:lang w:val="es-MX"/>
        </w:rPr>
        <w:t xml:space="preserve"> </w:t>
      </w:r>
      <w:r w:rsidR="00617066" w:rsidRPr="00617066">
        <w:rPr>
          <w:rFonts w:ascii="Arial" w:hAnsi="Arial" w:cs="Arial"/>
          <w:sz w:val="22"/>
          <w:szCs w:val="22"/>
          <w:shd w:val="clear" w:color="auto" w:fill="FFFFFF"/>
          <w:lang w:val="es-MX"/>
        </w:rPr>
        <w:t>se pregunta si los convenios indicados bajo los procesos de selección señalados (convocatoria pública) se encuentran contenidos dentro de dicha restricción</w:t>
      </w:r>
      <w:r w:rsidR="00617066">
        <w:rPr>
          <w:rFonts w:ascii="Arial" w:hAnsi="Arial" w:cs="Arial"/>
          <w:sz w:val="22"/>
          <w:szCs w:val="22"/>
          <w:shd w:val="clear" w:color="auto" w:fill="FFFFFF"/>
          <w:lang w:val="es-MX"/>
        </w:rPr>
        <w:t>».</w:t>
      </w:r>
    </w:p>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8"/>
    <w:bookmarkEnd w:id="9"/>
    <w:p w14:paraId="509ED1DE" w14:textId="5430079E" w:rsidR="005027F0"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2. </w:t>
      </w:r>
      <w:r w:rsidR="00990612" w:rsidRPr="00446B03">
        <w:rPr>
          <w:rFonts w:ascii="Arial" w:eastAsia="Calibri" w:hAnsi="Arial" w:cs="Arial"/>
          <w:b/>
          <w:sz w:val="22"/>
          <w:lang w:val="es-CO"/>
        </w:rPr>
        <w:t>Consideraciones</w:t>
      </w:r>
    </w:p>
    <w:p w14:paraId="33526695"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50688079" w14:textId="77777777" w:rsidR="001C5292" w:rsidRDefault="00563DEE" w:rsidP="00E7700C">
      <w:pPr>
        <w:spacing w:after="120"/>
        <w:rPr>
          <w:rFonts w:ascii="Arial" w:hAnsi="Arial" w:cs="Arial"/>
          <w:bCs/>
          <w:sz w:val="22"/>
        </w:rPr>
      </w:pPr>
      <w:r>
        <w:rPr>
          <w:rFonts w:ascii="Arial" w:eastAsia="Times New Roman" w:hAnsi="Arial" w:cs="Arial"/>
          <w:sz w:val="22"/>
          <w:lang w:val="es-CO" w:eastAsia="es-ES_tradnl"/>
        </w:rPr>
        <w:t>Se advierte</w:t>
      </w:r>
      <w:r w:rsidR="0020536A">
        <w:rPr>
          <w:rFonts w:ascii="Arial" w:eastAsia="Times New Roman" w:hAnsi="Arial" w:cs="Arial"/>
          <w:sz w:val="22"/>
          <w:lang w:val="es-CO" w:eastAsia="es-ES_tradnl"/>
        </w:rPr>
        <w:t xml:space="preserve"> que al momento de expedirse </w:t>
      </w:r>
      <w:r>
        <w:rPr>
          <w:rFonts w:ascii="Arial" w:eastAsia="Times New Roman" w:hAnsi="Arial" w:cs="Arial"/>
          <w:sz w:val="22"/>
          <w:lang w:val="es-CO" w:eastAsia="es-ES_tradnl"/>
        </w:rPr>
        <w:t>este</w:t>
      </w:r>
      <w:r w:rsidR="0020536A">
        <w:rPr>
          <w:rFonts w:ascii="Arial" w:eastAsia="Times New Roman" w:hAnsi="Arial" w:cs="Arial"/>
          <w:sz w:val="22"/>
          <w:lang w:val="es-CO" w:eastAsia="es-ES_tradnl"/>
        </w:rPr>
        <w:t xml:space="preserve"> concepto, ya ha sido sancionad</w:t>
      </w:r>
      <w:r w:rsidR="001C5292">
        <w:rPr>
          <w:rFonts w:ascii="Arial" w:eastAsia="Times New Roman" w:hAnsi="Arial" w:cs="Arial"/>
          <w:sz w:val="22"/>
          <w:lang w:val="es-CO" w:eastAsia="es-ES_tradnl"/>
        </w:rPr>
        <w:t>a</w:t>
      </w:r>
      <w:r w:rsidR="0020536A">
        <w:rPr>
          <w:rFonts w:ascii="Arial" w:eastAsia="Times New Roman" w:hAnsi="Arial" w:cs="Arial"/>
          <w:sz w:val="22"/>
          <w:lang w:val="es-CO" w:eastAsia="es-ES_tradnl"/>
        </w:rPr>
        <w:t xml:space="preserve"> la Ley 2159 de 2021, por medio de la cual se decreta el presupuesto de rentas y recursos de capital y ley de apropiaciones para la vigencia fiscal del 1 de enero al 31 de diciembre de 2022. </w:t>
      </w:r>
      <w:r w:rsidR="001C5292">
        <w:rPr>
          <w:rFonts w:ascii="Arial" w:eastAsia="Times New Roman" w:hAnsi="Arial" w:cs="Arial"/>
          <w:sz w:val="22"/>
          <w:lang w:val="es-CO" w:eastAsia="es-ES_tradnl"/>
        </w:rPr>
        <w:t xml:space="preserve">Respecto al artículo 124 de la mencionada ley, </w:t>
      </w:r>
      <w:r w:rsidR="0099113C">
        <w:rPr>
          <w:rFonts w:ascii="Arial" w:eastAsia="Times New Roman" w:hAnsi="Arial" w:cs="Arial"/>
          <w:sz w:val="22"/>
          <w:lang w:val="es-CO" w:eastAsia="es-ES_tradnl"/>
        </w:rPr>
        <w:t xml:space="preserve">a través del </w:t>
      </w:r>
      <w:r w:rsidR="0099113C" w:rsidRPr="008125CD">
        <w:rPr>
          <w:rFonts w:ascii="Arial" w:hAnsi="Arial" w:cs="Arial"/>
          <w:bCs/>
          <w:sz w:val="22"/>
        </w:rPr>
        <w:t xml:space="preserve">fallo de tutela proferido </w:t>
      </w:r>
      <w:r w:rsidR="0099113C">
        <w:rPr>
          <w:rFonts w:ascii="Arial" w:hAnsi="Arial" w:cs="Arial"/>
          <w:bCs/>
          <w:sz w:val="22"/>
        </w:rPr>
        <w:t xml:space="preserve">el 09 de noviembre de 2021, </w:t>
      </w:r>
      <w:r w:rsidR="0099113C" w:rsidRPr="008125CD">
        <w:rPr>
          <w:rFonts w:ascii="Arial" w:hAnsi="Arial" w:cs="Arial"/>
          <w:bCs/>
          <w:sz w:val="22"/>
        </w:rPr>
        <w:t>dentro del proceso nro. 2021-000</w:t>
      </w:r>
      <w:r w:rsidR="0099113C">
        <w:rPr>
          <w:rFonts w:ascii="Arial" w:hAnsi="Arial" w:cs="Arial"/>
          <w:bCs/>
          <w:sz w:val="22"/>
        </w:rPr>
        <w:t>354</w:t>
      </w:r>
      <w:r w:rsidR="0099113C" w:rsidRPr="008125CD">
        <w:rPr>
          <w:rFonts w:ascii="Arial" w:hAnsi="Arial" w:cs="Arial"/>
          <w:bCs/>
          <w:sz w:val="22"/>
        </w:rPr>
        <w:t xml:space="preserve"> por parte del Juzgado Tercero Administrativo de Bogotá</w:t>
      </w:r>
      <w:r w:rsidR="001C775D">
        <w:rPr>
          <w:rFonts w:ascii="Arial" w:hAnsi="Arial" w:cs="Arial"/>
          <w:bCs/>
          <w:sz w:val="22"/>
        </w:rPr>
        <w:t xml:space="preserve">, se ordenó «[…] </w:t>
      </w:r>
      <w:r w:rsidR="00217155" w:rsidRPr="00217155">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sidR="00217155">
        <w:rPr>
          <w:rFonts w:ascii="Arial" w:hAnsi="Arial" w:cs="Arial"/>
          <w:bCs/>
          <w:sz w:val="22"/>
        </w:rPr>
        <w:t>»</w:t>
      </w:r>
      <w:r w:rsidR="00D927D2">
        <w:rPr>
          <w:rFonts w:ascii="Arial" w:hAnsi="Arial" w:cs="Arial"/>
          <w:bCs/>
          <w:sz w:val="22"/>
        </w:rPr>
        <w:t xml:space="preserve">. </w:t>
      </w:r>
    </w:p>
    <w:p w14:paraId="4CFECC73" w14:textId="3903016B" w:rsidR="0020536A" w:rsidRPr="00446B03" w:rsidRDefault="00D927D2" w:rsidP="001C5292">
      <w:pPr>
        <w:spacing w:after="120"/>
        <w:ind w:firstLine="708"/>
        <w:rPr>
          <w:rFonts w:ascii="Arial" w:hAnsi="Arial" w:cs="Arial"/>
          <w:bCs/>
          <w:sz w:val="22"/>
        </w:rPr>
      </w:pPr>
      <w:r>
        <w:rPr>
          <w:rFonts w:ascii="Arial" w:hAnsi="Arial" w:cs="Arial"/>
          <w:bCs/>
          <w:sz w:val="22"/>
        </w:rPr>
        <w:t>Sin embargo,</w:t>
      </w:r>
      <w:r w:rsidR="00217155">
        <w:rPr>
          <w:rFonts w:ascii="Arial" w:hAnsi="Arial" w:cs="Arial"/>
          <w:bCs/>
          <w:sz w:val="22"/>
        </w:rPr>
        <w:t xml:space="preserve"> también es necesario tener en cuenta que</w:t>
      </w:r>
      <w:r w:rsidR="00D25B15">
        <w:rPr>
          <w:rFonts w:ascii="Arial" w:hAnsi="Arial" w:cs="Arial"/>
          <w:bCs/>
          <w:sz w:val="22"/>
        </w:rPr>
        <w:t xml:space="preserve"> </w:t>
      </w:r>
      <w:r w:rsidR="009A1A94">
        <w:rPr>
          <w:rFonts w:ascii="Arial" w:hAnsi="Arial" w:cs="Arial"/>
          <w:sz w:val="22"/>
          <w:lang w:eastAsia="es-ES_tradnl"/>
        </w:rPr>
        <w:t xml:space="preserve">a través de decisión del 29 de noviembre de 2021, </w:t>
      </w:r>
      <w:r w:rsidR="009A1A94" w:rsidRPr="001C1A26">
        <w:rPr>
          <w:rFonts w:ascii="Arial" w:hAnsi="Arial" w:cs="Arial"/>
          <w:sz w:val="22"/>
          <w:lang w:eastAsia="es-ES_tradnl"/>
        </w:rPr>
        <w:t xml:space="preserve">la Subsección A de la Sección Primera del Tribunal </w:t>
      </w:r>
      <w:r w:rsidR="009A1A94" w:rsidRPr="001C1A26">
        <w:rPr>
          <w:rFonts w:ascii="Arial" w:hAnsi="Arial" w:cs="Arial"/>
          <w:sz w:val="22"/>
          <w:lang w:eastAsia="es-ES_tradnl"/>
        </w:rPr>
        <w:lastRenderedPageBreak/>
        <w:t>Administrativo de Cundinamarca</w:t>
      </w:r>
      <w:r w:rsidR="00B80D4A">
        <w:rPr>
          <w:rFonts w:ascii="Arial" w:hAnsi="Arial" w:cs="Arial"/>
          <w:sz w:val="22"/>
          <w:lang w:eastAsia="es-ES_tradnl"/>
        </w:rPr>
        <w:t xml:space="preserve"> resolvió declarar «[…] </w:t>
      </w:r>
      <w:r w:rsidR="00B80D4A" w:rsidRPr="00B80D4A">
        <w:rPr>
          <w:rFonts w:ascii="Arial" w:hAnsi="Arial" w:cs="Arial"/>
          <w:sz w:val="22"/>
          <w:lang w:eastAsia="es-ES_tradnl"/>
        </w:rPr>
        <w:t xml:space="preserve">la nulidad de todo lo actuado a partir del auto admisorio del veintisiete (27) de octubre de dos mil veintiuno (2021), dictado por el Juzgado Tercero (3o) Administrativo de Bogotá, en la forma solicitada por el señor Secretario </w:t>
      </w:r>
      <w:r w:rsidR="00B63F56" w:rsidRPr="00B80D4A">
        <w:rPr>
          <w:rFonts w:ascii="Arial" w:hAnsi="Arial" w:cs="Arial"/>
          <w:sz w:val="22"/>
          <w:lang w:eastAsia="es-ES_tradnl"/>
        </w:rPr>
        <w:t>Jurídico</w:t>
      </w:r>
      <w:r w:rsidR="00B80D4A" w:rsidRPr="00B80D4A">
        <w:rPr>
          <w:rFonts w:ascii="Arial" w:hAnsi="Arial" w:cs="Arial"/>
          <w:sz w:val="22"/>
          <w:lang w:eastAsia="es-ES_tradnl"/>
        </w:rPr>
        <w:t xml:space="preserve"> de la Presidencia de la República, por las consideraciones expuestas en la parte motiva de esta providencia</w:t>
      </w:r>
      <w:r w:rsidR="000E32F8">
        <w:rPr>
          <w:rFonts w:ascii="Arial" w:hAnsi="Arial" w:cs="Arial"/>
          <w:sz w:val="22"/>
          <w:lang w:eastAsia="es-ES_tradnl"/>
        </w:rPr>
        <w:t>».</w:t>
      </w:r>
      <w:r w:rsidR="00217155">
        <w:rPr>
          <w:rFonts w:ascii="Arial" w:hAnsi="Arial" w:cs="Arial"/>
          <w:bCs/>
          <w:sz w:val="22"/>
        </w:rPr>
        <w:t xml:space="preserve"> </w:t>
      </w:r>
    </w:p>
    <w:p w14:paraId="06C6534F" w14:textId="18A5F5EC" w:rsidR="00E23B36" w:rsidRDefault="0067040F" w:rsidP="00E23B36">
      <w:pPr>
        <w:spacing w:after="120"/>
        <w:rPr>
          <w:rFonts w:ascii="Arial" w:hAnsi="Arial" w:cs="Arial"/>
          <w:bCs/>
          <w:sz w:val="22"/>
        </w:rPr>
      </w:pPr>
      <w:r>
        <w:rPr>
          <w:rFonts w:ascii="Arial" w:hAnsi="Arial" w:cs="Arial"/>
          <w:sz w:val="22"/>
          <w:lang w:val="es-ES"/>
        </w:rPr>
        <w:tab/>
      </w:r>
      <w:r w:rsidR="00617066">
        <w:rPr>
          <w:rFonts w:ascii="Arial" w:hAnsi="Arial" w:cs="Arial"/>
          <w:bCs/>
          <w:sz w:val="22"/>
        </w:rPr>
        <w:t>P</w:t>
      </w:r>
      <w:r w:rsidR="00C949D9">
        <w:rPr>
          <w:rFonts w:ascii="Arial" w:hAnsi="Arial" w:cs="Arial"/>
          <w:bCs/>
          <w:sz w:val="22"/>
        </w:rPr>
        <w:t xml:space="preserve">artiendo de la vigencia </w:t>
      </w:r>
      <w:r w:rsidR="00B26EC1">
        <w:rPr>
          <w:rFonts w:ascii="Arial" w:hAnsi="Arial" w:cs="Arial"/>
          <w:bCs/>
          <w:sz w:val="22"/>
        </w:rPr>
        <w:t xml:space="preserve">de la </w:t>
      </w:r>
      <w:r w:rsidR="00617066">
        <w:rPr>
          <w:rFonts w:ascii="Arial" w:hAnsi="Arial" w:cs="Arial"/>
          <w:bCs/>
          <w:sz w:val="22"/>
        </w:rPr>
        <w:t>Ley 2159 de 2021</w:t>
      </w:r>
      <w:r w:rsidR="00B26EC1">
        <w:rPr>
          <w:rFonts w:ascii="Arial" w:hAnsi="Arial" w:cs="Arial"/>
          <w:bCs/>
          <w:sz w:val="22"/>
        </w:rPr>
        <w:t>,</w:t>
      </w:r>
      <w:r w:rsidR="00617066">
        <w:rPr>
          <w:rFonts w:ascii="Arial" w:hAnsi="Arial" w:cs="Arial"/>
          <w:bCs/>
          <w:sz w:val="22"/>
        </w:rPr>
        <w:t xml:space="preserve"> </w:t>
      </w:r>
      <w:r w:rsidR="00E23B36">
        <w:rPr>
          <w:rFonts w:ascii="Arial" w:hAnsi="Arial" w:cs="Arial"/>
          <w:bCs/>
          <w:sz w:val="22"/>
        </w:rPr>
        <w:t>e</w:t>
      </w:r>
      <w:r w:rsidR="00E23B36" w:rsidRPr="00162BC5">
        <w:rPr>
          <w:rFonts w:ascii="Arial" w:hAnsi="Arial" w:cs="Arial"/>
          <w:bCs/>
          <w:sz w:val="22"/>
        </w:rPr>
        <w:t xml:space="preserve">n ejercicio de las competencias </w:t>
      </w:r>
      <w:r w:rsidR="00E23B36">
        <w:rPr>
          <w:rFonts w:ascii="Arial" w:hAnsi="Arial" w:cs="Arial"/>
          <w:bCs/>
          <w:sz w:val="22"/>
        </w:rPr>
        <w:t>establecidas</w:t>
      </w:r>
      <w:r w:rsidR="00E23B36" w:rsidRPr="00162BC5">
        <w:rPr>
          <w:rFonts w:ascii="Arial" w:hAnsi="Arial" w:cs="Arial"/>
          <w:bCs/>
          <w:sz w:val="22"/>
        </w:rPr>
        <w:t xml:space="preserve"> en los artículos 3</w:t>
      </w:r>
      <w:r w:rsidR="00E23B36">
        <w:rPr>
          <w:rFonts w:ascii="Arial" w:hAnsi="Arial" w:cs="Arial"/>
          <w:bCs/>
          <w:sz w:val="22"/>
        </w:rPr>
        <w:t>.</w:t>
      </w:r>
      <w:r w:rsidR="00E23B36" w:rsidRPr="00162BC5">
        <w:rPr>
          <w:rFonts w:ascii="Arial" w:hAnsi="Arial" w:cs="Arial"/>
          <w:bCs/>
          <w:sz w:val="22"/>
        </w:rPr>
        <w:t>5</w:t>
      </w:r>
      <w:r w:rsidR="00E23B36">
        <w:rPr>
          <w:rFonts w:ascii="Arial" w:hAnsi="Arial" w:cs="Arial"/>
          <w:bCs/>
          <w:sz w:val="22"/>
        </w:rPr>
        <w:t xml:space="preserve"> y</w:t>
      </w:r>
      <w:r w:rsidR="00E23B36" w:rsidRPr="00162BC5">
        <w:rPr>
          <w:rFonts w:ascii="Arial" w:hAnsi="Arial" w:cs="Arial"/>
          <w:bCs/>
          <w:sz w:val="22"/>
        </w:rPr>
        <w:t xml:space="preserve"> 11</w:t>
      </w:r>
      <w:r w:rsidR="00E23B36">
        <w:rPr>
          <w:rFonts w:ascii="Arial" w:hAnsi="Arial" w:cs="Arial"/>
          <w:bCs/>
          <w:sz w:val="22"/>
        </w:rPr>
        <w:t>.</w:t>
      </w:r>
      <w:r w:rsidR="00E23B36" w:rsidRPr="00162BC5">
        <w:rPr>
          <w:rFonts w:ascii="Arial" w:hAnsi="Arial" w:cs="Arial"/>
          <w:bCs/>
          <w:sz w:val="22"/>
        </w:rPr>
        <w:t>8</w:t>
      </w:r>
      <w:r w:rsidR="00E23B36">
        <w:rPr>
          <w:rFonts w:ascii="Arial" w:hAnsi="Arial" w:cs="Arial"/>
          <w:bCs/>
          <w:sz w:val="22"/>
        </w:rPr>
        <w:t xml:space="preserve"> </w:t>
      </w:r>
      <w:r w:rsidR="00E23B36"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E23B36">
        <w:rPr>
          <w:rFonts w:ascii="Arial" w:hAnsi="Arial" w:cs="Arial"/>
          <w:bCs/>
          <w:sz w:val="22"/>
        </w:rPr>
        <w:t>.</w:t>
      </w:r>
    </w:p>
    <w:p w14:paraId="0176A018" w14:textId="77777777" w:rsidR="00E23B36" w:rsidRPr="00162BC5" w:rsidRDefault="00E23B36" w:rsidP="00E23B36">
      <w:pPr>
        <w:spacing w:after="120"/>
        <w:ind w:firstLine="708"/>
        <w:rPr>
          <w:rFonts w:ascii="Arial" w:hAnsi="Arial" w:cs="Arial"/>
          <w:sz w:val="22"/>
          <w:lang w:val="es-ES"/>
        </w:rPr>
      </w:pPr>
      <w:bookmarkStart w:id="10" w:name="_Hlk61701014"/>
      <w:bookmarkStart w:id="11"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12"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3EE87A82" w14:textId="7A7F529B" w:rsidR="00E23B36" w:rsidRDefault="00E23B36" w:rsidP="00E23B36">
      <w:pPr>
        <w:spacing w:after="120"/>
        <w:ind w:firstLine="708"/>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bookmarkEnd w:id="12"/>
      <w:r>
        <w:rPr>
          <w:rFonts w:ascii="Arial" w:hAnsi="Arial" w:cs="Arial"/>
          <w:sz w:val="22"/>
          <w:lang w:val="es-ES"/>
        </w:rPr>
        <w:t>. Por lo anterior, previo concepto de sus órganos asesores, la solución de estos temas corresponde a la entidad que adelanta el procedimiento de selección y, en caso de conflicto, a las autoridades judiciales, fiscales y disciplinarias</w:t>
      </w:r>
      <w:r w:rsidR="006C0B38">
        <w:rPr>
          <w:rFonts w:ascii="Arial" w:hAnsi="Arial" w:cs="Arial"/>
          <w:sz w:val="22"/>
          <w:lang w:val="es-ES"/>
        </w:rPr>
        <w:t xml:space="preserve">; razón por la cual, corresponde </w:t>
      </w:r>
      <w:r w:rsidR="006C0B38" w:rsidRPr="006C0B38">
        <w:rPr>
          <w:rFonts w:ascii="Arial" w:hAnsi="Arial" w:cs="Arial"/>
          <w:sz w:val="22"/>
          <w:lang w:val="es-ES"/>
        </w:rPr>
        <w:t>cada entidad estatal defin</w:t>
      </w:r>
      <w:r w:rsidR="006C0B38">
        <w:rPr>
          <w:rFonts w:ascii="Arial" w:hAnsi="Arial" w:cs="Arial"/>
          <w:sz w:val="22"/>
          <w:lang w:val="es-ES"/>
        </w:rPr>
        <w:t>ir</w:t>
      </w:r>
      <w:r w:rsidR="006C0B38" w:rsidRPr="006C0B38">
        <w:rPr>
          <w:rFonts w:ascii="Arial" w:hAnsi="Arial" w:cs="Arial"/>
          <w:sz w:val="22"/>
          <w:lang w:val="es-ES"/>
        </w:rPr>
        <w:t xml:space="preserve"> la </w:t>
      </w:r>
      <w:r w:rsidR="006C0B38" w:rsidRPr="006C0B38">
        <w:rPr>
          <w:rFonts w:ascii="Arial" w:hAnsi="Arial" w:cs="Arial"/>
          <w:sz w:val="22"/>
          <w:lang w:val="es-ES"/>
        </w:rPr>
        <w:lastRenderedPageBreak/>
        <w:t>viabilidad técnica, jurídica y financiera de celebrar determinado negocio jurídico en específico</w:t>
      </w:r>
      <w:r>
        <w:rPr>
          <w:rFonts w:ascii="Arial" w:hAnsi="Arial" w:cs="Arial"/>
          <w:sz w:val="22"/>
          <w:lang w:val="es-ES"/>
        </w:rPr>
        <w:t xml:space="preserve">. </w:t>
      </w:r>
      <w:bookmarkEnd w:id="10"/>
    </w:p>
    <w:bookmarkEnd w:id="11"/>
    <w:p w14:paraId="311C76CA" w14:textId="715C120A" w:rsidR="0090765B" w:rsidRPr="00394337" w:rsidRDefault="00E23B36" w:rsidP="00E7700C">
      <w:pPr>
        <w:tabs>
          <w:tab w:val="left" w:pos="426"/>
        </w:tabs>
        <w:spacing w:after="120"/>
        <w:rPr>
          <w:rFonts w:ascii="Arial" w:hAnsi="Arial" w:cs="Arial"/>
          <w:bCs/>
          <w:sz w:val="22"/>
        </w:rPr>
      </w:pPr>
      <w:r>
        <w:rPr>
          <w:rFonts w:ascii="Arial" w:eastAsia="Calibri" w:hAnsi="Arial" w:cs="Arial"/>
          <w:color w:val="000000" w:themeColor="text1"/>
          <w:sz w:val="22"/>
        </w:rPr>
        <w:tab/>
      </w:r>
      <w:r>
        <w:rPr>
          <w:rFonts w:ascii="Arial" w:eastAsia="Calibri" w:hAnsi="Arial" w:cs="Arial"/>
          <w:color w:val="000000" w:themeColor="text1"/>
          <w:sz w:val="22"/>
        </w:rPr>
        <w:tab/>
        <w:t xml:space="preserve">Sin perjuicio de lo anterior, </w:t>
      </w:r>
      <w:r>
        <w:rPr>
          <w:rFonts w:ascii="Arial" w:eastAsia="Calibri" w:hAnsi="Arial" w:cs="Arial"/>
          <w:color w:val="000000" w:themeColor="text1"/>
          <w:sz w:val="22"/>
          <w:lang w:val="es-ES"/>
        </w:rPr>
        <w:t>la Agencia –dentro de los límites de sus atribuciones</w:t>
      </w:r>
      <w:r w:rsidR="006C0B38">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w:t>
      </w:r>
      <w:r w:rsidR="006C0B38">
        <w:rPr>
          <w:rFonts w:ascii="Arial" w:hAnsi="Arial" w:cs="Arial"/>
          <w:bCs/>
          <w:sz w:val="22"/>
        </w:rPr>
        <w:t xml:space="preserve"> </w:t>
      </w:r>
      <w:r w:rsidR="00990612" w:rsidRPr="00446B03">
        <w:rPr>
          <w:rFonts w:ascii="Arial" w:eastAsia="Calibri" w:hAnsi="Arial" w:cs="Arial"/>
          <w:bCs/>
          <w:sz w:val="22"/>
          <w:lang w:val="es-CO"/>
        </w:rPr>
        <w:t xml:space="preserve">i) </w:t>
      </w:r>
      <w:r w:rsidR="006D4EC2" w:rsidRPr="00446B03">
        <w:rPr>
          <w:rFonts w:ascii="Arial" w:eastAsia="Calibri" w:hAnsi="Arial" w:cs="Arial"/>
          <w:bCs/>
          <w:sz w:val="22"/>
          <w:lang w:val="es-CO"/>
        </w:rPr>
        <w:t>definición y finalidad de la Ley de Garantías Electorales</w:t>
      </w:r>
      <w:r w:rsidR="0016262F" w:rsidRPr="00446B03">
        <w:rPr>
          <w:rFonts w:ascii="Arial" w:eastAsia="Calibri" w:hAnsi="Arial" w:cs="Arial"/>
          <w:bCs/>
          <w:sz w:val="22"/>
          <w:lang w:val="es-CO"/>
        </w:rPr>
        <w:t>,</w:t>
      </w:r>
      <w:r w:rsidR="006D4EC2" w:rsidRPr="00446B03">
        <w:rPr>
          <w:rFonts w:ascii="Arial" w:eastAsia="Calibri" w:hAnsi="Arial" w:cs="Arial"/>
          <w:bCs/>
          <w:sz w:val="22"/>
          <w:lang w:val="es-CO"/>
        </w:rPr>
        <w:t xml:space="preserve"> ii)</w:t>
      </w:r>
      <w:r w:rsidR="00EB7836" w:rsidRPr="00446B03">
        <w:rPr>
          <w:rFonts w:ascii="Arial" w:eastAsia="Calibri" w:hAnsi="Arial" w:cs="Arial"/>
          <w:bCs/>
          <w:sz w:val="22"/>
          <w:lang w:val="es-CO"/>
        </w:rPr>
        <w:t xml:space="preserve"> </w:t>
      </w:r>
      <w:r w:rsidR="008C2BFB" w:rsidRPr="00446B03">
        <w:rPr>
          <w:rFonts w:ascii="Arial" w:eastAsia="Calibri" w:hAnsi="Arial" w:cs="Arial"/>
          <w:bCs/>
          <w:sz w:val="22"/>
          <w:lang w:val="es-CO"/>
        </w:rPr>
        <w:t xml:space="preserve">restricciones </w:t>
      </w:r>
      <w:r w:rsidR="008C2BFB" w:rsidRPr="00446B03">
        <w:rPr>
          <w:rFonts w:ascii="Arial" w:eastAsia="Calibri" w:hAnsi="Arial" w:cs="Arial"/>
          <w:bCs/>
          <w:sz w:val="22"/>
        </w:rPr>
        <w:t xml:space="preserve">para elecciones </w:t>
      </w:r>
      <w:r w:rsidR="0016262F" w:rsidRPr="00446B03">
        <w:rPr>
          <w:rFonts w:ascii="Arial" w:eastAsia="Calibri" w:hAnsi="Arial" w:cs="Arial"/>
          <w:bCs/>
          <w:sz w:val="22"/>
        </w:rPr>
        <w:t>p</w:t>
      </w:r>
      <w:r w:rsidR="008C2BFB" w:rsidRPr="00446B03">
        <w:rPr>
          <w:rFonts w:ascii="Arial" w:eastAsia="Calibri" w:hAnsi="Arial" w:cs="Arial"/>
          <w:bCs/>
          <w:sz w:val="22"/>
        </w:rPr>
        <w:t>residenciales</w:t>
      </w:r>
      <w:r w:rsidR="0016262F" w:rsidRPr="00446B03">
        <w:rPr>
          <w:rFonts w:ascii="Arial" w:eastAsia="Calibri" w:hAnsi="Arial" w:cs="Arial"/>
          <w:bCs/>
          <w:sz w:val="22"/>
        </w:rPr>
        <w:t>,</w:t>
      </w:r>
      <w:r w:rsidR="008C2BFB" w:rsidRPr="00446B03">
        <w:rPr>
          <w:rFonts w:ascii="Arial" w:eastAsia="Calibri" w:hAnsi="Arial" w:cs="Arial"/>
          <w:bCs/>
          <w:sz w:val="22"/>
        </w:rPr>
        <w:t xml:space="preserve"> </w:t>
      </w:r>
      <w:r w:rsidR="007173EA" w:rsidRPr="00446B03">
        <w:rPr>
          <w:rFonts w:ascii="Arial" w:eastAsia="Calibri" w:hAnsi="Arial" w:cs="Arial"/>
          <w:bCs/>
          <w:sz w:val="22"/>
        </w:rPr>
        <w:t>i</w:t>
      </w:r>
      <w:r w:rsidR="0016262F" w:rsidRPr="00446B03">
        <w:rPr>
          <w:rFonts w:ascii="Arial" w:eastAsia="Calibri" w:hAnsi="Arial" w:cs="Arial"/>
          <w:bCs/>
          <w:sz w:val="22"/>
        </w:rPr>
        <w:t>ii</w:t>
      </w:r>
      <w:r w:rsidR="007173EA" w:rsidRPr="00446B03">
        <w:rPr>
          <w:rFonts w:ascii="Arial" w:eastAsia="Calibri" w:hAnsi="Arial" w:cs="Arial"/>
          <w:bCs/>
          <w:sz w:val="22"/>
        </w:rPr>
        <w:t>) destinatarios de la prohibición del artículo 33 de la Ley 996 de 2005</w:t>
      </w:r>
      <w:r w:rsidR="00AF7FCE">
        <w:rPr>
          <w:rFonts w:ascii="Arial" w:eastAsia="Calibri" w:hAnsi="Arial" w:cs="Arial"/>
          <w:bCs/>
          <w:sz w:val="22"/>
        </w:rPr>
        <w:t>,</w:t>
      </w:r>
      <w:r w:rsidR="007173EA" w:rsidRPr="00446B03">
        <w:rPr>
          <w:rFonts w:ascii="Arial" w:eastAsia="Calibri" w:hAnsi="Arial" w:cs="Arial"/>
          <w:bCs/>
          <w:sz w:val="22"/>
        </w:rPr>
        <w:t xml:space="preserve"> </w:t>
      </w:r>
      <w:r w:rsidR="0016262F" w:rsidRPr="00446B03">
        <w:rPr>
          <w:rFonts w:ascii="Arial" w:eastAsia="Calibri" w:hAnsi="Arial" w:cs="Arial"/>
          <w:bCs/>
          <w:sz w:val="22"/>
        </w:rPr>
        <w:t>i</w:t>
      </w:r>
      <w:r w:rsidR="007173EA" w:rsidRPr="00446B03">
        <w:rPr>
          <w:rFonts w:ascii="Arial" w:eastAsia="Calibri" w:hAnsi="Arial" w:cs="Arial"/>
          <w:bCs/>
          <w:sz w:val="22"/>
        </w:rPr>
        <w:t>v)</w:t>
      </w:r>
      <w:r w:rsidR="004A5B41" w:rsidRPr="00446B03">
        <w:rPr>
          <w:rFonts w:ascii="Arial" w:eastAsia="Calibri" w:hAnsi="Arial" w:cs="Arial"/>
          <w:bCs/>
          <w:sz w:val="22"/>
        </w:rPr>
        <w:t xml:space="preserve"> </w:t>
      </w:r>
      <w:r w:rsidR="007173EA" w:rsidRPr="00446B03">
        <w:rPr>
          <w:rFonts w:ascii="Arial" w:eastAsia="Calibri" w:hAnsi="Arial" w:cs="Arial"/>
          <w:sz w:val="22"/>
        </w:rPr>
        <w:t xml:space="preserve">restricciones en los comicios </w:t>
      </w:r>
      <w:r w:rsidR="002C09B8">
        <w:rPr>
          <w:rFonts w:ascii="Arial" w:eastAsia="Calibri" w:hAnsi="Arial" w:cs="Arial"/>
          <w:sz w:val="22"/>
        </w:rPr>
        <w:t>para</w:t>
      </w:r>
      <w:r w:rsidR="007173EA" w:rsidRPr="00446B03">
        <w:rPr>
          <w:rFonts w:ascii="Arial" w:eastAsia="Calibri" w:hAnsi="Arial" w:cs="Arial"/>
          <w:sz w:val="22"/>
        </w:rPr>
        <w:t xml:space="preserve"> cargos de elección popular</w:t>
      </w:r>
      <w:bookmarkStart w:id="13" w:name="_Hlk76110351"/>
      <w:r w:rsidR="00480940">
        <w:rPr>
          <w:rFonts w:ascii="Arial" w:eastAsia="Calibri" w:hAnsi="Arial" w:cs="Arial"/>
          <w:sz w:val="22"/>
        </w:rPr>
        <w:t>,</w:t>
      </w:r>
      <w:r w:rsidR="00AF7FCE">
        <w:rPr>
          <w:rFonts w:ascii="Arial" w:eastAsia="Calibri" w:hAnsi="Arial" w:cs="Arial"/>
          <w:sz w:val="22"/>
        </w:rPr>
        <w:t xml:space="preserve"> v</w:t>
      </w:r>
      <w:r w:rsidR="00AF7FCE" w:rsidRPr="006C6E36">
        <w:rPr>
          <w:rFonts w:ascii="Arial" w:eastAsia="Calibri" w:hAnsi="Arial" w:cs="Arial"/>
          <w:sz w:val="22"/>
        </w:rPr>
        <w:t>)  modificaciones de la Ley de Garantías Electorales realizadas por la ley anual del presupuesto de la vigencia fiscal 2022</w:t>
      </w:r>
      <w:r w:rsidR="00480940">
        <w:rPr>
          <w:rFonts w:ascii="Arial" w:eastAsia="Calibri" w:hAnsi="Arial" w:cs="Arial"/>
          <w:sz w:val="22"/>
        </w:rPr>
        <w:t xml:space="preserve"> y vi) </w:t>
      </w:r>
      <w:r w:rsidR="00107244">
        <w:rPr>
          <w:rFonts w:ascii="Arial" w:eastAsia="Calibri" w:hAnsi="Arial" w:cs="Arial"/>
          <w:sz w:val="22"/>
          <w:lang w:bidi="es-ES"/>
        </w:rPr>
        <w:t>r</w:t>
      </w:r>
      <w:r w:rsidR="00107244" w:rsidRPr="00107244">
        <w:rPr>
          <w:rFonts w:ascii="Arial" w:eastAsia="Calibri" w:hAnsi="Arial" w:cs="Arial"/>
          <w:sz w:val="22"/>
          <w:lang w:bidi="es-ES"/>
        </w:rPr>
        <w:t>estricciones de la Ley de Garantías en los contratos de colaboración y convenios de asociación con entidades privadas sin ánimo de lucro</w:t>
      </w:r>
      <w:r w:rsidR="007F2AC3" w:rsidRPr="00107244">
        <w:rPr>
          <w:rFonts w:ascii="Arial" w:eastAsia="Calibri" w:hAnsi="Arial" w:cs="Arial"/>
          <w:sz w:val="22"/>
        </w:rPr>
        <w:t>.</w:t>
      </w:r>
      <w:r w:rsidR="007F2AC3" w:rsidRPr="00446B03">
        <w:rPr>
          <w:rFonts w:ascii="Arial" w:eastAsia="Calibri" w:hAnsi="Arial" w:cs="Arial"/>
          <w:sz w:val="22"/>
        </w:rPr>
        <w:t xml:space="preserve"> </w:t>
      </w:r>
      <w:bookmarkEnd w:id="13"/>
    </w:p>
    <w:p w14:paraId="1B0A4F73" w14:textId="6B054821" w:rsidR="008F39BD" w:rsidRPr="00446B03" w:rsidRDefault="008F39BD" w:rsidP="00E7700C">
      <w:pPr>
        <w:tabs>
          <w:tab w:val="left" w:pos="426"/>
        </w:tabs>
        <w:spacing w:after="0"/>
        <w:ind w:firstLine="709"/>
        <w:rPr>
          <w:rFonts w:ascii="Arial" w:eastAsia="Calibri" w:hAnsi="Arial" w:cs="Arial"/>
          <w:bCs/>
          <w:sz w:val="22"/>
          <w:lang w:val="es-CO"/>
        </w:rPr>
      </w:pPr>
      <w:r w:rsidRPr="00446B03">
        <w:rPr>
          <w:rFonts w:ascii="Arial" w:eastAsia="Calibri" w:hAnsi="Arial" w:cs="Arial"/>
          <w:bCs/>
          <w:sz w:val="22"/>
          <w:lang w:val="es-CO"/>
        </w:rPr>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2201913000006283 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de 2021</w:t>
      </w:r>
      <w:r w:rsidR="003630B0">
        <w:rPr>
          <w:rFonts w:ascii="Arial" w:eastAsia="Calibri" w:hAnsi="Arial" w:cs="Arial"/>
          <w:bCs/>
          <w:sz w:val="22"/>
          <w:lang w:val="es-CO"/>
        </w:rPr>
        <w:t>, C-</w:t>
      </w:r>
      <w:r w:rsidR="00975490">
        <w:rPr>
          <w:rFonts w:ascii="Arial" w:eastAsia="Calibri" w:hAnsi="Arial" w:cs="Arial"/>
          <w:bCs/>
          <w:sz w:val="22"/>
          <w:lang w:val="es-CO"/>
        </w:rPr>
        <w:t>677 del 4 de diciembre de 2021 y C-695 del 22 de diciembre de 2021</w:t>
      </w:r>
      <w:r w:rsidR="00F83810" w:rsidRPr="00446B03">
        <w:rPr>
          <w:rFonts w:ascii="Arial" w:eastAsia="Calibri" w:hAnsi="Arial" w:cs="Arial"/>
          <w:bCs/>
          <w:sz w:val="22"/>
          <w:lang w:val="es-CO"/>
        </w:rPr>
        <w:t xml:space="preserve">.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p w14:paraId="1AB4C719" w14:textId="77777777" w:rsidR="005027F0" w:rsidRPr="00446B03"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lastRenderedPageBreak/>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2"/>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3"/>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D836BC4"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w:t>
      </w:r>
      <w:r w:rsidRPr="00446B03">
        <w:rPr>
          <w:rFonts w:ascii="Arial" w:eastAsia="Times New Roman" w:hAnsi="Arial" w:cs="Arial"/>
          <w:bCs/>
          <w:sz w:val="21"/>
          <w:szCs w:val="21"/>
          <w:lang w:eastAsia="es-CO"/>
        </w:rPr>
        <w:lastRenderedPageBreak/>
        <w:t>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4"/>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4" w:name="_Hlk78818186"/>
      <w:r w:rsidRPr="00446B03">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46B03">
        <w:rPr>
          <w:rFonts w:ascii="Arial" w:eastAsia="Times New Roman" w:hAnsi="Arial" w:cs="Arial"/>
          <w:bCs/>
          <w:sz w:val="22"/>
          <w:lang w:eastAsia="es-CO"/>
        </w:rPr>
        <w:t xml:space="preserve"> </w:t>
      </w:r>
      <w:bookmarkEnd w:id="14"/>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La jurisprudencia de la Corte Constitucional</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6"/>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w:t>
      </w:r>
      <w:r w:rsidRPr="00446B03">
        <w:rPr>
          <w:rFonts w:ascii="Arial" w:eastAsia="Times New Roman" w:hAnsi="Arial" w:cs="Arial"/>
          <w:bCs/>
          <w:sz w:val="21"/>
          <w:szCs w:val="21"/>
          <w:lang w:eastAsia="es-CO"/>
        </w:rPr>
        <w:lastRenderedPageBreak/>
        <w:t>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7"/>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115BAA3B"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15"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las restricciones 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5"/>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8"/>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w:t>
      </w:r>
      <w:r w:rsidRPr="00446B03">
        <w:rPr>
          <w:rFonts w:ascii="Arial" w:eastAsia="Calibri" w:hAnsi="Arial" w:cs="Arial"/>
          <w:sz w:val="22"/>
          <w:lang w:val="es-CO"/>
        </w:rPr>
        <w:lastRenderedPageBreak/>
        <w:t xml:space="preserve">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9"/>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446B03">
        <w:rPr>
          <w:rFonts w:ascii="Arial" w:eastAsia="Arial" w:hAnsi="Arial" w:cs="Arial"/>
          <w:sz w:val="21"/>
          <w:szCs w:val="21"/>
          <w:lang w:val="es-ES" w:eastAsia="es-ES" w:bidi="es-ES"/>
        </w:rPr>
        <w:t>se integran parcialmente</w:t>
      </w:r>
      <w:bookmarkEnd w:id="18"/>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0"/>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19" w:name="_Hlk77236420"/>
      <w:bookmarkStart w:id="20" w:name="_Hlk78818435"/>
      <w:bookmarkStart w:id="21"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Pr="00446B03">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w:t>
      </w:r>
      <w:r w:rsidRPr="00446B03">
        <w:rPr>
          <w:rFonts w:ascii="Arial" w:eastAsia="Arial" w:hAnsi="Arial" w:cs="Arial"/>
          <w:sz w:val="22"/>
          <w:lang w:val="es-ES" w:eastAsia="es-ES" w:bidi="es-ES"/>
        </w:rPr>
        <w:lastRenderedPageBreak/>
        <w:t xml:space="preserve">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DF3E38" w:rsidRPr="00446B03">
        <w:rPr>
          <w:rFonts w:ascii="Arial" w:eastAsia="Arial" w:hAnsi="Arial" w:cs="Arial"/>
          <w:sz w:val="22"/>
          <w:lang w:val="es-ES" w:eastAsia="es-ES" w:bidi="es-ES"/>
        </w:rPr>
        <w:t xml:space="preserve">, también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r w:rsidR="00F10F67" w:rsidRPr="00446B03">
        <w:rPr>
          <w:rFonts w:ascii="Arial" w:eastAsia="Arial" w:hAnsi="Arial" w:cs="Arial"/>
          <w:sz w:val="22"/>
          <w:lang w:val="es-ES" w:eastAsia="es-ES" w:bidi="es-ES"/>
        </w:rPr>
        <w:t>el cual</w:t>
      </w:r>
      <w:r w:rsidRPr="00446B03">
        <w:rPr>
          <w:rFonts w:ascii="Arial" w:eastAsia="Arial" w:hAnsi="Arial" w:cs="Arial"/>
          <w:sz w:val="22"/>
          <w:lang w:val="es-ES" w:eastAsia="es-ES" w:bidi="es-ES"/>
        </w:rPr>
        <w:t xml:space="preserve"> debe aplicarse respecto de cualquier tipo de </w:t>
      </w:r>
      <w:r w:rsidR="00F10F67" w:rsidRPr="00446B03">
        <w:rPr>
          <w:rFonts w:ascii="Arial" w:eastAsia="Arial" w:hAnsi="Arial" w:cs="Arial"/>
          <w:sz w:val="22"/>
          <w:lang w:val="es-ES" w:eastAsia="es-ES" w:bidi="es-ES"/>
        </w:rPr>
        <w:t>contienda electoral</w:t>
      </w:r>
      <w:r w:rsidRPr="00446B03">
        <w:rPr>
          <w:rFonts w:ascii="Arial" w:eastAsia="Arial" w:hAnsi="Arial" w:cs="Arial"/>
          <w:sz w:val="22"/>
          <w:lang w:val="es-ES" w:eastAsia="es-ES" w:bidi="es-ES"/>
        </w:rPr>
        <w:t>, y que prohíbe la celebración de convenios 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19"/>
    </w:p>
    <w:bookmarkEnd w:id="20"/>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Presidente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Presidente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21"/>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Presidente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estando en ejercicio 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E7700C">
      <w:pPr>
        <w:spacing w:after="0"/>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E7700C">
      <w:pPr>
        <w:spacing w:after="0"/>
        <w:rPr>
          <w:rFonts w:ascii="Arial" w:eastAsia="Times New Roman" w:hAnsi="Arial" w:cs="Arial"/>
          <w:bCs/>
          <w:sz w:val="22"/>
          <w:lang w:eastAsia="x-none"/>
        </w:rPr>
      </w:pPr>
    </w:p>
    <w:p w14:paraId="7E852C96" w14:textId="53DAF65D" w:rsidR="00DB61B2" w:rsidRPr="00446B03" w:rsidRDefault="00DB61B2" w:rsidP="00E7700C">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22" w:name="_Hlk75628761"/>
      <w:r w:rsidRPr="00446B03">
        <w:rPr>
          <w:rFonts w:ascii="Arial" w:eastAsia="Times New Roman" w:hAnsi="Arial" w:cs="Arial"/>
          <w:bCs/>
          <w:sz w:val="22"/>
          <w:lang w:eastAsia="x-none"/>
        </w:rPr>
        <w:t xml:space="preserve">en el artículo 33 de la ley 996 de 2005 </w:t>
      </w:r>
      <w:bookmarkEnd w:id="22"/>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 xml:space="preserve">. </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1"/>
      </w:r>
      <w:r w:rsidRPr="00446B03">
        <w:rPr>
          <w:rFonts w:ascii="Arial" w:hAnsi="Arial" w:cs="Arial"/>
          <w:sz w:val="21"/>
          <w:szCs w:val="21"/>
        </w:rPr>
        <w:t>.</w:t>
      </w:r>
    </w:p>
    <w:p w14:paraId="054DAA8C" w14:textId="14BE792C"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que para los efectos de la ley de garantías, y dada su finalidad, el enunciado ´contratación directa´ es sinónimo </w:t>
      </w:r>
      <w:bookmarkStart w:id="25" w:name="_Hlk75741738"/>
      <w:r w:rsidRPr="00446B03">
        <w:rPr>
          <w:rFonts w:ascii="Arial" w:hAnsi="Arial" w:cs="Arial"/>
          <w:sz w:val="21"/>
          <w:szCs w:val="21"/>
        </w:rPr>
        <w:t xml:space="preserve">de cualquier sistema que no implique convocatoria pública y posibilidad de pluralidad de oferentes, </w:t>
      </w:r>
      <w:bookmarkEnd w:id="25"/>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2"/>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3"/>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446B03" w:rsidRDefault="00DB61B2" w:rsidP="00E7700C">
      <w:pPr>
        <w:spacing w:after="120"/>
        <w:ind w:firstLine="708"/>
        <w:rPr>
          <w:rFonts w:ascii="Arial" w:eastAsia="Times New Roman" w:hAnsi="Arial" w:cs="Arial"/>
          <w:bCs/>
          <w:sz w:val="22"/>
          <w:lang w:val="es-CO" w:eastAsia="x-none"/>
        </w:rPr>
      </w:pPr>
      <w:r w:rsidRPr="00446B03">
        <w:rPr>
          <w:rFonts w:ascii="Arial" w:eastAsia="Times New Roman" w:hAnsi="Arial" w:cs="Arial"/>
          <w:sz w:val="22"/>
          <w:lang w:val="es-CO" w:eastAsia="x-none"/>
        </w:rPr>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27"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28" w:name="_Hlk74294635"/>
      <w:r w:rsidRPr="00446B03">
        <w:rPr>
          <w:rFonts w:ascii="Arial" w:eastAsia="Times New Roman" w:hAnsi="Arial" w:cs="Arial"/>
          <w:sz w:val="19"/>
          <w:szCs w:val="19"/>
          <w:lang w:val="es-CO" w:eastAsia="en-GB"/>
        </w:rPr>
        <w:t>«</w:t>
      </w:r>
      <w:bookmarkEnd w:id="28"/>
      <w:r w:rsidRPr="00446B03">
        <w:rPr>
          <w:rFonts w:ascii="Arial" w:eastAsia="Times New Roman" w:hAnsi="Arial" w:cs="Arial"/>
          <w:sz w:val="22"/>
          <w:lang w:val="es-CO" w:eastAsia="x-none"/>
        </w:rPr>
        <w:t>cualquier sistema que no implique convocatoria pública y posibilidad de pluralidad de oferentes</w:t>
      </w:r>
      <w:bookmarkStart w:id="29" w:name="_Hlk74404754"/>
      <w:r w:rsidRPr="00446B03">
        <w:rPr>
          <w:rFonts w:ascii="Arial" w:eastAsia="Times New Roman" w:hAnsi="Arial" w:cs="Arial"/>
          <w:sz w:val="22"/>
          <w:lang w:val="es-CO" w:eastAsia="en-GB"/>
        </w:rPr>
        <w:t>»</w:t>
      </w:r>
      <w:bookmarkEnd w:id="29"/>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27"/>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xml:space="preserve">. </w:t>
      </w:r>
    </w:p>
    <w:p w14:paraId="2F4008CF" w14:textId="32524502"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con fundamento en la evolución de la normativa </w:t>
      </w:r>
      <w:r w:rsidR="006274A6">
        <w:rPr>
          <w:rFonts w:ascii="Arial" w:eastAsia="Times New Roman" w:hAnsi="Arial" w:cs="Arial"/>
          <w:sz w:val="22"/>
          <w:lang w:val="es-CO" w:eastAsia="x-none"/>
        </w:rPr>
        <w:t>en materia de</w:t>
      </w:r>
      <w:r w:rsidRPr="00446B03">
        <w:rPr>
          <w:rFonts w:ascii="Arial" w:eastAsia="Times New Roman" w:hAnsi="Arial" w:cs="Arial"/>
          <w:sz w:val="22"/>
          <w:lang w:val="es-CO" w:eastAsia="x-none"/>
        </w:rPr>
        <w:t xml:space="preserve"> contratación pública,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w:t>
      </w:r>
      <w:r w:rsidRPr="00446B03">
        <w:rPr>
          <w:rFonts w:ascii="Arial" w:eastAsia="Times New Roman" w:hAnsi="Arial" w:cs="Arial"/>
          <w:sz w:val="22"/>
          <w:lang w:val="es-CO" w:eastAsia="x-none"/>
        </w:rPr>
        <w:lastRenderedPageBreak/>
        <w:t>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eastAsia="Times New Roman" w:hAnsi="Arial" w:cs="Arial"/>
          <w:sz w:val="22"/>
          <w:vertAlign w:val="superscript"/>
          <w:lang w:val="en-GB" w:eastAsia="x-none"/>
        </w:rPr>
        <w:footnoteReference w:id="16"/>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31" w:name="_Hlk75636073"/>
      <w:r w:rsidR="008C6B51" w:rsidRPr="00446B03">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1"/>
      <w:r w:rsidR="008C6B51" w:rsidRPr="00446B03">
        <w:rPr>
          <w:rFonts w:ascii="Arial" w:eastAsia="Times New Roman" w:hAnsi="Arial" w:cs="Arial"/>
          <w:sz w:val="22"/>
          <w:vertAlign w:val="superscript"/>
          <w:lang w:val="es-CO" w:eastAsia="x-none"/>
        </w:rPr>
        <w:footnoteReference w:id="17"/>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32"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utilizado por las entidades estatales que no incluya la convocatoria </w:t>
      </w:r>
      <w:r w:rsidR="00DB61B2" w:rsidRPr="00446B03">
        <w:rPr>
          <w:rFonts w:ascii="Arial" w:eastAsia="Times New Roman" w:hAnsi="Arial" w:cs="Arial"/>
          <w:bCs/>
          <w:sz w:val="22"/>
          <w:lang w:eastAsia="x-none"/>
        </w:rPr>
        <w:lastRenderedPageBreak/>
        <w:t>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8"/>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32"/>
    <w:p w14:paraId="0B41E164" w14:textId="31952722"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3"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3"/>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p w14:paraId="1244CE42" w14:textId="3381626D"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34" w:name="_Hlk74309042"/>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34"/>
      <w:r w:rsidR="00402FD5" w:rsidRPr="00446B03">
        <w:rPr>
          <w:rFonts w:ascii="Arial" w:eastAsia="Times New Roman" w:hAnsi="Arial" w:cs="Arial"/>
          <w:bCs/>
          <w:sz w:val="22"/>
          <w:lang w:eastAsia="x-none"/>
        </w:rPr>
        <w:t xml:space="preserve">si bien la limitación garantiza la igualdad de condiciones, también es necesario que tal </w:t>
      </w:r>
      <w:r w:rsidR="00402FD5" w:rsidRPr="00446B03">
        <w:rPr>
          <w:rFonts w:ascii="Arial" w:eastAsia="Times New Roman" w:hAnsi="Arial" w:cs="Arial"/>
          <w:bCs/>
          <w:sz w:val="22"/>
          <w:lang w:eastAsia="x-none"/>
        </w:rPr>
        <w:lastRenderedPageBreak/>
        <w:t xml:space="preserve">limitación que pretende la igualdad </w:t>
      </w:r>
      <w:bookmarkStart w:id="35"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6" w:name="_Hlk74309060"/>
      <w:r w:rsidR="00402FD5" w:rsidRPr="00446B03">
        <w:rPr>
          <w:rFonts w:ascii="Arial" w:eastAsia="Times New Roman" w:hAnsi="Arial" w:cs="Arial"/>
          <w:bCs/>
          <w:sz w:val="22"/>
          <w:lang w:eastAsia="x-none"/>
        </w:rPr>
        <w:t>»</w:t>
      </w:r>
      <w:bookmarkEnd w:id="36"/>
      <w:r w:rsidR="00856B57" w:rsidRPr="00446B03">
        <w:rPr>
          <w:rStyle w:val="Refdenotaalpie"/>
          <w:rFonts w:ascii="Arial" w:hAnsi="Arial" w:cs="Arial"/>
          <w:sz w:val="22"/>
        </w:rPr>
        <w:footnoteReference w:id="19"/>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7" w:name="_Hlk75783800"/>
      <w:bookmarkEnd w:id="35"/>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l vocablo</w:t>
      </w:r>
      <w:r w:rsidR="00940714" w:rsidRPr="00446B03">
        <w:rPr>
          <w:rFonts w:ascii="Arial" w:eastAsia="Times New Roman" w:hAnsi="Arial" w:cs="Arial"/>
          <w:bCs/>
          <w:sz w:val="22"/>
          <w:lang w:eastAsia="x-none"/>
        </w:rPr>
        <w:t xml:space="preserve"> </w:t>
      </w:r>
      <w:bookmarkStart w:id="38" w:name="_Hlk75632581"/>
      <w:r w:rsidR="005E06A4" w:rsidRPr="00446B03">
        <w:rPr>
          <w:rFonts w:ascii="Arial" w:eastAsia="Times New Roman" w:hAnsi="Arial" w:cs="Arial"/>
          <w:bCs/>
          <w:sz w:val="22"/>
          <w:lang w:eastAsia="x-none"/>
        </w:rPr>
        <w:t>«</w:t>
      </w:r>
      <w:bookmarkEnd w:id="38"/>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7"/>
      <w:r w:rsidR="007B0F2D" w:rsidRPr="00446B03">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39"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40"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0"/>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20"/>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1" w:name="_Hlk75635823"/>
      <w:r w:rsidR="00182C6C" w:rsidRPr="00446B03">
        <w:rPr>
          <w:rFonts w:ascii="Arial" w:eastAsia="Times New Roman" w:hAnsi="Arial" w:cs="Arial"/>
          <w:bCs/>
          <w:sz w:val="22"/>
          <w:lang w:eastAsia="x-none"/>
        </w:rPr>
        <w:t>»</w:t>
      </w:r>
      <w:bookmarkStart w:id="42" w:name="_Hlk75758868"/>
      <w:bookmarkStart w:id="43" w:name="_Hlk75741220"/>
      <w:bookmarkEnd w:id="41"/>
      <w:r w:rsidR="00182C6C" w:rsidRPr="00446B03">
        <w:rPr>
          <w:rStyle w:val="Refdenotaalpie"/>
          <w:rFonts w:ascii="Arial" w:hAnsi="Arial" w:cs="Arial"/>
        </w:rPr>
        <w:footnoteReference w:id="21"/>
      </w:r>
      <w:bookmarkEnd w:id="42"/>
      <w:bookmarkEnd w:id="43"/>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45"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5"/>
      <w:r w:rsidRPr="00446B03">
        <w:rPr>
          <w:rStyle w:val="Refdenotaalpie"/>
          <w:rFonts w:ascii="Arial" w:hAnsi="Arial" w:cs="Arial"/>
        </w:rPr>
        <w:footnoteReference w:id="22"/>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46"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w:t>
      </w:r>
      <w:r w:rsidRPr="00446B03">
        <w:rPr>
          <w:rFonts w:ascii="Arial" w:hAnsi="Arial" w:cs="Arial"/>
          <w:sz w:val="22"/>
        </w:rPr>
        <w:lastRenderedPageBreak/>
        <w:t xml:space="preserve">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6"/>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3"/>
      </w:r>
      <w:r w:rsidR="004E638B" w:rsidRPr="00446B03">
        <w:rPr>
          <w:rFonts w:ascii="Arial" w:hAnsi="Arial" w:cs="Arial"/>
          <w:sz w:val="22"/>
        </w:rPr>
        <w:t>.</w:t>
      </w:r>
    </w:p>
    <w:p w14:paraId="3511C4DF" w14:textId="017DEF61" w:rsidR="00A50F5C" w:rsidRPr="00446B03" w:rsidRDefault="004E638B" w:rsidP="00E7700C">
      <w:pPr>
        <w:spacing w:after="0"/>
        <w:ind w:firstLine="708"/>
        <w:rPr>
          <w:rFonts w:ascii="Arial" w:eastAsia="Times New Roman" w:hAnsi="Arial" w:cs="Arial"/>
          <w:bCs/>
          <w:sz w:val="22"/>
          <w:lang w:eastAsia="x-none"/>
        </w:rPr>
      </w:pPr>
      <w:bookmarkStart w:id="47" w:name="_Hlk77237229"/>
      <w:bookmarkEnd w:id="39"/>
      <w:r w:rsidRPr="00446B03">
        <w:rPr>
          <w:rFonts w:ascii="Arial" w:hAnsi="Arial" w:cs="Arial"/>
          <w:sz w:val="22"/>
        </w:rPr>
        <w:t>P</w:t>
      </w:r>
      <w:r w:rsidR="007B0F2D" w:rsidRPr="00446B03">
        <w:rPr>
          <w:rFonts w:ascii="Arial" w:hAnsi="Arial" w:cs="Arial"/>
          <w:sz w:val="22"/>
        </w:rPr>
        <w:t>or lo tanto, la restricción prevista en la Ley 996 de 200</w:t>
      </w:r>
      <w:bookmarkStart w:id="48"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Derecho Privado.</w:t>
      </w:r>
    </w:p>
    <w:bookmarkEnd w:id="47"/>
    <w:bookmarkEnd w:id="48"/>
    <w:p w14:paraId="3CC7CAE2" w14:textId="77777777" w:rsidR="007B0F2D" w:rsidRPr="00446B03" w:rsidRDefault="007B0F2D" w:rsidP="00E7700C">
      <w:pPr>
        <w:spacing w:after="0"/>
        <w:rPr>
          <w:rFonts w:ascii="Arial" w:hAnsi="Arial" w:cs="Arial"/>
          <w:sz w:val="22"/>
        </w:rPr>
      </w:pPr>
    </w:p>
    <w:p w14:paraId="4720F493" w14:textId="11830328" w:rsidR="0025237E" w:rsidRPr="00446B03" w:rsidRDefault="0025237E" w:rsidP="000641BE">
      <w:pPr>
        <w:spacing w:after="0"/>
        <w:rPr>
          <w:rFonts w:ascii="Arial" w:hAnsi="Arial" w:cs="Arial"/>
          <w:b/>
          <w:bCs/>
          <w:sz w:val="22"/>
        </w:rPr>
      </w:pPr>
      <w:bookmarkStart w:id="49" w:name="_Hlk75784645"/>
      <w:r w:rsidRPr="00446B03">
        <w:rPr>
          <w:rFonts w:ascii="Arial" w:hAnsi="Arial" w:cs="Arial"/>
          <w:b/>
          <w:bCs/>
          <w:sz w:val="22"/>
        </w:rPr>
        <w:t xml:space="preserve">2.4. </w:t>
      </w:r>
      <w:bookmarkStart w:id="50" w:name="_Hlk77153296"/>
      <w:r w:rsidRPr="00446B03">
        <w:rPr>
          <w:rFonts w:ascii="Arial" w:eastAsia="Times New Roman" w:hAnsi="Arial" w:cs="Arial"/>
          <w:b/>
          <w:bCs/>
          <w:sz w:val="22"/>
          <w:lang w:eastAsia="es-CO"/>
        </w:rPr>
        <w:t xml:space="preserve">Restricciones </w:t>
      </w:r>
      <w:bookmarkStart w:id="51" w:name="_Hlk75643279"/>
      <w:r w:rsidRPr="00446B03">
        <w:rPr>
          <w:rFonts w:ascii="Arial" w:eastAsia="Times New Roman" w:hAnsi="Arial" w:cs="Arial"/>
          <w:b/>
          <w:bCs/>
          <w:sz w:val="22"/>
          <w:lang w:eastAsia="es-CO"/>
        </w:rPr>
        <w:t xml:space="preserve">para la celebración de contratos y convenios interadministrativos en los comicios </w:t>
      </w:r>
      <w:r w:rsidR="00A62BAF">
        <w:rPr>
          <w:rFonts w:ascii="Arial" w:eastAsia="Times New Roman" w:hAnsi="Arial" w:cs="Arial"/>
          <w:b/>
          <w:bCs/>
          <w:sz w:val="22"/>
          <w:lang w:eastAsia="es-CO"/>
        </w:rPr>
        <w:t>para</w:t>
      </w:r>
      <w:r w:rsidRPr="00446B03">
        <w:rPr>
          <w:rFonts w:ascii="Arial" w:eastAsia="Times New Roman" w:hAnsi="Arial" w:cs="Arial"/>
          <w:b/>
          <w:bCs/>
          <w:sz w:val="22"/>
          <w:lang w:eastAsia="es-CO"/>
        </w:rPr>
        <w:t xml:space="preserve"> cargos de elección popular </w:t>
      </w:r>
    </w:p>
    <w:p w14:paraId="78D7277B" w14:textId="77777777" w:rsidR="00B56556" w:rsidRDefault="00B56556" w:rsidP="000641BE">
      <w:pPr>
        <w:tabs>
          <w:tab w:val="left" w:pos="426"/>
        </w:tabs>
        <w:spacing w:after="0"/>
        <w:rPr>
          <w:rFonts w:ascii="Arial" w:eastAsia="Calibri" w:hAnsi="Arial" w:cs="Arial"/>
          <w:bCs/>
          <w:sz w:val="22"/>
          <w:lang w:val="es-CO"/>
        </w:rPr>
      </w:pPr>
      <w:bookmarkStart w:id="52" w:name="_Hlk88210558"/>
      <w:bookmarkEnd w:id="50"/>
      <w:bookmarkEnd w:id="51"/>
    </w:p>
    <w:p w14:paraId="56538C49" w14:textId="1C6F6735" w:rsidR="0025237E" w:rsidRPr="00446B03" w:rsidRDefault="0025237E" w:rsidP="00E7700C">
      <w:pPr>
        <w:tabs>
          <w:tab w:val="left" w:pos="426"/>
        </w:tabs>
        <w:spacing w:after="120"/>
        <w:rPr>
          <w:rFonts w:ascii="Arial" w:eastAsia="Calibri" w:hAnsi="Arial" w:cs="Arial"/>
          <w:bCs/>
          <w:sz w:val="22"/>
          <w:lang w:val="es-CO"/>
        </w:rPr>
      </w:pPr>
      <w:r w:rsidRPr="00446B03">
        <w:rPr>
          <w:rFonts w:ascii="Arial" w:eastAsia="Calibri" w:hAnsi="Arial" w:cs="Arial"/>
          <w:bCs/>
          <w:sz w:val="22"/>
          <w:lang w:val="es-CO"/>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eastAsia="Times New Roman" w:hAnsi="Arial" w:cs="Arial"/>
          <w:bCs/>
          <w:iCs/>
          <w:sz w:val="22"/>
          <w:lang w:eastAsia="x-none"/>
        </w:rPr>
        <w:t xml:space="preserve"> </w:t>
      </w:r>
      <w:bookmarkEnd w:id="52"/>
      <w:r w:rsidRPr="00446B03">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eastAsia="Times New Roman" w:hAnsi="Arial" w:cs="Arial"/>
          <w:bCs/>
          <w:iCs/>
          <w:sz w:val="22"/>
          <w:lang w:eastAsia="x-none"/>
        </w:rPr>
        <w:footnoteReference w:id="24"/>
      </w:r>
      <w:r w:rsidRPr="00446B03">
        <w:rPr>
          <w:rFonts w:ascii="Arial" w:eastAsia="Times New Roman" w:hAnsi="Arial" w:cs="Arial"/>
          <w:bCs/>
          <w:iCs/>
          <w:sz w:val="22"/>
          <w:lang w:eastAsia="x-none"/>
        </w:rPr>
        <w:t>.</w:t>
      </w:r>
      <w:r w:rsidRPr="00446B03">
        <w:rPr>
          <w:rFonts w:ascii="Arial" w:hAnsi="Arial" w:cs="Arial"/>
        </w:rPr>
        <w:t xml:space="preserve"> </w:t>
      </w:r>
    </w:p>
    <w:p w14:paraId="5E39A10A" w14:textId="3783977E" w:rsidR="0025237E" w:rsidRPr="00446B03" w:rsidRDefault="0025237E" w:rsidP="00E7700C">
      <w:pPr>
        <w:pStyle w:val="Textoindependiente"/>
        <w:spacing w:after="120"/>
        <w:ind w:firstLine="707"/>
      </w:pPr>
      <w:r w:rsidRPr="00446B03">
        <w:rPr>
          <w:rFonts w:eastAsia="Calibri"/>
          <w:bCs/>
          <w:lang w:val="es-CO"/>
        </w:rPr>
        <w:t xml:space="preserve">Ahora bien, </w:t>
      </w:r>
      <w:bookmarkStart w:id="53" w:name="_Hlk78820161"/>
      <w:r w:rsidRPr="00446B03">
        <w:rPr>
          <w:rFonts w:eastAsia="Calibri"/>
          <w:bCs/>
          <w:lang w:val="es-CO"/>
        </w:rPr>
        <w:t xml:space="preserve">para determinar el alcance de la prohibición consagrada por la Ley de Garantías Electorales, conviene precisar la tipología de convenios o contratos interadministrativos. </w:t>
      </w:r>
      <w:r w:rsidRPr="00446B03">
        <w:t xml:space="preserve">Aunque </w:t>
      </w:r>
      <w:r w:rsidR="001406ED" w:rsidRPr="00446B03">
        <w:t xml:space="preserve">la ley </w:t>
      </w:r>
      <w:r w:rsidRPr="00446B03">
        <w:t xml:space="preserve">no la definió ni desarrolló, el Decreto 1082 de 2015 califica a los convenios o contratos interadministrativos como aquella contratación </w:t>
      </w:r>
      <w:r w:rsidRPr="00446B03">
        <w:lastRenderedPageBreak/>
        <w:t>entre entidades estatales</w:t>
      </w:r>
      <w:r w:rsidRPr="00446B03">
        <w:rPr>
          <w:rStyle w:val="Refdenotaalpie"/>
        </w:rPr>
        <w:footnoteReference w:id="25"/>
      </w:r>
      <w:r w:rsidRPr="00446B03">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46B03">
        <w:rPr>
          <w:spacing w:val="-6"/>
        </w:rPr>
        <w:t xml:space="preserve"> </w:t>
      </w:r>
      <w:r w:rsidRPr="00446B03">
        <w:t>estatales.</w:t>
      </w:r>
    </w:p>
    <w:p w14:paraId="63E3D246" w14:textId="77777777" w:rsidR="0025237E" w:rsidRPr="00446B03" w:rsidRDefault="0025237E" w:rsidP="00E7700C">
      <w:pPr>
        <w:pStyle w:val="Textoindependiente"/>
        <w:spacing w:before="117" w:after="120"/>
        <w:ind w:firstLine="707"/>
      </w:pPr>
      <w:bookmarkStart w:id="54" w:name="_Hlk78820654"/>
      <w:bookmarkEnd w:id="53"/>
      <w:r w:rsidRPr="00446B03">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4"/>
    <w:p w14:paraId="3606B8DF" w14:textId="77777777" w:rsidR="0025237E" w:rsidRPr="00446B03" w:rsidRDefault="0025237E" w:rsidP="00E7700C">
      <w:pPr>
        <w:pStyle w:val="Textoindependiente"/>
        <w:spacing w:before="121" w:after="120"/>
        <w:ind w:firstLine="707"/>
      </w:pPr>
      <w:r w:rsidRPr="00446B03">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46B03">
        <w:rPr>
          <w:rStyle w:val="Refdenotaalpie"/>
        </w:rPr>
        <w:footnoteReference w:id="26"/>
      </w:r>
      <w:r w:rsidRPr="00446B03">
        <w:t>. Nótese que, en este caso, lo que cambia es la modalidad de selección y no la naturaleza de contrato</w:t>
      </w:r>
      <w:r w:rsidRPr="00446B03">
        <w:rPr>
          <w:spacing w:val="-18"/>
        </w:rPr>
        <w:t xml:space="preserve"> </w:t>
      </w:r>
      <w:r w:rsidRPr="00446B03">
        <w:t>interadministrativo.</w:t>
      </w:r>
    </w:p>
    <w:p w14:paraId="3AEF1D00" w14:textId="77777777" w:rsidR="0025237E" w:rsidRPr="00446B03" w:rsidRDefault="0025237E" w:rsidP="00E7700C">
      <w:pPr>
        <w:pStyle w:val="Textoindependiente"/>
        <w:spacing w:before="114" w:after="0"/>
        <w:ind w:firstLine="707"/>
      </w:pPr>
      <w:r w:rsidRPr="00446B03">
        <w:t xml:space="preserve">La Corte Constitucional expresó en la Sentencia C–671 de 2015 que «Lo que hace interadministrativo a un contrato o convenio no es el procedimiento de selección </w:t>
      </w:r>
      <w:r w:rsidRPr="00446B03">
        <w:lastRenderedPageBreak/>
        <w:t>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46B03">
        <w:rPr>
          <w:spacing w:val="-13"/>
        </w:rPr>
        <w:t xml:space="preserve"> </w:t>
      </w:r>
      <w:r w:rsidRPr="00446B03">
        <w:t>que:</w:t>
      </w:r>
    </w:p>
    <w:p w14:paraId="0238689D" w14:textId="77777777" w:rsidR="0025237E" w:rsidRPr="00446B03" w:rsidRDefault="0025237E" w:rsidP="00E7700C">
      <w:pPr>
        <w:pStyle w:val="Textoindependiente"/>
        <w:spacing w:after="0"/>
        <w:ind w:firstLine="707"/>
      </w:pPr>
    </w:p>
    <w:p w14:paraId="4911F9D2" w14:textId="77777777" w:rsidR="0025237E" w:rsidRPr="00446B03" w:rsidRDefault="0025237E" w:rsidP="000641BE">
      <w:pPr>
        <w:spacing w:after="0" w:line="240" w:lineRule="auto"/>
        <w:ind w:left="709" w:right="709"/>
        <w:rPr>
          <w:rFonts w:ascii="Arial" w:hAnsi="Arial" w:cs="Arial"/>
          <w:sz w:val="21"/>
        </w:rPr>
      </w:pPr>
      <w:r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46B03">
        <w:rPr>
          <w:rStyle w:val="Refdenotaalpie"/>
          <w:rFonts w:ascii="Arial" w:hAnsi="Arial" w:cs="Arial"/>
          <w:sz w:val="21"/>
        </w:rPr>
        <w:footnoteReference w:id="27"/>
      </w:r>
      <w:r w:rsidRPr="00446B03">
        <w:rPr>
          <w:rFonts w:ascii="Arial" w:hAnsi="Arial" w:cs="Arial"/>
          <w:sz w:val="21"/>
        </w:rPr>
        <w:t>.</w:t>
      </w:r>
    </w:p>
    <w:p w14:paraId="51A9BC44" w14:textId="77777777" w:rsidR="0025237E" w:rsidRPr="000641BE" w:rsidRDefault="0025237E" w:rsidP="00E7700C">
      <w:pPr>
        <w:spacing w:after="0"/>
        <w:ind w:left="709" w:right="709"/>
        <w:rPr>
          <w:rFonts w:ascii="Arial" w:hAnsi="Arial" w:cs="Arial"/>
          <w:sz w:val="22"/>
        </w:rPr>
      </w:pPr>
    </w:p>
    <w:p w14:paraId="77A8586A" w14:textId="77777777" w:rsidR="0025237E" w:rsidRPr="00446B03" w:rsidRDefault="0025237E" w:rsidP="00E7700C">
      <w:pPr>
        <w:pStyle w:val="Textoindependiente"/>
        <w:spacing w:after="120"/>
        <w:ind w:firstLine="707"/>
      </w:pPr>
      <w:r w:rsidRPr="00446B03">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446B03" w:rsidRDefault="0025237E" w:rsidP="00E7700C">
      <w:pPr>
        <w:pStyle w:val="Textoindependiente"/>
        <w:spacing w:before="119" w:after="120"/>
        <w:ind w:firstLine="707"/>
      </w:pPr>
      <w:r w:rsidRPr="00446B03">
        <w:t xml:space="preserve">Así las cosas, la ley no limitó la celebración de contratos interadministrativos a la modalidad de selección de contratación directa, pues solo estableció, excepcionalmente, su celebración de manera directa cuando dos o más entidades </w:t>
      </w:r>
      <w:r w:rsidRPr="00446B03">
        <w:lastRenderedPageBreak/>
        <w:t>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46B03">
        <w:rPr>
          <w:spacing w:val="-3"/>
        </w:rPr>
        <w:t xml:space="preserve"> </w:t>
      </w:r>
      <w:r w:rsidRPr="00446B03">
        <w:t>estatales.</w:t>
      </w:r>
    </w:p>
    <w:p w14:paraId="1E7A765B" w14:textId="77777777" w:rsidR="0025237E" w:rsidRPr="00446B03" w:rsidRDefault="0025237E" w:rsidP="009B053C">
      <w:pPr>
        <w:pStyle w:val="Textoindependiente"/>
        <w:spacing w:before="120" w:after="120"/>
        <w:ind w:firstLine="709"/>
      </w:pPr>
      <w:r w:rsidRPr="00446B03">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46B03">
        <w:rPr>
          <w:spacing w:val="-4"/>
        </w:rPr>
        <w:t xml:space="preserve"> </w:t>
      </w:r>
      <w:r w:rsidRPr="00446B03">
        <w:t>estatales.</w:t>
      </w:r>
    </w:p>
    <w:p w14:paraId="5B1B3941" w14:textId="77777777" w:rsidR="0025237E" w:rsidRPr="00446B03" w:rsidRDefault="0025237E" w:rsidP="00E7700C">
      <w:pPr>
        <w:pStyle w:val="Textoindependiente"/>
        <w:spacing w:before="122" w:after="120"/>
        <w:ind w:firstLine="708"/>
      </w:pPr>
      <w:r w:rsidRPr="00446B03">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446B03" w:rsidRDefault="0025237E" w:rsidP="00E7700C">
      <w:pPr>
        <w:pStyle w:val="Textoindependiente"/>
        <w:spacing w:after="0"/>
        <w:ind w:firstLine="708"/>
        <w:rPr>
          <w:rFonts w:eastAsia="Calibri"/>
          <w:bCs/>
          <w:lang w:val="es-CO"/>
        </w:rPr>
      </w:pPr>
      <w:r w:rsidRPr="00446B03">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w:t>
      </w:r>
      <w:r w:rsidRPr="00446B03">
        <w:lastRenderedPageBreak/>
        <w:t>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46B03">
        <w:rPr>
          <w:spacing w:val="-4"/>
        </w:rPr>
        <w:t xml:space="preserve"> </w:t>
      </w:r>
      <w:r w:rsidRPr="00446B03">
        <w:t>[…]»</w:t>
      </w:r>
      <w:r w:rsidRPr="00446B03">
        <w:rPr>
          <w:rStyle w:val="Refdenotaalpie"/>
        </w:rPr>
        <w:footnoteReference w:id="28"/>
      </w:r>
      <w:r w:rsidRPr="00446B03">
        <w:t>.</w:t>
      </w:r>
      <w:bookmarkStart w:id="55" w:name="_Hlk77171241"/>
    </w:p>
    <w:p w14:paraId="6773070C" w14:textId="3CDC1C4F" w:rsidR="0025237E" w:rsidRDefault="0025237E" w:rsidP="00DB6533">
      <w:pPr>
        <w:pStyle w:val="Textoindependiente"/>
        <w:spacing w:before="122" w:after="0"/>
        <w:ind w:firstLine="709"/>
      </w:pPr>
      <w:r w:rsidRPr="00446B03">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t xml:space="preserve">en </w:t>
      </w:r>
      <w:r w:rsidRPr="00446B03">
        <w:t>sentencia del 14 de junio de 2019 expresó:</w:t>
      </w:r>
    </w:p>
    <w:p w14:paraId="0A903199" w14:textId="77777777" w:rsidR="004367C8" w:rsidRPr="00446B03" w:rsidRDefault="004367C8" w:rsidP="000641BE">
      <w:pPr>
        <w:pStyle w:val="Textoindependiente"/>
        <w:spacing w:after="0"/>
        <w:ind w:firstLine="709"/>
      </w:pPr>
    </w:p>
    <w:p w14:paraId="7F6B8ACF" w14:textId="6A1CD6A4" w:rsidR="0025237E" w:rsidRPr="00446B03" w:rsidRDefault="0025237E" w:rsidP="000641BE">
      <w:pPr>
        <w:spacing w:after="120" w:line="240" w:lineRule="auto"/>
        <w:ind w:left="709" w:right="709"/>
        <w:rPr>
          <w:rFonts w:ascii="Arial" w:hAnsi="Arial" w:cs="Arial"/>
          <w:sz w:val="21"/>
          <w:szCs w:val="21"/>
          <w:lang w:val="es-ES_tradnl"/>
        </w:rPr>
      </w:pPr>
      <w:r w:rsidRPr="00446B03">
        <w:rPr>
          <w:rFonts w:ascii="Arial" w:hAnsi="Arial" w:cs="Arial"/>
          <w:sz w:val="21"/>
          <w:szCs w:val="21"/>
          <w:lang w:val="es-ES_tradnl"/>
        </w:rPr>
        <w:t>La Sala de Consulta y Servicio Civil</w:t>
      </w:r>
      <w:r w:rsidRPr="00446B03">
        <w:rPr>
          <w:rStyle w:val="Refdenotaalpie"/>
          <w:rFonts w:ascii="Arial" w:hAnsi="Arial" w:cs="Arial"/>
          <w:sz w:val="21"/>
          <w:szCs w:val="21"/>
          <w:lang w:val="es-ES_tradnl"/>
        </w:rPr>
        <w:footnoteReference w:id="29"/>
      </w:r>
      <w:r w:rsidRPr="00446B03">
        <w:rPr>
          <w:rFonts w:ascii="Arial" w:hAnsi="Arial" w:cs="Arial"/>
          <w:sz w:val="21"/>
          <w:szCs w:val="21"/>
          <w:lang w:val="es-ES_tradnl"/>
        </w:rPr>
        <w:t xml:space="preserve"> de esta Corporación se ha referido a los </w:t>
      </w:r>
      <w:r w:rsidRPr="00446B03">
        <w:rPr>
          <w:rFonts w:ascii="Arial" w:hAnsi="Arial" w:cs="Arial"/>
          <w:i/>
          <w:sz w:val="21"/>
          <w:szCs w:val="21"/>
          <w:lang w:val="es-ES_tradnl"/>
        </w:rPr>
        <w:t>“convenios interadministrativos”</w:t>
      </w:r>
      <w:r w:rsidRPr="00446B03">
        <w:rPr>
          <w:rFonts w:ascii="Arial" w:hAnsi="Arial" w:cs="Arial"/>
          <w:sz w:val="21"/>
          <w:szCs w:val="21"/>
          <w:lang w:val="es-ES_tradnl"/>
        </w:rPr>
        <w:t xml:space="preserve"> a los cuales alude el artículo 95 de la Ley 489 de 1998, calificándolos de </w:t>
      </w:r>
      <w:r w:rsidRPr="00446B03">
        <w:rPr>
          <w:rFonts w:ascii="Arial" w:hAnsi="Arial" w:cs="Arial"/>
          <w:i/>
          <w:sz w:val="21"/>
          <w:szCs w:val="21"/>
          <w:lang w:val="es-ES_tradnl"/>
        </w:rPr>
        <w:t xml:space="preserve">“puros” </w:t>
      </w:r>
      <w:r w:rsidRPr="00446B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46B03">
        <w:rPr>
          <w:rFonts w:ascii="Arial" w:hAnsi="Arial" w:cs="Arial"/>
          <w:i/>
          <w:sz w:val="21"/>
          <w:szCs w:val="21"/>
          <w:lang w:val="es-ES_tradnl"/>
        </w:rPr>
        <w:t>“intercambio patrimonial”</w:t>
      </w:r>
      <w:r w:rsidRPr="00446B03">
        <w:rPr>
          <w:rFonts w:ascii="Arial" w:hAnsi="Arial" w:cs="Arial"/>
          <w:sz w:val="21"/>
          <w:szCs w:val="21"/>
          <w:lang w:val="es-ES_tradnl"/>
        </w:rPr>
        <w:t>. Sin perjuicio de lo anterior, en otra oportunidad, la misma Sala</w:t>
      </w:r>
      <w:r w:rsidRPr="00446B03">
        <w:rPr>
          <w:rStyle w:val="Refdenotaalpie"/>
          <w:rFonts w:ascii="Arial" w:hAnsi="Arial" w:cs="Arial"/>
          <w:sz w:val="21"/>
          <w:szCs w:val="21"/>
          <w:lang w:val="es-ES_tradnl"/>
        </w:rPr>
        <w:footnoteReference w:id="30"/>
      </w:r>
      <w:r w:rsidRPr="00446B03">
        <w:rPr>
          <w:rFonts w:ascii="Arial" w:hAnsi="Arial" w:cs="Arial"/>
          <w:sz w:val="21"/>
          <w:szCs w:val="21"/>
          <w:lang w:val="es-ES_tradnl"/>
        </w:rPr>
        <w:t xml:space="preserve"> había indicado que, si bien en dichos convenios no se daba un </w:t>
      </w:r>
      <w:r w:rsidRPr="00446B03">
        <w:rPr>
          <w:rFonts w:ascii="Arial" w:hAnsi="Arial" w:cs="Arial"/>
          <w:i/>
          <w:sz w:val="21"/>
          <w:szCs w:val="21"/>
          <w:lang w:val="es-ES_tradnl"/>
        </w:rPr>
        <w:t>“verdadero intercambio de bienes o servicios (contrato conmutativo)”</w:t>
      </w:r>
      <w:r w:rsidRPr="00446B03">
        <w:rPr>
          <w:rFonts w:ascii="Arial" w:hAnsi="Arial" w:cs="Arial"/>
          <w:sz w:val="21"/>
          <w:szCs w:val="21"/>
          <w:lang w:val="es-ES_tradnl"/>
        </w:rPr>
        <w:t>, ello no impedía que se conviniera una remuneración a cargo de alguna(s) entidad(es).</w:t>
      </w:r>
    </w:p>
    <w:p w14:paraId="5BB92D3F" w14:textId="77777777" w:rsidR="0025237E" w:rsidRPr="00446B03" w:rsidRDefault="0025237E" w:rsidP="000641BE">
      <w:pPr>
        <w:pStyle w:val="Textoindependiente"/>
        <w:spacing w:after="0" w:line="240" w:lineRule="auto"/>
        <w:ind w:left="709" w:right="709"/>
        <w:rPr>
          <w:sz w:val="21"/>
          <w:szCs w:val="21"/>
        </w:rPr>
      </w:pPr>
      <w:r w:rsidRPr="00446B03">
        <w:rPr>
          <w:sz w:val="21"/>
          <w:szCs w:val="21"/>
          <w:lang w:val="es-ES_tradnl"/>
        </w:rPr>
        <w:t xml:space="preserve">Lo expuesto evidencia que, en general, las interpretaciones en torno a los </w:t>
      </w:r>
      <w:r w:rsidRPr="00446B03">
        <w:rPr>
          <w:i/>
          <w:sz w:val="21"/>
          <w:szCs w:val="21"/>
          <w:lang w:val="es-ES_tradnl"/>
        </w:rPr>
        <w:t>“convenios interadministrativos”</w:t>
      </w:r>
      <w:r w:rsidRPr="00446B03">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w:t>
      </w:r>
      <w:r w:rsidRPr="00446B03">
        <w:rPr>
          <w:sz w:val="21"/>
          <w:szCs w:val="21"/>
          <w:lang w:val="es-ES_tradnl"/>
        </w:rPr>
        <w:lastRenderedPageBreak/>
        <w:t>cuales tienen por objeto prestaciones patrimoniales</w:t>
      </w:r>
      <w:r w:rsidRPr="00446B03">
        <w:rPr>
          <w:rStyle w:val="Refdenotaalpie"/>
          <w:sz w:val="21"/>
          <w:szCs w:val="21"/>
          <w:lang w:val="es-ES_tradnl"/>
        </w:rPr>
        <w:footnoteReference w:id="31"/>
      </w:r>
      <w:r w:rsidRPr="00446B03">
        <w:rPr>
          <w:rStyle w:val="Refdenotaalpie"/>
          <w:sz w:val="21"/>
          <w:szCs w:val="21"/>
          <w:lang w:val="es-ES_tradnl"/>
        </w:rPr>
        <w:footnoteReference w:id="32"/>
      </w:r>
      <w:r w:rsidRPr="00446B03">
        <w:rPr>
          <w:sz w:val="21"/>
          <w:szCs w:val="21"/>
          <w:lang w:val="es-ES_tradnl"/>
        </w:rPr>
        <w:t>.</w:t>
      </w:r>
    </w:p>
    <w:p w14:paraId="6A09A213" w14:textId="77777777" w:rsidR="0025237E" w:rsidRPr="00446B03" w:rsidRDefault="0025237E" w:rsidP="00E7700C">
      <w:pPr>
        <w:pStyle w:val="Textoindependiente"/>
        <w:spacing w:after="0"/>
      </w:pPr>
    </w:p>
    <w:p w14:paraId="0E9BAB17" w14:textId="77777777" w:rsidR="0025237E" w:rsidRPr="00446B03" w:rsidRDefault="0025237E" w:rsidP="00E7700C">
      <w:pPr>
        <w:pStyle w:val="Textoindependiente"/>
        <w:spacing w:after="120"/>
      </w:pPr>
      <w:r w:rsidRPr="00446B03">
        <w:tab/>
        <w:t>Sin perjuicio de lo indicado, vale la pena reiterar que el legislador y el ordenamiento jurídico, en general, en distintas ocasiones utiliza de forma indistinta los conceptos de contrato o convenio para referirse a la misma institución jurídica</w:t>
      </w:r>
      <w:r w:rsidRPr="00446B03">
        <w:rPr>
          <w:rStyle w:val="Refdenotaalpie"/>
        </w:rPr>
        <w:footnoteReference w:id="33"/>
      </w:r>
      <w:r w:rsidRPr="00446B03">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46B03">
        <w:rPr>
          <w:rStyle w:val="Refdenotaalpie"/>
        </w:rPr>
        <w:footnoteReference w:id="34"/>
      </w:r>
      <w:r w:rsidRPr="00446B03">
        <w:t>.</w:t>
      </w:r>
    </w:p>
    <w:p w14:paraId="04FF5252" w14:textId="77777777" w:rsidR="0025237E" w:rsidRPr="00446B03" w:rsidRDefault="0025237E" w:rsidP="00E7700C">
      <w:pPr>
        <w:pStyle w:val="Textoindependiente"/>
        <w:spacing w:after="0"/>
      </w:pPr>
      <w:r w:rsidRPr="00446B03">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w:t>
      </w:r>
      <w:r w:rsidRPr="00446B03">
        <w:lastRenderedPageBreak/>
        <w:t>relevante para este concepto, para la aplicación de la Ley de Garantías. En este sentido, la Circular, refiriéndose al parágrafo del artículo 38 de la Ley 996 de 2005, expresa:</w:t>
      </w:r>
    </w:p>
    <w:p w14:paraId="5205D9C5" w14:textId="77777777" w:rsidR="0025237E" w:rsidRPr="00446B03" w:rsidRDefault="0025237E" w:rsidP="00E7700C">
      <w:pPr>
        <w:pStyle w:val="Textoindependiente"/>
        <w:spacing w:after="0"/>
      </w:pPr>
    </w:p>
    <w:p w14:paraId="66276042" w14:textId="6F634BDC" w:rsidR="0025237E" w:rsidRPr="00446B03" w:rsidRDefault="0025237E" w:rsidP="000641BE">
      <w:pPr>
        <w:spacing w:after="120" w:line="240" w:lineRule="auto"/>
        <w:ind w:left="709" w:right="709"/>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446B03" w:rsidRDefault="0025237E" w:rsidP="000641BE">
      <w:pPr>
        <w:spacing w:after="120" w:line="240" w:lineRule="auto"/>
        <w:ind w:left="709" w:right="709"/>
        <w:rPr>
          <w:rFonts w:ascii="Arial" w:hAnsi="Arial" w:cs="Arial"/>
          <w:sz w:val="21"/>
          <w:szCs w:val="21"/>
        </w:rPr>
      </w:pPr>
      <w:r w:rsidRPr="00446B03">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446B03" w:rsidRDefault="0025237E" w:rsidP="000641BE">
      <w:pPr>
        <w:spacing w:after="0" w:line="240" w:lineRule="auto"/>
        <w:ind w:left="709" w:right="709"/>
      </w:pPr>
      <w:r w:rsidRPr="00446B0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0641BE" w:rsidRDefault="0025237E" w:rsidP="00E7700C">
      <w:pPr>
        <w:pStyle w:val="Textoindependiente"/>
        <w:spacing w:before="3" w:after="0"/>
      </w:pPr>
    </w:p>
    <w:p w14:paraId="4F0759FD" w14:textId="77777777" w:rsidR="0025237E" w:rsidRPr="00446B03" w:rsidRDefault="0025237E" w:rsidP="00E7700C">
      <w:pPr>
        <w:pStyle w:val="Textoindependiente"/>
        <w:spacing w:after="120"/>
        <w:rPr>
          <w:rFonts w:eastAsia="Calibri"/>
          <w:bCs/>
          <w:lang w:val="es-CO"/>
        </w:rPr>
      </w:pPr>
      <w:r w:rsidRPr="00446B03">
        <w:rPr>
          <w:sz w:val="25"/>
        </w:rPr>
        <w:tab/>
      </w:r>
      <w:r w:rsidRPr="00446B03">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w:t>
      </w:r>
      <w:r w:rsidRPr="00446B03">
        <w:lastRenderedPageBreak/>
        <w:t>términos deben asimilarse, salvo que de su contenido se logre inferir que se le quiere otorgar un contenido en particular, pues como se expresó, el legislador utiliza estos conceptos de forma indistinta.</w:t>
      </w:r>
      <w:bookmarkEnd w:id="55"/>
    </w:p>
    <w:p w14:paraId="68142E40" w14:textId="1E436096" w:rsidR="0025237E" w:rsidRPr="00446B03" w:rsidRDefault="0025237E" w:rsidP="00E7700C">
      <w:pPr>
        <w:tabs>
          <w:tab w:val="left" w:pos="426"/>
        </w:tabs>
        <w:spacing w:after="12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 xml:space="preserve">Se observa entonces que </w:t>
      </w:r>
      <w:r w:rsidRPr="00446B03">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46B03">
        <w:rPr>
          <w:rFonts w:ascii="Arial" w:eastAsia="Times New Roman" w:hAnsi="Arial" w:cs="Arial"/>
          <w:bCs/>
          <w:i/>
          <w:iCs/>
          <w:sz w:val="22"/>
          <w:lang w:eastAsia="es-CO"/>
        </w:rPr>
        <w:t>ibidem</w:t>
      </w:r>
      <w:r w:rsidRPr="00446B03">
        <w:rPr>
          <w:rFonts w:ascii="Arial" w:eastAsia="Times New Roman"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77BF5" w:rsidRPr="002F0981">
        <w:rPr>
          <w:rStyle w:val="Refdenotaalpie"/>
          <w:rFonts w:ascii="Arial" w:hAnsi="Arial" w:cs="Arial"/>
          <w:bCs/>
          <w:sz w:val="22"/>
          <w:lang w:eastAsia="es-CO"/>
        </w:rPr>
        <w:footnoteReference w:id="35"/>
      </w:r>
      <w:r w:rsidRPr="00446B03">
        <w:rPr>
          <w:rFonts w:ascii="Arial" w:eastAsia="Times New Roman" w:hAnsi="Arial" w:cs="Arial"/>
          <w:bCs/>
          <w:sz w:val="22"/>
          <w:lang w:eastAsia="es-CO"/>
        </w:rPr>
        <w:t xml:space="preserve">. </w:t>
      </w:r>
    </w:p>
    <w:p w14:paraId="484999BB" w14:textId="2CB933B0" w:rsidR="006652E9" w:rsidRDefault="0025237E" w:rsidP="00947EF5">
      <w:pPr>
        <w:pStyle w:val="Textoindependiente"/>
        <w:spacing w:after="0"/>
        <w:ind w:firstLine="709"/>
        <w:rPr>
          <w:rFonts w:eastAsia="Calibri"/>
          <w:lang w:val="es-CO"/>
        </w:rPr>
      </w:pPr>
      <w:r w:rsidRPr="00446B03">
        <w:rPr>
          <w:rFonts w:eastAsia="Times New Roman"/>
          <w:bCs/>
          <w:lang w:eastAsia="es-CO"/>
        </w:rPr>
        <w:t>En todo caso</w:t>
      </w:r>
      <w:bookmarkStart w:id="56" w:name="_Hlk77154098"/>
      <w:r w:rsidRPr="00446B03">
        <w:t xml:space="preserve">, es importante resaltar que la Sala de Consulta y Servicio Civil del Consejo de Estado se ha pronunciado en el sentido de que </w:t>
      </w:r>
      <w:bookmarkStart w:id="57" w:name="_Hlk78820889"/>
      <w:r w:rsidRPr="00446B03">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7"/>
      <w:r w:rsidRPr="00446B03">
        <w:rPr>
          <w:rStyle w:val="Refdenotaalpie"/>
        </w:rPr>
        <w:footnoteReference w:id="36"/>
      </w:r>
      <w:r w:rsidRPr="00446B03">
        <w:rPr>
          <w:rFonts w:eastAsia="Calibri"/>
          <w:lang w:val="es-CO"/>
        </w:rPr>
        <w:t>.</w:t>
      </w:r>
      <w:bookmarkEnd w:id="56"/>
    </w:p>
    <w:p w14:paraId="768FF2E9" w14:textId="77777777" w:rsidR="006652E9" w:rsidRPr="00446B03" w:rsidRDefault="006652E9" w:rsidP="00947EF5">
      <w:pPr>
        <w:pStyle w:val="Textoindependiente"/>
        <w:spacing w:after="0"/>
        <w:ind w:firstLine="709"/>
        <w:rPr>
          <w:rFonts w:eastAsia="Times New Roman"/>
          <w:bCs/>
          <w:iCs/>
          <w:lang w:val="es-CO" w:eastAsia="x-none"/>
        </w:rPr>
      </w:pPr>
    </w:p>
    <w:bookmarkEnd w:id="49"/>
    <w:p w14:paraId="398143EA" w14:textId="3F09F142" w:rsidR="007B234F" w:rsidRPr="00EA4BA0" w:rsidRDefault="0015784C" w:rsidP="00947EF5">
      <w:pPr>
        <w:shd w:val="clear" w:color="auto" w:fill="FFFFFF"/>
        <w:spacing w:after="0"/>
        <w:rPr>
          <w:rFonts w:ascii="Arial" w:eastAsia="Times New Roman" w:hAnsi="Arial" w:cs="Arial"/>
          <w:sz w:val="22"/>
          <w:lang w:val="es-CO" w:eastAsia="es-CO"/>
        </w:rPr>
      </w:pPr>
      <w:r w:rsidRPr="006652E9">
        <w:rPr>
          <w:rFonts w:ascii="Arial" w:eastAsia="Times New Roman" w:hAnsi="Arial" w:cs="Arial"/>
          <w:b/>
          <w:bCs/>
          <w:sz w:val="22"/>
          <w:lang w:val="es-CO" w:eastAsia="es-CO"/>
        </w:rPr>
        <w:t>2.5.</w:t>
      </w:r>
      <w:r w:rsidR="00947EF5">
        <w:rPr>
          <w:rFonts w:ascii="Arial" w:eastAsia="Times New Roman" w:hAnsi="Arial" w:cs="Arial"/>
          <w:sz w:val="22"/>
          <w:lang w:val="es-CO" w:eastAsia="es-CO"/>
        </w:rPr>
        <w:t xml:space="preserve"> </w:t>
      </w:r>
      <w:r w:rsidR="001B38FB">
        <w:rPr>
          <w:rFonts w:ascii="Arial" w:eastAsia="Times New Roman" w:hAnsi="Arial" w:cs="Arial"/>
          <w:b/>
          <w:bCs/>
          <w:sz w:val="22"/>
          <w:lang w:val="es-CO" w:eastAsia="es-CO"/>
        </w:rPr>
        <w:t>M</w:t>
      </w:r>
      <w:r w:rsidR="007B234F" w:rsidRPr="00EA4BA0">
        <w:rPr>
          <w:rFonts w:ascii="Arial" w:eastAsia="Times New Roman" w:hAnsi="Arial" w:cs="Arial"/>
          <w:b/>
          <w:bCs/>
          <w:sz w:val="22"/>
          <w:lang w:val="es-CO" w:eastAsia="es-CO"/>
        </w:rPr>
        <w:t xml:space="preserve">odificaciones realizadas por la </w:t>
      </w:r>
      <w:r w:rsidR="007B234F">
        <w:rPr>
          <w:rFonts w:ascii="Arial" w:eastAsia="Times New Roman" w:hAnsi="Arial" w:cs="Arial"/>
          <w:b/>
          <w:bCs/>
          <w:sz w:val="22"/>
          <w:lang w:val="es-CO" w:eastAsia="es-CO"/>
        </w:rPr>
        <w:t>L</w:t>
      </w:r>
      <w:r w:rsidR="007B234F" w:rsidRPr="00EA4BA0">
        <w:rPr>
          <w:rFonts w:ascii="Arial" w:eastAsia="Times New Roman" w:hAnsi="Arial" w:cs="Arial"/>
          <w:b/>
          <w:bCs/>
          <w:sz w:val="22"/>
          <w:lang w:val="es-CO" w:eastAsia="es-CO"/>
        </w:rPr>
        <w:t xml:space="preserve">ey </w:t>
      </w:r>
      <w:r w:rsidR="007B234F">
        <w:rPr>
          <w:rFonts w:ascii="Arial" w:eastAsia="Times New Roman" w:hAnsi="Arial" w:cs="Arial"/>
          <w:b/>
          <w:bCs/>
          <w:sz w:val="22"/>
          <w:lang w:val="es-CO" w:eastAsia="es-CO"/>
        </w:rPr>
        <w:t>A</w:t>
      </w:r>
      <w:r w:rsidR="007B234F" w:rsidRPr="00EA4BA0">
        <w:rPr>
          <w:rFonts w:ascii="Arial" w:eastAsia="Times New Roman" w:hAnsi="Arial" w:cs="Arial"/>
          <w:b/>
          <w:bCs/>
          <w:sz w:val="22"/>
          <w:lang w:val="es-CO" w:eastAsia="es-CO"/>
        </w:rPr>
        <w:t xml:space="preserve">nual del </w:t>
      </w:r>
      <w:r w:rsidR="007B234F">
        <w:rPr>
          <w:rFonts w:ascii="Arial" w:eastAsia="Times New Roman" w:hAnsi="Arial" w:cs="Arial"/>
          <w:b/>
          <w:bCs/>
          <w:sz w:val="22"/>
          <w:lang w:val="es-CO" w:eastAsia="es-CO"/>
        </w:rPr>
        <w:t>P</w:t>
      </w:r>
      <w:r w:rsidR="007B234F" w:rsidRPr="00EA4BA0">
        <w:rPr>
          <w:rFonts w:ascii="Arial" w:eastAsia="Times New Roman" w:hAnsi="Arial" w:cs="Arial"/>
          <w:b/>
          <w:bCs/>
          <w:sz w:val="22"/>
          <w:lang w:val="es-CO" w:eastAsia="es-CO"/>
        </w:rPr>
        <w:t xml:space="preserve">resupuesto para la vigencia fiscal de 2022 </w:t>
      </w:r>
      <w:r w:rsidR="007B234F">
        <w:rPr>
          <w:rFonts w:ascii="Arial" w:eastAsia="Times New Roman" w:hAnsi="Arial" w:cs="Arial"/>
          <w:b/>
          <w:bCs/>
          <w:sz w:val="22"/>
          <w:lang w:val="es-CO" w:eastAsia="es-CO"/>
        </w:rPr>
        <w:t>a</w:t>
      </w:r>
      <w:r w:rsidR="007B234F" w:rsidRPr="00EA4BA0">
        <w:rPr>
          <w:rFonts w:ascii="Arial" w:eastAsia="Times New Roman" w:hAnsi="Arial" w:cs="Arial"/>
          <w:b/>
          <w:bCs/>
          <w:sz w:val="22"/>
          <w:lang w:val="es-CO" w:eastAsia="es-CO"/>
        </w:rPr>
        <w:t xml:space="preserve"> la Ley de Garantías Electorales</w:t>
      </w:r>
      <w:r w:rsidR="007B234F" w:rsidRPr="00EA4BA0">
        <w:rPr>
          <w:rFonts w:ascii="Arial" w:eastAsia="Times New Roman" w:hAnsi="Arial" w:cs="Arial"/>
          <w:sz w:val="22"/>
          <w:lang w:val="es-CO" w:eastAsia="es-CO"/>
        </w:rPr>
        <w:t xml:space="preserve"> </w:t>
      </w:r>
    </w:p>
    <w:p w14:paraId="2F173C3B" w14:textId="77777777" w:rsidR="007B234F" w:rsidRPr="00EA4BA0" w:rsidRDefault="007B234F" w:rsidP="00947EF5">
      <w:pPr>
        <w:shd w:val="clear" w:color="auto" w:fill="FFFFFF"/>
        <w:spacing w:after="0"/>
        <w:rPr>
          <w:rFonts w:ascii="Arial" w:eastAsia="Times New Roman" w:hAnsi="Arial" w:cs="Arial"/>
          <w:sz w:val="22"/>
          <w:lang w:val="es-CO" w:eastAsia="es-CO"/>
        </w:rPr>
      </w:pPr>
    </w:p>
    <w:p w14:paraId="67928DA1" w14:textId="36D4EBFD" w:rsidR="007B234F" w:rsidRPr="00181C58" w:rsidRDefault="007B234F" w:rsidP="007B234F">
      <w:pPr>
        <w:shd w:val="clear" w:color="auto" w:fill="FFFFFF"/>
        <w:spacing w:after="0"/>
        <w:rPr>
          <w:rFonts w:ascii="Arial" w:eastAsia="Times New Roman" w:hAnsi="Arial" w:cs="Arial"/>
          <w:sz w:val="22"/>
          <w:lang w:val="es-CO" w:eastAsia="es-CO"/>
        </w:rPr>
      </w:pPr>
      <w:bookmarkStart w:id="58" w:name="_Hlk88824711"/>
      <w:r w:rsidRPr="00181C58">
        <w:rPr>
          <w:rFonts w:ascii="Arial" w:eastAsia="Times New Roman" w:hAnsi="Arial" w:cs="Arial"/>
          <w:sz w:val="22"/>
          <w:lang w:val="es-CO" w:eastAsia="es-CO"/>
        </w:rPr>
        <w:t>El 12 de noviembre de 2021 el Presidente de la República sancionó la Ley 2159</w:t>
      </w:r>
      <w:r w:rsidRPr="00181C58">
        <w:rPr>
          <w:rStyle w:val="Refdenotaalpie"/>
          <w:rFonts w:ascii="Arial" w:eastAsia="Times New Roman" w:hAnsi="Arial" w:cs="Arial"/>
          <w:sz w:val="22"/>
          <w:lang w:val="es-CO" w:eastAsia="es-CO"/>
        </w:rPr>
        <w:footnoteReference w:id="37"/>
      </w:r>
      <w:r w:rsidRPr="00181C58">
        <w:rPr>
          <w:rFonts w:ascii="Arial" w:eastAsia="Times New Roman" w:hAnsi="Arial" w:cs="Arial"/>
          <w:sz w:val="22"/>
          <w:lang w:val="es-CO" w:eastAsia="es-CO"/>
        </w:rPr>
        <w:t xml:space="preserve">,  por la cual se decreta el presupuesto de rentas y recursos de capital y ley de apropiaciones para la vigencia fiscal del 1 de enero al 31 de diciembre de 2022 </w:t>
      </w:r>
      <w:r w:rsidR="00E04A00">
        <w:rPr>
          <w:rFonts w:ascii="Arial" w:eastAsia="Times New Roman" w:hAnsi="Arial" w:cs="Arial"/>
          <w:sz w:val="22"/>
          <w:lang w:val="es-CO" w:eastAsia="es-CO"/>
        </w:rPr>
        <w:t>–</w:t>
      </w:r>
      <w:r w:rsidRPr="00181C58">
        <w:rPr>
          <w:rFonts w:ascii="Arial" w:eastAsia="Times New Roman" w:hAnsi="Arial" w:cs="Arial"/>
          <w:sz w:val="22"/>
          <w:lang w:val="es-CO" w:eastAsia="es-CO"/>
        </w:rPr>
        <w:t xml:space="preserve">Ley </w:t>
      </w:r>
      <w:r w:rsidRPr="00181C58">
        <w:rPr>
          <w:rFonts w:ascii="Arial" w:eastAsia="Times New Roman" w:hAnsi="Arial" w:cs="Arial"/>
          <w:sz w:val="22"/>
          <w:lang w:val="es-CO" w:eastAsia="es-CO"/>
        </w:rPr>
        <w:lastRenderedPageBreak/>
        <w:t>Anual del Presupuesto</w:t>
      </w:r>
      <w:bookmarkEnd w:id="58"/>
      <w:r w:rsidR="00E04A00">
        <w:rPr>
          <w:rFonts w:ascii="Arial" w:eastAsia="Times New Roman" w:hAnsi="Arial" w:cs="Arial"/>
          <w:sz w:val="22"/>
          <w:lang w:val="es-CO" w:eastAsia="es-CO"/>
        </w:rPr>
        <w:t>–</w:t>
      </w:r>
      <w:r w:rsidRPr="00181C58">
        <w:rPr>
          <w:rStyle w:val="Refdenotaalpie"/>
          <w:rFonts w:ascii="Arial" w:eastAsia="Times New Roman" w:hAnsi="Arial" w:cs="Arial"/>
          <w:sz w:val="22"/>
          <w:lang w:val="es-CO" w:eastAsia="es-CO"/>
        </w:rPr>
        <w:footnoteReference w:id="38"/>
      </w:r>
      <w:r w:rsidRPr="00181C58">
        <w:rPr>
          <w:rFonts w:ascii="Arial" w:eastAsia="Times New Roman" w:hAnsi="Arial" w:cs="Arial"/>
          <w:sz w:val="22"/>
          <w:lang w:val="es-CO" w:eastAsia="es-CO"/>
        </w:rPr>
        <w:t>.</w:t>
      </w:r>
      <w:r w:rsidR="007C0A36">
        <w:rPr>
          <w:rFonts w:ascii="Arial" w:eastAsia="Times New Roman" w:hAnsi="Arial" w:cs="Arial"/>
          <w:sz w:val="22"/>
          <w:lang w:val="es-CO" w:eastAsia="es-CO"/>
        </w:rPr>
        <w:t xml:space="preserve"> En</w:t>
      </w:r>
      <w:r w:rsidRPr="00181C58">
        <w:rPr>
          <w:rFonts w:ascii="Arial" w:eastAsia="Times New Roman" w:hAnsi="Arial" w:cs="Arial"/>
          <w:sz w:val="22"/>
          <w:lang w:val="es-CO" w:eastAsia="es-CO"/>
        </w:rPr>
        <w:t xml:space="preserve"> el Capítulo V sobre «disposiciones varias» contenido en la Tercera Parte, «Disposiciones Generales», se destaca la inclusión del artículo 124</w:t>
      </w:r>
      <w:r w:rsidR="00DA28E9">
        <w:rPr>
          <w:rFonts w:ascii="Arial" w:eastAsia="Times New Roman" w:hAnsi="Arial" w:cs="Arial"/>
          <w:sz w:val="22"/>
          <w:lang w:val="es-CO" w:eastAsia="es-CO"/>
        </w:rPr>
        <w:t>. Esta norma dispone lo siguiente</w:t>
      </w:r>
      <w:r w:rsidRPr="00181C58">
        <w:rPr>
          <w:rFonts w:ascii="Arial" w:eastAsia="Times New Roman" w:hAnsi="Arial" w:cs="Arial"/>
          <w:sz w:val="22"/>
          <w:lang w:val="es-CO" w:eastAsia="es-CO"/>
        </w:rPr>
        <w:t xml:space="preserve">: </w:t>
      </w:r>
    </w:p>
    <w:p w14:paraId="7C50472E" w14:textId="77777777" w:rsidR="007B234F" w:rsidRPr="00181C58" w:rsidRDefault="007B234F" w:rsidP="007B234F">
      <w:pPr>
        <w:shd w:val="clear" w:color="auto" w:fill="FFFFFF"/>
        <w:spacing w:after="0"/>
        <w:rPr>
          <w:rFonts w:ascii="Arial" w:eastAsia="Times New Roman" w:hAnsi="Arial" w:cs="Arial"/>
          <w:sz w:val="22"/>
          <w:lang w:val="es-CO" w:eastAsia="es-CO"/>
        </w:rPr>
      </w:pPr>
    </w:p>
    <w:p w14:paraId="3D417AEE" w14:textId="157EC620" w:rsidR="007B234F" w:rsidRPr="00181C58"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3B837259" w:rsidR="007B234F" w:rsidRPr="00181C58"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181C58">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CBC2F" w14:textId="3CC68711" w:rsidR="007B234F" w:rsidRPr="00181C58" w:rsidRDefault="007B234F" w:rsidP="000641BE">
      <w:pPr>
        <w:shd w:val="clear" w:color="auto" w:fill="FFFFFF"/>
        <w:spacing w:after="0" w:line="240" w:lineRule="auto"/>
        <w:ind w:left="708" w:right="567"/>
        <w:rPr>
          <w:rFonts w:ascii="Arial" w:eastAsia="Times New Roman" w:hAnsi="Arial" w:cs="Arial"/>
          <w:sz w:val="22"/>
          <w:lang w:val="es-CO" w:eastAsia="es-CO"/>
        </w:rPr>
      </w:pPr>
      <w:r w:rsidRPr="00181C58">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A05663" w:rsidRDefault="007B234F" w:rsidP="00E04A00">
      <w:pPr>
        <w:overflowPunct w:val="0"/>
        <w:autoSpaceDE w:val="0"/>
        <w:autoSpaceDN w:val="0"/>
        <w:adjustRightInd w:val="0"/>
        <w:spacing w:after="0"/>
        <w:textAlignment w:val="baseline"/>
        <w:rPr>
          <w:rFonts w:ascii="Arial" w:hAnsi="Arial" w:cs="Arial"/>
          <w:sz w:val="22"/>
          <w:lang w:val="es-ES_tradnl" w:eastAsia="es-ES"/>
        </w:rPr>
      </w:pPr>
    </w:p>
    <w:p w14:paraId="1CD82412" w14:textId="11B6882F" w:rsidR="007B234F" w:rsidRPr="00EA4BA0" w:rsidRDefault="00E04A00" w:rsidP="000641BE">
      <w:pPr>
        <w:shd w:val="clear" w:color="auto" w:fill="FFFFFF"/>
        <w:spacing w:after="120"/>
        <w:rPr>
          <w:rFonts w:ascii="Arial" w:eastAsia="Times New Roman" w:hAnsi="Arial" w:cs="Arial"/>
          <w:sz w:val="22"/>
          <w:lang w:val="es-CO" w:eastAsia="es-CO"/>
        </w:rPr>
      </w:pPr>
      <w:r>
        <w:rPr>
          <w:rFonts w:ascii="Arial" w:hAnsi="Arial" w:cs="Arial"/>
          <w:sz w:val="22"/>
          <w:lang w:val="es-ES_tradnl" w:eastAsia="es-ES"/>
        </w:rPr>
        <w:tab/>
      </w:r>
      <w:r w:rsidR="007B234F" w:rsidRPr="00A05663">
        <w:rPr>
          <w:rFonts w:ascii="Arial" w:eastAsia="Times New Roman" w:hAnsi="Arial" w:cs="Arial"/>
          <w:sz w:val="22"/>
          <w:lang w:val="es-CO" w:eastAsia="es-CO"/>
        </w:rPr>
        <w:t>En este contexto, como se puede apreciar, el artículo 124</w:t>
      </w:r>
      <w:r w:rsidR="007B234F">
        <w:rPr>
          <w:rFonts w:ascii="Arial" w:eastAsia="Times New Roman" w:hAnsi="Arial" w:cs="Arial"/>
          <w:sz w:val="22"/>
          <w:lang w:val="es-CO" w:eastAsia="es-CO"/>
        </w:rPr>
        <w:t xml:space="preserve"> de</w:t>
      </w:r>
      <w:r w:rsidR="007B234F" w:rsidRPr="00EA4BA0">
        <w:rPr>
          <w:rFonts w:ascii="Arial" w:eastAsia="Times New Roman" w:hAnsi="Arial" w:cs="Arial"/>
          <w:sz w:val="22"/>
          <w:lang w:val="es-CO" w:eastAsia="es-CO"/>
        </w:rPr>
        <w:t xml:space="preserve"> la Ley del Presupuesto</w:t>
      </w:r>
      <w:r w:rsidR="007B234F">
        <w:rPr>
          <w:rFonts w:ascii="Arial" w:eastAsia="Times New Roman" w:hAnsi="Arial" w:cs="Arial"/>
          <w:sz w:val="22"/>
          <w:lang w:val="es-CO" w:eastAsia="es-CO"/>
        </w:rPr>
        <w:t xml:space="preserve"> para la vigencia fiscal del 2022, </w:t>
      </w:r>
      <w:r w:rsidR="007B234F" w:rsidRPr="00EA4BA0">
        <w:rPr>
          <w:rFonts w:ascii="Arial" w:eastAsia="Times New Roman" w:hAnsi="Arial" w:cs="Arial"/>
          <w:sz w:val="22"/>
          <w:lang w:val="es-CO" w:eastAsia="es-CO"/>
        </w:rPr>
        <w:t xml:space="preserve">con la finalidad de promover la reactivación económica y la generación de empleo en las regiones, consagra una </w:t>
      </w:r>
      <w:r w:rsidR="007B234F">
        <w:rPr>
          <w:rFonts w:ascii="Arial" w:eastAsia="Times New Roman" w:hAnsi="Arial" w:cs="Arial"/>
          <w:sz w:val="22"/>
          <w:lang w:val="es-CO" w:eastAsia="es-CO"/>
        </w:rPr>
        <w:t xml:space="preserve">autorización </w:t>
      </w:r>
      <w:r w:rsidR="007B234F" w:rsidRPr="00EA4BA0">
        <w:rPr>
          <w:rFonts w:ascii="Arial" w:eastAsia="Times New Roman" w:hAnsi="Arial" w:cs="Arial"/>
          <w:sz w:val="22"/>
          <w:lang w:val="es-CO" w:eastAsia="es-CO"/>
        </w:rPr>
        <w:t>a</w:t>
      </w:r>
      <w:r w:rsidR="007B234F">
        <w:rPr>
          <w:rFonts w:ascii="Arial" w:eastAsia="Times New Roman" w:hAnsi="Arial" w:cs="Arial"/>
          <w:sz w:val="22"/>
          <w:lang w:val="es-CO" w:eastAsia="es-CO"/>
        </w:rPr>
        <w:t xml:space="preserve"> </w:t>
      </w:r>
      <w:r w:rsidR="007B234F" w:rsidRPr="00EA4BA0">
        <w:rPr>
          <w:rFonts w:ascii="Arial" w:eastAsia="Times New Roman" w:hAnsi="Arial" w:cs="Arial"/>
          <w:sz w:val="22"/>
          <w:lang w:val="es-CO" w:eastAsia="es-CO"/>
        </w:rPr>
        <w:t xml:space="preserve">la Nación y </w:t>
      </w:r>
      <w:r w:rsidR="007B234F">
        <w:rPr>
          <w:rFonts w:ascii="Arial" w:eastAsia="Times New Roman" w:hAnsi="Arial" w:cs="Arial"/>
          <w:sz w:val="22"/>
          <w:lang w:val="es-CO" w:eastAsia="es-CO"/>
        </w:rPr>
        <w:t xml:space="preserve">a </w:t>
      </w:r>
      <w:r w:rsidR="007B234F" w:rsidRPr="00EA4BA0">
        <w:rPr>
          <w:rFonts w:ascii="Arial" w:eastAsia="Times New Roman" w:hAnsi="Arial" w:cs="Arial"/>
          <w:sz w:val="22"/>
          <w:lang w:val="es-CO" w:eastAsia="es-CO"/>
        </w:rPr>
        <w:t>las entidades territoriales para celebrar convenios interadministrativos con el fin de ejecutar programas y proyectos correspondientes al Presupuesto General de la Nación</w:t>
      </w:r>
      <w:r w:rsidR="007B234F">
        <w:rPr>
          <w:rFonts w:ascii="Arial" w:eastAsia="Times New Roman" w:hAnsi="Arial" w:cs="Arial"/>
          <w:sz w:val="22"/>
          <w:lang w:val="es-CO" w:eastAsia="es-CO"/>
        </w:rPr>
        <w:t>.</w:t>
      </w:r>
    </w:p>
    <w:p w14:paraId="0190C264" w14:textId="52E8DC3A" w:rsidR="007B234F" w:rsidRPr="00A05663" w:rsidRDefault="007B234F" w:rsidP="000641BE">
      <w:pPr>
        <w:shd w:val="clear" w:color="auto" w:fill="FFFFFF"/>
        <w:spacing w:after="0"/>
        <w:ind w:firstLine="708"/>
        <w:rPr>
          <w:rFonts w:ascii="Arial" w:eastAsia="Times New Roman" w:hAnsi="Arial" w:cs="Arial"/>
          <w:sz w:val="22"/>
          <w:lang w:eastAsia="es-CO"/>
        </w:rPr>
      </w:pPr>
      <w:r w:rsidRPr="00EA4BA0">
        <w:rPr>
          <w:rFonts w:ascii="Arial" w:eastAsia="Times New Roman" w:hAnsi="Arial" w:cs="Arial"/>
          <w:sz w:val="22"/>
          <w:lang w:val="es-CO" w:eastAsia="es-CO"/>
        </w:rPr>
        <w:t>Se</w:t>
      </w:r>
      <w:r>
        <w:rPr>
          <w:rFonts w:ascii="Arial" w:eastAsia="Times New Roman" w:hAnsi="Arial" w:cs="Arial"/>
          <w:sz w:val="22"/>
          <w:lang w:val="es-CO" w:eastAsia="es-CO"/>
        </w:rPr>
        <w:t xml:space="preserve"> fijan</w:t>
      </w:r>
      <w:r w:rsidRPr="00EA4BA0">
        <w:rPr>
          <w:rFonts w:ascii="Arial" w:eastAsia="Times New Roman" w:hAnsi="Arial" w:cs="Arial"/>
          <w:sz w:val="22"/>
          <w:lang w:val="es-CO" w:eastAsia="es-CO"/>
        </w:rPr>
        <w:t>, entonces, ciertas condiciones temporales, subjetivas y materiales o teleológicas para la celebración de los convenios</w:t>
      </w:r>
      <w:r>
        <w:rPr>
          <w:rFonts w:ascii="Arial" w:eastAsia="Times New Roman" w:hAnsi="Arial" w:cs="Arial"/>
          <w:sz w:val="22"/>
          <w:lang w:val="es-CO" w:eastAsia="es-CO"/>
        </w:rPr>
        <w:t xml:space="preserve"> interadministrativos</w:t>
      </w:r>
      <w:r w:rsidRPr="00EA4BA0">
        <w:rPr>
          <w:rFonts w:ascii="Arial" w:eastAsia="Times New Roman" w:hAnsi="Arial" w:cs="Arial"/>
          <w:sz w:val="22"/>
          <w:lang w:val="es-CO" w:eastAsia="es-CO"/>
        </w:rPr>
        <w:t xml:space="preserve">: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A05663">
        <w:rPr>
          <w:rFonts w:ascii="Arial" w:eastAsia="Times New Roman" w:hAnsi="Arial" w:cs="Arial"/>
          <w:bCs/>
          <w:sz w:val="22"/>
          <w:lang w:eastAsia="es-CO"/>
        </w:rPr>
        <w:t xml:space="preserve">A continuación, la Agencia se </w:t>
      </w:r>
      <w:r w:rsidR="004750AA" w:rsidRPr="00A05663">
        <w:rPr>
          <w:rFonts w:ascii="Arial" w:eastAsia="Times New Roman" w:hAnsi="Arial" w:cs="Arial"/>
          <w:bCs/>
          <w:sz w:val="22"/>
          <w:lang w:eastAsia="es-CO"/>
        </w:rPr>
        <w:t>referirá</w:t>
      </w:r>
      <w:r w:rsidRPr="00A05663">
        <w:rPr>
          <w:rFonts w:ascii="Arial" w:eastAsia="Times New Roman" w:hAnsi="Arial" w:cs="Arial"/>
          <w:bCs/>
          <w:sz w:val="22"/>
          <w:lang w:eastAsia="es-CO"/>
        </w:rPr>
        <w:t xml:space="preserve"> a cada uno de los aspectos o elementos insertos en la mencionada </w:t>
      </w:r>
      <w:r w:rsidR="004750AA" w:rsidRPr="00A05663">
        <w:rPr>
          <w:rFonts w:ascii="Arial" w:eastAsia="Times New Roman" w:hAnsi="Arial" w:cs="Arial"/>
          <w:bCs/>
          <w:sz w:val="22"/>
          <w:lang w:eastAsia="es-CO"/>
        </w:rPr>
        <w:t>disposición</w:t>
      </w:r>
      <w:r w:rsidRPr="00A05663">
        <w:rPr>
          <w:rFonts w:ascii="Arial" w:eastAsia="Times New Roman" w:hAnsi="Arial" w:cs="Arial"/>
          <w:bCs/>
          <w:sz w:val="22"/>
          <w:lang w:eastAsia="es-CO"/>
        </w:rPr>
        <w:t xml:space="preserve">. </w:t>
      </w:r>
    </w:p>
    <w:p w14:paraId="297E3592" w14:textId="77777777" w:rsidR="007B234F" w:rsidRPr="00A05663" w:rsidRDefault="007B234F" w:rsidP="007B234F">
      <w:pPr>
        <w:shd w:val="clear" w:color="auto" w:fill="FFFFFF"/>
        <w:spacing w:after="0"/>
        <w:rPr>
          <w:rFonts w:ascii="Arial" w:eastAsia="Times New Roman" w:hAnsi="Arial" w:cs="Arial"/>
          <w:sz w:val="22"/>
          <w:lang w:val="es-CO" w:eastAsia="es-CO"/>
        </w:rPr>
      </w:pPr>
    </w:p>
    <w:p w14:paraId="69D9E134" w14:textId="4A55715D" w:rsidR="007B234F" w:rsidRPr="000641BE" w:rsidRDefault="007B234F" w:rsidP="007B234F">
      <w:pPr>
        <w:shd w:val="clear" w:color="auto" w:fill="FFFFFF"/>
        <w:spacing w:after="0"/>
        <w:rPr>
          <w:rFonts w:ascii="Arial" w:eastAsia="Times New Roman" w:hAnsi="Arial" w:cs="Arial"/>
          <w:b/>
          <w:bCs/>
          <w:i/>
          <w:iCs/>
          <w:sz w:val="22"/>
          <w:lang w:val="es-CO" w:eastAsia="es-CO"/>
        </w:rPr>
      </w:pPr>
      <w:r w:rsidRPr="000641BE">
        <w:rPr>
          <w:rFonts w:ascii="Arial" w:eastAsia="Times New Roman" w:hAnsi="Arial" w:cs="Arial"/>
          <w:b/>
          <w:bCs/>
          <w:i/>
          <w:iCs/>
          <w:sz w:val="22"/>
          <w:lang w:val="es-CO" w:eastAsia="es-CO"/>
        </w:rPr>
        <w:t>2.5.1. Aspecto temporal</w:t>
      </w:r>
    </w:p>
    <w:p w14:paraId="66A171F3" w14:textId="77777777" w:rsidR="007B234F" w:rsidRPr="00EA4BA0" w:rsidRDefault="007B234F" w:rsidP="007B234F">
      <w:pPr>
        <w:shd w:val="clear" w:color="auto" w:fill="FFFFFF"/>
        <w:spacing w:after="0"/>
        <w:rPr>
          <w:rFonts w:ascii="Arial" w:eastAsia="Times New Roman" w:hAnsi="Arial" w:cs="Arial"/>
          <w:sz w:val="22"/>
          <w:lang w:val="es-CO" w:eastAsia="es-CO"/>
        </w:rPr>
      </w:pPr>
    </w:p>
    <w:p w14:paraId="63C17517" w14:textId="4AEAE3E3" w:rsidR="007B234F" w:rsidRPr="00EA4BA0" w:rsidRDefault="007B234F" w:rsidP="000641BE">
      <w:pPr>
        <w:shd w:val="clear" w:color="auto" w:fill="FFFFFF"/>
        <w:spacing w:after="120"/>
        <w:rPr>
          <w:rFonts w:ascii="Arial" w:eastAsia="Times New Roman" w:hAnsi="Arial" w:cs="Arial"/>
          <w:sz w:val="22"/>
          <w:lang w:val="es-CO" w:eastAsia="es-CO"/>
        </w:rPr>
      </w:pPr>
      <w:r w:rsidRPr="00EA4BA0">
        <w:rPr>
          <w:rFonts w:ascii="Arial" w:eastAsia="Times New Roman" w:hAnsi="Arial" w:cs="Arial"/>
          <w:sz w:val="22"/>
          <w:lang w:val="es-CO" w:eastAsia="es-CO"/>
        </w:rPr>
        <w:t>En su inciso segundo, el artículo 12</w:t>
      </w:r>
      <w:r>
        <w:rPr>
          <w:rFonts w:ascii="Arial" w:eastAsia="Times New Roman" w:hAnsi="Arial" w:cs="Arial"/>
          <w:sz w:val="22"/>
          <w:lang w:val="es-CO" w:eastAsia="es-CO"/>
        </w:rPr>
        <w:t>4</w:t>
      </w:r>
      <w:r w:rsidRPr="00EA4BA0">
        <w:rPr>
          <w:rFonts w:ascii="Arial" w:eastAsia="Times New Roman" w:hAnsi="Arial" w:cs="Arial"/>
          <w:sz w:val="22"/>
          <w:lang w:val="es-CO" w:eastAsia="es-CO"/>
        </w:rPr>
        <w:t xml:space="preserve"> dispone la modificación del parágrafo del artículo 38 de la Ley 996 de 2005 sin</w:t>
      </w:r>
      <w:r>
        <w:rPr>
          <w:rFonts w:ascii="Arial" w:eastAsia="Times New Roman" w:hAnsi="Arial" w:cs="Arial"/>
          <w:sz w:val="22"/>
          <w:lang w:val="es-CO" w:eastAsia="es-CO"/>
        </w:rPr>
        <w:t xml:space="preserve"> establecer</w:t>
      </w:r>
      <w:r w:rsidRPr="00EA4BA0">
        <w:rPr>
          <w:rFonts w:ascii="Arial" w:eastAsia="Times New Roman" w:hAnsi="Arial" w:cs="Arial"/>
          <w:sz w:val="22"/>
          <w:lang w:val="es-CO" w:eastAsia="es-CO"/>
        </w:rPr>
        <w:t xml:space="preserve"> un nuevo texto sino simplemente anunciando que tal disposición se entenderá modificada «únicamente en la parte pertinente». </w:t>
      </w:r>
      <w:r>
        <w:rPr>
          <w:rFonts w:ascii="Arial" w:eastAsia="Times New Roman" w:hAnsi="Arial" w:cs="Arial"/>
          <w:sz w:val="22"/>
          <w:lang w:val="es-CO" w:eastAsia="es-CO"/>
        </w:rPr>
        <w:t>Debe advertirse que l</w:t>
      </w:r>
      <w:r w:rsidRPr="00EA4BA0">
        <w:rPr>
          <w:rFonts w:ascii="Arial" w:eastAsia="Times New Roman" w:hAnsi="Arial" w:cs="Arial"/>
          <w:sz w:val="22"/>
          <w:lang w:val="es-CO"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EA4BA0" w:rsidRDefault="007B234F" w:rsidP="007B234F">
      <w:pPr>
        <w:shd w:val="clear" w:color="auto" w:fill="FFFFFF"/>
        <w:spacing w:after="0"/>
        <w:ind w:firstLine="709"/>
        <w:rPr>
          <w:rFonts w:ascii="Arial" w:eastAsia="Times New Roman" w:hAnsi="Arial" w:cs="Arial"/>
          <w:sz w:val="22"/>
          <w:lang w:val="es-CO" w:eastAsia="es-CO"/>
        </w:rPr>
      </w:pPr>
      <w:r w:rsidRPr="00EA4BA0">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w:t>
      </w:r>
      <w:r>
        <w:rPr>
          <w:rFonts w:ascii="Arial" w:eastAsia="Times New Roman" w:hAnsi="Arial" w:cs="Arial"/>
          <w:sz w:val="22"/>
          <w:lang w:val="es-CO" w:eastAsia="es-CO"/>
        </w:rPr>
        <w:t>a</w:t>
      </w:r>
      <w:r w:rsidRPr="00EA4BA0">
        <w:rPr>
          <w:rFonts w:ascii="Arial" w:eastAsia="Times New Roman" w:hAnsi="Arial" w:cs="Arial"/>
          <w:sz w:val="22"/>
          <w:lang w:val="es-CO" w:eastAsia="es-CO"/>
        </w:rPr>
        <w:t xml:space="preserve"> ser más precisos, técnicamente se trata de una suspensión transitoria de la prohibición,</w:t>
      </w:r>
      <w:r w:rsidRPr="00EA4BA0">
        <w:t xml:space="preserve"> </w:t>
      </w:r>
      <w:r w:rsidRPr="00EA4BA0">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Default="007B234F" w:rsidP="007B234F">
      <w:pPr>
        <w:shd w:val="clear" w:color="auto" w:fill="FFFFFF"/>
        <w:spacing w:after="0"/>
        <w:rPr>
          <w:rFonts w:ascii="Arial" w:eastAsia="Times New Roman" w:hAnsi="Arial" w:cs="Arial"/>
          <w:sz w:val="22"/>
          <w:lang w:val="es-CO" w:eastAsia="es-CO"/>
        </w:rPr>
      </w:pPr>
    </w:p>
    <w:p w14:paraId="03CDECB1" w14:textId="303552E8" w:rsidR="007B234F" w:rsidRPr="000641BE" w:rsidRDefault="007B234F" w:rsidP="007B234F">
      <w:pPr>
        <w:shd w:val="clear" w:color="auto" w:fill="FFFFFF"/>
        <w:spacing w:after="0"/>
        <w:rPr>
          <w:rFonts w:ascii="Arial" w:eastAsia="Times New Roman" w:hAnsi="Arial" w:cs="Arial"/>
          <w:b/>
          <w:bCs/>
          <w:i/>
          <w:iCs/>
          <w:sz w:val="22"/>
          <w:lang w:val="es-CO" w:eastAsia="es-CO"/>
        </w:rPr>
      </w:pPr>
      <w:r w:rsidRPr="000641BE">
        <w:rPr>
          <w:rFonts w:ascii="Arial" w:eastAsia="Times New Roman" w:hAnsi="Arial" w:cs="Arial"/>
          <w:b/>
          <w:bCs/>
          <w:i/>
          <w:iCs/>
          <w:sz w:val="22"/>
          <w:lang w:val="es-CO" w:eastAsia="es-CO"/>
        </w:rPr>
        <w:t>2.5.2. Aspecto subjetivo</w:t>
      </w:r>
    </w:p>
    <w:p w14:paraId="0DFDE37F" w14:textId="77777777" w:rsidR="007B234F" w:rsidRPr="00EA4BA0" w:rsidRDefault="007B234F" w:rsidP="007B234F">
      <w:pPr>
        <w:shd w:val="clear" w:color="auto" w:fill="FFFFFF"/>
        <w:spacing w:after="0"/>
        <w:rPr>
          <w:rFonts w:ascii="Arial" w:eastAsia="Times New Roman" w:hAnsi="Arial" w:cs="Arial"/>
          <w:sz w:val="22"/>
          <w:lang w:val="es-CO" w:eastAsia="es-CO"/>
        </w:rPr>
      </w:pPr>
    </w:p>
    <w:p w14:paraId="780A83CC" w14:textId="7213E09D" w:rsidR="007B234F" w:rsidRPr="00EA4BA0" w:rsidRDefault="007B234F" w:rsidP="000641BE">
      <w:pPr>
        <w:shd w:val="clear" w:color="auto" w:fill="FFFFFF"/>
        <w:spacing w:after="120"/>
        <w:rPr>
          <w:rFonts w:ascii="Arial" w:eastAsia="Times New Roman" w:hAnsi="Arial" w:cs="Arial"/>
          <w:bCs/>
          <w:sz w:val="22"/>
          <w:lang w:eastAsia="es-CO"/>
        </w:rPr>
      </w:pPr>
      <w:r w:rsidRPr="00EA4BA0">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EA4BA0">
        <w:rPr>
          <w:rFonts w:ascii="Arial" w:eastAsia="Times New Roman" w:hAnsi="Arial" w:cs="Arial"/>
          <w:bCs/>
          <w:sz w:val="22"/>
          <w:lang w:eastAsia="es-CO"/>
        </w:rPr>
        <w:t>a los alcaldes, gobernadores, secretarios, gerentes y directores de las entidades del orden municipal, departamental o distrital</w:t>
      </w:r>
      <w:r w:rsidR="00B16C94">
        <w:rPr>
          <w:rFonts w:ascii="Arial" w:eastAsia="Times New Roman" w:hAnsi="Arial" w:cs="Arial"/>
          <w:bCs/>
          <w:sz w:val="22"/>
          <w:lang w:eastAsia="es-CO"/>
        </w:rPr>
        <w:t>. De acuerdo con esta restricción</w:t>
      </w:r>
      <w:r w:rsidRPr="00EA4BA0">
        <w:rPr>
          <w:rFonts w:ascii="Arial" w:eastAsia="Times New Roman" w:hAnsi="Arial" w:cs="Arial"/>
          <w:bCs/>
          <w:sz w:val="22"/>
          <w:lang w:eastAsia="es-CO"/>
        </w:rPr>
        <w:t xml:space="preserve"> no podrán celebrar convenios y contratos interadministrativos para la ejecución de recursos públicos durante el periodo establecido en ese mismo parágrafo</w:t>
      </w:r>
      <w:r w:rsidR="00C13B27">
        <w:rPr>
          <w:rFonts w:ascii="Arial" w:eastAsia="Times New Roman" w:hAnsi="Arial" w:cs="Arial"/>
          <w:bCs/>
          <w:sz w:val="22"/>
          <w:lang w:eastAsia="es-CO"/>
        </w:rPr>
        <w:t>. Esto</w:t>
      </w:r>
      <w:r w:rsidRPr="00EA4BA0">
        <w:rPr>
          <w:rFonts w:ascii="Arial" w:eastAsia="Times New Roman" w:hAnsi="Arial" w:cs="Arial"/>
          <w:bCs/>
          <w:sz w:val="22"/>
          <w:lang w:eastAsia="es-CO"/>
        </w:rPr>
        <w:t xml:space="preserve"> sin hacer diferencia alguna con respe</w:t>
      </w:r>
      <w:r>
        <w:rPr>
          <w:rFonts w:ascii="Arial" w:eastAsia="Times New Roman" w:hAnsi="Arial" w:cs="Arial"/>
          <w:bCs/>
          <w:sz w:val="22"/>
          <w:lang w:eastAsia="es-CO"/>
        </w:rPr>
        <w:t>c</w:t>
      </w:r>
      <w:r w:rsidRPr="00EA4BA0">
        <w:rPr>
          <w:rFonts w:ascii="Arial" w:eastAsia="Times New Roman" w:hAnsi="Arial" w:cs="Arial"/>
          <w:bCs/>
          <w:sz w:val="22"/>
          <w:lang w:eastAsia="es-CO"/>
        </w:rPr>
        <w:t xml:space="preserve">to a la modalidad de selección que se utilice, ante lo cual, cabe la posibilidad de que los contratos o convenios interadministrativos sean celebrados entre entidades territoriales o </w:t>
      </w:r>
      <w:r>
        <w:rPr>
          <w:rFonts w:ascii="Arial" w:eastAsia="Times New Roman" w:hAnsi="Arial" w:cs="Arial"/>
          <w:bCs/>
          <w:sz w:val="22"/>
          <w:lang w:eastAsia="es-CO"/>
        </w:rPr>
        <w:t>entre</w:t>
      </w:r>
      <w:r w:rsidRPr="00EA4BA0">
        <w:rPr>
          <w:rFonts w:ascii="Arial" w:eastAsia="Times New Roman" w:hAnsi="Arial" w:cs="Arial"/>
          <w:bCs/>
          <w:sz w:val="22"/>
          <w:lang w:eastAsia="es-CO"/>
        </w:rPr>
        <w:t xml:space="preserve"> entes territoriales y nacionales. </w:t>
      </w:r>
    </w:p>
    <w:p w14:paraId="54C637E8" w14:textId="0CC7748B" w:rsidR="007B234F"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Como se </w:t>
      </w:r>
      <w:r>
        <w:rPr>
          <w:rFonts w:ascii="Arial" w:eastAsia="Times New Roman" w:hAnsi="Arial" w:cs="Arial"/>
          <w:bCs/>
          <w:sz w:val="22"/>
          <w:lang w:eastAsia="es-CO"/>
        </w:rPr>
        <w:t>observa</w:t>
      </w:r>
      <w:r w:rsidRPr="00EA4BA0">
        <w:rPr>
          <w:rFonts w:ascii="Arial" w:eastAsia="Times New Roman" w:hAnsi="Arial" w:cs="Arial"/>
          <w:bCs/>
          <w:sz w:val="22"/>
          <w:lang w:eastAsia="es-CO"/>
        </w:rPr>
        <w:t>, el artículo 12</w:t>
      </w:r>
      <w:r>
        <w:rPr>
          <w:rFonts w:ascii="Arial" w:eastAsia="Times New Roman" w:hAnsi="Arial" w:cs="Arial"/>
          <w:bCs/>
          <w:sz w:val="22"/>
          <w:lang w:eastAsia="es-CO"/>
        </w:rPr>
        <w:t>4</w:t>
      </w:r>
      <w:r w:rsidRPr="00EA4BA0">
        <w:rPr>
          <w:rFonts w:ascii="Arial" w:eastAsia="Times New Roman" w:hAnsi="Arial" w:cs="Arial"/>
          <w:bCs/>
          <w:sz w:val="22"/>
          <w:lang w:eastAsia="es-CO"/>
        </w:rPr>
        <w:t xml:space="preserve"> de la </w:t>
      </w:r>
      <w:r w:rsidRPr="00EA4BA0">
        <w:rPr>
          <w:rFonts w:ascii="Arial" w:eastAsia="Times New Roman" w:hAnsi="Arial" w:cs="Arial"/>
          <w:sz w:val="22"/>
          <w:lang w:val="es-CO" w:eastAsia="es-CO"/>
        </w:rPr>
        <w:t>Ley 2159</w:t>
      </w:r>
      <w:r>
        <w:rPr>
          <w:rFonts w:ascii="Arial" w:eastAsia="Times New Roman" w:hAnsi="Arial" w:cs="Arial"/>
          <w:sz w:val="22"/>
          <w:lang w:val="es-CO" w:eastAsia="es-CO"/>
        </w:rPr>
        <w:t xml:space="preserve"> de 2021 </w:t>
      </w:r>
      <w:r w:rsidR="00B029E3">
        <w:rPr>
          <w:rFonts w:ascii="Arial" w:eastAsia="Times New Roman" w:hAnsi="Arial" w:cs="Arial"/>
          <w:bCs/>
          <w:sz w:val="22"/>
          <w:lang w:eastAsia="es-CO"/>
        </w:rPr>
        <w:t>dispone</w:t>
      </w:r>
      <w:r w:rsidRPr="00EA4BA0">
        <w:rPr>
          <w:rFonts w:ascii="Arial" w:eastAsia="Times New Roman" w:hAnsi="Arial" w:cs="Arial"/>
          <w:bCs/>
          <w:sz w:val="22"/>
          <w:lang w:eastAsia="es-CO"/>
        </w:rPr>
        <w:t xml:space="preserve"> que la </w:t>
      </w:r>
      <w:bookmarkStart w:id="59" w:name="_Hlk88510186"/>
      <w:r w:rsidRPr="00EA4BA0">
        <w:rPr>
          <w:rFonts w:ascii="Arial" w:eastAsia="Times New Roman" w:hAnsi="Arial" w:cs="Arial"/>
          <w:bCs/>
          <w:sz w:val="22"/>
          <w:lang w:eastAsia="es-CO"/>
        </w:rPr>
        <w:t>«</w:t>
      </w:r>
      <w:bookmarkEnd w:id="59"/>
      <w:r w:rsidRPr="00EA4BA0">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w:t>
      </w:r>
      <w:r>
        <w:rPr>
          <w:rFonts w:ascii="Arial" w:eastAsia="Times New Roman" w:hAnsi="Arial" w:cs="Arial"/>
          <w:bCs/>
          <w:sz w:val="22"/>
          <w:lang w:eastAsia="es-CO"/>
        </w:rPr>
        <w:t xml:space="preserve"> dos</w:t>
      </w:r>
      <w:r w:rsidRPr="00EA4BA0">
        <w:rPr>
          <w:rFonts w:ascii="Arial" w:eastAsia="Times New Roman" w:hAnsi="Arial" w:cs="Arial"/>
          <w:bCs/>
          <w:sz w:val="22"/>
          <w:lang w:eastAsia="es-CO"/>
        </w:rPr>
        <w:t xml:space="preserve"> sujetos de derecho autorizados</w:t>
      </w:r>
      <w:r>
        <w:rPr>
          <w:rFonts w:ascii="Arial" w:eastAsia="Times New Roman" w:hAnsi="Arial" w:cs="Arial"/>
          <w:bCs/>
          <w:sz w:val="22"/>
          <w:lang w:eastAsia="es-CO"/>
        </w:rPr>
        <w:t xml:space="preserve"> para celebrarlos</w:t>
      </w:r>
      <w:r w:rsidRPr="00EA4BA0">
        <w:rPr>
          <w:rFonts w:ascii="Arial" w:eastAsia="Times New Roman" w:hAnsi="Arial" w:cs="Arial"/>
          <w:bCs/>
          <w:sz w:val="22"/>
          <w:lang w:eastAsia="es-CO"/>
        </w:rPr>
        <w:t>.</w:t>
      </w:r>
      <w:r w:rsidR="003370FB">
        <w:rPr>
          <w:rFonts w:ascii="Arial" w:eastAsia="Times New Roman" w:hAnsi="Arial" w:cs="Arial"/>
          <w:bCs/>
          <w:sz w:val="22"/>
          <w:lang w:eastAsia="es-CO"/>
        </w:rPr>
        <w:t xml:space="preserve"> </w:t>
      </w:r>
      <w:r>
        <w:rPr>
          <w:rFonts w:ascii="Arial" w:eastAsia="Times New Roman" w:hAnsi="Arial" w:cs="Arial"/>
          <w:bCs/>
          <w:sz w:val="22"/>
          <w:lang w:eastAsia="es-CO"/>
        </w:rPr>
        <w:t xml:space="preserve">En cuanto a las entidades territoriales el artículo </w:t>
      </w:r>
      <w:r w:rsidRPr="00D54806">
        <w:rPr>
          <w:rFonts w:ascii="Arial" w:eastAsia="Times New Roman" w:hAnsi="Arial" w:cs="Arial"/>
          <w:bCs/>
          <w:sz w:val="22"/>
          <w:lang w:eastAsia="es-CO"/>
        </w:rPr>
        <w:t>286</w:t>
      </w:r>
      <w:r>
        <w:rPr>
          <w:rFonts w:ascii="Arial" w:eastAsia="Times New Roman" w:hAnsi="Arial" w:cs="Arial"/>
          <w:bCs/>
          <w:sz w:val="22"/>
          <w:lang w:eastAsia="es-CO"/>
        </w:rPr>
        <w:t xml:space="preserve"> de la Constitución Política </w:t>
      </w:r>
      <w:r w:rsidR="00154879">
        <w:rPr>
          <w:rFonts w:ascii="Arial" w:eastAsia="Times New Roman" w:hAnsi="Arial" w:cs="Arial"/>
          <w:bCs/>
          <w:sz w:val="22"/>
          <w:lang w:eastAsia="es-CO"/>
        </w:rPr>
        <w:t xml:space="preserve">prescribe </w:t>
      </w:r>
      <w:r>
        <w:rPr>
          <w:rFonts w:ascii="Arial" w:eastAsia="Times New Roman" w:hAnsi="Arial" w:cs="Arial"/>
          <w:bCs/>
          <w:sz w:val="22"/>
          <w:lang w:eastAsia="es-CO"/>
        </w:rPr>
        <w:t xml:space="preserve">claramente que son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los departamentos, los distritos, los municipios y los territorios indígenas</w:t>
      </w:r>
      <w:r w:rsidRPr="00EA4BA0">
        <w:rPr>
          <w:rFonts w:ascii="Arial" w:eastAsia="Times New Roman" w:hAnsi="Arial" w:cs="Arial"/>
          <w:bCs/>
          <w:sz w:val="22"/>
          <w:lang w:eastAsia="es-CO"/>
        </w:rPr>
        <w:t>»</w:t>
      </w:r>
      <w:r>
        <w:rPr>
          <w:rFonts w:ascii="Arial" w:eastAsia="Times New Roman" w:hAnsi="Arial" w:cs="Arial"/>
          <w:bCs/>
          <w:sz w:val="22"/>
          <w:lang w:eastAsia="es-CO"/>
        </w:rPr>
        <w:t xml:space="preserve"> y</w:t>
      </w:r>
      <w:r w:rsidRPr="00D54806">
        <w:rPr>
          <w:rFonts w:ascii="Arial" w:eastAsia="Times New Roman" w:hAnsi="Arial" w:cs="Arial"/>
          <w:bCs/>
          <w:sz w:val="22"/>
          <w:lang w:eastAsia="es-CO"/>
        </w:rPr>
        <w:t xml:space="preserve"> </w:t>
      </w:r>
      <w:r w:rsidR="00154879">
        <w:rPr>
          <w:rFonts w:ascii="Arial" w:eastAsia="Times New Roman" w:hAnsi="Arial" w:cs="Arial"/>
          <w:bCs/>
          <w:sz w:val="22"/>
          <w:lang w:eastAsia="es-CO"/>
        </w:rPr>
        <w:t xml:space="preserve">que </w:t>
      </w:r>
      <w:r>
        <w:rPr>
          <w:rFonts w:ascii="Arial" w:eastAsia="Times New Roman" w:hAnsi="Arial" w:cs="Arial"/>
          <w:bCs/>
          <w:sz w:val="22"/>
          <w:lang w:eastAsia="es-CO"/>
        </w:rPr>
        <w:t>l</w:t>
      </w:r>
      <w:r w:rsidRPr="00D54806">
        <w:rPr>
          <w:rFonts w:ascii="Arial" w:eastAsia="Times New Roman" w:hAnsi="Arial" w:cs="Arial"/>
          <w:bCs/>
          <w:sz w:val="22"/>
          <w:lang w:eastAsia="es-CO"/>
        </w:rPr>
        <w:t xml:space="preserve">a </w:t>
      </w:r>
      <w:r w:rsidRPr="00EA4BA0">
        <w:rPr>
          <w:rFonts w:ascii="Arial" w:eastAsia="Times New Roman" w:hAnsi="Arial" w:cs="Arial"/>
          <w:bCs/>
          <w:sz w:val="22"/>
          <w:lang w:eastAsia="es-CO"/>
        </w:rPr>
        <w:t>«</w:t>
      </w:r>
      <w:r w:rsidRPr="00D54806">
        <w:rPr>
          <w:rFonts w:ascii="Arial" w:eastAsia="Times New Roman" w:hAnsi="Arial" w:cs="Arial"/>
          <w:bCs/>
          <w:sz w:val="22"/>
          <w:lang w:eastAsia="es-CO"/>
        </w:rPr>
        <w:t xml:space="preserve">ley podrá darles el carácter de entidades territoriales a las regiones y </w:t>
      </w:r>
      <w:r w:rsidRPr="00D54806">
        <w:rPr>
          <w:rFonts w:ascii="Arial" w:eastAsia="Times New Roman" w:hAnsi="Arial" w:cs="Arial"/>
          <w:bCs/>
          <w:sz w:val="22"/>
          <w:lang w:eastAsia="es-CO"/>
        </w:rPr>
        <w:lastRenderedPageBreak/>
        <w:t>provincias que se constituyan en los términos de la Constitución y de la ley</w:t>
      </w:r>
      <w:r w:rsidRPr="00EA4BA0">
        <w:rPr>
          <w:rFonts w:ascii="Arial" w:eastAsia="Times New Roman" w:hAnsi="Arial" w:cs="Arial"/>
          <w:bCs/>
          <w:sz w:val="22"/>
          <w:lang w:eastAsia="es-CO"/>
        </w:rPr>
        <w:t>»</w:t>
      </w:r>
      <w:r w:rsidR="008E5380">
        <w:rPr>
          <w:rFonts w:ascii="Arial" w:eastAsia="Times New Roman" w:hAnsi="Arial" w:cs="Arial"/>
          <w:bCs/>
          <w:sz w:val="22"/>
          <w:lang w:eastAsia="es-CO"/>
        </w:rPr>
        <w:t xml:space="preserve">. </w:t>
      </w:r>
      <w:r>
        <w:rPr>
          <w:rFonts w:ascii="Arial" w:eastAsia="Times New Roman" w:hAnsi="Arial" w:cs="Arial"/>
          <w:bCs/>
          <w:sz w:val="22"/>
          <w:lang w:eastAsia="es-CO"/>
        </w:rPr>
        <w:t>Sin embargo, e</w:t>
      </w:r>
      <w:r w:rsidRPr="00406508">
        <w:rPr>
          <w:rFonts w:ascii="Arial" w:eastAsia="Times New Roman" w:hAnsi="Arial" w:cs="Arial"/>
          <w:bCs/>
          <w:sz w:val="22"/>
          <w:lang w:eastAsia="es-CO"/>
        </w:rPr>
        <w:t xml:space="preserve">n el </w:t>
      </w:r>
      <w:r>
        <w:rPr>
          <w:rFonts w:ascii="Arial" w:eastAsia="Times New Roman" w:hAnsi="Arial" w:cs="Arial"/>
          <w:bCs/>
          <w:sz w:val="22"/>
          <w:lang w:eastAsia="es-CO"/>
        </w:rPr>
        <w:t>derecho constitucional el concepto Nación ha sido de difícil determinación y amplia discusión</w:t>
      </w:r>
      <w:r w:rsidRPr="00406508">
        <w:rPr>
          <w:rFonts w:ascii="Arial" w:eastAsia="Times New Roman" w:hAnsi="Arial" w:cs="Arial"/>
          <w:bCs/>
          <w:sz w:val="22"/>
          <w:lang w:eastAsia="es-CO"/>
        </w:rPr>
        <w:t xml:space="preserve">. </w:t>
      </w:r>
      <w:r>
        <w:rPr>
          <w:rFonts w:ascii="Arial" w:eastAsia="Times New Roman" w:hAnsi="Arial" w:cs="Arial"/>
          <w:bCs/>
          <w:sz w:val="22"/>
          <w:lang w:eastAsia="es-CO"/>
        </w:rPr>
        <w:t>La N</w:t>
      </w:r>
      <w:r w:rsidRPr="00276F65">
        <w:rPr>
          <w:rFonts w:ascii="Arial" w:eastAsia="Times New Roman" w:hAnsi="Arial" w:cs="Arial"/>
          <w:bCs/>
          <w:sz w:val="22"/>
          <w:lang w:eastAsia="es-CO"/>
        </w:rPr>
        <w:t>ación se ha definido de distintas maneras</w:t>
      </w:r>
      <w:r>
        <w:rPr>
          <w:rFonts w:ascii="Arial" w:eastAsia="Times New Roman" w:hAnsi="Arial" w:cs="Arial"/>
          <w:bCs/>
          <w:sz w:val="22"/>
          <w:lang w:eastAsia="es-CO"/>
        </w:rPr>
        <w:t>, n</w:t>
      </w:r>
      <w:r w:rsidRPr="00276F65">
        <w:rPr>
          <w:rFonts w:ascii="Arial" w:eastAsia="Times New Roman" w:hAnsi="Arial" w:cs="Arial"/>
          <w:bCs/>
          <w:sz w:val="22"/>
          <w:lang w:eastAsia="es-CO"/>
        </w:rPr>
        <w:t xml:space="preserve">o obstante, </w:t>
      </w:r>
      <w:r>
        <w:rPr>
          <w:rFonts w:ascii="Arial" w:eastAsia="Times New Roman" w:hAnsi="Arial" w:cs="Arial"/>
          <w:bCs/>
          <w:sz w:val="22"/>
          <w:lang w:eastAsia="es-CO"/>
        </w:rPr>
        <w:t xml:space="preserve">uno de sus sentidos es el que lo identifica con el </w:t>
      </w:r>
      <w:r w:rsidRPr="00276F65">
        <w:rPr>
          <w:rFonts w:ascii="Arial" w:eastAsia="Times New Roman" w:hAnsi="Arial" w:cs="Arial"/>
          <w:bCs/>
          <w:sz w:val="22"/>
          <w:lang w:eastAsia="es-CO"/>
        </w:rPr>
        <w:t xml:space="preserve">término de </w:t>
      </w:r>
      <w:r>
        <w:rPr>
          <w:rFonts w:ascii="Arial" w:eastAsia="Times New Roman" w:hAnsi="Arial" w:cs="Arial"/>
          <w:bCs/>
          <w:sz w:val="22"/>
          <w:lang w:eastAsia="es-CO"/>
        </w:rPr>
        <w:t>E</w:t>
      </w:r>
      <w:r w:rsidRPr="00276F65">
        <w:rPr>
          <w:rFonts w:ascii="Arial" w:eastAsia="Times New Roman" w:hAnsi="Arial" w:cs="Arial"/>
          <w:bCs/>
          <w:sz w:val="22"/>
          <w:lang w:eastAsia="es-CO"/>
        </w:rPr>
        <w:t>stado</w:t>
      </w:r>
      <w:r>
        <w:rPr>
          <w:rFonts w:ascii="Arial" w:eastAsia="Times New Roman" w:hAnsi="Arial" w:cs="Arial"/>
          <w:bCs/>
          <w:sz w:val="22"/>
          <w:lang w:eastAsia="es-CO"/>
        </w:rPr>
        <w:t xml:space="preserve"> y comprendida en él</w:t>
      </w:r>
      <w:r w:rsidRPr="00276F65">
        <w:rPr>
          <w:rFonts w:ascii="Arial" w:eastAsia="Times New Roman" w:hAnsi="Arial" w:cs="Arial"/>
          <w:bCs/>
          <w:sz w:val="22"/>
          <w:lang w:eastAsia="es-CO"/>
        </w:rPr>
        <w:t>, es decir, como una estructura política y administrativa</w:t>
      </w:r>
      <w:r>
        <w:rPr>
          <w:rStyle w:val="Refdenotaalpie"/>
          <w:rFonts w:ascii="Arial" w:eastAsia="Times New Roman" w:hAnsi="Arial" w:cs="Arial"/>
          <w:bCs/>
          <w:sz w:val="22"/>
          <w:lang w:eastAsia="es-CO"/>
        </w:rPr>
        <w:footnoteReference w:id="39"/>
      </w:r>
      <w:r>
        <w:rPr>
          <w:rFonts w:ascii="Arial" w:eastAsia="Times New Roman" w:hAnsi="Arial" w:cs="Arial"/>
          <w:bCs/>
          <w:sz w:val="22"/>
          <w:lang w:eastAsia="es-CO"/>
        </w:rPr>
        <w:t xml:space="preserve">. </w:t>
      </w:r>
    </w:p>
    <w:p w14:paraId="535B9AD8" w14:textId="4D8F1AE9" w:rsidR="007B234F"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Bajo esta óptica,</w:t>
      </w:r>
      <w:r w:rsidR="002B5AD8">
        <w:rPr>
          <w:rFonts w:ascii="Arial" w:eastAsia="Times New Roman" w:hAnsi="Arial" w:cs="Arial"/>
          <w:bCs/>
          <w:sz w:val="22"/>
          <w:lang w:eastAsia="es-CO"/>
        </w:rPr>
        <w:t xml:space="preserve"> conforme al artículo 1 de la Constitución Política</w:t>
      </w:r>
      <w:r w:rsidR="0082251D">
        <w:rPr>
          <w:rFonts w:ascii="Arial" w:eastAsia="Times New Roman" w:hAnsi="Arial" w:cs="Arial"/>
          <w:bCs/>
          <w:sz w:val="22"/>
          <w:lang w:eastAsia="es-CO"/>
        </w:rPr>
        <w:t>,</w:t>
      </w:r>
      <w:r>
        <w:rPr>
          <w:rFonts w:ascii="Arial" w:eastAsia="Times New Roman" w:hAnsi="Arial" w:cs="Arial"/>
          <w:bCs/>
          <w:sz w:val="22"/>
          <w:lang w:eastAsia="es-CO"/>
        </w:rPr>
        <w:t xml:space="preserve"> es menester recordar que Colombia es un Estado social derecho, organizado en forma de</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R</w:t>
      </w:r>
      <w:r w:rsidRPr="00E479D8">
        <w:rPr>
          <w:rFonts w:ascii="Arial" w:eastAsia="Times New Roman" w:hAnsi="Arial" w:cs="Arial"/>
          <w:bCs/>
          <w:sz w:val="22"/>
          <w:lang w:eastAsia="es-CO"/>
        </w:rPr>
        <w:t>epública unitaria pero descentralizada</w:t>
      </w:r>
      <w:r>
        <w:rPr>
          <w:rFonts w:ascii="Arial" w:eastAsia="Times New Roman" w:hAnsi="Arial" w:cs="Arial"/>
          <w:bCs/>
          <w:sz w:val="22"/>
          <w:lang w:eastAsia="es-CO"/>
        </w:rPr>
        <w:t xml:space="preserve"> y</w:t>
      </w:r>
      <w:r w:rsidRPr="00892F9D">
        <w:rPr>
          <w:rFonts w:ascii="Arial" w:eastAsia="Times New Roman" w:hAnsi="Arial" w:cs="Arial"/>
          <w:bCs/>
          <w:sz w:val="22"/>
          <w:lang w:eastAsia="es-CO"/>
        </w:rPr>
        <w:t xml:space="preserve"> con autonomía de sus entidades territoriales</w:t>
      </w:r>
      <w:r>
        <w:rPr>
          <w:rStyle w:val="Refdenotaalpie"/>
          <w:rFonts w:ascii="Arial" w:eastAsia="Times New Roman" w:hAnsi="Arial" w:cs="Arial"/>
          <w:bCs/>
          <w:sz w:val="22"/>
          <w:lang w:eastAsia="es-CO"/>
        </w:rPr>
        <w:footnoteReference w:id="40"/>
      </w:r>
      <w:r w:rsidR="00860189">
        <w:rPr>
          <w:rFonts w:ascii="Arial" w:eastAsia="Times New Roman" w:hAnsi="Arial" w:cs="Arial"/>
          <w:bCs/>
          <w:sz w:val="22"/>
          <w:lang w:eastAsia="es-CO"/>
        </w:rPr>
        <w:t>. Además</w:t>
      </w:r>
      <w:r>
        <w:rPr>
          <w:rFonts w:ascii="Arial" w:eastAsia="Times New Roman" w:hAnsi="Arial" w:cs="Arial"/>
          <w:bCs/>
          <w:sz w:val="22"/>
          <w:lang w:eastAsia="es-CO"/>
        </w:rPr>
        <w:t>,</w:t>
      </w:r>
      <w:r w:rsidR="00860189">
        <w:rPr>
          <w:rFonts w:ascii="Arial" w:eastAsia="Times New Roman" w:hAnsi="Arial" w:cs="Arial"/>
          <w:bCs/>
          <w:sz w:val="22"/>
          <w:lang w:eastAsia="es-CO"/>
        </w:rPr>
        <w:t xml:space="preserve"> debe tenerse en cuenta que</w:t>
      </w:r>
      <w:r>
        <w:rPr>
          <w:rFonts w:ascii="Arial" w:eastAsia="Times New Roman" w:hAnsi="Arial" w:cs="Arial"/>
          <w:bCs/>
          <w:sz w:val="22"/>
          <w:lang w:eastAsia="es-CO"/>
        </w:rPr>
        <w:t xml:space="preserve"> en </w:t>
      </w:r>
      <w:r w:rsidRPr="000F647A">
        <w:rPr>
          <w:rFonts w:ascii="Arial" w:eastAsia="Times New Roman" w:hAnsi="Arial" w:cs="Arial"/>
          <w:bCs/>
          <w:sz w:val="22"/>
          <w:lang w:eastAsia="es-CO"/>
        </w:rPr>
        <w:t>nuestr</w:t>
      </w:r>
      <w:r>
        <w:rPr>
          <w:rFonts w:ascii="Arial" w:eastAsia="Times New Roman" w:hAnsi="Arial" w:cs="Arial"/>
          <w:bCs/>
          <w:sz w:val="22"/>
          <w:lang w:eastAsia="es-CO"/>
        </w:rPr>
        <w:t>o ordenamiento jurídico se utiliza</w:t>
      </w:r>
      <w:r w:rsidRPr="000F647A">
        <w:rPr>
          <w:rFonts w:ascii="Arial" w:eastAsia="Times New Roman" w:hAnsi="Arial" w:cs="Arial"/>
          <w:bCs/>
          <w:sz w:val="22"/>
          <w:lang w:eastAsia="es-CO"/>
        </w:rPr>
        <w:t xml:space="preserve"> la </w:t>
      </w:r>
      <w:r>
        <w:rPr>
          <w:rFonts w:ascii="Arial" w:eastAsia="Times New Roman" w:hAnsi="Arial" w:cs="Arial"/>
          <w:bCs/>
          <w:sz w:val="22"/>
          <w:lang w:eastAsia="es-CO"/>
        </w:rPr>
        <w:t>expresión</w:t>
      </w:r>
      <w:r w:rsidRPr="000F647A">
        <w:rPr>
          <w:rFonts w:ascii="Arial" w:eastAsia="Times New Roman" w:hAnsi="Arial" w:cs="Arial"/>
          <w:bCs/>
          <w:sz w:val="22"/>
          <w:lang w:eastAsia="es-CO"/>
        </w:rPr>
        <w:t xml:space="preserve"> </w:t>
      </w:r>
      <w:r w:rsidRPr="00EA4BA0">
        <w:rPr>
          <w:rFonts w:ascii="Arial" w:eastAsia="Times New Roman" w:hAnsi="Arial" w:cs="Arial"/>
          <w:bCs/>
          <w:sz w:val="22"/>
          <w:lang w:eastAsia="es-CO"/>
        </w:rPr>
        <w:t>«Nación»</w:t>
      </w:r>
      <w:r w:rsidRPr="000F647A">
        <w:rPr>
          <w:rFonts w:ascii="Arial" w:eastAsia="Times New Roman" w:hAnsi="Arial" w:cs="Arial"/>
          <w:bCs/>
          <w:sz w:val="22"/>
          <w:lang w:eastAsia="es-CO"/>
        </w:rPr>
        <w:t>, en vez de la</w:t>
      </w:r>
      <w:r>
        <w:rPr>
          <w:rFonts w:ascii="Arial" w:eastAsia="Times New Roman" w:hAnsi="Arial" w:cs="Arial"/>
          <w:bCs/>
          <w:sz w:val="22"/>
          <w:lang w:eastAsia="es-CO"/>
        </w:rPr>
        <w:t xml:space="preserve"> expresión</w:t>
      </w:r>
      <w:r w:rsidRPr="000F647A">
        <w:rPr>
          <w:rFonts w:ascii="Arial" w:eastAsia="Times New Roman" w:hAnsi="Arial" w:cs="Arial"/>
          <w:bCs/>
          <w:sz w:val="22"/>
          <w:lang w:eastAsia="es-CO"/>
        </w:rPr>
        <w:t xml:space="preserve"> </w:t>
      </w:r>
      <w:r w:rsidRPr="00EA4BA0">
        <w:rPr>
          <w:rFonts w:ascii="Arial" w:eastAsia="Times New Roman" w:hAnsi="Arial" w:cs="Arial"/>
          <w:bCs/>
          <w:sz w:val="22"/>
          <w:lang w:eastAsia="es-CO"/>
        </w:rPr>
        <w:t>«</w:t>
      </w:r>
      <w:r>
        <w:rPr>
          <w:rFonts w:ascii="Arial" w:eastAsia="Times New Roman" w:hAnsi="Arial" w:cs="Arial"/>
          <w:bCs/>
          <w:sz w:val="22"/>
          <w:lang w:eastAsia="es-CO"/>
        </w:rPr>
        <w:t>Estado</w:t>
      </w:r>
      <w:r w:rsidRPr="00EA4BA0">
        <w:rPr>
          <w:rFonts w:ascii="Arial" w:eastAsia="Times New Roman" w:hAnsi="Arial" w:cs="Arial"/>
          <w:bCs/>
          <w:sz w:val="22"/>
          <w:lang w:eastAsia="es-CO"/>
        </w:rPr>
        <w:t>»</w:t>
      </w:r>
      <w:r w:rsidRPr="000F647A">
        <w:rPr>
          <w:rFonts w:ascii="Arial" w:eastAsia="Times New Roman" w:hAnsi="Arial" w:cs="Arial"/>
          <w:bCs/>
          <w:sz w:val="22"/>
          <w:lang w:eastAsia="es-CO"/>
        </w:rPr>
        <w:t>, para</w:t>
      </w:r>
      <w:r>
        <w:rPr>
          <w:rFonts w:ascii="Arial" w:eastAsia="Times New Roman" w:hAnsi="Arial" w:cs="Arial"/>
          <w:bCs/>
          <w:sz w:val="22"/>
          <w:lang w:eastAsia="es-CO"/>
        </w:rPr>
        <w:t xml:space="preserve"> alu</w:t>
      </w:r>
      <w:r w:rsidR="00860189">
        <w:rPr>
          <w:rFonts w:ascii="Arial" w:eastAsia="Times New Roman" w:hAnsi="Arial" w:cs="Arial"/>
          <w:bCs/>
          <w:sz w:val="22"/>
          <w:lang w:eastAsia="es-CO"/>
        </w:rPr>
        <w:t>dir</w:t>
      </w:r>
      <w:r>
        <w:rPr>
          <w:rFonts w:ascii="Arial" w:eastAsia="Times New Roman" w:hAnsi="Arial" w:cs="Arial"/>
          <w:bCs/>
          <w:sz w:val="22"/>
          <w:lang w:eastAsia="es-CO"/>
        </w:rPr>
        <w:t xml:space="preserve"> a </w:t>
      </w:r>
      <w:r w:rsidRPr="000F647A">
        <w:rPr>
          <w:rFonts w:ascii="Arial" w:eastAsia="Times New Roman" w:hAnsi="Arial" w:cs="Arial"/>
          <w:bCs/>
          <w:sz w:val="22"/>
          <w:lang w:eastAsia="es-CO"/>
        </w:rPr>
        <w:t>las autoridades centrales y di</w:t>
      </w:r>
      <w:r>
        <w:rPr>
          <w:rFonts w:ascii="Arial" w:eastAsia="Times New Roman" w:hAnsi="Arial" w:cs="Arial"/>
          <w:bCs/>
          <w:sz w:val="22"/>
          <w:lang w:eastAsia="es-CO"/>
        </w:rPr>
        <w:t>ferenciarlas</w:t>
      </w:r>
      <w:r w:rsidRPr="000F647A">
        <w:rPr>
          <w:rFonts w:ascii="Arial" w:eastAsia="Times New Roman" w:hAnsi="Arial" w:cs="Arial"/>
          <w:bCs/>
          <w:sz w:val="22"/>
          <w:lang w:eastAsia="es-CO"/>
        </w:rPr>
        <w:t xml:space="preserve"> de las autoridades descentralizadas</w:t>
      </w:r>
      <w:r w:rsidR="00810C11">
        <w:rPr>
          <w:rFonts w:ascii="Arial" w:eastAsia="Times New Roman" w:hAnsi="Arial" w:cs="Arial"/>
          <w:bCs/>
          <w:sz w:val="22"/>
          <w:lang w:eastAsia="es-CO"/>
        </w:rPr>
        <w:t>, bien sea</w:t>
      </w:r>
      <w:r>
        <w:rPr>
          <w:rFonts w:ascii="Arial" w:eastAsia="Times New Roman" w:hAnsi="Arial" w:cs="Arial"/>
          <w:bCs/>
          <w:sz w:val="22"/>
          <w:lang w:eastAsia="es-CO"/>
        </w:rPr>
        <w:t xml:space="preserve"> territorialmente y por servicios</w:t>
      </w:r>
      <w:r>
        <w:rPr>
          <w:rStyle w:val="Refdenotaalpie"/>
          <w:rFonts w:ascii="Arial" w:eastAsia="Times New Roman" w:hAnsi="Arial" w:cs="Arial"/>
          <w:bCs/>
          <w:sz w:val="22"/>
          <w:lang w:eastAsia="es-CO"/>
        </w:rPr>
        <w:footnoteReference w:id="41"/>
      </w:r>
      <w:r w:rsidR="00810C11">
        <w:rPr>
          <w:rFonts w:ascii="Arial" w:eastAsia="Times New Roman" w:hAnsi="Arial" w:cs="Arial"/>
          <w:bCs/>
          <w:sz w:val="22"/>
          <w:lang w:eastAsia="es-CO"/>
        </w:rPr>
        <w:t>.</w:t>
      </w:r>
      <w:r>
        <w:rPr>
          <w:rFonts w:ascii="Arial" w:eastAsia="Times New Roman" w:hAnsi="Arial" w:cs="Arial"/>
          <w:bCs/>
          <w:sz w:val="22"/>
          <w:lang w:eastAsia="es-CO"/>
        </w:rPr>
        <w:t xml:space="preserve"> Así lo ha manifestado la Corte Constitucional:</w:t>
      </w:r>
    </w:p>
    <w:p w14:paraId="7C5028F5" w14:textId="77777777" w:rsidR="007B234F" w:rsidRDefault="007B234F" w:rsidP="007B234F">
      <w:pPr>
        <w:shd w:val="clear" w:color="auto" w:fill="FFFFFF"/>
        <w:spacing w:after="0"/>
        <w:ind w:firstLine="708"/>
        <w:rPr>
          <w:rFonts w:ascii="Arial" w:eastAsia="Times New Roman" w:hAnsi="Arial" w:cs="Arial"/>
          <w:bCs/>
          <w:sz w:val="22"/>
          <w:lang w:eastAsia="es-CO"/>
        </w:rPr>
      </w:pPr>
    </w:p>
    <w:p w14:paraId="2A402CB3" w14:textId="06084C37" w:rsidR="007B234F" w:rsidRPr="00DA3743" w:rsidRDefault="007B234F" w:rsidP="000641BE">
      <w:pPr>
        <w:shd w:val="clear" w:color="auto" w:fill="FFFFFF"/>
        <w:spacing w:after="0" w:line="240" w:lineRule="auto"/>
        <w:ind w:left="709" w:right="567"/>
        <w:rPr>
          <w:rFonts w:ascii="Arial" w:eastAsia="Times New Roman" w:hAnsi="Arial" w:cs="Arial"/>
          <w:bCs/>
          <w:sz w:val="21"/>
          <w:szCs w:val="21"/>
          <w:lang w:eastAsia="es-CO"/>
        </w:rPr>
      </w:pPr>
      <w:r>
        <w:rPr>
          <w:rFonts w:ascii="Arial" w:eastAsia="Times New Roman" w:hAnsi="Arial" w:cs="Arial"/>
          <w:bCs/>
          <w:sz w:val="21"/>
          <w:szCs w:val="21"/>
          <w:lang w:eastAsia="es-CO"/>
        </w:rPr>
        <w:t>[E]</w:t>
      </w:r>
      <w:r w:rsidRPr="00DA3743">
        <w:rPr>
          <w:rFonts w:ascii="Arial" w:eastAsia="Times New Roman" w:hAnsi="Arial" w:cs="Arial"/>
          <w:bCs/>
          <w:sz w:val="21"/>
          <w:szCs w:val="21"/>
          <w:lang w:eastAsia="es-CO"/>
        </w:rPr>
        <w:t xml:space="preserve">n general nuestra normatividad </w:t>
      </w:r>
      <w:r w:rsidRPr="000641BE">
        <w:rPr>
          <w:rFonts w:ascii="Arial" w:eastAsia="Times New Roman" w:hAnsi="Arial" w:cs="Arial"/>
          <w:bCs/>
          <w:i/>
          <w:iCs/>
          <w:sz w:val="21"/>
          <w:szCs w:val="21"/>
          <w:lang w:eastAsia="es-CO"/>
        </w:rPr>
        <w:t>ha reservado la palabra “Nación”</w:t>
      </w:r>
      <w:r w:rsidRPr="00DA3743">
        <w:rPr>
          <w:rFonts w:ascii="Arial" w:eastAsia="Times New Roman" w:hAnsi="Arial" w:cs="Arial"/>
          <w:bCs/>
          <w:sz w:val="21"/>
          <w:szCs w:val="21"/>
          <w:lang w:eastAsia="es-CO"/>
        </w:rPr>
        <w:t xml:space="preserve">, en vez de la palabra “Estado”, </w:t>
      </w:r>
      <w:r w:rsidRPr="000641BE">
        <w:rPr>
          <w:rFonts w:ascii="Arial" w:eastAsia="Times New Roman" w:hAnsi="Arial" w:cs="Arial"/>
          <w:bCs/>
          <w:i/>
          <w:iCs/>
          <w:sz w:val="21"/>
          <w:szCs w:val="21"/>
          <w:lang w:eastAsia="es-CO"/>
        </w:rPr>
        <w:t>para hacer referencia a las autoridades centrales y distinguirlas de las autoridades descentralizadas</w:t>
      </w:r>
      <w:r w:rsidRPr="00DA3743">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0641BE">
        <w:rPr>
          <w:rFonts w:ascii="Arial" w:eastAsia="Times New Roman"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DA3743">
        <w:rPr>
          <w:rFonts w:ascii="Arial" w:eastAsia="Times New Roman" w:hAnsi="Arial" w:cs="Arial"/>
          <w:bCs/>
          <w:sz w:val="21"/>
          <w:szCs w:val="21"/>
          <w:lang w:eastAsia="es-CO"/>
        </w:rPr>
        <w:t xml:space="preserve">. </w:t>
      </w:r>
      <w:r>
        <w:rPr>
          <w:rFonts w:ascii="Arial" w:eastAsia="Times New Roman" w:hAnsi="Arial" w:cs="Arial"/>
          <w:bCs/>
          <w:sz w:val="21"/>
          <w:szCs w:val="21"/>
          <w:lang w:eastAsia="es-CO"/>
        </w:rPr>
        <w:t>(</w:t>
      </w:r>
      <w:r w:rsidR="002B287D">
        <w:rPr>
          <w:rFonts w:ascii="Arial" w:eastAsia="Times New Roman" w:hAnsi="Arial" w:cs="Arial"/>
          <w:bCs/>
          <w:sz w:val="21"/>
          <w:szCs w:val="21"/>
          <w:lang w:eastAsia="es-CO"/>
        </w:rPr>
        <w:t>Énfasis</w:t>
      </w:r>
      <w:r>
        <w:rPr>
          <w:rFonts w:ascii="Arial" w:eastAsia="Times New Roman" w:hAnsi="Arial" w:cs="Arial"/>
          <w:bCs/>
          <w:sz w:val="21"/>
          <w:szCs w:val="21"/>
          <w:lang w:eastAsia="es-CO"/>
        </w:rPr>
        <w:t xml:space="preserve"> fuera del texto).</w:t>
      </w:r>
    </w:p>
    <w:p w14:paraId="7AFFA5DE" w14:textId="77777777" w:rsidR="007B234F" w:rsidRDefault="007B234F" w:rsidP="007B234F">
      <w:pPr>
        <w:shd w:val="clear" w:color="auto" w:fill="FFFFFF"/>
        <w:spacing w:after="0"/>
        <w:ind w:firstLine="708"/>
        <w:rPr>
          <w:rFonts w:ascii="Arial" w:eastAsia="Times New Roman" w:hAnsi="Arial" w:cs="Arial"/>
          <w:bCs/>
          <w:sz w:val="22"/>
          <w:lang w:eastAsia="es-CO"/>
        </w:rPr>
      </w:pPr>
    </w:p>
    <w:p w14:paraId="1629AAF7" w14:textId="7AD2C725" w:rsidR="007B234F"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De otro lado, el Estado</w:t>
      </w:r>
      <w:r w:rsidRPr="00E479D8">
        <w:rPr>
          <w:rFonts w:ascii="Arial" w:eastAsia="Times New Roman" w:hAnsi="Arial" w:cs="Arial"/>
          <w:bCs/>
          <w:sz w:val="22"/>
          <w:lang w:eastAsia="es-CO"/>
        </w:rPr>
        <w:t xml:space="preserve"> </w:t>
      </w:r>
      <w:r>
        <w:rPr>
          <w:rFonts w:ascii="Arial" w:eastAsia="Times New Roman" w:hAnsi="Arial" w:cs="Arial"/>
          <w:bCs/>
          <w:sz w:val="22"/>
          <w:lang w:eastAsia="es-CO"/>
        </w:rPr>
        <w:t xml:space="preserve">en su conjunto, esto es, la Nación y otros </w:t>
      </w:r>
      <w:r w:rsidRPr="000A578E">
        <w:rPr>
          <w:rFonts w:ascii="Arial" w:eastAsia="Times New Roman" w:hAnsi="Arial" w:cs="Arial"/>
          <w:bCs/>
          <w:sz w:val="22"/>
          <w:lang w:eastAsia="es-CO"/>
        </w:rPr>
        <w:t>órganos que realizan las diversas funciones y servicios,</w:t>
      </w:r>
      <w:r>
        <w:rPr>
          <w:rFonts w:ascii="Arial" w:eastAsia="Times New Roman" w:hAnsi="Arial" w:cs="Arial"/>
          <w:bCs/>
          <w:sz w:val="22"/>
          <w:lang w:eastAsia="es-CO"/>
        </w:rPr>
        <w:t xml:space="preserve"> actúa</w:t>
      </w:r>
      <w:r w:rsidRPr="00E479D8">
        <w:rPr>
          <w:rFonts w:ascii="Arial" w:eastAsia="Times New Roman" w:hAnsi="Arial" w:cs="Arial"/>
          <w:bCs/>
          <w:sz w:val="22"/>
          <w:lang w:eastAsia="es-CO"/>
        </w:rPr>
        <w:t xml:space="preserve"> en el</w:t>
      </w:r>
      <w:r>
        <w:rPr>
          <w:rFonts w:ascii="Arial" w:eastAsia="Times New Roman" w:hAnsi="Arial" w:cs="Arial"/>
          <w:bCs/>
          <w:sz w:val="22"/>
          <w:lang w:eastAsia="es-CO"/>
        </w:rPr>
        <w:t xml:space="preserve"> mundo del Derecho</w:t>
      </w:r>
      <w:r w:rsidRPr="00E479D8">
        <w:rPr>
          <w:rFonts w:ascii="Arial" w:eastAsia="Times New Roman" w:hAnsi="Arial" w:cs="Arial"/>
          <w:bCs/>
          <w:sz w:val="22"/>
          <w:lang w:eastAsia="es-CO"/>
        </w:rPr>
        <w:t xml:space="preserve"> dotado de personalidad jurídica</w:t>
      </w:r>
      <w:r>
        <w:rPr>
          <w:rFonts w:ascii="Arial" w:eastAsia="Times New Roman" w:hAnsi="Arial" w:cs="Arial"/>
          <w:bCs/>
          <w:sz w:val="22"/>
          <w:lang w:eastAsia="es-CO"/>
        </w:rPr>
        <w:t xml:space="preserve"> como</w:t>
      </w:r>
      <w:r w:rsidRPr="00863A3B">
        <w:t xml:space="preserve"> </w:t>
      </w:r>
      <w:r w:rsidRPr="00863A3B">
        <w:rPr>
          <w:rFonts w:ascii="Arial" w:eastAsia="Times New Roman" w:hAnsi="Arial" w:cs="Arial"/>
          <w:bCs/>
          <w:sz w:val="22"/>
          <w:lang w:eastAsia="es-CO"/>
        </w:rPr>
        <w:t xml:space="preserve">sujeto de derechos y obligaciones. </w:t>
      </w:r>
      <w:r>
        <w:rPr>
          <w:rFonts w:ascii="Arial" w:eastAsia="Times New Roman" w:hAnsi="Arial" w:cs="Arial"/>
          <w:bCs/>
          <w:sz w:val="22"/>
          <w:lang w:eastAsia="es-CO"/>
        </w:rPr>
        <w:t xml:space="preserve">En efecto, el </w:t>
      </w:r>
      <w:r w:rsidRPr="00E479D8">
        <w:rPr>
          <w:rFonts w:ascii="Arial" w:eastAsia="Times New Roman" w:hAnsi="Arial" w:cs="Arial"/>
          <w:bCs/>
          <w:sz w:val="22"/>
          <w:lang w:eastAsia="es-CO"/>
        </w:rPr>
        <w:t xml:space="preserve">artículo 80 de la Ley 153 de 1887 </w:t>
      </w:r>
      <w:r w:rsidR="00BF0438">
        <w:rPr>
          <w:rFonts w:ascii="Arial" w:eastAsia="Times New Roman" w:hAnsi="Arial" w:cs="Arial"/>
          <w:bCs/>
          <w:sz w:val="22"/>
          <w:lang w:eastAsia="es-CO"/>
        </w:rPr>
        <w:t xml:space="preserve">prescribe </w:t>
      </w:r>
      <w:r>
        <w:rPr>
          <w:rFonts w:ascii="Arial" w:eastAsia="Times New Roman" w:hAnsi="Arial" w:cs="Arial"/>
          <w:bCs/>
          <w:sz w:val="22"/>
          <w:lang w:eastAsia="es-CO"/>
        </w:rPr>
        <w:t xml:space="preserve">que </w:t>
      </w:r>
      <w:r w:rsidRPr="00EA4BA0">
        <w:rPr>
          <w:rFonts w:ascii="Arial" w:eastAsia="Times New Roman" w:hAnsi="Arial" w:cs="Arial"/>
          <w:sz w:val="21"/>
          <w:szCs w:val="21"/>
          <w:lang w:val="es-CO" w:eastAsia="es-CO"/>
        </w:rPr>
        <w:t>«</w:t>
      </w:r>
      <w:r w:rsidR="00BF0438">
        <w:rPr>
          <w:rFonts w:ascii="Arial" w:eastAsia="Times New Roman" w:hAnsi="Arial" w:cs="Arial"/>
          <w:bCs/>
          <w:sz w:val="22"/>
          <w:lang w:eastAsia="es-CO"/>
        </w:rPr>
        <w:t>L</w:t>
      </w:r>
      <w:r w:rsidRPr="00E479D8">
        <w:rPr>
          <w:rFonts w:ascii="Arial" w:eastAsia="Times New Roman" w:hAnsi="Arial" w:cs="Arial"/>
          <w:bCs/>
          <w:sz w:val="22"/>
          <w:lang w:eastAsia="es-CO"/>
        </w:rPr>
        <w:t xml:space="preserve">a Nación, los Departamentos, los Municipios, los establecimientos de beneficencia y los de instrucción pública, y las </w:t>
      </w:r>
      <w:r w:rsidRPr="00E479D8">
        <w:rPr>
          <w:rFonts w:ascii="Arial" w:eastAsia="Times New Roman" w:hAnsi="Arial" w:cs="Arial"/>
          <w:bCs/>
          <w:sz w:val="22"/>
          <w:lang w:eastAsia="es-CO"/>
        </w:rPr>
        <w:lastRenderedPageBreak/>
        <w:t>corporaciones creadas o reconocidas por la ley, son personas jurídicas</w:t>
      </w:r>
      <w:r w:rsidRPr="00EA4BA0">
        <w:rPr>
          <w:rFonts w:ascii="Arial" w:eastAsia="Times New Roman" w:hAnsi="Arial" w:cs="Arial"/>
          <w:sz w:val="21"/>
          <w:szCs w:val="21"/>
          <w:lang w:val="es-CO" w:eastAsia="es-CO"/>
        </w:rPr>
        <w:t>»</w:t>
      </w:r>
      <w:r w:rsidRPr="00E479D8">
        <w:rPr>
          <w:rFonts w:ascii="Arial" w:eastAsia="Times New Roman" w:hAnsi="Arial" w:cs="Arial"/>
          <w:bCs/>
          <w:sz w:val="22"/>
          <w:lang w:eastAsia="es-CO"/>
        </w:rPr>
        <w:t>.</w:t>
      </w:r>
      <w:r>
        <w:rPr>
          <w:rFonts w:ascii="Arial" w:eastAsia="Times New Roman" w:hAnsi="Arial" w:cs="Arial"/>
          <w:bCs/>
          <w:sz w:val="22"/>
          <w:lang w:eastAsia="es-CO"/>
        </w:rPr>
        <w:t xml:space="preserve"> Bajo este</w:t>
      </w:r>
      <w:r w:rsidRPr="00E479D8">
        <w:rPr>
          <w:rFonts w:ascii="Arial" w:eastAsia="Times New Roman" w:hAnsi="Arial" w:cs="Arial"/>
          <w:bCs/>
          <w:sz w:val="22"/>
          <w:lang w:eastAsia="es-CO"/>
        </w:rPr>
        <w:t xml:space="preserve"> esquema</w:t>
      </w:r>
      <w:r>
        <w:rPr>
          <w:rFonts w:ascii="Arial" w:eastAsia="Times New Roman" w:hAnsi="Arial" w:cs="Arial"/>
          <w:bCs/>
          <w:sz w:val="22"/>
          <w:lang w:eastAsia="es-CO"/>
        </w:rPr>
        <w:t xml:space="preserve"> constitucional y legal </w:t>
      </w:r>
      <w:r w:rsidRPr="00E479D8">
        <w:rPr>
          <w:rFonts w:ascii="Arial" w:eastAsia="Times New Roman" w:hAnsi="Arial" w:cs="Arial"/>
          <w:bCs/>
          <w:sz w:val="22"/>
          <w:lang w:eastAsia="es-CO"/>
        </w:rPr>
        <w:t xml:space="preserve">se ha entendido que </w:t>
      </w:r>
      <w:r w:rsidRPr="00A2150C">
        <w:rPr>
          <w:rFonts w:ascii="Arial" w:eastAsia="Times New Roman" w:hAnsi="Arial" w:cs="Arial"/>
          <w:bCs/>
          <w:sz w:val="22"/>
          <w:lang w:eastAsia="es-CO"/>
        </w:rPr>
        <w:t>«</w:t>
      </w:r>
      <w:r w:rsidRPr="00E479D8">
        <w:rPr>
          <w:rFonts w:ascii="Arial" w:eastAsia="Times New Roman" w:hAnsi="Arial" w:cs="Arial"/>
          <w:bCs/>
          <w:sz w:val="22"/>
          <w:lang w:eastAsia="es-CO"/>
        </w:rPr>
        <w:t>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EA4BA0">
        <w:rPr>
          <w:rFonts w:ascii="Arial" w:eastAsia="Times New Roman" w:hAnsi="Arial" w:cs="Arial"/>
          <w:sz w:val="21"/>
          <w:szCs w:val="21"/>
          <w:lang w:val="es-CO" w:eastAsia="es-CO"/>
        </w:rPr>
        <w:t>»</w:t>
      </w:r>
      <w:r>
        <w:rPr>
          <w:rStyle w:val="Refdenotaalpie"/>
          <w:rFonts w:ascii="Arial" w:eastAsia="Times New Roman" w:hAnsi="Arial" w:cs="Arial"/>
          <w:sz w:val="21"/>
          <w:szCs w:val="21"/>
          <w:lang w:val="es-CO" w:eastAsia="es-CO"/>
        </w:rPr>
        <w:footnoteReference w:id="42"/>
      </w:r>
      <w:r w:rsidR="00656388">
        <w:rPr>
          <w:rFonts w:ascii="Arial" w:eastAsia="Times New Roman" w:hAnsi="Arial" w:cs="Arial"/>
          <w:sz w:val="21"/>
          <w:szCs w:val="21"/>
          <w:lang w:val="es-CO" w:eastAsia="es-CO"/>
        </w:rPr>
        <w:t>.</w:t>
      </w:r>
      <w:r w:rsidRPr="00E479D8">
        <w:rPr>
          <w:rFonts w:ascii="Arial" w:eastAsia="Times New Roman" w:hAnsi="Arial" w:cs="Arial"/>
          <w:bCs/>
          <w:sz w:val="22"/>
          <w:lang w:eastAsia="es-CO"/>
        </w:rPr>
        <w:t xml:space="preserve">  </w:t>
      </w:r>
    </w:p>
    <w:p w14:paraId="57907EAD" w14:textId="38551A8E" w:rsidR="007B234F" w:rsidRPr="00EA4BA0"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E</w:t>
      </w:r>
      <w:r w:rsidRPr="00EA4BA0">
        <w:rPr>
          <w:rFonts w:ascii="Arial" w:eastAsia="Times New Roman" w:hAnsi="Arial" w:cs="Arial"/>
          <w:bCs/>
          <w:sz w:val="22"/>
          <w:lang w:eastAsia="es-CO"/>
        </w:rPr>
        <w:t>n particular</w:t>
      </w:r>
      <w:r>
        <w:rPr>
          <w:rFonts w:ascii="Arial" w:eastAsia="Times New Roman" w:hAnsi="Arial" w:cs="Arial"/>
          <w:bCs/>
          <w:sz w:val="22"/>
          <w:lang w:eastAsia="es-CO"/>
        </w:rPr>
        <w:t>,</w:t>
      </w:r>
      <w:r w:rsidRPr="00EA4BA0">
        <w:rPr>
          <w:rFonts w:ascii="Arial" w:eastAsia="Times New Roman" w:hAnsi="Arial" w:cs="Arial"/>
          <w:bCs/>
          <w:sz w:val="22"/>
          <w:lang w:eastAsia="es-CO"/>
        </w:rPr>
        <w:t xml:space="preserve"> la Rama Ejecutiva del Poder público se manifiest</w:t>
      </w:r>
      <w:r>
        <w:rPr>
          <w:rFonts w:ascii="Arial" w:eastAsia="Times New Roman" w:hAnsi="Arial" w:cs="Arial"/>
          <w:bCs/>
          <w:sz w:val="22"/>
          <w:lang w:eastAsia="es-CO"/>
        </w:rPr>
        <w:t>a</w:t>
      </w:r>
      <w:r w:rsidRPr="00EA4BA0">
        <w:rPr>
          <w:rFonts w:ascii="Arial" w:eastAsia="Times New Roman" w:hAnsi="Arial" w:cs="Arial"/>
          <w:bCs/>
          <w:sz w:val="22"/>
          <w:lang w:eastAsia="es-CO"/>
        </w:rPr>
        <w:t xml:space="preserve"> en dos</w:t>
      </w:r>
      <w:r w:rsidR="000F354B">
        <w:rPr>
          <w:rFonts w:ascii="Arial" w:eastAsia="Times New Roman" w:hAnsi="Arial" w:cs="Arial"/>
          <w:bCs/>
          <w:sz w:val="22"/>
          <w:lang w:eastAsia="es-CO"/>
        </w:rPr>
        <w:t xml:space="preserve"> (2)</w:t>
      </w:r>
      <w:r w:rsidRPr="00EA4BA0">
        <w:rPr>
          <w:rFonts w:ascii="Arial" w:eastAsia="Times New Roman" w:hAnsi="Arial" w:cs="Arial"/>
          <w:bCs/>
          <w:sz w:val="22"/>
          <w:lang w:eastAsia="es-CO"/>
        </w:rPr>
        <w:t xml:space="preserve"> órdenes o niveles</w:t>
      </w:r>
      <w:r w:rsidR="000F354B">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0F354B">
        <w:rPr>
          <w:rFonts w:ascii="Arial" w:eastAsia="Times New Roman" w:hAnsi="Arial" w:cs="Arial"/>
          <w:bCs/>
          <w:sz w:val="22"/>
          <w:lang w:eastAsia="es-CO"/>
        </w:rPr>
        <w:t>P</w:t>
      </w:r>
      <w:r w:rsidRPr="00EA4BA0">
        <w:rPr>
          <w:rFonts w:ascii="Arial" w:eastAsia="Times New Roman" w:hAnsi="Arial" w:cs="Arial"/>
          <w:bCs/>
          <w:sz w:val="22"/>
          <w:lang w:eastAsia="es-CO"/>
        </w:rPr>
        <w:t>or un lado, el nivel nacional o «administración nacional» que</w:t>
      </w:r>
      <w:r w:rsidR="000F354B">
        <w:rPr>
          <w:rFonts w:ascii="Arial" w:eastAsia="Times New Roman" w:hAnsi="Arial" w:cs="Arial"/>
          <w:bCs/>
          <w:sz w:val="22"/>
          <w:lang w:eastAsia="es-CO"/>
        </w:rPr>
        <w:t>,</w:t>
      </w:r>
      <w:r w:rsidRPr="00EA4BA0">
        <w:rPr>
          <w:rFonts w:ascii="Arial" w:eastAsia="Times New Roman" w:hAnsi="Arial" w:cs="Arial"/>
          <w:bCs/>
          <w:sz w:val="22"/>
          <w:lang w:eastAsia="es-CO"/>
        </w:rPr>
        <w:t xml:space="preserve"> a su turno</w:t>
      </w:r>
      <w:r w:rsidR="00E6402F">
        <w:rPr>
          <w:rFonts w:ascii="Arial" w:eastAsia="Times New Roman" w:hAnsi="Arial" w:cs="Arial"/>
          <w:bCs/>
          <w:sz w:val="22"/>
          <w:lang w:eastAsia="es-CO"/>
        </w:rPr>
        <w:t>,</w:t>
      </w:r>
      <w:r w:rsidRPr="00EA4BA0">
        <w:rPr>
          <w:rFonts w:ascii="Arial" w:eastAsia="Times New Roman" w:hAnsi="Arial" w:cs="Arial"/>
          <w:bCs/>
          <w:sz w:val="22"/>
          <w:lang w:eastAsia="es-CO"/>
        </w:rPr>
        <w:t xml:space="preserve"> puede contar con entidades descentralizadas por servicios y</w:t>
      </w:r>
      <w:r w:rsidR="00E6402F">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 xml:space="preserve">por el otro, el nivel </w:t>
      </w:r>
      <w:r w:rsidRPr="00EA4BA0">
        <w:rPr>
          <w:rFonts w:ascii="Arial" w:eastAsia="Times New Roman" w:hAnsi="Arial" w:cs="Arial"/>
          <w:bCs/>
          <w:sz w:val="22"/>
          <w:lang w:eastAsia="es-CO"/>
        </w:rPr>
        <w:t>descentralizado territori</w:t>
      </w:r>
      <w:r w:rsidR="00E6402F">
        <w:rPr>
          <w:rFonts w:ascii="Arial" w:eastAsia="Times New Roman" w:hAnsi="Arial" w:cs="Arial"/>
          <w:bCs/>
          <w:sz w:val="22"/>
          <w:lang w:eastAsia="es-CO"/>
        </w:rPr>
        <w:t>almente</w:t>
      </w:r>
      <w:r w:rsidRPr="00EA4BA0">
        <w:rPr>
          <w:rFonts w:ascii="Arial" w:eastAsia="Times New Roman" w:hAnsi="Arial" w:cs="Arial"/>
          <w:bCs/>
          <w:sz w:val="22"/>
          <w:lang w:eastAsia="es-CO"/>
        </w:rPr>
        <w:t xml:space="preserve">, o «administración territorial». </w:t>
      </w:r>
      <w:r>
        <w:rPr>
          <w:rFonts w:ascii="Arial" w:eastAsia="Times New Roman" w:hAnsi="Arial" w:cs="Arial"/>
          <w:bCs/>
          <w:sz w:val="22"/>
          <w:lang w:eastAsia="es-CO"/>
        </w:rPr>
        <w:t>En efecto, el</w:t>
      </w:r>
      <w:r w:rsidRPr="00EA4BA0">
        <w:rPr>
          <w:rFonts w:ascii="Arial" w:eastAsia="Times New Roman" w:hAnsi="Arial" w:cs="Arial"/>
          <w:bCs/>
          <w:sz w:val="22"/>
          <w:lang w:eastAsia="es-CO"/>
        </w:rPr>
        <w:t xml:space="preserve"> artículo 38 de la Ley 489 de 1998, por medio de la cual se dictan normas sobre la organización y funcionamiento de las entidades del orden nacional, dispone</w:t>
      </w:r>
      <w:r w:rsidR="004D1B75">
        <w:rPr>
          <w:rFonts w:ascii="Arial" w:eastAsia="Times New Roman" w:hAnsi="Arial" w:cs="Arial"/>
          <w:bCs/>
          <w:sz w:val="22"/>
          <w:lang w:eastAsia="es-CO"/>
        </w:rPr>
        <w:t xml:space="preserve"> que</w:t>
      </w:r>
      <w:r w:rsidRPr="00EA4BA0">
        <w:rPr>
          <w:rFonts w:ascii="Arial" w:eastAsia="Times New Roman" w:hAnsi="Arial" w:cs="Arial"/>
          <w:bCs/>
          <w:sz w:val="22"/>
          <w:lang w:eastAsia="es-CO"/>
        </w:rPr>
        <w:t xml:space="preserve">: </w:t>
      </w:r>
    </w:p>
    <w:p w14:paraId="5D588E7C" w14:textId="77777777" w:rsidR="007B234F" w:rsidRPr="00EA4BA0" w:rsidRDefault="007B234F" w:rsidP="007B234F">
      <w:pPr>
        <w:shd w:val="clear" w:color="auto" w:fill="FFFFFF"/>
        <w:spacing w:after="0"/>
        <w:ind w:firstLine="708"/>
        <w:rPr>
          <w:rFonts w:ascii="Arial" w:eastAsia="Times New Roman" w:hAnsi="Arial" w:cs="Arial"/>
          <w:bCs/>
          <w:sz w:val="22"/>
          <w:lang w:eastAsia="es-CO"/>
        </w:rPr>
      </w:pPr>
    </w:p>
    <w:p w14:paraId="3E22E070" w14:textId="33E89094"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7BFF532E"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1. Del Sector Central:</w:t>
      </w:r>
    </w:p>
    <w:p w14:paraId="68DDB9B2"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La Presidencia de la República;</w:t>
      </w:r>
    </w:p>
    <w:p w14:paraId="1D29C925"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 Vicepresidencia de la República;</w:t>
      </w:r>
    </w:p>
    <w:p w14:paraId="67165500" w14:textId="77777777" w:rsidR="007B234F" w:rsidRPr="00EA4BA0" w:rsidRDefault="007B234F" w:rsidP="000641BE">
      <w:pPr>
        <w:shd w:val="clear" w:color="auto" w:fill="FFFFFF"/>
        <w:spacing w:after="0" w:line="240" w:lineRule="auto"/>
        <w:ind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  </w:t>
      </w:r>
      <w:r w:rsidRPr="00EA4BA0">
        <w:rPr>
          <w:rFonts w:ascii="Arial" w:eastAsia="Times New Roman" w:hAnsi="Arial" w:cs="Arial"/>
          <w:bCs/>
          <w:sz w:val="21"/>
          <w:szCs w:val="21"/>
          <w:lang w:eastAsia="es-CO"/>
        </w:rPr>
        <w:tab/>
        <w:t>c) Los Consejos Superiores de la administración;</w:t>
      </w:r>
    </w:p>
    <w:p w14:paraId="5EC7C28E"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Los ministerios y departamentos administrativos;</w:t>
      </w:r>
    </w:p>
    <w:p w14:paraId="2D54956C" w14:textId="0D270E9D"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Las superintendencias y unidades administrativas especiales sin personería jurídica;</w:t>
      </w:r>
    </w:p>
    <w:p w14:paraId="76A7003B" w14:textId="2E685D1A" w:rsidR="007B234F" w:rsidRPr="00EA4BA0"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2. Del Sector Descentralizado por Servicios:</w:t>
      </w:r>
    </w:p>
    <w:p w14:paraId="7FC0BD68"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a) Los establecimientos públicos;</w:t>
      </w:r>
    </w:p>
    <w:p w14:paraId="202F473A"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b) Las empresas industriales y comerciales del Estado;</w:t>
      </w:r>
    </w:p>
    <w:p w14:paraId="50CC4D11"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e) Los institutos científicos y tecnológicos;</w:t>
      </w:r>
    </w:p>
    <w:p w14:paraId="4326F93A" w14:textId="77777777" w:rsidR="007B234F" w:rsidRPr="00EA4BA0"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f) Las sociedades públicas y las sociedades de economía mixta;</w:t>
      </w:r>
    </w:p>
    <w:p w14:paraId="4933EB87" w14:textId="77777777" w:rsidR="007B234F"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EA4BA0">
        <w:rPr>
          <w:rFonts w:ascii="Arial" w:eastAsia="Times New Roman"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67DF827E" w14:textId="77777777" w:rsidR="007B234F" w:rsidRPr="002F5264" w:rsidRDefault="007B234F" w:rsidP="007B234F">
      <w:pPr>
        <w:shd w:val="clear" w:color="auto" w:fill="FFFFFF"/>
        <w:spacing w:after="0"/>
        <w:ind w:right="567"/>
        <w:rPr>
          <w:rFonts w:ascii="Arial" w:eastAsia="Times New Roman" w:hAnsi="Arial" w:cs="Arial"/>
          <w:bCs/>
          <w:sz w:val="21"/>
          <w:szCs w:val="21"/>
          <w:lang w:eastAsia="es-CO"/>
        </w:rPr>
      </w:pPr>
    </w:p>
    <w:p w14:paraId="049DFD8F" w14:textId="672AC84C"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lastRenderedPageBreak/>
        <w:t>Según la norma transcrita</w:t>
      </w:r>
      <w:r w:rsidRPr="00EA4BA0">
        <w:rPr>
          <w:rFonts w:ascii="Arial" w:eastAsia="Times New Roman" w:hAnsi="Arial" w:cs="Arial"/>
          <w:bCs/>
          <w:sz w:val="22"/>
          <w:lang w:eastAsia="es-CO"/>
        </w:rPr>
        <w:t>, la organización de la Rama Ejecutiva del Poder Público, en su nivel nacional, cuenta con dos</w:t>
      </w:r>
      <w:r w:rsidR="00C6585A">
        <w:rPr>
          <w:rFonts w:ascii="Arial" w:eastAsia="Times New Roman" w:hAnsi="Arial" w:cs="Arial"/>
          <w:bCs/>
          <w:sz w:val="22"/>
          <w:lang w:eastAsia="es-CO"/>
        </w:rPr>
        <w:t xml:space="preserve"> (2)</w:t>
      </w:r>
      <w:r w:rsidRPr="00EA4BA0">
        <w:rPr>
          <w:rFonts w:ascii="Arial" w:eastAsia="Times New Roman" w:hAnsi="Arial" w:cs="Arial"/>
          <w:bCs/>
          <w:sz w:val="22"/>
          <w:lang w:eastAsia="es-CO"/>
        </w:rPr>
        <w:t xml:space="preserve"> sectores</w:t>
      </w:r>
      <w:r w:rsidR="00C6585A">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C6585A">
        <w:rPr>
          <w:rFonts w:ascii="Arial" w:eastAsia="Times New Roman" w:hAnsi="Arial" w:cs="Arial"/>
          <w:bCs/>
          <w:sz w:val="22"/>
          <w:lang w:eastAsia="es-CO"/>
        </w:rPr>
        <w:t>U</w:t>
      </w:r>
      <w:r w:rsidRPr="00EA4BA0">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Pr>
          <w:rFonts w:ascii="Arial" w:eastAsia="Times New Roman" w:hAnsi="Arial" w:cs="Arial"/>
          <w:bCs/>
          <w:sz w:val="22"/>
          <w:lang w:eastAsia="es-CO"/>
        </w:rPr>
        <w:t xml:space="preserve">. Y </w:t>
      </w:r>
      <w:r w:rsidRPr="00EA4BA0">
        <w:rPr>
          <w:rFonts w:ascii="Arial" w:eastAsia="Times New Roman" w:hAnsi="Arial"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Pr>
          <w:rStyle w:val="Refdenotaalpie"/>
          <w:rFonts w:ascii="Arial" w:eastAsia="Times New Roman" w:hAnsi="Arial" w:cs="Arial"/>
          <w:bCs/>
          <w:sz w:val="22"/>
          <w:lang w:eastAsia="es-CO"/>
        </w:rPr>
        <w:footnoteReference w:id="43"/>
      </w:r>
      <w:r w:rsidRPr="00EA4BA0">
        <w:rPr>
          <w:rFonts w:ascii="Arial" w:eastAsia="Times New Roman" w:hAnsi="Arial" w:cs="Arial"/>
          <w:bCs/>
          <w:sz w:val="22"/>
          <w:lang w:eastAsia="es-CO"/>
        </w:rPr>
        <w:t>.</w:t>
      </w:r>
    </w:p>
    <w:p w14:paraId="6C055782" w14:textId="735925B1" w:rsidR="007B234F" w:rsidRPr="00A05663" w:rsidRDefault="00874A6C" w:rsidP="000641BE">
      <w:pPr>
        <w:shd w:val="clear" w:color="auto" w:fill="FFFFFF"/>
        <w:spacing w:after="120"/>
        <w:rPr>
          <w:rFonts w:ascii="Arial" w:eastAsia="Times New Roman" w:hAnsi="Arial" w:cs="Arial"/>
          <w:bCs/>
          <w:sz w:val="22"/>
          <w:lang w:eastAsia="es-CO"/>
        </w:rPr>
      </w:pPr>
      <w:r>
        <w:rPr>
          <w:rFonts w:ascii="Arial" w:eastAsia="Times New Roman" w:hAnsi="Arial" w:cs="Arial"/>
          <w:bCs/>
          <w:sz w:val="22"/>
          <w:lang w:eastAsia="es-CO"/>
        </w:rPr>
        <w:tab/>
      </w:r>
      <w:r w:rsidR="007B234F" w:rsidRPr="00A05663">
        <w:rPr>
          <w:rFonts w:ascii="Arial" w:eastAsia="Times New Roman" w:hAnsi="Arial" w:cs="Arial"/>
          <w:bCs/>
          <w:sz w:val="22"/>
          <w:lang w:eastAsia="es-CO"/>
        </w:rPr>
        <w:t>A</w:t>
      </w:r>
      <w:r w:rsidR="006E0F9F">
        <w:rPr>
          <w:rFonts w:ascii="Arial" w:eastAsia="Times New Roman" w:hAnsi="Arial" w:cs="Arial"/>
          <w:bCs/>
          <w:sz w:val="22"/>
          <w:lang w:eastAsia="es-CO"/>
        </w:rPr>
        <w:t>l</w:t>
      </w:r>
      <w:r w:rsidR="007B234F" w:rsidRPr="00A05663">
        <w:rPr>
          <w:rFonts w:ascii="Arial" w:eastAsia="Times New Roman" w:hAnsi="Arial" w:cs="Arial"/>
          <w:bCs/>
          <w:sz w:val="22"/>
          <w:lang w:eastAsia="es-CO"/>
        </w:rPr>
        <w:t xml:space="preserve"> respecto debe recordarse que la descentralización</w:t>
      </w:r>
      <w:r w:rsidR="00F452B6">
        <w:rPr>
          <w:rFonts w:ascii="Arial" w:eastAsia="Times New Roman" w:hAnsi="Arial" w:cs="Arial"/>
          <w:bCs/>
          <w:sz w:val="22"/>
          <w:lang w:eastAsia="es-CO"/>
        </w:rPr>
        <w:t xml:space="preserve"> es una </w:t>
      </w:r>
      <w:r w:rsidR="007B234F" w:rsidRPr="00A05663">
        <w:rPr>
          <w:rFonts w:ascii="Arial" w:eastAsia="Times New Roman" w:hAnsi="Arial" w:cs="Arial"/>
          <w:bCs/>
          <w:sz w:val="22"/>
          <w:lang w:eastAsia="es-CO"/>
        </w:rPr>
        <w:t>forma de organización administrativa que implica el traslado de competencias a favor de autoridades o personas distintas a la Nación</w:t>
      </w:r>
      <w:r w:rsidR="009A4864">
        <w:rPr>
          <w:rFonts w:ascii="Arial" w:eastAsia="Times New Roman" w:hAnsi="Arial" w:cs="Arial"/>
          <w:bCs/>
          <w:sz w:val="22"/>
          <w:lang w:eastAsia="es-CO"/>
        </w:rPr>
        <w:t>. Esta</w:t>
      </w:r>
      <w:r w:rsidR="007B234F" w:rsidRPr="00A05663">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7DD3509D"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En ese sentido, de acuerdo </w:t>
      </w:r>
      <w:r w:rsidR="00052CE1">
        <w:rPr>
          <w:rFonts w:ascii="Arial" w:eastAsia="Times New Roman" w:hAnsi="Arial" w:cs="Arial"/>
          <w:bCs/>
          <w:sz w:val="22"/>
          <w:lang w:eastAsia="es-CO"/>
        </w:rPr>
        <w:t>con la explicación precedente</w:t>
      </w:r>
      <w:r w:rsidRPr="00A05663">
        <w:rPr>
          <w:rFonts w:ascii="Arial" w:eastAsia="Times New Roman" w:hAnsi="Arial" w:cs="Arial"/>
          <w:bCs/>
          <w:sz w:val="22"/>
          <w:lang w:eastAsia="es-CO"/>
        </w:rPr>
        <w:t>, en el nivel nacional de la Rama Ejecutiva existen entidades que pertene</w:t>
      </w:r>
      <w:r w:rsidR="00C821FE">
        <w:rPr>
          <w:rFonts w:ascii="Arial" w:eastAsia="Times New Roman" w:hAnsi="Arial" w:cs="Arial"/>
          <w:bCs/>
          <w:sz w:val="22"/>
          <w:lang w:eastAsia="es-CO"/>
        </w:rPr>
        <w:t>ce</w:t>
      </w:r>
      <w:r w:rsidRPr="00A05663">
        <w:rPr>
          <w:rFonts w:ascii="Arial" w:eastAsia="Times New Roman" w:hAnsi="Arial" w:cs="Arial"/>
          <w:bCs/>
          <w:sz w:val="22"/>
          <w:lang w:eastAsia="es-CO"/>
        </w:rPr>
        <w:t xml:space="preserve">n o bien al sector central, precisamente, por no encontrarse descentralizadas y hacer parte, por ende, </w:t>
      </w:r>
      <w:r w:rsidR="005A4079">
        <w:rPr>
          <w:rFonts w:ascii="Arial" w:eastAsia="Times New Roman" w:hAnsi="Arial" w:cs="Arial"/>
          <w:bCs/>
          <w:sz w:val="22"/>
          <w:lang w:eastAsia="es-CO"/>
        </w:rPr>
        <w:t>de</w:t>
      </w:r>
      <w:r w:rsidRPr="00A05663">
        <w:rPr>
          <w:rFonts w:ascii="Arial" w:eastAsia="Times New Roman" w:hAnsi="Arial"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DB79716" w14:textId="5EE641C6"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lastRenderedPageBreak/>
        <w:t xml:space="preserve">A su turno, dentro del sector descentralizado por servicios del nivel nacional existen dos modalidades de </w:t>
      </w:r>
      <w:r w:rsidR="009F1BD6" w:rsidRPr="00A05663">
        <w:rPr>
          <w:rFonts w:ascii="Arial" w:eastAsia="Times New Roman" w:hAnsi="Arial" w:cs="Arial"/>
          <w:bCs/>
          <w:sz w:val="22"/>
          <w:lang w:eastAsia="es-CO"/>
        </w:rPr>
        <w:t>descentralización</w:t>
      </w:r>
      <w:r w:rsidRPr="00A05663">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6B5E08F7"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Sin embargo, dichas entidades descentralizadas directamente, por ser personas jurídicas, pueden, a su turno, participar con otras personas en la creación de </w:t>
      </w:r>
      <w:r w:rsidR="003F60D3">
        <w:rPr>
          <w:rFonts w:ascii="Arial" w:eastAsia="Times New Roman" w:hAnsi="Arial" w:cs="Arial"/>
          <w:bCs/>
          <w:sz w:val="22"/>
          <w:lang w:eastAsia="es-CO"/>
        </w:rPr>
        <w:t xml:space="preserve">otras completamente </w:t>
      </w:r>
      <w:r w:rsidRPr="00A05663">
        <w:rPr>
          <w:rFonts w:ascii="Arial" w:eastAsia="Times New Roman" w:hAnsi="Arial" w:cs="Arial"/>
          <w:bCs/>
          <w:sz w:val="22"/>
          <w:lang w:eastAsia="es-CO"/>
        </w:rPr>
        <w:t>nuevas</w:t>
      </w:r>
      <w:r w:rsidR="001E1988">
        <w:rPr>
          <w:rFonts w:ascii="Arial" w:eastAsia="Times New Roman" w:hAnsi="Arial" w:cs="Arial"/>
          <w:bCs/>
          <w:sz w:val="22"/>
          <w:lang w:eastAsia="es-CO"/>
        </w:rPr>
        <w:t>. E</w:t>
      </w:r>
      <w:r w:rsidRPr="00A05663">
        <w:rPr>
          <w:rFonts w:ascii="Arial" w:eastAsia="Times New Roman" w:hAnsi="Arial" w:cs="Arial"/>
          <w:bCs/>
          <w:sz w:val="22"/>
          <w:lang w:eastAsia="es-CO"/>
        </w:rPr>
        <w:t>stas</w:t>
      </w:r>
      <w:r w:rsidR="001E1988">
        <w:rPr>
          <w:rFonts w:ascii="Arial" w:eastAsia="Times New Roman" w:hAnsi="Arial" w:cs="Arial"/>
          <w:bCs/>
          <w:sz w:val="22"/>
          <w:lang w:eastAsia="es-CO"/>
        </w:rPr>
        <w:t xml:space="preserve"> corresponden</w:t>
      </w:r>
      <w:r w:rsidRPr="00A05663">
        <w:rPr>
          <w:rFonts w:ascii="Arial" w:eastAsia="Times New Roman" w:hAnsi="Arial" w:cs="Arial"/>
          <w:bCs/>
          <w:sz w:val="22"/>
          <w:lang w:eastAsia="es-CO"/>
        </w:rPr>
        <w:t>, entonces, a las denominadas entidades descentralizadas indirecta</w:t>
      </w:r>
      <w:r w:rsidR="001E1988">
        <w:rPr>
          <w:rFonts w:ascii="Arial" w:eastAsia="Times New Roman" w:hAnsi="Arial" w:cs="Arial"/>
          <w:bCs/>
          <w:sz w:val="22"/>
          <w:lang w:eastAsia="es-CO"/>
        </w:rPr>
        <w:t>s</w:t>
      </w:r>
      <w:r w:rsidRPr="00A05663">
        <w:rPr>
          <w:rFonts w:ascii="Arial" w:eastAsia="Times New Roman" w:hAnsi="Arial" w:cs="Arial"/>
          <w:bCs/>
          <w:sz w:val="22"/>
          <w:lang w:eastAsia="es-CO"/>
        </w:rPr>
        <w:t xml:space="preserve"> o de segundo grado</w:t>
      </w:r>
      <w:r w:rsidRPr="00A05663">
        <w:rPr>
          <w:rStyle w:val="Refdenotaalpie"/>
          <w:rFonts w:ascii="Arial" w:eastAsia="Times New Roman" w:hAnsi="Arial" w:cs="Arial"/>
          <w:bCs/>
          <w:sz w:val="22"/>
          <w:lang w:eastAsia="es-CO"/>
        </w:rPr>
        <w:footnoteReference w:id="44"/>
      </w:r>
      <w:r w:rsidRPr="00A05663">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A05663">
        <w:rPr>
          <w:rStyle w:val="Refdenotaalpie"/>
          <w:rFonts w:ascii="Arial" w:eastAsia="Times New Roman" w:hAnsi="Arial" w:cs="Arial"/>
          <w:bCs/>
          <w:sz w:val="22"/>
          <w:lang w:eastAsia="es-CO"/>
        </w:rPr>
        <w:footnoteReference w:id="45"/>
      </w:r>
      <w:r w:rsidRPr="00A05663">
        <w:rPr>
          <w:rFonts w:ascii="Arial" w:eastAsia="Times New Roman" w:hAnsi="Arial" w:cs="Arial"/>
          <w:bCs/>
          <w:sz w:val="22"/>
          <w:lang w:eastAsia="es-CO"/>
        </w:rPr>
        <w:t xml:space="preserve">. </w:t>
      </w:r>
    </w:p>
    <w:p w14:paraId="5409AB2E" w14:textId="5BEB06A1" w:rsidR="0063656E" w:rsidRPr="00A05663" w:rsidRDefault="007B234F" w:rsidP="000641BE">
      <w:pPr>
        <w:shd w:val="clear" w:color="auto" w:fill="FFFFFF"/>
        <w:spacing w:after="120"/>
        <w:ind w:firstLine="708"/>
        <w:rPr>
          <w:rFonts w:ascii="Arial" w:eastAsia="Times New Roman" w:hAnsi="Arial" w:cs="Arial"/>
          <w:bCs/>
          <w:sz w:val="22"/>
          <w:lang w:eastAsia="es-CO"/>
        </w:rPr>
      </w:pPr>
      <w:r w:rsidRPr="00A05663">
        <w:rPr>
          <w:rFonts w:ascii="Arial" w:eastAsia="Times New Roman" w:hAnsi="Arial" w:cs="Arial"/>
          <w:bCs/>
          <w:sz w:val="22"/>
          <w:lang w:eastAsia="es-CO"/>
        </w:rPr>
        <w:t>En ese orden de ideas, la descentralización indirecta puede tornar en distintas modalidades, según c</w:t>
      </w:r>
      <w:r w:rsidR="00127BA6">
        <w:rPr>
          <w:rFonts w:ascii="Arial" w:eastAsia="Times New Roman" w:hAnsi="Arial" w:cs="Arial"/>
          <w:bCs/>
          <w:sz w:val="22"/>
          <w:lang w:eastAsia="es-CO"/>
        </w:rPr>
        <w:t>u</w:t>
      </w:r>
      <w:r w:rsidRPr="00A05663">
        <w:rPr>
          <w:rFonts w:ascii="Arial" w:eastAsia="Times New Roman" w:hAnsi="Arial" w:cs="Arial"/>
          <w:bCs/>
          <w:sz w:val="22"/>
          <w:lang w:eastAsia="es-CO"/>
        </w:rPr>
        <w:t>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Pr>
          <w:rFonts w:ascii="Arial" w:eastAsia="Times New Roman" w:hAnsi="Arial" w:cs="Arial"/>
          <w:bCs/>
          <w:sz w:val="22"/>
          <w:lang w:eastAsia="es-CO"/>
        </w:rPr>
        <w:t>,</w:t>
      </w:r>
      <w:r w:rsidRPr="00A05663">
        <w:rPr>
          <w:rFonts w:ascii="Arial" w:eastAsia="Times New Roman" w:hAnsi="Arial" w:cs="Arial"/>
          <w:bCs/>
          <w:sz w:val="22"/>
          <w:lang w:eastAsia="es-CO"/>
        </w:rPr>
        <w:t xml:space="preserve"> </w:t>
      </w:r>
      <w:r w:rsidR="00EF66A8" w:rsidRPr="00A05663">
        <w:rPr>
          <w:rFonts w:ascii="Arial" w:eastAsia="Times New Roman" w:hAnsi="Arial" w:cs="Arial"/>
          <w:bCs/>
          <w:sz w:val="22"/>
          <w:lang w:eastAsia="es-CO"/>
        </w:rPr>
        <w:t>etc.</w:t>
      </w:r>
      <w:r w:rsidR="00EF66A8" w:rsidRPr="00A05663">
        <w:rPr>
          <w:rStyle w:val="Refdenotaalpie"/>
          <w:rFonts w:ascii="Arial" w:eastAsia="Times New Roman" w:hAnsi="Arial" w:cs="Arial"/>
          <w:bCs/>
          <w:sz w:val="22"/>
          <w:lang w:eastAsia="es-CO"/>
        </w:rPr>
        <w:footnoteReference w:id="46"/>
      </w:r>
      <w:r w:rsidRPr="00A05663">
        <w:rPr>
          <w:rFonts w:ascii="Arial" w:eastAsia="Times New Roman" w:hAnsi="Arial" w:cs="Arial"/>
          <w:bCs/>
          <w:sz w:val="22"/>
          <w:lang w:eastAsia="es-CO"/>
        </w:rPr>
        <w:t xml:space="preserve"> </w:t>
      </w:r>
    </w:p>
    <w:p w14:paraId="2C2A3417" w14:textId="49C48B52"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De </w:t>
      </w:r>
      <w:r w:rsidR="00EF66A8">
        <w:rPr>
          <w:rFonts w:ascii="Arial" w:eastAsia="Times New Roman" w:hAnsi="Arial" w:cs="Arial"/>
          <w:bCs/>
          <w:sz w:val="22"/>
          <w:lang w:eastAsia="es-CO"/>
        </w:rPr>
        <w:t>esta manera</w:t>
      </w:r>
      <w:r w:rsidRPr="00A05663">
        <w:rPr>
          <w:rFonts w:ascii="Arial" w:eastAsia="Times New Roman" w:hAnsi="Arial" w:cs="Arial"/>
          <w:bCs/>
          <w:sz w:val="22"/>
          <w:lang w:eastAsia="es-CO"/>
        </w:rPr>
        <w:t>, la Ley 489 de 1998 regula tres tipos de entidades descentralizadas indirecta</w:t>
      </w:r>
      <w:r w:rsidR="00182855">
        <w:rPr>
          <w:rFonts w:ascii="Arial" w:eastAsia="Times New Roman" w:hAnsi="Arial" w:cs="Arial"/>
          <w:bCs/>
          <w:sz w:val="22"/>
          <w:lang w:eastAsia="es-CO"/>
        </w:rPr>
        <w:t>s</w:t>
      </w:r>
      <w:r w:rsidRPr="00A05663">
        <w:rPr>
          <w:rFonts w:ascii="Arial" w:eastAsia="Times New Roman" w:hAnsi="Arial" w:cs="Arial"/>
          <w:bCs/>
          <w:sz w:val="22"/>
          <w:lang w:eastAsia="es-CO"/>
        </w:rPr>
        <w:t xml:space="preserve"> en sus artículos 94, 95 y 96</w:t>
      </w:r>
      <w:r w:rsidR="007D58E1">
        <w:rPr>
          <w:rFonts w:ascii="Arial" w:eastAsia="Times New Roman" w:hAnsi="Arial" w:cs="Arial"/>
          <w:bCs/>
          <w:sz w:val="22"/>
          <w:lang w:eastAsia="es-CO"/>
        </w:rPr>
        <w:t>. Estas normas se refieren</w:t>
      </w:r>
      <w:r w:rsidRPr="00A05663">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Pr>
          <w:rFonts w:ascii="Arial" w:eastAsia="Times New Roman" w:hAnsi="Arial" w:cs="Arial"/>
          <w:bCs/>
          <w:sz w:val="22"/>
          <w:lang w:eastAsia="es-CO"/>
        </w:rPr>
        <w:t xml:space="preserve">así como </w:t>
      </w:r>
      <w:r w:rsidRPr="00A05663">
        <w:rPr>
          <w:rFonts w:ascii="Arial" w:eastAsia="Times New Roman" w:hAnsi="Arial"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36450292" w:rsidR="007B234F" w:rsidRDefault="007B234F" w:rsidP="000641BE">
      <w:pPr>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lastRenderedPageBreak/>
        <w:t>Dicho lo anterior, es importante destacar</w:t>
      </w:r>
      <w:r w:rsidR="00160F84">
        <w:rPr>
          <w:rFonts w:ascii="Arial" w:eastAsia="Times New Roman" w:hAnsi="Arial" w:cs="Arial"/>
          <w:bCs/>
          <w:sz w:val="22"/>
          <w:lang w:eastAsia="es-CO"/>
        </w:rPr>
        <w:t xml:space="preserve"> </w:t>
      </w:r>
      <w:r w:rsidRPr="00A05663">
        <w:rPr>
          <w:rFonts w:ascii="Arial" w:eastAsia="Times New Roman" w:hAnsi="Arial" w:cs="Arial"/>
          <w:bCs/>
          <w:sz w:val="22"/>
          <w:lang w:eastAsia="es-CO"/>
        </w:rPr>
        <w:t>que las entidades descentralizadas indirectamente son una especie del género que corresponde a las entidades descentralizadas, y</w:t>
      </w:r>
      <w:r>
        <w:rPr>
          <w:rFonts w:ascii="Arial" w:eastAsia="Times New Roman" w:hAnsi="Arial" w:cs="Arial"/>
          <w:bCs/>
          <w:sz w:val="22"/>
          <w:lang w:eastAsia="es-CO"/>
        </w:rPr>
        <w:t xml:space="preserve"> «[…] por ello y porque gozan de personería jurídica, autonomía administrativa y patrimonio propio o capital </w:t>
      </w:r>
      <w:r w:rsidR="00E2799E">
        <w:rPr>
          <w:rFonts w:ascii="Arial" w:eastAsia="Times New Roman" w:hAnsi="Arial" w:cs="Arial"/>
          <w:bCs/>
          <w:sz w:val="22"/>
          <w:lang w:eastAsia="es-CO"/>
        </w:rPr>
        <w:t>independiente</w:t>
      </w:r>
      <w:r>
        <w:rPr>
          <w:rFonts w:ascii="Arial" w:eastAsia="Times New Roman" w:hAnsi="Arial" w:cs="Arial"/>
          <w:bCs/>
          <w:sz w:val="22"/>
          <w:lang w:eastAsia="es-CO"/>
        </w:rPr>
        <w:t>, es decir, reúnen los requisitos establecidos para las entidades descentralizadas por el artículo 68 de la Ley 489 de 1998, forman parte del sector descentralizado de la administración pública»</w:t>
      </w:r>
      <w:r w:rsidRPr="00A05663">
        <w:rPr>
          <w:rStyle w:val="Refdenotaalpie"/>
          <w:rFonts w:ascii="Arial" w:hAnsi="Arial" w:cs="Arial"/>
          <w:color w:val="333333"/>
          <w:sz w:val="22"/>
        </w:rPr>
        <w:footnoteReference w:id="47"/>
      </w:r>
      <w:r w:rsidRPr="00A05663">
        <w:rPr>
          <w:rFonts w:ascii="Arial" w:hAnsi="Arial" w:cs="Arial"/>
          <w:color w:val="333333"/>
          <w:sz w:val="22"/>
        </w:rPr>
        <w:t>.</w:t>
      </w:r>
      <w:r>
        <w:rPr>
          <w:rFonts w:ascii="Arial" w:hAnsi="Arial" w:cs="Arial"/>
          <w:color w:val="333333"/>
          <w:sz w:val="22"/>
        </w:rPr>
        <w:t xml:space="preserve"> </w:t>
      </w:r>
    </w:p>
    <w:p w14:paraId="349DCBEF" w14:textId="0C7F8592"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Ahora bien, la Ley 80 de 1993</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rompió con la noción ortodoxa que venía del régimen anterior </w:t>
      </w:r>
      <w:r>
        <w:rPr>
          <w:rFonts w:ascii="Arial" w:eastAsia="Times New Roman" w:hAnsi="Arial" w:cs="Arial"/>
          <w:bCs/>
          <w:sz w:val="22"/>
          <w:lang w:eastAsia="es-CO"/>
        </w:rPr>
        <w:t xml:space="preserve">respecto a lo que </w:t>
      </w:r>
      <w:r w:rsidRPr="00EA4BA0">
        <w:rPr>
          <w:rFonts w:ascii="Arial" w:eastAsia="Times New Roman" w:hAnsi="Arial" w:cs="Arial"/>
          <w:bCs/>
          <w:sz w:val="22"/>
          <w:lang w:eastAsia="es-CO"/>
        </w:rPr>
        <w:t>se entendería como «entidad estatal» para efectos de la contratación del Estado, y que se fundaba bajo la égida de la personalidad jurídica como elemento determinante para la capacidad o competencia para contrata</w:t>
      </w:r>
      <w:r>
        <w:rPr>
          <w:rFonts w:ascii="Arial" w:eastAsia="Times New Roman" w:hAnsi="Arial" w:cs="Arial"/>
          <w:bCs/>
          <w:sz w:val="22"/>
          <w:lang w:eastAsia="es-CO"/>
        </w:rPr>
        <w:t>r</w:t>
      </w:r>
      <w:r w:rsidRPr="00EA4BA0">
        <w:rPr>
          <w:rFonts w:ascii="Arial" w:eastAsia="Times New Roman" w:hAnsi="Arial" w:cs="Arial"/>
          <w:bCs/>
          <w:sz w:val="22"/>
          <w:lang w:eastAsia="es-CO"/>
        </w:rPr>
        <w:t xml:space="preserve">. Con el </w:t>
      </w:r>
      <w:r w:rsidR="00616F60">
        <w:rPr>
          <w:rFonts w:ascii="Arial" w:eastAsia="Times New Roman" w:hAnsi="Arial" w:cs="Arial"/>
          <w:bCs/>
          <w:sz w:val="22"/>
          <w:lang w:eastAsia="es-CO"/>
        </w:rPr>
        <w:t>Estatuto General de Contratación de la Administración Pública</w:t>
      </w:r>
      <w:r w:rsidR="00616F60" w:rsidRPr="00EA4BA0">
        <w:rPr>
          <w:rFonts w:ascii="Arial" w:eastAsia="Times New Roman" w:hAnsi="Arial" w:cs="Arial"/>
          <w:bCs/>
          <w:sz w:val="22"/>
          <w:lang w:eastAsia="es-CO"/>
        </w:rPr>
        <w:t xml:space="preserve"> </w:t>
      </w:r>
      <w:r w:rsidRPr="00EA4BA0">
        <w:rPr>
          <w:rFonts w:ascii="Arial" w:eastAsia="Times New Roman" w:hAnsi="Arial" w:cs="Arial"/>
          <w:bCs/>
          <w:sz w:val="22"/>
          <w:lang w:eastAsia="es-CO"/>
        </w:rPr>
        <w:t>se separan tales nociones y se admite la posibilidad de que entidades que no cuenten con personería, puedan</w:t>
      </w:r>
      <w:r w:rsidR="008B4490">
        <w:rPr>
          <w:rFonts w:ascii="Arial" w:eastAsia="Times New Roman" w:hAnsi="Arial" w:cs="Arial"/>
          <w:bCs/>
          <w:sz w:val="22"/>
          <w:lang w:eastAsia="es-CO"/>
        </w:rPr>
        <w:t xml:space="preserve"> tener</w:t>
      </w:r>
      <w:r w:rsidRPr="00EA4BA0">
        <w:rPr>
          <w:rFonts w:ascii="Arial" w:eastAsia="Times New Roman" w:hAnsi="Arial" w:cs="Arial"/>
          <w:bCs/>
          <w:sz w:val="22"/>
          <w:lang w:eastAsia="es-CO"/>
        </w:rPr>
        <w:t xml:space="preserve"> capacidad jurídica para celebrar contratos. </w:t>
      </w:r>
    </w:p>
    <w:p w14:paraId="7572375B" w14:textId="642D289C"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Así, el artículo 2 de la Ley 80</w:t>
      </w:r>
      <w:r w:rsidR="008B4490">
        <w:rPr>
          <w:rFonts w:ascii="Arial" w:eastAsia="Times New Roman" w:hAnsi="Arial" w:cs="Arial"/>
          <w:bCs/>
          <w:sz w:val="22"/>
          <w:lang w:eastAsia="es-CO"/>
        </w:rPr>
        <w:t xml:space="preserve"> de 1993</w:t>
      </w:r>
      <w:r w:rsidRPr="00EA4BA0">
        <w:rPr>
          <w:rFonts w:ascii="Arial" w:eastAsia="Times New Roman" w:hAnsi="Arial" w:cs="Arial"/>
          <w:bCs/>
          <w:sz w:val="22"/>
          <w:lang w:eastAsia="es-CO"/>
        </w:rPr>
        <w:t xml:space="preserve"> determinó que ciertas entidades que no </w:t>
      </w:r>
      <w:r>
        <w:rPr>
          <w:rFonts w:ascii="Arial" w:eastAsia="Times New Roman" w:hAnsi="Arial" w:cs="Arial"/>
          <w:bCs/>
          <w:sz w:val="22"/>
          <w:lang w:eastAsia="es-CO"/>
        </w:rPr>
        <w:t xml:space="preserve">tienen </w:t>
      </w:r>
      <w:r w:rsidRPr="00EA4BA0">
        <w:rPr>
          <w:rFonts w:ascii="Arial" w:eastAsia="Times New Roman" w:hAnsi="Arial" w:cs="Arial"/>
          <w:bCs/>
          <w:sz w:val="22"/>
          <w:lang w:eastAsia="es-CO"/>
        </w:rPr>
        <w:t>personalidad jurídica</w:t>
      </w:r>
      <w:r>
        <w:rPr>
          <w:rFonts w:ascii="Arial" w:eastAsia="Times New Roman" w:hAnsi="Arial" w:cs="Arial"/>
          <w:bCs/>
          <w:sz w:val="22"/>
          <w:lang w:eastAsia="es-CO"/>
        </w:rPr>
        <w:t xml:space="preserve"> diferente a la Nación</w:t>
      </w:r>
      <w:r w:rsidRPr="00EA4BA0">
        <w:rPr>
          <w:rFonts w:ascii="Arial" w:eastAsia="Times New Roman" w:hAnsi="Arial" w:cs="Arial"/>
          <w:bCs/>
          <w:sz w:val="22"/>
          <w:lang w:eastAsia="es-CO"/>
        </w:rPr>
        <w:t xml:space="preserve"> </w:t>
      </w:r>
      <w:r w:rsidR="00674512">
        <w:rPr>
          <w:rFonts w:ascii="Arial" w:eastAsia="Times New Roman" w:hAnsi="Arial" w:cs="Arial"/>
          <w:bCs/>
          <w:sz w:val="22"/>
          <w:lang w:eastAsia="es-CO"/>
        </w:rPr>
        <w:t>–</w:t>
      </w:r>
      <w:r w:rsidRPr="00EA4BA0">
        <w:rPr>
          <w:rFonts w:ascii="Arial" w:eastAsia="Times New Roman" w:hAnsi="Arial" w:cs="Arial"/>
          <w:bCs/>
          <w:sz w:val="22"/>
          <w:lang w:eastAsia="es-CO"/>
        </w:rPr>
        <w:t>como</w:t>
      </w:r>
      <w:r w:rsidR="00674512">
        <w:rPr>
          <w:rFonts w:ascii="Arial" w:eastAsia="Times New Roman" w:hAnsi="Arial" w:cs="Arial"/>
          <w:bCs/>
          <w:sz w:val="22"/>
          <w:lang w:eastAsia="es-CO"/>
        </w:rPr>
        <w:t>,</w:t>
      </w:r>
      <w:r w:rsidRPr="00EA4BA0">
        <w:rPr>
          <w:rFonts w:ascii="Arial" w:eastAsia="Times New Roman" w:hAnsi="Arial" w:cs="Arial"/>
          <w:bCs/>
          <w:sz w:val="22"/>
          <w:lang w:eastAsia="es-CO"/>
        </w:rPr>
        <w:t xml:space="preserve"> por ejemplo, los ministerios, departamentos administrativos, las superintendencias y las unidades administrativas especiales sin personería jurídic</w:t>
      </w:r>
      <w:r>
        <w:rPr>
          <w:rFonts w:ascii="Arial" w:eastAsia="Times New Roman" w:hAnsi="Arial" w:cs="Arial"/>
          <w:bCs/>
          <w:sz w:val="22"/>
          <w:lang w:eastAsia="es-CO"/>
        </w:rPr>
        <w:t>a</w:t>
      </w:r>
      <w:r w:rsidR="00674512">
        <w:rPr>
          <w:rFonts w:ascii="Arial" w:eastAsia="Times New Roman" w:hAnsi="Arial" w:cs="Arial"/>
          <w:bCs/>
          <w:sz w:val="22"/>
          <w:lang w:eastAsia="es-CO"/>
        </w:rPr>
        <w:t>–</w:t>
      </w:r>
      <w:r w:rsidRPr="00EA4BA0">
        <w:rPr>
          <w:rFonts w:ascii="Arial" w:eastAsia="Times New Roman" w:hAnsi="Arial" w:cs="Arial"/>
          <w:bCs/>
          <w:sz w:val="22"/>
          <w:lang w:eastAsia="es-CO"/>
        </w:rPr>
        <w:t xml:space="preserve"> pu</w:t>
      </w:r>
      <w:r>
        <w:rPr>
          <w:rFonts w:ascii="Arial" w:eastAsia="Times New Roman" w:hAnsi="Arial" w:cs="Arial"/>
          <w:bCs/>
          <w:sz w:val="22"/>
          <w:lang w:eastAsia="es-CO"/>
        </w:rPr>
        <w:t>eden</w:t>
      </w:r>
      <w:r w:rsidRPr="00EA4BA0">
        <w:rPr>
          <w:rFonts w:ascii="Arial" w:eastAsia="Times New Roman" w:hAnsi="Arial" w:cs="Arial"/>
          <w:bCs/>
          <w:sz w:val="22"/>
          <w:lang w:eastAsia="es-CO"/>
        </w:rPr>
        <w:t xml:space="preserve"> celebrar contratos</w:t>
      </w:r>
      <w:r w:rsidR="00AA33BA">
        <w:rPr>
          <w:rFonts w:ascii="Arial" w:eastAsia="Times New Roman" w:hAnsi="Arial" w:cs="Arial"/>
          <w:bCs/>
          <w:sz w:val="22"/>
          <w:lang w:eastAsia="es-CO"/>
        </w:rPr>
        <w:t>. Además, el</w:t>
      </w:r>
      <w:r w:rsidRPr="00EA4BA0">
        <w:rPr>
          <w:rFonts w:ascii="Arial" w:eastAsia="Times New Roman" w:hAnsi="Arial" w:cs="Arial"/>
          <w:bCs/>
          <w:sz w:val="22"/>
          <w:lang w:eastAsia="es-CO"/>
        </w:rPr>
        <w:t xml:space="preserve"> artículo 11</w:t>
      </w:r>
      <w:r w:rsidR="00AA33BA">
        <w:rPr>
          <w:rFonts w:ascii="Arial" w:eastAsia="Times New Roman" w:hAnsi="Arial" w:cs="Arial"/>
          <w:bCs/>
          <w:sz w:val="22"/>
          <w:lang w:eastAsia="es-CO"/>
        </w:rPr>
        <w:t xml:space="preserve"> </w:t>
      </w:r>
      <w:r w:rsidR="00AA33BA" w:rsidRPr="000641BE">
        <w:rPr>
          <w:rFonts w:ascii="Arial" w:eastAsia="Times New Roman" w:hAnsi="Arial" w:cs="Arial"/>
          <w:bCs/>
          <w:i/>
          <w:iCs/>
          <w:sz w:val="22"/>
          <w:lang w:eastAsia="es-CO"/>
        </w:rPr>
        <w:t>ibidem</w:t>
      </w:r>
      <w:r>
        <w:rPr>
          <w:rFonts w:ascii="Arial" w:eastAsia="Times New Roman" w:hAnsi="Arial" w:cs="Arial"/>
          <w:bCs/>
          <w:sz w:val="22"/>
          <w:lang w:eastAsia="es-CO"/>
        </w:rPr>
        <w:t xml:space="preserve"> señaló que </w:t>
      </w:r>
      <w:r w:rsidRPr="00EA4BA0">
        <w:rPr>
          <w:rFonts w:ascii="Arial" w:eastAsia="Times New Roman" w:hAnsi="Arial" w:cs="Arial"/>
          <w:bCs/>
          <w:sz w:val="22"/>
          <w:lang w:eastAsia="es-CO"/>
        </w:rPr>
        <w:t>los funcionarios con competencia</w:t>
      </w:r>
      <w:r>
        <w:rPr>
          <w:rFonts w:ascii="Arial" w:eastAsia="Times New Roman" w:hAnsi="Arial" w:cs="Arial"/>
          <w:bCs/>
          <w:sz w:val="22"/>
          <w:lang w:eastAsia="es-CO"/>
        </w:rPr>
        <w:t xml:space="preserve"> para hacerlo en la</w:t>
      </w:r>
      <w:r w:rsidRPr="00EA4BA0">
        <w:rPr>
          <w:rFonts w:ascii="Arial" w:eastAsia="Times New Roman" w:hAnsi="Arial" w:cs="Arial"/>
          <w:bCs/>
          <w:sz w:val="22"/>
          <w:lang w:eastAsia="es-CO"/>
        </w:rPr>
        <w:t xml:space="preserve"> entidad </w:t>
      </w:r>
      <w:r>
        <w:rPr>
          <w:rFonts w:ascii="Arial" w:eastAsia="Times New Roman" w:hAnsi="Arial" w:cs="Arial"/>
          <w:bCs/>
          <w:sz w:val="22"/>
          <w:lang w:eastAsia="es-CO"/>
        </w:rPr>
        <w:t xml:space="preserve">son </w:t>
      </w:r>
      <w:r w:rsidRPr="00EA4BA0">
        <w:rPr>
          <w:rFonts w:ascii="Arial" w:eastAsia="Times New Roman" w:hAnsi="Arial" w:cs="Arial"/>
          <w:bCs/>
          <w:sz w:val="22"/>
          <w:lang w:eastAsia="es-CO"/>
        </w:rPr>
        <w:t xml:space="preserve">los ministros, los directores de los departamentos administrativos, los superintendentes y los presidentes de las unidades administrativas especiales, respectivamente. </w:t>
      </w:r>
    </w:p>
    <w:p w14:paraId="1F66F4B3" w14:textId="5FECCDBE"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En este punto, como lo ha dicho la Corte Constitucional, </w:t>
      </w:r>
      <w:bookmarkStart w:id="60" w:name="_Hlk88476051"/>
      <w:r w:rsidRPr="00EA4BA0">
        <w:rPr>
          <w:rFonts w:ascii="Arial" w:eastAsia="Times New Roman" w:hAnsi="Arial" w:cs="Arial"/>
          <w:bCs/>
          <w:sz w:val="22"/>
          <w:lang w:eastAsia="es-CO"/>
        </w:rPr>
        <w:t>«</w:t>
      </w:r>
      <w:r w:rsidR="002B0CA6">
        <w:rPr>
          <w:rFonts w:ascii="Arial" w:eastAsia="Times New Roman" w:hAnsi="Arial" w:cs="Arial"/>
          <w:bCs/>
          <w:sz w:val="22"/>
          <w:lang w:eastAsia="es-CO"/>
        </w:rPr>
        <w:t>E</w:t>
      </w:r>
      <w:r w:rsidRPr="00C80823">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0"/>
      <w:r w:rsidRPr="00EA4BA0">
        <w:rPr>
          <w:rFonts w:ascii="Arial" w:eastAsia="Times New Roman" w:hAnsi="Arial" w:cs="Arial"/>
          <w:bCs/>
          <w:sz w:val="22"/>
          <w:lang w:eastAsia="es-CO"/>
        </w:rPr>
        <w:t>»</w:t>
      </w:r>
      <w:r w:rsidRPr="00EA4BA0">
        <w:rPr>
          <w:rStyle w:val="Refdenotaalpie"/>
          <w:rFonts w:ascii="Arial" w:eastAsia="Times New Roman" w:hAnsi="Arial" w:cs="Arial"/>
          <w:bCs/>
          <w:sz w:val="22"/>
          <w:lang w:eastAsia="es-CO"/>
        </w:rPr>
        <w:footnoteReference w:id="48"/>
      </w:r>
      <w:r w:rsidRPr="00EA4BA0">
        <w:rPr>
          <w:rFonts w:ascii="Arial" w:eastAsia="Times New Roman" w:hAnsi="Arial" w:cs="Arial"/>
          <w:bCs/>
          <w:sz w:val="22"/>
          <w:lang w:eastAsia="es-CO"/>
        </w:rPr>
        <w:t xml:space="preserve">, lo </w:t>
      </w:r>
      <w:r>
        <w:rPr>
          <w:rFonts w:ascii="Arial" w:eastAsia="Times New Roman" w:hAnsi="Arial" w:cs="Arial"/>
          <w:bCs/>
          <w:sz w:val="22"/>
          <w:lang w:eastAsia="es-CO"/>
        </w:rPr>
        <w:t>que</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implica</w:t>
      </w:r>
      <w:r w:rsidRPr="00EA4BA0">
        <w:rPr>
          <w:rFonts w:ascii="Arial" w:eastAsia="Times New Roman" w:hAnsi="Arial" w:cs="Arial"/>
          <w:bCs/>
          <w:sz w:val="22"/>
          <w:lang w:eastAsia="es-CO"/>
        </w:rPr>
        <w:t xml:space="preserve"> que la «actuación del funcionario competente, a nombre de la correspondiente entidad estatal, vincula a la Nación, al departamento o al municipio como persona jurídica»</w:t>
      </w:r>
      <w:r w:rsidRPr="00EA4BA0">
        <w:rPr>
          <w:rStyle w:val="Refdenotaalpie"/>
          <w:rFonts w:ascii="Arial" w:eastAsia="Times New Roman" w:hAnsi="Arial" w:cs="Arial"/>
          <w:bCs/>
          <w:sz w:val="22"/>
          <w:lang w:eastAsia="es-CO"/>
        </w:rPr>
        <w:footnoteReference w:id="49"/>
      </w:r>
      <w:r w:rsidRPr="00EA4BA0">
        <w:rPr>
          <w:rFonts w:ascii="Arial" w:eastAsia="Times New Roman" w:hAnsi="Arial" w:cs="Arial"/>
          <w:bCs/>
          <w:sz w:val="22"/>
          <w:lang w:eastAsia="es-CO"/>
        </w:rPr>
        <w:t>.</w:t>
      </w:r>
      <w:r w:rsidR="00947D28">
        <w:rPr>
          <w:rFonts w:ascii="Arial" w:eastAsia="Times New Roman" w:hAnsi="Arial" w:cs="Arial"/>
          <w:bCs/>
          <w:sz w:val="22"/>
          <w:lang w:eastAsia="es-CO"/>
        </w:rPr>
        <w:t xml:space="preserve"> </w:t>
      </w:r>
      <w:r>
        <w:rPr>
          <w:rFonts w:ascii="Arial" w:eastAsia="Times New Roman" w:hAnsi="Arial" w:cs="Arial"/>
          <w:bCs/>
          <w:sz w:val="22"/>
          <w:lang w:eastAsia="es-CO"/>
        </w:rPr>
        <w:t>P</w:t>
      </w:r>
      <w:r w:rsidRPr="00EA4BA0">
        <w:rPr>
          <w:rFonts w:ascii="Arial" w:eastAsia="Times New Roman" w:hAnsi="Arial" w:cs="Arial"/>
          <w:bCs/>
          <w:sz w:val="22"/>
          <w:lang w:eastAsia="es-CO"/>
        </w:rPr>
        <w:t xml:space="preserve">or ejemplo, cuando la presidencia de la república, o un ministerio o departamento administrativo celebren contratos públicos, lo harán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 de la Nación</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precisamente, por hacer parte </w:t>
      </w:r>
      <w:r>
        <w:rPr>
          <w:rFonts w:ascii="Arial" w:eastAsia="Times New Roman" w:hAnsi="Arial" w:cs="Arial"/>
          <w:bCs/>
          <w:sz w:val="22"/>
          <w:lang w:eastAsia="es-CO"/>
        </w:rPr>
        <w:t>de esta</w:t>
      </w:r>
      <w:r w:rsidRPr="00EA4BA0">
        <w:rPr>
          <w:rFonts w:ascii="Arial" w:eastAsia="Times New Roman" w:hAnsi="Arial" w:cs="Arial"/>
          <w:bCs/>
          <w:sz w:val="22"/>
          <w:lang w:eastAsia="es-CO"/>
        </w:rPr>
        <w:t xml:space="preserve">. No sucederá lo mismo cuando el ente respectivo </w:t>
      </w:r>
      <w:r>
        <w:rPr>
          <w:rFonts w:ascii="Arial" w:eastAsia="Times New Roman" w:hAnsi="Arial" w:cs="Arial"/>
          <w:bCs/>
          <w:sz w:val="22"/>
          <w:lang w:eastAsia="es-CO"/>
        </w:rPr>
        <w:t xml:space="preserve">sea una </w:t>
      </w:r>
      <w:r w:rsidRPr="00EA4BA0">
        <w:rPr>
          <w:rFonts w:ascii="Arial" w:eastAsia="Times New Roman" w:hAnsi="Arial" w:cs="Arial"/>
          <w:bCs/>
          <w:sz w:val="22"/>
          <w:lang w:eastAsia="es-CO"/>
        </w:rPr>
        <w:t xml:space="preserve">persona jurídica distinta a la Nación, </w:t>
      </w:r>
      <w:r w:rsidRPr="00EA4BA0">
        <w:rPr>
          <w:rFonts w:ascii="Arial" w:eastAsia="Times New Roman" w:hAnsi="Arial" w:cs="Arial"/>
          <w:bCs/>
          <w:sz w:val="22"/>
          <w:lang w:eastAsia="es-CO"/>
        </w:rPr>
        <w:lastRenderedPageBreak/>
        <w:t xml:space="preserve">como ocurre con los departamentos, </w:t>
      </w:r>
      <w:r>
        <w:rPr>
          <w:rFonts w:ascii="Arial" w:eastAsia="Times New Roman" w:hAnsi="Arial" w:cs="Arial"/>
          <w:bCs/>
          <w:sz w:val="22"/>
          <w:lang w:eastAsia="es-CO"/>
        </w:rPr>
        <w:t xml:space="preserve">los distritos, los </w:t>
      </w:r>
      <w:r w:rsidRPr="00EA4BA0">
        <w:rPr>
          <w:rFonts w:ascii="Arial" w:eastAsia="Times New Roman" w:hAnsi="Arial" w:cs="Arial"/>
          <w:bCs/>
          <w:sz w:val="22"/>
          <w:lang w:eastAsia="es-CO"/>
        </w:rPr>
        <w:t>municipios</w:t>
      </w:r>
      <w:r>
        <w:rPr>
          <w:rFonts w:ascii="Arial" w:eastAsia="Times New Roman" w:hAnsi="Arial" w:cs="Arial"/>
          <w:bCs/>
          <w:sz w:val="22"/>
          <w:lang w:eastAsia="es-CO"/>
        </w:rPr>
        <w:t xml:space="preserve">, las entidades descentralizadas por servicios de cualquier orden y demás entes </w:t>
      </w:r>
      <w:r w:rsidRPr="00EA4BA0">
        <w:rPr>
          <w:rFonts w:ascii="Arial" w:eastAsia="Times New Roman" w:hAnsi="Arial" w:cs="Arial"/>
          <w:bCs/>
          <w:sz w:val="22"/>
          <w:lang w:eastAsia="es-CO"/>
        </w:rPr>
        <w:t>que, por virtud de la norma que l</w:t>
      </w:r>
      <w:r>
        <w:rPr>
          <w:rFonts w:ascii="Arial" w:eastAsia="Times New Roman" w:hAnsi="Arial" w:cs="Arial"/>
          <w:bCs/>
          <w:sz w:val="22"/>
          <w:lang w:eastAsia="es-CO"/>
        </w:rPr>
        <w:t>o</w:t>
      </w:r>
      <w:r w:rsidRPr="00EA4BA0">
        <w:rPr>
          <w:rFonts w:ascii="Arial" w:eastAsia="Times New Roman" w:hAnsi="Arial" w:cs="Arial"/>
          <w:bCs/>
          <w:sz w:val="22"/>
          <w:lang w:eastAsia="es-CO"/>
        </w:rPr>
        <w:t>s regula</w:t>
      </w:r>
      <w:r>
        <w:rPr>
          <w:rFonts w:ascii="Arial" w:eastAsia="Times New Roman" w:hAnsi="Arial" w:cs="Arial"/>
          <w:bCs/>
          <w:sz w:val="22"/>
          <w:lang w:eastAsia="es-CO"/>
        </w:rPr>
        <w:t>n</w:t>
      </w:r>
      <w:r w:rsidRPr="00EA4BA0">
        <w:rPr>
          <w:rFonts w:ascii="Arial" w:eastAsia="Times New Roman" w:hAnsi="Arial" w:cs="Arial"/>
          <w:bCs/>
          <w:sz w:val="22"/>
          <w:lang w:eastAsia="es-CO"/>
        </w:rPr>
        <w:t xml:space="preserve">, </w:t>
      </w:r>
      <w:r>
        <w:rPr>
          <w:rFonts w:ascii="Arial" w:eastAsia="Times New Roman" w:hAnsi="Arial" w:cs="Arial"/>
          <w:bCs/>
          <w:sz w:val="22"/>
          <w:lang w:eastAsia="es-CO"/>
        </w:rPr>
        <w:t>ostenten este atributo.</w:t>
      </w:r>
    </w:p>
    <w:p w14:paraId="113BD048" w14:textId="27F5EAED"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Igualmente,</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en la estructura del Estado colombiano existen órganos que no pertenecen a la </w:t>
      </w:r>
      <w:r>
        <w:rPr>
          <w:rFonts w:ascii="Arial" w:eastAsia="Times New Roman" w:hAnsi="Arial" w:cs="Arial"/>
          <w:bCs/>
          <w:sz w:val="22"/>
          <w:lang w:eastAsia="es-CO"/>
        </w:rPr>
        <w:t>r</w:t>
      </w:r>
      <w:r w:rsidRPr="00EA4BA0">
        <w:rPr>
          <w:rFonts w:ascii="Arial" w:eastAsia="Times New Roman" w:hAnsi="Arial" w:cs="Arial"/>
          <w:bCs/>
          <w:sz w:val="22"/>
          <w:lang w:eastAsia="es-CO"/>
        </w:rPr>
        <w:t xml:space="preserve">ama </w:t>
      </w:r>
      <w:r>
        <w:rPr>
          <w:rFonts w:ascii="Arial" w:eastAsia="Times New Roman" w:hAnsi="Arial" w:cs="Arial"/>
          <w:bCs/>
          <w:sz w:val="22"/>
          <w:lang w:eastAsia="es-CO"/>
        </w:rPr>
        <w:t>e</w:t>
      </w:r>
      <w:r w:rsidRPr="00EA4BA0">
        <w:rPr>
          <w:rFonts w:ascii="Arial" w:eastAsia="Times New Roman" w:hAnsi="Arial" w:cs="Arial"/>
          <w:bCs/>
          <w:sz w:val="22"/>
          <w:lang w:eastAsia="es-CO"/>
        </w:rPr>
        <w:t>jecutiva</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sino a las otras ramas del poder público </w:t>
      </w:r>
      <w:r w:rsidR="00947D28">
        <w:rPr>
          <w:rFonts w:ascii="Arial" w:eastAsia="Times New Roman" w:hAnsi="Arial" w:cs="Arial"/>
          <w:bCs/>
          <w:sz w:val="22"/>
          <w:lang w:eastAsia="es-CO"/>
        </w:rPr>
        <w:t>–</w:t>
      </w:r>
      <w:r w:rsidRPr="00EA4BA0">
        <w:rPr>
          <w:rFonts w:ascii="Arial" w:eastAsia="Times New Roman" w:hAnsi="Arial" w:cs="Arial"/>
          <w:bCs/>
          <w:sz w:val="22"/>
          <w:lang w:eastAsia="es-CO"/>
        </w:rPr>
        <w:t>legislativa y judicial</w:t>
      </w:r>
      <w:r w:rsidR="00947D28">
        <w:rPr>
          <w:rFonts w:ascii="Arial" w:eastAsia="Times New Roman" w:hAnsi="Arial" w:cs="Arial"/>
          <w:bCs/>
          <w:sz w:val="22"/>
          <w:lang w:eastAsia="es-CO"/>
        </w:rPr>
        <w:t>–</w:t>
      </w:r>
      <w:r>
        <w:rPr>
          <w:rFonts w:ascii="Arial" w:eastAsia="Times New Roman" w:hAnsi="Arial" w:cs="Arial"/>
          <w:bCs/>
          <w:sz w:val="22"/>
          <w:lang w:eastAsia="es-CO"/>
        </w:rPr>
        <w:t xml:space="preserve">, así como organismos </w:t>
      </w:r>
      <w:r w:rsidRPr="00EA4BA0">
        <w:rPr>
          <w:rFonts w:ascii="Arial" w:eastAsia="Times New Roman" w:hAnsi="Arial" w:cs="Arial"/>
          <w:bCs/>
          <w:sz w:val="22"/>
          <w:lang w:eastAsia="es-CO"/>
        </w:rPr>
        <w:t>autónomos e independientes para el cumplimiento de las demás funciones del Estado</w:t>
      </w:r>
      <w:r w:rsidRPr="00EA4BA0">
        <w:rPr>
          <w:rStyle w:val="Refdenotaalpie"/>
          <w:rFonts w:ascii="Arial" w:eastAsia="Times New Roman" w:hAnsi="Arial" w:cs="Arial"/>
          <w:bCs/>
          <w:sz w:val="22"/>
          <w:lang w:eastAsia="es-CO"/>
        </w:rPr>
        <w:footnoteReference w:id="50"/>
      </w:r>
      <w:r w:rsidR="007D28C9">
        <w:rPr>
          <w:rFonts w:ascii="Arial" w:eastAsia="Times New Roman" w:hAnsi="Arial" w:cs="Arial"/>
          <w:bCs/>
          <w:sz w:val="22"/>
          <w:lang w:eastAsia="es-CO"/>
        </w:rPr>
        <w:t>. Estas entidades</w:t>
      </w:r>
      <w:r w:rsidRPr="00EA4BA0">
        <w:rPr>
          <w:rFonts w:ascii="Arial" w:eastAsia="Times New Roman" w:hAnsi="Arial" w:cs="Arial"/>
          <w:bCs/>
          <w:sz w:val="22"/>
          <w:lang w:eastAsia="es-CO"/>
        </w:rPr>
        <w:t xml:space="preserve"> también hacen parte de la Nación y cuentan con capacidad jurídica para contratar según las normas del EGCP</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por ejemplo, el Senado de la República, el Consejo Superior de la Judicatura, la Fiscalía General de la Nación, la Contraloría General de la República, la Procuraduría General de la Nación, la Registraduría Nacional del Estado Civil</w:t>
      </w:r>
      <w:r>
        <w:rPr>
          <w:rFonts w:ascii="Arial" w:eastAsia="Times New Roman" w:hAnsi="Arial" w:cs="Arial"/>
          <w:bCs/>
          <w:sz w:val="22"/>
          <w:lang w:eastAsia="es-CO"/>
        </w:rPr>
        <w:t xml:space="preserve"> y</w:t>
      </w:r>
      <w:r w:rsidRPr="00EA4BA0">
        <w:rPr>
          <w:rFonts w:ascii="Arial" w:eastAsia="Times New Roman" w:hAnsi="Arial" w:cs="Arial"/>
          <w:bCs/>
          <w:sz w:val="22"/>
          <w:lang w:eastAsia="es-CO"/>
        </w:rPr>
        <w:t xml:space="preserve"> la Auditor</w:t>
      </w:r>
      <w:r>
        <w:rPr>
          <w:rFonts w:ascii="Arial" w:eastAsia="Times New Roman" w:hAnsi="Arial" w:cs="Arial"/>
          <w:bCs/>
          <w:sz w:val="22"/>
          <w:lang w:eastAsia="es-CO"/>
        </w:rPr>
        <w:t>í</w:t>
      </w:r>
      <w:r w:rsidRPr="00EA4BA0">
        <w:rPr>
          <w:rFonts w:ascii="Arial" w:eastAsia="Times New Roman" w:hAnsi="Arial" w:cs="Arial"/>
          <w:bCs/>
          <w:sz w:val="22"/>
          <w:lang w:eastAsia="es-CO"/>
        </w:rPr>
        <w:t xml:space="preserve">a General de la República, </w:t>
      </w:r>
      <w:r>
        <w:rPr>
          <w:rFonts w:ascii="Arial" w:eastAsia="Times New Roman" w:hAnsi="Arial" w:cs="Arial"/>
          <w:bCs/>
          <w:sz w:val="22"/>
          <w:lang w:eastAsia="es-CO"/>
        </w:rPr>
        <w:t>entre otros.</w:t>
      </w:r>
    </w:p>
    <w:p w14:paraId="3EB21799" w14:textId="7AB2F9FA" w:rsidR="007B234F" w:rsidRPr="00EA4BA0" w:rsidRDefault="007B234F" w:rsidP="007B234F">
      <w:pPr>
        <w:shd w:val="clear" w:color="auto" w:fill="FFFFFF"/>
        <w:spacing w:after="0"/>
        <w:ind w:firstLine="708"/>
        <w:rPr>
          <w:rFonts w:ascii="Arial" w:eastAsia="Times New Roman" w:hAnsi="Arial" w:cs="Arial"/>
          <w:bCs/>
          <w:sz w:val="22"/>
          <w:lang w:eastAsia="es-CO"/>
        </w:rPr>
      </w:pPr>
      <w:r>
        <w:rPr>
          <w:rFonts w:ascii="Arial" w:eastAsia="Times New Roman" w:hAnsi="Arial" w:cs="Arial"/>
          <w:bCs/>
          <w:sz w:val="22"/>
          <w:lang w:eastAsia="es-CO"/>
        </w:rPr>
        <w:t>Con fundamento en todo lo dicho</w:t>
      </w:r>
      <w:r w:rsidRPr="00EA4BA0">
        <w:rPr>
          <w:rFonts w:ascii="Arial" w:eastAsia="Times New Roman" w:hAnsi="Arial" w:cs="Arial"/>
          <w:bCs/>
          <w:sz w:val="22"/>
          <w:lang w:eastAsia="es-CO"/>
        </w:rPr>
        <w:t xml:space="preserve">, la Agencia considera que la expresión «Nación» utilizada por la </w:t>
      </w:r>
      <w:r>
        <w:rPr>
          <w:rFonts w:ascii="Arial" w:eastAsia="Times New Roman" w:hAnsi="Arial" w:cs="Arial"/>
          <w:bCs/>
          <w:sz w:val="22"/>
          <w:lang w:eastAsia="es-CO"/>
        </w:rPr>
        <w:t>Ley 2159 de 2021</w:t>
      </w:r>
      <w:r w:rsidRPr="00EA4BA0">
        <w:rPr>
          <w:rFonts w:ascii="Arial" w:eastAsia="Times New Roman" w:hAnsi="Arial" w:cs="Arial"/>
          <w:bCs/>
          <w:sz w:val="22"/>
          <w:lang w:eastAsia="es-CO"/>
        </w:rPr>
        <w:t xml:space="preserve"> hace referencia a las entidades públicas </w:t>
      </w:r>
      <w:r>
        <w:rPr>
          <w:rFonts w:ascii="Arial" w:eastAsia="Times New Roman" w:hAnsi="Arial" w:cs="Arial"/>
          <w:bCs/>
          <w:sz w:val="22"/>
          <w:lang w:eastAsia="es-CO"/>
        </w:rPr>
        <w:t>del sector central de la rama ejecutiva</w:t>
      </w:r>
      <w:r w:rsidR="0023158E">
        <w:rPr>
          <w:rFonts w:ascii="Arial" w:eastAsia="Times New Roman" w:hAnsi="Arial" w:cs="Arial"/>
          <w:bCs/>
          <w:sz w:val="22"/>
          <w:lang w:eastAsia="es-CO"/>
        </w:rPr>
        <w:t>,</w:t>
      </w:r>
      <w:r w:rsidR="00431A07">
        <w:rPr>
          <w:rFonts w:ascii="Arial" w:eastAsia="Times New Roman" w:hAnsi="Arial" w:cs="Arial"/>
          <w:bCs/>
          <w:sz w:val="22"/>
          <w:lang w:eastAsia="es-CO"/>
        </w:rPr>
        <w:t xml:space="preserve"> </w:t>
      </w:r>
      <w:r>
        <w:rPr>
          <w:rFonts w:ascii="Arial" w:eastAsia="Times New Roman" w:hAnsi="Arial" w:cs="Arial"/>
          <w:bCs/>
          <w:sz w:val="22"/>
          <w:lang w:eastAsia="es-CO"/>
        </w:rPr>
        <w:t xml:space="preserve">de las demás ramas del poder público, así como </w:t>
      </w:r>
      <w:r w:rsidR="00431A07">
        <w:rPr>
          <w:rFonts w:ascii="Arial" w:eastAsia="Times New Roman" w:hAnsi="Arial" w:cs="Arial"/>
          <w:bCs/>
          <w:sz w:val="22"/>
          <w:lang w:eastAsia="es-CO"/>
        </w:rPr>
        <w:t>de</w:t>
      </w:r>
      <w:r>
        <w:rPr>
          <w:rFonts w:ascii="Arial" w:eastAsia="Times New Roman" w:hAnsi="Arial" w:cs="Arial"/>
          <w:bCs/>
          <w:sz w:val="22"/>
          <w:lang w:eastAsia="es-CO"/>
        </w:rPr>
        <w:t xml:space="preserve"> los </w:t>
      </w:r>
      <w:r w:rsidRPr="00E479D8">
        <w:rPr>
          <w:rFonts w:ascii="Arial" w:eastAsia="Times New Roman" w:hAnsi="Arial" w:cs="Arial"/>
          <w:bCs/>
          <w:sz w:val="22"/>
          <w:lang w:eastAsia="es-CO"/>
        </w:rPr>
        <w:t>órganos autónomos e independientes que se han previsto por la Constitución</w:t>
      </w:r>
      <w:r>
        <w:rPr>
          <w:rFonts w:ascii="Arial" w:eastAsia="Times New Roman" w:hAnsi="Arial" w:cs="Arial"/>
          <w:bCs/>
          <w:sz w:val="22"/>
          <w:lang w:eastAsia="es-CO"/>
        </w:rPr>
        <w:t xml:space="preserve"> Política</w:t>
      </w:r>
      <w:r w:rsidRPr="00E479D8">
        <w:rPr>
          <w:rFonts w:ascii="Arial" w:eastAsia="Times New Roman" w:hAnsi="Arial" w:cs="Arial"/>
          <w:bCs/>
          <w:sz w:val="22"/>
          <w:lang w:eastAsia="es-CO"/>
        </w:rPr>
        <w:t xml:space="preserve"> para el cumplimiento de las demás funciones del Estad</w:t>
      </w:r>
      <w:r>
        <w:rPr>
          <w:rFonts w:ascii="Arial" w:eastAsia="Times New Roman" w:hAnsi="Arial" w:cs="Arial"/>
          <w:bCs/>
          <w:sz w:val="22"/>
          <w:lang w:eastAsia="es-CO"/>
        </w:rPr>
        <w:t xml:space="preserve">o, los cuales </w:t>
      </w:r>
      <w:r w:rsidRPr="00EA4BA0">
        <w:rPr>
          <w:rFonts w:ascii="Arial" w:eastAsia="Times New Roman" w:hAnsi="Arial" w:cs="Arial"/>
          <w:bCs/>
          <w:sz w:val="22"/>
          <w:lang w:eastAsia="es-CO"/>
        </w:rPr>
        <w:t>cuent</w:t>
      </w:r>
      <w:r>
        <w:rPr>
          <w:rFonts w:ascii="Arial" w:eastAsia="Times New Roman" w:hAnsi="Arial" w:cs="Arial"/>
          <w:bCs/>
          <w:sz w:val="22"/>
          <w:lang w:eastAsia="es-CO"/>
        </w:rPr>
        <w:t>a</w:t>
      </w:r>
      <w:r w:rsidRPr="00EA4BA0">
        <w:rPr>
          <w:rFonts w:ascii="Arial" w:eastAsia="Times New Roman" w:hAnsi="Arial" w:cs="Arial"/>
          <w:bCs/>
          <w:sz w:val="22"/>
          <w:lang w:eastAsia="es-CO"/>
        </w:rPr>
        <w:t>n con capacidad</w:t>
      </w:r>
      <w:r>
        <w:rPr>
          <w:rFonts w:ascii="Arial" w:eastAsia="Times New Roman" w:hAnsi="Arial" w:cs="Arial"/>
          <w:bCs/>
          <w:sz w:val="22"/>
          <w:lang w:eastAsia="es-CO"/>
        </w:rPr>
        <w:t xml:space="preserve"> </w:t>
      </w:r>
      <w:r w:rsidRPr="00EA4BA0">
        <w:rPr>
          <w:rFonts w:ascii="Arial" w:eastAsia="Times New Roman" w:hAnsi="Arial" w:cs="Arial"/>
          <w:bCs/>
          <w:sz w:val="22"/>
          <w:lang w:eastAsia="es-CO"/>
        </w:rPr>
        <w:t xml:space="preserve">para celebrar contratos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 de </w:t>
      </w:r>
      <w:r>
        <w:rPr>
          <w:rFonts w:ascii="Arial" w:eastAsia="Times New Roman" w:hAnsi="Arial" w:cs="Arial"/>
          <w:bCs/>
          <w:sz w:val="22"/>
          <w:lang w:eastAsia="es-CO"/>
        </w:rPr>
        <w:t>ella, pues comparten su personería jurídica.</w:t>
      </w:r>
      <w:r w:rsidRPr="00EA4BA0">
        <w:rPr>
          <w:rFonts w:ascii="Arial" w:eastAsia="Times New Roman" w:hAnsi="Arial" w:cs="Arial"/>
          <w:bCs/>
          <w:sz w:val="22"/>
          <w:lang w:eastAsia="es-CO"/>
        </w:rPr>
        <w:t xml:space="preserve"> En caso contrario, esto es, cua</w:t>
      </w:r>
      <w:r>
        <w:rPr>
          <w:rFonts w:ascii="Arial" w:eastAsia="Times New Roman" w:hAnsi="Arial" w:cs="Arial"/>
          <w:bCs/>
          <w:sz w:val="22"/>
          <w:lang w:eastAsia="es-CO"/>
        </w:rPr>
        <w:t>n</w:t>
      </w:r>
      <w:r w:rsidRPr="00EA4BA0">
        <w:rPr>
          <w:rFonts w:ascii="Arial" w:eastAsia="Times New Roman" w:hAnsi="Arial" w:cs="Arial"/>
          <w:bCs/>
          <w:sz w:val="22"/>
          <w:lang w:eastAsia="es-CO"/>
        </w:rPr>
        <w:t xml:space="preserve">do la </w:t>
      </w:r>
      <w:r>
        <w:rPr>
          <w:rFonts w:ascii="Arial" w:eastAsia="Times New Roman" w:hAnsi="Arial" w:cs="Arial"/>
          <w:bCs/>
          <w:sz w:val="22"/>
          <w:lang w:eastAsia="es-CO"/>
        </w:rPr>
        <w:t xml:space="preserve">entidad tenga personería jurídica propia y, por tanto, </w:t>
      </w:r>
      <w:r w:rsidRPr="00EA4BA0">
        <w:rPr>
          <w:rFonts w:ascii="Arial" w:eastAsia="Times New Roman" w:hAnsi="Arial" w:cs="Arial"/>
          <w:bCs/>
          <w:sz w:val="22"/>
          <w:lang w:eastAsia="es-CO"/>
        </w:rPr>
        <w:t xml:space="preserve">no celebre contratos </w:t>
      </w:r>
      <w:r>
        <w:rPr>
          <w:rFonts w:ascii="Arial" w:eastAsia="Times New Roman" w:hAnsi="Arial" w:cs="Arial"/>
          <w:bCs/>
          <w:sz w:val="22"/>
          <w:lang w:eastAsia="es-CO"/>
        </w:rPr>
        <w:t>en</w:t>
      </w:r>
      <w:r w:rsidRPr="00EA4BA0">
        <w:rPr>
          <w:rFonts w:ascii="Arial" w:eastAsia="Times New Roman" w:hAnsi="Arial" w:cs="Arial"/>
          <w:bCs/>
          <w:sz w:val="22"/>
          <w:lang w:eastAsia="es-CO"/>
        </w:rPr>
        <w:t xml:space="preserve"> nombre</w:t>
      </w:r>
      <w:r>
        <w:rPr>
          <w:rFonts w:ascii="Arial" w:eastAsia="Times New Roman" w:hAnsi="Arial" w:cs="Arial"/>
          <w:bCs/>
          <w:sz w:val="22"/>
          <w:lang w:eastAsia="es-CO"/>
        </w:rPr>
        <w:t xml:space="preserve"> de la Nación</w:t>
      </w:r>
      <w:r w:rsidRPr="00EA4BA0">
        <w:rPr>
          <w:rFonts w:ascii="Arial" w:eastAsia="Times New Roman" w:hAnsi="Arial" w:cs="Arial"/>
          <w:bCs/>
          <w:sz w:val="22"/>
          <w:lang w:eastAsia="es-CO"/>
        </w:rPr>
        <w:t>, permanecerá incólume la prohibición establecida en el parágrafo del artículo 38</w:t>
      </w:r>
      <w:r>
        <w:rPr>
          <w:rFonts w:ascii="Arial" w:eastAsia="Times New Roman" w:hAnsi="Arial" w:cs="Arial"/>
          <w:bCs/>
          <w:sz w:val="22"/>
          <w:lang w:eastAsia="es-CO"/>
        </w:rPr>
        <w:t xml:space="preserve"> de la Ley de Garantías Electorales.</w:t>
      </w:r>
    </w:p>
    <w:p w14:paraId="51402053" w14:textId="77777777" w:rsidR="007B234F" w:rsidRDefault="007B234F" w:rsidP="007B234F">
      <w:pPr>
        <w:shd w:val="clear" w:color="auto" w:fill="FFFFFF"/>
        <w:spacing w:after="0"/>
        <w:rPr>
          <w:rFonts w:ascii="Arial" w:eastAsia="Times New Roman" w:hAnsi="Arial" w:cs="Arial"/>
          <w:bCs/>
          <w:sz w:val="22"/>
          <w:lang w:eastAsia="es-CO"/>
        </w:rPr>
      </w:pPr>
    </w:p>
    <w:p w14:paraId="2424DE88" w14:textId="363438DC" w:rsidR="007B234F" w:rsidRPr="000641BE" w:rsidRDefault="007B234F" w:rsidP="007B234F">
      <w:pPr>
        <w:shd w:val="clear" w:color="auto" w:fill="FFFFFF"/>
        <w:spacing w:after="0"/>
        <w:rPr>
          <w:rFonts w:ascii="Arial" w:eastAsia="Times New Roman" w:hAnsi="Arial" w:cs="Arial"/>
          <w:b/>
          <w:i/>
          <w:iCs/>
          <w:sz w:val="22"/>
          <w:lang w:eastAsia="es-CO"/>
        </w:rPr>
      </w:pPr>
      <w:r w:rsidRPr="000641BE">
        <w:rPr>
          <w:rFonts w:ascii="Arial" w:eastAsia="Times New Roman" w:hAnsi="Arial" w:cs="Arial"/>
          <w:b/>
          <w:i/>
          <w:iCs/>
          <w:sz w:val="22"/>
          <w:lang w:eastAsia="es-CO"/>
        </w:rPr>
        <w:t>2.5.3.</w:t>
      </w:r>
      <w:r w:rsidR="00417C69" w:rsidRPr="000641BE">
        <w:rPr>
          <w:rFonts w:ascii="Arial" w:eastAsia="Times New Roman" w:hAnsi="Arial" w:cs="Arial"/>
          <w:b/>
          <w:i/>
          <w:iCs/>
          <w:sz w:val="22"/>
          <w:lang w:eastAsia="es-CO"/>
        </w:rPr>
        <w:t xml:space="preserve"> </w:t>
      </w:r>
      <w:r w:rsidRPr="000641BE">
        <w:rPr>
          <w:rFonts w:ascii="Arial" w:eastAsia="Times New Roman" w:hAnsi="Arial" w:cs="Arial"/>
          <w:b/>
          <w:i/>
          <w:iCs/>
          <w:sz w:val="22"/>
          <w:lang w:eastAsia="es-CO"/>
        </w:rPr>
        <w:t>Aspecto teleológico</w:t>
      </w:r>
    </w:p>
    <w:p w14:paraId="3579BABC" w14:textId="77777777" w:rsidR="007B234F" w:rsidRDefault="007B234F" w:rsidP="007B234F">
      <w:pPr>
        <w:shd w:val="clear" w:color="auto" w:fill="FFFFFF"/>
        <w:spacing w:after="0"/>
        <w:rPr>
          <w:rFonts w:ascii="Arial" w:eastAsia="Times New Roman" w:hAnsi="Arial" w:cs="Arial"/>
          <w:bCs/>
          <w:sz w:val="22"/>
          <w:lang w:eastAsia="es-CO"/>
        </w:rPr>
      </w:pPr>
    </w:p>
    <w:p w14:paraId="0B894B1E" w14:textId="2BC9B6B8" w:rsidR="00C9670A" w:rsidRDefault="007B234F" w:rsidP="00785E18">
      <w:pPr>
        <w:overflowPunct w:val="0"/>
        <w:autoSpaceDE w:val="0"/>
        <w:autoSpaceDN w:val="0"/>
        <w:adjustRightInd w:val="0"/>
        <w:spacing w:after="0"/>
        <w:textAlignment w:val="baseline"/>
        <w:rPr>
          <w:rFonts w:ascii="Arial" w:eastAsia="Times New Roman" w:hAnsi="Arial" w:cs="Arial"/>
          <w:sz w:val="22"/>
          <w:lang w:val="es-CO" w:eastAsia="es-CO"/>
        </w:rPr>
      </w:pPr>
      <w:r>
        <w:rPr>
          <w:rFonts w:ascii="Arial" w:eastAsia="Times New Roman" w:hAnsi="Arial" w:cs="Arial"/>
          <w:sz w:val="22"/>
          <w:lang w:val="es-CO" w:eastAsia="es-CO"/>
        </w:rPr>
        <w:t xml:space="preserve">En lo </w:t>
      </w:r>
      <w:r w:rsidR="000953A7">
        <w:rPr>
          <w:rFonts w:ascii="Arial" w:eastAsia="Times New Roman" w:hAnsi="Arial" w:cs="Arial"/>
          <w:sz w:val="22"/>
          <w:lang w:val="es-CO" w:eastAsia="es-CO"/>
        </w:rPr>
        <w:t>relacionado</w:t>
      </w:r>
      <w:r>
        <w:rPr>
          <w:rFonts w:ascii="Arial" w:eastAsia="Times New Roman" w:hAnsi="Arial" w:cs="Arial"/>
          <w:sz w:val="22"/>
          <w:lang w:val="es-CO" w:eastAsia="es-CO"/>
        </w:rPr>
        <w:t xml:space="preserve"> al elemento teleológico o material de la reforma incluida en el artículo 124 de la </w:t>
      </w:r>
      <w:r w:rsidR="00E22BCE">
        <w:rPr>
          <w:rFonts w:ascii="Arial" w:eastAsia="Times New Roman" w:hAnsi="Arial" w:cs="Arial"/>
          <w:sz w:val="22"/>
          <w:lang w:val="es-CO" w:eastAsia="es-CO"/>
        </w:rPr>
        <w:t>Ley</w:t>
      </w:r>
      <w:r>
        <w:rPr>
          <w:rFonts w:ascii="Arial" w:eastAsia="Times New Roman" w:hAnsi="Arial" w:cs="Arial"/>
          <w:sz w:val="22"/>
          <w:lang w:val="es-CO" w:eastAsia="es-CO"/>
        </w:rPr>
        <w:t xml:space="preserve"> 2159 de 2021, </w:t>
      </w:r>
      <w:r w:rsidR="000953A7">
        <w:rPr>
          <w:rFonts w:ascii="Arial" w:eastAsia="Times New Roman" w:hAnsi="Arial" w:cs="Arial"/>
          <w:sz w:val="22"/>
          <w:lang w:val="es-CO" w:eastAsia="es-CO"/>
        </w:rPr>
        <w:t>la cual consiste en la celebración</w:t>
      </w:r>
      <w:r w:rsidRPr="00EA4BA0">
        <w:rPr>
          <w:rFonts w:ascii="Arial" w:eastAsia="Times New Roman" w:hAnsi="Arial" w:cs="Arial"/>
          <w:sz w:val="22"/>
          <w:lang w:val="es-CO" w:eastAsia="es-CO"/>
        </w:rPr>
        <w:t xml:space="preserve"> </w:t>
      </w:r>
      <w:r w:rsidR="00E90810">
        <w:rPr>
          <w:rFonts w:ascii="Arial" w:eastAsia="Times New Roman" w:hAnsi="Arial" w:cs="Arial"/>
          <w:sz w:val="22"/>
          <w:lang w:val="es-CO" w:eastAsia="es-CO"/>
        </w:rPr>
        <w:t>de</w:t>
      </w:r>
      <w:r w:rsidRPr="00EA4BA0">
        <w:rPr>
          <w:rFonts w:ascii="Arial" w:eastAsia="Times New Roman" w:hAnsi="Arial" w:cs="Arial"/>
          <w:sz w:val="22"/>
          <w:lang w:val="es-CO" w:eastAsia="es-CO"/>
        </w:rPr>
        <w:t xml:space="preserve"> convenios</w:t>
      </w:r>
      <w:r w:rsidR="00E90810">
        <w:rPr>
          <w:rFonts w:ascii="Arial" w:eastAsia="Times New Roman" w:hAnsi="Arial" w:cs="Arial"/>
          <w:sz w:val="22"/>
          <w:lang w:val="es-CO" w:eastAsia="es-CO"/>
        </w:rPr>
        <w:t xml:space="preserve"> o contratos interadministrativos para</w:t>
      </w:r>
      <w:r w:rsidRPr="00EA4BA0">
        <w:rPr>
          <w:rFonts w:ascii="Arial" w:eastAsia="Times New Roman" w:hAnsi="Arial" w:cs="Arial"/>
          <w:sz w:val="22"/>
          <w:lang w:val="es-CO" w:eastAsia="es-CO"/>
        </w:rPr>
        <w:t xml:space="preserve"> ejecutar programas o proyectos que correspondan al Presupuesto General de la Nación</w:t>
      </w:r>
      <w:r>
        <w:rPr>
          <w:rFonts w:ascii="Arial" w:eastAsia="Times New Roman" w:hAnsi="Arial" w:cs="Arial"/>
          <w:sz w:val="22"/>
          <w:lang w:val="es-CO" w:eastAsia="es-CO"/>
        </w:rPr>
        <w:t xml:space="preserve">, esta Agencia estima que aquel elemento hace referencia a los programas y proyectos de inversión nacional contenidos en el rubro de gastos de inversión de la ley de apropiaciones, y que </w:t>
      </w:r>
      <w:r>
        <w:rPr>
          <w:rFonts w:ascii="Arial" w:eastAsia="Times New Roman" w:hAnsi="Arial" w:cs="Arial"/>
          <w:sz w:val="22"/>
          <w:lang w:val="es-CO" w:eastAsia="es-CO"/>
        </w:rPr>
        <w:lastRenderedPageBreak/>
        <w:t xml:space="preserve">corresponderán a los determinados como tales en el Plan Nacional de Inversiones incluido en el </w:t>
      </w:r>
      <w:r w:rsidR="00DC2BC5">
        <w:rPr>
          <w:rFonts w:ascii="Arial" w:eastAsia="Times New Roman" w:hAnsi="Arial" w:cs="Arial"/>
          <w:sz w:val="22"/>
          <w:lang w:val="es-CO" w:eastAsia="es-CO"/>
        </w:rPr>
        <w:t>P</w:t>
      </w:r>
      <w:r>
        <w:rPr>
          <w:rFonts w:ascii="Arial" w:eastAsia="Times New Roman" w:hAnsi="Arial" w:cs="Arial"/>
          <w:sz w:val="22"/>
          <w:lang w:val="es-CO" w:eastAsia="es-CO"/>
        </w:rPr>
        <w:t>lan Nacional de Desarrollo.</w:t>
      </w:r>
    </w:p>
    <w:p w14:paraId="4F73F8B9" w14:textId="4CE86C23" w:rsidR="00785E18" w:rsidRPr="000641BE" w:rsidRDefault="00DC2BC5" w:rsidP="00785E18">
      <w:pPr>
        <w:overflowPunct w:val="0"/>
        <w:autoSpaceDE w:val="0"/>
        <w:autoSpaceDN w:val="0"/>
        <w:adjustRightInd w:val="0"/>
        <w:spacing w:after="0"/>
        <w:textAlignment w:val="baseline"/>
        <w:rPr>
          <w:rFonts w:ascii="Arial" w:eastAsia="Times New Roman" w:hAnsi="Arial" w:cs="Arial"/>
          <w:sz w:val="12"/>
          <w:szCs w:val="12"/>
          <w:lang w:val="es-CO" w:eastAsia="es-CO"/>
        </w:rPr>
      </w:pPr>
      <w:r>
        <w:rPr>
          <w:rFonts w:ascii="Arial" w:eastAsia="Times New Roman" w:hAnsi="Arial" w:cs="Arial"/>
          <w:sz w:val="22"/>
          <w:lang w:val="es-CO" w:eastAsia="es-CO"/>
        </w:rPr>
        <w:t xml:space="preserve"> </w:t>
      </w:r>
    </w:p>
    <w:p w14:paraId="194BF60B" w14:textId="50FA4F91" w:rsidR="00056809" w:rsidRPr="000641BE" w:rsidRDefault="00785E18" w:rsidP="00C9670A">
      <w:pPr>
        <w:overflowPunct w:val="0"/>
        <w:autoSpaceDE w:val="0"/>
        <w:autoSpaceDN w:val="0"/>
        <w:adjustRightInd w:val="0"/>
        <w:spacing w:after="120"/>
        <w:ind w:firstLine="709"/>
        <w:textAlignment w:val="baseline"/>
        <w:rPr>
          <w:rFonts w:ascii="Arial" w:hAnsi="Arial" w:cs="Arial"/>
          <w:sz w:val="22"/>
          <w:lang w:val="es-ES_tradnl" w:eastAsia="es-ES"/>
        </w:rPr>
      </w:pPr>
      <w:r w:rsidRPr="00056809">
        <w:rPr>
          <w:rFonts w:ascii="Arial" w:hAnsi="Arial" w:cs="Arial"/>
          <w:sz w:val="22"/>
          <w:lang w:val="es-ES_tradnl" w:eastAsia="es-ES"/>
        </w:rPr>
        <w:t xml:space="preserve">En efecto, el artículo </w:t>
      </w:r>
      <w:r w:rsidR="00CD66AC" w:rsidRPr="00056809">
        <w:rPr>
          <w:rFonts w:ascii="Arial" w:hAnsi="Arial" w:cs="Arial"/>
          <w:sz w:val="22"/>
          <w:lang w:val="es-ES_tradnl" w:eastAsia="es-ES"/>
        </w:rPr>
        <w:t>36</w:t>
      </w:r>
      <w:r w:rsidRPr="00056809">
        <w:rPr>
          <w:rFonts w:ascii="Arial" w:hAnsi="Arial" w:cs="Arial"/>
          <w:sz w:val="22"/>
          <w:lang w:val="es-ES_tradnl" w:eastAsia="es-ES"/>
        </w:rPr>
        <w:t xml:space="preserve"> del Decreto 111 de 1996 determina que </w:t>
      </w:r>
      <w:r w:rsidR="00924928">
        <w:rPr>
          <w:rFonts w:ascii="Arial" w:hAnsi="Arial" w:cs="Arial"/>
          <w:sz w:val="22"/>
          <w:lang w:val="es-ES_tradnl" w:eastAsia="es-ES"/>
        </w:rPr>
        <w:t>el presupuesto de gastos</w:t>
      </w:r>
      <w:r w:rsidRPr="00056809">
        <w:rPr>
          <w:rFonts w:ascii="Arial" w:hAnsi="Arial" w:cs="Arial"/>
          <w:sz w:val="22"/>
          <w:lang w:val="es-ES_tradnl" w:eastAsia="es-ES"/>
        </w:rPr>
        <w:t xml:space="preserve"> está configurado por tres grandes rubros</w:t>
      </w:r>
      <w:r w:rsidR="00CD66AC" w:rsidRPr="00056809">
        <w:rPr>
          <w:rFonts w:ascii="Arial" w:hAnsi="Arial" w:cs="Arial"/>
          <w:sz w:val="22"/>
          <w:lang w:val="es-ES_tradnl" w:eastAsia="es-ES"/>
        </w:rPr>
        <w:t>.</w:t>
      </w:r>
      <w:r w:rsidR="00CD66AC" w:rsidRPr="000641BE">
        <w:rPr>
          <w:rFonts w:ascii="Arial" w:hAnsi="Arial" w:cs="Arial"/>
          <w:sz w:val="22"/>
          <w:lang w:val="es-ES_tradnl" w:eastAsia="es-ES"/>
        </w:rPr>
        <w:t xml:space="preserve"> Por un lado, l</w:t>
      </w:r>
      <w:r w:rsidRPr="000641BE">
        <w:rPr>
          <w:rFonts w:ascii="Arial" w:hAnsi="Arial" w:cs="Arial"/>
          <w:sz w:val="22"/>
          <w:lang w:val="es-ES_tradnl" w:eastAsia="es-ES"/>
        </w:rPr>
        <w:t>os gastos de funcionamiento que, a su vez, estarán subdivididos en servicios personales, gastos generales y transferencias y gastos de operación</w:t>
      </w:r>
      <w:r w:rsidR="00CD66AC" w:rsidRPr="000641BE">
        <w:rPr>
          <w:rFonts w:ascii="Arial" w:hAnsi="Arial" w:cs="Arial"/>
          <w:sz w:val="22"/>
          <w:lang w:val="es-ES_tradnl" w:eastAsia="es-ES"/>
        </w:rPr>
        <w:t>. Por otra parte, e</w:t>
      </w:r>
      <w:r w:rsidRPr="000641BE">
        <w:rPr>
          <w:rFonts w:ascii="Arial" w:hAnsi="Arial" w:cs="Arial"/>
          <w:sz w:val="22"/>
          <w:lang w:val="es-ES_tradnl" w:eastAsia="es-ES"/>
        </w:rPr>
        <w:t>l servicio a la deuda, conformado por la deuda interna y externa</w:t>
      </w:r>
      <w:r w:rsidR="00CD66AC" w:rsidRPr="000641BE">
        <w:rPr>
          <w:rFonts w:ascii="Arial" w:hAnsi="Arial" w:cs="Arial"/>
          <w:sz w:val="22"/>
          <w:lang w:val="es-ES_tradnl" w:eastAsia="es-ES"/>
        </w:rPr>
        <w:t>. Finalmente,</w:t>
      </w:r>
      <w:r w:rsidR="009424CF" w:rsidRPr="000641BE">
        <w:rPr>
          <w:rFonts w:ascii="Arial" w:hAnsi="Arial" w:cs="Arial"/>
          <w:sz w:val="22"/>
          <w:lang w:val="es-ES_tradnl" w:eastAsia="es-ES"/>
        </w:rPr>
        <w:t xml:space="preserve"> </w:t>
      </w:r>
      <w:r w:rsidR="00CD5688">
        <w:rPr>
          <w:rFonts w:ascii="Arial" w:hAnsi="Arial" w:cs="Arial"/>
          <w:sz w:val="22"/>
          <w:lang w:val="es-ES_tradnl" w:eastAsia="es-ES"/>
        </w:rPr>
        <w:t>l</w:t>
      </w:r>
      <w:r w:rsidRPr="000641B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23402083" w:rsidR="00DC2BC5" w:rsidRPr="00A05663" w:rsidRDefault="00785E18" w:rsidP="0065455F">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0641BE">
        <w:rPr>
          <w:rFonts w:ascii="Arial" w:hAnsi="Arial" w:cs="Arial"/>
          <w:sz w:val="22"/>
          <w:lang w:val="es-ES_tradnl" w:eastAsia="es-ES"/>
        </w:rPr>
        <w:t xml:space="preserve">Este «Plan Operativo Anual de Inversión» al que hace referencia el </w:t>
      </w:r>
      <w:r w:rsidR="00056809">
        <w:rPr>
          <w:rFonts w:ascii="Arial" w:hAnsi="Arial" w:cs="Arial"/>
          <w:sz w:val="22"/>
          <w:lang w:val="es-ES_tradnl" w:eastAsia="es-ES"/>
        </w:rPr>
        <w:t xml:space="preserve">citado </w:t>
      </w:r>
      <w:r w:rsidRPr="000641BE">
        <w:rPr>
          <w:rFonts w:ascii="Arial" w:hAnsi="Arial" w:cs="Arial"/>
          <w:sz w:val="22"/>
          <w:lang w:val="es-ES_tradnl" w:eastAsia="es-ES"/>
        </w:rPr>
        <w:t>artículo 36, es, junto al presupuesto anual de la Nación, y al Plan Financiero, uno de los componentes del «Sistema Presupuestal»</w:t>
      </w:r>
      <w:r w:rsidRPr="000641BE">
        <w:rPr>
          <w:rStyle w:val="Refdenotaalpie"/>
          <w:rFonts w:ascii="Arial" w:hAnsi="Arial" w:cs="Arial"/>
          <w:sz w:val="22"/>
          <w:lang w:val="es-ES_tradnl" w:eastAsia="es-ES"/>
        </w:rPr>
        <w:footnoteReference w:id="51"/>
      </w:r>
      <w:r w:rsidR="00B7078C">
        <w:rPr>
          <w:rFonts w:ascii="Arial" w:hAnsi="Arial" w:cs="Arial"/>
          <w:sz w:val="22"/>
          <w:lang w:val="es-ES_tradnl" w:eastAsia="es-ES"/>
        </w:rPr>
        <w:t>. D</w:t>
      </w:r>
      <w:r w:rsidRPr="000641BE">
        <w:rPr>
          <w:rFonts w:ascii="Arial" w:hAnsi="Arial" w:cs="Arial"/>
          <w:sz w:val="22"/>
          <w:lang w:val="es-ES_tradnl" w:eastAsia="es-ES"/>
        </w:rPr>
        <w:t xml:space="preserve">entro de </w:t>
      </w:r>
      <w:r w:rsidR="00B7078C">
        <w:rPr>
          <w:rFonts w:ascii="Arial" w:hAnsi="Arial" w:cs="Arial"/>
          <w:sz w:val="22"/>
          <w:lang w:val="es-ES_tradnl" w:eastAsia="es-ES"/>
        </w:rPr>
        <w:t>este</w:t>
      </w:r>
      <w:r w:rsidRPr="000641B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0641BE">
        <w:rPr>
          <w:rStyle w:val="Refdenotaalpie"/>
          <w:rFonts w:ascii="Arial" w:hAnsi="Arial" w:cs="Arial"/>
          <w:sz w:val="22"/>
          <w:lang w:val="es-CO" w:eastAsia="es-ES"/>
        </w:rPr>
        <w:footnoteReference w:id="52"/>
      </w:r>
      <w:r w:rsidRPr="000641BE">
        <w:rPr>
          <w:rFonts w:ascii="Arial" w:hAnsi="Arial" w:cs="Arial"/>
          <w:sz w:val="22"/>
          <w:lang w:val="es-ES_tradnl" w:eastAsia="es-ES"/>
        </w:rPr>
        <w:t xml:space="preserve">. </w:t>
      </w:r>
      <w:r w:rsidR="0065455F">
        <w:rPr>
          <w:rFonts w:ascii="Arial" w:eastAsia="Times New Roman" w:hAnsi="Arial" w:cs="Arial"/>
          <w:sz w:val="22"/>
          <w:lang w:val="es-CO" w:eastAsia="es-CO"/>
        </w:rPr>
        <w:t>Por lo demás</w:t>
      </w:r>
      <w:r w:rsidR="00906322">
        <w:rPr>
          <w:rFonts w:ascii="Arial" w:eastAsia="Times New Roman" w:hAnsi="Arial" w:cs="Arial"/>
          <w:color w:val="000000" w:themeColor="text1"/>
          <w:sz w:val="22"/>
          <w:lang w:val="es-CO" w:eastAsia="es-ES_tradnl"/>
        </w:rPr>
        <w:t xml:space="preserve">, </w:t>
      </w:r>
      <w:r w:rsidR="00B30D3C">
        <w:rPr>
          <w:rFonts w:ascii="Arial" w:eastAsia="Times New Roman" w:hAnsi="Arial" w:cs="Arial"/>
          <w:color w:val="000000" w:themeColor="text1"/>
          <w:sz w:val="22"/>
          <w:lang w:val="es-CO" w:eastAsia="es-ES_tradnl"/>
        </w:rPr>
        <w:t>d</w:t>
      </w:r>
      <w:r w:rsidR="00B30D3C" w:rsidRPr="00A05663">
        <w:rPr>
          <w:rFonts w:ascii="Arial" w:eastAsia="Times New Roman" w:hAnsi="Arial" w:cs="Arial"/>
          <w:color w:val="000000" w:themeColor="text1"/>
          <w:sz w:val="22"/>
          <w:lang w:val="es-CO" w:eastAsia="es-ES_tradnl"/>
        </w:rPr>
        <w:t>e acuerdo con el</w:t>
      </w:r>
      <w:r w:rsidR="00DC2BC5" w:rsidRPr="00A05663">
        <w:rPr>
          <w:rFonts w:ascii="Arial" w:eastAsia="Times New Roman" w:hAnsi="Arial" w:cs="Arial"/>
          <w:color w:val="4B4949"/>
          <w:sz w:val="22"/>
          <w:lang w:val="es-CO" w:eastAsia="es-ES_tradnl"/>
        </w:rPr>
        <w:t xml:space="preserve"> </w:t>
      </w:r>
      <w:r w:rsidR="00DC2BC5" w:rsidRPr="00A05663">
        <w:rPr>
          <w:rFonts w:ascii="Arial" w:hAnsi="Arial" w:cs="Arial"/>
          <w:sz w:val="22"/>
          <w:lang w:val="es-ES_tradnl" w:eastAsia="es-ES"/>
        </w:rPr>
        <w:t xml:space="preserve">artículo 38 del Estatuto Orgánico del Presupuesto, la ley de gastos o apropiaciones «solo» estará conformada por </w:t>
      </w:r>
      <w:r w:rsidR="00B8193B">
        <w:rPr>
          <w:rFonts w:ascii="Arial" w:hAnsi="Arial" w:cs="Arial"/>
          <w:sz w:val="22"/>
          <w:lang w:val="es-ES_tradnl" w:eastAsia="es-ES"/>
        </w:rPr>
        <w:t>los siguientes rubros</w:t>
      </w:r>
      <w:r w:rsidR="00DC2BC5" w:rsidRPr="00A05663">
        <w:rPr>
          <w:rFonts w:ascii="Arial" w:hAnsi="Arial" w:cs="Arial"/>
          <w:sz w:val="22"/>
          <w:lang w:val="es-ES_tradnl" w:eastAsia="es-ES"/>
        </w:rPr>
        <w:t>:</w:t>
      </w:r>
    </w:p>
    <w:p w14:paraId="3F6D2F8E" w14:textId="77777777" w:rsidR="00DC2BC5" w:rsidRPr="00A05663" w:rsidRDefault="00DC2BC5" w:rsidP="00DC2BC5">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006DF698"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1. Los créditos judicialmente reconocidos;</w:t>
      </w:r>
    </w:p>
    <w:p w14:paraId="79E7FE0F" w14:textId="1599CEBB"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2. Los gastos decretados conforme a la ley;</w:t>
      </w:r>
    </w:p>
    <w:p w14:paraId="33264472" w14:textId="489CA78A" w:rsidR="00DC2BC5" w:rsidRPr="00DC57DF"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DC57DF" w:rsidRDefault="00DC2BC5" w:rsidP="000641BE">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4. </w:t>
      </w:r>
      <w:r w:rsidRPr="00DC57DF">
        <w:rPr>
          <w:rFonts w:ascii="Arial" w:eastAsia="Times New Roman" w:hAnsi="Arial" w:cs="Arial"/>
          <w:color w:val="333333"/>
          <w:sz w:val="21"/>
          <w:szCs w:val="21"/>
          <w:shd w:val="clear" w:color="auto" w:fill="FFFFFF"/>
          <w:lang w:val="es-CO" w:eastAsia="es-ES_tradnl"/>
        </w:rPr>
        <w:t xml:space="preserve">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w:t>
      </w:r>
      <w:r w:rsidRPr="00DC57DF">
        <w:rPr>
          <w:rFonts w:ascii="Arial" w:eastAsia="Times New Roman" w:hAnsi="Arial" w:cs="Arial"/>
          <w:color w:val="333333"/>
          <w:sz w:val="21"/>
          <w:szCs w:val="21"/>
          <w:shd w:val="clear" w:color="auto" w:fill="FFFFFF"/>
          <w:lang w:val="es-CO" w:eastAsia="es-ES_tradnl"/>
        </w:rPr>
        <w:lastRenderedPageBreak/>
        <w:t>ministerios, los departamentos administrativos, los establecimientos públicos y la Policía Nacional, que constituyen título para incluir en el presupuesto partidas para gastos de funcionamiento, inversión y servicio de la deuda pública.</w:t>
      </w:r>
    </w:p>
    <w:p w14:paraId="0C9E5B8E" w14:textId="77777777" w:rsidR="00DC2BC5" w:rsidRPr="00A05663" w:rsidRDefault="00DC2BC5" w:rsidP="00DC2BC5">
      <w:pPr>
        <w:overflowPunct w:val="0"/>
        <w:autoSpaceDE w:val="0"/>
        <w:autoSpaceDN w:val="0"/>
        <w:adjustRightInd w:val="0"/>
        <w:spacing w:after="0"/>
        <w:textAlignment w:val="baseline"/>
        <w:rPr>
          <w:rFonts w:ascii="Arial" w:hAnsi="Arial" w:cs="Arial"/>
          <w:sz w:val="22"/>
          <w:lang w:val="es-CO" w:eastAsia="es-ES"/>
        </w:rPr>
      </w:pPr>
    </w:p>
    <w:p w14:paraId="2D724E8A" w14:textId="793EDA9E" w:rsidR="007B234F" w:rsidRPr="009B4E6E" w:rsidRDefault="00DC2BC5" w:rsidP="000641BE">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A05663">
        <w:rPr>
          <w:rFonts w:ascii="Arial" w:hAnsi="Arial" w:cs="Arial"/>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Pr>
          <w:rFonts w:ascii="Arial" w:hAnsi="Arial" w:cs="Arial"/>
          <w:sz w:val="22"/>
          <w:lang w:val="es-ES_tradnl" w:eastAsia="es-ES"/>
        </w:rPr>
        <w:t xml:space="preserve"> está</w:t>
      </w:r>
      <w:r w:rsidR="001E4FA3">
        <w:rPr>
          <w:rFonts w:ascii="Arial" w:hAnsi="Arial" w:cs="Arial"/>
          <w:sz w:val="22"/>
          <w:lang w:val="es-ES_tradnl" w:eastAsia="es-ES"/>
        </w:rPr>
        <w:t xml:space="preserve"> </w:t>
      </w:r>
      <w:r w:rsidR="003E7AAD">
        <w:rPr>
          <w:rFonts w:ascii="Arial" w:hAnsi="Arial" w:cs="Arial"/>
          <w:sz w:val="22"/>
          <w:lang w:val="es-ES_tradnl" w:eastAsia="es-ES"/>
        </w:rPr>
        <w:t xml:space="preserve">«[…] </w:t>
      </w:r>
      <w:r w:rsidR="003E7AAD" w:rsidRPr="003E7AAD">
        <w:rPr>
          <w:rFonts w:ascii="Arial" w:hAnsi="Arial" w:cs="Arial"/>
          <w:sz w:val="22"/>
          <w:lang w:val="es-ES_tradnl" w:eastAsia="es-ES"/>
        </w:rPr>
        <w:t>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Pr>
          <w:rFonts w:ascii="Arial" w:hAnsi="Arial" w:cs="Arial"/>
          <w:sz w:val="22"/>
          <w:lang w:val="es-ES_tradnl" w:eastAsia="es-ES"/>
        </w:rPr>
        <w:t>».</w:t>
      </w:r>
      <w:r w:rsidRPr="00A05663">
        <w:rPr>
          <w:rFonts w:ascii="Arial" w:hAnsi="Arial" w:cs="Arial"/>
          <w:sz w:val="22"/>
          <w:lang w:val="es-ES_tradnl" w:eastAsia="es-ES"/>
        </w:rPr>
        <w:t xml:space="preserve"> </w:t>
      </w:r>
    </w:p>
    <w:p w14:paraId="32E52078" w14:textId="32E370F8"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Como corolario de todo lo anterior</w:t>
      </w:r>
      <w:r w:rsidRPr="00EA4BA0">
        <w:rPr>
          <w:rFonts w:ascii="Arial" w:eastAsia="Times New Roman" w:hAnsi="Arial" w:cs="Arial"/>
          <w:bCs/>
          <w:sz w:val="22"/>
          <w:lang w:eastAsia="es-CO"/>
        </w:rPr>
        <w:t xml:space="preserve">, se concluye que </w:t>
      </w:r>
      <w:bookmarkStart w:id="61" w:name="_Hlk88202117"/>
      <w:r w:rsidRPr="00EA4BA0">
        <w:rPr>
          <w:rFonts w:ascii="Arial" w:eastAsia="Times New Roman" w:hAnsi="Arial" w:cs="Arial"/>
          <w:bCs/>
          <w:sz w:val="22"/>
          <w:lang w:eastAsia="es-CO"/>
        </w:rPr>
        <w:t>la Ley 2159 de 2021 modificó parcial y transitoriamente el parágrafo del artículo 38 de la Ley 996 de 2005, en aspectos temporales, subjetivos</w:t>
      </w:r>
      <w:r w:rsidR="00A206C9">
        <w:rPr>
          <w:rFonts w:ascii="Arial" w:eastAsia="Times New Roman" w:hAnsi="Arial" w:cs="Arial"/>
          <w:bCs/>
          <w:sz w:val="22"/>
          <w:lang w:eastAsia="es-CO"/>
        </w:rPr>
        <w:t xml:space="preserve"> y </w:t>
      </w:r>
      <w:r>
        <w:rPr>
          <w:rFonts w:ascii="Arial" w:eastAsia="Times New Roman" w:hAnsi="Arial" w:cs="Arial"/>
          <w:bCs/>
          <w:sz w:val="22"/>
          <w:lang w:eastAsia="es-CO"/>
        </w:rPr>
        <w:t>teleológicos</w:t>
      </w:r>
      <w:r w:rsidR="00A206C9">
        <w:rPr>
          <w:rFonts w:ascii="Arial" w:eastAsia="Times New Roman" w:hAnsi="Arial" w:cs="Arial"/>
          <w:bCs/>
          <w:sz w:val="22"/>
          <w:lang w:eastAsia="es-CO"/>
        </w:rPr>
        <w:t>. E</w:t>
      </w:r>
      <w:r w:rsidRPr="00EA4BA0">
        <w:rPr>
          <w:rFonts w:ascii="Arial" w:eastAsia="Times New Roman" w:hAnsi="Arial" w:cs="Arial"/>
          <w:bCs/>
          <w:sz w:val="22"/>
          <w:lang w:eastAsia="es-CO"/>
        </w:rPr>
        <w:t>n particular, suspende la prohibición de celebra</w:t>
      </w:r>
      <w:r w:rsidR="00C54E4E">
        <w:rPr>
          <w:rFonts w:ascii="Arial" w:eastAsia="Times New Roman" w:hAnsi="Arial" w:cs="Arial"/>
          <w:bCs/>
          <w:sz w:val="22"/>
          <w:lang w:eastAsia="es-CO"/>
        </w:rPr>
        <w:t>r</w:t>
      </w:r>
      <w:r w:rsidRPr="00EA4BA0">
        <w:rPr>
          <w:rFonts w:ascii="Arial" w:eastAsia="Times New Roman" w:hAnsi="Arial" w:cs="Arial"/>
          <w:bCs/>
          <w:sz w:val="22"/>
          <w:lang w:eastAsia="es-CO"/>
        </w:rPr>
        <w:t xml:space="preserve"> convenios y contratos interadministrativos contenida en el parágrafo del artículo 38, siempre y cuando tales acuerdos se suscriban entre </w:t>
      </w:r>
      <w:r>
        <w:rPr>
          <w:rFonts w:ascii="Arial" w:eastAsia="Times New Roman" w:hAnsi="Arial" w:cs="Arial"/>
          <w:bCs/>
          <w:sz w:val="22"/>
          <w:lang w:eastAsia="es-CO"/>
        </w:rPr>
        <w:t>la Nación</w:t>
      </w:r>
      <w:r w:rsidRPr="00EA4BA0">
        <w:rPr>
          <w:rFonts w:ascii="Arial" w:eastAsia="Times New Roman" w:hAnsi="Arial" w:cs="Arial"/>
          <w:bCs/>
          <w:sz w:val="22"/>
          <w:lang w:eastAsia="es-CO"/>
        </w:rPr>
        <w:t xml:space="preserve"> y </w:t>
      </w:r>
      <w:r>
        <w:rPr>
          <w:rFonts w:ascii="Arial" w:eastAsia="Times New Roman" w:hAnsi="Arial" w:cs="Arial"/>
          <w:bCs/>
          <w:sz w:val="22"/>
          <w:lang w:eastAsia="es-CO"/>
        </w:rPr>
        <w:t xml:space="preserve">las </w:t>
      </w:r>
      <w:r w:rsidRPr="00EA4BA0">
        <w:rPr>
          <w:rFonts w:ascii="Arial" w:eastAsia="Times New Roman" w:hAnsi="Arial" w:cs="Arial"/>
          <w:bCs/>
          <w:sz w:val="22"/>
          <w:lang w:eastAsia="es-CO"/>
        </w:rPr>
        <w:t xml:space="preserve">entidades territoriales, dentro de la vigencia fiscal del año 2022 y para la ejecución de programas o proyectos </w:t>
      </w:r>
      <w:r>
        <w:rPr>
          <w:rFonts w:ascii="Arial" w:eastAsia="Times New Roman" w:hAnsi="Arial" w:cs="Arial"/>
          <w:bCs/>
          <w:sz w:val="22"/>
          <w:lang w:eastAsia="es-CO"/>
        </w:rPr>
        <w:t>de inversión incluidos en el</w:t>
      </w:r>
      <w:r w:rsidRPr="00EA4BA0">
        <w:rPr>
          <w:rFonts w:ascii="Arial" w:eastAsia="Times New Roman" w:hAnsi="Arial" w:cs="Arial"/>
          <w:bCs/>
          <w:sz w:val="22"/>
          <w:lang w:eastAsia="es-CO"/>
        </w:rPr>
        <w:t xml:space="preserve"> Presupuesto General de la Nación. </w:t>
      </w:r>
    </w:p>
    <w:p w14:paraId="05CE6803" w14:textId="2679A51C" w:rsidR="007B234F" w:rsidRPr="00EA4BA0"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 xml:space="preserve">Es de anotar, por ser relevante para la consulta que se resuelve, que la modificación de la ley del Presupuesto </w:t>
      </w:r>
      <w:r w:rsidR="00CA5AD8">
        <w:rPr>
          <w:rFonts w:ascii="Arial" w:eastAsia="Times New Roman" w:hAnsi="Arial" w:cs="Arial"/>
          <w:bCs/>
          <w:sz w:val="22"/>
          <w:lang w:eastAsia="es-CO"/>
        </w:rPr>
        <w:t>aplica</w:t>
      </w:r>
      <w:r w:rsidRPr="00EA4BA0">
        <w:rPr>
          <w:rFonts w:ascii="Arial" w:eastAsia="Times New Roman" w:hAnsi="Arial" w:cs="Arial"/>
          <w:bCs/>
          <w:sz w:val="22"/>
          <w:lang w:eastAsia="es-CO"/>
        </w:rPr>
        <w:t>, únicamente, frente al parágrafo del artículo 38</w:t>
      </w:r>
      <w:r w:rsidR="00195A58">
        <w:rPr>
          <w:rFonts w:ascii="Arial" w:eastAsia="Times New Roman" w:hAnsi="Arial" w:cs="Arial"/>
          <w:bCs/>
          <w:sz w:val="22"/>
          <w:lang w:eastAsia="es-CO"/>
        </w:rPr>
        <w:t xml:space="preserve"> de la Ley de Garantías</w:t>
      </w:r>
      <w:r w:rsidRPr="00EA4BA0">
        <w:rPr>
          <w:rFonts w:ascii="Arial" w:eastAsia="Times New Roman" w:hAnsi="Arial" w:cs="Arial"/>
          <w:bCs/>
          <w:sz w:val="22"/>
          <w:lang w:eastAsia="es-CO"/>
        </w:rPr>
        <w:t>, no en relación con las prohibiciones del artículo 33</w:t>
      </w:r>
      <w:r w:rsidR="00195A58">
        <w:rPr>
          <w:rFonts w:ascii="Arial" w:eastAsia="Times New Roman" w:hAnsi="Arial" w:cs="Arial"/>
          <w:bCs/>
          <w:sz w:val="22"/>
          <w:lang w:eastAsia="es-CO"/>
        </w:rPr>
        <w:t xml:space="preserve"> </w:t>
      </w:r>
      <w:r w:rsidR="00195A58" w:rsidRPr="000641BE">
        <w:rPr>
          <w:rFonts w:ascii="Arial" w:eastAsia="Times New Roman" w:hAnsi="Arial" w:cs="Arial"/>
          <w:bCs/>
          <w:i/>
          <w:iCs/>
          <w:sz w:val="22"/>
          <w:lang w:eastAsia="es-CO"/>
        </w:rPr>
        <w:t>ibidem</w:t>
      </w:r>
      <w:r w:rsidR="002D2D19">
        <w:rPr>
          <w:rFonts w:ascii="Arial" w:eastAsia="Times New Roman" w:hAnsi="Arial" w:cs="Arial"/>
          <w:bCs/>
          <w:sz w:val="22"/>
          <w:lang w:eastAsia="es-CO"/>
        </w:rPr>
        <w:t xml:space="preserve">. Como se explicó </w:t>
      </w:r>
      <w:r w:rsidR="002D2D19" w:rsidRPr="000641BE">
        <w:rPr>
          <w:rFonts w:ascii="Arial" w:eastAsia="Times New Roman" w:hAnsi="Arial" w:cs="Arial"/>
          <w:bCs/>
          <w:i/>
          <w:iCs/>
          <w:sz w:val="22"/>
          <w:lang w:eastAsia="es-CO"/>
        </w:rPr>
        <w:t>ut supra</w:t>
      </w:r>
      <w:r w:rsidR="002D2D19">
        <w:rPr>
          <w:rFonts w:ascii="Arial" w:eastAsia="Times New Roman" w:hAnsi="Arial" w:cs="Arial"/>
          <w:bCs/>
          <w:sz w:val="22"/>
          <w:lang w:eastAsia="es-CO"/>
        </w:rPr>
        <w:t xml:space="preserve">, </w:t>
      </w:r>
      <w:r w:rsidR="004B567B">
        <w:rPr>
          <w:rFonts w:ascii="Arial" w:eastAsia="Times New Roman" w:hAnsi="Arial" w:cs="Arial"/>
          <w:bCs/>
          <w:sz w:val="22"/>
          <w:lang w:eastAsia="es-CO"/>
        </w:rPr>
        <w:t xml:space="preserve">esta última </w:t>
      </w:r>
      <w:r w:rsidR="00DE2F27">
        <w:rPr>
          <w:rFonts w:ascii="Arial" w:eastAsia="Times New Roman" w:hAnsi="Arial" w:cs="Arial"/>
          <w:bCs/>
          <w:sz w:val="22"/>
          <w:lang w:eastAsia="es-CO"/>
        </w:rPr>
        <w:t>restricción</w:t>
      </w:r>
      <w:r w:rsidR="004B567B">
        <w:rPr>
          <w:rFonts w:ascii="Arial" w:eastAsia="Times New Roman" w:hAnsi="Arial" w:cs="Arial"/>
          <w:bCs/>
          <w:sz w:val="22"/>
          <w:lang w:eastAsia="es-CO"/>
        </w:rPr>
        <w:t xml:space="preserve"> </w:t>
      </w:r>
      <w:r w:rsidR="00DE2F27">
        <w:rPr>
          <w:rFonts w:ascii="Arial" w:eastAsia="Times New Roman" w:hAnsi="Arial" w:cs="Arial"/>
          <w:bCs/>
          <w:sz w:val="22"/>
          <w:lang w:eastAsia="es-CO"/>
        </w:rPr>
        <w:t>tiene una naturaleza</w:t>
      </w:r>
      <w:r w:rsidR="004B567B">
        <w:rPr>
          <w:rFonts w:ascii="Arial" w:eastAsia="Times New Roman" w:hAnsi="Arial" w:cs="Arial"/>
          <w:bCs/>
          <w:sz w:val="22"/>
          <w:lang w:eastAsia="es-CO"/>
        </w:rPr>
        <w:t xml:space="preserve"> distinta</w:t>
      </w:r>
      <w:r w:rsidRPr="00EA4BA0">
        <w:rPr>
          <w:rFonts w:ascii="Arial" w:eastAsia="Times New Roman" w:hAnsi="Arial" w:cs="Arial"/>
          <w:bCs/>
          <w:sz w:val="22"/>
          <w:lang w:eastAsia="es-CO"/>
        </w:rPr>
        <w:t xml:space="preserve">, aunque concurrente </w:t>
      </w:r>
      <w:r w:rsidR="00DE2F27">
        <w:rPr>
          <w:rFonts w:ascii="Arial" w:eastAsia="Times New Roman" w:hAnsi="Arial" w:cs="Arial"/>
          <w:bCs/>
          <w:sz w:val="22"/>
          <w:lang w:eastAsia="es-CO"/>
        </w:rPr>
        <w:t xml:space="preserve">con </w:t>
      </w:r>
      <w:r w:rsidR="00A71148">
        <w:rPr>
          <w:rFonts w:ascii="Arial" w:eastAsia="Times New Roman" w:hAnsi="Arial" w:cs="Arial"/>
          <w:bCs/>
          <w:sz w:val="22"/>
          <w:lang w:eastAsia="es-CO"/>
        </w:rPr>
        <w:t xml:space="preserve">la </w:t>
      </w:r>
      <w:r w:rsidRPr="00EA4BA0">
        <w:rPr>
          <w:rFonts w:ascii="Arial" w:eastAsia="Times New Roman" w:hAnsi="Arial" w:cs="Arial"/>
          <w:bCs/>
          <w:sz w:val="22"/>
          <w:lang w:eastAsia="es-CO"/>
        </w:rPr>
        <w:t>del parágrafo</w:t>
      </w:r>
      <w:r w:rsidR="00A71148">
        <w:rPr>
          <w:rFonts w:ascii="Arial" w:eastAsia="Times New Roman" w:hAnsi="Arial" w:cs="Arial"/>
          <w:bCs/>
          <w:sz w:val="22"/>
          <w:lang w:eastAsia="es-CO"/>
        </w:rPr>
        <w:t xml:space="preserve"> analizado en la Ley 996 de 2005</w:t>
      </w:r>
      <w:r w:rsidR="000465F7">
        <w:rPr>
          <w:rFonts w:ascii="Arial" w:eastAsia="Times New Roman" w:hAnsi="Arial" w:cs="Arial"/>
          <w:bCs/>
          <w:sz w:val="22"/>
          <w:lang w:eastAsia="es-CO"/>
        </w:rPr>
        <w:t>. Por tanto</w:t>
      </w:r>
      <w:r w:rsidRPr="00EA4BA0">
        <w:rPr>
          <w:rFonts w:ascii="Arial" w:eastAsia="Times New Roman" w:hAnsi="Arial" w:cs="Arial"/>
          <w:bCs/>
          <w:sz w:val="22"/>
          <w:lang w:eastAsia="es-CO"/>
        </w:rPr>
        <w:t>, las restricciones a la contratación directa dentro del periodo preelectoral presidencial y vicepresidencial, se mantienen invariables a partir de la publicación de la Ley del Presupuesto.</w:t>
      </w:r>
      <w:bookmarkEnd w:id="61"/>
    </w:p>
    <w:p w14:paraId="6B2030F6" w14:textId="4D26C70E" w:rsidR="007B234F" w:rsidRPr="00EA4BA0" w:rsidRDefault="007B234F" w:rsidP="000641BE">
      <w:pPr>
        <w:shd w:val="clear" w:color="auto" w:fill="FFFFFF"/>
        <w:spacing w:after="120"/>
        <w:ind w:firstLine="709"/>
        <w:rPr>
          <w:rFonts w:ascii="Arial" w:eastAsia="Times New Roman" w:hAnsi="Arial" w:cs="Arial"/>
          <w:bCs/>
          <w:sz w:val="22"/>
          <w:lang w:eastAsia="es-CO"/>
        </w:rPr>
      </w:pPr>
      <w:r>
        <w:rPr>
          <w:rFonts w:ascii="Arial" w:eastAsia="Times New Roman" w:hAnsi="Arial" w:cs="Arial"/>
          <w:bCs/>
          <w:sz w:val="22"/>
          <w:lang w:eastAsia="es-CO"/>
        </w:rPr>
        <w:t>En efecto</w:t>
      </w:r>
      <w:r w:rsidRPr="00EA4BA0">
        <w:rPr>
          <w:rFonts w:ascii="Arial" w:eastAsia="Times New Roman" w:hAnsi="Arial" w:cs="Arial"/>
          <w:bCs/>
          <w:sz w:val="22"/>
          <w:lang w:eastAsia="es-CO"/>
        </w:rPr>
        <w:t xml:space="preserve">, la Agencia advierte que para el año 2022 están programadas las elecciones para elegir miembros del Congreso de la República, así como las jornadas para la elección del Presidente y Vicepresidente de la República. Las primeras para </w:t>
      </w:r>
      <w:r w:rsidRPr="00EA4BA0">
        <w:rPr>
          <w:rFonts w:ascii="Arial" w:eastAsia="Times New Roman" w:hAnsi="Arial" w:cs="Arial"/>
          <w:bCs/>
          <w:sz w:val="22"/>
          <w:lang w:eastAsia="es-CO"/>
        </w:rPr>
        <w:lastRenderedPageBreak/>
        <w:t>el domingo 13 de marzo de 2022</w:t>
      </w:r>
      <w:r w:rsidRPr="00EA4BA0">
        <w:rPr>
          <w:rStyle w:val="Refdenotaalpie"/>
          <w:rFonts w:ascii="Arial" w:eastAsia="Times New Roman" w:hAnsi="Arial" w:cs="Arial"/>
          <w:bCs/>
          <w:sz w:val="22"/>
          <w:lang w:eastAsia="es-CO"/>
        </w:rPr>
        <w:footnoteReference w:id="53"/>
      </w:r>
      <w:r w:rsidRPr="00EA4BA0">
        <w:rPr>
          <w:rFonts w:ascii="Arial" w:eastAsia="Times New Roman" w:hAnsi="Arial" w:cs="Arial"/>
          <w:bCs/>
          <w:sz w:val="22"/>
          <w:lang w:eastAsia="es-CO"/>
        </w:rPr>
        <w:t xml:space="preserve"> y las segundas para el 29 de mayo del mismo año</w:t>
      </w:r>
      <w:r w:rsidRPr="00EA4BA0">
        <w:rPr>
          <w:rStyle w:val="Refdenotaalpie"/>
          <w:rFonts w:ascii="Arial" w:eastAsia="Times New Roman" w:hAnsi="Arial" w:cs="Arial"/>
          <w:bCs/>
          <w:sz w:val="22"/>
          <w:lang w:eastAsia="es-CO"/>
        </w:rPr>
        <w:footnoteReference w:id="54"/>
      </w:r>
      <w:r w:rsidRPr="00EA4BA0">
        <w:rPr>
          <w:rFonts w:ascii="Arial" w:eastAsia="Times New Roman" w:hAnsi="Arial" w:cs="Arial"/>
          <w:bCs/>
          <w:sz w:val="22"/>
          <w:lang w:eastAsia="es-CO"/>
        </w:rPr>
        <w:t>, respectivamente</w:t>
      </w:r>
      <w:r w:rsidR="006670F5">
        <w:rPr>
          <w:rFonts w:ascii="Arial" w:eastAsia="Times New Roman" w:hAnsi="Arial" w:cs="Arial"/>
          <w:bCs/>
          <w:sz w:val="22"/>
          <w:lang w:eastAsia="es-CO"/>
        </w:rPr>
        <w:t xml:space="preserve">. De </w:t>
      </w:r>
      <w:r w:rsidRPr="00EA4BA0">
        <w:rPr>
          <w:rFonts w:ascii="Arial" w:eastAsia="Times New Roman" w:hAnsi="Arial" w:cs="Arial"/>
          <w:bCs/>
          <w:sz w:val="22"/>
          <w:lang w:eastAsia="es-CO"/>
        </w:rPr>
        <w:t>e</w:t>
      </w:r>
      <w:r w:rsidR="006670F5">
        <w:rPr>
          <w:rFonts w:ascii="Arial" w:eastAsia="Times New Roman" w:hAnsi="Arial" w:cs="Arial"/>
          <w:bCs/>
          <w:sz w:val="22"/>
          <w:lang w:eastAsia="es-CO"/>
        </w:rPr>
        <w:t>sta</w:t>
      </w:r>
      <w:r w:rsidRPr="00EA4BA0">
        <w:rPr>
          <w:rFonts w:ascii="Arial" w:eastAsia="Times New Roman" w:hAnsi="Arial" w:cs="Arial"/>
          <w:bCs/>
          <w:sz w:val="22"/>
          <w:lang w:eastAsia="es-CO"/>
        </w:rPr>
        <w:t xml:space="preserve"> manera</w:t>
      </w:r>
      <w:r w:rsidR="006670F5">
        <w:rPr>
          <w:rFonts w:ascii="Arial" w:eastAsia="Times New Roman" w:hAnsi="Arial" w:cs="Arial"/>
          <w:bCs/>
          <w:sz w:val="22"/>
          <w:lang w:eastAsia="es-CO"/>
        </w:rPr>
        <w:t>,</w:t>
      </w:r>
      <w:r w:rsidRPr="00EA4BA0">
        <w:rPr>
          <w:rFonts w:ascii="Arial" w:eastAsia="Times New Roman" w:hAnsi="Arial" w:cs="Arial"/>
          <w:bCs/>
          <w:sz w:val="22"/>
          <w:lang w:eastAsia="es-CO"/>
        </w:rPr>
        <w:t xml:space="preserve"> resulta palmario que el periodo preelectoral de restricción de cuatro meses anteriores a la correspondiente elección de que tratan los artículos 33 y 38 de la Ley 996</w:t>
      </w:r>
      <w:r w:rsidR="00CB1B38">
        <w:rPr>
          <w:rFonts w:ascii="Arial" w:eastAsia="Times New Roman" w:hAnsi="Arial" w:cs="Arial"/>
          <w:bCs/>
          <w:sz w:val="22"/>
          <w:lang w:eastAsia="es-CO"/>
        </w:rPr>
        <w:t xml:space="preserve"> de 2005</w:t>
      </w:r>
      <w:r w:rsidRPr="00EA4BA0">
        <w:rPr>
          <w:rFonts w:ascii="Arial" w:eastAsia="Times New Roman"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2E4C0B42" w:rsidR="007B234F" w:rsidRPr="00A05663" w:rsidRDefault="007B234F" w:rsidP="000641BE">
      <w:pPr>
        <w:shd w:val="clear" w:color="auto" w:fill="FFFFFF"/>
        <w:spacing w:after="120"/>
        <w:ind w:firstLine="709"/>
        <w:rPr>
          <w:rFonts w:ascii="Arial" w:eastAsia="Times New Roman" w:hAnsi="Arial" w:cs="Arial"/>
          <w:bCs/>
          <w:sz w:val="22"/>
          <w:lang w:eastAsia="es-CO"/>
        </w:rPr>
      </w:pPr>
      <w:r w:rsidRPr="00EA4BA0">
        <w:rPr>
          <w:rFonts w:ascii="Arial" w:eastAsia="Times New Roman" w:hAnsi="Arial" w:cs="Arial"/>
          <w:bCs/>
          <w:sz w:val="22"/>
          <w:lang w:eastAsia="es-CO"/>
        </w:rPr>
        <w:t>Así, durante el periodo preelectoral de elección al Congreso de la República aplicará, únicamente, la prohibición del parágrafo 38</w:t>
      </w:r>
      <w:r w:rsidR="002F3451">
        <w:rPr>
          <w:rFonts w:ascii="Arial" w:eastAsia="Times New Roman" w:hAnsi="Arial" w:cs="Arial"/>
          <w:bCs/>
          <w:sz w:val="22"/>
          <w:lang w:eastAsia="es-CO"/>
        </w:rPr>
        <w:t>.</w:t>
      </w:r>
      <w:r w:rsidRPr="00EA4BA0">
        <w:rPr>
          <w:rFonts w:ascii="Arial" w:eastAsia="Times New Roman" w:hAnsi="Arial" w:cs="Arial"/>
          <w:bCs/>
          <w:sz w:val="22"/>
          <w:lang w:eastAsia="es-CO"/>
        </w:rPr>
        <w:t xml:space="preserve"> </w:t>
      </w:r>
      <w:r w:rsidR="002F3451">
        <w:rPr>
          <w:rFonts w:ascii="Arial" w:eastAsia="Times New Roman" w:hAnsi="Arial" w:cs="Arial"/>
          <w:bCs/>
          <w:sz w:val="22"/>
          <w:lang w:eastAsia="es-CO"/>
        </w:rPr>
        <w:t>S</w:t>
      </w:r>
      <w:r w:rsidRPr="00EA4BA0">
        <w:rPr>
          <w:rFonts w:ascii="Arial" w:eastAsia="Times New Roman" w:hAnsi="Arial" w:cs="Arial"/>
          <w:bCs/>
          <w:sz w:val="22"/>
          <w:lang w:eastAsia="es-CO"/>
        </w:rPr>
        <w:t>in embargo, una vez inicie el periodo preelectoral para la elección de Presidente y Vicepresidente, deberán</w:t>
      </w:r>
      <w:r w:rsidR="00E91585">
        <w:rPr>
          <w:rFonts w:ascii="Arial" w:eastAsia="Times New Roman" w:hAnsi="Arial" w:cs="Arial"/>
          <w:bCs/>
          <w:sz w:val="22"/>
          <w:lang w:eastAsia="es-CO"/>
        </w:rPr>
        <w:t xml:space="preserve"> </w:t>
      </w:r>
      <w:r w:rsidRPr="00EA4BA0">
        <w:rPr>
          <w:rFonts w:ascii="Arial" w:eastAsia="Times New Roman" w:hAnsi="Arial" w:cs="Arial"/>
          <w:bCs/>
          <w:sz w:val="22"/>
          <w:lang w:eastAsia="es-CO"/>
        </w:rPr>
        <w:t>aplica</w:t>
      </w:r>
      <w:r w:rsidR="002F3451">
        <w:rPr>
          <w:rFonts w:ascii="Arial" w:eastAsia="Times New Roman" w:hAnsi="Arial" w:cs="Arial"/>
          <w:bCs/>
          <w:sz w:val="22"/>
          <w:lang w:eastAsia="es-CO"/>
        </w:rPr>
        <w:t>r</w:t>
      </w:r>
      <w:r w:rsidRPr="00EA4BA0">
        <w:rPr>
          <w:rFonts w:ascii="Arial" w:eastAsia="Times New Roman" w:hAnsi="Arial" w:cs="Arial"/>
          <w:bCs/>
          <w:sz w:val="22"/>
          <w:lang w:eastAsia="es-CO"/>
        </w:rPr>
        <w:t>s</w:t>
      </w:r>
      <w:r w:rsidR="002F3451">
        <w:rPr>
          <w:rFonts w:ascii="Arial" w:eastAsia="Times New Roman" w:hAnsi="Arial" w:cs="Arial"/>
          <w:bCs/>
          <w:sz w:val="22"/>
          <w:lang w:eastAsia="es-CO"/>
        </w:rPr>
        <w:t>e</w:t>
      </w:r>
      <w:r w:rsidRPr="00EA4BA0">
        <w:rPr>
          <w:rFonts w:ascii="Arial" w:eastAsia="Times New Roman" w:hAnsi="Arial" w:cs="Arial"/>
          <w:bCs/>
          <w:sz w:val="22"/>
          <w:lang w:eastAsia="es-CO"/>
        </w:rPr>
        <w:t xml:space="preserve"> ambas restricciones, es decir, </w:t>
      </w:r>
      <w:r w:rsidR="00612142">
        <w:rPr>
          <w:rFonts w:ascii="Arial" w:eastAsia="Times New Roman" w:hAnsi="Arial" w:cs="Arial"/>
          <w:bCs/>
          <w:sz w:val="22"/>
          <w:lang w:eastAsia="es-CO"/>
        </w:rPr>
        <w:t xml:space="preserve">tanto </w:t>
      </w:r>
      <w:r w:rsidRPr="00EA4BA0">
        <w:rPr>
          <w:rFonts w:ascii="Arial" w:eastAsia="Times New Roman" w:hAnsi="Arial" w:cs="Arial"/>
          <w:bCs/>
          <w:sz w:val="22"/>
          <w:lang w:eastAsia="es-CO"/>
        </w:rPr>
        <w:t xml:space="preserve">la del parágrafo del artículo 38 </w:t>
      </w:r>
      <w:r w:rsidR="00612142">
        <w:rPr>
          <w:rFonts w:ascii="Arial" w:eastAsia="Times New Roman" w:hAnsi="Arial" w:cs="Arial"/>
          <w:bCs/>
          <w:sz w:val="22"/>
          <w:lang w:eastAsia="es-CO"/>
        </w:rPr>
        <w:t>como</w:t>
      </w:r>
      <w:r w:rsidRPr="00EA4BA0">
        <w:rPr>
          <w:rFonts w:ascii="Arial" w:eastAsia="Times New Roman" w:hAnsi="Arial" w:cs="Arial"/>
          <w:bCs/>
          <w:sz w:val="22"/>
          <w:lang w:eastAsia="es-CO"/>
        </w:rPr>
        <w:t xml:space="preserve"> la del artículo 33 de la Ley de Garantías. En este punto, atendiendo a la modificación parcial del parágrafo del artículo 38 realizada por la Ley del Presupuesto, </w:t>
      </w:r>
      <w:r w:rsidRPr="00A05663">
        <w:rPr>
          <w:rFonts w:ascii="Arial" w:eastAsia="Times New Roman" w:hAnsi="Arial" w:cs="Arial"/>
          <w:bCs/>
          <w:sz w:val="22"/>
          <w:lang w:eastAsia="es-CO"/>
        </w:rPr>
        <w:t>cabría preguntarse c</w:t>
      </w:r>
      <w:r>
        <w:rPr>
          <w:rFonts w:ascii="Arial" w:eastAsia="Times New Roman" w:hAnsi="Arial" w:cs="Arial"/>
          <w:bCs/>
          <w:sz w:val="22"/>
          <w:lang w:eastAsia="es-CO"/>
        </w:rPr>
        <w:t>ó</w:t>
      </w:r>
      <w:r w:rsidRPr="00A05663">
        <w:rPr>
          <w:rFonts w:ascii="Arial" w:eastAsia="Times New Roman" w:hAnsi="Arial" w:cs="Arial"/>
          <w:bCs/>
          <w:sz w:val="22"/>
          <w:lang w:eastAsia="es-CO"/>
        </w:rPr>
        <w:t xml:space="preserve">mo se aplicarían las mentadas prohibiciones. </w:t>
      </w:r>
    </w:p>
    <w:p w14:paraId="63BDE268" w14:textId="3DB7A410" w:rsidR="00CB58CF" w:rsidRPr="00A05663" w:rsidRDefault="00CB58CF" w:rsidP="000641BE">
      <w:pPr>
        <w:shd w:val="clear" w:color="auto" w:fill="FFFFFF"/>
        <w:spacing w:after="120"/>
        <w:ind w:firstLine="709"/>
        <w:rPr>
          <w:rFonts w:ascii="Arial" w:eastAsia="Times New Roman" w:hAnsi="Arial" w:cs="Arial"/>
          <w:bCs/>
          <w:sz w:val="22"/>
          <w:lang w:eastAsia="es-CO"/>
        </w:rPr>
      </w:pPr>
      <w:r w:rsidRPr="00A05663">
        <w:rPr>
          <w:rFonts w:ascii="Arial" w:eastAsia="Times New Roman"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w:t>
      </w:r>
      <w:r>
        <w:rPr>
          <w:rFonts w:ascii="Arial" w:eastAsia="Times New Roman" w:hAnsi="Arial" w:cs="Arial"/>
          <w:bCs/>
          <w:sz w:val="22"/>
          <w:lang w:eastAsia="es-CO"/>
        </w:rPr>
        <w:t xml:space="preserve">dando cumplimiento a los requisitos </w:t>
      </w:r>
      <w:r w:rsidR="00AB61DC">
        <w:rPr>
          <w:rFonts w:ascii="Arial" w:eastAsia="Times New Roman" w:hAnsi="Arial" w:cs="Arial"/>
          <w:bCs/>
          <w:sz w:val="22"/>
          <w:lang w:eastAsia="es-CO"/>
        </w:rPr>
        <w:t>d</w:t>
      </w:r>
      <w:r>
        <w:rPr>
          <w:rFonts w:ascii="Arial" w:eastAsia="Times New Roman" w:hAnsi="Arial" w:cs="Arial"/>
          <w:bCs/>
          <w:sz w:val="22"/>
          <w:lang w:eastAsia="es-CO"/>
        </w:rPr>
        <w:t xml:space="preserve">el </w:t>
      </w:r>
      <w:r w:rsidRPr="00A05663">
        <w:rPr>
          <w:rFonts w:ascii="Arial" w:eastAsia="Times New Roman" w:hAnsi="Arial" w:cs="Arial"/>
          <w:bCs/>
          <w:sz w:val="22"/>
          <w:lang w:eastAsia="es-CO"/>
        </w:rPr>
        <w:t>artículo 124 de la Ley del Presupuesto</w:t>
      </w:r>
      <w:r>
        <w:rPr>
          <w:rFonts w:ascii="Arial" w:eastAsia="Times New Roman" w:hAnsi="Arial" w:cs="Arial"/>
          <w:bCs/>
          <w:sz w:val="22"/>
          <w:lang w:eastAsia="es-CO"/>
        </w:rPr>
        <w:t>, entre ellos, que</w:t>
      </w:r>
      <w:r w:rsidRPr="00A05663">
        <w:rPr>
          <w:rFonts w:ascii="Arial" w:eastAsia="Times New Roman" w:hAnsi="Arial" w:cs="Arial"/>
          <w:bCs/>
          <w:sz w:val="22"/>
          <w:lang w:eastAsia="es-CO"/>
        </w:rPr>
        <w:t xml:space="preserve"> sean suscritos entre entidades del orden nacional y territorial. No sucederá lo mismo cuando sean celebrados entre entidades del orden territorial, en cuyo caso aplicará la prohibición plena sin la modificación en mención. </w:t>
      </w:r>
    </w:p>
    <w:p w14:paraId="48606CAF" w14:textId="5818B1EE" w:rsidR="000D05AD" w:rsidRDefault="00CB58CF" w:rsidP="00264924">
      <w:pPr>
        <w:spacing w:after="0"/>
        <w:ind w:firstLine="709"/>
        <w:rPr>
          <w:rFonts w:ascii="Arial" w:eastAsia="Times New Roman" w:hAnsi="Arial" w:cs="Arial"/>
          <w:bCs/>
          <w:sz w:val="22"/>
          <w:lang w:eastAsia="es-CO"/>
        </w:rPr>
      </w:pPr>
      <w:r>
        <w:rPr>
          <w:rFonts w:ascii="Arial" w:eastAsia="Times New Roman" w:hAnsi="Arial" w:cs="Arial"/>
          <w:bCs/>
          <w:sz w:val="22"/>
          <w:lang w:val="es-CO" w:eastAsia="es-CO"/>
        </w:rPr>
        <w:t xml:space="preserve">Por otra parte, </w:t>
      </w:r>
      <w:r w:rsidR="00841E0B">
        <w:rPr>
          <w:rFonts w:ascii="Arial" w:eastAsia="Times New Roman" w:hAnsi="Arial" w:cs="Arial"/>
          <w:bCs/>
          <w:sz w:val="22"/>
          <w:lang w:eastAsia="es-CO"/>
        </w:rPr>
        <w:t>cuando</w:t>
      </w:r>
      <w:r w:rsidRPr="00A05663">
        <w:rPr>
          <w:rFonts w:ascii="Arial" w:eastAsia="Times New Roman" w:hAnsi="Arial" w:cs="Arial"/>
          <w:bCs/>
          <w:sz w:val="22"/>
          <w:lang w:eastAsia="es-CO"/>
        </w:rPr>
        <w:t xml:space="preserve"> empiece el periodo preelectoral de las elecciones </w:t>
      </w:r>
      <w:r>
        <w:rPr>
          <w:rFonts w:ascii="Arial" w:eastAsia="Times New Roman" w:hAnsi="Arial" w:cs="Arial"/>
          <w:bCs/>
          <w:sz w:val="22"/>
          <w:lang w:eastAsia="es-CO"/>
        </w:rPr>
        <w:t>para Presidente y Vicepresidente de la República</w:t>
      </w:r>
      <w:r w:rsidRPr="00A05663">
        <w:rPr>
          <w:rFonts w:ascii="Arial" w:eastAsia="Times New Roman" w:hAnsi="Arial" w:cs="Arial"/>
          <w:bCs/>
          <w:sz w:val="22"/>
          <w:lang w:eastAsia="es-CO"/>
        </w:rPr>
        <w:t>, aplica</w:t>
      </w:r>
      <w:r w:rsidR="00BB32EA">
        <w:rPr>
          <w:rFonts w:ascii="Arial" w:eastAsia="Times New Roman" w:hAnsi="Arial" w:cs="Arial"/>
          <w:bCs/>
          <w:sz w:val="22"/>
          <w:lang w:eastAsia="es-CO"/>
        </w:rPr>
        <w:t>rá</w:t>
      </w:r>
      <w:r w:rsidRPr="00A05663">
        <w:rPr>
          <w:rFonts w:ascii="Arial" w:eastAsia="Times New Roman" w:hAnsi="Arial" w:cs="Arial"/>
          <w:bCs/>
          <w:sz w:val="22"/>
          <w:lang w:eastAsia="es-CO"/>
        </w:rPr>
        <w:t xml:space="preserve"> la prohibición </w:t>
      </w:r>
      <w:r w:rsidR="004D78D4">
        <w:rPr>
          <w:rFonts w:ascii="Arial" w:eastAsia="Times New Roman" w:hAnsi="Arial" w:cs="Arial"/>
          <w:bCs/>
          <w:sz w:val="22"/>
          <w:lang w:eastAsia="es-CO"/>
        </w:rPr>
        <w:t>de</w:t>
      </w:r>
      <w:r w:rsidRPr="00A05663">
        <w:rPr>
          <w:rFonts w:ascii="Arial" w:eastAsia="Times New Roman" w:hAnsi="Arial" w:cs="Arial"/>
          <w:bCs/>
          <w:sz w:val="22"/>
          <w:lang w:eastAsia="es-CO"/>
        </w:rPr>
        <w:t xml:space="preserve"> </w:t>
      </w:r>
      <w:r w:rsidR="00987DBA" w:rsidRPr="00A05663">
        <w:rPr>
          <w:rFonts w:ascii="Arial" w:eastAsia="Times New Roman" w:hAnsi="Arial" w:cs="Arial"/>
          <w:bCs/>
          <w:sz w:val="22"/>
          <w:lang w:eastAsia="es-CO"/>
        </w:rPr>
        <w:t>contratación</w:t>
      </w:r>
      <w:r w:rsidRPr="00A05663">
        <w:rPr>
          <w:rFonts w:ascii="Arial" w:eastAsia="Times New Roman" w:hAnsi="Arial" w:cs="Arial"/>
          <w:bCs/>
          <w:sz w:val="22"/>
          <w:lang w:eastAsia="es-CO"/>
        </w:rPr>
        <w:t xml:space="preserve"> directa contenida en el artículo 33 de la Ley de Garantías, así como a la prohibición del parágrafo del artículo 38</w:t>
      </w:r>
      <w:r w:rsidR="00665A16">
        <w:rPr>
          <w:rFonts w:ascii="Arial" w:eastAsia="Times New Roman" w:hAnsi="Arial" w:cs="Arial"/>
          <w:bCs/>
          <w:sz w:val="22"/>
          <w:lang w:eastAsia="es-CO"/>
        </w:rPr>
        <w:t xml:space="preserve"> </w:t>
      </w:r>
      <w:r w:rsidR="00665A16" w:rsidRPr="000641BE">
        <w:rPr>
          <w:rFonts w:ascii="Arial" w:eastAsia="Times New Roman" w:hAnsi="Arial" w:cs="Arial"/>
          <w:bCs/>
          <w:i/>
          <w:iCs/>
          <w:sz w:val="22"/>
          <w:lang w:eastAsia="es-CO"/>
        </w:rPr>
        <w:t>ibidem</w:t>
      </w:r>
      <w:r w:rsidRPr="00A05663">
        <w:rPr>
          <w:rFonts w:ascii="Arial" w:eastAsia="Times New Roman" w:hAnsi="Arial" w:cs="Arial"/>
          <w:bCs/>
          <w:sz w:val="22"/>
          <w:lang w:eastAsia="es-CO"/>
        </w:rPr>
        <w:t xml:space="preserve"> que, como se </w:t>
      </w:r>
      <w:r w:rsidR="00DD2116">
        <w:rPr>
          <w:rFonts w:ascii="Arial" w:eastAsia="Times New Roman" w:hAnsi="Arial" w:cs="Arial"/>
          <w:bCs/>
          <w:sz w:val="22"/>
          <w:lang w:eastAsia="es-CO"/>
        </w:rPr>
        <w:t xml:space="preserve">explicó </w:t>
      </w:r>
      <w:r w:rsidR="00936B09">
        <w:rPr>
          <w:rFonts w:ascii="Arial" w:eastAsia="Times New Roman" w:hAnsi="Arial" w:cs="Arial"/>
          <w:bCs/>
          <w:sz w:val="22"/>
          <w:lang w:eastAsia="es-CO"/>
        </w:rPr>
        <w:t>en acápites precedentes</w:t>
      </w:r>
      <w:r w:rsidRPr="00A05663">
        <w:rPr>
          <w:rFonts w:ascii="Arial" w:eastAsia="Times New Roman" w:hAnsi="Arial" w:cs="Arial"/>
          <w:bCs/>
          <w:sz w:val="22"/>
          <w:lang w:eastAsia="es-CO"/>
        </w:rPr>
        <w:t xml:space="preserve">, </w:t>
      </w:r>
      <w:r w:rsidR="004D78D4">
        <w:rPr>
          <w:rFonts w:ascii="Arial" w:eastAsia="Times New Roman" w:hAnsi="Arial" w:cs="Arial"/>
          <w:bCs/>
          <w:sz w:val="22"/>
          <w:lang w:eastAsia="es-CO"/>
        </w:rPr>
        <w:t>rige en</w:t>
      </w:r>
      <w:r w:rsidRPr="00A05663">
        <w:rPr>
          <w:rFonts w:ascii="Arial" w:eastAsia="Times New Roman" w:hAnsi="Arial" w:cs="Arial"/>
          <w:bCs/>
          <w:sz w:val="22"/>
          <w:lang w:eastAsia="es-CO"/>
        </w:rPr>
        <w:t xml:space="preserve"> todo tipo de elección popular</w:t>
      </w:r>
      <w:r>
        <w:rPr>
          <w:rFonts w:ascii="Arial" w:eastAsia="Times New Roman" w:hAnsi="Arial" w:cs="Arial"/>
          <w:bCs/>
          <w:sz w:val="22"/>
          <w:lang w:eastAsia="es-CO"/>
        </w:rPr>
        <w:t>.</w:t>
      </w:r>
      <w:r w:rsidR="00CA7139">
        <w:rPr>
          <w:rFonts w:ascii="Arial" w:eastAsia="Times New Roman" w:hAnsi="Arial" w:cs="Arial"/>
          <w:bCs/>
          <w:sz w:val="22"/>
          <w:lang w:eastAsia="es-CO"/>
        </w:rPr>
        <w:t xml:space="preserve"> </w:t>
      </w:r>
      <w:r>
        <w:rPr>
          <w:rFonts w:ascii="Arial" w:eastAsia="Times New Roman" w:hAnsi="Arial" w:cs="Arial"/>
          <w:bCs/>
          <w:sz w:val="22"/>
          <w:lang w:eastAsia="es-CO"/>
        </w:rPr>
        <w:t>Así</w:t>
      </w:r>
      <w:r w:rsidRPr="00A05663">
        <w:rPr>
          <w:rFonts w:ascii="Arial" w:eastAsia="Times New Roman" w:hAnsi="Arial" w:cs="Arial"/>
          <w:bCs/>
          <w:sz w:val="22"/>
          <w:lang w:eastAsia="es-CO"/>
        </w:rPr>
        <w:t xml:space="preserve">, dentro de los cuatro meses anteriores a </w:t>
      </w:r>
      <w:r>
        <w:rPr>
          <w:rFonts w:ascii="Arial" w:eastAsia="Times New Roman" w:hAnsi="Arial" w:cs="Arial"/>
          <w:bCs/>
          <w:sz w:val="22"/>
          <w:lang w:eastAsia="es-CO"/>
        </w:rPr>
        <w:t>tales</w:t>
      </w:r>
      <w:r w:rsidRPr="00A05663">
        <w:rPr>
          <w:rFonts w:ascii="Arial" w:eastAsia="Times New Roman" w:hAnsi="Arial" w:cs="Arial"/>
          <w:bCs/>
          <w:sz w:val="22"/>
          <w:lang w:eastAsia="es-CO"/>
        </w:rPr>
        <w:t xml:space="preserve"> elecciones, </w:t>
      </w:r>
      <w:r>
        <w:rPr>
          <w:rFonts w:ascii="Arial" w:eastAsia="Times New Roman" w:hAnsi="Arial" w:cs="Arial"/>
          <w:bCs/>
          <w:sz w:val="22"/>
          <w:lang w:eastAsia="es-CO"/>
        </w:rPr>
        <w:t xml:space="preserve">las entidades destinatarias de las normas mencionadas, </w:t>
      </w:r>
      <w:r w:rsidRPr="00A05663">
        <w:rPr>
          <w:rFonts w:ascii="Arial" w:eastAsia="Times New Roman" w:hAnsi="Arial" w:cs="Arial"/>
          <w:bCs/>
          <w:sz w:val="22"/>
          <w:lang w:eastAsia="es-CO"/>
        </w:rPr>
        <w:t>no podrá</w:t>
      </w:r>
      <w:r>
        <w:rPr>
          <w:rFonts w:ascii="Arial" w:eastAsia="Times New Roman" w:hAnsi="Arial" w:cs="Arial"/>
          <w:bCs/>
          <w:sz w:val="22"/>
          <w:lang w:eastAsia="es-CO"/>
        </w:rPr>
        <w:t>n</w:t>
      </w:r>
      <w:r w:rsidRPr="00A05663">
        <w:rPr>
          <w:rFonts w:ascii="Arial" w:eastAsia="Times New Roman" w:hAnsi="Arial" w:cs="Arial"/>
          <w:bCs/>
          <w:sz w:val="22"/>
          <w:lang w:eastAsia="es-CO"/>
        </w:rPr>
        <w:t xml:space="preserve"> celebrar convenios y contratos interadministrativos a través de contratación directa,</w:t>
      </w:r>
      <w:r w:rsidR="00A80CF4">
        <w:rPr>
          <w:rFonts w:ascii="Arial" w:eastAsia="Times New Roman" w:hAnsi="Arial" w:cs="Arial"/>
          <w:bCs/>
          <w:sz w:val="22"/>
          <w:lang w:eastAsia="es-CO"/>
        </w:rPr>
        <w:t xml:space="preserve"> por lo que </w:t>
      </w:r>
      <w:r w:rsidRPr="00A05663">
        <w:rPr>
          <w:rFonts w:ascii="Arial" w:eastAsia="Times New Roman" w:hAnsi="Arial" w:cs="Arial"/>
          <w:bCs/>
          <w:sz w:val="22"/>
          <w:lang w:eastAsia="es-CO"/>
        </w:rPr>
        <w:t>solo podrán suscri</w:t>
      </w:r>
      <w:r w:rsidR="00A80CF4">
        <w:rPr>
          <w:rFonts w:ascii="Arial" w:eastAsia="Times New Roman" w:hAnsi="Arial" w:cs="Arial"/>
          <w:bCs/>
          <w:sz w:val="22"/>
          <w:lang w:eastAsia="es-CO"/>
        </w:rPr>
        <w:t>birse</w:t>
      </w:r>
      <w:r w:rsidRPr="00A05663">
        <w:rPr>
          <w:rFonts w:ascii="Arial" w:eastAsia="Times New Roman" w:hAnsi="Arial" w:cs="Arial"/>
          <w:bCs/>
          <w:sz w:val="22"/>
          <w:lang w:eastAsia="es-CO"/>
        </w:rPr>
        <w:t xml:space="preserve"> a través de mecanismos de selección que </w:t>
      </w:r>
      <w:r w:rsidRPr="00A05663">
        <w:rPr>
          <w:rFonts w:ascii="Arial" w:eastAsia="Times New Roman" w:hAnsi="Arial" w:cs="Arial"/>
          <w:bCs/>
          <w:sz w:val="22"/>
          <w:lang w:eastAsia="es-CO"/>
        </w:rPr>
        <w:lastRenderedPageBreak/>
        <w:t>impliquen convocatoria pública</w:t>
      </w:r>
      <w:r w:rsidR="002553F1">
        <w:rPr>
          <w:rFonts w:ascii="Arial" w:eastAsia="Times New Roman" w:hAnsi="Arial" w:cs="Arial"/>
          <w:bCs/>
          <w:sz w:val="22"/>
          <w:lang w:eastAsia="es-CO"/>
        </w:rPr>
        <w:t xml:space="preserve"> y pluralidad de oferentes</w:t>
      </w:r>
      <w:r w:rsidRPr="00A05663">
        <w:rPr>
          <w:rFonts w:ascii="Arial" w:eastAsia="Times New Roman" w:hAnsi="Arial" w:cs="Arial"/>
          <w:bCs/>
          <w:sz w:val="22"/>
          <w:lang w:eastAsia="es-CO"/>
        </w:rPr>
        <w:t xml:space="preserve">, siempre que se cumplan con los requisitos </w:t>
      </w:r>
      <w:r w:rsidR="00EC58BE">
        <w:rPr>
          <w:rFonts w:ascii="Arial" w:eastAsia="Times New Roman" w:hAnsi="Arial" w:cs="Arial"/>
          <w:bCs/>
          <w:sz w:val="22"/>
          <w:lang w:eastAsia="es-CO"/>
        </w:rPr>
        <w:t>d</w:t>
      </w:r>
      <w:r w:rsidRPr="00A05663">
        <w:rPr>
          <w:rFonts w:ascii="Arial" w:eastAsia="Times New Roman" w:hAnsi="Arial" w:cs="Arial"/>
          <w:bCs/>
          <w:sz w:val="22"/>
          <w:lang w:eastAsia="es-CO"/>
        </w:rPr>
        <w:t>el artículo 124 de la Ley 2159 de 2021.</w:t>
      </w:r>
    </w:p>
    <w:p w14:paraId="47620361" w14:textId="16286B9E" w:rsidR="006537D0" w:rsidRDefault="006537D0" w:rsidP="006537D0">
      <w:pPr>
        <w:spacing w:after="0"/>
        <w:rPr>
          <w:rFonts w:ascii="Arial" w:eastAsia="Times New Roman" w:hAnsi="Arial" w:cs="Arial"/>
          <w:bCs/>
          <w:sz w:val="22"/>
          <w:lang w:eastAsia="es-CO"/>
        </w:rPr>
      </w:pPr>
    </w:p>
    <w:p w14:paraId="2B3DD80A" w14:textId="7678476B" w:rsidR="006537D0" w:rsidRPr="00E807B5" w:rsidRDefault="006537D0" w:rsidP="006537D0">
      <w:pPr>
        <w:spacing w:after="0"/>
        <w:rPr>
          <w:rFonts w:ascii="Arial" w:eastAsia="Arial" w:hAnsi="Arial" w:cs="Arial"/>
          <w:b/>
          <w:bCs/>
          <w:sz w:val="22"/>
          <w:lang w:val="es-ES" w:eastAsia="es-ES" w:bidi="es-ES"/>
        </w:rPr>
      </w:pPr>
      <w:r w:rsidRPr="00E807B5">
        <w:rPr>
          <w:rFonts w:ascii="Arial" w:eastAsia="Arial" w:hAnsi="Arial" w:cs="Arial"/>
          <w:b/>
          <w:bCs/>
          <w:sz w:val="22"/>
          <w:lang w:val="es-ES" w:eastAsia="es-ES" w:bidi="es-ES"/>
        </w:rPr>
        <w:t>2.</w:t>
      </w:r>
      <w:r w:rsidR="00107244">
        <w:rPr>
          <w:rFonts w:ascii="Arial" w:eastAsia="Arial" w:hAnsi="Arial" w:cs="Arial"/>
          <w:b/>
          <w:bCs/>
          <w:sz w:val="22"/>
          <w:lang w:val="es-ES" w:eastAsia="es-ES" w:bidi="es-ES"/>
        </w:rPr>
        <w:t>6</w:t>
      </w:r>
      <w:r w:rsidRPr="00E807B5">
        <w:rPr>
          <w:rFonts w:ascii="Arial" w:eastAsia="Arial" w:hAnsi="Arial" w:cs="Arial"/>
          <w:b/>
          <w:bCs/>
          <w:sz w:val="22"/>
          <w:lang w:val="es-ES" w:eastAsia="es-ES" w:bidi="es-ES"/>
        </w:rPr>
        <w:t xml:space="preserve">. </w:t>
      </w:r>
      <w:bookmarkStart w:id="62" w:name="_Hlk93328413"/>
      <w:r w:rsidR="00107244">
        <w:rPr>
          <w:rFonts w:ascii="Arial" w:eastAsia="Arial" w:hAnsi="Arial" w:cs="Arial"/>
          <w:b/>
          <w:bCs/>
          <w:sz w:val="22"/>
          <w:lang w:val="es-ES" w:eastAsia="es-ES" w:bidi="es-ES"/>
        </w:rPr>
        <w:t>R</w:t>
      </w:r>
      <w:r w:rsidR="00107244" w:rsidRPr="00E807B5">
        <w:rPr>
          <w:rFonts w:ascii="Arial" w:eastAsia="Arial" w:hAnsi="Arial" w:cs="Arial"/>
          <w:b/>
          <w:bCs/>
          <w:sz w:val="22"/>
          <w:lang w:val="es-ES" w:eastAsia="es-ES" w:bidi="es-ES"/>
        </w:rPr>
        <w:t>estricciones de la Ley de Garantías</w:t>
      </w:r>
      <w:r w:rsidR="00107244">
        <w:rPr>
          <w:rFonts w:ascii="Arial" w:eastAsia="Arial" w:hAnsi="Arial" w:cs="Arial"/>
          <w:b/>
          <w:bCs/>
          <w:sz w:val="22"/>
          <w:lang w:val="es-ES" w:eastAsia="es-ES" w:bidi="es-ES"/>
        </w:rPr>
        <w:t xml:space="preserve"> en los contratos de colaboración y c</w:t>
      </w:r>
      <w:r w:rsidRPr="00E807B5">
        <w:rPr>
          <w:rFonts w:ascii="Arial" w:eastAsia="Arial" w:hAnsi="Arial" w:cs="Arial"/>
          <w:b/>
          <w:bCs/>
          <w:sz w:val="22"/>
          <w:lang w:val="es-ES" w:eastAsia="es-ES" w:bidi="es-ES"/>
        </w:rPr>
        <w:t>onvenios de asociación</w:t>
      </w:r>
      <w:r w:rsidR="001F3276">
        <w:rPr>
          <w:rFonts w:ascii="Arial" w:eastAsia="Arial" w:hAnsi="Arial" w:cs="Arial"/>
          <w:b/>
          <w:bCs/>
          <w:sz w:val="22"/>
          <w:lang w:val="es-ES" w:eastAsia="es-ES" w:bidi="es-ES"/>
        </w:rPr>
        <w:t xml:space="preserve"> con entidades </w:t>
      </w:r>
      <w:r w:rsidR="00BA0FA8">
        <w:rPr>
          <w:rFonts w:ascii="Arial" w:eastAsia="Arial" w:hAnsi="Arial" w:cs="Arial"/>
          <w:b/>
          <w:bCs/>
          <w:sz w:val="22"/>
          <w:lang w:val="es-ES" w:eastAsia="es-ES" w:bidi="es-ES"/>
        </w:rPr>
        <w:t xml:space="preserve">privadas </w:t>
      </w:r>
      <w:r w:rsidR="001F3276">
        <w:rPr>
          <w:rFonts w:ascii="Arial" w:eastAsia="Arial" w:hAnsi="Arial" w:cs="Arial"/>
          <w:b/>
          <w:bCs/>
          <w:sz w:val="22"/>
          <w:lang w:val="es-ES" w:eastAsia="es-ES" w:bidi="es-ES"/>
        </w:rPr>
        <w:t>sin ánimo de lucro</w:t>
      </w:r>
      <w:bookmarkEnd w:id="62"/>
    </w:p>
    <w:p w14:paraId="37F366CA" w14:textId="55D71ADB" w:rsidR="006537D0" w:rsidRDefault="006537D0" w:rsidP="006537D0">
      <w:pPr>
        <w:pStyle w:val="Sinespaciado"/>
        <w:spacing w:line="276" w:lineRule="auto"/>
        <w:rPr>
          <w:rFonts w:ascii="Arial" w:hAnsi="Arial" w:cs="Arial"/>
          <w:color w:val="000000" w:themeColor="text1"/>
          <w:sz w:val="22"/>
        </w:rPr>
      </w:pPr>
    </w:p>
    <w:p w14:paraId="5EA8C704" w14:textId="77777777" w:rsidR="009B6258" w:rsidRPr="00E807B5" w:rsidRDefault="009B6258" w:rsidP="003B6EE4">
      <w:pPr>
        <w:pStyle w:val="Sinespaciado"/>
        <w:spacing w:after="120" w:line="276" w:lineRule="auto"/>
        <w:rPr>
          <w:rFonts w:ascii="Arial" w:hAnsi="Arial" w:cs="Arial"/>
          <w:color w:val="000000" w:themeColor="text1"/>
          <w:sz w:val="22"/>
        </w:rPr>
      </w:pPr>
      <w:r w:rsidRPr="00E807B5">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E807B5">
        <w:rPr>
          <w:rStyle w:val="Refdenotaalpie"/>
          <w:rFonts w:ascii="Arial" w:hAnsi="Arial" w:cs="Arial"/>
          <w:color w:val="000000" w:themeColor="text1"/>
          <w:sz w:val="22"/>
        </w:rPr>
        <w:footnoteReference w:id="55"/>
      </w:r>
      <w:r w:rsidRPr="00E807B5">
        <w:rPr>
          <w:rFonts w:ascii="Arial" w:hAnsi="Arial" w:cs="Arial"/>
          <w:color w:val="000000" w:themeColor="text1"/>
          <w:sz w:val="22"/>
        </w:rPr>
        <w:t xml:space="preserve">. </w:t>
      </w:r>
      <w:r w:rsidRPr="00E807B5">
        <w:rPr>
          <w:rFonts w:ascii="Arial" w:eastAsia="Calibri" w:hAnsi="Arial" w:cs="Arial"/>
          <w:color w:val="000000" w:themeColor="text1"/>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E807B5">
        <w:rPr>
          <w:rStyle w:val="Refdenotaalpie"/>
          <w:rFonts w:ascii="Arial" w:eastAsia="Calibri" w:hAnsi="Arial" w:cs="Arial"/>
          <w:color w:val="000000" w:themeColor="text1"/>
          <w:sz w:val="22"/>
        </w:rPr>
        <w:footnoteReference w:id="56"/>
      </w:r>
      <w:r w:rsidRPr="00E807B5">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0BE7C3B1" w14:textId="30F0A200" w:rsidR="009B6258" w:rsidRPr="00E807B5" w:rsidRDefault="009B6258" w:rsidP="003B6EE4">
      <w:pPr>
        <w:spacing w:after="120"/>
        <w:ind w:firstLine="708"/>
        <w:rPr>
          <w:rFonts w:ascii="Arial" w:eastAsia="Calibri" w:hAnsi="Arial" w:cs="Arial"/>
          <w:color w:val="000000" w:themeColor="text1"/>
          <w:sz w:val="22"/>
        </w:rPr>
      </w:pPr>
      <w:r w:rsidRPr="00E807B5">
        <w:rPr>
          <w:rFonts w:ascii="Arial" w:hAnsi="Arial" w:cs="Arial"/>
          <w:color w:val="000000" w:themeColor="text1"/>
          <w:sz w:val="22"/>
        </w:rPr>
        <w:t>En desarrollo del artículo 355 de la Constitución, el Gobierno Nacional expidió el Decreto 92 de 2017, q</w:t>
      </w:r>
      <w:r w:rsidRPr="00E807B5">
        <w:rPr>
          <w:rFonts w:ascii="Arial" w:eastAsia="Calibri" w:hAnsi="Arial" w:cs="Arial"/>
          <w:color w:val="000000" w:themeColor="text1"/>
          <w:sz w:val="22"/>
        </w:rPr>
        <w:t xml:space="preserve">ue dispone las reglas para las contrataciones que realicen las entidades estatales con las ESAL. El Decreto regula dos eventos: i) los </w:t>
      </w:r>
      <w:r w:rsidRPr="00B0312C">
        <w:rPr>
          <w:rFonts w:ascii="Arial" w:eastAsia="Calibri" w:hAnsi="Arial" w:cs="Arial"/>
          <w:i/>
          <w:iCs/>
          <w:color w:val="000000" w:themeColor="text1"/>
          <w:sz w:val="22"/>
        </w:rPr>
        <w:t>contratos de colaboración</w:t>
      </w:r>
      <w:r w:rsidRPr="00E807B5">
        <w:rPr>
          <w:rFonts w:ascii="Arial" w:eastAsia="Calibri" w:hAnsi="Arial" w:cs="Arial"/>
          <w:color w:val="000000" w:themeColor="text1"/>
          <w:sz w:val="22"/>
        </w:rPr>
        <w:t xml:space="preserve"> o de interés público con el fin impulsar programas y actividades de interés público de acuerdo con el Plan Nacional o los planes seccionales de desarrollo, en los términos del artículo 355 de la Constitución Política; y ii) los </w:t>
      </w:r>
      <w:r w:rsidRPr="00B0312C">
        <w:rPr>
          <w:rFonts w:ascii="Arial" w:eastAsia="Calibri" w:hAnsi="Arial" w:cs="Arial"/>
          <w:i/>
          <w:iCs/>
          <w:color w:val="000000" w:themeColor="text1"/>
          <w:sz w:val="22"/>
        </w:rPr>
        <w:t>convenios de asociación</w:t>
      </w:r>
      <w:r w:rsidRPr="00E807B5">
        <w:rPr>
          <w:rFonts w:ascii="Arial" w:eastAsia="Calibri" w:hAnsi="Arial" w:cs="Arial"/>
          <w:color w:val="000000" w:themeColor="text1"/>
          <w:sz w:val="22"/>
        </w:rPr>
        <w:t xml:space="preserve">, para el desarrollo conjunto de actividades relacionadas con las funciones de las entidades estatales, en desarrollo del artículo 96 de la Ley 489 de 1998. Los primeros están regulados en el artículo 2 del Decreto 92 de 2017, </w:t>
      </w:r>
      <w:r w:rsidRPr="00E807B5">
        <w:rPr>
          <w:rFonts w:ascii="Arial" w:eastAsia="Calibri" w:hAnsi="Arial" w:cs="Arial"/>
          <w:color w:val="000000" w:themeColor="text1"/>
          <w:sz w:val="22"/>
        </w:rPr>
        <w:lastRenderedPageBreak/>
        <w:t xml:space="preserve">mientras que los segundos en los artículos 5, 6, 7 y 8 </w:t>
      </w:r>
      <w:r w:rsidRPr="00E807B5">
        <w:rPr>
          <w:rFonts w:ascii="Arial" w:eastAsia="Calibri" w:hAnsi="Arial" w:cs="Arial"/>
          <w:i/>
          <w:iCs/>
          <w:color w:val="000000" w:themeColor="text1"/>
          <w:sz w:val="22"/>
        </w:rPr>
        <w:t>ibidem</w:t>
      </w:r>
      <w:r w:rsidRPr="00E807B5">
        <w:rPr>
          <w:rFonts w:ascii="Arial" w:eastAsia="Calibri" w:hAnsi="Arial" w:cs="Arial"/>
          <w:color w:val="000000" w:themeColor="text1"/>
          <w:sz w:val="22"/>
        </w:rPr>
        <w:t xml:space="preserve">. Es posible diferenciar, pues, los </w:t>
      </w:r>
      <w:r w:rsidRPr="00E807B5">
        <w:rPr>
          <w:rFonts w:ascii="Arial" w:eastAsia="Calibri" w:hAnsi="Arial" w:cs="Arial"/>
          <w:i/>
          <w:iCs/>
          <w:color w:val="000000" w:themeColor="text1"/>
          <w:sz w:val="22"/>
        </w:rPr>
        <w:t>convenios de asociación</w:t>
      </w:r>
      <w:r w:rsidRPr="00E807B5">
        <w:rPr>
          <w:rFonts w:ascii="Arial" w:eastAsia="Calibri" w:hAnsi="Arial" w:cs="Arial"/>
          <w:color w:val="000000" w:themeColor="text1"/>
          <w:sz w:val="22"/>
        </w:rPr>
        <w:t xml:space="preserve">, regulados en el artículo 5, de los </w:t>
      </w:r>
      <w:r w:rsidRPr="00E807B5">
        <w:rPr>
          <w:rFonts w:ascii="Arial" w:eastAsia="Calibri" w:hAnsi="Arial" w:cs="Arial"/>
          <w:i/>
          <w:iCs/>
          <w:color w:val="000000" w:themeColor="text1"/>
          <w:sz w:val="22"/>
        </w:rPr>
        <w:t>contratos de colaboración</w:t>
      </w:r>
      <w:r w:rsidRPr="00E807B5">
        <w:rPr>
          <w:rFonts w:ascii="Arial" w:eastAsia="Calibri" w:hAnsi="Arial" w:cs="Arial"/>
          <w:color w:val="000000" w:themeColor="text1"/>
          <w:sz w:val="22"/>
        </w:rPr>
        <w:t>, establecidos en el artículo 2 del Decreto 92 de 2017</w:t>
      </w:r>
      <w:r w:rsidRPr="00E807B5">
        <w:rPr>
          <w:rStyle w:val="Refdenotaalpie"/>
          <w:rFonts w:ascii="Arial" w:eastAsia="Calibri" w:hAnsi="Arial" w:cs="Arial"/>
          <w:color w:val="000000" w:themeColor="text1"/>
          <w:sz w:val="22"/>
        </w:rPr>
        <w:footnoteReference w:id="57"/>
      </w:r>
      <w:r w:rsidRPr="00E807B5">
        <w:rPr>
          <w:rFonts w:ascii="Arial" w:eastAsia="Calibri" w:hAnsi="Arial" w:cs="Arial"/>
          <w:color w:val="000000" w:themeColor="text1"/>
          <w:sz w:val="22"/>
        </w:rPr>
        <w:t xml:space="preserve">. </w:t>
      </w:r>
    </w:p>
    <w:p w14:paraId="554B0B9B" w14:textId="77777777" w:rsidR="009B6258" w:rsidRPr="00E807B5" w:rsidRDefault="009B6258" w:rsidP="003B6EE4">
      <w:pPr>
        <w:spacing w:after="120"/>
        <w:ind w:firstLine="708"/>
        <w:rPr>
          <w:rFonts w:ascii="Arial" w:eastAsia="Calibri" w:hAnsi="Arial" w:cs="Arial"/>
          <w:color w:val="000000" w:themeColor="text1"/>
          <w:sz w:val="22"/>
        </w:rPr>
      </w:pPr>
      <w:r w:rsidRPr="00E807B5">
        <w:rPr>
          <w:rFonts w:ascii="Arial" w:eastAsia="Calibri" w:hAnsi="Arial" w:cs="Arial"/>
          <w:color w:val="000000" w:themeColor="text1"/>
          <w:sz w:val="22"/>
        </w:rPr>
        <w:t xml:space="preserve">Los </w:t>
      </w:r>
      <w:r w:rsidRPr="00E807B5">
        <w:rPr>
          <w:rFonts w:ascii="Arial" w:eastAsia="Calibri" w:hAnsi="Arial" w:cs="Arial"/>
          <w:i/>
          <w:iCs/>
          <w:color w:val="000000" w:themeColor="text1"/>
          <w:sz w:val="22"/>
        </w:rPr>
        <w:t xml:space="preserve">contratos de colaboración </w:t>
      </w:r>
      <w:r w:rsidRPr="00E807B5">
        <w:rPr>
          <w:rFonts w:ascii="Arial" w:eastAsia="Calibri" w:hAnsi="Arial" w:cs="Arial"/>
          <w:color w:val="000000" w:themeColor="text1"/>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B091CE4" w14:textId="77777777" w:rsidR="009B6258" w:rsidRPr="00E807B5" w:rsidRDefault="009B6258" w:rsidP="003B6EE4">
      <w:pPr>
        <w:pStyle w:val="Sinespaciado"/>
        <w:spacing w:after="120" w:line="276" w:lineRule="auto"/>
        <w:ind w:firstLine="708"/>
        <w:rPr>
          <w:rFonts w:ascii="Arial" w:hAnsi="Arial" w:cs="Arial"/>
          <w:color w:val="000000" w:themeColor="text1"/>
          <w:sz w:val="22"/>
        </w:rPr>
      </w:pPr>
      <w:r w:rsidRPr="00E807B5">
        <w:rPr>
          <w:rFonts w:ascii="Arial" w:hAnsi="Arial" w:cs="Arial"/>
          <w:color w:val="000000" w:themeColor="text1"/>
          <w:sz w:val="22"/>
        </w:rPr>
        <w:t xml:space="preserve">De otro lado, los </w:t>
      </w:r>
      <w:r w:rsidRPr="00E807B5">
        <w:rPr>
          <w:rFonts w:ascii="Arial" w:hAnsi="Arial" w:cs="Arial"/>
          <w:i/>
          <w:iCs/>
          <w:color w:val="000000" w:themeColor="text1"/>
          <w:sz w:val="22"/>
        </w:rPr>
        <w:t>convenios de asociación</w:t>
      </w:r>
      <w:r w:rsidRPr="00E807B5">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807B5">
        <w:rPr>
          <w:rStyle w:val="Refdenotaalpie"/>
          <w:rFonts w:ascii="Arial" w:hAnsi="Arial" w:cs="Arial"/>
          <w:color w:val="000000" w:themeColor="text1"/>
          <w:sz w:val="22"/>
        </w:rPr>
        <w:footnoteReference w:id="58"/>
      </w:r>
      <w:r w:rsidRPr="00E807B5">
        <w:rPr>
          <w:rFonts w:ascii="Arial" w:hAnsi="Arial" w:cs="Arial"/>
          <w:color w:val="000000" w:themeColor="text1"/>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w:t>
      </w:r>
      <w:r w:rsidRPr="00E807B5">
        <w:rPr>
          <w:rFonts w:ascii="Arial" w:hAnsi="Arial" w:cs="Arial"/>
          <w:color w:val="000000" w:themeColor="text1"/>
          <w:sz w:val="22"/>
        </w:rPr>
        <w:lastRenderedPageBreak/>
        <w:t xml:space="preserve">recursos en dinero para la ejecución de estas actividades, en una proporción no inferior al 30% del valor total del convenio. </w:t>
      </w:r>
    </w:p>
    <w:p w14:paraId="67A619A9" w14:textId="77777777" w:rsidR="009B6258" w:rsidRPr="00E807B5" w:rsidRDefault="009B6258" w:rsidP="003B6EE4">
      <w:pPr>
        <w:pStyle w:val="Sinespaciado"/>
        <w:spacing w:after="120" w:line="276" w:lineRule="auto"/>
        <w:ind w:firstLine="708"/>
        <w:rPr>
          <w:rFonts w:ascii="Arial" w:hAnsi="Arial" w:cs="Arial"/>
          <w:color w:val="000000" w:themeColor="text1"/>
          <w:sz w:val="22"/>
        </w:rPr>
      </w:pPr>
      <w:r w:rsidRPr="00E807B5">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6A33697E" w14:textId="77777777" w:rsidR="009B6258" w:rsidRPr="00E807B5" w:rsidRDefault="009B6258" w:rsidP="003B6EE4">
      <w:pPr>
        <w:pStyle w:val="Sinespaciado"/>
        <w:spacing w:after="120" w:line="276" w:lineRule="auto"/>
        <w:ind w:firstLine="708"/>
        <w:rPr>
          <w:rFonts w:ascii="Arial" w:eastAsia="Calibri" w:hAnsi="Arial" w:cs="Arial"/>
          <w:color w:val="000000" w:themeColor="text1"/>
          <w:sz w:val="22"/>
        </w:rPr>
      </w:pPr>
      <w:r w:rsidRPr="00E807B5">
        <w:rPr>
          <w:rFonts w:ascii="Arial" w:hAnsi="Arial" w:cs="Arial"/>
          <w:color w:val="000000" w:themeColor="text1"/>
          <w:sz w:val="22"/>
        </w:rPr>
        <w:t>L</w:t>
      </w:r>
      <w:r w:rsidRPr="00E807B5">
        <w:rPr>
          <w:rFonts w:ascii="Arial" w:eastAsia="Calibri" w:hAnsi="Arial" w:cs="Arial"/>
          <w:color w:val="000000" w:themeColor="text1"/>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E807B5">
        <w:rPr>
          <w:rStyle w:val="Refdenotaalpie"/>
          <w:rFonts w:ascii="Arial" w:eastAsia="Calibri" w:hAnsi="Arial" w:cs="Arial"/>
          <w:color w:val="000000" w:themeColor="text1"/>
          <w:sz w:val="22"/>
        </w:rPr>
        <w:footnoteReference w:id="59"/>
      </w:r>
      <w:r w:rsidRPr="00E807B5">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516305B4" w14:textId="279EA97C" w:rsidR="009B6258" w:rsidRPr="00E807B5" w:rsidRDefault="009B6258" w:rsidP="003B6EE4">
      <w:pPr>
        <w:pStyle w:val="Sinespaciado"/>
        <w:spacing w:after="120" w:line="276" w:lineRule="auto"/>
        <w:ind w:firstLine="708"/>
        <w:rPr>
          <w:rFonts w:ascii="Arial" w:eastAsia="Calibri" w:hAnsi="Arial" w:cs="Arial"/>
          <w:color w:val="000000" w:themeColor="text1"/>
          <w:sz w:val="22"/>
        </w:rPr>
      </w:pPr>
      <w:r w:rsidRPr="00E807B5">
        <w:rPr>
          <w:rFonts w:ascii="Arial" w:eastAsia="Calibri" w:hAnsi="Arial" w:cs="Arial"/>
          <w:color w:val="000000" w:themeColor="text1"/>
          <w:sz w:val="22"/>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w:t>
      </w:r>
      <w:r w:rsidR="00755DBC">
        <w:rPr>
          <w:rFonts w:ascii="Arial" w:eastAsia="Calibri" w:hAnsi="Arial" w:cs="Arial"/>
          <w:color w:val="000000" w:themeColor="text1"/>
          <w:sz w:val="22"/>
        </w:rPr>
        <w:t>pues</w:t>
      </w:r>
      <w:r w:rsidRPr="00E807B5">
        <w:rPr>
          <w:rFonts w:ascii="Arial" w:eastAsia="Calibri" w:hAnsi="Arial" w:cs="Arial"/>
          <w:color w:val="000000" w:themeColor="text1"/>
          <w:sz w:val="22"/>
        </w:rPr>
        <w:t xml:space="preserve"> de lo contrario deberá adelantarse un proceso competitivo.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w:t>
      </w:r>
      <w:r w:rsidRPr="00E807B5">
        <w:rPr>
          <w:rFonts w:ascii="Arial" w:eastAsia="Calibri" w:hAnsi="Arial" w:cs="Arial"/>
          <w:color w:val="000000" w:themeColor="text1"/>
          <w:sz w:val="22"/>
        </w:rPr>
        <w:lastRenderedPageBreak/>
        <w:t>30% de recursos en dinero para el convenio de asociación, debe seleccionar objetivamente con cual asociarse»</w:t>
      </w:r>
      <w:r w:rsidRPr="00E807B5">
        <w:rPr>
          <w:rStyle w:val="Refdenotaalpie"/>
          <w:rFonts w:ascii="Arial" w:eastAsia="Calibri" w:hAnsi="Arial" w:cs="Arial"/>
          <w:color w:val="000000" w:themeColor="text1"/>
          <w:sz w:val="22"/>
        </w:rPr>
        <w:footnoteReference w:id="60"/>
      </w:r>
      <w:r w:rsidRPr="00E807B5">
        <w:rPr>
          <w:rFonts w:ascii="Arial" w:eastAsia="Calibri" w:hAnsi="Arial" w:cs="Arial"/>
          <w:color w:val="000000" w:themeColor="text1"/>
          <w:sz w:val="22"/>
        </w:rPr>
        <w:t>.</w:t>
      </w:r>
    </w:p>
    <w:p w14:paraId="5EDE98B0" w14:textId="77777777" w:rsidR="009B6258" w:rsidRPr="00E807B5" w:rsidRDefault="009B6258" w:rsidP="003B6EE4">
      <w:pPr>
        <w:spacing w:after="120"/>
        <w:ind w:firstLine="708"/>
        <w:rPr>
          <w:rFonts w:ascii="Arial" w:hAnsi="Arial" w:cs="Arial"/>
          <w:color w:val="000000" w:themeColor="text1"/>
          <w:sz w:val="22"/>
        </w:rPr>
      </w:pPr>
      <w:r w:rsidRPr="00E807B5">
        <w:rPr>
          <w:rFonts w:ascii="Arial" w:hAnsi="Arial" w:cs="Arial"/>
          <w:color w:val="000000" w:themeColor="text1"/>
          <w:sz w:val="22"/>
        </w:rPr>
        <w:t xml:space="preserve">La noción «seleccionar de forma objetiva», contenida en la disposición </w:t>
      </w:r>
      <w:r w:rsidRPr="00E807B5">
        <w:rPr>
          <w:rFonts w:ascii="Arial" w:hAnsi="Arial" w:cs="Arial"/>
          <w:i/>
          <w:iCs/>
          <w:color w:val="000000" w:themeColor="text1"/>
          <w:sz w:val="22"/>
        </w:rPr>
        <w:t xml:space="preserve">sub examine </w:t>
      </w:r>
      <w:r w:rsidRPr="00E807B5">
        <w:rPr>
          <w:rFonts w:ascii="Arial" w:hAnsi="Arial" w:cs="Arial"/>
          <w:color w:val="000000" w:themeColor="text1"/>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1C949106" w14:textId="0CD8CF8B" w:rsidR="009B6258" w:rsidRPr="00E807B5" w:rsidRDefault="009B6258" w:rsidP="003B6EE4">
      <w:pPr>
        <w:spacing w:after="120"/>
        <w:ind w:firstLine="708"/>
        <w:textAlignment w:val="baseline"/>
        <w:rPr>
          <w:rFonts w:ascii="Arial" w:hAnsi="Arial" w:cs="Arial"/>
          <w:color w:val="000000" w:themeColor="text1"/>
          <w:sz w:val="22"/>
        </w:rPr>
      </w:pPr>
      <w:r w:rsidRPr="00E807B5">
        <w:rPr>
          <w:rFonts w:ascii="Arial" w:eastAsia="Arial" w:hAnsi="Arial" w:cs="Arial"/>
          <w:color w:val="000000" w:themeColor="text1"/>
          <w:sz w:val="22"/>
          <w:lang w:val="es-ES"/>
        </w:rPr>
        <w:t>En suma, las entidades estatales son autónomas en la configuración del proceso competitivo en desarrollo del artículo 5 del Decreto 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E807B5">
        <w:rPr>
          <w:rFonts w:ascii="Arial" w:hAnsi="Arial" w:cs="Arial"/>
          <w:color w:val="000000" w:themeColor="text1"/>
          <w:sz w:val="22"/>
        </w:rPr>
        <w:t>. </w:t>
      </w:r>
    </w:p>
    <w:p w14:paraId="0A8C5B0A" w14:textId="749EC4A2" w:rsidR="009B6258" w:rsidRPr="00E807B5" w:rsidRDefault="009B6258" w:rsidP="003B6EE4">
      <w:pPr>
        <w:spacing w:after="120"/>
        <w:ind w:firstLine="709"/>
        <w:rPr>
          <w:rFonts w:ascii="Arial" w:eastAsia="Calibri" w:hAnsi="Arial" w:cs="Arial"/>
          <w:color w:val="000000" w:themeColor="text1"/>
          <w:sz w:val="22"/>
        </w:rPr>
      </w:pPr>
      <w:r w:rsidRPr="00E807B5">
        <w:rPr>
          <w:rFonts w:ascii="Arial" w:hAnsi="Arial" w:cs="Arial"/>
          <w:color w:val="000000" w:themeColor="text1"/>
          <w:sz w:val="22"/>
        </w:rPr>
        <w:t>Ahora bien, e</w:t>
      </w:r>
      <w:r w:rsidRPr="00E807B5">
        <w:rPr>
          <w:rFonts w:ascii="Arial" w:eastAsia="Calibri" w:hAnsi="Arial" w:cs="Arial"/>
          <w:color w:val="000000" w:themeColor="text1"/>
          <w:sz w:val="22"/>
        </w:rPr>
        <w:t>l Consejo de Estado, en el Auto del 6 de agosto de 2019 de la Sección Tercera, Subsección A –Exp. 62.003–, estudió la solicitud de suspensión provisional</w:t>
      </w:r>
      <w:r w:rsidRPr="00E807B5">
        <w:rPr>
          <w:rStyle w:val="Refdenotaalpie"/>
          <w:rFonts w:ascii="Arial" w:eastAsia="Calibri" w:hAnsi="Arial" w:cs="Arial"/>
          <w:color w:val="000000" w:themeColor="text1"/>
          <w:sz w:val="22"/>
        </w:rPr>
        <w:footnoteReference w:id="61"/>
      </w:r>
      <w:r w:rsidRPr="00E807B5">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E807B5">
        <w:rPr>
          <w:rFonts w:ascii="Arial" w:eastAsia="Calibri" w:hAnsi="Arial" w:cs="Arial"/>
          <w:i/>
          <w:iCs/>
          <w:color w:val="000000" w:themeColor="text1"/>
          <w:sz w:val="22"/>
        </w:rPr>
        <w:t>convenio de asociación</w:t>
      </w:r>
      <w:r w:rsidRPr="00E807B5">
        <w:rPr>
          <w:rFonts w:ascii="Arial" w:eastAsia="Calibri" w:hAnsi="Arial" w:cs="Arial"/>
          <w:color w:val="000000" w:themeColor="text1"/>
          <w:sz w:val="22"/>
        </w:rPr>
        <w:t xml:space="preserve"> con ESAL de reconocida idoneidad para el </w:t>
      </w:r>
      <w:r w:rsidRPr="00E807B5">
        <w:rPr>
          <w:rFonts w:ascii="Arial" w:eastAsia="Calibri" w:hAnsi="Arial" w:cs="Arial"/>
          <w:color w:val="000000" w:themeColor="text1"/>
          <w:sz w:val="22"/>
        </w:rPr>
        <w:lastRenderedPageBreak/>
        <w:t xml:space="preserve">cumplimiento de las funciones que la ley les asigna a las entidades públicas, debe aplicarse lo dispuesto en el artículo 5 del Decreto 92 de 2017. </w:t>
      </w:r>
    </w:p>
    <w:p w14:paraId="20AB2C7B" w14:textId="15AB18DA" w:rsidR="00810CB8" w:rsidRDefault="009B6258" w:rsidP="003B6EE4">
      <w:pPr>
        <w:spacing w:after="120"/>
        <w:ind w:firstLine="708"/>
        <w:rPr>
          <w:rFonts w:ascii="Arial" w:eastAsia="Calibri" w:hAnsi="Arial" w:cs="Arial"/>
          <w:color w:val="000000" w:themeColor="text1"/>
          <w:sz w:val="22"/>
        </w:rPr>
      </w:pPr>
      <w:r w:rsidRPr="00E807B5">
        <w:rPr>
          <w:rFonts w:ascii="Arial" w:eastAsia="Calibri" w:hAnsi="Arial" w:cs="Arial"/>
          <w:color w:val="000000" w:themeColor="text1"/>
          <w:sz w:val="22"/>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E807B5">
        <w:rPr>
          <w:rStyle w:val="Refdenotaalpie"/>
          <w:rFonts w:ascii="Arial" w:hAnsi="Arial" w:cs="Arial"/>
          <w:color w:val="000000" w:themeColor="text1"/>
          <w:sz w:val="22"/>
        </w:rPr>
        <w:footnoteReference w:id="62"/>
      </w:r>
      <w:r w:rsidRPr="00E807B5">
        <w:rPr>
          <w:rFonts w:ascii="Arial" w:eastAsia="Calibri" w:hAnsi="Arial" w:cs="Arial"/>
          <w:color w:val="000000" w:themeColor="text1"/>
          <w:sz w:val="22"/>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w:t>
      </w:r>
      <w:r w:rsidR="00810CB8">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p>
    <w:p w14:paraId="4964DC07" w14:textId="064FCCF8" w:rsidR="009B6258" w:rsidRDefault="00810CB8" w:rsidP="003B6EE4">
      <w:pPr>
        <w:spacing w:after="120"/>
        <w:ind w:firstLine="708"/>
        <w:rPr>
          <w:rFonts w:ascii="Arial" w:eastAsia="Calibri" w:hAnsi="Arial" w:cs="Arial"/>
          <w:color w:val="000000" w:themeColor="text1"/>
          <w:sz w:val="22"/>
        </w:rPr>
      </w:pPr>
      <w:r>
        <w:rPr>
          <w:rFonts w:ascii="Arial" w:eastAsia="Calibri" w:hAnsi="Arial" w:cs="Arial"/>
          <w:color w:val="000000" w:themeColor="text1"/>
          <w:sz w:val="22"/>
        </w:rPr>
        <w:t>En contraste</w:t>
      </w:r>
      <w:r w:rsidR="009B6258">
        <w:rPr>
          <w:rFonts w:ascii="Arial" w:eastAsia="Calibri" w:hAnsi="Arial" w:cs="Arial"/>
          <w:color w:val="000000" w:themeColor="text1"/>
          <w:sz w:val="22"/>
        </w:rPr>
        <w:t>,</w:t>
      </w:r>
      <w:r>
        <w:rPr>
          <w:rFonts w:ascii="Arial" w:eastAsia="Calibri" w:hAnsi="Arial" w:cs="Arial"/>
          <w:color w:val="000000" w:themeColor="text1"/>
          <w:sz w:val="22"/>
        </w:rPr>
        <w:t xml:space="preserve"> para los </w:t>
      </w:r>
      <w:r w:rsidRPr="00810CB8">
        <w:rPr>
          <w:rFonts w:ascii="Arial" w:eastAsia="Calibri" w:hAnsi="Arial" w:cs="Arial"/>
          <w:i/>
          <w:iCs/>
          <w:color w:val="000000" w:themeColor="text1"/>
          <w:sz w:val="22"/>
        </w:rPr>
        <w:t>contratos de colaboración</w:t>
      </w:r>
      <w:r w:rsidR="009B6258">
        <w:rPr>
          <w:rFonts w:ascii="Arial" w:eastAsia="Calibri" w:hAnsi="Arial" w:cs="Arial"/>
          <w:color w:val="000000" w:themeColor="text1"/>
          <w:sz w:val="22"/>
        </w:rPr>
        <w:t xml:space="preserve"> </w:t>
      </w:r>
      <w:r>
        <w:rPr>
          <w:rFonts w:ascii="Arial" w:eastAsia="Calibri" w:hAnsi="Arial" w:cs="Arial"/>
          <w:color w:val="000000" w:themeColor="text1"/>
          <w:sz w:val="22"/>
        </w:rPr>
        <w:t>el procedimiento de selección es competitivo. Lo anterior teniendo en cuenta que, a través del auto citado, el Consejo de Estado suspendió provisionalmente el inciso final del artículo 4 del Decreto 92 de 20</w:t>
      </w:r>
      <w:r w:rsidR="00BF38C7">
        <w:rPr>
          <w:rFonts w:ascii="Arial" w:eastAsia="Calibri" w:hAnsi="Arial" w:cs="Arial"/>
          <w:color w:val="000000" w:themeColor="text1"/>
          <w:sz w:val="22"/>
        </w:rPr>
        <w:t>1</w:t>
      </w:r>
      <w:r>
        <w:rPr>
          <w:rFonts w:ascii="Arial" w:eastAsia="Calibri" w:hAnsi="Arial" w:cs="Arial"/>
          <w:color w:val="000000" w:themeColor="text1"/>
          <w:sz w:val="22"/>
        </w:rPr>
        <w:t>7, el cual disponía que «</w:t>
      </w:r>
      <w:r w:rsidRPr="00810CB8">
        <w:rPr>
          <w:rFonts w:ascii="Arial" w:eastAsia="Calibri" w:hAnsi="Arial" w:cs="Arial"/>
          <w:color w:val="000000" w:themeColor="text1"/>
          <w:sz w:val="22"/>
        </w:rPr>
        <w:t>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Pr>
          <w:rFonts w:ascii="Arial" w:eastAsia="Calibri" w:hAnsi="Arial" w:cs="Arial"/>
          <w:color w:val="000000" w:themeColor="text1"/>
          <w:sz w:val="22"/>
        </w:rPr>
        <w:t xml:space="preserve">. En este contexto, el procedimiento se adelantará con fundamento en los apartados </w:t>
      </w:r>
      <w:r w:rsidR="00FA0E3E">
        <w:rPr>
          <w:rFonts w:ascii="Arial" w:eastAsia="Calibri" w:hAnsi="Arial" w:cs="Arial"/>
          <w:color w:val="000000" w:themeColor="text1"/>
          <w:sz w:val="22"/>
        </w:rPr>
        <w:t xml:space="preserve">de la norma </w:t>
      </w:r>
      <w:r>
        <w:rPr>
          <w:rFonts w:ascii="Arial" w:eastAsia="Calibri" w:hAnsi="Arial" w:cs="Arial"/>
          <w:color w:val="000000" w:themeColor="text1"/>
          <w:sz w:val="22"/>
        </w:rPr>
        <w:t>que no fueron afectados por la medida cautelar</w:t>
      </w:r>
      <w:r w:rsidR="00FA0E3E">
        <w:rPr>
          <w:rStyle w:val="Refdenotaalpie"/>
          <w:rFonts w:ascii="Arial" w:eastAsia="Calibri" w:hAnsi="Arial" w:cs="Arial"/>
          <w:color w:val="000000" w:themeColor="text1"/>
          <w:sz w:val="22"/>
        </w:rPr>
        <w:footnoteReference w:id="63"/>
      </w:r>
      <w:r>
        <w:rPr>
          <w:rFonts w:ascii="Arial" w:eastAsia="Calibri" w:hAnsi="Arial" w:cs="Arial"/>
          <w:color w:val="000000" w:themeColor="text1"/>
          <w:sz w:val="22"/>
        </w:rPr>
        <w:t xml:space="preserve">. </w:t>
      </w:r>
      <w:r w:rsidR="009B6258">
        <w:rPr>
          <w:rFonts w:ascii="Arial" w:eastAsia="Calibri" w:hAnsi="Arial" w:cs="Arial"/>
          <w:color w:val="000000" w:themeColor="text1"/>
          <w:sz w:val="22"/>
        </w:rPr>
        <w:t xml:space="preserve"> </w:t>
      </w:r>
    </w:p>
    <w:p w14:paraId="453ACA72" w14:textId="3F4859D0" w:rsidR="00FA0E3E" w:rsidRPr="00B848E3" w:rsidRDefault="00403A30" w:rsidP="003B6EE4">
      <w:pPr>
        <w:spacing w:after="120"/>
        <w:ind w:firstLine="708"/>
        <w:rPr>
          <w:rFonts w:ascii="Arial" w:eastAsia="Calibri" w:hAnsi="Arial" w:cs="Arial"/>
          <w:color w:val="000000" w:themeColor="text1"/>
          <w:sz w:val="22"/>
        </w:rPr>
      </w:pPr>
      <w:r w:rsidRPr="00B848E3">
        <w:rPr>
          <w:rFonts w:ascii="Arial" w:eastAsia="Calibri" w:hAnsi="Arial" w:cs="Arial"/>
          <w:color w:val="000000" w:themeColor="text1"/>
          <w:sz w:val="22"/>
        </w:rPr>
        <w:lastRenderedPageBreak/>
        <w:t>En lo relativo al objeto de la consulta, los convenios entre las entidades territoriales y las instituciones culturales</w:t>
      </w:r>
      <w:r w:rsidR="00C40376" w:rsidRPr="00B848E3">
        <w:rPr>
          <w:rFonts w:ascii="Arial" w:eastAsia="Calibri" w:hAnsi="Arial" w:cs="Arial"/>
          <w:color w:val="000000" w:themeColor="text1"/>
          <w:sz w:val="22"/>
        </w:rPr>
        <w:t xml:space="preserve"> privadas</w:t>
      </w:r>
      <w:r w:rsidRPr="00B848E3">
        <w:rPr>
          <w:rFonts w:ascii="Arial" w:eastAsia="Calibri" w:hAnsi="Arial" w:cs="Arial"/>
          <w:color w:val="000000" w:themeColor="text1"/>
          <w:sz w:val="22"/>
        </w:rPr>
        <w:t xml:space="preserve"> sin ánimo de lucro tienen fundamento en el artículo 26 de la Ley 397 de 1997</w:t>
      </w:r>
      <w:r w:rsidR="00A3167C" w:rsidRPr="00B848E3">
        <w:rPr>
          <w:rFonts w:ascii="Arial" w:eastAsia="Calibri" w:hAnsi="Arial" w:cs="Arial"/>
          <w:color w:val="000000" w:themeColor="text1"/>
          <w:sz w:val="22"/>
        </w:rPr>
        <w:t>, «Por la cual se desarrollan los artículos </w:t>
      </w:r>
      <w:hyperlink r:id="rId12" w:history="1">
        <w:r w:rsidR="00A3167C" w:rsidRPr="00B848E3">
          <w:rPr>
            <w:rStyle w:val="Hipervnculo"/>
            <w:rFonts w:ascii="Arial" w:eastAsia="Calibri" w:hAnsi="Arial" w:cs="Arial"/>
            <w:color w:val="auto"/>
            <w:sz w:val="22"/>
            <w:u w:val="none"/>
          </w:rPr>
          <w:t>70</w:t>
        </w:r>
      </w:hyperlink>
      <w:r w:rsidR="00A3167C" w:rsidRPr="00B848E3">
        <w:rPr>
          <w:rFonts w:ascii="Arial" w:eastAsia="Calibri" w:hAnsi="Arial" w:cs="Arial"/>
          <w:sz w:val="22"/>
        </w:rPr>
        <w:t>, </w:t>
      </w:r>
      <w:hyperlink r:id="rId13" w:history="1">
        <w:r w:rsidR="00A3167C" w:rsidRPr="00B848E3">
          <w:rPr>
            <w:rStyle w:val="Hipervnculo"/>
            <w:rFonts w:ascii="Arial" w:eastAsia="Calibri" w:hAnsi="Arial" w:cs="Arial"/>
            <w:color w:val="auto"/>
            <w:sz w:val="22"/>
            <w:u w:val="none"/>
          </w:rPr>
          <w:t>71</w:t>
        </w:r>
      </w:hyperlink>
      <w:r w:rsidR="00A3167C" w:rsidRPr="00B848E3">
        <w:rPr>
          <w:rFonts w:ascii="Arial" w:eastAsia="Calibri" w:hAnsi="Arial" w:cs="Arial"/>
          <w:sz w:val="22"/>
        </w:rPr>
        <w:t> y </w:t>
      </w:r>
      <w:hyperlink r:id="rId14" w:history="1">
        <w:r w:rsidR="00A3167C" w:rsidRPr="00B848E3">
          <w:rPr>
            <w:rStyle w:val="Hipervnculo"/>
            <w:rFonts w:ascii="Arial" w:eastAsia="Calibri" w:hAnsi="Arial" w:cs="Arial"/>
            <w:color w:val="auto"/>
            <w:sz w:val="22"/>
            <w:u w:val="none"/>
          </w:rPr>
          <w:t>72</w:t>
        </w:r>
      </w:hyperlink>
      <w:r w:rsidR="00A3167C" w:rsidRPr="00B848E3">
        <w:rPr>
          <w:rFonts w:ascii="Arial" w:eastAsia="Calibri" w:hAnsi="Arial" w:cs="Arial"/>
          <w:color w:val="000000" w:themeColor="text1"/>
          <w:sz w:val="22"/>
        </w:rPr>
        <w:t> y demás artículos concordantes de la Constitución Política y se dictan normas sobre patrimonio cultural, fomentos y estímulos a la cultura, se crea el Ministerio de la Cultura y se trasladan algunas dependencias»</w:t>
      </w:r>
      <w:r w:rsidRPr="00B848E3">
        <w:rPr>
          <w:rFonts w:ascii="Arial" w:eastAsia="Calibri" w:hAnsi="Arial" w:cs="Arial"/>
          <w:color w:val="000000" w:themeColor="text1"/>
          <w:sz w:val="22"/>
        </w:rPr>
        <w:t>. De conformidad con esta disposición, «</w:t>
      </w:r>
      <w:r w:rsidR="004D1CE5" w:rsidRPr="00B848E3">
        <w:rPr>
          <w:rFonts w:ascii="Arial" w:eastAsia="Calibri" w:hAnsi="Arial" w:cs="Arial"/>
          <w:color w:val="000000" w:themeColor="text1"/>
          <w:sz w:val="22"/>
        </w:rPr>
        <w:t>El Ministerio de Cultura orientará y apoyará a las gobernaciones, las alcaldías municipales y distritales y a los cabildos indígenas en la realización de convenios con instituciones culturales sin ánimo de lucro que fomenten el arte y la cultura, con el objeto de rescatar, defender y promover el talento nacional, democratizar el acceso de las personas a los bienes, servicios y manifestaciones de la cultura y el arte con énfasis en el público infantil y juvenil, tercera edad y discapacitados físicos, psíquicos y sensoriales; así como consolidará las instituciones culturales y contribuirá a profundizar su relación interactuante con la comunidad</w:t>
      </w:r>
      <w:r w:rsidRPr="00B848E3">
        <w:rPr>
          <w:rFonts w:ascii="Arial" w:eastAsia="Calibri" w:hAnsi="Arial" w:cs="Arial"/>
          <w:color w:val="000000" w:themeColor="text1"/>
          <w:sz w:val="22"/>
        </w:rPr>
        <w:t>».</w:t>
      </w:r>
    </w:p>
    <w:p w14:paraId="6FDAD502" w14:textId="77777777" w:rsidR="006A3CF2" w:rsidRPr="00B848E3" w:rsidRDefault="004D1CE5" w:rsidP="003B6EE4">
      <w:pPr>
        <w:spacing w:after="120"/>
        <w:ind w:firstLine="708"/>
        <w:rPr>
          <w:rFonts w:ascii="Arial" w:eastAsia="Calibri" w:hAnsi="Arial" w:cs="Arial"/>
          <w:color w:val="000000" w:themeColor="text1"/>
          <w:sz w:val="22"/>
        </w:rPr>
      </w:pPr>
      <w:r w:rsidRPr="00B848E3">
        <w:rPr>
          <w:rFonts w:ascii="Arial" w:eastAsia="Calibri" w:hAnsi="Arial" w:cs="Arial"/>
          <w:color w:val="000000" w:themeColor="text1"/>
          <w:sz w:val="22"/>
        </w:rPr>
        <w:t xml:space="preserve">En concordancia con lo anterior, el </w:t>
      </w:r>
      <w:r w:rsidR="00A3167C" w:rsidRPr="00B848E3">
        <w:rPr>
          <w:rFonts w:ascii="Arial" w:eastAsia="Calibri" w:hAnsi="Arial" w:cs="Arial"/>
          <w:color w:val="000000" w:themeColor="text1"/>
          <w:sz w:val="22"/>
        </w:rPr>
        <w:t>artículo 5.4.3 del Decreto 1589 de 1998, «Por el cual se reglamenta el Sistema Nacional de Cultura-SNCu– y se dictan otras disposiciones»</w:t>
      </w:r>
      <w:r w:rsidR="00C20858" w:rsidRPr="00B848E3">
        <w:rPr>
          <w:rFonts w:ascii="Arial" w:eastAsia="Calibri" w:hAnsi="Arial" w:cs="Arial"/>
          <w:color w:val="000000" w:themeColor="text1"/>
          <w:sz w:val="22"/>
        </w:rPr>
        <w:t>, regula el subsistema de concertación. Para estos efectos, el artículo citado prescribe que «</w:t>
      </w:r>
      <w:r w:rsidR="00C20858" w:rsidRPr="00B848E3">
        <w:rPr>
          <w:rFonts w:ascii="Arial" w:hAnsi="Arial" w:cs="Arial"/>
          <w:color w:val="000000"/>
          <w:sz w:val="22"/>
        </w:rPr>
        <w:t>[…]</w:t>
      </w:r>
      <w:r w:rsidR="00C20858" w:rsidRPr="00B848E3">
        <w:rPr>
          <w:rFonts w:ascii="Verdana" w:hAnsi="Verdana"/>
          <w:color w:val="000000"/>
          <w:sz w:val="22"/>
        </w:rPr>
        <w:t xml:space="preserve"> </w:t>
      </w:r>
      <w:r w:rsidR="00C20858" w:rsidRPr="00B848E3">
        <w:rPr>
          <w:rFonts w:ascii="Arial" w:eastAsia="Calibri" w:hAnsi="Arial" w:cs="Arial"/>
          <w:color w:val="000000" w:themeColor="text1"/>
          <w:sz w:val="22"/>
        </w:rPr>
        <w:t xml:space="preserve">el Ministerio de Cultura impulsará programas y actividades de interés público acordes con el Plan Nacional de Cultura y los Planes Territoriales, dirigidos a rescatar, defender y promover el talento nacional; democratizar el acceso de todas las personas a los bienes, servicios y manifestaciones de la cultura y el arte, con énfasis en el público infantil y juvenil, tercera edad y discapacitados físicos, síquicos y sensoriales; consolidar las instituciones culturales y contribuir a profundizar su relación interactuante con la comunidad. Los Participantes del Subsistema Nacional de Concertación son: El Ministerio de Cultura, los entes territoriales y </w:t>
      </w:r>
      <w:bookmarkStart w:id="63" w:name="_Hlk93407494"/>
      <w:r w:rsidR="00C20858" w:rsidRPr="00B848E3">
        <w:rPr>
          <w:rFonts w:ascii="Arial" w:eastAsia="Calibri" w:hAnsi="Arial" w:cs="Arial"/>
          <w:color w:val="000000" w:themeColor="text1"/>
          <w:sz w:val="22"/>
        </w:rPr>
        <w:t xml:space="preserve">las </w:t>
      </w:r>
      <w:bookmarkStart w:id="64" w:name="_Hlk93397346"/>
      <w:r w:rsidR="00C20858" w:rsidRPr="00B848E3">
        <w:rPr>
          <w:rFonts w:ascii="Arial" w:eastAsia="Calibri" w:hAnsi="Arial" w:cs="Arial"/>
          <w:color w:val="000000" w:themeColor="text1"/>
          <w:sz w:val="22"/>
        </w:rPr>
        <w:t>entidades culturales privadas sin ánimo de lucro</w:t>
      </w:r>
      <w:bookmarkEnd w:id="63"/>
      <w:bookmarkEnd w:id="64"/>
      <w:r w:rsidR="00C20858" w:rsidRPr="00B848E3">
        <w:rPr>
          <w:rFonts w:ascii="Arial" w:eastAsia="Calibri" w:hAnsi="Arial" w:cs="Arial"/>
          <w:color w:val="000000" w:themeColor="text1"/>
          <w:sz w:val="22"/>
        </w:rPr>
        <w:t>».</w:t>
      </w:r>
      <w:r w:rsidR="006A3CF2" w:rsidRPr="00B848E3">
        <w:rPr>
          <w:rFonts w:ascii="Arial" w:eastAsia="Calibri" w:hAnsi="Arial" w:cs="Arial"/>
          <w:color w:val="000000" w:themeColor="text1"/>
          <w:sz w:val="22"/>
        </w:rPr>
        <w:t xml:space="preserve"> </w:t>
      </w:r>
    </w:p>
    <w:p w14:paraId="641DEEAD" w14:textId="49D89BBC" w:rsidR="004D1CE5" w:rsidRPr="00B848E3" w:rsidRDefault="006A3CF2" w:rsidP="003B6EE4">
      <w:pPr>
        <w:spacing w:after="120"/>
        <w:ind w:firstLine="708"/>
        <w:rPr>
          <w:rFonts w:ascii="Arial" w:eastAsia="Calibri" w:hAnsi="Arial" w:cs="Arial"/>
          <w:color w:val="000000" w:themeColor="text1"/>
          <w:sz w:val="22"/>
        </w:rPr>
      </w:pPr>
      <w:r w:rsidRPr="00B848E3">
        <w:rPr>
          <w:rFonts w:ascii="Arial" w:eastAsia="Calibri" w:hAnsi="Arial" w:cs="Arial"/>
          <w:color w:val="000000" w:themeColor="text1"/>
          <w:sz w:val="22"/>
        </w:rPr>
        <w:t>Para estos efectos</w:t>
      </w:r>
      <w:r w:rsidR="002E5EB7" w:rsidRPr="00B848E3">
        <w:rPr>
          <w:rFonts w:ascii="Arial" w:eastAsia="Calibri" w:hAnsi="Arial" w:cs="Arial"/>
          <w:color w:val="000000" w:themeColor="text1"/>
          <w:sz w:val="22"/>
        </w:rPr>
        <w:t>, también</w:t>
      </w:r>
      <w:r w:rsidRPr="00B848E3">
        <w:rPr>
          <w:rFonts w:ascii="Arial" w:eastAsia="Calibri" w:hAnsi="Arial" w:cs="Arial"/>
          <w:color w:val="000000" w:themeColor="text1"/>
          <w:sz w:val="22"/>
        </w:rPr>
        <w:t xml:space="preserve"> es importante tener en cuenta que, conforme al artículo 1.8 de la Ley 397 de 1997, «</w:t>
      </w:r>
      <w:r w:rsidRPr="00B848E3">
        <w:rPr>
          <w:rFonts w:ascii="Arial" w:hAnsi="Arial" w:cs="Arial"/>
          <w:color w:val="212529"/>
          <w:sz w:val="22"/>
          <w:shd w:val="clear" w:color="auto" w:fill="FFFFFF"/>
        </w:rPr>
        <w:t xml:space="preserve">[…] </w:t>
      </w:r>
      <w:r w:rsidRPr="00B848E3">
        <w:rPr>
          <w:rFonts w:ascii="Arial" w:eastAsia="Calibri" w:hAnsi="Arial" w:cs="Arial"/>
          <w:color w:val="000000" w:themeColor="text1"/>
          <w:sz w:val="22"/>
        </w:rPr>
        <w:t>El Plan Nacional de Desarrollo tendrá en cuenta el Plan Nacional de Cultura que formule el Gobierno […]». En concordancia con el artículo 5.3.2 del Decreto 1589 de 1998</w:t>
      </w:r>
      <w:r w:rsidR="007C3946" w:rsidRPr="00B848E3">
        <w:rPr>
          <w:rFonts w:ascii="Arial" w:eastAsia="Calibri" w:hAnsi="Arial" w:cs="Arial"/>
          <w:color w:val="000000" w:themeColor="text1"/>
          <w:sz w:val="22"/>
        </w:rPr>
        <w:t>, el proceso de planificación «Se orienta a la formulación de los Planes Territoriales de Cultura y del Plan Nacional de Cultura y su integración a los Planes de Desarrollo».</w:t>
      </w:r>
      <w:r w:rsidRPr="00B848E3">
        <w:rPr>
          <w:rFonts w:ascii="Arial" w:eastAsia="Calibri" w:hAnsi="Arial" w:cs="Arial"/>
          <w:color w:val="000000" w:themeColor="text1"/>
          <w:sz w:val="22"/>
        </w:rPr>
        <w:t xml:space="preserve"> </w:t>
      </w:r>
    </w:p>
    <w:p w14:paraId="2D0892AB" w14:textId="09EA8373" w:rsidR="006C2EB8" w:rsidRPr="00B848E3" w:rsidRDefault="006C2EB8" w:rsidP="003B6EE4">
      <w:pPr>
        <w:spacing w:after="120"/>
        <w:ind w:firstLine="708"/>
        <w:rPr>
          <w:rFonts w:ascii="Arial" w:eastAsia="Calibri" w:hAnsi="Arial" w:cs="Arial"/>
          <w:color w:val="000000" w:themeColor="text1"/>
          <w:sz w:val="22"/>
        </w:rPr>
      </w:pPr>
      <w:r w:rsidRPr="00B848E3">
        <w:rPr>
          <w:rFonts w:ascii="Arial" w:eastAsia="Calibri" w:hAnsi="Arial" w:cs="Arial"/>
          <w:color w:val="000000" w:themeColor="text1"/>
          <w:sz w:val="22"/>
        </w:rPr>
        <w:lastRenderedPageBreak/>
        <w:t xml:space="preserve">Para las restricciones </w:t>
      </w:r>
      <w:r w:rsidRPr="00B848E3">
        <w:rPr>
          <w:rFonts w:ascii="Arial" w:eastAsia="Calibri" w:hAnsi="Arial" w:cs="Arial"/>
          <w:sz w:val="22"/>
        </w:rPr>
        <w:t>de la Ley 996 de 2005</w:t>
      </w:r>
      <w:r w:rsidRPr="00B848E3">
        <w:rPr>
          <w:rFonts w:ascii="Arial" w:eastAsia="Calibri" w:hAnsi="Arial" w:cs="Arial"/>
          <w:color w:val="000000" w:themeColor="text1"/>
          <w:sz w:val="22"/>
        </w:rPr>
        <w:t xml:space="preserve">, las normas citadas anteriormente no </w:t>
      </w:r>
      <w:r w:rsidR="00006BE6" w:rsidRPr="00B848E3">
        <w:rPr>
          <w:rFonts w:ascii="Arial" w:eastAsia="Calibri" w:hAnsi="Arial" w:cs="Arial"/>
          <w:color w:val="000000" w:themeColor="text1"/>
          <w:sz w:val="22"/>
        </w:rPr>
        <w:t>establecen</w:t>
      </w:r>
      <w:r w:rsidRPr="00B848E3">
        <w:rPr>
          <w:rFonts w:ascii="Arial" w:eastAsia="Calibri" w:hAnsi="Arial" w:cs="Arial"/>
          <w:color w:val="000000" w:themeColor="text1"/>
          <w:sz w:val="22"/>
        </w:rPr>
        <w:t xml:space="preserve"> si estos convenios corresponden a la modalidad de contratación directa o se califican como contratos interadministrativos</w:t>
      </w:r>
      <w:r w:rsidR="00C40376" w:rsidRPr="00B848E3">
        <w:rPr>
          <w:rFonts w:ascii="Arial" w:eastAsia="Calibri" w:hAnsi="Arial" w:cs="Arial"/>
          <w:color w:val="000000" w:themeColor="text1"/>
          <w:sz w:val="22"/>
        </w:rPr>
        <w:t xml:space="preserve">. Por el contrario, solo disponen que </w:t>
      </w:r>
      <w:r w:rsidR="008534E9" w:rsidRPr="00B848E3">
        <w:rPr>
          <w:rFonts w:ascii="Arial" w:eastAsia="Calibri" w:hAnsi="Arial" w:cs="Arial"/>
          <w:color w:val="000000" w:themeColor="text1"/>
          <w:sz w:val="22"/>
        </w:rPr>
        <w:t>estos se celebran con entidades culturales privadas sin ánimo de lucro. En este contexto</w:t>
      </w:r>
      <w:r w:rsidR="008534E9" w:rsidRPr="00B848E3">
        <w:rPr>
          <w:rFonts w:ascii="Arial" w:eastAsia="Calibri" w:hAnsi="Arial" w:cs="Arial"/>
          <w:color w:val="000000" w:themeColor="text1"/>
          <w:sz w:val="22"/>
          <w:lang w:val="es-CO"/>
        </w:rPr>
        <w:t xml:space="preserve">, el procedimiento de selección y la tipología contractual de los convenios regulados en el </w:t>
      </w:r>
      <w:r w:rsidR="00CB6518" w:rsidRPr="00B848E3">
        <w:rPr>
          <w:rFonts w:ascii="Arial" w:eastAsia="Calibri" w:hAnsi="Arial" w:cs="Arial"/>
          <w:color w:val="000000" w:themeColor="text1"/>
          <w:sz w:val="22"/>
          <w:lang w:val="es-CO"/>
        </w:rPr>
        <w:t xml:space="preserve">artículo 26 de la Ley 397 de 1997 y </w:t>
      </w:r>
      <w:r w:rsidR="00CB6518" w:rsidRPr="00B848E3">
        <w:rPr>
          <w:rFonts w:ascii="Arial" w:eastAsia="Calibri" w:hAnsi="Arial" w:cs="Arial"/>
          <w:color w:val="000000" w:themeColor="text1"/>
          <w:sz w:val="22"/>
        </w:rPr>
        <w:t>el artículo 5.4.3 del Decreto 1589 de 1998</w:t>
      </w:r>
      <w:r w:rsidR="008534E9" w:rsidRPr="00B848E3">
        <w:rPr>
          <w:rFonts w:ascii="Arial" w:eastAsia="Calibri" w:hAnsi="Arial" w:cs="Arial"/>
          <w:color w:val="000000" w:themeColor="text1"/>
          <w:sz w:val="22"/>
          <w:lang w:val="es-CO"/>
        </w:rPr>
        <w:t xml:space="preserve"> corresponde a la del Decreto 92 de 2017</w:t>
      </w:r>
      <w:r w:rsidR="00CB6518" w:rsidRPr="00B848E3">
        <w:rPr>
          <w:rFonts w:ascii="Arial" w:eastAsia="Calibri" w:hAnsi="Arial" w:cs="Arial"/>
          <w:color w:val="000000" w:themeColor="text1"/>
          <w:sz w:val="22"/>
          <w:lang w:val="es-CO"/>
        </w:rPr>
        <w:t>.</w:t>
      </w:r>
      <w:r w:rsidR="008534E9" w:rsidRPr="00B848E3">
        <w:rPr>
          <w:rFonts w:ascii="Arial" w:eastAsia="Calibri" w:hAnsi="Arial" w:cs="Arial"/>
          <w:color w:val="000000" w:themeColor="text1"/>
          <w:sz w:val="22"/>
        </w:rPr>
        <w:t xml:space="preserve"> </w:t>
      </w:r>
    </w:p>
    <w:p w14:paraId="42CBD6AA" w14:textId="6E0481DC" w:rsidR="002400B3" w:rsidRPr="00B848E3" w:rsidRDefault="002400B3" w:rsidP="003B6EE4">
      <w:pPr>
        <w:spacing w:after="120"/>
        <w:ind w:firstLine="709"/>
        <w:rPr>
          <w:rFonts w:ascii="Arial" w:eastAsia="Calibri" w:hAnsi="Arial" w:cs="Arial"/>
          <w:color w:val="000000" w:themeColor="text1"/>
          <w:sz w:val="22"/>
        </w:rPr>
      </w:pPr>
      <w:r w:rsidRPr="00B848E3">
        <w:rPr>
          <w:rFonts w:ascii="Arial" w:eastAsia="Calibri" w:hAnsi="Arial" w:cs="Arial"/>
          <w:color w:val="000000" w:themeColor="text1"/>
          <w:sz w:val="22"/>
        </w:rPr>
        <w:t>De esta manera,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B848E3">
        <w:rPr>
          <w:rStyle w:val="Refdenotaalpie"/>
          <w:rFonts w:ascii="Arial" w:eastAsia="Calibri" w:hAnsi="Arial" w:cs="Arial"/>
          <w:color w:val="000000" w:themeColor="text1"/>
          <w:sz w:val="22"/>
        </w:rPr>
        <w:footnoteReference w:id="64"/>
      </w:r>
      <w:r w:rsidRPr="00B848E3">
        <w:rPr>
          <w:rFonts w:ascii="Arial" w:eastAsia="Calibri" w:hAnsi="Arial" w:cs="Arial"/>
          <w:color w:val="000000" w:themeColor="text1"/>
          <w:sz w:val="22"/>
        </w:rPr>
        <w:t>.</w:t>
      </w:r>
      <w:r w:rsidRPr="00B848E3">
        <w:rPr>
          <w:rFonts w:ascii="Arial" w:eastAsia="Calibri" w:hAnsi="Arial" w:cs="Arial"/>
          <w:color w:val="000000" w:themeColor="text1"/>
          <w:sz w:val="21"/>
          <w:szCs w:val="21"/>
        </w:rPr>
        <w:t xml:space="preserve"> </w:t>
      </w:r>
    </w:p>
    <w:p w14:paraId="20F70FE0" w14:textId="0B71C1E0" w:rsidR="002400B3" w:rsidRPr="00B848E3" w:rsidRDefault="002400B3" w:rsidP="003B6EE4">
      <w:pPr>
        <w:spacing w:after="120"/>
        <w:rPr>
          <w:rFonts w:ascii="Arial" w:eastAsia="Calibri" w:hAnsi="Arial" w:cs="Arial"/>
          <w:color w:val="000000" w:themeColor="text1"/>
          <w:sz w:val="22"/>
        </w:rPr>
      </w:pPr>
      <w:r w:rsidRPr="00B848E3">
        <w:rPr>
          <w:rFonts w:ascii="Arial" w:eastAsia="Calibri" w:hAnsi="Arial" w:cs="Arial"/>
          <w:color w:val="000000" w:themeColor="text1"/>
          <w:sz w:val="22"/>
        </w:rPr>
        <w:tab/>
        <w:t xml:space="preserve">En contraste, la restricción citada no aplicaría a los </w:t>
      </w:r>
      <w:r w:rsidRPr="00B848E3">
        <w:rPr>
          <w:rFonts w:ascii="Arial" w:eastAsia="Calibri" w:hAnsi="Arial" w:cs="Arial"/>
          <w:i/>
          <w:iCs/>
          <w:color w:val="000000" w:themeColor="text1"/>
          <w:sz w:val="22"/>
        </w:rPr>
        <w:t>contratos de colaboración</w:t>
      </w:r>
      <w:r w:rsidRPr="00B848E3">
        <w:rPr>
          <w:rFonts w:ascii="Arial" w:eastAsia="Calibri" w:hAnsi="Arial" w:cs="Arial"/>
          <w:color w:val="000000" w:themeColor="text1"/>
          <w:sz w:val="22"/>
        </w:rPr>
        <w:t xml:space="preserve"> o los </w:t>
      </w:r>
      <w:r w:rsidRPr="00B848E3">
        <w:rPr>
          <w:rFonts w:ascii="Arial" w:eastAsia="Calibri" w:hAnsi="Arial" w:cs="Arial"/>
          <w:i/>
          <w:iCs/>
          <w:color w:val="000000" w:themeColor="text1"/>
          <w:sz w:val="22"/>
        </w:rPr>
        <w:t>convenios de asociación</w:t>
      </w:r>
      <w:r w:rsidRPr="00B848E3">
        <w:rPr>
          <w:rFonts w:ascii="Arial" w:eastAsia="Calibri" w:hAnsi="Arial" w:cs="Arial"/>
          <w:color w:val="000000" w:themeColor="text1"/>
          <w:sz w:val="22"/>
        </w:rPr>
        <w:t xml:space="preserve"> que celebren las entidades territoriales y </w:t>
      </w:r>
      <w:r w:rsidR="00FA4CDC" w:rsidRPr="00B848E3">
        <w:rPr>
          <w:rFonts w:ascii="Arial" w:eastAsia="Calibri" w:hAnsi="Arial" w:cs="Arial"/>
          <w:color w:val="000000" w:themeColor="text1"/>
          <w:sz w:val="22"/>
        </w:rPr>
        <w:t>entidades culturales privadas sin ánimo de lucro</w:t>
      </w:r>
      <w:r w:rsidRPr="00B848E3">
        <w:rPr>
          <w:rFonts w:ascii="Arial" w:eastAsia="Calibri" w:hAnsi="Arial" w:cs="Arial"/>
          <w:color w:val="000000" w:themeColor="text1"/>
          <w:sz w:val="22"/>
        </w:rPr>
        <w:t xml:space="preserve"> bajo el procedimiento competitivo, pues este supone la pluralidad de oferentes y la selección objetiva del contratista. Conforme al artículo 5 del Decreto 92 de 2017, esta es la regla general</w:t>
      </w:r>
      <w:r w:rsidR="00FF773A" w:rsidRPr="00B848E3">
        <w:rPr>
          <w:rFonts w:ascii="Arial" w:eastAsia="Calibri" w:hAnsi="Arial" w:cs="Arial"/>
          <w:color w:val="000000" w:themeColor="text1"/>
          <w:sz w:val="22"/>
        </w:rPr>
        <w:t xml:space="preserve"> para los </w:t>
      </w:r>
      <w:r w:rsidR="00FF773A" w:rsidRPr="00B848E3">
        <w:rPr>
          <w:rFonts w:ascii="Arial" w:eastAsia="Calibri" w:hAnsi="Arial" w:cs="Arial"/>
          <w:i/>
          <w:iCs/>
          <w:color w:val="000000" w:themeColor="text1"/>
          <w:sz w:val="22"/>
        </w:rPr>
        <w:t>convenios de asociación</w:t>
      </w:r>
      <w:r w:rsidRPr="00B848E3">
        <w:rPr>
          <w:rFonts w:ascii="Arial" w:eastAsia="Calibri" w:hAnsi="Arial" w:cs="Arial"/>
          <w:color w:val="000000" w:themeColor="text1"/>
          <w:sz w:val="22"/>
        </w:rPr>
        <w:t>, salvo en aquellos casos en que una entidad sin ánimo de lucro comprometa recursos en dinero por un valor igual o superior al 30% del valor total del convenio, siempre que la entidad estatal verifique previamente que no existe ninguna otra ESAL que ofrezca aportes iguales o superiores a dicho porcentaje. Por ello,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00FA4CDC" w:rsidRPr="00B848E3">
        <w:rPr>
          <w:rFonts w:ascii="Arial" w:eastAsia="Calibri" w:hAnsi="Arial" w:cs="Arial"/>
          <w:color w:val="000000" w:themeColor="text1"/>
          <w:sz w:val="22"/>
        </w:rPr>
        <w:t xml:space="preserve"> </w:t>
      </w:r>
      <w:r w:rsidR="00BF38C7" w:rsidRPr="00B848E3">
        <w:rPr>
          <w:rFonts w:ascii="Arial" w:eastAsia="Calibri" w:hAnsi="Arial" w:cs="Arial"/>
          <w:color w:val="000000" w:themeColor="text1"/>
          <w:sz w:val="22"/>
        </w:rPr>
        <w:t xml:space="preserve">Lo anterior sin perjuicio de lo explicado </w:t>
      </w:r>
      <w:r w:rsidR="00FF773A" w:rsidRPr="00B848E3">
        <w:rPr>
          <w:rFonts w:ascii="Arial" w:eastAsia="Calibri" w:hAnsi="Arial" w:cs="Arial"/>
          <w:color w:val="000000" w:themeColor="text1"/>
          <w:sz w:val="22"/>
        </w:rPr>
        <w:t>anteriormente</w:t>
      </w:r>
      <w:r w:rsidR="00BF38C7" w:rsidRPr="00B848E3">
        <w:rPr>
          <w:rFonts w:ascii="Arial" w:eastAsia="Calibri" w:hAnsi="Arial" w:cs="Arial"/>
          <w:color w:val="000000" w:themeColor="text1"/>
          <w:sz w:val="22"/>
        </w:rPr>
        <w:t xml:space="preserve"> para los </w:t>
      </w:r>
      <w:r w:rsidR="00BF38C7" w:rsidRPr="00B848E3">
        <w:rPr>
          <w:rFonts w:ascii="Arial" w:eastAsia="Calibri" w:hAnsi="Arial" w:cs="Arial"/>
          <w:i/>
          <w:iCs/>
          <w:color w:val="000000" w:themeColor="text1"/>
          <w:sz w:val="22"/>
        </w:rPr>
        <w:t>contratos de colaboración</w:t>
      </w:r>
      <w:r w:rsidR="00BF38C7" w:rsidRPr="00B848E3">
        <w:rPr>
          <w:rFonts w:ascii="Arial" w:eastAsia="Calibri" w:hAnsi="Arial" w:cs="Arial"/>
          <w:color w:val="000000" w:themeColor="text1"/>
          <w:sz w:val="22"/>
        </w:rPr>
        <w:t xml:space="preserve"> en virtud de la suspensión provisional del inciso final del artículo 4 del Decreto 92 de 2017. </w:t>
      </w:r>
    </w:p>
    <w:p w14:paraId="1B434565" w14:textId="599D561F" w:rsidR="009C375E" w:rsidRPr="00B848E3" w:rsidRDefault="009C375E" w:rsidP="003B6EE4">
      <w:pPr>
        <w:spacing w:after="120"/>
        <w:ind w:firstLine="709"/>
        <w:rPr>
          <w:rFonts w:ascii="Arial" w:eastAsia="Calibri" w:hAnsi="Arial" w:cs="Arial"/>
          <w:color w:val="000000" w:themeColor="text1"/>
          <w:sz w:val="22"/>
          <w:lang w:val="es-ES_tradnl"/>
        </w:rPr>
      </w:pPr>
      <w:r w:rsidRPr="00B848E3">
        <w:rPr>
          <w:rFonts w:ascii="Arial" w:eastAsia="Calibri" w:hAnsi="Arial" w:cs="Arial"/>
          <w:color w:val="000000" w:themeColor="text1"/>
          <w:sz w:val="22"/>
        </w:rPr>
        <w:lastRenderedPageBreak/>
        <w:t xml:space="preserve">Por otra parte, considerando la naturaleza jurídica de las partes, los convenios </w:t>
      </w:r>
      <w:bookmarkStart w:id="65" w:name="_Hlk93407688"/>
      <w:r w:rsidRPr="00B848E3">
        <w:rPr>
          <w:rFonts w:ascii="Arial" w:eastAsia="Calibri" w:hAnsi="Arial" w:cs="Arial"/>
          <w:color w:val="000000" w:themeColor="text1"/>
          <w:sz w:val="22"/>
        </w:rPr>
        <w:t xml:space="preserve">del </w:t>
      </w:r>
      <w:r w:rsidR="002F3CF5" w:rsidRPr="00B848E3">
        <w:rPr>
          <w:rFonts w:ascii="Arial" w:eastAsia="Calibri" w:hAnsi="Arial" w:cs="Arial"/>
          <w:color w:val="000000" w:themeColor="text1"/>
          <w:sz w:val="22"/>
          <w:lang w:val="es-CO"/>
        </w:rPr>
        <w:t>artículo 26 de la Ley 397 de 1997 y el</w:t>
      </w:r>
      <w:r w:rsidR="002F3CF5" w:rsidRPr="00B848E3">
        <w:rPr>
          <w:rFonts w:ascii="Arial" w:eastAsia="Calibri" w:hAnsi="Arial" w:cs="Arial"/>
          <w:color w:val="000000" w:themeColor="text1"/>
          <w:sz w:val="22"/>
        </w:rPr>
        <w:t xml:space="preserve"> artículo 5.4.3 del Decreto 1589 de 1998</w:t>
      </w:r>
      <w:bookmarkEnd w:id="65"/>
      <w:r w:rsidRPr="00B848E3">
        <w:rPr>
          <w:rFonts w:ascii="Arial" w:eastAsia="Calibri" w:hAnsi="Arial" w:cs="Arial"/>
          <w:color w:val="000000" w:themeColor="text1"/>
          <w:sz w:val="22"/>
        </w:rPr>
        <w:t xml:space="preserve"> entre las entidades territoriales y las </w:t>
      </w:r>
      <w:r w:rsidR="002F3CF5" w:rsidRPr="00B848E3">
        <w:rPr>
          <w:rFonts w:ascii="Arial" w:eastAsia="Calibri" w:hAnsi="Arial" w:cs="Arial"/>
          <w:color w:val="000000" w:themeColor="text1"/>
          <w:sz w:val="22"/>
        </w:rPr>
        <w:t>entidades culturales privadas sin ánimo de lucro</w:t>
      </w:r>
      <w:r w:rsidRPr="00B848E3">
        <w:rPr>
          <w:rFonts w:ascii="Arial" w:eastAsia="Calibri" w:hAnsi="Arial" w:cs="Arial"/>
          <w:color w:val="000000" w:themeColor="text1"/>
          <w:sz w:val="22"/>
        </w:rPr>
        <w:t xml:space="preserve"> </w:t>
      </w:r>
      <w:r w:rsidR="002F3CF5" w:rsidRPr="00B848E3">
        <w:rPr>
          <w:rFonts w:ascii="Arial" w:eastAsia="Calibri" w:hAnsi="Arial" w:cs="Arial"/>
          <w:color w:val="000000" w:themeColor="text1"/>
          <w:sz w:val="22"/>
        </w:rPr>
        <w:t xml:space="preserve">tampoco </w:t>
      </w:r>
      <w:r w:rsidRPr="00B848E3">
        <w:rPr>
          <w:rFonts w:ascii="Arial" w:eastAsia="Calibri" w:hAnsi="Arial" w:cs="Arial"/>
          <w:color w:val="000000" w:themeColor="text1"/>
          <w:sz w:val="22"/>
        </w:rPr>
        <w:t xml:space="preserve">se calificarían como contratos interadministrativos. </w:t>
      </w:r>
      <w:r w:rsidRPr="00B848E3">
        <w:rPr>
          <w:rFonts w:ascii="Arial" w:eastAsia="Calibri" w:hAnsi="Arial" w:cs="Arial"/>
          <w:color w:val="000000" w:themeColor="text1"/>
          <w:sz w:val="22"/>
          <w:lang w:val="es-ES_tradnl"/>
        </w:rPr>
        <w:t>Al respecto, esta última tipología contractual fue creada en la Ley 80 de 1993 y, aunque no la definió ni desarrolló, el Decreto 1082 de 2015 califica a los convenios o contratos interadministrativos como aquella contratación entre entidades estatales</w:t>
      </w:r>
      <w:r w:rsidRPr="00B848E3">
        <w:rPr>
          <w:rStyle w:val="Refdenotaalpie"/>
          <w:rFonts w:ascii="Arial" w:eastAsia="Calibri" w:hAnsi="Arial" w:cs="Arial"/>
          <w:color w:val="000000" w:themeColor="text1"/>
          <w:sz w:val="22"/>
          <w:lang w:val="es-ES_tradnl"/>
        </w:rPr>
        <w:footnoteReference w:id="65"/>
      </w:r>
      <w:r w:rsidRPr="00B848E3">
        <w:rPr>
          <w:rFonts w:ascii="Arial" w:eastAsia="Calibri" w:hAnsi="Arial" w:cs="Arial"/>
          <w:color w:val="000000" w:themeColor="text1"/>
          <w:sz w:val="22"/>
          <w:lang w:val="es-ES_tradnl"/>
        </w:rPr>
        <w:t>.</w:t>
      </w:r>
      <w:r w:rsidRPr="00B848E3">
        <w:rPr>
          <w:rFonts w:ascii="Arial" w:hAnsi="Arial" w:cs="Arial"/>
          <w:color w:val="000000" w:themeColor="text1"/>
          <w:sz w:val="22"/>
          <w:lang w:val="es-ES_tradnl"/>
        </w:rPr>
        <w:t xml:space="preserve"> </w:t>
      </w:r>
      <w:r w:rsidRPr="00B848E3">
        <w:rPr>
          <w:rFonts w:ascii="Arial" w:eastAsia="Calibri" w:hAnsi="Arial" w:cs="Arial"/>
          <w:color w:val="000000" w:themeColor="text1"/>
          <w:sz w:val="22"/>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p>
    <w:p w14:paraId="2EB2320D" w14:textId="21C1FCDE" w:rsidR="00264924" w:rsidRPr="00B848E3" w:rsidRDefault="004F4394" w:rsidP="00B0312C">
      <w:pPr>
        <w:spacing w:before="120" w:after="0"/>
        <w:ind w:firstLine="709"/>
        <w:rPr>
          <w:rFonts w:ascii="Arial" w:eastAsia="Calibri" w:hAnsi="Arial" w:cs="Arial"/>
          <w:color w:val="000000" w:themeColor="text1"/>
          <w:sz w:val="22"/>
        </w:rPr>
      </w:pPr>
      <w:r w:rsidRPr="00B848E3">
        <w:rPr>
          <w:rFonts w:ascii="Arial" w:eastAsia="Calibri" w:hAnsi="Arial" w:cs="Arial"/>
          <w:color w:val="000000" w:themeColor="text1"/>
          <w:sz w:val="22"/>
          <w:lang w:val="es-ES_tradnl"/>
        </w:rPr>
        <w:t>De esta manera</w:t>
      </w:r>
      <w:r w:rsidR="009C375E" w:rsidRPr="00B848E3">
        <w:rPr>
          <w:rFonts w:ascii="Arial" w:eastAsia="Calibri" w:hAnsi="Arial" w:cs="Arial"/>
          <w:color w:val="000000" w:themeColor="text1"/>
          <w:sz w:val="22"/>
          <w:lang w:val="es-ES_tradnl"/>
        </w:rPr>
        <w:t xml:space="preserve">, los convenios objeto de consulta no corresponden a la categoría </w:t>
      </w:r>
      <w:r w:rsidR="009C375E" w:rsidRPr="00B848E3">
        <w:rPr>
          <w:rFonts w:ascii="Arial" w:eastAsia="Calibri" w:hAnsi="Arial" w:cs="Arial"/>
          <w:color w:val="000000" w:themeColor="text1"/>
          <w:sz w:val="22"/>
        </w:rPr>
        <w:t>definida en el 2.2.1.2.1.4.4 del Decreto 1082 de 2015</w:t>
      </w:r>
      <w:r w:rsidR="009C375E" w:rsidRPr="00B848E3">
        <w:rPr>
          <w:rFonts w:ascii="Arial" w:eastAsia="Calibri" w:hAnsi="Arial" w:cs="Arial"/>
          <w:color w:val="000000" w:themeColor="text1"/>
          <w:sz w:val="22"/>
          <w:lang w:val="es-ES_tradnl"/>
        </w:rPr>
        <w:t>, pues no implica una contratación entre autoridades del Estado sino un negocio jurídico entre una entidad territorial y una persona jurídica de derecho privado sin ánimo de lucro</w:t>
      </w:r>
      <w:r w:rsidR="009C375E" w:rsidRPr="00B848E3">
        <w:rPr>
          <w:rFonts w:ascii="Arial" w:eastAsia="Calibri" w:hAnsi="Arial" w:cs="Arial"/>
          <w:color w:val="000000" w:themeColor="text1"/>
          <w:sz w:val="22"/>
        </w:rPr>
        <w:t xml:space="preserve">. Por tanto, los convenios </w:t>
      </w:r>
      <w:r w:rsidR="00B0312C" w:rsidRPr="00B848E3">
        <w:rPr>
          <w:rFonts w:ascii="Arial" w:eastAsia="Calibri" w:hAnsi="Arial" w:cs="Arial"/>
          <w:color w:val="000000" w:themeColor="text1"/>
          <w:sz w:val="22"/>
        </w:rPr>
        <w:t>del artículo 26 de la Ley 397 de 1997 y el artículo 5.4.3 del Decreto 1589 de 1998</w:t>
      </w:r>
      <w:r w:rsidR="009C375E" w:rsidRPr="00B848E3">
        <w:rPr>
          <w:rFonts w:ascii="Arial" w:eastAsia="Calibri" w:hAnsi="Arial" w:cs="Arial"/>
          <w:color w:val="000000" w:themeColor="text1"/>
          <w:sz w:val="22"/>
        </w:rPr>
        <w:t xml:space="preserve"> entre las entidades territoriales y las </w:t>
      </w:r>
      <w:r w:rsidR="00B0312C" w:rsidRPr="00B848E3">
        <w:rPr>
          <w:rFonts w:ascii="Arial" w:eastAsia="Calibri" w:hAnsi="Arial" w:cs="Arial"/>
          <w:color w:val="000000" w:themeColor="text1"/>
          <w:sz w:val="22"/>
        </w:rPr>
        <w:t>entidades culturales privadas sin ánimo de lucro</w:t>
      </w:r>
      <w:r w:rsidR="009C375E" w:rsidRPr="00B848E3">
        <w:rPr>
          <w:rFonts w:ascii="Arial" w:eastAsia="Calibri" w:hAnsi="Arial" w:cs="Arial"/>
          <w:color w:val="000000" w:themeColor="text1"/>
          <w:sz w:val="22"/>
        </w:rPr>
        <w:t xml:space="preserve"> no está</w:t>
      </w:r>
      <w:r w:rsidR="00B0312C" w:rsidRPr="00B848E3">
        <w:rPr>
          <w:rFonts w:ascii="Arial" w:eastAsia="Calibri" w:hAnsi="Arial" w:cs="Arial"/>
          <w:color w:val="000000" w:themeColor="text1"/>
          <w:sz w:val="22"/>
        </w:rPr>
        <w:t>n</w:t>
      </w:r>
      <w:r w:rsidR="009C375E" w:rsidRPr="00B848E3">
        <w:rPr>
          <w:rFonts w:ascii="Arial" w:eastAsia="Calibri" w:hAnsi="Arial" w:cs="Arial"/>
          <w:color w:val="000000" w:themeColor="text1"/>
          <w:sz w:val="22"/>
        </w:rPr>
        <w:t xml:space="preserve"> dentro de la restricción del artículo 38 de la Ley de Garantías,</w:t>
      </w:r>
      <w:r w:rsidR="00B0312C" w:rsidRPr="00B848E3">
        <w:rPr>
          <w:rFonts w:ascii="Arial" w:eastAsia="Calibri" w:hAnsi="Arial" w:cs="Arial"/>
          <w:color w:val="000000" w:themeColor="text1"/>
          <w:sz w:val="22"/>
        </w:rPr>
        <w:t xml:space="preserve"> modificado transitoriamente por el artículo 124 de la Ley de Presupuesto,</w:t>
      </w:r>
      <w:r w:rsidR="009C375E" w:rsidRPr="00B848E3">
        <w:rPr>
          <w:rFonts w:ascii="Arial" w:eastAsia="Calibri" w:hAnsi="Arial" w:cs="Arial"/>
          <w:color w:val="000000" w:themeColor="text1"/>
          <w:sz w:val="22"/>
        </w:rPr>
        <w:t xml:space="preserve"> </w:t>
      </w:r>
      <w:r w:rsidR="00B0312C" w:rsidRPr="00B848E3">
        <w:rPr>
          <w:rFonts w:ascii="Arial" w:eastAsia="Calibri" w:hAnsi="Arial" w:cs="Arial"/>
          <w:color w:val="000000" w:themeColor="text1"/>
          <w:sz w:val="22"/>
        </w:rPr>
        <w:t>ya que</w:t>
      </w:r>
      <w:r w:rsidR="009C375E" w:rsidRPr="00B848E3">
        <w:rPr>
          <w:rFonts w:ascii="Arial" w:eastAsia="Calibri" w:hAnsi="Arial" w:cs="Arial"/>
          <w:color w:val="000000" w:themeColor="text1"/>
          <w:sz w:val="22"/>
        </w:rPr>
        <w:t xml:space="preserve"> –de acuerdo con la calidad de las partes– no corresponden a la tipología de contratos o convenios interadministrativos.</w:t>
      </w:r>
    </w:p>
    <w:p w14:paraId="0384BA85" w14:textId="77777777" w:rsidR="00B0312C" w:rsidRPr="00B848E3" w:rsidRDefault="00B0312C" w:rsidP="00B0312C">
      <w:pPr>
        <w:spacing w:after="0"/>
        <w:ind w:firstLine="709"/>
        <w:rPr>
          <w:rFonts w:ascii="Arial" w:eastAsia="Calibri" w:hAnsi="Arial" w:cs="Arial"/>
          <w:color w:val="000000" w:themeColor="text1"/>
          <w:sz w:val="22"/>
        </w:rPr>
      </w:pPr>
    </w:p>
    <w:p w14:paraId="52ACB68C" w14:textId="65210C65" w:rsidR="001C1A26" w:rsidRPr="00B848E3" w:rsidRDefault="00231E50" w:rsidP="00264924">
      <w:pPr>
        <w:spacing w:after="0"/>
        <w:rPr>
          <w:rFonts w:ascii="Arial" w:eastAsia="Calibri" w:hAnsi="Arial" w:cs="Arial"/>
          <w:b/>
          <w:sz w:val="22"/>
          <w:lang w:val="es-CO"/>
        </w:rPr>
      </w:pPr>
      <w:r w:rsidRPr="00B848E3">
        <w:rPr>
          <w:rFonts w:ascii="Arial" w:eastAsia="Calibri" w:hAnsi="Arial" w:cs="Arial"/>
          <w:b/>
          <w:sz w:val="22"/>
          <w:lang w:val="es-CO"/>
        </w:rPr>
        <w:t>3</w:t>
      </w:r>
      <w:r w:rsidR="00CF2AA3" w:rsidRPr="00B848E3">
        <w:rPr>
          <w:rFonts w:ascii="Arial" w:eastAsia="Calibri" w:hAnsi="Arial" w:cs="Arial"/>
          <w:b/>
          <w:sz w:val="22"/>
          <w:lang w:val="es-CO"/>
        </w:rPr>
        <w:t>. Respuest</w:t>
      </w:r>
      <w:r w:rsidR="001C1A26" w:rsidRPr="00B848E3">
        <w:rPr>
          <w:rFonts w:ascii="Arial" w:eastAsia="Calibri" w:hAnsi="Arial" w:cs="Arial"/>
          <w:b/>
          <w:sz w:val="22"/>
          <w:lang w:val="es-CO"/>
        </w:rPr>
        <w:t>a</w:t>
      </w:r>
    </w:p>
    <w:p w14:paraId="79A8F50A" w14:textId="77777777" w:rsidR="00264924" w:rsidRPr="00B848E3" w:rsidRDefault="00264924" w:rsidP="000641BE">
      <w:pPr>
        <w:spacing w:after="0"/>
        <w:rPr>
          <w:rFonts w:ascii="Arial" w:eastAsia="Calibri" w:hAnsi="Arial" w:cs="Arial"/>
          <w:bCs/>
          <w:sz w:val="22"/>
          <w:lang w:val="es-CO"/>
        </w:rPr>
      </w:pPr>
    </w:p>
    <w:p w14:paraId="44E3A457" w14:textId="77777777" w:rsidR="000A1DA7" w:rsidRPr="00B848E3" w:rsidRDefault="000A1DA7" w:rsidP="000A1DA7">
      <w:pPr>
        <w:spacing w:after="120" w:line="240" w:lineRule="auto"/>
        <w:ind w:left="709" w:right="709"/>
        <w:rPr>
          <w:rFonts w:ascii="Arial" w:eastAsia="Times New Roman" w:hAnsi="Arial" w:cs="Arial"/>
          <w:sz w:val="21"/>
          <w:szCs w:val="21"/>
          <w:shd w:val="clear" w:color="auto" w:fill="FFFFFF"/>
          <w:lang w:val="es-CO" w:eastAsia="es-CO"/>
        </w:rPr>
      </w:pPr>
      <w:r w:rsidRPr="00B848E3">
        <w:rPr>
          <w:rFonts w:ascii="Arial" w:eastAsia="Times New Roman" w:hAnsi="Arial" w:cs="Arial"/>
          <w:sz w:val="21"/>
          <w:szCs w:val="21"/>
          <w:shd w:val="clear" w:color="auto" w:fill="FFFFFF"/>
          <w:lang w:val="es-CO" w:eastAsia="es-CO"/>
        </w:rPr>
        <w:t xml:space="preserve">Respecto al artículo 26 de la Ley 397 de 1997 y el numeral 5.4.3 del artículo 5 del Decreto 1589 de 1998, sobre los convenios entre las entidades territoriales y las entidades culturales privadas sin ánimo de lucro, usted realiza las siguientes preguntas: </w:t>
      </w:r>
    </w:p>
    <w:p w14:paraId="2A7B914E" w14:textId="77777777" w:rsidR="000A1DA7" w:rsidRPr="00B848E3" w:rsidRDefault="000A1DA7" w:rsidP="000A1DA7">
      <w:pPr>
        <w:spacing w:after="120" w:line="240" w:lineRule="auto"/>
        <w:ind w:left="709" w:right="709"/>
        <w:rPr>
          <w:rFonts w:ascii="Arial" w:eastAsia="Times New Roman" w:hAnsi="Arial" w:cs="Arial"/>
          <w:sz w:val="21"/>
          <w:szCs w:val="21"/>
          <w:shd w:val="clear" w:color="auto" w:fill="FFFFFF"/>
          <w:lang w:eastAsia="es-CO"/>
        </w:rPr>
      </w:pPr>
      <w:r w:rsidRPr="00B848E3">
        <w:rPr>
          <w:rFonts w:ascii="Arial" w:eastAsia="Times New Roman" w:hAnsi="Arial" w:cs="Arial"/>
          <w:sz w:val="21"/>
          <w:szCs w:val="21"/>
          <w:shd w:val="clear" w:color="auto" w:fill="FFFFFF"/>
          <w:lang w:val="es-CO" w:eastAsia="es-CO"/>
        </w:rPr>
        <w:lastRenderedPageBreak/>
        <w:t>i) «</w:t>
      </w:r>
      <w:r w:rsidRPr="00B848E3">
        <w:rPr>
          <w:rFonts w:ascii="Arial" w:eastAsia="Times New Roman" w:hAnsi="Arial" w:cs="Arial"/>
          <w:sz w:val="21"/>
          <w:szCs w:val="21"/>
          <w:shd w:val="clear" w:color="auto" w:fill="FFFFFF"/>
          <w:lang w:eastAsia="es-CO"/>
        </w:rPr>
        <w:t>Se indique si los procedimientos de selección anteriormente descritos (convocatoria pública) y de acuerdo a las normas especiales que fueron señaladas, se constituyen dentro de alguna causal de selección dentro del Estatuto General de Contratación Pública, especialmente una causal de contratación directa, o si constituyen conforme a lo indicado un régimen especial de contratación».</w:t>
      </w:r>
    </w:p>
    <w:p w14:paraId="4E070839" w14:textId="77777777" w:rsidR="000A1DA7" w:rsidRPr="00B848E3" w:rsidRDefault="000A1DA7" w:rsidP="000A1DA7">
      <w:pPr>
        <w:spacing w:after="120" w:line="240" w:lineRule="auto"/>
        <w:ind w:left="709" w:right="709"/>
        <w:rPr>
          <w:rFonts w:ascii="Arial" w:eastAsia="Times New Roman" w:hAnsi="Arial" w:cs="Arial"/>
          <w:sz w:val="21"/>
          <w:szCs w:val="21"/>
          <w:shd w:val="clear" w:color="auto" w:fill="FFFFFF"/>
          <w:lang w:eastAsia="es-CO"/>
        </w:rPr>
      </w:pPr>
      <w:r w:rsidRPr="00B848E3">
        <w:rPr>
          <w:rFonts w:ascii="Arial" w:eastAsia="Times New Roman" w:hAnsi="Arial" w:cs="Arial"/>
          <w:sz w:val="21"/>
          <w:szCs w:val="21"/>
          <w:shd w:val="clear" w:color="auto" w:fill="FFFFFF"/>
          <w:lang w:eastAsia="es-CO"/>
        </w:rPr>
        <w:t xml:space="preserve">ii) «Teniendo en cuenta que desde el pasado 12 de diciembre de 2021 conforme a lo establecido en el parágrafo del artículo 38 de la Ley 996 de 2005 las entidades del estado no pueden suscribir convenios interadministrativos, se requiere indicar si de acuerdo al procedimiento descrito dicha restricción aplica para la celebración de convenios de asociación y/o interadministrativos derivados de convocatoria pública». </w:t>
      </w:r>
    </w:p>
    <w:p w14:paraId="763D804E" w14:textId="02A674D5" w:rsidR="001C1A26" w:rsidRPr="00B848E3" w:rsidRDefault="000A1DA7" w:rsidP="000A1DA7">
      <w:pPr>
        <w:spacing w:after="0" w:line="240" w:lineRule="auto"/>
        <w:ind w:left="709" w:right="709"/>
        <w:rPr>
          <w:rFonts w:ascii="Arial" w:eastAsia="Times New Roman" w:hAnsi="Arial" w:cs="Arial"/>
          <w:sz w:val="21"/>
          <w:szCs w:val="21"/>
          <w:shd w:val="clear" w:color="auto" w:fill="FFFFFF"/>
          <w:lang w:val="es-CO" w:eastAsia="es-CO"/>
        </w:rPr>
      </w:pPr>
      <w:r w:rsidRPr="00B848E3">
        <w:rPr>
          <w:rFonts w:ascii="Arial" w:eastAsia="Times New Roman" w:hAnsi="Arial" w:cs="Arial"/>
          <w:sz w:val="21"/>
          <w:szCs w:val="21"/>
          <w:shd w:val="clear" w:color="auto" w:fill="FFFFFF"/>
          <w:lang w:eastAsia="es-CO"/>
        </w:rPr>
        <w:t>iii) «Teniendo en cuenta que conforme con el artículo 33 de la Ley 996 de 2005 a partir del 23 de enero de 2022, la entidad estatal les queda prohibido la celebración de contratos a través de cualquier modalidad de contratación directa, se pregunta si los convenios indicados bajo los procesos de selección señalados (convocatoria pública) se encuentran contenidos dentro de dicha restricción».</w:t>
      </w:r>
      <w:bookmarkStart w:id="68" w:name="_Hlk57650395"/>
    </w:p>
    <w:p w14:paraId="6C647347" w14:textId="77777777" w:rsidR="00C7127A" w:rsidRPr="00B848E3" w:rsidRDefault="00C7127A" w:rsidP="000641BE">
      <w:pPr>
        <w:spacing w:after="0"/>
        <w:ind w:right="709"/>
        <w:rPr>
          <w:rFonts w:ascii="Arial" w:eastAsia="Times New Roman" w:hAnsi="Arial" w:cs="Arial"/>
          <w:sz w:val="22"/>
          <w:lang w:val="es-CO" w:eastAsia="es-ES_tradnl"/>
        </w:rPr>
      </w:pPr>
    </w:p>
    <w:p w14:paraId="505D86B7" w14:textId="7EB45516" w:rsidR="003B6EE4" w:rsidRPr="00B848E3" w:rsidRDefault="002E1888" w:rsidP="003B6EE4">
      <w:pPr>
        <w:spacing w:after="120"/>
        <w:rPr>
          <w:rFonts w:ascii="Arial" w:eastAsia="Calibri" w:hAnsi="Arial" w:cs="Arial"/>
          <w:color w:val="000000" w:themeColor="text1"/>
          <w:sz w:val="22"/>
        </w:rPr>
      </w:pPr>
      <w:r w:rsidRPr="00B848E3">
        <w:rPr>
          <w:rFonts w:ascii="Arial" w:eastAsia="Calibri" w:hAnsi="Arial" w:cs="Arial"/>
          <w:color w:val="000000" w:themeColor="text1"/>
          <w:sz w:val="22"/>
        </w:rPr>
        <w:t>De acuerdo con la interpretación de las normas generales del sistema de compras públicas, s</w:t>
      </w:r>
      <w:r w:rsidR="003B6EE4" w:rsidRPr="00B848E3">
        <w:rPr>
          <w:rFonts w:ascii="Arial" w:eastAsia="Calibri" w:hAnsi="Arial" w:cs="Arial"/>
          <w:color w:val="000000" w:themeColor="text1"/>
          <w:sz w:val="22"/>
        </w:rPr>
        <w:t xml:space="preserve">in perjuicio de que cada entidad estatal defina la viabilidad técnica, jurídica y financiera de celebrar determinado negocio jurídico en específico, </w:t>
      </w:r>
      <w:r w:rsidRPr="00B848E3">
        <w:rPr>
          <w:rFonts w:ascii="Arial" w:eastAsia="Calibri" w:hAnsi="Arial" w:cs="Arial"/>
          <w:color w:val="000000" w:themeColor="text1"/>
          <w:sz w:val="22"/>
        </w:rPr>
        <w:t xml:space="preserve">ni </w:t>
      </w:r>
      <w:r w:rsidRPr="00B848E3">
        <w:rPr>
          <w:rFonts w:ascii="Arial" w:eastAsia="Calibri" w:hAnsi="Arial" w:cs="Arial"/>
          <w:color w:val="000000" w:themeColor="text1"/>
          <w:sz w:val="22"/>
          <w:lang w:val="es-CO"/>
        </w:rPr>
        <w:t>el artículo 26 de la Ley 397 de 1997 ni el numeral 5.4.3 del artículo 5 del Decreto 1589 de 1998</w:t>
      </w:r>
      <w:r w:rsidR="003B6EE4" w:rsidRPr="00B848E3">
        <w:rPr>
          <w:rFonts w:ascii="Arial" w:eastAsia="Calibri" w:hAnsi="Arial" w:cs="Arial"/>
          <w:color w:val="000000" w:themeColor="text1"/>
          <w:sz w:val="22"/>
        </w:rPr>
        <w:t xml:space="preserve"> disponen si estos convenios corresponden a la modalidad de contratación directa o se califican como contratos interadministrativos</w:t>
      </w:r>
      <w:r w:rsidRPr="00B848E3">
        <w:rPr>
          <w:rFonts w:ascii="Arial" w:eastAsia="Calibri" w:hAnsi="Arial" w:cs="Arial"/>
          <w:color w:val="000000" w:themeColor="text1"/>
          <w:sz w:val="22"/>
        </w:rPr>
        <w:t xml:space="preserve"> para efectos de la aplicación de la Ley de Garantías</w:t>
      </w:r>
      <w:r w:rsidR="003B6EE4" w:rsidRPr="00B848E3">
        <w:rPr>
          <w:rFonts w:ascii="Arial" w:eastAsia="Calibri" w:hAnsi="Arial" w:cs="Arial"/>
          <w:color w:val="000000" w:themeColor="text1"/>
          <w:sz w:val="22"/>
        </w:rPr>
        <w:t>. Por el contrario, solo disponen que estos se celebran con entidades culturales privadas sin ánimo de lucro. En este contexto</w:t>
      </w:r>
      <w:r w:rsidR="003B6EE4" w:rsidRPr="00B848E3">
        <w:rPr>
          <w:rFonts w:ascii="Arial" w:eastAsia="Calibri" w:hAnsi="Arial" w:cs="Arial"/>
          <w:color w:val="000000" w:themeColor="text1"/>
          <w:sz w:val="22"/>
          <w:lang w:val="es-CO"/>
        </w:rPr>
        <w:t xml:space="preserve">, el procedimiento de selección y la tipología contractual de los convenios </w:t>
      </w:r>
      <w:r w:rsidRPr="00B848E3">
        <w:rPr>
          <w:rFonts w:ascii="Arial" w:eastAsia="Calibri" w:hAnsi="Arial" w:cs="Arial"/>
          <w:color w:val="000000" w:themeColor="text1"/>
          <w:sz w:val="22"/>
          <w:lang w:val="es-CO"/>
        </w:rPr>
        <w:t>objeto de consulta</w:t>
      </w:r>
      <w:r w:rsidR="003B6EE4" w:rsidRPr="00B848E3">
        <w:rPr>
          <w:rFonts w:ascii="Arial" w:eastAsia="Calibri" w:hAnsi="Arial" w:cs="Arial"/>
          <w:color w:val="000000" w:themeColor="text1"/>
          <w:sz w:val="22"/>
          <w:lang w:val="es-CO"/>
        </w:rPr>
        <w:t xml:space="preserve"> corresponde a la del Decreto 92 de 2017.</w:t>
      </w:r>
      <w:r w:rsidR="003B6EE4" w:rsidRPr="00B848E3">
        <w:rPr>
          <w:rFonts w:ascii="Arial" w:eastAsia="Calibri" w:hAnsi="Arial" w:cs="Arial"/>
          <w:color w:val="000000" w:themeColor="text1"/>
          <w:sz w:val="22"/>
        </w:rPr>
        <w:t xml:space="preserve"> </w:t>
      </w:r>
    </w:p>
    <w:p w14:paraId="7EB9D2B4" w14:textId="231C3266" w:rsidR="001C1A26" w:rsidRPr="00B848E3" w:rsidRDefault="003B6EE4" w:rsidP="002E1888">
      <w:pPr>
        <w:spacing w:after="120"/>
        <w:ind w:firstLine="709"/>
        <w:rPr>
          <w:rFonts w:ascii="Arial" w:eastAsia="Calibri" w:hAnsi="Arial" w:cs="Arial"/>
          <w:sz w:val="22"/>
          <w:lang w:val="es-CO"/>
        </w:rPr>
      </w:pPr>
      <w:r w:rsidRPr="00B848E3">
        <w:rPr>
          <w:rFonts w:ascii="Arial" w:eastAsia="Calibri" w:hAnsi="Arial" w:cs="Arial"/>
          <w:color w:val="000000" w:themeColor="text1"/>
          <w:sz w:val="22"/>
        </w:rPr>
        <w:t>De esta manera,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B848E3">
        <w:rPr>
          <w:rFonts w:ascii="Arial" w:eastAsia="Calibri" w:hAnsi="Arial" w:cs="Arial"/>
          <w:color w:val="000000" w:themeColor="text1"/>
          <w:sz w:val="21"/>
          <w:szCs w:val="21"/>
        </w:rPr>
        <w:t xml:space="preserve"> </w:t>
      </w:r>
      <w:r w:rsidRPr="00B848E3">
        <w:rPr>
          <w:rFonts w:ascii="Arial" w:eastAsia="Calibri" w:hAnsi="Arial" w:cs="Arial"/>
          <w:color w:val="000000" w:themeColor="text1"/>
          <w:sz w:val="22"/>
        </w:rPr>
        <w:t xml:space="preserve">En contraste, la restricción citada no aplicaría a los </w:t>
      </w:r>
      <w:r w:rsidRPr="00B848E3">
        <w:rPr>
          <w:rFonts w:ascii="Arial" w:eastAsia="Calibri" w:hAnsi="Arial" w:cs="Arial"/>
          <w:i/>
          <w:iCs/>
          <w:color w:val="000000" w:themeColor="text1"/>
          <w:sz w:val="22"/>
        </w:rPr>
        <w:t>contratos de colaboración</w:t>
      </w:r>
      <w:r w:rsidRPr="00B848E3">
        <w:rPr>
          <w:rFonts w:ascii="Arial" w:eastAsia="Calibri" w:hAnsi="Arial" w:cs="Arial"/>
          <w:color w:val="000000" w:themeColor="text1"/>
          <w:sz w:val="22"/>
        </w:rPr>
        <w:t xml:space="preserve"> o los </w:t>
      </w:r>
      <w:r w:rsidRPr="00B848E3">
        <w:rPr>
          <w:rFonts w:ascii="Arial" w:eastAsia="Calibri" w:hAnsi="Arial" w:cs="Arial"/>
          <w:i/>
          <w:iCs/>
          <w:color w:val="000000" w:themeColor="text1"/>
          <w:sz w:val="22"/>
        </w:rPr>
        <w:t>convenios de asociación</w:t>
      </w:r>
      <w:r w:rsidRPr="00B848E3">
        <w:rPr>
          <w:rFonts w:ascii="Arial" w:eastAsia="Calibri" w:hAnsi="Arial" w:cs="Arial"/>
          <w:color w:val="000000" w:themeColor="text1"/>
          <w:sz w:val="22"/>
        </w:rPr>
        <w:t xml:space="preserve"> que celebren las entidades territoriales y entidades culturales privadas sin </w:t>
      </w:r>
      <w:r w:rsidRPr="00B848E3">
        <w:rPr>
          <w:rFonts w:ascii="Arial" w:eastAsia="Calibri" w:hAnsi="Arial" w:cs="Arial"/>
          <w:color w:val="000000" w:themeColor="text1"/>
          <w:sz w:val="22"/>
        </w:rPr>
        <w:lastRenderedPageBreak/>
        <w:t>ánimo de lucro bajo el procedimiento competitivo, pues este supone la pluralidad de oferentes y la selección objetiva del contratista</w:t>
      </w:r>
      <w:r w:rsidR="00824D50" w:rsidRPr="00B848E3">
        <w:rPr>
          <w:rFonts w:ascii="Arial" w:eastAsia="Calibri" w:hAnsi="Arial" w:cs="Arial"/>
          <w:sz w:val="22"/>
          <w:lang w:val="es-CO"/>
        </w:rPr>
        <w:t xml:space="preserve">. </w:t>
      </w:r>
    </w:p>
    <w:p w14:paraId="4BA7223E" w14:textId="74F126C0" w:rsidR="002E1888" w:rsidRPr="00B848E3" w:rsidRDefault="002E1888" w:rsidP="002E1888">
      <w:pPr>
        <w:spacing w:after="120"/>
        <w:ind w:firstLine="709"/>
        <w:rPr>
          <w:rFonts w:ascii="Arial" w:eastAsia="Calibri" w:hAnsi="Arial" w:cs="Arial"/>
          <w:color w:val="000000" w:themeColor="text1"/>
          <w:sz w:val="22"/>
          <w:lang w:val="es-ES_tradnl"/>
        </w:rPr>
      </w:pPr>
      <w:r w:rsidRPr="00B848E3">
        <w:rPr>
          <w:rFonts w:ascii="Arial" w:eastAsia="Calibri" w:hAnsi="Arial" w:cs="Arial"/>
          <w:color w:val="000000" w:themeColor="text1"/>
          <w:sz w:val="22"/>
        </w:rPr>
        <w:t xml:space="preserve">Por otra parte, considerando la naturaleza jurídica de las partes, los convenios del </w:t>
      </w:r>
      <w:r w:rsidRPr="00B848E3">
        <w:rPr>
          <w:rFonts w:ascii="Arial" w:eastAsia="Calibri" w:hAnsi="Arial" w:cs="Arial"/>
          <w:color w:val="000000" w:themeColor="text1"/>
          <w:sz w:val="22"/>
          <w:lang w:val="es-CO"/>
        </w:rPr>
        <w:t>artículo 26 de la Ley 397 de 1997 y el</w:t>
      </w:r>
      <w:r w:rsidRPr="00B848E3">
        <w:rPr>
          <w:rFonts w:ascii="Arial" w:eastAsia="Calibri" w:hAnsi="Arial" w:cs="Arial"/>
          <w:color w:val="000000" w:themeColor="text1"/>
          <w:sz w:val="22"/>
        </w:rPr>
        <w:t xml:space="preserve"> artículo 5.4.3 del Decreto 1589 de 1998 entre las entidades territoriales y las entidades culturales privadas sin ánimo de lucro tampoco se calificarían como contratos interadministrativos. </w:t>
      </w:r>
      <w:r w:rsidRPr="00B848E3">
        <w:rPr>
          <w:rFonts w:ascii="Arial" w:eastAsia="Calibri" w:hAnsi="Arial" w:cs="Arial"/>
          <w:color w:val="000000" w:themeColor="text1"/>
          <w:sz w:val="22"/>
          <w:lang w:val="es-ES_tradnl"/>
        </w:rPr>
        <w:t>Al respecto, esta última tipología contractual fue creada en la Ley 80 de 1993 y, aunque no la definió ni desarrolló, el Decreto 1082 de 2015 califica a los convenios o contratos interadministrativos como aquella contratación entre entidades estatales.</w:t>
      </w:r>
      <w:r w:rsidRPr="00B848E3">
        <w:rPr>
          <w:rFonts w:ascii="Arial" w:hAnsi="Arial" w:cs="Arial"/>
          <w:color w:val="000000" w:themeColor="text1"/>
          <w:sz w:val="22"/>
          <w:lang w:val="es-ES_tradnl"/>
        </w:rPr>
        <w:t xml:space="preserve"> </w:t>
      </w:r>
      <w:r w:rsidRPr="00B848E3">
        <w:rPr>
          <w:rFonts w:ascii="Arial" w:eastAsia="Calibri" w:hAnsi="Arial" w:cs="Arial"/>
          <w:color w:val="000000" w:themeColor="text1"/>
          <w:sz w:val="22"/>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p>
    <w:p w14:paraId="5F4ED257" w14:textId="2040948C" w:rsidR="004F4394" w:rsidRDefault="004F4394" w:rsidP="00257F4E">
      <w:pPr>
        <w:spacing w:before="120" w:after="0"/>
        <w:ind w:firstLine="709"/>
        <w:rPr>
          <w:rFonts w:ascii="Arial" w:eastAsia="Calibri" w:hAnsi="Arial" w:cs="Arial"/>
          <w:color w:val="000000" w:themeColor="text1"/>
          <w:sz w:val="22"/>
        </w:rPr>
      </w:pPr>
      <w:r w:rsidRPr="00B848E3">
        <w:rPr>
          <w:rFonts w:ascii="Arial" w:eastAsia="Calibri" w:hAnsi="Arial" w:cs="Arial"/>
          <w:color w:val="000000" w:themeColor="text1"/>
          <w:sz w:val="22"/>
          <w:lang w:val="es-ES_tradnl"/>
        </w:rPr>
        <w:t>De esta manera</w:t>
      </w:r>
      <w:r w:rsidR="002E1888" w:rsidRPr="00B848E3">
        <w:rPr>
          <w:rFonts w:ascii="Arial" w:eastAsia="Calibri" w:hAnsi="Arial" w:cs="Arial"/>
          <w:color w:val="000000" w:themeColor="text1"/>
          <w:sz w:val="22"/>
          <w:lang w:val="es-ES_tradnl"/>
        </w:rPr>
        <w:t xml:space="preserve">, los convenios objeto de consulta no corresponden a la categoría </w:t>
      </w:r>
      <w:r w:rsidR="002E1888" w:rsidRPr="00B848E3">
        <w:rPr>
          <w:rFonts w:ascii="Arial" w:eastAsia="Calibri" w:hAnsi="Arial" w:cs="Arial"/>
          <w:color w:val="000000" w:themeColor="text1"/>
          <w:sz w:val="22"/>
        </w:rPr>
        <w:t>definida en el 2.2.1.2.1.4.4 del Decreto 1082 de 2015</w:t>
      </w:r>
      <w:r w:rsidR="002E1888" w:rsidRPr="00B848E3">
        <w:rPr>
          <w:rFonts w:ascii="Arial" w:eastAsia="Calibri" w:hAnsi="Arial" w:cs="Arial"/>
          <w:color w:val="000000" w:themeColor="text1"/>
          <w:sz w:val="22"/>
          <w:lang w:val="es-ES_tradnl"/>
        </w:rPr>
        <w:t>, pues no implica una contratación entre autoridades del Estado sino un negocio jurídico entre una entidad territorial y una persona jurídica de derecho privado sin ánimo de lucro</w:t>
      </w:r>
      <w:r w:rsidR="002E1888" w:rsidRPr="00B848E3">
        <w:rPr>
          <w:rFonts w:ascii="Arial" w:eastAsia="Calibri" w:hAnsi="Arial" w:cs="Arial"/>
          <w:color w:val="000000" w:themeColor="text1"/>
          <w:sz w:val="22"/>
        </w:rPr>
        <w:t>. Por tanto, los convenios del artículo 26 de la Ley 397 de 1997 y el artículo 5.4.3 del Decreto 1589 de 1998 entre las entidades territoriales y las entidades culturales privadas sin ánimo de lucro no están dentro de la restricción del artículo 38 de la Ley de Garantías, modificado transitoriamente por el artículo 124 de la Ley de Presupuesto, ya que –de acuerdo con la calidad de las partes– no corresponden a la tipología de contratos o convenios interadministrativos.</w:t>
      </w:r>
    </w:p>
    <w:p w14:paraId="19302002" w14:textId="77777777" w:rsidR="00717A45" w:rsidRDefault="00717A45" w:rsidP="002E1888">
      <w:pPr>
        <w:spacing w:after="120"/>
        <w:rPr>
          <w:rFonts w:ascii="Arial" w:eastAsia="Calibri" w:hAnsi="Arial" w:cs="Arial"/>
          <w:sz w:val="22"/>
          <w:lang w:val="es-CO"/>
        </w:rPr>
      </w:pPr>
    </w:p>
    <w:p w14:paraId="06025F48" w14:textId="67393842" w:rsidR="00506085" w:rsidRPr="0006331A" w:rsidRDefault="00506085" w:rsidP="0006331A">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r w:rsidRPr="00446B03">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0827501E" w14:textId="77777777" w:rsidR="00717A45" w:rsidRDefault="00717A45" w:rsidP="00717A45">
      <w:pPr>
        <w:spacing w:after="0"/>
        <w:rPr>
          <w:noProof/>
        </w:rPr>
      </w:pPr>
    </w:p>
    <w:p w14:paraId="240E0475" w14:textId="55B126B8"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300BE44C" w14:textId="00F4C437" w:rsidR="00843449" w:rsidRDefault="00843449" w:rsidP="00E7700C">
      <w:pPr>
        <w:jc w:val="center"/>
        <w:rPr>
          <w:rFonts w:ascii="Arial" w:eastAsia="Times New Roman" w:hAnsi="Arial" w:cs="Arial"/>
          <w:color w:val="000000" w:themeColor="text1"/>
          <w:sz w:val="18"/>
          <w:szCs w:val="20"/>
          <w:lang w:eastAsia="es-CO"/>
        </w:rPr>
      </w:pPr>
    </w:p>
    <w:p w14:paraId="299FA360" w14:textId="7BE5BA02" w:rsidR="009F596F" w:rsidRPr="00446B03" w:rsidRDefault="00703694" w:rsidP="00311152">
      <w:pPr>
        <w:jc w:val="center"/>
        <w:rPr>
          <w:rFonts w:ascii="Arial" w:eastAsia="Times New Roman" w:hAnsi="Arial" w:cs="Arial"/>
          <w:color w:val="000000" w:themeColor="text1"/>
          <w:sz w:val="18"/>
          <w:szCs w:val="20"/>
          <w:lang w:eastAsia="es-CO"/>
        </w:rPr>
      </w:pPr>
      <w:r>
        <w:rPr>
          <w:noProof/>
        </w:rPr>
        <w:lastRenderedPageBreak/>
        <w:drawing>
          <wp:inline distT="0" distB="0" distL="0" distR="0" wp14:anchorId="371DEA3E" wp14:editId="11B02EC2">
            <wp:extent cx="2514600" cy="1114425"/>
            <wp:effectExtent l="0" t="0" r="0" b="9525"/>
            <wp:docPr id="3" name="Imagen 3"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5"/>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003AEE">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2D3A9930" w14:textId="77777777" w:rsidR="00717A45" w:rsidRDefault="00717A45" w:rsidP="00003AEE">
            <w:pPr>
              <w:rPr>
                <w:rFonts w:ascii="Arial" w:eastAsia="Times New Roman" w:hAnsi="Arial" w:cs="Arial"/>
                <w:color w:val="000000" w:themeColor="text1"/>
                <w:sz w:val="16"/>
                <w:szCs w:val="16"/>
                <w:lang w:val="es-CO" w:eastAsia="es-ES"/>
              </w:rPr>
            </w:pPr>
            <w:r w:rsidRPr="00717A45">
              <w:rPr>
                <w:rFonts w:ascii="Arial" w:eastAsia="Times New Roman" w:hAnsi="Arial" w:cs="Arial"/>
                <w:color w:val="000000" w:themeColor="text1"/>
                <w:sz w:val="16"/>
                <w:szCs w:val="16"/>
                <w:lang w:val="es-CO" w:eastAsia="es-ES"/>
              </w:rPr>
              <w:t xml:space="preserve">Felipe Bastidas Paredes </w:t>
            </w:r>
          </w:p>
          <w:p w14:paraId="3F63272B" w14:textId="02CA7D6E" w:rsidR="00843449" w:rsidRPr="004B28F8" w:rsidRDefault="00717A45" w:rsidP="00003AEE">
            <w:pPr>
              <w:rPr>
                <w:rFonts w:ascii="Arial" w:eastAsia="Times New Roman" w:hAnsi="Arial" w:cs="Arial"/>
                <w:color w:val="000000" w:themeColor="text1"/>
                <w:sz w:val="16"/>
                <w:szCs w:val="16"/>
                <w:lang w:val="es-CO" w:eastAsia="es-ES"/>
              </w:rPr>
            </w:pPr>
            <w:r w:rsidRPr="00717A45">
              <w:rPr>
                <w:rFonts w:ascii="Arial" w:eastAsia="Times New Roman" w:hAnsi="Arial" w:cs="Arial"/>
                <w:color w:val="000000" w:themeColor="text1"/>
                <w:sz w:val="16"/>
                <w:szCs w:val="16"/>
                <w:lang w:val="es-CO" w:eastAsia="es-ES"/>
              </w:rPr>
              <w:t>Contratista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003AEE">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446B03" w:rsidRDefault="00F134D2" w:rsidP="00003AEE">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Juan David Montoya Penagos</w:t>
            </w:r>
          </w:p>
          <w:p w14:paraId="30332C7A" w14:textId="77777777" w:rsidR="00843449" w:rsidRPr="00446B03" w:rsidRDefault="00843449" w:rsidP="00003AEE">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003AEE">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46B03" w:rsidRDefault="00843449" w:rsidP="00003AEE">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003AEE">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Subdirector de Gestión Contractual ANCP – CCE</w:t>
            </w:r>
          </w:p>
        </w:tc>
      </w:tr>
      <w:bookmarkEnd w:id="68"/>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6"/>
      <w:footerReference w:type="default" r:id="rId17"/>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248B" w14:textId="77777777" w:rsidR="002C2716" w:rsidRDefault="002C2716">
      <w:r>
        <w:separator/>
      </w:r>
    </w:p>
  </w:endnote>
  <w:endnote w:type="continuationSeparator" w:id="0">
    <w:p w14:paraId="1FD949DD" w14:textId="77777777" w:rsidR="002C2716" w:rsidRDefault="002C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_’”±ò">
    <w:altName w:val="Calibri"/>
    <w:panose1 w:val="020B0604020202020204"/>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8EF2" w14:textId="77777777" w:rsidR="002C2716" w:rsidRDefault="002C2716">
      <w:r>
        <w:separator/>
      </w:r>
    </w:p>
  </w:footnote>
  <w:footnote w:type="continuationSeparator" w:id="0">
    <w:p w14:paraId="32084EAC" w14:textId="77777777" w:rsidR="002C2716" w:rsidRDefault="002C2716">
      <w:r>
        <w:continuationSeparator/>
      </w:r>
    </w:p>
  </w:footnote>
  <w:footnote w:id="1">
    <w:p w14:paraId="4C0976B6" w14:textId="77777777" w:rsidR="00E23B36" w:rsidRPr="006C0B38" w:rsidRDefault="00E23B36" w:rsidP="006C0B38">
      <w:pPr>
        <w:pStyle w:val="Textonotapie"/>
        <w:spacing w:line="240" w:lineRule="auto"/>
        <w:ind w:firstLine="708"/>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C0B38">
        <w:rPr>
          <w:rFonts w:ascii="Arial" w:hAnsi="Arial" w:cs="Arial"/>
          <w:i/>
          <w:iCs/>
          <w:sz w:val="18"/>
          <w:szCs w:val="18"/>
        </w:rPr>
        <w:t xml:space="preserve">ibidem </w:t>
      </w:r>
      <w:r w:rsidRPr="006C0B38">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6C0B38" w:rsidRDefault="00E008F1"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El artículo 127 de la Consti</w:t>
      </w:r>
      <w:r w:rsidR="00296D38" w:rsidRPr="006C0B38">
        <w:rPr>
          <w:rFonts w:ascii="Arial" w:hAnsi="Arial" w:cs="Arial"/>
          <w:sz w:val="18"/>
          <w:szCs w:val="18"/>
        </w:rPr>
        <w:t>tu</w:t>
      </w:r>
      <w:r w:rsidRPr="006C0B38">
        <w:rPr>
          <w:rFonts w:ascii="Arial" w:hAnsi="Arial" w:cs="Arial"/>
          <w:sz w:val="18"/>
          <w:szCs w:val="18"/>
        </w:rPr>
        <w:t>ción Política señala:</w:t>
      </w:r>
      <w:r w:rsidR="00F555DB" w:rsidRPr="006C0B38">
        <w:rPr>
          <w:rFonts w:ascii="Arial" w:hAnsi="Arial" w:cs="Arial"/>
          <w:sz w:val="18"/>
          <w:szCs w:val="18"/>
        </w:rPr>
        <w:t xml:space="preserve"> </w:t>
      </w:r>
      <w:r w:rsidRPr="006C0B38">
        <w:rPr>
          <w:rFonts w:ascii="Arial" w:hAnsi="Arial" w:cs="Arial"/>
          <w:sz w:val="18"/>
          <w:szCs w:val="18"/>
        </w:rPr>
        <w:t xml:space="preserve">«Los servidores públicos no podrán celebrar, por si o por interpuesta persona, o en representación de otro, contrato alguno con entidades </w:t>
      </w:r>
      <w:r w:rsidR="00F27A52" w:rsidRPr="006C0B38">
        <w:rPr>
          <w:rFonts w:ascii="Arial" w:hAnsi="Arial" w:cs="Arial"/>
          <w:sz w:val="18"/>
          <w:szCs w:val="18"/>
        </w:rPr>
        <w:t>públicas</w:t>
      </w:r>
      <w:r w:rsidRPr="006C0B38">
        <w:rPr>
          <w:rFonts w:ascii="Arial" w:hAnsi="Arial" w:cs="Arial"/>
          <w:sz w:val="18"/>
          <w:szCs w:val="18"/>
        </w:rPr>
        <w:t xml:space="preserve"> o con personas privadas que manejen o administren recursos públicos, salvo las excepciones legales. </w:t>
      </w:r>
    </w:p>
    <w:p w14:paraId="4525A19C" w14:textId="41209B97" w:rsidR="00E008F1" w:rsidRPr="006C0B38" w:rsidRDefault="00A923B7" w:rsidP="006C0B38">
      <w:pPr>
        <w:pStyle w:val="Textonotapie"/>
        <w:spacing w:after="0" w:line="240" w:lineRule="auto"/>
        <w:ind w:firstLine="709"/>
        <w:rPr>
          <w:rFonts w:ascii="Arial" w:hAnsi="Arial" w:cs="Arial"/>
          <w:sz w:val="18"/>
          <w:szCs w:val="18"/>
        </w:rPr>
      </w:pPr>
      <w:r w:rsidRPr="006C0B38">
        <w:rPr>
          <w:rFonts w:ascii="Arial" w:hAnsi="Arial" w:cs="Arial"/>
          <w:sz w:val="18"/>
          <w:szCs w:val="18"/>
        </w:rPr>
        <w:t>»A</w:t>
      </w:r>
      <w:r w:rsidR="00E008F1" w:rsidRPr="006C0B38">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6C0B38">
        <w:rPr>
          <w:rFonts w:ascii="Arial" w:hAnsi="Arial" w:cs="Arial"/>
          <w:sz w:val="18"/>
          <w:szCs w:val="18"/>
        </w:rPr>
        <w:t>Constitución.</w:t>
      </w:r>
      <w:r w:rsidR="00F91CA6" w:rsidRPr="006C0B38">
        <w:rPr>
          <w:rFonts w:ascii="Arial" w:hAnsi="Arial" w:cs="Arial"/>
          <w:sz w:val="18"/>
          <w:szCs w:val="18"/>
        </w:rPr>
        <w:t xml:space="preserve"> </w:t>
      </w:r>
      <w:r w:rsidRPr="006C0B38">
        <w:rPr>
          <w:rFonts w:ascii="Arial" w:hAnsi="Arial" w:cs="Arial"/>
          <w:sz w:val="18"/>
          <w:szCs w:val="18"/>
        </w:rPr>
        <w:t>Los</w:t>
      </w:r>
      <w:r w:rsidR="00E008F1" w:rsidRPr="006C0B38">
        <w:rPr>
          <w:rFonts w:ascii="Arial" w:hAnsi="Arial" w:cs="Arial"/>
          <w:sz w:val="18"/>
          <w:szCs w:val="18"/>
        </w:rPr>
        <w:t xml:space="preserve"> empleados no contemplados en esta prohibición solo podrán participar en dichas actividades y controversias en las condicione</w:t>
      </w:r>
      <w:r w:rsidR="00296D38" w:rsidRPr="006C0B38">
        <w:rPr>
          <w:rFonts w:ascii="Arial" w:hAnsi="Arial" w:cs="Arial"/>
          <w:sz w:val="18"/>
          <w:szCs w:val="18"/>
        </w:rPr>
        <w:t>s que señale la Ley Estatutaria</w:t>
      </w:r>
      <w:r w:rsidR="00E008F1" w:rsidRPr="006C0B38">
        <w:rPr>
          <w:rFonts w:ascii="Arial" w:hAnsi="Arial" w:cs="Arial"/>
          <w:sz w:val="18"/>
          <w:szCs w:val="18"/>
        </w:rPr>
        <w:t>».</w:t>
      </w:r>
    </w:p>
    <w:p w14:paraId="1AFDC93F" w14:textId="77777777" w:rsidR="006A049D" w:rsidRPr="006C0B38" w:rsidRDefault="006A049D" w:rsidP="006C0B38">
      <w:pPr>
        <w:pStyle w:val="Textonotapie"/>
        <w:spacing w:after="0" w:line="240" w:lineRule="auto"/>
        <w:ind w:firstLine="709"/>
        <w:rPr>
          <w:rFonts w:ascii="Arial" w:hAnsi="Arial" w:cs="Arial"/>
          <w:sz w:val="18"/>
          <w:szCs w:val="18"/>
        </w:rPr>
      </w:pPr>
    </w:p>
  </w:footnote>
  <w:footnote w:id="3">
    <w:p w14:paraId="5CECD26A" w14:textId="07594946" w:rsidR="006A049D" w:rsidRPr="006C0B38" w:rsidRDefault="007A1418"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Gaceta del Congreso de la República No. 71 del 2005.</w:t>
      </w:r>
    </w:p>
  </w:footnote>
  <w:footnote w:id="4">
    <w:p w14:paraId="2D822DE1" w14:textId="77777777" w:rsidR="009F3083" w:rsidRPr="006C0B38" w:rsidRDefault="009F3083"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Corte Constitucional, Sentencia C- 1153 de 2005, M.P. Marco Gerardo Monroy Cabra.</w:t>
      </w:r>
    </w:p>
  </w:footnote>
  <w:footnote w:id="5">
    <w:p w14:paraId="16C8143B" w14:textId="075CC6FE" w:rsidR="0062127B" w:rsidRPr="006C0B38" w:rsidRDefault="001F55B5"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6C0B38" w:rsidRDefault="001F55B5" w:rsidP="006C0B38">
      <w:pPr>
        <w:pStyle w:val="Textonotapie"/>
        <w:spacing w:after="0" w:line="240" w:lineRule="auto"/>
        <w:rPr>
          <w:rFonts w:ascii="Arial" w:hAnsi="Arial" w:cs="Arial"/>
          <w:sz w:val="18"/>
          <w:szCs w:val="18"/>
          <w:lang w:val="es-CO"/>
        </w:rPr>
      </w:pPr>
      <w:r w:rsidRPr="006C0B38">
        <w:rPr>
          <w:rStyle w:val="Refdenotaalpie"/>
          <w:rFonts w:ascii="Arial" w:hAnsi="Arial" w:cs="Arial"/>
          <w:sz w:val="18"/>
          <w:szCs w:val="18"/>
        </w:rPr>
        <w:footnoteRef/>
      </w:r>
      <w:r w:rsidRPr="006C0B38">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6C0B38" w:rsidRDefault="00883662"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de </w:t>
      </w:r>
      <w:r w:rsidR="00A923B7" w:rsidRPr="006C0B38">
        <w:rPr>
          <w:rFonts w:ascii="Arial" w:hAnsi="Arial" w:cs="Arial"/>
          <w:sz w:val="18"/>
          <w:szCs w:val="18"/>
        </w:rPr>
        <w:t>fecha 24</w:t>
      </w:r>
      <w:r w:rsidRPr="006C0B38">
        <w:rPr>
          <w:rFonts w:ascii="Arial" w:hAnsi="Arial" w:cs="Arial"/>
          <w:sz w:val="18"/>
          <w:szCs w:val="18"/>
        </w:rPr>
        <w:t xml:space="preserve"> de julio de 2013, radicado 2166, Consejero Ponente</w:t>
      </w:r>
      <w:r w:rsidR="00C579C6" w:rsidRPr="006C0B38">
        <w:rPr>
          <w:rFonts w:ascii="Arial" w:hAnsi="Arial" w:cs="Arial"/>
          <w:sz w:val="18"/>
          <w:szCs w:val="18"/>
        </w:rPr>
        <w:t>:</w:t>
      </w:r>
      <w:r w:rsidRPr="006C0B38">
        <w:rPr>
          <w:rFonts w:ascii="Arial" w:hAnsi="Arial" w:cs="Arial"/>
          <w:sz w:val="18"/>
          <w:szCs w:val="18"/>
        </w:rPr>
        <w:t xml:space="preserve"> Álvaro Namén Vargas.  </w:t>
      </w:r>
    </w:p>
  </w:footnote>
  <w:footnote w:id="8">
    <w:p w14:paraId="775A205E" w14:textId="77777777" w:rsidR="0022085C" w:rsidRPr="006C0B38" w:rsidRDefault="0022085C" w:rsidP="006C0B38">
      <w:pPr>
        <w:spacing w:after="0" w:line="240" w:lineRule="auto"/>
        <w:ind w:firstLine="709"/>
        <w:rPr>
          <w:rFonts w:ascii="Arial" w:eastAsia="Times New Roman"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16" w:name="33"/>
      <w:r w:rsidRPr="006C0B38">
        <w:rPr>
          <w:rFonts w:ascii="Arial" w:eastAsia="Calibri" w:hAnsi="Arial" w:cs="Arial"/>
          <w:bCs/>
          <w:color w:val="000000"/>
          <w:sz w:val="18"/>
          <w:szCs w:val="18"/>
        </w:rPr>
        <w:t>«</w:t>
      </w:r>
      <w:r w:rsidRPr="006C0B38">
        <w:rPr>
          <w:rFonts w:ascii="Arial" w:eastAsia="Times New Roman" w:hAnsi="Arial" w:cs="Arial"/>
          <w:sz w:val="18"/>
          <w:szCs w:val="18"/>
        </w:rPr>
        <w:t>Artículo 33. Restricciones a la contratación pública.</w:t>
      </w:r>
      <w:bookmarkEnd w:id="16"/>
      <w:r w:rsidRPr="006C0B38">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6C0B38" w:rsidRDefault="00A923B7" w:rsidP="006C0B38">
      <w:pPr>
        <w:spacing w:after="0" w:line="240" w:lineRule="auto"/>
        <w:ind w:firstLine="709"/>
        <w:rPr>
          <w:rFonts w:ascii="Arial" w:eastAsia="Times New Roman" w:hAnsi="Arial" w:cs="Arial"/>
          <w:sz w:val="18"/>
          <w:szCs w:val="18"/>
        </w:rPr>
      </w:pPr>
      <w:r w:rsidRPr="006C0B38">
        <w:rPr>
          <w:rFonts w:ascii="Arial" w:eastAsia="Calibri" w:hAnsi="Arial" w:cs="Arial"/>
          <w:bCs/>
          <w:color w:val="000000"/>
          <w:sz w:val="18"/>
          <w:szCs w:val="18"/>
        </w:rPr>
        <w:t>»</w:t>
      </w:r>
      <w:r w:rsidRPr="006C0B38">
        <w:rPr>
          <w:rFonts w:ascii="Arial" w:eastAsia="Times New Roman" w:hAnsi="Arial" w:cs="Arial"/>
          <w:sz w:val="18"/>
          <w:szCs w:val="18"/>
        </w:rPr>
        <w:t xml:space="preserve"> Queda</w:t>
      </w:r>
      <w:r w:rsidR="0022085C" w:rsidRPr="006C0B38">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6C0B38">
        <w:rPr>
          <w:rFonts w:ascii="Arial" w:eastAsia="Calibri" w:hAnsi="Arial" w:cs="Arial"/>
          <w:bCs/>
          <w:color w:val="000000"/>
          <w:sz w:val="18"/>
          <w:szCs w:val="18"/>
        </w:rPr>
        <w:t>»</w:t>
      </w:r>
      <w:r w:rsidR="0022085C" w:rsidRPr="006C0B38">
        <w:rPr>
          <w:rFonts w:ascii="Arial" w:eastAsia="Times New Roman" w:hAnsi="Arial" w:cs="Arial"/>
          <w:sz w:val="18"/>
          <w:szCs w:val="18"/>
        </w:rPr>
        <w:t>.</w:t>
      </w:r>
    </w:p>
  </w:footnote>
  <w:footnote w:id="9">
    <w:p w14:paraId="79A56581" w14:textId="77777777" w:rsidR="0022085C" w:rsidRPr="006C0B38" w:rsidRDefault="0022085C" w:rsidP="006C0B38">
      <w:pPr>
        <w:pStyle w:val="NormalWeb"/>
        <w:spacing w:before="0" w:beforeAutospacing="0" w:after="0" w:afterAutospacing="0" w:line="240" w:lineRule="auto"/>
        <w:ind w:firstLine="709"/>
        <w:rPr>
          <w:rFonts w:ascii="Arial" w:hAnsi="Arial" w:cs="Arial"/>
          <w:sz w:val="18"/>
          <w:szCs w:val="18"/>
          <w:lang w:val="es-MX"/>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17" w:name="38"/>
      <w:r w:rsidRPr="006C0B38">
        <w:rPr>
          <w:rFonts w:ascii="Arial" w:eastAsia="Calibri" w:hAnsi="Arial" w:cs="Arial"/>
          <w:bCs/>
          <w:color w:val="000000"/>
          <w:sz w:val="18"/>
          <w:szCs w:val="18"/>
        </w:rPr>
        <w:t>«</w:t>
      </w:r>
      <w:r w:rsidRPr="006C0B38">
        <w:rPr>
          <w:rFonts w:ascii="Arial" w:hAnsi="Arial" w:cs="Arial"/>
          <w:sz w:val="18"/>
          <w:szCs w:val="18"/>
          <w:lang w:val="es-MX"/>
        </w:rPr>
        <w:t>Artículo 38. Prohibiciones para los servidores públicos. A los empleados del Estado les está prohibido:</w:t>
      </w:r>
      <w:bookmarkEnd w:id="17"/>
    </w:p>
    <w:p w14:paraId="5933F9A0" w14:textId="77777777" w:rsidR="0022085C" w:rsidRPr="006C0B38" w:rsidRDefault="0022085C" w:rsidP="006C0B38">
      <w:pPr>
        <w:pStyle w:val="NormalWeb"/>
        <w:spacing w:before="0" w:beforeAutospacing="0" w:after="0" w:afterAutospacing="0" w:line="240" w:lineRule="auto"/>
        <w:ind w:firstLine="709"/>
        <w:rPr>
          <w:rFonts w:ascii="Arial" w:hAnsi="Arial" w:cs="Arial"/>
          <w:sz w:val="18"/>
          <w:szCs w:val="18"/>
          <w:lang w:val="es-MX"/>
        </w:rPr>
      </w:pPr>
      <w:r w:rsidRPr="006C0B38">
        <w:rPr>
          <w:rFonts w:ascii="Arial" w:eastAsia="Calibri" w:hAnsi="Arial" w:cs="Arial"/>
          <w:bCs/>
          <w:color w:val="000000"/>
          <w:sz w:val="18"/>
          <w:szCs w:val="18"/>
        </w:rPr>
        <w:t>»</w:t>
      </w:r>
      <w:r w:rsidRPr="006C0B38">
        <w:rPr>
          <w:rFonts w:ascii="Arial" w:hAnsi="Arial" w:cs="Arial"/>
          <w:sz w:val="18"/>
          <w:szCs w:val="18"/>
          <w:lang w:val="es-MX"/>
        </w:rPr>
        <w:t xml:space="preserve"> […]</w:t>
      </w:r>
    </w:p>
    <w:p w14:paraId="2231133F" w14:textId="06B9F71B" w:rsidR="0022085C" w:rsidRPr="006C0B38" w:rsidRDefault="00A923B7" w:rsidP="006C0B38">
      <w:pPr>
        <w:pStyle w:val="NormalWeb"/>
        <w:spacing w:before="0" w:beforeAutospacing="0" w:after="0" w:afterAutospacing="0" w:line="240" w:lineRule="auto"/>
        <w:ind w:firstLine="709"/>
        <w:rPr>
          <w:rFonts w:ascii="Arial" w:hAnsi="Arial" w:cs="Arial"/>
          <w:sz w:val="18"/>
          <w:szCs w:val="18"/>
          <w:lang w:val="es-MX"/>
        </w:rPr>
      </w:pPr>
      <w:r w:rsidRPr="006C0B38">
        <w:rPr>
          <w:rFonts w:ascii="Arial" w:eastAsia="Calibri" w:hAnsi="Arial" w:cs="Arial"/>
          <w:bCs/>
          <w:color w:val="000000"/>
          <w:sz w:val="18"/>
          <w:szCs w:val="18"/>
        </w:rPr>
        <w:t>»</w:t>
      </w:r>
      <w:r w:rsidRPr="006C0B38">
        <w:rPr>
          <w:rStyle w:val="baj"/>
          <w:rFonts w:ascii="Arial" w:hAnsi="Arial" w:cs="Arial"/>
          <w:sz w:val="18"/>
          <w:szCs w:val="18"/>
          <w:lang w:val="es-MX"/>
        </w:rPr>
        <w:t xml:space="preserve"> Parágrafo</w:t>
      </w:r>
      <w:r w:rsidR="0022085C" w:rsidRPr="006C0B38">
        <w:rPr>
          <w:rStyle w:val="baj"/>
          <w:rFonts w:ascii="Arial" w:hAnsi="Arial" w:cs="Arial"/>
          <w:sz w:val="18"/>
          <w:szCs w:val="18"/>
          <w:lang w:val="es-MX"/>
        </w:rPr>
        <w:t>.</w:t>
      </w:r>
      <w:r w:rsidR="0022085C" w:rsidRPr="006C0B38">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6C0B38">
        <w:rPr>
          <w:rFonts w:ascii="Arial" w:eastAsia="Calibri" w:hAnsi="Arial" w:cs="Arial"/>
          <w:bCs/>
          <w:color w:val="000000"/>
          <w:sz w:val="18"/>
          <w:szCs w:val="18"/>
        </w:rPr>
        <w:t>»</w:t>
      </w:r>
      <w:r w:rsidR="0022085C" w:rsidRPr="006C0B38">
        <w:rPr>
          <w:rFonts w:ascii="Arial" w:hAnsi="Arial" w:cs="Arial"/>
          <w:sz w:val="18"/>
          <w:szCs w:val="18"/>
          <w:lang w:val="es-MX"/>
        </w:rPr>
        <w:t>.</w:t>
      </w:r>
    </w:p>
  </w:footnote>
  <w:footnote w:id="10">
    <w:p w14:paraId="7BDEC286" w14:textId="0D4AB978" w:rsidR="0022085C" w:rsidRPr="006C0B38" w:rsidRDefault="0022085C" w:rsidP="006C0B38">
      <w:pPr>
        <w:spacing w:after="0" w:line="240" w:lineRule="auto"/>
        <w:ind w:left="100" w:right="244"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6C0B38" w:rsidRDefault="00DB61B2"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23" w:name="_Hlk74272731"/>
      <w:r w:rsidRPr="006C0B38">
        <w:rPr>
          <w:rFonts w:ascii="Arial" w:hAnsi="Arial" w:cs="Arial"/>
          <w:sz w:val="18"/>
          <w:szCs w:val="18"/>
        </w:rPr>
        <w:t>«</w:t>
      </w:r>
      <w:bookmarkEnd w:id="23"/>
      <w:r w:rsidRPr="006C0B38">
        <w:rPr>
          <w:rFonts w:ascii="Arial" w:hAnsi="Arial" w:cs="Arial"/>
          <w:sz w:val="18"/>
          <w:szCs w:val="18"/>
          <w:lang w:val="es-ES"/>
        </w:rPr>
        <w:t xml:space="preserve">[25] </w:t>
      </w:r>
      <w:r w:rsidRPr="006C0B38">
        <w:rPr>
          <w:rFonts w:ascii="Arial" w:hAnsi="Arial" w:cs="Arial"/>
          <w:sz w:val="18"/>
          <w:szCs w:val="18"/>
        </w:rPr>
        <w:t>Cfr. Consejo de Estado. Sección Tercera. Sentencia de 3 de diciembre de 2007. Radicados: 24.715, 25.206, 25.409, 24.524, 27.834, 25.410, 26.105, 28.244, 31.447 -acumulados-</w:t>
      </w:r>
      <w:bookmarkStart w:id="24" w:name="_Hlk74271358"/>
      <w:r w:rsidRPr="006C0B38">
        <w:rPr>
          <w:rFonts w:ascii="Arial" w:hAnsi="Arial" w:cs="Arial"/>
          <w:sz w:val="18"/>
          <w:szCs w:val="18"/>
        </w:rPr>
        <w:t>»</w:t>
      </w:r>
      <w:bookmarkEnd w:id="24"/>
      <w:r w:rsidRPr="006C0B38">
        <w:rPr>
          <w:rFonts w:ascii="Arial" w:hAnsi="Arial" w:cs="Arial"/>
          <w:sz w:val="18"/>
          <w:szCs w:val="18"/>
        </w:rPr>
        <w:t>.</w:t>
      </w:r>
    </w:p>
  </w:footnote>
  <w:footnote w:id="12">
    <w:p w14:paraId="4285AEFA" w14:textId="4874F93C" w:rsidR="000E33BC" w:rsidRPr="006C0B38" w:rsidRDefault="00DB61B2"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26" w:name="_Hlk74294506"/>
      <w:r w:rsidRPr="006C0B38">
        <w:rPr>
          <w:rFonts w:ascii="Arial" w:hAnsi="Arial" w:cs="Arial"/>
          <w:sz w:val="18"/>
          <w:szCs w:val="18"/>
        </w:rPr>
        <w:t>«</w:t>
      </w:r>
      <w:r w:rsidRPr="006C0B38">
        <w:rPr>
          <w:rFonts w:ascii="Arial" w:hAnsi="Arial" w:cs="Arial"/>
          <w:sz w:val="18"/>
          <w:szCs w:val="18"/>
          <w:lang w:val="es-ES"/>
        </w:rPr>
        <w:t xml:space="preserve">[26] </w:t>
      </w:r>
      <w:bookmarkEnd w:id="26"/>
      <w:r w:rsidRPr="006C0B38">
        <w:rPr>
          <w:rFonts w:ascii="Arial" w:hAnsi="Arial" w:cs="Arial"/>
          <w:sz w:val="18"/>
          <w:szCs w:val="18"/>
        </w:rPr>
        <w:t>Al respecto ver el concepto 1712 de 2 de febrero de 2006. Consejo de Estado Sala de Consulta y Servicio Civil».</w:t>
      </w:r>
    </w:p>
  </w:footnote>
  <w:footnote w:id="13">
    <w:p w14:paraId="38B6337A" w14:textId="77777777" w:rsidR="007701D9" w:rsidRPr="006C0B38" w:rsidRDefault="007701D9"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4">
    <w:p w14:paraId="3390695E" w14:textId="4A8A5374" w:rsidR="000E33BC" w:rsidRPr="006C0B38" w:rsidRDefault="00DB61B2"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ES"/>
        </w:rPr>
        <w:t xml:space="preserve">Artículo 2. </w:t>
      </w:r>
    </w:p>
  </w:footnote>
  <w:footnote w:id="15">
    <w:p w14:paraId="63F8641B" w14:textId="37B06F1E" w:rsidR="000E33BC" w:rsidRPr="006C0B38" w:rsidRDefault="00DB61B2"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i/>
          <w:sz w:val="18"/>
          <w:szCs w:val="18"/>
          <w:lang w:val="es-ES"/>
        </w:rPr>
        <w:t>Ídem</w:t>
      </w:r>
      <w:r w:rsidRPr="006C0B38">
        <w:rPr>
          <w:rFonts w:ascii="Arial" w:hAnsi="Arial" w:cs="Arial"/>
          <w:sz w:val="18"/>
          <w:szCs w:val="18"/>
          <w:lang w:val="es-ES"/>
        </w:rPr>
        <w:t>.</w:t>
      </w:r>
    </w:p>
  </w:footnote>
  <w:footnote w:id="16">
    <w:p w14:paraId="726E5571" w14:textId="06A3B3E9" w:rsidR="000E33BC" w:rsidRPr="006C0B38" w:rsidRDefault="00DB61B2"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Style w:val="Refdenotaalpie"/>
          <w:rFonts w:ascii="Arial" w:hAnsi="Arial" w:cs="Arial"/>
          <w:sz w:val="18"/>
          <w:szCs w:val="18"/>
        </w:rPr>
        <w:t xml:space="preserve"> </w:t>
      </w:r>
      <w:bookmarkStart w:id="30" w:name="_Hlk74297130"/>
      <w:r w:rsidRPr="006C0B38">
        <w:rPr>
          <w:rFonts w:ascii="Arial" w:hAnsi="Arial" w:cs="Arial"/>
          <w:sz w:val="18"/>
          <w:szCs w:val="18"/>
          <w:lang w:val="es-ES"/>
        </w:rPr>
        <w:t>«</w:t>
      </w:r>
      <w:bookmarkEnd w:id="30"/>
      <w:r w:rsidRPr="006C0B38">
        <w:rPr>
          <w:rFonts w:ascii="Arial" w:hAnsi="Arial" w:cs="Arial"/>
          <w:sz w:val="18"/>
          <w:szCs w:val="18"/>
          <w:lang w:val="es-ES"/>
        </w:rPr>
        <w:t>[…] A este respecto, cabe recordar que el artículo 860 del Código de Comercio regula la licitación en el derecho privado»</w:t>
      </w:r>
      <w:r w:rsidR="000E33BC" w:rsidRPr="006C0B38">
        <w:rPr>
          <w:rFonts w:ascii="Arial" w:hAnsi="Arial" w:cs="Arial"/>
          <w:sz w:val="18"/>
          <w:szCs w:val="18"/>
          <w:lang w:val="es-ES"/>
        </w:rPr>
        <w:t>.</w:t>
      </w:r>
      <w:r w:rsidRPr="006C0B38">
        <w:rPr>
          <w:rFonts w:ascii="Arial" w:hAnsi="Arial" w:cs="Arial"/>
          <w:sz w:val="18"/>
          <w:szCs w:val="18"/>
          <w:lang w:val="es-ES"/>
        </w:rPr>
        <w:t xml:space="preserve"> </w:t>
      </w:r>
    </w:p>
  </w:footnote>
  <w:footnote w:id="17">
    <w:p w14:paraId="3DE7C088" w14:textId="5139953C" w:rsidR="00856B57" w:rsidRPr="006C0B38" w:rsidRDefault="008C6B51" w:rsidP="006C0B38">
      <w:pPr>
        <w:shd w:val="clear" w:color="auto" w:fill="FFFFFF"/>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Style w:val="Refdenotaalpie"/>
          <w:rFonts w:ascii="Arial" w:hAnsi="Arial" w:cs="Arial"/>
          <w:sz w:val="18"/>
          <w:szCs w:val="18"/>
        </w:rPr>
        <w:t xml:space="preserve"> </w:t>
      </w:r>
      <w:r w:rsidRPr="006C0B38">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6C0B38">
        <w:rPr>
          <w:rFonts w:ascii="Arial" w:hAnsi="Arial" w:cs="Arial"/>
          <w:sz w:val="18"/>
          <w:szCs w:val="18"/>
          <w:lang w:val="es-ES"/>
        </w:rPr>
        <w:t>Namén</w:t>
      </w:r>
      <w:proofErr w:type="spellEnd"/>
      <w:r w:rsidRPr="006C0B38">
        <w:rPr>
          <w:rFonts w:ascii="Arial" w:hAnsi="Arial" w:cs="Arial"/>
          <w:sz w:val="18"/>
          <w:szCs w:val="18"/>
          <w:lang w:val="es-ES"/>
        </w:rPr>
        <w:t xml:space="preserve"> Vargas.</w:t>
      </w:r>
    </w:p>
  </w:footnote>
  <w:footnote w:id="18">
    <w:p w14:paraId="49A02CDD" w14:textId="70865DBB" w:rsidR="00F61159" w:rsidRPr="006C0B38" w:rsidRDefault="00F61159"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del 08 de mayo de 2018. Exp. 2.382. C.P. Álvaro Namén Vargas.</w:t>
      </w:r>
    </w:p>
  </w:footnote>
  <w:footnote w:id="19">
    <w:p w14:paraId="14F5FB64" w14:textId="77777777" w:rsidR="00856B57" w:rsidRPr="006C0B38" w:rsidRDefault="00856B57"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291F035A" w:rsidR="004E638B" w:rsidRPr="006C0B38" w:rsidRDefault="00856B57"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6C0B38" w:rsidRDefault="00182C6C"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44" w:name="_Hlk75633115"/>
      <w:r w:rsidR="00204F6E" w:rsidRPr="006C0B38">
        <w:rPr>
          <w:rFonts w:ascii="Arial" w:hAnsi="Arial" w:cs="Arial"/>
          <w:sz w:val="18"/>
          <w:szCs w:val="18"/>
        </w:rPr>
        <w:t xml:space="preserve">Consejo de Estado. Sala de Consulta y Servicio Civil. Concepto </w:t>
      </w:r>
      <w:bookmarkEnd w:id="44"/>
      <w:r w:rsidR="00204F6E" w:rsidRPr="006C0B38">
        <w:rPr>
          <w:rFonts w:ascii="Arial" w:hAnsi="Arial" w:cs="Arial"/>
          <w:sz w:val="18"/>
          <w:szCs w:val="18"/>
        </w:rPr>
        <w:t>de 6 de abril de 2006. Radicación Número:</w:t>
      </w:r>
      <w:r w:rsidR="00D07F68" w:rsidRPr="006C0B38">
        <w:rPr>
          <w:rFonts w:ascii="Arial" w:hAnsi="Arial" w:cs="Arial"/>
          <w:sz w:val="18"/>
          <w:szCs w:val="18"/>
        </w:rPr>
        <w:t xml:space="preserve"> </w:t>
      </w:r>
      <w:r w:rsidR="00204F6E" w:rsidRPr="006C0B38">
        <w:rPr>
          <w:rFonts w:ascii="Arial" w:hAnsi="Arial" w:cs="Arial"/>
          <w:sz w:val="18"/>
          <w:szCs w:val="18"/>
        </w:rPr>
        <w:t>11001-03-06-000-2006-00038-00(1738). Consejero Ponente: Enrique José Arboleda Perdomo</w:t>
      </w:r>
      <w:r w:rsidR="00D07F68" w:rsidRPr="006C0B38">
        <w:rPr>
          <w:rFonts w:ascii="Arial" w:hAnsi="Arial" w:cs="Arial"/>
          <w:sz w:val="18"/>
          <w:szCs w:val="18"/>
        </w:rPr>
        <w:t>:</w:t>
      </w:r>
      <w:r w:rsidR="00D07F68" w:rsidRPr="006C0B38">
        <w:rPr>
          <w:rFonts w:ascii="Arial" w:eastAsia="Times New Roman" w:hAnsi="Arial" w:cs="Arial"/>
          <w:bCs/>
          <w:sz w:val="18"/>
          <w:szCs w:val="18"/>
          <w:lang w:eastAsia="x-none"/>
        </w:rPr>
        <w:t xml:space="preserve"> «</w:t>
      </w:r>
      <w:r w:rsidR="00D07F68" w:rsidRPr="006C0B38">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6C0B38">
        <w:rPr>
          <w:rFonts w:ascii="Arial" w:eastAsia="Times New Roman" w:hAnsi="Arial" w:cs="Arial"/>
          <w:bCs/>
          <w:sz w:val="18"/>
          <w:szCs w:val="18"/>
          <w:lang w:eastAsia="x-none"/>
        </w:rPr>
        <w:t>»</w:t>
      </w:r>
      <w:r w:rsidR="004E638B" w:rsidRPr="006C0B38">
        <w:rPr>
          <w:rFonts w:ascii="Arial" w:eastAsia="Times New Roman" w:hAnsi="Arial" w:cs="Arial"/>
          <w:bCs/>
          <w:sz w:val="18"/>
          <w:szCs w:val="18"/>
          <w:lang w:eastAsia="x-none"/>
        </w:rPr>
        <w:t>.</w:t>
      </w:r>
    </w:p>
  </w:footnote>
  <w:footnote w:id="22">
    <w:p w14:paraId="004661B1" w14:textId="25D06465" w:rsidR="004E638B" w:rsidRPr="006C0B38" w:rsidRDefault="003D73F1"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004E638B" w:rsidRPr="006C0B38">
        <w:rPr>
          <w:rFonts w:ascii="Arial" w:hAnsi="Arial" w:cs="Arial"/>
          <w:sz w:val="18"/>
          <w:szCs w:val="18"/>
        </w:rPr>
        <w:t>.</w:t>
      </w:r>
    </w:p>
  </w:footnote>
  <w:footnote w:id="23">
    <w:p w14:paraId="5BA39CA3" w14:textId="77777777" w:rsidR="003D73F1" w:rsidRPr="006C0B38" w:rsidRDefault="003D73F1"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ídem.</w:t>
      </w:r>
    </w:p>
  </w:footnote>
  <w:footnote w:id="24">
    <w:p w14:paraId="1503365A" w14:textId="11BDF214" w:rsidR="0025237E" w:rsidRPr="006C0B38" w:rsidRDefault="0025237E"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5">
    <w:p w14:paraId="3748E0E7" w14:textId="77777777" w:rsidR="0025237E" w:rsidRPr="006C0B38" w:rsidRDefault="0025237E"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1E8DF54" w14:textId="77777777" w:rsidR="0025237E" w:rsidRPr="006C0B38" w:rsidRDefault="0025237E" w:rsidP="006C0B38">
      <w:pPr>
        <w:spacing w:after="0" w:line="240" w:lineRule="auto"/>
        <w:ind w:firstLine="709"/>
        <w:rPr>
          <w:rFonts w:ascii="Arial" w:hAnsi="Arial" w:cs="Arial"/>
          <w:sz w:val="18"/>
          <w:szCs w:val="18"/>
        </w:rPr>
      </w:pPr>
      <w:r w:rsidRPr="006C0B38">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6C0B38">
        <w:rPr>
          <w:rFonts w:ascii="Arial" w:hAnsi="Arial" w:cs="Arial"/>
          <w:spacing w:val="-1"/>
          <w:sz w:val="18"/>
          <w:szCs w:val="18"/>
        </w:rPr>
        <w:t xml:space="preserve"> </w:t>
      </w:r>
      <w:r w:rsidRPr="006C0B38">
        <w:rPr>
          <w:rFonts w:ascii="Arial" w:hAnsi="Arial" w:cs="Arial"/>
          <w:sz w:val="18"/>
          <w:szCs w:val="18"/>
        </w:rPr>
        <w:t>Estatales».</w:t>
      </w:r>
    </w:p>
  </w:footnote>
  <w:footnote w:id="26">
    <w:p w14:paraId="0275F528" w14:textId="46A84238" w:rsidR="0025237E" w:rsidRPr="006C0B38" w:rsidRDefault="0025237E"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6C0B38">
        <w:rPr>
          <w:rFonts w:ascii="Arial" w:hAnsi="Arial" w:cs="Arial"/>
          <w:spacing w:val="-6"/>
          <w:sz w:val="18"/>
          <w:szCs w:val="18"/>
        </w:rPr>
        <w:t xml:space="preserve"> </w:t>
      </w:r>
      <w:r w:rsidRPr="006C0B38">
        <w:rPr>
          <w:rFonts w:ascii="Arial" w:hAnsi="Arial" w:cs="Arial"/>
          <w:sz w:val="18"/>
          <w:szCs w:val="18"/>
        </w:rPr>
        <w:t>artículo».</w:t>
      </w:r>
    </w:p>
  </w:footnote>
  <w:footnote w:id="27">
    <w:p w14:paraId="0862F2A7" w14:textId="40013BC8" w:rsidR="0025237E" w:rsidRPr="006C0B38" w:rsidRDefault="00456BF3" w:rsidP="006C0B38">
      <w:pPr>
        <w:spacing w:after="0" w:line="240" w:lineRule="auto"/>
        <w:ind w:right="454" w:firstLine="709"/>
        <w:rPr>
          <w:rFonts w:ascii="Arial" w:hAnsi="Arial" w:cs="Arial"/>
          <w:sz w:val="18"/>
          <w:szCs w:val="18"/>
        </w:rPr>
      </w:pPr>
      <w:r w:rsidRPr="006C0B38">
        <w:rPr>
          <w:rStyle w:val="Refdenotaalpie"/>
          <w:rFonts w:ascii="Arial" w:hAnsi="Arial" w:cs="Arial"/>
          <w:sz w:val="18"/>
          <w:szCs w:val="18"/>
        </w:rPr>
        <w:footnoteRef/>
      </w:r>
      <w:r w:rsidR="0025237E" w:rsidRPr="006C0B38">
        <w:rPr>
          <w:rFonts w:ascii="Arial" w:hAnsi="Arial" w:cs="Arial"/>
          <w:position w:val="7"/>
          <w:sz w:val="18"/>
          <w:szCs w:val="18"/>
        </w:rPr>
        <w:t xml:space="preserve"> </w:t>
      </w:r>
      <w:r w:rsidR="0025237E" w:rsidRPr="006C0B38">
        <w:rPr>
          <w:rFonts w:ascii="Arial" w:hAnsi="Arial" w:cs="Arial"/>
          <w:sz w:val="18"/>
          <w:szCs w:val="18"/>
        </w:rPr>
        <w:t>Consejo de Estado. Sección Tercera. Sentencia del 23 de junio de 2010. Radicación No. 66001-23-31-000-1998-00261-01(17.860). Consejero Ponente: Mauricio Fajardo Gómez.</w:t>
      </w:r>
    </w:p>
  </w:footnote>
  <w:footnote w:id="28">
    <w:p w14:paraId="41CE025A" w14:textId="146A2400" w:rsidR="0025237E" w:rsidRPr="006C0B38" w:rsidRDefault="0025237E"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Sección Tercera. Subsección C. Sentencia del 11 de diciembre de 2019. Exp. 46.986. C.P. Jaime Enrique Rodríguez Navas.</w:t>
      </w:r>
    </w:p>
  </w:footnote>
  <w:footnote w:id="29">
    <w:p w14:paraId="173D01A0" w14:textId="7777777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[Referencia propia de la cita] «CE. SCSC. Concepto de 1 de noviembre de 2016 [Rad. 11001-03-06-000-2016-00125-00(2305)]. MP. Germán Alberto Bula Escobar».</w:t>
      </w:r>
    </w:p>
  </w:footnote>
  <w:footnote w:id="30">
    <w:p w14:paraId="1A74232E" w14:textId="7777777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6C0B38">
        <w:rPr>
          <w:rFonts w:ascii="Arial" w:hAnsi="Arial" w:cs="Arial"/>
          <w:i/>
          <w:sz w:val="18"/>
          <w:szCs w:val="18"/>
        </w:rPr>
        <w:t>“obligacional”</w:t>
      </w:r>
      <w:r w:rsidRPr="006C0B38">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1">
    <w:p w14:paraId="74765D32" w14:textId="7777777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[Referencia propia de la cita] «La normativa vigente del EGCAP </w:t>
      </w:r>
      <w:r w:rsidRPr="006C0B38">
        <w:rPr>
          <w:rFonts w:ascii="Arial" w:hAnsi="Arial" w:cs="Arial"/>
          <w:i/>
          <w:sz w:val="18"/>
          <w:szCs w:val="18"/>
        </w:rPr>
        <w:t>[literal c) del numeral 4. del artículo 2 de la Ley 1150/07]</w:t>
      </w:r>
      <w:r w:rsidRPr="006C0B38">
        <w:rPr>
          <w:rFonts w:ascii="Arial" w:hAnsi="Arial" w:cs="Arial"/>
          <w:sz w:val="18"/>
          <w:szCs w:val="18"/>
        </w:rPr>
        <w:t xml:space="preserve"> se refiere a </w:t>
      </w:r>
      <w:r w:rsidRPr="006C0B38">
        <w:rPr>
          <w:rFonts w:ascii="Arial" w:hAnsi="Arial" w:cs="Arial"/>
          <w:i/>
          <w:sz w:val="18"/>
          <w:szCs w:val="18"/>
        </w:rPr>
        <w:t>“contratos interadministrativos”</w:t>
      </w:r>
      <w:r w:rsidRPr="006C0B38">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7BE23DEC" w14:textId="714AEE02"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sidRPr="006C0B38">
        <w:rPr>
          <w:rFonts w:ascii="Arial" w:hAnsi="Arial" w:cs="Arial"/>
          <w:sz w:val="18"/>
          <w:szCs w:val="18"/>
        </w:rPr>
        <w:t>.</w:t>
      </w:r>
    </w:p>
  </w:footnote>
  <w:footnote w:id="33">
    <w:p w14:paraId="77ABBD66" w14:textId="35DE138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Es lo que sucede, por ejemplo, con el Decreto 092 de 2017, que en su desarrollo hace referencia tanto a los «contratos» como a los «convenios». </w:t>
      </w:r>
    </w:p>
  </w:footnote>
  <w:footnote w:id="34">
    <w:p w14:paraId="128DE0A7" w14:textId="77777777" w:rsidR="0025237E" w:rsidRPr="006C0B38" w:rsidRDefault="0025237E" w:rsidP="006C0B38">
      <w:pPr>
        <w:pStyle w:val="Textonotapie"/>
        <w:spacing w:after="0" w:line="240" w:lineRule="auto"/>
        <w:ind w:firstLine="708"/>
        <w:rPr>
          <w:rFonts w:ascii="Arial" w:hAnsi="Arial" w:cs="Arial"/>
          <w:sz w:val="18"/>
          <w:szCs w:val="18"/>
          <w:lang w:val="es-CO"/>
        </w:rPr>
      </w:pPr>
      <w:r w:rsidRPr="006C0B38">
        <w:rPr>
          <w:rStyle w:val="Refdenotaalpie"/>
          <w:rFonts w:ascii="Arial" w:hAnsi="Arial" w:cs="Arial"/>
          <w:sz w:val="18"/>
          <w:szCs w:val="18"/>
        </w:rPr>
        <w:footnoteRef/>
      </w:r>
      <w:r w:rsidRPr="006C0B38">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54D48212" w14:textId="7292C040" w:rsidR="00377BF5" w:rsidRPr="006C0B38" w:rsidRDefault="00377BF5"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5B59F591" w14:textId="239FF866" w:rsidR="00D23B7C" w:rsidRPr="006C0B38" w:rsidRDefault="0025237E"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7">
    <w:p w14:paraId="53AC7BAC" w14:textId="3975AB11" w:rsidR="00D23B7C"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Que en su artículo 141 establece: «La presente Ley rige a partir de la fecha de su publicación y surte efectos fiscales a partir del 1 de enero de 2022».</w:t>
      </w:r>
    </w:p>
  </w:footnote>
  <w:footnote w:id="38">
    <w:p w14:paraId="1858968D" w14:textId="77777777" w:rsidR="007B234F" w:rsidRPr="006C0B38" w:rsidRDefault="007B234F"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ES"/>
        </w:rPr>
        <w:t xml:space="preserve">Correspondiente al Proyecto de Ley 158/21 Cámara y 096/2021 Senado, cuyo texto definitivo fue aprobado en plenaria del Senado de la República el día 19 de octubre de 2021, según la </w:t>
      </w:r>
      <w:proofErr w:type="gramStart"/>
      <w:r w:rsidRPr="006C0B38">
        <w:rPr>
          <w:rFonts w:ascii="Arial" w:hAnsi="Arial" w:cs="Arial"/>
          <w:sz w:val="18"/>
          <w:szCs w:val="18"/>
          <w:lang w:val="es-ES"/>
        </w:rPr>
        <w:t>Gaceta  del</w:t>
      </w:r>
      <w:proofErr w:type="gramEnd"/>
      <w:r w:rsidRPr="006C0B38">
        <w:rPr>
          <w:rFonts w:ascii="Arial" w:hAnsi="Arial" w:cs="Arial"/>
          <w:sz w:val="18"/>
          <w:szCs w:val="18"/>
          <w:lang w:val="es-ES"/>
        </w:rPr>
        <w:t xml:space="preserve"> Congreso de la República nro. 1496. </w:t>
      </w:r>
    </w:p>
  </w:footnote>
  <w:footnote w:id="39">
    <w:p w14:paraId="1BF9C89C" w14:textId="3B3C5F57" w:rsidR="0003107B"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Aunque el Estado sea un concepto más amplio que comprende al conjunto de órganos que realizan las diversas funciones y servicios estatales, ya sea en el orden nacional, o ya sea en los otros niveles territoriales.</w:t>
      </w:r>
    </w:p>
  </w:footnote>
  <w:footnote w:id="40">
    <w:p w14:paraId="6659E3E3"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sz w:val="18"/>
          <w:szCs w:val="18"/>
          <w:lang w:val="es-CO" w:eastAsia="es-CO"/>
        </w:rPr>
        <w:t>«</w:t>
      </w:r>
      <w:r w:rsidRPr="006C0B38">
        <w:rPr>
          <w:rFonts w:ascii="Arial" w:hAnsi="Arial" w:cs="Arial"/>
          <w:sz w:val="18"/>
          <w:szCs w:val="18"/>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Fonts w:ascii="Arial" w:eastAsia="Times New Roman" w:hAnsi="Arial" w:cs="Arial"/>
          <w:sz w:val="18"/>
          <w:szCs w:val="18"/>
          <w:lang w:val="es-CO" w:eastAsia="es-CO"/>
        </w:rPr>
        <w:t xml:space="preserve">» </w:t>
      </w:r>
      <w:r w:rsidRPr="006C0B38">
        <w:rPr>
          <w:rFonts w:ascii="Arial" w:hAnsi="Arial" w:cs="Arial"/>
          <w:sz w:val="18"/>
          <w:szCs w:val="18"/>
        </w:rPr>
        <w:t xml:space="preserve">1. Gobernarse por autoridades propias. </w:t>
      </w:r>
    </w:p>
    <w:p w14:paraId="09623ECD"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Fonts w:ascii="Arial" w:eastAsia="Times New Roman" w:hAnsi="Arial" w:cs="Arial"/>
          <w:sz w:val="18"/>
          <w:szCs w:val="18"/>
          <w:lang w:val="es-CO" w:eastAsia="es-CO"/>
        </w:rPr>
        <w:t xml:space="preserve">» </w:t>
      </w:r>
      <w:r w:rsidRPr="006C0B38">
        <w:rPr>
          <w:rFonts w:ascii="Arial" w:hAnsi="Arial" w:cs="Arial"/>
          <w:sz w:val="18"/>
          <w:szCs w:val="18"/>
        </w:rPr>
        <w:t xml:space="preserve">2. Ejercer las competencias que les correspondan. </w:t>
      </w:r>
    </w:p>
    <w:p w14:paraId="190FEE81" w14:textId="7230847D" w:rsidR="007B234F" w:rsidRPr="006C0B38" w:rsidRDefault="007B234F" w:rsidP="006C0B38">
      <w:pPr>
        <w:pStyle w:val="Textonotapie"/>
        <w:spacing w:after="0" w:line="240" w:lineRule="auto"/>
        <w:ind w:left="708"/>
        <w:rPr>
          <w:rFonts w:ascii="Arial" w:hAnsi="Arial" w:cs="Arial"/>
          <w:sz w:val="18"/>
          <w:szCs w:val="18"/>
        </w:rPr>
      </w:pPr>
      <w:r w:rsidRPr="006C0B38">
        <w:rPr>
          <w:rFonts w:ascii="Arial" w:eastAsia="Times New Roman" w:hAnsi="Arial" w:cs="Arial"/>
          <w:sz w:val="18"/>
          <w:szCs w:val="18"/>
          <w:lang w:val="es-CO" w:eastAsia="es-CO"/>
        </w:rPr>
        <w:t>»</w:t>
      </w:r>
      <w:r w:rsidRPr="006C0B38">
        <w:rPr>
          <w:rFonts w:ascii="Arial" w:hAnsi="Arial" w:cs="Arial"/>
          <w:sz w:val="18"/>
          <w:szCs w:val="18"/>
        </w:rPr>
        <w:t xml:space="preserve">3. Administrar los recursos y establecer los tributos necesarios para el cumplimiento de sus funciones. </w:t>
      </w:r>
    </w:p>
    <w:p w14:paraId="133D8EE7"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Fonts w:ascii="Arial" w:eastAsia="Times New Roman" w:hAnsi="Arial" w:cs="Arial"/>
          <w:sz w:val="18"/>
          <w:szCs w:val="18"/>
          <w:lang w:val="es-CO" w:eastAsia="es-CO"/>
        </w:rPr>
        <w:t xml:space="preserve">» </w:t>
      </w:r>
      <w:r w:rsidRPr="006C0B38">
        <w:rPr>
          <w:rFonts w:ascii="Arial" w:hAnsi="Arial" w:cs="Arial"/>
          <w:sz w:val="18"/>
          <w:szCs w:val="18"/>
        </w:rPr>
        <w:t>4. Participar en las rentas nacionales,</w:t>
      </w:r>
      <w:r w:rsidRPr="006C0B38">
        <w:rPr>
          <w:rFonts w:ascii="Arial" w:eastAsia="Times New Roman" w:hAnsi="Arial" w:cs="Arial"/>
          <w:sz w:val="18"/>
          <w:szCs w:val="18"/>
          <w:lang w:val="es-CO" w:eastAsia="es-CO"/>
        </w:rPr>
        <w:t>»</w:t>
      </w:r>
    </w:p>
  </w:footnote>
  <w:footnote w:id="41">
    <w:p w14:paraId="2C08F4C6" w14:textId="16225A89" w:rsidR="006E4F08"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Corte Constitucional, Sentencia C-221 del 29 de abril de 1997. M.P. Alejandro Martínez Caballero.</w:t>
      </w:r>
    </w:p>
  </w:footnote>
  <w:footnote w:id="42">
    <w:p w14:paraId="00156406" w14:textId="77777777" w:rsidR="007B234F" w:rsidRPr="006C0B38" w:rsidRDefault="007B234F" w:rsidP="006C0B38">
      <w:pPr>
        <w:shd w:val="clear" w:color="auto" w:fill="FFFFFF"/>
        <w:spacing w:after="0" w:line="240" w:lineRule="auto"/>
        <w:ind w:firstLine="709"/>
        <w:rPr>
          <w:rFonts w:ascii="Arial" w:eastAsia="Times New Roman" w:hAnsi="Arial" w:cs="Arial"/>
          <w:bCs/>
          <w:sz w:val="18"/>
          <w:szCs w:val="18"/>
          <w:lang w:eastAsia="es-CO"/>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bCs/>
          <w:sz w:val="18"/>
          <w:szCs w:val="18"/>
          <w:lang w:eastAsia="es-CO"/>
        </w:rPr>
        <w:t>Corte Constitucional, Sentencia T-247 del 10 de abril de 2007.</w:t>
      </w:r>
      <w:r w:rsidRPr="006C0B38">
        <w:rPr>
          <w:rFonts w:ascii="Arial" w:hAnsi="Arial" w:cs="Arial"/>
          <w:sz w:val="18"/>
          <w:szCs w:val="18"/>
        </w:rPr>
        <w:t xml:space="preserve"> </w:t>
      </w:r>
      <w:r w:rsidRPr="006C0B38">
        <w:rPr>
          <w:rFonts w:ascii="Arial" w:eastAsia="Times New Roman" w:hAnsi="Arial" w:cs="Arial"/>
          <w:bCs/>
          <w:sz w:val="18"/>
          <w:szCs w:val="18"/>
          <w:lang w:eastAsia="es-CO"/>
        </w:rPr>
        <w:t>M.P. Rodrigo Escobar Gil.</w:t>
      </w:r>
    </w:p>
  </w:footnote>
  <w:footnote w:id="43">
    <w:p w14:paraId="431612AD" w14:textId="4A579D08" w:rsidR="008C596E" w:rsidRPr="006C0B38" w:rsidRDefault="007B234F" w:rsidP="006C0B38">
      <w:pPr>
        <w:pStyle w:val="Textonotapie"/>
        <w:spacing w:after="0" w:line="240" w:lineRule="auto"/>
        <w:ind w:firstLine="709"/>
        <w:rPr>
          <w:rFonts w:ascii="Arial" w:eastAsia="Times New Roman" w:hAnsi="Arial" w:cs="Arial"/>
          <w:bCs/>
          <w:sz w:val="18"/>
          <w:szCs w:val="18"/>
          <w:lang w:eastAsia="es-CO"/>
        </w:rPr>
      </w:pPr>
      <w:r w:rsidRPr="006C0B38">
        <w:rPr>
          <w:rStyle w:val="Refdenotaalpie"/>
          <w:rFonts w:ascii="Arial" w:hAnsi="Arial" w:cs="Arial"/>
          <w:sz w:val="18"/>
          <w:szCs w:val="18"/>
        </w:rPr>
        <w:footnoteRef/>
      </w:r>
      <w:r w:rsidRPr="006C0B38">
        <w:rPr>
          <w:rFonts w:ascii="Arial" w:hAnsi="Arial" w:cs="Arial"/>
          <w:sz w:val="18"/>
          <w:szCs w:val="18"/>
        </w:rPr>
        <w:t xml:space="preserve"> El artículo 68 de la Ley 489 de 1998 sobre este sector preceptúa: </w:t>
      </w:r>
      <w:r w:rsidRPr="006C0B38">
        <w:rPr>
          <w:rFonts w:ascii="Arial" w:eastAsia="Times New Roman" w:hAnsi="Arial" w:cs="Arial"/>
          <w:bCs/>
          <w:sz w:val="18"/>
          <w:szCs w:val="18"/>
          <w:lang w:eastAsia="es-CO"/>
        </w:rPr>
        <w:t>«</w:t>
      </w:r>
      <w:r w:rsidRPr="006C0B38">
        <w:rPr>
          <w:rFonts w:ascii="Arial" w:hAnsi="Arial" w:cs="Arial"/>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6C0B38">
        <w:rPr>
          <w:rFonts w:ascii="Arial" w:eastAsia="Times New Roman" w:hAnsi="Arial" w:cs="Arial"/>
          <w:bCs/>
          <w:sz w:val="18"/>
          <w:szCs w:val="18"/>
          <w:lang w:eastAsia="es-CO"/>
        </w:rPr>
        <w:t>»</w:t>
      </w:r>
      <w:r w:rsidR="008C596E" w:rsidRPr="006C0B38">
        <w:rPr>
          <w:rFonts w:ascii="Arial" w:eastAsia="Times New Roman" w:hAnsi="Arial" w:cs="Arial"/>
          <w:bCs/>
          <w:sz w:val="18"/>
          <w:szCs w:val="18"/>
          <w:lang w:eastAsia="es-CO"/>
        </w:rPr>
        <w:t>.</w:t>
      </w:r>
    </w:p>
  </w:footnote>
  <w:footnote w:id="44">
    <w:p w14:paraId="3DA31957" w14:textId="77777777" w:rsidR="007B234F" w:rsidRPr="006C0B38" w:rsidRDefault="007B234F"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Rodríguez Libardo, Derecho Administrativo, general y colombiano, Editorial Temis, (2015), Bogotá, Colombia, p. 160.</w:t>
      </w:r>
    </w:p>
  </w:footnote>
  <w:footnote w:id="45">
    <w:p w14:paraId="3097A572" w14:textId="47CB61C4" w:rsidR="008C596E" w:rsidRPr="006C0B38" w:rsidRDefault="007B234F" w:rsidP="006C0B38">
      <w:pPr>
        <w:spacing w:after="0" w:line="240" w:lineRule="auto"/>
        <w:ind w:firstLine="708"/>
        <w:rPr>
          <w:rFonts w:ascii="Arial" w:eastAsia="Times New Roman" w:hAnsi="Arial" w:cs="Arial"/>
          <w:color w:val="333333"/>
          <w:sz w:val="18"/>
          <w:szCs w:val="18"/>
          <w:shd w:val="clear" w:color="auto" w:fill="FFFFFF"/>
          <w:lang w:val="es-CO" w:eastAsia="es-ES_tradnl"/>
        </w:rPr>
      </w:pPr>
      <w:r w:rsidRPr="006C0B38">
        <w:rPr>
          <w:rStyle w:val="Refdenotaalpie"/>
          <w:rFonts w:ascii="Arial" w:hAnsi="Arial" w:cs="Arial"/>
          <w:sz w:val="18"/>
          <w:szCs w:val="18"/>
        </w:rPr>
        <w:footnoteRef/>
      </w:r>
      <w:r w:rsidRPr="006C0B38">
        <w:rPr>
          <w:rFonts w:ascii="Arial" w:hAnsi="Arial" w:cs="Arial"/>
          <w:sz w:val="18"/>
          <w:szCs w:val="18"/>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6C0B38">
        <w:rPr>
          <w:rFonts w:ascii="Arial" w:eastAsia="Times New Roman" w:hAnsi="Arial" w:cs="Arial"/>
          <w:color w:val="333333"/>
          <w:sz w:val="18"/>
          <w:szCs w:val="18"/>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footnote>
  <w:footnote w:id="46">
    <w:p w14:paraId="55018064" w14:textId="60727B96" w:rsidR="00EF66A8" w:rsidRPr="006C0B38" w:rsidRDefault="00EF66A8"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Ver, Tafur Galvis Álvaro, las entidades descentralizadas, Bogotá, Editorial, Montoya y Araujo, (1984), p. 205. </w:t>
      </w:r>
    </w:p>
  </w:footnote>
  <w:footnote w:id="47">
    <w:p w14:paraId="4F3E4F61" w14:textId="77777777" w:rsidR="007B234F" w:rsidRPr="006C0B38" w:rsidRDefault="007B234F"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Sala de Consulta y Servicio Civil, Concepto Rad 1291, Ob. Cit. </w:t>
      </w:r>
    </w:p>
  </w:footnote>
  <w:footnote w:id="48">
    <w:p w14:paraId="247818DA"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Corte Constitucional, Sentencia C-374 del 25 de agosto de 1994, M.P. Jorge Arango Mejía. </w:t>
      </w:r>
    </w:p>
  </w:footnote>
  <w:footnote w:id="49">
    <w:p w14:paraId="6D83F487" w14:textId="3A68F66C" w:rsidR="007B234F" w:rsidRPr="006C0B38" w:rsidRDefault="007B234F" w:rsidP="006C0B38">
      <w:pPr>
        <w:pStyle w:val="Textonotapie"/>
        <w:spacing w:after="0" w:line="240" w:lineRule="auto"/>
        <w:ind w:firstLine="709"/>
        <w:rPr>
          <w:rFonts w:ascii="Arial" w:hAnsi="Arial" w:cs="Arial"/>
          <w:i/>
          <w:iCs/>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i/>
          <w:iCs/>
          <w:sz w:val="18"/>
          <w:szCs w:val="18"/>
        </w:rPr>
        <w:t>Ibid</w:t>
      </w:r>
    </w:p>
  </w:footnote>
  <w:footnote w:id="50">
    <w:p w14:paraId="7A48E17D"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bCs/>
          <w:sz w:val="18"/>
          <w:szCs w:val="18"/>
          <w:lang w:eastAsia="es-CO"/>
        </w:rPr>
        <w:t>«</w:t>
      </w:r>
      <w:r w:rsidRPr="006C0B38">
        <w:rPr>
          <w:rFonts w:ascii="Arial" w:hAnsi="Arial" w:cs="Arial"/>
          <w:sz w:val="18"/>
          <w:szCs w:val="18"/>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6C0B38">
        <w:rPr>
          <w:rFonts w:ascii="Arial" w:eastAsia="Times New Roman" w:hAnsi="Arial" w:cs="Arial"/>
          <w:bCs/>
          <w:sz w:val="18"/>
          <w:szCs w:val="18"/>
          <w:lang w:eastAsia="es-CO"/>
        </w:rPr>
        <w:t>»</w:t>
      </w:r>
    </w:p>
  </w:footnote>
  <w:footnote w:id="51">
    <w:p w14:paraId="79B9C8CC" w14:textId="24A35BFC" w:rsidR="004F1065" w:rsidRPr="006C0B38" w:rsidRDefault="00785E18" w:rsidP="006C0B38">
      <w:pPr>
        <w:spacing w:after="0" w:line="240" w:lineRule="auto"/>
        <w:ind w:firstLine="708"/>
        <w:rPr>
          <w:rFonts w:ascii="Arial" w:eastAsia="Times New Roman" w:hAnsi="Arial" w:cs="Arial"/>
          <w:sz w:val="18"/>
          <w:szCs w:val="18"/>
          <w:shd w:val="clear" w:color="auto" w:fill="FFFFFF"/>
          <w:lang w:val="es-CO" w:eastAsia="es-ES_tradnl"/>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sz w:val="18"/>
          <w:szCs w:val="18"/>
          <w:lang w:val="es-CO" w:eastAsia="es-ES_tradnl"/>
        </w:rPr>
        <w:t>ARTÍCULO 6º: «</w:t>
      </w:r>
      <w:r w:rsidRPr="006C0B38">
        <w:rPr>
          <w:rFonts w:ascii="Arial" w:eastAsia="Times New Roman" w:hAnsi="Arial" w:cs="Arial"/>
          <w:sz w:val="18"/>
          <w:szCs w:val="18"/>
          <w:shd w:val="clear" w:color="auto" w:fill="FFFFFF"/>
          <w:lang w:val="es-CO" w:eastAsia="es-ES_tradnl"/>
        </w:rPr>
        <w:t>Sistema presupuestal. Está constituido por un plan financiero, por un plan operativo anual de inversiones y por el presupuesto anual de la Nación».</w:t>
      </w:r>
    </w:p>
  </w:footnote>
  <w:footnote w:id="52">
    <w:p w14:paraId="65E1E1B6" w14:textId="3AE980C4" w:rsidR="00480940" w:rsidRPr="006C0B38" w:rsidRDefault="00785E18" w:rsidP="006C0B38">
      <w:pPr>
        <w:pStyle w:val="Textonotapie"/>
        <w:spacing w:after="0" w:line="240" w:lineRule="auto"/>
        <w:ind w:firstLine="709"/>
        <w:rPr>
          <w:rFonts w:ascii="Arial" w:eastAsia="Times New Roman" w:hAnsi="Arial" w:cs="Arial"/>
          <w:sz w:val="18"/>
          <w:szCs w:val="18"/>
          <w:shd w:val="clear" w:color="auto" w:fill="FFFFFF"/>
          <w:lang w:val="es-CO" w:eastAsia="es-ES_tradnl"/>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sz w:val="18"/>
          <w:szCs w:val="18"/>
          <w:lang w:val="es-CO" w:eastAsia="es-ES_tradnl"/>
        </w:rPr>
        <w:t>ARTÍCULO 8º: «</w:t>
      </w:r>
      <w:r w:rsidRPr="006C0B38">
        <w:rPr>
          <w:rFonts w:ascii="Arial" w:eastAsia="Times New Roman" w:hAnsi="Arial" w:cs="Arial"/>
          <w:sz w:val="18"/>
          <w:szCs w:val="18"/>
          <w:shd w:val="clear" w:color="auto" w:fill="FFFFFF"/>
          <w:lang w:val="es-CO" w:eastAsia="es-ES_tradnl"/>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p w14:paraId="2AFDB4FF" w14:textId="77777777" w:rsidR="002937F6" w:rsidRPr="006C0B38" w:rsidRDefault="002937F6" w:rsidP="006C0B38">
      <w:pPr>
        <w:pStyle w:val="Textonotapie"/>
        <w:spacing w:after="0" w:line="240" w:lineRule="auto"/>
        <w:ind w:firstLine="709"/>
        <w:rPr>
          <w:rFonts w:ascii="Arial" w:eastAsia="Times New Roman" w:hAnsi="Arial" w:cs="Arial"/>
          <w:sz w:val="18"/>
          <w:szCs w:val="18"/>
          <w:shd w:val="clear" w:color="auto" w:fill="FFFFFF"/>
          <w:lang w:val="es-CO" w:eastAsia="es-ES_tradnl"/>
        </w:rPr>
      </w:pPr>
    </w:p>
  </w:footnote>
  <w:footnote w:id="53">
    <w:p w14:paraId="58FF81C1" w14:textId="77777777" w:rsidR="007B234F" w:rsidRPr="006C0B38" w:rsidRDefault="007B234F"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Registraduría Nacional del Estado Civil, </w:t>
      </w:r>
      <w:r w:rsidRPr="006C0B38">
        <w:rPr>
          <w:rFonts w:ascii="Arial" w:hAnsi="Arial" w:cs="Arial"/>
          <w:sz w:val="18"/>
          <w:szCs w:val="18"/>
          <w:lang w:val="es-ES"/>
        </w:rPr>
        <w:t xml:space="preserve">Resolución 2098 del 12 de marzo de 2021, mediante la cual «se fija el calendario electoral del Congreso de la República que se realizarán el 13 de marzo». </w:t>
      </w:r>
    </w:p>
  </w:footnote>
  <w:footnote w:id="54">
    <w:p w14:paraId="6E2A7FAC" w14:textId="77777777" w:rsidR="007B234F" w:rsidRPr="006C0B38" w:rsidRDefault="007B234F"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5">
    <w:p w14:paraId="3FAB1409" w14:textId="5BAA1B23"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Sobre esta norma consultar los conceptos del 8 de octubre de 2019, con radicado 2201913000007532, y del 20 de diciembre de 2019, cuyo radicado es el No. 4201913000008240.</w:t>
      </w:r>
    </w:p>
  </w:footnote>
  <w:footnote w:id="56">
    <w:p w14:paraId="212C6A39"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84298AB" w14:textId="27DFED66"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Fonts w:ascii="Arial" w:hAnsi="Arial" w:cs="Arial"/>
          <w:color w:val="000000" w:themeColor="text1"/>
          <w:sz w:val="18"/>
          <w:szCs w:val="18"/>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57">
    <w:p w14:paraId="36FD1D17" w14:textId="54A33A2B"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58">
    <w:p w14:paraId="098F2F4A" w14:textId="14FB74D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Concepto del 3 de septiembre de 2019, emitido en el radicado No. 2201913000006512.</w:t>
      </w:r>
    </w:p>
  </w:footnote>
  <w:footnote w:id="59">
    <w:p w14:paraId="5515D1D2"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El numeral 16.9 de la Circular Externa Única de Colombia Compra Eficiente determina:</w:t>
      </w:r>
    </w:p>
    <w:p w14:paraId="411F3803"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Fonts w:ascii="Arial" w:hAnsi="Arial" w:cs="Arial"/>
          <w:color w:val="000000" w:themeColor="text1"/>
          <w:sz w:val="18"/>
          <w:szCs w:val="18"/>
        </w:rPr>
        <w:t>«16.9 Uniones temporales y consorcios conformados por entidades sin ánimo de lucro.</w:t>
      </w:r>
    </w:p>
    <w:p w14:paraId="5B762F2B" w14:textId="0DBE2131"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Fonts w:ascii="Arial" w:hAnsi="Arial" w:cs="Arial"/>
          <w:color w:val="000000" w:themeColor="text1"/>
          <w:sz w:val="18"/>
          <w:szCs w:val="18"/>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60">
    <w:p w14:paraId="5FFC7BFB"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lang w:val="es-ES"/>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Concepto del 19 de noviembre de 2019, emitido en el radicado No. 2201913000008611.</w:t>
      </w:r>
    </w:p>
  </w:footnote>
  <w:footnote w:id="61">
    <w:p w14:paraId="0520CE73" w14:textId="520C1A69"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62">
    <w:p w14:paraId="54AD3E4A" w14:textId="355DFE2B"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63">
    <w:p w14:paraId="76BDC8E1" w14:textId="26A26F9E" w:rsidR="00FA0E3E" w:rsidRPr="006C0B38" w:rsidRDefault="00FA0E3E" w:rsidP="006C0B38">
      <w:pPr>
        <w:pStyle w:val="Textonotapie"/>
        <w:spacing w:after="0" w:line="240" w:lineRule="auto"/>
        <w:ind w:firstLine="708"/>
        <w:rPr>
          <w:rFonts w:ascii="Arial" w:hAnsi="Arial" w:cs="Arial"/>
          <w:sz w:val="18"/>
          <w:szCs w:val="18"/>
          <w:lang w:val="es-CO"/>
        </w:rPr>
      </w:pPr>
      <w:r w:rsidRPr="006C0B38">
        <w:rPr>
          <w:rStyle w:val="Refdenotaalpie"/>
          <w:rFonts w:ascii="Arial" w:hAnsi="Arial" w:cs="Arial"/>
          <w:sz w:val="18"/>
          <w:szCs w:val="18"/>
        </w:rPr>
        <w:footnoteRef/>
      </w:r>
      <w:r w:rsidRPr="006C0B38">
        <w:rPr>
          <w:rFonts w:ascii="Arial" w:hAnsi="Arial" w:cs="Arial"/>
          <w:sz w:val="18"/>
          <w:szCs w:val="18"/>
        </w:rPr>
        <w:t xml:space="preserve"> En efecto, conforme al artículo 4 del Decreto 092 de 2017, «</w:t>
      </w:r>
      <w:r w:rsidRPr="006C0B38">
        <w:rPr>
          <w:rFonts w:ascii="Arial" w:hAnsi="Arial" w:cs="Arial"/>
          <w:i/>
          <w:iCs/>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r w:rsidRPr="006C0B38">
        <w:rPr>
          <w:rFonts w:ascii="Arial" w:hAnsi="Arial" w:cs="Arial"/>
          <w:sz w:val="18"/>
          <w:szCs w:val="18"/>
          <w:lang w:val="es-CO"/>
        </w:rPr>
        <w:t>.</w:t>
      </w:r>
    </w:p>
    <w:p w14:paraId="69D0506E" w14:textId="5F69149C" w:rsidR="00FA0E3E" w:rsidRPr="00FA0E3E" w:rsidRDefault="00FA0E3E" w:rsidP="006C0B38">
      <w:pPr>
        <w:pStyle w:val="Textonotapie"/>
        <w:spacing w:after="0" w:line="240" w:lineRule="auto"/>
        <w:ind w:firstLine="708"/>
        <w:rPr>
          <w:rFonts w:ascii="Arial" w:hAnsi="Arial" w:cs="Arial"/>
          <w:sz w:val="18"/>
          <w:szCs w:val="18"/>
          <w:lang w:val="es-CO"/>
        </w:rPr>
      </w:pPr>
      <w:r w:rsidRPr="006C0B38">
        <w:rPr>
          <w:rFonts w:ascii="Arial" w:hAnsi="Arial" w:cs="Arial"/>
          <w:sz w:val="18"/>
          <w:szCs w:val="18"/>
          <w:lang w:val="es-CO"/>
        </w:rPr>
        <w:t>»</w:t>
      </w:r>
      <w:r w:rsidRPr="00FA0E3E">
        <w:rPr>
          <w:rFonts w:ascii="Arial" w:hAnsi="Arial" w:cs="Arial"/>
          <w:sz w:val="18"/>
          <w:szCs w:val="18"/>
          <w:lang w:val="es-CO"/>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r w:rsidRPr="006C0B38">
        <w:rPr>
          <w:rFonts w:ascii="Arial" w:hAnsi="Arial" w:cs="Arial"/>
          <w:sz w:val="18"/>
          <w:szCs w:val="18"/>
          <w:lang w:val="es-CO"/>
        </w:rPr>
        <w:t>» (Énfasis fuera de texto)</w:t>
      </w:r>
      <w:r w:rsidRPr="00FA0E3E">
        <w:rPr>
          <w:rFonts w:ascii="Arial" w:hAnsi="Arial" w:cs="Arial"/>
          <w:sz w:val="18"/>
          <w:szCs w:val="18"/>
          <w:lang w:val="es-CO"/>
        </w:rPr>
        <w:t>.</w:t>
      </w:r>
    </w:p>
    <w:p w14:paraId="5149B225" w14:textId="77AA6CFD" w:rsidR="00FA0E3E" w:rsidRPr="006C0B38" w:rsidRDefault="00FA0E3E" w:rsidP="006C0B38">
      <w:pPr>
        <w:pStyle w:val="Textonotapie"/>
        <w:spacing w:after="0" w:line="240" w:lineRule="auto"/>
        <w:ind w:firstLine="708"/>
        <w:rPr>
          <w:rFonts w:ascii="Arial" w:hAnsi="Arial" w:cs="Arial"/>
          <w:sz w:val="18"/>
          <w:szCs w:val="18"/>
        </w:rPr>
      </w:pPr>
    </w:p>
  </w:footnote>
  <w:footnote w:id="64">
    <w:p w14:paraId="4128CF3B" w14:textId="77777777" w:rsidR="002400B3" w:rsidRPr="006C0B38" w:rsidRDefault="002400B3" w:rsidP="006C0B38">
      <w:pPr>
        <w:pStyle w:val="Textonotapie"/>
        <w:spacing w:after="0" w:line="240" w:lineRule="auto"/>
        <w:ind w:firstLine="708"/>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CO"/>
        </w:rPr>
        <w:t xml:space="preserve">CONSEJO DE ESTADO. Sala de Consulta y Servicio Civil. Concepto del 8 de mayo de 2018. Rad. 2382. C.P. Álvaro </w:t>
      </w:r>
      <w:proofErr w:type="spellStart"/>
      <w:r w:rsidRPr="006C0B38">
        <w:rPr>
          <w:rFonts w:ascii="Arial" w:hAnsi="Arial" w:cs="Arial"/>
          <w:sz w:val="18"/>
          <w:szCs w:val="18"/>
          <w:lang w:val="es-CO"/>
        </w:rPr>
        <w:t>Namén</w:t>
      </w:r>
      <w:proofErr w:type="spellEnd"/>
      <w:r w:rsidRPr="006C0B38">
        <w:rPr>
          <w:rFonts w:ascii="Arial" w:hAnsi="Arial" w:cs="Arial"/>
          <w:sz w:val="18"/>
          <w:szCs w:val="18"/>
          <w:lang w:val="es-CO"/>
        </w:rPr>
        <w:t xml:space="preserve"> Vargas.</w:t>
      </w:r>
    </w:p>
  </w:footnote>
  <w:footnote w:id="65">
    <w:p w14:paraId="254590CF" w14:textId="77777777" w:rsidR="009C375E" w:rsidRPr="006C0B38" w:rsidRDefault="009C375E" w:rsidP="006C0B38">
      <w:pPr>
        <w:pStyle w:val="Textonotapie"/>
        <w:spacing w:after="0" w:line="240" w:lineRule="auto"/>
        <w:ind w:firstLine="709"/>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bookmarkStart w:id="66" w:name="_Hlk75244261"/>
      <w:r w:rsidRPr="006C0B38">
        <w:rPr>
          <w:rFonts w:ascii="Arial" w:hAnsi="Arial" w:cs="Arial"/>
          <w:color w:val="000000" w:themeColor="text1"/>
          <w:sz w:val="18"/>
          <w:szCs w:val="18"/>
        </w:rPr>
        <w:t>Decreto 1082 de 2015</w:t>
      </w:r>
      <w:bookmarkEnd w:id="66"/>
      <w:r w:rsidRPr="006C0B38">
        <w:rPr>
          <w:rFonts w:ascii="Arial" w:hAnsi="Arial" w:cs="Arial"/>
          <w:color w:val="000000" w:themeColor="text1"/>
          <w:sz w:val="18"/>
          <w:szCs w:val="18"/>
        </w:rPr>
        <w:t xml:space="preserve">: «Artículo </w:t>
      </w:r>
      <w:bookmarkStart w:id="67" w:name="_Hlk75244247"/>
      <w:r w:rsidRPr="006C0B38">
        <w:rPr>
          <w:rFonts w:ascii="Arial" w:hAnsi="Arial" w:cs="Arial"/>
          <w:color w:val="000000" w:themeColor="text1"/>
          <w:sz w:val="18"/>
          <w:szCs w:val="18"/>
        </w:rPr>
        <w:t>2.2.1.2.1.4.4</w:t>
      </w:r>
      <w:bookmarkEnd w:id="67"/>
      <w:r w:rsidRPr="006C0B38">
        <w:rPr>
          <w:rFonts w:ascii="Arial" w:hAnsi="Arial" w:cs="Arial"/>
          <w:color w:val="000000" w:themeColor="text1"/>
          <w:sz w:val="18"/>
          <w:szCs w:val="18"/>
        </w:rPr>
        <w:t>. Convenios o contratos interadministrativos. La modalidad de selección para la contratación entre Entidades Estatales es la contratación directa; y en consecuencia, le es aplicable lo establecido en el artículo 2.2.1.2.1.4.1 del presente decreto.</w:t>
      </w:r>
    </w:p>
    <w:p w14:paraId="0926856A" w14:textId="402B58F4" w:rsidR="009C375E" w:rsidRPr="006C0B38" w:rsidRDefault="009C375E" w:rsidP="006C0B38">
      <w:pPr>
        <w:pStyle w:val="Textonotapie"/>
        <w:spacing w:after="0" w:line="240" w:lineRule="auto"/>
        <w:ind w:firstLine="709"/>
        <w:rPr>
          <w:rFonts w:ascii="Arial" w:hAnsi="Arial" w:cs="Arial"/>
          <w:color w:val="000000" w:themeColor="text1"/>
          <w:sz w:val="18"/>
          <w:szCs w:val="18"/>
        </w:rPr>
      </w:pPr>
      <w:r w:rsidRPr="006C0B38">
        <w:rPr>
          <w:rFonts w:ascii="Arial" w:hAnsi="Arial" w:cs="Arial"/>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3AEE"/>
    <w:rsid w:val="0000404B"/>
    <w:rsid w:val="00004F5E"/>
    <w:rsid w:val="0000645E"/>
    <w:rsid w:val="0000682D"/>
    <w:rsid w:val="00006906"/>
    <w:rsid w:val="00006BE6"/>
    <w:rsid w:val="000105E2"/>
    <w:rsid w:val="00010981"/>
    <w:rsid w:val="00011726"/>
    <w:rsid w:val="000123BA"/>
    <w:rsid w:val="000126BB"/>
    <w:rsid w:val="00012A1B"/>
    <w:rsid w:val="000136DC"/>
    <w:rsid w:val="0001574B"/>
    <w:rsid w:val="000165EE"/>
    <w:rsid w:val="00016F33"/>
    <w:rsid w:val="00016FAC"/>
    <w:rsid w:val="0001726A"/>
    <w:rsid w:val="000177B1"/>
    <w:rsid w:val="0001794A"/>
    <w:rsid w:val="0001795B"/>
    <w:rsid w:val="00020801"/>
    <w:rsid w:val="00020D8D"/>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625D"/>
    <w:rsid w:val="00067665"/>
    <w:rsid w:val="00070770"/>
    <w:rsid w:val="00070A22"/>
    <w:rsid w:val="00071D6E"/>
    <w:rsid w:val="000743C2"/>
    <w:rsid w:val="0007460B"/>
    <w:rsid w:val="000751BB"/>
    <w:rsid w:val="0007590A"/>
    <w:rsid w:val="0007639B"/>
    <w:rsid w:val="00077C34"/>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1DA7"/>
    <w:rsid w:val="000A2C01"/>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07244"/>
    <w:rsid w:val="001103D3"/>
    <w:rsid w:val="001112CF"/>
    <w:rsid w:val="00111438"/>
    <w:rsid w:val="00111636"/>
    <w:rsid w:val="00112192"/>
    <w:rsid w:val="00112D2F"/>
    <w:rsid w:val="00112D6B"/>
    <w:rsid w:val="001139AE"/>
    <w:rsid w:val="00114236"/>
    <w:rsid w:val="00114E2B"/>
    <w:rsid w:val="001152BA"/>
    <w:rsid w:val="0011561C"/>
    <w:rsid w:val="0011730D"/>
    <w:rsid w:val="00121409"/>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40BC"/>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65FA"/>
    <w:rsid w:val="001770E9"/>
    <w:rsid w:val="00177BAA"/>
    <w:rsid w:val="00180B3B"/>
    <w:rsid w:val="001823A0"/>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C7B1F"/>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276"/>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1EB"/>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0B3"/>
    <w:rsid w:val="00240225"/>
    <w:rsid w:val="00240A06"/>
    <w:rsid w:val="002416BA"/>
    <w:rsid w:val="002427B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57F4E"/>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D7E"/>
    <w:rsid w:val="00277428"/>
    <w:rsid w:val="002806C6"/>
    <w:rsid w:val="002812E1"/>
    <w:rsid w:val="00281E62"/>
    <w:rsid w:val="00281ED6"/>
    <w:rsid w:val="00282175"/>
    <w:rsid w:val="00282493"/>
    <w:rsid w:val="0028312F"/>
    <w:rsid w:val="00283380"/>
    <w:rsid w:val="00284F66"/>
    <w:rsid w:val="00285D7E"/>
    <w:rsid w:val="00285D82"/>
    <w:rsid w:val="00285FED"/>
    <w:rsid w:val="00286660"/>
    <w:rsid w:val="00286A53"/>
    <w:rsid w:val="00287542"/>
    <w:rsid w:val="002877E9"/>
    <w:rsid w:val="0029159E"/>
    <w:rsid w:val="002933BF"/>
    <w:rsid w:val="002937F6"/>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5ED5"/>
    <w:rsid w:val="002B72C0"/>
    <w:rsid w:val="002B7DD1"/>
    <w:rsid w:val="002C05A7"/>
    <w:rsid w:val="002C087E"/>
    <w:rsid w:val="002C09B8"/>
    <w:rsid w:val="002C2716"/>
    <w:rsid w:val="002C27C5"/>
    <w:rsid w:val="002C2BF2"/>
    <w:rsid w:val="002C4BB5"/>
    <w:rsid w:val="002C6D5B"/>
    <w:rsid w:val="002C7E7F"/>
    <w:rsid w:val="002D0C96"/>
    <w:rsid w:val="002D2D19"/>
    <w:rsid w:val="002D3456"/>
    <w:rsid w:val="002D4BB3"/>
    <w:rsid w:val="002D52AD"/>
    <w:rsid w:val="002D5D70"/>
    <w:rsid w:val="002D6942"/>
    <w:rsid w:val="002D7A44"/>
    <w:rsid w:val="002D7E62"/>
    <w:rsid w:val="002D7F92"/>
    <w:rsid w:val="002E0633"/>
    <w:rsid w:val="002E0A18"/>
    <w:rsid w:val="002E1888"/>
    <w:rsid w:val="002E1964"/>
    <w:rsid w:val="002E19A5"/>
    <w:rsid w:val="002E1E7E"/>
    <w:rsid w:val="002E27E0"/>
    <w:rsid w:val="002E39A3"/>
    <w:rsid w:val="002E5EB7"/>
    <w:rsid w:val="002E6150"/>
    <w:rsid w:val="002E631C"/>
    <w:rsid w:val="002E6B6F"/>
    <w:rsid w:val="002E74C9"/>
    <w:rsid w:val="002F0800"/>
    <w:rsid w:val="002F3451"/>
    <w:rsid w:val="002F3606"/>
    <w:rsid w:val="002F3CF5"/>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152"/>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09A"/>
    <w:rsid w:val="0039010E"/>
    <w:rsid w:val="003901D8"/>
    <w:rsid w:val="00390732"/>
    <w:rsid w:val="00390B41"/>
    <w:rsid w:val="0039100A"/>
    <w:rsid w:val="00391D93"/>
    <w:rsid w:val="00392714"/>
    <w:rsid w:val="00392E7E"/>
    <w:rsid w:val="00392F63"/>
    <w:rsid w:val="00393184"/>
    <w:rsid w:val="0039340C"/>
    <w:rsid w:val="003934DD"/>
    <w:rsid w:val="00394337"/>
    <w:rsid w:val="00396D23"/>
    <w:rsid w:val="003978D0"/>
    <w:rsid w:val="003A0468"/>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6EE4"/>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5AE"/>
    <w:rsid w:val="003E5C80"/>
    <w:rsid w:val="003E5ED1"/>
    <w:rsid w:val="003E6682"/>
    <w:rsid w:val="003E7261"/>
    <w:rsid w:val="003E7A20"/>
    <w:rsid w:val="003E7AAD"/>
    <w:rsid w:val="003F088B"/>
    <w:rsid w:val="003F0FBE"/>
    <w:rsid w:val="003F165C"/>
    <w:rsid w:val="003F28CF"/>
    <w:rsid w:val="003F2AD2"/>
    <w:rsid w:val="003F30B1"/>
    <w:rsid w:val="003F328D"/>
    <w:rsid w:val="003F47E5"/>
    <w:rsid w:val="003F5439"/>
    <w:rsid w:val="003F5CDD"/>
    <w:rsid w:val="003F5D5D"/>
    <w:rsid w:val="003F60D3"/>
    <w:rsid w:val="003F7E6A"/>
    <w:rsid w:val="00400083"/>
    <w:rsid w:val="0040059A"/>
    <w:rsid w:val="00402FD5"/>
    <w:rsid w:val="00403A30"/>
    <w:rsid w:val="00404797"/>
    <w:rsid w:val="00405524"/>
    <w:rsid w:val="00406868"/>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52E5"/>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0940"/>
    <w:rsid w:val="00481FA4"/>
    <w:rsid w:val="004821AB"/>
    <w:rsid w:val="00482A4E"/>
    <w:rsid w:val="004832C7"/>
    <w:rsid w:val="00485197"/>
    <w:rsid w:val="00485AD7"/>
    <w:rsid w:val="00485ED3"/>
    <w:rsid w:val="00487569"/>
    <w:rsid w:val="004878C1"/>
    <w:rsid w:val="00487986"/>
    <w:rsid w:val="004928C4"/>
    <w:rsid w:val="00492B6F"/>
    <w:rsid w:val="00492EB5"/>
    <w:rsid w:val="00493E48"/>
    <w:rsid w:val="004946A7"/>
    <w:rsid w:val="0049475A"/>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544E"/>
    <w:rsid w:val="004C6C01"/>
    <w:rsid w:val="004C7677"/>
    <w:rsid w:val="004D1653"/>
    <w:rsid w:val="004D1B75"/>
    <w:rsid w:val="004D1CE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32CC"/>
    <w:rsid w:val="004F38A9"/>
    <w:rsid w:val="004F4394"/>
    <w:rsid w:val="004F46FC"/>
    <w:rsid w:val="004F4EB9"/>
    <w:rsid w:val="004F5711"/>
    <w:rsid w:val="004F5F6A"/>
    <w:rsid w:val="004F6CC2"/>
    <w:rsid w:val="004F71C2"/>
    <w:rsid w:val="0050188C"/>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54CB"/>
    <w:rsid w:val="005A6DCD"/>
    <w:rsid w:val="005A79FE"/>
    <w:rsid w:val="005B0132"/>
    <w:rsid w:val="005B2AF3"/>
    <w:rsid w:val="005B2F60"/>
    <w:rsid w:val="005B373F"/>
    <w:rsid w:val="005B4049"/>
    <w:rsid w:val="005B41D2"/>
    <w:rsid w:val="005B43FE"/>
    <w:rsid w:val="005B4AA6"/>
    <w:rsid w:val="005B5336"/>
    <w:rsid w:val="005B6475"/>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066"/>
    <w:rsid w:val="006178DB"/>
    <w:rsid w:val="00620CBF"/>
    <w:rsid w:val="00620E47"/>
    <w:rsid w:val="0062127B"/>
    <w:rsid w:val="00622002"/>
    <w:rsid w:val="006231D1"/>
    <w:rsid w:val="00623F97"/>
    <w:rsid w:val="00624730"/>
    <w:rsid w:val="00624D8F"/>
    <w:rsid w:val="0062567A"/>
    <w:rsid w:val="006274A6"/>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78"/>
    <w:rsid w:val="006524A2"/>
    <w:rsid w:val="006524BE"/>
    <w:rsid w:val="00652A5C"/>
    <w:rsid w:val="006533F8"/>
    <w:rsid w:val="006537D0"/>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76340"/>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37F"/>
    <w:rsid w:val="00697665"/>
    <w:rsid w:val="00697D73"/>
    <w:rsid w:val="006A00B7"/>
    <w:rsid w:val="006A049D"/>
    <w:rsid w:val="006A0BF9"/>
    <w:rsid w:val="006A12F4"/>
    <w:rsid w:val="006A1A12"/>
    <w:rsid w:val="006A2013"/>
    <w:rsid w:val="006A2F2D"/>
    <w:rsid w:val="006A3206"/>
    <w:rsid w:val="006A3CD1"/>
    <w:rsid w:val="006A3CF2"/>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0B38"/>
    <w:rsid w:val="006C14D1"/>
    <w:rsid w:val="006C2EB8"/>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69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17A45"/>
    <w:rsid w:val="0072005B"/>
    <w:rsid w:val="00720966"/>
    <w:rsid w:val="007210EC"/>
    <w:rsid w:val="0072127D"/>
    <w:rsid w:val="007229B0"/>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5DBC"/>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33"/>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B6351"/>
    <w:rsid w:val="007C0326"/>
    <w:rsid w:val="007C0A36"/>
    <w:rsid w:val="007C2221"/>
    <w:rsid w:val="007C36EC"/>
    <w:rsid w:val="007C3946"/>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0CB8"/>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4E9"/>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3FA"/>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75"/>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258"/>
    <w:rsid w:val="009B63F0"/>
    <w:rsid w:val="009B7EC0"/>
    <w:rsid w:val="009C02BD"/>
    <w:rsid w:val="009C0EC1"/>
    <w:rsid w:val="009C17B9"/>
    <w:rsid w:val="009C1933"/>
    <w:rsid w:val="009C1FFB"/>
    <w:rsid w:val="009C24BD"/>
    <w:rsid w:val="009C28F4"/>
    <w:rsid w:val="009C2A57"/>
    <w:rsid w:val="009C375E"/>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7C"/>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2B3"/>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55DC"/>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312C"/>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5DA9"/>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70169"/>
    <w:rsid w:val="00B70283"/>
    <w:rsid w:val="00B7078C"/>
    <w:rsid w:val="00B710C4"/>
    <w:rsid w:val="00B71561"/>
    <w:rsid w:val="00B7345C"/>
    <w:rsid w:val="00B737A3"/>
    <w:rsid w:val="00B73B11"/>
    <w:rsid w:val="00B751B4"/>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8E3"/>
    <w:rsid w:val="00B84B3E"/>
    <w:rsid w:val="00B85623"/>
    <w:rsid w:val="00B90205"/>
    <w:rsid w:val="00B90B22"/>
    <w:rsid w:val="00B90B34"/>
    <w:rsid w:val="00B91CF1"/>
    <w:rsid w:val="00B91EAD"/>
    <w:rsid w:val="00B92CB6"/>
    <w:rsid w:val="00B93287"/>
    <w:rsid w:val="00B94B1F"/>
    <w:rsid w:val="00B9556D"/>
    <w:rsid w:val="00B95717"/>
    <w:rsid w:val="00B97975"/>
    <w:rsid w:val="00BA0FA8"/>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8C7"/>
    <w:rsid w:val="00BF3E3E"/>
    <w:rsid w:val="00BF3E9C"/>
    <w:rsid w:val="00BF46EB"/>
    <w:rsid w:val="00BF52BB"/>
    <w:rsid w:val="00BF5655"/>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5D6D"/>
    <w:rsid w:val="00C16340"/>
    <w:rsid w:val="00C1755A"/>
    <w:rsid w:val="00C2009C"/>
    <w:rsid w:val="00C20311"/>
    <w:rsid w:val="00C20858"/>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55B4"/>
    <w:rsid w:val="00C358C6"/>
    <w:rsid w:val="00C35C94"/>
    <w:rsid w:val="00C35CCA"/>
    <w:rsid w:val="00C36B79"/>
    <w:rsid w:val="00C3789F"/>
    <w:rsid w:val="00C37E77"/>
    <w:rsid w:val="00C40376"/>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05F"/>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4383"/>
    <w:rsid w:val="00C949D9"/>
    <w:rsid w:val="00C95026"/>
    <w:rsid w:val="00C9670A"/>
    <w:rsid w:val="00C969DD"/>
    <w:rsid w:val="00C9707B"/>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2894"/>
    <w:rsid w:val="00CB3DAB"/>
    <w:rsid w:val="00CB4B63"/>
    <w:rsid w:val="00CB4C30"/>
    <w:rsid w:val="00CB532E"/>
    <w:rsid w:val="00CB5663"/>
    <w:rsid w:val="00CB58CF"/>
    <w:rsid w:val="00CB61ED"/>
    <w:rsid w:val="00CB6518"/>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001"/>
    <w:rsid w:val="00D80E2D"/>
    <w:rsid w:val="00D80EB6"/>
    <w:rsid w:val="00D81B3A"/>
    <w:rsid w:val="00D82056"/>
    <w:rsid w:val="00D82CE5"/>
    <w:rsid w:val="00D83D88"/>
    <w:rsid w:val="00D8437F"/>
    <w:rsid w:val="00D84C74"/>
    <w:rsid w:val="00D84D9D"/>
    <w:rsid w:val="00D84F1E"/>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09E0"/>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3B36"/>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94AEF"/>
    <w:rsid w:val="00FA06A3"/>
    <w:rsid w:val="00FA0AD1"/>
    <w:rsid w:val="00FA0E3E"/>
    <w:rsid w:val="00FA2ACB"/>
    <w:rsid w:val="00FA310C"/>
    <w:rsid w:val="00FA3B5A"/>
    <w:rsid w:val="00FA40C0"/>
    <w:rsid w:val="00FA4A30"/>
    <w:rsid w:val="00FA4B7C"/>
    <w:rsid w:val="00FA4CDC"/>
    <w:rsid w:val="00FA540E"/>
    <w:rsid w:val="00FA6587"/>
    <w:rsid w:val="00FA6DE2"/>
    <w:rsid w:val="00FA723D"/>
    <w:rsid w:val="00FB0D40"/>
    <w:rsid w:val="00FB301D"/>
    <w:rsid w:val="00FB42FF"/>
    <w:rsid w:val="00FB47F3"/>
    <w:rsid w:val="00FB516F"/>
    <w:rsid w:val="00FB58AF"/>
    <w:rsid w:val="00FB5BF9"/>
    <w:rsid w:val="00FC0B6A"/>
    <w:rsid w:val="00FC0F82"/>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0EBA"/>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F65"/>
    <w:rsid w:val="00FF7737"/>
    <w:rsid w:val="00FF773A"/>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94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840">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asesbiblioteca.uexternado.edu.co:2223/lexbase/normas/constitucion%20politica/CP%20Art%2007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asesbiblioteca.uexternado.edu.co:2223/lexbase/normas/constitucion%20politica/CP%20Art%2007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asesbiblioteca.uexternado.edu.co:2223/lexbase/normas/constitucion%20politica/CP%20Art%2007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89</TotalTime>
  <Pages>48</Pages>
  <Words>16303</Words>
  <Characters>89672</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Felipe Bastidas Paredes</cp:lastModifiedBy>
  <cp:revision>119</cp:revision>
  <dcterms:created xsi:type="dcterms:W3CDTF">2022-02-01T20:46:00Z</dcterms:created>
  <dcterms:modified xsi:type="dcterms:W3CDTF">2022-02-01T23:33:00Z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